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B69B" w14:textId="77777777" w:rsidR="00AB2629" w:rsidRPr="00A45343" w:rsidRDefault="00AB2629" w:rsidP="00A82642">
      <w:pPr>
        <w:jc w:val="both"/>
      </w:pPr>
    </w:p>
    <w:p w14:paraId="2C0930BA" w14:textId="77777777" w:rsidR="00AB2629" w:rsidRPr="00A45343" w:rsidRDefault="00AB2629" w:rsidP="00A82642">
      <w:pPr>
        <w:jc w:val="both"/>
      </w:pPr>
    </w:p>
    <w:p w14:paraId="779F0FEE" w14:textId="77777777" w:rsidR="00AB2629" w:rsidRPr="00A45343" w:rsidRDefault="00AB2629" w:rsidP="00A82642">
      <w:pPr>
        <w:jc w:val="both"/>
      </w:pPr>
    </w:p>
    <w:p w14:paraId="2C331ECA" w14:textId="77777777" w:rsidR="00AB2629" w:rsidRPr="00A45343" w:rsidRDefault="00AB2629" w:rsidP="00A82642">
      <w:pPr>
        <w:jc w:val="both"/>
      </w:pPr>
    </w:p>
    <w:p w14:paraId="4030F2A4" w14:textId="77777777" w:rsidR="00AB2629" w:rsidRPr="00A45343" w:rsidRDefault="00AB2629" w:rsidP="00A82642">
      <w:pPr>
        <w:jc w:val="both"/>
      </w:pPr>
    </w:p>
    <w:p w14:paraId="30D94D74" w14:textId="77777777" w:rsidR="00AB2629" w:rsidRDefault="00AB2629" w:rsidP="00A82642">
      <w:pPr>
        <w:jc w:val="both"/>
      </w:pPr>
    </w:p>
    <w:p w14:paraId="1B7D26BF" w14:textId="77777777" w:rsidR="00AB2629" w:rsidRDefault="00AB2629" w:rsidP="00A82642">
      <w:pPr>
        <w:jc w:val="both"/>
      </w:pPr>
    </w:p>
    <w:p w14:paraId="2B442B6E" w14:textId="77777777" w:rsidR="00AB2629" w:rsidRDefault="00AB2629" w:rsidP="00A82642">
      <w:pPr>
        <w:jc w:val="both"/>
      </w:pPr>
    </w:p>
    <w:p w14:paraId="7142DDB8" w14:textId="77777777" w:rsidR="00AB2629" w:rsidRDefault="00AB2629" w:rsidP="00A82642">
      <w:pPr>
        <w:jc w:val="both"/>
      </w:pPr>
    </w:p>
    <w:p w14:paraId="2D40D5FA" w14:textId="77777777" w:rsidR="00AB2629" w:rsidRDefault="00AB2629" w:rsidP="00A82642">
      <w:pPr>
        <w:jc w:val="both"/>
      </w:pPr>
    </w:p>
    <w:p w14:paraId="2B5DB4A8" w14:textId="77777777" w:rsidR="00E745BD" w:rsidRDefault="00E745BD" w:rsidP="00A82642">
      <w:pPr>
        <w:jc w:val="both"/>
      </w:pPr>
    </w:p>
    <w:p w14:paraId="44E86CE5" w14:textId="77777777" w:rsidR="00E745BD" w:rsidRDefault="00E745BD" w:rsidP="00A82642">
      <w:pPr>
        <w:jc w:val="both"/>
      </w:pPr>
    </w:p>
    <w:p w14:paraId="23A65B32" w14:textId="77777777" w:rsidR="00E745BD" w:rsidRDefault="00E745BD" w:rsidP="00A82642">
      <w:pPr>
        <w:jc w:val="both"/>
      </w:pPr>
    </w:p>
    <w:p w14:paraId="40054403" w14:textId="77777777" w:rsidR="00E745BD" w:rsidRDefault="00E745BD" w:rsidP="00A82642">
      <w:pPr>
        <w:jc w:val="both"/>
      </w:pPr>
    </w:p>
    <w:p w14:paraId="250EFF6F" w14:textId="77777777" w:rsidR="00AB2629" w:rsidRPr="00A45343" w:rsidRDefault="00AB2629" w:rsidP="00A82642">
      <w:pPr>
        <w:jc w:val="both"/>
      </w:pPr>
    </w:p>
    <w:p w14:paraId="4B69FEB8" w14:textId="77777777" w:rsidR="00AB2629" w:rsidRPr="00935B3E" w:rsidRDefault="00AB2629" w:rsidP="00A82642">
      <w:pPr>
        <w:jc w:val="both"/>
      </w:pPr>
    </w:p>
    <w:p w14:paraId="3C5DB7EE" w14:textId="77777777" w:rsidR="00124835" w:rsidRPr="00935B3E" w:rsidRDefault="00E775D8" w:rsidP="00124835">
      <w:pPr>
        <w:spacing w:line="252" w:lineRule="auto"/>
        <w:rPr>
          <w:b/>
          <w:sz w:val="32"/>
          <w:szCs w:val="32"/>
        </w:rPr>
      </w:pPr>
      <w:r w:rsidRPr="00935B3E">
        <w:rPr>
          <w:b/>
          <w:sz w:val="32"/>
          <w:szCs w:val="32"/>
        </w:rPr>
        <w:t xml:space="preserve">Skonsolidowane </w:t>
      </w:r>
      <w:r w:rsidR="00AB2629" w:rsidRPr="00935B3E">
        <w:rPr>
          <w:b/>
          <w:sz w:val="32"/>
          <w:szCs w:val="32"/>
        </w:rPr>
        <w:t xml:space="preserve">Sprawozdanie Finansowe </w:t>
      </w:r>
    </w:p>
    <w:p w14:paraId="7265EC31" w14:textId="77777777" w:rsidR="00124835" w:rsidRPr="00935B3E" w:rsidRDefault="00E775D8" w:rsidP="00124835">
      <w:pPr>
        <w:spacing w:line="252" w:lineRule="auto"/>
        <w:rPr>
          <w:b/>
          <w:sz w:val="32"/>
          <w:szCs w:val="32"/>
        </w:rPr>
      </w:pPr>
      <w:r w:rsidRPr="00935B3E">
        <w:rPr>
          <w:b/>
          <w:sz w:val="32"/>
          <w:szCs w:val="32"/>
        </w:rPr>
        <w:t>Grupy</w:t>
      </w:r>
      <w:r w:rsidR="00124835" w:rsidRPr="00935B3E">
        <w:rPr>
          <w:b/>
          <w:sz w:val="32"/>
          <w:szCs w:val="32"/>
        </w:rPr>
        <w:t xml:space="preserve"> </w:t>
      </w:r>
      <w:r w:rsidRPr="00935B3E">
        <w:rPr>
          <w:b/>
          <w:sz w:val="32"/>
          <w:szCs w:val="32"/>
        </w:rPr>
        <w:t xml:space="preserve">mBanku S.A. </w:t>
      </w:r>
      <w:r w:rsidR="00AB2629" w:rsidRPr="00935B3E">
        <w:rPr>
          <w:b/>
          <w:sz w:val="32"/>
          <w:szCs w:val="32"/>
        </w:rPr>
        <w:t xml:space="preserve">według Międzynarodowych Standardów Sprawozdawczości Finansowej </w:t>
      </w:r>
    </w:p>
    <w:p w14:paraId="4B22FF9F" w14:textId="13AF0CB3" w:rsidR="00AB2629" w:rsidRPr="00935B3E" w:rsidRDefault="00935B3E" w:rsidP="00124835">
      <w:pPr>
        <w:spacing w:line="252" w:lineRule="auto"/>
        <w:rPr>
          <w:b/>
          <w:vanish/>
          <w:sz w:val="32"/>
          <w:szCs w:val="32"/>
          <w:specVanish/>
        </w:rPr>
      </w:pPr>
      <w:r w:rsidRPr="00935B3E">
        <w:rPr>
          <w:b/>
          <w:sz w:val="32"/>
          <w:szCs w:val="32"/>
        </w:rPr>
        <w:t>za 2019</w:t>
      </w:r>
      <w:r w:rsidR="00AB2629" w:rsidRPr="00935B3E">
        <w:rPr>
          <w:b/>
          <w:sz w:val="32"/>
          <w:szCs w:val="32"/>
        </w:rPr>
        <w:t xml:space="preserve"> rok </w:t>
      </w:r>
    </w:p>
    <w:p w14:paraId="18B55F4A" w14:textId="77777777" w:rsidR="00AB2629" w:rsidRPr="00935B3E" w:rsidRDefault="00124835" w:rsidP="00124835">
      <w:r w:rsidRPr="00935B3E">
        <w:t xml:space="preserve"> </w:t>
      </w:r>
    </w:p>
    <w:p w14:paraId="01155C46" w14:textId="77777777" w:rsidR="00AB2629" w:rsidRPr="00935B3E" w:rsidRDefault="00AB2629" w:rsidP="00A82642">
      <w:pPr>
        <w:jc w:val="both"/>
      </w:pPr>
    </w:p>
    <w:p w14:paraId="2B819A5C" w14:textId="77777777" w:rsidR="00AB2629" w:rsidRPr="00A45343" w:rsidRDefault="00AB2629" w:rsidP="00A82642">
      <w:pPr>
        <w:jc w:val="both"/>
      </w:pPr>
    </w:p>
    <w:p w14:paraId="260B865A" w14:textId="77777777" w:rsidR="00AB2629" w:rsidRPr="00A45343" w:rsidRDefault="00AB2629" w:rsidP="00A82642">
      <w:pPr>
        <w:jc w:val="both"/>
      </w:pPr>
    </w:p>
    <w:p w14:paraId="232E0240" w14:textId="77777777" w:rsidR="00AB2629" w:rsidRPr="00A45343" w:rsidRDefault="00AB2629" w:rsidP="00A82642">
      <w:pPr>
        <w:jc w:val="both"/>
      </w:pPr>
    </w:p>
    <w:p w14:paraId="37192163" w14:textId="77777777" w:rsidR="00AB2629" w:rsidRPr="00A45343" w:rsidRDefault="00AB2629" w:rsidP="00A82642">
      <w:pPr>
        <w:jc w:val="both"/>
      </w:pPr>
    </w:p>
    <w:p w14:paraId="5A22A3C6" w14:textId="77777777" w:rsidR="00385B6C" w:rsidRPr="00A709AE" w:rsidRDefault="00385B6C" w:rsidP="00385B6C">
      <w:pPr>
        <w:pStyle w:val="Tytu"/>
        <w:rPr>
          <w:b w:val="0"/>
        </w:rPr>
      </w:pPr>
    </w:p>
    <w:p w14:paraId="7DF1CC20" w14:textId="77777777" w:rsidR="00385B6C" w:rsidRPr="00A709AE" w:rsidRDefault="00385B6C" w:rsidP="00385B6C">
      <w:pPr>
        <w:pStyle w:val="Tytu"/>
        <w:rPr>
          <w:b w:val="0"/>
        </w:rPr>
        <w:sectPr w:rsidR="00385B6C" w:rsidRPr="00A709AE" w:rsidSect="00B15105">
          <w:headerReference w:type="even" r:id="rId8"/>
          <w:headerReference w:type="default" r:id="rId9"/>
          <w:footerReference w:type="even" r:id="rId10"/>
          <w:footerReference w:type="default" r:id="rId11"/>
          <w:headerReference w:type="first" r:id="rId12"/>
          <w:footnotePr>
            <w:numFmt w:val="lowerLetter"/>
          </w:footnotePr>
          <w:pgSz w:w="11906" w:h="16838"/>
          <w:pgMar w:top="1418" w:right="1134" w:bottom="1134" w:left="1191" w:header="1021" w:footer="907" w:gutter="0"/>
          <w:pgNumType w:start="1"/>
          <w:cols w:space="708"/>
          <w:titlePg/>
          <w:docGrid w:linePitch="326"/>
        </w:sectPr>
      </w:pPr>
    </w:p>
    <w:p w14:paraId="4030E8BA" w14:textId="77777777" w:rsidR="00AB2629" w:rsidRPr="00935B3E" w:rsidRDefault="00AB2629" w:rsidP="00A82642">
      <w:pPr>
        <w:jc w:val="both"/>
        <w:rPr>
          <w:b/>
          <w:sz w:val="20"/>
          <w:szCs w:val="20"/>
        </w:rPr>
      </w:pPr>
      <w:r w:rsidRPr="00935B3E">
        <w:rPr>
          <w:b/>
          <w:sz w:val="20"/>
          <w:szCs w:val="20"/>
        </w:rPr>
        <w:lastRenderedPageBreak/>
        <w:t>Wybrane dane finansowe</w:t>
      </w:r>
    </w:p>
    <w:p w14:paraId="2F5D0036" w14:textId="77777777" w:rsidR="00AB2629" w:rsidRPr="00935B3E" w:rsidRDefault="00AB2629" w:rsidP="00A82642">
      <w:pPr>
        <w:jc w:val="both"/>
      </w:pPr>
    </w:p>
    <w:p w14:paraId="1DDDECE3" w14:textId="6D949D57" w:rsidR="00AB2629" w:rsidRPr="00592EBC" w:rsidRDefault="00AB2629" w:rsidP="00AB54BB">
      <w:pPr>
        <w:jc w:val="both"/>
        <w:rPr>
          <w:color w:val="000000" w:themeColor="text1"/>
          <w:sz w:val="18"/>
          <w:szCs w:val="18"/>
        </w:rPr>
      </w:pPr>
      <w:r w:rsidRPr="00592EBC">
        <w:rPr>
          <w:color w:val="000000" w:themeColor="text1"/>
          <w:sz w:val="18"/>
          <w:szCs w:val="18"/>
        </w:rPr>
        <w:t xml:space="preserve">Poniższe wybrane dane finansowe stanowią informację uzupełniającą do </w:t>
      </w:r>
      <w:r w:rsidR="00E775D8" w:rsidRPr="00592EBC">
        <w:rPr>
          <w:color w:val="000000" w:themeColor="text1"/>
          <w:sz w:val="18"/>
          <w:szCs w:val="18"/>
        </w:rPr>
        <w:t xml:space="preserve">skonsolidowanego </w:t>
      </w:r>
      <w:r w:rsidRPr="00592EBC">
        <w:rPr>
          <w:color w:val="000000" w:themeColor="text1"/>
          <w:sz w:val="18"/>
          <w:szCs w:val="18"/>
        </w:rPr>
        <w:t xml:space="preserve">sprawozdania finansowego </w:t>
      </w:r>
      <w:r w:rsidR="00E775D8" w:rsidRPr="00592EBC">
        <w:rPr>
          <w:color w:val="000000" w:themeColor="text1"/>
          <w:sz w:val="18"/>
          <w:szCs w:val="18"/>
        </w:rPr>
        <w:t>Grupy m</w:t>
      </w:r>
      <w:r w:rsidRPr="00592EBC">
        <w:rPr>
          <w:color w:val="000000" w:themeColor="text1"/>
          <w:sz w:val="18"/>
          <w:szCs w:val="18"/>
        </w:rPr>
        <w:t>Banku S</w:t>
      </w:r>
      <w:r w:rsidR="00E775D8" w:rsidRPr="00592EBC">
        <w:rPr>
          <w:color w:val="000000" w:themeColor="text1"/>
          <w:sz w:val="18"/>
          <w:szCs w:val="18"/>
        </w:rPr>
        <w:t>.</w:t>
      </w:r>
      <w:r w:rsidRPr="00592EBC">
        <w:rPr>
          <w:color w:val="000000" w:themeColor="text1"/>
          <w:sz w:val="18"/>
          <w:szCs w:val="18"/>
        </w:rPr>
        <w:t>A</w:t>
      </w:r>
      <w:r w:rsidR="00E775D8" w:rsidRPr="00592EBC">
        <w:rPr>
          <w:color w:val="000000" w:themeColor="text1"/>
          <w:sz w:val="18"/>
          <w:szCs w:val="18"/>
        </w:rPr>
        <w:t>.</w:t>
      </w:r>
      <w:r w:rsidR="00F86900" w:rsidRPr="00592EBC">
        <w:rPr>
          <w:color w:val="000000" w:themeColor="text1"/>
          <w:sz w:val="18"/>
          <w:szCs w:val="18"/>
        </w:rPr>
        <w:t xml:space="preserve"> za 2019</w:t>
      </w:r>
      <w:r w:rsidRPr="00592EBC">
        <w:rPr>
          <w:color w:val="000000" w:themeColor="text1"/>
          <w:sz w:val="18"/>
          <w:szCs w:val="18"/>
        </w:rPr>
        <w:t xml:space="preserve"> rok.</w:t>
      </w:r>
    </w:p>
    <w:p w14:paraId="65D58F10" w14:textId="77777777" w:rsidR="00AB2629" w:rsidRPr="00935B3E" w:rsidRDefault="00AB2629" w:rsidP="00A82642">
      <w:pPr>
        <w:jc w:val="both"/>
        <w:rPr>
          <w:sz w:val="18"/>
          <w:szCs w:val="18"/>
        </w:rPr>
      </w:pPr>
    </w:p>
    <w:tbl>
      <w:tblPr>
        <w:tblW w:w="0" w:type="auto"/>
        <w:tblCellMar>
          <w:left w:w="28" w:type="dxa"/>
          <w:right w:w="28" w:type="dxa"/>
        </w:tblCellMar>
        <w:tblLook w:val="04A0" w:firstRow="1" w:lastRow="0" w:firstColumn="1" w:lastColumn="0" w:noHBand="0" w:noVBand="1"/>
      </w:tblPr>
      <w:tblGrid>
        <w:gridCol w:w="334"/>
        <w:gridCol w:w="4184"/>
        <w:gridCol w:w="1207"/>
        <w:gridCol w:w="1207"/>
        <w:gridCol w:w="1207"/>
        <w:gridCol w:w="1207"/>
      </w:tblGrid>
      <w:tr w:rsidR="00B52BF0" w:rsidRPr="00C374BD" w14:paraId="078D0EC8" w14:textId="77777777" w:rsidTr="00EC1B31">
        <w:trPr>
          <w:trHeight w:val="284"/>
        </w:trPr>
        <w:tc>
          <w:tcPr>
            <w:tcW w:w="0" w:type="auto"/>
            <w:gridSpan w:val="2"/>
            <w:vMerge w:val="restart"/>
            <w:tcBorders>
              <w:top w:val="nil"/>
              <w:left w:val="nil"/>
              <w:right w:val="single" w:sz="8" w:space="0" w:color="FFFFFF"/>
            </w:tcBorders>
            <w:shd w:val="clear" w:color="000000" w:fill="0077BD"/>
            <w:noWrap/>
            <w:vAlign w:val="bottom"/>
            <w:hideMark/>
          </w:tcPr>
          <w:p w14:paraId="6DF77D7D" w14:textId="77777777" w:rsidR="00B52BF0" w:rsidRPr="00C374BD" w:rsidRDefault="00B52BF0" w:rsidP="00C374BD">
            <w:pPr>
              <w:rPr>
                <w:rFonts w:cs="Calibri"/>
                <w:b/>
                <w:bCs/>
                <w:color w:val="FFFFFF"/>
                <w:sz w:val="12"/>
                <w:szCs w:val="12"/>
              </w:rPr>
            </w:pPr>
            <w:r w:rsidRPr="00C374BD">
              <w:rPr>
                <w:rFonts w:cs="Calibri"/>
                <w:b/>
                <w:bCs/>
                <w:color w:val="FFFFFF"/>
                <w:sz w:val="12"/>
                <w:szCs w:val="12"/>
              </w:rPr>
              <w:t> </w:t>
            </w:r>
          </w:p>
        </w:tc>
        <w:tc>
          <w:tcPr>
            <w:tcW w:w="0" w:type="auto"/>
            <w:gridSpan w:val="2"/>
            <w:tcBorders>
              <w:top w:val="nil"/>
              <w:left w:val="single" w:sz="8" w:space="0" w:color="FFFFFF"/>
              <w:bottom w:val="single" w:sz="8" w:space="0" w:color="FFFFFF"/>
              <w:right w:val="single" w:sz="8" w:space="0" w:color="FFFFFF"/>
            </w:tcBorders>
            <w:shd w:val="clear" w:color="000000" w:fill="0077BD"/>
            <w:vAlign w:val="center"/>
            <w:hideMark/>
          </w:tcPr>
          <w:p w14:paraId="4A9619E6" w14:textId="77777777" w:rsidR="00B52BF0" w:rsidRPr="00C374BD" w:rsidRDefault="00B52BF0" w:rsidP="00C374BD">
            <w:pPr>
              <w:jc w:val="center"/>
              <w:rPr>
                <w:rFonts w:cs="Calibri"/>
                <w:b/>
                <w:bCs/>
                <w:color w:val="FFFFFF"/>
                <w:sz w:val="12"/>
                <w:szCs w:val="12"/>
              </w:rPr>
            </w:pPr>
            <w:r w:rsidRPr="00C374BD">
              <w:rPr>
                <w:rFonts w:cs="Calibri"/>
                <w:b/>
                <w:bCs/>
                <w:color w:val="FFFFFF"/>
                <w:sz w:val="12"/>
                <w:szCs w:val="12"/>
              </w:rPr>
              <w:t>w tys. zł</w:t>
            </w:r>
          </w:p>
        </w:tc>
        <w:tc>
          <w:tcPr>
            <w:tcW w:w="0" w:type="auto"/>
            <w:gridSpan w:val="2"/>
            <w:tcBorders>
              <w:top w:val="nil"/>
              <w:left w:val="nil"/>
              <w:bottom w:val="single" w:sz="8" w:space="0" w:color="FFFFFF"/>
            </w:tcBorders>
            <w:shd w:val="clear" w:color="000000" w:fill="0077BD"/>
            <w:vAlign w:val="center"/>
            <w:hideMark/>
          </w:tcPr>
          <w:p w14:paraId="7B6C5F33" w14:textId="77777777" w:rsidR="00B52BF0" w:rsidRPr="00C374BD" w:rsidRDefault="00B52BF0" w:rsidP="00C374BD">
            <w:pPr>
              <w:jc w:val="center"/>
              <w:rPr>
                <w:rFonts w:cs="Calibri"/>
                <w:b/>
                <w:bCs/>
                <w:color w:val="FFFFFF"/>
                <w:sz w:val="12"/>
                <w:szCs w:val="12"/>
              </w:rPr>
            </w:pPr>
            <w:r w:rsidRPr="00C374BD">
              <w:rPr>
                <w:rFonts w:cs="Calibri"/>
                <w:b/>
                <w:bCs/>
                <w:color w:val="FFFFFF"/>
                <w:sz w:val="12"/>
                <w:szCs w:val="12"/>
              </w:rPr>
              <w:t>w tys. EUR</w:t>
            </w:r>
          </w:p>
        </w:tc>
      </w:tr>
      <w:tr w:rsidR="00B52BF0" w:rsidRPr="00C374BD" w14:paraId="2B0CB5AA" w14:textId="77777777" w:rsidTr="00B52BF0">
        <w:trPr>
          <w:trHeight w:val="510"/>
        </w:trPr>
        <w:tc>
          <w:tcPr>
            <w:tcW w:w="0" w:type="auto"/>
            <w:gridSpan w:val="2"/>
            <w:vMerge/>
            <w:tcBorders>
              <w:left w:val="nil"/>
              <w:bottom w:val="single" w:sz="4" w:space="0" w:color="FFFFFF"/>
              <w:right w:val="single" w:sz="8" w:space="0" w:color="FFFFFF"/>
            </w:tcBorders>
            <w:vAlign w:val="center"/>
            <w:hideMark/>
          </w:tcPr>
          <w:p w14:paraId="53F0CFD9" w14:textId="77777777" w:rsidR="00B52BF0" w:rsidRPr="00C374BD" w:rsidRDefault="00B52BF0" w:rsidP="00C374BD">
            <w:pPr>
              <w:rPr>
                <w:rFonts w:cs="Calibri"/>
                <w:b/>
                <w:bCs/>
                <w:color w:val="FFFFFF"/>
                <w:sz w:val="12"/>
                <w:szCs w:val="12"/>
              </w:rPr>
            </w:pPr>
          </w:p>
        </w:tc>
        <w:tc>
          <w:tcPr>
            <w:tcW w:w="0" w:type="auto"/>
            <w:tcBorders>
              <w:top w:val="nil"/>
              <w:left w:val="single" w:sz="8" w:space="0" w:color="FFFFFF"/>
              <w:bottom w:val="single" w:sz="4" w:space="0" w:color="FFFFFF"/>
              <w:right w:val="single" w:sz="8" w:space="0" w:color="FFFFFF"/>
            </w:tcBorders>
            <w:shd w:val="clear" w:color="000000" w:fill="0077BD"/>
            <w:vAlign w:val="center"/>
            <w:hideMark/>
          </w:tcPr>
          <w:p w14:paraId="58629A83" w14:textId="77777777" w:rsidR="00B52BF0" w:rsidRPr="00C374BD" w:rsidRDefault="00B52BF0" w:rsidP="00C374BD">
            <w:pPr>
              <w:jc w:val="right"/>
              <w:rPr>
                <w:rFonts w:cs="Calibri"/>
                <w:b/>
                <w:bCs/>
                <w:color w:val="FFFFFF"/>
                <w:sz w:val="12"/>
                <w:szCs w:val="12"/>
              </w:rPr>
            </w:pPr>
            <w:r w:rsidRPr="00C374BD">
              <w:rPr>
                <w:rFonts w:cs="Calibri"/>
                <w:b/>
                <w:bCs/>
                <w:color w:val="FFFFFF"/>
                <w:sz w:val="12"/>
                <w:szCs w:val="12"/>
              </w:rPr>
              <w:t xml:space="preserve">Rok kończący się </w:t>
            </w:r>
            <w:r w:rsidRPr="00C374BD">
              <w:rPr>
                <w:rFonts w:cs="Calibri"/>
                <w:b/>
                <w:bCs/>
                <w:color w:val="FFFFFF"/>
                <w:sz w:val="12"/>
                <w:szCs w:val="12"/>
              </w:rPr>
              <w:br/>
              <w:t>31.12.2019</w:t>
            </w:r>
          </w:p>
        </w:tc>
        <w:tc>
          <w:tcPr>
            <w:tcW w:w="0" w:type="auto"/>
            <w:tcBorders>
              <w:top w:val="nil"/>
              <w:left w:val="nil"/>
              <w:bottom w:val="single" w:sz="4" w:space="0" w:color="FFFFFF"/>
              <w:right w:val="single" w:sz="8" w:space="0" w:color="FFFFFF"/>
            </w:tcBorders>
            <w:shd w:val="clear" w:color="000000" w:fill="0077BD"/>
            <w:vAlign w:val="center"/>
            <w:hideMark/>
          </w:tcPr>
          <w:p w14:paraId="59CE75E5" w14:textId="38A8AC3E" w:rsidR="00B52BF0" w:rsidRPr="00C374BD" w:rsidRDefault="00B52BF0" w:rsidP="00C374BD">
            <w:pPr>
              <w:jc w:val="right"/>
              <w:rPr>
                <w:rFonts w:cs="Calibri"/>
                <w:b/>
                <w:bCs/>
                <w:color w:val="FFFFFF"/>
                <w:sz w:val="12"/>
                <w:szCs w:val="12"/>
              </w:rPr>
            </w:pPr>
            <w:r w:rsidRPr="00C374BD">
              <w:rPr>
                <w:rFonts w:cs="Calibri"/>
                <w:b/>
                <w:bCs/>
                <w:color w:val="FFFFFF"/>
                <w:sz w:val="12"/>
                <w:szCs w:val="12"/>
              </w:rPr>
              <w:t xml:space="preserve">Rok kończący się </w:t>
            </w:r>
            <w:r w:rsidRPr="00C374BD">
              <w:rPr>
                <w:rFonts w:cs="Calibri"/>
                <w:b/>
                <w:bCs/>
                <w:color w:val="FFFFFF"/>
                <w:sz w:val="12"/>
                <w:szCs w:val="12"/>
              </w:rPr>
              <w:br/>
              <w:t>31.12.2018</w:t>
            </w:r>
            <w:r>
              <w:rPr>
                <w:rFonts w:cs="Calibri"/>
                <w:b/>
                <w:bCs/>
                <w:color w:val="FFFFFF"/>
                <w:sz w:val="12"/>
                <w:szCs w:val="12"/>
              </w:rPr>
              <w:br/>
              <w:t>-przekształcone</w:t>
            </w:r>
          </w:p>
        </w:tc>
        <w:tc>
          <w:tcPr>
            <w:tcW w:w="0" w:type="auto"/>
            <w:tcBorders>
              <w:top w:val="nil"/>
              <w:left w:val="nil"/>
              <w:bottom w:val="single" w:sz="4" w:space="0" w:color="FFFFFF"/>
              <w:right w:val="single" w:sz="8" w:space="0" w:color="FFFFFF"/>
            </w:tcBorders>
            <w:shd w:val="clear" w:color="000000" w:fill="0077BD"/>
            <w:vAlign w:val="center"/>
            <w:hideMark/>
          </w:tcPr>
          <w:p w14:paraId="608DB804" w14:textId="77777777" w:rsidR="00B52BF0" w:rsidRPr="00C374BD" w:rsidRDefault="00B52BF0" w:rsidP="00C374BD">
            <w:pPr>
              <w:jc w:val="right"/>
              <w:rPr>
                <w:rFonts w:cs="Calibri"/>
                <w:b/>
                <w:bCs/>
                <w:color w:val="FFFFFF"/>
                <w:sz w:val="12"/>
                <w:szCs w:val="12"/>
              </w:rPr>
            </w:pPr>
            <w:r w:rsidRPr="00C374BD">
              <w:rPr>
                <w:rFonts w:cs="Calibri"/>
                <w:b/>
                <w:bCs/>
                <w:color w:val="FFFFFF"/>
                <w:sz w:val="12"/>
                <w:szCs w:val="12"/>
              </w:rPr>
              <w:t xml:space="preserve">Rok kończący się </w:t>
            </w:r>
            <w:r w:rsidRPr="00C374BD">
              <w:rPr>
                <w:rFonts w:cs="Calibri"/>
                <w:b/>
                <w:bCs/>
                <w:color w:val="FFFFFF"/>
                <w:sz w:val="12"/>
                <w:szCs w:val="12"/>
              </w:rPr>
              <w:br/>
              <w:t>31.12.2019</w:t>
            </w:r>
          </w:p>
        </w:tc>
        <w:tc>
          <w:tcPr>
            <w:tcW w:w="0" w:type="auto"/>
            <w:tcBorders>
              <w:top w:val="nil"/>
              <w:left w:val="nil"/>
              <w:bottom w:val="single" w:sz="4" w:space="0" w:color="FFFFFF"/>
              <w:right w:val="nil"/>
            </w:tcBorders>
            <w:shd w:val="clear" w:color="000000" w:fill="0077BD"/>
            <w:vAlign w:val="center"/>
            <w:hideMark/>
          </w:tcPr>
          <w:p w14:paraId="37D96BE3" w14:textId="433743EC" w:rsidR="00B52BF0" w:rsidRPr="00C374BD" w:rsidRDefault="00B52BF0" w:rsidP="00C374BD">
            <w:pPr>
              <w:jc w:val="right"/>
              <w:rPr>
                <w:rFonts w:cs="Calibri"/>
                <w:b/>
                <w:bCs/>
                <w:color w:val="FFFFFF"/>
                <w:sz w:val="12"/>
                <w:szCs w:val="12"/>
              </w:rPr>
            </w:pPr>
            <w:r w:rsidRPr="00C374BD">
              <w:rPr>
                <w:rFonts w:cs="Calibri"/>
                <w:b/>
                <w:bCs/>
                <w:color w:val="FFFFFF"/>
                <w:sz w:val="12"/>
                <w:szCs w:val="12"/>
              </w:rPr>
              <w:t xml:space="preserve">Rok kończący się </w:t>
            </w:r>
            <w:r w:rsidRPr="00C374BD">
              <w:rPr>
                <w:rFonts w:cs="Calibri"/>
                <w:b/>
                <w:bCs/>
                <w:color w:val="FFFFFF"/>
                <w:sz w:val="12"/>
                <w:szCs w:val="12"/>
              </w:rPr>
              <w:br/>
              <w:t>31.12.2018</w:t>
            </w:r>
            <w:r>
              <w:rPr>
                <w:rFonts w:cs="Calibri"/>
                <w:b/>
                <w:bCs/>
                <w:color w:val="FFFFFF"/>
                <w:sz w:val="12"/>
                <w:szCs w:val="12"/>
              </w:rPr>
              <w:br/>
              <w:t>- przekształcone</w:t>
            </w:r>
          </w:p>
        </w:tc>
      </w:tr>
      <w:tr w:rsidR="00CA023B" w:rsidRPr="00C374BD" w14:paraId="0F4FC7D2"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21A1F834"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I.</w:t>
            </w:r>
          </w:p>
        </w:tc>
        <w:tc>
          <w:tcPr>
            <w:tcW w:w="0" w:type="auto"/>
            <w:tcBorders>
              <w:top w:val="nil"/>
              <w:left w:val="nil"/>
              <w:bottom w:val="single" w:sz="8" w:space="0" w:color="0077BD"/>
              <w:right w:val="single" w:sz="8" w:space="0" w:color="0077BD"/>
            </w:tcBorders>
            <w:shd w:val="clear" w:color="auto" w:fill="auto"/>
            <w:vAlign w:val="center"/>
            <w:hideMark/>
          </w:tcPr>
          <w:p w14:paraId="5DBB9444"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Przychody z tytułu odsetek</w:t>
            </w:r>
          </w:p>
        </w:tc>
        <w:tc>
          <w:tcPr>
            <w:tcW w:w="0" w:type="auto"/>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0033E972" w14:textId="4A14B0F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5 071 664</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628F6DBD" w14:textId="51F211B7"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4 518 190</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3371D5C3" w14:textId="30619AF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1 178 963</w:t>
            </w:r>
          </w:p>
        </w:tc>
        <w:tc>
          <w:tcPr>
            <w:tcW w:w="0" w:type="auto"/>
            <w:tcBorders>
              <w:top w:val="single" w:sz="4" w:space="0" w:color="FFFFFF"/>
              <w:left w:val="nil"/>
              <w:bottom w:val="single" w:sz="8" w:space="0" w:color="0077BD"/>
              <w:right w:val="nil"/>
            </w:tcBorders>
            <w:shd w:val="clear" w:color="auto" w:fill="auto"/>
            <w:vAlign w:val="center"/>
            <w:hideMark/>
          </w:tcPr>
          <w:p w14:paraId="3122637F" w14:textId="4D3DB7F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1 058 893</w:t>
            </w:r>
          </w:p>
        </w:tc>
      </w:tr>
      <w:tr w:rsidR="00CA023B" w:rsidRPr="00C374BD" w14:paraId="15F09EC6"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02B17E1D"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II.</w:t>
            </w:r>
          </w:p>
        </w:tc>
        <w:tc>
          <w:tcPr>
            <w:tcW w:w="0" w:type="auto"/>
            <w:tcBorders>
              <w:top w:val="nil"/>
              <w:left w:val="nil"/>
              <w:bottom w:val="single" w:sz="8" w:space="0" w:color="0077BD"/>
              <w:right w:val="single" w:sz="8" w:space="0" w:color="0077BD"/>
            </w:tcBorders>
            <w:shd w:val="clear" w:color="auto" w:fill="auto"/>
            <w:vAlign w:val="center"/>
            <w:hideMark/>
          </w:tcPr>
          <w:p w14:paraId="6E3FC233"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Przychody z tytułu opłat i prowizji</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1F0A0A0E" w14:textId="1DA4187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1 704 642</w:t>
            </w:r>
          </w:p>
        </w:tc>
        <w:tc>
          <w:tcPr>
            <w:tcW w:w="0" w:type="auto"/>
            <w:tcBorders>
              <w:top w:val="nil"/>
              <w:left w:val="nil"/>
              <w:bottom w:val="single" w:sz="8" w:space="0" w:color="0077BD"/>
              <w:right w:val="single" w:sz="8" w:space="0" w:color="0077BD"/>
            </w:tcBorders>
            <w:shd w:val="clear" w:color="auto" w:fill="auto"/>
            <w:vAlign w:val="center"/>
            <w:hideMark/>
          </w:tcPr>
          <w:p w14:paraId="5F30784D" w14:textId="7F131EAB"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1 630 341</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61840B2C" w14:textId="79C7A75C"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396 262</w:t>
            </w:r>
          </w:p>
        </w:tc>
        <w:tc>
          <w:tcPr>
            <w:tcW w:w="0" w:type="auto"/>
            <w:tcBorders>
              <w:top w:val="single" w:sz="4" w:space="0" w:color="FFFFFF"/>
              <w:left w:val="nil"/>
              <w:bottom w:val="single" w:sz="8" w:space="0" w:color="0077BD"/>
              <w:right w:val="nil"/>
            </w:tcBorders>
            <w:shd w:val="clear" w:color="auto" w:fill="auto"/>
            <w:vAlign w:val="center"/>
            <w:hideMark/>
          </w:tcPr>
          <w:p w14:paraId="21AD71BA" w14:textId="0B38CA7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382 090</w:t>
            </w:r>
          </w:p>
        </w:tc>
      </w:tr>
      <w:tr w:rsidR="00CA023B" w:rsidRPr="00C374BD" w14:paraId="6178FEFE"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4B07E03B"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III.</w:t>
            </w:r>
          </w:p>
        </w:tc>
        <w:tc>
          <w:tcPr>
            <w:tcW w:w="0" w:type="auto"/>
            <w:tcBorders>
              <w:top w:val="nil"/>
              <w:left w:val="nil"/>
              <w:bottom w:val="single" w:sz="8" w:space="0" w:color="0077BD"/>
              <w:right w:val="single" w:sz="8" w:space="0" w:color="0077BD"/>
            </w:tcBorders>
            <w:shd w:val="clear" w:color="auto" w:fill="auto"/>
            <w:vAlign w:val="center"/>
            <w:hideMark/>
          </w:tcPr>
          <w:p w14:paraId="08320A28"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Wynik na działalności handlowej</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02BC6864" w14:textId="21843AE9"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440 530</w:t>
            </w:r>
          </w:p>
        </w:tc>
        <w:tc>
          <w:tcPr>
            <w:tcW w:w="0" w:type="auto"/>
            <w:tcBorders>
              <w:top w:val="nil"/>
              <w:left w:val="nil"/>
              <w:bottom w:val="single" w:sz="8" w:space="0" w:color="0077BD"/>
              <w:right w:val="single" w:sz="8" w:space="0" w:color="0077BD"/>
            </w:tcBorders>
            <w:shd w:val="clear" w:color="auto" w:fill="auto"/>
            <w:vAlign w:val="center"/>
            <w:hideMark/>
          </w:tcPr>
          <w:p w14:paraId="10FD7F3A" w14:textId="46D6747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347 336</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68067EB4" w14:textId="2FBC1349"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102 406</w:t>
            </w:r>
          </w:p>
        </w:tc>
        <w:tc>
          <w:tcPr>
            <w:tcW w:w="0" w:type="auto"/>
            <w:tcBorders>
              <w:top w:val="single" w:sz="4" w:space="0" w:color="FFFFFF"/>
              <w:left w:val="nil"/>
              <w:bottom w:val="single" w:sz="8" w:space="0" w:color="0077BD"/>
              <w:right w:val="nil"/>
            </w:tcBorders>
            <w:shd w:val="clear" w:color="auto" w:fill="auto"/>
            <w:vAlign w:val="center"/>
            <w:hideMark/>
          </w:tcPr>
          <w:p w14:paraId="5C37BDCB" w14:textId="7B75B33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81 402</w:t>
            </w:r>
          </w:p>
        </w:tc>
      </w:tr>
      <w:tr w:rsidR="00CA023B" w:rsidRPr="00C374BD" w14:paraId="35314813"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79DB45D7"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IV.</w:t>
            </w:r>
          </w:p>
        </w:tc>
        <w:tc>
          <w:tcPr>
            <w:tcW w:w="0" w:type="auto"/>
            <w:tcBorders>
              <w:top w:val="nil"/>
              <w:left w:val="nil"/>
              <w:bottom w:val="single" w:sz="8" w:space="0" w:color="0077BD"/>
              <w:right w:val="single" w:sz="8" w:space="0" w:color="0077BD"/>
            </w:tcBorders>
            <w:shd w:val="clear" w:color="auto" w:fill="auto"/>
            <w:vAlign w:val="center"/>
            <w:hideMark/>
          </w:tcPr>
          <w:p w14:paraId="6C1334B3"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Wynik na działalności operacyjnej</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37D9B0F0" w14:textId="761DA108"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2 013 703</w:t>
            </w:r>
          </w:p>
        </w:tc>
        <w:tc>
          <w:tcPr>
            <w:tcW w:w="0" w:type="auto"/>
            <w:tcBorders>
              <w:top w:val="nil"/>
              <w:left w:val="nil"/>
              <w:bottom w:val="single" w:sz="8" w:space="0" w:color="0077BD"/>
              <w:right w:val="single" w:sz="8" w:space="0" w:color="0077BD"/>
            </w:tcBorders>
            <w:shd w:val="clear" w:color="auto" w:fill="auto"/>
            <w:vAlign w:val="center"/>
            <w:hideMark/>
          </w:tcPr>
          <w:p w14:paraId="3565AF0B" w14:textId="4542870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2 200 834</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18F91A41" w14:textId="65959807"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468 107</w:t>
            </w:r>
          </w:p>
        </w:tc>
        <w:tc>
          <w:tcPr>
            <w:tcW w:w="0" w:type="auto"/>
            <w:tcBorders>
              <w:top w:val="single" w:sz="4" w:space="0" w:color="FFFFFF"/>
              <w:left w:val="nil"/>
              <w:bottom w:val="single" w:sz="8" w:space="0" w:color="0077BD"/>
              <w:right w:val="nil"/>
            </w:tcBorders>
            <w:shd w:val="clear" w:color="auto" w:fill="auto"/>
            <w:vAlign w:val="center"/>
            <w:hideMark/>
          </w:tcPr>
          <w:p w14:paraId="2771009D" w14:textId="1C48B825"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515 792</w:t>
            </w:r>
          </w:p>
        </w:tc>
      </w:tr>
      <w:tr w:rsidR="00CA023B" w:rsidRPr="00C374BD" w14:paraId="369DAA62"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3EA6CDDB"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V.</w:t>
            </w:r>
          </w:p>
        </w:tc>
        <w:tc>
          <w:tcPr>
            <w:tcW w:w="0" w:type="auto"/>
            <w:tcBorders>
              <w:top w:val="nil"/>
              <w:left w:val="nil"/>
              <w:bottom w:val="single" w:sz="8" w:space="0" w:color="0077BD"/>
              <w:right w:val="single" w:sz="8" w:space="0" w:color="0077BD"/>
            </w:tcBorders>
            <w:shd w:val="clear" w:color="auto" w:fill="auto"/>
            <w:vAlign w:val="center"/>
            <w:hideMark/>
          </w:tcPr>
          <w:p w14:paraId="203412F1"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 xml:space="preserve">Zysk brutto </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08C76CDD" w14:textId="555F0B3D"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1 555 045</w:t>
            </w:r>
          </w:p>
        </w:tc>
        <w:tc>
          <w:tcPr>
            <w:tcW w:w="0" w:type="auto"/>
            <w:tcBorders>
              <w:top w:val="nil"/>
              <w:left w:val="nil"/>
              <w:bottom w:val="single" w:sz="8" w:space="0" w:color="0077BD"/>
              <w:right w:val="single" w:sz="8" w:space="0" w:color="0077BD"/>
            </w:tcBorders>
            <w:shd w:val="clear" w:color="auto" w:fill="auto"/>
            <w:vAlign w:val="center"/>
            <w:hideMark/>
          </w:tcPr>
          <w:p w14:paraId="65A80E6F" w14:textId="1CDEA1CA"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1 786 649</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7B3EA258" w14:textId="00AAF174"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361 487</w:t>
            </w:r>
          </w:p>
        </w:tc>
        <w:tc>
          <w:tcPr>
            <w:tcW w:w="0" w:type="auto"/>
            <w:tcBorders>
              <w:top w:val="single" w:sz="4" w:space="0" w:color="FFFFFF"/>
              <w:left w:val="nil"/>
              <w:bottom w:val="single" w:sz="8" w:space="0" w:color="0077BD"/>
              <w:right w:val="nil"/>
            </w:tcBorders>
            <w:shd w:val="clear" w:color="auto" w:fill="auto"/>
            <w:vAlign w:val="center"/>
            <w:hideMark/>
          </w:tcPr>
          <w:p w14:paraId="2CE70AFF" w14:textId="737FCE2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418 723</w:t>
            </w:r>
          </w:p>
        </w:tc>
      </w:tr>
      <w:tr w:rsidR="00CA023B" w:rsidRPr="00C374BD" w14:paraId="1B5683CC"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599E51F5"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VI.</w:t>
            </w:r>
          </w:p>
        </w:tc>
        <w:tc>
          <w:tcPr>
            <w:tcW w:w="0" w:type="auto"/>
            <w:tcBorders>
              <w:top w:val="nil"/>
              <w:left w:val="nil"/>
              <w:bottom w:val="single" w:sz="8" w:space="0" w:color="0077BD"/>
              <w:right w:val="single" w:sz="8" w:space="0" w:color="0077BD"/>
            </w:tcBorders>
            <w:shd w:val="clear" w:color="auto" w:fill="auto"/>
            <w:vAlign w:val="center"/>
            <w:hideMark/>
          </w:tcPr>
          <w:p w14:paraId="29BB1479"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Zysk netto przypadający na akcjonariuszy mBanku S.A.</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090D3216" w14:textId="728793EC"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1 010 350</w:t>
            </w:r>
          </w:p>
        </w:tc>
        <w:tc>
          <w:tcPr>
            <w:tcW w:w="0" w:type="auto"/>
            <w:tcBorders>
              <w:top w:val="nil"/>
              <w:left w:val="nil"/>
              <w:bottom w:val="single" w:sz="8" w:space="0" w:color="0077BD"/>
              <w:right w:val="single" w:sz="8" w:space="0" w:color="0077BD"/>
            </w:tcBorders>
            <w:shd w:val="clear" w:color="auto" w:fill="auto"/>
            <w:vAlign w:val="center"/>
            <w:hideMark/>
          </w:tcPr>
          <w:p w14:paraId="5A473E72" w14:textId="56C14897"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1 302 786</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7A338E0D" w14:textId="463DD3BD"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234 867</w:t>
            </w:r>
          </w:p>
        </w:tc>
        <w:tc>
          <w:tcPr>
            <w:tcW w:w="0" w:type="auto"/>
            <w:tcBorders>
              <w:top w:val="single" w:sz="4" w:space="0" w:color="FFFFFF"/>
              <w:left w:val="nil"/>
              <w:bottom w:val="single" w:sz="8" w:space="0" w:color="0077BD"/>
              <w:right w:val="nil"/>
            </w:tcBorders>
            <w:shd w:val="clear" w:color="auto" w:fill="auto"/>
            <w:vAlign w:val="center"/>
            <w:hideMark/>
          </w:tcPr>
          <w:p w14:paraId="26DD857B" w14:textId="4B90227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305 324</w:t>
            </w:r>
          </w:p>
        </w:tc>
      </w:tr>
      <w:tr w:rsidR="00CA023B" w:rsidRPr="00C374BD" w14:paraId="0941DC1B"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610AE0DB"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VII.</w:t>
            </w:r>
          </w:p>
        </w:tc>
        <w:tc>
          <w:tcPr>
            <w:tcW w:w="0" w:type="auto"/>
            <w:tcBorders>
              <w:top w:val="nil"/>
              <w:left w:val="nil"/>
              <w:bottom w:val="single" w:sz="8" w:space="0" w:color="0077BD"/>
              <w:right w:val="single" w:sz="8" w:space="0" w:color="0077BD"/>
            </w:tcBorders>
            <w:shd w:val="clear" w:color="auto" w:fill="auto"/>
            <w:vAlign w:val="center"/>
            <w:hideMark/>
          </w:tcPr>
          <w:p w14:paraId="796110CA"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Zysk netto przypadający na udziały niekontrolujące</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1BCE106B" w14:textId="16B74252"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(98)</w:t>
            </w:r>
          </w:p>
        </w:tc>
        <w:tc>
          <w:tcPr>
            <w:tcW w:w="0" w:type="auto"/>
            <w:tcBorders>
              <w:top w:val="nil"/>
              <w:left w:val="nil"/>
              <w:bottom w:val="single" w:sz="8" w:space="0" w:color="0077BD"/>
              <w:right w:val="single" w:sz="8" w:space="0" w:color="0077BD"/>
            </w:tcBorders>
            <w:shd w:val="clear" w:color="auto" w:fill="auto"/>
            <w:vAlign w:val="center"/>
            <w:hideMark/>
          </w:tcPr>
          <w:p w14:paraId="4B58963D" w14:textId="085B7D1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(82)</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208872EF" w14:textId="6056D055"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(23)</w:t>
            </w:r>
          </w:p>
        </w:tc>
        <w:tc>
          <w:tcPr>
            <w:tcW w:w="0" w:type="auto"/>
            <w:tcBorders>
              <w:top w:val="single" w:sz="4" w:space="0" w:color="FFFFFF"/>
              <w:left w:val="nil"/>
              <w:bottom w:val="single" w:sz="8" w:space="0" w:color="0077BD"/>
              <w:right w:val="nil"/>
            </w:tcBorders>
            <w:shd w:val="clear" w:color="auto" w:fill="auto"/>
            <w:vAlign w:val="center"/>
            <w:hideMark/>
          </w:tcPr>
          <w:p w14:paraId="2DAE0D52" w14:textId="2E0654C6"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(19)</w:t>
            </w:r>
          </w:p>
        </w:tc>
      </w:tr>
      <w:tr w:rsidR="00CA023B" w:rsidRPr="00C374BD" w14:paraId="7ECB8B5A"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3EA5BF11"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VIII.</w:t>
            </w:r>
          </w:p>
        </w:tc>
        <w:tc>
          <w:tcPr>
            <w:tcW w:w="0" w:type="auto"/>
            <w:tcBorders>
              <w:top w:val="nil"/>
              <w:left w:val="nil"/>
              <w:bottom w:val="single" w:sz="8" w:space="0" w:color="0077BD"/>
              <w:right w:val="single" w:sz="8" w:space="0" w:color="0077BD"/>
            </w:tcBorders>
            <w:shd w:val="clear" w:color="auto" w:fill="auto"/>
            <w:vAlign w:val="center"/>
            <w:hideMark/>
          </w:tcPr>
          <w:p w14:paraId="779FBF0C"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Przepływy pieniężne netto z działalności operacyjnej</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46712153" w14:textId="4034CBD5"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1 129 056</w:t>
            </w:r>
          </w:p>
        </w:tc>
        <w:tc>
          <w:tcPr>
            <w:tcW w:w="0" w:type="auto"/>
            <w:tcBorders>
              <w:top w:val="nil"/>
              <w:left w:val="nil"/>
              <w:bottom w:val="single" w:sz="8" w:space="0" w:color="0077BD"/>
              <w:right w:val="single" w:sz="8" w:space="0" w:color="0077BD"/>
            </w:tcBorders>
            <w:shd w:val="clear" w:color="auto" w:fill="auto"/>
            <w:vAlign w:val="center"/>
            <w:hideMark/>
          </w:tcPr>
          <w:p w14:paraId="7D1851A1" w14:textId="752609D4"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1 132 740</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29007D95" w14:textId="62BA7EE3"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262 461</w:t>
            </w:r>
          </w:p>
        </w:tc>
        <w:tc>
          <w:tcPr>
            <w:tcW w:w="0" w:type="auto"/>
            <w:tcBorders>
              <w:top w:val="single" w:sz="4" w:space="0" w:color="FFFFFF"/>
              <w:left w:val="nil"/>
              <w:bottom w:val="single" w:sz="8" w:space="0" w:color="0077BD"/>
              <w:right w:val="nil"/>
            </w:tcBorders>
            <w:shd w:val="clear" w:color="auto" w:fill="auto"/>
            <w:vAlign w:val="center"/>
            <w:hideMark/>
          </w:tcPr>
          <w:p w14:paraId="12DE8CC8" w14:textId="27CD9BC2"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265 471</w:t>
            </w:r>
          </w:p>
        </w:tc>
      </w:tr>
      <w:tr w:rsidR="00CA023B" w:rsidRPr="00C374BD" w14:paraId="76AD24CB"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61ADEC76"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IX.</w:t>
            </w:r>
          </w:p>
        </w:tc>
        <w:tc>
          <w:tcPr>
            <w:tcW w:w="0" w:type="auto"/>
            <w:tcBorders>
              <w:top w:val="nil"/>
              <w:left w:val="nil"/>
              <w:bottom w:val="single" w:sz="8" w:space="0" w:color="0077BD"/>
              <w:right w:val="single" w:sz="8" w:space="0" w:color="0077BD"/>
            </w:tcBorders>
            <w:shd w:val="clear" w:color="auto" w:fill="auto"/>
            <w:vAlign w:val="center"/>
            <w:hideMark/>
          </w:tcPr>
          <w:p w14:paraId="685552F1"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Przepływy pieniężne netto z działalności inwestycyjnej</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2C5BCCDB" w14:textId="5E84FA49"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(449 578)</w:t>
            </w:r>
          </w:p>
        </w:tc>
        <w:tc>
          <w:tcPr>
            <w:tcW w:w="0" w:type="auto"/>
            <w:tcBorders>
              <w:top w:val="nil"/>
              <w:left w:val="nil"/>
              <w:bottom w:val="single" w:sz="8" w:space="0" w:color="0077BD"/>
              <w:right w:val="single" w:sz="8" w:space="0" w:color="0077BD"/>
            </w:tcBorders>
            <w:shd w:val="clear" w:color="auto" w:fill="auto"/>
            <w:vAlign w:val="center"/>
            <w:hideMark/>
          </w:tcPr>
          <w:p w14:paraId="58CEB736" w14:textId="63B26739"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41 757</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0D5781AA" w14:textId="7569D931"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(104 509)</w:t>
            </w:r>
          </w:p>
        </w:tc>
        <w:tc>
          <w:tcPr>
            <w:tcW w:w="0" w:type="auto"/>
            <w:tcBorders>
              <w:top w:val="single" w:sz="4" w:space="0" w:color="FFFFFF"/>
              <w:left w:val="nil"/>
              <w:bottom w:val="single" w:sz="8" w:space="0" w:color="0077BD"/>
              <w:right w:val="nil"/>
            </w:tcBorders>
            <w:shd w:val="clear" w:color="auto" w:fill="auto"/>
            <w:vAlign w:val="center"/>
            <w:hideMark/>
          </w:tcPr>
          <w:p w14:paraId="71161193" w14:textId="313C036C"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9 786</w:t>
            </w:r>
          </w:p>
        </w:tc>
      </w:tr>
      <w:tr w:rsidR="00CA023B" w:rsidRPr="00C374BD" w14:paraId="1AFCE6A0"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6B696B44"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X.</w:t>
            </w:r>
          </w:p>
        </w:tc>
        <w:tc>
          <w:tcPr>
            <w:tcW w:w="0" w:type="auto"/>
            <w:tcBorders>
              <w:top w:val="nil"/>
              <w:left w:val="nil"/>
              <w:bottom w:val="single" w:sz="8" w:space="0" w:color="0077BD"/>
              <w:right w:val="single" w:sz="8" w:space="0" w:color="0077BD"/>
            </w:tcBorders>
            <w:shd w:val="clear" w:color="auto" w:fill="auto"/>
            <w:vAlign w:val="center"/>
            <w:hideMark/>
          </w:tcPr>
          <w:p w14:paraId="464502B8"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Przepływy pieniężne netto z działalności finansowej</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60861FCA" w14:textId="74676BAE"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(1 691 110)</w:t>
            </w:r>
          </w:p>
        </w:tc>
        <w:tc>
          <w:tcPr>
            <w:tcW w:w="0" w:type="auto"/>
            <w:tcBorders>
              <w:top w:val="nil"/>
              <w:left w:val="nil"/>
              <w:bottom w:val="single" w:sz="8" w:space="0" w:color="0077BD"/>
              <w:right w:val="single" w:sz="8" w:space="0" w:color="0077BD"/>
            </w:tcBorders>
            <w:shd w:val="clear" w:color="auto" w:fill="auto"/>
            <w:vAlign w:val="center"/>
            <w:hideMark/>
          </w:tcPr>
          <w:p w14:paraId="147E6526" w14:textId="56618023"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(388 784)</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4FFB1156" w14:textId="70211C6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(393 117)</w:t>
            </w:r>
          </w:p>
        </w:tc>
        <w:tc>
          <w:tcPr>
            <w:tcW w:w="0" w:type="auto"/>
            <w:tcBorders>
              <w:top w:val="single" w:sz="4" w:space="0" w:color="FFFFFF"/>
              <w:left w:val="nil"/>
              <w:bottom w:val="single" w:sz="8" w:space="0" w:color="0077BD"/>
              <w:right w:val="nil"/>
            </w:tcBorders>
            <w:shd w:val="clear" w:color="auto" w:fill="auto"/>
            <w:vAlign w:val="center"/>
            <w:hideMark/>
          </w:tcPr>
          <w:p w14:paraId="6DD4E25C" w14:textId="38DB76F7"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(91 116)</w:t>
            </w:r>
          </w:p>
        </w:tc>
      </w:tr>
      <w:tr w:rsidR="00CA023B" w:rsidRPr="00C374BD" w14:paraId="2A438121"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73283DB2"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XI.</w:t>
            </w:r>
          </w:p>
        </w:tc>
        <w:tc>
          <w:tcPr>
            <w:tcW w:w="0" w:type="auto"/>
            <w:tcBorders>
              <w:top w:val="nil"/>
              <w:left w:val="nil"/>
              <w:bottom w:val="single" w:sz="8" w:space="0" w:color="0077BD"/>
              <w:right w:val="single" w:sz="8" w:space="0" w:color="0077BD"/>
            </w:tcBorders>
            <w:shd w:val="clear" w:color="auto" w:fill="auto"/>
            <w:vAlign w:val="center"/>
            <w:hideMark/>
          </w:tcPr>
          <w:p w14:paraId="69D3D0FE"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Przepływy pieniężne netto, razem</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7E059FDF" w14:textId="17114680"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(1 011 632)</w:t>
            </w:r>
          </w:p>
        </w:tc>
        <w:tc>
          <w:tcPr>
            <w:tcW w:w="0" w:type="auto"/>
            <w:tcBorders>
              <w:top w:val="nil"/>
              <w:left w:val="nil"/>
              <w:bottom w:val="single" w:sz="8" w:space="0" w:color="0077BD"/>
              <w:right w:val="single" w:sz="8" w:space="0" w:color="0077BD"/>
            </w:tcBorders>
            <w:shd w:val="clear" w:color="auto" w:fill="auto"/>
            <w:vAlign w:val="center"/>
            <w:hideMark/>
          </w:tcPr>
          <w:p w14:paraId="38D33B07" w14:textId="48345DF3"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785 713</w:t>
            </w:r>
          </w:p>
        </w:tc>
        <w:tc>
          <w:tcPr>
            <w:tcW w:w="0" w:type="auto"/>
            <w:tcBorders>
              <w:top w:val="single" w:sz="4" w:space="0" w:color="FFFFFF"/>
              <w:left w:val="nil"/>
              <w:bottom w:val="single" w:sz="8" w:space="0" w:color="0077BD"/>
              <w:right w:val="single" w:sz="8" w:space="0" w:color="0077BD"/>
            </w:tcBorders>
            <w:shd w:val="clear" w:color="auto" w:fill="auto"/>
            <w:vAlign w:val="center"/>
            <w:hideMark/>
          </w:tcPr>
          <w:p w14:paraId="1A8C4FB1" w14:textId="090027A2"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(235 165)</w:t>
            </w:r>
          </w:p>
        </w:tc>
        <w:tc>
          <w:tcPr>
            <w:tcW w:w="0" w:type="auto"/>
            <w:tcBorders>
              <w:top w:val="single" w:sz="4" w:space="0" w:color="FFFFFF"/>
              <w:left w:val="nil"/>
              <w:bottom w:val="single" w:sz="8" w:space="0" w:color="0077BD"/>
              <w:right w:val="nil"/>
            </w:tcBorders>
            <w:shd w:val="clear" w:color="auto" w:fill="auto"/>
            <w:vAlign w:val="center"/>
            <w:hideMark/>
          </w:tcPr>
          <w:p w14:paraId="13D9EC1B" w14:textId="3DB8A03A"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184 141</w:t>
            </w:r>
          </w:p>
        </w:tc>
      </w:tr>
      <w:tr w:rsidR="00CA023B" w:rsidRPr="00C374BD" w14:paraId="3BF92C8C"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7ABDA71A"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XII.</w:t>
            </w:r>
          </w:p>
        </w:tc>
        <w:tc>
          <w:tcPr>
            <w:tcW w:w="0" w:type="auto"/>
            <w:tcBorders>
              <w:top w:val="nil"/>
              <w:left w:val="nil"/>
              <w:bottom w:val="single" w:sz="8" w:space="0" w:color="0077BD"/>
              <w:right w:val="single" w:sz="8" w:space="0" w:color="0077BD"/>
            </w:tcBorders>
            <w:shd w:val="clear" w:color="auto" w:fill="auto"/>
            <w:vAlign w:val="center"/>
            <w:hideMark/>
          </w:tcPr>
          <w:p w14:paraId="58C081A9"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Zysk na jedną akcję zwykłą (w zł/EUR)</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6C3B1BEA" w14:textId="4A0D0D60"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23,86</w:t>
            </w:r>
          </w:p>
        </w:tc>
        <w:tc>
          <w:tcPr>
            <w:tcW w:w="0" w:type="auto"/>
            <w:tcBorders>
              <w:top w:val="nil"/>
              <w:left w:val="nil"/>
              <w:bottom w:val="single" w:sz="8" w:space="0" w:color="0077BD"/>
              <w:right w:val="single" w:sz="8" w:space="0" w:color="0077BD"/>
            </w:tcBorders>
            <w:shd w:val="clear" w:color="auto" w:fill="auto"/>
            <w:vAlign w:val="center"/>
            <w:hideMark/>
          </w:tcPr>
          <w:p w14:paraId="32AAD2F3" w14:textId="78548495"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30,79</w:t>
            </w:r>
          </w:p>
        </w:tc>
        <w:tc>
          <w:tcPr>
            <w:tcW w:w="0" w:type="auto"/>
            <w:tcBorders>
              <w:top w:val="nil"/>
              <w:left w:val="nil"/>
              <w:bottom w:val="single" w:sz="8" w:space="0" w:color="0077BD"/>
              <w:right w:val="single" w:sz="8" w:space="0" w:color="0077BD"/>
            </w:tcBorders>
            <w:shd w:val="clear" w:color="auto" w:fill="auto"/>
            <w:vAlign w:val="center"/>
            <w:hideMark/>
          </w:tcPr>
          <w:p w14:paraId="5E6B8054" w14:textId="0E56D7BD"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5,55</w:t>
            </w:r>
          </w:p>
        </w:tc>
        <w:tc>
          <w:tcPr>
            <w:tcW w:w="0" w:type="auto"/>
            <w:tcBorders>
              <w:top w:val="single" w:sz="4" w:space="0" w:color="FFFFFF"/>
              <w:left w:val="nil"/>
              <w:bottom w:val="single" w:sz="8" w:space="0" w:color="0077BD"/>
              <w:right w:val="nil"/>
            </w:tcBorders>
            <w:shd w:val="clear" w:color="auto" w:fill="auto"/>
            <w:vAlign w:val="center"/>
            <w:hideMark/>
          </w:tcPr>
          <w:p w14:paraId="5D26FE5D" w14:textId="177DED39" w:rsidR="00CA023B" w:rsidRPr="00592EBC" w:rsidRDefault="00BF76B3" w:rsidP="00CA023B">
            <w:pPr>
              <w:jc w:val="right"/>
              <w:rPr>
                <w:rFonts w:cs="Calibri"/>
                <w:b/>
                <w:bCs/>
                <w:color w:val="000000" w:themeColor="text1"/>
                <w:sz w:val="12"/>
                <w:szCs w:val="12"/>
              </w:rPr>
            </w:pPr>
            <w:r>
              <w:rPr>
                <w:rFonts w:cs="Calibri"/>
                <w:b/>
                <w:bCs/>
                <w:color w:val="000000" w:themeColor="text1"/>
                <w:sz w:val="12"/>
                <w:szCs w:val="12"/>
              </w:rPr>
              <w:t>7,22</w:t>
            </w:r>
          </w:p>
        </w:tc>
      </w:tr>
      <w:tr w:rsidR="00CA023B" w:rsidRPr="00C374BD" w14:paraId="2D19FBBE"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612ECCE0"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XIII.</w:t>
            </w:r>
          </w:p>
        </w:tc>
        <w:tc>
          <w:tcPr>
            <w:tcW w:w="0" w:type="auto"/>
            <w:tcBorders>
              <w:top w:val="nil"/>
              <w:left w:val="nil"/>
              <w:bottom w:val="single" w:sz="8" w:space="0" w:color="0077BD"/>
              <w:right w:val="single" w:sz="8" w:space="0" w:color="0077BD"/>
            </w:tcBorders>
            <w:shd w:val="clear" w:color="auto" w:fill="auto"/>
            <w:vAlign w:val="center"/>
            <w:hideMark/>
          </w:tcPr>
          <w:p w14:paraId="5B769B4B"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 xml:space="preserve">Rozwodniony zysk na jedną akcję zwykłą (w zł/EUR) </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703077FE" w14:textId="75A44703"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23,85</w:t>
            </w:r>
          </w:p>
        </w:tc>
        <w:tc>
          <w:tcPr>
            <w:tcW w:w="0" w:type="auto"/>
            <w:tcBorders>
              <w:top w:val="nil"/>
              <w:left w:val="nil"/>
              <w:bottom w:val="single" w:sz="8" w:space="0" w:color="0077BD"/>
              <w:right w:val="single" w:sz="8" w:space="0" w:color="0077BD"/>
            </w:tcBorders>
            <w:shd w:val="clear" w:color="auto" w:fill="auto"/>
            <w:vAlign w:val="center"/>
            <w:hideMark/>
          </w:tcPr>
          <w:p w14:paraId="0E782CC2" w14:textId="0E4B2B5F"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30,77</w:t>
            </w:r>
          </w:p>
        </w:tc>
        <w:tc>
          <w:tcPr>
            <w:tcW w:w="0" w:type="auto"/>
            <w:tcBorders>
              <w:top w:val="nil"/>
              <w:left w:val="nil"/>
              <w:bottom w:val="single" w:sz="8" w:space="0" w:color="0077BD"/>
              <w:right w:val="single" w:sz="8" w:space="0" w:color="0077BD"/>
            </w:tcBorders>
            <w:shd w:val="clear" w:color="auto" w:fill="auto"/>
            <w:vAlign w:val="center"/>
            <w:hideMark/>
          </w:tcPr>
          <w:p w14:paraId="3359CE17" w14:textId="41EB5E0E"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5,54</w:t>
            </w:r>
          </w:p>
        </w:tc>
        <w:tc>
          <w:tcPr>
            <w:tcW w:w="0" w:type="auto"/>
            <w:tcBorders>
              <w:top w:val="single" w:sz="4" w:space="0" w:color="FFFFFF"/>
              <w:left w:val="nil"/>
              <w:bottom w:val="single" w:sz="8" w:space="0" w:color="0077BD"/>
              <w:right w:val="nil"/>
            </w:tcBorders>
            <w:shd w:val="clear" w:color="auto" w:fill="auto"/>
            <w:vAlign w:val="center"/>
            <w:hideMark/>
          </w:tcPr>
          <w:p w14:paraId="17442A5D" w14:textId="4E69DD08"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7,21</w:t>
            </w:r>
          </w:p>
        </w:tc>
      </w:tr>
      <w:tr w:rsidR="00CA023B" w:rsidRPr="00C374BD" w14:paraId="5DAE4DD5" w14:textId="77777777" w:rsidTr="00E332DC">
        <w:trPr>
          <w:trHeight w:val="284"/>
        </w:trPr>
        <w:tc>
          <w:tcPr>
            <w:tcW w:w="0" w:type="auto"/>
            <w:tcBorders>
              <w:top w:val="nil"/>
              <w:left w:val="nil"/>
              <w:bottom w:val="single" w:sz="8" w:space="0" w:color="0077BD"/>
              <w:right w:val="nil"/>
            </w:tcBorders>
            <w:shd w:val="clear" w:color="auto" w:fill="auto"/>
            <w:noWrap/>
            <w:vAlign w:val="center"/>
            <w:hideMark/>
          </w:tcPr>
          <w:p w14:paraId="58DB6636" w14:textId="77777777" w:rsidR="00CA023B" w:rsidRPr="00592EBC" w:rsidRDefault="00CA023B" w:rsidP="00CA023B">
            <w:pPr>
              <w:jc w:val="center"/>
              <w:rPr>
                <w:rFonts w:cs="Calibri"/>
                <w:color w:val="000000" w:themeColor="text1"/>
                <w:sz w:val="12"/>
                <w:szCs w:val="12"/>
              </w:rPr>
            </w:pPr>
            <w:r w:rsidRPr="00592EBC">
              <w:rPr>
                <w:rFonts w:cs="Calibri"/>
                <w:color w:val="000000" w:themeColor="text1"/>
                <w:sz w:val="12"/>
                <w:szCs w:val="12"/>
              </w:rPr>
              <w:t>XIV.</w:t>
            </w:r>
          </w:p>
        </w:tc>
        <w:tc>
          <w:tcPr>
            <w:tcW w:w="0" w:type="auto"/>
            <w:tcBorders>
              <w:top w:val="nil"/>
              <w:left w:val="nil"/>
              <w:bottom w:val="single" w:sz="8" w:space="0" w:color="0077BD"/>
              <w:right w:val="single" w:sz="8" w:space="0" w:color="0077BD"/>
            </w:tcBorders>
            <w:shd w:val="clear" w:color="auto" w:fill="auto"/>
            <w:vAlign w:val="center"/>
            <w:hideMark/>
          </w:tcPr>
          <w:p w14:paraId="73ED1CAD" w14:textId="77777777" w:rsidR="00CA023B" w:rsidRPr="00592EBC" w:rsidRDefault="00CA023B" w:rsidP="00CA023B">
            <w:pPr>
              <w:rPr>
                <w:rFonts w:cs="Calibri"/>
                <w:color w:val="000000" w:themeColor="text1"/>
                <w:sz w:val="12"/>
                <w:szCs w:val="12"/>
              </w:rPr>
            </w:pPr>
            <w:r w:rsidRPr="00592EBC">
              <w:rPr>
                <w:rFonts w:cs="Calibri"/>
                <w:color w:val="000000" w:themeColor="text1"/>
                <w:sz w:val="12"/>
                <w:szCs w:val="12"/>
              </w:rPr>
              <w:t>Zadeklarowana lub wypłacona dywidenda na jedną akcję (w zł/EUR)</w:t>
            </w:r>
          </w:p>
        </w:tc>
        <w:tc>
          <w:tcPr>
            <w:tcW w:w="0" w:type="auto"/>
            <w:tcBorders>
              <w:top w:val="nil"/>
              <w:left w:val="single" w:sz="8" w:space="0" w:color="0077BD"/>
              <w:bottom w:val="single" w:sz="8" w:space="0" w:color="0077BD"/>
              <w:right w:val="single" w:sz="8" w:space="0" w:color="0077BD"/>
            </w:tcBorders>
            <w:shd w:val="clear" w:color="auto" w:fill="auto"/>
            <w:vAlign w:val="center"/>
            <w:hideMark/>
          </w:tcPr>
          <w:p w14:paraId="6A720ABD" w14:textId="1F64E84E"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w:t>
            </w:r>
          </w:p>
        </w:tc>
        <w:tc>
          <w:tcPr>
            <w:tcW w:w="0" w:type="auto"/>
            <w:tcBorders>
              <w:top w:val="nil"/>
              <w:left w:val="nil"/>
              <w:bottom w:val="single" w:sz="8" w:space="0" w:color="0077BD"/>
              <w:right w:val="single" w:sz="8" w:space="0" w:color="0077BD"/>
            </w:tcBorders>
            <w:shd w:val="clear" w:color="auto" w:fill="auto"/>
            <w:vAlign w:val="center"/>
            <w:hideMark/>
          </w:tcPr>
          <w:p w14:paraId="3412D219" w14:textId="51E83D74"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5,15</w:t>
            </w:r>
          </w:p>
        </w:tc>
        <w:tc>
          <w:tcPr>
            <w:tcW w:w="0" w:type="auto"/>
            <w:tcBorders>
              <w:top w:val="nil"/>
              <w:left w:val="nil"/>
              <w:bottom w:val="single" w:sz="8" w:space="0" w:color="0077BD"/>
              <w:right w:val="single" w:sz="8" w:space="0" w:color="0077BD"/>
            </w:tcBorders>
            <w:shd w:val="clear" w:color="auto" w:fill="auto"/>
            <w:vAlign w:val="center"/>
            <w:hideMark/>
          </w:tcPr>
          <w:p w14:paraId="5112CFF7" w14:textId="3BBDA6EC"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w:t>
            </w:r>
          </w:p>
        </w:tc>
        <w:tc>
          <w:tcPr>
            <w:tcW w:w="0" w:type="auto"/>
            <w:tcBorders>
              <w:top w:val="single" w:sz="4" w:space="0" w:color="FFFFFF"/>
              <w:left w:val="nil"/>
              <w:bottom w:val="single" w:sz="8" w:space="0" w:color="0077BD"/>
              <w:right w:val="nil"/>
            </w:tcBorders>
            <w:shd w:val="clear" w:color="auto" w:fill="auto"/>
            <w:vAlign w:val="center"/>
            <w:hideMark/>
          </w:tcPr>
          <w:p w14:paraId="59C10A20" w14:textId="6809F84C" w:rsidR="00CA023B" w:rsidRPr="00592EBC" w:rsidRDefault="00CA023B" w:rsidP="00CA023B">
            <w:pPr>
              <w:jc w:val="right"/>
              <w:rPr>
                <w:rFonts w:cs="Calibri"/>
                <w:b/>
                <w:bCs/>
                <w:color w:val="000000" w:themeColor="text1"/>
                <w:sz w:val="12"/>
                <w:szCs w:val="12"/>
              </w:rPr>
            </w:pPr>
            <w:r w:rsidRPr="00592EBC">
              <w:rPr>
                <w:rFonts w:cs="Calibri"/>
                <w:b/>
                <w:bCs/>
                <w:color w:val="000000" w:themeColor="text1"/>
                <w:sz w:val="12"/>
                <w:szCs w:val="12"/>
              </w:rPr>
              <w:t>1,21</w:t>
            </w:r>
          </w:p>
        </w:tc>
      </w:tr>
    </w:tbl>
    <w:p w14:paraId="4CDE4768" w14:textId="72668306" w:rsidR="00AB2629" w:rsidRPr="00935B3E" w:rsidRDefault="00AB2629" w:rsidP="00A82642">
      <w:pPr>
        <w:jc w:val="both"/>
        <w:rPr>
          <w:sz w:val="18"/>
          <w:szCs w:val="18"/>
        </w:rPr>
      </w:pPr>
    </w:p>
    <w:tbl>
      <w:tblPr>
        <w:tblW w:w="0" w:type="auto"/>
        <w:tblCellMar>
          <w:left w:w="28" w:type="dxa"/>
          <w:right w:w="28" w:type="dxa"/>
        </w:tblCellMar>
        <w:tblLook w:val="04A0" w:firstRow="1" w:lastRow="0" w:firstColumn="1" w:lastColumn="0" w:noHBand="0" w:noVBand="1"/>
      </w:tblPr>
      <w:tblGrid>
        <w:gridCol w:w="334"/>
        <w:gridCol w:w="4202"/>
        <w:gridCol w:w="1134"/>
        <w:gridCol w:w="1276"/>
        <w:gridCol w:w="1134"/>
        <w:gridCol w:w="1276"/>
      </w:tblGrid>
      <w:tr w:rsidR="00B52BF0" w:rsidRPr="00B52BF0" w14:paraId="1D308D63" w14:textId="77777777" w:rsidTr="00EC1B31">
        <w:trPr>
          <w:trHeight w:val="284"/>
        </w:trPr>
        <w:tc>
          <w:tcPr>
            <w:tcW w:w="4536" w:type="dxa"/>
            <w:gridSpan w:val="2"/>
            <w:vMerge w:val="restart"/>
            <w:tcBorders>
              <w:top w:val="single" w:sz="4" w:space="0" w:color="FFFFFF"/>
              <w:left w:val="nil"/>
              <w:right w:val="single" w:sz="8" w:space="0" w:color="FFFFFF"/>
            </w:tcBorders>
            <w:shd w:val="clear" w:color="000000" w:fill="0077BD"/>
            <w:noWrap/>
            <w:vAlign w:val="center"/>
            <w:hideMark/>
          </w:tcPr>
          <w:p w14:paraId="36E003CC" w14:textId="0EF031EB" w:rsidR="00B52BF0" w:rsidRPr="00B52BF0" w:rsidRDefault="00B52BF0" w:rsidP="00B52BF0">
            <w:pPr>
              <w:rPr>
                <w:rFonts w:cs="Calibri"/>
                <w:b/>
                <w:bCs/>
                <w:color w:val="FFFFFF"/>
                <w:sz w:val="12"/>
                <w:szCs w:val="12"/>
              </w:rPr>
            </w:pPr>
          </w:p>
        </w:tc>
        <w:tc>
          <w:tcPr>
            <w:tcW w:w="2410" w:type="dxa"/>
            <w:gridSpan w:val="2"/>
            <w:tcBorders>
              <w:top w:val="single" w:sz="4" w:space="0" w:color="FFFFFF"/>
              <w:left w:val="single" w:sz="8" w:space="0" w:color="FFFFFF"/>
              <w:bottom w:val="single" w:sz="8" w:space="0" w:color="FFFFFF"/>
              <w:right w:val="single" w:sz="8" w:space="0" w:color="FFFFFF"/>
            </w:tcBorders>
            <w:shd w:val="clear" w:color="000000" w:fill="0077BD"/>
            <w:vAlign w:val="center"/>
            <w:hideMark/>
          </w:tcPr>
          <w:p w14:paraId="2031EA15" w14:textId="4398A8A0" w:rsidR="00B52BF0" w:rsidRPr="00B52BF0" w:rsidRDefault="00B52BF0" w:rsidP="00B52BF0">
            <w:pPr>
              <w:jc w:val="center"/>
              <w:rPr>
                <w:rFonts w:cs="Calibri"/>
                <w:b/>
                <w:bCs/>
                <w:color w:val="FFFFFF"/>
                <w:sz w:val="12"/>
                <w:szCs w:val="12"/>
              </w:rPr>
            </w:pPr>
            <w:r w:rsidRPr="00B52BF0">
              <w:rPr>
                <w:rFonts w:cs="Calibri"/>
                <w:b/>
                <w:bCs/>
                <w:color w:val="FFFFFF"/>
                <w:sz w:val="12"/>
                <w:szCs w:val="12"/>
              </w:rPr>
              <w:t>w tys. zł</w:t>
            </w:r>
          </w:p>
        </w:tc>
        <w:tc>
          <w:tcPr>
            <w:tcW w:w="2410" w:type="dxa"/>
            <w:gridSpan w:val="2"/>
            <w:tcBorders>
              <w:top w:val="single" w:sz="4" w:space="0" w:color="FFFFFF"/>
              <w:left w:val="nil"/>
              <w:bottom w:val="single" w:sz="8" w:space="0" w:color="FFFFFF"/>
            </w:tcBorders>
            <w:shd w:val="clear" w:color="000000" w:fill="0077BD"/>
            <w:vAlign w:val="center"/>
            <w:hideMark/>
          </w:tcPr>
          <w:p w14:paraId="00D8EE09" w14:textId="4D01535D" w:rsidR="00B52BF0" w:rsidRPr="00B52BF0" w:rsidRDefault="00B52BF0" w:rsidP="00B52BF0">
            <w:pPr>
              <w:jc w:val="center"/>
              <w:rPr>
                <w:rFonts w:cs="Calibri"/>
                <w:b/>
                <w:bCs/>
                <w:color w:val="FFFFFF"/>
                <w:sz w:val="12"/>
                <w:szCs w:val="12"/>
              </w:rPr>
            </w:pPr>
            <w:r>
              <w:rPr>
                <w:rFonts w:cs="Calibri"/>
                <w:b/>
                <w:bCs/>
                <w:color w:val="FFFFFF"/>
                <w:sz w:val="12"/>
                <w:szCs w:val="12"/>
              </w:rPr>
              <w:t>w tys. EUR</w:t>
            </w:r>
          </w:p>
        </w:tc>
      </w:tr>
      <w:tr w:rsidR="00B52BF0" w:rsidRPr="00B52BF0" w14:paraId="7A39AC9C" w14:textId="77777777" w:rsidTr="00EC1B31">
        <w:trPr>
          <w:trHeight w:val="284"/>
        </w:trPr>
        <w:tc>
          <w:tcPr>
            <w:tcW w:w="4536" w:type="dxa"/>
            <w:gridSpan w:val="2"/>
            <w:vMerge/>
            <w:tcBorders>
              <w:left w:val="nil"/>
              <w:right w:val="single" w:sz="8" w:space="0" w:color="FFFFFF"/>
            </w:tcBorders>
            <w:vAlign w:val="center"/>
            <w:hideMark/>
          </w:tcPr>
          <w:p w14:paraId="0401FFD1" w14:textId="77777777" w:rsidR="00B52BF0" w:rsidRPr="00B52BF0" w:rsidRDefault="00B52BF0" w:rsidP="00B52BF0">
            <w:pPr>
              <w:rPr>
                <w:rFonts w:cs="Calibri"/>
                <w:b/>
                <w:bCs/>
                <w:color w:val="FFFFFF"/>
                <w:sz w:val="12"/>
                <w:szCs w:val="12"/>
              </w:rPr>
            </w:pPr>
          </w:p>
        </w:tc>
        <w:tc>
          <w:tcPr>
            <w:tcW w:w="2410" w:type="dxa"/>
            <w:gridSpan w:val="2"/>
            <w:tcBorders>
              <w:top w:val="single" w:sz="8" w:space="0" w:color="FFFFFF"/>
              <w:left w:val="single" w:sz="8" w:space="0" w:color="FFFFFF"/>
              <w:bottom w:val="single" w:sz="8" w:space="0" w:color="FFFFFF"/>
              <w:right w:val="single" w:sz="8" w:space="0" w:color="FFFFFF"/>
            </w:tcBorders>
            <w:shd w:val="clear" w:color="000000" w:fill="0077BD"/>
            <w:vAlign w:val="center"/>
            <w:hideMark/>
          </w:tcPr>
          <w:p w14:paraId="5BBFBA4F" w14:textId="77777777" w:rsidR="00B52BF0" w:rsidRPr="00B52BF0" w:rsidRDefault="00B52BF0" w:rsidP="00B52BF0">
            <w:pPr>
              <w:jc w:val="center"/>
              <w:rPr>
                <w:rFonts w:cs="Calibri"/>
                <w:b/>
                <w:bCs/>
                <w:color w:val="FFFFFF"/>
                <w:sz w:val="12"/>
                <w:szCs w:val="12"/>
              </w:rPr>
            </w:pPr>
            <w:r w:rsidRPr="00B52BF0">
              <w:rPr>
                <w:rFonts w:cs="Calibri"/>
                <w:b/>
                <w:bCs/>
                <w:color w:val="FFFFFF"/>
                <w:sz w:val="12"/>
                <w:szCs w:val="12"/>
              </w:rPr>
              <w:t>Stan na dzień</w:t>
            </w:r>
          </w:p>
        </w:tc>
        <w:tc>
          <w:tcPr>
            <w:tcW w:w="2410" w:type="dxa"/>
            <w:gridSpan w:val="2"/>
            <w:tcBorders>
              <w:top w:val="single" w:sz="8" w:space="0" w:color="FFFFFF"/>
              <w:left w:val="nil"/>
              <w:bottom w:val="single" w:sz="8" w:space="0" w:color="FFFFFF"/>
            </w:tcBorders>
            <w:shd w:val="clear" w:color="000000" w:fill="0077BD"/>
            <w:vAlign w:val="center"/>
            <w:hideMark/>
          </w:tcPr>
          <w:p w14:paraId="655B4A2E" w14:textId="77777777" w:rsidR="00B52BF0" w:rsidRPr="00B52BF0" w:rsidRDefault="00B52BF0" w:rsidP="00B52BF0">
            <w:pPr>
              <w:jc w:val="center"/>
              <w:rPr>
                <w:rFonts w:cs="Calibri"/>
                <w:b/>
                <w:bCs/>
                <w:color w:val="FFFFFF"/>
                <w:sz w:val="12"/>
                <w:szCs w:val="12"/>
              </w:rPr>
            </w:pPr>
            <w:r w:rsidRPr="00B52BF0">
              <w:rPr>
                <w:rFonts w:cs="Calibri"/>
                <w:b/>
                <w:bCs/>
                <w:color w:val="FFFFFF"/>
                <w:sz w:val="12"/>
                <w:szCs w:val="12"/>
              </w:rPr>
              <w:t>Stan na dzień</w:t>
            </w:r>
          </w:p>
        </w:tc>
      </w:tr>
      <w:tr w:rsidR="00B52BF0" w:rsidRPr="00B52BF0" w14:paraId="01F7DF81" w14:textId="77777777" w:rsidTr="009D44DA">
        <w:trPr>
          <w:trHeight w:val="340"/>
        </w:trPr>
        <w:tc>
          <w:tcPr>
            <w:tcW w:w="4536" w:type="dxa"/>
            <w:gridSpan w:val="2"/>
            <w:vMerge/>
            <w:tcBorders>
              <w:left w:val="nil"/>
              <w:bottom w:val="single" w:sz="4" w:space="0" w:color="FFFFFF"/>
              <w:right w:val="single" w:sz="8" w:space="0" w:color="FFFFFF"/>
            </w:tcBorders>
            <w:vAlign w:val="center"/>
            <w:hideMark/>
          </w:tcPr>
          <w:p w14:paraId="3D174D0E" w14:textId="77777777" w:rsidR="00B52BF0" w:rsidRPr="00B52BF0" w:rsidRDefault="00B52BF0" w:rsidP="00B52BF0">
            <w:pPr>
              <w:rPr>
                <w:rFonts w:cs="Calibri"/>
                <w:b/>
                <w:bCs/>
                <w:color w:val="FFFFFF"/>
                <w:sz w:val="12"/>
                <w:szCs w:val="12"/>
              </w:rPr>
            </w:pPr>
          </w:p>
        </w:tc>
        <w:tc>
          <w:tcPr>
            <w:tcW w:w="1134" w:type="dxa"/>
            <w:tcBorders>
              <w:top w:val="nil"/>
              <w:left w:val="single" w:sz="8" w:space="0" w:color="FFFFFF"/>
              <w:bottom w:val="single" w:sz="4" w:space="0" w:color="FFFFFF"/>
              <w:right w:val="single" w:sz="8" w:space="0" w:color="FFFFFF"/>
            </w:tcBorders>
            <w:shd w:val="clear" w:color="000000" w:fill="0077BD"/>
            <w:vAlign w:val="center"/>
            <w:hideMark/>
          </w:tcPr>
          <w:p w14:paraId="41F3D6DF" w14:textId="77777777" w:rsidR="00B52BF0" w:rsidRPr="00B52BF0" w:rsidRDefault="00B52BF0" w:rsidP="00B52BF0">
            <w:pPr>
              <w:jc w:val="right"/>
              <w:rPr>
                <w:rFonts w:cs="Calibri"/>
                <w:b/>
                <w:bCs/>
                <w:color w:val="FFFFFF"/>
                <w:sz w:val="12"/>
                <w:szCs w:val="12"/>
              </w:rPr>
            </w:pPr>
            <w:r w:rsidRPr="00B52BF0">
              <w:rPr>
                <w:rFonts w:cs="Calibri"/>
                <w:b/>
                <w:bCs/>
                <w:color w:val="FFFFFF"/>
                <w:sz w:val="12"/>
                <w:szCs w:val="12"/>
              </w:rPr>
              <w:t>31.12.2019</w:t>
            </w:r>
          </w:p>
        </w:tc>
        <w:tc>
          <w:tcPr>
            <w:tcW w:w="1276" w:type="dxa"/>
            <w:tcBorders>
              <w:top w:val="nil"/>
              <w:left w:val="nil"/>
              <w:bottom w:val="single" w:sz="4" w:space="0" w:color="FFFFFF"/>
              <w:right w:val="single" w:sz="8" w:space="0" w:color="FFFFFF"/>
            </w:tcBorders>
            <w:shd w:val="clear" w:color="000000" w:fill="0077BD"/>
            <w:vAlign w:val="center"/>
            <w:hideMark/>
          </w:tcPr>
          <w:p w14:paraId="4286F91C" w14:textId="6847B1FC" w:rsidR="00B52BF0" w:rsidRPr="00B52BF0" w:rsidRDefault="00B52BF0" w:rsidP="00B52BF0">
            <w:pPr>
              <w:jc w:val="right"/>
              <w:rPr>
                <w:rFonts w:cs="Calibri"/>
                <w:b/>
                <w:bCs/>
                <w:color w:val="FFFFFF"/>
                <w:sz w:val="12"/>
                <w:szCs w:val="12"/>
              </w:rPr>
            </w:pPr>
            <w:r w:rsidRPr="00B52BF0">
              <w:rPr>
                <w:rFonts w:cs="Calibri"/>
                <w:b/>
                <w:bCs/>
                <w:color w:val="FFFFFF"/>
                <w:sz w:val="12"/>
                <w:szCs w:val="12"/>
              </w:rPr>
              <w:t>31.12.2018</w:t>
            </w:r>
            <w:r w:rsidR="009D44DA">
              <w:rPr>
                <w:rFonts w:cs="Calibri"/>
                <w:b/>
                <w:bCs/>
                <w:color w:val="FFFFFF"/>
                <w:sz w:val="12"/>
                <w:szCs w:val="12"/>
              </w:rPr>
              <w:br/>
              <w:t>- przekształcone</w:t>
            </w:r>
          </w:p>
        </w:tc>
        <w:tc>
          <w:tcPr>
            <w:tcW w:w="1134" w:type="dxa"/>
            <w:tcBorders>
              <w:top w:val="nil"/>
              <w:left w:val="nil"/>
              <w:bottom w:val="single" w:sz="4" w:space="0" w:color="FFFFFF"/>
              <w:right w:val="single" w:sz="8" w:space="0" w:color="FFFFFF"/>
            </w:tcBorders>
            <w:shd w:val="clear" w:color="000000" w:fill="0077BD"/>
            <w:vAlign w:val="center"/>
            <w:hideMark/>
          </w:tcPr>
          <w:p w14:paraId="4F0F87AE" w14:textId="77777777" w:rsidR="00B52BF0" w:rsidRPr="00B52BF0" w:rsidRDefault="00B52BF0" w:rsidP="00B52BF0">
            <w:pPr>
              <w:jc w:val="right"/>
              <w:rPr>
                <w:rFonts w:cs="Calibri"/>
                <w:b/>
                <w:bCs/>
                <w:color w:val="FFFFFF"/>
                <w:sz w:val="12"/>
                <w:szCs w:val="12"/>
              </w:rPr>
            </w:pPr>
            <w:r w:rsidRPr="00B52BF0">
              <w:rPr>
                <w:rFonts w:cs="Calibri"/>
                <w:b/>
                <w:bCs/>
                <w:color w:val="FFFFFF"/>
                <w:sz w:val="12"/>
                <w:szCs w:val="12"/>
              </w:rPr>
              <w:t>31.12.2019</w:t>
            </w:r>
          </w:p>
        </w:tc>
        <w:tc>
          <w:tcPr>
            <w:tcW w:w="1276" w:type="dxa"/>
            <w:tcBorders>
              <w:top w:val="nil"/>
              <w:left w:val="nil"/>
              <w:bottom w:val="single" w:sz="4" w:space="0" w:color="FFFFFF"/>
              <w:right w:val="nil"/>
            </w:tcBorders>
            <w:shd w:val="clear" w:color="000000" w:fill="0077BD"/>
            <w:vAlign w:val="center"/>
            <w:hideMark/>
          </w:tcPr>
          <w:p w14:paraId="21D4F641" w14:textId="7650902F" w:rsidR="00B52BF0" w:rsidRPr="00B52BF0" w:rsidRDefault="00B52BF0" w:rsidP="00B52BF0">
            <w:pPr>
              <w:jc w:val="right"/>
              <w:rPr>
                <w:rFonts w:cs="Calibri"/>
                <w:b/>
                <w:bCs/>
                <w:color w:val="FFFFFF"/>
                <w:sz w:val="12"/>
                <w:szCs w:val="12"/>
              </w:rPr>
            </w:pPr>
            <w:r w:rsidRPr="00B52BF0">
              <w:rPr>
                <w:rFonts w:cs="Calibri"/>
                <w:b/>
                <w:bCs/>
                <w:color w:val="FFFFFF"/>
                <w:sz w:val="12"/>
                <w:szCs w:val="12"/>
              </w:rPr>
              <w:t>31.12.2018</w:t>
            </w:r>
            <w:r w:rsidR="009D44DA">
              <w:rPr>
                <w:rFonts w:cs="Calibri"/>
                <w:b/>
                <w:bCs/>
                <w:color w:val="FFFFFF"/>
                <w:sz w:val="12"/>
                <w:szCs w:val="12"/>
              </w:rPr>
              <w:br/>
              <w:t>- przekształcone</w:t>
            </w:r>
          </w:p>
        </w:tc>
      </w:tr>
      <w:tr w:rsidR="00E25203" w:rsidRPr="00B52BF0" w14:paraId="5FF777CF"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1D45FAB5"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I.</w:t>
            </w:r>
          </w:p>
        </w:tc>
        <w:tc>
          <w:tcPr>
            <w:tcW w:w="4202" w:type="dxa"/>
            <w:tcBorders>
              <w:top w:val="nil"/>
              <w:left w:val="nil"/>
              <w:bottom w:val="single" w:sz="8" w:space="0" w:color="0077BD"/>
              <w:right w:val="single" w:sz="8" w:space="0" w:color="0077BD"/>
            </w:tcBorders>
            <w:shd w:val="clear" w:color="auto" w:fill="auto"/>
            <w:vAlign w:val="center"/>
            <w:hideMark/>
          </w:tcPr>
          <w:p w14:paraId="20AFB6FE"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Aktywa razem</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100BF276" w14:textId="13B89A66"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158 720 583</w:t>
            </w:r>
          </w:p>
        </w:tc>
        <w:tc>
          <w:tcPr>
            <w:tcW w:w="1276" w:type="dxa"/>
            <w:tcBorders>
              <w:top w:val="single" w:sz="4" w:space="0" w:color="FFFFFF"/>
              <w:left w:val="nil"/>
              <w:bottom w:val="single" w:sz="8" w:space="0" w:color="0077BD"/>
              <w:right w:val="single" w:sz="8" w:space="0" w:color="0077BD"/>
            </w:tcBorders>
            <w:shd w:val="clear" w:color="auto" w:fill="auto"/>
            <w:vAlign w:val="center"/>
            <w:hideMark/>
          </w:tcPr>
          <w:p w14:paraId="35615795" w14:textId="46C6EF8B"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145 780 558</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7269CA3D" w14:textId="42598111"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37 271 477</w:t>
            </w:r>
          </w:p>
        </w:tc>
        <w:tc>
          <w:tcPr>
            <w:tcW w:w="1276" w:type="dxa"/>
            <w:tcBorders>
              <w:top w:val="single" w:sz="4" w:space="0" w:color="FFFFFF"/>
              <w:left w:val="nil"/>
              <w:bottom w:val="single" w:sz="8" w:space="0" w:color="0077BD"/>
              <w:right w:val="nil"/>
            </w:tcBorders>
            <w:shd w:val="clear" w:color="auto" w:fill="auto"/>
            <w:vAlign w:val="center"/>
            <w:hideMark/>
          </w:tcPr>
          <w:p w14:paraId="5F808191" w14:textId="78569796"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33 902 455</w:t>
            </w:r>
          </w:p>
        </w:tc>
      </w:tr>
      <w:tr w:rsidR="00E25203" w:rsidRPr="00B52BF0" w14:paraId="1C68F6C7"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33BC1BC3"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II.</w:t>
            </w:r>
          </w:p>
        </w:tc>
        <w:tc>
          <w:tcPr>
            <w:tcW w:w="4202" w:type="dxa"/>
            <w:tcBorders>
              <w:top w:val="nil"/>
              <w:left w:val="nil"/>
              <w:bottom w:val="single" w:sz="8" w:space="0" w:color="0077BD"/>
              <w:right w:val="single" w:sz="8" w:space="0" w:color="0077BD"/>
            </w:tcBorders>
            <w:shd w:val="clear" w:color="auto" w:fill="auto"/>
            <w:vAlign w:val="center"/>
            <w:hideMark/>
          </w:tcPr>
          <w:p w14:paraId="5281E054"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Zobowiązania wobec banków</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5B87E436" w14:textId="4C22F07B"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1 166 871</w:t>
            </w:r>
          </w:p>
        </w:tc>
        <w:tc>
          <w:tcPr>
            <w:tcW w:w="1276" w:type="dxa"/>
            <w:tcBorders>
              <w:top w:val="nil"/>
              <w:left w:val="nil"/>
              <w:bottom w:val="single" w:sz="8" w:space="0" w:color="0077BD"/>
              <w:right w:val="single" w:sz="8" w:space="0" w:color="0077BD"/>
            </w:tcBorders>
            <w:shd w:val="clear" w:color="auto" w:fill="auto"/>
            <w:vAlign w:val="center"/>
            <w:hideMark/>
          </w:tcPr>
          <w:p w14:paraId="074AC276" w14:textId="3ECF0734"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3 108 826</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5A12F059" w14:textId="2463C118"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274 010</w:t>
            </w:r>
          </w:p>
        </w:tc>
        <w:tc>
          <w:tcPr>
            <w:tcW w:w="1276" w:type="dxa"/>
            <w:tcBorders>
              <w:top w:val="single" w:sz="4" w:space="0" w:color="FFFFFF"/>
              <w:left w:val="nil"/>
              <w:bottom w:val="single" w:sz="8" w:space="0" w:color="0077BD"/>
              <w:right w:val="nil"/>
            </w:tcBorders>
            <w:shd w:val="clear" w:color="auto" w:fill="auto"/>
            <w:vAlign w:val="center"/>
            <w:hideMark/>
          </w:tcPr>
          <w:p w14:paraId="239B6B1D" w14:textId="68DF0983"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722 983</w:t>
            </w:r>
          </w:p>
        </w:tc>
      </w:tr>
      <w:tr w:rsidR="00E25203" w:rsidRPr="00B52BF0" w14:paraId="08B29CD5"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01CFEF76"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III.</w:t>
            </w:r>
          </w:p>
        </w:tc>
        <w:tc>
          <w:tcPr>
            <w:tcW w:w="4202" w:type="dxa"/>
            <w:tcBorders>
              <w:top w:val="nil"/>
              <w:left w:val="nil"/>
              <w:bottom w:val="single" w:sz="8" w:space="0" w:color="0077BD"/>
              <w:right w:val="single" w:sz="8" w:space="0" w:color="0077BD"/>
            </w:tcBorders>
            <w:shd w:val="clear" w:color="auto" w:fill="auto"/>
            <w:vAlign w:val="center"/>
            <w:hideMark/>
          </w:tcPr>
          <w:p w14:paraId="21223A11"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Zobowiązania wobec klientów</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391A5A7F" w14:textId="04B7968B"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116 661 138</w:t>
            </w:r>
          </w:p>
        </w:tc>
        <w:tc>
          <w:tcPr>
            <w:tcW w:w="1276" w:type="dxa"/>
            <w:tcBorders>
              <w:top w:val="nil"/>
              <w:left w:val="nil"/>
              <w:bottom w:val="single" w:sz="8" w:space="0" w:color="0077BD"/>
              <w:right w:val="single" w:sz="8" w:space="0" w:color="0077BD"/>
            </w:tcBorders>
            <w:shd w:val="clear" w:color="auto" w:fill="auto"/>
            <w:vAlign w:val="center"/>
            <w:hideMark/>
          </w:tcPr>
          <w:p w14:paraId="430E8D15" w14:textId="199A6421"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102 009 062</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20473B64" w14:textId="12DAEC0B"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27 394 890</w:t>
            </w:r>
          </w:p>
        </w:tc>
        <w:tc>
          <w:tcPr>
            <w:tcW w:w="1276" w:type="dxa"/>
            <w:tcBorders>
              <w:top w:val="single" w:sz="4" w:space="0" w:color="FFFFFF"/>
              <w:left w:val="nil"/>
              <w:bottom w:val="single" w:sz="8" w:space="0" w:color="0077BD"/>
              <w:right w:val="nil"/>
            </w:tcBorders>
            <w:shd w:val="clear" w:color="auto" w:fill="auto"/>
            <w:vAlign w:val="center"/>
            <w:hideMark/>
          </w:tcPr>
          <w:p w14:paraId="67BE4038" w14:textId="1BA3A9AD"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23 723 038</w:t>
            </w:r>
          </w:p>
        </w:tc>
      </w:tr>
      <w:tr w:rsidR="00E25203" w:rsidRPr="00B52BF0" w14:paraId="30104DD0"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47374DDA"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IV.</w:t>
            </w:r>
          </w:p>
        </w:tc>
        <w:tc>
          <w:tcPr>
            <w:tcW w:w="4202" w:type="dxa"/>
            <w:tcBorders>
              <w:top w:val="nil"/>
              <w:left w:val="nil"/>
              <w:bottom w:val="single" w:sz="8" w:space="0" w:color="0077BD"/>
              <w:right w:val="single" w:sz="8" w:space="0" w:color="0077BD"/>
            </w:tcBorders>
            <w:shd w:val="clear" w:color="auto" w:fill="auto"/>
            <w:vAlign w:val="center"/>
            <w:hideMark/>
          </w:tcPr>
          <w:p w14:paraId="2FB2800F"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Kapitały własne przypadające na akcjonariuszy mBanku S.A.</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6DE78D72" w14:textId="5145DCE9"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16 151 303</w:t>
            </w:r>
          </w:p>
        </w:tc>
        <w:tc>
          <w:tcPr>
            <w:tcW w:w="1276" w:type="dxa"/>
            <w:tcBorders>
              <w:top w:val="nil"/>
              <w:left w:val="nil"/>
              <w:bottom w:val="single" w:sz="8" w:space="0" w:color="0077BD"/>
              <w:right w:val="single" w:sz="8" w:space="0" w:color="0077BD"/>
            </w:tcBorders>
            <w:shd w:val="clear" w:color="auto" w:fill="auto"/>
            <w:vAlign w:val="center"/>
            <w:hideMark/>
          </w:tcPr>
          <w:p w14:paraId="672A51FC" w14:textId="1BF3BE68"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15 169 107</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5D982F40" w14:textId="1698A75E"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3 792 721</w:t>
            </w:r>
          </w:p>
        </w:tc>
        <w:tc>
          <w:tcPr>
            <w:tcW w:w="1276" w:type="dxa"/>
            <w:tcBorders>
              <w:top w:val="single" w:sz="4" w:space="0" w:color="FFFFFF"/>
              <w:left w:val="nil"/>
              <w:bottom w:val="single" w:sz="8" w:space="0" w:color="0077BD"/>
              <w:right w:val="nil"/>
            </w:tcBorders>
            <w:shd w:val="clear" w:color="auto" w:fill="auto"/>
            <w:vAlign w:val="center"/>
            <w:hideMark/>
          </w:tcPr>
          <w:p w14:paraId="32598A02" w14:textId="03A2F539"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3 527 699</w:t>
            </w:r>
          </w:p>
        </w:tc>
      </w:tr>
      <w:tr w:rsidR="00E25203" w:rsidRPr="00B52BF0" w14:paraId="61CE3C6F"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7C85EB4B"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V.</w:t>
            </w:r>
          </w:p>
        </w:tc>
        <w:tc>
          <w:tcPr>
            <w:tcW w:w="4202" w:type="dxa"/>
            <w:tcBorders>
              <w:top w:val="nil"/>
              <w:left w:val="nil"/>
              <w:bottom w:val="single" w:sz="8" w:space="0" w:color="0077BD"/>
              <w:right w:val="single" w:sz="8" w:space="0" w:color="0077BD"/>
            </w:tcBorders>
            <w:shd w:val="clear" w:color="auto" w:fill="auto"/>
            <w:vAlign w:val="center"/>
            <w:hideMark/>
          </w:tcPr>
          <w:p w14:paraId="38A08812"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Udziały niekontrolujące</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0190DCB4" w14:textId="0F372FB7"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2 002</w:t>
            </w:r>
          </w:p>
        </w:tc>
        <w:tc>
          <w:tcPr>
            <w:tcW w:w="1276" w:type="dxa"/>
            <w:tcBorders>
              <w:top w:val="nil"/>
              <w:left w:val="nil"/>
              <w:bottom w:val="single" w:sz="8" w:space="0" w:color="0077BD"/>
              <w:right w:val="single" w:sz="8" w:space="0" w:color="0077BD"/>
            </w:tcBorders>
            <w:shd w:val="clear" w:color="auto" w:fill="auto"/>
            <w:vAlign w:val="center"/>
            <w:hideMark/>
          </w:tcPr>
          <w:p w14:paraId="2D6FA7C7" w14:textId="2C7D08AA"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2 100</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2F845496" w14:textId="7A1AD5EE"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470</w:t>
            </w:r>
          </w:p>
        </w:tc>
        <w:tc>
          <w:tcPr>
            <w:tcW w:w="1276" w:type="dxa"/>
            <w:tcBorders>
              <w:top w:val="single" w:sz="4" w:space="0" w:color="FFFFFF"/>
              <w:left w:val="nil"/>
              <w:bottom w:val="single" w:sz="8" w:space="0" w:color="0077BD"/>
              <w:right w:val="nil"/>
            </w:tcBorders>
            <w:shd w:val="clear" w:color="auto" w:fill="auto"/>
            <w:vAlign w:val="center"/>
            <w:hideMark/>
          </w:tcPr>
          <w:p w14:paraId="02ADD4ED" w14:textId="102A9FBB"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488</w:t>
            </w:r>
          </w:p>
        </w:tc>
      </w:tr>
      <w:tr w:rsidR="00E25203" w:rsidRPr="00B52BF0" w14:paraId="2660CCE8"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3FF15697"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VI.</w:t>
            </w:r>
          </w:p>
        </w:tc>
        <w:tc>
          <w:tcPr>
            <w:tcW w:w="4202" w:type="dxa"/>
            <w:tcBorders>
              <w:top w:val="nil"/>
              <w:left w:val="nil"/>
              <w:bottom w:val="single" w:sz="8" w:space="0" w:color="0077BD"/>
              <w:right w:val="single" w:sz="8" w:space="0" w:color="0077BD"/>
            </w:tcBorders>
            <w:shd w:val="clear" w:color="auto" w:fill="auto"/>
            <w:vAlign w:val="center"/>
            <w:hideMark/>
          </w:tcPr>
          <w:p w14:paraId="2893B300"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Kapitał akcyjny</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4546E02A" w14:textId="4D8B2193"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169 401</w:t>
            </w:r>
          </w:p>
        </w:tc>
        <w:tc>
          <w:tcPr>
            <w:tcW w:w="1276" w:type="dxa"/>
            <w:tcBorders>
              <w:top w:val="nil"/>
              <w:left w:val="nil"/>
              <w:bottom w:val="single" w:sz="8" w:space="0" w:color="0077BD"/>
              <w:right w:val="single" w:sz="8" w:space="0" w:color="0077BD"/>
            </w:tcBorders>
            <w:shd w:val="clear" w:color="auto" w:fill="auto"/>
            <w:vAlign w:val="center"/>
            <w:hideMark/>
          </w:tcPr>
          <w:p w14:paraId="4B128AF1" w14:textId="5F3FE57C"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169 348</w:t>
            </w:r>
          </w:p>
        </w:tc>
        <w:tc>
          <w:tcPr>
            <w:tcW w:w="1134" w:type="dxa"/>
            <w:tcBorders>
              <w:top w:val="single" w:sz="4" w:space="0" w:color="FFFFFF"/>
              <w:left w:val="single" w:sz="8" w:space="0" w:color="0077BD"/>
              <w:bottom w:val="single" w:sz="8" w:space="0" w:color="0077BD"/>
              <w:right w:val="single" w:sz="8" w:space="0" w:color="0077BD"/>
            </w:tcBorders>
            <w:shd w:val="clear" w:color="auto" w:fill="auto"/>
            <w:vAlign w:val="center"/>
            <w:hideMark/>
          </w:tcPr>
          <w:p w14:paraId="216917AB" w14:textId="4B8DEB18"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39 779</w:t>
            </w:r>
          </w:p>
        </w:tc>
        <w:tc>
          <w:tcPr>
            <w:tcW w:w="1276" w:type="dxa"/>
            <w:tcBorders>
              <w:top w:val="single" w:sz="4" w:space="0" w:color="FFFFFF"/>
              <w:left w:val="nil"/>
              <w:bottom w:val="single" w:sz="8" w:space="0" w:color="0077BD"/>
              <w:right w:val="nil"/>
            </w:tcBorders>
            <w:shd w:val="clear" w:color="auto" w:fill="auto"/>
            <w:vAlign w:val="center"/>
            <w:hideMark/>
          </w:tcPr>
          <w:p w14:paraId="57BDC5F9" w14:textId="7B4841B4"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39 383</w:t>
            </w:r>
          </w:p>
        </w:tc>
      </w:tr>
      <w:tr w:rsidR="00E25203" w:rsidRPr="00B52BF0" w14:paraId="130FBB93"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6AA1A5E3"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VII.</w:t>
            </w:r>
          </w:p>
        </w:tc>
        <w:tc>
          <w:tcPr>
            <w:tcW w:w="4202" w:type="dxa"/>
            <w:tcBorders>
              <w:top w:val="nil"/>
              <w:left w:val="nil"/>
              <w:bottom w:val="single" w:sz="8" w:space="0" w:color="0077BD"/>
              <w:right w:val="single" w:sz="8" w:space="0" w:color="0077BD"/>
            </w:tcBorders>
            <w:shd w:val="clear" w:color="auto" w:fill="auto"/>
            <w:vAlign w:val="center"/>
            <w:hideMark/>
          </w:tcPr>
          <w:p w14:paraId="5665EBDA"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 xml:space="preserve">Liczba akcji </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1F15E3BD" w14:textId="0B84E951"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42 350 367</w:t>
            </w:r>
          </w:p>
        </w:tc>
        <w:tc>
          <w:tcPr>
            <w:tcW w:w="1276" w:type="dxa"/>
            <w:tcBorders>
              <w:top w:val="nil"/>
              <w:left w:val="nil"/>
              <w:bottom w:val="single" w:sz="8" w:space="0" w:color="0077BD"/>
              <w:right w:val="single" w:sz="8" w:space="0" w:color="0077BD"/>
            </w:tcBorders>
            <w:shd w:val="clear" w:color="auto" w:fill="auto"/>
            <w:vAlign w:val="center"/>
            <w:hideMark/>
          </w:tcPr>
          <w:p w14:paraId="25CE7F76" w14:textId="23ACD1DD"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42 336 982</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7DFC9560" w14:textId="50589C95"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42 350 367</w:t>
            </w:r>
          </w:p>
        </w:tc>
        <w:tc>
          <w:tcPr>
            <w:tcW w:w="1276" w:type="dxa"/>
            <w:tcBorders>
              <w:top w:val="single" w:sz="4" w:space="0" w:color="FFFFFF"/>
              <w:left w:val="nil"/>
              <w:bottom w:val="single" w:sz="8" w:space="0" w:color="0077BD"/>
              <w:right w:val="nil"/>
            </w:tcBorders>
            <w:shd w:val="clear" w:color="auto" w:fill="auto"/>
            <w:vAlign w:val="center"/>
            <w:hideMark/>
          </w:tcPr>
          <w:p w14:paraId="5DFB76F7" w14:textId="6FF45CCC"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42 336 982</w:t>
            </w:r>
          </w:p>
        </w:tc>
      </w:tr>
      <w:tr w:rsidR="00E25203" w:rsidRPr="00B52BF0" w14:paraId="5E65E824"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5D9BA1B6"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VIII.</w:t>
            </w:r>
          </w:p>
        </w:tc>
        <w:tc>
          <w:tcPr>
            <w:tcW w:w="4202" w:type="dxa"/>
            <w:tcBorders>
              <w:top w:val="nil"/>
              <w:left w:val="nil"/>
              <w:bottom w:val="single" w:sz="8" w:space="0" w:color="0077BD"/>
              <w:right w:val="single" w:sz="8" w:space="0" w:color="0077BD"/>
            </w:tcBorders>
            <w:shd w:val="clear" w:color="auto" w:fill="auto"/>
            <w:vAlign w:val="center"/>
            <w:hideMark/>
          </w:tcPr>
          <w:p w14:paraId="36979C82"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 xml:space="preserve">Wartość księgowa na jedną akcję (w zł/EUR) </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715BF573" w14:textId="63DCDAC2"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381,37</w:t>
            </w:r>
          </w:p>
        </w:tc>
        <w:tc>
          <w:tcPr>
            <w:tcW w:w="1276" w:type="dxa"/>
            <w:tcBorders>
              <w:top w:val="nil"/>
              <w:left w:val="nil"/>
              <w:bottom w:val="single" w:sz="8" w:space="0" w:color="0077BD"/>
              <w:right w:val="single" w:sz="8" w:space="0" w:color="0077BD"/>
            </w:tcBorders>
            <w:shd w:val="clear" w:color="auto" w:fill="auto"/>
            <w:vAlign w:val="center"/>
            <w:hideMark/>
          </w:tcPr>
          <w:p w14:paraId="6FE42EE4" w14:textId="4E58B3BA"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358,29</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1FE7D33F" w14:textId="183CE48A"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89,56</w:t>
            </w:r>
          </w:p>
        </w:tc>
        <w:tc>
          <w:tcPr>
            <w:tcW w:w="1276" w:type="dxa"/>
            <w:tcBorders>
              <w:top w:val="nil"/>
              <w:left w:val="nil"/>
              <w:bottom w:val="single" w:sz="8" w:space="0" w:color="0077BD"/>
              <w:right w:val="nil"/>
            </w:tcBorders>
            <w:shd w:val="clear" w:color="auto" w:fill="auto"/>
            <w:vAlign w:val="center"/>
            <w:hideMark/>
          </w:tcPr>
          <w:p w14:paraId="1B9FD974" w14:textId="0F3B67AA"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83,32</w:t>
            </w:r>
          </w:p>
        </w:tc>
      </w:tr>
      <w:tr w:rsidR="00E25203" w:rsidRPr="00B52BF0" w14:paraId="7BADE3E7" w14:textId="77777777" w:rsidTr="002B2138">
        <w:trPr>
          <w:trHeight w:val="284"/>
        </w:trPr>
        <w:tc>
          <w:tcPr>
            <w:tcW w:w="0" w:type="auto"/>
            <w:tcBorders>
              <w:top w:val="nil"/>
              <w:left w:val="nil"/>
              <w:bottom w:val="single" w:sz="8" w:space="0" w:color="0077BD"/>
              <w:right w:val="single" w:sz="4" w:space="0" w:color="FFFFFF"/>
            </w:tcBorders>
            <w:shd w:val="clear" w:color="auto" w:fill="auto"/>
            <w:noWrap/>
            <w:vAlign w:val="center"/>
            <w:hideMark/>
          </w:tcPr>
          <w:p w14:paraId="0687A558" w14:textId="77777777" w:rsidR="00E25203" w:rsidRPr="00592EBC" w:rsidRDefault="00E25203" w:rsidP="00E25203">
            <w:pPr>
              <w:jc w:val="center"/>
              <w:rPr>
                <w:rFonts w:cs="Calibri"/>
                <w:color w:val="000000" w:themeColor="text1"/>
                <w:sz w:val="12"/>
                <w:szCs w:val="12"/>
              </w:rPr>
            </w:pPr>
            <w:r w:rsidRPr="00592EBC">
              <w:rPr>
                <w:rFonts w:cs="Calibri"/>
                <w:color w:val="000000" w:themeColor="text1"/>
                <w:sz w:val="12"/>
                <w:szCs w:val="12"/>
              </w:rPr>
              <w:t>IX.</w:t>
            </w:r>
          </w:p>
        </w:tc>
        <w:tc>
          <w:tcPr>
            <w:tcW w:w="4202" w:type="dxa"/>
            <w:tcBorders>
              <w:top w:val="nil"/>
              <w:left w:val="nil"/>
              <w:bottom w:val="single" w:sz="8" w:space="0" w:color="0077BD"/>
              <w:right w:val="single" w:sz="8" w:space="0" w:color="0077BD"/>
            </w:tcBorders>
            <w:shd w:val="clear" w:color="auto" w:fill="auto"/>
            <w:vAlign w:val="center"/>
            <w:hideMark/>
          </w:tcPr>
          <w:p w14:paraId="1CDEC28A" w14:textId="77777777" w:rsidR="00E25203" w:rsidRPr="00592EBC" w:rsidRDefault="00E25203" w:rsidP="00E25203">
            <w:pPr>
              <w:rPr>
                <w:rFonts w:cs="Calibri"/>
                <w:color w:val="000000" w:themeColor="text1"/>
                <w:sz w:val="12"/>
                <w:szCs w:val="12"/>
              </w:rPr>
            </w:pPr>
            <w:r w:rsidRPr="00592EBC">
              <w:rPr>
                <w:rFonts w:cs="Calibri"/>
                <w:color w:val="000000" w:themeColor="text1"/>
                <w:sz w:val="12"/>
                <w:szCs w:val="12"/>
              </w:rPr>
              <w:t>Łączny współczynnik kapitałowy</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28D9E9FF" w14:textId="4C2029AB"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19,46</w:t>
            </w:r>
          </w:p>
        </w:tc>
        <w:tc>
          <w:tcPr>
            <w:tcW w:w="1276" w:type="dxa"/>
            <w:tcBorders>
              <w:top w:val="nil"/>
              <w:left w:val="nil"/>
              <w:bottom w:val="single" w:sz="8" w:space="0" w:color="0077BD"/>
              <w:right w:val="single" w:sz="8" w:space="0" w:color="0077BD"/>
            </w:tcBorders>
            <w:shd w:val="clear" w:color="auto" w:fill="auto"/>
            <w:vAlign w:val="center"/>
            <w:hideMark/>
          </w:tcPr>
          <w:p w14:paraId="4AF2A883" w14:textId="4798A132"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20,69</w:t>
            </w:r>
          </w:p>
        </w:tc>
        <w:tc>
          <w:tcPr>
            <w:tcW w:w="1134" w:type="dxa"/>
            <w:tcBorders>
              <w:top w:val="nil"/>
              <w:left w:val="single" w:sz="8" w:space="0" w:color="0077BD"/>
              <w:bottom w:val="single" w:sz="8" w:space="0" w:color="0077BD"/>
              <w:right w:val="single" w:sz="8" w:space="0" w:color="0077BD"/>
            </w:tcBorders>
            <w:shd w:val="clear" w:color="auto" w:fill="auto"/>
            <w:vAlign w:val="center"/>
            <w:hideMark/>
          </w:tcPr>
          <w:p w14:paraId="5A37915D" w14:textId="043D62CB" w:rsidR="00E25203" w:rsidRPr="00E25203" w:rsidRDefault="00E25203" w:rsidP="00E25203">
            <w:pPr>
              <w:jc w:val="right"/>
              <w:rPr>
                <w:rFonts w:cs="Calibri"/>
                <w:b/>
                <w:bCs/>
                <w:color w:val="000000" w:themeColor="text1"/>
                <w:sz w:val="12"/>
                <w:szCs w:val="12"/>
              </w:rPr>
            </w:pPr>
            <w:r w:rsidRPr="00E25203">
              <w:rPr>
                <w:rFonts w:cs="Calibri"/>
                <w:b/>
                <w:bCs/>
                <w:color w:val="000000" w:themeColor="text1"/>
                <w:sz w:val="12"/>
                <w:szCs w:val="12"/>
              </w:rPr>
              <w:t>19,46</w:t>
            </w:r>
          </w:p>
        </w:tc>
        <w:tc>
          <w:tcPr>
            <w:tcW w:w="1276" w:type="dxa"/>
            <w:tcBorders>
              <w:top w:val="nil"/>
              <w:left w:val="nil"/>
              <w:bottom w:val="single" w:sz="8" w:space="0" w:color="0077BD"/>
              <w:right w:val="nil"/>
            </w:tcBorders>
            <w:shd w:val="clear" w:color="auto" w:fill="auto"/>
            <w:vAlign w:val="center"/>
            <w:hideMark/>
          </w:tcPr>
          <w:p w14:paraId="20D08C95" w14:textId="64A6F59D" w:rsidR="00E25203" w:rsidRPr="001F3FA6" w:rsidRDefault="00E25203" w:rsidP="00E25203">
            <w:pPr>
              <w:jc w:val="right"/>
              <w:rPr>
                <w:rFonts w:cs="Calibri"/>
                <w:b/>
                <w:bCs/>
                <w:color w:val="000000" w:themeColor="text1"/>
                <w:sz w:val="12"/>
                <w:szCs w:val="12"/>
              </w:rPr>
            </w:pPr>
            <w:r w:rsidRPr="001F3FA6">
              <w:rPr>
                <w:rFonts w:cs="Calibri"/>
                <w:b/>
                <w:bCs/>
                <w:color w:val="000000" w:themeColor="text1"/>
                <w:sz w:val="12"/>
                <w:szCs w:val="12"/>
              </w:rPr>
              <w:t>20,69</w:t>
            </w:r>
          </w:p>
        </w:tc>
      </w:tr>
    </w:tbl>
    <w:p w14:paraId="134E7908" w14:textId="77777777" w:rsidR="00AB2629" w:rsidRPr="00935B3E" w:rsidRDefault="00AB2629" w:rsidP="00A82642">
      <w:pPr>
        <w:jc w:val="both"/>
        <w:rPr>
          <w:sz w:val="18"/>
          <w:szCs w:val="18"/>
        </w:rPr>
      </w:pPr>
    </w:p>
    <w:p w14:paraId="4485E340" w14:textId="77777777" w:rsidR="00AB2629" w:rsidRPr="001523D1" w:rsidRDefault="00AB2629" w:rsidP="00A82642">
      <w:pPr>
        <w:jc w:val="both"/>
        <w:rPr>
          <w:color w:val="000000" w:themeColor="text1"/>
          <w:sz w:val="18"/>
          <w:szCs w:val="18"/>
        </w:rPr>
      </w:pPr>
      <w:r w:rsidRPr="001523D1">
        <w:rPr>
          <w:color w:val="000000" w:themeColor="text1"/>
          <w:sz w:val="18"/>
          <w:szCs w:val="18"/>
        </w:rPr>
        <w:t>Do wyliczenia wybranych danych finansowych w EUR zastosowano następujące kursy:</w:t>
      </w:r>
    </w:p>
    <w:p w14:paraId="0CBF9686" w14:textId="755A5696" w:rsidR="00582FC1" w:rsidRPr="001523D1" w:rsidRDefault="00582FC1" w:rsidP="001D19FB">
      <w:pPr>
        <w:pStyle w:val="Akapitzlist"/>
        <w:numPr>
          <w:ilvl w:val="0"/>
          <w:numId w:val="15"/>
        </w:numPr>
        <w:tabs>
          <w:tab w:val="clear" w:pos="624"/>
        </w:tabs>
        <w:spacing w:after="120"/>
        <w:ind w:left="709" w:hanging="425"/>
        <w:jc w:val="both"/>
        <w:rPr>
          <w:color w:val="000000" w:themeColor="text1"/>
          <w:sz w:val="18"/>
          <w:szCs w:val="18"/>
        </w:rPr>
      </w:pPr>
      <w:r w:rsidRPr="001523D1">
        <w:rPr>
          <w:color w:val="000000" w:themeColor="text1"/>
          <w:sz w:val="18"/>
          <w:szCs w:val="18"/>
        </w:rPr>
        <w:t xml:space="preserve">dla pozycji sprawozdania z sytuacji finansowej – kurs NBP z dnia </w:t>
      </w:r>
      <w:r w:rsidR="00935B3E" w:rsidRPr="001523D1">
        <w:rPr>
          <w:color w:val="000000" w:themeColor="text1"/>
          <w:sz w:val="18"/>
          <w:szCs w:val="18"/>
        </w:rPr>
        <w:t>31 grudnia 2019</w:t>
      </w:r>
      <w:r w:rsidRPr="001523D1">
        <w:rPr>
          <w:color w:val="000000" w:themeColor="text1"/>
          <w:sz w:val="18"/>
          <w:szCs w:val="18"/>
        </w:rPr>
        <w:t xml:space="preserve"> roku –</w:t>
      </w:r>
      <w:r w:rsidR="001D19FB">
        <w:rPr>
          <w:color w:val="000000" w:themeColor="text1"/>
          <w:sz w:val="18"/>
          <w:szCs w:val="18"/>
        </w:rPr>
        <w:t> </w:t>
      </w:r>
      <w:r w:rsidRPr="001523D1">
        <w:rPr>
          <w:color w:val="000000" w:themeColor="text1"/>
          <w:sz w:val="18"/>
          <w:szCs w:val="18"/>
        </w:rPr>
        <w:t>1</w:t>
      </w:r>
      <w:r w:rsidR="001D19FB">
        <w:rPr>
          <w:color w:val="000000" w:themeColor="text1"/>
          <w:sz w:val="18"/>
          <w:szCs w:val="18"/>
        </w:rPr>
        <w:t> </w:t>
      </w:r>
      <w:r w:rsidRPr="001523D1">
        <w:rPr>
          <w:color w:val="000000" w:themeColor="text1"/>
          <w:sz w:val="18"/>
          <w:szCs w:val="18"/>
        </w:rPr>
        <w:t>EUR</w:t>
      </w:r>
      <w:r w:rsidR="001D19FB">
        <w:rPr>
          <w:color w:val="000000" w:themeColor="text1"/>
          <w:sz w:val="18"/>
          <w:szCs w:val="18"/>
        </w:rPr>
        <w:t> </w:t>
      </w:r>
      <w:r w:rsidRPr="001523D1">
        <w:rPr>
          <w:color w:val="000000" w:themeColor="text1"/>
          <w:sz w:val="18"/>
          <w:szCs w:val="18"/>
        </w:rPr>
        <w:t>=</w:t>
      </w:r>
      <w:r w:rsidR="001D19FB">
        <w:rPr>
          <w:color w:val="000000" w:themeColor="text1"/>
          <w:sz w:val="18"/>
          <w:szCs w:val="18"/>
        </w:rPr>
        <w:t> </w:t>
      </w:r>
      <w:r w:rsidR="00935B3E" w:rsidRPr="001523D1">
        <w:rPr>
          <w:color w:val="000000" w:themeColor="text1"/>
          <w:sz w:val="18"/>
          <w:szCs w:val="18"/>
        </w:rPr>
        <w:t>4</w:t>
      </w:r>
      <w:r w:rsidR="005474A8" w:rsidRPr="001523D1">
        <w:rPr>
          <w:color w:val="000000" w:themeColor="text1"/>
          <w:sz w:val="18"/>
          <w:szCs w:val="18"/>
        </w:rPr>
        <w:t>,2585</w:t>
      </w:r>
      <w:r w:rsidRPr="001523D1">
        <w:rPr>
          <w:color w:val="000000" w:themeColor="text1"/>
          <w:sz w:val="18"/>
          <w:szCs w:val="18"/>
        </w:rPr>
        <w:t xml:space="preserve"> PLN </w:t>
      </w:r>
      <w:r w:rsidR="00935B3E" w:rsidRPr="001523D1">
        <w:rPr>
          <w:color w:val="000000" w:themeColor="text1"/>
          <w:sz w:val="18"/>
          <w:szCs w:val="18"/>
        </w:rPr>
        <w:t>oraz kurs z dnia 31 grudnia 2018 roku – 1 EUR = 4,3000</w:t>
      </w:r>
      <w:r w:rsidRPr="001523D1">
        <w:rPr>
          <w:color w:val="000000" w:themeColor="text1"/>
          <w:sz w:val="18"/>
          <w:szCs w:val="18"/>
        </w:rPr>
        <w:t xml:space="preserve"> PLN</w:t>
      </w:r>
    </w:p>
    <w:p w14:paraId="2CFE4123" w14:textId="0577B207" w:rsidR="00582FC1" w:rsidRPr="001523D1" w:rsidRDefault="00582FC1" w:rsidP="001D19FB">
      <w:pPr>
        <w:pStyle w:val="Akapitzlist"/>
        <w:numPr>
          <w:ilvl w:val="0"/>
          <w:numId w:val="15"/>
        </w:numPr>
        <w:tabs>
          <w:tab w:val="clear" w:pos="624"/>
        </w:tabs>
        <w:spacing w:after="120"/>
        <w:ind w:left="709" w:hanging="426"/>
        <w:jc w:val="both"/>
        <w:rPr>
          <w:color w:val="000000" w:themeColor="text1"/>
          <w:sz w:val="18"/>
          <w:szCs w:val="18"/>
        </w:rPr>
      </w:pPr>
      <w:r w:rsidRPr="001523D1">
        <w:rPr>
          <w:color w:val="000000" w:themeColor="text1"/>
          <w:sz w:val="18"/>
          <w:szCs w:val="18"/>
        </w:rPr>
        <w:t>dla pozycji rachunku zysków i strat - kurs wyliczony jako średnia kursów NBP, obowiązujących na ost</w:t>
      </w:r>
      <w:r w:rsidR="00935B3E" w:rsidRPr="001523D1">
        <w:rPr>
          <w:color w:val="000000" w:themeColor="text1"/>
          <w:sz w:val="18"/>
          <w:szCs w:val="18"/>
        </w:rPr>
        <w:t>atni dzień każdego miesiąca 2019</w:t>
      </w:r>
      <w:r w:rsidRPr="001523D1">
        <w:rPr>
          <w:color w:val="000000" w:themeColor="text1"/>
          <w:sz w:val="18"/>
          <w:szCs w:val="18"/>
        </w:rPr>
        <w:t xml:space="preserve"> i 201</w:t>
      </w:r>
      <w:r w:rsidR="00935B3E" w:rsidRPr="001523D1">
        <w:rPr>
          <w:color w:val="000000" w:themeColor="text1"/>
          <w:sz w:val="18"/>
          <w:szCs w:val="18"/>
        </w:rPr>
        <w:t>8</w:t>
      </w:r>
      <w:r w:rsidRPr="001523D1">
        <w:rPr>
          <w:color w:val="000000" w:themeColor="text1"/>
          <w:sz w:val="18"/>
          <w:szCs w:val="18"/>
        </w:rPr>
        <w:t xml:space="preserve"> roku, odpowiednio: 1 E</w:t>
      </w:r>
      <w:r w:rsidR="00935B3E" w:rsidRPr="001523D1">
        <w:rPr>
          <w:color w:val="000000" w:themeColor="text1"/>
          <w:sz w:val="18"/>
          <w:szCs w:val="18"/>
        </w:rPr>
        <w:t xml:space="preserve">UR = </w:t>
      </w:r>
      <w:r w:rsidR="005474A8" w:rsidRPr="001523D1">
        <w:rPr>
          <w:color w:val="000000" w:themeColor="text1"/>
          <w:sz w:val="18"/>
          <w:szCs w:val="18"/>
        </w:rPr>
        <w:t>4,3018</w:t>
      </w:r>
      <w:r w:rsidR="00935B3E" w:rsidRPr="001523D1">
        <w:rPr>
          <w:color w:val="000000" w:themeColor="text1"/>
          <w:sz w:val="18"/>
          <w:szCs w:val="18"/>
        </w:rPr>
        <w:t xml:space="preserve"> PLN i</w:t>
      </w:r>
      <w:r w:rsidR="001D19FB">
        <w:rPr>
          <w:color w:val="000000" w:themeColor="text1"/>
          <w:sz w:val="18"/>
          <w:szCs w:val="18"/>
        </w:rPr>
        <w:t> </w:t>
      </w:r>
      <w:r w:rsidR="00935B3E" w:rsidRPr="001523D1">
        <w:rPr>
          <w:color w:val="000000" w:themeColor="text1"/>
          <w:sz w:val="18"/>
          <w:szCs w:val="18"/>
        </w:rPr>
        <w:t>1</w:t>
      </w:r>
      <w:r w:rsidR="001D19FB">
        <w:rPr>
          <w:color w:val="000000" w:themeColor="text1"/>
          <w:sz w:val="18"/>
          <w:szCs w:val="18"/>
        </w:rPr>
        <w:t> </w:t>
      </w:r>
      <w:r w:rsidR="00935B3E" w:rsidRPr="001523D1">
        <w:rPr>
          <w:color w:val="000000" w:themeColor="text1"/>
          <w:sz w:val="18"/>
          <w:szCs w:val="18"/>
        </w:rPr>
        <w:t>EUR</w:t>
      </w:r>
      <w:r w:rsidR="001D19FB">
        <w:rPr>
          <w:color w:val="000000" w:themeColor="text1"/>
          <w:sz w:val="18"/>
          <w:szCs w:val="18"/>
        </w:rPr>
        <w:t> </w:t>
      </w:r>
      <w:r w:rsidR="00935B3E" w:rsidRPr="001523D1">
        <w:rPr>
          <w:color w:val="000000" w:themeColor="text1"/>
          <w:sz w:val="18"/>
          <w:szCs w:val="18"/>
        </w:rPr>
        <w:t>=</w:t>
      </w:r>
      <w:r w:rsidR="001D19FB">
        <w:rPr>
          <w:color w:val="000000" w:themeColor="text1"/>
          <w:sz w:val="18"/>
          <w:szCs w:val="18"/>
        </w:rPr>
        <w:t> </w:t>
      </w:r>
      <w:r w:rsidR="00935B3E" w:rsidRPr="001523D1">
        <w:rPr>
          <w:color w:val="000000" w:themeColor="text1"/>
          <w:sz w:val="18"/>
          <w:szCs w:val="18"/>
        </w:rPr>
        <w:t>4,2669</w:t>
      </w:r>
      <w:r w:rsidRPr="001523D1">
        <w:rPr>
          <w:color w:val="000000" w:themeColor="text1"/>
          <w:sz w:val="18"/>
          <w:szCs w:val="18"/>
        </w:rPr>
        <w:t xml:space="preserve"> PLN.</w:t>
      </w:r>
    </w:p>
    <w:p w14:paraId="0441F9CF" w14:textId="77777777" w:rsidR="00AB2629" w:rsidRPr="009737A1" w:rsidRDefault="00AB2629" w:rsidP="00A82642">
      <w:pPr>
        <w:jc w:val="both"/>
        <w:rPr>
          <w:color w:val="323232"/>
          <w:sz w:val="18"/>
          <w:szCs w:val="18"/>
        </w:rPr>
      </w:pPr>
    </w:p>
    <w:p w14:paraId="72192D73" w14:textId="77777777" w:rsidR="00AB2629" w:rsidRDefault="00AB2629" w:rsidP="00A82642">
      <w:pPr>
        <w:jc w:val="both"/>
        <w:rPr>
          <w:color w:val="323232"/>
          <w:szCs w:val="16"/>
        </w:rPr>
      </w:pPr>
    </w:p>
    <w:p w14:paraId="1EE5D1BA" w14:textId="77777777" w:rsidR="00AB2629" w:rsidRDefault="00AB2629" w:rsidP="00A82642">
      <w:pPr>
        <w:jc w:val="both"/>
        <w:rPr>
          <w:color w:val="323232"/>
          <w:szCs w:val="16"/>
        </w:rPr>
      </w:pPr>
    </w:p>
    <w:p w14:paraId="71AB84EA" w14:textId="77777777" w:rsidR="008B076F" w:rsidRDefault="000C4F83" w:rsidP="00A82642">
      <w:pPr>
        <w:pStyle w:val="Tytu"/>
        <w:jc w:val="both"/>
      </w:pPr>
      <w:r>
        <w:br w:type="page"/>
      </w:r>
    </w:p>
    <w:p w14:paraId="5C16F5A0" w14:textId="77777777" w:rsidR="00AB2629" w:rsidRPr="00765837" w:rsidRDefault="00AB2629" w:rsidP="00057293">
      <w:pPr>
        <w:pStyle w:val="Tytu"/>
        <w:spacing w:after="120"/>
        <w:jc w:val="both"/>
        <w:rPr>
          <w:b w:val="0"/>
          <w:sz w:val="16"/>
          <w:szCs w:val="16"/>
        </w:rPr>
      </w:pPr>
      <w:r w:rsidRPr="00765837">
        <w:rPr>
          <w:b w:val="0"/>
          <w:sz w:val="16"/>
          <w:szCs w:val="16"/>
        </w:rPr>
        <w:lastRenderedPageBreak/>
        <w:t>Spis treści</w:t>
      </w:r>
    </w:p>
    <w:p w14:paraId="32FDA773" w14:textId="3C403492" w:rsidR="00765837" w:rsidRPr="00765837" w:rsidRDefault="00801DB2">
      <w:pPr>
        <w:pStyle w:val="Spistreci2"/>
        <w:rPr>
          <w:rFonts w:eastAsiaTheme="minorEastAsia" w:cstheme="minorBidi"/>
        </w:rPr>
      </w:pPr>
      <w:r w:rsidRPr="00765837">
        <w:rPr>
          <w:highlight w:val="yellow"/>
        </w:rPr>
        <w:fldChar w:fldCharType="begin"/>
      </w:r>
      <w:r w:rsidR="00AB2629" w:rsidRPr="00765837">
        <w:rPr>
          <w:highlight w:val="yellow"/>
        </w:rPr>
        <w:instrText xml:space="preserve"> TOC \o "1-3" \h \z \u </w:instrText>
      </w:r>
      <w:r w:rsidRPr="00765837">
        <w:rPr>
          <w:highlight w:val="yellow"/>
        </w:rPr>
        <w:fldChar w:fldCharType="separate"/>
      </w:r>
      <w:hyperlink w:anchor="_Toc32999781" w:history="1">
        <w:r w:rsidR="00765837" w:rsidRPr="00765837">
          <w:rPr>
            <w:rStyle w:val="Hipercze"/>
          </w:rPr>
          <w:t>Skonsolidowany rachunek zysków i strat</w:t>
        </w:r>
        <w:r w:rsidR="00765837" w:rsidRPr="00765837">
          <w:rPr>
            <w:webHidden/>
          </w:rPr>
          <w:tab/>
        </w:r>
        <w:r w:rsidR="00765837" w:rsidRPr="00765837">
          <w:rPr>
            <w:webHidden/>
          </w:rPr>
          <w:fldChar w:fldCharType="begin"/>
        </w:r>
        <w:r w:rsidR="00765837" w:rsidRPr="00765837">
          <w:rPr>
            <w:webHidden/>
          </w:rPr>
          <w:instrText xml:space="preserve"> PAGEREF _Toc32999781 \h </w:instrText>
        </w:r>
        <w:r w:rsidR="00765837" w:rsidRPr="00765837">
          <w:rPr>
            <w:webHidden/>
          </w:rPr>
        </w:r>
        <w:r w:rsidR="00765837" w:rsidRPr="00765837">
          <w:rPr>
            <w:webHidden/>
          </w:rPr>
          <w:fldChar w:fldCharType="separate"/>
        </w:r>
        <w:r w:rsidR="00B37C22">
          <w:rPr>
            <w:webHidden/>
          </w:rPr>
          <w:t>5</w:t>
        </w:r>
        <w:r w:rsidR="00765837" w:rsidRPr="00765837">
          <w:rPr>
            <w:webHidden/>
          </w:rPr>
          <w:fldChar w:fldCharType="end"/>
        </w:r>
      </w:hyperlink>
    </w:p>
    <w:p w14:paraId="480DAEDC" w14:textId="41280240" w:rsidR="00765837" w:rsidRPr="00765837" w:rsidRDefault="00A0087F">
      <w:pPr>
        <w:pStyle w:val="Spistreci2"/>
        <w:rPr>
          <w:rFonts w:eastAsiaTheme="minorEastAsia" w:cstheme="minorBidi"/>
        </w:rPr>
      </w:pPr>
      <w:hyperlink w:anchor="_Toc32999782" w:history="1">
        <w:r w:rsidR="00765837" w:rsidRPr="00765837">
          <w:rPr>
            <w:rStyle w:val="Hipercze"/>
          </w:rPr>
          <w:t>Skonsolidowane sprawozdanie z całkowitych dochodów</w:t>
        </w:r>
        <w:r w:rsidR="00765837" w:rsidRPr="00765837">
          <w:rPr>
            <w:webHidden/>
          </w:rPr>
          <w:tab/>
        </w:r>
        <w:r w:rsidR="00765837" w:rsidRPr="00765837">
          <w:rPr>
            <w:webHidden/>
          </w:rPr>
          <w:fldChar w:fldCharType="begin"/>
        </w:r>
        <w:r w:rsidR="00765837" w:rsidRPr="00765837">
          <w:rPr>
            <w:webHidden/>
          </w:rPr>
          <w:instrText xml:space="preserve"> PAGEREF _Toc32999782 \h </w:instrText>
        </w:r>
        <w:r w:rsidR="00765837" w:rsidRPr="00765837">
          <w:rPr>
            <w:webHidden/>
          </w:rPr>
        </w:r>
        <w:r w:rsidR="00765837" w:rsidRPr="00765837">
          <w:rPr>
            <w:webHidden/>
          </w:rPr>
          <w:fldChar w:fldCharType="separate"/>
        </w:r>
        <w:r w:rsidR="00B37C22">
          <w:rPr>
            <w:webHidden/>
          </w:rPr>
          <w:t>6</w:t>
        </w:r>
        <w:r w:rsidR="00765837" w:rsidRPr="00765837">
          <w:rPr>
            <w:webHidden/>
          </w:rPr>
          <w:fldChar w:fldCharType="end"/>
        </w:r>
      </w:hyperlink>
    </w:p>
    <w:p w14:paraId="4FFA0B5B" w14:textId="7798DABF" w:rsidR="00765837" w:rsidRPr="00765837" w:rsidRDefault="00A0087F">
      <w:pPr>
        <w:pStyle w:val="Spistreci2"/>
        <w:rPr>
          <w:rFonts w:eastAsiaTheme="minorEastAsia" w:cstheme="minorBidi"/>
        </w:rPr>
      </w:pPr>
      <w:hyperlink w:anchor="_Toc32999783" w:history="1">
        <w:r w:rsidR="00765837" w:rsidRPr="00765837">
          <w:rPr>
            <w:rStyle w:val="Hipercze"/>
          </w:rPr>
          <w:t>Skonsolidowane sprawozdanie z sytuacji finansowej</w:t>
        </w:r>
        <w:r w:rsidR="00765837" w:rsidRPr="00765837">
          <w:rPr>
            <w:webHidden/>
          </w:rPr>
          <w:tab/>
        </w:r>
        <w:r w:rsidR="00765837" w:rsidRPr="00765837">
          <w:rPr>
            <w:webHidden/>
          </w:rPr>
          <w:fldChar w:fldCharType="begin"/>
        </w:r>
        <w:r w:rsidR="00765837" w:rsidRPr="00765837">
          <w:rPr>
            <w:webHidden/>
          </w:rPr>
          <w:instrText xml:space="preserve"> PAGEREF _Toc32999783 \h </w:instrText>
        </w:r>
        <w:r w:rsidR="00765837" w:rsidRPr="00765837">
          <w:rPr>
            <w:webHidden/>
          </w:rPr>
        </w:r>
        <w:r w:rsidR="00765837" w:rsidRPr="00765837">
          <w:rPr>
            <w:webHidden/>
          </w:rPr>
          <w:fldChar w:fldCharType="separate"/>
        </w:r>
        <w:r w:rsidR="00B37C22">
          <w:rPr>
            <w:webHidden/>
          </w:rPr>
          <w:t>7</w:t>
        </w:r>
        <w:r w:rsidR="00765837" w:rsidRPr="00765837">
          <w:rPr>
            <w:webHidden/>
          </w:rPr>
          <w:fldChar w:fldCharType="end"/>
        </w:r>
      </w:hyperlink>
    </w:p>
    <w:p w14:paraId="46928F4E" w14:textId="0D78181B" w:rsidR="00765837" w:rsidRPr="00765837" w:rsidRDefault="00A0087F">
      <w:pPr>
        <w:pStyle w:val="Spistreci2"/>
        <w:rPr>
          <w:rFonts w:eastAsiaTheme="minorEastAsia" w:cstheme="minorBidi"/>
        </w:rPr>
      </w:pPr>
      <w:hyperlink w:anchor="_Toc32999784" w:history="1">
        <w:r w:rsidR="00765837" w:rsidRPr="00765837">
          <w:rPr>
            <w:rStyle w:val="Hipercze"/>
          </w:rPr>
          <w:t>Skonsolidowane sprawozdanie ze zmian w kapitale własnym</w:t>
        </w:r>
        <w:r w:rsidR="00765837" w:rsidRPr="00765837">
          <w:rPr>
            <w:webHidden/>
          </w:rPr>
          <w:tab/>
        </w:r>
        <w:r w:rsidR="00765837" w:rsidRPr="00765837">
          <w:rPr>
            <w:webHidden/>
          </w:rPr>
          <w:fldChar w:fldCharType="begin"/>
        </w:r>
        <w:r w:rsidR="00765837" w:rsidRPr="00765837">
          <w:rPr>
            <w:webHidden/>
          </w:rPr>
          <w:instrText xml:space="preserve"> PAGEREF _Toc32999784 \h </w:instrText>
        </w:r>
        <w:r w:rsidR="00765837" w:rsidRPr="00765837">
          <w:rPr>
            <w:webHidden/>
          </w:rPr>
        </w:r>
        <w:r w:rsidR="00765837" w:rsidRPr="00765837">
          <w:rPr>
            <w:webHidden/>
          </w:rPr>
          <w:fldChar w:fldCharType="separate"/>
        </w:r>
        <w:r w:rsidR="00B37C22">
          <w:rPr>
            <w:webHidden/>
          </w:rPr>
          <w:t>8</w:t>
        </w:r>
        <w:r w:rsidR="00765837" w:rsidRPr="00765837">
          <w:rPr>
            <w:webHidden/>
          </w:rPr>
          <w:fldChar w:fldCharType="end"/>
        </w:r>
      </w:hyperlink>
    </w:p>
    <w:p w14:paraId="7F9076BA" w14:textId="1130E134" w:rsidR="00765837" w:rsidRPr="00765837" w:rsidRDefault="00A0087F">
      <w:pPr>
        <w:pStyle w:val="Spistreci2"/>
        <w:rPr>
          <w:rFonts w:eastAsiaTheme="minorEastAsia" w:cstheme="minorBidi"/>
        </w:rPr>
      </w:pPr>
      <w:hyperlink w:anchor="_Toc32999785" w:history="1">
        <w:r w:rsidR="00765837" w:rsidRPr="00765837">
          <w:rPr>
            <w:rStyle w:val="Hipercze"/>
          </w:rPr>
          <w:t>Skonsolidowane sprawozdanie z przepływów pieniężnych</w:t>
        </w:r>
        <w:r w:rsidR="00765837" w:rsidRPr="00765837">
          <w:rPr>
            <w:webHidden/>
          </w:rPr>
          <w:tab/>
        </w:r>
        <w:r w:rsidR="00765837" w:rsidRPr="00765837">
          <w:rPr>
            <w:webHidden/>
          </w:rPr>
          <w:fldChar w:fldCharType="begin"/>
        </w:r>
        <w:r w:rsidR="00765837" w:rsidRPr="00765837">
          <w:rPr>
            <w:webHidden/>
          </w:rPr>
          <w:instrText xml:space="preserve"> PAGEREF _Toc32999785 \h </w:instrText>
        </w:r>
        <w:r w:rsidR="00765837" w:rsidRPr="00765837">
          <w:rPr>
            <w:webHidden/>
          </w:rPr>
        </w:r>
        <w:r w:rsidR="00765837" w:rsidRPr="00765837">
          <w:rPr>
            <w:webHidden/>
          </w:rPr>
          <w:fldChar w:fldCharType="separate"/>
        </w:r>
        <w:r w:rsidR="00B37C22">
          <w:rPr>
            <w:webHidden/>
          </w:rPr>
          <w:t>9</w:t>
        </w:r>
        <w:r w:rsidR="00765837" w:rsidRPr="00765837">
          <w:rPr>
            <w:webHidden/>
          </w:rPr>
          <w:fldChar w:fldCharType="end"/>
        </w:r>
      </w:hyperlink>
    </w:p>
    <w:p w14:paraId="6427C424" w14:textId="7292E1BD" w:rsidR="00765837" w:rsidRPr="00765837" w:rsidRDefault="00A0087F">
      <w:pPr>
        <w:pStyle w:val="Spistreci2"/>
        <w:rPr>
          <w:rFonts w:eastAsiaTheme="minorEastAsia" w:cstheme="minorBidi"/>
        </w:rPr>
      </w:pPr>
      <w:hyperlink w:anchor="_Toc32999786" w:history="1">
        <w:r w:rsidR="00765837" w:rsidRPr="00765837">
          <w:rPr>
            <w:rStyle w:val="Hipercze"/>
          </w:rPr>
          <w:t>Noty objaśniające do sprawozdania finansowego</w:t>
        </w:r>
        <w:r w:rsidR="00765837" w:rsidRPr="00765837">
          <w:rPr>
            <w:webHidden/>
          </w:rPr>
          <w:tab/>
        </w:r>
        <w:r w:rsidR="00765837" w:rsidRPr="00765837">
          <w:rPr>
            <w:webHidden/>
          </w:rPr>
          <w:fldChar w:fldCharType="begin"/>
        </w:r>
        <w:r w:rsidR="00765837" w:rsidRPr="00765837">
          <w:rPr>
            <w:webHidden/>
          </w:rPr>
          <w:instrText xml:space="preserve"> PAGEREF _Toc32999786 \h </w:instrText>
        </w:r>
        <w:r w:rsidR="00765837" w:rsidRPr="00765837">
          <w:rPr>
            <w:webHidden/>
          </w:rPr>
        </w:r>
        <w:r w:rsidR="00765837" w:rsidRPr="00765837">
          <w:rPr>
            <w:webHidden/>
          </w:rPr>
          <w:fldChar w:fldCharType="separate"/>
        </w:r>
        <w:r w:rsidR="00B37C22">
          <w:rPr>
            <w:webHidden/>
          </w:rPr>
          <w:t>10</w:t>
        </w:r>
        <w:r w:rsidR="00765837" w:rsidRPr="00765837">
          <w:rPr>
            <w:webHidden/>
          </w:rPr>
          <w:fldChar w:fldCharType="end"/>
        </w:r>
      </w:hyperlink>
    </w:p>
    <w:p w14:paraId="649C7B9B" w14:textId="5CCCE57C" w:rsidR="00765837" w:rsidRPr="00765837" w:rsidRDefault="00A0087F">
      <w:pPr>
        <w:pStyle w:val="Spistreci2"/>
        <w:rPr>
          <w:rFonts w:eastAsiaTheme="minorEastAsia" w:cstheme="minorBidi"/>
        </w:rPr>
      </w:pPr>
      <w:hyperlink w:anchor="_Toc32999787" w:history="1">
        <w:r w:rsidR="00765837" w:rsidRPr="00765837">
          <w:rPr>
            <w:rStyle w:val="Hipercze"/>
          </w:rPr>
          <w:t>1.</w:t>
        </w:r>
        <w:r w:rsidR="00765837" w:rsidRPr="00765837">
          <w:rPr>
            <w:rFonts w:eastAsiaTheme="minorEastAsia" w:cstheme="minorBidi"/>
          </w:rPr>
          <w:tab/>
        </w:r>
        <w:r w:rsidR="00765837" w:rsidRPr="00765837">
          <w:rPr>
            <w:rStyle w:val="Hipercze"/>
          </w:rPr>
          <w:t>Informacje o Grupie mBanku S.A.</w:t>
        </w:r>
        <w:r w:rsidR="00765837" w:rsidRPr="00765837">
          <w:rPr>
            <w:webHidden/>
          </w:rPr>
          <w:tab/>
        </w:r>
        <w:r w:rsidR="00765837" w:rsidRPr="00765837">
          <w:rPr>
            <w:webHidden/>
          </w:rPr>
          <w:fldChar w:fldCharType="begin"/>
        </w:r>
        <w:r w:rsidR="00765837" w:rsidRPr="00765837">
          <w:rPr>
            <w:webHidden/>
          </w:rPr>
          <w:instrText xml:space="preserve"> PAGEREF _Toc32999787 \h </w:instrText>
        </w:r>
        <w:r w:rsidR="00765837" w:rsidRPr="00765837">
          <w:rPr>
            <w:webHidden/>
          </w:rPr>
        </w:r>
        <w:r w:rsidR="00765837" w:rsidRPr="00765837">
          <w:rPr>
            <w:webHidden/>
          </w:rPr>
          <w:fldChar w:fldCharType="separate"/>
        </w:r>
        <w:r w:rsidR="00B37C22">
          <w:rPr>
            <w:webHidden/>
          </w:rPr>
          <w:t>10</w:t>
        </w:r>
        <w:r w:rsidR="00765837" w:rsidRPr="00765837">
          <w:rPr>
            <w:webHidden/>
          </w:rPr>
          <w:fldChar w:fldCharType="end"/>
        </w:r>
      </w:hyperlink>
    </w:p>
    <w:p w14:paraId="623EE40A" w14:textId="20B88CC8" w:rsidR="00765837" w:rsidRPr="00765837" w:rsidRDefault="00A0087F">
      <w:pPr>
        <w:pStyle w:val="Spistreci2"/>
        <w:rPr>
          <w:rFonts w:eastAsiaTheme="minorEastAsia" w:cstheme="minorBidi"/>
        </w:rPr>
      </w:pPr>
      <w:hyperlink w:anchor="_Toc32999788" w:history="1">
        <w:r w:rsidR="00765837" w:rsidRPr="00765837">
          <w:rPr>
            <w:rStyle w:val="Hipercze"/>
          </w:rPr>
          <w:t>2.</w:t>
        </w:r>
        <w:r w:rsidR="00765837" w:rsidRPr="00765837">
          <w:rPr>
            <w:rFonts w:eastAsiaTheme="minorEastAsia" w:cstheme="minorBidi"/>
          </w:rPr>
          <w:tab/>
        </w:r>
        <w:r w:rsidR="00765837" w:rsidRPr="00765837">
          <w:rPr>
            <w:rStyle w:val="Hipercze"/>
          </w:rPr>
          <w:t>Opis ważniejszych stosowanych zasad rachunkowości</w:t>
        </w:r>
        <w:r w:rsidR="00765837" w:rsidRPr="00765837">
          <w:rPr>
            <w:webHidden/>
          </w:rPr>
          <w:tab/>
        </w:r>
        <w:r w:rsidR="00765837" w:rsidRPr="00765837">
          <w:rPr>
            <w:webHidden/>
          </w:rPr>
          <w:fldChar w:fldCharType="begin"/>
        </w:r>
        <w:r w:rsidR="00765837" w:rsidRPr="00765837">
          <w:rPr>
            <w:webHidden/>
          </w:rPr>
          <w:instrText xml:space="preserve"> PAGEREF _Toc32999788 \h </w:instrText>
        </w:r>
        <w:r w:rsidR="00765837" w:rsidRPr="00765837">
          <w:rPr>
            <w:webHidden/>
          </w:rPr>
        </w:r>
        <w:r w:rsidR="00765837" w:rsidRPr="00765837">
          <w:rPr>
            <w:webHidden/>
          </w:rPr>
          <w:fldChar w:fldCharType="separate"/>
        </w:r>
        <w:r w:rsidR="00B37C22">
          <w:rPr>
            <w:webHidden/>
          </w:rPr>
          <w:t>13</w:t>
        </w:r>
        <w:r w:rsidR="00765837" w:rsidRPr="00765837">
          <w:rPr>
            <w:webHidden/>
          </w:rPr>
          <w:fldChar w:fldCharType="end"/>
        </w:r>
      </w:hyperlink>
    </w:p>
    <w:p w14:paraId="21BF41B4" w14:textId="342E2895" w:rsidR="00765837" w:rsidRPr="00765837" w:rsidRDefault="00A0087F">
      <w:pPr>
        <w:pStyle w:val="Spistreci3"/>
        <w:rPr>
          <w:rFonts w:ascii="Verdana" w:eastAsiaTheme="minorEastAsia" w:hAnsi="Verdana" w:cstheme="minorBidi"/>
        </w:rPr>
      </w:pPr>
      <w:hyperlink w:anchor="_Toc32999789" w:history="1">
        <w:r w:rsidR="00765837" w:rsidRPr="00765837">
          <w:rPr>
            <w:rStyle w:val="Hipercze"/>
          </w:rPr>
          <w:t>2.1.</w:t>
        </w:r>
        <w:r w:rsidR="00765837" w:rsidRPr="00765837">
          <w:rPr>
            <w:rFonts w:ascii="Verdana" w:eastAsiaTheme="minorEastAsia" w:hAnsi="Verdana" w:cstheme="minorBidi"/>
          </w:rPr>
          <w:tab/>
        </w:r>
        <w:r w:rsidR="00765837" w:rsidRPr="00765837">
          <w:rPr>
            <w:rStyle w:val="Hipercze"/>
          </w:rPr>
          <w:t>Podstawa sporządzenia</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_Toc32999789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13</w:t>
        </w:r>
        <w:r w:rsidR="00765837" w:rsidRPr="00765837">
          <w:rPr>
            <w:rFonts w:ascii="Verdana" w:hAnsi="Verdana"/>
            <w:webHidden/>
          </w:rPr>
          <w:fldChar w:fldCharType="end"/>
        </w:r>
      </w:hyperlink>
    </w:p>
    <w:p w14:paraId="414869B6" w14:textId="14445312" w:rsidR="00765837" w:rsidRPr="00765837" w:rsidRDefault="00A0087F">
      <w:pPr>
        <w:pStyle w:val="Spistreci3"/>
        <w:rPr>
          <w:rFonts w:ascii="Verdana" w:eastAsiaTheme="minorEastAsia" w:hAnsi="Verdana" w:cstheme="minorBidi"/>
        </w:rPr>
      </w:pPr>
      <w:hyperlink w:anchor="_Toc32999790" w:history="1">
        <w:r w:rsidR="00765837" w:rsidRPr="00765837">
          <w:rPr>
            <w:rStyle w:val="Hipercze"/>
          </w:rPr>
          <w:t>2.2.</w:t>
        </w:r>
        <w:r w:rsidR="00765837" w:rsidRPr="00765837">
          <w:rPr>
            <w:rFonts w:ascii="Verdana" w:eastAsiaTheme="minorEastAsia" w:hAnsi="Verdana" w:cstheme="minorBidi"/>
          </w:rPr>
          <w:tab/>
        </w:r>
        <w:r w:rsidR="00765837" w:rsidRPr="00765837">
          <w:rPr>
            <w:rStyle w:val="Hipercze"/>
          </w:rPr>
          <w:t>Konsolidacja</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_Toc32999790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14</w:t>
        </w:r>
        <w:r w:rsidR="00765837" w:rsidRPr="00765837">
          <w:rPr>
            <w:rFonts w:ascii="Verdana" w:hAnsi="Verdana"/>
            <w:webHidden/>
          </w:rPr>
          <w:fldChar w:fldCharType="end"/>
        </w:r>
      </w:hyperlink>
    </w:p>
    <w:p w14:paraId="120C445C" w14:textId="005108A8" w:rsidR="00765837" w:rsidRPr="00765837" w:rsidRDefault="00A0087F">
      <w:pPr>
        <w:pStyle w:val="Spistreci3"/>
        <w:rPr>
          <w:rFonts w:ascii="Verdana" w:eastAsiaTheme="minorEastAsia" w:hAnsi="Verdana" w:cstheme="minorBidi"/>
        </w:rPr>
      </w:pPr>
      <w:hyperlink w:anchor="_Toc32999791" w:history="1">
        <w:r w:rsidR="00765837" w:rsidRPr="00765837">
          <w:rPr>
            <w:rStyle w:val="Hipercze"/>
          </w:rPr>
          <w:t>2.3.</w:t>
        </w:r>
        <w:r w:rsidR="00765837" w:rsidRPr="00765837">
          <w:rPr>
            <w:rFonts w:ascii="Verdana" w:eastAsiaTheme="minorEastAsia" w:hAnsi="Verdana" w:cstheme="minorBidi"/>
          </w:rPr>
          <w:tab/>
        </w:r>
        <w:r w:rsidR="00765837" w:rsidRPr="00765837">
          <w:rPr>
            <w:rStyle w:val="Hipercze"/>
          </w:rPr>
          <w:t>Przychody i koszty z tytułu odsetek</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_Toc32999791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15</w:t>
        </w:r>
        <w:r w:rsidR="00765837" w:rsidRPr="00765837">
          <w:rPr>
            <w:rFonts w:ascii="Verdana" w:hAnsi="Verdana"/>
            <w:webHidden/>
          </w:rPr>
          <w:fldChar w:fldCharType="end"/>
        </w:r>
      </w:hyperlink>
    </w:p>
    <w:p w14:paraId="7BA73DB5" w14:textId="20372596" w:rsidR="00765837" w:rsidRPr="00765837" w:rsidRDefault="00A0087F">
      <w:pPr>
        <w:pStyle w:val="Spistreci3"/>
        <w:rPr>
          <w:rFonts w:ascii="Verdana" w:eastAsiaTheme="minorEastAsia" w:hAnsi="Verdana" w:cstheme="minorBidi"/>
        </w:rPr>
      </w:pPr>
      <w:hyperlink w:anchor="_Toc32999792" w:history="1">
        <w:r w:rsidR="00765837" w:rsidRPr="00765837">
          <w:rPr>
            <w:rStyle w:val="Hipercze"/>
          </w:rPr>
          <w:t>2.4.</w:t>
        </w:r>
        <w:r w:rsidR="00765837" w:rsidRPr="00765837">
          <w:rPr>
            <w:rFonts w:ascii="Verdana" w:eastAsiaTheme="minorEastAsia" w:hAnsi="Verdana" w:cstheme="minorBidi"/>
          </w:rPr>
          <w:tab/>
        </w:r>
        <w:r w:rsidR="00765837" w:rsidRPr="00765837">
          <w:rPr>
            <w:rStyle w:val="Hipercze"/>
          </w:rPr>
          <w:t>Przychody z tytułu opłat i prowizji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_Toc32999792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16</w:t>
        </w:r>
        <w:r w:rsidR="00765837" w:rsidRPr="00765837">
          <w:rPr>
            <w:rFonts w:ascii="Verdana" w:hAnsi="Verdana"/>
            <w:webHidden/>
          </w:rPr>
          <w:fldChar w:fldCharType="end"/>
        </w:r>
      </w:hyperlink>
    </w:p>
    <w:p w14:paraId="59F7431C" w14:textId="4D893327" w:rsidR="00765837" w:rsidRPr="00765837" w:rsidRDefault="00A0087F">
      <w:pPr>
        <w:pStyle w:val="Spistreci3"/>
        <w:rPr>
          <w:rFonts w:ascii="Verdana" w:eastAsiaTheme="minorEastAsia" w:hAnsi="Verdana" w:cstheme="minorBidi"/>
        </w:rPr>
      </w:pPr>
      <w:hyperlink w:anchor="_Toc32999793" w:history="1">
        <w:r w:rsidR="00765837" w:rsidRPr="00765837">
          <w:rPr>
            <w:rStyle w:val="Hipercze"/>
          </w:rPr>
          <w:t>2.5.</w:t>
        </w:r>
        <w:r w:rsidR="00765837" w:rsidRPr="00765837">
          <w:rPr>
            <w:rFonts w:ascii="Verdana" w:eastAsiaTheme="minorEastAsia" w:hAnsi="Verdana" w:cstheme="minorBidi"/>
          </w:rPr>
          <w:tab/>
        </w:r>
        <w:r w:rsidR="00765837" w:rsidRPr="00765837">
          <w:rPr>
            <w:rStyle w:val="Hipercze"/>
          </w:rPr>
          <w:t>Przychody i koszty z tytułu sprzedaży produktów ubezpieczeniowych powiązanych z kredytami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_Toc32999793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17</w:t>
        </w:r>
        <w:r w:rsidR="00765837" w:rsidRPr="00765837">
          <w:rPr>
            <w:rFonts w:ascii="Verdana" w:hAnsi="Verdana"/>
            <w:webHidden/>
          </w:rPr>
          <w:fldChar w:fldCharType="end"/>
        </w:r>
      </w:hyperlink>
    </w:p>
    <w:p w14:paraId="7DD67AD6" w14:textId="6EC95D3A" w:rsidR="00765837" w:rsidRPr="00765837" w:rsidRDefault="00A0087F">
      <w:pPr>
        <w:pStyle w:val="Spistreci3"/>
        <w:rPr>
          <w:rFonts w:ascii="Verdana" w:eastAsiaTheme="minorEastAsia" w:hAnsi="Verdana" w:cstheme="minorBidi"/>
        </w:rPr>
      </w:pPr>
      <w:hyperlink w:anchor="_Toc32999794" w:history="1">
        <w:r w:rsidR="00765837" w:rsidRPr="00765837">
          <w:rPr>
            <w:rStyle w:val="Hipercze"/>
          </w:rPr>
          <w:t>2.6.</w:t>
        </w:r>
        <w:r w:rsidR="00765837" w:rsidRPr="00765837">
          <w:rPr>
            <w:rFonts w:ascii="Verdana" w:eastAsiaTheme="minorEastAsia" w:hAnsi="Verdana" w:cstheme="minorBidi"/>
          </w:rPr>
          <w:tab/>
        </w:r>
        <w:r w:rsidR="00765837" w:rsidRPr="00765837">
          <w:rPr>
            <w:rStyle w:val="Hipercze"/>
          </w:rPr>
          <w:t>Sprawozdawczość dotycząca segmentów</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_Toc32999794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18</w:t>
        </w:r>
        <w:r w:rsidR="00765837" w:rsidRPr="00765837">
          <w:rPr>
            <w:rFonts w:ascii="Verdana" w:hAnsi="Verdana"/>
            <w:webHidden/>
          </w:rPr>
          <w:fldChar w:fldCharType="end"/>
        </w:r>
      </w:hyperlink>
    </w:p>
    <w:p w14:paraId="283352A3" w14:textId="2E22194E" w:rsidR="00765837" w:rsidRPr="00765837" w:rsidRDefault="00A0087F">
      <w:pPr>
        <w:pStyle w:val="Spistreci3"/>
        <w:rPr>
          <w:rFonts w:ascii="Verdana" w:eastAsiaTheme="minorEastAsia" w:hAnsi="Verdana" w:cstheme="minorBidi"/>
        </w:rPr>
      </w:pPr>
      <w:hyperlink w:anchor="_Toc32999795" w:history="1">
        <w:r w:rsidR="00765837" w:rsidRPr="00765837">
          <w:rPr>
            <w:rStyle w:val="Hipercze"/>
          </w:rPr>
          <w:t>2.7.</w:t>
        </w:r>
        <w:r w:rsidR="00765837" w:rsidRPr="00765837">
          <w:rPr>
            <w:rFonts w:ascii="Verdana" w:eastAsiaTheme="minorEastAsia" w:hAnsi="Verdana" w:cstheme="minorBidi"/>
          </w:rPr>
          <w:tab/>
        </w:r>
        <w:r w:rsidR="00765837" w:rsidRPr="00765837">
          <w:rPr>
            <w:rStyle w:val="Hipercze"/>
          </w:rPr>
          <w:t>Aktywa finansowe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_Toc32999795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18</w:t>
        </w:r>
        <w:r w:rsidR="00765837" w:rsidRPr="00765837">
          <w:rPr>
            <w:rFonts w:ascii="Verdana" w:hAnsi="Verdana"/>
            <w:webHidden/>
          </w:rPr>
          <w:fldChar w:fldCharType="end"/>
        </w:r>
      </w:hyperlink>
    </w:p>
    <w:p w14:paraId="53F60A76" w14:textId="2280C0DC" w:rsidR="00765837" w:rsidRPr="00765837" w:rsidRDefault="00A0087F">
      <w:pPr>
        <w:pStyle w:val="Spistreci3"/>
        <w:rPr>
          <w:rFonts w:ascii="Verdana" w:eastAsiaTheme="minorEastAsia" w:hAnsi="Verdana" w:cstheme="minorBidi"/>
        </w:rPr>
      </w:pPr>
      <w:hyperlink w:anchor="_Toc32999796" w:history="1">
        <w:r w:rsidR="00765837" w:rsidRPr="00765837">
          <w:rPr>
            <w:rStyle w:val="Hipercze"/>
          </w:rPr>
          <w:t>2.8.</w:t>
        </w:r>
        <w:r w:rsidR="00765837" w:rsidRPr="00765837">
          <w:rPr>
            <w:rFonts w:ascii="Verdana" w:eastAsiaTheme="minorEastAsia" w:hAnsi="Verdana" w:cstheme="minorBidi"/>
          </w:rPr>
          <w:tab/>
        </w:r>
        <w:r w:rsidR="00765837" w:rsidRPr="00765837">
          <w:rPr>
            <w:rStyle w:val="Hipercze"/>
          </w:rPr>
          <w:t>Kompensowanie instrumentów finansowych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_Toc32999796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21</w:t>
        </w:r>
        <w:r w:rsidR="00765837" w:rsidRPr="00765837">
          <w:rPr>
            <w:rFonts w:ascii="Verdana" w:hAnsi="Verdana"/>
            <w:webHidden/>
          </w:rPr>
          <w:fldChar w:fldCharType="end"/>
        </w:r>
      </w:hyperlink>
    </w:p>
    <w:p w14:paraId="20FC2324" w14:textId="29B4D9A8" w:rsidR="00765837" w:rsidRPr="00765837" w:rsidRDefault="00A0087F">
      <w:pPr>
        <w:pStyle w:val="Spistreci3"/>
        <w:rPr>
          <w:rFonts w:ascii="Verdana" w:eastAsiaTheme="minorEastAsia" w:hAnsi="Verdana" w:cstheme="minorBidi"/>
        </w:rPr>
      </w:pPr>
      <w:hyperlink w:anchor="_Toc32999797" w:history="1">
        <w:r w:rsidR="00765837" w:rsidRPr="00765837">
          <w:rPr>
            <w:rStyle w:val="Hipercze"/>
          </w:rPr>
          <w:t>2.9.</w:t>
        </w:r>
        <w:r w:rsidR="00765837" w:rsidRPr="00765837">
          <w:rPr>
            <w:rFonts w:ascii="Verdana" w:eastAsiaTheme="minorEastAsia" w:hAnsi="Verdana" w:cstheme="minorBidi"/>
          </w:rPr>
          <w:tab/>
        </w:r>
        <w:r w:rsidR="00765837" w:rsidRPr="00765837">
          <w:rPr>
            <w:rStyle w:val="Hipercze"/>
          </w:rPr>
          <w:t>Utrata wartości aktywów finansowych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_Toc32999797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21</w:t>
        </w:r>
        <w:r w:rsidR="00765837" w:rsidRPr="00765837">
          <w:rPr>
            <w:rFonts w:ascii="Verdana" w:hAnsi="Verdana"/>
            <w:webHidden/>
          </w:rPr>
          <w:fldChar w:fldCharType="end"/>
        </w:r>
      </w:hyperlink>
    </w:p>
    <w:p w14:paraId="03DCE07E" w14:textId="4355B6E1" w:rsidR="00765837" w:rsidRPr="00765837" w:rsidRDefault="00A0087F">
      <w:pPr>
        <w:pStyle w:val="Spistreci3"/>
        <w:rPr>
          <w:rFonts w:ascii="Verdana" w:eastAsiaTheme="minorEastAsia" w:hAnsi="Verdana" w:cstheme="minorBidi"/>
        </w:rPr>
      </w:pPr>
      <w:hyperlink w:anchor="_Toc32999798" w:history="1">
        <w:r w:rsidR="00765837" w:rsidRPr="00765837">
          <w:rPr>
            <w:rStyle w:val="Hipercze"/>
          </w:rPr>
          <w:t>2.10.</w:t>
        </w:r>
        <w:r w:rsidR="00765837" w:rsidRPr="00765837">
          <w:rPr>
            <w:rFonts w:ascii="Verdana" w:eastAsiaTheme="minorEastAsia" w:hAnsi="Verdana" w:cstheme="minorBidi"/>
          </w:rPr>
          <w:tab/>
        </w:r>
        <w:r w:rsidR="00765837" w:rsidRPr="00765837">
          <w:rPr>
            <w:rStyle w:val="Hipercze"/>
          </w:rPr>
          <w:t>Umowy gwarancji finansowych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_Toc32999798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23</w:t>
        </w:r>
        <w:r w:rsidR="00765837" w:rsidRPr="00765837">
          <w:rPr>
            <w:rFonts w:ascii="Verdana" w:hAnsi="Verdana"/>
            <w:webHidden/>
          </w:rPr>
          <w:fldChar w:fldCharType="end"/>
        </w:r>
      </w:hyperlink>
    </w:p>
    <w:p w14:paraId="4B9CEF08" w14:textId="537A1B3B" w:rsidR="00765837" w:rsidRPr="00765837" w:rsidRDefault="00A0087F">
      <w:pPr>
        <w:pStyle w:val="Spistreci3"/>
        <w:rPr>
          <w:rFonts w:ascii="Verdana" w:eastAsiaTheme="minorEastAsia" w:hAnsi="Verdana" w:cstheme="minorBidi"/>
        </w:rPr>
      </w:pPr>
      <w:hyperlink w:anchor="_Toc32999799" w:history="1">
        <w:r w:rsidR="00765837" w:rsidRPr="00765837">
          <w:rPr>
            <w:rStyle w:val="Hipercze"/>
          </w:rPr>
          <w:t>2.11.</w:t>
        </w:r>
        <w:r w:rsidR="00765837" w:rsidRPr="00765837">
          <w:rPr>
            <w:rFonts w:ascii="Verdana" w:eastAsiaTheme="minorEastAsia" w:hAnsi="Verdana" w:cstheme="minorBidi"/>
          </w:rPr>
          <w:tab/>
        </w:r>
        <w:r w:rsidR="00765837" w:rsidRPr="00765837">
          <w:rPr>
            <w:rStyle w:val="Hipercze"/>
          </w:rPr>
          <w:t>Środki pieniężne i ekwiwalenty środków pieniężnych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_Toc32999799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23</w:t>
        </w:r>
        <w:r w:rsidR="00765837" w:rsidRPr="00765837">
          <w:rPr>
            <w:rFonts w:ascii="Verdana" w:hAnsi="Verdana"/>
            <w:webHidden/>
          </w:rPr>
          <w:fldChar w:fldCharType="end"/>
        </w:r>
      </w:hyperlink>
    </w:p>
    <w:p w14:paraId="5E8AD4A8" w14:textId="01BBFBB5" w:rsidR="00765837" w:rsidRPr="00765837" w:rsidRDefault="00A0087F">
      <w:pPr>
        <w:pStyle w:val="Spistreci3"/>
        <w:rPr>
          <w:rFonts w:ascii="Verdana" w:eastAsiaTheme="minorEastAsia" w:hAnsi="Verdana" w:cstheme="minorBidi"/>
        </w:rPr>
      </w:pPr>
      <w:hyperlink w:anchor="_Toc32999800" w:history="1">
        <w:r w:rsidR="00765837" w:rsidRPr="00765837">
          <w:rPr>
            <w:rStyle w:val="Hipercze"/>
          </w:rPr>
          <w:t>2.12.</w:t>
        </w:r>
        <w:r w:rsidR="00765837" w:rsidRPr="00765837">
          <w:rPr>
            <w:rFonts w:ascii="Verdana" w:eastAsiaTheme="minorEastAsia" w:hAnsi="Verdana" w:cstheme="minorBidi"/>
          </w:rPr>
          <w:tab/>
        </w:r>
        <w:r w:rsidR="00765837" w:rsidRPr="00765837">
          <w:rPr>
            <w:rStyle w:val="Hipercze"/>
          </w:rPr>
          <w:t>Umowy sprzedaży i odkupu</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_Toc32999800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23</w:t>
        </w:r>
        <w:r w:rsidR="00765837" w:rsidRPr="00765837">
          <w:rPr>
            <w:rFonts w:ascii="Verdana" w:hAnsi="Verdana"/>
            <w:webHidden/>
          </w:rPr>
          <w:fldChar w:fldCharType="end"/>
        </w:r>
      </w:hyperlink>
    </w:p>
    <w:p w14:paraId="0F0D0734" w14:textId="4B0E6B62" w:rsidR="00765837" w:rsidRPr="00765837" w:rsidRDefault="00A0087F">
      <w:pPr>
        <w:pStyle w:val="Spistreci3"/>
        <w:rPr>
          <w:rFonts w:ascii="Verdana" w:eastAsiaTheme="minorEastAsia" w:hAnsi="Verdana" w:cstheme="minorBidi"/>
        </w:rPr>
      </w:pPr>
      <w:hyperlink w:anchor="_Toc32999801" w:history="1">
        <w:r w:rsidR="00765837" w:rsidRPr="00765837">
          <w:rPr>
            <w:rStyle w:val="Hipercze"/>
          </w:rPr>
          <w:t>2.13.</w:t>
        </w:r>
        <w:r w:rsidR="00765837" w:rsidRPr="00765837">
          <w:rPr>
            <w:rFonts w:ascii="Verdana" w:eastAsiaTheme="minorEastAsia" w:hAnsi="Verdana" w:cstheme="minorBidi"/>
          </w:rPr>
          <w:tab/>
        </w:r>
        <w:r w:rsidR="00765837" w:rsidRPr="00765837">
          <w:rPr>
            <w:rStyle w:val="Hipercze"/>
          </w:rPr>
          <w:t>Pochodne instrumenty finansowe i rachunkowość zabezpieczeń</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_Toc32999801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24</w:t>
        </w:r>
        <w:r w:rsidR="00765837" w:rsidRPr="00765837">
          <w:rPr>
            <w:rFonts w:ascii="Verdana" w:hAnsi="Verdana"/>
            <w:webHidden/>
          </w:rPr>
          <w:fldChar w:fldCharType="end"/>
        </w:r>
      </w:hyperlink>
    </w:p>
    <w:p w14:paraId="01DA0506" w14:textId="756ECA12" w:rsidR="00765837" w:rsidRPr="00765837" w:rsidRDefault="00A0087F">
      <w:pPr>
        <w:pStyle w:val="Spistreci3"/>
        <w:rPr>
          <w:rFonts w:ascii="Verdana" w:eastAsiaTheme="minorEastAsia" w:hAnsi="Verdana" w:cstheme="minorBidi"/>
        </w:rPr>
      </w:pPr>
      <w:hyperlink w:anchor="_Toc32999802" w:history="1">
        <w:r w:rsidR="00765837" w:rsidRPr="00765837">
          <w:rPr>
            <w:rStyle w:val="Hipercze"/>
          </w:rPr>
          <w:t>2.14.</w:t>
        </w:r>
        <w:r w:rsidR="00765837" w:rsidRPr="00765837">
          <w:rPr>
            <w:rFonts w:ascii="Verdana" w:eastAsiaTheme="minorEastAsia" w:hAnsi="Verdana" w:cstheme="minorBidi"/>
          </w:rPr>
          <w:tab/>
        </w:r>
        <w:r w:rsidR="00765837" w:rsidRPr="00765837">
          <w:rPr>
            <w:rStyle w:val="Hipercze"/>
          </w:rPr>
          <w:t>Zyski i straty w momencie początkowego ujęcia</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_Toc32999802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26</w:t>
        </w:r>
        <w:r w:rsidR="00765837" w:rsidRPr="00765837">
          <w:rPr>
            <w:rFonts w:ascii="Verdana" w:hAnsi="Verdana"/>
            <w:webHidden/>
          </w:rPr>
          <w:fldChar w:fldCharType="end"/>
        </w:r>
      </w:hyperlink>
    </w:p>
    <w:p w14:paraId="23FF7453" w14:textId="76B2E4F0" w:rsidR="00765837" w:rsidRPr="00765837" w:rsidRDefault="00A0087F">
      <w:pPr>
        <w:pStyle w:val="Spistreci3"/>
        <w:rPr>
          <w:rFonts w:ascii="Verdana" w:eastAsiaTheme="minorEastAsia" w:hAnsi="Verdana" w:cstheme="minorBidi"/>
        </w:rPr>
      </w:pPr>
      <w:hyperlink w:anchor="_Toc32999803" w:history="1">
        <w:r w:rsidR="00765837" w:rsidRPr="00765837">
          <w:rPr>
            <w:rStyle w:val="Hipercze"/>
          </w:rPr>
          <w:t>2.15.</w:t>
        </w:r>
        <w:r w:rsidR="00765837" w:rsidRPr="00765837">
          <w:rPr>
            <w:rFonts w:ascii="Verdana" w:eastAsiaTheme="minorEastAsia" w:hAnsi="Verdana" w:cstheme="minorBidi"/>
          </w:rPr>
          <w:tab/>
        </w:r>
        <w:r w:rsidR="00765837" w:rsidRPr="00765837">
          <w:rPr>
            <w:rStyle w:val="Hipercze"/>
          </w:rPr>
          <w:t>Zobowiązania finansowe wyceniane w zamortyzowanym koszcie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_Toc32999803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27</w:t>
        </w:r>
        <w:r w:rsidR="00765837" w:rsidRPr="00765837">
          <w:rPr>
            <w:rFonts w:ascii="Verdana" w:hAnsi="Verdana"/>
            <w:webHidden/>
          </w:rPr>
          <w:fldChar w:fldCharType="end"/>
        </w:r>
      </w:hyperlink>
    </w:p>
    <w:p w14:paraId="1A1E5006" w14:textId="2052F8C5" w:rsidR="00765837" w:rsidRPr="00765837" w:rsidRDefault="00A0087F">
      <w:pPr>
        <w:pStyle w:val="Spistreci3"/>
        <w:rPr>
          <w:rFonts w:ascii="Verdana" w:eastAsiaTheme="minorEastAsia" w:hAnsi="Verdana" w:cstheme="minorBidi"/>
        </w:rPr>
      </w:pPr>
      <w:hyperlink w:anchor="_Toc32999804" w:history="1">
        <w:r w:rsidR="00765837" w:rsidRPr="00765837">
          <w:rPr>
            <w:rStyle w:val="Hipercze"/>
          </w:rPr>
          <w:t>2.16.</w:t>
        </w:r>
        <w:r w:rsidR="00765837" w:rsidRPr="00765837">
          <w:rPr>
            <w:rFonts w:ascii="Verdana" w:eastAsiaTheme="minorEastAsia" w:hAnsi="Verdana" w:cstheme="minorBidi"/>
          </w:rPr>
          <w:tab/>
        </w:r>
        <w:r w:rsidR="00765837" w:rsidRPr="00765837">
          <w:rPr>
            <w:rStyle w:val="Hipercze"/>
          </w:rPr>
          <w:t>Wartości niematerialne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_Toc32999804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27</w:t>
        </w:r>
        <w:r w:rsidR="00765837" w:rsidRPr="00765837">
          <w:rPr>
            <w:rFonts w:ascii="Verdana" w:hAnsi="Verdana"/>
            <w:webHidden/>
          </w:rPr>
          <w:fldChar w:fldCharType="end"/>
        </w:r>
      </w:hyperlink>
    </w:p>
    <w:p w14:paraId="17F0C5AE" w14:textId="6C7BD219" w:rsidR="00765837" w:rsidRPr="00765837" w:rsidRDefault="00A0087F">
      <w:pPr>
        <w:pStyle w:val="Spistreci3"/>
        <w:rPr>
          <w:rFonts w:ascii="Verdana" w:eastAsiaTheme="minorEastAsia" w:hAnsi="Verdana" w:cstheme="minorBidi"/>
        </w:rPr>
      </w:pPr>
      <w:hyperlink w:anchor="_Toc32999805" w:history="1">
        <w:r w:rsidR="00765837" w:rsidRPr="00765837">
          <w:rPr>
            <w:rStyle w:val="Hipercze"/>
          </w:rPr>
          <w:t>2.17.</w:t>
        </w:r>
        <w:r w:rsidR="00765837" w:rsidRPr="00765837">
          <w:rPr>
            <w:rFonts w:ascii="Verdana" w:eastAsiaTheme="minorEastAsia" w:hAnsi="Verdana" w:cstheme="minorBidi"/>
          </w:rPr>
          <w:tab/>
        </w:r>
        <w:r w:rsidR="00765837" w:rsidRPr="00765837">
          <w:rPr>
            <w:rStyle w:val="Hipercze"/>
          </w:rPr>
          <w:t>Rzeczowe aktywa trwałe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_Toc32999805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28</w:t>
        </w:r>
        <w:r w:rsidR="00765837" w:rsidRPr="00765837">
          <w:rPr>
            <w:rFonts w:ascii="Verdana" w:hAnsi="Verdana"/>
            <w:webHidden/>
          </w:rPr>
          <w:fldChar w:fldCharType="end"/>
        </w:r>
      </w:hyperlink>
    </w:p>
    <w:p w14:paraId="0ADC7357" w14:textId="31B4E819" w:rsidR="00765837" w:rsidRPr="00765837" w:rsidRDefault="00A0087F">
      <w:pPr>
        <w:pStyle w:val="Spistreci3"/>
        <w:rPr>
          <w:rFonts w:ascii="Verdana" w:eastAsiaTheme="minorEastAsia" w:hAnsi="Verdana" w:cstheme="minorBidi"/>
        </w:rPr>
      </w:pPr>
      <w:hyperlink w:anchor="_Toc32999806" w:history="1">
        <w:r w:rsidR="00765837" w:rsidRPr="00765837">
          <w:rPr>
            <w:rStyle w:val="Hipercze"/>
          </w:rPr>
          <w:t>2.18.</w:t>
        </w:r>
        <w:r w:rsidR="00765837" w:rsidRPr="00765837">
          <w:rPr>
            <w:rFonts w:ascii="Verdana" w:eastAsiaTheme="minorEastAsia" w:hAnsi="Verdana" w:cstheme="minorBidi"/>
          </w:rPr>
          <w:tab/>
        </w:r>
        <w:r w:rsidR="00765837" w:rsidRPr="00765837">
          <w:rPr>
            <w:rStyle w:val="Hipercze"/>
          </w:rPr>
          <w:t>Zapasy</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_Toc32999806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29</w:t>
        </w:r>
        <w:r w:rsidR="00765837" w:rsidRPr="00765837">
          <w:rPr>
            <w:rFonts w:ascii="Verdana" w:hAnsi="Verdana"/>
            <w:webHidden/>
          </w:rPr>
          <w:fldChar w:fldCharType="end"/>
        </w:r>
      </w:hyperlink>
    </w:p>
    <w:p w14:paraId="46417CE3" w14:textId="139B409C" w:rsidR="00765837" w:rsidRPr="00765837" w:rsidRDefault="00A0087F">
      <w:pPr>
        <w:pStyle w:val="Spistreci3"/>
        <w:rPr>
          <w:rFonts w:ascii="Verdana" w:eastAsiaTheme="minorEastAsia" w:hAnsi="Verdana" w:cstheme="minorBidi"/>
        </w:rPr>
      </w:pPr>
      <w:hyperlink w:anchor="_Toc32999807" w:history="1">
        <w:r w:rsidR="00765837" w:rsidRPr="00765837">
          <w:rPr>
            <w:rStyle w:val="Hipercze"/>
          </w:rPr>
          <w:t>2.19.</w:t>
        </w:r>
        <w:r w:rsidR="00765837" w:rsidRPr="00765837">
          <w:rPr>
            <w:rFonts w:ascii="Verdana" w:eastAsiaTheme="minorEastAsia" w:hAnsi="Verdana" w:cstheme="minorBidi"/>
          </w:rPr>
          <w:tab/>
        </w:r>
        <w:r w:rsidR="00765837" w:rsidRPr="00765837">
          <w:rPr>
            <w:rStyle w:val="Hipercze"/>
          </w:rPr>
          <w:t>Aktywa trwałe przeznaczone do sprzedaży oraz działalność zaniechana</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_Toc32999807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29</w:t>
        </w:r>
        <w:r w:rsidR="00765837" w:rsidRPr="00765837">
          <w:rPr>
            <w:rFonts w:ascii="Verdana" w:hAnsi="Verdana"/>
            <w:webHidden/>
          </w:rPr>
          <w:fldChar w:fldCharType="end"/>
        </w:r>
      </w:hyperlink>
    </w:p>
    <w:p w14:paraId="5960F7B7" w14:textId="16E0553F" w:rsidR="00765837" w:rsidRPr="00765837" w:rsidRDefault="00A0087F">
      <w:pPr>
        <w:pStyle w:val="Spistreci3"/>
        <w:rPr>
          <w:rFonts w:ascii="Verdana" w:eastAsiaTheme="minorEastAsia" w:hAnsi="Verdana" w:cstheme="minorBidi"/>
        </w:rPr>
      </w:pPr>
      <w:hyperlink w:anchor="_Toc32999808" w:history="1">
        <w:r w:rsidR="00765837" w:rsidRPr="00765837">
          <w:rPr>
            <w:rStyle w:val="Hipercze"/>
          </w:rPr>
          <w:t>2.20.</w:t>
        </w:r>
        <w:r w:rsidR="00765837" w:rsidRPr="00765837">
          <w:rPr>
            <w:rFonts w:ascii="Verdana" w:eastAsiaTheme="minorEastAsia" w:hAnsi="Verdana" w:cstheme="minorBidi"/>
          </w:rPr>
          <w:tab/>
        </w:r>
        <w:r w:rsidR="00765837" w:rsidRPr="00765837">
          <w:rPr>
            <w:rStyle w:val="Hipercze"/>
          </w:rPr>
          <w:t>Odroczony podatek dochodowy</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_Toc32999808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29</w:t>
        </w:r>
        <w:r w:rsidR="00765837" w:rsidRPr="00765837">
          <w:rPr>
            <w:rFonts w:ascii="Verdana" w:hAnsi="Verdana"/>
            <w:webHidden/>
          </w:rPr>
          <w:fldChar w:fldCharType="end"/>
        </w:r>
      </w:hyperlink>
    </w:p>
    <w:p w14:paraId="780C0CDB" w14:textId="3A78BCEF" w:rsidR="00765837" w:rsidRPr="00765837" w:rsidRDefault="00A0087F">
      <w:pPr>
        <w:pStyle w:val="Spistreci3"/>
        <w:rPr>
          <w:rFonts w:ascii="Verdana" w:eastAsiaTheme="minorEastAsia" w:hAnsi="Verdana" w:cstheme="minorBidi"/>
        </w:rPr>
      </w:pPr>
      <w:hyperlink w:anchor="_Toc32999809" w:history="1">
        <w:r w:rsidR="00765837" w:rsidRPr="00765837">
          <w:rPr>
            <w:rStyle w:val="Hipercze"/>
          </w:rPr>
          <w:t>2.21.</w:t>
        </w:r>
        <w:r w:rsidR="00765837" w:rsidRPr="00765837">
          <w:rPr>
            <w:rFonts w:ascii="Verdana" w:eastAsiaTheme="minorEastAsia" w:hAnsi="Verdana" w:cstheme="minorBidi"/>
          </w:rPr>
          <w:tab/>
        </w:r>
        <w:r w:rsidR="00765837" w:rsidRPr="00765837">
          <w:rPr>
            <w:rStyle w:val="Hipercze"/>
          </w:rPr>
          <w:t>Aktywa przejęte za długi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_Toc32999809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30</w:t>
        </w:r>
        <w:r w:rsidR="00765837" w:rsidRPr="00765837">
          <w:rPr>
            <w:rFonts w:ascii="Verdana" w:hAnsi="Verdana"/>
            <w:webHidden/>
          </w:rPr>
          <w:fldChar w:fldCharType="end"/>
        </w:r>
      </w:hyperlink>
    </w:p>
    <w:p w14:paraId="0156248D" w14:textId="02DE9DFF" w:rsidR="00765837" w:rsidRPr="00765837" w:rsidRDefault="00A0087F">
      <w:pPr>
        <w:pStyle w:val="Spistreci3"/>
        <w:rPr>
          <w:rFonts w:ascii="Verdana" w:eastAsiaTheme="minorEastAsia" w:hAnsi="Verdana" w:cstheme="minorBidi"/>
        </w:rPr>
      </w:pPr>
      <w:hyperlink w:anchor="_Toc32999810" w:history="1">
        <w:r w:rsidR="00765837" w:rsidRPr="00765837">
          <w:rPr>
            <w:rStyle w:val="Hipercze"/>
          </w:rPr>
          <w:t>2.22.</w:t>
        </w:r>
        <w:r w:rsidR="00765837" w:rsidRPr="00765837">
          <w:rPr>
            <w:rFonts w:ascii="Verdana" w:eastAsiaTheme="minorEastAsia" w:hAnsi="Verdana" w:cstheme="minorBidi"/>
          </w:rPr>
          <w:tab/>
        </w:r>
        <w:r w:rsidR="00765837" w:rsidRPr="00765837">
          <w:rPr>
            <w:rStyle w:val="Hipercze"/>
          </w:rPr>
          <w:t>Rozliczenia międzyokresowe i przychody przyszłych okresów</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_Toc32999810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31</w:t>
        </w:r>
        <w:r w:rsidR="00765837" w:rsidRPr="00765837">
          <w:rPr>
            <w:rFonts w:ascii="Verdana" w:hAnsi="Verdana"/>
            <w:webHidden/>
          </w:rPr>
          <w:fldChar w:fldCharType="end"/>
        </w:r>
      </w:hyperlink>
    </w:p>
    <w:p w14:paraId="60C4D36B" w14:textId="49630CAF" w:rsidR="00765837" w:rsidRPr="00765837" w:rsidRDefault="00A0087F">
      <w:pPr>
        <w:pStyle w:val="Spistreci3"/>
        <w:rPr>
          <w:rFonts w:ascii="Verdana" w:eastAsiaTheme="minorEastAsia" w:hAnsi="Verdana" w:cstheme="minorBidi"/>
        </w:rPr>
      </w:pPr>
      <w:hyperlink w:anchor="_Toc32999811" w:history="1">
        <w:r w:rsidR="00765837" w:rsidRPr="00765837">
          <w:rPr>
            <w:rStyle w:val="Hipercze"/>
          </w:rPr>
          <w:t>2.23.</w:t>
        </w:r>
        <w:r w:rsidR="00765837" w:rsidRPr="00765837">
          <w:rPr>
            <w:rFonts w:ascii="Verdana" w:eastAsiaTheme="minorEastAsia" w:hAnsi="Verdana" w:cstheme="minorBidi"/>
          </w:rPr>
          <w:tab/>
        </w:r>
        <w:r w:rsidR="00765837" w:rsidRPr="00765837">
          <w:rPr>
            <w:rStyle w:val="Hipercze"/>
          </w:rPr>
          <w:t>Leasing</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_Toc32999811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31</w:t>
        </w:r>
        <w:r w:rsidR="00765837" w:rsidRPr="00765837">
          <w:rPr>
            <w:rFonts w:ascii="Verdana" w:hAnsi="Verdana"/>
            <w:webHidden/>
          </w:rPr>
          <w:fldChar w:fldCharType="end"/>
        </w:r>
      </w:hyperlink>
    </w:p>
    <w:p w14:paraId="79EF916D" w14:textId="76C4128F" w:rsidR="00765837" w:rsidRPr="00765837" w:rsidRDefault="00A0087F">
      <w:pPr>
        <w:pStyle w:val="Spistreci3"/>
        <w:rPr>
          <w:rFonts w:ascii="Verdana" w:eastAsiaTheme="minorEastAsia" w:hAnsi="Verdana" w:cstheme="minorBidi"/>
        </w:rPr>
      </w:pPr>
      <w:hyperlink w:anchor="_Toc32999812" w:history="1">
        <w:r w:rsidR="00765837" w:rsidRPr="00765837">
          <w:rPr>
            <w:rStyle w:val="Hipercze"/>
          </w:rPr>
          <w:t>2.24.</w:t>
        </w:r>
        <w:r w:rsidR="00765837" w:rsidRPr="00765837">
          <w:rPr>
            <w:rFonts w:ascii="Verdana" w:eastAsiaTheme="minorEastAsia" w:hAnsi="Verdana" w:cstheme="minorBidi"/>
          </w:rPr>
          <w:tab/>
        </w:r>
        <w:r w:rsidR="00765837" w:rsidRPr="00765837">
          <w:rPr>
            <w:rStyle w:val="Hipercze"/>
          </w:rPr>
          <w:t>Rezerwy</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_Toc32999812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33</w:t>
        </w:r>
        <w:r w:rsidR="00765837" w:rsidRPr="00765837">
          <w:rPr>
            <w:rFonts w:ascii="Verdana" w:hAnsi="Verdana"/>
            <w:webHidden/>
          </w:rPr>
          <w:fldChar w:fldCharType="end"/>
        </w:r>
      </w:hyperlink>
    </w:p>
    <w:p w14:paraId="76AAFAEE" w14:textId="7EF466A4" w:rsidR="00765837" w:rsidRPr="00765837" w:rsidRDefault="00A0087F">
      <w:pPr>
        <w:pStyle w:val="Spistreci3"/>
        <w:rPr>
          <w:rFonts w:ascii="Verdana" w:eastAsiaTheme="minorEastAsia" w:hAnsi="Verdana" w:cstheme="minorBidi"/>
        </w:rPr>
      </w:pPr>
      <w:hyperlink w:anchor="_Toc32999813" w:history="1">
        <w:r w:rsidR="00765837" w:rsidRPr="00765837">
          <w:rPr>
            <w:rStyle w:val="Hipercze"/>
          </w:rPr>
          <w:t>2.25.</w:t>
        </w:r>
        <w:r w:rsidR="00765837" w:rsidRPr="00765837">
          <w:rPr>
            <w:rFonts w:ascii="Verdana" w:eastAsiaTheme="minorEastAsia" w:hAnsi="Verdana" w:cstheme="minorBidi"/>
          </w:rPr>
          <w:tab/>
        </w:r>
        <w:r w:rsidR="00765837" w:rsidRPr="00765837">
          <w:rPr>
            <w:rStyle w:val="Hipercze"/>
          </w:rPr>
          <w:t>Świadczenia pracownicze po okresie zatrudnienia i inne świadczenia pracownicze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_Toc32999813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33</w:t>
        </w:r>
        <w:r w:rsidR="00765837" w:rsidRPr="00765837">
          <w:rPr>
            <w:rFonts w:ascii="Verdana" w:hAnsi="Verdana"/>
            <w:webHidden/>
          </w:rPr>
          <w:fldChar w:fldCharType="end"/>
        </w:r>
      </w:hyperlink>
    </w:p>
    <w:p w14:paraId="186971E0" w14:textId="40FAFCD1" w:rsidR="00765837" w:rsidRPr="00765837" w:rsidRDefault="00A0087F">
      <w:pPr>
        <w:pStyle w:val="Spistreci3"/>
        <w:rPr>
          <w:rFonts w:ascii="Verdana" w:eastAsiaTheme="minorEastAsia" w:hAnsi="Verdana" w:cstheme="minorBidi"/>
        </w:rPr>
      </w:pPr>
      <w:hyperlink w:anchor="_Toc32999814" w:history="1">
        <w:r w:rsidR="00765837" w:rsidRPr="00765837">
          <w:rPr>
            <w:rStyle w:val="Hipercze"/>
          </w:rPr>
          <w:t>2.26.</w:t>
        </w:r>
        <w:r w:rsidR="00765837" w:rsidRPr="00765837">
          <w:rPr>
            <w:rFonts w:ascii="Verdana" w:eastAsiaTheme="minorEastAsia" w:hAnsi="Verdana" w:cstheme="minorBidi"/>
          </w:rPr>
          <w:tab/>
        </w:r>
        <w:r w:rsidR="00765837" w:rsidRPr="00765837">
          <w:rPr>
            <w:rStyle w:val="Hipercze"/>
          </w:rPr>
          <w:t>Kapitał</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_Toc32999814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33</w:t>
        </w:r>
        <w:r w:rsidR="00765837" w:rsidRPr="00765837">
          <w:rPr>
            <w:rFonts w:ascii="Verdana" w:hAnsi="Verdana"/>
            <w:webHidden/>
          </w:rPr>
          <w:fldChar w:fldCharType="end"/>
        </w:r>
      </w:hyperlink>
    </w:p>
    <w:p w14:paraId="20426A21" w14:textId="5E23D24B" w:rsidR="00765837" w:rsidRPr="00765837" w:rsidRDefault="00A0087F">
      <w:pPr>
        <w:pStyle w:val="Spistreci3"/>
        <w:rPr>
          <w:rFonts w:ascii="Verdana" w:eastAsiaTheme="minorEastAsia" w:hAnsi="Verdana" w:cstheme="minorBidi"/>
        </w:rPr>
      </w:pPr>
      <w:hyperlink w:anchor="_Toc32999815" w:history="1">
        <w:r w:rsidR="00765837" w:rsidRPr="00765837">
          <w:rPr>
            <w:rStyle w:val="Hipercze"/>
          </w:rPr>
          <w:t>2.27.</w:t>
        </w:r>
        <w:r w:rsidR="00765837" w:rsidRPr="00765837">
          <w:rPr>
            <w:rFonts w:ascii="Verdana" w:eastAsiaTheme="minorEastAsia" w:hAnsi="Verdana" w:cstheme="minorBidi"/>
          </w:rPr>
          <w:tab/>
        </w:r>
        <w:r w:rsidR="00765837" w:rsidRPr="00765837">
          <w:rPr>
            <w:rStyle w:val="Hipercze"/>
          </w:rPr>
          <w:t>Wycena pozycji wyrażonych w walutach obcych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_Toc32999815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34</w:t>
        </w:r>
        <w:r w:rsidR="00765837" w:rsidRPr="00765837">
          <w:rPr>
            <w:rFonts w:ascii="Verdana" w:hAnsi="Verdana"/>
            <w:webHidden/>
          </w:rPr>
          <w:fldChar w:fldCharType="end"/>
        </w:r>
      </w:hyperlink>
    </w:p>
    <w:p w14:paraId="2EEE3FF8" w14:textId="13CE335A" w:rsidR="00765837" w:rsidRPr="00765837" w:rsidRDefault="00A0087F">
      <w:pPr>
        <w:pStyle w:val="Spistreci3"/>
        <w:rPr>
          <w:rFonts w:ascii="Verdana" w:eastAsiaTheme="minorEastAsia" w:hAnsi="Verdana" w:cstheme="minorBidi"/>
        </w:rPr>
      </w:pPr>
      <w:hyperlink w:anchor="_Toc32999816" w:history="1">
        <w:r w:rsidR="00765837" w:rsidRPr="00765837">
          <w:rPr>
            <w:rStyle w:val="Hipercze"/>
          </w:rPr>
          <w:t>2.28.</w:t>
        </w:r>
        <w:r w:rsidR="00765837" w:rsidRPr="00765837">
          <w:rPr>
            <w:rFonts w:ascii="Verdana" w:eastAsiaTheme="minorEastAsia" w:hAnsi="Verdana" w:cstheme="minorBidi"/>
          </w:rPr>
          <w:tab/>
        </w:r>
        <w:r w:rsidR="00765837" w:rsidRPr="00765837">
          <w:rPr>
            <w:rStyle w:val="Hipercze"/>
          </w:rPr>
          <w:t>Działalność powiernicza</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_Toc32999816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35</w:t>
        </w:r>
        <w:r w:rsidR="00765837" w:rsidRPr="00765837">
          <w:rPr>
            <w:rFonts w:ascii="Verdana" w:hAnsi="Verdana"/>
            <w:webHidden/>
          </w:rPr>
          <w:fldChar w:fldCharType="end"/>
        </w:r>
      </w:hyperlink>
    </w:p>
    <w:p w14:paraId="0518C79E" w14:textId="2E2C8EAC" w:rsidR="00765837" w:rsidRPr="00765837" w:rsidRDefault="00A0087F">
      <w:pPr>
        <w:pStyle w:val="Spistreci3"/>
        <w:rPr>
          <w:rFonts w:ascii="Verdana" w:eastAsiaTheme="minorEastAsia" w:hAnsi="Verdana" w:cstheme="minorBidi"/>
        </w:rPr>
      </w:pPr>
      <w:hyperlink w:anchor="_Toc32999817" w:history="1">
        <w:r w:rsidR="00765837" w:rsidRPr="00765837">
          <w:rPr>
            <w:rStyle w:val="Hipercze"/>
          </w:rPr>
          <w:t>2.29.</w:t>
        </w:r>
        <w:r w:rsidR="00765837" w:rsidRPr="00765837">
          <w:rPr>
            <w:rFonts w:ascii="Verdana" w:eastAsiaTheme="minorEastAsia" w:hAnsi="Verdana" w:cstheme="minorBidi"/>
          </w:rPr>
          <w:tab/>
        </w:r>
        <w:r w:rsidR="00765837" w:rsidRPr="00765837">
          <w:rPr>
            <w:rStyle w:val="Hipercze"/>
          </w:rPr>
          <w:t>Nowe standardy, interpretacje i poprawki do opublikowanych standardów</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_Toc32999817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36</w:t>
        </w:r>
        <w:r w:rsidR="00765837" w:rsidRPr="00765837">
          <w:rPr>
            <w:rFonts w:ascii="Verdana" w:hAnsi="Verdana"/>
            <w:webHidden/>
          </w:rPr>
          <w:fldChar w:fldCharType="end"/>
        </w:r>
      </w:hyperlink>
    </w:p>
    <w:p w14:paraId="22AEA68E" w14:textId="4A2071EE" w:rsidR="00765837" w:rsidRPr="00765837" w:rsidRDefault="00A0087F">
      <w:pPr>
        <w:pStyle w:val="Spistreci3"/>
        <w:rPr>
          <w:rFonts w:ascii="Verdana" w:eastAsiaTheme="minorEastAsia" w:hAnsi="Verdana" w:cstheme="minorBidi"/>
        </w:rPr>
      </w:pPr>
      <w:hyperlink w:anchor="_Toc32999818" w:history="1">
        <w:r w:rsidR="00765837" w:rsidRPr="00765837">
          <w:rPr>
            <w:rStyle w:val="Hipercze"/>
          </w:rPr>
          <w:t>2.30.</w:t>
        </w:r>
        <w:r w:rsidR="00765837" w:rsidRPr="00765837">
          <w:rPr>
            <w:rFonts w:ascii="Verdana" w:eastAsiaTheme="minorEastAsia" w:hAnsi="Verdana" w:cstheme="minorBidi"/>
          </w:rPr>
          <w:tab/>
        </w:r>
        <w:r w:rsidR="00765837" w:rsidRPr="00765837">
          <w:rPr>
            <w:rStyle w:val="Hipercze"/>
          </w:rPr>
          <w:t>Dane porównawcze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_Toc32999818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41</w:t>
        </w:r>
        <w:r w:rsidR="00765837" w:rsidRPr="00765837">
          <w:rPr>
            <w:rFonts w:ascii="Verdana" w:hAnsi="Verdana"/>
            <w:webHidden/>
          </w:rPr>
          <w:fldChar w:fldCharType="end"/>
        </w:r>
      </w:hyperlink>
    </w:p>
    <w:p w14:paraId="21386B3B" w14:textId="25640694" w:rsidR="00765837" w:rsidRPr="00765837" w:rsidRDefault="00A0087F">
      <w:pPr>
        <w:pStyle w:val="Spistreci2"/>
        <w:rPr>
          <w:rFonts w:eastAsiaTheme="minorEastAsia" w:cstheme="minorBidi"/>
        </w:rPr>
      </w:pPr>
      <w:hyperlink w:anchor="_Toc32999819" w:history="1">
        <w:r w:rsidR="00765837" w:rsidRPr="00765837">
          <w:rPr>
            <w:rStyle w:val="Hipercze"/>
          </w:rPr>
          <w:t>3.</w:t>
        </w:r>
        <w:r w:rsidR="00765837" w:rsidRPr="00765837">
          <w:rPr>
            <w:rFonts w:eastAsiaTheme="minorEastAsia" w:cstheme="minorBidi"/>
          </w:rPr>
          <w:tab/>
        </w:r>
        <w:r w:rsidR="00765837" w:rsidRPr="00765837">
          <w:rPr>
            <w:rStyle w:val="Hipercze"/>
          </w:rPr>
          <w:t>Zarządzanie ryzykiem</w:t>
        </w:r>
        <w:r w:rsidR="00765837" w:rsidRPr="00765837">
          <w:rPr>
            <w:webHidden/>
          </w:rPr>
          <w:tab/>
        </w:r>
        <w:r w:rsidR="00765837" w:rsidRPr="00765837">
          <w:rPr>
            <w:webHidden/>
          </w:rPr>
          <w:fldChar w:fldCharType="begin"/>
        </w:r>
        <w:r w:rsidR="00765837" w:rsidRPr="00765837">
          <w:rPr>
            <w:webHidden/>
          </w:rPr>
          <w:instrText xml:space="preserve"> PAGEREF _Toc32999819 \h </w:instrText>
        </w:r>
        <w:r w:rsidR="00765837" w:rsidRPr="00765837">
          <w:rPr>
            <w:webHidden/>
          </w:rPr>
        </w:r>
        <w:r w:rsidR="00765837" w:rsidRPr="00765837">
          <w:rPr>
            <w:webHidden/>
          </w:rPr>
          <w:fldChar w:fldCharType="separate"/>
        </w:r>
        <w:r w:rsidR="00B37C22">
          <w:rPr>
            <w:webHidden/>
          </w:rPr>
          <w:t>45</w:t>
        </w:r>
        <w:r w:rsidR="00765837" w:rsidRPr="00765837">
          <w:rPr>
            <w:webHidden/>
          </w:rPr>
          <w:fldChar w:fldCharType="end"/>
        </w:r>
      </w:hyperlink>
    </w:p>
    <w:p w14:paraId="0C768184" w14:textId="53AB3D59" w:rsidR="00765837" w:rsidRPr="00765837" w:rsidRDefault="00A0087F">
      <w:pPr>
        <w:pStyle w:val="Spistreci3"/>
        <w:rPr>
          <w:rFonts w:ascii="Verdana" w:eastAsiaTheme="minorEastAsia" w:hAnsi="Verdana" w:cstheme="minorBidi"/>
        </w:rPr>
      </w:pPr>
      <w:hyperlink w:anchor="_Toc32999820" w:history="1">
        <w:r w:rsidR="00765837" w:rsidRPr="00765837">
          <w:rPr>
            <w:rStyle w:val="Hipercze"/>
            <w:lang w:eastAsia="en-US"/>
          </w:rPr>
          <w:t>3.1.</w:t>
        </w:r>
        <w:r w:rsidR="00765837" w:rsidRPr="00765837">
          <w:rPr>
            <w:rFonts w:ascii="Verdana" w:eastAsiaTheme="minorEastAsia" w:hAnsi="Verdana" w:cstheme="minorBidi"/>
          </w:rPr>
          <w:tab/>
        </w:r>
        <w:r w:rsidR="00765837" w:rsidRPr="00765837">
          <w:rPr>
            <w:rStyle w:val="Hipercze"/>
            <w:lang w:eastAsia="en-US"/>
          </w:rPr>
          <w:t>Zarządzanie ryzykiem Grupy mBanku w 2019 roku – uwarunkowania zewnętrzne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_Toc32999820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45</w:t>
        </w:r>
        <w:r w:rsidR="00765837" w:rsidRPr="00765837">
          <w:rPr>
            <w:rFonts w:ascii="Verdana" w:hAnsi="Verdana"/>
            <w:webHidden/>
          </w:rPr>
          <w:fldChar w:fldCharType="end"/>
        </w:r>
      </w:hyperlink>
    </w:p>
    <w:p w14:paraId="39535894" w14:textId="782433CA" w:rsidR="00765837" w:rsidRPr="00765837" w:rsidRDefault="00A0087F">
      <w:pPr>
        <w:pStyle w:val="Spistreci3"/>
        <w:rPr>
          <w:rFonts w:ascii="Verdana" w:eastAsiaTheme="minorEastAsia" w:hAnsi="Verdana" w:cstheme="minorBidi"/>
        </w:rPr>
      </w:pPr>
      <w:hyperlink w:anchor="_Toc32999821" w:history="1">
        <w:r w:rsidR="00765837" w:rsidRPr="00765837">
          <w:rPr>
            <w:rStyle w:val="Hipercze"/>
          </w:rPr>
          <w:t>3.2.</w:t>
        </w:r>
        <w:r w:rsidR="00765837" w:rsidRPr="00765837">
          <w:rPr>
            <w:rFonts w:ascii="Verdana" w:eastAsiaTheme="minorEastAsia" w:hAnsi="Verdana" w:cstheme="minorBidi"/>
          </w:rPr>
          <w:tab/>
        </w:r>
        <w:r w:rsidR="00765837" w:rsidRPr="00765837">
          <w:rPr>
            <w:rStyle w:val="Hipercze"/>
          </w:rPr>
          <w:t>Zasady zarządzania ryzykiem</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_Toc32999821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46</w:t>
        </w:r>
        <w:r w:rsidR="00765837" w:rsidRPr="00765837">
          <w:rPr>
            <w:rFonts w:ascii="Verdana" w:hAnsi="Verdana"/>
            <w:webHidden/>
          </w:rPr>
          <w:fldChar w:fldCharType="end"/>
        </w:r>
      </w:hyperlink>
    </w:p>
    <w:p w14:paraId="4D7A0560" w14:textId="00FE6A50" w:rsidR="00765837" w:rsidRPr="00765837" w:rsidRDefault="00A0087F">
      <w:pPr>
        <w:pStyle w:val="Spistreci3"/>
        <w:rPr>
          <w:rFonts w:ascii="Verdana" w:eastAsiaTheme="minorEastAsia" w:hAnsi="Verdana" w:cstheme="minorBidi"/>
        </w:rPr>
      </w:pPr>
      <w:hyperlink w:anchor="_Toc32999822" w:history="1">
        <w:r w:rsidR="00765837" w:rsidRPr="00765837">
          <w:rPr>
            <w:rStyle w:val="Hipercze"/>
          </w:rPr>
          <w:t>3.3.</w:t>
        </w:r>
        <w:r w:rsidR="00765837" w:rsidRPr="00765837">
          <w:rPr>
            <w:rFonts w:ascii="Verdana" w:eastAsiaTheme="minorEastAsia" w:hAnsi="Verdana" w:cstheme="minorBidi"/>
          </w:rPr>
          <w:tab/>
        </w:r>
        <w:r w:rsidR="00765837" w:rsidRPr="00765837">
          <w:rPr>
            <w:rStyle w:val="Hipercze"/>
          </w:rPr>
          <w:t>Ryzyko kredytowe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_Toc32999822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50</w:t>
        </w:r>
        <w:r w:rsidR="00765837" w:rsidRPr="00765837">
          <w:rPr>
            <w:rFonts w:ascii="Verdana" w:hAnsi="Verdana"/>
            <w:webHidden/>
          </w:rPr>
          <w:fldChar w:fldCharType="end"/>
        </w:r>
      </w:hyperlink>
    </w:p>
    <w:p w14:paraId="5D2D0505" w14:textId="4E98D12D" w:rsidR="00765837" w:rsidRPr="00765837" w:rsidRDefault="00A0087F">
      <w:pPr>
        <w:pStyle w:val="Spistreci3"/>
        <w:rPr>
          <w:rFonts w:ascii="Verdana" w:eastAsiaTheme="minorEastAsia" w:hAnsi="Verdana" w:cstheme="minorBidi"/>
        </w:rPr>
      </w:pPr>
      <w:hyperlink w:anchor="_Toc32999823" w:history="1">
        <w:r w:rsidR="00765837" w:rsidRPr="00765837">
          <w:rPr>
            <w:rStyle w:val="Hipercze"/>
          </w:rPr>
          <w:t>3.4.</w:t>
        </w:r>
        <w:r w:rsidR="00765837" w:rsidRPr="00765837">
          <w:rPr>
            <w:rFonts w:ascii="Verdana" w:eastAsiaTheme="minorEastAsia" w:hAnsi="Verdana" w:cstheme="minorBidi"/>
          </w:rPr>
          <w:tab/>
        </w:r>
        <w:r w:rsidR="00765837" w:rsidRPr="00765837">
          <w:rPr>
            <w:rStyle w:val="Hipercze"/>
          </w:rPr>
          <w:t>Koncentracja aktywów, zobowiązań i pozycji pozabilansowych</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_Toc32999823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63</w:t>
        </w:r>
        <w:r w:rsidR="00765837" w:rsidRPr="00765837">
          <w:rPr>
            <w:rFonts w:ascii="Verdana" w:hAnsi="Verdana"/>
            <w:webHidden/>
          </w:rPr>
          <w:fldChar w:fldCharType="end"/>
        </w:r>
      </w:hyperlink>
    </w:p>
    <w:p w14:paraId="23268628" w14:textId="5366F8F3" w:rsidR="00765837" w:rsidRPr="00765837" w:rsidRDefault="00A0087F">
      <w:pPr>
        <w:pStyle w:val="Spistreci3"/>
        <w:rPr>
          <w:rFonts w:ascii="Verdana" w:eastAsiaTheme="minorEastAsia" w:hAnsi="Verdana" w:cstheme="minorBidi"/>
        </w:rPr>
      </w:pPr>
      <w:hyperlink w:anchor="_Toc32999824" w:history="1">
        <w:r w:rsidR="00765837" w:rsidRPr="00765837">
          <w:rPr>
            <w:rStyle w:val="Hipercze"/>
          </w:rPr>
          <w:t>3.5.</w:t>
        </w:r>
        <w:r w:rsidR="00765837" w:rsidRPr="00765837">
          <w:rPr>
            <w:rFonts w:ascii="Verdana" w:eastAsiaTheme="minorEastAsia" w:hAnsi="Verdana" w:cstheme="minorBidi"/>
          </w:rPr>
          <w:tab/>
        </w:r>
        <w:r w:rsidR="00765837" w:rsidRPr="00765837">
          <w:rPr>
            <w:rStyle w:val="Hipercze"/>
          </w:rPr>
          <w:t>Ryzyko rynkowe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_Toc32999824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65</w:t>
        </w:r>
        <w:r w:rsidR="00765837" w:rsidRPr="00765837">
          <w:rPr>
            <w:rFonts w:ascii="Verdana" w:hAnsi="Verdana"/>
            <w:webHidden/>
          </w:rPr>
          <w:fldChar w:fldCharType="end"/>
        </w:r>
      </w:hyperlink>
    </w:p>
    <w:p w14:paraId="17F5713E" w14:textId="5778201E" w:rsidR="00765837" w:rsidRPr="00765837" w:rsidRDefault="00A0087F">
      <w:pPr>
        <w:pStyle w:val="Spistreci3"/>
        <w:rPr>
          <w:rFonts w:ascii="Verdana" w:eastAsiaTheme="minorEastAsia" w:hAnsi="Verdana" w:cstheme="minorBidi"/>
        </w:rPr>
      </w:pPr>
      <w:hyperlink w:anchor="_Toc32999825" w:history="1">
        <w:r w:rsidR="00765837" w:rsidRPr="00765837">
          <w:rPr>
            <w:rStyle w:val="Hipercze"/>
          </w:rPr>
          <w:t>3.6.</w:t>
        </w:r>
        <w:r w:rsidR="00765837" w:rsidRPr="00765837">
          <w:rPr>
            <w:rFonts w:ascii="Verdana" w:eastAsiaTheme="minorEastAsia" w:hAnsi="Verdana" w:cstheme="minorBidi"/>
          </w:rPr>
          <w:tab/>
        </w:r>
        <w:r w:rsidR="00765837" w:rsidRPr="00765837">
          <w:rPr>
            <w:rStyle w:val="Hipercze"/>
          </w:rPr>
          <w:t>Ryzyko walutowe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_Toc32999825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68</w:t>
        </w:r>
        <w:r w:rsidR="00765837" w:rsidRPr="00765837">
          <w:rPr>
            <w:rFonts w:ascii="Verdana" w:hAnsi="Verdana"/>
            <w:webHidden/>
          </w:rPr>
          <w:fldChar w:fldCharType="end"/>
        </w:r>
      </w:hyperlink>
    </w:p>
    <w:p w14:paraId="3E0620A7" w14:textId="428264CB" w:rsidR="00765837" w:rsidRPr="00765837" w:rsidRDefault="00A0087F">
      <w:pPr>
        <w:pStyle w:val="Spistreci3"/>
        <w:rPr>
          <w:rFonts w:ascii="Verdana" w:eastAsiaTheme="minorEastAsia" w:hAnsi="Verdana" w:cstheme="minorBidi"/>
        </w:rPr>
      </w:pPr>
      <w:hyperlink w:anchor="_Toc32999826" w:history="1">
        <w:r w:rsidR="00765837" w:rsidRPr="00765837">
          <w:rPr>
            <w:rStyle w:val="Hipercze"/>
            <w:lang w:eastAsia="en-US"/>
          </w:rPr>
          <w:t>3.7.</w:t>
        </w:r>
        <w:r w:rsidR="00765837" w:rsidRPr="00765837">
          <w:rPr>
            <w:rFonts w:ascii="Verdana" w:eastAsiaTheme="minorEastAsia" w:hAnsi="Verdana" w:cstheme="minorBidi"/>
          </w:rPr>
          <w:tab/>
        </w:r>
        <w:r w:rsidR="00765837" w:rsidRPr="00765837">
          <w:rPr>
            <w:rStyle w:val="Hipercze"/>
            <w:lang w:eastAsia="en-US"/>
          </w:rPr>
          <w:t>Ryzyko stopy procentowej</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_Toc32999826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69</w:t>
        </w:r>
        <w:r w:rsidR="00765837" w:rsidRPr="00765837">
          <w:rPr>
            <w:rFonts w:ascii="Verdana" w:hAnsi="Verdana"/>
            <w:webHidden/>
          </w:rPr>
          <w:fldChar w:fldCharType="end"/>
        </w:r>
      </w:hyperlink>
    </w:p>
    <w:p w14:paraId="0C1F8B4D" w14:textId="00D1C433" w:rsidR="00765837" w:rsidRPr="00765837" w:rsidRDefault="00A0087F">
      <w:pPr>
        <w:pStyle w:val="Spistreci3"/>
        <w:rPr>
          <w:rFonts w:ascii="Verdana" w:eastAsiaTheme="minorEastAsia" w:hAnsi="Verdana" w:cstheme="minorBidi"/>
        </w:rPr>
      </w:pPr>
      <w:hyperlink w:anchor="_Toc32999827" w:history="1">
        <w:r w:rsidR="00765837" w:rsidRPr="00765837">
          <w:rPr>
            <w:rStyle w:val="Hipercze"/>
            <w:lang w:eastAsia="en-US"/>
          </w:rPr>
          <w:t>3.8.</w:t>
        </w:r>
        <w:r w:rsidR="00765837" w:rsidRPr="00765837">
          <w:rPr>
            <w:rFonts w:ascii="Verdana" w:eastAsiaTheme="minorEastAsia" w:hAnsi="Verdana" w:cstheme="minorBidi"/>
          </w:rPr>
          <w:tab/>
        </w:r>
        <w:r w:rsidR="00765837" w:rsidRPr="00765837">
          <w:rPr>
            <w:rStyle w:val="Hipercze"/>
            <w:lang w:eastAsia="en-US"/>
          </w:rPr>
          <w:t>Ryzyko płynności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_Toc32999827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73</w:t>
        </w:r>
        <w:r w:rsidR="00765837" w:rsidRPr="00765837">
          <w:rPr>
            <w:rFonts w:ascii="Verdana" w:hAnsi="Verdana"/>
            <w:webHidden/>
          </w:rPr>
          <w:fldChar w:fldCharType="end"/>
        </w:r>
      </w:hyperlink>
    </w:p>
    <w:p w14:paraId="312FBA47" w14:textId="347A98F4" w:rsidR="00765837" w:rsidRPr="00765837" w:rsidRDefault="00A0087F">
      <w:pPr>
        <w:pStyle w:val="Spistreci3"/>
        <w:rPr>
          <w:rFonts w:ascii="Verdana" w:eastAsiaTheme="minorEastAsia" w:hAnsi="Verdana" w:cstheme="minorBidi"/>
        </w:rPr>
      </w:pPr>
      <w:hyperlink w:anchor="_Toc32999828" w:history="1">
        <w:r w:rsidR="00765837" w:rsidRPr="00765837">
          <w:rPr>
            <w:rStyle w:val="Hipercze"/>
            <w:lang w:eastAsia="en-US"/>
          </w:rPr>
          <w:t>3.9.</w:t>
        </w:r>
        <w:r w:rsidR="00765837" w:rsidRPr="00765837">
          <w:rPr>
            <w:rFonts w:ascii="Verdana" w:eastAsiaTheme="minorEastAsia" w:hAnsi="Verdana" w:cstheme="minorBidi"/>
          </w:rPr>
          <w:tab/>
        </w:r>
        <w:r w:rsidR="00765837" w:rsidRPr="00765837">
          <w:rPr>
            <w:rStyle w:val="Hipercze"/>
            <w:lang w:eastAsia="en-US"/>
          </w:rPr>
          <w:t>Ryzyko operacyjne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_Toc32999828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80</w:t>
        </w:r>
        <w:r w:rsidR="00765837" w:rsidRPr="00765837">
          <w:rPr>
            <w:rFonts w:ascii="Verdana" w:hAnsi="Verdana"/>
            <w:webHidden/>
          </w:rPr>
          <w:fldChar w:fldCharType="end"/>
        </w:r>
      </w:hyperlink>
    </w:p>
    <w:p w14:paraId="0F09FD34" w14:textId="6CA91410" w:rsidR="00765837" w:rsidRPr="00765837" w:rsidRDefault="00A0087F">
      <w:pPr>
        <w:pStyle w:val="Spistreci3"/>
        <w:rPr>
          <w:rFonts w:ascii="Verdana" w:eastAsiaTheme="minorEastAsia" w:hAnsi="Verdana" w:cstheme="minorBidi"/>
        </w:rPr>
      </w:pPr>
      <w:hyperlink w:anchor="_Toc32999829" w:history="1">
        <w:r w:rsidR="00765837" w:rsidRPr="00765837">
          <w:rPr>
            <w:rStyle w:val="Hipercze"/>
            <w:lang w:eastAsia="en-US"/>
          </w:rPr>
          <w:t>3.10.</w:t>
        </w:r>
        <w:r w:rsidR="00765837" w:rsidRPr="00765837">
          <w:rPr>
            <w:rFonts w:ascii="Verdana" w:eastAsiaTheme="minorEastAsia" w:hAnsi="Verdana" w:cstheme="minorBidi"/>
          </w:rPr>
          <w:tab/>
        </w:r>
        <w:r w:rsidR="00765837" w:rsidRPr="00765837">
          <w:rPr>
            <w:rStyle w:val="Hipercze"/>
            <w:lang w:eastAsia="en-US"/>
          </w:rPr>
          <w:t>Ryzyko biznesowe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_Toc32999829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82</w:t>
        </w:r>
        <w:r w:rsidR="00765837" w:rsidRPr="00765837">
          <w:rPr>
            <w:rFonts w:ascii="Verdana" w:hAnsi="Verdana"/>
            <w:webHidden/>
          </w:rPr>
          <w:fldChar w:fldCharType="end"/>
        </w:r>
      </w:hyperlink>
    </w:p>
    <w:p w14:paraId="0D436B57" w14:textId="444F06D3" w:rsidR="00765837" w:rsidRPr="00765837" w:rsidRDefault="00A0087F">
      <w:pPr>
        <w:pStyle w:val="Spistreci3"/>
        <w:rPr>
          <w:rFonts w:ascii="Verdana" w:eastAsiaTheme="minorEastAsia" w:hAnsi="Verdana" w:cstheme="minorBidi"/>
        </w:rPr>
      </w:pPr>
      <w:hyperlink w:anchor="_Toc32999830" w:history="1">
        <w:r w:rsidR="00765837" w:rsidRPr="00765837">
          <w:rPr>
            <w:rStyle w:val="Hipercze"/>
          </w:rPr>
          <w:t>3.11.</w:t>
        </w:r>
        <w:r w:rsidR="00765837" w:rsidRPr="00765837">
          <w:rPr>
            <w:rFonts w:ascii="Verdana" w:eastAsiaTheme="minorEastAsia" w:hAnsi="Verdana" w:cstheme="minorBidi"/>
          </w:rPr>
          <w:tab/>
        </w:r>
        <w:r w:rsidR="00765837" w:rsidRPr="00765837">
          <w:rPr>
            <w:rStyle w:val="Hipercze"/>
          </w:rPr>
          <w:t>Ryzyko modeli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_Toc32999830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82</w:t>
        </w:r>
        <w:r w:rsidR="00765837" w:rsidRPr="00765837">
          <w:rPr>
            <w:rFonts w:ascii="Verdana" w:hAnsi="Verdana"/>
            <w:webHidden/>
          </w:rPr>
          <w:fldChar w:fldCharType="end"/>
        </w:r>
      </w:hyperlink>
    </w:p>
    <w:p w14:paraId="6E79ABF7" w14:textId="0874173B" w:rsidR="00765837" w:rsidRPr="00765837" w:rsidRDefault="00A0087F">
      <w:pPr>
        <w:pStyle w:val="Spistreci3"/>
        <w:rPr>
          <w:rFonts w:ascii="Verdana" w:eastAsiaTheme="minorEastAsia" w:hAnsi="Verdana" w:cstheme="minorBidi"/>
        </w:rPr>
      </w:pPr>
      <w:hyperlink w:anchor="_Toc32999831" w:history="1">
        <w:r w:rsidR="00765837" w:rsidRPr="00765837">
          <w:rPr>
            <w:rStyle w:val="Hipercze"/>
          </w:rPr>
          <w:t>3.12.</w:t>
        </w:r>
        <w:r w:rsidR="00765837" w:rsidRPr="00765837">
          <w:rPr>
            <w:rFonts w:ascii="Verdana" w:eastAsiaTheme="minorEastAsia" w:hAnsi="Verdana" w:cstheme="minorBidi"/>
          </w:rPr>
          <w:tab/>
        </w:r>
        <w:r w:rsidR="00765837" w:rsidRPr="00765837">
          <w:rPr>
            <w:rStyle w:val="Hipercze"/>
          </w:rPr>
          <w:t>Ryzyko reputacji</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_Toc32999831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82</w:t>
        </w:r>
        <w:r w:rsidR="00765837" w:rsidRPr="00765837">
          <w:rPr>
            <w:rFonts w:ascii="Verdana" w:hAnsi="Verdana"/>
            <w:webHidden/>
          </w:rPr>
          <w:fldChar w:fldCharType="end"/>
        </w:r>
      </w:hyperlink>
    </w:p>
    <w:p w14:paraId="4CC707E2" w14:textId="2882AC15" w:rsidR="00765837" w:rsidRPr="00765837" w:rsidRDefault="00A0087F">
      <w:pPr>
        <w:pStyle w:val="Spistreci3"/>
        <w:rPr>
          <w:rFonts w:ascii="Verdana" w:eastAsiaTheme="minorEastAsia" w:hAnsi="Verdana" w:cstheme="minorBidi"/>
        </w:rPr>
      </w:pPr>
      <w:hyperlink w:anchor="_Toc32999832" w:history="1">
        <w:r w:rsidR="00765837" w:rsidRPr="00765837">
          <w:rPr>
            <w:rStyle w:val="Hipercze"/>
            <w:lang w:eastAsia="en-US"/>
          </w:rPr>
          <w:t>3.13.</w:t>
        </w:r>
        <w:r w:rsidR="00765837" w:rsidRPr="00765837">
          <w:rPr>
            <w:rFonts w:ascii="Verdana" w:eastAsiaTheme="minorEastAsia" w:hAnsi="Verdana" w:cstheme="minorBidi"/>
          </w:rPr>
          <w:tab/>
        </w:r>
        <w:r w:rsidR="00765837" w:rsidRPr="00765837">
          <w:rPr>
            <w:rStyle w:val="Hipercze"/>
            <w:lang w:eastAsia="en-US"/>
          </w:rPr>
          <w:t>Ryzyko kapitałowe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_Toc32999832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83</w:t>
        </w:r>
        <w:r w:rsidR="00765837" w:rsidRPr="00765837">
          <w:rPr>
            <w:rFonts w:ascii="Verdana" w:hAnsi="Verdana"/>
            <w:webHidden/>
          </w:rPr>
          <w:fldChar w:fldCharType="end"/>
        </w:r>
      </w:hyperlink>
    </w:p>
    <w:p w14:paraId="0A864B56" w14:textId="67CE4543" w:rsidR="00765837" w:rsidRPr="00765837" w:rsidRDefault="00A0087F">
      <w:pPr>
        <w:pStyle w:val="Spistreci3"/>
        <w:rPr>
          <w:rFonts w:ascii="Verdana" w:eastAsiaTheme="minorEastAsia" w:hAnsi="Verdana" w:cstheme="minorBidi"/>
        </w:rPr>
      </w:pPr>
      <w:hyperlink w:anchor="_Toc32999833" w:history="1">
        <w:r w:rsidR="00765837" w:rsidRPr="00765837">
          <w:rPr>
            <w:rStyle w:val="Hipercze"/>
            <w:lang w:eastAsia="en-US"/>
          </w:rPr>
          <w:t>3.14.</w:t>
        </w:r>
        <w:r w:rsidR="00765837" w:rsidRPr="00765837">
          <w:rPr>
            <w:rFonts w:ascii="Verdana" w:eastAsiaTheme="minorEastAsia" w:hAnsi="Verdana" w:cstheme="minorBidi"/>
          </w:rPr>
          <w:tab/>
        </w:r>
        <w:r w:rsidR="00765837" w:rsidRPr="00765837">
          <w:rPr>
            <w:rStyle w:val="Hipercze"/>
            <w:lang w:eastAsia="en-US"/>
          </w:rPr>
          <w:t>Ryzyko regulacyjne</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_Toc32999833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83</w:t>
        </w:r>
        <w:r w:rsidR="00765837" w:rsidRPr="00765837">
          <w:rPr>
            <w:rFonts w:ascii="Verdana" w:hAnsi="Verdana"/>
            <w:webHidden/>
          </w:rPr>
          <w:fldChar w:fldCharType="end"/>
        </w:r>
      </w:hyperlink>
    </w:p>
    <w:p w14:paraId="5D04DABD" w14:textId="1D5E14AB" w:rsidR="00765837" w:rsidRPr="00765837" w:rsidRDefault="00A0087F">
      <w:pPr>
        <w:pStyle w:val="Spistreci3"/>
        <w:rPr>
          <w:rFonts w:ascii="Verdana" w:eastAsiaTheme="minorEastAsia" w:hAnsi="Verdana" w:cstheme="minorBidi"/>
        </w:rPr>
      </w:pPr>
      <w:hyperlink w:anchor="_Toc32999834" w:history="1">
        <w:r w:rsidR="00765837" w:rsidRPr="00765837">
          <w:rPr>
            <w:rStyle w:val="Hipercze"/>
            <w:lang w:eastAsia="en-US"/>
          </w:rPr>
          <w:t>3.15.</w:t>
        </w:r>
        <w:r w:rsidR="00765837" w:rsidRPr="00765837">
          <w:rPr>
            <w:rFonts w:ascii="Verdana" w:eastAsiaTheme="minorEastAsia" w:hAnsi="Verdana" w:cstheme="minorBidi"/>
          </w:rPr>
          <w:tab/>
        </w:r>
        <w:r w:rsidR="00765837" w:rsidRPr="00765837">
          <w:rPr>
            <w:rStyle w:val="Hipercze"/>
            <w:lang w:eastAsia="en-US"/>
          </w:rPr>
          <w:t>Wartość godziwa aktywów i zobowiązań</w:t>
        </w:r>
        <w:r w:rsidR="00765837" w:rsidRPr="00765837">
          <w:rPr>
            <w:rFonts w:ascii="Verdana" w:hAnsi="Verdana"/>
            <w:webHidden/>
          </w:rPr>
          <w:tab/>
        </w:r>
        <w:r w:rsidR="00765837" w:rsidRPr="00765837">
          <w:rPr>
            <w:rFonts w:ascii="Verdana" w:hAnsi="Verdana"/>
            <w:webHidden/>
          </w:rPr>
          <w:fldChar w:fldCharType="begin"/>
        </w:r>
        <w:r w:rsidR="00765837" w:rsidRPr="00765837">
          <w:rPr>
            <w:rFonts w:ascii="Verdana" w:hAnsi="Verdana"/>
            <w:webHidden/>
          </w:rPr>
          <w:instrText xml:space="preserve"> PAGEREF _Toc32999834 \h </w:instrText>
        </w:r>
        <w:r w:rsidR="00765837" w:rsidRPr="00765837">
          <w:rPr>
            <w:rFonts w:ascii="Verdana" w:hAnsi="Verdana"/>
            <w:webHidden/>
          </w:rPr>
        </w:r>
        <w:r w:rsidR="00765837" w:rsidRPr="00765837">
          <w:rPr>
            <w:rFonts w:ascii="Verdana" w:hAnsi="Verdana"/>
            <w:webHidden/>
          </w:rPr>
          <w:fldChar w:fldCharType="separate"/>
        </w:r>
        <w:r w:rsidR="00B37C22">
          <w:rPr>
            <w:rFonts w:ascii="Verdana" w:hAnsi="Verdana"/>
            <w:webHidden/>
          </w:rPr>
          <w:t>83</w:t>
        </w:r>
        <w:r w:rsidR="00765837" w:rsidRPr="00765837">
          <w:rPr>
            <w:rFonts w:ascii="Verdana" w:hAnsi="Verdana"/>
            <w:webHidden/>
          </w:rPr>
          <w:fldChar w:fldCharType="end"/>
        </w:r>
      </w:hyperlink>
    </w:p>
    <w:p w14:paraId="1E485CDA" w14:textId="1C3C69A1" w:rsidR="00765837" w:rsidRPr="00765837" w:rsidRDefault="00A0087F">
      <w:pPr>
        <w:pStyle w:val="Spistreci2"/>
        <w:rPr>
          <w:rFonts w:eastAsiaTheme="minorEastAsia" w:cstheme="minorBidi"/>
        </w:rPr>
      </w:pPr>
      <w:hyperlink w:anchor="_Toc32999835" w:history="1">
        <w:r w:rsidR="00765837" w:rsidRPr="00765837">
          <w:rPr>
            <w:rStyle w:val="Hipercze"/>
          </w:rPr>
          <w:t>4.</w:t>
        </w:r>
        <w:r w:rsidR="00765837" w:rsidRPr="00765837">
          <w:rPr>
            <w:rFonts w:eastAsiaTheme="minorEastAsia" w:cstheme="minorBidi"/>
          </w:rPr>
          <w:tab/>
        </w:r>
        <w:r w:rsidR="00765837" w:rsidRPr="00765837">
          <w:rPr>
            <w:rStyle w:val="Hipercze"/>
          </w:rPr>
          <w:t>Ważniejsze oszacowania i oceny dokonane w związku z zastosowaniem zasad rachunkowości</w:t>
        </w:r>
        <w:r w:rsidR="00765837" w:rsidRPr="00765837">
          <w:rPr>
            <w:webHidden/>
          </w:rPr>
          <w:tab/>
        </w:r>
        <w:r w:rsidR="00765837" w:rsidRPr="00765837">
          <w:rPr>
            <w:webHidden/>
          </w:rPr>
          <w:fldChar w:fldCharType="begin"/>
        </w:r>
        <w:r w:rsidR="00765837" w:rsidRPr="00765837">
          <w:rPr>
            <w:webHidden/>
          </w:rPr>
          <w:instrText xml:space="preserve"> PAGEREF _Toc32999835 \h </w:instrText>
        </w:r>
        <w:r w:rsidR="00765837" w:rsidRPr="00765837">
          <w:rPr>
            <w:webHidden/>
          </w:rPr>
        </w:r>
        <w:r w:rsidR="00765837" w:rsidRPr="00765837">
          <w:rPr>
            <w:webHidden/>
          </w:rPr>
          <w:fldChar w:fldCharType="separate"/>
        </w:r>
        <w:r w:rsidR="00B37C22">
          <w:rPr>
            <w:webHidden/>
          </w:rPr>
          <w:t>91</w:t>
        </w:r>
        <w:r w:rsidR="00765837" w:rsidRPr="00765837">
          <w:rPr>
            <w:webHidden/>
          </w:rPr>
          <w:fldChar w:fldCharType="end"/>
        </w:r>
      </w:hyperlink>
    </w:p>
    <w:p w14:paraId="591EE904" w14:textId="0E4785D5" w:rsidR="00765837" w:rsidRPr="00765837" w:rsidRDefault="00A0087F">
      <w:pPr>
        <w:pStyle w:val="Spistreci2"/>
        <w:rPr>
          <w:rFonts w:eastAsiaTheme="minorEastAsia" w:cstheme="minorBidi"/>
        </w:rPr>
      </w:pPr>
      <w:hyperlink w:anchor="_Toc32999836" w:history="1">
        <w:r w:rsidR="00765837" w:rsidRPr="00765837">
          <w:rPr>
            <w:rStyle w:val="Hipercze"/>
          </w:rPr>
          <w:t>5.</w:t>
        </w:r>
        <w:r w:rsidR="00765837" w:rsidRPr="00765837">
          <w:rPr>
            <w:rFonts w:eastAsiaTheme="minorEastAsia" w:cstheme="minorBidi"/>
          </w:rPr>
          <w:tab/>
        </w:r>
        <w:r w:rsidR="00765837" w:rsidRPr="00765837">
          <w:rPr>
            <w:rStyle w:val="Hipercze"/>
          </w:rPr>
          <w:t>Segmenty działalności</w:t>
        </w:r>
        <w:r w:rsidR="00765837" w:rsidRPr="00765837">
          <w:rPr>
            <w:webHidden/>
          </w:rPr>
          <w:tab/>
        </w:r>
        <w:r w:rsidR="00765837" w:rsidRPr="00765837">
          <w:rPr>
            <w:webHidden/>
          </w:rPr>
          <w:fldChar w:fldCharType="begin"/>
        </w:r>
        <w:r w:rsidR="00765837" w:rsidRPr="00765837">
          <w:rPr>
            <w:webHidden/>
          </w:rPr>
          <w:instrText xml:space="preserve"> PAGEREF _Toc32999836 \h </w:instrText>
        </w:r>
        <w:r w:rsidR="00765837" w:rsidRPr="00765837">
          <w:rPr>
            <w:webHidden/>
          </w:rPr>
        </w:r>
        <w:r w:rsidR="00765837" w:rsidRPr="00765837">
          <w:rPr>
            <w:webHidden/>
          </w:rPr>
          <w:fldChar w:fldCharType="separate"/>
        </w:r>
        <w:r w:rsidR="00B37C22">
          <w:rPr>
            <w:webHidden/>
          </w:rPr>
          <w:t>94</w:t>
        </w:r>
        <w:r w:rsidR="00765837" w:rsidRPr="00765837">
          <w:rPr>
            <w:webHidden/>
          </w:rPr>
          <w:fldChar w:fldCharType="end"/>
        </w:r>
      </w:hyperlink>
    </w:p>
    <w:p w14:paraId="11DE25C8" w14:textId="58DBEE78" w:rsidR="00765837" w:rsidRPr="00765837" w:rsidRDefault="00A0087F">
      <w:pPr>
        <w:pStyle w:val="Spistreci2"/>
        <w:rPr>
          <w:rFonts w:eastAsiaTheme="minorEastAsia" w:cstheme="minorBidi"/>
        </w:rPr>
      </w:pPr>
      <w:hyperlink w:anchor="_Toc32999837" w:history="1">
        <w:r w:rsidR="00765837" w:rsidRPr="00765837">
          <w:rPr>
            <w:rStyle w:val="Hipercze"/>
          </w:rPr>
          <w:t>6.</w:t>
        </w:r>
        <w:r w:rsidR="00765837" w:rsidRPr="00765837">
          <w:rPr>
            <w:rFonts w:eastAsiaTheme="minorEastAsia" w:cstheme="minorBidi"/>
          </w:rPr>
          <w:tab/>
        </w:r>
        <w:r w:rsidR="00765837" w:rsidRPr="00765837">
          <w:rPr>
            <w:rStyle w:val="Hipercze"/>
          </w:rPr>
          <w:t>Wynik z tytułu odsetek</w:t>
        </w:r>
        <w:r w:rsidR="00765837" w:rsidRPr="00765837">
          <w:rPr>
            <w:webHidden/>
          </w:rPr>
          <w:tab/>
        </w:r>
        <w:r w:rsidR="00765837" w:rsidRPr="00765837">
          <w:rPr>
            <w:webHidden/>
          </w:rPr>
          <w:fldChar w:fldCharType="begin"/>
        </w:r>
        <w:r w:rsidR="00765837" w:rsidRPr="00765837">
          <w:rPr>
            <w:webHidden/>
          </w:rPr>
          <w:instrText xml:space="preserve"> PAGEREF _Toc32999837 \h </w:instrText>
        </w:r>
        <w:r w:rsidR="00765837" w:rsidRPr="00765837">
          <w:rPr>
            <w:webHidden/>
          </w:rPr>
        </w:r>
        <w:r w:rsidR="00765837" w:rsidRPr="00765837">
          <w:rPr>
            <w:webHidden/>
          </w:rPr>
          <w:fldChar w:fldCharType="separate"/>
        </w:r>
        <w:r w:rsidR="00B37C22">
          <w:rPr>
            <w:webHidden/>
          </w:rPr>
          <w:t>98</w:t>
        </w:r>
        <w:r w:rsidR="00765837" w:rsidRPr="00765837">
          <w:rPr>
            <w:webHidden/>
          </w:rPr>
          <w:fldChar w:fldCharType="end"/>
        </w:r>
      </w:hyperlink>
    </w:p>
    <w:p w14:paraId="125C2FA4" w14:textId="4171CF0B" w:rsidR="00765837" w:rsidRPr="00765837" w:rsidRDefault="00A0087F">
      <w:pPr>
        <w:pStyle w:val="Spistreci2"/>
        <w:rPr>
          <w:rFonts w:eastAsiaTheme="minorEastAsia" w:cstheme="minorBidi"/>
        </w:rPr>
      </w:pPr>
      <w:hyperlink w:anchor="_Toc32999838" w:history="1">
        <w:r w:rsidR="00765837" w:rsidRPr="00765837">
          <w:rPr>
            <w:rStyle w:val="Hipercze"/>
          </w:rPr>
          <w:t>7.</w:t>
        </w:r>
        <w:r w:rsidR="00765837" w:rsidRPr="00765837">
          <w:rPr>
            <w:rFonts w:eastAsiaTheme="minorEastAsia" w:cstheme="minorBidi"/>
          </w:rPr>
          <w:tab/>
        </w:r>
        <w:r w:rsidR="00765837" w:rsidRPr="00765837">
          <w:rPr>
            <w:rStyle w:val="Hipercze"/>
          </w:rPr>
          <w:t>Wynik z tytułu opłat i prowizji</w:t>
        </w:r>
        <w:r w:rsidR="00765837" w:rsidRPr="00765837">
          <w:rPr>
            <w:webHidden/>
          </w:rPr>
          <w:tab/>
        </w:r>
        <w:r w:rsidR="00765837" w:rsidRPr="00765837">
          <w:rPr>
            <w:webHidden/>
          </w:rPr>
          <w:fldChar w:fldCharType="begin"/>
        </w:r>
        <w:r w:rsidR="00765837" w:rsidRPr="00765837">
          <w:rPr>
            <w:webHidden/>
          </w:rPr>
          <w:instrText xml:space="preserve"> PAGEREF _Toc32999838 \h </w:instrText>
        </w:r>
        <w:r w:rsidR="00765837" w:rsidRPr="00765837">
          <w:rPr>
            <w:webHidden/>
          </w:rPr>
        </w:r>
        <w:r w:rsidR="00765837" w:rsidRPr="00765837">
          <w:rPr>
            <w:webHidden/>
          </w:rPr>
          <w:fldChar w:fldCharType="separate"/>
        </w:r>
        <w:r w:rsidR="00B37C22">
          <w:rPr>
            <w:webHidden/>
          </w:rPr>
          <w:t>99</w:t>
        </w:r>
        <w:r w:rsidR="00765837" w:rsidRPr="00765837">
          <w:rPr>
            <w:webHidden/>
          </w:rPr>
          <w:fldChar w:fldCharType="end"/>
        </w:r>
      </w:hyperlink>
    </w:p>
    <w:p w14:paraId="759C7314" w14:textId="70318522" w:rsidR="00765837" w:rsidRPr="00765837" w:rsidRDefault="00A0087F">
      <w:pPr>
        <w:pStyle w:val="Spistreci2"/>
        <w:rPr>
          <w:rFonts w:eastAsiaTheme="minorEastAsia" w:cstheme="minorBidi"/>
        </w:rPr>
      </w:pPr>
      <w:hyperlink w:anchor="_Toc32999839" w:history="1">
        <w:r w:rsidR="00765837" w:rsidRPr="00765837">
          <w:rPr>
            <w:rStyle w:val="Hipercze"/>
          </w:rPr>
          <w:t>8.</w:t>
        </w:r>
        <w:r w:rsidR="00765837" w:rsidRPr="00765837">
          <w:rPr>
            <w:rFonts w:eastAsiaTheme="minorEastAsia" w:cstheme="minorBidi"/>
          </w:rPr>
          <w:tab/>
        </w:r>
        <w:r w:rsidR="00765837" w:rsidRPr="00765837">
          <w:rPr>
            <w:rStyle w:val="Hipercze"/>
          </w:rPr>
          <w:t>Przychody z dywidend</w:t>
        </w:r>
        <w:r w:rsidR="00765837" w:rsidRPr="00765837">
          <w:rPr>
            <w:webHidden/>
          </w:rPr>
          <w:tab/>
        </w:r>
        <w:r w:rsidR="00765837" w:rsidRPr="00765837">
          <w:rPr>
            <w:webHidden/>
          </w:rPr>
          <w:fldChar w:fldCharType="begin"/>
        </w:r>
        <w:r w:rsidR="00765837" w:rsidRPr="00765837">
          <w:rPr>
            <w:webHidden/>
          </w:rPr>
          <w:instrText xml:space="preserve"> PAGEREF _Toc32999839 \h </w:instrText>
        </w:r>
        <w:r w:rsidR="00765837" w:rsidRPr="00765837">
          <w:rPr>
            <w:webHidden/>
          </w:rPr>
        </w:r>
        <w:r w:rsidR="00765837" w:rsidRPr="00765837">
          <w:rPr>
            <w:webHidden/>
          </w:rPr>
          <w:fldChar w:fldCharType="separate"/>
        </w:r>
        <w:r w:rsidR="00B37C22">
          <w:rPr>
            <w:webHidden/>
          </w:rPr>
          <w:t>100</w:t>
        </w:r>
        <w:r w:rsidR="00765837" w:rsidRPr="00765837">
          <w:rPr>
            <w:webHidden/>
          </w:rPr>
          <w:fldChar w:fldCharType="end"/>
        </w:r>
      </w:hyperlink>
    </w:p>
    <w:p w14:paraId="0DF7B191" w14:textId="01FDF6D6" w:rsidR="00765837" w:rsidRPr="00765837" w:rsidRDefault="00A0087F">
      <w:pPr>
        <w:pStyle w:val="Spistreci2"/>
        <w:rPr>
          <w:rFonts w:eastAsiaTheme="minorEastAsia" w:cstheme="minorBidi"/>
        </w:rPr>
      </w:pPr>
      <w:hyperlink w:anchor="_Toc32999840" w:history="1">
        <w:r w:rsidR="00765837" w:rsidRPr="00765837">
          <w:rPr>
            <w:rStyle w:val="Hipercze"/>
          </w:rPr>
          <w:t>9.</w:t>
        </w:r>
        <w:r w:rsidR="00765837" w:rsidRPr="00765837">
          <w:rPr>
            <w:rFonts w:eastAsiaTheme="minorEastAsia" w:cstheme="minorBidi"/>
          </w:rPr>
          <w:tab/>
        </w:r>
        <w:r w:rsidR="00765837" w:rsidRPr="00765837">
          <w:rPr>
            <w:rStyle w:val="Hipercze"/>
          </w:rPr>
          <w:t>Wynik na działalności handlowej</w:t>
        </w:r>
        <w:r w:rsidR="00765837" w:rsidRPr="00765837">
          <w:rPr>
            <w:webHidden/>
          </w:rPr>
          <w:tab/>
        </w:r>
        <w:r w:rsidR="00765837" w:rsidRPr="00765837">
          <w:rPr>
            <w:webHidden/>
          </w:rPr>
          <w:fldChar w:fldCharType="begin"/>
        </w:r>
        <w:r w:rsidR="00765837" w:rsidRPr="00765837">
          <w:rPr>
            <w:webHidden/>
          </w:rPr>
          <w:instrText xml:space="preserve"> PAGEREF _Toc32999840 \h </w:instrText>
        </w:r>
        <w:r w:rsidR="00765837" w:rsidRPr="00765837">
          <w:rPr>
            <w:webHidden/>
          </w:rPr>
        </w:r>
        <w:r w:rsidR="00765837" w:rsidRPr="00765837">
          <w:rPr>
            <w:webHidden/>
          </w:rPr>
          <w:fldChar w:fldCharType="separate"/>
        </w:r>
        <w:r w:rsidR="00B37C22">
          <w:rPr>
            <w:webHidden/>
          </w:rPr>
          <w:t>100</w:t>
        </w:r>
        <w:r w:rsidR="00765837" w:rsidRPr="00765837">
          <w:rPr>
            <w:webHidden/>
          </w:rPr>
          <w:fldChar w:fldCharType="end"/>
        </w:r>
      </w:hyperlink>
    </w:p>
    <w:p w14:paraId="7263BF58" w14:textId="3841D107" w:rsidR="00765837" w:rsidRPr="00765837" w:rsidRDefault="00A0087F">
      <w:pPr>
        <w:pStyle w:val="Spistreci2"/>
        <w:rPr>
          <w:rFonts w:eastAsiaTheme="minorEastAsia" w:cstheme="minorBidi"/>
        </w:rPr>
      </w:pPr>
      <w:hyperlink w:anchor="_Toc32999841" w:history="1">
        <w:r w:rsidR="00765837" w:rsidRPr="00765837">
          <w:rPr>
            <w:rStyle w:val="Hipercze"/>
          </w:rPr>
          <w:t>10.</w:t>
        </w:r>
        <w:r w:rsidR="00765837" w:rsidRPr="00765837">
          <w:rPr>
            <w:rFonts w:eastAsiaTheme="minorEastAsia" w:cstheme="minorBidi"/>
          </w:rPr>
          <w:tab/>
        </w:r>
        <w:r w:rsidR="00765837" w:rsidRPr="00765837">
          <w:rPr>
            <w:rStyle w:val="Hipercze"/>
          </w:rPr>
          <w:t>Zyski lub straty z tytułu aktywów finansowych nieprzeznaczonych do obrotu obowiązkowo wycenianych w wartości godziwej przez wynik finansowy</w:t>
        </w:r>
        <w:r w:rsidR="00765837" w:rsidRPr="00765837">
          <w:rPr>
            <w:webHidden/>
          </w:rPr>
          <w:tab/>
        </w:r>
        <w:r w:rsidR="00765837" w:rsidRPr="00765837">
          <w:rPr>
            <w:webHidden/>
          </w:rPr>
          <w:fldChar w:fldCharType="begin"/>
        </w:r>
        <w:r w:rsidR="00765837" w:rsidRPr="00765837">
          <w:rPr>
            <w:webHidden/>
          </w:rPr>
          <w:instrText xml:space="preserve"> PAGEREF _Toc32999841 \h </w:instrText>
        </w:r>
        <w:r w:rsidR="00765837" w:rsidRPr="00765837">
          <w:rPr>
            <w:webHidden/>
          </w:rPr>
        </w:r>
        <w:r w:rsidR="00765837" w:rsidRPr="00765837">
          <w:rPr>
            <w:webHidden/>
          </w:rPr>
          <w:fldChar w:fldCharType="separate"/>
        </w:r>
        <w:r w:rsidR="00B37C22">
          <w:rPr>
            <w:webHidden/>
          </w:rPr>
          <w:t>101</w:t>
        </w:r>
        <w:r w:rsidR="00765837" w:rsidRPr="00765837">
          <w:rPr>
            <w:webHidden/>
          </w:rPr>
          <w:fldChar w:fldCharType="end"/>
        </w:r>
      </w:hyperlink>
    </w:p>
    <w:p w14:paraId="77B09198" w14:textId="30CD11B2" w:rsidR="00765837" w:rsidRPr="00765837" w:rsidRDefault="00A0087F">
      <w:pPr>
        <w:pStyle w:val="Spistreci2"/>
        <w:rPr>
          <w:rFonts w:eastAsiaTheme="minorEastAsia" w:cstheme="minorBidi"/>
        </w:rPr>
      </w:pPr>
      <w:hyperlink w:anchor="_Toc32999842" w:history="1">
        <w:r w:rsidR="00765837" w:rsidRPr="00765837">
          <w:rPr>
            <w:rStyle w:val="Hipercze"/>
          </w:rPr>
          <w:t>11.</w:t>
        </w:r>
        <w:r w:rsidR="00765837" w:rsidRPr="00765837">
          <w:rPr>
            <w:rFonts w:eastAsiaTheme="minorEastAsia" w:cstheme="minorBidi"/>
          </w:rPr>
          <w:tab/>
        </w:r>
        <w:r w:rsidR="00765837" w:rsidRPr="00765837">
          <w:rPr>
            <w:rStyle w:val="Hipercze"/>
          </w:rPr>
          <w:t>Wynik na aktywach oraz zobowiązaniach finansowych niewycenianych w wartości godziwej przez wynik finansowy oraz inwestycjach w jednostki zależne i stowarzyszone</w:t>
        </w:r>
        <w:r w:rsidR="00765837" w:rsidRPr="00765837">
          <w:rPr>
            <w:webHidden/>
          </w:rPr>
          <w:tab/>
        </w:r>
        <w:r w:rsidR="00765837" w:rsidRPr="00765837">
          <w:rPr>
            <w:webHidden/>
          </w:rPr>
          <w:fldChar w:fldCharType="begin"/>
        </w:r>
        <w:r w:rsidR="00765837" w:rsidRPr="00765837">
          <w:rPr>
            <w:webHidden/>
          </w:rPr>
          <w:instrText xml:space="preserve"> PAGEREF _Toc32999842 \h </w:instrText>
        </w:r>
        <w:r w:rsidR="00765837" w:rsidRPr="00765837">
          <w:rPr>
            <w:webHidden/>
          </w:rPr>
        </w:r>
        <w:r w:rsidR="00765837" w:rsidRPr="00765837">
          <w:rPr>
            <w:webHidden/>
          </w:rPr>
          <w:fldChar w:fldCharType="separate"/>
        </w:r>
        <w:r w:rsidR="00B37C22">
          <w:rPr>
            <w:webHidden/>
          </w:rPr>
          <w:t>101</w:t>
        </w:r>
        <w:r w:rsidR="00765837" w:rsidRPr="00765837">
          <w:rPr>
            <w:webHidden/>
          </w:rPr>
          <w:fldChar w:fldCharType="end"/>
        </w:r>
      </w:hyperlink>
    </w:p>
    <w:p w14:paraId="4BCE7386" w14:textId="38BED244" w:rsidR="00765837" w:rsidRPr="00765837" w:rsidRDefault="00A0087F">
      <w:pPr>
        <w:pStyle w:val="Spistreci2"/>
        <w:rPr>
          <w:rFonts w:eastAsiaTheme="minorEastAsia" w:cstheme="minorBidi"/>
        </w:rPr>
      </w:pPr>
      <w:hyperlink w:anchor="_Toc32999843" w:history="1">
        <w:r w:rsidR="00765837" w:rsidRPr="00765837">
          <w:rPr>
            <w:rStyle w:val="Hipercze"/>
          </w:rPr>
          <w:t>12.</w:t>
        </w:r>
        <w:r w:rsidR="00765837" w:rsidRPr="00765837">
          <w:rPr>
            <w:rFonts w:eastAsiaTheme="minorEastAsia" w:cstheme="minorBidi"/>
          </w:rPr>
          <w:tab/>
        </w:r>
        <w:r w:rsidR="00765837" w:rsidRPr="00765837">
          <w:rPr>
            <w:rStyle w:val="Hipercze"/>
          </w:rPr>
          <w:t>Pozostałe przychody operacyjne</w:t>
        </w:r>
        <w:r w:rsidR="00765837" w:rsidRPr="00765837">
          <w:rPr>
            <w:webHidden/>
          </w:rPr>
          <w:tab/>
        </w:r>
        <w:r w:rsidR="00765837" w:rsidRPr="00765837">
          <w:rPr>
            <w:webHidden/>
          </w:rPr>
          <w:fldChar w:fldCharType="begin"/>
        </w:r>
        <w:r w:rsidR="00765837" w:rsidRPr="00765837">
          <w:rPr>
            <w:webHidden/>
          </w:rPr>
          <w:instrText xml:space="preserve"> PAGEREF _Toc32999843 \h </w:instrText>
        </w:r>
        <w:r w:rsidR="00765837" w:rsidRPr="00765837">
          <w:rPr>
            <w:webHidden/>
          </w:rPr>
        </w:r>
        <w:r w:rsidR="00765837" w:rsidRPr="00765837">
          <w:rPr>
            <w:webHidden/>
          </w:rPr>
          <w:fldChar w:fldCharType="separate"/>
        </w:r>
        <w:r w:rsidR="00B37C22">
          <w:rPr>
            <w:webHidden/>
          </w:rPr>
          <w:t>102</w:t>
        </w:r>
        <w:r w:rsidR="00765837" w:rsidRPr="00765837">
          <w:rPr>
            <w:webHidden/>
          </w:rPr>
          <w:fldChar w:fldCharType="end"/>
        </w:r>
      </w:hyperlink>
    </w:p>
    <w:p w14:paraId="4A32A688" w14:textId="77F38B88" w:rsidR="00765837" w:rsidRPr="00765837" w:rsidRDefault="00A0087F">
      <w:pPr>
        <w:pStyle w:val="Spistreci2"/>
        <w:rPr>
          <w:rFonts w:eastAsiaTheme="minorEastAsia" w:cstheme="minorBidi"/>
        </w:rPr>
      </w:pPr>
      <w:hyperlink w:anchor="_Toc32999844" w:history="1">
        <w:r w:rsidR="00765837" w:rsidRPr="00765837">
          <w:rPr>
            <w:rStyle w:val="Hipercze"/>
          </w:rPr>
          <w:t>13.</w:t>
        </w:r>
        <w:r w:rsidR="00765837" w:rsidRPr="00765837">
          <w:rPr>
            <w:rFonts w:eastAsiaTheme="minorEastAsia" w:cstheme="minorBidi"/>
          </w:rPr>
          <w:tab/>
        </w:r>
        <w:r w:rsidR="00765837" w:rsidRPr="00765837">
          <w:rPr>
            <w:rStyle w:val="Hipercze"/>
          </w:rPr>
          <w:t>Ogólne koszty administracyjne</w:t>
        </w:r>
        <w:r w:rsidR="00765837" w:rsidRPr="00765837">
          <w:rPr>
            <w:webHidden/>
          </w:rPr>
          <w:tab/>
        </w:r>
        <w:r w:rsidR="00765837" w:rsidRPr="00765837">
          <w:rPr>
            <w:webHidden/>
          </w:rPr>
          <w:fldChar w:fldCharType="begin"/>
        </w:r>
        <w:r w:rsidR="00765837" w:rsidRPr="00765837">
          <w:rPr>
            <w:webHidden/>
          </w:rPr>
          <w:instrText xml:space="preserve"> PAGEREF _Toc32999844 \h </w:instrText>
        </w:r>
        <w:r w:rsidR="00765837" w:rsidRPr="00765837">
          <w:rPr>
            <w:webHidden/>
          </w:rPr>
        </w:r>
        <w:r w:rsidR="00765837" w:rsidRPr="00765837">
          <w:rPr>
            <w:webHidden/>
          </w:rPr>
          <w:fldChar w:fldCharType="separate"/>
        </w:r>
        <w:r w:rsidR="00B37C22">
          <w:rPr>
            <w:webHidden/>
          </w:rPr>
          <w:t>103</w:t>
        </w:r>
        <w:r w:rsidR="00765837" w:rsidRPr="00765837">
          <w:rPr>
            <w:webHidden/>
          </w:rPr>
          <w:fldChar w:fldCharType="end"/>
        </w:r>
      </w:hyperlink>
    </w:p>
    <w:p w14:paraId="142B9ADB" w14:textId="19CCA614" w:rsidR="00765837" w:rsidRPr="00765837" w:rsidRDefault="00A0087F">
      <w:pPr>
        <w:pStyle w:val="Spistreci2"/>
        <w:rPr>
          <w:rFonts w:eastAsiaTheme="minorEastAsia" w:cstheme="minorBidi"/>
        </w:rPr>
      </w:pPr>
      <w:hyperlink w:anchor="_Toc32999845" w:history="1">
        <w:r w:rsidR="00765837" w:rsidRPr="00765837">
          <w:rPr>
            <w:rStyle w:val="Hipercze"/>
          </w:rPr>
          <w:t>14.</w:t>
        </w:r>
        <w:r w:rsidR="00765837" w:rsidRPr="00765837">
          <w:rPr>
            <w:rFonts w:eastAsiaTheme="minorEastAsia" w:cstheme="minorBidi"/>
          </w:rPr>
          <w:tab/>
        </w:r>
        <w:r w:rsidR="00765837" w:rsidRPr="00765837">
          <w:rPr>
            <w:rStyle w:val="Hipercze"/>
          </w:rPr>
          <w:t>Pozostałe koszty operacyjne</w:t>
        </w:r>
        <w:r w:rsidR="00765837" w:rsidRPr="00765837">
          <w:rPr>
            <w:webHidden/>
          </w:rPr>
          <w:tab/>
        </w:r>
        <w:r w:rsidR="00765837" w:rsidRPr="00765837">
          <w:rPr>
            <w:webHidden/>
          </w:rPr>
          <w:fldChar w:fldCharType="begin"/>
        </w:r>
        <w:r w:rsidR="00765837" w:rsidRPr="00765837">
          <w:rPr>
            <w:webHidden/>
          </w:rPr>
          <w:instrText xml:space="preserve"> PAGEREF _Toc32999845 \h </w:instrText>
        </w:r>
        <w:r w:rsidR="00765837" w:rsidRPr="00765837">
          <w:rPr>
            <w:webHidden/>
          </w:rPr>
        </w:r>
        <w:r w:rsidR="00765837" w:rsidRPr="00765837">
          <w:rPr>
            <w:webHidden/>
          </w:rPr>
          <w:fldChar w:fldCharType="separate"/>
        </w:r>
        <w:r w:rsidR="00B37C22">
          <w:rPr>
            <w:webHidden/>
          </w:rPr>
          <w:t>104</w:t>
        </w:r>
        <w:r w:rsidR="00765837" w:rsidRPr="00765837">
          <w:rPr>
            <w:webHidden/>
          </w:rPr>
          <w:fldChar w:fldCharType="end"/>
        </w:r>
      </w:hyperlink>
    </w:p>
    <w:p w14:paraId="67E0892A" w14:textId="796249B7" w:rsidR="00765837" w:rsidRPr="00765837" w:rsidRDefault="00A0087F">
      <w:pPr>
        <w:pStyle w:val="Spistreci2"/>
        <w:rPr>
          <w:rFonts w:eastAsiaTheme="minorEastAsia" w:cstheme="minorBidi"/>
        </w:rPr>
      </w:pPr>
      <w:hyperlink w:anchor="_Toc32999846" w:history="1">
        <w:r w:rsidR="00765837" w:rsidRPr="00765837">
          <w:rPr>
            <w:rStyle w:val="Hipercze"/>
          </w:rPr>
          <w:t>15.</w:t>
        </w:r>
        <w:r w:rsidR="00765837" w:rsidRPr="00765837">
          <w:rPr>
            <w:rFonts w:eastAsiaTheme="minorEastAsia" w:cstheme="minorBidi"/>
          </w:rPr>
          <w:tab/>
        </w:r>
        <w:r w:rsidR="00765837" w:rsidRPr="00765837">
          <w:rPr>
            <w:rStyle w:val="Hipercze"/>
          </w:rPr>
          <w:t>Utrata wartości lub odwrócenie utraty wartości z tytułu aktywów finansowych niewycenianych w wartości godziwej przez wynik finansowy</w:t>
        </w:r>
        <w:r w:rsidR="00765837" w:rsidRPr="00765837">
          <w:rPr>
            <w:webHidden/>
          </w:rPr>
          <w:tab/>
        </w:r>
        <w:r w:rsidR="00765837" w:rsidRPr="00765837">
          <w:rPr>
            <w:webHidden/>
          </w:rPr>
          <w:fldChar w:fldCharType="begin"/>
        </w:r>
        <w:r w:rsidR="00765837" w:rsidRPr="00765837">
          <w:rPr>
            <w:webHidden/>
          </w:rPr>
          <w:instrText xml:space="preserve"> PAGEREF _Toc32999846 \h </w:instrText>
        </w:r>
        <w:r w:rsidR="00765837" w:rsidRPr="00765837">
          <w:rPr>
            <w:webHidden/>
          </w:rPr>
        </w:r>
        <w:r w:rsidR="00765837" w:rsidRPr="00765837">
          <w:rPr>
            <w:webHidden/>
          </w:rPr>
          <w:fldChar w:fldCharType="separate"/>
        </w:r>
        <w:r w:rsidR="00B37C22">
          <w:rPr>
            <w:webHidden/>
          </w:rPr>
          <w:t>104</w:t>
        </w:r>
        <w:r w:rsidR="00765837" w:rsidRPr="00765837">
          <w:rPr>
            <w:webHidden/>
          </w:rPr>
          <w:fldChar w:fldCharType="end"/>
        </w:r>
      </w:hyperlink>
    </w:p>
    <w:p w14:paraId="2BFB06A5" w14:textId="4B9B9304" w:rsidR="00765837" w:rsidRPr="00765837" w:rsidRDefault="00A0087F">
      <w:pPr>
        <w:pStyle w:val="Spistreci2"/>
        <w:rPr>
          <w:rFonts w:eastAsiaTheme="minorEastAsia" w:cstheme="minorBidi"/>
        </w:rPr>
      </w:pPr>
      <w:hyperlink w:anchor="_Toc32999847" w:history="1">
        <w:r w:rsidR="00765837" w:rsidRPr="00765837">
          <w:rPr>
            <w:rStyle w:val="Hipercze"/>
          </w:rPr>
          <w:t>16.</w:t>
        </w:r>
        <w:r w:rsidR="00765837" w:rsidRPr="00765837">
          <w:rPr>
            <w:rFonts w:eastAsiaTheme="minorEastAsia" w:cstheme="minorBidi"/>
          </w:rPr>
          <w:tab/>
        </w:r>
        <w:r w:rsidR="00765837" w:rsidRPr="00765837">
          <w:rPr>
            <w:rStyle w:val="Hipercze"/>
          </w:rPr>
          <w:t>Podatek dochodowy</w:t>
        </w:r>
        <w:r w:rsidR="00765837" w:rsidRPr="00765837">
          <w:rPr>
            <w:webHidden/>
          </w:rPr>
          <w:tab/>
        </w:r>
        <w:r w:rsidR="00765837" w:rsidRPr="00765837">
          <w:rPr>
            <w:webHidden/>
          </w:rPr>
          <w:fldChar w:fldCharType="begin"/>
        </w:r>
        <w:r w:rsidR="00765837" w:rsidRPr="00765837">
          <w:rPr>
            <w:webHidden/>
          </w:rPr>
          <w:instrText xml:space="preserve"> PAGEREF _Toc32999847 \h </w:instrText>
        </w:r>
        <w:r w:rsidR="00765837" w:rsidRPr="00765837">
          <w:rPr>
            <w:webHidden/>
          </w:rPr>
        </w:r>
        <w:r w:rsidR="00765837" w:rsidRPr="00765837">
          <w:rPr>
            <w:webHidden/>
          </w:rPr>
          <w:fldChar w:fldCharType="separate"/>
        </w:r>
        <w:r w:rsidR="00B37C22">
          <w:rPr>
            <w:webHidden/>
          </w:rPr>
          <w:t>105</w:t>
        </w:r>
        <w:r w:rsidR="00765837" w:rsidRPr="00765837">
          <w:rPr>
            <w:webHidden/>
          </w:rPr>
          <w:fldChar w:fldCharType="end"/>
        </w:r>
      </w:hyperlink>
    </w:p>
    <w:p w14:paraId="583AC17B" w14:textId="5504D20B" w:rsidR="00765837" w:rsidRPr="00765837" w:rsidRDefault="00A0087F">
      <w:pPr>
        <w:pStyle w:val="Spistreci2"/>
        <w:rPr>
          <w:rFonts w:eastAsiaTheme="minorEastAsia" w:cstheme="minorBidi"/>
        </w:rPr>
      </w:pPr>
      <w:hyperlink w:anchor="_Toc32999848" w:history="1">
        <w:r w:rsidR="00765837" w:rsidRPr="00765837">
          <w:rPr>
            <w:rStyle w:val="Hipercze"/>
          </w:rPr>
          <w:t>17.</w:t>
        </w:r>
        <w:r w:rsidR="00765837" w:rsidRPr="00765837">
          <w:rPr>
            <w:rFonts w:eastAsiaTheme="minorEastAsia" w:cstheme="minorBidi"/>
          </w:rPr>
          <w:tab/>
        </w:r>
        <w:r w:rsidR="00765837" w:rsidRPr="00765837">
          <w:rPr>
            <w:rStyle w:val="Hipercze"/>
          </w:rPr>
          <w:t>Zysk na jedną akcję</w:t>
        </w:r>
        <w:r w:rsidR="00765837" w:rsidRPr="00765837">
          <w:rPr>
            <w:webHidden/>
          </w:rPr>
          <w:tab/>
        </w:r>
        <w:r w:rsidR="00765837" w:rsidRPr="00765837">
          <w:rPr>
            <w:webHidden/>
          </w:rPr>
          <w:fldChar w:fldCharType="begin"/>
        </w:r>
        <w:r w:rsidR="00765837" w:rsidRPr="00765837">
          <w:rPr>
            <w:webHidden/>
          </w:rPr>
          <w:instrText xml:space="preserve"> PAGEREF _Toc32999848 \h </w:instrText>
        </w:r>
        <w:r w:rsidR="00765837" w:rsidRPr="00765837">
          <w:rPr>
            <w:webHidden/>
          </w:rPr>
        </w:r>
        <w:r w:rsidR="00765837" w:rsidRPr="00765837">
          <w:rPr>
            <w:webHidden/>
          </w:rPr>
          <w:fldChar w:fldCharType="separate"/>
        </w:r>
        <w:r w:rsidR="00B37C22">
          <w:rPr>
            <w:webHidden/>
          </w:rPr>
          <w:t>105</w:t>
        </w:r>
        <w:r w:rsidR="00765837" w:rsidRPr="00765837">
          <w:rPr>
            <w:webHidden/>
          </w:rPr>
          <w:fldChar w:fldCharType="end"/>
        </w:r>
      </w:hyperlink>
    </w:p>
    <w:p w14:paraId="611D67D8" w14:textId="17C41E63" w:rsidR="00765837" w:rsidRPr="00765837" w:rsidRDefault="00A0087F">
      <w:pPr>
        <w:pStyle w:val="Spistreci2"/>
        <w:rPr>
          <w:rFonts w:eastAsiaTheme="minorEastAsia" w:cstheme="minorBidi"/>
        </w:rPr>
      </w:pPr>
      <w:hyperlink w:anchor="_Toc32999849" w:history="1">
        <w:r w:rsidR="00765837" w:rsidRPr="00765837">
          <w:rPr>
            <w:rStyle w:val="Hipercze"/>
          </w:rPr>
          <w:t>18.</w:t>
        </w:r>
        <w:r w:rsidR="00765837" w:rsidRPr="00765837">
          <w:rPr>
            <w:rFonts w:eastAsiaTheme="minorEastAsia" w:cstheme="minorBidi"/>
          </w:rPr>
          <w:tab/>
        </w:r>
        <w:r w:rsidR="00765837" w:rsidRPr="00765837">
          <w:rPr>
            <w:rStyle w:val="Hipercze"/>
          </w:rPr>
          <w:t>Pozostałe całkowite dochody</w:t>
        </w:r>
        <w:r w:rsidR="00765837" w:rsidRPr="00765837">
          <w:rPr>
            <w:webHidden/>
          </w:rPr>
          <w:tab/>
        </w:r>
        <w:r w:rsidR="00765837" w:rsidRPr="00765837">
          <w:rPr>
            <w:webHidden/>
          </w:rPr>
          <w:fldChar w:fldCharType="begin"/>
        </w:r>
        <w:r w:rsidR="00765837" w:rsidRPr="00765837">
          <w:rPr>
            <w:webHidden/>
          </w:rPr>
          <w:instrText xml:space="preserve"> PAGEREF _Toc32999849 \h </w:instrText>
        </w:r>
        <w:r w:rsidR="00765837" w:rsidRPr="00765837">
          <w:rPr>
            <w:webHidden/>
          </w:rPr>
        </w:r>
        <w:r w:rsidR="00765837" w:rsidRPr="00765837">
          <w:rPr>
            <w:webHidden/>
          </w:rPr>
          <w:fldChar w:fldCharType="separate"/>
        </w:r>
        <w:r w:rsidR="00B37C22">
          <w:rPr>
            <w:webHidden/>
          </w:rPr>
          <w:t>106</w:t>
        </w:r>
        <w:r w:rsidR="00765837" w:rsidRPr="00765837">
          <w:rPr>
            <w:webHidden/>
          </w:rPr>
          <w:fldChar w:fldCharType="end"/>
        </w:r>
      </w:hyperlink>
    </w:p>
    <w:p w14:paraId="4025B358" w14:textId="60062EAD" w:rsidR="00765837" w:rsidRPr="00765837" w:rsidRDefault="00A0087F">
      <w:pPr>
        <w:pStyle w:val="Spistreci2"/>
        <w:rPr>
          <w:rFonts w:eastAsiaTheme="minorEastAsia" w:cstheme="minorBidi"/>
        </w:rPr>
      </w:pPr>
      <w:hyperlink w:anchor="_Toc32999850" w:history="1">
        <w:r w:rsidR="00765837" w:rsidRPr="00765837">
          <w:rPr>
            <w:rStyle w:val="Hipercze"/>
          </w:rPr>
          <w:t>19.</w:t>
        </w:r>
        <w:r w:rsidR="00765837" w:rsidRPr="00765837">
          <w:rPr>
            <w:rFonts w:eastAsiaTheme="minorEastAsia" w:cstheme="minorBidi"/>
          </w:rPr>
          <w:tab/>
        </w:r>
        <w:r w:rsidR="00765837" w:rsidRPr="00765837">
          <w:rPr>
            <w:rStyle w:val="Hipercze"/>
          </w:rPr>
          <w:t>Kasa, operacje z bankiem centralnym</w:t>
        </w:r>
        <w:r w:rsidR="00765837" w:rsidRPr="00765837">
          <w:rPr>
            <w:webHidden/>
          </w:rPr>
          <w:tab/>
        </w:r>
        <w:r w:rsidR="00765837" w:rsidRPr="00765837">
          <w:rPr>
            <w:webHidden/>
          </w:rPr>
          <w:fldChar w:fldCharType="begin"/>
        </w:r>
        <w:r w:rsidR="00765837" w:rsidRPr="00765837">
          <w:rPr>
            <w:webHidden/>
          </w:rPr>
          <w:instrText xml:space="preserve"> PAGEREF _Toc32999850 \h </w:instrText>
        </w:r>
        <w:r w:rsidR="00765837" w:rsidRPr="00765837">
          <w:rPr>
            <w:webHidden/>
          </w:rPr>
        </w:r>
        <w:r w:rsidR="00765837" w:rsidRPr="00765837">
          <w:rPr>
            <w:webHidden/>
          </w:rPr>
          <w:fldChar w:fldCharType="separate"/>
        </w:r>
        <w:r w:rsidR="00B37C22">
          <w:rPr>
            <w:webHidden/>
          </w:rPr>
          <w:t>107</w:t>
        </w:r>
        <w:r w:rsidR="00765837" w:rsidRPr="00765837">
          <w:rPr>
            <w:webHidden/>
          </w:rPr>
          <w:fldChar w:fldCharType="end"/>
        </w:r>
      </w:hyperlink>
    </w:p>
    <w:p w14:paraId="015E03B3" w14:textId="0508E8B8" w:rsidR="00765837" w:rsidRPr="00765837" w:rsidRDefault="00A0087F">
      <w:pPr>
        <w:pStyle w:val="Spistreci2"/>
        <w:rPr>
          <w:rFonts w:eastAsiaTheme="minorEastAsia" w:cstheme="minorBidi"/>
        </w:rPr>
      </w:pPr>
      <w:hyperlink w:anchor="_Toc32999851" w:history="1">
        <w:r w:rsidR="00765837" w:rsidRPr="00765837">
          <w:rPr>
            <w:rStyle w:val="Hipercze"/>
          </w:rPr>
          <w:t>20.</w:t>
        </w:r>
        <w:r w:rsidR="00765837" w:rsidRPr="00765837">
          <w:rPr>
            <w:rFonts w:eastAsiaTheme="minorEastAsia" w:cstheme="minorBidi"/>
          </w:rPr>
          <w:tab/>
        </w:r>
        <w:r w:rsidR="00765837" w:rsidRPr="00765837">
          <w:rPr>
            <w:rStyle w:val="Hipercze"/>
          </w:rPr>
          <w:t>Aktywa i zobowiązania finansowe przeznaczone do obrotu oraz pochodne instrumenty zabezpieczające</w:t>
        </w:r>
        <w:r w:rsidR="00765837" w:rsidRPr="00765837">
          <w:rPr>
            <w:webHidden/>
          </w:rPr>
          <w:tab/>
        </w:r>
        <w:r w:rsidR="00765837" w:rsidRPr="00765837">
          <w:rPr>
            <w:webHidden/>
          </w:rPr>
          <w:fldChar w:fldCharType="begin"/>
        </w:r>
        <w:r w:rsidR="00765837" w:rsidRPr="00765837">
          <w:rPr>
            <w:webHidden/>
          </w:rPr>
          <w:instrText xml:space="preserve"> PAGEREF _Toc32999851 \h </w:instrText>
        </w:r>
        <w:r w:rsidR="00765837" w:rsidRPr="00765837">
          <w:rPr>
            <w:webHidden/>
          </w:rPr>
        </w:r>
        <w:r w:rsidR="00765837" w:rsidRPr="00765837">
          <w:rPr>
            <w:webHidden/>
          </w:rPr>
          <w:fldChar w:fldCharType="separate"/>
        </w:r>
        <w:r w:rsidR="00B37C22">
          <w:rPr>
            <w:webHidden/>
          </w:rPr>
          <w:t>107</w:t>
        </w:r>
        <w:r w:rsidR="00765837" w:rsidRPr="00765837">
          <w:rPr>
            <w:webHidden/>
          </w:rPr>
          <w:fldChar w:fldCharType="end"/>
        </w:r>
      </w:hyperlink>
    </w:p>
    <w:p w14:paraId="0EC09D82" w14:textId="12B24DF9" w:rsidR="00765837" w:rsidRPr="00765837" w:rsidRDefault="00A0087F">
      <w:pPr>
        <w:pStyle w:val="Spistreci2"/>
        <w:rPr>
          <w:rFonts w:eastAsiaTheme="minorEastAsia" w:cstheme="minorBidi"/>
        </w:rPr>
      </w:pPr>
      <w:hyperlink w:anchor="_Toc32999852" w:history="1">
        <w:r w:rsidR="00765837" w:rsidRPr="00765837">
          <w:rPr>
            <w:rStyle w:val="Hipercze"/>
          </w:rPr>
          <w:t>21.</w:t>
        </w:r>
        <w:r w:rsidR="00765837" w:rsidRPr="00765837">
          <w:rPr>
            <w:rFonts w:eastAsiaTheme="minorEastAsia" w:cstheme="minorBidi"/>
          </w:rPr>
          <w:tab/>
        </w:r>
        <w:r w:rsidR="00765837" w:rsidRPr="00765837">
          <w:rPr>
            <w:rStyle w:val="Hipercze"/>
          </w:rPr>
          <w:t>Aktywa finansowe nieprzeznaczone do obrotu wyceniane obowiązkowo w wartości godziwej przez wynik finansowy</w:t>
        </w:r>
        <w:r w:rsidR="00765837" w:rsidRPr="00765837">
          <w:rPr>
            <w:webHidden/>
          </w:rPr>
          <w:tab/>
        </w:r>
        <w:r w:rsidR="00765837" w:rsidRPr="00765837">
          <w:rPr>
            <w:webHidden/>
          </w:rPr>
          <w:fldChar w:fldCharType="begin"/>
        </w:r>
        <w:r w:rsidR="00765837" w:rsidRPr="00765837">
          <w:rPr>
            <w:webHidden/>
          </w:rPr>
          <w:instrText xml:space="preserve"> PAGEREF _Toc32999852 \h </w:instrText>
        </w:r>
        <w:r w:rsidR="00765837" w:rsidRPr="00765837">
          <w:rPr>
            <w:webHidden/>
          </w:rPr>
        </w:r>
        <w:r w:rsidR="00765837" w:rsidRPr="00765837">
          <w:rPr>
            <w:webHidden/>
          </w:rPr>
          <w:fldChar w:fldCharType="separate"/>
        </w:r>
        <w:r w:rsidR="00B37C22">
          <w:rPr>
            <w:webHidden/>
          </w:rPr>
          <w:t>118</w:t>
        </w:r>
        <w:r w:rsidR="00765837" w:rsidRPr="00765837">
          <w:rPr>
            <w:webHidden/>
          </w:rPr>
          <w:fldChar w:fldCharType="end"/>
        </w:r>
      </w:hyperlink>
    </w:p>
    <w:p w14:paraId="0E672F8A" w14:textId="2D2688AE" w:rsidR="00765837" w:rsidRPr="00765837" w:rsidRDefault="00A0087F">
      <w:pPr>
        <w:pStyle w:val="Spistreci2"/>
        <w:rPr>
          <w:rFonts w:eastAsiaTheme="minorEastAsia" w:cstheme="minorBidi"/>
        </w:rPr>
      </w:pPr>
      <w:hyperlink w:anchor="_Toc32999853" w:history="1">
        <w:r w:rsidR="00765837" w:rsidRPr="00765837">
          <w:rPr>
            <w:rStyle w:val="Hipercze"/>
          </w:rPr>
          <w:t>22.</w:t>
        </w:r>
        <w:r w:rsidR="00765837" w:rsidRPr="00765837">
          <w:rPr>
            <w:rFonts w:eastAsiaTheme="minorEastAsia" w:cstheme="minorBidi"/>
          </w:rPr>
          <w:tab/>
        </w:r>
        <w:r w:rsidR="00765837" w:rsidRPr="00765837">
          <w:rPr>
            <w:rStyle w:val="Hipercze"/>
          </w:rPr>
          <w:t>Aktywa finansowe wyceniane w wartości godziwej przez pozostałe całkowite dochody</w:t>
        </w:r>
        <w:r w:rsidR="00765837" w:rsidRPr="00765837">
          <w:rPr>
            <w:webHidden/>
          </w:rPr>
          <w:tab/>
        </w:r>
        <w:r w:rsidR="00765837" w:rsidRPr="00765837">
          <w:rPr>
            <w:webHidden/>
          </w:rPr>
          <w:fldChar w:fldCharType="begin"/>
        </w:r>
        <w:r w:rsidR="00765837" w:rsidRPr="00765837">
          <w:rPr>
            <w:webHidden/>
          </w:rPr>
          <w:instrText xml:space="preserve"> PAGEREF _Toc32999853 \h </w:instrText>
        </w:r>
        <w:r w:rsidR="00765837" w:rsidRPr="00765837">
          <w:rPr>
            <w:webHidden/>
          </w:rPr>
        </w:r>
        <w:r w:rsidR="00765837" w:rsidRPr="00765837">
          <w:rPr>
            <w:webHidden/>
          </w:rPr>
          <w:fldChar w:fldCharType="separate"/>
        </w:r>
        <w:r w:rsidR="00B37C22">
          <w:rPr>
            <w:webHidden/>
          </w:rPr>
          <w:t>119</w:t>
        </w:r>
        <w:r w:rsidR="00765837" w:rsidRPr="00765837">
          <w:rPr>
            <w:webHidden/>
          </w:rPr>
          <w:fldChar w:fldCharType="end"/>
        </w:r>
      </w:hyperlink>
    </w:p>
    <w:p w14:paraId="27977FAA" w14:textId="182CFD65" w:rsidR="00765837" w:rsidRPr="00765837" w:rsidRDefault="00A0087F">
      <w:pPr>
        <w:pStyle w:val="Spistreci2"/>
        <w:rPr>
          <w:rFonts w:eastAsiaTheme="minorEastAsia" w:cstheme="minorBidi"/>
        </w:rPr>
      </w:pPr>
      <w:hyperlink w:anchor="_Toc32999854" w:history="1">
        <w:r w:rsidR="00765837" w:rsidRPr="00765837">
          <w:rPr>
            <w:rStyle w:val="Hipercze"/>
          </w:rPr>
          <w:t>23.</w:t>
        </w:r>
        <w:r w:rsidR="00765837" w:rsidRPr="00765837">
          <w:rPr>
            <w:rFonts w:eastAsiaTheme="minorEastAsia" w:cstheme="minorBidi"/>
          </w:rPr>
          <w:tab/>
        </w:r>
        <w:r w:rsidR="00765837" w:rsidRPr="00765837">
          <w:rPr>
            <w:rStyle w:val="Hipercze"/>
          </w:rPr>
          <w:t>Aktywa finansowe wyceniane w zamortyzowanym koszcie</w:t>
        </w:r>
        <w:r w:rsidR="00765837" w:rsidRPr="00765837">
          <w:rPr>
            <w:webHidden/>
          </w:rPr>
          <w:tab/>
        </w:r>
        <w:r w:rsidR="00765837" w:rsidRPr="00765837">
          <w:rPr>
            <w:webHidden/>
          </w:rPr>
          <w:fldChar w:fldCharType="begin"/>
        </w:r>
        <w:r w:rsidR="00765837" w:rsidRPr="00765837">
          <w:rPr>
            <w:webHidden/>
          </w:rPr>
          <w:instrText xml:space="preserve"> PAGEREF _Toc32999854 \h </w:instrText>
        </w:r>
        <w:r w:rsidR="00765837" w:rsidRPr="00765837">
          <w:rPr>
            <w:webHidden/>
          </w:rPr>
        </w:r>
        <w:r w:rsidR="00765837" w:rsidRPr="00765837">
          <w:rPr>
            <w:webHidden/>
          </w:rPr>
          <w:fldChar w:fldCharType="separate"/>
        </w:r>
        <w:r w:rsidR="00B37C22">
          <w:rPr>
            <w:webHidden/>
          </w:rPr>
          <w:t>121</w:t>
        </w:r>
        <w:r w:rsidR="00765837" w:rsidRPr="00765837">
          <w:rPr>
            <w:webHidden/>
          </w:rPr>
          <w:fldChar w:fldCharType="end"/>
        </w:r>
      </w:hyperlink>
    </w:p>
    <w:p w14:paraId="7A095344" w14:textId="0DF2650F" w:rsidR="00765837" w:rsidRPr="00765837" w:rsidRDefault="00A0087F">
      <w:pPr>
        <w:pStyle w:val="Spistreci2"/>
        <w:rPr>
          <w:rFonts w:eastAsiaTheme="minorEastAsia" w:cstheme="minorBidi"/>
        </w:rPr>
      </w:pPr>
      <w:hyperlink w:anchor="_Toc32999855" w:history="1">
        <w:r w:rsidR="00765837" w:rsidRPr="00765837">
          <w:rPr>
            <w:rStyle w:val="Hipercze"/>
          </w:rPr>
          <w:t>24.</w:t>
        </w:r>
        <w:r w:rsidR="00765837" w:rsidRPr="00765837">
          <w:rPr>
            <w:rFonts w:eastAsiaTheme="minorEastAsia" w:cstheme="minorBidi"/>
          </w:rPr>
          <w:tab/>
        </w:r>
        <w:r w:rsidR="00765837" w:rsidRPr="00765837">
          <w:rPr>
            <w:rStyle w:val="Hipercze"/>
          </w:rPr>
          <w:t>Aktywa trwałe przeznaczone do sprzedaży</w:t>
        </w:r>
        <w:r w:rsidR="00765837" w:rsidRPr="00765837">
          <w:rPr>
            <w:webHidden/>
          </w:rPr>
          <w:tab/>
        </w:r>
        <w:r w:rsidR="00765837" w:rsidRPr="00765837">
          <w:rPr>
            <w:webHidden/>
          </w:rPr>
          <w:fldChar w:fldCharType="begin"/>
        </w:r>
        <w:r w:rsidR="00765837" w:rsidRPr="00765837">
          <w:rPr>
            <w:webHidden/>
          </w:rPr>
          <w:instrText xml:space="preserve"> PAGEREF _Toc32999855 \h </w:instrText>
        </w:r>
        <w:r w:rsidR="00765837" w:rsidRPr="00765837">
          <w:rPr>
            <w:webHidden/>
          </w:rPr>
        </w:r>
        <w:r w:rsidR="00765837" w:rsidRPr="00765837">
          <w:rPr>
            <w:webHidden/>
          </w:rPr>
          <w:fldChar w:fldCharType="separate"/>
        </w:r>
        <w:r w:rsidR="00B37C22">
          <w:rPr>
            <w:webHidden/>
          </w:rPr>
          <w:t>130</w:t>
        </w:r>
        <w:r w:rsidR="00765837" w:rsidRPr="00765837">
          <w:rPr>
            <w:webHidden/>
          </w:rPr>
          <w:fldChar w:fldCharType="end"/>
        </w:r>
      </w:hyperlink>
    </w:p>
    <w:p w14:paraId="52CC4A3B" w14:textId="6C9D138C" w:rsidR="00765837" w:rsidRPr="00765837" w:rsidRDefault="00A0087F">
      <w:pPr>
        <w:pStyle w:val="Spistreci2"/>
        <w:rPr>
          <w:rFonts w:eastAsiaTheme="minorEastAsia" w:cstheme="minorBidi"/>
        </w:rPr>
      </w:pPr>
      <w:hyperlink w:anchor="_Toc32999856" w:history="1">
        <w:r w:rsidR="00765837" w:rsidRPr="00765837">
          <w:rPr>
            <w:rStyle w:val="Hipercze"/>
          </w:rPr>
          <w:t>25.</w:t>
        </w:r>
        <w:r w:rsidR="00765837" w:rsidRPr="00765837">
          <w:rPr>
            <w:rFonts w:eastAsiaTheme="minorEastAsia" w:cstheme="minorBidi"/>
          </w:rPr>
          <w:tab/>
        </w:r>
        <w:r w:rsidR="00765837" w:rsidRPr="00765837">
          <w:rPr>
            <w:rStyle w:val="Hipercze"/>
          </w:rPr>
          <w:t>Wartości niematerialne</w:t>
        </w:r>
        <w:r w:rsidR="00765837" w:rsidRPr="00765837">
          <w:rPr>
            <w:webHidden/>
          </w:rPr>
          <w:tab/>
        </w:r>
        <w:r w:rsidR="00765837" w:rsidRPr="00765837">
          <w:rPr>
            <w:webHidden/>
          </w:rPr>
          <w:fldChar w:fldCharType="begin"/>
        </w:r>
        <w:r w:rsidR="00765837" w:rsidRPr="00765837">
          <w:rPr>
            <w:webHidden/>
          </w:rPr>
          <w:instrText xml:space="preserve"> PAGEREF _Toc32999856 \h </w:instrText>
        </w:r>
        <w:r w:rsidR="00765837" w:rsidRPr="00765837">
          <w:rPr>
            <w:webHidden/>
          </w:rPr>
        </w:r>
        <w:r w:rsidR="00765837" w:rsidRPr="00765837">
          <w:rPr>
            <w:webHidden/>
          </w:rPr>
          <w:fldChar w:fldCharType="separate"/>
        </w:r>
        <w:r w:rsidR="00B37C22">
          <w:rPr>
            <w:webHidden/>
          </w:rPr>
          <w:t>130</w:t>
        </w:r>
        <w:r w:rsidR="00765837" w:rsidRPr="00765837">
          <w:rPr>
            <w:webHidden/>
          </w:rPr>
          <w:fldChar w:fldCharType="end"/>
        </w:r>
      </w:hyperlink>
    </w:p>
    <w:p w14:paraId="024898AC" w14:textId="6D40AEC4" w:rsidR="00765837" w:rsidRPr="00765837" w:rsidRDefault="00A0087F">
      <w:pPr>
        <w:pStyle w:val="Spistreci2"/>
        <w:rPr>
          <w:rFonts w:eastAsiaTheme="minorEastAsia" w:cstheme="minorBidi"/>
        </w:rPr>
      </w:pPr>
      <w:hyperlink w:anchor="_Toc32999857" w:history="1">
        <w:r w:rsidR="00765837" w:rsidRPr="00765837">
          <w:rPr>
            <w:rStyle w:val="Hipercze"/>
          </w:rPr>
          <w:t>26.</w:t>
        </w:r>
        <w:r w:rsidR="00765837" w:rsidRPr="00765837">
          <w:rPr>
            <w:rFonts w:eastAsiaTheme="minorEastAsia" w:cstheme="minorBidi"/>
          </w:rPr>
          <w:tab/>
        </w:r>
        <w:r w:rsidR="00765837" w:rsidRPr="00765837">
          <w:rPr>
            <w:rStyle w:val="Hipercze"/>
          </w:rPr>
          <w:t>Rzeczowe aktywa trwałe</w:t>
        </w:r>
        <w:r w:rsidR="00765837" w:rsidRPr="00765837">
          <w:rPr>
            <w:webHidden/>
          </w:rPr>
          <w:tab/>
        </w:r>
        <w:r w:rsidR="00765837" w:rsidRPr="00765837">
          <w:rPr>
            <w:webHidden/>
          </w:rPr>
          <w:fldChar w:fldCharType="begin"/>
        </w:r>
        <w:r w:rsidR="00765837" w:rsidRPr="00765837">
          <w:rPr>
            <w:webHidden/>
          </w:rPr>
          <w:instrText xml:space="preserve"> PAGEREF _Toc32999857 \h </w:instrText>
        </w:r>
        <w:r w:rsidR="00765837" w:rsidRPr="00765837">
          <w:rPr>
            <w:webHidden/>
          </w:rPr>
        </w:r>
        <w:r w:rsidR="00765837" w:rsidRPr="00765837">
          <w:rPr>
            <w:webHidden/>
          </w:rPr>
          <w:fldChar w:fldCharType="separate"/>
        </w:r>
        <w:r w:rsidR="00B37C22">
          <w:rPr>
            <w:webHidden/>
          </w:rPr>
          <w:t>132</w:t>
        </w:r>
        <w:r w:rsidR="00765837" w:rsidRPr="00765837">
          <w:rPr>
            <w:webHidden/>
          </w:rPr>
          <w:fldChar w:fldCharType="end"/>
        </w:r>
      </w:hyperlink>
    </w:p>
    <w:p w14:paraId="3615ACCA" w14:textId="1C4FBA53" w:rsidR="00765837" w:rsidRPr="00765837" w:rsidRDefault="00A0087F">
      <w:pPr>
        <w:pStyle w:val="Spistreci2"/>
        <w:rPr>
          <w:rFonts w:eastAsiaTheme="minorEastAsia" w:cstheme="minorBidi"/>
        </w:rPr>
      </w:pPr>
      <w:hyperlink w:anchor="_Toc32999858" w:history="1">
        <w:r w:rsidR="00765837" w:rsidRPr="00765837">
          <w:rPr>
            <w:rStyle w:val="Hipercze"/>
          </w:rPr>
          <w:t>27.</w:t>
        </w:r>
        <w:r w:rsidR="00765837" w:rsidRPr="00765837">
          <w:rPr>
            <w:rFonts w:eastAsiaTheme="minorEastAsia" w:cstheme="minorBidi"/>
          </w:rPr>
          <w:tab/>
        </w:r>
        <w:r w:rsidR="00765837" w:rsidRPr="00765837">
          <w:rPr>
            <w:rStyle w:val="Hipercze"/>
          </w:rPr>
          <w:t>Inne aktywa</w:t>
        </w:r>
        <w:r w:rsidR="00765837" w:rsidRPr="00765837">
          <w:rPr>
            <w:webHidden/>
          </w:rPr>
          <w:tab/>
        </w:r>
        <w:r w:rsidR="00765837" w:rsidRPr="00765837">
          <w:rPr>
            <w:webHidden/>
          </w:rPr>
          <w:fldChar w:fldCharType="begin"/>
        </w:r>
        <w:r w:rsidR="00765837" w:rsidRPr="00765837">
          <w:rPr>
            <w:webHidden/>
          </w:rPr>
          <w:instrText xml:space="preserve"> PAGEREF _Toc32999858 \h </w:instrText>
        </w:r>
        <w:r w:rsidR="00765837" w:rsidRPr="00765837">
          <w:rPr>
            <w:webHidden/>
          </w:rPr>
        </w:r>
        <w:r w:rsidR="00765837" w:rsidRPr="00765837">
          <w:rPr>
            <w:webHidden/>
          </w:rPr>
          <w:fldChar w:fldCharType="separate"/>
        </w:r>
        <w:r w:rsidR="00B37C22">
          <w:rPr>
            <w:webHidden/>
          </w:rPr>
          <w:t>135</w:t>
        </w:r>
        <w:r w:rsidR="00765837" w:rsidRPr="00765837">
          <w:rPr>
            <w:webHidden/>
          </w:rPr>
          <w:fldChar w:fldCharType="end"/>
        </w:r>
      </w:hyperlink>
    </w:p>
    <w:p w14:paraId="7892A4F6" w14:textId="0BC84EA3" w:rsidR="00765837" w:rsidRPr="00765837" w:rsidRDefault="00A0087F">
      <w:pPr>
        <w:pStyle w:val="Spistreci2"/>
        <w:rPr>
          <w:rFonts w:eastAsiaTheme="minorEastAsia" w:cstheme="minorBidi"/>
        </w:rPr>
      </w:pPr>
      <w:hyperlink w:anchor="_Toc32999859" w:history="1">
        <w:r w:rsidR="00765837" w:rsidRPr="00765837">
          <w:rPr>
            <w:rStyle w:val="Hipercze"/>
          </w:rPr>
          <w:t>28.</w:t>
        </w:r>
        <w:r w:rsidR="00765837" w:rsidRPr="00765837">
          <w:rPr>
            <w:rFonts w:eastAsiaTheme="minorEastAsia" w:cstheme="minorBidi"/>
          </w:rPr>
          <w:tab/>
        </w:r>
        <w:r w:rsidR="00765837" w:rsidRPr="00765837">
          <w:rPr>
            <w:rStyle w:val="Hipercze"/>
          </w:rPr>
          <w:t>Zobowiązania finansowe wyceniane w zamortyzowanym koszcie</w:t>
        </w:r>
        <w:r w:rsidR="00765837" w:rsidRPr="00765837">
          <w:rPr>
            <w:webHidden/>
          </w:rPr>
          <w:tab/>
        </w:r>
        <w:r w:rsidR="00765837" w:rsidRPr="00765837">
          <w:rPr>
            <w:webHidden/>
          </w:rPr>
          <w:fldChar w:fldCharType="begin"/>
        </w:r>
        <w:r w:rsidR="00765837" w:rsidRPr="00765837">
          <w:rPr>
            <w:webHidden/>
          </w:rPr>
          <w:instrText xml:space="preserve"> PAGEREF _Toc32999859 \h </w:instrText>
        </w:r>
        <w:r w:rsidR="00765837" w:rsidRPr="00765837">
          <w:rPr>
            <w:webHidden/>
          </w:rPr>
        </w:r>
        <w:r w:rsidR="00765837" w:rsidRPr="00765837">
          <w:rPr>
            <w:webHidden/>
          </w:rPr>
          <w:fldChar w:fldCharType="separate"/>
        </w:r>
        <w:r w:rsidR="00B37C22">
          <w:rPr>
            <w:webHidden/>
          </w:rPr>
          <w:t>136</w:t>
        </w:r>
        <w:r w:rsidR="00765837" w:rsidRPr="00765837">
          <w:rPr>
            <w:webHidden/>
          </w:rPr>
          <w:fldChar w:fldCharType="end"/>
        </w:r>
      </w:hyperlink>
    </w:p>
    <w:p w14:paraId="2CCF7192" w14:textId="4F8F86D7" w:rsidR="00765837" w:rsidRPr="00765837" w:rsidRDefault="00A0087F">
      <w:pPr>
        <w:pStyle w:val="Spistreci2"/>
        <w:rPr>
          <w:rFonts w:eastAsiaTheme="minorEastAsia" w:cstheme="minorBidi"/>
        </w:rPr>
      </w:pPr>
      <w:hyperlink w:anchor="_Toc32999860" w:history="1">
        <w:r w:rsidR="00765837" w:rsidRPr="00765837">
          <w:rPr>
            <w:rStyle w:val="Hipercze"/>
          </w:rPr>
          <w:t>29.</w:t>
        </w:r>
        <w:r w:rsidR="00765837" w:rsidRPr="00765837">
          <w:rPr>
            <w:rFonts w:eastAsiaTheme="minorEastAsia" w:cstheme="minorBidi"/>
          </w:rPr>
          <w:tab/>
        </w:r>
        <w:r w:rsidR="00765837" w:rsidRPr="00765837">
          <w:rPr>
            <w:rStyle w:val="Hipercze"/>
          </w:rPr>
          <w:t>Inne zobowiązania</w:t>
        </w:r>
        <w:r w:rsidR="00765837" w:rsidRPr="00765837">
          <w:rPr>
            <w:webHidden/>
          </w:rPr>
          <w:tab/>
        </w:r>
        <w:r w:rsidR="00765837" w:rsidRPr="00765837">
          <w:rPr>
            <w:webHidden/>
          </w:rPr>
          <w:fldChar w:fldCharType="begin"/>
        </w:r>
        <w:r w:rsidR="00765837" w:rsidRPr="00765837">
          <w:rPr>
            <w:webHidden/>
          </w:rPr>
          <w:instrText xml:space="preserve"> PAGEREF _Toc32999860 \h </w:instrText>
        </w:r>
        <w:r w:rsidR="00765837" w:rsidRPr="00765837">
          <w:rPr>
            <w:webHidden/>
          </w:rPr>
        </w:r>
        <w:r w:rsidR="00765837" w:rsidRPr="00765837">
          <w:rPr>
            <w:webHidden/>
          </w:rPr>
          <w:fldChar w:fldCharType="separate"/>
        </w:r>
        <w:r w:rsidR="00B37C22">
          <w:rPr>
            <w:webHidden/>
          </w:rPr>
          <w:t>142</w:t>
        </w:r>
        <w:r w:rsidR="00765837" w:rsidRPr="00765837">
          <w:rPr>
            <w:webHidden/>
          </w:rPr>
          <w:fldChar w:fldCharType="end"/>
        </w:r>
      </w:hyperlink>
    </w:p>
    <w:p w14:paraId="2D44BFCA" w14:textId="151E7CC9" w:rsidR="00765837" w:rsidRPr="00765837" w:rsidRDefault="00A0087F">
      <w:pPr>
        <w:pStyle w:val="Spistreci2"/>
        <w:rPr>
          <w:rFonts w:eastAsiaTheme="minorEastAsia" w:cstheme="minorBidi"/>
        </w:rPr>
      </w:pPr>
      <w:hyperlink w:anchor="_Toc32999861" w:history="1">
        <w:r w:rsidR="00765837" w:rsidRPr="00765837">
          <w:rPr>
            <w:rStyle w:val="Hipercze"/>
          </w:rPr>
          <w:t>30.</w:t>
        </w:r>
        <w:r w:rsidR="00765837" w:rsidRPr="00765837">
          <w:rPr>
            <w:rFonts w:eastAsiaTheme="minorEastAsia" w:cstheme="minorBidi"/>
          </w:rPr>
          <w:tab/>
        </w:r>
        <w:r w:rsidR="00765837" w:rsidRPr="00765837">
          <w:rPr>
            <w:rStyle w:val="Hipercze"/>
          </w:rPr>
          <w:t>Rezerwy</w:t>
        </w:r>
        <w:r w:rsidR="00765837" w:rsidRPr="00765837">
          <w:rPr>
            <w:webHidden/>
          </w:rPr>
          <w:tab/>
        </w:r>
        <w:r w:rsidR="00765837" w:rsidRPr="00765837">
          <w:rPr>
            <w:webHidden/>
          </w:rPr>
          <w:fldChar w:fldCharType="begin"/>
        </w:r>
        <w:r w:rsidR="00765837" w:rsidRPr="00765837">
          <w:rPr>
            <w:webHidden/>
          </w:rPr>
          <w:instrText xml:space="preserve"> PAGEREF _Toc32999861 \h </w:instrText>
        </w:r>
        <w:r w:rsidR="00765837" w:rsidRPr="00765837">
          <w:rPr>
            <w:webHidden/>
          </w:rPr>
        </w:r>
        <w:r w:rsidR="00765837" w:rsidRPr="00765837">
          <w:rPr>
            <w:webHidden/>
          </w:rPr>
          <w:fldChar w:fldCharType="separate"/>
        </w:r>
        <w:r w:rsidR="00B37C22">
          <w:rPr>
            <w:webHidden/>
          </w:rPr>
          <w:t>143</w:t>
        </w:r>
        <w:r w:rsidR="00765837" w:rsidRPr="00765837">
          <w:rPr>
            <w:webHidden/>
          </w:rPr>
          <w:fldChar w:fldCharType="end"/>
        </w:r>
      </w:hyperlink>
    </w:p>
    <w:p w14:paraId="417E6261" w14:textId="6EB766EB" w:rsidR="00765837" w:rsidRPr="00765837" w:rsidRDefault="00A0087F">
      <w:pPr>
        <w:pStyle w:val="Spistreci2"/>
        <w:rPr>
          <w:rFonts w:eastAsiaTheme="minorEastAsia" w:cstheme="minorBidi"/>
        </w:rPr>
      </w:pPr>
      <w:hyperlink w:anchor="_Toc32999862" w:history="1">
        <w:r w:rsidR="00765837" w:rsidRPr="00765837">
          <w:rPr>
            <w:rStyle w:val="Hipercze"/>
          </w:rPr>
          <w:t>31.</w:t>
        </w:r>
        <w:r w:rsidR="00765837" w:rsidRPr="00765837">
          <w:rPr>
            <w:rFonts w:eastAsiaTheme="minorEastAsia" w:cstheme="minorBidi"/>
          </w:rPr>
          <w:tab/>
        </w:r>
        <w:r w:rsidR="00765837" w:rsidRPr="00765837">
          <w:rPr>
            <w:rStyle w:val="Hipercze"/>
          </w:rPr>
          <w:t>Aktywa i rezerwy z tytułu odroczonego podatku dochodowego</w:t>
        </w:r>
        <w:r w:rsidR="00765837" w:rsidRPr="00765837">
          <w:rPr>
            <w:webHidden/>
          </w:rPr>
          <w:tab/>
        </w:r>
        <w:r w:rsidR="00765837" w:rsidRPr="00765837">
          <w:rPr>
            <w:webHidden/>
          </w:rPr>
          <w:fldChar w:fldCharType="begin"/>
        </w:r>
        <w:r w:rsidR="00765837" w:rsidRPr="00765837">
          <w:rPr>
            <w:webHidden/>
          </w:rPr>
          <w:instrText xml:space="preserve"> PAGEREF _Toc32999862 \h </w:instrText>
        </w:r>
        <w:r w:rsidR="00765837" w:rsidRPr="00765837">
          <w:rPr>
            <w:webHidden/>
          </w:rPr>
        </w:r>
        <w:r w:rsidR="00765837" w:rsidRPr="00765837">
          <w:rPr>
            <w:webHidden/>
          </w:rPr>
          <w:fldChar w:fldCharType="separate"/>
        </w:r>
        <w:r w:rsidR="00B37C22">
          <w:rPr>
            <w:webHidden/>
          </w:rPr>
          <w:t>145</w:t>
        </w:r>
        <w:r w:rsidR="00765837" w:rsidRPr="00765837">
          <w:rPr>
            <w:webHidden/>
          </w:rPr>
          <w:fldChar w:fldCharType="end"/>
        </w:r>
      </w:hyperlink>
    </w:p>
    <w:p w14:paraId="2890ED58" w14:textId="11859115" w:rsidR="00765837" w:rsidRPr="00765837" w:rsidRDefault="00A0087F">
      <w:pPr>
        <w:pStyle w:val="Spistreci2"/>
        <w:rPr>
          <w:rFonts w:eastAsiaTheme="minorEastAsia" w:cstheme="minorBidi"/>
        </w:rPr>
      </w:pPr>
      <w:hyperlink w:anchor="_Toc32999863" w:history="1">
        <w:r w:rsidR="00765837" w:rsidRPr="00765837">
          <w:rPr>
            <w:rStyle w:val="Hipercze"/>
          </w:rPr>
          <w:t>32.</w:t>
        </w:r>
        <w:r w:rsidR="00765837" w:rsidRPr="00765837">
          <w:rPr>
            <w:rFonts w:eastAsiaTheme="minorEastAsia" w:cstheme="minorBidi"/>
          </w:rPr>
          <w:tab/>
        </w:r>
        <w:r w:rsidR="00765837" w:rsidRPr="00765837">
          <w:rPr>
            <w:rStyle w:val="Hipercze"/>
          </w:rPr>
          <w:t>Postępowania toczące się przed sądem, organem właściwym dla postępowania arbitrażowego lub organem administracji publicznej</w:t>
        </w:r>
        <w:r w:rsidR="00765837" w:rsidRPr="00765837">
          <w:rPr>
            <w:webHidden/>
          </w:rPr>
          <w:tab/>
        </w:r>
        <w:r w:rsidR="00765837" w:rsidRPr="00765837">
          <w:rPr>
            <w:webHidden/>
          </w:rPr>
          <w:fldChar w:fldCharType="begin"/>
        </w:r>
        <w:r w:rsidR="00765837" w:rsidRPr="00765837">
          <w:rPr>
            <w:webHidden/>
          </w:rPr>
          <w:instrText xml:space="preserve"> PAGEREF _Toc32999863 \h </w:instrText>
        </w:r>
        <w:r w:rsidR="00765837" w:rsidRPr="00765837">
          <w:rPr>
            <w:webHidden/>
          </w:rPr>
        </w:r>
        <w:r w:rsidR="00765837" w:rsidRPr="00765837">
          <w:rPr>
            <w:webHidden/>
          </w:rPr>
          <w:fldChar w:fldCharType="separate"/>
        </w:r>
        <w:r w:rsidR="00B37C22">
          <w:rPr>
            <w:webHidden/>
          </w:rPr>
          <w:t>148</w:t>
        </w:r>
        <w:r w:rsidR="00765837" w:rsidRPr="00765837">
          <w:rPr>
            <w:webHidden/>
          </w:rPr>
          <w:fldChar w:fldCharType="end"/>
        </w:r>
      </w:hyperlink>
    </w:p>
    <w:p w14:paraId="5AEE1518" w14:textId="5736A881" w:rsidR="00765837" w:rsidRPr="00765837" w:rsidRDefault="00A0087F">
      <w:pPr>
        <w:pStyle w:val="Spistreci2"/>
        <w:rPr>
          <w:rFonts w:eastAsiaTheme="minorEastAsia" w:cstheme="minorBidi"/>
        </w:rPr>
      </w:pPr>
      <w:hyperlink w:anchor="_Toc32999864" w:history="1">
        <w:r w:rsidR="00765837" w:rsidRPr="00765837">
          <w:rPr>
            <w:rStyle w:val="Hipercze"/>
          </w:rPr>
          <w:t>33.</w:t>
        </w:r>
        <w:r w:rsidR="00765837" w:rsidRPr="00765837">
          <w:rPr>
            <w:rFonts w:eastAsiaTheme="minorEastAsia" w:cstheme="minorBidi"/>
          </w:rPr>
          <w:tab/>
        </w:r>
        <w:r w:rsidR="00765837" w:rsidRPr="00765837">
          <w:rPr>
            <w:rStyle w:val="Hipercze"/>
          </w:rPr>
          <w:t>Zobowiązania pozabilansowe</w:t>
        </w:r>
        <w:r w:rsidR="00765837" w:rsidRPr="00765837">
          <w:rPr>
            <w:webHidden/>
          </w:rPr>
          <w:tab/>
        </w:r>
        <w:r w:rsidR="00765837" w:rsidRPr="00765837">
          <w:rPr>
            <w:webHidden/>
          </w:rPr>
          <w:fldChar w:fldCharType="begin"/>
        </w:r>
        <w:r w:rsidR="00765837" w:rsidRPr="00765837">
          <w:rPr>
            <w:webHidden/>
          </w:rPr>
          <w:instrText xml:space="preserve"> PAGEREF _Toc32999864 \h </w:instrText>
        </w:r>
        <w:r w:rsidR="00765837" w:rsidRPr="00765837">
          <w:rPr>
            <w:webHidden/>
          </w:rPr>
        </w:r>
        <w:r w:rsidR="00765837" w:rsidRPr="00765837">
          <w:rPr>
            <w:webHidden/>
          </w:rPr>
          <w:fldChar w:fldCharType="separate"/>
        </w:r>
        <w:r w:rsidR="00B37C22">
          <w:rPr>
            <w:webHidden/>
          </w:rPr>
          <w:t>151</w:t>
        </w:r>
        <w:r w:rsidR="00765837" w:rsidRPr="00765837">
          <w:rPr>
            <w:webHidden/>
          </w:rPr>
          <w:fldChar w:fldCharType="end"/>
        </w:r>
      </w:hyperlink>
    </w:p>
    <w:p w14:paraId="7AAC2889" w14:textId="6B9826CA" w:rsidR="00765837" w:rsidRPr="00765837" w:rsidRDefault="00A0087F">
      <w:pPr>
        <w:pStyle w:val="Spistreci2"/>
        <w:rPr>
          <w:rFonts w:eastAsiaTheme="minorEastAsia" w:cstheme="minorBidi"/>
        </w:rPr>
      </w:pPr>
      <w:hyperlink w:anchor="_Toc32999865" w:history="1">
        <w:r w:rsidR="00765837" w:rsidRPr="00765837">
          <w:rPr>
            <w:rStyle w:val="Hipercze"/>
          </w:rPr>
          <w:t>34.</w:t>
        </w:r>
        <w:r w:rsidR="00765837" w:rsidRPr="00765837">
          <w:rPr>
            <w:rFonts w:eastAsiaTheme="minorEastAsia" w:cstheme="minorBidi"/>
          </w:rPr>
          <w:tab/>
        </w:r>
        <w:r w:rsidR="00765837" w:rsidRPr="00765837">
          <w:rPr>
            <w:rStyle w:val="Hipercze"/>
          </w:rPr>
          <w:t>Aktywa zastawione</w:t>
        </w:r>
        <w:r w:rsidR="00765837" w:rsidRPr="00765837">
          <w:rPr>
            <w:webHidden/>
          </w:rPr>
          <w:tab/>
        </w:r>
        <w:r w:rsidR="00765837" w:rsidRPr="00765837">
          <w:rPr>
            <w:webHidden/>
          </w:rPr>
          <w:fldChar w:fldCharType="begin"/>
        </w:r>
        <w:r w:rsidR="00765837" w:rsidRPr="00765837">
          <w:rPr>
            <w:webHidden/>
          </w:rPr>
          <w:instrText xml:space="preserve"> PAGEREF _Toc32999865 \h </w:instrText>
        </w:r>
        <w:r w:rsidR="00765837" w:rsidRPr="00765837">
          <w:rPr>
            <w:webHidden/>
          </w:rPr>
        </w:r>
        <w:r w:rsidR="00765837" w:rsidRPr="00765837">
          <w:rPr>
            <w:webHidden/>
          </w:rPr>
          <w:fldChar w:fldCharType="separate"/>
        </w:r>
        <w:r w:rsidR="00B37C22">
          <w:rPr>
            <w:webHidden/>
          </w:rPr>
          <w:t>152</w:t>
        </w:r>
        <w:r w:rsidR="00765837" w:rsidRPr="00765837">
          <w:rPr>
            <w:webHidden/>
          </w:rPr>
          <w:fldChar w:fldCharType="end"/>
        </w:r>
      </w:hyperlink>
    </w:p>
    <w:p w14:paraId="399C0269" w14:textId="0BDCF301" w:rsidR="00765837" w:rsidRPr="00765837" w:rsidRDefault="00A0087F">
      <w:pPr>
        <w:pStyle w:val="Spistreci2"/>
        <w:rPr>
          <w:rFonts w:eastAsiaTheme="minorEastAsia" w:cstheme="minorBidi"/>
        </w:rPr>
      </w:pPr>
      <w:hyperlink w:anchor="_Toc32999866" w:history="1">
        <w:r w:rsidR="00765837" w:rsidRPr="00765837">
          <w:rPr>
            <w:rStyle w:val="Hipercze"/>
          </w:rPr>
          <w:t>35.</w:t>
        </w:r>
        <w:r w:rsidR="00765837" w:rsidRPr="00765837">
          <w:rPr>
            <w:rFonts w:eastAsiaTheme="minorEastAsia" w:cstheme="minorBidi"/>
          </w:rPr>
          <w:tab/>
        </w:r>
        <w:r w:rsidR="00765837" w:rsidRPr="00765837">
          <w:rPr>
            <w:rStyle w:val="Hipercze"/>
          </w:rPr>
          <w:t>Zarejestrowany kapitał akcyjny</w:t>
        </w:r>
        <w:r w:rsidR="00765837" w:rsidRPr="00765837">
          <w:rPr>
            <w:webHidden/>
          </w:rPr>
          <w:tab/>
        </w:r>
        <w:r w:rsidR="00765837" w:rsidRPr="00765837">
          <w:rPr>
            <w:webHidden/>
          </w:rPr>
          <w:fldChar w:fldCharType="begin"/>
        </w:r>
        <w:r w:rsidR="00765837" w:rsidRPr="00765837">
          <w:rPr>
            <w:webHidden/>
          </w:rPr>
          <w:instrText xml:space="preserve"> PAGEREF _Toc32999866 \h </w:instrText>
        </w:r>
        <w:r w:rsidR="00765837" w:rsidRPr="00765837">
          <w:rPr>
            <w:webHidden/>
          </w:rPr>
        </w:r>
        <w:r w:rsidR="00765837" w:rsidRPr="00765837">
          <w:rPr>
            <w:webHidden/>
          </w:rPr>
          <w:fldChar w:fldCharType="separate"/>
        </w:r>
        <w:r w:rsidR="00B37C22">
          <w:rPr>
            <w:webHidden/>
          </w:rPr>
          <w:t>154</w:t>
        </w:r>
        <w:r w:rsidR="00765837" w:rsidRPr="00765837">
          <w:rPr>
            <w:webHidden/>
          </w:rPr>
          <w:fldChar w:fldCharType="end"/>
        </w:r>
      </w:hyperlink>
    </w:p>
    <w:p w14:paraId="31154CB0" w14:textId="1209DFA3" w:rsidR="00765837" w:rsidRPr="00765837" w:rsidRDefault="00A0087F">
      <w:pPr>
        <w:pStyle w:val="Spistreci2"/>
        <w:rPr>
          <w:rFonts w:eastAsiaTheme="minorEastAsia" w:cstheme="minorBidi"/>
        </w:rPr>
      </w:pPr>
      <w:hyperlink w:anchor="_Toc32999867" w:history="1">
        <w:r w:rsidR="00765837" w:rsidRPr="00765837">
          <w:rPr>
            <w:rStyle w:val="Hipercze"/>
          </w:rPr>
          <w:t>36.</w:t>
        </w:r>
        <w:r w:rsidR="00765837" w:rsidRPr="00765837">
          <w:rPr>
            <w:rFonts w:eastAsiaTheme="minorEastAsia" w:cstheme="minorBidi"/>
          </w:rPr>
          <w:tab/>
        </w:r>
        <w:r w:rsidR="00765837" w:rsidRPr="00765837">
          <w:rPr>
            <w:rStyle w:val="Hipercze"/>
          </w:rPr>
          <w:t>Kapitał zapasowy ze sprzedaży akcji powyżej wartości nominalnej</w:t>
        </w:r>
        <w:r w:rsidR="00765837" w:rsidRPr="00765837">
          <w:rPr>
            <w:webHidden/>
          </w:rPr>
          <w:tab/>
        </w:r>
        <w:r w:rsidR="00765837" w:rsidRPr="00765837">
          <w:rPr>
            <w:webHidden/>
          </w:rPr>
          <w:fldChar w:fldCharType="begin"/>
        </w:r>
        <w:r w:rsidR="00765837" w:rsidRPr="00765837">
          <w:rPr>
            <w:webHidden/>
          </w:rPr>
          <w:instrText xml:space="preserve"> PAGEREF _Toc32999867 \h </w:instrText>
        </w:r>
        <w:r w:rsidR="00765837" w:rsidRPr="00765837">
          <w:rPr>
            <w:webHidden/>
          </w:rPr>
        </w:r>
        <w:r w:rsidR="00765837" w:rsidRPr="00765837">
          <w:rPr>
            <w:webHidden/>
          </w:rPr>
          <w:fldChar w:fldCharType="separate"/>
        </w:r>
        <w:r w:rsidR="00B37C22">
          <w:rPr>
            <w:webHidden/>
          </w:rPr>
          <w:t>155</w:t>
        </w:r>
        <w:r w:rsidR="00765837" w:rsidRPr="00765837">
          <w:rPr>
            <w:webHidden/>
          </w:rPr>
          <w:fldChar w:fldCharType="end"/>
        </w:r>
      </w:hyperlink>
    </w:p>
    <w:p w14:paraId="192BCDE9" w14:textId="4F98E588" w:rsidR="00765837" w:rsidRPr="00765837" w:rsidRDefault="00A0087F">
      <w:pPr>
        <w:pStyle w:val="Spistreci2"/>
        <w:rPr>
          <w:rFonts w:eastAsiaTheme="minorEastAsia" w:cstheme="minorBidi"/>
        </w:rPr>
      </w:pPr>
      <w:hyperlink w:anchor="_Toc32999868" w:history="1">
        <w:r w:rsidR="00765837" w:rsidRPr="00765837">
          <w:rPr>
            <w:rStyle w:val="Hipercze"/>
          </w:rPr>
          <w:t>37.</w:t>
        </w:r>
        <w:r w:rsidR="00765837" w:rsidRPr="00765837">
          <w:rPr>
            <w:rFonts w:eastAsiaTheme="minorEastAsia" w:cstheme="minorBidi"/>
          </w:rPr>
          <w:tab/>
        </w:r>
        <w:r w:rsidR="00765837" w:rsidRPr="00765837">
          <w:rPr>
            <w:rStyle w:val="Hipercze"/>
          </w:rPr>
          <w:t>Zyski zatrzymane</w:t>
        </w:r>
        <w:r w:rsidR="00765837" w:rsidRPr="00765837">
          <w:rPr>
            <w:webHidden/>
          </w:rPr>
          <w:tab/>
        </w:r>
        <w:r w:rsidR="00765837" w:rsidRPr="00765837">
          <w:rPr>
            <w:webHidden/>
          </w:rPr>
          <w:fldChar w:fldCharType="begin"/>
        </w:r>
        <w:r w:rsidR="00765837" w:rsidRPr="00765837">
          <w:rPr>
            <w:webHidden/>
          </w:rPr>
          <w:instrText xml:space="preserve"> PAGEREF _Toc32999868 \h </w:instrText>
        </w:r>
        <w:r w:rsidR="00765837" w:rsidRPr="00765837">
          <w:rPr>
            <w:webHidden/>
          </w:rPr>
        </w:r>
        <w:r w:rsidR="00765837" w:rsidRPr="00765837">
          <w:rPr>
            <w:webHidden/>
          </w:rPr>
          <w:fldChar w:fldCharType="separate"/>
        </w:r>
        <w:r w:rsidR="00B37C22">
          <w:rPr>
            <w:webHidden/>
          </w:rPr>
          <w:t>155</w:t>
        </w:r>
        <w:r w:rsidR="00765837" w:rsidRPr="00765837">
          <w:rPr>
            <w:webHidden/>
          </w:rPr>
          <w:fldChar w:fldCharType="end"/>
        </w:r>
      </w:hyperlink>
    </w:p>
    <w:p w14:paraId="4087328B" w14:textId="20DF14DD" w:rsidR="00765837" w:rsidRPr="00765837" w:rsidRDefault="00A0087F">
      <w:pPr>
        <w:pStyle w:val="Spistreci2"/>
        <w:rPr>
          <w:rFonts w:eastAsiaTheme="minorEastAsia" w:cstheme="minorBidi"/>
        </w:rPr>
      </w:pPr>
      <w:hyperlink w:anchor="_Toc32999869" w:history="1">
        <w:r w:rsidR="00765837" w:rsidRPr="00765837">
          <w:rPr>
            <w:rStyle w:val="Hipercze"/>
          </w:rPr>
          <w:t>38.</w:t>
        </w:r>
        <w:r w:rsidR="00765837" w:rsidRPr="00765837">
          <w:rPr>
            <w:rFonts w:eastAsiaTheme="minorEastAsia" w:cstheme="minorBidi"/>
          </w:rPr>
          <w:tab/>
        </w:r>
        <w:r w:rsidR="00765837" w:rsidRPr="00765837">
          <w:rPr>
            <w:rStyle w:val="Hipercze"/>
          </w:rPr>
          <w:t>Inne pozycje kapitału własnego</w:t>
        </w:r>
        <w:r w:rsidR="00765837" w:rsidRPr="00765837">
          <w:rPr>
            <w:webHidden/>
          </w:rPr>
          <w:tab/>
        </w:r>
        <w:r w:rsidR="00765837" w:rsidRPr="00765837">
          <w:rPr>
            <w:webHidden/>
          </w:rPr>
          <w:fldChar w:fldCharType="begin"/>
        </w:r>
        <w:r w:rsidR="00765837" w:rsidRPr="00765837">
          <w:rPr>
            <w:webHidden/>
          </w:rPr>
          <w:instrText xml:space="preserve"> PAGEREF _Toc32999869 \h </w:instrText>
        </w:r>
        <w:r w:rsidR="00765837" w:rsidRPr="00765837">
          <w:rPr>
            <w:webHidden/>
          </w:rPr>
        </w:r>
        <w:r w:rsidR="00765837" w:rsidRPr="00765837">
          <w:rPr>
            <w:webHidden/>
          </w:rPr>
          <w:fldChar w:fldCharType="separate"/>
        </w:r>
        <w:r w:rsidR="00B37C22">
          <w:rPr>
            <w:webHidden/>
          </w:rPr>
          <w:t>156</w:t>
        </w:r>
        <w:r w:rsidR="00765837" w:rsidRPr="00765837">
          <w:rPr>
            <w:webHidden/>
          </w:rPr>
          <w:fldChar w:fldCharType="end"/>
        </w:r>
      </w:hyperlink>
    </w:p>
    <w:p w14:paraId="1DAAE29A" w14:textId="345B100A" w:rsidR="00765837" w:rsidRPr="00765837" w:rsidRDefault="00A0087F">
      <w:pPr>
        <w:pStyle w:val="Spistreci2"/>
        <w:rPr>
          <w:rFonts w:eastAsiaTheme="minorEastAsia" w:cstheme="minorBidi"/>
        </w:rPr>
      </w:pPr>
      <w:hyperlink w:anchor="_Toc32999870" w:history="1">
        <w:r w:rsidR="00765837" w:rsidRPr="00765837">
          <w:rPr>
            <w:rStyle w:val="Hipercze"/>
          </w:rPr>
          <w:t>39.</w:t>
        </w:r>
        <w:r w:rsidR="00765837" w:rsidRPr="00765837">
          <w:rPr>
            <w:rFonts w:eastAsiaTheme="minorEastAsia" w:cstheme="minorBidi"/>
          </w:rPr>
          <w:tab/>
        </w:r>
        <w:r w:rsidR="00765837" w:rsidRPr="00765837">
          <w:rPr>
            <w:rStyle w:val="Hipercze"/>
          </w:rPr>
          <w:t>Dywidenda na akcję</w:t>
        </w:r>
        <w:r w:rsidR="00765837" w:rsidRPr="00765837">
          <w:rPr>
            <w:webHidden/>
          </w:rPr>
          <w:tab/>
        </w:r>
        <w:r w:rsidR="00765837" w:rsidRPr="00765837">
          <w:rPr>
            <w:webHidden/>
          </w:rPr>
          <w:fldChar w:fldCharType="begin"/>
        </w:r>
        <w:r w:rsidR="00765837" w:rsidRPr="00765837">
          <w:rPr>
            <w:webHidden/>
          </w:rPr>
          <w:instrText xml:space="preserve"> PAGEREF _Toc32999870 \h </w:instrText>
        </w:r>
        <w:r w:rsidR="00765837" w:rsidRPr="00765837">
          <w:rPr>
            <w:webHidden/>
          </w:rPr>
        </w:r>
        <w:r w:rsidR="00765837" w:rsidRPr="00765837">
          <w:rPr>
            <w:webHidden/>
          </w:rPr>
          <w:fldChar w:fldCharType="separate"/>
        </w:r>
        <w:r w:rsidR="00B37C22">
          <w:rPr>
            <w:webHidden/>
          </w:rPr>
          <w:t>156</w:t>
        </w:r>
        <w:r w:rsidR="00765837" w:rsidRPr="00765837">
          <w:rPr>
            <w:webHidden/>
          </w:rPr>
          <w:fldChar w:fldCharType="end"/>
        </w:r>
      </w:hyperlink>
    </w:p>
    <w:p w14:paraId="3FC3FB32" w14:textId="55680950" w:rsidR="00765837" w:rsidRPr="00765837" w:rsidRDefault="00A0087F">
      <w:pPr>
        <w:pStyle w:val="Spistreci2"/>
        <w:rPr>
          <w:rFonts w:eastAsiaTheme="minorEastAsia" w:cstheme="minorBidi"/>
        </w:rPr>
      </w:pPr>
      <w:hyperlink w:anchor="_Toc32999871" w:history="1">
        <w:r w:rsidR="00765837" w:rsidRPr="00765837">
          <w:rPr>
            <w:rStyle w:val="Hipercze"/>
          </w:rPr>
          <w:t>40.</w:t>
        </w:r>
        <w:r w:rsidR="00765837" w:rsidRPr="00765837">
          <w:rPr>
            <w:rFonts w:eastAsiaTheme="minorEastAsia" w:cstheme="minorBidi"/>
          </w:rPr>
          <w:tab/>
        </w:r>
        <w:r w:rsidR="00765837" w:rsidRPr="00765837">
          <w:rPr>
            <w:rStyle w:val="Hipercze"/>
          </w:rPr>
          <w:t>Noty objaśniające do sprawozdania z przepływów pieniężnych</w:t>
        </w:r>
        <w:r w:rsidR="00765837" w:rsidRPr="00765837">
          <w:rPr>
            <w:webHidden/>
          </w:rPr>
          <w:tab/>
        </w:r>
        <w:r w:rsidR="00765837" w:rsidRPr="00765837">
          <w:rPr>
            <w:webHidden/>
          </w:rPr>
          <w:fldChar w:fldCharType="begin"/>
        </w:r>
        <w:r w:rsidR="00765837" w:rsidRPr="00765837">
          <w:rPr>
            <w:webHidden/>
          </w:rPr>
          <w:instrText xml:space="preserve"> PAGEREF _Toc32999871 \h </w:instrText>
        </w:r>
        <w:r w:rsidR="00765837" w:rsidRPr="00765837">
          <w:rPr>
            <w:webHidden/>
          </w:rPr>
        </w:r>
        <w:r w:rsidR="00765837" w:rsidRPr="00765837">
          <w:rPr>
            <w:webHidden/>
          </w:rPr>
          <w:fldChar w:fldCharType="separate"/>
        </w:r>
        <w:r w:rsidR="00B37C22">
          <w:rPr>
            <w:webHidden/>
          </w:rPr>
          <w:t>156</w:t>
        </w:r>
        <w:r w:rsidR="00765837" w:rsidRPr="00765837">
          <w:rPr>
            <w:webHidden/>
          </w:rPr>
          <w:fldChar w:fldCharType="end"/>
        </w:r>
      </w:hyperlink>
    </w:p>
    <w:p w14:paraId="5C88916B" w14:textId="366A28CF" w:rsidR="00765837" w:rsidRPr="00765837" w:rsidRDefault="00A0087F">
      <w:pPr>
        <w:pStyle w:val="Spistreci2"/>
        <w:rPr>
          <w:rFonts w:eastAsiaTheme="minorEastAsia" w:cstheme="minorBidi"/>
        </w:rPr>
      </w:pPr>
      <w:hyperlink w:anchor="_Toc32999872" w:history="1">
        <w:r w:rsidR="00765837" w:rsidRPr="00765837">
          <w:rPr>
            <w:rStyle w:val="Hipercze"/>
          </w:rPr>
          <w:t>41.</w:t>
        </w:r>
        <w:r w:rsidR="00765837" w:rsidRPr="00765837">
          <w:rPr>
            <w:rFonts w:eastAsiaTheme="minorEastAsia" w:cstheme="minorBidi"/>
          </w:rPr>
          <w:tab/>
        </w:r>
        <w:r w:rsidR="00765837" w:rsidRPr="00765837">
          <w:rPr>
            <w:rStyle w:val="Hipercze"/>
          </w:rPr>
          <w:t>Programy motywacyjne oparte na akcjach</w:t>
        </w:r>
        <w:r w:rsidR="00765837" w:rsidRPr="00765837">
          <w:rPr>
            <w:webHidden/>
          </w:rPr>
          <w:tab/>
        </w:r>
        <w:r w:rsidR="00765837" w:rsidRPr="00765837">
          <w:rPr>
            <w:webHidden/>
          </w:rPr>
          <w:fldChar w:fldCharType="begin"/>
        </w:r>
        <w:r w:rsidR="00765837" w:rsidRPr="00765837">
          <w:rPr>
            <w:webHidden/>
          </w:rPr>
          <w:instrText xml:space="preserve"> PAGEREF _Toc32999872 \h </w:instrText>
        </w:r>
        <w:r w:rsidR="00765837" w:rsidRPr="00765837">
          <w:rPr>
            <w:webHidden/>
          </w:rPr>
        </w:r>
        <w:r w:rsidR="00765837" w:rsidRPr="00765837">
          <w:rPr>
            <w:webHidden/>
          </w:rPr>
          <w:fldChar w:fldCharType="separate"/>
        </w:r>
        <w:r w:rsidR="00B37C22">
          <w:rPr>
            <w:webHidden/>
          </w:rPr>
          <w:t>159</w:t>
        </w:r>
        <w:r w:rsidR="00765837" w:rsidRPr="00765837">
          <w:rPr>
            <w:webHidden/>
          </w:rPr>
          <w:fldChar w:fldCharType="end"/>
        </w:r>
      </w:hyperlink>
    </w:p>
    <w:p w14:paraId="7E3F910E" w14:textId="6AF47F17" w:rsidR="00765837" w:rsidRPr="00765837" w:rsidRDefault="00A0087F">
      <w:pPr>
        <w:pStyle w:val="Spistreci2"/>
        <w:rPr>
          <w:rFonts w:eastAsiaTheme="minorEastAsia" w:cstheme="minorBidi"/>
        </w:rPr>
      </w:pPr>
      <w:hyperlink w:anchor="_Toc32999873" w:history="1">
        <w:r w:rsidR="00765837" w:rsidRPr="00765837">
          <w:rPr>
            <w:rStyle w:val="Hipercze"/>
          </w:rPr>
          <w:t>42.</w:t>
        </w:r>
        <w:r w:rsidR="00765837" w:rsidRPr="00765837">
          <w:rPr>
            <w:rFonts w:eastAsiaTheme="minorEastAsia" w:cstheme="minorBidi"/>
          </w:rPr>
          <w:tab/>
        </w:r>
        <w:r w:rsidR="00765837" w:rsidRPr="00765837">
          <w:rPr>
            <w:rStyle w:val="Hipercze"/>
          </w:rPr>
          <w:t>Transakcje z podmiotami powiązanymi</w:t>
        </w:r>
        <w:r w:rsidR="00765837" w:rsidRPr="00765837">
          <w:rPr>
            <w:webHidden/>
          </w:rPr>
          <w:tab/>
        </w:r>
        <w:r w:rsidR="00765837" w:rsidRPr="00765837">
          <w:rPr>
            <w:webHidden/>
          </w:rPr>
          <w:fldChar w:fldCharType="begin"/>
        </w:r>
        <w:r w:rsidR="00765837" w:rsidRPr="00765837">
          <w:rPr>
            <w:webHidden/>
          </w:rPr>
          <w:instrText xml:space="preserve"> PAGEREF _Toc32999873 \h </w:instrText>
        </w:r>
        <w:r w:rsidR="00765837" w:rsidRPr="00765837">
          <w:rPr>
            <w:webHidden/>
          </w:rPr>
        </w:r>
        <w:r w:rsidR="00765837" w:rsidRPr="00765837">
          <w:rPr>
            <w:webHidden/>
          </w:rPr>
          <w:fldChar w:fldCharType="separate"/>
        </w:r>
        <w:r w:rsidR="00B37C22">
          <w:rPr>
            <w:webHidden/>
          </w:rPr>
          <w:t>163</w:t>
        </w:r>
        <w:r w:rsidR="00765837" w:rsidRPr="00765837">
          <w:rPr>
            <w:webHidden/>
          </w:rPr>
          <w:fldChar w:fldCharType="end"/>
        </w:r>
      </w:hyperlink>
    </w:p>
    <w:p w14:paraId="67ACC876" w14:textId="1D18C841" w:rsidR="00765837" w:rsidRPr="00765837" w:rsidRDefault="00A0087F">
      <w:pPr>
        <w:pStyle w:val="Spistreci2"/>
        <w:rPr>
          <w:rFonts w:eastAsiaTheme="minorEastAsia" w:cstheme="minorBidi"/>
        </w:rPr>
      </w:pPr>
      <w:hyperlink w:anchor="_Toc32999874" w:history="1">
        <w:r w:rsidR="00765837" w:rsidRPr="00765837">
          <w:rPr>
            <w:rStyle w:val="Hipercze"/>
          </w:rPr>
          <w:t>43.</w:t>
        </w:r>
        <w:r w:rsidR="00765837" w:rsidRPr="00765837">
          <w:rPr>
            <w:rFonts w:eastAsiaTheme="minorEastAsia" w:cstheme="minorBidi"/>
          </w:rPr>
          <w:tab/>
        </w:r>
        <w:r w:rsidR="00765837" w:rsidRPr="00765837">
          <w:rPr>
            <w:rStyle w:val="Hipercze"/>
          </w:rPr>
          <w:t>Przejęcie i zbycie</w:t>
        </w:r>
        <w:r w:rsidR="00765837" w:rsidRPr="00765837">
          <w:rPr>
            <w:webHidden/>
          </w:rPr>
          <w:tab/>
        </w:r>
        <w:r w:rsidR="00765837" w:rsidRPr="00765837">
          <w:rPr>
            <w:webHidden/>
          </w:rPr>
          <w:fldChar w:fldCharType="begin"/>
        </w:r>
        <w:r w:rsidR="00765837" w:rsidRPr="00765837">
          <w:rPr>
            <w:webHidden/>
          </w:rPr>
          <w:instrText xml:space="preserve"> PAGEREF _Toc32999874 \h </w:instrText>
        </w:r>
        <w:r w:rsidR="00765837" w:rsidRPr="00765837">
          <w:rPr>
            <w:webHidden/>
          </w:rPr>
        </w:r>
        <w:r w:rsidR="00765837" w:rsidRPr="00765837">
          <w:rPr>
            <w:webHidden/>
          </w:rPr>
          <w:fldChar w:fldCharType="separate"/>
        </w:r>
        <w:r w:rsidR="00B37C22">
          <w:rPr>
            <w:webHidden/>
          </w:rPr>
          <w:t>166</w:t>
        </w:r>
        <w:r w:rsidR="00765837" w:rsidRPr="00765837">
          <w:rPr>
            <w:webHidden/>
          </w:rPr>
          <w:fldChar w:fldCharType="end"/>
        </w:r>
      </w:hyperlink>
    </w:p>
    <w:p w14:paraId="6A9332CD" w14:textId="24FA636F" w:rsidR="00765837" w:rsidRPr="00765837" w:rsidRDefault="00A0087F">
      <w:pPr>
        <w:pStyle w:val="Spistreci2"/>
        <w:rPr>
          <w:rFonts w:eastAsiaTheme="minorEastAsia" w:cstheme="minorBidi"/>
        </w:rPr>
      </w:pPr>
      <w:hyperlink w:anchor="_Toc32999875" w:history="1">
        <w:r w:rsidR="00765837" w:rsidRPr="00765837">
          <w:rPr>
            <w:rStyle w:val="Hipercze"/>
          </w:rPr>
          <w:t>44.</w:t>
        </w:r>
        <w:r w:rsidR="00765837" w:rsidRPr="00765837">
          <w:rPr>
            <w:rFonts w:eastAsiaTheme="minorEastAsia" w:cstheme="minorBidi"/>
          </w:rPr>
          <w:tab/>
        </w:r>
        <w:r w:rsidR="00765837" w:rsidRPr="00765837">
          <w:rPr>
            <w:rStyle w:val="Hipercze"/>
          </w:rPr>
          <w:t>Konsolidacja ostrożnościowa</w:t>
        </w:r>
        <w:r w:rsidR="00765837" w:rsidRPr="00765837">
          <w:rPr>
            <w:webHidden/>
          </w:rPr>
          <w:tab/>
        </w:r>
        <w:r w:rsidR="00765837" w:rsidRPr="00765837">
          <w:rPr>
            <w:webHidden/>
          </w:rPr>
          <w:fldChar w:fldCharType="begin"/>
        </w:r>
        <w:r w:rsidR="00765837" w:rsidRPr="00765837">
          <w:rPr>
            <w:webHidden/>
          </w:rPr>
          <w:instrText xml:space="preserve"> PAGEREF _Toc32999875 \h </w:instrText>
        </w:r>
        <w:r w:rsidR="00765837" w:rsidRPr="00765837">
          <w:rPr>
            <w:webHidden/>
          </w:rPr>
        </w:r>
        <w:r w:rsidR="00765837" w:rsidRPr="00765837">
          <w:rPr>
            <w:webHidden/>
          </w:rPr>
          <w:fldChar w:fldCharType="separate"/>
        </w:r>
        <w:r w:rsidR="00B37C22">
          <w:rPr>
            <w:webHidden/>
          </w:rPr>
          <w:t>167</w:t>
        </w:r>
        <w:r w:rsidR="00765837" w:rsidRPr="00765837">
          <w:rPr>
            <w:webHidden/>
          </w:rPr>
          <w:fldChar w:fldCharType="end"/>
        </w:r>
      </w:hyperlink>
    </w:p>
    <w:p w14:paraId="2C10DDCE" w14:textId="106802EA" w:rsidR="00765837" w:rsidRPr="00765837" w:rsidRDefault="00A0087F">
      <w:pPr>
        <w:pStyle w:val="Spistreci2"/>
        <w:rPr>
          <w:rFonts w:eastAsiaTheme="minorEastAsia" w:cstheme="minorBidi"/>
        </w:rPr>
      </w:pPr>
      <w:hyperlink w:anchor="_Toc32999876" w:history="1">
        <w:r w:rsidR="00765837" w:rsidRPr="00765837">
          <w:rPr>
            <w:rStyle w:val="Hipercze"/>
          </w:rPr>
          <w:t>45.</w:t>
        </w:r>
        <w:r w:rsidR="00765837" w:rsidRPr="00765837">
          <w:rPr>
            <w:rFonts w:eastAsiaTheme="minorEastAsia" w:cstheme="minorBidi"/>
          </w:rPr>
          <w:tab/>
        </w:r>
        <w:r w:rsidR="00765837" w:rsidRPr="00765837">
          <w:rPr>
            <w:rStyle w:val="Hipercze"/>
          </w:rPr>
          <w:t>Adekwatność kapitałowa</w:t>
        </w:r>
        <w:r w:rsidR="00765837" w:rsidRPr="00765837">
          <w:rPr>
            <w:webHidden/>
          </w:rPr>
          <w:tab/>
        </w:r>
        <w:r w:rsidR="00765837" w:rsidRPr="00765837">
          <w:rPr>
            <w:webHidden/>
          </w:rPr>
          <w:fldChar w:fldCharType="begin"/>
        </w:r>
        <w:r w:rsidR="00765837" w:rsidRPr="00765837">
          <w:rPr>
            <w:webHidden/>
          </w:rPr>
          <w:instrText xml:space="preserve"> PAGEREF _Toc32999876 \h </w:instrText>
        </w:r>
        <w:r w:rsidR="00765837" w:rsidRPr="00765837">
          <w:rPr>
            <w:webHidden/>
          </w:rPr>
        </w:r>
        <w:r w:rsidR="00765837" w:rsidRPr="00765837">
          <w:rPr>
            <w:webHidden/>
          </w:rPr>
          <w:fldChar w:fldCharType="separate"/>
        </w:r>
        <w:r w:rsidR="00B37C22">
          <w:rPr>
            <w:webHidden/>
          </w:rPr>
          <w:t>171</w:t>
        </w:r>
        <w:r w:rsidR="00765837" w:rsidRPr="00765837">
          <w:rPr>
            <w:webHidden/>
          </w:rPr>
          <w:fldChar w:fldCharType="end"/>
        </w:r>
      </w:hyperlink>
    </w:p>
    <w:p w14:paraId="1E1A00EE" w14:textId="3D72B8AC" w:rsidR="00765837" w:rsidRPr="00765837" w:rsidRDefault="00A0087F">
      <w:pPr>
        <w:pStyle w:val="Spistreci2"/>
        <w:rPr>
          <w:rFonts w:eastAsiaTheme="minorEastAsia" w:cstheme="minorBidi"/>
        </w:rPr>
      </w:pPr>
      <w:hyperlink w:anchor="_Toc32999877" w:history="1">
        <w:r w:rsidR="00765837" w:rsidRPr="00765837">
          <w:rPr>
            <w:rStyle w:val="Hipercze"/>
          </w:rPr>
          <w:t>46.</w:t>
        </w:r>
        <w:r w:rsidR="00765837" w:rsidRPr="00765837">
          <w:rPr>
            <w:rFonts w:eastAsiaTheme="minorEastAsia" w:cstheme="minorBidi"/>
          </w:rPr>
          <w:tab/>
        </w:r>
        <w:r w:rsidR="00765837" w:rsidRPr="00765837">
          <w:rPr>
            <w:rStyle w:val="Hipercze"/>
          </w:rPr>
          <w:t>Pozostałe informacje</w:t>
        </w:r>
        <w:r w:rsidR="00765837" w:rsidRPr="00765837">
          <w:rPr>
            <w:webHidden/>
          </w:rPr>
          <w:tab/>
        </w:r>
        <w:r w:rsidR="00765837" w:rsidRPr="00765837">
          <w:rPr>
            <w:webHidden/>
          </w:rPr>
          <w:fldChar w:fldCharType="begin"/>
        </w:r>
        <w:r w:rsidR="00765837" w:rsidRPr="00765837">
          <w:rPr>
            <w:webHidden/>
          </w:rPr>
          <w:instrText xml:space="preserve"> PAGEREF _Toc32999877 \h </w:instrText>
        </w:r>
        <w:r w:rsidR="00765837" w:rsidRPr="00765837">
          <w:rPr>
            <w:webHidden/>
          </w:rPr>
        </w:r>
        <w:r w:rsidR="00765837" w:rsidRPr="00765837">
          <w:rPr>
            <w:webHidden/>
          </w:rPr>
          <w:fldChar w:fldCharType="separate"/>
        </w:r>
        <w:r w:rsidR="00B37C22">
          <w:rPr>
            <w:webHidden/>
          </w:rPr>
          <w:t>176</w:t>
        </w:r>
        <w:r w:rsidR="00765837" w:rsidRPr="00765837">
          <w:rPr>
            <w:webHidden/>
          </w:rPr>
          <w:fldChar w:fldCharType="end"/>
        </w:r>
      </w:hyperlink>
    </w:p>
    <w:p w14:paraId="66A25CD0" w14:textId="6EBD2EEA" w:rsidR="00765837" w:rsidRPr="00765837" w:rsidRDefault="00A0087F">
      <w:pPr>
        <w:pStyle w:val="Spistreci2"/>
        <w:rPr>
          <w:rFonts w:eastAsiaTheme="minorEastAsia" w:cstheme="minorBidi"/>
        </w:rPr>
      </w:pPr>
      <w:hyperlink w:anchor="_Toc32999878" w:history="1">
        <w:r w:rsidR="00765837" w:rsidRPr="00765837">
          <w:rPr>
            <w:rStyle w:val="Hipercze"/>
          </w:rPr>
          <w:t>47.</w:t>
        </w:r>
        <w:r w:rsidR="00765837" w:rsidRPr="00765837">
          <w:rPr>
            <w:rFonts w:eastAsiaTheme="minorEastAsia" w:cstheme="minorBidi"/>
          </w:rPr>
          <w:tab/>
        </w:r>
        <w:r w:rsidR="00765837" w:rsidRPr="00765837">
          <w:rPr>
            <w:rStyle w:val="Hipercze"/>
          </w:rPr>
          <w:t>Zdarzenia po dniu bilansowym</w:t>
        </w:r>
        <w:r w:rsidR="00765837" w:rsidRPr="00765837">
          <w:rPr>
            <w:webHidden/>
          </w:rPr>
          <w:tab/>
        </w:r>
        <w:r w:rsidR="00765837" w:rsidRPr="00765837">
          <w:rPr>
            <w:webHidden/>
          </w:rPr>
          <w:fldChar w:fldCharType="begin"/>
        </w:r>
        <w:r w:rsidR="00765837" w:rsidRPr="00765837">
          <w:rPr>
            <w:webHidden/>
          </w:rPr>
          <w:instrText xml:space="preserve"> PAGEREF _Toc32999878 \h </w:instrText>
        </w:r>
        <w:r w:rsidR="00765837" w:rsidRPr="00765837">
          <w:rPr>
            <w:webHidden/>
          </w:rPr>
        </w:r>
        <w:r w:rsidR="00765837" w:rsidRPr="00765837">
          <w:rPr>
            <w:webHidden/>
          </w:rPr>
          <w:fldChar w:fldCharType="separate"/>
        </w:r>
        <w:r w:rsidR="00B37C22">
          <w:rPr>
            <w:webHidden/>
          </w:rPr>
          <w:t>176</w:t>
        </w:r>
        <w:r w:rsidR="00765837" w:rsidRPr="00765837">
          <w:rPr>
            <w:webHidden/>
          </w:rPr>
          <w:fldChar w:fldCharType="end"/>
        </w:r>
      </w:hyperlink>
    </w:p>
    <w:p w14:paraId="6274528E" w14:textId="0017FAD0" w:rsidR="00997515" w:rsidRPr="00935B3E" w:rsidRDefault="00801DB2" w:rsidP="003973D5">
      <w:pPr>
        <w:pStyle w:val="Spistreci2"/>
      </w:pPr>
      <w:r w:rsidRPr="00765837">
        <w:rPr>
          <w:highlight w:val="yellow"/>
        </w:rPr>
        <w:fldChar w:fldCharType="end"/>
      </w:r>
      <w:bookmarkStart w:id="0" w:name="_Toc190763290"/>
      <w:bookmarkStart w:id="1" w:name="_Toc259729237"/>
      <w:bookmarkStart w:id="2" w:name="_Toc276486357"/>
      <w:bookmarkStart w:id="3" w:name="_Toc348543884"/>
      <w:r w:rsidR="00997515" w:rsidRPr="00935B3E">
        <w:br w:type="page"/>
      </w:r>
    </w:p>
    <w:p w14:paraId="23900BDF" w14:textId="77777777" w:rsidR="00AB2629" w:rsidRPr="00935B3E" w:rsidRDefault="000F4BEE" w:rsidP="0080079D">
      <w:pPr>
        <w:pStyle w:val="Nagwek2"/>
        <w:numPr>
          <w:ilvl w:val="0"/>
          <w:numId w:val="0"/>
        </w:numPr>
        <w:spacing w:before="0" w:after="0"/>
        <w:jc w:val="both"/>
      </w:pPr>
      <w:bookmarkStart w:id="4" w:name="_Toc32999781"/>
      <w:r w:rsidRPr="00935B3E">
        <w:lastRenderedPageBreak/>
        <w:t>Skonsolidowany r</w:t>
      </w:r>
      <w:r w:rsidR="00AB2629" w:rsidRPr="00935B3E">
        <w:t>achunek zysków i strat</w:t>
      </w:r>
      <w:bookmarkEnd w:id="0"/>
      <w:bookmarkEnd w:id="1"/>
      <w:bookmarkEnd w:id="2"/>
      <w:bookmarkEnd w:id="3"/>
      <w:bookmarkEnd w:id="4"/>
    </w:p>
    <w:p w14:paraId="3B81A8CF" w14:textId="6E8BE12E" w:rsidR="00CC4739" w:rsidRDefault="00CC4739" w:rsidP="00DE6419">
      <w:pPr>
        <w:tabs>
          <w:tab w:val="left" w:pos="1418"/>
        </w:tabs>
        <w:suppressAutoHyphens/>
        <w:jc w:val="both"/>
        <w:rPr>
          <w:rFonts w:cs="Tahoma"/>
          <w:color w:val="201C17"/>
          <w:sz w:val="18"/>
          <w:szCs w:val="18"/>
        </w:rPr>
      </w:pPr>
    </w:p>
    <w:tbl>
      <w:tblPr>
        <w:tblW w:w="9640" w:type="dxa"/>
        <w:tblLayout w:type="fixed"/>
        <w:tblCellMar>
          <w:left w:w="28" w:type="dxa"/>
          <w:right w:w="28" w:type="dxa"/>
        </w:tblCellMar>
        <w:tblLook w:val="04A0" w:firstRow="1" w:lastRow="0" w:firstColumn="1" w:lastColumn="0" w:noHBand="0" w:noVBand="1"/>
      </w:tblPr>
      <w:tblGrid>
        <w:gridCol w:w="6187"/>
        <w:gridCol w:w="575"/>
        <w:gridCol w:w="1439"/>
        <w:gridCol w:w="1439"/>
      </w:tblGrid>
      <w:tr w:rsidR="00DE6419" w:rsidRPr="00DE6419" w14:paraId="376FD7EF" w14:textId="77777777" w:rsidTr="009834E7">
        <w:trPr>
          <w:trHeight w:val="284"/>
        </w:trPr>
        <w:tc>
          <w:tcPr>
            <w:tcW w:w="6187" w:type="dxa"/>
            <w:vMerge w:val="restart"/>
            <w:tcBorders>
              <w:top w:val="nil"/>
              <w:left w:val="nil"/>
              <w:right w:val="single" w:sz="8" w:space="0" w:color="FFFFFF"/>
            </w:tcBorders>
            <w:shd w:val="clear" w:color="000000" w:fill="0077BD"/>
            <w:vAlign w:val="center"/>
            <w:hideMark/>
          </w:tcPr>
          <w:p w14:paraId="35B9C800" w14:textId="7C0B32B9" w:rsidR="00DE6419" w:rsidRPr="00DE6419" w:rsidRDefault="00DE6419" w:rsidP="00DE6419">
            <w:pPr>
              <w:jc w:val="right"/>
              <w:rPr>
                <w:rFonts w:cs="Calibri"/>
                <w:b/>
                <w:bCs/>
                <w:color w:val="FFFFFF"/>
                <w:sz w:val="13"/>
                <w:szCs w:val="13"/>
              </w:rPr>
            </w:pPr>
          </w:p>
        </w:tc>
        <w:tc>
          <w:tcPr>
            <w:tcW w:w="575" w:type="dxa"/>
            <w:vMerge w:val="restart"/>
            <w:tcBorders>
              <w:top w:val="nil"/>
              <w:left w:val="single" w:sz="8" w:space="0" w:color="FFFFFF"/>
              <w:bottom w:val="nil"/>
              <w:right w:val="single" w:sz="8" w:space="0" w:color="FFFFFF"/>
            </w:tcBorders>
            <w:shd w:val="clear" w:color="000000" w:fill="0077BD"/>
            <w:vAlign w:val="center"/>
            <w:hideMark/>
          </w:tcPr>
          <w:p w14:paraId="333A830A" w14:textId="77777777" w:rsidR="00DE6419" w:rsidRPr="00DE6419" w:rsidRDefault="00DE6419" w:rsidP="00DE6419">
            <w:pPr>
              <w:jc w:val="center"/>
              <w:rPr>
                <w:rFonts w:cs="Calibri"/>
                <w:b/>
                <w:bCs/>
                <w:color w:val="FFFFFF"/>
                <w:sz w:val="13"/>
                <w:szCs w:val="13"/>
              </w:rPr>
            </w:pPr>
            <w:r w:rsidRPr="00DE6419">
              <w:rPr>
                <w:rFonts w:cs="Calibri"/>
                <w:b/>
                <w:bCs/>
                <w:color w:val="FFFFFF"/>
                <w:sz w:val="13"/>
                <w:szCs w:val="13"/>
              </w:rPr>
              <w:t>Nota</w:t>
            </w:r>
          </w:p>
        </w:tc>
        <w:tc>
          <w:tcPr>
            <w:tcW w:w="2878" w:type="dxa"/>
            <w:gridSpan w:val="2"/>
            <w:tcBorders>
              <w:top w:val="nil"/>
              <w:left w:val="nil"/>
              <w:bottom w:val="single" w:sz="6" w:space="0" w:color="FFFFFF"/>
              <w:right w:val="nil"/>
            </w:tcBorders>
            <w:shd w:val="clear" w:color="000000" w:fill="0077BD"/>
            <w:vAlign w:val="center"/>
            <w:hideMark/>
          </w:tcPr>
          <w:p w14:paraId="66C1E4B5" w14:textId="77777777" w:rsidR="00DE6419" w:rsidRPr="00DE6419" w:rsidRDefault="00DE6419" w:rsidP="00BF17DF">
            <w:pPr>
              <w:jc w:val="right"/>
              <w:rPr>
                <w:rFonts w:cs="Calibri"/>
                <w:b/>
                <w:bCs/>
                <w:color w:val="FFFFFF"/>
                <w:sz w:val="13"/>
                <w:szCs w:val="13"/>
              </w:rPr>
            </w:pPr>
            <w:r w:rsidRPr="00DE6419">
              <w:rPr>
                <w:rFonts w:cs="Calibri"/>
                <w:b/>
                <w:bCs/>
                <w:color w:val="FFFFFF"/>
                <w:sz w:val="13"/>
                <w:szCs w:val="13"/>
              </w:rPr>
              <w:t>Rok kończący się 31 grudnia</w:t>
            </w:r>
          </w:p>
        </w:tc>
      </w:tr>
      <w:tr w:rsidR="00DE6419" w:rsidRPr="00DE6419" w14:paraId="2748FBD0" w14:textId="77777777" w:rsidTr="009834E7">
        <w:trPr>
          <w:trHeight w:val="340"/>
        </w:trPr>
        <w:tc>
          <w:tcPr>
            <w:tcW w:w="6187" w:type="dxa"/>
            <w:vMerge/>
            <w:tcBorders>
              <w:left w:val="nil"/>
              <w:bottom w:val="nil"/>
              <w:right w:val="single" w:sz="8" w:space="0" w:color="FFFFFF"/>
            </w:tcBorders>
            <w:shd w:val="clear" w:color="000000" w:fill="0077BD"/>
            <w:vAlign w:val="center"/>
            <w:hideMark/>
          </w:tcPr>
          <w:p w14:paraId="58BBC00B" w14:textId="15846352" w:rsidR="00DE6419" w:rsidRPr="00DE6419" w:rsidRDefault="00DE6419" w:rsidP="00DE6419">
            <w:pPr>
              <w:jc w:val="right"/>
              <w:rPr>
                <w:rFonts w:cs="Calibri"/>
                <w:b/>
                <w:bCs/>
                <w:color w:val="FFFFFF"/>
                <w:sz w:val="13"/>
                <w:szCs w:val="13"/>
              </w:rPr>
            </w:pPr>
          </w:p>
        </w:tc>
        <w:tc>
          <w:tcPr>
            <w:tcW w:w="575" w:type="dxa"/>
            <w:vMerge/>
            <w:tcBorders>
              <w:top w:val="nil"/>
              <w:left w:val="single" w:sz="8" w:space="0" w:color="FFFFFF"/>
              <w:bottom w:val="nil"/>
              <w:right w:val="single" w:sz="8" w:space="0" w:color="FFFFFF"/>
            </w:tcBorders>
            <w:vAlign w:val="center"/>
            <w:hideMark/>
          </w:tcPr>
          <w:p w14:paraId="35C34621" w14:textId="77777777" w:rsidR="00DE6419" w:rsidRPr="00DE6419" w:rsidRDefault="00DE6419" w:rsidP="00DE6419">
            <w:pPr>
              <w:rPr>
                <w:rFonts w:cs="Calibri"/>
                <w:b/>
                <w:bCs/>
                <w:color w:val="FFFFFF"/>
                <w:sz w:val="13"/>
                <w:szCs w:val="13"/>
              </w:rPr>
            </w:pPr>
          </w:p>
        </w:tc>
        <w:tc>
          <w:tcPr>
            <w:tcW w:w="1439" w:type="dxa"/>
            <w:tcBorders>
              <w:top w:val="single" w:sz="6" w:space="0" w:color="FFFFFF"/>
              <w:left w:val="nil"/>
              <w:bottom w:val="nil"/>
              <w:right w:val="single" w:sz="8" w:space="0" w:color="FFFFFF"/>
            </w:tcBorders>
            <w:shd w:val="clear" w:color="000000" w:fill="0077BD"/>
            <w:vAlign w:val="center"/>
            <w:hideMark/>
          </w:tcPr>
          <w:p w14:paraId="1F663B8E" w14:textId="77777777" w:rsidR="00DE6419" w:rsidRPr="00DE6419" w:rsidRDefault="00DE6419" w:rsidP="00DE6419">
            <w:pPr>
              <w:jc w:val="right"/>
              <w:rPr>
                <w:rFonts w:cs="Calibri"/>
                <w:b/>
                <w:bCs/>
                <w:color w:val="FFFFFF"/>
                <w:sz w:val="13"/>
                <w:szCs w:val="13"/>
              </w:rPr>
            </w:pPr>
            <w:r w:rsidRPr="00DE6419">
              <w:rPr>
                <w:rFonts w:cs="Calibri"/>
                <w:b/>
                <w:bCs/>
                <w:color w:val="FFFFFF"/>
                <w:sz w:val="13"/>
                <w:szCs w:val="13"/>
              </w:rPr>
              <w:t>2019</w:t>
            </w:r>
          </w:p>
        </w:tc>
        <w:tc>
          <w:tcPr>
            <w:tcW w:w="1439" w:type="dxa"/>
            <w:tcBorders>
              <w:top w:val="single" w:sz="6" w:space="0" w:color="FFFFFF"/>
              <w:left w:val="nil"/>
              <w:bottom w:val="nil"/>
              <w:right w:val="nil"/>
            </w:tcBorders>
            <w:shd w:val="clear" w:color="000000" w:fill="0077BD"/>
            <w:vAlign w:val="center"/>
            <w:hideMark/>
          </w:tcPr>
          <w:p w14:paraId="300768B7" w14:textId="5967ADD8" w:rsidR="00DE6419" w:rsidRPr="00DE6419" w:rsidRDefault="00DE6419" w:rsidP="00DE6419">
            <w:pPr>
              <w:jc w:val="right"/>
              <w:rPr>
                <w:rFonts w:cs="Calibri"/>
                <w:b/>
                <w:bCs/>
                <w:color w:val="FFFFFF"/>
                <w:sz w:val="13"/>
                <w:szCs w:val="13"/>
              </w:rPr>
            </w:pPr>
            <w:r w:rsidRPr="00DE6419">
              <w:rPr>
                <w:rFonts w:cs="Calibri"/>
                <w:b/>
                <w:bCs/>
                <w:color w:val="FFFFFF"/>
                <w:sz w:val="13"/>
                <w:szCs w:val="13"/>
              </w:rPr>
              <w:t>2018</w:t>
            </w:r>
            <w:r w:rsidR="009834E7">
              <w:rPr>
                <w:rFonts w:cs="Calibri"/>
                <w:b/>
                <w:bCs/>
                <w:color w:val="FFFFFF"/>
                <w:sz w:val="13"/>
                <w:szCs w:val="13"/>
              </w:rPr>
              <w:br/>
              <w:t>- przekształcony</w:t>
            </w:r>
          </w:p>
        </w:tc>
      </w:tr>
      <w:tr w:rsidR="00A751C0" w:rsidRPr="00A751C0" w14:paraId="1593EC88" w14:textId="77777777" w:rsidTr="009834E7">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35F13168"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Przychody z tytułu odsetek, w tym:</w:t>
            </w:r>
          </w:p>
        </w:tc>
        <w:tc>
          <w:tcPr>
            <w:tcW w:w="575" w:type="dxa"/>
            <w:tcBorders>
              <w:top w:val="nil"/>
              <w:left w:val="nil"/>
              <w:bottom w:val="single" w:sz="4" w:space="0" w:color="0077BD"/>
              <w:right w:val="nil"/>
            </w:tcBorders>
            <w:shd w:val="clear" w:color="auto" w:fill="auto"/>
            <w:noWrap/>
            <w:vAlign w:val="center"/>
            <w:hideMark/>
          </w:tcPr>
          <w:p w14:paraId="01012A44"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6</w:t>
            </w:r>
          </w:p>
        </w:tc>
        <w:tc>
          <w:tcPr>
            <w:tcW w:w="1439" w:type="dxa"/>
            <w:tcBorders>
              <w:top w:val="nil"/>
              <w:left w:val="single" w:sz="8" w:space="0" w:color="0077BD"/>
              <w:bottom w:val="single" w:sz="4" w:space="0" w:color="0077BD"/>
              <w:right w:val="nil"/>
            </w:tcBorders>
            <w:shd w:val="clear" w:color="auto" w:fill="auto"/>
            <w:noWrap/>
            <w:vAlign w:val="center"/>
          </w:tcPr>
          <w:p w14:paraId="24BF311F" w14:textId="113B2C0F"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5 071 664</w:t>
            </w:r>
          </w:p>
        </w:tc>
        <w:tc>
          <w:tcPr>
            <w:tcW w:w="1439" w:type="dxa"/>
            <w:tcBorders>
              <w:top w:val="nil"/>
              <w:left w:val="single" w:sz="8" w:space="0" w:color="0077BD"/>
              <w:bottom w:val="single" w:sz="4" w:space="0" w:color="0077BD"/>
              <w:right w:val="nil"/>
            </w:tcBorders>
            <w:shd w:val="clear" w:color="auto" w:fill="auto"/>
            <w:noWrap/>
            <w:vAlign w:val="center"/>
            <w:hideMark/>
          </w:tcPr>
          <w:p w14:paraId="55CC3180"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4 518 190</w:t>
            </w:r>
          </w:p>
        </w:tc>
      </w:tr>
      <w:tr w:rsidR="00A751C0" w:rsidRPr="00A751C0" w14:paraId="0AF8A9C7" w14:textId="77777777" w:rsidTr="009834E7">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66E5E449" w14:textId="77777777" w:rsidR="00AC3172" w:rsidRPr="00A751C0" w:rsidRDefault="00AC3172" w:rsidP="006C4850">
            <w:pPr>
              <w:ind w:left="114"/>
              <w:rPr>
                <w:rFonts w:cs="Calibri"/>
                <w:i/>
                <w:iCs/>
                <w:color w:val="000000" w:themeColor="text1"/>
                <w:sz w:val="13"/>
                <w:szCs w:val="13"/>
              </w:rPr>
            </w:pPr>
            <w:r w:rsidRPr="00A751C0">
              <w:rPr>
                <w:rFonts w:cs="Calibri"/>
                <w:i/>
                <w:iCs/>
                <w:color w:val="000000" w:themeColor="text1"/>
                <w:sz w:val="13"/>
                <w:szCs w:val="13"/>
              </w:rPr>
              <w:t>Przychody z tytułu odsetek obliczone przy zastosowaniu metody efektywnej stopy procentowej</w:t>
            </w:r>
          </w:p>
        </w:tc>
        <w:tc>
          <w:tcPr>
            <w:tcW w:w="575" w:type="dxa"/>
            <w:tcBorders>
              <w:top w:val="nil"/>
              <w:left w:val="nil"/>
              <w:bottom w:val="single" w:sz="4" w:space="0" w:color="0077BD"/>
              <w:right w:val="nil"/>
            </w:tcBorders>
            <w:shd w:val="clear" w:color="auto" w:fill="auto"/>
            <w:noWrap/>
            <w:vAlign w:val="center"/>
            <w:hideMark/>
          </w:tcPr>
          <w:p w14:paraId="1C73BE48" w14:textId="77777777" w:rsidR="00AC3172" w:rsidRPr="00A751C0" w:rsidRDefault="00AC3172" w:rsidP="00AC3172">
            <w:pPr>
              <w:jc w:val="center"/>
              <w:rPr>
                <w:rFonts w:cs="Calibri"/>
                <w:i/>
                <w:iCs/>
                <w:color w:val="000000" w:themeColor="text1"/>
                <w:sz w:val="13"/>
                <w:szCs w:val="13"/>
              </w:rPr>
            </w:pPr>
            <w:r w:rsidRPr="00A751C0">
              <w:rPr>
                <w:rFonts w:cs="Calibri"/>
                <w:i/>
                <w:iCs/>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1F578A01" w14:textId="2615F04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4 523 483</w:t>
            </w:r>
          </w:p>
        </w:tc>
        <w:tc>
          <w:tcPr>
            <w:tcW w:w="1439" w:type="dxa"/>
            <w:tcBorders>
              <w:top w:val="nil"/>
              <w:left w:val="single" w:sz="8" w:space="0" w:color="0077BD"/>
              <w:bottom w:val="single" w:sz="4" w:space="0" w:color="0077BD"/>
              <w:right w:val="nil"/>
            </w:tcBorders>
            <w:shd w:val="clear" w:color="auto" w:fill="auto"/>
            <w:noWrap/>
            <w:vAlign w:val="center"/>
            <w:hideMark/>
          </w:tcPr>
          <w:p w14:paraId="7C560487"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3 868 051</w:t>
            </w:r>
          </w:p>
        </w:tc>
      </w:tr>
      <w:tr w:rsidR="00A751C0" w:rsidRPr="00A751C0" w14:paraId="2BEC4D0C" w14:textId="77777777" w:rsidTr="009834E7">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0095FF27" w14:textId="77777777" w:rsidR="00AC3172" w:rsidRPr="00A751C0" w:rsidRDefault="00AC3172" w:rsidP="006C4850">
            <w:pPr>
              <w:ind w:left="114"/>
              <w:rPr>
                <w:rFonts w:cs="Calibri"/>
                <w:i/>
                <w:iCs/>
                <w:color w:val="000000" w:themeColor="text1"/>
                <w:sz w:val="13"/>
                <w:szCs w:val="13"/>
              </w:rPr>
            </w:pPr>
            <w:r w:rsidRPr="00A751C0">
              <w:rPr>
                <w:rFonts w:cs="Calibri"/>
                <w:i/>
                <w:iCs/>
                <w:color w:val="000000" w:themeColor="text1"/>
                <w:sz w:val="13"/>
                <w:szCs w:val="13"/>
              </w:rPr>
              <w:t>Przychody o charakterze zbliżonym do odsetek od aktywów finansowych wycenianych w wartości godziwej przez wynik finansowy</w:t>
            </w:r>
          </w:p>
        </w:tc>
        <w:tc>
          <w:tcPr>
            <w:tcW w:w="575" w:type="dxa"/>
            <w:tcBorders>
              <w:top w:val="nil"/>
              <w:left w:val="nil"/>
              <w:bottom w:val="single" w:sz="4" w:space="0" w:color="0077BD"/>
              <w:right w:val="nil"/>
            </w:tcBorders>
            <w:shd w:val="clear" w:color="auto" w:fill="auto"/>
            <w:noWrap/>
            <w:vAlign w:val="center"/>
            <w:hideMark/>
          </w:tcPr>
          <w:p w14:paraId="156A3611" w14:textId="77777777" w:rsidR="00AC3172" w:rsidRPr="00A751C0" w:rsidRDefault="00AC3172" w:rsidP="00AC3172">
            <w:pPr>
              <w:jc w:val="center"/>
              <w:rPr>
                <w:rFonts w:cs="Calibri"/>
                <w:i/>
                <w:iCs/>
                <w:color w:val="000000" w:themeColor="text1"/>
                <w:sz w:val="13"/>
                <w:szCs w:val="13"/>
              </w:rPr>
            </w:pPr>
            <w:r w:rsidRPr="00A751C0">
              <w:rPr>
                <w:rFonts w:cs="Calibri"/>
                <w:i/>
                <w:iCs/>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26A8D4D0" w14:textId="32AF8971"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548 181</w:t>
            </w:r>
          </w:p>
        </w:tc>
        <w:tc>
          <w:tcPr>
            <w:tcW w:w="1439" w:type="dxa"/>
            <w:tcBorders>
              <w:top w:val="nil"/>
              <w:left w:val="single" w:sz="8" w:space="0" w:color="0077BD"/>
              <w:bottom w:val="single" w:sz="4" w:space="0" w:color="0077BD"/>
              <w:right w:val="nil"/>
            </w:tcBorders>
            <w:shd w:val="clear" w:color="auto" w:fill="auto"/>
            <w:noWrap/>
            <w:vAlign w:val="center"/>
            <w:hideMark/>
          </w:tcPr>
          <w:p w14:paraId="35F8FC1A"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650 139</w:t>
            </w:r>
          </w:p>
        </w:tc>
      </w:tr>
      <w:tr w:rsidR="00A751C0" w:rsidRPr="00A751C0" w14:paraId="6BBE9350"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23548E31"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Koszty odsetek</w:t>
            </w:r>
          </w:p>
        </w:tc>
        <w:tc>
          <w:tcPr>
            <w:tcW w:w="575" w:type="dxa"/>
            <w:tcBorders>
              <w:top w:val="nil"/>
              <w:left w:val="nil"/>
              <w:bottom w:val="single" w:sz="4" w:space="0" w:color="0077BD"/>
              <w:right w:val="single" w:sz="8" w:space="0" w:color="0077BD"/>
            </w:tcBorders>
            <w:shd w:val="clear" w:color="auto" w:fill="auto"/>
            <w:noWrap/>
            <w:vAlign w:val="center"/>
            <w:hideMark/>
          </w:tcPr>
          <w:p w14:paraId="7DDFB68D"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6</w:t>
            </w:r>
          </w:p>
        </w:tc>
        <w:tc>
          <w:tcPr>
            <w:tcW w:w="1439" w:type="dxa"/>
            <w:tcBorders>
              <w:top w:val="nil"/>
              <w:left w:val="single" w:sz="8" w:space="0" w:color="0077BD"/>
              <w:bottom w:val="single" w:sz="4" w:space="0" w:color="0077BD"/>
              <w:right w:val="nil"/>
            </w:tcBorders>
            <w:shd w:val="clear" w:color="auto" w:fill="auto"/>
            <w:noWrap/>
            <w:vAlign w:val="center"/>
          </w:tcPr>
          <w:p w14:paraId="0A6B4DBD" w14:textId="3A25F78C" w:rsidR="00AC3172" w:rsidRPr="00A751C0" w:rsidRDefault="00047B0C" w:rsidP="00AC3172">
            <w:pPr>
              <w:jc w:val="right"/>
              <w:rPr>
                <w:rFonts w:cs="Calibri"/>
                <w:color w:val="000000" w:themeColor="text1"/>
                <w:sz w:val="13"/>
                <w:szCs w:val="13"/>
              </w:rPr>
            </w:pPr>
            <w:r w:rsidRPr="00A751C0">
              <w:rPr>
                <w:rFonts w:cs="Calibri"/>
                <w:color w:val="000000" w:themeColor="text1"/>
                <w:sz w:val="13"/>
                <w:szCs w:val="13"/>
              </w:rPr>
              <w:t>(1 068 892</w:t>
            </w:r>
            <w:r w:rsidR="00AC3172" w:rsidRPr="00A751C0">
              <w:rPr>
                <w:rFonts w:cs="Calibri"/>
                <w:color w:val="000000" w:themeColor="text1"/>
                <w:sz w:val="13"/>
                <w:szCs w:val="13"/>
              </w:rPr>
              <w:t>)</w:t>
            </w:r>
          </w:p>
        </w:tc>
        <w:tc>
          <w:tcPr>
            <w:tcW w:w="1439" w:type="dxa"/>
            <w:tcBorders>
              <w:top w:val="nil"/>
              <w:left w:val="single" w:sz="8" w:space="0" w:color="0077BD"/>
              <w:bottom w:val="single" w:sz="4" w:space="0" w:color="0077BD"/>
              <w:right w:val="nil"/>
            </w:tcBorders>
            <w:shd w:val="clear" w:color="auto" w:fill="auto"/>
            <w:noWrap/>
            <w:vAlign w:val="center"/>
            <w:hideMark/>
          </w:tcPr>
          <w:p w14:paraId="519211B8"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(1 021 716)</w:t>
            </w:r>
          </w:p>
        </w:tc>
      </w:tr>
      <w:tr w:rsidR="00A751C0" w:rsidRPr="00A751C0" w14:paraId="72F6D92B" w14:textId="77777777" w:rsidTr="00552529">
        <w:trPr>
          <w:trHeight w:val="255"/>
        </w:trPr>
        <w:tc>
          <w:tcPr>
            <w:tcW w:w="6187" w:type="dxa"/>
            <w:tcBorders>
              <w:top w:val="single" w:sz="8" w:space="0" w:color="0077BD"/>
              <w:left w:val="nil"/>
              <w:bottom w:val="single" w:sz="8" w:space="0" w:color="0077BD"/>
              <w:right w:val="single" w:sz="8" w:space="0" w:color="0077BD"/>
            </w:tcBorders>
            <w:shd w:val="clear" w:color="auto" w:fill="auto"/>
            <w:noWrap/>
            <w:vAlign w:val="center"/>
            <w:hideMark/>
          </w:tcPr>
          <w:p w14:paraId="09264B3E"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Wynik z tytułu odsetek</w:t>
            </w:r>
          </w:p>
        </w:tc>
        <w:tc>
          <w:tcPr>
            <w:tcW w:w="575" w:type="dxa"/>
            <w:tcBorders>
              <w:top w:val="single" w:sz="8" w:space="0" w:color="0077BD"/>
              <w:left w:val="nil"/>
              <w:bottom w:val="single" w:sz="8" w:space="0" w:color="0077BD"/>
              <w:right w:val="single" w:sz="8" w:space="0" w:color="0077BD"/>
            </w:tcBorders>
            <w:shd w:val="clear" w:color="auto" w:fill="auto"/>
            <w:noWrap/>
            <w:vAlign w:val="center"/>
            <w:hideMark/>
          </w:tcPr>
          <w:p w14:paraId="1D2141A6"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FE032A8" w14:textId="23AB1079" w:rsidR="00AC3172" w:rsidRPr="00A751C0" w:rsidRDefault="00AC3172" w:rsidP="0026553C">
            <w:pPr>
              <w:jc w:val="right"/>
              <w:rPr>
                <w:rFonts w:cs="Calibri"/>
                <w:b/>
                <w:bCs/>
                <w:color w:val="000000" w:themeColor="text1"/>
                <w:sz w:val="13"/>
                <w:szCs w:val="13"/>
              </w:rPr>
            </w:pPr>
            <w:r w:rsidRPr="00A751C0">
              <w:rPr>
                <w:rFonts w:cs="Calibri"/>
                <w:b/>
                <w:bCs/>
                <w:color w:val="000000" w:themeColor="text1"/>
                <w:sz w:val="13"/>
                <w:szCs w:val="13"/>
              </w:rPr>
              <w:t>4 002 77</w:t>
            </w:r>
            <w:r w:rsidR="0026553C">
              <w:rPr>
                <w:rFonts w:cs="Calibri"/>
                <w:b/>
                <w:bCs/>
                <w:color w:val="000000" w:themeColor="text1"/>
                <w:sz w:val="13"/>
                <w:szCs w:val="13"/>
              </w:rPr>
              <w:t>2</w:t>
            </w:r>
          </w:p>
        </w:tc>
        <w:tc>
          <w:tcPr>
            <w:tcW w:w="1439" w:type="dxa"/>
            <w:tcBorders>
              <w:top w:val="single" w:sz="8" w:space="0" w:color="0077BD"/>
              <w:left w:val="nil"/>
              <w:bottom w:val="single" w:sz="8" w:space="0" w:color="0077BD"/>
              <w:right w:val="nil"/>
            </w:tcBorders>
            <w:shd w:val="clear" w:color="auto" w:fill="auto"/>
            <w:noWrap/>
            <w:vAlign w:val="center"/>
            <w:hideMark/>
          </w:tcPr>
          <w:p w14:paraId="77041718" w14:textId="77777777"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3 496 474</w:t>
            </w:r>
          </w:p>
        </w:tc>
      </w:tr>
      <w:tr w:rsidR="00A751C0" w:rsidRPr="00A751C0" w14:paraId="7AEA4020" w14:textId="77777777" w:rsidTr="00552529">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02F644BB"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Przychody z tytułu opłat i prowizji</w:t>
            </w:r>
          </w:p>
        </w:tc>
        <w:tc>
          <w:tcPr>
            <w:tcW w:w="575" w:type="dxa"/>
            <w:tcBorders>
              <w:top w:val="single" w:sz="4" w:space="0" w:color="0077BD"/>
              <w:left w:val="nil"/>
              <w:bottom w:val="single" w:sz="4" w:space="0" w:color="0077BD"/>
              <w:right w:val="single" w:sz="8" w:space="0" w:color="0077BD"/>
            </w:tcBorders>
            <w:shd w:val="clear" w:color="auto" w:fill="auto"/>
            <w:noWrap/>
            <w:vAlign w:val="center"/>
            <w:hideMark/>
          </w:tcPr>
          <w:p w14:paraId="3CB76205"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7</w:t>
            </w:r>
          </w:p>
        </w:tc>
        <w:tc>
          <w:tcPr>
            <w:tcW w:w="1439" w:type="dxa"/>
            <w:tcBorders>
              <w:top w:val="single" w:sz="4" w:space="0" w:color="0077BD"/>
              <w:left w:val="single" w:sz="8" w:space="0" w:color="0077BD"/>
              <w:bottom w:val="single" w:sz="4" w:space="0" w:color="0077BD"/>
              <w:right w:val="nil"/>
            </w:tcBorders>
            <w:shd w:val="clear" w:color="auto" w:fill="auto"/>
            <w:noWrap/>
            <w:vAlign w:val="center"/>
          </w:tcPr>
          <w:p w14:paraId="62383A79" w14:textId="4B697992" w:rsidR="00AC3172" w:rsidRPr="00A751C0" w:rsidRDefault="00047B0C" w:rsidP="00047B0C">
            <w:pPr>
              <w:jc w:val="right"/>
              <w:rPr>
                <w:rFonts w:cs="Calibri"/>
                <w:color w:val="000000" w:themeColor="text1"/>
                <w:sz w:val="13"/>
                <w:szCs w:val="13"/>
              </w:rPr>
            </w:pPr>
            <w:r w:rsidRPr="00A751C0">
              <w:rPr>
                <w:rFonts w:cs="Calibri"/>
                <w:color w:val="000000" w:themeColor="text1"/>
                <w:sz w:val="13"/>
                <w:szCs w:val="13"/>
              </w:rPr>
              <w:t>1 70</w:t>
            </w:r>
            <w:r w:rsidR="00AC3172" w:rsidRPr="00A751C0">
              <w:rPr>
                <w:rFonts w:cs="Calibri"/>
                <w:color w:val="000000" w:themeColor="text1"/>
                <w:sz w:val="13"/>
                <w:szCs w:val="13"/>
              </w:rPr>
              <w:t xml:space="preserve">4 </w:t>
            </w:r>
            <w:r w:rsidRPr="00A751C0">
              <w:rPr>
                <w:rFonts w:cs="Calibri"/>
                <w:color w:val="000000" w:themeColor="text1"/>
                <w:sz w:val="13"/>
                <w:szCs w:val="13"/>
              </w:rPr>
              <w:t>642</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222830F1" w14:textId="792D00D0"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1 630 341</w:t>
            </w:r>
          </w:p>
        </w:tc>
      </w:tr>
      <w:tr w:rsidR="00A751C0" w:rsidRPr="00A751C0" w14:paraId="4B8ACA03" w14:textId="77777777" w:rsidTr="009834E7">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07AAFCC5"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Koszty z tytułu opłat i prowizji</w:t>
            </w:r>
          </w:p>
        </w:tc>
        <w:tc>
          <w:tcPr>
            <w:tcW w:w="575" w:type="dxa"/>
            <w:tcBorders>
              <w:top w:val="nil"/>
              <w:left w:val="nil"/>
              <w:bottom w:val="single" w:sz="4" w:space="0" w:color="0077BD"/>
              <w:right w:val="nil"/>
            </w:tcBorders>
            <w:shd w:val="clear" w:color="auto" w:fill="auto"/>
            <w:noWrap/>
            <w:vAlign w:val="center"/>
            <w:hideMark/>
          </w:tcPr>
          <w:p w14:paraId="45AFCFD5"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7</w:t>
            </w:r>
          </w:p>
        </w:tc>
        <w:tc>
          <w:tcPr>
            <w:tcW w:w="1439" w:type="dxa"/>
            <w:tcBorders>
              <w:top w:val="nil"/>
              <w:left w:val="single" w:sz="8" w:space="0" w:color="0077BD"/>
              <w:bottom w:val="single" w:sz="4" w:space="0" w:color="0077BD"/>
              <w:right w:val="nil"/>
            </w:tcBorders>
            <w:shd w:val="clear" w:color="auto" w:fill="auto"/>
            <w:noWrap/>
            <w:vAlign w:val="center"/>
          </w:tcPr>
          <w:p w14:paraId="04C4F60D" w14:textId="3C089C67" w:rsidR="00AC3172" w:rsidRPr="00A751C0" w:rsidRDefault="00047B0C" w:rsidP="00047B0C">
            <w:pPr>
              <w:jc w:val="right"/>
              <w:rPr>
                <w:rFonts w:cs="Calibri"/>
                <w:color w:val="000000" w:themeColor="text1"/>
                <w:sz w:val="13"/>
                <w:szCs w:val="13"/>
              </w:rPr>
            </w:pPr>
            <w:r w:rsidRPr="00A751C0">
              <w:rPr>
                <w:rFonts w:cs="Calibri"/>
                <w:color w:val="000000" w:themeColor="text1"/>
                <w:sz w:val="13"/>
                <w:szCs w:val="13"/>
              </w:rPr>
              <w:t>(740</w:t>
            </w:r>
            <w:r w:rsidR="00AC3172" w:rsidRPr="00A751C0">
              <w:rPr>
                <w:rFonts w:cs="Calibri"/>
                <w:color w:val="000000" w:themeColor="text1"/>
                <w:sz w:val="13"/>
                <w:szCs w:val="13"/>
              </w:rPr>
              <w:t xml:space="preserve"> </w:t>
            </w:r>
            <w:r w:rsidRPr="00A751C0">
              <w:rPr>
                <w:rFonts w:cs="Calibri"/>
                <w:color w:val="000000" w:themeColor="text1"/>
                <w:sz w:val="13"/>
                <w:szCs w:val="13"/>
              </w:rPr>
              <w:t>039</w:t>
            </w:r>
            <w:r w:rsidR="00AC3172" w:rsidRPr="00A751C0">
              <w:rPr>
                <w:rFonts w:cs="Calibri"/>
                <w:color w:val="000000" w:themeColor="text1"/>
                <w:sz w:val="13"/>
                <w:szCs w:val="13"/>
              </w:rPr>
              <w:t>)</w:t>
            </w:r>
          </w:p>
        </w:tc>
        <w:tc>
          <w:tcPr>
            <w:tcW w:w="1439" w:type="dxa"/>
            <w:tcBorders>
              <w:top w:val="nil"/>
              <w:left w:val="single" w:sz="8" w:space="0" w:color="0077BD"/>
              <w:bottom w:val="single" w:sz="4" w:space="0" w:color="0077BD"/>
              <w:right w:val="nil"/>
            </w:tcBorders>
            <w:shd w:val="clear" w:color="auto" w:fill="auto"/>
            <w:noWrap/>
            <w:vAlign w:val="center"/>
            <w:hideMark/>
          </w:tcPr>
          <w:p w14:paraId="131FF1C5" w14:textId="750E2ED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(654 491)</w:t>
            </w:r>
          </w:p>
        </w:tc>
      </w:tr>
      <w:tr w:rsidR="00A751C0" w:rsidRPr="00A751C0" w14:paraId="19EB3B3B" w14:textId="77777777" w:rsidTr="00552529">
        <w:trPr>
          <w:trHeight w:val="255"/>
        </w:trPr>
        <w:tc>
          <w:tcPr>
            <w:tcW w:w="6187" w:type="dxa"/>
            <w:tcBorders>
              <w:top w:val="single" w:sz="8" w:space="0" w:color="0077BD"/>
              <w:left w:val="nil"/>
              <w:bottom w:val="single" w:sz="8" w:space="0" w:color="0077BD"/>
              <w:right w:val="single" w:sz="8" w:space="0" w:color="0077BD"/>
            </w:tcBorders>
            <w:shd w:val="clear" w:color="auto" w:fill="auto"/>
            <w:noWrap/>
            <w:vAlign w:val="center"/>
            <w:hideMark/>
          </w:tcPr>
          <w:p w14:paraId="2674BED1"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Wynik z tytułu opłat i prowizji</w:t>
            </w:r>
          </w:p>
        </w:tc>
        <w:tc>
          <w:tcPr>
            <w:tcW w:w="575" w:type="dxa"/>
            <w:tcBorders>
              <w:top w:val="single" w:sz="8" w:space="0" w:color="0077BD"/>
              <w:left w:val="nil"/>
              <w:bottom w:val="single" w:sz="8" w:space="0" w:color="0077BD"/>
              <w:right w:val="single" w:sz="8" w:space="0" w:color="0077BD"/>
            </w:tcBorders>
            <w:shd w:val="clear" w:color="auto" w:fill="auto"/>
            <w:noWrap/>
            <w:vAlign w:val="center"/>
            <w:hideMark/>
          </w:tcPr>
          <w:p w14:paraId="67C916B7" w14:textId="17A0C4EF" w:rsidR="00AC3172" w:rsidRPr="00A751C0" w:rsidRDefault="00AC3172" w:rsidP="00AC3172">
            <w:pPr>
              <w:jc w:val="center"/>
              <w:rPr>
                <w:rFonts w:cs="Calibri"/>
                <w:b/>
                <w:bCs/>
                <w:color w:val="000000" w:themeColor="text1"/>
                <w:sz w:val="13"/>
                <w:szCs w:val="13"/>
              </w:rPr>
            </w:pPr>
          </w:p>
        </w:tc>
        <w:tc>
          <w:tcPr>
            <w:tcW w:w="143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8794C90" w14:textId="5AB1500A"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964 603</w:t>
            </w:r>
          </w:p>
        </w:tc>
        <w:tc>
          <w:tcPr>
            <w:tcW w:w="1439" w:type="dxa"/>
            <w:tcBorders>
              <w:top w:val="single" w:sz="8" w:space="0" w:color="0077BD"/>
              <w:left w:val="nil"/>
              <w:bottom w:val="single" w:sz="8" w:space="0" w:color="0077BD"/>
              <w:right w:val="nil"/>
            </w:tcBorders>
            <w:shd w:val="clear" w:color="auto" w:fill="auto"/>
            <w:noWrap/>
            <w:vAlign w:val="center"/>
            <w:hideMark/>
          </w:tcPr>
          <w:p w14:paraId="507B013C" w14:textId="77777777"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975 850</w:t>
            </w:r>
          </w:p>
        </w:tc>
      </w:tr>
      <w:tr w:rsidR="00A751C0" w:rsidRPr="00A751C0" w14:paraId="11FACD91" w14:textId="77777777" w:rsidTr="00552529">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704C1781"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Przychody z tytułu dywidend</w:t>
            </w:r>
          </w:p>
        </w:tc>
        <w:tc>
          <w:tcPr>
            <w:tcW w:w="575" w:type="dxa"/>
            <w:tcBorders>
              <w:top w:val="single" w:sz="4" w:space="0" w:color="0077BD"/>
              <w:left w:val="nil"/>
              <w:bottom w:val="single" w:sz="4" w:space="0" w:color="0077BD"/>
              <w:right w:val="single" w:sz="8" w:space="0" w:color="0077BD"/>
            </w:tcBorders>
            <w:shd w:val="clear" w:color="auto" w:fill="auto"/>
            <w:noWrap/>
            <w:vAlign w:val="center"/>
            <w:hideMark/>
          </w:tcPr>
          <w:p w14:paraId="322E9E3C"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8</w:t>
            </w:r>
          </w:p>
        </w:tc>
        <w:tc>
          <w:tcPr>
            <w:tcW w:w="1439" w:type="dxa"/>
            <w:tcBorders>
              <w:top w:val="single" w:sz="4" w:space="0" w:color="0077BD"/>
              <w:left w:val="single" w:sz="8" w:space="0" w:color="0077BD"/>
              <w:bottom w:val="single" w:sz="4" w:space="0" w:color="0077BD"/>
              <w:right w:val="nil"/>
            </w:tcBorders>
            <w:shd w:val="clear" w:color="auto" w:fill="auto"/>
            <w:noWrap/>
            <w:vAlign w:val="center"/>
          </w:tcPr>
          <w:p w14:paraId="41792CB4" w14:textId="5F587C5A"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4 220</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60B4C51D"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3 558</w:t>
            </w:r>
          </w:p>
        </w:tc>
      </w:tr>
      <w:tr w:rsidR="00A751C0" w:rsidRPr="00A751C0" w14:paraId="4B90E028"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5DACF9F5"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Wynik na działalności handlowej, w tym:</w:t>
            </w:r>
          </w:p>
        </w:tc>
        <w:tc>
          <w:tcPr>
            <w:tcW w:w="575" w:type="dxa"/>
            <w:tcBorders>
              <w:top w:val="nil"/>
              <w:left w:val="nil"/>
              <w:bottom w:val="single" w:sz="4" w:space="0" w:color="0077BD"/>
              <w:right w:val="single" w:sz="8" w:space="0" w:color="0077BD"/>
            </w:tcBorders>
            <w:shd w:val="clear" w:color="auto" w:fill="auto"/>
            <w:noWrap/>
            <w:vAlign w:val="center"/>
            <w:hideMark/>
          </w:tcPr>
          <w:p w14:paraId="4FFE1461"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9</w:t>
            </w:r>
          </w:p>
        </w:tc>
        <w:tc>
          <w:tcPr>
            <w:tcW w:w="1439" w:type="dxa"/>
            <w:tcBorders>
              <w:top w:val="nil"/>
              <w:left w:val="single" w:sz="8" w:space="0" w:color="0077BD"/>
              <w:bottom w:val="single" w:sz="4" w:space="0" w:color="0077BD"/>
              <w:right w:val="nil"/>
            </w:tcBorders>
            <w:shd w:val="clear" w:color="auto" w:fill="auto"/>
            <w:noWrap/>
            <w:vAlign w:val="center"/>
          </w:tcPr>
          <w:p w14:paraId="6160A80D" w14:textId="60A77809"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440 530</w:t>
            </w:r>
          </w:p>
        </w:tc>
        <w:tc>
          <w:tcPr>
            <w:tcW w:w="1439" w:type="dxa"/>
            <w:tcBorders>
              <w:top w:val="nil"/>
              <w:left w:val="single" w:sz="8" w:space="0" w:color="0077BD"/>
              <w:bottom w:val="single" w:sz="4" w:space="0" w:color="0077BD"/>
              <w:right w:val="nil"/>
            </w:tcBorders>
            <w:shd w:val="clear" w:color="auto" w:fill="auto"/>
            <w:noWrap/>
            <w:vAlign w:val="center"/>
            <w:hideMark/>
          </w:tcPr>
          <w:p w14:paraId="541BDA41"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347 336</w:t>
            </w:r>
          </w:p>
        </w:tc>
      </w:tr>
      <w:tr w:rsidR="00A751C0" w:rsidRPr="00A751C0" w14:paraId="3838D60C"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0FF431A1" w14:textId="78B77A3D"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Wynik z pozycji wymiany</w:t>
            </w:r>
          </w:p>
        </w:tc>
        <w:tc>
          <w:tcPr>
            <w:tcW w:w="575" w:type="dxa"/>
            <w:tcBorders>
              <w:top w:val="nil"/>
              <w:left w:val="nil"/>
              <w:bottom w:val="single" w:sz="4" w:space="0" w:color="0077BD"/>
              <w:right w:val="single" w:sz="8" w:space="0" w:color="0077BD"/>
            </w:tcBorders>
            <w:shd w:val="clear" w:color="auto" w:fill="auto"/>
            <w:noWrap/>
            <w:vAlign w:val="center"/>
            <w:hideMark/>
          </w:tcPr>
          <w:p w14:paraId="2620B1D3" w14:textId="77777777" w:rsidR="00AC3172" w:rsidRPr="00A751C0" w:rsidRDefault="00AC3172" w:rsidP="00AC3172">
            <w:pPr>
              <w:jc w:val="center"/>
              <w:rPr>
                <w:rFonts w:cs="Calibri"/>
                <w:i/>
                <w:iCs/>
                <w:color w:val="000000" w:themeColor="text1"/>
                <w:sz w:val="13"/>
                <w:szCs w:val="13"/>
              </w:rPr>
            </w:pPr>
            <w:r w:rsidRPr="00A751C0">
              <w:rPr>
                <w:rFonts w:cs="Calibri"/>
                <w:i/>
                <w:iCs/>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4F52B84E" w14:textId="13B4EE54"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381 547</w:t>
            </w:r>
          </w:p>
        </w:tc>
        <w:tc>
          <w:tcPr>
            <w:tcW w:w="1439" w:type="dxa"/>
            <w:tcBorders>
              <w:top w:val="nil"/>
              <w:left w:val="single" w:sz="8" w:space="0" w:color="0077BD"/>
              <w:bottom w:val="single" w:sz="4" w:space="0" w:color="0077BD"/>
              <w:right w:val="nil"/>
            </w:tcBorders>
            <w:shd w:val="clear" w:color="auto" w:fill="auto"/>
            <w:noWrap/>
            <w:vAlign w:val="center"/>
            <w:hideMark/>
          </w:tcPr>
          <w:p w14:paraId="33755B35"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323 472</w:t>
            </w:r>
          </w:p>
        </w:tc>
      </w:tr>
      <w:tr w:rsidR="00A751C0" w:rsidRPr="00A751C0" w14:paraId="272BCA2B"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7778635F" w14:textId="31D9740A"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Zyski lub straty z tytułu aktywów finansowych przeznaczonych do obrotu</w:t>
            </w:r>
          </w:p>
        </w:tc>
        <w:tc>
          <w:tcPr>
            <w:tcW w:w="575" w:type="dxa"/>
            <w:tcBorders>
              <w:top w:val="nil"/>
              <w:left w:val="nil"/>
              <w:bottom w:val="single" w:sz="4" w:space="0" w:color="0077BD"/>
              <w:right w:val="single" w:sz="8" w:space="0" w:color="0077BD"/>
            </w:tcBorders>
            <w:shd w:val="clear" w:color="auto" w:fill="auto"/>
            <w:noWrap/>
            <w:vAlign w:val="center"/>
            <w:hideMark/>
          </w:tcPr>
          <w:p w14:paraId="60892B9F" w14:textId="77777777" w:rsidR="00AC3172" w:rsidRPr="00A751C0" w:rsidRDefault="00AC3172" w:rsidP="00AC3172">
            <w:pPr>
              <w:jc w:val="center"/>
              <w:rPr>
                <w:rFonts w:cs="Calibri"/>
                <w:i/>
                <w:iCs/>
                <w:color w:val="000000" w:themeColor="text1"/>
                <w:sz w:val="13"/>
                <w:szCs w:val="13"/>
              </w:rPr>
            </w:pPr>
            <w:r w:rsidRPr="00A751C0">
              <w:rPr>
                <w:rFonts w:cs="Calibri"/>
                <w:i/>
                <w:iCs/>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095B5333" w14:textId="1F27C610"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50 788</w:t>
            </w:r>
          </w:p>
        </w:tc>
        <w:tc>
          <w:tcPr>
            <w:tcW w:w="1439" w:type="dxa"/>
            <w:tcBorders>
              <w:top w:val="nil"/>
              <w:left w:val="single" w:sz="8" w:space="0" w:color="0077BD"/>
              <w:bottom w:val="single" w:sz="4" w:space="0" w:color="0077BD"/>
              <w:right w:val="nil"/>
            </w:tcBorders>
            <w:shd w:val="clear" w:color="auto" w:fill="auto"/>
            <w:noWrap/>
            <w:vAlign w:val="center"/>
            <w:hideMark/>
          </w:tcPr>
          <w:p w14:paraId="0F93763D"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30 571</w:t>
            </w:r>
          </w:p>
        </w:tc>
      </w:tr>
      <w:tr w:rsidR="00A751C0" w:rsidRPr="00A751C0" w14:paraId="0F746D46"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55F79C73" w14:textId="7E458376"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Zyski lub straty z tytułu rachunkowości zabezpieczeń</w:t>
            </w:r>
          </w:p>
        </w:tc>
        <w:tc>
          <w:tcPr>
            <w:tcW w:w="575" w:type="dxa"/>
            <w:tcBorders>
              <w:top w:val="nil"/>
              <w:left w:val="nil"/>
              <w:bottom w:val="single" w:sz="4" w:space="0" w:color="0077BD"/>
              <w:right w:val="single" w:sz="8" w:space="0" w:color="0077BD"/>
            </w:tcBorders>
            <w:shd w:val="clear" w:color="auto" w:fill="auto"/>
            <w:noWrap/>
            <w:vAlign w:val="center"/>
            <w:hideMark/>
          </w:tcPr>
          <w:p w14:paraId="1739D6E6" w14:textId="77777777" w:rsidR="00AC3172" w:rsidRPr="00A751C0" w:rsidRDefault="00AC3172" w:rsidP="00AC3172">
            <w:pPr>
              <w:jc w:val="center"/>
              <w:rPr>
                <w:rFonts w:cs="Calibri"/>
                <w:i/>
                <w:iCs/>
                <w:color w:val="000000" w:themeColor="text1"/>
                <w:sz w:val="13"/>
                <w:szCs w:val="13"/>
              </w:rPr>
            </w:pPr>
            <w:r w:rsidRPr="00A751C0">
              <w:rPr>
                <w:rFonts w:cs="Calibri"/>
                <w:i/>
                <w:iCs/>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20F5F758" w14:textId="53E61A78"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8 195</w:t>
            </w:r>
          </w:p>
        </w:tc>
        <w:tc>
          <w:tcPr>
            <w:tcW w:w="1439" w:type="dxa"/>
            <w:tcBorders>
              <w:top w:val="nil"/>
              <w:left w:val="single" w:sz="8" w:space="0" w:color="0077BD"/>
              <w:bottom w:val="single" w:sz="4" w:space="0" w:color="0077BD"/>
              <w:right w:val="nil"/>
            </w:tcBorders>
            <w:shd w:val="clear" w:color="auto" w:fill="auto"/>
            <w:noWrap/>
            <w:vAlign w:val="center"/>
            <w:hideMark/>
          </w:tcPr>
          <w:p w14:paraId="171EB0E1"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(6 707)</w:t>
            </w:r>
          </w:p>
        </w:tc>
      </w:tr>
      <w:tr w:rsidR="00A751C0" w:rsidRPr="0035766C" w14:paraId="3F6F9397" w14:textId="77777777" w:rsidTr="00552529">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0090DF7D"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Zyski lub straty z tytułu aktywów finansowych nieprzeznaczonych do obrotu obowiązkowo wycenianych w wartości godziwej przez wynik finansowy</w:t>
            </w:r>
          </w:p>
        </w:tc>
        <w:tc>
          <w:tcPr>
            <w:tcW w:w="575" w:type="dxa"/>
            <w:tcBorders>
              <w:top w:val="nil"/>
              <w:left w:val="nil"/>
              <w:bottom w:val="single" w:sz="4" w:space="0" w:color="0077BD"/>
              <w:right w:val="single" w:sz="8" w:space="0" w:color="0077BD"/>
            </w:tcBorders>
            <w:shd w:val="clear" w:color="auto" w:fill="auto"/>
            <w:noWrap/>
            <w:vAlign w:val="center"/>
            <w:hideMark/>
          </w:tcPr>
          <w:p w14:paraId="50DA75B5"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10</w:t>
            </w:r>
          </w:p>
        </w:tc>
        <w:tc>
          <w:tcPr>
            <w:tcW w:w="1439" w:type="dxa"/>
            <w:tcBorders>
              <w:top w:val="nil"/>
              <w:left w:val="single" w:sz="8" w:space="0" w:color="0077BD"/>
              <w:bottom w:val="single" w:sz="4" w:space="0" w:color="0077BD"/>
              <w:right w:val="nil"/>
            </w:tcBorders>
            <w:shd w:val="clear" w:color="auto" w:fill="auto"/>
            <w:noWrap/>
            <w:vAlign w:val="center"/>
          </w:tcPr>
          <w:p w14:paraId="67E27C8A" w14:textId="3D925273"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69 259</w:t>
            </w:r>
          </w:p>
        </w:tc>
        <w:tc>
          <w:tcPr>
            <w:tcW w:w="1439" w:type="dxa"/>
            <w:tcBorders>
              <w:top w:val="nil"/>
              <w:left w:val="single" w:sz="8" w:space="0" w:color="0077BD"/>
              <w:bottom w:val="single" w:sz="4" w:space="0" w:color="0077BD"/>
              <w:right w:val="nil"/>
            </w:tcBorders>
            <w:shd w:val="clear" w:color="auto" w:fill="auto"/>
            <w:noWrap/>
            <w:vAlign w:val="center"/>
            <w:hideMark/>
          </w:tcPr>
          <w:p w14:paraId="76D0B2FD" w14:textId="77777777" w:rsidR="00AC3172" w:rsidRPr="0035766C" w:rsidRDefault="00AC3172" w:rsidP="00AC3172">
            <w:pPr>
              <w:jc w:val="right"/>
              <w:rPr>
                <w:rFonts w:cs="Calibri"/>
                <w:iCs/>
                <w:color w:val="000000" w:themeColor="text1"/>
                <w:sz w:val="13"/>
                <w:szCs w:val="13"/>
              </w:rPr>
            </w:pPr>
            <w:r w:rsidRPr="0035766C">
              <w:rPr>
                <w:rFonts w:cs="Calibri"/>
                <w:iCs/>
                <w:color w:val="000000" w:themeColor="text1"/>
                <w:sz w:val="13"/>
                <w:szCs w:val="13"/>
              </w:rPr>
              <w:t>(160 041)</w:t>
            </w:r>
          </w:p>
        </w:tc>
      </w:tr>
      <w:tr w:rsidR="00A751C0" w:rsidRPr="00A751C0" w14:paraId="64CF22B0" w14:textId="77777777" w:rsidTr="00552529">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378FCDFF"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Wynik na aktywach oraz zobowiązaniach finansowych niewycenianych w wartości godziwej przez wynik finansowy oraz inwestycjach w jednostki zależne i stowarzyszone, w tym:</w:t>
            </w:r>
          </w:p>
        </w:tc>
        <w:tc>
          <w:tcPr>
            <w:tcW w:w="575" w:type="dxa"/>
            <w:tcBorders>
              <w:top w:val="nil"/>
              <w:left w:val="nil"/>
              <w:bottom w:val="single" w:sz="4" w:space="0" w:color="0077BD"/>
              <w:right w:val="single" w:sz="8" w:space="0" w:color="0077BD"/>
            </w:tcBorders>
            <w:shd w:val="clear" w:color="auto" w:fill="auto"/>
            <w:noWrap/>
            <w:vAlign w:val="center"/>
            <w:hideMark/>
          </w:tcPr>
          <w:p w14:paraId="22DE8C53"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11</w:t>
            </w:r>
          </w:p>
        </w:tc>
        <w:tc>
          <w:tcPr>
            <w:tcW w:w="1439" w:type="dxa"/>
            <w:tcBorders>
              <w:top w:val="nil"/>
              <w:left w:val="single" w:sz="8" w:space="0" w:color="0077BD"/>
              <w:bottom w:val="single" w:sz="4" w:space="0" w:color="0077BD"/>
              <w:right w:val="nil"/>
            </w:tcBorders>
            <w:shd w:val="clear" w:color="auto" w:fill="auto"/>
            <w:noWrap/>
            <w:vAlign w:val="center"/>
          </w:tcPr>
          <w:p w14:paraId="4EBA1A14" w14:textId="75AB63F3"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34 832</w:t>
            </w:r>
          </w:p>
        </w:tc>
        <w:tc>
          <w:tcPr>
            <w:tcW w:w="1439" w:type="dxa"/>
            <w:tcBorders>
              <w:top w:val="nil"/>
              <w:left w:val="single" w:sz="8" w:space="0" w:color="0077BD"/>
              <w:bottom w:val="single" w:sz="4" w:space="0" w:color="0077BD"/>
              <w:right w:val="nil"/>
            </w:tcBorders>
            <w:shd w:val="clear" w:color="auto" w:fill="auto"/>
            <w:noWrap/>
            <w:vAlign w:val="center"/>
            <w:hideMark/>
          </w:tcPr>
          <w:p w14:paraId="54874782"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14 495</w:t>
            </w:r>
          </w:p>
        </w:tc>
      </w:tr>
      <w:tr w:rsidR="00A751C0" w:rsidRPr="00A751C0" w14:paraId="4F324678" w14:textId="77777777" w:rsidTr="00552529">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79729951" w14:textId="77777777"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Wynik na dłużnych papierach wartościowych wycenianych w wartości godziwej przez pozostałe całkowite dochody</w:t>
            </w:r>
          </w:p>
        </w:tc>
        <w:tc>
          <w:tcPr>
            <w:tcW w:w="575" w:type="dxa"/>
            <w:tcBorders>
              <w:top w:val="nil"/>
              <w:left w:val="nil"/>
              <w:bottom w:val="single" w:sz="4" w:space="0" w:color="0077BD"/>
              <w:right w:val="single" w:sz="8" w:space="0" w:color="0077BD"/>
            </w:tcBorders>
            <w:shd w:val="clear" w:color="auto" w:fill="auto"/>
            <w:noWrap/>
            <w:vAlign w:val="center"/>
            <w:hideMark/>
          </w:tcPr>
          <w:p w14:paraId="3C70C165"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4CB81B07" w14:textId="4B266693"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34 995</w:t>
            </w:r>
          </w:p>
        </w:tc>
        <w:tc>
          <w:tcPr>
            <w:tcW w:w="1439" w:type="dxa"/>
            <w:tcBorders>
              <w:top w:val="nil"/>
              <w:left w:val="single" w:sz="8" w:space="0" w:color="0077BD"/>
              <w:bottom w:val="single" w:sz="4" w:space="0" w:color="0077BD"/>
              <w:right w:val="nil"/>
            </w:tcBorders>
            <w:shd w:val="clear" w:color="auto" w:fill="auto"/>
            <w:noWrap/>
            <w:vAlign w:val="center"/>
            <w:hideMark/>
          </w:tcPr>
          <w:p w14:paraId="4DF1C57E"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16 465</w:t>
            </w:r>
          </w:p>
        </w:tc>
      </w:tr>
      <w:tr w:rsidR="00A751C0" w:rsidRPr="00A751C0" w14:paraId="5E24C006"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56C63F50" w14:textId="77777777"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Wynik na inwestycjach w jednostki zależne i stowarzyszone</w:t>
            </w:r>
          </w:p>
        </w:tc>
        <w:tc>
          <w:tcPr>
            <w:tcW w:w="575" w:type="dxa"/>
            <w:tcBorders>
              <w:top w:val="nil"/>
              <w:left w:val="nil"/>
              <w:bottom w:val="single" w:sz="4" w:space="0" w:color="0077BD"/>
              <w:right w:val="single" w:sz="8" w:space="0" w:color="0077BD"/>
            </w:tcBorders>
            <w:shd w:val="clear" w:color="auto" w:fill="auto"/>
            <w:noWrap/>
            <w:vAlign w:val="center"/>
            <w:hideMark/>
          </w:tcPr>
          <w:p w14:paraId="0E77B21D"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20F8B20B" w14:textId="1B39F4A4"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(277)</w:t>
            </w:r>
          </w:p>
        </w:tc>
        <w:tc>
          <w:tcPr>
            <w:tcW w:w="1439" w:type="dxa"/>
            <w:tcBorders>
              <w:top w:val="nil"/>
              <w:left w:val="single" w:sz="8" w:space="0" w:color="0077BD"/>
              <w:bottom w:val="single" w:sz="4" w:space="0" w:color="0077BD"/>
              <w:right w:val="nil"/>
            </w:tcBorders>
            <w:shd w:val="clear" w:color="auto" w:fill="auto"/>
            <w:noWrap/>
            <w:vAlign w:val="center"/>
            <w:hideMark/>
          </w:tcPr>
          <w:p w14:paraId="7FD3099D"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(4 034)</w:t>
            </w:r>
          </w:p>
        </w:tc>
      </w:tr>
      <w:tr w:rsidR="00A751C0" w:rsidRPr="00A751C0" w14:paraId="40C33BBA"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42E786EA" w14:textId="77777777" w:rsidR="00AC3172" w:rsidRPr="00A751C0" w:rsidRDefault="00AC3172" w:rsidP="00FF151B">
            <w:pPr>
              <w:ind w:left="112"/>
              <w:rPr>
                <w:rFonts w:cs="Calibri"/>
                <w:i/>
                <w:iCs/>
                <w:color w:val="000000" w:themeColor="text1"/>
                <w:sz w:val="13"/>
                <w:szCs w:val="13"/>
              </w:rPr>
            </w:pPr>
            <w:r w:rsidRPr="00A751C0">
              <w:rPr>
                <w:rFonts w:cs="Calibri"/>
                <w:i/>
                <w:iCs/>
                <w:color w:val="000000" w:themeColor="text1"/>
                <w:sz w:val="13"/>
                <w:szCs w:val="13"/>
              </w:rPr>
              <w:t>Wynik z tytułu usunięcia z bilansu</w:t>
            </w:r>
          </w:p>
        </w:tc>
        <w:tc>
          <w:tcPr>
            <w:tcW w:w="575" w:type="dxa"/>
            <w:tcBorders>
              <w:top w:val="nil"/>
              <w:left w:val="nil"/>
              <w:bottom w:val="single" w:sz="4" w:space="0" w:color="0077BD"/>
              <w:right w:val="single" w:sz="8" w:space="0" w:color="0077BD"/>
            </w:tcBorders>
            <w:shd w:val="clear" w:color="auto" w:fill="auto"/>
            <w:noWrap/>
            <w:vAlign w:val="center"/>
            <w:hideMark/>
          </w:tcPr>
          <w:p w14:paraId="472F8597"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 </w:t>
            </w:r>
          </w:p>
        </w:tc>
        <w:tc>
          <w:tcPr>
            <w:tcW w:w="1439" w:type="dxa"/>
            <w:tcBorders>
              <w:top w:val="nil"/>
              <w:left w:val="single" w:sz="8" w:space="0" w:color="0077BD"/>
              <w:bottom w:val="single" w:sz="4" w:space="0" w:color="0077BD"/>
              <w:right w:val="nil"/>
            </w:tcBorders>
            <w:shd w:val="clear" w:color="auto" w:fill="auto"/>
            <w:noWrap/>
            <w:vAlign w:val="center"/>
          </w:tcPr>
          <w:p w14:paraId="0524CFBF" w14:textId="196AE5E3"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114</w:t>
            </w:r>
          </w:p>
        </w:tc>
        <w:tc>
          <w:tcPr>
            <w:tcW w:w="1439" w:type="dxa"/>
            <w:tcBorders>
              <w:top w:val="nil"/>
              <w:left w:val="single" w:sz="8" w:space="0" w:color="0077BD"/>
              <w:bottom w:val="single" w:sz="4" w:space="0" w:color="0077BD"/>
              <w:right w:val="nil"/>
            </w:tcBorders>
            <w:shd w:val="clear" w:color="auto" w:fill="auto"/>
            <w:noWrap/>
            <w:vAlign w:val="center"/>
            <w:hideMark/>
          </w:tcPr>
          <w:p w14:paraId="7042765A" w14:textId="77777777" w:rsidR="00AC3172" w:rsidRPr="00A751C0" w:rsidRDefault="00AC3172" w:rsidP="00AC3172">
            <w:pPr>
              <w:jc w:val="right"/>
              <w:rPr>
                <w:rFonts w:cs="Calibri"/>
                <w:i/>
                <w:iCs/>
                <w:color w:val="000000" w:themeColor="text1"/>
                <w:sz w:val="13"/>
                <w:szCs w:val="13"/>
              </w:rPr>
            </w:pPr>
            <w:r w:rsidRPr="00A751C0">
              <w:rPr>
                <w:rFonts w:cs="Calibri"/>
                <w:i/>
                <w:iCs/>
                <w:color w:val="000000" w:themeColor="text1"/>
                <w:sz w:val="13"/>
                <w:szCs w:val="13"/>
              </w:rPr>
              <w:t>2 064</w:t>
            </w:r>
          </w:p>
        </w:tc>
      </w:tr>
      <w:tr w:rsidR="00A751C0" w:rsidRPr="00A751C0" w14:paraId="30BEDB4F"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00EDCB5D"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Pozostałe przychody operacyjne</w:t>
            </w:r>
          </w:p>
        </w:tc>
        <w:tc>
          <w:tcPr>
            <w:tcW w:w="575" w:type="dxa"/>
            <w:tcBorders>
              <w:top w:val="nil"/>
              <w:left w:val="nil"/>
              <w:bottom w:val="single" w:sz="4" w:space="0" w:color="0077BD"/>
              <w:right w:val="single" w:sz="8" w:space="0" w:color="0077BD"/>
            </w:tcBorders>
            <w:shd w:val="clear" w:color="auto" w:fill="auto"/>
            <w:noWrap/>
            <w:vAlign w:val="center"/>
            <w:hideMark/>
          </w:tcPr>
          <w:p w14:paraId="3D9F5C6B"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12</w:t>
            </w:r>
          </w:p>
        </w:tc>
        <w:tc>
          <w:tcPr>
            <w:tcW w:w="1439" w:type="dxa"/>
            <w:tcBorders>
              <w:top w:val="nil"/>
              <w:left w:val="single" w:sz="8" w:space="0" w:color="0077BD"/>
              <w:bottom w:val="single" w:sz="4" w:space="0" w:color="0077BD"/>
              <w:right w:val="nil"/>
            </w:tcBorders>
            <w:shd w:val="clear" w:color="auto" w:fill="auto"/>
            <w:noWrap/>
            <w:vAlign w:val="center"/>
          </w:tcPr>
          <w:p w14:paraId="25A9401A" w14:textId="303BC6C1" w:rsidR="00AC3172" w:rsidRPr="00A751C0" w:rsidRDefault="009D6A78" w:rsidP="009D6A78">
            <w:pPr>
              <w:jc w:val="right"/>
              <w:rPr>
                <w:rFonts w:cs="Calibri"/>
                <w:color w:val="000000" w:themeColor="text1"/>
                <w:sz w:val="13"/>
                <w:szCs w:val="13"/>
              </w:rPr>
            </w:pPr>
            <w:r w:rsidRPr="00A751C0">
              <w:rPr>
                <w:rFonts w:cs="Calibri"/>
                <w:color w:val="000000" w:themeColor="text1"/>
                <w:sz w:val="13"/>
                <w:szCs w:val="13"/>
              </w:rPr>
              <w:t>234</w:t>
            </w:r>
            <w:r w:rsidR="00AC3172" w:rsidRPr="00A751C0">
              <w:rPr>
                <w:rFonts w:cs="Calibri"/>
                <w:color w:val="000000" w:themeColor="text1"/>
                <w:sz w:val="13"/>
                <w:szCs w:val="13"/>
              </w:rPr>
              <w:t xml:space="preserve"> </w:t>
            </w:r>
            <w:r w:rsidRPr="00A751C0">
              <w:rPr>
                <w:rFonts w:cs="Calibri"/>
                <w:color w:val="000000" w:themeColor="text1"/>
                <w:sz w:val="13"/>
                <w:szCs w:val="13"/>
              </w:rPr>
              <w:t>487</w:t>
            </w:r>
          </w:p>
        </w:tc>
        <w:tc>
          <w:tcPr>
            <w:tcW w:w="1439" w:type="dxa"/>
            <w:tcBorders>
              <w:top w:val="nil"/>
              <w:left w:val="single" w:sz="8" w:space="0" w:color="0077BD"/>
              <w:bottom w:val="single" w:sz="4" w:space="0" w:color="0077BD"/>
              <w:right w:val="nil"/>
            </w:tcBorders>
            <w:shd w:val="clear" w:color="auto" w:fill="auto"/>
            <w:noWrap/>
            <w:vAlign w:val="center"/>
            <w:hideMark/>
          </w:tcPr>
          <w:p w14:paraId="690CF278" w14:textId="246712B3" w:rsidR="00AC3172" w:rsidRPr="00A751C0" w:rsidRDefault="00AC3172" w:rsidP="009D6A78">
            <w:pPr>
              <w:jc w:val="right"/>
              <w:rPr>
                <w:rFonts w:cs="Calibri"/>
                <w:color w:val="000000" w:themeColor="text1"/>
                <w:sz w:val="13"/>
                <w:szCs w:val="13"/>
              </w:rPr>
            </w:pPr>
            <w:r w:rsidRPr="00A751C0">
              <w:rPr>
                <w:rFonts w:cs="Calibri"/>
                <w:color w:val="000000" w:themeColor="text1"/>
                <w:sz w:val="13"/>
                <w:szCs w:val="13"/>
              </w:rPr>
              <w:t>4</w:t>
            </w:r>
            <w:r w:rsidR="009D6A78" w:rsidRPr="00A751C0">
              <w:rPr>
                <w:rFonts w:cs="Calibri"/>
                <w:color w:val="000000" w:themeColor="text1"/>
                <w:sz w:val="13"/>
                <w:szCs w:val="13"/>
              </w:rPr>
              <w:t>04</w:t>
            </w:r>
            <w:r w:rsidRPr="00A751C0">
              <w:rPr>
                <w:rFonts w:cs="Calibri"/>
                <w:color w:val="000000" w:themeColor="text1"/>
                <w:sz w:val="13"/>
                <w:szCs w:val="13"/>
              </w:rPr>
              <w:t xml:space="preserve"> </w:t>
            </w:r>
            <w:r w:rsidR="009D6A78" w:rsidRPr="00A751C0">
              <w:rPr>
                <w:rFonts w:cs="Calibri"/>
                <w:color w:val="000000" w:themeColor="text1"/>
                <w:sz w:val="13"/>
                <w:szCs w:val="13"/>
              </w:rPr>
              <w:t>994</w:t>
            </w:r>
          </w:p>
        </w:tc>
      </w:tr>
      <w:tr w:rsidR="00A751C0" w:rsidRPr="00A751C0" w14:paraId="1393EBF7" w14:textId="77777777" w:rsidTr="00552529">
        <w:trPr>
          <w:trHeight w:val="340"/>
        </w:trPr>
        <w:tc>
          <w:tcPr>
            <w:tcW w:w="6187" w:type="dxa"/>
            <w:tcBorders>
              <w:top w:val="nil"/>
              <w:left w:val="nil"/>
              <w:bottom w:val="single" w:sz="4" w:space="0" w:color="0077BD"/>
              <w:right w:val="single" w:sz="8" w:space="0" w:color="0077BD"/>
            </w:tcBorders>
            <w:shd w:val="clear" w:color="auto" w:fill="auto"/>
            <w:vAlign w:val="center"/>
            <w:hideMark/>
          </w:tcPr>
          <w:p w14:paraId="24F026E4"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Utrata wartości lub odwrócenie utraty wartości z tytułu aktywów finansowych niewycenianych w wartości godziwej przez wynik finansowy</w:t>
            </w:r>
          </w:p>
        </w:tc>
        <w:tc>
          <w:tcPr>
            <w:tcW w:w="575" w:type="dxa"/>
            <w:tcBorders>
              <w:top w:val="nil"/>
              <w:left w:val="nil"/>
              <w:bottom w:val="single" w:sz="4" w:space="0" w:color="0077BD"/>
              <w:right w:val="single" w:sz="8" w:space="0" w:color="0077BD"/>
            </w:tcBorders>
            <w:shd w:val="clear" w:color="auto" w:fill="auto"/>
            <w:noWrap/>
            <w:vAlign w:val="center"/>
            <w:hideMark/>
          </w:tcPr>
          <w:p w14:paraId="2C10AD5B"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15</w:t>
            </w:r>
          </w:p>
        </w:tc>
        <w:tc>
          <w:tcPr>
            <w:tcW w:w="1439" w:type="dxa"/>
            <w:tcBorders>
              <w:top w:val="nil"/>
              <w:left w:val="single" w:sz="8" w:space="0" w:color="0077BD"/>
              <w:bottom w:val="single" w:sz="4" w:space="0" w:color="0077BD"/>
              <w:right w:val="nil"/>
            </w:tcBorders>
            <w:shd w:val="clear" w:color="auto" w:fill="auto"/>
            <w:noWrap/>
            <w:vAlign w:val="center"/>
          </w:tcPr>
          <w:p w14:paraId="16D73C33" w14:textId="5DDF24E2"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(712 337)</w:t>
            </w:r>
          </w:p>
        </w:tc>
        <w:tc>
          <w:tcPr>
            <w:tcW w:w="1439" w:type="dxa"/>
            <w:tcBorders>
              <w:top w:val="nil"/>
              <w:left w:val="single" w:sz="8" w:space="0" w:color="0077BD"/>
              <w:bottom w:val="single" w:sz="4" w:space="0" w:color="0077BD"/>
              <w:right w:val="nil"/>
            </w:tcBorders>
            <w:shd w:val="clear" w:color="auto" w:fill="auto"/>
            <w:noWrap/>
            <w:vAlign w:val="center"/>
            <w:hideMark/>
          </w:tcPr>
          <w:p w14:paraId="5A2D3696"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(527 573)</w:t>
            </w:r>
          </w:p>
        </w:tc>
      </w:tr>
      <w:tr w:rsidR="00A751C0" w:rsidRPr="00A751C0" w14:paraId="29872E5C"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tcPr>
          <w:p w14:paraId="70416926" w14:textId="19A8BC89" w:rsidR="00EC7EA9" w:rsidRPr="00A751C0" w:rsidRDefault="00EC7EA9" w:rsidP="00AC3172">
            <w:pPr>
              <w:rPr>
                <w:rFonts w:cs="Calibri"/>
                <w:color w:val="000000" w:themeColor="text1"/>
                <w:sz w:val="13"/>
                <w:szCs w:val="13"/>
              </w:rPr>
            </w:pPr>
            <w:r w:rsidRPr="00A751C0">
              <w:rPr>
                <w:rFonts w:cs="Calibri"/>
                <w:color w:val="000000" w:themeColor="text1"/>
                <w:sz w:val="13"/>
                <w:szCs w:val="13"/>
              </w:rPr>
              <w:t>Wynik z tytułu rezerw na ryzyko prawne związane z kredytami walutowymi</w:t>
            </w:r>
          </w:p>
        </w:tc>
        <w:tc>
          <w:tcPr>
            <w:tcW w:w="575" w:type="dxa"/>
            <w:tcBorders>
              <w:top w:val="nil"/>
              <w:left w:val="nil"/>
              <w:bottom w:val="single" w:sz="4" w:space="0" w:color="0077BD"/>
              <w:right w:val="single" w:sz="8" w:space="0" w:color="0077BD"/>
            </w:tcBorders>
            <w:shd w:val="clear" w:color="auto" w:fill="auto"/>
            <w:noWrap/>
            <w:vAlign w:val="center"/>
          </w:tcPr>
          <w:p w14:paraId="186BD91C" w14:textId="44059F0C" w:rsidR="00EC7EA9" w:rsidRPr="00A751C0" w:rsidRDefault="00DB5B0E" w:rsidP="00AC3172">
            <w:pPr>
              <w:jc w:val="center"/>
              <w:rPr>
                <w:rFonts w:cs="Calibri"/>
                <w:color w:val="000000" w:themeColor="text1"/>
                <w:sz w:val="13"/>
                <w:szCs w:val="13"/>
              </w:rPr>
            </w:pPr>
            <w:r>
              <w:rPr>
                <w:rFonts w:cs="Calibri"/>
                <w:color w:val="000000" w:themeColor="text1"/>
                <w:sz w:val="13"/>
                <w:szCs w:val="13"/>
              </w:rPr>
              <w:t>30</w:t>
            </w:r>
          </w:p>
        </w:tc>
        <w:tc>
          <w:tcPr>
            <w:tcW w:w="1439" w:type="dxa"/>
            <w:tcBorders>
              <w:top w:val="nil"/>
              <w:left w:val="single" w:sz="8" w:space="0" w:color="0077BD"/>
              <w:bottom w:val="single" w:sz="4" w:space="0" w:color="0077BD"/>
              <w:right w:val="nil"/>
            </w:tcBorders>
            <w:shd w:val="clear" w:color="auto" w:fill="auto"/>
            <w:noWrap/>
            <w:vAlign w:val="center"/>
          </w:tcPr>
          <w:p w14:paraId="7C74B5D9" w14:textId="55C16E28" w:rsidR="00EC7EA9" w:rsidRPr="00A751C0" w:rsidRDefault="00EC7EA9" w:rsidP="00AC3172">
            <w:pPr>
              <w:jc w:val="right"/>
              <w:rPr>
                <w:rFonts w:cs="Calibri"/>
                <w:color w:val="000000" w:themeColor="text1"/>
                <w:sz w:val="13"/>
                <w:szCs w:val="13"/>
              </w:rPr>
            </w:pPr>
            <w:r w:rsidRPr="00A751C0">
              <w:rPr>
                <w:rFonts w:cs="Calibri"/>
                <w:color w:val="000000" w:themeColor="text1"/>
                <w:sz w:val="13"/>
                <w:szCs w:val="13"/>
              </w:rPr>
              <w:t>(387 786)</w:t>
            </w:r>
          </w:p>
        </w:tc>
        <w:tc>
          <w:tcPr>
            <w:tcW w:w="1439" w:type="dxa"/>
            <w:tcBorders>
              <w:top w:val="nil"/>
              <w:left w:val="single" w:sz="8" w:space="0" w:color="0077BD"/>
              <w:bottom w:val="single" w:sz="4" w:space="0" w:color="0077BD"/>
              <w:right w:val="nil"/>
            </w:tcBorders>
            <w:shd w:val="clear" w:color="auto" w:fill="auto"/>
            <w:noWrap/>
            <w:vAlign w:val="center"/>
          </w:tcPr>
          <w:p w14:paraId="24714C41" w14:textId="0EDC29E6" w:rsidR="00EC7EA9" w:rsidRPr="00A751C0" w:rsidRDefault="00EC7EA9" w:rsidP="00AC3172">
            <w:pPr>
              <w:jc w:val="right"/>
              <w:rPr>
                <w:rFonts w:cs="Calibri"/>
                <w:color w:val="000000" w:themeColor="text1"/>
                <w:sz w:val="13"/>
                <w:szCs w:val="13"/>
              </w:rPr>
            </w:pPr>
            <w:r w:rsidRPr="00A751C0">
              <w:rPr>
                <w:rFonts w:cs="Calibri"/>
                <w:color w:val="000000" w:themeColor="text1"/>
                <w:sz w:val="13"/>
                <w:szCs w:val="13"/>
              </w:rPr>
              <w:t>(20 349)</w:t>
            </w:r>
          </w:p>
        </w:tc>
      </w:tr>
      <w:tr w:rsidR="00A751C0" w:rsidRPr="00A751C0" w14:paraId="641B82CC"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2CD0238C"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Ogólne koszty administracyjne</w:t>
            </w:r>
          </w:p>
        </w:tc>
        <w:tc>
          <w:tcPr>
            <w:tcW w:w="575" w:type="dxa"/>
            <w:tcBorders>
              <w:top w:val="nil"/>
              <w:left w:val="nil"/>
              <w:bottom w:val="single" w:sz="4" w:space="0" w:color="0077BD"/>
              <w:right w:val="single" w:sz="8" w:space="0" w:color="0077BD"/>
            </w:tcBorders>
            <w:shd w:val="clear" w:color="auto" w:fill="auto"/>
            <w:noWrap/>
            <w:vAlign w:val="center"/>
            <w:hideMark/>
          </w:tcPr>
          <w:p w14:paraId="47F069E8"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13</w:t>
            </w:r>
          </w:p>
        </w:tc>
        <w:tc>
          <w:tcPr>
            <w:tcW w:w="1439" w:type="dxa"/>
            <w:tcBorders>
              <w:top w:val="nil"/>
              <w:left w:val="single" w:sz="8" w:space="0" w:color="0077BD"/>
              <w:bottom w:val="single" w:sz="4" w:space="0" w:color="0077BD"/>
              <w:right w:val="nil"/>
            </w:tcBorders>
            <w:shd w:val="clear" w:color="auto" w:fill="auto"/>
            <w:noWrap/>
            <w:vAlign w:val="center"/>
          </w:tcPr>
          <w:p w14:paraId="6D1BBE06" w14:textId="5496CAAA"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(1 953 657)</w:t>
            </w:r>
          </w:p>
        </w:tc>
        <w:tc>
          <w:tcPr>
            <w:tcW w:w="1439" w:type="dxa"/>
            <w:tcBorders>
              <w:top w:val="nil"/>
              <w:left w:val="single" w:sz="8" w:space="0" w:color="0077BD"/>
              <w:bottom w:val="single" w:sz="4" w:space="0" w:color="0077BD"/>
              <w:right w:val="nil"/>
            </w:tcBorders>
            <w:shd w:val="clear" w:color="auto" w:fill="auto"/>
            <w:noWrap/>
            <w:vAlign w:val="center"/>
            <w:hideMark/>
          </w:tcPr>
          <w:p w14:paraId="5C55D6BA"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(1 911 340)</w:t>
            </w:r>
          </w:p>
        </w:tc>
      </w:tr>
      <w:tr w:rsidR="00A751C0" w:rsidRPr="00A751C0" w14:paraId="059056FF"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0E75B52A"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Amortyzacja</w:t>
            </w:r>
          </w:p>
        </w:tc>
        <w:tc>
          <w:tcPr>
            <w:tcW w:w="575" w:type="dxa"/>
            <w:tcBorders>
              <w:top w:val="nil"/>
              <w:left w:val="nil"/>
              <w:bottom w:val="single" w:sz="4" w:space="0" w:color="0077BD"/>
              <w:right w:val="single" w:sz="8" w:space="0" w:color="0077BD"/>
            </w:tcBorders>
            <w:shd w:val="clear" w:color="auto" w:fill="auto"/>
            <w:noWrap/>
            <w:vAlign w:val="center"/>
            <w:hideMark/>
          </w:tcPr>
          <w:p w14:paraId="54B3B2B2" w14:textId="1B16C7E0" w:rsidR="00AC3172" w:rsidRPr="00A751C0" w:rsidRDefault="003723B2" w:rsidP="003723B2">
            <w:pPr>
              <w:jc w:val="center"/>
              <w:rPr>
                <w:rFonts w:cs="Calibri"/>
                <w:color w:val="000000" w:themeColor="text1"/>
                <w:sz w:val="13"/>
                <w:szCs w:val="13"/>
              </w:rPr>
            </w:pPr>
            <w:r>
              <w:rPr>
                <w:rFonts w:cs="Calibri"/>
                <w:color w:val="000000" w:themeColor="text1"/>
                <w:sz w:val="13"/>
                <w:szCs w:val="13"/>
              </w:rPr>
              <w:t>25</w:t>
            </w:r>
            <w:r w:rsidR="00AC3172" w:rsidRPr="00A751C0">
              <w:rPr>
                <w:rFonts w:cs="Calibri"/>
                <w:color w:val="000000" w:themeColor="text1"/>
                <w:sz w:val="13"/>
                <w:szCs w:val="13"/>
              </w:rPr>
              <w:t>, 2</w:t>
            </w:r>
            <w:r>
              <w:rPr>
                <w:rFonts w:cs="Calibri"/>
                <w:color w:val="000000" w:themeColor="text1"/>
                <w:sz w:val="13"/>
                <w:szCs w:val="13"/>
              </w:rPr>
              <w:t>6</w:t>
            </w:r>
          </w:p>
        </w:tc>
        <w:tc>
          <w:tcPr>
            <w:tcW w:w="1439" w:type="dxa"/>
            <w:tcBorders>
              <w:top w:val="nil"/>
              <w:left w:val="single" w:sz="8" w:space="0" w:color="0077BD"/>
              <w:bottom w:val="single" w:sz="4" w:space="0" w:color="0077BD"/>
              <w:right w:val="nil"/>
            </w:tcBorders>
            <w:shd w:val="clear" w:color="auto" w:fill="auto"/>
            <w:noWrap/>
            <w:vAlign w:val="center"/>
          </w:tcPr>
          <w:p w14:paraId="0CDB377A" w14:textId="37E9D06C"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(375 498)</w:t>
            </w:r>
          </w:p>
        </w:tc>
        <w:tc>
          <w:tcPr>
            <w:tcW w:w="1439" w:type="dxa"/>
            <w:tcBorders>
              <w:top w:val="nil"/>
              <w:left w:val="single" w:sz="8" w:space="0" w:color="0077BD"/>
              <w:bottom w:val="single" w:sz="4" w:space="0" w:color="0077BD"/>
              <w:right w:val="nil"/>
            </w:tcBorders>
            <w:shd w:val="clear" w:color="auto" w:fill="auto"/>
            <w:noWrap/>
            <w:vAlign w:val="center"/>
            <w:hideMark/>
          </w:tcPr>
          <w:p w14:paraId="50EBEA82"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(252 592)</w:t>
            </w:r>
          </w:p>
        </w:tc>
      </w:tr>
      <w:tr w:rsidR="00A751C0" w:rsidRPr="00A751C0" w14:paraId="485DA62E" w14:textId="77777777" w:rsidTr="00552529">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7153EA5C"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Pozostałe koszty operacyjne</w:t>
            </w:r>
          </w:p>
        </w:tc>
        <w:tc>
          <w:tcPr>
            <w:tcW w:w="575" w:type="dxa"/>
            <w:tcBorders>
              <w:top w:val="nil"/>
              <w:left w:val="nil"/>
              <w:bottom w:val="single" w:sz="4" w:space="0" w:color="0077BD"/>
              <w:right w:val="single" w:sz="8" w:space="0" w:color="0077BD"/>
            </w:tcBorders>
            <w:shd w:val="clear" w:color="auto" w:fill="auto"/>
            <w:noWrap/>
            <w:vAlign w:val="center"/>
            <w:hideMark/>
          </w:tcPr>
          <w:p w14:paraId="3B52B658"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14</w:t>
            </w:r>
          </w:p>
        </w:tc>
        <w:tc>
          <w:tcPr>
            <w:tcW w:w="1439" w:type="dxa"/>
            <w:tcBorders>
              <w:top w:val="nil"/>
              <w:left w:val="single" w:sz="8" w:space="0" w:color="0077BD"/>
              <w:bottom w:val="single" w:sz="4" w:space="0" w:color="0077BD"/>
              <w:right w:val="nil"/>
            </w:tcBorders>
            <w:shd w:val="clear" w:color="auto" w:fill="auto"/>
            <w:noWrap/>
            <w:vAlign w:val="center"/>
          </w:tcPr>
          <w:p w14:paraId="6F2A2F99" w14:textId="2F32100C" w:rsidR="00AC3172" w:rsidRPr="00A751C0" w:rsidRDefault="009D6A78" w:rsidP="009D6A78">
            <w:pPr>
              <w:jc w:val="right"/>
              <w:rPr>
                <w:rFonts w:cs="Calibri"/>
                <w:color w:val="000000" w:themeColor="text1"/>
                <w:sz w:val="13"/>
                <w:szCs w:val="13"/>
              </w:rPr>
            </w:pPr>
            <w:r w:rsidRPr="00A751C0">
              <w:rPr>
                <w:rFonts w:cs="Calibri"/>
                <w:color w:val="000000" w:themeColor="text1"/>
                <w:sz w:val="13"/>
                <w:szCs w:val="13"/>
              </w:rPr>
              <w:t>(307</w:t>
            </w:r>
            <w:r w:rsidR="00EC7EA9" w:rsidRPr="00A751C0">
              <w:rPr>
                <w:rFonts w:cs="Calibri"/>
                <w:color w:val="000000" w:themeColor="text1"/>
                <w:sz w:val="13"/>
                <w:szCs w:val="13"/>
              </w:rPr>
              <w:t xml:space="preserve"> </w:t>
            </w:r>
            <w:r w:rsidRPr="00A751C0">
              <w:rPr>
                <w:rFonts w:cs="Calibri"/>
                <w:color w:val="000000" w:themeColor="text1"/>
                <w:sz w:val="13"/>
                <w:szCs w:val="13"/>
              </w:rPr>
              <w:t>722</w:t>
            </w:r>
            <w:r w:rsidR="00AC3172" w:rsidRPr="00A751C0">
              <w:rPr>
                <w:rFonts w:cs="Calibri"/>
                <w:color w:val="000000" w:themeColor="text1"/>
                <w:sz w:val="13"/>
                <w:szCs w:val="13"/>
              </w:rPr>
              <w:t>)</w:t>
            </w:r>
          </w:p>
        </w:tc>
        <w:tc>
          <w:tcPr>
            <w:tcW w:w="1439" w:type="dxa"/>
            <w:tcBorders>
              <w:top w:val="nil"/>
              <w:left w:val="single" w:sz="8" w:space="0" w:color="0077BD"/>
              <w:bottom w:val="single" w:sz="4" w:space="0" w:color="0077BD"/>
              <w:right w:val="nil"/>
            </w:tcBorders>
            <w:shd w:val="clear" w:color="auto" w:fill="auto"/>
            <w:noWrap/>
            <w:vAlign w:val="center"/>
            <w:hideMark/>
          </w:tcPr>
          <w:p w14:paraId="4070F46C" w14:textId="3FB71823" w:rsidR="00AC3172" w:rsidRPr="00A751C0" w:rsidRDefault="00EC7EA9" w:rsidP="009D6A78">
            <w:pPr>
              <w:jc w:val="right"/>
              <w:rPr>
                <w:rFonts w:cs="Calibri"/>
                <w:color w:val="000000" w:themeColor="text1"/>
                <w:sz w:val="13"/>
                <w:szCs w:val="13"/>
              </w:rPr>
            </w:pPr>
            <w:r w:rsidRPr="00A751C0">
              <w:rPr>
                <w:rFonts w:cs="Calibri"/>
                <w:color w:val="000000" w:themeColor="text1"/>
                <w:sz w:val="13"/>
                <w:szCs w:val="13"/>
              </w:rPr>
              <w:t>(</w:t>
            </w:r>
            <w:r w:rsidR="009D6A78" w:rsidRPr="00A751C0">
              <w:rPr>
                <w:rFonts w:cs="Calibri"/>
                <w:color w:val="000000" w:themeColor="text1"/>
                <w:sz w:val="13"/>
                <w:szCs w:val="13"/>
              </w:rPr>
              <w:t>169</w:t>
            </w:r>
            <w:r w:rsidRPr="00A751C0">
              <w:rPr>
                <w:rFonts w:cs="Calibri"/>
                <w:color w:val="000000" w:themeColor="text1"/>
                <w:sz w:val="13"/>
                <w:szCs w:val="13"/>
              </w:rPr>
              <w:t xml:space="preserve"> </w:t>
            </w:r>
            <w:r w:rsidR="009D6A78" w:rsidRPr="00A751C0">
              <w:rPr>
                <w:rFonts w:cs="Calibri"/>
                <w:color w:val="000000" w:themeColor="text1"/>
                <w:sz w:val="13"/>
                <w:szCs w:val="13"/>
              </w:rPr>
              <w:t>978</w:t>
            </w:r>
            <w:r w:rsidR="00AC3172" w:rsidRPr="00A751C0">
              <w:rPr>
                <w:rFonts w:cs="Calibri"/>
                <w:color w:val="000000" w:themeColor="text1"/>
                <w:sz w:val="13"/>
                <w:szCs w:val="13"/>
              </w:rPr>
              <w:t>)</w:t>
            </w:r>
          </w:p>
        </w:tc>
      </w:tr>
      <w:tr w:rsidR="00A751C0" w:rsidRPr="00A751C0" w14:paraId="18591834" w14:textId="77777777" w:rsidTr="009834E7">
        <w:trPr>
          <w:trHeight w:val="255"/>
        </w:trPr>
        <w:tc>
          <w:tcPr>
            <w:tcW w:w="6187" w:type="dxa"/>
            <w:tcBorders>
              <w:top w:val="single" w:sz="8" w:space="0" w:color="0077BD"/>
              <w:left w:val="nil"/>
              <w:bottom w:val="single" w:sz="8" w:space="0" w:color="0077BD"/>
              <w:right w:val="single" w:sz="8" w:space="0" w:color="0077BD"/>
            </w:tcBorders>
            <w:shd w:val="clear" w:color="auto" w:fill="auto"/>
            <w:noWrap/>
            <w:vAlign w:val="center"/>
            <w:hideMark/>
          </w:tcPr>
          <w:p w14:paraId="4BBD0F79"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Wynik działalności operacyjnej</w:t>
            </w:r>
          </w:p>
        </w:tc>
        <w:tc>
          <w:tcPr>
            <w:tcW w:w="575" w:type="dxa"/>
            <w:tcBorders>
              <w:top w:val="single" w:sz="8" w:space="0" w:color="0077BD"/>
              <w:left w:val="nil"/>
              <w:bottom w:val="single" w:sz="8" w:space="0" w:color="0077BD"/>
              <w:right w:val="single" w:sz="8" w:space="0" w:color="0077BD"/>
            </w:tcBorders>
            <w:shd w:val="clear" w:color="auto" w:fill="auto"/>
            <w:noWrap/>
            <w:vAlign w:val="center"/>
            <w:hideMark/>
          </w:tcPr>
          <w:p w14:paraId="2F0769DA"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8" w:space="0" w:color="0077BD"/>
              <w:left w:val="nil"/>
              <w:bottom w:val="single" w:sz="8" w:space="0" w:color="0077BD"/>
              <w:right w:val="single" w:sz="8" w:space="0" w:color="0077BD"/>
            </w:tcBorders>
            <w:shd w:val="clear" w:color="000000" w:fill="FFFFFF"/>
            <w:noWrap/>
            <w:vAlign w:val="center"/>
          </w:tcPr>
          <w:p w14:paraId="4A74A251" w14:textId="21046EE9"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2 013 703</w:t>
            </w:r>
          </w:p>
        </w:tc>
        <w:tc>
          <w:tcPr>
            <w:tcW w:w="1439" w:type="dxa"/>
            <w:tcBorders>
              <w:top w:val="single" w:sz="8" w:space="0" w:color="0077BD"/>
              <w:left w:val="nil"/>
              <w:bottom w:val="single" w:sz="8" w:space="0" w:color="0077BD"/>
              <w:right w:val="nil"/>
            </w:tcBorders>
            <w:shd w:val="clear" w:color="000000" w:fill="FFFFFF"/>
            <w:noWrap/>
            <w:vAlign w:val="center"/>
            <w:hideMark/>
          </w:tcPr>
          <w:p w14:paraId="7783DA42" w14:textId="77777777"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2 200 834</w:t>
            </w:r>
          </w:p>
        </w:tc>
      </w:tr>
      <w:tr w:rsidR="00A751C0" w:rsidRPr="00A751C0" w14:paraId="456E02CD" w14:textId="77777777" w:rsidTr="001374D4">
        <w:trPr>
          <w:trHeight w:val="255"/>
        </w:trPr>
        <w:tc>
          <w:tcPr>
            <w:tcW w:w="6187" w:type="dxa"/>
            <w:tcBorders>
              <w:top w:val="nil"/>
              <w:left w:val="nil"/>
              <w:bottom w:val="single" w:sz="4" w:space="0" w:color="0077BD"/>
              <w:right w:val="single" w:sz="8" w:space="0" w:color="0077BD"/>
            </w:tcBorders>
            <w:shd w:val="clear" w:color="auto" w:fill="auto"/>
            <w:vAlign w:val="center"/>
            <w:hideMark/>
          </w:tcPr>
          <w:p w14:paraId="2D02510B"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Podatki od pozycji bilansowych Grupy</w:t>
            </w:r>
          </w:p>
        </w:tc>
        <w:tc>
          <w:tcPr>
            <w:tcW w:w="575" w:type="dxa"/>
            <w:tcBorders>
              <w:top w:val="nil"/>
              <w:left w:val="nil"/>
              <w:bottom w:val="single" w:sz="4" w:space="0" w:color="0077BD"/>
              <w:right w:val="single" w:sz="8" w:space="0" w:color="0077BD"/>
            </w:tcBorders>
            <w:shd w:val="clear" w:color="auto" w:fill="auto"/>
            <w:noWrap/>
            <w:vAlign w:val="center"/>
            <w:hideMark/>
          </w:tcPr>
          <w:p w14:paraId="4CEBD7C8"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nil"/>
              <w:left w:val="nil"/>
              <w:bottom w:val="single" w:sz="4" w:space="0" w:color="0077BD"/>
              <w:right w:val="single" w:sz="8" w:space="0" w:color="0077BD"/>
            </w:tcBorders>
            <w:shd w:val="clear" w:color="000000" w:fill="FFFFFF"/>
            <w:noWrap/>
            <w:vAlign w:val="center"/>
          </w:tcPr>
          <w:p w14:paraId="0EC1E3C2" w14:textId="421F94B8"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(458 658)</w:t>
            </w:r>
          </w:p>
        </w:tc>
        <w:tc>
          <w:tcPr>
            <w:tcW w:w="1439" w:type="dxa"/>
            <w:tcBorders>
              <w:top w:val="single" w:sz="8" w:space="0" w:color="0077BD"/>
              <w:left w:val="nil"/>
              <w:bottom w:val="single" w:sz="4" w:space="0" w:color="0077BD"/>
              <w:right w:val="nil"/>
            </w:tcBorders>
            <w:shd w:val="clear" w:color="000000" w:fill="FFFFFF"/>
            <w:noWrap/>
            <w:vAlign w:val="center"/>
            <w:hideMark/>
          </w:tcPr>
          <w:p w14:paraId="3F4B439F" w14:textId="5629EC02"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(415 425)</w:t>
            </w:r>
          </w:p>
        </w:tc>
      </w:tr>
      <w:tr w:rsidR="00A751C0" w:rsidRPr="00A751C0" w14:paraId="60AD09D2" w14:textId="77777777" w:rsidTr="001374D4">
        <w:trPr>
          <w:trHeight w:val="255"/>
        </w:trPr>
        <w:tc>
          <w:tcPr>
            <w:tcW w:w="6187" w:type="dxa"/>
            <w:tcBorders>
              <w:top w:val="single" w:sz="4" w:space="0" w:color="0077BD"/>
              <w:left w:val="nil"/>
              <w:bottom w:val="single" w:sz="8" w:space="0" w:color="0077BD"/>
              <w:right w:val="single" w:sz="8" w:space="0" w:color="0077BD"/>
            </w:tcBorders>
            <w:shd w:val="clear" w:color="auto" w:fill="auto"/>
            <w:vAlign w:val="center"/>
            <w:hideMark/>
          </w:tcPr>
          <w:p w14:paraId="286E5CB9"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Udział w zyskach (stratach) jednostek wycenianych metodą praw własności</w:t>
            </w:r>
          </w:p>
        </w:tc>
        <w:tc>
          <w:tcPr>
            <w:tcW w:w="575" w:type="dxa"/>
            <w:tcBorders>
              <w:top w:val="single" w:sz="4" w:space="0" w:color="0077BD"/>
              <w:left w:val="nil"/>
              <w:bottom w:val="single" w:sz="8" w:space="0" w:color="0077BD"/>
              <w:right w:val="single" w:sz="8" w:space="0" w:color="0077BD"/>
            </w:tcBorders>
            <w:shd w:val="clear" w:color="auto" w:fill="auto"/>
            <w:noWrap/>
            <w:vAlign w:val="center"/>
            <w:hideMark/>
          </w:tcPr>
          <w:p w14:paraId="2CE7EE6A"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4" w:space="0" w:color="0077BD"/>
              <w:left w:val="nil"/>
              <w:bottom w:val="single" w:sz="8" w:space="0" w:color="0077BD"/>
              <w:right w:val="single" w:sz="8" w:space="0" w:color="0077BD"/>
            </w:tcBorders>
            <w:shd w:val="clear" w:color="000000" w:fill="FFFFFF"/>
            <w:noWrap/>
            <w:vAlign w:val="center"/>
          </w:tcPr>
          <w:p w14:paraId="58B21DBE" w14:textId="509939E6"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w:t>
            </w:r>
          </w:p>
        </w:tc>
        <w:tc>
          <w:tcPr>
            <w:tcW w:w="1439" w:type="dxa"/>
            <w:tcBorders>
              <w:top w:val="single" w:sz="4" w:space="0" w:color="0077BD"/>
              <w:left w:val="nil"/>
              <w:bottom w:val="single" w:sz="8" w:space="0" w:color="0077BD"/>
              <w:right w:val="nil"/>
            </w:tcBorders>
            <w:shd w:val="clear" w:color="000000" w:fill="FFFFFF"/>
            <w:noWrap/>
            <w:vAlign w:val="center"/>
            <w:hideMark/>
          </w:tcPr>
          <w:p w14:paraId="442BD592" w14:textId="100FCDB9"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1 240</w:t>
            </w:r>
          </w:p>
        </w:tc>
      </w:tr>
      <w:tr w:rsidR="00A751C0" w:rsidRPr="00A751C0" w14:paraId="69C3E3B9" w14:textId="77777777" w:rsidTr="001374D4">
        <w:trPr>
          <w:trHeight w:val="255"/>
        </w:trPr>
        <w:tc>
          <w:tcPr>
            <w:tcW w:w="6187" w:type="dxa"/>
            <w:tcBorders>
              <w:top w:val="single" w:sz="8" w:space="0" w:color="0077BD"/>
              <w:left w:val="nil"/>
              <w:bottom w:val="single" w:sz="8" w:space="0" w:color="0077BD"/>
              <w:right w:val="single" w:sz="8" w:space="0" w:color="0077BD"/>
            </w:tcBorders>
            <w:shd w:val="clear" w:color="auto" w:fill="auto"/>
            <w:vAlign w:val="center"/>
            <w:hideMark/>
          </w:tcPr>
          <w:p w14:paraId="695E9793"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Zysk brutto</w:t>
            </w:r>
          </w:p>
        </w:tc>
        <w:tc>
          <w:tcPr>
            <w:tcW w:w="575" w:type="dxa"/>
            <w:tcBorders>
              <w:top w:val="single" w:sz="8" w:space="0" w:color="0077BD"/>
              <w:left w:val="nil"/>
              <w:bottom w:val="single" w:sz="8" w:space="0" w:color="0077BD"/>
              <w:right w:val="single" w:sz="8" w:space="0" w:color="0077BD"/>
            </w:tcBorders>
            <w:shd w:val="clear" w:color="auto" w:fill="auto"/>
            <w:noWrap/>
            <w:vAlign w:val="center"/>
            <w:hideMark/>
          </w:tcPr>
          <w:p w14:paraId="6CE9DDE2"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8" w:space="0" w:color="0077BD"/>
              <w:left w:val="nil"/>
              <w:bottom w:val="single" w:sz="8" w:space="0" w:color="0077BD"/>
              <w:right w:val="single" w:sz="8" w:space="0" w:color="0077BD"/>
            </w:tcBorders>
            <w:shd w:val="clear" w:color="000000" w:fill="FFFFFF"/>
            <w:noWrap/>
            <w:vAlign w:val="center"/>
          </w:tcPr>
          <w:p w14:paraId="62F20E20" w14:textId="214F0B57"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1 555 045</w:t>
            </w:r>
          </w:p>
        </w:tc>
        <w:tc>
          <w:tcPr>
            <w:tcW w:w="1439" w:type="dxa"/>
            <w:tcBorders>
              <w:top w:val="single" w:sz="8" w:space="0" w:color="0077BD"/>
              <w:left w:val="nil"/>
              <w:bottom w:val="single" w:sz="8" w:space="0" w:color="0077BD"/>
              <w:right w:val="nil"/>
            </w:tcBorders>
            <w:shd w:val="clear" w:color="000000" w:fill="FFFFFF"/>
            <w:noWrap/>
            <w:vAlign w:val="center"/>
            <w:hideMark/>
          </w:tcPr>
          <w:p w14:paraId="7B14D888" w14:textId="334314E0"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1 786 649</w:t>
            </w:r>
          </w:p>
        </w:tc>
      </w:tr>
      <w:tr w:rsidR="00A751C0" w:rsidRPr="00A751C0" w14:paraId="5AB1F188" w14:textId="77777777" w:rsidTr="009834E7">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1B04160A"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Podatek dochodowy</w:t>
            </w:r>
          </w:p>
        </w:tc>
        <w:tc>
          <w:tcPr>
            <w:tcW w:w="575" w:type="dxa"/>
            <w:tcBorders>
              <w:top w:val="nil"/>
              <w:left w:val="nil"/>
              <w:bottom w:val="single" w:sz="8" w:space="0" w:color="0077BD"/>
              <w:right w:val="single" w:sz="8" w:space="0" w:color="0077BD"/>
            </w:tcBorders>
            <w:shd w:val="clear" w:color="auto" w:fill="auto"/>
            <w:noWrap/>
            <w:vAlign w:val="center"/>
            <w:hideMark/>
          </w:tcPr>
          <w:p w14:paraId="06CE2B58" w14:textId="77777777" w:rsidR="00AC3172" w:rsidRPr="00A751C0" w:rsidRDefault="00AC3172" w:rsidP="00AC3172">
            <w:pPr>
              <w:jc w:val="center"/>
              <w:rPr>
                <w:rFonts w:cs="Calibri"/>
                <w:color w:val="000000" w:themeColor="text1"/>
                <w:sz w:val="13"/>
                <w:szCs w:val="13"/>
              </w:rPr>
            </w:pPr>
            <w:r w:rsidRPr="00A751C0">
              <w:rPr>
                <w:rFonts w:cs="Calibri"/>
                <w:color w:val="000000" w:themeColor="text1"/>
                <w:sz w:val="13"/>
                <w:szCs w:val="13"/>
              </w:rPr>
              <w:t>16</w:t>
            </w:r>
          </w:p>
        </w:tc>
        <w:tc>
          <w:tcPr>
            <w:tcW w:w="1439" w:type="dxa"/>
            <w:tcBorders>
              <w:top w:val="nil"/>
              <w:left w:val="nil"/>
              <w:bottom w:val="single" w:sz="8" w:space="0" w:color="0077BD"/>
              <w:right w:val="single" w:sz="8" w:space="0" w:color="0077BD"/>
            </w:tcBorders>
            <w:shd w:val="clear" w:color="000000" w:fill="FFFFFF"/>
            <w:noWrap/>
            <w:vAlign w:val="center"/>
          </w:tcPr>
          <w:p w14:paraId="2E617ACE" w14:textId="66B49093" w:rsidR="00AC3172" w:rsidRPr="00A751C0" w:rsidRDefault="00047B0C" w:rsidP="00047B0C">
            <w:pPr>
              <w:jc w:val="right"/>
              <w:rPr>
                <w:rFonts w:cs="Calibri"/>
                <w:color w:val="000000" w:themeColor="text1"/>
                <w:sz w:val="13"/>
                <w:szCs w:val="13"/>
              </w:rPr>
            </w:pPr>
            <w:r w:rsidRPr="00A751C0">
              <w:rPr>
                <w:rFonts w:cs="Calibri"/>
                <w:color w:val="000000" w:themeColor="text1"/>
                <w:sz w:val="13"/>
                <w:szCs w:val="13"/>
              </w:rPr>
              <w:t>(544</w:t>
            </w:r>
            <w:r w:rsidR="00AC3172" w:rsidRPr="00A751C0">
              <w:rPr>
                <w:rFonts w:cs="Calibri"/>
                <w:color w:val="000000" w:themeColor="text1"/>
                <w:sz w:val="13"/>
                <w:szCs w:val="13"/>
              </w:rPr>
              <w:t xml:space="preserve"> </w:t>
            </w:r>
            <w:r w:rsidRPr="00A751C0">
              <w:rPr>
                <w:rFonts w:cs="Calibri"/>
                <w:color w:val="000000" w:themeColor="text1"/>
                <w:sz w:val="13"/>
                <w:szCs w:val="13"/>
              </w:rPr>
              <w:t>793</w:t>
            </w:r>
            <w:r w:rsidR="00AC3172" w:rsidRPr="00A751C0">
              <w:rPr>
                <w:rFonts w:cs="Calibri"/>
                <w:color w:val="000000" w:themeColor="text1"/>
                <w:sz w:val="13"/>
                <w:szCs w:val="13"/>
              </w:rPr>
              <w:t>)</w:t>
            </w:r>
          </w:p>
        </w:tc>
        <w:tc>
          <w:tcPr>
            <w:tcW w:w="1439" w:type="dxa"/>
            <w:tcBorders>
              <w:top w:val="nil"/>
              <w:left w:val="nil"/>
              <w:bottom w:val="single" w:sz="8" w:space="0" w:color="0077BD"/>
              <w:right w:val="nil"/>
            </w:tcBorders>
            <w:shd w:val="clear" w:color="000000" w:fill="FFFFFF"/>
            <w:noWrap/>
            <w:vAlign w:val="center"/>
            <w:hideMark/>
          </w:tcPr>
          <w:p w14:paraId="6CB0EE46" w14:textId="0F7C4B94"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(483 945)</w:t>
            </w:r>
          </w:p>
        </w:tc>
      </w:tr>
      <w:tr w:rsidR="00A751C0" w:rsidRPr="00A751C0" w14:paraId="351FD3C1" w14:textId="77777777" w:rsidTr="009834E7">
        <w:trPr>
          <w:trHeight w:val="255"/>
        </w:trPr>
        <w:tc>
          <w:tcPr>
            <w:tcW w:w="6187" w:type="dxa"/>
            <w:tcBorders>
              <w:top w:val="single" w:sz="8" w:space="0" w:color="0077BD"/>
              <w:left w:val="nil"/>
              <w:bottom w:val="single" w:sz="8" w:space="0" w:color="0077BD"/>
              <w:right w:val="single" w:sz="8" w:space="0" w:color="0077BD"/>
            </w:tcBorders>
            <w:shd w:val="clear" w:color="auto" w:fill="auto"/>
            <w:vAlign w:val="center"/>
            <w:hideMark/>
          </w:tcPr>
          <w:p w14:paraId="778BE337"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Zysk netto</w:t>
            </w:r>
          </w:p>
        </w:tc>
        <w:tc>
          <w:tcPr>
            <w:tcW w:w="575" w:type="dxa"/>
            <w:tcBorders>
              <w:top w:val="nil"/>
              <w:left w:val="nil"/>
              <w:bottom w:val="single" w:sz="8" w:space="0" w:color="0077BD"/>
              <w:right w:val="single" w:sz="8" w:space="0" w:color="0077BD"/>
            </w:tcBorders>
            <w:shd w:val="clear" w:color="auto" w:fill="auto"/>
            <w:noWrap/>
            <w:vAlign w:val="center"/>
            <w:hideMark/>
          </w:tcPr>
          <w:p w14:paraId="4C98BC00"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nil"/>
              <w:left w:val="nil"/>
              <w:bottom w:val="single" w:sz="8" w:space="0" w:color="0077BD"/>
              <w:right w:val="single" w:sz="8" w:space="0" w:color="0077BD"/>
            </w:tcBorders>
            <w:shd w:val="clear" w:color="000000" w:fill="FFFFFF"/>
            <w:noWrap/>
            <w:vAlign w:val="center"/>
          </w:tcPr>
          <w:p w14:paraId="1A713221" w14:textId="095433A2" w:rsidR="00AC3172" w:rsidRPr="00A751C0" w:rsidRDefault="00047B0C" w:rsidP="00047B0C">
            <w:pPr>
              <w:jc w:val="right"/>
              <w:rPr>
                <w:rFonts w:cs="Calibri"/>
                <w:b/>
                <w:bCs/>
                <w:color w:val="000000" w:themeColor="text1"/>
                <w:sz w:val="13"/>
                <w:szCs w:val="13"/>
              </w:rPr>
            </w:pPr>
            <w:r w:rsidRPr="00A751C0">
              <w:rPr>
                <w:rFonts w:cs="Calibri"/>
                <w:b/>
                <w:bCs/>
                <w:color w:val="000000" w:themeColor="text1"/>
                <w:sz w:val="13"/>
                <w:szCs w:val="13"/>
              </w:rPr>
              <w:t>1 010</w:t>
            </w:r>
            <w:r w:rsidR="00AC3172" w:rsidRPr="00A751C0">
              <w:rPr>
                <w:rFonts w:cs="Calibri"/>
                <w:b/>
                <w:bCs/>
                <w:color w:val="000000" w:themeColor="text1"/>
                <w:sz w:val="13"/>
                <w:szCs w:val="13"/>
              </w:rPr>
              <w:t xml:space="preserve"> </w:t>
            </w:r>
            <w:r w:rsidRPr="00A751C0">
              <w:rPr>
                <w:rFonts w:cs="Calibri"/>
                <w:b/>
                <w:bCs/>
                <w:color w:val="000000" w:themeColor="text1"/>
                <w:sz w:val="13"/>
                <w:szCs w:val="13"/>
              </w:rPr>
              <w:t>252</w:t>
            </w:r>
          </w:p>
        </w:tc>
        <w:tc>
          <w:tcPr>
            <w:tcW w:w="1439" w:type="dxa"/>
            <w:tcBorders>
              <w:top w:val="nil"/>
              <w:left w:val="nil"/>
              <w:bottom w:val="single" w:sz="8" w:space="0" w:color="0077BD"/>
              <w:right w:val="nil"/>
            </w:tcBorders>
            <w:shd w:val="clear" w:color="000000" w:fill="FFFFFF"/>
            <w:noWrap/>
            <w:vAlign w:val="center"/>
            <w:hideMark/>
          </w:tcPr>
          <w:p w14:paraId="039CE592" w14:textId="076B01B0"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1 302 704</w:t>
            </w:r>
          </w:p>
        </w:tc>
      </w:tr>
      <w:tr w:rsidR="00A751C0" w:rsidRPr="00A751C0" w14:paraId="6070686E" w14:textId="77777777" w:rsidTr="009834E7">
        <w:trPr>
          <w:trHeight w:val="255"/>
        </w:trPr>
        <w:tc>
          <w:tcPr>
            <w:tcW w:w="6187" w:type="dxa"/>
            <w:tcBorders>
              <w:top w:val="nil"/>
              <w:left w:val="nil"/>
              <w:bottom w:val="single" w:sz="8" w:space="0" w:color="0077BD"/>
              <w:right w:val="nil"/>
            </w:tcBorders>
            <w:shd w:val="clear" w:color="000000" w:fill="FFFFFF"/>
            <w:vAlign w:val="center"/>
            <w:hideMark/>
          </w:tcPr>
          <w:p w14:paraId="210B520E" w14:textId="77777777" w:rsidR="00DE6419" w:rsidRPr="00A751C0" w:rsidRDefault="00DE6419" w:rsidP="00DE6419">
            <w:pPr>
              <w:rPr>
                <w:rFonts w:cs="Calibri"/>
                <w:b/>
                <w:bCs/>
                <w:color w:val="000000" w:themeColor="text1"/>
                <w:sz w:val="13"/>
                <w:szCs w:val="13"/>
              </w:rPr>
            </w:pPr>
            <w:r w:rsidRPr="00A751C0">
              <w:rPr>
                <w:rFonts w:cs="Calibri"/>
                <w:b/>
                <w:bCs/>
                <w:color w:val="000000" w:themeColor="text1"/>
                <w:sz w:val="13"/>
                <w:szCs w:val="13"/>
              </w:rPr>
              <w:t>Zysk netto przypadający na:</w:t>
            </w:r>
          </w:p>
        </w:tc>
        <w:tc>
          <w:tcPr>
            <w:tcW w:w="575" w:type="dxa"/>
            <w:tcBorders>
              <w:top w:val="nil"/>
              <w:left w:val="nil"/>
              <w:bottom w:val="single" w:sz="8" w:space="0" w:color="0077BD"/>
              <w:right w:val="nil"/>
            </w:tcBorders>
            <w:shd w:val="clear" w:color="auto" w:fill="auto"/>
            <w:noWrap/>
            <w:vAlign w:val="center"/>
            <w:hideMark/>
          </w:tcPr>
          <w:p w14:paraId="4A57ACBD" w14:textId="77777777" w:rsidR="00DE6419" w:rsidRPr="00A751C0" w:rsidRDefault="00DE6419" w:rsidP="00DE6419">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nil"/>
              <w:left w:val="nil"/>
              <w:bottom w:val="single" w:sz="8" w:space="0" w:color="0077BD"/>
              <w:right w:val="nil"/>
            </w:tcBorders>
            <w:shd w:val="clear" w:color="000000" w:fill="FFFFFF"/>
            <w:noWrap/>
            <w:vAlign w:val="center"/>
          </w:tcPr>
          <w:p w14:paraId="208ABDB5" w14:textId="7891CC1C" w:rsidR="00DE6419" w:rsidRPr="00A751C0" w:rsidRDefault="00DE6419" w:rsidP="00DE6419">
            <w:pPr>
              <w:jc w:val="right"/>
              <w:rPr>
                <w:rFonts w:cs="Calibri"/>
                <w:b/>
                <w:bCs/>
                <w:color w:val="000000" w:themeColor="text1"/>
                <w:sz w:val="13"/>
                <w:szCs w:val="13"/>
              </w:rPr>
            </w:pPr>
          </w:p>
        </w:tc>
        <w:tc>
          <w:tcPr>
            <w:tcW w:w="1439" w:type="dxa"/>
            <w:tcBorders>
              <w:top w:val="nil"/>
              <w:left w:val="nil"/>
              <w:bottom w:val="single" w:sz="8" w:space="0" w:color="0077BD"/>
              <w:right w:val="nil"/>
            </w:tcBorders>
            <w:shd w:val="clear" w:color="000000" w:fill="FFFFFF"/>
            <w:noWrap/>
            <w:vAlign w:val="center"/>
            <w:hideMark/>
          </w:tcPr>
          <w:p w14:paraId="059C8394" w14:textId="77777777" w:rsidR="00DE6419" w:rsidRPr="00A751C0" w:rsidRDefault="00DE6419" w:rsidP="00DE6419">
            <w:pPr>
              <w:jc w:val="right"/>
              <w:rPr>
                <w:rFonts w:cs="Calibri"/>
                <w:b/>
                <w:bCs/>
                <w:color w:val="000000" w:themeColor="text1"/>
                <w:sz w:val="13"/>
                <w:szCs w:val="13"/>
              </w:rPr>
            </w:pPr>
            <w:r w:rsidRPr="00A751C0">
              <w:rPr>
                <w:rFonts w:cs="Calibri"/>
                <w:b/>
                <w:bCs/>
                <w:color w:val="000000" w:themeColor="text1"/>
                <w:sz w:val="13"/>
                <w:szCs w:val="13"/>
              </w:rPr>
              <w:t> </w:t>
            </w:r>
          </w:p>
        </w:tc>
      </w:tr>
      <w:tr w:rsidR="00A751C0" w:rsidRPr="00A751C0" w14:paraId="09A3A926" w14:textId="77777777" w:rsidTr="009834E7">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53632F7B"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 akcjonariuszy mBanku S.A.</w:t>
            </w:r>
          </w:p>
        </w:tc>
        <w:tc>
          <w:tcPr>
            <w:tcW w:w="575" w:type="dxa"/>
            <w:tcBorders>
              <w:top w:val="single" w:sz="4" w:space="0" w:color="0077BD"/>
              <w:left w:val="nil"/>
              <w:bottom w:val="single" w:sz="4" w:space="0" w:color="0077BD"/>
              <w:right w:val="nil"/>
            </w:tcBorders>
            <w:shd w:val="clear" w:color="auto" w:fill="auto"/>
            <w:noWrap/>
            <w:vAlign w:val="center"/>
            <w:hideMark/>
          </w:tcPr>
          <w:p w14:paraId="1F2174A0"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4" w:space="0" w:color="0077BD"/>
              <w:left w:val="single" w:sz="8" w:space="0" w:color="0077BD"/>
              <w:bottom w:val="single" w:sz="4" w:space="0" w:color="0077BD"/>
              <w:right w:val="nil"/>
            </w:tcBorders>
            <w:shd w:val="clear" w:color="auto" w:fill="auto"/>
            <w:noWrap/>
            <w:vAlign w:val="center"/>
          </w:tcPr>
          <w:p w14:paraId="6183EA07" w14:textId="743E3F76" w:rsidR="00AC3172" w:rsidRPr="00A751C0" w:rsidRDefault="00047B0C" w:rsidP="00047B0C">
            <w:pPr>
              <w:jc w:val="right"/>
              <w:rPr>
                <w:rFonts w:cs="Calibri"/>
                <w:color w:val="000000" w:themeColor="text1"/>
                <w:sz w:val="13"/>
                <w:szCs w:val="13"/>
              </w:rPr>
            </w:pPr>
            <w:r w:rsidRPr="00A751C0">
              <w:rPr>
                <w:rFonts w:cs="Calibri"/>
                <w:color w:val="000000" w:themeColor="text1"/>
                <w:sz w:val="13"/>
                <w:szCs w:val="13"/>
              </w:rPr>
              <w:t>1 010</w:t>
            </w:r>
            <w:r w:rsidR="00AC3172" w:rsidRPr="00A751C0">
              <w:rPr>
                <w:rFonts w:cs="Calibri"/>
                <w:color w:val="000000" w:themeColor="text1"/>
                <w:sz w:val="13"/>
                <w:szCs w:val="13"/>
              </w:rPr>
              <w:t xml:space="preserve"> </w:t>
            </w:r>
            <w:r w:rsidRPr="00A751C0">
              <w:rPr>
                <w:rFonts w:cs="Calibri"/>
                <w:color w:val="000000" w:themeColor="text1"/>
                <w:sz w:val="13"/>
                <w:szCs w:val="13"/>
              </w:rPr>
              <w:t>350</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1CB5E876" w14:textId="7E4E4D8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1 302 786</w:t>
            </w:r>
          </w:p>
        </w:tc>
      </w:tr>
      <w:tr w:rsidR="00A751C0" w:rsidRPr="00A751C0" w14:paraId="146519F9" w14:textId="77777777" w:rsidTr="00552529">
        <w:trPr>
          <w:trHeight w:val="255"/>
        </w:trPr>
        <w:tc>
          <w:tcPr>
            <w:tcW w:w="6187" w:type="dxa"/>
            <w:tcBorders>
              <w:top w:val="nil"/>
              <w:left w:val="nil"/>
              <w:bottom w:val="single" w:sz="8" w:space="0" w:color="0077BD"/>
              <w:right w:val="single" w:sz="8" w:space="0" w:color="0077BD"/>
            </w:tcBorders>
            <w:shd w:val="clear" w:color="auto" w:fill="auto"/>
            <w:vAlign w:val="center"/>
            <w:hideMark/>
          </w:tcPr>
          <w:p w14:paraId="669CC5B5" w14:textId="77777777" w:rsidR="00AC3172" w:rsidRPr="00A751C0" w:rsidRDefault="00AC3172" w:rsidP="00AC3172">
            <w:pPr>
              <w:rPr>
                <w:rFonts w:cs="Calibri"/>
                <w:color w:val="000000" w:themeColor="text1"/>
                <w:sz w:val="13"/>
                <w:szCs w:val="13"/>
              </w:rPr>
            </w:pPr>
            <w:r w:rsidRPr="00A751C0">
              <w:rPr>
                <w:rFonts w:cs="Calibri"/>
                <w:color w:val="000000" w:themeColor="text1"/>
                <w:sz w:val="13"/>
                <w:szCs w:val="13"/>
              </w:rPr>
              <w:t>- udziały niekontrolujące</w:t>
            </w:r>
          </w:p>
        </w:tc>
        <w:tc>
          <w:tcPr>
            <w:tcW w:w="575" w:type="dxa"/>
            <w:tcBorders>
              <w:top w:val="nil"/>
              <w:left w:val="nil"/>
              <w:bottom w:val="single" w:sz="8" w:space="0" w:color="0077BD"/>
              <w:right w:val="single" w:sz="8" w:space="0" w:color="0077BD"/>
            </w:tcBorders>
            <w:shd w:val="clear" w:color="auto" w:fill="auto"/>
            <w:noWrap/>
            <w:vAlign w:val="center"/>
            <w:hideMark/>
          </w:tcPr>
          <w:p w14:paraId="2759A5B8"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nil"/>
              <w:left w:val="single" w:sz="8" w:space="0" w:color="0077BD"/>
              <w:bottom w:val="single" w:sz="8" w:space="0" w:color="0077BD"/>
              <w:right w:val="nil"/>
            </w:tcBorders>
            <w:shd w:val="clear" w:color="auto" w:fill="auto"/>
            <w:noWrap/>
            <w:vAlign w:val="center"/>
          </w:tcPr>
          <w:p w14:paraId="35374C13" w14:textId="6DB58F86"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(98)</w:t>
            </w:r>
          </w:p>
        </w:tc>
        <w:tc>
          <w:tcPr>
            <w:tcW w:w="1439" w:type="dxa"/>
            <w:tcBorders>
              <w:top w:val="nil"/>
              <w:left w:val="single" w:sz="8" w:space="0" w:color="0077BD"/>
              <w:bottom w:val="single" w:sz="8" w:space="0" w:color="0077BD"/>
              <w:right w:val="nil"/>
            </w:tcBorders>
            <w:shd w:val="clear" w:color="auto" w:fill="auto"/>
            <w:noWrap/>
            <w:vAlign w:val="center"/>
            <w:hideMark/>
          </w:tcPr>
          <w:p w14:paraId="256E52A4" w14:textId="77777777" w:rsidR="00AC3172" w:rsidRPr="00A751C0" w:rsidRDefault="00AC3172" w:rsidP="00AC3172">
            <w:pPr>
              <w:jc w:val="right"/>
              <w:rPr>
                <w:rFonts w:cs="Calibri"/>
                <w:color w:val="000000" w:themeColor="text1"/>
                <w:sz w:val="13"/>
                <w:szCs w:val="13"/>
              </w:rPr>
            </w:pPr>
            <w:r w:rsidRPr="00A751C0">
              <w:rPr>
                <w:rFonts w:cs="Calibri"/>
                <w:color w:val="000000" w:themeColor="text1"/>
                <w:sz w:val="13"/>
                <w:szCs w:val="13"/>
              </w:rPr>
              <w:t>(82)</w:t>
            </w:r>
          </w:p>
        </w:tc>
      </w:tr>
      <w:tr w:rsidR="00A751C0" w:rsidRPr="00A751C0" w14:paraId="448020FB" w14:textId="77777777" w:rsidTr="009834E7">
        <w:trPr>
          <w:trHeight w:val="20"/>
        </w:trPr>
        <w:tc>
          <w:tcPr>
            <w:tcW w:w="6187" w:type="dxa"/>
            <w:tcBorders>
              <w:top w:val="nil"/>
              <w:left w:val="nil"/>
              <w:bottom w:val="nil"/>
              <w:right w:val="nil"/>
            </w:tcBorders>
            <w:shd w:val="clear" w:color="000000" w:fill="FFFFFF"/>
            <w:noWrap/>
            <w:vAlign w:val="bottom"/>
          </w:tcPr>
          <w:p w14:paraId="05A2285F" w14:textId="7F998683" w:rsidR="00AC3172" w:rsidRPr="00A751C0" w:rsidRDefault="00AC3172" w:rsidP="00AC3172">
            <w:pPr>
              <w:rPr>
                <w:rFonts w:cs="Calibri"/>
                <w:color w:val="000000" w:themeColor="text1"/>
                <w:sz w:val="13"/>
                <w:szCs w:val="13"/>
              </w:rPr>
            </w:pPr>
          </w:p>
        </w:tc>
        <w:tc>
          <w:tcPr>
            <w:tcW w:w="575" w:type="dxa"/>
            <w:tcBorders>
              <w:top w:val="nil"/>
              <w:left w:val="nil"/>
              <w:bottom w:val="nil"/>
              <w:right w:val="nil"/>
            </w:tcBorders>
            <w:shd w:val="clear" w:color="auto" w:fill="auto"/>
            <w:noWrap/>
            <w:vAlign w:val="bottom"/>
          </w:tcPr>
          <w:p w14:paraId="38F37FDB" w14:textId="77777777" w:rsidR="00AC3172" w:rsidRPr="00A751C0" w:rsidRDefault="00AC3172" w:rsidP="00AC3172">
            <w:pPr>
              <w:rPr>
                <w:rFonts w:cs="Calibri"/>
                <w:color w:val="000000" w:themeColor="text1"/>
                <w:sz w:val="13"/>
                <w:szCs w:val="13"/>
              </w:rPr>
            </w:pPr>
          </w:p>
        </w:tc>
        <w:tc>
          <w:tcPr>
            <w:tcW w:w="1439" w:type="dxa"/>
            <w:tcBorders>
              <w:top w:val="nil"/>
              <w:left w:val="nil"/>
              <w:bottom w:val="nil"/>
              <w:right w:val="nil"/>
            </w:tcBorders>
            <w:shd w:val="clear" w:color="000000" w:fill="FFFFFF"/>
            <w:noWrap/>
            <w:vAlign w:val="bottom"/>
          </w:tcPr>
          <w:p w14:paraId="707CC900" w14:textId="59070DF1" w:rsidR="00AC3172" w:rsidRPr="00A751C0" w:rsidRDefault="00AC3172" w:rsidP="00AC3172">
            <w:pPr>
              <w:rPr>
                <w:rFonts w:cs="Calibri"/>
                <w:i/>
                <w:iCs/>
                <w:color w:val="000000" w:themeColor="text1"/>
                <w:sz w:val="13"/>
                <w:szCs w:val="13"/>
              </w:rPr>
            </w:pPr>
          </w:p>
        </w:tc>
        <w:tc>
          <w:tcPr>
            <w:tcW w:w="1439" w:type="dxa"/>
            <w:tcBorders>
              <w:top w:val="nil"/>
              <w:left w:val="nil"/>
              <w:bottom w:val="nil"/>
              <w:right w:val="nil"/>
            </w:tcBorders>
            <w:shd w:val="clear" w:color="000000" w:fill="FFFFFF"/>
            <w:noWrap/>
            <w:vAlign w:val="bottom"/>
          </w:tcPr>
          <w:p w14:paraId="7E37FA09" w14:textId="549E6C8D" w:rsidR="00AC3172" w:rsidRPr="00A751C0" w:rsidRDefault="00AC3172" w:rsidP="00AC3172">
            <w:pPr>
              <w:rPr>
                <w:rFonts w:cs="Calibri"/>
                <w:i/>
                <w:iCs/>
                <w:color w:val="000000" w:themeColor="text1"/>
                <w:sz w:val="13"/>
                <w:szCs w:val="13"/>
              </w:rPr>
            </w:pPr>
          </w:p>
        </w:tc>
      </w:tr>
      <w:tr w:rsidR="00A751C0" w:rsidRPr="00A751C0" w14:paraId="1F55C8DE" w14:textId="77777777" w:rsidTr="001374D4">
        <w:trPr>
          <w:trHeight w:val="255"/>
        </w:trPr>
        <w:tc>
          <w:tcPr>
            <w:tcW w:w="6187" w:type="dxa"/>
            <w:tcBorders>
              <w:top w:val="single" w:sz="8" w:space="0" w:color="0077BD"/>
              <w:left w:val="nil"/>
              <w:bottom w:val="single" w:sz="4" w:space="0" w:color="0077BD"/>
              <w:right w:val="single" w:sz="8" w:space="0" w:color="0077BD"/>
            </w:tcBorders>
            <w:shd w:val="clear" w:color="auto" w:fill="auto"/>
            <w:vAlign w:val="center"/>
            <w:hideMark/>
          </w:tcPr>
          <w:p w14:paraId="027E24D0"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Zysk netto przypadający na akcjonariuszy mBanku S.A.</w:t>
            </w:r>
          </w:p>
        </w:tc>
        <w:tc>
          <w:tcPr>
            <w:tcW w:w="575" w:type="dxa"/>
            <w:tcBorders>
              <w:top w:val="single" w:sz="8" w:space="0" w:color="0077BD"/>
              <w:left w:val="nil"/>
              <w:bottom w:val="single" w:sz="4" w:space="0" w:color="0077BD"/>
              <w:right w:val="single" w:sz="8" w:space="0" w:color="0077BD"/>
            </w:tcBorders>
            <w:shd w:val="clear" w:color="auto" w:fill="auto"/>
            <w:noWrap/>
            <w:vAlign w:val="center"/>
            <w:hideMark/>
          </w:tcPr>
          <w:p w14:paraId="3C56FB0E"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 </w:t>
            </w:r>
          </w:p>
        </w:tc>
        <w:tc>
          <w:tcPr>
            <w:tcW w:w="1439"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6FEA2A77" w14:textId="22872BD7" w:rsidR="00AC3172" w:rsidRPr="00A751C0" w:rsidRDefault="00047B0C" w:rsidP="00047B0C">
            <w:pPr>
              <w:jc w:val="right"/>
              <w:rPr>
                <w:rFonts w:cs="Calibri"/>
                <w:b/>
                <w:bCs/>
                <w:color w:val="000000" w:themeColor="text1"/>
                <w:sz w:val="13"/>
                <w:szCs w:val="13"/>
              </w:rPr>
            </w:pPr>
            <w:r w:rsidRPr="00A751C0">
              <w:rPr>
                <w:rFonts w:cs="Calibri"/>
                <w:b/>
                <w:bCs/>
                <w:color w:val="000000" w:themeColor="text1"/>
                <w:sz w:val="13"/>
                <w:szCs w:val="13"/>
              </w:rPr>
              <w:t>1 010</w:t>
            </w:r>
            <w:r w:rsidR="00AC3172" w:rsidRPr="00A751C0">
              <w:rPr>
                <w:rFonts w:cs="Calibri"/>
                <w:b/>
                <w:bCs/>
                <w:color w:val="000000" w:themeColor="text1"/>
                <w:sz w:val="13"/>
                <w:szCs w:val="13"/>
              </w:rPr>
              <w:t xml:space="preserve"> </w:t>
            </w:r>
            <w:r w:rsidRPr="00A751C0">
              <w:rPr>
                <w:rFonts w:cs="Calibri"/>
                <w:b/>
                <w:bCs/>
                <w:color w:val="000000" w:themeColor="text1"/>
                <w:sz w:val="13"/>
                <w:szCs w:val="13"/>
              </w:rPr>
              <w:t>350</w:t>
            </w:r>
          </w:p>
        </w:tc>
        <w:tc>
          <w:tcPr>
            <w:tcW w:w="1439" w:type="dxa"/>
            <w:tcBorders>
              <w:top w:val="single" w:sz="8" w:space="0" w:color="0077BD"/>
              <w:left w:val="single" w:sz="8" w:space="0" w:color="0077BD"/>
              <w:bottom w:val="single" w:sz="4" w:space="0" w:color="0077BD"/>
              <w:right w:val="nil"/>
            </w:tcBorders>
            <w:shd w:val="clear" w:color="auto" w:fill="auto"/>
            <w:noWrap/>
            <w:vAlign w:val="center"/>
            <w:hideMark/>
          </w:tcPr>
          <w:p w14:paraId="056C1B09" w14:textId="7B664D80"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1 302 786</w:t>
            </w:r>
          </w:p>
        </w:tc>
      </w:tr>
      <w:tr w:rsidR="00A751C0" w:rsidRPr="00A751C0" w14:paraId="0360CC69" w14:textId="77777777" w:rsidTr="001374D4">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3907A0A6"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Średnia ważona liczba akcji zwykłych</w:t>
            </w:r>
          </w:p>
        </w:tc>
        <w:tc>
          <w:tcPr>
            <w:tcW w:w="575" w:type="dxa"/>
            <w:tcBorders>
              <w:top w:val="single" w:sz="4" w:space="0" w:color="0077BD"/>
              <w:left w:val="nil"/>
              <w:bottom w:val="single" w:sz="4" w:space="0" w:color="0077BD"/>
              <w:right w:val="single" w:sz="8" w:space="0" w:color="0077BD"/>
            </w:tcBorders>
            <w:shd w:val="clear" w:color="auto" w:fill="auto"/>
            <w:noWrap/>
            <w:vAlign w:val="center"/>
            <w:hideMark/>
          </w:tcPr>
          <w:p w14:paraId="74AADC63"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17</w:t>
            </w:r>
          </w:p>
        </w:tc>
        <w:tc>
          <w:tcPr>
            <w:tcW w:w="1439"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9D5CB3B" w14:textId="4FA2F3CB" w:rsidR="00AC3172" w:rsidRPr="00A751C0" w:rsidRDefault="00422448" w:rsidP="00422448">
            <w:pPr>
              <w:jc w:val="right"/>
              <w:rPr>
                <w:rFonts w:cs="Calibri"/>
                <w:b/>
                <w:bCs/>
                <w:color w:val="000000" w:themeColor="text1"/>
                <w:sz w:val="13"/>
                <w:szCs w:val="13"/>
              </w:rPr>
            </w:pPr>
            <w:r>
              <w:rPr>
                <w:rFonts w:cs="Calibri"/>
                <w:b/>
                <w:bCs/>
                <w:color w:val="000000" w:themeColor="text1"/>
                <w:sz w:val="13"/>
                <w:szCs w:val="13"/>
              </w:rPr>
              <w:t>42 340</w:t>
            </w:r>
            <w:r w:rsidR="00AC3172" w:rsidRPr="00A751C0">
              <w:rPr>
                <w:rFonts w:cs="Calibri"/>
                <w:b/>
                <w:bCs/>
                <w:color w:val="000000" w:themeColor="text1"/>
                <w:sz w:val="13"/>
                <w:szCs w:val="13"/>
              </w:rPr>
              <w:t xml:space="preserve"> </w:t>
            </w:r>
            <w:r>
              <w:rPr>
                <w:rFonts w:cs="Calibri"/>
                <w:b/>
                <w:bCs/>
                <w:color w:val="000000" w:themeColor="text1"/>
                <w:sz w:val="13"/>
                <w:szCs w:val="13"/>
              </w:rPr>
              <w:t>263</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79E28DA4" w14:textId="1B8CE27B"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42 318 253</w:t>
            </w:r>
          </w:p>
        </w:tc>
      </w:tr>
      <w:tr w:rsidR="00A751C0" w:rsidRPr="00A751C0" w14:paraId="2F91AA50" w14:textId="77777777" w:rsidTr="001374D4">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338E8720"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Zysk na jedną akcję zwykłą (w zł)</w:t>
            </w:r>
          </w:p>
        </w:tc>
        <w:tc>
          <w:tcPr>
            <w:tcW w:w="575" w:type="dxa"/>
            <w:tcBorders>
              <w:top w:val="single" w:sz="4" w:space="0" w:color="0077BD"/>
              <w:left w:val="nil"/>
              <w:bottom w:val="single" w:sz="4" w:space="0" w:color="0077BD"/>
              <w:right w:val="single" w:sz="8" w:space="0" w:color="0077BD"/>
            </w:tcBorders>
            <w:shd w:val="clear" w:color="auto" w:fill="auto"/>
            <w:noWrap/>
            <w:vAlign w:val="center"/>
            <w:hideMark/>
          </w:tcPr>
          <w:p w14:paraId="7DE2AC31"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17</w:t>
            </w:r>
          </w:p>
        </w:tc>
        <w:tc>
          <w:tcPr>
            <w:tcW w:w="1439"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BF4BE45" w14:textId="56E1C36D" w:rsidR="00AC3172" w:rsidRPr="00A751C0" w:rsidRDefault="00AC3172" w:rsidP="00422448">
            <w:pPr>
              <w:jc w:val="right"/>
              <w:rPr>
                <w:rFonts w:cs="Calibri"/>
                <w:b/>
                <w:bCs/>
                <w:color w:val="000000" w:themeColor="text1"/>
                <w:sz w:val="13"/>
                <w:szCs w:val="13"/>
              </w:rPr>
            </w:pPr>
            <w:r w:rsidRPr="00A751C0">
              <w:rPr>
                <w:rFonts w:cs="Calibri"/>
                <w:b/>
                <w:bCs/>
                <w:color w:val="000000" w:themeColor="text1"/>
                <w:sz w:val="13"/>
                <w:szCs w:val="13"/>
              </w:rPr>
              <w:t>23,8</w:t>
            </w:r>
            <w:r w:rsidR="00422448">
              <w:rPr>
                <w:rFonts w:cs="Calibri"/>
                <w:b/>
                <w:bCs/>
                <w:color w:val="000000" w:themeColor="text1"/>
                <w:sz w:val="13"/>
                <w:szCs w:val="13"/>
              </w:rPr>
              <w:t>6</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7734619D" w14:textId="5BBCAAD3"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30,79</w:t>
            </w:r>
          </w:p>
        </w:tc>
      </w:tr>
      <w:tr w:rsidR="00A751C0" w:rsidRPr="00A751C0" w14:paraId="01BE4F85" w14:textId="77777777" w:rsidTr="001374D4">
        <w:trPr>
          <w:trHeight w:val="255"/>
        </w:trPr>
        <w:tc>
          <w:tcPr>
            <w:tcW w:w="6187" w:type="dxa"/>
            <w:tcBorders>
              <w:top w:val="single" w:sz="4" w:space="0" w:color="0077BD"/>
              <w:left w:val="nil"/>
              <w:bottom w:val="single" w:sz="4" w:space="0" w:color="0077BD"/>
              <w:right w:val="single" w:sz="8" w:space="0" w:color="0077BD"/>
            </w:tcBorders>
            <w:shd w:val="clear" w:color="auto" w:fill="auto"/>
            <w:vAlign w:val="center"/>
            <w:hideMark/>
          </w:tcPr>
          <w:p w14:paraId="023F96A8"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Średnia ważona rozwodniona liczba akcji zwykłych</w:t>
            </w:r>
          </w:p>
        </w:tc>
        <w:tc>
          <w:tcPr>
            <w:tcW w:w="575" w:type="dxa"/>
            <w:tcBorders>
              <w:top w:val="single" w:sz="4" w:space="0" w:color="0077BD"/>
              <w:left w:val="nil"/>
              <w:bottom w:val="single" w:sz="4" w:space="0" w:color="0077BD"/>
              <w:right w:val="single" w:sz="8" w:space="0" w:color="0077BD"/>
            </w:tcBorders>
            <w:shd w:val="clear" w:color="auto" w:fill="auto"/>
            <w:noWrap/>
            <w:vAlign w:val="center"/>
            <w:hideMark/>
          </w:tcPr>
          <w:p w14:paraId="5C836B78"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17</w:t>
            </w:r>
          </w:p>
        </w:tc>
        <w:tc>
          <w:tcPr>
            <w:tcW w:w="1439"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8BEBC87" w14:textId="7E7250FE"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42 358 529</w:t>
            </w:r>
          </w:p>
        </w:tc>
        <w:tc>
          <w:tcPr>
            <w:tcW w:w="1439" w:type="dxa"/>
            <w:tcBorders>
              <w:top w:val="single" w:sz="4" w:space="0" w:color="0077BD"/>
              <w:left w:val="single" w:sz="8" w:space="0" w:color="0077BD"/>
              <w:bottom w:val="single" w:sz="4" w:space="0" w:color="0077BD"/>
              <w:right w:val="nil"/>
            </w:tcBorders>
            <w:shd w:val="clear" w:color="auto" w:fill="auto"/>
            <w:noWrap/>
            <w:vAlign w:val="center"/>
            <w:hideMark/>
          </w:tcPr>
          <w:p w14:paraId="08536109" w14:textId="3EB177CB"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42 343 775</w:t>
            </w:r>
          </w:p>
        </w:tc>
      </w:tr>
      <w:tr w:rsidR="00A751C0" w:rsidRPr="00A751C0" w14:paraId="4AFA04F3" w14:textId="77777777" w:rsidTr="001374D4">
        <w:trPr>
          <w:trHeight w:val="255"/>
        </w:trPr>
        <w:tc>
          <w:tcPr>
            <w:tcW w:w="6187" w:type="dxa"/>
            <w:tcBorders>
              <w:top w:val="single" w:sz="4" w:space="0" w:color="0077BD"/>
              <w:left w:val="nil"/>
              <w:bottom w:val="single" w:sz="8" w:space="0" w:color="0077BD"/>
              <w:right w:val="single" w:sz="8" w:space="0" w:color="0077BD"/>
            </w:tcBorders>
            <w:shd w:val="clear" w:color="auto" w:fill="auto"/>
            <w:vAlign w:val="center"/>
            <w:hideMark/>
          </w:tcPr>
          <w:p w14:paraId="7CFD4C19" w14:textId="77777777" w:rsidR="00AC3172" w:rsidRPr="00A751C0" w:rsidRDefault="00AC3172" w:rsidP="00AC3172">
            <w:pPr>
              <w:rPr>
                <w:rFonts w:cs="Calibri"/>
                <w:b/>
                <w:bCs/>
                <w:color w:val="000000" w:themeColor="text1"/>
                <w:sz w:val="13"/>
                <w:szCs w:val="13"/>
              </w:rPr>
            </w:pPr>
            <w:r w:rsidRPr="00A751C0">
              <w:rPr>
                <w:rFonts w:cs="Calibri"/>
                <w:b/>
                <w:bCs/>
                <w:color w:val="000000" w:themeColor="text1"/>
                <w:sz w:val="13"/>
                <w:szCs w:val="13"/>
              </w:rPr>
              <w:t>Rozwodniony zysk na jedną akcję zwykłą (w zł)</w:t>
            </w:r>
          </w:p>
        </w:tc>
        <w:tc>
          <w:tcPr>
            <w:tcW w:w="575" w:type="dxa"/>
            <w:tcBorders>
              <w:top w:val="single" w:sz="4" w:space="0" w:color="0077BD"/>
              <w:left w:val="nil"/>
              <w:bottom w:val="single" w:sz="8" w:space="0" w:color="0077BD"/>
              <w:right w:val="single" w:sz="8" w:space="0" w:color="0077BD"/>
            </w:tcBorders>
            <w:shd w:val="clear" w:color="auto" w:fill="auto"/>
            <w:noWrap/>
            <w:vAlign w:val="center"/>
            <w:hideMark/>
          </w:tcPr>
          <w:p w14:paraId="1C5D506D" w14:textId="77777777" w:rsidR="00AC3172" w:rsidRPr="00A751C0" w:rsidRDefault="00AC3172" w:rsidP="00AC3172">
            <w:pPr>
              <w:jc w:val="center"/>
              <w:rPr>
                <w:rFonts w:cs="Calibri"/>
                <w:b/>
                <w:bCs/>
                <w:color w:val="000000" w:themeColor="text1"/>
                <w:sz w:val="13"/>
                <w:szCs w:val="13"/>
              </w:rPr>
            </w:pPr>
            <w:r w:rsidRPr="00A751C0">
              <w:rPr>
                <w:rFonts w:cs="Calibri"/>
                <w:b/>
                <w:bCs/>
                <w:color w:val="000000" w:themeColor="text1"/>
                <w:sz w:val="13"/>
                <w:szCs w:val="13"/>
              </w:rPr>
              <w:t>17</w:t>
            </w:r>
          </w:p>
        </w:tc>
        <w:tc>
          <w:tcPr>
            <w:tcW w:w="1439"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42E31B06" w14:textId="0EF88DD1" w:rsidR="00AC3172" w:rsidRPr="00A751C0" w:rsidRDefault="00AC3172" w:rsidP="00422448">
            <w:pPr>
              <w:jc w:val="right"/>
              <w:rPr>
                <w:rFonts w:cs="Calibri"/>
                <w:b/>
                <w:bCs/>
                <w:color w:val="000000" w:themeColor="text1"/>
                <w:sz w:val="13"/>
                <w:szCs w:val="13"/>
              </w:rPr>
            </w:pPr>
            <w:r w:rsidRPr="00A751C0">
              <w:rPr>
                <w:rFonts w:cs="Calibri"/>
                <w:b/>
                <w:bCs/>
                <w:color w:val="000000" w:themeColor="text1"/>
                <w:sz w:val="13"/>
                <w:szCs w:val="13"/>
              </w:rPr>
              <w:t>23,8</w:t>
            </w:r>
            <w:r w:rsidR="00422448">
              <w:rPr>
                <w:rFonts w:cs="Calibri"/>
                <w:b/>
                <w:bCs/>
                <w:color w:val="000000" w:themeColor="text1"/>
                <w:sz w:val="13"/>
                <w:szCs w:val="13"/>
              </w:rPr>
              <w:t>5</w:t>
            </w:r>
          </w:p>
        </w:tc>
        <w:tc>
          <w:tcPr>
            <w:tcW w:w="1439" w:type="dxa"/>
            <w:tcBorders>
              <w:top w:val="single" w:sz="4" w:space="0" w:color="0077BD"/>
              <w:left w:val="single" w:sz="8" w:space="0" w:color="0077BD"/>
              <w:bottom w:val="single" w:sz="8" w:space="0" w:color="0077BD"/>
              <w:right w:val="nil"/>
            </w:tcBorders>
            <w:shd w:val="clear" w:color="auto" w:fill="auto"/>
            <w:noWrap/>
            <w:vAlign w:val="center"/>
            <w:hideMark/>
          </w:tcPr>
          <w:p w14:paraId="1D907C37" w14:textId="6DB24781" w:rsidR="00AC3172" w:rsidRPr="00A751C0" w:rsidRDefault="00AC3172" w:rsidP="00AC3172">
            <w:pPr>
              <w:jc w:val="right"/>
              <w:rPr>
                <w:rFonts w:cs="Calibri"/>
                <w:b/>
                <w:bCs/>
                <w:color w:val="000000" w:themeColor="text1"/>
                <w:sz w:val="13"/>
                <w:szCs w:val="13"/>
              </w:rPr>
            </w:pPr>
            <w:r w:rsidRPr="00A751C0">
              <w:rPr>
                <w:rFonts w:cs="Calibri"/>
                <w:b/>
                <w:bCs/>
                <w:color w:val="000000" w:themeColor="text1"/>
                <w:sz w:val="13"/>
                <w:szCs w:val="13"/>
              </w:rPr>
              <w:t>30,77</w:t>
            </w:r>
          </w:p>
        </w:tc>
      </w:tr>
    </w:tbl>
    <w:p w14:paraId="4A451C81" w14:textId="77777777" w:rsidR="00CE1CEC" w:rsidRDefault="00CE1CEC" w:rsidP="00CC4739">
      <w:pPr>
        <w:tabs>
          <w:tab w:val="left" w:pos="1418"/>
        </w:tabs>
        <w:suppressAutoHyphens/>
        <w:spacing w:before="120"/>
        <w:jc w:val="both"/>
        <w:rPr>
          <w:rFonts w:cs="Tahoma"/>
          <w:color w:val="000000" w:themeColor="text1"/>
          <w:szCs w:val="16"/>
        </w:rPr>
      </w:pPr>
    </w:p>
    <w:p w14:paraId="06C9BB58" w14:textId="77777777" w:rsidR="00CE1CEC" w:rsidRDefault="00CE1CEC" w:rsidP="00CC4739">
      <w:pPr>
        <w:tabs>
          <w:tab w:val="left" w:pos="1418"/>
        </w:tabs>
        <w:suppressAutoHyphens/>
        <w:spacing w:before="120"/>
        <w:jc w:val="both"/>
        <w:rPr>
          <w:rFonts w:cs="Tahoma"/>
          <w:color w:val="000000" w:themeColor="text1"/>
          <w:szCs w:val="16"/>
        </w:rPr>
      </w:pPr>
    </w:p>
    <w:p w14:paraId="658C897D" w14:textId="77777777" w:rsidR="00CE1CEC" w:rsidRDefault="00CE1CEC" w:rsidP="00CC4739">
      <w:pPr>
        <w:tabs>
          <w:tab w:val="left" w:pos="1418"/>
        </w:tabs>
        <w:suppressAutoHyphens/>
        <w:spacing w:before="120"/>
        <w:jc w:val="both"/>
        <w:rPr>
          <w:rFonts w:cs="Tahoma"/>
          <w:color w:val="000000" w:themeColor="text1"/>
          <w:szCs w:val="16"/>
        </w:rPr>
      </w:pPr>
    </w:p>
    <w:p w14:paraId="0107A581" w14:textId="77777777" w:rsidR="00CE1CEC" w:rsidRDefault="00CE1CEC" w:rsidP="00CC4739">
      <w:pPr>
        <w:tabs>
          <w:tab w:val="left" w:pos="1418"/>
        </w:tabs>
        <w:suppressAutoHyphens/>
        <w:spacing w:before="120"/>
        <w:jc w:val="both"/>
        <w:rPr>
          <w:rFonts w:cs="Tahoma"/>
          <w:color w:val="000000" w:themeColor="text1"/>
          <w:szCs w:val="16"/>
        </w:rPr>
      </w:pPr>
    </w:p>
    <w:p w14:paraId="3A71DF32" w14:textId="77777777" w:rsidR="00CE1CEC" w:rsidRDefault="00CE1CEC" w:rsidP="00CC4739">
      <w:pPr>
        <w:tabs>
          <w:tab w:val="left" w:pos="1418"/>
        </w:tabs>
        <w:suppressAutoHyphens/>
        <w:spacing w:before="120"/>
        <w:jc w:val="both"/>
        <w:rPr>
          <w:rFonts w:cs="Tahoma"/>
          <w:color w:val="000000" w:themeColor="text1"/>
          <w:szCs w:val="16"/>
        </w:rPr>
      </w:pPr>
    </w:p>
    <w:p w14:paraId="2A3E66B7" w14:textId="0AB770DF" w:rsidR="00935B3E" w:rsidRPr="00A751C0" w:rsidRDefault="00CC4739" w:rsidP="00CC4739">
      <w:pPr>
        <w:tabs>
          <w:tab w:val="left" w:pos="1418"/>
        </w:tabs>
        <w:suppressAutoHyphens/>
        <w:spacing w:before="120"/>
        <w:jc w:val="both"/>
        <w:rPr>
          <w:rFonts w:cs="Tahoma"/>
          <w:color w:val="000000" w:themeColor="text1"/>
          <w:szCs w:val="16"/>
        </w:rPr>
      </w:pPr>
      <w:r w:rsidRPr="002A066F">
        <w:rPr>
          <w:rFonts w:cs="Tahoma"/>
          <w:color w:val="000000" w:themeColor="text1"/>
          <w:szCs w:val="16"/>
        </w:rPr>
        <w:t>N</w:t>
      </w:r>
      <w:r w:rsidR="00AB2629" w:rsidRPr="002A066F">
        <w:rPr>
          <w:rFonts w:cs="Tahoma"/>
          <w:color w:val="000000" w:themeColor="text1"/>
          <w:szCs w:val="16"/>
        </w:rPr>
        <w:t xml:space="preserve">oty przedstawione na stronach </w:t>
      </w:r>
      <w:r w:rsidR="001B4802">
        <w:rPr>
          <w:rFonts w:cs="Tahoma"/>
          <w:color w:val="000000" w:themeColor="text1"/>
          <w:szCs w:val="16"/>
        </w:rPr>
        <w:t>10</w:t>
      </w:r>
      <w:r w:rsidR="00A97A63" w:rsidRPr="002A066F">
        <w:rPr>
          <w:rFonts w:cs="Tahoma"/>
          <w:color w:val="000000" w:themeColor="text1"/>
          <w:szCs w:val="16"/>
        </w:rPr>
        <w:t xml:space="preserve"> - </w:t>
      </w:r>
      <w:r w:rsidR="005A393F">
        <w:rPr>
          <w:rFonts w:cs="Tahoma"/>
          <w:color w:val="000000" w:themeColor="text1"/>
          <w:szCs w:val="16"/>
        </w:rPr>
        <w:t>177</w:t>
      </w:r>
      <w:r w:rsidR="00AB2629" w:rsidRPr="002A066F">
        <w:rPr>
          <w:rFonts w:cs="Tahoma"/>
          <w:color w:val="000000" w:themeColor="text1"/>
          <w:szCs w:val="16"/>
        </w:rPr>
        <w:t xml:space="preserve"> stanowią integralną część niniejszego </w:t>
      </w:r>
      <w:r w:rsidR="00E775D8" w:rsidRPr="002A066F">
        <w:rPr>
          <w:rFonts w:cs="Tahoma"/>
          <w:color w:val="000000" w:themeColor="text1"/>
          <w:szCs w:val="16"/>
        </w:rPr>
        <w:t xml:space="preserve">skonsolidowanego </w:t>
      </w:r>
      <w:r w:rsidR="00AB2629" w:rsidRPr="002A066F">
        <w:rPr>
          <w:rFonts w:cs="Tahoma"/>
          <w:color w:val="000000" w:themeColor="text1"/>
          <w:szCs w:val="16"/>
        </w:rPr>
        <w:t>sprawozdania</w:t>
      </w:r>
      <w:r w:rsidR="00AB2629" w:rsidRPr="00A751C0">
        <w:rPr>
          <w:rFonts w:cs="Tahoma"/>
          <w:color w:val="000000" w:themeColor="text1"/>
          <w:szCs w:val="16"/>
        </w:rPr>
        <w:t xml:space="preserve"> finansowego.</w:t>
      </w:r>
    </w:p>
    <w:p w14:paraId="7B377A82" w14:textId="2756065A" w:rsidR="000F4BEE" w:rsidRPr="00783CC5" w:rsidRDefault="000F4BEE" w:rsidP="00CC4739">
      <w:pPr>
        <w:tabs>
          <w:tab w:val="left" w:pos="1418"/>
        </w:tabs>
        <w:suppressAutoHyphens/>
        <w:spacing w:before="120"/>
        <w:jc w:val="both"/>
        <w:rPr>
          <w:szCs w:val="16"/>
        </w:rPr>
      </w:pPr>
      <w:r w:rsidRPr="00783CC5">
        <w:rPr>
          <w:szCs w:val="16"/>
        </w:rPr>
        <w:br w:type="page"/>
      </w:r>
    </w:p>
    <w:p w14:paraId="1A63BAA0" w14:textId="77777777" w:rsidR="000F4BEE" w:rsidRPr="000C65B8" w:rsidRDefault="000F4BEE" w:rsidP="00A82642">
      <w:pPr>
        <w:pStyle w:val="Nagwek2"/>
        <w:numPr>
          <w:ilvl w:val="0"/>
          <w:numId w:val="0"/>
        </w:numPr>
        <w:spacing w:before="0" w:after="0"/>
        <w:jc w:val="both"/>
      </w:pPr>
      <w:bookmarkStart w:id="5" w:name="_Toc32999782"/>
      <w:r w:rsidRPr="000C65B8">
        <w:lastRenderedPageBreak/>
        <w:t>Skonsolidowane sprawozdanie z całkowitych dochodów</w:t>
      </w:r>
      <w:bookmarkEnd w:id="5"/>
    </w:p>
    <w:p w14:paraId="08E33BB0" w14:textId="335E2D85" w:rsidR="000F4BEE" w:rsidRPr="000C65B8" w:rsidRDefault="000F4BEE" w:rsidP="00A82642">
      <w:pPr>
        <w:jc w:val="both"/>
      </w:pPr>
    </w:p>
    <w:tbl>
      <w:tblPr>
        <w:tblW w:w="0" w:type="auto"/>
        <w:tblCellMar>
          <w:left w:w="28" w:type="dxa"/>
          <w:right w:w="28" w:type="dxa"/>
        </w:tblCellMar>
        <w:tblLook w:val="04A0" w:firstRow="1" w:lastRow="0" w:firstColumn="1" w:lastColumn="0" w:noHBand="0" w:noVBand="1"/>
      </w:tblPr>
      <w:tblGrid>
        <w:gridCol w:w="6178"/>
        <w:gridCol w:w="567"/>
        <w:gridCol w:w="1418"/>
        <w:gridCol w:w="1418"/>
      </w:tblGrid>
      <w:tr w:rsidR="002C665F" w:rsidRPr="002C665F" w14:paraId="5A1990E6" w14:textId="77777777" w:rsidTr="00993320">
        <w:trPr>
          <w:trHeight w:val="284"/>
        </w:trPr>
        <w:tc>
          <w:tcPr>
            <w:tcW w:w="0" w:type="auto"/>
            <w:vMerge w:val="restart"/>
            <w:tcBorders>
              <w:top w:val="nil"/>
              <w:left w:val="nil"/>
              <w:right w:val="single" w:sz="8" w:space="0" w:color="FFFFFF"/>
            </w:tcBorders>
            <w:shd w:val="clear" w:color="000000" w:fill="0077BD"/>
            <w:vAlign w:val="center"/>
            <w:hideMark/>
          </w:tcPr>
          <w:p w14:paraId="6E4000E3" w14:textId="351152B8" w:rsidR="002C665F" w:rsidRPr="002C665F" w:rsidRDefault="002C665F" w:rsidP="002C665F">
            <w:pPr>
              <w:jc w:val="right"/>
              <w:rPr>
                <w:rFonts w:cs="Calibri"/>
                <w:b/>
                <w:bCs/>
                <w:color w:val="FFFFFF"/>
                <w:sz w:val="13"/>
                <w:szCs w:val="13"/>
              </w:rPr>
            </w:pPr>
          </w:p>
        </w:tc>
        <w:tc>
          <w:tcPr>
            <w:tcW w:w="567" w:type="dxa"/>
            <w:vMerge w:val="restart"/>
            <w:tcBorders>
              <w:top w:val="nil"/>
              <w:left w:val="single" w:sz="8" w:space="0" w:color="FFFFFF"/>
              <w:bottom w:val="nil"/>
              <w:right w:val="single" w:sz="4" w:space="0" w:color="000000"/>
            </w:tcBorders>
            <w:shd w:val="clear" w:color="000000" w:fill="0077BD"/>
            <w:vAlign w:val="center"/>
            <w:hideMark/>
          </w:tcPr>
          <w:p w14:paraId="286F0425" w14:textId="77777777" w:rsidR="002C665F" w:rsidRPr="002C665F" w:rsidRDefault="002C665F" w:rsidP="002C665F">
            <w:pPr>
              <w:jc w:val="center"/>
              <w:rPr>
                <w:rFonts w:cs="Calibri"/>
                <w:b/>
                <w:bCs/>
                <w:color w:val="FFFFFF"/>
                <w:sz w:val="13"/>
                <w:szCs w:val="13"/>
              </w:rPr>
            </w:pPr>
            <w:r w:rsidRPr="002C665F">
              <w:rPr>
                <w:rFonts w:cs="Calibri"/>
                <w:b/>
                <w:bCs/>
                <w:color w:val="FFFFFF"/>
                <w:sz w:val="13"/>
                <w:szCs w:val="13"/>
              </w:rPr>
              <w:t>Nota</w:t>
            </w:r>
          </w:p>
        </w:tc>
        <w:tc>
          <w:tcPr>
            <w:tcW w:w="2836" w:type="dxa"/>
            <w:gridSpan w:val="2"/>
            <w:tcBorders>
              <w:top w:val="nil"/>
              <w:left w:val="single" w:sz="8" w:space="0" w:color="FFFFFF"/>
              <w:bottom w:val="single" w:sz="6" w:space="0" w:color="FFFFFF"/>
              <w:right w:val="nil"/>
            </w:tcBorders>
            <w:shd w:val="clear" w:color="000000" w:fill="0077BD"/>
            <w:vAlign w:val="center"/>
            <w:hideMark/>
          </w:tcPr>
          <w:p w14:paraId="45FEC6B3" w14:textId="77777777" w:rsidR="002C665F" w:rsidRPr="002C665F" w:rsidRDefault="002C665F" w:rsidP="002C665F">
            <w:pPr>
              <w:jc w:val="right"/>
              <w:rPr>
                <w:rFonts w:cs="Calibri"/>
                <w:b/>
                <w:bCs/>
                <w:color w:val="FFFFFF"/>
                <w:sz w:val="13"/>
                <w:szCs w:val="13"/>
              </w:rPr>
            </w:pPr>
            <w:r w:rsidRPr="002C665F">
              <w:rPr>
                <w:rFonts w:cs="Calibri"/>
                <w:b/>
                <w:bCs/>
                <w:color w:val="FFFFFF"/>
                <w:sz w:val="13"/>
                <w:szCs w:val="13"/>
              </w:rPr>
              <w:t>Rok kończący się 31 grudnia</w:t>
            </w:r>
          </w:p>
        </w:tc>
      </w:tr>
      <w:tr w:rsidR="002C665F" w:rsidRPr="002C665F" w14:paraId="188E9A20" w14:textId="77777777" w:rsidTr="00E10874">
        <w:trPr>
          <w:trHeight w:val="340"/>
        </w:trPr>
        <w:tc>
          <w:tcPr>
            <w:tcW w:w="0" w:type="auto"/>
            <w:vMerge/>
            <w:tcBorders>
              <w:left w:val="nil"/>
              <w:bottom w:val="nil"/>
              <w:right w:val="single" w:sz="8" w:space="0" w:color="FFFFFF"/>
            </w:tcBorders>
            <w:shd w:val="clear" w:color="000000" w:fill="0077BD"/>
            <w:vAlign w:val="center"/>
            <w:hideMark/>
          </w:tcPr>
          <w:p w14:paraId="21D8B986" w14:textId="4F00B415" w:rsidR="002C665F" w:rsidRPr="002C665F" w:rsidRDefault="002C665F" w:rsidP="002C665F">
            <w:pPr>
              <w:jc w:val="right"/>
              <w:rPr>
                <w:rFonts w:cs="Calibri"/>
                <w:b/>
                <w:bCs/>
                <w:color w:val="FFFFFF"/>
                <w:sz w:val="13"/>
                <w:szCs w:val="13"/>
              </w:rPr>
            </w:pPr>
          </w:p>
        </w:tc>
        <w:tc>
          <w:tcPr>
            <w:tcW w:w="567" w:type="dxa"/>
            <w:vMerge/>
            <w:tcBorders>
              <w:top w:val="nil"/>
              <w:left w:val="single" w:sz="8" w:space="0" w:color="FFFFFF"/>
              <w:bottom w:val="nil"/>
              <w:right w:val="single" w:sz="4" w:space="0" w:color="000000"/>
            </w:tcBorders>
            <w:vAlign w:val="center"/>
            <w:hideMark/>
          </w:tcPr>
          <w:p w14:paraId="125207B9" w14:textId="77777777" w:rsidR="002C665F" w:rsidRPr="002C665F" w:rsidRDefault="002C665F" w:rsidP="002C665F">
            <w:pPr>
              <w:rPr>
                <w:rFonts w:cs="Calibri"/>
                <w:b/>
                <w:bCs/>
                <w:color w:val="FFFFFF"/>
                <w:sz w:val="13"/>
                <w:szCs w:val="13"/>
              </w:rPr>
            </w:pPr>
          </w:p>
        </w:tc>
        <w:tc>
          <w:tcPr>
            <w:tcW w:w="1418" w:type="dxa"/>
            <w:tcBorders>
              <w:top w:val="single" w:sz="6" w:space="0" w:color="FFFFFF"/>
              <w:left w:val="single" w:sz="8" w:space="0" w:color="FFFFFF"/>
              <w:bottom w:val="nil"/>
              <w:right w:val="single" w:sz="8" w:space="0" w:color="FFFFFF"/>
            </w:tcBorders>
            <w:shd w:val="clear" w:color="000000" w:fill="0077BD"/>
            <w:vAlign w:val="center"/>
            <w:hideMark/>
          </w:tcPr>
          <w:p w14:paraId="6FFF06F7" w14:textId="77777777" w:rsidR="002C665F" w:rsidRPr="002C665F" w:rsidRDefault="002C665F" w:rsidP="002C665F">
            <w:pPr>
              <w:jc w:val="right"/>
              <w:rPr>
                <w:rFonts w:cs="Calibri"/>
                <w:b/>
                <w:bCs/>
                <w:color w:val="FFFFFF"/>
                <w:sz w:val="13"/>
                <w:szCs w:val="13"/>
              </w:rPr>
            </w:pPr>
            <w:r w:rsidRPr="002C665F">
              <w:rPr>
                <w:rFonts w:cs="Calibri"/>
                <w:b/>
                <w:bCs/>
                <w:color w:val="FFFFFF"/>
                <w:sz w:val="13"/>
                <w:szCs w:val="13"/>
              </w:rPr>
              <w:t>2019</w:t>
            </w:r>
          </w:p>
        </w:tc>
        <w:tc>
          <w:tcPr>
            <w:tcW w:w="1418" w:type="dxa"/>
            <w:tcBorders>
              <w:top w:val="single" w:sz="6" w:space="0" w:color="FFFFFF"/>
              <w:left w:val="nil"/>
              <w:bottom w:val="nil"/>
              <w:right w:val="nil"/>
            </w:tcBorders>
            <w:shd w:val="clear" w:color="000000" w:fill="0077BD"/>
            <w:vAlign w:val="center"/>
            <w:hideMark/>
          </w:tcPr>
          <w:p w14:paraId="25BB2BDE" w14:textId="257EE240" w:rsidR="002C665F" w:rsidRPr="002C665F" w:rsidRDefault="002C665F" w:rsidP="002C665F">
            <w:pPr>
              <w:jc w:val="right"/>
              <w:rPr>
                <w:rFonts w:cs="Calibri"/>
                <w:b/>
                <w:bCs/>
                <w:color w:val="FFFFFF"/>
                <w:sz w:val="13"/>
                <w:szCs w:val="13"/>
              </w:rPr>
            </w:pPr>
            <w:r w:rsidRPr="002C665F">
              <w:rPr>
                <w:rFonts w:cs="Calibri"/>
                <w:b/>
                <w:bCs/>
                <w:color w:val="FFFFFF"/>
                <w:sz w:val="13"/>
                <w:szCs w:val="13"/>
              </w:rPr>
              <w:t>2018</w:t>
            </w:r>
            <w:r w:rsidR="00E10874">
              <w:rPr>
                <w:rFonts w:cs="Calibri"/>
                <w:b/>
                <w:bCs/>
                <w:color w:val="FFFFFF"/>
                <w:sz w:val="13"/>
                <w:szCs w:val="13"/>
              </w:rPr>
              <w:br/>
              <w:t>- przekształcone</w:t>
            </w:r>
          </w:p>
        </w:tc>
      </w:tr>
      <w:tr w:rsidR="00A751C0" w:rsidRPr="00A751C0" w14:paraId="7813D1E2" w14:textId="77777777" w:rsidTr="00552529">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31BB7320" w14:textId="77777777" w:rsidR="00993320" w:rsidRPr="00A751C0" w:rsidRDefault="00993320" w:rsidP="00993320">
            <w:pPr>
              <w:rPr>
                <w:rFonts w:cs="Calibri"/>
                <w:b/>
                <w:bCs/>
                <w:color w:val="000000" w:themeColor="text1"/>
                <w:sz w:val="13"/>
                <w:szCs w:val="13"/>
              </w:rPr>
            </w:pPr>
            <w:r w:rsidRPr="00A751C0">
              <w:rPr>
                <w:rFonts w:cs="Calibri"/>
                <w:b/>
                <w:bCs/>
                <w:color w:val="000000" w:themeColor="text1"/>
                <w:sz w:val="13"/>
                <w:szCs w:val="13"/>
              </w:rPr>
              <w:t>Zysk netto</w:t>
            </w:r>
          </w:p>
        </w:tc>
        <w:tc>
          <w:tcPr>
            <w:tcW w:w="567" w:type="dxa"/>
            <w:tcBorders>
              <w:top w:val="nil"/>
              <w:left w:val="nil"/>
              <w:bottom w:val="single" w:sz="8" w:space="0" w:color="0077BD"/>
              <w:right w:val="single" w:sz="8" w:space="0" w:color="0077BD"/>
            </w:tcBorders>
            <w:shd w:val="clear" w:color="auto" w:fill="auto"/>
            <w:noWrap/>
            <w:vAlign w:val="center"/>
            <w:hideMark/>
          </w:tcPr>
          <w:p w14:paraId="7F3C609F" w14:textId="3841A75A" w:rsidR="00993320" w:rsidRPr="00A751C0" w:rsidRDefault="00993320" w:rsidP="00993320">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nil"/>
            </w:tcBorders>
            <w:shd w:val="clear" w:color="auto" w:fill="auto"/>
            <w:noWrap/>
            <w:vAlign w:val="center"/>
            <w:hideMark/>
          </w:tcPr>
          <w:p w14:paraId="4A53B756" w14:textId="040C9992" w:rsidR="00993320" w:rsidRPr="00A751C0" w:rsidRDefault="00EE62D6" w:rsidP="00EE62D6">
            <w:pPr>
              <w:jc w:val="right"/>
              <w:rPr>
                <w:rFonts w:cs="Calibri"/>
                <w:b/>
                <w:bCs/>
                <w:color w:val="000000" w:themeColor="text1"/>
                <w:sz w:val="13"/>
                <w:szCs w:val="13"/>
              </w:rPr>
            </w:pPr>
            <w:r w:rsidRPr="00A751C0">
              <w:rPr>
                <w:rFonts w:cs="Calibri"/>
                <w:b/>
                <w:bCs/>
                <w:color w:val="000000" w:themeColor="text1"/>
                <w:sz w:val="13"/>
                <w:szCs w:val="13"/>
              </w:rPr>
              <w:t>1 010</w:t>
            </w:r>
            <w:r w:rsidR="00993320" w:rsidRPr="00A751C0">
              <w:rPr>
                <w:rFonts w:cs="Calibri"/>
                <w:b/>
                <w:bCs/>
                <w:color w:val="000000" w:themeColor="text1"/>
                <w:sz w:val="13"/>
                <w:szCs w:val="13"/>
              </w:rPr>
              <w:t xml:space="preserve"> </w:t>
            </w:r>
            <w:r w:rsidRPr="00A751C0">
              <w:rPr>
                <w:rFonts w:cs="Calibri"/>
                <w:b/>
                <w:bCs/>
                <w:color w:val="000000" w:themeColor="text1"/>
                <w:sz w:val="13"/>
                <w:szCs w:val="13"/>
              </w:rPr>
              <w:t>252</w:t>
            </w:r>
          </w:p>
        </w:tc>
        <w:tc>
          <w:tcPr>
            <w:tcW w:w="1418" w:type="dxa"/>
            <w:tcBorders>
              <w:top w:val="nil"/>
              <w:left w:val="single" w:sz="8" w:space="0" w:color="0077BD"/>
              <w:bottom w:val="single" w:sz="8" w:space="0" w:color="0077BD"/>
              <w:right w:val="nil"/>
            </w:tcBorders>
            <w:shd w:val="clear" w:color="auto" w:fill="auto"/>
            <w:noWrap/>
            <w:vAlign w:val="center"/>
            <w:hideMark/>
          </w:tcPr>
          <w:p w14:paraId="08AD3696" w14:textId="338D6F70" w:rsidR="00993320" w:rsidRPr="00A751C0" w:rsidRDefault="00993320" w:rsidP="00993320">
            <w:pPr>
              <w:jc w:val="right"/>
              <w:rPr>
                <w:rFonts w:cs="Calibri"/>
                <w:b/>
                <w:bCs/>
                <w:color w:val="000000" w:themeColor="text1"/>
                <w:sz w:val="13"/>
                <w:szCs w:val="13"/>
              </w:rPr>
            </w:pPr>
            <w:r w:rsidRPr="00A751C0">
              <w:rPr>
                <w:rFonts w:cs="Calibri"/>
                <w:b/>
                <w:bCs/>
                <w:color w:val="000000" w:themeColor="text1"/>
                <w:sz w:val="13"/>
                <w:szCs w:val="13"/>
              </w:rPr>
              <w:t>1 302 704</w:t>
            </w:r>
          </w:p>
        </w:tc>
      </w:tr>
      <w:tr w:rsidR="00A751C0" w:rsidRPr="00A751C0" w14:paraId="06E4DF6A" w14:textId="77777777" w:rsidTr="00552529">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2B67D08D" w14:textId="77777777" w:rsidR="00993320" w:rsidRPr="00A751C0" w:rsidRDefault="00993320" w:rsidP="00993320">
            <w:pPr>
              <w:rPr>
                <w:rFonts w:cs="Calibri"/>
                <w:b/>
                <w:bCs/>
                <w:color w:val="000000" w:themeColor="text1"/>
                <w:sz w:val="13"/>
                <w:szCs w:val="13"/>
              </w:rPr>
            </w:pPr>
            <w:r w:rsidRPr="00A751C0">
              <w:rPr>
                <w:rFonts w:cs="Calibri"/>
                <w:b/>
                <w:bCs/>
                <w:color w:val="000000" w:themeColor="text1"/>
                <w:sz w:val="13"/>
                <w:szCs w:val="13"/>
              </w:rPr>
              <w:t>Pozostałe dochody całkowite netto, w tym:</w:t>
            </w:r>
          </w:p>
        </w:tc>
        <w:tc>
          <w:tcPr>
            <w:tcW w:w="567" w:type="dxa"/>
            <w:tcBorders>
              <w:top w:val="nil"/>
              <w:left w:val="nil"/>
              <w:bottom w:val="single" w:sz="8" w:space="0" w:color="0077BD"/>
              <w:right w:val="single" w:sz="8" w:space="0" w:color="0077BD"/>
            </w:tcBorders>
            <w:shd w:val="clear" w:color="auto" w:fill="auto"/>
            <w:noWrap/>
            <w:vAlign w:val="center"/>
            <w:hideMark/>
          </w:tcPr>
          <w:p w14:paraId="48B87808" w14:textId="77777777" w:rsidR="00993320" w:rsidRPr="00A751C0" w:rsidRDefault="00993320" w:rsidP="00993320">
            <w:pPr>
              <w:jc w:val="center"/>
              <w:rPr>
                <w:rFonts w:cs="Calibri"/>
                <w:b/>
                <w:bCs/>
                <w:color w:val="000000" w:themeColor="text1"/>
                <w:sz w:val="13"/>
                <w:szCs w:val="13"/>
              </w:rPr>
            </w:pPr>
            <w:r w:rsidRPr="00A751C0">
              <w:rPr>
                <w:rFonts w:cs="Calibri"/>
                <w:b/>
                <w:bCs/>
                <w:color w:val="000000" w:themeColor="text1"/>
                <w:sz w:val="13"/>
                <w:szCs w:val="13"/>
              </w:rPr>
              <w:t>18</w:t>
            </w:r>
          </w:p>
        </w:tc>
        <w:tc>
          <w:tcPr>
            <w:tcW w:w="1418" w:type="dxa"/>
            <w:tcBorders>
              <w:top w:val="nil"/>
              <w:left w:val="single" w:sz="8" w:space="0" w:color="0077BD"/>
              <w:bottom w:val="single" w:sz="8" w:space="0" w:color="0077BD"/>
              <w:right w:val="nil"/>
            </w:tcBorders>
            <w:shd w:val="clear" w:color="auto" w:fill="auto"/>
            <w:noWrap/>
            <w:vAlign w:val="center"/>
            <w:hideMark/>
          </w:tcPr>
          <w:p w14:paraId="67E19755" w14:textId="025496EC" w:rsidR="00993320" w:rsidRPr="00A751C0" w:rsidRDefault="00993320" w:rsidP="00993320">
            <w:pPr>
              <w:jc w:val="right"/>
              <w:rPr>
                <w:rFonts w:cs="Calibri"/>
                <w:b/>
                <w:bCs/>
                <w:color w:val="000000" w:themeColor="text1"/>
                <w:sz w:val="13"/>
                <w:szCs w:val="13"/>
              </w:rPr>
            </w:pPr>
            <w:r w:rsidRPr="00A751C0">
              <w:rPr>
                <w:rFonts w:cs="Calibri"/>
                <w:b/>
                <w:bCs/>
                <w:color w:val="000000" w:themeColor="text1"/>
                <w:sz w:val="13"/>
                <w:szCs w:val="13"/>
              </w:rPr>
              <w:t>(38 128)</w:t>
            </w:r>
          </w:p>
        </w:tc>
        <w:tc>
          <w:tcPr>
            <w:tcW w:w="1418" w:type="dxa"/>
            <w:tcBorders>
              <w:top w:val="nil"/>
              <w:left w:val="single" w:sz="8" w:space="0" w:color="0077BD"/>
              <w:bottom w:val="single" w:sz="8" w:space="0" w:color="0077BD"/>
              <w:right w:val="nil"/>
            </w:tcBorders>
            <w:shd w:val="clear" w:color="auto" w:fill="auto"/>
            <w:noWrap/>
            <w:vAlign w:val="center"/>
            <w:hideMark/>
          </w:tcPr>
          <w:p w14:paraId="54777C35" w14:textId="77777777" w:rsidR="00993320" w:rsidRPr="00A751C0" w:rsidRDefault="00993320" w:rsidP="00993320">
            <w:pPr>
              <w:jc w:val="right"/>
              <w:rPr>
                <w:rFonts w:cs="Calibri"/>
                <w:b/>
                <w:bCs/>
                <w:color w:val="000000" w:themeColor="text1"/>
                <w:sz w:val="13"/>
                <w:szCs w:val="13"/>
              </w:rPr>
            </w:pPr>
            <w:r w:rsidRPr="00A751C0">
              <w:rPr>
                <w:rFonts w:cs="Calibri"/>
                <w:b/>
                <w:bCs/>
                <w:color w:val="000000" w:themeColor="text1"/>
                <w:sz w:val="13"/>
                <w:szCs w:val="13"/>
              </w:rPr>
              <w:t>109 366</w:t>
            </w:r>
          </w:p>
        </w:tc>
      </w:tr>
      <w:tr w:rsidR="00A751C0" w:rsidRPr="00A751C0" w14:paraId="75BE1094" w14:textId="77777777" w:rsidTr="00993320">
        <w:trPr>
          <w:trHeight w:val="284"/>
        </w:trPr>
        <w:tc>
          <w:tcPr>
            <w:tcW w:w="9581" w:type="dxa"/>
            <w:gridSpan w:val="4"/>
            <w:tcBorders>
              <w:top w:val="nil"/>
              <w:left w:val="nil"/>
              <w:bottom w:val="nil"/>
              <w:right w:val="nil"/>
            </w:tcBorders>
            <w:shd w:val="clear" w:color="auto" w:fill="auto"/>
            <w:vAlign w:val="center"/>
            <w:hideMark/>
          </w:tcPr>
          <w:p w14:paraId="155B970A" w14:textId="77777777" w:rsidR="002C665F" w:rsidRPr="00A751C0" w:rsidRDefault="002C665F" w:rsidP="002C665F">
            <w:pPr>
              <w:rPr>
                <w:rFonts w:cs="Calibri"/>
                <w:b/>
                <w:bCs/>
                <w:color w:val="000000" w:themeColor="text1"/>
                <w:sz w:val="13"/>
                <w:szCs w:val="13"/>
              </w:rPr>
            </w:pPr>
            <w:r w:rsidRPr="00A751C0">
              <w:rPr>
                <w:rFonts w:cs="Calibri"/>
                <w:b/>
                <w:bCs/>
                <w:color w:val="000000" w:themeColor="text1"/>
                <w:sz w:val="13"/>
                <w:szCs w:val="13"/>
              </w:rPr>
              <w:t>Pozycje, które mogą być przeklasyfikowane do rachunku zysków i strat</w:t>
            </w:r>
          </w:p>
        </w:tc>
      </w:tr>
      <w:tr w:rsidR="00A751C0" w:rsidRPr="00A751C0" w14:paraId="7C2E851D" w14:textId="77777777" w:rsidTr="00552529">
        <w:trPr>
          <w:trHeight w:val="284"/>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178EF594" w14:textId="77777777" w:rsidR="00993320" w:rsidRPr="00A751C0" w:rsidRDefault="00993320" w:rsidP="00993320">
            <w:pPr>
              <w:rPr>
                <w:rFonts w:cs="Calibri"/>
                <w:color w:val="000000" w:themeColor="text1"/>
                <w:sz w:val="13"/>
                <w:szCs w:val="13"/>
              </w:rPr>
            </w:pPr>
            <w:r w:rsidRPr="00A751C0">
              <w:rPr>
                <w:rFonts w:cs="Calibri"/>
                <w:color w:val="000000" w:themeColor="text1"/>
                <w:sz w:val="13"/>
                <w:szCs w:val="13"/>
              </w:rPr>
              <w:t>Różnice kursowe z przeliczenia jednostek zagranicznych (netto)</w:t>
            </w:r>
          </w:p>
        </w:tc>
        <w:tc>
          <w:tcPr>
            <w:tcW w:w="567" w:type="dxa"/>
            <w:tcBorders>
              <w:top w:val="single" w:sz="8" w:space="0" w:color="0077BD"/>
              <w:left w:val="nil"/>
              <w:bottom w:val="single" w:sz="4" w:space="0" w:color="0077BD"/>
              <w:right w:val="single" w:sz="8" w:space="0" w:color="0077BD"/>
            </w:tcBorders>
            <w:shd w:val="clear" w:color="auto" w:fill="auto"/>
            <w:noWrap/>
            <w:vAlign w:val="center"/>
            <w:hideMark/>
          </w:tcPr>
          <w:p w14:paraId="626FF353" w14:textId="5116049B" w:rsidR="00993320" w:rsidRPr="00A751C0" w:rsidRDefault="00993320" w:rsidP="00993320">
            <w:pPr>
              <w:jc w:val="center"/>
              <w:rPr>
                <w:rFonts w:cs="Calibri"/>
                <w:b/>
                <w:bCs/>
                <w:color w:val="000000" w:themeColor="text1"/>
                <w:sz w:val="13"/>
                <w:szCs w:val="13"/>
              </w:rPr>
            </w:pPr>
          </w:p>
        </w:tc>
        <w:tc>
          <w:tcPr>
            <w:tcW w:w="1418" w:type="dxa"/>
            <w:tcBorders>
              <w:top w:val="single" w:sz="8" w:space="0" w:color="0077BD"/>
              <w:left w:val="single" w:sz="8" w:space="0" w:color="0077BD"/>
              <w:bottom w:val="single" w:sz="4" w:space="0" w:color="0077BD"/>
              <w:right w:val="nil"/>
            </w:tcBorders>
            <w:shd w:val="clear" w:color="auto" w:fill="auto"/>
            <w:noWrap/>
            <w:vAlign w:val="center"/>
          </w:tcPr>
          <w:p w14:paraId="7BD698B5" w14:textId="53DC101B"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32</w:t>
            </w:r>
          </w:p>
        </w:tc>
        <w:tc>
          <w:tcPr>
            <w:tcW w:w="1418" w:type="dxa"/>
            <w:tcBorders>
              <w:top w:val="single" w:sz="8" w:space="0" w:color="0077BD"/>
              <w:left w:val="single" w:sz="8" w:space="0" w:color="0077BD"/>
              <w:bottom w:val="single" w:sz="4" w:space="0" w:color="0077BD"/>
              <w:right w:val="nil"/>
            </w:tcBorders>
            <w:shd w:val="clear" w:color="auto" w:fill="auto"/>
            <w:noWrap/>
            <w:vAlign w:val="center"/>
            <w:hideMark/>
          </w:tcPr>
          <w:p w14:paraId="72AD449F" w14:textId="77777777"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60</w:t>
            </w:r>
          </w:p>
        </w:tc>
      </w:tr>
      <w:tr w:rsidR="00A751C0" w:rsidRPr="00A751C0" w14:paraId="6BEA71CC" w14:textId="77777777" w:rsidTr="00552529">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1FB5A565" w14:textId="77777777" w:rsidR="00993320" w:rsidRPr="00A751C0" w:rsidRDefault="00993320" w:rsidP="00993320">
            <w:pPr>
              <w:rPr>
                <w:rFonts w:cs="Calibri"/>
                <w:color w:val="000000" w:themeColor="text1"/>
                <w:sz w:val="13"/>
                <w:szCs w:val="13"/>
              </w:rPr>
            </w:pPr>
            <w:r w:rsidRPr="00A751C0">
              <w:rPr>
                <w:rFonts w:cs="Calibri"/>
                <w:color w:val="000000" w:themeColor="text1"/>
                <w:sz w:val="13"/>
                <w:szCs w:val="13"/>
              </w:rPr>
              <w:t>Zabezpieczenia przepływów pieniężnych (netto)</w:t>
            </w:r>
          </w:p>
        </w:tc>
        <w:tc>
          <w:tcPr>
            <w:tcW w:w="567" w:type="dxa"/>
            <w:tcBorders>
              <w:top w:val="nil"/>
              <w:left w:val="nil"/>
              <w:bottom w:val="single" w:sz="4" w:space="0" w:color="0077BD"/>
              <w:right w:val="single" w:sz="8" w:space="0" w:color="0077BD"/>
            </w:tcBorders>
            <w:shd w:val="clear" w:color="auto" w:fill="auto"/>
            <w:noWrap/>
            <w:vAlign w:val="center"/>
            <w:hideMark/>
          </w:tcPr>
          <w:p w14:paraId="1696D0E9" w14:textId="77777777" w:rsidR="00993320" w:rsidRPr="00A751C0" w:rsidRDefault="00993320" w:rsidP="00993320">
            <w:pPr>
              <w:jc w:val="center"/>
              <w:rPr>
                <w:rFonts w:cs="Calibri"/>
                <w:color w:val="000000" w:themeColor="text1"/>
                <w:sz w:val="13"/>
                <w:szCs w:val="13"/>
              </w:rPr>
            </w:pPr>
            <w:r w:rsidRPr="00A751C0">
              <w:rPr>
                <w:rFonts w:cs="Calibri"/>
                <w:color w:val="000000" w:themeColor="text1"/>
                <w:sz w:val="13"/>
                <w:szCs w:val="13"/>
              </w:rPr>
              <w:t>20</w:t>
            </w:r>
          </w:p>
        </w:tc>
        <w:tc>
          <w:tcPr>
            <w:tcW w:w="1418" w:type="dxa"/>
            <w:tcBorders>
              <w:top w:val="nil"/>
              <w:left w:val="single" w:sz="8" w:space="0" w:color="0077BD"/>
              <w:bottom w:val="single" w:sz="4" w:space="0" w:color="0077BD"/>
              <w:right w:val="nil"/>
            </w:tcBorders>
            <w:shd w:val="clear" w:color="auto" w:fill="auto"/>
            <w:noWrap/>
            <w:vAlign w:val="center"/>
          </w:tcPr>
          <w:p w14:paraId="32D93D7B" w14:textId="3C62B965"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35 499</w:t>
            </w:r>
          </w:p>
        </w:tc>
        <w:tc>
          <w:tcPr>
            <w:tcW w:w="1418" w:type="dxa"/>
            <w:tcBorders>
              <w:top w:val="nil"/>
              <w:left w:val="single" w:sz="8" w:space="0" w:color="0077BD"/>
              <w:bottom w:val="single" w:sz="4" w:space="0" w:color="0077BD"/>
              <w:right w:val="nil"/>
            </w:tcBorders>
            <w:shd w:val="clear" w:color="auto" w:fill="auto"/>
            <w:noWrap/>
            <w:vAlign w:val="center"/>
            <w:hideMark/>
          </w:tcPr>
          <w:p w14:paraId="5318726C" w14:textId="77777777"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88 841</w:t>
            </w:r>
          </w:p>
        </w:tc>
      </w:tr>
      <w:tr w:rsidR="00A751C0" w:rsidRPr="00A751C0" w14:paraId="3019C2DC" w14:textId="77777777" w:rsidTr="00552529">
        <w:trPr>
          <w:trHeight w:val="397"/>
        </w:trPr>
        <w:tc>
          <w:tcPr>
            <w:tcW w:w="0" w:type="auto"/>
            <w:tcBorders>
              <w:top w:val="nil"/>
              <w:left w:val="nil"/>
              <w:bottom w:val="single" w:sz="4" w:space="0" w:color="0077BD"/>
              <w:right w:val="single" w:sz="8" w:space="0" w:color="0077BD"/>
            </w:tcBorders>
            <w:shd w:val="clear" w:color="auto" w:fill="auto"/>
            <w:vAlign w:val="center"/>
            <w:hideMark/>
          </w:tcPr>
          <w:p w14:paraId="54583E38" w14:textId="77777777" w:rsidR="00993320" w:rsidRPr="00A751C0" w:rsidRDefault="00993320" w:rsidP="00993320">
            <w:pPr>
              <w:rPr>
                <w:rFonts w:cs="Calibri"/>
                <w:color w:val="000000" w:themeColor="text1"/>
                <w:sz w:val="13"/>
                <w:szCs w:val="13"/>
              </w:rPr>
            </w:pPr>
            <w:r w:rsidRPr="00A751C0">
              <w:rPr>
                <w:rFonts w:cs="Calibri"/>
                <w:color w:val="000000" w:themeColor="text1"/>
                <w:sz w:val="13"/>
                <w:szCs w:val="13"/>
              </w:rPr>
              <w:t>Zmiana wyceny dłużnych instrumentów finansowych wycenianych w wartości godziwej przez pozostałe całkowite dochody (netto)</w:t>
            </w:r>
          </w:p>
        </w:tc>
        <w:tc>
          <w:tcPr>
            <w:tcW w:w="567" w:type="dxa"/>
            <w:tcBorders>
              <w:top w:val="nil"/>
              <w:left w:val="nil"/>
              <w:bottom w:val="nil"/>
              <w:right w:val="single" w:sz="8" w:space="0" w:color="0077BD"/>
            </w:tcBorders>
            <w:shd w:val="clear" w:color="auto" w:fill="auto"/>
            <w:noWrap/>
            <w:vAlign w:val="center"/>
            <w:hideMark/>
          </w:tcPr>
          <w:p w14:paraId="5857C801" w14:textId="5199DA1D" w:rsidR="00993320" w:rsidRPr="00A751C0" w:rsidRDefault="00993320" w:rsidP="00993320">
            <w:pPr>
              <w:jc w:val="center"/>
              <w:rPr>
                <w:rFonts w:cs="Calibri"/>
                <w:b/>
                <w:bCs/>
                <w:color w:val="000000" w:themeColor="text1"/>
                <w:sz w:val="13"/>
                <w:szCs w:val="13"/>
              </w:rPr>
            </w:pPr>
          </w:p>
        </w:tc>
        <w:tc>
          <w:tcPr>
            <w:tcW w:w="1418" w:type="dxa"/>
            <w:tcBorders>
              <w:top w:val="nil"/>
              <w:left w:val="single" w:sz="8" w:space="0" w:color="0077BD"/>
              <w:bottom w:val="nil"/>
              <w:right w:val="nil"/>
            </w:tcBorders>
            <w:shd w:val="clear" w:color="auto" w:fill="auto"/>
            <w:noWrap/>
            <w:vAlign w:val="center"/>
          </w:tcPr>
          <w:p w14:paraId="3AA0AA27" w14:textId="46BE21FB"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(71 657)</w:t>
            </w:r>
          </w:p>
        </w:tc>
        <w:tc>
          <w:tcPr>
            <w:tcW w:w="1418" w:type="dxa"/>
            <w:tcBorders>
              <w:top w:val="nil"/>
              <w:left w:val="single" w:sz="8" w:space="0" w:color="0077BD"/>
              <w:bottom w:val="nil"/>
              <w:right w:val="nil"/>
            </w:tcBorders>
            <w:shd w:val="clear" w:color="auto" w:fill="auto"/>
            <w:noWrap/>
            <w:vAlign w:val="center"/>
            <w:hideMark/>
          </w:tcPr>
          <w:p w14:paraId="40AC6133" w14:textId="77777777"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23 013</w:t>
            </w:r>
          </w:p>
        </w:tc>
      </w:tr>
      <w:tr w:rsidR="00A751C0" w:rsidRPr="00A751C0" w14:paraId="4E006CBF" w14:textId="77777777" w:rsidTr="00993320">
        <w:trPr>
          <w:trHeight w:val="284"/>
        </w:trPr>
        <w:tc>
          <w:tcPr>
            <w:tcW w:w="9581" w:type="dxa"/>
            <w:gridSpan w:val="4"/>
            <w:tcBorders>
              <w:top w:val="single" w:sz="8" w:space="0" w:color="0077BD"/>
              <w:left w:val="nil"/>
              <w:bottom w:val="single" w:sz="8" w:space="0" w:color="0077BD"/>
              <w:right w:val="nil"/>
            </w:tcBorders>
            <w:shd w:val="clear" w:color="auto" w:fill="auto"/>
            <w:vAlign w:val="center"/>
            <w:hideMark/>
          </w:tcPr>
          <w:p w14:paraId="675549E3" w14:textId="77777777" w:rsidR="002C665F" w:rsidRPr="00A751C0" w:rsidRDefault="002C665F" w:rsidP="002C665F">
            <w:pPr>
              <w:rPr>
                <w:rFonts w:cs="Calibri"/>
                <w:b/>
                <w:bCs/>
                <w:color w:val="000000" w:themeColor="text1"/>
                <w:sz w:val="13"/>
                <w:szCs w:val="13"/>
              </w:rPr>
            </w:pPr>
            <w:r w:rsidRPr="00A751C0">
              <w:rPr>
                <w:rFonts w:cs="Calibri"/>
                <w:b/>
                <w:bCs/>
                <w:color w:val="000000" w:themeColor="text1"/>
                <w:sz w:val="13"/>
                <w:szCs w:val="13"/>
              </w:rPr>
              <w:t>Pozycje, które nie zostaną przeklasyfikowane do rachunku zysków i strat</w:t>
            </w:r>
          </w:p>
        </w:tc>
      </w:tr>
      <w:tr w:rsidR="00A751C0" w:rsidRPr="00A751C0" w14:paraId="4DB5E6A4" w14:textId="77777777" w:rsidTr="00D1784D">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0158A8B8" w14:textId="644BC063" w:rsidR="00993320" w:rsidRPr="00A751C0" w:rsidRDefault="00993320" w:rsidP="00993320">
            <w:pPr>
              <w:rPr>
                <w:rFonts w:cs="Calibri"/>
                <w:color w:val="000000" w:themeColor="text1"/>
                <w:sz w:val="13"/>
                <w:szCs w:val="13"/>
              </w:rPr>
            </w:pPr>
            <w:r w:rsidRPr="00A751C0">
              <w:rPr>
                <w:rFonts w:cs="Calibri"/>
                <w:color w:val="000000" w:themeColor="text1"/>
                <w:sz w:val="13"/>
                <w:szCs w:val="13"/>
              </w:rPr>
              <w:t>Zyski i straty aktuarialne dotyczące świadczeń pracowniczych po okresie zatrudnienia</w:t>
            </w:r>
            <w:r w:rsidR="005350B6">
              <w:rPr>
                <w:rFonts w:cs="Calibri"/>
                <w:color w:val="000000" w:themeColor="text1"/>
                <w:sz w:val="13"/>
                <w:szCs w:val="13"/>
              </w:rPr>
              <w:t xml:space="preserve"> </w:t>
            </w:r>
            <w:r w:rsidRPr="00A751C0">
              <w:rPr>
                <w:rFonts w:cs="Calibri"/>
                <w:color w:val="000000" w:themeColor="text1"/>
                <w:sz w:val="13"/>
                <w:szCs w:val="13"/>
              </w:rPr>
              <w:t>(netto)</w:t>
            </w:r>
          </w:p>
        </w:tc>
        <w:tc>
          <w:tcPr>
            <w:tcW w:w="567" w:type="dxa"/>
            <w:tcBorders>
              <w:top w:val="nil"/>
              <w:left w:val="nil"/>
              <w:bottom w:val="single" w:sz="4" w:space="0" w:color="0077BD"/>
              <w:right w:val="single" w:sz="8" w:space="0" w:color="0077BD"/>
            </w:tcBorders>
            <w:shd w:val="clear" w:color="auto" w:fill="auto"/>
            <w:noWrap/>
            <w:vAlign w:val="center"/>
          </w:tcPr>
          <w:p w14:paraId="414D3957" w14:textId="5CB1700F" w:rsidR="00993320" w:rsidRPr="00A751C0" w:rsidRDefault="00993320" w:rsidP="00993320">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hideMark/>
          </w:tcPr>
          <w:p w14:paraId="4A9D95AC" w14:textId="7BA844D0"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(2 002)</w:t>
            </w:r>
          </w:p>
        </w:tc>
        <w:tc>
          <w:tcPr>
            <w:tcW w:w="1418" w:type="dxa"/>
            <w:tcBorders>
              <w:top w:val="nil"/>
              <w:left w:val="single" w:sz="8" w:space="0" w:color="0077BD"/>
              <w:bottom w:val="single" w:sz="4" w:space="0" w:color="0077BD"/>
              <w:right w:val="nil"/>
            </w:tcBorders>
            <w:shd w:val="clear" w:color="auto" w:fill="auto"/>
            <w:noWrap/>
            <w:vAlign w:val="center"/>
            <w:hideMark/>
          </w:tcPr>
          <w:p w14:paraId="1A83CF56" w14:textId="77777777"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(2 548)</w:t>
            </w:r>
          </w:p>
        </w:tc>
      </w:tr>
      <w:tr w:rsidR="00A751C0" w:rsidRPr="00A751C0" w14:paraId="298263FD" w14:textId="77777777" w:rsidTr="00D1784D">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54E7CA9D" w14:textId="77777777" w:rsidR="00993320" w:rsidRPr="00A751C0" w:rsidRDefault="00993320" w:rsidP="00993320">
            <w:pPr>
              <w:rPr>
                <w:rFonts w:cs="Calibri"/>
                <w:b/>
                <w:bCs/>
                <w:color w:val="000000" w:themeColor="text1"/>
                <w:sz w:val="13"/>
                <w:szCs w:val="13"/>
              </w:rPr>
            </w:pPr>
            <w:r w:rsidRPr="00A751C0">
              <w:rPr>
                <w:rFonts w:cs="Calibri"/>
                <w:b/>
                <w:bCs/>
                <w:color w:val="000000" w:themeColor="text1"/>
                <w:sz w:val="13"/>
                <w:szCs w:val="13"/>
              </w:rPr>
              <w:t>Dochody całkowite netto, razem</w:t>
            </w:r>
          </w:p>
        </w:tc>
        <w:tc>
          <w:tcPr>
            <w:tcW w:w="567" w:type="dxa"/>
            <w:tcBorders>
              <w:top w:val="single" w:sz="8" w:space="0" w:color="0077BD"/>
              <w:left w:val="nil"/>
              <w:bottom w:val="single" w:sz="8" w:space="0" w:color="0077BD"/>
              <w:right w:val="single" w:sz="8" w:space="0" w:color="0077BD"/>
            </w:tcBorders>
            <w:shd w:val="clear" w:color="auto" w:fill="auto"/>
            <w:noWrap/>
            <w:vAlign w:val="center"/>
          </w:tcPr>
          <w:p w14:paraId="5B54DE39" w14:textId="1E24D042" w:rsidR="00993320" w:rsidRPr="00A751C0" w:rsidRDefault="00993320" w:rsidP="00993320">
            <w:pPr>
              <w:jc w:val="center"/>
              <w:rPr>
                <w:rFonts w:cs="Calibri"/>
                <w:color w:val="000000" w:themeColor="text1"/>
                <w:sz w:val="13"/>
                <w:szCs w:val="13"/>
              </w:rPr>
            </w:pP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61DE0DD7" w14:textId="62E1E8B9" w:rsidR="00993320" w:rsidRPr="00A751C0" w:rsidRDefault="00725D6F" w:rsidP="00725D6F">
            <w:pPr>
              <w:jc w:val="right"/>
              <w:rPr>
                <w:rFonts w:cs="Calibri"/>
                <w:b/>
                <w:bCs/>
                <w:color w:val="000000" w:themeColor="text1"/>
                <w:sz w:val="13"/>
                <w:szCs w:val="13"/>
              </w:rPr>
            </w:pPr>
            <w:r w:rsidRPr="00A751C0">
              <w:rPr>
                <w:rFonts w:cs="Calibri"/>
                <w:b/>
                <w:bCs/>
                <w:color w:val="000000" w:themeColor="text1"/>
                <w:sz w:val="13"/>
                <w:szCs w:val="13"/>
              </w:rPr>
              <w:t>972</w:t>
            </w:r>
            <w:r w:rsidR="00993320" w:rsidRPr="00A751C0">
              <w:rPr>
                <w:rFonts w:cs="Calibri"/>
                <w:b/>
                <w:bCs/>
                <w:color w:val="000000" w:themeColor="text1"/>
                <w:sz w:val="13"/>
                <w:szCs w:val="13"/>
              </w:rPr>
              <w:t xml:space="preserve"> </w:t>
            </w:r>
            <w:r w:rsidR="007E3FB2">
              <w:rPr>
                <w:rFonts w:cs="Calibri"/>
                <w:b/>
                <w:bCs/>
                <w:color w:val="000000" w:themeColor="text1"/>
                <w:sz w:val="13"/>
                <w:szCs w:val="13"/>
              </w:rPr>
              <w:t>1</w:t>
            </w:r>
            <w:r w:rsidRPr="00A751C0">
              <w:rPr>
                <w:rFonts w:cs="Calibri"/>
                <w:b/>
                <w:bCs/>
                <w:color w:val="000000" w:themeColor="text1"/>
                <w:sz w:val="13"/>
                <w:szCs w:val="13"/>
              </w:rPr>
              <w:t>24</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EC5E8D8" w14:textId="14971015" w:rsidR="00993320" w:rsidRPr="00A751C0" w:rsidRDefault="00993320" w:rsidP="00993320">
            <w:pPr>
              <w:jc w:val="right"/>
              <w:rPr>
                <w:rFonts w:cs="Calibri"/>
                <w:b/>
                <w:bCs/>
                <w:color w:val="000000" w:themeColor="text1"/>
                <w:sz w:val="13"/>
                <w:szCs w:val="13"/>
              </w:rPr>
            </w:pPr>
            <w:r w:rsidRPr="00A751C0">
              <w:rPr>
                <w:rFonts w:cs="Calibri"/>
                <w:b/>
                <w:bCs/>
                <w:color w:val="000000" w:themeColor="text1"/>
                <w:sz w:val="13"/>
                <w:szCs w:val="13"/>
              </w:rPr>
              <w:t>1 412 070</w:t>
            </w:r>
          </w:p>
        </w:tc>
      </w:tr>
      <w:tr w:rsidR="00A751C0" w:rsidRPr="00A751C0" w14:paraId="7F19F781" w14:textId="77777777" w:rsidTr="00795599">
        <w:trPr>
          <w:trHeight w:val="284"/>
        </w:trPr>
        <w:tc>
          <w:tcPr>
            <w:tcW w:w="0" w:type="auto"/>
            <w:tcBorders>
              <w:top w:val="single" w:sz="4" w:space="0" w:color="0077BD"/>
              <w:left w:val="nil"/>
              <w:bottom w:val="nil"/>
              <w:right w:val="nil"/>
            </w:tcBorders>
            <w:shd w:val="clear" w:color="000000" w:fill="FFFFFF"/>
            <w:vAlign w:val="center"/>
            <w:hideMark/>
          </w:tcPr>
          <w:p w14:paraId="0A429943" w14:textId="77777777" w:rsidR="00993320" w:rsidRPr="00A751C0" w:rsidRDefault="00993320" w:rsidP="00993320">
            <w:pPr>
              <w:rPr>
                <w:rFonts w:cs="Calibri"/>
                <w:b/>
                <w:bCs/>
                <w:color w:val="000000" w:themeColor="text1"/>
                <w:sz w:val="13"/>
                <w:szCs w:val="13"/>
              </w:rPr>
            </w:pPr>
            <w:r w:rsidRPr="00A751C0">
              <w:rPr>
                <w:rFonts w:cs="Calibri"/>
                <w:b/>
                <w:bCs/>
                <w:color w:val="000000" w:themeColor="text1"/>
                <w:sz w:val="13"/>
                <w:szCs w:val="13"/>
              </w:rPr>
              <w:t>Dochody całkowite netto, razem przypadające na:</w:t>
            </w:r>
          </w:p>
        </w:tc>
        <w:tc>
          <w:tcPr>
            <w:tcW w:w="567" w:type="dxa"/>
            <w:tcBorders>
              <w:top w:val="single" w:sz="4" w:space="0" w:color="0077BD"/>
              <w:left w:val="nil"/>
              <w:bottom w:val="nil"/>
              <w:right w:val="nil"/>
            </w:tcBorders>
            <w:shd w:val="clear" w:color="000000" w:fill="FFFFFF"/>
            <w:noWrap/>
            <w:vAlign w:val="center"/>
          </w:tcPr>
          <w:p w14:paraId="37FE433B" w14:textId="5C51A692" w:rsidR="00993320" w:rsidRPr="00A751C0" w:rsidRDefault="00993320" w:rsidP="00993320">
            <w:pPr>
              <w:jc w:val="center"/>
              <w:rPr>
                <w:rFonts w:cs="Calibri"/>
                <w:b/>
                <w:bCs/>
                <w:color w:val="000000" w:themeColor="text1"/>
                <w:sz w:val="13"/>
                <w:szCs w:val="13"/>
              </w:rPr>
            </w:pPr>
          </w:p>
        </w:tc>
        <w:tc>
          <w:tcPr>
            <w:tcW w:w="1418" w:type="dxa"/>
            <w:tcBorders>
              <w:top w:val="single" w:sz="4" w:space="0" w:color="0077BD"/>
              <w:left w:val="nil"/>
              <w:bottom w:val="nil"/>
              <w:right w:val="nil"/>
            </w:tcBorders>
            <w:shd w:val="clear" w:color="000000" w:fill="FFFFFF"/>
            <w:noWrap/>
            <w:vAlign w:val="center"/>
          </w:tcPr>
          <w:p w14:paraId="30660880" w14:textId="35A5CD90" w:rsidR="00993320" w:rsidRPr="00A751C0" w:rsidRDefault="00993320" w:rsidP="00993320">
            <w:pPr>
              <w:jc w:val="right"/>
              <w:rPr>
                <w:rFonts w:cs="Calibri"/>
                <w:b/>
                <w:bCs/>
                <w:color w:val="000000" w:themeColor="text1"/>
                <w:sz w:val="13"/>
                <w:szCs w:val="13"/>
              </w:rPr>
            </w:pPr>
          </w:p>
        </w:tc>
        <w:tc>
          <w:tcPr>
            <w:tcW w:w="1418" w:type="dxa"/>
            <w:tcBorders>
              <w:top w:val="single" w:sz="4" w:space="0" w:color="0077BD"/>
              <w:left w:val="nil"/>
              <w:bottom w:val="nil"/>
              <w:right w:val="nil"/>
            </w:tcBorders>
            <w:shd w:val="clear" w:color="000000" w:fill="FFFFFF"/>
            <w:noWrap/>
            <w:vAlign w:val="center"/>
          </w:tcPr>
          <w:p w14:paraId="5560D6B6" w14:textId="1AF24BC6" w:rsidR="00993320" w:rsidRPr="00A751C0" w:rsidRDefault="00993320" w:rsidP="00993320">
            <w:pPr>
              <w:jc w:val="right"/>
              <w:rPr>
                <w:rFonts w:cs="Calibri"/>
                <w:b/>
                <w:bCs/>
                <w:color w:val="000000" w:themeColor="text1"/>
                <w:sz w:val="13"/>
                <w:szCs w:val="13"/>
              </w:rPr>
            </w:pPr>
          </w:p>
        </w:tc>
      </w:tr>
      <w:tr w:rsidR="00A751C0" w:rsidRPr="00A751C0" w14:paraId="0C57D796" w14:textId="77777777" w:rsidTr="00D1784D">
        <w:trPr>
          <w:trHeight w:val="284"/>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22390594" w14:textId="77777777" w:rsidR="00993320" w:rsidRPr="00A751C0" w:rsidRDefault="00993320" w:rsidP="00993320">
            <w:pPr>
              <w:rPr>
                <w:rFonts w:cs="Calibri"/>
                <w:color w:val="000000" w:themeColor="text1"/>
                <w:sz w:val="13"/>
                <w:szCs w:val="13"/>
              </w:rPr>
            </w:pPr>
            <w:r w:rsidRPr="00A751C0">
              <w:rPr>
                <w:rFonts w:cs="Calibri"/>
                <w:color w:val="000000" w:themeColor="text1"/>
                <w:sz w:val="13"/>
                <w:szCs w:val="13"/>
              </w:rPr>
              <w:t>- akcjonariuszy mBanku S.A.</w:t>
            </w:r>
          </w:p>
        </w:tc>
        <w:tc>
          <w:tcPr>
            <w:tcW w:w="567" w:type="dxa"/>
            <w:tcBorders>
              <w:top w:val="single" w:sz="8" w:space="0" w:color="0077BD"/>
              <w:left w:val="nil"/>
              <w:bottom w:val="single" w:sz="4" w:space="0" w:color="0077BD"/>
              <w:right w:val="single" w:sz="8" w:space="0" w:color="0077BD"/>
            </w:tcBorders>
            <w:shd w:val="clear" w:color="auto" w:fill="auto"/>
            <w:noWrap/>
            <w:vAlign w:val="center"/>
          </w:tcPr>
          <w:p w14:paraId="0097C008" w14:textId="50EFE9CD" w:rsidR="00993320" w:rsidRPr="00A751C0" w:rsidRDefault="00993320" w:rsidP="00993320">
            <w:pPr>
              <w:jc w:val="center"/>
              <w:rPr>
                <w:rFonts w:cs="Calibri"/>
                <w:b/>
                <w:bCs/>
                <w:color w:val="000000" w:themeColor="text1"/>
                <w:sz w:val="13"/>
                <w:szCs w:val="13"/>
              </w:rPr>
            </w:pPr>
          </w:p>
        </w:tc>
        <w:tc>
          <w:tcPr>
            <w:tcW w:w="1418" w:type="dxa"/>
            <w:tcBorders>
              <w:top w:val="single" w:sz="8" w:space="0" w:color="0077BD"/>
              <w:left w:val="single" w:sz="8" w:space="0" w:color="0077BD"/>
              <w:bottom w:val="single" w:sz="4" w:space="0" w:color="0077BD"/>
              <w:right w:val="nil"/>
            </w:tcBorders>
            <w:shd w:val="clear" w:color="auto" w:fill="auto"/>
            <w:noWrap/>
            <w:vAlign w:val="center"/>
          </w:tcPr>
          <w:p w14:paraId="58AEAE66" w14:textId="7A424115" w:rsidR="00993320" w:rsidRPr="00A751C0" w:rsidRDefault="00725D6F" w:rsidP="00725D6F">
            <w:pPr>
              <w:jc w:val="right"/>
              <w:rPr>
                <w:rFonts w:cs="Calibri"/>
                <w:color w:val="000000" w:themeColor="text1"/>
                <w:sz w:val="13"/>
                <w:szCs w:val="13"/>
              </w:rPr>
            </w:pPr>
            <w:r w:rsidRPr="00A751C0">
              <w:rPr>
                <w:rFonts w:cs="Calibri"/>
                <w:color w:val="000000" w:themeColor="text1"/>
                <w:sz w:val="13"/>
                <w:szCs w:val="13"/>
              </w:rPr>
              <w:t>972</w:t>
            </w:r>
            <w:r w:rsidR="00993320" w:rsidRPr="00A751C0">
              <w:rPr>
                <w:rFonts w:cs="Calibri"/>
                <w:color w:val="000000" w:themeColor="text1"/>
                <w:sz w:val="13"/>
                <w:szCs w:val="13"/>
              </w:rPr>
              <w:t xml:space="preserve"> </w:t>
            </w:r>
            <w:r w:rsidRPr="00A751C0">
              <w:rPr>
                <w:rFonts w:cs="Calibri"/>
                <w:color w:val="000000" w:themeColor="text1"/>
                <w:sz w:val="13"/>
                <w:szCs w:val="13"/>
              </w:rPr>
              <w:t>222</w:t>
            </w:r>
          </w:p>
        </w:tc>
        <w:tc>
          <w:tcPr>
            <w:tcW w:w="1418" w:type="dxa"/>
            <w:tcBorders>
              <w:top w:val="single" w:sz="8" w:space="0" w:color="0077BD"/>
              <w:left w:val="single" w:sz="8" w:space="0" w:color="0077BD"/>
              <w:bottom w:val="single" w:sz="4" w:space="0" w:color="0077BD"/>
              <w:right w:val="nil"/>
            </w:tcBorders>
            <w:shd w:val="clear" w:color="auto" w:fill="auto"/>
            <w:noWrap/>
            <w:vAlign w:val="center"/>
            <w:hideMark/>
          </w:tcPr>
          <w:p w14:paraId="40656170" w14:textId="0A26E2BD"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1 412 152</w:t>
            </w:r>
          </w:p>
        </w:tc>
      </w:tr>
      <w:tr w:rsidR="00A751C0" w:rsidRPr="00A751C0" w14:paraId="0D4754FB" w14:textId="77777777" w:rsidTr="00D1784D">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20F65D6D" w14:textId="77777777" w:rsidR="00993320" w:rsidRPr="00A751C0" w:rsidRDefault="00993320" w:rsidP="00993320">
            <w:pPr>
              <w:rPr>
                <w:rFonts w:cs="Calibri"/>
                <w:color w:val="000000" w:themeColor="text1"/>
                <w:sz w:val="13"/>
                <w:szCs w:val="13"/>
              </w:rPr>
            </w:pPr>
            <w:r w:rsidRPr="00A751C0">
              <w:rPr>
                <w:rFonts w:cs="Calibri"/>
                <w:color w:val="000000" w:themeColor="text1"/>
                <w:sz w:val="13"/>
                <w:szCs w:val="13"/>
              </w:rPr>
              <w:t>- udziały niekontrolujące</w:t>
            </w:r>
          </w:p>
        </w:tc>
        <w:tc>
          <w:tcPr>
            <w:tcW w:w="567" w:type="dxa"/>
            <w:tcBorders>
              <w:top w:val="nil"/>
              <w:left w:val="nil"/>
              <w:bottom w:val="single" w:sz="8" w:space="0" w:color="0077BD"/>
              <w:right w:val="single" w:sz="8" w:space="0" w:color="0077BD"/>
            </w:tcBorders>
            <w:shd w:val="clear" w:color="auto" w:fill="auto"/>
            <w:noWrap/>
            <w:vAlign w:val="center"/>
          </w:tcPr>
          <w:p w14:paraId="266AE076" w14:textId="1EE93A03" w:rsidR="00993320" w:rsidRPr="00A751C0" w:rsidRDefault="00993320" w:rsidP="00993320">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nil"/>
            </w:tcBorders>
            <w:shd w:val="clear" w:color="auto" w:fill="auto"/>
            <w:noWrap/>
            <w:vAlign w:val="center"/>
          </w:tcPr>
          <w:p w14:paraId="6D31DBBE" w14:textId="250054C9"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(98)</w:t>
            </w:r>
          </w:p>
        </w:tc>
        <w:tc>
          <w:tcPr>
            <w:tcW w:w="1418" w:type="dxa"/>
            <w:tcBorders>
              <w:top w:val="nil"/>
              <w:left w:val="single" w:sz="8" w:space="0" w:color="0077BD"/>
              <w:bottom w:val="single" w:sz="8" w:space="0" w:color="0077BD"/>
              <w:right w:val="nil"/>
            </w:tcBorders>
            <w:shd w:val="clear" w:color="auto" w:fill="auto"/>
            <w:noWrap/>
            <w:vAlign w:val="center"/>
            <w:hideMark/>
          </w:tcPr>
          <w:p w14:paraId="2CC7EFCD" w14:textId="77777777" w:rsidR="00993320" w:rsidRPr="00A751C0" w:rsidRDefault="00993320" w:rsidP="00993320">
            <w:pPr>
              <w:jc w:val="right"/>
              <w:rPr>
                <w:rFonts w:cs="Calibri"/>
                <w:color w:val="000000" w:themeColor="text1"/>
                <w:sz w:val="13"/>
                <w:szCs w:val="13"/>
              </w:rPr>
            </w:pPr>
            <w:r w:rsidRPr="00A751C0">
              <w:rPr>
                <w:rFonts w:cs="Calibri"/>
                <w:color w:val="000000" w:themeColor="text1"/>
                <w:sz w:val="13"/>
                <w:szCs w:val="13"/>
              </w:rPr>
              <w:t>(82)</w:t>
            </w:r>
          </w:p>
        </w:tc>
      </w:tr>
    </w:tbl>
    <w:p w14:paraId="10758C02" w14:textId="77777777" w:rsidR="000F4BEE" w:rsidRPr="000C65B8" w:rsidRDefault="000F4BEE" w:rsidP="00A82642">
      <w:pPr>
        <w:jc w:val="both"/>
      </w:pPr>
    </w:p>
    <w:p w14:paraId="0888DDA1" w14:textId="77777777" w:rsidR="000F4BEE" w:rsidRPr="000C65B8" w:rsidRDefault="000F4BEE" w:rsidP="00A82642">
      <w:pPr>
        <w:jc w:val="both"/>
      </w:pPr>
    </w:p>
    <w:p w14:paraId="05AB261C" w14:textId="77777777" w:rsidR="000F4BEE" w:rsidRPr="000C65B8" w:rsidRDefault="000F4BEE" w:rsidP="00A82642">
      <w:pPr>
        <w:jc w:val="both"/>
      </w:pPr>
    </w:p>
    <w:p w14:paraId="11E1B1A1" w14:textId="77777777" w:rsidR="000F4BEE" w:rsidRPr="000C65B8" w:rsidRDefault="000F4BEE" w:rsidP="00A82642">
      <w:pPr>
        <w:jc w:val="both"/>
      </w:pPr>
    </w:p>
    <w:p w14:paraId="1A681C79" w14:textId="77777777" w:rsidR="000F4BEE" w:rsidRPr="000C65B8" w:rsidRDefault="000F4BEE" w:rsidP="00A82642">
      <w:pPr>
        <w:jc w:val="both"/>
      </w:pPr>
    </w:p>
    <w:p w14:paraId="24A79496" w14:textId="77777777" w:rsidR="00D54946" w:rsidRPr="000C65B8" w:rsidRDefault="00D54946" w:rsidP="00A82642">
      <w:pPr>
        <w:jc w:val="both"/>
      </w:pPr>
    </w:p>
    <w:p w14:paraId="4BFC14BC" w14:textId="77777777" w:rsidR="00D54946" w:rsidRPr="000C65B8" w:rsidRDefault="00D54946" w:rsidP="00A82642">
      <w:pPr>
        <w:jc w:val="both"/>
      </w:pPr>
    </w:p>
    <w:p w14:paraId="20B44CC3" w14:textId="77777777" w:rsidR="00D54946" w:rsidRPr="000C65B8" w:rsidRDefault="00D54946" w:rsidP="00A82642">
      <w:pPr>
        <w:jc w:val="both"/>
      </w:pPr>
    </w:p>
    <w:p w14:paraId="3FF18DDC" w14:textId="77777777" w:rsidR="00D54946" w:rsidRPr="000C65B8" w:rsidRDefault="00D54946" w:rsidP="00A82642">
      <w:pPr>
        <w:jc w:val="both"/>
      </w:pPr>
    </w:p>
    <w:p w14:paraId="30DC1387" w14:textId="77777777" w:rsidR="00D54946" w:rsidRPr="000C65B8" w:rsidRDefault="00D54946" w:rsidP="00A82642">
      <w:pPr>
        <w:jc w:val="both"/>
      </w:pPr>
    </w:p>
    <w:p w14:paraId="05E5FD62" w14:textId="77777777" w:rsidR="00D54946" w:rsidRPr="000C65B8" w:rsidRDefault="00D54946" w:rsidP="00A82642">
      <w:pPr>
        <w:jc w:val="both"/>
      </w:pPr>
    </w:p>
    <w:p w14:paraId="63365C2F" w14:textId="77777777" w:rsidR="00D54946" w:rsidRPr="000C65B8" w:rsidRDefault="00D54946" w:rsidP="00A82642">
      <w:pPr>
        <w:jc w:val="both"/>
      </w:pPr>
    </w:p>
    <w:p w14:paraId="377B7122" w14:textId="77777777" w:rsidR="00D54946" w:rsidRPr="000C65B8" w:rsidRDefault="00D54946" w:rsidP="00A82642">
      <w:pPr>
        <w:jc w:val="both"/>
      </w:pPr>
    </w:p>
    <w:p w14:paraId="7CF5B285" w14:textId="77777777" w:rsidR="00443ABF" w:rsidRPr="000C65B8" w:rsidRDefault="00443ABF" w:rsidP="00A82642">
      <w:pPr>
        <w:jc w:val="both"/>
      </w:pPr>
    </w:p>
    <w:p w14:paraId="78CE881B" w14:textId="77777777" w:rsidR="00443ABF" w:rsidRPr="000C65B8" w:rsidRDefault="00443ABF" w:rsidP="00A82642">
      <w:pPr>
        <w:jc w:val="both"/>
      </w:pPr>
    </w:p>
    <w:p w14:paraId="26487450" w14:textId="77777777" w:rsidR="00443ABF" w:rsidRPr="000C65B8" w:rsidRDefault="00443ABF" w:rsidP="00A82642">
      <w:pPr>
        <w:jc w:val="both"/>
      </w:pPr>
    </w:p>
    <w:p w14:paraId="60CBEF01" w14:textId="77777777" w:rsidR="00F9138D" w:rsidRPr="000C65B8" w:rsidRDefault="00F9138D" w:rsidP="00A82642">
      <w:pPr>
        <w:jc w:val="both"/>
      </w:pPr>
    </w:p>
    <w:p w14:paraId="7267B6A6" w14:textId="77777777" w:rsidR="00F9138D" w:rsidRPr="000C65B8" w:rsidRDefault="00F9138D" w:rsidP="00A82642">
      <w:pPr>
        <w:jc w:val="both"/>
      </w:pPr>
    </w:p>
    <w:p w14:paraId="0FD7022F" w14:textId="77777777" w:rsidR="00F9138D" w:rsidRPr="000C65B8" w:rsidRDefault="00F9138D" w:rsidP="00A82642">
      <w:pPr>
        <w:jc w:val="both"/>
      </w:pPr>
    </w:p>
    <w:p w14:paraId="467B6C90" w14:textId="77777777" w:rsidR="00F9138D" w:rsidRPr="000C65B8" w:rsidRDefault="00F9138D" w:rsidP="00A82642">
      <w:pPr>
        <w:jc w:val="both"/>
      </w:pPr>
    </w:p>
    <w:p w14:paraId="08009F97" w14:textId="77777777" w:rsidR="00F9138D" w:rsidRPr="000C65B8" w:rsidRDefault="00F9138D" w:rsidP="00A82642">
      <w:pPr>
        <w:jc w:val="both"/>
      </w:pPr>
    </w:p>
    <w:p w14:paraId="1AF71E14" w14:textId="77777777" w:rsidR="00F9138D" w:rsidRPr="000C65B8" w:rsidRDefault="00F9138D" w:rsidP="00A82642">
      <w:pPr>
        <w:jc w:val="both"/>
      </w:pPr>
    </w:p>
    <w:p w14:paraId="15499DEA" w14:textId="77777777" w:rsidR="00F9138D" w:rsidRPr="000C65B8" w:rsidRDefault="00F9138D" w:rsidP="00A82642">
      <w:pPr>
        <w:jc w:val="both"/>
      </w:pPr>
    </w:p>
    <w:p w14:paraId="443BD9C6" w14:textId="77777777" w:rsidR="00F9138D" w:rsidRPr="000C65B8" w:rsidRDefault="00F9138D" w:rsidP="00A82642">
      <w:pPr>
        <w:jc w:val="both"/>
      </w:pPr>
    </w:p>
    <w:p w14:paraId="471E4A82" w14:textId="77777777" w:rsidR="00F9138D" w:rsidRPr="000C65B8" w:rsidRDefault="00F9138D" w:rsidP="00A82642">
      <w:pPr>
        <w:jc w:val="both"/>
      </w:pPr>
    </w:p>
    <w:p w14:paraId="701D454D" w14:textId="77777777" w:rsidR="00F9138D" w:rsidRPr="000C65B8" w:rsidRDefault="00F9138D" w:rsidP="00A82642">
      <w:pPr>
        <w:jc w:val="both"/>
      </w:pPr>
    </w:p>
    <w:p w14:paraId="2DF88047" w14:textId="77777777" w:rsidR="00F9138D" w:rsidRPr="000C65B8" w:rsidRDefault="00F9138D" w:rsidP="00A82642">
      <w:pPr>
        <w:jc w:val="both"/>
      </w:pPr>
    </w:p>
    <w:p w14:paraId="5755F2AF" w14:textId="04109B61" w:rsidR="00F9138D" w:rsidRDefault="00F9138D" w:rsidP="00A82642">
      <w:pPr>
        <w:jc w:val="both"/>
      </w:pPr>
    </w:p>
    <w:p w14:paraId="0C25790F" w14:textId="30A39DDF" w:rsidR="005E7415" w:rsidRDefault="005E7415" w:rsidP="00A82642">
      <w:pPr>
        <w:jc w:val="both"/>
      </w:pPr>
    </w:p>
    <w:p w14:paraId="0FEC3667" w14:textId="6370521B" w:rsidR="005E7415" w:rsidRDefault="005E7415" w:rsidP="00A82642">
      <w:pPr>
        <w:jc w:val="both"/>
      </w:pPr>
    </w:p>
    <w:p w14:paraId="670AD230" w14:textId="0439010F" w:rsidR="005E7415" w:rsidRDefault="005E7415" w:rsidP="00A82642">
      <w:pPr>
        <w:jc w:val="both"/>
      </w:pPr>
    </w:p>
    <w:p w14:paraId="19EA52DA" w14:textId="75A430C3" w:rsidR="005E7415" w:rsidRDefault="005E7415" w:rsidP="00A82642">
      <w:pPr>
        <w:jc w:val="both"/>
      </w:pPr>
    </w:p>
    <w:p w14:paraId="36EFAC6A" w14:textId="23D34AFB" w:rsidR="005E7415" w:rsidRDefault="005E7415" w:rsidP="00A82642">
      <w:pPr>
        <w:jc w:val="both"/>
      </w:pPr>
    </w:p>
    <w:p w14:paraId="7BF04144" w14:textId="2F22C724" w:rsidR="005E7415" w:rsidRDefault="005E7415" w:rsidP="00A82642">
      <w:pPr>
        <w:jc w:val="both"/>
      </w:pPr>
    </w:p>
    <w:p w14:paraId="643E6BF2" w14:textId="48B80E90" w:rsidR="005E7415" w:rsidRDefault="005E7415" w:rsidP="00A82642">
      <w:pPr>
        <w:jc w:val="both"/>
      </w:pPr>
    </w:p>
    <w:p w14:paraId="5813770A" w14:textId="042A7A91" w:rsidR="005E7415" w:rsidRDefault="005E7415" w:rsidP="00A82642">
      <w:pPr>
        <w:jc w:val="both"/>
      </w:pPr>
    </w:p>
    <w:p w14:paraId="6CACB955" w14:textId="58F802AA" w:rsidR="005E7415" w:rsidRDefault="005E7415" w:rsidP="00A82642">
      <w:pPr>
        <w:jc w:val="both"/>
      </w:pPr>
    </w:p>
    <w:p w14:paraId="3D8B2832" w14:textId="265F7E56" w:rsidR="002A066F" w:rsidRDefault="002A066F" w:rsidP="00A82642">
      <w:pPr>
        <w:jc w:val="both"/>
      </w:pPr>
    </w:p>
    <w:p w14:paraId="387E77FE" w14:textId="6E99FD83" w:rsidR="002A066F" w:rsidRDefault="002A066F" w:rsidP="00A82642">
      <w:pPr>
        <w:jc w:val="both"/>
      </w:pPr>
    </w:p>
    <w:p w14:paraId="249F6E79" w14:textId="2D53C4AF" w:rsidR="002A066F" w:rsidRDefault="002A066F" w:rsidP="00A82642">
      <w:pPr>
        <w:jc w:val="both"/>
      </w:pPr>
    </w:p>
    <w:p w14:paraId="01AD40E6" w14:textId="1E3A2B2B" w:rsidR="002A066F" w:rsidRDefault="002A066F" w:rsidP="00A82642">
      <w:pPr>
        <w:jc w:val="both"/>
      </w:pPr>
    </w:p>
    <w:p w14:paraId="3896E0CC" w14:textId="77777777" w:rsidR="002A066F" w:rsidRPr="000C65B8" w:rsidRDefault="002A066F" w:rsidP="00A82642">
      <w:pPr>
        <w:jc w:val="both"/>
      </w:pPr>
    </w:p>
    <w:p w14:paraId="070BB163" w14:textId="783E8574" w:rsidR="000F4BEE" w:rsidRDefault="000F4BEE" w:rsidP="00A82642">
      <w:pPr>
        <w:jc w:val="both"/>
      </w:pPr>
    </w:p>
    <w:p w14:paraId="11929FCA" w14:textId="701C4907" w:rsidR="002A066F" w:rsidRDefault="002A066F" w:rsidP="00A82642">
      <w:pPr>
        <w:jc w:val="both"/>
      </w:pPr>
    </w:p>
    <w:p w14:paraId="082A7B7F" w14:textId="77777777" w:rsidR="002A066F" w:rsidRPr="000C65B8" w:rsidRDefault="002A066F" w:rsidP="00A82642">
      <w:pPr>
        <w:jc w:val="both"/>
      </w:pPr>
    </w:p>
    <w:p w14:paraId="66A0E56D" w14:textId="7CF2DF1E" w:rsidR="000F4BEE" w:rsidRPr="00A751C0" w:rsidRDefault="000F4BEE" w:rsidP="00A82642">
      <w:pPr>
        <w:tabs>
          <w:tab w:val="left" w:pos="1418"/>
        </w:tabs>
        <w:suppressAutoHyphens/>
        <w:jc w:val="both"/>
        <w:rPr>
          <w:rFonts w:cs="Tahoma"/>
          <w:color w:val="000000" w:themeColor="text1"/>
          <w:szCs w:val="16"/>
        </w:rPr>
      </w:pPr>
      <w:r w:rsidRPr="002A066F">
        <w:rPr>
          <w:rFonts w:cs="Tahoma"/>
          <w:color w:val="000000" w:themeColor="text1"/>
          <w:szCs w:val="16"/>
        </w:rPr>
        <w:t xml:space="preserve">Noty przedstawione na stronach </w:t>
      </w:r>
      <w:r w:rsidR="001B4802">
        <w:rPr>
          <w:rFonts w:cs="Tahoma"/>
          <w:color w:val="000000" w:themeColor="text1"/>
          <w:szCs w:val="16"/>
        </w:rPr>
        <w:t>10</w:t>
      </w:r>
      <w:r w:rsidR="005A393F">
        <w:rPr>
          <w:rFonts w:cs="Tahoma"/>
          <w:color w:val="000000" w:themeColor="text1"/>
          <w:szCs w:val="16"/>
        </w:rPr>
        <w:t xml:space="preserve"> - 177</w:t>
      </w:r>
      <w:r w:rsidRPr="002A066F">
        <w:rPr>
          <w:rFonts w:cs="Tahoma"/>
          <w:color w:val="000000" w:themeColor="text1"/>
          <w:szCs w:val="16"/>
        </w:rPr>
        <w:t xml:space="preserve"> stanowią integralną część niniejszego skonsolidowanego sprawozdania</w:t>
      </w:r>
      <w:r w:rsidRPr="00A751C0">
        <w:rPr>
          <w:rFonts w:cs="Tahoma"/>
          <w:color w:val="000000" w:themeColor="text1"/>
          <w:szCs w:val="16"/>
        </w:rPr>
        <w:t xml:space="preserve"> finansowego.</w:t>
      </w:r>
    </w:p>
    <w:p w14:paraId="458E64DC" w14:textId="77777777" w:rsidR="000F4BEE" w:rsidRPr="00A751C0" w:rsidRDefault="000F4BEE" w:rsidP="00A82642">
      <w:pPr>
        <w:jc w:val="both"/>
        <w:rPr>
          <w:color w:val="000000" w:themeColor="text1"/>
        </w:rPr>
      </w:pPr>
      <w:r w:rsidRPr="00A751C0">
        <w:rPr>
          <w:color w:val="000000" w:themeColor="text1"/>
        </w:rPr>
        <w:br w:type="page"/>
      </w:r>
    </w:p>
    <w:p w14:paraId="02C012BC" w14:textId="033F7039" w:rsidR="002458A2" w:rsidRPr="00A751C0" w:rsidRDefault="000F4BEE" w:rsidP="003654A4">
      <w:pPr>
        <w:pStyle w:val="Nagwek2"/>
        <w:numPr>
          <w:ilvl w:val="0"/>
          <w:numId w:val="0"/>
        </w:numPr>
        <w:spacing w:before="0" w:after="0"/>
        <w:jc w:val="both"/>
        <w:rPr>
          <w:color w:val="000000" w:themeColor="text1"/>
        </w:rPr>
      </w:pPr>
      <w:bookmarkStart w:id="6" w:name="_Toc32999783"/>
      <w:r w:rsidRPr="00A751C0">
        <w:rPr>
          <w:color w:val="000000" w:themeColor="text1"/>
        </w:rPr>
        <w:lastRenderedPageBreak/>
        <w:t>Skonsolidowane s</w:t>
      </w:r>
      <w:r w:rsidR="002458A2" w:rsidRPr="00A751C0">
        <w:rPr>
          <w:color w:val="000000" w:themeColor="text1"/>
        </w:rPr>
        <w:t>prawozdanie z sytuacji finansowej</w:t>
      </w:r>
      <w:bookmarkEnd w:id="6"/>
    </w:p>
    <w:p w14:paraId="33C0E831" w14:textId="77777777" w:rsidR="003654A4" w:rsidRPr="003654A4" w:rsidRDefault="003654A4" w:rsidP="0080079D">
      <w:pPr>
        <w:spacing w:line="72" w:lineRule="auto"/>
      </w:pPr>
    </w:p>
    <w:tbl>
      <w:tblPr>
        <w:tblW w:w="0" w:type="auto"/>
        <w:tblCellMar>
          <w:left w:w="28" w:type="dxa"/>
          <w:right w:w="28" w:type="dxa"/>
        </w:tblCellMar>
        <w:tblLook w:val="04A0" w:firstRow="1" w:lastRow="0" w:firstColumn="1" w:lastColumn="0" w:noHBand="0" w:noVBand="1"/>
      </w:tblPr>
      <w:tblGrid>
        <w:gridCol w:w="4760"/>
        <w:gridCol w:w="567"/>
        <w:gridCol w:w="1418"/>
        <w:gridCol w:w="1418"/>
        <w:gridCol w:w="1418"/>
      </w:tblGrid>
      <w:tr w:rsidR="00341FB2" w:rsidRPr="005E7415" w14:paraId="4D006731" w14:textId="700833E8" w:rsidTr="00AF1416">
        <w:trPr>
          <w:trHeight w:val="340"/>
        </w:trPr>
        <w:tc>
          <w:tcPr>
            <w:tcW w:w="4760" w:type="dxa"/>
            <w:tcBorders>
              <w:top w:val="single" w:sz="8" w:space="0" w:color="FFFFFF"/>
              <w:left w:val="nil"/>
              <w:right w:val="single" w:sz="8" w:space="0" w:color="FFFFFF"/>
            </w:tcBorders>
            <w:shd w:val="clear" w:color="000000" w:fill="0077BD"/>
            <w:vAlign w:val="center"/>
            <w:hideMark/>
          </w:tcPr>
          <w:p w14:paraId="0D4507FC" w14:textId="77777777" w:rsidR="00341FB2" w:rsidRPr="005E7415" w:rsidRDefault="00341FB2" w:rsidP="005E7415">
            <w:pPr>
              <w:rPr>
                <w:rFonts w:cs="Calibri"/>
                <w:b/>
                <w:bCs/>
                <w:color w:val="FFFFFF"/>
                <w:sz w:val="13"/>
                <w:szCs w:val="13"/>
              </w:rPr>
            </w:pPr>
            <w:r w:rsidRPr="005E7415">
              <w:rPr>
                <w:rFonts w:cs="Calibri"/>
                <w:b/>
                <w:bCs/>
                <w:color w:val="FFFFFF"/>
                <w:sz w:val="13"/>
                <w:szCs w:val="13"/>
              </w:rPr>
              <w:t>AKTYWA</w:t>
            </w:r>
          </w:p>
        </w:tc>
        <w:tc>
          <w:tcPr>
            <w:tcW w:w="567" w:type="dxa"/>
            <w:tcBorders>
              <w:top w:val="single" w:sz="8" w:space="0" w:color="FFFFFF"/>
              <w:left w:val="nil"/>
              <w:right w:val="single" w:sz="8" w:space="0" w:color="FFFFFF"/>
            </w:tcBorders>
            <w:shd w:val="clear" w:color="000000" w:fill="0077BD"/>
            <w:noWrap/>
            <w:vAlign w:val="center"/>
            <w:hideMark/>
          </w:tcPr>
          <w:p w14:paraId="2C50144F" w14:textId="77777777" w:rsidR="00341FB2" w:rsidRPr="005E7415" w:rsidRDefault="00341FB2" w:rsidP="005E7415">
            <w:pPr>
              <w:jc w:val="center"/>
              <w:rPr>
                <w:rFonts w:cs="Calibri"/>
                <w:b/>
                <w:bCs/>
                <w:color w:val="FFFFFF"/>
                <w:sz w:val="13"/>
                <w:szCs w:val="13"/>
              </w:rPr>
            </w:pPr>
            <w:r w:rsidRPr="005E7415">
              <w:rPr>
                <w:rFonts w:cs="Calibri"/>
                <w:b/>
                <w:bCs/>
                <w:color w:val="FFFFFF"/>
                <w:sz w:val="13"/>
                <w:szCs w:val="13"/>
              </w:rPr>
              <w:t>Nota</w:t>
            </w:r>
          </w:p>
        </w:tc>
        <w:tc>
          <w:tcPr>
            <w:tcW w:w="1418" w:type="dxa"/>
            <w:tcBorders>
              <w:top w:val="single" w:sz="8" w:space="0" w:color="FFFFFF"/>
              <w:left w:val="nil"/>
              <w:right w:val="nil"/>
            </w:tcBorders>
            <w:shd w:val="clear" w:color="000000" w:fill="0077BD"/>
            <w:noWrap/>
            <w:vAlign w:val="center"/>
            <w:hideMark/>
          </w:tcPr>
          <w:p w14:paraId="1727D24D" w14:textId="77777777" w:rsidR="00341FB2" w:rsidRPr="005E7415" w:rsidRDefault="00341FB2" w:rsidP="005E7415">
            <w:pPr>
              <w:jc w:val="right"/>
              <w:rPr>
                <w:rFonts w:cs="Calibri"/>
                <w:b/>
                <w:bCs/>
                <w:color w:val="FFFFFF"/>
                <w:sz w:val="13"/>
                <w:szCs w:val="13"/>
              </w:rPr>
            </w:pPr>
            <w:r w:rsidRPr="005E7415">
              <w:rPr>
                <w:rFonts w:cs="Calibri"/>
                <w:b/>
                <w:bCs/>
                <w:color w:val="FFFFFF"/>
                <w:sz w:val="13"/>
                <w:szCs w:val="13"/>
              </w:rPr>
              <w:t>31.12.2019</w:t>
            </w:r>
          </w:p>
        </w:tc>
        <w:tc>
          <w:tcPr>
            <w:tcW w:w="1418" w:type="dxa"/>
            <w:tcBorders>
              <w:top w:val="single" w:sz="8" w:space="0" w:color="FFFFFF"/>
              <w:left w:val="single" w:sz="8" w:space="0" w:color="FFFFFF"/>
              <w:right w:val="nil"/>
            </w:tcBorders>
            <w:shd w:val="clear" w:color="000000" w:fill="0077BD"/>
            <w:noWrap/>
            <w:vAlign w:val="center"/>
            <w:hideMark/>
          </w:tcPr>
          <w:p w14:paraId="6DBB7EE7" w14:textId="1B102779" w:rsidR="00341FB2" w:rsidRPr="005E7415" w:rsidRDefault="00341FB2" w:rsidP="005E7415">
            <w:pPr>
              <w:jc w:val="right"/>
              <w:rPr>
                <w:rFonts w:cs="Calibri"/>
                <w:b/>
                <w:bCs/>
                <w:color w:val="FFFFFF"/>
                <w:sz w:val="13"/>
                <w:szCs w:val="13"/>
              </w:rPr>
            </w:pPr>
            <w:r w:rsidRPr="005E7415">
              <w:rPr>
                <w:rFonts w:cs="Calibri"/>
                <w:b/>
                <w:bCs/>
                <w:color w:val="FFFFFF"/>
                <w:sz w:val="13"/>
                <w:szCs w:val="13"/>
              </w:rPr>
              <w:t>31.12.2018</w:t>
            </w:r>
            <w:r>
              <w:rPr>
                <w:rFonts w:cs="Calibri"/>
                <w:b/>
                <w:bCs/>
                <w:color w:val="FFFFFF"/>
                <w:sz w:val="13"/>
                <w:szCs w:val="13"/>
              </w:rPr>
              <w:br/>
              <w:t>- przekształcone</w:t>
            </w:r>
          </w:p>
        </w:tc>
        <w:tc>
          <w:tcPr>
            <w:tcW w:w="1418" w:type="dxa"/>
            <w:tcBorders>
              <w:top w:val="single" w:sz="8" w:space="0" w:color="FFFFFF"/>
              <w:left w:val="single" w:sz="8" w:space="0" w:color="FFFFFF"/>
              <w:right w:val="nil"/>
            </w:tcBorders>
            <w:shd w:val="clear" w:color="000000" w:fill="0077BD"/>
          </w:tcPr>
          <w:p w14:paraId="05BC4BF0" w14:textId="595FDDC7" w:rsidR="00341FB2" w:rsidRPr="005E7415" w:rsidRDefault="00341FB2" w:rsidP="005E7415">
            <w:pPr>
              <w:jc w:val="right"/>
              <w:rPr>
                <w:rFonts w:cs="Calibri"/>
                <w:b/>
                <w:bCs/>
                <w:color w:val="FFFFFF"/>
                <w:sz w:val="13"/>
                <w:szCs w:val="13"/>
              </w:rPr>
            </w:pPr>
            <w:r>
              <w:rPr>
                <w:rFonts w:cs="Calibri"/>
                <w:b/>
                <w:bCs/>
                <w:color w:val="FFFFFF"/>
                <w:sz w:val="13"/>
                <w:szCs w:val="13"/>
              </w:rPr>
              <w:t>01.01.2018</w:t>
            </w:r>
            <w:r>
              <w:rPr>
                <w:rFonts w:cs="Calibri"/>
                <w:b/>
                <w:bCs/>
                <w:color w:val="FFFFFF"/>
                <w:sz w:val="13"/>
                <w:szCs w:val="13"/>
              </w:rPr>
              <w:br/>
              <w:t>- przekształcone</w:t>
            </w:r>
          </w:p>
        </w:tc>
      </w:tr>
      <w:tr w:rsidR="00A751C0" w:rsidRPr="00A751C0" w14:paraId="74B220DD" w14:textId="23B9E505" w:rsidTr="00552529">
        <w:trPr>
          <w:trHeight w:val="227"/>
        </w:trPr>
        <w:tc>
          <w:tcPr>
            <w:tcW w:w="4760" w:type="dxa"/>
            <w:tcBorders>
              <w:left w:val="nil"/>
              <w:bottom w:val="single" w:sz="4" w:space="0" w:color="0077BD"/>
              <w:right w:val="single" w:sz="8" w:space="0" w:color="0077BD"/>
            </w:tcBorders>
            <w:shd w:val="clear" w:color="auto" w:fill="auto"/>
            <w:vAlign w:val="center"/>
            <w:hideMark/>
          </w:tcPr>
          <w:p w14:paraId="2383A5A2" w14:textId="77777777" w:rsidR="00104C09" w:rsidRPr="00A751C0" w:rsidRDefault="00104C09" w:rsidP="00104C09">
            <w:pPr>
              <w:rPr>
                <w:rFonts w:cs="Calibri"/>
                <w:color w:val="000000" w:themeColor="text1"/>
                <w:sz w:val="13"/>
                <w:szCs w:val="13"/>
              </w:rPr>
            </w:pPr>
            <w:r w:rsidRPr="00A751C0">
              <w:rPr>
                <w:rFonts w:cs="Calibri"/>
                <w:color w:val="000000" w:themeColor="text1"/>
                <w:sz w:val="13"/>
                <w:szCs w:val="13"/>
              </w:rPr>
              <w:t>Kasa, operacje z bankiem centralnym</w:t>
            </w:r>
          </w:p>
        </w:tc>
        <w:tc>
          <w:tcPr>
            <w:tcW w:w="567" w:type="dxa"/>
            <w:tcBorders>
              <w:left w:val="nil"/>
              <w:bottom w:val="single" w:sz="4" w:space="0" w:color="0077BD"/>
              <w:right w:val="nil"/>
            </w:tcBorders>
            <w:shd w:val="clear" w:color="auto" w:fill="auto"/>
            <w:noWrap/>
            <w:vAlign w:val="center"/>
            <w:hideMark/>
          </w:tcPr>
          <w:p w14:paraId="0C7601BC" w14:textId="77777777" w:rsidR="00104C09" w:rsidRPr="00A751C0" w:rsidRDefault="00104C09" w:rsidP="00104C09">
            <w:pPr>
              <w:jc w:val="center"/>
              <w:rPr>
                <w:rFonts w:cs="Calibri"/>
                <w:color w:val="000000" w:themeColor="text1"/>
                <w:sz w:val="13"/>
                <w:szCs w:val="13"/>
              </w:rPr>
            </w:pPr>
            <w:r w:rsidRPr="00A751C0">
              <w:rPr>
                <w:rFonts w:cs="Calibri"/>
                <w:color w:val="000000" w:themeColor="text1"/>
                <w:sz w:val="13"/>
                <w:szCs w:val="13"/>
              </w:rPr>
              <w:t>19</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262D4085" w14:textId="652BCA42"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7 897 010</w:t>
            </w:r>
          </w:p>
        </w:tc>
        <w:tc>
          <w:tcPr>
            <w:tcW w:w="1418" w:type="dxa"/>
            <w:tcBorders>
              <w:left w:val="single" w:sz="8" w:space="0" w:color="0077BD"/>
              <w:bottom w:val="single" w:sz="4" w:space="0" w:color="0077BD"/>
              <w:right w:val="nil"/>
            </w:tcBorders>
            <w:shd w:val="clear" w:color="auto" w:fill="auto"/>
            <w:noWrap/>
            <w:vAlign w:val="center"/>
            <w:hideMark/>
          </w:tcPr>
          <w:p w14:paraId="31110323" w14:textId="77777777"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9 199 264</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2D93B873" w14:textId="0EDB5F70"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7 384 869</w:t>
            </w:r>
          </w:p>
        </w:tc>
      </w:tr>
      <w:tr w:rsidR="00A751C0" w:rsidRPr="00A751C0" w14:paraId="2856141A" w14:textId="1717E022"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70A3C59A" w14:textId="77777777" w:rsidR="00104C09" w:rsidRPr="00A751C0" w:rsidRDefault="00104C09" w:rsidP="00104C09">
            <w:pPr>
              <w:rPr>
                <w:rFonts w:cs="Calibri"/>
                <w:color w:val="000000" w:themeColor="text1"/>
                <w:sz w:val="13"/>
                <w:szCs w:val="13"/>
              </w:rPr>
            </w:pPr>
            <w:r w:rsidRPr="00A751C0">
              <w:rPr>
                <w:rFonts w:cs="Calibri"/>
                <w:color w:val="000000" w:themeColor="text1"/>
                <w:sz w:val="13"/>
                <w:szCs w:val="13"/>
              </w:rPr>
              <w:t>Aktywa finansowe przeznaczone do obrotu oraz instrumenty pochodne zabezpieczające</w:t>
            </w:r>
          </w:p>
        </w:tc>
        <w:tc>
          <w:tcPr>
            <w:tcW w:w="567" w:type="dxa"/>
            <w:tcBorders>
              <w:top w:val="nil"/>
              <w:left w:val="nil"/>
              <w:bottom w:val="single" w:sz="4" w:space="0" w:color="0077BD"/>
              <w:right w:val="nil"/>
            </w:tcBorders>
            <w:shd w:val="clear" w:color="auto" w:fill="auto"/>
            <w:noWrap/>
            <w:vAlign w:val="center"/>
            <w:hideMark/>
          </w:tcPr>
          <w:p w14:paraId="55E0A6F2" w14:textId="77777777" w:rsidR="00104C09" w:rsidRPr="00A751C0" w:rsidRDefault="00104C09" w:rsidP="00104C09">
            <w:pPr>
              <w:jc w:val="center"/>
              <w:rPr>
                <w:rFonts w:cs="Calibri"/>
                <w:color w:val="000000" w:themeColor="text1"/>
                <w:sz w:val="13"/>
                <w:szCs w:val="13"/>
              </w:rPr>
            </w:pPr>
            <w:r w:rsidRPr="00A751C0">
              <w:rPr>
                <w:rFonts w:cs="Calibri"/>
                <w:color w:val="000000" w:themeColor="text1"/>
                <w:sz w:val="13"/>
                <w:szCs w:val="13"/>
              </w:rPr>
              <w:t>20</w:t>
            </w:r>
          </w:p>
        </w:tc>
        <w:tc>
          <w:tcPr>
            <w:tcW w:w="1418" w:type="dxa"/>
            <w:tcBorders>
              <w:top w:val="nil"/>
              <w:left w:val="single" w:sz="8" w:space="0" w:color="0077BD"/>
              <w:bottom w:val="single" w:sz="4" w:space="0" w:color="0077BD"/>
              <w:right w:val="nil"/>
            </w:tcBorders>
            <w:shd w:val="clear" w:color="auto" w:fill="auto"/>
            <w:noWrap/>
            <w:vAlign w:val="center"/>
          </w:tcPr>
          <w:p w14:paraId="26717173" w14:textId="5BFB2728"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2 866 034</w:t>
            </w:r>
          </w:p>
        </w:tc>
        <w:tc>
          <w:tcPr>
            <w:tcW w:w="1418" w:type="dxa"/>
            <w:tcBorders>
              <w:top w:val="nil"/>
              <w:left w:val="single" w:sz="8" w:space="0" w:color="0077BD"/>
              <w:bottom w:val="single" w:sz="4" w:space="0" w:color="0077BD"/>
              <w:right w:val="nil"/>
            </w:tcBorders>
            <w:shd w:val="clear" w:color="auto" w:fill="auto"/>
            <w:noWrap/>
            <w:vAlign w:val="center"/>
            <w:hideMark/>
          </w:tcPr>
          <w:p w14:paraId="691A12F4" w14:textId="2D1F2968" w:rsidR="00104C09" w:rsidRPr="00A751C0" w:rsidRDefault="006517DE" w:rsidP="006517DE">
            <w:pPr>
              <w:jc w:val="right"/>
              <w:rPr>
                <w:rFonts w:cs="Calibri"/>
                <w:color w:val="000000" w:themeColor="text1"/>
                <w:sz w:val="13"/>
                <w:szCs w:val="13"/>
              </w:rPr>
            </w:pPr>
            <w:r w:rsidRPr="00A751C0">
              <w:rPr>
                <w:rFonts w:cs="Calibri"/>
                <w:color w:val="000000" w:themeColor="text1"/>
                <w:sz w:val="13"/>
                <w:szCs w:val="13"/>
              </w:rPr>
              <w:t>2 13</w:t>
            </w:r>
            <w:r w:rsidR="00104C09" w:rsidRPr="00A751C0">
              <w:rPr>
                <w:rFonts w:cs="Calibri"/>
                <w:color w:val="000000" w:themeColor="text1"/>
                <w:sz w:val="13"/>
                <w:szCs w:val="13"/>
              </w:rPr>
              <w:t xml:space="preserve">4 </w:t>
            </w:r>
            <w:r w:rsidRPr="00A751C0">
              <w:rPr>
                <w:rFonts w:cs="Calibri"/>
                <w:color w:val="000000" w:themeColor="text1"/>
                <w:sz w:val="13"/>
                <w:szCs w:val="13"/>
              </w:rPr>
              <w:t>741</w:t>
            </w:r>
          </w:p>
        </w:tc>
        <w:tc>
          <w:tcPr>
            <w:tcW w:w="1418" w:type="dxa"/>
            <w:tcBorders>
              <w:top w:val="nil"/>
              <w:left w:val="single" w:sz="8" w:space="0" w:color="0077BD"/>
              <w:bottom w:val="single" w:sz="4" w:space="0" w:color="0077BD"/>
              <w:right w:val="nil"/>
            </w:tcBorders>
            <w:shd w:val="clear" w:color="auto" w:fill="auto"/>
            <w:vAlign w:val="center"/>
          </w:tcPr>
          <w:p w14:paraId="09FE2F5A" w14:textId="10E90F0D"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2 499 349</w:t>
            </w:r>
          </w:p>
        </w:tc>
      </w:tr>
      <w:tr w:rsidR="00A751C0" w:rsidRPr="00A751C0" w14:paraId="13A5E979" w14:textId="776B4F9B" w:rsidTr="00552529">
        <w:trPr>
          <w:trHeight w:val="340"/>
        </w:trPr>
        <w:tc>
          <w:tcPr>
            <w:tcW w:w="4760" w:type="dxa"/>
            <w:tcBorders>
              <w:top w:val="nil"/>
              <w:left w:val="nil"/>
              <w:bottom w:val="single" w:sz="4" w:space="0" w:color="0077BD"/>
              <w:right w:val="single" w:sz="8" w:space="0" w:color="0077BD"/>
            </w:tcBorders>
            <w:shd w:val="clear" w:color="auto" w:fill="auto"/>
            <w:vAlign w:val="center"/>
            <w:hideMark/>
          </w:tcPr>
          <w:p w14:paraId="094DEDC9" w14:textId="77777777" w:rsidR="00104C09" w:rsidRPr="00A751C0" w:rsidRDefault="00104C09" w:rsidP="00104C09">
            <w:pPr>
              <w:rPr>
                <w:rFonts w:cs="Calibri"/>
                <w:color w:val="000000" w:themeColor="text1"/>
                <w:sz w:val="13"/>
                <w:szCs w:val="13"/>
              </w:rPr>
            </w:pPr>
            <w:r w:rsidRPr="00A751C0">
              <w:rPr>
                <w:rFonts w:cs="Calibri"/>
                <w:color w:val="000000" w:themeColor="text1"/>
                <w:sz w:val="13"/>
                <w:szCs w:val="13"/>
              </w:rPr>
              <w:t>Aktywa finansowe nieprzeznaczone do obrotu wyceniane obowiązkowo w wartości godziwej przez wynik finansowy, w tym:</w:t>
            </w:r>
          </w:p>
        </w:tc>
        <w:tc>
          <w:tcPr>
            <w:tcW w:w="567" w:type="dxa"/>
            <w:tcBorders>
              <w:top w:val="nil"/>
              <w:left w:val="nil"/>
              <w:bottom w:val="single" w:sz="4" w:space="0" w:color="0077BD"/>
              <w:right w:val="nil"/>
            </w:tcBorders>
            <w:shd w:val="clear" w:color="auto" w:fill="auto"/>
            <w:noWrap/>
            <w:vAlign w:val="center"/>
            <w:hideMark/>
          </w:tcPr>
          <w:p w14:paraId="0DA7DE50" w14:textId="77777777" w:rsidR="00104C09" w:rsidRPr="00A751C0" w:rsidRDefault="00104C09" w:rsidP="00104C09">
            <w:pPr>
              <w:jc w:val="center"/>
              <w:rPr>
                <w:rFonts w:cs="Calibri"/>
                <w:color w:val="000000" w:themeColor="text1"/>
                <w:sz w:val="13"/>
                <w:szCs w:val="13"/>
              </w:rPr>
            </w:pPr>
            <w:r w:rsidRPr="00A751C0">
              <w:rPr>
                <w:rFonts w:cs="Calibri"/>
                <w:color w:val="000000" w:themeColor="text1"/>
                <w:sz w:val="13"/>
                <w:szCs w:val="13"/>
              </w:rPr>
              <w:t>21</w:t>
            </w:r>
          </w:p>
        </w:tc>
        <w:tc>
          <w:tcPr>
            <w:tcW w:w="1418" w:type="dxa"/>
            <w:tcBorders>
              <w:top w:val="nil"/>
              <w:left w:val="single" w:sz="8" w:space="0" w:color="0077BD"/>
              <w:bottom w:val="single" w:sz="4" w:space="0" w:color="0077BD"/>
              <w:right w:val="nil"/>
            </w:tcBorders>
            <w:shd w:val="clear" w:color="auto" w:fill="auto"/>
            <w:noWrap/>
            <w:vAlign w:val="center"/>
          </w:tcPr>
          <w:p w14:paraId="7C084F91" w14:textId="4D1A19EC"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2 267 922</w:t>
            </w:r>
          </w:p>
        </w:tc>
        <w:tc>
          <w:tcPr>
            <w:tcW w:w="1418" w:type="dxa"/>
            <w:tcBorders>
              <w:top w:val="nil"/>
              <w:left w:val="single" w:sz="8" w:space="0" w:color="0077BD"/>
              <w:bottom w:val="single" w:sz="4" w:space="0" w:color="0077BD"/>
              <w:right w:val="nil"/>
            </w:tcBorders>
            <w:shd w:val="clear" w:color="auto" w:fill="auto"/>
            <w:noWrap/>
            <w:vAlign w:val="center"/>
            <w:hideMark/>
          </w:tcPr>
          <w:p w14:paraId="65E169D4" w14:textId="77777777"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2 836 060</w:t>
            </w:r>
          </w:p>
        </w:tc>
        <w:tc>
          <w:tcPr>
            <w:tcW w:w="1418" w:type="dxa"/>
            <w:tcBorders>
              <w:top w:val="nil"/>
              <w:left w:val="single" w:sz="8" w:space="0" w:color="0077BD"/>
              <w:bottom w:val="single" w:sz="4" w:space="0" w:color="0077BD"/>
              <w:right w:val="nil"/>
            </w:tcBorders>
            <w:shd w:val="clear" w:color="auto" w:fill="auto"/>
            <w:vAlign w:val="center"/>
          </w:tcPr>
          <w:p w14:paraId="6AD9EB30" w14:textId="57F32483" w:rsidR="00104C09" w:rsidRPr="00A751C0" w:rsidRDefault="00104C09" w:rsidP="00104C09">
            <w:pPr>
              <w:jc w:val="right"/>
              <w:rPr>
                <w:rFonts w:cs="Calibri"/>
                <w:color w:val="000000" w:themeColor="text1"/>
                <w:sz w:val="13"/>
                <w:szCs w:val="13"/>
              </w:rPr>
            </w:pPr>
            <w:r w:rsidRPr="00A751C0">
              <w:rPr>
                <w:rFonts w:cs="Calibri"/>
                <w:color w:val="000000" w:themeColor="text1"/>
                <w:sz w:val="13"/>
                <w:szCs w:val="13"/>
              </w:rPr>
              <w:t>3 745 933</w:t>
            </w:r>
          </w:p>
        </w:tc>
      </w:tr>
      <w:tr w:rsidR="00A751C0" w:rsidRPr="00A751C0" w14:paraId="7C084DC8" w14:textId="45207045"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5EFA794F" w14:textId="77777777" w:rsidR="00104C09" w:rsidRPr="00A751C0" w:rsidRDefault="00104C09" w:rsidP="00104C09">
            <w:pPr>
              <w:ind w:firstLineChars="200" w:firstLine="260"/>
              <w:rPr>
                <w:rFonts w:cs="Calibri"/>
                <w:i/>
                <w:iCs/>
                <w:color w:val="000000" w:themeColor="text1"/>
                <w:sz w:val="13"/>
                <w:szCs w:val="13"/>
              </w:rPr>
            </w:pPr>
            <w:r w:rsidRPr="00A751C0">
              <w:rPr>
                <w:rFonts w:cs="Calibri"/>
                <w:i/>
                <w:iCs/>
                <w:color w:val="000000" w:themeColor="text1"/>
                <w:sz w:val="13"/>
                <w:szCs w:val="13"/>
              </w:rPr>
              <w:t>Kapitałowe papiery wartościowe</w:t>
            </w:r>
          </w:p>
        </w:tc>
        <w:tc>
          <w:tcPr>
            <w:tcW w:w="567" w:type="dxa"/>
            <w:tcBorders>
              <w:top w:val="nil"/>
              <w:left w:val="nil"/>
              <w:bottom w:val="single" w:sz="4" w:space="0" w:color="0077BD"/>
              <w:right w:val="nil"/>
            </w:tcBorders>
            <w:shd w:val="clear" w:color="auto" w:fill="auto"/>
            <w:noWrap/>
            <w:vAlign w:val="center"/>
          </w:tcPr>
          <w:p w14:paraId="4A0CA7F0" w14:textId="60DA25FD" w:rsidR="00104C09" w:rsidRPr="00A751C0" w:rsidRDefault="00104C09" w:rsidP="00104C09">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62936CAA" w14:textId="7D615E41"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162 616</w:t>
            </w:r>
          </w:p>
        </w:tc>
        <w:tc>
          <w:tcPr>
            <w:tcW w:w="1418" w:type="dxa"/>
            <w:tcBorders>
              <w:top w:val="nil"/>
              <w:left w:val="single" w:sz="8" w:space="0" w:color="0077BD"/>
              <w:bottom w:val="single" w:sz="4" w:space="0" w:color="0077BD"/>
              <w:right w:val="nil"/>
            </w:tcBorders>
            <w:shd w:val="clear" w:color="auto" w:fill="auto"/>
            <w:noWrap/>
            <w:vAlign w:val="center"/>
            <w:hideMark/>
          </w:tcPr>
          <w:p w14:paraId="4CBCA4BA" w14:textId="77777777"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72 775</w:t>
            </w:r>
          </w:p>
        </w:tc>
        <w:tc>
          <w:tcPr>
            <w:tcW w:w="1418" w:type="dxa"/>
            <w:tcBorders>
              <w:top w:val="nil"/>
              <w:left w:val="single" w:sz="8" w:space="0" w:color="0077BD"/>
              <w:bottom w:val="single" w:sz="4" w:space="0" w:color="0077BD"/>
              <w:right w:val="nil"/>
            </w:tcBorders>
            <w:shd w:val="clear" w:color="auto" w:fill="auto"/>
            <w:vAlign w:val="center"/>
          </w:tcPr>
          <w:p w14:paraId="087FED33" w14:textId="25CC97AC"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41 087</w:t>
            </w:r>
          </w:p>
        </w:tc>
      </w:tr>
      <w:tr w:rsidR="00A751C0" w:rsidRPr="00A751C0" w14:paraId="7D8E59F1" w14:textId="2EBB60BF"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659CE62B" w14:textId="77777777" w:rsidR="00104C09" w:rsidRPr="00A751C0" w:rsidRDefault="00104C09" w:rsidP="00104C09">
            <w:pPr>
              <w:ind w:firstLineChars="200" w:firstLine="260"/>
              <w:rPr>
                <w:rFonts w:cs="Calibri"/>
                <w:i/>
                <w:iCs/>
                <w:color w:val="000000" w:themeColor="text1"/>
                <w:sz w:val="13"/>
                <w:szCs w:val="13"/>
              </w:rPr>
            </w:pPr>
            <w:r w:rsidRPr="00A751C0">
              <w:rPr>
                <w:rFonts w:cs="Calibri"/>
                <w:i/>
                <w:iCs/>
                <w:color w:val="000000" w:themeColor="text1"/>
                <w:sz w:val="13"/>
                <w:szCs w:val="13"/>
              </w:rPr>
              <w:t>Dłużne papiery wartościowe</w:t>
            </w:r>
          </w:p>
        </w:tc>
        <w:tc>
          <w:tcPr>
            <w:tcW w:w="567" w:type="dxa"/>
            <w:tcBorders>
              <w:top w:val="nil"/>
              <w:left w:val="nil"/>
              <w:bottom w:val="single" w:sz="4" w:space="0" w:color="0077BD"/>
              <w:right w:val="nil"/>
            </w:tcBorders>
            <w:shd w:val="clear" w:color="auto" w:fill="auto"/>
            <w:noWrap/>
            <w:vAlign w:val="center"/>
          </w:tcPr>
          <w:p w14:paraId="4F36EAD8" w14:textId="2BF04EAD" w:rsidR="00104C09" w:rsidRPr="00A751C0" w:rsidRDefault="00104C09" w:rsidP="00104C09">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08DC378A" w14:textId="1B69D68E"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133 774</w:t>
            </w:r>
          </w:p>
        </w:tc>
        <w:tc>
          <w:tcPr>
            <w:tcW w:w="1418" w:type="dxa"/>
            <w:tcBorders>
              <w:top w:val="nil"/>
              <w:left w:val="single" w:sz="8" w:space="0" w:color="0077BD"/>
              <w:bottom w:val="single" w:sz="4" w:space="0" w:color="0077BD"/>
              <w:right w:val="nil"/>
            </w:tcBorders>
            <w:shd w:val="clear" w:color="auto" w:fill="auto"/>
            <w:noWrap/>
            <w:vAlign w:val="center"/>
            <w:hideMark/>
          </w:tcPr>
          <w:p w14:paraId="034B5F29" w14:textId="77777777"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58 130</w:t>
            </w:r>
          </w:p>
        </w:tc>
        <w:tc>
          <w:tcPr>
            <w:tcW w:w="1418" w:type="dxa"/>
            <w:tcBorders>
              <w:top w:val="nil"/>
              <w:left w:val="single" w:sz="8" w:space="0" w:color="0077BD"/>
              <w:bottom w:val="single" w:sz="4" w:space="0" w:color="0077BD"/>
              <w:right w:val="nil"/>
            </w:tcBorders>
            <w:shd w:val="clear" w:color="auto" w:fill="auto"/>
            <w:vAlign w:val="center"/>
          </w:tcPr>
          <w:p w14:paraId="657B4119" w14:textId="34E37268" w:rsidR="00104C09" w:rsidRPr="00A751C0" w:rsidRDefault="00104C09" w:rsidP="00104C09">
            <w:pPr>
              <w:jc w:val="right"/>
              <w:rPr>
                <w:rFonts w:cs="Calibri"/>
                <w:i/>
                <w:iCs/>
                <w:color w:val="000000" w:themeColor="text1"/>
                <w:sz w:val="13"/>
                <w:szCs w:val="13"/>
              </w:rPr>
            </w:pPr>
            <w:r w:rsidRPr="00A751C0">
              <w:rPr>
                <w:rFonts w:cs="Calibri"/>
                <w:i/>
                <w:iCs/>
                <w:color w:val="000000" w:themeColor="text1"/>
                <w:sz w:val="13"/>
                <w:szCs w:val="13"/>
              </w:rPr>
              <w:t>46 538</w:t>
            </w:r>
          </w:p>
        </w:tc>
      </w:tr>
      <w:tr w:rsidR="00A751C0" w:rsidRPr="00A751C0" w14:paraId="780E3AD1" w14:textId="447D4163"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15AA27DF" w14:textId="77777777" w:rsidR="00341FB2" w:rsidRPr="00A751C0" w:rsidRDefault="00341FB2" w:rsidP="005E7415">
            <w:pPr>
              <w:ind w:firstLineChars="200" w:firstLine="260"/>
              <w:rPr>
                <w:rFonts w:cs="Calibri"/>
                <w:i/>
                <w:iCs/>
                <w:color w:val="000000" w:themeColor="text1"/>
                <w:sz w:val="13"/>
                <w:szCs w:val="13"/>
              </w:rPr>
            </w:pPr>
            <w:r w:rsidRPr="00A751C0">
              <w:rPr>
                <w:rFonts w:cs="Calibri"/>
                <w:i/>
                <w:iCs/>
                <w:color w:val="000000" w:themeColor="text1"/>
                <w:sz w:val="13"/>
                <w:szCs w:val="13"/>
              </w:rPr>
              <w:t>Kredyty i pożyczki udzielone klientom</w:t>
            </w:r>
          </w:p>
        </w:tc>
        <w:tc>
          <w:tcPr>
            <w:tcW w:w="567" w:type="dxa"/>
            <w:tcBorders>
              <w:top w:val="nil"/>
              <w:left w:val="nil"/>
              <w:bottom w:val="single" w:sz="4" w:space="0" w:color="0077BD"/>
              <w:right w:val="nil"/>
            </w:tcBorders>
            <w:shd w:val="clear" w:color="auto" w:fill="auto"/>
            <w:noWrap/>
            <w:vAlign w:val="center"/>
          </w:tcPr>
          <w:p w14:paraId="3BC86403" w14:textId="3D070EAD" w:rsidR="00341FB2" w:rsidRPr="00A751C0" w:rsidRDefault="00341FB2" w:rsidP="005E7415">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11B1A44E" w14:textId="440F0FDE" w:rsidR="00341FB2" w:rsidRPr="00A751C0" w:rsidRDefault="0085097C" w:rsidP="005E7415">
            <w:pPr>
              <w:jc w:val="right"/>
              <w:rPr>
                <w:rFonts w:cs="Calibri"/>
                <w:i/>
                <w:iCs/>
                <w:color w:val="000000" w:themeColor="text1"/>
                <w:sz w:val="13"/>
                <w:szCs w:val="13"/>
              </w:rPr>
            </w:pPr>
            <w:r w:rsidRPr="00A751C0">
              <w:rPr>
                <w:rFonts w:cs="Calibri"/>
                <w:i/>
                <w:iCs/>
                <w:color w:val="000000" w:themeColor="text1"/>
                <w:sz w:val="13"/>
                <w:szCs w:val="13"/>
              </w:rPr>
              <w:t>1 971 532</w:t>
            </w:r>
          </w:p>
        </w:tc>
        <w:tc>
          <w:tcPr>
            <w:tcW w:w="1418" w:type="dxa"/>
            <w:tcBorders>
              <w:top w:val="nil"/>
              <w:left w:val="single" w:sz="8" w:space="0" w:color="0077BD"/>
              <w:bottom w:val="single" w:sz="4" w:space="0" w:color="0077BD"/>
              <w:right w:val="nil"/>
            </w:tcBorders>
            <w:shd w:val="clear" w:color="auto" w:fill="auto"/>
            <w:noWrap/>
            <w:vAlign w:val="center"/>
            <w:hideMark/>
          </w:tcPr>
          <w:p w14:paraId="66F8F650" w14:textId="77777777" w:rsidR="00341FB2" w:rsidRPr="00A751C0" w:rsidRDefault="00341FB2" w:rsidP="005E7415">
            <w:pPr>
              <w:jc w:val="right"/>
              <w:rPr>
                <w:rFonts w:cs="Calibri"/>
                <w:i/>
                <w:iCs/>
                <w:color w:val="000000" w:themeColor="text1"/>
                <w:sz w:val="13"/>
                <w:szCs w:val="13"/>
              </w:rPr>
            </w:pPr>
            <w:r w:rsidRPr="00A751C0">
              <w:rPr>
                <w:rFonts w:cs="Calibri"/>
                <w:i/>
                <w:iCs/>
                <w:color w:val="000000" w:themeColor="text1"/>
                <w:sz w:val="13"/>
                <w:szCs w:val="13"/>
              </w:rPr>
              <w:t>2 705 155</w:t>
            </w:r>
          </w:p>
        </w:tc>
        <w:tc>
          <w:tcPr>
            <w:tcW w:w="1418" w:type="dxa"/>
            <w:tcBorders>
              <w:top w:val="nil"/>
              <w:left w:val="single" w:sz="8" w:space="0" w:color="0077BD"/>
              <w:bottom w:val="single" w:sz="4" w:space="0" w:color="0077BD"/>
              <w:right w:val="nil"/>
            </w:tcBorders>
            <w:vAlign w:val="center"/>
          </w:tcPr>
          <w:p w14:paraId="14423C9F" w14:textId="1CA4D2E1" w:rsidR="00341FB2" w:rsidRPr="00A751C0" w:rsidRDefault="0085097C" w:rsidP="005E7415">
            <w:pPr>
              <w:jc w:val="right"/>
              <w:rPr>
                <w:rFonts w:cs="Calibri"/>
                <w:i/>
                <w:iCs/>
                <w:color w:val="000000" w:themeColor="text1"/>
                <w:sz w:val="13"/>
                <w:szCs w:val="13"/>
              </w:rPr>
            </w:pPr>
            <w:r w:rsidRPr="00A751C0">
              <w:rPr>
                <w:rFonts w:cs="Calibri"/>
                <w:i/>
                <w:iCs/>
                <w:color w:val="000000" w:themeColor="text1"/>
                <w:sz w:val="13"/>
                <w:szCs w:val="13"/>
              </w:rPr>
              <w:t>3 658 308</w:t>
            </w:r>
          </w:p>
        </w:tc>
      </w:tr>
      <w:tr w:rsidR="00A751C0" w:rsidRPr="00A751C0" w14:paraId="557E1829" w14:textId="4C1C6871"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023D0661"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Aktywa finansowe wyceniane w wartości godziwej przez pozostałe całkowite dochody</w:t>
            </w:r>
          </w:p>
        </w:tc>
        <w:tc>
          <w:tcPr>
            <w:tcW w:w="567" w:type="dxa"/>
            <w:tcBorders>
              <w:top w:val="nil"/>
              <w:left w:val="nil"/>
              <w:bottom w:val="single" w:sz="4" w:space="0" w:color="0077BD"/>
              <w:right w:val="nil"/>
            </w:tcBorders>
            <w:shd w:val="clear" w:color="auto" w:fill="auto"/>
            <w:noWrap/>
            <w:vAlign w:val="center"/>
            <w:hideMark/>
          </w:tcPr>
          <w:p w14:paraId="7A2A6D2F" w14:textId="77777777"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22</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48AB9BE3" w14:textId="7B6438EC"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22 773 921</w:t>
            </w:r>
          </w:p>
        </w:tc>
        <w:tc>
          <w:tcPr>
            <w:tcW w:w="1418" w:type="dxa"/>
            <w:tcBorders>
              <w:top w:val="nil"/>
              <w:left w:val="single" w:sz="8" w:space="0" w:color="0077BD"/>
              <w:bottom w:val="single" w:sz="4" w:space="0" w:color="0077BD"/>
              <w:right w:val="nil"/>
            </w:tcBorders>
            <w:shd w:val="clear" w:color="auto" w:fill="auto"/>
            <w:noWrap/>
            <w:vAlign w:val="center"/>
            <w:hideMark/>
          </w:tcPr>
          <w:p w14:paraId="7A882EF3"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24 338 284</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78DF983B" w14:textId="7C4BA100"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23 491 032</w:t>
            </w:r>
          </w:p>
        </w:tc>
      </w:tr>
      <w:tr w:rsidR="00A751C0" w:rsidRPr="00A751C0" w14:paraId="0D3D5844" w14:textId="34DFFFD4"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6171CEB5"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Aktywa finansowe wyceniane w zamortyzowanym koszcie, w tym:</w:t>
            </w:r>
          </w:p>
        </w:tc>
        <w:tc>
          <w:tcPr>
            <w:tcW w:w="567" w:type="dxa"/>
            <w:tcBorders>
              <w:top w:val="nil"/>
              <w:left w:val="nil"/>
              <w:bottom w:val="single" w:sz="4" w:space="0" w:color="0077BD"/>
              <w:right w:val="nil"/>
            </w:tcBorders>
            <w:shd w:val="clear" w:color="auto" w:fill="auto"/>
            <w:noWrap/>
            <w:vAlign w:val="center"/>
            <w:hideMark/>
          </w:tcPr>
          <w:p w14:paraId="6613F295" w14:textId="77777777"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23</w:t>
            </w:r>
          </w:p>
        </w:tc>
        <w:tc>
          <w:tcPr>
            <w:tcW w:w="1418" w:type="dxa"/>
            <w:tcBorders>
              <w:top w:val="nil"/>
              <w:left w:val="single" w:sz="8" w:space="0" w:color="0077BD"/>
              <w:bottom w:val="single" w:sz="4" w:space="0" w:color="0077BD"/>
              <w:right w:val="nil"/>
            </w:tcBorders>
            <w:shd w:val="clear" w:color="auto" w:fill="auto"/>
            <w:noWrap/>
            <w:vAlign w:val="center"/>
          </w:tcPr>
          <w:p w14:paraId="264E2F7F" w14:textId="4EE8A35B"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118 779 885</w:t>
            </w:r>
          </w:p>
        </w:tc>
        <w:tc>
          <w:tcPr>
            <w:tcW w:w="1418" w:type="dxa"/>
            <w:tcBorders>
              <w:top w:val="nil"/>
              <w:left w:val="single" w:sz="8" w:space="0" w:color="0077BD"/>
              <w:bottom w:val="single" w:sz="4" w:space="0" w:color="0077BD"/>
              <w:right w:val="nil"/>
            </w:tcBorders>
            <w:shd w:val="clear" w:color="auto" w:fill="auto"/>
            <w:noWrap/>
            <w:vAlign w:val="center"/>
            <w:hideMark/>
          </w:tcPr>
          <w:p w14:paraId="2080EE29"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103 564 317</w:t>
            </w:r>
          </w:p>
        </w:tc>
        <w:tc>
          <w:tcPr>
            <w:tcW w:w="1418" w:type="dxa"/>
            <w:tcBorders>
              <w:top w:val="nil"/>
              <w:left w:val="single" w:sz="8" w:space="0" w:color="0077BD"/>
              <w:bottom w:val="single" w:sz="4" w:space="0" w:color="0077BD"/>
              <w:right w:val="nil"/>
            </w:tcBorders>
            <w:shd w:val="clear" w:color="auto" w:fill="auto"/>
            <w:vAlign w:val="center"/>
          </w:tcPr>
          <w:p w14:paraId="10662D2D" w14:textId="7C6C855E"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91 160 239</w:t>
            </w:r>
          </w:p>
        </w:tc>
      </w:tr>
      <w:tr w:rsidR="00A751C0" w:rsidRPr="00A751C0" w14:paraId="5CF7C69A" w14:textId="3ADFE3ED"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056FD31E" w14:textId="77777777" w:rsidR="0085097C" w:rsidRPr="00A751C0" w:rsidRDefault="0085097C" w:rsidP="0085097C">
            <w:pPr>
              <w:ind w:firstLineChars="200" w:firstLine="260"/>
              <w:rPr>
                <w:rFonts w:cs="Calibri"/>
                <w:i/>
                <w:iCs/>
                <w:color w:val="000000" w:themeColor="text1"/>
                <w:sz w:val="13"/>
                <w:szCs w:val="13"/>
              </w:rPr>
            </w:pPr>
            <w:r w:rsidRPr="00A751C0">
              <w:rPr>
                <w:rFonts w:cs="Calibri"/>
                <w:i/>
                <w:iCs/>
                <w:color w:val="000000" w:themeColor="text1"/>
                <w:sz w:val="13"/>
                <w:szCs w:val="13"/>
              </w:rPr>
              <w:t>Dłużne papiery wartościowe</w:t>
            </w:r>
          </w:p>
        </w:tc>
        <w:tc>
          <w:tcPr>
            <w:tcW w:w="567" w:type="dxa"/>
            <w:tcBorders>
              <w:top w:val="nil"/>
              <w:left w:val="nil"/>
              <w:bottom w:val="single" w:sz="4" w:space="0" w:color="0077BD"/>
              <w:right w:val="nil"/>
            </w:tcBorders>
            <w:shd w:val="clear" w:color="auto" w:fill="auto"/>
            <w:noWrap/>
            <w:vAlign w:val="center"/>
          </w:tcPr>
          <w:p w14:paraId="2E02D208" w14:textId="4F71D8D9" w:rsidR="0085097C" w:rsidRPr="00A751C0" w:rsidRDefault="0085097C" w:rsidP="0085097C">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3D405639" w14:textId="4DCFAA02"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11 234 873</w:t>
            </w:r>
          </w:p>
        </w:tc>
        <w:tc>
          <w:tcPr>
            <w:tcW w:w="1418" w:type="dxa"/>
            <w:tcBorders>
              <w:top w:val="nil"/>
              <w:left w:val="single" w:sz="8" w:space="0" w:color="0077BD"/>
              <w:bottom w:val="single" w:sz="4" w:space="0" w:color="0077BD"/>
              <w:right w:val="nil"/>
            </w:tcBorders>
            <w:shd w:val="clear" w:color="auto" w:fill="auto"/>
            <w:noWrap/>
            <w:vAlign w:val="center"/>
            <w:hideMark/>
          </w:tcPr>
          <w:p w14:paraId="68388FF6" w14:textId="77777777"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9 000 539</w:t>
            </w:r>
          </w:p>
        </w:tc>
        <w:tc>
          <w:tcPr>
            <w:tcW w:w="1418" w:type="dxa"/>
            <w:tcBorders>
              <w:top w:val="nil"/>
              <w:left w:val="single" w:sz="8" w:space="0" w:color="0077BD"/>
              <w:bottom w:val="single" w:sz="4" w:space="0" w:color="0077BD"/>
              <w:right w:val="nil"/>
            </w:tcBorders>
            <w:shd w:val="clear" w:color="auto" w:fill="auto"/>
            <w:vAlign w:val="center"/>
          </w:tcPr>
          <w:p w14:paraId="3A37C700" w14:textId="6A455777"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8 520 172</w:t>
            </w:r>
          </w:p>
        </w:tc>
      </w:tr>
      <w:tr w:rsidR="00A751C0" w:rsidRPr="00A751C0" w14:paraId="2411617C" w14:textId="08DA24EB"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288AF3EA" w14:textId="77777777" w:rsidR="0085097C" w:rsidRPr="00A751C0" w:rsidRDefault="0085097C" w:rsidP="0085097C">
            <w:pPr>
              <w:ind w:firstLineChars="200" w:firstLine="260"/>
              <w:rPr>
                <w:rFonts w:cs="Calibri"/>
                <w:i/>
                <w:iCs/>
                <w:color w:val="000000" w:themeColor="text1"/>
                <w:sz w:val="13"/>
                <w:szCs w:val="13"/>
              </w:rPr>
            </w:pPr>
            <w:r w:rsidRPr="00A751C0">
              <w:rPr>
                <w:rFonts w:cs="Calibri"/>
                <w:i/>
                <w:iCs/>
                <w:color w:val="000000" w:themeColor="text1"/>
                <w:sz w:val="13"/>
                <w:szCs w:val="13"/>
              </w:rPr>
              <w:t>Należności od banków</w:t>
            </w:r>
          </w:p>
        </w:tc>
        <w:tc>
          <w:tcPr>
            <w:tcW w:w="567" w:type="dxa"/>
            <w:tcBorders>
              <w:top w:val="nil"/>
              <w:left w:val="nil"/>
              <w:bottom w:val="single" w:sz="4" w:space="0" w:color="0077BD"/>
              <w:right w:val="nil"/>
            </w:tcBorders>
            <w:shd w:val="clear" w:color="auto" w:fill="auto"/>
            <w:noWrap/>
            <w:vAlign w:val="center"/>
          </w:tcPr>
          <w:p w14:paraId="75BC160C" w14:textId="5D98E102" w:rsidR="0085097C" w:rsidRPr="00A751C0" w:rsidRDefault="0085097C" w:rsidP="0085097C">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4BA6B37C" w14:textId="32B9E14C"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4 341 758</w:t>
            </w:r>
          </w:p>
        </w:tc>
        <w:tc>
          <w:tcPr>
            <w:tcW w:w="1418" w:type="dxa"/>
            <w:tcBorders>
              <w:top w:val="nil"/>
              <w:left w:val="single" w:sz="8" w:space="0" w:color="0077BD"/>
              <w:bottom w:val="single" w:sz="4" w:space="0" w:color="0077BD"/>
              <w:right w:val="nil"/>
            </w:tcBorders>
            <w:shd w:val="clear" w:color="auto" w:fill="auto"/>
            <w:noWrap/>
            <w:vAlign w:val="center"/>
            <w:hideMark/>
          </w:tcPr>
          <w:p w14:paraId="55406FE4" w14:textId="77777777"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2 546 346</w:t>
            </w:r>
          </w:p>
        </w:tc>
        <w:tc>
          <w:tcPr>
            <w:tcW w:w="1418" w:type="dxa"/>
            <w:tcBorders>
              <w:top w:val="nil"/>
              <w:left w:val="single" w:sz="8" w:space="0" w:color="0077BD"/>
              <w:bottom w:val="single" w:sz="4" w:space="0" w:color="0077BD"/>
              <w:right w:val="nil"/>
            </w:tcBorders>
            <w:shd w:val="clear" w:color="auto" w:fill="auto"/>
            <w:vAlign w:val="center"/>
          </w:tcPr>
          <w:p w14:paraId="33C6FDA6" w14:textId="013954DD"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1 707 223</w:t>
            </w:r>
          </w:p>
        </w:tc>
      </w:tr>
      <w:tr w:rsidR="00A751C0" w:rsidRPr="00A751C0" w14:paraId="0B59EF0F" w14:textId="73FD9E92"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49D59BDA" w14:textId="77777777" w:rsidR="0085097C" w:rsidRPr="00A751C0" w:rsidRDefault="0085097C" w:rsidP="0085097C">
            <w:pPr>
              <w:ind w:firstLineChars="200" w:firstLine="260"/>
              <w:rPr>
                <w:rFonts w:cs="Calibri"/>
                <w:i/>
                <w:iCs/>
                <w:color w:val="000000" w:themeColor="text1"/>
                <w:sz w:val="13"/>
                <w:szCs w:val="13"/>
              </w:rPr>
            </w:pPr>
            <w:r w:rsidRPr="00A751C0">
              <w:rPr>
                <w:rFonts w:cs="Calibri"/>
                <w:i/>
                <w:iCs/>
                <w:color w:val="000000" w:themeColor="text1"/>
                <w:sz w:val="13"/>
                <w:szCs w:val="13"/>
              </w:rPr>
              <w:t>Kredyty i pożyczki udzielone klientom</w:t>
            </w:r>
          </w:p>
        </w:tc>
        <w:tc>
          <w:tcPr>
            <w:tcW w:w="567" w:type="dxa"/>
            <w:tcBorders>
              <w:top w:val="nil"/>
              <w:left w:val="nil"/>
              <w:bottom w:val="single" w:sz="4" w:space="0" w:color="0077BD"/>
              <w:right w:val="nil"/>
            </w:tcBorders>
            <w:shd w:val="clear" w:color="auto" w:fill="auto"/>
            <w:noWrap/>
            <w:vAlign w:val="center"/>
          </w:tcPr>
          <w:p w14:paraId="22C8D0D1" w14:textId="4CFD044F" w:rsidR="0085097C" w:rsidRPr="00A751C0" w:rsidRDefault="0085097C" w:rsidP="0085097C">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0CFF9481" w14:textId="200500E5"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103 203 254</w:t>
            </w:r>
          </w:p>
        </w:tc>
        <w:tc>
          <w:tcPr>
            <w:tcW w:w="1418" w:type="dxa"/>
            <w:tcBorders>
              <w:top w:val="nil"/>
              <w:left w:val="single" w:sz="8" w:space="0" w:color="0077BD"/>
              <w:bottom w:val="single" w:sz="4" w:space="0" w:color="0077BD"/>
              <w:right w:val="nil"/>
            </w:tcBorders>
            <w:shd w:val="clear" w:color="auto" w:fill="auto"/>
            <w:noWrap/>
            <w:vAlign w:val="center"/>
            <w:hideMark/>
          </w:tcPr>
          <w:p w14:paraId="43F0E3A4" w14:textId="5BC3DAAB"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92 017 432</w:t>
            </w:r>
          </w:p>
        </w:tc>
        <w:tc>
          <w:tcPr>
            <w:tcW w:w="1418" w:type="dxa"/>
            <w:tcBorders>
              <w:top w:val="nil"/>
              <w:left w:val="single" w:sz="8" w:space="0" w:color="0077BD"/>
              <w:bottom w:val="single" w:sz="4" w:space="0" w:color="0077BD"/>
              <w:right w:val="nil"/>
            </w:tcBorders>
            <w:shd w:val="clear" w:color="auto" w:fill="auto"/>
            <w:vAlign w:val="center"/>
          </w:tcPr>
          <w:p w14:paraId="63B93C00" w14:textId="0F795397" w:rsidR="0085097C" w:rsidRPr="00A751C0" w:rsidRDefault="0085097C" w:rsidP="0085097C">
            <w:pPr>
              <w:jc w:val="right"/>
              <w:rPr>
                <w:rFonts w:cs="Calibri"/>
                <w:i/>
                <w:iCs/>
                <w:color w:val="000000" w:themeColor="text1"/>
                <w:sz w:val="13"/>
                <w:szCs w:val="13"/>
              </w:rPr>
            </w:pPr>
            <w:r w:rsidRPr="00A751C0">
              <w:rPr>
                <w:rFonts w:cs="Calibri"/>
                <w:i/>
                <w:iCs/>
                <w:color w:val="000000" w:themeColor="text1"/>
                <w:sz w:val="13"/>
                <w:szCs w:val="13"/>
              </w:rPr>
              <w:t>80 932 844</w:t>
            </w:r>
          </w:p>
        </w:tc>
      </w:tr>
      <w:tr w:rsidR="00A751C0" w:rsidRPr="00A751C0" w14:paraId="21492722" w14:textId="77777777" w:rsidTr="0085097C">
        <w:trPr>
          <w:trHeight w:val="227"/>
        </w:trPr>
        <w:tc>
          <w:tcPr>
            <w:tcW w:w="4760" w:type="dxa"/>
            <w:tcBorders>
              <w:top w:val="nil"/>
              <w:left w:val="nil"/>
              <w:bottom w:val="single" w:sz="4" w:space="0" w:color="0077BD"/>
              <w:right w:val="single" w:sz="8" w:space="0" w:color="0077BD"/>
            </w:tcBorders>
            <w:shd w:val="clear" w:color="000000" w:fill="FFFFFF"/>
            <w:vAlign w:val="center"/>
          </w:tcPr>
          <w:p w14:paraId="6AC681AB" w14:textId="0FF21A91" w:rsidR="0085097C" w:rsidRPr="00A751C0" w:rsidRDefault="0085097C" w:rsidP="005E7415">
            <w:pPr>
              <w:rPr>
                <w:rFonts w:cs="Calibri"/>
                <w:color w:val="000000" w:themeColor="text1"/>
                <w:sz w:val="13"/>
                <w:szCs w:val="13"/>
              </w:rPr>
            </w:pPr>
            <w:r w:rsidRPr="00A751C0">
              <w:rPr>
                <w:rFonts w:cs="Calibri"/>
                <w:color w:val="000000" w:themeColor="text1"/>
                <w:sz w:val="13"/>
                <w:szCs w:val="13"/>
              </w:rPr>
              <w:t>Inwestycje w jednostki stowarzyszone</w:t>
            </w:r>
          </w:p>
        </w:tc>
        <w:tc>
          <w:tcPr>
            <w:tcW w:w="567" w:type="dxa"/>
            <w:tcBorders>
              <w:top w:val="nil"/>
              <w:left w:val="nil"/>
              <w:bottom w:val="single" w:sz="4" w:space="0" w:color="0077BD"/>
              <w:right w:val="nil"/>
            </w:tcBorders>
            <w:shd w:val="clear" w:color="auto" w:fill="auto"/>
            <w:noWrap/>
            <w:vAlign w:val="center"/>
          </w:tcPr>
          <w:p w14:paraId="5C696BF0" w14:textId="77777777" w:rsidR="0085097C" w:rsidRPr="00A751C0" w:rsidRDefault="0085097C" w:rsidP="005E7415">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535EC8E7" w14:textId="142F7067" w:rsidR="0085097C" w:rsidRPr="00A751C0" w:rsidRDefault="0085097C" w:rsidP="005E7415">
            <w:pPr>
              <w:jc w:val="right"/>
              <w:rPr>
                <w:rFonts w:cs="Calibri"/>
                <w:color w:val="000000" w:themeColor="text1"/>
                <w:sz w:val="13"/>
                <w:szCs w:val="13"/>
              </w:rPr>
            </w:pPr>
            <w:r w:rsidRPr="00A751C0">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764E2347" w14:textId="34E543A5" w:rsidR="0085097C" w:rsidRPr="00A751C0" w:rsidRDefault="0085097C" w:rsidP="005E7415">
            <w:pPr>
              <w:jc w:val="right"/>
              <w:rPr>
                <w:rFonts w:cs="Calibri"/>
                <w:color w:val="000000" w:themeColor="text1"/>
                <w:sz w:val="13"/>
                <w:szCs w:val="13"/>
              </w:rPr>
            </w:pPr>
            <w:r w:rsidRPr="00A751C0">
              <w:rPr>
                <w:rFonts w:cs="Calibri"/>
                <w:color w:val="000000" w:themeColor="text1"/>
                <w:sz w:val="13"/>
                <w:szCs w:val="13"/>
              </w:rPr>
              <w:t>-</w:t>
            </w:r>
          </w:p>
        </w:tc>
        <w:tc>
          <w:tcPr>
            <w:tcW w:w="1418" w:type="dxa"/>
            <w:tcBorders>
              <w:top w:val="nil"/>
              <w:left w:val="single" w:sz="8" w:space="0" w:color="0077BD"/>
              <w:bottom w:val="single" w:sz="4" w:space="0" w:color="0077BD"/>
              <w:right w:val="nil"/>
            </w:tcBorders>
            <w:vAlign w:val="center"/>
          </w:tcPr>
          <w:p w14:paraId="2EAC4112" w14:textId="1653B60D" w:rsidR="0085097C" w:rsidRPr="00A751C0" w:rsidRDefault="0085097C" w:rsidP="005E7415">
            <w:pPr>
              <w:jc w:val="right"/>
              <w:rPr>
                <w:rFonts w:cs="Calibri"/>
                <w:iCs/>
                <w:color w:val="000000" w:themeColor="text1"/>
                <w:sz w:val="13"/>
                <w:szCs w:val="13"/>
              </w:rPr>
            </w:pPr>
            <w:r w:rsidRPr="00A751C0">
              <w:rPr>
                <w:rFonts w:cs="Calibri"/>
                <w:iCs/>
                <w:color w:val="000000" w:themeColor="text1"/>
                <w:sz w:val="13"/>
                <w:szCs w:val="13"/>
              </w:rPr>
              <w:t>28 680</w:t>
            </w:r>
          </w:p>
        </w:tc>
      </w:tr>
      <w:tr w:rsidR="00A751C0" w:rsidRPr="00A751C0" w14:paraId="255A14BD" w14:textId="543FBAAB" w:rsidTr="00552529">
        <w:trPr>
          <w:trHeight w:val="227"/>
        </w:trPr>
        <w:tc>
          <w:tcPr>
            <w:tcW w:w="4760" w:type="dxa"/>
            <w:tcBorders>
              <w:top w:val="nil"/>
              <w:left w:val="nil"/>
              <w:bottom w:val="single" w:sz="4" w:space="0" w:color="0077BD"/>
              <w:right w:val="single" w:sz="8" w:space="0" w:color="0077BD"/>
            </w:tcBorders>
            <w:shd w:val="clear" w:color="000000" w:fill="FFFFFF"/>
            <w:vAlign w:val="center"/>
            <w:hideMark/>
          </w:tcPr>
          <w:p w14:paraId="01F9B743"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Aktywa trwałe i grupy do zbycia sklasyfikowane jako przeznaczone do sprzedaży</w:t>
            </w:r>
          </w:p>
        </w:tc>
        <w:tc>
          <w:tcPr>
            <w:tcW w:w="567" w:type="dxa"/>
            <w:tcBorders>
              <w:top w:val="nil"/>
              <w:left w:val="nil"/>
              <w:bottom w:val="single" w:sz="4" w:space="0" w:color="0077BD"/>
              <w:right w:val="nil"/>
            </w:tcBorders>
            <w:shd w:val="clear" w:color="auto" w:fill="auto"/>
            <w:noWrap/>
            <w:vAlign w:val="center"/>
            <w:hideMark/>
          </w:tcPr>
          <w:p w14:paraId="63F8379D" w14:textId="0647D7ED"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24</w:t>
            </w:r>
          </w:p>
        </w:tc>
        <w:tc>
          <w:tcPr>
            <w:tcW w:w="1418" w:type="dxa"/>
            <w:tcBorders>
              <w:top w:val="nil"/>
              <w:left w:val="single" w:sz="8" w:space="0" w:color="0077BD"/>
              <w:bottom w:val="single" w:sz="4" w:space="0" w:color="0077BD"/>
              <w:right w:val="nil"/>
            </w:tcBorders>
            <w:shd w:val="clear" w:color="auto" w:fill="auto"/>
            <w:noWrap/>
            <w:vAlign w:val="center"/>
          </w:tcPr>
          <w:p w14:paraId="447A7DAB" w14:textId="5CA961C4"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10 651</w:t>
            </w:r>
          </w:p>
        </w:tc>
        <w:tc>
          <w:tcPr>
            <w:tcW w:w="1418" w:type="dxa"/>
            <w:tcBorders>
              <w:top w:val="nil"/>
              <w:left w:val="single" w:sz="8" w:space="0" w:color="0077BD"/>
              <w:bottom w:val="single" w:sz="4" w:space="0" w:color="0077BD"/>
              <w:right w:val="nil"/>
            </w:tcBorders>
            <w:shd w:val="clear" w:color="auto" w:fill="auto"/>
            <w:noWrap/>
            <w:vAlign w:val="center"/>
            <w:hideMark/>
          </w:tcPr>
          <w:p w14:paraId="2A33EEBA"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2BE916D4" w14:textId="718102F1"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42 134</w:t>
            </w:r>
          </w:p>
        </w:tc>
      </w:tr>
      <w:tr w:rsidR="00A751C0" w:rsidRPr="00A751C0" w14:paraId="60D3EA98" w14:textId="281D7B4A"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0BDA4EDC"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Wartości niematerialne</w:t>
            </w:r>
          </w:p>
        </w:tc>
        <w:tc>
          <w:tcPr>
            <w:tcW w:w="567" w:type="dxa"/>
            <w:tcBorders>
              <w:top w:val="nil"/>
              <w:left w:val="nil"/>
              <w:bottom w:val="single" w:sz="4" w:space="0" w:color="0077BD"/>
              <w:right w:val="nil"/>
            </w:tcBorders>
            <w:shd w:val="clear" w:color="auto" w:fill="auto"/>
            <w:noWrap/>
            <w:vAlign w:val="center"/>
            <w:hideMark/>
          </w:tcPr>
          <w:p w14:paraId="51100A3D" w14:textId="7A99B831"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25</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6F65A877" w14:textId="607B2AB3"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955 440</w:t>
            </w:r>
          </w:p>
        </w:tc>
        <w:tc>
          <w:tcPr>
            <w:tcW w:w="1418" w:type="dxa"/>
            <w:tcBorders>
              <w:top w:val="nil"/>
              <w:left w:val="single" w:sz="8" w:space="0" w:color="0077BD"/>
              <w:bottom w:val="single" w:sz="4" w:space="0" w:color="0077BD"/>
              <w:right w:val="nil"/>
            </w:tcBorders>
            <w:shd w:val="clear" w:color="auto" w:fill="auto"/>
            <w:noWrap/>
            <w:vAlign w:val="center"/>
            <w:hideMark/>
          </w:tcPr>
          <w:p w14:paraId="29FCC30F"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776 175</w:t>
            </w:r>
          </w:p>
        </w:tc>
        <w:tc>
          <w:tcPr>
            <w:tcW w:w="1418" w:type="dxa"/>
            <w:tcBorders>
              <w:top w:val="nil"/>
              <w:left w:val="single" w:sz="8" w:space="0" w:color="0077BD"/>
              <w:bottom w:val="single" w:sz="4" w:space="0" w:color="0077BD"/>
              <w:right w:val="nil"/>
            </w:tcBorders>
            <w:shd w:val="clear" w:color="auto" w:fill="auto"/>
            <w:vAlign w:val="center"/>
          </w:tcPr>
          <w:p w14:paraId="0E0F892C" w14:textId="7D5ACB76"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710 642</w:t>
            </w:r>
          </w:p>
        </w:tc>
      </w:tr>
      <w:tr w:rsidR="00A751C0" w:rsidRPr="00A751C0" w14:paraId="43F7E49F" w14:textId="050E14CF"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3CDBA262"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Rzeczowe aktywa trwałe</w:t>
            </w:r>
          </w:p>
        </w:tc>
        <w:tc>
          <w:tcPr>
            <w:tcW w:w="567" w:type="dxa"/>
            <w:tcBorders>
              <w:top w:val="nil"/>
              <w:left w:val="nil"/>
              <w:bottom w:val="single" w:sz="4" w:space="0" w:color="0077BD"/>
              <w:right w:val="nil"/>
            </w:tcBorders>
            <w:shd w:val="clear" w:color="auto" w:fill="auto"/>
            <w:noWrap/>
            <w:vAlign w:val="center"/>
            <w:hideMark/>
          </w:tcPr>
          <w:p w14:paraId="50F16949" w14:textId="4FC366C0"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26</w:t>
            </w:r>
          </w:p>
        </w:tc>
        <w:tc>
          <w:tcPr>
            <w:tcW w:w="1418" w:type="dxa"/>
            <w:tcBorders>
              <w:top w:val="nil"/>
              <w:left w:val="single" w:sz="8" w:space="0" w:color="0077BD"/>
              <w:bottom w:val="single" w:sz="4" w:space="0" w:color="0077BD"/>
              <w:right w:val="nil"/>
            </w:tcBorders>
            <w:shd w:val="clear" w:color="auto" w:fill="auto"/>
            <w:noWrap/>
            <w:vAlign w:val="center"/>
          </w:tcPr>
          <w:p w14:paraId="5860EDA2" w14:textId="7021FFDF"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1 262 397</w:t>
            </w:r>
          </w:p>
        </w:tc>
        <w:tc>
          <w:tcPr>
            <w:tcW w:w="1418" w:type="dxa"/>
            <w:tcBorders>
              <w:top w:val="nil"/>
              <w:left w:val="single" w:sz="8" w:space="0" w:color="0077BD"/>
              <w:bottom w:val="single" w:sz="4" w:space="0" w:color="0077BD"/>
              <w:right w:val="nil"/>
            </w:tcBorders>
            <w:shd w:val="clear" w:color="auto" w:fill="auto"/>
            <w:noWrap/>
            <w:vAlign w:val="center"/>
            <w:hideMark/>
          </w:tcPr>
          <w:p w14:paraId="19895112"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785 026</w:t>
            </w:r>
          </w:p>
        </w:tc>
        <w:tc>
          <w:tcPr>
            <w:tcW w:w="1418" w:type="dxa"/>
            <w:tcBorders>
              <w:top w:val="nil"/>
              <w:left w:val="single" w:sz="8" w:space="0" w:color="0077BD"/>
              <w:bottom w:val="single" w:sz="4" w:space="0" w:color="0077BD"/>
              <w:right w:val="nil"/>
            </w:tcBorders>
            <w:shd w:val="clear" w:color="auto" w:fill="auto"/>
            <w:vAlign w:val="center"/>
          </w:tcPr>
          <w:p w14:paraId="0841090B" w14:textId="1F3C6E12"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758 738</w:t>
            </w:r>
          </w:p>
        </w:tc>
      </w:tr>
      <w:tr w:rsidR="00A751C0" w:rsidRPr="00A751C0" w14:paraId="2F58AAB9" w14:textId="4204952E"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180A93BC"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Należności z tytułu bieżącego podatku dochodowego</w:t>
            </w:r>
          </w:p>
        </w:tc>
        <w:tc>
          <w:tcPr>
            <w:tcW w:w="567" w:type="dxa"/>
            <w:tcBorders>
              <w:top w:val="nil"/>
              <w:left w:val="nil"/>
              <w:bottom w:val="single" w:sz="4" w:space="0" w:color="0077BD"/>
              <w:right w:val="nil"/>
            </w:tcBorders>
            <w:shd w:val="clear" w:color="auto" w:fill="auto"/>
            <w:noWrap/>
            <w:vAlign w:val="center"/>
            <w:hideMark/>
          </w:tcPr>
          <w:p w14:paraId="68D26351" w14:textId="1465C241" w:rsidR="0085097C" w:rsidRPr="00A751C0" w:rsidRDefault="0085097C" w:rsidP="0085097C">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6A391A53" w14:textId="4C9CF438" w:rsidR="0085097C" w:rsidRPr="00A751C0" w:rsidRDefault="00CC10BC" w:rsidP="0085097C">
            <w:pPr>
              <w:jc w:val="right"/>
              <w:rPr>
                <w:rFonts w:cs="Calibri"/>
                <w:color w:val="000000" w:themeColor="text1"/>
                <w:sz w:val="13"/>
                <w:szCs w:val="13"/>
              </w:rPr>
            </w:pPr>
            <w:r>
              <w:rPr>
                <w:rFonts w:cs="Calibri"/>
                <w:color w:val="000000" w:themeColor="text1"/>
                <w:sz w:val="13"/>
                <w:szCs w:val="13"/>
              </w:rPr>
              <w:t>12 662</w:t>
            </w:r>
          </w:p>
        </w:tc>
        <w:tc>
          <w:tcPr>
            <w:tcW w:w="1418" w:type="dxa"/>
            <w:tcBorders>
              <w:top w:val="nil"/>
              <w:left w:val="single" w:sz="8" w:space="0" w:color="0077BD"/>
              <w:bottom w:val="single" w:sz="4" w:space="0" w:color="0077BD"/>
              <w:right w:val="nil"/>
            </w:tcBorders>
            <w:shd w:val="clear" w:color="auto" w:fill="auto"/>
            <w:noWrap/>
            <w:vAlign w:val="center"/>
            <w:hideMark/>
          </w:tcPr>
          <w:p w14:paraId="2BB3E4AE"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9 336</w:t>
            </w:r>
          </w:p>
        </w:tc>
        <w:tc>
          <w:tcPr>
            <w:tcW w:w="1418" w:type="dxa"/>
            <w:tcBorders>
              <w:top w:val="nil"/>
              <w:left w:val="single" w:sz="8" w:space="0" w:color="0077BD"/>
              <w:bottom w:val="single" w:sz="4" w:space="0" w:color="0077BD"/>
              <w:right w:val="nil"/>
            </w:tcBorders>
            <w:shd w:val="clear" w:color="auto" w:fill="auto"/>
            <w:vAlign w:val="center"/>
          </w:tcPr>
          <w:p w14:paraId="44DBE9AA" w14:textId="6C577A49"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9 688</w:t>
            </w:r>
          </w:p>
        </w:tc>
      </w:tr>
      <w:tr w:rsidR="00A751C0" w:rsidRPr="00A751C0" w14:paraId="0B61A1C3" w14:textId="43A00470"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779A47EE"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Aktywa z tytułu odroczonego podatku dochodowego</w:t>
            </w:r>
          </w:p>
        </w:tc>
        <w:tc>
          <w:tcPr>
            <w:tcW w:w="567" w:type="dxa"/>
            <w:tcBorders>
              <w:top w:val="nil"/>
              <w:left w:val="nil"/>
              <w:bottom w:val="single" w:sz="4" w:space="0" w:color="0077BD"/>
              <w:right w:val="nil"/>
            </w:tcBorders>
            <w:shd w:val="clear" w:color="auto" w:fill="auto"/>
            <w:noWrap/>
            <w:vAlign w:val="center"/>
            <w:hideMark/>
          </w:tcPr>
          <w:p w14:paraId="74C675A9" w14:textId="43C1C1F7"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31</w:t>
            </w:r>
          </w:p>
        </w:tc>
        <w:tc>
          <w:tcPr>
            <w:tcW w:w="1418" w:type="dxa"/>
            <w:tcBorders>
              <w:top w:val="nil"/>
              <w:left w:val="single" w:sz="8" w:space="0" w:color="0077BD"/>
              <w:bottom w:val="single" w:sz="4" w:space="0" w:color="0077BD"/>
              <w:right w:val="nil"/>
            </w:tcBorders>
            <w:shd w:val="clear" w:color="auto" w:fill="auto"/>
            <w:noWrap/>
            <w:vAlign w:val="center"/>
          </w:tcPr>
          <w:p w14:paraId="7C9CCC80" w14:textId="57C92C61" w:rsidR="0085097C" w:rsidRPr="00A751C0" w:rsidRDefault="00B529EF" w:rsidP="00B529EF">
            <w:pPr>
              <w:jc w:val="right"/>
              <w:rPr>
                <w:rFonts w:cs="Calibri"/>
                <w:color w:val="000000" w:themeColor="text1"/>
                <w:sz w:val="13"/>
                <w:szCs w:val="13"/>
              </w:rPr>
            </w:pPr>
            <w:r w:rsidRPr="00A751C0">
              <w:rPr>
                <w:rFonts w:cs="Calibri"/>
                <w:color w:val="000000" w:themeColor="text1"/>
                <w:sz w:val="13"/>
                <w:szCs w:val="13"/>
              </w:rPr>
              <w:t>937</w:t>
            </w:r>
            <w:r w:rsidR="0085097C" w:rsidRPr="00A751C0">
              <w:rPr>
                <w:rFonts w:cs="Calibri"/>
                <w:color w:val="000000" w:themeColor="text1"/>
                <w:sz w:val="13"/>
                <w:szCs w:val="13"/>
              </w:rPr>
              <w:t xml:space="preserve"> </w:t>
            </w:r>
            <w:r w:rsidRPr="00A751C0">
              <w:rPr>
                <w:rFonts w:cs="Calibri"/>
                <w:color w:val="000000" w:themeColor="text1"/>
                <w:sz w:val="13"/>
                <w:szCs w:val="13"/>
              </w:rPr>
              <w:t>712</w:t>
            </w:r>
          </w:p>
        </w:tc>
        <w:tc>
          <w:tcPr>
            <w:tcW w:w="1418" w:type="dxa"/>
            <w:tcBorders>
              <w:top w:val="nil"/>
              <w:left w:val="single" w:sz="8" w:space="0" w:color="0077BD"/>
              <w:bottom w:val="single" w:sz="4" w:space="0" w:color="0077BD"/>
              <w:right w:val="nil"/>
            </w:tcBorders>
            <w:shd w:val="clear" w:color="auto" w:fill="auto"/>
            <w:noWrap/>
            <w:vAlign w:val="center"/>
            <w:hideMark/>
          </w:tcPr>
          <w:p w14:paraId="265E514C"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959 076</w:t>
            </w:r>
          </w:p>
        </w:tc>
        <w:tc>
          <w:tcPr>
            <w:tcW w:w="1418" w:type="dxa"/>
            <w:tcBorders>
              <w:top w:val="nil"/>
              <w:left w:val="single" w:sz="8" w:space="0" w:color="0077BD"/>
              <w:bottom w:val="single" w:sz="4" w:space="0" w:color="0077BD"/>
              <w:right w:val="nil"/>
            </w:tcBorders>
            <w:shd w:val="clear" w:color="auto" w:fill="auto"/>
            <w:vAlign w:val="center"/>
          </w:tcPr>
          <w:p w14:paraId="6CD702D1" w14:textId="72FB22E0"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698 639</w:t>
            </w:r>
          </w:p>
        </w:tc>
      </w:tr>
      <w:tr w:rsidR="00A751C0" w:rsidRPr="00A751C0" w14:paraId="5EC6E452" w14:textId="0F940CBB"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3B875E74" w14:textId="77777777" w:rsidR="0085097C" w:rsidRPr="00A751C0" w:rsidRDefault="0085097C" w:rsidP="0085097C">
            <w:pPr>
              <w:rPr>
                <w:rFonts w:cs="Calibri"/>
                <w:color w:val="000000" w:themeColor="text1"/>
                <w:sz w:val="13"/>
                <w:szCs w:val="13"/>
              </w:rPr>
            </w:pPr>
            <w:r w:rsidRPr="00A751C0">
              <w:rPr>
                <w:rFonts w:cs="Calibri"/>
                <w:color w:val="000000" w:themeColor="text1"/>
                <w:sz w:val="13"/>
                <w:szCs w:val="13"/>
              </w:rPr>
              <w:t>Inne aktywa</w:t>
            </w:r>
          </w:p>
        </w:tc>
        <w:tc>
          <w:tcPr>
            <w:tcW w:w="567" w:type="dxa"/>
            <w:tcBorders>
              <w:top w:val="nil"/>
              <w:left w:val="nil"/>
              <w:bottom w:val="single" w:sz="4" w:space="0" w:color="0077BD"/>
              <w:right w:val="nil"/>
            </w:tcBorders>
            <w:shd w:val="clear" w:color="auto" w:fill="auto"/>
            <w:noWrap/>
            <w:vAlign w:val="center"/>
            <w:hideMark/>
          </w:tcPr>
          <w:p w14:paraId="533F4CD9" w14:textId="03D35984" w:rsidR="0085097C" w:rsidRPr="00A751C0" w:rsidRDefault="0085097C" w:rsidP="0085097C">
            <w:pPr>
              <w:jc w:val="center"/>
              <w:rPr>
                <w:rFonts w:cs="Calibri"/>
                <w:color w:val="000000" w:themeColor="text1"/>
                <w:sz w:val="13"/>
                <w:szCs w:val="13"/>
              </w:rPr>
            </w:pPr>
            <w:r w:rsidRPr="00A751C0">
              <w:rPr>
                <w:rFonts w:cs="Calibri"/>
                <w:color w:val="000000" w:themeColor="text1"/>
                <w:sz w:val="13"/>
                <w:szCs w:val="13"/>
              </w:rPr>
              <w:t>27</w:t>
            </w:r>
          </w:p>
        </w:tc>
        <w:tc>
          <w:tcPr>
            <w:tcW w:w="1418" w:type="dxa"/>
            <w:tcBorders>
              <w:top w:val="nil"/>
              <w:left w:val="single" w:sz="8" w:space="0" w:color="0077BD"/>
              <w:bottom w:val="single" w:sz="4" w:space="0" w:color="0077BD"/>
              <w:right w:val="nil"/>
            </w:tcBorders>
            <w:shd w:val="clear" w:color="auto" w:fill="auto"/>
            <w:noWrap/>
            <w:vAlign w:val="center"/>
          </w:tcPr>
          <w:p w14:paraId="3E741053" w14:textId="3F1C53D6"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956 949</w:t>
            </w:r>
          </w:p>
        </w:tc>
        <w:tc>
          <w:tcPr>
            <w:tcW w:w="1418" w:type="dxa"/>
            <w:tcBorders>
              <w:top w:val="nil"/>
              <w:left w:val="single" w:sz="8" w:space="0" w:color="0077BD"/>
              <w:bottom w:val="single" w:sz="4" w:space="0" w:color="0077BD"/>
              <w:right w:val="nil"/>
            </w:tcBorders>
            <w:shd w:val="clear" w:color="auto" w:fill="auto"/>
            <w:noWrap/>
            <w:vAlign w:val="center"/>
            <w:hideMark/>
          </w:tcPr>
          <w:p w14:paraId="05A324C9" w14:textId="77777777" w:rsidR="0085097C" w:rsidRPr="00A751C0" w:rsidRDefault="0085097C" w:rsidP="0085097C">
            <w:pPr>
              <w:jc w:val="right"/>
              <w:rPr>
                <w:rFonts w:cs="Calibri"/>
                <w:color w:val="000000" w:themeColor="text1"/>
                <w:sz w:val="13"/>
                <w:szCs w:val="13"/>
              </w:rPr>
            </w:pPr>
            <w:r w:rsidRPr="00A751C0">
              <w:rPr>
                <w:rFonts w:cs="Calibri"/>
                <w:color w:val="000000" w:themeColor="text1"/>
                <w:sz w:val="13"/>
                <w:szCs w:val="13"/>
              </w:rPr>
              <w:t>1 178 279</w:t>
            </w:r>
          </w:p>
        </w:tc>
        <w:tc>
          <w:tcPr>
            <w:tcW w:w="1418" w:type="dxa"/>
            <w:tcBorders>
              <w:top w:val="nil"/>
              <w:left w:val="single" w:sz="8" w:space="0" w:color="0077BD"/>
              <w:bottom w:val="single" w:sz="4" w:space="0" w:color="0077BD"/>
              <w:right w:val="nil"/>
            </w:tcBorders>
            <w:shd w:val="clear" w:color="auto" w:fill="auto"/>
            <w:vAlign w:val="center"/>
          </w:tcPr>
          <w:p w14:paraId="3DB91EB3" w14:textId="2775DBFE" w:rsidR="0085097C" w:rsidRPr="00A751C0" w:rsidRDefault="0085097C" w:rsidP="0085097C">
            <w:pPr>
              <w:jc w:val="right"/>
              <w:rPr>
                <w:rFonts w:cs="Calibri"/>
                <w:i/>
                <w:iCs/>
                <w:color w:val="000000" w:themeColor="text1"/>
                <w:sz w:val="13"/>
                <w:szCs w:val="13"/>
              </w:rPr>
            </w:pPr>
            <w:r w:rsidRPr="00A751C0">
              <w:rPr>
                <w:rFonts w:cs="Calibri"/>
                <w:color w:val="000000" w:themeColor="text1"/>
                <w:sz w:val="13"/>
                <w:szCs w:val="13"/>
              </w:rPr>
              <w:t>771 013</w:t>
            </w:r>
          </w:p>
        </w:tc>
      </w:tr>
      <w:tr w:rsidR="00A751C0" w:rsidRPr="00A751C0" w14:paraId="6281084A" w14:textId="01DB9EC9" w:rsidTr="00552529">
        <w:trPr>
          <w:trHeight w:val="227"/>
        </w:trPr>
        <w:tc>
          <w:tcPr>
            <w:tcW w:w="4760" w:type="dxa"/>
            <w:tcBorders>
              <w:top w:val="single" w:sz="8" w:space="0" w:color="0077BD"/>
              <w:left w:val="nil"/>
              <w:bottom w:val="single" w:sz="8" w:space="0" w:color="0077BD"/>
              <w:right w:val="single" w:sz="8" w:space="0" w:color="0077BD"/>
            </w:tcBorders>
            <w:shd w:val="clear" w:color="auto" w:fill="auto"/>
            <w:noWrap/>
            <w:vAlign w:val="center"/>
            <w:hideMark/>
          </w:tcPr>
          <w:p w14:paraId="0F320B90" w14:textId="77777777" w:rsidR="0085097C" w:rsidRPr="00A751C0" w:rsidRDefault="0085097C" w:rsidP="0085097C">
            <w:pPr>
              <w:rPr>
                <w:rFonts w:cs="Calibri"/>
                <w:b/>
                <w:bCs/>
                <w:color w:val="000000" w:themeColor="text1"/>
                <w:sz w:val="13"/>
                <w:szCs w:val="13"/>
              </w:rPr>
            </w:pPr>
            <w:r w:rsidRPr="00A751C0">
              <w:rPr>
                <w:rFonts w:cs="Calibri"/>
                <w:b/>
                <w:bCs/>
                <w:color w:val="000000" w:themeColor="text1"/>
                <w:sz w:val="13"/>
                <w:szCs w:val="13"/>
              </w:rPr>
              <w:t>AKTYWA RAZEM</w:t>
            </w:r>
          </w:p>
        </w:tc>
        <w:tc>
          <w:tcPr>
            <w:tcW w:w="567" w:type="dxa"/>
            <w:tcBorders>
              <w:top w:val="single" w:sz="8" w:space="0" w:color="0077BD"/>
              <w:left w:val="nil"/>
              <w:bottom w:val="single" w:sz="8" w:space="0" w:color="0077BD"/>
              <w:right w:val="single" w:sz="8" w:space="0" w:color="0077BD"/>
            </w:tcBorders>
            <w:shd w:val="clear" w:color="auto" w:fill="auto"/>
            <w:noWrap/>
            <w:vAlign w:val="center"/>
            <w:hideMark/>
          </w:tcPr>
          <w:p w14:paraId="0DF24AC3" w14:textId="4F35FC6B" w:rsidR="0085097C" w:rsidRPr="00A751C0" w:rsidRDefault="0085097C" w:rsidP="0085097C">
            <w:pPr>
              <w:jc w:val="center"/>
              <w:rPr>
                <w:rFonts w:cs="Calibri"/>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232ADE34" w14:textId="74F62BBC" w:rsidR="0085097C"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158 720</w:t>
            </w:r>
            <w:r w:rsidR="0085097C" w:rsidRPr="00A751C0">
              <w:rPr>
                <w:rFonts w:cs="Calibri"/>
                <w:b/>
                <w:bCs/>
                <w:color w:val="000000" w:themeColor="text1"/>
                <w:sz w:val="13"/>
                <w:szCs w:val="13"/>
              </w:rPr>
              <w:t xml:space="preserve"> </w:t>
            </w:r>
            <w:r w:rsidRPr="00A751C0">
              <w:rPr>
                <w:rFonts w:cs="Calibri"/>
                <w:b/>
                <w:bCs/>
                <w:color w:val="000000" w:themeColor="text1"/>
                <w:sz w:val="13"/>
                <w:szCs w:val="13"/>
              </w:rPr>
              <w:t>583</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E9B2FAE" w14:textId="58CC9E97" w:rsidR="0085097C" w:rsidRPr="00A751C0" w:rsidRDefault="006517DE" w:rsidP="006517DE">
            <w:pPr>
              <w:jc w:val="right"/>
              <w:rPr>
                <w:rFonts w:cs="Calibri"/>
                <w:b/>
                <w:bCs/>
                <w:color w:val="000000" w:themeColor="text1"/>
                <w:sz w:val="13"/>
                <w:szCs w:val="13"/>
              </w:rPr>
            </w:pPr>
            <w:r w:rsidRPr="00A751C0">
              <w:rPr>
                <w:rFonts w:cs="Calibri"/>
                <w:b/>
                <w:bCs/>
                <w:color w:val="000000" w:themeColor="text1"/>
                <w:sz w:val="13"/>
                <w:szCs w:val="13"/>
              </w:rPr>
              <w:t>145 780</w:t>
            </w:r>
            <w:r w:rsidR="0085097C" w:rsidRPr="00A751C0">
              <w:rPr>
                <w:rFonts w:cs="Calibri"/>
                <w:b/>
                <w:bCs/>
                <w:color w:val="000000" w:themeColor="text1"/>
                <w:sz w:val="13"/>
                <w:szCs w:val="13"/>
              </w:rPr>
              <w:t xml:space="preserve"> </w:t>
            </w:r>
            <w:r w:rsidRPr="00A751C0">
              <w:rPr>
                <w:rFonts w:cs="Calibri"/>
                <w:b/>
                <w:bCs/>
                <w:color w:val="000000" w:themeColor="text1"/>
                <w:sz w:val="13"/>
                <w:szCs w:val="13"/>
              </w:rPr>
              <w:t>558</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61672BC1" w14:textId="6F857969" w:rsidR="0085097C" w:rsidRPr="00A751C0" w:rsidRDefault="0085097C" w:rsidP="0085097C">
            <w:pPr>
              <w:jc w:val="right"/>
              <w:rPr>
                <w:rFonts w:cs="Calibri"/>
                <w:b/>
                <w:bCs/>
                <w:color w:val="000000" w:themeColor="text1"/>
                <w:sz w:val="13"/>
                <w:szCs w:val="13"/>
              </w:rPr>
            </w:pPr>
            <w:r w:rsidRPr="00A751C0">
              <w:rPr>
                <w:rFonts w:cs="Calibri"/>
                <w:b/>
                <w:bCs/>
                <w:color w:val="000000" w:themeColor="text1"/>
                <w:sz w:val="13"/>
                <w:szCs w:val="13"/>
              </w:rPr>
              <w:t>131 300 956</w:t>
            </w:r>
          </w:p>
        </w:tc>
      </w:tr>
      <w:tr w:rsidR="00341FB2" w:rsidRPr="005E7415" w14:paraId="6160E5D8" w14:textId="4E0687CC" w:rsidTr="003654A4">
        <w:trPr>
          <w:trHeight w:val="198"/>
        </w:trPr>
        <w:tc>
          <w:tcPr>
            <w:tcW w:w="4760" w:type="dxa"/>
            <w:tcBorders>
              <w:top w:val="single" w:sz="8" w:space="0" w:color="FFFFFF"/>
              <w:left w:val="nil"/>
              <w:bottom w:val="single" w:sz="6" w:space="0" w:color="FFFFFF" w:themeColor="background1"/>
              <w:right w:val="single" w:sz="8" w:space="0" w:color="FFFFFF"/>
            </w:tcBorders>
            <w:shd w:val="clear" w:color="000000" w:fill="0077BD"/>
            <w:vAlign w:val="center"/>
            <w:hideMark/>
          </w:tcPr>
          <w:p w14:paraId="60222A81" w14:textId="77777777" w:rsidR="00341FB2" w:rsidRPr="005E7415" w:rsidRDefault="00341FB2" w:rsidP="00717C59">
            <w:pPr>
              <w:rPr>
                <w:rFonts w:cs="Calibri"/>
                <w:b/>
                <w:bCs/>
                <w:color w:val="FFFFFF"/>
                <w:sz w:val="13"/>
                <w:szCs w:val="13"/>
              </w:rPr>
            </w:pPr>
            <w:r w:rsidRPr="005E7415">
              <w:rPr>
                <w:rFonts w:cs="Calibri"/>
                <w:b/>
                <w:bCs/>
                <w:color w:val="FFFFFF"/>
                <w:sz w:val="13"/>
                <w:szCs w:val="13"/>
              </w:rPr>
              <w:t>ZOBOWIĄZANIA I KAPITAŁY</w:t>
            </w:r>
          </w:p>
        </w:tc>
        <w:tc>
          <w:tcPr>
            <w:tcW w:w="567" w:type="dxa"/>
            <w:tcBorders>
              <w:top w:val="single" w:sz="8" w:space="0" w:color="FFFFFF"/>
              <w:left w:val="single" w:sz="8" w:space="0" w:color="FFFFFF"/>
              <w:bottom w:val="single" w:sz="6" w:space="0" w:color="FFFFFF"/>
              <w:right w:val="single" w:sz="8" w:space="0" w:color="FFFFFF"/>
            </w:tcBorders>
            <w:shd w:val="clear" w:color="000000" w:fill="0077BD"/>
            <w:noWrap/>
            <w:vAlign w:val="center"/>
          </w:tcPr>
          <w:p w14:paraId="19C57F04" w14:textId="3CEF5C33" w:rsidR="00341FB2" w:rsidRPr="005E7415" w:rsidRDefault="00341FB2" w:rsidP="00717C59">
            <w:pPr>
              <w:jc w:val="center"/>
              <w:rPr>
                <w:rFonts w:cs="Calibri"/>
                <w:b/>
                <w:bCs/>
                <w:color w:val="FFFFFF"/>
                <w:sz w:val="13"/>
                <w:szCs w:val="13"/>
              </w:rPr>
            </w:pPr>
          </w:p>
        </w:tc>
        <w:tc>
          <w:tcPr>
            <w:tcW w:w="1418" w:type="dxa"/>
            <w:tcBorders>
              <w:top w:val="single" w:sz="8" w:space="0" w:color="FFFFFF"/>
              <w:left w:val="nil"/>
              <w:bottom w:val="single" w:sz="6" w:space="0" w:color="FFFFFF"/>
              <w:right w:val="nil"/>
            </w:tcBorders>
            <w:shd w:val="clear" w:color="000000" w:fill="0077BD"/>
            <w:noWrap/>
            <w:vAlign w:val="center"/>
          </w:tcPr>
          <w:p w14:paraId="48A6825C" w14:textId="32911EFE" w:rsidR="00341FB2" w:rsidRPr="005E7415" w:rsidRDefault="00341FB2" w:rsidP="00717C59">
            <w:pPr>
              <w:jc w:val="right"/>
              <w:rPr>
                <w:rFonts w:cs="Calibri"/>
                <w:b/>
                <w:bCs/>
                <w:color w:val="FFFFFF"/>
                <w:sz w:val="13"/>
                <w:szCs w:val="13"/>
              </w:rPr>
            </w:pPr>
          </w:p>
        </w:tc>
        <w:tc>
          <w:tcPr>
            <w:tcW w:w="1418" w:type="dxa"/>
            <w:tcBorders>
              <w:top w:val="single" w:sz="8" w:space="0" w:color="FFFFFF"/>
              <w:left w:val="single" w:sz="8" w:space="0" w:color="FFFFFF"/>
              <w:bottom w:val="single" w:sz="6" w:space="0" w:color="FFFFFF"/>
              <w:right w:val="nil"/>
            </w:tcBorders>
            <w:shd w:val="clear" w:color="000000" w:fill="0077BD"/>
            <w:noWrap/>
            <w:vAlign w:val="center"/>
          </w:tcPr>
          <w:p w14:paraId="36E3EF52" w14:textId="1AAB2402" w:rsidR="00341FB2" w:rsidRPr="005E7415" w:rsidRDefault="00341FB2" w:rsidP="00717C59">
            <w:pPr>
              <w:jc w:val="right"/>
              <w:rPr>
                <w:rFonts w:cs="Calibri"/>
                <w:b/>
                <w:bCs/>
                <w:color w:val="FFFFFF"/>
                <w:sz w:val="13"/>
                <w:szCs w:val="13"/>
              </w:rPr>
            </w:pPr>
          </w:p>
        </w:tc>
        <w:tc>
          <w:tcPr>
            <w:tcW w:w="1418" w:type="dxa"/>
            <w:tcBorders>
              <w:top w:val="single" w:sz="8" w:space="0" w:color="FFFFFF"/>
              <w:left w:val="single" w:sz="8" w:space="0" w:color="FFFFFF"/>
              <w:bottom w:val="single" w:sz="6" w:space="0" w:color="FFFFFF"/>
              <w:right w:val="nil"/>
            </w:tcBorders>
            <w:shd w:val="clear" w:color="000000" w:fill="0077BD"/>
          </w:tcPr>
          <w:p w14:paraId="6B94712D" w14:textId="77777777" w:rsidR="00341FB2" w:rsidRPr="005E7415" w:rsidRDefault="00341FB2" w:rsidP="00717C59">
            <w:pPr>
              <w:jc w:val="right"/>
              <w:rPr>
                <w:rFonts w:cs="Calibri"/>
                <w:b/>
                <w:bCs/>
                <w:color w:val="FFFFFF"/>
                <w:sz w:val="13"/>
                <w:szCs w:val="13"/>
              </w:rPr>
            </w:pPr>
          </w:p>
        </w:tc>
      </w:tr>
      <w:tr w:rsidR="00341FB2" w:rsidRPr="005E7415" w14:paraId="6231F916" w14:textId="38C6C3E8" w:rsidTr="003654A4">
        <w:trPr>
          <w:trHeight w:val="198"/>
        </w:trPr>
        <w:tc>
          <w:tcPr>
            <w:tcW w:w="4760" w:type="dxa"/>
            <w:tcBorders>
              <w:top w:val="single" w:sz="6" w:space="0" w:color="FFFFFF" w:themeColor="background1"/>
              <w:left w:val="nil"/>
              <w:bottom w:val="single" w:sz="4" w:space="0" w:color="0077BD"/>
              <w:right w:val="single" w:sz="8" w:space="0" w:color="FFFFFF"/>
            </w:tcBorders>
            <w:shd w:val="clear" w:color="000000" w:fill="0077BD"/>
            <w:vAlign w:val="center"/>
            <w:hideMark/>
          </w:tcPr>
          <w:p w14:paraId="5D5E6D21" w14:textId="77777777" w:rsidR="00341FB2" w:rsidRPr="005E7415" w:rsidRDefault="00341FB2" w:rsidP="00717C59">
            <w:pPr>
              <w:rPr>
                <w:rFonts w:cs="Calibri"/>
                <w:b/>
                <w:bCs/>
                <w:color w:val="FFFFFF"/>
                <w:sz w:val="13"/>
                <w:szCs w:val="13"/>
              </w:rPr>
            </w:pPr>
            <w:r w:rsidRPr="005E7415">
              <w:rPr>
                <w:rFonts w:cs="Calibri"/>
                <w:b/>
                <w:bCs/>
                <w:color w:val="FFFFFF"/>
                <w:sz w:val="13"/>
                <w:szCs w:val="13"/>
              </w:rPr>
              <w:t>ZOBOWIĄZANIA</w:t>
            </w:r>
          </w:p>
        </w:tc>
        <w:tc>
          <w:tcPr>
            <w:tcW w:w="567" w:type="dxa"/>
            <w:tcBorders>
              <w:top w:val="single" w:sz="6" w:space="0" w:color="FFFFFF"/>
              <w:left w:val="single" w:sz="8" w:space="0" w:color="FFFFFF"/>
              <w:bottom w:val="single" w:sz="4" w:space="0" w:color="0077BD"/>
              <w:right w:val="single" w:sz="8" w:space="0" w:color="FFFFFF"/>
            </w:tcBorders>
            <w:shd w:val="clear" w:color="000000" w:fill="0077BD"/>
            <w:noWrap/>
            <w:vAlign w:val="center"/>
          </w:tcPr>
          <w:p w14:paraId="0A8D66C7" w14:textId="2C0E512F" w:rsidR="00341FB2" w:rsidRPr="005E7415" w:rsidRDefault="00341FB2" w:rsidP="00717C59">
            <w:pPr>
              <w:jc w:val="center"/>
              <w:rPr>
                <w:rFonts w:cs="Calibri"/>
                <w:sz w:val="13"/>
                <w:szCs w:val="13"/>
              </w:rPr>
            </w:pPr>
          </w:p>
        </w:tc>
        <w:tc>
          <w:tcPr>
            <w:tcW w:w="1418" w:type="dxa"/>
            <w:tcBorders>
              <w:top w:val="single" w:sz="6" w:space="0" w:color="FFFFFF"/>
              <w:left w:val="nil"/>
              <w:bottom w:val="single" w:sz="4" w:space="0" w:color="0077BD"/>
              <w:right w:val="nil"/>
            </w:tcBorders>
            <w:shd w:val="clear" w:color="000000" w:fill="0077BD"/>
            <w:noWrap/>
            <w:vAlign w:val="center"/>
          </w:tcPr>
          <w:p w14:paraId="6DACA753" w14:textId="72867A4A" w:rsidR="00341FB2" w:rsidRPr="005E7415" w:rsidRDefault="00341FB2" w:rsidP="00717C59">
            <w:pPr>
              <w:jc w:val="right"/>
              <w:rPr>
                <w:rFonts w:cs="Calibri"/>
                <w:sz w:val="13"/>
                <w:szCs w:val="13"/>
              </w:rPr>
            </w:pPr>
          </w:p>
        </w:tc>
        <w:tc>
          <w:tcPr>
            <w:tcW w:w="1418" w:type="dxa"/>
            <w:tcBorders>
              <w:top w:val="single" w:sz="6" w:space="0" w:color="FFFFFF"/>
              <w:left w:val="single" w:sz="8" w:space="0" w:color="FFFFFF"/>
              <w:bottom w:val="single" w:sz="4" w:space="0" w:color="0077BD"/>
              <w:right w:val="nil"/>
            </w:tcBorders>
            <w:shd w:val="clear" w:color="000000" w:fill="0077BD"/>
            <w:noWrap/>
            <w:vAlign w:val="center"/>
          </w:tcPr>
          <w:p w14:paraId="139BFC7D" w14:textId="552B2064" w:rsidR="00341FB2" w:rsidRPr="005E7415" w:rsidRDefault="00341FB2" w:rsidP="00717C59">
            <w:pPr>
              <w:jc w:val="right"/>
              <w:rPr>
                <w:rFonts w:cs="Calibri"/>
                <w:sz w:val="13"/>
                <w:szCs w:val="13"/>
              </w:rPr>
            </w:pPr>
          </w:p>
        </w:tc>
        <w:tc>
          <w:tcPr>
            <w:tcW w:w="1418" w:type="dxa"/>
            <w:tcBorders>
              <w:top w:val="single" w:sz="6" w:space="0" w:color="FFFFFF"/>
              <w:left w:val="single" w:sz="8" w:space="0" w:color="FFFFFF"/>
              <w:bottom w:val="single" w:sz="4" w:space="0" w:color="0077BD"/>
              <w:right w:val="nil"/>
            </w:tcBorders>
            <w:shd w:val="clear" w:color="000000" w:fill="0077BD"/>
          </w:tcPr>
          <w:p w14:paraId="3C567F29" w14:textId="77777777" w:rsidR="00341FB2" w:rsidRPr="005E7415" w:rsidRDefault="00341FB2" w:rsidP="00717C59">
            <w:pPr>
              <w:jc w:val="right"/>
              <w:rPr>
                <w:rFonts w:cs="Calibri"/>
                <w:sz w:val="13"/>
                <w:szCs w:val="13"/>
              </w:rPr>
            </w:pPr>
          </w:p>
        </w:tc>
      </w:tr>
      <w:tr w:rsidR="00A751C0" w:rsidRPr="00A751C0" w14:paraId="5993A77A" w14:textId="5D59269A" w:rsidTr="00552529">
        <w:trPr>
          <w:trHeight w:val="340"/>
        </w:trPr>
        <w:tc>
          <w:tcPr>
            <w:tcW w:w="4760" w:type="dxa"/>
            <w:tcBorders>
              <w:top w:val="single" w:sz="4" w:space="0" w:color="0077BD"/>
              <w:left w:val="nil"/>
              <w:bottom w:val="single" w:sz="4" w:space="0" w:color="0077BD"/>
              <w:right w:val="single" w:sz="8" w:space="0" w:color="0077BD"/>
            </w:tcBorders>
            <w:shd w:val="clear" w:color="auto" w:fill="auto"/>
            <w:vAlign w:val="center"/>
            <w:hideMark/>
          </w:tcPr>
          <w:p w14:paraId="322DAB3E"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Zobowiązania finansowe przeznaczone do obrotu oraz instrumenty pochodne zabezpieczające</w:t>
            </w:r>
          </w:p>
        </w:tc>
        <w:tc>
          <w:tcPr>
            <w:tcW w:w="567" w:type="dxa"/>
            <w:tcBorders>
              <w:top w:val="single" w:sz="4" w:space="0" w:color="0077BD"/>
              <w:left w:val="nil"/>
              <w:bottom w:val="single" w:sz="4" w:space="0" w:color="0077BD"/>
              <w:right w:val="nil"/>
            </w:tcBorders>
            <w:shd w:val="clear" w:color="auto" w:fill="auto"/>
            <w:noWrap/>
            <w:vAlign w:val="center"/>
            <w:hideMark/>
          </w:tcPr>
          <w:p w14:paraId="1D0F32BB" w14:textId="77777777"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20</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6B19F52A" w14:textId="408D219C"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948 764</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5DDF462A"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981 117</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402AD290" w14:textId="33026E5B"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1 095 365</w:t>
            </w:r>
          </w:p>
        </w:tc>
      </w:tr>
      <w:tr w:rsidR="00A751C0" w:rsidRPr="00A751C0" w14:paraId="6BA695B3" w14:textId="45DCB860"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108CD495"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Zobowiązania finansowe wyceniane w zamortyzowanym koszcie, w tym:</w:t>
            </w:r>
          </w:p>
        </w:tc>
        <w:tc>
          <w:tcPr>
            <w:tcW w:w="567" w:type="dxa"/>
            <w:tcBorders>
              <w:top w:val="nil"/>
              <w:left w:val="nil"/>
              <w:bottom w:val="single" w:sz="4" w:space="0" w:color="0077BD"/>
              <w:right w:val="nil"/>
            </w:tcBorders>
            <w:shd w:val="clear" w:color="auto" w:fill="auto"/>
            <w:noWrap/>
            <w:vAlign w:val="center"/>
            <w:hideMark/>
          </w:tcPr>
          <w:p w14:paraId="05C402C4" w14:textId="73C8823E"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28</w:t>
            </w:r>
          </w:p>
        </w:tc>
        <w:tc>
          <w:tcPr>
            <w:tcW w:w="1418" w:type="dxa"/>
            <w:tcBorders>
              <w:top w:val="nil"/>
              <w:left w:val="single" w:sz="8" w:space="0" w:color="0077BD"/>
              <w:bottom w:val="single" w:sz="4" w:space="0" w:color="0077BD"/>
              <w:right w:val="nil"/>
            </w:tcBorders>
            <w:shd w:val="clear" w:color="auto" w:fill="auto"/>
            <w:noWrap/>
            <w:vAlign w:val="center"/>
          </w:tcPr>
          <w:p w14:paraId="4BAADA3E" w14:textId="301266B4" w:rsidR="00D80FDF" w:rsidRPr="00A751C0" w:rsidRDefault="00BE2E28" w:rsidP="00BE2E28">
            <w:pPr>
              <w:jc w:val="right"/>
              <w:rPr>
                <w:rFonts w:cs="Calibri"/>
                <w:color w:val="000000" w:themeColor="text1"/>
                <w:sz w:val="13"/>
                <w:szCs w:val="13"/>
              </w:rPr>
            </w:pPr>
            <w:r>
              <w:rPr>
                <w:rFonts w:cs="Calibri"/>
                <w:color w:val="000000" w:themeColor="text1"/>
                <w:sz w:val="13"/>
                <w:szCs w:val="13"/>
              </w:rPr>
              <w:t>137 763</w:t>
            </w:r>
            <w:r w:rsidR="00D80FDF" w:rsidRPr="00A751C0">
              <w:rPr>
                <w:rFonts w:cs="Calibri"/>
                <w:color w:val="000000" w:themeColor="text1"/>
                <w:sz w:val="13"/>
                <w:szCs w:val="13"/>
              </w:rPr>
              <w:t xml:space="preserve"> </w:t>
            </w:r>
            <w:r>
              <w:rPr>
                <w:rFonts w:cs="Calibri"/>
                <w:color w:val="000000" w:themeColor="text1"/>
                <w:sz w:val="13"/>
                <w:szCs w:val="13"/>
              </w:rPr>
              <w:t>369</w:t>
            </w:r>
          </w:p>
        </w:tc>
        <w:tc>
          <w:tcPr>
            <w:tcW w:w="1418" w:type="dxa"/>
            <w:tcBorders>
              <w:top w:val="nil"/>
              <w:left w:val="single" w:sz="8" w:space="0" w:color="0077BD"/>
              <w:bottom w:val="single" w:sz="4" w:space="0" w:color="0077BD"/>
              <w:right w:val="nil"/>
            </w:tcBorders>
            <w:shd w:val="clear" w:color="auto" w:fill="auto"/>
            <w:noWrap/>
            <w:vAlign w:val="center"/>
            <w:hideMark/>
          </w:tcPr>
          <w:p w14:paraId="74834979" w14:textId="23980E41" w:rsidR="00D80FDF" w:rsidRPr="00A751C0" w:rsidRDefault="006517DE" w:rsidP="006517DE">
            <w:pPr>
              <w:jc w:val="right"/>
              <w:rPr>
                <w:rFonts w:cs="Calibri"/>
                <w:color w:val="000000" w:themeColor="text1"/>
                <w:sz w:val="13"/>
                <w:szCs w:val="13"/>
              </w:rPr>
            </w:pPr>
            <w:r w:rsidRPr="00A751C0">
              <w:rPr>
                <w:rFonts w:cs="Calibri"/>
                <w:color w:val="000000" w:themeColor="text1"/>
                <w:sz w:val="13"/>
                <w:szCs w:val="13"/>
              </w:rPr>
              <w:t>125 641</w:t>
            </w:r>
            <w:r w:rsidR="00D80FDF" w:rsidRPr="00A751C0">
              <w:rPr>
                <w:rFonts w:cs="Calibri"/>
                <w:color w:val="000000" w:themeColor="text1"/>
                <w:sz w:val="13"/>
                <w:szCs w:val="13"/>
              </w:rPr>
              <w:t xml:space="preserve"> </w:t>
            </w:r>
            <w:r w:rsidRPr="00A751C0">
              <w:rPr>
                <w:rFonts w:cs="Calibri"/>
                <w:color w:val="000000" w:themeColor="text1"/>
                <w:sz w:val="13"/>
                <w:szCs w:val="13"/>
              </w:rPr>
              <w:t>634</w:t>
            </w:r>
          </w:p>
        </w:tc>
        <w:tc>
          <w:tcPr>
            <w:tcW w:w="1418" w:type="dxa"/>
            <w:tcBorders>
              <w:top w:val="nil"/>
              <w:left w:val="single" w:sz="8" w:space="0" w:color="0077BD"/>
              <w:bottom w:val="single" w:sz="4" w:space="0" w:color="0077BD"/>
              <w:right w:val="nil"/>
            </w:tcBorders>
            <w:shd w:val="clear" w:color="auto" w:fill="auto"/>
            <w:vAlign w:val="center"/>
          </w:tcPr>
          <w:p w14:paraId="3F9A2174" w14:textId="7F5060E9"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113 173 991</w:t>
            </w:r>
          </w:p>
        </w:tc>
      </w:tr>
      <w:tr w:rsidR="00A751C0" w:rsidRPr="00A751C0" w14:paraId="0A065599" w14:textId="17022C2B"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70C9DFD9" w14:textId="77777777" w:rsidR="00D80FDF" w:rsidRPr="00A751C0" w:rsidRDefault="00D80FDF" w:rsidP="00D80FDF">
            <w:pPr>
              <w:ind w:firstLineChars="200" w:firstLine="260"/>
              <w:rPr>
                <w:rFonts w:cs="Calibri"/>
                <w:i/>
                <w:iCs/>
                <w:color w:val="000000" w:themeColor="text1"/>
                <w:sz w:val="13"/>
                <w:szCs w:val="13"/>
              </w:rPr>
            </w:pPr>
            <w:r w:rsidRPr="00A751C0">
              <w:rPr>
                <w:rFonts w:cs="Calibri"/>
                <w:i/>
                <w:iCs/>
                <w:color w:val="000000" w:themeColor="text1"/>
                <w:sz w:val="13"/>
                <w:szCs w:val="13"/>
              </w:rPr>
              <w:t>Zobowiązania wobec banków</w:t>
            </w:r>
          </w:p>
        </w:tc>
        <w:tc>
          <w:tcPr>
            <w:tcW w:w="567" w:type="dxa"/>
            <w:tcBorders>
              <w:top w:val="nil"/>
              <w:left w:val="nil"/>
              <w:bottom w:val="single" w:sz="4" w:space="0" w:color="0077BD"/>
              <w:right w:val="nil"/>
            </w:tcBorders>
            <w:shd w:val="clear" w:color="auto" w:fill="auto"/>
            <w:noWrap/>
            <w:vAlign w:val="center"/>
          </w:tcPr>
          <w:p w14:paraId="0B9D705C" w14:textId="65EBFE84" w:rsidR="00D80FDF" w:rsidRPr="00A751C0" w:rsidRDefault="00D80FDF" w:rsidP="00D80FDF">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31EC3BE2" w14:textId="5C267A4D" w:rsidR="00D80FDF" w:rsidRPr="00A751C0" w:rsidRDefault="00D80FDF" w:rsidP="00B529EF">
            <w:pPr>
              <w:jc w:val="right"/>
              <w:rPr>
                <w:rFonts w:cs="Calibri"/>
                <w:i/>
                <w:iCs/>
                <w:color w:val="000000" w:themeColor="text1"/>
                <w:sz w:val="13"/>
                <w:szCs w:val="13"/>
              </w:rPr>
            </w:pPr>
            <w:r w:rsidRPr="00A751C0">
              <w:rPr>
                <w:rFonts w:cs="Calibri"/>
                <w:i/>
                <w:iCs/>
                <w:color w:val="000000" w:themeColor="text1"/>
                <w:sz w:val="13"/>
                <w:szCs w:val="13"/>
              </w:rPr>
              <w:t xml:space="preserve">1 </w:t>
            </w:r>
            <w:r w:rsidR="00B529EF" w:rsidRPr="00A751C0">
              <w:rPr>
                <w:rFonts w:cs="Calibri"/>
                <w:i/>
                <w:iCs/>
                <w:color w:val="000000" w:themeColor="text1"/>
                <w:sz w:val="13"/>
                <w:szCs w:val="13"/>
              </w:rPr>
              <w:t>166</w:t>
            </w:r>
            <w:r w:rsidRPr="00A751C0">
              <w:rPr>
                <w:rFonts w:cs="Calibri"/>
                <w:i/>
                <w:iCs/>
                <w:color w:val="000000" w:themeColor="text1"/>
                <w:sz w:val="13"/>
                <w:szCs w:val="13"/>
              </w:rPr>
              <w:t xml:space="preserve"> </w:t>
            </w:r>
            <w:r w:rsidR="00B529EF" w:rsidRPr="00A751C0">
              <w:rPr>
                <w:rFonts w:cs="Calibri"/>
                <w:i/>
                <w:iCs/>
                <w:color w:val="000000" w:themeColor="text1"/>
                <w:sz w:val="13"/>
                <w:szCs w:val="13"/>
              </w:rPr>
              <w:t>871</w:t>
            </w:r>
          </w:p>
        </w:tc>
        <w:tc>
          <w:tcPr>
            <w:tcW w:w="1418" w:type="dxa"/>
            <w:tcBorders>
              <w:top w:val="nil"/>
              <w:left w:val="single" w:sz="8" w:space="0" w:color="0077BD"/>
              <w:bottom w:val="single" w:sz="4" w:space="0" w:color="0077BD"/>
              <w:right w:val="nil"/>
            </w:tcBorders>
            <w:shd w:val="clear" w:color="auto" w:fill="auto"/>
            <w:noWrap/>
            <w:vAlign w:val="center"/>
            <w:hideMark/>
          </w:tcPr>
          <w:p w14:paraId="4EC22B5C" w14:textId="25BC4CC4" w:rsidR="00D80FDF" w:rsidRPr="00A751C0" w:rsidRDefault="006517DE" w:rsidP="006517DE">
            <w:pPr>
              <w:jc w:val="right"/>
              <w:rPr>
                <w:rFonts w:cs="Calibri"/>
                <w:i/>
                <w:iCs/>
                <w:color w:val="000000" w:themeColor="text1"/>
                <w:sz w:val="13"/>
                <w:szCs w:val="13"/>
              </w:rPr>
            </w:pPr>
            <w:r w:rsidRPr="00A751C0">
              <w:rPr>
                <w:rFonts w:cs="Calibri"/>
                <w:i/>
                <w:iCs/>
                <w:color w:val="000000" w:themeColor="text1"/>
                <w:sz w:val="13"/>
                <w:szCs w:val="13"/>
              </w:rPr>
              <w:t>3 108</w:t>
            </w:r>
            <w:r w:rsidR="00D80FDF" w:rsidRPr="00A751C0">
              <w:rPr>
                <w:rFonts w:cs="Calibri"/>
                <w:i/>
                <w:iCs/>
                <w:color w:val="000000" w:themeColor="text1"/>
                <w:sz w:val="13"/>
                <w:szCs w:val="13"/>
              </w:rPr>
              <w:t xml:space="preserve"> </w:t>
            </w:r>
            <w:r w:rsidRPr="00A751C0">
              <w:rPr>
                <w:rFonts w:cs="Calibri"/>
                <w:i/>
                <w:iCs/>
                <w:color w:val="000000" w:themeColor="text1"/>
                <w:sz w:val="13"/>
                <w:szCs w:val="13"/>
              </w:rPr>
              <w:t>826</w:t>
            </w:r>
          </w:p>
        </w:tc>
        <w:tc>
          <w:tcPr>
            <w:tcW w:w="1418" w:type="dxa"/>
            <w:tcBorders>
              <w:top w:val="nil"/>
              <w:left w:val="single" w:sz="8" w:space="0" w:color="0077BD"/>
              <w:bottom w:val="single" w:sz="4" w:space="0" w:color="0077BD"/>
              <w:right w:val="nil"/>
            </w:tcBorders>
            <w:shd w:val="clear" w:color="auto" w:fill="auto"/>
            <w:vAlign w:val="center"/>
          </w:tcPr>
          <w:p w14:paraId="49653CF8" w14:textId="49A2D244"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5 073 351</w:t>
            </w:r>
          </w:p>
        </w:tc>
      </w:tr>
      <w:tr w:rsidR="00A751C0" w:rsidRPr="00A751C0" w14:paraId="4169EEE5" w14:textId="4BE0DDA5"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300E74A6" w14:textId="77777777" w:rsidR="00D80FDF" w:rsidRPr="00A751C0" w:rsidRDefault="00D80FDF" w:rsidP="00D80FDF">
            <w:pPr>
              <w:ind w:firstLineChars="200" w:firstLine="260"/>
              <w:rPr>
                <w:rFonts w:cs="Calibri"/>
                <w:i/>
                <w:iCs/>
                <w:color w:val="000000" w:themeColor="text1"/>
                <w:sz w:val="13"/>
                <w:szCs w:val="13"/>
              </w:rPr>
            </w:pPr>
            <w:r w:rsidRPr="00A751C0">
              <w:rPr>
                <w:rFonts w:cs="Calibri"/>
                <w:i/>
                <w:iCs/>
                <w:color w:val="000000" w:themeColor="text1"/>
                <w:sz w:val="13"/>
                <w:szCs w:val="13"/>
              </w:rPr>
              <w:t>Zobowiązania wobec klientów</w:t>
            </w:r>
          </w:p>
        </w:tc>
        <w:tc>
          <w:tcPr>
            <w:tcW w:w="567" w:type="dxa"/>
            <w:tcBorders>
              <w:top w:val="nil"/>
              <w:left w:val="nil"/>
              <w:bottom w:val="single" w:sz="4" w:space="0" w:color="0077BD"/>
              <w:right w:val="nil"/>
            </w:tcBorders>
            <w:shd w:val="clear" w:color="auto" w:fill="auto"/>
            <w:noWrap/>
            <w:vAlign w:val="center"/>
          </w:tcPr>
          <w:p w14:paraId="359DC245" w14:textId="298FF668" w:rsidR="00D80FDF" w:rsidRPr="00A751C0" w:rsidRDefault="00D80FDF" w:rsidP="00D80FDF">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0032B33A" w14:textId="2B40AB2C"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116 661 138</w:t>
            </w:r>
          </w:p>
        </w:tc>
        <w:tc>
          <w:tcPr>
            <w:tcW w:w="1418" w:type="dxa"/>
            <w:tcBorders>
              <w:top w:val="nil"/>
              <w:left w:val="single" w:sz="8" w:space="0" w:color="0077BD"/>
              <w:bottom w:val="single" w:sz="4" w:space="0" w:color="0077BD"/>
              <w:right w:val="nil"/>
            </w:tcBorders>
            <w:shd w:val="clear" w:color="auto" w:fill="auto"/>
            <w:noWrap/>
            <w:vAlign w:val="center"/>
            <w:hideMark/>
          </w:tcPr>
          <w:p w14:paraId="34126999" w14:textId="77777777"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102 009 062</w:t>
            </w:r>
          </w:p>
        </w:tc>
        <w:tc>
          <w:tcPr>
            <w:tcW w:w="1418" w:type="dxa"/>
            <w:tcBorders>
              <w:top w:val="nil"/>
              <w:left w:val="single" w:sz="8" w:space="0" w:color="0077BD"/>
              <w:bottom w:val="single" w:sz="4" w:space="0" w:color="0077BD"/>
              <w:right w:val="nil"/>
            </w:tcBorders>
            <w:shd w:val="clear" w:color="auto" w:fill="auto"/>
            <w:vAlign w:val="center"/>
          </w:tcPr>
          <w:p w14:paraId="0CA3DDD5" w14:textId="06694BDB"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91 619 645</w:t>
            </w:r>
          </w:p>
        </w:tc>
      </w:tr>
      <w:tr w:rsidR="00A751C0" w:rsidRPr="00A751C0" w14:paraId="21434BC0" w14:textId="0581F485"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17FEA707" w14:textId="77777777" w:rsidR="00D80FDF" w:rsidRPr="00A751C0" w:rsidRDefault="00D80FDF" w:rsidP="00D80FDF">
            <w:pPr>
              <w:ind w:firstLineChars="200" w:firstLine="260"/>
              <w:rPr>
                <w:rFonts w:cs="Calibri"/>
                <w:i/>
                <w:iCs/>
                <w:color w:val="000000" w:themeColor="text1"/>
                <w:sz w:val="13"/>
                <w:szCs w:val="13"/>
              </w:rPr>
            </w:pPr>
            <w:r w:rsidRPr="00A751C0">
              <w:rPr>
                <w:rFonts w:cs="Calibri"/>
                <w:i/>
                <w:iCs/>
                <w:color w:val="000000" w:themeColor="text1"/>
                <w:sz w:val="13"/>
                <w:szCs w:val="13"/>
              </w:rPr>
              <w:t>Zobowiązania z tytułu emisji dłużnych papierów wartościowych</w:t>
            </w:r>
          </w:p>
        </w:tc>
        <w:tc>
          <w:tcPr>
            <w:tcW w:w="567" w:type="dxa"/>
            <w:tcBorders>
              <w:top w:val="nil"/>
              <w:left w:val="nil"/>
              <w:bottom w:val="single" w:sz="4" w:space="0" w:color="0077BD"/>
              <w:right w:val="nil"/>
            </w:tcBorders>
            <w:shd w:val="clear" w:color="auto" w:fill="auto"/>
            <w:noWrap/>
            <w:vAlign w:val="center"/>
          </w:tcPr>
          <w:p w14:paraId="1F5A773C" w14:textId="12ECAF34" w:rsidR="00D80FDF" w:rsidRPr="00A751C0" w:rsidRDefault="00D80FDF" w:rsidP="00D80FDF">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6C9CFB68" w14:textId="6AF380C9"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17 435 143</w:t>
            </w:r>
          </w:p>
        </w:tc>
        <w:tc>
          <w:tcPr>
            <w:tcW w:w="1418" w:type="dxa"/>
            <w:tcBorders>
              <w:top w:val="nil"/>
              <w:left w:val="single" w:sz="8" w:space="0" w:color="0077BD"/>
              <w:bottom w:val="single" w:sz="4" w:space="0" w:color="0077BD"/>
              <w:right w:val="nil"/>
            </w:tcBorders>
            <w:shd w:val="clear" w:color="auto" w:fill="auto"/>
            <w:noWrap/>
            <w:vAlign w:val="center"/>
            <w:hideMark/>
          </w:tcPr>
          <w:p w14:paraId="5D65B0FA" w14:textId="77777777"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18 049 583</w:t>
            </w:r>
          </w:p>
        </w:tc>
        <w:tc>
          <w:tcPr>
            <w:tcW w:w="1418" w:type="dxa"/>
            <w:tcBorders>
              <w:top w:val="nil"/>
              <w:left w:val="single" w:sz="8" w:space="0" w:color="0077BD"/>
              <w:bottom w:val="single" w:sz="4" w:space="0" w:color="0077BD"/>
              <w:right w:val="nil"/>
            </w:tcBorders>
            <w:shd w:val="clear" w:color="auto" w:fill="auto"/>
            <w:vAlign w:val="center"/>
          </w:tcPr>
          <w:p w14:paraId="658E585F" w14:textId="108FB92C"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14 322 852</w:t>
            </w:r>
          </w:p>
        </w:tc>
      </w:tr>
      <w:tr w:rsidR="00A751C0" w:rsidRPr="00A751C0" w14:paraId="43179B9D" w14:textId="20E12E59"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2DBDD1ED" w14:textId="77777777" w:rsidR="00D80FDF" w:rsidRPr="00A751C0" w:rsidRDefault="00D80FDF" w:rsidP="00D80FDF">
            <w:pPr>
              <w:ind w:firstLineChars="200" w:firstLine="260"/>
              <w:rPr>
                <w:rFonts w:cs="Calibri"/>
                <w:i/>
                <w:iCs/>
                <w:color w:val="000000" w:themeColor="text1"/>
                <w:sz w:val="13"/>
                <w:szCs w:val="13"/>
              </w:rPr>
            </w:pPr>
            <w:r w:rsidRPr="00A751C0">
              <w:rPr>
                <w:rFonts w:cs="Calibri"/>
                <w:i/>
                <w:iCs/>
                <w:color w:val="000000" w:themeColor="text1"/>
                <w:sz w:val="13"/>
                <w:szCs w:val="13"/>
              </w:rPr>
              <w:t xml:space="preserve">Zobowiązania podporządkowane </w:t>
            </w:r>
          </w:p>
        </w:tc>
        <w:tc>
          <w:tcPr>
            <w:tcW w:w="567" w:type="dxa"/>
            <w:tcBorders>
              <w:top w:val="nil"/>
              <w:left w:val="nil"/>
              <w:bottom w:val="single" w:sz="4" w:space="0" w:color="0077BD"/>
              <w:right w:val="nil"/>
            </w:tcBorders>
            <w:shd w:val="clear" w:color="auto" w:fill="auto"/>
            <w:noWrap/>
            <w:vAlign w:val="center"/>
          </w:tcPr>
          <w:p w14:paraId="662B4E62" w14:textId="1D0A12F1" w:rsidR="00D80FDF" w:rsidRPr="00A751C0" w:rsidRDefault="00D80FDF" w:rsidP="00D80FDF">
            <w:pPr>
              <w:jc w:val="center"/>
              <w:rPr>
                <w:rFonts w:cs="Calibri"/>
                <w:i/>
                <w:iCs/>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266AE4EA" w14:textId="1AA09C01"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2 500 217</w:t>
            </w:r>
          </w:p>
        </w:tc>
        <w:tc>
          <w:tcPr>
            <w:tcW w:w="1418" w:type="dxa"/>
            <w:tcBorders>
              <w:top w:val="nil"/>
              <w:left w:val="single" w:sz="8" w:space="0" w:color="0077BD"/>
              <w:bottom w:val="single" w:sz="4" w:space="0" w:color="0077BD"/>
              <w:right w:val="nil"/>
            </w:tcBorders>
            <w:shd w:val="clear" w:color="auto" w:fill="auto"/>
            <w:noWrap/>
            <w:vAlign w:val="center"/>
            <w:hideMark/>
          </w:tcPr>
          <w:p w14:paraId="6DDC9A48" w14:textId="77777777"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2 474 163</w:t>
            </w:r>
          </w:p>
        </w:tc>
        <w:tc>
          <w:tcPr>
            <w:tcW w:w="1418" w:type="dxa"/>
            <w:tcBorders>
              <w:top w:val="nil"/>
              <w:left w:val="single" w:sz="8" w:space="0" w:color="0077BD"/>
              <w:bottom w:val="single" w:sz="4" w:space="0" w:color="0077BD"/>
              <w:right w:val="nil"/>
            </w:tcBorders>
            <w:shd w:val="clear" w:color="auto" w:fill="auto"/>
            <w:vAlign w:val="center"/>
          </w:tcPr>
          <w:p w14:paraId="79BBCD24" w14:textId="74BF91B1" w:rsidR="00D80FDF" w:rsidRPr="00A751C0" w:rsidRDefault="00D80FDF" w:rsidP="00D80FDF">
            <w:pPr>
              <w:jc w:val="right"/>
              <w:rPr>
                <w:rFonts w:cs="Calibri"/>
                <w:i/>
                <w:iCs/>
                <w:color w:val="000000" w:themeColor="text1"/>
                <w:sz w:val="13"/>
                <w:szCs w:val="13"/>
              </w:rPr>
            </w:pPr>
            <w:r w:rsidRPr="00A751C0">
              <w:rPr>
                <w:rFonts w:cs="Calibri"/>
                <w:i/>
                <w:iCs/>
                <w:color w:val="000000" w:themeColor="text1"/>
                <w:sz w:val="13"/>
                <w:szCs w:val="13"/>
              </w:rPr>
              <w:t>2 158 143</w:t>
            </w:r>
          </w:p>
        </w:tc>
      </w:tr>
      <w:tr w:rsidR="00A751C0" w:rsidRPr="00A751C0" w14:paraId="7B634CA9" w14:textId="77777777" w:rsidTr="00552529">
        <w:trPr>
          <w:trHeight w:val="340"/>
        </w:trPr>
        <w:tc>
          <w:tcPr>
            <w:tcW w:w="4760" w:type="dxa"/>
            <w:tcBorders>
              <w:top w:val="nil"/>
              <w:left w:val="nil"/>
              <w:bottom w:val="single" w:sz="4" w:space="0" w:color="0077BD"/>
              <w:right w:val="single" w:sz="8" w:space="0" w:color="0077BD"/>
            </w:tcBorders>
            <w:shd w:val="clear" w:color="000000" w:fill="FFFFFF"/>
            <w:vAlign w:val="center"/>
          </w:tcPr>
          <w:p w14:paraId="3E277CFA" w14:textId="57E185AB" w:rsidR="00D80FDF" w:rsidRPr="00A751C0" w:rsidRDefault="00D80FDF" w:rsidP="00D80FDF">
            <w:pPr>
              <w:rPr>
                <w:rFonts w:cs="Calibri"/>
                <w:color w:val="000000" w:themeColor="text1"/>
                <w:sz w:val="13"/>
                <w:szCs w:val="13"/>
              </w:rPr>
            </w:pPr>
            <w:r w:rsidRPr="00A751C0">
              <w:rPr>
                <w:rFonts w:cs="Calibri"/>
                <w:color w:val="000000" w:themeColor="text1"/>
                <w:sz w:val="13"/>
                <w:szCs w:val="13"/>
              </w:rPr>
              <w:t>Zmiany wartości godziwej pozycji zabezpieczanych w zabezpieczeniu portfela przed ryzykiem stopy procentowej</w:t>
            </w:r>
          </w:p>
        </w:tc>
        <w:tc>
          <w:tcPr>
            <w:tcW w:w="567" w:type="dxa"/>
            <w:tcBorders>
              <w:top w:val="nil"/>
              <w:left w:val="nil"/>
              <w:bottom w:val="single" w:sz="4" w:space="0" w:color="0077BD"/>
              <w:right w:val="nil"/>
            </w:tcBorders>
            <w:shd w:val="clear" w:color="auto" w:fill="auto"/>
            <w:noWrap/>
            <w:vAlign w:val="center"/>
          </w:tcPr>
          <w:p w14:paraId="0BF254F2" w14:textId="77777777"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6AB17E62" w14:textId="1E8D84F1"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136</w:t>
            </w:r>
          </w:p>
        </w:tc>
        <w:tc>
          <w:tcPr>
            <w:tcW w:w="1418" w:type="dxa"/>
            <w:tcBorders>
              <w:top w:val="nil"/>
              <w:left w:val="single" w:sz="8" w:space="0" w:color="0077BD"/>
              <w:bottom w:val="single" w:sz="4" w:space="0" w:color="0077BD"/>
              <w:right w:val="nil"/>
            </w:tcBorders>
            <w:shd w:val="clear" w:color="auto" w:fill="auto"/>
            <w:noWrap/>
            <w:vAlign w:val="center"/>
          </w:tcPr>
          <w:p w14:paraId="364A77D4" w14:textId="27CDBCE1" w:rsidR="00D80FDF" w:rsidRPr="00A751C0" w:rsidRDefault="00BE2E28" w:rsidP="00D80FDF">
            <w:pPr>
              <w:jc w:val="right"/>
              <w:rPr>
                <w:rFonts w:cs="Calibri"/>
                <w:color w:val="000000" w:themeColor="text1"/>
                <w:sz w:val="13"/>
                <w:szCs w:val="13"/>
              </w:rPr>
            </w:pPr>
            <w:r>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tcPr>
          <w:p w14:paraId="61E3CE04" w14:textId="744522CB"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44 854</w:t>
            </w:r>
          </w:p>
        </w:tc>
      </w:tr>
      <w:tr w:rsidR="00A751C0" w:rsidRPr="00A751C0" w14:paraId="7C4B97BE" w14:textId="34B9E2DA" w:rsidTr="001B4E85">
        <w:trPr>
          <w:trHeight w:val="227"/>
        </w:trPr>
        <w:tc>
          <w:tcPr>
            <w:tcW w:w="4760" w:type="dxa"/>
            <w:tcBorders>
              <w:top w:val="nil"/>
              <w:left w:val="nil"/>
              <w:bottom w:val="single" w:sz="4" w:space="0" w:color="0077BD"/>
              <w:right w:val="single" w:sz="8" w:space="0" w:color="0077BD"/>
            </w:tcBorders>
            <w:shd w:val="clear" w:color="000000" w:fill="FFFFFF"/>
            <w:vAlign w:val="center"/>
            <w:hideMark/>
          </w:tcPr>
          <w:p w14:paraId="2AFA0FB2" w14:textId="7F35BDAC" w:rsidR="00D80FDF" w:rsidRPr="00A751C0" w:rsidRDefault="00D80FDF" w:rsidP="00D80FDF">
            <w:pPr>
              <w:rPr>
                <w:rFonts w:cs="Calibri"/>
                <w:color w:val="000000" w:themeColor="text1"/>
                <w:sz w:val="13"/>
                <w:szCs w:val="13"/>
              </w:rPr>
            </w:pPr>
            <w:r w:rsidRPr="00A751C0">
              <w:rPr>
                <w:rFonts w:cs="Calibri"/>
                <w:color w:val="000000" w:themeColor="text1"/>
                <w:sz w:val="13"/>
                <w:szCs w:val="13"/>
              </w:rPr>
              <w:t>Zobo</w:t>
            </w:r>
            <w:r w:rsidR="001B4E85">
              <w:rPr>
                <w:rFonts w:cs="Calibri"/>
                <w:color w:val="000000" w:themeColor="text1"/>
                <w:sz w:val="13"/>
                <w:szCs w:val="13"/>
              </w:rPr>
              <w:t xml:space="preserve">wiązania </w:t>
            </w:r>
            <w:r w:rsidRPr="00A751C0">
              <w:rPr>
                <w:rFonts w:cs="Calibri"/>
                <w:color w:val="000000" w:themeColor="text1"/>
                <w:sz w:val="13"/>
                <w:szCs w:val="13"/>
              </w:rPr>
              <w:t>przeznaczone do sprzedaży</w:t>
            </w:r>
          </w:p>
        </w:tc>
        <w:tc>
          <w:tcPr>
            <w:tcW w:w="567" w:type="dxa"/>
            <w:tcBorders>
              <w:top w:val="nil"/>
              <w:left w:val="nil"/>
              <w:bottom w:val="single" w:sz="4" w:space="0" w:color="0077BD"/>
              <w:right w:val="nil"/>
            </w:tcBorders>
            <w:shd w:val="clear" w:color="auto" w:fill="auto"/>
            <w:noWrap/>
            <w:vAlign w:val="center"/>
            <w:hideMark/>
          </w:tcPr>
          <w:p w14:paraId="5638EF63" w14:textId="40CA8131"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24</w:t>
            </w:r>
          </w:p>
        </w:tc>
        <w:tc>
          <w:tcPr>
            <w:tcW w:w="1418" w:type="dxa"/>
            <w:tcBorders>
              <w:top w:val="nil"/>
              <w:left w:val="single" w:sz="8" w:space="0" w:color="0077BD"/>
              <w:bottom w:val="single" w:sz="4" w:space="0" w:color="0077BD"/>
              <w:right w:val="nil"/>
            </w:tcBorders>
            <w:shd w:val="clear" w:color="auto" w:fill="auto"/>
            <w:noWrap/>
            <w:vAlign w:val="center"/>
          </w:tcPr>
          <w:p w14:paraId="61448CFE" w14:textId="3631DC55"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1 315</w:t>
            </w:r>
          </w:p>
        </w:tc>
        <w:tc>
          <w:tcPr>
            <w:tcW w:w="1418" w:type="dxa"/>
            <w:tcBorders>
              <w:top w:val="nil"/>
              <w:left w:val="single" w:sz="8" w:space="0" w:color="0077BD"/>
              <w:bottom w:val="single" w:sz="4" w:space="0" w:color="0077BD"/>
              <w:right w:val="nil"/>
            </w:tcBorders>
            <w:shd w:val="clear" w:color="auto" w:fill="auto"/>
            <w:noWrap/>
            <w:vAlign w:val="center"/>
            <w:hideMark/>
          </w:tcPr>
          <w:p w14:paraId="1DE1D8EC"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tcPr>
          <w:p w14:paraId="5A4099F0" w14:textId="1B54AA61"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w:t>
            </w:r>
          </w:p>
        </w:tc>
      </w:tr>
      <w:tr w:rsidR="00A751C0" w:rsidRPr="00A751C0" w14:paraId="2C86C1BD" w14:textId="7B5E76BB"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7B095532"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Rezerwy</w:t>
            </w:r>
          </w:p>
        </w:tc>
        <w:tc>
          <w:tcPr>
            <w:tcW w:w="567" w:type="dxa"/>
            <w:tcBorders>
              <w:top w:val="nil"/>
              <w:left w:val="nil"/>
              <w:bottom w:val="single" w:sz="4" w:space="0" w:color="0077BD"/>
              <w:right w:val="nil"/>
            </w:tcBorders>
            <w:shd w:val="clear" w:color="auto" w:fill="auto"/>
            <w:noWrap/>
            <w:vAlign w:val="center"/>
            <w:hideMark/>
          </w:tcPr>
          <w:p w14:paraId="30166510" w14:textId="3D0CD9E9"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30</w:t>
            </w:r>
          </w:p>
        </w:tc>
        <w:tc>
          <w:tcPr>
            <w:tcW w:w="1418" w:type="dxa"/>
            <w:tcBorders>
              <w:top w:val="nil"/>
              <w:left w:val="single" w:sz="8" w:space="0" w:color="0077BD"/>
              <w:bottom w:val="single" w:sz="4" w:space="0" w:color="0077BD"/>
              <w:right w:val="nil"/>
            </w:tcBorders>
            <w:shd w:val="clear" w:color="auto" w:fill="auto"/>
            <w:noWrap/>
            <w:vAlign w:val="center"/>
          </w:tcPr>
          <w:p w14:paraId="662FE110" w14:textId="31DE66FF"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739 296</w:t>
            </w:r>
          </w:p>
        </w:tc>
        <w:tc>
          <w:tcPr>
            <w:tcW w:w="1418" w:type="dxa"/>
            <w:tcBorders>
              <w:top w:val="nil"/>
              <w:left w:val="single" w:sz="8" w:space="0" w:color="0077BD"/>
              <w:bottom w:val="single" w:sz="4" w:space="0" w:color="0077BD"/>
              <w:right w:val="nil"/>
            </w:tcBorders>
            <w:shd w:val="clear" w:color="auto" w:fill="auto"/>
            <w:noWrap/>
            <w:vAlign w:val="center"/>
            <w:hideMark/>
          </w:tcPr>
          <w:p w14:paraId="55DA233D"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258 283</w:t>
            </w:r>
          </w:p>
        </w:tc>
        <w:tc>
          <w:tcPr>
            <w:tcW w:w="1418" w:type="dxa"/>
            <w:tcBorders>
              <w:top w:val="nil"/>
              <w:left w:val="single" w:sz="8" w:space="0" w:color="0077BD"/>
              <w:bottom w:val="single" w:sz="4" w:space="0" w:color="0077BD"/>
              <w:right w:val="nil"/>
            </w:tcBorders>
            <w:shd w:val="clear" w:color="auto" w:fill="auto"/>
            <w:vAlign w:val="center"/>
          </w:tcPr>
          <w:p w14:paraId="71FDEF5F" w14:textId="1A18FC9E"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235 299</w:t>
            </w:r>
          </w:p>
        </w:tc>
      </w:tr>
      <w:tr w:rsidR="00A751C0" w:rsidRPr="00A751C0" w14:paraId="1CE5F41A" w14:textId="35D51110"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48C33CB0"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Bieżące zobowiązanie z tytułu podatku dochodowego</w:t>
            </w:r>
          </w:p>
        </w:tc>
        <w:tc>
          <w:tcPr>
            <w:tcW w:w="567" w:type="dxa"/>
            <w:tcBorders>
              <w:top w:val="nil"/>
              <w:left w:val="nil"/>
              <w:bottom w:val="single" w:sz="4" w:space="0" w:color="0077BD"/>
              <w:right w:val="nil"/>
            </w:tcBorders>
            <w:shd w:val="clear" w:color="auto" w:fill="auto"/>
            <w:noWrap/>
            <w:vAlign w:val="center"/>
            <w:hideMark/>
          </w:tcPr>
          <w:p w14:paraId="04FBFB4A" w14:textId="2C78503C"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51E40712" w14:textId="3C220E5E"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161 534</w:t>
            </w:r>
          </w:p>
        </w:tc>
        <w:tc>
          <w:tcPr>
            <w:tcW w:w="1418" w:type="dxa"/>
            <w:tcBorders>
              <w:top w:val="nil"/>
              <w:left w:val="single" w:sz="8" w:space="0" w:color="0077BD"/>
              <w:bottom w:val="single" w:sz="4" w:space="0" w:color="0077BD"/>
              <w:right w:val="nil"/>
            </w:tcBorders>
            <w:shd w:val="clear" w:color="auto" w:fill="auto"/>
            <w:noWrap/>
            <w:vAlign w:val="center"/>
            <w:hideMark/>
          </w:tcPr>
          <w:p w14:paraId="33F0186E"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352 962</w:t>
            </w:r>
          </w:p>
        </w:tc>
        <w:tc>
          <w:tcPr>
            <w:tcW w:w="1418" w:type="dxa"/>
            <w:tcBorders>
              <w:top w:val="nil"/>
              <w:left w:val="single" w:sz="8" w:space="0" w:color="0077BD"/>
              <w:bottom w:val="single" w:sz="4" w:space="0" w:color="0077BD"/>
              <w:right w:val="nil"/>
            </w:tcBorders>
            <w:shd w:val="clear" w:color="auto" w:fill="auto"/>
            <w:vAlign w:val="center"/>
          </w:tcPr>
          <w:p w14:paraId="49FC6EE6" w14:textId="4BA007C6"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179 685</w:t>
            </w:r>
          </w:p>
        </w:tc>
      </w:tr>
      <w:tr w:rsidR="00A751C0" w:rsidRPr="00A751C0" w14:paraId="7DCE82BF" w14:textId="74375075"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3CD24F81"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Rezerwa z tytułu odroczonego podatku dochodowego</w:t>
            </w:r>
          </w:p>
        </w:tc>
        <w:tc>
          <w:tcPr>
            <w:tcW w:w="567" w:type="dxa"/>
            <w:tcBorders>
              <w:top w:val="nil"/>
              <w:left w:val="nil"/>
              <w:bottom w:val="single" w:sz="4" w:space="0" w:color="0077BD"/>
              <w:right w:val="nil"/>
            </w:tcBorders>
            <w:shd w:val="clear" w:color="auto" w:fill="auto"/>
            <w:noWrap/>
            <w:vAlign w:val="center"/>
            <w:hideMark/>
          </w:tcPr>
          <w:p w14:paraId="6B40DB55" w14:textId="4014600A"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31</w:t>
            </w:r>
          </w:p>
        </w:tc>
        <w:tc>
          <w:tcPr>
            <w:tcW w:w="1418" w:type="dxa"/>
            <w:tcBorders>
              <w:top w:val="nil"/>
              <w:left w:val="single" w:sz="8" w:space="0" w:color="0077BD"/>
              <w:bottom w:val="single" w:sz="4" w:space="0" w:color="0077BD"/>
              <w:right w:val="nil"/>
            </w:tcBorders>
            <w:shd w:val="clear" w:color="auto" w:fill="auto"/>
            <w:noWrap/>
            <w:vAlign w:val="center"/>
          </w:tcPr>
          <w:p w14:paraId="322B330E" w14:textId="018DFBCD"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82</w:t>
            </w:r>
          </w:p>
        </w:tc>
        <w:tc>
          <w:tcPr>
            <w:tcW w:w="1418" w:type="dxa"/>
            <w:tcBorders>
              <w:top w:val="nil"/>
              <w:left w:val="single" w:sz="8" w:space="0" w:color="0077BD"/>
              <w:bottom w:val="single" w:sz="4" w:space="0" w:color="0077BD"/>
              <w:right w:val="nil"/>
            </w:tcBorders>
            <w:shd w:val="clear" w:color="auto" w:fill="auto"/>
            <w:noWrap/>
            <w:vAlign w:val="center"/>
            <w:hideMark/>
          </w:tcPr>
          <w:p w14:paraId="3E527E92"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83</w:t>
            </w:r>
          </w:p>
        </w:tc>
        <w:tc>
          <w:tcPr>
            <w:tcW w:w="1418" w:type="dxa"/>
            <w:tcBorders>
              <w:top w:val="nil"/>
              <w:left w:val="single" w:sz="8" w:space="0" w:color="0077BD"/>
              <w:bottom w:val="single" w:sz="4" w:space="0" w:color="0077BD"/>
              <w:right w:val="nil"/>
            </w:tcBorders>
            <w:shd w:val="clear" w:color="auto" w:fill="auto"/>
            <w:vAlign w:val="center"/>
          </w:tcPr>
          <w:p w14:paraId="09168FB8" w14:textId="5557109E"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81</w:t>
            </w:r>
          </w:p>
        </w:tc>
      </w:tr>
      <w:tr w:rsidR="00A751C0" w:rsidRPr="00A751C0" w14:paraId="0EB41501" w14:textId="41943905"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0D8D59A8"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Inne zobowiązania</w:t>
            </w:r>
          </w:p>
        </w:tc>
        <w:tc>
          <w:tcPr>
            <w:tcW w:w="567" w:type="dxa"/>
            <w:tcBorders>
              <w:top w:val="nil"/>
              <w:left w:val="nil"/>
              <w:bottom w:val="single" w:sz="4" w:space="0" w:color="0077BD"/>
              <w:right w:val="nil"/>
            </w:tcBorders>
            <w:shd w:val="clear" w:color="auto" w:fill="auto"/>
            <w:noWrap/>
            <w:vAlign w:val="center"/>
            <w:hideMark/>
          </w:tcPr>
          <w:p w14:paraId="02B52C38" w14:textId="3B3AFBB3"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29</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B6E1DEE" w14:textId="76906010" w:rsidR="00D80FDF" w:rsidRPr="00A751C0" w:rsidRDefault="00B529EF" w:rsidP="00B529EF">
            <w:pPr>
              <w:jc w:val="right"/>
              <w:rPr>
                <w:rFonts w:cs="Calibri"/>
                <w:color w:val="000000" w:themeColor="text1"/>
                <w:sz w:val="13"/>
                <w:szCs w:val="13"/>
              </w:rPr>
            </w:pPr>
            <w:r w:rsidRPr="00A751C0">
              <w:rPr>
                <w:rFonts w:cs="Calibri"/>
                <w:color w:val="000000" w:themeColor="text1"/>
                <w:sz w:val="13"/>
                <w:szCs w:val="13"/>
              </w:rPr>
              <w:t>2 952</w:t>
            </w:r>
            <w:r w:rsidR="00D80FDF" w:rsidRPr="00A751C0">
              <w:rPr>
                <w:rFonts w:cs="Calibri"/>
                <w:color w:val="000000" w:themeColor="text1"/>
                <w:sz w:val="13"/>
                <w:szCs w:val="13"/>
              </w:rPr>
              <w:t xml:space="preserve"> </w:t>
            </w:r>
            <w:r w:rsidRPr="00A751C0">
              <w:rPr>
                <w:rFonts w:cs="Calibri"/>
                <w:color w:val="000000" w:themeColor="text1"/>
                <w:sz w:val="13"/>
                <w:szCs w:val="13"/>
              </w:rPr>
              <w:t>782</w:t>
            </w:r>
          </w:p>
        </w:tc>
        <w:tc>
          <w:tcPr>
            <w:tcW w:w="1418" w:type="dxa"/>
            <w:tcBorders>
              <w:top w:val="nil"/>
              <w:left w:val="single" w:sz="8" w:space="0" w:color="0077BD"/>
              <w:bottom w:val="single" w:sz="4" w:space="0" w:color="0077BD"/>
              <w:right w:val="nil"/>
            </w:tcBorders>
            <w:shd w:val="clear" w:color="auto" w:fill="auto"/>
            <w:noWrap/>
            <w:vAlign w:val="center"/>
            <w:hideMark/>
          </w:tcPr>
          <w:p w14:paraId="4A7F3F81" w14:textId="6B3FD544" w:rsidR="00D80FDF" w:rsidRPr="00A751C0" w:rsidRDefault="006517DE" w:rsidP="006517DE">
            <w:pPr>
              <w:jc w:val="right"/>
              <w:rPr>
                <w:rFonts w:cs="Calibri"/>
                <w:color w:val="000000" w:themeColor="text1"/>
                <w:sz w:val="13"/>
                <w:szCs w:val="13"/>
              </w:rPr>
            </w:pPr>
            <w:r w:rsidRPr="00A751C0">
              <w:rPr>
                <w:rFonts w:cs="Calibri"/>
                <w:color w:val="000000" w:themeColor="text1"/>
                <w:sz w:val="13"/>
                <w:szCs w:val="13"/>
              </w:rPr>
              <w:t>3 375</w:t>
            </w:r>
            <w:r w:rsidR="00D80FDF" w:rsidRPr="00A751C0">
              <w:rPr>
                <w:rFonts w:cs="Calibri"/>
                <w:color w:val="000000" w:themeColor="text1"/>
                <w:sz w:val="13"/>
                <w:szCs w:val="13"/>
              </w:rPr>
              <w:t xml:space="preserve"> </w:t>
            </w:r>
            <w:r w:rsidRPr="00A751C0">
              <w:rPr>
                <w:rFonts w:cs="Calibri"/>
                <w:color w:val="000000" w:themeColor="text1"/>
                <w:sz w:val="13"/>
                <w:szCs w:val="13"/>
              </w:rPr>
              <w:t>272</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6E5C50FA" w14:textId="7A42478F"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2 604 919</w:t>
            </w:r>
          </w:p>
        </w:tc>
      </w:tr>
      <w:tr w:rsidR="00A751C0" w:rsidRPr="00A751C0" w14:paraId="64FC0887" w14:textId="669B70B1" w:rsidTr="00552529">
        <w:trPr>
          <w:trHeight w:val="227"/>
        </w:trPr>
        <w:tc>
          <w:tcPr>
            <w:tcW w:w="4760" w:type="dxa"/>
            <w:tcBorders>
              <w:top w:val="single" w:sz="8" w:space="0" w:color="0077BD"/>
              <w:left w:val="nil"/>
              <w:bottom w:val="single" w:sz="8" w:space="0" w:color="0077BD"/>
              <w:right w:val="single" w:sz="8" w:space="0" w:color="0077BD"/>
            </w:tcBorders>
            <w:shd w:val="clear" w:color="auto" w:fill="auto"/>
            <w:noWrap/>
            <w:vAlign w:val="center"/>
            <w:hideMark/>
          </w:tcPr>
          <w:p w14:paraId="2D967260" w14:textId="73DC67A2"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ZOBOWIĄZANIA RAZEM</w:t>
            </w:r>
          </w:p>
        </w:tc>
        <w:tc>
          <w:tcPr>
            <w:tcW w:w="567" w:type="dxa"/>
            <w:tcBorders>
              <w:top w:val="single" w:sz="8" w:space="0" w:color="0077BD"/>
              <w:left w:val="nil"/>
              <w:bottom w:val="single" w:sz="8" w:space="0" w:color="0077BD"/>
              <w:right w:val="single" w:sz="8" w:space="0" w:color="0077BD"/>
            </w:tcBorders>
            <w:shd w:val="clear" w:color="auto" w:fill="auto"/>
            <w:noWrap/>
            <w:vAlign w:val="center"/>
            <w:hideMark/>
          </w:tcPr>
          <w:p w14:paraId="7FAE8A63" w14:textId="6C9B9465" w:rsidR="00D80FDF" w:rsidRPr="00A751C0" w:rsidRDefault="00D80FDF" w:rsidP="00D80FDF">
            <w:pPr>
              <w:jc w:val="center"/>
              <w:rPr>
                <w:rFonts w:cs="Calibri"/>
                <w:color w:val="000000" w:themeColor="text1"/>
                <w:sz w:val="13"/>
                <w:szCs w:val="13"/>
              </w:rPr>
            </w:pP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65FFFD09" w14:textId="60AAD44F" w:rsidR="00D80FDF" w:rsidRPr="00A751C0" w:rsidRDefault="00B529EF" w:rsidP="00D80FDF">
            <w:pPr>
              <w:jc w:val="right"/>
              <w:rPr>
                <w:rFonts w:cs="Calibri"/>
                <w:b/>
                <w:bCs/>
                <w:color w:val="000000" w:themeColor="text1"/>
                <w:sz w:val="13"/>
                <w:szCs w:val="13"/>
              </w:rPr>
            </w:pPr>
            <w:r w:rsidRPr="00A751C0">
              <w:rPr>
                <w:rFonts w:cs="Calibri"/>
                <w:b/>
                <w:bCs/>
                <w:color w:val="000000" w:themeColor="text1"/>
                <w:sz w:val="13"/>
                <w:szCs w:val="13"/>
              </w:rPr>
              <w:t>142 567 278</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289B32E3" w14:textId="6A6A31D7" w:rsidR="00D80FDF" w:rsidRPr="00A751C0" w:rsidRDefault="006517DE" w:rsidP="006517DE">
            <w:pPr>
              <w:jc w:val="right"/>
              <w:rPr>
                <w:rFonts w:cs="Calibri"/>
                <w:b/>
                <w:bCs/>
                <w:color w:val="000000" w:themeColor="text1"/>
                <w:sz w:val="13"/>
                <w:szCs w:val="13"/>
              </w:rPr>
            </w:pPr>
            <w:r w:rsidRPr="00A751C0">
              <w:rPr>
                <w:rFonts w:cs="Calibri"/>
                <w:b/>
                <w:bCs/>
                <w:color w:val="000000" w:themeColor="text1"/>
                <w:sz w:val="13"/>
                <w:szCs w:val="13"/>
              </w:rPr>
              <w:t>130 609</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351</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743F2976" w14:textId="5BC03FF8"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117 334 194</w:t>
            </w:r>
          </w:p>
        </w:tc>
      </w:tr>
      <w:tr w:rsidR="00341FB2" w:rsidRPr="005E7415" w14:paraId="29D48797" w14:textId="36269B0A" w:rsidTr="003654A4">
        <w:trPr>
          <w:trHeight w:val="198"/>
        </w:trPr>
        <w:tc>
          <w:tcPr>
            <w:tcW w:w="4760" w:type="dxa"/>
            <w:tcBorders>
              <w:top w:val="single" w:sz="8" w:space="0" w:color="FFFFFF"/>
              <w:left w:val="nil"/>
              <w:bottom w:val="nil"/>
              <w:right w:val="single" w:sz="8" w:space="0" w:color="FFFFFF"/>
            </w:tcBorders>
            <w:shd w:val="clear" w:color="000000" w:fill="0077BD"/>
            <w:vAlign w:val="center"/>
            <w:hideMark/>
          </w:tcPr>
          <w:p w14:paraId="38F37854" w14:textId="77777777" w:rsidR="00341FB2" w:rsidRPr="005E7415" w:rsidRDefault="00341FB2" w:rsidP="005E7415">
            <w:pPr>
              <w:rPr>
                <w:rFonts w:cs="Calibri"/>
                <w:b/>
                <w:bCs/>
                <w:color w:val="FFFFFF"/>
                <w:sz w:val="13"/>
                <w:szCs w:val="13"/>
              </w:rPr>
            </w:pPr>
            <w:r w:rsidRPr="005E7415">
              <w:rPr>
                <w:rFonts w:cs="Calibri"/>
                <w:b/>
                <w:bCs/>
                <w:color w:val="FFFFFF"/>
                <w:sz w:val="13"/>
                <w:szCs w:val="13"/>
              </w:rPr>
              <w:t xml:space="preserve">KAPITAŁY </w:t>
            </w:r>
          </w:p>
        </w:tc>
        <w:tc>
          <w:tcPr>
            <w:tcW w:w="567" w:type="dxa"/>
            <w:tcBorders>
              <w:top w:val="single" w:sz="8" w:space="0" w:color="FFFFFF"/>
              <w:left w:val="nil"/>
              <w:bottom w:val="nil"/>
              <w:right w:val="single" w:sz="8" w:space="0" w:color="FFFFFF"/>
            </w:tcBorders>
            <w:shd w:val="clear" w:color="000000" w:fill="0077BD"/>
            <w:noWrap/>
            <w:vAlign w:val="center"/>
          </w:tcPr>
          <w:p w14:paraId="6F5BF492" w14:textId="555A5D9F" w:rsidR="00341FB2" w:rsidRPr="005E7415" w:rsidRDefault="00341FB2" w:rsidP="005E7415">
            <w:pPr>
              <w:jc w:val="center"/>
              <w:rPr>
                <w:rFonts w:cs="Calibri"/>
                <w:b/>
                <w:bCs/>
                <w:color w:val="FFFFFF"/>
                <w:sz w:val="13"/>
                <w:szCs w:val="13"/>
              </w:rPr>
            </w:pPr>
          </w:p>
        </w:tc>
        <w:tc>
          <w:tcPr>
            <w:tcW w:w="1418" w:type="dxa"/>
            <w:tcBorders>
              <w:top w:val="single" w:sz="8" w:space="0" w:color="FFFFFF"/>
              <w:left w:val="nil"/>
              <w:bottom w:val="nil"/>
              <w:right w:val="nil"/>
            </w:tcBorders>
            <w:shd w:val="clear" w:color="000000" w:fill="0077BD"/>
            <w:noWrap/>
            <w:vAlign w:val="center"/>
          </w:tcPr>
          <w:p w14:paraId="35C27EE0" w14:textId="373DB520" w:rsidR="00341FB2" w:rsidRPr="005E7415" w:rsidRDefault="00341FB2" w:rsidP="005E7415">
            <w:pPr>
              <w:jc w:val="right"/>
              <w:rPr>
                <w:rFonts w:cs="Calibri"/>
                <w:b/>
                <w:bCs/>
                <w:color w:val="FFFFFF"/>
                <w:sz w:val="13"/>
                <w:szCs w:val="13"/>
              </w:rPr>
            </w:pPr>
          </w:p>
        </w:tc>
        <w:tc>
          <w:tcPr>
            <w:tcW w:w="1418" w:type="dxa"/>
            <w:tcBorders>
              <w:top w:val="single" w:sz="8" w:space="0" w:color="FFFFFF"/>
              <w:left w:val="single" w:sz="8" w:space="0" w:color="FFFFFF"/>
              <w:bottom w:val="nil"/>
              <w:right w:val="nil"/>
            </w:tcBorders>
            <w:shd w:val="clear" w:color="000000" w:fill="0077BD"/>
            <w:noWrap/>
            <w:vAlign w:val="center"/>
          </w:tcPr>
          <w:p w14:paraId="018A1858" w14:textId="51BF6976" w:rsidR="00341FB2" w:rsidRPr="005E7415" w:rsidRDefault="00341FB2" w:rsidP="005E7415">
            <w:pPr>
              <w:jc w:val="right"/>
              <w:rPr>
                <w:rFonts w:cs="Calibri"/>
                <w:b/>
                <w:bCs/>
                <w:color w:val="FFFFFF"/>
                <w:sz w:val="13"/>
                <w:szCs w:val="13"/>
              </w:rPr>
            </w:pPr>
          </w:p>
        </w:tc>
        <w:tc>
          <w:tcPr>
            <w:tcW w:w="1418" w:type="dxa"/>
            <w:tcBorders>
              <w:top w:val="single" w:sz="8" w:space="0" w:color="FFFFFF"/>
              <w:left w:val="single" w:sz="8" w:space="0" w:color="FFFFFF"/>
              <w:bottom w:val="nil"/>
              <w:right w:val="nil"/>
            </w:tcBorders>
            <w:shd w:val="clear" w:color="000000" w:fill="0077BD"/>
            <w:vAlign w:val="center"/>
          </w:tcPr>
          <w:p w14:paraId="02169C30" w14:textId="77777777" w:rsidR="00341FB2" w:rsidRPr="005E7415" w:rsidRDefault="00341FB2" w:rsidP="005E7415">
            <w:pPr>
              <w:jc w:val="right"/>
              <w:rPr>
                <w:rFonts w:cs="Calibri"/>
                <w:b/>
                <w:bCs/>
                <w:color w:val="FFFFFF"/>
                <w:sz w:val="13"/>
                <w:szCs w:val="13"/>
              </w:rPr>
            </w:pPr>
          </w:p>
        </w:tc>
      </w:tr>
      <w:tr w:rsidR="00A751C0" w:rsidRPr="00A751C0" w14:paraId="64173584" w14:textId="387290D7" w:rsidTr="00D1784D">
        <w:trPr>
          <w:trHeight w:val="227"/>
        </w:trPr>
        <w:tc>
          <w:tcPr>
            <w:tcW w:w="4760" w:type="dxa"/>
            <w:tcBorders>
              <w:top w:val="single" w:sz="4" w:space="0" w:color="0077BD"/>
              <w:left w:val="nil"/>
              <w:bottom w:val="single" w:sz="8" w:space="0" w:color="0077BD"/>
              <w:right w:val="single" w:sz="8" w:space="0" w:color="0077BD"/>
            </w:tcBorders>
            <w:shd w:val="clear" w:color="auto" w:fill="auto"/>
            <w:vAlign w:val="center"/>
            <w:hideMark/>
          </w:tcPr>
          <w:p w14:paraId="5962785B"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Kapitały własne przypadające na akcjonariuszy mBanku S.A.</w:t>
            </w:r>
          </w:p>
        </w:tc>
        <w:tc>
          <w:tcPr>
            <w:tcW w:w="567" w:type="dxa"/>
            <w:tcBorders>
              <w:top w:val="nil"/>
              <w:left w:val="nil"/>
              <w:bottom w:val="single" w:sz="8" w:space="0" w:color="0077BD"/>
              <w:right w:val="nil"/>
            </w:tcBorders>
            <w:shd w:val="clear" w:color="auto" w:fill="auto"/>
            <w:noWrap/>
            <w:vAlign w:val="center"/>
          </w:tcPr>
          <w:p w14:paraId="31B031DC" w14:textId="48ECB8C4" w:rsidR="00D80FDF" w:rsidRPr="00A751C0" w:rsidRDefault="00D80FDF" w:rsidP="00D80FDF">
            <w:pPr>
              <w:jc w:val="center"/>
              <w:rPr>
                <w:rFonts w:cs="Calibri"/>
                <w:b/>
                <w:bCs/>
                <w:color w:val="000000" w:themeColor="text1"/>
                <w:sz w:val="13"/>
                <w:szCs w:val="13"/>
              </w:rPr>
            </w:pP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4F758B34" w14:textId="7BF32877" w:rsidR="00D80FDF"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16 151</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303</w:t>
            </w:r>
          </w:p>
        </w:tc>
        <w:tc>
          <w:tcPr>
            <w:tcW w:w="1418" w:type="dxa"/>
            <w:tcBorders>
              <w:top w:val="single" w:sz="4" w:space="0" w:color="0077BD"/>
              <w:left w:val="single" w:sz="8" w:space="0" w:color="0077BD"/>
              <w:bottom w:val="single" w:sz="8" w:space="0" w:color="0077BD"/>
              <w:right w:val="nil"/>
            </w:tcBorders>
            <w:shd w:val="clear" w:color="auto" w:fill="auto"/>
            <w:noWrap/>
            <w:vAlign w:val="center"/>
            <w:hideMark/>
          </w:tcPr>
          <w:p w14:paraId="6B6A3243" w14:textId="087DF4F7" w:rsidR="00D80FDF" w:rsidRPr="00A751C0" w:rsidRDefault="006517DE" w:rsidP="006517DE">
            <w:pPr>
              <w:jc w:val="right"/>
              <w:rPr>
                <w:rFonts w:cs="Calibri"/>
                <w:b/>
                <w:bCs/>
                <w:color w:val="000000" w:themeColor="text1"/>
                <w:sz w:val="13"/>
                <w:szCs w:val="13"/>
              </w:rPr>
            </w:pPr>
            <w:r w:rsidRPr="00A751C0">
              <w:rPr>
                <w:rFonts w:cs="Calibri"/>
                <w:b/>
                <w:bCs/>
                <w:color w:val="000000" w:themeColor="text1"/>
                <w:sz w:val="13"/>
                <w:szCs w:val="13"/>
              </w:rPr>
              <w:t>15 169</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107</w:t>
            </w:r>
          </w:p>
        </w:tc>
        <w:tc>
          <w:tcPr>
            <w:tcW w:w="1418" w:type="dxa"/>
            <w:tcBorders>
              <w:top w:val="single" w:sz="4" w:space="0" w:color="0077BD"/>
              <w:left w:val="single" w:sz="8" w:space="0" w:color="0077BD"/>
              <w:bottom w:val="single" w:sz="8" w:space="0" w:color="0077BD"/>
              <w:right w:val="nil"/>
            </w:tcBorders>
            <w:shd w:val="clear" w:color="auto" w:fill="auto"/>
            <w:vAlign w:val="center"/>
          </w:tcPr>
          <w:p w14:paraId="1E2B52D0" w14:textId="166C0658"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13 964 576</w:t>
            </w:r>
          </w:p>
        </w:tc>
      </w:tr>
      <w:tr w:rsidR="00A751C0" w:rsidRPr="00A751C0" w14:paraId="40191379" w14:textId="7F14C3B6" w:rsidTr="00D1784D">
        <w:trPr>
          <w:trHeight w:val="227"/>
        </w:trPr>
        <w:tc>
          <w:tcPr>
            <w:tcW w:w="4760" w:type="dxa"/>
            <w:tcBorders>
              <w:top w:val="nil"/>
              <w:left w:val="nil"/>
              <w:bottom w:val="single" w:sz="8" w:space="0" w:color="0077BD"/>
              <w:right w:val="single" w:sz="8" w:space="0" w:color="0077BD"/>
            </w:tcBorders>
            <w:shd w:val="clear" w:color="auto" w:fill="auto"/>
            <w:vAlign w:val="center"/>
            <w:hideMark/>
          </w:tcPr>
          <w:p w14:paraId="696CE87C"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Kapitał podstawowy:</w:t>
            </w:r>
          </w:p>
        </w:tc>
        <w:tc>
          <w:tcPr>
            <w:tcW w:w="567" w:type="dxa"/>
            <w:tcBorders>
              <w:top w:val="nil"/>
              <w:left w:val="nil"/>
              <w:bottom w:val="single" w:sz="8" w:space="0" w:color="0077BD"/>
              <w:right w:val="nil"/>
            </w:tcBorders>
            <w:shd w:val="clear" w:color="auto" w:fill="auto"/>
            <w:noWrap/>
            <w:vAlign w:val="center"/>
          </w:tcPr>
          <w:p w14:paraId="121FCD98" w14:textId="3C7925A6" w:rsidR="00D80FDF" w:rsidRPr="00A751C0" w:rsidRDefault="00D80FDF" w:rsidP="00D80FDF">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nil"/>
            </w:tcBorders>
            <w:shd w:val="clear" w:color="auto" w:fill="auto"/>
            <w:noWrap/>
            <w:vAlign w:val="center"/>
          </w:tcPr>
          <w:p w14:paraId="691EECF3" w14:textId="76E73E2D"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3 579 818</w:t>
            </w:r>
          </w:p>
        </w:tc>
        <w:tc>
          <w:tcPr>
            <w:tcW w:w="1418" w:type="dxa"/>
            <w:tcBorders>
              <w:top w:val="nil"/>
              <w:left w:val="single" w:sz="8" w:space="0" w:color="0077BD"/>
              <w:bottom w:val="single" w:sz="8" w:space="0" w:color="0077BD"/>
              <w:right w:val="nil"/>
            </w:tcBorders>
            <w:shd w:val="clear" w:color="auto" w:fill="auto"/>
            <w:noWrap/>
            <w:vAlign w:val="center"/>
            <w:hideMark/>
          </w:tcPr>
          <w:p w14:paraId="627510F9" w14:textId="77777777"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3 574 686</w:t>
            </w:r>
          </w:p>
        </w:tc>
        <w:tc>
          <w:tcPr>
            <w:tcW w:w="1418" w:type="dxa"/>
            <w:tcBorders>
              <w:top w:val="nil"/>
              <w:left w:val="single" w:sz="8" w:space="0" w:color="0077BD"/>
              <w:bottom w:val="single" w:sz="8" w:space="0" w:color="0077BD"/>
              <w:right w:val="nil"/>
            </w:tcBorders>
            <w:shd w:val="clear" w:color="auto" w:fill="auto"/>
            <w:vAlign w:val="center"/>
          </w:tcPr>
          <w:p w14:paraId="5AA50843" w14:textId="493C1AE3"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3 564 176</w:t>
            </w:r>
          </w:p>
        </w:tc>
      </w:tr>
      <w:tr w:rsidR="00A751C0" w:rsidRPr="00A751C0" w14:paraId="7E2B4DED" w14:textId="083AE8F4"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1D0CDBD5"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Zarejestrowany kapitał akcyjny</w:t>
            </w:r>
          </w:p>
        </w:tc>
        <w:tc>
          <w:tcPr>
            <w:tcW w:w="567" w:type="dxa"/>
            <w:tcBorders>
              <w:top w:val="nil"/>
              <w:left w:val="nil"/>
              <w:bottom w:val="single" w:sz="4" w:space="0" w:color="0077BD"/>
              <w:right w:val="nil"/>
            </w:tcBorders>
            <w:shd w:val="clear" w:color="auto" w:fill="auto"/>
            <w:noWrap/>
            <w:vAlign w:val="center"/>
            <w:hideMark/>
          </w:tcPr>
          <w:p w14:paraId="115A29D0" w14:textId="3D9EA7E5"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35</w:t>
            </w:r>
          </w:p>
        </w:tc>
        <w:tc>
          <w:tcPr>
            <w:tcW w:w="1418" w:type="dxa"/>
            <w:tcBorders>
              <w:top w:val="nil"/>
              <w:left w:val="single" w:sz="8" w:space="0" w:color="0077BD"/>
              <w:bottom w:val="single" w:sz="4" w:space="0" w:color="0077BD"/>
              <w:right w:val="nil"/>
            </w:tcBorders>
            <w:shd w:val="clear" w:color="auto" w:fill="auto"/>
            <w:noWrap/>
            <w:vAlign w:val="center"/>
          </w:tcPr>
          <w:p w14:paraId="4B02C337" w14:textId="20494766"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169 401</w:t>
            </w:r>
          </w:p>
        </w:tc>
        <w:tc>
          <w:tcPr>
            <w:tcW w:w="1418" w:type="dxa"/>
            <w:tcBorders>
              <w:top w:val="nil"/>
              <w:left w:val="single" w:sz="8" w:space="0" w:color="0077BD"/>
              <w:bottom w:val="single" w:sz="4" w:space="0" w:color="0077BD"/>
              <w:right w:val="nil"/>
            </w:tcBorders>
            <w:shd w:val="clear" w:color="auto" w:fill="auto"/>
            <w:noWrap/>
            <w:vAlign w:val="center"/>
            <w:hideMark/>
          </w:tcPr>
          <w:p w14:paraId="4407E6BA"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169 348</w:t>
            </w:r>
          </w:p>
        </w:tc>
        <w:tc>
          <w:tcPr>
            <w:tcW w:w="1418" w:type="dxa"/>
            <w:tcBorders>
              <w:top w:val="nil"/>
              <w:left w:val="single" w:sz="8" w:space="0" w:color="0077BD"/>
              <w:bottom w:val="single" w:sz="4" w:space="0" w:color="0077BD"/>
              <w:right w:val="nil"/>
            </w:tcBorders>
            <w:shd w:val="clear" w:color="auto" w:fill="auto"/>
            <w:vAlign w:val="center"/>
          </w:tcPr>
          <w:p w14:paraId="5707A0B8" w14:textId="21E043CB"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169 248</w:t>
            </w:r>
          </w:p>
        </w:tc>
      </w:tr>
      <w:tr w:rsidR="00A751C0" w:rsidRPr="00A751C0" w14:paraId="44493A47" w14:textId="5AADA901" w:rsidTr="00552529">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5E596D90"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Kapitał zapasowy ze sprzedaży akcji powyżej wartości nominalnej</w:t>
            </w:r>
          </w:p>
        </w:tc>
        <w:tc>
          <w:tcPr>
            <w:tcW w:w="567" w:type="dxa"/>
            <w:tcBorders>
              <w:top w:val="nil"/>
              <w:left w:val="nil"/>
              <w:bottom w:val="single" w:sz="4" w:space="0" w:color="0077BD"/>
              <w:right w:val="nil"/>
            </w:tcBorders>
            <w:shd w:val="clear" w:color="auto" w:fill="auto"/>
            <w:noWrap/>
            <w:vAlign w:val="center"/>
            <w:hideMark/>
          </w:tcPr>
          <w:p w14:paraId="27CD1FE1" w14:textId="6A50F105" w:rsidR="00D80FDF" w:rsidRPr="00A751C0" w:rsidRDefault="00D80FDF" w:rsidP="00D80FDF">
            <w:pPr>
              <w:jc w:val="center"/>
              <w:rPr>
                <w:rFonts w:cs="Calibri"/>
                <w:color w:val="000000" w:themeColor="text1"/>
                <w:sz w:val="13"/>
                <w:szCs w:val="13"/>
              </w:rPr>
            </w:pPr>
            <w:r w:rsidRPr="00A751C0">
              <w:rPr>
                <w:rFonts w:cs="Calibri"/>
                <w:color w:val="000000" w:themeColor="text1"/>
                <w:sz w:val="13"/>
                <w:szCs w:val="13"/>
              </w:rPr>
              <w:t>36</w:t>
            </w:r>
          </w:p>
        </w:tc>
        <w:tc>
          <w:tcPr>
            <w:tcW w:w="1418" w:type="dxa"/>
            <w:tcBorders>
              <w:top w:val="nil"/>
              <w:left w:val="single" w:sz="8" w:space="0" w:color="0077BD"/>
              <w:bottom w:val="single" w:sz="4" w:space="0" w:color="0077BD"/>
              <w:right w:val="nil"/>
            </w:tcBorders>
            <w:shd w:val="clear" w:color="auto" w:fill="auto"/>
            <w:noWrap/>
            <w:vAlign w:val="center"/>
          </w:tcPr>
          <w:p w14:paraId="034CCA2B" w14:textId="3644E20E"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3 410 417</w:t>
            </w:r>
          </w:p>
        </w:tc>
        <w:tc>
          <w:tcPr>
            <w:tcW w:w="1418" w:type="dxa"/>
            <w:tcBorders>
              <w:top w:val="nil"/>
              <w:left w:val="single" w:sz="8" w:space="0" w:color="0077BD"/>
              <w:bottom w:val="single" w:sz="4" w:space="0" w:color="0077BD"/>
              <w:right w:val="nil"/>
            </w:tcBorders>
            <w:shd w:val="clear" w:color="auto" w:fill="auto"/>
            <w:noWrap/>
            <w:vAlign w:val="center"/>
            <w:hideMark/>
          </w:tcPr>
          <w:p w14:paraId="33F4756A" w14:textId="77777777"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3 405 338</w:t>
            </w:r>
          </w:p>
        </w:tc>
        <w:tc>
          <w:tcPr>
            <w:tcW w:w="1418" w:type="dxa"/>
            <w:tcBorders>
              <w:top w:val="nil"/>
              <w:left w:val="single" w:sz="8" w:space="0" w:color="0077BD"/>
              <w:bottom w:val="single" w:sz="4" w:space="0" w:color="0077BD"/>
              <w:right w:val="nil"/>
            </w:tcBorders>
            <w:shd w:val="clear" w:color="auto" w:fill="auto"/>
            <w:vAlign w:val="center"/>
          </w:tcPr>
          <w:p w14:paraId="5339765C" w14:textId="3395879B"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3 394 928</w:t>
            </w:r>
          </w:p>
        </w:tc>
      </w:tr>
      <w:tr w:rsidR="00A751C0" w:rsidRPr="00A751C0" w14:paraId="1113E150" w14:textId="5E7E8FF2" w:rsidTr="00552529">
        <w:trPr>
          <w:trHeight w:val="227"/>
        </w:trPr>
        <w:tc>
          <w:tcPr>
            <w:tcW w:w="4760" w:type="dxa"/>
            <w:tcBorders>
              <w:top w:val="single" w:sz="8" w:space="0" w:color="0077BD"/>
              <w:left w:val="nil"/>
              <w:bottom w:val="single" w:sz="8" w:space="0" w:color="0077BD"/>
              <w:right w:val="single" w:sz="8" w:space="0" w:color="0077BD"/>
            </w:tcBorders>
            <w:shd w:val="clear" w:color="auto" w:fill="auto"/>
            <w:vAlign w:val="center"/>
            <w:hideMark/>
          </w:tcPr>
          <w:p w14:paraId="7AC2332A"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Zyski zatrzymane, w tym:</w:t>
            </w:r>
          </w:p>
        </w:tc>
        <w:tc>
          <w:tcPr>
            <w:tcW w:w="567" w:type="dxa"/>
            <w:tcBorders>
              <w:top w:val="single" w:sz="8" w:space="0" w:color="0077BD"/>
              <w:left w:val="nil"/>
              <w:bottom w:val="single" w:sz="8" w:space="0" w:color="0077BD"/>
              <w:right w:val="nil"/>
            </w:tcBorders>
            <w:shd w:val="clear" w:color="auto" w:fill="auto"/>
            <w:noWrap/>
            <w:vAlign w:val="center"/>
            <w:hideMark/>
          </w:tcPr>
          <w:p w14:paraId="0731C2CE" w14:textId="13B9270E" w:rsidR="00D80FDF" w:rsidRPr="00A751C0" w:rsidRDefault="00D80FDF" w:rsidP="00D80FDF">
            <w:pPr>
              <w:jc w:val="center"/>
              <w:rPr>
                <w:rFonts w:cs="Calibri"/>
                <w:b/>
                <w:bCs/>
                <w:color w:val="000000" w:themeColor="text1"/>
                <w:sz w:val="13"/>
                <w:szCs w:val="13"/>
              </w:rPr>
            </w:pPr>
            <w:r w:rsidRPr="00A751C0">
              <w:rPr>
                <w:rFonts w:cs="Calibri"/>
                <w:b/>
                <w:bCs/>
                <w:color w:val="000000" w:themeColor="text1"/>
                <w:sz w:val="13"/>
                <w:szCs w:val="13"/>
              </w:rPr>
              <w:t>37</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1B0B05B8" w14:textId="64F3C648" w:rsidR="00D80FDF"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12 394</w:t>
            </w:r>
            <w:r w:rsidR="00D80FDF" w:rsidRPr="00A751C0">
              <w:rPr>
                <w:rFonts w:cs="Calibri"/>
                <w:b/>
                <w:bCs/>
                <w:color w:val="000000" w:themeColor="text1"/>
                <w:sz w:val="13"/>
                <w:szCs w:val="13"/>
              </w:rPr>
              <w:t xml:space="preserve"> 7</w:t>
            </w:r>
            <w:r w:rsidRPr="00A751C0">
              <w:rPr>
                <w:rFonts w:cs="Calibri"/>
                <w:b/>
                <w:bCs/>
                <w:color w:val="000000" w:themeColor="text1"/>
                <w:sz w:val="13"/>
                <w:szCs w:val="13"/>
              </w:rPr>
              <w:t>75</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0E7361E" w14:textId="3E202212" w:rsidR="00D80FDF" w:rsidRPr="00A751C0" w:rsidRDefault="006517DE" w:rsidP="006517DE">
            <w:pPr>
              <w:jc w:val="right"/>
              <w:rPr>
                <w:rFonts w:cs="Calibri"/>
                <w:b/>
                <w:bCs/>
                <w:color w:val="000000" w:themeColor="text1"/>
                <w:sz w:val="13"/>
                <w:szCs w:val="13"/>
              </w:rPr>
            </w:pPr>
            <w:r w:rsidRPr="00A751C0">
              <w:rPr>
                <w:rFonts w:cs="Calibri"/>
                <w:b/>
                <w:bCs/>
                <w:color w:val="000000" w:themeColor="text1"/>
                <w:sz w:val="13"/>
                <w:szCs w:val="13"/>
              </w:rPr>
              <w:t>11 379</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583</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38651FAA" w14:textId="3124B13C"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10 294 928</w:t>
            </w:r>
          </w:p>
        </w:tc>
      </w:tr>
      <w:tr w:rsidR="00A751C0" w:rsidRPr="00A751C0" w14:paraId="25416EBD" w14:textId="1A7C940D" w:rsidTr="00D1784D">
        <w:trPr>
          <w:trHeight w:val="227"/>
        </w:trPr>
        <w:tc>
          <w:tcPr>
            <w:tcW w:w="4760" w:type="dxa"/>
            <w:tcBorders>
              <w:top w:val="nil"/>
              <w:left w:val="nil"/>
              <w:bottom w:val="single" w:sz="4" w:space="0" w:color="0077BD"/>
              <w:right w:val="single" w:sz="8" w:space="0" w:color="0077BD"/>
            </w:tcBorders>
            <w:shd w:val="clear" w:color="auto" w:fill="auto"/>
            <w:vAlign w:val="center"/>
            <w:hideMark/>
          </w:tcPr>
          <w:p w14:paraId="42B76752"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 Wynik finansowy z lat ubiegłych</w:t>
            </w:r>
          </w:p>
        </w:tc>
        <w:tc>
          <w:tcPr>
            <w:tcW w:w="567" w:type="dxa"/>
            <w:tcBorders>
              <w:top w:val="nil"/>
              <w:left w:val="nil"/>
              <w:bottom w:val="single" w:sz="4" w:space="0" w:color="0077BD"/>
              <w:right w:val="nil"/>
            </w:tcBorders>
            <w:shd w:val="clear" w:color="auto" w:fill="auto"/>
            <w:noWrap/>
            <w:vAlign w:val="center"/>
          </w:tcPr>
          <w:p w14:paraId="1103838B" w14:textId="75CBE833"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single" w:sz="4" w:space="0" w:color="0077BD"/>
              <w:right w:val="nil"/>
            </w:tcBorders>
            <w:shd w:val="clear" w:color="auto" w:fill="auto"/>
            <w:noWrap/>
            <w:vAlign w:val="center"/>
          </w:tcPr>
          <w:p w14:paraId="4EDA1B4D" w14:textId="1F748CC8"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11 384 425</w:t>
            </w:r>
          </w:p>
        </w:tc>
        <w:tc>
          <w:tcPr>
            <w:tcW w:w="1418" w:type="dxa"/>
            <w:tcBorders>
              <w:top w:val="nil"/>
              <w:left w:val="single" w:sz="8" w:space="0" w:color="0077BD"/>
              <w:bottom w:val="single" w:sz="4" w:space="0" w:color="0077BD"/>
              <w:right w:val="nil"/>
            </w:tcBorders>
            <w:shd w:val="clear" w:color="auto" w:fill="auto"/>
            <w:noWrap/>
            <w:vAlign w:val="center"/>
            <w:hideMark/>
          </w:tcPr>
          <w:p w14:paraId="20562E78" w14:textId="57B4A41B" w:rsidR="00D80FDF" w:rsidRPr="00A751C0" w:rsidRDefault="006517DE" w:rsidP="006517DE">
            <w:pPr>
              <w:jc w:val="right"/>
              <w:rPr>
                <w:rFonts w:cs="Calibri"/>
                <w:color w:val="000000" w:themeColor="text1"/>
                <w:sz w:val="13"/>
                <w:szCs w:val="13"/>
              </w:rPr>
            </w:pPr>
            <w:r w:rsidRPr="00A751C0">
              <w:rPr>
                <w:rFonts w:cs="Calibri"/>
                <w:color w:val="000000" w:themeColor="text1"/>
                <w:sz w:val="13"/>
                <w:szCs w:val="13"/>
              </w:rPr>
              <w:t>10 076</w:t>
            </w:r>
            <w:r w:rsidR="00D80FDF" w:rsidRPr="00A751C0">
              <w:rPr>
                <w:rFonts w:cs="Calibri"/>
                <w:color w:val="000000" w:themeColor="text1"/>
                <w:sz w:val="13"/>
                <w:szCs w:val="13"/>
              </w:rPr>
              <w:t xml:space="preserve"> </w:t>
            </w:r>
            <w:r w:rsidRPr="00A751C0">
              <w:rPr>
                <w:rFonts w:cs="Calibri"/>
                <w:color w:val="000000" w:themeColor="text1"/>
                <w:sz w:val="13"/>
                <w:szCs w:val="13"/>
              </w:rPr>
              <w:t>797</w:t>
            </w:r>
          </w:p>
        </w:tc>
        <w:tc>
          <w:tcPr>
            <w:tcW w:w="1418" w:type="dxa"/>
            <w:tcBorders>
              <w:top w:val="nil"/>
              <w:left w:val="single" w:sz="8" w:space="0" w:color="0077BD"/>
              <w:bottom w:val="single" w:sz="4" w:space="0" w:color="0077BD"/>
              <w:right w:val="nil"/>
            </w:tcBorders>
            <w:shd w:val="clear" w:color="auto" w:fill="auto"/>
            <w:vAlign w:val="center"/>
          </w:tcPr>
          <w:p w14:paraId="384881A7" w14:textId="67B024DC"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10 294 928</w:t>
            </w:r>
          </w:p>
        </w:tc>
      </w:tr>
      <w:tr w:rsidR="00A751C0" w:rsidRPr="00A751C0" w14:paraId="20E3759A" w14:textId="50A2AFB8" w:rsidTr="00D1784D">
        <w:trPr>
          <w:trHeight w:val="227"/>
        </w:trPr>
        <w:tc>
          <w:tcPr>
            <w:tcW w:w="4760" w:type="dxa"/>
            <w:tcBorders>
              <w:top w:val="nil"/>
              <w:left w:val="nil"/>
              <w:bottom w:val="nil"/>
              <w:right w:val="single" w:sz="8" w:space="0" w:color="0077BD"/>
            </w:tcBorders>
            <w:shd w:val="clear" w:color="auto" w:fill="auto"/>
            <w:vAlign w:val="center"/>
            <w:hideMark/>
          </w:tcPr>
          <w:p w14:paraId="5A420487" w14:textId="77777777" w:rsidR="00D80FDF" w:rsidRPr="00A751C0" w:rsidRDefault="00D80FDF" w:rsidP="00D80FDF">
            <w:pPr>
              <w:rPr>
                <w:rFonts w:cs="Calibri"/>
                <w:color w:val="000000" w:themeColor="text1"/>
                <w:sz w:val="13"/>
                <w:szCs w:val="13"/>
              </w:rPr>
            </w:pPr>
            <w:r w:rsidRPr="00A751C0">
              <w:rPr>
                <w:rFonts w:cs="Calibri"/>
                <w:color w:val="000000" w:themeColor="text1"/>
                <w:sz w:val="13"/>
                <w:szCs w:val="13"/>
              </w:rPr>
              <w:t>- Wynik roku bieżącego</w:t>
            </w:r>
          </w:p>
        </w:tc>
        <w:tc>
          <w:tcPr>
            <w:tcW w:w="567" w:type="dxa"/>
            <w:tcBorders>
              <w:top w:val="nil"/>
              <w:left w:val="nil"/>
              <w:bottom w:val="nil"/>
              <w:right w:val="nil"/>
            </w:tcBorders>
            <w:shd w:val="clear" w:color="auto" w:fill="auto"/>
            <w:noWrap/>
            <w:vAlign w:val="center"/>
          </w:tcPr>
          <w:p w14:paraId="31B48DE7" w14:textId="2A97E5B0"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nil"/>
              <w:right w:val="nil"/>
            </w:tcBorders>
            <w:shd w:val="clear" w:color="auto" w:fill="auto"/>
            <w:noWrap/>
            <w:vAlign w:val="center"/>
          </w:tcPr>
          <w:p w14:paraId="76B4AF1B" w14:textId="42AEE6D7" w:rsidR="00D80FDF" w:rsidRPr="00A751C0" w:rsidRDefault="00B529EF" w:rsidP="00B529EF">
            <w:pPr>
              <w:jc w:val="right"/>
              <w:rPr>
                <w:rFonts w:cs="Calibri"/>
                <w:color w:val="000000" w:themeColor="text1"/>
                <w:sz w:val="13"/>
                <w:szCs w:val="13"/>
              </w:rPr>
            </w:pPr>
            <w:r w:rsidRPr="00A751C0">
              <w:rPr>
                <w:rFonts w:cs="Calibri"/>
                <w:color w:val="000000" w:themeColor="text1"/>
                <w:sz w:val="13"/>
                <w:szCs w:val="13"/>
              </w:rPr>
              <w:t>1 010</w:t>
            </w:r>
            <w:r w:rsidR="00D80FDF" w:rsidRPr="00A751C0">
              <w:rPr>
                <w:rFonts w:cs="Calibri"/>
                <w:color w:val="000000" w:themeColor="text1"/>
                <w:sz w:val="13"/>
                <w:szCs w:val="13"/>
              </w:rPr>
              <w:t xml:space="preserve"> </w:t>
            </w:r>
            <w:r w:rsidRPr="00A751C0">
              <w:rPr>
                <w:rFonts w:cs="Calibri"/>
                <w:color w:val="000000" w:themeColor="text1"/>
                <w:sz w:val="13"/>
                <w:szCs w:val="13"/>
              </w:rPr>
              <w:t>350</w:t>
            </w:r>
          </w:p>
        </w:tc>
        <w:tc>
          <w:tcPr>
            <w:tcW w:w="1418" w:type="dxa"/>
            <w:tcBorders>
              <w:top w:val="nil"/>
              <w:left w:val="single" w:sz="8" w:space="0" w:color="0077BD"/>
              <w:bottom w:val="nil"/>
              <w:right w:val="nil"/>
            </w:tcBorders>
            <w:shd w:val="clear" w:color="auto" w:fill="auto"/>
            <w:noWrap/>
            <w:vAlign w:val="center"/>
            <w:hideMark/>
          </w:tcPr>
          <w:p w14:paraId="0CAE96FF" w14:textId="62331C0B" w:rsidR="00D80FDF" w:rsidRPr="00A751C0" w:rsidRDefault="006517DE" w:rsidP="00B86224">
            <w:pPr>
              <w:jc w:val="right"/>
              <w:rPr>
                <w:rFonts w:cs="Calibri"/>
                <w:color w:val="000000" w:themeColor="text1"/>
                <w:sz w:val="13"/>
                <w:szCs w:val="13"/>
              </w:rPr>
            </w:pPr>
            <w:r w:rsidRPr="00A751C0">
              <w:rPr>
                <w:rFonts w:cs="Calibri"/>
                <w:color w:val="000000" w:themeColor="text1"/>
                <w:sz w:val="13"/>
                <w:szCs w:val="13"/>
              </w:rPr>
              <w:t>1 302</w:t>
            </w:r>
            <w:r w:rsidR="00D80FDF" w:rsidRPr="00A751C0">
              <w:rPr>
                <w:rFonts w:cs="Calibri"/>
                <w:color w:val="000000" w:themeColor="text1"/>
                <w:sz w:val="13"/>
                <w:szCs w:val="13"/>
              </w:rPr>
              <w:t xml:space="preserve"> </w:t>
            </w:r>
            <w:r w:rsidRPr="00A751C0">
              <w:rPr>
                <w:rFonts w:cs="Calibri"/>
                <w:color w:val="000000" w:themeColor="text1"/>
                <w:sz w:val="13"/>
                <w:szCs w:val="13"/>
              </w:rPr>
              <w:t>78</w:t>
            </w:r>
            <w:r w:rsidR="00B86224">
              <w:rPr>
                <w:rFonts w:cs="Calibri"/>
                <w:color w:val="000000" w:themeColor="text1"/>
                <w:sz w:val="13"/>
                <w:szCs w:val="13"/>
              </w:rPr>
              <w:t>6</w:t>
            </w:r>
          </w:p>
        </w:tc>
        <w:tc>
          <w:tcPr>
            <w:tcW w:w="1418" w:type="dxa"/>
            <w:tcBorders>
              <w:top w:val="nil"/>
              <w:left w:val="single" w:sz="8" w:space="0" w:color="0077BD"/>
              <w:bottom w:val="nil"/>
              <w:right w:val="nil"/>
            </w:tcBorders>
            <w:shd w:val="clear" w:color="auto" w:fill="auto"/>
            <w:vAlign w:val="center"/>
          </w:tcPr>
          <w:p w14:paraId="0C3C0DB3" w14:textId="6B82F27F" w:rsidR="00D80FDF" w:rsidRPr="00A751C0" w:rsidRDefault="00D80FDF" w:rsidP="00D80FDF">
            <w:pPr>
              <w:jc w:val="right"/>
              <w:rPr>
                <w:rFonts w:cs="Calibri"/>
                <w:color w:val="000000" w:themeColor="text1"/>
                <w:sz w:val="13"/>
                <w:szCs w:val="13"/>
              </w:rPr>
            </w:pPr>
            <w:r w:rsidRPr="00A751C0">
              <w:rPr>
                <w:rFonts w:cs="Calibri"/>
                <w:color w:val="000000" w:themeColor="text1"/>
                <w:sz w:val="13"/>
                <w:szCs w:val="13"/>
              </w:rPr>
              <w:t>-</w:t>
            </w:r>
          </w:p>
        </w:tc>
      </w:tr>
      <w:tr w:rsidR="00A751C0" w:rsidRPr="00A751C0" w14:paraId="58F5AF03" w14:textId="76E6360F" w:rsidTr="00552529">
        <w:trPr>
          <w:trHeight w:val="227"/>
        </w:trPr>
        <w:tc>
          <w:tcPr>
            <w:tcW w:w="4760" w:type="dxa"/>
            <w:tcBorders>
              <w:top w:val="single" w:sz="8" w:space="0" w:color="0077BD"/>
              <w:left w:val="nil"/>
              <w:bottom w:val="single" w:sz="8" w:space="0" w:color="0077BD"/>
              <w:right w:val="single" w:sz="8" w:space="0" w:color="0077BD"/>
            </w:tcBorders>
            <w:shd w:val="clear" w:color="auto" w:fill="auto"/>
            <w:vAlign w:val="center"/>
            <w:hideMark/>
          </w:tcPr>
          <w:p w14:paraId="51235AED"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Inne pozycje kapitału własnego</w:t>
            </w:r>
          </w:p>
        </w:tc>
        <w:tc>
          <w:tcPr>
            <w:tcW w:w="567" w:type="dxa"/>
            <w:tcBorders>
              <w:top w:val="single" w:sz="8" w:space="0" w:color="0077BD"/>
              <w:left w:val="nil"/>
              <w:bottom w:val="single" w:sz="8" w:space="0" w:color="0077BD"/>
              <w:right w:val="nil"/>
            </w:tcBorders>
            <w:shd w:val="clear" w:color="auto" w:fill="auto"/>
            <w:noWrap/>
            <w:vAlign w:val="center"/>
            <w:hideMark/>
          </w:tcPr>
          <w:p w14:paraId="546428F6" w14:textId="510F9556" w:rsidR="00D80FDF" w:rsidRPr="00A751C0" w:rsidRDefault="00D80FDF" w:rsidP="00D80FDF">
            <w:pPr>
              <w:jc w:val="center"/>
              <w:rPr>
                <w:rFonts w:cs="Calibri"/>
                <w:b/>
                <w:bCs/>
                <w:color w:val="000000" w:themeColor="text1"/>
                <w:sz w:val="13"/>
                <w:szCs w:val="13"/>
              </w:rPr>
            </w:pPr>
            <w:r w:rsidRPr="00A751C0">
              <w:rPr>
                <w:rFonts w:cs="Calibri"/>
                <w:b/>
                <w:bCs/>
                <w:color w:val="000000" w:themeColor="text1"/>
                <w:sz w:val="13"/>
                <w:szCs w:val="13"/>
              </w:rPr>
              <w:t>38</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18450AB" w14:textId="04C9A60E"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176 710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C1767CA" w14:textId="77777777"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214 838</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78B4D9D4" w14:textId="199DE587"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105 472</w:t>
            </w:r>
          </w:p>
        </w:tc>
      </w:tr>
      <w:tr w:rsidR="00A751C0" w:rsidRPr="00A751C0" w14:paraId="32E60079" w14:textId="4D1587EF" w:rsidTr="00D1784D">
        <w:trPr>
          <w:trHeight w:val="227"/>
        </w:trPr>
        <w:tc>
          <w:tcPr>
            <w:tcW w:w="4760" w:type="dxa"/>
            <w:tcBorders>
              <w:top w:val="single" w:sz="8" w:space="0" w:color="0077BD"/>
              <w:left w:val="nil"/>
              <w:bottom w:val="single" w:sz="8" w:space="0" w:color="0077BD"/>
              <w:right w:val="single" w:sz="8" w:space="0" w:color="0077BD"/>
            </w:tcBorders>
            <w:shd w:val="clear" w:color="auto" w:fill="auto"/>
            <w:vAlign w:val="center"/>
            <w:hideMark/>
          </w:tcPr>
          <w:p w14:paraId="7894E160"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Udziały niekontrolujące</w:t>
            </w:r>
          </w:p>
        </w:tc>
        <w:tc>
          <w:tcPr>
            <w:tcW w:w="567" w:type="dxa"/>
            <w:tcBorders>
              <w:top w:val="single" w:sz="8" w:space="0" w:color="0077BD"/>
              <w:left w:val="nil"/>
              <w:bottom w:val="single" w:sz="8" w:space="0" w:color="0077BD"/>
              <w:right w:val="nil"/>
            </w:tcBorders>
            <w:shd w:val="clear" w:color="auto" w:fill="auto"/>
            <w:noWrap/>
            <w:vAlign w:val="center"/>
          </w:tcPr>
          <w:p w14:paraId="02972AF2" w14:textId="206A401E" w:rsidR="00D80FDF" w:rsidRPr="00A751C0" w:rsidRDefault="00D80FDF" w:rsidP="00D80FDF">
            <w:pPr>
              <w:jc w:val="center"/>
              <w:rPr>
                <w:rFonts w:cs="Calibri"/>
                <w:color w:val="000000" w:themeColor="text1"/>
                <w:sz w:val="13"/>
                <w:szCs w:val="13"/>
              </w:rPr>
            </w:pP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C573E2F" w14:textId="4DFADA01"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2 002</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9F97ABA" w14:textId="77777777"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2 100</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4E0CC7A5" w14:textId="2269B08A"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2 186</w:t>
            </w:r>
          </w:p>
        </w:tc>
      </w:tr>
      <w:tr w:rsidR="00A751C0" w:rsidRPr="00A751C0" w14:paraId="0CC178F3" w14:textId="5B53ED64" w:rsidTr="00D1784D">
        <w:trPr>
          <w:trHeight w:val="227"/>
        </w:trPr>
        <w:tc>
          <w:tcPr>
            <w:tcW w:w="4760" w:type="dxa"/>
            <w:tcBorders>
              <w:top w:val="nil"/>
              <w:left w:val="nil"/>
              <w:bottom w:val="single" w:sz="8" w:space="0" w:color="0077BD"/>
              <w:right w:val="single" w:sz="8" w:space="0" w:color="0077BD"/>
            </w:tcBorders>
            <w:shd w:val="clear" w:color="auto" w:fill="auto"/>
            <w:noWrap/>
            <w:vAlign w:val="center"/>
            <w:hideMark/>
          </w:tcPr>
          <w:p w14:paraId="3CACDFB3"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KAPITAŁY RAZEM</w:t>
            </w:r>
          </w:p>
        </w:tc>
        <w:tc>
          <w:tcPr>
            <w:tcW w:w="567" w:type="dxa"/>
            <w:tcBorders>
              <w:top w:val="nil"/>
              <w:left w:val="nil"/>
              <w:bottom w:val="single" w:sz="8" w:space="0" w:color="0077BD"/>
              <w:right w:val="single" w:sz="8" w:space="0" w:color="0077BD"/>
            </w:tcBorders>
            <w:shd w:val="clear" w:color="auto" w:fill="auto"/>
            <w:noWrap/>
            <w:vAlign w:val="center"/>
          </w:tcPr>
          <w:p w14:paraId="4F0EA347" w14:textId="272A7287"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single" w:sz="8" w:space="0" w:color="0077BD"/>
              <w:right w:val="nil"/>
            </w:tcBorders>
            <w:shd w:val="clear" w:color="auto" w:fill="auto"/>
            <w:noWrap/>
            <w:vAlign w:val="center"/>
          </w:tcPr>
          <w:p w14:paraId="7F9ABF0B" w14:textId="05397DA9" w:rsidR="00D80FDF"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16 153</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305</w:t>
            </w:r>
          </w:p>
        </w:tc>
        <w:tc>
          <w:tcPr>
            <w:tcW w:w="1418" w:type="dxa"/>
            <w:tcBorders>
              <w:top w:val="nil"/>
              <w:left w:val="single" w:sz="8" w:space="0" w:color="0077BD"/>
              <w:bottom w:val="single" w:sz="8" w:space="0" w:color="0077BD"/>
              <w:right w:val="nil"/>
            </w:tcBorders>
            <w:shd w:val="clear" w:color="auto" w:fill="auto"/>
            <w:noWrap/>
            <w:vAlign w:val="center"/>
            <w:hideMark/>
          </w:tcPr>
          <w:p w14:paraId="6EA00A8B" w14:textId="3CE7EBB2" w:rsidR="00D80FDF" w:rsidRPr="00A751C0" w:rsidRDefault="006517DE" w:rsidP="00B86224">
            <w:pPr>
              <w:jc w:val="right"/>
              <w:rPr>
                <w:rFonts w:cs="Calibri"/>
                <w:b/>
                <w:bCs/>
                <w:color w:val="000000" w:themeColor="text1"/>
                <w:sz w:val="13"/>
                <w:szCs w:val="13"/>
              </w:rPr>
            </w:pPr>
            <w:r w:rsidRPr="00A751C0">
              <w:rPr>
                <w:rFonts w:cs="Calibri"/>
                <w:b/>
                <w:bCs/>
                <w:color w:val="000000" w:themeColor="text1"/>
                <w:sz w:val="13"/>
                <w:szCs w:val="13"/>
              </w:rPr>
              <w:t>15 171</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207</w:t>
            </w:r>
          </w:p>
        </w:tc>
        <w:tc>
          <w:tcPr>
            <w:tcW w:w="1418" w:type="dxa"/>
            <w:tcBorders>
              <w:top w:val="nil"/>
              <w:left w:val="single" w:sz="8" w:space="0" w:color="0077BD"/>
              <w:bottom w:val="single" w:sz="8" w:space="0" w:color="0077BD"/>
              <w:right w:val="nil"/>
            </w:tcBorders>
            <w:shd w:val="clear" w:color="auto" w:fill="auto"/>
            <w:vAlign w:val="center"/>
          </w:tcPr>
          <w:p w14:paraId="3DC6F71C" w14:textId="4BA65B6C"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13 966 762</w:t>
            </w:r>
          </w:p>
        </w:tc>
      </w:tr>
      <w:tr w:rsidR="00A751C0" w:rsidRPr="00A751C0" w14:paraId="62E8FB48" w14:textId="1502C896" w:rsidTr="00D1784D">
        <w:trPr>
          <w:trHeight w:val="227"/>
        </w:trPr>
        <w:tc>
          <w:tcPr>
            <w:tcW w:w="4760" w:type="dxa"/>
            <w:tcBorders>
              <w:top w:val="nil"/>
              <w:left w:val="nil"/>
              <w:bottom w:val="single" w:sz="8" w:space="0" w:color="0077BD"/>
              <w:right w:val="single" w:sz="8" w:space="0" w:color="0077BD"/>
            </w:tcBorders>
            <w:shd w:val="clear" w:color="auto" w:fill="auto"/>
            <w:noWrap/>
            <w:vAlign w:val="center"/>
            <w:hideMark/>
          </w:tcPr>
          <w:p w14:paraId="7549BEE4" w14:textId="77777777" w:rsidR="00D80FDF" w:rsidRPr="00A751C0" w:rsidRDefault="00D80FDF" w:rsidP="00D80FDF">
            <w:pPr>
              <w:rPr>
                <w:rFonts w:cs="Calibri"/>
                <w:b/>
                <w:bCs/>
                <w:color w:val="000000" w:themeColor="text1"/>
                <w:sz w:val="13"/>
                <w:szCs w:val="13"/>
              </w:rPr>
            </w:pPr>
            <w:r w:rsidRPr="00A751C0">
              <w:rPr>
                <w:rFonts w:cs="Calibri"/>
                <w:b/>
                <w:bCs/>
                <w:color w:val="000000" w:themeColor="text1"/>
                <w:sz w:val="13"/>
                <w:szCs w:val="13"/>
              </w:rPr>
              <w:t>ZOBOWIĄZANIA I KAPITAŁY RAZEM</w:t>
            </w:r>
          </w:p>
        </w:tc>
        <w:tc>
          <w:tcPr>
            <w:tcW w:w="567" w:type="dxa"/>
            <w:tcBorders>
              <w:top w:val="nil"/>
              <w:left w:val="nil"/>
              <w:bottom w:val="single" w:sz="8" w:space="0" w:color="0077BD"/>
              <w:right w:val="single" w:sz="8" w:space="0" w:color="0077BD"/>
            </w:tcBorders>
            <w:shd w:val="clear" w:color="auto" w:fill="auto"/>
            <w:noWrap/>
            <w:vAlign w:val="center"/>
          </w:tcPr>
          <w:p w14:paraId="292D2F02" w14:textId="22785E4A" w:rsidR="00D80FDF" w:rsidRPr="00A751C0" w:rsidRDefault="00D80FDF" w:rsidP="00D80FDF">
            <w:pPr>
              <w:jc w:val="center"/>
              <w:rPr>
                <w:rFonts w:cs="Calibri"/>
                <w:color w:val="000000" w:themeColor="text1"/>
                <w:sz w:val="13"/>
                <w:szCs w:val="13"/>
              </w:rPr>
            </w:pPr>
          </w:p>
        </w:tc>
        <w:tc>
          <w:tcPr>
            <w:tcW w:w="1418" w:type="dxa"/>
            <w:tcBorders>
              <w:top w:val="nil"/>
              <w:left w:val="single" w:sz="8" w:space="0" w:color="0077BD"/>
              <w:bottom w:val="single" w:sz="8" w:space="0" w:color="0077BD"/>
              <w:right w:val="nil"/>
            </w:tcBorders>
            <w:shd w:val="clear" w:color="auto" w:fill="auto"/>
            <w:noWrap/>
            <w:vAlign w:val="center"/>
          </w:tcPr>
          <w:p w14:paraId="45713512" w14:textId="728433D7" w:rsidR="00D80FDF"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158 720</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583</w:t>
            </w:r>
          </w:p>
        </w:tc>
        <w:tc>
          <w:tcPr>
            <w:tcW w:w="1418" w:type="dxa"/>
            <w:tcBorders>
              <w:top w:val="nil"/>
              <w:left w:val="single" w:sz="8" w:space="0" w:color="0077BD"/>
              <w:bottom w:val="single" w:sz="8" w:space="0" w:color="0077BD"/>
              <w:right w:val="nil"/>
            </w:tcBorders>
            <w:shd w:val="clear" w:color="auto" w:fill="auto"/>
            <w:noWrap/>
            <w:vAlign w:val="center"/>
            <w:hideMark/>
          </w:tcPr>
          <w:p w14:paraId="230DC91C" w14:textId="280F74E1" w:rsidR="00D80FDF" w:rsidRPr="00A751C0" w:rsidRDefault="006517DE" w:rsidP="006517DE">
            <w:pPr>
              <w:jc w:val="right"/>
              <w:rPr>
                <w:rFonts w:cs="Calibri"/>
                <w:b/>
                <w:bCs/>
                <w:color w:val="000000" w:themeColor="text1"/>
                <w:sz w:val="13"/>
                <w:szCs w:val="13"/>
              </w:rPr>
            </w:pPr>
            <w:r w:rsidRPr="00A751C0">
              <w:rPr>
                <w:rFonts w:cs="Calibri"/>
                <w:b/>
                <w:bCs/>
                <w:color w:val="000000" w:themeColor="text1"/>
                <w:sz w:val="13"/>
                <w:szCs w:val="13"/>
              </w:rPr>
              <w:t>145 780</w:t>
            </w:r>
            <w:r w:rsidR="00D80FDF" w:rsidRPr="00A751C0">
              <w:rPr>
                <w:rFonts w:cs="Calibri"/>
                <w:b/>
                <w:bCs/>
                <w:color w:val="000000" w:themeColor="text1"/>
                <w:sz w:val="13"/>
                <w:szCs w:val="13"/>
              </w:rPr>
              <w:t xml:space="preserve"> </w:t>
            </w:r>
            <w:r w:rsidRPr="00A751C0">
              <w:rPr>
                <w:rFonts w:cs="Calibri"/>
                <w:b/>
                <w:bCs/>
                <w:color w:val="000000" w:themeColor="text1"/>
                <w:sz w:val="13"/>
                <w:szCs w:val="13"/>
              </w:rPr>
              <w:t>558</w:t>
            </w:r>
          </w:p>
        </w:tc>
        <w:tc>
          <w:tcPr>
            <w:tcW w:w="1418" w:type="dxa"/>
            <w:tcBorders>
              <w:top w:val="nil"/>
              <w:left w:val="single" w:sz="8" w:space="0" w:color="0077BD"/>
              <w:bottom w:val="single" w:sz="8" w:space="0" w:color="0077BD"/>
              <w:right w:val="nil"/>
            </w:tcBorders>
            <w:shd w:val="clear" w:color="auto" w:fill="auto"/>
            <w:vAlign w:val="center"/>
          </w:tcPr>
          <w:p w14:paraId="26D5ED0C" w14:textId="480E2E67" w:rsidR="00D80FDF" w:rsidRPr="00A751C0" w:rsidRDefault="00D80FDF" w:rsidP="00D80FDF">
            <w:pPr>
              <w:jc w:val="right"/>
              <w:rPr>
                <w:rFonts w:cs="Calibri"/>
                <w:b/>
                <w:bCs/>
                <w:color w:val="000000" w:themeColor="text1"/>
                <w:sz w:val="13"/>
                <w:szCs w:val="13"/>
              </w:rPr>
            </w:pPr>
            <w:r w:rsidRPr="00A751C0">
              <w:rPr>
                <w:rFonts w:cs="Calibri"/>
                <w:b/>
                <w:bCs/>
                <w:color w:val="000000" w:themeColor="text1"/>
                <w:sz w:val="13"/>
                <w:szCs w:val="13"/>
              </w:rPr>
              <w:t>131 300 956</w:t>
            </w:r>
          </w:p>
        </w:tc>
      </w:tr>
      <w:tr w:rsidR="0080079D" w:rsidRPr="0080079D" w14:paraId="4431C51C" w14:textId="77777777" w:rsidTr="00C709DA">
        <w:trPr>
          <w:trHeight w:val="20"/>
        </w:trPr>
        <w:tc>
          <w:tcPr>
            <w:tcW w:w="4760" w:type="dxa"/>
            <w:tcBorders>
              <w:top w:val="single" w:sz="8" w:space="0" w:color="0077BD"/>
              <w:left w:val="nil"/>
              <w:bottom w:val="single" w:sz="8" w:space="0" w:color="0077BD"/>
            </w:tcBorders>
            <w:shd w:val="clear" w:color="auto" w:fill="auto"/>
            <w:vAlign w:val="center"/>
          </w:tcPr>
          <w:p w14:paraId="3E74CC0C" w14:textId="77777777" w:rsidR="0080079D" w:rsidRPr="0080079D" w:rsidRDefault="0080079D" w:rsidP="00886788">
            <w:pPr>
              <w:rPr>
                <w:rFonts w:cs="Calibri"/>
                <w:b/>
                <w:bCs/>
                <w:color w:val="000000" w:themeColor="text1"/>
                <w:sz w:val="4"/>
                <w:szCs w:val="4"/>
              </w:rPr>
            </w:pPr>
          </w:p>
        </w:tc>
        <w:tc>
          <w:tcPr>
            <w:tcW w:w="567" w:type="dxa"/>
            <w:tcBorders>
              <w:top w:val="single" w:sz="8" w:space="0" w:color="0077BD"/>
              <w:bottom w:val="single" w:sz="8" w:space="0" w:color="0077BD"/>
            </w:tcBorders>
            <w:shd w:val="clear" w:color="auto" w:fill="auto"/>
            <w:vAlign w:val="center"/>
          </w:tcPr>
          <w:p w14:paraId="21C4C460" w14:textId="77777777" w:rsidR="0080079D" w:rsidRPr="0080079D" w:rsidRDefault="0080079D" w:rsidP="00886788">
            <w:pPr>
              <w:jc w:val="center"/>
              <w:rPr>
                <w:rFonts w:cs="Calibri"/>
                <w:b/>
                <w:bCs/>
                <w:color w:val="000000" w:themeColor="text1"/>
                <w:sz w:val="4"/>
                <w:szCs w:val="4"/>
              </w:rPr>
            </w:pPr>
          </w:p>
        </w:tc>
        <w:tc>
          <w:tcPr>
            <w:tcW w:w="1418" w:type="dxa"/>
            <w:tcBorders>
              <w:top w:val="single" w:sz="8" w:space="0" w:color="0077BD"/>
              <w:bottom w:val="single" w:sz="8" w:space="0" w:color="0077BD"/>
            </w:tcBorders>
            <w:shd w:val="clear" w:color="auto" w:fill="auto"/>
            <w:noWrap/>
            <w:vAlign w:val="center"/>
          </w:tcPr>
          <w:p w14:paraId="14AE4C74" w14:textId="77777777" w:rsidR="0080079D" w:rsidRPr="0080079D" w:rsidRDefault="0080079D" w:rsidP="00AC7E6A">
            <w:pPr>
              <w:jc w:val="right"/>
              <w:rPr>
                <w:rFonts w:cs="Calibri"/>
                <w:b/>
                <w:bCs/>
                <w:color w:val="000000" w:themeColor="text1"/>
                <w:sz w:val="4"/>
                <w:szCs w:val="4"/>
              </w:rPr>
            </w:pPr>
          </w:p>
        </w:tc>
        <w:tc>
          <w:tcPr>
            <w:tcW w:w="1418" w:type="dxa"/>
            <w:tcBorders>
              <w:top w:val="single" w:sz="8" w:space="0" w:color="0077BD"/>
              <w:bottom w:val="single" w:sz="8" w:space="0" w:color="0077BD"/>
            </w:tcBorders>
            <w:shd w:val="clear" w:color="auto" w:fill="auto"/>
            <w:noWrap/>
            <w:vAlign w:val="center"/>
          </w:tcPr>
          <w:p w14:paraId="7DB7ACBE" w14:textId="77777777" w:rsidR="0080079D" w:rsidRPr="0080079D" w:rsidRDefault="0080079D" w:rsidP="00886788">
            <w:pPr>
              <w:jc w:val="right"/>
              <w:rPr>
                <w:rFonts w:cs="Calibri"/>
                <w:b/>
                <w:bCs/>
                <w:color w:val="000000" w:themeColor="text1"/>
                <w:sz w:val="4"/>
                <w:szCs w:val="4"/>
              </w:rPr>
            </w:pPr>
          </w:p>
        </w:tc>
        <w:tc>
          <w:tcPr>
            <w:tcW w:w="1418" w:type="dxa"/>
            <w:tcBorders>
              <w:top w:val="single" w:sz="8" w:space="0" w:color="0077BD"/>
              <w:bottom w:val="single" w:sz="8" w:space="0" w:color="0077BD"/>
              <w:right w:val="nil"/>
            </w:tcBorders>
            <w:shd w:val="clear" w:color="auto" w:fill="auto"/>
            <w:vAlign w:val="center"/>
          </w:tcPr>
          <w:p w14:paraId="0A6AF47B" w14:textId="77777777" w:rsidR="0080079D" w:rsidRPr="0080079D" w:rsidRDefault="0080079D" w:rsidP="00886788">
            <w:pPr>
              <w:jc w:val="right"/>
              <w:rPr>
                <w:rFonts w:cs="Calibri"/>
                <w:b/>
                <w:bCs/>
                <w:color w:val="000000" w:themeColor="text1"/>
                <w:sz w:val="4"/>
                <w:szCs w:val="4"/>
              </w:rPr>
            </w:pPr>
          </w:p>
        </w:tc>
      </w:tr>
      <w:tr w:rsidR="00A751C0" w:rsidRPr="00A751C0" w14:paraId="5C8B1E37" w14:textId="1ABCA7F9" w:rsidTr="00C709DA">
        <w:trPr>
          <w:trHeight w:val="227"/>
        </w:trPr>
        <w:tc>
          <w:tcPr>
            <w:tcW w:w="4760" w:type="dxa"/>
            <w:tcBorders>
              <w:top w:val="single" w:sz="8" w:space="0" w:color="0077BD"/>
              <w:left w:val="nil"/>
              <w:bottom w:val="single" w:sz="4" w:space="0" w:color="0077BD"/>
              <w:right w:val="single" w:sz="8" w:space="0" w:color="0077BD"/>
            </w:tcBorders>
            <w:shd w:val="clear" w:color="auto" w:fill="auto"/>
            <w:vAlign w:val="center"/>
            <w:hideMark/>
          </w:tcPr>
          <w:p w14:paraId="7F7574BE" w14:textId="77777777" w:rsidR="00886788" w:rsidRPr="00A751C0" w:rsidRDefault="00886788" w:rsidP="00886788">
            <w:pPr>
              <w:rPr>
                <w:rFonts w:cs="Calibri"/>
                <w:b/>
                <w:bCs/>
                <w:color w:val="000000" w:themeColor="text1"/>
                <w:sz w:val="13"/>
                <w:szCs w:val="13"/>
              </w:rPr>
            </w:pPr>
            <w:r w:rsidRPr="00A751C0">
              <w:rPr>
                <w:rFonts w:cs="Calibri"/>
                <w:b/>
                <w:bCs/>
                <w:color w:val="000000" w:themeColor="text1"/>
                <w:sz w:val="13"/>
                <w:szCs w:val="13"/>
              </w:rPr>
              <w:t>Łączny współczynnik kapitałowy</w:t>
            </w:r>
          </w:p>
        </w:tc>
        <w:tc>
          <w:tcPr>
            <w:tcW w:w="567" w:type="dxa"/>
            <w:tcBorders>
              <w:top w:val="single" w:sz="8" w:space="0" w:color="0077BD"/>
              <w:left w:val="nil"/>
              <w:bottom w:val="single" w:sz="4" w:space="0" w:color="0077BD"/>
              <w:right w:val="single" w:sz="8" w:space="0" w:color="0077BD"/>
            </w:tcBorders>
            <w:shd w:val="clear" w:color="auto" w:fill="auto"/>
            <w:vAlign w:val="center"/>
            <w:hideMark/>
          </w:tcPr>
          <w:p w14:paraId="580C9BF3" w14:textId="05C828E2" w:rsidR="00886788" w:rsidRPr="00A751C0" w:rsidRDefault="00886788" w:rsidP="00886788">
            <w:pPr>
              <w:jc w:val="center"/>
              <w:rPr>
                <w:rFonts w:cs="Calibri"/>
                <w:b/>
                <w:bCs/>
                <w:color w:val="000000" w:themeColor="text1"/>
                <w:sz w:val="13"/>
                <w:szCs w:val="13"/>
              </w:rPr>
            </w:pPr>
            <w:r w:rsidRPr="00A751C0">
              <w:rPr>
                <w:rFonts w:cs="Calibri"/>
                <w:b/>
                <w:bCs/>
                <w:color w:val="000000" w:themeColor="text1"/>
                <w:sz w:val="13"/>
                <w:szCs w:val="13"/>
              </w:rPr>
              <w:t>45</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76C7AE16" w14:textId="1F8AF904" w:rsidR="00886788" w:rsidRPr="00A751C0" w:rsidRDefault="00B61C34" w:rsidP="00AC7E6A">
            <w:pPr>
              <w:jc w:val="right"/>
              <w:rPr>
                <w:rFonts w:cs="Calibri"/>
                <w:b/>
                <w:bCs/>
                <w:color w:val="000000" w:themeColor="text1"/>
                <w:sz w:val="13"/>
                <w:szCs w:val="13"/>
              </w:rPr>
            </w:pPr>
            <w:r w:rsidRPr="00A751C0">
              <w:rPr>
                <w:rFonts w:cs="Calibri"/>
                <w:b/>
                <w:bCs/>
                <w:color w:val="000000" w:themeColor="text1"/>
                <w:sz w:val="13"/>
                <w:szCs w:val="13"/>
              </w:rPr>
              <w:t>19,46</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656E8903" w14:textId="77777777"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20,69</w:t>
            </w:r>
          </w:p>
        </w:tc>
        <w:tc>
          <w:tcPr>
            <w:tcW w:w="1418" w:type="dxa"/>
            <w:tcBorders>
              <w:top w:val="single" w:sz="8" w:space="0" w:color="0077BD"/>
              <w:left w:val="single" w:sz="8" w:space="0" w:color="0077BD"/>
              <w:bottom w:val="single" w:sz="4" w:space="0" w:color="0077BD"/>
              <w:right w:val="nil"/>
            </w:tcBorders>
            <w:shd w:val="thinDiagStripe" w:color="auto" w:fill="auto"/>
            <w:vAlign w:val="center"/>
          </w:tcPr>
          <w:p w14:paraId="5284C3B0" w14:textId="1C89029A" w:rsidR="00886788" w:rsidRPr="00C624E1" w:rsidRDefault="00886788" w:rsidP="00886788">
            <w:pPr>
              <w:jc w:val="right"/>
              <w:rPr>
                <w:rFonts w:cs="Calibri"/>
                <w:b/>
                <w:bCs/>
                <w:sz w:val="13"/>
                <w:szCs w:val="13"/>
              </w:rPr>
            </w:pPr>
          </w:p>
        </w:tc>
      </w:tr>
      <w:tr w:rsidR="00A751C0" w:rsidRPr="00A751C0" w14:paraId="2A8D3300" w14:textId="4A5414AC" w:rsidTr="00C709DA">
        <w:trPr>
          <w:trHeight w:val="227"/>
        </w:trPr>
        <w:tc>
          <w:tcPr>
            <w:tcW w:w="4760" w:type="dxa"/>
            <w:tcBorders>
              <w:top w:val="single" w:sz="4" w:space="0" w:color="0077BD"/>
              <w:left w:val="nil"/>
              <w:bottom w:val="single" w:sz="4" w:space="0" w:color="0077BD"/>
              <w:right w:val="single" w:sz="8" w:space="0" w:color="0077BD"/>
            </w:tcBorders>
            <w:shd w:val="clear" w:color="auto" w:fill="auto"/>
            <w:vAlign w:val="center"/>
            <w:hideMark/>
          </w:tcPr>
          <w:p w14:paraId="601313EC" w14:textId="77777777" w:rsidR="00886788" w:rsidRPr="00A751C0" w:rsidRDefault="00886788" w:rsidP="00886788">
            <w:pPr>
              <w:rPr>
                <w:rFonts w:cs="Calibri"/>
                <w:b/>
                <w:bCs/>
                <w:color w:val="000000" w:themeColor="text1"/>
                <w:sz w:val="13"/>
                <w:szCs w:val="13"/>
              </w:rPr>
            </w:pPr>
            <w:r w:rsidRPr="00A751C0">
              <w:rPr>
                <w:rFonts w:cs="Calibri"/>
                <w:b/>
                <w:bCs/>
                <w:color w:val="000000" w:themeColor="text1"/>
                <w:sz w:val="13"/>
                <w:szCs w:val="13"/>
              </w:rPr>
              <w:t>Współczynnik kapitału podstawowego Tier I</w:t>
            </w:r>
          </w:p>
        </w:tc>
        <w:tc>
          <w:tcPr>
            <w:tcW w:w="567" w:type="dxa"/>
            <w:tcBorders>
              <w:top w:val="single" w:sz="4" w:space="0" w:color="0077BD"/>
              <w:left w:val="nil"/>
              <w:bottom w:val="single" w:sz="4" w:space="0" w:color="0077BD"/>
              <w:right w:val="single" w:sz="8" w:space="0" w:color="0077BD"/>
            </w:tcBorders>
            <w:shd w:val="clear" w:color="auto" w:fill="auto"/>
            <w:vAlign w:val="center"/>
            <w:hideMark/>
          </w:tcPr>
          <w:p w14:paraId="56F02CCF" w14:textId="6B444E19" w:rsidR="00886788" w:rsidRPr="00A751C0" w:rsidRDefault="00886788" w:rsidP="00886788">
            <w:pPr>
              <w:jc w:val="center"/>
              <w:rPr>
                <w:rFonts w:cs="Calibri"/>
                <w:b/>
                <w:bCs/>
                <w:color w:val="000000" w:themeColor="text1"/>
                <w:sz w:val="13"/>
                <w:szCs w:val="13"/>
              </w:rPr>
            </w:pPr>
            <w:r w:rsidRPr="00A751C0">
              <w:rPr>
                <w:rFonts w:cs="Calibri"/>
                <w:b/>
                <w:bCs/>
                <w:color w:val="000000" w:themeColor="text1"/>
                <w:sz w:val="13"/>
                <w:szCs w:val="13"/>
              </w:rPr>
              <w:t>45</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6F3E680" w14:textId="3D13E101" w:rsidR="00886788" w:rsidRPr="00A751C0" w:rsidRDefault="00B61C34" w:rsidP="00AC7E6A">
            <w:pPr>
              <w:jc w:val="right"/>
              <w:rPr>
                <w:rFonts w:cs="Calibri"/>
                <w:b/>
                <w:bCs/>
                <w:color w:val="000000" w:themeColor="text1"/>
                <w:sz w:val="13"/>
                <w:szCs w:val="13"/>
              </w:rPr>
            </w:pPr>
            <w:r w:rsidRPr="00A751C0">
              <w:rPr>
                <w:rFonts w:cs="Calibri"/>
                <w:b/>
                <w:bCs/>
                <w:color w:val="000000" w:themeColor="text1"/>
                <w:sz w:val="13"/>
                <w:szCs w:val="13"/>
              </w:rPr>
              <w:t>16,51</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65DEAC84" w14:textId="77777777"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17,47</w:t>
            </w:r>
          </w:p>
        </w:tc>
        <w:tc>
          <w:tcPr>
            <w:tcW w:w="1418" w:type="dxa"/>
            <w:tcBorders>
              <w:top w:val="single" w:sz="4" w:space="0" w:color="0077BD"/>
              <w:left w:val="single" w:sz="8" w:space="0" w:color="0077BD"/>
              <w:bottom w:val="single" w:sz="4" w:space="0" w:color="0077BD"/>
              <w:right w:val="nil"/>
            </w:tcBorders>
            <w:shd w:val="thinDiagStripe" w:color="auto" w:fill="auto"/>
            <w:vAlign w:val="center"/>
          </w:tcPr>
          <w:p w14:paraId="16A9ED3E" w14:textId="4F35A084" w:rsidR="00886788" w:rsidRPr="00C624E1" w:rsidRDefault="00886788" w:rsidP="00886788">
            <w:pPr>
              <w:jc w:val="right"/>
              <w:rPr>
                <w:rFonts w:cs="Calibri"/>
                <w:b/>
                <w:bCs/>
                <w:sz w:val="13"/>
                <w:szCs w:val="13"/>
              </w:rPr>
            </w:pPr>
          </w:p>
        </w:tc>
      </w:tr>
      <w:tr w:rsidR="00A751C0" w:rsidRPr="00A751C0" w14:paraId="37E79476" w14:textId="0FFF2670" w:rsidTr="00BD3DBA">
        <w:trPr>
          <w:trHeight w:val="227"/>
        </w:trPr>
        <w:tc>
          <w:tcPr>
            <w:tcW w:w="4760" w:type="dxa"/>
            <w:tcBorders>
              <w:top w:val="single" w:sz="4" w:space="0" w:color="0077BD"/>
              <w:left w:val="nil"/>
              <w:bottom w:val="single" w:sz="4" w:space="0" w:color="0077BD"/>
              <w:right w:val="single" w:sz="8" w:space="0" w:color="0077BD"/>
            </w:tcBorders>
            <w:shd w:val="clear" w:color="auto" w:fill="auto"/>
            <w:vAlign w:val="center"/>
            <w:hideMark/>
          </w:tcPr>
          <w:p w14:paraId="05EA41D3" w14:textId="77777777" w:rsidR="00886788" w:rsidRPr="00A751C0" w:rsidRDefault="00886788" w:rsidP="00886788">
            <w:pPr>
              <w:rPr>
                <w:rFonts w:cs="Calibri"/>
                <w:b/>
                <w:bCs/>
                <w:color w:val="000000" w:themeColor="text1"/>
                <w:sz w:val="13"/>
                <w:szCs w:val="13"/>
              </w:rPr>
            </w:pPr>
            <w:r w:rsidRPr="00A751C0">
              <w:rPr>
                <w:rFonts w:cs="Calibri"/>
                <w:b/>
                <w:bCs/>
                <w:color w:val="000000" w:themeColor="text1"/>
                <w:sz w:val="13"/>
                <w:szCs w:val="13"/>
              </w:rPr>
              <w:t>Wartość księgowa</w:t>
            </w:r>
          </w:p>
        </w:tc>
        <w:tc>
          <w:tcPr>
            <w:tcW w:w="567" w:type="dxa"/>
            <w:tcBorders>
              <w:top w:val="single" w:sz="4" w:space="0" w:color="0077BD"/>
              <w:left w:val="nil"/>
              <w:bottom w:val="single" w:sz="4" w:space="0" w:color="0077BD"/>
              <w:right w:val="single" w:sz="8" w:space="0" w:color="0077BD"/>
            </w:tcBorders>
            <w:shd w:val="clear" w:color="auto" w:fill="auto"/>
            <w:vAlign w:val="center"/>
            <w:hideMark/>
          </w:tcPr>
          <w:p w14:paraId="06EBDF52" w14:textId="76FC1B99" w:rsidR="00886788" w:rsidRPr="00A751C0" w:rsidRDefault="00886788" w:rsidP="00886788">
            <w:pPr>
              <w:jc w:val="center"/>
              <w:rPr>
                <w:rFonts w:cs="Calibri"/>
                <w:b/>
                <w:bCs/>
                <w:color w:val="000000" w:themeColor="text1"/>
                <w:sz w:val="13"/>
                <w:szCs w:val="13"/>
              </w:rPr>
            </w:pPr>
          </w:p>
        </w:tc>
        <w:tc>
          <w:tcPr>
            <w:tcW w:w="1418" w:type="dxa"/>
            <w:tcBorders>
              <w:top w:val="single" w:sz="4" w:space="0" w:color="0077BD"/>
              <w:left w:val="nil"/>
              <w:bottom w:val="single" w:sz="4" w:space="0" w:color="0077BD"/>
              <w:right w:val="single" w:sz="8" w:space="0" w:color="0077BD"/>
            </w:tcBorders>
            <w:shd w:val="clear" w:color="auto" w:fill="auto"/>
            <w:vAlign w:val="center"/>
          </w:tcPr>
          <w:p w14:paraId="21E311F3" w14:textId="71B17932" w:rsidR="00886788" w:rsidRPr="00A751C0" w:rsidRDefault="00B529EF" w:rsidP="00B529EF">
            <w:pPr>
              <w:jc w:val="right"/>
              <w:rPr>
                <w:rFonts w:cs="Calibri"/>
                <w:b/>
                <w:bCs/>
                <w:color w:val="000000" w:themeColor="text1"/>
                <w:sz w:val="13"/>
                <w:szCs w:val="13"/>
              </w:rPr>
            </w:pPr>
            <w:r w:rsidRPr="00A751C0">
              <w:rPr>
                <w:rFonts w:cs="Calibri"/>
                <w:b/>
                <w:bCs/>
                <w:color w:val="000000" w:themeColor="text1"/>
                <w:sz w:val="13"/>
                <w:szCs w:val="13"/>
              </w:rPr>
              <w:t>16 151</w:t>
            </w:r>
            <w:r w:rsidR="00B61C34" w:rsidRPr="00A751C0">
              <w:rPr>
                <w:rFonts w:cs="Calibri"/>
                <w:b/>
                <w:bCs/>
                <w:color w:val="000000" w:themeColor="text1"/>
                <w:sz w:val="13"/>
                <w:szCs w:val="13"/>
              </w:rPr>
              <w:t xml:space="preserve"> </w:t>
            </w:r>
            <w:r w:rsidRPr="00A751C0">
              <w:rPr>
                <w:rFonts w:cs="Calibri"/>
                <w:b/>
                <w:bCs/>
                <w:color w:val="000000" w:themeColor="text1"/>
                <w:sz w:val="13"/>
                <w:szCs w:val="13"/>
              </w:rPr>
              <w:t>303</w:t>
            </w:r>
          </w:p>
        </w:tc>
        <w:tc>
          <w:tcPr>
            <w:tcW w:w="1418" w:type="dxa"/>
            <w:tcBorders>
              <w:top w:val="single" w:sz="4" w:space="0" w:color="0077BD"/>
              <w:left w:val="nil"/>
              <w:bottom w:val="single" w:sz="4" w:space="0" w:color="0077BD"/>
              <w:right w:val="single" w:sz="8" w:space="0" w:color="0077BD"/>
            </w:tcBorders>
            <w:shd w:val="clear" w:color="auto" w:fill="auto"/>
            <w:vAlign w:val="center"/>
            <w:hideMark/>
          </w:tcPr>
          <w:p w14:paraId="1F3463DB" w14:textId="3FA815F3"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15 169 107</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4A725208" w14:textId="45416C3B"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13 964 576</w:t>
            </w:r>
          </w:p>
        </w:tc>
      </w:tr>
      <w:tr w:rsidR="00A751C0" w:rsidRPr="00A751C0" w14:paraId="671798D6" w14:textId="1EC1D15A" w:rsidTr="00BD3DBA">
        <w:trPr>
          <w:trHeight w:val="227"/>
        </w:trPr>
        <w:tc>
          <w:tcPr>
            <w:tcW w:w="4760" w:type="dxa"/>
            <w:tcBorders>
              <w:top w:val="single" w:sz="4" w:space="0" w:color="0077BD"/>
              <w:left w:val="nil"/>
              <w:bottom w:val="single" w:sz="4" w:space="0" w:color="0077BD"/>
              <w:right w:val="single" w:sz="8" w:space="0" w:color="0077BD"/>
            </w:tcBorders>
            <w:shd w:val="clear" w:color="auto" w:fill="auto"/>
            <w:vAlign w:val="center"/>
            <w:hideMark/>
          </w:tcPr>
          <w:p w14:paraId="4A374CC8" w14:textId="77777777" w:rsidR="00886788" w:rsidRPr="00A751C0" w:rsidRDefault="00886788" w:rsidP="00886788">
            <w:pPr>
              <w:rPr>
                <w:rFonts w:cs="Calibri"/>
                <w:b/>
                <w:bCs/>
                <w:color w:val="000000" w:themeColor="text1"/>
                <w:sz w:val="13"/>
                <w:szCs w:val="13"/>
              </w:rPr>
            </w:pPr>
            <w:r w:rsidRPr="00A751C0">
              <w:rPr>
                <w:rFonts w:cs="Calibri"/>
                <w:b/>
                <w:bCs/>
                <w:color w:val="000000" w:themeColor="text1"/>
                <w:sz w:val="13"/>
                <w:szCs w:val="13"/>
              </w:rPr>
              <w:t>Liczba akcji</w:t>
            </w:r>
          </w:p>
        </w:tc>
        <w:tc>
          <w:tcPr>
            <w:tcW w:w="567" w:type="dxa"/>
            <w:tcBorders>
              <w:top w:val="single" w:sz="4" w:space="0" w:color="0077BD"/>
              <w:left w:val="nil"/>
              <w:bottom w:val="single" w:sz="4" w:space="0" w:color="0077BD"/>
              <w:right w:val="single" w:sz="8" w:space="0" w:color="0077BD"/>
            </w:tcBorders>
            <w:shd w:val="clear" w:color="auto" w:fill="auto"/>
            <w:vAlign w:val="center"/>
            <w:hideMark/>
          </w:tcPr>
          <w:p w14:paraId="46896D4C" w14:textId="6594B5BB" w:rsidR="00886788" w:rsidRPr="00A751C0" w:rsidRDefault="00886788" w:rsidP="00886788">
            <w:pPr>
              <w:jc w:val="center"/>
              <w:rPr>
                <w:rFonts w:cs="Calibri"/>
                <w:b/>
                <w:bCs/>
                <w:color w:val="000000" w:themeColor="text1"/>
                <w:sz w:val="13"/>
                <w:szCs w:val="13"/>
              </w:rPr>
            </w:pPr>
            <w:r w:rsidRPr="00A751C0">
              <w:rPr>
                <w:rFonts w:cs="Calibri"/>
                <w:b/>
                <w:bCs/>
                <w:color w:val="000000" w:themeColor="text1"/>
                <w:sz w:val="13"/>
                <w:szCs w:val="13"/>
              </w:rPr>
              <w:t>35</w:t>
            </w:r>
          </w:p>
        </w:tc>
        <w:tc>
          <w:tcPr>
            <w:tcW w:w="1418" w:type="dxa"/>
            <w:tcBorders>
              <w:top w:val="single" w:sz="4" w:space="0" w:color="0077BD"/>
              <w:left w:val="nil"/>
              <w:bottom w:val="single" w:sz="4" w:space="0" w:color="0077BD"/>
              <w:right w:val="single" w:sz="8" w:space="0" w:color="0077BD"/>
            </w:tcBorders>
            <w:shd w:val="clear" w:color="auto" w:fill="auto"/>
            <w:vAlign w:val="center"/>
          </w:tcPr>
          <w:p w14:paraId="2132D1E1" w14:textId="10FFF82B" w:rsidR="00886788" w:rsidRPr="00A751C0" w:rsidRDefault="005F524C" w:rsidP="00886788">
            <w:pPr>
              <w:jc w:val="right"/>
              <w:rPr>
                <w:rFonts w:cs="Calibri"/>
                <w:b/>
                <w:bCs/>
                <w:color w:val="000000" w:themeColor="text1"/>
                <w:sz w:val="13"/>
                <w:szCs w:val="13"/>
              </w:rPr>
            </w:pPr>
            <w:r w:rsidRPr="00A751C0">
              <w:rPr>
                <w:rFonts w:cs="Calibri"/>
                <w:b/>
                <w:bCs/>
                <w:color w:val="000000" w:themeColor="text1"/>
                <w:sz w:val="13"/>
                <w:szCs w:val="13"/>
              </w:rPr>
              <w:t>42 350 367</w:t>
            </w:r>
          </w:p>
        </w:tc>
        <w:tc>
          <w:tcPr>
            <w:tcW w:w="1418" w:type="dxa"/>
            <w:tcBorders>
              <w:top w:val="single" w:sz="4" w:space="0" w:color="0077BD"/>
              <w:left w:val="nil"/>
              <w:bottom w:val="single" w:sz="4" w:space="0" w:color="0077BD"/>
              <w:right w:val="single" w:sz="8" w:space="0" w:color="0077BD"/>
            </w:tcBorders>
            <w:shd w:val="clear" w:color="auto" w:fill="auto"/>
            <w:vAlign w:val="center"/>
            <w:hideMark/>
          </w:tcPr>
          <w:p w14:paraId="35AA7357" w14:textId="77777777"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42 336 982</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0C893860" w14:textId="79E1EBC5"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42 312 122</w:t>
            </w:r>
          </w:p>
        </w:tc>
      </w:tr>
      <w:tr w:rsidR="00A751C0" w:rsidRPr="00A751C0" w14:paraId="050D0D89" w14:textId="074463B7" w:rsidTr="00BD3DBA">
        <w:trPr>
          <w:trHeight w:val="227"/>
        </w:trPr>
        <w:tc>
          <w:tcPr>
            <w:tcW w:w="4760" w:type="dxa"/>
            <w:tcBorders>
              <w:top w:val="single" w:sz="4" w:space="0" w:color="0077BD"/>
              <w:left w:val="nil"/>
              <w:bottom w:val="single" w:sz="8" w:space="0" w:color="0077BD"/>
              <w:right w:val="single" w:sz="8" w:space="0" w:color="0077BD"/>
            </w:tcBorders>
            <w:shd w:val="clear" w:color="auto" w:fill="auto"/>
            <w:vAlign w:val="center"/>
            <w:hideMark/>
          </w:tcPr>
          <w:p w14:paraId="0F4F277B" w14:textId="77777777" w:rsidR="00886788" w:rsidRPr="00A751C0" w:rsidRDefault="00886788" w:rsidP="00886788">
            <w:pPr>
              <w:rPr>
                <w:rFonts w:cs="Calibri"/>
                <w:b/>
                <w:bCs/>
                <w:color w:val="000000" w:themeColor="text1"/>
                <w:sz w:val="13"/>
                <w:szCs w:val="13"/>
              </w:rPr>
            </w:pPr>
            <w:r w:rsidRPr="00A751C0">
              <w:rPr>
                <w:rFonts w:cs="Calibri"/>
                <w:b/>
                <w:bCs/>
                <w:color w:val="000000" w:themeColor="text1"/>
                <w:sz w:val="13"/>
                <w:szCs w:val="13"/>
              </w:rPr>
              <w:t>Wartość księgowa na jedną akcję (w zł)</w:t>
            </w:r>
          </w:p>
        </w:tc>
        <w:tc>
          <w:tcPr>
            <w:tcW w:w="567" w:type="dxa"/>
            <w:tcBorders>
              <w:top w:val="single" w:sz="4" w:space="0" w:color="0077BD"/>
              <w:left w:val="nil"/>
              <w:bottom w:val="single" w:sz="8" w:space="0" w:color="0077BD"/>
              <w:right w:val="single" w:sz="8" w:space="0" w:color="0077BD"/>
            </w:tcBorders>
            <w:shd w:val="clear" w:color="auto" w:fill="auto"/>
            <w:vAlign w:val="center"/>
            <w:hideMark/>
          </w:tcPr>
          <w:p w14:paraId="6AAA5613" w14:textId="24A0786C" w:rsidR="00886788" w:rsidRPr="00A751C0" w:rsidRDefault="00886788" w:rsidP="00886788">
            <w:pPr>
              <w:jc w:val="center"/>
              <w:rPr>
                <w:rFonts w:cs="Calibri"/>
                <w:b/>
                <w:bCs/>
                <w:color w:val="000000" w:themeColor="text1"/>
                <w:sz w:val="13"/>
                <w:szCs w:val="13"/>
              </w:rPr>
            </w:pP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23B5002E" w14:textId="74955527" w:rsidR="00886788" w:rsidRPr="00A751C0" w:rsidRDefault="005F524C" w:rsidP="00886788">
            <w:pPr>
              <w:jc w:val="right"/>
              <w:rPr>
                <w:rFonts w:cs="Calibri"/>
                <w:b/>
                <w:bCs/>
                <w:color w:val="000000" w:themeColor="text1"/>
                <w:sz w:val="13"/>
                <w:szCs w:val="13"/>
              </w:rPr>
            </w:pPr>
            <w:r w:rsidRPr="00A751C0">
              <w:rPr>
                <w:rFonts w:cs="Calibri"/>
                <w:b/>
                <w:bCs/>
                <w:color w:val="000000" w:themeColor="text1"/>
                <w:sz w:val="13"/>
                <w:szCs w:val="13"/>
              </w:rPr>
              <w:t>381,37</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71D4A00D" w14:textId="1A58A86B"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358,29</w:t>
            </w:r>
          </w:p>
        </w:tc>
        <w:tc>
          <w:tcPr>
            <w:tcW w:w="1418" w:type="dxa"/>
            <w:tcBorders>
              <w:top w:val="single" w:sz="4" w:space="0" w:color="0077BD"/>
              <w:left w:val="single" w:sz="8" w:space="0" w:color="0077BD"/>
              <w:bottom w:val="single" w:sz="8" w:space="0" w:color="0077BD"/>
              <w:right w:val="nil"/>
            </w:tcBorders>
            <w:shd w:val="clear" w:color="auto" w:fill="auto"/>
            <w:vAlign w:val="center"/>
          </w:tcPr>
          <w:p w14:paraId="65B216BB" w14:textId="6B1EEAB0" w:rsidR="00886788" w:rsidRPr="00A751C0" w:rsidRDefault="00886788" w:rsidP="00886788">
            <w:pPr>
              <w:jc w:val="right"/>
              <w:rPr>
                <w:rFonts w:cs="Calibri"/>
                <w:b/>
                <w:bCs/>
                <w:color w:val="000000" w:themeColor="text1"/>
                <w:sz w:val="13"/>
                <w:szCs w:val="13"/>
              </w:rPr>
            </w:pPr>
            <w:r w:rsidRPr="00A751C0">
              <w:rPr>
                <w:rFonts w:cs="Calibri"/>
                <w:b/>
                <w:bCs/>
                <w:color w:val="000000" w:themeColor="text1"/>
                <w:sz w:val="13"/>
                <w:szCs w:val="13"/>
              </w:rPr>
              <w:t>330,04</w:t>
            </w:r>
          </w:p>
        </w:tc>
      </w:tr>
    </w:tbl>
    <w:p w14:paraId="485BC71F" w14:textId="02489A92" w:rsidR="00BD7898" w:rsidRPr="00A751C0" w:rsidRDefault="00BD7898" w:rsidP="00AF1416">
      <w:pPr>
        <w:spacing w:before="60"/>
        <w:jc w:val="both"/>
        <w:rPr>
          <w:rFonts w:cs="Tahoma"/>
          <w:color w:val="000000" w:themeColor="text1"/>
          <w:szCs w:val="16"/>
        </w:rPr>
      </w:pPr>
      <w:r w:rsidRPr="002A066F">
        <w:rPr>
          <w:rFonts w:cs="Tahoma"/>
          <w:color w:val="000000" w:themeColor="text1"/>
          <w:szCs w:val="16"/>
        </w:rPr>
        <w:t xml:space="preserve">Noty przedstawione na stronach </w:t>
      </w:r>
      <w:r w:rsidR="001B4802">
        <w:rPr>
          <w:rFonts w:cs="Tahoma"/>
          <w:color w:val="000000" w:themeColor="text1"/>
          <w:szCs w:val="16"/>
        </w:rPr>
        <w:t>10</w:t>
      </w:r>
      <w:r w:rsidR="005A393F">
        <w:rPr>
          <w:rFonts w:cs="Tahoma"/>
          <w:color w:val="000000" w:themeColor="text1"/>
          <w:szCs w:val="16"/>
        </w:rPr>
        <w:t xml:space="preserve"> - 177</w:t>
      </w:r>
      <w:r w:rsidRPr="002A066F">
        <w:rPr>
          <w:rFonts w:cs="Tahoma"/>
          <w:color w:val="000000" w:themeColor="text1"/>
          <w:szCs w:val="16"/>
        </w:rPr>
        <w:t xml:space="preserve"> stanowią integralną część niniejszego skonsolidowanego sprawozdania</w:t>
      </w:r>
      <w:r w:rsidRPr="00A751C0">
        <w:rPr>
          <w:rFonts w:cs="Tahoma"/>
          <w:color w:val="000000" w:themeColor="text1"/>
          <w:szCs w:val="16"/>
        </w:rPr>
        <w:t xml:space="preserve"> finansowego.</w:t>
      </w:r>
    </w:p>
    <w:p w14:paraId="7F6FD3E8" w14:textId="77777777" w:rsidR="00E775D8" w:rsidRPr="00352696" w:rsidRDefault="00E775D8" w:rsidP="00AF1416">
      <w:pPr>
        <w:tabs>
          <w:tab w:val="left" w:pos="1418"/>
        </w:tabs>
        <w:suppressAutoHyphens/>
        <w:spacing w:before="60"/>
        <w:jc w:val="both"/>
        <w:rPr>
          <w:rFonts w:cs="Tahoma"/>
          <w:color w:val="201C17"/>
          <w:sz w:val="18"/>
          <w:szCs w:val="18"/>
        </w:rPr>
        <w:sectPr w:rsidR="00E775D8" w:rsidRPr="00352696" w:rsidSect="00B15105">
          <w:headerReference w:type="even" r:id="rId13"/>
          <w:headerReference w:type="default" r:id="rId14"/>
          <w:footerReference w:type="even" r:id="rId15"/>
          <w:footerReference w:type="default" r:id="rId16"/>
          <w:headerReference w:type="first" r:id="rId17"/>
          <w:footerReference w:type="first" r:id="rId18"/>
          <w:footnotePr>
            <w:numFmt w:val="lowerLetter"/>
          </w:footnotePr>
          <w:pgSz w:w="11906" w:h="16838" w:code="9"/>
          <w:pgMar w:top="1559" w:right="1134" w:bottom="992" w:left="1191" w:header="794" w:footer="454" w:gutter="0"/>
          <w:cols w:space="708"/>
          <w:titlePg/>
          <w:docGrid w:linePitch="326"/>
        </w:sectPr>
      </w:pPr>
    </w:p>
    <w:p w14:paraId="0021608C" w14:textId="77777777" w:rsidR="000F4BEE" w:rsidRPr="00795599" w:rsidRDefault="000F4BEE" w:rsidP="00A82642">
      <w:pPr>
        <w:pStyle w:val="Nagwek2"/>
        <w:numPr>
          <w:ilvl w:val="0"/>
          <w:numId w:val="0"/>
        </w:numPr>
        <w:spacing w:before="0" w:after="0"/>
        <w:jc w:val="both"/>
      </w:pPr>
      <w:bookmarkStart w:id="7" w:name="_Toc32999784"/>
      <w:r w:rsidRPr="00795599">
        <w:lastRenderedPageBreak/>
        <w:t>Skonsolidowane sprawozdanie ze zmian w kapitale własnym</w:t>
      </w:r>
      <w:bookmarkEnd w:id="7"/>
    </w:p>
    <w:p w14:paraId="55CAF911" w14:textId="3BC97F68" w:rsidR="009E4006" w:rsidRPr="00795599" w:rsidRDefault="009E4006" w:rsidP="00A35B03">
      <w:pPr>
        <w:spacing w:before="120" w:after="120"/>
        <w:jc w:val="both"/>
        <w:rPr>
          <w:sz w:val="18"/>
          <w:szCs w:val="18"/>
        </w:rPr>
      </w:pPr>
      <w:r w:rsidRPr="00795599">
        <w:rPr>
          <w:sz w:val="18"/>
          <w:szCs w:val="18"/>
        </w:rPr>
        <w:t xml:space="preserve">Zmiany w okresie od 1 stycznia </w:t>
      </w:r>
      <w:r w:rsidR="00697827" w:rsidRPr="00795599">
        <w:rPr>
          <w:sz w:val="18"/>
          <w:szCs w:val="18"/>
        </w:rPr>
        <w:t>do 31 grudnia 2019</w:t>
      </w:r>
      <w:r w:rsidRPr="00795599">
        <w:rPr>
          <w:sz w:val="18"/>
          <w:szCs w:val="18"/>
        </w:rPr>
        <w:t xml:space="preserve"> roku</w:t>
      </w:r>
    </w:p>
    <w:tbl>
      <w:tblPr>
        <w:tblW w:w="0" w:type="auto"/>
        <w:tblLayout w:type="fixed"/>
        <w:tblCellMar>
          <w:left w:w="0" w:type="dxa"/>
          <w:right w:w="0" w:type="dxa"/>
        </w:tblCellMar>
        <w:tblLook w:val="04A0" w:firstRow="1" w:lastRow="0" w:firstColumn="1" w:lastColumn="0" w:noHBand="0" w:noVBand="1"/>
      </w:tblPr>
      <w:tblGrid>
        <w:gridCol w:w="1701"/>
        <w:gridCol w:w="851"/>
        <w:gridCol w:w="850"/>
        <w:gridCol w:w="851"/>
        <w:gridCol w:w="850"/>
        <w:gridCol w:w="851"/>
        <w:gridCol w:w="850"/>
        <w:gridCol w:w="851"/>
        <w:gridCol w:w="850"/>
        <w:gridCol w:w="1134"/>
        <w:gridCol w:w="993"/>
        <w:gridCol w:w="992"/>
        <w:gridCol w:w="992"/>
        <w:gridCol w:w="992"/>
        <w:gridCol w:w="905"/>
      </w:tblGrid>
      <w:tr w:rsidR="00947046" w:rsidRPr="00A35B03" w14:paraId="6136319B" w14:textId="77777777" w:rsidTr="00CB1FE1">
        <w:trPr>
          <w:trHeight w:val="255"/>
        </w:trPr>
        <w:tc>
          <w:tcPr>
            <w:tcW w:w="1701" w:type="dxa"/>
            <w:vMerge w:val="restart"/>
            <w:tcBorders>
              <w:top w:val="nil"/>
              <w:left w:val="nil"/>
              <w:bottom w:val="single" w:sz="6" w:space="0" w:color="FFFFFF" w:themeColor="background1"/>
              <w:right w:val="single" w:sz="6" w:space="0" w:color="FFFFFF" w:themeColor="background1"/>
            </w:tcBorders>
            <w:shd w:val="clear" w:color="000000" w:fill="0077BD"/>
            <w:vAlign w:val="center"/>
            <w:hideMark/>
          </w:tcPr>
          <w:p w14:paraId="4E2C5052" w14:textId="77777777" w:rsidR="00947046" w:rsidRPr="00A35B03" w:rsidRDefault="00947046" w:rsidP="00947046">
            <w:pPr>
              <w:rPr>
                <w:rFonts w:cs="Calibri"/>
                <w:b/>
                <w:bCs/>
                <w:color w:val="FFFFFF"/>
                <w:sz w:val="10"/>
                <w:szCs w:val="10"/>
              </w:rPr>
            </w:pPr>
          </w:p>
        </w:tc>
        <w:tc>
          <w:tcPr>
            <w:tcW w:w="1701" w:type="dxa"/>
            <w:gridSpan w:val="2"/>
            <w:tcBorders>
              <w:top w:val="nil"/>
              <w:left w:val="single" w:sz="6" w:space="0" w:color="FFFFFF" w:themeColor="background1"/>
              <w:bottom w:val="single" w:sz="6" w:space="0" w:color="FFFFFF" w:themeColor="background1"/>
              <w:right w:val="single" w:sz="4" w:space="0" w:color="FFFFFF"/>
            </w:tcBorders>
            <w:shd w:val="clear" w:color="000000" w:fill="0077BD"/>
            <w:vAlign w:val="center"/>
            <w:hideMark/>
          </w:tcPr>
          <w:p w14:paraId="15124A2F"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 podstawowy</w:t>
            </w:r>
          </w:p>
        </w:tc>
        <w:tc>
          <w:tcPr>
            <w:tcW w:w="4253" w:type="dxa"/>
            <w:gridSpan w:val="5"/>
            <w:tcBorders>
              <w:top w:val="nil"/>
              <w:left w:val="single" w:sz="4" w:space="0" w:color="FFFFFF"/>
              <w:bottom w:val="single" w:sz="6" w:space="0" w:color="FFFFFF" w:themeColor="background1"/>
              <w:right w:val="single" w:sz="6" w:space="0" w:color="FFFFFF" w:themeColor="background1"/>
            </w:tcBorders>
            <w:shd w:val="clear" w:color="000000" w:fill="0077BD"/>
            <w:noWrap/>
            <w:vAlign w:val="center"/>
            <w:hideMark/>
          </w:tcPr>
          <w:p w14:paraId="79B4B23B"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Zyski zatrzymane</w:t>
            </w:r>
          </w:p>
        </w:tc>
        <w:tc>
          <w:tcPr>
            <w:tcW w:w="3969" w:type="dxa"/>
            <w:gridSpan w:val="4"/>
            <w:tcBorders>
              <w:top w:val="nil"/>
              <w:left w:val="single" w:sz="6" w:space="0" w:color="FFFFFF" w:themeColor="background1"/>
              <w:bottom w:val="single" w:sz="6" w:space="0" w:color="FFFFFF" w:themeColor="background1"/>
              <w:right w:val="nil"/>
            </w:tcBorders>
            <w:shd w:val="clear" w:color="000000" w:fill="0077BD"/>
            <w:vAlign w:val="center"/>
            <w:hideMark/>
          </w:tcPr>
          <w:p w14:paraId="24267460"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Inne pozycje kapitału własnego</w:t>
            </w:r>
          </w:p>
        </w:tc>
        <w:tc>
          <w:tcPr>
            <w:tcW w:w="992" w:type="dxa"/>
            <w:vMerge w:val="restart"/>
            <w:tcBorders>
              <w:top w:val="nil"/>
              <w:left w:val="single" w:sz="8" w:space="0" w:color="FFFFFF"/>
              <w:bottom w:val="single" w:sz="8" w:space="0" w:color="0077BD"/>
              <w:right w:val="nil"/>
            </w:tcBorders>
            <w:shd w:val="clear" w:color="000000" w:fill="0077BD"/>
            <w:vAlign w:val="center"/>
            <w:hideMark/>
          </w:tcPr>
          <w:p w14:paraId="724B52ED"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Kapitały przypadające na akcjonariuszy mBanku S.A.</w:t>
            </w:r>
          </w:p>
        </w:tc>
        <w:tc>
          <w:tcPr>
            <w:tcW w:w="992" w:type="dxa"/>
            <w:vMerge w:val="restart"/>
            <w:tcBorders>
              <w:top w:val="nil"/>
              <w:left w:val="single" w:sz="8" w:space="0" w:color="FFFFFF"/>
              <w:bottom w:val="single" w:sz="8" w:space="0" w:color="0077BD"/>
              <w:right w:val="single" w:sz="8" w:space="0" w:color="FFFFFF"/>
            </w:tcBorders>
            <w:shd w:val="clear" w:color="000000" w:fill="0077BD"/>
            <w:vAlign w:val="center"/>
            <w:hideMark/>
          </w:tcPr>
          <w:p w14:paraId="4EB935F3"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Udziały niekontrolujące</w:t>
            </w:r>
          </w:p>
        </w:tc>
        <w:tc>
          <w:tcPr>
            <w:tcW w:w="905" w:type="dxa"/>
            <w:vMerge w:val="restart"/>
            <w:tcBorders>
              <w:top w:val="nil"/>
              <w:left w:val="nil"/>
              <w:bottom w:val="single" w:sz="4" w:space="0" w:color="0077BD"/>
              <w:right w:val="nil"/>
            </w:tcBorders>
            <w:shd w:val="clear" w:color="000000" w:fill="0077BD"/>
            <w:vAlign w:val="center"/>
            <w:hideMark/>
          </w:tcPr>
          <w:p w14:paraId="32577BD4"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Razem</w:t>
            </w:r>
          </w:p>
        </w:tc>
      </w:tr>
      <w:tr w:rsidR="00947046" w:rsidRPr="00A35B03" w14:paraId="3B2AFEFB" w14:textId="77777777" w:rsidTr="00CB1FE1">
        <w:trPr>
          <w:trHeight w:val="794"/>
        </w:trPr>
        <w:tc>
          <w:tcPr>
            <w:tcW w:w="1701" w:type="dxa"/>
            <w:vMerge/>
            <w:tcBorders>
              <w:top w:val="single" w:sz="6" w:space="0" w:color="FFFFFF" w:themeColor="background1"/>
              <w:left w:val="nil"/>
              <w:right w:val="single" w:sz="6" w:space="0" w:color="FFFFFF" w:themeColor="background1"/>
            </w:tcBorders>
            <w:shd w:val="clear" w:color="000000" w:fill="0077BD"/>
            <w:vAlign w:val="center"/>
            <w:hideMark/>
          </w:tcPr>
          <w:p w14:paraId="7719ECFC" w14:textId="77777777" w:rsidR="00947046" w:rsidRPr="00A35B03" w:rsidRDefault="00947046" w:rsidP="00947046">
            <w:pPr>
              <w:rPr>
                <w:rFonts w:cs="Calibri"/>
                <w:b/>
                <w:bCs/>
                <w:color w:val="FFFFFF"/>
                <w:sz w:val="10"/>
                <w:szCs w:val="10"/>
              </w:rPr>
            </w:pPr>
          </w:p>
        </w:tc>
        <w:tc>
          <w:tcPr>
            <w:tcW w:w="851" w:type="dxa"/>
            <w:tcBorders>
              <w:top w:val="single" w:sz="6" w:space="0" w:color="FFFFFF" w:themeColor="background1"/>
              <w:left w:val="single" w:sz="6" w:space="0" w:color="FFFFFF" w:themeColor="background1"/>
              <w:bottom w:val="single" w:sz="4" w:space="0" w:color="0077BD"/>
              <w:right w:val="single" w:sz="8" w:space="0" w:color="FFFFFF"/>
            </w:tcBorders>
            <w:shd w:val="clear" w:color="000000" w:fill="0077BD"/>
            <w:vAlign w:val="center"/>
            <w:hideMark/>
          </w:tcPr>
          <w:p w14:paraId="38A56C0B"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Zarejestrowany kapitał akcyjny</w:t>
            </w:r>
          </w:p>
        </w:tc>
        <w:tc>
          <w:tcPr>
            <w:tcW w:w="850" w:type="dxa"/>
            <w:tcBorders>
              <w:top w:val="nil"/>
              <w:left w:val="single" w:sz="8" w:space="0" w:color="FFFFFF"/>
              <w:bottom w:val="single" w:sz="4" w:space="0" w:color="0077BD"/>
              <w:right w:val="single" w:sz="6" w:space="0" w:color="FFFFFF" w:themeColor="background1"/>
            </w:tcBorders>
            <w:shd w:val="clear" w:color="000000" w:fill="0077BD"/>
            <w:vAlign w:val="center"/>
            <w:hideMark/>
          </w:tcPr>
          <w:p w14:paraId="3D2EBC6F"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 zapasowy ze sprzedaży akcji powyżej wartości nominalnej</w:t>
            </w:r>
          </w:p>
        </w:tc>
        <w:tc>
          <w:tcPr>
            <w:tcW w:w="851" w:type="dxa"/>
            <w:tcBorders>
              <w:top w:val="single" w:sz="6" w:space="0" w:color="FFFFFF" w:themeColor="background1"/>
              <w:left w:val="single" w:sz="6" w:space="0" w:color="FFFFFF" w:themeColor="background1"/>
              <w:bottom w:val="single" w:sz="4" w:space="0" w:color="0077BD"/>
              <w:right w:val="single" w:sz="6" w:space="0" w:color="FFFFFF" w:themeColor="background1"/>
            </w:tcBorders>
            <w:shd w:val="clear" w:color="000000" w:fill="0077BD"/>
            <w:vAlign w:val="center"/>
            <w:hideMark/>
          </w:tcPr>
          <w:p w14:paraId="44FFD161"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Pozostały</w:t>
            </w:r>
            <w:r w:rsidRPr="00A35B03">
              <w:rPr>
                <w:rFonts w:cs="Calibri"/>
                <w:b/>
                <w:bCs/>
                <w:color w:val="FFFFFF"/>
                <w:sz w:val="9"/>
                <w:szCs w:val="9"/>
              </w:rPr>
              <w:br/>
              <w:t>kapitał</w:t>
            </w:r>
            <w:r w:rsidRPr="00A35B03">
              <w:rPr>
                <w:rFonts w:cs="Calibri"/>
                <w:b/>
                <w:bCs/>
                <w:color w:val="FFFFFF"/>
                <w:sz w:val="9"/>
                <w:szCs w:val="9"/>
              </w:rPr>
              <w:br/>
              <w:t>zapasowy</w:t>
            </w:r>
          </w:p>
        </w:tc>
        <w:tc>
          <w:tcPr>
            <w:tcW w:w="850" w:type="dxa"/>
            <w:tcBorders>
              <w:top w:val="single" w:sz="6" w:space="0" w:color="FFFFFF" w:themeColor="background1"/>
              <w:left w:val="single" w:sz="6" w:space="0" w:color="FFFFFF" w:themeColor="background1"/>
              <w:bottom w:val="single" w:sz="4" w:space="0" w:color="0077BD"/>
              <w:right w:val="single" w:sz="6" w:space="0" w:color="FFFFFF" w:themeColor="background1"/>
            </w:tcBorders>
            <w:shd w:val="clear" w:color="000000" w:fill="0077BD"/>
            <w:vAlign w:val="center"/>
            <w:hideMark/>
          </w:tcPr>
          <w:p w14:paraId="25105506"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Pozostałe</w:t>
            </w:r>
            <w:r w:rsidRPr="00A35B03">
              <w:rPr>
                <w:rFonts w:cs="Calibri"/>
                <w:b/>
                <w:bCs/>
                <w:color w:val="FFFFFF"/>
                <w:sz w:val="9"/>
                <w:szCs w:val="9"/>
              </w:rPr>
              <w:br/>
              <w:t>kapitały</w:t>
            </w:r>
            <w:r w:rsidRPr="00A35B03">
              <w:rPr>
                <w:rFonts w:cs="Calibri"/>
                <w:b/>
                <w:bCs/>
                <w:color w:val="FFFFFF"/>
                <w:sz w:val="9"/>
                <w:szCs w:val="9"/>
              </w:rPr>
              <w:br/>
              <w:t>rezerwowe</w:t>
            </w:r>
          </w:p>
        </w:tc>
        <w:tc>
          <w:tcPr>
            <w:tcW w:w="851" w:type="dxa"/>
            <w:tcBorders>
              <w:top w:val="single" w:sz="6" w:space="0" w:color="FFFFFF" w:themeColor="background1"/>
              <w:left w:val="single" w:sz="6" w:space="0" w:color="FFFFFF" w:themeColor="background1"/>
              <w:bottom w:val="single" w:sz="4" w:space="0" w:color="0077BD"/>
              <w:right w:val="single" w:sz="8" w:space="0" w:color="FFFFFF"/>
            </w:tcBorders>
            <w:shd w:val="clear" w:color="000000" w:fill="0077BD"/>
            <w:vAlign w:val="center"/>
            <w:hideMark/>
          </w:tcPr>
          <w:p w14:paraId="7E9A9866"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Fundusz ogólnego ryzyka</w:t>
            </w:r>
          </w:p>
        </w:tc>
        <w:tc>
          <w:tcPr>
            <w:tcW w:w="850" w:type="dxa"/>
            <w:tcBorders>
              <w:top w:val="single" w:sz="6" w:space="0" w:color="FFFFFF" w:themeColor="background1"/>
              <w:left w:val="single" w:sz="8" w:space="0" w:color="FFFFFF"/>
              <w:bottom w:val="single" w:sz="4" w:space="0" w:color="0077BD"/>
              <w:right w:val="single" w:sz="6" w:space="0" w:color="FFFFFF" w:themeColor="background1"/>
            </w:tcBorders>
            <w:shd w:val="clear" w:color="000000" w:fill="0077BD"/>
            <w:vAlign w:val="center"/>
            <w:hideMark/>
          </w:tcPr>
          <w:p w14:paraId="0BD57D5D"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Niepodzielony wynik finansowy z lat ubiegłych</w:t>
            </w:r>
          </w:p>
        </w:tc>
        <w:tc>
          <w:tcPr>
            <w:tcW w:w="851" w:type="dxa"/>
            <w:tcBorders>
              <w:top w:val="single" w:sz="6" w:space="0" w:color="FFFFFF" w:themeColor="background1"/>
              <w:left w:val="single" w:sz="6" w:space="0" w:color="FFFFFF" w:themeColor="background1"/>
              <w:bottom w:val="single" w:sz="4" w:space="0" w:color="0077BD"/>
              <w:right w:val="nil"/>
            </w:tcBorders>
            <w:shd w:val="clear" w:color="000000" w:fill="0077BD"/>
            <w:vAlign w:val="center"/>
            <w:hideMark/>
          </w:tcPr>
          <w:p w14:paraId="18371973"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Wynik roku bieżącego przypadający na akcjonariuszy mBanku S.A.</w:t>
            </w:r>
          </w:p>
        </w:tc>
        <w:tc>
          <w:tcPr>
            <w:tcW w:w="850" w:type="dxa"/>
            <w:tcBorders>
              <w:top w:val="single" w:sz="6" w:space="0" w:color="FFFFFF" w:themeColor="background1"/>
              <w:left w:val="single" w:sz="8" w:space="0" w:color="FFFFFF"/>
              <w:bottom w:val="single" w:sz="4" w:space="0" w:color="0077BD"/>
              <w:right w:val="single" w:sz="8" w:space="0" w:color="FFFFFF"/>
            </w:tcBorders>
            <w:shd w:val="clear" w:color="000000" w:fill="0077BD"/>
            <w:vAlign w:val="center"/>
            <w:hideMark/>
          </w:tcPr>
          <w:p w14:paraId="14D82141"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Różnice kursowe z przeliczenia jednostek zagranicznych</w:t>
            </w:r>
          </w:p>
        </w:tc>
        <w:tc>
          <w:tcPr>
            <w:tcW w:w="1134" w:type="dxa"/>
            <w:tcBorders>
              <w:top w:val="single" w:sz="6" w:space="0" w:color="FFFFFF" w:themeColor="background1"/>
              <w:left w:val="single" w:sz="8" w:space="0" w:color="FFFFFF"/>
              <w:bottom w:val="single" w:sz="4" w:space="0" w:color="0077BD"/>
              <w:right w:val="single" w:sz="8" w:space="0" w:color="FFFFFF"/>
            </w:tcBorders>
            <w:shd w:val="clear" w:color="000000" w:fill="0077BD"/>
            <w:vAlign w:val="center"/>
            <w:hideMark/>
          </w:tcPr>
          <w:p w14:paraId="4280713C"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Wycena aktywów finansowych wycenianych w wartości godziwej przez pozostałe całkowite dochody</w:t>
            </w:r>
          </w:p>
        </w:tc>
        <w:tc>
          <w:tcPr>
            <w:tcW w:w="993" w:type="dxa"/>
            <w:tcBorders>
              <w:top w:val="single" w:sz="6" w:space="0" w:color="FFFFFF" w:themeColor="background1"/>
              <w:left w:val="single" w:sz="8" w:space="0" w:color="FFFFFF"/>
              <w:bottom w:val="single" w:sz="4" w:space="0" w:color="0077BD"/>
              <w:right w:val="single" w:sz="8" w:space="0" w:color="FFFFFF"/>
            </w:tcBorders>
            <w:shd w:val="clear" w:color="000000" w:fill="0077BD"/>
            <w:vAlign w:val="center"/>
            <w:hideMark/>
          </w:tcPr>
          <w:p w14:paraId="5484F498"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Zabezpieczenia przepływów pieniężnych</w:t>
            </w:r>
          </w:p>
        </w:tc>
        <w:tc>
          <w:tcPr>
            <w:tcW w:w="992" w:type="dxa"/>
            <w:tcBorders>
              <w:top w:val="single" w:sz="6" w:space="0" w:color="FFFFFF" w:themeColor="background1"/>
              <w:left w:val="single" w:sz="8" w:space="0" w:color="FFFFFF"/>
              <w:bottom w:val="single" w:sz="4" w:space="0" w:color="0077BD"/>
              <w:right w:val="single" w:sz="8" w:space="0" w:color="FFFFFF"/>
            </w:tcBorders>
            <w:shd w:val="clear" w:color="000000" w:fill="0077BD"/>
            <w:vAlign w:val="center"/>
            <w:hideMark/>
          </w:tcPr>
          <w:p w14:paraId="0BA85758"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Zyski i straty aktuarialne dotyczące świadczeń pracowniczych po okresie zatrudnienia</w:t>
            </w:r>
          </w:p>
        </w:tc>
        <w:tc>
          <w:tcPr>
            <w:tcW w:w="992" w:type="dxa"/>
            <w:vMerge/>
            <w:tcBorders>
              <w:top w:val="nil"/>
              <w:left w:val="single" w:sz="8" w:space="0" w:color="FFFFFF"/>
              <w:right w:val="nil"/>
            </w:tcBorders>
            <w:vAlign w:val="center"/>
            <w:hideMark/>
          </w:tcPr>
          <w:p w14:paraId="542B8291" w14:textId="77777777" w:rsidR="00947046" w:rsidRPr="00A35B03" w:rsidRDefault="00947046" w:rsidP="00947046">
            <w:pPr>
              <w:rPr>
                <w:rFonts w:cs="Calibri"/>
                <w:b/>
                <w:bCs/>
                <w:color w:val="FFFFFF"/>
                <w:sz w:val="10"/>
                <w:szCs w:val="10"/>
              </w:rPr>
            </w:pPr>
          </w:p>
        </w:tc>
        <w:tc>
          <w:tcPr>
            <w:tcW w:w="992" w:type="dxa"/>
            <w:vMerge/>
            <w:tcBorders>
              <w:top w:val="nil"/>
              <w:left w:val="single" w:sz="8" w:space="0" w:color="FFFFFF"/>
              <w:right w:val="single" w:sz="8" w:space="0" w:color="FFFFFF"/>
            </w:tcBorders>
            <w:vAlign w:val="center"/>
            <w:hideMark/>
          </w:tcPr>
          <w:p w14:paraId="243CC5FA" w14:textId="77777777" w:rsidR="00947046" w:rsidRPr="00A35B03" w:rsidRDefault="00947046" w:rsidP="00947046">
            <w:pPr>
              <w:rPr>
                <w:rFonts w:cs="Calibri"/>
                <w:b/>
                <w:bCs/>
                <w:color w:val="FFFFFF"/>
                <w:sz w:val="10"/>
                <w:szCs w:val="10"/>
              </w:rPr>
            </w:pPr>
          </w:p>
        </w:tc>
        <w:tc>
          <w:tcPr>
            <w:tcW w:w="905" w:type="dxa"/>
            <w:vMerge/>
            <w:tcBorders>
              <w:top w:val="nil"/>
              <w:left w:val="nil"/>
              <w:bottom w:val="single" w:sz="4" w:space="0" w:color="0077BD"/>
              <w:right w:val="nil"/>
            </w:tcBorders>
            <w:vAlign w:val="center"/>
            <w:hideMark/>
          </w:tcPr>
          <w:p w14:paraId="4A83BE5E" w14:textId="77777777" w:rsidR="00947046" w:rsidRPr="00A35B03" w:rsidRDefault="00947046" w:rsidP="00947046">
            <w:pPr>
              <w:rPr>
                <w:rFonts w:cs="Calibri"/>
                <w:b/>
                <w:bCs/>
                <w:color w:val="FFFFFF"/>
                <w:sz w:val="10"/>
                <w:szCs w:val="10"/>
              </w:rPr>
            </w:pPr>
          </w:p>
        </w:tc>
      </w:tr>
      <w:tr w:rsidR="00A751C0" w:rsidRPr="00A751C0" w14:paraId="1B4FF1E4" w14:textId="77777777" w:rsidTr="00CB1FE1">
        <w:trPr>
          <w:trHeight w:val="198"/>
        </w:trPr>
        <w:tc>
          <w:tcPr>
            <w:tcW w:w="1701" w:type="dxa"/>
            <w:tcBorders>
              <w:left w:val="nil"/>
              <w:bottom w:val="single" w:sz="8" w:space="0" w:color="0077BD"/>
              <w:right w:val="single" w:sz="8" w:space="0" w:color="0077BD"/>
            </w:tcBorders>
            <w:shd w:val="clear" w:color="auto" w:fill="auto"/>
            <w:vAlign w:val="center"/>
            <w:hideMark/>
          </w:tcPr>
          <w:p w14:paraId="7B84AD0F" w14:textId="74F99E99" w:rsidR="00751909" w:rsidRPr="00437E6D" w:rsidRDefault="00751909" w:rsidP="00751909">
            <w:pPr>
              <w:rPr>
                <w:rFonts w:cs="Calibri"/>
                <w:b/>
                <w:bCs/>
                <w:color w:val="000000" w:themeColor="text1"/>
                <w:sz w:val="10"/>
                <w:szCs w:val="10"/>
              </w:rPr>
            </w:pPr>
            <w:r w:rsidRPr="00437E6D">
              <w:rPr>
                <w:rFonts w:cs="Calibri"/>
                <w:b/>
                <w:bCs/>
                <w:color w:val="000000" w:themeColor="text1"/>
                <w:sz w:val="10"/>
                <w:szCs w:val="10"/>
              </w:rPr>
              <w:t xml:space="preserve">Stan na 1 stycznia 2019 r. </w:t>
            </w:r>
          </w:p>
        </w:tc>
        <w:tc>
          <w:tcPr>
            <w:tcW w:w="85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BF01C66" w14:textId="2671FD39"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169 348</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357E49F3" w14:textId="7E0C3C29"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3 405 338</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48E7C166" w14:textId="366CE389"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9 826 282</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7DF342E3" w14:textId="0A61D55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93 448</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785A00B0" w14:textId="66413008"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1 153 753</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2FD95474" w14:textId="6DDC982B"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306 100</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3F89AB00" w14:textId="42C68DBA"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1F71F612" w14:textId="5637E5D2"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(5 467)</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71F9C68F" w14:textId="39788D8B"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145 978</w:t>
            </w:r>
          </w:p>
        </w:tc>
        <w:tc>
          <w:tcPr>
            <w:tcW w:w="993" w:type="dxa"/>
            <w:tcBorders>
              <w:top w:val="single" w:sz="4" w:space="0" w:color="0077BD"/>
              <w:left w:val="nil"/>
              <w:bottom w:val="single" w:sz="4" w:space="0" w:color="0077BD"/>
              <w:right w:val="single" w:sz="8" w:space="0" w:color="0077BD"/>
            </w:tcBorders>
            <w:shd w:val="clear" w:color="auto" w:fill="auto"/>
            <w:vAlign w:val="center"/>
          </w:tcPr>
          <w:p w14:paraId="16435ABB" w14:textId="60DAE8AF"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83 643</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30FC784C" w14:textId="491D5D96"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(9 316)</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609FD692" w14:textId="069C1F6F"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15 169 107</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6EF78C82" w14:textId="2E6E93EE"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2 100</w:t>
            </w:r>
          </w:p>
        </w:tc>
        <w:tc>
          <w:tcPr>
            <w:tcW w:w="905" w:type="dxa"/>
            <w:tcBorders>
              <w:top w:val="single" w:sz="4" w:space="0" w:color="0077BD"/>
              <w:left w:val="nil"/>
              <w:bottom w:val="single" w:sz="4" w:space="0" w:color="0077BD"/>
              <w:right w:val="nil"/>
            </w:tcBorders>
            <w:shd w:val="clear" w:color="auto" w:fill="auto"/>
            <w:vAlign w:val="center"/>
          </w:tcPr>
          <w:p w14:paraId="29D63F87" w14:textId="632DEA8D"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15 171 207</w:t>
            </w:r>
          </w:p>
        </w:tc>
      </w:tr>
      <w:tr w:rsidR="00A751C0" w:rsidRPr="00A751C0" w14:paraId="76059AFC" w14:textId="77777777" w:rsidTr="00C75F2D">
        <w:trPr>
          <w:trHeight w:val="198"/>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19C7C348" w14:textId="77777777" w:rsidR="00751909" w:rsidRPr="00437E6D" w:rsidRDefault="00751909" w:rsidP="00751909">
            <w:pPr>
              <w:rPr>
                <w:rFonts w:cs="Calibri"/>
                <w:b/>
                <w:bCs/>
                <w:color w:val="000000" w:themeColor="text1"/>
                <w:sz w:val="10"/>
                <w:szCs w:val="10"/>
              </w:rPr>
            </w:pPr>
            <w:r w:rsidRPr="00437E6D">
              <w:rPr>
                <w:rFonts w:cs="Calibri"/>
                <w:b/>
                <w:bCs/>
                <w:color w:val="000000" w:themeColor="text1"/>
                <w:sz w:val="10"/>
                <w:szCs w:val="10"/>
              </w:rPr>
              <w:t>Dochody całkowite razem</w:t>
            </w:r>
          </w:p>
        </w:tc>
        <w:tc>
          <w:tcPr>
            <w:tcW w:w="85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F9B4F9D" w14:textId="0BC246EB"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244A0531" w14:textId="37276A28"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46B5E365" w14:textId="7E2050A0"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4AE1752E" w14:textId="38C210FF"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4659373C" w14:textId="0812DEAE"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67A8C43F" w14:textId="56F57D18"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507DA1B7" w14:textId="0E5D164A"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1 010</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350</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7EB1DAD8" w14:textId="2B51691E"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32</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082589DB" w14:textId="6D3A777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(71 657)</w:t>
            </w:r>
          </w:p>
        </w:tc>
        <w:tc>
          <w:tcPr>
            <w:tcW w:w="993" w:type="dxa"/>
            <w:tcBorders>
              <w:top w:val="single" w:sz="8" w:space="0" w:color="0077BD"/>
              <w:left w:val="nil"/>
              <w:bottom w:val="single" w:sz="8" w:space="0" w:color="0077BD"/>
              <w:right w:val="single" w:sz="8" w:space="0" w:color="0077BD"/>
            </w:tcBorders>
            <w:shd w:val="clear" w:color="auto" w:fill="auto"/>
            <w:vAlign w:val="center"/>
          </w:tcPr>
          <w:p w14:paraId="232653ED" w14:textId="7705183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35 499</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106E7BE0" w14:textId="197E109B"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(2 002)</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7992EC81" w14:textId="62596B0B"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972</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222</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1488108B" w14:textId="539509A7"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(98)</w:t>
            </w:r>
          </w:p>
        </w:tc>
        <w:tc>
          <w:tcPr>
            <w:tcW w:w="905" w:type="dxa"/>
            <w:tcBorders>
              <w:top w:val="single" w:sz="8" w:space="0" w:color="0077BD"/>
              <w:left w:val="nil"/>
              <w:bottom w:val="single" w:sz="8" w:space="0" w:color="0077BD"/>
              <w:right w:val="nil"/>
            </w:tcBorders>
            <w:shd w:val="clear" w:color="auto" w:fill="auto"/>
            <w:vAlign w:val="center"/>
          </w:tcPr>
          <w:p w14:paraId="42EF6BC1" w14:textId="51817AF0"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972</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124</w:t>
            </w:r>
          </w:p>
        </w:tc>
      </w:tr>
      <w:tr w:rsidR="00A751C0" w:rsidRPr="00A751C0" w14:paraId="5625D85A" w14:textId="77777777" w:rsidTr="00552529">
        <w:trPr>
          <w:trHeight w:val="198"/>
        </w:trPr>
        <w:tc>
          <w:tcPr>
            <w:tcW w:w="1701" w:type="dxa"/>
            <w:tcBorders>
              <w:top w:val="single" w:sz="4" w:space="0" w:color="0077BD"/>
              <w:left w:val="nil"/>
              <w:bottom w:val="single" w:sz="4" w:space="0" w:color="0077BD"/>
              <w:right w:val="single" w:sz="8" w:space="0" w:color="0077BD"/>
            </w:tcBorders>
            <w:shd w:val="clear" w:color="auto" w:fill="auto"/>
            <w:vAlign w:val="center"/>
            <w:hideMark/>
          </w:tcPr>
          <w:p w14:paraId="5017A783" w14:textId="77777777" w:rsidR="00751909" w:rsidRPr="00437E6D" w:rsidRDefault="00751909" w:rsidP="00751909">
            <w:pPr>
              <w:rPr>
                <w:rFonts w:cs="Calibri"/>
                <w:color w:val="000000" w:themeColor="text1"/>
                <w:sz w:val="10"/>
                <w:szCs w:val="10"/>
              </w:rPr>
            </w:pPr>
            <w:r w:rsidRPr="00437E6D">
              <w:rPr>
                <w:rFonts w:cs="Calibri"/>
                <w:color w:val="000000" w:themeColor="text1"/>
                <w:sz w:val="10"/>
                <w:szCs w:val="10"/>
              </w:rPr>
              <w:t>Emisja akcji zwykłych</w:t>
            </w:r>
          </w:p>
        </w:tc>
        <w:tc>
          <w:tcPr>
            <w:tcW w:w="85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6823112" w14:textId="79A2D1AA"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53</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3BA14945" w14:textId="7652708C"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3584ABB7" w14:textId="53B4AC8F"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3DBC688B" w14:textId="554CD3F9"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000366E7" w14:textId="7F6CD21E"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1D8F6D8F" w14:textId="0CC5C0DD"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226ABEED" w14:textId="19848A6C"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742B3F55" w14:textId="0CBF0430"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3A298F09" w14:textId="17106CB2"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single" w:sz="4" w:space="0" w:color="0077BD"/>
              <w:left w:val="nil"/>
              <w:bottom w:val="single" w:sz="4" w:space="0" w:color="0077BD"/>
              <w:right w:val="single" w:sz="8" w:space="0" w:color="0077BD"/>
            </w:tcBorders>
            <w:shd w:val="clear" w:color="auto" w:fill="auto"/>
            <w:vAlign w:val="center"/>
          </w:tcPr>
          <w:p w14:paraId="676124C2" w14:textId="6C26B889"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14CC142D" w14:textId="248251BD"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742EB2D3" w14:textId="36867DC7"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53</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3E8F367F" w14:textId="60940505"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single" w:sz="4" w:space="0" w:color="0077BD"/>
              <w:left w:val="nil"/>
              <w:bottom w:val="single" w:sz="4" w:space="0" w:color="0077BD"/>
              <w:right w:val="nil"/>
            </w:tcBorders>
            <w:shd w:val="clear" w:color="auto" w:fill="auto"/>
            <w:vAlign w:val="center"/>
          </w:tcPr>
          <w:p w14:paraId="172A8B11" w14:textId="299186D5"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53</w:t>
            </w:r>
          </w:p>
        </w:tc>
      </w:tr>
      <w:tr w:rsidR="00A751C0" w:rsidRPr="00A751C0" w14:paraId="2478A427" w14:textId="77777777" w:rsidTr="00552529">
        <w:trPr>
          <w:trHeight w:val="284"/>
        </w:trPr>
        <w:tc>
          <w:tcPr>
            <w:tcW w:w="1701" w:type="dxa"/>
            <w:tcBorders>
              <w:top w:val="nil"/>
              <w:left w:val="nil"/>
              <w:bottom w:val="single" w:sz="4" w:space="0" w:color="0077BD"/>
              <w:right w:val="single" w:sz="8" w:space="0" w:color="0077BD"/>
            </w:tcBorders>
            <w:shd w:val="clear" w:color="auto" w:fill="auto"/>
            <w:vAlign w:val="center"/>
            <w:hideMark/>
          </w:tcPr>
          <w:p w14:paraId="7CC6554C" w14:textId="77777777" w:rsidR="00751909" w:rsidRPr="00437E6D" w:rsidRDefault="00751909" w:rsidP="00751909">
            <w:pPr>
              <w:rPr>
                <w:rFonts w:cs="Calibri"/>
                <w:color w:val="000000" w:themeColor="text1"/>
                <w:sz w:val="10"/>
                <w:szCs w:val="10"/>
              </w:rPr>
            </w:pPr>
            <w:r w:rsidRPr="00437E6D">
              <w:rPr>
                <w:rFonts w:cs="Calibri"/>
                <w:color w:val="000000" w:themeColor="text1"/>
                <w:sz w:val="10"/>
                <w:szCs w:val="10"/>
              </w:rPr>
              <w:t>Inne zwiększenia lub zmniejszenia kapitału własnego</w:t>
            </w:r>
          </w:p>
        </w:tc>
        <w:tc>
          <w:tcPr>
            <w:tcW w:w="85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FC35179" w14:textId="44B6C1AE"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63197B60" w14:textId="3230FCB7"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639F0BB5" w14:textId="1C5BBD6B"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679105EE" w14:textId="067E698C"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419D59DF" w14:textId="3AA3D1C3"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4C8D94C1" w14:textId="39B2FEA1"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(26)</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6E909AA9" w14:textId="22DF49B2"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3C8A2A79" w14:textId="6B1AF805"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1B8C3F26" w14:textId="04A9C72A"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single" w:sz="4" w:space="0" w:color="0077BD"/>
              <w:left w:val="nil"/>
              <w:bottom w:val="single" w:sz="4" w:space="0" w:color="0077BD"/>
              <w:right w:val="single" w:sz="8" w:space="0" w:color="0077BD"/>
            </w:tcBorders>
            <w:shd w:val="clear" w:color="auto" w:fill="auto"/>
            <w:vAlign w:val="center"/>
          </w:tcPr>
          <w:p w14:paraId="6E5F4A73" w14:textId="004A46BE"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58B82014" w14:textId="3C888824"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2AB37450" w14:textId="5CDBB1DB"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(26)</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4181DAC2" w14:textId="7343128B"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 </w:t>
            </w:r>
          </w:p>
        </w:tc>
        <w:tc>
          <w:tcPr>
            <w:tcW w:w="905" w:type="dxa"/>
            <w:tcBorders>
              <w:top w:val="single" w:sz="4" w:space="0" w:color="0077BD"/>
              <w:left w:val="nil"/>
              <w:bottom w:val="single" w:sz="4" w:space="0" w:color="0077BD"/>
              <w:right w:val="nil"/>
            </w:tcBorders>
            <w:shd w:val="clear" w:color="auto" w:fill="auto"/>
            <w:vAlign w:val="center"/>
          </w:tcPr>
          <w:p w14:paraId="2DB21912" w14:textId="6F2B6597" w:rsidR="00751909" w:rsidRPr="00437E6D" w:rsidRDefault="00751909" w:rsidP="00751909">
            <w:pPr>
              <w:jc w:val="right"/>
              <w:rPr>
                <w:rFonts w:cs="Calibri"/>
                <w:color w:val="000000" w:themeColor="text1"/>
                <w:sz w:val="10"/>
                <w:szCs w:val="10"/>
              </w:rPr>
            </w:pPr>
            <w:r w:rsidRPr="00437E6D">
              <w:rPr>
                <w:rFonts w:cs="Calibri"/>
                <w:color w:val="000000" w:themeColor="text1"/>
                <w:sz w:val="10"/>
                <w:szCs w:val="10"/>
              </w:rPr>
              <w:t>(26)</w:t>
            </w:r>
          </w:p>
        </w:tc>
      </w:tr>
      <w:tr w:rsidR="00A751C0" w:rsidRPr="00A751C0" w14:paraId="429C58A9" w14:textId="77777777" w:rsidTr="00552529">
        <w:trPr>
          <w:trHeight w:val="198"/>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433E3320" w14:textId="77777777" w:rsidR="00751909" w:rsidRPr="00437E6D" w:rsidRDefault="00751909" w:rsidP="00751909">
            <w:pPr>
              <w:rPr>
                <w:rFonts w:cs="Calibri"/>
                <w:b/>
                <w:bCs/>
                <w:color w:val="000000" w:themeColor="text1"/>
                <w:sz w:val="10"/>
                <w:szCs w:val="10"/>
              </w:rPr>
            </w:pPr>
            <w:r w:rsidRPr="00437E6D">
              <w:rPr>
                <w:rFonts w:cs="Calibri"/>
                <w:b/>
                <w:bCs/>
                <w:color w:val="000000" w:themeColor="text1"/>
                <w:sz w:val="10"/>
                <w:szCs w:val="10"/>
              </w:rPr>
              <w:t>Program opcji pracowniczych</w:t>
            </w:r>
          </w:p>
        </w:tc>
        <w:tc>
          <w:tcPr>
            <w:tcW w:w="85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43C2CFD" w14:textId="6EE53EE0"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5396C1FF" w14:textId="6BA9FC4D"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5 079</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599D368A" w14:textId="73410996"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7F424357" w14:textId="2119A3D3"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4 868</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2C1E606F" w14:textId="6FAE9184"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246657AB" w14:textId="17117A2E"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053E10B1" w14:textId="1488E8B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39131A69" w14:textId="635387B2"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2CE90C42" w14:textId="168996C0"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993" w:type="dxa"/>
            <w:tcBorders>
              <w:top w:val="single" w:sz="8" w:space="0" w:color="0077BD"/>
              <w:left w:val="nil"/>
              <w:bottom w:val="single" w:sz="8" w:space="0" w:color="0077BD"/>
              <w:right w:val="single" w:sz="8" w:space="0" w:color="0077BD"/>
            </w:tcBorders>
            <w:shd w:val="clear" w:color="auto" w:fill="auto"/>
            <w:vAlign w:val="center"/>
          </w:tcPr>
          <w:p w14:paraId="0387F8DA" w14:textId="37690A7C"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12627181" w14:textId="53C3FC8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65A91F14" w14:textId="20BAC951"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9 947</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241A2B78" w14:textId="38C9E3D8"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w:t>
            </w:r>
          </w:p>
        </w:tc>
        <w:tc>
          <w:tcPr>
            <w:tcW w:w="905" w:type="dxa"/>
            <w:tcBorders>
              <w:top w:val="single" w:sz="8" w:space="0" w:color="0077BD"/>
              <w:left w:val="nil"/>
              <w:bottom w:val="single" w:sz="8" w:space="0" w:color="0077BD"/>
              <w:right w:val="nil"/>
            </w:tcBorders>
            <w:shd w:val="clear" w:color="auto" w:fill="auto"/>
            <w:vAlign w:val="center"/>
          </w:tcPr>
          <w:p w14:paraId="1B024EF9" w14:textId="3436B0E2"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9 947</w:t>
            </w:r>
          </w:p>
        </w:tc>
      </w:tr>
      <w:tr w:rsidR="00A751C0" w:rsidRPr="00A751C0" w14:paraId="46307609" w14:textId="77777777" w:rsidTr="00552529">
        <w:trPr>
          <w:trHeight w:val="284"/>
        </w:trPr>
        <w:tc>
          <w:tcPr>
            <w:tcW w:w="1701" w:type="dxa"/>
            <w:tcBorders>
              <w:top w:val="single" w:sz="4" w:space="0" w:color="0077BD"/>
              <w:left w:val="nil"/>
              <w:bottom w:val="single" w:sz="4" w:space="0" w:color="0077BD"/>
              <w:right w:val="single" w:sz="8" w:space="0" w:color="0077BD"/>
            </w:tcBorders>
            <w:shd w:val="clear" w:color="auto" w:fill="auto"/>
            <w:vAlign w:val="center"/>
            <w:hideMark/>
          </w:tcPr>
          <w:p w14:paraId="030219B3" w14:textId="77777777" w:rsidR="00751909" w:rsidRPr="00437E6D" w:rsidRDefault="00751909" w:rsidP="00751909">
            <w:pPr>
              <w:rPr>
                <w:rFonts w:cs="Calibri"/>
                <w:i/>
                <w:iCs/>
                <w:color w:val="000000" w:themeColor="text1"/>
                <w:sz w:val="10"/>
                <w:szCs w:val="10"/>
              </w:rPr>
            </w:pPr>
            <w:r w:rsidRPr="00437E6D">
              <w:rPr>
                <w:rFonts w:cs="Calibri"/>
                <w:i/>
                <w:iCs/>
                <w:color w:val="000000" w:themeColor="text1"/>
                <w:sz w:val="10"/>
                <w:szCs w:val="10"/>
              </w:rPr>
              <w:t>- wartość usług świadczonych przez pracowników</w:t>
            </w:r>
          </w:p>
        </w:tc>
        <w:tc>
          <w:tcPr>
            <w:tcW w:w="85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2A09464" w14:textId="312C98A8"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656961D2" w14:textId="16E9349C"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16DAAD8C" w14:textId="0B93F468"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5E409425" w14:textId="4613E1F1"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9 947</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6E8049CC" w14:textId="03CFC22E"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4A9C08B3" w14:textId="54591A34"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tcPr>
          <w:p w14:paraId="5F06A2F4" w14:textId="794F1F45"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1CA64202" w14:textId="6B6F86DC"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313F18A0" w14:textId="30959C3C"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3" w:type="dxa"/>
            <w:tcBorders>
              <w:top w:val="single" w:sz="4" w:space="0" w:color="0077BD"/>
              <w:left w:val="nil"/>
              <w:bottom w:val="single" w:sz="4" w:space="0" w:color="0077BD"/>
              <w:right w:val="single" w:sz="8" w:space="0" w:color="0077BD"/>
            </w:tcBorders>
            <w:shd w:val="clear" w:color="auto" w:fill="auto"/>
            <w:vAlign w:val="center"/>
          </w:tcPr>
          <w:p w14:paraId="5CA07A0E" w14:textId="76977C71"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13775350" w14:textId="2C8DE24E"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63C3F0F0" w14:textId="5A2F8980"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9 947</w:t>
            </w:r>
          </w:p>
        </w:tc>
        <w:tc>
          <w:tcPr>
            <w:tcW w:w="992" w:type="dxa"/>
            <w:tcBorders>
              <w:top w:val="single" w:sz="4" w:space="0" w:color="0077BD"/>
              <w:left w:val="nil"/>
              <w:bottom w:val="single" w:sz="4" w:space="0" w:color="0077BD"/>
              <w:right w:val="single" w:sz="8" w:space="0" w:color="0077BD"/>
            </w:tcBorders>
            <w:shd w:val="clear" w:color="auto" w:fill="auto"/>
            <w:vAlign w:val="center"/>
          </w:tcPr>
          <w:p w14:paraId="6EFF0EF6" w14:textId="6CBAD20F"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05" w:type="dxa"/>
            <w:tcBorders>
              <w:top w:val="single" w:sz="4" w:space="0" w:color="0077BD"/>
              <w:left w:val="nil"/>
              <w:bottom w:val="single" w:sz="4" w:space="0" w:color="0077BD"/>
              <w:right w:val="nil"/>
            </w:tcBorders>
            <w:shd w:val="clear" w:color="auto" w:fill="auto"/>
            <w:vAlign w:val="center"/>
          </w:tcPr>
          <w:p w14:paraId="49EDE329" w14:textId="56196C21"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9 947</w:t>
            </w:r>
          </w:p>
        </w:tc>
      </w:tr>
      <w:tr w:rsidR="00A751C0" w:rsidRPr="00A751C0" w14:paraId="22EFC847" w14:textId="77777777" w:rsidTr="00552529">
        <w:trPr>
          <w:trHeight w:val="284"/>
        </w:trPr>
        <w:tc>
          <w:tcPr>
            <w:tcW w:w="1701" w:type="dxa"/>
            <w:tcBorders>
              <w:top w:val="nil"/>
              <w:left w:val="nil"/>
              <w:bottom w:val="single" w:sz="4" w:space="0" w:color="0077BD"/>
              <w:right w:val="single" w:sz="8" w:space="0" w:color="0077BD"/>
            </w:tcBorders>
            <w:shd w:val="clear" w:color="auto" w:fill="auto"/>
            <w:vAlign w:val="center"/>
            <w:hideMark/>
          </w:tcPr>
          <w:p w14:paraId="4C2CFE73" w14:textId="77777777" w:rsidR="00751909" w:rsidRPr="00437E6D" w:rsidRDefault="00751909" w:rsidP="00751909">
            <w:pPr>
              <w:rPr>
                <w:rFonts w:cs="Calibri"/>
                <w:i/>
                <w:iCs/>
                <w:color w:val="000000" w:themeColor="text1"/>
                <w:sz w:val="10"/>
                <w:szCs w:val="10"/>
              </w:rPr>
            </w:pPr>
            <w:r w:rsidRPr="00437E6D">
              <w:rPr>
                <w:rFonts w:cs="Calibri"/>
                <w:i/>
                <w:iCs/>
                <w:color w:val="000000" w:themeColor="text1"/>
                <w:sz w:val="10"/>
                <w:szCs w:val="10"/>
              </w:rPr>
              <w:t>- rozliczenie zrealizowanych opcji pracowniczych</w:t>
            </w:r>
          </w:p>
        </w:tc>
        <w:tc>
          <w:tcPr>
            <w:tcW w:w="851" w:type="dxa"/>
            <w:tcBorders>
              <w:top w:val="nil"/>
              <w:left w:val="single" w:sz="8" w:space="0" w:color="0077BD"/>
              <w:bottom w:val="single" w:sz="4" w:space="0" w:color="0077BD"/>
              <w:right w:val="single" w:sz="8" w:space="0" w:color="0077BD"/>
            </w:tcBorders>
            <w:shd w:val="clear" w:color="auto" w:fill="auto"/>
            <w:vAlign w:val="center"/>
          </w:tcPr>
          <w:p w14:paraId="752A710B" w14:textId="2856105F"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tcPr>
          <w:p w14:paraId="783FA914" w14:textId="08BED2F3"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5 079</w:t>
            </w:r>
          </w:p>
        </w:tc>
        <w:tc>
          <w:tcPr>
            <w:tcW w:w="851" w:type="dxa"/>
            <w:tcBorders>
              <w:top w:val="nil"/>
              <w:left w:val="nil"/>
              <w:bottom w:val="single" w:sz="4" w:space="0" w:color="0077BD"/>
              <w:right w:val="single" w:sz="8" w:space="0" w:color="0077BD"/>
            </w:tcBorders>
            <w:shd w:val="clear" w:color="auto" w:fill="auto"/>
            <w:vAlign w:val="center"/>
          </w:tcPr>
          <w:p w14:paraId="3D466EA9" w14:textId="1BAF5DDD"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tcPr>
          <w:p w14:paraId="52100FC0" w14:textId="31B0B9DB"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(5 079)</w:t>
            </w:r>
          </w:p>
        </w:tc>
        <w:tc>
          <w:tcPr>
            <w:tcW w:w="851" w:type="dxa"/>
            <w:tcBorders>
              <w:top w:val="nil"/>
              <w:left w:val="nil"/>
              <w:bottom w:val="single" w:sz="4" w:space="0" w:color="0077BD"/>
              <w:right w:val="single" w:sz="8" w:space="0" w:color="0077BD"/>
            </w:tcBorders>
            <w:shd w:val="clear" w:color="auto" w:fill="auto"/>
            <w:vAlign w:val="center"/>
          </w:tcPr>
          <w:p w14:paraId="4D392818" w14:textId="63D6E6D7"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tcPr>
          <w:p w14:paraId="24C3F76A" w14:textId="4662AF9B"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tcPr>
          <w:p w14:paraId="0CF7570E" w14:textId="52F79D8E"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tcPr>
          <w:p w14:paraId="07D37ABF" w14:textId="00643F09"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tcPr>
          <w:p w14:paraId="5718AFE0" w14:textId="20D2E5B5"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3" w:type="dxa"/>
            <w:tcBorders>
              <w:top w:val="nil"/>
              <w:left w:val="nil"/>
              <w:bottom w:val="single" w:sz="4" w:space="0" w:color="0077BD"/>
              <w:right w:val="single" w:sz="8" w:space="0" w:color="0077BD"/>
            </w:tcBorders>
            <w:shd w:val="clear" w:color="auto" w:fill="auto"/>
            <w:vAlign w:val="center"/>
          </w:tcPr>
          <w:p w14:paraId="692010F2" w14:textId="55C31564"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tcPr>
          <w:p w14:paraId="0E36F553" w14:textId="38186DE0"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tcPr>
          <w:p w14:paraId="6D6E29B9" w14:textId="1C3C0E55"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tcPr>
          <w:p w14:paraId="36437D5E" w14:textId="46FE9231"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c>
          <w:tcPr>
            <w:tcW w:w="905" w:type="dxa"/>
            <w:tcBorders>
              <w:top w:val="nil"/>
              <w:left w:val="nil"/>
              <w:bottom w:val="single" w:sz="4" w:space="0" w:color="0077BD"/>
              <w:right w:val="nil"/>
            </w:tcBorders>
            <w:shd w:val="clear" w:color="auto" w:fill="auto"/>
            <w:vAlign w:val="center"/>
          </w:tcPr>
          <w:p w14:paraId="562D4CFF" w14:textId="2F3B4E4C" w:rsidR="00751909" w:rsidRPr="00437E6D" w:rsidRDefault="00751909" w:rsidP="00751909">
            <w:pPr>
              <w:jc w:val="right"/>
              <w:rPr>
                <w:rFonts w:cs="Calibri"/>
                <w:i/>
                <w:iCs/>
                <w:color w:val="000000" w:themeColor="text1"/>
                <w:sz w:val="10"/>
                <w:szCs w:val="10"/>
              </w:rPr>
            </w:pPr>
            <w:r w:rsidRPr="00437E6D">
              <w:rPr>
                <w:rFonts w:cs="Calibri"/>
                <w:i/>
                <w:iCs/>
                <w:color w:val="000000" w:themeColor="text1"/>
                <w:sz w:val="10"/>
                <w:szCs w:val="10"/>
              </w:rPr>
              <w:t>-</w:t>
            </w:r>
          </w:p>
        </w:tc>
      </w:tr>
      <w:tr w:rsidR="00A751C0" w:rsidRPr="00A751C0" w14:paraId="3DE31C71" w14:textId="77777777" w:rsidTr="00552529">
        <w:trPr>
          <w:trHeight w:val="198"/>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63E30603" w14:textId="7EA83CA9" w:rsidR="00751909" w:rsidRPr="00437E6D" w:rsidRDefault="00751909" w:rsidP="00751909">
            <w:pPr>
              <w:rPr>
                <w:rFonts w:cs="Calibri"/>
                <w:b/>
                <w:bCs/>
                <w:color w:val="000000" w:themeColor="text1"/>
                <w:sz w:val="10"/>
                <w:szCs w:val="10"/>
              </w:rPr>
            </w:pPr>
            <w:r w:rsidRPr="00437E6D">
              <w:rPr>
                <w:rFonts w:cs="Calibri"/>
                <w:b/>
                <w:bCs/>
                <w:color w:val="000000" w:themeColor="text1"/>
                <w:sz w:val="10"/>
                <w:szCs w:val="10"/>
              </w:rPr>
              <w:t>Stan na 31 grudnia 2019 r.</w:t>
            </w:r>
          </w:p>
        </w:tc>
        <w:tc>
          <w:tcPr>
            <w:tcW w:w="85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76A801A" w14:textId="1137940D"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169 401</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6BC12535" w14:textId="1C37736B"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3 410 417</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6BBD5232" w14:textId="1653884C"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9 826 282</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59073063" w14:textId="1DA07679"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98 316</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03D83949" w14:textId="2FEDAF8A"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1 153 753</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191A478A" w14:textId="4C7401B8"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306 074</w:t>
            </w:r>
          </w:p>
        </w:tc>
        <w:tc>
          <w:tcPr>
            <w:tcW w:w="851" w:type="dxa"/>
            <w:tcBorders>
              <w:top w:val="single" w:sz="8" w:space="0" w:color="0077BD"/>
              <w:left w:val="nil"/>
              <w:bottom w:val="single" w:sz="8" w:space="0" w:color="0077BD"/>
              <w:right w:val="single" w:sz="8" w:space="0" w:color="0077BD"/>
            </w:tcBorders>
            <w:shd w:val="clear" w:color="auto" w:fill="auto"/>
            <w:vAlign w:val="center"/>
          </w:tcPr>
          <w:p w14:paraId="20373E72" w14:textId="05A6A2C9"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1 010</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350</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02634F91" w14:textId="66FD2A39"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(5 435)</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36F03156" w14:textId="1949B622"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74 321</w:t>
            </w:r>
          </w:p>
        </w:tc>
        <w:tc>
          <w:tcPr>
            <w:tcW w:w="993" w:type="dxa"/>
            <w:tcBorders>
              <w:top w:val="single" w:sz="8" w:space="0" w:color="0077BD"/>
              <w:left w:val="nil"/>
              <w:bottom w:val="single" w:sz="8" w:space="0" w:color="0077BD"/>
              <w:right w:val="single" w:sz="8" w:space="0" w:color="0077BD"/>
            </w:tcBorders>
            <w:shd w:val="clear" w:color="auto" w:fill="auto"/>
            <w:vAlign w:val="center"/>
          </w:tcPr>
          <w:p w14:paraId="37A18AE9" w14:textId="3BDCFFA2"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119 142</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4B5ACEE1" w14:textId="2847B60E"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(11 318)</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75BF7D74" w14:textId="19CE238C"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16 151</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303</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4E3CC4AC" w14:textId="01A697C0" w:rsidR="00751909" w:rsidRPr="00437E6D" w:rsidRDefault="00751909" w:rsidP="00751909">
            <w:pPr>
              <w:jc w:val="right"/>
              <w:rPr>
                <w:rFonts w:cs="Calibri"/>
                <w:b/>
                <w:bCs/>
                <w:color w:val="000000" w:themeColor="text1"/>
                <w:sz w:val="10"/>
                <w:szCs w:val="10"/>
              </w:rPr>
            </w:pPr>
            <w:r w:rsidRPr="00437E6D">
              <w:rPr>
                <w:rFonts w:cs="Calibri"/>
                <w:b/>
                <w:bCs/>
                <w:color w:val="000000" w:themeColor="text1"/>
                <w:sz w:val="10"/>
                <w:szCs w:val="10"/>
              </w:rPr>
              <w:t>2 002</w:t>
            </w:r>
          </w:p>
        </w:tc>
        <w:tc>
          <w:tcPr>
            <w:tcW w:w="905" w:type="dxa"/>
            <w:tcBorders>
              <w:top w:val="single" w:sz="8" w:space="0" w:color="0077BD"/>
              <w:left w:val="nil"/>
              <w:bottom w:val="single" w:sz="8" w:space="0" w:color="0077BD"/>
              <w:right w:val="nil"/>
            </w:tcBorders>
            <w:shd w:val="clear" w:color="auto" w:fill="auto"/>
            <w:vAlign w:val="center"/>
          </w:tcPr>
          <w:p w14:paraId="0C51EC4E" w14:textId="01D60756" w:rsidR="00751909" w:rsidRPr="00437E6D" w:rsidRDefault="00A751C0" w:rsidP="00A751C0">
            <w:pPr>
              <w:jc w:val="right"/>
              <w:rPr>
                <w:rFonts w:cs="Calibri"/>
                <w:b/>
                <w:bCs/>
                <w:color w:val="000000" w:themeColor="text1"/>
                <w:sz w:val="10"/>
                <w:szCs w:val="10"/>
              </w:rPr>
            </w:pPr>
            <w:r w:rsidRPr="00437E6D">
              <w:rPr>
                <w:rFonts w:cs="Calibri"/>
                <w:b/>
                <w:bCs/>
                <w:color w:val="000000" w:themeColor="text1"/>
                <w:sz w:val="10"/>
                <w:szCs w:val="10"/>
              </w:rPr>
              <w:t>16 153</w:t>
            </w:r>
            <w:r w:rsidR="00751909" w:rsidRPr="00437E6D">
              <w:rPr>
                <w:rFonts w:cs="Calibri"/>
                <w:b/>
                <w:bCs/>
                <w:color w:val="000000" w:themeColor="text1"/>
                <w:sz w:val="10"/>
                <w:szCs w:val="10"/>
              </w:rPr>
              <w:t xml:space="preserve"> </w:t>
            </w:r>
            <w:r w:rsidRPr="00437E6D">
              <w:rPr>
                <w:rFonts w:cs="Calibri"/>
                <w:b/>
                <w:bCs/>
                <w:color w:val="000000" w:themeColor="text1"/>
                <w:sz w:val="10"/>
                <w:szCs w:val="10"/>
              </w:rPr>
              <w:t>305</w:t>
            </w:r>
          </w:p>
        </w:tc>
      </w:tr>
    </w:tbl>
    <w:p w14:paraId="0DA41AA5" w14:textId="3B6809E2" w:rsidR="00A30D82" w:rsidRPr="00795599" w:rsidRDefault="00A30D82" w:rsidP="00097933">
      <w:pPr>
        <w:spacing w:before="120"/>
        <w:jc w:val="both"/>
        <w:rPr>
          <w:sz w:val="18"/>
          <w:szCs w:val="18"/>
        </w:rPr>
      </w:pPr>
      <w:r w:rsidRPr="00795599">
        <w:rPr>
          <w:sz w:val="18"/>
          <w:szCs w:val="18"/>
        </w:rPr>
        <w:t xml:space="preserve">Zmiany w okresie </w:t>
      </w:r>
      <w:r w:rsidR="00697827" w:rsidRPr="00795599">
        <w:rPr>
          <w:sz w:val="18"/>
          <w:szCs w:val="18"/>
        </w:rPr>
        <w:t>od 1 stycznia do 31 grudnia 2018</w:t>
      </w:r>
      <w:r w:rsidRPr="00795599">
        <w:rPr>
          <w:sz w:val="18"/>
          <w:szCs w:val="18"/>
        </w:rPr>
        <w:t xml:space="preserve"> roku</w:t>
      </w:r>
    </w:p>
    <w:p w14:paraId="10168D9E" w14:textId="77777777" w:rsidR="00097933" w:rsidRPr="00097933" w:rsidRDefault="00097933" w:rsidP="00097933">
      <w:pPr>
        <w:jc w:val="both"/>
        <w:rPr>
          <w:sz w:val="8"/>
          <w:szCs w:val="8"/>
        </w:rPr>
      </w:pPr>
    </w:p>
    <w:tbl>
      <w:tblPr>
        <w:tblW w:w="0" w:type="auto"/>
        <w:tblLayout w:type="fixed"/>
        <w:tblCellMar>
          <w:left w:w="0" w:type="dxa"/>
          <w:right w:w="0" w:type="dxa"/>
        </w:tblCellMar>
        <w:tblLook w:val="04A0" w:firstRow="1" w:lastRow="0" w:firstColumn="1" w:lastColumn="0" w:noHBand="0" w:noVBand="1"/>
      </w:tblPr>
      <w:tblGrid>
        <w:gridCol w:w="1701"/>
        <w:gridCol w:w="851"/>
        <w:gridCol w:w="850"/>
        <w:gridCol w:w="851"/>
        <w:gridCol w:w="850"/>
        <w:gridCol w:w="851"/>
        <w:gridCol w:w="850"/>
        <w:gridCol w:w="851"/>
        <w:gridCol w:w="850"/>
        <w:gridCol w:w="1134"/>
        <w:gridCol w:w="993"/>
        <w:gridCol w:w="992"/>
        <w:gridCol w:w="992"/>
        <w:gridCol w:w="992"/>
        <w:gridCol w:w="905"/>
      </w:tblGrid>
      <w:tr w:rsidR="00947046" w:rsidRPr="00947046" w14:paraId="2FD9AA25" w14:textId="77777777" w:rsidTr="00FB1981">
        <w:trPr>
          <w:trHeight w:val="255"/>
        </w:trPr>
        <w:tc>
          <w:tcPr>
            <w:tcW w:w="1701" w:type="dxa"/>
            <w:vMerge w:val="restart"/>
            <w:tcBorders>
              <w:top w:val="nil"/>
              <w:left w:val="nil"/>
              <w:right w:val="single" w:sz="6" w:space="0" w:color="FFFFFF"/>
            </w:tcBorders>
            <w:shd w:val="clear" w:color="000000" w:fill="0077BD"/>
            <w:vAlign w:val="center"/>
            <w:hideMark/>
          </w:tcPr>
          <w:p w14:paraId="568D2352" w14:textId="2F43BC4F" w:rsidR="00947046" w:rsidRPr="00947046" w:rsidRDefault="00947046" w:rsidP="00947046">
            <w:pPr>
              <w:rPr>
                <w:rFonts w:cs="Calibri"/>
                <w:b/>
                <w:bCs/>
                <w:color w:val="FFFFFF"/>
                <w:sz w:val="10"/>
                <w:szCs w:val="10"/>
              </w:rPr>
            </w:pPr>
          </w:p>
        </w:tc>
        <w:tc>
          <w:tcPr>
            <w:tcW w:w="1701" w:type="dxa"/>
            <w:gridSpan w:val="2"/>
            <w:tcBorders>
              <w:top w:val="nil"/>
              <w:left w:val="single" w:sz="6" w:space="0" w:color="FFFFFF"/>
              <w:bottom w:val="single" w:sz="6" w:space="0" w:color="FFFFFF" w:themeColor="background1"/>
              <w:right w:val="single" w:sz="4" w:space="0" w:color="FFFFFF"/>
            </w:tcBorders>
            <w:shd w:val="clear" w:color="000000" w:fill="0077BD"/>
            <w:vAlign w:val="center"/>
            <w:hideMark/>
          </w:tcPr>
          <w:p w14:paraId="7F90E2A4"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 podstawowy</w:t>
            </w:r>
          </w:p>
        </w:tc>
        <w:tc>
          <w:tcPr>
            <w:tcW w:w="4253" w:type="dxa"/>
            <w:gridSpan w:val="5"/>
            <w:tcBorders>
              <w:top w:val="nil"/>
              <w:left w:val="single" w:sz="4" w:space="0" w:color="FFFFFF"/>
              <w:bottom w:val="single" w:sz="6" w:space="0" w:color="FFFFFF" w:themeColor="background1"/>
              <w:right w:val="single" w:sz="8" w:space="0" w:color="FFFFFF"/>
            </w:tcBorders>
            <w:shd w:val="clear" w:color="000000" w:fill="0077BD"/>
            <w:noWrap/>
            <w:vAlign w:val="center"/>
            <w:hideMark/>
          </w:tcPr>
          <w:p w14:paraId="7453B652"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Zyski zatrzymane</w:t>
            </w:r>
          </w:p>
        </w:tc>
        <w:tc>
          <w:tcPr>
            <w:tcW w:w="3969" w:type="dxa"/>
            <w:gridSpan w:val="4"/>
            <w:tcBorders>
              <w:top w:val="nil"/>
              <w:left w:val="nil"/>
              <w:bottom w:val="single" w:sz="6" w:space="0" w:color="FFFFFF"/>
              <w:right w:val="single" w:sz="8" w:space="0" w:color="FFFFFF"/>
            </w:tcBorders>
            <w:shd w:val="clear" w:color="000000" w:fill="0077BD"/>
            <w:vAlign w:val="center"/>
            <w:hideMark/>
          </w:tcPr>
          <w:p w14:paraId="4A8654A9"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Inne pozycje kapitału własnego</w:t>
            </w:r>
          </w:p>
        </w:tc>
        <w:tc>
          <w:tcPr>
            <w:tcW w:w="992" w:type="dxa"/>
            <w:vMerge w:val="restart"/>
            <w:tcBorders>
              <w:top w:val="nil"/>
              <w:left w:val="single" w:sz="8" w:space="0" w:color="FFFFFF"/>
              <w:bottom w:val="single" w:sz="6" w:space="0" w:color="FFFFFF"/>
              <w:right w:val="single" w:sz="6" w:space="0" w:color="FFFFFF"/>
            </w:tcBorders>
            <w:shd w:val="clear" w:color="000000" w:fill="0077BD"/>
            <w:vAlign w:val="center"/>
            <w:hideMark/>
          </w:tcPr>
          <w:p w14:paraId="1E6AAE63"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Kapitały przypadające na akcjonariuszy mBanku S.A.</w:t>
            </w:r>
          </w:p>
        </w:tc>
        <w:tc>
          <w:tcPr>
            <w:tcW w:w="992" w:type="dxa"/>
            <w:vMerge w:val="restart"/>
            <w:tcBorders>
              <w:top w:val="nil"/>
              <w:left w:val="single" w:sz="6" w:space="0" w:color="FFFFFF"/>
              <w:bottom w:val="single" w:sz="8" w:space="0" w:color="0077BD"/>
              <w:right w:val="single" w:sz="8" w:space="0" w:color="FFFFFF"/>
            </w:tcBorders>
            <w:shd w:val="clear" w:color="000000" w:fill="0077BD"/>
            <w:vAlign w:val="center"/>
            <w:hideMark/>
          </w:tcPr>
          <w:p w14:paraId="7DB0E161"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Udziały niekontrolujące</w:t>
            </w:r>
          </w:p>
        </w:tc>
        <w:tc>
          <w:tcPr>
            <w:tcW w:w="905" w:type="dxa"/>
            <w:vMerge w:val="restart"/>
            <w:tcBorders>
              <w:top w:val="nil"/>
              <w:left w:val="nil"/>
              <w:bottom w:val="single" w:sz="8" w:space="0" w:color="0077BD"/>
              <w:right w:val="nil"/>
            </w:tcBorders>
            <w:shd w:val="clear" w:color="000000" w:fill="0077BD"/>
            <w:vAlign w:val="center"/>
            <w:hideMark/>
          </w:tcPr>
          <w:p w14:paraId="05C34924"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Razem</w:t>
            </w:r>
          </w:p>
        </w:tc>
      </w:tr>
      <w:tr w:rsidR="00947046" w:rsidRPr="00947046" w14:paraId="07BF84F6" w14:textId="77777777" w:rsidTr="000034D5">
        <w:trPr>
          <w:trHeight w:val="794"/>
        </w:trPr>
        <w:tc>
          <w:tcPr>
            <w:tcW w:w="1701" w:type="dxa"/>
            <w:vMerge/>
            <w:tcBorders>
              <w:left w:val="nil"/>
              <w:right w:val="single" w:sz="6" w:space="0" w:color="FFFFFF"/>
            </w:tcBorders>
            <w:shd w:val="clear" w:color="000000" w:fill="0077BD"/>
            <w:vAlign w:val="center"/>
            <w:hideMark/>
          </w:tcPr>
          <w:p w14:paraId="4C610C88" w14:textId="58044612" w:rsidR="00947046" w:rsidRPr="00947046" w:rsidRDefault="00947046" w:rsidP="00947046">
            <w:pPr>
              <w:rPr>
                <w:rFonts w:cs="Calibri"/>
                <w:b/>
                <w:bCs/>
                <w:color w:val="FFFFFF"/>
                <w:sz w:val="10"/>
                <w:szCs w:val="10"/>
              </w:rPr>
            </w:pPr>
          </w:p>
        </w:tc>
        <w:tc>
          <w:tcPr>
            <w:tcW w:w="851" w:type="dxa"/>
            <w:tcBorders>
              <w:top w:val="single" w:sz="6" w:space="0" w:color="FFFFFF" w:themeColor="background1"/>
              <w:left w:val="single" w:sz="6" w:space="0" w:color="FFFFFF"/>
              <w:right w:val="single" w:sz="8" w:space="0" w:color="FFFFFF"/>
            </w:tcBorders>
            <w:shd w:val="clear" w:color="000000" w:fill="0077BD"/>
            <w:vAlign w:val="center"/>
            <w:hideMark/>
          </w:tcPr>
          <w:p w14:paraId="422A94FF"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Zarejestrowany kapitał akcyjny</w:t>
            </w:r>
          </w:p>
        </w:tc>
        <w:tc>
          <w:tcPr>
            <w:tcW w:w="850" w:type="dxa"/>
            <w:tcBorders>
              <w:top w:val="single" w:sz="6" w:space="0" w:color="FFFFFF" w:themeColor="background1"/>
              <w:left w:val="single" w:sz="8" w:space="0" w:color="FFFFFF"/>
              <w:right w:val="single" w:sz="4" w:space="0" w:color="FFFFFF"/>
            </w:tcBorders>
            <w:shd w:val="clear" w:color="000000" w:fill="0077BD"/>
            <w:vAlign w:val="center"/>
            <w:hideMark/>
          </w:tcPr>
          <w:p w14:paraId="76A2E16F"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Kapitał zapasowy ze sprzedaży akcji powyżej wartości nominalnej</w:t>
            </w:r>
          </w:p>
        </w:tc>
        <w:tc>
          <w:tcPr>
            <w:tcW w:w="851" w:type="dxa"/>
            <w:tcBorders>
              <w:top w:val="single" w:sz="6" w:space="0" w:color="FFFFFF" w:themeColor="background1"/>
              <w:left w:val="single" w:sz="4" w:space="0" w:color="FFFFFF"/>
              <w:right w:val="single" w:sz="6" w:space="0" w:color="FFFFFF" w:themeColor="background1"/>
            </w:tcBorders>
            <w:shd w:val="clear" w:color="000000" w:fill="0077BD"/>
            <w:vAlign w:val="center"/>
            <w:hideMark/>
          </w:tcPr>
          <w:p w14:paraId="61AF679E"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Pozostały</w:t>
            </w:r>
            <w:r w:rsidRPr="00A35B03">
              <w:rPr>
                <w:rFonts w:cs="Calibri"/>
                <w:b/>
                <w:bCs/>
                <w:color w:val="FFFFFF"/>
                <w:sz w:val="9"/>
                <w:szCs w:val="9"/>
              </w:rPr>
              <w:br/>
              <w:t>kapitał</w:t>
            </w:r>
            <w:r w:rsidRPr="00A35B03">
              <w:rPr>
                <w:rFonts w:cs="Calibri"/>
                <w:b/>
                <w:bCs/>
                <w:color w:val="FFFFFF"/>
                <w:sz w:val="9"/>
                <w:szCs w:val="9"/>
              </w:rPr>
              <w:br/>
              <w:t>zapasowy</w:t>
            </w:r>
          </w:p>
        </w:tc>
        <w:tc>
          <w:tcPr>
            <w:tcW w:w="850" w:type="dxa"/>
            <w:tcBorders>
              <w:top w:val="single" w:sz="6" w:space="0" w:color="FFFFFF" w:themeColor="background1"/>
              <w:left w:val="single" w:sz="6" w:space="0" w:color="FFFFFF" w:themeColor="background1"/>
              <w:right w:val="single" w:sz="8" w:space="0" w:color="FFFFFF"/>
            </w:tcBorders>
            <w:shd w:val="clear" w:color="000000" w:fill="0077BD"/>
            <w:vAlign w:val="center"/>
            <w:hideMark/>
          </w:tcPr>
          <w:p w14:paraId="212701D3"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Pozostałe</w:t>
            </w:r>
            <w:r w:rsidRPr="00A35B03">
              <w:rPr>
                <w:rFonts w:cs="Calibri"/>
                <w:b/>
                <w:bCs/>
                <w:color w:val="FFFFFF"/>
                <w:sz w:val="9"/>
                <w:szCs w:val="9"/>
              </w:rPr>
              <w:br/>
              <w:t>kapitały</w:t>
            </w:r>
            <w:r w:rsidRPr="00A35B03">
              <w:rPr>
                <w:rFonts w:cs="Calibri"/>
                <w:b/>
                <w:bCs/>
                <w:color w:val="FFFFFF"/>
                <w:sz w:val="9"/>
                <w:szCs w:val="9"/>
              </w:rPr>
              <w:br/>
              <w:t>rezerwowe</w:t>
            </w:r>
          </w:p>
        </w:tc>
        <w:tc>
          <w:tcPr>
            <w:tcW w:w="851" w:type="dxa"/>
            <w:tcBorders>
              <w:top w:val="single" w:sz="6" w:space="0" w:color="FFFFFF" w:themeColor="background1"/>
              <w:left w:val="single" w:sz="8" w:space="0" w:color="FFFFFF"/>
              <w:right w:val="single" w:sz="8" w:space="0" w:color="FFFFFF"/>
            </w:tcBorders>
            <w:shd w:val="clear" w:color="000000" w:fill="0077BD"/>
            <w:vAlign w:val="center"/>
            <w:hideMark/>
          </w:tcPr>
          <w:p w14:paraId="707DC4EE"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Fundusz ogólnego ryzyka</w:t>
            </w:r>
          </w:p>
        </w:tc>
        <w:tc>
          <w:tcPr>
            <w:tcW w:w="850" w:type="dxa"/>
            <w:tcBorders>
              <w:top w:val="single" w:sz="6" w:space="0" w:color="FFFFFF" w:themeColor="background1"/>
              <w:left w:val="single" w:sz="8" w:space="0" w:color="FFFFFF"/>
              <w:right w:val="single" w:sz="6" w:space="0" w:color="FFFFFF" w:themeColor="background1"/>
            </w:tcBorders>
            <w:shd w:val="clear" w:color="000000" w:fill="0077BD"/>
            <w:vAlign w:val="center"/>
            <w:hideMark/>
          </w:tcPr>
          <w:p w14:paraId="23F8D107"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Niepodzielony wynik finansowy z lat ubiegłych</w:t>
            </w:r>
          </w:p>
        </w:tc>
        <w:tc>
          <w:tcPr>
            <w:tcW w:w="851" w:type="dxa"/>
            <w:tcBorders>
              <w:top w:val="single" w:sz="6" w:space="0" w:color="FFFFFF" w:themeColor="background1"/>
              <w:left w:val="single" w:sz="6" w:space="0" w:color="FFFFFF" w:themeColor="background1"/>
              <w:right w:val="nil"/>
            </w:tcBorders>
            <w:shd w:val="clear" w:color="000000" w:fill="0077BD"/>
            <w:vAlign w:val="center"/>
            <w:hideMark/>
          </w:tcPr>
          <w:p w14:paraId="1B77C90B"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Wynik roku bieżącego przypadający na akcjonariuszy mBanku S.A.</w:t>
            </w:r>
          </w:p>
        </w:tc>
        <w:tc>
          <w:tcPr>
            <w:tcW w:w="850" w:type="dxa"/>
            <w:tcBorders>
              <w:top w:val="single" w:sz="6" w:space="0" w:color="FFFFFF"/>
              <w:left w:val="single" w:sz="8" w:space="0" w:color="FFFFFF"/>
              <w:right w:val="single" w:sz="8" w:space="0" w:color="FFFFFF"/>
            </w:tcBorders>
            <w:shd w:val="clear" w:color="000000" w:fill="0077BD"/>
            <w:vAlign w:val="center"/>
            <w:hideMark/>
          </w:tcPr>
          <w:p w14:paraId="5D687A1E"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Różnice kursowe z przeliczenia jednostek zagranicznych</w:t>
            </w:r>
          </w:p>
        </w:tc>
        <w:tc>
          <w:tcPr>
            <w:tcW w:w="1134" w:type="dxa"/>
            <w:tcBorders>
              <w:top w:val="single" w:sz="6" w:space="0" w:color="FFFFFF"/>
              <w:left w:val="single" w:sz="8" w:space="0" w:color="FFFFFF"/>
              <w:right w:val="single" w:sz="8" w:space="0" w:color="FFFFFF"/>
            </w:tcBorders>
            <w:shd w:val="clear" w:color="000000" w:fill="0077BD"/>
            <w:vAlign w:val="center"/>
            <w:hideMark/>
          </w:tcPr>
          <w:p w14:paraId="0C21C9E9"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Wycena aktywów finansowych wycenianych w wartości godziwej przez pozostałe całkowite dochody</w:t>
            </w:r>
          </w:p>
        </w:tc>
        <w:tc>
          <w:tcPr>
            <w:tcW w:w="993" w:type="dxa"/>
            <w:tcBorders>
              <w:top w:val="single" w:sz="6" w:space="0" w:color="FFFFFF"/>
              <w:left w:val="single" w:sz="8" w:space="0" w:color="FFFFFF"/>
              <w:right w:val="single" w:sz="8" w:space="0" w:color="FFFFFF"/>
            </w:tcBorders>
            <w:shd w:val="clear" w:color="000000" w:fill="0077BD"/>
            <w:vAlign w:val="center"/>
            <w:hideMark/>
          </w:tcPr>
          <w:p w14:paraId="074BB089"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Zabezpieczenia przepływów pieniężnych</w:t>
            </w:r>
          </w:p>
        </w:tc>
        <w:tc>
          <w:tcPr>
            <w:tcW w:w="992" w:type="dxa"/>
            <w:tcBorders>
              <w:top w:val="single" w:sz="6" w:space="0" w:color="FFFFFF"/>
              <w:left w:val="single" w:sz="8" w:space="0" w:color="FFFFFF"/>
              <w:right w:val="single" w:sz="8" w:space="0" w:color="FFFFFF"/>
            </w:tcBorders>
            <w:shd w:val="clear" w:color="000000" w:fill="0077BD"/>
            <w:vAlign w:val="center"/>
            <w:hideMark/>
          </w:tcPr>
          <w:p w14:paraId="7DC036C8" w14:textId="77777777" w:rsidR="00947046" w:rsidRPr="00A35B03" w:rsidRDefault="00947046" w:rsidP="00947046">
            <w:pPr>
              <w:jc w:val="center"/>
              <w:rPr>
                <w:rFonts w:cs="Calibri"/>
                <w:b/>
                <w:bCs/>
                <w:color w:val="FFFFFF"/>
                <w:sz w:val="9"/>
                <w:szCs w:val="9"/>
              </w:rPr>
            </w:pPr>
            <w:r w:rsidRPr="00A35B03">
              <w:rPr>
                <w:rFonts w:cs="Calibri"/>
                <w:b/>
                <w:bCs/>
                <w:color w:val="FFFFFF"/>
                <w:sz w:val="9"/>
                <w:szCs w:val="9"/>
              </w:rPr>
              <w:t>Zyski i straty aktuarialne dotyczące świadczeń pracowniczych po okresie zatrudnienia</w:t>
            </w:r>
          </w:p>
        </w:tc>
        <w:tc>
          <w:tcPr>
            <w:tcW w:w="992" w:type="dxa"/>
            <w:vMerge/>
            <w:tcBorders>
              <w:top w:val="single" w:sz="6" w:space="0" w:color="FFFFFF"/>
              <w:left w:val="single" w:sz="8" w:space="0" w:color="FFFFFF"/>
              <w:right w:val="nil"/>
            </w:tcBorders>
            <w:vAlign w:val="center"/>
            <w:hideMark/>
          </w:tcPr>
          <w:p w14:paraId="52028DA4" w14:textId="77777777" w:rsidR="00947046" w:rsidRPr="00947046" w:rsidRDefault="00947046" w:rsidP="00947046">
            <w:pPr>
              <w:rPr>
                <w:rFonts w:cs="Calibri"/>
                <w:b/>
                <w:bCs/>
                <w:color w:val="FFFFFF"/>
                <w:sz w:val="10"/>
                <w:szCs w:val="10"/>
              </w:rPr>
            </w:pPr>
          </w:p>
        </w:tc>
        <w:tc>
          <w:tcPr>
            <w:tcW w:w="992" w:type="dxa"/>
            <w:vMerge/>
            <w:tcBorders>
              <w:top w:val="nil"/>
              <w:left w:val="single" w:sz="8" w:space="0" w:color="FFFFFF"/>
              <w:right w:val="single" w:sz="8" w:space="0" w:color="FFFFFF"/>
            </w:tcBorders>
            <w:vAlign w:val="center"/>
            <w:hideMark/>
          </w:tcPr>
          <w:p w14:paraId="4700B780" w14:textId="77777777" w:rsidR="00947046" w:rsidRPr="00947046" w:rsidRDefault="00947046" w:rsidP="00947046">
            <w:pPr>
              <w:rPr>
                <w:rFonts w:cs="Calibri"/>
                <w:b/>
                <w:bCs/>
                <w:color w:val="FFFFFF"/>
                <w:sz w:val="10"/>
                <w:szCs w:val="10"/>
              </w:rPr>
            </w:pPr>
          </w:p>
        </w:tc>
        <w:tc>
          <w:tcPr>
            <w:tcW w:w="905" w:type="dxa"/>
            <w:vMerge/>
            <w:tcBorders>
              <w:top w:val="nil"/>
              <w:left w:val="nil"/>
              <w:right w:val="nil"/>
            </w:tcBorders>
            <w:vAlign w:val="center"/>
            <w:hideMark/>
          </w:tcPr>
          <w:p w14:paraId="018C8B10" w14:textId="77777777" w:rsidR="00947046" w:rsidRPr="00947046" w:rsidRDefault="00947046" w:rsidP="00947046">
            <w:pPr>
              <w:rPr>
                <w:rFonts w:cs="Calibri"/>
                <w:b/>
                <w:bCs/>
                <w:color w:val="FFFFFF"/>
                <w:sz w:val="10"/>
                <w:szCs w:val="10"/>
              </w:rPr>
            </w:pPr>
          </w:p>
        </w:tc>
      </w:tr>
      <w:tr w:rsidR="00A751C0" w:rsidRPr="00A751C0" w14:paraId="5C0C502B" w14:textId="77777777" w:rsidTr="000034D5">
        <w:trPr>
          <w:trHeight w:val="198"/>
        </w:trPr>
        <w:tc>
          <w:tcPr>
            <w:tcW w:w="1701" w:type="dxa"/>
            <w:tcBorders>
              <w:left w:val="nil"/>
              <w:bottom w:val="single" w:sz="8" w:space="0" w:color="0077BD"/>
              <w:right w:val="single" w:sz="8" w:space="0" w:color="0077BD"/>
            </w:tcBorders>
            <w:shd w:val="clear" w:color="auto" w:fill="auto"/>
            <w:vAlign w:val="center"/>
            <w:hideMark/>
          </w:tcPr>
          <w:p w14:paraId="1F2BF53C" w14:textId="77777777" w:rsidR="00947046" w:rsidRPr="00437E6D" w:rsidRDefault="00947046" w:rsidP="00947046">
            <w:pPr>
              <w:rPr>
                <w:rFonts w:cs="Calibri"/>
                <w:b/>
                <w:bCs/>
                <w:color w:val="000000" w:themeColor="text1"/>
                <w:sz w:val="10"/>
                <w:szCs w:val="10"/>
              </w:rPr>
            </w:pPr>
            <w:r w:rsidRPr="00437E6D">
              <w:rPr>
                <w:rFonts w:cs="Calibri"/>
                <w:b/>
                <w:bCs/>
                <w:color w:val="000000" w:themeColor="text1"/>
                <w:sz w:val="10"/>
                <w:szCs w:val="10"/>
              </w:rPr>
              <w:t xml:space="preserve">Stan na 1 stycznia 2018 r. </w:t>
            </w:r>
          </w:p>
        </w:tc>
        <w:tc>
          <w:tcPr>
            <w:tcW w:w="851" w:type="dxa"/>
            <w:tcBorders>
              <w:left w:val="nil"/>
              <w:bottom w:val="single" w:sz="8" w:space="0" w:color="0077BD"/>
              <w:right w:val="single" w:sz="8" w:space="0" w:color="0077BD"/>
            </w:tcBorders>
            <w:shd w:val="clear" w:color="auto" w:fill="auto"/>
            <w:vAlign w:val="center"/>
            <w:hideMark/>
          </w:tcPr>
          <w:p w14:paraId="746BCE85"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169 248</w:t>
            </w:r>
          </w:p>
        </w:tc>
        <w:tc>
          <w:tcPr>
            <w:tcW w:w="850" w:type="dxa"/>
            <w:tcBorders>
              <w:left w:val="nil"/>
              <w:bottom w:val="single" w:sz="8" w:space="0" w:color="0077BD"/>
              <w:right w:val="single" w:sz="8" w:space="0" w:color="0077BD"/>
            </w:tcBorders>
            <w:shd w:val="clear" w:color="auto" w:fill="auto"/>
            <w:vAlign w:val="center"/>
            <w:hideMark/>
          </w:tcPr>
          <w:p w14:paraId="66DEA858"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3 394 928</w:t>
            </w:r>
          </w:p>
        </w:tc>
        <w:tc>
          <w:tcPr>
            <w:tcW w:w="851" w:type="dxa"/>
            <w:tcBorders>
              <w:left w:val="nil"/>
              <w:bottom w:val="single" w:sz="8" w:space="0" w:color="0077BD"/>
              <w:right w:val="single" w:sz="8" w:space="0" w:color="0077BD"/>
            </w:tcBorders>
            <w:shd w:val="clear" w:color="auto" w:fill="auto"/>
            <w:vAlign w:val="center"/>
            <w:hideMark/>
          </w:tcPr>
          <w:p w14:paraId="06ED24B2"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7 727 317</w:t>
            </w:r>
          </w:p>
        </w:tc>
        <w:tc>
          <w:tcPr>
            <w:tcW w:w="850" w:type="dxa"/>
            <w:tcBorders>
              <w:left w:val="nil"/>
              <w:bottom w:val="single" w:sz="8" w:space="0" w:color="0077BD"/>
              <w:right w:val="single" w:sz="8" w:space="0" w:color="0077BD"/>
            </w:tcBorders>
            <w:shd w:val="clear" w:color="auto" w:fill="auto"/>
            <w:vAlign w:val="center"/>
            <w:hideMark/>
          </w:tcPr>
          <w:p w14:paraId="52A56348"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93 634</w:t>
            </w:r>
          </w:p>
        </w:tc>
        <w:tc>
          <w:tcPr>
            <w:tcW w:w="851" w:type="dxa"/>
            <w:tcBorders>
              <w:left w:val="nil"/>
              <w:bottom w:val="single" w:sz="8" w:space="0" w:color="0077BD"/>
              <w:right w:val="single" w:sz="8" w:space="0" w:color="0077BD"/>
            </w:tcBorders>
            <w:shd w:val="clear" w:color="auto" w:fill="auto"/>
            <w:vAlign w:val="center"/>
            <w:hideMark/>
          </w:tcPr>
          <w:p w14:paraId="2DDE97DA"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1 153 753</w:t>
            </w:r>
          </w:p>
        </w:tc>
        <w:tc>
          <w:tcPr>
            <w:tcW w:w="850" w:type="dxa"/>
            <w:tcBorders>
              <w:left w:val="nil"/>
              <w:bottom w:val="single" w:sz="8" w:space="0" w:color="0077BD"/>
              <w:right w:val="single" w:sz="8" w:space="0" w:color="0077BD"/>
            </w:tcBorders>
            <w:shd w:val="clear" w:color="auto" w:fill="auto"/>
            <w:vAlign w:val="center"/>
            <w:hideMark/>
          </w:tcPr>
          <w:p w14:paraId="4F743FBD"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1 599 590</w:t>
            </w:r>
          </w:p>
        </w:tc>
        <w:tc>
          <w:tcPr>
            <w:tcW w:w="851" w:type="dxa"/>
            <w:tcBorders>
              <w:left w:val="nil"/>
              <w:bottom w:val="single" w:sz="8" w:space="0" w:color="0077BD"/>
              <w:right w:val="single" w:sz="8" w:space="0" w:color="0077BD"/>
            </w:tcBorders>
            <w:shd w:val="clear" w:color="auto" w:fill="auto"/>
            <w:vAlign w:val="center"/>
            <w:hideMark/>
          </w:tcPr>
          <w:p w14:paraId="39BE22AE"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left w:val="nil"/>
              <w:bottom w:val="single" w:sz="8" w:space="0" w:color="0077BD"/>
              <w:right w:val="single" w:sz="8" w:space="0" w:color="0077BD"/>
            </w:tcBorders>
            <w:shd w:val="clear" w:color="auto" w:fill="auto"/>
            <w:vAlign w:val="center"/>
            <w:hideMark/>
          </w:tcPr>
          <w:p w14:paraId="4E455210"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(5 527)</w:t>
            </w:r>
          </w:p>
        </w:tc>
        <w:tc>
          <w:tcPr>
            <w:tcW w:w="1134" w:type="dxa"/>
            <w:tcBorders>
              <w:left w:val="nil"/>
              <w:bottom w:val="single" w:sz="8" w:space="0" w:color="0077BD"/>
              <w:right w:val="single" w:sz="8" w:space="0" w:color="0077BD"/>
            </w:tcBorders>
            <w:shd w:val="clear" w:color="auto" w:fill="auto"/>
            <w:vAlign w:val="center"/>
            <w:hideMark/>
          </w:tcPr>
          <w:p w14:paraId="546A1C62"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168 393</w:t>
            </w:r>
          </w:p>
        </w:tc>
        <w:tc>
          <w:tcPr>
            <w:tcW w:w="993" w:type="dxa"/>
            <w:tcBorders>
              <w:left w:val="nil"/>
              <w:bottom w:val="single" w:sz="8" w:space="0" w:color="0077BD"/>
              <w:right w:val="single" w:sz="8" w:space="0" w:color="0077BD"/>
            </w:tcBorders>
            <w:shd w:val="clear" w:color="auto" w:fill="auto"/>
            <w:vAlign w:val="center"/>
            <w:hideMark/>
          </w:tcPr>
          <w:p w14:paraId="05CFBD03"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(5 198)</w:t>
            </w:r>
          </w:p>
        </w:tc>
        <w:tc>
          <w:tcPr>
            <w:tcW w:w="992" w:type="dxa"/>
            <w:tcBorders>
              <w:left w:val="nil"/>
              <w:bottom w:val="single" w:sz="8" w:space="0" w:color="0077BD"/>
              <w:right w:val="single" w:sz="8" w:space="0" w:color="0077BD"/>
            </w:tcBorders>
            <w:shd w:val="clear" w:color="auto" w:fill="auto"/>
            <w:vAlign w:val="center"/>
            <w:hideMark/>
          </w:tcPr>
          <w:p w14:paraId="0D92D4AA"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(6 768)</w:t>
            </w:r>
          </w:p>
        </w:tc>
        <w:tc>
          <w:tcPr>
            <w:tcW w:w="992" w:type="dxa"/>
            <w:tcBorders>
              <w:left w:val="nil"/>
              <w:bottom w:val="single" w:sz="8" w:space="0" w:color="0077BD"/>
              <w:right w:val="single" w:sz="8" w:space="0" w:color="0077BD"/>
            </w:tcBorders>
            <w:shd w:val="clear" w:color="auto" w:fill="auto"/>
            <w:vAlign w:val="center"/>
            <w:hideMark/>
          </w:tcPr>
          <w:p w14:paraId="54F5368D"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14 289 370</w:t>
            </w:r>
          </w:p>
        </w:tc>
        <w:tc>
          <w:tcPr>
            <w:tcW w:w="992" w:type="dxa"/>
            <w:tcBorders>
              <w:left w:val="nil"/>
              <w:bottom w:val="single" w:sz="8" w:space="0" w:color="0077BD"/>
              <w:right w:val="single" w:sz="8" w:space="0" w:color="0077BD"/>
            </w:tcBorders>
            <w:shd w:val="clear" w:color="auto" w:fill="auto"/>
            <w:vAlign w:val="center"/>
            <w:hideMark/>
          </w:tcPr>
          <w:p w14:paraId="5E3AB349"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2 186</w:t>
            </w:r>
          </w:p>
        </w:tc>
        <w:tc>
          <w:tcPr>
            <w:tcW w:w="905" w:type="dxa"/>
            <w:tcBorders>
              <w:left w:val="nil"/>
              <w:bottom w:val="single" w:sz="8" w:space="0" w:color="0077BD"/>
              <w:right w:val="nil"/>
            </w:tcBorders>
            <w:shd w:val="clear" w:color="auto" w:fill="auto"/>
            <w:vAlign w:val="center"/>
            <w:hideMark/>
          </w:tcPr>
          <w:p w14:paraId="0CFCDF39" w14:textId="77777777" w:rsidR="00947046" w:rsidRPr="00437E6D" w:rsidRDefault="00947046" w:rsidP="00947046">
            <w:pPr>
              <w:jc w:val="right"/>
              <w:rPr>
                <w:rFonts w:cs="Calibri"/>
                <w:b/>
                <w:bCs/>
                <w:color w:val="000000" w:themeColor="text1"/>
                <w:sz w:val="10"/>
                <w:szCs w:val="10"/>
              </w:rPr>
            </w:pPr>
            <w:r w:rsidRPr="00437E6D">
              <w:rPr>
                <w:rFonts w:cs="Calibri"/>
                <w:b/>
                <w:bCs/>
                <w:color w:val="000000" w:themeColor="text1"/>
                <w:sz w:val="10"/>
                <w:szCs w:val="10"/>
              </w:rPr>
              <w:t>14 291 556</w:t>
            </w:r>
          </w:p>
        </w:tc>
      </w:tr>
      <w:tr w:rsidR="00A751C0" w:rsidRPr="00A751C0" w14:paraId="3B2B0666" w14:textId="77777777" w:rsidTr="000034D5">
        <w:trPr>
          <w:trHeight w:val="198"/>
        </w:trPr>
        <w:tc>
          <w:tcPr>
            <w:tcW w:w="1701" w:type="dxa"/>
            <w:tcBorders>
              <w:top w:val="single" w:sz="8" w:space="0" w:color="0077BD"/>
              <w:left w:val="nil"/>
              <w:bottom w:val="single" w:sz="4" w:space="0" w:color="0077BD"/>
              <w:right w:val="single" w:sz="8" w:space="0" w:color="0077BD"/>
            </w:tcBorders>
            <w:shd w:val="clear" w:color="auto" w:fill="auto"/>
            <w:vAlign w:val="center"/>
          </w:tcPr>
          <w:p w14:paraId="61B3CF2D" w14:textId="04D540B5" w:rsidR="005E18F2" w:rsidRPr="00437E6D" w:rsidRDefault="005E18F2" w:rsidP="00947046">
            <w:pPr>
              <w:rPr>
                <w:rFonts w:cs="Calibri"/>
                <w:color w:val="000000" w:themeColor="text1"/>
                <w:sz w:val="10"/>
                <w:szCs w:val="10"/>
              </w:rPr>
            </w:pPr>
            <w:r w:rsidRPr="00437E6D">
              <w:rPr>
                <w:rFonts w:cs="Calibri"/>
                <w:color w:val="000000" w:themeColor="text1"/>
                <w:sz w:val="10"/>
                <w:szCs w:val="10"/>
              </w:rPr>
              <w:t>Efekty korygowania błędów</w:t>
            </w:r>
          </w:p>
        </w:tc>
        <w:tc>
          <w:tcPr>
            <w:tcW w:w="851" w:type="dxa"/>
            <w:tcBorders>
              <w:top w:val="single" w:sz="8" w:space="0" w:color="0077BD"/>
              <w:left w:val="nil"/>
              <w:bottom w:val="single" w:sz="4" w:space="0" w:color="0077BD"/>
              <w:right w:val="single" w:sz="8" w:space="0" w:color="0077BD"/>
            </w:tcBorders>
            <w:shd w:val="clear" w:color="auto" w:fill="auto"/>
            <w:vAlign w:val="center"/>
          </w:tcPr>
          <w:p w14:paraId="4A1FEE07" w14:textId="6E3A30CB"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8" w:space="0" w:color="0077BD"/>
              <w:left w:val="nil"/>
              <w:bottom w:val="single" w:sz="4" w:space="0" w:color="0077BD"/>
              <w:right w:val="single" w:sz="8" w:space="0" w:color="0077BD"/>
            </w:tcBorders>
            <w:shd w:val="clear" w:color="auto" w:fill="auto"/>
            <w:vAlign w:val="center"/>
          </w:tcPr>
          <w:p w14:paraId="45FB65F9" w14:textId="63AEC8DF"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8" w:space="0" w:color="0077BD"/>
              <w:left w:val="nil"/>
              <w:bottom w:val="single" w:sz="4" w:space="0" w:color="0077BD"/>
              <w:right w:val="single" w:sz="8" w:space="0" w:color="0077BD"/>
            </w:tcBorders>
            <w:shd w:val="clear" w:color="auto" w:fill="auto"/>
            <w:vAlign w:val="center"/>
          </w:tcPr>
          <w:p w14:paraId="5883DCB8" w14:textId="56E2DBBA"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8" w:space="0" w:color="0077BD"/>
              <w:left w:val="nil"/>
              <w:bottom w:val="single" w:sz="4" w:space="0" w:color="0077BD"/>
              <w:right w:val="single" w:sz="8" w:space="0" w:color="0077BD"/>
            </w:tcBorders>
            <w:shd w:val="clear" w:color="auto" w:fill="auto"/>
            <w:vAlign w:val="center"/>
          </w:tcPr>
          <w:p w14:paraId="55B761D3" w14:textId="501B4990"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8" w:space="0" w:color="0077BD"/>
              <w:left w:val="nil"/>
              <w:bottom w:val="single" w:sz="4" w:space="0" w:color="0077BD"/>
              <w:right w:val="single" w:sz="8" w:space="0" w:color="0077BD"/>
            </w:tcBorders>
            <w:shd w:val="clear" w:color="auto" w:fill="auto"/>
            <w:vAlign w:val="center"/>
          </w:tcPr>
          <w:p w14:paraId="7730B377" w14:textId="48C0F35D"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8" w:space="0" w:color="0077BD"/>
              <w:left w:val="nil"/>
              <w:bottom w:val="single" w:sz="4" w:space="0" w:color="0077BD"/>
              <w:right w:val="single" w:sz="8" w:space="0" w:color="0077BD"/>
            </w:tcBorders>
            <w:shd w:val="clear" w:color="auto" w:fill="auto"/>
            <w:vAlign w:val="center"/>
          </w:tcPr>
          <w:p w14:paraId="2261D7F0" w14:textId="1561E888"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(31 208)</w:t>
            </w:r>
          </w:p>
        </w:tc>
        <w:tc>
          <w:tcPr>
            <w:tcW w:w="851" w:type="dxa"/>
            <w:tcBorders>
              <w:top w:val="single" w:sz="8" w:space="0" w:color="0077BD"/>
              <w:left w:val="nil"/>
              <w:bottom w:val="single" w:sz="4" w:space="0" w:color="0077BD"/>
              <w:right w:val="single" w:sz="8" w:space="0" w:color="0077BD"/>
            </w:tcBorders>
            <w:shd w:val="clear" w:color="auto" w:fill="auto"/>
            <w:vAlign w:val="center"/>
          </w:tcPr>
          <w:p w14:paraId="1EA5E7D5" w14:textId="4E779BDF"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8" w:space="0" w:color="0077BD"/>
              <w:left w:val="nil"/>
              <w:bottom w:val="single" w:sz="4" w:space="0" w:color="0077BD"/>
              <w:right w:val="single" w:sz="8" w:space="0" w:color="0077BD"/>
            </w:tcBorders>
            <w:shd w:val="clear" w:color="auto" w:fill="auto"/>
            <w:vAlign w:val="center"/>
          </w:tcPr>
          <w:p w14:paraId="5DBBA175" w14:textId="070E8D6A"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single" w:sz="8" w:space="0" w:color="0077BD"/>
              <w:left w:val="nil"/>
              <w:bottom w:val="single" w:sz="4" w:space="0" w:color="0077BD"/>
              <w:right w:val="single" w:sz="8" w:space="0" w:color="0077BD"/>
            </w:tcBorders>
            <w:shd w:val="clear" w:color="auto" w:fill="auto"/>
            <w:vAlign w:val="center"/>
          </w:tcPr>
          <w:p w14:paraId="022DDF7F" w14:textId="6B56C177"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single" w:sz="8" w:space="0" w:color="0077BD"/>
              <w:left w:val="nil"/>
              <w:bottom w:val="single" w:sz="4" w:space="0" w:color="0077BD"/>
              <w:right w:val="single" w:sz="8" w:space="0" w:color="0077BD"/>
            </w:tcBorders>
            <w:shd w:val="clear" w:color="auto" w:fill="auto"/>
            <w:vAlign w:val="center"/>
          </w:tcPr>
          <w:p w14:paraId="34E3C462" w14:textId="2619F48A"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20F1B4C1" w14:textId="2BDCCA58"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73B00FB9" w14:textId="7070FC12"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(31 208)</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44583494" w14:textId="09AF690D"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single" w:sz="8" w:space="0" w:color="0077BD"/>
              <w:left w:val="nil"/>
              <w:bottom w:val="single" w:sz="4" w:space="0" w:color="0077BD"/>
              <w:right w:val="nil"/>
            </w:tcBorders>
            <w:shd w:val="clear" w:color="auto" w:fill="auto"/>
            <w:vAlign w:val="center"/>
          </w:tcPr>
          <w:p w14:paraId="06E5DBB9" w14:textId="3D54C750" w:rsidR="005E18F2" w:rsidRPr="00437E6D" w:rsidRDefault="005E18F2" w:rsidP="00947046">
            <w:pPr>
              <w:jc w:val="right"/>
              <w:rPr>
                <w:rFonts w:cs="Calibri"/>
                <w:color w:val="000000" w:themeColor="text1"/>
                <w:sz w:val="10"/>
                <w:szCs w:val="10"/>
              </w:rPr>
            </w:pPr>
            <w:r w:rsidRPr="00437E6D">
              <w:rPr>
                <w:rFonts w:cs="Calibri"/>
                <w:color w:val="000000" w:themeColor="text1"/>
                <w:sz w:val="10"/>
                <w:szCs w:val="10"/>
              </w:rPr>
              <w:t>(31 208)</w:t>
            </w:r>
          </w:p>
        </w:tc>
      </w:tr>
      <w:tr w:rsidR="00A751C0" w:rsidRPr="00A751C0" w14:paraId="3EE1118F" w14:textId="77777777" w:rsidTr="002410FE">
        <w:trPr>
          <w:trHeight w:val="198"/>
        </w:trPr>
        <w:tc>
          <w:tcPr>
            <w:tcW w:w="1701" w:type="dxa"/>
            <w:tcBorders>
              <w:top w:val="nil"/>
              <w:left w:val="nil"/>
              <w:bottom w:val="single" w:sz="4" w:space="0" w:color="0077BD"/>
              <w:right w:val="single" w:sz="8" w:space="0" w:color="0077BD"/>
            </w:tcBorders>
            <w:shd w:val="clear" w:color="auto" w:fill="auto"/>
            <w:vAlign w:val="center"/>
            <w:hideMark/>
          </w:tcPr>
          <w:p w14:paraId="5F6C5FE1" w14:textId="77777777" w:rsidR="00947046" w:rsidRPr="00437E6D" w:rsidRDefault="00947046" w:rsidP="00947046">
            <w:pPr>
              <w:rPr>
                <w:rFonts w:cs="Calibri"/>
                <w:color w:val="000000" w:themeColor="text1"/>
                <w:sz w:val="10"/>
                <w:szCs w:val="10"/>
              </w:rPr>
            </w:pPr>
            <w:r w:rsidRPr="00437E6D">
              <w:rPr>
                <w:rFonts w:cs="Calibri"/>
                <w:color w:val="000000" w:themeColor="text1"/>
                <w:sz w:val="10"/>
                <w:szCs w:val="10"/>
              </w:rPr>
              <w:t>Efekty wdrożenia MSSF 9</w:t>
            </w:r>
          </w:p>
        </w:tc>
        <w:tc>
          <w:tcPr>
            <w:tcW w:w="851" w:type="dxa"/>
            <w:tcBorders>
              <w:top w:val="nil"/>
              <w:left w:val="nil"/>
              <w:bottom w:val="single" w:sz="4" w:space="0" w:color="0077BD"/>
              <w:right w:val="single" w:sz="8" w:space="0" w:color="0077BD"/>
            </w:tcBorders>
            <w:shd w:val="clear" w:color="auto" w:fill="auto"/>
            <w:vAlign w:val="center"/>
            <w:hideMark/>
          </w:tcPr>
          <w:p w14:paraId="5BA727E8"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36B2E213"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0797B0DF"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616916CE"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179CB4BB"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71CE1FE1"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(248 158)</w:t>
            </w:r>
          </w:p>
        </w:tc>
        <w:tc>
          <w:tcPr>
            <w:tcW w:w="851" w:type="dxa"/>
            <w:tcBorders>
              <w:top w:val="nil"/>
              <w:left w:val="nil"/>
              <w:bottom w:val="single" w:sz="4" w:space="0" w:color="0077BD"/>
              <w:right w:val="single" w:sz="8" w:space="0" w:color="0077BD"/>
            </w:tcBorders>
            <w:shd w:val="clear" w:color="auto" w:fill="auto"/>
            <w:vAlign w:val="center"/>
            <w:hideMark/>
          </w:tcPr>
          <w:p w14:paraId="0BA9F28D"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11CACFC9"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hideMark/>
          </w:tcPr>
          <w:p w14:paraId="2C920D37"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(45 428)</w:t>
            </w:r>
          </w:p>
        </w:tc>
        <w:tc>
          <w:tcPr>
            <w:tcW w:w="993" w:type="dxa"/>
            <w:tcBorders>
              <w:top w:val="nil"/>
              <w:left w:val="nil"/>
              <w:bottom w:val="single" w:sz="4" w:space="0" w:color="0077BD"/>
              <w:right w:val="single" w:sz="8" w:space="0" w:color="0077BD"/>
            </w:tcBorders>
            <w:shd w:val="clear" w:color="auto" w:fill="auto"/>
            <w:vAlign w:val="center"/>
            <w:hideMark/>
          </w:tcPr>
          <w:p w14:paraId="7A11BD7C"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159F3B54"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18B3D3F8"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(293 586)</w:t>
            </w:r>
          </w:p>
        </w:tc>
        <w:tc>
          <w:tcPr>
            <w:tcW w:w="992" w:type="dxa"/>
            <w:tcBorders>
              <w:top w:val="nil"/>
              <w:left w:val="nil"/>
              <w:bottom w:val="single" w:sz="4" w:space="0" w:color="0077BD"/>
              <w:right w:val="single" w:sz="8" w:space="0" w:color="0077BD"/>
            </w:tcBorders>
            <w:shd w:val="clear" w:color="auto" w:fill="auto"/>
            <w:vAlign w:val="center"/>
            <w:hideMark/>
          </w:tcPr>
          <w:p w14:paraId="45D78B63"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nil"/>
              <w:left w:val="nil"/>
              <w:bottom w:val="single" w:sz="4" w:space="0" w:color="0077BD"/>
              <w:right w:val="nil"/>
            </w:tcBorders>
            <w:shd w:val="clear" w:color="auto" w:fill="auto"/>
            <w:vAlign w:val="center"/>
            <w:hideMark/>
          </w:tcPr>
          <w:p w14:paraId="790B3AF0" w14:textId="77777777" w:rsidR="00947046" w:rsidRPr="00437E6D" w:rsidRDefault="00947046" w:rsidP="00947046">
            <w:pPr>
              <w:jc w:val="right"/>
              <w:rPr>
                <w:rFonts w:cs="Calibri"/>
                <w:color w:val="000000" w:themeColor="text1"/>
                <w:sz w:val="10"/>
                <w:szCs w:val="10"/>
              </w:rPr>
            </w:pPr>
            <w:r w:rsidRPr="00437E6D">
              <w:rPr>
                <w:rFonts w:cs="Calibri"/>
                <w:color w:val="000000" w:themeColor="text1"/>
                <w:sz w:val="10"/>
                <w:szCs w:val="10"/>
              </w:rPr>
              <w:t>(293 586)</w:t>
            </w:r>
          </w:p>
        </w:tc>
      </w:tr>
      <w:tr w:rsidR="00A751C0" w:rsidRPr="00A751C0" w14:paraId="2792D1BA" w14:textId="77777777" w:rsidTr="00294CBC">
        <w:trPr>
          <w:trHeight w:val="284"/>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5B6B64E7" w14:textId="2028A624" w:rsidR="005E18F2" w:rsidRPr="00437E6D" w:rsidRDefault="005E18F2" w:rsidP="005E18F2">
            <w:pPr>
              <w:rPr>
                <w:rFonts w:cs="Calibri"/>
                <w:b/>
                <w:bCs/>
                <w:color w:val="000000" w:themeColor="text1"/>
                <w:sz w:val="10"/>
                <w:szCs w:val="10"/>
              </w:rPr>
            </w:pPr>
            <w:r w:rsidRPr="00437E6D">
              <w:rPr>
                <w:rFonts w:cs="Calibri"/>
                <w:b/>
                <w:bCs/>
                <w:color w:val="000000" w:themeColor="text1"/>
                <w:sz w:val="10"/>
                <w:szCs w:val="10"/>
              </w:rPr>
              <w:t xml:space="preserve">Skorygowany kapitał </w:t>
            </w:r>
            <w:r w:rsidR="00D57DF4">
              <w:rPr>
                <w:rFonts w:cs="Calibri"/>
                <w:b/>
                <w:bCs/>
                <w:color w:val="000000" w:themeColor="text1"/>
                <w:sz w:val="10"/>
                <w:szCs w:val="10"/>
              </w:rPr>
              <w:br/>
            </w:r>
            <w:r w:rsidRPr="00437E6D">
              <w:rPr>
                <w:rFonts w:cs="Calibri"/>
                <w:b/>
                <w:bCs/>
                <w:color w:val="000000" w:themeColor="text1"/>
                <w:sz w:val="10"/>
                <w:szCs w:val="10"/>
              </w:rPr>
              <w:t>na 1 stycznia 2018 r.</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420AD679"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169 248</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34D2B0A8"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3 394 928</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11CFE890"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7 727 317</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70199362"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93 634</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203803D9"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1 153 753</w:t>
            </w:r>
          </w:p>
        </w:tc>
        <w:tc>
          <w:tcPr>
            <w:tcW w:w="850"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1FF86F61" w14:textId="68B43153"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1 320 224</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18D5A406" w14:textId="06CD9BAA"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57022E1B" w14:textId="6C0C899F"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(5 527)</w:t>
            </w:r>
          </w:p>
        </w:tc>
        <w:tc>
          <w:tcPr>
            <w:tcW w:w="1134" w:type="dxa"/>
            <w:tcBorders>
              <w:top w:val="single" w:sz="8" w:space="0" w:color="0077BD"/>
              <w:left w:val="nil"/>
              <w:bottom w:val="single" w:sz="8" w:space="0" w:color="0077BD"/>
              <w:right w:val="single" w:sz="8" w:space="0" w:color="0077BD"/>
            </w:tcBorders>
            <w:shd w:val="clear" w:color="auto" w:fill="auto"/>
            <w:vAlign w:val="center"/>
            <w:hideMark/>
          </w:tcPr>
          <w:p w14:paraId="09AF96EE" w14:textId="3812C4D4"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122 965</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303DE920" w14:textId="381E8388"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(5 198)</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52254119" w14:textId="3831F116"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(6 768)</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7A3F3911" w14:textId="213897BC"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13 964 576</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667D2AF9" w14:textId="14E6977A"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2 186</w:t>
            </w:r>
          </w:p>
        </w:tc>
        <w:tc>
          <w:tcPr>
            <w:tcW w:w="905" w:type="dxa"/>
            <w:tcBorders>
              <w:top w:val="single" w:sz="8" w:space="0" w:color="0077BD"/>
              <w:left w:val="nil"/>
              <w:bottom w:val="single" w:sz="8" w:space="0" w:color="0077BD"/>
              <w:right w:val="nil"/>
            </w:tcBorders>
            <w:shd w:val="clear" w:color="auto" w:fill="auto"/>
            <w:vAlign w:val="center"/>
            <w:hideMark/>
          </w:tcPr>
          <w:p w14:paraId="6AE67E94" w14:textId="605289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13 966 762</w:t>
            </w:r>
          </w:p>
        </w:tc>
      </w:tr>
      <w:tr w:rsidR="00A751C0" w:rsidRPr="00A751C0" w14:paraId="79B0CBD9" w14:textId="77777777" w:rsidTr="002410FE">
        <w:trPr>
          <w:trHeight w:val="198"/>
        </w:trPr>
        <w:tc>
          <w:tcPr>
            <w:tcW w:w="1701" w:type="dxa"/>
            <w:tcBorders>
              <w:top w:val="nil"/>
              <w:left w:val="nil"/>
              <w:bottom w:val="single" w:sz="8" w:space="0" w:color="0077BD"/>
              <w:right w:val="single" w:sz="8" w:space="0" w:color="0077BD"/>
            </w:tcBorders>
            <w:shd w:val="clear" w:color="auto" w:fill="auto"/>
            <w:vAlign w:val="center"/>
            <w:hideMark/>
          </w:tcPr>
          <w:p w14:paraId="46849E04" w14:textId="77777777" w:rsidR="005E18F2" w:rsidRPr="00437E6D" w:rsidRDefault="005E18F2" w:rsidP="005E18F2">
            <w:pPr>
              <w:rPr>
                <w:rFonts w:cs="Calibri"/>
                <w:b/>
                <w:bCs/>
                <w:color w:val="000000" w:themeColor="text1"/>
                <w:sz w:val="10"/>
                <w:szCs w:val="10"/>
              </w:rPr>
            </w:pPr>
            <w:r w:rsidRPr="00437E6D">
              <w:rPr>
                <w:rFonts w:cs="Calibri"/>
                <w:b/>
                <w:bCs/>
                <w:color w:val="000000" w:themeColor="text1"/>
                <w:sz w:val="10"/>
                <w:szCs w:val="10"/>
              </w:rPr>
              <w:t>Dochody całkowite razem</w:t>
            </w:r>
          </w:p>
        </w:tc>
        <w:tc>
          <w:tcPr>
            <w:tcW w:w="851" w:type="dxa"/>
            <w:tcBorders>
              <w:top w:val="nil"/>
              <w:left w:val="nil"/>
              <w:bottom w:val="single" w:sz="8" w:space="0" w:color="0077BD"/>
              <w:right w:val="single" w:sz="8" w:space="0" w:color="0077BD"/>
            </w:tcBorders>
            <w:shd w:val="clear" w:color="auto" w:fill="auto"/>
            <w:vAlign w:val="center"/>
            <w:hideMark/>
          </w:tcPr>
          <w:p w14:paraId="68AEEA4C"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nil"/>
              <w:left w:val="nil"/>
              <w:bottom w:val="single" w:sz="8" w:space="0" w:color="0077BD"/>
              <w:right w:val="single" w:sz="8" w:space="0" w:color="0077BD"/>
            </w:tcBorders>
            <w:shd w:val="clear" w:color="auto" w:fill="auto"/>
            <w:vAlign w:val="center"/>
            <w:hideMark/>
          </w:tcPr>
          <w:p w14:paraId="195F6690"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nil"/>
              <w:left w:val="nil"/>
              <w:bottom w:val="single" w:sz="8" w:space="0" w:color="0077BD"/>
              <w:right w:val="single" w:sz="8" w:space="0" w:color="0077BD"/>
            </w:tcBorders>
            <w:shd w:val="clear" w:color="auto" w:fill="auto"/>
            <w:vAlign w:val="center"/>
            <w:hideMark/>
          </w:tcPr>
          <w:p w14:paraId="7BEE6CF0"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nil"/>
              <w:left w:val="nil"/>
              <w:bottom w:val="single" w:sz="8" w:space="0" w:color="0077BD"/>
              <w:right w:val="single" w:sz="8" w:space="0" w:color="0077BD"/>
            </w:tcBorders>
            <w:shd w:val="clear" w:color="auto" w:fill="auto"/>
            <w:vAlign w:val="center"/>
            <w:hideMark/>
          </w:tcPr>
          <w:p w14:paraId="04D63019"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nil"/>
              <w:left w:val="nil"/>
              <w:bottom w:val="single" w:sz="8" w:space="0" w:color="0077BD"/>
              <w:right w:val="single" w:sz="8" w:space="0" w:color="0077BD"/>
            </w:tcBorders>
            <w:shd w:val="clear" w:color="auto" w:fill="auto"/>
            <w:vAlign w:val="center"/>
            <w:hideMark/>
          </w:tcPr>
          <w:p w14:paraId="27FFDAC4"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nil"/>
              <w:left w:val="nil"/>
              <w:bottom w:val="single" w:sz="8" w:space="0" w:color="0077BD"/>
              <w:right w:val="single" w:sz="8" w:space="0" w:color="0077BD"/>
            </w:tcBorders>
            <w:shd w:val="clear" w:color="auto" w:fill="auto"/>
            <w:vAlign w:val="center"/>
            <w:hideMark/>
          </w:tcPr>
          <w:p w14:paraId="1D786713" w14:textId="4EB67372"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nil"/>
              <w:left w:val="nil"/>
              <w:bottom w:val="single" w:sz="8" w:space="0" w:color="0077BD"/>
              <w:right w:val="single" w:sz="8" w:space="0" w:color="0077BD"/>
            </w:tcBorders>
            <w:shd w:val="clear" w:color="auto" w:fill="auto"/>
            <w:vAlign w:val="center"/>
            <w:hideMark/>
          </w:tcPr>
          <w:p w14:paraId="2F16FD86" w14:textId="348362AE"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1 302 786</w:t>
            </w:r>
          </w:p>
        </w:tc>
        <w:tc>
          <w:tcPr>
            <w:tcW w:w="850" w:type="dxa"/>
            <w:tcBorders>
              <w:top w:val="nil"/>
              <w:left w:val="nil"/>
              <w:bottom w:val="single" w:sz="8" w:space="0" w:color="0077BD"/>
              <w:right w:val="single" w:sz="8" w:space="0" w:color="0077BD"/>
            </w:tcBorders>
            <w:shd w:val="clear" w:color="auto" w:fill="auto"/>
            <w:vAlign w:val="center"/>
            <w:hideMark/>
          </w:tcPr>
          <w:p w14:paraId="2008CB4F" w14:textId="18EB4380"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60</w:t>
            </w:r>
          </w:p>
        </w:tc>
        <w:tc>
          <w:tcPr>
            <w:tcW w:w="1134" w:type="dxa"/>
            <w:tcBorders>
              <w:top w:val="nil"/>
              <w:left w:val="nil"/>
              <w:bottom w:val="single" w:sz="8" w:space="0" w:color="0077BD"/>
              <w:right w:val="single" w:sz="8" w:space="0" w:color="0077BD"/>
            </w:tcBorders>
            <w:shd w:val="clear" w:color="auto" w:fill="auto"/>
            <w:vAlign w:val="center"/>
            <w:hideMark/>
          </w:tcPr>
          <w:p w14:paraId="0C6C5012" w14:textId="6FF6D982"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23 013</w:t>
            </w:r>
          </w:p>
        </w:tc>
        <w:tc>
          <w:tcPr>
            <w:tcW w:w="993" w:type="dxa"/>
            <w:tcBorders>
              <w:top w:val="nil"/>
              <w:left w:val="nil"/>
              <w:bottom w:val="single" w:sz="8" w:space="0" w:color="0077BD"/>
              <w:right w:val="single" w:sz="8" w:space="0" w:color="0077BD"/>
            </w:tcBorders>
            <w:shd w:val="clear" w:color="auto" w:fill="auto"/>
            <w:vAlign w:val="center"/>
            <w:hideMark/>
          </w:tcPr>
          <w:p w14:paraId="3248891F" w14:textId="51859382"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88 841</w:t>
            </w:r>
          </w:p>
        </w:tc>
        <w:tc>
          <w:tcPr>
            <w:tcW w:w="992" w:type="dxa"/>
            <w:tcBorders>
              <w:top w:val="nil"/>
              <w:left w:val="nil"/>
              <w:bottom w:val="single" w:sz="8" w:space="0" w:color="0077BD"/>
              <w:right w:val="single" w:sz="8" w:space="0" w:color="0077BD"/>
            </w:tcBorders>
            <w:shd w:val="clear" w:color="auto" w:fill="auto"/>
            <w:vAlign w:val="center"/>
            <w:hideMark/>
          </w:tcPr>
          <w:p w14:paraId="23C14826" w14:textId="0E04B32A"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(2 548)</w:t>
            </w:r>
          </w:p>
        </w:tc>
        <w:tc>
          <w:tcPr>
            <w:tcW w:w="992" w:type="dxa"/>
            <w:tcBorders>
              <w:top w:val="nil"/>
              <w:left w:val="nil"/>
              <w:bottom w:val="single" w:sz="8" w:space="0" w:color="0077BD"/>
              <w:right w:val="single" w:sz="8" w:space="0" w:color="0077BD"/>
            </w:tcBorders>
            <w:shd w:val="clear" w:color="auto" w:fill="auto"/>
            <w:vAlign w:val="center"/>
            <w:hideMark/>
          </w:tcPr>
          <w:p w14:paraId="48F9A422" w14:textId="4802A155"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1 412 152</w:t>
            </w:r>
          </w:p>
        </w:tc>
        <w:tc>
          <w:tcPr>
            <w:tcW w:w="992" w:type="dxa"/>
            <w:tcBorders>
              <w:top w:val="nil"/>
              <w:left w:val="nil"/>
              <w:bottom w:val="single" w:sz="8" w:space="0" w:color="0077BD"/>
              <w:right w:val="single" w:sz="8" w:space="0" w:color="0077BD"/>
            </w:tcBorders>
            <w:shd w:val="clear" w:color="auto" w:fill="auto"/>
            <w:vAlign w:val="center"/>
            <w:hideMark/>
          </w:tcPr>
          <w:p w14:paraId="2C1A8D63" w14:textId="5B09BB7A"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(82)</w:t>
            </w:r>
          </w:p>
        </w:tc>
        <w:tc>
          <w:tcPr>
            <w:tcW w:w="905" w:type="dxa"/>
            <w:tcBorders>
              <w:top w:val="nil"/>
              <w:left w:val="nil"/>
              <w:bottom w:val="single" w:sz="8" w:space="0" w:color="0077BD"/>
              <w:right w:val="nil"/>
            </w:tcBorders>
            <w:shd w:val="clear" w:color="auto" w:fill="auto"/>
            <w:vAlign w:val="center"/>
            <w:hideMark/>
          </w:tcPr>
          <w:p w14:paraId="11AECB0F" w14:textId="46F83756"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1 412 070</w:t>
            </w:r>
          </w:p>
        </w:tc>
      </w:tr>
      <w:tr w:rsidR="00A751C0" w:rsidRPr="00A751C0" w14:paraId="1F1BD17E" w14:textId="77777777" w:rsidTr="00294CBC">
        <w:trPr>
          <w:trHeight w:val="198"/>
        </w:trPr>
        <w:tc>
          <w:tcPr>
            <w:tcW w:w="1701" w:type="dxa"/>
            <w:tcBorders>
              <w:top w:val="single" w:sz="4" w:space="0" w:color="0077BD"/>
              <w:left w:val="nil"/>
              <w:bottom w:val="single" w:sz="4" w:space="0" w:color="0077BD"/>
              <w:right w:val="single" w:sz="8" w:space="0" w:color="0077BD"/>
            </w:tcBorders>
            <w:shd w:val="clear" w:color="auto" w:fill="auto"/>
            <w:vAlign w:val="center"/>
            <w:hideMark/>
          </w:tcPr>
          <w:p w14:paraId="0E893607" w14:textId="77777777" w:rsidR="005E18F2" w:rsidRPr="00437E6D" w:rsidRDefault="005E18F2" w:rsidP="005E18F2">
            <w:pPr>
              <w:rPr>
                <w:rFonts w:cs="Calibri"/>
                <w:color w:val="000000" w:themeColor="text1"/>
                <w:sz w:val="10"/>
                <w:szCs w:val="10"/>
              </w:rPr>
            </w:pPr>
            <w:r w:rsidRPr="00437E6D">
              <w:rPr>
                <w:rFonts w:cs="Calibri"/>
                <w:color w:val="000000" w:themeColor="text1"/>
                <w:sz w:val="10"/>
                <w:szCs w:val="10"/>
              </w:rPr>
              <w:t>Emisja akcji zwykłych</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40EA5720"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100</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791D4362"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72AF01DB"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3EE7271E"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44D48DC7"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single" w:sz="8" w:space="0" w:color="0077BD"/>
              <w:bottom w:val="single" w:sz="4" w:space="0" w:color="0077BD"/>
              <w:right w:val="single" w:sz="8" w:space="0" w:color="0077BD"/>
            </w:tcBorders>
            <w:shd w:val="clear" w:color="auto" w:fill="auto"/>
            <w:vAlign w:val="center"/>
            <w:hideMark/>
          </w:tcPr>
          <w:p w14:paraId="294FEA01" w14:textId="4965BEBF"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79D0F29D" w14:textId="22A355F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5FF87176" w14:textId="15604079"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single" w:sz="4" w:space="0" w:color="0077BD"/>
              <w:left w:val="nil"/>
              <w:bottom w:val="single" w:sz="4" w:space="0" w:color="0077BD"/>
              <w:right w:val="single" w:sz="8" w:space="0" w:color="0077BD"/>
            </w:tcBorders>
            <w:shd w:val="clear" w:color="auto" w:fill="auto"/>
            <w:vAlign w:val="center"/>
            <w:hideMark/>
          </w:tcPr>
          <w:p w14:paraId="5925A298" w14:textId="2344F80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single" w:sz="4" w:space="0" w:color="0077BD"/>
              <w:left w:val="nil"/>
              <w:bottom w:val="single" w:sz="4" w:space="0" w:color="0077BD"/>
              <w:right w:val="single" w:sz="8" w:space="0" w:color="0077BD"/>
            </w:tcBorders>
            <w:shd w:val="clear" w:color="auto" w:fill="auto"/>
            <w:vAlign w:val="center"/>
            <w:hideMark/>
          </w:tcPr>
          <w:p w14:paraId="13DB7C2F" w14:textId="231D8C31"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6637DE2E" w14:textId="41F7DBCF"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08537304" w14:textId="2B147F4A"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100</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04700DF0" w14:textId="32789E5E"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single" w:sz="4" w:space="0" w:color="0077BD"/>
              <w:left w:val="nil"/>
              <w:bottom w:val="single" w:sz="4" w:space="0" w:color="0077BD"/>
              <w:right w:val="nil"/>
            </w:tcBorders>
            <w:shd w:val="clear" w:color="auto" w:fill="auto"/>
            <w:vAlign w:val="center"/>
            <w:hideMark/>
          </w:tcPr>
          <w:p w14:paraId="59D36D7A" w14:textId="027960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100</w:t>
            </w:r>
          </w:p>
        </w:tc>
      </w:tr>
      <w:tr w:rsidR="00A751C0" w:rsidRPr="00A751C0" w14:paraId="3D6E17DD" w14:textId="77777777" w:rsidTr="00294CBC">
        <w:trPr>
          <w:trHeight w:val="198"/>
        </w:trPr>
        <w:tc>
          <w:tcPr>
            <w:tcW w:w="1701" w:type="dxa"/>
            <w:tcBorders>
              <w:top w:val="nil"/>
              <w:left w:val="nil"/>
              <w:bottom w:val="single" w:sz="4" w:space="0" w:color="0077BD"/>
              <w:right w:val="single" w:sz="8" w:space="0" w:color="0077BD"/>
            </w:tcBorders>
            <w:shd w:val="clear" w:color="auto" w:fill="auto"/>
            <w:vAlign w:val="center"/>
            <w:hideMark/>
          </w:tcPr>
          <w:p w14:paraId="09407F08" w14:textId="77777777" w:rsidR="005E18F2" w:rsidRPr="00437E6D" w:rsidRDefault="005E18F2" w:rsidP="005E18F2">
            <w:pPr>
              <w:rPr>
                <w:rFonts w:cs="Calibri"/>
                <w:color w:val="000000" w:themeColor="text1"/>
                <w:sz w:val="10"/>
                <w:szCs w:val="10"/>
              </w:rPr>
            </w:pPr>
            <w:r w:rsidRPr="00437E6D">
              <w:rPr>
                <w:rFonts w:cs="Calibri"/>
                <w:color w:val="000000" w:themeColor="text1"/>
                <w:sz w:val="10"/>
                <w:szCs w:val="10"/>
              </w:rPr>
              <w:t>Dywidendy wypłacone</w:t>
            </w:r>
          </w:p>
        </w:tc>
        <w:tc>
          <w:tcPr>
            <w:tcW w:w="851" w:type="dxa"/>
            <w:tcBorders>
              <w:top w:val="nil"/>
              <w:left w:val="nil"/>
              <w:bottom w:val="single" w:sz="4" w:space="0" w:color="0077BD"/>
              <w:right w:val="single" w:sz="8" w:space="0" w:color="0077BD"/>
            </w:tcBorders>
            <w:shd w:val="clear" w:color="auto" w:fill="auto"/>
            <w:vAlign w:val="center"/>
            <w:hideMark/>
          </w:tcPr>
          <w:p w14:paraId="0A56087D"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219047D4"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37204E22"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6D623814"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6C0E4D46"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single" w:sz="8" w:space="0" w:color="0077BD"/>
              <w:bottom w:val="single" w:sz="4" w:space="0" w:color="0077BD"/>
              <w:right w:val="single" w:sz="8" w:space="0" w:color="0077BD"/>
            </w:tcBorders>
            <w:shd w:val="clear" w:color="auto" w:fill="auto"/>
            <w:vAlign w:val="center"/>
            <w:hideMark/>
          </w:tcPr>
          <w:p w14:paraId="7BB779ED" w14:textId="2BD22B76"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(217 907)</w:t>
            </w:r>
          </w:p>
        </w:tc>
        <w:tc>
          <w:tcPr>
            <w:tcW w:w="851" w:type="dxa"/>
            <w:tcBorders>
              <w:top w:val="nil"/>
              <w:left w:val="nil"/>
              <w:bottom w:val="single" w:sz="4" w:space="0" w:color="0077BD"/>
              <w:right w:val="single" w:sz="8" w:space="0" w:color="0077BD"/>
            </w:tcBorders>
            <w:shd w:val="clear" w:color="auto" w:fill="auto"/>
            <w:vAlign w:val="center"/>
            <w:hideMark/>
          </w:tcPr>
          <w:p w14:paraId="48CD70E8" w14:textId="241DA15C"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0C715F35" w14:textId="3DEC0BFE"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hideMark/>
          </w:tcPr>
          <w:p w14:paraId="745E2F72" w14:textId="21D6F9AF"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nil"/>
              <w:left w:val="nil"/>
              <w:bottom w:val="single" w:sz="4" w:space="0" w:color="0077BD"/>
              <w:right w:val="single" w:sz="8" w:space="0" w:color="0077BD"/>
            </w:tcBorders>
            <w:shd w:val="clear" w:color="auto" w:fill="auto"/>
            <w:vAlign w:val="center"/>
            <w:hideMark/>
          </w:tcPr>
          <w:p w14:paraId="5C4F1549" w14:textId="51F610BE"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60F06882" w14:textId="0FC3E56F"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01E63F03" w14:textId="2CA18904"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(217 907)</w:t>
            </w:r>
          </w:p>
        </w:tc>
        <w:tc>
          <w:tcPr>
            <w:tcW w:w="992" w:type="dxa"/>
            <w:tcBorders>
              <w:top w:val="nil"/>
              <w:left w:val="nil"/>
              <w:bottom w:val="single" w:sz="4" w:space="0" w:color="0077BD"/>
              <w:right w:val="single" w:sz="8" w:space="0" w:color="0077BD"/>
            </w:tcBorders>
            <w:shd w:val="clear" w:color="auto" w:fill="auto"/>
            <w:vAlign w:val="center"/>
            <w:hideMark/>
          </w:tcPr>
          <w:p w14:paraId="790C0C43" w14:textId="6EB0AD53"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nil"/>
              <w:left w:val="nil"/>
              <w:bottom w:val="single" w:sz="4" w:space="0" w:color="0077BD"/>
              <w:right w:val="nil"/>
            </w:tcBorders>
            <w:shd w:val="clear" w:color="auto" w:fill="auto"/>
            <w:vAlign w:val="center"/>
            <w:hideMark/>
          </w:tcPr>
          <w:p w14:paraId="5E3F4CB1" w14:textId="24CAE0D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(217 907)</w:t>
            </w:r>
          </w:p>
        </w:tc>
      </w:tr>
      <w:tr w:rsidR="00A751C0" w:rsidRPr="00A751C0" w14:paraId="49BA43E9" w14:textId="77777777" w:rsidTr="00294CBC">
        <w:trPr>
          <w:trHeight w:val="198"/>
        </w:trPr>
        <w:tc>
          <w:tcPr>
            <w:tcW w:w="1701" w:type="dxa"/>
            <w:tcBorders>
              <w:top w:val="nil"/>
              <w:left w:val="nil"/>
              <w:bottom w:val="single" w:sz="4" w:space="0" w:color="0077BD"/>
              <w:right w:val="single" w:sz="8" w:space="0" w:color="0077BD"/>
            </w:tcBorders>
            <w:shd w:val="clear" w:color="auto" w:fill="auto"/>
            <w:vAlign w:val="center"/>
            <w:hideMark/>
          </w:tcPr>
          <w:p w14:paraId="439652E6" w14:textId="77777777" w:rsidR="005E18F2" w:rsidRPr="00437E6D" w:rsidRDefault="005E18F2" w:rsidP="005E18F2">
            <w:pPr>
              <w:rPr>
                <w:rFonts w:cs="Calibri"/>
                <w:color w:val="000000" w:themeColor="text1"/>
                <w:sz w:val="10"/>
                <w:szCs w:val="10"/>
              </w:rPr>
            </w:pPr>
            <w:r w:rsidRPr="00437E6D">
              <w:rPr>
                <w:rFonts w:cs="Calibri"/>
                <w:color w:val="000000" w:themeColor="text1"/>
                <w:sz w:val="10"/>
                <w:szCs w:val="10"/>
              </w:rPr>
              <w:t>Transfer na kapitał zapasowy</w:t>
            </w:r>
          </w:p>
        </w:tc>
        <w:tc>
          <w:tcPr>
            <w:tcW w:w="851" w:type="dxa"/>
            <w:tcBorders>
              <w:top w:val="nil"/>
              <w:left w:val="nil"/>
              <w:bottom w:val="single" w:sz="4" w:space="0" w:color="0077BD"/>
              <w:right w:val="single" w:sz="8" w:space="0" w:color="0077BD"/>
            </w:tcBorders>
            <w:shd w:val="clear" w:color="auto" w:fill="auto"/>
            <w:vAlign w:val="center"/>
            <w:hideMark/>
          </w:tcPr>
          <w:p w14:paraId="78F724AF"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3C473354"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1288EAC5"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2 098 965</w:t>
            </w:r>
          </w:p>
        </w:tc>
        <w:tc>
          <w:tcPr>
            <w:tcW w:w="850" w:type="dxa"/>
            <w:tcBorders>
              <w:top w:val="nil"/>
              <w:left w:val="nil"/>
              <w:bottom w:val="single" w:sz="4" w:space="0" w:color="0077BD"/>
              <w:right w:val="single" w:sz="8" w:space="0" w:color="0077BD"/>
            </w:tcBorders>
            <w:shd w:val="clear" w:color="auto" w:fill="auto"/>
            <w:vAlign w:val="center"/>
            <w:hideMark/>
          </w:tcPr>
          <w:p w14:paraId="29A34575"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77AC74B0"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single" w:sz="8" w:space="0" w:color="0077BD"/>
              <w:bottom w:val="single" w:sz="4" w:space="0" w:color="0077BD"/>
              <w:right w:val="single" w:sz="8" w:space="0" w:color="0077BD"/>
            </w:tcBorders>
            <w:shd w:val="clear" w:color="auto" w:fill="auto"/>
            <w:vAlign w:val="center"/>
            <w:hideMark/>
          </w:tcPr>
          <w:p w14:paraId="2E058650" w14:textId="7AE78739"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(2 098 965)</w:t>
            </w:r>
          </w:p>
        </w:tc>
        <w:tc>
          <w:tcPr>
            <w:tcW w:w="851" w:type="dxa"/>
            <w:tcBorders>
              <w:top w:val="nil"/>
              <w:left w:val="nil"/>
              <w:bottom w:val="single" w:sz="4" w:space="0" w:color="0077BD"/>
              <w:right w:val="single" w:sz="8" w:space="0" w:color="0077BD"/>
            </w:tcBorders>
            <w:shd w:val="clear" w:color="auto" w:fill="auto"/>
            <w:vAlign w:val="center"/>
            <w:hideMark/>
          </w:tcPr>
          <w:p w14:paraId="24FE8700" w14:textId="4A1E5265"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538DDFF8" w14:textId="60E92019"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hideMark/>
          </w:tcPr>
          <w:p w14:paraId="04D60630" w14:textId="7DDE3FF5"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nil"/>
              <w:left w:val="nil"/>
              <w:bottom w:val="single" w:sz="4" w:space="0" w:color="0077BD"/>
              <w:right w:val="single" w:sz="8" w:space="0" w:color="0077BD"/>
            </w:tcBorders>
            <w:shd w:val="clear" w:color="auto" w:fill="auto"/>
            <w:vAlign w:val="center"/>
            <w:hideMark/>
          </w:tcPr>
          <w:p w14:paraId="21B811CB" w14:textId="479B4634"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2D8F4E9F" w14:textId="179581BD"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6DC7F43D" w14:textId="3409610D"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2AF1B721" w14:textId="472F5D3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05" w:type="dxa"/>
            <w:tcBorders>
              <w:top w:val="nil"/>
              <w:left w:val="nil"/>
              <w:bottom w:val="single" w:sz="4" w:space="0" w:color="0077BD"/>
              <w:right w:val="nil"/>
            </w:tcBorders>
            <w:shd w:val="clear" w:color="auto" w:fill="auto"/>
            <w:vAlign w:val="center"/>
            <w:hideMark/>
          </w:tcPr>
          <w:p w14:paraId="160B4748" w14:textId="589EBED2"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r>
      <w:tr w:rsidR="00A751C0" w:rsidRPr="00A751C0" w14:paraId="2980B950" w14:textId="77777777" w:rsidTr="00294CBC">
        <w:trPr>
          <w:trHeight w:val="284"/>
        </w:trPr>
        <w:tc>
          <w:tcPr>
            <w:tcW w:w="1701" w:type="dxa"/>
            <w:tcBorders>
              <w:top w:val="nil"/>
              <w:left w:val="nil"/>
              <w:bottom w:val="single" w:sz="4" w:space="0" w:color="0077BD"/>
              <w:right w:val="single" w:sz="8" w:space="0" w:color="0077BD"/>
            </w:tcBorders>
            <w:shd w:val="clear" w:color="auto" w:fill="auto"/>
            <w:vAlign w:val="center"/>
            <w:hideMark/>
          </w:tcPr>
          <w:p w14:paraId="09CC28AD" w14:textId="77777777" w:rsidR="005E18F2" w:rsidRPr="00437E6D" w:rsidRDefault="005E18F2" w:rsidP="005E18F2">
            <w:pPr>
              <w:rPr>
                <w:rFonts w:cs="Calibri"/>
                <w:color w:val="000000" w:themeColor="text1"/>
                <w:sz w:val="10"/>
                <w:szCs w:val="10"/>
              </w:rPr>
            </w:pPr>
            <w:r w:rsidRPr="00437E6D">
              <w:rPr>
                <w:rFonts w:cs="Calibri"/>
                <w:color w:val="000000" w:themeColor="text1"/>
                <w:sz w:val="10"/>
                <w:szCs w:val="10"/>
              </w:rPr>
              <w:t>Inne zwiększenia lub zmniejszenia kapitału własnego</w:t>
            </w:r>
          </w:p>
        </w:tc>
        <w:tc>
          <w:tcPr>
            <w:tcW w:w="851" w:type="dxa"/>
            <w:tcBorders>
              <w:top w:val="nil"/>
              <w:left w:val="nil"/>
              <w:bottom w:val="single" w:sz="4" w:space="0" w:color="0077BD"/>
              <w:right w:val="single" w:sz="8" w:space="0" w:color="0077BD"/>
            </w:tcBorders>
            <w:shd w:val="clear" w:color="auto" w:fill="auto"/>
            <w:vAlign w:val="center"/>
            <w:hideMark/>
          </w:tcPr>
          <w:p w14:paraId="78411EF4"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754D79FD"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384DC8C9"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1B1C93D3"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325FC019" w14:textId="77777777"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single" w:sz="8" w:space="0" w:color="0077BD"/>
              <w:bottom w:val="single" w:sz="4" w:space="0" w:color="0077BD"/>
              <w:right w:val="single" w:sz="8" w:space="0" w:color="0077BD"/>
            </w:tcBorders>
            <w:shd w:val="clear" w:color="auto" w:fill="auto"/>
            <w:vAlign w:val="center"/>
            <w:hideMark/>
          </w:tcPr>
          <w:p w14:paraId="1E594CA3" w14:textId="1A939562"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(38)</w:t>
            </w:r>
          </w:p>
        </w:tc>
        <w:tc>
          <w:tcPr>
            <w:tcW w:w="851" w:type="dxa"/>
            <w:tcBorders>
              <w:top w:val="nil"/>
              <w:left w:val="nil"/>
              <w:bottom w:val="single" w:sz="4" w:space="0" w:color="0077BD"/>
              <w:right w:val="single" w:sz="8" w:space="0" w:color="0077BD"/>
            </w:tcBorders>
            <w:shd w:val="clear" w:color="auto" w:fill="auto"/>
            <w:vAlign w:val="center"/>
            <w:hideMark/>
          </w:tcPr>
          <w:p w14:paraId="62DDBC9D" w14:textId="03AF7844"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6F99C419" w14:textId="534023DC"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hideMark/>
          </w:tcPr>
          <w:p w14:paraId="7904F6F4" w14:textId="1FB6481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3" w:type="dxa"/>
            <w:tcBorders>
              <w:top w:val="nil"/>
              <w:left w:val="nil"/>
              <w:bottom w:val="single" w:sz="4" w:space="0" w:color="0077BD"/>
              <w:right w:val="single" w:sz="8" w:space="0" w:color="0077BD"/>
            </w:tcBorders>
            <w:shd w:val="clear" w:color="auto" w:fill="auto"/>
            <w:vAlign w:val="center"/>
            <w:hideMark/>
          </w:tcPr>
          <w:p w14:paraId="4E82E2DB" w14:textId="10E401EB"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0E45BAE9" w14:textId="72157ED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24203DD6" w14:textId="24E12142"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(38)</w:t>
            </w:r>
          </w:p>
        </w:tc>
        <w:tc>
          <w:tcPr>
            <w:tcW w:w="992" w:type="dxa"/>
            <w:tcBorders>
              <w:top w:val="nil"/>
              <w:left w:val="nil"/>
              <w:bottom w:val="single" w:sz="4" w:space="0" w:color="0077BD"/>
              <w:right w:val="single" w:sz="8" w:space="0" w:color="0077BD"/>
            </w:tcBorders>
            <w:shd w:val="clear" w:color="auto" w:fill="auto"/>
            <w:vAlign w:val="center"/>
            <w:hideMark/>
          </w:tcPr>
          <w:p w14:paraId="03F0EF45" w14:textId="171649B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(4)</w:t>
            </w:r>
          </w:p>
        </w:tc>
        <w:tc>
          <w:tcPr>
            <w:tcW w:w="905" w:type="dxa"/>
            <w:tcBorders>
              <w:top w:val="nil"/>
              <w:left w:val="nil"/>
              <w:bottom w:val="single" w:sz="4" w:space="0" w:color="0077BD"/>
              <w:right w:val="nil"/>
            </w:tcBorders>
            <w:shd w:val="clear" w:color="auto" w:fill="auto"/>
            <w:vAlign w:val="center"/>
            <w:hideMark/>
          </w:tcPr>
          <w:p w14:paraId="4D17EA34" w14:textId="0020C7D8" w:rsidR="005E18F2" w:rsidRPr="00437E6D" w:rsidRDefault="005E18F2" w:rsidP="005E18F2">
            <w:pPr>
              <w:jc w:val="right"/>
              <w:rPr>
                <w:rFonts w:cs="Calibri"/>
                <w:color w:val="000000" w:themeColor="text1"/>
                <w:sz w:val="10"/>
                <w:szCs w:val="10"/>
              </w:rPr>
            </w:pPr>
            <w:r w:rsidRPr="00437E6D">
              <w:rPr>
                <w:rFonts w:cs="Calibri"/>
                <w:color w:val="000000" w:themeColor="text1"/>
                <w:sz w:val="10"/>
                <w:szCs w:val="10"/>
              </w:rPr>
              <w:t>(42)</w:t>
            </w:r>
          </w:p>
        </w:tc>
      </w:tr>
      <w:tr w:rsidR="00A751C0" w:rsidRPr="00A751C0" w14:paraId="7905E90F" w14:textId="77777777" w:rsidTr="00294CBC">
        <w:trPr>
          <w:trHeight w:val="198"/>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4A520588" w14:textId="77777777" w:rsidR="005E18F2" w:rsidRPr="00437E6D" w:rsidRDefault="005E18F2" w:rsidP="005E18F2">
            <w:pPr>
              <w:rPr>
                <w:rFonts w:cs="Calibri"/>
                <w:b/>
                <w:bCs/>
                <w:color w:val="000000" w:themeColor="text1"/>
                <w:sz w:val="10"/>
                <w:szCs w:val="10"/>
              </w:rPr>
            </w:pPr>
            <w:r w:rsidRPr="00437E6D">
              <w:rPr>
                <w:rFonts w:cs="Calibri"/>
                <w:b/>
                <w:bCs/>
                <w:color w:val="000000" w:themeColor="text1"/>
                <w:sz w:val="10"/>
                <w:szCs w:val="10"/>
              </w:rPr>
              <w:t>Program opcji pracowniczych</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47AB1995"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0A01478B"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10 410</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6E224DE0"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351274ED"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(186)</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201C66F7"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7CA6D46A" w14:textId="6DFA6166"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272FD9AD" w14:textId="382F67AC"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71BE7C5D" w14:textId="2A3B1448"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1134" w:type="dxa"/>
            <w:tcBorders>
              <w:top w:val="single" w:sz="8" w:space="0" w:color="0077BD"/>
              <w:left w:val="nil"/>
              <w:bottom w:val="single" w:sz="8" w:space="0" w:color="0077BD"/>
              <w:right w:val="single" w:sz="8" w:space="0" w:color="0077BD"/>
            </w:tcBorders>
            <w:shd w:val="clear" w:color="auto" w:fill="auto"/>
            <w:vAlign w:val="center"/>
            <w:hideMark/>
          </w:tcPr>
          <w:p w14:paraId="33B5F6AB" w14:textId="24A6AFE4"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66C4D3C3" w14:textId="5B55BEC5"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27FCD148" w14:textId="08BD3DC2"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28F59126" w14:textId="447B9E51"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10 224</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6FCE180C" w14:textId="15B57F20"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w:t>
            </w:r>
          </w:p>
        </w:tc>
        <w:tc>
          <w:tcPr>
            <w:tcW w:w="905" w:type="dxa"/>
            <w:tcBorders>
              <w:top w:val="single" w:sz="8" w:space="0" w:color="0077BD"/>
              <w:left w:val="nil"/>
              <w:bottom w:val="single" w:sz="8" w:space="0" w:color="0077BD"/>
              <w:right w:val="nil"/>
            </w:tcBorders>
            <w:shd w:val="clear" w:color="auto" w:fill="auto"/>
            <w:vAlign w:val="center"/>
            <w:hideMark/>
          </w:tcPr>
          <w:p w14:paraId="507D7BDF" w14:textId="5594E51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10 224</w:t>
            </w:r>
          </w:p>
        </w:tc>
      </w:tr>
      <w:tr w:rsidR="00A751C0" w:rsidRPr="00A751C0" w14:paraId="10D36CED" w14:textId="77777777" w:rsidTr="00294CBC">
        <w:trPr>
          <w:trHeight w:val="284"/>
        </w:trPr>
        <w:tc>
          <w:tcPr>
            <w:tcW w:w="1701" w:type="dxa"/>
            <w:tcBorders>
              <w:top w:val="single" w:sz="4" w:space="0" w:color="0077BD"/>
              <w:left w:val="nil"/>
              <w:bottom w:val="single" w:sz="4" w:space="0" w:color="0077BD"/>
              <w:right w:val="single" w:sz="8" w:space="0" w:color="0077BD"/>
            </w:tcBorders>
            <w:shd w:val="clear" w:color="auto" w:fill="auto"/>
            <w:vAlign w:val="center"/>
            <w:hideMark/>
          </w:tcPr>
          <w:p w14:paraId="72CAD67D" w14:textId="77777777" w:rsidR="005E18F2" w:rsidRPr="00437E6D" w:rsidRDefault="005E18F2" w:rsidP="005E18F2">
            <w:pPr>
              <w:rPr>
                <w:rFonts w:cs="Calibri"/>
                <w:i/>
                <w:iCs/>
                <w:color w:val="000000" w:themeColor="text1"/>
                <w:sz w:val="10"/>
                <w:szCs w:val="10"/>
              </w:rPr>
            </w:pPr>
            <w:r w:rsidRPr="00437E6D">
              <w:rPr>
                <w:rFonts w:cs="Calibri"/>
                <w:i/>
                <w:iCs/>
                <w:color w:val="000000" w:themeColor="text1"/>
                <w:sz w:val="10"/>
                <w:szCs w:val="10"/>
              </w:rPr>
              <w:t>- wartość usług świadczonych przez pracowników</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6A9364EE"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3393F17A"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4DA3A831"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1A783599"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10 224</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10ACE13D"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single" w:sz="8" w:space="0" w:color="0077BD"/>
              <w:bottom w:val="single" w:sz="4" w:space="0" w:color="0077BD"/>
              <w:right w:val="single" w:sz="8" w:space="0" w:color="0077BD"/>
            </w:tcBorders>
            <w:shd w:val="clear" w:color="auto" w:fill="auto"/>
            <w:vAlign w:val="center"/>
            <w:hideMark/>
          </w:tcPr>
          <w:p w14:paraId="53498C8B" w14:textId="5540B8D6"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single" w:sz="4" w:space="0" w:color="0077BD"/>
              <w:left w:val="nil"/>
              <w:bottom w:val="single" w:sz="4" w:space="0" w:color="0077BD"/>
              <w:right w:val="single" w:sz="8" w:space="0" w:color="0077BD"/>
            </w:tcBorders>
            <w:shd w:val="clear" w:color="auto" w:fill="auto"/>
            <w:vAlign w:val="center"/>
            <w:hideMark/>
          </w:tcPr>
          <w:p w14:paraId="47A190DB" w14:textId="24EDBD94"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single" w:sz="4" w:space="0" w:color="0077BD"/>
              <w:left w:val="nil"/>
              <w:bottom w:val="single" w:sz="4" w:space="0" w:color="0077BD"/>
              <w:right w:val="single" w:sz="8" w:space="0" w:color="0077BD"/>
            </w:tcBorders>
            <w:shd w:val="clear" w:color="auto" w:fill="auto"/>
            <w:vAlign w:val="center"/>
            <w:hideMark/>
          </w:tcPr>
          <w:p w14:paraId="1C3EEBAA" w14:textId="2DFD944C"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1134" w:type="dxa"/>
            <w:tcBorders>
              <w:top w:val="single" w:sz="4" w:space="0" w:color="0077BD"/>
              <w:left w:val="nil"/>
              <w:bottom w:val="single" w:sz="4" w:space="0" w:color="0077BD"/>
              <w:right w:val="single" w:sz="8" w:space="0" w:color="0077BD"/>
            </w:tcBorders>
            <w:shd w:val="clear" w:color="auto" w:fill="auto"/>
            <w:vAlign w:val="center"/>
            <w:hideMark/>
          </w:tcPr>
          <w:p w14:paraId="34E3A4E3" w14:textId="45A5E082"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3" w:type="dxa"/>
            <w:tcBorders>
              <w:top w:val="single" w:sz="4" w:space="0" w:color="0077BD"/>
              <w:left w:val="nil"/>
              <w:bottom w:val="single" w:sz="4" w:space="0" w:color="0077BD"/>
              <w:right w:val="single" w:sz="8" w:space="0" w:color="0077BD"/>
            </w:tcBorders>
            <w:shd w:val="clear" w:color="auto" w:fill="auto"/>
            <w:vAlign w:val="center"/>
            <w:hideMark/>
          </w:tcPr>
          <w:p w14:paraId="1C3960EC" w14:textId="07682618"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60480A02" w14:textId="6A218193"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46B4EB7B" w14:textId="78256EFB"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10 224</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25BAB815" w14:textId="063B732F"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05" w:type="dxa"/>
            <w:tcBorders>
              <w:top w:val="single" w:sz="4" w:space="0" w:color="0077BD"/>
              <w:left w:val="nil"/>
              <w:bottom w:val="single" w:sz="4" w:space="0" w:color="0077BD"/>
              <w:right w:val="nil"/>
            </w:tcBorders>
            <w:shd w:val="clear" w:color="auto" w:fill="auto"/>
            <w:vAlign w:val="center"/>
            <w:hideMark/>
          </w:tcPr>
          <w:p w14:paraId="0734D4C6" w14:textId="77BF853E"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10 224</w:t>
            </w:r>
          </w:p>
        </w:tc>
      </w:tr>
      <w:tr w:rsidR="00A751C0" w:rsidRPr="00A751C0" w14:paraId="1B1E4603" w14:textId="77777777" w:rsidTr="00C75F2D">
        <w:trPr>
          <w:trHeight w:val="284"/>
        </w:trPr>
        <w:tc>
          <w:tcPr>
            <w:tcW w:w="1701" w:type="dxa"/>
            <w:tcBorders>
              <w:top w:val="nil"/>
              <w:left w:val="nil"/>
              <w:bottom w:val="single" w:sz="4" w:space="0" w:color="0077BD"/>
              <w:right w:val="single" w:sz="8" w:space="0" w:color="0077BD"/>
            </w:tcBorders>
            <w:shd w:val="clear" w:color="auto" w:fill="auto"/>
            <w:vAlign w:val="center"/>
            <w:hideMark/>
          </w:tcPr>
          <w:p w14:paraId="1A066E08" w14:textId="77777777" w:rsidR="005E18F2" w:rsidRPr="00437E6D" w:rsidRDefault="005E18F2" w:rsidP="005E18F2">
            <w:pPr>
              <w:rPr>
                <w:rFonts w:cs="Calibri"/>
                <w:i/>
                <w:iCs/>
                <w:color w:val="000000" w:themeColor="text1"/>
                <w:sz w:val="10"/>
                <w:szCs w:val="10"/>
              </w:rPr>
            </w:pPr>
            <w:r w:rsidRPr="00437E6D">
              <w:rPr>
                <w:rFonts w:cs="Calibri"/>
                <w:i/>
                <w:iCs/>
                <w:color w:val="000000" w:themeColor="text1"/>
                <w:sz w:val="10"/>
                <w:szCs w:val="10"/>
              </w:rPr>
              <w:t>- rozliczenie zrealizowanych opcji pracowniczych</w:t>
            </w:r>
          </w:p>
        </w:tc>
        <w:tc>
          <w:tcPr>
            <w:tcW w:w="851" w:type="dxa"/>
            <w:tcBorders>
              <w:top w:val="nil"/>
              <w:left w:val="nil"/>
              <w:bottom w:val="single" w:sz="4" w:space="0" w:color="0077BD"/>
              <w:right w:val="single" w:sz="8" w:space="0" w:color="0077BD"/>
            </w:tcBorders>
            <w:shd w:val="clear" w:color="auto" w:fill="auto"/>
            <w:vAlign w:val="center"/>
            <w:hideMark/>
          </w:tcPr>
          <w:p w14:paraId="03B7E9A6"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418B3662"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10 410</w:t>
            </w:r>
          </w:p>
        </w:tc>
        <w:tc>
          <w:tcPr>
            <w:tcW w:w="851" w:type="dxa"/>
            <w:tcBorders>
              <w:top w:val="nil"/>
              <w:left w:val="nil"/>
              <w:bottom w:val="single" w:sz="4" w:space="0" w:color="0077BD"/>
              <w:right w:val="single" w:sz="8" w:space="0" w:color="0077BD"/>
            </w:tcBorders>
            <w:shd w:val="clear" w:color="auto" w:fill="auto"/>
            <w:vAlign w:val="center"/>
            <w:hideMark/>
          </w:tcPr>
          <w:p w14:paraId="14B22678"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117A8D68"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(10 410)</w:t>
            </w:r>
          </w:p>
        </w:tc>
        <w:tc>
          <w:tcPr>
            <w:tcW w:w="851" w:type="dxa"/>
            <w:tcBorders>
              <w:top w:val="nil"/>
              <w:left w:val="nil"/>
              <w:bottom w:val="single" w:sz="4" w:space="0" w:color="0077BD"/>
              <w:right w:val="single" w:sz="8" w:space="0" w:color="0077BD"/>
            </w:tcBorders>
            <w:shd w:val="clear" w:color="auto" w:fill="auto"/>
            <w:vAlign w:val="center"/>
            <w:hideMark/>
          </w:tcPr>
          <w:p w14:paraId="258F9105" w14:textId="77777777"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single" w:sz="8" w:space="0" w:color="0077BD"/>
              <w:bottom w:val="single" w:sz="4" w:space="0" w:color="0077BD"/>
              <w:right w:val="single" w:sz="8" w:space="0" w:color="0077BD"/>
            </w:tcBorders>
            <w:shd w:val="clear" w:color="auto" w:fill="auto"/>
            <w:vAlign w:val="center"/>
            <w:hideMark/>
          </w:tcPr>
          <w:p w14:paraId="0FBB362D" w14:textId="64193F8F"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1" w:type="dxa"/>
            <w:tcBorders>
              <w:top w:val="nil"/>
              <w:left w:val="nil"/>
              <w:bottom w:val="single" w:sz="4" w:space="0" w:color="0077BD"/>
              <w:right w:val="single" w:sz="8" w:space="0" w:color="0077BD"/>
            </w:tcBorders>
            <w:shd w:val="clear" w:color="auto" w:fill="auto"/>
            <w:vAlign w:val="center"/>
            <w:hideMark/>
          </w:tcPr>
          <w:p w14:paraId="1C1A0928" w14:textId="4ADFE926"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850" w:type="dxa"/>
            <w:tcBorders>
              <w:top w:val="nil"/>
              <w:left w:val="nil"/>
              <w:bottom w:val="single" w:sz="4" w:space="0" w:color="0077BD"/>
              <w:right w:val="single" w:sz="8" w:space="0" w:color="0077BD"/>
            </w:tcBorders>
            <w:shd w:val="clear" w:color="auto" w:fill="auto"/>
            <w:vAlign w:val="center"/>
            <w:hideMark/>
          </w:tcPr>
          <w:p w14:paraId="2DDE0ED6" w14:textId="200C6A7D"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1134" w:type="dxa"/>
            <w:tcBorders>
              <w:top w:val="nil"/>
              <w:left w:val="nil"/>
              <w:bottom w:val="single" w:sz="4" w:space="0" w:color="0077BD"/>
              <w:right w:val="single" w:sz="8" w:space="0" w:color="0077BD"/>
            </w:tcBorders>
            <w:shd w:val="clear" w:color="auto" w:fill="auto"/>
            <w:vAlign w:val="center"/>
            <w:hideMark/>
          </w:tcPr>
          <w:p w14:paraId="3AEBF046" w14:textId="0BE60F82"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3" w:type="dxa"/>
            <w:tcBorders>
              <w:top w:val="nil"/>
              <w:left w:val="nil"/>
              <w:bottom w:val="single" w:sz="4" w:space="0" w:color="0077BD"/>
              <w:right w:val="single" w:sz="8" w:space="0" w:color="0077BD"/>
            </w:tcBorders>
            <w:shd w:val="clear" w:color="auto" w:fill="auto"/>
            <w:vAlign w:val="center"/>
            <w:hideMark/>
          </w:tcPr>
          <w:p w14:paraId="086D80AE" w14:textId="1F781B85"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6BEE3F1E" w14:textId="576C67C8"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2DF84CAC" w14:textId="5E323292"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92" w:type="dxa"/>
            <w:tcBorders>
              <w:top w:val="nil"/>
              <w:left w:val="nil"/>
              <w:bottom w:val="single" w:sz="4" w:space="0" w:color="0077BD"/>
              <w:right w:val="single" w:sz="8" w:space="0" w:color="0077BD"/>
            </w:tcBorders>
            <w:shd w:val="clear" w:color="auto" w:fill="auto"/>
            <w:vAlign w:val="center"/>
            <w:hideMark/>
          </w:tcPr>
          <w:p w14:paraId="29A2362E" w14:textId="70486295"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c>
          <w:tcPr>
            <w:tcW w:w="905" w:type="dxa"/>
            <w:tcBorders>
              <w:top w:val="nil"/>
              <w:left w:val="nil"/>
              <w:bottom w:val="single" w:sz="8" w:space="0" w:color="0077BD"/>
              <w:right w:val="nil"/>
            </w:tcBorders>
            <w:shd w:val="clear" w:color="auto" w:fill="auto"/>
            <w:vAlign w:val="center"/>
            <w:hideMark/>
          </w:tcPr>
          <w:p w14:paraId="4F05586E" w14:textId="6879F3F5" w:rsidR="005E18F2" w:rsidRPr="00437E6D" w:rsidRDefault="005E18F2" w:rsidP="005E18F2">
            <w:pPr>
              <w:jc w:val="right"/>
              <w:rPr>
                <w:rFonts w:cs="Calibri"/>
                <w:i/>
                <w:iCs/>
                <w:color w:val="000000" w:themeColor="text1"/>
                <w:sz w:val="10"/>
                <w:szCs w:val="10"/>
              </w:rPr>
            </w:pPr>
            <w:r w:rsidRPr="00437E6D">
              <w:rPr>
                <w:rFonts w:cs="Calibri"/>
                <w:i/>
                <w:iCs/>
                <w:color w:val="000000" w:themeColor="text1"/>
                <w:sz w:val="10"/>
                <w:szCs w:val="10"/>
              </w:rPr>
              <w:t>-</w:t>
            </w:r>
          </w:p>
        </w:tc>
      </w:tr>
      <w:tr w:rsidR="00A751C0" w:rsidRPr="00A751C0" w14:paraId="288D3687" w14:textId="77777777" w:rsidTr="00C75F2D">
        <w:trPr>
          <w:trHeight w:val="198"/>
        </w:trPr>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73709097" w14:textId="77777777" w:rsidR="005E18F2" w:rsidRPr="00437E6D" w:rsidRDefault="005E18F2" w:rsidP="005E18F2">
            <w:pPr>
              <w:rPr>
                <w:rFonts w:cs="Calibri"/>
                <w:b/>
                <w:bCs/>
                <w:color w:val="000000" w:themeColor="text1"/>
                <w:sz w:val="10"/>
                <w:szCs w:val="10"/>
              </w:rPr>
            </w:pPr>
            <w:r w:rsidRPr="00437E6D">
              <w:rPr>
                <w:rFonts w:cs="Calibri"/>
                <w:b/>
                <w:bCs/>
                <w:color w:val="000000" w:themeColor="text1"/>
                <w:sz w:val="10"/>
                <w:szCs w:val="10"/>
              </w:rPr>
              <w:t>Stan na 31 grudnia 2018 r.</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4067F734"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169 348</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6F835397"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3 405 338</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1C2AAF8F"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9 826 282</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2C9DC36A"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93 448</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3B5E7168" w14:textId="7777777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1 153 753</w:t>
            </w:r>
          </w:p>
        </w:tc>
        <w:tc>
          <w:tcPr>
            <w:tcW w:w="850"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31316997" w14:textId="37810AF0"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(996 686)</w:t>
            </w:r>
          </w:p>
        </w:tc>
        <w:tc>
          <w:tcPr>
            <w:tcW w:w="851" w:type="dxa"/>
            <w:tcBorders>
              <w:top w:val="single" w:sz="8" w:space="0" w:color="0077BD"/>
              <w:left w:val="nil"/>
              <w:bottom w:val="single" w:sz="8" w:space="0" w:color="0077BD"/>
              <w:right w:val="single" w:sz="8" w:space="0" w:color="0077BD"/>
            </w:tcBorders>
            <w:shd w:val="clear" w:color="auto" w:fill="auto"/>
            <w:vAlign w:val="center"/>
            <w:hideMark/>
          </w:tcPr>
          <w:p w14:paraId="4FAC9248" w14:textId="0AE43550"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1 302 786</w:t>
            </w:r>
          </w:p>
        </w:tc>
        <w:tc>
          <w:tcPr>
            <w:tcW w:w="850" w:type="dxa"/>
            <w:tcBorders>
              <w:top w:val="single" w:sz="8" w:space="0" w:color="0077BD"/>
              <w:left w:val="nil"/>
              <w:bottom w:val="single" w:sz="8" w:space="0" w:color="0077BD"/>
              <w:right w:val="single" w:sz="8" w:space="0" w:color="0077BD"/>
            </w:tcBorders>
            <w:shd w:val="clear" w:color="auto" w:fill="auto"/>
            <w:vAlign w:val="center"/>
            <w:hideMark/>
          </w:tcPr>
          <w:p w14:paraId="2A74B87D" w14:textId="2F405B8D"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(5 467)</w:t>
            </w:r>
          </w:p>
        </w:tc>
        <w:tc>
          <w:tcPr>
            <w:tcW w:w="1134" w:type="dxa"/>
            <w:tcBorders>
              <w:top w:val="single" w:sz="8" w:space="0" w:color="0077BD"/>
              <w:left w:val="nil"/>
              <w:bottom w:val="single" w:sz="8" w:space="0" w:color="0077BD"/>
              <w:right w:val="single" w:sz="8" w:space="0" w:color="0077BD"/>
            </w:tcBorders>
            <w:shd w:val="clear" w:color="auto" w:fill="auto"/>
            <w:vAlign w:val="center"/>
            <w:hideMark/>
          </w:tcPr>
          <w:p w14:paraId="5AD64F34" w14:textId="7EF90C2D"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145 978</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6AA955C7" w14:textId="63781E80"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83 643</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7D4CB5F7" w14:textId="64F9FC62"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(9 316)</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02EDBC8B" w14:textId="6614FE3B"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15 169 107</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7566E50D" w14:textId="52C16448"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2 100</w:t>
            </w:r>
          </w:p>
        </w:tc>
        <w:tc>
          <w:tcPr>
            <w:tcW w:w="905" w:type="dxa"/>
            <w:tcBorders>
              <w:top w:val="single" w:sz="8" w:space="0" w:color="0077BD"/>
              <w:left w:val="nil"/>
              <w:bottom w:val="single" w:sz="8" w:space="0" w:color="0077BD"/>
            </w:tcBorders>
            <w:shd w:val="clear" w:color="auto" w:fill="auto"/>
            <w:vAlign w:val="center"/>
            <w:hideMark/>
          </w:tcPr>
          <w:p w14:paraId="076E2BA6" w14:textId="5289D917" w:rsidR="005E18F2" w:rsidRPr="00437E6D" w:rsidRDefault="005E18F2" w:rsidP="005E18F2">
            <w:pPr>
              <w:jc w:val="right"/>
              <w:rPr>
                <w:rFonts w:cs="Calibri"/>
                <w:b/>
                <w:bCs/>
                <w:color w:val="000000" w:themeColor="text1"/>
                <w:sz w:val="10"/>
                <w:szCs w:val="10"/>
              </w:rPr>
            </w:pPr>
            <w:r w:rsidRPr="00437E6D">
              <w:rPr>
                <w:rFonts w:cs="Calibri"/>
                <w:b/>
                <w:bCs/>
                <w:color w:val="000000" w:themeColor="text1"/>
                <w:sz w:val="10"/>
                <w:szCs w:val="10"/>
              </w:rPr>
              <w:t>15 171 207</w:t>
            </w:r>
          </w:p>
        </w:tc>
      </w:tr>
    </w:tbl>
    <w:p w14:paraId="310120B3" w14:textId="77777777" w:rsidR="00CE1CEC" w:rsidRDefault="00CE1CEC" w:rsidP="002410FE">
      <w:pPr>
        <w:spacing w:before="120"/>
        <w:rPr>
          <w:color w:val="000000" w:themeColor="text1"/>
          <w:sz w:val="18"/>
        </w:rPr>
      </w:pPr>
    </w:p>
    <w:p w14:paraId="21B918EC" w14:textId="79E3BE1C" w:rsidR="00097933" w:rsidRPr="00A751C0" w:rsidRDefault="00097933" w:rsidP="002410FE">
      <w:pPr>
        <w:spacing w:before="120"/>
        <w:rPr>
          <w:color w:val="000000" w:themeColor="text1"/>
        </w:rPr>
      </w:pPr>
      <w:r w:rsidRPr="002A066F">
        <w:rPr>
          <w:color w:val="000000" w:themeColor="text1"/>
          <w:sz w:val="18"/>
        </w:rPr>
        <w:t xml:space="preserve">Noty przedstawione na stronach </w:t>
      </w:r>
      <w:r w:rsidR="001B4802">
        <w:rPr>
          <w:color w:val="000000" w:themeColor="text1"/>
          <w:sz w:val="18"/>
        </w:rPr>
        <w:t>10</w:t>
      </w:r>
      <w:r w:rsidR="005A393F">
        <w:rPr>
          <w:color w:val="000000" w:themeColor="text1"/>
          <w:sz w:val="18"/>
        </w:rPr>
        <w:t xml:space="preserve"> - 177</w:t>
      </w:r>
      <w:r w:rsidRPr="002A066F">
        <w:rPr>
          <w:color w:val="000000" w:themeColor="text1"/>
          <w:sz w:val="18"/>
        </w:rPr>
        <w:t xml:space="preserve"> stanowią integralną część niniejszego skonsolidowanego sprawozdania finansowego</w:t>
      </w:r>
    </w:p>
    <w:p w14:paraId="5F245B17" w14:textId="77777777" w:rsidR="007A2309" w:rsidRPr="00A751C0" w:rsidRDefault="007A2309" w:rsidP="00A82642">
      <w:pPr>
        <w:jc w:val="both"/>
        <w:rPr>
          <w:color w:val="000000" w:themeColor="text1"/>
        </w:rPr>
        <w:sectPr w:rsidR="007A2309" w:rsidRPr="00A751C0" w:rsidSect="00B15105">
          <w:headerReference w:type="default" r:id="rId19"/>
          <w:footnotePr>
            <w:numFmt w:val="lowerLetter"/>
          </w:footnotePr>
          <w:pgSz w:w="16838" w:h="11906" w:orient="landscape" w:code="9"/>
          <w:pgMar w:top="1559" w:right="1134" w:bottom="1134" w:left="1191" w:header="794" w:footer="454" w:gutter="0"/>
          <w:cols w:space="708"/>
          <w:docGrid w:linePitch="326"/>
        </w:sectPr>
      </w:pPr>
    </w:p>
    <w:p w14:paraId="10C76397" w14:textId="77777777" w:rsidR="00A16563" w:rsidRPr="00977E53" w:rsidRDefault="000F4BEE" w:rsidP="00F44764">
      <w:pPr>
        <w:pStyle w:val="Nagwek2"/>
        <w:numPr>
          <w:ilvl w:val="0"/>
          <w:numId w:val="0"/>
        </w:numPr>
        <w:spacing w:before="0" w:after="120"/>
        <w:jc w:val="both"/>
        <w:rPr>
          <w:color w:val="000000" w:themeColor="text1"/>
        </w:rPr>
      </w:pPr>
      <w:bookmarkStart w:id="8" w:name="_Toc32999785"/>
      <w:r w:rsidRPr="00977E53">
        <w:rPr>
          <w:color w:val="000000" w:themeColor="text1"/>
        </w:rPr>
        <w:lastRenderedPageBreak/>
        <w:t>Skonsolidowane s</w:t>
      </w:r>
      <w:r w:rsidR="00A16563" w:rsidRPr="00977E53">
        <w:rPr>
          <w:color w:val="000000" w:themeColor="text1"/>
        </w:rPr>
        <w:t>prawozdanie z przepływów pieniężnych</w:t>
      </w:r>
      <w:bookmarkEnd w:id="8"/>
    </w:p>
    <w:tbl>
      <w:tblPr>
        <w:tblW w:w="0" w:type="auto"/>
        <w:tblCellMar>
          <w:left w:w="28" w:type="dxa"/>
          <w:right w:w="28" w:type="dxa"/>
        </w:tblCellMar>
        <w:tblLook w:val="04A0" w:firstRow="1" w:lastRow="0" w:firstColumn="1" w:lastColumn="0" w:noHBand="0" w:noVBand="1"/>
      </w:tblPr>
      <w:tblGrid>
        <w:gridCol w:w="6178"/>
        <w:gridCol w:w="567"/>
        <w:gridCol w:w="1418"/>
        <w:gridCol w:w="1418"/>
      </w:tblGrid>
      <w:tr w:rsidR="00515235" w:rsidRPr="009346AD" w14:paraId="1C3AA7C9" w14:textId="77777777" w:rsidTr="00EA76DC">
        <w:trPr>
          <w:trHeight w:val="227"/>
        </w:trPr>
        <w:tc>
          <w:tcPr>
            <w:tcW w:w="0" w:type="auto"/>
            <w:vMerge w:val="restart"/>
            <w:tcBorders>
              <w:top w:val="nil"/>
              <w:left w:val="nil"/>
              <w:bottom w:val="nil"/>
              <w:right w:val="nil"/>
            </w:tcBorders>
            <w:shd w:val="clear" w:color="000000" w:fill="0077BD"/>
            <w:noWrap/>
            <w:vAlign w:val="center"/>
            <w:hideMark/>
          </w:tcPr>
          <w:p w14:paraId="2A9F9B8B" w14:textId="77777777" w:rsidR="00515235" w:rsidRPr="009346AD" w:rsidRDefault="00515235" w:rsidP="00515235">
            <w:pPr>
              <w:jc w:val="right"/>
              <w:rPr>
                <w:rFonts w:cs="Calibri"/>
                <w:b/>
                <w:bCs/>
                <w:color w:val="FFFFFF"/>
                <w:sz w:val="13"/>
                <w:szCs w:val="13"/>
              </w:rPr>
            </w:pPr>
            <w:r w:rsidRPr="009346AD">
              <w:rPr>
                <w:rFonts w:cs="Calibri"/>
                <w:b/>
                <w:bCs/>
                <w:color w:val="FFFFFF"/>
                <w:sz w:val="13"/>
                <w:szCs w:val="13"/>
              </w:rPr>
              <w:t> </w:t>
            </w:r>
          </w:p>
        </w:tc>
        <w:tc>
          <w:tcPr>
            <w:tcW w:w="567" w:type="dxa"/>
            <w:vMerge w:val="restart"/>
            <w:tcBorders>
              <w:top w:val="nil"/>
              <w:left w:val="single" w:sz="8" w:space="0" w:color="FFFFFF"/>
              <w:bottom w:val="nil"/>
              <w:right w:val="single" w:sz="8" w:space="0" w:color="FFFFFF"/>
            </w:tcBorders>
            <w:shd w:val="clear" w:color="000000" w:fill="0077BD"/>
            <w:noWrap/>
            <w:vAlign w:val="center"/>
            <w:hideMark/>
          </w:tcPr>
          <w:p w14:paraId="481EF637" w14:textId="77777777" w:rsidR="00515235" w:rsidRPr="009346AD" w:rsidRDefault="00515235" w:rsidP="00515235">
            <w:pPr>
              <w:jc w:val="center"/>
              <w:rPr>
                <w:rFonts w:cs="Calibri"/>
                <w:b/>
                <w:bCs/>
                <w:color w:val="FFFFFF"/>
                <w:sz w:val="13"/>
                <w:szCs w:val="13"/>
              </w:rPr>
            </w:pPr>
            <w:r w:rsidRPr="009346AD">
              <w:rPr>
                <w:rFonts w:cs="Calibri"/>
                <w:b/>
                <w:bCs/>
                <w:color w:val="FFFFFF"/>
                <w:sz w:val="13"/>
                <w:szCs w:val="13"/>
              </w:rPr>
              <w:t>Nota</w:t>
            </w:r>
          </w:p>
        </w:tc>
        <w:tc>
          <w:tcPr>
            <w:tcW w:w="2836" w:type="dxa"/>
            <w:gridSpan w:val="2"/>
            <w:tcBorders>
              <w:top w:val="nil"/>
              <w:left w:val="nil"/>
              <w:bottom w:val="single" w:sz="6" w:space="0" w:color="FFFFFF"/>
              <w:right w:val="nil"/>
            </w:tcBorders>
            <w:shd w:val="clear" w:color="000000" w:fill="0077BD"/>
            <w:vAlign w:val="center"/>
            <w:hideMark/>
          </w:tcPr>
          <w:p w14:paraId="66D88A33" w14:textId="77777777" w:rsidR="00515235" w:rsidRPr="009346AD" w:rsidRDefault="00515235" w:rsidP="00515235">
            <w:pPr>
              <w:jc w:val="right"/>
              <w:rPr>
                <w:rFonts w:cs="Calibri"/>
                <w:b/>
                <w:bCs/>
                <w:color w:val="FFFFFF"/>
                <w:sz w:val="13"/>
                <w:szCs w:val="13"/>
              </w:rPr>
            </w:pPr>
            <w:r w:rsidRPr="009346AD">
              <w:rPr>
                <w:rFonts w:cs="Calibri"/>
                <w:b/>
                <w:bCs/>
                <w:color w:val="FFFFFF"/>
                <w:sz w:val="13"/>
                <w:szCs w:val="13"/>
              </w:rPr>
              <w:t>Rok kończący się 31 grudnia</w:t>
            </w:r>
          </w:p>
        </w:tc>
      </w:tr>
      <w:tr w:rsidR="00515235" w:rsidRPr="009346AD" w14:paraId="6AD753C3" w14:textId="77777777" w:rsidTr="0083730C">
        <w:trPr>
          <w:trHeight w:val="340"/>
        </w:trPr>
        <w:tc>
          <w:tcPr>
            <w:tcW w:w="0" w:type="auto"/>
            <w:vMerge/>
            <w:tcBorders>
              <w:top w:val="nil"/>
              <w:left w:val="nil"/>
              <w:right w:val="nil"/>
            </w:tcBorders>
            <w:vAlign w:val="center"/>
            <w:hideMark/>
          </w:tcPr>
          <w:p w14:paraId="11439B05" w14:textId="77777777" w:rsidR="00515235" w:rsidRPr="009346AD" w:rsidRDefault="00515235" w:rsidP="00515235">
            <w:pPr>
              <w:rPr>
                <w:rFonts w:cs="Calibri"/>
                <w:b/>
                <w:bCs/>
                <w:color w:val="FFFFFF"/>
                <w:sz w:val="13"/>
                <w:szCs w:val="13"/>
              </w:rPr>
            </w:pPr>
          </w:p>
        </w:tc>
        <w:tc>
          <w:tcPr>
            <w:tcW w:w="567" w:type="dxa"/>
            <w:vMerge/>
            <w:tcBorders>
              <w:top w:val="nil"/>
              <w:left w:val="single" w:sz="8" w:space="0" w:color="FFFFFF"/>
              <w:right w:val="single" w:sz="8" w:space="0" w:color="FFFFFF"/>
            </w:tcBorders>
            <w:vAlign w:val="center"/>
            <w:hideMark/>
          </w:tcPr>
          <w:p w14:paraId="699ECFDA" w14:textId="77777777" w:rsidR="00515235" w:rsidRPr="009346AD" w:rsidRDefault="00515235" w:rsidP="00515235">
            <w:pPr>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noWrap/>
            <w:vAlign w:val="center"/>
            <w:hideMark/>
          </w:tcPr>
          <w:p w14:paraId="0C98D183" w14:textId="77777777" w:rsidR="00515235" w:rsidRPr="009346AD" w:rsidRDefault="00515235" w:rsidP="00515235">
            <w:pPr>
              <w:jc w:val="right"/>
              <w:rPr>
                <w:rFonts w:cs="Calibri"/>
                <w:b/>
                <w:bCs/>
                <w:color w:val="FFFFFF"/>
                <w:sz w:val="13"/>
                <w:szCs w:val="13"/>
              </w:rPr>
            </w:pPr>
            <w:r w:rsidRPr="009346AD">
              <w:rPr>
                <w:rFonts w:cs="Calibri"/>
                <w:b/>
                <w:bCs/>
                <w:color w:val="FFFFFF"/>
                <w:sz w:val="13"/>
                <w:szCs w:val="13"/>
              </w:rPr>
              <w:t>2019</w:t>
            </w:r>
          </w:p>
        </w:tc>
        <w:tc>
          <w:tcPr>
            <w:tcW w:w="1418" w:type="dxa"/>
            <w:tcBorders>
              <w:top w:val="single" w:sz="6" w:space="0" w:color="FFFFFF"/>
              <w:left w:val="single" w:sz="4" w:space="0" w:color="FFFFFF"/>
              <w:right w:val="nil"/>
            </w:tcBorders>
            <w:shd w:val="clear" w:color="000000" w:fill="0077BD"/>
            <w:vAlign w:val="center"/>
            <w:hideMark/>
          </w:tcPr>
          <w:p w14:paraId="5DAA56F8" w14:textId="7508E7FE" w:rsidR="00515235" w:rsidRPr="009346AD" w:rsidRDefault="00515235" w:rsidP="00515235">
            <w:pPr>
              <w:jc w:val="right"/>
              <w:rPr>
                <w:rFonts w:cs="Calibri"/>
                <w:b/>
                <w:bCs/>
                <w:color w:val="FFFFFF"/>
                <w:sz w:val="13"/>
                <w:szCs w:val="13"/>
              </w:rPr>
            </w:pPr>
            <w:r w:rsidRPr="009346AD">
              <w:rPr>
                <w:rFonts w:cs="Calibri"/>
                <w:b/>
                <w:bCs/>
                <w:color w:val="FFFFFF"/>
                <w:sz w:val="13"/>
                <w:szCs w:val="13"/>
              </w:rPr>
              <w:t>2018</w:t>
            </w:r>
            <w:r w:rsidR="00D67F0D">
              <w:rPr>
                <w:rFonts w:cs="Calibri"/>
                <w:b/>
                <w:bCs/>
                <w:color w:val="FFFFFF"/>
                <w:sz w:val="13"/>
                <w:szCs w:val="13"/>
              </w:rPr>
              <w:br/>
              <w:t>- przekształcone</w:t>
            </w:r>
          </w:p>
        </w:tc>
      </w:tr>
      <w:tr w:rsidR="00855A6C" w:rsidRPr="00855A6C" w14:paraId="2993B700" w14:textId="77777777" w:rsidTr="0083730C">
        <w:trPr>
          <w:trHeight w:val="227"/>
        </w:trPr>
        <w:tc>
          <w:tcPr>
            <w:tcW w:w="0" w:type="auto"/>
            <w:tcBorders>
              <w:left w:val="nil"/>
              <w:bottom w:val="single" w:sz="8" w:space="0" w:color="0077BD"/>
              <w:right w:val="single" w:sz="8" w:space="0" w:color="0077BD"/>
            </w:tcBorders>
            <w:shd w:val="clear" w:color="auto" w:fill="auto"/>
            <w:vAlign w:val="center"/>
            <w:hideMark/>
          </w:tcPr>
          <w:p w14:paraId="61B560B7"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Zysk przed opodatkowaniem</w:t>
            </w:r>
          </w:p>
        </w:tc>
        <w:tc>
          <w:tcPr>
            <w:tcW w:w="567" w:type="dxa"/>
            <w:tcBorders>
              <w:left w:val="nil"/>
              <w:bottom w:val="single" w:sz="8" w:space="0" w:color="0077BD"/>
              <w:right w:val="single" w:sz="8" w:space="0" w:color="0077BD"/>
            </w:tcBorders>
            <w:shd w:val="clear" w:color="auto" w:fill="auto"/>
            <w:noWrap/>
            <w:vAlign w:val="center"/>
          </w:tcPr>
          <w:p w14:paraId="064C3682" w14:textId="73C84C2E" w:rsidR="0083730C" w:rsidRPr="00855A6C" w:rsidRDefault="0083730C" w:rsidP="0083730C">
            <w:pPr>
              <w:jc w:val="center"/>
              <w:rPr>
                <w:rFonts w:cs="Calibri"/>
                <w:b/>
                <w:bCs/>
                <w:color w:val="000000" w:themeColor="text1"/>
                <w:sz w:val="13"/>
                <w:szCs w:val="13"/>
              </w:rPr>
            </w:pPr>
          </w:p>
        </w:tc>
        <w:tc>
          <w:tcPr>
            <w:tcW w:w="1418" w:type="dxa"/>
            <w:tcBorders>
              <w:left w:val="single" w:sz="8" w:space="0" w:color="0077BD"/>
              <w:bottom w:val="single" w:sz="8" w:space="0" w:color="0077BD"/>
              <w:right w:val="single" w:sz="8" w:space="0" w:color="0077BD"/>
            </w:tcBorders>
            <w:shd w:val="clear" w:color="auto" w:fill="auto"/>
            <w:noWrap/>
            <w:vAlign w:val="center"/>
          </w:tcPr>
          <w:p w14:paraId="34D3CD87" w14:textId="72C90C69"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1 555 045</w:t>
            </w:r>
          </w:p>
        </w:tc>
        <w:tc>
          <w:tcPr>
            <w:tcW w:w="1418" w:type="dxa"/>
            <w:tcBorders>
              <w:left w:val="single" w:sz="8" w:space="0" w:color="0077BD"/>
              <w:bottom w:val="single" w:sz="8" w:space="0" w:color="0077BD"/>
              <w:right w:val="nil"/>
            </w:tcBorders>
            <w:shd w:val="clear" w:color="auto" w:fill="auto"/>
            <w:noWrap/>
            <w:vAlign w:val="center"/>
          </w:tcPr>
          <w:p w14:paraId="3C8085A4" w14:textId="01D2729C"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1 786 649</w:t>
            </w:r>
          </w:p>
        </w:tc>
      </w:tr>
      <w:tr w:rsidR="00855A6C" w:rsidRPr="00855A6C" w14:paraId="7327F253"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22E04D59" w14:textId="77777777" w:rsidR="0083730C" w:rsidRPr="00855A6C" w:rsidRDefault="0083730C" w:rsidP="0083730C">
            <w:pPr>
              <w:rPr>
                <w:rFonts w:cs="Calibri"/>
                <w:b/>
                <w:bCs/>
                <w:i/>
                <w:iCs/>
                <w:color w:val="000000" w:themeColor="text1"/>
                <w:sz w:val="13"/>
                <w:szCs w:val="13"/>
              </w:rPr>
            </w:pPr>
            <w:r w:rsidRPr="00855A6C">
              <w:rPr>
                <w:rFonts w:cs="Calibri"/>
                <w:b/>
                <w:bCs/>
                <w:i/>
                <w:iCs/>
                <w:color w:val="000000" w:themeColor="text1"/>
                <w:sz w:val="13"/>
                <w:szCs w:val="13"/>
              </w:rPr>
              <w:t>Korekty:</w:t>
            </w:r>
          </w:p>
        </w:tc>
        <w:tc>
          <w:tcPr>
            <w:tcW w:w="567" w:type="dxa"/>
            <w:tcBorders>
              <w:top w:val="nil"/>
              <w:left w:val="nil"/>
              <w:bottom w:val="single" w:sz="8" w:space="0" w:color="0077BD"/>
              <w:right w:val="single" w:sz="8" w:space="0" w:color="0077BD"/>
            </w:tcBorders>
            <w:shd w:val="clear" w:color="auto" w:fill="auto"/>
            <w:noWrap/>
            <w:vAlign w:val="center"/>
          </w:tcPr>
          <w:p w14:paraId="12041AB7" w14:textId="661F7107" w:rsidR="0083730C" w:rsidRPr="00855A6C" w:rsidRDefault="0083730C" w:rsidP="0083730C">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4281879E" w14:textId="1D5F0F9E" w:rsidR="0083730C" w:rsidRPr="00855A6C" w:rsidRDefault="000A32E2" w:rsidP="00217B9E">
            <w:pPr>
              <w:jc w:val="right"/>
              <w:rPr>
                <w:rFonts w:cs="Calibri"/>
                <w:b/>
                <w:bCs/>
                <w:i/>
                <w:iCs/>
                <w:color w:val="000000" w:themeColor="text1"/>
                <w:sz w:val="13"/>
                <w:szCs w:val="13"/>
              </w:rPr>
            </w:pPr>
            <w:r>
              <w:rPr>
                <w:rFonts w:cs="Calibri"/>
                <w:b/>
                <w:bCs/>
                <w:i/>
                <w:iCs/>
                <w:color w:val="000000" w:themeColor="text1"/>
                <w:sz w:val="13"/>
                <w:szCs w:val="13"/>
              </w:rPr>
              <w:t>(425</w:t>
            </w:r>
            <w:r w:rsidR="0083730C" w:rsidRPr="00855A6C">
              <w:rPr>
                <w:rFonts w:cs="Calibri"/>
                <w:b/>
                <w:bCs/>
                <w:i/>
                <w:iCs/>
                <w:color w:val="000000" w:themeColor="text1"/>
                <w:sz w:val="13"/>
                <w:szCs w:val="13"/>
              </w:rPr>
              <w:t xml:space="preserve"> </w:t>
            </w:r>
            <w:r w:rsidR="00217B9E">
              <w:rPr>
                <w:rFonts w:cs="Calibri"/>
                <w:b/>
                <w:bCs/>
                <w:i/>
                <w:iCs/>
                <w:color w:val="000000" w:themeColor="text1"/>
                <w:sz w:val="13"/>
                <w:szCs w:val="13"/>
              </w:rPr>
              <w:t>989</w:t>
            </w:r>
            <w:r w:rsidR="0083730C" w:rsidRPr="00855A6C">
              <w:rPr>
                <w:rFonts w:cs="Calibri"/>
                <w:b/>
                <w:bCs/>
                <w:i/>
                <w:i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E3C8785" w14:textId="4471ED01" w:rsidR="0083730C" w:rsidRPr="00855A6C" w:rsidRDefault="0083730C" w:rsidP="0083730C">
            <w:pPr>
              <w:jc w:val="right"/>
              <w:rPr>
                <w:rFonts w:cs="Calibri"/>
                <w:b/>
                <w:bCs/>
                <w:i/>
                <w:iCs/>
                <w:color w:val="000000" w:themeColor="text1"/>
                <w:sz w:val="13"/>
                <w:szCs w:val="13"/>
              </w:rPr>
            </w:pPr>
            <w:r w:rsidRPr="00855A6C">
              <w:rPr>
                <w:rFonts w:cs="Calibri"/>
                <w:b/>
                <w:bCs/>
                <w:i/>
                <w:iCs/>
                <w:color w:val="000000" w:themeColor="text1"/>
                <w:sz w:val="13"/>
                <w:szCs w:val="13"/>
              </w:rPr>
              <w:t>(653 909)</w:t>
            </w:r>
          </w:p>
        </w:tc>
      </w:tr>
      <w:tr w:rsidR="00855A6C" w:rsidRPr="00855A6C" w14:paraId="1595B1B1" w14:textId="77777777" w:rsidTr="00977E53">
        <w:trPr>
          <w:trHeight w:val="227"/>
        </w:trPr>
        <w:tc>
          <w:tcPr>
            <w:tcW w:w="0" w:type="auto"/>
            <w:tcBorders>
              <w:top w:val="nil"/>
              <w:left w:val="nil"/>
              <w:bottom w:val="nil"/>
              <w:right w:val="single" w:sz="8" w:space="0" w:color="0077BD"/>
            </w:tcBorders>
            <w:shd w:val="clear" w:color="auto" w:fill="auto"/>
            <w:vAlign w:val="center"/>
            <w:hideMark/>
          </w:tcPr>
          <w:p w14:paraId="5E88417A"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 xml:space="preserve">Zapłacony podatek dochodowy </w:t>
            </w:r>
          </w:p>
        </w:tc>
        <w:tc>
          <w:tcPr>
            <w:tcW w:w="567" w:type="dxa"/>
            <w:tcBorders>
              <w:top w:val="nil"/>
              <w:left w:val="nil"/>
              <w:bottom w:val="single" w:sz="4" w:space="0" w:color="0077BD"/>
              <w:right w:val="single" w:sz="8" w:space="0" w:color="0077BD"/>
            </w:tcBorders>
            <w:shd w:val="clear" w:color="auto" w:fill="auto"/>
            <w:noWrap/>
            <w:vAlign w:val="center"/>
          </w:tcPr>
          <w:p w14:paraId="2C44D1BE" w14:textId="5F3FFE2C" w:rsidR="0083730C" w:rsidRPr="00855A6C" w:rsidRDefault="0083730C" w:rsidP="0083730C">
            <w:pPr>
              <w:jc w:val="center"/>
              <w:rPr>
                <w:rFonts w:cs="Calibri"/>
                <w:b/>
                <w:bCs/>
                <w:i/>
                <w:iCs/>
                <w:color w:val="000000" w:themeColor="text1"/>
                <w:sz w:val="13"/>
                <w:szCs w:val="13"/>
              </w:rPr>
            </w:pPr>
          </w:p>
        </w:tc>
        <w:tc>
          <w:tcPr>
            <w:tcW w:w="1418" w:type="dxa"/>
            <w:tcBorders>
              <w:top w:val="nil"/>
              <w:left w:val="single" w:sz="8" w:space="0" w:color="0077BD"/>
              <w:bottom w:val="nil"/>
              <w:right w:val="single" w:sz="8" w:space="0" w:color="0077BD"/>
            </w:tcBorders>
            <w:shd w:val="clear" w:color="auto" w:fill="auto"/>
            <w:noWrap/>
            <w:vAlign w:val="center"/>
          </w:tcPr>
          <w:p w14:paraId="672F397E" w14:textId="35CD924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(705 191)</w:t>
            </w:r>
          </w:p>
        </w:tc>
        <w:tc>
          <w:tcPr>
            <w:tcW w:w="1418" w:type="dxa"/>
            <w:tcBorders>
              <w:top w:val="nil"/>
              <w:left w:val="single" w:sz="8" w:space="0" w:color="0077BD"/>
              <w:bottom w:val="nil"/>
              <w:right w:val="nil"/>
            </w:tcBorders>
            <w:shd w:val="clear" w:color="auto" w:fill="auto"/>
            <w:noWrap/>
            <w:vAlign w:val="center"/>
          </w:tcPr>
          <w:p w14:paraId="19BD7DF4" w14:textId="08D7F5F7"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(600 098)</w:t>
            </w:r>
          </w:p>
        </w:tc>
      </w:tr>
      <w:tr w:rsidR="00855A6C" w:rsidRPr="00855A6C" w14:paraId="4CD13312" w14:textId="77777777" w:rsidTr="00977E53">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2ACE81AF"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Amortyzacja, w tym amortyzacja środków trwałych oddanych w leasing operacyjny</w:t>
            </w:r>
          </w:p>
        </w:tc>
        <w:tc>
          <w:tcPr>
            <w:tcW w:w="567" w:type="dxa"/>
            <w:tcBorders>
              <w:top w:val="nil"/>
              <w:left w:val="nil"/>
              <w:bottom w:val="single" w:sz="4" w:space="0" w:color="0077BD"/>
              <w:right w:val="single" w:sz="8" w:space="0" w:color="0077BD"/>
            </w:tcBorders>
            <w:shd w:val="clear" w:color="auto" w:fill="auto"/>
            <w:noWrap/>
            <w:vAlign w:val="center"/>
          </w:tcPr>
          <w:p w14:paraId="4F51DAC2" w14:textId="06B9BA60" w:rsidR="0083730C" w:rsidRPr="00855A6C" w:rsidRDefault="007E54D6" w:rsidP="0083730C">
            <w:pPr>
              <w:jc w:val="center"/>
              <w:rPr>
                <w:rFonts w:cs="Calibri"/>
                <w:color w:val="000000" w:themeColor="text1"/>
                <w:sz w:val="13"/>
                <w:szCs w:val="13"/>
              </w:rPr>
            </w:pPr>
            <w:r>
              <w:rPr>
                <w:rFonts w:cs="Calibri"/>
                <w:color w:val="000000" w:themeColor="text1"/>
                <w:sz w:val="13"/>
                <w:szCs w:val="13"/>
              </w:rPr>
              <w:t>25, 26</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1242298F" w14:textId="05189C73" w:rsidR="0083730C" w:rsidRPr="00855A6C" w:rsidRDefault="003959ED" w:rsidP="003959ED">
            <w:pPr>
              <w:jc w:val="right"/>
              <w:rPr>
                <w:rFonts w:cs="Calibri"/>
                <w:color w:val="000000" w:themeColor="text1"/>
                <w:sz w:val="13"/>
                <w:szCs w:val="13"/>
              </w:rPr>
            </w:pPr>
            <w:r>
              <w:rPr>
                <w:rFonts w:cs="Calibri"/>
                <w:color w:val="000000" w:themeColor="text1"/>
                <w:sz w:val="13"/>
                <w:szCs w:val="13"/>
              </w:rPr>
              <w:t>423</w:t>
            </w:r>
            <w:r w:rsidR="0083730C" w:rsidRPr="00855A6C">
              <w:rPr>
                <w:rFonts w:cs="Calibri"/>
                <w:color w:val="000000" w:themeColor="text1"/>
                <w:sz w:val="13"/>
                <w:szCs w:val="13"/>
              </w:rPr>
              <w:t xml:space="preserve"> </w:t>
            </w:r>
            <w:r>
              <w:rPr>
                <w:rFonts w:cs="Calibri"/>
                <w:color w:val="000000" w:themeColor="text1"/>
                <w:sz w:val="13"/>
                <w:szCs w:val="13"/>
              </w:rPr>
              <w:t>463</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0F4107B4" w14:textId="07ADB2BA"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299 326</w:t>
            </w:r>
          </w:p>
        </w:tc>
      </w:tr>
      <w:tr w:rsidR="00855A6C" w:rsidRPr="00855A6C" w14:paraId="5D66FB97"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0A1199A"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(Zyski) straty z tytułu różnic kursowych z działalności finansowej</w:t>
            </w:r>
          </w:p>
        </w:tc>
        <w:tc>
          <w:tcPr>
            <w:tcW w:w="567" w:type="dxa"/>
            <w:tcBorders>
              <w:top w:val="nil"/>
              <w:left w:val="nil"/>
              <w:bottom w:val="single" w:sz="4" w:space="0" w:color="0077BD"/>
              <w:right w:val="single" w:sz="8" w:space="0" w:color="0077BD"/>
            </w:tcBorders>
            <w:shd w:val="clear" w:color="auto" w:fill="auto"/>
            <w:noWrap/>
            <w:vAlign w:val="center"/>
            <w:hideMark/>
          </w:tcPr>
          <w:p w14:paraId="0F5FD72E" w14:textId="2C3DC378"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ACEB5F5" w14:textId="0B935250" w:rsidR="0083730C" w:rsidRPr="00855A6C" w:rsidRDefault="00E50A5E" w:rsidP="00E50A5E">
            <w:pPr>
              <w:jc w:val="right"/>
              <w:rPr>
                <w:rFonts w:cs="Calibri"/>
                <w:color w:val="000000" w:themeColor="text1"/>
                <w:sz w:val="13"/>
                <w:szCs w:val="13"/>
              </w:rPr>
            </w:pPr>
            <w:r>
              <w:rPr>
                <w:rFonts w:cs="Calibri"/>
                <w:color w:val="000000" w:themeColor="text1"/>
                <w:sz w:val="13"/>
                <w:szCs w:val="13"/>
              </w:rPr>
              <w:t>107</w:t>
            </w:r>
            <w:r w:rsidR="0083730C" w:rsidRPr="00855A6C">
              <w:rPr>
                <w:rFonts w:cs="Calibri"/>
                <w:color w:val="000000" w:themeColor="text1"/>
                <w:sz w:val="13"/>
                <w:szCs w:val="13"/>
              </w:rPr>
              <w:t xml:space="preserve"> </w:t>
            </w:r>
            <w:r>
              <w:rPr>
                <w:rFonts w:cs="Calibri"/>
                <w:color w:val="000000" w:themeColor="text1"/>
                <w:sz w:val="13"/>
                <w:szCs w:val="13"/>
              </w:rPr>
              <w:t>844</w:t>
            </w:r>
          </w:p>
        </w:tc>
        <w:tc>
          <w:tcPr>
            <w:tcW w:w="1418" w:type="dxa"/>
            <w:tcBorders>
              <w:top w:val="nil"/>
              <w:left w:val="single" w:sz="8" w:space="0" w:color="0077BD"/>
              <w:bottom w:val="single" w:sz="4" w:space="0" w:color="0077BD"/>
              <w:right w:val="nil"/>
            </w:tcBorders>
            <w:shd w:val="clear" w:color="auto" w:fill="auto"/>
            <w:noWrap/>
            <w:vAlign w:val="center"/>
          </w:tcPr>
          <w:p w14:paraId="17276554" w14:textId="0EFE9754"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375 493</w:t>
            </w:r>
          </w:p>
        </w:tc>
      </w:tr>
      <w:tr w:rsidR="00855A6C" w:rsidRPr="00855A6C" w14:paraId="4FDAF17B"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2CEB2E9"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(Zyski) straty z działalności inwestycyjnej</w:t>
            </w:r>
          </w:p>
        </w:tc>
        <w:tc>
          <w:tcPr>
            <w:tcW w:w="567" w:type="dxa"/>
            <w:tcBorders>
              <w:top w:val="nil"/>
              <w:left w:val="nil"/>
              <w:bottom w:val="single" w:sz="4" w:space="0" w:color="0077BD"/>
              <w:right w:val="single" w:sz="8" w:space="0" w:color="0077BD"/>
            </w:tcBorders>
            <w:shd w:val="clear" w:color="auto" w:fill="auto"/>
            <w:noWrap/>
            <w:vAlign w:val="center"/>
          </w:tcPr>
          <w:p w14:paraId="5EB2736D" w14:textId="230A9169"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F03142E" w14:textId="5003EE8C" w:rsidR="0083730C" w:rsidRPr="00855A6C" w:rsidRDefault="000A32E2" w:rsidP="00217B9E">
            <w:pPr>
              <w:jc w:val="right"/>
              <w:rPr>
                <w:rFonts w:cs="Calibri"/>
                <w:color w:val="000000" w:themeColor="text1"/>
                <w:sz w:val="13"/>
                <w:szCs w:val="13"/>
              </w:rPr>
            </w:pPr>
            <w:r>
              <w:rPr>
                <w:rFonts w:cs="Calibri"/>
                <w:color w:val="000000" w:themeColor="text1"/>
                <w:sz w:val="13"/>
                <w:szCs w:val="13"/>
              </w:rPr>
              <w:t>(37</w:t>
            </w:r>
            <w:r w:rsidR="0083730C" w:rsidRPr="00855A6C">
              <w:rPr>
                <w:rFonts w:cs="Calibri"/>
                <w:color w:val="000000" w:themeColor="text1"/>
                <w:sz w:val="13"/>
                <w:szCs w:val="13"/>
              </w:rPr>
              <w:t xml:space="preserve"> </w:t>
            </w:r>
            <w:r>
              <w:rPr>
                <w:rFonts w:cs="Calibri"/>
                <w:color w:val="000000" w:themeColor="text1"/>
                <w:sz w:val="13"/>
                <w:szCs w:val="13"/>
              </w:rPr>
              <w:t>6</w:t>
            </w:r>
            <w:r w:rsidR="0083730C" w:rsidRPr="00855A6C">
              <w:rPr>
                <w:rFonts w:cs="Calibri"/>
                <w:color w:val="000000" w:themeColor="text1"/>
                <w:sz w:val="13"/>
                <w:szCs w:val="13"/>
              </w:rPr>
              <w:t>63)</w:t>
            </w:r>
          </w:p>
        </w:tc>
        <w:tc>
          <w:tcPr>
            <w:tcW w:w="1418" w:type="dxa"/>
            <w:tcBorders>
              <w:top w:val="nil"/>
              <w:left w:val="single" w:sz="8" w:space="0" w:color="0077BD"/>
              <w:bottom w:val="single" w:sz="4" w:space="0" w:color="0077BD"/>
              <w:right w:val="nil"/>
            </w:tcBorders>
            <w:shd w:val="clear" w:color="auto" w:fill="auto"/>
            <w:noWrap/>
            <w:vAlign w:val="center"/>
          </w:tcPr>
          <w:p w14:paraId="342A2505" w14:textId="1B9A534A"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(309 106)</w:t>
            </w:r>
          </w:p>
        </w:tc>
      </w:tr>
      <w:tr w:rsidR="00855A6C" w:rsidRPr="00855A6C" w14:paraId="00F34FAF"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4EEB5EC1"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Dywidendy otrzymane</w:t>
            </w:r>
          </w:p>
        </w:tc>
        <w:tc>
          <w:tcPr>
            <w:tcW w:w="567" w:type="dxa"/>
            <w:tcBorders>
              <w:top w:val="nil"/>
              <w:left w:val="nil"/>
              <w:bottom w:val="single" w:sz="4" w:space="0" w:color="0077BD"/>
              <w:right w:val="single" w:sz="8" w:space="0" w:color="0077BD"/>
            </w:tcBorders>
            <w:shd w:val="clear" w:color="auto" w:fill="auto"/>
            <w:noWrap/>
            <w:vAlign w:val="center"/>
          </w:tcPr>
          <w:p w14:paraId="369EEF06" w14:textId="75C6B43A" w:rsidR="0083730C" w:rsidRPr="00855A6C" w:rsidRDefault="00001380" w:rsidP="0083730C">
            <w:pPr>
              <w:jc w:val="center"/>
              <w:rPr>
                <w:rFonts w:cs="Calibri"/>
                <w:color w:val="000000" w:themeColor="text1"/>
                <w:sz w:val="13"/>
                <w:szCs w:val="13"/>
              </w:rPr>
            </w:pPr>
            <w:r>
              <w:rPr>
                <w:rFonts w:cs="Calibri"/>
                <w:color w:val="000000" w:themeColor="text1"/>
                <w:sz w:val="13"/>
                <w:szCs w:val="13"/>
              </w:rPr>
              <w:t>8</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A449C04" w14:textId="45CB4B1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(4 220)</w:t>
            </w:r>
          </w:p>
        </w:tc>
        <w:tc>
          <w:tcPr>
            <w:tcW w:w="1418" w:type="dxa"/>
            <w:tcBorders>
              <w:top w:val="nil"/>
              <w:left w:val="single" w:sz="8" w:space="0" w:color="0077BD"/>
              <w:bottom w:val="single" w:sz="4" w:space="0" w:color="0077BD"/>
              <w:right w:val="nil"/>
            </w:tcBorders>
            <w:shd w:val="clear" w:color="auto" w:fill="auto"/>
            <w:noWrap/>
            <w:vAlign w:val="center"/>
          </w:tcPr>
          <w:p w14:paraId="0521E8F9" w14:textId="04525AE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(3 558)</w:t>
            </w:r>
          </w:p>
        </w:tc>
      </w:tr>
      <w:tr w:rsidR="00855A6C" w:rsidRPr="00855A6C" w14:paraId="790054D7"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1449B08"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Przychody odsetkowe (rachunek zysków i strat)</w:t>
            </w:r>
          </w:p>
        </w:tc>
        <w:tc>
          <w:tcPr>
            <w:tcW w:w="567" w:type="dxa"/>
            <w:tcBorders>
              <w:top w:val="nil"/>
              <w:left w:val="nil"/>
              <w:bottom w:val="single" w:sz="4" w:space="0" w:color="0077BD"/>
              <w:right w:val="single" w:sz="8" w:space="0" w:color="0077BD"/>
            </w:tcBorders>
            <w:shd w:val="clear" w:color="auto" w:fill="auto"/>
            <w:noWrap/>
            <w:vAlign w:val="center"/>
            <w:hideMark/>
          </w:tcPr>
          <w:p w14:paraId="0FFC4D10" w14:textId="7B5234D6" w:rsidR="0083730C" w:rsidRPr="00855A6C" w:rsidRDefault="00001380" w:rsidP="0083730C">
            <w:pPr>
              <w:jc w:val="center"/>
              <w:rPr>
                <w:rFonts w:cs="Calibri"/>
                <w:color w:val="000000" w:themeColor="text1"/>
                <w:sz w:val="13"/>
                <w:szCs w:val="13"/>
              </w:rPr>
            </w:pPr>
            <w:r>
              <w:rPr>
                <w:rFonts w:cs="Calibri"/>
                <w:color w:val="000000" w:themeColor="text1"/>
                <w:sz w:val="13"/>
                <w:szCs w:val="13"/>
              </w:rPr>
              <w:t>6</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D2524E8" w14:textId="230BBFEB"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(5 071 664)</w:t>
            </w:r>
          </w:p>
        </w:tc>
        <w:tc>
          <w:tcPr>
            <w:tcW w:w="1418" w:type="dxa"/>
            <w:tcBorders>
              <w:top w:val="nil"/>
              <w:left w:val="single" w:sz="8" w:space="0" w:color="0077BD"/>
              <w:bottom w:val="single" w:sz="4" w:space="0" w:color="0077BD"/>
              <w:right w:val="nil"/>
            </w:tcBorders>
            <w:shd w:val="clear" w:color="auto" w:fill="auto"/>
            <w:noWrap/>
            <w:vAlign w:val="center"/>
          </w:tcPr>
          <w:p w14:paraId="7505C26A" w14:textId="5E5AC714"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(4 518 190)</w:t>
            </w:r>
          </w:p>
        </w:tc>
      </w:tr>
      <w:tr w:rsidR="00855A6C" w:rsidRPr="00855A6C" w14:paraId="3F17FF56"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CC3B185"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Koszty odsetkowe (rachunek zysków i strat)</w:t>
            </w:r>
          </w:p>
        </w:tc>
        <w:tc>
          <w:tcPr>
            <w:tcW w:w="567" w:type="dxa"/>
            <w:tcBorders>
              <w:top w:val="nil"/>
              <w:left w:val="nil"/>
              <w:bottom w:val="single" w:sz="4" w:space="0" w:color="0077BD"/>
              <w:right w:val="single" w:sz="8" w:space="0" w:color="0077BD"/>
            </w:tcBorders>
            <w:shd w:val="clear" w:color="auto" w:fill="auto"/>
            <w:noWrap/>
            <w:vAlign w:val="center"/>
            <w:hideMark/>
          </w:tcPr>
          <w:p w14:paraId="1A7E0712" w14:textId="77777777" w:rsidR="0083730C" w:rsidRPr="00855A6C" w:rsidRDefault="0083730C" w:rsidP="0083730C">
            <w:pPr>
              <w:jc w:val="center"/>
              <w:rPr>
                <w:rFonts w:cs="Calibri"/>
                <w:color w:val="000000" w:themeColor="text1"/>
                <w:sz w:val="13"/>
                <w:szCs w:val="13"/>
              </w:rPr>
            </w:pPr>
            <w:r w:rsidRPr="00855A6C">
              <w:rPr>
                <w:rFonts w:cs="Calibri"/>
                <w:color w:val="000000" w:themeColor="text1"/>
                <w:sz w:val="13"/>
                <w:szCs w:val="13"/>
              </w:rPr>
              <w:t>6</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FE20984" w14:textId="14CE4DB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1 068 892</w:t>
            </w:r>
          </w:p>
        </w:tc>
        <w:tc>
          <w:tcPr>
            <w:tcW w:w="1418" w:type="dxa"/>
            <w:tcBorders>
              <w:top w:val="nil"/>
              <w:left w:val="single" w:sz="8" w:space="0" w:color="0077BD"/>
              <w:bottom w:val="single" w:sz="4" w:space="0" w:color="0077BD"/>
              <w:right w:val="nil"/>
            </w:tcBorders>
            <w:shd w:val="clear" w:color="auto" w:fill="auto"/>
            <w:noWrap/>
            <w:vAlign w:val="center"/>
          </w:tcPr>
          <w:p w14:paraId="4D93EDD6" w14:textId="5EC69FA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1 021 716</w:t>
            </w:r>
          </w:p>
        </w:tc>
      </w:tr>
      <w:tr w:rsidR="00855A6C" w:rsidRPr="00855A6C" w14:paraId="10455380"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6AB62DB"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Odsetki otrzymane</w:t>
            </w:r>
          </w:p>
        </w:tc>
        <w:tc>
          <w:tcPr>
            <w:tcW w:w="567" w:type="dxa"/>
            <w:tcBorders>
              <w:top w:val="nil"/>
              <w:left w:val="nil"/>
              <w:bottom w:val="single" w:sz="4" w:space="0" w:color="0077BD"/>
              <w:right w:val="single" w:sz="8" w:space="0" w:color="0077BD"/>
            </w:tcBorders>
            <w:shd w:val="clear" w:color="auto" w:fill="auto"/>
            <w:noWrap/>
            <w:vAlign w:val="center"/>
            <w:hideMark/>
          </w:tcPr>
          <w:p w14:paraId="47FC3284" w14:textId="4285C3BF"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12ACC51" w14:textId="49878FC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5 358 232</w:t>
            </w:r>
          </w:p>
        </w:tc>
        <w:tc>
          <w:tcPr>
            <w:tcW w:w="1418" w:type="dxa"/>
            <w:tcBorders>
              <w:top w:val="nil"/>
              <w:left w:val="single" w:sz="8" w:space="0" w:color="0077BD"/>
              <w:bottom w:val="single" w:sz="4" w:space="0" w:color="0077BD"/>
              <w:right w:val="nil"/>
            </w:tcBorders>
            <w:shd w:val="clear" w:color="auto" w:fill="auto"/>
            <w:noWrap/>
            <w:vAlign w:val="center"/>
          </w:tcPr>
          <w:p w14:paraId="51ED1B83" w14:textId="29AB441C"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4 755 576</w:t>
            </w:r>
          </w:p>
        </w:tc>
      </w:tr>
      <w:tr w:rsidR="00855A6C" w:rsidRPr="00855A6C" w14:paraId="0D444486"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4EA0FFFC"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Odsetki zapłacone</w:t>
            </w:r>
          </w:p>
        </w:tc>
        <w:tc>
          <w:tcPr>
            <w:tcW w:w="567" w:type="dxa"/>
            <w:tcBorders>
              <w:top w:val="nil"/>
              <w:left w:val="nil"/>
              <w:bottom w:val="single" w:sz="4" w:space="0" w:color="0077BD"/>
              <w:right w:val="single" w:sz="8" w:space="0" w:color="0077BD"/>
            </w:tcBorders>
            <w:shd w:val="clear" w:color="auto" w:fill="auto"/>
            <w:noWrap/>
            <w:vAlign w:val="center"/>
          </w:tcPr>
          <w:p w14:paraId="11894004" w14:textId="6BA796B4"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9698848" w14:textId="70A30D7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(1 096 272)</w:t>
            </w:r>
          </w:p>
        </w:tc>
        <w:tc>
          <w:tcPr>
            <w:tcW w:w="1418" w:type="dxa"/>
            <w:tcBorders>
              <w:top w:val="nil"/>
              <w:left w:val="single" w:sz="8" w:space="0" w:color="0077BD"/>
              <w:bottom w:val="single" w:sz="4" w:space="0" w:color="0077BD"/>
              <w:right w:val="nil"/>
            </w:tcBorders>
            <w:shd w:val="clear" w:color="auto" w:fill="auto"/>
            <w:noWrap/>
            <w:vAlign w:val="center"/>
          </w:tcPr>
          <w:p w14:paraId="409E2027" w14:textId="5C7F4717"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(1 212 902)</w:t>
            </w:r>
          </w:p>
        </w:tc>
      </w:tr>
      <w:tr w:rsidR="00855A6C" w:rsidRPr="00855A6C" w14:paraId="294A4DB3"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F057FAE"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Zmiana stanu należności od banków</w:t>
            </w:r>
          </w:p>
        </w:tc>
        <w:tc>
          <w:tcPr>
            <w:tcW w:w="567" w:type="dxa"/>
            <w:tcBorders>
              <w:top w:val="nil"/>
              <w:left w:val="nil"/>
              <w:bottom w:val="single" w:sz="4" w:space="0" w:color="0077BD"/>
              <w:right w:val="single" w:sz="8" w:space="0" w:color="0077BD"/>
            </w:tcBorders>
            <w:shd w:val="clear" w:color="auto" w:fill="auto"/>
            <w:noWrap/>
            <w:vAlign w:val="center"/>
          </w:tcPr>
          <w:p w14:paraId="60FFF620" w14:textId="174D6C5B"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6920124" w14:textId="3A48A86F"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(2 122 441)</w:t>
            </w:r>
          </w:p>
        </w:tc>
        <w:tc>
          <w:tcPr>
            <w:tcW w:w="1418" w:type="dxa"/>
            <w:tcBorders>
              <w:top w:val="nil"/>
              <w:left w:val="single" w:sz="8" w:space="0" w:color="0077BD"/>
              <w:bottom w:val="single" w:sz="4" w:space="0" w:color="0077BD"/>
              <w:right w:val="nil"/>
            </w:tcBorders>
            <w:shd w:val="clear" w:color="auto" w:fill="auto"/>
            <w:noWrap/>
            <w:vAlign w:val="center"/>
          </w:tcPr>
          <w:p w14:paraId="3A42A1E9" w14:textId="6B2EB00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(1 377 115)</w:t>
            </w:r>
          </w:p>
        </w:tc>
      </w:tr>
      <w:tr w:rsidR="00855A6C" w:rsidRPr="00855A6C" w14:paraId="36963E8D" w14:textId="77777777" w:rsidTr="001C7466">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2938EA4"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aktywów i zobowiązań finansowych przeznaczonych do obrotu oraz pochodnych instrumentów zabezpieczających</w:t>
            </w:r>
          </w:p>
        </w:tc>
        <w:tc>
          <w:tcPr>
            <w:tcW w:w="567" w:type="dxa"/>
            <w:tcBorders>
              <w:top w:val="nil"/>
              <w:left w:val="nil"/>
              <w:bottom w:val="single" w:sz="4" w:space="0" w:color="0077BD"/>
              <w:right w:val="single" w:sz="8" w:space="0" w:color="0077BD"/>
            </w:tcBorders>
            <w:shd w:val="clear" w:color="auto" w:fill="auto"/>
            <w:noWrap/>
            <w:vAlign w:val="center"/>
          </w:tcPr>
          <w:p w14:paraId="11D3EF6A" w14:textId="1042A75E"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A947414" w14:textId="10727D46"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(43 652)</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C35CA13" w14:textId="521C97C7"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(7 312)</w:t>
            </w:r>
          </w:p>
        </w:tc>
      </w:tr>
      <w:tr w:rsidR="00855A6C" w:rsidRPr="00855A6C" w14:paraId="4A335E11"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3CEA869B"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pożyczek i kredytów udzielonych klientom</w:t>
            </w:r>
          </w:p>
        </w:tc>
        <w:tc>
          <w:tcPr>
            <w:tcW w:w="567" w:type="dxa"/>
            <w:tcBorders>
              <w:top w:val="nil"/>
              <w:left w:val="nil"/>
              <w:bottom w:val="single" w:sz="4" w:space="0" w:color="0077BD"/>
              <w:right w:val="single" w:sz="8" w:space="0" w:color="0077BD"/>
            </w:tcBorders>
            <w:shd w:val="clear" w:color="auto" w:fill="auto"/>
            <w:noWrap/>
            <w:vAlign w:val="center"/>
          </w:tcPr>
          <w:p w14:paraId="0C3ACAEB" w14:textId="681B7F7D"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6874E58" w14:textId="133C9CD5"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(10 535 348)</w:t>
            </w:r>
          </w:p>
        </w:tc>
        <w:tc>
          <w:tcPr>
            <w:tcW w:w="1418" w:type="dxa"/>
            <w:tcBorders>
              <w:top w:val="nil"/>
              <w:left w:val="single" w:sz="8" w:space="0" w:color="0077BD"/>
              <w:bottom w:val="single" w:sz="4" w:space="0" w:color="0077BD"/>
              <w:right w:val="nil"/>
            </w:tcBorders>
            <w:shd w:val="clear" w:color="auto" w:fill="auto"/>
            <w:noWrap/>
            <w:vAlign w:val="center"/>
          </w:tcPr>
          <w:p w14:paraId="4FD56FEB" w14:textId="1001873F"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(10 280 705)</w:t>
            </w:r>
          </w:p>
        </w:tc>
      </w:tr>
      <w:tr w:rsidR="00855A6C" w:rsidRPr="00855A6C" w14:paraId="6E79F4AB" w14:textId="77777777" w:rsidTr="001C7466">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FAC87E5"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aktywów finansowych wycenianych w wartości godziwej przez pozostałe dochody całkowite</w:t>
            </w:r>
          </w:p>
        </w:tc>
        <w:tc>
          <w:tcPr>
            <w:tcW w:w="567" w:type="dxa"/>
            <w:tcBorders>
              <w:top w:val="nil"/>
              <w:left w:val="nil"/>
              <w:bottom w:val="single" w:sz="4" w:space="0" w:color="0077BD"/>
              <w:right w:val="single" w:sz="8" w:space="0" w:color="0077BD"/>
            </w:tcBorders>
            <w:shd w:val="clear" w:color="auto" w:fill="auto"/>
            <w:noWrap/>
            <w:vAlign w:val="center"/>
          </w:tcPr>
          <w:p w14:paraId="08E62E3E" w14:textId="01F6BD0C"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188B008" w14:textId="73025EB9" w:rsidR="00F14FB3" w:rsidRPr="00855A6C" w:rsidRDefault="00217B9E" w:rsidP="00217B9E">
            <w:pPr>
              <w:jc w:val="right"/>
              <w:rPr>
                <w:rFonts w:cs="Calibri"/>
                <w:color w:val="000000" w:themeColor="text1"/>
                <w:sz w:val="13"/>
                <w:szCs w:val="13"/>
              </w:rPr>
            </w:pPr>
            <w:r>
              <w:rPr>
                <w:rFonts w:cs="Calibri"/>
                <w:color w:val="000000" w:themeColor="text1"/>
                <w:sz w:val="13"/>
                <w:szCs w:val="13"/>
              </w:rPr>
              <w:t>1 127</w:t>
            </w:r>
            <w:r w:rsidR="00F14FB3" w:rsidRPr="00855A6C">
              <w:rPr>
                <w:rFonts w:cs="Calibri"/>
                <w:color w:val="000000" w:themeColor="text1"/>
                <w:sz w:val="13"/>
                <w:szCs w:val="13"/>
              </w:rPr>
              <w:t xml:space="preserve"> </w:t>
            </w:r>
            <w:r>
              <w:rPr>
                <w:rFonts w:cs="Calibri"/>
                <w:color w:val="000000" w:themeColor="text1"/>
                <w:sz w:val="13"/>
                <w:szCs w:val="13"/>
              </w:rPr>
              <w:t>294</w:t>
            </w:r>
          </w:p>
        </w:tc>
        <w:tc>
          <w:tcPr>
            <w:tcW w:w="1418" w:type="dxa"/>
            <w:tcBorders>
              <w:top w:val="nil"/>
              <w:left w:val="single" w:sz="8" w:space="0" w:color="0077BD"/>
              <w:bottom w:val="single" w:sz="4" w:space="0" w:color="0077BD"/>
              <w:right w:val="nil"/>
            </w:tcBorders>
            <w:shd w:val="clear" w:color="auto" w:fill="auto"/>
            <w:noWrap/>
            <w:vAlign w:val="center"/>
          </w:tcPr>
          <w:p w14:paraId="73D5DC86" w14:textId="2622570C"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(1 311 909)</w:t>
            </w:r>
          </w:p>
        </w:tc>
      </w:tr>
      <w:tr w:rsidR="00855A6C" w:rsidRPr="00855A6C" w14:paraId="1F820383"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7AC3064"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papierów wartościowych wycenianych w zamortyzowanym koszcie</w:t>
            </w:r>
          </w:p>
        </w:tc>
        <w:tc>
          <w:tcPr>
            <w:tcW w:w="567" w:type="dxa"/>
            <w:tcBorders>
              <w:top w:val="nil"/>
              <w:left w:val="nil"/>
              <w:bottom w:val="single" w:sz="4" w:space="0" w:color="0077BD"/>
              <w:right w:val="single" w:sz="8" w:space="0" w:color="0077BD"/>
            </w:tcBorders>
            <w:shd w:val="clear" w:color="auto" w:fill="auto"/>
            <w:noWrap/>
            <w:vAlign w:val="center"/>
          </w:tcPr>
          <w:p w14:paraId="03C9584E" w14:textId="71BF38A4"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E4D51FF" w14:textId="56DBCDC4"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(2 234 334)</w:t>
            </w:r>
          </w:p>
        </w:tc>
        <w:tc>
          <w:tcPr>
            <w:tcW w:w="1418" w:type="dxa"/>
            <w:tcBorders>
              <w:top w:val="nil"/>
              <w:left w:val="single" w:sz="8" w:space="0" w:color="0077BD"/>
              <w:bottom w:val="single" w:sz="4" w:space="0" w:color="0077BD"/>
              <w:right w:val="nil"/>
            </w:tcBorders>
            <w:shd w:val="clear" w:color="auto" w:fill="auto"/>
            <w:noWrap/>
            <w:vAlign w:val="center"/>
          </w:tcPr>
          <w:p w14:paraId="574F7D2D" w14:textId="4B458C5C"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(276 849)</w:t>
            </w:r>
          </w:p>
        </w:tc>
      </w:tr>
      <w:tr w:rsidR="00855A6C" w:rsidRPr="00855A6C" w14:paraId="73D3DE74"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5EF6AB9"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papierów wartościowych nieprzeznaczonych do obrotu wycenianych obowiązkowo przez wynik finansowy</w:t>
            </w:r>
          </w:p>
        </w:tc>
        <w:tc>
          <w:tcPr>
            <w:tcW w:w="567" w:type="dxa"/>
            <w:tcBorders>
              <w:top w:val="nil"/>
              <w:left w:val="nil"/>
              <w:bottom w:val="single" w:sz="4" w:space="0" w:color="0077BD"/>
              <w:right w:val="single" w:sz="8" w:space="0" w:color="0077BD"/>
            </w:tcBorders>
            <w:shd w:val="clear" w:color="auto" w:fill="auto"/>
            <w:noWrap/>
            <w:vAlign w:val="center"/>
          </w:tcPr>
          <w:p w14:paraId="6CDE06F5" w14:textId="4FECF021" w:rsidR="00F14FB3" w:rsidRPr="00855A6C" w:rsidRDefault="00F14FB3" w:rsidP="00F14FB3">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1CBDD759" w14:textId="190B5A8D" w:rsidR="00F14FB3" w:rsidRPr="00855A6C" w:rsidRDefault="00F87B1B" w:rsidP="00F87B1B">
            <w:pPr>
              <w:jc w:val="right"/>
              <w:rPr>
                <w:rFonts w:cs="Calibri"/>
                <w:color w:val="000000" w:themeColor="text1"/>
                <w:sz w:val="13"/>
                <w:szCs w:val="13"/>
              </w:rPr>
            </w:pPr>
            <w:r>
              <w:rPr>
                <w:rFonts w:cs="Calibri"/>
                <w:color w:val="000000" w:themeColor="text1"/>
                <w:sz w:val="13"/>
                <w:szCs w:val="13"/>
              </w:rPr>
              <w:t>(154</w:t>
            </w:r>
            <w:r w:rsidR="00F14FB3" w:rsidRPr="00855A6C">
              <w:rPr>
                <w:rFonts w:cs="Calibri"/>
                <w:color w:val="000000" w:themeColor="text1"/>
                <w:sz w:val="13"/>
                <w:szCs w:val="13"/>
              </w:rPr>
              <w:t xml:space="preserve"> </w:t>
            </w:r>
            <w:r>
              <w:rPr>
                <w:rFonts w:cs="Calibri"/>
                <w:color w:val="000000" w:themeColor="text1"/>
                <w:sz w:val="13"/>
                <w:szCs w:val="13"/>
              </w:rPr>
              <w:t>430</w:t>
            </w:r>
            <w:r w:rsidR="00F14FB3" w:rsidRPr="00855A6C">
              <w:rPr>
                <w:rFonts w:cs="Calibri"/>
                <w:color w:val="000000" w:themeColor="text1"/>
                <w:sz w:val="13"/>
                <w:szCs w:val="13"/>
              </w:rPr>
              <w:t>)</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39FB2C00" w14:textId="51CA3BF4"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(408)</w:t>
            </w:r>
          </w:p>
        </w:tc>
      </w:tr>
      <w:tr w:rsidR="00855A6C" w:rsidRPr="00855A6C" w14:paraId="21E12F7E"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209FBE8"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pozostałych aktywów</w:t>
            </w:r>
          </w:p>
        </w:tc>
        <w:tc>
          <w:tcPr>
            <w:tcW w:w="567" w:type="dxa"/>
            <w:tcBorders>
              <w:top w:val="nil"/>
              <w:left w:val="nil"/>
              <w:bottom w:val="single" w:sz="4" w:space="0" w:color="0077BD"/>
              <w:right w:val="single" w:sz="8" w:space="0" w:color="0077BD"/>
            </w:tcBorders>
            <w:shd w:val="clear" w:color="auto" w:fill="auto"/>
            <w:noWrap/>
            <w:vAlign w:val="center"/>
          </w:tcPr>
          <w:p w14:paraId="7411BF2E" w14:textId="4FC4F8D4"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7E047FC" w14:textId="6595ADF5" w:rsidR="00F14FB3" w:rsidRPr="00855A6C" w:rsidRDefault="003959ED" w:rsidP="003959ED">
            <w:pPr>
              <w:jc w:val="right"/>
              <w:rPr>
                <w:rFonts w:cs="Calibri"/>
                <w:color w:val="000000" w:themeColor="text1"/>
                <w:sz w:val="13"/>
                <w:szCs w:val="13"/>
              </w:rPr>
            </w:pPr>
            <w:r>
              <w:rPr>
                <w:rFonts w:cs="Calibri"/>
                <w:color w:val="000000" w:themeColor="text1"/>
                <w:sz w:val="13"/>
                <w:szCs w:val="13"/>
              </w:rPr>
              <w:t>216</w:t>
            </w:r>
            <w:r w:rsidR="00F14FB3" w:rsidRPr="00855A6C">
              <w:rPr>
                <w:rFonts w:cs="Calibri"/>
                <w:color w:val="000000" w:themeColor="text1"/>
                <w:sz w:val="13"/>
                <w:szCs w:val="13"/>
              </w:rPr>
              <w:t xml:space="preserve"> </w:t>
            </w:r>
            <w:r>
              <w:rPr>
                <w:rFonts w:cs="Calibri"/>
                <w:color w:val="000000" w:themeColor="text1"/>
                <w:sz w:val="13"/>
                <w:szCs w:val="13"/>
              </w:rPr>
              <w:t>394</w:t>
            </w:r>
          </w:p>
        </w:tc>
        <w:tc>
          <w:tcPr>
            <w:tcW w:w="1418" w:type="dxa"/>
            <w:tcBorders>
              <w:top w:val="nil"/>
              <w:left w:val="single" w:sz="8" w:space="0" w:color="0077BD"/>
              <w:bottom w:val="single" w:sz="4" w:space="0" w:color="0077BD"/>
              <w:right w:val="nil"/>
            </w:tcBorders>
            <w:shd w:val="clear" w:color="auto" w:fill="auto"/>
            <w:noWrap/>
            <w:vAlign w:val="center"/>
          </w:tcPr>
          <w:p w14:paraId="22368D8D" w14:textId="5A93A776"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(390 131)</w:t>
            </w:r>
          </w:p>
        </w:tc>
      </w:tr>
      <w:tr w:rsidR="00855A6C" w:rsidRPr="00855A6C" w14:paraId="4F96F686"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6E7C35F"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zobowiązań wobec banków</w:t>
            </w:r>
          </w:p>
        </w:tc>
        <w:tc>
          <w:tcPr>
            <w:tcW w:w="567" w:type="dxa"/>
            <w:tcBorders>
              <w:top w:val="nil"/>
              <w:left w:val="nil"/>
              <w:bottom w:val="single" w:sz="4" w:space="0" w:color="0077BD"/>
              <w:right w:val="single" w:sz="8" w:space="0" w:color="0077BD"/>
            </w:tcBorders>
            <w:shd w:val="clear" w:color="auto" w:fill="auto"/>
            <w:noWrap/>
            <w:vAlign w:val="center"/>
          </w:tcPr>
          <w:p w14:paraId="143F021C" w14:textId="528ACADC"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040A38B" w14:textId="76840BE5" w:rsidR="00F14FB3" w:rsidRPr="00855A6C" w:rsidRDefault="00F87B1B" w:rsidP="00F87B1B">
            <w:pPr>
              <w:jc w:val="right"/>
              <w:rPr>
                <w:rFonts w:cs="Calibri"/>
                <w:color w:val="000000" w:themeColor="text1"/>
                <w:sz w:val="13"/>
                <w:szCs w:val="13"/>
              </w:rPr>
            </w:pPr>
            <w:r>
              <w:rPr>
                <w:rFonts w:cs="Calibri"/>
                <w:color w:val="000000" w:themeColor="text1"/>
                <w:sz w:val="13"/>
                <w:szCs w:val="13"/>
              </w:rPr>
              <w:t>(1 39</w:t>
            </w:r>
            <w:r w:rsidR="00F14FB3" w:rsidRPr="00855A6C">
              <w:rPr>
                <w:rFonts w:cs="Calibri"/>
                <w:color w:val="000000" w:themeColor="text1"/>
                <w:sz w:val="13"/>
                <w:szCs w:val="13"/>
              </w:rPr>
              <w:t xml:space="preserve">9 </w:t>
            </w:r>
            <w:r>
              <w:rPr>
                <w:rFonts w:cs="Calibri"/>
                <w:color w:val="000000" w:themeColor="text1"/>
                <w:sz w:val="13"/>
                <w:szCs w:val="13"/>
              </w:rPr>
              <w:t>697</w:t>
            </w:r>
            <w:r w:rsidR="00F14FB3" w:rsidRPr="00855A6C">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5ACEEE40" w14:textId="36D0B69E"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635 989</w:t>
            </w:r>
          </w:p>
        </w:tc>
      </w:tr>
      <w:tr w:rsidR="00855A6C" w:rsidRPr="00855A6C" w14:paraId="76F70A10"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D7C5462"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zobowiązań wobec klientów</w:t>
            </w:r>
          </w:p>
        </w:tc>
        <w:tc>
          <w:tcPr>
            <w:tcW w:w="567" w:type="dxa"/>
            <w:tcBorders>
              <w:top w:val="nil"/>
              <w:left w:val="nil"/>
              <w:bottom w:val="single" w:sz="4" w:space="0" w:color="0077BD"/>
              <w:right w:val="single" w:sz="8" w:space="0" w:color="0077BD"/>
            </w:tcBorders>
            <w:shd w:val="clear" w:color="auto" w:fill="auto"/>
            <w:noWrap/>
            <w:vAlign w:val="center"/>
          </w:tcPr>
          <w:p w14:paraId="55BE2E68" w14:textId="31953EB4"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C0740E4" w14:textId="5A3179B2"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14 874 358</w:t>
            </w:r>
          </w:p>
        </w:tc>
        <w:tc>
          <w:tcPr>
            <w:tcW w:w="1418" w:type="dxa"/>
            <w:tcBorders>
              <w:top w:val="nil"/>
              <w:left w:val="single" w:sz="8" w:space="0" w:color="0077BD"/>
              <w:bottom w:val="single" w:sz="4" w:space="0" w:color="0077BD"/>
              <w:right w:val="nil"/>
            </w:tcBorders>
            <w:shd w:val="clear" w:color="auto" w:fill="auto"/>
            <w:noWrap/>
            <w:vAlign w:val="center"/>
          </w:tcPr>
          <w:p w14:paraId="3D51675C" w14:textId="4AAB08F9"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11 464 952</w:t>
            </w:r>
          </w:p>
        </w:tc>
      </w:tr>
      <w:tr w:rsidR="00855A6C" w:rsidRPr="00855A6C" w14:paraId="419AA470"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7E49F940"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zobowiązań z tytułu emisji dłużnych papierów wartościowych</w:t>
            </w:r>
          </w:p>
        </w:tc>
        <w:tc>
          <w:tcPr>
            <w:tcW w:w="567" w:type="dxa"/>
            <w:tcBorders>
              <w:top w:val="nil"/>
              <w:left w:val="nil"/>
              <w:bottom w:val="single" w:sz="4" w:space="0" w:color="0077BD"/>
              <w:right w:val="single" w:sz="8" w:space="0" w:color="0077BD"/>
            </w:tcBorders>
            <w:shd w:val="clear" w:color="auto" w:fill="auto"/>
            <w:noWrap/>
            <w:vAlign w:val="center"/>
          </w:tcPr>
          <w:p w14:paraId="76EC0CC0" w14:textId="45933EA1"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8B20F5E" w14:textId="2896788C" w:rsidR="00F14FB3" w:rsidRPr="00855A6C" w:rsidRDefault="00E50A5E" w:rsidP="00E50A5E">
            <w:pPr>
              <w:jc w:val="right"/>
              <w:rPr>
                <w:rFonts w:cs="Calibri"/>
                <w:color w:val="000000" w:themeColor="text1"/>
                <w:sz w:val="13"/>
                <w:szCs w:val="13"/>
              </w:rPr>
            </w:pPr>
            <w:r>
              <w:rPr>
                <w:rFonts w:cs="Calibri"/>
                <w:color w:val="000000" w:themeColor="text1"/>
                <w:sz w:val="13"/>
                <w:szCs w:val="13"/>
              </w:rPr>
              <w:t>(224</w:t>
            </w:r>
            <w:r w:rsidR="00F14FB3" w:rsidRPr="00855A6C">
              <w:rPr>
                <w:rFonts w:cs="Calibri"/>
                <w:color w:val="000000" w:themeColor="text1"/>
                <w:sz w:val="13"/>
                <w:szCs w:val="13"/>
              </w:rPr>
              <w:t xml:space="preserve"> </w:t>
            </w:r>
            <w:r>
              <w:rPr>
                <w:rFonts w:cs="Calibri"/>
                <w:color w:val="000000" w:themeColor="text1"/>
                <w:sz w:val="13"/>
                <w:szCs w:val="13"/>
              </w:rPr>
              <w:t>425</w:t>
            </w:r>
            <w:r w:rsidR="00F14FB3" w:rsidRPr="00855A6C">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42047F76" w14:textId="4DC42801"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280 813</w:t>
            </w:r>
          </w:p>
        </w:tc>
      </w:tr>
      <w:tr w:rsidR="00855A6C" w:rsidRPr="00855A6C" w14:paraId="6AEC7DA5" w14:textId="77777777" w:rsidTr="005869CD">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4A33CF8"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rezerw</w:t>
            </w:r>
          </w:p>
        </w:tc>
        <w:tc>
          <w:tcPr>
            <w:tcW w:w="567" w:type="dxa"/>
            <w:tcBorders>
              <w:top w:val="nil"/>
              <w:left w:val="nil"/>
              <w:bottom w:val="single" w:sz="4" w:space="0" w:color="0077BD"/>
              <w:right w:val="single" w:sz="8" w:space="0" w:color="0077BD"/>
            </w:tcBorders>
            <w:shd w:val="clear" w:color="auto" w:fill="auto"/>
            <w:noWrap/>
            <w:vAlign w:val="center"/>
          </w:tcPr>
          <w:p w14:paraId="6566DF97" w14:textId="3CD68C04"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69C9A78" w14:textId="7910618B"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481 013</w:t>
            </w:r>
          </w:p>
        </w:tc>
        <w:tc>
          <w:tcPr>
            <w:tcW w:w="1418" w:type="dxa"/>
            <w:tcBorders>
              <w:top w:val="nil"/>
              <w:left w:val="single" w:sz="8" w:space="0" w:color="0077BD"/>
              <w:bottom w:val="single" w:sz="4" w:space="0" w:color="0077BD"/>
              <w:right w:val="nil"/>
            </w:tcBorders>
            <w:shd w:val="clear" w:color="auto" w:fill="auto"/>
            <w:noWrap/>
            <w:vAlign w:val="center"/>
          </w:tcPr>
          <w:p w14:paraId="30DEB5AD" w14:textId="13595B96"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22 984</w:t>
            </w:r>
          </w:p>
        </w:tc>
      </w:tr>
      <w:tr w:rsidR="00855A6C" w:rsidRPr="00855A6C" w14:paraId="1213CD7B" w14:textId="77777777" w:rsidTr="005869CD">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0D9D0DF1" w14:textId="77777777" w:rsidR="00F14FB3" w:rsidRPr="00855A6C" w:rsidRDefault="00F14FB3" w:rsidP="00F14FB3">
            <w:pPr>
              <w:rPr>
                <w:rFonts w:cs="Calibri"/>
                <w:color w:val="000000" w:themeColor="text1"/>
                <w:sz w:val="13"/>
                <w:szCs w:val="13"/>
              </w:rPr>
            </w:pPr>
            <w:r w:rsidRPr="00855A6C">
              <w:rPr>
                <w:rFonts w:cs="Calibri"/>
                <w:color w:val="000000" w:themeColor="text1"/>
                <w:sz w:val="13"/>
                <w:szCs w:val="13"/>
              </w:rPr>
              <w:t>Zmiana stanu innych zobowiązań</w:t>
            </w:r>
          </w:p>
        </w:tc>
        <w:tc>
          <w:tcPr>
            <w:tcW w:w="567" w:type="dxa"/>
            <w:tcBorders>
              <w:top w:val="nil"/>
              <w:left w:val="nil"/>
              <w:bottom w:val="single" w:sz="4" w:space="0" w:color="0077BD"/>
              <w:right w:val="single" w:sz="8" w:space="0" w:color="0077BD"/>
            </w:tcBorders>
            <w:shd w:val="clear" w:color="auto" w:fill="auto"/>
            <w:noWrap/>
            <w:vAlign w:val="center"/>
          </w:tcPr>
          <w:p w14:paraId="5D2C98B6" w14:textId="0DC65404" w:rsidR="00F14FB3" w:rsidRPr="00855A6C" w:rsidRDefault="00F14FB3" w:rsidP="00F14FB3">
            <w:pPr>
              <w:jc w:val="center"/>
              <w:rPr>
                <w:rFonts w:cs="Calibri"/>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12EB66DF" w14:textId="047B0A36"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(454 142)</w:t>
            </w:r>
          </w:p>
        </w:tc>
        <w:tc>
          <w:tcPr>
            <w:tcW w:w="1418" w:type="dxa"/>
            <w:tcBorders>
              <w:top w:val="nil"/>
              <w:left w:val="single" w:sz="8" w:space="0" w:color="0077BD"/>
              <w:bottom w:val="single" w:sz="8" w:space="0" w:color="0077BD"/>
              <w:right w:val="nil"/>
            </w:tcBorders>
            <w:shd w:val="clear" w:color="auto" w:fill="auto"/>
            <w:noWrap/>
            <w:vAlign w:val="center"/>
          </w:tcPr>
          <w:p w14:paraId="6BD629F0" w14:textId="3E9FC086" w:rsidR="00F14FB3" w:rsidRPr="00855A6C" w:rsidRDefault="00F14FB3" w:rsidP="00F14FB3">
            <w:pPr>
              <w:jc w:val="right"/>
              <w:rPr>
                <w:rFonts w:cs="Calibri"/>
                <w:color w:val="000000" w:themeColor="text1"/>
                <w:sz w:val="13"/>
                <w:szCs w:val="13"/>
              </w:rPr>
            </w:pPr>
            <w:r w:rsidRPr="00855A6C">
              <w:rPr>
                <w:rFonts w:cs="Calibri"/>
                <w:color w:val="000000" w:themeColor="text1"/>
                <w:sz w:val="13"/>
                <w:szCs w:val="13"/>
              </w:rPr>
              <w:t>777 525</w:t>
            </w:r>
          </w:p>
        </w:tc>
      </w:tr>
      <w:tr w:rsidR="00855A6C" w:rsidRPr="00855A6C" w14:paraId="18126B34"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1CBEB3BD"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A. Przepływy środków pieniężnych z działalności operacyjnej</w:t>
            </w:r>
          </w:p>
        </w:tc>
        <w:tc>
          <w:tcPr>
            <w:tcW w:w="567" w:type="dxa"/>
            <w:tcBorders>
              <w:top w:val="single" w:sz="8" w:space="0" w:color="0077BD"/>
              <w:left w:val="nil"/>
              <w:bottom w:val="single" w:sz="8" w:space="0" w:color="0077BD"/>
              <w:right w:val="single" w:sz="8" w:space="0" w:color="0077BD"/>
            </w:tcBorders>
            <w:shd w:val="clear" w:color="auto" w:fill="auto"/>
            <w:noWrap/>
            <w:vAlign w:val="center"/>
            <w:hideMark/>
          </w:tcPr>
          <w:p w14:paraId="5B021B25" w14:textId="2A283650" w:rsidR="0083730C" w:rsidRPr="00855A6C" w:rsidRDefault="0083730C" w:rsidP="0083730C">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7AD85133" w14:textId="168694B6" w:rsidR="0083730C" w:rsidRPr="00855A6C" w:rsidRDefault="000A32E2" w:rsidP="000A32E2">
            <w:pPr>
              <w:jc w:val="right"/>
              <w:rPr>
                <w:rFonts w:cs="Calibri"/>
                <w:b/>
                <w:bCs/>
                <w:color w:val="000000" w:themeColor="text1"/>
                <w:sz w:val="13"/>
                <w:szCs w:val="13"/>
              </w:rPr>
            </w:pPr>
            <w:r>
              <w:rPr>
                <w:rFonts w:cs="Calibri"/>
                <w:b/>
                <w:bCs/>
                <w:color w:val="000000" w:themeColor="text1"/>
                <w:sz w:val="13"/>
                <w:szCs w:val="13"/>
              </w:rPr>
              <w:t>1 129</w:t>
            </w:r>
            <w:r w:rsidR="0083730C" w:rsidRPr="00855A6C">
              <w:rPr>
                <w:rFonts w:cs="Calibri"/>
                <w:b/>
                <w:bCs/>
                <w:color w:val="000000" w:themeColor="text1"/>
                <w:sz w:val="13"/>
                <w:szCs w:val="13"/>
              </w:rPr>
              <w:t xml:space="preserve"> </w:t>
            </w:r>
            <w:r>
              <w:rPr>
                <w:rFonts w:cs="Calibri"/>
                <w:b/>
                <w:bCs/>
                <w:color w:val="000000" w:themeColor="text1"/>
                <w:sz w:val="13"/>
                <w:szCs w:val="13"/>
              </w:rPr>
              <w:t>056</w:t>
            </w:r>
          </w:p>
        </w:tc>
        <w:tc>
          <w:tcPr>
            <w:tcW w:w="1418" w:type="dxa"/>
            <w:tcBorders>
              <w:top w:val="nil"/>
              <w:left w:val="single" w:sz="8" w:space="0" w:color="0077BD"/>
              <w:bottom w:val="single" w:sz="8" w:space="0" w:color="0077BD"/>
              <w:right w:val="nil"/>
            </w:tcBorders>
            <w:shd w:val="clear" w:color="auto" w:fill="auto"/>
            <w:noWrap/>
            <w:vAlign w:val="center"/>
          </w:tcPr>
          <w:p w14:paraId="57B00DE8" w14:textId="65C864E4"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1 132 740</w:t>
            </w:r>
          </w:p>
        </w:tc>
      </w:tr>
      <w:tr w:rsidR="00855A6C" w:rsidRPr="00855A6C" w14:paraId="7F716BA0"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5A76F47"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Zbycie udziałów lub akcji w jednostkach stowarzyszonych</w:t>
            </w:r>
          </w:p>
        </w:tc>
        <w:tc>
          <w:tcPr>
            <w:tcW w:w="567" w:type="dxa"/>
            <w:tcBorders>
              <w:top w:val="nil"/>
              <w:left w:val="nil"/>
              <w:bottom w:val="single" w:sz="4" w:space="0" w:color="0077BD"/>
              <w:right w:val="single" w:sz="8" w:space="0" w:color="0077BD"/>
            </w:tcBorders>
            <w:shd w:val="clear" w:color="auto" w:fill="auto"/>
            <w:noWrap/>
            <w:vAlign w:val="center"/>
            <w:hideMark/>
          </w:tcPr>
          <w:p w14:paraId="5364B1E9" w14:textId="63B871C1" w:rsidR="0083730C" w:rsidRPr="00855A6C" w:rsidRDefault="0083730C" w:rsidP="0083730C">
            <w:pPr>
              <w:jc w:val="center"/>
              <w:rPr>
                <w:rFonts w:cs="Calibri"/>
                <w:color w:val="000000" w:themeColor="text1"/>
                <w:sz w:val="13"/>
                <w:szCs w:val="13"/>
              </w:rPr>
            </w:pP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590A1D8C" w14:textId="4EBA27E6"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single" w:sz="8" w:space="0" w:color="0077BD"/>
              <w:left w:val="single" w:sz="8" w:space="0" w:color="0077BD"/>
              <w:bottom w:val="single" w:sz="4" w:space="0" w:color="0077BD"/>
              <w:right w:val="nil"/>
            </w:tcBorders>
            <w:shd w:val="clear" w:color="auto" w:fill="auto"/>
            <w:noWrap/>
            <w:vAlign w:val="center"/>
          </w:tcPr>
          <w:p w14:paraId="741C5EE5" w14:textId="7B511E7D"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54 759</w:t>
            </w:r>
          </w:p>
        </w:tc>
      </w:tr>
      <w:tr w:rsidR="00855A6C" w:rsidRPr="00855A6C" w14:paraId="2292A037" w14:textId="77777777" w:rsidTr="00977E53">
        <w:trPr>
          <w:trHeight w:val="227"/>
        </w:trPr>
        <w:tc>
          <w:tcPr>
            <w:tcW w:w="0" w:type="auto"/>
            <w:tcBorders>
              <w:top w:val="nil"/>
              <w:left w:val="nil"/>
              <w:bottom w:val="nil"/>
              <w:right w:val="single" w:sz="8" w:space="0" w:color="0077BD"/>
            </w:tcBorders>
            <w:shd w:val="clear" w:color="auto" w:fill="auto"/>
            <w:vAlign w:val="center"/>
            <w:hideMark/>
          </w:tcPr>
          <w:p w14:paraId="3D3AE3D1"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Zbycie udziałów lub akcji w jednostkach zależnych, po odliczeniu zbytych środków pieniężnych</w:t>
            </w:r>
          </w:p>
        </w:tc>
        <w:tc>
          <w:tcPr>
            <w:tcW w:w="567" w:type="dxa"/>
            <w:tcBorders>
              <w:top w:val="nil"/>
              <w:left w:val="nil"/>
              <w:bottom w:val="nil"/>
              <w:right w:val="single" w:sz="8" w:space="0" w:color="0077BD"/>
            </w:tcBorders>
            <w:shd w:val="clear" w:color="auto" w:fill="auto"/>
            <w:noWrap/>
            <w:vAlign w:val="center"/>
            <w:hideMark/>
          </w:tcPr>
          <w:p w14:paraId="1742AB29" w14:textId="35F0D906"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nil"/>
              <w:right w:val="single" w:sz="8" w:space="0" w:color="0077BD"/>
            </w:tcBorders>
            <w:shd w:val="clear" w:color="auto" w:fill="auto"/>
            <w:noWrap/>
            <w:vAlign w:val="center"/>
          </w:tcPr>
          <w:p w14:paraId="73ACFC63" w14:textId="569993EC"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nil"/>
              <w:left w:val="single" w:sz="8" w:space="0" w:color="0077BD"/>
              <w:bottom w:val="nil"/>
              <w:right w:val="nil"/>
            </w:tcBorders>
            <w:shd w:val="clear" w:color="auto" w:fill="auto"/>
            <w:noWrap/>
            <w:vAlign w:val="center"/>
          </w:tcPr>
          <w:p w14:paraId="4E5B6085" w14:textId="720B961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100</w:t>
            </w:r>
          </w:p>
        </w:tc>
      </w:tr>
      <w:tr w:rsidR="00855A6C" w:rsidRPr="00855A6C" w14:paraId="79BDB7D7" w14:textId="77777777" w:rsidTr="00977E53">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6E1925E9"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Zbycie wartości niematerialnych oraz rzeczowych aktywów trwałych</w:t>
            </w:r>
          </w:p>
        </w:tc>
        <w:tc>
          <w:tcPr>
            <w:tcW w:w="567" w:type="dxa"/>
            <w:tcBorders>
              <w:top w:val="single" w:sz="4" w:space="0" w:color="0077BD"/>
              <w:left w:val="nil"/>
              <w:bottom w:val="single" w:sz="4" w:space="0" w:color="0077BD"/>
              <w:right w:val="single" w:sz="8" w:space="0" w:color="0077BD"/>
            </w:tcBorders>
            <w:shd w:val="clear" w:color="auto" w:fill="auto"/>
            <w:noWrap/>
            <w:vAlign w:val="center"/>
            <w:hideMark/>
          </w:tcPr>
          <w:p w14:paraId="55D043DE" w14:textId="73C281D6" w:rsidR="0083730C" w:rsidRPr="00855A6C" w:rsidRDefault="0083730C" w:rsidP="0083730C">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1C88EF7" w14:textId="5CCC97C1"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72 599</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621621C" w14:textId="418929B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115 083</w:t>
            </w:r>
          </w:p>
        </w:tc>
      </w:tr>
      <w:tr w:rsidR="00855A6C" w:rsidRPr="00855A6C" w14:paraId="38289EFA"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7E42B40E"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Dywidendy otrzymane</w:t>
            </w:r>
          </w:p>
        </w:tc>
        <w:tc>
          <w:tcPr>
            <w:tcW w:w="567" w:type="dxa"/>
            <w:tcBorders>
              <w:top w:val="nil"/>
              <w:left w:val="nil"/>
              <w:bottom w:val="single" w:sz="4" w:space="0" w:color="0077BD"/>
              <w:right w:val="single" w:sz="8" w:space="0" w:color="0077BD"/>
            </w:tcBorders>
            <w:shd w:val="clear" w:color="auto" w:fill="auto"/>
            <w:noWrap/>
            <w:vAlign w:val="center"/>
            <w:hideMark/>
          </w:tcPr>
          <w:p w14:paraId="60026E27" w14:textId="6BF7393E" w:rsidR="0083730C" w:rsidRPr="00855A6C" w:rsidRDefault="0083730C" w:rsidP="0083730C">
            <w:pPr>
              <w:jc w:val="center"/>
              <w:rPr>
                <w:rFonts w:cs="Calibri"/>
                <w:color w:val="000000" w:themeColor="text1"/>
                <w:sz w:val="13"/>
                <w:szCs w:val="13"/>
              </w:rPr>
            </w:pPr>
            <w:r w:rsidRPr="00855A6C">
              <w:rPr>
                <w:rFonts w:cs="Calibri"/>
                <w:color w:val="000000" w:themeColor="text1"/>
                <w:sz w:val="13"/>
                <w:szCs w:val="13"/>
              </w:rPr>
              <w:t>8</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848ABC1" w14:textId="2FE6AAD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4 220</w:t>
            </w:r>
          </w:p>
        </w:tc>
        <w:tc>
          <w:tcPr>
            <w:tcW w:w="1418" w:type="dxa"/>
            <w:tcBorders>
              <w:top w:val="nil"/>
              <w:left w:val="single" w:sz="8" w:space="0" w:color="0077BD"/>
              <w:bottom w:val="single" w:sz="4" w:space="0" w:color="0077BD"/>
              <w:right w:val="nil"/>
            </w:tcBorders>
            <w:shd w:val="clear" w:color="auto" w:fill="auto"/>
            <w:noWrap/>
            <w:vAlign w:val="center"/>
          </w:tcPr>
          <w:p w14:paraId="76F1DFEE" w14:textId="461186ED"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3 558</w:t>
            </w:r>
          </w:p>
        </w:tc>
      </w:tr>
      <w:tr w:rsidR="00855A6C" w:rsidRPr="00855A6C" w14:paraId="067210F8"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967BDDB"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Inne wpływy inwestycyjne</w:t>
            </w:r>
          </w:p>
        </w:tc>
        <w:tc>
          <w:tcPr>
            <w:tcW w:w="567" w:type="dxa"/>
            <w:tcBorders>
              <w:top w:val="nil"/>
              <w:left w:val="nil"/>
              <w:bottom w:val="single" w:sz="4" w:space="0" w:color="0077BD"/>
              <w:right w:val="single" w:sz="8" w:space="0" w:color="0077BD"/>
            </w:tcBorders>
            <w:shd w:val="clear" w:color="auto" w:fill="auto"/>
            <w:noWrap/>
            <w:vAlign w:val="center"/>
            <w:hideMark/>
          </w:tcPr>
          <w:p w14:paraId="6BEB36A6" w14:textId="23D7C03A"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99C7212" w14:textId="407DD096" w:rsidR="0083730C" w:rsidRPr="00855A6C" w:rsidRDefault="000A32E2" w:rsidP="0083730C">
            <w:pPr>
              <w:jc w:val="right"/>
              <w:rPr>
                <w:rFonts w:cs="Calibri"/>
                <w:color w:val="000000" w:themeColor="text1"/>
                <w:sz w:val="13"/>
                <w:szCs w:val="13"/>
              </w:rPr>
            </w:pPr>
            <w:r>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41D0E871" w14:textId="29721634"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466 734</w:t>
            </w:r>
          </w:p>
        </w:tc>
      </w:tr>
      <w:tr w:rsidR="00855A6C" w:rsidRPr="00855A6C" w14:paraId="40BB4AFD" w14:textId="77777777" w:rsidTr="00977E53">
        <w:trPr>
          <w:trHeight w:val="227"/>
        </w:trPr>
        <w:tc>
          <w:tcPr>
            <w:tcW w:w="0" w:type="auto"/>
            <w:tcBorders>
              <w:top w:val="nil"/>
              <w:left w:val="nil"/>
              <w:bottom w:val="nil"/>
              <w:right w:val="single" w:sz="8" w:space="0" w:color="0077BD"/>
            </w:tcBorders>
            <w:shd w:val="clear" w:color="auto" w:fill="auto"/>
            <w:vAlign w:val="center"/>
            <w:hideMark/>
          </w:tcPr>
          <w:p w14:paraId="6101AC5E"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Nabycie udziałów lub akcji w jednostkach zależnych</w:t>
            </w:r>
          </w:p>
        </w:tc>
        <w:tc>
          <w:tcPr>
            <w:tcW w:w="567" w:type="dxa"/>
            <w:tcBorders>
              <w:top w:val="nil"/>
              <w:left w:val="nil"/>
              <w:bottom w:val="nil"/>
              <w:right w:val="single" w:sz="8" w:space="0" w:color="0077BD"/>
            </w:tcBorders>
            <w:shd w:val="clear" w:color="auto" w:fill="auto"/>
            <w:noWrap/>
            <w:vAlign w:val="center"/>
            <w:hideMark/>
          </w:tcPr>
          <w:p w14:paraId="183E8DC8" w14:textId="603A9888"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nil"/>
              <w:right w:val="single" w:sz="8" w:space="0" w:color="0077BD"/>
            </w:tcBorders>
            <w:shd w:val="clear" w:color="auto" w:fill="auto"/>
            <w:noWrap/>
            <w:vAlign w:val="center"/>
          </w:tcPr>
          <w:p w14:paraId="32D20042" w14:textId="36C911E5" w:rsidR="0083730C" w:rsidRPr="00855A6C" w:rsidRDefault="00217B9E" w:rsidP="00217B9E">
            <w:pPr>
              <w:jc w:val="right"/>
              <w:rPr>
                <w:rFonts w:cs="Calibri"/>
                <w:color w:val="000000" w:themeColor="text1"/>
                <w:sz w:val="13"/>
                <w:szCs w:val="13"/>
              </w:rPr>
            </w:pPr>
            <w:r>
              <w:rPr>
                <w:rFonts w:cs="Calibri"/>
                <w:color w:val="000000" w:themeColor="text1"/>
                <w:sz w:val="13"/>
                <w:szCs w:val="13"/>
              </w:rPr>
              <w:t>(25</w:t>
            </w:r>
            <w:r w:rsidR="0083730C" w:rsidRPr="00855A6C">
              <w:rPr>
                <w:rFonts w:cs="Calibri"/>
                <w:color w:val="000000" w:themeColor="text1"/>
                <w:sz w:val="13"/>
                <w:szCs w:val="13"/>
              </w:rPr>
              <w:t xml:space="preserve"> </w:t>
            </w:r>
            <w:r>
              <w:rPr>
                <w:rFonts w:cs="Calibri"/>
                <w:color w:val="000000" w:themeColor="text1"/>
                <w:sz w:val="13"/>
                <w:szCs w:val="13"/>
              </w:rPr>
              <w:t>636</w:t>
            </w:r>
            <w:r w:rsidR="0083730C" w:rsidRPr="00855A6C">
              <w:rPr>
                <w:rFonts w:cs="Calibri"/>
                <w:color w:val="000000" w:themeColor="text1"/>
                <w:sz w:val="13"/>
                <w:szCs w:val="13"/>
              </w:rPr>
              <w:t>)</w:t>
            </w:r>
          </w:p>
        </w:tc>
        <w:tc>
          <w:tcPr>
            <w:tcW w:w="1418" w:type="dxa"/>
            <w:tcBorders>
              <w:top w:val="nil"/>
              <w:left w:val="single" w:sz="8" w:space="0" w:color="0077BD"/>
              <w:bottom w:val="nil"/>
              <w:right w:val="nil"/>
            </w:tcBorders>
            <w:shd w:val="clear" w:color="auto" w:fill="auto"/>
            <w:noWrap/>
            <w:vAlign w:val="center"/>
          </w:tcPr>
          <w:p w14:paraId="3D60AC35" w14:textId="18CA9625"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(39 907)</w:t>
            </w:r>
          </w:p>
        </w:tc>
      </w:tr>
      <w:tr w:rsidR="00855A6C" w:rsidRPr="00855A6C" w14:paraId="604E673F" w14:textId="77777777" w:rsidTr="00977E53">
        <w:trPr>
          <w:trHeight w:val="227"/>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6C38AEAA"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Nabycie wartości niematerialnych oraz rzeczowych aktywów trwałych</w:t>
            </w:r>
          </w:p>
        </w:tc>
        <w:tc>
          <w:tcPr>
            <w:tcW w:w="567" w:type="dxa"/>
            <w:tcBorders>
              <w:top w:val="single" w:sz="4" w:space="0" w:color="0077BD"/>
              <w:left w:val="nil"/>
              <w:bottom w:val="single" w:sz="8" w:space="0" w:color="0077BD"/>
              <w:right w:val="single" w:sz="8" w:space="0" w:color="0077BD"/>
            </w:tcBorders>
            <w:shd w:val="clear" w:color="auto" w:fill="auto"/>
            <w:noWrap/>
            <w:vAlign w:val="center"/>
            <w:hideMark/>
          </w:tcPr>
          <w:p w14:paraId="55919908" w14:textId="42FA7019" w:rsidR="0083730C" w:rsidRPr="00855A6C" w:rsidRDefault="0083730C" w:rsidP="0083730C">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DA8A9B0" w14:textId="3FE25B22"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(500 761)</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A82A059" w14:textId="2EEEC755"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(558 570)</w:t>
            </w:r>
          </w:p>
        </w:tc>
      </w:tr>
      <w:tr w:rsidR="00855A6C" w:rsidRPr="00855A6C" w14:paraId="65FDF0A3" w14:textId="77777777" w:rsidTr="00977E53">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006FE333"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B. Przepływy środków pieniężnych z działalności inwestycyjnej</w:t>
            </w:r>
          </w:p>
        </w:tc>
        <w:tc>
          <w:tcPr>
            <w:tcW w:w="567" w:type="dxa"/>
            <w:tcBorders>
              <w:top w:val="single" w:sz="8" w:space="0" w:color="0077BD"/>
              <w:left w:val="nil"/>
              <w:bottom w:val="single" w:sz="8" w:space="0" w:color="0077BD"/>
              <w:right w:val="single" w:sz="8" w:space="0" w:color="0077BD"/>
            </w:tcBorders>
            <w:shd w:val="clear" w:color="auto" w:fill="auto"/>
            <w:noWrap/>
            <w:vAlign w:val="center"/>
            <w:hideMark/>
          </w:tcPr>
          <w:p w14:paraId="5F6BB97F" w14:textId="1CAB4EFE" w:rsidR="0083730C" w:rsidRPr="00855A6C" w:rsidRDefault="0083730C" w:rsidP="0083730C">
            <w:pPr>
              <w:jc w:val="center"/>
              <w:rPr>
                <w:rFonts w:cs="Calibri"/>
                <w:b/>
                <w:bCs/>
                <w:color w:val="000000" w:themeColor="text1"/>
                <w:sz w:val="13"/>
                <w:szCs w:val="13"/>
              </w:rPr>
            </w:pP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42B83027" w14:textId="35CF1A2D" w:rsidR="0083730C" w:rsidRPr="00855A6C" w:rsidRDefault="000A32E2" w:rsidP="000A32E2">
            <w:pPr>
              <w:jc w:val="right"/>
              <w:rPr>
                <w:rFonts w:cs="Calibri"/>
                <w:b/>
                <w:bCs/>
                <w:color w:val="000000" w:themeColor="text1"/>
                <w:sz w:val="13"/>
                <w:szCs w:val="13"/>
              </w:rPr>
            </w:pPr>
            <w:r>
              <w:rPr>
                <w:rFonts w:cs="Calibri"/>
                <w:b/>
                <w:bCs/>
                <w:color w:val="000000" w:themeColor="text1"/>
                <w:sz w:val="13"/>
                <w:szCs w:val="13"/>
              </w:rPr>
              <w:t>(449</w:t>
            </w:r>
            <w:r w:rsidR="0083730C" w:rsidRPr="00855A6C">
              <w:rPr>
                <w:rFonts w:cs="Calibri"/>
                <w:b/>
                <w:bCs/>
                <w:color w:val="000000" w:themeColor="text1"/>
                <w:sz w:val="13"/>
                <w:szCs w:val="13"/>
              </w:rPr>
              <w:t xml:space="preserve"> </w:t>
            </w:r>
            <w:r>
              <w:rPr>
                <w:rFonts w:cs="Calibri"/>
                <w:b/>
                <w:bCs/>
                <w:color w:val="000000" w:themeColor="text1"/>
                <w:sz w:val="13"/>
                <w:szCs w:val="13"/>
              </w:rPr>
              <w:t>5</w:t>
            </w:r>
            <w:r w:rsidR="00217B9E">
              <w:rPr>
                <w:rFonts w:cs="Calibri"/>
                <w:b/>
                <w:bCs/>
                <w:color w:val="000000" w:themeColor="text1"/>
                <w:sz w:val="13"/>
                <w:szCs w:val="13"/>
              </w:rPr>
              <w:t>78</w:t>
            </w:r>
            <w:r w:rsidR="0083730C" w:rsidRPr="00855A6C">
              <w:rPr>
                <w:rFonts w:cs="Calibri"/>
                <w:b/>
                <w:b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F1C2681" w14:textId="62B51397"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41 757</w:t>
            </w:r>
          </w:p>
        </w:tc>
      </w:tr>
      <w:tr w:rsidR="00855A6C" w:rsidRPr="00855A6C" w14:paraId="3D1B03B5" w14:textId="77777777" w:rsidTr="00977E53">
        <w:trPr>
          <w:trHeight w:val="227"/>
        </w:trPr>
        <w:tc>
          <w:tcPr>
            <w:tcW w:w="0" w:type="auto"/>
            <w:tcBorders>
              <w:top w:val="nil"/>
              <w:left w:val="nil"/>
              <w:bottom w:val="nil"/>
              <w:right w:val="single" w:sz="8" w:space="0" w:color="0077BD"/>
            </w:tcBorders>
            <w:shd w:val="clear" w:color="auto" w:fill="auto"/>
            <w:vAlign w:val="center"/>
            <w:hideMark/>
          </w:tcPr>
          <w:p w14:paraId="5A058BE2" w14:textId="287DBCE6" w:rsidR="0083730C" w:rsidRPr="00855A6C" w:rsidRDefault="0083730C" w:rsidP="0083730C">
            <w:pPr>
              <w:rPr>
                <w:rFonts w:cs="Calibri"/>
                <w:color w:val="000000" w:themeColor="text1"/>
                <w:sz w:val="13"/>
                <w:szCs w:val="13"/>
              </w:rPr>
            </w:pPr>
            <w:r w:rsidRPr="00855A6C">
              <w:rPr>
                <w:rFonts w:cs="Calibri"/>
                <w:color w:val="000000" w:themeColor="text1"/>
                <w:sz w:val="13"/>
                <w:szCs w:val="13"/>
              </w:rPr>
              <w:t xml:space="preserve">Wpływy z tytułu kredytów i pożyczek otrzymanych od banków </w:t>
            </w:r>
          </w:p>
        </w:tc>
        <w:tc>
          <w:tcPr>
            <w:tcW w:w="567" w:type="dxa"/>
            <w:tcBorders>
              <w:top w:val="nil"/>
              <w:left w:val="nil"/>
              <w:bottom w:val="nil"/>
              <w:right w:val="single" w:sz="8" w:space="0" w:color="0077BD"/>
            </w:tcBorders>
            <w:shd w:val="clear" w:color="auto" w:fill="auto"/>
            <w:noWrap/>
            <w:vAlign w:val="center"/>
            <w:hideMark/>
          </w:tcPr>
          <w:p w14:paraId="21D441CF" w14:textId="73022CEE"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nil"/>
              <w:right w:val="single" w:sz="8" w:space="0" w:color="0077BD"/>
            </w:tcBorders>
            <w:shd w:val="clear" w:color="auto" w:fill="auto"/>
            <w:noWrap/>
            <w:vAlign w:val="center"/>
          </w:tcPr>
          <w:p w14:paraId="66ED5A78" w14:textId="6721D631"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nil"/>
              <w:left w:val="single" w:sz="8" w:space="0" w:color="0077BD"/>
              <w:bottom w:val="nil"/>
              <w:right w:val="nil"/>
            </w:tcBorders>
            <w:shd w:val="clear" w:color="auto" w:fill="auto"/>
            <w:noWrap/>
            <w:vAlign w:val="center"/>
          </w:tcPr>
          <w:p w14:paraId="3AB4973E" w14:textId="57BD6EA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187 200</w:t>
            </w:r>
          </w:p>
        </w:tc>
      </w:tr>
      <w:tr w:rsidR="00855A6C" w:rsidRPr="00855A6C" w14:paraId="5843D2AD" w14:textId="77777777" w:rsidTr="00977E53">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506A1CF5" w14:textId="05690F42" w:rsidR="0083730C" w:rsidRPr="00855A6C" w:rsidRDefault="0083730C" w:rsidP="0083730C">
            <w:pPr>
              <w:rPr>
                <w:rFonts w:cs="Calibri"/>
                <w:color w:val="000000" w:themeColor="text1"/>
                <w:sz w:val="13"/>
                <w:szCs w:val="13"/>
              </w:rPr>
            </w:pPr>
            <w:r w:rsidRPr="00855A6C">
              <w:rPr>
                <w:rFonts w:cs="Calibri"/>
                <w:color w:val="000000" w:themeColor="text1"/>
                <w:sz w:val="13"/>
                <w:szCs w:val="13"/>
              </w:rPr>
              <w:t>Wpływy z tytułu kredytów i pożyczek otrzymanych od innych podmiotów</w:t>
            </w:r>
          </w:p>
        </w:tc>
        <w:tc>
          <w:tcPr>
            <w:tcW w:w="567" w:type="dxa"/>
            <w:tcBorders>
              <w:top w:val="single" w:sz="4" w:space="0" w:color="0077BD"/>
              <w:left w:val="nil"/>
              <w:bottom w:val="single" w:sz="4" w:space="0" w:color="0077BD"/>
              <w:right w:val="single" w:sz="8" w:space="0" w:color="0077BD"/>
            </w:tcBorders>
            <w:shd w:val="clear" w:color="auto" w:fill="auto"/>
            <w:noWrap/>
            <w:vAlign w:val="center"/>
            <w:hideMark/>
          </w:tcPr>
          <w:p w14:paraId="11E5B38E" w14:textId="35828B51" w:rsidR="0083730C" w:rsidRPr="00855A6C" w:rsidRDefault="0083730C" w:rsidP="0083730C">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4260C2E" w14:textId="182311F6"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544 735</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32AE0007" w14:textId="194B04F7"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648 378</w:t>
            </w:r>
          </w:p>
        </w:tc>
      </w:tr>
      <w:tr w:rsidR="00855A6C" w:rsidRPr="00855A6C" w14:paraId="08F57957"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3CF61149"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 xml:space="preserve">Emisja dłużnych papierów wartościowych </w:t>
            </w:r>
          </w:p>
        </w:tc>
        <w:tc>
          <w:tcPr>
            <w:tcW w:w="567" w:type="dxa"/>
            <w:tcBorders>
              <w:top w:val="nil"/>
              <w:left w:val="nil"/>
              <w:bottom w:val="single" w:sz="4" w:space="0" w:color="0077BD"/>
              <w:right w:val="single" w:sz="8" w:space="0" w:color="0077BD"/>
            </w:tcBorders>
            <w:shd w:val="clear" w:color="auto" w:fill="auto"/>
            <w:noWrap/>
            <w:vAlign w:val="center"/>
            <w:hideMark/>
          </w:tcPr>
          <w:p w14:paraId="47020093" w14:textId="14435E8E" w:rsidR="0083730C" w:rsidRPr="00855A6C" w:rsidRDefault="0083730C" w:rsidP="0083730C">
            <w:pPr>
              <w:jc w:val="center"/>
              <w:rPr>
                <w:rFonts w:cs="Calibri"/>
                <w:color w:val="000000" w:themeColor="text1"/>
                <w:sz w:val="13"/>
                <w:szCs w:val="13"/>
              </w:rPr>
            </w:pPr>
            <w:r w:rsidRPr="00855A6C">
              <w:rPr>
                <w:rFonts w:cs="Calibri"/>
                <w:color w:val="000000" w:themeColor="text1"/>
                <w:sz w:val="13"/>
                <w:szCs w:val="13"/>
              </w:rPr>
              <w:t>28</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2DCE630" w14:textId="1474BD06"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2 318 586</w:t>
            </w:r>
          </w:p>
        </w:tc>
        <w:tc>
          <w:tcPr>
            <w:tcW w:w="1418" w:type="dxa"/>
            <w:tcBorders>
              <w:top w:val="nil"/>
              <w:left w:val="single" w:sz="8" w:space="0" w:color="0077BD"/>
              <w:bottom w:val="single" w:sz="4" w:space="0" w:color="0077BD"/>
              <w:right w:val="nil"/>
            </w:tcBorders>
            <w:shd w:val="clear" w:color="auto" w:fill="auto"/>
            <w:noWrap/>
            <w:vAlign w:val="center"/>
          </w:tcPr>
          <w:p w14:paraId="5F7790A8" w14:textId="6E0A3AB7"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4 644 681</w:t>
            </w:r>
          </w:p>
        </w:tc>
      </w:tr>
      <w:tr w:rsidR="00855A6C" w:rsidRPr="00855A6C" w14:paraId="169B5E6B"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4C3CBF31" w14:textId="5E3CCD94" w:rsidR="0083730C" w:rsidRPr="00855A6C" w:rsidRDefault="00F23E56" w:rsidP="0083730C">
            <w:pPr>
              <w:rPr>
                <w:rFonts w:cs="Calibri"/>
                <w:color w:val="000000" w:themeColor="text1"/>
                <w:sz w:val="13"/>
                <w:szCs w:val="13"/>
              </w:rPr>
            </w:pPr>
            <w:r>
              <w:rPr>
                <w:rFonts w:cs="Calibri"/>
                <w:color w:val="000000" w:themeColor="text1"/>
                <w:sz w:val="13"/>
                <w:szCs w:val="13"/>
              </w:rPr>
              <w:t>Emisja</w:t>
            </w:r>
            <w:r w:rsidR="0083730C" w:rsidRPr="00855A6C">
              <w:rPr>
                <w:rFonts w:cs="Calibri"/>
                <w:color w:val="000000" w:themeColor="text1"/>
                <w:sz w:val="13"/>
                <w:szCs w:val="13"/>
              </w:rPr>
              <w:t xml:space="preserve"> zobowiązań podporządkowanych </w:t>
            </w:r>
          </w:p>
        </w:tc>
        <w:tc>
          <w:tcPr>
            <w:tcW w:w="567" w:type="dxa"/>
            <w:tcBorders>
              <w:top w:val="nil"/>
              <w:left w:val="nil"/>
              <w:bottom w:val="single" w:sz="4" w:space="0" w:color="0077BD"/>
              <w:right w:val="single" w:sz="8" w:space="0" w:color="0077BD"/>
            </w:tcBorders>
            <w:shd w:val="clear" w:color="auto" w:fill="auto"/>
            <w:noWrap/>
            <w:vAlign w:val="center"/>
            <w:hideMark/>
          </w:tcPr>
          <w:p w14:paraId="517FAAAB" w14:textId="718A63BC" w:rsidR="0083730C" w:rsidRPr="00855A6C" w:rsidRDefault="0083730C" w:rsidP="0083730C">
            <w:pPr>
              <w:jc w:val="center"/>
              <w:rPr>
                <w:rFonts w:cs="Calibri"/>
                <w:color w:val="000000" w:themeColor="text1"/>
                <w:sz w:val="13"/>
                <w:szCs w:val="13"/>
              </w:rPr>
            </w:pPr>
            <w:r w:rsidRPr="00855A6C">
              <w:rPr>
                <w:rFonts w:cs="Calibri"/>
                <w:color w:val="000000" w:themeColor="text1"/>
                <w:sz w:val="13"/>
                <w:szCs w:val="13"/>
              </w:rPr>
              <w:t>28</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9C3433B" w14:textId="5D843A90"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42F6F17F" w14:textId="197B672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750 000</w:t>
            </w:r>
          </w:p>
        </w:tc>
      </w:tr>
      <w:tr w:rsidR="00855A6C" w:rsidRPr="00855A6C" w14:paraId="58658820"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181FB12" w14:textId="650D9437" w:rsidR="0083730C" w:rsidRPr="00855A6C" w:rsidRDefault="0083730C" w:rsidP="0083730C">
            <w:pPr>
              <w:rPr>
                <w:rFonts w:cs="Calibri"/>
                <w:color w:val="000000" w:themeColor="text1"/>
                <w:sz w:val="13"/>
                <w:szCs w:val="13"/>
              </w:rPr>
            </w:pPr>
            <w:r w:rsidRPr="00855A6C">
              <w:rPr>
                <w:rFonts w:cs="Calibri"/>
                <w:color w:val="000000" w:themeColor="text1"/>
                <w:sz w:val="13"/>
                <w:szCs w:val="13"/>
              </w:rPr>
              <w:t>Wpływy z tytułu emisji akcji zwykłych</w:t>
            </w:r>
          </w:p>
        </w:tc>
        <w:tc>
          <w:tcPr>
            <w:tcW w:w="567" w:type="dxa"/>
            <w:tcBorders>
              <w:top w:val="nil"/>
              <w:left w:val="nil"/>
              <w:bottom w:val="single" w:sz="4" w:space="0" w:color="0077BD"/>
              <w:right w:val="single" w:sz="8" w:space="0" w:color="0077BD"/>
            </w:tcBorders>
            <w:shd w:val="clear" w:color="auto" w:fill="auto"/>
            <w:noWrap/>
            <w:vAlign w:val="center"/>
            <w:hideMark/>
          </w:tcPr>
          <w:p w14:paraId="5289D753" w14:textId="72CBC6D7"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D1679AD" w14:textId="757CCD8F" w:rsidR="0083730C" w:rsidRPr="00855A6C" w:rsidRDefault="0083730C" w:rsidP="00634901">
            <w:pPr>
              <w:jc w:val="right"/>
              <w:rPr>
                <w:rFonts w:cs="Calibri"/>
                <w:color w:val="000000" w:themeColor="text1"/>
                <w:sz w:val="13"/>
                <w:szCs w:val="13"/>
              </w:rPr>
            </w:pPr>
            <w:r w:rsidRPr="00855A6C">
              <w:rPr>
                <w:rFonts w:cs="Calibri"/>
                <w:color w:val="000000" w:themeColor="text1"/>
                <w:sz w:val="13"/>
                <w:szCs w:val="13"/>
              </w:rPr>
              <w:t>5</w:t>
            </w:r>
            <w:r w:rsidR="00634901">
              <w:rPr>
                <w:rFonts w:cs="Calibri"/>
                <w:color w:val="000000" w:themeColor="text1"/>
                <w:sz w:val="13"/>
                <w:szCs w:val="13"/>
              </w:rPr>
              <w:t>3</w:t>
            </w:r>
          </w:p>
        </w:tc>
        <w:tc>
          <w:tcPr>
            <w:tcW w:w="1418" w:type="dxa"/>
            <w:tcBorders>
              <w:top w:val="nil"/>
              <w:left w:val="single" w:sz="8" w:space="0" w:color="0077BD"/>
              <w:bottom w:val="single" w:sz="4" w:space="0" w:color="0077BD"/>
              <w:right w:val="nil"/>
            </w:tcBorders>
            <w:shd w:val="clear" w:color="auto" w:fill="auto"/>
            <w:noWrap/>
            <w:vAlign w:val="center"/>
          </w:tcPr>
          <w:p w14:paraId="32469241" w14:textId="2E3139EE"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100</w:t>
            </w:r>
          </w:p>
        </w:tc>
      </w:tr>
      <w:tr w:rsidR="00855A6C" w:rsidRPr="00855A6C" w14:paraId="3675228A" w14:textId="77777777" w:rsidTr="00977E53">
        <w:trPr>
          <w:trHeight w:val="227"/>
        </w:trPr>
        <w:tc>
          <w:tcPr>
            <w:tcW w:w="0" w:type="auto"/>
            <w:tcBorders>
              <w:top w:val="nil"/>
              <w:left w:val="nil"/>
              <w:bottom w:val="nil"/>
              <w:right w:val="single" w:sz="8" w:space="0" w:color="0077BD"/>
            </w:tcBorders>
            <w:shd w:val="clear" w:color="auto" w:fill="auto"/>
            <w:vAlign w:val="center"/>
            <w:hideMark/>
          </w:tcPr>
          <w:p w14:paraId="5BCE7F3F"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 xml:space="preserve">Spłaty kredytów i pożyczek otrzymanych od banków </w:t>
            </w:r>
          </w:p>
        </w:tc>
        <w:tc>
          <w:tcPr>
            <w:tcW w:w="567" w:type="dxa"/>
            <w:tcBorders>
              <w:top w:val="nil"/>
              <w:left w:val="nil"/>
              <w:bottom w:val="nil"/>
              <w:right w:val="single" w:sz="8" w:space="0" w:color="0077BD"/>
            </w:tcBorders>
            <w:shd w:val="clear" w:color="auto" w:fill="auto"/>
            <w:noWrap/>
            <w:vAlign w:val="center"/>
            <w:hideMark/>
          </w:tcPr>
          <w:p w14:paraId="1BF4863B" w14:textId="0E9813F4"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nil"/>
              <w:right w:val="single" w:sz="8" w:space="0" w:color="0077BD"/>
            </w:tcBorders>
            <w:shd w:val="clear" w:color="auto" w:fill="auto"/>
            <w:noWrap/>
            <w:vAlign w:val="center"/>
          </w:tcPr>
          <w:p w14:paraId="0ECE3FF5" w14:textId="03B2DDAD"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(560 027)</w:t>
            </w:r>
          </w:p>
        </w:tc>
        <w:tc>
          <w:tcPr>
            <w:tcW w:w="1418" w:type="dxa"/>
            <w:tcBorders>
              <w:top w:val="nil"/>
              <w:left w:val="single" w:sz="8" w:space="0" w:color="0077BD"/>
              <w:bottom w:val="nil"/>
              <w:right w:val="nil"/>
            </w:tcBorders>
            <w:shd w:val="clear" w:color="auto" w:fill="auto"/>
            <w:noWrap/>
            <w:vAlign w:val="center"/>
          </w:tcPr>
          <w:p w14:paraId="1978482A" w14:textId="02F75FAE"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(2 945 100)</w:t>
            </w:r>
          </w:p>
        </w:tc>
      </w:tr>
      <w:tr w:rsidR="00855A6C" w:rsidRPr="00855A6C" w14:paraId="09AC3E5F" w14:textId="77777777" w:rsidTr="00977E53">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46BAD336" w14:textId="3CC229CC" w:rsidR="0083730C" w:rsidRPr="00855A6C" w:rsidRDefault="0083730C" w:rsidP="0083730C">
            <w:pPr>
              <w:rPr>
                <w:rFonts w:cs="Calibri"/>
                <w:color w:val="000000" w:themeColor="text1"/>
                <w:sz w:val="13"/>
                <w:szCs w:val="13"/>
              </w:rPr>
            </w:pPr>
            <w:r w:rsidRPr="00855A6C">
              <w:rPr>
                <w:rFonts w:cs="Calibri"/>
                <w:color w:val="000000" w:themeColor="text1"/>
                <w:sz w:val="13"/>
                <w:szCs w:val="13"/>
              </w:rPr>
              <w:t>Spłaty kredytów i pożyczek otrzymanych od innych podmiotów</w:t>
            </w:r>
            <w:r w:rsidR="00217B9E">
              <w:rPr>
                <w:rFonts w:cs="Calibri"/>
                <w:color w:val="000000" w:themeColor="text1"/>
                <w:sz w:val="13"/>
                <w:szCs w:val="13"/>
              </w:rPr>
              <w:t>-</w:t>
            </w:r>
          </w:p>
        </w:tc>
        <w:tc>
          <w:tcPr>
            <w:tcW w:w="567" w:type="dxa"/>
            <w:tcBorders>
              <w:top w:val="single" w:sz="4" w:space="0" w:color="0077BD"/>
              <w:left w:val="nil"/>
              <w:bottom w:val="single" w:sz="4" w:space="0" w:color="0077BD"/>
              <w:right w:val="single" w:sz="8" w:space="0" w:color="0077BD"/>
            </w:tcBorders>
            <w:shd w:val="clear" w:color="auto" w:fill="auto"/>
            <w:noWrap/>
            <w:vAlign w:val="center"/>
            <w:hideMark/>
          </w:tcPr>
          <w:p w14:paraId="0845989C" w14:textId="7B423634" w:rsidR="0083730C" w:rsidRPr="00855A6C" w:rsidRDefault="0083730C" w:rsidP="0083730C">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0FC51EA" w14:textId="7FEEE1D4"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(1 058 369)</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ADF7585" w14:textId="671E475D"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(1 501 535)</w:t>
            </w:r>
          </w:p>
        </w:tc>
      </w:tr>
      <w:tr w:rsidR="00855A6C" w:rsidRPr="00855A6C" w14:paraId="7F3F6C94"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FE167D4"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Wykup dłużnych papierów wartościowych</w:t>
            </w:r>
          </w:p>
        </w:tc>
        <w:tc>
          <w:tcPr>
            <w:tcW w:w="567" w:type="dxa"/>
            <w:tcBorders>
              <w:top w:val="nil"/>
              <w:left w:val="nil"/>
              <w:bottom w:val="single" w:sz="4" w:space="0" w:color="0077BD"/>
              <w:right w:val="single" w:sz="8" w:space="0" w:color="0077BD"/>
            </w:tcBorders>
            <w:shd w:val="clear" w:color="auto" w:fill="auto"/>
            <w:noWrap/>
            <w:vAlign w:val="center"/>
            <w:hideMark/>
          </w:tcPr>
          <w:p w14:paraId="7558F506" w14:textId="705E0883" w:rsidR="0083730C" w:rsidRPr="00855A6C" w:rsidRDefault="0083730C" w:rsidP="0083730C">
            <w:pPr>
              <w:jc w:val="center"/>
              <w:rPr>
                <w:rFonts w:cs="Calibri"/>
                <w:color w:val="000000" w:themeColor="text1"/>
                <w:sz w:val="13"/>
                <w:szCs w:val="13"/>
              </w:rPr>
            </w:pPr>
            <w:r w:rsidRPr="00855A6C">
              <w:rPr>
                <w:rFonts w:cs="Calibri"/>
                <w:color w:val="000000" w:themeColor="text1"/>
                <w:sz w:val="13"/>
                <w:szCs w:val="13"/>
              </w:rPr>
              <w:t>28</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0BCCC2E" w14:textId="0A5A73C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(2 723 575)</w:t>
            </w:r>
          </w:p>
        </w:tc>
        <w:tc>
          <w:tcPr>
            <w:tcW w:w="1418" w:type="dxa"/>
            <w:tcBorders>
              <w:top w:val="nil"/>
              <w:left w:val="single" w:sz="8" w:space="0" w:color="0077BD"/>
              <w:bottom w:val="single" w:sz="4" w:space="0" w:color="0077BD"/>
              <w:right w:val="nil"/>
            </w:tcBorders>
            <w:shd w:val="clear" w:color="auto" w:fill="auto"/>
            <w:noWrap/>
            <w:vAlign w:val="center"/>
          </w:tcPr>
          <w:p w14:paraId="15F1FB39" w14:textId="0FA49AA0"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(1 355 830)</w:t>
            </w:r>
          </w:p>
        </w:tc>
      </w:tr>
      <w:tr w:rsidR="00855A6C" w:rsidRPr="00855A6C" w14:paraId="7C3C3628" w14:textId="77777777" w:rsidTr="004F0EE7">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57F1B4C" w14:textId="77777777" w:rsidR="00515235" w:rsidRPr="00855A6C" w:rsidRDefault="00515235" w:rsidP="00515235">
            <w:pPr>
              <w:rPr>
                <w:rFonts w:cs="Calibri"/>
                <w:color w:val="000000" w:themeColor="text1"/>
                <w:sz w:val="13"/>
                <w:szCs w:val="13"/>
              </w:rPr>
            </w:pPr>
            <w:r w:rsidRPr="00855A6C">
              <w:rPr>
                <w:rFonts w:cs="Calibri"/>
                <w:color w:val="000000" w:themeColor="text1"/>
                <w:sz w:val="13"/>
                <w:szCs w:val="13"/>
              </w:rPr>
              <w:t xml:space="preserve">Wykup lub spłata zobowiązań podporządkowanych </w:t>
            </w:r>
          </w:p>
        </w:tc>
        <w:tc>
          <w:tcPr>
            <w:tcW w:w="567" w:type="dxa"/>
            <w:tcBorders>
              <w:top w:val="nil"/>
              <w:left w:val="nil"/>
              <w:bottom w:val="single" w:sz="4" w:space="0" w:color="0077BD"/>
              <w:right w:val="single" w:sz="8" w:space="0" w:color="0077BD"/>
            </w:tcBorders>
            <w:shd w:val="clear" w:color="auto" w:fill="auto"/>
            <w:noWrap/>
            <w:vAlign w:val="center"/>
            <w:hideMark/>
          </w:tcPr>
          <w:p w14:paraId="7846DEBD" w14:textId="7889E316" w:rsidR="00515235" w:rsidRPr="00855A6C" w:rsidRDefault="004F0EE7" w:rsidP="00244D35">
            <w:pPr>
              <w:jc w:val="center"/>
              <w:rPr>
                <w:rFonts w:cs="Calibri"/>
                <w:color w:val="000000" w:themeColor="text1"/>
                <w:sz w:val="13"/>
                <w:szCs w:val="13"/>
              </w:rPr>
            </w:pPr>
            <w:r w:rsidRPr="00855A6C">
              <w:rPr>
                <w:rFonts w:cs="Calibri"/>
                <w:color w:val="000000" w:themeColor="text1"/>
                <w:sz w:val="13"/>
                <w:szCs w:val="13"/>
              </w:rPr>
              <w:t>28</w:t>
            </w:r>
          </w:p>
        </w:tc>
        <w:tc>
          <w:tcPr>
            <w:tcW w:w="1418" w:type="dxa"/>
            <w:tcBorders>
              <w:top w:val="nil"/>
              <w:left w:val="nil"/>
              <w:bottom w:val="single" w:sz="4" w:space="0" w:color="0077BD"/>
              <w:right w:val="single" w:sz="8" w:space="0" w:color="0077BD"/>
            </w:tcBorders>
            <w:shd w:val="clear" w:color="auto" w:fill="auto"/>
            <w:noWrap/>
            <w:vAlign w:val="center"/>
          </w:tcPr>
          <w:p w14:paraId="51DBF856" w14:textId="156E4BFB" w:rsidR="00515235" w:rsidRPr="00855A6C" w:rsidRDefault="0083730C" w:rsidP="004F0EE7">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tcPr>
          <w:p w14:paraId="7ED2E8DC" w14:textId="6D763C13" w:rsidR="00515235" w:rsidRPr="00855A6C" w:rsidRDefault="00F62FD4" w:rsidP="004F0EE7">
            <w:pPr>
              <w:jc w:val="right"/>
              <w:rPr>
                <w:rFonts w:cs="Calibri"/>
                <w:color w:val="000000" w:themeColor="text1"/>
                <w:sz w:val="13"/>
                <w:szCs w:val="13"/>
              </w:rPr>
            </w:pPr>
            <w:r w:rsidRPr="00855A6C">
              <w:rPr>
                <w:rFonts w:cs="Calibri"/>
                <w:color w:val="000000" w:themeColor="text1"/>
                <w:sz w:val="13"/>
                <w:szCs w:val="13"/>
              </w:rPr>
              <w:t>(500 000)</w:t>
            </w:r>
          </w:p>
        </w:tc>
      </w:tr>
      <w:tr w:rsidR="00855A6C" w:rsidRPr="00855A6C" w14:paraId="779F38E4" w14:textId="77777777" w:rsidTr="004F0EE7">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3814D403" w14:textId="77777777" w:rsidR="00515235" w:rsidRPr="00855A6C" w:rsidRDefault="00515235" w:rsidP="00515235">
            <w:pPr>
              <w:rPr>
                <w:rFonts w:cs="Calibri"/>
                <w:color w:val="000000" w:themeColor="text1"/>
                <w:sz w:val="13"/>
                <w:szCs w:val="13"/>
              </w:rPr>
            </w:pPr>
            <w:r w:rsidRPr="00855A6C">
              <w:rPr>
                <w:rFonts w:cs="Calibri"/>
                <w:color w:val="000000" w:themeColor="text1"/>
                <w:sz w:val="13"/>
                <w:szCs w:val="13"/>
              </w:rPr>
              <w:t>Płatności zobowiązań z tytułu umów leasingu finansowego</w:t>
            </w:r>
          </w:p>
        </w:tc>
        <w:tc>
          <w:tcPr>
            <w:tcW w:w="567" w:type="dxa"/>
            <w:tcBorders>
              <w:top w:val="nil"/>
              <w:left w:val="nil"/>
              <w:bottom w:val="single" w:sz="4" w:space="0" w:color="0077BD"/>
              <w:right w:val="single" w:sz="8" w:space="0" w:color="0077BD"/>
            </w:tcBorders>
            <w:shd w:val="clear" w:color="auto" w:fill="auto"/>
            <w:noWrap/>
            <w:vAlign w:val="center"/>
            <w:hideMark/>
          </w:tcPr>
          <w:p w14:paraId="12163C7A" w14:textId="54FBEABB" w:rsidR="00515235" w:rsidRPr="00855A6C" w:rsidRDefault="00515235" w:rsidP="00244D35">
            <w:pPr>
              <w:jc w:val="center"/>
              <w:rPr>
                <w:rFonts w:cs="Calibri"/>
                <w:color w:val="000000" w:themeColor="text1"/>
                <w:sz w:val="13"/>
                <w:szCs w:val="13"/>
              </w:rPr>
            </w:pPr>
          </w:p>
        </w:tc>
        <w:tc>
          <w:tcPr>
            <w:tcW w:w="1418" w:type="dxa"/>
            <w:tcBorders>
              <w:top w:val="nil"/>
              <w:left w:val="nil"/>
              <w:bottom w:val="single" w:sz="4" w:space="0" w:color="0077BD"/>
              <w:right w:val="single" w:sz="8" w:space="0" w:color="0077BD"/>
            </w:tcBorders>
            <w:shd w:val="clear" w:color="auto" w:fill="auto"/>
            <w:noWrap/>
            <w:vAlign w:val="center"/>
          </w:tcPr>
          <w:p w14:paraId="7A1ACF6F" w14:textId="2D89A628" w:rsidR="00515235" w:rsidRPr="00855A6C" w:rsidRDefault="0083730C" w:rsidP="004F0EE7">
            <w:pPr>
              <w:jc w:val="right"/>
              <w:rPr>
                <w:rFonts w:cs="Calibri"/>
                <w:color w:val="000000" w:themeColor="text1"/>
                <w:sz w:val="13"/>
                <w:szCs w:val="13"/>
              </w:rPr>
            </w:pPr>
            <w:r w:rsidRPr="00855A6C">
              <w:rPr>
                <w:rFonts w:cs="Calibri"/>
                <w:color w:val="000000" w:themeColor="text1"/>
                <w:sz w:val="13"/>
                <w:szCs w:val="13"/>
              </w:rPr>
              <w:t>nd</w:t>
            </w:r>
          </w:p>
        </w:tc>
        <w:tc>
          <w:tcPr>
            <w:tcW w:w="1418" w:type="dxa"/>
            <w:tcBorders>
              <w:top w:val="nil"/>
              <w:left w:val="nil"/>
              <w:bottom w:val="single" w:sz="4" w:space="0" w:color="0077BD"/>
              <w:right w:val="nil"/>
            </w:tcBorders>
            <w:shd w:val="clear" w:color="auto" w:fill="auto"/>
            <w:noWrap/>
            <w:vAlign w:val="center"/>
          </w:tcPr>
          <w:p w14:paraId="7194E196" w14:textId="6BEB943E" w:rsidR="00515235" w:rsidRPr="00855A6C" w:rsidRDefault="00F62FD4" w:rsidP="004F0EE7">
            <w:pPr>
              <w:jc w:val="right"/>
              <w:rPr>
                <w:rFonts w:cs="Calibri"/>
                <w:color w:val="000000" w:themeColor="text1"/>
                <w:sz w:val="13"/>
                <w:szCs w:val="13"/>
              </w:rPr>
            </w:pPr>
            <w:r w:rsidRPr="00855A6C">
              <w:rPr>
                <w:rFonts w:cs="Calibri"/>
                <w:color w:val="000000" w:themeColor="text1"/>
                <w:sz w:val="13"/>
                <w:szCs w:val="13"/>
              </w:rPr>
              <w:t>(520)</w:t>
            </w:r>
          </w:p>
        </w:tc>
      </w:tr>
      <w:tr w:rsidR="00855A6C" w:rsidRPr="00855A6C" w14:paraId="25F692F2"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32567758" w14:textId="0E0FEFE1" w:rsidR="0083730C" w:rsidRPr="00855A6C" w:rsidRDefault="0083730C" w:rsidP="0083730C">
            <w:pPr>
              <w:rPr>
                <w:rFonts w:cs="Calibri"/>
                <w:color w:val="000000" w:themeColor="text1"/>
                <w:sz w:val="13"/>
                <w:szCs w:val="13"/>
              </w:rPr>
            </w:pPr>
            <w:r w:rsidRPr="00855A6C">
              <w:rPr>
                <w:rFonts w:cs="Calibri"/>
                <w:color w:val="000000" w:themeColor="text1"/>
                <w:sz w:val="13"/>
                <w:szCs w:val="13"/>
              </w:rPr>
              <w:t>Płatności zobowiązań z tytułu leasingu</w:t>
            </w:r>
          </w:p>
        </w:tc>
        <w:tc>
          <w:tcPr>
            <w:tcW w:w="567" w:type="dxa"/>
            <w:tcBorders>
              <w:top w:val="nil"/>
              <w:left w:val="nil"/>
              <w:bottom w:val="single" w:sz="4" w:space="0" w:color="0077BD"/>
              <w:right w:val="single" w:sz="8" w:space="0" w:color="0077BD"/>
            </w:tcBorders>
            <w:shd w:val="clear" w:color="auto" w:fill="auto"/>
            <w:noWrap/>
            <w:vAlign w:val="center"/>
            <w:hideMark/>
          </w:tcPr>
          <w:p w14:paraId="3A2D2FD4" w14:textId="5F68F614" w:rsidR="0083730C" w:rsidRPr="00855A6C" w:rsidRDefault="0083730C" w:rsidP="0083730C">
            <w:pPr>
              <w:jc w:val="center"/>
              <w:rPr>
                <w:rFonts w:cs="Calibri"/>
                <w:color w:val="000000" w:themeColor="text1"/>
                <w:sz w:val="13"/>
                <w:szCs w:val="13"/>
              </w:rPr>
            </w:pP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290AF14" w14:textId="521905DA"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(122 539)</w:t>
            </w:r>
          </w:p>
        </w:tc>
        <w:tc>
          <w:tcPr>
            <w:tcW w:w="1418" w:type="dxa"/>
            <w:tcBorders>
              <w:top w:val="nil"/>
              <w:left w:val="nil"/>
              <w:bottom w:val="single" w:sz="4" w:space="0" w:color="0077BD"/>
              <w:right w:val="nil"/>
            </w:tcBorders>
            <w:shd w:val="clear" w:color="auto" w:fill="auto"/>
            <w:noWrap/>
            <w:vAlign w:val="center"/>
          </w:tcPr>
          <w:p w14:paraId="33999504" w14:textId="15245537"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nd</w:t>
            </w:r>
          </w:p>
        </w:tc>
      </w:tr>
      <w:tr w:rsidR="00855A6C" w:rsidRPr="00855A6C" w14:paraId="449A0803"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7F70153E" w14:textId="57AA0B3B" w:rsidR="0083730C" w:rsidRPr="00855A6C" w:rsidRDefault="0083730C" w:rsidP="0083730C">
            <w:pPr>
              <w:rPr>
                <w:rFonts w:cs="Calibri"/>
                <w:color w:val="000000" w:themeColor="text1"/>
                <w:sz w:val="13"/>
                <w:szCs w:val="13"/>
              </w:rPr>
            </w:pPr>
            <w:r w:rsidRPr="00855A6C">
              <w:rPr>
                <w:rFonts w:cs="Calibri"/>
                <w:color w:val="000000" w:themeColor="text1"/>
                <w:sz w:val="13"/>
                <w:szCs w:val="13"/>
              </w:rPr>
              <w:t>Dywidendy i inne wypłaty na rzecz właścicieli</w:t>
            </w:r>
          </w:p>
        </w:tc>
        <w:tc>
          <w:tcPr>
            <w:tcW w:w="567" w:type="dxa"/>
            <w:tcBorders>
              <w:top w:val="nil"/>
              <w:left w:val="nil"/>
              <w:bottom w:val="single" w:sz="4" w:space="0" w:color="0077BD"/>
              <w:right w:val="single" w:sz="8" w:space="0" w:color="0077BD"/>
            </w:tcBorders>
            <w:shd w:val="clear" w:color="auto" w:fill="auto"/>
            <w:noWrap/>
            <w:vAlign w:val="center"/>
            <w:hideMark/>
          </w:tcPr>
          <w:p w14:paraId="09EBE8BB" w14:textId="58B5378E"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A4C157E" w14:textId="25026BB1"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3E14829" w14:textId="0EDD440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(217 907)</w:t>
            </w:r>
          </w:p>
        </w:tc>
      </w:tr>
      <w:tr w:rsidR="00855A6C" w:rsidRPr="00855A6C" w14:paraId="308A7927"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643240FE"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Odsetki zapłacone od kredytów otrzymanych od banków i od pożyczek podporządkowanych</w:t>
            </w:r>
          </w:p>
        </w:tc>
        <w:tc>
          <w:tcPr>
            <w:tcW w:w="567" w:type="dxa"/>
            <w:tcBorders>
              <w:top w:val="nil"/>
              <w:left w:val="nil"/>
              <w:bottom w:val="single" w:sz="8" w:space="0" w:color="0077BD"/>
              <w:right w:val="single" w:sz="8" w:space="0" w:color="0077BD"/>
            </w:tcBorders>
            <w:shd w:val="clear" w:color="auto" w:fill="auto"/>
            <w:noWrap/>
            <w:vAlign w:val="center"/>
            <w:hideMark/>
          </w:tcPr>
          <w:p w14:paraId="76F42B4F" w14:textId="3B2117B5"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102E6A24" w14:textId="1C797183" w:rsidR="0083730C" w:rsidRPr="00855A6C" w:rsidRDefault="003A4587" w:rsidP="003A4587">
            <w:pPr>
              <w:jc w:val="right"/>
              <w:rPr>
                <w:rFonts w:cs="Calibri"/>
                <w:color w:val="000000" w:themeColor="text1"/>
                <w:sz w:val="13"/>
                <w:szCs w:val="13"/>
              </w:rPr>
            </w:pPr>
            <w:r w:rsidRPr="00855A6C">
              <w:rPr>
                <w:rFonts w:cs="Calibri"/>
                <w:color w:val="000000" w:themeColor="text1"/>
                <w:sz w:val="13"/>
                <w:szCs w:val="13"/>
              </w:rPr>
              <w:t>(89</w:t>
            </w:r>
            <w:r w:rsidR="0083730C" w:rsidRPr="00855A6C">
              <w:rPr>
                <w:rFonts w:cs="Calibri"/>
                <w:color w:val="000000" w:themeColor="text1"/>
                <w:sz w:val="13"/>
                <w:szCs w:val="13"/>
              </w:rPr>
              <w:t xml:space="preserve"> </w:t>
            </w:r>
            <w:r w:rsidRPr="00855A6C">
              <w:rPr>
                <w:rFonts w:cs="Calibri"/>
                <w:color w:val="000000" w:themeColor="text1"/>
                <w:sz w:val="13"/>
                <w:szCs w:val="13"/>
              </w:rPr>
              <w:t>974</w:t>
            </w:r>
            <w:r w:rsidR="0083730C" w:rsidRPr="00855A6C">
              <w:rPr>
                <w:rFonts w:cs="Calibri"/>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tcPr>
          <w:p w14:paraId="5FAAA50B" w14:textId="59878E18"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(98 251)</w:t>
            </w:r>
          </w:p>
        </w:tc>
      </w:tr>
      <w:tr w:rsidR="00855A6C" w:rsidRPr="00855A6C" w14:paraId="642E95BC"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4B56A50F"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C. Przepływy środków pieniężnych z działalności finansowej</w:t>
            </w:r>
          </w:p>
        </w:tc>
        <w:tc>
          <w:tcPr>
            <w:tcW w:w="567" w:type="dxa"/>
            <w:tcBorders>
              <w:top w:val="nil"/>
              <w:left w:val="nil"/>
              <w:bottom w:val="single" w:sz="8" w:space="0" w:color="0077BD"/>
              <w:right w:val="single" w:sz="8" w:space="0" w:color="0077BD"/>
            </w:tcBorders>
            <w:shd w:val="clear" w:color="auto" w:fill="auto"/>
            <w:noWrap/>
            <w:vAlign w:val="center"/>
            <w:hideMark/>
          </w:tcPr>
          <w:p w14:paraId="56070CC3" w14:textId="4F422265" w:rsidR="0083730C" w:rsidRPr="00855A6C" w:rsidRDefault="0083730C" w:rsidP="0083730C">
            <w:pPr>
              <w:jc w:val="center"/>
              <w:rPr>
                <w:rFonts w:cs="Calibri"/>
                <w:b/>
                <w:bCs/>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67816649" w14:textId="37542D83" w:rsidR="0083730C" w:rsidRPr="00855A6C" w:rsidRDefault="00217B9E" w:rsidP="00217B9E">
            <w:pPr>
              <w:jc w:val="right"/>
              <w:rPr>
                <w:rFonts w:cs="Calibri"/>
                <w:b/>
                <w:bCs/>
                <w:color w:val="000000" w:themeColor="text1"/>
                <w:sz w:val="13"/>
                <w:szCs w:val="13"/>
              </w:rPr>
            </w:pPr>
            <w:r>
              <w:rPr>
                <w:rFonts w:cs="Calibri"/>
                <w:b/>
                <w:bCs/>
                <w:color w:val="000000" w:themeColor="text1"/>
                <w:sz w:val="13"/>
                <w:szCs w:val="13"/>
              </w:rPr>
              <w:t>(1 691 110</w:t>
            </w:r>
            <w:r w:rsidR="0083730C" w:rsidRPr="00855A6C">
              <w:rPr>
                <w:rFonts w:cs="Calibri"/>
                <w:b/>
                <w:bCs/>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tcPr>
          <w:p w14:paraId="6A3DE95D" w14:textId="4063087C"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(388 784)</w:t>
            </w:r>
          </w:p>
        </w:tc>
      </w:tr>
      <w:tr w:rsidR="00855A6C" w:rsidRPr="00855A6C" w14:paraId="26DA4C5E"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6A333E49"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Zmiana stanu środków pieniężnych netto, razem (A+B+C)</w:t>
            </w:r>
          </w:p>
        </w:tc>
        <w:tc>
          <w:tcPr>
            <w:tcW w:w="567" w:type="dxa"/>
            <w:tcBorders>
              <w:top w:val="nil"/>
              <w:left w:val="nil"/>
              <w:bottom w:val="single" w:sz="8" w:space="0" w:color="0077BD"/>
              <w:right w:val="single" w:sz="8" w:space="0" w:color="0077BD"/>
            </w:tcBorders>
            <w:shd w:val="clear" w:color="auto" w:fill="auto"/>
            <w:noWrap/>
            <w:vAlign w:val="center"/>
            <w:hideMark/>
          </w:tcPr>
          <w:p w14:paraId="4AE9736D" w14:textId="6F1C8866" w:rsidR="0083730C" w:rsidRPr="00855A6C" w:rsidRDefault="0083730C" w:rsidP="0083730C">
            <w:pPr>
              <w:jc w:val="center"/>
              <w:rPr>
                <w:rFonts w:cs="Calibri"/>
                <w:b/>
                <w:bCs/>
                <w:color w:val="000000" w:themeColor="text1"/>
                <w:sz w:val="13"/>
                <w:szCs w:val="13"/>
              </w:rPr>
            </w:pPr>
            <w:r w:rsidRPr="00855A6C">
              <w:rPr>
                <w:rFonts w:cs="Calibri"/>
                <w:b/>
                <w:bCs/>
                <w:color w:val="000000" w:themeColor="text1"/>
                <w:sz w:val="13"/>
                <w:szCs w:val="13"/>
              </w:rPr>
              <w:t>40</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78FDEE91" w14:textId="2EC5F272" w:rsidR="0083730C" w:rsidRPr="00855A6C" w:rsidRDefault="0083730C" w:rsidP="00970404">
            <w:pPr>
              <w:jc w:val="right"/>
              <w:rPr>
                <w:rFonts w:cs="Calibri"/>
                <w:b/>
                <w:bCs/>
                <w:color w:val="000000" w:themeColor="text1"/>
                <w:sz w:val="13"/>
                <w:szCs w:val="13"/>
              </w:rPr>
            </w:pPr>
            <w:r w:rsidRPr="00855A6C">
              <w:rPr>
                <w:rFonts w:cs="Calibri"/>
                <w:b/>
                <w:bCs/>
                <w:color w:val="000000" w:themeColor="text1"/>
                <w:sz w:val="13"/>
                <w:szCs w:val="13"/>
              </w:rPr>
              <w:t>(1 011 63</w:t>
            </w:r>
            <w:r w:rsidR="00970404">
              <w:rPr>
                <w:rFonts w:cs="Calibri"/>
                <w:b/>
                <w:bCs/>
                <w:color w:val="000000" w:themeColor="text1"/>
                <w:sz w:val="13"/>
                <w:szCs w:val="13"/>
              </w:rPr>
              <w:t>2</w:t>
            </w:r>
            <w:r w:rsidRPr="00855A6C">
              <w:rPr>
                <w:rFonts w:cs="Calibri"/>
                <w:b/>
                <w:bCs/>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tcPr>
          <w:p w14:paraId="40B625F0" w14:textId="324947C0"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785 713</w:t>
            </w:r>
          </w:p>
        </w:tc>
      </w:tr>
      <w:tr w:rsidR="00855A6C" w:rsidRPr="00855A6C" w14:paraId="4CCA4A93" w14:textId="77777777" w:rsidTr="00977E53">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FB0865F"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Zmiana stanu środków pieniężnych z tytułu różnic kursowych</w:t>
            </w:r>
          </w:p>
        </w:tc>
        <w:tc>
          <w:tcPr>
            <w:tcW w:w="567" w:type="dxa"/>
            <w:tcBorders>
              <w:top w:val="nil"/>
              <w:left w:val="nil"/>
              <w:bottom w:val="single" w:sz="4" w:space="0" w:color="0077BD"/>
              <w:right w:val="single" w:sz="8" w:space="0" w:color="0077BD"/>
            </w:tcBorders>
            <w:shd w:val="clear" w:color="auto" w:fill="auto"/>
            <w:noWrap/>
            <w:vAlign w:val="center"/>
            <w:hideMark/>
          </w:tcPr>
          <w:p w14:paraId="521FA448" w14:textId="07E58F24"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2EE39B9" w14:textId="3E9F815E" w:rsidR="0083730C" w:rsidRPr="00855A6C" w:rsidRDefault="0083730C" w:rsidP="00970404">
            <w:pPr>
              <w:jc w:val="right"/>
              <w:rPr>
                <w:rFonts w:cs="Calibri"/>
                <w:color w:val="000000" w:themeColor="text1"/>
                <w:sz w:val="13"/>
                <w:szCs w:val="13"/>
              </w:rPr>
            </w:pPr>
            <w:r w:rsidRPr="00855A6C">
              <w:rPr>
                <w:rFonts w:cs="Calibri"/>
                <w:color w:val="000000" w:themeColor="text1"/>
                <w:sz w:val="13"/>
                <w:szCs w:val="13"/>
              </w:rPr>
              <w:t>(9 40</w:t>
            </w:r>
            <w:r w:rsidR="00970404">
              <w:rPr>
                <w:rFonts w:cs="Calibri"/>
                <w:color w:val="000000" w:themeColor="text1"/>
                <w:sz w:val="13"/>
                <w:szCs w:val="13"/>
              </w:rPr>
              <w:t>8</w:t>
            </w:r>
            <w:r w:rsidRPr="00855A6C">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tcPr>
          <w:p w14:paraId="28292056" w14:textId="40526E4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20 996</w:t>
            </w:r>
          </w:p>
        </w:tc>
      </w:tr>
      <w:tr w:rsidR="00855A6C" w:rsidRPr="00855A6C" w14:paraId="4FADDF80"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079BC03F" w14:textId="77777777" w:rsidR="0083730C" w:rsidRPr="00855A6C" w:rsidRDefault="0083730C" w:rsidP="0083730C">
            <w:pPr>
              <w:rPr>
                <w:rFonts w:cs="Calibri"/>
                <w:color w:val="000000" w:themeColor="text1"/>
                <w:sz w:val="13"/>
                <w:szCs w:val="13"/>
              </w:rPr>
            </w:pPr>
            <w:r w:rsidRPr="00855A6C">
              <w:rPr>
                <w:rFonts w:cs="Calibri"/>
                <w:color w:val="000000" w:themeColor="text1"/>
                <w:sz w:val="13"/>
                <w:szCs w:val="13"/>
              </w:rPr>
              <w:t>Środki pieniężne na początek okresu sprawozdawczego</w:t>
            </w:r>
          </w:p>
        </w:tc>
        <w:tc>
          <w:tcPr>
            <w:tcW w:w="567" w:type="dxa"/>
            <w:tcBorders>
              <w:top w:val="nil"/>
              <w:left w:val="nil"/>
              <w:bottom w:val="single" w:sz="8" w:space="0" w:color="0077BD"/>
              <w:right w:val="single" w:sz="8" w:space="0" w:color="0077BD"/>
            </w:tcBorders>
            <w:shd w:val="clear" w:color="auto" w:fill="auto"/>
            <w:noWrap/>
            <w:vAlign w:val="center"/>
            <w:hideMark/>
          </w:tcPr>
          <w:p w14:paraId="7D2AF85D" w14:textId="0CB11A05" w:rsidR="0083730C" w:rsidRPr="00855A6C" w:rsidRDefault="0083730C" w:rsidP="0083730C">
            <w:pPr>
              <w:jc w:val="center"/>
              <w:rPr>
                <w:rFonts w:cs="Calibri"/>
                <w:color w:val="000000" w:themeColor="text1"/>
                <w:sz w:val="13"/>
                <w:szCs w:val="13"/>
              </w:rPr>
            </w:pP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748712ED" w14:textId="6E57F585"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10 630 969</w:t>
            </w:r>
          </w:p>
        </w:tc>
        <w:tc>
          <w:tcPr>
            <w:tcW w:w="1418" w:type="dxa"/>
            <w:tcBorders>
              <w:top w:val="nil"/>
              <w:left w:val="single" w:sz="8" w:space="0" w:color="0077BD"/>
              <w:bottom w:val="single" w:sz="8" w:space="0" w:color="0077BD"/>
              <w:right w:val="nil"/>
            </w:tcBorders>
            <w:shd w:val="clear" w:color="auto" w:fill="auto"/>
            <w:noWrap/>
            <w:vAlign w:val="center"/>
            <w:hideMark/>
          </w:tcPr>
          <w:p w14:paraId="7CEDF3C6" w14:textId="445EFD13" w:rsidR="0083730C" w:rsidRPr="00855A6C" w:rsidRDefault="0083730C" w:rsidP="0083730C">
            <w:pPr>
              <w:jc w:val="right"/>
              <w:rPr>
                <w:rFonts w:cs="Calibri"/>
                <w:color w:val="000000" w:themeColor="text1"/>
                <w:sz w:val="13"/>
                <w:szCs w:val="13"/>
              </w:rPr>
            </w:pPr>
            <w:r w:rsidRPr="00855A6C">
              <w:rPr>
                <w:rFonts w:cs="Calibri"/>
                <w:color w:val="000000" w:themeColor="text1"/>
                <w:sz w:val="13"/>
                <w:szCs w:val="13"/>
              </w:rPr>
              <w:t>9 824 260</w:t>
            </w:r>
          </w:p>
        </w:tc>
      </w:tr>
      <w:tr w:rsidR="00855A6C" w:rsidRPr="00855A6C" w14:paraId="3107615D" w14:textId="77777777" w:rsidTr="00977E53">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5C6412FB" w14:textId="77777777" w:rsidR="0083730C" w:rsidRPr="00855A6C" w:rsidRDefault="0083730C" w:rsidP="0083730C">
            <w:pPr>
              <w:rPr>
                <w:rFonts w:cs="Calibri"/>
                <w:b/>
                <w:bCs/>
                <w:color w:val="000000" w:themeColor="text1"/>
                <w:sz w:val="13"/>
                <w:szCs w:val="13"/>
              </w:rPr>
            </w:pPr>
            <w:r w:rsidRPr="00855A6C">
              <w:rPr>
                <w:rFonts w:cs="Calibri"/>
                <w:b/>
                <w:bCs/>
                <w:color w:val="000000" w:themeColor="text1"/>
                <w:sz w:val="13"/>
                <w:szCs w:val="13"/>
              </w:rPr>
              <w:t>Środki pieniężne na koniec okresu sprawozdawczego</w:t>
            </w:r>
          </w:p>
        </w:tc>
        <w:tc>
          <w:tcPr>
            <w:tcW w:w="567" w:type="dxa"/>
            <w:tcBorders>
              <w:top w:val="nil"/>
              <w:left w:val="nil"/>
              <w:bottom w:val="single" w:sz="8" w:space="0" w:color="0077BD"/>
              <w:right w:val="single" w:sz="8" w:space="0" w:color="0077BD"/>
            </w:tcBorders>
            <w:shd w:val="clear" w:color="auto" w:fill="auto"/>
            <w:noWrap/>
            <w:vAlign w:val="center"/>
            <w:hideMark/>
          </w:tcPr>
          <w:p w14:paraId="06390D17" w14:textId="1185E5A2" w:rsidR="0083730C" w:rsidRPr="00855A6C" w:rsidRDefault="0083730C" w:rsidP="0083730C">
            <w:pPr>
              <w:jc w:val="center"/>
              <w:rPr>
                <w:rFonts w:cs="Calibri"/>
                <w:b/>
                <w:bCs/>
                <w:color w:val="000000" w:themeColor="text1"/>
                <w:sz w:val="13"/>
                <w:szCs w:val="13"/>
              </w:rPr>
            </w:pPr>
            <w:r w:rsidRPr="00855A6C">
              <w:rPr>
                <w:rFonts w:cs="Calibri"/>
                <w:b/>
                <w:bCs/>
                <w:color w:val="000000" w:themeColor="text1"/>
                <w:sz w:val="13"/>
                <w:szCs w:val="13"/>
              </w:rPr>
              <w:t>40</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55B7E007" w14:textId="3F72F404"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9 609 929</w:t>
            </w:r>
          </w:p>
        </w:tc>
        <w:tc>
          <w:tcPr>
            <w:tcW w:w="1418" w:type="dxa"/>
            <w:tcBorders>
              <w:top w:val="nil"/>
              <w:left w:val="single" w:sz="8" w:space="0" w:color="0077BD"/>
              <w:bottom w:val="single" w:sz="8" w:space="0" w:color="0077BD"/>
              <w:right w:val="nil"/>
            </w:tcBorders>
            <w:shd w:val="clear" w:color="auto" w:fill="auto"/>
            <w:noWrap/>
            <w:vAlign w:val="center"/>
          </w:tcPr>
          <w:p w14:paraId="0A1A60FC" w14:textId="0B1FA27D" w:rsidR="0083730C" w:rsidRPr="00855A6C" w:rsidRDefault="0083730C" w:rsidP="0083730C">
            <w:pPr>
              <w:jc w:val="right"/>
              <w:rPr>
                <w:rFonts w:cs="Calibri"/>
                <w:b/>
                <w:bCs/>
                <w:color w:val="000000" w:themeColor="text1"/>
                <w:sz w:val="13"/>
                <w:szCs w:val="13"/>
              </w:rPr>
            </w:pPr>
            <w:r w:rsidRPr="00855A6C">
              <w:rPr>
                <w:rFonts w:cs="Calibri"/>
                <w:b/>
                <w:bCs/>
                <w:color w:val="000000" w:themeColor="text1"/>
                <w:sz w:val="13"/>
                <w:szCs w:val="13"/>
              </w:rPr>
              <w:t>10 630 969</w:t>
            </w:r>
          </w:p>
        </w:tc>
      </w:tr>
    </w:tbl>
    <w:p w14:paraId="491C5A74" w14:textId="77777777" w:rsidR="005F0C38" w:rsidRDefault="005F0C38" w:rsidP="003B659F">
      <w:pPr>
        <w:spacing w:before="60"/>
        <w:jc w:val="both"/>
        <w:rPr>
          <w:rFonts w:cs="Tahoma"/>
          <w:color w:val="000000" w:themeColor="text1"/>
          <w:szCs w:val="16"/>
        </w:rPr>
      </w:pPr>
    </w:p>
    <w:p w14:paraId="73CB64E2" w14:textId="59D7DBE9" w:rsidR="000F4BEE" w:rsidRPr="00977E53" w:rsidRDefault="00F44764" w:rsidP="003B659F">
      <w:pPr>
        <w:spacing w:before="60"/>
        <w:jc w:val="both"/>
        <w:rPr>
          <w:rFonts w:cs="Arial"/>
          <w:b/>
          <w:bCs/>
          <w:iCs/>
          <w:color w:val="000000" w:themeColor="text1"/>
          <w:sz w:val="20"/>
          <w:szCs w:val="28"/>
        </w:rPr>
      </w:pPr>
      <w:r w:rsidRPr="002A066F">
        <w:rPr>
          <w:rFonts w:cs="Tahoma"/>
          <w:color w:val="000000" w:themeColor="text1"/>
          <w:szCs w:val="16"/>
        </w:rPr>
        <w:t>N</w:t>
      </w:r>
      <w:r w:rsidR="000F4BEE" w:rsidRPr="002A066F">
        <w:rPr>
          <w:rFonts w:cs="Tahoma"/>
          <w:color w:val="000000" w:themeColor="text1"/>
          <w:szCs w:val="16"/>
        </w:rPr>
        <w:t xml:space="preserve">oty przedstawione na stronach </w:t>
      </w:r>
      <w:r w:rsidR="001B4802">
        <w:rPr>
          <w:rFonts w:cs="Tahoma"/>
          <w:color w:val="000000" w:themeColor="text1"/>
          <w:szCs w:val="16"/>
        </w:rPr>
        <w:t>10</w:t>
      </w:r>
      <w:r w:rsidR="0099467F" w:rsidRPr="002A066F">
        <w:rPr>
          <w:rFonts w:cs="Tahoma"/>
          <w:color w:val="000000" w:themeColor="text1"/>
          <w:szCs w:val="16"/>
        </w:rPr>
        <w:t xml:space="preserve"> - </w:t>
      </w:r>
      <w:r w:rsidR="005A393F">
        <w:rPr>
          <w:rFonts w:cs="Tahoma"/>
          <w:color w:val="000000" w:themeColor="text1"/>
          <w:szCs w:val="16"/>
        </w:rPr>
        <w:t>177</w:t>
      </w:r>
      <w:r w:rsidR="000F4BEE" w:rsidRPr="002A066F">
        <w:rPr>
          <w:rFonts w:cs="Tahoma"/>
          <w:color w:val="000000" w:themeColor="text1"/>
          <w:szCs w:val="16"/>
        </w:rPr>
        <w:t xml:space="preserve"> stanowią integralną część niniejszego skonsolidowanego sprawozdania</w:t>
      </w:r>
      <w:r w:rsidR="000F4BEE" w:rsidRPr="00855A6C">
        <w:rPr>
          <w:rFonts w:cs="Tahoma"/>
          <w:color w:val="000000" w:themeColor="text1"/>
          <w:szCs w:val="16"/>
        </w:rPr>
        <w:t xml:space="preserve"> </w:t>
      </w:r>
      <w:r w:rsidR="000F4BEE" w:rsidRPr="00977E53">
        <w:rPr>
          <w:rFonts w:cs="Tahoma"/>
          <w:color w:val="000000" w:themeColor="text1"/>
          <w:szCs w:val="16"/>
        </w:rPr>
        <w:t>finansowego.</w:t>
      </w:r>
      <w:r w:rsidR="000F4BEE" w:rsidRPr="00977E53">
        <w:rPr>
          <w:rFonts w:cs="Arial"/>
          <w:b/>
          <w:bCs/>
          <w:iCs/>
          <w:color w:val="000000" w:themeColor="text1"/>
          <w:sz w:val="20"/>
          <w:szCs w:val="28"/>
        </w:rPr>
        <w:br w:type="page"/>
      </w:r>
    </w:p>
    <w:p w14:paraId="5CEA2A49" w14:textId="77777777" w:rsidR="00AB2629" w:rsidRPr="00697827" w:rsidRDefault="00AB2629" w:rsidP="00A82642">
      <w:pPr>
        <w:pStyle w:val="Nagwek2"/>
        <w:numPr>
          <w:ilvl w:val="0"/>
          <w:numId w:val="0"/>
        </w:numPr>
        <w:spacing w:before="0" w:after="0"/>
        <w:jc w:val="both"/>
      </w:pPr>
      <w:bookmarkStart w:id="9" w:name="_Toc32999786"/>
      <w:r w:rsidRPr="00697827">
        <w:lastRenderedPageBreak/>
        <w:t>Noty objaśniające do sprawozdania finansowego</w:t>
      </w:r>
      <w:bookmarkEnd w:id="9"/>
    </w:p>
    <w:p w14:paraId="1E6519D9" w14:textId="77777777" w:rsidR="00AB2629" w:rsidRPr="00C12AFA" w:rsidRDefault="00AB2629" w:rsidP="00D36637">
      <w:pPr>
        <w:pStyle w:val="Nagwek2"/>
        <w:numPr>
          <w:ilvl w:val="0"/>
          <w:numId w:val="14"/>
        </w:numPr>
        <w:tabs>
          <w:tab w:val="clear" w:pos="720"/>
        </w:tabs>
        <w:suppressAutoHyphens/>
        <w:ind w:left="425" w:hanging="425"/>
        <w:jc w:val="both"/>
        <w:rPr>
          <w:rFonts w:cs="Tahoma"/>
          <w:bCs w:val="0"/>
          <w:iCs w:val="0"/>
          <w:color w:val="E41E0A"/>
          <w:sz w:val="18"/>
          <w:szCs w:val="18"/>
        </w:rPr>
      </w:pPr>
      <w:bookmarkStart w:id="10" w:name="_Toc94429531"/>
      <w:bookmarkStart w:id="11" w:name="_Toc115057575"/>
      <w:bookmarkStart w:id="12" w:name="_Toc190763295"/>
      <w:bookmarkStart w:id="13" w:name="_Toc259729249"/>
      <w:bookmarkStart w:id="14" w:name="_Toc276486369"/>
      <w:bookmarkStart w:id="15" w:name="_Toc348543890"/>
      <w:bookmarkStart w:id="16" w:name="_Toc32999787"/>
      <w:r w:rsidRPr="00C12AFA">
        <w:rPr>
          <w:rFonts w:cs="Tahoma"/>
          <w:bCs w:val="0"/>
          <w:iCs w:val="0"/>
          <w:color w:val="E41E0A"/>
          <w:sz w:val="18"/>
          <w:szCs w:val="18"/>
        </w:rPr>
        <w:t xml:space="preserve">Informacje o </w:t>
      </w:r>
      <w:r w:rsidR="009E0A0F" w:rsidRPr="00C12AFA">
        <w:rPr>
          <w:rFonts w:cs="Tahoma"/>
          <w:bCs w:val="0"/>
          <w:iCs w:val="0"/>
          <w:color w:val="E41E0A"/>
          <w:sz w:val="18"/>
          <w:szCs w:val="18"/>
        </w:rPr>
        <w:t>Grupie m</w:t>
      </w:r>
      <w:r w:rsidRPr="00C12AFA">
        <w:rPr>
          <w:rFonts w:cs="Tahoma"/>
          <w:bCs w:val="0"/>
          <w:iCs w:val="0"/>
          <w:color w:val="E41E0A"/>
          <w:sz w:val="18"/>
          <w:szCs w:val="18"/>
        </w:rPr>
        <w:t>Banku S</w:t>
      </w:r>
      <w:r w:rsidR="009E0A0F" w:rsidRPr="00C12AFA">
        <w:rPr>
          <w:rFonts w:cs="Tahoma"/>
          <w:bCs w:val="0"/>
          <w:iCs w:val="0"/>
          <w:color w:val="E41E0A"/>
          <w:sz w:val="18"/>
          <w:szCs w:val="18"/>
        </w:rPr>
        <w:t>.</w:t>
      </w:r>
      <w:r w:rsidRPr="00C12AFA">
        <w:rPr>
          <w:rFonts w:cs="Tahoma"/>
          <w:bCs w:val="0"/>
          <w:iCs w:val="0"/>
          <w:color w:val="E41E0A"/>
          <w:sz w:val="18"/>
          <w:szCs w:val="18"/>
        </w:rPr>
        <w:t>A</w:t>
      </w:r>
      <w:bookmarkEnd w:id="10"/>
      <w:bookmarkEnd w:id="11"/>
      <w:bookmarkEnd w:id="12"/>
      <w:bookmarkEnd w:id="13"/>
      <w:bookmarkEnd w:id="14"/>
      <w:bookmarkEnd w:id="15"/>
      <w:r w:rsidR="009E0A0F" w:rsidRPr="00C12AFA">
        <w:rPr>
          <w:rFonts w:cs="Tahoma"/>
          <w:bCs w:val="0"/>
          <w:iCs w:val="0"/>
          <w:color w:val="E41E0A"/>
          <w:sz w:val="18"/>
          <w:szCs w:val="18"/>
        </w:rPr>
        <w:t>.</w:t>
      </w:r>
      <w:bookmarkEnd w:id="16"/>
    </w:p>
    <w:p w14:paraId="41FBDB74" w14:textId="77777777" w:rsidR="00A408BB" w:rsidRPr="00977E53" w:rsidRDefault="00A408BB" w:rsidP="00A408BB">
      <w:pPr>
        <w:pStyle w:val="Tekstpodstawowywcity2"/>
        <w:suppressAutoHyphens/>
        <w:spacing w:before="120" w:after="0" w:line="240" w:lineRule="auto"/>
        <w:ind w:left="0"/>
        <w:jc w:val="both"/>
        <w:rPr>
          <w:rFonts w:cs="Tahoma"/>
          <w:color w:val="000000" w:themeColor="text1"/>
          <w:sz w:val="18"/>
          <w:szCs w:val="18"/>
        </w:rPr>
      </w:pPr>
      <w:bookmarkStart w:id="17" w:name="_Toc115057578"/>
      <w:r w:rsidRPr="00977E53">
        <w:rPr>
          <w:rFonts w:cs="Tahoma"/>
          <w:color w:val="000000" w:themeColor="text1"/>
          <w:sz w:val="18"/>
          <w:szCs w:val="18"/>
        </w:rPr>
        <w:t>Grupę kapitałową mBanku S.A. („Grupa”, „Grupa mBanku”) stanowią podmioty, nad którymi mBank S.A. („Bank”, ”mBank”) sprawuje kontrolę i mające dla Banku charakter:</w:t>
      </w:r>
    </w:p>
    <w:p w14:paraId="761EC0DD" w14:textId="77777777" w:rsidR="00A408BB" w:rsidRPr="00977E53" w:rsidRDefault="00A408BB" w:rsidP="00A408BB">
      <w:pPr>
        <w:pStyle w:val="Akapitzlist"/>
        <w:numPr>
          <w:ilvl w:val="0"/>
          <w:numId w:val="15"/>
        </w:numPr>
        <w:tabs>
          <w:tab w:val="clear" w:pos="624"/>
        </w:tabs>
        <w:spacing w:after="120"/>
        <w:ind w:left="426" w:hanging="426"/>
        <w:jc w:val="both"/>
        <w:rPr>
          <w:color w:val="000000" w:themeColor="text1"/>
          <w:sz w:val="18"/>
          <w:szCs w:val="18"/>
        </w:rPr>
      </w:pPr>
      <w:r w:rsidRPr="00977E53">
        <w:rPr>
          <w:color w:val="000000" w:themeColor="text1"/>
          <w:sz w:val="18"/>
          <w:szCs w:val="18"/>
          <w:u w:val="single"/>
        </w:rPr>
        <w:t>strategiczny</w:t>
      </w:r>
      <w:r w:rsidRPr="00977E53">
        <w:rPr>
          <w:color w:val="000000" w:themeColor="text1"/>
          <w:sz w:val="18"/>
          <w:szCs w:val="18"/>
        </w:rPr>
        <w:t xml:space="preserve"> - </w:t>
      </w:r>
      <w:r w:rsidRPr="00977E53">
        <w:rPr>
          <w:rFonts w:cs="Tahoma"/>
          <w:color w:val="000000" w:themeColor="text1"/>
          <w:sz w:val="18"/>
          <w:szCs w:val="18"/>
        </w:rPr>
        <w:t>akcje i udziały w spółkach wspierających poszczególne piony biznesowe mBanku S.A. (pion korporacji i rynków finansowych, bankowości detalicznej oraz pozostałe) o horyzoncie inwestowania nie krótszym niż 3 lata. Utworzenie lub nabycie tych spółek miało na celu rozszerzenie oferty dla klientów Banku;</w:t>
      </w:r>
    </w:p>
    <w:p w14:paraId="14D9C251" w14:textId="77777777" w:rsidR="00A408BB" w:rsidRPr="00977E53" w:rsidRDefault="00A408BB" w:rsidP="00A408BB">
      <w:pPr>
        <w:pStyle w:val="Akapitzlist"/>
        <w:numPr>
          <w:ilvl w:val="0"/>
          <w:numId w:val="15"/>
        </w:numPr>
        <w:tabs>
          <w:tab w:val="clear" w:pos="624"/>
        </w:tabs>
        <w:spacing w:after="120"/>
        <w:ind w:left="426" w:hanging="426"/>
        <w:jc w:val="both"/>
        <w:rPr>
          <w:color w:val="000000" w:themeColor="text1"/>
          <w:sz w:val="18"/>
          <w:szCs w:val="18"/>
        </w:rPr>
      </w:pPr>
      <w:r w:rsidRPr="00977E53">
        <w:rPr>
          <w:color w:val="000000" w:themeColor="text1"/>
          <w:sz w:val="18"/>
          <w:szCs w:val="18"/>
          <w:u w:val="single"/>
        </w:rPr>
        <w:t>inny</w:t>
      </w:r>
      <w:r w:rsidRPr="00977E53">
        <w:rPr>
          <w:color w:val="000000" w:themeColor="text1"/>
          <w:sz w:val="18"/>
          <w:szCs w:val="18"/>
        </w:rPr>
        <w:t xml:space="preserve"> - akcje i udziały </w:t>
      </w:r>
      <w:r w:rsidRPr="00977E53">
        <w:rPr>
          <w:rFonts w:cs="Tahoma"/>
          <w:color w:val="000000" w:themeColor="text1"/>
          <w:sz w:val="18"/>
          <w:szCs w:val="18"/>
        </w:rPr>
        <w:t>spółek nabyte za wierzytelności, powstałe w wyniku ugód i układów z dłużnikami, mające na celu odzyskanie części lub całości należności kredytowych oraz spółek postawionych w stan likwidacji lub upadłości.</w:t>
      </w:r>
    </w:p>
    <w:p w14:paraId="010063CA" w14:textId="77777777" w:rsidR="00A408BB" w:rsidRPr="00977E53" w:rsidRDefault="00A408BB" w:rsidP="00A408BB">
      <w:pPr>
        <w:pStyle w:val="Tekstpodstawowy2"/>
        <w:spacing w:before="120" w:after="0" w:line="240" w:lineRule="auto"/>
        <w:jc w:val="both"/>
        <w:rPr>
          <w:rFonts w:cs="Tahoma"/>
          <w:color w:val="000000" w:themeColor="text1"/>
          <w:sz w:val="18"/>
          <w:szCs w:val="18"/>
        </w:rPr>
      </w:pPr>
      <w:bookmarkStart w:id="18" w:name="_Toc115057576"/>
      <w:r w:rsidRPr="00977E53">
        <w:rPr>
          <w:rFonts w:cs="Tahoma"/>
          <w:color w:val="000000" w:themeColor="text1"/>
          <w:sz w:val="18"/>
          <w:szCs w:val="18"/>
        </w:rPr>
        <w:t>Jednostką dominującą Grupy jest mBank S.A. będący spółką akcyjną zarejestrowaną w Polsce</w:t>
      </w:r>
      <w:bookmarkEnd w:id="18"/>
      <w:r w:rsidRPr="00977E53">
        <w:rPr>
          <w:rFonts w:cs="Tahoma"/>
          <w:color w:val="000000" w:themeColor="text1"/>
          <w:sz w:val="18"/>
          <w:szCs w:val="18"/>
        </w:rPr>
        <w:t xml:space="preserve">, wchodzącą w skład Grupy Commerzbank AG. </w:t>
      </w:r>
    </w:p>
    <w:p w14:paraId="0700DF01" w14:textId="77777777" w:rsidR="00A408BB" w:rsidRPr="00977E53" w:rsidRDefault="00A408BB" w:rsidP="00A408BB">
      <w:pPr>
        <w:pStyle w:val="Tekstpodstawowy2"/>
        <w:spacing w:before="120" w:after="0" w:line="240" w:lineRule="auto"/>
        <w:jc w:val="both"/>
        <w:rPr>
          <w:rFonts w:cs="Tahoma"/>
          <w:color w:val="000000" w:themeColor="text1"/>
          <w:sz w:val="18"/>
          <w:szCs w:val="18"/>
        </w:rPr>
      </w:pPr>
      <w:bookmarkStart w:id="19" w:name="_Toc115057577"/>
      <w:r w:rsidRPr="00977E53">
        <w:rPr>
          <w:rFonts w:cs="Tahoma"/>
          <w:color w:val="000000" w:themeColor="text1"/>
          <w:sz w:val="18"/>
          <w:szCs w:val="18"/>
        </w:rPr>
        <w:t>Siedziba centrali Banku mieści się w Warszawie przy ul. Senatorskiej 18.</w:t>
      </w:r>
      <w:bookmarkEnd w:id="19"/>
    </w:p>
    <w:p w14:paraId="4777D9B1" w14:textId="77777777" w:rsidR="00A408BB" w:rsidRPr="00977E53" w:rsidRDefault="00A408BB" w:rsidP="00A408BB">
      <w:pPr>
        <w:pStyle w:val="Tekstpodstawowy2"/>
        <w:spacing w:before="120" w:after="0" w:line="240" w:lineRule="auto"/>
        <w:jc w:val="both"/>
        <w:rPr>
          <w:rFonts w:cs="Tahoma"/>
          <w:color w:val="000000" w:themeColor="text1"/>
          <w:sz w:val="18"/>
          <w:szCs w:val="18"/>
        </w:rPr>
      </w:pPr>
      <w:r w:rsidRPr="00977E53">
        <w:rPr>
          <w:rFonts w:cs="Tahoma"/>
          <w:color w:val="000000" w:themeColor="text1"/>
          <w:sz w:val="18"/>
          <w:szCs w:val="18"/>
        </w:rPr>
        <w:t>Akcje Banku są notowane na Giełdzie Papierów Wartościowych w Warszawie.</w:t>
      </w:r>
      <w:bookmarkEnd w:id="17"/>
    </w:p>
    <w:p w14:paraId="25B88460" w14:textId="32B0145F" w:rsidR="00594E06" w:rsidRPr="00977E53" w:rsidRDefault="00594E06" w:rsidP="00594E06">
      <w:pPr>
        <w:spacing w:before="120"/>
        <w:jc w:val="both"/>
        <w:rPr>
          <w:rFonts w:cs="Tahoma"/>
          <w:color w:val="000000" w:themeColor="text1"/>
          <w:sz w:val="18"/>
          <w:szCs w:val="18"/>
        </w:rPr>
      </w:pPr>
      <w:r w:rsidRPr="00977E53">
        <w:rPr>
          <w:rFonts w:cs="Tahoma"/>
          <w:color w:val="000000" w:themeColor="text1"/>
          <w:sz w:val="18"/>
          <w:szCs w:val="18"/>
        </w:rPr>
        <w:t xml:space="preserve">Na dzień </w:t>
      </w:r>
      <w:r w:rsidR="009450A5" w:rsidRPr="00977E53">
        <w:rPr>
          <w:rFonts w:cs="Tahoma"/>
          <w:color w:val="000000" w:themeColor="text1"/>
          <w:sz w:val="18"/>
          <w:szCs w:val="18"/>
        </w:rPr>
        <w:t xml:space="preserve">31 grudnia </w:t>
      </w:r>
      <w:r w:rsidRPr="00977E53">
        <w:rPr>
          <w:rFonts w:cs="Tahoma"/>
          <w:color w:val="000000" w:themeColor="text1"/>
          <w:sz w:val="18"/>
          <w:szCs w:val="18"/>
        </w:rPr>
        <w:t>2019 roku Grupa Kapitałowa mBanku S.A. objęta skonsolidowanym sprawozdaniem finansowym skł</w:t>
      </w:r>
      <w:r w:rsidR="00D51A8F">
        <w:rPr>
          <w:rFonts w:cs="Tahoma"/>
          <w:color w:val="000000" w:themeColor="text1"/>
          <w:sz w:val="18"/>
          <w:szCs w:val="18"/>
        </w:rPr>
        <w:t>adała się z następujących podmiotów</w:t>
      </w:r>
      <w:r w:rsidRPr="00977E53">
        <w:rPr>
          <w:rFonts w:cs="Tahoma"/>
          <w:color w:val="000000" w:themeColor="text1"/>
          <w:sz w:val="18"/>
          <w:szCs w:val="18"/>
        </w:rPr>
        <w:t>:</w:t>
      </w:r>
    </w:p>
    <w:p w14:paraId="32BB0D59" w14:textId="77777777" w:rsidR="00594E06" w:rsidRPr="00977E53" w:rsidRDefault="00594E06" w:rsidP="00594E06">
      <w:pPr>
        <w:spacing w:before="120"/>
        <w:jc w:val="both"/>
        <w:rPr>
          <w:rFonts w:cs="Tahoma"/>
          <w:b/>
          <w:color w:val="000000" w:themeColor="text1"/>
          <w:sz w:val="18"/>
          <w:szCs w:val="18"/>
          <w:u w:val="single"/>
        </w:rPr>
      </w:pPr>
      <w:r w:rsidRPr="00977E53">
        <w:rPr>
          <w:rFonts w:cs="Tahoma"/>
          <w:b/>
          <w:color w:val="000000" w:themeColor="text1"/>
          <w:sz w:val="18"/>
          <w:szCs w:val="18"/>
          <w:u w:val="single"/>
        </w:rPr>
        <w:t>mBank S.A.; podmiot dominujący</w:t>
      </w:r>
    </w:p>
    <w:p w14:paraId="0B9BB922"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mBank S.A. został powołany pod nazwą Bank Rozwoju Eksportu SA uchwałą nr 99 Rady Ministrów z dnia 20 czerwca 1986 roku. Bank został zarejestrowany na podstawie prawomocnego postanowienia Sądu Rejonowego dla Miasta Stołecznego Warszawy, XVI Wydział Gospodarczy - Rejestrowy w dniu 23 grudnia 1986 roku w Rejestrze Handlowym pod numerem RHB 14036. IX Nadzwyczajne Walne Zgromadzenie Akcjonariuszy z dnia 4 marca 1999 roku podjęło uchwałę o zmianie nazwy Banku na BRE Bank SA. Nowa firma Banku została wpisana do rejestru w dniu 23 marca 1999 roku. W dniu 11 lipca 2001 roku Sąd Rejonowy w Warszawie wydał postanowienie o wpisie Banku do Krajowego Rejestru Sądowego pod numerem KRS 0000025237.</w:t>
      </w:r>
    </w:p>
    <w:p w14:paraId="701A053F"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W dniu 22 listopada 2013 roku Sąd Rejonowy dla Miasta Stołecznego Warszawy, XII Wydział Gospodarczy Krajowego Rejestru Sądowego dokonał rejestracji zmian Statutu Banku wynikających z uchwał nr 26 oraz 27 XXVI Zwyczajnego Walnego Zgromadzenia mBanku S.A., które odbyło się dnia 11 kwietnia 2013 roku. Wraz z rejestracją zmian w Statucie zmianie uległa nazwa Banku z dotychczasowej BRE Bank Spółka Akcyjna na mBank Spółka Akcyjna (w skrócie mBank S.A.).</w:t>
      </w:r>
    </w:p>
    <w:p w14:paraId="31482F0F"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Według Polskiej Klasyfikacji Działalności Bank posiada numer 6419Z „Pozostałe pośrednictwo pieniężne”. Zgodnie z Cedułą Giełdową Bank zaklasyfikowany jest do makrosektora „Finanse”, sektor „Banki”.</w:t>
      </w:r>
    </w:p>
    <w:p w14:paraId="39421EF4"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 xml:space="preserve">Zgodnie ze Statutem Banku, przedmiotem jego działalności jest świadczenie usług bankowych i konsultacyjno-doradczych w sprawach finansowych oraz prowadzenie działalności gospodarczej w zakresie określonym w Statucie. Bank prowadzi działalność w zakresie obsługi klientów korporacyjnych, instytucjonalnych i detalicznych (w tym private banking) na terenie całego kraju oraz prowadzi działalność handlową i inwestycyjną, a także działalność maklerską. </w:t>
      </w:r>
    </w:p>
    <w:p w14:paraId="38AA3B93"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Bank świadczy usługi na rzecz osób prawnych i fizycznych, krajowych i zagranicznych, zarówno w złotych jak i w walutach obcych.</w:t>
      </w:r>
    </w:p>
    <w:p w14:paraId="75BC546F"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Bank może otwierać i posiadać rachunki w bankach polskich i zagranicznych oraz ma prawo posiadania wartości dewizowych i dokonywania obrotu nimi.</w:t>
      </w:r>
    </w:p>
    <w:p w14:paraId="550024F4" w14:textId="77777777" w:rsidR="00096C4B" w:rsidRPr="00977E53" w:rsidRDefault="00096C4B" w:rsidP="00096C4B">
      <w:pPr>
        <w:suppressAutoHyphens/>
        <w:spacing w:before="120"/>
        <w:jc w:val="both"/>
        <w:rPr>
          <w:rFonts w:cs="Tahoma"/>
          <w:color w:val="000000" w:themeColor="text1"/>
          <w:sz w:val="18"/>
          <w:szCs w:val="18"/>
        </w:rPr>
      </w:pPr>
      <w:r w:rsidRPr="00977E53">
        <w:rPr>
          <w:rFonts w:cs="Tahoma"/>
          <w:color w:val="000000" w:themeColor="text1"/>
          <w:sz w:val="18"/>
          <w:szCs w:val="18"/>
        </w:rPr>
        <w:t>W ramach bankowości detalicznej mBanku działalność prowadzą oddziały zagraniczne w Czechach i na Słowacji.</w:t>
      </w:r>
    </w:p>
    <w:p w14:paraId="74361EF0" w14:textId="763E5D4A" w:rsidR="00594E06" w:rsidRPr="00977E53" w:rsidRDefault="00594E06" w:rsidP="00594E06">
      <w:pPr>
        <w:spacing w:before="120"/>
        <w:jc w:val="both"/>
        <w:rPr>
          <w:rFonts w:cs="Tahoma"/>
          <w:color w:val="000000" w:themeColor="text1"/>
          <w:sz w:val="18"/>
          <w:szCs w:val="18"/>
        </w:rPr>
      </w:pPr>
      <w:r w:rsidRPr="00977E53">
        <w:rPr>
          <w:rFonts w:cs="Tahoma"/>
          <w:color w:val="000000" w:themeColor="text1"/>
          <w:sz w:val="18"/>
          <w:szCs w:val="18"/>
        </w:rPr>
        <w:t xml:space="preserve">Na dzień </w:t>
      </w:r>
      <w:r w:rsidR="009450A5" w:rsidRPr="00977E53">
        <w:rPr>
          <w:rFonts w:cs="Tahoma"/>
          <w:color w:val="000000" w:themeColor="text1"/>
          <w:sz w:val="18"/>
          <w:szCs w:val="18"/>
        </w:rPr>
        <w:t xml:space="preserve">31 grudnia </w:t>
      </w:r>
      <w:r w:rsidRPr="00977E53">
        <w:rPr>
          <w:rFonts w:cs="Tahoma"/>
          <w:color w:val="000000" w:themeColor="text1"/>
          <w:sz w:val="18"/>
          <w:szCs w:val="18"/>
        </w:rPr>
        <w:t xml:space="preserve">2019 roku zatrudnienie w mBanku S.A. wynosiło </w:t>
      </w:r>
      <w:r w:rsidR="00E94666" w:rsidRPr="00977E53">
        <w:rPr>
          <w:rFonts w:cs="Tahoma"/>
          <w:color w:val="000000" w:themeColor="text1"/>
          <w:sz w:val="18"/>
          <w:szCs w:val="18"/>
        </w:rPr>
        <w:t>6 072 etaty</w:t>
      </w:r>
      <w:r w:rsidR="0019500D" w:rsidRPr="00977E53">
        <w:rPr>
          <w:rFonts w:cs="Tahoma"/>
          <w:color w:val="000000" w:themeColor="text1"/>
          <w:sz w:val="18"/>
          <w:szCs w:val="18"/>
        </w:rPr>
        <w:t>, a w Grupie 6 </w:t>
      </w:r>
      <w:r w:rsidR="00E94666" w:rsidRPr="00977E53">
        <w:rPr>
          <w:rFonts w:cs="Tahoma"/>
          <w:color w:val="000000" w:themeColor="text1"/>
          <w:sz w:val="18"/>
          <w:szCs w:val="18"/>
        </w:rPr>
        <w:t>771 etatów</w:t>
      </w:r>
      <w:r w:rsidRPr="00977E53">
        <w:rPr>
          <w:rFonts w:cs="Tahoma"/>
          <w:color w:val="000000" w:themeColor="text1"/>
          <w:sz w:val="18"/>
          <w:szCs w:val="18"/>
        </w:rPr>
        <w:t xml:space="preserve"> (</w:t>
      </w:r>
      <w:r w:rsidR="00D57DF4">
        <w:rPr>
          <w:rFonts w:cs="Tahoma"/>
          <w:color w:val="000000" w:themeColor="text1"/>
          <w:sz w:val="18"/>
          <w:szCs w:val="18"/>
        </w:rPr>
        <w:t>31 grudnia 2018 roku</w:t>
      </w:r>
      <w:r w:rsidR="009450A5" w:rsidRPr="00977E53">
        <w:rPr>
          <w:rFonts w:cs="Tahoma"/>
          <w:color w:val="000000" w:themeColor="text1"/>
          <w:sz w:val="18"/>
          <w:szCs w:val="18"/>
        </w:rPr>
        <w:t>: Bank 5 839 etatów; Grupa 6 524 etaty</w:t>
      </w:r>
      <w:r w:rsidRPr="00977E53">
        <w:rPr>
          <w:rFonts w:cs="Tahoma"/>
          <w:color w:val="000000" w:themeColor="text1"/>
          <w:sz w:val="18"/>
          <w:szCs w:val="18"/>
        </w:rPr>
        <w:t>).</w:t>
      </w:r>
    </w:p>
    <w:p w14:paraId="5B4DC5A3" w14:textId="274F53AB" w:rsidR="00594E06" w:rsidRPr="00977E53" w:rsidRDefault="00594E06" w:rsidP="00594E06">
      <w:pPr>
        <w:spacing w:before="120"/>
        <w:jc w:val="both"/>
        <w:rPr>
          <w:rFonts w:cs="Tahoma"/>
          <w:color w:val="000000" w:themeColor="text1"/>
          <w:sz w:val="18"/>
          <w:szCs w:val="18"/>
        </w:rPr>
      </w:pPr>
      <w:r w:rsidRPr="00977E53">
        <w:rPr>
          <w:rFonts w:cs="Tahoma"/>
          <w:color w:val="000000" w:themeColor="text1"/>
          <w:sz w:val="18"/>
          <w:szCs w:val="18"/>
        </w:rPr>
        <w:t xml:space="preserve">Na dzień </w:t>
      </w:r>
      <w:r w:rsidR="009450A5" w:rsidRPr="00977E53">
        <w:rPr>
          <w:rFonts w:cs="Tahoma"/>
          <w:color w:val="000000" w:themeColor="text1"/>
          <w:sz w:val="18"/>
          <w:szCs w:val="18"/>
        </w:rPr>
        <w:t xml:space="preserve">31 grudnia </w:t>
      </w:r>
      <w:r w:rsidRPr="00977E53">
        <w:rPr>
          <w:rFonts w:cs="Tahoma"/>
          <w:color w:val="000000" w:themeColor="text1"/>
          <w:sz w:val="18"/>
          <w:szCs w:val="18"/>
        </w:rPr>
        <w:t xml:space="preserve">2019 roku zatrudnienie w mBanku S.A. wynosiło </w:t>
      </w:r>
      <w:r w:rsidR="00DE3395" w:rsidRPr="00977E53">
        <w:rPr>
          <w:rFonts w:cs="Tahoma"/>
          <w:color w:val="000000" w:themeColor="text1"/>
          <w:sz w:val="18"/>
          <w:szCs w:val="18"/>
        </w:rPr>
        <w:t>7 106</w:t>
      </w:r>
      <w:r w:rsidR="0019500D" w:rsidRPr="00977E53">
        <w:rPr>
          <w:rFonts w:cs="Tahoma"/>
          <w:color w:val="000000" w:themeColor="text1"/>
          <w:sz w:val="18"/>
          <w:szCs w:val="18"/>
        </w:rPr>
        <w:t xml:space="preserve"> osób, a w Grupie 9 </w:t>
      </w:r>
      <w:r w:rsidR="00DE3395" w:rsidRPr="00977E53">
        <w:rPr>
          <w:rFonts w:cs="Tahoma"/>
          <w:color w:val="000000" w:themeColor="text1"/>
          <w:sz w:val="18"/>
          <w:szCs w:val="18"/>
        </w:rPr>
        <w:t>352</w:t>
      </w:r>
      <w:r w:rsidRPr="00977E53">
        <w:rPr>
          <w:rFonts w:cs="Tahoma"/>
          <w:color w:val="000000" w:themeColor="text1"/>
          <w:sz w:val="18"/>
          <w:szCs w:val="18"/>
        </w:rPr>
        <w:t xml:space="preserve"> osoby (</w:t>
      </w:r>
      <w:r w:rsidR="009450A5" w:rsidRPr="00977E53">
        <w:rPr>
          <w:rFonts w:cs="Tahoma"/>
          <w:color w:val="000000" w:themeColor="text1"/>
          <w:sz w:val="18"/>
          <w:szCs w:val="18"/>
        </w:rPr>
        <w:t xml:space="preserve">31 grudnia </w:t>
      </w:r>
      <w:r w:rsidR="00D57DF4">
        <w:rPr>
          <w:rFonts w:cs="Tahoma"/>
          <w:color w:val="000000" w:themeColor="text1"/>
          <w:sz w:val="18"/>
          <w:szCs w:val="18"/>
        </w:rPr>
        <w:t>2018 roku</w:t>
      </w:r>
      <w:r w:rsidR="00BC77D4" w:rsidRPr="00977E53">
        <w:rPr>
          <w:rFonts w:cs="Tahoma"/>
          <w:color w:val="000000" w:themeColor="text1"/>
          <w:sz w:val="18"/>
          <w:szCs w:val="18"/>
        </w:rPr>
        <w:t>: Bank 6 766 osób; Grupa 8 823 osoby</w:t>
      </w:r>
      <w:r w:rsidRPr="00977E53">
        <w:rPr>
          <w:rFonts w:cs="Tahoma"/>
          <w:color w:val="000000" w:themeColor="text1"/>
          <w:sz w:val="18"/>
          <w:szCs w:val="18"/>
        </w:rPr>
        <w:t>).</w:t>
      </w:r>
    </w:p>
    <w:p w14:paraId="3332E5C4" w14:textId="2B6B69D4" w:rsidR="00901A87" w:rsidRPr="00977E53" w:rsidRDefault="00594E06" w:rsidP="00A82642">
      <w:pPr>
        <w:spacing w:before="120"/>
        <w:jc w:val="both"/>
        <w:rPr>
          <w:rFonts w:cs="Tahoma"/>
          <w:color w:val="000000" w:themeColor="text1"/>
          <w:sz w:val="18"/>
          <w:szCs w:val="18"/>
        </w:rPr>
      </w:pPr>
      <w:r w:rsidRPr="00977E53">
        <w:rPr>
          <w:rFonts w:cs="Tahoma"/>
          <w:color w:val="000000" w:themeColor="text1"/>
          <w:sz w:val="18"/>
          <w:szCs w:val="18"/>
        </w:rPr>
        <w:t xml:space="preserve">Działalność Grupy realizowana jest w następujących segmentach, szczegółowo opisanych w Nocie </w:t>
      </w:r>
      <w:r w:rsidR="00255C14" w:rsidRPr="00977E53">
        <w:rPr>
          <w:rFonts w:cs="Tahoma"/>
          <w:color w:val="000000" w:themeColor="text1"/>
          <w:sz w:val="18"/>
          <w:szCs w:val="18"/>
        </w:rPr>
        <w:t>5</w:t>
      </w:r>
      <w:r w:rsidR="00901A87" w:rsidRPr="00977E53">
        <w:rPr>
          <w:rFonts w:cs="Tahoma"/>
          <w:color w:val="000000" w:themeColor="text1"/>
          <w:sz w:val="18"/>
          <w:szCs w:val="18"/>
        </w:rPr>
        <w:t>.</w:t>
      </w:r>
    </w:p>
    <w:p w14:paraId="42A55F7A" w14:textId="77777777" w:rsidR="00AD3F45" w:rsidRPr="00977E53" w:rsidRDefault="00AD3F45">
      <w:pPr>
        <w:rPr>
          <w:rFonts w:cs="Tahoma"/>
          <w:b/>
          <w:bCs/>
          <w:color w:val="000000" w:themeColor="text1"/>
          <w:sz w:val="18"/>
          <w:szCs w:val="18"/>
          <w:u w:val="single"/>
        </w:rPr>
      </w:pPr>
      <w:r w:rsidRPr="00977E53">
        <w:rPr>
          <w:rFonts w:cs="Tahoma"/>
          <w:b/>
          <w:bCs/>
          <w:color w:val="000000" w:themeColor="text1"/>
          <w:sz w:val="18"/>
          <w:szCs w:val="18"/>
          <w:u w:val="single"/>
        </w:rPr>
        <w:br w:type="page"/>
      </w:r>
    </w:p>
    <w:p w14:paraId="5D4CABE7" w14:textId="77777777" w:rsidR="00D428EB" w:rsidRPr="00977E53" w:rsidRDefault="00D428EB" w:rsidP="00D428EB">
      <w:pPr>
        <w:suppressAutoHyphens/>
        <w:jc w:val="both"/>
        <w:rPr>
          <w:rFonts w:cs="Tahoma"/>
          <w:b/>
          <w:bCs/>
          <w:color w:val="000000" w:themeColor="text1"/>
          <w:sz w:val="18"/>
          <w:szCs w:val="18"/>
          <w:u w:val="single"/>
        </w:rPr>
      </w:pPr>
      <w:r w:rsidRPr="00977E53">
        <w:rPr>
          <w:rFonts w:cs="Tahoma"/>
          <w:b/>
          <w:bCs/>
          <w:color w:val="000000" w:themeColor="text1"/>
          <w:sz w:val="18"/>
          <w:szCs w:val="18"/>
          <w:u w:val="single"/>
        </w:rPr>
        <w:lastRenderedPageBreak/>
        <w:t>Segment Korporacji i Rynków Finansowych, w tym:</w:t>
      </w:r>
    </w:p>
    <w:p w14:paraId="616B9BED" w14:textId="77777777" w:rsidR="00AB2629" w:rsidRPr="00977E53" w:rsidRDefault="00D71039" w:rsidP="001050C7">
      <w:pPr>
        <w:spacing w:before="120"/>
        <w:jc w:val="both"/>
        <w:rPr>
          <w:rFonts w:cs="Tahoma"/>
          <w:b/>
          <w:bCs/>
          <w:color w:val="000000" w:themeColor="text1"/>
          <w:sz w:val="18"/>
          <w:szCs w:val="18"/>
        </w:rPr>
      </w:pPr>
      <w:r w:rsidRPr="00977E53">
        <w:rPr>
          <w:rFonts w:cs="Tahoma"/>
          <w:b/>
          <w:bCs/>
          <w:color w:val="000000" w:themeColor="text1"/>
          <w:sz w:val="18"/>
          <w:szCs w:val="18"/>
        </w:rPr>
        <w:t>Bankowość Korporacyjna</w:t>
      </w:r>
      <w:r w:rsidR="00D428EB" w:rsidRPr="00977E53">
        <w:rPr>
          <w:rFonts w:cs="Tahoma"/>
          <w:b/>
          <w:bCs/>
          <w:color w:val="000000" w:themeColor="text1"/>
          <w:sz w:val="18"/>
          <w:szCs w:val="18"/>
        </w:rPr>
        <w:t xml:space="preserve"> i </w:t>
      </w:r>
      <w:r w:rsidRPr="00977E53">
        <w:rPr>
          <w:rFonts w:cs="Tahoma"/>
          <w:b/>
          <w:bCs/>
          <w:color w:val="000000" w:themeColor="text1"/>
          <w:sz w:val="18"/>
          <w:szCs w:val="18"/>
        </w:rPr>
        <w:t>Inwestycyjna</w:t>
      </w:r>
    </w:p>
    <w:p w14:paraId="26E6F5A3" w14:textId="451B56DF" w:rsidR="00715C5C" w:rsidRPr="00977E53" w:rsidRDefault="00715C5C" w:rsidP="0056209E">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mBank Hipoteczny S.A. – podmiot zależny (segment ko</w:t>
      </w:r>
      <w:r w:rsidR="00F744BC" w:rsidRPr="00977E53">
        <w:rPr>
          <w:color w:val="000000" w:themeColor="text1"/>
          <w:sz w:val="18"/>
          <w:szCs w:val="18"/>
        </w:rPr>
        <w:t>rporacyjny działalności spółki)</w:t>
      </w:r>
    </w:p>
    <w:p w14:paraId="45FF1D89" w14:textId="4461E75C" w:rsidR="00715C5C" w:rsidRPr="00977E53" w:rsidRDefault="00715C5C" w:rsidP="00715C5C">
      <w:pPr>
        <w:spacing w:before="120"/>
        <w:jc w:val="both"/>
        <w:rPr>
          <w:rFonts w:cs="Tahoma"/>
          <w:color w:val="000000" w:themeColor="text1"/>
          <w:sz w:val="18"/>
          <w:szCs w:val="18"/>
        </w:rPr>
      </w:pPr>
      <w:r w:rsidRPr="00977E53">
        <w:rPr>
          <w:rFonts w:cs="Tahoma"/>
          <w:color w:val="000000" w:themeColor="text1"/>
          <w:sz w:val="18"/>
          <w:szCs w:val="18"/>
        </w:rPr>
        <w:t xml:space="preserve">Przedmiotem działalności mBanku Hipotecznego S.A. jest </w:t>
      </w:r>
      <w:r w:rsidR="00D34439" w:rsidRPr="00D34439">
        <w:rPr>
          <w:rFonts w:cs="Tahoma"/>
          <w:color w:val="000000"/>
          <w:sz w:val="18"/>
          <w:szCs w:val="18"/>
        </w:rPr>
        <w:t>zapewnienie stabilnego i długoterminowego finansowania Grupy poprzez emisję listów zastawnych. Na koniec 2019 roku spółka nie prowadziła samodzielnej działalności kredytowej, lecz wykorzystywała model poolingowy we współpracy z mBankiem. Spółka wykonuje analizy rynku i świadczy usługi doradcze, adresowane do inwestorów i podmiotów branży nieruchomości komercyjnych</w:t>
      </w:r>
      <w:r w:rsidRPr="00977E53">
        <w:rPr>
          <w:rFonts w:cs="Tahoma"/>
          <w:color w:val="000000" w:themeColor="text1"/>
          <w:sz w:val="18"/>
          <w:szCs w:val="18"/>
        </w:rPr>
        <w:t xml:space="preserve">. </w:t>
      </w:r>
    </w:p>
    <w:p w14:paraId="7849B939" w14:textId="77777777" w:rsidR="00457F77" w:rsidRPr="00977E53" w:rsidRDefault="00D428EB" w:rsidP="00841310">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 xml:space="preserve">mFaktoring S.A. – </w:t>
      </w:r>
      <w:r w:rsidR="00457F77" w:rsidRPr="00977E53">
        <w:rPr>
          <w:color w:val="000000" w:themeColor="text1"/>
          <w:sz w:val="18"/>
          <w:szCs w:val="18"/>
        </w:rPr>
        <w:t>podmiot zależny</w:t>
      </w:r>
    </w:p>
    <w:p w14:paraId="3F53AFA6" w14:textId="77777777" w:rsidR="00457F77" w:rsidRPr="00977E53" w:rsidRDefault="00457F77" w:rsidP="00457F77">
      <w:pPr>
        <w:suppressAutoHyphens/>
        <w:spacing w:before="120"/>
        <w:jc w:val="both"/>
        <w:rPr>
          <w:rFonts w:cs="Tahoma"/>
          <w:color w:val="000000" w:themeColor="text1"/>
          <w:sz w:val="18"/>
          <w:szCs w:val="18"/>
        </w:rPr>
      </w:pPr>
      <w:r w:rsidRPr="00977E53">
        <w:rPr>
          <w:rFonts w:cs="Tahoma"/>
          <w:color w:val="000000" w:themeColor="text1"/>
          <w:sz w:val="18"/>
          <w:szCs w:val="18"/>
        </w:rPr>
        <w:t xml:space="preserve">Spółka prowadzi działalność na rynku polskim w zakresie usług faktoringowych, obsługując transakcje krajowe oraz w eksporcie i imporcie. Jest członkiem Polskiego Związku Faktorów oraz Factors Chain International. </w:t>
      </w:r>
    </w:p>
    <w:p w14:paraId="08865B89" w14:textId="77777777" w:rsidR="00457F77" w:rsidRPr="00977E53" w:rsidRDefault="00457F77" w:rsidP="0056209E">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 xml:space="preserve">mLeasing Sp. </w:t>
      </w:r>
      <w:r w:rsidR="0026505F" w:rsidRPr="00977E53">
        <w:rPr>
          <w:color w:val="000000" w:themeColor="text1"/>
          <w:sz w:val="18"/>
          <w:szCs w:val="18"/>
        </w:rPr>
        <w:t>z</w:t>
      </w:r>
      <w:r w:rsidRPr="00977E53">
        <w:rPr>
          <w:color w:val="000000" w:themeColor="text1"/>
          <w:sz w:val="18"/>
          <w:szCs w:val="18"/>
        </w:rPr>
        <w:t xml:space="preserve"> o.o.</w:t>
      </w:r>
      <w:r w:rsidR="00D428EB" w:rsidRPr="00977E53">
        <w:rPr>
          <w:color w:val="000000" w:themeColor="text1"/>
          <w:sz w:val="18"/>
          <w:szCs w:val="18"/>
        </w:rPr>
        <w:t xml:space="preserve"> </w:t>
      </w:r>
      <w:r w:rsidRPr="00977E53">
        <w:rPr>
          <w:color w:val="000000" w:themeColor="text1"/>
          <w:sz w:val="18"/>
          <w:szCs w:val="18"/>
        </w:rPr>
        <w:t>– podmiot zależny</w:t>
      </w:r>
      <w:r w:rsidR="00D71039" w:rsidRPr="00977E53">
        <w:rPr>
          <w:color w:val="000000" w:themeColor="text1"/>
          <w:sz w:val="18"/>
          <w:szCs w:val="18"/>
        </w:rPr>
        <w:t xml:space="preserve"> (segment korporacyjny działalności spółki)</w:t>
      </w:r>
    </w:p>
    <w:p w14:paraId="25723D49" w14:textId="132BF898" w:rsidR="00D428EB" w:rsidRPr="00977E53" w:rsidRDefault="00457F77" w:rsidP="00A82642">
      <w:pPr>
        <w:jc w:val="both"/>
        <w:rPr>
          <w:rFonts w:cs="Tahoma"/>
          <w:color w:val="000000" w:themeColor="text1"/>
          <w:sz w:val="18"/>
          <w:szCs w:val="18"/>
        </w:rPr>
      </w:pPr>
      <w:r w:rsidRPr="00977E53">
        <w:rPr>
          <w:rFonts w:cs="Tahoma"/>
          <w:color w:val="000000" w:themeColor="text1"/>
          <w:sz w:val="18"/>
          <w:szCs w:val="18"/>
        </w:rPr>
        <w:t xml:space="preserve">Przedmiotem działalności spółki jest głównie leasing ruchomości, takich jak: maszyny, urządzenia, linie technologiczne, samochody osobowe, samochody ciężarowe oraz dostawcze, ciągniki siodłowe, naczepy, przyczepy, autobusy, pojazdy, sprzęt specjalistyczny, statki, samoloty, tabor kolejowy, wyposażenie biurowe, sprzęt komputerowy. </w:t>
      </w:r>
      <w:r w:rsidR="00D61B6C" w:rsidRPr="00977E53">
        <w:rPr>
          <w:rFonts w:cs="Tahoma"/>
          <w:color w:val="000000" w:themeColor="text1"/>
          <w:sz w:val="18"/>
          <w:szCs w:val="18"/>
        </w:rPr>
        <w:t>Szczególne miejsce w ofercie m</w:t>
      </w:r>
      <w:r w:rsidRPr="00977E53">
        <w:rPr>
          <w:rFonts w:cs="Tahoma"/>
          <w:color w:val="000000" w:themeColor="text1"/>
          <w:sz w:val="18"/>
          <w:szCs w:val="18"/>
        </w:rPr>
        <w:t>Leasing dla klientów korporacyjnych zajmuje leasing nieruchomości, przede wszystkim nieruchomości biurowych, hoteli, magazynów i</w:t>
      </w:r>
      <w:r w:rsidR="00EA5177" w:rsidRPr="00977E53">
        <w:rPr>
          <w:rFonts w:cs="Tahoma"/>
          <w:color w:val="000000" w:themeColor="text1"/>
          <w:sz w:val="18"/>
          <w:szCs w:val="18"/>
        </w:rPr>
        <w:t> </w:t>
      </w:r>
      <w:r w:rsidRPr="00977E53">
        <w:rPr>
          <w:rFonts w:cs="Tahoma"/>
          <w:color w:val="000000" w:themeColor="text1"/>
          <w:sz w:val="18"/>
          <w:szCs w:val="18"/>
        </w:rPr>
        <w:t xml:space="preserve">centrów logistycznych, stacji benzynowych, budynków użyteczności publicznej, infrastruktury komunalnej. Spółka posiada sieć oddziałów zlokalizowanych w największych miastach Polski. </w:t>
      </w:r>
    </w:p>
    <w:p w14:paraId="138B96A9" w14:textId="77777777" w:rsidR="0074143C" w:rsidRPr="00977E53" w:rsidRDefault="0074143C" w:rsidP="0056209E">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Asekum Sp. z o.o. – podmiot zależny (segment korporacyjny działalności spółki).</w:t>
      </w:r>
    </w:p>
    <w:p w14:paraId="4E8F2914" w14:textId="1129E6E2" w:rsidR="004B6B53" w:rsidRDefault="004B6B53" w:rsidP="004B6B53">
      <w:pPr>
        <w:jc w:val="both"/>
        <w:rPr>
          <w:color w:val="000000" w:themeColor="text1"/>
          <w:sz w:val="18"/>
          <w:szCs w:val="18"/>
        </w:rPr>
      </w:pPr>
      <w:r w:rsidRPr="004B6B53">
        <w:rPr>
          <w:color w:val="000000" w:themeColor="text1"/>
          <w:sz w:val="18"/>
          <w:szCs w:val="18"/>
        </w:rPr>
        <w:t>Spółka prowadzi działalność jako agent ubezpieczeniowy, głównie w zakresie ubezpieczeń przedmiotów leasingu. Bank posiada pośrednio przez mLea</w:t>
      </w:r>
      <w:r w:rsidR="0031238F">
        <w:rPr>
          <w:color w:val="000000" w:themeColor="text1"/>
          <w:sz w:val="18"/>
          <w:szCs w:val="18"/>
        </w:rPr>
        <w:t xml:space="preserve">sing Sp. z o.o. 100% udziałów w </w:t>
      </w:r>
      <w:r w:rsidRPr="004B6B53">
        <w:rPr>
          <w:color w:val="000000" w:themeColor="text1"/>
          <w:sz w:val="18"/>
          <w:szCs w:val="18"/>
        </w:rPr>
        <w:t>spółce.</w:t>
      </w:r>
      <w:r w:rsidR="004B024D">
        <w:rPr>
          <w:color w:val="000000" w:themeColor="text1"/>
          <w:sz w:val="18"/>
          <w:szCs w:val="18"/>
        </w:rPr>
        <w:t xml:space="preserve"> </w:t>
      </w:r>
      <w:r>
        <w:rPr>
          <w:color w:val="000000" w:themeColor="text1"/>
          <w:sz w:val="18"/>
          <w:szCs w:val="18"/>
        </w:rPr>
        <w:t>S</w:t>
      </w:r>
      <w:r w:rsidRPr="00977E53">
        <w:rPr>
          <w:color w:val="000000" w:themeColor="text1"/>
          <w:sz w:val="18"/>
          <w:szCs w:val="18"/>
        </w:rPr>
        <w:t>półka Asekum</w:t>
      </w:r>
      <w:r w:rsidR="0031238F">
        <w:rPr>
          <w:color w:val="000000" w:themeColor="text1"/>
          <w:sz w:val="18"/>
          <w:szCs w:val="18"/>
        </w:rPr>
        <w:t> </w:t>
      </w:r>
      <w:r w:rsidRPr="00977E53">
        <w:rPr>
          <w:color w:val="000000" w:themeColor="text1"/>
          <w:sz w:val="18"/>
          <w:szCs w:val="18"/>
        </w:rPr>
        <w:t>Sp.</w:t>
      </w:r>
      <w:r w:rsidR="009E0E32">
        <w:rPr>
          <w:color w:val="000000" w:themeColor="text1"/>
          <w:sz w:val="18"/>
          <w:szCs w:val="18"/>
        </w:rPr>
        <w:t> </w:t>
      </w:r>
      <w:r w:rsidRPr="00977E53">
        <w:rPr>
          <w:color w:val="000000" w:themeColor="text1"/>
          <w:sz w:val="18"/>
          <w:szCs w:val="18"/>
        </w:rPr>
        <w:t>z</w:t>
      </w:r>
      <w:r w:rsidR="0031238F">
        <w:rPr>
          <w:color w:val="000000" w:themeColor="text1"/>
          <w:sz w:val="18"/>
          <w:szCs w:val="18"/>
        </w:rPr>
        <w:t> </w:t>
      </w:r>
      <w:r w:rsidRPr="00977E53">
        <w:rPr>
          <w:color w:val="000000" w:themeColor="text1"/>
          <w:sz w:val="18"/>
          <w:szCs w:val="18"/>
        </w:rPr>
        <w:t>o.o. nabyła we wrześniu 2018 roku zorganizowaną część przedsiębiorstwa od spółki mFinanse Sp.</w:t>
      </w:r>
      <w:r w:rsidR="009E0E32">
        <w:rPr>
          <w:color w:val="000000" w:themeColor="text1"/>
          <w:sz w:val="18"/>
          <w:szCs w:val="18"/>
        </w:rPr>
        <w:t> </w:t>
      </w:r>
      <w:r w:rsidRPr="00977E53">
        <w:rPr>
          <w:color w:val="000000" w:themeColor="text1"/>
          <w:sz w:val="18"/>
          <w:szCs w:val="18"/>
        </w:rPr>
        <w:t>z</w:t>
      </w:r>
      <w:r w:rsidR="009E0E32">
        <w:rPr>
          <w:color w:val="000000" w:themeColor="text1"/>
          <w:sz w:val="18"/>
          <w:szCs w:val="18"/>
        </w:rPr>
        <w:t> </w:t>
      </w:r>
      <w:r w:rsidRPr="00977E53">
        <w:rPr>
          <w:color w:val="000000" w:themeColor="text1"/>
          <w:sz w:val="18"/>
          <w:szCs w:val="18"/>
        </w:rPr>
        <w:t>o.o.</w:t>
      </w:r>
      <w:r>
        <w:rPr>
          <w:color w:val="000000" w:themeColor="text1"/>
          <w:sz w:val="18"/>
          <w:szCs w:val="18"/>
        </w:rPr>
        <w:t xml:space="preserve"> </w:t>
      </w:r>
      <w:r w:rsidR="00C85570">
        <w:rPr>
          <w:color w:val="000000" w:themeColor="text1"/>
          <w:sz w:val="18"/>
          <w:szCs w:val="18"/>
        </w:rPr>
        <w:t>W związku z tym</w:t>
      </w:r>
      <w:r w:rsidR="0074143C" w:rsidRPr="00977E53">
        <w:rPr>
          <w:color w:val="000000" w:themeColor="text1"/>
          <w:sz w:val="18"/>
          <w:szCs w:val="18"/>
        </w:rPr>
        <w:t xml:space="preserve"> Grupa począwszy od października 2018 roku rozpoczęła konsolidację spółki. </w:t>
      </w:r>
    </w:p>
    <w:p w14:paraId="2AA5DAEF" w14:textId="52990CF4" w:rsidR="0026505F" w:rsidRPr="00977E53" w:rsidRDefault="0026505F" w:rsidP="004B6B53">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Garbary Sp. z o.o. – podmiot zależny</w:t>
      </w:r>
    </w:p>
    <w:p w14:paraId="07077921" w14:textId="6FB577C7" w:rsidR="0056209E" w:rsidRPr="00977E53" w:rsidRDefault="00BD394E" w:rsidP="00BD394E">
      <w:pPr>
        <w:spacing w:before="120"/>
        <w:jc w:val="both"/>
        <w:rPr>
          <w:color w:val="000000" w:themeColor="text1"/>
          <w:sz w:val="18"/>
          <w:szCs w:val="18"/>
        </w:rPr>
      </w:pPr>
      <w:r w:rsidRPr="00977E53">
        <w:rPr>
          <w:rFonts w:cs="Tahoma"/>
          <w:color w:val="000000" w:themeColor="text1"/>
          <w:sz w:val="18"/>
          <w:szCs w:val="18"/>
        </w:rPr>
        <w:t>Jedyną działalnością spółki było</w:t>
      </w:r>
      <w:r w:rsidR="0026505F" w:rsidRPr="00977E53">
        <w:rPr>
          <w:rFonts w:cs="Tahoma"/>
          <w:color w:val="000000" w:themeColor="text1"/>
          <w:sz w:val="18"/>
          <w:szCs w:val="18"/>
        </w:rPr>
        <w:t xml:space="preserve"> administrowanie nieruchomością gruntową położoną przy ul. Garbary 101/111 w Poznaniu, zabudowaną kompleksem zakładów mięsnych obecnie nie użytkowanych. </w:t>
      </w:r>
      <w:r w:rsidR="00632B4E">
        <w:rPr>
          <w:rFonts w:cs="Tahoma"/>
          <w:color w:val="000000" w:themeColor="text1"/>
          <w:sz w:val="18"/>
          <w:szCs w:val="18"/>
        </w:rPr>
        <w:t>W</w:t>
      </w:r>
      <w:r w:rsidR="00335D39">
        <w:rPr>
          <w:rFonts w:cs="Tahoma"/>
          <w:color w:val="000000" w:themeColor="text1"/>
          <w:sz w:val="18"/>
          <w:szCs w:val="18"/>
        </w:rPr>
        <w:t> </w:t>
      </w:r>
      <w:r w:rsidR="0056209E" w:rsidRPr="00977E53">
        <w:rPr>
          <w:color w:val="000000" w:themeColor="text1"/>
          <w:sz w:val="18"/>
          <w:szCs w:val="18"/>
        </w:rPr>
        <w:t>dniu</w:t>
      </w:r>
      <w:r w:rsidR="00335D39">
        <w:rPr>
          <w:color w:val="000000" w:themeColor="text1"/>
          <w:sz w:val="18"/>
          <w:szCs w:val="18"/>
        </w:rPr>
        <w:t> </w:t>
      </w:r>
      <w:r w:rsidRPr="00977E53">
        <w:rPr>
          <w:noProof/>
          <w:color w:val="000000" w:themeColor="text1"/>
          <w:sz w:val="18"/>
          <w:szCs w:val="18"/>
        </w:rPr>
        <w:t>27</w:t>
      </w:r>
      <w:r w:rsidR="00632B4E">
        <w:rPr>
          <w:noProof/>
          <w:color w:val="000000" w:themeColor="text1"/>
          <w:sz w:val="18"/>
          <w:szCs w:val="18"/>
        </w:rPr>
        <w:t> </w:t>
      </w:r>
      <w:r w:rsidRPr="00977E53">
        <w:rPr>
          <w:noProof/>
          <w:color w:val="000000" w:themeColor="text1"/>
          <w:sz w:val="18"/>
          <w:szCs w:val="18"/>
        </w:rPr>
        <w:t xml:space="preserve">kwietnia 2018 roku </w:t>
      </w:r>
      <w:r w:rsidR="0056209E" w:rsidRPr="00977E53">
        <w:rPr>
          <w:color w:val="000000" w:themeColor="text1"/>
          <w:sz w:val="18"/>
          <w:szCs w:val="18"/>
        </w:rPr>
        <w:t xml:space="preserve">została </w:t>
      </w:r>
      <w:r w:rsidR="0056209E" w:rsidRPr="00977E53">
        <w:rPr>
          <w:noProof/>
          <w:color w:val="000000" w:themeColor="text1"/>
          <w:sz w:val="18"/>
          <w:szCs w:val="18"/>
        </w:rPr>
        <w:t>podpisana ostateczna umowa sprzedaży</w:t>
      </w:r>
      <w:r w:rsidR="002C05C6">
        <w:rPr>
          <w:noProof/>
          <w:color w:val="000000" w:themeColor="text1"/>
          <w:sz w:val="18"/>
          <w:szCs w:val="18"/>
        </w:rPr>
        <w:t xml:space="preserve"> tej nieruchomości</w:t>
      </w:r>
      <w:r w:rsidRPr="00977E53">
        <w:rPr>
          <w:noProof/>
          <w:color w:val="000000" w:themeColor="text1"/>
          <w:sz w:val="18"/>
          <w:szCs w:val="18"/>
        </w:rPr>
        <w:t xml:space="preserve">. </w:t>
      </w:r>
      <w:r w:rsidR="0056209E" w:rsidRPr="00977E53">
        <w:rPr>
          <w:noProof/>
          <w:color w:val="000000" w:themeColor="text1"/>
          <w:sz w:val="18"/>
          <w:szCs w:val="18"/>
        </w:rPr>
        <w:t xml:space="preserve">Od </w:t>
      </w:r>
      <w:r w:rsidR="00632B4E">
        <w:rPr>
          <w:noProof/>
          <w:color w:val="000000" w:themeColor="text1"/>
          <w:sz w:val="18"/>
          <w:szCs w:val="18"/>
        </w:rPr>
        <w:t>d</w:t>
      </w:r>
      <w:r w:rsidR="0056209E" w:rsidRPr="00977E53">
        <w:rPr>
          <w:noProof/>
          <w:color w:val="000000" w:themeColor="text1"/>
          <w:sz w:val="18"/>
          <w:szCs w:val="18"/>
        </w:rPr>
        <w:t>nia sprzedaży nieruchomości spółka nie prowadzi działalności.</w:t>
      </w:r>
    </w:p>
    <w:p w14:paraId="46C4B3C0" w14:textId="77777777" w:rsidR="000821EC" w:rsidRPr="00977E53" w:rsidRDefault="000821EC" w:rsidP="0056209E">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Tele-Tech Investment Sp. z o.o. – podmiot zależny</w:t>
      </w:r>
    </w:p>
    <w:p w14:paraId="0330BA4D" w14:textId="77777777" w:rsidR="000821EC" w:rsidRPr="00977E53" w:rsidRDefault="006566E8" w:rsidP="00172E73">
      <w:pPr>
        <w:jc w:val="both"/>
        <w:rPr>
          <w:color w:val="000000" w:themeColor="text1"/>
          <w:sz w:val="18"/>
          <w:szCs w:val="18"/>
        </w:rPr>
      </w:pPr>
      <w:r w:rsidRPr="00977E53">
        <w:rPr>
          <w:color w:val="000000" w:themeColor="text1"/>
          <w:sz w:val="18"/>
          <w:szCs w:val="18"/>
        </w:rPr>
        <w:t>Przedmiotem działania spółki jest lokowanie środków w papiery wartościowe i obrót wierzytelnościami, transakcje w zakresie obrotu papierami wartościowymi dokonywane na własny rachunek, zarządzanie przedsiębiorstwami kontrolowanymi, doradztwo w zakresie działalności związanej z prowadzeniem interesów i zarządzaniem. Spółka nie zatrudnia pracowników.</w:t>
      </w:r>
    </w:p>
    <w:p w14:paraId="2E21F0F5" w14:textId="225A4208" w:rsidR="003604F9" w:rsidRPr="00977E53" w:rsidRDefault="00D71039" w:rsidP="00172E73">
      <w:pPr>
        <w:spacing w:before="120"/>
        <w:jc w:val="both"/>
        <w:rPr>
          <w:color w:val="000000" w:themeColor="text1"/>
          <w:sz w:val="18"/>
          <w:szCs w:val="18"/>
        </w:rPr>
      </w:pPr>
      <w:r w:rsidRPr="00977E53">
        <w:rPr>
          <w:rFonts w:cs="Tahoma"/>
          <w:b/>
          <w:bCs/>
          <w:color w:val="000000" w:themeColor="text1"/>
          <w:sz w:val="18"/>
          <w:szCs w:val="18"/>
        </w:rPr>
        <w:t>Rynki Finansowe</w:t>
      </w:r>
    </w:p>
    <w:p w14:paraId="6725AB30" w14:textId="77777777" w:rsidR="003604F9" w:rsidRPr="00977E53" w:rsidRDefault="00C4336C" w:rsidP="00841310">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m</w:t>
      </w:r>
      <w:r w:rsidR="003604F9" w:rsidRPr="00977E53">
        <w:rPr>
          <w:color w:val="000000" w:themeColor="text1"/>
          <w:sz w:val="18"/>
          <w:szCs w:val="18"/>
        </w:rPr>
        <w:t>Finance France S.A. – podmiot zależny</w:t>
      </w:r>
    </w:p>
    <w:p w14:paraId="2A48F597" w14:textId="518E0633" w:rsidR="002C0FFD" w:rsidRPr="00977E53" w:rsidRDefault="003604F9" w:rsidP="003C5818">
      <w:pPr>
        <w:jc w:val="both"/>
        <w:rPr>
          <w:color w:val="000000" w:themeColor="text1"/>
          <w:sz w:val="18"/>
          <w:szCs w:val="18"/>
        </w:rPr>
      </w:pPr>
      <w:r w:rsidRPr="00977E53">
        <w:rPr>
          <w:color w:val="000000" w:themeColor="text1"/>
          <w:sz w:val="18"/>
          <w:szCs w:val="18"/>
        </w:rPr>
        <w:t>Przedmiotem działalności spółki jest pozyskiwanie dla Banku środków finansowych z rynków międzynarodowy</w:t>
      </w:r>
      <w:r w:rsidR="00A84F3A" w:rsidRPr="00977E53">
        <w:rPr>
          <w:color w:val="000000" w:themeColor="text1"/>
          <w:sz w:val="18"/>
          <w:szCs w:val="18"/>
        </w:rPr>
        <w:t>ch poprzez emisje euroobligacji</w:t>
      </w:r>
      <w:r w:rsidR="004B6B53">
        <w:rPr>
          <w:color w:val="000000" w:themeColor="text1"/>
          <w:sz w:val="18"/>
          <w:szCs w:val="18"/>
        </w:rPr>
        <w:t>.</w:t>
      </w:r>
      <w:r w:rsidRPr="00977E53">
        <w:rPr>
          <w:color w:val="000000" w:themeColor="text1"/>
          <w:sz w:val="18"/>
          <w:szCs w:val="18"/>
        </w:rPr>
        <w:t xml:space="preserve"> </w:t>
      </w:r>
    </w:p>
    <w:p w14:paraId="48FD70B3" w14:textId="39CC886C" w:rsidR="006566E8" w:rsidRPr="00977E53" w:rsidRDefault="006566E8" w:rsidP="002C0FFD">
      <w:pPr>
        <w:pStyle w:val="Akapitzlist"/>
        <w:numPr>
          <w:ilvl w:val="0"/>
          <w:numId w:val="15"/>
        </w:numPr>
        <w:tabs>
          <w:tab w:val="clear" w:pos="624"/>
        </w:tabs>
        <w:ind w:left="425" w:hanging="425"/>
        <w:jc w:val="both"/>
        <w:rPr>
          <w:color w:val="000000" w:themeColor="text1"/>
          <w:sz w:val="18"/>
          <w:szCs w:val="18"/>
        </w:rPr>
      </w:pPr>
      <w:r w:rsidRPr="00977E53">
        <w:rPr>
          <w:color w:val="000000" w:themeColor="text1"/>
          <w:sz w:val="18"/>
          <w:szCs w:val="18"/>
        </w:rPr>
        <w:t>mBank Hipoteczny S.A. – podmiot zależny (w zakresie działalności związane</w:t>
      </w:r>
      <w:r w:rsidR="00A84F3A" w:rsidRPr="00977E53">
        <w:rPr>
          <w:color w:val="000000" w:themeColor="text1"/>
          <w:sz w:val="18"/>
          <w:szCs w:val="18"/>
        </w:rPr>
        <w:t>j z pozyskiwaniem finansowania)</w:t>
      </w:r>
    </w:p>
    <w:p w14:paraId="3DD97059" w14:textId="15E10EE6" w:rsidR="006566E8" w:rsidRPr="00977E53" w:rsidRDefault="006566E8" w:rsidP="00841310">
      <w:pPr>
        <w:pStyle w:val="Akapitzlist"/>
        <w:numPr>
          <w:ilvl w:val="0"/>
          <w:numId w:val="15"/>
        </w:numPr>
        <w:tabs>
          <w:tab w:val="clear" w:pos="624"/>
        </w:tabs>
        <w:ind w:left="425" w:hanging="425"/>
        <w:jc w:val="both"/>
        <w:rPr>
          <w:color w:val="000000" w:themeColor="text1"/>
          <w:sz w:val="18"/>
          <w:szCs w:val="18"/>
        </w:rPr>
      </w:pPr>
      <w:r w:rsidRPr="00977E53">
        <w:rPr>
          <w:color w:val="000000" w:themeColor="text1"/>
          <w:sz w:val="18"/>
          <w:szCs w:val="18"/>
        </w:rPr>
        <w:t>mLeasing Sp. z o.o. – podmiot zależny (w zakresie działalności związanej z pozyskiwaniem finansowania)</w:t>
      </w:r>
    </w:p>
    <w:p w14:paraId="24BA9C68" w14:textId="5C8EF8B3" w:rsidR="00294739" w:rsidRDefault="00294739">
      <w:pPr>
        <w:rPr>
          <w:rFonts w:cs="Tahoma"/>
          <w:b/>
          <w:bCs/>
          <w:color w:val="000000" w:themeColor="text1"/>
          <w:sz w:val="18"/>
          <w:szCs w:val="18"/>
          <w:u w:val="single"/>
        </w:rPr>
      </w:pPr>
      <w:r>
        <w:rPr>
          <w:rFonts w:cs="Tahoma"/>
          <w:b/>
          <w:bCs/>
          <w:color w:val="000000" w:themeColor="text1"/>
          <w:sz w:val="18"/>
          <w:szCs w:val="18"/>
          <w:u w:val="single"/>
        </w:rPr>
        <w:br w:type="page"/>
      </w:r>
    </w:p>
    <w:p w14:paraId="7E33E8BF" w14:textId="26FBCB7F" w:rsidR="00B338DB" w:rsidRPr="00977E53" w:rsidRDefault="00B338DB" w:rsidP="00B338DB">
      <w:pPr>
        <w:suppressAutoHyphens/>
        <w:jc w:val="both"/>
        <w:rPr>
          <w:rFonts w:cs="Tahoma"/>
          <w:b/>
          <w:bCs/>
          <w:color w:val="000000" w:themeColor="text1"/>
          <w:sz w:val="18"/>
          <w:szCs w:val="18"/>
          <w:u w:val="single"/>
        </w:rPr>
      </w:pPr>
      <w:r w:rsidRPr="00977E53">
        <w:rPr>
          <w:rFonts w:cs="Tahoma"/>
          <w:b/>
          <w:bCs/>
          <w:color w:val="000000" w:themeColor="text1"/>
          <w:sz w:val="18"/>
          <w:szCs w:val="18"/>
          <w:u w:val="single"/>
        </w:rPr>
        <w:lastRenderedPageBreak/>
        <w:t xml:space="preserve">Segment </w:t>
      </w:r>
      <w:r w:rsidR="004D7916" w:rsidRPr="00977E53">
        <w:rPr>
          <w:rFonts w:cs="Tahoma"/>
          <w:b/>
          <w:bCs/>
          <w:color w:val="000000" w:themeColor="text1"/>
          <w:sz w:val="18"/>
          <w:szCs w:val="18"/>
          <w:u w:val="single"/>
        </w:rPr>
        <w:t>Bankowości Detalicznej (</w:t>
      </w:r>
      <w:r w:rsidRPr="00977E53">
        <w:rPr>
          <w:rFonts w:cs="Tahoma"/>
          <w:b/>
          <w:bCs/>
          <w:color w:val="000000" w:themeColor="text1"/>
          <w:sz w:val="18"/>
          <w:szCs w:val="18"/>
          <w:u w:val="single"/>
        </w:rPr>
        <w:t>w tym Private Banking)</w:t>
      </w:r>
    </w:p>
    <w:p w14:paraId="2874F0A8" w14:textId="77777777" w:rsidR="00B338DB" w:rsidRPr="00977E53" w:rsidRDefault="002B2ECD" w:rsidP="00841310">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mFinanse S.A.</w:t>
      </w:r>
      <w:r w:rsidR="00B338DB" w:rsidRPr="00977E53">
        <w:rPr>
          <w:color w:val="000000" w:themeColor="text1"/>
          <w:sz w:val="18"/>
          <w:szCs w:val="18"/>
        </w:rPr>
        <w:t xml:space="preserve"> – podmiot zależny</w:t>
      </w:r>
    </w:p>
    <w:p w14:paraId="29412DE1" w14:textId="2F84DD42" w:rsidR="00B338DB" w:rsidRPr="00977E53" w:rsidRDefault="00BC538C" w:rsidP="00A82642">
      <w:pPr>
        <w:jc w:val="both"/>
        <w:rPr>
          <w:rFonts w:cs="Tahoma"/>
          <w:bCs/>
          <w:color w:val="000000" w:themeColor="text1"/>
          <w:sz w:val="18"/>
          <w:szCs w:val="18"/>
        </w:rPr>
      </w:pPr>
      <w:r w:rsidRPr="00977E53">
        <w:rPr>
          <w:rFonts w:cs="Tahoma"/>
          <w:bCs/>
          <w:color w:val="000000" w:themeColor="text1"/>
          <w:sz w:val="18"/>
          <w:szCs w:val="18"/>
        </w:rPr>
        <w:t>mFinanse S.A.</w:t>
      </w:r>
      <w:r w:rsidR="00A87AE7" w:rsidRPr="00977E53">
        <w:rPr>
          <w:rFonts w:cs="Tahoma"/>
          <w:bCs/>
          <w:color w:val="000000" w:themeColor="text1"/>
          <w:sz w:val="18"/>
          <w:szCs w:val="18"/>
        </w:rPr>
        <w:t xml:space="preserve"> oferuje produkty mBanku</w:t>
      </w:r>
      <w:r w:rsidR="00FE2CB5" w:rsidRPr="00977E53">
        <w:rPr>
          <w:rFonts w:cs="Tahoma"/>
          <w:bCs/>
          <w:color w:val="000000" w:themeColor="text1"/>
          <w:sz w:val="18"/>
          <w:szCs w:val="18"/>
        </w:rPr>
        <w:t xml:space="preserve"> S.A. </w:t>
      </w:r>
      <w:r w:rsidR="00A87AE7" w:rsidRPr="00977E53">
        <w:rPr>
          <w:rFonts w:cs="Tahoma"/>
          <w:bCs/>
          <w:color w:val="000000" w:themeColor="text1"/>
          <w:sz w:val="18"/>
          <w:szCs w:val="18"/>
        </w:rPr>
        <w:t xml:space="preserve">oraz banków trzecich. Oferta obejmuje kredyty hipoteczne, produkty biznesowe, kredyty gotówkowe, produkty ubezpieczeniowe i leasing. </w:t>
      </w:r>
      <w:r w:rsidR="00720732" w:rsidRPr="00977E53">
        <w:rPr>
          <w:rFonts w:cs="Tahoma"/>
          <w:bCs/>
          <w:color w:val="000000" w:themeColor="text1"/>
          <w:sz w:val="18"/>
          <w:szCs w:val="18"/>
        </w:rPr>
        <w:t xml:space="preserve">Dystrybucja odbywa </w:t>
      </w:r>
      <w:r w:rsidR="00054F75" w:rsidRPr="00977E53">
        <w:rPr>
          <w:rFonts w:cs="Tahoma"/>
          <w:bCs/>
          <w:color w:val="000000" w:themeColor="text1"/>
          <w:sz w:val="18"/>
          <w:szCs w:val="18"/>
        </w:rPr>
        <w:t xml:space="preserve">się na </w:t>
      </w:r>
      <w:r w:rsidR="00054F75" w:rsidRPr="00295E4F">
        <w:rPr>
          <w:rFonts w:cs="Tahoma"/>
          <w:bCs/>
          <w:color w:val="000000" w:themeColor="text1"/>
          <w:sz w:val="18"/>
          <w:szCs w:val="18"/>
        </w:rPr>
        <w:t xml:space="preserve">terenie całego kraju w </w:t>
      </w:r>
      <w:r w:rsidR="00295E4F">
        <w:rPr>
          <w:rFonts w:cs="Tahoma"/>
          <w:bCs/>
          <w:color w:val="000000" w:themeColor="text1"/>
          <w:sz w:val="18"/>
          <w:szCs w:val="18"/>
        </w:rPr>
        <w:t>44</w:t>
      </w:r>
      <w:r w:rsidR="00BC267C">
        <w:rPr>
          <w:rFonts w:cs="Tahoma"/>
          <w:bCs/>
          <w:color w:val="000000" w:themeColor="text1"/>
          <w:sz w:val="18"/>
          <w:szCs w:val="18"/>
        </w:rPr>
        <w:t xml:space="preserve"> placówkach</w:t>
      </w:r>
      <w:r w:rsidR="00720732" w:rsidRPr="00295E4F">
        <w:rPr>
          <w:rFonts w:cs="Tahoma"/>
          <w:bCs/>
          <w:color w:val="000000" w:themeColor="text1"/>
          <w:sz w:val="18"/>
          <w:szCs w:val="18"/>
        </w:rPr>
        <w:t xml:space="preserve"> mFinanse i</w:t>
      </w:r>
      <w:r w:rsidR="00054F75" w:rsidRPr="00295E4F">
        <w:rPr>
          <w:rFonts w:cs="Tahoma"/>
          <w:bCs/>
          <w:color w:val="000000" w:themeColor="text1"/>
          <w:sz w:val="18"/>
          <w:szCs w:val="18"/>
        </w:rPr>
        <w:t xml:space="preserve"> </w:t>
      </w:r>
      <w:r w:rsidR="00295E4F">
        <w:rPr>
          <w:rFonts w:cs="Tahoma"/>
          <w:bCs/>
          <w:color w:val="000000" w:themeColor="text1"/>
          <w:sz w:val="18"/>
          <w:szCs w:val="18"/>
        </w:rPr>
        <w:t>166</w:t>
      </w:r>
      <w:r w:rsidR="00720732" w:rsidRPr="00295E4F">
        <w:rPr>
          <w:rFonts w:cs="Tahoma"/>
          <w:bCs/>
          <w:color w:val="000000" w:themeColor="text1"/>
          <w:sz w:val="18"/>
          <w:szCs w:val="18"/>
        </w:rPr>
        <w:t xml:space="preserve"> mKioskach ulokowanych w centrach</w:t>
      </w:r>
      <w:r w:rsidR="00720732" w:rsidRPr="00977E53">
        <w:rPr>
          <w:rFonts w:cs="Tahoma"/>
          <w:bCs/>
          <w:color w:val="000000" w:themeColor="text1"/>
          <w:sz w:val="18"/>
          <w:szCs w:val="18"/>
        </w:rPr>
        <w:t xml:space="preserve"> handlowych</w:t>
      </w:r>
      <w:r w:rsidR="00A87AE7" w:rsidRPr="00977E53">
        <w:rPr>
          <w:rFonts w:cs="Tahoma"/>
          <w:bCs/>
          <w:color w:val="000000" w:themeColor="text1"/>
          <w:sz w:val="18"/>
          <w:szCs w:val="18"/>
        </w:rPr>
        <w:t>.</w:t>
      </w:r>
    </w:p>
    <w:p w14:paraId="4489EA34" w14:textId="7A75CD43" w:rsidR="00CA512F" w:rsidRPr="00977E53" w:rsidRDefault="00CA512F" w:rsidP="00D36637">
      <w:pPr>
        <w:pStyle w:val="Akapitzlist"/>
        <w:numPr>
          <w:ilvl w:val="0"/>
          <w:numId w:val="15"/>
        </w:numPr>
        <w:tabs>
          <w:tab w:val="clear" w:pos="624"/>
        </w:tabs>
        <w:spacing w:after="120"/>
        <w:ind w:left="426" w:hanging="426"/>
        <w:jc w:val="both"/>
        <w:rPr>
          <w:color w:val="000000" w:themeColor="text1"/>
          <w:sz w:val="18"/>
          <w:szCs w:val="18"/>
        </w:rPr>
      </w:pPr>
      <w:r w:rsidRPr="00977E53">
        <w:rPr>
          <w:color w:val="000000" w:themeColor="text1"/>
          <w:sz w:val="18"/>
          <w:szCs w:val="18"/>
        </w:rPr>
        <w:t>mBank Hipoteczny S.A. – podmiot zależny</w:t>
      </w:r>
      <w:r w:rsidR="00715C5C" w:rsidRPr="00977E53">
        <w:rPr>
          <w:color w:val="000000" w:themeColor="text1"/>
          <w:sz w:val="18"/>
          <w:szCs w:val="18"/>
        </w:rPr>
        <w:t xml:space="preserve"> (segment detaliczny działalności spółki)</w:t>
      </w:r>
    </w:p>
    <w:p w14:paraId="3958EDA0" w14:textId="2F4123A9" w:rsidR="00D71039" w:rsidRPr="00977E53" w:rsidRDefault="00D71039" w:rsidP="00D71039">
      <w:pPr>
        <w:pStyle w:val="Akapitzlist"/>
        <w:numPr>
          <w:ilvl w:val="0"/>
          <w:numId w:val="15"/>
        </w:numPr>
        <w:tabs>
          <w:tab w:val="clear" w:pos="624"/>
        </w:tabs>
        <w:spacing w:after="120"/>
        <w:ind w:left="426" w:hanging="426"/>
        <w:jc w:val="both"/>
        <w:rPr>
          <w:color w:val="000000" w:themeColor="text1"/>
          <w:sz w:val="18"/>
          <w:szCs w:val="18"/>
        </w:rPr>
      </w:pPr>
      <w:r w:rsidRPr="00977E53">
        <w:rPr>
          <w:color w:val="000000" w:themeColor="text1"/>
          <w:sz w:val="18"/>
          <w:szCs w:val="18"/>
        </w:rPr>
        <w:t xml:space="preserve">mLeasing Sp. z o.o. – podmiot zależny (segment </w:t>
      </w:r>
      <w:r w:rsidR="00A84F3A" w:rsidRPr="00977E53">
        <w:rPr>
          <w:color w:val="000000" w:themeColor="text1"/>
          <w:sz w:val="18"/>
          <w:szCs w:val="18"/>
        </w:rPr>
        <w:t>detaliczny działalności spółki)</w:t>
      </w:r>
    </w:p>
    <w:p w14:paraId="3D45CC54" w14:textId="41803EC9" w:rsidR="00890B8D" w:rsidRPr="00977E53" w:rsidRDefault="00890B8D" w:rsidP="00D71039">
      <w:pPr>
        <w:pStyle w:val="Akapitzlist"/>
        <w:numPr>
          <w:ilvl w:val="0"/>
          <w:numId w:val="15"/>
        </w:numPr>
        <w:tabs>
          <w:tab w:val="clear" w:pos="624"/>
        </w:tabs>
        <w:spacing w:after="120"/>
        <w:ind w:left="426" w:hanging="426"/>
        <w:jc w:val="both"/>
        <w:rPr>
          <w:color w:val="000000" w:themeColor="text1"/>
          <w:sz w:val="18"/>
          <w:szCs w:val="18"/>
        </w:rPr>
      </w:pPr>
      <w:r w:rsidRPr="00977E53">
        <w:rPr>
          <w:color w:val="000000" w:themeColor="text1"/>
          <w:sz w:val="18"/>
          <w:szCs w:val="18"/>
        </w:rPr>
        <w:t>Asekum Sp. z o.o. – podmiot zależny</w:t>
      </w:r>
      <w:r w:rsidR="00585D78" w:rsidRPr="00977E53">
        <w:rPr>
          <w:color w:val="000000" w:themeColor="text1"/>
          <w:sz w:val="18"/>
          <w:szCs w:val="18"/>
        </w:rPr>
        <w:t xml:space="preserve"> (segment detaliczny działalności spółki)</w:t>
      </w:r>
    </w:p>
    <w:p w14:paraId="0261B4E6" w14:textId="5FBBA95E" w:rsidR="00294739" w:rsidRPr="00977E53" w:rsidRDefault="00294739" w:rsidP="00294739">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LeaseLink Sp. z o</w:t>
      </w:r>
      <w:r>
        <w:rPr>
          <w:color w:val="000000" w:themeColor="text1"/>
          <w:sz w:val="18"/>
          <w:szCs w:val="18"/>
        </w:rPr>
        <w:t xml:space="preserve">.o. – podmiot zależny </w:t>
      </w:r>
    </w:p>
    <w:p w14:paraId="7965812A" w14:textId="25ECC3F0" w:rsidR="00294739" w:rsidRPr="00977E53" w:rsidRDefault="004B6B53" w:rsidP="00294739">
      <w:pPr>
        <w:jc w:val="both"/>
        <w:rPr>
          <w:color w:val="000000" w:themeColor="text1"/>
          <w:sz w:val="18"/>
          <w:szCs w:val="18"/>
        </w:rPr>
      </w:pPr>
      <w:r w:rsidRPr="00977E53">
        <w:rPr>
          <w:color w:val="000000" w:themeColor="text1"/>
          <w:sz w:val="18"/>
          <w:szCs w:val="18"/>
        </w:rPr>
        <w:t>LeaseLink Sp. z o.o. to spółka działająca w obszarze fintech w sektorach leasingu przedmiotów niskocennych oraz e-commerce, specjalizująca się w dostarczaniu leasingu jako metody płatności w</w:t>
      </w:r>
      <w:r w:rsidR="008E59F9">
        <w:rPr>
          <w:color w:val="000000" w:themeColor="text1"/>
          <w:sz w:val="18"/>
          <w:szCs w:val="18"/>
        </w:rPr>
        <w:t> </w:t>
      </w:r>
      <w:r w:rsidRPr="00977E53">
        <w:rPr>
          <w:color w:val="000000" w:themeColor="text1"/>
          <w:sz w:val="18"/>
          <w:szCs w:val="18"/>
        </w:rPr>
        <w:t>handlu</w:t>
      </w:r>
      <w:r w:rsidR="008E59F9">
        <w:rPr>
          <w:color w:val="000000" w:themeColor="text1"/>
          <w:sz w:val="18"/>
          <w:szCs w:val="18"/>
        </w:rPr>
        <w:t> </w:t>
      </w:r>
      <w:r w:rsidRPr="00977E53">
        <w:rPr>
          <w:color w:val="000000" w:themeColor="text1"/>
          <w:sz w:val="18"/>
          <w:szCs w:val="18"/>
        </w:rPr>
        <w:t xml:space="preserve">elektronicznym. Bank posiada pośrednio przez mLeasing Sp. z o.o. 100% udziałów w spółce. </w:t>
      </w:r>
      <w:r w:rsidR="00294739" w:rsidRPr="00977E53">
        <w:rPr>
          <w:color w:val="000000" w:themeColor="text1"/>
          <w:sz w:val="18"/>
          <w:szCs w:val="18"/>
        </w:rPr>
        <w:t>W</w:t>
      </w:r>
      <w:r w:rsidR="008E59F9">
        <w:rPr>
          <w:color w:val="000000" w:themeColor="text1"/>
          <w:sz w:val="18"/>
          <w:szCs w:val="18"/>
        </w:rPr>
        <w:t> </w:t>
      </w:r>
      <w:r w:rsidR="00294739" w:rsidRPr="00977E53">
        <w:rPr>
          <w:color w:val="000000" w:themeColor="text1"/>
          <w:sz w:val="18"/>
          <w:szCs w:val="18"/>
        </w:rPr>
        <w:t>związku</w:t>
      </w:r>
      <w:r w:rsidR="008E59F9">
        <w:rPr>
          <w:color w:val="000000" w:themeColor="text1"/>
          <w:sz w:val="18"/>
          <w:szCs w:val="18"/>
        </w:rPr>
        <w:t> </w:t>
      </w:r>
      <w:r w:rsidR="00294739" w:rsidRPr="00977E53">
        <w:rPr>
          <w:color w:val="000000" w:themeColor="text1"/>
          <w:sz w:val="18"/>
          <w:szCs w:val="18"/>
        </w:rPr>
        <w:t>z</w:t>
      </w:r>
      <w:r w:rsidR="008E59F9">
        <w:rPr>
          <w:color w:val="000000" w:themeColor="text1"/>
          <w:sz w:val="18"/>
          <w:szCs w:val="18"/>
        </w:rPr>
        <w:t> </w:t>
      </w:r>
      <w:r w:rsidR="00294739" w:rsidRPr="00977E53">
        <w:rPr>
          <w:color w:val="000000" w:themeColor="text1"/>
          <w:sz w:val="18"/>
          <w:szCs w:val="18"/>
        </w:rPr>
        <w:t>tym, że spółka mLeasing Sp. z o.o. nabyła dniu 8 marca 2019 roku 100% udziałów w</w:t>
      </w:r>
      <w:r w:rsidR="008E59F9">
        <w:rPr>
          <w:color w:val="000000" w:themeColor="text1"/>
          <w:sz w:val="18"/>
          <w:szCs w:val="18"/>
        </w:rPr>
        <w:t> </w:t>
      </w:r>
      <w:r w:rsidR="00294739" w:rsidRPr="00977E53">
        <w:rPr>
          <w:color w:val="000000" w:themeColor="text1"/>
          <w:sz w:val="18"/>
          <w:szCs w:val="18"/>
        </w:rPr>
        <w:t>LeaseLink</w:t>
      </w:r>
      <w:r w:rsidR="00351E22">
        <w:rPr>
          <w:color w:val="000000" w:themeColor="text1"/>
          <w:sz w:val="18"/>
          <w:szCs w:val="18"/>
        </w:rPr>
        <w:t xml:space="preserve"> </w:t>
      </w:r>
      <w:r w:rsidR="00294739" w:rsidRPr="00977E53">
        <w:rPr>
          <w:color w:val="000000" w:themeColor="text1"/>
          <w:sz w:val="18"/>
          <w:szCs w:val="18"/>
        </w:rPr>
        <w:t>Sp.z</w:t>
      </w:r>
      <w:r w:rsidR="00351E22">
        <w:rPr>
          <w:color w:val="000000" w:themeColor="text1"/>
          <w:sz w:val="18"/>
          <w:szCs w:val="18"/>
        </w:rPr>
        <w:t xml:space="preserve"> </w:t>
      </w:r>
      <w:r w:rsidR="00294739" w:rsidRPr="00977E53">
        <w:rPr>
          <w:color w:val="000000" w:themeColor="text1"/>
          <w:sz w:val="18"/>
          <w:szCs w:val="18"/>
        </w:rPr>
        <w:t>o.o.</w:t>
      </w:r>
      <w:r w:rsidR="00351E22">
        <w:rPr>
          <w:color w:val="000000" w:themeColor="text1"/>
          <w:sz w:val="18"/>
          <w:szCs w:val="18"/>
        </w:rPr>
        <w:t>,</w:t>
      </w:r>
      <w:r w:rsidR="00294739" w:rsidRPr="00977E53">
        <w:rPr>
          <w:color w:val="000000" w:themeColor="text1"/>
          <w:sz w:val="18"/>
          <w:szCs w:val="18"/>
        </w:rPr>
        <w:t xml:space="preserve"> Grupa począwszy od marca 2019 roku rozpoczęła konsolidację spółki. Szczegółowe informacje dotyczące nabycia udziałów w spółce zostały zaprezentowane w Nocie 43.</w:t>
      </w:r>
    </w:p>
    <w:p w14:paraId="61949E9E" w14:textId="77777777" w:rsidR="00294739" w:rsidRPr="00977E53" w:rsidRDefault="00294739" w:rsidP="003C5271">
      <w:pPr>
        <w:suppressAutoHyphens/>
        <w:jc w:val="both"/>
        <w:rPr>
          <w:rFonts w:cs="Tahoma"/>
          <w:b/>
          <w:bCs/>
          <w:color w:val="000000" w:themeColor="text1"/>
          <w:sz w:val="18"/>
          <w:szCs w:val="18"/>
          <w:u w:val="single"/>
        </w:rPr>
      </w:pPr>
    </w:p>
    <w:p w14:paraId="23A0DF7B" w14:textId="788B5EF7" w:rsidR="005D1B6C" w:rsidRPr="00977E53" w:rsidRDefault="005D1B6C" w:rsidP="003C5271">
      <w:pPr>
        <w:suppressAutoHyphens/>
        <w:spacing w:after="120"/>
        <w:jc w:val="both"/>
        <w:rPr>
          <w:rFonts w:cs="Tahoma"/>
          <w:b/>
          <w:bCs/>
          <w:color w:val="000000" w:themeColor="text1"/>
          <w:sz w:val="18"/>
          <w:szCs w:val="18"/>
          <w:u w:val="single"/>
        </w:rPr>
      </w:pPr>
      <w:r w:rsidRPr="00977E53">
        <w:rPr>
          <w:rFonts w:cs="Tahoma"/>
          <w:b/>
          <w:bCs/>
          <w:color w:val="000000" w:themeColor="text1"/>
          <w:sz w:val="18"/>
          <w:szCs w:val="18"/>
          <w:u w:val="single"/>
        </w:rPr>
        <w:t>Pozostałe</w:t>
      </w:r>
    </w:p>
    <w:p w14:paraId="6DAA28AE" w14:textId="690ECF77" w:rsidR="005D1B6C" w:rsidRPr="00977E53" w:rsidRDefault="00786960" w:rsidP="009B7B92">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m</w:t>
      </w:r>
      <w:r w:rsidR="003E1474" w:rsidRPr="00977E53">
        <w:rPr>
          <w:color w:val="000000" w:themeColor="text1"/>
          <w:sz w:val="18"/>
          <w:szCs w:val="18"/>
        </w:rPr>
        <w:t>Centrum Operacji</w:t>
      </w:r>
      <w:r w:rsidR="005D1B6C" w:rsidRPr="00977E53">
        <w:rPr>
          <w:color w:val="000000" w:themeColor="text1"/>
          <w:sz w:val="18"/>
          <w:szCs w:val="18"/>
        </w:rPr>
        <w:t xml:space="preserve"> Sp. z o.o.</w:t>
      </w:r>
      <w:r w:rsidR="00D467B1" w:rsidRPr="00977E53">
        <w:rPr>
          <w:color w:val="000000" w:themeColor="text1"/>
          <w:sz w:val="18"/>
          <w:szCs w:val="18"/>
        </w:rPr>
        <w:t xml:space="preserve"> w likwidacji</w:t>
      </w:r>
      <w:r w:rsidR="005D1B6C" w:rsidRPr="00977E53">
        <w:rPr>
          <w:color w:val="000000" w:themeColor="text1"/>
          <w:sz w:val="18"/>
          <w:szCs w:val="18"/>
        </w:rPr>
        <w:t xml:space="preserve"> – podmio</w:t>
      </w:r>
      <w:r w:rsidR="003E1474" w:rsidRPr="00977E53">
        <w:rPr>
          <w:color w:val="000000" w:themeColor="text1"/>
          <w:sz w:val="18"/>
          <w:szCs w:val="18"/>
        </w:rPr>
        <w:t>t zależny</w:t>
      </w:r>
    </w:p>
    <w:p w14:paraId="33E7817D" w14:textId="71A6FE42" w:rsidR="003E1474" w:rsidRPr="00977E53" w:rsidRDefault="003E1474" w:rsidP="003E1474">
      <w:pPr>
        <w:suppressAutoHyphens/>
        <w:spacing w:before="120"/>
        <w:jc w:val="both"/>
        <w:rPr>
          <w:rFonts w:cs="Tahoma"/>
          <w:color w:val="000000" w:themeColor="text1"/>
          <w:sz w:val="18"/>
          <w:szCs w:val="18"/>
        </w:rPr>
      </w:pPr>
      <w:r w:rsidRPr="00977E53">
        <w:rPr>
          <w:rFonts w:cs="Tahoma"/>
          <w:color w:val="000000" w:themeColor="text1"/>
          <w:sz w:val="18"/>
          <w:szCs w:val="18"/>
        </w:rPr>
        <w:t xml:space="preserve">Przedmiotem działania spółki </w:t>
      </w:r>
      <w:r w:rsidR="005D7EA0" w:rsidRPr="00977E53">
        <w:rPr>
          <w:rFonts w:cs="Tahoma"/>
          <w:color w:val="000000" w:themeColor="text1"/>
          <w:sz w:val="18"/>
          <w:szCs w:val="18"/>
        </w:rPr>
        <w:t>było</w:t>
      </w:r>
      <w:r w:rsidRPr="00977E53">
        <w:rPr>
          <w:rFonts w:cs="Tahoma"/>
          <w:color w:val="000000" w:themeColor="text1"/>
          <w:sz w:val="18"/>
          <w:szCs w:val="18"/>
        </w:rPr>
        <w:t xml:space="preserve"> m</w:t>
      </w:r>
      <w:r w:rsidR="00C0428F" w:rsidRPr="00977E53">
        <w:rPr>
          <w:rFonts w:cs="Tahoma"/>
          <w:color w:val="000000" w:themeColor="text1"/>
          <w:sz w:val="18"/>
          <w:szCs w:val="18"/>
        </w:rPr>
        <w:t>iędzy innymi</w:t>
      </w:r>
      <w:r w:rsidRPr="00977E53">
        <w:rPr>
          <w:rFonts w:cs="Tahoma"/>
          <w:color w:val="000000" w:themeColor="text1"/>
          <w:sz w:val="18"/>
          <w:szCs w:val="18"/>
        </w:rPr>
        <w:t xml:space="preserve"> świadczenie usług z zakresu zarządzania danymi i</w:t>
      </w:r>
      <w:r w:rsidR="00E371C0" w:rsidRPr="00977E53">
        <w:rPr>
          <w:rFonts w:cs="Tahoma"/>
          <w:color w:val="000000" w:themeColor="text1"/>
          <w:sz w:val="18"/>
          <w:szCs w:val="18"/>
        </w:rPr>
        <w:t> </w:t>
      </w:r>
      <w:r w:rsidRPr="00977E53">
        <w:rPr>
          <w:rFonts w:cs="Tahoma"/>
          <w:color w:val="000000" w:themeColor="text1"/>
          <w:sz w:val="18"/>
          <w:szCs w:val="18"/>
        </w:rPr>
        <w:t>dokumentami, a także archiwum elektronicznego, archiwum tradycyjnego oraz obsługi procesów biznesowych i</w:t>
      </w:r>
      <w:r w:rsidR="00E42F28" w:rsidRPr="00977E53">
        <w:rPr>
          <w:rFonts w:cs="Tahoma"/>
          <w:color w:val="000000" w:themeColor="text1"/>
          <w:sz w:val="18"/>
          <w:szCs w:val="18"/>
        </w:rPr>
        <w:t> </w:t>
      </w:r>
      <w:r w:rsidRPr="00977E53">
        <w:rPr>
          <w:rFonts w:cs="Tahoma"/>
          <w:color w:val="000000" w:themeColor="text1"/>
          <w:sz w:val="18"/>
          <w:szCs w:val="18"/>
        </w:rPr>
        <w:t>bankowości transakcyjnej.</w:t>
      </w:r>
    </w:p>
    <w:p w14:paraId="3F9FECC8" w14:textId="7077F22A" w:rsidR="00736C07" w:rsidRPr="00977E53" w:rsidRDefault="00B77FAA" w:rsidP="00736C07">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jc w:val="both"/>
        <w:rPr>
          <w:rFonts w:cs="Tahoma"/>
          <w:color w:val="000000" w:themeColor="text1"/>
          <w:spacing w:val="-2"/>
          <w:sz w:val="18"/>
          <w:szCs w:val="18"/>
          <w:lang w:eastAsia="en-US"/>
        </w:rPr>
      </w:pPr>
      <w:r w:rsidRPr="00C5157C">
        <w:rPr>
          <w:rFonts w:cs="Tahoma"/>
          <w:color w:val="000000" w:themeColor="text1"/>
          <w:spacing w:val="-2"/>
          <w:sz w:val="18"/>
          <w:szCs w:val="18"/>
          <w:lang w:eastAsia="en-US"/>
        </w:rPr>
        <w:t>W listopadzie 2019 roku</w:t>
      </w:r>
      <w:r w:rsidR="00D467B1" w:rsidRPr="00C5157C">
        <w:rPr>
          <w:rFonts w:cs="Tahoma"/>
          <w:color w:val="000000" w:themeColor="text1"/>
          <w:spacing w:val="-2"/>
          <w:sz w:val="18"/>
          <w:szCs w:val="18"/>
          <w:lang w:eastAsia="en-US"/>
        </w:rPr>
        <w:t xml:space="preserve"> spółka została zlikwidowana</w:t>
      </w:r>
      <w:r w:rsidR="00B305A7" w:rsidRPr="00C5157C">
        <w:rPr>
          <w:rFonts w:cs="Tahoma"/>
          <w:color w:val="000000" w:themeColor="text1"/>
          <w:spacing w:val="-2"/>
          <w:sz w:val="18"/>
          <w:szCs w:val="18"/>
          <w:lang w:eastAsia="en-US"/>
        </w:rPr>
        <w:t>, co zostało opisane</w:t>
      </w:r>
      <w:r w:rsidR="00D467B1" w:rsidRPr="00C5157C">
        <w:rPr>
          <w:rFonts w:cs="Tahoma"/>
          <w:color w:val="000000" w:themeColor="text1"/>
          <w:spacing w:val="-2"/>
          <w:sz w:val="18"/>
          <w:szCs w:val="18"/>
          <w:lang w:eastAsia="en-US"/>
        </w:rPr>
        <w:t xml:space="preserve"> w Nocie 43.</w:t>
      </w:r>
    </w:p>
    <w:p w14:paraId="535F7000" w14:textId="77777777" w:rsidR="004D7916" w:rsidRPr="00977E53" w:rsidRDefault="004D7916" w:rsidP="009B7B92">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BDH Development Sp. z o.o. – podmiot zależny</w:t>
      </w:r>
    </w:p>
    <w:p w14:paraId="0F5896CE" w14:textId="5D92EEEA" w:rsidR="004D7916" w:rsidRPr="00977E53" w:rsidRDefault="00CF74B1" w:rsidP="003E1474">
      <w:pPr>
        <w:suppressAutoHyphens/>
        <w:spacing w:before="120"/>
        <w:jc w:val="both"/>
        <w:rPr>
          <w:rFonts w:cs="Tahoma"/>
          <w:color w:val="000000" w:themeColor="text1"/>
          <w:sz w:val="18"/>
          <w:szCs w:val="18"/>
        </w:rPr>
      </w:pPr>
      <w:r w:rsidRPr="00977E53">
        <w:rPr>
          <w:rFonts w:cs="Tahoma"/>
          <w:color w:val="000000" w:themeColor="text1"/>
          <w:sz w:val="18"/>
          <w:szCs w:val="18"/>
        </w:rPr>
        <w:t>Przedmiotem działalności spółki jest realizacja i dokończenie przedsięwzięć deweloperskich na bazie nieruchomości mieszkaniowych przejętych przez podmioty z Grupy mBanku S.A. w drodze restrukturyzacji i windykacji kredytów inwestycyjnych, w celu odzyskania jak największej wartości z</w:t>
      </w:r>
      <w:r w:rsidR="00FA11B6" w:rsidRPr="00977E53">
        <w:rPr>
          <w:rFonts w:cs="Tahoma"/>
          <w:color w:val="000000" w:themeColor="text1"/>
          <w:sz w:val="18"/>
          <w:szCs w:val="18"/>
        </w:rPr>
        <w:t> </w:t>
      </w:r>
      <w:r w:rsidRPr="00977E53">
        <w:rPr>
          <w:rFonts w:cs="Tahoma"/>
          <w:color w:val="000000" w:themeColor="text1"/>
          <w:sz w:val="18"/>
          <w:szCs w:val="18"/>
        </w:rPr>
        <w:t xml:space="preserve">przejętych nieruchomości. </w:t>
      </w:r>
    </w:p>
    <w:p w14:paraId="68E47D05" w14:textId="6C9A4AA4" w:rsidR="009B7B92" w:rsidRPr="00977E53" w:rsidRDefault="009B7B92" w:rsidP="003E1474">
      <w:pPr>
        <w:suppressAutoHyphens/>
        <w:spacing w:before="120"/>
        <w:jc w:val="both"/>
        <w:rPr>
          <w:rFonts w:cs="Tahoma"/>
          <w:color w:val="000000" w:themeColor="text1"/>
          <w:sz w:val="18"/>
          <w:szCs w:val="18"/>
        </w:rPr>
      </w:pPr>
      <w:r w:rsidRPr="00C5157C">
        <w:rPr>
          <w:rFonts w:cs="Tahoma"/>
          <w:color w:val="000000" w:themeColor="text1"/>
          <w:sz w:val="18"/>
          <w:szCs w:val="18"/>
        </w:rPr>
        <w:t>W dniu 7 listopada 2019 roku mBank S.A., w ramach realizacji planu Grupy mBanku o wycofaniu się z</w:t>
      </w:r>
      <w:r w:rsidR="00A25136">
        <w:rPr>
          <w:rFonts w:cs="Tahoma"/>
          <w:color w:val="000000" w:themeColor="text1"/>
          <w:sz w:val="18"/>
          <w:szCs w:val="18"/>
        </w:rPr>
        <w:t> </w:t>
      </w:r>
      <w:r w:rsidRPr="00C5157C">
        <w:rPr>
          <w:rFonts w:cs="Tahoma"/>
          <w:color w:val="000000" w:themeColor="text1"/>
          <w:sz w:val="18"/>
          <w:szCs w:val="18"/>
        </w:rPr>
        <w:t>działalności deweloperskiej i koncentracji na głównej działalności z branży finansowej, podpisał warunkową umowę sprzedaży udziałów w spółce</w:t>
      </w:r>
      <w:r w:rsidR="00C82F21">
        <w:rPr>
          <w:rFonts w:cs="Tahoma"/>
          <w:color w:val="000000" w:themeColor="text1"/>
          <w:sz w:val="18"/>
          <w:szCs w:val="18"/>
        </w:rPr>
        <w:t>.</w:t>
      </w:r>
      <w:r w:rsidRPr="00C5157C">
        <w:rPr>
          <w:rFonts w:cs="Tahoma"/>
          <w:color w:val="000000" w:themeColor="text1"/>
          <w:sz w:val="18"/>
          <w:szCs w:val="18"/>
        </w:rPr>
        <w:t xml:space="preserve"> W związku z tym, na dzień 31 grudnia 2019 roku spółka BDH Development S.A. została zaklasyfikowana do aktywów trwałych przeznaczonych do sprzedaży, co</w:t>
      </w:r>
      <w:r w:rsidR="005A393F">
        <w:rPr>
          <w:rFonts w:cs="Tahoma"/>
          <w:color w:val="000000" w:themeColor="text1"/>
          <w:sz w:val="18"/>
          <w:szCs w:val="18"/>
        </w:rPr>
        <w:t> </w:t>
      </w:r>
      <w:r w:rsidRPr="00C5157C">
        <w:rPr>
          <w:rFonts w:cs="Tahoma"/>
          <w:color w:val="000000" w:themeColor="text1"/>
          <w:sz w:val="18"/>
          <w:szCs w:val="18"/>
        </w:rPr>
        <w:t>zostało szczegółowo opisane w Nocie 24.</w:t>
      </w:r>
    </w:p>
    <w:p w14:paraId="549E1867" w14:textId="77777777" w:rsidR="00E3484A" w:rsidRPr="00977E53" w:rsidRDefault="00E3484A" w:rsidP="009B7B92">
      <w:pPr>
        <w:pStyle w:val="Akapitzlist"/>
        <w:numPr>
          <w:ilvl w:val="0"/>
          <w:numId w:val="15"/>
        </w:numPr>
        <w:tabs>
          <w:tab w:val="clear" w:pos="624"/>
        </w:tabs>
        <w:spacing w:before="120" w:after="120"/>
        <w:ind w:left="425" w:hanging="425"/>
        <w:jc w:val="both"/>
        <w:rPr>
          <w:color w:val="000000" w:themeColor="text1"/>
          <w:sz w:val="18"/>
          <w:szCs w:val="18"/>
        </w:rPr>
      </w:pPr>
      <w:r w:rsidRPr="00977E53">
        <w:rPr>
          <w:color w:val="000000" w:themeColor="text1"/>
          <w:sz w:val="18"/>
          <w:szCs w:val="18"/>
        </w:rPr>
        <w:t>Future Tech Fundusz Inwestycyjny Zamknięty – podmiot zależny</w:t>
      </w:r>
    </w:p>
    <w:p w14:paraId="501B10C4" w14:textId="6B17C269" w:rsidR="00E3484A" w:rsidRPr="00977E53" w:rsidRDefault="004B6B53" w:rsidP="003E1474">
      <w:pPr>
        <w:suppressAutoHyphens/>
        <w:spacing w:before="120"/>
        <w:jc w:val="both"/>
        <w:rPr>
          <w:rFonts w:cs="Tahoma"/>
          <w:color w:val="000000" w:themeColor="text1"/>
          <w:sz w:val="18"/>
          <w:szCs w:val="18"/>
        </w:rPr>
      </w:pPr>
      <w:r w:rsidRPr="004B6B53">
        <w:rPr>
          <w:rFonts w:cs="Tahoma"/>
          <w:color w:val="000000" w:themeColor="text1"/>
          <w:sz w:val="18"/>
          <w:szCs w:val="18"/>
        </w:rPr>
        <w:t>Fundusz powstał jako wehikuł inwestycyjny w ramach projektu mA</w:t>
      </w:r>
      <w:r w:rsidR="00463D5E">
        <w:rPr>
          <w:rFonts w:cs="Tahoma"/>
          <w:color w:val="000000" w:themeColor="text1"/>
          <w:sz w:val="18"/>
          <w:szCs w:val="18"/>
        </w:rPr>
        <w:t>ccelerator, którego celem jest</w:t>
      </w:r>
      <w:r w:rsidRPr="004B6B53">
        <w:rPr>
          <w:rFonts w:cs="Tahoma"/>
          <w:color w:val="000000" w:themeColor="text1"/>
          <w:sz w:val="18"/>
          <w:szCs w:val="18"/>
        </w:rPr>
        <w:t xml:space="preserve"> rozwijanie, a następnie komercjalizacja projektów o wysokim potencjale w dziedzinie nowoczesnych technologii wspierających sektor usług finansowych (fin-tech).</w:t>
      </w:r>
      <w:r>
        <w:rPr>
          <w:rFonts w:cs="Tahoma"/>
          <w:color w:val="000000" w:themeColor="text1"/>
          <w:sz w:val="18"/>
          <w:szCs w:val="18"/>
        </w:rPr>
        <w:t xml:space="preserve"> </w:t>
      </w:r>
      <w:r w:rsidR="00901EEC" w:rsidRPr="00977E53">
        <w:rPr>
          <w:rFonts w:cs="Tahoma"/>
          <w:color w:val="000000" w:themeColor="text1"/>
          <w:sz w:val="18"/>
          <w:szCs w:val="18"/>
        </w:rPr>
        <w:t>Na</w:t>
      </w:r>
      <w:r w:rsidR="00E371C0" w:rsidRPr="00977E53">
        <w:rPr>
          <w:rFonts w:cs="Tahoma"/>
          <w:color w:val="000000" w:themeColor="text1"/>
          <w:sz w:val="18"/>
          <w:szCs w:val="18"/>
        </w:rPr>
        <w:t> </w:t>
      </w:r>
      <w:r w:rsidR="00901EEC" w:rsidRPr="00977E53">
        <w:rPr>
          <w:rFonts w:cs="Tahoma"/>
          <w:color w:val="000000" w:themeColor="text1"/>
          <w:sz w:val="18"/>
          <w:szCs w:val="18"/>
        </w:rPr>
        <w:t>dzień 31 grudnia</w:t>
      </w:r>
      <w:r w:rsidR="00246BD2" w:rsidRPr="00977E53">
        <w:rPr>
          <w:rFonts w:cs="Tahoma"/>
          <w:color w:val="000000" w:themeColor="text1"/>
          <w:sz w:val="18"/>
          <w:szCs w:val="18"/>
        </w:rPr>
        <w:t xml:space="preserve"> 2019 </w:t>
      </w:r>
      <w:r w:rsidR="004B024D">
        <w:rPr>
          <w:rFonts w:cs="Tahoma"/>
          <w:color w:val="000000" w:themeColor="text1"/>
          <w:sz w:val="18"/>
          <w:szCs w:val="18"/>
        </w:rPr>
        <w:t xml:space="preserve">roku </w:t>
      </w:r>
      <w:r w:rsidR="00246BD2" w:rsidRPr="00977E53">
        <w:rPr>
          <w:rFonts w:cs="Tahoma"/>
          <w:color w:val="000000" w:themeColor="text1"/>
          <w:sz w:val="18"/>
          <w:szCs w:val="18"/>
        </w:rPr>
        <w:t>i na dzień 31 grudnia 2018 roku</w:t>
      </w:r>
      <w:r w:rsidR="00901EEC" w:rsidRPr="00977E53">
        <w:rPr>
          <w:rFonts w:cs="Tahoma"/>
          <w:color w:val="000000" w:themeColor="text1"/>
          <w:sz w:val="18"/>
          <w:szCs w:val="18"/>
        </w:rPr>
        <w:t xml:space="preserve"> Bank posiadał 98,04% certyfikatów inwestycyjnych Funduszu, a pozostałe 1,96% stanowiło własność udziałowców mniejszościowych. Organem zarządzającym Funduszem jest Quercus Towarzystwo Funduszy Inwestycyjnych S.A</w:t>
      </w:r>
      <w:r w:rsidR="00155B31" w:rsidRPr="00977E53">
        <w:rPr>
          <w:rFonts w:cs="Tahoma"/>
          <w:color w:val="000000" w:themeColor="text1"/>
          <w:sz w:val="18"/>
          <w:szCs w:val="18"/>
        </w:rPr>
        <w:t xml:space="preserve">. </w:t>
      </w:r>
    </w:p>
    <w:p w14:paraId="1023E311" w14:textId="77777777" w:rsidR="004F3CD9" w:rsidRPr="00977E53" w:rsidRDefault="004F3CD9" w:rsidP="00890B8D">
      <w:pPr>
        <w:spacing w:before="120"/>
        <w:jc w:val="both"/>
        <w:rPr>
          <w:b/>
          <w:color w:val="000000" w:themeColor="text1"/>
          <w:sz w:val="18"/>
          <w:szCs w:val="18"/>
        </w:rPr>
      </w:pPr>
      <w:r w:rsidRPr="00977E53">
        <w:rPr>
          <w:b/>
          <w:color w:val="000000" w:themeColor="text1"/>
          <w:sz w:val="18"/>
          <w:szCs w:val="18"/>
        </w:rPr>
        <w:t>Pozostałe informacje o spółkach Grupy</w:t>
      </w:r>
    </w:p>
    <w:p w14:paraId="348D27AA" w14:textId="364F7BCD" w:rsidR="00C12AFA" w:rsidRPr="00977E53" w:rsidRDefault="003A137E" w:rsidP="003A137E">
      <w:pPr>
        <w:spacing w:before="120"/>
        <w:jc w:val="both"/>
        <w:rPr>
          <w:rFonts w:cs="Tahoma"/>
          <w:color w:val="000000" w:themeColor="text1"/>
          <w:sz w:val="18"/>
          <w:szCs w:val="18"/>
        </w:rPr>
      </w:pPr>
      <w:r w:rsidRPr="00977E53">
        <w:rPr>
          <w:rFonts w:cs="Tahoma"/>
          <w:color w:val="000000" w:themeColor="text1"/>
          <w:sz w:val="18"/>
          <w:szCs w:val="18"/>
        </w:rPr>
        <w:t>Informacje dotyczące rodzaju prowadzonej przez spółki dzia</w:t>
      </w:r>
      <w:r w:rsidR="00AD7CC8" w:rsidRPr="00977E53">
        <w:rPr>
          <w:rFonts w:cs="Tahoma"/>
          <w:color w:val="000000" w:themeColor="text1"/>
          <w:sz w:val="18"/>
          <w:szCs w:val="18"/>
        </w:rPr>
        <w:t>łalności znajdują się w Nocie 5</w:t>
      </w:r>
      <w:r w:rsidR="00CC06C0" w:rsidRPr="00977E53">
        <w:rPr>
          <w:rFonts w:cs="Tahoma"/>
          <w:color w:val="000000" w:themeColor="text1"/>
          <w:sz w:val="18"/>
          <w:szCs w:val="18"/>
        </w:rPr>
        <w:t xml:space="preserve"> Segmenty działalności</w:t>
      </w:r>
      <w:r w:rsidR="00AD7CC8" w:rsidRPr="00977E53">
        <w:rPr>
          <w:rFonts w:cs="Tahoma"/>
          <w:color w:val="000000" w:themeColor="text1"/>
          <w:sz w:val="18"/>
          <w:szCs w:val="18"/>
        </w:rPr>
        <w:t xml:space="preserve"> </w:t>
      </w:r>
      <w:r w:rsidRPr="00977E53">
        <w:rPr>
          <w:rFonts w:cs="Tahoma"/>
          <w:color w:val="000000" w:themeColor="text1"/>
          <w:sz w:val="18"/>
          <w:szCs w:val="18"/>
        </w:rPr>
        <w:t>niniejszego skonsolidowanego sprawozdania finan</w:t>
      </w:r>
      <w:r w:rsidR="00AD7CC8" w:rsidRPr="00977E53">
        <w:rPr>
          <w:rFonts w:cs="Tahoma"/>
          <w:color w:val="000000" w:themeColor="text1"/>
          <w:sz w:val="18"/>
          <w:szCs w:val="18"/>
        </w:rPr>
        <w:t>sowego</w:t>
      </w:r>
      <w:r w:rsidRPr="00977E53">
        <w:rPr>
          <w:rFonts w:cs="Tahoma"/>
          <w:color w:val="000000" w:themeColor="text1"/>
          <w:sz w:val="18"/>
          <w:szCs w:val="18"/>
        </w:rPr>
        <w:t>.</w:t>
      </w:r>
    </w:p>
    <w:p w14:paraId="224D498E" w14:textId="77777777" w:rsidR="00C12AFA" w:rsidRPr="00977E53" w:rsidRDefault="00C12AFA">
      <w:pPr>
        <w:rPr>
          <w:rFonts w:cs="Tahoma"/>
          <w:color w:val="000000" w:themeColor="text1"/>
          <w:sz w:val="18"/>
          <w:szCs w:val="18"/>
        </w:rPr>
      </w:pPr>
      <w:r w:rsidRPr="00977E53">
        <w:rPr>
          <w:rFonts w:cs="Tahoma"/>
          <w:color w:val="000000" w:themeColor="text1"/>
          <w:sz w:val="18"/>
          <w:szCs w:val="18"/>
        </w:rPr>
        <w:br w:type="page"/>
      </w:r>
    </w:p>
    <w:p w14:paraId="39262616" w14:textId="07203081" w:rsidR="004F3CD9" w:rsidRPr="00977E53" w:rsidRDefault="003A137E" w:rsidP="000B6C26">
      <w:pPr>
        <w:spacing w:before="120"/>
        <w:jc w:val="both"/>
        <w:rPr>
          <w:rFonts w:cs="Tahoma"/>
          <w:color w:val="000000" w:themeColor="text1"/>
          <w:sz w:val="18"/>
          <w:szCs w:val="18"/>
        </w:rPr>
      </w:pPr>
      <w:r w:rsidRPr="00977E53">
        <w:rPr>
          <w:rFonts w:cs="Tahoma"/>
          <w:color w:val="000000" w:themeColor="text1"/>
          <w:sz w:val="18"/>
          <w:szCs w:val="18"/>
        </w:rPr>
        <w:lastRenderedPageBreak/>
        <w:t>Skonsolidowanym sprawozdaniem finansowym Bank obejmuje następujące spółki:</w:t>
      </w:r>
    </w:p>
    <w:p w14:paraId="038A1FE8" w14:textId="38874454" w:rsidR="00BC6B0E" w:rsidRDefault="00BC6B0E" w:rsidP="009E7EB5">
      <w:pPr>
        <w:jc w:val="both"/>
        <w:rPr>
          <w:rFonts w:cs="Tahoma"/>
          <w:sz w:val="18"/>
          <w:szCs w:val="18"/>
        </w:rPr>
      </w:pPr>
    </w:p>
    <w:tbl>
      <w:tblPr>
        <w:tblW w:w="9608" w:type="dxa"/>
        <w:tblLayout w:type="fixed"/>
        <w:tblCellMar>
          <w:left w:w="28" w:type="dxa"/>
          <w:right w:w="28" w:type="dxa"/>
        </w:tblCellMar>
        <w:tblLook w:val="04A0" w:firstRow="1" w:lastRow="0" w:firstColumn="1" w:lastColumn="0" w:noHBand="0" w:noVBand="1"/>
      </w:tblPr>
      <w:tblGrid>
        <w:gridCol w:w="3256"/>
        <w:gridCol w:w="1588"/>
        <w:gridCol w:w="1588"/>
        <w:gridCol w:w="1588"/>
        <w:gridCol w:w="1588"/>
      </w:tblGrid>
      <w:tr w:rsidR="008D4108" w:rsidRPr="00F124D4" w14:paraId="07793587" w14:textId="77777777" w:rsidTr="00795599">
        <w:trPr>
          <w:trHeight w:val="284"/>
        </w:trPr>
        <w:tc>
          <w:tcPr>
            <w:tcW w:w="3256" w:type="dxa"/>
            <w:vMerge w:val="restart"/>
            <w:tcBorders>
              <w:top w:val="nil"/>
              <w:left w:val="single" w:sz="4" w:space="0" w:color="FFFFFF"/>
              <w:right w:val="single" w:sz="8" w:space="0" w:color="FFFFFF"/>
            </w:tcBorders>
            <w:shd w:val="clear" w:color="000000" w:fill="0077BD"/>
            <w:vAlign w:val="center"/>
            <w:hideMark/>
          </w:tcPr>
          <w:p w14:paraId="008E44AA" w14:textId="5B0CDF5A" w:rsidR="008D4108" w:rsidRPr="00F124D4" w:rsidRDefault="008D4108" w:rsidP="008D4108">
            <w:pPr>
              <w:jc w:val="center"/>
              <w:rPr>
                <w:rFonts w:cs="Calibri"/>
                <w:b/>
                <w:bCs/>
                <w:color w:val="FFFFFF"/>
                <w:sz w:val="13"/>
                <w:szCs w:val="13"/>
              </w:rPr>
            </w:pPr>
            <w:r w:rsidRPr="00F124D4">
              <w:rPr>
                <w:rFonts w:cs="Calibri"/>
                <w:b/>
                <w:bCs/>
                <w:color w:val="FFFFFF"/>
                <w:sz w:val="13"/>
                <w:szCs w:val="13"/>
              </w:rPr>
              <w:t xml:space="preserve"> Nazwa spółki </w:t>
            </w:r>
          </w:p>
        </w:tc>
        <w:tc>
          <w:tcPr>
            <w:tcW w:w="3176" w:type="dxa"/>
            <w:gridSpan w:val="2"/>
            <w:tcBorders>
              <w:top w:val="nil"/>
              <w:left w:val="nil"/>
              <w:bottom w:val="single" w:sz="6" w:space="0" w:color="FFFFFF"/>
              <w:right w:val="single" w:sz="8" w:space="0" w:color="FFFFFF"/>
            </w:tcBorders>
            <w:shd w:val="clear" w:color="000000" w:fill="0077BD"/>
            <w:noWrap/>
            <w:vAlign w:val="center"/>
            <w:hideMark/>
          </w:tcPr>
          <w:p w14:paraId="6CECE607" w14:textId="77777777" w:rsidR="008D4108" w:rsidRPr="00F124D4" w:rsidRDefault="008D4108" w:rsidP="00F124D4">
            <w:pPr>
              <w:jc w:val="center"/>
              <w:rPr>
                <w:rFonts w:cs="Calibri"/>
                <w:b/>
                <w:bCs/>
                <w:color w:val="FFFFFF"/>
                <w:sz w:val="13"/>
                <w:szCs w:val="13"/>
              </w:rPr>
            </w:pPr>
            <w:r w:rsidRPr="00F124D4">
              <w:rPr>
                <w:rFonts w:cs="Calibri"/>
                <w:b/>
                <w:bCs/>
                <w:color w:val="FFFFFF"/>
                <w:sz w:val="13"/>
                <w:szCs w:val="13"/>
              </w:rPr>
              <w:t>31.12.2019</w:t>
            </w:r>
          </w:p>
        </w:tc>
        <w:tc>
          <w:tcPr>
            <w:tcW w:w="3176" w:type="dxa"/>
            <w:gridSpan w:val="2"/>
            <w:tcBorders>
              <w:top w:val="nil"/>
              <w:left w:val="nil"/>
              <w:bottom w:val="single" w:sz="6" w:space="0" w:color="FFFFFF"/>
              <w:right w:val="single" w:sz="8" w:space="0" w:color="FFFFFF"/>
            </w:tcBorders>
            <w:shd w:val="clear" w:color="000000" w:fill="0077BD"/>
            <w:noWrap/>
            <w:vAlign w:val="center"/>
            <w:hideMark/>
          </w:tcPr>
          <w:p w14:paraId="57418431" w14:textId="77777777" w:rsidR="008D4108" w:rsidRPr="00F124D4" w:rsidRDefault="008D4108" w:rsidP="00F124D4">
            <w:pPr>
              <w:jc w:val="center"/>
              <w:rPr>
                <w:rFonts w:cs="Calibri"/>
                <w:b/>
                <w:bCs/>
                <w:color w:val="FFFFFF"/>
                <w:sz w:val="13"/>
                <w:szCs w:val="13"/>
              </w:rPr>
            </w:pPr>
            <w:r w:rsidRPr="00F124D4">
              <w:rPr>
                <w:rFonts w:cs="Calibri"/>
                <w:b/>
                <w:bCs/>
                <w:color w:val="FFFFFF"/>
                <w:sz w:val="13"/>
                <w:szCs w:val="13"/>
              </w:rPr>
              <w:t>31.12.2018</w:t>
            </w:r>
          </w:p>
        </w:tc>
      </w:tr>
      <w:tr w:rsidR="008D4108" w:rsidRPr="00F124D4" w14:paraId="00A01603" w14:textId="77777777" w:rsidTr="00795599">
        <w:trPr>
          <w:trHeight w:val="284"/>
        </w:trPr>
        <w:tc>
          <w:tcPr>
            <w:tcW w:w="3256" w:type="dxa"/>
            <w:vMerge/>
            <w:tcBorders>
              <w:left w:val="single" w:sz="4" w:space="0" w:color="FFFFFF"/>
              <w:bottom w:val="nil"/>
              <w:right w:val="single" w:sz="8" w:space="0" w:color="FFFFFF"/>
            </w:tcBorders>
            <w:shd w:val="clear" w:color="000000" w:fill="0077BD"/>
            <w:vAlign w:val="center"/>
            <w:hideMark/>
          </w:tcPr>
          <w:p w14:paraId="50073AD5" w14:textId="35C129BA" w:rsidR="008D4108" w:rsidRPr="00F124D4" w:rsidRDefault="008D4108" w:rsidP="00F124D4">
            <w:pPr>
              <w:jc w:val="center"/>
              <w:rPr>
                <w:rFonts w:cs="Calibri"/>
                <w:b/>
                <w:bCs/>
                <w:color w:val="FFFFFF"/>
                <w:sz w:val="13"/>
                <w:szCs w:val="13"/>
              </w:rPr>
            </w:pPr>
          </w:p>
        </w:tc>
        <w:tc>
          <w:tcPr>
            <w:tcW w:w="1588" w:type="dxa"/>
            <w:tcBorders>
              <w:top w:val="single" w:sz="6" w:space="0" w:color="FFFFFF"/>
              <w:left w:val="nil"/>
              <w:bottom w:val="single" w:sz="4" w:space="0" w:color="0070C0"/>
              <w:right w:val="single" w:sz="8" w:space="0" w:color="FFFFFF"/>
            </w:tcBorders>
            <w:shd w:val="clear" w:color="000000" w:fill="0077BD"/>
            <w:vAlign w:val="center"/>
            <w:hideMark/>
          </w:tcPr>
          <w:p w14:paraId="4068DF76" w14:textId="0F8DE8CF" w:rsidR="008D4108" w:rsidRPr="00F124D4" w:rsidRDefault="008D4108" w:rsidP="00795599">
            <w:pPr>
              <w:jc w:val="right"/>
              <w:rPr>
                <w:rFonts w:cs="Calibri"/>
                <w:b/>
                <w:bCs/>
                <w:color w:val="FFFFFF"/>
                <w:sz w:val="13"/>
                <w:szCs w:val="13"/>
              </w:rPr>
            </w:pPr>
            <w:r w:rsidRPr="00F124D4">
              <w:rPr>
                <w:rFonts w:cs="Calibri"/>
                <w:b/>
                <w:bCs/>
                <w:color w:val="FFFFFF"/>
                <w:sz w:val="13"/>
                <w:szCs w:val="13"/>
              </w:rPr>
              <w:t>Udział w liczbie głosów (bezpośrednio i pośrednio)</w:t>
            </w:r>
          </w:p>
        </w:tc>
        <w:tc>
          <w:tcPr>
            <w:tcW w:w="1588" w:type="dxa"/>
            <w:tcBorders>
              <w:top w:val="single" w:sz="6" w:space="0" w:color="FFFFFF"/>
              <w:left w:val="nil"/>
              <w:bottom w:val="single" w:sz="4" w:space="0" w:color="0070C0"/>
              <w:right w:val="single" w:sz="8" w:space="0" w:color="FFFFFF"/>
            </w:tcBorders>
            <w:shd w:val="clear" w:color="000000" w:fill="0077BD"/>
            <w:vAlign w:val="center"/>
            <w:hideMark/>
          </w:tcPr>
          <w:p w14:paraId="125182CB" w14:textId="77777777" w:rsidR="008D4108" w:rsidRPr="00F124D4" w:rsidRDefault="008D4108" w:rsidP="00F124D4">
            <w:pPr>
              <w:jc w:val="right"/>
              <w:rPr>
                <w:rFonts w:cs="Calibri"/>
                <w:b/>
                <w:bCs/>
                <w:color w:val="FFFFFF"/>
                <w:sz w:val="13"/>
                <w:szCs w:val="13"/>
              </w:rPr>
            </w:pPr>
            <w:r w:rsidRPr="00F124D4">
              <w:rPr>
                <w:rFonts w:cs="Calibri"/>
                <w:b/>
                <w:bCs/>
                <w:color w:val="FFFFFF"/>
                <w:sz w:val="13"/>
                <w:szCs w:val="13"/>
              </w:rPr>
              <w:t>Metoda konsolidacji</w:t>
            </w:r>
          </w:p>
        </w:tc>
        <w:tc>
          <w:tcPr>
            <w:tcW w:w="1588" w:type="dxa"/>
            <w:tcBorders>
              <w:top w:val="single" w:sz="6" w:space="0" w:color="FFFFFF"/>
              <w:left w:val="nil"/>
              <w:bottom w:val="single" w:sz="4" w:space="0" w:color="0070C0"/>
              <w:right w:val="single" w:sz="8" w:space="0" w:color="FFFFFF"/>
            </w:tcBorders>
            <w:shd w:val="clear" w:color="000000" w:fill="0077BD"/>
            <w:vAlign w:val="center"/>
            <w:hideMark/>
          </w:tcPr>
          <w:p w14:paraId="5C135FD0" w14:textId="4A477CBB" w:rsidR="008D4108" w:rsidRPr="00F124D4" w:rsidRDefault="008D4108" w:rsidP="00795599">
            <w:pPr>
              <w:jc w:val="right"/>
              <w:rPr>
                <w:rFonts w:cs="Calibri"/>
                <w:b/>
                <w:bCs/>
                <w:color w:val="FFFFFF"/>
                <w:sz w:val="13"/>
                <w:szCs w:val="13"/>
              </w:rPr>
            </w:pPr>
            <w:r w:rsidRPr="00F124D4">
              <w:rPr>
                <w:rFonts w:cs="Calibri"/>
                <w:b/>
                <w:bCs/>
                <w:color w:val="FFFFFF"/>
                <w:sz w:val="13"/>
                <w:szCs w:val="13"/>
              </w:rPr>
              <w:t>Udział w liczbie głosów (bezpośrednio i pośrednio)</w:t>
            </w:r>
          </w:p>
        </w:tc>
        <w:tc>
          <w:tcPr>
            <w:tcW w:w="1588" w:type="dxa"/>
            <w:tcBorders>
              <w:top w:val="single" w:sz="6" w:space="0" w:color="FFFFFF"/>
              <w:left w:val="nil"/>
              <w:bottom w:val="single" w:sz="4" w:space="0" w:color="0070C0"/>
              <w:right w:val="nil"/>
            </w:tcBorders>
            <w:shd w:val="clear" w:color="000000" w:fill="0077BD"/>
            <w:vAlign w:val="center"/>
            <w:hideMark/>
          </w:tcPr>
          <w:p w14:paraId="6E4FA5FF" w14:textId="77777777" w:rsidR="008D4108" w:rsidRPr="00F124D4" w:rsidRDefault="008D4108" w:rsidP="00F124D4">
            <w:pPr>
              <w:jc w:val="right"/>
              <w:rPr>
                <w:rFonts w:cs="Calibri"/>
                <w:b/>
                <w:bCs/>
                <w:color w:val="FFFFFF"/>
                <w:sz w:val="13"/>
                <w:szCs w:val="13"/>
              </w:rPr>
            </w:pPr>
            <w:r w:rsidRPr="00F124D4">
              <w:rPr>
                <w:rFonts w:cs="Calibri"/>
                <w:b/>
                <w:bCs/>
                <w:color w:val="FFFFFF"/>
                <w:sz w:val="13"/>
                <w:szCs w:val="13"/>
              </w:rPr>
              <w:t>Metoda konsolidacji</w:t>
            </w:r>
          </w:p>
        </w:tc>
      </w:tr>
      <w:tr w:rsidR="00977E53" w:rsidRPr="00977E53" w14:paraId="1D4FF080" w14:textId="77777777" w:rsidTr="00795599">
        <w:trPr>
          <w:trHeight w:val="284"/>
        </w:trPr>
        <w:tc>
          <w:tcPr>
            <w:tcW w:w="3256" w:type="dxa"/>
            <w:tcBorders>
              <w:top w:val="single" w:sz="4" w:space="0" w:color="0070C0"/>
              <w:left w:val="nil"/>
              <w:bottom w:val="single" w:sz="4" w:space="0" w:color="0070C0"/>
              <w:right w:val="single" w:sz="8" w:space="0" w:color="0077BD"/>
            </w:tcBorders>
            <w:shd w:val="clear" w:color="auto" w:fill="auto"/>
            <w:vAlign w:val="center"/>
            <w:hideMark/>
          </w:tcPr>
          <w:p w14:paraId="187913A2"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mBank Hipoteczny S.A.</w:t>
            </w:r>
          </w:p>
        </w:tc>
        <w:tc>
          <w:tcPr>
            <w:tcW w:w="1588" w:type="dxa"/>
            <w:tcBorders>
              <w:top w:val="single" w:sz="4" w:space="0" w:color="0070C0"/>
              <w:left w:val="nil"/>
              <w:bottom w:val="single" w:sz="4" w:space="0" w:color="0070C0"/>
              <w:right w:val="single" w:sz="8" w:space="0" w:color="0077BD"/>
            </w:tcBorders>
            <w:shd w:val="clear" w:color="auto" w:fill="auto"/>
            <w:vAlign w:val="center"/>
            <w:hideMark/>
          </w:tcPr>
          <w:p w14:paraId="77F2FD93"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single" w:sz="4" w:space="0" w:color="0070C0"/>
              <w:left w:val="nil"/>
              <w:bottom w:val="single" w:sz="4" w:space="0" w:color="0070C0"/>
              <w:right w:val="single" w:sz="8" w:space="0" w:color="0077BD"/>
            </w:tcBorders>
            <w:shd w:val="clear" w:color="auto" w:fill="auto"/>
            <w:vAlign w:val="center"/>
            <w:hideMark/>
          </w:tcPr>
          <w:p w14:paraId="3FF6DFEF"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single" w:sz="4" w:space="0" w:color="0070C0"/>
              <w:left w:val="single" w:sz="8" w:space="0" w:color="0070C0"/>
              <w:bottom w:val="single" w:sz="4" w:space="0" w:color="0070C0"/>
              <w:right w:val="single" w:sz="8" w:space="0" w:color="0070C0"/>
            </w:tcBorders>
            <w:shd w:val="clear" w:color="auto" w:fill="auto"/>
            <w:vAlign w:val="center"/>
            <w:hideMark/>
          </w:tcPr>
          <w:p w14:paraId="7CF9A8DD"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single" w:sz="4" w:space="0" w:color="0070C0"/>
              <w:left w:val="nil"/>
              <w:bottom w:val="single" w:sz="4" w:space="0" w:color="0070C0"/>
              <w:right w:val="nil"/>
            </w:tcBorders>
            <w:shd w:val="clear" w:color="auto" w:fill="auto"/>
            <w:vAlign w:val="center"/>
            <w:hideMark/>
          </w:tcPr>
          <w:p w14:paraId="10D02CB6"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06A27997"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1ECA22B0" w14:textId="77777777" w:rsidR="00F124D4" w:rsidRPr="00977E53" w:rsidRDefault="00F124D4" w:rsidP="00F124D4">
            <w:pPr>
              <w:rPr>
                <w:rFonts w:cs="Calibri"/>
                <w:color w:val="000000" w:themeColor="text1"/>
                <w:sz w:val="13"/>
                <w:szCs w:val="13"/>
                <w:lang w:val="en-US"/>
              </w:rPr>
            </w:pPr>
            <w:r w:rsidRPr="00977E53">
              <w:rPr>
                <w:rFonts w:cs="Calibri"/>
                <w:color w:val="000000" w:themeColor="text1"/>
                <w:sz w:val="13"/>
                <w:szCs w:val="13"/>
                <w:lang w:val="en-US"/>
              </w:rPr>
              <w:t xml:space="preserve">mLeasing Sp. z o.o. </w:t>
            </w:r>
          </w:p>
        </w:tc>
        <w:tc>
          <w:tcPr>
            <w:tcW w:w="1588" w:type="dxa"/>
            <w:tcBorders>
              <w:top w:val="nil"/>
              <w:left w:val="nil"/>
              <w:bottom w:val="single" w:sz="4" w:space="0" w:color="0070C0"/>
              <w:right w:val="single" w:sz="8" w:space="0" w:color="0077BD"/>
            </w:tcBorders>
            <w:shd w:val="clear" w:color="auto" w:fill="auto"/>
            <w:vAlign w:val="center"/>
            <w:hideMark/>
          </w:tcPr>
          <w:p w14:paraId="4BA178A7"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single" w:sz="8" w:space="0" w:color="0077BD"/>
            </w:tcBorders>
            <w:shd w:val="clear" w:color="auto" w:fill="auto"/>
            <w:vAlign w:val="center"/>
            <w:hideMark/>
          </w:tcPr>
          <w:p w14:paraId="0C9E79C9"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36B2C2B3"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02E42D17"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3432A59F"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221F4C1C"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 xml:space="preserve">mFinanse S.A. </w:t>
            </w:r>
          </w:p>
        </w:tc>
        <w:tc>
          <w:tcPr>
            <w:tcW w:w="1588" w:type="dxa"/>
            <w:tcBorders>
              <w:top w:val="nil"/>
              <w:left w:val="nil"/>
              <w:bottom w:val="single" w:sz="4" w:space="0" w:color="0070C0"/>
              <w:right w:val="single" w:sz="8" w:space="0" w:color="0077BD"/>
            </w:tcBorders>
            <w:shd w:val="clear" w:color="auto" w:fill="auto"/>
            <w:vAlign w:val="center"/>
            <w:hideMark/>
          </w:tcPr>
          <w:p w14:paraId="25B785C3"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single" w:sz="8" w:space="0" w:color="0077BD"/>
            </w:tcBorders>
            <w:shd w:val="clear" w:color="auto" w:fill="auto"/>
            <w:vAlign w:val="center"/>
            <w:hideMark/>
          </w:tcPr>
          <w:p w14:paraId="0C934BE5"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09D334F3"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06A2F236"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2E0202C0"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16089619"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 xml:space="preserve">mFaktoring S.A. </w:t>
            </w:r>
          </w:p>
        </w:tc>
        <w:tc>
          <w:tcPr>
            <w:tcW w:w="1588" w:type="dxa"/>
            <w:tcBorders>
              <w:top w:val="nil"/>
              <w:left w:val="nil"/>
              <w:bottom w:val="single" w:sz="4" w:space="0" w:color="0070C0"/>
              <w:right w:val="single" w:sz="8" w:space="0" w:color="0077BD"/>
            </w:tcBorders>
            <w:shd w:val="clear" w:color="auto" w:fill="auto"/>
            <w:vAlign w:val="center"/>
            <w:hideMark/>
          </w:tcPr>
          <w:p w14:paraId="62730A4B"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single" w:sz="8" w:space="0" w:color="0077BD"/>
            </w:tcBorders>
            <w:shd w:val="clear" w:color="auto" w:fill="auto"/>
            <w:vAlign w:val="center"/>
            <w:hideMark/>
          </w:tcPr>
          <w:p w14:paraId="725ED332"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3AD9158F"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351CD41C"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733F2D32"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1E304BA8"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mFinance France S.A.</w:t>
            </w:r>
          </w:p>
        </w:tc>
        <w:tc>
          <w:tcPr>
            <w:tcW w:w="1588" w:type="dxa"/>
            <w:tcBorders>
              <w:top w:val="nil"/>
              <w:left w:val="nil"/>
              <w:bottom w:val="single" w:sz="4" w:space="0" w:color="0070C0"/>
              <w:right w:val="single" w:sz="8" w:space="0" w:color="0077BD"/>
            </w:tcBorders>
            <w:shd w:val="clear" w:color="auto" w:fill="auto"/>
            <w:vAlign w:val="center"/>
            <w:hideMark/>
          </w:tcPr>
          <w:p w14:paraId="3DD31F95"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99,998%</w:t>
            </w:r>
          </w:p>
        </w:tc>
        <w:tc>
          <w:tcPr>
            <w:tcW w:w="1588" w:type="dxa"/>
            <w:tcBorders>
              <w:top w:val="nil"/>
              <w:left w:val="nil"/>
              <w:bottom w:val="single" w:sz="4" w:space="0" w:color="0070C0"/>
              <w:right w:val="single" w:sz="8" w:space="0" w:color="0077BD"/>
            </w:tcBorders>
            <w:shd w:val="clear" w:color="auto" w:fill="auto"/>
            <w:vAlign w:val="center"/>
            <w:hideMark/>
          </w:tcPr>
          <w:p w14:paraId="676F6FC4"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391FADD6"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99,998%</w:t>
            </w:r>
          </w:p>
        </w:tc>
        <w:tc>
          <w:tcPr>
            <w:tcW w:w="1588" w:type="dxa"/>
            <w:tcBorders>
              <w:top w:val="nil"/>
              <w:left w:val="nil"/>
              <w:bottom w:val="single" w:sz="4" w:space="0" w:color="0070C0"/>
              <w:right w:val="nil"/>
            </w:tcBorders>
            <w:shd w:val="clear" w:color="auto" w:fill="auto"/>
            <w:vAlign w:val="center"/>
            <w:hideMark/>
          </w:tcPr>
          <w:p w14:paraId="0F5CB958"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702AAD66"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59B5DB43"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Future Tech Fundusz Inwestycyjny Zamknięty</w:t>
            </w:r>
          </w:p>
        </w:tc>
        <w:tc>
          <w:tcPr>
            <w:tcW w:w="1588" w:type="dxa"/>
            <w:tcBorders>
              <w:top w:val="nil"/>
              <w:left w:val="nil"/>
              <w:bottom w:val="single" w:sz="4" w:space="0" w:color="0070C0"/>
              <w:right w:val="single" w:sz="8" w:space="0" w:color="0077BD"/>
            </w:tcBorders>
            <w:shd w:val="clear" w:color="auto" w:fill="auto"/>
            <w:vAlign w:val="center"/>
            <w:hideMark/>
          </w:tcPr>
          <w:p w14:paraId="30A97C2C"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98,04%</w:t>
            </w:r>
          </w:p>
        </w:tc>
        <w:tc>
          <w:tcPr>
            <w:tcW w:w="1588" w:type="dxa"/>
            <w:tcBorders>
              <w:top w:val="nil"/>
              <w:left w:val="nil"/>
              <w:bottom w:val="single" w:sz="4" w:space="0" w:color="0070C0"/>
              <w:right w:val="single" w:sz="8" w:space="0" w:color="0077BD"/>
            </w:tcBorders>
            <w:shd w:val="clear" w:color="auto" w:fill="auto"/>
            <w:vAlign w:val="center"/>
            <w:hideMark/>
          </w:tcPr>
          <w:p w14:paraId="710D6DDC"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2B3C94DF"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98,04%</w:t>
            </w:r>
          </w:p>
        </w:tc>
        <w:tc>
          <w:tcPr>
            <w:tcW w:w="1588" w:type="dxa"/>
            <w:tcBorders>
              <w:top w:val="nil"/>
              <w:left w:val="nil"/>
              <w:bottom w:val="single" w:sz="4" w:space="0" w:color="0070C0"/>
              <w:right w:val="nil"/>
            </w:tcBorders>
            <w:shd w:val="clear" w:color="auto" w:fill="auto"/>
            <w:vAlign w:val="center"/>
            <w:hideMark/>
          </w:tcPr>
          <w:p w14:paraId="4E2803E8"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218A6FBC"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304B2541"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Tele-Tech Investment Sp. z o.o.</w:t>
            </w:r>
          </w:p>
        </w:tc>
        <w:tc>
          <w:tcPr>
            <w:tcW w:w="1588" w:type="dxa"/>
            <w:tcBorders>
              <w:top w:val="nil"/>
              <w:left w:val="nil"/>
              <w:bottom w:val="single" w:sz="4" w:space="0" w:color="0070C0"/>
              <w:right w:val="single" w:sz="8" w:space="0" w:color="0077BD"/>
            </w:tcBorders>
            <w:shd w:val="clear" w:color="auto" w:fill="auto"/>
            <w:vAlign w:val="center"/>
            <w:hideMark/>
          </w:tcPr>
          <w:p w14:paraId="4DE10A8D"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single" w:sz="8" w:space="0" w:color="0077BD"/>
            </w:tcBorders>
            <w:shd w:val="clear" w:color="auto" w:fill="auto"/>
            <w:vAlign w:val="center"/>
            <w:hideMark/>
          </w:tcPr>
          <w:p w14:paraId="4D5E9831"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410168E4"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6E21CB8A"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6BD9DD91"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56ED49D9" w14:textId="24C04954" w:rsidR="00F124D4" w:rsidRPr="00977E53" w:rsidRDefault="00F124D4" w:rsidP="00F124D4">
            <w:pPr>
              <w:rPr>
                <w:rFonts w:cs="Calibri"/>
                <w:color w:val="000000" w:themeColor="text1"/>
                <w:sz w:val="13"/>
                <w:szCs w:val="13"/>
              </w:rPr>
            </w:pPr>
            <w:r w:rsidRPr="00977E53">
              <w:rPr>
                <w:rFonts w:cs="Calibri"/>
                <w:color w:val="000000" w:themeColor="text1"/>
                <w:sz w:val="13"/>
                <w:szCs w:val="13"/>
              </w:rPr>
              <w:t>mCentrum Operacji Sp. z o.o.</w:t>
            </w:r>
            <w:r w:rsidR="000D73D2">
              <w:rPr>
                <w:rFonts w:cs="Calibri"/>
                <w:color w:val="000000" w:themeColor="text1"/>
                <w:sz w:val="13"/>
                <w:szCs w:val="13"/>
              </w:rPr>
              <w:t xml:space="preserve"> w likwidacji</w:t>
            </w:r>
            <w:r w:rsidRPr="00977E53">
              <w:rPr>
                <w:rFonts w:cs="Calibri"/>
                <w:color w:val="000000" w:themeColor="text1"/>
                <w:sz w:val="13"/>
                <w:szCs w:val="13"/>
              </w:rPr>
              <w:t xml:space="preserve"> </w:t>
            </w:r>
          </w:p>
        </w:tc>
        <w:tc>
          <w:tcPr>
            <w:tcW w:w="1588" w:type="dxa"/>
            <w:tcBorders>
              <w:top w:val="nil"/>
              <w:left w:val="nil"/>
              <w:bottom w:val="single" w:sz="4" w:space="0" w:color="0070C0"/>
              <w:right w:val="single" w:sz="8" w:space="0" w:color="0077BD"/>
            </w:tcBorders>
            <w:shd w:val="clear" w:color="auto" w:fill="auto"/>
            <w:vAlign w:val="center"/>
            <w:hideMark/>
          </w:tcPr>
          <w:p w14:paraId="6836FFC4" w14:textId="55CFA244" w:rsidR="00F124D4" w:rsidRPr="00977E53" w:rsidRDefault="00B040EC" w:rsidP="00F124D4">
            <w:pPr>
              <w:jc w:val="right"/>
              <w:rPr>
                <w:rFonts w:cs="Calibri"/>
                <w:color w:val="000000" w:themeColor="text1"/>
                <w:sz w:val="13"/>
                <w:szCs w:val="13"/>
              </w:rPr>
            </w:pPr>
            <w:r w:rsidRPr="00977E53">
              <w:rPr>
                <w:rFonts w:cs="Calibri"/>
                <w:color w:val="000000" w:themeColor="text1"/>
                <w:sz w:val="13"/>
                <w:szCs w:val="13"/>
              </w:rPr>
              <w:t>-</w:t>
            </w:r>
          </w:p>
        </w:tc>
        <w:tc>
          <w:tcPr>
            <w:tcW w:w="1588" w:type="dxa"/>
            <w:tcBorders>
              <w:top w:val="nil"/>
              <w:left w:val="nil"/>
              <w:bottom w:val="single" w:sz="4" w:space="0" w:color="0070C0"/>
              <w:right w:val="single" w:sz="8" w:space="0" w:color="0077BD"/>
            </w:tcBorders>
            <w:shd w:val="clear" w:color="auto" w:fill="auto"/>
            <w:vAlign w:val="center"/>
            <w:hideMark/>
          </w:tcPr>
          <w:p w14:paraId="20FEFEA9" w14:textId="2D33677A" w:rsidR="00F124D4" w:rsidRPr="00977E53" w:rsidRDefault="00B040EC" w:rsidP="00F124D4">
            <w:pPr>
              <w:jc w:val="right"/>
              <w:rPr>
                <w:rFonts w:cs="Calibri"/>
                <w:color w:val="000000" w:themeColor="text1"/>
                <w:sz w:val="13"/>
                <w:szCs w:val="13"/>
              </w:rPr>
            </w:pPr>
            <w:r w:rsidRPr="00977E53">
              <w:rPr>
                <w:rFonts w:cs="Calibri"/>
                <w:color w:val="000000" w:themeColor="text1"/>
                <w:sz w:val="13"/>
                <w:szCs w:val="13"/>
              </w:rPr>
              <w:t>-</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717C67EB"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4CAB89FF"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4BF0C094" w14:textId="77777777" w:rsidTr="00795599">
        <w:trPr>
          <w:trHeight w:val="284"/>
        </w:trPr>
        <w:tc>
          <w:tcPr>
            <w:tcW w:w="3256" w:type="dxa"/>
            <w:tcBorders>
              <w:top w:val="nil"/>
              <w:left w:val="nil"/>
              <w:bottom w:val="nil"/>
              <w:right w:val="single" w:sz="8" w:space="0" w:color="0077BD"/>
            </w:tcBorders>
            <w:shd w:val="clear" w:color="auto" w:fill="auto"/>
            <w:vAlign w:val="center"/>
            <w:hideMark/>
          </w:tcPr>
          <w:p w14:paraId="2015ED07" w14:textId="77777777" w:rsidR="00F124D4" w:rsidRPr="005A7A51" w:rsidRDefault="00F124D4" w:rsidP="00F124D4">
            <w:pPr>
              <w:rPr>
                <w:rFonts w:cs="Calibri"/>
                <w:color w:val="000000" w:themeColor="text1"/>
                <w:sz w:val="13"/>
                <w:szCs w:val="13"/>
                <w:lang w:val="en-US"/>
              </w:rPr>
            </w:pPr>
            <w:r w:rsidRPr="005A7A51">
              <w:rPr>
                <w:rFonts w:cs="Calibri"/>
                <w:color w:val="000000" w:themeColor="text1"/>
                <w:sz w:val="13"/>
                <w:szCs w:val="13"/>
                <w:lang w:val="en-US"/>
              </w:rPr>
              <w:t>BDH Development Sp. z o.o.</w:t>
            </w:r>
          </w:p>
        </w:tc>
        <w:tc>
          <w:tcPr>
            <w:tcW w:w="1588" w:type="dxa"/>
            <w:tcBorders>
              <w:top w:val="nil"/>
              <w:left w:val="nil"/>
              <w:bottom w:val="nil"/>
              <w:right w:val="single" w:sz="8" w:space="0" w:color="0077BD"/>
            </w:tcBorders>
            <w:shd w:val="clear" w:color="auto" w:fill="auto"/>
            <w:vAlign w:val="center"/>
            <w:hideMark/>
          </w:tcPr>
          <w:p w14:paraId="0432E802"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nil"/>
              <w:right w:val="single" w:sz="8" w:space="0" w:color="0077BD"/>
            </w:tcBorders>
            <w:shd w:val="clear" w:color="auto" w:fill="auto"/>
            <w:vAlign w:val="center"/>
            <w:hideMark/>
          </w:tcPr>
          <w:p w14:paraId="2FFB4CA0"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nil"/>
              <w:right w:val="single" w:sz="8" w:space="0" w:color="0070C0"/>
            </w:tcBorders>
            <w:shd w:val="clear" w:color="auto" w:fill="auto"/>
            <w:vAlign w:val="center"/>
            <w:hideMark/>
          </w:tcPr>
          <w:p w14:paraId="56B75CEE"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nil"/>
              <w:right w:val="nil"/>
            </w:tcBorders>
            <w:shd w:val="clear" w:color="auto" w:fill="auto"/>
            <w:vAlign w:val="center"/>
            <w:hideMark/>
          </w:tcPr>
          <w:p w14:paraId="53750940"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6ADFE651" w14:textId="77777777" w:rsidTr="00795599">
        <w:trPr>
          <w:trHeight w:val="284"/>
        </w:trPr>
        <w:tc>
          <w:tcPr>
            <w:tcW w:w="3256" w:type="dxa"/>
            <w:tcBorders>
              <w:top w:val="single" w:sz="4" w:space="0" w:color="0070C0"/>
              <w:left w:val="nil"/>
              <w:bottom w:val="single" w:sz="4" w:space="0" w:color="0070C0"/>
              <w:right w:val="single" w:sz="8" w:space="0" w:color="0077BD"/>
            </w:tcBorders>
            <w:shd w:val="clear" w:color="auto" w:fill="auto"/>
            <w:vAlign w:val="center"/>
            <w:hideMark/>
          </w:tcPr>
          <w:p w14:paraId="6E18CFEB"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Garbary Sp. z o.o.</w:t>
            </w:r>
          </w:p>
        </w:tc>
        <w:tc>
          <w:tcPr>
            <w:tcW w:w="1588" w:type="dxa"/>
            <w:tcBorders>
              <w:top w:val="single" w:sz="4" w:space="0" w:color="0070C0"/>
              <w:left w:val="nil"/>
              <w:bottom w:val="single" w:sz="4" w:space="0" w:color="0070C0"/>
              <w:right w:val="single" w:sz="8" w:space="0" w:color="0077BD"/>
            </w:tcBorders>
            <w:shd w:val="clear" w:color="auto" w:fill="auto"/>
            <w:vAlign w:val="center"/>
            <w:hideMark/>
          </w:tcPr>
          <w:p w14:paraId="48ED68A0"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single" w:sz="4" w:space="0" w:color="0070C0"/>
              <w:left w:val="nil"/>
              <w:bottom w:val="single" w:sz="4" w:space="0" w:color="0070C0"/>
              <w:right w:val="single" w:sz="8" w:space="0" w:color="0077BD"/>
            </w:tcBorders>
            <w:shd w:val="clear" w:color="auto" w:fill="auto"/>
            <w:vAlign w:val="center"/>
            <w:hideMark/>
          </w:tcPr>
          <w:p w14:paraId="56D39E83"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single" w:sz="4" w:space="0" w:color="0070C0"/>
              <w:left w:val="single" w:sz="8" w:space="0" w:color="0070C0"/>
              <w:bottom w:val="single" w:sz="4" w:space="0" w:color="0070C0"/>
              <w:right w:val="single" w:sz="8" w:space="0" w:color="0070C0"/>
            </w:tcBorders>
            <w:shd w:val="clear" w:color="auto" w:fill="auto"/>
            <w:vAlign w:val="center"/>
            <w:hideMark/>
          </w:tcPr>
          <w:p w14:paraId="0F74E002"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single" w:sz="4" w:space="0" w:color="0070C0"/>
              <w:left w:val="nil"/>
              <w:bottom w:val="single" w:sz="4" w:space="0" w:color="0070C0"/>
              <w:right w:val="nil"/>
            </w:tcBorders>
            <w:shd w:val="clear" w:color="auto" w:fill="auto"/>
            <w:vAlign w:val="center"/>
            <w:hideMark/>
          </w:tcPr>
          <w:p w14:paraId="11C26D18"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2DBB23D1" w14:textId="77777777" w:rsidTr="00795599">
        <w:trPr>
          <w:trHeight w:val="284"/>
        </w:trPr>
        <w:tc>
          <w:tcPr>
            <w:tcW w:w="3256" w:type="dxa"/>
            <w:tcBorders>
              <w:top w:val="nil"/>
              <w:left w:val="nil"/>
              <w:bottom w:val="single" w:sz="4" w:space="0" w:color="0070C0"/>
              <w:right w:val="single" w:sz="8" w:space="0" w:color="0077BD"/>
            </w:tcBorders>
            <w:shd w:val="clear" w:color="auto" w:fill="auto"/>
            <w:vAlign w:val="center"/>
            <w:hideMark/>
          </w:tcPr>
          <w:p w14:paraId="2A939EE6" w14:textId="77777777" w:rsidR="00F124D4" w:rsidRPr="00977E53" w:rsidRDefault="00F124D4" w:rsidP="00F124D4">
            <w:pPr>
              <w:rPr>
                <w:rFonts w:cs="Calibri"/>
                <w:color w:val="000000" w:themeColor="text1"/>
                <w:sz w:val="13"/>
                <w:szCs w:val="13"/>
              </w:rPr>
            </w:pPr>
            <w:r w:rsidRPr="00977E53">
              <w:rPr>
                <w:rFonts w:cs="Calibri"/>
                <w:color w:val="000000" w:themeColor="text1"/>
                <w:sz w:val="13"/>
                <w:szCs w:val="13"/>
              </w:rPr>
              <w:t>Asekum Sp. z o.o.</w:t>
            </w:r>
          </w:p>
        </w:tc>
        <w:tc>
          <w:tcPr>
            <w:tcW w:w="1588" w:type="dxa"/>
            <w:tcBorders>
              <w:top w:val="nil"/>
              <w:left w:val="nil"/>
              <w:bottom w:val="single" w:sz="4" w:space="0" w:color="0070C0"/>
              <w:right w:val="single" w:sz="8" w:space="0" w:color="0077BD"/>
            </w:tcBorders>
            <w:shd w:val="clear" w:color="auto" w:fill="auto"/>
            <w:vAlign w:val="center"/>
            <w:hideMark/>
          </w:tcPr>
          <w:p w14:paraId="7C439F90"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single" w:sz="8" w:space="0" w:color="0077BD"/>
            </w:tcBorders>
            <w:shd w:val="clear" w:color="auto" w:fill="auto"/>
            <w:vAlign w:val="center"/>
            <w:hideMark/>
          </w:tcPr>
          <w:p w14:paraId="494D587D"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4" w:space="0" w:color="0070C0"/>
              <w:right w:val="single" w:sz="8" w:space="0" w:color="0070C0"/>
            </w:tcBorders>
            <w:shd w:val="clear" w:color="auto" w:fill="auto"/>
            <w:vAlign w:val="center"/>
            <w:hideMark/>
          </w:tcPr>
          <w:p w14:paraId="374892F2"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4" w:space="0" w:color="0070C0"/>
              <w:right w:val="nil"/>
            </w:tcBorders>
            <w:shd w:val="clear" w:color="auto" w:fill="auto"/>
            <w:vAlign w:val="center"/>
            <w:hideMark/>
          </w:tcPr>
          <w:p w14:paraId="763A1817"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r>
      <w:tr w:rsidR="00977E53" w:rsidRPr="00977E53" w14:paraId="491420D4" w14:textId="77777777" w:rsidTr="00795599">
        <w:trPr>
          <w:trHeight w:val="284"/>
        </w:trPr>
        <w:tc>
          <w:tcPr>
            <w:tcW w:w="3256" w:type="dxa"/>
            <w:tcBorders>
              <w:top w:val="nil"/>
              <w:left w:val="nil"/>
              <w:bottom w:val="single" w:sz="8" w:space="0" w:color="0077BD"/>
              <w:right w:val="single" w:sz="8" w:space="0" w:color="0077BD"/>
            </w:tcBorders>
            <w:shd w:val="clear" w:color="auto" w:fill="auto"/>
            <w:vAlign w:val="center"/>
            <w:hideMark/>
          </w:tcPr>
          <w:p w14:paraId="7F59CD55" w14:textId="77777777" w:rsidR="00F124D4" w:rsidRPr="00977E53" w:rsidRDefault="00F124D4" w:rsidP="00F124D4">
            <w:pPr>
              <w:rPr>
                <w:rFonts w:cs="Calibri"/>
                <w:color w:val="000000" w:themeColor="text1"/>
                <w:sz w:val="13"/>
                <w:szCs w:val="13"/>
                <w:lang w:val="en-US"/>
              </w:rPr>
            </w:pPr>
            <w:r w:rsidRPr="00977E53">
              <w:rPr>
                <w:rFonts w:cs="Calibri"/>
                <w:color w:val="000000" w:themeColor="text1"/>
                <w:sz w:val="13"/>
                <w:szCs w:val="13"/>
                <w:lang w:val="en-US"/>
              </w:rPr>
              <w:t>LeaseLink Sp. z o.o.</w:t>
            </w:r>
          </w:p>
        </w:tc>
        <w:tc>
          <w:tcPr>
            <w:tcW w:w="1588" w:type="dxa"/>
            <w:tcBorders>
              <w:top w:val="nil"/>
              <w:left w:val="nil"/>
              <w:bottom w:val="single" w:sz="8" w:space="0" w:color="0077BD"/>
              <w:right w:val="single" w:sz="8" w:space="0" w:color="0077BD"/>
            </w:tcBorders>
            <w:shd w:val="clear" w:color="auto" w:fill="auto"/>
            <w:vAlign w:val="center"/>
            <w:hideMark/>
          </w:tcPr>
          <w:p w14:paraId="33272FDD"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100%</w:t>
            </w:r>
          </w:p>
        </w:tc>
        <w:tc>
          <w:tcPr>
            <w:tcW w:w="1588" w:type="dxa"/>
            <w:tcBorders>
              <w:top w:val="nil"/>
              <w:left w:val="nil"/>
              <w:bottom w:val="single" w:sz="8" w:space="0" w:color="0077BD"/>
              <w:right w:val="single" w:sz="8" w:space="0" w:color="0077BD"/>
            </w:tcBorders>
            <w:shd w:val="clear" w:color="auto" w:fill="auto"/>
            <w:vAlign w:val="center"/>
            <w:hideMark/>
          </w:tcPr>
          <w:p w14:paraId="0164000A"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pełna</w:t>
            </w:r>
          </w:p>
        </w:tc>
        <w:tc>
          <w:tcPr>
            <w:tcW w:w="1588" w:type="dxa"/>
            <w:tcBorders>
              <w:top w:val="nil"/>
              <w:left w:val="single" w:sz="8" w:space="0" w:color="0070C0"/>
              <w:bottom w:val="single" w:sz="8" w:space="0" w:color="0070C0"/>
              <w:right w:val="single" w:sz="8" w:space="0" w:color="0070C0"/>
            </w:tcBorders>
            <w:shd w:val="clear" w:color="auto" w:fill="auto"/>
            <w:vAlign w:val="center"/>
            <w:hideMark/>
          </w:tcPr>
          <w:p w14:paraId="74622F6F"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w:t>
            </w:r>
          </w:p>
        </w:tc>
        <w:tc>
          <w:tcPr>
            <w:tcW w:w="1588" w:type="dxa"/>
            <w:tcBorders>
              <w:top w:val="nil"/>
              <w:left w:val="nil"/>
              <w:bottom w:val="single" w:sz="8" w:space="0" w:color="0070C0"/>
              <w:right w:val="nil"/>
            </w:tcBorders>
            <w:shd w:val="clear" w:color="auto" w:fill="auto"/>
            <w:vAlign w:val="center"/>
            <w:hideMark/>
          </w:tcPr>
          <w:p w14:paraId="75C2B12E" w14:textId="77777777" w:rsidR="00F124D4" w:rsidRPr="00977E53" w:rsidRDefault="00F124D4" w:rsidP="00F124D4">
            <w:pPr>
              <w:jc w:val="right"/>
              <w:rPr>
                <w:rFonts w:cs="Calibri"/>
                <w:color w:val="000000" w:themeColor="text1"/>
                <w:sz w:val="13"/>
                <w:szCs w:val="13"/>
              </w:rPr>
            </w:pPr>
            <w:r w:rsidRPr="00977E53">
              <w:rPr>
                <w:rFonts w:cs="Calibri"/>
                <w:color w:val="000000" w:themeColor="text1"/>
                <w:sz w:val="13"/>
                <w:szCs w:val="13"/>
              </w:rPr>
              <w:t>-</w:t>
            </w:r>
          </w:p>
        </w:tc>
      </w:tr>
    </w:tbl>
    <w:p w14:paraId="507B20E2" w14:textId="1E6F8292" w:rsidR="00890B8D" w:rsidRPr="00964985" w:rsidRDefault="008E59F9" w:rsidP="00964985">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jc w:val="both"/>
        <w:rPr>
          <w:rFonts w:cs="Tahoma"/>
          <w:color w:val="000000" w:themeColor="text1"/>
          <w:spacing w:val="-2"/>
          <w:sz w:val="18"/>
          <w:szCs w:val="18"/>
          <w:lang w:eastAsia="en-US"/>
        </w:rPr>
      </w:pPr>
      <w:r>
        <w:rPr>
          <w:rFonts w:cs="Tahoma"/>
          <w:color w:val="000000" w:themeColor="text1"/>
          <w:sz w:val="18"/>
          <w:szCs w:val="18"/>
          <w:lang w:eastAsia="en-US"/>
        </w:rPr>
        <w:t xml:space="preserve">Na dzień 31 </w:t>
      </w:r>
      <w:r w:rsidR="0028273C" w:rsidRPr="007B3ECE">
        <w:rPr>
          <w:rFonts w:cs="Tahoma"/>
          <w:color w:val="000000" w:themeColor="text1"/>
          <w:sz w:val="18"/>
          <w:szCs w:val="18"/>
          <w:lang w:eastAsia="en-US"/>
        </w:rPr>
        <w:t>grudnia 2019 roku Grupa zaklasyfikowała spółkę BDH Development Sp. z o.o. do aktywów trwałych prz</w:t>
      </w:r>
      <w:r w:rsidR="00A72DBA">
        <w:rPr>
          <w:rFonts w:cs="Tahoma"/>
          <w:color w:val="000000" w:themeColor="text1"/>
          <w:sz w:val="18"/>
          <w:szCs w:val="18"/>
          <w:lang w:eastAsia="en-US"/>
        </w:rPr>
        <w:t>eznaczonych do sprzedaży (</w:t>
      </w:r>
      <w:r w:rsidR="0028273C" w:rsidRPr="007B3ECE">
        <w:rPr>
          <w:rFonts w:cs="Tahoma"/>
          <w:color w:val="000000" w:themeColor="text1"/>
          <w:sz w:val="18"/>
          <w:szCs w:val="18"/>
          <w:lang w:eastAsia="en-US"/>
        </w:rPr>
        <w:t>Nota 24).</w:t>
      </w:r>
      <w:r w:rsidR="00964985">
        <w:rPr>
          <w:rFonts w:cs="Tahoma"/>
          <w:color w:val="000000" w:themeColor="text1"/>
          <w:spacing w:val="-2"/>
          <w:sz w:val="18"/>
          <w:szCs w:val="18"/>
          <w:lang w:eastAsia="en-US"/>
        </w:rPr>
        <w:t xml:space="preserve"> </w:t>
      </w:r>
      <w:r w:rsidR="001A3CE7" w:rsidRPr="007B3ECE">
        <w:rPr>
          <w:rFonts w:cs="Tahoma"/>
          <w:color w:val="000000" w:themeColor="text1"/>
          <w:spacing w:val="-2"/>
          <w:sz w:val="18"/>
          <w:szCs w:val="18"/>
          <w:lang w:eastAsia="en-US"/>
        </w:rPr>
        <w:t>W listopadzie 2019 roku spółka mCentrum Operacji Sp.</w:t>
      </w:r>
      <w:r>
        <w:rPr>
          <w:rFonts w:cs="Tahoma"/>
          <w:color w:val="000000" w:themeColor="text1"/>
          <w:spacing w:val="-2"/>
          <w:sz w:val="18"/>
          <w:szCs w:val="18"/>
          <w:lang w:eastAsia="en-US"/>
        </w:rPr>
        <w:t> </w:t>
      </w:r>
      <w:r w:rsidR="001A3CE7" w:rsidRPr="007B3ECE">
        <w:rPr>
          <w:rFonts w:cs="Tahoma"/>
          <w:color w:val="000000" w:themeColor="text1"/>
          <w:spacing w:val="-2"/>
          <w:sz w:val="18"/>
          <w:szCs w:val="18"/>
          <w:lang w:eastAsia="en-US"/>
        </w:rPr>
        <w:t>z</w:t>
      </w:r>
      <w:r>
        <w:rPr>
          <w:rFonts w:cs="Tahoma"/>
          <w:color w:val="000000" w:themeColor="text1"/>
          <w:spacing w:val="-2"/>
          <w:sz w:val="18"/>
          <w:szCs w:val="18"/>
          <w:lang w:eastAsia="en-US"/>
        </w:rPr>
        <w:t> </w:t>
      </w:r>
      <w:r w:rsidR="001A3CE7" w:rsidRPr="007B3ECE">
        <w:rPr>
          <w:rFonts w:cs="Tahoma"/>
          <w:color w:val="000000" w:themeColor="text1"/>
          <w:spacing w:val="-2"/>
          <w:sz w:val="18"/>
          <w:szCs w:val="18"/>
          <w:lang w:eastAsia="en-US"/>
        </w:rPr>
        <w:t>o.o. została zlikwidowana. Proces likwidacji został opisany w Nocie 43.</w:t>
      </w:r>
      <w:r w:rsidR="00964985">
        <w:rPr>
          <w:rFonts w:cs="Tahoma"/>
          <w:color w:val="000000" w:themeColor="text1"/>
          <w:spacing w:val="-2"/>
          <w:sz w:val="18"/>
          <w:szCs w:val="18"/>
          <w:lang w:eastAsia="en-US"/>
        </w:rPr>
        <w:t xml:space="preserve"> </w:t>
      </w:r>
      <w:r w:rsidR="00246BD2" w:rsidRPr="00977E53">
        <w:rPr>
          <w:noProof/>
          <w:color w:val="000000" w:themeColor="text1"/>
          <w:sz w:val="18"/>
          <w:szCs w:val="18"/>
        </w:rPr>
        <w:t>Począwszy od marca 2019 roku Grupa rozpoczęła konsolidację spółki LeaseLink Sp. z o.o.</w:t>
      </w:r>
      <w:r w:rsidR="00964985">
        <w:rPr>
          <w:rFonts w:cs="Tahoma"/>
          <w:color w:val="000000" w:themeColor="text1"/>
          <w:spacing w:val="-2"/>
          <w:sz w:val="18"/>
          <w:szCs w:val="18"/>
          <w:lang w:eastAsia="en-US"/>
        </w:rPr>
        <w:t xml:space="preserve"> </w:t>
      </w:r>
      <w:r w:rsidR="001050C7" w:rsidRPr="00977E53">
        <w:rPr>
          <w:noProof/>
          <w:color w:val="000000" w:themeColor="text1"/>
          <w:sz w:val="18"/>
          <w:szCs w:val="18"/>
        </w:rPr>
        <w:t>Począwszy od października 2018 roku Grupa rozpoczęła konsolidację spółki Asekum Sp. z o.o.</w:t>
      </w:r>
    </w:p>
    <w:p w14:paraId="7810E5B9" w14:textId="24E86BCE" w:rsidR="008702CF" w:rsidRPr="00977E53" w:rsidRDefault="008702CF" w:rsidP="00BF3ED8">
      <w:pPr>
        <w:spacing w:before="120"/>
        <w:jc w:val="both"/>
        <w:rPr>
          <w:rFonts w:cs="Tahoma"/>
          <w:color w:val="000000" w:themeColor="text1"/>
          <w:sz w:val="18"/>
          <w:szCs w:val="18"/>
        </w:rPr>
      </w:pPr>
      <w:r w:rsidRPr="00977E53">
        <w:rPr>
          <w:rFonts w:cs="Tahoma"/>
          <w:color w:val="000000" w:themeColor="text1"/>
          <w:sz w:val="18"/>
          <w:szCs w:val="18"/>
        </w:rPr>
        <w:t>Niniejsze skonsolidowane sprawozdanie finansowe zostało zatwierdzone przez Zarząd mBanku S</w:t>
      </w:r>
      <w:r w:rsidR="003D2C68" w:rsidRPr="00977E53">
        <w:rPr>
          <w:rFonts w:cs="Tahoma"/>
          <w:color w:val="000000" w:themeColor="text1"/>
          <w:sz w:val="18"/>
          <w:szCs w:val="18"/>
        </w:rPr>
        <w:t>.</w:t>
      </w:r>
      <w:r w:rsidRPr="00977E53">
        <w:rPr>
          <w:rFonts w:cs="Tahoma"/>
          <w:color w:val="000000" w:themeColor="text1"/>
          <w:sz w:val="18"/>
          <w:szCs w:val="18"/>
        </w:rPr>
        <w:t>A</w:t>
      </w:r>
      <w:r w:rsidR="003D2C68" w:rsidRPr="00977E53">
        <w:rPr>
          <w:rFonts w:cs="Tahoma"/>
          <w:color w:val="000000" w:themeColor="text1"/>
          <w:sz w:val="18"/>
          <w:szCs w:val="18"/>
        </w:rPr>
        <w:t>.</w:t>
      </w:r>
      <w:r w:rsidR="00D62A2B" w:rsidRPr="00977E53">
        <w:rPr>
          <w:rFonts w:cs="Tahoma"/>
          <w:color w:val="000000" w:themeColor="text1"/>
          <w:sz w:val="18"/>
          <w:szCs w:val="18"/>
        </w:rPr>
        <w:t xml:space="preserve"> </w:t>
      </w:r>
      <w:r w:rsidR="00765837">
        <w:rPr>
          <w:rFonts w:cs="Tahoma"/>
          <w:color w:val="000000" w:themeColor="text1"/>
          <w:sz w:val="18"/>
          <w:szCs w:val="18"/>
        </w:rPr>
        <w:t>w dniu</w:t>
      </w:r>
      <w:r w:rsidR="00D62A2B" w:rsidRPr="00977E53">
        <w:rPr>
          <w:rFonts w:cs="Tahoma"/>
          <w:color w:val="000000" w:themeColor="text1"/>
          <w:sz w:val="18"/>
          <w:szCs w:val="18"/>
        </w:rPr>
        <w:t xml:space="preserve"> </w:t>
      </w:r>
      <w:r w:rsidR="007B3ECE">
        <w:rPr>
          <w:rFonts w:cs="Tahoma"/>
          <w:color w:val="000000" w:themeColor="text1"/>
          <w:sz w:val="18"/>
          <w:szCs w:val="18"/>
        </w:rPr>
        <w:t>26</w:t>
      </w:r>
      <w:r w:rsidR="00B543EB" w:rsidRPr="00977E53">
        <w:rPr>
          <w:rFonts w:cs="Tahoma"/>
          <w:color w:val="000000" w:themeColor="text1"/>
          <w:sz w:val="18"/>
          <w:szCs w:val="18"/>
        </w:rPr>
        <w:t xml:space="preserve"> lutego</w:t>
      </w:r>
      <w:r w:rsidR="00246BD2" w:rsidRPr="00977E53">
        <w:rPr>
          <w:rFonts w:cs="Tahoma"/>
          <w:color w:val="000000" w:themeColor="text1"/>
          <w:sz w:val="18"/>
          <w:szCs w:val="18"/>
        </w:rPr>
        <w:t xml:space="preserve"> 2020</w:t>
      </w:r>
      <w:r w:rsidR="007B3ECE">
        <w:rPr>
          <w:rFonts w:cs="Tahoma"/>
          <w:color w:val="000000" w:themeColor="text1"/>
          <w:sz w:val="18"/>
          <w:szCs w:val="18"/>
        </w:rPr>
        <w:t xml:space="preserve"> roku.</w:t>
      </w:r>
    </w:p>
    <w:p w14:paraId="3B49E038" w14:textId="6585DDE2" w:rsidR="00EF0534" w:rsidRPr="00FF5E90" w:rsidRDefault="00EF0534" w:rsidP="00FF5E90">
      <w:pPr>
        <w:pStyle w:val="Nagwek2"/>
        <w:numPr>
          <w:ilvl w:val="0"/>
          <w:numId w:val="14"/>
        </w:numPr>
        <w:tabs>
          <w:tab w:val="clear" w:pos="720"/>
        </w:tabs>
        <w:suppressAutoHyphens/>
        <w:ind w:left="425" w:hanging="425"/>
        <w:jc w:val="both"/>
        <w:rPr>
          <w:rFonts w:cs="Tahoma"/>
          <w:bCs w:val="0"/>
          <w:iCs w:val="0"/>
          <w:color w:val="E41E0A"/>
          <w:sz w:val="18"/>
          <w:szCs w:val="18"/>
        </w:rPr>
      </w:pPr>
      <w:bookmarkStart w:id="20" w:name="_Toc32999788"/>
      <w:r w:rsidRPr="00FF5E90">
        <w:rPr>
          <w:rFonts w:cs="Tahoma"/>
          <w:bCs w:val="0"/>
          <w:iCs w:val="0"/>
          <w:color w:val="E41E0A"/>
          <w:sz w:val="18"/>
          <w:szCs w:val="18"/>
        </w:rPr>
        <w:t>Opis ważniejszych stosowanych zasad rachunkowości</w:t>
      </w:r>
      <w:bookmarkEnd w:id="20"/>
    </w:p>
    <w:p w14:paraId="1C2BA17B" w14:textId="0D1E7025" w:rsidR="00EF0534" w:rsidRPr="00977E53" w:rsidRDefault="00EF0534" w:rsidP="00EF0534">
      <w:pPr>
        <w:suppressAutoHyphens/>
        <w:spacing w:before="120"/>
        <w:jc w:val="both"/>
        <w:rPr>
          <w:rFonts w:cs="Tahoma"/>
          <w:color w:val="000000" w:themeColor="text1"/>
          <w:sz w:val="18"/>
          <w:szCs w:val="18"/>
        </w:rPr>
      </w:pPr>
      <w:r w:rsidRPr="00977E53">
        <w:rPr>
          <w:rFonts w:cs="Tahoma"/>
          <w:color w:val="000000" w:themeColor="text1"/>
          <w:sz w:val="18"/>
          <w:szCs w:val="18"/>
        </w:rPr>
        <w:t>Najważniejsze zasady rachunkowości zastosowane przy spo</w:t>
      </w:r>
      <w:r w:rsidR="00376C5F" w:rsidRPr="00977E53">
        <w:rPr>
          <w:rFonts w:cs="Tahoma"/>
          <w:color w:val="000000" w:themeColor="text1"/>
          <w:sz w:val="18"/>
          <w:szCs w:val="18"/>
        </w:rPr>
        <w:t>rządzaniu niniejszego</w:t>
      </w:r>
      <w:r w:rsidRPr="00977E53">
        <w:rPr>
          <w:rFonts w:cs="Tahoma"/>
          <w:color w:val="000000" w:themeColor="text1"/>
          <w:sz w:val="18"/>
          <w:szCs w:val="18"/>
        </w:rPr>
        <w:t xml:space="preserve"> skonsolidowanego sprawozdania finansowego zostały przedstawione poniżej. Zasady te stosowane były we wszystkich prezentowanych okresach w sposób ciągły</w:t>
      </w:r>
      <w:r w:rsidR="005231BC" w:rsidRPr="00977E53">
        <w:rPr>
          <w:rFonts w:cs="Tahoma"/>
          <w:color w:val="000000" w:themeColor="text1"/>
          <w:sz w:val="18"/>
          <w:szCs w:val="18"/>
        </w:rPr>
        <w:t>, za wyjątkiem zasad rachunkowości zastosowanych w związku z wdrożeniem MSSF 16 z dniem 1 stycznia 2019 roku, co zost</w:t>
      </w:r>
      <w:r w:rsidR="00964985">
        <w:rPr>
          <w:rFonts w:cs="Tahoma"/>
          <w:color w:val="000000" w:themeColor="text1"/>
          <w:sz w:val="18"/>
          <w:szCs w:val="18"/>
        </w:rPr>
        <w:t>ało szerzej opisane w Nocie 2.29</w:t>
      </w:r>
      <w:r w:rsidR="005231BC" w:rsidRPr="00977E53">
        <w:rPr>
          <w:rFonts w:cs="Tahoma"/>
          <w:color w:val="000000" w:themeColor="text1"/>
          <w:sz w:val="18"/>
          <w:szCs w:val="18"/>
        </w:rPr>
        <w:t>.</w:t>
      </w:r>
    </w:p>
    <w:p w14:paraId="50DEBD0E" w14:textId="77777777" w:rsidR="006C7096" w:rsidRPr="00977E53" w:rsidRDefault="006C7096" w:rsidP="006C7096">
      <w:pPr>
        <w:rPr>
          <w:color w:val="000000" w:themeColor="text1"/>
        </w:rPr>
      </w:pPr>
    </w:p>
    <w:p w14:paraId="0C07A5F8" w14:textId="77777777" w:rsidR="00EF0534" w:rsidRPr="00EC4F49" w:rsidRDefault="00EF0534"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1" w:name="_Toc32999789"/>
      <w:r w:rsidRPr="00EC4F49">
        <w:rPr>
          <w:b/>
          <w:color w:val="E41E0A"/>
          <w:sz w:val="18"/>
          <w:szCs w:val="18"/>
        </w:rPr>
        <w:t>Podstawa sporządzenia</w:t>
      </w:r>
      <w:bookmarkEnd w:id="21"/>
    </w:p>
    <w:p w14:paraId="1C76D371" w14:textId="639C7C55" w:rsidR="00376C4C" w:rsidRPr="00977E53" w:rsidRDefault="00EF0534" w:rsidP="00376C4C">
      <w:pPr>
        <w:suppressAutoHyphens/>
        <w:spacing w:before="120"/>
        <w:jc w:val="both"/>
        <w:rPr>
          <w:rFonts w:cs="Tahoma"/>
          <w:color w:val="000000" w:themeColor="text1"/>
          <w:sz w:val="18"/>
          <w:szCs w:val="18"/>
        </w:rPr>
      </w:pPr>
      <w:r w:rsidRPr="00977E53">
        <w:rPr>
          <w:rFonts w:cs="Tahoma"/>
          <w:color w:val="000000" w:themeColor="text1"/>
          <w:sz w:val="18"/>
          <w:szCs w:val="18"/>
        </w:rPr>
        <w:t xml:space="preserve">Skonsolidowane sprawozdanie finansowe Grupy </w:t>
      </w:r>
      <w:r w:rsidR="00D61B6C" w:rsidRPr="00977E53">
        <w:rPr>
          <w:rFonts w:cs="Tahoma"/>
          <w:color w:val="000000" w:themeColor="text1"/>
          <w:sz w:val="18"/>
          <w:szCs w:val="18"/>
        </w:rPr>
        <w:t>m</w:t>
      </w:r>
      <w:r w:rsidRPr="00977E53">
        <w:rPr>
          <w:rFonts w:cs="Tahoma"/>
          <w:color w:val="000000" w:themeColor="text1"/>
          <w:sz w:val="18"/>
          <w:szCs w:val="18"/>
        </w:rPr>
        <w:t>Banku S</w:t>
      </w:r>
      <w:r w:rsidR="0087163E" w:rsidRPr="00977E53">
        <w:rPr>
          <w:rFonts w:cs="Tahoma"/>
          <w:color w:val="000000" w:themeColor="text1"/>
          <w:sz w:val="18"/>
          <w:szCs w:val="18"/>
        </w:rPr>
        <w:t>.</w:t>
      </w:r>
      <w:r w:rsidRPr="00977E53">
        <w:rPr>
          <w:rFonts w:cs="Tahoma"/>
          <w:color w:val="000000" w:themeColor="text1"/>
          <w:sz w:val="18"/>
          <w:szCs w:val="18"/>
        </w:rPr>
        <w:t>A</w:t>
      </w:r>
      <w:r w:rsidR="0087163E" w:rsidRPr="00977E53">
        <w:rPr>
          <w:rFonts w:cs="Tahoma"/>
          <w:color w:val="000000" w:themeColor="text1"/>
          <w:sz w:val="18"/>
          <w:szCs w:val="18"/>
        </w:rPr>
        <w:t>.</w:t>
      </w:r>
      <w:r w:rsidRPr="00977E53">
        <w:rPr>
          <w:rFonts w:cs="Tahoma"/>
          <w:color w:val="000000" w:themeColor="text1"/>
          <w:sz w:val="18"/>
          <w:szCs w:val="18"/>
        </w:rPr>
        <w:t xml:space="preserve"> sporządzono za okres 12 miesięcy zakończony 31 grudnia</w:t>
      </w:r>
      <w:r w:rsidR="001B4375" w:rsidRPr="00977E53">
        <w:rPr>
          <w:rFonts w:cs="Tahoma"/>
          <w:color w:val="000000" w:themeColor="text1"/>
          <w:sz w:val="18"/>
          <w:szCs w:val="18"/>
        </w:rPr>
        <w:t xml:space="preserve"> 2019</w:t>
      </w:r>
      <w:r w:rsidR="00863880" w:rsidRPr="00977E53">
        <w:rPr>
          <w:rFonts w:cs="Tahoma"/>
          <w:color w:val="000000" w:themeColor="text1"/>
          <w:sz w:val="18"/>
          <w:szCs w:val="18"/>
        </w:rPr>
        <w:t xml:space="preserve"> roku.</w:t>
      </w:r>
      <w:r w:rsidR="00376C4C" w:rsidRPr="00977E53">
        <w:rPr>
          <w:rFonts w:cs="Tahoma"/>
          <w:color w:val="000000" w:themeColor="text1"/>
          <w:sz w:val="18"/>
          <w:szCs w:val="18"/>
        </w:rPr>
        <w:t xml:space="preserve"> Zaprezentowane w skonsolidowanym sprawozdaniu finansowym dane porównawcze dotyczą okresu 12 miesi</w:t>
      </w:r>
      <w:r w:rsidR="001B4375" w:rsidRPr="00977E53">
        <w:rPr>
          <w:rFonts w:cs="Tahoma"/>
          <w:color w:val="000000" w:themeColor="text1"/>
          <w:sz w:val="18"/>
          <w:szCs w:val="18"/>
        </w:rPr>
        <w:t>ęcy zakończonego 31 grudnia 2018</w:t>
      </w:r>
      <w:r w:rsidR="00376C4C" w:rsidRPr="00977E53">
        <w:rPr>
          <w:rFonts w:cs="Tahoma"/>
          <w:color w:val="000000" w:themeColor="text1"/>
          <w:sz w:val="18"/>
          <w:szCs w:val="18"/>
        </w:rPr>
        <w:t xml:space="preserve"> roku.</w:t>
      </w:r>
    </w:p>
    <w:p w14:paraId="36F7A9C0" w14:textId="2A435B30" w:rsidR="0059630C" w:rsidRPr="00977E53" w:rsidRDefault="001B4375" w:rsidP="0059630C">
      <w:pPr>
        <w:suppressAutoHyphens/>
        <w:spacing w:before="120"/>
        <w:jc w:val="both"/>
        <w:rPr>
          <w:rFonts w:cs="Tahoma"/>
          <w:color w:val="000000" w:themeColor="text1"/>
          <w:sz w:val="18"/>
          <w:szCs w:val="18"/>
        </w:rPr>
      </w:pPr>
      <w:r w:rsidRPr="00977E53">
        <w:rPr>
          <w:rFonts w:cs="Tahoma"/>
          <w:color w:val="000000" w:themeColor="text1"/>
          <w:sz w:val="18"/>
          <w:szCs w:val="18"/>
        </w:rPr>
        <w:t>Skonsolidowane sprawozdanie finansowe Grupy mBanku S.A. sporządzone zostało zgodnie z Międzynarodowymi Standardami Sprawozdawczości Finansowej (MSSF) przyjętymi do stosowania w Unii Europejskiej według zasady kosztu historycznego, za wyjątkiem kontraktów pochodnych, innych aktywów i zobowiązań finansowych przeznaczonych do obrotu oraz aktywów i zobowiązań finansowych wyznaczonych jako wyceniane w wartości godziwej przez wynik finansowy, jak również dłużnych i kapitałowych papierów wartościowych wycenianych w wartości godziwej przez pozostałe całkowite dochody oraz zobowiązań z tytułu rozliczanych w środkach pieniężnych płatności w formie akcji własnych, które są wyceniane w wartości godziwej. Składniki aktywów trwałych lub grupy do sprzedaży zaklasyfikowane jako przeznaczone do sprzedaży, wykazywane są w kwocie niższej z dwóch, tj. ich wartości bilansowej i wartości godziwej pomniejszonej o koszty zbycia.</w:t>
      </w:r>
    </w:p>
    <w:p w14:paraId="28E5ABE3" w14:textId="69DECDE8" w:rsidR="0059630C" w:rsidRPr="00977E53" w:rsidRDefault="0059630C" w:rsidP="0059630C">
      <w:pPr>
        <w:suppressAutoHyphens/>
        <w:spacing w:before="120"/>
        <w:jc w:val="both"/>
        <w:rPr>
          <w:rFonts w:cs="Tahoma"/>
          <w:color w:val="000000" w:themeColor="text1"/>
          <w:sz w:val="18"/>
          <w:szCs w:val="18"/>
        </w:rPr>
      </w:pPr>
      <w:r w:rsidRPr="00977E53">
        <w:rPr>
          <w:rFonts w:cs="Tahoma"/>
          <w:color w:val="000000" w:themeColor="text1"/>
          <w:sz w:val="18"/>
          <w:szCs w:val="18"/>
        </w:rPr>
        <w:t xml:space="preserve">Prezentowane w skonsolidowanym sprawozdaniu finansowym Grupy </w:t>
      </w:r>
      <w:r w:rsidR="001B4375" w:rsidRPr="00977E53">
        <w:rPr>
          <w:rFonts w:cs="Tahoma"/>
          <w:color w:val="000000" w:themeColor="text1"/>
          <w:sz w:val="18"/>
          <w:szCs w:val="18"/>
        </w:rPr>
        <w:t>mBanku S.A. dane za rok 2018</w:t>
      </w:r>
      <w:r w:rsidRPr="00977E53">
        <w:rPr>
          <w:rFonts w:cs="Tahoma"/>
          <w:color w:val="000000" w:themeColor="text1"/>
          <w:sz w:val="18"/>
          <w:szCs w:val="18"/>
        </w:rPr>
        <w:t xml:space="preserve"> były przedmiotem badania biegłego rewidenta. </w:t>
      </w:r>
    </w:p>
    <w:p w14:paraId="0DFFE541" w14:textId="77777777" w:rsidR="0059630C" w:rsidRPr="00977E53" w:rsidRDefault="0059630C" w:rsidP="0059630C">
      <w:pPr>
        <w:suppressAutoHyphens/>
        <w:spacing w:before="120"/>
        <w:jc w:val="both"/>
        <w:rPr>
          <w:rFonts w:cs="Tahoma"/>
          <w:color w:val="000000" w:themeColor="text1"/>
          <w:sz w:val="18"/>
          <w:szCs w:val="18"/>
        </w:rPr>
      </w:pPr>
      <w:r w:rsidRPr="00977E53">
        <w:rPr>
          <w:rFonts w:cs="Tahoma"/>
          <w:color w:val="000000" w:themeColor="text1"/>
          <w:sz w:val="18"/>
          <w:szCs w:val="18"/>
        </w:rPr>
        <w:t>Sporządzenie sprawozdania finansowego zgodnie z MSSF wymaga użycia określonych szacunków księgowych. Wymaga również od Zarządu stosowania własnego osądu przy stosowaniu przyjętych przez Grupę zasad rachunkowości. Zagadnienia, w odniesieniu do których w istotnym zakresie wymagany jest profesjonalny osąd, zagadnienia bardziej złożone lub takie, przy których założenia i szacunki są znaczące z punktu widzenia sprawozdania finansowego, ujawnione są w Nocie 4.</w:t>
      </w:r>
    </w:p>
    <w:p w14:paraId="2D0AB486" w14:textId="77777777" w:rsidR="0059630C" w:rsidRPr="00977E53" w:rsidRDefault="0059630C" w:rsidP="0059630C">
      <w:pPr>
        <w:suppressAutoHyphens/>
        <w:spacing w:before="120"/>
        <w:jc w:val="both"/>
        <w:rPr>
          <w:rFonts w:cs="Tahoma"/>
          <w:color w:val="000000" w:themeColor="text1"/>
          <w:sz w:val="18"/>
          <w:szCs w:val="18"/>
        </w:rPr>
      </w:pPr>
      <w:r w:rsidRPr="00977E53">
        <w:rPr>
          <w:rFonts w:cs="Tahoma"/>
          <w:color w:val="000000" w:themeColor="text1"/>
          <w:sz w:val="18"/>
          <w:szCs w:val="18"/>
        </w:rPr>
        <w:t xml:space="preserve">Sprawozdanie finansowe sporządzane jest zgodnie z zasadą istotności. Pominięcia lub zniekształcenia pozycji sprawozdania finansowego są istotne, jeżeli mogą, pojedynczo lub łącznie, wpłynąć na decyzje </w:t>
      </w:r>
      <w:r w:rsidRPr="00977E53">
        <w:rPr>
          <w:rFonts w:cs="Tahoma"/>
          <w:color w:val="000000" w:themeColor="text1"/>
          <w:sz w:val="18"/>
          <w:szCs w:val="18"/>
        </w:rPr>
        <w:lastRenderedPageBreak/>
        <w:t>gospodarcze podejmowane przez użytkowników sprawozdania finansowego Grupy. Istotność uzależniona jest od wielkości i rodzaju pominięcia lub zniekształcenia pozycji w sprawozdaniu finansowym oraz od kombinacji obu tych czynników. Każdą istotną kategorię podobnych pozycji Grupa prezentuje odrębnie. Pozycje odmienne pod względem rodzaju lub funkcji Grupa prezentuje odrębnie, chyba że są one nieistotne.</w:t>
      </w:r>
    </w:p>
    <w:p w14:paraId="248660E1" w14:textId="6BEEF7A8" w:rsidR="00C66E7D" w:rsidRPr="00977E53" w:rsidRDefault="0059630C" w:rsidP="0059630C">
      <w:pPr>
        <w:spacing w:before="120"/>
        <w:jc w:val="both"/>
        <w:rPr>
          <w:rFonts w:cs="Tahoma"/>
          <w:color w:val="000000" w:themeColor="text1"/>
          <w:sz w:val="18"/>
          <w:szCs w:val="18"/>
        </w:rPr>
      </w:pPr>
      <w:r w:rsidRPr="00977E53">
        <w:rPr>
          <w:rFonts w:cs="Tahoma"/>
          <w:color w:val="000000" w:themeColor="text1"/>
          <w:sz w:val="18"/>
          <w:szCs w:val="18"/>
        </w:rPr>
        <w:t xml:space="preserve">Niniejsze skonsolidowane sprawozdanie finansowe zostało sporządzone przy założeniu kontynuowania działalności gospodarczej przez spółki Grupy </w:t>
      </w:r>
      <w:r w:rsidR="00B25637" w:rsidRPr="00977E53">
        <w:rPr>
          <w:rFonts w:cs="Tahoma"/>
          <w:color w:val="000000" w:themeColor="text1"/>
          <w:sz w:val="18"/>
          <w:szCs w:val="18"/>
        </w:rPr>
        <w:t>w dającej się przewidzieć przyszłości, tj. co najmniej 12</w:t>
      </w:r>
      <w:r w:rsidR="00A25136">
        <w:rPr>
          <w:rFonts w:cs="Tahoma"/>
          <w:color w:val="000000" w:themeColor="text1"/>
          <w:sz w:val="18"/>
          <w:szCs w:val="18"/>
        </w:rPr>
        <w:t> </w:t>
      </w:r>
      <w:r w:rsidR="00B25637" w:rsidRPr="00977E53">
        <w:rPr>
          <w:rFonts w:cs="Tahoma"/>
          <w:color w:val="000000" w:themeColor="text1"/>
          <w:sz w:val="18"/>
          <w:szCs w:val="18"/>
        </w:rPr>
        <w:t>miesięcy od dnia bilansowego. Na dzień zatwierdzenia niniejszego sprawozdania finansowego nie stwierdza się istnienia okoliczności wskazujących na zagrożenie kontynuowania działalności przez spółki Grupy</w:t>
      </w:r>
      <w:r w:rsidRPr="00977E53">
        <w:rPr>
          <w:rFonts w:cs="Tahoma"/>
          <w:color w:val="000000" w:themeColor="text1"/>
          <w:sz w:val="18"/>
          <w:szCs w:val="18"/>
        </w:rPr>
        <w:t>.</w:t>
      </w:r>
    </w:p>
    <w:p w14:paraId="523F6716" w14:textId="77777777" w:rsidR="0077484A" w:rsidRPr="00C12AFA" w:rsidRDefault="0077484A" w:rsidP="0077484A">
      <w:pPr>
        <w:jc w:val="both"/>
        <w:rPr>
          <w:rFonts w:cs="Tahoma"/>
          <w:sz w:val="18"/>
          <w:szCs w:val="18"/>
        </w:rPr>
      </w:pPr>
    </w:p>
    <w:p w14:paraId="65629E8B" w14:textId="77777777" w:rsidR="00E55640" w:rsidRPr="009C7E7B" w:rsidRDefault="00E55640"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2" w:name="_Toc32999790"/>
      <w:r>
        <w:rPr>
          <w:b/>
          <w:color w:val="E41E0A"/>
          <w:sz w:val="18"/>
          <w:szCs w:val="18"/>
        </w:rPr>
        <w:t>Konsolidacja</w:t>
      </w:r>
      <w:bookmarkEnd w:id="22"/>
    </w:p>
    <w:p w14:paraId="13691563" w14:textId="77777777" w:rsidR="00E55640" w:rsidRPr="00977E53" w:rsidRDefault="00E55640" w:rsidP="00E55640">
      <w:pPr>
        <w:suppressAutoHyphens/>
        <w:spacing w:before="120"/>
        <w:jc w:val="both"/>
        <w:rPr>
          <w:rFonts w:cs="Tahoma"/>
          <w:color w:val="000000" w:themeColor="text1"/>
          <w:sz w:val="18"/>
          <w:szCs w:val="18"/>
        </w:rPr>
      </w:pPr>
      <w:r w:rsidRPr="00977E53">
        <w:rPr>
          <w:rFonts w:cs="Tahoma"/>
          <w:color w:val="000000" w:themeColor="text1"/>
          <w:sz w:val="18"/>
          <w:szCs w:val="18"/>
          <w:u w:val="single"/>
        </w:rPr>
        <w:t>Jednostki zależne</w:t>
      </w:r>
      <w:r w:rsidRPr="00977E53">
        <w:rPr>
          <w:rFonts w:cs="Tahoma"/>
          <w:color w:val="000000" w:themeColor="text1"/>
          <w:sz w:val="18"/>
          <w:szCs w:val="18"/>
        </w:rPr>
        <w:t>:</w:t>
      </w:r>
    </w:p>
    <w:p w14:paraId="515F2B36" w14:textId="32627B34"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Jednostki zależne to wszelkie jednostki, niezależnie od charakteru zaangażowania w danej jednostce (w tym jednostki specjalnego przeznaczenia), w odniesieniu do których Grupa sprawuje kontrolę nad jednostką, w której dokonano inwestycji. Kontrola ta ma miejsce wtedy i tylko wtedy, gdy Grupa sprawuje władzę nad jednostką, podlega ekspozycji na zmienne wyniki finansowe, lub gdy ma prawo do zmiennych wyników finansowych oraz ma możliwość wywierania wpływu na wysokość tych wyników finansowych poprzez sprawowanie władzy nad tą jednostką. W przypadku, gdy Grupa nie posiada większości praw głosu w jednostce, w której dokonano inwestycji, bierze pod uwagę inne fakty i okoliczności ustalając czy</w:t>
      </w:r>
      <w:r w:rsidR="008E59F9">
        <w:rPr>
          <w:rFonts w:cs="Tahoma"/>
          <w:color w:val="000000" w:themeColor="text1"/>
          <w:sz w:val="18"/>
          <w:szCs w:val="18"/>
        </w:rPr>
        <w:t> </w:t>
      </w:r>
      <w:r w:rsidRPr="00977E53">
        <w:rPr>
          <w:rFonts w:cs="Tahoma"/>
          <w:color w:val="000000" w:themeColor="text1"/>
          <w:sz w:val="18"/>
          <w:szCs w:val="18"/>
        </w:rPr>
        <w:t>sprawuje władzę nad jednostką, ze szczególnym uwzględnieniem ustaleń umownych pomiędzy Grupą a innymi posiadaczami praw głosu, praw wynikających z innych ustaleń umownych, praw głosu posiadanych przez Grupę oraz potencjalnych praw głosu. Jeżeli fakty i okoliczności wskazują, że nastąpiły zmiany w przypadku co najmniej jednego z trzech elementów kontroli wymienionych powyżej, Grupa ponownie ocenia czy sprawuje kontrolę nad daną jednostką. Grupa zaczyna konsolidować jednostkę zależną, kiedy rozpoczyna sprawowanie kontroli nad tą jednostką i zaprzestaje konsolidacji jednostki zależnej, gdy traci kontrolę nad tą jednostką. Skonsolidowane sprawozdanie finansowe łączy pozycje aktywów, zobowiązań, kapitału własnego, przychodów i kosztów jednostki dominującej i jednostek zależnych wyłączając wartość bilansową inwestycji jednostki dominującej w każdej z jednostek zależnych oraz tej części kapitału własnego każdej z jednostek zależnych, która odpowiada udziałowi jednostki dominującej. Stąd powstaje wartość firmy. Jeżeli wartość firmy jest ujemna, ujmuje się ją bezpośrednio w rachunku zysków i strat. Zysk lub strata i każdy składnik pozostałych całkowitych dochodów jest przypisywany do właścicieli Grupy oraz do udziałów niekontrolujących nawet wtedy, gdy w rezultacie udziały niekontrolujące przybierają wartość ujemną. Jeżeli Grupa utraci kontrolę nad jednostką zależną, to rozlicza wszelkie kwoty ujęte w pozostałych całkowitych dochodach związane z tą jednostką zależną na</w:t>
      </w:r>
      <w:r w:rsidR="006F48DA">
        <w:rPr>
          <w:rFonts w:cs="Tahoma"/>
          <w:color w:val="000000" w:themeColor="text1"/>
          <w:sz w:val="18"/>
          <w:szCs w:val="18"/>
        </w:rPr>
        <w:t> </w:t>
      </w:r>
      <w:r w:rsidRPr="00977E53">
        <w:rPr>
          <w:rFonts w:cs="Tahoma"/>
          <w:color w:val="000000" w:themeColor="text1"/>
          <w:sz w:val="18"/>
          <w:szCs w:val="18"/>
        </w:rPr>
        <w:t>takich zasadach, jakie byłyby wymagane w przypadku, gdy Grupa bezpośrednio zbyła odnośne aktywa lub zobowiązania. W związku z tym, jeżeli zysk lub strata poprzednio ujęte w pozostałych całkowitych dochodach zostałyby przeklasyfikowane do wyniku w momencie zbycia odnośnych aktywów lub</w:t>
      </w:r>
      <w:r w:rsidR="006F48DA">
        <w:rPr>
          <w:rFonts w:cs="Tahoma"/>
          <w:color w:val="000000" w:themeColor="text1"/>
          <w:sz w:val="18"/>
          <w:szCs w:val="18"/>
        </w:rPr>
        <w:t> </w:t>
      </w:r>
      <w:r w:rsidRPr="00977E53">
        <w:rPr>
          <w:rFonts w:cs="Tahoma"/>
          <w:color w:val="000000" w:themeColor="text1"/>
          <w:sz w:val="18"/>
          <w:szCs w:val="18"/>
        </w:rPr>
        <w:t>zobowiązań, to Grupa dokonuje przeklasyfikowania zysku lub straty z kapitału własnego do wyniku (jako korektę wynikającą z przeklasyfikowania) w momencie utraty kontroli nad jednostką zależną. Jeżeli nadwyżkę z przeszacowania poprzednio ujętą w pozostałych całkowitych dochodach przeniesiono by</w:t>
      </w:r>
      <w:r w:rsidR="00A25136">
        <w:rPr>
          <w:rFonts w:cs="Tahoma"/>
          <w:color w:val="000000" w:themeColor="text1"/>
          <w:sz w:val="18"/>
          <w:szCs w:val="18"/>
        </w:rPr>
        <w:t> </w:t>
      </w:r>
      <w:r w:rsidRPr="00977E53">
        <w:rPr>
          <w:rFonts w:cs="Tahoma"/>
          <w:color w:val="000000" w:themeColor="text1"/>
          <w:sz w:val="18"/>
          <w:szCs w:val="18"/>
        </w:rPr>
        <w:t>bezpośrednio do zysków zatrzymanych w momencie zbycia odnośnych aktywów, to Grupa przenosi tę</w:t>
      </w:r>
      <w:r w:rsidR="00A25136">
        <w:rPr>
          <w:rFonts w:cs="Tahoma"/>
          <w:color w:val="000000" w:themeColor="text1"/>
          <w:sz w:val="18"/>
          <w:szCs w:val="18"/>
        </w:rPr>
        <w:t> </w:t>
      </w:r>
      <w:r w:rsidRPr="00977E53">
        <w:rPr>
          <w:rFonts w:cs="Tahoma"/>
          <w:color w:val="000000" w:themeColor="text1"/>
          <w:sz w:val="18"/>
          <w:szCs w:val="18"/>
        </w:rPr>
        <w:t>nadwyżkę z przeszacowania bezpośrednio do zysków zatrzymanych w momencie utraty kontroli nad jednostką zależną.</w:t>
      </w:r>
    </w:p>
    <w:p w14:paraId="4B0986DD" w14:textId="0ED4C536"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Udziały nie dające kontroli to kapitał własny jednostki zależnej, którego nie można przyporządkować, bezpośrednio lub pośrednio, do jednostki dominującej. Grupa prezentuje udziały nie dające kontroli w skonsolidowanym sprawozdaniu z sytuacji finansowej w ramach kapitału własnego, oddzielnie od</w:t>
      </w:r>
      <w:r w:rsidR="00A25136">
        <w:rPr>
          <w:rFonts w:cs="Tahoma"/>
          <w:color w:val="000000" w:themeColor="text1"/>
          <w:sz w:val="18"/>
          <w:szCs w:val="18"/>
        </w:rPr>
        <w:t> </w:t>
      </w:r>
      <w:r w:rsidRPr="00977E53">
        <w:rPr>
          <w:rFonts w:cs="Tahoma"/>
          <w:color w:val="000000" w:themeColor="text1"/>
          <w:sz w:val="18"/>
          <w:szCs w:val="18"/>
        </w:rPr>
        <w:t>kapitału własnego właścicieli jednostki dominującej. Zmiany udziału jednostki dominującej w jednostce zależnej, które nie skutkują utratą kontroli nad jednostką zależną, są ujmowane jako transakcje kapitałowe (tj. jako transakcje z właścicielami działającymi w ramach uprawnień właścicieli). W takich przypadkach w celu odzwierciedlenia zmian we względnych udziałach w jednostce zależnej Grupa dokonuje korekty wartości bilansowej udziałów kontrolujących oraz udziałów niekontrolujących. Wszelkie różnice pomiędzy kwotą korekty udziałów niekontrolujących a wartością godziwą kwoty zapłaconej lub otrzymanej odnoszone są na kapitał własny i przypisywane do właścicieli jednostki dominującej.</w:t>
      </w:r>
    </w:p>
    <w:p w14:paraId="4787BABB"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W przypadku gdy jednostka przejmująca dokonała okazyjnego nabycia, które jest połączeniem przedsięwzięć, w wyniku którego powstaje zysk, na dzień przejęcia jednostka przejmująca ujmuje powstały zysk w wyniku. Przed ujęciem zysku z tytułu okazyjnego nabycia jednostka przejmująca ponownie ocenia, czy poprawnie zidentyfikowała wszystkie nabyte aktywa i wszystkie przejęte zobowiązania i ujmuje wszelkie dodatkowe aktywa i zobowiązania, które zidentyfikowała w wyniku tego przeglądu. Jednostka przejmująca dokonuje następnie przeglądu procedur stosowanych do określenia wartości, których ujęcie </w:t>
      </w:r>
      <w:r w:rsidRPr="00977E53">
        <w:rPr>
          <w:rFonts w:cs="Tahoma"/>
          <w:color w:val="000000" w:themeColor="text1"/>
          <w:sz w:val="18"/>
          <w:szCs w:val="18"/>
        </w:rPr>
        <w:lastRenderedPageBreak/>
        <w:t>na dzień przejęcia jest wymagane, aby zapewnić, że wycena odzwierciedla wszystkie informacje dostępne na dzień przejęcia.</w:t>
      </w:r>
    </w:p>
    <w:p w14:paraId="3D1367BC"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Transakcje, rozrachunki i niezrealizowane zyski na transakcjach pomiędzy spółkami Grupy zostały w całości eliminowane. Niezrealizowane straty również podlegają eliminacji, chyba że transakcja dostarcza dowodów na utratę wartości przekazanego składnika aktywów. Zasady rachunkowości stosowane przez jednostki zależne zostały zmienione, tam gdzie było to konieczne, dla zapewnienia zgodności z zasadami rachunkowości stosowanymi przez Grupę.</w:t>
      </w:r>
    </w:p>
    <w:p w14:paraId="2C7F5BEF" w14:textId="451F5555"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Połączenia jednostek gospodarczych dotyczące jednostek znajdujących się pod wspólną kontrolą rozlicza się </w:t>
      </w:r>
      <w:r w:rsidR="007F7A69" w:rsidRPr="00977E53">
        <w:rPr>
          <w:rFonts w:cs="Tahoma"/>
          <w:color w:val="000000" w:themeColor="text1"/>
          <w:sz w:val="18"/>
          <w:szCs w:val="18"/>
        </w:rPr>
        <w:t xml:space="preserve">tzw. </w:t>
      </w:r>
      <w:r w:rsidRPr="00977E53">
        <w:rPr>
          <w:rFonts w:cs="Tahoma"/>
          <w:color w:val="000000" w:themeColor="text1"/>
          <w:sz w:val="18"/>
          <w:szCs w:val="18"/>
        </w:rPr>
        <w:t>metodą poprzednika polegającą na tym, że aktywa i zobowiązania przejmowanych przedsięwzięć nie są wyceniane do wartości godziwej lecz jednostka przejmująca włącza je do swojego sprawozdania finansowego według wartości nabytych przedsięwzięć, wynikających ze skonsolidowanego sprawozdania finansowego jednostki wyższego szczebla, która sporządza skonsolidowane sprawozdania finansowe, pod której wspólną kontrolą transakcja ma miejsce.</w:t>
      </w:r>
    </w:p>
    <w:p w14:paraId="2CF6A1FD"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Konsolidacją nie objęto spółek, których rozmiary działalności nie są istotne w stosunku do rozmiarów działalności Grupy. </w:t>
      </w:r>
    </w:p>
    <w:p w14:paraId="6AB0D762" w14:textId="77777777" w:rsidR="00EA66A3" w:rsidRPr="00795599" w:rsidRDefault="00EA66A3" w:rsidP="00EA66A3">
      <w:pPr>
        <w:jc w:val="both"/>
        <w:rPr>
          <w:rFonts w:cs="Tahoma"/>
          <w:sz w:val="18"/>
          <w:szCs w:val="18"/>
        </w:rPr>
      </w:pPr>
    </w:p>
    <w:p w14:paraId="332D873D" w14:textId="77777777" w:rsidR="00E55640" w:rsidRPr="009C7E7B" w:rsidRDefault="00E55640"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3" w:name="_Toc32999791"/>
      <w:r>
        <w:rPr>
          <w:b/>
          <w:color w:val="E41E0A"/>
          <w:sz w:val="18"/>
          <w:szCs w:val="18"/>
        </w:rPr>
        <w:t>Przychody i koszty z tytułu odsetek</w:t>
      </w:r>
      <w:bookmarkEnd w:id="23"/>
    </w:p>
    <w:p w14:paraId="0BD160F7"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rachunku zysków i strat ujmowane są wszystkie przychody odsetkowe dotyczące instrumentów finansowych wycenianych w koszcie zamortyzowanym przy wykorzystaniu metody efektywnej stopy procentowej oraz przychody odsetkowe od aktywów finansowych wycenianych w wartości godziwej przez inne całkowite dochody oraz w wartości godziwej przez rachunek zysków i strat.</w:t>
      </w:r>
    </w:p>
    <w:p w14:paraId="7A819BB3" w14:textId="7BDA456B"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Metoda efektywnej stopy procentowej jest metodą obliczania zamortyzowanej wartości początkowej aktywów lub zobowiązań finansowych oraz alokacji przychodów lub kosztów z tytułu odsetek do właściwego okresu. Efektywna stopa procentowa to stopa, za pomocą której szacowane przyszłe płatności lub wpływy pieniężne w ciągu całego oczekiwanego okresu życia składnika aktywów finansowych lub zobowiązania finansowego dyskontowane są dokładnie do wartości bilansowej brutto składnika aktywów finansowych lub do zamortyzowanego kosztu zobowiązania finansowego. Obliczając efektywną stopę procentową, </w:t>
      </w:r>
      <w:r w:rsidR="00345A6C">
        <w:rPr>
          <w:rFonts w:cs="Tahoma"/>
          <w:color w:val="000000" w:themeColor="text1"/>
          <w:sz w:val="18"/>
          <w:szCs w:val="18"/>
        </w:rPr>
        <w:t>Grupa</w:t>
      </w:r>
      <w:r w:rsidRPr="00977E53">
        <w:rPr>
          <w:rFonts w:cs="Tahoma"/>
          <w:color w:val="000000" w:themeColor="text1"/>
          <w:sz w:val="18"/>
          <w:szCs w:val="18"/>
        </w:rPr>
        <w:t xml:space="preserve"> szacuje oczekiwane przepływy pieniężne uwzględniając wszystkie warunki umowne danego instrumentu finansowego, nie biorąc jednak pod uwagę oczekiwanych strat kredytowych. Kalkulacja ta</w:t>
      </w:r>
      <w:r w:rsidR="008E59F9">
        <w:rPr>
          <w:rFonts w:cs="Tahoma"/>
          <w:color w:val="000000" w:themeColor="text1"/>
          <w:sz w:val="18"/>
          <w:szCs w:val="18"/>
        </w:rPr>
        <w:t> </w:t>
      </w:r>
      <w:r w:rsidRPr="00977E53">
        <w:rPr>
          <w:rFonts w:cs="Tahoma"/>
          <w:color w:val="000000" w:themeColor="text1"/>
          <w:sz w:val="18"/>
          <w:szCs w:val="18"/>
        </w:rPr>
        <w:t>uwzględnia wszystkie  zapłacone lub otrzymane między stronami umowy prowizje i punkty, które są</w:t>
      </w:r>
      <w:r w:rsidR="008E59F9">
        <w:rPr>
          <w:rFonts w:cs="Tahoma"/>
          <w:color w:val="000000" w:themeColor="text1"/>
          <w:sz w:val="18"/>
          <w:szCs w:val="18"/>
        </w:rPr>
        <w:t> </w:t>
      </w:r>
      <w:r w:rsidRPr="00977E53">
        <w:rPr>
          <w:rFonts w:cs="Tahoma"/>
          <w:color w:val="000000" w:themeColor="text1"/>
          <w:sz w:val="18"/>
          <w:szCs w:val="18"/>
        </w:rPr>
        <w:t>integralną częścią efektywnej stopy procentowej, oraz koszty transakcji i wszystkie inne premie lub dyskonta.</w:t>
      </w:r>
    </w:p>
    <w:p w14:paraId="593F162A"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Grupa oblicza przychód odsetkowy przy zastosowaniu efektywnej stopy procentowej do wartości bilansowej brutto składnika aktywów finansowych, za wyjątkiem składników aktywów finansowych dotkniętych utratą wartości ze względu na ryzyko kredytowe. W momencie przeklasyfikowania do koszyka 3 aktywa finansowego lub grupy podobnych aktywów finansowych, przychody z tytułu odsetek naliczane są od wartości netto aktywa finansowego i wykazywane są według stopy procentowej, według której zdyskontowane zostały przyszłe przepływy pieniężne dla celów wyceny utraty wartości.</w:t>
      </w:r>
    </w:p>
    <w:p w14:paraId="64423813"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Przychody z tytułu odsetek obejmują odsetki oraz prowizje otrzymane lub należne z tytułu kredytów, lokat międzybankowych oraz inwestycyjnych papierów wartościowych ujęte w kalkulacji efektywnej stopy procentowej.</w:t>
      </w:r>
    </w:p>
    <w:p w14:paraId="5B6E238B"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Przychody z tytułu odsetek, w tym odsetek od kredytów, ujmowane są w rachunku zysków i strat oraz drugostronnie w sprawozdaniu z sytuacji finansowej jako składnik należności od banków lub pozostałych klientów.</w:t>
      </w:r>
    </w:p>
    <w:p w14:paraId="2B5661E4"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kalkulacji efektywnej stopy procentowej uwzględniane są przepływy pieniężne wynikające tylko z takich wbudowanych instrumentów pochodnych, które są ściśle powiązane z umową zasadniczą.</w:t>
      </w:r>
    </w:p>
    <w:p w14:paraId="2BF62BDD" w14:textId="417D5E65"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Przychody i koszty dotyczące elementu odsetkowego wyniku na instrumentach pochodnych stopy procentowej oraz wynikające z bieżącego naliczania punktów swapowych walutowych instrumentów pochodnych zaklasyfikowanych do księgi bankowej wykazywane są w wyniku odsetkowym w pozycji Przychody/koszty odsetkowe na instrumentach pochodnych zaklasyfikowanych do księgi bankowej. Do portfela bankowego zalicza się transakcje, które nie są dokonywane w celach handlowych tj. nie mające na celu uzyskania korzyści finansowych w krótkim okresie czasu (do 6 miesięcy) oraz takie, które nie</w:t>
      </w:r>
      <w:r w:rsidR="008E59F9">
        <w:rPr>
          <w:rFonts w:cs="Tahoma"/>
          <w:color w:val="000000" w:themeColor="text1"/>
          <w:sz w:val="18"/>
          <w:szCs w:val="18"/>
        </w:rPr>
        <w:t> </w:t>
      </w:r>
      <w:r w:rsidRPr="00977E53">
        <w:rPr>
          <w:rFonts w:cs="Tahoma"/>
          <w:color w:val="000000" w:themeColor="text1"/>
          <w:sz w:val="18"/>
          <w:szCs w:val="18"/>
        </w:rPr>
        <w:t xml:space="preserve">stanowią zabezpieczenia ryzyka wynikającego z operacji zaliczonych do portfela handlowego. </w:t>
      </w:r>
    </w:p>
    <w:p w14:paraId="1DFD946E"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Przychody i koszty odsetkowe dotyczące elementu odsetkowego wyceny z tytułu instrumentów pochodnych zawartych jako instrumenty zabezpieczające w ramach rachunkowości zabezpieczeń wartości godziwej prezentowane są w wyniku odsetkowym w pozycji Przychody/koszty odsetkowe na instrumentach pochodnych w ramach rachunkowości zabezpieczeń wartości godziwej.</w:t>
      </w:r>
    </w:p>
    <w:p w14:paraId="2433FCF4" w14:textId="77777777" w:rsidR="00BC6B0E" w:rsidRPr="00977E53" w:rsidRDefault="00BC6B0E" w:rsidP="00BC6B0E">
      <w:pPr>
        <w:spacing w:before="120"/>
        <w:jc w:val="both"/>
        <w:rPr>
          <w:color w:val="000000" w:themeColor="text1"/>
          <w:sz w:val="18"/>
          <w:szCs w:val="18"/>
        </w:rPr>
      </w:pPr>
      <w:r w:rsidRPr="00977E53">
        <w:rPr>
          <w:rFonts w:cs="Tahoma"/>
          <w:color w:val="000000" w:themeColor="text1"/>
          <w:sz w:val="18"/>
          <w:szCs w:val="18"/>
        </w:rPr>
        <w:lastRenderedPageBreak/>
        <w:t>Przychody odsetkowe dotyczące elementu odsetkowego wyceny z tytułu instrumentów pochodnych zawartych jako instrumenty zabezpieczające w ramach rachunkowości zabezpieczeń przepływów pieniężnych prezentowane są w wyniku odsetkowym w pozycji Przychody odsetkowe na instrumentach pochodnych w ramach rachunkowości zabezpieczeń przepływów pieniężnych.</w:t>
      </w:r>
    </w:p>
    <w:p w14:paraId="40639581" w14:textId="0A79F8CF" w:rsidR="00552349" w:rsidRPr="00C12AFA" w:rsidRDefault="00552349">
      <w:pPr>
        <w:rPr>
          <w:sz w:val="18"/>
          <w:szCs w:val="18"/>
        </w:rPr>
      </w:pPr>
    </w:p>
    <w:p w14:paraId="476B5240" w14:textId="3FFD491D" w:rsidR="00E55640" w:rsidRPr="009C7E7B" w:rsidRDefault="00E55640"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4" w:name="_Toc32999792"/>
      <w:r>
        <w:rPr>
          <w:b/>
          <w:color w:val="E41E0A"/>
          <w:sz w:val="18"/>
          <w:szCs w:val="18"/>
        </w:rPr>
        <w:t>Przychody z tytułu opłat i prowizji</w:t>
      </w:r>
      <w:bookmarkEnd w:id="24"/>
    </w:p>
    <w:p w14:paraId="5F945D04" w14:textId="77777777"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Przychody z tytułu prowizji i opłat ujmuje się zgodnie z MSSF15 stosując 5 stopniowy model ujmowania przychodów, na który składa się:</w:t>
      </w:r>
    </w:p>
    <w:p w14:paraId="59C15099" w14:textId="2CEE81DC" w:rsidR="00BE082E" w:rsidRPr="00977E53" w:rsidRDefault="00BE082E" w:rsidP="00BE082E">
      <w:pPr>
        <w:spacing w:before="120"/>
        <w:jc w:val="both"/>
        <w:rPr>
          <w:rFonts w:cs="Tahoma"/>
          <w:color w:val="000000" w:themeColor="text1"/>
          <w:sz w:val="18"/>
          <w:szCs w:val="18"/>
          <w:u w:val="single"/>
        </w:rPr>
      </w:pPr>
      <w:r w:rsidRPr="00977E53">
        <w:rPr>
          <w:rFonts w:cs="Tahoma"/>
          <w:color w:val="000000" w:themeColor="text1"/>
          <w:sz w:val="18"/>
          <w:szCs w:val="18"/>
          <w:u w:val="single"/>
        </w:rPr>
        <w:t>Etap I – Identyfikacja umowy z klientem:</w:t>
      </w:r>
    </w:p>
    <w:p w14:paraId="683DD7DE" w14:textId="77777777"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W ramach tego etapu następuje identyfikacja umów z klientami poprzez analizę spełnienia następujących kryteriów:</w:t>
      </w:r>
    </w:p>
    <w:p w14:paraId="278F5B22" w14:textId="77777777" w:rsidR="00BE082E" w:rsidRPr="00977E53" w:rsidRDefault="00BE082E" w:rsidP="006F48DA">
      <w:pPr>
        <w:pStyle w:val="Akapitzlist"/>
        <w:numPr>
          <w:ilvl w:val="0"/>
          <w:numId w:val="57"/>
        </w:numPr>
        <w:spacing w:before="60" w:after="120"/>
        <w:ind w:left="284" w:hanging="284"/>
        <w:jc w:val="both"/>
        <w:rPr>
          <w:rFonts w:cs="Tahoma"/>
          <w:color w:val="000000" w:themeColor="text1"/>
          <w:sz w:val="18"/>
          <w:szCs w:val="18"/>
        </w:rPr>
      </w:pPr>
      <w:r w:rsidRPr="00977E53">
        <w:rPr>
          <w:rFonts w:cs="Tahoma"/>
          <w:color w:val="000000" w:themeColor="text1"/>
          <w:sz w:val="18"/>
          <w:szCs w:val="18"/>
        </w:rPr>
        <w:t>strony umowy zawarły umowę (w formie pisemnej, ustnej lub zgodnie z innymi zwyczajowymi praktykami handlowymi) i są zobowiązane do wykonania swoich obowiązków,</w:t>
      </w:r>
    </w:p>
    <w:p w14:paraId="41A7E804" w14:textId="77777777" w:rsidR="00BE082E" w:rsidRPr="00977E53" w:rsidRDefault="00BE082E" w:rsidP="00BE082E">
      <w:pPr>
        <w:pStyle w:val="Akapitzlist"/>
        <w:spacing w:line="120" w:lineRule="auto"/>
        <w:ind w:left="284"/>
        <w:jc w:val="both"/>
        <w:rPr>
          <w:rFonts w:cs="Tahoma"/>
          <w:color w:val="000000" w:themeColor="text1"/>
          <w:sz w:val="18"/>
          <w:szCs w:val="18"/>
        </w:rPr>
      </w:pPr>
    </w:p>
    <w:p w14:paraId="617CB1ED" w14:textId="77777777" w:rsidR="00BE082E" w:rsidRPr="00977E53" w:rsidRDefault="00BE082E" w:rsidP="00526DF1">
      <w:pPr>
        <w:pStyle w:val="Akapitzlist"/>
        <w:numPr>
          <w:ilvl w:val="0"/>
          <w:numId w:val="57"/>
        </w:numPr>
        <w:spacing w:before="120" w:after="120"/>
        <w:ind w:left="284" w:hanging="284"/>
        <w:jc w:val="both"/>
        <w:rPr>
          <w:rFonts w:cs="Tahoma"/>
          <w:color w:val="000000" w:themeColor="text1"/>
          <w:sz w:val="18"/>
          <w:szCs w:val="18"/>
        </w:rPr>
      </w:pPr>
      <w:r w:rsidRPr="00977E53">
        <w:rPr>
          <w:rFonts w:cs="Tahoma"/>
          <w:color w:val="000000" w:themeColor="text1"/>
          <w:sz w:val="18"/>
          <w:szCs w:val="18"/>
        </w:rPr>
        <w:t>istnieje możliwość zidentyfikowania prawa każdej ze stron dotyczące dóbr lub usług, które mają zostać przekazane,</w:t>
      </w:r>
    </w:p>
    <w:p w14:paraId="07C2AE16" w14:textId="77777777" w:rsidR="00BE082E" w:rsidRPr="00977E53" w:rsidRDefault="00BE082E" w:rsidP="00BE082E">
      <w:pPr>
        <w:pStyle w:val="Akapitzlist"/>
        <w:tabs>
          <w:tab w:val="left" w:pos="3254"/>
        </w:tabs>
        <w:spacing w:before="120" w:after="120" w:line="120" w:lineRule="auto"/>
        <w:ind w:left="284"/>
        <w:jc w:val="both"/>
        <w:rPr>
          <w:rFonts w:cs="Tahoma"/>
          <w:color w:val="000000" w:themeColor="text1"/>
          <w:sz w:val="18"/>
          <w:szCs w:val="18"/>
        </w:rPr>
      </w:pPr>
      <w:r w:rsidRPr="00977E53">
        <w:rPr>
          <w:rFonts w:cs="Tahoma"/>
          <w:color w:val="000000" w:themeColor="text1"/>
          <w:sz w:val="18"/>
          <w:szCs w:val="18"/>
        </w:rPr>
        <w:tab/>
      </w:r>
    </w:p>
    <w:p w14:paraId="529D456D" w14:textId="77777777" w:rsidR="00BE082E" w:rsidRPr="00977E53" w:rsidRDefault="00BE082E" w:rsidP="00526DF1">
      <w:pPr>
        <w:pStyle w:val="Akapitzlist"/>
        <w:numPr>
          <w:ilvl w:val="0"/>
          <w:numId w:val="57"/>
        </w:numPr>
        <w:spacing w:before="120" w:after="120"/>
        <w:ind w:left="284" w:hanging="284"/>
        <w:jc w:val="both"/>
        <w:rPr>
          <w:rFonts w:cs="Tahoma"/>
          <w:color w:val="000000" w:themeColor="text1"/>
          <w:sz w:val="18"/>
          <w:szCs w:val="18"/>
        </w:rPr>
      </w:pPr>
      <w:r w:rsidRPr="00977E53">
        <w:rPr>
          <w:rFonts w:cs="Tahoma"/>
          <w:color w:val="000000" w:themeColor="text1"/>
          <w:sz w:val="18"/>
          <w:szCs w:val="18"/>
        </w:rPr>
        <w:t>istnieje możliwość zidentyfikowania warunków płatności za dobra lub usługi, które mają zostać przekazane,</w:t>
      </w:r>
    </w:p>
    <w:p w14:paraId="767D52B7" w14:textId="77777777" w:rsidR="00BE082E" w:rsidRPr="00977E53" w:rsidRDefault="00BE082E" w:rsidP="00BE082E">
      <w:pPr>
        <w:pStyle w:val="Akapitzlist"/>
        <w:spacing w:before="120" w:after="120" w:line="120" w:lineRule="auto"/>
        <w:ind w:left="284"/>
        <w:jc w:val="both"/>
        <w:rPr>
          <w:rFonts w:cs="Tahoma"/>
          <w:color w:val="000000" w:themeColor="text1"/>
          <w:sz w:val="18"/>
          <w:szCs w:val="18"/>
        </w:rPr>
      </w:pPr>
    </w:p>
    <w:p w14:paraId="40DB3ACE" w14:textId="77777777" w:rsidR="00BE082E" w:rsidRPr="00977E53" w:rsidRDefault="00BE082E" w:rsidP="00526DF1">
      <w:pPr>
        <w:pStyle w:val="Akapitzlist"/>
        <w:numPr>
          <w:ilvl w:val="0"/>
          <w:numId w:val="57"/>
        </w:numPr>
        <w:spacing w:before="120" w:after="120"/>
        <w:ind w:left="284" w:hanging="284"/>
        <w:jc w:val="both"/>
        <w:rPr>
          <w:rFonts w:cs="Tahoma"/>
          <w:color w:val="000000" w:themeColor="text1"/>
          <w:sz w:val="18"/>
          <w:szCs w:val="18"/>
        </w:rPr>
      </w:pPr>
      <w:r w:rsidRPr="00977E53">
        <w:rPr>
          <w:rFonts w:cs="Tahoma"/>
          <w:color w:val="000000" w:themeColor="text1"/>
          <w:sz w:val="18"/>
          <w:szCs w:val="18"/>
        </w:rPr>
        <w:t>umowa ma treść ekonomiczną (tzn. można oczekiwać, że w wyniku umowy ulegnie zmianie ryzyko, rozkład w czasie lub kwota przyszłych przepływów pieniężnych), oraz</w:t>
      </w:r>
    </w:p>
    <w:p w14:paraId="356BC249" w14:textId="77777777" w:rsidR="00BE082E" w:rsidRPr="00977E53" w:rsidRDefault="00BE082E" w:rsidP="00BE082E">
      <w:pPr>
        <w:pStyle w:val="Akapitzlist"/>
        <w:spacing w:before="120" w:after="120" w:line="120" w:lineRule="auto"/>
        <w:ind w:left="284"/>
        <w:jc w:val="both"/>
        <w:rPr>
          <w:rFonts w:cs="Tahoma"/>
          <w:color w:val="000000" w:themeColor="text1"/>
          <w:sz w:val="18"/>
          <w:szCs w:val="18"/>
        </w:rPr>
      </w:pPr>
    </w:p>
    <w:p w14:paraId="02092F02" w14:textId="3089D5CF" w:rsidR="00BE082E" w:rsidRPr="00977E53" w:rsidRDefault="00BE082E" w:rsidP="00526DF1">
      <w:pPr>
        <w:pStyle w:val="Akapitzlist"/>
        <w:numPr>
          <w:ilvl w:val="0"/>
          <w:numId w:val="57"/>
        </w:numPr>
        <w:spacing w:before="120" w:after="120"/>
        <w:ind w:left="284" w:hanging="284"/>
        <w:jc w:val="both"/>
        <w:rPr>
          <w:rFonts w:cs="Tahoma"/>
          <w:color w:val="000000" w:themeColor="text1"/>
          <w:sz w:val="18"/>
          <w:szCs w:val="18"/>
        </w:rPr>
      </w:pPr>
      <w:r w:rsidRPr="00977E53">
        <w:rPr>
          <w:rFonts w:cs="Tahoma"/>
          <w:color w:val="000000" w:themeColor="text1"/>
          <w:sz w:val="18"/>
          <w:szCs w:val="18"/>
        </w:rPr>
        <w:t xml:space="preserve">jest prawdopodobne, że </w:t>
      </w:r>
      <w:r w:rsidR="003C5818" w:rsidRPr="00977E53">
        <w:rPr>
          <w:rFonts w:cs="Tahoma"/>
          <w:color w:val="000000" w:themeColor="text1"/>
          <w:sz w:val="18"/>
          <w:szCs w:val="18"/>
        </w:rPr>
        <w:t>Grupa</w:t>
      </w:r>
      <w:r w:rsidRPr="00977E53">
        <w:rPr>
          <w:rFonts w:cs="Tahoma"/>
          <w:color w:val="000000" w:themeColor="text1"/>
          <w:sz w:val="18"/>
          <w:szCs w:val="18"/>
        </w:rPr>
        <w:t xml:space="preserve"> otrzyma wynagrodzenie, które będzie jej przysługiwało w zamian za</w:t>
      </w:r>
      <w:r w:rsidR="00F44E6A">
        <w:rPr>
          <w:rFonts w:cs="Tahoma"/>
          <w:color w:val="000000" w:themeColor="text1"/>
          <w:sz w:val="18"/>
          <w:szCs w:val="18"/>
        </w:rPr>
        <w:t> </w:t>
      </w:r>
      <w:r w:rsidRPr="00977E53">
        <w:rPr>
          <w:rFonts w:cs="Tahoma"/>
          <w:color w:val="000000" w:themeColor="text1"/>
          <w:sz w:val="18"/>
          <w:szCs w:val="18"/>
        </w:rPr>
        <w:t xml:space="preserve">dobra lub usługi, które zostaną przekazane klientowi. Oceniając, czy otrzymanie kwoty wynagrodzenia jest prawdopodobne, </w:t>
      </w:r>
      <w:r w:rsidR="003C5818" w:rsidRPr="00977E53">
        <w:rPr>
          <w:rFonts w:cs="Tahoma"/>
          <w:color w:val="000000" w:themeColor="text1"/>
          <w:sz w:val="18"/>
          <w:szCs w:val="18"/>
        </w:rPr>
        <w:t>Grupa</w:t>
      </w:r>
      <w:r w:rsidRPr="00977E53">
        <w:rPr>
          <w:rFonts w:cs="Tahoma"/>
          <w:color w:val="000000" w:themeColor="text1"/>
          <w:sz w:val="18"/>
          <w:szCs w:val="18"/>
        </w:rPr>
        <w:t xml:space="preserve"> uwzględnia zdolność i zamiar zapłaty kwoty wynagrodzenia przez klienta w odpowiednim terminie, z uwzględnieniem wszelkich upustów cenowych.</w:t>
      </w:r>
    </w:p>
    <w:p w14:paraId="355D13F4" w14:textId="77777777" w:rsidR="00BE082E" w:rsidRPr="00977E53" w:rsidRDefault="00BE082E" w:rsidP="00BE082E">
      <w:pPr>
        <w:spacing w:before="120" w:after="120"/>
        <w:jc w:val="both"/>
        <w:rPr>
          <w:rFonts w:cs="Tahoma"/>
          <w:color w:val="000000" w:themeColor="text1"/>
          <w:sz w:val="18"/>
          <w:szCs w:val="18"/>
          <w:u w:val="single"/>
        </w:rPr>
      </w:pPr>
      <w:r w:rsidRPr="00977E53">
        <w:rPr>
          <w:rFonts w:cs="Tahoma"/>
          <w:color w:val="000000" w:themeColor="text1"/>
          <w:sz w:val="18"/>
          <w:szCs w:val="18"/>
          <w:u w:val="single"/>
        </w:rPr>
        <w:t>Etap II – Identyfikacja odrębnych zobowiązań do wykonania świadczenia:</w:t>
      </w:r>
    </w:p>
    <w:p w14:paraId="4ED34245" w14:textId="39227D06" w:rsidR="00BE082E" w:rsidRPr="00977E53" w:rsidRDefault="00BE082E" w:rsidP="00393FFA">
      <w:pPr>
        <w:spacing w:before="120" w:after="60"/>
        <w:jc w:val="both"/>
        <w:rPr>
          <w:rFonts w:cs="Tahoma"/>
          <w:color w:val="000000" w:themeColor="text1"/>
          <w:sz w:val="18"/>
          <w:szCs w:val="18"/>
        </w:rPr>
      </w:pPr>
      <w:r w:rsidRPr="00977E53">
        <w:rPr>
          <w:rFonts w:cs="Tahoma"/>
          <w:color w:val="000000" w:themeColor="text1"/>
          <w:sz w:val="18"/>
          <w:szCs w:val="18"/>
        </w:rPr>
        <w:t xml:space="preserve">Zobowiązanie do wykonania świadczenia to przyrzeczenie (domniemane lub sprecyzowane) do przekazania klientowi dóbr lub usług, które identyfikowane są w momencie zawarcia umowy na bazie warunków kontraktowych, jak również zwyczajowej praktyki biznesowej. </w:t>
      </w:r>
      <w:r w:rsidR="003C5818" w:rsidRPr="00977E53">
        <w:rPr>
          <w:rFonts w:cs="Tahoma"/>
          <w:color w:val="000000" w:themeColor="text1"/>
          <w:sz w:val="18"/>
          <w:szCs w:val="18"/>
        </w:rPr>
        <w:t>Grupa</w:t>
      </w:r>
      <w:r w:rsidRPr="00977E53">
        <w:rPr>
          <w:rFonts w:cs="Tahoma"/>
          <w:color w:val="000000" w:themeColor="text1"/>
          <w:sz w:val="18"/>
          <w:szCs w:val="18"/>
        </w:rPr>
        <w:t xml:space="preserve"> w momencie zawarcia umowy dokonuje oceny dóbr lub usług przyrzeczonych w umowie z klientem i identyfikuje jako zobowiązanie do</w:t>
      </w:r>
      <w:r w:rsidR="00F44E6A">
        <w:rPr>
          <w:rFonts w:cs="Tahoma"/>
          <w:color w:val="000000" w:themeColor="text1"/>
          <w:sz w:val="18"/>
          <w:szCs w:val="18"/>
        </w:rPr>
        <w:t> </w:t>
      </w:r>
      <w:r w:rsidRPr="00977E53">
        <w:rPr>
          <w:rFonts w:cs="Tahoma"/>
          <w:color w:val="000000" w:themeColor="text1"/>
          <w:sz w:val="18"/>
          <w:szCs w:val="18"/>
        </w:rPr>
        <w:t>wykonania świadczenia każde przyrzeczenie do przekazania na rzecz klienta:</w:t>
      </w:r>
    </w:p>
    <w:p w14:paraId="19A23E9D" w14:textId="77777777" w:rsidR="00BE082E" w:rsidRPr="00977E53" w:rsidRDefault="00BE082E" w:rsidP="00393FFA">
      <w:pPr>
        <w:pStyle w:val="Akapitzlist"/>
        <w:numPr>
          <w:ilvl w:val="0"/>
          <w:numId w:val="58"/>
        </w:numPr>
        <w:spacing w:before="60" w:after="120"/>
        <w:ind w:left="284" w:hanging="284"/>
        <w:jc w:val="both"/>
        <w:rPr>
          <w:rFonts w:cs="Tahoma"/>
          <w:color w:val="000000" w:themeColor="text1"/>
          <w:sz w:val="18"/>
          <w:szCs w:val="18"/>
        </w:rPr>
      </w:pPr>
      <w:r w:rsidRPr="00977E53">
        <w:rPr>
          <w:rFonts w:cs="Tahoma"/>
          <w:color w:val="000000" w:themeColor="text1"/>
          <w:sz w:val="18"/>
          <w:szCs w:val="18"/>
        </w:rPr>
        <w:t>dobra lub usługi (lub pakietu dóbr lub usług), które można wyodrębnić; lub</w:t>
      </w:r>
    </w:p>
    <w:p w14:paraId="0048D5F2" w14:textId="77777777" w:rsidR="00BE082E" w:rsidRPr="00977E53" w:rsidRDefault="00BE082E" w:rsidP="00BE082E">
      <w:pPr>
        <w:pStyle w:val="Akapitzlist"/>
        <w:spacing w:before="120" w:after="120" w:line="120" w:lineRule="auto"/>
        <w:ind w:left="284" w:hanging="284"/>
        <w:jc w:val="both"/>
        <w:rPr>
          <w:rFonts w:cs="Tahoma"/>
          <w:color w:val="000000" w:themeColor="text1"/>
          <w:sz w:val="18"/>
          <w:szCs w:val="18"/>
        </w:rPr>
      </w:pPr>
    </w:p>
    <w:p w14:paraId="05444E47" w14:textId="77777777" w:rsidR="00BE082E" w:rsidRPr="00977E53" w:rsidRDefault="00BE082E" w:rsidP="00526DF1">
      <w:pPr>
        <w:pStyle w:val="Akapitzlist"/>
        <w:numPr>
          <w:ilvl w:val="0"/>
          <w:numId w:val="58"/>
        </w:numPr>
        <w:spacing w:before="120" w:after="120"/>
        <w:ind w:left="284" w:hanging="284"/>
        <w:jc w:val="both"/>
        <w:rPr>
          <w:rFonts w:cs="Tahoma"/>
          <w:color w:val="000000" w:themeColor="text1"/>
          <w:sz w:val="18"/>
          <w:szCs w:val="18"/>
        </w:rPr>
      </w:pPr>
      <w:r w:rsidRPr="00977E53">
        <w:rPr>
          <w:rFonts w:cs="Tahoma"/>
          <w:color w:val="000000" w:themeColor="text1"/>
          <w:sz w:val="18"/>
          <w:szCs w:val="18"/>
        </w:rPr>
        <w:t>grupy odrębnych dóbr lub usług, które są zasadniczo takie same i w przypadku, których przekazanie na rzecz klienta ma taki sam charakter.</w:t>
      </w:r>
    </w:p>
    <w:p w14:paraId="287BB776" w14:textId="77777777"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Dobro lub usługa przyrzeczona klientowi są odrębne, jeżeli są spełnione oba poniższe warunki:</w:t>
      </w:r>
    </w:p>
    <w:p w14:paraId="2D39FE86" w14:textId="77777777" w:rsidR="00BE082E" w:rsidRPr="00977E53" w:rsidRDefault="00BE082E" w:rsidP="00393FFA">
      <w:pPr>
        <w:pStyle w:val="Akapitzlist"/>
        <w:numPr>
          <w:ilvl w:val="0"/>
          <w:numId w:val="59"/>
        </w:numPr>
        <w:spacing w:before="60" w:after="120"/>
        <w:ind w:left="284" w:hanging="284"/>
        <w:jc w:val="both"/>
        <w:rPr>
          <w:rFonts w:cs="Tahoma"/>
          <w:color w:val="000000" w:themeColor="text1"/>
          <w:sz w:val="18"/>
          <w:szCs w:val="18"/>
        </w:rPr>
      </w:pPr>
      <w:r w:rsidRPr="00977E53">
        <w:rPr>
          <w:rFonts w:cs="Tahoma"/>
          <w:color w:val="000000" w:themeColor="text1"/>
          <w:sz w:val="18"/>
          <w:szCs w:val="18"/>
        </w:rPr>
        <w:t>klient może odnosić korzyści z dobra lub usługi albo bezpośrednio, albo poprzez powiązanie z innymi zasobami, które są dla niego łatwo dostępne (tj. dobro lub usługa mogą być odrębne); oraz</w:t>
      </w:r>
    </w:p>
    <w:p w14:paraId="24E6275F" w14:textId="77777777" w:rsidR="00BE082E" w:rsidRPr="00977E53" w:rsidRDefault="00BE082E" w:rsidP="00BE082E">
      <w:pPr>
        <w:pStyle w:val="Akapitzlist"/>
        <w:spacing w:before="120" w:after="120" w:line="120" w:lineRule="auto"/>
        <w:ind w:left="284"/>
        <w:jc w:val="both"/>
        <w:rPr>
          <w:rFonts w:cs="Tahoma"/>
          <w:color w:val="000000" w:themeColor="text1"/>
          <w:sz w:val="18"/>
          <w:szCs w:val="18"/>
        </w:rPr>
      </w:pPr>
    </w:p>
    <w:p w14:paraId="2C812AB0" w14:textId="1B757523" w:rsidR="00BE082E" w:rsidRPr="00977E53" w:rsidRDefault="00BE082E" w:rsidP="00526DF1">
      <w:pPr>
        <w:pStyle w:val="Akapitzlist"/>
        <w:numPr>
          <w:ilvl w:val="0"/>
          <w:numId w:val="59"/>
        </w:numPr>
        <w:spacing w:before="120" w:after="120"/>
        <w:ind w:left="284" w:hanging="284"/>
        <w:jc w:val="both"/>
        <w:rPr>
          <w:rFonts w:cs="Tahoma"/>
          <w:color w:val="000000" w:themeColor="text1"/>
          <w:sz w:val="18"/>
          <w:szCs w:val="18"/>
        </w:rPr>
      </w:pPr>
      <w:r w:rsidRPr="00977E53">
        <w:rPr>
          <w:rFonts w:cs="Tahoma"/>
          <w:color w:val="000000" w:themeColor="text1"/>
          <w:sz w:val="18"/>
          <w:szCs w:val="18"/>
        </w:rPr>
        <w:t>zobowiązanie jednostki do przekazania dobra lub usługi na rzecz klienta można zidentyfikować jako odrębne w stosunku do innych zobowiązań określonych w umowie (tj. dobro lub usługa są odrębne w</w:t>
      </w:r>
      <w:r w:rsidR="00251D21" w:rsidRPr="00977E53">
        <w:rPr>
          <w:rFonts w:cs="Tahoma"/>
          <w:color w:val="000000" w:themeColor="text1"/>
          <w:sz w:val="18"/>
          <w:szCs w:val="18"/>
        </w:rPr>
        <w:t> </w:t>
      </w:r>
      <w:r w:rsidRPr="00977E53">
        <w:rPr>
          <w:rFonts w:cs="Tahoma"/>
          <w:color w:val="000000" w:themeColor="text1"/>
          <w:sz w:val="18"/>
          <w:szCs w:val="18"/>
        </w:rPr>
        <w:t>ramach samej umowy).</w:t>
      </w:r>
    </w:p>
    <w:p w14:paraId="724F627C" w14:textId="2F11CB71" w:rsidR="00BE082E" w:rsidRPr="00977E53" w:rsidRDefault="003C5818" w:rsidP="00BE082E">
      <w:pPr>
        <w:spacing w:before="120"/>
        <w:jc w:val="both"/>
        <w:rPr>
          <w:rFonts w:cs="Tahoma"/>
          <w:color w:val="000000" w:themeColor="text1"/>
          <w:sz w:val="18"/>
          <w:szCs w:val="18"/>
        </w:rPr>
      </w:pPr>
      <w:r w:rsidRPr="00977E53">
        <w:rPr>
          <w:rFonts w:cs="Tahoma"/>
          <w:color w:val="000000" w:themeColor="text1"/>
          <w:sz w:val="18"/>
          <w:szCs w:val="18"/>
        </w:rPr>
        <w:t>Grupa</w:t>
      </w:r>
      <w:r w:rsidR="00BE082E" w:rsidRPr="00977E53">
        <w:rPr>
          <w:rFonts w:cs="Tahoma"/>
          <w:color w:val="000000" w:themeColor="text1"/>
          <w:sz w:val="18"/>
          <w:szCs w:val="18"/>
        </w:rPr>
        <w:t xml:space="preserve"> identyfikuje opcje zakupu dodatkowych dóbr lub usług dla klienta (punkty lojalnościowe) jako odrębne zobowiązania do wykonania świadczeń, jeżeli dają one klientowi istotne prawa (prawo materialne, którego klient nie uzyskałby, jeżeli nie zawarłby przedmiotowej umowy).</w:t>
      </w:r>
    </w:p>
    <w:p w14:paraId="6A822E9C" w14:textId="6B51C0FA"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 xml:space="preserve">W przypadku, gdy w procesie dostarczania wybranych usług dla klienta zaangażowany jest podmiot trzeci, </w:t>
      </w:r>
      <w:r w:rsidR="003C5818" w:rsidRPr="00977E53">
        <w:rPr>
          <w:rFonts w:cs="Tahoma"/>
          <w:color w:val="000000" w:themeColor="text1"/>
          <w:sz w:val="18"/>
          <w:szCs w:val="18"/>
        </w:rPr>
        <w:t>Grupa</w:t>
      </w:r>
      <w:r w:rsidRPr="00977E53">
        <w:rPr>
          <w:rFonts w:cs="Tahoma"/>
          <w:color w:val="000000" w:themeColor="text1"/>
          <w:sz w:val="18"/>
          <w:szCs w:val="18"/>
        </w:rPr>
        <w:t xml:space="preserve"> dokonuje oceny, czy występuje w roli agenta czy zleceniodawcy, biorąc poda uwagę przede wszystkim możliwość kontrolowania danej usługi przed jej przekazaniem klientowi (zasada kontroli).</w:t>
      </w:r>
    </w:p>
    <w:p w14:paraId="1F430D23" w14:textId="77777777" w:rsidR="00BE082E" w:rsidRPr="00977E53" w:rsidRDefault="00BE082E" w:rsidP="00BE082E">
      <w:pPr>
        <w:spacing w:before="120" w:after="120"/>
        <w:jc w:val="both"/>
        <w:rPr>
          <w:rFonts w:cs="Tahoma"/>
          <w:color w:val="000000" w:themeColor="text1"/>
          <w:sz w:val="18"/>
          <w:szCs w:val="18"/>
          <w:u w:val="single"/>
        </w:rPr>
      </w:pPr>
      <w:r w:rsidRPr="00977E53">
        <w:rPr>
          <w:rFonts w:cs="Tahoma"/>
          <w:color w:val="000000" w:themeColor="text1"/>
          <w:sz w:val="18"/>
          <w:szCs w:val="18"/>
          <w:u w:val="single"/>
        </w:rPr>
        <w:t>Etap III – Określenie ceny transakcyjnej:</w:t>
      </w:r>
    </w:p>
    <w:p w14:paraId="6A5BB1DB" w14:textId="32C04026" w:rsidR="00BE082E" w:rsidRPr="00977E53" w:rsidRDefault="003C5818" w:rsidP="00BE082E">
      <w:pPr>
        <w:spacing w:before="120"/>
        <w:jc w:val="both"/>
        <w:rPr>
          <w:rFonts w:cs="Tahoma"/>
          <w:color w:val="000000" w:themeColor="text1"/>
          <w:sz w:val="18"/>
          <w:szCs w:val="18"/>
        </w:rPr>
      </w:pPr>
      <w:r w:rsidRPr="00977E53">
        <w:rPr>
          <w:rFonts w:cs="Tahoma"/>
          <w:color w:val="000000" w:themeColor="text1"/>
          <w:sz w:val="18"/>
          <w:szCs w:val="18"/>
        </w:rPr>
        <w:t>Grupa</w:t>
      </w:r>
      <w:r w:rsidR="00BE082E" w:rsidRPr="00977E53">
        <w:rPr>
          <w:rFonts w:cs="Tahoma"/>
          <w:color w:val="000000" w:themeColor="text1"/>
          <w:sz w:val="18"/>
          <w:szCs w:val="18"/>
        </w:rPr>
        <w:t xml:space="preserve"> na moment zawarcia umowy ustala cenę transakcyjną odrębnego dobra lub odrębnej usługi będącej przedmiotem każdego zobowiązania do wykonania świadczenia, uwzględniając warunki umowy oraz stosowane przez nią zwyczajowe praktyki handlowe.</w:t>
      </w:r>
    </w:p>
    <w:p w14:paraId="5AC31CF6" w14:textId="77777777"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Cena transakcyjna to kwota wynagrodzenia, które zgodnie z oczekiwaniem Grupy – będzie przysługiwać w zamian za przekazanie przyrzeczonych dóbr lub usług na rzecz klienta, z wyłączeniem kwot pobranych w imieniu osób trzecich.</w:t>
      </w:r>
    </w:p>
    <w:p w14:paraId="0A3AF39E" w14:textId="66F87764"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 xml:space="preserve">Przy ustalaniu ceny transakcyjnej uwzględniane są następujące komponenty: wynagrodzenie zmienne, wartość pieniądza w czasie, wynagrodzenie niegotówkowe oraz wynagrodzenie płatne klientowi. </w:t>
      </w:r>
      <w:r w:rsidRPr="00977E53">
        <w:rPr>
          <w:rFonts w:cs="Tahoma"/>
          <w:color w:val="000000" w:themeColor="text1"/>
          <w:sz w:val="18"/>
          <w:szCs w:val="18"/>
        </w:rPr>
        <w:lastRenderedPageBreak/>
        <w:t>W</w:t>
      </w:r>
      <w:r w:rsidR="00251D21" w:rsidRPr="00977E53">
        <w:rPr>
          <w:rFonts w:cs="Tahoma"/>
          <w:color w:val="000000" w:themeColor="text1"/>
          <w:sz w:val="18"/>
          <w:szCs w:val="18"/>
        </w:rPr>
        <w:t> </w:t>
      </w:r>
      <w:r w:rsidRPr="00977E53">
        <w:rPr>
          <w:rFonts w:cs="Tahoma"/>
          <w:color w:val="000000" w:themeColor="text1"/>
          <w:sz w:val="18"/>
          <w:szCs w:val="18"/>
        </w:rPr>
        <w:t xml:space="preserve">zakresie wynagrodzenia zmiennego (np. rabaty od organizacji płatniczych) </w:t>
      </w:r>
      <w:r w:rsidR="003C5818" w:rsidRPr="00977E53">
        <w:rPr>
          <w:rFonts w:cs="Tahoma"/>
          <w:color w:val="000000" w:themeColor="text1"/>
          <w:sz w:val="18"/>
          <w:szCs w:val="18"/>
        </w:rPr>
        <w:t>Grupa</w:t>
      </w:r>
      <w:r w:rsidRPr="00977E53">
        <w:rPr>
          <w:rFonts w:cs="Tahoma"/>
          <w:color w:val="000000" w:themeColor="text1"/>
          <w:sz w:val="18"/>
          <w:szCs w:val="18"/>
        </w:rPr>
        <w:t xml:space="preserve"> oszacowuje kwotę wynagrodzenia, do którego będzie uprawniony w zamian za przekazanie przyrzeczonych usług.</w:t>
      </w:r>
    </w:p>
    <w:p w14:paraId="12A0BD9B" w14:textId="247A6CF5" w:rsidR="00BE082E" w:rsidRPr="00977E53" w:rsidRDefault="00BE082E" w:rsidP="00BE082E">
      <w:pPr>
        <w:spacing w:before="120" w:after="120"/>
        <w:jc w:val="both"/>
        <w:rPr>
          <w:rFonts w:cs="Tahoma"/>
          <w:color w:val="000000" w:themeColor="text1"/>
          <w:sz w:val="18"/>
          <w:szCs w:val="18"/>
          <w:u w:val="single"/>
        </w:rPr>
      </w:pPr>
      <w:r w:rsidRPr="00977E53">
        <w:rPr>
          <w:rFonts w:cs="Tahoma"/>
          <w:color w:val="000000" w:themeColor="text1"/>
          <w:sz w:val="18"/>
          <w:szCs w:val="18"/>
          <w:u w:val="single"/>
        </w:rPr>
        <w:t>Etap IV – Alokowanie ceny transakcyjnej do poszczególnych zobowiązań do wykonania świadczenia:</w:t>
      </w:r>
    </w:p>
    <w:p w14:paraId="3B96A88B" w14:textId="537B4FCD" w:rsidR="00BE082E" w:rsidRPr="00977E53" w:rsidRDefault="003C5818" w:rsidP="00BE082E">
      <w:pPr>
        <w:spacing w:before="120"/>
        <w:jc w:val="both"/>
        <w:rPr>
          <w:rFonts w:cs="Tahoma"/>
          <w:color w:val="000000" w:themeColor="text1"/>
          <w:sz w:val="18"/>
          <w:szCs w:val="18"/>
        </w:rPr>
      </w:pPr>
      <w:r w:rsidRPr="00977E53">
        <w:rPr>
          <w:rFonts w:cs="Tahoma"/>
          <w:color w:val="000000" w:themeColor="text1"/>
          <w:sz w:val="18"/>
          <w:szCs w:val="18"/>
        </w:rPr>
        <w:t xml:space="preserve">Grupa </w:t>
      </w:r>
      <w:r w:rsidR="00BE082E" w:rsidRPr="00977E53">
        <w:rPr>
          <w:rFonts w:cs="Tahoma"/>
          <w:color w:val="000000" w:themeColor="text1"/>
          <w:sz w:val="18"/>
          <w:szCs w:val="18"/>
        </w:rPr>
        <w:t xml:space="preserve">przypisuje cenę transakcyjną do każdego zobowiązania do wykonania świadczenia (lub do odrębnego dobra lub odrębnej usługi) w kwocie, która odzwierciedla kwotę wynagrodzenia, które – zgodnie z oczekiwaniem Grupy – przysługuje w zamian za przekazanie przyrzeczonych dóbr lub usług klientowi. </w:t>
      </w:r>
      <w:r w:rsidRPr="00977E53">
        <w:rPr>
          <w:rFonts w:cs="Tahoma"/>
          <w:color w:val="000000" w:themeColor="text1"/>
          <w:sz w:val="18"/>
          <w:szCs w:val="18"/>
        </w:rPr>
        <w:t>Grupa</w:t>
      </w:r>
      <w:r w:rsidR="00BE082E" w:rsidRPr="00977E53">
        <w:rPr>
          <w:rFonts w:cs="Tahoma"/>
          <w:color w:val="000000" w:themeColor="text1"/>
          <w:sz w:val="18"/>
          <w:szCs w:val="18"/>
        </w:rPr>
        <w:t xml:space="preserve"> dokonuje alokacji ceny transakcyjnej na podstawie modelu względnej wartości godziwej.</w:t>
      </w:r>
    </w:p>
    <w:p w14:paraId="1DCCB00B" w14:textId="77777777" w:rsidR="00BE082E" w:rsidRPr="00977E53" w:rsidRDefault="00BE082E" w:rsidP="00BE082E">
      <w:pPr>
        <w:spacing w:before="120" w:after="120"/>
        <w:jc w:val="both"/>
        <w:rPr>
          <w:rFonts w:cs="Tahoma"/>
          <w:color w:val="000000" w:themeColor="text1"/>
          <w:sz w:val="18"/>
          <w:szCs w:val="18"/>
          <w:u w:val="single"/>
        </w:rPr>
      </w:pPr>
      <w:r w:rsidRPr="00977E53">
        <w:rPr>
          <w:rFonts w:cs="Tahoma"/>
          <w:color w:val="000000" w:themeColor="text1"/>
          <w:sz w:val="18"/>
          <w:szCs w:val="18"/>
          <w:u w:val="single"/>
        </w:rPr>
        <w:t>Etap V – Ujęcie przychodu w momencie realizacji zobowiązania wynikającego z umowy:</w:t>
      </w:r>
    </w:p>
    <w:p w14:paraId="508A5DC7" w14:textId="6322EA62" w:rsidR="00BE082E" w:rsidRPr="00977E53" w:rsidRDefault="003C5818" w:rsidP="00BE082E">
      <w:pPr>
        <w:spacing w:before="120"/>
        <w:jc w:val="both"/>
        <w:rPr>
          <w:rFonts w:cs="Tahoma"/>
          <w:color w:val="000000" w:themeColor="text1"/>
          <w:sz w:val="18"/>
          <w:szCs w:val="18"/>
        </w:rPr>
      </w:pPr>
      <w:r w:rsidRPr="00977E53">
        <w:rPr>
          <w:rFonts w:cs="Tahoma"/>
          <w:color w:val="000000" w:themeColor="text1"/>
          <w:sz w:val="18"/>
          <w:szCs w:val="18"/>
        </w:rPr>
        <w:t>Grupa</w:t>
      </w:r>
      <w:r w:rsidR="00BE082E" w:rsidRPr="00977E53">
        <w:rPr>
          <w:rFonts w:cs="Tahoma"/>
          <w:color w:val="000000" w:themeColor="text1"/>
          <w:sz w:val="18"/>
          <w:szCs w:val="18"/>
        </w:rPr>
        <w:t xml:space="preserve"> ujmuje przychody w momencie spełnienia (lub w trakcie spełniania) zobowiązania do wykonania świadczenia poprzez przekazanie przyrzeczonego dobra lub usługi klientowi. Dobro zostaje przekazane, a</w:t>
      </w:r>
      <w:r w:rsidR="00251D21" w:rsidRPr="00977E53">
        <w:rPr>
          <w:rFonts w:cs="Tahoma"/>
          <w:color w:val="000000" w:themeColor="text1"/>
          <w:sz w:val="18"/>
          <w:szCs w:val="18"/>
        </w:rPr>
        <w:t> </w:t>
      </w:r>
      <w:r w:rsidR="00BE082E" w:rsidRPr="00977E53">
        <w:rPr>
          <w:rFonts w:cs="Tahoma"/>
          <w:color w:val="000000" w:themeColor="text1"/>
          <w:sz w:val="18"/>
          <w:szCs w:val="18"/>
        </w:rPr>
        <w:t>usługa wykonana w momencie uzyskania przez klienta kontroli. Do przychodów zaliczane są jednorazowo opłaty pobierane przez Bank za wykonanie czynności niezwiązanych bezpośrednio z powstaniem kredytów, pożyczek i innych należności, a także rozliczane liniowo opł</w:t>
      </w:r>
      <w:r w:rsidRPr="00977E53">
        <w:rPr>
          <w:rFonts w:cs="Tahoma"/>
          <w:color w:val="000000" w:themeColor="text1"/>
          <w:sz w:val="18"/>
          <w:szCs w:val="18"/>
        </w:rPr>
        <w:t>aty za świadczenie usług przez Grupę</w:t>
      </w:r>
      <w:r w:rsidR="00BE082E" w:rsidRPr="00977E53">
        <w:rPr>
          <w:rFonts w:cs="Tahoma"/>
          <w:color w:val="000000" w:themeColor="text1"/>
          <w:sz w:val="18"/>
          <w:szCs w:val="18"/>
        </w:rPr>
        <w:t xml:space="preserve"> w okresie dłuższym niż 3 miesiące. Do przychodów prowizyjnych zalicza się także opłaty i prowizje rozliczane w</w:t>
      </w:r>
      <w:r w:rsidR="00251D21" w:rsidRPr="00977E53">
        <w:rPr>
          <w:rFonts w:cs="Tahoma"/>
          <w:color w:val="000000" w:themeColor="text1"/>
          <w:sz w:val="18"/>
          <w:szCs w:val="18"/>
        </w:rPr>
        <w:t> </w:t>
      </w:r>
      <w:r w:rsidR="00BE082E" w:rsidRPr="00977E53">
        <w:rPr>
          <w:rFonts w:cs="Tahoma"/>
          <w:color w:val="000000" w:themeColor="text1"/>
          <w:sz w:val="18"/>
          <w:szCs w:val="18"/>
        </w:rPr>
        <w:t>czasie metodą liniową, otrzymane od udzielonych kredytów i pożyczek o nieustalonych harmonogramach przyszłych przepływów pieniężnych, dla których nie można ustalić efektywnej stopy procentowej. Metoda</w:t>
      </w:r>
      <w:r w:rsidR="00E31A05">
        <w:rPr>
          <w:rFonts w:cs="Tahoma"/>
          <w:color w:val="000000" w:themeColor="text1"/>
          <w:sz w:val="18"/>
          <w:szCs w:val="18"/>
        </w:rPr>
        <w:t> </w:t>
      </w:r>
      <w:r w:rsidR="00BE082E" w:rsidRPr="00977E53">
        <w:rPr>
          <w:rFonts w:cs="Tahoma"/>
          <w:color w:val="000000" w:themeColor="text1"/>
          <w:sz w:val="18"/>
          <w:szCs w:val="18"/>
        </w:rPr>
        <w:t>liniowa dla tego typu usług zapewnia rzetelny obraz przekazania dóbr i usług, ponieważ usługi te</w:t>
      </w:r>
      <w:r w:rsidR="00E31A05">
        <w:rPr>
          <w:rFonts w:cs="Tahoma"/>
          <w:color w:val="000000" w:themeColor="text1"/>
          <w:sz w:val="18"/>
          <w:szCs w:val="18"/>
        </w:rPr>
        <w:t> </w:t>
      </w:r>
      <w:r w:rsidR="00BE082E" w:rsidRPr="00977E53">
        <w:rPr>
          <w:rFonts w:cs="Tahoma"/>
          <w:color w:val="000000" w:themeColor="text1"/>
          <w:sz w:val="18"/>
          <w:szCs w:val="18"/>
        </w:rPr>
        <w:t>świadczone są równomiernie w czasie.</w:t>
      </w:r>
    </w:p>
    <w:p w14:paraId="673C7594" w14:textId="2FD1ED70" w:rsidR="00BE082E" w:rsidRPr="00977E53" w:rsidRDefault="00BE082E" w:rsidP="00BE082E">
      <w:pPr>
        <w:spacing w:before="120"/>
        <w:jc w:val="both"/>
        <w:rPr>
          <w:rFonts w:cs="Tahoma"/>
          <w:color w:val="000000" w:themeColor="text1"/>
          <w:sz w:val="18"/>
          <w:szCs w:val="18"/>
        </w:rPr>
      </w:pPr>
      <w:r w:rsidRPr="00977E53">
        <w:rPr>
          <w:rFonts w:cs="Tahoma"/>
          <w:color w:val="000000" w:themeColor="text1"/>
          <w:sz w:val="18"/>
          <w:szCs w:val="18"/>
        </w:rPr>
        <w:t xml:space="preserve">Zasady rachunkowości dotyczące ujęcia przychodów prowizyjnych z tytułu sprzedaży produktów ubezpieczeniowych powiązanych z kredytami </w:t>
      </w:r>
      <w:r w:rsidR="00323486" w:rsidRPr="00977E53">
        <w:rPr>
          <w:rFonts w:cs="Tahoma"/>
          <w:color w:val="000000" w:themeColor="text1"/>
          <w:sz w:val="18"/>
          <w:szCs w:val="18"/>
        </w:rPr>
        <w:t>i pożyczkami opisane zostały w N</w:t>
      </w:r>
      <w:r w:rsidRPr="00977E53">
        <w:rPr>
          <w:rFonts w:cs="Tahoma"/>
          <w:color w:val="000000" w:themeColor="text1"/>
          <w:sz w:val="18"/>
          <w:szCs w:val="18"/>
        </w:rPr>
        <w:t xml:space="preserve">ocie </w:t>
      </w:r>
      <w:r w:rsidR="00034CDC">
        <w:rPr>
          <w:rFonts w:cs="Tahoma"/>
          <w:color w:val="000000" w:themeColor="text1"/>
          <w:sz w:val="18"/>
          <w:szCs w:val="18"/>
        </w:rPr>
        <w:t>2.5</w:t>
      </w:r>
      <w:r w:rsidRPr="00977E53">
        <w:rPr>
          <w:rFonts w:cs="Tahoma"/>
          <w:color w:val="000000" w:themeColor="text1"/>
          <w:sz w:val="18"/>
          <w:szCs w:val="18"/>
        </w:rPr>
        <w:t>.</w:t>
      </w:r>
    </w:p>
    <w:p w14:paraId="332C21CD" w14:textId="7BCD5BD9"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Opłaty za uruchomienie kredytu dotyczące kredytów, które prawdopodobnie zostaną wykorzystane, są</w:t>
      </w:r>
      <w:r w:rsidR="00F44E6A">
        <w:rPr>
          <w:rFonts w:cs="Tahoma"/>
          <w:color w:val="000000" w:themeColor="text1"/>
          <w:sz w:val="18"/>
          <w:szCs w:val="18"/>
        </w:rPr>
        <w:t> </w:t>
      </w:r>
      <w:r w:rsidRPr="00977E53">
        <w:rPr>
          <w:rFonts w:cs="Tahoma"/>
          <w:color w:val="000000" w:themeColor="text1"/>
          <w:sz w:val="18"/>
          <w:szCs w:val="18"/>
        </w:rPr>
        <w:t>odraczane (wraz z odnośnymi kosztami bezpośrednimi) i uwzględniane w kalkulacji efektywnej stopy procentowej kredytu. Opłaty z tytułu udostępnienia kredytów konsorcjalnych wykazuje się jako przychód w momencie zakończenia procesu organizacji konsorcjum, jeżeli Grupa nie zachowała dla siebie żadnej części ryzyka kredytowego lub zachowała część ryzyka o poziomie zbliżonym jak inni uczestnicy. Prowizje i opłaty z tytułu negocjowania lub uczestnictwa w negocjowaniu transakcji na rzecz osoby trzeciej, takiej jak nabycie akcji/udziałów lub innych papierów wartościowych bądź nabycie lub zbycie przedsiębiorstwa, ujmuje się z chwilą zrealizowania odnośnej transakcji. Opłaty z tytułu zarządzania portfelem i inne opłaty za usługi zarządzania, doradztwa i inne są ujmowane na podstawie umów o świadczenie usług, zazwyczaj proporcjonalnie do upływu czasu. Tę samą zasadę stosuje się przy usługach zarządzania majątkiem klientów, planowania finansowego i powiernictwa, które świadczy się nieprzerwanie przez dłuższy okres.</w:t>
      </w:r>
    </w:p>
    <w:p w14:paraId="3F197ED4"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Prowizje i opłaty pobierane przez Grupę z tytułu wydania, odnowienia i zmiany limitu kart kredytowych i płatniczych, udzielonych gwarancji oraz z tytułu otwarcia, przedłużenia i podwyższenia akredytyw rozliczane są metodą liniową.</w:t>
      </w:r>
    </w:p>
    <w:p w14:paraId="50235E2F"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Prowizje i opłaty pobierane przez Grupę z tytułu operacji gotówkowych, prowadzenia rachunków klientów, realizacji przekazów oraz z tytułu działalności maklerskiej rozpoznawane są w rachunku zysków i strat jednorazowo.</w:t>
      </w:r>
    </w:p>
    <w:p w14:paraId="77E122BD" w14:textId="2B5EE89A"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Dodatkowo przychody z tytułu opłat i prowizji obejmują przychody z tytułu opłaty pobieranej od produktów ubezpieczeniowych sprzedawanych poprzez platformę internetową za rozłożenie składki na raty. Opłata za</w:t>
      </w:r>
      <w:r w:rsidR="00393FFA">
        <w:rPr>
          <w:rFonts w:cs="Tahoma"/>
          <w:color w:val="000000" w:themeColor="text1"/>
          <w:sz w:val="18"/>
          <w:szCs w:val="18"/>
        </w:rPr>
        <w:t> </w:t>
      </w:r>
      <w:r w:rsidRPr="00977E53">
        <w:rPr>
          <w:rFonts w:cs="Tahoma"/>
          <w:color w:val="000000" w:themeColor="text1"/>
          <w:sz w:val="18"/>
          <w:szCs w:val="18"/>
        </w:rPr>
        <w:t xml:space="preserve">rozłożenie składki na raty jest rozliczana w czasie zgodnie z okresem trwania polisy. </w:t>
      </w:r>
    </w:p>
    <w:p w14:paraId="12FE9B8F"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Do wyniku z tytułu opłat i prowizji Grupa zalicza także wynagrodzenie uzyskane z tytułu oferowania produktów ubezpieczeniowych podmiotów trzecich. W przypadku sprzedaży produktów ubezpieczeniowych, które nie są powiązane z produktami kredytowymi, przychody te są rozpoznawane jednorazowo lub, w przeważającej większości przypadków, rozliczane na bazie miesięcznej.</w:t>
      </w:r>
    </w:p>
    <w:p w14:paraId="0AA1E648" w14:textId="77777777" w:rsidR="003B2A46" w:rsidRPr="00352696" w:rsidRDefault="003B2A46" w:rsidP="003B2A46">
      <w:pPr>
        <w:jc w:val="both"/>
        <w:rPr>
          <w:rFonts w:cs="Tahoma"/>
          <w:color w:val="201C17"/>
          <w:sz w:val="18"/>
          <w:szCs w:val="18"/>
        </w:rPr>
      </w:pPr>
    </w:p>
    <w:p w14:paraId="79E1AD6E" w14:textId="77777777" w:rsidR="00C15FD3" w:rsidRPr="009C7E7B" w:rsidRDefault="00C15FD3" w:rsidP="00C15FD3">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5" w:name="_Toc32999793"/>
      <w:r>
        <w:rPr>
          <w:b/>
          <w:color w:val="E41E0A"/>
          <w:sz w:val="18"/>
          <w:szCs w:val="18"/>
        </w:rPr>
        <w:t>Przychody i koszty z tytułu sprzedaży produktów ubezpieczeniowych powiązanych z kredytami</w:t>
      </w:r>
      <w:bookmarkEnd w:id="25"/>
    </w:p>
    <w:p w14:paraId="180572C5"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Grupa traktuje sprzedawane produkty ubezpieczeniowe jako powiązane z kredytami w szczególności, gdy produkt ubezpieczeniowy jest oferowany klientowi wyłącznie z kredytem, tj. nie ma możliwości zakupu w Grupie produktu ubezpieczeniowego identycznego co do formy prawnej, warunków i treści ekonomicznej bez zakupu kredytu.</w:t>
      </w:r>
    </w:p>
    <w:p w14:paraId="2410A810"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Przychody z tytułu sprzedaży produktów ubezpieczeniowych powiązanych z kredytami ujmuje się częściowo w przychodach odsetkowych, a częściowo w przychodach prowizyjnych w oparciu o analizę relatywnej wartości godziwej każdego z tych produktów. </w:t>
      </w:r>
    </w:p>
    <w:p w14:paraId="2E0C4601" w14:textId="021282BA"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Wynagrodzenie zaliczane do przychodów odsetkowych rozliczane jest w czasie w ramach kalkulacji efektywnej stopy procentowej dla powiązanego kredytu. Wynagrodzenie ujmowane w przychodach z tytułu </w:t>
      </w:r>
      <w:r w:rsidRPr="00977E53">
        <w:rPr>
          <w:rFonts w:cs="Tahoma"/>
          <w:color w:val="000000" w:themeColor="text1"/>
          <w:sz w:val="18"/>
          <w:szCs w:val="18"/>
        </w:rPr>
        <w:lastRenderedPageBreak/>
        <w:t>prowizji ujmowane jest częściowo jednorazowo, a częściowo jest liniowo rozkładane w czasie na podstawie analizy stopnia zaawansowania usługi</w:t>
      </w:r>
      <w:r w:rsidR="00001380">
        <w:rPr>
          <w:rFonts w:cs="Tahoma"/>
          <w:color w:val="000000" w:themeColor="text1"/>
          <w:sz w:val="18"/>
          <w:szCs w:val="18"/>
        </w:rPr>
        <w:t>, zgodnie z modelem 5-ciu kroków opisanym powyżej.</w:t>
      </w:r>
      <w:r w:rsidRPr="00977E53">
        <w:rPr>
          <w:rFonts w:cs="Tahoma"/>
          <w:color w:val="000000" w:themeColor="text1"/>
          <w:sz w:val="18"/>
          <w:szCs w:val="18"/>
        </w:rPr>
        <w:t xml:space="preserve"> </w:t>
      </w:r>
    </w:p>
    <w:p w14:paraId="27E66630" w14:textId="0ADA311A"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Koszty bezpośrednio związane ze sprzedażą produktu ubezpieczeniowego są rozliczane w analogiczny sposób do rozliczania przychodów, z zachowaniem zasady współmierności przychodów i kosztów. Część</w:t>
      </w:r>
      <w:r w:rsidR="00F44E6A">
        <w:rPr>
          <w:rFonts w:cs="Tahoma"/>
          <w:color w:val="000000" w:themeColor="text1"/>
          <w:sz w:val="18"/>
          <w:szCs w:val="18"/>
        </w:rPr>
        <w:t> </w:t>
      </w:r>
      <w:r w:rsidRPr="00977E53">
        <w:rPr>
          <w:rFonts w:cs="Tahoma"/>
          <w:color w:val="000000" w:themeColor="text1"/>
          <w:sz w:val="18"/>
          <w:szCs w:val="18"/>
        </w:rPr>
        <w:t xml:space="preserve">kosztów jest traktowana jako element korygujący wyliczenie przychodów odsetkowych przy użyciu efektywnej stopy procentowej, a pozostała część tych kosztów rozpoznawana jest jednorazowo lub jest rozliczana czasie w ramach kosztów prowizyjnych. </w:t>
      </w:r>
    </w:p>
    <w:p w14:paraId="4CEB0066"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Grupa dokonuje również szacunku wynagrodzenia, które będzie w przyszłości zwracane z tytułu wcześniejszego zakończenia umowy ubezpieczeniowej i odpowiednio pomniejsza rozpoznawane przychody odsetkowe lub prowizyjne.</w:t>
      </w:r>
    </w:p>
    <w:p w14:paraId="6E7B3566" w14:textId="61D20A0D"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związku z wejściem w życie Rekomendacji U dotyczącej dobrych praktyk w zakresie bancassurance, pocz</w:t>
      </w:r>
      <w:r w:rsidR="007B6990">
        <w:rPr>
          <w:rFonts w:cs="Tahoma"/>
          <w:color w:val="000000" w:themeColor="text1"/>
          <w:sz w:val="18"/>
          <w:szCs w:val="18"/>
        </w:rPr>
        <w:t>ąwszy od 31 marca 2015 roku Grupa</w:t>
      </w:r>
      <w:r w:rsidRPr="00977E53">
        <w:rPr>
          <w:rFonts w:cs="Tahoma"/>
          <w:color w:val="000000" w:themeColor="text1"/>
          <w:sz w:val="18"/>
          <w:szCs w:val="18"/>
        </w:rPr>
        <w:t xml:space="preserve"> nie otrzymuje wynagrodzenia z tytułu sprzedaży produktów ubezpieczeniowych, które byłyby traktowane jako produkty powiązane z kredytami.</w:t>
      </w:r>
    </w:p>
    <w:p w14:paraId="7C0FCF72" w14:textId="77777777" w:rsidR="00147D87" w:rsidRPr="00795599" w:rsidRDefault="00147D87" w:rsidP="00147D87">
      <w:pPr>
        <w:jc w:val="both"/>
        <w:rPr>
          <w:rFonts w:cs="Tahoma"/>
          <w:sz w:val="18"/>
          <w:szCs w:val="18"/>
        </w:rPr>
      </w:pPr>
    </w:p>
    <w:p w14:paraId="7E667978" w14:textId="77777777" w:rsidR="000861AA" w:rsidRPr="009C7E7B" w:rsidRDefault="000861AA"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6" w:name="_Toc32999794"/>
      <w:r>
        <w:rPr>
          <w:b/>
          <w:color w:val="E41E0A"/>
          <w:sz w:val="18"/>
          <w:szCs w:val="18"/>
        </w:rPr>
        <w:t>Sprawozdawczość dotycząca segmentów</w:t>
      </w:r>
      <w:bookmarkEnd w:id="26"/>
    </w:p>
    <w:p w14:paraId="787C24AF" w14:textId="7D605CB3"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Segment operacyjny jest częścią składową Grupy, która angażuje się w działalność gospodarczą, w związku z którą może uzyskiwać przychody i ponosić koszty (w tym przychody i koszty związane z transakcjami z innymi częściami składowymi Grupy), oraz której wyniki działalności są regularnie przeglądane przez główny organ odpowiedzialny za podejmowanie decyzji operacyjnych w Grupie oraz wykorzystujący te</w:t>
      </w:r>
      <w:r w:rsidR="002A607B">
        <w:rPr>
          <w:rFonts w:cs="Tahoma"/>
          <w:color w:val="000000" w:themeColor="text1"/>
          <w:sz w:val="18"/>
          <w:szCs w:val="18"/>
        </w:rPr>
        <w:t> </w:t>
      </w:r>
      <w:r w:rsidRPr="00977E53">
        <w:rPr>
          <w:rFonts w:cs="Tahoma"/>
          <w:color w:val="000000" w:themeColor="text1"/>
          <w:sz w:val="18"/>
          <w:szCs w:val="18"/>
        </w:rPr>
        <w:t xml:space="preserve">wyniki przy podejmowaniu decyzji o zasobach alokowanych do segmentu i przy ocenie wyników działalności segmentu, jak również w przypadku której są dostępne oddzielne informacje finansowe. </w:t>
      </w:r>
    </w:p>
    <w:p w14:paraId="4D984D1A" w14:textId="5A39EBA6"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Sprawozdawczość segmentów działalności jest przedstawiana na tej samej podstawie, co zastosowana do</w:t>
      </w:r>
      <w:r w:rsidR="002A607B">
        <w:rPr>
          <w:rFonts w:cs="Tahoma"/>
          <w:color w:val="000000" w:themeColor="text1"/>
          <w:sz w:val="18"/>
          <w:szCs w:val="18"/>
        </w:rPr>
        <w:t> </w:t>
      </w:r>
      <w:r w:rsidRPr="00977E53">
        <w:rPr>
          <w:rFonts w:cs="Tahoma"/>
          <w:color w:val="000000" w:themeColor="text1"/>
          <w:sz w:val="18"/>
          <w:szCs w:val="18"/>
        </w:rPr>
        <w:t>celów sprawozdawczości wewnętrznej (kierownictwa). Kierownictwo oznacza funkcję, która polega na</w:t>
      </w:r>
      <w:r w:rsidR="002A607B">
        <w:rPr>
          <w:rFonts w:cs="Tahoma"/>
          <w:color w:val="000000" w:themeColor="text1"/>
          <w:sz w:val="18"/>
          <w:szCs w:val="18"/>
        </w:rPr>
        <w:t> </w:t>
      </w:r>
      <w:r w:rsidRPr="00977E53">
        <w:rPr>
          <w:rFonts w:cs="Tahoma"/>
          <w:color w:val="000000" w:themeColor="text1"/>
          <w:sz w:val="18"/>
          <w:szCs w:val="18"/>
        </w:rPr>
        <w:t>alokacji zasobów do segmentów działalności i przeprowadzaniu oceny ich wyników. Grupa przyjęła, iż</w:t>
      </w:r>
      <w:r w:rsidR="002A607B">
        <w:rPr>
          <w:rFonts w:cs="Tahoma"/>
          <w:color w:val="000000" w:themeColor="text1"/>
          <w:sz w:val="18"/>
          <w:szCs w:val="18"/>
        </w:rPr>
        <w:t> </w:t>
      </w:r>
      <w:r w:rsidRPr="00977E53">
        <w:rPr>
          <w:rFonts w:cs="Tahoma"/>
          <w:color w:val="000000" w:themeColor="text1"/>
          <w:sz w:val="18"/>
          <w:szCs w:val="18"/>
        </w:rPr>
        <w:t xml:space="preserve">rolę „kierownictwa” zgodnie z definicją MSSF 8 pełni Zarząd Banku. </w:t>
      </w:r>
    </w:p>
    <w:p w14:paraId="66D2BE47"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Zgodnie z MSSF 8 Grupa wyodrębniła następujące segmenty operacyjne: „Korporacje i Rynki Finansowe”, w skład którego wchodzą podsegmenty Bankowość Korporacyjna i Inwestycyjna oraz Rynki Finansowe, „Bankowość Detaliczna” (w tym private banking) oraz „Pozostałe”.</w:t>
      </w:r>
    </w:p>
    <w:p w14:paraId="48A883FB" w14:textId="77777777" w:rsidR="007A4F1D" w:rsidRPr="00C12AFA" w:rsidRDefault="007A4F1D" w:rsidP="000861AA">
      <w:pPr>
        <w:jc w:val="both"/>
        <w:rPr>
          <w:rFonts w:cs="Tahoma"/>
          <w:sz w:val="18"/>
          <w:szCs w:val="18"/>
        </w:rPr>
      </w:pPr>
    </w:p>
    <w:p w14:paraId="03DC1C6A" w14:textId="77777777" w:rsidR="000861AA" w:rsidRPr="009C7E7B" w:rsidRDefault="000861AA"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7" w:name="_Toc32999795"/>
      <w:r>
        <w:rPr>
          <w:b/>
          <w:color w:val="E41E0A"/>
          <w:sz w:val="18"/>
          <w:szCs w:val="18"/>
        </w:rPr>
        <w:t>Aktywa finansowe</w:t>
      </w:r>
      <w:bookmarkEnd w:id="27"/>
    </w:p>
    <w:p w14:paraId="65EFCC7D" w14:textId="5762D250"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Grupa klasyfikuje swoje aktywa finansowe do następujących kategorii: aktywa finansowe wyceniane w wartości godziwej przez rachunek zysków i strat, aktywa finansowe wyceniane w wartości godziwej przez inne całkowite dochody z możliwością reklasyfikacji zysków i strat na instrumencie do rachunku zysków i</w:t>
      </w:r>
      <w:r w:rsidR="00251D21" w:rsidRPr="00977E53">
        <w:rPr>
          <w:rFonts w:cs="Tahoma"/>
          <w:color w:val="000000" w:themeColor="text1"/>
          <w:sz w:val="18"/>
          <w:szCs w:val="18"/>
        </w:rPr>
        <w:t> </w:t>
      </w:r>
      <w:r w:rsidRPr="00977E53">
        <w:rPr>
          <w:rFonts w:cs="Tahoma"/>
          <w:color w:val="000000" w:themeColor="text1"/>
          <w:sz w:val="18"/>
          <w:szCs w:val="18"/>
        </w:rPr>
        <w:t>strat w momencie zaprzestania ujmowania aktywa, aktywa finansowe wyceniane w wartości godziwej przez inne całkowite dochody bez możliwości reklasyfikacji zysków i strat na instrumencie do rachunku zysków i strat w momencie zaprzestania ujmowania aktywa, oraz aktywa finansowe wyceniane w</w:t>
      </w:r>
      <w:r w:rsidR="00251D21" w:rsidRPr="00977E53">
        <w:rPr>
          <w:rFonts w:cs="Tahoma"/>
          <w:color w:val="000000" w:themeColor="text1"/>
          <w:sz w:val="18"/>
          <w:szCs w:val="18"/>
        </w:rPr>
        <w:t> </w:t>
      </w:r>
      <w:r w:rsidRPr="00977E53">
        <w:rPr>
          <w:rFonts w:cs="Tahoma"/>
          <w:color w:val="000000" w:themeColor="text1"/>
          <w:sz w:val="18"/>
          <w:szCs w:val="18"/>
        </w:rPr>
        <w:t>zamortyzowanym koszcie. Zaliczenie dłużnego składnika aktywów finansowych do jednej z kategorii odbywa się w momencie jego początkowego ujęcia na podstawie modelu biznesowego Banku w zakresie zarządzania aktywami finansowymi oraz charakterystyki wynikających z umowy przepływów pieniężnych składnika aktywów finansowych. Kapitałowy składnik aktywów finansowych zalicza się do kategorii aktywów finansowych wycenianych w wartości godziwej przez rachunek zysków i strat chyba, że</w:t>
      </w:r>
      <w:r w:rsidR="00264754">
        <w:rPr>
          <w:rFonts w:cs="Tahoma"/>
          <w:color w:val="000000" w:themeColor="text1"/>
          <w:sz w:val="18"/>
          <w:szCs w:val="18"/>
        </w:rPr>
        <w:t> </w:t>
      </w:r>
      <w:r w:rsidRPr="00977E53">
        <w:rPr>
          <w:rFonts w:cs="Tahoma"/>
          <w:color w:val="000000" w:themeColor="text1"/>
          <w:sz w:val="18"/>
          <w:szCs w:val="18"/>
        </w:rPr>
        <w:t>w</w:t>
      </w:r>
      <w:r w:rsidR="00251D21" w:rsidRPr="00977E53">
        <w:rPr>
          <w:rFonts w:cs="Tahoma"/>
          <w:color w:val="000000" w:themeColor="text1"/>
          <w:sz w:val="18"/>
          <w:szCs w:val="18"/>
        </w:rPr>
        <w:t> </w:t>
      </w:r>
      <w:r w:rsidRPr="00977E53">
        <w:rPr>
          <w:rFonts w:cs="Tahoma"/>
          <w:color w:val="000000" w:themeColor="text1"/>
          <w:sz w:val="18"/>
          <w:szCs w:val="18"/>
        </w:rPr>
        <w:t>momencie początkowego ujęcia Grupa dokonała nieodwołalnego wyboru odnośnie określonych inwestycji w instrumenty kapitałowe, aby ujmować późniejsze zmiany wartości godziwej przez pozostałe całkowite dochody.</w:t>
      </w:r>
    </w:p>
    <w:p w14:paraId="3B84C149" w14:textId="589A0BA4"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Standaryzowane transakcje zakupu i sprzedaży aktywów finansowych wycenianych w wartości godziwej przez rachunek zysków i strat</w:t>
      </w:r>
      <w:r w:rsidRPr="00977E53">
        <w:rPr>
          <w:color w:val="000000" w:themeColor="text1"/>
        </w:rPr>
        <w:t xml:space="preserve"> </w:t>
      </w:r>
      <w:r w:rsidRPr="00977E53">
        <w:rPr>
          <w:rFonts w:cs="Tahoma"/>
          <w:color w:val="000000" w:themeColor="text1"/>
          <w:sz w:val="18"/>
          <w:szCs w:val="18"/>
        </w:rPr>
        <w:t>i wycenianych w wartości godziwej przez inne całkowite dochody ujmuje się</w:t>
      </w:r>
      <w:r w:rsidR="00264754">
        <w:rPr>
          <w:rFonts w:cs="Tahoma"/>
          <w:color w:val="000000" w:themeColor="text1"/>
          <w:sz w:val="18"/>
          <w:szCs w:val="18"/>
        </w:rPr>
        <w:t> </w:t>
      </w:r>
      <w:r w:rsidRPr="00977E53">
        <w:rPr>
          <w:rFonts w:cs="Tahoma"/>
          <w:color w:val="000000" w:themeColor="text1"/>
          <w:sz w:val="18"/>
          <w:szCs w:val="18"/>
        </w:rPr>
        <w:t xml:space="preserve">na dzień rozliczenia transakcji - dzień, w którym Grupa dostarcza lub otrzymuje dany składnik aktywów. Zmiany w wartości godziwej pomiędzy datą zawarcia transakcji a datą jej rozliczenia w przypadku aktywów wycenianych w wartości godziwej ujmuje się w rachunku zysków i strat lub w innych pozycjach kapitału </w:t>
      </w:r>
      <w:r w:rsidRPr="00F1089E">
        <w:rPr>
          <w:rFonts w:cs="Tahoma"/>
          <w:color w:val="000000" w:themeColor="text1"/>
          <w:sz w:val="18"/>
          <w:szCs w:val="18"/>
        </w:rPr>
        <w:t xml:space="preserve">własnego. Kredyty wykazywane są w momencie </w:t>
      </w:r>
      <w:r w:rsidR="00B12A8A" w:rsidRPr="00F1089E">
        <w:rPr>
          <w:rFonts w:cs="Tahoma"/>
          <w:color w:val="000000" w:themeColor="text1"/>
          <w:sz w:val="18"/>
          <w:szCs w:val="18"/>
        </w:rPr>
        <w:t>wypłaty lub udostępnienia środków na rachunek</w:t>
      </w:r>
      <w:r w:rsidRPr="00F1089E">
        <w:rPr>
          <w:rFonts w:cs="Tahoma"/>
          <w:color w:val="000000" w:themeColor="text1"/>
          <w:sz w:val="18"/>
          <w:szCs w:val="18"/>
        </w:rPr>
        <w:t xml:space="preserve"> kredytobiorcy. Pochodne instrumenty finansowe są ujmowane począwszy od dnia zawarcia transakcji.</w:t>
      </w:r>
    </w:p>
    <w:p w14:paraId="6EF7DA3E"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Składnik aktywów finansowych zostaje usunięty z bilansu, gdy Grupa traci kontrolę nad prawami umownymi składającymi się na dany instrument finansowy; zazwyczaj ma to miejsce w przypadku sprzedaży instrumentu lub gdy wszystkie przepływy środków pieniężnych przypisane danemu instrumentowi przechodzą na niezależną stronę trzecią.</w:t>
      </w:r>
    </w:p>
    <w:p w14:paraId="357C7CBA" w14:textId="40482F62" w:rsidR="00BC6B0E" w:rsidRPr="00977E53" w:rsidRDefault="00B12A8A" w:rsidP="00BC6B0E">
      <w:pPr>
        <w:suppressAutoHyphens/>
        <w:spacing w:before="120" w:after="120"/>
        <w:jc w:val="both"/>
        <w:rPr>
          <w:rFonts w:cs="Tahoma"/>
          <w:color w:val="000000" w:themeColor="text1"/>
          <w:sz w:val="18"/>
          <w:szCs w:val="18"/>
          <w:u w:val="single"/>
        </w:rPr>
      </w:pPr>
      <w:r w:rsidRPr="00977E53">
        <w:rPr>
          <w:rFonts w:cs="Tahoma"/>
          <w:color w:val="000000" w:themeColor="text1"/>
          <w:sz w:val="18"/>
          <w:szCs w:val="18"/>
          <w:u w:val="single"/>
        </w:rPr>
        <w:t>Aktywa</w:t>
      </w:r>
      <w:r w:rsidR="00BC6B0E" w:rsidRPr="00977E53">
        <w:rPr>
          <w:rFonts w:cs="Tahoma"/>
          <w:color w:val="000000" w:themeColor="text1"/>
          <w:sz w:val="18"/>
          <w:szCs w:val="18"/>
          <w:u w:val="single"/>
        </w:rPr>
        <w:t xml:space="preserve"> finansowe wyceniane w wartości godziwej przez rachunek zysków i strat</w:t>
      </w:r>
    </w:p>
    <w:p w14:paraId="03C9BD52" w14:textId="77777777"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 xml:space="preserve">Składnik aktywów finansowych wycenia się w wartości godziwej przez wynik finansowy chyba, że jest wyceniany w zamortyzowanym koszcie lub w wartości godziwej przez inne całkowite dochody. </w:t>
      </w:r>
    </w:p>
    <w:p w14:paraId="6D70ACC8" w14:textId="77777777"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lastRenderedPageBreak/>
        <w:t>Rozchód dłużnych i kapitałowych papierów wartościowych przeznaczonych do obrotu następuje według średniej ważonej metody rozchodu.</w:t>
      </w:r>
    </w:p>
    <w:p w14:paraId="16A16520" w14:textId="3768309F"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Grupa dokonuje nieodwołalnej klasyfikacji do aktywów finansowych wycenianych w wartości godziwej przez rachunek zysków i strat w momencie początkowego ujęcia, gdy klasyfikacja taka prowadzi do</w:t>
      </w:r>
      <w:r w:rsidR="007C6CF1">
        <w:rPr>
          <w:rFonts w:cs="Tahoma"/>
          <w:color w:val="000000" w:themeColor="text1"/>
          <w:sz w:val="18"/>
          <w:szCs w:val="18"/>
        </w:rPr>
        <w:t> </w:t>
      </w:r>
      <w:r w:rsidRPr="00977E53">
        <w:rPr>
          <w:rFonts w:cs="Tahoma"/>
          <w:color w:val="000000" w:themeColor="text1"/>
          <w:sz w:val="18"/>
          <w:szCs w:val="18"/>
        </w:rPr>
        <w:t>uzyskania bardziej przydatnych informacji, gdyż:</w:t>
      </w:r>
    </w:p>
    <w:p w14:paraId="48B148D4" w14:textId="77777777" w:rsidR="00BC6B0E" w:rsidRPr="00977E53" w:rsidRDefault="00BC6B0E" w:rsidP="00526DF1">
      <w:pPr>
        <w:numPr>
          <w:ilvl w:val="0"/>
          <w:numId w:val="54"/>
        </w:numPr>
        <w:suppressAutoHyphens/>
        <w:spacing w:before="120" w:after="120"/>
        <w:ind w:left="426" w:hanging="426"/>
        <w:jc w:val="both"/>
        <w:rPr>
          <w:rFonts w:cs="Tahoma"/>
          <w:color w:val="000000" w:themeColor="text1"/>
          <w:sz w:val="18"/>
          <w:szCs w:val="18"/>
        </w:rPr>
      </w:pPr>
      <w:r w:rsidRPr="00977E53">
        <w:rPr>
          <w:rFonts w:cs="Tahoma"/>
          <w:color w:val="000000" w:themeColor="text1"/>
          <w:sz w:val="18"/>
          <w:szCs w:val="18"/>
        </w:rPr>
        <w:t>eliminuje lub znacząco zmniejsza niespójność w zakresie wyceny lub ujmowania (określaną czasami jako "niedopasowanie księgowe"), która w przeciwnym razie powstałaby z powodu innego sposobu wyceny aktywów lub zobowiązań bądź innego ujęcia związanych z nimi zysków i strat, lub</w:t>
      </w:r>
    </w:p>
    <w:p w14:paraId="5443BC70" w14:textId="77777777" w:rsidR="00BC6B0E" w:rsidRPr="00977E53" w:rsidRDefault="00BC6B0E" w:rsidP="00526DF1">
      <w:pPr>
        <w:numPr>
          <w:ilvl w:val="0"/>
          <w:numId w:val="54"/>
        </w:numPr>
        <w:suppressAutoHyphens/>
        <w:spacing w:before="120" w:after="120"/>
        <w:ind w:left="426" w:hanging="426"/>
        <w:jc w:val="both"/>
        <w:rPr>
          <w:rFonts w:cs="Tahoma"/>
          <w:color w:val="000000" w:themeColor="text1"/>
          <w:sz w:val="18"/>
          <w:szCs w:val="18"/>
        </w:rPr>
      </w:pPr>
      <w:r w:rsidRPr="00977E53">
        <w:rPr>
          <w:rFonts w:cs="Tahoma"/>
          <w:color w:val="000000" w:themeColor="text1"/>
          <w:sz w:val="18"/>
          <w:szCs w:val="18"/>
        </w:rPr>
        <w:t>grupa aktywów finansowych, zobowiązań finansowych lub obu tych kategorii jest zarządzana, a jej wyniki oceniane w oparciu o wartość godziwą, zgodnie z udokumentowanymi zasadami zarządzania ryzykiem lub strategią inwestycyjną, natomiast informacje na temat grupy są na tej podstawie przekazywane wewnątrz jednostki kluczowym członkom kierownictwa.</w:t>
      </w:r>
    </w:p>
    <w:p w14:paraId="45A10335" w14:textId="00CD1018"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W prezentowanych w niniejszym sprawo</w:t>
      </w:r>
      <w:r w:rsidR="00004848">
        <w:rPr>
          <w:rFonts w:cs="Tahoma"/>
          <w:color w:val="000000" w:themeColor="text1"/>
          <w:sz w:val="18"/>
          <w:szCs w:val="18"/>
        </w:rPr>
        <w:t>zdaniu okresach sprawozdawczych</w:t>
      </w:r>
      <w:r w:rsidRPr="00977E53">
        <w:rPr>
          <w:rFonts w:cs="Tahoma"/>
          <w:color w:val="000000" w:themeColor="text1"/>
          <w:sz w:val="18"/>
          <w:szCs w:val="18"/>
        </w:rPr>
        <w:t xml:space="preserve"> Grupa nie wyznaczyła żadnych instrumentów finansowych w momencie ich początkowego ujęcia jako aktywa finansowe wyceniane w wartości godziwej przez rachunek zysków i strat</w:t>
      </w:r>
      <w:r w:rsidR="00D975BD" w:rsidRPr="00977E53">
        <w:rPr>
          <w:rFonts w:cs="Tahoma"/>
          <w:color w:val="000000" w:themeColor="text1"/>
          <w:sz w:val="18"/>
          <w:szCs w:val="18"/>
        </w:rPr>
        <w:t xml:space="preserve"> celem zmniejszenia niedopasowania księgowego</w:t>
      </w:r>
      <w:r w:rsidRPr="00977E53">
        <w:rPr>
          <w:rFonts w:cs="Tahoma"/>
          <w:color w:val="000000" w:themeColor="text1"/>
          <w:sz w:val="18"/>
          <w:szCs w:val="18"/>
        </w:rPr>
        <w:t>.</w:t>
      </w:r>
    </w:p>
    <w:p w14:paraId="4D04DF05" w14:textId="1CAE4ED8"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W momencie początkowego ujęcia aktywa zaklasyfikowane do tej kategorii wyceniane są w wartości godziwej.</w:t>
      </w:r>
    </w:p>
    <w:p w14:paraId="3A6D7776" w14:textId="77777777" w:rsidR="00B12A8A" w:rsidRPr="00F1089E" w:rsidRDefault="00B12A8A" w:rsidP="00B12A8A">
      <w:pPr>
        <w:suppressAutoHyphens/>
        <w:spacing w:before="80" w:after="120"/>
        <w:jc w:val="both"/>
        <w:rPr>
          <w:rFonts w:cs="Tahoma"/>
          <w:noProof/>
          <w:color w:val="000000" w:themeColor="text1"/>
          <w:sz w:val="18"/>
          <w:szCs w:val="18"/>
          <w:lang w:eastAsia="x-none"/>
        </w:rPr>
      </w:pPr>
      <w:r w:rsidRPr="00F1089E">
        <w:rPr>
          <w:rFonts w:cs="Tahoma"/>
          <w:noProof/>
          <w:color w:val="000000" w:themeColor="text1"/>
          <w:sz w:val="18"/>
          <w:szCs w:val="18"/>
          <w:lang w:eastAsia="x-none"/>
        </w:rPr>
        <w:t>Po początkowym ujęciu aktywa finansowe zaklasyfikowane do tej kategorii wyceniane są na koniec okresu sprawozdawczego według wartości godziwej.</w:t>
      </w:r>
    </w:p>
    <w:p w14:paraId="148CC79B" w14:textId="77777777" w:rsidR="00B12A8A" w:rsidRPr="00977E53" w:rsidRDefault="00B12A8A" w:rsidP="00B12A8A">
      <w:pPr>
        <w:suppressAutoHyphens/>
        <w:spacing w:before="80" w:after="120"/>
        <w:jc w:val="both"/>
        <w:rPr>
          <w:rFonts w:cs="Tahoma"/>
          <w:noProof/>
          <w:color w:val="000000" w:themeColor="text1"/>
          <w:sz w:val="18"/>
          <w:szCs w:val="18"/>
          <w:lang w:eastAsia="x-none"/>
        </w:rPr>
      </w:pPr>
      <w:r w:rsidRPr="00F1089E">
        <w:rPr>
          <w:rFonts w:cs="Tahoma"/>
          <w:noProof/>
          <w:color w:val="000000" w:themeColor="text1"/>
          <w:sz w:val="18"/>
          <w:szCs w:val="18"/>
          <w:lang w:eastAsia="x-none"/>
        </w:rPr>
        <w:t>Zyski i straty wynikające ze zmian wartości godziwej aktywów finansowych wycenianych w wartości godziwej przez rachunek zysków i strat są wykazywane w rachunku zysków i strat w okresie, w którym powstały.</w:t>
      </w:r>
    </w:p>
    <w:p w14:paraId="4EECA9B1" w14:textId="080D2CBE" w:rsidR="00BC6B0E" w:rsidRPr="00977E53" w:rsidRDefault="00B12A8A"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Przychody</w:t>
      </w:r>
      <w:r w:rsidR="00BC6B0E" w:rsidRPr="00977E53">
        <w:rPr>
          <w:rFonts w:cs="Tahoma"/>
          <w:color w:val="000000" w:themeColor="text1"/>
          <w:sz w:val="18"/>
          <w:szCs w:val="18"/>
        </w:rPr>
        <w:t xml:space="preserve"> z tytułu</w:t>
      </w:r>
      <w:r w:rsidRPr="00977E53">
        <w:rPr>
          <w:rFonts w:cs="Tahoma"/>
          <w:color w:val="000000" w:themeColor="text1"/>
          <w:sz w:val="18"/>
          <w:szCs w:val="18"/>
        </w:rPr>
        <w:t xml:space="preserve"> odsetek od aktywów finansowych</w:t>
      </w:r>
      <w:r w:rsidR="00BC6B0E" w:rsidRPr="00977E53">
        <w:rPr>
          <w:rFonts w:cs="Tahoma"/>
          <w:color w:val="000000" w:themeColor="text1"/>
          <w:sz w:val="18"/>
          <w:szCs w:val="18"/>
        </w:rPr>
        <w:t xml:space="preserve"> wycenianych w wartości godziwej (Nota 2.4), za</w:t>
      </w:r>
      <w:r w:rsidR="00E70E5F">
        <w:rPr>
          <w:rFonts w:cs="Tahoma"/>
          <w:color w:val="000000" w:themeColor="text1"/>
          <w:sz w:val="18"/>
          <w:szCs w:val="18"/>
        </w:rPr>
        <w:t> </w:t>
      </w:r>
      <w:r w:rsidR="00BC6B0E" w:rsidRPr="00977E53">
        <w:rPr>
          <w:rFonts w:cs="Tahoma"/>
          <w:color w:val="000000" w:themeColor="text1"/>
          <w:sz w:val="18"/>
          <w:szCs w:val="18"/>
        </w:rPr>
        <w:t xml:space="preserve">wyjątkiem instrumentów pochodnych, których sposób </w:t>
      </w:r>
      <w:r w:rsidR="00034CDC">
        <w:rPr>
          <w:rFonts w:cs="Tahoma"/>
          <w:color w:val="000000" w:themeColor="text1"/>
          <w:sz w:val="18"/>
          <w:szCs w:val="18"/>
        </w:rPr>
        <w:t>ujęcia jest opisany w Nocie 2.13</w:t>
      </w:r>
      <w:r w:rsidR="00BC6B0E" w:rsidRPr="00977E53">
        <w:rPr>
          <w:rFonts w:cs="Tahoma"/>
          <w:color w:val="000000" w:themeColor="text1"/>
          <w:sz w:val="18"/>
          <w:szCs w:val="18"/>
        </w:rPr>
        <w:t>, ujmuje się</w:t>
      </w:r>
      <w:r w:rsidR="00E70E5F">
        <w:rPr>
          <w:rFonts w:cs="Tahoma"/>
          <w:color w:val="000000" w:themeColor="text1"/>
          <w:sz w:val="18"/>
          <w:szCs w:val="18"/>
        </w:rPr>
        <w:t> </w:t>
      </w:r>
      <w:r w:rsidR="00BC6B0E" w:rsidRPr="00977E53">
        <w:rPr>
          <w:rFonts w:cs="Tahoma"/>
          <w:color w:val="000000" w:themeColor="text1"/>
          <w:sz w:val="18"/>
          <w:szCs w:val="18"/>
        </w:rPr>
        <w:t>w</w:t>
      </w:r>
      <w:r w:rsidR="00E70E5F">
        <w:rPr>
          <w:rFonts w:cs="Tahoma"/>
          <w:color w:val="000000" w:themeColor="text1"/>
          <w:sz w:val="18"/>
          <w:szCs w:val="18"/>
        </w:rPr>
        <w:t> </w:t>
      </w:r>
      <w:r w:rsidR="00BC6B0E" w:rsidRPr="00977E53">
        <w:rPr>
          <w:rFonts w:cs="Tahoma"/>
          <w:color w:val="000000" w:themeColor="text1"/>
          <w:sz w:val="18"/>
          <w:szCs w:val="18"/>
        </w:rPr>
        <w:t>wyniku z tytułu odsetek. Wycena i wynik z</w:t>
      </w:r>
      <w:r w:rsidRPr="00977E53">
        <w:rPr>
          <w:rFonts w:cs="Tahoma"/>
          <w:color w:val="000000" w:themeColor="text1"/>
          <w:sz w:val="18"/>
          <w:szCs w:val="18"/>
        </w:rPr>
        <w:t>e sprzedaży aktywów finansowych</w:t>
      </w:r>
      <w:r w:rsidR="00BC6B0E" w:rsidRPr="00977E53">
        <w:rPr>
          <w:rFonts w:cs="Tahoma"/>
          <w:color w:val="000000" w:themeColor="text1"/>
          <w:sz w:val="18"/>
          <w:szCs w:val="18"/>
        </w:rPr>
        <w:t xml:space="preserve"> wycenianych w wartości godziwej przez wynik finansowy ujęte są w</w:t>
      </w:r>
      <w:r w:rsidR="00251D21" w:rsidRPr="00977E53">
        <w:rPr>
          <w:rFonts w:cs="Tahoma"/>
          <w:color w:val="000000" w:themeColor="text1"/>
          <w:sz w:val="18"/>
          <w:szCs w:val="18"/>
        </w:rPr>
        <w:t> </w:t>
      </w:r>
      <w:r w:rsidR="00BC6B0E" w:rsidRPr="00977E53">
        <w:rPr>
          <w:rFonts w:cs="Tahoma"/>
          <w:color w:val="000000" w:themeColor="text1"/>
          <w:sz w:val="18"/>
          <w:szCs w:val="18"/>
        </w:rPr>
        <w:t xml:space="preserve">wyniku na działalności handlowej jeśli dotyczą aktywów przeznaczonych </w:t>
      </w:r>
      <w:r w:rsidR="009C6BF1">
        <w:rPr>
          <w:rFonts w:cs="Tahoma"/>
          <w:color w:val="000000" w:themeColor="text1"/>
          <w:sz w:val="18"/>
          <w:szCs w:val="18"/>
        </w:rPr>
        <w:t>do obrotu lub w pozycji z</w:t>
      </w:r>
      <w:r w:rsidR="00BC6B0E" w:rsidRPr="00977E53">
        <w:rPr>
          <w:rFonts w:cs="Tahoma"/>
          <w:color w:val="000000" w:themeColor="text1"/>
          <w:sz w:val="18"/>
          <w:szCs w:val="18"/>
        </w:rPr>
        <w:t>yski lub straty z tytułu aktywów finansowych nieprzeznaczonych do obrotu obowiązkowo wycenianych w wartości godziwej przez wynik finansowy.</w:t>
      </w:r>
    </w:p>
    <w:p w14:paraId="6836D433" w14:textId="31A7D590" w:rsidR="00BC6B0E" w:rsidRPr="00977E53" w:rsidRDefault="00BC6B0E" w:rsidP="00BC6B0E">
      <w:pPr>
        <w:suppressAutoHyphens/>
        <w:spacing w:before="120" w:after="120"/>
        <w:jc w:val="both"/>
        <w:rPr>
          <w:rFonts w:cs="Tahoma"/>
          <w:color w:val="000000" w:themeColor="text1"/>
          <w:sz w:val="18"/>
          <w:szCs w:val="18"/>
          <w:u w:val="single"/>
        </w:rPr>
      </w:pPr>
      <w:r w:rsidRPr="00977E53">
        <w:rPr>
          <w:rFonts w:cs="Tahoma"/>
          <w:color w:val="000000" w:themeColor="text1"/>
          <w:sz w:val="18"/>
          <w:szCs w:val="18"/>
          <w:u w:val="single"/>
        </w:rPr>
        <w:t xml:space="preserve">Aktywa finansowe wyceniane w zamortyzowanym koszcie </w:t>
      </w:r>
    </w:p>
    <w:p w14:paraId="2A73080A" w14:textId="166ED4FB" w:rsidR="00996A3D"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 xml:space="preserve">Aktywa finansowe wyceniane w zamortyzowanym koszcie to aktywa finansowe spełniające oba poniższe warunki, o ile Bank nie wyznaczył ich do wyceny w wartości godziwej przez rachunek zysków i strat: składnik aktywów finansowych jest utrzymywany zgodnie z modelem biznesowym, którego cel zakłada utrzymywanie aktywów finansowych dla uzyskiwania przepływów pieniężnych wynikających z umowy, oraz warunki umowy dotyczącej składnika aktywów finansowych powodują powstawanie w określonych terminach przepływów pieniężnych, które są jedynie spłatą kwoty głównej i odsetek od kwoty głównej pozostałej do spłaty. Aktywa finansowe wyceniane w zamortyzowanym koszcie są wprowadzane do ksiąg w dniu zawarcia transakcji. </w:t>
      </w:r>
    </w:p>
    <w:p w14:paraId="1A778DC2" w14:textId="1AAA0FFB" w:rsidR="00BC6B0E" w:rsidRPr="00977E53" w:rsidRDefault="00BC6B0E" w:rsidP="00996A3D">
      <w:pPr>
        <w:suppressAutoHyphens/>
        <w:spacing w:before="120" w:after="120"/>
        <w:jc w:val="both"/>
        <w:rPr>
          <w:rFonts w:cs="Tahoma"/>
          <w:color w:val="000000" w:themeColor="text1"/>
          <w:sz w:val="18"/>
          <w:szCs w:val="18"/>
        </w:rPr>
      </w:pPr>
      <w:r w:rsidRPr="00977E53">
        <w:rPr>
          <w:rFonts w:cs="Tahoma"/>
          <w:color w:val="000000" w:themeColor="text1"/>
          <w:sz w:val="18"/>
          <w:szCs w:val="18"/>
        </w:rPr>
        <w:t>W momencie początkowego ujęcia aktywa finansowe zaklasyfikowane do tej kategorii wycenia</w:t>
      </w:r>
      <w:r w:rsidR="00B12A8A" w:rsidRPr="00977E53">
        <w:rPr>
          <w:rFonts w:cs="Tahoma"/>
          <w:color w:val="000000" w:themeColor="text1"/>
          <w:sz w:val="18"/>
          <w:szCs w:val="18"/>
        </w:rPr>
        <w:t>ne są</w:t>
      </w:r>
      <w:r w:rsidR="00393FFA">
        <w:rPr>
          <w:rFonts w:cs="Tahoma"/>
          <w:color w:val="000000" w:themeColor="text1"/>
          <w:sz w:val="18"/>
          <w:szCs w:val="18"/>
        </w:rPr>
        <w:t> </w:t>
      </w:r>
      <w:r w:rsidR="00B12A8A" w:rsidRPr="00977E53">
        <w:rPr>
          <w:rFonts w:cs="Tahoma"/>
          <w:color w:val="000000" w:themeColor="text1"/>
          <w:sz w:val="18"/>
          <w:szCs w:val="18"/>
        </w:rPr>
        <w:t>w</w:t>
      </w:r>
      <w:r w:rsidR="00E70E5F">
        <w:rPr>
          <w:rFonts w:cs="Tahoma"/>
          <w:color w:val="000000" w:themeColor="text1"/>
          <w:sz w:val="18"/>
          <w:szCs w:val="18"/>
        </w:rPr>
        <w:t> </w:t>
      </w:r>
      <w:r w:rsidR="00B12A8A" w:rsidRPr="00F1089E">
        <w:rPr>
          <w:rFonts w:cs="Tahoma"/>
          <w:color w:val="000000" w:themeColor="text1"/>
          <w:sz w:val="18"/>
          <w:szCs w:val="18"/>
        </w:rPr>
        <w:t>wartości godziwej, którą</w:t>
      </w:r>
      <w:r w:rsidRPr="00F1089E">
        <w:rPr>
          <w:rFonts w:cs="Tahoma"/>
          <w:color w:val="000000" w:themeColor="text1"/>
          <w:sz w:val="18"/>
          <w:szCs w:val="18"/>
        </w:rPr>
        <w:t xml:space="preserve"> powiększa się o koszty transakcyjne, które można bezpośrednio przypisać do nabycia aktywów finansowych.</w:t>
      </w:r>
      <w:r w:rsidR="00996A3D" w:rsidRPr="00F1089E">
        <w:rPr>
          <w:rFonts w:cs="Tahoma"/>
          <w:color w:val="000000" w:themeColor="text1"/>
          <w:sz w:val="18"/>
          <w:szCs w:val="18"/>
        </w:rPr>
        <w:t xml:space="preserve"> Po początkowym ujęciu aktywa te są wyceniane według zamortyzowanego kosztu z zastosowaniem efektywnej stopy procentowej.</w:t>
      </w:r>
      <w:r w:rsidR="005D0A9C">
        <w:rPr>
          <w:rFonts w:cs="Tahoma"/>
          <w:color w:val="000000" w:themeColor="text1"/>
          <w:sz w:val="18"/>
          <w:szCs w:val="18"/>
        </w:rPr>
        <w:t xml:space="preserve"> </w:t>
      </w:r>
    </w:p>
    <w:p w14:paraId="77860E29" w14:textId="77777777" w:rsidR="00BC6B0E" w:rsidRPr="00977E53" w:rsidRDefault="00BC6B0E" w:rsidP="00BC6B0E">
      <w:pPr>
        <w:suppressAutoHyphens/>
        <w:spacing w:before="120" w:after="120"/>
        <w:jc w:val="both"/>
        <w:rPr>
          <w:rFonts w:cs="Tahoma"/>
          <w:color w:val="000000" w:themeColor="text1"/>
          <w:sz w:val="18"/>
          <w:szCs w:val="18"/>
          <w:u w:val="single"/>
        </w:rPr>
      </w:pPr>
      <w:r w:rsidRPr="00977E53">
        <w:rPr>
          <w:rFonts w:cs="Tahoma"/>
          <w:color w:val="000000" w:themeColor="text1"/>
          <w:sz w:val="18"/>
          <w:szCs w:val="18"/>
          <w:u w:val="single"/>
        </w:rPr>
        <w:t xml:space="preserve">Aktywa finansowe wyceniane w wartości godziwej przez inne całkowite dochody </w:t>
      </w:r>
    </w:p>
    <w:p w14:paraId="6CDA2E0F" w14:textId="77777777"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Przez aktywa finansowe wyceniane w wartości godziwej przez inne całkowite dochody rozumie się aktywa finansowe spełniające oba poniższe warunki, o ile jednostka nie wyznaczyła ich do wyceny w wartości godziwej przez rachunek zysków i strat: składnik aktywów finansowych jest utrzymywany zgodnie z modelem biznesowym, którego cel zakłada zarówno utrzymywanie aktywów finansowych dla uzyskiwania przepływów pieniężnych wynikających z umowy, jak i sprzedaż składników aktywów finansowych oraz warunki umowy dotyczącej składnika aktywów finansowych powodują powstawanie w określonych terminach przepływów pieniężnych, które są jedynie spłatą kwoty głównej i odsetek od kwoty głównej pozostałej do spłaty.</w:t>
      </w:r>
    </w:p>
    <w:p w14:paraId="0925D656" w14:textId="5409514C"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 xml:space="preserve">Przychody/koszty z tytułu odsetek od aktywów finansowych wycenianych w wartości godziwej przez inne całkowite dochody ujmuje się w wyniku z tytułu odsetek. Wynik ze sprzedaży aktywów finansowych </w:t>
      </w:r>
      <w:r w:rsidR="00B6536A" w:rsidRPr="00977E53">
        <w:rPr>
          <w:rFonts w:cs="Tahoma"/>
          <w:color w:val="000000" w:themeColor="text1"/>
          <w:sz w:val="18"/>
          <w:szCs w:val="18"/>
        </w:rPr>
        <w:t xml:space="preserve">wycenianych w wartości godziwej przez inne całkowite dochody </w:t>
      </w:r>
      <w:r w:rsidRPr="00977E53">
        <w:rPr>
          <w:rFonts w:cs="Tahoma"/>
          <w:color w:val="000000" w:themeColor="text1"/>
          <w:sz w:val="18"/>
          <w:szCs w:val="18"/>
        </w:rPr>
        <w:t>ujmuje się w wyniku na aktywach oraz zobowiązaniach finansowych niewycenianych w wartości godziwej przez wynik finansowy.</w:t>
      </w:r>
    </w:p>
    <w:p w14:paraId="0B9C4F7A" w14:textId="571B3562"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lastRenderedPageBreak/>
        <w:t>Aktywa finansowe wyceniane w wartości godziwej przez inne całkowite dochody</w:t>
      </w:r>
      <w:r w:rsidRPr="00977E53" w:rsidDel="00A04E91">
        <w:rPr>
          <w:rFonts w:cs="Tahoma"/>
          <w:color w:val="000000" w:themeColor="text1"/>
          <w:sz w:val="18"/>
          <w:szCs w:val="18"/>
        </w:rPr>
        <w:t xml:space="preserve"> </w:t>
      </w:r>
      <w:r w:rsidRPr="00977E53">
        <w:rPr>
          <w:rFonts w:cs="Tahoma"/>
          <w:color w:val="000000" w:themeColor="text1"/>
          <w:sz w:val="18"/>
          <w:szCs w:val="18"/>
        </w:rPr>
        <w:t xml:space="preserve"> są na koniec okresu sprawozdawczego wyceniane według wartości godziwej. </w:t>
      </w:r>
    </w:p>
    <w:p w14:paraId="06A1B192" w14:textId="325EF23C"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Zyski i straty z tytułu zmiany wartości godziwej dłużnych aktywów finansowych wycenianych w wartości godziwej przez inne całkowite dochody</w:t>
      </w:r>
      <w:r w:rsidRPr="00977E53" w:rsidDel="00E22196">
        <w:rPr>
          <w:rFonts w:cs="Tahoma"/>
          <w:color w:val="000000" w:themeColor="text1"/>
          <w:sz w:val="18"/>
          <w:szCs w:val="18"/>
        </w:rPr>
        <w:t xml:space="preserve"> </w:t>
      </w:r>
      <w:r w:rsidRPr="00977E53">
        <w:rPr>
          <w:rFonts w:cs="Tahoma"/>
          <w:color w:val="000000" w:themeColor="text1"/>
          <w:sz w:val="18"/>
          <w:szCs w:val="18"/>
        </w:rPr>
        <w:t>są odnoszone bezpośrednio na pozostałe całkowite dochody do</w:t>
      </w:r>
      <w:r w:rsidR="00393FFA">
        <w:rPr>
          <w:rFonts w:cs="Tahoma"/>
          <w:color w:val="000000" w:themeColor="text1"/>
          <w:sz w:val="18"/>
          <w:szCs w:val="18"/>
        </w:rPr>
        <w:t> </w:t>
      </w:r>
      <w:r w:rsidRPr="00977E53">
        <w:rPr>
          <w:rFonts w:cs="Tahoma"/>
          <w:color w:val="000000" w:themeColor="text1"/>
          <w:sz w:val="18"/>
          <w:szCs w:val="18"/>
        </w:rPr>
        <w:t>czasu usunięcia danego składnika aktywów finansowych ze sprawozdania z sytuacji finansowej lub wystąpienia utraty wartości – wówczas łączna kwota zysków lub strat ujmowanych dotychczas w</w:t>
      </w:r>
      <w:r w:rsidR="00251D21" w:rsidRPr="00977E53">
        <w:rPr>
          <w:rFonts w:cs="Tahoma"/>
          <w:color w:val="000000" w:themeColor="text1"/>
          <w:sz w:val="18"/>
          <w:szCs w:val="18"/>
        </w:rPr>
        <w:t> </w:t>
      </w:r>
      <w:r w:rsidRPr="00977E53">
        <w:rPr>
          <w:rFonts w:cs="Tahoma"/>
          <w:color w:val="000000" w:themeColor="text1"/>
          <w:sz w:val="18"/>
          <w:szCs w:val="18"/>
        </w:rPr>
        <w:t xml:space="preserve">pozostałych dochodach całkowitych wykazywana jest w rachunku zysków i strat. Jednakże odsetki naliczane według efektywnej stopy procentowej ujmowane są w rachunku zysków i strat. </w:t>
      </w:r>
    </w:p>
    <w:p w14:paraId="0425F500" w14:textId="4F068576" w:rsidR="00BC6B0E" w:rsidRPr="00977E53" w:rsidRDefault="00BC6B0E" w:rsidP="00BC6B0E">
      <w:pPr>
        <w:suppressAutoHyphens/>
        <w:spacing w:before="120" w:after="120"/>
        <w:jc w:val="both"/>
        <w:rPr>
          <w:rFonts w:cs="Tahoma"/>
          <w:color w:val="000000" w:themeColor="text1"/>
          <w:sz w:val="18"/>
          <w:szCs w:val="18"/>
        </w:rPr>
      </w:pPr>
      <w:r w:rsidRPr="00977E53">
        <w:rPr>
          <w:rFonts w:cs="Tahoma"/>
          <w:color w:val="000000" w:themeColor="text1"/>
          <w:sz w:val="18"/>
          <w:szCs w:val="18"/>
        </w:rPr>
        <w:t>Wartość godziwa inwestycji notowanych na aktywnym rynku wynika z ich bieżącej wartości rynkowej. Jeżeli rynek na dany składnik aktywów finansowych nie jest aktywny, Bank ustala wartość godziwą stosując techniki wyceny. Obejmują one wykorzystanie niedawno przeprowadzonych transakcji na</w:t>
      </w:r>
      <w:r w:rsidR="00393FFA">
        <w:rPr>
          <w:rFonts w:cs="Tahoma"/>
          <w:color w:val="000000" w:themeColor="text1"/>
          <w:sz w:val="18"/>
          <w:szCs w:val="18"/>
        </w:rPr>
        <w:t> </w:t>
      </w:r>
      <w:r w:rsidRPr="00977E53">
        <w:rPr>
          <w:rFonts w:cs="Tahoma"/>
          <w:color w:val="000000" w:themeColor="text1"/>
          <w:sz w:val="18"/>
          <w:szCs w:val="18"/>
        </w:rPr>
        <w:t xml:space="preserve">normalnych zasadach rynkowych, odwołanie się do innych instrumentów, analizę zdyskontowanych przepływów pieniężnych oraz modele wyceny opcji oraz inne metody wyceny powszechnie stosowane przez uczestników rynku. </w:t>
      </w:r>
    </w:p>
    <w:p w14:paraId="3F34B500"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Instrumenty kapitałowe</w:t>
      </w:r>
    </w:p>
    <w:p w14:paraId="64109D16" w14:textId="7EC8E83D" w:rsidR="00BC6B0E" w:rsidRPr="00977E53" w:rsidRDefault="00BC6B0E" w:rsidP="00BC6B0E">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 xml:space="preserve">Inwestycje w instrumenty kapitałowe wycenia się według wartości godziwej przez rachunek zysków i strat. W momencie początkowego ujęcia </w:t>
      </w:r>
      <w:r w:rsidR="004D02D7" w:rsidRPr="00977E53">
        <w:rPr>
          <w:rFonts w:cs="Tahoma"/>
          <w:color w:val="000000" w:themeColor="text1"/>
          <w:sz w:val="18"/>
          <w:szCs w:val="18"/>
        </w:rPr>
        <w:t>Grupa</w:t>
      </w:r>
      <w:r w:rsidRPr="00977E53">
        <w:rPr>
          <w:rFonts w:cs="Tahoma"/>
          <w:color w:val="000000" w:themeColor="text1"/>
          <w:sz w:val="18"/>
          <w:szCs w:val="18"/>
        </w:rPr>
        <w:t xml:space="preserve"> może dokonać nieodwołalnego wyboru dotyczącego ujmowania w innych dochodach całkowitych późniejszych zmian wartości godziwej (opcja wyceny wartości godziwej przez inne całkowite dochody) inwestycji w instrument kapitałowy, który nie jest przeznaczony do obrotu ani nie jest warunkową zapłatą ujętą przez </w:t>
      </w:r>
      <w:r w:rsidR="005D502B" w:rsidRPr="00977E53">
        <w:rPr>
          <w:rFonts w:cs="Tahoma"/>
          <w:color w:val="000000" w:themeColor="text1"/>
          <w:sz w:val="18"/>
          <w:szCs w:val="18"/>
        </w:rPr>
        <w:t>Grupę</w:t>
      </w:r>
      <w:r w:rsidRPr="00977E53">
        <w:rPr>
          <w:rFonts w:cs="Tahoma"/>
          <w:color w:val="000000" w:themeColor="text1"/>
          <w:sz w:val="18"/>
          <w:szCs w:val="18"/>
        </w:rPr>
        <w:t xml:space="preserve"> w ramach połączenia jednostek zgodnie z MSSF 3. </w:t>
      </w:r>
    </w:p>
    <w:p w14:paraId="6C6737E5" w14:textId="6513BEF6" w:rsidR="00BC6B0E" w:rsidRPr="00977E53" w:rsidRDefault="00BC6B0E" w:rsidP="00BC6B0E">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 xml:space="preserve">W przypadku instrumentów kapitałowych dla których zastosowano opcję wyceny do wartości godziwej przez pozostałe całkowite dochody </w:t>
      </w:r>
      <w:r w:rsidR="00B21EBB" w:rsidRPr="00977E53">
        <w:rPr>
          <w:rFonts w:cs="Tahoma"/>
          <w:color w:val="000000" w:themeColor="text1"/>
          <w:sz w:val="18"/>
          <w:szCs w:val="18"/>
        </w:rPr>
        <w:t>w</w:t>
      </w:r>
      <w:r w:rsidRPr="00977E53">
        <w:rPr>
          <w:rFonts w:cs="Tahoma"/>
          <w:color w:val="000000" w:themeColor="text1"/>
          <w:sz w:val="18"/>
          <w:szCs w:val="18"/>
        </w:rPr>
        <w:t>szystkie zyski i straty z tytułu zmiany wartości godziwej, z</w:t>
      </w:r>
      <w:r w:rsidR="005D0A9C">
        <w:rPr>
          <w:rFonts w:cs="Tahoma"/>
          <w:color w:val="000000" w:themeColor="text1"/>
          <w:sz w:val="18"/>
          <w:szCs w:val="18"/>
        </w:rPr>
        <w:t> </w:t>
      </w:r>
      <w:r w:rsidRPr="00977E53">
        <w:rPr>
          <w:rFonts w:cs="Tahoma"/>
          <w:color w:val="000000" w:themeColor="text1"/>
          <w:sz w:val="18"/>
          <w:szCs w:val="18"/>
        </w:rPr>
        <w:t>uwzględnieniem różnic kursowych, ujmowane są w pozostałych całkowitych dochodach. Brak jest możliwości reklasyfikacji do rachunku wyników w momencie sprzedaży instrumentu. Jedynie dywidendy otrzymywane z tych instrumentów są rozpoznawane w rachunku zysków i strat</w:t>
      </w:r>
      <w:r w:rsidRPr="00977E53">
        <w:rPr>
          <w:color w:val="000000" w:themeColor="text1"/>
        </w:rPr>
        <w:t xml:space="preserve"> </w:t>
      </w:r>
      <w:r w:rsidRPr="00977E53">
        <w:rPr>
          <w:rFonts w:cs="Tahoma"/>
          <w:color w:val="000000" w:themeColor="text1"/>
          <w:sz w:val="18"/>
          <w:szCs w:val="18"/>
        </w:rPr>
        <w:t xml:space="preserve">w momencie ustanowienia prawa jednostki do otrzymania płatności. </w:t>
      </w:r>
    </w:p>
    <w:p w14:paraId="4ED84367" w14:textId="616EAE2B"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Modyfikacja warunków kontraktowych aktywów finansowych</w:t>
      </w:r>
    </w:p>
    <w:p w14:paraId="599E9FF5"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Grupa dokonuje rozliczenia ujmowanego dotychczas aktywa finansowego oraz ponownej wyceny zgodnej z zasadami stosowanymi w momencie początkowego ujęcia w przypadku stwierdzenia znaczącej modyfikacji warunków umowy w okresie finansowania. Przez znaczącą modyfikację Grupa definiuje taką zmianę warunków która spełnia jedno z następujących kryteriów:</w:t>
      </w:r>
    </w:p>
    <w:p w14:paraId="356B562B" w14:textId="77777777" w:rsidR="00BC6B0E" w:rsidRPr="00977E53" w:rsidRDefault="00BC6B0E" w:rsidP="00526DF1">
      <w:pPr>
        <w:numPr>
          <w:ilvl w:val="0"/>
          <w:numId w:val="54"/>
        </w:numPr>
        <w:suppressAutoHyphens/>
        <w:spacing w:before="120" w:after="120"/>
        <w:ind w:left="426" w:hanging="426"/>
        <w:jc w:val="both"/>
        <w:rPr>
          <w:rFonts w:cs="Tahoma"/>
          <w:color w:val="000000" w:themeColor="text1"/>
          <w:sz w:val="18"/>
          <w:szCs w:val="18"/>
        </w:rPr>
      </w:pPr>
      <w:r w:rsidRPr="00977E53">
        <w:rPr>
          <w:rFonts w:cs="Tahoma"/>
          <w:color w:val="000000" w:themeColor="text1"/>
          <w:sz w:val="18"/>
          <w:szCs w:val="18"/>
        </w:rPr>
        <w:t>podwyższenie kwoty finansowania o więcej niż 10% w stosunku do kwoty oryginalnej</w:t>
      </w:r>
    </w:p>
    <w:p w14:paraId="71D57321" w14:textId="77777777" w:rsidR="00BC6B0E" w:rsidRPr="00977E53" w:rsidRDefault="00BC6B0E" w:rsidP="00526DF1">
      <w:pPr>
        <w:numPr>
          <w:ilvl w:val="0"/>
          <w:numId w:val="54"/>
        </w:numPr>
        <w:suppressAutoHyphens/>
        <w:spacing w:before="120" w:after="120"/>
        <w:ind w:left="426" w:hanging="426"/>
        <w:jc w:val="both"/>
        <w:rPr>
          <w:rFonts w:cs="Tahoma"/>
          <w:color w:val="000000" w:themeColor="text1"/>
          <w:sz w:val="18"/>
          <w:szCs w:val="18"/>
        </w:rPr>
      </w:pPr>
      <w:r w:rsidRPr="00977E53">
        <w:rPr>
          <w:rFonts w:cs="Tahoma"/>
          <w:color w:val="000000" w:themeColor="text1"/>
          <w:sz w:val="18"/>
          <w:szCs w:val="18"/>
        </w:rPr>
        <w:t>wydłużenie okresu finansowania o ponad 12 miesięcy w stosunku do poprzedniego okresu finansowania</w:t>
      </w:r>
    </w:p>
    <w:p w14:paraId="24AEAC15" w14:textId="77777777" w:rsidR="00BC6B0E" w:rsidRPr="00977E53" w:rsidRDefault="00BC6B0E" w:rsidP="00526DF1">
      <w:pPr>
        <w:numPr>
          <w:ilvl w:val="0"/>
          <w:numId w:val="54"/>
        </w:numPr>
        <w:suppressAutoHyphens/>
        <w:spacing w:before="120" w:after="120"/>
        <w:ind w:left="426" w:hanging="426"/>
        <w:jc w:val="both"/>
        <w:rPr>
          <w:rFonts w:cs="Tahoma"/>
          <w:color w:val="000000" w:themeColor="text1"/>
          <w:sz w:val="18"/>
          <w:szCs w:val="18"/>
        </w:rPr>
      </w:pPr>
      <w:r w:rsidRPr="00977E53">
        <w:rPr>
          <w:rFonts w:cs="Tahoma"/>
          <w:color w:val="000000" w:themeColor="text1"/>
          <w:sz w:val="18"/>
          <w:szCs w:val="18"/>
        </w:rPr>
        <w:t>przewalutowanie, które nie było przewidziane warunkami umowy. Przy czym aby przewalutowanie mogło być uznane za przewidziane warunkami umowy, musiałaby ona definiować zarówno kurs po którym miałoby ono nastąpić jak również oprocentowanie kredytu po przewalutowaniu.</w:t>
      </w:r>
    </w:p>
    <w:p w14:paraId="5C0C551A" w14:textId="1FE6B036" w:rsidR="00BC6B0E" w:rsidRPr="00977E53" w:rsidRDefault="00BC6B0E" w:rsidP="00526DF1">
      <w:pPr>
        <w:numPr>
          <w:ilvl w:val="0"/>
          <w:numId w:val="54"/>
        </w:numPr>
        <w:suppressAutoHyphens/>
        <w:spacing w:before="60" w:after="60"/>
        <w:ind w:left="425" w:hanging="425"/>
        <w:jc w:val="both"/>
        <w:rPr>
          <w:rFonts w:cs="Tahoma"/>
          <w:color w:val="000000" w:themeColor="text1"/>
          <w:sz w:val="18"/>
          <w:szCs w:val="18"/>
        </w:rPr>
      </w:pPr>
      <w:r w:rsidRPr="00977E53">
        <w:rPr>
          <w:rFonts w:cs="Tahoma"/>
          <w:color w:val="000000" w:themeColor="text1"/>
          <w:sz w:val="18"/>
          <w:szCs w:val="18"/>
        </w:rPr>
        <w:t>zmiana kredytobiorcy – jedynie w przypadku kiedy dotychczasowy kredytobiorca jest zwolniony z</w:t>
      </w:r>
      <w:r w:rsidR="00251D21" w:rsidRPr="00977E53">
        <w:rPr>
          <w:rFonts w:cs="Tahoma"/>
          <w:color w:val="000000" w:themeColor="text1"/>
          <w:sz w:val="18"/>
          <w:szCs w:val="18"/>
        </w:rPr>
        <w:t> </w:t>
      </w:r>
      <w:r w:rsidRPr="00977E53">
        <w:rPr>
          <w:rFonts w:cs="Tahoma"/>
          <w:color w:val="000000" w:themeColor="text1"/>
          <w:sz w:val="18"/>
          <w:szCs w:val="18"/>
        </w:rPr>
        <w:t>długu</w:t>
      </w:r>
    </w:p>
    <w:p w14:paraId="6029BE7B" w14:textId="77777777" w:rsidR="00BC6B0E" w:rsidRPr="00977E53" w:rsidRDefault="00BC6B0E" w:rsidP="00526DF1">
      <w:pPr>
        <w:numPr>
          <w:ilvl w:val="0"/>
          <w:numId w:val="54"/>
        </w:numPr>
        <w:suppressAutoHyphens/>
        <w:spacing w:before="60" w:after="60"/>
        <w:ind w:left="425" w:hanging="425"/>
        <w:jc w:val="both"/>
        <w:rPr>
          <w:rFonts w:cs="Tahoma"/>
          <w:color w:val="000000" w:themeColor="text1"/>
          <w:sz w:val="18"/>
          <w:szCs w:val="18"/>
        </w:rPr>
      </w:pPr>
      <w:r w:rsidRPr="00977E53">
        <w:rPr>
          <w:rFonts w:cs="Tahoma"/>
          <w:color w:val="000000" w:themeColor="text1"/>
          <w:sz w:val="18"/>
          <w:szCs w:val="18"/>
        </w:rPr>
        <w:t>zmiana warunków umownych wpływająca na wynik testu SPPI</w:t>
      </w:r>
    </w:p>
    <w:p w14:paraId="3C7D4E13" w14:textId="77777777" w:rsidR="00BC6B0E" w:rsidRPr="00977E53" w:rsidRDefault="00BC6B0E" w:rsidP="00526DF1">
      <w:pPr>
        <w:numPr>
          <w:ilvl w:val="0"/>
          <w:numId w:val="54"/>
        </w:numPr>
        <w:suppressAutoHyphens/>
        <w:spacing w:before="60" w:after="60"/>
        <w:ind w:left="425" w:hanging="425"/>
        <w:jc w:val="both"/>
        <w:rPr>
          <w:rFonts w:cs="Tahoma"/>
          <w:color w:val="000000" w:themeColor="text1"/>
          <w:sz w:val="18"/>
          <w:szCs w:val="18"/>
        </w:rPr>
      </w:pPr>
      <w:r w:rsidRPr="00977E53">
        <w:rPr>
          <w:rFonts w:cs="Tahoma"/>
          <w:color w:val="000000" w:themeColor="text1"/>
          <w:sz w:val="18"/>
          <w:szCs w:val="18"/>
        </w:rPr>
        <w:t>zmiana przedmiotu finansowania w przypadku finansowania typu object finance oraz project finance.</w:t>
      </w:r>
    </w:p>
    <w:p w14:paraId="2E28FD21" w14:textId="01AEA0F9"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przypadku zidentyfikowania zdarzenia znaczącej modyfikacji następuje rozpoznanie w rachunku wyników odroczonych przychodów i kosztów związanych z tym aktywem oraz rozwiązanie rezerw. Jednocześnie następuje ponowna wycena zgodna z zasadami wyceny na datę początkowego ujęcia. Wszelkie inne modyfikacje warunków umownych, które nie prowadzą do zaprzestania ujmowania składnika aktywów traktowane są jako nieznaczące modyfikacje i powodują rozpoznawanie zysku lub straty z tytułu modyfikacji. Efekt wszystkich zidentyfikowanych nieznaczących modyfikacji przepływów pieniężnych traktowane są jako niezwiązane z ryzykiem kredytowym</w:t>
      </w:r>
      <w:r w:rsidR="00001380">
        <w:rPr>
          <w:rFonts w:cs="Tahoma"/>
          <w:color w:val="000000" w:themeColor="text1"/>
          <w:sz w:val="18"/>
          <w:szCs w:val="18"/>
        </w:rPr>
        <w:t xml:space="preserve"> i ujmowane w wyniku z tytułu odsetek</w:t>
      </w:r>
      <w:r w:rsidRPr="00977E53">
        <w:rPr>
          <w:rFonts w:cs="Tahoma"/>
          <w:color w:val="000000" w:themeColor="text1"/>
          <w:sz w:val="18"/>
          <w:szCs w:val="18"/>
        </w:rPr>
        <w:t>. Wynik</w:t>
      </w:r>
      <w:r w:rsidR="00DE1D0A">
        <w:rPr>
          <w:rFonts w:cs="Tahoma"/>
          <w:color w:val="000000" w:themeColor="text1"/>
          <w:sz w:val="18"/>
          <w:szCs w:val="18"/>
        </w:rPr>
        <w:t> </w:t>
      </w:r>
      <w:r w:rsidRPr="00977E53">
        <w:rPr>
          <w:rFonts w:cs="Tahoma"/>
          <w:color w:val="000000" w:themeColor="text1"/>
          <w:sz w:val="18"/>
          <w:szCs w:val="18"/>
        </w:rPr>
        <w:t>na</w:t>
      </w:r>
      <w:r w:rsidR="00393FFA">
        <w:rPr>
          <w:rFonts w:cs="Tahoma"/>
          <w:color w:val="000000" w:themeColor="text1"/>
          <w:sz w:val="18"/>
          <w:szCs w:val="18"/>
        </w:rPr>
        <w:t> </w:t>
      </w:r>
      <w:r w:rsidRPr="00977E53">
        <w:rPr>
          <w:rFonts w:cs="Tahoma"/>
          <w:color w:val="000000" w:themeColor="text1"/>
          <w:sz w:val="18"/>
          <w:szCs w:val="18"/>
        </w:rPr>
        <w:t>modyfikacji stanowi różnicę pomiędzy wartością bieżącą zmodyfikowanych przepływów zdyskontowanych starą stopą efektywną, a zaangażowaniem efektywnym kredytu. Prowizje otrzymywane związane z</w:t>
      </w:r>
      <w:r w:rsidR="00001380">
        <w:rPr>
          <w:rFonts w:cs="Tahoma"/>
          <w:color w:val="000000" w:themeColor="text1"/>
          <w:sz w:val="18"/>
          <w:szCs w:val="18"/>
        </w:rPr>
        <w:t> </w:t>
      </w:r>
      <w:r w:rsidRPr="00977E53">
        <w:rPr>
          <w:rFonts w:cs="Tahoma"/>
          <w:color w:val="000000" w:themeColor="text1"/>
          <w:sz w:val="18"/>
          <w:szCs w:val="18"/>
        </w:rPr>
        <w:t>nieznaczącą modyfikacją są rozliczane w czasie z zastosowaniem efektywnej stopy procentowej. Wszystkie znaczące modyfikacje ujmowane są jako związane z ryzykiem kredytowym. W</w:t>
      </w:r>
      <w:r w:rsidR="00393FFA">
        <w:rPr>
          <w:rFonts w:cs="Tahoma"/>
          <w:color w:val="000000" w:themeColor="text1"/>
          <w:sz w:val="18"/>
          <w:szCs w:val="18"/>
        </w:rPr>
        <w:t> </w:t>
      </w:r>
      <w:r w:rsidRPr="00977E53">
        <w:rPr>
          <w:rFonts w:cs="Tahoma"/>
          <w:color w:val="000000" w:themeColor="text1"/>
          <w:sz w:val="18"/>
          <w:szCs w:val="18"/>
        </w:rPr>
        <w:t xml:space="preserve">przypadku znaczącej modyfikacji ekspozycji w koszyku drugim, dla których w konsekwencji modyfikacji </w:t>
      </w:r>
      <w:r w:rsidRPr="00977E53">
        <w:rPr>
          <w:rFonts w:cs="Tahoma"/>
          <w:color w:val="000000" w:themeColor="text1"/>
          <w:sz w:val="18"/>
          <w:szCs w:val="18"/>
        </w:rPr>
        <w:lastRenderedPageBreak/>
        <w:t>nastąpiło przesunięcie do koszyka pierwszego, powstała na datę początkowego ujęcia korekta z tytułu wycena do</w:t>
      </w:r>
      <w:r w:rsidR="00E70E5F">
        <w:rPr>
          <w:rFonts w:cs="Tahoma"/>
          <w:color w:val="000000" w:themeColor="text1"/>
          <w:sz w:val="18"/>
          <w:szCs w:val="18"/>
        </w:rPr>
        <w:t> </w:t>
      </w:r>
      <w:r w:rsidRPr="00977E53">
        <w:rPr>
          <w:rFonts w:cs="Tahoma"/>
          <w:color w:val="000000" w:themeColor="text1"/>
          <w:sz w:val="18"/>
          <w:szCs w:val="18"/>
        </w:rPr>
        <w:t>wartości godziwej takiej ekspozycji koryguje wynik odsetkowy w kolejnych okresach.</w:t>
      </w:r>
    </w:p>
    <w:p w14:paraId="7583A6BD" w14:textId="7104B0AA"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Zakupione lub utworzone aktywa finansowe dotknięte utratą wartości ze względu na ryzyko kredytowe (aktywa POCI)</w:t>
      </w:r>
    </w:p>
    <w:p w14:paraId="56A09300" w14:textId="32EACE3F"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POCI to aktywa finansowe wyceniane wg zamortyzowanego kosztu, które w momencie początkowego ujęcia są dotknięte utratą wartości. Do kategorii tej zaliczane są również te aktywa finansowe, które były</w:t>
      </w:r>
      <w:r w:rsidR="00DE1D0A">
        <w:rPr>
          <w:rFonts w:cs="Tahoma"/>
          <w:color w:val="000000" w:themeColor="text1"/>
          <w:sz w:val="18"/>
          <w:szCs w:val="18"/>
        </w:rPr>
        <w:t> </w:t>
      </w:r>
      <w:r w:rsidRPr="00977E53">
        <w:rPr>
          <w:rFonts w:cs="Tahoma"/>
          <w:color w:val="000000" w:themeColor="text1"/>
          <w:sz w:val="18"/>
          <w:szCs w:val="18"/>
        </w:rPr>
        <w:t>dotknięte utratą wartości w momencie zidentyfikowanej znaczącej modyfikacji. W momencie początkowego ujęcia aktywa POCI ujmowane są w wartości godziwej. Wartość godziwa aktywów POCI na</w:t>
      </w:r>
      <w:r w:rsidR="00DE1D0A">
        <w:rPr>
          <w:rFonts w:cs="Tahoma"/>
          <w:color w:val="000000" w:themeColor="text1"/>
          <w:sz w:val="18"/>
          <w:szCs w:val="18"/>
        </w:rPr>
        <w:t> </w:t>
      </w:r>
      <w:r w:rsidRPr="00977E53">
        <w:rPr>
          <w:rFonts w:cs="Tahoma"/>
          <w:color w:val="000000" w:themeColor="text1"/>
          <w:sz w:val="18"/>
          <w:szCs w:val="18"/>
        </w:rPr>
        <w:t>datę początkowego ujęcia liczona jest jako wartość bieżąca szacowanych przyszłych przepływów uwzględniających ryzyko kredytowe zdyskontowanych stopą wolną od ryzyka. Po początkowym ujęciu aktywa POCI wyceniane są wg zamortyzowanego kosztu. W odniesieniu do tych składników aktywów finansowych bank stosuje efektywną stopę procentową skorygowaną o ryzyko kredytowe do ustalania wartości zamortyzowanego kosztu składnika aktywów finansowych oraz przychodów odsetkowych generowanych przez te aktywa – stopę CEIR. W przypadku ekspozycji POCI zmiana oczekiwanych strat kredytowych w stosunku do szacowanych na datę ich początkowego ujęcia ujmowana jest jako odpis z tytułu utraty wartości. Przy czym jego wartość może zarówno pomniejszać wartość brutto ekspozycji POCI jak również ją powiększać w przypadku zmniejszenia oczekiwanych strat w stosunku do ich wartości na datę początkowego ujęcia.</w:t>
      </w:r>
    </w:p>
    <w:p w14:paraId="69344808"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Przeklasyfikowanie aktywów finansowych</w:t>
      </w:r>
    </w:p>
    <w:p w14:paraId="15BC3D5D"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Dłużne aktywa finansowe podlegają przeklasyfikowaniu wtedy i tylko wtedy, gdy Grupa zmienia model biznesowy w zakresie zarządzania aktywami finansowymi. W takim przypadku przeklasyfikowaniu podlegają te aktywa, na który zmiana modelu biznesowego miała wpływ. </w:t>
      </w:r>
    </w:p>
    <w:p w14:paraId="718AE62F"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Grupa nie dokonuje przeklasyfikowania żadnych zobowiązań finansowych.</w:t>
      </w:r>
    </w:p>
    <w:p w14:paraId="6026552D" w14:textId="77777777" w:rsidR="00D92A1C" w:rsidRPr="00C12AFA" w:rsidRDefault="00D92A1C" w:rsidP="00D92A1C">
      <w:pPr>
        <w:suppressAutoHyphens/>
        <w:jc w:val="both"/>
        <w:rPr>
          <w:rFonts w:cs="Tahoma"/>
          <w:sz w:val="18"/>
          <w:szCs w:val="18"/>
        </w:rPr>
      </w:pPr>
    </w:p>
    <w:p w14:paraId="57960773" w14:textId="77777777" w:rsidR="000861AA" w:rsidRPr="009C7E7B" w:rsidRDefault="000861AA"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8" w:name="_Toc32999796"/>
      <w:r>
        <w:rPr>
          <w:b/>
          <w:color w:val="E41E0A"/>
          <w:sz w:val="18"/>
          <w:szCs w:val="18"/>
        </w:rPr>
        <w:t>Kompensowanie instrumentów finansowych</w:t>
      </w:r>
      <w:bookmarkEnd w:id="28"/>
    </w:p>
    <w:p w14:paraId="71D4F723" w14:textId="4FFD9DE1"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Aktywa i zobowiązania finansowe kompensuje się i wykazuje w sprawozdaniu z sytuacji finansowej w kwocie netto, jeżeli występuje możliwe do wyegzekwowania na drodze prawnej prawo do</w:t>
      </w:r>
      <w:r w:rsidR="00E70E5F">
        <w:rPr>
          <w:rFonts w:cs="Tahoma"/>
          <w:color w:val="000000" w:themeColor="text1"/>
          <w:sz w:val="18"/>
          <w:szCs w:val="18"/>
        </w:rPr>
        <w:t> </w:t>
      </w:r>
      <w:r w:rsidRPr="00977E53">
        <w:rPr>
          <w:rFonts w:cs="Tahoma"/>
          <w:color w:val="000000" w:themeColor="text1"/>
          <w:sz w:val="18"/>
          <w:szCs w:val="18"/>
        </w:rPr>
        <w:t>skompensowania ujętych kwot oraz zamiar rozliczenia ich w kwocie netto lub jednoczesnej realizacji danego składnika aktywów i uregulowania zobowiązania. Powyższe warunki uznaje się za niespełnione, a dokonanie kompensaty za niewłaściwe, gdy: różne instrumenty finansowe łączy się tak, aby naśladowały cechy pojedynczego instrumentu, aktywa i zobowiązania finansowe wynikają z instrumentów finansowych obciążonych takim samym ryzykiem ale dotyczą różnych kontrahentów, aktywa finansowe lub inne aktywa stanowią zabezpieczenie zobowiązań finansowych bez prawa regresu, aktywa finansowe są wnoszone przez dłużnika na rachunek powierniczy w celu wywiązania się ze zobowiązania ale nie zostały jeszcze przyjęte przez wierzyciela jako spłata zobowiązania lub gdy oczekuje się, że obowiązki powstałe na skutek zdarzeń powodujących straty zostaną rozliczone przez stronę trzecią na podstawie roszczenia zgłoszonego z tytułu umowy ubezpieczeniowej.</w:t>
      </w:r>
    </w:p>
    <w:p w14:paraId="2D155FD9" w14:textId="77777777" w:rsidR="00E13100" w:rsidRPr="00C12AFA" w:rsidRDefault="00E13100" w:rsidP="000861AA">
      <w:pPr>
        <w:jc w:val="both"/>
        <w:rPr>
          <w:rFonts w:cs="Tahoma"/>
          <w:sz w:val="18"/>
          <w:szCs w:val="18"/>
        </w:rPr>
      </w:pPr>
    </w:p>
    <w:p w14:paraId="280AD396" w14:textId="77777777" w:rsidR="000861AA" w:rsidRPr="009C7E7B" w:rsidRDefault="000861AA"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29" w:name="_Toc32999797"/>
      <w:r>
        <w:rPr>
          <w:b/>
          <w:color w:val="E41E0A"/>
          <w:sz w:val="18"/>
          <w:szCs w:val="18"/>
        </w:rPr>
        <w:t>Utrata wartości aktywów finansowych</w:t>
      </w:r>
      <w:bookmarkEnd w:id="29"/>
    </w:p>
    <w:p w14:paraId="59C23ED0" w14:textId="11F1E2F6" w:rsidR="00526DF1"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Instrumenty finansowe podlegające wymogom szacowania kosztów z tytułu ryzyka kredytowego to: aktywa finansowe wyceniane w zamortyzowanym koszcie, aktywa finansowe wyceniane przez inne całkowite dochody, zobowiązania do udzielania pożyczek jeżeli nie są wyceniane w wartości godziwej przez rachunek wyników, umowy gwarancji finansowej jeżeli nie są wyceniane w wartości godziwej przez rachunek wyników, należności l</w:t>
      </w:r>
      <w:r w:rsidR="00F437CD">
        <w:rPr>
          <w:rFonts w:cs="Tahoma"/>
          <w:color w:val="000000" w:themeColor="text1"/>
          <w:sz w:val="18"/>
          <w:szCs w:val="18"/>
        </w:rPr>
        <w:t>easingowe ujmowane zgodnie z MSSF 16</w:t>
      </w:r>
      <w:r w:rsidRPr="00526DF1">
        <w:rPr>
          <w:rFonts w:cs="Tahoma"/>
          <w:color w:val="000000" w:themeColor="text1"/>
          <w:sz w:val="18"/>
          <w:szCs w:val="18"/>
        </w:rPr>
        <w:t>, składniki aktywów kontraktowych z tytułu umów ujmowane zgodnie z MSSF 15, a także należności handlowe.</w:t>
      </w:r>
    </w:p>
    <w:p w14:paraId="23EF75C0" w14:textId="7A94F80A" w:rsidR="00123293"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Szczegółowy opis zagadnień dotyczący zasad wyznaczania oczekiwanych strat kredytowych został zamieszczony w Nocie 3.3.6.</w:t>
      </w:r>
    </w:p>
    <w:p w14:paraId="14E13244" w14:textId="77777777" w:rsidR="00BC6B0E" w:rsidRPr="00526DF1" w:rsidRDefault="00BC6B0E" w:rsidP="00526DF1">
      <w:pPr>
        <w:suppressAutoHyphens/>
        <w:spacing w:before="120" w:after="120"/>
        <w:jc w:val="both"/>
        <w:rPr>
          <w:rFonts w:cs="Tahoma"/>
          <w:color w:val="000000" w:themeColor="text1"/>
          <w:sz w:val="18"/>
          <w:szCs w:val="18"/>
          <w:u w:val="single"/>
        </w:rPr>
      </w:pPr>
      <w:r w:rsidRPr="00526DF1">
        <w:rPr>
          <w:rFonts w:cs="Tahoma"/>
          <w:color w:val="000000" w:themeColor="text1"/>
          <w:sz w:val="18"/>
          <w:szCs w:val="18"/>
          <w:u w:val="single"/>
        </w:rPr>
        <w:t>Zasady klasyfikacji ekspozycji do koszyków</w:t>
      </w:r>
    </w:p>
    <w:p w14:paraId="60089142"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t xml:space="preserve">Logika transferu jest to algorytm klasyfikacji ekspozycji do jednego z czterech Koszyków (ang. stage): 1, 2, 3, POCI. </w:t>
      </w:r>
    </w:p>
    <w:p w14:paraId="43B98018"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t xml:space="preserve">Koszyk 1 zawiera ekspozycje, dla których kalkulacja oczekiwanych strat kredytowych odbywa się w horyzoncie 12 miesięcy. </w:t>
      </w:r>
    </w:p>
    <w:p w14:paraId="3E7400DF"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t xml:space="preserve">Koszyk 2 zawiera ekspozycje, dla których na datę raportową zidentyfikowano istotne pogorszenie jakości kredytowej w stosunku do daty początkowego ujęcia ekspozycji - kalkulacja oczekiwanych strat kredytowych odbywa się w horyzoncie dożywotnim (ang. lifetime). </w:t>
      </w:r>
    </w:p>
    <w:p w14:paraId="035230ED"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t>Koszyk 3 zawiera ekspozycje, dla których została stwierdzona przesłanka utraty wartości.</w:t>
      </w:r>
    </w:p>
    <w:p w14:paraId="032B9346"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lastRenderedPageBreak/>
        <w:t xml:space="preserve">Koszyk POCI zawiera aktywa, dla których przesłanka utraty wartości została zidentyfikowana na moment początkowego ujęcia. </w:t>
      </w:r>
    </w:p>
    <w:p w14:paraId="39BD8720" w14:textId="11CFBAEF" w:rsidR="00526DF1" w:rsidRPr="00526DF1" w:rsidRDefault="00526DF1" w:rsidP="00526DF1">
      <w:pPr>
        <w:spacing w:before="120"/>
        <w:jc w:val="both"/>
        <w:rPr>
          <w:rFonts w:cs="Tahoma"/>
          <w:color w:val="000000" w:themeColor="text1"/>
          <w:sz w:val="18"/>
          <w:szCs w:val="18"/>
        </w:rPr>
      </w:pPr>
      <w:r w:rsidRPr="00526DF1">
        <w:rPr>
          <w:rFonts w:cs="Tahoma"/>
          <w:color w:val="000000" w:themeColor="text1"/>
          <w:sz w:val="18"/>
          <w:szCs w:val="18"/>
        </w:rPr>
        <w:t>Szczegółowy opis zagadnień dotyczący zasad klasyfikacji ekspozycji do koszyków został zamieszczony w Nocie 3.3.6.1.</w:t>
      </w:r>
    </w:p>
    <w:p w14:paraId="08C4BCD1" w14:textId="77777777" w:rsidR="00526DF1" w:rsidRPr="00526DF1" w:rsidRDefault="00526DF1" w:rsidP="00526DF1">
      <w:pPr>
        <w:suppressAutoHyphens/>
        <w:spacing w:before="120"/>
        <w:jc w:val="both"/>
        <w:rPr>
          <w:rFonts w:cs="Tahoma"/>
          <w:color w:val="000000" w:themeColor="text1"/>
          <w:sz w:val="18"/>
          <w:szCs w:val="18"/>
          <w:u w:val="single"/>
        </w:rPr>
      </w:pPr>
      <w:r w:rsidRPr="00526DF1">
        <w:rPr>
          <w:rFonts w:cs="Tahoma"/>
          <w:color w:val="000000" w:themeColor="text1"/>
          <w:sz w:val="18"/>
          <w:szCs w:val="18"/>
          <w:u w:val="single"/>
        </w:rPr>
        <w:t>Istotne pogorszenie jakości kredytowej</w:t>
      </w:r>
    </w:p>
    <w:p w14:paraId="7E8C518C" w14:textId="77777777" w:rsidR="00526DF1" w:rsidRPr="00526DF1" w:rsidRDefault="00526DF1" w:rsidP="00526DF1">
      <w:pPr>
        <w:autoSpaceDE w:val="0"/>
        <w:autoSpaceDN w:val="0"/>
        <w:adjustRightInd w:val="0"/>
        <w:spacing w:before="120"/>
        <w:jc w:val="both"/>
        <w:rPr>
          <w:rFonts w:cs="Tahoma"/>
          <w:color w:val="000000" w:themeColor="text1"/>
          <w:sz w:val="18"/>
          <w:szCs w:val="18"/>
        </w:rPr>
      </w:pPr>
      <w:r w:rsidRPr="00526DF1">
        <w:rPr>
          <w:rFonts w:cs="Tahoma"/>
          <w:color w:val="000000" w:themeColor="text1"/>
          <w:sz w:val="18"/>
          <w:szCs w:val="18"/>
        </w:rPr>
        <w:t>Identyfikacja istotnego pogorszenia jakości kredytowej aktywa odbywa się na bazie kryterium ilościowego i kryteriów jakościowych, przy czym o klasyfikacji aktywa do Koszyka 2 decyduje wystąpienie przynajmniej jednego z kryteriów jakościowych lub kryterium ilościowego.</w:t>
      </w:r>
    </w:p>
    <w:p w14:paraId="68216DD4" w14:textId="3A50A9F7" w:rsidR="00526DF1" w:rsidRPr="00570AC4" w:rsidRDefault="00526DF1" w:rsidP="00526DF1">
      <w:pPr>
        <w:suppressAutoHyphens/>
        <w:spacing w:before="60"/>
        <w:jc w:val="both"/>
        <w:rPr>
          <w:rFonts w:cs="Tahoma"/>
          <w:color w:val="000000" w:themeColor="text1"/>
          <w:sz w:val="18"/>
          <w:szCs w:val="18"/>
          <w:u w:val="single"/>
        </w:rPr>
      </w:pPr>
      <w:r w:rsidRPr="00570AC4">
        <w:rPr>
          <w:rFonts w:cs="Tahoma"/>
          <w:color w:val="000000" w:themeColor="text1"/>
          <w:sz w:val="18"/>
          <w:szCs w:val="18"/>
          <w:u w:val="single"/>
        </w:rPr>
        <w:t>Odrzucenie założenia o istotnym</w:t>
      </w:r>
      <w:r w:rsidR="00570AC4">
        <w:rPr>
          <w:rFonts w:cs="Tahoma"/>
          <w:color w:val="000000" w:themeColor="text1"/>
          <w:sz w:val="18"/>
          <w:szCs w:val="18"/>
          <w:u w:val="single"/>
        </w:rPr>
        <w:t xml:space="preserve"> pogorszeniu jakości kredytowej</w:t>
      </w:r>
    </w:p>
    <w:p w14:paraId="657F5586" w14:textId="77777777" w:rsidR="00526DF1" w:rsidRPr="00526DF1" w:rsidRDefault="00526DF1" w:rsidP="00526DF1">
      <w:pPr>
        <w:spacing w:before="120" w:after="120"/>
        <w:jc w:val="both"/>
        <w:rPr>
          <w:rFonts w:cs="Tahoma"/>
          <w:color w:val="000000" w:themeColor="text1"/>
          <w:sz w:val="18"/>
          <w:szCs w:val="18"/>
        </w:rPr>
      </w:pPr>
      <w:r w:rsidRPr="00526DF1">
        <w:rPr>
          <w:rFonts w:cs="Tahoma"/>
          <w:color w:val="000000" w:themeColor="text1"/>
          <w:sz w:val="18"/>
          <w:szCs w:val="18"/>
        </w:rPr>
        <w:t xml:space="preserve">Podejście Banku do odrzucenia założenia o istotnym pogorszeniu jakości kredytowej w przypadku wystąpienia DPD&gt;=31 dni (ang. Rebuttable presumption) polega na wprowadzeniu progu materialności (progu aktywacji) zaległej wobec Banku kwoty. Kryterium DPD&gt;=31 dni (jedno z jakościowych kryteriów Logiki Transferu) nie jest brane pod uwagę, gdy: </w:t>
      </w:r>
    </w:p>
    <w:p w14:paraId="6100EB04" w14:textId="431458D6" w:rsidR="00526DF1" w:rsidRDefault="00526DF1" w:rsidP="00526DF1">
      <w:pPr>
        <w:numPr>
          <w:ilvl w:val="0"/>
          <w:numId w:val="55"/>
        </w:numPr>
        <w:spacing w:before="120" w:after="120"/>
        <w:ind w:left="426" w:hanging="426"/>
        <w:contextualSpacing/>
        <w:jc w:val="both"/>
        <w:rPr>
          <w:rFonts w:cs="Tahoma"/>
          <w:color w:val="000000" w:themeColor="text1"/>
          <w:sz w:val="18"/>
          <w:szCs w:val="18"/>
        </w:rPr>
      </w:pPr>
      <w:r w:rsidRPr="00526DF1">
        <w:rPr>
          <w:rFonts w:cs="Tahoma"/>
          <w:color w:val="000000" w:themeColor="text1"/>
          <w:sz w:val="18"/>
          <w:szCs w:val="18"/>
        </w:rPr>
        <w:t>dla ekspozycji detalicznych - w przypadku ekspozycji kredytowych suma kapitału wymagalnego i niewymagalnego nie przekracza 500 PLN lub zaangażowanie pozabilansowe ekspozycji nie przekracza 500 PLN (na datę raportową),</w:t>
      </w:r>
    </w:p>
    <w:p w14:paraId="7EA0E6E0" w14:textId="77777777" w:rsidR="00526DF1" w:rsidRPr="00DE1D0A" w:rsidRDefault="00526DF1" w:rsidP="00526DF1">
      <w:pPr>
        <w:spacing w:before="120" w:after="120"/>
        <w:ind w:left="426"/>
        <w:contextualSpacing/>
        <w:jc w:val="both"/>
        <w:rPr>
          <w:rFonts w:cs="Tahoma"/>
          <w:color w:val="000000" w:themeColor="text1"/>
          <w:sz w:val="12"/>
          <w:szCs w:val="12"/>
        </w:rPr>
      </w:pPr>
    </w:p>
    <w:p w14:paraId="7B44E386" w14:textId="40C36782" w:rsidR="00526DF1" w:rsidRPr="00526DF1" w:rsidRDefault="00526DF1" w:rsidP="00E21B8D">
      <w:pPr>
        <w:numPr>
          <w:ilvl w:val="0"/>
          <w:numId w:val="55"/>
        </w:numPr>
        <w:spacing w:before="120" w:after="120"/>
        <w:ind w:left="425" w:hanging="425"/>
        <w:contextualSpacing/>
        <w:jc w:val="both"/>
        <w:rPr>
          <w:rFonts w:cs="Tahoma"/>
          <w:color w:val="000000" w:themeColor="text1"/>
          <w:sz w:val="18"/>
          <w:szCs w:val="18"/>
        </w:rPr>
      </w:pPr>
      <w:r w:rsidRPr="00526DF1">
        <w:rPr>
          <w:rFonts w:cs="Tahoma"/>
          <w:color w:val="000000" w:themeColor="text1"/>
          <w:sz w:val="18"/>
          <w:szCs w:val="18"/>
        </w:rPr>
        <w:t>dla ekspozycji korporacyjnych - na datę raportową suma kapitału wymagalnego i niewymagalnego nie przekracza 3</w:t>
      </w:r>
      <w:r w:rsidR="00E70E5F">
        <w:rPr>
          <w:rFonts w:cs="Tahoma"/>
          <w:color w:val="000000" w:themeColor="text1"/>
          <w:sz w:val="18"/>
          <w:szCs w:val="18"/>
        </w:rPr>
        <w:t> </w:t>
      </w:r>
      <w:r w:rsidRPr="00526DF1">
        <w:rPr>
          <w:rFonts w:cs="Tahoma"/>
          <w:color w:val="000000" w:themeColor="text1"/>
          <w:sz w:val="18"/>
          <w:szCs w:val="18"/>
        </w:rPr>
        <w:t>000 PLN lub zaangażowanie pozabilansowe ekspozycji nie przekracza 3</w:t>
      </w:r>
      <w:r>
        <w:rPr>
          <w:rFonts w:cs="Tahoma"/>
          <w:color w:val="000000" w:themeColor="text1"/>
          <w:sz w:val="18"/>
          <w:szCs w:val="18"/>
        </w:rPr>
        <w:t> </w:t>
      </w:r>
      <w:r w:rsidRPr="00526DF1">
        <w:rPr>
          <w:rFonts w:cs="Tahoma"/>
          <w:color w:val="000000" w:themeColor="text1"/>
          <w:sz w:val="18"/>
          <w:szCs w:val="18"/>
        </w:rPr>
        <w:t>000 PLN.</w:t>
      </w:r>
    </w:p>
    <w:p w14:paraId="7D54B3CF" w14:textId="77777777" w:rsidR="00526DF1" w:rsidRPr="00DE1D0A" w:rsidRDefault="00526DF1" w:rsidP="00526DF1">
      <w:pPr>
        <w:jc w:val="both"/>
        <w:rPr>
          <w:rFonts w:cs="Tahoma"/>
          <w:color w:val="000000" w:themeColor="text1"/>
          <w:sz w:val="12"/>
          <w:szCs w:val="12"/>
        </w:rPr>
      </w:pPr>
    </w:p>
    <w:p w14:paraId="1CD97B2D" w14:textId="0B4DCA9F" w:rsidR="00526DF1" w:rsidRPr="00526DF1" w:rsidRDefault="00526DF1" w:rsidP="00526DF1">
      <w:pPr>
        <w:jc w:val="both"/>
        <w:rPr>
          <w:rFonts w:ascii="Calibri" w:eastAsia="Calibri" w:hAnsi="Calibri"/>
          <w:color w:val="000000" w:themeColor="text1"/>
          <w:sz w:val="22"/>
          <w:szCs w:val="22"/>
          <w:u w:val="single"/>
        </w:rPr>
      </w:pPr>
      <w:r w:rsidRPr="00526DF1">
        <w:rPr>
          <w:rFonts w:cs="Tahoma"/>
          <w:color w:val="000000" w:themeColor="text1"/>
          <w:sz w:val="18"/>
          <w:szCs w:val="18"/>
        </w:rPr>
        <w:t>Szczegółowy opis zagadnień dotyczący istotnego pogorszenia jakości kredytowej został zamieszczony w</w:t>
      </w:r>
      <w:r>
        <w:rPr>
          <w:rFonts w:cs="Tahoma"/>
          <w:color w:val="000000" w:themeColor="text1"/>
          <w:sz w:val="18"/>
          <w:szCs w:val="18"/>
        </w:rPr>
        <w:t> </w:t>
      </w:r>
      <w:r w:rsidRPr="00526DF1">
        <w:rPr>
          <w:rFonts w:cs="Tahoma"/>
          <w:color w:val="000000" w:themeColor="text1"/>
          <w:sz w:val="18"/>
          <w:szCs w:val="18"/>
        </w:rPr>
        <w:t>Nocie 3.3.6.1.1.</w:t>
      </w:r>
    </w:p>
    <w:p w14:paraId="5E572B9D" w14:textId="77777777" w:rsidR="00526DF1" w:rsidRPr="00526DF1" w:rsidRDefault="00526DF1" w:rsidP="00526DF1">
      <w:pPr>
        <w:suppressAutoHyphens/>
        <w:spacing w:before="120"/>
        <w:jc w:val="both"/>
        <w:rPr>
          <w:rFonts w:cs="Tahoma"/>
          <w:color w:val="000000" w:themeColor="text1"/>
          <w:sz w:val="18"/>
          <w:szCs w:val="18"/>
          <w:u w:val="single"/>
        </w:rPr>
      </w:pPr>
      <w:r w:rsidRPr="00526DF1">
        <w:rPr>
          <w:rFonts w:cs="Tahoma"/>
          <w:color w:val="000000" w:themeColor="text1"/>
          <w:sz w:val="18"/>
          <w:szCs w:val="18"/>
          <w:u w:val="single"/>
        </w:rPr>
        <w:t>Niskie ryzyko kredytowe</w:t>
      </w:r>
    </w:p>
    <w:p w14:paraId="5130FDB3" w14:textId="149443E9" w:rsidR="00526DF1"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Zgod</w:t>
      </w:r>
      <w:r w:rsidR="001A718A">
        <w:rPr>
          <w:rFonts w:cs="Tahoma"/>
          <w:color w:val="000000" w:themeColor="text1"/>
          <w:sz w:val="18"/>
          <w:szCs w:val="18"/>
        </w:rPr>
        <w:t>nie z zapisami Standardu MSSF</w:t>
      </w:r>
      <w:r w:rsidRPr="00526DF1">
        <w:rPr>
          <w:rFonts w:cs="Tahoma"/>
          <w:color w:val="000000" w:themeColor="text1"/>
          <w:sz w:val="18"/>
          <w:szCs w:val="18"/>
        </w:rPr>
        <w:t xml:space="preserve"> 9, Bank wyodrębnia kategorię aktywów z niskim ryzykiem kredytowym (ang. Low Credit Risk, LCR). Aktywa oznaczone jako LCR nie podlegają procesowi identyfikacji przesłanek istotnego pogorszenia jakości kredytowej (jeżeli nie są w statusie default, to znajdują się</w:t>
      </w:r>
      <w:r w:rsidR="001B6A2D">
        <w:rPr>
          <w:rFonts w:cs="Tahoma"/>
          <w:color w:val="000000" w:themeColor="text1"/>
          <w:sz w:val="18"/>
          <w:szCs w:val="18"/>
        </w:rPr>
        <w:t> </w:t>
      </w:r>
      <w:r w:rsidRPr="00526DF1">
        <w:rPr>
          <w:rFonts w:cs="Tahoma"/>
          <w:color w:val="000000" w:themeColor="text1"/>
          <w:sz w:val="18"/>
          <w:szCs w:val="18"/>
        </w:rPr>
        <w:t>w</w:t>
      </w:r>
      <w:r>
        <w:rPr>
          <w:rFonts w:cs="Tahoma"/>
          <w:color w:val="000000" w:themeColor="text1"/>
          <w:sz w:val="18"/>
          <w:szCs w:val="18"/>
        </w:rPr>
        <w:t> </w:t>
      </w:r>
      <w:r w:rsidRPr="00526DF1">
        <w:rPr>
          <w:rFonts w:cs="Tahoma"/>
          <w:color w:val="000000" w:themeColor="text1"/>
          <w:sz w:val="18"/>
          <w:szCs w:val="18"/>
        </w:rPr>
        <w:t>Koszyku 1).</w:t>
      </w:r>
    </w:p>
    <w:p w14:paraId="5F81A9CC" w14:textId="53DF5829" w:rsidR="00526DF1"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Szczegółowy opis zagadnień dotyczący kryterium niskiego ryzyka kredytowego został zamieszczony w</w:t>
      </w:r>
      <w:r>
        <w:rPr>
          <w:rFonts w:cs="Tahoma"/>
          <w:color w:val="000000" w:themeColor="text1"/>
          <w:sz w:val="18"/>
          <w:szCs w:val="18"/>
        </w:rPr>
        <w:t> </w:t>
      </w:r>
      <w:r w:rsidRPr="00526DF1">
        <w:rPr>
          <w:rFonts w:cs="Tahoma"/>
          <w:color w:val="000000" w:themeColor="text1"/>
          <w:sz w:val="18"/>
          <w:szCs w:val="18"/>
        </w:rPr>
        <w:t>Nocie 3.3.6.1.2.</w:t>
      </w:r>
    </w:p>
    <w:p w14:paraId="3A042518" w14:textId="77777777" w:rsidR="00526DF1" w:rsidRPr="00526DF1" w:rsidRDefault="00526DF1" w:rsidP="00526DF1">
      <w:pPr>
        <w:spacing w:before="120"/>
        <w:jc w:val="both"/>
        <w:rPr>
          <w:rFonts w:cs="Tahoma"/>
          <w:color w:val="000000" w:themeColor="text1"/>
          <w:sz w:val="18"/>
          <w:szCs w:val="18"/>
          <w:u w:val="single"/>
        </w:rPr>
      </w:pPr>
      <w:r w:rsidRPr="00526DF1">
        <w:rPr>
          <w:rFonts w:cs="Tahoma"/>
          <w:color w:val="000000" w:themeColor="text1"/>
          <w:sz w:val="18"/>
          <w:szCs w:val="18"/>
          <w:u w:val="single"/>
        </w:rPr>
        <w:t>Utrata wartości</w:t>
      </w:r>
    </w:p>
    <w:p w14:paraId="4C0FEEDF" w14:textId="17A7761A" w:rsidR="00526DF1" w:rsidRPr="00526DF1" w:rsidRDefault="00526DF1" w:rsidP="00526DF1">
      <w:pPr>
        <w:spacing w:before="120"/>
        <w:jc w:val="both"/>
        <w:rPr>
          <w:rFonts w:cs="Tahoma"/>
          <w:color w:val="000000" w:themeColor="text1"/>
          <w:sz w:val="18"/>
          <w:szCs w:val="18"/>
        </w:rPr>
      </w:pPr>
      <w:r w:rsidRPr="00526DF1">
        <w:rPr>
          <w:rFonts w:cs="Tahoma"/>
          <w:color w:val="000000" w:themeColor="text1"/>
          <w:sz w:val="18"/>
          <w:szCs w:val="18"/>
        </w:rPr>
        <w:t>Bank stosuje jednolitą definicję niewykonania zobowiązania (default) we wszystkich obszarach zarządzania ryzykiem kredytowym, w tym dla celów kalkulacji oczekiwanych strat kredytowych i wymogu kapitałowego. Podstawą przyjętej definicji default jest definicja niewykonania zobowiązania zawarta w</w:t>
      </w:r>
      <w:r>
        <w:rPr>
          <w:rFonts w:cs="Tahoma"/>
          <w:color w:val="000000" w:themeColor="text1"/>
          <w:sz w:val="18"/>
          <w:szCs w:val="18"/>
        </w:rPr>
        <w:t> </w:t>
      </w:r>
      <w:r w:rsidRPr="00526DF1">
        <w:rPr>
          <w:rFonts w:cs="Tahoma"/>
          <w:color w:val="000000" w:themeColor="text1"/>
          <w:sz w:val="18"/>
          <w:szCs w:val="18"/>
        </w:rPr>
        <w:t xml:space="preserve">Rozporządzeniu CRR. </w:t>
      </w:r>
    </w:p>
    <w:p w14:paraId="1A4BC318" w14:textId="77777777" w:rsidR="00526DF1" w:rsidRPr="00526DF1" w:rsidRDefault="00526DF1" w:rsidP="00526DF1">
      <w:pPr>
        <w:spacing w:before="120"/>
        <w:jc w:val="both"/>
        <w:rPr>
          <w:rFonts w:cs="Tahoma"/>
          <w:color w:val="000000" w:themeColor="text1"/>
          <w:sz w:val="18"/>
          <w:szCs w:val="18"/>
        </w:rPr>
      </w:pPr>
      <w:r w:rsidRPr="00526DF1">
        <w:rPr>
          <w:rFonts w:cs="Tahoma"/>
          <w:color w:val="000000" w:themeColor="text1"/>
          <w:sz w:val="18"/>
          <w:szCs w:val="18"/>
        </w:rPr>
        <w:t>Przeklasyfikowanie klienta do kategorii default dokonywane jest w przypadku wystąpienia przesłanki utraty wartości. Przeklasyfikowanie co najmniej jednego zobowiązania kredytowego klienta do kategorii default powoduje przeklasyfikowanie wszystkich zobowiązań kredytowych i niekredytowych klienta do kategorii default.</w:t>
      </w:r>
    </w:p>
    <w:p w14:paraId="678840A4" w14:textId="77777777" w:rsidR="00526DF1" w:rsidRPr="00526DF1" w:rsidRDefault="00526DF1" w:rsidP="00526DF1">
      <w:pPr>
        <w:spacing w:before="120"/>
        <w:jc w:val="both"/>
        <w:rPr>
          <w:rFonts w:cs="Tahoma"/>
          <w:color w:val="000000" w:themeColor="text1"/>
          <w:sz w:val="18"/>
          <w:szCs w:val="18"/>
        </w:rPr>
      </w:pPr>
      <w:r w:rsidRPr="00526DF1">
        <w:rPr>
          <w:rFonts w:cs="Tahoma"/>
          <w:color w:val="000000" w:themeColor="text1"/>
          <w:sz w:val="18"/>
          <w:szCs w:val="18"/>
        </w:rPr>
        <w:t>Szczegółowy opis zagadnień dotyczący przesłanek utraty wartości został zamieszczony w Notach 3.3.6.1.3 (należności korporacyjne) oraz 3.3.6.1.4 (należności detaliczne).</w:t>
      </w:r>
    </w:p>
    <w:p w14:paraId="281AA82A" w14:textId="77777777" w:rsidR="00526DF1" w:rsidRPr="00526DF1" w:rsidRDefault="00526DF1" w:rsidP="00526DF1">
      <w:pPr>
        <w:suppressAutoHyphens/>
        <w:spacing w:before="120"/>
        <w:jc w:val="both"/>
        <w:rPr>
          <w:rFonts w:cs="Tahoma"/>
          <w:color w:val="000000" w:themeColor="text1"/>
          <w:sz w:val="18"/>
          <w:szCs w:val="18"/>
          <w:u w:val="single"/>
        </w:rPr>
      </w:pPr>
      <w:r w:rsidRPr="00526DF1">
        <w:rPr>
          <w:rFonts w:cs="Tahoma"/>
          <w:color w:val="000000" w:themeColor="text1"/>
          <w:sz w:val="18"/>
          <w:szCs w:val="18"/>
          <w:u w:val="single"/>
        </w:rPr>
        <w:t>Szacowanie oczekiwanych strat kredytowych</w:t>
      </w:r>
    </w:p>
    <w:p w14:paraId="21B21B6A" w14:textId="10D2BC1F" w:rsidR="00526DF1" w:rsidRDefault="00526DF1" w:rsidP="00526DF1">
      <w:pPr>
        <w:spacing w:before="120"/>
        <w:jc w:val="both"/>
        <w:rPr>
          <w:rFonts w:cs="Tahoma"/>
          <w:color w:val="000000" w:themeColor="text1"/>
          <w:sz w:val="18"/>
          <w:szCs w:val="18"/>
        </w:rPr>
      </w:pPr>
      <w:r w:rsidRPr="00526DF1">
        <w:rPr>
          <w:rFonts w:cs="Tahoma"/>
          <w:color w:val="000000" w:themeColor="text1"/>
          <w:sz w:val="18"/>
          <w:szCs w:val="18"/>
        </w:rPr>
        <w:t>Kalkulacja oczekiwanej straty kredytowej odbywa się dla ekspozycji, które na datę raportową są aktywne oraz posiadają niezerowe zaangażowanie (bilansowe i pozabilansowe). Oszacowanie wartości oczekiwanej straty kredytowej odbywa się odrębnie dla bilansowej, jak też pozabilansowej części ekspozycji. W</w:t>
      </w:r>
      <w:r w:rsidR="009046CC">
        <w:rPr>
          <w:rFonts w:cs="Tahoma"/>
          <w:color w:val="000000" w:themeColor="text1"/>
          <w:sz w:val="18"/>
          <w:szCs w:val="18"/>
        </w:rPr>
        <w:t> </w:t>
      </w:r>
      <w:r w:rsidRPr="00526DF1">
        <w:rPr>
          <w:rFonts w:cs="Tahoma"/>
          <w:color w:val="000000" w:themeColor="text1"/>
          <w:sz w:val="18"/>
          <w:szCs w:val="18"/>
        </w:rPr>
        <w:t>kalkulacji oczekiwanych strat kredytowych stosowane jest:</w:t>
      </w:r>
    </w:p>
    <w:p w14:paraId="3875D7AC" w14:textId="77777777" w:rsidR="00526DF1" w:rsidRPr="008E59F9" w:rsidRDefault="00526DF1" w:rsidP="00526DF1">
      <w:pPr>
        <w:jc w:val="both"/>
        <w:rPr>
          <w:rFonts w:cs="Tahoma"/>
          <w:color w:val="000000" w:themeColor="text1"/>
          <w:sz w:val="10"/>
          <w:szCs w:val="10"/>
        </w:rPr>
      </w:pPr>
    </w:p>
    <w:p w14:paraId="48D28846" w14:textId="301531BA" w:rsidR="00526DF1" w:rsidRDefault="00526DF1" w:rsidP="00526DF1">
      <w:pPr>
        <w:numPr>
          <w:ilvl w:val="0"/>
          <w:numId w:val="73"/>
        </w:numPr>
        <w:spacing w:before="120" w:after="160" w:line="259" w:lineRule="auto"/>
        <w:ind w:left="426" w:hanging="284"/>
        <w:contextualSpacing/>
        <w:jc w:val="both"/>
        <w:rPr>
          <w:rFonts w:cs="Tahoma"/>
          <w:color w:val="000000" w:themeColor="text1"/>
          <w:sz w:val="18"/>
          <w:szCs w:val="18"/>
        </w:rPr>
      </w:pPr>
      <w:r w:rsidRPr="00526DF1">
        <w:rPr>
          <w:rFonts w:cs="Tahoma"/>
          <w:color w:val="000000" w:themeColor="text1"/>
          <w:sz w:val="18"/>
          <w:szCs w:val="18"/>
        </w:rPr>
        <w:t>podejście portfelowe: dotyczy ekspozycji, dla których na datę raportową nie stwierdzono przesłanki utraty wartości oraz ekspozycji z portfela detalicznego ze stwierdzoną przesłanką utraty wartości (z</w:t>
      </w:r>
      <w:r>
        <w:rPr>
          <w:rFonts w:cs="Tahoma"/>
          <w:color w:val="000000" w:themeColor="text1"/>
          <w:sz w:val="18"/>
          <w:szCs w:val="18"/>
        </w:rPr>
        <w:t> </w:t>
      </w:r>
      <w:r w:rsidRPr="00526DF1">
        <w:rPr>
          <w:rFonts w:cs="Tahoma"/>
          <w:color w:val="000000" w:themeColor="text1"/>
          <w:sz w:val="18"/>
          <w:szCs w:val="18"/>
        </w:rPr>
        <w:t>wyłączenie</w:t>
      </w:r>
      <w:r w:rsidR="007D7447">
        <w:rPr>
          <w:rFonts w:cs="Tahoma"/>
          <w:color w:val="000000" w:themeColor="text1"/>
          <w:sz w:val="18"/>
          <w:szCs w:val="18"/>
        </w:rPr>
        <w:t>m</w:t>
      </w:r>
      <w:r w:rsidRPr="00526DF1">
        <w:rPr>
          <w:rFonts w:cs="Tahoma"/>
          <w:color w:val="000000" w:themeColor="text1"/>
          <w:sz w:val="18"/>
          <w:szCs w:val="18"/>
        </w:rPr>
        <w:t xml:space="preserve"> ekspozycji, dla których stosowane jest podejście indywidualne)</w:t>
      </w:r>
      <w:r w:rsidR="009046CC">
        <w:rPr>
          <w:rFonts w:cs="Tahoma"/>
          <w:color w:val="000000" w:themeColor="text1"/>
          <w:sz w:val="18"/>
          <w:szCs w:val="18"/>
        </w:rPr>
        <w:t>,</w:t>
      </w:r>
    </w:p>
    <w:p w14:paraId="2ED31C89" w14:textId="77777777" w:rsidR="00526DF1" w:rsidRPr="008E59F9" w:rsidRDefault="00526DF1" w:rsidP="00526DF1">
      <w:pPr>
        <w:spacing w:before="120" w:after="160" w:line="259" w:lineRule="auto"/>
        <w:ind w:left="426"/>
        <w:contextualSpacing/>
        <w:jc w:val="both"/>
        <w:rPr>
          <w:rFonts w:cs="Tahoma"/>
          <w:color w:val="000000" w:themeColor="text1"/>
          <w:sz w:val="10"/>
          <w:szCs w:val="10"/>
        </w:rPr>
      </w:pPr>
    </w:p>
    <w:p w14:paraId="4FC2CC4E" w14:textId="4E2A21FE" w:rsidR="00526DF1" w:rsidRPr="00526DF1" w:rsidRDefault="00526DF1" w:rsidP="00526DF1">
      <w:pPr>
        <w:numPr>
          <w:ilvl w:val="0"/>
          <w:numId w:val="73"/>
        </w:numPr>
        <w:spacing w:before="120" w:after="160" w:line="259" w:lineRule="auto"/>
        <w:ind w:left="426" w:hanging="284"/>
        <w:contextualSpacing/>
        <w:jc w:val="both"/>
        <w:rPr>
          <w:rFonts w:cs="Tahoma"/>
          <w:color w:val="000000" w:themeColor="text1"/>
          <w:sz w:val="18"/>
          <w:szCs w:val="18"/>
        </w:rPr>
      </w:pPr>
      <w:r w:rsidRPr="00526DF1">
        <w:rPr>
          <w:rFonts w:cs="Tahoma"/>
          <w:color w:val="000000" w:themeColor="text1"/>
          <w:sz w:val="18"/>
          <w:szCs w:val="18"/>
        </w:rPr>
        <w:t>podejście indywidualne: dotyczy wszystkich ekspozycji korporacyjnych oraz wszystkich ekspozycji klientów Private Banking rejestrowanych w systemach korporacyjnych, dla których stwierdzono przesłankę utraty wartości, a także w określonych przypadkach ekspozycji mikrofirm detalicznych, dla</w:t>
      </w:r>
      <w:r w:rsidR="001B6A2D">
        <w:rPr>
          <w:rFonts w:cs="Tahoma"/>
          <w:color w:val="000000" w:themeColor="text1"/>
          <w:sz w:val="18"/>
          <w:szCs w:val="18"/>
        </w:rPr>
        <w:t> </w:t>
      </w:r>
      <w:r w:rsidRPr="00526DF1">
        <w:rPr>
          <w:rFonts w:cs="Tahoma"/>
          <w:color w:val="000000" w:themeColor="text1"/>
          <w:sz w:val="18"/>
          <w:szCs w:val="18"/>
        </w:rPr>
        <w:t>których stwierdzono przesłankę utraty wartości.</w:t>
      </w:r>
    </w:p>
    <w:p w14:paraId="1FB48387" w14:textId="77777777" w:rsidR="00526DF1" w:rsidRPr="008E59F9" w:rsidRDefault="00526DF1" w:rsidP="00526DF1">
      <w:pPr>
        <w:spacing w:before="120"/>
        <w:jc w:val="both"/>
        <w:rPr>
          <w:rFonts w:cs="Tahoma"/>
          <w:color w:val="000000" w:themeColor="text1"/>
          <w:sz w:val="10"/>
          <w:szCs w:val="10"/>
        </w:rPr>
      </w:pPr>
    </w:p>
    <w:p w14:paraId="7F24B53B" w14:textId="4D6F065A" w:rsidR="008E59F9" w:rsidRDefault="00526DF1" w:rsidP="00526DF1">
      <w:pPr>
        <w:jc w:val="both"/>
        <w:rPr>
          <w:rFonts w:cs="Tahoma"/>
          <w:color w:val="000000" w:themeColor="text1"/>
          <w:sz w:val="18"/>
          <w:szCs w:val="18"/>
        </w:rPr>
      </w:pPr>
      <w:r w:rsidRPr="00526DF1">
        <w:rPr>
          <w:rFonts w:cs="Tahoma"/>
          <w:color w:val="000000" w:themeColor="text1"/>
          <w:sz w:val="18"/>
          <w:szCs w:val="18"/>
        </w:rPr>
        <w:t>Szczegółowy opis zagadnień dotyczący szacowania oczekiwanych strat kredytowych został zamieszczony w Nocie 3.3.6.2.</w:t>
      </w:r>
    </w:p>
    <w:p w14:paraId="37537639" w14:textId="77777777" w:rsidR="008E59F9" w:rsidRDefault="008E59F9">
      <w:pPr>
        <w:rPr>
          <w:rFonts w:cs="Tahoma"/>
          <w:color w:val="000000" w:themeColor="text1"/>
          <w:sz w:val="18"/>
          <w:szCs w:val="18"/>
        </w:rPr>
      </w:pPr>
      <w:r>
        <w:rPr>
          <w:rFonts w:cs="Tahoma"/>
          <w:color w:val="000000" w:themeColor="text1"/>
          <w:sz w:val="18"/>
          <w:szCs w:val="18"/>
        </w:rPr>
        <w:br w:type="page"/>
      </w:r>
    </w:p>
    <w:p w14:paraId="1DBC7B1C" w14:textId="38EB4491" w:rsidR="00526DF1" w:rsidRPr="00526DF1" w:rsidRDefault="00526DF1" w:rsidP="00526DF1">
      <w:pPr>
        <w:suppressAutoHyphens/>
        <w:jc w:val="both"/>
        <w:rPr>
          <w:rFonts w:cs="Tahoma"/>
          <w:color w:val="000000" w:themeColor="text1"/>
          <w:sz w:val="18"/>
          <w:szCs w:val="18"/>
          <w:u w:val="single"/>
        </w:rPr>
      </w:pPr>
      <w:r w:rsidRPr="00526DF1">
        <w:rPr>
          <w:rFonts w:cs="Tahoma"/>
          <w:color w:val="000000" w:themeColor="text1"/>
          <w:sz w:val="18"/>
          <w:szCs w:val="18"/>
          <w:u w:val="single"/>
        </w:rPr>
        <w:lastRenderedPageBreak/>
        <w:t>Spisanie należności kredytowej</w:t>
      </w:r>
    </w:p>
    <w:p w14:paraId="62CB977E" w14:textId="77777777" w:rsidR="00526DF1"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 xml:space="preserve">Spisanie należności kredytowej może dotyczyć całości bądź części składnika aktywów finansowych. </w:t>
      </w:r>
    </w:p>
    <w:p w14:paraId="377FB110" w14:textId="25B04C08" w:rsid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W przypadku bankowości detalicznej, odpisanie wierzytelności może być zrealizowane w sytuacji:</w:t>
      </w:r>
    </w:p>
    <w:p w14:paraId="77619928" w14:textId="77777777" w:rsidR="00526DF1" w:rsidRPr="001D10EA" w:rsidRDefault="00526DF1" w:rsidP="00526DF1">
      <w:pPr>
        <w:suppressAutoHyphens/>
        <w:jc w:val="both"/>
        <w:rPr>
          <w:rFonts w:cs="Tahoma"/>
          <w:color w:val="000000" w:themeColor="text1"/>
          <w:sz w:val="12"/>
          <w:szCs w:val="12"/>
        </w:rPr>
      </w:pPr>
    </w:p>
    <w:p w14:paraId="38B8890E" w14:textId="5FE0810D" w:rsidR="00526DF1" w:rsidRDefault="00526DF1" w:rsidP="00526DF1">
      <w:pPr>
        <w:numPr>
          <w:ilvl w:val="0"/>
          <w:numId w:val="74"/>
        </w:numPr>
        <w:suppressAutoHyphens/>
        <w:spacing w:before="120" w:after="120"/>
        <w:ind w:left="284" w:hanging="284"/>
        <w:contextualSpacing/>
        <w:jc w:val="both"/>
        <w:rPr>
          <w:rFonts w:cs="Tahoma"/>
          <w:color w:val="000000" w:themeColor="text1"/>
          <w:sz w:val="18"/>
          <w:szCs w:val="18"/>
        </w:rPr>
      </w:pPr>
      <w:r w:rsidRPr="00526DF1">
        <w:rPr>
          <w:rFonts w:cs="Tahoma"/>
          <w:color w:val="000000" w:themeColor="text1"/>
          <w:sz w:val="18"/>
          <w:szCs w:val="18"/>
        </w:rPr>
        <w:t>Braku możliwości dochodzenia wierzytelności, np.:</w:t>
      </w:r>
    </w:p>
    <w:p w14:paraId="42C3B879" w14:textId="77777777" w:rsidR="00526DF1" w:rsidRPr="001D10EA" w:rsidRDefault="00526DF1" w:rsidP="00526DF1">
      <w:pPr>
        <w:suppressAutoHyphens/>
        <w:ind w:left="284"/>
        <w:contextualSpacing/>
        <w:jc w:val="both"/>
        <w:rPr>
          <w:rFonts w:cs="Tahoma"/>
          <w:color w:val="000000" w:themeColor="text1"/>
          <w:sz w:val="12"/>
          <w:szCs w:val="12"/>
        </w:rPr>
      </w:pPr>
    </w:p>
    <w:p w14:paraId="1A6EBA8D" w14:textId="77777777" w:rsidR="00526DF1" w:rsidRPr="00526DF1" w:rsidRDefault="00526DF1" w:rsidP="00526DF1">
      <w:pPr>
        <w:numPr>
          <w:ilvl w:val="1"/>
          <w:numId w:val="74"/>
        </w:numPr>
        <w:suppressAutoHyphens/>
        <w:spacing w:before="60" w:after="60"/>
        <w:ind w:left="568" w:hanging="284"/>
        <w:contextualSpacing/>
        <w:jc w:val="both"/>
        <w:rPr>
          <w:rFonts w:cs="Tahoma"/>
          <w:color w:val="000000" w:themeColor="text1"/>
          <w:sz w:val="18"/>
          <w:szCs w:val="18"/>
        </w:rPr>
      </w:pPr>
      <w:r w:rsidRPr="00526DF1">
        <w:rPr>
          <w:rFonts w:cs="Tahoma"/>
          <w:color w:val="000000" w:themeColor="text1"/>
          <w:sz w:val="18"/>
          <w:szCs w:val="18"/>
        </w:rPr>
        <w:t>przedawnienie roszczenia Banku,</w:t>
      </w:r>
    </w:p>
    <w:p w14:paraId="24F76C3F" w14:textId="77777777" w:rsidR="00526DF1" w:rsidRPr="00526DF1" w:rsidRDefault="00526DF1" w:rsidP="00526DF1">
      <w:pPr>
        <w:numPr>
          <w:ilvl w:val="1"/>
          <w:numId w:val="74"/>
        </w:numPr>
        <w:suppressAutoHyphens/>
        <w:spacing w:before="60" w:after="60"/>
        <w:ind w:left="568" w:hanging="284"/>
        <w:contextualSpacing/>
        <w:jc w:val="both"/>
        <w:rPr>
          <w:rFonts w:cs="Tahoma"/>
          <w:color w:val="000000" w:themeColor="text1"/>
          <w:sz w:val="18"/>
          <w:szCs w:val="18"/>
        </w:rPr>
      </w:pPr>
      <w:r w:rsidRPr="00526DF1">
        <w:rPr>
          <w:rFonts w:cs="Tahoma"/>
          <w:color w:val="000000" w:themeColor="text1"/>
          <w:sz w:val="18"/>
          <w:szCs w:val="18"/>
        </w:rPr>
        <w:t>wyłudzenie kredytu uniemożliwiające ustalenie tożsamości dłużnika,</w:t>
      </w:r>
    </w:p>
    <w:p w14:paraId="43006921" w14:textId="77777777" w:rsidR="00526DF1" w:rsidRPr="00526DF1" w:rsidRDefault="00526DF1" w:rsidP="00526DF1">
      <w:pPr>
        <w:numPr>
          <w:ilvl w:val="1"/>
          <w:numId w:val="74"/>
        </w:numPr>
        <w:suppressAutoHyphens/>
        <w:spacing w:before="60" w:after="60"/>
        <w:ind w:left="568" w:hanging="284"/>
        <w:contextualSpacing/>
        <w:jc w:val="both"/>
        <w:rPr>
          <w:rFonts w:cs="Tahoma"/>
          <w:color w:val="000000" w:themeColor="text1"/>
          <w:sz w:val="18"/>
          <w:szCs w:val="18"/>
        </w:rPr>
      </w:pPr>
      <w:r w:rsidRPr="00526DF1">
        <w:rPr>
          <w:rFonts w:cs="Tahoma"/>
          <w:color w:val="000000" w:themeColor="text1"/>
          <w:sz w:val="18"/>
          <w:szCs w:val="18"/>
        </w:rPr>
        <w:t xml:space="preserve">ograniczenie odpowiedzialności spadkobierców, </w:t>
      </w:r>
    </w:p>
    <w:p w14:paraId="01CDF254" w14:textId="4C777FD5" w:rsidR="00526DF1" w:rsidRDefault="00526DF1" w:rsidP="00526DF1">
      <w:pPr>
        <w:numPr>
          <w:ilvl w:val="1"/>
          <w:numId w:val="74"/>
        </w:numPr>
        <w:suppressAutoHyphens/>
        <w:spacing w:before="60" w:after="60"/>
        <w:ind w:left="568" w:hanging="284"/>
        <w:contextualSpacing/>
        <w:jc w:val="both"/>
        <w:rPr>
          <w:rFonts w:cs="Tahoma"/>
          <w:color w:val="000000" w:themeColor="text1"/>
          <w:sz w:val="18"/>
          <w:szCs w:val="18"/>
        </w:rPr>
      </w:pPr>
      <w:r w:rsidRPr="00526DF1">
        <w:rPr>
          <w:rFonts w:cs="Tahoma"/>
          <w:color w:val="000000" w:themeColor="text1"/>
          <w:sz w:val="18"/>
          <w:szCs w:val="18"/>
        </w:rPr>
        <w:t>zakwestionowania wierzytelności przez dłużnika na drodze powództwa sądowego.</w:t>
      </w:r>
    </w:p>
    <w:p w14:paraId="1F6FE898" w14:textId="77777777" w:rsidR="00526DF1" w:rsidRPr="001D10EA" w:rsidRDefault="00526DF1" w:rsidP="00526DF1">
      <w:pPr>
        <w:suppressAutoHyphens/>
        <w:spacing w:before="120" w:after="160" w:line="259" w:lineRule="auto"/>
        <w:ind w:left="1440"/>
        <w:contextualSpacing/>
        <w:jc w:val="both"/>
        <w:rPr>
          <w:rFonts w:cs="Tahoma"/>
          <w:color w:val="000000" w:themeColor="text1"/>
          <w:sz w:val="12"/>
          <w:szCs w:val="12"/>
        </w:rPr>
      </w:pPr>
    </w:p>
    <w:p w14:paraId="54D6441A" w14:textId="16A2F024" w:rsidR="00526DF1" w:rsidRDefault="00526DF1" w:rsidP="00526DF1">
      <w:pPr>
        <w:numPr>
          <w:ilvl w:val="0"/>
          <w:numId w:val="74"/>
        </w:numPr>
        <w:suppressAutoHyphens/>
        <w:ind w:left="284" w:hanging="284"/>
        <w:contextualSpacing/>
        <w:jc w:val="both"/>
        <w:rPr>
          <w:rFonts w:cs="Tahoma"/>
          <w:color w:val="000000" w:themeColor="text1"/>
          <w:sz w:val="18"/>
          <w:szCs w:val="18"/>
        </w:rPr>
      </w:pPr>
      <w:r w:rsidRPr="00526DF1">
        <w:rPr>
          <w:rFonts w:cs="Tahoma"/>
          <w:color w:val="000000" w:themeColor="text1"/>
          <w:sz w:val="18"/>
          <w:szCs w:val="18"/>
        </w:rPr>
        <w:t>Braku lub wyczerpania możliwości odzysku, w szczególności:</w:t>
      </w:r>
    </w:p>
    <w:p w14:paraId="03E34E1A" w14:textId="77777777" w:rsidR="00526DF1" w:rsidRPr="001D10EA" w:rsidRDefault="00526DF1" w:rsidP="00526DF1">
      <w:pPr>
        <w:suppressAutoHyphens/>
        <w:ind w:left="284"/>
        <w:contextualSpacing/>
        <w:jc w:val="both"/>
        <w:rPr>
          <w:rFonts w:cs="Tahoma"/>
          <w:color w:val="000000" w:themeColor="text1"/>
          <w:sz w:val="12"/>
          <w:szCs w:val="12"/>
        </w:rPr>
      </w:pPr>
    </w:p>
    <w:p w14:paraId="3AFF6D25" w14:textId="77777777" w:rsidR="00526DF1" w:rsidRPr="00526DF1" w:rsidRDefault="00526DF1" w:rsidP="00526DF1">
      <w:pPr>
        <w:numPr>
          <w:ilvl w:val="1"/>
          <w:numId w:val="74"/>
        </w:numPr>
        <w:suppressAutoHyphens/>
        <w:spacing w:before="120" w:after="160" w:line="259" w:lineRule="auto"/>
        <w:ind w:left="567" w:hanging="283"/>
        <w:contextualSpacing/>
        <w:jc w:val="both"/>
        <w:rPr>
          <w:rFonts w:cs="Tahoma"/>
          <w:color w:val="000000" w:themeColor="text1"/>
          <w:sz w:val="18"/>
          <w:szCs w:val="18"/>
        </w:rPr>
      </w:pPr>
      <w:r w:rsidRPr="00526DF1">
        <w:rPr>
          <w:rFonts w:cs="Tahoma"/>
          <w:color w:val="000000" w:themeColor="text1"/>
          <w:sz w:val="18"/>
          <w:szCs w:val="18"/>
        </w:rPr>
        <w:t>umorzenia postępowania egzekucyjnego z uwagi na jego bezskuteczność,</w:t>
      </w:r>
    </w:p>
    <w:p w14:paraId="740AEACC" w14:textId="77777777" w:rsidR="00526DF1" w:rsidRPr="00526DF1" w:rsidRDefault="00526DF1" w:rsidP="00526DF1">
      <w:pPr>
        <w:numPr>
          <w:ilvl w:val="1"/>
          <w:numId w:val="74"/>
        </w:numPr>
        <w:suppressAutoHyphens/>
        <w:spacing w:before="120" w:after="160" w:line="259" w:lineRule="auto"/>
        <w:ind w:left="567" w:hanging="283"/>
        <w:contextualSpacing/>
        <w:jc w:val="both"/>
        <w:rPr>
          <w:rFonts w:cs="Tahoma"/>
          <w:color w:val="000000" w:themeColor="text1"/>
          <w:sz w:val="18"/>
          <w:szCs w:val="18"/>
        </w:rPr>
      </w:pPr>
      <w:r w:rsidRPr="00526DF1">
        <w:rPr>
          <w:rFonts w:cs="Tahoma"/>
          <w:color w:val="000000" w:themeColor="text1"/>
          <w:sz w:val="18"/>
          <w:szCs w:val="18"/>
        </w:rPr>
        <w:t>oddalenia wniosku o ogłoszenie upadłości albo zakończenia postępowania upadłościowego z uwagi na brak majątku dłużnika wystarczającego na pokrycie kosztów postepowania,</w:t>
      </w:r>
    </w:p>
    <w:p w14:paraId="61DE8373" w14:textId="33E1CFB2" w:rsidR="00526DF1" w:rsidRDefault="00526DF1" w:rsidP="00526DF1">
      <w:pPr>
        <w:numPr>
          <w:ilvl w:val="1"/>
          <w:numId w:val="74"/>
        </w:numPr>
        <w:suppressAutoHyphens/>
        <w:spacing w:before="120" w:after="160" w:line="259" w:lineRule="auto"/>
        <w:ind w:left="567" w:hanging="283"/>
        <w:contextualSpacing/>
        <w:jc w:val="both"/>
        <w:rPr>
          <w:rFonts w:cs="Tahoma"/>
          <w:color w:val="000000" w:themeColor="text1"/>
          <w:sz w:val="18"/>
          <w:szCs w:val="18"/>
        </w:rPr>
      </w:pPr>
      <w:r w:rsidRPr="00526DF1">
        <w:rPr>
          <w:rFonts w:cs="Tahoma"/>
          <w:color w:val="000000" w:themeColor="text1"/>
          <w:sz w:val="18"/>
          <w:szCs w:val="18"/>
        </w:rPr>
        <w:t>uznania wierzytelności za nieściągalną – koszty dochodzenia wierzytelności przewyższają potencjalny odzysk.</w:t>
      </w:r>
    </w:p>
    <w:p w14:paraId="78E9B36E" w14:textId="77777777" w:rsidR="00526DF1" w:rsidRPr="001D10EA" w:rsidRDefault="00526DF1" w:rsidP="00526DF1">
      <w:pPr>
        <w:suppressAutoHyphens/>
        <w:spacing w:before="120" w:after="160" w:line="259" w:lineRule="auto"/>
        <w:ind w:left="567"/>
        <w:contextualSpacing/>
        <w:jc w:val="both"/>
        <w:rPr>
          <w:rFonts w:cs="Tahoma"/>
          <w:color w:val="000000" w:themeColor="text1"/>
          <w:sz w:val="12"/>
          <w:szCs w:val="12"/>
        </w:rPr>
      </w:pPr>
    </w:p>
    <w:p w14:paraId="3065CFFC" w14:textId="6FDD093D" w:rsidR="00526DF1" w:rsidRP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Z uwagi na cykl</w:t>
      </w:r>
      <w:r w:rsidR="00655FD4">
        <w:rPr>
          <w:rFonts w:cs="Tahoma"/>
          <w:color w:val="000000" w:themeColor="text1"/>
          <w:sz w:val="18"/>
          <w:szCs w:val="18"/>
        </w:rPr>
        <w:t>iczną sprzedaż wierzytelności niepracujących</w:t>
      </w:r>
      <w:r w:rsidR="00112B27">
        <w:rPr>
          <w:rFonts w:cs="Tahoma"/>
          <w:color w:val="000000" w:themeColor="text1"/>
          <w:sz w:val="18"/>
          <w:szCs w:val="18"/>
        </w:rPr>
        <w:t xml:space="preserve"> systematycznym odpisom</w:t>
      </w:r>
      <w:r w:rsidRPr="00526DF1">
        <w:rPr>
          <w:rFonts w:cs="Tahoma"/>
          <w:color w:val="000000" w:themeColor="text1"/>
          <w:sz w:val="18"/>
          <w:szCs w:val="18"/>
        </w:rPr>
        <w:t xml:space="preserve"> podlegają tylko przypadki wyłudzeń. Pozostałe przypadki objęte są procesem portfelowej sprzedaży wierzytelności.</w:t>
      </w:r>
    </w:p>
    <w:p w14:paraId="4CE8BE07" w14:textId="09ADB768" w:rsidR="00526DF1" w:rsidRDefault="00526DF1" w:rsidP="00526DF1">
      <w:pPr>
        <w:suppressAutoHyphens/>
        <w:spacing w:before="120"/>
        <w:jc w:val="both"/>
        <w:rPr>
          <w:rFonts w:cs="Tahoma"/>
          <w:color w:val="000000" w:themeColor="text1"/>
          <w:sz w:val="18"/>
          <w:szCs w:val="18"/>
        </w:rPr>
      </w:pPr>
      <w:r w:rsidRPr="00526DF1">
        <w:rPr>
          <w:rFonts w:cs="Tahoma"/>
          <w:color w:val="000000" w:themeColor="text1"/>
          <w:sz w:val="18"/>
          <w:szCs w:val="18"/>
        </w:rPr>
        <w:t>W przypadku bankowości korporacyjnej, odpisywanie wierzytelności jest realizowane w sytuacji gdy zostały wyczerpane wszelkie możliwości odzysku. Dzieje się tak w sytuacji gdy:</w:t>
      </w:r>
    </w:p>
    <w:p w14:paraId="6861BAD0" w14:textId="77777777" w:rsidR="00526DF1" w:rsidRPr="001D10EA" w:rsidRDefault="00526DF1" w:rsidP="00526DF1">
      <w:pPr>
        <w:suppressAutoHyphens/>
        <w:jc w:val="both"/>
        <w:rPr>
          <w:rFonts w:cs="Tahoma"/>
          <w:color w:val="000000" w:themeColor="text1"/>
          <w:sz w:val="12"/>
          <w:szCs w:val="12"/>
        </w:rPr>
      </w:pPr>
    </w:p>
    <w:p w14:paraId="17CEF753" w14:textId="5C88F835" w:rsidR="00526DF1" w:rsidRDefault="00CB1FE1" w:rsidP="006554DD">
      <w:pPr>
        <w:numPr>
          <w:ilvl w:val="0"/>
          <w:numId w:val="75"/>
        </w:numPr>
        <w:suppressAutoHyphens/>
        <w:spacing w:before="120"/>
        <w:ind w:left="284" w:hanging="284"/>
        <w:contextualSpacing/>
        <w:jc w:val="both"/>
        <w:rPr>
          <w:rFonts w:cs="Tahoma"/>
          <w:color w:val="000000" w:themeColor="text1"/>
          <w:sz w:val="18"/>
          <w:szCs w:val="18"/>
        </w:rPr>
      </w:pPr>
      <w:r>
        <w:rPr>
          <w:rFonts w:cs="Tahoma"/>
          <w:color w:val="000000" w:themeColor="text1"/>
          <w:sz w:val="18"/>
          <w:szCs w:val="18"/>
        </w:rPr>
        <w:t>z</w:t>
      </w:r>
      <w:r w:rsidR="00526DF1" w:rsidRPr="00526DF1">
        <w:rPr>
          <w:rFonts w:cs="Tahoma"/>
          <w:color w:val="000000" w:themeColor="text1"/>
          <w:sz w:val="18"/>
          <w:szCs w:val="18"/>
        </w:rPr>
        <w:t>ostało  zakończone postępowanie upadłościowe, dłużnik został wykreślony z KRS i nie odzyskano całości długu – wtedy częś</w:t>
      </w:r>
      <w:r>
        <w:rPr>
          <w:rFonts w:cs="Tahoma"/>
          <w:color w:val="000000" w:themeColor="text1"/>
          <w:sz w:val="18"/>
          <w:szCs w:val="18"/>
        </w:rPr>
        <w:t>ć nieodzyskana zostaje odpisana,</w:t>
      </w:r>
    </w:p>
    <w:p w14:paraId="0DA6EA97" w14:textId="77777777" w:rsidR="006554DD" w:rsidRPr="006554DD" w:rsidRDefault="006554DD" w:rsidP="006554DD">
      <w:pPr>
        <w:suppressAutoHyphens/>
        <w:spacing w:before="120"/>
        <w:ind w:left="284"/>
        <w:contextualSpacing/>
        <w:jc w:val="both"/>
        <w:rPr>
          <w:rFonts w:cs="Tahoma"/>
          <w:color w:val="000000" w:themeColor="text1"/>
          <w:sz w:val="8"/>
          <w:szCs w:val="8"/>
        </w:rPr>
      </w:pPr>
    </w:p>
    <w:p w14:paraId="79F2EA63" w14:textId="1FF3587E" w:rsidR="00526DF1" w:rsidRDefault="00CB1FE1" w:rsidP="006554DD">
      <w:pPr>
        <w:numPr>
          <w:ilvl w:val="0"/>
          <w:numId w:val="75"/>
        </w:numPr>
        <w:suppressAutoHyphens/>
        <w:spacing w:before="120"/>
        <w:ind w:left="284" w:hanging="284"/>
        <w:contextualSpacing/>
        <w:jc w:val="both"/>
        <w:rPr>
          <w:rFonts w:cs="Tahoma"/>
          <w:color w:val="000000" w:themeColor="text1"/>
          <w:sz w:val="18"/>
          <w:szCs w:val="18"/>
        </w:rPr>
      </w:pPr>
      <w:r>
        <w:rPr>
          <w:rFonts w:cs="Tahoma"/>
          <w:color w:val="000000" w:themeColor="text1"/>
          <w:sz w:val="18"/>
          <w:szCs w:val="18"/>
        </w:rPr>
        <w:t>z</w:t>
      </w:r>
      <w:r w:rsidR="00526DF1" w:rsidRPr="00526DF1">
        <w:rPr>
          <w:rFonts w:cs="Tahoma"/>
          <w:color w:val="000000" w:themeColor="text1"/>
          <w:sz w:val="18"/>
          <w:szCs w:val="18"/>
        </w:rPr>
        <w:t>ostało wszczęte postepowanie restrukturyzacyjne, a warunki układu zakładają umorzenie części długu – wtedy także</w:t>
      </w:r>
      <w:r>
        <w:rPr>
          <w:rFonts w:cs="Tahoma"/>
          <w:color w:val="000000" w:themeColor="text1"/>
          <w:sz w:val="18"/>
          <w:szCs w:val="18"/>
        </w:rPr>
        <w:t xml:space="preserve"> następuje odpisanie tej części,</w:t>
      </w:r>
    </w:p>
    <w:p w14:paraId="55969B90" w14:textId="797019E5" w:rsidR="006554DD" w:rsidRPr="006554DD" w:rsidRDefault="006554DD" w:rsidP="006554DD">
      <w:pPr>
        <w:suppressAutoHyphens/>
        <w:spacing w:before="120"/>
        <w:contextualSpacing/>
        <w:jc w:val="both"/>
        <w:rPr>
          <w:rFonts w:cs="Tahoma"/>
          <w:color w:val="000000" w:themeColor="text1"/>
          <w:sz w:val="8"/>
          <w:szCs w:val="8"/>
        </w:rPr>
      </w:pPr>
    </w:p>
    <w:p w14:paraId="7873BF03" w14:textId="5FFCCBF7" w:rsidR="009C22D6" w:rsidRDefault="00CB1FE1" w:rsidP="006554DD">
      <w:pPr>
        <w:numPr>
          <w:ilvl w:val="0"/>
          <w:numId w:val="75"/>
        </w:numPr>
        <w:suppressAutoHyphens/>
        <w:spacing w:before="120"/>
        <w:ind w:left="284" w:hanging="284"/>
        <w:contextualSpacing/>
        <w:jc w:val="both"/>
        <w:rPr>
          <w:rFonts w:cs="Tahoma"/>
          <w:color w:val="000000" w:themeColor="text1"/>
          <w:sz w:val="18"/>
          <w:szCs w:val="18"/>
        </w:rPr>
      </w:pPr>
      <w:r>
        <w:rPr>
          <w:rFonts w:cs="Tahoma"/>
          <w:color w:val="000000" w:themeColor="text1"/>
          <w:sz w:val="18"/>
          <w:szCs w:val="18"/>
        </w:rPr>
        <w:t>j</w:t>
      </w:r>
      <w:r w:rsidR="00526DF1" w:rsidRPr="00526DF1">
        <w:rPr>
          <w:rFonts w:cs="Tahoma"/>
          <w:color w:val="000000" w:themeColor="text1"/>
          <w:sz w:val="18"/>
          <w:szCs w:val="18"/>
        </w:rPr>
        <w:t>est prowadzone postepowanie egzekucyjne, które nie doprowadziło do spłaty długu – wtedy także część nieodzyskana j</w:t>
      </w:r>
      <w:r>
        <w:rPr>
          <w:rFonts w:cs="Tahoma"/>
          <w:color w:val="000000" w:themeColor="text1"/>
          <w:sz w:val="18"/>
          <w:szCs w:val="18"/>
        </w:rPr>
        <w:t>est odpisywana,</w:t>
      </w:r>
    </w:p>
    <w:p w14:paraId="00299DFF" w14:textId="1F9E40AE" w:rsidR="006554DD" w:rsidRPr="006554DD" w:rsidRDefault="006554DD" w:rsidP="006554DD">
      <w:pPr>
        <w:suppressAutoHyphens/>
        <w:spacing w:before="120"/>
        <w:contextualSpacing/>
        <w:jc w:val="both"/>
        <w:rPr>
          <w:rFonts w:cs="Tahoma"/>
          <w:color w:val="000000" w:themeColor="text1"/>
          <w:sz w:val="8"/>
          <w:szCs w:val="8"/>
        </w:rPr>
      </w:pPr>
    </w:p>
    <w:p w14:paraId="57A79991" w14:textId="649446E8" w:rsidR="00BC6B0E" w:rsidRPr="009C22D6" w:rsidRDefault="00CB1FE1" w:rsidP="006554DD">
      <w:pPr>
        <w:numPr>
          <w:ilvl w:val="0"/>
          <w:numId w:val="75"/>
        </w:numPr>
        <w:suppressAutoHyphens/>
        <w:spacing w:before="120"/>
        <w:ind w:left="284" w:hanging="284"/>
        <w:contextualSpacing/>
        <w:jc w:val="both"/>
        <w:rPr>
          <w:rFonts w:cs="Tahoma"/>
          <w:color w:val="000000" w:themeColor="text1"/>
          <w:sz w:val="18"/>
          <w:szCs w:val="18"/>
        </w:rPr>
      </w:pPr>
      <w:r>
        <w:rPr>
          <w:rFonts w:cs="Tahoma"/>
          <w:color w:val="000000" w:themeColor="text1"/>
          <w:sz w:val="18"/>
          <w:szCs w:val="18"/>
        </w:rPr>
        <w:t>w</w:t>
      </w:r>
      <w:r w:rsidR="00526DF1" w:rsidRPr="009C22D6">
        <w:rPr>
          <w:rFonts w:cs="Tahoma"/>
          <w:color w:val="000000" w:themeColor="text1"/>
          <w:sz w:val="18"/>
          <w:szCs w:val="18"/>
        </w:rPr>
        <w:t>ierzytelność jest kwestionowana przez dłużnika na drodze powództwa sądowego. Zgodnie z decyzją sądu wierzytelność jest umarzana</w:t>
      </w:r>
      <w:r w:rsidR="00BC6B0E" w:rsidRPr="009C22D6">
        <w:rPr>
          <w:rFonts w:cs="Tahoma"/>
          <w:color w:val="000000" w:themeColor="text1"/>
          <w:sz w:val="18"/>
          <w:szCs w:val="18"/>
        </w:rPr>
        <w:t xml:space="preserve">. </w:t>
      </w:r>
    </w:p>
    <w:p w14:paraId="3E2A8D93" w14:textId="77777777" w:rsidR="00634662" w:rsidRPr="00795599" w:rsidRDefault="00634662" w:rsidP="00634662">
      <w:pPr>
        <w:suppressAutoHyphens/>
        <w:jc w:val="both"/>
        <w:rPr>
          <w:rFonts w:cs="Tahoma"/>
          <w:sz w:val="18"/>
          <w:szCs w:val="18"/>
        </w:rPr>
      </w:pPr>
    </w:p>
    <w:p w14:paraId="7D34374A" w14:textId="77777777" w:rsidR="00D949D3" w:rsidRPr="009C7E7B" w:rsidRDefault="00D949D3" w:rsidP="00FF0E6D">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30" w:name="_Toc32999798"/>
      <w:r>
        <w:rPr>
          <w:b/>
          <w:color w:val="E41E0A"/>
          <w:sz w:val="18"/>
          <w:szCs w:val="18"/>
        </w:rPr>
        <w:t>Umowy gwarancji finansowych</w:t>
      </w:r>
      <w:bookmarkEnd w:id="30"/>
    </w:p>
    <w:p w14:paraId="7A940BD5" w14:textId="77777777" w:rsidR="00684259" w:rsidRPr="00977E53" w:rsidRDefault="00684259" w:rsidP="00684259">
      <w:pPr>
        <w:spacing w:before="120" w:after="120"/>
        <w:jc w:val="both"/>
        <w:rPr>
          <w:rFonts w:cs="Tahoma"/>
          <w:color w:val="000000" w:themeColor="text1"/>
          <w:sz w:val="18"/>
          <w:szCs w:val="18"/>
        </w:rPr>
      </w:pPr>
      <w:r w:rsidRPr="00977E53">
        <w:rPr>
          <w:rFonts w:cs="Tahoma"/>
          <w:color w:val="000000" w:themeColor="text1"/>
          <w:sz w:val="18"/>
          <w:szCs w:val="18"/>
        </w:rPr>
        <w:t>Umową gwarancji finansowych jest umowa zobowiązująca wystawcę do dokonania określonych płatności rekompensujących posiadaczowi stratę, jaką poniesie z powodu nie dokonania przez określonego dłużnika płatności w przypadającym terminie zgodnie z pierwotnymi lub zmienionymi warunkami instrumentu dłużnego.</w:t>
      </w:r>
    </w:p>
    <w:p w14:paraId="1C96F24D" w14:textId="77777777" w:rsidR="00684259" w:rsidRPr="00977E53" w:rsidRDefault="00684259" w:rsidP="00684259">
      <w:pPr>
        <w:jc w:val="both"/>
        <w:rPr>
          <w:rFonts w:cs="Tahoma"/>
          <w:color w:val="000000" w:themeColor="text1"/>
          <w:sz w:val="18"/>
          <w:szCs w:val="18"/>
        </w:rPr>
      </w:pPr>
      <w:r w:rsidRPr="00977E53">
        <w:rPr>
          <w:rFonts w:cs="Tahoma"/>
          <w:color w:val="000000" w:themeColor="text1"/>
          <w:sz w:val="18"/>
          <w:szCs w:val="18"/>
        </w:rPr>
        <w:t>W momencie początkowego ujęcia umowę gwarancji finansowej wycenia się w wartości godziwej. Po początkowym ujęciu, wystawca takiej umowy w późniejszych okresach wycenia ją według wyższej z następujących wartości:</w:t>
      </w:r>
    </w:p>
    <w:p w14:paraId="65DA3AA1" w14:textId="77777777" w:rsidR="00684259" w:rsidRPr="00977E53" w:rsidRDefault="00684259" w:rsidP="00684259">
      <w:pPr>
        <w:pStyle w:val="Akapitzlist"/>
        <w:numPr>
          <w:ilvl w:val="0"/>
          <w:numId w:val="15"/>
        </w:numPr>
        <w:tabs>
          <w:tab w:val="clear" w:pos="624"/>
        </w:tabs>
        <w:ind w:left="425" w:hanging="425"/>
        <w:jc w:val="both"/>
        <w:rPr>
          <w:rFonts w:cs="Tahoma"/>
          <w:color w:val="000000" w:themeColor="text1"/>
          <w:sz w:val="18"/>
          <w:szCs w:val="18"/>
        </w:rPr>
      </w:pPr>
      <w:r w:rsidRPr="00977E53">
        <w:rPr>
          <w:rFonts w:cs="Tahoma"/>
          <w:color w:val="000000" w:themeColor="text1"/>
          <w:sz w:val="18"/>
          <w:szCs w:val="18"/>
        </w:rPr>
        <w:t>kwoty odpisu na oczekiwane straty kredytowe, określonej zgodnie z MSSF 9,</w:t>
      </w:r>
    </w:p>
    <w:p w14:paraId="047B7B9C" w14:textId="5174512D" w:rsidR="00BC6B0E" w:rsidRPr="00977E53" w:rsidRDefault="00684259" w:rsidP="00684259">
      <w:pPr>
        <w:pStyle w:val="Akapitzlist"/>
        <w:numPr>
          <w:ilvl w:val="0"/>
          <w:numId w:val="15"/>
        </w:numPr>
        <w:tabs>
          <w:tab w:val="clear" w:pos="624"/>
        </w:tabs>
        <w:ind w:left="425" w:hanging="425"/>
        <w:jc w:val="both"/>
        <w:rPr>
          <w:rFonts w:cs="Tahoma"/>
          <w:color w:val="000000" w:themeColor="text1"/>
          <w:sz w:val="18"/>
          <w:szCs w:val="18"/>
        </w:rPr>
      </w:pPr>
      <w:r w:rsidRPr="00977E53">
        <w:rPr>
          <w:rFonts w:cs="Tahoma"/>
          <w:color w:val="000000" w:themeColor="text1"/>
          <w:sz w:val="18"/>
          <w:szCs w:val="18"/>
        </w:rPr>
        <w:t>początkowo ujętej kwoty, w odpowiednich przypadkach pomniejszonej o skumulowaną kwotę dochodów ujmowanych zgodnie z zasadami MSSF 15.</w:t>
      </w:r>
      <w:r w:rsidR="00BC6B0E" w:rsidRPr="00977E53">
        <w:rPr>
          <w:rFonts w:cs="Tahoma"/>
          <w:color w:val="000000" w:themeColor="text1"/>
          <w:sz w:val="18"/>
          <w:szCs w:val="18"/>
        </w:rPr>
        <w:t xml:space="preserve"> </w:t>
      </w:r>
    </w:p>
    <w:p w14:paraId="03F7B697" w14:textId="77777777" w:rsidR="00335EED" w:rsidRPr="00977E53" w:rsidRDefault="00335EED" w:rsidP="00335EED">
      <w:pPr>
        <w:pStyle w:val="Akapitzlist"/>
        <w:spacing w:after="120"/>
        <w:ind w:left="426"/>
        <w:jc w:val="both"/>
        <w:rPr>
          <w:rFonts w:cs="Tahoma"/>
          <w:color w:val="000000" w:themeColor="text1"/>
          <w:sz w:val="18"/>
          <w:szCs w:val="18"/>
        </w:rPr>
      </w:pPr>
    </w:p>
    <w:p w14:paraId="51246764" w14:textId="77777777" w:rsidR="00BB4A92" w:rsidRPr="009C7E7B" w:rsidRDefault="00BB4A92" w:rsidP="00C77400">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after="120" w:line="240" w:lineRule="exact"/>
        <w:ind w:hanging="720"/>
        <w:jc w:val="both"/>
        <w:outlineLvl w:val="2"/>
        <w:rPr>
          <w:b/>
          <w:color w:val="E41E0A"/>
          <w:sz w:val="18"/>
          <w:szCs w:val="18"/>
        </w:rPr>
      </w:pPr>
      <w:bookmarkStart w:id="31" w:name="_Toc32999799"/>
      <w:r>
        <w:rPr>
          <w:b/>
          <w:color w:val="E41E0A"/>
          <w:sz w:val="18"/>
          <w:szCs w:val="18"/>
        </w:rPr>
        <w:t>Środki pieniężne i ekwiwalenty środków pieniężnych</w:t>
      </w:r>
      <w:bookmarkEnd w:id="31"/>
    </w:p>
    <w:p w14:paraId="24C6327A"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Środki pieniężne i ekwiwalenty środków pieniężnych obejmują pozycje zapadalne w ciągu trzech miesięcy od dnia nabycia, w tym: kasę i środki w banku centralnym o nieograniczonych możliwościach dysponowania, bony skarbowe oraz inne kwalifikujące się bony, kredyty i pożyczki udzielone innym bankom, należności od innych banków oraz zakupione z intencją sprzedaży w krótkim terminie papiery wartościowe Skarbu Państwa.</w:t>
      </w:r>
    </w:p>
    <w:p w14:paraId="3BBF21BB" w14:textId="77777777" w:rsidR="001430C5" w:rsidRPr="009C7E7B" w:rsidRDefault="001430C5" w:rsidP="0042701F">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after="120" w:line="240" w:lineRule="exact"/>
        <w:ind w:hanging="720"/>
        <w:jc w:val="both"/>
        <w:outlineLvl w:val="2"/>
        <w:rPr>
          <w:b/>
          <w:color w:val="E41E0A"/>
          <w:sz w:val="18"/>
          <w:szCs w:val="18"/>
        </w:rPr>
      </w:pPr>
      <w:bookmarkStart w:id="32" w:name="_Toc32999800"/>
      <w:r>
        <w:rPr>
          <w:b/>
          <w:color w:val="E41E0A"/>
          <w:sz w:val="18"/>
          <w:szCs w:val="18"/>
        </w:rPr>
        <w:t>Umowy sprzedaży i odkupu</w:t>
      </w:r>
      <w:bookmarkEnd w:id="32"/>
    </w:p>
    <w:p w14:paraId="67F055FC"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Transakcje repo i reverse repo określane są jako operacje sprzedaży lub kupna papierów wartościowych z udzielonym przyrzeczeniem odkupu lub odsprzedaży w umownym terminie i określonej umownej cenie i są ujmowane na dzień przekazania środków.</w:t>
      </w:r>
    </w:p>
    <w:p w14:paraId="0A1F81B0" w14:textId="2A51054D"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Papiery wartościowe sprzedawane przy jednoczesnym zawarciu powiązane</w:t>
      </w:r>
      <w:r w:rsidR="008B76E5">
        <w:rPr>
          <w:rFonts w:cs="Tahoma"/>
          <w:color w:val="000000" w:themeColor="text1"/>
          <w:sz w:val="18"/>
          <w:szCs w:val="18"/>
        </w:rPr>
        <w:t>j umowy odkupu (ang.</w:t>
      </w:r>
      <w:r w:rsidR="003E4FD6">
        <w:rPr>
          <w:rFonts w:cs="Tahoma"/>
          <w:color w:val="000000" w:themeColor="text1"/>
          <w:sz w:val="18"/>
          <w:szCs w:val="18"/>
        </w:rPr>
        <w:t> </w:t>
      </w:r>
      <w:r w:rsidR="007202EF">
        <w:rPr>
          <w:rFonts w:cs="Tahoma"/>
          <w:color w:val="000000" w:themeColor="text1"/>
          <w:sz w:val="18"/>
          <w:szCs w:val="18"/>
        </w:rPr>
        <w:t>Repos</w:t>
      </w:r>
      <w:r w:rsidR="001E2FDC">
        <w:rPr>
          <w:rFonts w:cs="Tahoma"/>
          <w:color w:val="000000" w:themeColor="text1"/>
          <w:sz w:val="18"/>
          <w:szCs w:val="18"/>
        </w:rPr>
        <w:t> </w:t>
      </w:r>
      <w:r w:rsidR="007202EF">
        <w:rPr>
          <w:rFonts w:cs="Tahoma"/>
          <w:color w:val="000000" w:themeColor="text1"/>
          <w:sz w:val="18"/>
          <w:szCs w:val="18"/>
        </w:rPr>
        <w:t xml:space="preserve">lub </w:t>
      </w:r>
      <w:r w:rsidR="008B76E5">
        <w:rPr>
          <w:rFonts w:cs="Tahoma"/>
          <w:color w:val="000000" w:themeColor="text1"/>
          <w:sz w:val="18"/>
          <w:szCs w:val="18"/>
        </w:rPr>
        <w:t>sell/</w:t>
      </w:r>
      <w:r w:rsidRPr="00977E53">
        <w:rPr>
          <w:rFonts w:cs="Tahoma"/>
          <w:color w:val="000000" w:themeColor="text1"/>
          <w:sz w:val="18"/>
          <w:szCs w:val="18"/>
        </w:rPr>
        <w:t xml:space="preserve">buy back) są reklasyfikowane w sprawozdaniu finansowym jako aktywa, na których ustanowiono zabezpieczenie, jeżeli jednostka przejmująca ma wynikające z umowy lub zwyczaju prawo </w:t>
      </w:r>
      <w:r w:rsidRPr="00977E53">
        <w:rPr>
          <w:rFonts w:cs="Tahoma"/>
          <w:color w:val="000000" w:themeColor="text1"/>
          <w:sz w:val="18"/>
          <w:szCs w:val="18"/>
        </w:rPr>
        <w:lastRenderedPageBreak/>
        <w:t>do sprzedaży lub ponownego zastawienia zabezpieczenia. Zobowiązanie wobec kontrahenta ujmuje się</w:t>
      </w:r>
      <w:r w:rsidR="003E4FD6">
        <w:rPr>
          <w:rFonts w:cs="Tahoma"/>
          <w:color w:val="000000" w:themeColor="text1"/>
          <w:sz w:val="18"/>
          <w:szCs w:val="18"/>
        </w:rPr>
        <w:t> </w:t>
      </w:r>
      <w:r w:rsidRPr="00977E53">
        <w:rPr>
          <w:rFonts w:cs="Tahoma"/>
          <w:color w:val="000000" w:themeColor="text1"/>
          <w:sz w:val="18"/>
          <w:szCs w:val="18"/>
        </w:rPr>
        <w:t>w zobowiązaniach wobec innych banków, depozytach innych banków, innych depozytach lub</w:t>
      </w:r>
      <w:r w:rsidR="001E2FDC">
        <w:rPr>
          <w:rFonts w:cs="Tahoma"/>
          <w:color w:val="000000" w:themeColor="text1"/>
          <w:sz w:val="18"/>
          <w:szCs w:val="18"/>
        </w:rPr>
        <w:t> </w:t>
      </w:r>
      <w:r w:rsidRPr="00977E53">
        <w:rPr>
          <w:rFonts w:cs="Tahoma"/>
          <w:color w:val="000000" w:themeColor="text1"/>
          <w:sz w:val="18"/>
          <w:szCs w:val="18"/>
        </w:rPr>
        <w:t>zobowiązaniach wobec klientów z tytułu depozytów, w zależności od jego charakteru. Zakupione papiery wartościowe z przyrzeczeniem odsp</w:t>
      </w:r>
      <w:r w:rsidR="008B76E5">
        <w:rPr>
          <w:rFonts w:cs="Tahoma"/>
          <w:color w:val="000000" w:themeColor="text1"/>
          <w:sz w:val="18"/>
          <w:szCs w:val="18"/>
        </w:rPr>
        <w:t>rzedaży (ang. reverse repo</w:t>
      </w:r>
      <w:r w:rsidR="007202EF">
        <w:rPr>
          <w:rFonts w:cs="Tahoma"/>
          <w:color w:val="000000" w:themeColor="text1"/>
          <w:sz w:val="18"/>
          <w:szCs w:val="18"/>
        </w:rPr>
        <w:t xml:space="preserve">s lub </w:t>
      </w:r>
      <w:r w:rsidR="008B76E5">
        <w:rPr>
          <w:rFonts w:cs="Tahoma"/>
          <w:color w:val="000000" w:themeColor="text1"/>
          <w:sz w:val="18"/>
          <w:szCs w:val="18"/>
        </w:rPr>
        <w:t>buy/</w:t>
      </w:r>
      <w:r w:rsidRPr="00977E53">
        <w:rPr>
          <w:rFonts w:cs="Tahoma"/>
          <w:color w:val="000000" w:themeColor="text1"/>
          <w:sz w:val="18"/>
          <w:szCs w:val="18"/>
        </w:rPr>
        <w:t xml:space="preserve">sell back) ujmuje się jako kredyty i pożyczki udzielone innym bankom lub klientom, w zależności od ich charakteru. </w:t>
      </w:r>
    </w:p>
    <w:p w14:paraId="75BEE7F2" w14:textId="7B1F3F0A"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Przy zawieraniu transakcji rep</w:t>
      </w:r>
      <w:r w:rsidR="008B76E5">
        <w:rPr>
          <w:rFonts w:cs="Tahoma"/>
          <w:color w:val="000000" w:themeColor="text1"/>
          <w:sz w:val="18"/>
          <w:szCs w:val="18"/>
        </w:rPr>
        <w:t>o lub sell/buy back i reverse repo lub buy/</w:t>
      </w:r>
      <w:r w:rsidRPr="00977E53">
        <w:rPr>
          <w:rFonts w:cs="Tahoma"/>
          <w:color w:val="000000" w:themeColor="text1"/>
          <w:sz w:val="18"/>
          <w:szCs w:val="18"/>
        </w:rPr>
        <w:t>sell back Grupa mBanku S.A. sprzedaje lub nabywa papiery wartościowe z udzielonym przyrzeczeniem odkupu lub odsprzedaży w</w:t>
      </w:r>
      <w:r w:rsidR="008B76E5">
        <w:rPr>
          <w:rFonts w:cs="Tahoma"/>
          <w:color w:val="000000" w:themeColor="text1"/>
          <w:sz w:val="18"/>
          <w:szCs w:val="18"/>
        </w:rPr>
        <w:t> </w:t>
      </w:r>
      <w:r w:rsidRPr="00977E53">
        <w:rPr>
          <w:rFonts w:cs="Tahoma"/>
          <w:color w:val="000000" w:themeColor="text1"/>
          <w:sz w:val="18"/>
          <w:szCs w:val="18"/>
        </w:rPr>
        <w:t>umownym terminie i po określonej umownej cenie. Transakcje te są prezentowane w sprawozdaniu z</w:t>
      </w:r>
      <w:r w:rsidR="008B76E5">
        <w:rPr>
          <w:rFonts w:cs="Tahoma"/>
          <w:color w:val="000000" w:themeColor="text1"/>
          <w:sz w:val="18"/>
          <w:szCs w:val="18"/>
        </w:rPr>
        <w:t> </w:t>
      </w:r>
      <w:r w:rsidRPr="00977E53">
        <w:rPr>
          <w:rFonts w:cs="Tahoma"/>
          <w:color w:val="000000" w:themeColor="text1"/>
          <w:sz w:val="18"/>
          <w:szCs w:val="18"/>
        </w:rPr>
        <w:t>sytuacji finansowej jako aktywa finansowe wyceniane w wartości godziwej przez wynik finansowy lub</w:t>
      </w:r>
      <w:r w:rsidR="00803BE3">
        <w:rPr>
          <w:rFonts w:cs="Tahoma"/>
          <w:color w:val="000000" w:themeColor="text1"/>
          <w:sz w:val="18"/>
          <w:szCs w:val="18"/>
        </w:rPr>
        <w:t> </w:t>
      </w:r>
      <w:r w:rsidRPr="00977E53">
        <w:rPr>
          <w:rFonts w:cs="Tahoma"/>
          <w:color w:val="000000" w:themeColor="text1"/>
          <w:sz w:val="18"/>
          <w:szCs w:val="18"/>
        </w:rPr>
        <w:t>przez pozostałe całkowite dochody oraz zobowiązania w przy</w:t>
      </w:r>
      <w:r w:rsidR="008B76E5">
        <w:rPr>
          <w:rFonts w:cs="Tahoma"/>
          <w:color w:val="000000" w:themeColor="text1"/>
          <w:sz w:val="18"/>
          <w:szCs w:val="18"/>
        </w:rPr>
        <w:t>padku dokonania transakcji repo lub sell/</w:t>
      </w:r>
      <w:r w:rsidRPr="00977E53">
        <w:rPr>
          <w:rFonts w:cs="Tahoma"/>
          <w:color w:val="000000" w:themeColor="text1"/>
          <w:sz w:val="18"/>
          <w:szCs w:val="18"/>
        </w:rPr>
        <w:t>buy back i</w:t>
      </w:r>
      <w:r w:rsidR="00251D21" w:rsidRPr="00977E53">
        <w:rPr>
          <w:rFonts w:cs="Tahoma"/>
          <w:color w:val="000000" w:themeColor="text1"/>
          <w:sz w:val="18"/>
          <w:szCs w:val="18"/>
        </w:rPr>
        <w:t> </w:t>
      </w:r>
      <w:r w:rsidRPr="00977E53">
        <w:rPr>
          <w:rFonts w:cs="Tahoma"/>
          <w:color w:val="000000" w:themeColor="text1"/>
          <w:sz w:val="18"/>
          <w:szCs w:val="18"/>
        </w:rPr>
        <w:t>jako należności w przypadku transakcji typu reverse repo</w:t>
      </w:r>
      <w:r w:rsidR="008B76E5">
        <w:rPr>
          <w:rFonts w:cs="Tahoma"/>
          <w:color w:val="000000" w:themeColor="text1"/>
          <w:sz w:val="18"/>
          <w:szCs w:val="18"/>
        </w:rPr>
        <w:t xml:space="preserve"> lub buy/</w:t>
      </w:r>
      <w:r w:rsidRPr="00977E53">
        <w:rPr>
          <w:rFonts w:cs="Tahoma"/>
          <w:color w:val="000000" w:themeColor="text1"/>
          <w:sz w:val="18"/>
          <w:szCs w:val="18"/>
        </w:rPr>
        <w:t xml:space="preserve">sell back wyceniane według zamortyzowanego kosztu. </w:t>
      </w:r>
    </w:p>
    <w:p w14:paraId="37D512CB" w14:textId="74529654"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Pożyczonych przez Gr</w:t>
      </w:r>
      <w:r w:rsidR="008B76E5">
        <w:rPr>
          <w:rFonts w:cs="Tahoma"/>
          <w:color w:val="000000" w:themeColor="text1"/>
          <w:sz w:val="18"/>
          <w:szCs w:val="18"/>
        </w:rPr>
        <w:t>upę w transakcjach reverse repo lub buy/</w:t>
      </w:r>
      <w:r w:rsidRPr="00977E53">
        <w:rPr>
          <w:rFonts w:cs="Tahoma"/>
          <w:color w:val="000000" w:themeColor="text1"/>
          <w:sz w:val="18"/>
          <w:szCs w:val="18"/>
        </w:rPr>
        <w:t>sell back papierów wartościowych nie ujmuje się w sprawozdaniu finansowym, chyba że zostały sprzedane osobom trzecim. W takim wypadku, transakcje sprzedaży ujmuje się w sprawozdaniu finansowym a przychody ze sprzedaży uwzględnia się w</w:t>
      </w:r>
      <w:r w:rsidR="005D0A9C">
        <w:rPr>
          <w:rFonts w:cs="Tahoma"/>
          <w:color w:val="000000" w:themeColor="text1"/>
          <w:sz w:val="18"/>
          <w:szCs w:val="18"/>
        </w:rPr>
        <w:t> </w:t>
      </w:r>
      <w:r w:rsidRPr="00977E53">
        <w:rPr>
          <w:rFonts w:cs="Tahoma"/>
          <w:color w:val="000000" w:themeColor="text1"/>
          <w:sz w:val="18"/>
          <w:szCs w:val="18"/>
        </w:rPr>
        <w:t>wyniku na działalności handlowej, a obowiązek zwrotu pożyczonych papierów ujmuje się według wartości godziwej jako zobowiązania wobec klientów. Nie rozpoznaje się jako aktywów finansowych papierów wartościowych</w:t>
      </w:r>
      <w:r w:rsidR="008B76E5">
        <w:rPr>
          <w:rFonts w:cs="Tahoma"/>
          <w:color w:val="000000" w:themeColor="text1"/>
          <w:sz w:val="18"/>
          <w:szCs w:val="18"/>
        </w:rPr>
        <w:t xml:space="preserve"> pożyczonych w transakcjach buy/</w:t>
      </w:r>
      <w:r w:rsidRPr="00977E53">
        <w:rPr>
          <w:rFonts w:cs="Tahoma"/>
          <w:color w:val="000000" w:themeColor="text1"/>
          <w:sz w:val="18"/>
          <w:szCs w:val="18"/>
        </w:rPr>
        <w:t>sell back oraz ponownie wy</w:t>
      </w:r>
      <w:r w:rsidR="00996648">
        <w:rPr>
          <w:rFonts w:cs="Tahoma"/>
          <w:color w:val="000000" w:themeColor="text1"/>
          <w:sz w:val="18"/>
          <w:szCs w:val="18"/>
        </w:rPr>
        <w:t>pożyczonych w transakcjach sell/</w:t>
      </w:r>
      <w:r w:rsidRPr="00977E53">
        <w:rPr>
          <w:rFonts w:cs="Tahoma"/>
          <w:color w:val="000000" w:themeColor="text1"/>
          <w:sz w:val="18"/>
          <w:szCs w:val="18"/>
        </w:rPr>
        <w:t>buy back.</w:t>
      </w:r>
    </w:p>
    <w:p w14:paraId="043ED489" w14:textId="4B642FED" w:rsidR="00F1089E"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wy</w:t>
      </w:r>
      <w:r w:rsidR="00996648">
        <w:rPr>
          <w:rFonts w:cs="Tahoma"/>
          <w:color w:val="000000" w:themeColor="text1"/>
          <w:sz w:val="18"/>
          <w:szCs w:val="18"/>
        </w:rPr>
        <w:t>niku zawierania transakcji repo lub sell/</w:t>
      </w:r>
      <w:r w:rsidRPr="00977E53">
        <w:rPr>
          <w:rFonts w:cs="Tahoma"/>
          <w:color w:val="000000" w:themeColor="text1"/>
          <w:sz w:val="18"/>
          <w:szCs w:val="18"/>
        </w:rPr>
        <w:t>buy back na papierach posiadanych przez Grupę, dokonuje się przeniesienia aktywów finansowych w taki sposób, że nie kwalifikują się one do wyłączenia, ponieważ Grupa zachowuje zasadniczo wszystkie ryzyka i korzyści związane z posiadaniem aktywów finansowych.</w:t>
      </w:r>
    </w:p>
    <w:p w14:paraId="0EEDC2ED" w14:textId="77777777" w:rsidR="001430C5" w:rsidRPr="009C7E7B" w:rsidRDefault="0075499D" w:rsidP="002637A4">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after="120" w:line="240" w:lineRule="exact"/>
        <w:ind w:hanging="720"/>
        <w:jc w:val="both"/>
        <w:outlineLvl w:val="2"/>
        <w:rPr>
          <w:b/>
          <w:color w:val="E41E0A"/>
          <w:sz w:val="18"/>
          <w:szCs w:val="18"/>
        </w:rPr>
      </w:pPr>
      <w:bookmarkStart w:id="33" w:name="_Toc32999801"/>
      <w:r>
        <w:rPr>
          <w:b/>
          <w:color w:val="E41E0A"/>
          <w:sz w:val="18"/>
          <w:szCs w:val="18"/>
        </w:rPr>
        <w:t>Pochodne instrumenty finansowe i rachunkowość zabezpieczeń</w:t>
      </w:r>
      <w:bookmarkEnd w:id="33"/>
    </w:p>
    <w:p w14:paraId="7F0F4CEE" w14:textId="7E965130"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Pochodne instrumenty finansowe wykazywane są w wartości godziwej począwszy od dnia zawarcia transakcji. Wartość godziwą ustala się w oparciu o notowania instrumentów na aktywnych rynkach, w tym w oparciu o ceny niedawno zawartych transakcji, oraz w oparciu o techniki wyceny, w tym modele bazujące na zdyskontowanych przepływach pieniężnych oraz modele wyceny opcji, w zależności od tego, który ze</w:t>
      </w:r>
      <w:r w:rsidR="003E4FD6">
        <w:rPr>
          <w:rFonts w:cs="Tahoma"/>
          <w:color w:val="000000" w:themeColor="text1"/>
          <w:sz w:val="18"/>
          <w:szCs w:val="18"/>
        </w:rPr>
        <w:t> </w:t>
      </w:r>
      <w:r w:rsidRPr="00977E53">
        <w:rPr>
          <w:rFonts w:cs="Tahoma"/>
          <w:color w:val="000000" w:themeColor="text1"/>
          <w:sz w:val="18"/>
          <w:szCs w:val="18"/>
        </w:rPr>
        <w:t>sposobów jest w danym przypadku właściwy. Wszystkie instrumenty pochodne o dodatniej wartości godziwej wykazuje się w sprawozdaniu z sytuacji finansowej jako aktywa, a o wartości ujemnej – jako zobowiązania.</w:t>
      </w:r>
    </w:p>
    <w:p w14:paraId="090755F4" w14:textId="1D199713"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Najlepszym wskaźnikiem wartości godziwej instrumentu pochodnego w momencie jego początkowego ujęcia jest cena zawarcia transakcji (czyli wartość godziwa zapłaconej lub otrzymanej zapłaty). Jeżeli</w:t>
      </w:r>
      <w:r w:rsidR="00803BE3">
        <w:rPr>
          <w:rFonts w:cs="Tahoma"/>
          <w:color w:val="000000" w:themeColor="text1"/>
          <w:sz w:val="18"/>
          <w:szCs w:val="18"/>
        </w:rPr>
        <w:t> </w:t>
      </w:r>
      <w:r w:rsidRPr="00977E53">
        <w:rPr>
          <w:rFonts w:cs="Tahoma"/>
          <w:color w:val="000000" w:themeColor="text1"/>
          <w:sz w:val="18"/>
          <w:szCs w:val="18"/>
        </w:rPr>
        <w:t>wartość godziwa tego instrumentu może być określona poprzez porównanie z innymi aktualnymi transakcjami rynkowymi dotyczącymi tego samego instrumentu (nie poddanego modyfikacji) lub</w:t>
      </w:r>
      <w:r w:rsidR="00803BE3">
        <w:rPr>
          <w:rFonts w:cs="Tahoma"/>
          <w:color w:val="000000" w:themeColor="text1"/>
          <w:sz w:val="18"/>
          <w:szCs w:val="18"/>
        </w:rPr>
        <w:t> </w:t>
      </w:r>
      <w:r w:rsidRPr="00977E53">
        <w:rPr>
          <w:rFonts w:cs="Tahoma"/>
          <w:color w:val="000000" w:themeColor="text1"/>
          <w:sz w:val="18"/>
          <w:szCs w:val="18"/>
        </w:rPr>
        <w:t>na</w:t>
      </w:r>
      <w:r w:rsidR="00803BE3">
        <w:rPr>
          <w:rFonts w:cs="Tahoma"/>
          <w:color w:val="000000" w:themeColor="text1"/>
          <w:sz w:val="18"/>
          <w:szCs w:val="18"/>
        </w:rPr>
        <w:t> </w:t>
      </w:r>
      <w:r w:rsidRPr="00977E53">
        <w:rPr>
          <w:rFonts w:cs="Tahoma"/>
          <w:color w:val="000000" w:themeColor="text1"/>
          <w:sz w:val="18"/>
          <w:szCs w:val="18"/>
        </w:rPr>
        <w:t>podstawie technik wyceny opartych wyłącznie na możliwych do zaobserwowania danych rynkowych, wówczas Grupa wykazuje zyski lub straty pierwszego dnia zgodnie z</w:t>
      </w:r>
      <w:r w:rsidR="003E4FD6">
        <w:rPr>
          <w:rFonts w:cs="Tahoma"/>
          <w:color w:val="000000" w:themeColor="text1"/>
          <w:sz w:val="18"/>
          <w:szCs w:val="18"/>
        </w:rPr>
        <w:t xml:space="preserve"> zasadami opisanymi w Nocie 2.14</w:t>
      </w:r>
      <w:r w:rsidRPr="00977E53">
        <w:rPr>
          <w:rFonts w:cs="Tahoma"/>
          <w:color w:val="000000" w:themeColor="text1"/>
          <w:sz w:val="18"/>
          <w:szCs w:val="18"/>
        </w:rPr>
        <w:t>.</w:t>
      </w:r>
    </w:p>
    <w:p w14:paraId="79791F1E"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Instrument pochodny wbudowany w kontrakt hybrydowy, którego umowę zasadniczą stanowi składnik aktywów finansowych objęty zakresem MSSF 9, nie jest wydzielany a cały kontrakt hybrydowy jest ujmowany zgodnie z wymogami dotyczącymi klasyfikacji aktywów finansowych.</w:t>
      </w:r>
    </w:p>
    <w:p w14:paraId="36ABCBEB"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Instrument pochodny wbudowany w kontrakt hybrydowy, którego umowa zasadnicza nie jest składnikiem aktywów finansowych objętych zakresem MSSF 9, podlega ocenie pod kątem konieczności jego wydzielenia.</w:t>
      </w:r>
    </w:p>
    <w:p w14:paraId="77BAC052" w14:textId="74155BB0"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Instrumenty pochodne, które są wyznaczone i stanowią efektywne instrumenty zabezpieczające</w:t>
      </w:r>
      <w:r w:rsidR="002F07FE">
        <w:rPr>
          <w:rFonts w:cs="Tahoma"/>
          <w:color w:val="000000" w:themeColor="text1"/>
          <w:sz w:val="18"/>
          <w:szCs w:val="18"/>
        </w:rPr>
        <w:t>,</w:t>
      </w:r>
      <w:r w:rsidRPr="00977E53">
        <w:rPr>
          <w:rFonts w:cs="Tahoma"/>
          <w:color w:val="000000" w:themeColor="text1"/>
          <w:sz w:val="18"/>
          <w:szCs w:val="18"/>
        </w:rPr>
        <w:t xml:space="preserve"> nie są klasyfikowane do żadnej z kategorii wymienionych powyżej i podlegają zasadom rachunkowości zabezpieczeń.</w:t>
      </w:r>
    </w:p>
    <w:p w14:paraId="527114B5" w14:textId="419454C7" w:rsidR="00BC6B0E" w:rsidRPr="00977E53" w:rsidRDefault="00DC226F" w:rsidP="00BC6B0E">
      <w:pPr>
        <w:autoSpaceDE w:val="0"/>
        <w:autoSpaceDN w:val="0"/>
        <w:adjustRightInd w:val="0"/>
        <w:spacing w:before="120"/>
        <w:jc w:val="both"/>
        <w:rPr>
          <w:rFonts w:cs="Tahoma"/>
          <w:color w:val="000000" w:themeColor="text1"/>
          <w:sz w:val="18"/>
          <w:szCs w:val="18"/>
        </w:rPr>
      </w:pPr>
      <w:r>
        <w:rPr>
          <w:rFonts w:cs="Tahoma"/>
          <w:color w:val="000000" w:themeColor="text1"/>
          <w:sz w:val="18"/>
          <w:szCs w:val="18"/>
        </w:rPr>
        <w:t>Zgodnie z zapisami MSSF 9: (i)</w:t>
      </w:r>
      <w:r w:rsidR="00BC6B0E" w:rsidRPr="00977E53">
        <w:rPr>
          <w:rFonts w:cs="Tahoma"/>
          <w:color w:val="000000" w:themeColor="text1"/>
          <w:sz w:val="18"/>
          <w:szCs w:val="18"/>
        </w:rPr>
        <w:t xml:space="preserve"> opcja wcześniejszej spłaty nie musi być wydzielana z instrumentu dłużnego i wyceniana na potrzeby skonsolidowanego sprawozdania finansowego, ponieważ wartość wykonania opcji wcześniejszej spłaty jest w przybliżeniu równa wartości zamortyzowanego kosztu instrumentu dłużnego na każdy dzień rozliczania. W przypadku, gdyby wartość opcji wcześniejszej spłaty nie była ściśle związana z instrumentem dłużnym, byłaby ona wyceniona oraz ujawniona w skonsolidowanym sprawozdaniu </w:t>
      </w:r>
      <w:r>
        <w:rPr>
          <w:rFonts w:cs="Tahoma"/>
          <w:color w:val="000000" w:themeColor="text1"/>
          <w:sz w:val="18"/>
          <w:szCs w:val="18"/>
        </w:rPr>
        <w:t>finansowym Grupy; (ii)</w:t>
      </w:r>
      <w:r w:rsidR="00BC6B0E" w:rsidRPr="00977E53">
        <w:rPr>
          <w:rFonts w:cs="Tahoma"/>
          <w:color w:val="000000" w:themeColor="text1"/>
          <w:sz w:val="18"/>
          <w:szCs w:val="18"/>
        </w:rPr>
        <w:t xml:space="preserve"> cena wykonania opcji przedpłaty daje pożyczkodawcy zwrot w kwocie w przybliżeniu równej wartości bieżącej utraconych odsetek za pozostały do końca okres zasadniczej umowy. Utracone odsetki są rezultatem pomnożenia kwoty nominału objętej przedpłatą, przez różnicę stóp procentowych. Różnica stóp procentowych jest to nadwyżka efektywnej stopy procentowej umowy zasadniczej nad efektywną stopą procentową, którą jednostka uzyskałaby na dzień przedpłaty, gdyby dokonała reinwestycji kwoty nominału objętej przedpłatą w ramach podobnej umowy obejmującej okres pozostały do końca umowy zasadniczej.</w:t>
      </w:r>
    </w:p>
    <w:p w14:paraId="5734349A" w14:textId="77777777" w:rsidR="00BC6B0E" w:rsidRPr="00977E53" w:rsidRDefault="00BC6B0E" w:rsidP="00BC6B0E">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lastRenderedPageBreak/>
        <w:t xml:space="preserve">Ocena tego, czy opcja kupna lub sprzedaży jest ściśle powiązana z zasadniczym instrumentem dłużnym, dokonywana jest przed wydzieleniem składnika kapitałowego z zasadniczego instrumentu dłużnego zgodnie z MSR 32. </w:t>
      </w:r>
    </w:p>
    <w:p w14:paraId="08D2D16A"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Sposób ujmowania zmian wartości godziwej zależy od tego, czy dany instrument pochodny jest wyznaczony jako instrument zabezpieczający, a jeżeli tak, to także od rodzaju zabezpieczanej pozycji. Grupa wyznacza niektóre instrumenty pochodne albo jako (1) zabezpieczenie wartości godziwej ujętego składnika aktywów lub zobowiązań albo wiążącej umowy (zabezpieczenie wartości godziwej), albo (2) zabezpieczenie przyszłych wysoce prawdopodobnych przepływów pieniężnych z tytułu ujętego składnika aktywów lub zobowiązania, lub prognozowanej transakcji (zabezpieczenie przepływów pieniężnych). </w:t>
      </w:r>
    </w:p>
    <w:p w14:paraId="1AB87E57"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Grupa podjęła decyzję, że będzie kontynuowała stosowanie wymogów rachunkowości zabezpieczeń zgodnie z MSR 39 zamiast wymogów wskazanych w MSSF 9.</w:t>
      </w:r>
    </w:p>
    <w:p w14:paraId="32D3973D"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odniesieniu do instrumentów pochodnych zabezpieczających pozycje Grupy stosuje się rachunkowość zabezpieczeń pod warunkiem spełnienia określonych w MSR 39 kryteriów tzn.:</w:t>
      </w:r>
    </w:p>
    <w:p w14:paraId="7A5DCB82" w14:textId="77777777" w:rsidR="00BC6B0E" w:rsidRPr="00977E53" w:rsidRDefault="00BC6B0E" w:rsidP="00BC6B0E">
      <w:pPr>
        <w:pStyle w:val="Akapitzlist"/>
        <w:numPr>
          <w:ilvl w:val="0"/>
          <w:numId w:val="15"/>
        </w:numPr>
        <w:tabs>
          <w:tab w:val="clear" w:pos="624"/>
        </w:tabs>
        <w:spacing w:after="120"/>
        <w:ind w:left="426" w:hanging="426"/>
        <w:jc w:val="both"/>
        <w:rPr>
          <w:rFonts w:cs="Tahoma"/>
          <w:color w:val="000000" w:themeColor="text1"/>
          <w:sz w:val="18"/>
          <w:szCs w:val="18"/>
        </w:rPr>
      </w:pPr>
      <w:r w:rsidRPr="00977E53">
        <w:rPr>
          <w:rFonts w:cs="Tahoma"/>
          <w:color w:val="000000" w:themeColor="text1"/>
          <w:sz w:val="18"/>
          <w:szCs w:val="18"/>
        </w:rPr>
        <w:t>w momencie ustanowienia zabezpieczenia formalnie wyznaczono i udokumentowano powiązanie zabezpieczające, jak również cel zarządzania ryzykiem przez jednostkę oraz strategię ustanowienia zabezpieczenia. Dokumentacja zawiera identyfikację instrumentu zabezpieczającego, zabezpieczanej pozycji lub transakcji, charakter zabezpieczanego ryzyka, a także sposób, w jaki jednostka będzie oceniała efektywność instrumentu zabezpieczającego w kompensowaniu zagrożenia zmianami wartości godziwej pozycji zabezpieczanej lub przepływów pieniężnych związanych z zabezpieczanym ryzykiem;</w:t>
      </w:r>
    </w:p>
    <w:p w14:paraId="7B553DF2" w14:textId="77777777" w:rsidR="00BC6B0E" w:rsidRPr="00977E53" w:rsidRDefault="00BC6B0E" w:rsidP="00BC6B0E">
      <w:pPr>
        <w:pStyle w:val="Akapitzlist"/>
        <w:numPr>
          <w:ilvl w:val="0"/>
          <w:numId w:val="15"/>
        </w:numPr>
        <w:tabs>
          <w:tab w:val="clear" w:pos="624"/>
        </w:tabs>
        <w:spacing w:after="120"/>
        <w:ind w:left="426" w:hanging="426"/>
        <w:jc w:val="both"/>
        <w:rPr>
          <w:rFonts w:cs="Tahoma"/>
          <w:color w:val="000000" w:themeColor="text1"/>
          <w:sz w:val="18"/>
          <w:szCs w:val="18"/>
        </w:rPr>
      </w:pPr>
      <w:r w:rsidRPr="00977E53">
        <w:rPr>
          <w:rFonts w:cs="Tahoma"/>
          <w:color w:val="000000" w:themeColor="text1"/>
          <w:sz w:val="18"/>
          <w:szCs w:val="18"/>
        </w:rPr>
        <w:t>oczekuje się, że zabezpieczenie będzie wysoce efektywne w kompensowaniu zmian wartości godziwej lub przepływów pieniężnych wynikających z zabezpieczanego ryzyka, zgodnie z udokumentowaną pierwotnie strategią zarządzania ryzykiem, dotyczącą tego konkretnego powiązania zabezpieczającego;</w:t>
      </w:r>
    </w:p>
    <w:p w14:paraId="103679B5" w14:textId="77777777" w:rsidR="00BC6B0E" w:rsidRPr="00977E53" w:rsidRDefault="00BC6B0E" w:rsidP="00BC6B0E">
      <w:pPr>
        <w:pStyle w:val="Akapitzlist"/>
        <w:numPr>
          <w:ilvl w:val="0"/>
          <w:numId w:val="15"/>
        </w:numPr>
        <w:tabs>
          <w:tab w:val="clear" w:pos="624"/>
        </w:tabs>
        <w:spacing w:after="120"/>
        <w:ind w:left="426" w:hanging="426"/>
        <w:jc w:val="both"/>
        <w:rPr>
          <w:rFonts w:cs="Tahoma"/>
          <w:color w:val="000000" w:themeColor="text1"/>
          <w:sz w:val="18"/>
          <w:szCs w:val="18"/>
        </w:rPr>
      </w:pPr>
      <w:r w:rsidRPr="00977E53">
        <w:rPr>
          <w:rFonts w:cs="Tahoma"/>
          <w:color w:val="000000" w:themeColor="text1"/>
          <w:sz w:val="18"/>
          <w:szCs w:val="18"/>
        </w:rPr>
        <w:t>w przypadku zabezpieczeń przepływów pieniężnych, planowana transakcja będąca przedmiotem zabezpieczenia musi być wysoce prawdopodobna oraz musi podlegać zagrożeniu zmianami przepływów pieniężnych, które w rezultacie mogą wpływać na rachunek zysków i strat;</w:t>
      </w:r>
    </w:p>
    <w:p w14:paraId="14E7D3EC" w14:textId="77777777" w:rsidR="00BC6B0E" w:rsidRPr="00977E53" w:rsidRDefault="00BC6B0E" w:rsidP="00BC6B0E">
      <w:pPr>
        <w:pStyle w:val="Akapitzlist"/>
        <w:numPr>
          <w:ilvl w:val="0"/>
          <w:numId w:val="15"/>
        </w:numPr>
        <w:tabs>
          <w:tab w:val="clear" w:pos="624"/>
        </w:tabs>
        <w:spacing w:after="120"/>
        <w:ind w:left="426" w:hanging="426"/>
        <w:jc w:val="both"/>
        <w:rPr>
          <w:rFonts w:cs="Tahoma"/>
          <w:color w:val="000000" w:themeColor="text1"/>
          <w:sz w:val="18"/>
          <w:szCs w:val="18"/>
        </w:rPr>
      </w:pPr>
      <w:r w:rsidRPr="00977E53">
        <w:rPr>
          <w:rFonts w:cs="Tahoma"/>
          <w:color w:val="000000" w:themeColor="text1"/>
          <w:sz w:val="18"/>
          <w:szCs w:val="18"/>
        </w:rPr>
        <w:t>efektywność zabezpieczenia można wiarygodnie ocenić, tj. wartość godziwa lub przepływy pieniężne związane z pozycją zabezpieczaną wynikające z zabezpieczanego ryzyka oraz wartość godziwa instrumentu zabezpieczającego mogą być wiarygodnie wycenione;</w:t>
      </w:r>
    </w:p>
    <w:p w14:paraId="1CB9BCEF" w14:textId="77777777" w:rsidR="00BC6B0E" w:rsidRPr="00977E53" w:rsidRDefault="00BC6B0E" w:rsidP="00BC6B0E">
      <w:pPr>
        <w:pStyle w:val="Akapitzlist"/>
        <w:numPr>
          <w:ilvl w:val="0"/>
          <w:numId w:val="15"/>
        </w:numPr>
        <w:tabs>
          <w:tab w:val="clear" w:pos="624"/>
        </w:tabs>
        <w:spacing w:after="120"/>
        <w:ind w:left="426" w:hanging="426"/>
        <w:jc w:val="both"/>
        <w:rPr>
          <w:rFonts w:cs="Tahoma"/>
          <w:color w:val="000000" w:themeColor="text1"/>
          <w:sz w:val="18"/>
          <w:szCs w:val="18"/>
        </w:rPr>
      </w:pPr>
      <w:r w:rsidRPr="00977E53">
        <w:rPr>
          <w:rFonts w:cs="Tahoma"/>
          <w:color w:val="000000" w:themeColor="text1"/>
          <w:sz w:val="18"/>
          <w:szCs w:val="18"/>
        </w:rPr>
        <w:t>zabezpieczenie jest na bieżąco oceniane i stwierdza się jego wysoką efektywność we wszystkich okresach sprawozdawczych, na które zabezpieczenie zostało ustanowione.</w:t>
      </w:r>
    </w:p>
    <w:p w14:paraId="1C91D925"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Grupa dokumentuje cele zarządzania ryzykiem i strategię zawierania transakcji zabezpieczających oraz w momencie zawarcia transakcji, relację między instrumentem zabezpieczającym a zabezpieczaną pozycją. Grupa dokumentuje również własną ocenę efektywności transakcji zabezpieczających przed zmianami wartości godziwej lub przepływów pieniężnych, mierzoną zarówno prospektywnie jak i retrospektywnie od momentu ustalenia oraz przez cały okres trwania relacji instrumentu zabezpieczającego z zabezpieczaną pozycją. </w:t>
      </w:r>
    </w:p>
    <w:p w14:paraId="22441C63" w14:textId="75FB45B0"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Ze względu na podział instrumentów pochodnych zaklasyfikowanych do księgi bankowej oraz zaklasyfikowanych do księgi handlowej, Grupa stosuje odmienne podejście do prezentowania przychodów/kosztów odsetkowych dla każdej z tych grup instrumentów pochodnych, k</w:t>
      </w:r>
      <w:r w:rsidR="00593EB4">
        <w:rPr>
          <w:rFonts w:cs="Tahoma"/>
          <w:color w:val="000000" w:themeColor="text1"/>
          <w:sz w:val="18"/>
          <w:szCs w:val="18"/>
        </w:rPr>
        <w:t>tóre zostało opisane w Nocie 2.3</w:t>
      </w:r>
      <w:r w:rsidRPr="00977E53">
        <w:rPr>
          <w:rFonts w:cs="Tahoma"/>
          <w:color w:val="000000" w:themeColor="text1"/>
          <w:sz w:val="18"/>
          <w:szCs w:val="18"/>
        </w:rPr>
        <w:t xml:space="preserve"> Przychody i koszty z tytułu odsetek. Pozostały wynik z wyceny do wartości godziwej instrumentów ujmuje się w wyniku na działalności handlowej.</w:t>
      </w:r>
    </w:p>
    <w:p w14:paraId="2A01C16E"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Zabezpieczenie wartości godziwej</w:t>
      </w:r>
    </w:p>
    <w:p w14:paraId="20666D08" w14:textId="5B520563" w:rsidR="00BC6B0E" w:rsidRPr="00977E53" w:rsidRDefault="00BC6B0E" w:rsidP="00BC6B0E">
      <w:pPr>
        <w:pStyle w:val="Tekstpodstawowy3"/>
        <w:suppressAutoHyphens/>
        <w:spacing w:before="60" w:after="0"/>
        <w:jc w:val="both"/>
        <w:rPr>
          <w:rFonts w:cs="Tahoma"/>
          <w:color w:val="000000" w:themeColor="text1"/>
          <w:sz w:val="18"/>
          <w:szCs w:val="18"/>
        </w:rPr>
      </w:pPr>
      <w:r w:rsidRPr="00977E53">
        <w:rPr>
          <w:rFonts w:cs="Tahoma"/>
          <w:color w:val="000000" w:themeColor="text1"/>
          <w:sz w:val="18"/>
          <w:szCs w:val="18"/>
        </w:rPr>
        <w:t xml:space="preserve">Zmiany wartości godziwej instrumentów pochodnych wyznaczonych i kwalifikujących się jako zabezpieczenia wartości godziwej ujmuje się w rachunku zysków i strat wraz z odpowiadającymi im zmianami wartości godziwej zabezpieczanego składnika aktywów lub zobowiązania odnoszącego się do ryzyka, przed którym Grupa się zabezpiecza. </w:t>
      </w:r>
      <w:r w:rsidR="00DE7847">
        <w:rPr>
          <w:rFonts w:cs="Tahoma"/>
          <w:color w:val="000000" w:themeColor="text1"/>
          <w:sz w:val="18"/>
          <w:szCs w:val="18"/>
        </w:rPr>
        <w:t>Z</w:t>
      </w:r>
      <w:r w:rsidRPr="00977E53">
        <w:rPr>
          <w:rFonts w:cs="Tahoma"/>
          <w:color w:val="000000" w:themeColor="text1"/>
          <w:sz w:val="18"/>
          <w:szCs w:val="18"/>
        </w:rPr>
        <w:t>ysk lub strata z tytułu zabezpieczenia pozycji zabezpieczanej korygują wartość bilansową pozycji zabezpieczanej.</w:t>
      </w:r>
    </w:p>
    <w:p w14:paraId="14719E1B" w14:textId="0A3859BD" w:rsidR="00806B20"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przypadku, gdy zabezpieczenie przestało spełniać kryteria stosowania rachunkowości zabezpieczeń, korektę wartości bilansowej instrumentu zabezpieczanego, wycenianego według efektywnej stopy procentowej, rozlicza się w czasie w rachunku zysków i strat w okresie pozostałym do terminu wymagalności/zapadalności. Korekta wartości bilansowej zabezpieczanego kapitałowego papieru wartościowego jest wykazywana w pozostałych całkowitych dochodach do czasu zbycia tego papieru wartościowego.</w:t>
      </w:r>
    </w:p>
    <w:p w14:paraId="2ED76F98" w14:textId="77777777" w:rsidR="00806B20" w:rsidRDefault="00806B20">
      <w:pPr>
        <w:rPr>
          <w:rFonts w:cs="Tahoma"/>
          <w:color w:val="000000" w:themeColor="text1"/>
          <w:sz w:val="18"/>
          <w:szCs w:val="18"/>
        </w:rPr>
      </w:pPr>
      <w:r>
        <w:rPr>
          <w:rFonts w:cs="Tahoma"/>
          <w:color w:val="000000" w:themeColor="text1"/>
          <w:sz w:val="18"/>
          <w:szCs w:val="18"/>
        </w:rPr>
        <w:br w:type="page"/>
      </w:r>
    </w:p>
    <w:p w14:paraId="65CB2F3F"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lastRenderedPageBreak/>
        <w:t>Zabezpieczenie przepływów pieniężnych</w:t>
      </w:r>
    </w:p>
    <w:p w14:paraId="3EE081FE" w14:textId="1BC01115" w:rsidR="00BC6B0E" w:rsidRPr="00977E53" w:rsidRDefault="00BC6B0E" w:rsidP="00BC6B0E">
      <w:pPr>
        <w:pStyle w:val="Tekstpodstawowy3"/>
        <w:suppressAutoHyphens/>
        <w:spacing w:before="60" w:after="0"/>
        <w:jc w:val="both"/>
        <w:rPr>
          <w:rFonts w:cs="Tahoma"/>
          <w:color w:val="000000" w:themeColor="text1"/>
          <w:sz w:val="18"/>
          <w:szCs w:val="18"/>
        </w:rPr>
      </w:pPr>
      <w:r w:rsidRPr="00977E53">
        <w:rPr>
          <w:rFonts w:cs="Tahoma"/>
          <w:color w:val="000000" w:themeColor="text1"/>
          <w:sz w:val="18"/>
          <w:szCs w:val="18"/>
        </w:rPr>
        <w:t>Efektywną część zmian wartości godziwej instrumentów pochodnych wyznaczonych i kwalifikujących się</w:t>
      </w:r>
      <w:r w:rsidR="00595194">
        <w:rPr>
          <w:rFonts w:cs="Tahoma"/>
          <w:color w:val="000000" w:themeColor="text1"/>
          <w:sz w:val="18"/>
          <w:szCs w:val="18"/>
        </w:rPr>
        <w:t> </w:t>
      </w:r>
      <w:r w:rsidRPr="00977E53">
        <w:rPr>
          <w:rFonts w:cs="Tahoma"/>
          <w:color w:val="000000" w:themeColor="text1"/>
          <w:sz w:val="18"/>
          <w:szCs w:val="18"/>
        </w:rPr>
        <w:t>jako zabezpieczenia przepływów pieniężnych ujmuje się w pozostałych całkowitych dochodach. Zysk lub stratę dotyczącą części nieefektywnej wykazuje się w rachunku zysków i strat bieżącego okresu.</w:t>
      </w:r>
    </w:p>
    <w:p w14:paraId="45E7BBA6" w14:textId="10905801"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Kwoty ujęte w pozostałych całkowitych dochodach przenosi się do rachunku zysków i strat oraz zalicza do</w:t>
      </w:r>
      <w:r w:rsidR="00595194">
        <w:rPr>
          <w:rFonts w:cs="Tahoma"/>
          <w:color w:val="000000" w:themeColor="text1"/>
          <w:sz w:val="18"/>
          <w:szCs w:val="18"/>
        </w:rPr>
        <w:t> </w:t>
      </w:r>
      <w:r w:rsidRPr="00977E53">
        <w:rPr>
          <w:rFonts w:cs="Tahoma"/>
          <w:color w:val="000000" w:themeColor="text1"/>
          <w:sz w:val="18"/>
          <w:szCs w:val="18"/>
        </w:rPr>
        <w:t>przychodów lub kosztów tych samych okresów, w których zabezpieczana pozycja wpłynie na rachunek zysków i strat (np. w momencie zawarcia prognozowanej transakcji sprzedaży, która jest przedmiotem zabezpieczenia).</w:t>
      </w:r>
    </w:p>
    <w:p w14:paraId="6616A8FE"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przypadku, gdy instrument zabezpieczający wygasł albo został sprzedany, lub gdy zabezpieczenie przestało spełniać kryteria rachunkowości zabezpieczeń, wszelkie łączne zyski lub straty wykazywane w tym momencie w pozostałych całkowitych dochodach pozostają w pozostałych całkowitych dochodach, do momentu ujęcia w rachunku zysków i strat prognozowanej transakcji. Jeżeli zawarcie prognozowanej transakcji nie jest już uznawane za prawdopodobne, łączne zyski lub straty wykazane w pozostałych całkowitych dochodach są niezwłocznie przenoszone do rachunku zysków i strat.</w:t>
      </w:r>
    </w:p>
    <w:p w14:paraId="0E5E0260" w14:textId="110E2451"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 xml:space="preserve">Instrumenty pochodne </w:t>
      </w:r>
      <w:r w:rsidR="002F25A1" w:rsidRPr="00977E53">
        <w:rPr>
          <w:rFonts w:cs="Tahoma"/>
          <w:color w:val="000000" w:themeColor="text1"/>
          <w:sz w:val="18"/>
          <w:szCs w:val="18"/>
          <w:u w:val="single"/>
        </w:rPr>
        <w:t>nie desygnowane</w:t>
      </w:r>
      <w:r w:rsidRPr="00977E53">
        <w:rPr>
          <w:rFonts w:cs="Tahoma"/>
          <w:color w:val="000000" w:themeColor="text1"/>
          <w:sz w:val="18"/>
          <w:szCs w:val="18"/>
          <w:u w:val="single"/>
        </w:rPr>
        <w:t xml:space="preserve"> </w:t>
      </w:r>
      <w:r w:rsidR="002F25A1" w:rsidRPr="00977E53">
        <w:rPr>
          <w:rFonts w:cs="Tahoma"/>
          <w:color w:val="000000" w:themeColor="text1"/>
          <w:sz w:val="18"/>
          <w:szCs w:val="18"/>
          <w:u w:val="single"/>
        </w:rPr>
        <w:t xml:space="preserve">do </w:t>
      </w:r>
      <w:r w:rsidRPr="00977E53">
        <w:rPr>
          <w:rFonts w:cs="Tahoma"/>
          <w:color w:val="000000" w:themeColor="text1"/>
          <w:sz w:val="18"/>
          <w:szCs w:val="18"/>
          <w:u w:val="single"/>
        </w:rPr>
        <w:t>rachunkowości zabezpieczeń</w:t>
      </w:r>
    </w:p>
    <w:p w14:paraId="478DD825" w14:textId="78AD6778" w:rsidR="00BC6B0E" w:rsidRPr="00977E53" w:rsidRDefault="00BC6B0E" w:rsidP="00BC6B0E">
      <w:pPr>
        <w:pStyle w:val="Tekstpodstawowy3"/>
        <w:suppressAutoHyphens/>
        <w:spacing w:before="60" w:after="0"/>
        <w:jc w:val="both"/>
        <w:rPr>
          <w:rFonts w:cs="Tahoma"/>
          <w:color w:val="000000" w:themeColor="text1"/>
          <w:sz w:val="18"/>
          <w:szCs w:val="18"/>
        </w:rPr>
      </w:pPr>
      <w:r w:rsidRPr="00977E53">
        <w:rPr>
          <w:rFonts w:cs="Tahoma"/>
          <w:color w:val="000000" w:themeColor="text1"/>
          <w:sz w:val="18"/>
          <w:szCs w:val="18"/>
        </w:rPr>
        <w:t xml:space="preserve">Zmiany wartości godziwej instrumentów pochodnych nie </w:t>
      </w:r>
      <w:r w:rsidR="002F25A1" w:rsidRPr="00977E53">
        <w:rPr>
          <w:rFonts w:cs="Tahoma"/>
          <w:color w:val="000000" w:themeColor="text1"/>
          <w:sz w:val="18"/>
          <w:szCs w:val="18"/>
        </w:rPr>
        <w:t xml:space="preserve">desygnowane do </w:t>
      </w:r>
      <w:r w:rsidRPr="00977E53">
        <w:rPr>
          <w:rFonts w:cs="Tahoma"/>
          <w:color w:val="000000" w:themeColor="text1"/>
          <w:sz w:val="18"/>
          <w:szCs w:val="18"/>
        </w:rPr>
        <w:t>rachunkowości zabezpieczeń wykazywane są w rachunku zysków i strat bieżącego okresu.</w:t>
      </w:r>
    </w:p>
    <w:p w14:paraId="27A9D0EB"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Grupa posiada w portfelu następujące instrumenty pochodne:</w:t>
      </w:r>
    </w:p>
    <w:p w14:paraId="38C09A2B" w14:textId="77777777" w:rsidR="00BC6B0E" w:rsidRPr="00977E53" w:rsidRDefault="00BC6B0E" w:rsidP="00BC6B0E">
      <w:pPr>
        <w:pStyle w:val="Tekstpodstawowy3"/>
        <w:suppressAutoHyphens/>
        <w:spacing w:before="120"/>
        <w:jc w:val="both"/>
        <w:rPr>
          <w:rFonts w:cs="Tahoma"/>
          <w:i/>
          <w:iCs/>
          <w:color w:val="000000" w:themeColor="text1"/>
          <w:sz w:val="18"/>
          <w:szCs w:val="18"/>
        </w:rPr>
      </w:pPr>
      <w:r w:rsidRPr="00977E53">
        <w:rPr>
          <w:rFonts w:cs="Tahoma"/>
          <w:i/>
          <w:iCs/>
          <w:color w:val="000000" w:themeColor="text1"/>
          <w:sz w:val="18"/>
          <w:szCs w:val="18"/>
        </w:rPr>
        <w:t>Instrumenty na ryzyko rynkowe:</w:t>
      </w:r>
    </w:p>
    <w:p w14:paraId="4FE73272" w14:textId="77777777" w:rsidR="00BC6B0E" w:rsidRPr="00977E53" w:rsidRDefault="00BC6B0E" w:rsidP="00BC6B0E">
      <w:pPr>
        <w:pStyle w:val="Akapitzlist"/>
        <w:numPr>
          <w:ilvl w:val="0"/>
          <w:numId w:val="15"/>
        </w:numPr>
        <w:tabs>
          <w:tab w:val="clear" w:pos="624"/>
        </w:tabs>
        <w:spacing w:line="240" w:lineRule="exact"/>
        <w:ind w:left="426" w:hanging="426"/>
        <w:jc w:val="both"/>
        <w:rPr>
          <w:rFonts w:cs="Tahoma"/>
          <w:color w:val="000000" w:themeColor="text1"/>
          <w:sz w:val="18"/>
          <w:szCs w:val="18"/>
        </w:rPr>
      </w:pPr>
      <w:r w:rsidRPr="00977E53">
        <w:rPr>
          <w:rFonts w:cs="Tahoma"/>
          <w:color w:val="000000" w:themeColor="text1"/>
          <w:sz w:val="18"/>
          <w:szCs w:val="18"/>
        </w:rPr>
        <w:t>Kontrakty futures na obligacje, na indeks</w:t>
      </w:r>
    </w:p>
    <w:p w14:paraId="73871C8C"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Opcje na papiery wartościowe i indeksy giełdowe</w:t>
      </w:r>
    </w:p>
    <w:p w14:paraId="215F1E99"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Opcje na kontrakty futures</w:t>
      </w:r>
    </w:p>
    <w:p w14:paraId="5925913F"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Transakcje terminowe na papiery wartościowe</w:t>
      </w:r>
    </w:p>
    <w:p w14:paraId="11420A89"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Swapy towarowe</w:t>
      </w:r>
    </w:p>
    <w:p w14:paraId="2D9AEBC8" w14:textId="77777777" w:rsidR="00BC6B0E" w:rsidRPr="00977E53" w:rsidRDefault="00BC6B0E" w:rsidP="00BC6B0E">
      <w:pPr>
        <w:suppressAutoHyphens/>
        <w:spacing w:before="120" w:after="120"/>
        <w:jc w:val="both"/>
        <w:rPr>
          <w:rFonts w:cs="Tahoma"/>
          <w:i/>
          <w:iCs/>
          <w:color w:val="000000" w:themeColor="text1"/>
          <w:sz w:val="18"/>
          <w:szCs w:val="18"/>
        </w:rPr>
      </w:pPr>
      <w:r w:rsidRPr="00977E53">
        <w:rPr>
          <w:rFonts w:cs="Tahoma"/>
          <w:i/>
          <w:iCs/>
          <w:color w:val="000000" w:themeColor="text1"/>
          <w:sz w:val="18"/>
          <w:szCs w:val="18"/>
        </w:rPr>
        <w:t>Instrumenty na ryzyko stopy procentowej:</w:t>
      </w:r>
    </w:p>
    <w:p w14:paraId="2B543279"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Forward Rate Agreement (FRA)</w:t>
      </w:r>
    </w:p>
    <w:p w14:paraId="58210520"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lang w:val="en-GB"/>
        </w:rPr>
      </w:pPr>
      <w:r w:rsidRPr="00977E53">
        <w:rPr>
          <w:rFonts w:cs="Tahoma"/>
          <w:color w:val="000000" w:themeColor="text1"/>
          <w:sz w:val="18"/>
          <w:szCs w:val="18"/>
          <w:lang w:val="en-GB"/>
        </w:rPr>
        <w:t>Interest Rate Swap (IRS), Overnight Index Swap (OIS)</w:t>
      </w:r>
    </w:p>
    <w:p w14:paraId="05CE8D2C"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Opcje na stopę procentową</w:t>
      </w:r>
    </w:p>
    <w:p w14:paraId="600A7DB7" w14:textId="77777777" w:rsidR="00BC6B0E" w:rsidRPr="00977E53" w:rsidRDefault="00BC6B0E" w:rsidP="00BC6B0E">
      <w:pPr>
        <w:suppressAutoHyphens/>
        <w:spacing w:before="120" w:after="120"/>
        <w:jc w:val="both"/>
        <w:rPr>
          <w:rFonts w:cs="Tahoma"/>
          <w:i/>
          <w:iCs/>
          <w:color w:val="000000" w:themeColor="text1"/>
          <w:sz w:val="18"/>
          <w:szCs w:val="18"/>
        </w:rPr>
      </w:pPr>
      <w:r w:rsidRPr="00977E53">
        <w:rPr>
          <w:rFonts w:cs="Tahoma"/>
          <w:i/>
          <w:iCs/>
          <w:color w:val="000000" w:themeColor="text1"/>
          <w:sz w:val="18"/>
          <w:szCs w:val="18"/>
        </w:rPr>
        <w:t>Instrumenty na ryzyko kursu walutowego:</w:t>
      </w:r>
    </w:p>
    <w:p w14:paraId="0D85C02F"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rPr>
        <w:t>Walutowe transakcje terminowe, fx swap, fx forward</w:t>
      </w:r>
    </w:p>
    <w:p w14:paraId="5F2A715C"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lang w:val="en-GB"/>
        </w:rPr>
      </w:pPr>
      <w:r w:rsidRPr="00977E53">
        <w:rPr>
          <w:rFonts w:cs="Tahoma"/>
          <w:color w:val="000000" w:themeColor="text1"/>
          <w:sz w:val="18"/>
          <w:szCs w:val="18"/>
          <w:lang w:val="en-GB"/>
        </w:rPr>
        <w:t>Cross Currency Interest Rate Swap (CIRS)</w:t>
      </w:r>
    </w:p>
    <w:p w14:paraId="7A4BCFA7" w14:textId="77777777" w:rsidR="00BC6B0E" w:rsidRPr="00977E53" w:rsidRDefault="00BC6B0E" w:rsidP="00BC6B0E">
      <w:pPr>
        <w:pStyle w:val="Akapitzlist"/>
        <w:numPr>
          <w:ilvl w:val="0"/>
          <w:numId w:val="15"/>
        </w:numPr>
        <w:tabs>
          <w:tab w:val="clear" w:pos="624"/>
        </w:tabs>
        <w:spacing w:line="240" w:lineRule="exact"/>
        <w:ind w:left="425" w:hanging="425"/>
        <w:jc w:val="both"/>
        <w:rPr>
          <w:rFonts w:cs="Tahoma"/>
          <w:color w:val="000000" w:themeColor="text1"/>
          <w:sz w:val="18"/>
          <w:szCs w:val="18"/>
        </w:rPr>
      </w:pPr>
      <w:r w:rsidRPr="00977E53">
        <w:rPr>
          <w:rFonts w:cs="Tahoma"/>
          <w:color w:val="000000" w:themeColor="text1"/>
          <w:sz w:val="18"/>
          <w:szCs w:val="18"/>
          <w:lang w:val="en-GB"/>
        </w:rPr>
        <w:t>Opcje walutowe.</w:t>
      </w:r>
    </w:p>
    <w:p w14:paraId="3728468B" w14:textId="71C0ECA2" w:rsidR="00D54BBD" w:rsidRDefault="00D54BBD">
      <w:pPr>
        <w:rPr>
          <w:rFonts w:cs="Tahoma"/>
          <w:sz w:val="18"/>
          <w:szCs w:val="18"/>
        </w:rPr>
      </w:pPr>
    </w:p>
    <w:p w14:paraId="1F2716CB" w14:textId="7A608FF1" w:rsidR="0075499D" w:rsidRPr="009C7E7B" w:rsidRDefault="0075499D" w:rsidP="00235E5C">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34" w:name="_Toc32999802"/>
      <w:r>
        <w:rPr>
          <w:b/>
          <w:color w:val="E41E0A"/>
          <w:sz w:val="18"/>
          <w:szCs w:val="18"/>
        </w:rPr>
        <w:t>Zyski i straty w momencie początkowego ujęcia</w:t>
      </w:r>
      <w:bookmarkEnd w:id="34"/>
    </w:p>
    <w:p w14:paraId="257113E6"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Najlepszym dowodem wartości godziwej instrumentu finansowego przy początkowym ujęciu jest cena transakcji (tj. wartość godziwa uiszczonej lub otrzymanej zapłaty), chyba że wartość godziwa tego instrumentu jest udowodniona poprzez porównanie z innymi możliwymi do obserwacji bieżącymi transakcjami rynkowymi dla tego samego instrumentu (tj. bez modyfikacji lub przepakowania) lub oparta jest na technice wyceny, której zmienne obejmują wyłącznie dane pochodzące z możliwych do obserwacji rynków.</w:t>
      </w:r>
    </w:p>
    <w:p w14:paraId="7E152908"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przypadku transakcji, których wartość początkowa uzyskana z modelu wyceny (uwzględniającego zarówno dane obserwowane na rynku jak i dane nierynkowe) oraz cena transakcyjna różnią się, początkowe ujęcie następuje według ceny transakcyjnej. Grupa zakłada, że cena taka jest najlepszym przybliżeniem wartości godziwej, pomimo faktu, iż wartość otrzymana z modelu wyceny może być różna. Różnica pomiędzy ceną transakcji a wartością uzyskaną z modelu, zwyczajowo nazywana zyskami i stratami z początkowego ujęcia („day one profit and loss”), jest rozliczana w czasie.</w:t>
      </w:r>
    </w:p>
    <w:p w14:paraId="0CD406E1"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Moment ujęcia odroczonych zysków i strat z początkowego ujęcia jest oceniany indywidualnie. Są one amortyzowane przez okres trwania transakcji, odraczane do momentu, kiedy wartość instrumentu może być ustalona na podstawie obserwowalnych rynkowych danych wejściowych, lub realizowane przez płatności. Instrument finansowy jest od tego momentu wyceniany w wartości godziwej, skorygowanej o zyski i straty z początkowego ujęcia. Dalsze zmiany wartości godziwej są niezwłocznie ujmowane w rachunku zysków i strat bez odwracania odroczonych zysków i strat z początkowego ujęcia.</w:t>
      </w:r>
    </w:p>
    <w:p w14:paraId="26EAC99B" w14:textId="77777777" w:rsidR="00833BA2" w:rsidRPr="00C12AFA" w:rsidRDefault="00833BA2" w:rsidP="00833BA2">
      <w:pPr>
        <w:jc w:val="both"/>
        <w:rPr>
          <w:rFonts w:cs="Tahoma"/>
          <w:sz w:val="18"/>
          <w:szCs w:val="18"/>
        </w:rPr>
      </w:pPr>
    </w:p>
    <w:p w14:paraId="3356711D" w14:textId="77777777" w:rsidR="00BC6B0E" w:rsidRPr="00CA556C"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35" w:name="_Toc517966053"/>
      <w:bookmarkStart w:id="36" w:name="_Toc517971168"/>
      <w:bookmarkStart w:id="37" w:name="_Toc520702401"/>
      <w:bookmarkStart w:id="38" w:name="_Toc32999803"/>
      <w:r w:rsidRPr="00CA556C">
        <w:rPr>
          <w:b/>
          <w:color w:val="E41E0A"/>
          <w:sz w:val="18"/>
          <w:szCs w:val="18"/>
        </w:rPr>
        <w:lastRenderedPageBreak/>
        <w:t>Zobowiązania finansowe wyceniane w zamortyzowanym koszcie</w:t>
      </w:r>
      <w:bookmarkEnd w:id="35"/>
      <w:bookmarkEnd w:id="36"/>
      <w:bookmarkEnd w:id="37"/>
      <w:bookmarkEnd w:id="38"/>
    </w:p>
    <w:p w14:paraId="163E22AE" w14:textId="6460D9F0"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Zobowiązania finansowe wyceniane w zamortyzowanym </w:t>
      </w:r>
      <w:r w:rsidR="00E93383">
        <w:rPr>
          <w:rFonts w:cs="Tahoma"/>
          <w:color w:val="000000" w:themeColor="text1"/>
          <w:sz w:val="18"/>
          <w:szCs w:val="18"/>
        </w:rPr>
        <w:t xml:space="preserve">koszcie </w:t>
      </w:r>
      <w:r w:rsidRPr="00977E53">
        <w:rPr>
          <w:rFonts w:cs="Tahoma"/>
          <w:color w:val="000000" w:themeColor="text1"/>
          <w:sz w:val="18"/>
          <w:szCs w:val="18"/>
        </w:rPr>
        <w:t>obejmują kredyty i pożyczki otrzymane, d</w:t>
      </w:r>
      <w:r w:rsidR="00E93383">
        <w:rPr>
          <w:rFonts w:cs="Tahoma"/>
          <w:color w:val="000000" w:themeColor="text1"/>
          <w:sz w:val="18"/>
          <w:szCs w:val="18"/>
        </w:rPr>
        <w:t>epozyty przyjęte, zobowiązania t</w:t>
      </w:r>
      <w:r w:rsidRPr="00977E53">
        <w:rPr>
          <w:rFonts w:cs="Tahoma"/>
          <w:color w:val="000000" w:themeColor="text1"/>
          <w:sz w:val="18"/>
          <w:szCs w:val="18"/>
        </w:rPr>
        <w:t>ytułu emisji dłuższych papierów wartościowych i zobowiązania podporządkowane. Powyższe zobowiązania finansowe ujmuje się początkowo według wartości godziwej, pomniejszonej o poniesione koszty transakcyjne. Po początkowym ujęciu, zobowiązania te wykazuje się według skorygowanej ceny nabycia (zamortyzowanego kosztu przy zastosowaniu metody efektywnej stopy procentowej). Wszelkie różnice pomiędzy otrzymaną kwotą (pomniejszoną o koszty transakcyjne) a</w:t>
      </w:r>
      <w:r w:rsidR="00251D21" w:rsidRPr="00977E53">
        <w:rPr>
          <w:rFonts w:cs="Tahoma"/>
          <w:color w:val="000000" w:themeColor="text1"/>
          <w:sz w:val="18"/>
          <w:szCs w:val="18"/>
        </w:rPr>
        <w:t> </w:t>
      </w:r>
      <w:r w:rsidRPr="00977E53">
        <w:rPr>
          <w:rFonts w:cs="Tahoma"/>
          <w:color w:val="000000" w:themeColor="text1"/>
          <w:sz w:val="18"/>
          <w:szCs w:val="18"/>
        </w:rPr>
        <w:t xml:space="preserve">wartością wykupu ujmuje się w rachunku zysków i strat przez okres obowiązywania odnośnych umów metodą efektywnej stopy procentowej. </w:t>
      </w:r>
    </w:p>
    <w:p w14:paraId="68C52914" w14:textId="77777777" w:rsidR="00BC6B0E" w:rsidRPr="00C12AFA" w:rsidRDefault="00BC6B0E" w:rsidP="00BC6B0E">
      <w:pPr>
        <w:jc w:val="both"/>
        <w:rPr>
          <w:rFonts w:cs="Tahoma"/>
          <w:sz w:val="18"/>
          <w:szCs w:val="18"/>
        </w:rPr>
      </w:pPr>
    </w:p>
    <w:p w14:paraId="6EC5C31F"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39" w:name="_Toc517966054"/>
      <w:bookmarkStart w:id="40" w:name="_Toc517971169"/>
      <w:bookmarkStart w:id="41" w:name="_Toc520702402"/>
      <w:bookmarkStart w:id="42" w:name="_Toc32999804"/>
      <w:r>
        <w:rPr>
          <w:b/>
          <w:color w:val="E41E0A"/>
          <w:sz w:val="18"/>
          <w:szCs w:val="18"/>
        </w:rPr>
        <w:t>Wartości niematerialne</w:t>
      </w:r>
      <w:bookmarkEnd w:id="39"/>
      <w:bookmarkEnd w:id="40"/>
      <w:bookmarkEnd w:id="41"/>
      <w:bookmarkEnd w:id="42"/>
    </w:p>
    <w:p w14:paraId="33DB7AD1"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Przy początkowym ujęciu Grupa wycenia wartości niematerialne w cenie nabycia lub koszcie wytworzenia. Po początkowym ujęciu wartości niematerialne wykazane są według ceny nabycia skorygowanej o koszty ulepszenia (przebudowy, rozbudowy, rekonstrukcji lub modernizacji) oraz naliczone umorzenie i łączną kwotę odpisów aktualizujących z tytułu utraty wartości. Umorzenie naliczane jest metodą liniową przy uwzględnieniu oczekiwanych okresów ekonomicznej użyteczności wartości niematerialnych.</w:t>
      </w:r>
    </w:p>
    <w:p w14:paraId="060375D4" w14:textId="77777777" w:rsidR="00BC6B0E" w:rsidRPr="00977E53" w:rsidRDefault="00BC6B0E" w:rsidP="00BC6B0E">
      <w:pPr>
        <w:pStyle w:val="Tekstpodstawowy3"/>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Wartość firmy</w:t>
      </w:r>
    </w:p>
    <w:p w14:paraId="4DCBE795"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Wartość firmy z tytułu przejęcia jednostki jest początkowo ujmowana według ceny nabycia stanowiącej kwotę nadwyżki sumy przekazanej zapłaty, kwoty wszelkich niekontrolujących udziałów w jednostce przejmowanej oraz w przypadku połączenia jednostek realizowanego etapami wartości godziwej na dzień przejęcia udziału w kapitale jednostki przejmowanej, należącego poprzednio do jednostki przejmującej nad kwotą netto ustaloną na dzień przejęcia wartości możliwych do zidentyfikowania nabytych aktywów i przejętych zobowiązań.</w:t>
      </w:r>
    </w:p>
    <w:p w14:paraId="2280275B"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 xml:space="preserve">Wartość firmy z przejęcia jednostek zależnych ujmuje się w ramach wartości niematerialnych. Wartość firmy nie jest amortyzowana, lecz jest testowana corocznie pod kątem utraty wartości oraz gdy istnieją przesłanki na to wskazujące i wykazywana w sprawozdaniu z sytuacji finansowej według kosztu pomniejszonego o skumulowane odpisy z tytułu utraty wartości. Na koniec każdego okresu sprawozdawczego Grupa ocenia, czy istnieją jakiekolwiek przesłanki wskazujące na to, że mogła nastąpić utrata wartości ośrodka wypracowującego środki pieniężne, do którego została przypisana wartość firmy. W razie stwierdzenia, że przesłanki takie występują, Grupa szacuje wartość odzyskiwaną tego składnika aktywów. Odpis aktualizujący z tytułu utraty wartości w odniesieniu do wartości firmy nie podlega odwróceniu. </w:t>
      </w:r>
    </w:p>
    <w:p w14:paraId="29729AF0" w14:textId="4ED22925"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Zyski i straty ze zbycia działalności uwzględniają wartość bilansową wartości firmy dotyczącą sprzedanej działalności. W celu przeprowadzenia testu pod kątem możliwej utraty wartości wartość firmy jest alokowana do ośrodków wypracowujących środki pieniężne. Alokację robi się na dzień nabycia dla takich ośrodków bądź grup ośrodków wypracowujących środki pieniężne, które według oczekiwań będą czerpać korzyści z połączenia, dzięki któremu ta wartość firmy powstała, nie większych niż segmenty operacyjne zgodnie z MSSF 8 bez względu na to, czy zostały do nich przypisane także inne składniki aktywów lub</w:t>
      </w:r>
      <w:r w:rsidR="003361A0">
        <w:rPr>
          <w:rFonts w:cs="Tahoma"/>
          <w:color w:val="000000" w:themeColor="text1"/>
          <w:sz w:val="18"/>
          <w:szCs w:val="18"/>
        </w:rPr>
        <w:t> </w:t>
      </w:r>
      <w:r w:rsidRPr="00977E53">
        <w:rPr>
          <w:rFonts w:cs="Tahoma"/>
          <w:color w:val="000000" w:themeColor="text1"/>
          <w:sz w:val="18"/>
          <w:szCs w:val="18"/>
        </w:rPr>
        <w:t>zobowiązania jednostki przejmowanej.</w:t>
      </w:r>
    </w:p>
    <w:p w14:paraId="2CAEAA9A" w14:textId="51DFBF44" w:rsidR="00BC6B0E" w:rsidRPr="00977E53" w:rsidRDefault="00BC6B0E" w:rsidP="00BC6B0E">
      <w:pPr>
        <w:pStyle w:val="Tekstpodstawowy3"/>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Oprogramowanie komputerowe</w:t>
      </w:r>
    </w:p>
    <w:p w14:paraId="43D39F60" w14:textId="6A14E5AF"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Zakupione licencje na oprogramowanie komputerowe aktywuje się w wysokości kosztów poniesionych na zakup i przygotowanie do używania konkretnego oprogramowania komputerowego. Aktywowane koszty odpisuje się przez szacowany okres użytkowania oprogramowania (2-11 lat). Wydatki związane utrzymaniem programów komputerowych spisywane są w koszty z chwilą poniesienia. Wydatki bezpośrednio związane z wytworzeniem dających się zidentyfikować i unikatowych programów komputerowych kontrolowanych przez Grupę, które prawdopodobnie wygenerują korzyści gospodarcze przekraczające te koszty i będą uzyskiwane przez więcej niż jeden rok, ujmuje się jako wartości niematerialne. Koszty bezpośrednie obejmują koszty osobowe bezpośrednio przypisane do</w:t>
      </w:r>
      <w:r w:rsidR="003361A0">
        <w:rPr>
          <w:rFonts w:cs="Tahoma"/>
          <w:color w:val="000000" w:themeColor="text1"/>
          <w:sz w:val="18"/>
          <w:szCs w:val="18"/>
        </w:rPr>
        <w:t> </w:t>
      </w:r>
      <w:r w:rsidRPr="00977E53">
        <w:rPr>
          <w:rFonts w:cs="Tahoma"/>
          <w:color w:val="000000" w:themeColor="text1"/>
          <w:sz w:val="18"/>
          <w:szCs w:val="18"/>
        </w:rPr>
        <w:t>oprogramowania.</w:t>
      </w:r>
    </w:p>
    <w:p w14:paraId="28960004"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Aktywowane koszty związane z tworzeniem oprogramowania amortyzowane są przez szacowany okres użytkowania (2-11 lat).</w:t>
      </w:r>
    </w:p>
    <w:p w14:paraId="1D8B60A3" w14:textId="466300A2" w:rsidR="005D0A9C"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Oprogramowanie komputerowe bezpośrednio związane z funkcjonowaniem określonego sprzętu informatycznego jest wykazywane w pozycji „Rzeczowe aktywa trwałe”.</w:t>
      </w:r>
    </w:p>
    <w:p w14:paraId="5F1C0F02" w14:textId="77777777" w:rsidR="005D0A9C" w:rsidRDefault="005D0A9C">
      <w:pPr>
        <w:rPr>
          <w:rFonts w:cs="Tahoma"/>
          <w:color w:val="000000" w:themeColor="text1"/>
          <w:sz w:val="18"/>
          <w:szCs w:val="18"/>
        </w:rPr>
      </w:pPr>
      <w:r>
        <w:rPr>
          <w:rFonts w:cs="Tahoma"/>
          <w:color w:val="000000" w:themeColor="text1"/>
          <w:sz w:val="18"/>
          <w:szCs w:val="18"/>
        </w:rPr>
        <w:br w:type="page"/>
      </w:r>
    </w:p>
    <w:p w14:paraId="07071620" w14:textId="77777777" w:rsidR="00BC6B0E" w:rsidRPr="00977E53" w:rsidRDefault="00BC6B0E" w:rsidP="00BC6B0E">
      <w:pPr>
        <w:pStyle w:val="Tekstpodstawowy3"/>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lastRenderedPageBreak/>
        <w:t>Koszty zakończonych prac rozwojowych</w:t>
      </w:r>
    </w:p>
    <w:p w14:paraId="35E872FD"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Grupa identyfikuje koszty zakończonych prac rozwojowych jako wartości niematerialne w związku z uzyskaniem przyszłych korzyści ekonomicznych oraz spełnieniem warunków określonych w MSR 38, tj. Grupa ma możliwość i zamiar ukończenia oraz użytkowania wytwarzanego składnika, posiada stosowne środki techniczne i finansowe służące ukończeniu prac i użytkowaniu wytwarzanego składnika oraz może wiarygodnie ustalić wysokość nakładów poniesionych w czasie prac rozwojowych, które można przyporządkować wytworzonemu składnikowi wartości niematerialnych.</w:t>
      </w:r>
    </w:p>
    <w:p w14:paraId="31901194"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 xml:space="preserve">Ekonomiczny okres użyteczności „Kosztów zakończonych prac rozwojowych” jest określony i nie przekracza 3 lat. Stawki amortyzacyjne są dostosowane do okresu ekonomicznej użyteczności. Grupa wykazuje osobno te koszty, które wynikają z prac rozwojowych we własnym zakresie i z transakcji połączenia jednostek gospodarczych. </w:t>
      </w:r>
    </w:p>
    <w:p w14:paraId="7EFF210B" w14:textId="77777777" w:rsidR="00BC6B0E" w:rsidRPr="00977E53" w:rsidRDefault="00BC6B0E" w:rsidP="00BC6B0E">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 xml:space="preserve">Na nakłady na prace rozwojowe składają się wszystkie nakłady, które można bezpośrednio przyporządkować czynnościom rozwojowym. </w:t>
      </w:r>
    </w:p>
    <w:p w14:paraId="1CA3B1BD"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Wartości niematerialne są badane pod kątem utraty wartości zawsze, gdy występują zdarzenia lub zmiany okoliczności wskazujące, że wartość bilansowa może być niemożliwa do odzyskania.</w:t>
      </w:r>
    </w:p>
    <w:p w14:paraId="4EE6542F" w14:textId="77777777" w:rsidR="00BC6B0E" w:rsidRPr="00977E53" w:rsidRDefault="00BC6B0E" w:rsidP="00BC6B0E">
      <w:pPr>
        <w:jc w:val="both"/>
        <w:rPr>
          <w:rFonts w:cs="Tahoma"/>
          <w:color w:val="000000" w:themeColor="text1"/>
          <w:sz w:val="18"/>
          <w:szCs w:val="18"/>
        </w:rPr>
      </w:pPr>
    </w:p>
    <w:p w14:paraId="75387593"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43" w:name="_Toc517966055"/>
      <w:bookmarkStart w:id="44" w:name="_Toc517971170"/>
      <w:bookmarkStart w:id="45" w:name="_Toc520702403"/>
      <w:bookmarkStart w:id="46" w:name="_Toc32999805"/>
      <w:r>
        <w:rPr>
          <w:b/>
          <w:color w:val="E41E0A"/>
          <w:sz w:val="18"/>
          <w:szCs w:val="18"/>
        </w:rPr>
        <w:t>Rzeczowe aktywa trwałe</w:t>
      </w:r>
      <w:bookmarkEnd w:id="43"/>
      <w:bookmarkEnd w:id="44"/>
      <w:bookmarkEnd w:id="45"/>
      <w:bookmarkEnd w:id="46"/>
    </w:p>
    <w:p w14:paraId="120374D4"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Rzeczowe aktywa trwałe wykazuje się według kosztu historycznego pomniejszonego o umorzenie oraz odpisy aktualizujące z tytułu utraty wartości. Koszt historyczny uwzględnia wydatki bezpośrednio związane z nabyciem danych aktywów.</w:t>
      </w:r>
    </w:p>
    <w:p w14:paraId="29A59633"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Późniejsze nakłady uwzględnia się w wartości bilansowej danego środka trwałego lub ujmuje jako odrębny środek trwały (tam, gdzie jest to właściwe) tylko wówczas, gdy jest prawdopodobne, że z tytułu tej pozycji nastąpi wpływ korzyści ekonomicznych do Grupy, zaś koszt danej pozycji można wiarygodnie zmierzyć. Wszelkie pozostałe wydatki na naprawę i konserwację odnoszone są do rachunku zysków i strat w okresie obrotowym, w którym je poniesiono.</w:t>
      </w:r>
    </w:p>
    <w:p w14:paraId="507FEA4F" w14:textId="20340D7C" w:rsidR="00BC6B0E" w:rsidRPr="00977E53" w:rsidRDefault="00BC6B0E" w:rsidP="00BC6B0E">
      <w:pPr>
        <w:spacing w:before="120" w:after="120"/>
        <w:jc w:val="both"/>
        <w:rPr>
          <w:rFonts w:cs="Tahoma"/>
          <w:color w:val="000000" w:themeColor="text1"/>
          <w:sz w:val="18"/>
          <w:szCs w:val="18"/>
        </w:rPr>
      </w:pPr>
      <w:r w:rsidRPr="00977E53">
        <w:rPr>
          <w:rFonts w:cs="Tahoma"/>
          <w:color w:val="000000" w:themeColor="text1"/>
          <w:sz w:val="18"/>
          <w:szCs w:val="18"/>
        </w:rPr>
        <w:t>Grunty nie podlegają amortyzacji. Amortyzację innych środków trwałych nalicza się metodą liniową w celu rozłożenia ich wartości początkowej, pomniejszonej o wartość końcową, przez okresy ich użytkowania, które dla poszczególnych grup środków trwałych wynoszą:</w:t>
      </w:r>
    </w:p>
    <w:tbl>
      <w:tblPr>
        <w:tblW w:w="9639" w:type="dxa"/>
        <w:tblBorders>
          <w:top w:val="single" w:sz="6" w:space="0" w:color="0077BD"/>
          <w:bottom w:val="single" w:sz="6" w:space="0" w:color="0077BD"/>
          <w:insideH w:val="single" w:sz="6" w:space="0" w:color="0077BD"/>
        </w:tblBorders>
        <w:tblCellMar>
          <w:left w:w="70" w:type="dxa"/>
          <w:right w:w="70" w:type="dxa"/>
        </w:tblCellMar>
        <w:tblLook w:val="04A0" w:firstRow="1" w:lastRow="0" w:firstColumn="1" w:lastColumn="0" w:noHBand="0" w:noVBand="1"/>
      </w:tblPr>
      <w:tblGrid>
        <w:gridCol w:w="2677"/>
        <w:gridCol w:w="253"/>
        <w:gridCol w:w="218"/>
        <w:gridCol w:w="6491"/>
      </w:tblGrid>
      <w:tr w:rsidR="00977E53" w:rsidRPr="00977E53" w14:paraId="01666817" w14:textId="77777777" w:rsidTr="00767B77">
        <w:trPr>
          <w:trHeight w:val="284"/>
        </w:trPr>
        <w:tc>
          <w:tcPr>
            <w:tcW w:w="0" w:type="auto"/>
            <w:shd w:val="clear" w:color="auto" w:fill="auto"/>
            <w:noWrap/>
            <w:vAlign w:val="center"/>
            <w:hideMark/>
          </w:tcPr>
          <w:p w14:paraId="74595DAA" w14:textId="77777777" w:rsidR="006A2F6C" w:rsidRPr="007910C8" w:rsidRDefault="006A2F6C" w:rsidP="006A2F6C">
            <w:pPr>
              <w:rPr>
                <w:rFonts w:cs="Calibri"/>
                <w:color w:val="000000" w:themeColor="text1"/>
                <w:szCs w:val="16"/>
              </w:rPr>
            </w:pPr>
            <w:r w:rsidRPr="007910C8">
              <w:rPr>
                <w:rFonts w:cs="Calibri"/>
                <w:color w:val="000000" w:themeColor="text1"/>
                <w:szCs w:val="16"/>
              </w:rPr>
              <w:t>- Budynki i budowle</w:t>
            </w:r>
          </w:p>
        </w:tc>
        <w:tc>
          <w:tcPr>
            <w:tcW w:w="0" w:type="auto"/>
            <w:shd w:val="clear" w:color="auto" w:fill="auto"/>
            <w:noWrap/>
            <w:vAlign w:val="center"/>
            <w:hideMark/>
          </w:tcPr>
          <w:p w14:paraId="236B3ACC"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0" w:type="auto"/>
            <w:shd w:val="clear" w:color="auto" w:fill="auto"/>
            <w:noWrap/>
            <w:vAlign w:val="center"/>
            <w:hideMark/>
          </w:tcPr>
          <w:p w14:paraId="63BB5749"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5869" w:type="dxa"/>
            <w:shd w:val="clear" w:color="auto" w:fill="auto"/>
            <w:noWrap/>
            <w:vAlign w:val="center"/>
            <w:hideMark/>
          </w:tcPr>
          <w:p w14:paraId="251067AF"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25-40 lat,</w:t>
            </w:r>
          </w:p>
        </w:tc>
      </w:tr>
      <w:tr w:rsidR="00977E53" w:rsidRPr="00977E53" w14:paraId="3E9B417D" w14:textId="77777777" w:rsidTr="00767B77">
        <w:trPr>
          <w:trHeight w:val="284"/>
        </w:trPr>
        <w:tc>
          <w:tcPr>
            <w:tcW w:w="0" w:type="auto"/>
            <w:gridSpan w:val="2"/>
            <w:shd w:val="clear" w:color="auto" w:fill="auto"/>
            <w:noWrap/>
            <w:vAlign w:val="center"/>
            <w:hideMark/>
          </w:tcPr>
          <w:p w14:paraId="50B3E0B8" w14:textId="77777777" w:rsidR="006A2F6C" w:rsidRPr="007910C8" w:rsidRDefault="006A2F6C" w:rsidP="006A2F6C">
            <w:pPr>
              <w:rPr>
                <w:rFonts w:cs="Calibri"/>
                <w:color w:val="000000" w:themeColor="text1"/>
                <w:szCs w:val="16"/>
              </w:rPr>
            </w:pPr>
            <w:r w:rsidRPr="007910C8">
              <w:rPr>
                <w:rFonts w:cs="Calibri"/>
                <w:color w:val="000000" w:themeColor="text1"/>
                <w:szCs w:val="16"/>
              </w:rPr>
              <w:t>- Urządzenia techniczne i maszyny</w:t>
            </w:r>
          </w:p>
        </w:tc>
        <w:tc>
          <w:tcPr>
            <w:tcW w:w="0" w:type="auto"/>
            <w:shd w:val="clear" w:color="auto" w:fill="auto"/>
            <w:noWrap/>
            <w:vAlign w:val="center"/>
            <w:hideMark/>
          </w:tcPr>
          <w:p w14:paraId="1FC0CCB0"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5869" w:type="dxa"/>
            <w:shd w:val="clear" w:color="auto" w:fill="auto"/>
            <w:noWrap/>
            <w:vAlign w:val="center"/>
            <w:hideMark/>
          </w:tcPr>
          <w:p w14:paraId="427932B6"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2-10 lat,</w:t>
            </w:r>
          </w:p>
        </w:tc>
      </w:tr>
      <w:tr w:rsidR="00977E53" w:rsidRPr="00977E53" w14:paraId="61D4B043" w14:textId="77777777" w:rsidTr="00767B77">
        <w:trPr>
          <w:trHeight w:val="284"/>
        </w:trPr>
        <w:tc>
          <w:tcPr>
            <w:tcW w:w="0" w:type="auto"/>
            <w:shd w:val="clear" w:color="auto" w:fill="auto"/>
            <w:noWrap/>
            <w:vAlign w:val="center"/>
            <w:hideMark/>
          </w:tcPr>
          <w:p w14:paraId="652C3C4A" w14:textId="77777777" w:rsidR="006A2F6C" w:rsidRPr="007910C8" w:rsidRDefault="006A2F6C" w:rsidP="006A2F6C">
            <w:pPr>
              <w:rPr>
                <w:rFonts w:cs="Calibri"/>
                <w:color w:val="000000" w:themeColor="text1"/>
                <w:szCs w:val="16"/>
              </w:rPr>
            </w:pPr>
            <w:r w:rsidRPr="007910C8">
              <w:rPr>
                <w:rFonts w:cs="Calibri"/>
                <w:color w:val="000000" w:themeColor="text1"/>
                <w:szCs w:val="16"/>
              </w:rPr>
              <w:t>- Środki transportu</w:t>
            </w:r>
          </w:p>
        </w:tc>
        <w:tc>
          <w:tcPr>
            <w:tcW w:w="0" w:type="auto"/>
            <w:shd w:val="clear" w:color="auto" w:fill="auto"/>
            <w:noWrap/>
            <w:vAlign w:val="center"/>
            <w:hideMark/>
          </w:tcPr>
          <w:p w14:paraId="6D11C197"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0" w:type="auto"/>
            <w:shd w:val="clear" w:color="auto" w:fill="auto"/>
            <w:noWrap/>
            <w:vAlign w:val="center"/>
            <w:hideMark/>
          </w:tcPr>
          <w:p w14:paraId="5D3CAE79"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5869" w:type="dxa"/>
            <w:shd w:val="clear" w:color="auto" w:fill="auto"/>
            <w:noWrap/>
            <w:vAlign w:val="center"/>
            <w:hideMark/>
          </w:tcPr>
          <w:p w14:paraId="7BFE3218"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5 lat,</w:t>
            </w:r>
          </w:p>
        </w:tc>
      </w:tr>
      <w:tr w:rsidR="00977E53" w:rsidRPr="00977E53" w14:paraId="38AC5FFD" w14:textId="77777777" w:rsidTr="00767B77">
        <w:trPr>
          <w:trHeight w:val="284"/>
        </w:trPr>
        <w:tc>
          <w:tcPr>
            <w:tcW w:w="0" w:type="auto"/>
            <w:shd w:val="clear" w:color="auto" w:fill="auto"/>
            <w:noWrap/>
            <w:vAlign w:val="center"/>
            <w:hideMark/>
          </w:tcPr>
          <w:p w14:paraId="377AE9C2" w14:textId="77777777" w:rsidR="006A2F6C" w:rsidRPr="007910C8" w:rsidRDefault="006A2F6C" w:rsidP="006A2F6C">
            <w:pPr>
              <w:rPr>
                <w:rFonts w:cs="Calibri"/>
                <w:color w:val="000000" w:themeColor="text1"/>
                <w:szCs w:val="16"/>
              </w:rPr>
            </w:pPr>
            <w:r w:rsidRPr="007910C8">
              <w:rPr>
                <w:rFonts w:cs="Calibri"/>
                <w:color w:val="000000" w:themeColor="text1"/>
                <w:szCs w:val="16"/>
              </w:rPr>
              <w:t>- Sprzęt informatyczny</w:t>
            </w:r>
          </w:p>
        </w:tc>
        <w:tc>
          <w:tcPr>
            <w:tcW w:w="0" w:type="auto"/>
            <w:shd w:val="clear" w:color="auto" w:fill="auto"/>
            <w:noWrap/>
            <w:vAlign w:val="center"/>
            <w:hideMark/>
          </w:tcPr>
          <w:p w14:paraId="01669524"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0" w:type="auto"/>
            <w:shd w:val="clear" w:color="auto" w:fill="auto"/>
            <w:noWrap/>
            <w:vAlign w:val="center"/>
            <w:hideMark/>
          </w:tcPr>
          <w:p w14:paraId="57743B80"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5869" w:type="dxa"/>
            <w:shd w:val="clear" w:color="auto" w:fill="auto"/>
            <w:noWrap/>
            <w:vAlign w:val="center"/>
            <w:hideMark/>
          </w:tcPr>
          <w:p w14:paraId="211B8AE6"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2-5 lat,</w:t>
            </w:r>
          </w:p>
        </w:tc>
      </w:tr>
      <w:tr w:rsidR="00977E53" w:rsidRPr="00977E53" w14:paraId="2DBC400F" w14:textId="77777777" w:rsidTr="00767B77">
        <w:trPr>
          <w:trHeight w:val="284"/>
        </w:trPr>
        <w:tc>
          <w:tcPr>
            <w:tcW w:w="0" w:type="auto"/>
            <w:gridSpan w:val="2"/>
            <w:shd w:val="clear" w:color="auto" w:fill="auto"/>
            <w:noWrap/>
            <w:vAlign w:val="center"/>
            <w:hideMark/>
          </w:tcPr>
          <w:p w14:paraId="47EB3CDC" w14:textId="77777777" w:rsidR="006A2F6C" w:rsidRPr="007910C8" w:rsidRDefault="006A2F6C" w:rsidP="006A2F6C">
            <w:pPr>
              <w:rPr>
                <w:rFonts w:cs="Calibri"/>
                <w:color w:val="000000" w:themeColor="text1"/>
                <w:szCs w:val="16"/>
              </w:rPr>
            </w:pPr>
            <w:r w:rsidRPr="007910C8">
              <w:rPr>
                <w:rFonts w:cs="Calibri"/>
                <w:color w:val="000000" w:themeColor="text1"/>
                <w:szCs w:val="16"/>
              </w:rPr>
              <w:t>- Inwestycje w obce środki trwałe</w:t>
            </w:r>
          </w:p>
        </w:tc>
        <w:tc>
          <w:tcPr>
            <w:tcW w:w="6709" w:type="dxa"/>
            <w:gridSpan w:val="2"/>
            <w:shd w:val="clear" w:color="auto" w:fill="auto"/>
            <w:noWrap/>
            <w:vAlign w:val="center"/>
            <w:hideMark/>
          </w:tcPr>
          <w:p w14:paraId="268A967F"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10-40 lat nie dłużej niż okres najmu/ dzierżawy/ leasingu,</w:t>
            </w:r>
          </w:p>
        </w:tc>
      </w:tr>
      <w:tr w:rsidR="00977E53" w:rsidRPr="00977E53" w14:paraId="46FD114E" w14:textId="77777777" w:rsidTr="00767B77">
        <w:trPr>
          <w:trHeight w:val="284"/>
        </w:trPr>
        <w:tc>
          <w:tcPr>
            <w:tcW w:w="0" w:type="auto"/>
            <w:shd w:val="clear" w:color="auto" w:fill="auto"/>
            <w:noWrap/>
            <w:vAlign w:val="center"/>
            <w:hideMark/>
          </w:tcPr>
          <w:p w14:paraId="29F24296" w14:textId="77777777" w:rsidR="006A2F6C" w:rsidRPr="007910C8" w:rsidRDefault="006A2F6C" w:rsidP="006A2F6C">
            <w:pPr>
              <w:rPr>
                <w:rFonts w:cs="Calibri"/>
                <w:color w:val="000000" w:themeColor="text1"/>
                <w:szCs w:val="16"/>
              </w:rPr>
            </w:pPr>
            <w:r w:rsidRPr="007910C8">
              <w:rPr>
                <w:rFonts w:cs="Calibri"/>
                <w:color w:val="000000" w:themeColor="text1"/>
                <w:szCs w:val="16"/>
              </w:rPr>
              <w:t>- Sprzęt biurowy, meble</w:t>
            </w:r>
          </w:p>
        </w:tc>
        <w:tc>
          <w:tcPr>
            <w:tcW w:w="0" w:type="auto"/>
            <w:shd w:val="clear" w:color="auto" w:fill="auto"/>
            <w:noWrap/>
            <w:vAlign w:val="center"/>
            <w:hideMark/>
          </w:tcPr>
          <w:p w14:paraId="4DF144BD"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0" w:type="auto"/>
            <w:shd w:val="clear" w:color="auto" w:fill="auto"/>
            <w:noWrap/>
            <w:vAlign w:val="center"/>
            <w:hideMark/>
          </w:tcPr>
          <w:p w14:paraId="3BE6F51B" w14:textId="77777777" w:rsidR="006A2F6C" w:rsidRPr="007910C8" w:rsidRDefault="006A2F6C" w:rsidP="006A2F6C">
            <w:pPr>
              <w:rPr>
                <w:rFonts w:cs="Calibri"/>
                <w:color w:val="000000" w:themeColor="text1"/>
                <w:szCs w:val="16"/>
              </w:rPr>
            </w:pPr>
            <w:r w:rsidRPr="007910C8">
              <w:rPr>
                <w:rFonts w:cs="Calibri"/>
                <w:color w:val="000000" w:themeColor="text1"/>
                <w:szCs w:val="16"/>
              </w:rPr>
              <w:t> </w:t>
            </w:r>
          </w:p>
        </w:tc>
        <w:tc>
          <w:tcPr>
            <w:tcW w:w="5869" w:type="dxa"/>
            <w:shd w:val="clear" w:color="auto" w:fill="auto"/>
            <w:noWrap/>
            <w:vAlign w:val="center"/>
            <w:hideMark/>
          </w:tcPr>
          <w:p w14:paraId="2655DC9C" w14:textId="77777777" w:rsidR="006A2F6C" w:rsidRPr="007910C8" w:rsidRDefault="006A2F6C" w:rsidP="006A2F6C">
            <w:pPr>
              <w:jc w:val="right"/>
              <w:rPr>
                <w:rFonts w:cs="Calibri"/>
                <w:color w:val="000000" w:themeColor="text1"/>
                <w:szCs w:val="16"/>
              </w:rPr>
            </w:pPr>
            <w:r w:rsidRPr="007910C8">
              <w:rPr>
                <w:rFonts w:cs="Calibri"/>
                <w:color w:val="000000" w:themeColor="text1"/>
                <w:szCs w:val="16"/>
              </w:rPr>
              <w:t>5-10 lat.</w:t>
            </w:r>
          </w:p>
        </w:tc>
      </w:tr>
    </w:tbl>
    <w:p w14:paraId="577B6907"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Grunty i budynki obejmują głównie oddziały i biura. Weryfikacji wartości końcowej i okresów użytkowania środków trwałych oraz metod amortyzacji dokonuje się na koniec każdego okresu sprawozdawczego i w razie potrzeby dokonuje się ich korekty prospektywnie.</w:t>
      </w:r>
    </w:p>
    <w:p w14:paraId="34791892" w14:textId="7435D27A"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Na koniec każdego okresu sprawozdawczego Grupa ocenia, czy istnieją jakiekolwiek przesłanki wskazujące na to, że mogła nastąpić utrata wartości środków trwałych. W razie stwierdzenia, że przesłanki takie występują, Grupa szacuje wartość odzyskiwaną tych środków trwałych. Amortyzowane środki trwałe są</w:t>
      </w:r>
      <w:r w:rsidR="003361A0">
        <w:rPr>
          <w:rFonts w:cs="Tahoma"/>
          <w:color w:val="000000" w:themeColor="text1"/>
          <w:sz w:val="18"/>
          <w:szCs w:val="18"/>
        </w:rPr>
        <w:t> </w:t>
      </w:r>
      <w:r w:rsidRPr="00977E53">
        <w:rPr>
          <w:rFonts w:cs="Tahoma"/>
          <w:color w:val="000000" w:themeColor="text1"/>
          <w:sz w:val="18"/>
          <w:szCs w:val="18"/>
        </w:rPr>
        <w:t>badane pod kątem utraty wartości zawsze, gdy występują zdarzenia lub zmiany okoliczności wskazujące, że wartość bilansowa może być niemożliwa do odzyskania. Wartość bilansowa środka trwałego jest obniżana do poziomu wartości odzyskiwalnej, jeżeli wartość bilansowa przewyższa szacunkową wartość odzyskiwalną. Wartość odzyskiwalna jest wyższą z dwóch wartości: wartości godziwej środka trwałego pomniejszonej o koszty jego sprzedaży i wartości użytkowej.</w:t>
      </w:r>
    </w:p>
    <w:p w14:paraId="24B06984"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Jeżeli oszacowanie wartości odzyskiwalnej pojedynczego składnika aktywów nie jest możliwe, Grupa ustala wartość odzyskiwalną ośrodka wypracowującego środki pieniężne, do którego należy dany składnik aktywów (ośrodek wypracowujący środki pieniężne danego składnika aktywów). </w:t>
      </w:r>
    </w:p>
    <w:p w14:paraId="1ECCA394"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Wartość bilansowa pozycji rzeczowych aktywów trwałych zostaje usunięta z bilansu w momencie zbycia lub wówczas, gdy nie przewiduje się osiągnięcia przyszłych korzyści ekonomicznych z jego użytkowania i następującego po nim zbycia. Zyski i straty wynikające z faktu usunięcia pozycji rzeczowych aktywów trwałych z bilansu ujmuje się w rachunku zysków i strat w momencie usunięcia z bilansu. </w:t>
      </w:r>
    </w:p>
    <w:p w14:paraId="2BAC2834"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Zyski i straty z tytułu zbycia środków trwałych ustala się drogą porównania wpływów ze sprzedaży z ich wartością bilansową i ujmuje w rachunku zysków i strat.</w:t>
      </w:r>
    </w:p>
    <w:p w14:paraId="068F18A7" w14:textId="77777777" w:rsidR="00BC6B0E" w:rsidRPr="001B4375" w:rsidRDefault="00BC6B0E" w:rsidP="00BC6B0E">
      <w:pPr>
        <w:pStyle w:val="Tekstpodstawowy3"/>
        <w:suppressAutoHyphens/>
        <w:spacing w:after="0"/>
        <w:jc w:val="both"/>
        <w:rPr>
          <w:rFonts w:cs="Tahoma"/>
          <w:sz w:val="18"/>
          <w:szCs w:val="18"/>
        </w:rPr>
      </w:pPr>
    </w:p>
    <w:p w14:paraId="3AB17644"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47" w:name="_Toc517966056"/>
      <w:bookmarkStart w:id="48" w:name="_Toc517971171"/>
      <w:bookmarkStart w:id="49" w:name="_Toc520702404"/>
      <w:bookmarkStart w:id="50" w:name="_Toc32999806"/>
      <w:r>
        <w:rPr>
          <w:b/>
          <w:color w:val="E41E0A"/>
          <w:sz w:val="18"/>
          <w:szCs w:val="18"/>
        </w:rPr>
        <w:lastRenderedPageBreak/>
        <w:t>Zapasy</w:t>
      </w:r>
      <w:bookmarkEnd w:id="47"/>
      <w:bookmarkEnd w:id="48"/>
      <w:bookmarkEnd w:id="49"/>
      <w:bookmarkEnd w:id="50"/>
    </w:p>
    <w:p w14:paraId="4512E000" w14:textId="568D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Zapasy wyceniane są według niższej z dwóch wartości: ceny nabycia bądź kosztu wytworzenia lub ceny sprzedaży netto. Do kosztu wytworzenia zapasów </w:t>
      </w:r>
      <w:r w:rsidRPr="00977E53">
        <w:rPr>
          <w:rFonts w:cs="Tahoma"/>
          <w:iCs/>
          <w:color w:val="000000" w:themeColor="text1"/>
          <w:sz w:val="18"/>
          <w:szCs w:val="18"/>
        </w:rPr>
        <w:t>zalicza</w:t>
      </w:r>
      <w:r w:rsidRPr="00977E53">
        <w:rPr>
          <w:rFonts w:cs="Tahoma"/>
          <w:i/>
          <w:iCs/>
          <w:color w:val="000000" w:themeColor="text1"/>
          <w:sz w:val="18"/>
          <w:szCs w:val="18"/>
        </w:rPr>
        <w:t xml:space="preserve"> </w:t>
      </w:r>
      <w:r w:rsidRPr="00977E53">
        <w:rPr>
          <w:rFonts w:cs="Tahoma"/>
          <w:color w:val="000000" w:themeColor="text1"/>
          <w:sz w:val="18"/>
          <w:szCs w:val="18"/>
        </w:rPr>
        <w:t>się koszty bezpośrednie produkcji, odnośną część ponoszonych w procesie wytwarzania stałych pośrednich kosztów produkcji oraz koszty finansowania zewnętrznego, które można bezpośrednio przyporządkować nabyciu, budowie lub wytworzeniu danego składnika. Cena sprzedaży netto to oszacowana cena sprzedaży w normalnym toku działalności, pomniejszona o odnośne zmienne koszty sprzedaży. Kwotę wszelkich odpisów wartości zapasów do</w:t>
      </w:r>
      <w:r w:rsidR="00BB0423">
        <w:rPr>
          <w:rFonts w:cs="Tahoma"/>
          <w:color w:val="000000" w:themeColor="text1"/>
          <w:sz w:val="18"/>
          <w:szCs w:val="18"/>
        </w:rPr>
        <w:t> </w:t>
      </w:r>
      <w:r w:rsidRPr="00977E53">
        <w:rPr>
          <w:rFonts w:cs="Tahoma"/>
          <w:color w:val="000000" w:themeColor="text1"/>
          <w:sz w:val="18"/>
          <w:szCs w:val="18"/>
        </w:rPr>
        <w:t xml:space="preserve">poziomu wartości netto możliwej do uzyskania oraz wszelkie straty w zapasach ujmuje się jako koszt okresu, w którym odpis lub strata miały miejsce zaliczając do kosztu pozostałych kosztów operacyjnych. Odwrócenie odpisu wartości zapasów, wynikające ze zwiększenia ich wartości netto możliwej do uzyskania zostaje ujęte jako zmniejszenie kwoty zapasów ujętych jako koszt okresu, w którym odwrócenie odpisu wartości miało miejsce. Wartość rozchodu pozycji zapasów wycenia się w drodze szczegółowej identyfikacji poszczególnych cen nabycia lub kosztów wytworzenia składników, które dotyczą realizacji konkretnych wydzielonych przedsięwzięć. W szczególności do zapasów </w:t>
      </w:r>
      <w:r w:rsidRPr="00977E53">
        <w:rPr>
          <w:rFonts w:cs="Tahoma"/>
          <w:iCs/>
          <w:color w:val="000000" w:themeColor="text1"/>
          <w:sz w:val="18"/>
          <w:szCs w:val="18"/>
        </w:rPr>
        <w:t>zalicza</w:t>
      </w:r>
      <w:r w:rsidRPr="00977E53">
        <w:rPr>
          <w:rFonts w:cs="Tahoma"/>
          <w:i/>
          <w:iCs/>
          <w:color w:val="000000" w:themeColor="text1"/>
          <w:sz w:val="18"/>
          <w:szCs w:val="18"/>
        </w:rPr>
        <w:t xml:space="preserve"> </w:t>
      </w:r>
      <w:r w:rsidRPr="00977E53">
        <w:rPr>
          <w:rFonts w:cs="Tahoma"/>
          <w:color w:val="000000" w:themeColor="text1"/>
          <w:sz w:val="18"/>
          <w:szCs w:val="18"/>
        </w:rPr>
        <w:t>się grunty oraz prawa wieczystego użytkowania gruntów przeznaczone do zagospodarowania w ramach realizowanych inwestycji budownictwa. Obejmują one także środki trwałe przeznaczone do leasingu oraz środki trwałe przejęte z wypowiedzianych umów leasingu.</w:t>
      </w:r>
    </w:p>
    <w:p w14:paraId="00283CEA" w14:textId="77777777" w:rsidR="00BC6B0E" w:rsidRPr="00F75283" w:rsidRDefault="00BC6B0E" w:rsidP="00BC6B0E">
      <w:pPr>
        <w:jc w:val="both"/>
        <w:rPr>
          <w:rFonts w:cs="Tahoma"/>
          <w:sz w:val="18"/>
          <w:szCs w:val="18"/>
        </w:rPr>
      </w:pPr>
    </w:p>
    <w:p w14:paraId="22B5997A"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51" w:name="_Toc517966057"/>
      <w:bookmarkStart w:id="52" w:name="_Toc517971172"/>
      <w:bookmarkStart w:id="53" w:name="_Toc520702405"/>
      <w:bookmarkStart w:id="54" w:name="_Toc32999807"/>
      <w:r>
        <w:rPr>
          <w:b/>
          <w:color w:val="E41E0A"/>
          <w:sz w:val="18"/>
          <w:szCs w:val="18"/>
        </w:rPr>
        <w:t>Aktywa trwałe przeznaczone do sprzedaży oraz działalność zaniechana</w:t>
      </w:r>
      <w:bookmarkEnd w:id="51"/>
      <w:bookmarkEnd w:id="52"/>
      <w:bookmarkEnd w:id="53"/>
      <w:bookmarkEnd w:id="54"/>
    </w:p>
    <w:p w14:paraId="2BCDA734" w14:textId="5C55E8E6"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Do aktywów trwałych do zbycia klasyfikowane są aktywa trwałe w przypadku, jeśli ich wartość bilansowa zostanie odzyskana przede wszystkim w drodze transakcji sprzedaży, a nie poprzez ich dalsze wykorzystanie. Sytuacja taka ma miejsce, gdy pojedynczy składnik aktywów (lub grupa) jest dostępny do</w:t>
      </w:r>
      <w:r w:rsidR="00DE1149">
        <w:rPr>
          <w:rFonts w:cs="Tahoma"/>
          <w:color w:val="000000" w:themeColor="text1"/>
          <w:sz w:val="18"/>
          <w:szCs w:val="18"/>
        </w:rPr>
        <w:t> </w:t>
      </w:r>
      <w:r w:rsidRPr="00977E53">
        <w:rPr>
          <w:rFonts w:cs="Tahoma"/>
          <w:color w:val="000000" w:themeColor="text1"/>
          <w:sz w:val="18"/>
          <w:szCs w:val="18"/>
        </w:rPr>
        <w:t>natychmiastowej sprzedaży w jego bieżącym stanie z uwzględnieniem jedynie normalnych i zwyczajowo przyjętych warunków dla sprzedaży tego typu aktywów oraz jego sprzedaż jest wysoce prawdopodobna, tzn. zdecydowano o wypełnieniu planu sprzedaży danego składnika aktywów, rozpoczęto aktywny program znalezienia nabywcy i zakończenia planu zbycia. Ponadto taki składnik aktywów jest oferowany do</w:t>
      </w:r>
      <w:r w:rsidR="00DE1149">
        <w:rPr>
          <w:rFonts w:cs="Tahoma"/>
          <w:color w:val="000000" w:themeColor="text1"/>
          <w:sz w:val="18"/>
          <w:szCs w:val="18"/>
        </w:rPr>
        <w:t> </w:t>
      </w:r>
      <w:r w:rsidRPr="00977E53">
        <w:rPr>
          <w:rFonts w:cs="Tahoma"/>
          <w:color w:val="000000" w:themeColor="text1"/>
          <w:sz w:val="18"/>
          <w:szCs w:val="18"/>
        </w:rPr>
        <w:t>sprzedaży po cenie, która jest racjonalna w odniesieniu do jego bieżącej wartości godziwej i oczekuje się, że sprzedaż zostanie ujęta jako sprzedaż zakończona w czasie jednego roku od dnia zaklasyfikowania składnika aktywów do tej kategorii.</w:t>
      </w:r>
    </w:p>
    <w:p w14:paraId="0B943B81"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Aktywa trwałe przeznaczone do sprzedaży ujmuje się w kwocie niższej z dwóch: wartości bilansowej i wartości godziwej pomniejszonej o koszty zbycia tych aktywów. Dla aktywów zaklasyfikowanych do tej kategorii nie nalicza się amortyzacji.</w:t>
      </w:r>
    </w:p>
    <w:p w14:paraId="50BB6D86"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przypadku, gdy kryteria klasyfikacji do grupy aktywów trwałych do zbycia nie są spełnione Grupa zaprzestaje ich ujmowania w tej kategorii i dokonuje reklasyfikacji do odpowiedniej kategorii aktywów. W takim przypadku Grupa wycenia składnik aktywów, który nie jest dłużej klasyfikowany jako przeznaczony do zbycia (lub nie wchodzi już w skład grupy przeznaczonej do zbycia) w kwocie niższej z dwóch:</w:t>
      </w:r>
    </w:p>
    <w:p w14:paraId="41658738" w14:textId="77777777" w:rsidR="00BC6B0E" w:rsidRPr="00977E53" w:rsidRDefault="00BC6B0E" w:rsidP="00BC6B0E">
      <w:pPr>
        <w:pStyle w:val="Akapitzlist"/>
        <w:numPr>
          <w:ilvl w:val="0"/>
          <w:numId w:val="15"/>
        </w:numPr>
        <w:tabs>
          <w:tab w:val="clear" w:pos="624"/>
        </w:tabs>
        <w:spacing w:before="60"/>
        <w:ind w:left="425" w:hanging="425"/>
        <w:jc w:val="both"/>
        <w:rPr>
          <w:rFonts w:cs="Tahoma"/>
          <w:color w:val="000000" w:themeColor="text1"/>
          <w:sz w:val="18"/>
          <w:szCs w:val="18"/>
        </w:rPr>
      </w:pPr>
      <w:r w:rsidRPr="00977E53">
        <w:rPr>
          <w:rFonts w:cs="Tahoma"/>
          <w:bCs/>
          <w:color w:val="000000" w:themeColor="text1"/>
          <w:sz w:val="18"/>
          <w:szCs w:val="18"/>
        </w:rPr>
        <w:t>jego wartości bilansowej z dnia poprzedzającego klasyfikację składnika aktywów (lub grupy do zbycia) jako przeznaczony do sprzedaży, skorygowanej o amortyzację lub aktualizację wyceny, która zostałaby ujęta, gdyby składnik aktywów (lub grupa do zbycia) nie został zaklasyfikowany jako przeznaczony do sprzedaży;</w:t>
      </w:r>
    </w:p>
    <w:p w14:paraId="6F014B81" w14:textId="77777777" w:rsidR="00BC6B0E" w:rsidRPr="00977E53" w:rsidRDefault="00BC6B0E" w:rsidP="00BC6B0E">
      <w:pPr>
        <w:pStyle w:val="Akapitzlist"/>
        <w:numPr>
          <w:ilvl w:val="0"/>
          <w:numId w:val="15"/>
        </w:numPr>
        <w:tabs>
          <w:tab w:val="clear" w:pos="624"/>
        </w:tabs>
        <w:spacing w:before="60"/>
        <w:ind w:left="425" w:hanging="425"/>
        <w:jc w:val="both"/>
        <w:rPr>
          <w:rFonts w:cs="Tahoma"/>
          <w:color w:val="000000" w:themeColor="text1"/>
          <w:sz w:val="18"/>
          <w:szCs w:val="18"/>
        </w:rPr>
      </w:pPr>
      <w:r w:rsidRPr="00977E53">
        <w:rPr>
          <w:rFonts w:cs="Tahoma"/>
          <w:bCs/>
          <w:color w:val="000000" w:themeColor="text1"/>
          <w:sz w:val="18"/>
          <w:szCs w:val="18"/>
        </w:rPr>
        <w:t>jego wartości odzyskiwalnej z dnia podjęcia decyzji o braku jego sprzedaży.</w:t>
      </w:r>
    </w:p>
    <w:p w14:paraId="1FBA7DBD"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Działalność zaniechana to element przedsięwzięcia Grupy, który został zbyty lub jest zakwalifikowany jako przeznaczony do sprzedaży, jak również stanowi odrębną, ważną dziedzinę działalności jednostki lub jej geograficzny obszar działalności, albo jest jednostką zależną nabytą wyłącznie z zamiarem jej odsprzedaży.</w:t>
      </w:r>
    </w:p>
    <w:p w14:paraId="50768876" w14:textId="55DFB426"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Klasyfikacja do działalności zaniechanej następuje w momencie zbycia lub w momencie, gdy działalność spełnia kryteria działalności przeznaczonej do sprzedaży, jeśli ten moment nastąpił wcześniej. Grupa do</w:t>
      </w:r>
      <w:r w:rsidR="00DE1149">
        <w:rPr>
          <w:rFonts w:cs="Tahoma"/>
          <w:color w:val="000000" w:themeColor="text1"/>
          <w:sz w:val="18"/>
          <w:szCs w:val="18"/>
        </w:rPr>
        <w:t> </w:t>
      </w:r>
      <w:r w:rsidRPr="00977E53">
        <w:rPr>
          <w:rFonts w:cs="Tahoma"/>
          <w:color w:val="000000" w:themeColor="text1"/>
          <w:sz w:val="18"/>
          <w:szCs w:val="18"/>
        </w:rPr>
        <w:t>zbycia, która ma zostać wycofana z użytkowania, również może się kwalifikować jako działalność zaniechana.</w:t>
      </w:r>
    </w:p>
    <w:p w14:paraId="6E5DF7AC" w14:textId="77777777" w:rsidR="00BC6B0E" w:rsidRPr="00977E53" w:rsidRDefault="00BC6B0E" w:rsidP="00BC6B0E">
      <w:pPr>
        <w:jc w:val="both"/>
        <w:rPr>
          <w:rFonts w:cs="Tahoma"/>
          <w:color w:val="000000" w:themeColor="text1"/>
          <w:sz w:val="18"/>
          <w:szCs w:val="18"/>
        </w:rPr>
      </w:pPr>
    </w:p>
    <w:p w14:paraId="25F37566" w14:textId="77777777" w:rsidR="00BC6B0E" w:rsidRPr="009A3A16"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ind w:hanging="720"/>
        <w:jc w:val="both"/>
        <w:outlineLvl w:val="2"/>
        <w:rPr>
          <w:b/>
          <w:color w:val="E41E0A"/>
          <w:sz w:val="18"/>
          <w:szCs w:val="18"/>
        </w:rPr>
      </w:pPr>
      <w:bookmarkStart w:id="55" w:name="_Toc517966058"/>
      <w:bookmarkStart w:id="56" w:name="_Toc517971173"/>
      <w:bookmarkStart w:id="57" w:name="_Toc520702406"/>
      <w:bookmarkStart w:id="58" w:name="_Toc32999808"/>
      <w:r w:rsidRPr="009A3A16">
        <w:rPr>
          <w:b/>
          <w:color w:val="E41E0A"/>
          <w:sz w:val="18"/>
          <w:szCs w:val="18"/>
        </w:rPr>
        <w:t>Odroczony podatek dochodowy</w:t>
      </w:r>
      <w:bookmarkEnd w:id="55"/>
      <w:bookmarkEnd w:id="56"/>
      <w:bookmarkEnd w:id="57"/>
      <w:bookmarkEnd w:id="58"/>
    </w:p>
    <w:p w14:paraId="07EBA3E6"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Grupa tworzy rezerwę na przejściową różnicę z tytułu podatku dochodowego spowodowaną różnicą między wartością bilansową danego składnika aktywów lub zobowiązań wykazywaną w sprawozdaniu finansowym a jego wartością podatkową. Dodatnią różnicę netto wykazuje się w pasywach jako „Rezerwę z tytułu odroczonego podatku dochodowego”. Ujemną różnicę netto ujmuje się w pozycji „Aktywa z tytułu odroczonego podatku dochodowego”. Zmianę stanu rezerwy na odroczony podatek dochodowy oraz aktywów z tytułu odroczonego podatku dochodowego w stosunku do poprzedniego okresu obrotowego </w:t>
      </w:r>
      <w:r w:rsidRPr="00977E53">
        <w:rPr>
          <w:rFonts w:cs="Tahoma"/>
          <w:color w:val="000000" w:themeColor="text1"/>
          <w:sz w:val="18"/>
          <w:szCs w:val="18"/>
        </w:rPr>
        <w:lastRenderedPageBreak/>
        <w:t xml:space="preserve">zalicza się do pozycji „Podatek dochodowy”. Do wyliczenia podatku odroczonego stosuje się metodę bilansową. </w:t>
      </w:r>
    </w:p>
    <w:p w14:paraId="75FB59DC"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Zobowiązania lub aktywa z tytułu odroczonego podatku dochodowego ujmowane są w pełnej wysokości, metodą bilansową, w związku z istnieniem różnic przejściowych pomiędzy wartością podatkową aktywów i zobowiązań a ich wartością bilansową. Zobowiązania lub aktywa z tego tytułu ustala się przy zastosowaniu stawek podatkowych obowiązujących prawnie lub faktycznie na koniec okresu sprawozdawczego, i które to stawki zgodnie z oczekiwaniami będą obowiązywać w momencie realizacji aktywów lub regulowania zobowiązań z tytułu odroczonego podatku dochodowego.</w:t>
      </w:r>
    </w:p>
    <w:p w14:paraId="46B34CAD"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Główne różnice przejściowe powstają z tytułu odpisów tworzonych na utratę wartości kredytów i udzielonych gwarancji spłaty kredytów, amortyzacji środków trwałych i wartości niematerialnych, leasingu finansowego podatkowo traktowanego jako operacyjny, aktualizacji wyceny niektórych aktywów i zobowiązań finansowych, w tym kontraktów na instrumenty pochodne oraz transakcje terminowe, rezerw na świadczenia emerytalne i inne świadczenia po okresie zatrudnienia, a także strat podatkowych przysługujących do odliczenia.</w:t>
      </w:r>
    </w:p>
    <w:p w14:paraId="67915725" w14:textId="003679A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Grupa weryfikuje wartość bilansową składnika aktywów z tytułu odroczonego podatku dochodowego na</w:t>
      </w:r>
      <w:r w:rsidR="00DE1149">
        <w:rPr>
          <w:rFonts w:cs="Tahoma"/>
          <w:color w:val="000000" w:themeColor="text1"/>
          <w:sz w:val="18"/>
          <w:szCs w:val="18"/>
        </w:rPr>
        <w:t> </w:t>
      </w:r>
      <w:r w:rsidRPr="00977E53">
        <w:rPr>
          <w:rFonts w:cs="Tahoma"/>
          <w:color w:val="000000" w:themeColor="text1"/>
          <w:sz w:val="18"/>
          <w:szCs w:val="18"/>
        </w:rPr>
        <w:t>koniec każdego okresu sprawozdawczego. Grupa obniża wartość bilansową składnika aktywów z tytułu odroczonego podatku dochodowego w zakresie, w jakim nie jest prawdopodobne osiągnięcie zysku do</w:t>
      </w:r>
      <w:r w:rsidR="00DE1149">
        <w:rPr>
          <w:rFonts w:cs="Tahoma"/>
          <w:color w:val="000000" w:themeColor="text1"/>
          <w:sz w:val="18"/>
          <w:szCs w:val="18"/>
        </w:rPr>
        <w:t> </w:t>
      </w:r>
      <w:r w:rsidRPr="00977E53">
        <w:rPr>
          <w:rFonts w:cs="Tahoma"/>
          <w:color w:val="000000" w:themeColor="text1"/>
          <w:sz w:val="18"/>
          <w:szCs w:val="18"/>
        </w:rPr>
        <w:t>opodatkowania wystarczającego do częściowego lub całkowitego zrealizowania składnika aktywów z tytułu odroczonego podatku dochodowego. Takie obniżki koryguje się w górę w zakresie, w jakim uzyskanie wystarczającego zysku do opodatkowania staje się prawdopodobne.</w:t>
      </w:r>
    </w:p>
    <w:p w14:paraId="4DC91F86" w14:textId="636C405C"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Aktywa z tytułu odroczonego podatku dochodowego są ujmowane w księgach w wysokości możliwej do</w:t>
      </w:r>
      <w:r w:rsidR="00DE1149">
        <w:rPr>
          <w:rFonts w:cs="Tahoma"/>
          <w:color w:val="000000" w:themeColor="text1"/>
          <w:sz w:val="18"/>
          <w:szCs w:val="18"/>
        </w:rPr>
        <w:t> </w:t>
      </w:r>
      <w:r w:rsidRPr="00977E53">
        <w:rPr>
          <w:rFonts w:cs="Tahoma"/>
          <w:color w:val="000000" w:themeColor="text1"/>
          <w:sz w:val="18"/>
          <w:szCs w:val="18"/>
        </w:rPr>
        <w:t>zrealizowania. Jeżeli prognozowana kwota dochodu ustalonego dla celów podatkowych nie pozwala na</w:t>
      </w:r>
      <w:r w:rsidR="00DE1149">
        <w:rPr>
          <w:rFonts w:cs="Tahoma"/>
          <w:color w:val="000000" w:themeColor="text1"/>
          <w:sz w:val="18"/>
          <w:szCs w:val="18"/>
        </w:rPr>
        <w:t> </w:t>
      </w:r>
      <w:r w:rsidRPr="00977E53">
        <w:rPr>
          <w:rFonts w:cs="Tahoma"/>
          <w:color w:val="000000" w:themeColor="text1"/>
          <w:sz w:val="18"/>
          <w:szCs w:val="18"/>
        </w:rPr>
        <w:t xml:space="preserve">realizację aktywów z tytułu odroczonego podatku dochodowego w całości lub w części, aktywa </w:t>
      </w:r>
      <w:r w:rsidRPr="00DA72C0">
        <w:t>te</w:t>
      </w:r>
      <w:r w:rsidR="00DA72C0">
        <w:t> </w:t>
      </w:r>
      <w:r w:rsidRPr="00DA72C0">
        <w:t>są</w:t>
      </w:r>
      <w:r w:rsidR="00DE1149">
        <w:rPr>
          <w:rFonts w:cs="Tahoma"/>
          <w:color w:val="000000" w:themeColor="text1"/>
          <w:sz w:val="18"/>
          <w:szCs w:val="18"/>
        </w:rPr>
        <w:t> </w:t>
      </w:r>
      <w:r w:rsidRPr="00977E53">
        <w:rPr>
          <w:rFonts w:cs="Tahoma"/>
          <w:color w:val="000000" w:themeColor="text1"/>
          <w:sz w:val="18"/>
          <w:szCs w:val="18"/>
        </w:rPr>
        <w:t>tworzone w odpowiedniej wysokości. Powyższa zasada dotyczy także ujmowanych w aktywie odroczonym kwot strat podatkowych.</w:t>
      </w:r>
    </w:p>
    <w:p w14:paraId="37CB45E6" w14:textId="1AE5A2F9"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Aktywa i rezerwy z tytułu podatku odroczonego Grupa wykazuje w sprawozdaniu z sytuacji finansowej po</w:t>
      </w:r>
      <w:r w:rsidR="00DA72C0">
        <w:rPr>
          <w:rFonts w:cs="Tahoma"/>
          <w:color w:val="000000" w:themeColor="text1"/>
          <w:sz w:val="18"/>
          <w:szCs w:val="18"/>
        </w:rPr>
        <w:t> </w:t>
      </w:r>
      <w:r w:rsidRPr="00977E53">
        <w:rPr>
          <w:rFonts w:cs="Tahoma"/>
          <w:color w:val="000000" w:themeColor="text1"/>
          <w:sz w:val="18"/>
          <w:szCs w:val="18"/>
        </w:rPr>
        <w:t>skompensowaniu na poziomie każdej ze spółek podlegającej konsolidacji. Aktywa i rezerwy można kompensować, jeżeli Grupa ma tytuł uprawniający do ich jednoczesnego uwzględniania przy obliczaniu kwoty zobowiązania podatkowego.</w:t>
      </w:r>
    </w:p>
    <w:p w14:paraId="0C4569D1" w14:textId="004978A9"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W przypadku Banku</w:t>
      </w:r>
      <w:r w:rsidR="00352FFA">
        <w:rPr>
          <w:rFonts w:cs="Tahoma"/>
          <w:color w:val="000000" w:themeColor="text1"/>
          <w:sz w:val="18"/>
          <w:szCs w:val="18"/>
        </w:rPr>
        <w:t xml:space="preserve"> </w:t>
      </w:r>
      <w:r w:rsidRPr="00977E53">
        <w:rPr>
          <w:rFonts w:cs="Tahoma"/>
          <w:color w:val="000000" w:themeColor="text1"/>
          <w:sz w:val="18"/>
          <w:szCs w:val="18"/>
        </w:rPr>
        <w:t>aktywa i rezerwy z tytułu odroczonego podatku dochodowego podlegają kompensowaniu na poziomie każdego z krajów, w którym Bank prowadzi działalność i rozlicza się z tytułu podatku dochodowego od osób prawnych.</w:t>
      </w:r>
    </w:p>
    <w:p w14:paraId="5DF9218F"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 xml:space="preserve">Grupa ujawnia oddzielnie kwotę ujemnych różnic przejściowych (głównie z tytułu nierozliczonych strat podatkowych lub niewykorzystanych ulg podatkowych), w związku z którymi nie ujęto w sprawozdaniu z sytuacji finansowej aktywa z tytułu odroczonego podatku dochodowego, a także kwotę różnic przejściowych związanych z inwestycjami w jednostkach zależnych i stowarzyszonych, na które nie utworzono rezerwy z tytułu odroczonego podatku dochodowego. </w:t>
      </w:r>
    </w:p>
    <w:p w14:paraId="3989525A" w14:textId="77777777"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Grupa ujmuje w kalkulacji podatku odroczonego zobowiązania lub aktywa z tytułu różnic przejściowych powstających w związku z inwestycjami w jednostki zależne i stowarzyszone, chyba że na podstawie posiadanych dowodów realizacja różnic przejściowych jest kontrolowana przez Grupę i prawdopodobne jest, że w możliwej do przewidzenia przyszłości różnice te nie ulegną odwróceniu.</w:t>
      </w:r>
    </w:p>
    <w:p w14:paraId="642913A5" w14:textId="719A43AA" w:rsidR="00BC6B0E" w:rsidRPr="00977E53" w:rsidRDefault="00BC6B0E" w:rsidP="00BC6B0E">
      <w:pPr>
        <w:spacing w:before="120"/>
        <w:jc w:val="both"/>
        <w:rPr>
          <w:rFonts w:cs="Tahoma"/>
          <w:color w:val="000000" w:themeColor="text1"/>
          <w:sz w:val="18"/>
          <w:szCs w:val="18"/>
        </w:rPr>
      </w:pPr>
      <w:r w:rsidRPr="00977E53">
        <w:rPr>
          <w:rFonts w:cs="Tahoma"/>
          <w:color w:val="000000" w:themeColor="text1"/>
          <w:sz w:val="18"/>
          <w:szCs w:val="18"/>
        </w:rPr>
        <w:t>Odroczony podatek dochodowy z tytułu aktualizacji wartości instrumentów finansowych wycenianych przez pozostałe całkowite dochody i aktualizacji transakcji zabezpieczeń przepływów pieniężnych ujmuje się, tak</w:t>
      </w:r>
      <w:r w:rsidR="00DE1149">
        <w:rPr>
          <w:rFonts w:cs="Tahoma"/>
          <w:color w:val="000000" w:themeColor="text1"/>
          <w:sz w:val="18"/>
          <w:szCs w:val="18"/>
        </w:rPr>
        <w:t> </w:t>
      </w:r>
      <w:r w:rsidRPr="00977E53">
        <w:rPr>
          <w:rFonts w:cs="Tahoma"/>
          <w:color w:val="000000" w:themeColor="text1"/>
          <w:sz w:val="18"/>
          <w:szCs w:val="18"/>
        </w:rPr>
        <w:t>jak aktualizację wyceny, bezpośrednio w innych pozycjach kapitału własnego, a następnie przenosi do</w:t>
      </w:r>
      <w:r w:rsidR="00DE1149">
        <w:rPr>
          <w:rFonts w:cs="Tahoma"/>
          <w:color w:val="000000" w:themeColor="text1"/>
          <w:sz w:val="18"/>
          <w:szCs w:val="18"/>
        </w:rPr>
        <w:t> </w:t>
      </w:r>
      <w:r w:rsidRPr="00977E53">
        <w:rPr>
          <w:rFonts w:cs="Tahoma"/>
          <w:color w:val="000000" w:themeColor="text1"/>
          <w:sz w:val="18"/>
          <w:szCs w:val="18"/>
        </w:rPr>
        <w:t>rachunku zysków i strat w momencie, gdy dana inwestycja lub pozycja zabezpieczana wpływa na</w:t>
      </w:r>
      <w:r w:rsidR="00DE1149">
        <w:rPr>
          <w:rFonts w:cs="Tahoma"/>
          <w:color w:val="000000" w:themeColor="text1"/>
          <w:sz w:val="18"/>
          <w:szCs w:val="18"/>
        </w:rPr>
        <w:t> </w:t>
      </w:r>
      <w:r w:rsidRPr="00977E53">
        <w:rPr>
          <w:rFonts w:cs="Tahoma"/>
          <w:color w:val="000000" w:themeColor="text1"/>
          <w:sz w:val="18"/>
          <w:szCs w:val="18"/>
        </w:rPr>
        <w:t>rachunek zysków i strat.</w:t>
      </w:r>
    </w:p>
    <w:p w14:paraId="16E38FB0" w14:textId="77777777" w:rsidR="00BC6B0E" w:rsidRPr="00977E53" w:rsidRDefault="00BC6B0E" w:rsidP="00BC6B0E">
      <w:pPr>
        <w:jc w:val="both"/>
        <w:rPr>
          <w:rFonts w:cs="Tahoma"/>
          <w:color w:val="000000" w:themeColor="text1"/>
          <w:sz w:val="18"/>
          <w:szCs w:val="18"/>
        </w:rPr>
      </w:pPr>
    </w:p>
    <w:p w14:paraId="330C183F"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59" w:name="_Toc517966059"/>
      <w:bookmarkStart w:id="60" w:name="_Toc517971174"/>
      <w:bookmarkStart w:id="61" w:name="_Toc520702407"/>
      <w:bookmarkStart w:id="62" w:name="_Toc32999809"/>
      <w:r>
        <w:rPr>
          <w:b/>
          <w:color w:val="E41E0A"/>
          <w:sz w:val="18"/>
          <w:szCs w:val="18"/>
        </w:rPr>
        <w:t>Aktywa przejęte za długi</w:t>
      </w:r>
      <w:bookmarkEnd w:id="59"/>
      <w:bookmarkEnd w:id="60"/>
      <w:bookmarkEnd w:id="61"/>
      <w:bookmarkEnd w:id="62"/>
    </w:p>
    <w:p w14:paraId="720B0366" w14:textId="77777777" w:rsidR="00BC6B0E" w:rsidRPr="00977E53" w:rsidRDefault="00BC6B0E" w:rsidP="00BC6B0E">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 xml:space="preserve">Aktywa przejęte za długi to finansowe i niefinansowe aktywa przejęte przez Grupę w celu rozliczenia przeterminowanych należności kredytowych. Aktywa te wycenia się w momencie początkowego ujęcia w kwocie odpowiadającej ich wartości godziwej i klasyfikuje jako rzeczowe aktywa trwałe, aktywa finansowe lub inne aktywa w zależności od rodzaju aktywów i intencji Grupy odnośnie sposobu realizacji korzyści z tych aktywów. W przypadku, gdy wartość godziwa przejętych aktywów jest wyższa od kwoty długu, różnica stanowi zobowiązanie wobec kredytobiorcy. </w:t>
      </w:r>
    </w:p>
    <w:p w14:paraId="2B8E4A14" w14:textId="77777777" w:rsidR="00BC6B0E" w:rsidRPr="00977E53" w:rsidRDefault="00BC6B0E" w:rsidP="00BC6B0E">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W późniejszym okresie aktywa przejęte za długi są ujmowane i wyceniane zgodnie z polityką przewidzianą dla aktywów danej kategorii.</w:t>
      </w:r>
    </w:p>
    <w:p w14:paraId="3F854AEE"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hanging="720"/>
        <w:jc w:val="both"/>
        <w:outlineLvl w:val="2"/>
        <w:rPr>
          <w:b/>
          <w:color w:val="E41E0A"/>
          <w:sz w:val="18"/>
          <w:szCs w:val="18"/>
        </w:rPr>
      </w:pPr>
      <w:bookmarkStart w:id="63" w:name="_Toc517966060"/>
      <w:bookmarkStart w:id="64" w:name="_Toc517971175"/>
      <w:bookmarkStart w:id="65" w:name="_Toc520702408"/>
      <w:bookmarkStart w:id="66" w:name="_Toc32999810"/>
      <w:r>
        <w:rPr>
          <w:b/>
          <w:color w:val="E41E0A"/>
          <w:sz w:val="18"/>
          <w:szCs w:val="18"/>
        </w:rPr>
        <w:lastRenderedPageBreak/>
        <w:t>Rozliczenia międzyokresowe i przychody przyszłych okresów</w:t>
      </w:r>
      <w:bookmarkEnd w:id="63"/>
      <w:bookmarkEnd w:id="64"/>
      <w:bookmarkEnd w:id="65"/>
      <w:bookmarkEnd w:id="66"/>
    </w:p>
    <w:p w14:paraId="77985AC2"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Czynne rozliczenia międzyokresowe kosztów ujmuje się, jeśli wydatki dotyczą miesięcy następujących po miesiącu, w którym je poniesiono. Czynne rozliczenia międzyokresowe ujmowane są w sprawozdaniu z sytuacji finansowej w pozycji „Inne aktywa”.</w:t>
      </w:r>
    </w:p>
    <w:p w14:paraId="2ADEBD90"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Do biernych rozliczeń międzyokresowych kosztów zalicza się koszty z tytułu świadczeń wykonywanych na rzecz Grupy, lecz jeszcze nie stanowiących jej zobowiązań. Przychody przyszłych okresów stanowią między innymi otrzymane kwoty przyszłych świadczeń. Bierne rozliczenia międzyokresowe kosztów oraz przychody przyszłych okresów prezentowane są w sprawozdaniu z sytuacji finansowej w pozycji „Pozostałe zobowiązania”.</w:t>
      </w:r>
    </w:p>
    <w:p w14:paraId="3E1B052B" w14:textId="77777777" w:rsidR="00BC6B0E" w:rsidRPr="00977E53" w:rsidRDefault="00BC6B0E" w:rsidP="00BC6B0E">
      <w:pPr>
        <w:rPr>
          <w:b/>
          <w:color w:val="000000" w:themeColor="text1"/>
          <w:sz w:val="18"/>
          <w:szCs w:val="18"/>
        </w:rPr>
      </w:pPr>
    </w:p>
    <w:p w14:paraId="2DA223E1"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67" w:name="_Toc517966061"/>
      <w:bookmarkStart w:id="68" w:name="_Toc517971176"/>
      <w:bookmarkStart w:id="69" w:name="_Toc520702409"/>
      <w:bookmarkStart w:id="70" w:name="_Toc32999811"/>
      <w:r>
        <w:rPr>
          <w:b/>
          <w:color w:val="E41E0A"/>
          <w:sz w:val="18"/>
          <w:szCs w:val="18"/>
        </w:rPr>
        <w:t>Leasing</w:t>
      </w:r>
      <w:bookmarkEnd w:id="67"/>
      <w:bookmarkEnd w:id="68"/>
      <w:bookmarkEnd w:id="69"/>
      <w:bookmarkEnd w:id="70"/>
    </w:p>
    <w:p w14:paraId="5CA1C504" w14:textId="77777777" w:rsidR="00AF2FAF" w:rsidRPr="00977E53" w:rsidRDefault="00AF2FAF" w:rsidP="00AF2FAF">
      <w:pPr>
        <w:pStyle w:val="Tekstpodstawowy3"/>
        <w:suppressAutoHyphens/>
        <w:spacing w:before="120"/>
        <w:jc w:val="both"/>
        <w:rPr>
          <w:rFonts w:cs="Tahoma"/>
          <w:color w:val="000000" w:themeColor="text1"/>
          <w:sz w:val="18"/>
          <w:szCs w:val="18"/>
        </w:rPr>
      </w:pPr>
      <w:r w:rsidRPr="00977E53">
        <w:rPr>
          <w:rFonts w:cs="Tahoma"/>
          <w:color w:val="000000" w:themeColor="text1"/>
          <w:sz w:val="18"/>
          <w:szCs w:val="18"/>
        </w:rPr>
        <w:t>Umowa jest leasingiem lub zawiera leasing, jeżeli na jej mocy przekazuje się prawo do kontroli użytkowania zidentyfikowanego składnika aktywów na dany okres w zamian za wynagrodzenie. Grupa ponownie ocenia, czy umowa jest leasingiem lub czy zawiera leasing tylko wtedy, gdy warunki umowy ulegną zmianie.</w:t>
      </w:r>
    </w:p>
    <w:p w14:paraId="45101F6B" w14:textId="77777777" w:rsidR="00AF2FAF" w:rsidRPr="00977E53" w:rsidRDefault="00AF2FAF" w:rsidP="00AF2FAF">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Przekazanie prawa do użytkowania ma miejsce wówczas, gdy mamy do czynienia ze zidentyfikowanym składnikiem aktywów, w odniesieniu do którego leasingobiorca ma prawo do praktycznie wszystkich korzyści ekonomicznych i kontroluje wykorzystanie danego składnika aktywów w danym okresie.</w:t>
      </w:r>
    </w:p>
    <w:p w14:paraId="1692141B" w14:textId="77777777" w:rsidR="00AF2FAF" w:rsidRPr="00977E53" w:rsidRDefault="00AF2FAF" w:rsidP="00AF2FAF">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Grupa mBanku S.A. jako leasingobiorca</w:t>
      </w:r>
    </w:p>
    <w:p w14:paraId="7D1A072D" w14:textId="77777777" w:rsidR="00AF2FAF" w:rsidRPr="00977E53" w:rsidRDefault="00AF2FAF" w:rsidP="00AF2FAF">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przypadku gdy definicja leasingu jest spełniona, ujmuje się prawo do użytkowania składnika aktywów wraz z odpowiednim zobowiązaniem z tytułu leasingu ustalonym w wysokości zdyskontowanych przyszłych płatności w okresie trwania leasingu.</w:t>
      </w:r>
    </w:p>
    <w:p w14:paraId="6A925277" w14:textId="017404B7" w:rsidR="00AF2FAF" w:rsidRPr="00977E53" w:rsidRDefault="00AF2FAF" w:rsidP="00AF2FAF">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Grupa mBanku jako leasingobiorca stosuje uproszczenia i nie stosuje wymogów dotyczących ujmowania, wyceny i prezentacji w odniesieniu do umów leasingu krótkoterminowego do 12 miesięcy dla danej klasy bazowego składnika aktywów oraz w odniesieniu do umów leasingowych, dla których bazowy składnik aktywów ma niską wartość </w:t>
      </w:r>
      <w:r w:rsidR="000939B0">
        <w:rPr>
          <w:rFonts w:cs="Tahoma"/>
          <w:color w:val="000000" w:themeColor="text1"/>
          <w:sz w:val="18"/>
          <w:szCs w:val="18"/>
        </w:rPr>
        <w:t>tzn. poniżej 20 </w:t>
      </w:r>
      <w:r w:rsidRPr="00977E53">
        <w:rPr>
          <w:rFonts w:cs="Tahoma"/>
          <w:color w:val="000000" w:themeColor="text1"/>
          <w:sz w:val="18"/>
          <w:szCs w:val="18"/>
        </w:rPr>
        <w:t>000 PLN w odniesieniu do poszczególnych leasingów. W</w:t>
      </w:r>
      <w:r w:rsidR="00D21789">
        <w:rPr>
          <w:rFonts w:cs="Tahoma"/>
          <w:color w:val="000000" w:themeColor="text1"/>
          <w:sz w:val="18"/>
          <w:szCs w:val="18"/>
        </w:rPr>
        <w:t> </w:t>
      </w:r>
      <w:r w:rsidRPr="00977E53">
        <w:rPr>
          <w:rFonts w:cs="Tahoma"/>
          <w:color w:val="000000" w:themeColor="text1"/>
          <w:sz w:val="18"/>
          <w:szCs w:val="18"/>
        </w:rPr>
        <w:t>odniesieniu do umów</w:t>
      </w:r>
      <w:r w:rsidR="00D21789">
        <w:rPr>
          <w:rFonts w:cs="Tahoma"/>
          <w:color w:val="000000" w:themeColor="text1"/>
          <w:sz w:val="18"/>
          <w:szCs w:val="18"/>
        </w:rPr>
        <w:t>,</w:t>
      </w:r>
      <w:r w:rsidRPr="00977E53">
        <w:rPr>
          <w:rFonts w:cs="Tahoma"/>
          <w:color w:val="000000" w:themeColor="text1"/>
          <w:sz w:val="18"/>
          <w:szCs w:val="18"/>
        </w:rPr>
        <w:t xml:space="preserve"> dla których Grupa stosuje uproszczenia, opłaty leasingowe ujmuje się jako koszty metodą liniową w trakcie okresu leasingu.</w:t>
      </w:r>
    </w:p>
    <w:p w14:paraId="66F15E4F" w14:textId="77777777"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Prawo wieczystego użytkowania jest klasyfikowane jako leasing zgodnie z MSSF 16 ze względu na występowanie przyszłych opłat za korzystanie z tego prawa. Grupa przyjęła, że okres leasingu dla tego typu umów to pozostały okres przyznanego prawa od momentu przejścia na MSSF 16.</w:t>
      </w:r>
    </w:p>
    <w:p w14:paraId="54BBEF43" w14:textId="13FE23A0"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 xml:space="preserve">Grupa ustala okres leasingu </w:t>
      </w:r>
      <w:r w:rsidR="00793BA0" w:rsidRPr="00977E53">
        <w:rPr>
          <w:rFonts w:cs="Tahoma"/>
          <w:color w:val="000000" w:themeColor="text1"/>
          <w:sz w:val="18"/>
          <w:szCs w:val="18"/>
        </w:rPr>
        <w:t xml:space="preserve">dla leasingów </w:t>
      </w:r>
      <w:r w:rsidRPr="00977E53">
        <w:rPr>
          <w:rFonts w:cs="Tahoma"/>
          <w:color w:val="000000" w:themeColor="text1"/>
          <w:sz w:val="18"/>
          <w:szCs w:val="18"/>
        </w:rPr>
        <w:t>nieodwołalny</w:t>
      </w:r>
      <w:r w:rsidR="00793BA0" w:rsidRPr="00977E53">
        <w:rPr>
          <w:rFonts w:cs="Tahoma"/>
          <w:color w:val="000000" w:themeColor="text1"/>
          <w:sz w:val="18"/>
          <w:szCs w:val="18"/>
        </w:rPr>
        <w:t>ch</w:t>
      </w:r>
      <w:r w:rsidRPr="00977E53">
        <w:rPr>
          <w:rFonts w:cs="Tahoma"/>
          <w:color w:val="000000" w:themeColor="text1"/>
          <w:sz w:val="18"/>
          <w:szCs w:val="18"/>
        </w:rPr>
        <w:t xml:space="preserve"> </w:t>
      </w:r>
      <w:r w:rsidR="00793BA0" w:rsidRPr="00977E53">
        <w:rPr>
          <w:rFonts w:cs="Tahoma"/>
          <w:color w:val="000000" w:themeColor="text1"/>
          <w:sz w:val="18"/>
          <w:szCs w:val="18"/>
        </w:rPr>
        <w:t>uwzględniając</w:t>
      </w:r>
      <w:r w:rsidRPr="00977E53">
        <w:rPr>
          <w:rFonts w:cs="Tahoma"/>
          <w:color w:val="000000" w:themeColor="text1"/>
          <w:sz w:val="18"/>
          <w:szCs w:val="18"/>
        </w:rPr>
        <w:t>:</w:t>
      </w:r>
    </w:p>
    <w:p w14:paraId="48D6D320" w14:textId="4D338C8B" w:rsidR="00AF2FAF" w:rsidRPr="00977E53" w:rsidRDefault="00793BA0"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opcję</w:t>
      </w:r>
      <w:r w:rsidR="00AF2FAF" w:rsidRPr="00977E53">
        <w:rPr>
          <w:rFonts w:cs="Tahoma"/>
          <w:color w:val="000000" w:themeColor="text1"/>
          <w:sz w:val="18"/>
          <w:szCs w:val="18"/>
        </w:rPr>
        <w:t xml:space="preserve"> przedłużenia leasingu, jeżeli można z wystarczającą pewnością założyć, że Grupa jako leasingobiorca skorzysta z tej opcji, oraz</w:t>
      </w:r>
    </w:p>
    <w:p w14:paraId="746E6124" w14:textId="448585D6" w:rsidR="00AF2FAF" w:rsidRPr="00977E53" w:rsidRDefault="00793BA0" w:rsidP="00526DF1">
      <w:pPr>
        <w:pStyle w:val="Akapitzlist"/>
        <w:numPr>
          <w:ilvl w:val="0"/>
          <w:numId w:val="69"/>
        </w:numPr>
        <w:tabs>
          <w:tab w:val="num" w:pos="1083"/>
        </w:tabs>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opcję</w:t>
      </w:r>
      <w:r w:rsidR="00AF2FAF" w:rsidRPr="00977E53">
        <w:rPr>
          <w:rFonts w:cs="Tahoma"/>
          <w:color w:val="000000" w:themeColor="text1"/>
          <w:sz w:val="18"/>
          <w:szCs w:val="18"/>
        </w:rPr>
        <w:t xml:space="preserve"> wypowiedzenia leasingu, jeżeli można z wystarczającą pewnością założyć, że Grupa jako leasingob</w:t>
      </w:r>
      <w:r w:rsidR="00FE0209" w:rsidRPr="00977E53">
        <w:rPr>
          <w:rFonts w:cs="Tahoma"/>
          <w:color w:val="000000" w:themeColor="text1"/>
          <w:sz w:val="18"/>
          <w:szCs w:val="18"/>
        </w:rPr>
        <w:t>iorca nie skorzysta z tej opcji.</w:t>
      </w:r>
    </w:p>
    <w:p w14:paraId="49919F35" w14:textId="53D6719B"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Grupa ocenia, czy można z wystarczającą pewnością założyć, że skorzysta z opcji przedłużenia leasingu lub że nie skorzysta z opcji wypowiedzenia leasingu. Grupa uwzględnia wszystkie istotne fakty i</w:t>
      </w:r>
      <w:r w:rsidR="00251D21" w:rsidRPr="00977E53">
        <w:rPr>
          <w:rFonts w:cs="Tahoma"/>
          <w:color w:val="000000" w:themeColor="text1"/>
          <w:sz w:val="18"/>
          <w:szCs w:val="18"/>
        </w:rPr>
        <w:t> </w:t>
      </w:r>
      <w:r w:rsidRPr="00977E53">
        <w:rPr>
          <w:rFonts w:cs="Tahoma"/>
          <w:color w:val="000000" w:themeColor="text1"/>
          <w:sz w:val="18"/>
          <w:szCs w:val="18"/>
        </w:rPr>
        <w:t>okoliczności, które stanowią zachętę ekonomiczną do tego, aby skorzystać z opcji przedłużenia leasingu lub nie skorzystać z opcji wypowiedzenia leasingu. Grupa ponownie ocenia, czy można z wystarczającą pewnością założyć, że skorzysta z opcji przedłużenia leasingu lub że nie skorzysta z opcji wypowiedzenia leasingu w przypadku wystąpienia znaczącego zdarzenia albo znaczącej zmiany w okolicznościach</w:t>
      </w:r>
      <w:r w:rsidR="00D21789">
        <w:rPr>
          <w:rFonts w:cs="Tahoma"/>
          <w:color w:val="000000" w:themeColor="text1"/>
          <w:sz w:val="18"/>
          <w:szCs w:val="18"/>
        </w:rPr>
        <w:t>,</w:t>
      </w:r>
      <w:r w:rsidRPr="00977E53">
        <w:rPr>
          <w:rFonts w:cs="Tahoma"/>
          <w:color w:val="000000" w:themeColor="text1"/>
          <w:sz w:val="18"/>
          <w:szCs w:val="18"/>
        </w:rPr>
        <w:t xml:space="preserve"> które Grupa jako leasingobiorca kontroluje, oraz które wpływają na to, że można z wystarczającą pewnością założyć, że Grupa skorzysta z opcji, która nie została wcześniej uwzględniona w ustaleniach dotyczących okresu leasingu, lub że nie skorzysta z opcji, która została wcześniej uwzględniona w tych ustaleniach. Grupa aktualizuje okres leasingu, gdy zaszła zmiana dotycząca nieodwołalnego okresu leasingu.</w:t>
      </w:r>
    </w:p>
    <w:p w14:paraId="72959B47" w14:textId="04D1B084"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W dacie rozpoczęcia leasingu Grupa jako leasingobiorca wycenia składnik aktywów z tytułu prawa do</w:t>
      </w:r>
      <w:r w:rsidR="009333E5">
        <w:rPr>
          <w:rFonts w:cs="Tahoma"/>
          <w:color w:val="000000" w:themeColor="text1"/>
          <w:sz w:val="18"/>
          <w:szCs w:val="18"/>
        </w:rPr>
        <w:t> </w:t>
      </w:r>
      <w:r w:rsidRPr="00977E53">
        <w:rPr>
          <w:rFonts w:cs="Tahoma"/>
          <w:color w:val="000000" w:themeColor="text1"/>
          <w:sz w:val="18"/>
          <w:szCs w:val="18"/>
        </w:rPr>
        <w:t xml:space="preserve">użytkowania według kosztu. Koszt składnika aktywów z tytułu prawa do użytkowania powinien obejmować: </w:t>
      </w:r>
    </w:p>
    <w:p w14:paraId="7072E9A0"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 xml:space="preserve">kwotę początkowej wyceny zobowiązania z tytułu leasingu, </w:t>
      </w:r>
    </w:p>
    <w:p w14:paraId="0379A2A1"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wszelkie opłaty leasingowe zapłacone w dacie rozpoczęcia lub przed tą datą, pomniejszone o wszelkie otrzymane zachęty leasingowe,</w:t>
      </w:r>
    </w:p>
    <w:p w14:paraId="6C60A592"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wszelkie początkowe koszty bezpośrednie poniesione przez Grupę jako leasingobiorcę, oraz</w:t>
      </w:r>
    </w:p>
    <w:p w14:paraId="52BCBCE3" w14:textId="02C47BC1"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szacunek kosztów, które mają zostać poniesione przez Grupę jako leasingobiorcę w związku z</w:t>
      </w:r>
      <w:r w:rsidR="00251D21" w:rsidRPr="00977E53">
        <w:rPr>
          <w:rFonts w:cs="Tahoma"/>
          <w:color w:val="000000" w:themeColor="text1"/>
          <w:sz w:val="18"/>
          <w:szCs w:val="18"/>
        </w:rPr>
        <w:t> </w:t>
      </w:r>
      <w:r w:rsidRPr="00977E53">
        <w:rPr>
          <w:rFonts w:cs="Tahoma"/>
          <w:color w:val="000000" w:themeColor="text1"/>
          <w:sz w:val="18"/>
          <w:szCs w:val="18"/>
        </w:rPr>
        <w:t xml:space="preserve">demontażem i usunięciem bazowego składnika aktywów, przeprowadzeniem renowacji miejsca, </w:t>
      </w:r>
      <w:r w:rsidRPr="00977E53">
        <w:rPr>
          <w:rFonts w:cs="Tahoma"/>
          <w:color w:val="000000" w:themeColor="text1"/>
          <w:sz w:val="18"/>
          <w:szCs w:val="18"/>
        </w:rPr>
        <w:lastRenderedPageBreak/>
        <w:t>w</w:t>
      </w:r>
      <w:r w:rsidR="00251D21" w:rsidRPr="00977E53">
        <w:rPr>
          <w:rFonts w:cs="Tahoma"/>
          <w:color w:val="000000" w:themeColor="text1"/>
          <w:sz w:val="18"/>
          <w:szCs w:val="18"/>
        </w:rPr>
        <w:t> </w:t>
      </w:r>
      <w:r w:rsidRPr="00977E53">
        <w:rPr>
          <w:rFonts w:cs="Tahoma"/>
          <w:color w:val="000000" w:themeColor="text1"/>
          <w:sz w:val="18"/>
          <w:szCs w:val="18"/>
        </w:rPr>
        <w:t>którym się znajdował, lub przeprowadzeniem renowacji bazowego składnika aktywów do stanu wymaganego przez warunki leasingu, chyba że te koszty są ponoszone w celu wytworzenia zapasów.</w:t>
      </w:r>
    </w:p>
    <w:p w14:paraId="2DA72B34" w14:textId="77777777"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Po dacie rozpoczęcia leasingu Grupa wycenia składnik aktywów z tytułu prawa do użytkowania według kosztu:</w:t>
      </w:r>
    </w:p>
    <w:p w14:paraId="01314276"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 xml:space="preserve">pomniejszonego o łączne odpisy amortyzacyjne (umorzenie) i łączne straty z tytułu utraty wartości; oraz </w:t>
      </w:r>
    </w:p>
    <w:p w14:paraId="59CF50CD"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skorygowanego z tytułu jakiejkolwiek aktualizacji wyceny zobowiązania z tytułu leasingu.</w:t>
      </w:r>
    </w:p>
    <w:p w14:paraId="015BC190" w14:textId="77777777"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Grupa stosuje wymogi w zakresie amortyzacji zgodnie z MSR 16 Rzeczowe aktywa trwałe oraz MSR 36 Utrata wartości aktywów w celu określenia, czy składnik aktywów z tytułu prawa do użytkowania utracił wartość.</w:t>
      </w:r>
    </w:p>
    <w:p w14:paraId="381D5E45" w14:textId="7BB50A6F"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W dacie rozpoczęcia leasingu Grupa wycenia zobowiązanie z tytułu leasingu w wysokości wartości bieżącej opłat leasingowych pozostających do zapłaty w tej dacie. W dacie rozpoczęcia opłaty leasingowe ujęte w</w:t>
      </w:r>
      <w:r w:rsidR="00251D21" w:rsidRPr="00977E53">
        <w:rPr>
          <w:rFonts w:cs="Tahoma"/>
          <w:color w:val="000000" w:themeColor="text1"/>
          <w:sz w:val="18"/>
          <w:szCs w:val="18"/>
        </w:rPr>
        <w:t> </w:t>
      </w:r>
      <w:r w:rsidRPr="00977E53">
        <w:rPr>
          <w:rFonts w:cs="Tahoma"/>
          <w:color w:val="000000" w:themeColor="text1"/>
          <w:sz w:val="18"/>
          <w:szCs w:val="18"/>
        </w:rPr>
        <w:t xml:space="preserve">wycenie zobowiązania z tytułu leasingu obejmują następujące opłaty: </w:t>
      </w:r>
    </w:p>
    <w:p w14:paraId="59B6564E"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 xml:space="preserve">stałe opłaty leasingowe (w tym zasadniczo stałe opłaty leasingowe) pomniejszone o wszelkie należne zachęty leasingowe, </w:t>
      </w:r>
    </w:p>
    <w:p w14:paraId="4319E074" w14:textId="3E27CF6F"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zmienne opłaty leasingowe, które zależą od indeksu lub stawki, wycenione początkowo z</w:t>
      </w:r>
      <w:r w:rsidR="00251D21" w:rsidRPr="00977E53">
        <w:rPr>
          <w:rFonts w:cs="Tahoma"/>
          <w:color w:val="000000" w:themeColor="text1"/>
          <w:sz w:val="18"/>
          <w:szCs w:val="18"/>
        </w:rPr>
        <w:t> </w:t>
      </w:r>
      <w:r w:rsidRPr="00977E53">
        <w:rPr>
          <w:rFonts w:cs="Tahoma"/>
          <w:color w:val="000000" w:themeColor="text1"/>
          <w:sz w:val="18"/>
          <w:szCs w:val="18"/>
        </w:rPr>
        <w:t>zastosowaniem tego indeksu lub tej stawki zgodnie z ich wartością w dacie rozpoczęcia,</w:t>
      </w:r>
    </w:p>
    <w:p w14:paraId="52C48E1E"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kwoty, których zapłaty przez leasingobiorcę oczekuje się w ramach gwarantowanej wartości końcowej,</w:t>
      </w:r>
    </w:p>
    <w:p w14:paraId="598CF5C8"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cenę wykonania opcji kupna, jeżeli można z wystarczającą pewnością założyć, że leasingobiorca skorzysta z tej opcji, oraz</w:t>
      </w:r>
    </w:p>
    <w:p w14:paraId="0FBDCE2E" w14:textId="0911FF68"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kary pieniężne za wypowiedzenie leasingu, jeżeli w warunkach leasingu przewidziano, że</w:t>
      </w:r>
      <w:r w:rsidR="00DE1149">
        <w:rPr>
          <w:rFonts w:cs="Tahoma"/>
          <w:color w:val="000000" w:themeColor="text1"/>
          <w:sz w:val="18"/>
          <w:szCs w:val="18"/>
        </w:rPr>
        <w:t> </w:t>
      </w:r>
      <w:r w:rsidRPr="00977E53">
        <w:rPr>
          <w:rFonts w:cs="Tahoma"/>
          <w:color w:val="000000" w:themeColor="text1"/>
          <w:sz w:val="18"/>
          <w:szCs w:val="18"/>
        </w:rPr>
        <w:t>leasingobiorca może skorzystać z opcji wypowiedzenia leasingu.</w:t>
      </w:r>
    </w:p>
    <w:p w14:paraId="7F9B69FD" w14:textId="39C5757B"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Zmienne opłaty leasingowe, które zależą od indeksu lub stawki obejmują na przykład opłaty powiązane z</w:t>
      </w:r>
      <w:r w:rsidR="00251D21" w:rsidRPr="00977E53">
        <w:rPr>
          <w:rFonts w:cs="Tahoma"/>
          <w:color w:val="000000" w:themeColor="text1"/>
          <w:sz w:val="18"/>
          <w:szCs w:val="18"/>
        </w:rPr>
        <w:t> </w:t>
      </w:r>
      <w:r w:rsidRPr="00977E53">
        <w:rPr>
          <w:rFonts w:cs="Tahoma"/>
          <w:color w:val="000000" w:themeColor="text1"/>
          <w:sz w:val="18"/>
          <w:szCs w:val="18"/>
        </w:rPr>
        <w:t>indeksem cen konsumpcyjnych, opłaty powiązane z referencyjną stopą procentową (taką jak LIBOR) lub</w:t>
      </w:r>
      <w:r w:rsidR="00DE1149">
        <w:rPr>
          <w:rFonts w:cs="Tahoma"/>
          <w:color w:val="000000" w:themeColor="text1"/>
          <w:sz w:val="18"/>
          <w:szCs w:val="18"/>
        </w:rPr>
        <w:t> </w:t>
      </w:r>
      <w:r w:rsidRPr="00977E53">
        <w:rPr>
          <w:rFonts w:cs="Tahoma"/>
          <w:color w:val="000000" w:themeColor="text1"/>
          <w:sz w:val="18"/>
          <w:szCs w:val="18"/>
        </w:rPr>
        <w:t>opłaty, które zmieniają się, aby odzwierciedlić zmiany w stawkach czynszów na wolnym rynku.</w:t>
      </w:r>
    </w:p>
    <w:p w14:paraId="083E005B" w14:textId="77777777"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Po dacie rozpoczęcia leasingu Grupa wycenia zobowiązanie z tytułu leasingu poprzez:</w:t>
      </w:r>
    </w:p>
    <w:p w14:paraId="4DA056D5"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 xml:space="preserve">zwiększenie wartości bilansowej w celu odzwierciedlenia odsetek od zobowiązania z tytułu leasingu, </w:t>
      </w:r>
    </w:p>
    <w:p w14:paraId="1B3016ED" w14:textId="522F6415"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zmniejszenie wartości bilansowej w celu uwzględnienia zapłaconych opłat leasingowych</w:t>
      </w:r>
      <w:r w:rsidR="00B67E89">
        <w:rPr>
          <w:rFonts w:cs="Tahoma"/>
          <w:color w:val="000000" w:themeColor="text1"/>
          <w:sz w:val="18"/>
          <w:szCs w:val="18"/>
        </w:rPr>
        <w:t>,</w:t>
      </w:r>
      <w:r w:rsidRPr="00977E53">
        <w:rPr>
          <w:rFonts w:cs="Tahoma"/>
          <w:color w:val="000000" w:themeColor="text1"/>
          <w:sz w:val="18"/>
          <w:szCs w:val="18"/>
        </w:rPr>
        <w:t xml:space="preserve"> oraz</w:t>
      </w:r>
    </w:p>
    <w:p w14:paraId="1EEC4B01" w14:textId="2476665C"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zaktualizowanie wyceny wartości bilansowej w celu uwzględnienia wszelkiej ponownej oceny lub</w:t>
      </w:r>
      <w:r w:rsidR="00DE1149">
        <w:rPr>
          <w:rFonts w:cs="Tahoma"/>
          <w:color w:val="000000" w:themeColor="text1"/>
          <w:sz w:val="18"/>
          <w:szCs w:val="18"/>
        </w:rPr>
        <w:t> </w:t>
      </w:r>
      <w:r w:rsidRPr="00977E53">
        <w:rPr>
          <w:rFonts w:cs="Tahoma"/>
          <w:color w:val="000000" w:themeColor="text1"/>
          <w:sz w:val="18"/>
          <w:szCs w:val="18"/>
        </w:rPr>
        <w:t>zmiany leasingu lub w celu uwzględnienia zaktualizowanych zasadniczo stałych opłat leasingowych.</w:t>
      </w:r>
    </w:p>
    <w:p w14:paraId="6A063516" w14:textId="77777777" w:rsidR="00AF2FAF" w:rsidRPr="00977E53"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 xml:space="preserve">Grupa dyskontuje opłaty leasingowe z zastosowaniem stopy procentowej leasingu, jeżeli tę stopę można z łatwością ustalić. W przeciwnym razie Grupa stosuje krańcową stopę procentową leasingobiorcy. Grupa jako leasingobiorca szacuje wartość stopy dyskonta, biorąc pod uwagę okres trwania oraz walutę umowy. </w:t>
      </w:r>
    </w:p>
    <w:p w14:paraId="0B2F7106" w14:textId="3D2FA463" w:rsidR="00AF2FAF" w:rsidRPr="00651EBB" w:rsidRDefault="00AF2FAF" w:rsidP="00AF2FAF">
      <w:pPr>
        <w:suppressAutoHyphens/>
        <w:spacing w:before="120"/>
        <w:jc w:val="both"/>
        <w:rPr>
          <w:rFonts w:cs="Tahoma"/>
          <w:color w:val="000000" w:themeColor="text1"/>
          <w:sz w:val="18"/>
          <w:szCs w:val="18"/>
        </w:rPr>
      </w:pPr>
      <w:r w:rsidRPr="00651EBB">
        <w:rPr>
          <w:rFonts w:cs="Tahoma"/>
          <w:color w:val="000000" w:themeColor="text1"/>
          <w:sz w:val="18"/>
          <w:szCs w:val="18"/>
        </w:rPr>
        <w:t>Wszystkie aktywa z tytułu prawa do użytkowania wykazane są w rzecz</w:t>
      </w:r>
      <w:r w:rsidR="00B92E23" w:rsidRPr="00651EBB">
        <w:rPr>
          <w:rFonts w:cs="Tahoma"/>
          <w:color w:val="000000" w:themeColor="text1"/>
          <w:sz w:val="18"/>
          <w:szCs w:val="18"/>
        </w:rPr>
        <w:t>owych aktywach trwałych</w:t>
      </w:r>
      <w:r w:rsidR="008C1CDF">
        <w:rPr>
          <w:rFonts w:cs="Tahoma"/>
          <w:color w:val="000000" w:themeColor="text1"/>
          <w:sz w:val="18"/>
          <w:szCs w:val="18"/>
        </w:rPr>
        <w:t xml:space="preserve"> (Nota 26)</w:t>
      </w:r>
      <w:r w:rsidRPr="00651EBB">
        <w:rPr>
          <w:rFonts w:cs="Tahoma"/>
          <w:color w:val="000000" w:themeColor="text1"/>
          <w:sz w:val="18"/>
          <w:szCs w:val="18"/>
        </w:rPr>
        <w:t>.</w:t>
      </w:r>
    </w:p>
    <w:p w14:paraId="360FB977" w14:textId="4838BB89" w:rsidR="00AF2FAF" w:rsidRPr="00977E53" w:rsidRDefault="00AF2FAF" w:rsidP="00AF2FAF">
      <w:pPr>
        <w:suppressAutoHyphens/>
        <w:spacing w:before="120"/>
        <w:jc w:val="both"/>
        <w:rPr>
          <w:rFonts w:cs="Tahoma"/>
          <w:color w:val="000000" w:themeColor="text1"/>
          <w:sz w:val="18"/>
          <w:szCs w:val="18"/>
        </w:rPr>
      </w:pPr>
      <w:r w:rsidRPr="00651EBB">
        <w:rPr>
          <w:rFonts w:cs="Tahoma"/>
          <w:color w:val="000000" w:themeColor="text1"/>
          <w:sz w:val="18"/>
          <w:szCs w:val="18"/>
        </w:rPr>
        <w:t>Płatności pieniężne zobowiązania z tytułu leasingu wykazane są w sprawozdaniu z</w:t>
      </w:r>
      <w:r w:rsidR="00962BC7" w:rsidRPr="00651EBB">
        <w:rPr>
          <w:rFonts w:cs="Tahoma"/>
          <w:color w:val="000000" w:themeColor="text1"/>
          <w:sz w:val="18"/>
          <w:szCs w:val="18"/>
        </w:rPr>
        <w:t> </w:t>
      </w:r>
      <w:r w:rsidRPr="00651EBB">
        <w:rPr>
          <w:rFonts w:cs="Tahoma"/>
          <w:color w:val="000000" w:themeColor="text1"/>
          <w:sz w:val="18"/>
          <w:szCs w:val="18"/>
        </w:rPr>
        <w:t>przepływów w ramach działalności finansowej. Opłaty z tytułu leasingu krótkoterminowego, opłaty za leasingi obejmujące aktywa o niskiej wartości oraz zmienne opłaty leasingowe nieuwzględnione w wycenie zobowiązania z tytułu leasingu ujęte są w sprawozdaniu z przepływów pieniężnych w działalności operacyjnej.</w:t>
      </w:r>
    </w:p>
    <w:p w14:paraId="144ACC3F" w14:textId="77777777" w:rsidR="00AF2FAF" w:rsidRPr="00977E53" w:rsidRDefault="00AF2FAF" w:rsidP="00AF2FAF">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Grupa mBanku S.A. jako leasingodawca</w:t>
      </w:r>
    </w:p>
    <w:p w14:paraId="148A4157"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t>W leasingu operacyjnym</w:t>
      </w:r>
    </w:p>
    <w:p w14:paraId="16F95FC7" w14:textId="14F0445E" w:rsidR="00112B27" w:rsidRDefault="00AF2FAF" w:rsidP="00AF2FAF">
      <w:pPr>
        <w:autoSpaceDE w:val="0"/>
        <w:autoSpaceDN w:val="0"/>
        <w:adjustRightInd w:val="0"/>
        <w:spacing w:before="120"/>
        <w:jc w:val="both"/>
        <w:rPr>
          <w:rFonts w:cs="Tahoma"/>
          <w:color w:val="000000" w:themeColor="text1"/>
          <w:sz w:val="18"/>
          <w:szCs w:val="18"/>
        </w:rPr>
      </w:pPr>
      <w:r w:rsidRPr="00977E53">
        <w:rPr>
          <w:rFonts w:cs="Tahoma"/>
          <w:color w:val="000000" w:themeColor="text1"/>
          <w:sz w:val="18"/>
          <w:szCs w:val="18"/>
        </w:rPr>
        <w:t>Grupa ujmuje opłaty leasingowe z leasingów operacyjnych jako dochód metodą liniową albo w inny systematyczny sposób. Grupa ujmuje w kosztach poniesione w celu uzyskania dochodów z tytułu leasingu koszty, łącznie z amortyzacją. Grupa dodaje początkowe koszty bezpośrednie poniesione w celu uzyskania leasingu operacyjnego do wartości bilansowej bazowego składnika aktywów i ujmuje te koszty jako koszty poniesione w okresie leasingu na tej samej podstawie co dochody z tytułu leasingu. Sposób amortyzowania oddanych w leasing składników aktywów podlegających amortyzacji powinien być zgodny ze zwykłymi zasadami amortyzacji przyjętymi przez Grupę w odniesieniu do podobnych aktywów, a odpisy amortyzacyjne powinny być obliczane zgodnie z MSR 16 i MSR 38. W celu określenia czy nastąpiła utrata wartości przedmiotu leasingu, Grupa stosuje MSR 36.</w:t>
      </w:r>
    </w:p>
    <w:p w14:paraId="607B83FE" w14:textId="77777777" w:rsidR="00112B27" w:rsidRDefault="00112B27">
      <w:pPr>
        <w:rPr>
          <w:rFonts w:cs="Tahoma"/>
          <w:color w:val="000000" w:themeColor="text1"/>
          <w:sz w:val="18"/>
          <w:szCs w:val="18"/>
        </w:rPr>
      </w:pPr>
      <w:r>
        <w:rPr>
          <w:rFonts w:cs="Tahoma"/>
          <w:color w:val="000000" w:themeColor="text1"/>
          <w:sz w:val="18"/>
          <w:szCs w:val="18"/>
        </w:rPr>
        <w:br w:type="page"/>
      </w:r>
    </w:p>
    <w:p w14:paraId="77DC1F78" w14:textId="77777777" w:rsidR="00AF2FAF" w:rsidRPr="00977E53" w:rsidRDefault="00AF2FAF" w:rsidP="00526DF1">
      <w:pPr>
        <w:pStyle w:val="Akapitzlist"/>
        <w:numPr>
          <w:ilvl w:val="0"/>
          <w:numId w:val="69"/>
        </w:numPr>
        <w:autoSpaceDE w:val="0"/>
        <w:autoSpaceDN w:val="0"/>
        <w:adjustRightInd w:val="0"/>
        <w:spacing w:before="120"/>
        <w:ind w:left="426"/>
        <w:jc w:val="both"/>
        <w:rPr>
          <w:rFonts w:cs="Tahoma"/>
          <w:color w:val="000000" w:themeColor="text1"/>
          <w:sz w:val="18"/>
          <w:szCs w:val="18"/>
        </w:rPr>
      </w:pPr>
      <w:r w:rsidRPr="00977E53">
        <w:rPr>
          <w:rFonts w:cs="Tahoma"/>
          <w:color w:val="000000" w:themeColor="text1"/>
          <w:sz w:val="18"/>
          <w:szCs w:val="18"/>
        </w:rPr>
        <w:lastRenderedPageBreak/>
        <w:t>W leasingu finansowym</w:t>
      </w:r>
    </w:p>
    <w:p w14:paraId="19C9ACD6" w14:textId="22EBB190" w:rsidR="00BC6B0E" w:rsidRPr="00977E53" w:rsidRDefault="00AF2FAF" w:rsidP="00AF2FAF">
      <w:pPr>
        <w:spacing w:before="120"/>
        <w:jc w:val="both"/>
        <w:rPr>
          <w:rFonts w:cs="Tahoma"/>
          <w:color w:val="000000" w:themeColor="text1"/>
          <w:sz w:val="18"/>
          <w:szCs w:val="18"/>
        </w:rPr>
      </w:pPr>
      <w:r w:rsidRPr="00977E53">
        <w:rPr>
          <w:rFonts w:cs="Tahoma"/>
          <w:color w:val="000000" w:themeColor="text1"/>
          <w:sz w:val="18"/>
          <w:szCs w:val="18"/>
        </w:rPr>
        <w:t>W dacie rozpoczęcia leasingu Grupa ujmuje aktywa oddane w leasing finansowy jako należności w kwocie równej inwestycji leasingowej netto. Początkowe koszty bezpośrednie są ujęte w początkowej wycenie inwestycji leasingowej netto oraz zmniejszają kwotę przychodu ujmowanego w okresie leasingu. Grupa ujmuje dochody finansowe przez okres leasingu w systematyczny i racjonalny sposób. Opłaty leasingowe dotyczące danego okresu zmniejszają inwestycję leasingową brutto, obniżając zarówno należność główną, jak i kwotę niezrealizowanych dochodów finansowych. Grupa stosuje do inwestycji leasingowej netto wymogi w zakresie zaprzestania ujmowania oraz wymogi w zakresie utraty wartości przewidziane w MSSF 9.</w:t>
      </w:r>
    </w:p>
    <w:p w14:paraId="68F85CDD" w14:textId="77777777" w:rsidR="00BC6B0E" w:rsidRPr="00977E53" w:rsidRDefault="00BC6B0E" w:rsidP="00BC6B0E">
      <w:pPr>
        <w:rPr>
          <w:color w:val="000000" w:themeColor="text1"/>
        </w:rPr>
      </w:pPr>
    </w:p>
    <w:p w14:paraId="1B0F834C"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71" w:name="_Toc517966062"/>
      <w:bookmarkStart w:id="72" w:name="_Toc517971177"/>
      <w:bookmarkStart w:id="73" w:name="_Toc520702410"/>
      <w:bookmarkStart w:id="74" w:name="_Toc32999812"/>
      <w:r>
        <w:rPr>
          <w:b/>
          <w:color w:val="E41E0A"/>
          <w:sz w:val="18"/>
          <w:szCs w:val="18"/>
        </w:rPr>
        <w:t>Rezerwy</w:t>
      </w:r>
      <w:bookmarkEnd w:id="71"/>
      <w:bookmarkEnd w:id="72"/>
      <w:bookmarkEnd w:id="73"/>
      <w:bookmarkEnd w:id="74"/>
    </w:p>
    <w:p w14:paraId="3D2CBB7F"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Wymogom szacowania odpisów i rezerw zgodnie z MSSF 9 Instrumenty Finansowe podlegają zobowiązania do udzielenia pożyczki oraz umowy gwarancji finansowych.</w:t>
      </w:r>
    </w:p>
    <w:p w14:paraId="7821DC83"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Rezerwy zgodnie z MSR 37 są tworzone wówczas, gdy na Grupie ciąży obecny obowiązek (prawny lub zwyczajowo oczekiwany) wynikający ze zdarzeń przeszłych, prawdopodobne jest, że wypełnienie obowiązku spowoduje konieczność wypływu środków oraz gdy można dokonać wiarygodnego szacunku kwoty tego obowiązku.</w:t>
      </w:r>
    </w:p>
    <w:p w14:paraId="46158493" w14:textId="77777777" w:rsidR="00BC6B0E" w:rsidRPr="00C12AFA" w:rsidRDefault="00BC6B0E" w:rsidP="00BC6B0E">
      <w:pPr>
        <w:pStyle w:val="Tekstpodstawowy3"/>
        <w:suppressAutoHyphens/>
        <w:spacing w:after="0"/>
        <w:jc w:val="both"/>
        <w:rPr>
          <w:rFonts w:cs="Tahoma"/>
          <w:sz w:val="18"/>
          <w:szCs w:val="18"/>
        </w:rPr>
      </w:pPr>
    </w:p>
    <w:p w14:paraId="428BE653"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75" w:name="_Toc517966063"/>
      <w:bookmarkStart w:id="76" w:name="_Toc517971178"/>
      <w:bookmarkStart w:id="77" w:name="_Toc520702411"/>
      <w:bookmarkStart w:id="78" w:name="_Toc32999813"/>
      <w:r>
        <w:rPr>
          <w:b/>
          <w:color w:val="E41E0A"/>
          <w:sz w:val="18"/>
          <w:szCs w:val="18"/>
        </w:rPr>
        <w:t>Świadczenia pracownicze po okresie zatrudnienia i inne świadczenia pracownicze</w:t>
      </w:r>
      <w:bookmarkEnd w:id="75"/>
      <w:bookmarkEnd w:id="76"/>
      <w:bookmarkEnd w:id="77"/>
      <w:bookmarkEnd w:id="78"/>
    </w:p>
    <w:p w14:paraId="0C0FDFB6"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Świadczenia pracownicze po okresie zatrudnienia</w:t>
      </w:r>
    </w:p>
    <w:p w14:paraId="58060FA0" w14:textId="77777777" w:rsidR="00BC6B0E" w:rsidRPr="00977E53" w:rsidRDefault="00BC6B0E" w:rsidP="00BC6B0E">
      <w:pPr>
        <w:suppressAutoHyphens/>
        <w:spacing w:before="60"/>
        <w:ind w:right="-57"/>
        <w:jc w:val="both"/>
        <w:rPr>
          <w:rFonts w:cs="Tahoma"/>
          <w:b/>
          <w:color w:val="000000" w:themeColor="text1"/>
          <w:sz w:val="18"/>
          <w:szCs w:val="18"/>
        </w:rPr>
      </w:pPr>
      <w:r w:rsidRPr="00977E53">
        <w:rPr>
          <w:rFonts w:cs="Tahoma"/>
          <w:color w:val="000000" w:themeColor="text1"/>
          <w:sz w:val="18"/>
          <w:szCs w:val="18"/>
        </w:rPr>
        <w:t>Grupa tworzy rezerwy na przyszłe zobowiązania z tytułu świadczeń pracowniczych po okresie zatrudnienia ustalone w oparciu o oszacowania tego typu zobowiązań, na podstawie modelu aktuarialnego. Grupa</w:t>
      </w:r>
      <w:r w:rsidRPr="00977E53">
        <w:rPr>
          <w:rStyle w:val="Pogrubienie"/>
          <w:b w:val="0"/>
          <w:color w:val="000000" w:themeColor="text1"/>
          <w:sz w:val="18"/>
          <w:szCs w:val="18"/>
        </w:rPr>
        <w:t xml:space="preserve"> stosuje zasadę ujmowania zysków i strat aktuarialnych z wyceny świadczeń pracowniczych po okresie zatrudnienia dotyczących zmian w założeniach aktuarialnych w pozostałych całkowitych dochodach, które nie zostaną przeklasyfikowane do rachunku zysków i strat. Natomiast koszty zatrudnienia oraz odsetki netto od zobowiązania z tytułu określonych świadczeń Grupa ujmuje o</w:t>
      </w:r>
      <w:r w:rsidRPr="00977E53">
        <w:rPr>
          <w:rFonts w:cs="Tahoma"/>
          <w:color w:val="000000" w:themeColor="text1"/>
          <w:sz w:val="18"/>
          <w:szCs w:val="18"/>
        </w:rPr>
        <w:t xml:space="preserve">dpowiednio w „Ogólnych kosztach administracyjnych” i w pozostałych kosztach z tytułu odsetek. </w:t>
      </w:r>
    </w:p>
    <w:p w14:paraId="7B92440A" w14:textId="123EC100"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Świadczenia oparte na akcjach rozliczane w instrumentach kapitałowych</w:t>
      </w:r>
    </w:p>
    <w:p w14:paraId="35492872" w14:textId="61DFC8F5" w:rsidR="00BC6B0E" w:rsidRPr="00977E53" w:rsidRDefault="00BC6B0E" w:rsidP="00BC6B0E">
      <w:pPr>
        <w:pStyle w:val="Tekstpodstawowy3"/>
        <w:suppressAutoHyphens/>
        <w:spacing w:before="60" w:after="0"/>
        <w:jc w:val="both"/>
        <w:rPr>
          <w:rFonts w:cs="Tahoma"/>
          <w:color w:val="000000" w:themeColor="text1"/>
          <w:sz w:val="18"/>
          <w:szCs w:val="18"/>
        </w:rPr>
      </w:pPr>
      <w:r w:rsidRPr="00977E53">
        <w:rPr>
          <w:rFonts w:cs="Tahoma"/>
          <w:color w:val="000000" w:themeColor="text1"/>
          <w:sz w:val="18"/>
          <w:szCs w:val="18"/>
        </w:rPr>
        <w:t>Grupa prowadzi programy wynagrodzeń opartych na i regulowanych akcjami własnymi. Świadczenia oparte na akcjach rozliczane w instrumentach kapitałowych są rozliczane zgodnie z MSSF 2 „Płatności związane z akcjami”. Wartość godziwa świadczonej przez pracowników pracy, w zamian za przyznanie opcji i akcji, powiększa koszty danego okresu odpowiednio w korespondencji z kapitałami własnymi. Łączną kwotę, jaką należy rozliczyć w koszty przez okres nabywania uprawnień przez pracowników do realizacji opcji i akcji, ustala się w oparciu o wartość godziwą przyznanych opcji i akcji. Nie występują warunki rynkowe nabywania uprawnień, które byłyby uwzględnione przy szacowaniu na dzień wyceny wartości godziwej opcji na akcje oraz akcji. Warunki nabycia uprawnień inne niż warunki rynkowe nie są</w:t>
      </w:r>
      <w:r w:rsidR="00DE1149">
        <w:rPr>
          <w:rFonts w:cs="Tahoma"/>
          <w:color w:val="000000" w:themeColor="text1"/>
          <w:sz w:val="18"/>
          <w:szCs w:val="18"/>
        </w:rPr>
        <w:t> </w:t>
      </w:r>
      <w:r w:rsidRPr="00977E53">
        <w:rPr>
          <w:rFonts w:cs="Tahoma"/>
          <w:color w:val="000000" w:themeColor="text1"/>
          <w:sz w:val="18"/>
          <w:szCs w:val="18"/>
        </w:rPr>
        <w:t>uwzględniane przy szacowaniu wartości godziwej opcji na akcje i akcji, lecz są uwzględniane przez korektę liczby instrumentów kapitałowych. Na koniec każ</w:t>
      </w:r>
      <w:r w:rsidR="008D5502">
        <w:rPr>
          <w:rFonts w:cs="Tahoma"/>
          <w:color w:val="000000" w:themeColor="text1"/>
          <w:sz w:val="18"/>
          <w:szCs w:val="18"/>
        </w:rPr>
        <w:t>dego okresu sprawozdawczego Grupa</w:t>
      </w:r>
      <w:r w:rsidRPr="00977E53">
        <w:rPr>
          <w:rFonts w:cs="Tahoma"/>
          <w:color w:val="000000" w:themeColor="text1"/>
          <w:sz w:val="18"/>
          <w:szCs w:val="18"/>
        </w:rPr>
        <w:t xml:space="preserve"> koryguje szacunek co do poziomu liczby opcji i akcji, co do których oczekuje się, że będą możliwe do wykorzystania. Zgodnie z MSSF 2, w trakcie trwania programów nie jest konieczne ujmowanie zmiany wartości godziwej płatności opartej na akcjach.</w:t>
      </w:r>
    </w:p>
    <w:p w14:paraId="52A17E25"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Świadczenia oparte na akcjach rozliczane w środkach pieniężnych</w:t>
      </w:r>
    </w:p>
    <w:p w14:paraId="18713E64" w14:textId="0D31258B" w:rsidR="00BC6B0E" w:rsidRPr="00977E53" w:rsidRDefault="00BC6B0E" w:rsidP="00BC6B0E">
      <w:pPr>
        <w:pStyle w:val="Tekstpodstawowy3"/>
        <w:suppressAutoHyphens/>
        <w:spacing w:before="60" w:after="0"/>
        <w:jc w:val="both"/>
        <w:rPr>
          <w:rFonts w:cs="Tahoma"/>
          <w:color w:val="000000" w:themeColor="text1"/>
          <w:sz w:val="18"/>
          <w:szCs w:val="18"/>
        </w:rPr>
      </w:pPr>
      <w:r w:rsidRPr="00977E53">
        <w:rPr>
          <w:rFonts w:cs="Tahoma"/>
          <w:color w:val="000000" w:themeColor="text1"/>
          <w:sz w:val="18"/>
          <w:szCs w:val="18"/>
        </w:rPr>
        <w:t>W przypadku transakcji opartych na akcjach jednostki dominującej najwyższego szczebla rozliczanych w środkach pieniężnych, wartość godziwa świadczonej przez pracowników pracy, w zamian za przyznanie praw do opcji i akcji/praw do udziału we wzroście akcji, powiększa koszty danego okresu odpowiednio w korespondencji z zobowiązaniami. Do czasu, gdy zobowiązanie wynikające z transakcji opartych na</w:t>
      </w:r>
      <w:r w:rsidR="00DE1149">
        <w:rPr>
          <w:rFonts w:cs="Tahoma"/>
          <w:color w:val="000000" w:themeColor="text1"/>
          <w:sz w:val="18"/>
          <w:szCs w:val="18"/>
        </w:rPr>
        <w:t> </w:t>
      </w:r>
      <w:r w:rsidRPr="00977E53">
        <w:rPr>
          <w:rFonts w:cs="Tahoma"/>
          <w:color w:val="000000" w:themeColor="text1"/>
          <w:sz w:val="18"/>
          <w:szCs w:val="18"/>
        </w:rPr>
        <w:t>akcjach rozliczanych w środkach pienię</w:t>
      </w:r>
      <w:r w:rsidR="008D5502">
        <w:rPr>
          <w:rFonts w:cs="Tahoma"/>
          <w:color w:val="000000" w:themeColor="text1"/>
          <w:sz w:val="18"/>
          <w:szCs w:val="18"/>
        </w:rPr>
        <w:t>żnych zostanie uregulowane, Grupa</w:t>
      </w:r>
      <w:r w:rsidRPr="00977E53">
        <w:rPr>
          <w:rFonts w:cs="Tahoma"/>
          <w:color w:val="000000" w:themeColor="text1"/>
          <w:sz w:val="18"/>
          <w:szCs w:val="18"/>
        </w:rPr>
        <w:t xml:space="preserve"> na każdy dzień sprawozdawczy, a także na dzień rozliczenia wycenia zobowiązanie w wartości godziwej, a ewentualne zmiany wartości ujmuje w zysku lub stracie danego okresu. </w:t>
      </w:r>
    </w:p>
    <w:p w14:paraId="4B7339DA"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t>Inne świadczenia pracownicze</w:t>
      </w:r>
    </w:p>
    <w:p w14:paraId="1E7F2A87"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W mBanku Hipotecznym od września 2012 roku funkcjonuje program motywacyjny, oparty na akcjach fantomowych tego banku, który traktowany jest jako program motywacyjny zgodnie z MSR 19.</w:t>
      </w:r>
    </w:p>
    <w:p w14:paraId="0F8F37B7" w14:textId="77777777" w:rsidR="00BC6B0E" w:rsidRPr="00977E53" w:rsidRDefault="00BC6B0E" w:rsidP="00BC6B0E">
      <w:pPr>
        <w:pStyle w:val="Tekstpodstawowy3"/>
        <w:suppressAutoHyphens/>
        <w:spacing w:after="0"/>
        <w:jc w:val="both"/>
        <w:rPr>
          <w:rFonts w:cs="Tahoma"/>
          <w:color w:val="000000" w:themeColor="text1"/>
          <w:sz w:val="18"/>
          <w:szCs w:val="18"/>
        </w:rPr>
      </w:pPr>
    </w:p>
    <w:p w14:paraId="04592394"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79" w:name="_Toc517966064"/>
      <w:bookmarkStart w:id="80" w:name="_Toc517971179"/>
      <w:bookmarkStart w:id="81" w:name="_Toc520702412"/>
      <w:bookmarkStart w:id="82" w:name="_Toc32999814"/>
      <w:r>
        <w:rPr>
          <w:b/>
          <w:color w:val="E41E0A"/>
          <w:sz w:val="18"/>
          <w:szCs w:val="18"/>
        </w:rPr>
        <w:t>Kapitał</w:t>
      </w:r>
      <w:bookmarkEnd w:id="79"/>
      <w:bookmarkEnd w:id="80"/>
      <w:bookmarkEnd w:id="81"/>
      <w:bookmarkEnd w:id="82"/>
    </w:p>
    <w:p w14:paraId="6AB68BCD"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Kapitały stanowią kapitały i fundusze własne przypadające na akcjonariuszy Banku i kapitały przypadające na udziały niekontrolujące, tworzone zgodnie z określonymi przepisami prawa, tj. właściwymi ustawami, statutem lub umową Spółek Grupy.</w:t>
      </w:r>
    </w:p>
    <w:p w14:paraId="781E29A9" w14:textId="77777777" w:rsidR="00BC6B0E" w:rsidRPr="00977E53" w:rsidRDefault="00BC6B0E" w:rsidP="00BC6B0E">
      <w:pPr>
        <w:pStyle w:val="Tekstpodstawowy3"/>
        <w:suppressAutoHyphens/>
        <w:spacing w:before="120" w:after="0"/>
        <w:jc w:val="both"/>
        <w:rPr>
          <w:rFonts w:cs="Tahoma"/>
          <w:color w:val="000000" w:themeColor="text1"/>
          <w:sz w:val="18"/>
          <w:szCs w:val="18"/>
          <w:u w:val="single"/>
        </w:rPr>
      </w:pPr>
      <w:r w:rsidRPr="00977E53">
        <w:rPr>
          <w:rFonts w:cs="Tahoma"/>
          <w:color w:val="000000" w:themeColor="text1"/>
          <w:sz w:val="18"/>
          <w:szCs w:val="18"/>
          <w:u w:val="single"/>
        </w:rPr>
        <w:lastRenderedPageBreak/>
        <w:t>Zarejestrowany kapitał akcyjny</w:t>
      </w:r>
    </w:p>
    <w:p w14:paraId="383131B4" w14:textId="4C83E32E" w:rsidR="00E23639" w:rsidRPr="00977E53" w:rsidRDefault="00BC6B0E" w:rsidP="00F75283">
      <w:pPr>
        <w:suppressAutoHyphens/>
        <w:spacing w:before="120"/>
        <w:ind w:right="-57"/>
        <w:jc w:val="both"/>
        <w:rPr>
          <w:rFonts w:cs="Tahoma"/>
          <w:color w:val="000000" w:themeColor="text1"/>
          <w:sz w:val="18"/>
          <w:szCs w:val="18"/>
        </w:rPr>
      </w:pPr>
      <w:r w:rsidRPr="00977E53">
        <w:rPr>
          <w:rFonts w:cs="Tahoma"/>
          <w:color w:val="000000" w:themeColor="text1"/>
          <w:sz w:val="18"/>
          <w:szCs w:val="18"/>
        </w:rPr>
        <w:t>Zarejestrowany kapitał akcyjny wykazywany jest według wartości nominalnej, zgodnie ze statutem oraz wpisem do rejestru sądowego.</w:t>
      </w:r>
    </w:p>
    <w:p w14:paraId="524CA33A" w14:textId="77777777" w:rsidR="00BC6B0E" w:rsidRPr="00977E53" w:rsidRDefault="00BC6B0E" w:rsidP="00526DF1">
      <w:pPr>
        <w:numPr>
          <w:ilvl w:val="0"/>
          <w:numId w:val="17"/>
        </w:numPr>
        <w:tabs>
          <w:tab w:val="clear" w:pos="1267"/>
          <w:tab w:val="num" w:pos="426"/>
        </w:tabs>
        <w:suppressAutoHyphens/>
        <w:ind w:left="425" w:right="-57" w:hanging="425"/>
        <w:jc w:val="both"/>
        <w:rPr>
          <w:rFonts w:cs="Tahoma"/>
          <w:bCs/>
          <w:color w:val="000000" w:themeColor="text1"/>
          <w:sz w:val="18"/>
          <w:szCs w:val="18"/>
        </w:rPr>
      </w:pPr>
      <w:r w:rsidRPr="00977E53">
        <w:rPr>
          <w:rFonts w:cs="Tahoma"/>
          <w:bCs/>
          <w:color w:val="000000" w:themeColor="text1"/>
          <w:sz w:val="18"/>
          <w:szCs w:val="18"/>
        </w:rPr>
        <w:t>Akcje własne</w:t>
      </w:r>
    </w:p>
    <w:p w14:paraId="611EC3EE" w14:textId="751B3D40" w:rsidR="00BC6B0E" w:rsidRPr="00977E53" w:rsidRDefault="00BC6B0E" w:rsidP="00F75283">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 xml:space="preserve">W przypadku nabycia akcji Banku przez Bank, zapłacona kwota pomniejsza kapitał własny jako akcje </w:t>
      </w:r>
      <w:r w:rsidR="00AD52D2">
        <w:rPr>
          <w:rFonts w:cs="Tahoma"/>
          <w:color w:val="000000" w:themeColor="text1"/>
          <w:sz w:val="18"/>
          <w:szCs w:val="18"/>
        </w:rPr>
        <w:t>własne do momentu ich umorzenia</w:t>
      </w:r>
      <w:r w:rsidRPr="00977E53">
        <w:rPr>
          <w:rFonts w:cs="Tahoma"/>
          <w:color w:val="000000" w:themeColor="text1"/>
          <w:sz w:val="18"/>
          <w:szCs w:val="18"/>
        </w:rPr>
        <w:t>. W przypadku sprzedaży lub powtórnego przydziału tych akcji, otrzymana zapłata wykazywana jest w kapitale własnym.</w:t>
      </w:r>
    </w:p>
    <w:p w14:paraId="744F75D2" w14:textId="77777777" w:rsidR="00BC6B0E" w:rsidRPr="00977E53" w:rsidRDefault="00BC6B0E" w:rsidP="00BC6B0E">
      <w:pPr>
        <w:suppressAutoHyphens/>
        <w:spacing w:before="120"/>
        <w:ind w:right="-57"/>
        <w:jc w:val="both"/>
        <w:rPr>
          <w:rFonts w:cs="Tahoma"/>
          <w:color w:val="000000" w:themeColor="text1"/>
          <w:sz w:val="18"/>
          <w:szCs w:val="18"/>
          <w:u w:val="single"/>
        </w:rPr>
      </w:pPr>
      <w:r w:rsidRPr="00977E53">
        <w:rPr>
          <w:rFonts w:cs="Tahoma"/>
          <w:color w:val="000000" w:themeColor="text1"/>
          <w:sz w:val="18"/>
          <w:szCs w:val="18"/>
          <w:u w:val="single"/>
        </w:rPr>
        <w:t>Kapitał zapasowy ze sprzedaży akcji powyżej wartości nominalnej</w:t>
      </w:r>
    </w:p>
    <w:p w14:paraId="2767FCDD" w14:textId="77777777" w:rsidR="00BC6B0E" w:rsidRPr="00977E53" w:rsidRDefault="00BC6B0E" w:rsidP="00BC6B0E">
      <w:pPr>
        <w:suppressAutoHyphens/>
        <w:spacing w:before="60"/>
        <w:ind w:right="-57"/>
        <w:jc w:val="both"/>
        <w:rPr>
          <w:rFonts w:cs="Tahoma"/>
          <w:color w:val="000000" w:themeColor="text1"/>
          <w:sz w:val="18"/>
          <w:szCs w:val="18"/>
        </w:rPr>
      </w:pPr>
      <w:r w:rsidRPr="00977E53">
        <w:rPr>
          <w:rFonts w:cs="Tahoma"/>
          <w:color w:val="000000" w:themeColor="text1"/>
          <w:sz w:val="18"/>
          <w:szCs w:val="18"/>
        </w:rPr>
        <w:t xml:space="preserve">Kapitał ten tworzony jest z premii emisyjnej uzyskanej z emisji akcji, pomniejszonej o poniesione bezpośrednie koszty z nią związane. </w:t>
      </w:r>
    </w:p>
    <w:p w14:paraId="5B5C82A0"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Koszty bezpośrednio związane z emisją nowych akcji, emisją opcji, pomniejszają ujęte w kapitale własnym wpływy z emisji.</w:t>
      </w:r>
    </w:p>
    <w:p w14:paraId="070C13E3"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Ponadto kapitał zapasowy uwzględnia rozliczenia z tytułu programów motywacyjnych opartych na akcjach Banku.</w:t>
      </w:r>
    </w:p>
    <w:p w14:paraId="7563A42F" w14:textId="77777777" w:rsidR="00BC6B0E" w:rsidRPr="00977E53" w:rsidRDefault="00BC6B0E" w:rsidP="00BC6B0E">
      <w:pPr>
        <w:suppressAutoHyphens/>
        <w:spacing w:before="120"/>
        <w:ind w:right="-57"/>
        <w:jc w:val="both"/>
        <w:rPr>
          <w:rFonts w:cs="Tahoma"/>
          <w:color w:val="000000" w:themeColor="text1"/>
          <w:sz w:val="18"/>
          <w:szCs w:val="18"/>
          <w:u w:val="single"/>
        </w:rPr>
      </w:pPr>
      <w:r w:rsidRPr="00977E53">
        <w:rPr>
          <w:rFonts w:cs="Tahoma"/>
          <w:color w:val="000000" w:themeColor="text1"/>
          <w:sz w:val="18"/>
          <w:szCs w:val="18"/>
          <w:u w:val="single"/>
        </w:rPr>
        <w:t>Zyski zatrzymane</w:t>
      </w:r>
    </w:p>
    <w:p w14:paraId="0A9E8C2C" w14:textId="77777777" w:rsidR="00BC6B0E" w:rsidRPr="00977E53" w:rsidRDefault="00BC6B0E" w:rsidP="00962BC7">
      <w:pPr>
        <w:suppressAutoHyphens/>
        <w:spacing w:before="120" w:after="120"/>
        <w:ind w:right="-57"/>
        <w:jc w:val="both"/>
        <w:rPr>
          <w:rFonts w:cs="Tahoma"/>
          <w:color w:val="000000" w:themeColor="text1"/>
          <w:sz w:val="18"/>
          <w:szCs w:val="18"/>
        </w:rPr>
      </w:pPr>
      <w:r w:rsidRPr="00977E53">
        <w:rPr>
          <w:rFonts w:cs="Tahoma"/>
          <w:color w:val="000000" w:themeColor="text1"/>
          <w:sz w:val="18"/>
          <w:szCs w:val="18"/>
        </w:rPr>
        <w:t>Zyski zatrzymane obejmują:</w:t>
      </w:r>
    </w:p>
    <w:p w14:paraId="7F743970"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pozostały kapitał zapasowy,</w:t>
      </w:r>
    </w:p>
    <w:p w14:paraId="28CC8C81"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pozostałe kapitały rezerwowe,</w:t>
      </w:r>
    </w:p>
    <w:p w14:paraId="4A36EC6E"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fundusz ogólnego ryzyka,</w:t>
      </w:r>
    </w:p>
    <w:p w14:paraId="38192150"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niepodzielony wynik finansowy z lat ubiegłych,</w:t>
      </w:r>
    </w:p>
    <w:p w14:paraId="371FBC60"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wynik roku bieżącego.</w:t>
      </w:r>
    </w:p>
    <w:p w14:paraId="578A7F32" w14:textId="77777777" w:rsidR="00BC6B0E" w:rsidRPr="00977E53" w:rsidRDefault="00BC6B0E" w:rsidP="00BC6B0E">
      <w:pPr>
        <w:suppressAutoHyphens/>
        <w:spacing w:before="120"/>
        <w:ind w:right="-57"/>
        <w:jc w:val="both"/>
        <w:rPr>
          <w:rFonts w:cs="Tahoma"/>
          <w:color w:val="000000" w:themeColor="text1"/>
          <w:sz w:val="18"/>
          <w:szCs w:val="18"/>
        </w:rPr>
      </w:pPr>
      <w:r w:rsidRPr="00977E53">
        <w:rPr>
          <w:rFonts w:cs="Tahoma"/>
          <w:color w:val="000000" w:themeColor="text1"/>
          <w:sz w:val="18"/>
          <w:szCs w:val="18"/>
        </w:rPr>
        <w:t xml:space="preserve">Pozostały kapitał zapasowy, pozostały kapitał rezerwowy i fundusz ogólnego ryzyka tworzone są z odpisów z zysku i są przeznaczone na cele określone w statucie lub innych przepisach prawa. </w:t>
      </w:r>
    </w:p>
    <w:p w14:paraId="773E9693" w14:textId="66A0C39B" w:rsidR="00BC6B0E" w:rsidRPr="00977E53" w:rsidRDefault="00BC6B0E" w:rsidP="00BC6B0E">
      <w:pPr>
        <w:suppressAutoHyphens/>
        <w:spacing w:before="120"/>
        <w:ind w:right="-57"/>
        <w:jc w:val="both"/>
        <w:rPr>
          <w:rFonts w:cs="Tahoma"/>
          <w:color w:val="000000" w:themeColor="text1"/>
          <w:sz w:val="18"/>
          <w:szCs w:val="18"/>
        </w:rPr>
      </w:pPr>
      <w:r w:rsidRPr="00977E53">
        <w:rPr>
          <w:rFonts w:cs="Tahoma"/>
          <w:color w:val="000000" w:themeColor="text1"/>
          <w:sz w:val="18"/>
          <w:szCs w:val="18"/>
        </w:rPr>
        <w:t>Ponadto w pozostałym kapitale rezerwowym ujmuje się wycenę programów motywacyjnych opartych na</w:t>
      </w:r>
      <w:r w:rsidR="00DE1149">
        <w:rPr>
          <w:rFonts w:cs="Tahoma"/>
          <w:color w:val="000000" w:themeColor="text1"/>
          <w:sz w:val="18"/>
          <w:szCs w:val="18"/>
        </w:rPr>
        <w:t> </w:t>
      </w:r>
      <w:r w:rsidRPr="00977E53">
        <w:rPr>
          <w:rFonts w:cs="Tahoma"/>
          <w:color w:val="000000" w:themeColor="text1"/>
          <w:sz w:val="18"/>
          <w:szCs w:val="18"/>
        </w:rPr>
        <w:t>akcjach Banku.</w:t>
      </w:r>
    </w:p>
    <w:p w14:paraId="37237772" w14:textId="77777777" w:rsidR="00BC6B0E" w:rsidRPr="00977E53" w:rsidRDefault="00BC6B0E" w:rsidP="00BC6B0E">
      <w:pPr>
        <w:pStyle w:val="Tekstpodstawowy3"/>
        <w:suppressAutoHyphens/>
        <w:spacing w:before="120" w:after="0"/>
        <w:jc w:val="both"/>
        <w:rPr>
          <w:rFonts w:cs="Tahoma"/>
          <w:color w:val="000000" w:themeColor="text1"/>
          <w:sz w:val="18"/>
          <w:szCs w:val="18"/>
        </w:rPr>
      </w:pPr>
      <w:r w:rsidRPr="00977E53">
        <w:rPr>
          <w:rFonts w:cs="Tahoma"/>
          <w:color w:val="000000" w:themeColor="text1"/>
          <w:sz w:val="18"/>
          <w:szCs w:val="18"/>
        </w:rPr>
        <w:t>Dywidendy za dany rok, które zostały zatwierdzone przez Walne Zgromadzenie, ale nie zostały wypłacone na koniec okresu sprawozdawczego, ujawnia się w pozycji zobowiązania z tytułu dywidendy w ramach „pozostałych zobowiązań”.</w:t>
      </w:r>
    </w:p>
    <w:p w14:paraId="66AA1592" w14:textId="77777777" w:rsidR="00BC6B0E" w:rsidRPr="00977E53" w:rsidRDefault="00BC6B0E" w:rsidP="00BC6B0E">
      <w:pPr>
        <w:suppressAutoHyphens/>
        <w:spacing w:before="120"/>
        <w:ind w:right="-57"/>
        <w:jc w:val="both"/>
        <w:rPr>
          <w:rFonts w:cs="Tahoma"/>
          <w:color w:val="000000" w:themeColor="text1"/>
          <w:sz w:val="18"/>
          <w:szCs w:val="18"/>
          <w:u w:val="single"/>
        </w:rPr>
      </w:pPr>
      <w:r w:rsidRPr="00977E53">
        <w:rPr>
          <w:rFonts w:cs="Tahoma"/>
          <w:color w:val="000000" w:themeColor="text1"/>
          <w:sz w:val="18"/>
          <w:szCs w:val="18"/>
          <w:u w:val="single"/>
        </w:rPr>
        <w:t>Inne pozycje kapitałów</w:t>
      </w:r>
    </w:p>
    <w:p w14:paraId="260A74FB" w14:textId="77777777" w:rsidR="00BC6B0E" w:rsidRPr="00977E53" w:rsidRDefault="00BC6B0E" w:rsidP="00BC6B0E">
      <w:pPr>
        <w:tabs>
          <w:tab w:val="left" w:pos="1077"/>
          <w:tab w:val="left" w:pos="1418"/>
          <w:tab w:val="left" w:pos="1758"/>
        </w:tabs>
        <w:spacing w:before="60" w:after="120"/>
        <w:jc w:val="both"/>
        <w:rPr>
          <w:rFonts w:cs="Tahoma"/>
          <w:color w:val="000000" w:themeColor="text1"/>
          <w:sz w:val="18"/>
          <w:szCs w:val="18"/>
        </w:rPr>
      </w:pPr>
      <w:r w:rsidRPr="00977E53">
        <w:rPr>
          <w:rFonts w:cs="Tahoma"/>
          <w:color w:val="000000" w:themeColor="text1"/>
          <w:sz w:val="18"/>
          <w:szCs w:val="18"/>
        </w:rPr>
        <w:t>Inne pozycje kapitałów tworzone są w wyniku:</w:t>
      </w:r>
    </w:p>
    <w:p w14:paraId="7A368D15"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wyceny aktywów finansowych wycenianych w wartości godziwej przez pozostałe całkowite dochody,</w:t>
      </w:r>
    </w:p>
    <w:p w14:paraId="19CF5EE9"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color w:val="000000" w:themeColor="text1"/>
          <w:sz w:val="18"/>
          <w:szCs w:val="18"/>
        </w:rPr>
        <w:t>różnic kursowych z przeliczenia jednostek zagranicznych,</w:t>
      </w:r>
    </w:p>
    <w:p w14:paraId="4378C2EC"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zysków i strat aktuarialnych dotyczących świadczeń pracowniczych po okresie zatrudnienia,</w:t>
      </w:r>
    </w:p>
    <w:p w14:paraId="0ADAAD02" w14:textId="77777777" w:rsidR="00BC6B0E" w:rsidRPr="00977E53" w:rsidRDefault="00BC6B0E" w:rsidP="00526DF1">
      <w:pPr>
        <w:numPr>
          <w:ilvl w:val="0"/>
          <w:numId w:val="17"/>
        </w:numPr>
        <w:tabs>
          <w:tab w:val="clear" w:pos="1267"/>
          <w:tab w:val="num" w:pos="426"/>
        </w:tabs>
        <w:suppressAutoHyphens/>
        <w:spacing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wyceny instrumentów pochodnych w ramach rachunkowości zabezpieczeń przepływów pieniężnych w odniesieniu do efektywnej części zabezpieczenia.</w:t>
      </w:r>
    </w:p>
    <w:p w14:paraId="022BCDF8" w14:textId="3F6A95B3" w:rsidR="00F75283" w:rsidRPr="00C12AFA" w:rsidRDefault="00F75283">
      <w:pPr>
        <w:rPr>
          <w:rFonts w:cs="Tahoma"/>
          <w:bCs/>
          <w:sz w:val="18"/>
          <w:szCs w:val="18"/>
        </w:rPr>
      </w:pPr>
    </w:p>
    <w:p w14:paraId="658944F6"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83" w:name="_Toc517966065"/>
      <w:bookmarkStart w:id="84" w:name="_Toc517971180"/>
      <w:bookmarkStart w:id="85" w:name="_Toc520702413"/>
      <w:bookmarkStart w:id="86" w:name="_Toc32999815"/>
      <w:r>
        <w:rPr>
          <w:b/>
          <w:color w:val="E41E0A"/>
          <w:sz w:val="18"/>
          <w:szCs w:val="18"/>
        </w:rPr>
        <w:t>Wycena pozycji wyrażonych w walutach obcych</w:t>
      </w:r>
      <w:bookmarkEnd w:id="83"/>
      <w:bookmarkEnd w:id="84"/>
      <w:bookmarkEnd w:id="85"/>
      <w:bookmarkEnd w:id="86"/>
    </w:p>
    <w:p w14:paraId="5E276F1A"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Waluta funkcjonalna i waluta prezentacji</w:t>
      </w:r>
    </w:p>
    <w:p w14:paraId="29DE3235"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Pozycje zawarte w sprawozdaniach finansowych poszczególnych jednostek Grupy, w tym oddziałów zagranicznych Banku, wycenia się w walucie podstawowego środowiska gospodarczego, w którym dana jednostka prowadzi działalność („waluta funkcjonalna”). Sprawozdanie finansowe prezentowane jest w złotych, które są walutą prezentacji Grupy i walutą funkcjonalną Banku.</w:t>
      </w:r>
    </w:p>
    <w:p w14:paraId="3B54029D"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Transakcje i salda</w:t>
      </w:r>
    </w:p>
    <w:p w14:paraId="20F51568"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Transakcje wyrażone w walutach obcych przelicza się na walutę funkcjonalną według kursu obowiązującego w dniu transakcji. Zyski i straty kursowe z tytułu rozliczenia tych transakcji oraz wyceny bilansowej aktywów i zobowiązań pieniężnych wyrażonych w walutach obcych ujmuje się w rachunku zysków i strat.</w:t>
      </w:r>
    </w:p>
    <w:p w14:paraId="7542FE7C" w14:textId="32348843"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Różnice kursowe z tytułu pozycji pieniężnych, takich jak aktywa finansowe wyceniane w wartości godziwej przez wynik finansowy, wykazuje się w ramach zysków i strat z tytułu zmian wartości godziwej.</w:t>
      </w:r>
      <w:r w:rsidR="00A67561" w:rsidRPr="00977E53">
        <w:rPr>
          <w:color w:val="000000" w:themeColor="text1"/>
        </w:rPr>
        <w:t xml:space="preserve"> </w:t>
      </w:r>
      <w:r w:rsidR="00A67561" w:rsidRPr="00977E53">
        <w:rPr>
          <w:rFonts w:cs="Tahoma"/>
          <w:color w:val="000000" w:themeColor="text1"/>
          <w:sz w:val="18"/>
          <w:szCs w:val="18"/>
        </w:rPr>
        <w:t>Różnice kursowe z tytułu pozycji pieniężnych, takich jak instrumenty kapitałowe zaklasyfikowane do aktywów finansowych wycenianych w wartości godziwej przez pozostałe całkowite dochody, uwzględnia się</w:t>
      </w:r>
      <w:r w:rsidR="00DE1149">
        <w:rPr>
          <w:rFonts w:cs="Tahoma"/>
          <w:color w:val="000000" w:themeColor="text1"/>
          <w:sz w:val="18"/>
          <w:szCs w:val="18"/>
        </w:rPr>
        <w:t> </w:t>
      </w:r>
      <w:r w:rsidR="00A67561" w:rsidRPr="00977E53">
        <w:rPr>
          <w:rFonts w:cs="Tahoma"/>
          <w:color w:val="000000" w:themeColor="text1"/>
          <w:sz w:val="18"/>
          <w:szCs w:val="18"/>
        </w:rPr>
        <w:t>w</w:t>
      </w:r>
      <w:r w:rsidR="00962BC7" w:rsidRPr="00977E53">
        <w:rPr>
          <w:rFonts w:cs="Tahoma"/>
          <w:color w:val="000000" w:themeColor="text1"/>
          <w:sz w:val="18"/>
          <w:szCs w:val="18"/>
        </w:rPr>
        <w:t> </w:t>
      </w:r>
      <w:r w:rsidR="00A67561" w:rsidRPr="00977E53">
        <w:rPr>
          <w:rFonts w:cs="Tahoma"/>
          <w:color w:val="000000" w:themeColor="text1"/>
          <w:sz w:val="18"/>
          <w:szCs w:val="18"/>
        </w:rPr>
        <w:t>pozostałych całkowitych dochodach.</w:t>
      </w:r>
    </w:p>
    <w:p w14:paraId="2629D4BB" w14:textId="1A058A1C"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lastRenderedPageBreak/>
        <w:t>Na koniec każdego okresu sprawozdawczego pozycje niepieniężne wyceniane według kosztu historycznego wyrażonego w walucie obcej przelicza się przy zastosowaniu kursu wymiany z dnia zawarcia transakcji, natomiast pozycje niepieniężne wyceniane w wartości godziwej wyrażonej w walucie obcej przelicza się</w:t>
      </w:r>
      <w:r w:rsidR="00DE1149">
        <w:rPr>
          <w:rFonts w:cs="Tahoma"/>
          <w:color w:val="000000" w:themeColor="text1"/>
          <w:sz w:val="18"/>
          <w:szCs w:val="18"/>
        </w:rPr>
        <w:t> </w:t>
      </w:r>
      <w:r w:rsidRPr="00977E53">
        <w:rPr>
          <w:rFonts w:cs="Tahoma"/>
          <w:color w:val="000000" w:themeColor="text1"/>
          <w:sz w:val="18"/>
          <w:szCs w:val="18"/>
        </w:rPr>
        <w:t>przy zastosowaniu kursów wymiany, które obowiązywały w dniu, na który wartość godziwa została wyceniona.</w:t>
      </w:r>
    </w:p>
    <w:p w14:paraId="2DD2E32D"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W przypadku, gdy zysk lub strata z tytułu pozycji niepieniężnych jest ujęta w pozostałych całkowitych dochodach, każdy element tego zysku lub straty dotyczący różnic kursowych ujmuje się w pozostałych całkowitych dochodach. I odwrotnie, jeżeli zysk lub strata z tytułu pozycji niepieniężnych jest ujęta w wyniku, każdy element tego zysku lub straty dotyczący różnic kursowych ujmuje się w wyniku.</w:t>
      </w:r>
    </w:p>
    <w:p w14:paraId="0E61F5A4"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Zmiana wartości godziwej pieniężnych aktywów finansowych wycenianych w wartości godziwej przez pozostałe całkowite dochody obejmuje różnice kursowe wynikające z wyceny według zamortyzowanego kosztu, które ujmowane są w rachunku zysków i strat. </w:t>
      </w:r>
    </w:p>
    <w:p w14:paraId="5F194235"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Pozycje sprawozdania z sytuacji finansowej oddziałów zagranicznych przeliczane są na walutę prezentacji z waluty funkcjonalnej z zastosowaniem kursu średniego na koniec okresu sprawozdawczego. Pozycje rachunku zysków i strat tych jednostek przelicza się na walutę prezentacji z zastosowaniem kursów średnich z końca poszczególnych miesięcy okresu sprawozdawczego. Powstałe w ten sposób różnice kursowe ujmowane są w pozostałych całkowitych dochodach.</w:t>
      </w:r>
    </w:p>
    <w:p w14:paraId="670DDCD8"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Spółki wchodzące w skład Grupy</w:t>
      </w:r>
    </w:p>
    <w:p w14:paraId="19DE3266"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Wyniki i sytuację finansową wszystkich jednostek Grupy, z których żadna nie prowadzi działalności w warunkach hiperinflacji, których waluty funkcjonalne różnią się od waluty prezentacji, przelicza się na walutę prezentacji w następujący sposób:</w:t>
      </w:r>
    </w:p>
    <w:p w14:paraId="7C40240E" w14:textId="5893E9B4" w:rsidR="00BC6B0E" w:rsidRPr="00977E53" w:rsidRDefault="00BC6B0E" w:rsidP="00526DF1">
      <w:pPr>
        <w:numPr>
          <w:ilvl w:val="0"/>
          <w:numId w:val="17"/>
        </w:numPr>
        <w:tabs>
          <w:tab w:val="clear" w:pos="1267"/>
          <w:tab w:val="num" w:pos="426"/>
        </w:tabs>
        <w:suppressAutoHyphens/>
        <w:spacing w:before="120"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aktywa i zobowiązania w każdym prezentowanym sprawozdaniu z sytuacji finansowej przelicza się</w:t>
      </w:r>
      <w:r w:rsidR="00DE1149">
        <w:rPr>
          <w:rFonts w:cs="Tahoma"/>
          <w:bCs/>
          <w:color w:val="000000" w:themeColor="text1"/>
          <w:sz w:val="18"/>
          <w:szCs w:val="18"/>
        </w:rPr>
        <w:t> </w:t>
      </w:r>
      <w:r w:rsidRPr="00977E53">
        <w:rPr>
          <w:rFonts w:cs="Tahoma"/>
          <w:bCs/>
          <w:color w:val="000000" w:themeColor="text1"/>
          <w:sz w:val="18"/>
          <w:szCs w:val="18"/>
        </w:rPr>
        <w:t>według kursu średniego NBP obowiązującego na koniec tego okresu sprawozdawczego,</w:t>
      </w:r>
    </w:p>
    <w:p w14:paraId="43B42559" w14:textId="324042A3" w:rsidR="00BC6B0E" w:rsidRPr="00977E53" w:rsidRDefault="00BC6B0E" w:rsidP="00526DF1">
      <w:pPr>
        <w:numPr>
          <w:ilvl w:val="0"/>
          <w:numId w:val="17"/>
        </w:numPr>
        <w:tabs>
          <w:tab w:val="clear" w:pos="1267"/>
          <w:tab w:val="num" w:pos="426"/>
        </w:tabs>
        <w:suppressAutoHyphens/>
        <w:spacing w:before="60"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przychody i koszty w każdym rachunku zysków i strat przelicza się według kursu stanowiącego średnią arytmetyczną średnich kursów NBP na ostatni dzień każdego z 12 miesięcy prezentowanych okresów obrachunkowych,</w:t>
      </w:r>
    </w:p>
    <w:p w14:paraId="71098F56" w14:textId="77777777" w:rsidR="00BC6B0E" w:rsidRPr="00977E53" w:rsidRDefault="00BC6B0E" w:rsidP="00526DF1">
      <w:pPr>
        <w:numPr>
          <w:ilvl w:val="0"/>
          <w:numId w:val="17"/>
        </w:numPr>
        <w:tabs>
          <w:tab w:val="clear" w:pos="1267"/>
          <w:tab w:val="num" w:pos="426"/>
        </w:tabs>
        <w:suppressAutoHyphens/>
        <w:spacing w:before="60" w:line="240" w:lineRule="exact"/>
        <w:ind w:left="425" w:right="-57" w:hanging="425"/>
        <w:jc w:val="both"/>
        <w:rPr>
          <w:rFonts w:cs="Tahoma"/>
          <w:bCs/>
          <w:color w:val="000000" w:themeColor="text1"/>
          <w:sz w:val="18"/>
          <w:szCs w:val="18"/>
        </w:rPr>
      </w:pPr>
      <w:r w:rsidRPr="00977E53">
        <w:rPr>
          <w:rFonts w:cs="Tahoma"/>
          <w:bCs/>
          <w:color w:val="000000" w:themeColor="text1"/>
          <w:sz w:val="18"/>
          <w:szCs w:val="18"/>
        </w:rPr>
        <w:t>wszystkie wynikające stąd różnice kursowe ujmuje się jako odrębny składnik pozostałych całkowitych dochodów.</w:t>
      </w:r>
    </w:p>
    <w:p w14:paraId="16CCC570" w14:textId="2060F324"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Przy konsolidacji, różnice kursowe z tytułu przeliczenia inwestycji netto w jednostkach działających za granicą ujmuje się pozostałych całkowitych dochodach. Przy sprzedaży jednostki prowadzącej działalność za granicą, takie różnice kursowe ujmuje się w rachunku zysków i strat jako część zysku lub</w:t>
      </w:r>
      <w:r w:rsidR="00DE1149">
        <w:rPr>
          <w:rFonts w:cs="Tahoma"/>
          <w:color w:val="000000" w:themeColor="text1"/>
          <w:sz w:val="18"/>
          <w:szCs w:val="18"/>
        </w:rPr>
        <w:t> </w:t>
      </w:r>
      <w:r w:rsidRPr="00977E53">
        <w:rPr>
          <w:rFonts w:cs="Tahoma"/>
          <w:color w:val="000000" w:themeColor="text1"/>
          <w:sz w:val="18"/>
          <w:szCs w:val="18"/>
        </w:rPr>
        <w:t>straty ze sprzedaży.</w:t>
      </w:r>
    </w:p>
    <w:p w14:paraId="48BF2271" w14:textId="77777777" w:rsidR="00BC6B0E" w:rsidRPr="00977E53" w:rsidRDefault="00BC6B0E" w:rsidP="00BC6B0E">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Działalność leasingowa</w:t>
      </w:r>
    </w:p>
    <w:p w14:paraId="57AB963C" w14:textId="4CE6613B" w:rsidR="005856CD" w:rsidRPr="00977E53" w:rsidRDefault="005856CD" w:rsidP="005856CD">
      <w:pPr>
        <w:suppressAutoHyphens/>
        <w:spacing w:before="120"/>
        <w:jc w:val="both"/>
        <w:rPr>
          <w:rFonts w:cs="Tahoma"/>
          <w:color w:val="000000" w:themeColor="text1"/>
          <w:sz w:val="18"/>
          <w:szCs w:val="18"/>
        </w:rPr>
      </w:pPr>
      <w:r w:rsidRPr="00977E53">
        <w:rPr>
          <w:rFonts w:cs="Tahoma"/>
          <w:color w:val="000000" w:themeColor="text1"/>
          <w:sz w:val="18"/>
          <w:szCs w:val="18"/>
        </w:rPr>
        <w:t xml:space="preserve">W przypadku Grupy mBanku jako leasingobiorcy do rachunku zysków i strat w pozycji wyniku z tytułu wymiany zalicza się ujemne bądź dodatnie różnice kursowe z tytułu przeliczenia zobowiązania z tytułu leasingu oraz aktywa z tytułu prawa do użytkowania wyrażonych w walucie obcej po przeliczeniu na złote na moment początkowego ujęcia. </w:t>
      </w:r>
    </w:p>
    <w:p w14:paraId="6CAF5A81" w14:textId="77777777" w:rsidR="005856CD" w:rsidRPr="00977E53" w:rsidRDefault="005856CD" w:rsidP="005856CD">
      <w:pPr>
        <w:suppressAutoHyphens/>
        <w:spacing w:before="120"/>
        <w:jc w:val="both"/>
        <w:rPr>
          <w:rFonts w:cs="Tahoma"/>
          <w:color w:val="000000" w:themeColor="text1"/>
          <w:sz w:val="18"/>
          <w:szCs w:val="18"/>
        </w:rPr>
      </w:pPr>
      <w:r w:rsidRPr="00977E53">
        <w:rPr>
          <w:rFonts w:cs="Tahoma"/>
          <w:color w:val="000000" w:themeColor="text1"/>
          <w:sz w:val="18"/>
          <w:szCs w:val="18"/>
        </w:rPr>
        <w:t>W przypadku Grupy mBanku jako leasingodawcy w leasingu finansowym różnice kursowe z wyceny należności w kwocie równej inwestycji leasingowej netto w walucie obcej, na koniec okresu sprawozdawczego odnosi się na rachunek zysków i strat.</w:t>
      </w:r>
    </w:p>
    <w:p w14:paraId="17877128" w14:textId="42940194" w:rsidR="005856CD" w:rsidRPr="00977E53" w:rsidRDefault="005856CD" w:rsidP="005856CD">
      <w:pPr>
        <w:suppressAutoHyphens/>
        <w:spacing w:before="120"/>
        <w:jc w:val="both"/>
        <w:rPr>
          <w:rFonts w:cs="Tahoma"/>
          <w:color w:val="000000" w:themeColor="text1"/>
          <w:sz w:val="18"/>
          <w:szCs w:val="18"/>
          <w:highlight w:val="red"/>
        </w:rPr>
      </w:pPr>
      <w:r w:rsidRPr="00977E53">
        <w:rPr>
          <w:rFonts w:cs="Tahoma"/>
          <w:color w:val="000000" w:themeColor="text1"/>
          <w:sz w:val="18"/>
          <w:szCs w:val="18"/>
        </w:rPr>
        <w:t>W przypadku Grupy mBanku jako leasingodawcy w leasingu operacyjnym różnice kursowe z wyceny oddanego w leasing składnika aktywów podlegającego leasingowi w walucie obcej na moment początkowego ujęcia, na koniec okresu sprawozdawczego odnosi się na rachunek zysków i strat.</w:t>
      </w:r>
    </w:p>
    <w:p w14:paraId="06CA4396" w14:textId="77777777" w:rsidR="005856CD" w:rsidRPr="00C12AFA" w:rsidRDefault="005856CD" w:rsidP="005856CD">
      <w:pPr>
        <w:suppressAutoHyphens/>
        <w:jc w:val="both"/>
        <w:rPr>
          <w:rFonts w:cs="Tahoma"/>
          <w:sz w:val="18"/>
          <w:szCs w:val="18"/>
          <w:highlight w:val="red"/>
        </w:rPr>
      </w:pPr>
    </w:p>
    <w:p w14:paraId="6748E0C8"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87" w:name="_Toc517966066"/>
      <w:bookmarkStart w:id="88" w:name="_Toc517971181"/>
      <w:bookmarkStart w:id="89" w:name="_Toc520702414"/>
      <w:bookmarkStart w:id="90" w:name="_Toc32999816"/>
      <w:r>
        <w:rPr>
          <w:b/>
          <w:color w:val="E41E0A"/>
          <w:sz w:val="18"/>
          <w:szCs w:val="18"/>
        </w:rPr>
        <w:t>Działalność powiernicza</w:t>
      </w:r>
      <w:bookmarkEnd w:id="87"/>
      <w:bookmarkEnd w:id="88"/>
      <w:bookmarkEnd w:id="89"/>
      <w:bookmarkEnd w:id="90"/>
    </w:p>
    <w:p w14:paraId="71E43664" w14:textId="77777777"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mBank S.A. prowadzi działalność powierniczą w zakresie krajowych i zagranicznych papierów wartościowych oraz obsługi funduszy inwestycyjnych i emerytalnych. </w:t>
      </w:r>
    </w:p>
    <w:p w14:paraId="5B077D15" w14:textId="3ADA9A35" w:rsidR="00BC6B0E" w:rsidRPr="00977E53" w:rsidRDefault="00BC6B0E" w:rsidP="00BC6B0E">
      <w:pPr>
        <w:suppressAutoHyphens/>
        <w:spacing w:before="120"/>
        <w:jc w:val="both"/>
        <w:rPr>
          <w:rFonts w:cs="Tahoma"/>
          <w:color w:val="000000" w:themeColor="text1"/>
          <w:sz w:val="18"/>
          <w:szCs w:val="18"/>
        </w:rPr>
      </w:pPr>
      <w:r w:rsidRPr="00977E53">
        <w:rPr>
          <w:rFonts w:cs="Tahoma"/>
          <w:color w:val="000000" w:themeColor="text1"/>
          <w:sz w:val="18"/>
          <w:szCs w:val="18"/>
        </w:rPr>
        <w:t xml:space="preserve">Bank świadczy usługi przechowywania aktywów, powiernictwa, zarządzania przedsiębiorstwami, zarządzania inwestycyjnego oraz usługi doradcze na rzecz osób trzecich. </w:t>
      </w:r>
      <w:r w:rsidR="00C331AF" w:rsidRPr="00977E53">
        <w:rPr>
          <w:rFonts w:cs="Tahoma"/>
          <w:color w:val="000000" w:themeColor="text1"/>
          <w:sz w:val="18"/>
          <w:szCs w:val="18"/>
        </w:rPr>
        <w:t>Przychody z tytułu prowizji i opłat z działalności powierniczej ujmuje się zgodnie z MSSF</w:t>
      </w:r>
      <w:r w:rsidR="00357D49" w:rsidRPr="00977E53">
        <w:rPr>
          <w:rFonts w:cs="Tahoma"/>
          <w:color w:val="000000" w:themeColor="text1"/>
          <w:sz w:val="18"/>
          <w:szCs w:val="18"/>
        </w:rPr>
        <w:t xml:space="preserve"> </w:t>
      </w:r>
      <w:r w:rsidR="00C331AF" w:rsidRPr="00977E53">
        <w:rPr>
          <w:rFonts w:cs="Tahoma"/>
          <w:color w:val="000000" w:themeColor="text1"/>
          <w:sz w:val="18"/>
          <w:szCs w:val="18"/>
        </w:rPr>
        <w:t>15 stosując 5 stopniowy model ujmowania przychodów</w:t>
      </w:r>
      <w:r w:rsidR="009B53E7" w:rsidRPr="00977E53">
        <w:rPr>
          <w:rFonts w:cs="Tahoma"/>
          <w:color w:val="000000" w:themeColor="text1"/>
          <w:sz w:val="18"/>
          <w:szCs w:val="18"/>
        </w:rPr>
        <w:t xml:space="preserve"> opisany w Nocie 2.5</w:t>
      </w:r>
      <w:r w:rsidR="00C331AF" w:rsidRPr="00977E53">
        <w:rPr>
          <w:rFonts w:cs="Tahoma"/>
          <w:color w:val="000000" w:themeColor="text1"/>
          <w:sz w:val="18"/>
          <w:szCs w:val="18"/>
        </w:rPr>
        <w:t xml:space="preserve">. </w:t>
      </w:r>
      <w:r w:rsidRPr="00977E53">
        <w:rPr>
          <w:rFonts w:cs="Tahoma"/>
          <w:color w:val="000000" w:themeColor="text1"/>
          <w:sz w:val="18"/>
          <w:szCs w:val="18"/>
        </w:rPr>
        <w:t>W związku z wykonywaniem tych usług Bank podejmuje decyzje dotyczące alokacji oraz kupna i sprzedaży wielu różnych instrumentów finansowych. Aktywa przechowywane na zasadach powierniczych nie zostały wykazane w niniejszym sprawozdaniu finansowym, ponieważ nie należą do Grupy.</w:t>
      </w:r>
    </w:p>
    <w:p w14:paraId="4956780E" w14:textId="77777777" w:rsidR="00BC6B0E" w:rsidRPr="00977E53" w:rsidRDefault="00BC6B0E" w:rsidP="00BC6B0E">
      <w:pPr>
        <w:suppressAutoHyphens/>
        <w:spacing w:before="120"/>
        <w:ind w:right="-57"/>
        <w:jc w:val="both"/>
        <w:rPr>
          <w:rFonts w:cs="Tahoma"/>
          <w:color w:val="000000" w:themeColor="text1"/>
          <w:sz w:val="18"/>
          <w:szCs w:val="18"/>
        </w:rPr>
      </w:pPr>
      <w:r w:rsidRPr="00977E53">
        <w:rPr>
          <w:rFonts w:cs="Tahoma"/>
          <w:color w:val="000000" w:themeColor="text1"/>
          <w:sz w:val="18"/>
          <w:szCs w:val="18"/>
        </w:rPr>
        <w:t>Pozostałe spółki Grupy Kapitałowej nie prowadzą działalności powierniczej.</w:t>
      </w:r>
    </w:p>
    <w:p w14:paraId="188B345A" w14:textId="77777777" w:rsidR="00BC6B0E" w:rsidRPr="009C7E7B" w:rsidRDefault="00BC6B0E" w:rsidP="00BC6B0E">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line="240" w:lineRule="exact"/>
        <w:ind w:hanging="720"/>
        <w:jc w:val="both"/>
        <w:outlineLvl w:val="2"/>
        <w:rPr>
          <w:b/>
          <w:color w:val="E41E0A"/>
          <w:sz w:val="18"/>
          <w:szCs w:val="18"/>
        </w:rPr>
      </w:pPr>
      <w:bookmarkStart w:id="91" w:name="_Toc517966067"/>
      <w:bookmarkStart w:id="92" w:name="_Toc517971182"/>
      <w:bookmarkStart w:id="93" w:name="_Toc520702415"/>
      <w:bookmarkStart w:id="94" w:name="_Toc32999817"/>
      <w:r>
        <w:rPr>
          <w:b/>
          <w:color w:val="E41E0A"/>
          <w:sz w:val="18"/>
          <w:szCs w:val="18"/>
        </w:rPr>
        <w:lastRenderedPageBreak/>
        <w:t>Nowe standardy, interpretacje i poprawki do opublikowanych standardów</w:t>
      </w:r>
      <w:bookmarkEnd w:id="91"/>
      <w:bookmarkEnd w:id="92"/>
      <w:bookmarkEnd w:id="93"/>
      <w:bookmarkEnd w:id="94"/>
    </w:p>
    <w:p w14:paraId="2F64301F" w14:textId="2D251261" w:rsidR="00BC6B0E" w:rsidRPr="00977E53" w:rsidRDefault="00A1362D" w:rsidP="00BC6B0E">
      <w:pPr>
        <w:autoSpaceDE w:val="0"/>
        <w:autoSpaceDN w:val="0"/>
        <w:adjustRightInd w:val="0"/>
        <w:spacing w:before="120"/>
        <w:ind w:right="74"/>
        <w:jc w:val="both"/>
        <w:rPr>
          <w:rFonts w:cs="Tahoma"/>
          <w:bCs/>
          <w:color w:val="000000" w:themeColor="text1"/>
          <w:sz w:val="18"/>
          <w:szCs w:val="18"/>
        </w:rPr>
      </w:pPr>
      <w:r w:rsidRPr="00977E53">
        <w:rPr>
          <w:rFonts w:cs="Tahoma"/>
          <w:bCs/>
          <w:color w:val="000000" w:themeColor="text1"/>
          <w:sz w:val="18"/>
          <w:szCs w:val="18"/>
        </w:rPr>
        <w:t>Niniejsze sprawozdanie finansowe uwzględnia wymogi wszystkich zatwierdzonych przez Unię Europejską Międzynarodowych Standardów Rachunkowości, Międzynarodowych Standardów Sprawozdawczości Finansowej oraz związanych z nimi interpretacji, które zostały wydane i obowiązują za okresy roczne rozpoczynające się 1 stycznia 2019 roku.</w:t>
      </w:r>
    </w:p>
    <w:p w14:paraId="3D3FE123" w14:textId="77777777" w:rsidR="00A1362D" w:rsidRPr="00977E53" w:rsidRDefault="00A1362D" w:rsidP="00A1362D">
      <w:pPr>
        <w:suppressAutoHyphens/>
        <w:spacing w:before="240" w:after="120"/>
        <w:jc w:val="both"/>
        <w:rPr>
          <w:rFonts w:cs="Tahoma"/>
          <w:b/>
          <w:color w:val="000000" w:themeColor="text1"/>
          <w:sz w:val="18"/>
          <w:szCs w:val="18"/>
        </w:rPr>
      </w:pPr>
      <w:r w:rsidRPr="00977E53">
        <w:rPr>
          <w:rFonts w:cs="Tahoma"/>
          <w:b/>
          <w:color w:val="000000" w:themeColor="text1"/>
          <w:sz w:val="18"/>
          <w:szCs w:val="18"/>
        </w:rPr>
        <w:t>MSSF 16 Leasing</w:t>
      </w:r>
    </w:p>
    <w:p w14:paraId="56ACE0DE" w14:textId="62F6249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Standard został opublikowany przez Radę Międzynarodowych Standardów Rachunkowości 13 stycznia 2016 roku i został przyjęty przez Unię Europejską</w:t>
      </w:r>
      <w:r w:rsidR="00142D60">
        <w:rPr>
          <w:rFonts w:cs="Tahoma"/>
          <w:color w:val="000000" w:themeColor="text1"/>
          <w:sz w:val="18"/>
          <w:szCs w:val="18"/>
        </w:rPr>
        <w:t xml:space="preserve"> 31 października 2017 roku</w:t>
      </w:r>
      <w:r w:rsidRPr="00977E53">
        <w:rPr>
          <w:rFonts w:cs="Tahoma"/>
          <w:color w:val="000000" w:themeColor="text1"/>
          <w:sz w:val="18"/>
          <w:szCs w:val="18"/>
        </w:rPr>
        <w:t>. MSSF 16 obowiązuje dla okresów rocznych rozpoczynających się 1 stycznia 2019 roku lub po tej dacie. Nowy standard zastąpił obowiązujący do końca 2018 roku MSR 17 Leasing oraz interpretacje KIMSF 4, SKI 15 i SKI 27.</w:t>
      </w:r>
    </w:p>
    <w:p w14:paraId="413B86BB"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 xml:space="preserve">Nowy standard wprowadził jeden model ujęcia leasingu w księgach rachunkowych leasingobiorcy. Zgodnie z MSSF 16 umowa jest leasingiem lub zawiera leasing, jeśli przekazuje prawo do kontroli użytkowania zidentyfikowanego składnika aktywów na dany okres w zamian za wynagrodzenie. </w:t>
      </w:r>
    </w:p>
    <w:p w14:paraId="23AC84DC"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Przeniesienie prawa do użytkowania ma miejsce wówczas, gdy mamy do czynienia ze zidentyfikowanym składnikiem aktywów, w odniesieniu do którego leasingobiorca ma prawo do praktycznie wszystkich korzyści ekonomicznych i kontroluje wykorzystanie danego składnika aktywów w danym okresie.</w:t>
      </w:r>
    </w:p>
    <w:p w14:paraId="2C71A5FE"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W przypadku, gdy definicja leasingu jest spełniona, ujmuje się prawo do użytkowania składnika aktywów wraz z odpowiednim zobowiązaniem z tytułu leasingu ustalonym w wysokości zdyskontowanych przyszłych płatności w okresie trwania leasingu, za wyjątkiem krótkoterminowych umów leasingowych do 12 miesięcy oraz umów leasingowych dotyczących nieistotnych kwotowo składników aktywów.</w:t>
      </w:r>
    </w:p>
    <w:p w14:paraId="1EF9D259"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Wydatki związane z wykorzystywaniem aktywów będących przedmiotem leasingu, uprzednio ujęte w większości w ogólnych kosztach administracyjnych, są obecnie klasyfikowane jako koszty amortyzacji oraz koszty odsetek.</w:t>
      </w:r>
    </w:p>
    <w:p w14:paraId="71076856"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Aktywa z tytułu prawa do użytkowania są amortyzowane liniowo, natomiast zobowiązania z tytułu umów leasingowych rozliczane są z uwzględnieniem efektywnej stopy procentowej.</w:t>
      </w:r>
    </w:p>
    <w:p w14:paraId="443A9A70" w14:textId="77777777" w:rsidR="00A1362D" w:rsidRPr="00977E53" w:rsidRDefault="00A1362D" w:rsidP="00A1362D">
      <w:pPr>
        <w:suppressAutoHyphens/>
        <w:spacing w:before="240" w:after="120"/>
        <w:jc w:val="both"/>
        <w:rPr>
          <w:rFonts w:cs="Tahoma"/>
          <w:b/>
          <w:color w:val="000000" w:themeColor="text1"/>
          <w:sz w:val="18"/>
          <w:szCs w:val="18"/>
        </w:rPr>
      </w:pPr>
      <w:r w:rsidRPr="00977E53">
        <w:rPr>
          <w:rFonts w:cs="Tahoma"/>
          <w:b/>
          <w:color w:val="000000" w:themeColor="text1"/>
          <w:sz w:val="18"/>
          <w:szCs w:val="18"/>
        </w:rPr>
        <w:t xml:space="preserve">Wpływ MSSF 16 na sprawozdania finansowe </w:t>
      </w:r>
    </w:p>
    <w:p w14:paraId="17438372"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 xml:space="preserve">Grupa w I kwartale 2019 roku zakończyła projekt wdrożenia MSSF 16 (projekt), który został zaplanowany w trzech etapach: </w:t>
      </w:r>
    </w:p>
    <w:p w14:paraId="14166E34" w14:textId="7371E6FA" w:rsidR="00A1362D" w:rsidRPr="00EA295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EA2951">
        <w:rPr>
          <w:rFonts w:cs="Tahoma"/>
          <w:bCs/>
          <w:color w:val="000000" w:themeColor="text1"/>
          <w:sz w:val="18"/>
          <w:szCs w:val="18"/>
        </w:rPr>
        <w:t>etap I - analiza wszystkich realizowanych umów zakupu usług, bez względu na kwalifikację, której celem było wyselekcjonowanie tych umów, na podstawie których Grupa użytkuje składniki aktywów należące do dostawców,</w:t>
      </w:r>
    </w:p>
    <w:p w14:paraId="3B8E86CD" w14:textId="788FA4F5" w:rsidR="00A1362D" w:rsidRPr="00EA295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EA2951">
        <w:rPr>
          <w:rFonts w:cs="Tahoma"/>
          <w:bCs/>
          <w:color w:val="000000" w:themeColor="text1"/>
          <w:sz w:val="18"/>
          <w:szCs w:val="18"/>
        </w:rPr>
        <w:t>etap II – poddanie każdej zidentyfikowanej w etapie I umowy ocenie pod kątem spełnienia kryteriów uznania za leasing zgodnie z MSSF 16,</w:t>
      </w:r>
    </w:p>
    <w:p w14:paraId="65D62C01" w14:textId="1230542F" w:rsidR="00A1362D" w:rsidRPr="00EA295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EA2951">
        <w:rPr>
          <w:rFonts w:cs="Tahoma"/>
          <w:bCs/>
          <w:color w:val="000000" w:themeColor="text1"/>
          <w:sz w:val="18"/>
          <w:szCs w:val="18"/>
        </w:rPr>
        <w:t xml:space="preserve">etap III - wdrożenie MSSF 16 na bazie wypracowanej koncepcji. </w:t>
      </w:r>
    </w:p>
    <w:p w14:paraId="646311C8"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Przedmiotem przeprowadzanych analiz były wszystkie umowy leasingu finansowego, leasingu operacyjnego, najmu, dzierżawy, a także prawa wieczystego użytkowania gruntów. Ponadto zostały przeanalizowane transakcje nabytych usług (koszty usług obcych w ramach działalności operacyjnej) pod kątem występowania korzystania ze zidentyfikowanego składnika aktywów.</w:t>
      </w:r>
    </w:p>
    <w:p w14:paraId="47AE0351" w14:textId="421FD9BC"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W ramach projektu Grupa dokonała stosownych zmian w polityce rachunkowości i procedurach operacyjnych. Zostały opracowane i wdrożone metodyki prawidłowej identyfikacji umów, które są</w:t>
      </w:r>
      <w:r w:rsidR="00DE1149">
        <w:rPr>
          <w:rFonts w:cs="Tahoma"/>
          <w:color w:val="000000" w:themeColor="text1"/>
          <w:sz w:val="18"/>
          <w:szCs w:val="18"/>
        </w:rPr>
        <w:t> </w:t>
      </w:r>
      <w:r w:rsidRPr="00977E53">
        <w:rPr>
          <w:rFonts w:cs="Tahoma"/>
          <w:color w:val="000000" w:themeColor="text1"/>
          <w:sz w:val="18"/>
          <w:szCs w:val="18"/>
        </w:rPr>
        <w:t>leasingiem</w:t>
      </w:r>
      <w:r w:rsidR="00777C1D">
        <w:rPr>
          <w:rFonts w:cs="Tahoma"/>
          <w:color w:val="000000" w:themeColor="text1"/>
          <w:sz w:val="18"/>
          <w:szCs w:val="18"/>
        </w:rPr>
        <w:t>,</w:t>
      </w:r>
      <w:r w:rsidRPr="00977E53">
        <w:rPr>
          <w:rFonts w:cs="Tahoma"/>
          <w:color w:val="000000" w:themeColor="text1"/>
          <w:sz w:val="18"/>
          <w:szCs w:val="18"/>
        </w:rPr>
        <w:t xml:space="preserve"> oraz zbierania danych niezbędnych do prawidłowego ujęcia księgowego tych transakcji. Dodatkowo Grupa wdrożyła odpowiednie zmiany w systemach informatycznych spółek z Grupy, tak aby były dostosowane do zbierania i przetwarzania odpowiednich danych.</w:t>
      </w:r>
    </w:p>
    <w:p w14:paraId="79C21636"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Grupa podjęła decyzję o wdrożeniu standardu z dniem 1 stycznia 2019 roku. Zgodnie z przepisami przejściowymi zawartymi w MSSF 16 nowe zasady zostały przyjęte retrospektywnie z odniesieniem skumulowanego efektu początkowego zastosowania nowego standardu do kapitałów własnych na dzień 1 stycznia 2019 roku. W związku z tym dane porównawcze za rok obrotowy 2018 nie zostały przekształcone (zmodyfikowane podejście retrospektywne).</w:t>
      </w:r>
    </w:p>
    <w:p w14:paraId="25DB0304" w14:textId="7FDB0616" w:rsidR="00112B27"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Poniżej opisano poszczególne korekty bilansu otwarcia na dzień 1 stycznia 2019 roku wynikające z wdrożenia MSSF 16.</w:t>
      </w:r>
    </w:p>
    <w:p w14:paraId="1085703B" w14:textId="77777777" w:rsidR="00112B27" w:rsidRDefault="00112B27">
      <w:pPr>
        <w:rPr>
          <w:rFonts w:cs="Tahoma"/>
          <w:color w:val="000000" w:themeColor="text1"/>
          <w:sz w:val="18"/>
          <w:szCs w:val="18"/>
        </w:rPr>
      </w:pPr>
      <w:r>
        <w:rPr>
          <w:rFonts w:cs="Tahoma"/>
          <w:color w:val="000000" w:themeColor="text1"/>
          <w:sz w:val="18"/>
          <w:szCs w:val="18"/>
        </w:rPr>
        <w:br w:type="page"/>
      </w:r>
    </w:p>
    <w:p w14:paraId="5E0F6B6C" w14:textId="77777777" w:rsidR="00A1362D" w:rsidRPr="00977E53" w:rsidRDefault="00A1362D" w:rsidP="00A1362D">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lastRenderedPageBreak/>
        <w:t>Opis korekt</w:t>
      </w:r>
    </w:p>
    <w:p w14:paraId="1098E634" w14:textId="77777777" w:rsidR="00A1362D" w:rsidRPr="00977E53" w:rsidRDefault="00A1362D" w:rsidP="00FF36E7">
      <w:pPr>
        <w:suppressAutoHyphens/>
        <w:spacing w:before="120" w:after="120"/>
        <w:jc w:val="both"/>
        <w:rPr>
          <w:rFonts w:cs="Tahoma"/>
          <w:color w:val="000000" w:themeColor="text1"/>
          <w:sz w:val="18"/>
          <w:szCs w:val="18"/>
        </w:rPr>
      </w:pPr>
      <w:r w:rsidRPr="00977E53">
        <w:rPr>
          <w:rFonts w:cs="Tahoma"/>
          <w:color w:val="000000" w:themeColor="text1"/>
          <w:sz w:val="18"/>
          <w:szCs w:val="18"/>
        </w:rPr>
        <w:t>(a) Ujęcie zobowiązań z tytułu leasingu</w:t>
      </w:r>
    </w:p>
    <w:p w14:paraId="54C415CE"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Po przyjęciu MSSF 16 Grupa ujmuje zobowiązania z tytułu leasingu w związku z leasingiem, który wcześniej został sklasyfikowany jako leasing operacyjny zgodnie z zasadami MSR 17 Leasing. Zobowiązania wynikają przede wszystkich z umów najmu nieruchomości oraz prawa wieczystego użytkowania gruntów. Zobowiązania te zostały wycenione w wartości bieżącej opłat leasingowych pozostających do zapłaty w dacie rozpoczęcia stosowania MSSF 16, zdyskontowanych z zastosowaniem stopy procentowej leasingu na dzień 1 stycznia 2019 roku, obliczonej na bazie krańcowej stopy procentowej Banku.</w:t>
      </w:r>
    </w:p>
    <w:p w14:paraId="01857388" w14:textId="77777777" w:rsidR="00A1362D" w:rsidRPr="00977E53" w:rsidRDefault="00A1362D" w:rsidP="00523C41">
      <w:pPr>
        <w:suppressAutoHyphens/>
        <w:spacing w:before="120" w:after="60"/>
        <w:jc w:val="both"/>
        <w:rPr>
          <w:rFonts w:cs="Tahoma"/>
          <w:color w:val="000000" w:themeColor="text1"/>
          <w:sz w:val="18"/>
          <w:szCs w:val="18"/>
        </w:rPr>
      </w:pPr>
      <w:r w:rsidRPr="00977E53">
        <w:rPr>
          <w:rFonts w:cs="Tahoma"/>
          <w:color w:val="000000" w:themeColor="text1"/>
          <w:sz w:val="18"/>
          <w:szCs w:val="18"/>
        </w:rPr>
        <w:t>Na datę początkowego ujęcia opłaty leasingowe zawarte w wycenie zobowiązania z tytułu leasingu obejmują następujące rodzaje opłat za prawo do użytkowania bazowego składnika aktywów przez okres trwania leasingu:</w:t>
      </w:r>
    </w:p>
    <w:p w14:paraId="77ADC6E6" w14:textId="65C36B0B"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stałe opłaty leasingowe pomniejszone o wszelkie należne zachęty leasingowe,</w:t>
      </w:r>
    </w:p>
    <w:p w14:paraId="60B462FC" w14:textId="5811C40C"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zmienne opłaty leasingowe uzależnione od indeksów rynkowych,</w:t>
      </w:r>
    </w:p>
    <w:p w14:paraId="0346457A" w14:textId="2703D6F7"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kwoty, których zapłaty oczekuje się w ramach gwarantowanej wartości końcowej przedmiotu leasingu,</w:t>
      </w:r>
    </w:p>
    <w:p w14:paraId="39E40A53" w14:textId="41DF962F"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cenę wykonania opcji kupna, jeżeli można z wystarczającą pewnością założyć, że zostanie ona zrealizowana,</w:t>
      </w:r>
    </w:p>
    <w:p w14:paraId="7C6CE40C" w14:textId="77826612"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kary pieniężne za wypowiedzenie leasingu, jeżeli leasingobiorca może skorzystać z opcji wypowiedzenia umowy.</w:t>
      </w:r>
    </w:p>
    <w:p w14:paraId="7875A5A7" w14:textId="1F4B44F8" w:rsidR="008A59C6"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 xml:space="preserve">W celu obliczenia stóp dyskonta na potrzeby MSSF 16 Grupa przyjęła, że stopa dyskonta powinna odzwierciedlać koszt finansowania, jakie byłoby zaciągnięte na zakup przedmiotu podlegającego leasingowi. </w:t>
      </w:r>
    </w:p>
    <w:p w14:paraId="5460FD44" w14:textId="77777777" w:rsidR="00A1362D" w:rsidRPr="00977E53" w:rsidRDefault="00A1362D" w:rsidP="00523C41">
      <w:pPr>
        <w:suppressAutoHyphens/>
        <w:spacing w:before="120" w:after="60"/>
        <w:jc w:val="both"/>
        <w:rPr>
          <w:rFonts w:cs="Tahoma"/>
          <w:color w:val="000000" w:themeColor="text1"/>
          <w:sz w:val="18"/>
          <w:szCs w:val="18"/>
        </w:rPr>
      </w:pPr>
      <w:r w:rsidRPr="00977E53">
        <w:rPr>
          <w:rFonts w:cs="Tahoma"/>
          <w:color w:val="000000" w:themeColor="text1"/>
          <w:sz w:val="18"/>
          <w:szCs w:val="18"/>
        </w:rPr>
        <w:t>Na dzień 1 stycznia 2019 roku obliczone przez Grupę stopy dyskonta wyniosły:</w:t>
      </w:r>
    </w:p>
    <w:p w14:paraId="27E0EE73" w14:textId="537ED63C"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dla umów w PLN: 1,95%</w:t>
      </w:r>
    </w:p>
    <w:p w14:paraId="7B2875F5" w14:textId="47DBA658"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dla umów w EUR: 0,02%</w:t>
      </w:r>
    </w:p>
    <w:p w14:paraId="5A424372" w14:textId="1EA22624"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dla umów w USD: 2,93%</w:t>
      </w:r>
    </w:p>
    <w:p w14:paraId="3B22479A" w14:textId="5BA165E4"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dla umów w CZK: 2,19%</w:t>
      </w:r>
    </w:p>
    <w:p w14:paraId="2D21BAF5" w14:textId="77777777" w:rsidR="00A1362D" w:rsidRPr="00977E53" w:rsidRDefault="00A1362D" w:rsidP="00FF36E7">
      <w:pPr>
        <w:suppressAutoHyphens/>
        <w:spacing w:before="120" w:after="120"/>
        <w:jc w:val="both"/>
        <w:rPr>
          <w:rFonts w:cs="Tahoma"/>
          <w:color w:val="000000" w:themeColor="text1"/>
          <w:sz w:val="18"/>
          <w:szCs w:val="18"/>
        </w:rPr>
      </w:pPr>
      <w:r w:rsidRPr="00977E53">
        <w:rPr>
          <w:rFonts w:cs="Tahoma"/>
          <w:color w:val="000000" w:themeColor="text1"/>
          <w:sz w:val="18"/>
          <w:szCs w:val="18"/>
        </w:rPr>
        <w:t>(b) Ujęcie aktywów z tytułu prawa do użytkowania</w:t>
      </w:r>
    </w:p>
    <w:p w14:paraId="020E24F2"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Aktywa z tytułu prawa do użytkowania wycenia się według kosztu i prezentuje w sprawozdaniu z sytuacji finansowej łącznie z aktywami stanowiącymi własność Grupy wraz z rozbiciem dodatkowych informacji w notach objaśniających.</w:t>
      </w:r>
    </w:p>
    <w:p w14:paraId="73AC0684" w14:textId="77777777" w:rsidR="00A1362D" w:rsidRPr="00977E53" w:rsidRDefault="00A1362D" w:rsidP="00523C41">
      <w:pPr>
        <w:suppressAutoHyphens/>
        <w:spacing w:before="120" w:after="60"/>
        <w:jc w:val="both"/>
        <w:rPr>
          <w:rFonts w:cs="Tahoma"/>
          <w:color w:val="000000" w:themeColor="text1"/>
          <w:sz w:val="18"/>
          <w:szCs w:val="18"/>
        </w:rPr>
      </w:pPr>
      <w:r w:rsidRPr="00977E53">
        <w:rPr>
          <w:rFonts w:cs="Tahoma"/>
          <w:color w:val="000000" w:themeColor="text1"/>
          <w:sz w:val="18"/>
          <w:szCs w:val="18"/>
        </w:rPr>
        <w:t>Koszt składnika aktywów z tytułu prawa do użytkowania obejmuje:</w:t>
      </w:r>
    </w:p>
    <w:p w14:paraId="2982F569" w14:textId="64A31F35"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kwotę początkowej wyceny zobowiązania z tytułu leasingu,</w:t>
      </w:r>
    </w:p>
    <w:p w14:paraId="200D8680" w14:textId="45E40177"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wszelkie opłaty leasingowe zapłacone w dacie rozpoczęcia lub przed tą datą, pomniejszone o wszelkie otrzymane zachęty leasingowe,</w:t>
      </w:r>
    </w:p>
    <w:p w14:paraId="41EDAFAC" w14:textId="302DEFE0"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początkowe koszty bezpośrednie poniesione przez leasingobiorcę w związku z zawarciem umowy leasingu,</w:t>
      </w:r>
    </w:p>
    <w:p w14:paraId="567924C9" w14:textId="441927F5"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szacunek kosztów, które mają zostać poniesione przez leasingobiorcę w związku z obowiązkiem demontażu i usunięcia bazowego składnika aktywów lub przeprowadzenia renowacji.</w:t>
      </w:r>
    </w:p>
    <w:p w14:paraId="008521EB" w14:textId="77777777" w:rsidR="00A1362D" w:rsidRPr="00977E53" w:rsidRDefault="00A1362D" w:rsidP="00FF36E7">
      <w:pPr>
        <w:suppressAutoHyphens/>
        <w:spacing w:before="120" w:after="120"/>
        <w:jc w:val="both"/>
        <w:rPr>
          <w:rFonts w:cs="Tahoma"/>
          <w:color w:val="000000" w:themeColor="text1"/>
          <w:sz w:val="18"/>
          <w:szCs w:val="18"/>
        </w:rPr>
      </w:pPr>
      <w:r w:rsidRPr="00977E53">
        <w:rPr>
          <w:rFonts w:cs="Tahoma"/>
          <w:color w:val="000000" w:themeColor="text1"/>
          <w:sz w:val="18"/>
          <w:szCs w:val="18"/>
        </w:rPr>
        <w:t xml:space="preserve">(c) Zastosowanie szacunków </w:t>
      </w:r>
    </w:p>
    <w:p w14:paraId="0E72E142" w14:textId="77777777" w:rsidR="00A1362D" w:rsidRPr="00977E53" w:rsidRDefault="00A1362D" w:rsidP="00523C41">
      <w:pPr>
        <w:suppressAutoHyphens/>
        <w:spacing w:before="120" w:after="60"/>
        <w:jc w:val="both"/>
        <w:rPr>
          <w:rFonts w:cs="Tahoma"/>
          <w:color w:val="000000" w:themeColor="text1"/>
          <w:sz w:val="18"/>
          <w:szCs w:val="18"/>
        </w:rPr>
      </w:pPr>
      <w:r w:rsidRPr="00977E53">
        <w:rPr>
          <w:rFonts w:cs="Tahoma"/>
          <w:color w:val="000000" w:themeColor="text1"/>
          <w:sz w:val="18"/>
          <w:szCs w:val="18"/>
        </w:rPr>
        <w:t>Wdrożenie MSSF 16 wymagało dokonania pewnych szacunków i wyliczeń, które mają wpływ na wycenę zobowiązań z tytułu leasingu finansowego oraz aktywów z tytułu prawa do użytkowania. Obejmują one między innymi:</w:t>
      </w:r>
    </w:p>
    <w:p w14:paraId="68384CE2" w14:textId="5CA9405A"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ustalenie okresu obowiązywania umów (dla umów z nieokreślonym terminem lub z możliwością przedłużenia Grupa przyjęła zakładany z wystarczającą pewnością okres najmu, z uwagi na istotne czynniki ekonomiczne zniechęcające Grupę do wypowiedzenia umowy),</w:t>
      </w:r>
    </w:p>
    <w:p w14:paraId="52EA7060" w14:textId="31656F63" w:rsidR="00A1362D" w:rsidRPr="00523C41" w:rsidRDefault="00A1362D" w:rsidP="00523C41">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23C41">
        <w:rPr>
          <w:rFonts w:cs="Tahoma"/>
          <w:bCs/>
          <w:color w:val="000000" w:themeColor="text1"/>
          <w:sz w:val="18"/>
          <w:szCs w:val="18"/>
        </w:rPr>
        <w:t>ustalenie stopy procentowej stosowanej do dyskontowania przyszłych przepływów pieniężnych,</w:t>
      </w:r>
    </w:p>
    <w:p w14:paraId="0A3CFE17" w14:textId="4DAA45BF" w:rsidR="00FF36E7" w:rsidRPr="00523C41" w:rsidRDefault="00A1362D" w:rsidP="00ED255F">
      <w:pPr>
        <w:numPr>
          <w:ilvl w:val="0"/>
          <w:numId w:val="17"/>
        </w:numPr>
        <w:tabs>
          <w:tab w:val="clear" w:pos="1267"/>
          <w:tab w:val="num" w:pos="426"/>
        </w:tabs>
        <w:suppressAutoHyphens/>
        <w:spacing w:before="60" w:after="60"/>
        <w:ind w:left="425" w:right="-57" w:hanging="425"/>
        <w:jc w:val="both"/>
        <w:rPr>
          <w:rFonts w:cs="Tahoma"/>
          <w:color w:val="000000" w:themeColor="text1"/>
          <w:sz w:val="18"/>
          <w:szCs w:val="18"/>
        </w:rPr>
      </w:pPr>
      <w:r w:rsidRPr="00523C41">
        <w:rPr>
          <w:rFonts w:cs="Tahoma"/>
          <w:bCs/>
          <w:color w:val="000000" w:themeColor="text1"/>
          <w:sz w:val="18"/>
          <w:szCs w:val="18"/>
        </w:rPr>
        <w:t>ustalenie stawki amortyzacji.</w:t>
      </w:r>
      <w:r w:rsidR="00FF36E7" w:rsidRPr="00523C41">
        <w:rPr>
          <w:rFonts w:cs="Tahoma"/>
          <w:color w:val="000000" w:themeColor="text1"/>
          <w:sz w:val="18"/>
          <w:szCs w:val="18"/>
        </w:rPr>
        <w:br w:type="page"/>
      </w:r>
    </w:p>
    <w:p w14:paraId="3EFBCB8A" w14:textId="77777777" w:rsidR="00A1362D" w:rsidRPr="00977E53" w:rsidRDefault="00A1362D" w:rsidP="00A1362D">
      <w:pPr>
        <w:suppressAutoHyphens/>
        <w:spacing w:before="240" w:after="120"/>
        <w:jc w:val="both"/>
        <w:rPr>
          <w:rFonts w:cs="Tahoma"/>
          <w:color w:val="000000" w:themeColor="text1"/>
          <w:sz w:val="18"/>
          <w:szCs w:val="18"/>
        </w:rPr>
      </w:pPr>
      <w:r w:rsidRPr="00977E53">
        <w:rPr>
          <w:rFonts w:cs="Tahoma"/>
          <w:color w:val="000000" w:themeColor="text1"/>
          <w:sz w:val="18"/>
          <w:szCs w:val="18"/>
        </w:rPr>
        <w:lastRenderedPageBreak/>
        <w:t xml:space="preserve">(d) Zastosowanie praktycznych uproszczeń </w:t>
      </w:r>
    </w:p>
    <w:p w14:paraId="5CBC4133" w14:textId="77777777" w:rsidR="00A1362D" w:rsidRPr="00977E53" w:rsidRDefault="00A1362D" w:rsidP="00172D5D">
      <w:pPr>
        <w:suppressAutoHyphens/>
        <w:spacing w:before="120" w:after="60"/>
        <w:jc w:val="both"/>
        <w:rPr>
          <w:rFonts w:cs="Tahoma"/>
          <w:color w:val="000000" w:themeColor="text1"/>
          <w:sz w:val="18"/>
          <w:szCs w:val="18"/>
        </w:rPr>
      </w:pPr>
      <w:r w:rsidRPr="00977E53">
        <w:rPr>
          <w:rFonts w:cs="Tahoma"/>
          <w:color w:val="000000" w:themeColor="text1"/>
          <w:sz w:val="18"/>
          <w:szCs w:val="18"/>
        </w:rPr>
        <w:t>Stosując po raz pierwszy MSSF 16, Grupa zastosowała następujące praktyczne uproszczenia dopuszczone przez standard:</w:t>
      </w:r>
    </w:p>
    <w:p w14:paraId="3D1E3A16" w14:textId="1FDB9965" w:rsidR="00A1362D" w:rsidRPr="00172D5D" w:rsidRDefault="00A1362D" w:rsidP="00172D5D">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72D5D">
        <w:rPr>
          <w:rFonts w:cs="Tahoma"/>
          <w:bCs/>
          <w:color w:val="000000" w:themeColor="text1"/>
          <w:sz w:val="18"/>
          <w:szCs w:val="18"/>
        </w:rPr>
        <w:t>zastosowanie jednej stopy dyskontowej do portfela umów leasingowych o podobnych cechach,</w:t>
      </w:r>
    </w:p>
    <w:p w14:paraId="4BA741CC" w14:textId="79ADA708" w:rsidR="00A1362D" w:rsidRPr="00172D5D" w:rsidRDefault="00A1362D" w:rsidP="00172D5D">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72D5D">
        <w:rPr>
          <w:rFonts w:cs="Tahoma"/>
          <w:bCs/>
          <w:color w:val="000000" w:themeColor="text1"/>
          <w:sz w:val="18"/>
          <w:szCs w:val="18"/>
        </w:rPr>
        <w:t>umowy z tytułu leasingu operacyjnego z pozostałym okresem leasingu krótszym niż 12 miesięcy na</w:t>
      </w:r>
      <w:r w:rsidR="00DE1149" w:rsidRPr="00172D5D">
        <w:rPr>
          <w:rFonts w:cs="Tahoma"/>
          <w:bCs/>
          <w:color w:val="000000" w:themeColor="text1"/>
          <w:sz w:val="18"/>
          <w:szCs w:val="18"/>
        </w:rPr>
        <w:t> </w:t>
      </w:r>
      <w:r w:rsidRPr="00172D5D">
        <w:rPr>
          <w:rFonts w:cs="Tahoma"/>
          <w:bCs/>
          <w:color w:val="000000" w:themeColor="text1"/>
          <w:sz w:val="18"/>
          <w:szCs w:val="18"/>
        </w:rPr>
        <w:t>dzień 1 stycznia 2019 roku potraktowane zostały jako leasing krótkoterminowy,</w:t>
      </w:r>
    </w:p>
    <w:p w14:paraId="6A9406D9" w14:textId="00C79399" w:rsidR="00A1362D" w:rsidRPr="00172D5D" w:rsidRDefault="00A1362D" w:rsidP="00172D5D">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72D5D">
        <w:rPr>
          <w:rFonts w:cs="Tahoma"/>
          <w:bCs/>
          <w:color w:val="000000" w:themeColor="text1"/>
          <w:sz w:val="18"/>
          <w:szCs w:val="18"/>
        </w:rPr>
        <w:t>dla umów z tytułu leasingu operacyjnego, w odniesieniu do których bazowy składnik aktywów ma niską wartość (poniżej 20 000 zł) Grupa nie ujęła zobowiązań finansowych i odnośnych aktywów z</w:t>
      </w:r>
      <w:r w:rsidR="00DE1149" w:rsidRPr="00172D5D">
        <w:rPr>
          <w:rFonts w:cs="Tahoma"/>
          <w:bCs/>
          <w:color w:val="000000" w:themeColor="text1"/>
          <w:sz w:val="18"/>
          <w:szCs w:val="18"/>
        </w:rPr>
        <w:t> </w:t>
      </w:r>
      <w:r w:rsidRPr="00172D5D">
        <w:rPr>
          <w:rFonts w:cs="Tahoma"/>
          <w:bCs/>
          <w:color w:val="000000" w:themeColor="text1"/>
          <w:sz w:val="18"/>
          <w:szCs w:val="18"/>
        </w:rPr>
        <w:t>tytułu prawa do użytkowania. Opłaty leasingowe z tego tytułu są ujmowane jako koszty w trakcie okresu leasingu,</w:t>
      </w:r>
    </w:p>
    <w:p w14:paraId="4BD7A792" w14:textId="6875B94F" w:rsidR="00A1362D" w:rsidRPr="00172D5D" w:rsidRDefault="00A1362D" w:rsidP="00172D5D">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72D5D">
        <w:rPr>
          <w:rFonts w:cs="Tahoma"/>
          <w:bCs/>
          <w:color w:val="000000" w:themeColor="text1"/>
          <w:sz w:val="18"/>
          <w:szCs w:val="18"/>
        </w:rPr>
        <w:t>wykluczenie początkowych kosztów bezpośrednich w zakresie pomiaru aktywów związanych z prawem do użytkowania w dniu początkowego zastosowania, oraz</w:t>
      </w:r>
    </w:p>
    <w:p w14:paraId="2B4465BB" w14:textId="10A96EDB" w:rsidR="00A1362D" w:rsidRPr="00172D5D" w:rsidRDefault="00A1362D" w:rsidP="00172D5D">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72D5D">
        <w:rPr>
          <w:rFonts w:cs="Tahoma"/>
          <w:bCs/>
          <w:color w:val="000000" w:themeColor="text1"/>
          <w:sz w:val="18"/>
          <w:szCs w:val="18"/>
        </w:rPr>
        <w:t>wykorzystanie perspektywy czasu (wykorzystanie wiedzy zdobytej po fakcie) w określaniu okresu leasingu, jeżeli umowa zawiera opcje przedłużenia lub rozwiązania umowy najmu.</w:t>
      </w:r>
    </w:p>
    <w:p w14:paraId="79FF7AAA" w14:textId="7E63F1C4" w:rsidR="00A1362D" w:rsidRPr="00977E53" w:rsidRDefault="00A1362D" w:rsidP="00172D5D">
      <w:pPr>
        <w:suppressAutoHyphens/>
        <w:spacing w:before="120" w:after="120"/>
        <w:jc w:val="both"/>
        <w:rPr>
          <w:rFonts w:cs="Tahoma"/>
          <w:color w:val="000000" w:themeColor="text1"/>
          <w:sz w:val="18"/>
          <w:szCs w:val="18"/>
          <w:u w:val="single"/>
        </w:rPr>
      </w:pPr>
      <w:r w:rsidRPr="00977E53">
        <w:rPr>
          <w:rFonts w:cs="Tahoma"/>
          <w:color w:val="000000" w:themeColor="text1"/>
          <w:sz w:val="18"/>
          <w:szCs w:val="18"/>
          <w:u w:val="single"/>
        </w:rPr>
        <w:t>Wpływ na skonsolidowane sprawozdanie z sytuacji finansowej Grupy</w:t>
      </w:r>
    </w:p>
    <w:p w14:paraId="5911D3C0" w14:textId="77777777" w:rsidR="00A1362D" w:rsidRPr="00977E53" w:rsidRDefault="00A1362D" w:rsidP="00172D5D">
      <w:pPr>
        <w:suppressAutoHyphens/>
        <w:spacing w:before="120" w:after="120"/>
        <w:jc w:val="both"/>
        <w:rPr>
          <w:rFonts w:cs="Tahoma"/>
          <w:color w:val="000000" w:themeColor="text1"/>
          <w:sz w:val="18"/>
          <w:szCs w:val="18"/>
        </w:rPr>
      </w:pPr>
      <w:r w:rsidRPr="00977E53">
        <w:rPr>
          <w:rFonts w:cs="Tahoma"/>
          <w:color w:val="000000" w:themeColor="text1"/>
          <w:sz w:val="18"/>
          <w:szCs w:val="18"/>
        </w:rPr>
        <w:t>Wpływ wdrożenia MSSF 16 na ujęcie dodatkowych zobowiązań finansowych i odnośnych aktywów z tytułu prawa do użytkowania przedstawia poniższa tabela:</w:t>
      </w:r>
    </w:p>
    <w:tbl>
      <w:tblPr>
        <w:tblW w:w="9639" w:type="dxa"/>
        <w:tblLayout w:type="fixed"/>
        <w:tblCellMar>
          <w:left w:w="28" w:type="dxa"/>
          <w:right w:w="28" w:type="dxa"/>
        </w:tblCellMar>
        <w:tblLook w:val="04A0" w:firstRow="1" w:lastRow="0" w:firstColumn="1" w:lastColumn="0" w:noHBand="0" w:noVBand="1"/>
      </w:tblPr>
      <w:tblGrid>
        <w:gridCol w:w="4330"/>
        <w:gridCol w:w="1766"/>
        <w:gridCol w:w="1701"/>
        <w:gridCol w:w="1842"/>
      </w:tblGrid>
      <w:tr w:rsidR="001D3FB6" w:rsidRPr="001D3FB6" w14:paraId="2599C5FA" w14:textId="77777777" w:rsidTr="009C3E6F">
        <w:trPr>
          <w:trHeight w:val="737"/>
        </w:trPr>
        <w:tc>
          <w:tcPr>
            <w:tcW w:w="4330" w:type="dxa"/>
            <w:tcBorders>
              <w:top w:val="nil"/>
              <w:left w:val="nil"/>
              <w:bottom w:val="nil"/>
              <w:right w:val="single" w:sz="8" w:space="0" w:color="FFFFFF"/>
            </w:tcBorders>
            <w:shd w:val="clear" w:color="000000" w:fill="0077BD"/>
            <w:vAlign w:val="center"/>
            <w:hideMark/>
          </w:tcPr>
          <w:p w14:paraId="05583923" w14:textId="77777777" w:rsidR="001D3FB6" w:rsidRPr="001D3FB6" w:rsidRDefault="001D3FB6" w:rsidP="001D3FB6">
            <w:pPr>
              <w:rPr>
                <w:rFonts w:cs="Calibri"/>
                <w:b/>
                <w:bCs/>
                <w:color w:val="FFFFFF"/>
                <w:sz w:val="13"/>
                <w:szCs w:val="13"/>
              </w:rPr>
            </w:pPr>
            <w:r w:rsidRPr="001D3FB6">
              <w:rPr>
                <w:rFonts w:cs="Calibri"/>
                <w:b/>
                <w:bCs/>
                <w:color w:val="FFFFFF"/>
                <w:sz w:val="13"/>
                <w:szCs w:val="13"/>
              </w:rPr>
              <w:t> </w:t>
            </w:r>
          </w:p>
        </w:tc>
        <w:tc>
          <w:tcPr>
            <w:tcW w:w="1766" w:type="dxa"/>
            <w:tcBorders>
              <w:top w:val="nil"/>
              <w:left w:val="nil"/>
              <w:bottom w:val="nil"/>
              <w:right w:val="nil"/>
            </w:tcBorders>
            <w:shd w:val="clear" w:color="000000" w:fill="0077BD"/>
            <w:vAlign w:val="center"/>
            <w:hideMark/>
          </w:tcPr>
          <w:p w14:paraId="24949AC1" w14:textId="0F10EB84" w:rsidR="001D3FB6" w:rsidRPr="001D3FB6" w:rsidRDefault="001D3FB6" w:rsidP="00962BC7">
            <w:pPr>
              <w:jc w:val="center"/>
              <w:rPr>
                <w:rFonts w:cs="Calibri"/>
                <w:b/>
                <w:bCs/>
                <w:color w:val="FFFFFF"/>
                <w:sz w:val="13"/>
                <w:szCs w:val="13"/>
              </w:rPr>
            </w:pPr>
            <w:r w:rsidRPr="001D3FB6">
              <w:rPr>
                <w:rFonts w:cs="Calibri"/>
                <w:b/>
                <w:bCs/>
                <w:color w:val="FFFFFF"/>
                <w:sz w:val="13"/>
                <w:szCs w:val="13"/>
              </w:rPr>
              <w:t>31 grudnia 2018 r.</w:t>
            </w:r>
            <w:r w:rsidR="00962BC7">
              <w:rPr>
                <w:rFonts w:cs="Calibri"/>
                <w:b/>
                <w:bCs/>
                <w:color w:val="FFFFFF"/>
                <w:sz w:val="13"/>
                <w:szCs w:val="13"/>
              </w:rPr>
              <w:br/>
            </w:r>
            <w:r w:rsidRPr="001D3FB6">
              <w:rPr>
                <w:rFonts w:cs="Calibri"/>
                <w:b/>
                <w:bCs/>
                <w:color w:val="FFFFFF"/>
                <w:sz w:val="13"/>
                <w:szCs w:val="13"/>
              </w:rPr>
              <w:t>bez efektu wdrożenia MSSF 16</w:t>
            </w:r>
          </w:p>
        </w:tc>
        <w:tc>
          <w:tcPr>
            <w:tcW w:w="1701" w:type="dxa"/>
            <w:tcBorders>
              <w:top w:val="nil"/>
              <w:left w:val="single" w:sz="8" w:space="0" w:color="FFFFFF"/>
              <w:bottom w:val="nil"/>
              <w:right w:val="nil"/>
            </w:tcBorders>
            <w:shd w:val="clear" w:color="000000" w:fill="0077BD"/>
            <w:vAlign w:val="center"/>
            <w:hideMark/>
          </w:tcPr>
          <w:p w14:paraId="7401A9F0" w14:textId="7F65E23A" w:rsidR="001D3FB6" w:rsidRPr="001D3FB6" w:rsidRDefault="001D3FB6" w:rsidP="001D3FB6">
            <w:pPr>
              <w:jc w:val="center"/>
              <w:rPr>
                <w:rFonts w:cs="Calibri"/>
                <w:b/>
                <w:bCs/>
                <w:color w:val="FFFFFF"/>
                <w:sz w:val="13"/>
                <w:szCs w:val="13"/>
              </w:rPr>
            </w:pPr>
            <w:r w:rsidRPr="001D3FB6">
              <w:rPr>
                <w:rFonts w:cs="Calibri"/>
                <w:b/>
                <w:bCs/>
                <w:color w:val="FFFFFF"/>
                <w:sz w:val="13"/>
                <w:szCs w:val="13"/>
              </w:rPr>
              <w:t xml:space="preserve">Efekt wdrożenia </w:t>
            </w:r>
            <w:r w:rsidR="005D0A9C">
              <w:rPr>
                <w:rFonts w:cs="Calibri"/>
                <w:b/>
                <w:bCs/>
                <w:color w:val="FFFFFF"/>
                <w:sz w:val="13"/>
                <w:szCs w:val="13"/>
              </w:rPr>
              <w:br/>
            </w:r>
            <w:r w:rsidRPr="001D3FB6">
              <w:rPr>
                <w:rFonts w:cs="Calibri"/>
                <w:b/>
                <w:bCs/>
                <w:color w:val="FFFFFF"/>
                <w:sz w:val="13"/>
                <w:szCs w:val="13"/>
              </w:rPr>
              <w:t>MSSF 16</w:t>
            </w:r>
          </w:p>
        </w:tc>
        <w:tc>
          <w:tcPr>
            <w:tcW w:w="1842" w:type="dxa"/>
            <w:tcBorders>
              <w:top w:val="nil"/>
              <w:left w:val="single" w:sz="8" w:space="0" w:color="FFFFFF"/>
              <w:bottom w:val="nil"/>
              <w:right w:val="nil"/>
            </w:tcBorders>
            <w:shd w:val="clear" w:color="000000" w:fill="0077BD"/>
            <w:vAlign w:val="center"/>
            <w:hideMark/>
          </w:tcPr>
          <w:p w14:paraId="7EE1557E" w14:textId="70DF0984" w:rsidR="001D3FB6" w:rsidRPr="001D3FB6" w:rsidRDefault="001D3FB6" w:rsidP="00962BC7">
            <w:pPr>
              <w:jc w:val="center"/>
              <w:rPr>
                <w:rFonts w:cs="Calibri"/>
                <w:b/>
                <w:bCs/>
                <w:color w:val="FFFFFF"/>
                <w:sz w:val="13"/>
                <w:szCs w:val="13"/>
              </w:rPr>
            </w:pPr>
            <w:r w:rsidRPr="001D3FB6">
              <w:rPr>
                <w:rFonts w:cs="Calibri"/>
                <w:b/>
                <w:bCs/>
                <w:color w:val="FFFFFF"/>
                <w:sz w:val="13"/>
                <w:szCs w:val="13"/>
              </w:rPr>
              <w:t xml:space="preserve">1 stycznia 2019 r. </w:t>
            </w:r>
            <w:r w:rsidRPr="001D3FB6">
              <w:rPr>
                <w:rFonts w:cs="Calibri"/>
                <w:b/>
                <w:bCs/>
                <w:color w:val="FFFFFF"/>
                <w:sz w:val="13"/>
                <w:szCs w:val="13"/>
              </w:rPr>
              <w:br/>
              <w:t>z uwzględnieniem efektu wdrożenia</w:t>
            </w:r>
            <w:r w:rsidR="00962BC7">
              <w:rPr>
                <w:rFonts w:cs="Calibri"/>
                <w:b/>
                <w:bCs/>
                <w:color w:val="FFFFFF"/>
                <w:sz w:val="13"/>
                <w:szCs w:val="13"/>
              </w:rPr>
              <w:br/>
            </w:r>
            <w:r w:rsidRPr="001D3FB6">
              <w:rPr>
                <w:rFonts w:cs="Calibri"/>
                <w:b/>
                <w:bCs/>
                <w:color w:val="FFFFFF"/>
                <w:sz w:val="13"/>
                <w:szCs w:val="13"/>
              </w:rPr>
              <w:t>MSSF 16</w:t>
            </w:r>
          </w:p>
        </w:tc>
      </w:tr>
      <w:tr w:rsidR="00977E53" w:rsidRPr="00977E53" w14:paraId="6E6F39F2" w14:textId="77777777" w:rsidTr="009C3E6F">
        <w:trPr>
          <w:trHeight w:val="284"/>
        </w:trPr>
        <w:tc>
          <w:tcPr>
            <w:tcW w:w="4330" w:type="dxa"/>
            <w:tcBorders>
              <w:top w:val="nil"/>
              <w:left w:val="nil"/>
              <w:bottom w:val="single" w:sz="8" w:space="0" w:color="0070C0"/>
              <w:right w:val="nil"/>
            </w:tcBorders>
            <w:shd w:val="clear" w:color="auto" w:fill="auto"/>
            <w:noWrap/>
            <w:vAlign w:val="center"/>
            <w:hideMark/>
          </w:tcPr>
          <w:p w14:paraId="174CBD66" w14:textId="77777777" w:rsidR="001D3FB6" w:rsidRPr="00977E53" w:rsidRDefault="001D3FB6" w:rsidP="001D3FB6">
            <w:pPr>
              <w:rPr>
                <w:rFonts w:cs="Calibri"/>
                <w:b/>
                <w:bCs/>
                <w:color w:val="000000" w:themeColor="text1"/>
                <w:sz w:val="13"/>
                <w:szCs w:val="13"/>
              </w:rPr>
            </w:pPr>
            <w:r w:rsidRPr="00977E53">
              <w:rPr>
                <w:rFonts w:cs="Calibri"/>
                <w:b/>
                <w:bCs/>
                <w:color w:val="000000" w:themeColor="text1"/>
                <w:sz w:val="13"/>
                <w:szCs w:val="13"/>
              </w:rPr>
              <w:t>AKTYWA</w:t>
            </w:r>
          </w:p>
        </w:tc>
        <w:tc>
          <w:tcPr>
            <w:tcW w:w="1766" w:type="dxa"/>
            <w:tcBorders>
              <w:top w:val="nil"/>
              <w:left w:val="nil"/>
              <w:bottom w:val="single" w:sz="8" w:space="0" w:color="0070C0"/>
              <w:right w:val="nil"/>
            </w:tcBorders>
            <w:shd w:val="clear" w:color="auto" w:fill="auto"/>
            <w:noWrap/>
            <w:vAlign w:val="bottom"/>
            <w:hideMark/>
          </w:tcPr>
          <w:p w14:paraId="760AA0A8"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 </w:t>
            </w:r>
          </w:p>
        </w:tc>
        <w:tc>
          <w:tcPr>
            <w:tcW w:w="1701" w:type="dxa"/>
            <w:tcBorders>
              <w:top w:val="nil"/>
              <w:left w:val="nil"/>
              <w:bottom w:val="single" w:sz="8" w:space="0" w:color="0070C0"/>
              <w:right w:val="nil"/>
            </w:tcBorders>
            <w:shd w:val="clear" w:color="auto" w:fill="auto"/>
            <w:noWrap/>
            <w:vAlign w:val="bottom"/>
            <w:hideMark/>
          </w:tcPr>
          <w:p w14:paraId="10C24C7D"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 </w:t>
            </w:r>
          </w:p>
        </w:tc>
        <w:tc>
          <w:tcPr>
            <w:tcW w:w="1842" w:type="dxa"/>
            <w:tcBorders>
              <w:top w:val="nil"/>
              <w:left w:val="nil"/>
              <w:bottom w:val="single" w:sz="8" w:space="0" w:color="0070C0"/>
              <w:right w:val="nil"/>
            </w:tcBorders>
            <w:shd w:val="clear" w:color="auto" w:fill="auto"/>
            <w:noWrap/>
            <w:vAlign w:val="bottom"/>
            <w:hideMark/>
          </w:tcPr>
          <w:p w14:paraId="08FD09D7"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 </w:t>
            </w:r>
          </w:p>
        </w:tc>
      </w:tr>
      <w:tr w:rsidR="00977E53" w:rsidRPr="00977E53" w14:paraId="797A5687" w14:textId="77777777" w:rsidTr="009C3E6F">
        <w:trPr>
          <w:trHeight w:val="284"/>
        </w:trPr>
        <w:tc>
          <w:tcPr>
            <w:tcW w:w="4330" w:type="dxa"/>
            <w:tcBorders>
              <w:top w:val="nil"/>
              <w:left w:val="nil"/>
              <w:bottom w:val="single" w:sz="4" w:space="0" w:color="0070C0"/>
              <w:right w:val="single" w:sz="4" w:space="0" w:color="0070C0"/>
            </w:tcBorders>
            <w:shd w:val="clear" w:color="auto" w:fill="auto"/>
            <w:noWrap/>
            <w:vAlign w:val="center"/>
            <w:hideMark/>
          </w:tcPr>
          <w:p w14:paraId="3C0EE5A3"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Rzeczowe aktywa trwałe</w:t>
            </w:r>
          </w:p>
        </w:tc>
        <w:tc>
          <w:tcPr>
            <w:tcW w:w="1766" w:type="dxa"/>
            <w:tcBorders>
              <w:top w:val="nil"/>
              <w:left w:val="nil"/>
              <w:bottom w:val="single" w:sz="4" w:space="0" w:color="0070C0"/>
              <w:right w:val="single" w:sz="4" w:space="0" w:color="0070C0"/>
            </w:tcBorders>
            <w:shd w:val="clear" w:color="auto" w:fill="auto"/>
            <w:noWrap/>
            <w:vAlign w:val="bottom"/>
            <w:hideMark/>
          </w:tcPr>
          <w:p w14:paraId="228C6746"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785 026</w:t>
            </w:r>
          </w:p>
        </w:tc>
        <w:tc>
          <w:tcPr>
            <w:tcW w:w="1701" w:type="dxa"/>
            <w:tcBorders>
              <w:top w:val="nil"/>
              <w:left w:val="nil"/>
              <w:bottom w:val="single" w:sz="4" w:space="0" w:color="0070C0"/>
              <w:right w:val="single" w:sz="4" w:space="0" w:color="0070C0"/>
            </w:tcBorders>
            <w:shd w:val="clear" w:color="auto" w:fill="auto"/>
            <w:noWrap/>
            <w:vAlign w:val="bottom"/>
            <w:hideMark/>
          </w:tcPr>
          <w:p w14:paraId="7F629FB9"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562 375</w:t>
            </w:r>
          </w:p>
        </w:tc>
        <w:tc>
          <w:tcPr>
            <w:tcW w:w="1842" w:type="dxa"/>
            <w:tcBorders>
              <w:top w:val="nil"/>
              <w:left w:val="nil"/>
              <w:bottom w:val="single" w:sz="4" w:space="0" w:color="0070C0"/>
              <w:right w:val="nil"/>
            </w:tcBorders>
            <w:shd w:val="clear" w:color="auto" w:fill="auto"/>
            <w:noWrap/>
            <w:vAlign w:val="bottom"/>
            <w:hideMark/>
          </w:tcPr>
          <w:p w14:paraId="05967E5D"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1 347 401</w:t>
            </w:r>
          </w:p>
        </w:tc>
      </w:tr>
      <w:tr w:rsidR="00977E53" w:rsidRPr="00977E53" w14:paraId="13A9456D" w14:textId="77777777" w:rsidTr="009C3E6F">
        <w:trPr>
          <w:trHeight w:val="284"/>
        </w:trPr>
        <w:tc>
          <w:tcPr>
            <w:tcW w:w="4330" w:type="dxa"/>
            <w:tcBorders>
              <w:top w:val="nil"/>
              <w:left w:val="nil"/>
              <w:bottom w:val="nil"/>
              <w:right w:val="single" w:sz="4" w:space="0" w:color="0070C0"/>
            </w:tcBorders>
            <w:shd w:val="clear" w:color="auto" w:fill="auto"/>
            <w:noWrap/>
            <w:vAlign w:val="center"/>
            <w:hideMark/>
          </w:tcPr>
          <w:p w14:paraId="65566157"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w tym: Prawo do użytkowania aktywów</w:t>
            </w:r>
          </w:p>
        </w:tc>
        <w:tc>
          <w:tcPr>
            <w:tcW w:w="1766" w:type="dxa"/>
            <w:tcBorders>
              <w:top w:val="nil"/>
              <w:left w:val="nil"/>
              <w:bottom w:val="nil"/>
              <w:right w:val="single" w:sz="4" w:space="0" w:color="0070C0"/>
            </w:tcBorders>
            <w:shd w:val="clear" w:color="auto" w:fill="auto"/>
            <w:noWrap/>
            <w:vAlign w:val="bottom"/>
            <w:hideMark/>
          </w:tcPr>
          <w:p w14:paraId="3DE140D0"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w:t>
            </w:r>
          </w:p>
        </w:tc>
        <w:tc>
          <w:tcPr>
            <w:tcW w:w="1701" w:type="dxa"/>
            <w:tcBorders>
              <w:top w:val="nil"/>
              <w:left w:val="nil"/>
              <w:bottom w:val="nil"/>
              <w:right w:val="single" w:sz="4" w:space="0" w:color="0070C0"/>
            </w:tcBorders>
            <w:shd w:val="clear" w:color="auto" w:fill="auto"/>
            <w:noWrap/>
            <w:vAlign w:val="bottom"/>
            <w:hideMark/>
          </w:tcPr>
          <w:p w14:paraId="05804F39"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562 375</w:t>
            </w:r>
          </w:p>
        </w:tc>
        <w:tc>
          <w:tcPr>
            <w:tcW w:w="1842" w:type="dxa"/>
            <w:tcBorders>
              <w:top w:val="nil"/>
              <w:left w:val="nil"/>
              <w:bottom w:val="nil"/>
              <w:right w:val="nil"/>
            </w:tcBorders>
            <w:shd w:val="clear" w:color="auto" w:fill="auto"/>
            <w:noWrap/>
            <w:vAlign w:val="bottom"/>
            <w:hideMark/>
          </w:tcPr>
          <w:p w14:paraId="266BE126"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562 375</w:t>
            </w:r>
          </w:p>
        </w:tc>
      </w:tr>
      <w:tr w:rsidR="00977E53" w:rsidRPr="00977E53" w14:paraId="26A79E21" w14:textId="77777777" w:rsidTr="009C3E6F">
        <w:trPr>
          <w:trHeight w:val="284"/>
        </w:trPr>
        <w:tc>
          <w:tcPr>
            <w:tcW w:w="9639" w:type="dxa"/>
            <w:gridSpan w:val="4"/>
            <w:tcBorders>
              <w:top w:val="single" w:sz="8" w:space="0" w:color="0070C0"/>
              <w:left w:val="nil"/>
              <w:bottom w:val="single" w:sz="8" w:space="0" w:color="0070C0"/>
              <w:right w:val="nil"/>
            </w:tcBorders>
            <w:shd w:val="clear" w:color="auto" w:fill="auto"/>
            <w:noWrap/>
            <w:vAlign w:val="center"/>
            <w:hideMark/>
          </w:tcPr>
          <w:p w14:paraId="5FD9192C" w14:textId="77777777" w:rsidR="001D3FB6" w:rsidRPr="00977E53" w:rsidRDefault="001D3FB6" w:rsidP="001D3FB6">
            <w:pPr>
              <w:rPr>
                <w:rFonts w:cs="Calibri"/>
                <w:b/>
                <w:bCs/>
                <w:color w:val="000000" w:themeColor="text1"/>
                <w:sz w:val="13"/>
                <w:szCs w:val="13"/>
              </w:rPr>
            </w:pPr>
            <w:r w:rsidRPr="00977E53">
              <w:rPr>
                <w:rFonts w:cs="Calibri"/>
                <w:b/>
                <w:bCs/>
                <w:color w:val="000000" w:themeColor="text1"/>
                <w:sz w:val="13"/>
                <w:szCs w:val="13"/>
              </w:rPr>
              <w:t>ZOBOWIĄZANIA I KAPITAŁ WŁASNY</w:t>
            </w:r>
          </w:p>
        </w:tc>
      </w:tr>
      <w:tr w:rsidR="00977E53" w:rsidRPr="00977E53" w14:paraId="581C0265" w14:textId="77777777" w:rsidTr="009C3E6F">
        <w:trPr>
          <w:trHeight w:val="284"/>
        </w:trPr>
        <w:tc>
          <w:tcPr>
            <w:tcW w:w="4330" w:type="dxa"/>
            <w:tcBorders>
              <w:top w:val="nil"/>
              <w:left w:val="nil"/>
              <w:bottom w:val="nil"/>
              <w:right w:val="single" w:sz="4" w:space="0" w:color="0070C0"/>
            </w:tcBorders>
            <w:shd w:val="clear" w:color="auto" w:fill="auto"/>
            <w:noWrap/>
            <w:vAlign w:val="center"/>
            <w:hideMark/>
          </w:tcPr>
          <w:p w14:paraId="076A161C"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Zobowiązania finansowe wyceniane w zamortyzowanym koszcie</w:t>
            </w:r>
          </w:p>
        </w:tc>
        <w:tc>
          <w:tcPr>
            <w:tcW w:w="1766" w:type="dxa"/>
            <w:tcBorders>
              <w:top w:val="nil"/>
              <w:left w:val="nil"/>
              <w:bottom w:val="single" w:sz="4" w:space="0" w:color="0070C0"/>
              <w:right w:val="single" w:sz="4" w:space="0" w:color="0070C0"/>
            </w:tcBorders>
            <w:shd w:val="clear" w:color="auto" w:fill="auto"/>
            <w:noWrap/>
            <w:vAlign w:val="bottom"/>
            <w:hideMark/>
          </w:tcPr>
          <w:p w14:paraId="0BDED38B" w14:textId="66D6E408" w:rsidR="001D3FB6" w:rsidRPr="00977E53" w:rsidRDefault="00EE0A05" w:rsidP="00EE0A05">
            <w:pPr>
              <w:jc w:val="right"/>
              <w:rPr>
                <w:rFonts w:cs="Calibri"/>
                <w:color w:val="000000" w:themeColor="text1"/>
                <w:sz w:val="13"/>
                <w:szCs w:val="13"/>
              </w:rPr>
            </w:pPr>
            <w:r>
              <w:rPr>
                <w:rFonts w:cs="Calibri"/>
                <w:color w:val="000000" w:themeColor="text1"/>
                <w:sz w:val="13"/>
                <w:szCs w:val="13"/>
              </w:rPr>
              <w:t>125 641</w:t>
            </w:r>
            <w:r w:rsidR="001D3FB6" w:rsidRPr="00977E53">
              <w:rPr>
                <w:rFonts w:cs="Calibri"/>
                <w:color w:val="000000" w:themeColor="text1"/>
                <w:sz w:val="13"/>
                <w:szCs w:val="13"/>
              </w:rPr>
              <w:t xml:space="preserve"> </w:t>
            </w:r>
            <w:r>
              <w:rPr>
                <w:rFonts w:cs="Calibri"/>
                <w:color w:val="000000" w:themeColor="text1"/>
                <w:sz w:val="13"/>
                <w:szCs w:val="13"/>
              </w:rPr>
              <w:t>634</w:t>
            </w:r>
          </w:p>
        </w:tc>
        <w:tc>
          <w:tcPr>
            <w:tcW w:w="1701" w:type="dxa"/>
            <w:tcBorders>
              <w:top w:val="nil"/>
              <w:left w:val="nil"/>
              <w:bottom w:val="single" w:sz="4" w:space="0" w:color="0070C0"/>
              <w:right w:val="single" w:sz="4" w:space="0" w:color="0070C0"/>
            </w:tcBorders>
            <w:shd w:val="clear" w:color="auto" w:fill="auto"/>
            <w:noWrap/>
            <w:vAlign w:val="bottom"/>
            <w:hideMark/>
          </w:tcPr>
          <w:p w14:paraId="7E6624C7"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563 360</w:t>
            </w:r>
          </w:p>
        </w:tc>
        <w:tc>
          <w:tcPr>
            <w:tcW w:w="1842" w:type="dxa"/>
            <w:tcBorders>
              <w:top w:val="nil"/>
              <w:left w:val="nil"/>
              <w:bottom w:val="single" w:sz="4" w:space="0" w:color="0070C0"/>
              <w:right w:val="nil"/>
            </w:tcBorders>
            <w:shd w:val="clear" w:color="auto" w:fill="auto"/>
            <w:noWrap/>
            <w:vAlign w:val="bottom"/>
            <w:hideMark/>
          </w:tcPr>
          <w:p w14:paraId="2F9DE9B8" w14:textId="51DD8AAA" w:rsidR="001D3FB6" w:rsidRPr="00977E53" w:rsidRDefault="00EE0A05" w:rsidP="00EE0A05">
            <w:pPr>
              <w:jc w:val="right"/>
              <w:rPr>
                <w:rFonts w:cs="Calibri"/>
                <w:color w:val="000000" w:themeColor="text1"/>
                <w:sz w:val="13"/>
                <w:szCs w:val="13"/>
              </w:rPr>
            </w:pPr>
            <w:r>
              <w:rPr>
                <w:rFonts w:cs="Calibri"/>
                <w:color w:val="000000" w:themeColor="text1"/>
                <w:sz w:val="13"/>
                <w:szCs w:val="13"/>
              </w:rPr>
              <w:t>126 20</w:t>
            </w:r>
            <w:r w:rsidR="001D3FB6" w:rsidRPr="00977E53">
              <w:rPr>
                <w:rFonts w:cs="Calibri"/>
                <w:color w:val="000000" w:themeColor="text1"/>
                <w:sz w:val="13"/>
                <w:szCs w:val="13"/>
              </w:rPr>
              <w:t xml:space="preserve">4 </w:t>
            </w:r>
            <w:r>
              <w:rPr>
                <w:rFonts w:cs="Calibri"/>
                <w:color w:val="000000" w:themeColor="text1"/>
                <w:sz w:val="13"/>
                <w:szCs w:val="13"/>
              </w:rPr>
              <w:t>994</w:t>
            </w:r>
          </w:p>
        </w:tc>
      </w:tr>
      <w:tr w:rsidR="00977E53" w:rsidRPr="00977E53" w14:paraId="4EC9871A" w14:textId="77777777" w:rsidTr="009C3E6F">
        <w:trPr>
          <w:trHeight w:val="284"/>
        </w:trPr>
        <w:tc>
          <w:tcPr>
            <w:tcW w:w="4330" w:type="dxa"/>
            <w:tcBorders>
              <w:top w:val="single" w:sz="4" w:space="0" w:color="0070C0"/>
              <w:left w:val="nil"/>
              <w:bottom w:val="single" w:sz="8" w:space="0" w:color="0070C0"/>
              <w:right w:val="single" w:sz="4" w:space="0" w:color="0070C0"/>
            </w:tcBorders>
            <w:shd w:val="clear" w:color="auto" w:fill="auto"/>
            <w:noWrap/>
            <w:vAlign w:val="center"/>
            <w:hideMark/>
          </w:tcPr>
          <w:p w14:paraId="4594D2A1" w14:textId="77777777" w:rsidR="001D3FB6" w:rsidRPr="00977E53" w:rsidRDefault="001D3FB6" w:rsidP="001D3FB6">
            <w:pPr>
              <w:rPr>
                <w:rFonts w:cs="Calibri"/>
                <w:color w:val="000000" w:themeColor="text1"/>
                <w:sz w:val="13"/>
                <w:szCs w:val="13"/>
              </w:rPr>
            </w:pPr>
            <w:r w:rsidRPr="00977E53">
              <w:rPr>
                <w:rFonts w:cs="Calibri"/>
                <w:color w:val="000000" w:themeColor="text1"/>
                <w:sz w:val="13"/>
                <w:szCs w:val="13"/>
              </w:rPr>
              <w:t>w tym: Zobowiązania z tytułu leasingu</w:t>
            </w:r>
          </w:p>
        </w:tc>
        <w:tc>
          <w:tcPr>
            <w:tcW w:w="1766" w:type="dxa"/>
            <w:tcBorders>
              <w:top w:val="nil"/>
              <w:left w:val="nil"/>
              <w:bottom w:val="single" w:sz="8" w:space="0" w:color="0070C0"/>
              <w:right w:val="single" w:sz="4" w:space="0" w:color="0070C0"/>
            </w:tcBorders>
            <w:shd w:val="clear" w:color="auto" w:fill="auto"/>
            <w:noWrap/>
            <w:vAlign w:val="bottom"/>
            <w:hideMark/>
          </w:tcPr>
          <w:p w14:paraId="79614094"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w:t>
            </w:r>
          </w:p>
        </w:tc>
        <w:tc>
          <w:tcPr>
            <w:tcW w:w="1701" w:type="dxa"/>
            <w:tcBorders>
              <w:top w:val="nil"/>
              <w:left w:val="nil"/>
              <w:bottom w:val="single" w:sz="8" w:space="0" w:color="0070C0"/>
              <w:right w:val="single" w:sz="4" w:space="0" w:color="0070C0"/>
            </w:tcBorders>
            <w:shd w:val="clear" w:color="auto" w:fill="auto"/>
            <w:noWrap/>
            <w:vAlign w:val="bottom"/>
            <w:hideMark/>
          </w:tcPr>
          <w:p w14:paraId="22F762A8"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563 360</w:t>
            </w:r>
          </w:p>
        </w:tc>
        <w:tc>
          <w:tcPr>
            <w:tcW w:w="1842" w:type="dxa"/>
            <w:tcBorders>
              <w:top w:val="nil"/>
              <w:left w:val="nil"/>
              <w:bottom w:val="single" w:sz="8" w:space="0" w:color="0070C0"/>
              <w:right w:val="nil"/>
            </w:tcBorders>
            <w:shd w:val="clear" w:color="auto" w:fill="auto"/>
            <w:noWrap/>
            <w:vAlign w:val="bottom"/>
            <w:hideMark/>
          </w:tcPr>
          <w:p w14:paraId="0790884C" w14:textId="77777777" w:rsidR="001D3FB6" w:rsidRPr="00977E53" w:rsidRDefault="001D3FB6" w:rsidP="001D3FB6">
            <w:pPr>
              <w:jc w:val="right"/>
              <w:rPr>
                <w:rFonts w:cs="Calibri"/>
                <w:color w:val="000000" w:themeColor="text1"/>
                <w:sz w:val="13"/>
                <w:szCs w:val="13"/>
              </w:rPr>
            </w:pPr>
            <w:r w:rsidRPr="00977E53">
              <w:rPr>
                <w:rFonts w:cs="Calibri"/>
                <w:color w:val="000000" w:themeColor="text1"/>
                <w:sz w:val="13"/>
                <w:szCs w:val="13"/>
              </w:rPr>
              <w:t>563 360</w:t>
            </w:r>
          </w:p>
        </w:tc>
      </w:tr>
    </w:tbl>
    <w:p w14:paraId="63E76662" w14:textId="4069885C" w:rsidR="00A1362D" w:rsidRPr="00977E53" w:rsidRDefault="00A1362D" w:rsidP="00694AB5">
      <w:pPr>
        <w:suppressAutoHyphens/>
        <w:spacing w:before="120" w:after="120"/>
        <w:jc w:val="both"/>
        <w:rPr>
          <w:rFonts w:cs="Tahoma"/>
          <w:color w:val="000000" w:themeColor="text1"/>
          <w:sz w:val="18"/>
          <w:szCs w:val="18"/>
        </w:rPr>
      </w:pPr>
      <w:r w:rsidRPr="00977E53">
        <w:rPr>
          <w:rFonts w:cs="Tahoma"/>
          <w:color w:val="000000" w:themeColor="text1"/>
          <w:sz w:val="18"/>
          <w:szCs w:val="18"/>
        </w:rPr>
        <w:t>Poniżej przedstawiono uzgodnienie różnicy pomiędzy kwotami przyszłych opłat leasingowych z tytułu nieodwołalnego leasingu operacyjnego na koniec 2018 roku, a zobowiązaniami z tytułu leasingu ujętymi na dzień pierwszego zastosowania MSSF 16:</w:t>
      </w:r>
    </w:p>
    <w:tbl>
      <w:tblPr>
        <w:tblW w:w="9639" w:type="dxa"/>
        <w:tblLayout w:type="fixed"/>
        <w:tblCellMar>
          <w:left w:w="28" w:type="dxa"/>
          <w:right w:w="28" w:type="dxa"/>
        </w:tblCellMar>
        <w:tblLook w:val="04A0" w:firstRow="1" w:lastRow="0" w:firstColumn="1" w:lastColumn="0" w:noHBand="0" w:noVBand="1"/>
      </w:tblPr>
      <w:tblGrid>
        <w:gridCol w:w="7820"/>
        <w:gridCol w:w="1819"/>
      </w:tblGrid>
      <w:tr w:rsidR="00694AB5" w:rsidRPr="00694AB5" w14:paraId="38699312" w14:textId="77777777" w:rsidTr="009C3E6F">
        <w:trPr>
          <w:trHeight w:val="284"/>
        </w:trPr>
        <w:tc>
          <w:tcPr>
            <w:tcW w:w="7797" w:type="dxa"/>
            <w:tcBorders>
              <w:top w:val="nil"/>
              <w:left w:val="nil"/>
              <w:bottom w:val="nil"/>
              <w:right w:val="single" w:sz="8" w:space="0" w:color="FFFFFF"/>
            </w:tcBorders>
            <w:shd w:val="clear" w:color="000000" w:fill="0077BD"/>
            <w:vAlign w:val="center"/>
            <w:hideMark/>
          </w:tcPr>
          <w:p w14:paraId="2B8090D9" w14:textId="77777777" w:rsidR="00694AB5" w:rsidRPr="00694AB5" w:rsidRDefault="00694AB5" w:rsidP="00694AB5">
            <w:pPr>
              <w:rPr>
                <w:rFonts w:cs="Calibri"/>
                <w:b/>
                <w:bCs/>
                <w:color w:val="FFFFFF"/>
                <w:sz w:val="13"/>
                <w:szCs w:val="13"/>
              </w:rPr>
            </w:pPr>
            <w:r w:rsidRPr="00694AB5">
              <w:rPr>
                <w:rFonts w:cs="Calibri"/>
                <w:b/>
                <w:bCs/>
                <w:color w:val="FFFFFF"/>
                <w:sz w:val="13"/>
                <w:szCs w:val="13"/>
              </w:rPr>
              <w:t> </w:t>
            </w:r>
          </w:p>
        </w:tc>
        <w:tc>
          <w:tcPr>
            <w:tcW w:w="1814" w:type="dxa"/>
            <w:tcBorders>
              <w:top w:val="nil"/>
              <w:left w:val="nil"/>
              <w:bottom w:val="nil"/>
              <w:right w:val="nil"/>
            </w:tcBorders>
            <w:shd w:val="clear" w:color="000000" w:fill="0077BD"/>
            <w:noWrap/>
            <w:vAlign w:val="center"/>
            <w:hideMark/>
          </w:tcPr>
          <w:p w14:paraId="7E41ABD2" w14:textId="77777777" w:rsidR="00694AB5" w:rsidRPr="00694AB5" w:rsidRDefault="00694AB5" w:rsidP="00694AB5">
            <w:pPr>
              <w:jc w:val="right"/>
              <w:rPr>
                <w:rFonts w:cs="Calibri"/>
                <w:b/>
                <w:bCs/>
                <w:color w:val="FFFFFF"/>
                <w:sz w:val="13"/>
                <w:szCs w:val="13"/>
              </w:rPr>
            </w:pPr>
            <w:r w:rsidRPr="00694AB5">
              <w:rPr>
                <w:rFonts w:cs="Calibri"/>
                <w:b/>
                <w:bCs/>
                <w:color w:val="FFFFFF"/>
                <w:sz w:val="13"/>
                <w:szCs w:val="13"/>
              </w:rPr>
              <w:t>01.01.2019</w:t>
            </w:r>
          </w:p>
        </w:tc>
      </w:tr>
      <w:tr w:rsidR="00977E53" w:rsidRPr="00977E53" w14:paraId="70DB2518" w14:textId="77777777" w:rsidTr="009C3E6F">
        <w:trPr>
          <w:trHeight w:val="284"/>
        </w:trPr>
        <w:tc>
          <w:tcPr>
            <w:tcW w:w="7797" w:type="dxa"/>
            <w:tcBorders>
              <w:top w:val="single" w:sz="4" w:space="0" w:color="0077BD"/>
              <w:left w:val="nil"/>
              <w:bottom w:val="single" w:sz="4" w:space="0" w:color="0077BD"/>
              <w:right w:val="single" w:sz="8" w:space="0" w:color="0077BD"/>
            </w:tcBorders>
            <w:shd w:val="clear" w:color="auto" w:fill="auto"/>
            <w:vAlign w:val="center"/>
            <w:hideMark/>
          </w:tcPr>
          <w:p w14:paraId="453BF613" w14:textId="687683AC" w:rsidR="00694AB5" w:rsidRPr="00977E53" w:rsidRDefault="008A59C6" w:rsidP="00694AB5">
            <w:pPr>
              <w:rPr>
                <w:rFonts w:cs="Calibri"/>
                <w:color w:val="000000" w:themeColor="text1"/>
                <w:sz w:val="13"/>
                <w:szCs w:val="13"/>
              </w:rPr>
            </w:pPr>
            <w:r>
              <w:rPr>
                <w:rFonts w:cs="Calibri"/>
                <w:color w:val="000000" w:themeColor="text1"/>
                <w:sz w:val="13"/>
                <w:szCs w:val="13"/>
              </w:rPr>
              <w:t>Zobowiązania z tytułu</w:t>
            </w:r>
            <w:r w:rsidR="00694AB5" w:rsidRPr="00977E53">
              <w:rPr>
                <w:rFonts w:cs="Calibri"/>
                <w:color w:val="000000" w:themeColor="text1"/>
                <w:sz w:val="13"/>
                <w:szCs w:val="13"/>
              </w:rPr>
              <w:t xml:space="preserve"> leasingu operacyjnego na 31 grudnia 2018 r. (bez dyskonta)</w:t>
            </w:r>
          </w:p>
        </w:tc>
        <w:tc>
          <w:tcPr>
            <w:tcW w:w="1814" w:type="dxa"/>
            <w:tcBorders>
              <w:top w:val="single" w:sz="4" w:space="0" w:color="0077BD"/>
              <w:left w:val="nil"/>
              <w:bottom w:val="single" w:sz="4" w:space="0" w:color="0077BD"/>
              <w:right w:val="nil"/>
            </w:tcBorders>
            <w:shd w:val="clear" w:color="auto" w:fill="auto"/>
            <w:noWrap/>
            <w:vAlign w:val="center"/>
            <w:hideMark/>
          </w:tcPr>
          <w:p w14:paraId="285C1D42" w14:textId="77777777" w:rsidR="00694AB5" w:rsidRPr="00977E53" w:rsidRDefault="00694AB5" w:rsidP="00694AB5">
            <w:pPr>
              <w:jc w:val="right"/>
              <w:rPr>
                <w:rFonts w:cs="Calibri"/>
                <w:color w:val="000000" w:themeColor="text1"/>
                <w:sz w:val="13"/>
                <w:szCs w:val="13"/>
              </w:rPr>
            </w:pPr>
            <w:r w:rsidRPr="00977E53">
              <w:rPr>
                <w:rFonts w:cs="Calibri"/>
                <w:color w:val="000000" w:themeColor="text1"/>
                <w:sz w:val="13"/>
                <w:szCs w:val="13"/>
              </w:rPr>
              <w:t>603 248</w:t>
            </w:r>
          </w:p>
        </w:tc>
      </w:tr>
      <w:tr w:rsidR="00977E53" w:rsidRPr="00977E53" w14:paraId="37E6EA70" w14:textId="77777777" w:rsidTr="009C3E6F">
        <w:trPr>
          <w:trHeight w:val="284"/>
        </w:trPr>
        <w:tc>
          <w:tcPr>
            <w:tcW w:w="7797" w:type="dxa"/>
            <w:tcBorders>
              <w:top w:val="nil"/>
              <w:left w:val="nil"/>
              <w:bottom w:val="single" w:sz="8" w:space="0" w:color="0077BD"/>
              <w:right w:val="single" w:sz="8" w:space="0" w:color="0077BD"/>
            </w:tcBorders>
            <w:shd w:val="clear" w:color="auto" w:fill="auto"/>
            <w:vAlign w:val="center"/>
            <w:hideMark/>
          </w:tcPr>
          <w:p w14:paraId="222B0BCC" w14:textId="77777777" w:rsidR="00694AB5" w:rsidRPr="00977E53" w:rsidRDefault="00694AB5" w:rsidP="00694AB5">
            <w:pPr>
              <w:rPr>
                <w:rFonts w:cs="Calibri"/>
                <w:color w:val="000000" w:themeColor="text1"/>
                <w:sz w:val="13"/>
                <w:szCs w:val="13"/>
              </w:rPr>
            </w:pPr>
            <w:r w:rsidRPr="00977E53">
              <w:rPr>
                <w:rFonts w:cs="Calibri"/>
                <w:color w:val="000000" w:themeColor="text1"/>
                <w:sz w:val="13"/>
                <w:szCs w:val="13"/>
              </w:rPr>
              <w:t>Wpływ dyskonta przy użyciu krańcowej stopy procentowej Grupy</w:t>
            </w:r>
          </w:p>
        </w:tc>
        <w:tc>
          <w:tcPr>
            <w:tcW w:w="1814" w:type="dxa"/>
            <w:tcBorders>
              <w:top w:val="nil"/>
              <w:left w:val="nil"/>
              <w:bottom w:val="single" w:sz="4" w:space="0" w:color="0077BD"/>
              <w:right w:val="nil"/>
            </w:tcBorders>
            <w:shd w:val="clear" w:color="auto" w:fill="auto"/>
            <w:noWrap/>
            <w:vAlign w:val="center"/>
            <w:hideMark/>
          </w:tcPr>
          <w:p w14:paraId="6870512C" w14:textId="77777777" w:rsidR="00694AB5" w:rsidRPr="00977E53" w:rsidRDefault="00694AB5" w:rsidP="00694AB5">
            <w:pPr>
              <w:jc w:val="right"/>
              <w:rPr>
                <w:rFonts w:cs="Calibri"/>
                <w:color w:val="000000" w:themeColor="text1"/>
                <w:sz w:val="13"/>
                <w:szCs w:val="13"/>
              </w:rPr>
            </w:pPr>
            <w:r w:rsidRPr="00977E53">
              <w:rPr>
                <w:rFonts w:cs="Calibri"/>
                <w:color w:val="000000" w:themeColor="text1"/>
                <w:sz w:val="13"/>
                <w:szCs w:val="13"/>
              </w:rPr>
              <w:t>(39 888)</w:t>
            </w:r>
          </w:p>
        </w:tc>
      </w:tr>
      <w:tr w:rsidR="00977E53" w:rsidRPr="00977E53" w14:paraId="56E1FD26" w14:textId="77777777" w:rsidTr="009C3E6F">
        <w:trPr>
          <w:trHeight w:val="284"/>
        </w:trPr>
        <w:tc>
          <w:tcPr>
            <w:tcW w:w="7797" w:type="dxa"/>
            <w:tcBorders>
              <w:top w:val="single" w:sz="8" w:space="0" w:color="0077BD"/>
              <w:left w:val="nil"/>
              <w:bottom w:val="single" w:sz="8" w:space="0" w:color="0077BD"/>
              <w:right w:val="single" w:sz="8" w:space="0" w:color="0077BD"/>
            </w:tcBorders>
            <w:shd w:val="clear" w:color="auto" w:fill="auto"/>
            <w:noWrap/>
            <w:vAlign w:val="center"/>
            <w:hideMark/>
          </w:tcPr>
          <w:p w14:paraId="30BCA248" w14:textId="77777777" w:rsidR="00694AB5" w:rsidRPr="00977E53" w:rsidRDefault="00694AB5" w:rsidP="00694AB5">
            <w:pPr>
              <w:rPr>
                <w:rFonts w:cs="Calibri"/>
                <w:b/>
                <w:bCs/>
                <w:color w:val="000000" w:themeColor="text1"/>
                <w:sz w:val="13"/>
                <w:szCs w:val="13"/>
              </w:rPr>
            </w:pPr>
            <w:r w:rsidRPr="00977E53">
              <w:rPr>
                <w:rFonts w:cs="Calibri"/>
                <w:b/>
                <w:bCs/>
                <w:color w:val="000000" w:themeColor="text1"/>
                <w:sz w:val="13"/>
                <w:szCs w:val="13"/>
              </w:rPr>
              <w:t>Zobowiązania finansowe z tytułu leasingu na 1 stycznia 2019 r.</w:t>
            </w:r>
          </w:p>
        </w:tc>
        <w:tc>
          <w:tcPr>
            <w:tcW w:w="1814" w:type="dxa"/>
            <w:tcBorders>
              <w:top w:val="single" w:sz="8" w:space="0" w:color="0077BD"/>
              <w:left w:val="nil"/>
              <w:bottom w:val="single" w:sz="8" w:space="0" w:color="0077BD"/>
              <w:right w:val="nil"/>
            </w:tcBorders>
            <w:shd w:val="clear" w:color="auto" w:fill="auto"/>
            <w:noWrap/>
            <w:vAlign w:val="center"/>
            <w:hideMark/>
          </w:tcPr>
          <w:p w14:paraId="4FAA6498" w14:textId="77777777" w:rsidR="00694AB5" w:rsidRPr="00977E53" w:rsidRDefault="00694AB5" w:rsidP="00694AB5">
            <w:pPr>
              <w:jc w:val="right"/>
              <w:rPr>
                <w:rFonts w:cs="Calibri"/>
                <w:b/>
                <w:bCs/>
                <w:color w:val="000000" w:themeColor="text1"/>
                <w:sz w:val="13"/>
                <w:szCs w:val="13"/>
              </w:rPr>
            </w:pPr>
            <w:r w:rsidRPr="00977E53">
              <w:rPr>
                <w:rFonts w:cs="Calibri"/>
                <w:b/>
                <w:bCs/>
                <w:color w:val="000000" w:themeColor="text1"/>
                <w:sz w:val="13"/>
                <w:szCs w:val="13"/>
              </w:rPr>
              <w:t>563 360</w:t>
            </w:r>
          </w:p>
        </w:tc>
      </w:tr>
      <w:tr w:rsidR="00977E53" w:rsidRPr="00977E53" w14:paraId="239992CB" w14:textId="77777777" w:rsidTr="009C3E6F">
        <w:trPr>
          <w:trHeight w:val="284"/>
        </w:trPr>
        <w:tc>
          <w:tcPr>
            <w:tcW w:w="7797" w:type="dxa"/>
            <w:tcBorders>
              <w:top w:val="single" w:sz="4" w:space="0" w:color="0077BD"/>
              <w:left w:val="nil"/>
              <w:bottom w:val="single" w:sz="4" w:space="0" w:color="0077BD"/>
              <w:right w:val="single" w:sz="8" w:space="0" w:color="0077BD"/>
            </w:tcBorders>
            <w:shd w:val="clear" w:color="auto" w:fill="auto"/>
            <w:vAlign w:val="center"/>
            <w:hideMark/>
          </w:tcPr>
          <w:p w14:paraId="36B98428" w14:textId="0AA200D9" w:rsidR="00694AB5" w:rsidRPr="00977E53" w:rsidRDefault="00694AB5" w:rsidP="00694AB5">
            <w:pPr>
              <w:rPr>
                <w:rFonts w:cs="Calibri"/>
                <w:color w:val="000000" w:themeColor="text1"/>
                <w:sz w:val="13"/>
                <w:szCs w:val="13"/>
              </w:rPr>
            </w:pPr>
            <w:r w:rsidRPr="00977E53">
              <w:rPr>
                <w:rFonts w:cs="Calibri"/>
                <w:color w:val="000000" w:themeColor="text1"/>
                <w:sz w:val="13"/>
                <w:szCs w:val="13"/>
              </w:rPr>
              <w:t>Inne</w:t>
            </w:r>
            <w:r w:rsidR="00F4664D">
              <w:rPr>
                <w:rFonts w:cs="Calibri"/>
                <w:color w:val="000000" w:themeColor="text1"/>
                <w:sz w:val="13"/>
                <w:szCs w:val="13"/>
              </w:rPr>
              <w:t xml:space="preserve"> korekty wpływające na wartość p</w:t>
            </w:r>
            <w:r w:rsidRPr="00977E53">
              <w:rPr>
                <w:rFonts w:cs="Calibri"/>
                <w:color w:val="000000" w:themeColor="text1"/>
                <w:sz w:val="13"/>
                <w:szCs w:val="13"/>
              </w:rPr>
              <w:t>rawa do użytkowania</w:t>
            </w:r>
          </w:p>
        </w:tc>
        <w:tc>
          <w:tcPr>
            <w:tcW w:w="1814" w:type="dxa"/>
            <w:tcBorders>
              <w:top w:val="single" w:sz="4" w:space="0" w:color="0077BD"/>
              <w:left w:val="nil"/>
              <w:bottom w:val="single" w:sz="4" w:space="0" w:color="0077BD"/>
              <w:right w:val="nil"/>
            </w:tcBorders>
            <w:shd w:val="clear" w:color="auto" w:fill="auto"/>
            <w:noWrap/>
            <w:vAlign w:val="center"/>
            <w:hideMark/>
          </w:tcPr>
          <w:p w14:paraId="060FB4D9" w14:textId="77777777" w:rsidR="00694AB5" w:rsidRPr="00977E53" w:rsidRDefault="00694AB5" w:rsidP="00694AB5">
            <w:pPr>
              <w:jc w:val="right"/>
              <w:rPr>
                <w:rFonts w:cs="Calibri"/>
                <w:color w:val="000000" w:themeColor="text1"/>
                <w:sz w:val="13"/>
                <w:szCs w:val="13"/>
              </w:rPr>
            </w:pPr>
            <w:r w:rsidRPr="00977E53">
              <w:rPr>
                <w:rFonts w:cs="Calibri"/>
                <w:color w:val="000000" w:themeColor="text1"/>
                <w:sz w:val="13"/>
                <w:szCs w:val="13"/>
              </w:rPr>
              <w:t>(985)</w:t>
            </w:r>
          </w:p>
        </w:tc>
      </w:tr>
      <w:tr w:rsidR="00977E53" w:rsidRPr="00977E53" w14:paraId="708C3764" w14:textId="77777777" w:rsidTr="009C3E6F">
        <w:trPr>
          <w:trHeight w:val="284"/>
        </w:trPr>
        <w:tc>
          <w:tcPr>
            <w:tcW w:w="7797" w:type="dxa"/>
            <w:tcBorders>
              <w:top w:val="single" w:sz="8" w:space="0" w:color="0077BD"/>
              <w:left w:val="nil"/>
              <w:bottom w:val="single" w:sz="8" w:space="0" w:color="0077BD"/>
              <w:right w:val="single" w:sz="8" w:space="0" w:color="0077BD"/>
            </w:tcBorders>
            <w:shd w:val="clear" w:color="auto" w:fill="auto"/>
            <w:noWrap/>
            <w:vAlign w:val="center"/>
            <w:hideMark/>
          </w:tcPr>
          <w:p w14:paraId="55A144CB" w14:textId="77777777" w:rsidR="00694AB5" w:rsidRPr="00977E53" w:rsidRDefault="00694AB5" w:rsidP="00694AB5">
            <w:pPr>
              <w:rPr>
                <w:rFonts w:cs="Calibri"/>
                <w:b/>
                <w:bCs/>
                <w:color w:val="000000" w:themeColor="text1"/>
                <w:sz w:val="13"/>
                <w:szCs w:val="13"/>
              </w:rPr>
            </w:pPr>
            <w:r w:rsidRPr="00977E53">
              <w:rPr>
                <w:rFonts w:cs="Calibri"/>
                <w:b/>
                <w:bCs/>
                <w:color w:val="000000" w:themeColor="text1"/>
                <w:sz w:val="13"/>
                <w:szCs w:val="13"/>
              </w:rPr>
              <w:t>Prawo do użytkowania na 1 stycznia 2019 r.</w:t>
            </w:r>
          </w:p>
        </w:tc>
        <w:tc>
          <w:tcPr>
            <w:tcW w:w="1814" w:type="dxa"/>
            <w:tcBorders>
              <w:top w:val="single" w:sz="8" w:space="0" w:color="0077BD"/>
              <w:left w:val="nil"/>
              <w:bottom w:val="single" w:sz="8" w:space="0" w:color="0077BD"/>
              <w:right w:val="nil"/>
            </w:tcBorders>
            <w:shd w:val="clear" w:color="auto" w:fill="auto"/>
            <w:noWrap/>
            <w:vAlign w:val="center"/>
            <w:hideMark/>
          </w:tcPr>
          <w:p w14:paraId="26D911CA" w14:textId="77777777" w:rsidR="00694AB5" w:rsidRPr="00977E53" w:rsidRDefault="00694AB5" w:rsidP="00694AB5">
            <w:pPr>
              <w:jc w:val="right"/>
              <w:rPr>
                <w:rFonts w:cs="Calibri"/>
                <w:b/>
                <w:bCs/>
                <w:color w:val="000000" w:themeColor="text1"/>
                <w:sz w:val="13"/>
                <w:szCs w:val="13"/>
              </w:rPr>
            </w:pPr>
            <w:r w:rsidRPr="00977E53">
              <w:rPr>
                <w:rFonts w:cs="Calibri"/>
                <w:b/>
                <w:bCs/>
                <w:color w:val="000000" w:themeColor="text1"/>
                <w:sz w:val="13"/>
                <w:szCs w:val="13"/>
              </w:rPr>
              <w:t>562 375</w:t>
            </w:r>
          </w:p>
        </w:tc>
      </w:tr>
    </w:tbl>
    <w:p w14:paraId="54EB15B8" w14:textId="77777777" w:rsidR="00A1362D" w:rsidRPr="00977E53" w:rsidRDefault="00A1362D" w:rsidP="00A1362D">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 xml:space="preserve">Wpływ na rachunek zysków i strat </w:t>
      </w:r>
    </w:p>
    <w:p w14:paraId="59AD0CDB"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W rachunku zysków i strat Grupy pojawiła się od 2019 roku zmiana w klasyfikacji kosztów (czynsze związane z wynajmem zostały zastąpione amortyzacją oraz kosztami odsetkowymi) oraz momencie ich rozpoznania (ujęcie kosztów związanych z leasingiem będzie szybsze ze względu na rozpoznanie kosztu odsetkowego metodą efektywnej stopy procentowej, która poprzednio nie była stosowana dla umów innych niż klasyfikowane jako leasing finansowy zgodnie z MSR 17).</w:t>
      </w:r>
    </w:p>
    <w:p w14:paraId="5ED325AB" w14:textId="77777777" w:rsidR="00A1362D" w:rsidRPr="00977E53" w:rsidRDefault="00A1362D" w:rsidP="00A1362D">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Wpływ na kapitał własny</w:t>
      </w:r>
    </w:p>
    <w:p w14:paraId="6558F17A" w14:textId="77777777" w:rsidR="00A1362D" w:rsidRPr="00977E53"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Wdrożenie MSSF 16 nie miało wpływu na zyski zatrzymane i kapitały własne Grupy na dzień 1 stycznia 2019 roku.</w:t>
      </w:r>
    </w:p>
    <w:p w14:paraId="2034C5CA" w14:textId="77777777" w:rsidR="00A1362D" w:rsidRPr="00977E53" w:rsidRDefault="00A1362D" w:rsidP="00A1362D">
      <w:pPr>
        <w:suppressAutoHyphens/>
        <w:spacing w:before="120"/>
        <w:jc w:val="both"/>
        <w:rPr>
          <w:rFonts w:cs="Tahoma"/>
          <w:color w:val="000000" w:themeColor="text1"/>
          <w:sz w:val="18"/>
          <w:szCs w:val="18"/>
          <w:u w:val="single"/>
        </w:rPr>
      </w:pPr>
      <w:r w:rsidRPr="00977E53">
        <w:rPr>
          <w:rFonts w:cs="Tahoma"/>
          <w:color w:val="000000" w:themeColor="text1"/>
          <w:sz w:val="18"/>
          <w:szCs w:val="18"/>
          <w:u w:val="single"/>
        </w:rPr>
        <w:t>Wpływ na współczynniki kapitałowe</w:t>
      </w:r>
    </w:p>
    <w:p w14:paraId="2394A283" w14:textId="102456E9" w:rsidR="00E86D0F" w:rsidRDefault="00A1362D" w:rsidP="00A1362D">
      <w:pPr>
        <w:suppressAutoHyphens/>
        <w:spacing w:before="120"/>
        <w:jc w:val="both"/>
        <w:rPr>
          <w:rFonts w:cs="Tahoma"/>
          <w:color w:val="000000" w:themeColor="text1"/>
          <w:sz w:val="18"/>
          <w:szCs w:val="18"/>
        </w:rPr>
      </w:pPr>
      <w:r w:rsidRPr="00977E53">
        <w:rPr>
          <w:rFonts w:cs="Tahoma"/>
          <w:color w:val="000000" w:themeColor="text1"/>
          <w:sz w:val="18"/>
          <w:szCs w:val="18"/>
        </w:rPr>
        <w:t>Ze względu na ujęcie w bilansie Grupy umów leasingu na dzień 1 stycznia 2019 roku zwiększeniu uległa łączna kwota ekspozycji na ryzyko, a tym samym łączny współczynnik kapitałowy Grupy zmniejszył się</w:t>
      </w:r>
      <w:r w:rsidR="00DE1149">
        <w:rPr>
          <w:rFonts w:cs="Tahoma"/>
          <w:color w:val="000000" w:themeColor="text1"/>
          <w:sz w:val="18"/>
          <w:szCs w:val="18"/>
        </w:rPr>
        <w:t> </w:t>
      </w:r>
      <w:r w:rsidRPr="00977E53">
        <w:rPr>
          <w:rFonts w:cs="Tahoma"/>
          <w:color w:val="000000" w:themeColor="text1"/>
          <w:sz w:val="18"/>
          <w:szCs w:val="18"/>
        </w:rPr>
        <w:t>o około 15 punków bazowych.</w:t>
      </w:r>
    </w:p>
    <w:p w14:paraId="5D26ED81" w14:textId="77777777" w:rsidR="00E86D0F" w:rsidRDefault="00E86D0F">
      <w:pPr>
        <w:rPr>
          <w:rFonts w:cs="Tahoma"/>
          <w:color w:val="000000" w:themeColor="text1"/>
          <w:sz w:val="18"/>
          <w:szCs w:val="18"/>
        </w:rPr>
      </w:pPr>
      <w:r>
        <w:rPr>
          <w:rFonts w:cs="Tahoma"/>
          <w:color w:val="000000" w:themeColor="text1"/>
          <w:sz w:val="18"/>
          <w:szCs w:val="18"/>
        </w:rPr>
        <w:br w:type="page"/>
      </w:r>
    </w:p>
    <w:p w14:paraId="3D365E36" w14:textId="77777777" w:rsidR="007C6578" w:rsidRDefault="007C6578" w:rsidP="007C6578">
      <w:pPr>
        <w:autoSpaceDE w:val="0"/>
        <w:autoSpaceDN w:val="0"/>
        <w:adjustRightInd w:val="0"/>
        <w:spacing w:before="240" w:after="120"/>
        <w:jc w:val="both"/>
        <w:rPr>
          <w:rFonts w:cs="Tahoma"/>
          <w:b/>
          <w:color w:val="000000" w:themeColor="text1"/>
          <w:sz w:val="18"/>
          <w:szCs w:val="18"/>
        </w:rPr>
      </w:pPr>
      <w:r w:rsidRPr="00977E53">
        <w:rPr>
          <w:rFonts w:cs="Tahoma"/>
          <w:b/>
          <w:color w:val="000000" w:themeColor="text1"/>
          <w:sz w:val="18"/>
          <w:szCs w:val="18"/>
        </w:rPr>
        <w:lastRenderedPageBreak/>
        <w:t>Standardy i interpretacje</w:t>
      </w:r>
      <w:r>
        <w:rPr>
          <w:rFonts w:cs="Tahoma"/>
          <w:b/>
          <w:color w:val="000000" w:themeColor="text1"/>
          <w:sz w:val="18"/>
          <w:szCs w:val="18"/>
        </w:rPr>
        <w:t>, które</w:t>
      </w:r>
      <w:r w:rsidRPr="00977E53">
        <w:rPr>
          <w:rFonts w:cs="Tahoma"/>
          <w:b/>
          <w:color w:val="000000" w:themeColor="text1"/>
          <w:sz w:val="18"/>
          <w:szCs w:val="18"/>
        </w:rPr>
        <w:t xml:space="preserve"> </w:t>
      </w:r>
      <w:r>
        <w:rPr>
          <w:rFonts w:cs="Tahoma"/>
          <w:b/>
          <w:color w:val="000000" w:themeColor="text1"/>
          <w:sz w:val="18"/>
          <w:szCs w:val="18"/>
        </w:rPr>
        <w:t xml:space="preserve">zostały </w:t>
      </w:r>
      <w:r w:rsidRPr="00977E53">
        <w:rPr>
          <w:rFonts w:cs="Tahoma"/>
          <w:b/>
          <w:color w:val="000000" w:themeColor="text1"/>
          <w:sz w:val="18"/>
          <w:szCs w:val="18"/>
        </w:rPr>
        <w:t>zatwierdzone przez Unię Europejską</w:t>
      </w:r>
    </w:p>
    <w:p w14:paraId="100F9DA1" w14:textId="0D05482B" w:rsidR="00E86D0F" w:rsidRDefault="00A1362D" w:rsidP="00E86D0F">
      <w:pPr>
        <w:autoSpaceDE w:val="0"/>
        <w:autoSpaceDN w:val="0"/>
        <w:adjustRightInd w:val="0"/>
        <w:spacing w:before="120" w:after="120"/>
        <w:jc w:val="both"/>
        <w:rPr>
          <w:rFonts w:cs="Tahoma"/>
          <w:color w:val="000000" w:themeColor="text1"/>
          <w:sz w:val="18"/>
          <w:szCs w:val="18"/>
          <w:u w:val="single"/>
        </w:rPr>
      </w:pPr>
      <w:r w:rsidRPr="00977E53">
        <w:rPr>
          <w:rFonts w:cs="Tahoma"/>
          <w:color w:val="000000" w:themeColor="text1"/>
          <w:sz w:val="18"/>
          <w:szCs w:val="18"/>
          <w:u w:val="single"/>
        </w:rPr>
        <w:t>Opublikowane Standardy i Interpretacje, które zostały</w:t>
      </w:r>
      <w:r w:rsidR="00E86D0F">
        <w:rPr>
          <w:rFonts w:cs="Tahoma"/>
          <w:color w:val="000000" w:themeColor="text1"/>
          <w:sz w:val="18"/>
          <w:szCs w:val="18"/>
          <w:u w:val="single"/>
        </w:rPr>
        <w:t xml:space="preserve"> wcześniej zastosowane</w:t>
      </w:r>
      <w:r w:rsidRPr="00977E53">
        <w:rPr>
          <w:rFonts w:cs="Tahoma"/>
          <w:color w:val="000000" w:themeColor="text1"/>
          <w:sz w:val="18"/>
          <w:szCs w:val="18"/>
          <w:u w:val="single"/>
        </w:rPr>
        <w:t xml:space="preserve"> </w:t>
      </w:r>
    </w:p>
    <w:p w14:paraId="5C632B73" w14:textId="6A013DD7" w:rsidR="00190879" w:rsidRPr="00977E53" w:rsidRDefault="00190879" w:rsidP="00C44476">
      <w:pPr>
        <w:numPr>
          <w:ilvl w:val="0"/>
          <w:numId w:val="18"/>
        </w:numPr>
        <w:suppressAutoHyphens/>
        <w:jc w:val="both"/>
        <w:rPr>
          <w:rFonts w:cs="Tahoma"/>
          <w:color w:val="000000" w:themeColor="text1"/>
          <w:sz w:val="18"/>
          <w:szCs w:val="18"/>
        </w:rPr>
      </w:pPr>
      <w:r w:rsidRPr="00977E53">
        <w:rPr>
          <w:rFonts w:cs="Tahoma"/>
          <w:color w:val="000000" w:themeColor="text1"/>
          <w:sz w:val="18"/>
          <w:szCs w:val="18"/>
        </w:rPr>
        <w:t>Zmiany do MSSF 9, MSR 39 i MSSF 7, Reforma wskaźników stóp procentowych, został opublikowany przez Radę Międzynarodowych Standardów Rachunkowości 26 września 2019 roku</w:t>
      </w:r>
      <w:r w:rsidR="00C44476">
        <w:rPr>
          <w:rFonts w:cs="Tahoma"/>
          <w:color w:val="000000" w:themeColor="text1"/>
          <w:sz w:val="18"/>
          <w:szCs w:val="18"/>
        </w:rPr>
        <w:t xml:space="preserve">, </w:t>
      </w:r>
      <w:r w:rsidR="00C44476" w:rsidRPr="00C44476">
        <w:rPr>
          <w:rFonts w:cs="Tahoma"/>
          <w:color w:val="000000" w:themeColor="text1"/>
          <w:sz w:val="18"/>
          <w:szCs w:val="18"/>
        </w:rPr>
        <w:t xml:space="preserve">zatwierdzone </w:t>
      </w:r>
      <w:r w:rsidR="00C44476">
        <w:rPr>
          <w:rFonts w:cs="Tahoma"/>
          <w:color w:val="000000" w:themeColor="text1"/>
          <w:sz w:val="18"/>
          <w:szCs w:val="18"/>
        </w:rPr>
        <w:t>przez Unię Europejską 16 stycznia 2020</w:t>
      </w:r>
      <w:r w:rsidR="00C44476" w:rsidRPr="00C44476">
        <w:rPr>
          <w:rFonts w:cs="Tahoma"/>
          <w:color w:val="000000" w:themeColor="text1"/>
          <w:sz w:val="18"/>
          <w:szCs w:val="18"/>
        </w:rPr>
        <w:t xml:space="preserve"> roku</w:t>
      </w:r>
      <w:r w:rsidR="00C44476">
        <w:rPr>
          <w:rFonts w:cs="Tahoma"/>
          <w:color w:val="000000" w:themeColor="text1"/>
          <w:sz w:val="18"/>
          <w:szCs w:val="18"/>
        </w:rPr>
        <w:t xml:space="preserve"> i obowiązują</w:t>
      </w:r>
      <w:r w:rsidRPr="00977E53">
        <w:rPr>
          <w:rFonts w:cs="Tahoma"/>
          <w:color w:val="000000" w:themeColor="text1"/>
          <w:sz w:val="18"/>
          <w:szCs w:val="18"/>
        </w:rPr>
        <w:t xml:space="preserve"> za</w:t>
      </w:r>
      <w:r>
        <w:rPr>
          <w:rFonts w:cs="Tahoma"/>
          <w:color w:val="000000" w:themeColor="text1"/>
          <w:sz w:val="18"/>
          <w:szCs w:val="18"/>
        </w:rPr>
        <w:t> </w:t>
      </w:r>
      <w:r w:rsidRPr="00977E53">
        <w:rPr>
          <w:rFonts w:cs="Tahoma"/>
          <w:color w:val="000000" w:themeColor="text1"/>
          <w:sz w:val="18"/>
          <w:szCs w:val="18"/>
        </w:rPr>
        <w:t>okresy roczne rozpoczynające się 1 stycznia 2020 roku lub po tej dacie.</w:t>
      </w:r>
    </w:p>
    <w:p w14:paraId="6386C759" w14:textId="77777777" w:rsidR="00190879" w:rsidRPr="00977E53" w:rsidRDefault="00190879" w:rsidP="00190879">
      <w:pPr>
        <w:suppressAutoHyphens/>
        <w:spacing w:before="120"/>
        <w:ind w:left="340"/>
        <w:jc w:val="both"/>
        <w:rPr>
          <w:rFonts w:cs="Tahoma"/>
          <w:color w:val="000000" w:themeColor="text1"/>
          <w:sz w:val="18"/>
          <w:szCs w:val="18"/>
        </w:rPr>
      </w:pPr>
      <w:r w:rsidRPr="00977E53">
        <w:rPr>
          <w:rFonts w:cs="Tahoma"/>
          <w:color w:val="000000" w:themeColor="text1"/>
          <w:sz w:val="18"/>
          <w:szCs w:val="18"/>
        </w:rPr>
        <w:t>Zmiany do MSSF 9, MSR 39 i MSSF 7 kończą pierwszą fazę prac Rady Międzynarodowych Standardów Rachunkowości w odpowiedzi na wpływ reformy stawek międzybankowych (IBOR) na sprawozdawczość finansową. Zmiany wprowadzają tymczasowe ulgi, które umożliwiają kontynuację rachunkowości zabezpieczeń w okresie niepewności przed zastąpieniem istniejącego wskaźnika referencyjnego stopy procentowej alternatywną stopą procentową pozbawioną ryzyka. W wyniku reformy wskaźnika referencyjnego stóp procentowych może wystąpić niepewność co do momentu w czasie i wielkości opartych na wskaźnikach przepływów pieniężnych pozycji zabezpieczanej lub instrumentu zabezpieczającego w okresie przed zastąpieniem istniejącego wskaźnika referencyjnego stopy procentowej alternatywną stopą procentową pozbawioną ryzyka. Może to prowadzić do niepewności, czy prognozowana transakcja jest wysoce prawdopodobna i czy oczekuje się, że prospektywne powiązanie zabezpieczające będzie wysoce skuteczne.</w:t>
      </w:r>
    </w:p>
    <w:p w14:paraId="449A82BD" w14:textId="77777777" w:rsidR="00190879" w:rsidRDefault="00190879" w:rsidP="00190879">
      <w:pPr>
        <w:suppressAutoHyphens/>
        <w:spacing w:before="120"/>
        <w:ind w:left="340"/>
        <w:jc w:val="both"/>
        <w:rPr>
          <w:rFonts w:cs="Tahoma"/>
          <w:color w:val="000000" w:themeColor="text1"/>
          <w:sz w:val="18"/>
          <w:szCs w:val="18"/>
        </w:rPr>
      </w:pPr>
      <w:r>
        <w:rPr>
          <w:rFonts w:cs="Tahoma"/>
          <w:color w:val="000000" w:themeColor="text1"/>
          <w:sz w:val="18"/>
          <w:szCs w:val="18"/>
        </w:rPr>
        <w:t>Grupa</w:t>
      </w:r>
      <w:r w:rsidRPr="008544D9">
        <w:rPr>
          <w:rFonts w:cs="Tahoma"/>
          <w:color w:val="000000" w:themeColor="text1"/>
          <w:sz w:val="18"/>
          <w:szCs w:val="18"/>
        </w:rPr>
        <w:t xml:space="preserve"> skorzystał</w:t>
      </w:r>
      <w:r>
        <w:rPr>
          <w:rFonts w:cs="Tahoma"/>
          <w:color w:val="000000" w:themeColor="text1"/>
          <w:sz w:val="18"/>
          <w:szCs w:val="18"/>
        </w:rPr>
        <w:t>a</w:t>
      </w:r>
      <w:r w:rsidRPr="008544D9">
        <w:rPr>
          <w:rFonts w:cs="Tahoma"/>
          <w:color w:val="000000" w:themeColor="text1"/>
          <w:sz w:val="18"/>
          <w:szCs w:val="18"/>
        </w:rPr>
        <w:t xml:space="preserve"> z prawa umożliwiającego wcześniejsze zastosowanie zmian w standardach i</w:t>
      </w:r>
      <w:r>
        <w:rPr>
          <w:rFonts w:cs="Tahoma"/>
          <w:color w:val="000000" w:themeColor="text1"/>
          <w:sz w:val="18"/>
          <w:szCs w:val="18"/>
        </w:rPr>
        <w:t> </w:t>
      </w:r>
      <w:r w:rsidRPr="008544D9">
        <w:rPr>
          <w:rFonts w:cs="Tahoma"/>
          <w:color w:val="000000" w:themeColor="text1"/>
          <w:sz w:val="18"/>
          <w:szCs w:val="18"/>
        </w:rPr>
        <w:t>w</w:t>
      </w:r>
      <w:r>
        <w:rPr>
          <w:rFonts w:cs="Tahoma"/>
          <w:color w:val="000000" w:themeColor="text1"/>
          <w:sz w:val="18"/>
          <w:szCs w:val="18"/>
        </w:rPr>
        <w:t> </w:t>
      </w:r>
      <w:r w:rsidRPr="008544D9">
        <w:rPr>
          <w:rFonts w:cs="Tahoma"/>
          <w:color w:val="000000" w:themeColor="text1"/>
          <w:sz w:val="18"/>
          <w:szCs w:val="18"/>
        </w:rPr>
        <w:t>związku z tym nie dokonał</w:t>
      </w:r>
      <w:r>
        <w:rPr>
          <w:rFonts w:cs="Tahoma"/>
          <w:color w:val="000000" w:themeColor="text1"/>
          <w:sz w:val="18"/>
          <w:szCs w:val="18"/>
        </w:rPr>
        <w:t>a</w:t>
      </w:r>
      <w:r w:rsidRPr="008544D9">
        <w:rPr>
          <w:rFonts w:cs="Tahoma"/>
          <w:color w:val="000000" w:themeColor="text1"/>
          <w:sz w:val="18"/>
          <w:szCs w:val="18"/>
        </w:rPr>
        <w:t xml:space="preserve"> weryfikacji efektywności relacji zabezpieczających.</w:t>
      </w:r>
    </w:p>
    <w:p w14:paraId="60256607" w14:textId="77777777" w:rsidR="00190879" w:rsidRPr="00977E53" w:rsidRDefault="00190879" w:rsidP="00B71F4C">
      <w:pPr>
        <w:autoSpaceDE w:val="0"/>
        <w:autoSpaceDN w:val="0"/>
        <w:adjustRightInd w:val="0"/>
        <w:spacing w:before="240" w:after="240"/>
        <w:jc w:val="both"/>
        <w:rPr>
          <w:rFonts w:cs="Tahoma"/>
          <w:color w:val="000000" w:themeColor="text1"/>
          <w:sz w:val="18"/>
          <w:szCs w:val="18"/>
          <w:u w:val="single"/>
        </w:rPr>
      </w:pPr>
      <w:r w:rsidRPr="00977E53">
        <w:rPr>
          <w:rFonts w:cs="Tahoma"/>
          <w:color w:val="000000" w:themeColor="text1"/>
          <w:sz w:val="18"/>
          <w:szCs w:val="18"/>
          <w:u w:val="single"/>
        </w:rPr>
        <w:t>Opublikowane Standardy i Interpretacje, które zostały wydane, ale jeszcze nie obowiązują i nie zostały wcześniej zastosowane</w:t>
      </w:r>
    </w:p>
    <w:p w14:paraId="145B6895" w14:textId="5CCCB42D" w:rsidR="00190879" w:rsidRPr="00977E53" w:rsidRDefault="00190879" w:rsidP="00190879">
      <w:pPr>
        <w:numPr>
          <w:ilvl w:val="0"/>
          <w:numId w:val="18"/>
        </w:numPr>
        <w:tabs>
          <w:tab w:val="clear" w:pos="340"/>
          <w:tab w:val="num" w:pos="720"/>
        </w:tabs>
        <w:suppressAutoHyphens/>
        <w:jc w:val="both"/>
        <w:rPr>
          <w:rFonts w:cs="Tahoma"/>
          <w:color w:val="000000" w:themeColor="text1"/>
          <w:sz w:val="18"/>
          <w:szCs w:val="18"/>
        </w:rPr>
      </w:pPr>
      <w:r w:rsidRPr="00977E53">
        <w:rPr>
          <w:rFonts w:cs="Tahoma"/>
          <w:color w:val="000000" w:themeColor="text1"/>
          <w:sz w:val="18"/>
          <w:szCs w:val="18"/>
        </w:rPr>
        <w:t>Zmiany do MSR 1 i MSR 8, Definicja terminu „istotny”, zostały opublikowane przez Radę Międzynarodowych Standardów Rachunkowości 31 października 2018 roku</w:t>
      </w:r>
      <w:r w:rsidR="00F3518F">
        <w:rPr>
          <w:rFonts w:cs="Tahoma"/>
          <w:color w:val="000000" w:themeColor="text1"/>
          <w:sz w:val="18"/>
          <w:szCs w:val="18"/>
        </w:rPr>
        <w:t>, zatwierdzone przez Unię Europejską 10 grudnia 2019 roku</w:t>
      </w:r>
      <w:r w:rsidRPr="00977E53">
        <w:rPr>
          <w:rFonts w:cs="Tahoma"/>
          <w:color w:val="000000" w:themeColor="text1"/>
          <w:sz w:val="18"/>
          <w:szCs w:val="18"/>
        </w:rPr>
        <w:t xml:space="preserve"> i obowiązują za okresy roczne rozpoczynające się z dniem 1 stycznia 2020 roku lub po tej dacie.</w:t>
      </w:r>
    </w:p>
    <w:p w14:paraId="11C7E69C" w14:textId="77777777" w:rsidR="00190879" w:rsidRPr="00977E53" w:rsidRDefault="00190879" w:rsidP="00190879">
      <w:pPr>
        <w:suppressAutoHyphens/>
        <w:spacing w:before="120"/>
        <w:ind w:left="340"/>
        <w:jc w:val="both"/>
        <w:rPr>
          <w:rFonts w:cs="Tahoma"/>
          <w:color w:val="000000" w:themeColor="text1"/>
          <w:sz w:val="18"/>
          <w:szCs w:val="18"/>
        </w:rPr>
      </w:pPr>
      <w:r w:rsidRPr="00977E53">
        <w:rPr>
          <w:rFonts w:cs="Tahoma"/>
          <w:color w:val="000000" w:themeColor="text1"/>
          <w:sz w:val="18"/>
          <w:szCs w:val="18"/>
        </w:rPr>
        <w:t>Zmiany do MSR 1 i MSR 8 wyjaśniają definicję terminu „istotny” i jego zastosowanie poprzez ujednolicenie sformułowania definicji istotności w ramach Międzynarodowych Standardów Sprawozdawczości Finansowej i w pozostałych publikacjach oraz poprzez wprowadzenie drobnych poprawek do tego sformułowania, jak również wprowadzenie dodatkowych wymogów w MSR 1 „Prezentacja Sprawozdań Finansowych” w definicji, aby nadać im większą wagę. Wyjaśnienia towarzyszące definicji terminu „istotny” zostały również doprecyzowane. Zmiany mają na celu pomóc jednostkom dokonywać lepszych ocen istotności bez istotnej zmiany istniejących wymogów.</w:t>
      </w:r>
    </w:p>
    <w:p w14:paraId="3CE6B747" w14:textId="508608D0" w:rsidR="00190879" w:rsidRDefault="00190879" w:rsidP="00190879">
      <w:pPr>
        <w:suppressAutoHyphens/>
        <w:spacing w:before="120"/>
        <w:ind w:left="340"/>
        <w:jc w:val="both"/>
        <w:rPr>
          <w:rFonts w:cs="Tahoma"/>
          <w:color w:val="000000" w:themeColor="text1"/>
          <w:sz w:val="18"/>
          <w:szCs w:val="18"/>
        </w:rPr>
      </w:pPr>
      <w:r w:rsidRPr="00977E53">
        <w:rPr>
          <w:rFonts w:cs="Tahoma"/>
          <w:color w:val="000000" w:themeColor="text1"/>
          <w:sz w:val="18"/>
          <w:szCs w:val="18"/>
        </w:rPr>
        <w:t xml:space="preserve">Grupa uważa, że zastosowanie zmienionych standardów nie będzie miało </w:t>
      </w:r>
      <w:r w:rsidR="00517D69">
        <w:rPr>
          <w:rFonts w:cs="Tahoma"/>
          <w:color w:val="000000" w:themeColor="text1"/>
          <w:sz w:val="18"/>
          <w:szCs w:val="18"/>
        </w:rPr>
        <w:t xml:space="preserve">istotnego </w:t>
      </w:r>
      <w:r w:rsidRPr="00977E53">
        <w:rPr>
          <w:rFonts w:cs="Tahoma"/>
          <w:color w:val="000000" w:themeColor="text1"/>
          <w:sz w:val="18"/>
          <w:szCs w:val="18"/>
        </w:rPr>
        <w:t>wpływu na sprawozdanie finansowe w okresie ich początkowego zastosowania.</w:t>
      </w:r>
    </w:p>
    <w:p w14:paraId="602B6B4F" w14:textId="31BF978D" w:rsidR="008D25D8" w:rsidRPr="00977E53" w:rsidRDefault="008D25D8" w:rsidP="00C72FC7">
      <w:pPr>
        <w:numPr>
          <w:ilvl w:val="0"/>
          <w:numId w:val="18"/>
        </w:numPr>
        <w:suppressAutoHyphens/>
        <w:jc w:val="both"/>
        <w:rPr>
          <w:rFonts w:cs="Tahoma"/>
          <w:color w:val="000000" w:themeColor="text1"/>
          <w:sz w:val="18"/>
          <w:szCs w:val="18"/>
        </w:rPr>
      </w:pPr>
      <w:r w:rsidRPr="00977E53">
        <w:rPr>
          <w:rFonts w:cs="Tahoma"/>
          <w:color w:val="000000" w:themeColor="text1"/>
          <w:sz w:val="18"/>
          <w:szCs w:val="18"/>
        </w:rPr>
        <w:t>Zmiany do Odniesień do Założeń Koncepcyjnych zawartych w Międzynarodowych Standardach Sprawozdawczości Finansowej (opublikowane dnia 29 marca 2018 roku)</w:t>
      </w:r>
      <w:r w:rsidR="00C72FC7">
        <w:rPr>
          <w:rFonts w:cs="Tahoma"/>
          <w:color w:val="000000" w:themeColor="text1"/>
          <w:sz w:val="18"/>
          <w:szCs w:val="18"/>
        </w:rPr>
        <w:t>,</w:t>
      </w:r>
      <w:r w:rsidRPr="00977E53">
        <w:rPr>
          <w:rFonts w:cs="Tahoma"/>
          <w:color w:val="000000" w:themeColor="text1"/>
          <w:sz w:val="18"/>
          <w:szCs w:val="18"/>
        </w:rPr>
        <w:t xml:space="preserve"> </w:t>
      </w:r>
      <w:r w:rsidR="00C72FC7" w:rsidRPr="00C72FC7">
        <w:rPr>
          <w:rFonts w:cs="Tahoma"/>
          <w:color w:val="000000" w:themeColor="text1"/>
          <w:sz w:val="18"/>
          <w:szCs w:val="18"/>
        </w:rPr>
        <w:t>zatwi</w:t>
      </w:r>
      <w:r w:rsidR="00C72FC7">
        <w:rPr>
          <w:rFonts w:cs="Tahoma"/>
          <w:color w:val="000000" w:themeColor="text1"/>
          <w:sz w:val="18"/>
          <w:szCs w:val="18"/>
        </w:rPr>
        <w:t>erdzone przez Unię Europejską 6</w:t>
      </w:r>
      <w:r w:rsidR="00C72FC7" w:rsidRPr="00C72FC7">
        <w:rPr>
          <w:rFonts w:cs="Tahoma"/>
          <w:color w:val="000000" w:themeColor="text1"/>
          <w:sz w:val="18"/>
          <w:szCs w:val="18"/>
        </w:rPr>
        <w:t xml:space="preserve"> grudnia 2019 roku</w:t>
      </w:r>
      <w:r w:rsidR="00C72FC7">
        <w:rPr>
          <w:rFonts w:cs="Tahoma"/>
          <w:color w:val="000000" w:themeColor="text1"/>
          <w:sz w:val="18"/>
          <w:szCs w:val="18"/>
        </w:rPr>
        <w:t>,</w:t>
      </w:r>
      <w:r w:rsidR="00C72FC7" w:rsidRPr="00C72FC7">
        <w:rPr>
          <w:rFonts w:cs="Tahoma"/>
          <w:color w:val="000000" w:themeColor="text1"/>
          <w:sz w:val="18"/>
          <w:szCs w:val="18"/>
        </w:rPr>
        <w:t xml:space="preserve"> </w:t>
      </w:r>
      <w:r w:rsidRPr="00977E53">
        <w:rPr>
          <w:rFonts w:cs="Tahoma"/>
          <w:color w:val="000000" w:themeColor="text1"/>
          <w:sz w:val="18"/>
          <w:szCs w:val="18"/>
        </w:rPr>
        <w:t>mające zastosowanie dla okresów rocznych rozpoczynających się dnia 1 stycznia 2020 roku lub później.</w:t>
      </w:r>
    </w:p>
    <w:p w14:paraId="7CC09AA0" w14:textId="77777777" w:rsidR="008D25D8" w:rsidRPr="00977E53" w:rsidRDefault="008D25D8" w:rsidP="008D25D8">
      <w:pPr>
        <w:suppressAutoHyphens/>
        <w:spacing w:before="120"/>
        <w:ind w:left="340"/>
        <w:jc w:val="both"/>
        <w:rPr>
          <w:rFonts w:cs="Tahoma"/>
          <w:color w:val="000000" w:themeColor="text1"/>
          <w:sz w:val="18"/>
          <w:szCs w:val="18"/>
        </w:rPr>
      </w:pPr>
      <w:r w:rsidRPr="00977E53">
        <w:rPr>
          <w:rFonts w:cs="Tahoma"/>
          <w:color w:val="000000" w:themeColor="text1"/>
          <w:sz w:val="18"/>
          <w:szCs w:val="18"/>
        </w:rPr>
        <w:t>Zmiany w zakresie referencji do Założeń Koncepcyjnych w MSSF jest dokumentem, który określa cel sprawozdawczości finansowej, jakościowe cechy przydatnych informacji finansowych, opis jednostki sprawozdawczej, definicje składnika aktywów, zobowiązania, kapitału własnego, przychodów i kosztów, kryteria rozpoznania aktywów i pasywów w sprawozdaniach finansowych oraz wskazówki kiedy je zaprzestać ujmować, podstawy pomiaru i wskazówki kiedy je stosować, a także koncepcje i wskazówki dotyczące prezentacji i ujawniania.</w:t>
      </w:r>
    </w:p>
    <w:p w14:paraId="03F8DFAB" w14:textId="77777777" w:rsidR="008D25D8" w:rsidRPr="00977E53" w:rsidRDefault="008D25D8" w:rsidP="008D25D8">
      <w:pPr>
        <w:suppressAutoHyphens/>
        <w:spacing w:before="120"/>
        <w:ind w:left="340"/>
        <w:jc w:val="both"/>
        <w:rPr>
          <w:rFonts w:cs="Tahoma"/>
          <w:color w:val="000000" w:themeColor="text1"/>
          <w:sz w:val="18"/>
          <w:szCs w:val="18"/>
        </w:rPr>
      </w:pPr>
      <w:r w:rsidRPr="00977E53">
        <w:rPr>
          <w:rFonts w:cs="Tahoma"/>
          <w:color w:val="000000" w:themeColor="text1"/>
          <w:sz w:val="18"/>
          <w:szCs w:val="18"/>
        </w:rPr>
        <w:t>Grupa uważa, że zastosowanie zmian nie będzie miało wpływu na sprawozdanie finansowe w okresie ich początkowego zastosowania.</w:t>
      </w:r>
    </w:p>
    <w:p w14:paraId="6A9E083B" w14:textId="77777777" w:rsidR="004F51BF" w:rsidRDefault="004F51BF">
      <w:pPr>
        <w:rPr>
          <w:rFonts w:cs="Tahoma"/>
          <w:bCs/>
          <w:color w:val="000000" w:themeColor="text1"/>
          <w:sz w:val="18"/>
          <w:szCs w:val="18"/>
        </w:rPr>
      </w:pPr>
      <w:r>
        <w:rPr>
          <w:rFonts w:cs="Tahoma"/>
          <w:bCs/>
          <w:color w:val="000000" w:themeColor="text1"/>
          <w:sz w:val="18"/>
          <w:szCs w:val="18"/>
        </w:rPr>
        <w:br w:type="page"/>
      </w:r>
    </w:p>
    <w:p w14:paraId="79004740" w14:textId="59FCB1BD" w:rsidR="00BC6B0E" w:rsidRDefault="00BC6B0E" w:rsidP="004F51BF">
      <w:pPr>
        <w:autoSpaceDE w:val="0"/>
        <w:autoSpaceDN w:val="0"/>
        <w:adjustRightInd w:val="0"/>
        <w:jc w:val="both"/>
        <w:rPr>
          <w:rFonts w:cs="Tahoma"/>
          <w:b/>
          <w:color w:val="000000" w:themeColor="text1"/>
          <w:sz w:val="18"/>
          <w:szCs w:val="18"/>
        </w:rPr>
      </w:pPr>
      <w:r w:rsidRPr="00977E53">
        <w:rPr>
          <w:rFonts w:cs="Tahoma"/>
          <w:b/>
          <w:color w:val="000000" w:themeColor="text1"/>
          <w:sz w:val="18"/>
          <w:szCs w:val="18"/>
        </w:rPr>
        <w:lastRenderedPageBreak/>
        <w:t>Standardy i interpretacje</w:t>
      </w:r>
      <w:r w:rsidR="00114BC5" w:rsidRPr="00977E53">
        <w:rPr>
          <w:rFonts w:cs="Tahoma"/>
          <w:b/>
          <w:color w:val="000000" w:themeColor="text1"/>
          <w:sz w:val="18"/>
          <w:szCs w:val="18"/>
        </w:rPr>
        <w:t xml:space="preserve">, które nie są jeszcze </w:t>
      </w:r>
      <w:r w:rsidRPr="00977E53">
        <w:rPr>
          <w:rFonts w:cs="Tahoma"/>
          <w:b/>
          <w:color w:val="000000" w:themeColor="text1"/>
          <w:sz w:val="18"/>
          <w:szCs w:val="18"/>
        </w:rPr>
        <w:t>zatwierdzone przez Unię Europejską</w:t>
      </w:r>
    </w:p>
    <w:p w14:paraId="1136BFDA" w14:textId="77777777" w:rsidR="007C6578" w:rsidRDefault="007C6578" w:rsidP="007C6578">
      <w:pPr>
        <w:autoSpaceDE w:val="0"/>
        <w:autoSpaceDN w:val="0"/>
        <w:adjustRightInd w:val="0"/>
        <w:spacing w:before="120"/>
        <w:ind w:right="74"/>
        <w:jc w:val="both"/>
        <w:rPr>
          <w:rFonts w:cs="Tahoma"/>
          <w:bCs/>
          <w:color w:val="000000" w:themeColor="text1"/>
          <w:sz w:val="18"/>
          <w:szCs w:val="18"/>
        </w:rPr>
      </w:pPr>
      <w:r w:rsidRPr="00977E53">
        <w:rPr>
          <w:rFonts w:cs="Tahoma"/>
          <w:bCs/>
          <w:color w:val="000000" w:themeColor="text1"/>
          <w:sz w:val="18"/>
          <w:szCs w:val="18"/>
        </w:rPr>
        <w:t xml:space="preserve">Niniejsze sprawozdanie finansowe nie uwzględnia wymienionych poniżej standardów i interpretacji, które oczekują na zatwierdzenie przez Unię Europejską, </w:t>
      </w:r>
      <w:r>
        <w:rPr>
          <w:rFonts w:cs="Tahoma"/>
          <w:bCs/>
          <w:color w:val="000000" w:themeColor="text1"/>
          <w:sz w:val="18"/>
          <w:szCs w:val="18"/>
        </w:rPr>
        <w:t xml:space="preserve">ale </w:t>
      </w:r>
      <w:r w:rsidRPr="00977E53">
        <w:rPr>
          <w:rFonts w:cs="Tahoma"/>
          <w:bCs/>
          <w:color w:val="000000" w:themeColor="text1"/>
          <w:sz w:val="18"/>
          <w:szCs w:val="18"/>
        </w:rPr>
        <w:t>weszły lub wejdą w życie dopiero po dniu bilansowym.</w:t>
      </w:r>
    </w:p>
    <w:p w14:paraId="1760B987" w14:textId="77777777" w:rsidR="00FA4C72" w:rsidRPr="00977E53" w:rsidRDefault="00FA4C72" w:rsidP="004F51BF">
      <w:pPr>
        <w:numPr>
          <w:ilvl w:val="0"/>
          <w:numId w:val="18"/>
        </w:numPr>
        <w:suppressAutoHyphens/>
        <w:spacing w:before="120"/>
        <w:jc w:val="both"/>
        <w:rPr>
          <w:rFonts w:cs="Tahoma"/>
          <w:color w:val="000000" w:themeColor="text1"/>
          <w:sz w:val="18"/>
          <w:szCs w:val="18"/>
        </w:rPr>
      </w:pPr>
      <w:r w:rsidRPr="00977E53">
        <w:rPr>
          <w:rFonts w:cs="Tahoma"/>
          <w:color w:val="000000" w:themeColor="text1"/>
          <w:sz w:val="18"/>
          <w:szCs w:val="18"/>
        </w:rPr>
        <w:t>MSSF 17, Kontrakty ubezpieczeniowe, został opublikowany przez Radę Międzynarodowych Standardów Rachunkowości („RMSR”) 18 maja 2017 roku i obowiązuje za okresy roczne rozpoczynające się z dniem 1 stycznia 2021 roku lub po tej dacie.</w:t>
      </w:r>
    </w:p>
    <w:p w14:paraId="74BA3D98" w14:textId="1FA7B1EE" w:rsidR="00FA4C72" w:rsidRPr="00977E53" w:rsidRDefault="00FA4C72" w:rsidP="00FA4C72">
      <w:pPr>
        <w:suppressAutoHyphens/>
        <w:spacing w:before="120"/>
        <w:ind w:left="340"/>
        <w:jc w:val="both"/>
        <w:rPr>
          <w:rFonts w:cs="Tahoma"/>
          <w:color w:val="000000" w:themeColor="text1"/>
          <w:sz w:val="18"/>
          <w:szCs w:val="18"/>
        </w:rPr>
      </w:pPr>
      <w:r w:rsidRPr="00977E53">
        <w:rPr>
          <w:rFonts w:cs="Tahoma"/>
          <w:color w:val="000000" w:themeColor="text1"/>
          <w:sz w:val="18"/>
          <w:szCs w:val="18"/>
        </w:rPr>
        <w:t>MSSF 17 definiuje nowe podejście do rozpoznawania, wyceny, prezentacji i ujawniania umów ubezpieczeniowych. Głównym celem MSSF 17 jest zagwarantowanie przejrzystości oraz porównywalności sprawozdań finansowych ubezpieczycieli. W tym celu jednostka będzie ujawniała szereg informacji ilościowych i jakościowych umożliwiających użytkownikom sprawozdania finansowego ocenę wpływu umów ubezpieczeniowych na sytuację finansową, wyniki finansowe oraz przepływy pieniężne jednostki. MSSF 17 wprowadza szereg istotnych zmian w stosunku do</w:t>
      </w:r>
      <w:r w:rsidR="00CF40D9">
        <w:rPr>
          <w:rFonts w:cs="Tahoma"/>
          <w:color w:val="000000" w:themeColor="text1"/>
          <w:sz w:val="18"/>
          <w:szCs w:val="18"/>
        </w:rPr>
        <w:t> </w:t>
      </w:r>
      <w:r w:rsidRPr="00977E53">
        <w:rPr>
          <w:rFonts w:cs="Tahoma"/>
          <w:color w:val="000000" w:themeColor="text1"/>
          <w:sz w:val="18"/>
          <w:szCs w:val="18"/>
        </w:rPr>
        <w:t>dotychczasowych wymogów MSSF 4. Dotyczą one między innymi: poziomów agregacji na jakim wykonywane są obliczenia, metody wyceny zobowiązań ubezpieczeniowych, rozpoznawania zysku lub</w:t>
      </w:r>
      <w:r w:rsidR="00CF40D9">
        <w:rPr>
          <w:rFonts w:cs="Tahoma"/>
          <w:color w:val="000000" w:themeColor="text1"/>
          <w:sz w:val="18"/>
          <w:szCs w:val="18"/>
        </w:rPr>
        <w:t> </w:t>
      </w:r>
      <w:r w:rsidRPr="00977E53">
        <w:rPr>
          <w:rFonts w:cs="Tahoma"/>
          <w:color w:val="000000" w:themeColor="text1"/>
          <w:sz w:val="18"/>
          <w:szCs w:val="18"/>
        </w:rPr>
        <w:t>straty w czasie, ujmowania reasekuracji, wydzielania komponentu inwestycyjnego, sposobu prezentacji poszczególnych pozycji bilansu oraz rachunku zysków i strat jednostek sprawozdawczych, w tym oddzielnej prezentacji przychodów z ubezpieczeń, kosztów usług ubezpieczeniowych, a także przychodów lub kosztów finansowych.</w:t>
      </w:r>
    </w:p>
    <w:p w14:paraId="27D9D7A4" w14:textId="77777777" w:rsidR="00FA4C72" w:rsidRPr="00977E53" w:rsidRDefault="00FA4C72" w:rsidP="00FA4C72">
      <w:pPr>
        <w:suppressAutoHyphens/>
        <w:spacing w:before="120"/>
        <w:ind w:left="340"/>
        <w:jc w:val="both"/>
        <w:rPr>
          <w:rFonts w:cs="Tahoma"/>
          <w:bCs/>
          <w:color w:val="000000" w:themeColor="text1"/>
          <w:sz w:val="18"/>
          <w:szCs w:val="18"/>
        </w:rPr>
      </w:pPr>
      <w:r w:rsidRPr="00977E53">
        <w:rPr>
          <w:rFonts w:cs="Tahoma"/>
          <w:bCs/>
          <w:color w:val="000000" w:themeColor="text1"/>
          <w:sz w:val="18"/>
          <w:szCs w:val="18"/>
        </w:rPr>
        <w:t>Grupa uważa, że zastosowanie zmienionych standardów nie będzie miało znaczącego wpływu na sprawozdanie finansowe w okresie jego początkowego zastosowania.</w:t>
      </w:r>
    </w:p>
    <w:p w14:paraId="4EADC578" w14:textId="77777777" w:rsidR="00FA4C72" w:rsidRPr="00977E53" w:rsidRDefault="00FA4C72" w:rsidP="00526DF1">
      <w:pPr>
        <w:numPr>
          <w:ilvl w:val="0"/>
          <w:numId w:val="18"/>
        </w:numPr>
        <w:tabs>
          <w:tab w:val="clear" w:pos="340"/>
          <w:tab w:val="num" w:pos="720"/>
        </w:tabs>
        <w:suppressAutoHyphens/>
        <w:jc w:val="both"/>
        <w:rPr>
          <w:rFonts w:cs="Tahoma"/>
          <w:color w:val="000000" w:themeColor="text1"/>
          <w:sz w:val="18"/>
          <w:szCs w:val="18"/>
        </w:rPr>
      </w:pPr>
      <w:r w:rsidRPr="00977E53">
        <w:rPr>
          <w:rFonts w:cs="Tahoma"/>
          <w:color w:val="000000" w:themeColor="text1"/>
          <w:sz w:val="18"/>
          <w:szCs w:val="18"/>
        </w:rPr>
        <w:t>Zmiany do MSSF 3, Definicja przedsięwzięcia, zostały opublikowane przez Radę Międzynarodowych Standardów Rachunkowości 22 października 2018 roku i obowiązują za okresy roczne rozpoczynające się z dniem 1 stycznia 2020 lub po tej dacie.</w:t>
      </w:r>
    </w:p>
    <w:p w14:paraId="7B7D5CFD" w14:textId="5C5C5B32" w:rsidR="00FA4C72" w:rsidRPr="00977E53" w:rsidRDefault="00FA4C72" w:rsidP="00FA4C72">
      <w:pPr>
        <w:suppressAutoHyphens/>
        <w:spacing w:before="120"/>
        <w:ind w:left="340"/>
        <w:jc w:val="both"/>
        <w:rPr>
          <w:rFonts w:cs="Tahoma"/>
          <w:color w:val="000000" w:themeColor="text1"/>
          <w:sz w:val="18"/>
          <w:szCs w:val="18"/>
        </w:rPr>
      </w:pPr>
      <w:r w:rsidRPr="00977E53">
        <w:rPr>
          <w:rFonts w:cs="Tahoma"/>
          <w:color w:val="000000" w:themeColor="text1"/>
          <w:sz w:val="18"/>
          <w:szCs w:val="18"/>
        </w:rPr>
        <w:t>Zmiana do MSSF 3 precyzuje definicję przedsięwzięcia celem wsparcia jednostek przy ustalaniu czy</w:t>
      </w:r>
      <w:r w:rsidR="00BB41ED">
        <w:rPr>
          <w:rFonts w:cs="Tahoma"/>
          <w:color w:val="000000" w:themeColor="text1"/>
          <w:sz w:val="18"/>
          <w:szCs w:val="18"/>
        </w:rPr>
        <w:t> </w:t>
      </w:r>
      <w:r w:rsidRPr="00977E53">
        <w:rPr>
          <w:rFonts w:cs="Tahoma"/>
          <w:color w:val="000000" w:themeColor="text1"/>
          <w:sz w:val="18"/>
          <w:szCs w:val="18"/>
        </w:rPr>
        <w:t>transakcja powinna zostać zaksięgowana jako połączenie jednostek, czy jako nabycie aktywów. Główne zmiany odnoszą się do wyjaśnienia, że aby zostać uznanym za przedsięwzięcie, nabyte czynności i aktywa muszą zawierać co najmniej wkład i proces stosowany do tych wkładów, które razem znacząco przyczyniają się do możliwości wytworzenia produktów. Została usunięta ocena dotycząca tego, czy uczestnicy rynku są zdolni do zastąpienia jakichkolwiek brakujących wkładów bądź procesów stosowanych do tych wkładów i kontynuowania wytwarzania produktów. Ponadto, zostały dodane wskazówki i przykłady ilustrujące, aby pomóc jednostkom ocenić, czy proces został zastosowany, a także zostały zawężone definicje przedsięwzięcia i produktów wyjściowych poprzez skoncentrowanie się na produktach i usługach świadczonych klientom i poprzez usunięcie odniesienia do możliwości zmniejszenia kosztów. Został też dodany opcjonalny test koncentracji pozwalający na</w:t>
      </w:r>
      <w:r w:rsidR="00CF40D9">
        <w:rPr>
          <w:rFonts w:cs="Tahoma"/>
          <w:color w:val="000000" w:themeColor="text1"/>
          <w:sz w:val="18"/>
          <w:szCs w:val="18"/>
        </w:rPr>
        <w:t> </w:t>
      </w:r>
      <w:r w:rsidRPr="00977E53">
        <w:rPr>
          <w:rFonts w:cs="Tahoma"/>
          <w:color w:val="000000" w:themeColor="text1"/>
          <w:sz w:val="18"/>
          <w:szCs w:val="18"/>
        </w:rPr>
        <w:t>uproszczoną ocenę, czy nabyta grupa działań i aktywów nie jest przedsięwzięciem.</w:t>
      </w:r>
    </w:p>
    <w:p w14:paraId="1365524B" w14:textId="77777777" w:rsidR="00FA4C72" w:rsidRPr="00977E53" w:rsidRDefault="00FA4C72" w:rsidP="00FA4C72">
      <w:pPr>
        <w:suppressAutoHyphens/>
        <w:spacing w:before="120"/>
        <w:ind w:left="340"/>
        <w:jc w:val="both"/>
        <w:rPr>
          <w:rFonts w:cs="Tahoma"/>
          <w:color w:val="000000" w:themeColor="text1"/>
          <w:sz w:val="18"/>
          <w:szCs w:val="18"/>
        </w:rPr>
      </w:pPr>
      <w:r w:rsidRPr="00977E53">
        <w:rPr>
          <w:rFonts w:cs="Tahoma"/>
          <w:color w:val="000000" w:themeColor="text1"/>
          <w:sz w:val="18"/>
          <w:szCs w:val="18"/>
        </w:rPr>
        <w:t>Grupa uważa, że zastosowanie zmienionego standardu nie będzie miało wpływu na sprawozdanie finansowe w okresie jego początkowego zastosowania.</w:t>
      </w:r>
    </w:p>
    <w:p w14:paraId="77715149" w14:textId="0B67A0D3" w:rsidR="00190879" w:rsidRPr="00190879" w:rsidRDefault="00190879" w:rsidP="00190879">
      <w:pPr>
        <w:numPr>
          <w:ilvl w:val="0"/>
          <w:numId w:val="18"/>
        </w:numPr>
        <w:tabs>
          <w:tab w:val="clear" w:pos="340"/>
          <w:tab w:val="num" w:pos="720"/>
        </w:tabs>
        <w:suppressAutoHyphens/>
        <w:jc w:val="both"/>
        <w:rPr>
          <w:rFonts w:cs="Tahoma"/>
          <w:color w:val="000000" w:themeColor="text1"/>
          <w:sz w:val="18"/>
          <w:szCs w:val="18"/>
        </w:rPr>
      </w:pPr>
      <w:r w:rsidRPr="00190879">
        <w:rPr>
          <w:rFonts w:cs="Tahoma"/>
          <w:color w:val="000000" w:themeColor="text1"/>
          <w:sz w:val="18"/>
          <w:szCs w:val="18"/>
        </w:rPr>
        <w:t xml:space="preserve">Zmiany do MSR 1, Klasyfikacja zobowiązań na krótko i długoterminowe, został opublikowany przez Radę Międzynarodowych Standardów Rachunkowości 23 stycznia 2020 roku i obowiązuje za okresy roczne rozpoczynające się 1 stycznia 2022 roku lub po tej dacie. </w:t>
      </w:r>
    </w:p>
    <w:p w14:paraId="5EAB0643" w14:textId="77777777" w:rsidR="00190879" w:rsidRPr="00190879" w:rsidRDefault="00190879" w:rsidP="00190879">
      <w:pPr>
        <w:suppressAutoHyphens/>
        <w:spacing w:before="120"/>
        <w:ind w:left="340"/>
        <w:jc w:val="both"/>
        <w:rPr>
          <w:rFonts w:cs="Tahoma"/>
          <w:color w:val="000000" w:themeColor="text1"/>
          <w:sz w:val="18"/>
          <w:szCs w:val="18"/>
        </w:rPr>
      </w:pPr>
      <w:r w:rsidRPr="00190879">
        <w:rPr>
          <w:rFonts w:cs="Tahoma"/>
          <w:color w:val="000000" w:themeColor="text1"/>
          <w:sz w:val="18"/>
          <w:szCs w:val="18"/>
        </w:rPr>
        <w:t>Zmiany do MSR 1 mają wpływ na wymogi dotyczące prezentacji zobowiązań w sprawozdaniu finansowym. W szczególności wyjaśniają one jedno z kryteriów klasyfikacji zobowiązania jako długoterminowe.</w:t>
      </w:r>
    </w:p>
    <w:p w14:paraId="4FA62FC7" w14:textId="621C2549" w:rsidR="00190879" w:rsidRDefault="00190879" w:rsidP="00190879">
      <w:pPr>
        <w:suppressAutoHyphens/>
        <w:spacing w:before="120"/>
        <w:ind w:left="340"/>
        <w:jc w:val="both"/>
        <w:rPr>
          <w:rFonts w:cs="Tahoma"/>
          <w:color w:val="000000" w:themeColor="text1"/>
          <w:sz w:val="18"/>
          <w:szCs w:val="18"/>
        </w:rPr>
      </w:pPr>
      <w:r w:rsidRPr="00190879">
        <w:rPr>
          <w:rFonts w:cs="Tahoma"/>
          <w:color w:val="000000" w:themeColor="text1"/>
          <w:sz w:val="18"/>
          <w:szCs w:val="18"/>
        </w:rPr>
        <w:t>Grupa uważa, że zastosowanie standardu nie będzie miało znaczącego wpływu na sprawozdanie finansowe w okresie ich początkowego zastosowania.</w:t>
      </w:r>
    </w:p>
    <w:p w14:paraId="3A9EB947" w14:textId="06F683AE" w:rsidR="00FA4C72" w:rsidRPr="00977E53" w:rsidRDefault="00FA4C72" w:rsidP="00526DF1">
      <w:pPr>
        <w:numPr>
          <w:ilvl w:val="0"/>
          <w:numId w:val="18"/>
        </w:numPr>
        <w:suppressAutoHyphens/>
        <w:jc w:val="both"/>
        <w:rPr>
          <w:rFonts w:cs="Tahoma"/>
          <w:color w:val="000000" w:themeColor="text1"/>
          <w:sz w:val="18"/>
          <w:szCs w:val="18"/>
        </w:rPr>
      </w:pPr>
      <w:r w:rsidRPr="00977E53">
        <w:rPr>
          <w:rFonts w:cs="Tahoma"/>
          <w:color w:val="000000" w:themeColor="text1"/>
          <w:sz w:val="18"/>
          <w:szCs w:val="18"/>
        </w:rPr>
        <w:t>Zmiany do MSSF 10 i MSR 28 Transakcje sprzedaży lub wniesienia aktywów pomiędzy inwestorem a jego jednostką stowarzyszoną lub wspólnym przedsięwzięciem (opublikowano dnia 11 września 2014 roku) – prace prowadzące do zatwierdzenia niniejszych zmian zostały przez UE odłożone bezterminowo - termin wejścia w życie został odroczony przez RMSR na czas nieokreślony.</w:t>
      </w:r>
    </w:p>
    <w:p w14:paraId="4E103375" w14:textId="07FE379F" w:rsidR="004F51BF" w:rsidRDefault="004F51BF">
      <w:pPr>
        <w:rPr>
          <w:rFonts w:cs="Tahoma"/>
          <w:sz w:val="18"/>
          <w:szCs w:val="18"/>
        </w:rPr>
      </w:pPr>
      <w:r>
        <w:rPr>
          <w:rFonts w:cs="Tahoma"/>
          <w:sz w:val="18"/>
          <w:szCs w:val="18"/>
        </w:rPr>
        <w:br w:type="page"/>
      </w:r>
    </w:p>
    <w:p w14:paraId="026BAC1F" w14:textId="2C5B9419" w:rsidR="004861BA" w:rsidRDefault="004861BA" w:rsidP="004F51BF">
      <w:pPr>
        <w:pStyle w:val="Akapitzlist"/>
        <w:keepNext/>
        <w:numPr>
          <w:ilvl w:val="0"/>
          <w:numId w:val="16"/>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ind w:hanging="720"/>
        <w:jc w:val="both"/>
        <w:outlineLvl w:val="2"/>
        <w:rPr>
          <w:b/>
          <w:color w:val="E41E0A"/>
          <w:sz w:val="18"/>
          <w:szCs w:val="18"/>
        </w:rPr>
      </w:pPr>
      <w:bookmarkStart w:id="95" w:name="_Toc32999818"/>
      <w:r>
        <w:rPr>
          <w:b/>
          <w:color w:val="E41E0A"/>
          <w:sz w:val="18"/>
          <w:szCs w:val="18"/>
        </w:rPr>
        <w:lastRenderedPageBreak/>
        <w:t>Dane porównawcze</w:t>
      </w:r>
      <w:bookmarkEnd w:id="95"/>
    </w:p>
    <w:p w14:paraId="55467311" w14:textId="77777777" w:rsidR="00CF4456" w:rsidRPr="00932871" w:rsidRDefault="00CF4456" w:rsidP="00932871">
      <w:pPr>
        <w:numPr>
          <w:ilvl w:val="0"/>
          <w:numId w:val="17"/>
        </w:numPr>
        <w:tabs>
          <w:tab w:val="clear" w:pos="1267"/>
          <w:tab w:val="num" w:pos="426"/>
        </w:tabs>
        <w:suppressAutoHyphens/>
        <w:spacing w:before="120" w:after="120"/>
        <w:ind w:left="425" w:right="-57" w:hanging="425"/>
        <w:jc w:val="both"/>
        <w:rPr>
          <w:rFonts w:cs="Tahoma"/>
          <w:bCs/>
          <w:color w:val="000000" w:themeColor="text1"/>
          <w:sz w:val="18"/>
          <w:szCs w:val="18"/>
        </w:rPr>
      </w:pPr>
      <w:r w:rsidRPr="00932871">
        <w:rPr>
          <w:rFonts w:cs="Tahoma"/>
          <w:bCs/>
          <w:color w:val="000000" w:themeColor="text1"/>
          <w:sz w:val="18"/>
          <w:szCs w:val="18"/>
        </w:rPr>
        <w:t>Prezentacja wyniku z tytułu rezerw na ryzyko prawne związane z kredytami walutowymi</w:t>
      </w:r>
    </w:p>
    <w:p w14:paraId="0AB9260D" w14:textId="69CD647C" w:rsidR="00CF4456" w:rsidRDefault="00CF4456" w:rsidP="00932871">
      <w:pPr>
        <w:spacing w:before="120" w:after="120"/>
        <w:jc w:val="both"/>
        <w:rPr>
          <w:rFonts w:cs="Tahoma"/>
          <w:color w:val="000000" w:themeColor="text1"/>
          <w:spacing w:val="-2"/>
          <w:sz w:val="18"/>
          <w:szCs w:val="18"/>
          <w:lang w:eastAsia="en-US"/>
        </w:rPr>
      </w:pPr>
      <w:r w:rsidRPr="00F9607E">
        <w:rPr>
          <w:rFonts w:cs="Tahoma"/>
          <w:color w:val="000000" w:themeColor="text1"/>
          <w:spacing w:val="-2"/>
          <w:sz w:val="18"/>
          <w:szCs w:val="18"/>
          <w:lang w:eastAsia="en-US"/>
        </w:rPr>
        <w:t xml:space="preserve">Od końca 2019 roku Grupa wyodrębniła nową pozycję w rachunku zysków i strat, w której prezentuje wynik z </w:t>
      </w:r>
      <w:r>
        <w:rPr>
          <w:rFonts w:cs="Tahoma"/>
          <w:color w:val="000000" w:themeColor="text1"/>
          <w:spacing w:val="-2"/>
          <w:sz w:val="18"/>
          <w:szCs w:val="18"/>
          <w:lang w:eastAsia="en-US"/>
        </w:rPr>
        <w:t xml:space="preserve">tytułu </w:t>
      </w:r>
      <w:r w:rsidRPr="00F9607E">
        <w:rPr>
          <w:rFonts w:cs="Tahoma"/>
          <w:color w:val="000000" w:themeColor="text1"/>
          <w:spacing w:val="-2"/>
          <w:sz w:val="18"/>
          <w:szCs w:val="18"/>
          <w:lang w:eastAsia="en-US"/>
        </w:rPr>
        <w:t xml:space="preserve">rezerw na ryzyko prawne związane z kredytami </w:t>
      </w:r>
      <w:r>
        <w:rPr>
          <w:rFonts w:cs="Tahoma"/>
          <w:color w:val="000000" w:themeColor="text1"/>
          <w:spacing w:val="-2"/>
          <w:sz w:val="18"/>
          <w:szCs w:val="18"/>
          <w:lang w:eastAsia="en-US"/>
        </w:rPr>
        <w:t>walutowymi</w:t>
      </w:r>
      <w:r w:rsidRPr="00F9607E">
        <w:rPr>
          <w:rFonts w:cs="Tahoma"/>
          <w:color w:val="000000" w:themeColor="text1"/>
          <w:spacing w:val="-2"/>
          <w:sz w:val="18"/>
          <w:szCs w:val="18"/>
          <w:lang w:eastAsia="en-US"/>
        </w:rPr>
        <w:t>. Poprzednio koszty tworzenia rezerw na</w:t>
      </w:r>
      <w:r w:rsidR="00DE1149">
        <w:rPr>
          <w:rFonts w:cs="Tahoma"/>
          <w:color w:val="000000" w:themeColor="text1"/>
          <w:spacing w:val="-2"/>
          <w:sz w:val="18"/>
          <w:szCs w:val="18"/>
          <w:lang w:eastAsia="en-US"/>
        </w:rPr>
        <w:t> </w:t>
      </w:r>
      <w:r w:rsidRPr="00F9607E">
        <w:rPr>
          <w:rFonts w:cs="Tahoma"/>
          <w:color w:val="000000" w:themeColor="text1"/>
          <w:spacing w:val="-2"/>
          <w:sz w:val="18"/>
          <w:szCs w:val="18"/>
          <w:lang w:eastAsia="en-US"/>
        </w:rPr>
        <w:t>sprawy sądowe dotyczące kredytów walutowych prezentowane były jako pozostałe koszty operacyjne, a</w:t>
      </w:r>
      <w:r>
        <w:rPr>
          <w:rFonts w:cs="Tahoma"/>
          <w:color w:val="000000" w:themeColor="text1"/>
          <w:spacing w:val="-2"/>
          <w:sz w:val="18"/>
          <w:szCs w:val="18"/>
          <w:lang w:eastAsia="en-US"/>
        </w:rPr>
        <w:t> </w:t>
      </w:r>
      <w:r w:rsidRPr="00F9607E">
        <w:rPr>
          <w:rFonts w:cs="Tahoma"/>
          <w:color w:val="000000" w:themeColor="text1"/>
          <w:spacing w:val="-2"/>
          <w:sz w:val="18"/>
          <w:szCs w:val="18"/>
          <w:lang w:eastAsia="en-US"/>
        </w:rPr>
        <w:t>przychody związane z rozwiązaniem tych rezerw prezentowane były w pozycji pozostałe przychody operacyjne. Zmiana prezentacji jest istotna dla zrozumienia wyników finansowych Grupy. Dane porównawcze zostały odpowiednio skorygowane, co spowodowało zmniejszenie pozostałych przychod</w:t>
      </w:r>
      <w:r>
        <w:rPr>
          <w:rFonts w:cs="Tahoma"/>
          <w:color w:val="000000" w:themeColor="text1"/>
          <w:spacing w:val="-2"/>
          <w:sz w:val="18"/>
          <w:szCs w:val="18"/>
          <w:lang w:eastAsia="en-US"/>
        </w:rPr>
        <w:t>ów operacyjnych w 2018 roku o 2 </w:t>
      </w:r>
      <w:r w:rsidRPr="00F9607E">
        <w:rPr>
          <w:rFonts w:cs="Tahoma"/>
          <w:color w:val="000000" w:themeColor="text1"/>
          <w:spacing w:val="-2"/>
          <w:sz w:val="18"/>
          <w:szCs w:val="18"/>
          <w:lang w:eastAsia="en-US"/>
        </w:rPr>
        <w:t>626 tys. zł i zmniejszenie pozost</w:t>
      </w:r>
      <w:r>
        <w:rPr>
          <w:rFonts w:cs="Tahoma"/>
          <w:color w:val="000000" w:themeColor="text1"/>
          <w:spacing w:val="-2"/>
          <w:sz w:val="18"/>
          <w:szCs w:val="18"/>
          <w:lang w:eastAsia="en-US"/>
        </w:rPr>
        <w:t>ałych kosztów operacyjnych o 22 </w:t>
      </w:r>
      <w:r w:rsidRPr="00F9607E">
        <w:rPr>
          <w:rFonts w:cs="Tahoma"/>
          <w:color w:val="000000" w:themeColor="text1"/>
          <w:spacing w:val="-2"/>
          <w:sz w:val="18"/>
          <w:szCs w:val="18"/>
          <w:lang w:eastAsia="en-US"/>
        </w:rPr>
        <w:t>975 tys. zł. Wynik</w:t>
      </w:r>
      <w:r w:rsidR="004F51BF">
        <w:rPr>
          <w:rFonts w:cs="Tahoma"/>
          <w:color w:val="000000" w:themeColor="text1"/>
          <w:spacing w:val="-2"/>
          <w:sz w:val="18"/>
          <w:szCs w:val="18"/>
          <w:lang w:eastAsia="en-US"/>
        </w:rPr>
        <w:t> </w:t>
      </w:r>
      <w:r w:rsidRPr="00F9607E">
        <w:rPr>
          <w:rFonts w:cs="Tahoma"/>
          <w:color w:val="000000" w:themeColor="text1"/>
          <w:spacing w:val="-2"/>
          <w:sz w:val="18"/>
          <w:szCs w:val="18"/>
          <w:lang w:eastAsia="en-US"/>
        </w:rPr>
        <w:t>na</w:t>
      </w:r>
      <w:r>
        <w:rPr>
          <w:rFonts w:cs="Tahoma"/>
          <w:color w:val="000000" w:themeColor="text1"/>
          <w:spacing w:val="-2"/>
          <w:sz w:val="18"/>
          <w:szCs w:val="18"/>
          <w:lang w:eastAsia="en-US"/>
        </w:rPr>
        <w:t> </w:t>
      </w:r>
      <w:r w:rsidRPr="00F9607E">
        <w:rPr>
          <w:rFonts w:cs="Tahoma"/>
          <w:color w:val="000000" w:themeColor="text1"/>
          <w:spacing w:val="-2"/>
          <w:sz w:val="18"/>
          <w:szCs w:val="18"/>
          <w:lang w:eastAsia="en-US"/>
        </w:rPr>
        <w:t xml:space="preserve">rezerwach na ryzyko prawne związane z kredytami </w:t>
      </w:r>
      <w:r>
        <w:rPr>
          <w:rFonts w:cs="Tahoma"/>
          <w:color w:val="000000" w:themeColor="text1"/>
          <w:spacing w:val="-2"/>
          <w:sz w:val="18"/>
          <w:szCs w:val="18"/>
          <w:lang w:eastAsia="en-US"/>
        </w:rPr>
        <w:t>walutowymi</w:t>
      </w:r>
      <w:r w:rsidRPr="00F9607E">
        <w:rPr>
          <w:rFonts w:cs="Tahoma"/>
          <w:color w:val="000000" w:themeColor="text1"/>
          <w:spacing w:val="-2"/>
          <w:sz w:val="18"/>
          <w:szCs w:val="18"/>
          <w:lang w:eastAsia="en-US"/>
        </w:rPr>
        <w:t xml:space="preserve"> w 20</w:t>
      </w:r>
      <w:r>
        <w:rPr>
          <w:rFonts w:cs="Tahoma"/>
          <w:color w:val="000000" w:themeColor="text1"/>
          <w:spacing w:val="-2"/>
          <w:sz w:val="18"/>
          <w:szCs w:val="18"/>
          <w:lang w:eastAsia="en-US"/>
        </w:rPr>
        <w:t>18 roku był ujemny i wyniósł 20 </w:t>
      </w:r>
      <w:r w:rsidRPr="00F9607E">
        <w:rPr>
          <w:rFonts w:cs="Tahoma"/>
          <w:color w:val="000000" w:themeColor="text1"/>
          <w:spacing w:val="-2"/>
          <w:sz w:val="18"/>
          <w:szCs w:val="18"/>
          <w:lang w:eastAsia="en-US"/>
        </w:rPr>
        <w:t>349</w:t>
      </w:r>
      <w:r>
        <w:rPr>
          <w:rFonts w:cs="Tahoma"/>
          <w:color w:val="000000" w:themeColor="text1"/>
          <w:spacing w:val="-2"/>
          <w:sz w:val="18"/>
          <w:szCs w:val="18"/>
          <w:lang w:eastAsia="en-US"/>
        </w:rPr>
        <w:t> </w:t>
      </w:r>
      <w:r w:rsidRPr="00F9607E">
        <w:rPr>
          <w:rFonts w:cs="Tahoma"/>
          <w:color w:val="000000" w:themeColor="text1"/>
          <w:spacing w:val="-2"/>
          <w:sz w:val="18"/>
          <w:szCs w:val="18"/>
          <w:lang w:eastAsia="en-US"/>
        </w:rPr>
        <w:t>tys. zł.</w:t>
      </w:r>
    </w:p>
    <w:p w14:paraId="25A2898D" w14:textId="34E76183" w:rsidR="00F9607E" w:rsidRPr="00932871" w:rsidRDefault="00F9607E" w:rsidP="00932871">
      <w:pPr>
        <w:numPr>
          <w:ilvl w:val="0"/>
          <w:numId w:val="17"/>
        </w:numPr>
        <w:tabs>
          <w:tab w:val="clear" w:pos="1267"/>
          <w:tab w:val="num" w:pos="426"/>
        </w:tabs>
        <w:suppressAutoHyphens/>
        <w:spacing w:before="120" w:after="120"/>
        <w:ind w:left="425" w:right="-57" w:hanging="425"/>
        <w:jc w:val="both"/>
        <w:rPr>
          <w:rFonts w:cs="Tahoma"/>
          <w:bCs/>
          <w:color w:val="000000" w:themeColor="text1"/>
          <w:sz w:val="18"/>
          <w:szCs w:val="18"/>
        </w:rPr>
      </w:pPr>
      <w:r w:rsidRPr="00932871">
        <w:rPr>
          <w:rFonts w:cs="Tahoma"/>
          <w:bCs/>
          <w:color w:val="000000" w:themeColor="text1"/>
          <w:sz w:val="18"/>
          <w:szCs w:val="18"/>
        </w:rPr>
        <w:t>Ujęcie niektórych transakcji kupna i sprzedaży papierów wartościowych</w:t>
      </w:r>
    </w:p>
    <w:p w14:paraId="10FBF9B5" w14:textId="79AD867D" w:rsidR="00672C62" w:rsidRPr="00672C62" w:rsidRDefault="00032790" w:rsidP="00672C62">
      <w:pPr>
        <w:spacing w:before="120"/>
        <w:jc w:val="both"/>
        <w:rPr>
          <w:rFonts w:cs="Tahoma"/>
          <w:color w:val="000000" w:themeColor="text1"/>
          <w:spacing w:val="-2"/>
          <w:sz w:val="18"/>
          <w:szCs w:val="18"/>
          <w:lang w:eastAsia="en-US"/>
        </w:rPr>
      </w:pPr>
      <w:r>
        <w:rPr>
          <w:rFonts w:cs="Tahoma"/>
          <w:color w:val="000000" w:themeColor="text1"/>
          <w:spacing w:val="-2"/>
          <w:sz w:val="18"/>
          <w:szCs w:val="18"/>
          <w:lang w:eastAsia="en-US"/>
        </w:rPr>
        <w:t>W IV kwartale 2019 roku Grupa</w:t>
      </w:r>
      <w:r w:rsidR="00672C62" w:rsidRPr="00672C62">
        <w:rPr>
          <w:rFonts w:cs="Tahoma"/>
          <w:color w:val="000000" w:themeColor="text1"/>
          <w:spacing w:val="-2"/>
          <w:sz w:val="18"/>
          <w:szCs w:val="18"/>
          <w:lang w:eastAsia="en-US"/>
        </w:rPr>
        <w:t xml:space="preserve"> skorygował</w:t>
      </w:r>
      <w:r>
        <w:rPr>
          <w:rFonts w:cs="Tahoma"/>
          <w:color w:val="000000" w:themeColor="text1"/>
          <w:spacing w:val="-2"/>
          <w:sz w:val="18"/>
          <w:szCs w:val="18"/>
          <w:lang w:eastAsia="en-US"/>
        </w:rPr>
        <w:t>a</w:t>
      </w:r>
      <w:r w:rsidR="00672C62" w:rsidRPr="00672C62">
        <w:rPr>
          <w:rFonts w:cs="Tahoma"/>
          <w:color w:val="000000" w:themeColor="text1"/>
          <w:spacing w:val="-2"/>
          <w:sz w:val="18"/>
          <w:szCs w:val="18"/>
          <w:lang w:eastAsia="en-US"/>
        </w:rPr>
        <w:t xml:space="preserve"> ujęcie transakcji na skarbowych papierach wartościowych, które w poprzednich latach zostały nieprawidłowo zakwalifikowane jako transakcje standardowego nabycia lub sprzedaży papierów wartościowych, a nie jako transakcje buy/sell back (dalej: „BSB”) lub sell/buy back (dalej: „SBB”). </w:t>
      </w:r>
    </w:p>
    <w:p w14:paraId="2DA74DDA" w14:textId="5259FCB6" w:rsidR="00672C62" w:rsidRPr="00672C62" w:rsidRDefault="00672C62" w:rsidP="00672C62">
      <w:pPr>
        <w:spacing w:before="120"/>
        <w:jc w:val="both"/>
        <w:rPr>
          <w:rFonts w:cs="Tahoma"/>
          <w:color w:val="000000" w:themeColor="text1"/>
          <w:spacing w:val="-2"/>
          <w:sz w:val="18"/>
          <w:szCs w:val="18"/>
          <w:lang w:eastAsia="en-US"/>
        </w:rPr>
      </w:pPr>
      <w:r w:rsidRPr="00672C62">
        <w:rPr>
          <w:rFonts w:cs="Tahoma"/>
          <w:color w:val="000000" w:themeColor="text1"/>
          <w:spacing w:val="-2"/>
          <w:sz w:val="18"/>
          <w:szCs w:val="18"/>
          <w:lang w:eastAsia="en-US"/>
        </w:rPr>
        <w:t>W ramach prowadzonej dział</w:t>
      </w:r>
      <w:r w:rsidR="00032790">
        <w:rPr>
          <w:rFonts w:cs="Tahoma"/>
          <w:color w:val="000000" w:themeColor="text1"/>
          <w:spacing w:val="-2"/>
          <w:sz w:val="18"/>
          <w:szCs w:val="18"/>
          <w:lang w:eastAsia="en-US"/>
        </w:rPr>
        <w:t>alności finansowej Grupa</w:t>
      </w:r>
      <w:r w:rsidRPr="00672C62">
        <w:rPr>
          <w:rFonts w:cs="Tahoma"/>
          <w:color w:val="000000" w:themeColor="text1"/>
          <w:spacing w:val="-2"/>
          <w:sz w:val="18"/>
          <w:szCs w:val="18"/>
          <w:lang w:eastAsia="en-US"/>
        </w:rPr>
        <w:t xml:space="preserve"> przeprowadza transakcje, których przedmiotem są</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papiery wartościowe wyemitowane przez Skarb Państwa. Oprócz standardowych transakcji kupna i</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 xml:space="preserve">sprzedaży, </w:t>
      </w:r>
      <w:r w:rsidR="00032790">
        <w:rPr>
          <w:rFonts w:cs="Tahoma"/>
          <w:color w:val="000000" w:themeColor="text1"/>
          <w:spacing w:val="-2"/>
          <w:sz w:val="18"/>
          <w:szCs w:val="18"/>
          <w:lang w:eastAsia="en-US"/>
        </w:rPr>
        <w:t>Grupa</w:t>
      </w:r>
      <w:r w:rsidRPr="00672C62">
        <w:rPr>
          <w:rFonts w:cs="Tahoma"/>
          <w:color w:val="000000" w:themeColor="text1"/>
          <w:spacing w:val="-2"/>
          <w:sz w:val="18"/>
          <w:szCs w:val="18"/>
          <w:lang w:eastAsia="en-US"/>
        </w:rPr>
        <w:t xml:space="preserve"> zawiera transakcje typu BSB i SBB, których przedmiotem są bony oraz obligacje skarbowe. Przez standardowe transakcje kupna i sprzedaży papierów wartościowych rozumie się transakcje bezwarunkowego nabycia bądź transakcje bezwarunkowego zbycia papierów wartościowych. Transakcja BSB jest transakcją warunkowego zakupu papierów wartoś</w:t>
      </w:r>
      <w:r w:rsidR="00032790">
        <w:rPr>
          <w:rFonts w:cs="Tahoma"/>
          <w:color w:val="000000" w:themeColor="text1"/>
          <w:spacing w:val="-2"/>
          <w:sz w:val="18"/>
          <w:szCs w:val="18"/>
          <w:lang w:eastAsia="en-US"/>
        </w:rPr>
        <w:t>ciowych, w której Grupa</w:t>
      </w:r>
      <w:r w:rsidRPr="00672C62">
        <w:rPr>
          <w:rFonts w:cs="Tahoma"/>
          <w:color w:val="000000" w:themeColor="text1"/>
          <w:spacing w:val="-2"/>
          <w:sz w:val="18"/>
          <w:szCs w:val="18"/>
          <w:lang w:eastAsia="en-US"/>
        </w:rPr>
        <w:t xml:space="preserve"> kupując papier wartościowy zobowiązuje się jednocześnie do jego odsprzedaży po określonej cenie, w przyszłym terminie. Transakcja SBB polega na sprzedaży papieru wartościowego przy jednoczesnym zobowiązaniu się do jego odkupienia po określonej cenie, w terminie przyszłym. </w:t>
      </w:r>
    </w:p>
    <w:p w14:paraId="06626769" w14:textId="002F52B5" w:rsidR="00672C62" w:rsidRPr="00672C62" w:rsidRDefault="00672C62" w:rsidP="00672C62">
      <w:pPr>
        <w:spacing w:before="120"/>
        <w:jc w:val="both"/>
        <w:rPr>
          <w:rFonts w:cs="Tahoma"/>
          <w:color w:val="000000" w:themeColor="text1"/>
          <w:spacing w:val="-2"/>
          <w:sz w:val="18"/>
          <w:szCs w:val="18"/>
          <w:lang w:eastAsia="en-US"/>
        </w:rPr>
      </w:pPr>
      <w:r w:rsidRPr="00672C62">
        <w:rPr>
          <w:rFonts w:cs="Tahoma"/>
          <w:color w:val="000000" w:themeColor="text1"/>
          <w:spacing w:val="-2"/>
          <w:sz w:val="18"/>
          <w:szCs w:val="18"/>
          <w:lang w:eastAsia="en-US"/>
        </w:rPr>
        <w:t>Niektóre zawarte transakcje kupna i s</w:t>
      </w:r>
      <w:r w:rsidR="00032790">
        <w:rPr>
          <w:rFonts w:cs="Tahoma"/>
          <w:color w:val="000000" w:themeColor="text1"/>
          <w:spacing w:val="-2"/>
          <w:sz w:val="18"/>
          <w:szCs w:val="18"/>
          <w:lang w:eastAsia="en-US"/>
        </w:rPr>
        <w:t>przedaży papierów wartościowych</w:t>
      </w:r>
      <w:r w:rsidRPr="00672C62">
        <w:rPr>
          <w:rFonts w:cs="Tahoma"/>
          <w:color w:val="000000" w:themeColor="text1"/>
          <w:spacing w:val="-2"/>
          <w:sz w:val="18"/>
          <w:szCs w:val="18"/>
          <w:lang w:eastAsia="en-US"/>
        </w:rPr>
        <w:t xml:space="preserve"> które</w:t>
      </w:r>
      <w:r w:rsidR="00032790">
        <w:rPr>
          <w:rFonts w:cs="Tahoma"/>
          <w:color w:val="000000" w:themeColor="text1"/>
          <w:spacing w:val="-2"/>
          <w:sz w:val="18"/>
          <w:szCs w:val="18"/>
          <w:lang w:eastAsia="en-US"/>
        </w:rPr>
        <w:t>,</w:t>
      </w:r>
      <w:r w:rsidRPr="00672C62">
        <w:rPr>
          <w:rFonts w:cs="Tahoma"/>
          <w:color w:val="000000" w:themeColor="text1"/>
          <w:spacing w:val="-2"/>
          <w:sz w:val="18"/>
          <w:szCs w:val="18"/>
          <w:lang w:eastAsia="en-US"/>
        </w:rPr>
        <w:t xml:space="preserve"> traktowane łącznie, z</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perspektywy ekonomicznej były równoważne transakcjom BSB lu</w:t>
      </w:r>
      <w:r w:rsidR="00032790">
        <w:rPr>
          <w:rFonts w:cs="Tahoma"/>
          <w:color w:val="000000" w:themeColor="text1"/>
          <w:spacing w:val="-2"/>
          <w:sz w:val="18"/>
          <w:szCs w:val="18"/>
          <w:lang w:eastAsia="en-US"/>
        </w:rPr>
        <w:t>b SBB, do grudnia 2018 roku Grupa</w:t>
      </w:r>
      <w:r w:rsidRPr="00672C62">
        <w:rPr>
          <w:rFonts w:cs="Tahoma"/>
          <w:color w:val="000000" w:themeColor="text1"/>
          <w:spacing w:val="-2"/>
          <w:sz w:val="18"/>
          <w:szCs w:val="18"/>
          <w:lang w:eastAsia="en-US"/>
        </w:rPr>
        <w:t xml:space="preserve"> nieprawidłowo ujmował</w:t>
      </w:r>
      <w:r w:rsidR="00032790">
        <w:rPr>
          <w:rFonts w:cs="Tahoma"/>
          <w:color w:val="000000" w:themeColor="text1"/>
          <w:spacing w:val="-2"/>
          <w:sz w:val="18"/>
          <w:szCs w:val="18"/>
          <w:lang w:eastAsia="en-US"/>
        </w:rPr>
        <w:t>a</w:t>
      </w:r>
      <w:r w:rsidRPr="00672C62">
        <w:rPr>
          <w:rFonts w:cs="Tahoma"/>
          <w:color w:val="000000" w:themeColor="text1"/>
          <w:spacing w:val="-2"/>
          <w:sz w:val="18"/>
          <w:szCs w:val="18"/>
          <w:lang w:eastAsia="en-US"/>
        </w:rPr>
        <w:t xml:space="preserve"> zgodnie z ich charakterem prawnym jako transakcje bezwarunkowej sprzeda</w:t>
      </w:r>
      <w:r w:rsidR="003101DD">
        <w:rPr>
          <w:rFonts w:cs="Tahoma"/>
          <w:color w:val="000000" w:themeColor="text1"/>
          <w:spacing w:val="-2"/>
          <w:sz w:val="18"/>
          <w:szCs w:val="18"/>
          <w:lang w:eastAsia="en-US"/>
        </w:rPr>
        <w:t>ży bądź bezwarunkowego zakupu. W</w:t>
      </w:r>
      <w:r w:rsidRPr="00672C62">
        <w:rPr>
          <w:rFonts w:cs="Tahoma"/>
          <w:color w:val="000000" w:themeColor="text1"/>
          <w:spacing w:val="-2"/>
          <w:sz w:val="18"/>
          <w:szCs w:val="18"/>
          <w:lang w:eastAsia="en-US"/>
        </w:rPr>
        <w:t xml:space="preserve"> związku z powyższym, w myśl zasady przewagi treści eko</w:t>
      </w:r>
      <w:r w:rsidR="00032790">
        <w:rPr>
          <w:rFonts w:cs="Tahoma"/>
          <w:color w:val="000000" w:themeColor="text1"/>
          <w:spacing w:val="-2"/>
          <w:sz w:val="18"/>
          <w:szCs w:val="18"/>
          <w:lang w:eastAsia="en-US"/>
        </w:rPr>
        <w:t>nomicznej nad formą prawną, Grupa</w:t>
      </w:r>
      <w:r w:rsidRPr="00672C62">
        <w:rPr>
          <w:rFonts w:cs="Tahoma"/>
          <w:color w:val="000000" w:themeColor="text1"/>
          <w:spacing w:val="-2"/>
          <w:sz w:val="18"/>
          <w:szCs w:val="18"/>
          <w:lang w:eastAsia="en-US"/>
        </w:rPr>
        <w:t xml:space="preserve"> skorygował</w:t>
      </w:r>
      <w:r w:rsidR="00032790">
        <w:rPr>
          <w:rFonts w:cs="Tahoma"/>
          <w:color w:val="000000" w:themeColor="text1"/>
          <w:spacing w:val="-2"/>
          <w:sz w:val="18"/>
          <w:szCs w:val="18"/>
          <w:lang w:eastAsia="en-US"/>
        </w:rPr>
        <w:t>a</w:t>
      </w:r>
      <w:r w:rsidRPr="00672C62">
        <w:rPr>
          <w:rFonts w:cs="Tahoma"/>
          <w:color w:val="000000" w:themeColor="text1"/>
          <w:spacing w:val="-2"/>
          <w:sz w:val="18"/>
          <w:szCs w:val="18"/>
          <w:lang w:eastAsia="en-US"/>
        </w:rPr>
        <w:t xml:space="preserve"> sposób ujęcia transakcji na obligacjach skarbowych, co na dzień 31</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grudnia 2018 roku skutkowało zwiększeniem wartości bilansowej dłużnych papierów wartościowych przeznaczonych do obrotu oraz zobowiązań wobec bank</w:t>
      </w:r>
      <w:r w:rsidR="00032790">
        <w:rPr>
          <w:rFonts w:cs="Tahoma"/>
          <w:color w:val="000000" w:themeColor="text1"/>
          <w:spacing w:val="-2"/>
          <w:sz w:val="18"/>
          <w:szCs w:val="18"/>
          <w:lang w:eastAsia="en-US"/>
        </w:rPr>
        <w:t>ów z tytułu transakcji SBB o 30 </w:t>
      </w:r>
      <w:r w:rsidRPr="00672C62">
        <w:rPr>
          <w:rFonts w:cs="Tahoma"/>
          <w:color w:val="000000" w:themeColor="text1"/>
          <w:spacing w:val="-2"/>
          <w:sz w:val="18"/>
          <w:szCs w:val="18"/>
          <w:lang w:eastAsia="en-US"/>
        </w:rPr>
        <w:t>439 tys. zł, natomiast na dzień 1 stycznia 2018 roku zwiększeniem należności z tytułu transakcji BSB wykazywanych w pozycji Kredyty i pożyczki udzielone klientom wyceniane</w:t>
      </w:r>
      <w:r w:rsidR="00032790">
        <w:rPr>
          <w:rFonts w:cs="Tahoma"/>
          <w:color w:val="000000" w:themeColor="text1"/>
          <w:spacing w:val="-2"/>
          <w:sz w:val="18"/>
          <w:szCs w:val="18"/>
          <w:lang w:eastAsia="en-US"/>
        </w:rPr>
        <w:t xml:space="preserve"> w zamortyzowanym koszcie o 385 </w:t>
      </w:r>
      <w:r w:rsidRPr="00672C62">
        <w:rPr>
          <w:rFonts w:cs="Tahoma"/>
          <w:color w:val="000000" w:themeColor="text1"/>
          <w:spacing w:val="-2"/>
          <w:sz w:val="18"/>
          <w:szCs w:val="18"/>
          <w:lang w:eastAsia="en-US"/>
        </w:rPr>
        <w:t xml:space="preserve">954 tys. zł, zwiększeniem </w:t>
      </w:r>
      <w:r w:rsidR="00032790">
        <w:rPr>
          <w:rFonts w:cs="Tahoma"/>
          <w:color w:val="000000" w:themeColor="text1"/>
          <w:spacing w:val="-2"/>
          <w:sz w:val="18"/>
          <w:szCs w:val="18"/>
          <w:lang w:eastAsia="en-US"/>
        </w:rPr>
        <w:t>zobowiązań wobec klientów o 123 </w:t>
      </w:r>
      <w:r w:rsidRPr="00672C62">
        <w:rPr>
          <w:rFonts w:cs="Tahoma"/>
          <w:color w:val="000000" w:themeColor="text1"/>
          <w:spacing w:val="-2"/>
          <w:sz w:val="18"/>
          <w:szCs w:val="18"/>
          <w:lang w:eastAsia="en-US"/>
        </w:rPr>
        <w:t>618 tys. zł i zmniejszeniem wartości dłużnych papierów wartościowych</w:t>
      </w:r>
      <w:r w:rsidR="00032790">
        <w:rPr>
          <w:rFonts w:cs="Tahoma"/>
          <w:color w:val="000000" w:themeColor="text1"/>
          <w:spacing w:val="-2"/>
          <w:sz w:val="18"/>
          <w:szCs w:val="18"/>
          <w:lang w:eastAsia="en-US"/>
        </w:rPr>
        <w:t xml:space="preserve"> przeznaczonych do obrotu o 262 </w:t>
      </w:r>
      <w:r w:rsidRPr="00672C62">
        <w:rPr>
          <w:rFonts w:cs="Tahoma"/>
          <w:color w:val="000000" w:themeColor="text1"/>
          <w:spacing w:val="-2"/>
          <w:sz w:val="18"/>
          <w:szCs w:val="18"/>
          <w:lang w:eastAsia="en-US"/>
        </w:rPr>
        <w:t>336 tys. zł.</w:t>
      </w:r>
    </w:p>
    <w:p w14:paraId="0F4482D6" w14:textId="130A4610" w:rsidR="009F5F69" w:rsidRDefault="00672C62" w:rsidP="00672C62">
      <w:pPr>
        <w:spacing w:before="120"/>
        <w:jc w:val="both"/>
        <w:rPr>
          <w:rFonts w:cs="Tahoma"/>
          <w:color w:val="000000" w:themeColor="text1"/>
          <w:spacing w:val="-2"/>
          <w:sz w:val="18"/>
          <w:szCs w:val="18"/>
          <w:lang w:eastAsia="en-US"/>
        </w:rPr>
      </w:pPr>
      <w:r w:rsidRPr="00672C62">
        <w:rPr>
          <w:rFonts w:cs="Tahoma"/>
          <w:color w:val="000000" w:themeColor="text1"/>
          <w:spacing w:val="-2"/>
          <w:sz w:val="18"/>
          <w:szCs w:val="18"/>
          <w:lang w:eastAsia="en-US"/>
        </w:rPr>
        <w:t xml:space="preserve">Skutkiem korekty było również ujęcie dodatkowego obciążenia z tytułu podatku od instytucji finansowych. </w:t>
      </w:r>
      <w:r w:rsidR="00032790" w:rsidRPr="00672C62">
        <w:rPr>
          <w:rFonts w:cs="Tahoma"/>
          <w:color w:val="000000" w:themeColor="text1"/>
          <w:spacing w:val="-2"/>
          <w:sz w:val="18"/>
          <w:szCs w:val="18"/>
          <w:lang w:eastAsia="en-US"/>
        </w:rPr>
        <w:t>W</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 xml:space="preserve">okresie od </w:t>
      </w:r>
      <w:r w:rsidR="00431E70">
        <w:rPr>
          <w:rFonts w:cs="Tahoma"/>
          <w:color w:val="000000" w:themeColor="text1"/>
          <w:spacing w:val="-2"/>
          <w:sz w:val="18"/>
          <w:szCs w:val="18"/>
          <w:lang w:eastAsia="en-US"/>
        </w:rPr>
        <w:t xml:space="preserve">1 </w:t>
      </w:r>
      <w:r w:rsidRPr="00672C62">
        <w:rPr>
          <w:rFonts w:cs="Tahoma"/>
          <w:color w:val="000000" w:themeColor="text1"/>
          <w:spacing w:val="-2"/>
          <w:sz w:val="18"/>
          <w:szCs w:val="18"/>
          <w:lang w:eastAsia="en-US"/>
        </w:rPr>
        <w:t>lutego 2016 roku do 31 grudnia 2017 roku obciążenie podatkiem od instytucji finansowych (uwzględniając odsetki za z</w:t>
      </w:r>
      <w:r w:rsidR="00032790">
        <w:rPr>
          <w:rFonts w:cs="Tahoma"/>
          <w:color w:val="000000" w:themeColor="text1"/>
          <w:spacing w:val="-2"/>
          <w:sz w:val="18"/>
          <w:szCs w:val="18"/>
          <w:lang w:eastAsia="en-US"/>
        </w:rPr>
        <w:t>włokę) powinno być większe o 31 </w:t>
      </w:r>
      <w:r w:rsidRPr="00672C62">
        <w:rPr>
          <w:rFonts w:cs="Tahoma"/>
          <w:color w:val="000000" w:themeColor="text1"/>
          <w:spacing w:val="-2"/>
          <w:sz w:val="18"/>
          <w:szCs w:val="18"/>
          <w:lang w:eastAsia="en-US"/>
        </w:rPr>
        <w:t>208 tys. zł, a w okresie od 1 stycznia 2018 ro</w:t>
      </w:r>
      <w:r w:rsidR="00032790">
        <w:rPr>
          <w:rFonts w:cs="Tahoma"/>
          <w:color w:val="000000" w:themeColor="text1"/>
          <w:spacing w:val="-2"/>
          <w:sz w:val="18"/>
          <w:szCs w:val="18"/>
          <w:lang w:eastAsia="en-US"/>
        </w:rPr>
        <w:t>ku do 31 grudnia 2018 roku o 13 </w:t>
      </w:r>
      <w:r w:rsidRPr="00672C62">
        <w:rPr>
          <w:rFonts w:cs="Tahoma"/>
          <w:color w:val="000000" w:themeColor="text1"/>
          <w:spacing w:val="-2"/>
          <w:sz w:val="18"/>
          <w:szCs w:val="18"/>
          <w:lang w:eastAsia="en-US"/>
        </w:rPr>
        <w:t>665 tys</w:t>
      </w:r>
      <w:r w:rsidR="00DA72C0">
        <w:rPr>
          <w:rFonts w:cs="Tahoma"/>
          <w:color w:val="000000" w:themeColor="text1"/>
          <w:spacing w:val="-2"/>
          <w:sz w:val="18"/>
          <w:szCs w:val="18"/>
          <w:lang w:eastAsia="en-US"/>
        </w:rPr>
        <w:t>. zł. W</w:t>
      </w:r>
      <w:r w:rsidR="00032790">
        <w:rPr>
          <w:rFonts w:cs="Tahoma"/>
          <w:color w:val="000000" w:themeColor="text1"/>
          <w:spacing w:val="-2"/>
          <w:sz w:val="18"/>
          <w:szCs w:val="18"/>
          <w:lang w:eastAsia="en-US"/>
        </w:rPr>
        <w:t xml:space="preserve"> związku z powyższym Grupa</w:t>
      </w:r>
      <w:r w:rsidRPr="00672C62">
        <w:rPr>
          <w:rFonts w:cs="Tahoma"/>
          <w:color w:val="000000" w:themeColor="text1"/>
          <w:spacing w:val="-2"/>
          <w:sz w:val="18"/>
          <w:szCs w:val="18"/>
          <w:lang w:eastAsia="en-US"/>
        </w:rPr>
        <w:t xml:space="preserve"> skorygował</w:t>
      </w:r>
      <w:r w:rsidR="00032790">
        <w:rPr>
          <w:rFonts w:cs="Tahoma"/>
          <w:color w:val="000000" w:themeColor="text1"/>
          <w:spacing w:val="-2"/>
          <w:sz w:val="18"/>
          <w:szCs w:val="18"/>
          <w:lang w:eastAsia="en-US"/>
        </w:rPr>
        <w:t>a</w:t>
      </w:r>
      <w:r w:rsidRPr="00672C62">
        <w:rPr>
          <w:rFonts w:cs="Tahoma"/>
          <w:color w:val="000000" w:themeColor="text1"/>
          <w:spacing w:val="-2"/>
          <w:sz w:val="18"/>
          <w:szCs w:val="18"/>
          <w:lang w:eastAsia="en-US"/>
        </w:rPr>
        <w:t xml:space="preserve"> zyski zatrzymane o</w:t>
      </w:r>
      <w:r w:rsidR="00032790">
        <w:rPr>
          <w:rFonts w:cs="Tahoma"/>
          <w:color w:val="000000" w:themeColor="text1"/>
          <w:spacing w:val="-2"/>
          <w:sz w:val="18"/>
          <w:szCs w:val="18"/>
          <w:lang w:eastAsia="en-US"/>
        </w:rPr>
        <w:t> </w:t>
      </w:r>
      <w:r w:rsidRPr="00672C62">
        <w:rPr>
          <w:rFonts w:cs="Tahoma"/>
          <w:color w:val="000000" w:themeColor="text1"/>
          <w:spacing w:val="-2"/>
          <w:sz w:val="18"/>
          <w:szCs w:val="18"/>
          <w:lang w:eastAsia="en-US"/>
        </w:rPr>
        <w:t>powyższe kwoty w korespondencji z zobowiązaniami wobec org</w:t>
      </w:r>
      <w:r w:rsidR="00032790">
        <w:rPr>
          <w:rFonts w:cs="Tahoma"/>
          <w:color w:val="000000" w:themeColor="text1"/>
          <w:spacing w:val="-2"/>
          <w:sz w:val="18"/>
          <w:szCs w:val="18"/>
          <w:lang w:eastAsia="en-US"/>
        </w:rPr>
        <w:t>anów podatkowych. Tym samym Grupa</w:t>
      </w:r>
      <w:r w:rsidRPr="00672C62">
        <w:rPr>
          <w:rFonts w:cs="Tahoma"/>
          <w:color w:val="000000" w:themeColor="text1"/>
          <w:spacing w:val="-2"/>
          <w:sz w:val="18"/>
          <w:szCs w:val="18"/>
          <w:lang w:eastAsia="en-US"/>
        </w:rPr>
        <w:t xml:space="preserve"> skorygował</w:t>
      </w:r>
      <w:r w:rsidR="00032790">
        <w:rPr>
          <w:rFonts w:cs="Tahoma"/>
          <w:color w:val="000000" w:themeColor="text1"/>
          <w:spacing w:val="-2"/>
          <w:sz w:val="18"/>
          <w:szCs w:val="18"/>
          <w:lang w:eastAsia="en-US"/>
        </w:rPr>
        <w:t>a</w:t>
      </w:r>
      <w:r w:rsidRPr="00672C62">
        <w:rPr>
          <w:rFonts w:cs="Tahoma"/>
          <w:color w:val="000000" w:themeColor="text1"/>
          <w:spacing w:val="-2"/>
          <w:sz w:val="18"/>
          <w:szCs w:val="18"/>
          <w:lang w:eastAsia="en-US"/>
        </w:rPr>
        <w:t xml:space="preserve"> </w:t>
      </w:r>
      <w:r w:rsidR="00B11BCE">
        <w:rPr>
          <w:rFonts w:cs="Tahoma"/>
          <w:color w:val="000000" w:themeColor="text1"/>
          <w:spacing w:val="-2"/>
          <w:sz w:val="18"/>
          <w:szCs w:val="18"/>
          <w:lang w:eastAsia="en-US"/>
        </w:rPr>
        <w:t xml:space="preserve">także </w:t>
      </w:r>
      <w:r w:rsidRPr="00672C62">
        <w:rPr>
          <w:rFonts w:cs="Tahoma"/>
          <w:color w:val="000000" w:themeColor="text1"/>
          <w:spacing w:val="-2"/>
          <w:sz w:val="18"/>
          <w:szCs w:val="18"/>
          <w:lang w:eastAsia="en-US"/>
        </w:rPr>
        <w:t>wstępne ujęcie rezerwy na podatek bankowy przez rachunek zysków i strat za rok 2019.</w:t>
      </w:r>
    </w:p>
    <w:p w14:paraId="1890FB7E" w14:textId="77777777" w:rsidR="00213C34" w:rsidRPr="00996A9B" w:rsidRDefault="00213C34" w:rsidP="00996A9B">
      <w:pPr>
        <w:numPr>
          <w:ilvl w:val="0"/>
          <w:numId w:val="17"/>
        </w:numPr>
        <w:tabs>
          <w:tab w:val="clear" w:pos="1267"/>
          <w:tab w:val="num" w:pos="426"/>
        </w:tabs>
        <w:suppressAutoHyphens/>
        <w:spacing w:before="120" w:after="120"/>
        <w:ind w:left="425" w:right="-57" w:hanging="425"/>
        <w:jc w:val="both"/>
        <w:rPr>
          <w:rFonts w:cs="Tahoma"/>
          <w:bCs/>
          <w:color w:val="000000" w:themeColor="text1"/>
          <w:sz w:val="18"/>
          <w:szCs w:val="18"/>
        </w:rPr>
      </w:pPr>
      <w:r w:rsidRPr="00996A9B">
        <w:rPr>
          <w:rFonts w:cs="Tahoma"/>
          <w:bCs/>
          <w:color w:val="000000" w:themeColor="text1"/>
          <w:sz w:val="18"/>
          <w:szCs w:val="18"/>
        </w:rPr>
        <w:t>Netowanie przychodów i kosztów z tytułu opłat i prowizji związanych z zarządzaniem flotą</w:t>
      </w:r>
    </w:p>
    <w:p w14:paraId="0D0CDBEE" w14:textId="63C8C4E2" w:rsidR="00213C34" w:rsidRPr="00F9607E" w:rsidRDefault="00CC1034" w:rsidP="00213C34">
      <w:pPr>
        <w:suppressAutoHyphens/>
        <w:spacing w:before="120" w:after="120"/>
        <w:jc w:val="both"/>
        <w:rPr>
          <w:rFonts w:cs="Tahoma"/>
          <w:color w:val="000000" w:themeColor="text1"/>
          <w:sz w:val="18"/>
          <w:szCs w:val="18"/>
        </w:rPr>
      </w:pPr>
      <w:r>
        <w:rPr>
          <w:rFonts w:cs="Tahoma"/>
          <w:color w:val="000000" w:themeColor="text1"/>
          <w:sz w:val="18"/>
          <w:szCs w:val="18"/>
        </w:rPr>
        <w:t>W</w:t>
      </w:r>
      <w:r w:rsidR="00213C34" w:rsidRPr="00F9607E">
        <w:rPr>
          <w:rFonts w:cs="Tahoma"/>
          <w:color w:val="000000" w:themeColor="text1"/>
          <w:sz w:val="18"/>
          <w:szCs w:val="18"/>
        </w:rPr>
        <w:t xml:space="preserve"> związku z wdrożeniem MSSF 15 „Przychody z umów z klientami” Grupa dokonała zmian prezentacji przychodów i kosztów, które wymagały korekty błędu lat ubiegłych i przekształcenia danych porównawczych za 2018 rok zamieszczonych w niniejszym skonsolidowanym sprawozdaniu finansowym.</w:t>
      </w:r>
    </w:p>
    <w:p w14:paraId="415DF40E" w14:textId="77777777" w:rsidR="00213C34" w:rsidRPr="00977E53" w:rsidRDefault="00213C34" w:rsidP="00213C34">
      <w:pPr>
        <w:spacing w:before="120" w:after="120"/>
        <w:jc w:val="both"/>
        <w:rPr>
          <w:rFonts w:cs="Tahoma"/>
          <w:color w:val="000000" w:themeColor="text1"/>
          <w:spacing w:val="-2"/>
          <w:sz w:val="18"/>
          <w:szCs w:val="18"/>
          <w:lang w:eastAsia="en-US"/>
        </w:rPr>
      </w:pPr>
      <w:r w:rsidRPr="00977E53">
        <w:rPr>
          <w:rFonts w:cs="Tahoma"/>
          <w:color w:val="000000" w:themeColor="text1"/>
          <w:spacing w:val="-2"/>
          <w:sz w:val="18"/>
          <w:szCs w:val="18"/>
          <w:lang w:eastAsia="en-US"/>
        </w:rPr>
        <w:t xml:space="preserve">Zgodnie z wymogami MSSF 15 Grupa pomniejszyła koszty z tytułu opłat i prowizji za okres od 1 stycznia do </w:t>
      </w:r>
      <w:r w:rsidRPr="00095823">
        <w:rPr>
          <w:rFonts w:cs="Tahoma"/>
          <w:color w:val="000000" w:themeColor="text1"/>
          <w:spacing w:val="-2"/>
          <w:sz w:val="18"/>
          <w:szCs w:val="18"/>
          <w:lang w:eastAsia="en-US"/>
        </w:rPr>
        <w:t>31 grudnia 2018 roku o kwotę 11 441 tys. zł, tj. o kwotę przychodów z tytułu opłat i prowizji związanych</w:t>
      </w:r>
      <w:r w:rsidRPr="00977E53">
        <w:rPr>
          <w:rFonts w:cs="Tahoma"/>
          <w:color w:val="000000" w:themeColor="text1"/>
          <w:spacing w:val="-2"/>
          <w:sz w:val="18"/>
          <w:szCs w:val="18"/>
          <w:lang w:eastAsia="en-US"/>
        </w:rPr>
        <w:t xml:space="preserve"> z zarządzaniem flotą samochodów leasingowych, które stanowiły zwrot kosztów ponoszonych przez Grupę. Zmiana nie miała wpływu na wynik z tytułu opłat i prowizji.</w:t>
      </w:r>
    </w:p>
    <w:p w14:paraId="525C0330" w14:textId="17583EFB" w:rsidR="009F5F69" w:rsidRDefault="009F5F69" w:rsidP="009F5F69">
      <w:pPr>
        <w:spacing w:before="120"/>
        <w:jc w:val="both"/>
        <w:rPr>
          <w:color w:val="000000" w:themeColor="text1"/>
          <w:sz w:val="18"/>
          <w:szCs w:val="18"/>
        </w:rPr>
      </w:pPr>
      <w:r w:rsidRPr="00977E53">
        <w:rPr>
          <w:color w:val="000000" w:themeColor="text1"/>
          <w:sz w:val="18"/>
          <w:szCs w:val="18"/>
        </w:rPr>
        <w:t>Wpływ wprowadzonych korekt na prezentowane w niniejszym skonsolidowanym sprawozdaniu finansowym dane porównawcze dla odpowiednich okresów sprawozdawczych przedstawiają poniższe zestawienia.</w:t>
      </w:r>
    </w:p>
    <w:p w14:paraId="2F74D9A8" w14:textId="130E7D55" w:rsidR="00213C34" w:rsidRDefault="00213C34">
      <w:pPr>
        <w:rPr>
          <w:color w:val="000000" w:themeColor="text1"/>
          <w:sz w:val="18"/>
          <w:szCs w:val="18"/>
        </w:rPr>
      </w:pPr>
      <w:r>
        <w:rPr>
          <w:color w:val="000000" w:themeColor="text1"/>
          <w:sz w:val="18"/>
          <w:szCs w:val="18"/>
        </w:rPr>
        <w:br w:type="page"/>
      </w:r>
    </w:p>
    <w:p w14:paraId="2EF3322A" w14:textId="75035A54" w:rsidR="009F5F69" w:rsidRPr="00977E53" w:rsidRDefault="009F5F69" w:rsidP="009F5F69">
      <w:pPr>
        <w:suppressAutoHyphens/>
        <w:spacing w:before="120" w:after="120"/>
        <w:jc w:val="both"/>
        <w:rPr>
          <w:rFonts w:cs="Tahoma"/>
          <w:color w:val="000000" w:themeColor="text1"/>
          <w:sz w:val="18"/>
          <w:szCs w:val="18"/>
        </w:rPr>
      </w:pPr>
      <w:r w:rsidRPr="00977E53">
        <w:rPr>
          <w:rFonts w:cs="Tahoma"/>
          <w:color w:val="000000" w:themeColor="text1"/>
          <w:sz w:val="18"/>
          <w:szCs w:val="18"/>
        </w:rPr>
        <w:lastRenderedPageBreak/>
        <w:t xml:space="preserve">Przekształcenia w </w:t>
      </w:r>
      <w:r w:rsidR="0056795F" w:rsidRPr="00977E53">
        <w:rPr>
          <w:rFonts w:cs="Tahoma"/>
          <w:color w:val="000000" w:themeColor="text1"/>
          <w:sz w:val="18"/>
          <w:szCs w:val="18"/>
        </w:rPr>
        <w:t xml:space="preserve">skonsolidowanym rachunku </w:t>
      </w:r>
      <w:r w:rsidR="00E25E1F" w:rsidRPr="00977E53">
        <w:rPr>
          <w:rFonts w:cs="Tahoma"/>
          <w:color w:val="000000" w:themeColor="text1"/>
          <w:sz w:val="18"/>
          <w:szCs w:val="18"/>
        </w:rPr>
        <w:t>zysków i strat</w:t>
      </w:r>
      <w:r w:rsidR="00B06318">
        <w:rPr>
          <w:rFonts w:cs="Tahoma"/>
          <w:color w:val="000000" w:themeColor="text1"/>
          <w:sz w:val="18"/>
          <w:szCs w:val="18"/>
        </w:rPr>
        <w:t xml:space="preserve"> za 2018 rok</w:t>
      </w:r>
    </w:p>
    <w:tbl>
      <w:tblPr>
        <w:tblW w:w="0" w:type="auto"/>
        <w:tblCellMar>
          <w:left w:w="28" w:type="dxa"/>
          <w:right w:w="28" w:type="dxa"/>
        </w:tblCellMar>
        <w:tblLook w:val="04A0" w:firstRow="1" w:lastRow="0" w:firstColumn="1" w:lastColumn="0" w:noHBand="0" w:noVBand="1"/>
      </w:tblPr>
      <w:tblGrid>
        <w:gridCol w:w="5327"/>
        <w:gridCol w:w="1418"/>
        <w:gridCol w:w="1418"/>
        <w:gridCol w:w="1418"/>
      </w:tblGrid>
      <w:tr w:rsidR="00BD7C14" w:rsidRPr="00C776F9" w14:paraId="2D13D337" w14:textId="77777777" w:rsidTr="00BD7C14">
        <w:trPr>
          <w:trHeight w:val="851"/>
        </w:trPr>
        <w:tc>
          <w:tcPr>
            <w:tcW w:w="0" w:type="auto"/>
            <w:tcBorders>
              <w:top w:val="nil"/>
              <w:left w:val="nil"/>
              <w:bottom w:val="nil"/>
              <w:right w:val="single" w:sz="8" w:space="0" w:color="FFFFFF"/>
            </w:tcBorders>
            <w:shd w:val="clear" w:color="000000" w:fill="0077BD"/>
            <w:vAlign w:val="center"/>
            <w:hideMark/>
          </w:tcPr>
          <w:p w14:paraId="02F1FEB7" w14:textId="2E4F971C" w:rsidR="00BD7C14" w:rsidRPr="00C776F9" w:rsidRDefault="00BD7C14" w:rsidP="00BD7C14">
            <w:pPr>
              <w:jc w:val="right"/>
              <w:rPr>
                <w:rFonts w:cs="Calibri"/>
                <w:b/>
                <w:bCs/>
                <w:color w:val="FFFFFF"/>
                <w:sz w:val="12"/>
                <w:szCs w:val="12"/>
              </w:rPr>
            </w:pPr>
          </w:p>
        </w:tc>
        <w:tc>
          <w:tcPr>
            <w:tcW w:w="1418" w:type="dxa"/>
            <w:tcBorders>
              <w:top w:val="nil"/>
              <w:left w:val="nil"/>
              <w:bottom w:val="nil"/>
              <w:right w:val="nil"/>
            </w:tcBorders>
            <w:shd w:val="clear" w:color="000000" w:fill="0077BD"/>
            <w:vAlign w:val="center"/>
            <w:hideMark/>
          </w:tcPr>
          <w:p w14:paraId="18C5697B" w14:textId="77777777" w:rsidR="00BD7C14" w:rsidRPr="00C776F9" w:rsidRDefault="00BD7C14" w:rsidP="00BD7C14">
            <w:pPr>
              <w:jc w:val="right"/>
              <w:rPr>
                <w:rFonts w:cs="Calibri"/>
                <w:b/>
                <w:bCs/>
                <w:color w:val="FFFFFF"/>
                <w:sz w:val="12"/>
                <w:szCs w:val="12"/>
              </w:rPr>
            </w:pPr>
            <w:r w:rsidRPr="00C776F9">
              <w:rPr>
                <w:rFonts w:cs="Calibri"/>
                <w:b/>
                <w:bCs/>
                <w:color w:val="FFFFFF"/>
                <w:sz w:val="12"/>
                <w:szCs w:val="12"/>
              </w:rPr>
              <w:t xml:space="preserve">Okres </w:t>
            </w:r>
            <w:r w:rsidRPr="00C776F9">
              <w:rPr>
                <w:rFonts w:cs="Calibri"/>
                <w:b/>
                <w:bCs/>
                <w:color w:val="FFFFFF"/>
                <w:sz w:val="12"/>
                <w:szCs w:val="12"/>
              </w:rPr>
              <w:br/>
              <w:t>od 01.01.2018</w:t>
            </w:r>
            <w:r w:rsidRPr="00C776F9">
              <w:rPr>
                <w:rFonts w:cs="Calibri"/>
                <w:b/>
                <w:bCs/>
                <w:color w:val="FFFFFF"/>
                <w:sz w:val="12"/>
                <w:szCs w:val="12"/>
              </w:rPr>
              <w:br/>
              <w:t>do 31.12.2018</w:t>
            </w:r>
            <w:r w:rsidRPr="00C776F9">
              <w:rPr>
                <w:rFonts w:cs="Calibri"/>
                <w:b/>
                <w:bCs/>
                <w:color w:val="FFFFFF"/>
                <w:sz w:val="12"/>
                <w:szCs w:val="12"/>
              </w:rPr>
              <w:br/>
              <w:t>przed przekształceniem</w:t>
            </w:r>
          </w:p>
        </w:tc>
        <w:tc>
          <w:tcPr>
            <w:tcW w:w="1418" w:type="dxa"/>
            <w:tcBorders>
              <w:top w:val="nil"/>
              <w:left w:val="single" w:sz="8" w:space="0" w:color="FFFFFF"/>
              <w:bottom w:val="nil"/>
              <w:right w:val="single" w:sz="8" w:space="0" w:color="FFFFFF"/>
            </w:tcBorders>
            <w:shd w:val="clear" w:color="000000" w:fill="0077BD"/>
            <w:vAlign w:val="center"/>
            <w:hideMark/>
          </w:tcPr>
          <w:p w14:paraId="686C5399" w14:textId="77777777" w:rsidR="00BD7C14" w:rsidRPr="00C776F9" w:rsidRDefault="00BD7C14" w:rsidP="00BD7C14">
            <w:pPr>
              <w:jc w:val="right"/>
              <w:rPr>
                <w:rFonts w:cs="Calibri"/>
                <w:b/>
                <w:bCs/>
                <w:color w:val="FFFFFF"/>
                <w:sz w:val="12"/>
                <w:szCs w:val="12"/>
              </w:rPr>
            </w:pPr>
            <w:r w:rsidRPr="00C776F9">
              <w:rPr>
                <w:rFonts w:cs="Calibri"/>
                <w:b/>
                <w:bCs/>
                <w:color w:val="FFFFFF"/>
                <w:sz w:val="12"/>
                <w:szCs w:val="12"/>
              </w:rPr>
              <w:t>Korekty</w:t>
            </w:r>
          </w:p>
        </w:tc>
        <w:tc>
          <w:tcPr>
            <w:tcW w:w="1418" w:type="dxa"/>
            <w:tcBorders>
              <w:top w:val="nil"/>
              <w:left w:val="nil"/>
              <w:bottom w:val="nil"/>
              <w:right w:val="nil"/>
            </w:tcBorders>
            <w:shd w:val="clear" w:color="000000" w:fill="0077BD"/>
            <w:vAlign w:val="center"/>
            <w:hideMark/>
          </w:tcPr>
          <w:p w14:paraId="1ED0031B" w14:textId="77777777" w:rsidR="00BD7C14" w:rsidRPr="00C776F9" w:rsidRDefault="00BD7C14" w:rsidP="00BD7C14">
            <w:pPr>
              <w:jc w:val="right"/>
              <w:rPr>
                <w:rFonts w:cs="Calibri"/>
                <w:b/>
                <w:bCs/>
                <w:color w:val="FFFFFF"/>
                <w:sz w:val="12"/>
                <w:szCs w:val="12"/>
              </w:rPr>
            </w:pPr>
            <w:r w:rsidRPr="00C776F9">
              <w:rPr>
                <w:rFonts w:cs="Calibri"/>
                <w:b/>
                <w:bCs/>
                <w:color w:val="FFFFFF"/>
                <w:sz w:val="12"/>
                <w:szCs w:val="12"/>
              </w:rPr>
              <w:t xml:space="preserve">Okres </w:t>
            </w:r>
            <w:r w:rsidRPr="00C776F9">
              <w:rPr>
                <w:rFonts w:cs="Calibri"/>
                <w:b/>
                <w:bCs/>
                <w:color w:val="FFFFFF"/>
                <w:sz w:val="12"/>
                <w:szCs w:val="12"/>
              </w:rPr>
              <w:br/>
              <w:t>od 01.01.2018</w:t>
            </w:r>
            <w:r w:rsidRPr="00C776F9">
              <w:rPr>
                <w:rFonts w:cs="Calibri"/>
                <w:b/>
                <w:bCs/>
                <w:color w:val="FFFFFF"/>
                <w:sz w:val="12"/>
                <w:szCs w:val="12"/>
              </w:rPr>
              <w:br/>
              <w:t>do 31.12.2018</w:t>
            </w:r>
            <w:r w:rsidRPr="00C776F9">
              <w:rPr>
                <w:rFonts w:cs="Calibri"/>
                <w:b/>
                <w:bCs/>
                <w:color w:val="FFFFFF"/>
                <w:sz w:val="12"/>
                <w:szCs w:val="12"/>
              </w:rPr>
              <w:br/>
              <w:t xml:space="preserve">po </w:t>
            </w:r>
            <w:r w:rsidRPr="00C776F9">
              <w:rPr>
                <w:rFonts w:cs="Calibri"/>
                <w:b/>
                <w:bCs/>
                <w:color w:val="FFFFFF"/>
                <w:sz w:val="12"/>
                <w:szCs w:val="12"/>
              </w:rPr>
              <w:br/>
              <w:t>przekształceniu</w:t>
            </w:r>
          </w:p>
        </w:tc>
      </w:tr>
      <w:tr w:rsidR="00BD7C14" w:rsidRPr="00C776F9" w14:paraId="40543B6C"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C9AA57E" w14:textId="77777777" w:rsidR="00BD7C14" w:rsidRPr="00C776F9" w:rsidRDefault="00BD7C14" w:rsidP="00BD7C14">
            <w:pPr>
              <w:rPr>
                <w:rFonts w:cs="Calibri"/>
                <w:color w:val="000000"/>
                <w:sz w:val="12"/>
                <w:szCs w:val="12"/>
              </w:rPr>
            </w:pPr>
            <w:r w:rsidRPr="00C776F9">
              <w:rPr>
                <w:rFonts w:cs="Calibri"/>
                <w:color w:val="000000"/>
                <w:sz w:val="12"/>
                <w:szCs w:val="12"/>
              </w:rPr>
              <w:t>Przychody z tytułu odsetek, w tym:</w:t>
            </w:r>
          </w:p>
        </w:tc>
        <w:tc>
          <w:tcPr>
            <w:tcW w:w="1418" w:type="dxa"/>
            <w:tcBorders>
              <w:top w:val="nil"/>
              <w:left w:val="nil"/>
              <w:bottom w:val="single" w:sz="4" w:space="0" w:color="0077BD"/>
              <w:right w:val="nil"/>
            </w:tcBorders>
            <w:shd w:val="clear" w:color="auto" w:fill="auto"/>
            <w:noWrap/>
            <w:vAlign w:val="center"/>
            <w:hideMark/>
          </w:tcPr>
          <w:p w14:paraId="03CBBBAD" w14:textId="77777777" w:rsidR="00BD7C14" w:rsidRPr="00C776F9" w:rsidRDefault="00BD7C14" w:rsidP="00BD7C14">
            <w:pPr>
              <w:jc w:val="right"/>
              <w:rPr>
                <w:rFonts w:cs="Calibri"/>
                <w:color w:val="000000"/>
                <w:sz w:val="12"/>
                <w:szCs w:val="12"/>
              </w:rPr>
            </w:pPr>
            <w:r w:rsidRPr="00C776F9">
              <w:rPr>
                <w:rFonts w:cs="Calibri"/>
                <w:color w:val="000000"/>
                <w:sz w:val="12"/>
                <w:szCs w:val="12"/>
              </w:rPr>
              <w:t>4 518 190</w:t>
            </w:r>
          </w:p>
        </w:tc>
        <w:tc>
          <w:tcPr>
            <w:tcW w:w="1418" w:type="dxa"/>
            <w:tcBorders>
              <w:top w:val="nil"/>
              <w:left w:val="single" w:sz="8" w:space="0" w:color="0077BD"/>
              <w:bottom w:val="single" w:sz="4" w:space="0" w:color="0077BD"/>
              <w:right w:val="nil"/>
            </w:tcBorders>
            <w:shd w:val="clear" w:color="auto" w:fill="auto"/>
            <w:noWrap/>
            <w:vAlign w:val="center"/>
            <w:hideMark/>
          </w:tcPr>
          <w:p w14:paraId="39EB9AB7"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E9B212B" w14:textId="77777777" w:rsidR="00BD7C14" w:rsidRPr="00C776F9" w:rsidRDefault="00BD7C14" w:rsidP="00BD7C14">
            <w:pPr>
              <w:jc w:val="right"/>
              <w:rPr>
                <w:rFonts w:cs="Calibri"/>
                <w:color w:val="000000"/>
                <w:sz w:val="12"/>
                <w:szCs w:val="12"/>
              </w:rPr>
            </w:pPr>
            <w:r w:rsidRPr="00C776F9">
              <w:rPr>
                <w:rFonts w:cs="Calibri"/>
                <w:color w:val="000000"/>
                <w:sz w:val="12"/>
                <w:szCs w:val="12"/>
              </w:rPr>
              <w:t>4 518 190</w:t>
            </w:r>
          </w:p>
        </w:tc>
      </w:tr>
      <w:tr w:rsidR="00BD7C14" w:rsidRPr="00C776F9" w14:paraId="3F95825D" w14:textId="77777777" w:rsidTr="00BD7C14">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7A787F0A" w14:textId="77777777" w:rsidR="00BD7C14" w:rsidRPr="00C776F9" w:rsidRDefault="00BD7C14" w:rsidP="00BF6249">
            <w:pPr>
              <w:ind w:left="114"/>
              <w:rPr>
                <w:rFonts w:cs="Calibri"/>
                <w:i/>
                <w:iCs/>
                <w:color w:val="000000"/>
                <w:sz w:val="12"/>
                <w:szCs w:val="12"/>
              </w:rPr>
            </w:pPr>
            <w:r w:rsidRPr="00C776F9">
              <w:rPr>
                <w:rFonts w:cs="Calibri"/>
                <w:i/>
                <w:iCs/>
                <w:color w:val="000000"/>
                <w:sz w:val="12"/>
                <w:szCs w:val="12"/>
              </w:rPr>
              <w:t>Przychody z tytułu odsetek obliczone przy zastosowaniu metody efektywnej stopy procentowej</w:t>
            </w:r>
          </w:p>
        </w:tc>
        <w:tc>
          <w:tcPr>
            <w:tcW w:w="1418" w:type="dxa"/>
            <w:tcBorders>
              <w:top w:val="nil"/>
              <w:left w:val="nil"/>
              <w:bottom w:val="single" w:sz="4" w:space="0" w:color="0077BD"/>
              <w:right w:val="nil"/>
            </w:tcBorders>
            <w:shd w:val="clear" w:color="auto" w:fill="auto"/>
            <w:noWrap/>
            <w:vAlign w:val="center"/>
            <w:hideMark/>
          </w:tcPr>
          <w:p w14:paraId="7BAE968B"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3 868 051</w:t>
            </w:r>
          </w:p>
        </w:tc>
        <w:tc>
          <w:tcPr>
            <w:tcW w:w="1418" w:type="dxa"/>
            <w:tcBorders>
              <w:top w:val="nil"/>
              <w:left w:val="single" w:sz="8" w:space="0" w:color="0077BD"/>
              <w:bottom w:val="single" w:sz="4" w:space="0" w:color="0077BD"/>
              <w:right w:val="nil"/>
            </w:tcBorders>
            <w:shd w:val="clear" w:color="auto" w:fill="auto"/>
            <w:noWrap/>
            <w:vAlign w:val="center"/>
            <w:hideMark/>
          </w:tcPr>
          <w:p w14:paraId="73D252B2"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66BB6EC6"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3 868 051</w:t>
            </w:r>
          </w:p>
        </w:tc>
      </w:tr>
      <w:tr w:rsidR="00BD7C14" w:rsidRPr="00C776F9" w14:paraId="09B13627" w14:textId="77777777" w:rsidTr="00BD7C14">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65B6FADB" w14:textId="77777777" w:rsidR="00BD7C14" w:rsidRPr="00C776F9" w:rsidRDefault="00BD7C14" w:rsidP="00BF6249">
            <w:pPr>
              <w:ind w:left="114"/>
              <w:rPr>
                <w:rFonts w:cs="Calibri"/>
                <w:i/>
                <w:iCs/>
                <w:color w:val="000000"/>
                <w:sz w:val="12"/>
                <w:szCs w:val="12"/>
              </w:rPr>
            </w:pPr>
            <w:r w:rsidRPr="00C776F9">
              <w:rPr>
                <w:rFonts w:cs="Calibri"/>
                <w:i/>
                <w:iCs/>
                <w:color w:val="000000"/>
                <w:sz w:val="12"/>
                <w:szCs w:val="12"/>
              </w:rPr>
              <w:t>Przychody o charakterze zbliżonym do odsetek od aktywów finansowych wycenianych w wartości godziwej przez wynik finansowy</w:t>
            </w:r>
          </w:p>
        </w:tc>
        <w:tc>
          <w:tcPr>
            <w:tcW w:w="1418" w:type="dxa"/>
            <w:tcBorders>
              <w:top w:val="nil"/>
              <w:left w:val="nil"/>
              <w:bottom w:val="single" w:sz="4" w:space="0" w:color="0077BD"/>
              <w:right w:val="nil"/>
            </w:tcBorders>
            <w:shd w:val="clear" w:color="auto" w:fill="auto"/>
            <w:noWrap/>
            <w:vAlign w:val="center"/>
            <w:hideMark/>
          </w:tcPr>
          <w:p w14:paraId="37C291EE"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650 139</w:t>
            </w:r>
          </w:p>
        </w:tc>
        <w:tc>
          <w:tcPr>
            <w:tcW w:w="1418" w:type="dxa"/>
            <w:tcBorders>
              <w:top w:val="nil"/>
              <w:left w:val="single" w:sz="8" w:space="0" w:color="0077BD"/>
              <w:bottom w:val="single" w:sz="4" w:space="0" w:color="0077BD"/>
              <w:right w:val="nil"/>
            </w:tcBorders>
            <w:shd w:val="clear" w:color="auto" w:fill="auto"/>
            <w:noWrap/>
            <w:vAlign w:val="center"/>
            <w:hideMark/>
          </w:tcPr>
          <w:p w14:paraId="3E65204B"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4894A600"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650 139</w:t>
            </w:r>
          </w:p>
        </w:tc>
      </w:tr>
      <w:tr w:rsidR="00BD7C14" w:rsidRPr="00C776F9" w14:paraId="1F10860D"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E773C13" w14:textId="77777777" w:rsidR="00BD7C14" w:rsidRPr="00C776F9" w:rsidRDefault="00BD7C14" w:rsidP="00BD7C14">
            <w:pPr>
              <w:rPr>
                <w:rFonts w:cs="Calibri"/>
                <w:color w:val="000000"/>
                <w:sz w:val="12"/>
                <w:szCs w:val="12"/>
              </w:rPr>
            </w:pPr>
            <w:r w:rsidRPr="00C776F9">
              <w:rPr>
                <w:rFonts w:cs="Calibri"/>
                <w:color w:val="000000"/>
                <w:sz w:val="12"/>
                <w:szCs w:val="12"/>
              </w:rPr>
              <w:t>Koszty odsetek</w:t>
            </w:r>
          </w:p>
        </w:tc>
        <w:tc>
          <w:tcPr>
            <w:tcW w:w="1418" w:type="dxa"/>
            <w:tcBorders>
              <w:top w:val="nil"/>
              <w:left w:val="nil"/>
              <w:bottom w:val="single" w:sz="4" w:space="0" w:color="0077BD"/>
              <w:right w:val="nil"/>
            </w:tcBorders>
            <w:shd w:val="clear" w:color="auto" w:fill="auto"/>
            <w:noWrap/>
            <w:vAlign w:val="center"/>
            <w:hideMark/>
          </w:tcPr>
          <w:p w14:paraId="6F4890CC" w14:textId="77777777" w:rsidR="00BD7C14" w:rsidRPr="00C776F9" w:rsidRDefault="00BD7C14" w:rsidP="00BD7C14">
            <w:pPr>
              <w:jc w:val="right"/>
              <w:rPr>
                <w:rFonts w:cs="Calibri"/>
                <w:color w:val="000000"/>
                <w:sz w:val="12"/>
                <w:szCs w:val="12"/>
              </w:rPr>
            </w:pPr>
            <w:r w:rsidRPr="00C776F9">
              <w:rPr>
                <w:rFonts w:cs="Calibri"/>
                <w:color w:val="000000"/>
                <w:sz w:val="12"/>
                <w:szCs w:val="12"/>
              </w:rPr>
              <w:t>(1 021 716)</w:t>
            </w:r>
          </w:p>
        </w:tc>
        <w:tc>
          <w:tcPr>
            <w:tcW w:w="1418" w:type="dxa"/>
            <w:tcBorders>
              <w:top w:val="nil"/>
              <w:left w:val="single" w:sz="8" w:space="0" w:color="0077BD"/>
              <w:bottom w:val="single" w:sz="4" w:space="0" w:color="0077BD"/>
              <w:right w:val="nil"/>
            </w:tcBorders>
            <w:shd w:val="clear" w:color="auto" w:fill="auto"/>
            <w:noWrap/>
            <w:vAlign w:val="center"/>
            <w:hideMark/>
          </w:tcPr>
          <w:p w14:paraId="4DE7D187"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515E05C7" w14:textId="77777777" w:rsidR="00BD7C14" w:rsidRPr="00C776F9" w:rsidRDefault="00BD7C14" w:rsidP="00BD7C14">
            <w:pPr>
              <w:jc w:val="right"/>
              <w:rPr>
                <w:rFonts w:cs="Calibri"/>
                <w:color w:val="000000"/>
                <w:sz w:val="12"/>
                <w:szCs w:val="12"/>
              </w:rPr>
            </w:pPr>
            <w:r w:rsidRPr="00C776F9">
              <w:rPr>
                <w:rFonts w:cs="Calibri"/>
                <w:color w:val="000000"/>
                <w:sz w:val="12"/>
                <w:szCs w:val="12"/>
              </w:rPr>
              <w:t>(1 021 716)</w:t>
            </w:r>
          </w:p>
        </w:tc>
      </w:tr>
      <w:tr w:rsidR="00BD7C14" w:rsidRPr="00C776F9" w14:paraId="1229DF5A" w14:textId="77777777" w:rsidTr="00641B9B">
        <w:trPr>
          <w:trHeight w:val="227"/>
        </w:trPr>
        <w:tc>
          <w:tcPr>
            <w:tcW w:w="0" w:type="auto"/>
            <w:tcBorders>
              <w:top w:val="single" w:sz="8" w:space="0" w:color="0077BD"/>
              <w:left w:val="nil"/>
              <w:bottom w:val="single" w:sz="8" w:space="0" w:color="0077BD"/>
              <w:right w:val="single" w:sz="8" w:space="0" w:color="0077BD"/>
            </w:tcBorders>
            <w:shd w:val="clear" w:color="auto" w:fill="auto"/>
            <w:noWrap/>
            <w:vAlign w:val="center"/>
            <w:hideMark/>
          </w:tcPr>
          <w:p w14:paraId="57F363A2" w14:textId="77777777" w:rsidR="00BD7C14" w:rsidRPr="00C776F9" w:rsidRDefault="00BD7C14" w:rsidP="00BD7C14">
            <w:pPr>
              <w:rPr>
                <w:rFonts w:cs="Calibri"/>
                <w:b/>
                <w:bCs/>
                <w:color w:val="000000"/>
                <w:sz w:val="12"/>
                <w:szCs w:val="12"/>
              </w:rPr>
            </w:pPr>
            <w:r w:rsidRPr="00C776F9">
              <w:rPr>
                <w:rFonts w:cs="Calibri"/>
                <w:b/>
                <w:bCs/>
                <w:color w:val="000000"/>
                <w:sz w:val="12"/>
                <w:szCs w:val="12"/>
              </w:rPr>
              <w:t>Wynik z tytułu odsetek</w:t>
            </w:r>
          </w:p>
        </w:tc>
        <w:tc>
          <w:tcPr>
            <w:tcW w:w="1418" w:type="dxa"/>
            <w:tcBorders>
              <w:top w:val="single" w:sz="8" w:space="0" w:color="0077BD"/>
              <w:left w:val="nil"/>
              <w:bottom w:val="single" w:sz="8" w:space="0" w:color="0077BD"/>
              <w:right w:val="nil"/>
            </w:tcBorders>
            <w:shd w:val="clear" w:color="auto" w:fill="auto"/>
            <w:noWrap/>
            <w:vAlign w:val="center"/>
            <w:hideMark/>
          </w:tcPr>
          <w:p w14:paraId="2F421F8F"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3 496 474</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6C18565"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927425E"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3 496 474</w:t>
            </w:r>
          </w:p>
        </w:tc>
      </w:tr>
      <w:tr w:rsidR="00BD7C14" w:rsidRPr="00C776F9" w14:paraId="0282AD68" w14:textId="77777777" w:rsidTr="00641B9B">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6B6A32F2" w14:textId="77777777" w:rsidR="00BD7C14" w:rsidRPr="00C776F9" w:rsidRDefault="00BD7C14" w:rsidP="00BD7C14">
            <w:pPr>
              <w:rPr>
                <w:rFonts w:cs="Calibri"/>
                <w:color w:val="000000"/>
                <w:sz w:val="12"/>
                <w:szCs w:val="12"/>
              </w:rPr>
            </w:pPr>
            <w:r w:rsidRPr="00C776F9">
              <w:rPr>
                <w:rFonts w:cs="Calibri"/>
                <w:color w:val="000000"/>
                <w:sz w:val="12"/>
                <w:szCs w:val="12"/>
              </w:rPr>
              <w:t>Przychody z tytułu opłat i prowizji</w:t>
            </w:r>
          </w:p>
        </w:tc>
        <w:tc>
          <w:tcPr>
            <w:tcW w:w="1418" w:type="dxa"/>
            <w:tcBorders>
              <w:top w:val="single" w:sz="4" w:space="0" w:color="0077BD"/>
              <w:left w:val="nil"/>
              <w:bottom w:val="single" w:sz="4" w:space="0" w:color="0077BD"/>
              <w:right w:val="nil"/>
            </w:tcBorders>
            <w:shd w:val="clear" w:color="auto" w:fill="auto"/>
            <w:noWrap/>
            <w:vAlign w:val="center"/>
            <w:hideMark/>
          </w:tcPr>
          <w:p w14:paraId="6431510B" w14:textId="77777777" w:rsidR="00BD7C14" w:rsidRPr="00C776F9" w:rsidRDefault="00BD7C14" w:rsidP="00BD7C14">
            <w:pPr>
              <w:jc w:val="right"/>
              <w:rPr>
                <w:rFonts w:cs="Calibri"/>
                <w:color w:val="000000"/>
                <w:sz w:val="12"/>
                <w:szCs w:val="12"/>
              </w:rPr>
            </w:pPr>
            <w:r w:rsidRPr="00C776F9">
              <w:rPr>
                <w:rFonts w:cs="Calibri"/>
                <w:color w:val="000000"/>
                <w:sz w:val="12"/>
                <w:szCs w:val="12"/>
              </w:rPr>
              <w:t>1 641 782</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52FEF8D3" w14:textId="77777777" w:rsidR="00BD7C14" w:rsidRPr="00C776F9" w:rsidRDefault="00BD7C14" w:rsidP="00BD7C14">
            <w:pPr>
              <w:jc w:val="right"/>
              <w:rPr>
                <w:rFonts w:cs="Calibri"/>
                <w:color w:val="000000"/>
                <w:sz w:val="12"/>
                <w:szCs w:val="12"/>
              </w:rPr>
            </w:pPr>
            <w:r w:rsidRPr="00C776F9">
              <w:rPr>
                <w:rFonts w:cs="Calibri"/>
                <w:color w:val="000000"/>
                <w:sz w:val="12"/>
                <w:szCs w:val="12"/>
              </w:rPr>
              <w:t>(11 441)</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1A9C8AB9" w14:textId="77777777" w:rsidR="00BD7C14" w:rsidRPr="00C776F9" w:rsidRDefault="00BD7C14" w:rsidP="00BD7C14">
            <w:pPr>
              <w:jc w:val="right"/>
              <w:rPr>
                <w:rFonts w:cs="Calibri"/>
                <w:color w:val="000000"/>
                <w:sz w:val="12"/>
                <w:szCs w:val="12"/>
              </w:rPr>
            </w:pPr>
            <w:r w:rsidRPr="00C776F9">
              <w:rPr>
                <w:rFonts w:cs="Calibri"/>
                <w:color w:val="000000"/>
                <w:sz w:val="12"/>
                <w:szCs w:val="12"/>
              </w:rPr>
              <w:t>1 630 341</w:t>
            </w:r>
          </w:p>
        </w:tc>
      </w:tr>
      <w:tr w:rsidR="00BD7C14" w:rsidRPr="00C776F9" w14:paraId="2D2CB518"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A432C38" w14:textId="77777777" w:rsidR="00BD7C14" w:rsidRPr="00C776F9" w:rsidRDefault="00BD7C14" w:rsidP="00BD7C14">
            <w:pPr>
              <w:rPr>
                <w:rFonts w:cs="Calibri"/>
                <w:color w:val="000000"/>
                <w:sz w:val="12"/>
                <w:szCs w:val="12"/>
              </w:rPr>
            </w:pPr>
            <w:r w:rsidRPr="00C776F9">
              <w:rPr>
                <w:rFonts w:cs="Calibri"/>
                <w:color w:val="000000"/>
                <w:sz w:val="12"/>
                <w:szCs w:val="12"/>
              </w:rPr>
              <w:t>Koszty z tytułu opłat i prowizji</w:t>
            </w:r>
          </w:p>
        </w:tc>
        <w:tc>
          <w:tcPr>
            <w:tcW w:w="1418" w:type="dxa"/>
            <w:tcBorders>
              <w:top w:val="nil"/>
              <w:left w:val="nil"/>
              <w:bottom w:val="single" w:sz="4" w:space="0" w:color="0077BD"/>
              <w:right w:val="nil"/>
            </w:tcBorders>
            <w:shd w:val="clear" w:color="auto" w:fill="auto"/>
            <w:noWrap/>
            <w:vAlign w:val="center"/>
            <w:hideMark/>
          </w:tcPr>
          <w:p w14:paraId="2E045E74" w14:textId="77777777" w:rsidR="00BD7C14" w:rsidRPr="00C776F9" w:rsidRDefault="00BD7C14" w:rsidP="00BD7C14">
            <w:pPr>
              <w:jc w:val="right"/>
              <w:rPr>
                <w:rFonts w:cs="Calibri"/>
                <w:color w:val="000000"/>
                <w:sz w:val="12"/>
                <w:szCs w:val="12"/>
              </w:rPr>
            </w:pPr>
            <w:r w:rsidRPr="00C776F9">
              <w:rPr>
                <w:rFonts w:cs="Calibri"/>
                <w:color w:val="000000"/>
                <w:sz w:val="12"/>
                <w:szCs w:val="12"/>
              </w:rPr>
              <w:t>(665 932)</w:t>
            </w:r>
          </w:p>
        </w:tc>
        <w:tc>
          <w:tcPr>
            <w:tcW w:w="1418" w:type="dxa"/>
            <w:tcBorders>
              <w:top w:val="nil"/>
              <w:left w:val="single" w:sz="8" w:space="0" w:color="0077BD"/>
              <w:bottom w:val="single" w:sz="4" w:space="0" w:color="0077BD"/>
              <w:right w:val="nil"/>
            </w:tcBorders>
            <w:shd w:val="clear" w:color="auto" w:fill="auto"/>
            <w:noWrap/>
            <w:vAlign w:val="center"/>
            <w:hideMark/>
          </w:tcPr>
          <w:p w14:paraId="78A84727" w14:textId="77777777" w:rsidR="00BD7C14" w:rsidRPr="00C776F9" w:rsidRDefault="00BD7C14" w:rsidP="00BD7C14">
            <w:pPr>
              <w:jc w:val="right"/>
              <w:rPr>
                <w:rFonts w:cs="Calibri"/>
                <w:color w:val="000000"/>
                <w:sz w:val="12"/>
                <w:szCs w:val="12"/>
              </w:rPr>
            </w:pPr>
            <w:r w:rsidRPr="00C776F9">
              <w:rPr>
                <w:rFonts w:cs="Calibri"/>
                <w:color w:val="000000"/>
                <w:sz w:val="12"/>
                <w:szCs w:val="12"/>
              </w:rPr>
              <w:t>11 441</w:t>
            </w:r>
          </w:p>
        </w:tc>
        <w:tc>
          <w:tcPr>
            <w:tcW w:w="1418" w:type="dxa"/>
            <w:tcBorders>
              <w:top w:val="nil"/>
              <w:left w:val="single" w:sz="8" w:space="0" w:color="0077BD"/>
              <w:bottom w:val="single" w:sz="4" w:space="0" w:color="0077BD"/>
              <w:right w:val="nil"/>
            </w:tcBorders>
            <w:shd w:val="clear" w:color="auto" w:fill="auto"/>
            <w:noWrap/>
            <w:vAlign w:val="center"/>
            <w:hideMark/>
          </w:tcPr>
          <w:p w14:paraId="6ABE9A27" w14:textId="77777777" w:rsidR="00BD7C14" w:rsidRPr="00C776F9" w:rsidRDefault="00BD7C14" w:rsidP="00BD7C14">
            <w:pPr>
              <w:jc w:val="right"/>
              <w:rPr>
                <w:rFonts w:cs="Calibri"/>
                <w:color w:val="000000"/>
                <w:sz w:val="12"/>
                <w:szCs w:val="12"/>
              </w:rPr>
            </w:pPr>
            <w:r w:rsidRPr="00C776F9">
              <w:rPr>
                <w:rFonts w:cs="Calibri"/>
                <w:color w:val="000000"/>
                <w:sz w:val="12"/>
                <w:szCs w:val="12"/>
              </w:rPr>
              <w:t>(654 491)</w:t>
            </w:r>
          </w:p>
        </w:tc>
      </w:tr>
      <w:tr w:rsidR="00BD7C14" w:rsidRPr="00C776F9" w14:paraId="6E90D986" w14:textId="77777777" w:rsidTr="00641B9B">
        <w:trPr>
          <w:trHeight w:val="227"/>
        </w:trPr>
        <w:tc>
          <w:tcPr>
            <w:tcW w:w="0" w:type="auto"/>
            <w:tcBorders>
              <w:top w:val="single" w:sz="8" w:space="0" w:color="0077BD"/>
              <w:left w:val="nil"/>
              <w:bottom w:val="single" w:sz="8" w:space="0" w:color="0077BD"/>
              <w:right w:val="single" w:sz="8" w:space="0" w:color="0077BD"/>
            </w:tcBorders>
            <w:shd w:val="clear" w:color="auto" w:fill="auto"/>
            <w:noWrap/>
            <w:vAlign w:val="center"/>
            <w:hideMark/>
          </w:tcPr>
          <w:p w14:paraId="272C14EA" w14:textId="77777777" w:rsidR="00BD7C14" w:rsidRPr="00C776F9" w:rsidRDefault="00BD7C14" w:rsidP="00BD7C14">
            <w:pPr>
              <w:rPr>
                <w:rFonts w:cs="Calibri"/>
                <w:b/>
                <w:bCs/>
                <w:color w:val="000000"/>
                <w:sz w:val="12"/>
                <w:szCs w:val="12"/>
              </w:rPr>
            </w:pPr>
            <w:r w:rsidRPr="00C776F9">
              <w:rPr>
                <w:rFonts w:cs="Calibri"/>
                <w:b/>
                <w:bCs/>
                <w:color w:val="000000"/>
                <w:sz w:val="12"/>
                <w:szCs w:val="12"/>
              </w:rPr>
              <w:t>Wynik z tytułu opłat i prowizji</w:t>
            </w:r>
          </w:p>
        </w:tc>
        <w:tc>
          <w:tcPr>
            <w:tcW w:w="1418" w:type="dxa"/>
            <w:tcBorders>
              <w:top w:val="single" w:sz="8" w:space="0" w:color="0077BD"/>
              <w:left w:val="nil"/>
              <w:bottom w:val="single" w:sz="8" w:space="0" w:color="0077BD"/>
              <w:right w:val="nil"/>
            </w:tcBorders>
            <w:shd w:val="clear" w:color="auto" w:fill="auto"/>
            <w:noWrap/>
            <w:vAlign w:val="center"/>
            <w:hideMark/>
          </w:tcPr>
          <w:p w14:paraId="612B1B83"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975 850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4DCB6DDF"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042D277"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975 850</w:t>
            </w:r>
          </w:p>
        </w:tc>
      </w:tr>
      <w:tr w:rsidR="00BD7C14" w:rsidRPr="00C776F9" w14:paraId="7FD82242" w14:textId="77777777" w:rsidTr="00641B9B">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45F5CFA8" w14:textId="77777777" w:rsidR="00BD7C14" w:rsidRPr="00C776F9" w:rsidRDefault="00BD7C14" w:rsidP="00BD7C14">
            <w:pPr>
              <w:rPr>
                <w:rFonts w:cs="Calibri"/>
                <w:color w:val="000000"/>
                <w:sz w:val="12"/>
                <w:szCs w:val="12"/>
              </w:rPr>
            </w:pPr>
            <w:r w:rsidRPr="00C776F9">
              <w:rPr>
                <w:rFonts w:cs="Calibri"/>
                <w:color w:val="000000"/>
                <w:sz w:val="12"/>
                <w:szCs w:val="12"/>
              </w:rPr>
              <w:t>Przychody z tytułu dywidend</w:t>
            </w:r>
          </w:p>
        </w:tc>
        <w:tc>
          <w:tcPr>
            <w:tcW w:w="1418" w:type="dxa"/>
            <w:tcBorders>
              <w:top w:val="single" w:sz="4" w:space="0" w:color="0077BD"/>
              <w:left w:val="nil"/>
              <w:bottom w:val="single" w:sz="4" w:space="0" w:color="0077BD"/>
              <w:right w:val="nil"/>
            </w:tcBorders>
            <w:shd w:val="clear" w:color="auto" w:fill="auto"/>
            <w:noWrap/>
            <w:vAlign w:val="center"/>
            <w:hideMark/>
          </w:tcPr>
          <w:p w14:paraId="022C421E" w14:textId="77777777" w:rsidR="00BD7C14" w:rsidRPr="00C776F9" w:rsidRDefault="00BD7C14" w:rsidP="00BD7C14">
            <w:pPr>
              <w:jc w:val="right"/>
              <w:rPr>
                <w:rFonts w:cs="Calibri"/>
                <w:color w:val="000000"/>
                <w:sz w:val="12"/>
                <w:szCs w:val="12"/>
              </w:rPr>
            </w:pPr>
            <w:r w:rsidRPr="00C776F9">
              <w:rPr>
                <w:rFonts w:cs="Calibri"/>
                <w:color w:val="000000"/>
                <w:sz w:val="12"/>
                <w:szCs w:val="12"/>
              </w:rPr>
              <w:t>3 558</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76F12374"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1BEA1FF1" w14:textId="77777777" w:rsidR="00BD7C14" w:rsidRPr="00C776F9" w:rsidRDefault="00BD7C14" w:rsidP="00BD7C14">
            <w:pPr>
              <w:jc w:val="right"/>
              <w:rPr>
                <w:rFonts w:cs="Calibri"/>
                <w:color w:val="000000"/>
                <w:sz w:val="12"/>
                <w:szCs w:val="12"/>
              </w:rPr>
            </w:pPr>
            <w:r w:rsidRPr="00C776F9">
              <w:rPr>
                <w:rFonts w:cs="Calibri"/>
                <w:color w:val="000000"/>
                <w:sz w:val="12"/>
                <w:szCs w:val="12"/>
              </w:rPr>
              <w:t>3 558</w:t>
            </w:r>
          </w:p>
        </w:tc>
      </w:tr>
      <w:tr w:rsidR="00BD7C14" w:rsidRPr="00C776F9" w14:paraId="06C34BCA"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1A749A5" w14:textId="77777777" w:rsidR="00BD7C14" w:rsidRPr="00C776F9" w:rsidRDefault="00BD7C14" w:rsidP="00BF6249">
            <w:pPr>
              <w:ind w:left="114"/>
              <w:rPr>
                <w:rFonts w:cs="Calibri"/>
                <w:color w:val="000000"/>
                <w:sz w:val="12"/>
                <w:szCs w:val="12"/>
              </w:rPr>
            </w:pPr>
            <w:r w:rsidRPr="00C776F9">
              <w:rPr>
                <w:rFonts w:cs="Calibri"/>
                <w:color w:val="000000"/>
                <w:sz w:val="12"/>
                <w:szCs w:val="12"/>
              </w:rPr>
              <w:t>Wynik na działalności handlowej, w tym:</w:t>
            </w:r>
          </w:p>
        </w:tc>
        <w:tc>
          <w:tcPr>
            <w:tcW w:w="1418" w:type="dxa"/>
            <w:tcBorders>
              <w:top w:val="nil"/>
              <w:left w:val="nil"/>
              <w:bottom w:val="single" w:sz="4" w:space="0" w:color="0077BD"/>
              <w:right w:val="nil"/>
            </w:tcBorders>
            <w:shd w:val="clear" w:color="auto" w:fill="auto"/>
            <w:noWrap/>
            <w:vAlign w:val="center"/>
            <w:hideMark/>
          </w:tcPr>
          <w:p w14:paraId="29C10899" w14:textId="77777777" w:rsidR="00BD7C14" w:rsidRPr="00C776F9" w:rsidRDefault="00BD7C14" w:rsidP="00BD7C14">
            <w:pPr>
              <w:jc w:val="right"/>
              <w:rPr>
                <w:rFonts w:cs="Calibri"/>
                <w:color w:val="000000"/>
                <w:sz w:val="12"/>
                <w:szCs w:val="12"/>
              </w:rPr>
            </w:pPr>
            <w:r w:rsidRPr="00C776F9">
              <w:rPr>
                <w:rFonts w:cs="Calibri"/>
                <w:color w:val="000000"/>
                <w:sz w:val="12"/>
                <w:szCs w:val="12"/>
              </w:rPr>
              <w:t>347 336</w:t>
            </w:r>
          </w:p>
        </w:tc>
        <w:tc>
          <w:tcPr>
            <w:tcW w:w="1418" w:type="dxa"/>
            <w:tcBorders>
              <w:top w:val="nil"/>
              <w:left w:val="single" w:sz="8" w:space="0" w:color="0077BD"/>
              <w:bottom w:val="single" w:sz="4" w:space="0" w:color="0077BD"/>
              <w:right w:val="nil"/>
            </w:tcBorders>
            <w:shd w:val="clear" w:color="auto" w:fill="auto"/>
            <w:noWrap/>
            <w:vAlign w:val="center"/>
            <w:hideMark/>
          </w:tcPr>
          <w:p w14:paraId="6D739E43"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078B5187" w14:textId="77777777" w:rsidR="00BD7C14" w:rsidRPr="00C776F9" w:rsidRDefault="00BD7C14" w:rsidP="00BD7C14">
            <w:pPr>
              <w:jc w:val="right"/>
              <w:rPr>
                <w:rFonts w:cs="Calibri"/>
                <w:color w:val="000000"/>
                <w:sz w:val="12"/>
                <w:szCs w:val="12"/>
              </w:rPr>
            </w:pPr>
            <w:r w:rsidRPr="00C776F9">
              <w:rPr>
                <w:rFonts w:cs="Calibri"/>
                <w:color w:val="000000"/>
                <w:sz w:val="12"/>
                <w:szCs w:val="12"/>
              </w:rPr>
              <w:t>347 336</w:t>
            </w:r>
          </w:p>
        </w:tc>
      </w:tr>
      <w:tr w:rsidR="00BD7C14" w:rsidRPr="00C776F9" w14:paraId="2CF078C8"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D3F2A26" w14:textId="1603E66C" w:rsidR="00BD7C14" w:rsidRPr="00C776F9" w:rsidRDefault="00BD7C14" w:rsidP="00BF6249">
            <w:pPr>
              <w:ind w:left="114"/>
              <w:rPr>
                <w:rFonts w:cs="Calibri"/>
                <w:i/>
                <w:iCs/>
                <w:color w:val="000000"/>
                <w:sz w:val="12"/>
                <w:szCs w:val="12"/>
              </w:rPr>
            </w:pPr>
            <w:r w:rsidRPr="00C776F9">
              <w:rPr>
                <w:rFonts w:cs="Calibri"/>
                <w:i/>
                <w:iCs/>
                <w:color w:val="000000"/>
                <w:sz w:val="12"/>
                <w:szCs w:val="12"/>
              </w:rPr>
              <w:t>Wynik z pozycji wymiany</w:t>
            </w:r>
          </w:p>
        </w:tc>
        <w:tc>
          <w:tcPr>
            <w:tcW w:w="1418" w:type="dxa"/>
            <w:tcBorders>
              <w:top w:val="nil"/>
              <w:left w:val="nil"/>
              <w:bottom w:val="single" w:sz="4" w:space="0" w:color="0077BD"/>
              <w:right w:val="nil"/>
            </w:tcBorders>
            <w:shd w:val="clear" w:color="auto" w:fill="auto"/>
            <w:noWrap/>
            <w:vAlign w:val="center"/>
            <w:hideMark/>
          </w:tcPr>
          <w:p w14:paraId="4B40BC43"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323 472</w:t>
            </w:r>
          </w:p>
        </w:tc>
        <w:tc>
          <w:tcPr>
            <w:tcW w:w="1418" w:type="dxa"/>
            <w:tcBorders>
              <w:top w:val="nil"/>
              <w:left w:val="single" w:sz="8" w:space="0" w:color="0077BD"/>
              <w:bottom w:val="single" w:sz="4" w:space="0" w:color="0077BD"/>
              <w:right w:val="nil"/>
            </w:tcBorders>
            <w:shd w:val="clear" w:color="auto" w:fill="auto"/>
            <w:noWrap/>
            <w:vAlign w:val="center"/>
            <w:hideMark/>
          </w:tcPr>
          <w:p w14:paraId="0D83229F"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7AD3DDCA"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323 472</w:t>
            </w:r>
          </w:p>
        </w:tc>
      </w:tr>
      <w:tr w:rsidR="00BD7C14" w:rsidRPr="00C776F9" w14:paraId="547C1019"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05667CD" w14:textId="3932FA44" w:rsidR="00BD7C14" w:rsidRPr="00C776F9" w:rsidRDefault="00BD7C14" w:rsidP="00BF6249">
            <w:pPr>
              <w:ind w:left="114"/>
              <w:rPr>
                <w:rFonts w:cs="Calibri"/>
                <w:i/>
                <w:iCs/>
                <w:color w:val="000000"/>
                <w:sz w:val="12"/>
                <w:szCs w:val="12"/>
              </w:rPr>
            </w:pPr>
            <w:r w:rsidRPr="00C776F9">
              <w:rPr>
                <w:rFonts w:cs="Calibri"/>
                <w:i/>
                <w:iCs/>
                <w:color w:val="000000"/>
                <w:sz w:val="12"/>
                <w:szCs w:val="12"/>
              </w:rPr>
              <w:t>Zyski lub straty z tytułu aktywów finansowych przeznaczonych do obrotu</w:t>
            </w:r>
          </w:p>
        </w:tc>
        <w:tc>
          <w:tcPr>
            <w:tcW w:w="1418" w:type="dxa"/>
            <w:tcBorders>
              <w:top w:val="nil"/>
              <w:left w:val="nil"/>
              <w:bottom w:val="single" w:sz="4" w:space="0" w:color="0077BD"/>
              <w:right w:val="nil"/>
            </w:tcBorders>
            <w:shd w:val="clear" w:color="auto" w:fill="auto"/>
            <w:noWrap/>
            <w:vAlign w:val="center"/>
            <w:hideMark/>
          </w:tcPr>
          <w:p w14:paraId="2DD8E077"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30 571</w:t>
            </w:r>
          </w:p>
        </w:tc>
        <w:tc>
          <w:tcPr>
            <w:tcW w:w="1418" w:type="dxa"/>
            <w:tcBorders>
              <w:top w:val="nil"/>
              <w:left w:val="single" w:sz="8" w:space="0" w:color="0077BD"/>
              <w:bottom w:val="single" w:sz="4" w:space="0" w:color="0077BD"/>
              <w:right w:val="nil"/>
            </w:tcBorders>
            <w:shd w:val="clear" w:color="auto" w:fill="auto"/>
            <w:noWrap/>
            <w:vAlign w:val="center"/>
            <w:hideMark/>
          </w:tcPr>
          <w:p w14:paraId="74280986"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3F0240C8"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30 571</w:t>
            </w:r>
          </w:p>
        </w:tc>
      </w:tr>
      <w:tr w:rsidR="00BD7C14" w:rsidRPr="00C776F9" w14:paraId="7657FB92"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368267F3" w14:textId="2003FE65" w:rsidR="00BD7C14" w:rsidRPr="00C776F9" w:rsidRDefault="00BD7C14" w:rsidP="00BF6249">
            <w:pPr>
              <w:ind w:left="114"/>
              <w:rPr>
                <w:rFonts w:cs="Calibri"/>
                <w:i/>
                <w:iCs/>
                <w:color w:val="000000"/>
                <w:sz w:val="12"/>
                <w:szCs w:val="12"/>
              </w:rPr>
            </w:pPr>
            <w:r w:rsidRPr="00C776F9">
              <w:rPr>
                <w:rFonts w:cs="Calibri"/>
                <w:i/>
                <w:iCs/>
                <w:color w:val="000000"/>
                <w:sz w:val="12"/>
                <w:szCs w:val="12"/>
              </w:rPr>
              <w:t>Zyski lub straty z tytułu rachunkowości zabezpieczeń</w:t>
            </w:r>
          </w:p>
        </w:tc>
        <w:tc>
          <w:tcPr>
            <w:tcW w:w="1418" w:type="dxa"/>
            <w:tcBorders>
              <w:top w:val="nil"/>
              <w:left w:val="nil"/>
              <w:bottom w:val="single" w:sz="4" w:space="0" w:color="0077BD"/>
              <w:right w:val="nil"/>
            </w:tcBorders>
            <w:shd w:val="clear" w:color="auto" w:fill="auto"/>
            <w:noWrap/>
            <w:vAlign w:val="center"/>
            <w:hideMark/>
          </w:tcPr>
          <w:p w14:paraId="43DA9916"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(6 707)</w:t>
            </w:r>
          </w:p>
        </w:tc>
        <w:tc>
          <w:tcPr>
            <w:tcW w:w="1418" w:type="dxa"/>
            <w:tcBorders>
              <w:top w:val="nil"/>
              <w:left w:val="single" w:sz="8" w:space="0" w:color="0077BD"/>
              <w:bottom w:val="single" w:sz="4" w:space="0" w:color="0077BD"/>
              <w:right w:val="nil"/>
            </w:tcBorders>
            <w:shd w:val="clear" w:color="auto" w:fill="auto"/>
            <w:noWrap/>
            <w:vAlign w:val="center"/>
            <w:hideMark/>
          </w:tcPr>
          <w:p w14:paraId="342FC998"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28559593"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(6 707)</w:t>
            </w:r>
          </w:p>
        </w:tc>
      </w:tr>
      <w:tr w:rsidR="00BD7C14" w:rsidRPr="00C776F9" w14:paraId="2A5E9DF0" w14:textId="77777777" w:rsidTr="00BD7C14">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285B01B5" w14:textId="77777777" w:rsidR="00BD7C14" w:rsidRPr="00C776F9" w:rsidRDefault="00BD7C14" w:rsidP="00BD7C14">
            <w:pPr>
              <w:rPr>
                <w:rFonts w:cs="Calibri"/>
                <w:color w:val="000000"/>
                <w:sz w:val="12"/>
                <w:szCs w:val="12"/>
              </w:rPr>
            </w:pPr>
            <w:r w:rsidRPr="00C776F9">
              <w:rPr>
                <w:rFonts w:cs="Calibri"/>
                <w:color w:val="000000"/>
                <w:sz w:val="12"/>
                <w:szCs w:val="12"/>
              </w:rPr>
              <w:t>Zyski lub straty z tytułu aktywów finansowych nieprzeznaczonych do obrotu obowiązkowo wycenianych w wartości godziwej przez wynik finansowy</w:t>
            </w:r>
          </w:p>
        </w:tc>
        <w:tc>
          <w:tcPr>
            <w:tcW w:w="1418" w:type="dxa"/>
            <w:tcBorders>
              <w:top w:val="nil"/>
              <w:left w:val="nil"/>
              <w:bottom w:val="single" w:sz="4" w:space="0" w:color="0077BD"/>
              <w:right w:val="nil"/>
            </w:tcBorders>
            <w:shd w:val="clear" w:color="auto" w:fill="auto"/>
            <w:noWrap/>
            <w:vAlign w:val="center"/>
            <w:hideMark/>
          </w:tcPr>
          <w:p w14:paraId="465D455C" w14:textId="77777777" w:rsidR="00BD7C14" w:rsidRPr="00B11BCE" w:rsidRDefault="00BD7C14" w:rsidP="00BD7C14">
            <w:pPr>
              <w:jc w:val="right"/>
              <w:rPr>
                <w:rFonts w:cs="Calibri"/>
                <w:iCs/>
                <w:color w:val="000000"/>
                <w:sz w:val="12"/>
                <w:szCs w:val="12"/>
              </w:rPr>
            </w:pPr>
            <w:r w:rsidRPr="00B11BCE">
              <w:rPr>
                <w:rFonts w:cs="Calibri"/>
                <w:iCs/>
                <w:color w:val="000000"/>
                <w:sz w:val="12"/>
                <w:szCs w:val="12"/>
              </w:rPr>
              <w:t>(160 041)</w:t>
            </w:r>
          </w:p>
        </w:tc>
        <w:tc>
          <w:tcPr>
            <w:tcW w:w="1418" w:type="dxa"/>
            <w:tcBorders>
              <w:top w:val="nil"/>
              <w:left w:val="single" w:sz="8" w:space="0" w:color="0077BD"/>
              <w:bottom w:val="single" w:sz="4" w:space="0" w:color="0077BD"/>
              <w:right w:val="nil"/>
            </w:tcBorders>
            <w:shd w:val="clear" w:color="auto" w:fill="auto"/>
            <w:noWrap/>
            <w:vAlign w:val="center"/>
            <w:hideMark/>
          </w:tcPr>
          <w:p w14:paraId="033AB4A4" w14:textId="77777777" w:rsidR="00BD7C14" w:rsidRPr="00B11BCE" w:rsidRDefault="00BD7C14" w:rsidP="00BD7C14">
            <w:pPr>
              <w:jc w:val="right"/>
              <w:rPr>
                <w:rFonts w:cs="Calibri"/>
                <w:color w:val="000000"/>
                <w:sz w:val="12"/>
                <w:szCs w:val="12"/>
              </w:rPr>
            </w:pPr>
            <w:r w:rsidRPr="00B11BCE">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7E309F5D" w14:textId="77777777" w:rsidR="00BD7C14" w:rsidRPr="00B11BCE" w:rsidRDefault="00BD7C14" w:rsidP="00BD7C14">
            <w:pPr>
              <w:jc w:val="right"/>
              <w:rPr>
                <w:rFonts w:cs="Calibri"/>
                <w:iCs/>
                <w:color w:val="000000"/>
                <w:sz w:val="12"/>
                <w:szCs w:val="12"/>
              </w:rPr>
            </w:pPr>
            <w:r w:rsidRPr="00B11BCE">
              <w:rPr>
                <w:rFonts w:cs="Calibri"/>
                <w:iCs/>
                <w:color w:val="000000"/>
                <w:sz w:val="12"/>
                <w:szCs w:val="12"/>
              </w:rPr>
              <w:t>(160 041)</w:t>
            </w:r>
          </w:p>
        </w:tc>
      </w:tr>
      <w:tr w:rsidR="00BD7C14" w:rsidRPr="00C776F9" w14:paraId="08B6020B" w14:textId="77777777" w:rsidTr="00BD7C14">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ADDC101" w14:textId="77777777" w:rsidR="00BD7C14" w:rsidRPr="00C776F9" w:rsidRDefault="00BD7C14" w:rsidP="00BD7C14">
            <w:pPr>
              <w:rPr>
                <w:rFonts w:cs="Calibri"/>
                <w:color w:val="000000"/>
                <w:sz w:val="12"/>
                <w:szCs w:val="12"/>
              </w:rPr>
            </w:pPr>
            <w:r w:rsidRPr="00C776F9">
              <w:rPr>
                <w:rFonts w:cs="Calibri"/>
                <w:color w:val="000000"/>
                <w:sz w:val="12"/>
                <w:szCs w:val="12"/>
              </w:rPr>
              <w:t>Wynik na aktywach oraz zobowiązaniach finansowych niewycenianych w wartości godziwej przez wynik finansowy oraz inwestycjach w jednostki zależne i stowarzyszone, w tym:</w:t>
            </w:r>
          </w:p>
        </w:tc>
        <w:tc>
          <w:tcPr>
            <w:tcW w:w="1418" w:type="dxa"/>
            <w:tcBorders>
              <w:top w:val="nil"/>
              <w:left w:val="nil"/>
              <w:bottom w:val="single" w:sz="4" w:space="0" w:color="0077BD"/>
              <w:right w:val="nil"/>
            </w:tcBorders>
            <w:shd w:val="clear" w:color="auto" w:fill="auto"/>
            <w:noWrap/>
            <w:vAlign w:val="center"/>
            <w:hideMark/>
          </w:tcPr>
          <w:p w14:paraId="7841FB68" w14:textId="77777777" w:rsidR="00BD7C14" w:rsidRPr="00C776F9" w:rsidRDefault="00BD7C14" w:rsidP="00BD7C14">
            <w:pPr>
              <w:jc w:val="right"/>
              <w:rPr>
                <w:rFonts w:cs="Calibri"/>
                <w:color w:val="000000"/>
                <w:sz w:val="12"/>
                <w:szCs w:val="12"/>
              </w:rPr>
            </w:pPr>
            <w:r w:rsidRPr="00C776F9">
              <w:rPr>
                <w:rFonts w:cs="Calibri"/>
                <w:color w:val="000000"/>
                <w:sz w:val="12"/>
                <w:szCs w:val="12"/>
              </w:rPr>
              <w:t>14 495</w:t>
            </w:r>
          </w:p>
        </w:tc>
        <w:tc>
          <w:tcPr>
            <w:tcW w:w="1418" w:type="dxa"/>
            <w:tcBorders>
              <w:top w:val="nil"/>
              <w:left w:val="single" w:sz="8" w:space="0" w:color="0077BD"/>
              <w:bottom w:val="single" w:sz="4" w:space="0" w:color="0077BD"/>
              <w:right w:val="nil"/>
            </w:tcBorders>
            <w:shd w:val="clear" w:color="auto" w:fill="auto"/>
            <w:noWrap/>
            <w:vAlign w:val="center"/>
            <w:hideMark/>
          </w:tcPr>
          <w:p w14:paraId="1656BFE4"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90C5217" w14:textId="77777777" w:rsidR="00BD7C14" w:rsidRPr="00C776F9" w:rsidRDefault="00BD7C14" w:rsidP="00BD7C14">
            <w:pPr>
              <w:jc w:val="right"/>
              <w:rPr>
                <w:rFonts w:cs="Calibri"/>
                <w:color w:val="000000"/>
                <w:sz w:val="12"/>
                <w:szCs w:val="12"/>
              </w:rPr>
            </w:pPr>
            <w:r w:rsidRPr="00C776F9">
              <w:rPr>
                <w:rFonts w:cs="Calibri"/>
                <w:color w:val="000000"/>
                <w:sz w:val="12"/>
                <w:szCs w:val="12"/>
              </w:rPr>
              <w:t>14 495</w:t>
            </w:r>
          </w:p>
        </w:tc>
      </w:tr>
      <w:tr w:rsidR="00BD7C14" w:rsidRPr="00C776F9" w14:paraId="5AC2EB9C" w14:textId="77777777" w:rsidTr="00BD7C14">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497910A0" w14:textId="77777777" w:rsidR="00BD7C14" w:rsidRPr="00C776F9" w:rsidRDefault="00BD7C14" w:rsidP="00BF6249">
            <w:pPr>
              <w:ind w:left="114"/>
              <w:rPr>
                <w:rFonts w:cs="Calibri"/>
                <w:i/>
                <w:iCs/>
                <w:color w:val="000000"/>
                <w:sz w:val="12"/>
                <w:szCs w:val="12"/>
              </w:rPr>
            </w:pPr>
            <w:r w:rsidRPr="00C776F9">
              <w:rPr>
                <w:rFonts w:cs="Calibri"/>
                <w:i/>
                <w:iCs/>
                <w:color w:val="000000"/>
                <w:sz w:val="12"/>
                <w:szCs w:val="12"/>
              </w:rPr>
              <w:t>Wynik na dłużnych papierach wartościowych wycenianych w wartości godziwej przez pozostałe całkowite dochody</w:t>
            </w:r>
          </w:p>
        </w:tc>
        <w:tc>
          <w:tcPr>
            <w:tcW w:w="1418" w:type="dxa"/>
            <w:tcBorders>
              <w:top w:val="nil"/>
              <w:left w:val="nil"/>
              <w:bottom w:val="single" w:sz="4" w:space="0" w:color="0077BD"/>
              <w:right w:val="nil"/>
            </w:tcBorders>
            <w:shd w:val="clear" w:color="auto" w:fill="auto"/>
            <w:noWrap/>
            <w:vAlign w:val="center"/>
            <w:hideMark/>
          </w:tcPr>
          <w:p w14:paraId="447F9F8B"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16 465</w:t>
            </w:r>
          </w:p>
        </w:tc>
        <w:tc>
          <w:tcPr>
            <w:tcW w:w="1418" w:type="dxa"/>
            <w:tcBorders>
              <w:top w:val="nil"/>
              <w:left w:val="single" w:sz="8" w:space="0" w:color="0077BD"/>
              <w:bottom w:val="single" w:sz="4" w:space="0" w:color="0077BD"/>
              <w:right w:val="nil"/>
            </w:tcBorders>
            <w:shd w:val="clear" w:color="auto" w:fill="auto"/>
            <w:noWrap/>
            <w:vAlign w:val="center"/>
            <w:hideMark/>
          </w:tcPr>
          <w:p w14:paraId="6F187408"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8283D43"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16 465</w:t>
            </w:r>
          </w:p>
        </w:tc>
      </w:tr>
      <w:tr w:rsidR="00BD7C14" w:rsidRPr="00C776F9" w14:paraId="155E52CE"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2D5A953" w14:textId="77777777" w:rsidR="00BD7C14" w:rsidRPr="00C776F9" w:rsidRDefault="00BD7C14" w:rsidP="00BF6249">
            <w:pPr>
              <w:ind w:left="114"/>
              <w:rPr>
                <w:rFonts w:cs="Calibri"/>
                <w:i/>
                <w:iCs/>
                <w:color w:val="000000"/>
                <w:sz w:val="12"/>
                <w:szCs w:val="12"/>
              </w:rPr>
            </w:pPr>
            <w:r w:rsidRPr="00C776F9">
              <w:rPr>
                <w:rFonts w:cs="Calibri"/>
                <w:i/>
                <w:iCs/>
                <w:color w:val="000000"/>
                <w:sz w:val="12"/>
                <w:szCs w:val="12"/>
              </w:rPr>
              <w:t>Wynik na inwestycjach w jednostki zależne i stowarzyszone</w:t>
            </w:r>
          </w:p>
        </w:tc>
        <w:tc>
          <w:tcPr>
            <w:tcW w:w="1418" w:type="dxa"/>
            <w:tcBorders>
              <w:top w:val="nil"/>
              <w:left w:val="nil"/>
              <w:bottom w:val="single" w:sz="4" w:space="0" w:color="0077BD"/>
              <w:right w:val="nil"/>
            </w:tcBorders>
            <w:shd w:val="clear" w:color="auto" w:fill="auto"/>
            <w:noWrap/>
            <w:vAlign w:val="center"/>
            <w:hideMark/>
          </w:tcPr>
          <w:p w14:paraId="59CD8CF9"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(4 034)</w:t>
            </w:r>
          </w:p>
        </w:tc>
        <w:tc>
          <w:tcPr>
            <w:tcW w:w="1418" w:type="dxa"/>
            <w:tcBorders>
              <w:top w:val="nil"/>
              <w:left w:val="single" w:sz="8" w:space="0" w:color="0077BD"/>
              <w:bottom w:val="single" w:sz="4" w:space="0" w:color="0077BD"/>
              <w:right w:val="nil"/>
            </w:tcBorders>
            <w:shd w:val="clear" w:color="auto" w:fill="auto"/>
            <w:noWrap/>
            <w:vAlign w:val="center"/>
            <w:hideMark/>
          </w:tcPr>
          <w:p w14:paraId="3DA612A9"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2726C4F3"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(4 034)</w:t>
            </w:r>
          </w:p>
        </w:tc>
      </w:tr>
      <w:tr w:rsidR="00BD7C14" w:rsidRPr="00C776F9" w14:paraId="717D095E"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E9B68F9" w14:textId="77777777" w:rsidR="00BD7C14" w:rsidRPr="00C776F9" w:rsidRDefault="00BD7C14" w:rsidP="00BF6249">
            <w:pPr>
              <w:ind w:left="114"/>
              <w:rPr>
                <w:rFonts w:cs="Calibri"/>
                <w:i/>
                <w:iCs/>
                <w:color w:val="000000"/>
                <w:sz w:val="12"/>
                <w:szCs w:val="12"/>
              </w:rPr>
            </w:pPr>
            <w:r w:rsidRPr="00C776F9">
              <w:rPr>
                <w:rFonts w:cs="Calibri"/>
                <w:i/>
                <w:iCs/>
                <w:color w:val="000000"/>
                <w:sz w:val="12"/>
                <w:szCs w:val="12"/>
              </w:rPr>
              <w:t>Wynik z tytułu usunięcia z bilansu</w:t>
            </w:r>
          </w:p>
        </w:tc>
        <w:tc>
          <w:tcPr>
            <w:tcW w:w="1418" w:type="dxa"/>
            <w:tcBorders>
              <w:top w:val="nil"/>
              <w:left w:val="nil"/>
              <w:bottom w:val="single" w:sz="4" w:space="0" w:color="0077BD"/>
              <w:right w:val="nil"/>
            </w:tcBorders>
            <w:shd w:val="clear" w:color="auto" w:fill="auto"/>
            <w:noWrap/>
            <w:vAlign w:val="center"/>
            <w:hideMark/>
          </w:tcPr>
          <w:p w14:paraId="0B1704E2"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2 064</w:t>
            </w:r>
          </w:p>
        </w:tc>
        <w:tc>
          <w:tcPr>
            <w:tcW w:w="1418" w:type="dxa"/>
            <w:tcBorders>
              <w:top w:val="nil"/>
              <w:left w:val="single" w:sz="8" w:space="0" w:color="0077BD"/>
              <w:bottom w:val="single" w:sz="4" w:space="0" w:color="0077BD"/>
              <w:right w:val="nil"/>
            </w:tcBorders>
            <w:shd w:val="clear" w:color="auto" w:fill="auto"/>
            <w:noWrap/>
            <w:vAlign w:val="center"/>
            <w:hideMark/>
          </w:tcPr>
          <w:p w14:paraId="0D22FF36"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2A57B6F" w14:textId="77777777" w:rsidR="00BD7C14" w:rsidRPr="00C776F9" w:rsidRDefault="00BD7C14" w:rsidP="00BD7C14">
            <w:pPr>
              <w:jc w:val="right"/>
              <w:rPr>
                <w:rFonts w:cs="Calibri"/>
                <w:i/>
                <w:iCs/>
                <w:color w:val="000000"/>
                <w:sz w:val="12"/>
                <w:szCs w:val="12"/>
              </w:rPr>
            </w:pPr>
            <w:r w:rsidRPr="00C776F9">
              <w:rPr>
                <w:rFonts w:cs="Calibri"/>
                <w:i/>
                <w:iCs/>
                <w:color w:val="000000"/>
                <w:sz w:val="12"/>
                <w:szCs w:val="12"/>
              </w:rPr>
              <w:t>2 064</w:t>
            </w:r>
          </w:p>
        </w:tc>
      </w:tr>
      <w:tr w:rsidR="00BD7C14" w:rsidRPr="00C776F9" w14:paraId="51A03449"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4DD5641" w14:textId="77777777" w:rsidR="00BD7C14" w:rsidRPr="00C776F9" w:rsidRDefault="00BD7C14" w:rsidP="00BD7C14">
            <w:pPr>
              <w:rPr>
                <w:rFonts w:cs="Calibri"/>
                <w:color w:val="000000"/>
                <w:sz w:val="12"/>
                <w:szCs w:val="12"/>
              </w:rPr>
            </w:pPr>
            <w:r w:rsidRPr="00C776F9">
              <w:rPr>
                <w:rFonts w:cs="Calibri"/>
                <w:color w:val="000000"/>
                <w:sz w:val="12"/>
                <w:szCs w:val="12"/>
              </w:rPr>
              <w:t>Pozostałe przychody operacyjne</w:t>
            </w:r>
          </w:p>
        </w:tc>
        <w:tc>
          <w:tcPr>
            <w:tcW w:w="1418" w:type="dxa"/>
            <w:tcBorders>
              <w:top w:val="nil"/>
              <w:left w:val="nil"/>
              <w:bottom w:val="single" w:sz="4" w:space="0" w:color="0077BD"/>
              <w:right w:val="nil"/>
            </w:tcBorders>
            <w:shd w:val="clear" w:color="auto" w:fill="auto"/>
            <w:noWrap/>
            <w:vAlign w:val="center"/>
            <w:hideMark/>
          </w:tcPr>
          <w:p w14:paraId="1A42E63D" w14:textId="77777777" w:rsidR="00BD7C14" w:rsidRPr="00C776F9" w:rsidRDefault="00BD7C14" w:rsidP="00BD7C14">
            <w:pPr>
              <w:jc w:val="right"/>
              <w:rPr>
                <w:rFonts w:cs="Calibri"/>
                <w:color w:val="000000"/>
                <w:sz w:val="12"/>
                <w:szCs w:val="12"/>
              </w:rPr>
            </w:pPr>
            <w:r w:rsidRPr="00C776F9">
              <w:rPr>
                <w:rFonts w:cs="Calibri"/>
                <w:color w:val="000000"/>
                <w:sz w:val="12"/>
                <w:szCs w:val="12"/>
              </w:rPr>
              <w:t>407 620</w:t>
            </w:r>
          </w:p>
        </w:tc>
        <w:tc>
          <w:tcPr>
            <w:tcW w:w="1418" w:type="dxa"/>
            <w:tcBorders>
              <w:top w:val="nil"/>
              <w:left w:val="single" w:sz="8" w:space="0" w:color="0077BD"/>
              <w:bottom w:val="single" w:sz="4" w:space="0" w:color="0077BD"/>
              <w:right w:val="nil"/>
            </w:tcBorders>
            <w:shd w:val="clear" w:color="auto" w:fill="auto"/>
            <w:noWrap/>
            <w:vAlign w:val="center"/>
            <w:hideMark/>
          </w:tcPr>
          <w:p w14:paraId="138777D9" w14:textId="77777777" w:rsidR="00BD7C14" w:rsidRPr="00C776F9" w:rsidRDefault="00BD7C14" w:rsidP="00BD7C14">
            <w:pPr>
              <w:jc w:val="right"/>
              <w:rPr>
                <w:rFonts w:cs="Calibri"/>
                <w:color w:val="000000"/>
                <w:sz w:val="12"/>
                <w:szCs w:val="12"/>
              </w:rPr>
            </w:pPr>
            <w:r w:rsidRPr="00C776F9">
              <w:rPr>
                <w:rFonts w:cs="Calibri"/>
                <w:color w:val="000000"/>
                <w:sz w:val="12"/>
                <w:szCs w:val="12"/>
              </w:rPr>
              <w:t>(2 626)</w:t>
            </w:r>
          </w:p>
        </w:tc>
        <w:tc>
          <w:tcPr>
            <w:tcW w:w="1418" w:type="dxa"/>
            <w:tcBorders>
              <w:top w:val="nil"/>
              <w:left w:val="single" w:sz="8" w:space="0" w:color="0077BD"/>
              <w:bottom w:val="single" w:sz="4" w:space="0" w:color="0077BD"/>
              <w:right w:val="nil"/>
            </w:tcBorders>
            <w:shd w:val="clear" w:color="auto" w:fill="auto"/>
            <w:noWrap/>
            <w:vAlign w:val="center"/>
            <w:hideMark/>
          </w:tcPr>
          <w:p w14:paraId="4F0D7076" w14:textId="77777777" w:rsidR="00BD7C14" w:rsidRPr="00C776F9" w:rsidRDefault="00BD7C14" w:rsidP="00BD7C14">
            <w:pPr>
              <w:jc w:val="right"/>
              <w:rPr>
                <w:rFonts w:cs="Calibri"/>
                <w:color w:val="000000"/>
                <w:sz w:val="12"/>
                <w:szCs w:val="12"/>
              </w:rPr>
            </w:pPr>
            <w:r w:rsidRPr="00C776F9">
              <w:rPr>
                <w:rFonts w:cs="Calibri"/>
                <w:color w:val="000000"/>
                <w:sz w:val="12"/>
                <w:szCs w:val="12"/>
              </w:rPr>
              <w:t>404 994</w:t>
            </w:r>
          </w:p>
        </w:tc>
      </w:tr>
      <w:tr w:rsidR="00BD7C14" w:rsidRPr="00C776F9" w14:paraId="68C9F517" w14:textId="77777777" w:rsidTr="00BD7C14">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0A02B10F" w14:textId="77777777" w:rsidR="00BD7C14" w:rsidRPr="00C776F9" w:rsidRDefault="00BD7C14" w:rsidP="00BD7C14">
            <w:pPr>
              <w:rPr>
                <w:rFonts w:cs="Calibri"/>
                <w:color w:val="000000"/>
                <w:sz w:val="12"/>
                <w:szCs w:val="12"/>
              </w:rPr>
            </w:pPr>
            <w:r w:rsidRPr="00C776F9">
              <w:rPr>
                <w:rFonts w:cs="Calibri"/>
                <w:color w:val="000000"/>
                <w:sz w:val="12"/>
                <w:szCs w:val="12"/>
              </w:rPr>
              <w:t>Utrata wartości lub odwrócenie utraty wartości z tytułu aktywów finansowych niewycenianych w wartości godziwej przez wynik finansowy</w:t>
            </w:r>
          </w:p>
        </w:tc>
        <w:tc>
          <w:tcPr>
            <w:tcW w:w="1418" w:type="dxa"/>
            <w:tcBorders>
              <w:top w:val="nil"/>
              <w:left w:val="nil"/>
              <w:bottom w:val="single" w:sz="4" w:space="0" w:color="0077BD"/>
              <w:right w:val="nil"/>
            </w:tcBorders>
            <w:shd w:val="clear" w:color="auto" w:fill="auto"/>
            <w:noWrap/>
            <w:vAlign w:val="center"/>
            <w:hideMark/>
          </w:tcPr>
          <w:p w14:paraId="244F4C71" w14:textId="77777777" w:rsidR="00BD7C14" w:rsidRPr="00C776F9" w:rsidRDefault="00BD7C14" w:rsidP="00BD7C14">
            <w:pPr>
              <w:jc w:val="right"/>
              <w:rPr>
                <w:rFonts w:cs="Calibri"/>
                <w:color w:val="000000"/>
                <w:sz w:val="12"/>
                <w:szCs w:val="12"/>
              </w:rPr>
            </w:pPr>
            <w:r w:rsidRPr="00C776F9">
              <w:rPr>
                <w:rFonts w:cs="Calibri"/>
                <w:color w:val="000000"/>
                <w:sz w:val="12"/>
                <w:szCs w:val="12"/>
              </w:rPr>
              <w:t>(527 573)</w:t>
            </w:r>
          </w:p>
        </w:tc>
        <w:tc>
          <w:tcPr>
            <w:tcW w:w="1418" w:type="dxa"/>
            <w:tcBorders>
              <w:top w:val="nil"/>
              <w:left w:val="single" w:sz="8" w:space="0" w:color="0077BD"/>
              <w:bottom w:val="single" w:sz="4" w:space="0" w:color="0077BD"/>
              <w:right w:val="nil"/>
            </w:tcBorders>
            <w:shd w:val="clear" w:color="auto" w:fill="auto"/>
            <w:noWrap/>
            <w:vAlign w:val="center"/>
            <w:hideMark/>
          </w:tcPr>
          <w:p w14:paraId="1134432D"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D01CAB3" w14:textId="77777777" w:rsidR="00BD7C14" w:rsidRPr="00C776F9" w:rsidRDefault="00BD7C14" w:rsidP="00BD7C14">
            <w:pPr>
              <w:jc w:val="right"/>
              <w:rPr>
                <w:rFonts w:cs="Calibri"/>
                <w:color w:val="000000"/>
                <w:sz w:val="12"/>
                <w:szCs w:val="12"/>
              </w:rPr>
            </w:pPr>
            <w:r w:rsidRPr="00C776F9">
              <w:rPr>
                <w:rFonts w:cs="Calibri"/>
                <w:color w:val="000000"/>
                <w:sz w:val="12"/>
                <w:szCs w:val="12"/>
              </w:rPr>
              <w:t>(527 573)</w:t>
            </w:r>
          </w:p>
        </w:tc>
      </w:tr>
      <w:tr w:rsidR="00BD7C14" w:rsidRPr="00C776F9" w14:paraId="72D0D8C9"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6CC58CF" w14:textId="77777777" w:rsidR="00BD7C14" w:rsidRPr="00C776F9" w:rsidRDefault="00BD7C14" w:rsidP="00BD7C14">
            <w:pPr>
              <w:rPr>
                <w:rFonts w:cs="Calibri"/>
                <w:color w:val="000000"/>
                <w:sz w:val="12"/>
                <w:szCs w:val="12"/>
              </w:rPr>
            </w:pPr>
            <w:r w:rsidRPr="00C776F9">
              <w:rPr>
                <w:rFonts w:cs="Calibri"/>
                <w:color w:val="000000"/>
                <w:sz w:val="12"/>
                <w:szCs w:val="12"/>
              </w:rPr>
              <w:t>Wynik z tytułu rezerw na ryzyko prawne związane z kredytami walutowymi</w:t>
            </w:r>
          </w:p>
        </w:tc>
        <w:tc>
          <w:tcPr>
            <w:tcW w:w="1418" w:type="dxa"/>
            <w:tcBorders>
              <w:top w:val="nil"/>
              <w:left w:val="nil"/>
              <w:bottom w:val="single" w:sz="4" w:space="0" w:color="0077BD"/>
              <w:right w:val="nil"/>
            </w:tcBorders>
            <w:shd w:val="clear" w:color="auto" w:fill="auto"/>
            <w:noWrap/>
            <w:vAlign w:val="center"/>
            <w:hideMark/>
          </w:tcPr>
          <w:p w14:paraId="0877D4CB"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782B302E" w14:textId="77777777" w:rsidR="00BD7C14" w:rsidRPr="00C776F9" w:rsidRDefault="00BD7C14" w:rsidP="00BD7C14">
            <w:pPr>
              <w:jc w:val="right"/>
              <w:rPr>
                <w:rFonts w:cs="Calibri"/>
                <w:color w:val="000000"/>
                <w:sz w:val="12"/>
                <w:szCs w:val="12"/>
              </w:rPr>
            </w:pPr>
            <w:r w:rsidRPr="00C776F9">
              <w:rPr>
                <w:rFonts w:cs="Calibri"/>
                <w:color w:val="000000"/>
                <w:sz w:val="12"/>
                <w:szCs w:val="12"/>
              </w:rPr>
              <w:t>(20 349)</w:t>
            </w:r>
          </w:p>
        </w:tc>
        <w:tc>
          <w:tcPr>
            <w:tcW w:w="1418" w:type="dxa"/>
            <w:tcBorders>
              <w:top w:val="nil"/>
              <w:left w:val="single" w:sz="8" w:space="0" w:color="0077BD"/>
              <w:bottom w:val="single" w:sz="4" w:space="0" w:color="0077BD"/>
              <w:right w:val="nil"/>
            </w:tcBorders>
            <w:shd w:val="clear" w:color="auto" w:fill="auto"/>
            <w:noWrap/>
            <w:vAlign w:val="center"/>
            <w:hideMark/>
          </w:tcPr>
          <w:p w14:paraId="2BE45D02" w14:textId="77777777" w:rsidR="00BD7C14" w:rsidRPr="00C776F9" w:rsidRDefault="00BD7C14" w:rsidP="00BD7C14">
            <w:pPr>
              <w:jc w:val="right"/>
              <w:rPr>
                <w:rFonts w:cs="Calibri"/>
                <w:color w:val="000000"/>
                <w:sz w:val="12"/>
                <w:szCs w:val="12"/>
              </w:rPr>
            </w:pPr>
            <w:r w:rsidRPr="00C776F9">
              <w:rPr>
                <w:rFonts w:cs="Calibri"/>
                <w:color w:val="000000"/>
                <w:sz w:val="12"/>
                <w:szCs w:val="12"/>
              </w:rPr>
              <w:t>(20 349)</w:t>
            </w:r>
          </w:p>
        </w:tc>
      </w:tr>
      <w:tr w:rsidR="00BD7C14" w:rsidRPr="00C776F9" w14:paraId="4B6F6717"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11986A9" w14:textId="77777777" w:rsidR="00BD7C14" w:rsidRPr="00C776F9" w:rsidRDefault="00BD7C14" w:rsidP="00BD7C14">
            <w:pPr>
              <w:rPr>
                <w:rFonts w:cs="Calibri"/>
                <w:color w:val="000000"/>
                <w:sz w:val="12"/>
                <w:szCs w:val="12"/>
              </w:rPr>
            </w:pPr>
            <w:r w:rsidRPr="00C776F9">
              <w:rPr>
                <w:rFonts w:cs="Calibri"/>
                <w:color w:val="000000"/>
                <w:sz w:val="12"/>
                <w:szCs w:val="12"/>
              </w:rPr>
              <w:t>Ogólne koszty administracyjne</w:t>
            </w:r>
          </w:p>
        </w:tc>
        <w:tc>
          <w:tcPr>
            <w:tcW w:w="1418" w:type="dxa"/>
            <w:tcBorders>
              <w:top w:val="nil"/>
              <w:left w:val="nil"/>
              <w:bottom w:val="single" w:sz="4" w:space="0" w:color="0077BD"/>
              <w:right w:val="nil"/>
            </w:tcBorders>
            <w:shd w:val="clear" w:color="auto" w:fill="auto"/>
            <w:noWrap/>
            <w:vAlign w:val="center"/>
            <w:hideMark/>
          </w:tcPr>
          <w:p w14:paraId="5B4FF41C" w14:textId="77777777" w:rsidR="00BD7C14" w:rsidRPr="00C776F9" w:rsidRDefault="00BD7C14" w:rsidP="00BD7C14">
            <w:pPr>
              <w:jc w:val="right"/>
              <w:rPr>
                <w:rFonts w:cs="Calibri"/>
                <w:color w:val="000000"/>
                <w:sz w:val="12"/>
                <w:szCs w:val="12"/>
              </w:rPr>
            </w:pPr>
            <w:r w:rsidRPr="00C776F9">
              <w:rPr>
                <w:rFonts w:cs="Calibri"/>
                <w:color w:val="000000"/>
                <w:sz w:val="12"/>
                <w:szCs w:val="12"/>
              </w:rPr>
              <w:t>(1 911 340)</w:t>
            </w:r>
          </w:p>
        </w:tc>
        <w:tc>
          <w:tcPr>
            <w:tcW w:w="1418" w:type="dxa"/>
            <w:tcBorders>
              <w:top w:val="nil"/>
              <w:left w:val="single" w:sz="8" w:space="0" w:color="0077BD"/>
              <w:bottom w:val="single" w:sz="4" w:space="0" w:color="0077BD"/>
              <w:right w:val="nil"/>
            </w:tcBorders>
            <w:shd w:val="clear" w:color="auto" w:fill="auto"/>
            <w:noWrap/>
            <w:vAlign w:val="center"/>
            <w:hideMark/>
          </w:tcPr>
          <w:p w14:paraId="2554B389"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3D784EAF" w14:textId="77777777" w:rsidR="00BD7C14" w:rsidRPr="00C776F9" w:rsidRDefault="00BD7C14" w:rsidP="00BD7C14">
            <w:pPr>
              <w:jc w:val="right"/>
              <w:rPr>
                <w:rFonts w:cs="Calibri"/>
                <w:color w:val="000000"/>
                <w:sz w:val="12"/>
                <w:szCs w:val="12"/>
              </w:rPr>
            </w:pPr>
            <w:r w:rsidRPr="00C776F9">
              <w:rPr>
                <w:rFonts w:cs="Calibri"/>
                <w:color w:val="000000"/>
                <w:sz w:val="12"/>
                <w:szCs w:val="12"/>
              </w:rPr>
              <w:t>(1 911 340)</w:t>
            </w:r>
          </w:p>
        </w:tc>
      </w:tr>
      <w:tr w:rsidR="00BD7C14" w:rsidRPr="00C776F9" w14:paraId="50944A09"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BD2BD31" w14:textId="77777777" w:rsidR="00BD7C14" w:rsidRPr="00C776F9" w:rsidRDefault="00BD7C14" w:rsidP="00BD7C14">
            <w:pPr>
              <w:rPr>
                <w:rFonts w:cs="Calibri"/>
                <w:color w:val="000000"/>
                <w:sz w:val="12"/>
                <w:szCs w:val="12"/>
              </w:rPr>
            </w:pPr>
            <w:r w:rsidRPr="00C776F9">
              <w:rPr>
                <w:rFonts w:cs="Calibri"/>
                <w:color w:val="000000"/>
                <w:sz w:val="12"/>
                <w:szCs w:val="12"/>
              </w:rPr>
              <w:t>Amortyzacja</w:t>
            </w:r>
          </w:p>
        </w:tc>
        <w:tc>
          <w:tcPr>
            <w:tcW w:w="1418" w:type="dxa"/>
            <w:tcBorders>
              <w:top w:val="nil"/>
              <w:left w:val="nil"/>
              <w:bottom w:val="single" w:sz="4" w:space="0" w:color="0077BD"/>
              <w:right w:val="nil"/>
            </w:tcBorders>
            <w:shd w:val="clear" w:color="auto" w:fill="auto"/>
            <w:noWrap/>
            <w:vAlign w:val="center"/>
            <w:hideMark/>
          </w:tcPr>
          <w:p w14:paraId="2EB0C07E" w14:textId="77777777" w:rsidR="00BD7C14" w:rsidRPr="00C776F9" w:rsidRDefault="00BD7C14" w:rsidP="00BD7C14">
            <w:pPr>
              <w:jc w:val="right"/>
              <w:rPr>
                <w:rFonts w:cs="Calibri"/>
                <w:color w:val="000000"/>
                <w:sz w:val="12"/>
                <w:szCs w:val="12"/>
              </w:rPr>
            </w:pPr>
            <w:r w:rsidRPr="00C776F9">
              <w:rPr>
                <w:rFonts w:cs="Calibri"/>
                <w:color w:val="000000"/>
                <w:sz w:val="12"/>
                <w:szCs w:val="12"/>
              </w:rPr>
              <w:t>(252 592)</w:t>
            </w:r>
          </w:p>
        </w:tc>
        <w:tc>
          <w:tcPr>
            <w:tcW w:w="1418" w:type="dxa"/>
            <w:tcBorders>
              <w:top w:val="nil"/>
              <w:left w:val="single" w:sz="8" w:space="0" w:color="0077BD"/>
              <w:bottom w:val="single" w:sz="4" w:space="0" w:color="0077BD"/>
              <w:right w:val="nil"/>
            </w:tcBorders>
            <w:shd w:val="clear" w:color="auto" w:fill="auto"/>
            <w:noWrap/>
            <w:vAlign w:val="center"/>
            <w:hideMark/>
          </w:tcPr>
          <w:p w14:paraId="4DD56462"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0E78EFCD" w14:textId="77777777" w:rsidR="00BD7C14" w:rsidRPr="00C776F9" w:rsidRDefault="00BD7C14" w:rsidP="00BD7C14">
            <w:pPr>
              <w:jc w:val="right"/>
              <w:rPr>
                <w:rFonts w:cs="Calibri"/>
                <w:color w:val="000000"/>
                <w:sz w:val="12"/>
                <w:szCs w:val="12"/>
              </w:rPr>
            </w:pPr>
            <w:r w:rsidRPr="00C776F9">
              <w:rPr>
                <w:rFonts w:cs="Calibri"/>
                <w:color w:val="000000"/>
                <w:sz w:val="12"/>
                <w:szCs w:val="12"/>
              </w:rPr>
              <w:t>(252 592)</w:t>
            </w:r>
          </w:p>
        </w:tc>
      </w:tr>
      <w:tr w:rsidR="00BD7C14" w:rsidRPr="00C776F9" w14:paraId="2C1D5E20" w14:textId="77777777" w:rsidTr="00641B9B">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3E92ECF" w14:textId="77777777" w:rsidR="00BD7C14" w:rsidRPr="00C776F9" w:rsidRDefault="00BD7C14" w:rsidP="00BD7C14">
            <w:pPr>
              <w:rPr>
                <w:rFonts w:cs="Calibri"/>
                <w:color w:val="000000"/>
                <w:sz w:val="12"/>
                <w:szCs w:val="12"/>
              </w:rPr>
            </w:pPr>
            <w:r w:rsidRPr="00C776F9">
              <w:rPr>
                <w:rFonts w:cs="Calibri"/>
                <w:color w:val="000000"/>
                <w:sz w:val="12"/>
                <w:szCs w:val="12"/>
              </w:rPr>
              <w:t>Pozostałe koszty operacyjne</w:t>
            </w:r>
          </w:p>
        </w:tc>
        <w:tc>
          <w:tcPr>
            <w:tcW w:w="1418" w:type="dxa"/>
            <w:tcBorders>
              <w:top w:val="nil"/>
              <w:left w:val="nil"/>
              <w:bottom w:val="single" w:sz="4" w:space="0" w:color="0077BD"/>
              <w:right w:val="nil"/>
            </w:tcBorders>
            <w:shd w:val="clear" w:color="auto" w:fill="auto"/>
            <w:noWrap/>
            <w:vAlign w:val="center"/>
            <w:hideMark/>
          </w:tcPr>
          <w:p w14:paraId="03B5987D" w14:textId="77777777" w:rsidR="00BD7C14" w:rsidRPr="00C776F9" w:rsidRDefault="00BD7C14" w:rsidP="00BD7C14">
            <w:pPr>
              <w:jc w:val="right"/>
              <w:rPr>
                <w:rFonts w:cs="Calibri"/>
                <w:color w:val="000000"/>
                <w:sz w:val="12"/>
                <w:szCs w:val="12"/>
              </w:rPr>
            </w:pPr>
            <w:r w:rsidRPr="00C776F9">
              <w:rPr>
                <w:rFonts w:cs="Calibri"/>
                <w:color w:val="000000"/>
                <w:sz w:val="12"/>
                <w:szCs w:val="12"/>
              </w:rPr>
              <w:t>(192 953)</w:t>
            </w:r>
          </w:p>
        </w:tc>
        <w:tc>
          <w:tcPr>
            <w:tcW w:w="1418" w:type="dxa"/>
            <w:tcBorders>
              <w:top w:val="nil"/>
              <w:left w:val="single" w:sz="8" w:space="0" w:color="0077BD"/>
              <w:bottom w:val="nil"/>
              <w:right w:val="nil"/>
            </w:tcBorders>
            <w:shd w:val="clear" w:color="auto" w:fill="auto"/>
            <w:noWrap/>
            <w:vAlign w:val="center"/>
            <w:hideMark/>
          </w:tcPr>
          <w:p w14:paraId="68A7AC5A" w14:textId="77777777" w:rsidR="00BD7C14" w:rsidRPr="00C776F9" w:rsidRDefault="00BD7C14" w:rsidP="00BD7C14">
            <w:pPr>
              <w:jc w:val="right"/>
              <w:rPr>
                <w:rFonts w:cs="Calibri"/>
                <w:color w:val="000000"/>
                <w:sz w:val="12"/>
                <w:szCs w:val="12"/>
              </w:rPr>
            </w:pPr>
            <w:r w:rsidRPr="00C776F9">
              <w:rPr>
                <w:rFonts w:cs="Calibri"/>
                <w:color w:val="000000"/>
                <w:sz w:val="12"/>
                <w:szCs w:val="12"/>
              </w:rPr>
              <w:t>22 975</w:t>
            </w:r>
          </w:p>
        </w:tc>
        <w:tc>
          <w:tcPr>
            <w:tcW w:w="1418" w:type="dxa"/>
            <w:tcBorders>
              <w:top w:val="nil"/>
              <w:left w:val="single" w:sz="8" w:space="0" w:color="0077BD"/>
              <w:bottom w:val="single" w:sz="4" w:space="0" w:color="0077BD"/>
              <w:right w:val="nil"/>
            </w:tcBorders>
            <w:shd w:val="clear" w:color="auto" w:fill="auto"/>
            <w:noWrap/>
            <w:vAlign w:val="center"/>
            <w:hideMark/>
          </w:tcPr>
          <w:p w14:paraId="038BFAB3" w14:textId="77777777" w:rsidR="00BD7C14" w:rsidRPr="00C776F9" w:rsidRDefault="00BD7C14" w:rsidP="00BD7C14">
            <w:pPr>
              <w:jc w:val="right"/>
              <w:rPr>
                <w:rFonts w:cs="Calibri"/>
                <w:color w:val="000000"/>
                <w:sz w:val="12"/>
                <w:szCs w:val="12"/>
              </w:rPr>
            </w:pPr>
            <w:r w:rsidRPr="00C776F9">
              <w:rPr>
                <w:rFonts w:cs="Calibri"/>
                <w:color w:val="000000"/>
                <w:sz w:val="12"/>
                <w:szCs w:val="12"/>
              </w:rPr>
              <w:t>(169 978)</w:t>
            </w:r>
          </w:p>
        </w:tc>
      </w:tr>
      <w:tr w:rsidR="00BD7C14" w:rsidRPr="00C776F9" w14:paraId="602C1A48" w14:textId="77777777" w:rsidTr="00641B9B">
        <w:trPr>
          <w:trHeight w:val="227"/>
        </w:trPr>
        <w:tc>
          <w:tcPr>
            <w:tcW w:w="0" w:type="auto"/>
            <w:tcBorders>
              <w:top w:val="single" w:sz="8" w:space="0" w:color="0077BD"/>
              <w:left w:val="nil"/>
              <w:bottom w:val="single" w:sz="8" w:space="0" w:color="0077BD"/>
              <w:right w:val="single" w:sz="8" w:space="0" w:color="0077BD"/>
            </w:tcBorders>
            <w:shd w:val="clear" w:color="auto" w:fill="auto"/>
            <w:noWrap/>
            <w:vAlign w:val="center"/>
            <w:hideMark/>
          </w:tcPr>
          <w:p w14:paraId="7DB0B4D5" w14:textId="77777777" w:rsidR="00BD7C14" w:rsidRPr="00C776F9" w:rsidRDefault="00BD7C14" w:rsidP="00BD7C14">
            <w:pPr>
              <w:rPr>
                <w:rFonts w:cs="Calibri"/>
                <w:b/>
                <w:bCs/>
                <w:color w:val="000000"/>
                <w:sz w:val="12"/>
                <w:szCs w:val="12"/>
              </w:rPr>
            </w:pPr>
            <w:r w:rsidRPr="00C776F9">
              <w:rPr>
                <w:rFonts w:cs="Calibri"/>
                <w:b/>
                <w:bCs/>
                <w:color w:val="000000"/>
                <w:sz w:val="12"/>
                <w:szCs w:val="12"/>
              </w:rPr>
              <w:t>Wynik działalności operacyjnej</w:t>
            </w:r>
          </w:p>
        </w:tc>
        <w:tc>
          <w:tcPr>
            <w:tcW w:w="1418" w:type="dxa"/>
            <w:tcBorders>
              <w:top w:val="single" w:sz="8" w:space="0" w:color="0077BD"/>
              <w:left w:val="nil"/>
              <w:bottom w:val="single" w:sz="8" w:space="0" w:color="0077BD"/>
              <w:right w:val="nil"/>
            </w:tcBorders>
            <w:shd w:val="clear" w:color="000000" w:fill="FFFFFF"/>
            <w:noWrap/>
            <w:vAlign w:val="center"/>
            <w:hideMark/>
          </w:tcPr>
          <w:p w14:paraId="7F164CF5"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2 200 834</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15933D54" w14:textId="77777777" w:rsidR="00BD7C14" w:rsidRPr="00B11BCE" w:rsidRDefault="00BD7C14" w:rsidP="00BD7C14">
            <w:pPr>
              <w:jc w:val="right"/>
              <w:rPr>
                <w:rFonts w:cs="Calibri"/>
                <w:b/>
                <w:color w:val="000000"/>
                <w:sz w:val="12"/>
                <w:szCs w:val="12"/>
              </w:rPr>
            </w:pPr>
            <w:r w:rsidRPr="00B11BCE">
              <w:rPr>
                <w:rFonts w:cs="Calibri"/>
                <w:b/>
                <w:color w:val="000000"/>
                <w:sz w:val="12"/>
                <w:szCs w:val="12"/>
              </w:rPr>
              <w:t>-</w:t>
            </w:r>
          </w:p>
        </w:tc>
        <w:tc>
          <w:tcPr>
            <w:tcW w:w="1418" w:type="dxa"/>
            <w:tcBorders>
              <w:top w:val="single" w:sz="8" w:space="0" w:color="0077BD"/>
              <w:left w:val="nil"/>
              <w:bottom w:val="single" w:sz="8" w:space="0" w:color="0077BD"/>
              <w:right w:val="nil"/>
            </w:tcBorders>
            <w:shd w:val="clear" w:color="000000" w:fill="FFFFFF"/>
            <w:noWrap/>
            <w:vAlign w:val="center"/>
            <w:hideMark/>
          </w:tcPr>
          <w:p w14:paraId="4CA48FC3"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2 200 834</w:t>
            </w:r>
          </w:p>
        </w:tc>
      </w:tr>
      <w:tr w:rsidR="00BD7C14" w:rsidRPr="00C776F9" w14:paraId="0A69BE50" w14:textId="77777777" w:rsidTr="00BF6249">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6F93252" w14:textId="77777777" w:rsidR="00BD7C14" w:rsidRPr="00C776F9" w:rsidRDefault="00BD7C14" w:rsidP="00BD7C14">
            <w:pPr>
              <w:rPr>
                <w:rFonts w:cs="Calibri"/>
                <w:color w:val="000000"/>
                <w:sz w:val="12"/>
                <w:szCs w:val="12"/>
              </w:rPr>
            </w:pPr>
            <w:r w:rsidRPr="00C776F9">
              <w:rPr>
                <w:rFonts w:cs="Calibri"/>
                <w:color w:val="000000"/>
                <w:sz w:val="12"/>
                <w:szCs w:val="12"/>
              </w:rPr>
              <w:t>Podatki od pozycji bilansowych Grupy</w:t>
            </w:r>
          </w:p>
        </w:tc>
        <w:tc>
          <w:tcPr>
            <w:tcW w:w="1418" w:type="dxa"/>
            <w:tcBorders>
              <w:top w:val="nil"/>
              <w:left w:val="nil"/>
              <w:bottom w:val="single" w:sz="4" w:space="0" w:color="0077BD"/>
              <w:right w:val="nil"/>
            </w:tcBorders>
            <w:shd w:val="clear" w:color="000000" w:fill="FFFFFF"/>
            <w:noWrap/>
            <w:vAlign w:val="center"/>
            <w:hideMark/>
          </w:tcPr>
          <w:p w14:paraId="710C386C" w14:textId="77777777" w:rsidR="00BD7C14" w:rsidRPr="00C776F9" w:rsidRDefault="00BD7C14" w:rsidP="00BD7C14">
            <w:pPr>
              <w:jc w:val="right"/>
              <w:rPr>
                <w:rFonts w:cs="Calibri"/>
                <w:color w:val="000000"/>
                <w:sz w:val="12"/>
                <w:szCs w:val="12"/>
              </w:rPr>
            </w:pPr>
            <w:r w:rsidRPr="00C776F9">
              <w:rPr>
                <w:rFonts w:cs="Calibri"/>
                <w:color w:val="000000"/>
                <w:sz w:val="12"/>
                <w:szCs w:val="12"/>
              </w:rPr>
              <w:t>(401 760)</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7CDD6FC2" w14:textId="77777777" w:rsidR="00BD7C14" w:rsidRPr="00C776F9" w:rsidRDefault="00BD7C14" w:rsidP="00BD7C14">
            <w:pPr>
              <w:jc w:val="right"/>
              <w:rPr>
                <w:rFonts w:cs="Calibri"/>
                <w:color w:val="000000"/>
                <w:sz w:val="12"/>
                <w:szCs w:val="12"/>
              </w:rPr>
            </w:pPr>
            <w:r w:rsidRPr="00C776F9">
              <w:rPr>
                <w:rFonts w:cs="Calibri"/>
                <w:color w:val="000000"/>
                <w:sz w:val="12"/>
                <w:szCs w:val="12"/>
              </w:rPr>
              <w:t>(13 665)</w:t>
            </w:r>
          </w:p>
        </w:tc>
        <w:tc>
          <w:tcPr>
            <w:tcW w:w="1418" w:type="dxa"/>
            <w:tcBorders>
              <w:top w:val="nil"/>
              <w:left w:val="nil"/>
              <w:bottom w:val="single" w:sz="4" w:space="0" w:color="0077BD"/>
              <w:right w:val="nil"/>
            </w:tcBorders>
            <w:shd w:val="clear" w:color="000000" w:fill="FFFFFF"/>
            <w:noWrap/>
            <w:vAlign w:val="center"/>
            <w:hideMark/>
          </w:tcPr>
          <w:p w14:paraId="56154E4D" w14:textId="77777777" w:rsidR="00BD7C14" w:rsidRPr="00C776F9" w:rsidRDefault="00BD7C14" w:rsidP="00BD7C14">
            <w:pPr>
              <w:jc w:val="right"/>
              <w:rPr>
                <w:rFonts w:cs="Calibri"/>
                <w:color w:val="000000"/>
                <w:sz w:val="12"/>
                <w:szCs w:val="12"/>
              </w:rPr>
            </w:pPr>
            <w:r w:rsidRPr="00C776F9">
              <w:rPr>
                <w:rFonts w:cs="Calibri"/>
                <w:color w:val="000000"/>
                <w:sz w:val="12"/>
                <w:szCs w:val="12"/>
              </w:rPr>
              <w:t>(415 425)</w:t>
            </w:r>
          </w:p>
        </w:tc>
      </w:tr>
      <w:tr w:rsidR="00BD7C14" w:rsidRPr="00C776F9" w14:paraId="390968F4" w14:textId="77777777" w:rsidTr="00BF6249">
        <w:trPr>
          <w:trHeight w:val="227"/>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15B6AA7A" w14:textId="77777777" w:rsidR="00BD7C14" w:rsidRPr="00C776F9" w:rsidRDefault="00BD7C14" w:rsidP="00BD7C14">
            <w:pPr>
              <w:rPr>
                <w:rFonts w:cs="Calibri"/>
                <w:color w:val="000000"/>
                <w:sz w:val="12"/>
                <w:szCs w:val="12"/>
              </w:rPr>
            </w:pPr>
            <w:r w:rsidRPr="00C776F9">
              <w:rPr>
                <w:rFonts w:cs="Calibri"/>
                <w:color w:val="000000"/>
                <w:sz w:val="12"/>
                <w:szCs w:val="12"/>
              </w:rPr>
              <w:t>Udział w zyskach (stratach) jednostek wycenianych metodą praw własności</w:t>
            </w:r>
          </w:p>
        </w:tc>
        <w:tc>
          <w:tcPr>
            <w:tcW w:w="1418" w:type="dxa"/>
            <w:tcBorders>
              <w:top w:val="single" w:sz="4" w:space="0" w:color="0077BD"/>
              <w:left w:val="nil"/>
              <w:bottom w:val="single" w:sz="8" w:space="0" w:color="0077BD"/>
              <w:right w:val="nil"/>
            </w:tcBorders>
            <w:shd w:val="clear" w:color="000000" w:fill="FFFFFF"/>
            <w:noWrap/>
            <w:vAlign w:val="center"/>
            <w:hideMark/>
          </w:tcPr>
          <w:p w14:paraId="1BB6D2A1" w14:textId="77777777" w:rsidR="00BD7C14" w:rsidRPr="00C776F9" w:rsidRDefault="00BD7C14" w:rsidP="00BD7C14">
            <w:pPr>
              <w:jc w:val="right"/>
              <w:rPr>
                <w:rFonts w:cs="Calibri"/>
                <w:color w:val="000000"/>
                <w:sz w:val="12"/>
                <w:szCs w:val="12"/>
              </w:rPr>
            </w:pPr>
            <w:r w:rsidRPr="00C776F9">
              <w:rPr>
                <w:rFonts w:cs="Calibri"/>
                <w:color w:val="000000"/>
                <w:sz w:val="12"/>
                <w:szCs w:val="12"/>
              </w:rPr>
              <w:t>1 240</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hideMark/>
          </w:tcPr>
          <w:p w14:paraId="4FBB28D4"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single" w:sz="4" w:space="0" w:color="0077BD"/>
              <w:left w:val="nil"/>
              <w:bottom w:val="single" w:sz="8" w:space="0" w:color="0077BD"/>
              <w:right w:val="nil"/>
            </w:tcBorders>
            <w:shd w:val="clear" w:color="000000" w:fill="FFFFFF"/>
            <w:noWrap/>
            <w:vAlign w:val="center"/>
            <w:hideMark/>
          </w:tcPr>
          <w:p w14:paraId="5A1A2BA6" w14:textId="77777777" w:rsidR="00BD7C14" w:rsidRPr="00C776F9" w:rsidRDefault="00BD7C14" w:rsidP="00BD7C14">
            <w:pPr>
              <w:jc w:val="right"/>
              <w:rPr>
                <w:rFonts w:cs="Calibri"/>
                <w:color w:val="000000"/>
                <w:sz w:val="12"/>
                <w:szCs w:val="12"/>
              </w:rPr>
            </w:pPr>
            <w:r w:rsidRPr="00C776F9">
              <w:rPr>
                <w:rFonts w:cs="Calibri"/>
                <w:color w:val="000000"/>
                <w:sz w:val="12"/>
                <w:szCs w:val="12"/>
              </w:rPr>
              <w:t>1 240</w:t>
            </w:r>
          </w:p>
        </w:tc>
      </w:tr>
      <w:tr w:rsidR="00BD7C14" w:rsidRPr="00C776F9" w14:paraId="30E9CD85" w14:textId="77777777" w:rsidTr="00BF6249">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390C36D4" w14:textId="77777777" w:rsidR="00BD7C14" w:rsidRPr="00C776F9" w:rsidRDefault="00BD7C14" w:rsidP="00BD7C14">
            <w:pPr>
              <w:rPr>
                <w:rFonts w:cs="Calibri"/>
                <w:b/>
                <w:bCs/>
                <w:color w:val="000000"/>
                <w:sz w:val="12"/>
                <w:szCs w:val="12"/>
              </w:rPr>
            </w:pPr>
            <w:r w:rsidRPr="00C776F9">
              <w:rPr>
                <w:rFonts w:cs="Calibri"/>
                <w:b/>
                <w:bCs/>
                <w:color w:val="000000"/>
                <w:sz w:val="12"/>
                <w:szCs w:val="12"/>
              </w:rPr>
              <w:t>Zysk brutto</w:t>
            </w:r>
          </w:p>
        </w:tc>
        <w:tc>
          <w:tcPr>
            <w:tcW w:w="1418" w:type="dxa"/>
            <w:tcBorders>
              <w:top w:val="single" w:sz="8" w:space="0" w:color="0077BD"/>
              <w:left w:val="nil"/>
              <w:bottom w:val="single" w:sz="8" w:space="0" w:color="0077BD"/>
              <w:right w:val="nil"/>
            </w:tcBorders>
            <w:shd w:val="clear" w:color="000000" w:fill="FFFFFF"/>
            <w:noWrap/>
            <w:vAlign w:val="center"/>
            <w:hideMark/>
          </w:tcPr>
          <w:p w14:paraId="24A022DB"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1 800 314</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2E65FC1C"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(13 665)</w:t>
            </w:r>
          </w:p>
        </w:tc>
        <w:tc>
          <w:tcPr>
            <w:tcW w:w="1418" w:type="dxa"/>
            <w:tcBorders>
              <w:top w:val="single" w:sz="8" w:space="0" w:color="0077BD"/>
              <w:left w:val="nil"/>
              <w:bottom w:val="single" w:sz="8" w:space="0" w:color="0077BD"/>
              <w:right w:val="nil"/>
            </w:tcBorders>
            <w:shd w:val="clear" w:color="000000" w:fill="FFFFFF"/>
            <w:noWrap/>
            <w:vAlign w:val="center"/>
            <w:hideMark/>
          </w:tcPr>
          <w:p w14:paraId="19857BC4"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1 786 649</w:t>
            </w:r>
          </w:p>
        </w:tc>
      </w:tr>
      <w:tr w:rsidR="00BD7C14" w:rsidRPr="00C776F9" w14:paraId="5161564F" w14:textId="77777777" w:rsidTr="00641B9B">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47E2D74" w14:textId="77777777" w:rsidR="00BD7C14" w:rsidRPr="00C776F9" w:rsidRDefault="00BD7C14" w:rsidP="00BD7C14">
            <w:pPr>
              <w:rPr>
                <w:rFonts w:cs="Calibri"/>
                <w:color w:val="000000"/>
                <w:sz w:val="12"/>
                <w:szCs w:val="12"/>
              </w:rPr>
            </w:pPr>
            <w:r w:rsidRPr="00C776F9">
              <w:rPr>
                <w:rFonts w:cs="Calibri"/>
                <w:color w:val="000000"/>
                <w:sz w:val="12"/>
                <w:szCs w:val="12"/>
              </w:rPr>
              <w:t>Podatek dochodowy</w:t>
            </w:r>
          </w:p>
        </w:tc>
        <w:tc>
          <w:tcPr>
            <w:tcW w:w="1418" w:type="dxa"/>
            <w:tcBorders>
              <w:top w:val="nil"/>
              <w:left w:val="nil"/>
              <w:bottom w:val="single" w:sz="8" w:space="0" w:color="0077BD"/>
              <w:right w:val="nil"/>
            </w:tcBorders>
            <w:shd w:val="clear" w:color="000000" w:fill="FFFFFF"/>
            <w:noWrap/>
            <w:vAlign w:val="center"/>
            <w:hideMark/>
          </w:tcPr>
          <w:p w14:paraId="47A26F37" w14:textId="77777777" w:rsidR="00BD7C14" w:rsidRPr="00C776F9" w:rsidRDefault="00BD7C14" w:rsidP="00BD7C14">
            <w:pPr>
              <w:jc w:val="right"/>
              <w:rPr>
                <w:rFonts w:cs="Calibri"/>
                <w:color w:val="000000"/>
                <w:sz w:val="12"/>
                <w:szCs w:val="12"/>
              </w:rPr>
            </w:pPr>
            <w:r w:rsidRPr="00C776F9">
              <w:rPr>
                <w:rFonts w:cs="Calibri"/>
                <w:color w:val="000000"/>
                <w:sz w:val="12"/>
                <w:szCs w:val="12"/>
              </w:rPr>
              <w:t>(483 945)</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3D917409"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nil"/>
              <w:bottom w:val="single" w:sz="8" w:space="0" w:color="0077BD"/>
              <w:right w:val="nil"/>
            </w:tcBorders>
            <w:shd w:val="clear" w:color="000000" w:fill="FFFFFF"/>
            <w:noWrap/>
            <w:vAlign w:val="center"/>
            <w:hideMark/>
          </w:tcPr>
          <w:p w14:paraId="101D5C0F" w14:textId="77777777" w:rsidR="00BD7C14" w:rsidRPr="00C776F9" w:rsidRDefault="00BD7C14" w:rsidP="00BD7C14">
            <w:pPr>
              <w:jc w:val="right"/>
              <w:rPr>
                <w:rFonts w:cs="Calibri"/>
                <w:color w:val="000000"/>
                <w:sz w:val="12"/>
                <w:szCs w:val="12"/>
              </w:rPr>
            </w:pPr>
            <w:r w:rsidRPr="00C776F9">
              <w:rPr>
                <w:rFonts w:cs="Calibri"/>
                <w:color w:val="000000"/>
                <w:sz w:val="12"/>
                <w:szCs w:val="12"/>
              </w:rPr>
              <w:t>(483 945)</w:t>
            </w:r>
          </w:p>
        </w:tc>
      </w:tr>
      <w:tr w:rsidR="00BD7C14" w:rsidRPr="00C776F9" w14:paraId="625CD42C" w14:textId="77777777" w:rsidTr="00641B9B">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1E38EAA5" w14:textId="77777777" w:rsidR="00BD7C14" w:rsidRPr="00C776F9" w:rsidRDefault="00BD7C14" w:rsidP="00BD7C14">
            <w:pPr>
              <w:rPr>
                <w:rFonts w:cs="Calibri"/>
                <w:b/>
                <w:bCs/>
                <w:color w:val="000000"/>
                <w:sz w:val="12"/>
                <w:szCs w:val="12"/>
              </w:rPr>
            </w:pPr>
            <w:r w:rsidRPr="00C776F9">
              <w:rPr>
                <w:rFonts w:cs="Calibri"/>
                <w:b/>
                <w:bCs/>
                <w:color w:val="000000"/>
                <w:sz w:val="12"/>
                <w:szCs w:val="12"/>
              </w:rPr>
              <w:t>Zysk netto</w:t>
            </w:r>
          </w:p>
        </w:tc>
        <w:tc>
          <w:tcPr>
            <w:tcW w:w="1418" w:type="dxa"/>
            <w:tcBorders>
              <w:top w:val="nil"/>
              <w:left w:val="nil"/>
              <w:bottom w:val="single" w:sz="8" w:space="0" w:color="0077BD"/>
              <w:right w:val="nil"/>
            </w:tcBorders>
            <w:shd w:val="clear" w:color="000000" w:fill="FFFFFF"/>
            <w:noWrap/>
            <w:vAlign w:val="center"/>
            <w:hideMark/>
          </w:tcPr>
          <w:p w14:paraId="088E7C89"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1 316 369</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5D4C36E9"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(13 665)</w:t>
            </w:r>
          </w:p>
        </w:tc>
        <w:tc>
          <w:tcPr>
            <w:tcW w:w="1418" w:type="dxa"/>
            <w:tcBorders>
              <w:top w:val="nil"/>
              <w:left w:val="nil"/>
              <w:bottom w:val="single" w:sz="8" w:space="0" w:color="0077BD"/>
              <w:right w:val="nil"/>
            </w:tcBorders>
            <w:shd w:val="clear" w:color="000000" w:fill="FFFFFF"/>
            <w:noWrap/>
            <w:vAlign w:val="center"/>
            <w:hideMark/>
          </w:tcPr>
          <w:p w14:paraId="4FE369C0"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1 302 704</w:t>
            </w:r>
          </w:p>
        </w:tc>
      </w:tr>
      <w:tr w:rsidR="00BD7C14" w:rsidRPr="00C776F9" w14:paraId="56553556" w14:textId="77777777" w:rsidTr="00B11BCE">
        <w:trPr>
          <w:trHeight w:val="227"/>
        </w:trPr>
        <w:tc>
          <w:tcPr>
            <w:tcW w:w="0" w:type="auto"/>
            <w:tcBorders>
              <w:top w:val="nil"/>
              <w:left w:val="nil"/>
              <w:bottom w:val="single" w:sz="8" w:space="0" w:color="0077BD"/>
              <w:right w:val="nil"/>
            </w:tcBorders>
            <w:shd w:val="clear" w:color="000000" w:fill="FFFFFF"/>
            <w:vAlign w:val="center"/>
            <w:hideMark/>
          </w:tcPr>
          <w:p w14:paraId="1E448BA1" w14:textId="77777777" w:rsidR="00BD7C14" w:rsidRPr="00C776F9" w:rsidRDefault="00BD7C14" w:rsidP="00BD7C14">
            <w:pPr>
              <w:rPr>
                <w:rFonts w:cs="Calibri"/>
                <w:b/>
                <w:bCs/>
                <w:color w:val="000000"/>
                <w:sz w:val="12"/>
                <w:szCs w:val="12"/>
              </w:rPr>
            </w:pPr>
            <w:r w:rsidRPr="00C776F9">
              <w:rPr>
                <w:rFonts w:cs="Calibri"/>
                <w:b/>
                <w:bCs/>
                <w:color w:val="000000"/>
                <w:sz w:val="12"/>
                <w:szCs w:val="12"/>
              </w:rPr>
              <w:t>Zysk netto przypadający na:</w:t>
            </w:r>
          </w:p>
        </w:tc>
        <w:tc>
          <w:tcPr>
            <w:tcW w:w="1418" w:type="dxa"/>
            <w:tcBorders>
              <w:top w:val="nil"/>
              <w:left w:val="nil"/>
              <w:bottom w:val="single" w:sz="8" w:space="0" w:color="0077BD"/>
              <w:right w:val="nil"/>
            </w:tcBorders>
            <w:shd w:val="clear" w:color="000000" w:fill="FFFFFF"/>
            <w:noWrap/>
            <w:vAlign w:val="center"/>
          </w:tcPr>
          <w:p w14:paraId="46AD6BB1" w14:textId="1F1464E4" w:rsidR="00BD7C14" w:rsidRPr="00C776F9" w:rsidRDefault="00BD7C14" w:rsidP="00BD7C14">
            <w:pPr>
              <w:jc w:val="right"/>
              <w:rPr>
                <w:rFonts w:cs="Calibri"/>
                <w:b/>
                <w:bCs/>
                <w:color w:val="000000"/>
                <w:sz w:val="12"/>
                <w:szCs w:val="12"/>
              </w:rPr>
            </w:pPr>
          </w:p>
        </w:tc>
        <w:tc>
          <w:tcPr>
            <w:tcW w:w="1418" w:type="dxa"/>
            <w:tcBorders>
              <w:top w:val="nil"/>
              <w:left w:val="nil"/>
              <w:bottom w:val="single" w:sz="8" w:space="0" w:color="0077BD"/>
              <w:right w:val="nil"/>
            </w:tcBorders>
            <w:shd w:val="clear" w:color="000000" w:fill="FFFFFF"/>
            <w:noWrap/>
            <w:vAlign w:val="center"/>
          </w:tcPr>
          <w:p w14:paraId="060934BB" w14:textId="06FC7B57" w:rsidR="00BD7C14" w:rsidRPr="00C776F9" w:rsidRDefault="00BD7C14" w:rsidP="00BD7C14">
            <w:pPr>
              <w:jc w:val="right"/>
              <w:rPr>
                <w:rFonts w:cs="Calibri"/>
                <w:b/>
                <w:bCs/>
                <w:color w:val="000000"/>
                <w:sz w:val="12"/>
                <w:szCs w:val="12"/>
              </w:rPr>
            </w:pPr>
          </w:p>
        </w:tc>
        <w:tc>
          <w:tcPr>
            <w:tcW w:w="1418" w:type="dxa"/>
            <w:tcBorders>
              <w:top w:val="nil"/>
              <w:left w:val="nil"/>
              <w:bottom w:val="single" w:sz="8" w:space="0" w:color="0077BD"/>
              <w:right w:val="nil"/>
            </w:tcBorders>
            <w:shd w:val="clear" w:color="000000" w:fill="FFFFFF"/>
            <w:noWrap/>
            <w:vAlign w:val="center"/>
          </w:tcPr>
          <w:p w14:paraId="2A388BBA" w14:textId="6E567CBE" w:rsidR="00BD7C14" w:rsidRPr="00C776F9" w:rsidRDefault="00BD7C14" w:rsidP="00BD7C14">
            <w:pPr>
              <w:jc w:val="right"/>
              <w:rPr>
                <w:rFonts w:cs="Calibri"/>
                <w:b/>
                <w:bCs/>
                <w:color w:val="000000"/>
                <w:sz w:val="12"/>
                <w:szCs w:val="12"/>
              </w:rPr>
            </w:pPr>
          </w:p>
        </w:tc>
      </w:tr>
      <w:tr w:rsidR="00BD7C14" w:rsidRPr="00C776F9" w14:paraId="47AB9333" w14:textId="77777777" w:rsidTr="00641B9B">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DEC0B1F" w14:textId="77777777" w:rsidR="00BD7C14" w:rsidRPr="00C776F9" w:rsidRDefault="00BD7C14" w:rsidP="00BD7C14">
            <w:pPr>
              <w:rPr>
                <w:rFonts w:cs="Calibri"/>
                <w:color w:val="000000"/>
                <w:sz w:val="12"/>
                <w:szCs w:val="12"/>
              </w:rPr>
            </w:pPr>
            <w:r w:rsidRPr="00C776F9">
              <w:rPr>
                <w:rFonts w:cs="Calibri"/>
                <w:color w:val="000000"/>
                <w:sz w:val="12"/>
                <w:szCs w:val="12"/>
              </w:rPr>
              <w:t>- akcjonariuszy mBanku S.A.</w:t>
            </w:r>
          </w:p>
        </w:tc>
        <w:tc>
          <w:tcPr>
            <w:tcW w:w="1418" w:type="dxa"/>
            <w:tcBorders>
              <w:top w:val="single" w:sz="4" w:space="0" w:color="0077BD"/>
              <w:left w:val="nil"/>
              <w:bottom w:val="single" w:sz="4" w:space="0" w:color="0077BD"/>
              <w:right w:val="nil"/>
            </w:tcBorders>
            <w:shd w:val="clear" w:color="auto" w:fill="auto"/>
            <w:noWrap/>
            <w:vAlign w:val="center"/>
            <w:hideMark/>
          </w:tcPr>
          <w:p w14:paraId="037366CD" w14:textId="77777777" w:rsidR="00BD7C14" w:rsidRPr="00C776F9" w:rsidRDefault="00BD7C14" w:rsidP="00BD7C14">
            <w:pPr>
              <w:jc w:val="right"/>
              <w:rPr>
                <w:rFonts w:cs="Calibri"/>
                <w:color w:val="000000"/>
                <w:sz w:val="12"/>
                <w:szCs w:val="12"/>
              </w:rPr>
            </w:pPr>
            <w:r w:rsidRPr="00C776F9">
              <w:rPr>
                <w:rFonts w:cs="Calibri"/>
                <w:color w:val="000000"/>
                <w:sz w:val="12"/>
                <w:szCs w:val="12"/>
              </w:rPr>
              <w:t>1 316 451</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7D3B8556" w14:textId="77777777" w:rsidR="00BD7C14" w:rsidRPr="00C776F9" w:rsidRDefault="00BD7C14" w:rsidP="00BD7C14">
            <w:pPr>
              <w:jc w:val="right"/>
              <w:rPr>
                <w:rFonts w:cs="Calibri"/>
                <w:color w:val="000000"/>
                <w:sz w:val="12"/>
                <w:szCs w:val="12"/>
              </w:rPr>
            </w:pPr>
            <w:r w:rsidRPr="00C776F9">
              <w:rPr>
                <w:rFonts w:cs="Calibri"/>
                <w:color w:val="000000"/>
                <w:sz w:val="12"/>
                <w:szCs w:val="12"/>
              </w:rPr>
              <w:t>(13 665)</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6F771D4A" w14:textId="77777777" w:rsidR="00BD7C14" w:rsidRPr="00C776F9" w:rsidRDefault="00BD7C14" w:rsidP="00BD7C14">
            <w:pPr>
              <w:jc w:val="right"/>
              <w:rPr>
                <w:rFonts w:cs="Calibri"/>
                <w:color w:val="000000"/>
                <w:sz w:val="12"/>
                <w:szCs w:val="12"/>
              </w:rPr>
            </w:pPr>
            <w:r w:rsidRPr="00C776F9">
              <w:rPr>
                <w:rFonts w:cs="Calibri"/>
                <w:color w:val="000000"/>
                <w:sz w:val="12"/>
                <w:szCs w:val="12"/>
              </w:rPr>
              <w:t>1 302 786</w:t>
            </w:r>
          </w:p>
        </w:tc>
      </w:tr>
      <w:tr w:rsidR="00BD7C14" w:rsidRPr="00C776F9" w14:paraId="07AF34D7" w14:textId="77777777" w:rsidTr="00641B9B">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1C3AD3FC" w14:textId="77777777" w:rsidR="00BD7C14" w:rsidRPr="00C776F9" w:rsidRDefault="00BD7C14" w:rsidP="00BD7C14">
            <w:pPr>
              <w:rPr>
                <w:rFonts w:cs="Calibri"/>
                <w:color w:val="000000"/>
                <w:sz w:val="12"/>
                <w:szCs w:val="12"/>
              </w:rPr>
            </w:pPr>
            <w:r w:rsidRPr="00C776F9">
              <w:rPr>
                <w:rFonts w:cs="Calibri"/>
                <w:color w:val="000000"/>
                <w:sz w:val="12"/>
                <w:szCs w:val="12"/>
              </w:rPr>
              <w:t>- udziały niekontrolujące</w:t>
            </w:r>
          </w:p>
        </w:tc>
        <w:tc>
          <w:tcPr>
            <w:tcW w:w="1418" w:type="dxa"/>
            <w:tcBorders>
              <w:top w:val="nil"/>
              <w:left w:val="nil"/>
              <w:bottom w:val="single" w:sz="8" w:space="0" w:color="0077BD"/>
              <w:right w:val="nil"/>
            </w:tcBorders>
            <w:shd w:val="clear" w:color="auto" w:fill="auto"/>
            <w:noWrap/>
            <w:vAlign w:val="center"/>
            <w:hideMark/>
          </w:tcPr>
          <w:p w14:paraId="17E336D4" w14:textId="77777777" w:rsidR="00BD7C14" w:rsidRPr="00C776F9" w:rsidRDefault="00BD7C14" w:rsidP="00BD7C14">
            <w:pPr>
              <w:jc w:val="right"/>
              <w:rPr>
                <w:rFonts w:cs="Calibri"/>
                <w:color w:val="000000"/>
                <w:sz w:val="12"/>
                <w:szCs w:val="12"/>
              </w:rPr>
            </w:pPr>
            <w:r w:rsidRPr="00C776F9">
              <w:rPr>
                <w:rFonts w:cs="Calibri"/>
                <w:color w:val="000000"/>
                <w:sz w:val="12"/>
                <w:szCs w:val="12"/>
              </w:rPr>
              <w:t>(82)</w:t>
            </w:r>
          </w:p>
        </w:tc>
        <w:tc>
          <w:tcPr>
            <w:tcW w:w="1418" w:type="dxa"/>
            <w:tcBorders>
              <w:top w:val="nil"/>
              <w:left w:val="single" w:sz="8" w:space="0" w:color="0077BD"/>
              <w:bottom w:val="single" w:sz="8" w:space="0" w:color="0077BD"/>
              <w:right w:val="nil"/>
            </w:tcBorders>
            <w:shd w:val="clear" w:color="auto" w:fill="auto"/>
            <w:noWrap/>
            <w:vAlign w:val="center"/>
            <w:hideMark/>
          </w:tcPr>
          <w:p w14:paraId="02BB130C" w14:textId="77777777" w:rsidR="00BD7C14" w:rsidRPr="00C776F9" w:rsidRDefault="00BD7C14" w:rsidP="00BD7C14">
            <w:pPr>
              <w:jc w:val="right"/>
              <w:rPr>
                <w:rFonts w:cs="Calibri"/>
                <w:color w:val="000000"/>
                <w:sz w:val="12"/>
                <w:szCs w:val="12"/>
              </w:rPr>
            </w:pPr>
            <w:r w:rsidRPr="00C776F9">
              <w:rPr>
                <w:rFonts w:cs="Calibri"/>
                <w:color w:val="000000"/>
                <w:sz w:val="12"/>
                <w:szCs w:val="12"/>
              </w:rPr>
              <w:t>-</w:t>
            </w:r>
          </w:p>
        </w:tc>
        <w:tc>
          <w:tcPr>
            <w:tcW w:w="1418" w:type="dxa"/>
            <w:tcBorders>
              <w:top w:val="nil"/>
              <w:left w:val="single" w:sz="8" w:space="0" w:color="0077BD"/>
              <w:bottom w:val="single" w:sz="8" w:space="0" w:color="0077BD"/>
              <w:right w:val="nil"/>
            </w:tcBorders>
            <w:shd w:val="clear" w:color="auto" w:fill="auto"/>
            <w:noWrap/>
            <w:vAlign w:val="center"/>
            <w:hideMark/>
          </w:tcPr>
          <w:p w14:paraId="5DD67765" w14:textId="77777777" w:rsidR="00BD7C14" w:rsidRPr="00C776F9" w:rsidRDefault="00BD7C14" w:rsidP="00BD7C14">
            <w:pPr>
              <w:jc w:val="right"/>
              <w:rPr>
                <w:rFonts w:cs="Calibri"/>
                <w:color w:val="000000"/>
                <w:sz w:val="12"/>
                <w:szCs w:val="12"/>
              </w:rPr>
            </w:pPr>
            <w:r w:rsidRPr="00C776F9">
              <w:rPr>
                <w:rFonts w:cs="Calibri"/>
                <w:color w:val="000000"/>
                <w:sz w:val="12"/>
                <w:szCs w:val="12"/>
              </w:rPr>
              <w:t>(82)</w:t>
            </w:r>
          </w:p>
        </w:tc>
      </w:tr>
      <w:tr w:rsidR="00BD7C14" w:rsidRPr="00C776F9" w14:paraId="324B1B90" w14:textId="77777777" w:rsidTr="00BD7C14">
        <w:trPr>
          <w:trHeight w:val="20"/>
        </w:trPr>
        <w:tc>
          <w:tcPr>
            <w:tcW w:w="0" w:type="auto"/>
            <w:tcBorders>
              <w:top w:val="nil"/>
              <w:left w:val="nil"/>
              <w:bottom w:val="nil"/>
              <w:right w:val="nil"/>
            </w:tcBorders>
            <w:shd w:val="clear" w:color="000000" w:fill="FFFFFF"/>
            <w:noWrap/>
            <w:vAlign w:val="bottom"/>
          </w:tcPr>
          <w:p w14:paraId="678AC9BC" w14:textId="3267B0A7" w:rsidR="00BD7C14" w:rsidRPr="00C776F9" w:rsidRDefault="00BD7C14" w:rsidP="00BD7C14">
            <w:pPr>
              <w:rPr>
                <w:rFonts w:cs="Calibri"/>
                <w:color w:val="000000"/>
                <w:sz w:val="12"/>
                <w:szCs w:val="12"/>
              </w:rPr>
            </w:pPr>
          </w:p>
        </w:tc>
        <w:tc>
          <w:tcPr>
            <w:tcW w:w="1418" w:type="dxa"/>
            <w:tcBorders>
              <w:top w:val="nil"/>
              <w:left w:val="nil"/>
              <w:bottom w:val="nil"/>
              <w:right w:val="nil"/>
            </w:tcBorders>
            <w:shd w:val="clear" w:color="000000" w:fill="FFFFFF"/>
            <w:noWrap/>
            <w:vAlign w:val="bottom"/>
          </w:tcPr>
          <w:p w14:paraId="526A22E3" w14:textId="6D38AD92" w:rsidR="00BD7C14" w:rsidRPr="00C776F9" w:rsidRDefault="00BD7C14" w:rsidP="00BD7C14">
            <w:pPr>
              <w:rPr>
                <w:rFonts w:cs="Calibri"/>
                <w:i/>
                <w:iCs/>
                <w:color w:val="000000"/>
                <w:sz w:val="12"/>
                <w:szCs w:val="12"/>
              </w:rPr>
            </w:pPr>
          </w:p>
        </w:tc>
        <w:tc>
          <w:tcPr>
            <w:tcW w:w="1418" w:type="dxa"/>
            <w:tcBorders>
              <w:top w:val="nil"/>
              <w:left w:val="nil"/>
              <w:bottom w:val="nil"/>
              <w:right w:val="nil"/>
            </w:tcBorders>
            <w:shd w:val="clear" w:color="000000" w:fill="FFFFFF"/>
            <w:noWrap/>
            <w:vAlign w:val="bottom"/>
          </w:tcPr>
          <w:p w14:paraId="4CC94664" w14:textId="69DA0D2F" w:rsidR="00BD7C14" w:rsidRPr="00C776F9" w:rsidRDefault="00BD7C14" w:rsidP="00BD7C14">
            <w:pPr>
              <w:rPr>
                <w:rFonts w:cs="Calibri"/>
                <w:i/>
                <w:iCs/>
                <w:color w:val="000000"/>
                <w:sz w:val="12"/>
                <w:szCs w:val="12"/>
              </w:rPr>
            </w:pPr>
          </w:p>
        </w:tc>
        <w:tc>
          <w:tcPr>
            <w:tcW w:w="1418" w:type="dxa"/>
            <w:tcBorders>
              <w:top w:val="nil"/>
              <w:left w:val="nil"/>
              <w:bottom w:val="nil"/>
              <w:right w:val="nil"/>
            </w:tcBorders>
            <w:shd w:val="clear" w:color="000000" w:fill="FFFFFF"/>
            <w:noWrap/>
            <w:vAlign w:val="bottom"/>
          </w:tcPr>
          <w:p w14:paraId="609E41B1" w14:textId="66266413" w:rsidR="00BD7C14" w:rsidRPr="00C776F9" w:rsidRDefault="00BD7C14" w:rsidP="00BD7C14">
            <w:pPr>
              <w:rPr>
                <w:rFonts w:cs="Calibri"/>
                <w:i/>
                <w:iCs/>
                <w:color w:val="000000"/>
                <w:sz w:val="12"/>
                <w:szCs w:val="12"/>
              </w:rPr>
            </w:pPr>
          </w:p>
        </w:tc>
      </w:tr>
      <w:tr w:rsidR="00BD7C14" w:rsidRPr="00C776F9" w14:paraId="0354DB6D" w14:textId="77777777" w:rsidTr="00641B9B">
        <w:trPr>
          <w:trHeight w:val="227"/>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066D2B3F" w14:textId="77777777" w:rsidR="00BD7C14" w:rsidRPr="00C776F9" w:rsidRDefault="00BD7C14" w:rsidP="00BD7C14">
            <w:pPr>
              <w:rPr>
                <w:rFonts w:cs="Calibri"/>
                <w:b/>
                <w:bCs/>
                <w:color w:val="000000"/>
                <w:sz w:val="12"/>
                <w:szCs w:val="12"/>
              </w:rPr>
            </w:pPr>
            <w:r w:rsidRPr="00C776F9">
              <w:rPr>
                <w:rFonts w:cs="Calibri"/>
                <w:b/>
                <w:bCs/>
                <w:color w:val="000000"/>
                <w:sz w:val="12"/>
                <w:szCs w:val="12"/>
              </w:rPr>
              <w:t>- Zysk na jedną akcję zwykłą (w zł)</w:t>
            </w:r>
          </w:p>
        </w:tc>
        <w:tc>
          <w:tcPr>
            <w:tcW w:w="1418" w:type="dxa"/>
            <w:tcBorders>
              <w:top w:val="single" w:sz="8" w:space="0" w:color="0077BD"/>
              <w:left w:val="nil"/>
              <w:bottom w:val="single" w:sz="4" w:space="0" w:color="0077BD"/>
              <w:right w:val="nil"/>
            </w:tcBorders>
            <w:shd w:val="clear" w:color="auto" w:fill="auto"/>
            <w:noWrap/>
            <w:vAlign w:val="center"/>
            <w:hideMark/>
          </w:tcPr>
          <w:p w14:paraId="2520D1C0"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31,11</w:t>
            </w:r>
          </w:p>
        </w:tc>
        <w:tc>
          <w:tcPr>
            <w:tcW w:w="1418" w:type="dxa"/>
            <w:tcBorders>
              <w:top w:val="single" w:sz="8" w:space="0" w:color="0077BD"/>
              <w:left w:val="single" w:sz="8" w:space="0" w:color="0077BD"/>
              <w:bottom w:val="single" w:sz="4" w:space="0" w:color="0077BD"/>
              <w:right w:val="nil"/>
            </w:tcBorders>
            <w:shd w:val="clear" w:color="auto" w:fill="auto"/>
            <w:noWrap/>
            <w:vAlign w:val="center"/>
            <w:hideMark/>
          </w:tcPr>
          <w:p w14:paraId="771B7FA0"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(0,32)</w:t>
            </w:r>
          </w:p>
        </w:tc>
        <w:tc>
          <w:tcPr>
            <w:tcW w:w="1418" w:type="dxa"/>
            <w:tcBorders>
              <w:top w:val="single" w:sz="8" w:space="0" w:color="0077BD"/>
              <w:left w:val="single" w:sz="8" w:space="0" w:color="0077BD"/>
              <w:bottom w:val="single" w:sz="4" w:space="0" w:color="0077BD"/>
              <w:right w:val="nil"/>
            </w:tcBorders>
            <w:shd w:val="clear" w:color="auto" w:fill="auto"/>
            <w:noWrap/>
            <w:vAlign w:val="center"/>
            <w:hideMark/>
          </w:tcPr>
          <w:p w14:paraId="74FC04E6"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30,79</w:t>
            </w:r>
          </w:p>
        </w:tc>
      </w:tr>
      <w:tr w:rsidR="00BD7C14" w:rsidRPr="00C776F9" w14:paraId="6DFB498B" w14:textId="77777777" w:rsidTr="00641B9B">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69729F6A" w14:textId="77777777" w:rsidR="00BD7C14" w:rsidRPr="00C776F9" w:rsidRDefault="00BD7C14" w:rsidP="00BD7C14">
            <w:pPr>
              <w:rPr>
                <w:rFonts w:cs="Calibri"/>
                <w:b/>
                <w:bCs/>
                <w:color w:val="000000"/>
                <w:sz w:val="12"/>
                <w:szCs w:val="12"/>
              </w:rPr>
            </w:pPr>
            <w:r w:rsidRPr="00C776F9">
              <w:rPr>
                <w:rFonts w:cs="Calibri"/>
                <w:b/>
                <w:bCs/>
                <w:color w:val="000000"/>
                <w:sz w:val="12"/>
                <w:szCs w:val="12"/>
              </w:rPr>
              <w:t>- Rozwodniony zysk na jedną akcję zwykłą (w zł)</w:t>
            </w:r>
          </w:p>
        </w:tc>
        <w:tc>
          <w:tcPr>
            <w:tcW w:w="1418" w:type="dxa"/>
            <w:tcBorders>
              <w:top w:val="nil"/>
              <w:left w:val="nil"/>
              <w:bottom w:val="single" w:sz="8" w:space="0" w:color="0077BD"/>
              <w:right w:val="nil"/>
            </w:tcBorders>
            <w:shd w:val="clear" w:color="auto" w:fill="auto"/>
            <w:noWrap/>
            <w:vAlign w:val="center"/>
            <w:hideMark/>
          </w:tcPr>
          <w:p w14:paraId="6D5A95E6"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31,09</w:t>
            </w:r>
          </w:p>
        </w:tc>
        <w:tc>
          <w:tcPr>
            <w:tcW w:w="1418" w:type="dxa"/>
            <w:tcBorders>
              <w:top w:val="nil"/>
              <w:left w:val="single" w:sz="8" w:space="0" w:color="0077BD"/>
              <w:bottom w:val="single" w:sz="8" w:space="0" w:color="0077BD"/>
              <w:right w:val="nil"/>
            </w:tcBorders>
            <w:shd w:val="clear" w:color="auto" w:fill="auto"/>
            <w:noWrap/>
            <w:vAlign w:val="center"/>
            <w:hideMark/>
          </w:tcPr>
          <w:p w14:paraId="47359B14"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(0,32)</w:t>
            </w:r>
          </w:p>
        </w:tc>
        <w:tc>
          <w:tcPr>
            <w:tcW w:w="1418" w:type="dxa"/>
            <w:tcBorders>
              <w:top w:val="nil"/>
              <w:left w:val="single" w:sz="8" w:space="0" w:color="0077BD"/>
              <w:bottom w:val="single" w:sz="8" w:space="0" w:color="0077BD"/>
              <w:right w:val="nil"/>
            </w:tcBorders>
            <w:shd w:val="clear" w:color="auto" w:fill="auto"/>
            <w:noWrap/>
            <w:vAlign w:val="center"/>
            <w:hideMark/>
          </w:tcPr>
          <w:p w14:paraId="6E8B3849" w14:textId="77777777" w:rsidR="00BD7C14" w:rsidRPr="00C776F9" w:rsidRDefault="00BD7C14" w:rsidP="00BD7C14">
            <w:pPr>
              <w:jc w:val="right"/>
              <w:rPr>
                <w:rFonts w:cs="Calibri"/>
                <w:b/>
                <w:bCs/>
                <w:color w:val="000000"/>
                <w:sz w:val="12"/>
                <w:szCs w:val="12"/>
              </w:rPr>
            </w:pPr>
            <w:r w:rsidRPr="00C776F9">
              <w:rPr>
                <w:rFonts w:cs="Calibri"/>
                <w:b/>
                <w:bCs/>
                <w:color w:val="000000"/>
                <w:sz w:val="12"/>
                <w:szCs w:val="12"/>
              </w:rPr>
              <w:t>30,77</w:t>
            </w:r>
          </w:p>
        </w:tc>
      </w:tr>
    </w:tbl>
    <w:p w14:paraId="0385D705" w14:textId="0F556CD3" w:rsidR="00E25E1F" w:rsidRPr="00C12AFA" w:rsidRDefault="00E25E1F" w:rsidP="00E25E1F">
      <w:pPr>
        <w:suppressAutoHyphens/>
        <w:spacing w:before="120" w:after="120"/>
        <w:jc w:val="both"/>
        <w:rPr>
          <w:rFonts w:cs="Tahoma"/>
          <w:sz w:val="18"/>
          <w:szCs w:val="18"/>
        </w:rPr>
      </w:pPr>
      <w:r w:rsidRPr="00C12AFA">
        <w:rPr>
          <w:rFonts w:cs="Tahoma"/>
          <w:sz w:val="18"/>
          <w:szCs w:val="18"/>
        </w:rPr>
        <w:t>Przekształcenia w skonsolidowanym sprawozdaniu z całkowitych dochodów</w:t>
      </w:r>
      <w:r w:rsidR="00B06318">
        <w:rPr>
          <w:rFonts w:cs="Tahoma"/>
          <w:sz w:val="18"/>
          <w:szCs w:val="18"/>
        </w:rPr>
        <w:t xml:space="preserve"> za 2018 rok</w:t>
      </w: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DB0771" w:rsidRPr="004D4E5D" w14:paraId="742117D8" w14:textId="77777777" w:rsidTr="00C83C36">
        <w:trPr>
          <w:trHeight w:val="794"/>
        </w:trPr>
        <w:tc>
          <w:tcPr>
            <w:tcW w:w="5400" w:type="dxa"/>
            <w:tcBorders>
              <w:top w:val="nil"/>
              <w:left w:val="nil"/>
              <w:right w:val="single" w:sz="8" w:space="0" w:color="FFFFFF"/>
            </w:tcBorders>
            <w:shd w:val="clear" w:color="000000" w:fill="0077BD"/>
            <w:vAlign w:val="center"/>
            <w:hideMark/>
          </w:tcPr>
          <w:p w14:paraId="71A64E85" w14:textId="77777777" w:rsidR="00DB0771" w:rsidRPr="004D4E5D" w:rsidRDefault="00DB0771" w:rsidP="00996A3D">
            <w:pPr>
              <w:rPr>
                <w:rFonts w:cs="Calibri"/>
                <w:b/>
                <w:bCs/>
                <w:color w:val="FFFFFF"/>
                <w:sz w:val="12"/>
                <w:szCs w:val="16"/>
              </w:rPr>
            </w:pPr>
            <w:r w:rsidRPr="004D4E5D">
              <w:rPr>
                <w:rFonts w:cs="Calibri"/>
                <w:b/>
                <w:bCs/>
                <w:color w:val="FFFFFF"/>
                <w:sz w:val="12"/>
                <w:szCs w:val="16"/>
              </w:rPr>
              <w:t> </w:t>
            </w:r>
          </w:p>
        </w:tc>
        <w:tc>
          <w:tcPr>
            <w:tcW w:w="1404" w:type="dxa"/>
            <w:tcBorders>
              <w:top w:val="nil"/>
              <w:left w:val="nil"/>
              <w:right w:val="single" w:sz="8" w:space="0" w:color="FFFFFF"/>
            </w:tcBorders>
            <w:shd w:val="clear" w:color="000000" w:fill="0077BD"/>
            <w:vAlign w:val="center"/>
            <w:hideMark/>
          </w:tcPr>
          <w:p w14:paraId="141F2859" w14:textId="77777777" w:rsidR="00DB0771" w:rsidRPr="004D4E5D" w:rsidRDefault="00DB0771" w:rsidP="00996A3D">
            <w:pPr>
              <w:jc w:val="right"/>
              <w:rPr>
                <w:rFonts w:cs="Calibri"/>
                <w:b/>
                <w:bCs/>
                <w:color w:val="FFFFFF"/>
                <w:sz w:val="12"/>
                <w:szCs w:val="16"/>
              </w:rPr>
            </w:pPr>
            <w:r w:rsidRPr="004D4E5D">
              <w:rPr>
                <w:rFonts w:cs="Calibri"/>
                <w:b/>
                <w:bCs/>
                <w:color w:val="FFFFFF"/>
                <w:sz w:val="12"/>
                <w:szCs w:val="16"/>
              </w:rPr>
              <w:t xml:space="preserve">Okres  </w:t>
            </w:r>
            <w:r w:rsidRPr="004D4E5D">
              <w:rPr>
                <w:rFonts w:cs="Calibri"/>
                <w:b/>
                <w:bCs/>
                <w:color w:val="FFFFFF"/>
                <w:sz w:val="12"/>
                <w:szCs w:val="16"/>
              </w:rPr>
              <w:br/>
              <w:t xml:space="preserve">od 01.01.2018       </w:t>
            </w:r>
            <w:r w:rsidRPr="004D4E5D">
              <w:rPr>
                <w:rFonts w:cs="Calibri"/>
                <w:b/>
                <w:bCs/>
                <w:color w:val="FFFFFF"/>
                <w:sz w:val="12"/>
                <w:szCs w:val="16"/>
              </w:rPr>
              <w:br/>
              <w:t>do 31.12.2018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0A5BA4B1" w14:textId="77777777" w:rsidR="00DB0771" w:rsidRPr="004D4E5D" w:rsidRDefault="00DB0771" w:rsidP="00996A3D">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78C9E347" w14:textId="77777777" w:rsidR="00DB0771" w:rsidRPr="004D4E5D" w:rsidRDefault="00DB0771" w:rsidP="00996A3D">
            <w:pPr>
              <w:jc w:val="right"/>
              <w:rPr>
                <w:rFonts w:cs="Calibri"/>
                <w:b/>
                <w:bCs/>
                <w:color w:val="FFFFFF"/>
                <w:sz w:val="12"/>
                <w:szCs w:val="16"/>
              </w:rPr>
            </w:pPr>
            <w:r w:rsidRPr="004D4E5D">
              <w:rPr>
                <w:rFonts w:cs="Calibri"/>
                <w:b/>
                <w:bCs/>
                <w:color w:val="FFFFFF"/>
                <w:sz w:val="12"/>
                <w:szCs w:val="16"/>
              </w:rPr>
              <w:t xml:space="preserve">Okres  </w:t>
            </w:r>
            <w:r w:rsidRPr="004D4E5D">
              <w:rPr>
                <w:rFonts w:cs="Calibri"/>
                <w:b/>
                <w:bCs/>
                <w:color w:val="FFFFFF"/>
                <w:sz w:val="12"/>
                <w:szCs w:val="16"/>
              </w:rPr>
              <w:br/>
              <w:t xml:space="preserve">od 01.01.2018       </w:t>
            </w:r>
            <w:r w:rsidRPr="004D4E5D">
              <w:rPr>
                <w:rFonts w:cs="Calibri"/>
                <w:b/>
                <w:bCs/>
                <w:color w:val="FFFFFF"/>
                <w:sz w:val="12"/>
                <w:szCs w:val="16"/>
              </w:rPr>
              <w:br/>
              <w:t>do 31.12.2018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77E53" w:rsidRPr="00977E53" w14:paraId="714D6494" w14:textId="77777777" w:rsidTr="00213C34">
        <w:trPr>
          <w:trHeight w:val="284"/>
        </w:trPr>
        <w:tc>
          <w:tcPr>
            <w:tcW w:w="5400" w:type="dxa"/>
            <w:tcBorders>
              <w:left w:val="nil"/>
              <w:bottom w:val="single" w:sz="8" w:space="0" w:color="0077BD"/>
              <w:right w:val="single" w:sz="8" w:space="0" w:color="0077BD"/>
            </w:tcBorders>
            <w:shd w:val="clear" w:color="auto" w:fill="auto"/>
            <w:noWrap/>
            <w:vAlign w:val="center"/>
            <w:hideMark/>
          </w:tcPr>
          <w:p w14:paraId="349CBFD1" w14:textId="1883C86F" w:rsidR="00DB0771" w:rsidRPr="00977E53" w:rsidRDefault="00DB0771" w:rsidP="00996A3D">
            <w:pPr>
              <w:rPr>
                <w:rFonts w:cs="Calibri"/>
                <w:b/>
                <w:bCs/>
                <w:color w:val="000000" w:themeColor="text1"/>
                <w:sz w:val="12"/>
                <w:szCs w:val="16"/>
              </w:rPr>
            </w:pPr>
            <w:r w:rsidRPr="00977E53">
              <w:rPr>
                <w:rFonts w:cs="Calibri"/>
                <w:b/>
                <w:bCs/>
                <w:color w:val="000000" w:themeColor="text1"/>
                <w:sz w:val="12"/>
                <w:szCs w:val="16"/>
              </w:rPr>
              <w:t>Zysk netto</w:t>
            </w:r>
          </w:p>
        </w:tc>
        <w:tc>
          <w:tcPr>
            <w:tcW w:w="1404" w:type="dxa"/>
            <w:tcBorders>
              <w:left w:val="single" w:sz="8" w:space="0" w:color="0077BD"/>
              <w:bottom w:val="single" w:sz="8" w:space="0" w:color="0077BD"/>
              <w:right w:val="single" w:sz="8" w:space="0" w:color="0077BD"/>
            </w:tcBorders>
            <w:shd w:val="clear" w:color="auto" w:fill="auto"/>
            <w:noWrap/>
            <w:vAlign w:val="center"/>
          </w:tcPr>
          <w:p w14:paraId="7C7782A0" w14:textId="186492A2" w:rsidR="00DB0771" w:rsidRPr="00977E53" w:rsidRDefault="00DB0771" w:rsidP="00DB0771">
            <w:pPr>
              <w:jc w:val="right"/>
              <w:rPr>
                <w:rFonts w:cs="Calibri"/>
                <w:b/>
                <w:bCs/>
                <w:color w:val="000000" w:themeColor="text1"/>
                <w:sz w:val="12"/>
                <w:szCs w:val="12"/>
              </w:rPr>
            </w:pPr>
            <w:r w:rsidRPr="00977E53">
              <w:rPr>
                <w:rFonts w:cs="Calibri"/>
                <w:b/>
                <w:bCs/>
                <w:color w:val="000000" w:themeColor="text1"/>
                <w:sz w:val="12"/>
                <w:szCs w:val="12"/>
              </w:rPr>
              <w:t>1 316 369</w:t>
            </w:r>
          </w:p>
        </w:tc>
        <w:tc>
          <w:tcPr>
            <w:tcW w:w="1418" w:type="dxa"/>
            <w:tcBorders>
              <w:left w:val="nil"/>
              <w:bottom w:val="single" w:sz="8" w:space="0" w:color="0077BD"/>
              <w:right w:val="single" w:sz="8" w:space="0" w:color="0077BD"/>
            </w:tcBorders>
            <w:shd w:val="clear" w:color="auto" w:fill="auto"/>
            <w:noWrap/>
            <w:vAlign w:val="center"/>
          </w:tcPr>
          <w:p w14:paraId="0FDB1BD4" w14:textId="19F30E97" w:rsidR="00DB0771" w:rsidRPr="00977E53" w:rsidRDefault="00714DF8" w:rsidP="00996A3D">
            <w:pPr>
              <w:jc w:val="right"/>
              <w:rPr>
                <w:rFonts w:cs="Calibri"/>
                <w:b/>
                <w:bCs/>
                <w:color w:val="000000" w:themeColor="text1"/>
                <w:sz w:val="12"/>
                <w:szCs w:val="12"/>
              </w:rPr>
            </w:pPr>
            <w:r w:rsidRPr="00977E53">
              <w:rPr>
                <w:rFonts w:cs="Calibri"/>
                <w:b/>
                <w:bCs/>
                <w:color w:val="000000" w:themeColor="text1"/>
                <w:sz w:val="12"/>
                <w:szCs w:val="12"/>
              </w:rPr>
              <w:t>(13 665)</w:t>
            </w:r>
          </w:p>
        </w:tc>
        <w:tc>
          <w:tcPr>
            <w:tcW w:w="1417" w:type="dxa"/>
            <w:tcBorders>
              <w:left w:val="nil"/>
              <w:bottom w:val="single" w:sz="8" w:space="0" w:color="0077BD"/>
              <w:right w:val="nil"/>
            </w:tcBorders>
            <w:shd w:val="clear" w:color="auto" w:fill="auto"/>
            <w:noWrap/>
            <w:vAlign w:val="center"/>
          </w:tcPr>
          <w:p w14:paraId="63C7567A" w14:textId="3867C060" w:rsidR="00DB0771" w:rsidRPr="00977E53" w:rsidRDefault="00DB0771" w:rsidP="00714DF8">
            <w:pPr>
              <w:jc w:val="right"/>
              <w:rPr>
                <w:rFonts w:cs="Calibri"/>
                <w:b/>
                <w:bCs/>
                <w:color w:val="000000" w:themeColor="text1"/>
                <w:sz w:val="12"/>
                <w:szCs w:val="12"/>
              </w:rPr>
            </w:pPr>
            <w:r w:rsidRPr="00977E53">
              <w:rPr>
                <w:rFonts w:cs="Calibri"/>
                <w:b/>
                <w:bCs/>
                <w:color w:val="000000" w:themeColor="text1"/>
                <w:sz w:val="12"/>
                <w:szCs w:val="12"/>
              </w:rPr>
              <w:t xml:space="preserve">1 </w:t>
            </w:r>
            <w:r w:rsidR="00714DF8" w:rsidRPr="00977E53">
              <w:rPr>
                <w:rFonts w:cs="Calibri"/>
                <w:b/>
                <w:bCs/>
                <w:color w:val="000000" w:themeColor="text1"/>
                <w:sz w:val="12"/>
                <w:szCs w:val="12"/>
              </w:rPr>
              <w:t>302</w:t>
            </w:r>
            <w:r w:rsidRPr="00977E53">
              <w:rPr>
                <w:rFonts w:cs="Calibri"/>
                <w:b/>
                <w:bCs/>
                <w:color w:val="000000" w:themeColor="text1"/>
                <w:sz w:val="12"/>
                <w:szCs w:val="12"/>
              </w:rPr>
              <w:t xml:space="preserve"> </w:t>
            </w:r>
            <w:r w:rsidR="00714DF8" w:rsidRPr="00977E53">
              <w:rPr>
                <w:rFonts w:cs="Calibri"/>
                <w:b/>
                <w:bCs/>
                <w:color w:val="000000" w:themeColor="text1"/>
                <w:sz w:val="12"/>
                <w:szCs w:val="12"/>
              </w:rPr>
              <w:t>704</w:t>
            </w:r>
          </w:p>
        </w:tc>
      </w:tr>
      <w:tr w:rsidR="00977E53" w:rsidRPr="00977E53" w14:paraId="0EE5B3D6" w14:textId="77777777" w:rsidTr="00213C34">
        <w:trPr>
          <w:trHeight w:val="284"/>
        </w:trPr>
        <w:tc>
          <w:tcPr>
            <w:tcW w:w="5400" w:type="dxa"/>
            <w:tcBorders>
              <w:top w:val="nil"/>
              <w:left w:val="nil"/>
              <w:bottom w:val="single" w:sz="8" w:space="0" w:color="0077BD"/>
              <w:right w:val="single" w:sz="8" w:space="0" w:color="0077BD"/>
            </w:tcBorders>
            <w:shd w:val="clear" w:color="auto" w:fill="auto"/>
            <w:noWrap/>
            <w:vAlign w:val="center"/>
            <w:hideMark/>
          </w:tcPr>
          <w:p w14:paraId="00501E80" w14:textId="5206C47C" w:rsidR="00DB0771" w:rsidRPr="00977E53" w:rsidRDefault="00DB0771" w:rsidP="00996A3D">
            <w:pPr>
              <w:rPr>
                <w:rFonts w:cs="Calibri"/>
                <w:b/>
                <w:bCs/>
                <w:color w:val="000000" w:themeColor="text1"/>
                <w:sz w:val="12"/>
                <w:szCs w:val="16"/>
              </w:rPr>
            </w:pPr>
            <w:r w:rsidRPr="00977E53">
              <w:rPr>
                <w:rFonts w:cs="Calibri"/>
                <w:b/>
                <w:bCs/>
                <w:color w:val="000000" w:themeColor="text1"/>
                <w:sz w:val="12"/>
                <w:szCs w:val="16"/>
              </w:rPr>
              <w:t xml:space="preserve">Pozostałe dochody całkowite netto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1CAEC56E" w14:textId="6CF23DEB" w:rsidR="00DB0771" w:rsidRPr="00977E53" w:rsidRDefault="00DB0771" w:rsidP="00DB0771">
            <w:pPr>
              <w:jc w:val="right"/>
              <w:rPr>
                <w:rFonts w:cs="Calibri"/>
                <w:b/>
                <w:bCs/>
                <w:color w:val="000000" w:themeColor="text1"/>
                <w:sz w:val="12"/>
                <w:szCs w:val="12"/>
              </w:rPr>
            </w:pPr>
            <w:r w:rsidRPr="00977E53">
              <w:rPr>
                <w:rFonts w:cs="Calibri"/>
                <w:b/>
                <w:bCs/>
                <w:color w:val="000000" w:themeColor="text1"/>
                <w:sz w:val="12"/>
                <w:szCs w:val="12"/>
              </w:rPr>
              <w:t>109 366</w:t>
            </w:r>
          </w:p>
        </w:tc>
        <w:tc>
          <w:tcPr>
            <w:tcW w:w="1418" w:type="dxa"/>
            <w:tcBorders>
              <w:top w:val="nil"/>
              <w:left w:val="nil"/>
              <w:bottom w:val="single" w:sz="8" w:space="0" w:color="0077BD"/>
              <w:right w:val="single" w:sz="8" w:space="0" w:color="0077BD"/>
            </w:tcBorders>
            <w:shd w:val="clear" w:color="auto" w:fill="auto"/>
            <w:noWrap/>
            <w:vAlign w:val="center"/>
          </w:tcPr>
          <w:p w14:paraId="77D8D7E3" w14:textId="70859E42" w:rsidR="00DB0771" w:rsidRPr="00977E53" w:rsidRDefault="004E21FF" w:rsidP="00996A3D">
            <w:pPr>
              <w:jc w:val="right"/>
              <w:rPr>
                <w:rFonts w:cs="Calibri"/>
                <w:b/>
                <w:bCs/>
                <w:color w:val="000000" w:themeColor="text1"/>
                <w:sz w:val="12"/>
                <w:szCs w:val="12"/>
              </w:rPr>
            </w:pPr>
            <w:r w:rsidRPr="00977E53">
              <w:rPr>
                <w:rFonts w:cs="Calibri"/>
                <w:color w:val="000000" w:themeColor="text1"/>
                <w:sz w:val="12"/>
                <w:szCs w:val="12"/>
              </w:rPr>
              <w:t>-</w:t>
            </w:r>
          </w:p>
        </w:tc>
        <w:tc>
          <w:tcPr>
            <w:tcW w:w="1417" w:type="dxa"/>
            <w:tcBorders>
              <w:top w:val="nil"/>
              <w:left w:val="nil"/>
              <w:bottom w:val="single" w:sz="8" w:space="0" w:color="0077BD"/>
              <w:right w:val="nil"/>
            </w:tcBorders>
            <w:shd w:val="clear" w:color="auto" w:fill="auto"/>
            <w:noWrap/>
            <w:vAlign w:val="center"/>
          </w:tcPr>
          <w:p w14:paraId="54DF2044" w14:textId="146F51BB" w:rsidR="00DB0771" w:rsidRPr="00977E53" w:rsidRDefault="004E21FF" w:rsidP="004E21FF">
            <w:pPr>
              <w:jc w:val="right"/>
              <w:rPr>
                <w:rFonts w:cs="Calibri"/>
                <w:b/>
                <w:bCs/>
                <w:color w:val="000000" w:themeColor="text1"/>
                <w:sz w:val="12"/>
                <w:szCs w:val="12"/>
              </w:rPr>
            </w:pPr>
            <w:r w:rsidRPr="00977E53">
              <w:rPr>
                <w:rFonts w:cs="Calibri"/>
                <w:b/>
                <w:bCs/>
                <w:color w:val="000000" w:themeColor="text1"/>
                <w:sz w:val="12"/>
                <w:szCs w:val="12"/>
              </w:rPr>
              <w:t>109</w:t>
            </w:r>
            <w:r w:rsidR="00DB0771" w:rsidRPr="00977E53">
              <w:rPr>
                <w:rFonts w:cs="Calibri"/>
                <w:b/>
                <w:bCs/>
                <w:color w:val="000000" w:themeColor="text1"/>
                <w:sz w:val="12"/>
                <w:szCs w:val="12"/>
              </w:rPr>
              <w:t xml:space="preserve"> </w:t>
            </w:r>
            <w:r w:rsidRPr="00977E53">
              <w:rPr>
                <w:rFonts w:cs="Calibri"/>
                <w:b/>
                <w:bCs/>
                <w:color w:val="000000" w:themeColor="text1"/>
                <w:sz w:val="12"/>
                <w:szCs w:val="12"/>
              </w:rPr>
              <w:t>366</w:t>
            </w:r>
          </w:p>
        </w:tc>
      </w:tr>
      <w:tr w:rsidR="00977E53" w:rsidRPr="00977E53" w14:paraId="161F4B9D" w14:textId="77777777" w:rsidTr="00213C34">
        <w:trPr>
          <w:trHeight w:val="284"/>
        </w:trPr>
        <w:tc>
          <w:tcPr>
            <w:tcW w:w="5400" w:type="dxa"/>
            <w:tcBorders>
              <w:top w:val="nil"/>
              <w:left w:val="nil"/>
              <w:bottom w:val="single" w:sz="8" w:space="0" w:color="0077BD"/>
              <w:right w:val="single" w:sz="8" w:space="0" w:color="0077BD"/>
            </w:tcBorders>
            <w:shd w:val="clear" w:color="auto" w:fill="auto"/>
            <w:noWrap/>
            <w:vAlign w:val="center"/>
            <w:hideMark/>
          </w:tcPr>
          <w:p w14:paraId="3715B2F9" w14:textId="0C197E85" w:rsidR="00DB0771" w:rsidRPr="00977E53" w:rsidRDefault="00DB0771" w:rsidP="00996A3D">
            <w:pPr>
              <w:rPr>
                <w:rFonts w:cs="Calibri"/>
                <w:b/>
                <w:bCs/>
                <w:color w:val="000000" w:themeColor="text1"/>
                <w:sz w:val="12"/>
                <w:szCs w:val="16"/>
              </w:rPr>
            </w:pPr>
            <w:r w:rsidRPr="00977E53">
              <w:rPr>
                <w:rFonts w:cs="Calibri"/>
                <w:b/>
                <w:bCs/>
                <w:color w:val="000000" w:themeColor="text1"/>
                <w:sz w:val="12"/>
                <w:szCs w:val="16"/>
              </w:rPr>
              <w:t xml:space="preserve">Dochody całkowite netto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567FD246" w14:textId="57058080" w:rsidR="00DB0771" w:rsidRPr="00977E53" w:rsidRDefault="007B684A" w:rsidP="007B684A">
            <w:pPr>
              <w:jc w:val="right"/>
              <w:rPr>
                <w:rFonts w:cs="Calibri"/>
                <w:b/>
                <w:bCs/>
                <w:color w:val="000000" w:themeColor="text1"/>
                <w:sz w:val="12"/>
                <w:szCs w:val="12"/>
              </w:rPr>
            </w:pPr>
            <w:r w:rsidRPr="00977E53">
              <w:rPr>
                <w:rFonts w:cs="Calibri"/>
                <w:b/>
                <w:bCs/>
                <w:color w:val="000000" w:themeColor="text1"/>
                <w:sz w:val="12"/>
                <w:szCs w:val="12"/>
              </w:rPr>
              <w:t>1 425</w:t>
            </w:r>
            <w:r w:rsidR="00DB0771" w:rsidRPr="00977E53">
              <w:rPr>
                <w:rFonts w:cs="Calibri"/>
                <w:b/>
                <w:bCs/>
                <w:color w:val="000000" w:themeColor="text1"/>
                <w:sz w:val="12"/>
                <w:szCs w:val="12"/>
              </w:rPr>
              <w:t xml:space="preserve"> </w:t>
            </w:r>
            <w:r w:rsidRPr="00977E53">
              <w:rPr>
                <w:rFonts w:cs="Calibri"/>
                <w:b/>
                <w:bCs/>
                <w:color w:val="000000" w:themeColor="text1"/>
                <w:sz w:val="12"/>
                <w:szCs w:val="12"/>
              </w:rPr>
              <w:t>735</w:t>
            </w:r>
          </w:p>
        </w:tc>
        <w:tc>
          <w:tcPr>
            <w:tcW w:w="1418" w:type="dxa"/>
            <w:tcBorders>
              <w:top w:val="nil"/>
              <w:left w:val="nil"/>
              <w:bottom w:val="single" w:sz="8" w:space="0" w:color="0077BD"/>
              <w:right w:val="single" w:sz="8" w:space="0" w:color="0077BD"/>
            </w:tcBorders>
            <w:shd w:val="clear" w:color="auto" w:fill="auto"/>
            <w:noWrap/>
            <w:vAlign w:val="center"/>
          </w:tcPr>
          <w:p w14:paraId="00B29CC7" w14:textId="77777777" w:rsidR="00DB0771" w:rsidRPr="000D7BB7" w:rsidRDefault="00DB0771" w:rsidP="00996A3D">
            <w:pPr>
              <w:jc w:val="right"/>
              <w:rPr>
                <w:rFonts w:cs="Calibri"/>
                <w:b/>
                <w:bCs/>
                <w:color w:val="000000" w:themeColor="text1"/>
                <w:sz w:val="12"/>
                <w:szCs w:val="12"/>
              </w:rPr>
            </w:pPr>
            <w:r w:rsidRPr="000D7BB7">
              <w:rPr>
                <w:rFonts w:cs="Calibri"/>
                <w:b/>
                <w:color w:val="000000" w:themeColor="text1"/>
                <w:sz w:val="12"/>
                <w:szCs w:val="12"/>
              </w:rPr>
              <w:t>(13 665)</w:t>
            </w:r>
          </w:p>
        </w:tc>
        <w:tc>
          <w:tcPr>
            <w:tcW w:w="1417" w:type="dxa"/>
            <w:tcBorders>
              <w:top w:val="nil"/>
              <w:left w:val="nil"/>
              <w:bottom w:val="single" w:sz="8" w:space="0" w:color="0077BD"/>
              <w:right w:val="nil"/>
            </w:tcBorders>
            <w:shd w:val="clear" w:color="auto" w:fill="auto"/>
            <w:noWrap/>
            <w:vAlign w:val="center"/>
          </w:tcPr>
          <w:p w14:paraId="5F352D7F" w14:textId="70FE4926" w:rsidR="00DB0771" w:rsidRPr="000D7BB7" w:rsidRDefault="007B684A" w:rsidP="007B684A">
            <w:pPr>
              <w:jc w:val="right"/>
              <w:rPr>
                <w:rFonts w:cs="Calibri"/>
                <w:b/>
                <w:bCs/>
                <w:color w:val="000000" w:themeColor="text1"/>
                <w:sz w:val="12"/>
                <w:szCs w:val="12"/>
              </w:rPr>
            </w:pPr>
            <w:r w:rsidRPr="000D7BB7">
              <w:rPr>
                <w:rFonts w:cs="Calibri"/>
                <w:b/>
                <w:bCs/>
                <w:color w:val="000000" w:themeColor="text1"/>
                <w:sz w:val="12"/>
                <w:szCs w:val="12"/>
              </w:rPr>
              <w:t>1 412</w:t>
            </w:r>
            <w:r w:rsidR="00DB0771" w:rsidRPr="000D7BB7">
              <w:rPr>
                <w:rFonts w:cs="Calibri"/>
                <w:b/>
                <w:bCs/>
                <w:color w:val="000000" w:themeColor="text1"/>
                <w:sz w:val="12"/>
                <w:szCs w:val="12"/>
              </w:rPr>
              <w:t xml:space="preserve"> </w:t>
            </w:r>
            <w:r w:rsidRPr="000D7BB7">
              <w:rPr>
                <w:rFonts w:cs="Calibri"/>
                <w:b/>
                <w:bCs/>
                <w:color w:val="000000" w:themeColor="text1"/>
                <w:sz w:val="12"/>
                <w:szCs w:val="12"/>
              </w:rPr>
              <w:t>070</w:t>
            </w:r>
          </w:p>
        </w:tc>
      </w:tr>
      <w:tr w:rsidR="00977E53" w:rsidRPr="00977E53" w14:paraId="164FE324" w14:textId="77777777" w:rsidTr="00213C34">
        <w:trPr>
          <w:trHeight w:val="284"/>
        </w:trPr>
        <w:tc>
          <w:tcPr>
            <w:tcW w:w="5400" w:type="dxa"/>
            <w:tcBorders>
              <w:top w:val="nil"/>
              <w:left w:val="nil"/>
              <w:bottom w:val="single" w:sz="8" w:space="0" w:color="0077BD"/>
              <w:right w:val="nil"/>
            </w:tcBorders>
            <w:shd w:val="clear" w:color="auto" w:fill="auto"/>
            <w:noWrap/>
            <w:vAlign w:val="center"/>
            <w:hideMark/>
          </w:tcPr>
          <w:p w14:paraId="49A4893F" w14:textId="74E009C9" w:rsidR="00DB0771" w:rsidRPr="00977E53" w:rsidRDefault="00DB0771" w:rsidP="00996A3D">
            <w:pPr>
              <w:rPr>
                <w:rFonts w:cs="Calibri"/>
                <w:b/>
                <w:bCs/>
                <w:color w:val="000000" w:themeColor="text1"/>
                <w:sz w:val="12"/>
                <w:szCs w:val="16"/>
              </w:rPr>
            </w:pPr>
            <w:r w:rsidRPr="00977E53">
              <w:rPr>
                <w:rFonts w:cs="Calibri"/>
                <w:b/>
                <w:bCs/>
                <w:color w:val="000000" w:themeColor="text1"/>
                <w:sz w:val="12"/>
                <w:szCs w:val="16"/>
              </w:rPr>
              <w:t>Dochody całkowite netto, razem przypadające na:</w:t>
            </w:r>
          </w:p>
        </w:tc>
        <w:tc>
          <w:tcPr>
            <w:tcW w:w="1404" w:type="dxa"/>
            <w:tcBorders>
              <w:top w:val="nil"/>
              <w:left w:val="nil"/>
              <w:bottom w:val="single" w:sz="8" w:space="0" w:color="0077BD"/>
              <w:right w:val="nil"/>
            </w:tcBorders>
            <w:shd w:val="clear" w:color="auto" w:fill="auto"/>
            <w:noWrap/>
            <w:vAlign w:val="center"/>
          </w:tcPr>
          <w:p w14:paraId="48320D1A" w14:textId="77777777" w:rsidR="00DB0771" w:rsidRPr="00977E53" w:rsidRDefault="00DB0771" w:rsidP="00996A3D">
            <w:pPr>
              <w:rPr>
                <w:rFonts w:cs="Calibri"/>
                <w:b/>
                <w:bCs/>
                <w:color w:val="000000" w:themeColor="text1"/>
                <w:sz w:val="12"/>
                <w:szCs w:val="16"/>
              </w:rPr>
            </w:pPr>
          </w:p>
        </w:tc>
        <w:tc>
          <w:tcPr>
            <w:tcW w:w="1418" w:type="dxa"/>
            <w:tcBorders>
              <w:top w:val="nil"/>
              <w:left w:val="nil"/>
              <w:bottom w:val="single" w:sz="8" w:space="0" w:color="0077BD"/>
              <w:right w:val="nil"/>
            </w:tcBorders>
            <w:shd w:val="clear" w:color="auto" w:fill="auto"/>
            <w:noWrap/>
            <w:vAlign w:val="center"/>
          </w:tcPr>
          <w:p w14:paraId="432D88C5" w14:textId="77777777" w:rsidR="00DB0771" w:rsidRPr="00977E53" w:rsidRDefault="00DB0771" w:rsidP="00996A3D">
            <w:pPr>
              <w:rPr>
                <w:rFonts w:cs="Calibri"/>
                <w:b/>
                <w:bCs/>
                <w:color w:val="000000" w:themeColor="text1"/>
                <w:sz w:val="12"/>
                <w:szCs w:val="16"/>
              </w:rPr>
            </w:pPr>
          </w:p>
        </w:tc>
        <w:tc>
          <w:tcPr>
            <w:tcW w:w="1417" w:type="dxa"/>
            <w:tcBorders>
              <w:top w:val="nil"/>
              <w:left w:val="nil"/>
              <w:bottom w:val="single" w:sz="8" w:space="0" w:color="0077BD"/>
              <w:right w:val="nil"/>
            </w:tcBorders>
            <w:shd w:val="clear" w:color="auto" w:fill="auto"/>
            <w:noWrap/>
            <w:vAlign w:val="center"/>
          </w:tcPr>
          <w:p w14:paraId="44E4BDBD" w14:textId="77777777" w:rsidR="00DB0771" w:rsidRPr="00977E53" w:rsidRDefault="00DB0771" w:rsidP="00996A3D">
            <w:pPr>
              <w:rPr>
                <w:rFonts w:cs="Calibri"/>
                <w:b/>
                <w:bCs/>
                <w:color w:val="000000" w:themeColor="text1"/>
                <w:sz w:val="12"/>
                <w:szCs w:val="16"/>
              </w:rPr>
            </w:pPr>
          </w:p>
        </w:tc>
      </w:tr>
      <w:tr w:rsidR="00977E53" w:rsidRPr="00977E53" w14:paraId="3BC7ED4B" w14:textId="77777777" w:rsidTr="00213C34">
        <w:trPr>
          <w:trHeight w:val="284"/>
        </w:trPr>
        <w:tc>
          <w:tcPr>
            <w:tcW w:w="5400" w:type="dxa"/>
            <w:tcBorders>
              <w:top w:val="single" w:sz="4" w:space="0" w:color="0077BD"/>
              <w:left w:val="nil"/>
              <w:bottom w:val="single" w:sz="4" w:space="0" w:color="0077BD"/>
              <w:right w:val="single" w:sz="8" w:space="0" w:color="0077BD"/>
            </w:tcBorders>
            <w:shd w:val="clear" w:color="auto" w:fill="auto"/>
            <w:vAlign w:val="center"/>
            <w:hideMark/>
          </w:tcPr>
          <w:p w14:paraId="11C989A3" w14:textId="77777777" w:rsidR="00DB0771" w:rsidRPr="00977E53" w:rsidRDefault="00DB0771" w:rsidP="00996A3D">
            <w:pPr>
              <w:rPr>
                <w:rFonts w:cs="Calibri"/>
                <w:color w:val="000000" w:themeColor="text1"/>
                <w:sz w:val="12"/>
                <w:szCs w:val="16"/>
              </w:rPr>
            </w:pPr>
            <w:r w:rsidRPr="00977E53">
              <w:rPr>
                <w:rFonts w:cs="Calibri"/>
                <w:color w:val="000000" w:themeColor="text1"/>
                <w:sz w:val="12"/>
                <w:szCs w:val="16"/>
              </w:rPr>
              <w:t xml:space="preserve"> - akcjonariuszy mBanku S.A.</w:t>
            </w:r>
          </w:p>
        </w:tc>
        <w:tc>
          <w:tcPr>
            <w:tcW w:w="1404" w:type="dxa"/>
            <w:tcBorders>
              <w:top w:val="single" w:sz="4" w:space="0" w:color="0077BD"/>
              <w:left w:val="single" w:sz="8" w:space="0" w:color="0077BD"/>
              <w:bottom w:val="nil"/>
              <w:right w:val="single" w:sz="8" w:space="0" w:color="0077BD"/>
            </w:tcBorders>
            <w:shd w:val="clear" w:color="auto" w:fill="auto"/>
            <w:vAlign w:val="center"/>
          </w:tcPr>
          <w:p w14:paraId="7BB1F679" w14:textId="201756C8" w:rsidR="00DB0771" w:rsidRPr="00977E53" w:rsidRDefault="00DB0771" w:rsidP="00DB0771">
            <w:pPr>
              <w:jc w:val="right"/>
              <w:rPr>
                <w:rFonts w:cs="Calibri"/>
                <w:color w:val="000000" w:themeColor="text1"/>
                <w:sz w:val="12"/>
                <w:szCs w:val="12"/>
              </w:rPr>
            </w:pPr>
            <w:r w:rsidRPr="00977E53">
              <w:rPr>
                <w:rFonts w:cs="Calibri"/>
                <w:color w:val="000000" w:themeColor="text1"/>
                <w:sz w:val="12"/>
                <w:szCs w:val="12"/>
              </w:rPr>
              <w:t>1 425 817</w:t>
            </w:r>
          </w:p>
        </w:tc>
        <w:tc>
          <w:tcPr>
            <w:tcW w:w="1418" w:type="dxa"/>
            <w:tcBorders>
              <w:top w:val="single" w:sz="4" w:space="0" w:color="0077BD"/>
              <w:left w:val="nil"/>
              <w:bottom w:val="nil"/>
              <w:right w:val="single" w:sz="8" w:space="0" w:color="0077BD"/>
            </w:tcBorders>
            <w:shd w:val="clear" w:color="auto" w:fill="auto"/>
            <w:vAlign w:val="center"/>
          </w:tcPr>
          <w:p w14:paraId="75496C00" w14:textId="2552AF35" w:rsidR="00DB0771" w:rsidRPr="00977E53" w:rsidRDefault="00BA45AD" w:rsidP="00996A3D">
            <w:pPr>
              <w:jc w:val="right"/>
              <w:rPr>
                <w:rFonts w:cs="Calibri"/>
                <w:color w:val="000000" w:themeColor="text1"/>
                <w:sz w:val="12"/>
                <w:szCs w:val="12"/>
              </w:rPr>
            </w:pPr>
            <w:r w:rsidRPr="00977E53">
              <w:rPr>
                <w:rFonts w:cs="Calibri"/>
                <w:color w:val="000000" w:themeColor="text1"/>
                <w:sz w:val="12"/>
                <w:szCs w:val="12"/>
              </w:rPr>
              <w:t>(13 665)</w:t>
            </w:r>
          </w:p>
        </w:tc>
        <w:tc>
          <w:tcPr>
            <w:tcW w:w="1417" w:type="dxa"/>
            <w:tcBorders>
              <w:top w:val="single" w:sz="4" w:space="0" w:color="0077BD"/>
              <w:left w:val="nil"/>
              <w:bottom w:val="nil"/>
              <w:right w:val="nil"/>
            </w:tcBorders>
            <w:shd w:val="clear" w:color="auto" w:fill="auto"/>
            <w:vAlign w:val="center"/>
          </w:tcPr>
          <w:p w14:paraId="1CC13982" w14:textId="08E05FB0" w:rsidR="00DB0771" w:rsidRPr="00977E53" w:rsidRDefault="00DB0771" w:rsidP="00BA45AD">
            <w:pPr>
              <w:jc w:val="right"/>
              <w:rPr>
                <w:rFonts w:cs="Calibri"/>
                <w:color w:val="000000" w:themeColor="text1"/>
                <w:sz w:val="12"/>
                <w:szCs w:val="12"/>
              </w:rPr>
            </w:pPr>
            <w:r w:rsidRPr="00977E53">
              <w:rPr>
                <w:rFonts w:cs="Calibri"/>
                <w:color w:val="000000" w:themeColor="text1"/>
                <w:sz w:val="12"/>
                <w:szCs w:val="12"/>
              </w:rPr>
              <w:t>1 </w:t>
            </w:r>
            <w:r w:rsidR="00BA45AD" w:rsidRPr="00977E53">
              <w:rPr>
                <w:rFonts w:cs="Calibri"/>
                <w:color w:val="000000" w:themeColor="text1"/>
                <w:sz w:val="12"/>
                <w:szCs w:val="12"/>
              </w:rPr>
              <w:t>412</w:t>
            </w:r>
            <w:r w:rsidRPr="00977E53">
              <w:rPr>
                <w:rFonts w:cs="Calibri"/>
                <w:color w:val="000000" w:themeColor="text1"/>
                <w:sz w:val="12"/>
                <w:szCs w:val="12"/>
              </w:rPr>
              <w:t xml:space="preserve"> </w:t>
            </w:r>
            <w:r w:rsidR="00BA45AD" w:rsidRPr="00977E53">
              <w:rPr>
                <w:rFonts w:cs="Calibri"/>
                <w:color w:val="000000" w:themeColor="text1"/>
                <w:sz w:val="12"/>
                <w:szCs w:val="12"/>
              </w:rPr>
              <w:t>152</w:t>
            </w:r>
          </w:p>
        </w:tc>
      </w:tr>
      <w:tr w:rsidR="00977E53" w:rsidRPr="00977E53" w14:paraId="1A61D090" w14:textId="77777777" w:rsidTr="00213C34">
        <w:trPr>
          <w:trHeight w:val="284"/>
        </w:trPr>
        <w:tc>
          <w:tcPr>
            <w:tcW w:w="5400" w:type="dxa"/>
            <w:tcBorders>
              <w:top w:val="nil"/>
              <w:left w:val="nil"/>
              <w:bottom w:val="single" w:sz="8" w:space="0" w:color="0077BD"/>
              <w:right w:val="single" w:sz="8" w:space="0" w:color="0077BD"/>
            </w:tcBorders>
            <w:shd w:val="clear" w:color="auto" w:fill="auto"/>
            <w:vAlign w:val="center"/>
            <w:hideMark/>
          </w:tcPr>
          <w:p w14:paraId="7FE73181" w14:textId="77777777" w:rsidR="00DB0771" w:rsidRPr="00977E53" w:rsidRDefault="00DB0771" w:rsidP="00996A3D">
            <w:pPr>
              <w:rPr>
                <w:rFonts w:cs="Calibri"/>
                <w:color w:val="000000" w:themeColor="text1"/>
                <w:sz w:val="12"/>
                <w:szCs w:val="16"/>
              </w:rPr>
            </w:pPr>
            <w:r w:rsidRPr="00977E53">
              <w:rPr>
                <w:rFonts w:cs="Calibri"/>
                <w:color w:val="000000" w:themeColor="text1"/>
                <w:sz w:val="12"/>
                <w:szCs w:val="16"/>
              </w:rPr>
              <w:t xml:space="preserve"> - udziały niekontrolujące</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63632B34" w14:textId="77777777" w:rsidR="00DB0771" w:rsidRPr="00977E53" w:rsidRDefault="00DB0771" w:rsidP="00996A3D">
            <w:pPr>
              <w:jc w:val="right"/>
              <w:rPr>
                <w:rFonts w:cs="Calibri"/>
                <w:color w:val="000000" w:themeColor="text1"/>
                <w:sz w:val="12"/>
                <w:szCs w:val="12"/>
              </w:rPr>
            </w:pPr>
            <w:r w:rsidRPr="00977E53">
              <w:rPr>
                <w:rFonts w:cs="Calibri"/>
                <w:color w:val="000000" w:themeColor="text1"/>
                <w:sz w:val="12"/>
                <w:szCs w:val="12"/>
              </w:rPr>
              <w:t>(82)</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6E7D6824" w14:textId="0D6C77E4" w:rsidR="00DB0771" w:rsidRPr="00977E53" w:rsidRDefault="00BA45AD" w:rsidP="00996A3D">
            <w:pPr>
              <w:jc w:val="right"/>
              <w:rPr>
                <w:rFonts w:cs="Calibri"/>
                <w:color w:val="000000" w:themeColor="text1"/>
                <w:sz w:val="12"/>
                <w:szCs w:val="12"/>
              </w:rPr>
            </w:pPr>
            <w:r w:rsidRPr="00977E53">
              <w:rPr>
                <w:rFonts w:cs="Calibri"/>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vAlign w:val="center"/>
          </w:tcPr>
          <w:p w14:paraId="5C112FC0" w14:textId="77777777" w:rsidR="00DB0771" w:rsidRPr="00977E53" w:rsidRDefault="00DB0771" w:rsidP="00996A3D">
            <w:pPr>
              <w:jc w:val="right"/>
              <w:rPr>
                <w:rFonts w:cs="Calibri"/>
                <w:color w:val="000000" w:themeColor="text1"/>
                <w:sz w:val="12"/>
                <w:szCs w:val="12"/>
              </w:rPr>
            </w:pPr>
            <w:r w:rsidRPr="00977E53">
              <w:rPr>
                <w:rFonts w:cs="Calibri"/>
                <w:color w:val="000000" w:themeColor="text1"/>
                <w:sz w:val="12"/>
                <w:szCs w:val="12"/>
              </w:rPr>
              <w:t>(82)</w:t>
            </w:r>
          </w:p>
        </w:tc>
      </w:tr>
    </w:tbl>
    <w:p w14:paraId="25C1CE33" w14:textId="77777777" w:rsidR="00213C34" w:rsidRDefault="00213C34">
      <w:pPr>
        <w:rPr>
          <w:rFonts w:cs="Tahoma"/>
          <w:color w:val="000000" w:themeColor="text1"/>
          <w:sz w:val="18"/>
          <w:szCs w:val="18"/>
        </w:rPr>
      </w:pPr>
      <w:r>
        <w:rPr>
          <w:rFonts w:cs="Tahoma"/>
          <w:color w:val="000000" w:themeColor="text1"/>
          <w:sz w:val="18"/>
          <w:szCs w:val="18"/>
        </w:rPr>
        <w:br w:type="page"/>
      </w:r>
    </w:p>
    <w:p w14:paraId="0468D967" w14:textId="1514A1FD" w:rsidR="00E25E1F" w:rsidRPr="00977E53" w:rsidRDefault="00E25E1F" w:rsidP="00E25E1F">
      <w:pPr>
        <w:suppressAutoHyphens/>
        <w:spacing w:before="120" w:after="120"/>
        <w:jc w:val="both"/>
        <w:rPr>
          <w:rFonts w:cs="Tahoma"/>
          <w:color w:val="000000" w:themeColor="text1"/>
          <w:sz w:val="18"/>
          <w:szCs w:val="18"/>
        </w:rPr>
      </w:pPr>
      <w:r w:rsidRPr="00977E53">
        <w:rPr>
          <w:rFonts w:cs="Tahoma"/>
          <w:color w:val="000000" w:themeColor="text1"/>
          <w:sz w:val="18"/>
          <w:szCs w:val="18"/>
        </w:rPr>
        <w:lastRenderedPageBreak/>
        <w:t>Przekształcenia w skonsolidowanym sprawozdaniu z sytuacji finansowej</w:t>
      </w:r>
      <w:r w:rsidR="009F0BEC">
        <w:rPr>
          <w:rFonts w:cs="Tahoma"/>
          <w:color w:val="000000" w:themeColor="text1"/>
          <w:sz w:val="18"/>
          <w:szCs w:val="18"/>
        </w:rPr>
        <w:t xml:space="preserve"> na dzień 31 grudnia 2018 roku</w:t>
      </w: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A46B96" w:rsidRPr="004D4E5D" w14:paraId="5B738DCE" w14:textId="77777777" w:rsidTr="00C83C36">
        <w:trPr>
          <w:trHeight w:val="510"/>
        </w:trPr>
        <w:tc>
          <w:tcPr>
            <w:tcW w:w="5400" w:type="dxa"/>
            <w:tcBorders>
              <w:top w:val="nil"/>
              <w:left w:val="nil"/>
              <w:right w:val="single" w:sz="8" w:space="0" w:color="FFFFFF"/>
            </w:tcBorders>
            <w:shd w:val="clear" w:color="000000" w:fill="0077BD"/>
            <w:vAlign w:val="center"/>
            <w:hideMark/>
          </w:tcPr>
          <w:p w14:paraId="7233B154" w14:textId="0A501CE4" w:rsidR="00A46B96" w:rsidRPr="004D4E5D" w:rsidRDefault="00A46B96" w:rsidP="00996A3D">
            <w:pPr>
              <w:rPr>
                <w:rFonts w:cs="Calibri"/>
                <w:b/>
                <w:bCs/>
                <w:color w:val="FFFFFF"/>
                <w:sz w:val="12"/>
                <w:szCs w:val="16"/>
              </w:rPr>
            </w:pPr>
            <w:r>
              <w:rPr>
                <w:rFonts w:cs="Calibri"/>
                <w:b/>
                <w:bCs/>
                <w:color w:val="FFFFFF"/>
                <w:sz w:val="12"/>
                <w:szCs w:val="16"/>
              </w:rPr>
              <w:t>AKTYWA</w:t>
            </w:r>
          </w:p>
        </w:tc>
        <w:tc>
          <w:tcPr>
            <w:tcW w:w="1404" w:type="dxa"/>
            <w:tcBorders>
              <w:top w:val="nil"/>
              <w:left w:val="nil"/>
              <w:right w:val="single" w:sz="8" w:space="0" w:color="FFFFFF"/>
            </w:tcBorders>
            <w:shd w:val="clear" w:color="000000" w:fill="0077BD"/>
            <w:vAlign w:val="center"/>
            <w:hideMark/>
          </w:tcPr>
          <w:p w14:paraId="4426E97D" w14:textId="774287AE" w:rsidR="00A46B96" w:rsidRPr="004D4E5D" w:rsidRDefault="00A46B96" w:rsidP="00A46B96">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23D8318F" w14:textId="77777777" w:rsidR="00A46B96" w:rsidRPr="004D4E5D" w:rsidRDefault="00A46B96" w:rsidP="00996A3D">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37F209ED" w14:textId="77FD790E" w:rsidR="00A46B96" w:rsidRPr="004D4E5D" w:rsidRDefault="00A46B96" w:rsidP="00A46B96">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77E53" w:rsidRPr="00977E53" w14:paraId="4FD2C377" w14:textId="77777777" w:rsidTr="003D17A2">
        <w:trPr>
          <w:trHeight w:val="255"/>
        </w:trPr>
        <w:tc>
          <w:tcPr>
            <w:tcW w:w="5400" w:type="dxa"/>
            <w:tcBorders>
              <w:left w:val="nil"/>
              <w:bottom w:val="single" w:sz="4" w:space="0" w:color="0077BD"/>
              <w:right w:val="single" w:sz="8" w:space="0" w:color="0077BD"/>
            </w:tcBorders>
            <w:shd w:val="clear" w:color="auto" w:fill="auto"/>
            <w:noWrap/>
            <w:vAlign w:val="center"/>
            <w:hideMark/>
          </w:tcPr>
          <w:p w14:paraId="7B140753" w14:textId="58C05223" w:rsidR="00A46B96" w:rsidRPr="00977E53" w:rsidRDefault="00A46B96" w:rsidP="00996A3D">
            <w:pPr>
              <w:rPr>
                <w:rFonts w:cs="Calibri"/>
                <w:bCs/>
                <w:color w:val="000000" w:themeColor="text1"/>
                <w:sz w:val="12"/>
                <w:szCs w:val="16"/>
              </w:rPr>
            </w:pPr>
            <w:r w:rsidRPr="00977E53">
              <w:rPr>
                <w:rFonts w:cs="Calibri"/>
                <w:bCs/>
                <w:color w:val="000000" w:themeColor="text1"/>
                <w:sz w:val="12"/>
                <w:szCs w:val="16"/>
              </w:rPr>
              <w:t>Aktywa finansowe przeznaczone do obrotu oraz instrumenty pochodne zabezpieczające</w:t>
            </w:r>
          </w:p>
        </w:tc>
        <w:tc>
          <w:tcPr>
            <w:tcW w:w="1404" w:type="dxa"/>
            <w:tcBorders>
              <w:left w:val="single" w:sz="8" w:space="0" w:color="0077BD"/>
              <w:bottom w:val="single" w:sz="4" w:space="0" w:color="0077BD"/>
              <w:right w:val="single" w:sz="8" w:space="0" w:color="0077BD"/>
            </w:tcBorders>
            <w:shd w:val="clear" w:color="auto" w:fill="auto"/>
            <w:noWrap/>
            <w:vAlign w:val="center"/>
          </w:tcPr>
          <w:p w14:paraId="4A6A0625" w14:textId="3FADB195" w:rsidR="00A46B96" w:rsidRPr="00977E53" w:rsidRDefault="00FC0C54" w:rsidP="00996A3D">
            <w:pPr>
              <w:jc w:val="right"/>
              <w:rPr>
                <w:rFonts w:cs="Calibri"/>
                <w:bCs/>
                <w:color w:val="000000" w:themeColor="text1"/>
                <w:sz w:val="12"/>
                <w:szCs w:val="12"/>
              </w:rPr>
            </w:pPr>
            <w:r w:rsidRPr="00977E53">
              <w:rPr>
                <w:rFonts w:cs="Calibri"/>
                <w:bCs/>
                <w:color w:val="000000" w:themeColor="text1"/>
                <w:sz w:val="12"/>
                <w:szCs w:val="12"/>
              </w:rPr>
              <w:t>2 104 302</w:t>
            </w:r>
          </w:p>
        </w:tc>
        <w:tc>
          <w:tcPr>
            <w:tcW w:w="1418" w:type="dxa"/>
            <w:tcBorders>
              <w:left w:val="nil"/>
              <w:bottom w:val="single" w:sz="4" w:space="0" w:color="0077BD"/>
              <w:right w:val="single" w:sz="8" w:space="0" w:color="0077BD"/>
            </w:tcBorders>
            <w:shd w:val="clear" w:color="auto" w:fill="auto"/>
            <w:noWrap/>
            <w:vAlign w:val="center"/>
          </w:tcPr>
          <w:p w14:paraId="607A912E" w14:textId="55BB45A2" w:rsidR="00A46B96" w:rsidRPr="00977E53" w:rsidRDefault="00B27983" w:rsidP="00996A3D">
            <w:pPr>
              <w:jc w:val="right"/>
              <w:rPr>
                <w:rFonts w:cs="Calibri"/>
                <w:bCs/>
                <w:color w:val="000000" w:themeColor="text1"/>
                <w:sz w:val="12"/>
                <w:szCs w:val="12"/>
              </w:rPr>
            </w:pPr>
            <w:r w:rsidRPr="00977E53">
              <w:rPr>
                <w:rFonts w:cs="Calibri"/>
                <w:bCs/>
                <w:color w:val="000000" w:themeColor="text1"/>
                <w:sz w:val="12"/>
                <w:szCs w:val="12"/>
              </w:rPr>
              <w:t>30 439</w:t>
            </w:r>
          </w:p>
        </w:tc>
        <w:tc>
          <w:tcPr>
            <w:tcW w:w="1417" w:type="dxa"/>
            <w:tcBorders>
              <w:left w:val="nil"/>
              <w:bottom w:val="single" w:sz="4" w:space="0" w:color="0077BD"/>
              <w:right w:val="nil"/>
            </w:tcBorders>
            <w:shd w:val="clear" w:color="auto" w:fill="auto"/>
            <w:noWrap/>
            <w:vAlign w:val="center"/>
          </w:tcPr>
          <w:p w14:paraId="59208673" w14:textId="592EC9CE" w:rsidR="00A46B96" w:rsidRPr="00977E53" w:rsidRDefault="00FC0C54" w:rsidP="00996A3D">
            <w:pPr>
              <w:jc w:val="right"/>
              <w:rPr>
                <w:rFonts w:cs="Calibri"/>
                <w:bCs/>
                <w:color w:val="000000" w:themeColor="text1"/>
                <w:sz w:val="12"/>
                <w:szCs w:val="12"/>
              </w:rPr>
            </w:pPr>
            <w:r w:rsidRPr="00977E53">
              <w:rPr>
                <w:rFonts w:cs="Calibri"/>
                <w:bCs/>
                <w:color w:val="000000" w:themeColor="text1"/>
                <w:sz w:val="12"/>
                <w:szCs w:val="12"/>
              </w:rPr>
              <w:t>2 134 741</w:t>
            </w:r>
          </w:p>
        </w:tc>
      </w:tr>
      <w:tr w:rsidR="00977E53" w:rsidRPr="00977E53" w14:paraId="0DBA9078" w14:textId="77777777" w:rsidTr="003D17A2">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hideMark/>
          </w:tcPr>
          <w:p w14:paraId="63A19654" w14:textId="60C56F90" w:rsidR="00A46B96" w:rsidRPr="00977E53" w:rsidRDefault="00A46B96" w:rsidP="00996A3D">
            <w:pPr>
              <w:rPr>
                <w:rFonts w:cs="Calibri"/>
                <w:bCs/>
                <w:color w:val="000000" w:themeColor="text1"/>
                <w:sz w:val="12"/>
                <w:szCs w:val="16"/>
              </w:rPr>
            </w:pPr>
            <w:r w:rsidRPr="00977E53">
              <w:rPr>
                <w:rFonts w:cs="Calibri"/>
                <w:bCs/>
                <w:color w:val="000000" w:themeColor="text1"/>
                <w:sz w:val="12"/>
                <w:szCs w:val="16"/>
              </w:rPr>
              <w:t xml:space="preserve">Pozostałe pozycje aktywów </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4910F626" w14:textId="49DC268B" w:rsidR="00A46B96" w:rsidRPr="00977E53" w:rsidRDefault="00FC0C54" w:rsidP="00996A3D">
            <w:pPr>
              <w:jc w:val="right"/>
              <w:rPr>
                <w:rFonts w:cs="Calibri"/>
                <w:bCs/>
                <w:color w:val="000000" w:themeColor="text1"/>
                <w:sz w:val="12"/>
                <w:szCs w:val="12"/>
              </w:rPr>
            </w:pPr>
            <w:r w:rsidRPr="00977E53">
              <w:rPr>
                <w:rFonts w:cs="Calibri"/>
                <w:bCs/>
                <w:color w:val="000000" w:themeColor="text1"/>
                <w:sz w:val="12"/>
                <w:szCs w:val="12"/>
              </w:rPr>
              <w:t xml:space="preserve">143 645 817 </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2ABFDD48" w14:textId="168A568B" w:rsidR="00A46B96" w:rsidRPr="00977E53" w:rsidRDefault="00B27983" w:rsidP="00996A3D">
            <w:pPr>
              <w:jc w:val="right"/>
              <w:rPr>
                <w:rFonts w:cs="Calibri"/>
                <w:bCs/>
                <w:color w:val="000000" w:themeColor="text1"/>
                <w:sz w:val="12"/>
                <w:szCs w:val="12"/>
              </w:rPr>
            </w:pPr>
            <w:r w:rsidRPr="00977E53">
              <w:rPr>
                <w:rFonts w:cs="Calibri"/>
                <w:bCs/>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1D98E5F4" w14:textId="341DA5CB" w:rsidR="00A46B96" w:rsidRPr="00977E53" w:rsidRDefault="00FC0C54" w:rsidP="00996A3D">
            <w:pPr>
              <w:jc w:val="right"/>
              <w:rPr>
                <w:rFonts w:cs="Calibri"/>
                <w:bCs/>
                <w:color w:val="000000" w:themeColor="text1"/>
                <w:sz w:val="12"/>
                <w:szCs w:val="12"/>
              </w:rPr>
            </w:pPr>
            <w:r w:rsidRPr="00977E53">
              <w:rPr>
                <w:rFonts w:cs="Calibri"/>
                <w:bCs/>
                <w:color w:val="000000" w:themeColor="text1"/>
                <w:sz w:val="12"/>
                <w:szCs w:val="12"/>
              </w:rPr>
              <w:t>143 645 817</w:t>
            </w:r>
          </w:p>
        </w:tc>
      </w:tr>
      <w:tr w:rsidR="00977E53" w:rsidRPr="00977E53" w14:paraId="7330AE7F" w14:textId="77777777" w:rsidTr="003D17A2">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4945025E" w14:textId="4B83F6DE" w:rsidR="00A46B96" w:rsidRPr="00977E53" w:rsidRDefault="00A46B96" w:rsidP="00996A3D">
            <w:pPr>
              <w:rPr>
                <w:rFonts w:cs="Calibri"/>
                <w:b/>
                <w:bCs/>
                <w:color w:val="000000" w:themeColor="text1"/>
                <w:sz w:val="12"/>
                <w:szCs w:val="16"/>
              </w:rPr>
            </w:pPr>
            <w:r w:rsidRPr="00977E53">
              <w:rPr>
                <w:rFonts w:cs="Calibri"/>
                <w:b/>
                <w:bCs/>
                <w:color w:val="000000" w:themeColor="text1"/>
                <w:sz w:val="12"/>
                <w:szCs w:val="16"/>
              </w:rPr>
              <w:t xml:space="preserve">AKTYWA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7778A184" w14:textId="2AA6E153" w:rsidR="00A46B96" w:rsidRPr="00977E53" w:rsidRDefault="00FC0C54" w:rsidP="00996A3D">
            <w:pPr>
              <w:jc w:val="right"/>
              <w:rPr>
                <w:rFonts w:cs="Calibri"/>
                <w:b/>
                <w:bCs/>
                <w:color w:val="000000" w:themeColor="text1"/>
                <w:sz w:val="12"/>
                <w:szCs w:val="12"/>
              </w:rPr>
            </w:pPr>
            <w:r w:rsidRPr="00977E53">
              <w:rPr>
                <w:rFonts w:cs="Calibri"/>
                <w:b/>
                <w:bCs/>
                <w:color w:val="000000" w:themeColor="text1"/>
                <w:sz w:val="12"/>
                <w:szCs w:val="12"/>
              </w:rPr>
              <w:t>145 750 119</w:t>
            </w:r>
          </w:p>
        </w:tc>
        <w:tc>
          <w:tcPr>
            <w:tcW w:w="1418" w:type="dxa"/>
            <w:tcBorders>
              <w:top w:val="nil"/>
              <w:left w:val="nil"/>
              <w:bottom w:val="single" w:sz="8" w:space="0" w:color="0077BD"/>
              <w:right w:val="single" w:sz="8" w:space="0" w:color="0077BD"/>
            </w:tcBorders>
            <w:shd w:val="clear" w:color="auto" w:fill="auto"/>
            <w:noWrap/>
            <w:vAlign w:val="center"/>
          </w:tcPr>
          <w:p w14:paraId="69D94F32" w14:textId="6743ED45" w:rsidR="00A46B96" w:rsidRPr="00977E53" w:rsidRDefault="00FC0C54" w:rsidP="00FC0C54">
            <w:pPr>
              <w:jc w:val="right"/>
              <w:rPr>
                <w:rFonts w:cs="Calibri"/>
                <w:b/>
                <w:bCs/>
                <w:color w:val="000000" w:themeColor="text1"/>
                <w:sz w:val="12"/>
                <w:szCs w:val="12"/>
              </w:rPr>
            </w:pPr>
            <w:r w:rsidRPr="00977E53">
              <w:rPr>
                <w:rFonts w:cs="Calibri"/>
                <w:b/>
                <w:color w:val="000000" w:themeColor="text1"/>
                <w:sz w:val="12"/>
                <w:szCs w:val="12"/>
              </w:rPr>
              <w:t xml:space="preserve">30 439   </w:t>
            </w:r>
          </w:p>
        </w:tc>
        <w:tc>
          <w:tcPr>
            <w:tcW w:w="1417" w:type="dxa"/>
            <w:tcBorders>
              <w:top w:val="nil"/>
              <w:left w:val="nil"/>
              <w:bottom w:val="single" w:sz="8" w:space="0" w:color="0077BD"/>
              <w:right w:val="nil"/>
            </w:tcBorders>
            <w:shd w:val="clear" w:color="auto" w:fill="auto"/>
            <w:noWrap/>
            <w:vAlign w:val="center"/>
          </w:tcPr>
          <w:p w14:paraId="50C00FF3" w14:textId="03FA0046" w:rsidR="00A46B96" w:rsidRPr="00977E53" w:rsidRDefault="00FC0C54" w:rsidP="00996A3D">
            <w:pPr>
              <w:jc w:val="right"/>
              <w:rPr>
                <w:rFonts w:cs="Calibri"/>
                <w:b/>
                <w:bCs/>
                <w:color w:val="000000" w:themeColor="text1"/>
                <w:sz w:val="12"/>
                <w:szCs w:val="12"/>
              </w:rPr>
            </w:pPr>
            <w:r w:rsidRPr="00977E53">
              <w:rPr>
                <w:rFonts w:cs="Calibri"/>
                <w:b/>
                <w:bCs/>
                <w:color w:val="000000" w:themeColor="text1"/>
                <w:sz w:val="12"/>
                <w:szCs w:val="12"/>
              </w:rPr>
              <w:t>145 780 558</w:t>
            </w:r>
          </w:p>
        </w:tc>
      </w:tr>
    </w:tbl>
    <w:p w14:paraId="7F65DFC1" w14:textId="77777777" w:rsidR="005A32AC" w:rsidRPr="00112B27" w:rsidRDefault="005A32AC" w:rsidP="00BF3C0E">
      <w:pPr>
        <w:suppressAutoHyphens/>
        <w:jc w:val="both"/>
        <w:rPr>
          <w:rFonts w:cs="Tahoma"/>
          <w:sz w:val="14"/>
          <w:szCs w:val="14"/>
        </w:rPr>
      </w:pP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BF3C0E" w:rsidRPr="004D4E5D" w14:paraId="1B1DFFED" w14:textId="77777777" w:rsidTr="00996A3D">
        <w:trPr>
          <w:trHeight w:val="510"/>
        </w:trPr>
        <w:tc>
          <w:tcPr>
            <w:tcW w:w="5400" w:type="dxa"/>
            <w:tcBorders>
              <w:top w:val="nil"/>
              <w:left w:val="nil"/>
              <w:right w:val="single" w:sz="8" w:space="0" w:color="FFFFFF"/>
            </w:tcBorders>
            <w:shd w:val="clear" w:color="000000" w:fill="0077BD"/>
            <w:vAlign w:val="center"/>
            <w:hideMark/>
          </w:tcPr>
          <w:p w14:paraId="6797E631" w14:textId="68813E2C" w:rsidR="00BF3C0E" w:rsidRPr="004D4E5D" w:rsidRDefault="00BF3C0E" w:rsidP="00996A3D">
            <w:pPr>
              <w:rPr>
                <w:rFonts w:cs="Calibri"/>
                <w:b/>
                <w:bCs/>
                <w:color w:val="FFFFFF"/>
                <w:sz w:val="12"/>
                <w:szCs w:val="16"/>
              </w:rPr>
            </w:pPr>
            <w:r>
              <w:rPr>
                <w:rFonts w:cs="Calibri"/>
                <w:b/>
                <w:bCs/>
                <w:color w:val="FFFFFF"/>
                <w:sz w:val="12"/>
                <w:szCs w:val="16"/>
              </w:rPr>
              <w:t>ZOBOWIĄZANIA</w:t>
            </w:r>
          </w:p>
        </w:tc>
        <w:tc>
          <w:tcPr>
            <w:tcW w:w="1404" w:type="dxa"/>
            <w:tcBorders>
              <w:top w:val="nil"/>
              <w:left w:val="nil"/>
              <w:right w:val="single" w:sz="8" w:space="0" w:color="FFFFFF"/>
            </w:tcBorders>
            <w:shd w:val="clear" w:color="000000" w:fill="0077BD"/>
            <w:vAlign w:val="center"/>
            <w:hideMark/>
          </w:tcPr>
          <w:p w14:paraId="4966CDBA" w14:textId="52AA3EE5" w:rsidR="00BF3C0E" w:rsidRPr="004D4E5D" w:rsidRDefault="00BF3C0E" w:rsidP="00996A3D">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07EF2FF1" w14:textId="77777777" w:rsidR="00BF3C0E" w:rsidRPr="004D4E5D" w:rsidRDefault="00BF3C0E" w:rsidP="00996A3D">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7E0EDC15" w14:textId="77777777" w:rsidR="00BF3C0E" w:rsidRPr="004D4E5D" w:rsidRDefault="00BF3C0E" w:rsidP="00996A3D">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77E53" w:rsidRPr="00977E53" w14:paraId="29986C8F" w14:textId="77777777" w:rsidTr="003D17A2">
        <w:trPr>
          <w:trHeight w:val="255"/>
        </w:trPr>
        <w:tc>
          <w:tcPr>
            <w:tcW w:w="5400" w:type="dxa"/>
            <w:tcBorders>
              <w:left w:val="nil"/>
              <w:bottom w:val="single" w:sz="4" w:space="0" w:color="0077BD"/>
              <w:right w:val="single" w:sz="8" w:space="0" w:color="0077BD"/>
            </w:tcBorders>
            <w:shd w:val="clear" w:color="auto" w:fill="auto"/>
            <w:noWrap/>
            <w:vAlign w:val="center"/>
            <w:hideMark/>
          </w:tcPr>
          <w:p w14:paraId="68EFE8F5" w14:textId="71D19B58" w:rsidR="00BF3C0E" w:rsidRPr="00977E53" w:rsidRDefault="00BF3C0E" w:rsidP="00BF3C0E">
            <w:pPr>
              <w:rPr>
                <w:rFonts w:cs="Calibri"/>
                <w:bCs/>
                <w:color w:val="000000" w:themeColor="text1"/>
                <w:sz w:val="12"/>
                <w:szCs w:val="12"/>
              </w:rPr>
            </w:pPr>
            <w:r w:rsidRPr="00977E53">
              <w:rPr>
                <w:color w:val="000000" w:themeColor="text1"/>
                <w:sz w:val="12"/>
                <w:szCs w:val="12"/>
              </w:rPr>
              <w:t>Zobowiązania finansowe wyceniane w zamortyzowanym koszcie, w tym:</w:t>
            </w:r>
          </w:p>
        </w:tc>
        <w:tc>
          <w:tcPr>
            <w:tcW w:w="1404" w:type="dxa"/>
            <w:tcBorders>
              <w:left w:val="single" w:sz="8" w:space="0" w:color="0077BD"/>
              <w:bottom w:val="single" w:sz="4" w:space="0" w:color="0077BD"/>
              <w:right w:val="single" w:sz="8" w:space="0" w:color="0077BD"/>
            </w:tcBorders>
            <w:shd w:val="clear" w:color="auto" w:fill="auto"/>
            <w:noWrap/>
            <w:vAlign w:val="center"/>
          </w:tcPr>
          <w:p w14:paraId="56C8F23E" w14:textId="51B55B11" w:rsidR="00BF3C0E" w:rsidRPr="00977E53" w:rsidRDefault="00014C32" w:rsidP="00BF3C0E">
            <w:pPr>
              <w:jc w:val="right"/>
              <w:rPr>
                <w:rFonts w:cs="Calibri"/>
                <w:bCs/>
                <w:color w:val="000000" w:themeColor="text1"/>
                <w:sz w:val="12"/>
                <w:szCs w:val="12"/>
              </w:rPr>
            </w:pPr>
            <w:r w:rsidRPr="00977E53">
              <w:rPr>
                <w:rFonts w:cs="Calibri"/>
                <w:bCs/>
                <w:color w:val="000000" w:themeColor="text1"/>
                <w:sz w:val="12"/>
                <w:szCs w:val="12"/>
              </w:rPr>
              <w:t>125 611 195</w:t>
            </w:r>
          </w:p>
        </w:tc>
        <w:tc>
          <w:tcPr>
            <w:tcW w:w="1418" w:type="dxa"/>
            <w:tcBorders>
              <w:left w:val="nil"/>
              <w:bottom w:val="single" w:sz="4" w:space="0" w:color="0077BD"/>
              <w:right w:val="single" w:sz="8" w:space="0" w:color="0077BD"/>
            </w:tcBorders>
            <w:shd w:val="clear" w:color="auto" w:fill="auto"/>
            <w:noWrap/>
            <w:vAlign w:val="center"/>
          </w:tcPr>
          <w:p w14:paraId="76021C4C" w14:textId="77777777" w:rsidR="00BF3C0E" w:rsidRPr="00977E53" w:rsidRDefault="00BF3C0E" w:rsidP="00BF3C0E">
            <w:pPr>
              <w:jc w:val="right"/>
              <w:rPr>
                <w:rFonts w:cs="Calibri"/>
                <w:bCs/>
                <w:color w:val="000000" w:themeColor="text1"/>
                <w:sz w:val="12"/>
                <w:szCs w:val="12"/>
              </w:rPr>
            </w:pPr>
            <w:r w:rsidRPr="00977E53">
              <w:rPr>
                <w:rFonts w:cs="Calibri"/>
                <w:bCs/>
                <w:color w:val="000000" w:themeColor="text1"/>
                <w:sz w:val="12"/>
                <w:szCs w:val="12"/>
              </w:rPr>
              <w:t>30 439</w:t>
            </w:r>
          </w:p>
        </w:tc>
        <w:tc>
          <w:tcPr>
            <w:tcW w:w="1417" w:type="dxa"/>
            <w:tcBorders>
              <w:left w:val="nil"/>
              <w:bottom w:val="single" w:sz="4" w:space="0" w:color="0077BD"/>
              <w:right w:val="nil"/>
            </w:tcBorders>
            <w:shd w:val="clear" w:color="auto" w:fill="auto"/>
            <w:noWrap/>
            <w:vAlign w:val="center"/>
          </w:tcPr>
          <w:p w14:paraId="4A047F67" w14:textId="210B51FA" w:rsidR="00BF3C0E" w:rsidRPr="00977E53" w:rsidRDefault="00014C32" w:rsidP="00BF3C0E">
            <w:pPr>
              <w:jc w:val="right"/>
              <w:rPr>
                <w:rFonts w:cs="Calibri"/>
                <w:bCs/>
                <w:color w:val="000000" w:themeColor="text1"/>
                <w:sz w:val="12"/>
                <w:szCs w:val="12"/>
              </w:rPr>
            </w:pPr>
            <w:r w:rsidRPr="00977E53">
              <w:rPr>
                <w:rFonts w:cs="Calibri"/>
                <w:bCs/>
                <w:color w:val="000000" w:themeColor="text1"/>
                <w:sz w:val="12"/>
                <w:szCs w:val="12"/>
              </w:rPr>
              <w:t>125 641 634</w:t>
            </w:r>
          </w:p>
        </w:tc>
      </w:tr>
      <w:tr w:rsidR="00977E53" w:rsidRPr="00977E53" w14:paraId="5CF536C7"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64446135" w14:textId="559E8C6D" w:rsidR="00BF3C0E" w:rsidRPr="00977E53" w:rsidRDefault="000D7BB7" w:rsidP="00BF3C0E">
            <w:pPr>
              <w:rPr>
                <w:rFonts w:cs="Calibri"/>
                <w:bCs/>
                <w:i/>
                <w:color w:val="000000" w:themeColor="text1"/>
                <w:sz w:val="12"/>
                <w:szCs w:val="12"/>
              </w:rPr>
            </w:pPr>
            <w:r>
              <w:rPr>
                <w:i/>
                <w:color w:val="000000" w:themeColor="text1"/>
                <w:sz w:val="12"/>
                <w:szCs w:val="12"/>
              </w:rPr>
              <w:t xml:space="preserve">- </w:t>
            </w:r>
            <w:r w:rsidR="00BF3C0E" w:rsidRPr="00977E53">
              <w:rPr>
                <w:i/>
                <w:color w:val="000000" w:themeColor="text1"/>
                <w:sz w:val="12"/>
                <w:szCs w:val="12"/>
              </w:rPr>
              <w:t>Zobowiązania wobec banków</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E5220BF" w14:textId="7425A55A" w:rsidR="00BF3C0E" w:rsidRPr="00977E53" w:rsidRDefault="00014C32" w:rsidP="00BF3C0E">
            <w:pPr>
              <w:jc w:val="right"/>
              <w:rPr>
                <w:rFonts w:cs="Calibri"/>
                <w:bCs/>
                <w:i/>
                <w:color w:val="000000" w:themeColor="text1"/>
                <w:sz w:val="12"/>
                <w:szCs w:val="12"/>
              </w:rPr>
            </w:pPr>
            <w:r w:rsidRPr="00977E53">
              <w:rPr>
                <w:rFonts w:cs="Calibri"/>
                <w:bCs/>
                <w:i/>
                <w:color w:val="000000" w:themeColor="text1"/>
                <w:sz w:val="12"/>
                <w:szCs w:val="12"/>
              </w:rPr>
              <w:t>3 078 387</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FBF07D8" w14:textId="702A65F6" w:rsidR="00BF3C0E" w:rsidRPr="00977E53" w:rsidRDefault="002B039A" w:rsidP="00BF3C0E">
            <w:pPr>
              <w:jc w:val="right"/>
              <w:rPr>
                <w:rFonts w:cs="Calibri"/>
                <w:bCs/>
                <w:i/>
                <w:color w:val="000000" w:themeColor="text1"/>
                <w:sz w:val="12"/>
                <w:szCs w:val="12"/>
              </w:rPr>
            </w:pPr>
            <w:r w:rsidRPr="00977E53">
              <w:rPr>
                <w:rFonts w:cs="Calibri"/>
                <w:bCs/>
                <w:i/>
                <w:color w:val="000000" w:themeColor="text1"/>
                <w:sz w:val="12"/>
                <w:szCs w:val="12"/>
              </w:rPr>
              <w:t>30 439</w:t>
            </w:r>
          </w:p>
        </w:tc>
        <w:tc>
          <w:tcPr>
            <w:tcW w:w="1417" w:type="dxa"/>
            <w:tcBorders>
              <w:top w:val="single" w:sz="4" w:space="0" w:color="0077BD"/>
              <w:left w:val="nil"/>
              <w:bottom w:val="single" w:sz="4" w:space="0" w:color="0077BD"/>
              <w:right w:val="nil"/>
            </w:tcBorders>
            <w:shd w:val="clear" w:color="auto" w:fill="auto"/>
            <w:noWrap/>
            <w:vAlign w:val="center"/>
          </w:tcPr>
          <w:p w14:paraId="7E9CB5BE" w14:textId="79D04154" w:rsidR="00BF3C0E" w:rsidRPr="00977E53" w:rsidRDefault="00014C32" w:rsidP="00BF3C0E">
            <w:pPr>
              <w:jc w:val="right"/>
              <w:rPr>
                <w:rFonts w:cs="Calibri"/>
                <w:bCs/>
                <w:i/>
                <w:color w:val="000000" w:themeColor="text1"/>
                <w:sz w:val="12"/>
                <w:szCs w:val="12"/>
              </w:rPr>
            </w:pPr>
            <w:r w:rsidRPr="00977E53">
              <w:rPr>
                <w:rFonts w:cs="Calibri"/>
                <w:bCs/>
                <w:i/>
                <w:color w:val="000000" w:themeColor="text1"/>
                <w:sz w:val="12"/>
                <w:szCs w:val="12"/>
              </w:rPr>
              <w:t>3 108 826</w:t>
            </w:r>
          </w:p>
        </w:tc>
      </w:tr>
      <w:tr w:rsidR="00977E53" w:rsidRPr="00977E53" w14:paraId="52274C7E"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752FCCC1" w14:textId="1711FFAC" w:rsidR="00BF3C0E" w:rsidRPr="00977E53" w:rsidRDefault="00BF3C0E" w:rsidP="00BF3C0E">
            <w:pPr>
              <w:rPr>
                <w:rFonts w:cs="Calibri"/>
                <w:bCs/>
                <w:color w:val="000000" w:themeColor="text1"/>
                <w:sz w:val="12"/>
                <w:szCs w:val="12"/>
              </w:rPr>
            </w:pPr>
            <w:r w:rsidRPr="00977E53">
              <w:rPr>
                <w:color w:val="000000" w:themeColor="text1"/>
                <w:sz w:val="12"/>
                <w:szCs w:val="12"/>
              </w:rPr>
              <w:t>Inne zobowiązania</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5CEF895" w14:textId="31BBAB33" w:rsidR="00BF3C0E" w:rsidRPr="00977E53" w:rsidRDefault="00014C32" w:rsidP="00BF3C0E">
            <w:pPr>
              <w:jc w:val="right"/>
              <w:rPr>
                <w:rFonts w:cs="Calibri"/>
                <w:bCs/>
                <w:color w:val="000000" w:themeColor="text1"/>
                <w:sz w:val="12"/>
                <w:szCs w:val="12"/>
              </w:rPr>
            </w:pPr>
            <w:r w:rsidRPr="00977E53">
              <w:rPr>
                <w:rFonts w:cs="Calibri"/>
                <w:bCs/>
                <w:color w:val="000000" w:themeColor="text1"/>
                <w:sz w:val="12"/>
                <w:szCs w:val="12"/>
              </w:rPr>
              <w:t>3 330 399</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30233855" w14:textId="4B57B417" w:rsidR="00BF3C0E" w:rsidRPr="00977E53" w:rsidRDefault="002B039A" w:rsidP="00BF3C0E">
            <w:pPr>
              <w:jc w:val="right"/>
              <w:rPr>
                <w:rFonts w:cs="Calibri"/>
                <w:bCs/>
                <w:color w:val="000000" w:themeColor="text1"/>
                <w:sz w:val="12"/>
                <w:szCs w:val="12"/>
              </w:rPr>
            </w:pPr>
            <w:r w:rsidRPr="00977E53">
              <w:rPr>
                <w:rFonts w:cs="Calibri"/>
                <w:bCs/>
                <w:color w:val="000000" w:themeColor="text1"/>
                <w:sz w:val="12"/>
                <w:szCs w:val="12"/>
              </w:rPr>
              <w:t>44 873</w:t>
            </w:r>
          </w:p>
        </w:tc>
        <w:tc>
          <w:tcPr>
            <w:tcW w:w="1417" w:type="dxa"/>
            <w:tcBorders>
              <w:top w:val="single" w:sz="4" w:space="0" w:color="0077BD"/>
              <w:left w:val="nil"/>
              <w:bottom w:val="single" w:sz="4" w:space="0" w:color="0077BD"/>
              <w:right w:val="nil"/>
            </w:tcBorders>
            <w:shd w:val="clear" w:color="auto" w:fill="auto"/>
            <w:noWrap/>
            <w:vAlign w:val="center"/>
          </w:tcPr>
          <w:p w14:paraId="5234E44D" w14:textId="0AF5274E" w:rsidR="00BF3C0E" w:rsidRPr="00977E53" w:rsidRDefault="00014C32" w:rsidP="00BF3C0E">
            <w:pPr>
              <w:jc w:val="right"/>
              <w:rPr>
                <w:rFonts w:cs="Calibri"/>
                <w:bCs/>
                <w:color w:val="000000" w:themeColor="text1"/>
                <w:sz w:val="12"/>
                <w:szCs w:val="12"/>
              </w:rPr>
            </w:pPr>
            <w:r w:rsidRPr="00977E53">
              <w:rPr>
                <w:rFonts w:cs="Calibri"/>
                <w:bCs/>
                <w:color w:val="000000" w:themeColor="text1"/>
                <w:sz w:val="12"/>
                <w:szCs w:val="12"/>
              </w:rPr>
              <w:t>3 375 272</w:t>
            </w:r>
          </w:p>
        </w:tc>
      </w:tr>
      <w:tr w:rsidR="00977E53" w:rsidRPr="00977E53" w14:paraId="476DB1BB" w14:textId="77777777" w:rsidTr="003D17A2">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hideMark/>
          </w:tcPr>
          <w:p w14:paraId="57897121" w14:textId="544109A7" w:rsidR="00BF3C0E" w:rsidRPr="00977E53" w:rsidRDefault="00BF3C0E" w:rsidP="00BF3C0E">
            <w:pPr>
              <w:rPr>
                <w:rFonts w:cs="Calibri"/>
                <w:bCs/>
                <w:color w:val="000000" w:themeColor="text1"/>
                <w:sz w:val="12"/>
                <w:szCs w:val="12"/>
              </w:rPr>
            </w:pPr>
            <w:r w:rsidRPr="00977E53">
              <w:rPr>
                <w:color w:val="000000" w:themeColor="text1"/>
                <w:sz w:val="12"/>
                <w:szCs w:val="12"/>
              </w:rPr>
              <w:t>Pozostałe pozycje zobowiązań</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4EC5EE42" w14:textId="762FA24E" w:rsidR="00BF3C0E" w:rsidRPr="00977E53" w:rsidRDefault="00211DE3" w:rsidP="00BF3C0E">
            <w:pPr>
              <w:jc w:val="right"/>
              <w:rPr>
                <w:rFonts w:cs="Calibri"/>
                <w:bCs/>
                <w:color w:val="000000" w:themeColor="text1"/>
                <w:sz w:val="12"/>
                <w:szCs w:val="12"/>
              </w:rPr>
            </w:pPr>
            <w:r>
              <w:rPr>
                <w:rFonts w:cs="Calibri"/>
                <w:bCs/>
                <w:color w:val="000000" w:themeColor="text1"/>
                <w:sz w:val="12"/>
                <w:szCs w:val="12"/>
              </w:rPr>
              <w:t>1 592 445</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1A5229B4" w14:textId="77777777" w:rsidR="00BF3C0E" w:rsidRPr="00977E53" w:rsidRDefault="00BF3C0E" w:rsidP="00BF3C0E">
            <w:pPr>
              <w:jc w:val="right"/>
              <w:rPr>
                <w:rFonts w:cs="Calibri"/>
                <w:bCs/>
                <w:color w:val="000000" w:themeColor="text1"/>
                <w:sz w:val="12"/>
                <w:szCs w:val="12"/>
              </w:rPr>
            </w:pPr>
            <w:r w:rsidRPr="00977E53">
              <w:rPr>
                <w:rFonts w:cs="Calibri"/>
                <w:bCs/>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5D169C0E" w14:textId="69254C70" w:rsidR="00BF3C0E" w:rsidRPr="00977E53" w:rsidRDefault="00211DE3" w:rsidP="00BF3C0E">
            <w:pPr>
              <w:jc w:val="right"/>
              <w:rPr>
                <w:rFonts w:cs="Calibri"/>
                <w:bCs/>
                <w:color w:val="000000" w:themeColor="text1"/>
                <w:sz w:val="12"/>
                <w:szCs w:val="12"/>
              </w:rPr>
            </w:pPr>
            <w:r>
              <w:rPr>
                <w:rFonts w:cs="Calibri"/>
                <w:bCs/>
                <w:color w:val="000000" w:themeColor="text1"/>
                <w:sz w:val="12"/>
                <w:szCs w:val="12"/>
              </w:rPr>
              <w:t>1 592 445</w:t>
            </w:r>
          </w:p>
        </w:tc>
      </w:tr>
      <w:tr w:rsidR="00977E53" w:rsidRPr="00977E53" w14:paraId="2CE7BBEF" w14:textId="77777777" w:rsidTr="003D17A2">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56483B4F" w14:textId="284A025F" w:rsidR="00BF3C0E" w:rsidRPr="00977E53" w:rsidRDefault="00BF3C0E" w:rsidP="00996A3D">
            <w:pPr>
              <w:rPr>
                <w:rFonts w:cs="Calibri"/>
                <w:b/>
                <w:bCs/>
                <w:color w:val="000000" w:themeColor="text1"/>
                <w:sz w:val="12"/>
                <w:szCs w:val="16"/>
              </w:rPr>
            </w:pPr>
            <w:r w:rsidRPr="00977E53">
              <w:rPr>
                <w:rFonts w:cs="Calibri"/>
                <w:b/>
                <w:bCs/>
                <w:color w:val="000000" w:themeColor="text1"/>
                <w:sz w:val="12"/>
                <w:szCs w:val="16"/>
              </w:rPr>
              <w:t xml:space="preserve">ZOBOWIĄZANIA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2C182084" w14:textId="0D900F74" w:rsidR="00BF3C0E" w:rsidRPr="00977E53" w:rsidRDefault="00014C32" w:rsidP="00996A3D">
            <w:pPr>
              <w:jc w:val="right"/>
              <w:rPr>
                <w:rFonts w:cs="Calibri"/>
                <w:b/>
                <w:bCs/>
                <w:color w:val="000000" w:themeColor="text1"/>
                <w:sz w:val="12"/>
                <w:szCs w:val="12"/>
              </w:rPr>
            </w:pPr>
            <w:r w:rsidRPr="00977E53">
              <w:rPr>
                <w:rFonts w:cs="Calibri"/>
                <w:b/>
                <w:bCs/>
                <w:color w:val="000000" w:themeColor="text1"/>
                <w:sz w:val="12"/>
                <w:szCs w:val="12"/>
              </w:rPr>
              <w:t>130 534 039</w:t>
            </w:r>
          </w:p>
        </w:tc>
        <w:tc>
          <w:tcPr>
            <w:tcW w:w="1418" w:type="dxa"/>
            <w:tcBorders>
              <w:top w:val="nil"/>
              <w:left w:val="nil"/>
              <w:bottom w:val="single" w:sz="8" w:space="0" w:color="0077BD"/>
              <w:right w:val="single" w:sz="8" w:space="0" w:color="0077BD"/>
            </w:tcBorders>
            <w:shd w:val="clear" w:color="auto" w:fill="auto"/>
            <w:noWrap/>
            <w:vAlign w:val="center"/>
          </w:tcPr>
          <w:p w14:paraId="34A42120" w14:textId="049052F8" w:rsidR="00BF3C0E" w:rsidRPr="00977E53" w:rsidRDefault="002B039A" w:rsidP="00996A3D">
            <w:pPr>
              <w:jc w:val="right"/>
              <w:rPr>
                <w:rFonts w:cs="Calibri"/>
                <w:b/>
                <w:bCs/>
                <w:color w:val="000000" w:themeColor="text1"/>
                <w:sz w:val="12"/>
                <w:szCs w:val="12"/>
              </w:rPr>
            </w:pPr>
            <w:r w:rsidRPr="00977E53">
              <w:rPr>
                <w:rFonts w:cs="Calibri"/>
                <w:b/>
                <w:color w:val="000000" w:themeColor="text1"/>
                <w:sz w:val="12"/>
                <w:szCs w:val="12"/>
              </w:rPr>
              <w:t>75 312</w:t>
            </w:r>
          </w:p>
        </w:tc>
        <w:tc>
          <w:tcPr>
            <w:tcW w:w="1417" w:type="dxa"/>
            <w:tcBorders>
              <w:top w:val="nil"/>
              <w:left w:val="nil"/>
              <w:bottom w:val="single" w:sz="8" w:space="0" w:color="0077BD"/>
              <w:right w:val="nil"/>
            </w:tcBorders>
            <w:shd w:val="clear" w:color="auto" w:fill="auto"/>
            <w:noWrap/>
            <w:vAlign w:val="center"/>
          </w:tcPr>
          <w:p w14:paraId="179792CF" w14:textId="7F50C09F" w:rsidR="00BF3C0E" w:rsidRPr="00977E53" w:rsidRDefault="00014C32" w:rsidP="00996A3D">
            <w:pPr>
              <w:jc w:val="right"/>
              <w:rPr>
                <w:rFonts w:cs="Calibri"/>
                <w:b/>
                <w:bCs/>
                <w:color w:val="000000" w:themeColor="text1"/>
                <w:sz w:val="12"/>
                <w:szCs w:val="12"/>
              </w:rPr>
            </w:pPr>
            <w:r w:rsidRPr="00977E53">
              <w:rPr>
                <w:rFonts w:cs="Calibri"/>
                <w:b/>
                <w:bCs/>
                <w:color w:val="000000" w:themeColor="text1"/>
                <w:sz w:val="12"/>
                <w:szCs w:val="12"/>
              </w:rPr>
              <w:t>130 609 351</w:t>
            </w:r>
          </w:p>
        </w:tc>
      </w:tr>
      <w:tr w:rsidR="003D17A2" w:rsidRPr="004D4E5D" w14:paraId="0CAC5F3D" w14:textId="77777777" w:rsidTr="003D17A2">
        <w:trPr>
          <w:trHeight w:val="510"/>
        </w:trPr>
        <w:tc>
          <w:tcPr>
            <w:tcW w:w="5400" w:type="dxa"/>
            <w:tcBorders>
              <w:top w:val="nil"/>
              <w:left w:val="nil"/>
              <w:right w:val="single" w:sz="8" w:space="0" w:color="FFFFFF"/>
            </w:tcBorders>
            <w:shd w:val="clear" w:color="000000" w:fill="0077BD"/>
            <w:vAlign w:val="center"/>
            <w:hideMark/>
          </w:tcPr>
          <w:p w14:paraId="41B3AD7A" w14:textId="3EE1C54C" w:rsidR="003D17A2" w:rsidRPr="004D4E5D" w:rsidRDefault="003D17A2" w:rsidP="003D17A2">
            <w:pPr>
              <w:rPr>
                <w:rFonts w:cs="Calibri"/>
                <w:b/>
                <w:bCs/>
                <w:color w:val="FFFFFF"/>
                <w:sz w:val="12"/>
                <w:szCs w:val="16"/>
              </w:rPr>
            </w:pPr>
            <w:r>
              <w:rPr>
                <w:rFonts w:cs="Calibri"/>
                <w:b/>
                <w:bCs/>
                <w:color w:val="FFFFFF"/>
                <w:sz w:val="12"/>
                <w:szCs w:val="16"/>
              </w:rPr>
              <w:t>KAPITAŁY</w:t>
            </w:r>
          </w:p>
        </w:tc>
        <w:tc>
          <w:tcPr>
            <w:tcW w:w="1404" w:type="dxa"/>
            <w:tcBorders>
              <w:top w:val="nil"/>
              <w:left w:val="nil"/>
              <w:right w:val="single" w:sz="8" w:space="0" w:color="FFFFFF"/>
            </w:tcBorders>
            <w:shd w:val="clear" w:color="000000" w:fill="0077BD"/>
            <w:vAlign w:val="center"/>
          </w:tcPr>
          <w:p w14:paraId="2512F6AA" w14:textId="4069E808" w:rsidR="003D17A2" w:rsidRPr="004D4E5D" w:rsidRDefault="003D17A2" w:rsidP="003D17A2">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tcPr>
          <w:p w14:paraId="638DAD53" w14:textId="39F764C8" w:rsidR="003D17A2" w:rsidRPr="004D4E5D" w:rsidRDefault="003D17A2" w:rsidP="003D17A2">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tcPr>
          <w:p w14:paraId="4D3F33A0" w14:textId="62E21962" w:rsidR="003D17A2" w:rsidRPr="004D4E5D" w:rsidRDefault="003D17A2" w:rsidP="003D17A2">
            <w:pPr>
              <w:jc w:val="right"/>
              <w:rPr>
                <w:rFonts w:cs="Calibri"/>
                <w:b/>
                <w:bCs/>
                <w:color w:val="FFFFFF"/>
                <w:sz w:val="12"/>
                <w:szCs w:val="16"/>
              </w:rPr>
            </w:pPr>
            <w:r w:rsidRPr="004D4E5D">
              <w:rPr>
                <w:rFonts w:cs="Calibri"/>
                <w:b/>
                <w:bCs/>
                <w:color w:val="FFFFFF"/>
                <w:sz w:val="12"/>
                <w:szCs w:val="16"/>
              </w:rPr>
              <w:t>31.12.2018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77E53" w:rsidRPr="00977E53" w14:paraId="55607557" w14:textId="77777777" w:rsidTr="003D17A2">
        <w:trPr>
          <w:trHeight w:val="255"/>
        </w:trPr>
        <w:tc>
          <w:tcPr>
            <w:tcW w:w="5400" w:type="dxa"/>
            <w:tcBorders>
              <w:left w:val="nil"/>
              <w:bottom w:val="single" w:sz="4" w:space="0" w:color="0077BD"/>
              <w:right w:val="single" w:sz="8" w:space="0" w:color="0077BD"/>
            </w:tcBorders>
            <w:shd w:val="clear" w:color="auto" w:fill="auto"/>
            <w:noWrap/>
            <w:vAlign w:val="center"/>
            <w:hideMark/>
          </w:tcPr>
          <w:p w14:paraId="4BCE6008" w14:textId="27FC6FEC" w:rsidR="00C300F2" w:rsidRPr="00977E53" w:rsidRDefault="00C300F2" w:rsidP="00C300F2">
            <w:pPr>
              <w:rPr>
                <w:rFonts w:cs="Calibri"/>
                <w:b/>
                <w:bCs/>
                <w:color w:val="000000" w:themeColor="text1"/>
                <w:sz w:val="12"/>
                <w:szCs w:val="12"/>
              </w:rPr>
            </w:pPr>
            <w:r w:rsidRPr="00977E53">
              <w:rPr>
                <w:b/>
                <w:color w:val="000000" w:themeColor="text1"/>
                <w:sz w:val="12"/>
                <w:szCs w:val="12"/>
              </w:rPr>
              <w:t>Kapitały własne przypadające na akcjonariuszy mBanku S.A.</w:t>
            </w:r>
          </w:p>
        </w:tc>
        <w:tc>
          <w:tcPr>
            <w:tcW w:w="1404" w:type="dxa"/>
            <w:tcBorders>
              <w:left w:val="single" w:sz="8" w:space="0" w:color="0077BD"/>
              <w:bottom w:val="single" w:sz="4" w:space="0" w:color="0077BD"/>
              <w:right w:val="single" w:sz="8" w:space="0" w:color="0077BD"/>
            </w:tcBorders>
            <w:shd w:val="clear" w:color="auto" w:fill="auto"/>
            <w:noWrap/>
            <w:vAlign w:val="center"/>
          </w:tcPr>
          <w:p w14:paraId="4746E793" w14:textId="4938B530"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15 213 980</w:t>
            </w:r>
          </w:p>
        </w:tc>
        <w:tc>
          <w:tcPr>
            <w:tcW w:w="1418" w:type="dxa"/>
            <w:tcBorders>
              <w:left w:val="nil"/>
              <w:bottom w:val="single" w:sz="4" w:space="0" w:color="0077BD"/>
              <w:right w:val="single" w:sz="8" w:space="0" w:color="0077BD"/>
            </w:tcBorders>
            <w:shd w:val="clear" w:color="auto" w:fill="auto"/>
            <w:noWrap/>
            <w:vAlign w:val="center"/>
          </w:tcPr>
          <w:p w14:paraId="062ED5FC" w14:textId="3AAB47CF" w:rsidR="00C300F2" w:rsidRPr="00977E53" w:rsidRDefault="002B039A" w:rsidP="002B039A">
            <w:pPr>
              <w:jc w:val="right"/>
              <w:rPr>
                <w:rFonts w:cs="Calibri"/>
                <w:b/>
                <w:bCs/>
                <w:color w:val="000000" w:themeColor="text1"/>
                <w:sz w:val="12"/>
                <w:szCs w:val="12"/>
              </w:rPr>
            </w:pPr>
            <w:r w:rsidRPr="00977E53">
              <w:rPr>
                <w:rFonts w:cs="Calibri"/>
                <w:b/>
                <w:bCs/>
                <w:color w:val="000000" w:themeColor="text1"/>
                <w:sz w:val="12"/>
                <w:szCs w:val="12"/>
              </w:rPr>
              <w:t>(44 873)</w:t>
            </w:r>
          </w:p>
        </w:tc>
        <w:tc>
          <w:tcPr>
            <w:tcW w:w="1417" w:type="dxa"/>
            <w:tcBorders>
              <w:left w:val="nil"/>
              <w:bottom w:val="single" w:sz="4" w:space="0" w:color="0077BD"/>
              <w:right w:val="nil"/>
            </w:tcBorders>
            <w:shd w:val="clear" w:color="auto" w:fill="auto"/>
            <w:noWrap/>
            <w:vAlign w:val="center"/>
          </w:tcPr>
          <w:p w14:paraId="4DD3E762" w14:textId="27F8ABE6" w:rsidR="00C300F2" w:rsidRPr="00977E53" w:rsidRDefault="00081F68" w:rsidP="00C300F2">
            <w:pPr>
              <w:jc w:val="right"/>
              <w:rPr>
                <w:rFonts w:cs="Calibri"/>
                <w:b/>
                <w:bCs/>
                <w:color w:val="000000" w:themeColor="text1"/>
                <w:sz w:val="12"/>
                <w:szCs w:val="12"/>
              </w:rPr>
            </w:pPr>
            <w:r w:rsidRPr="00977E53">
              <w:rPr>
                <w:rFonts w:cs="Calibri"/>
                <w:b/>
                <w:bCs/>
                <w:color w:val="000000" w:themeColor="text1"/>
                <w:sz w:val="12"/>
                <w:szCs w:val="12"/>
              </w:rPr>
              <w:t>15 169 107</w:t>
            </w:r>
          </w:p>
        </w:tc>
      </w:tr>
      <w:tr w:rsidR="00977E53" w:rsidRPr="00977E53" w14:paraId="0874335D"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7C403BD3" w14:textId="1A5E72D3" w:rsidR="00C300F2" w:rsidRPr="00977E53" w:rsidRDefault="00C300F2" w:rsidP="00C300F2">
            <w:pPr>
              <w:rPr>
                <w:b/>
                <w:color w:val="000000" w:themeColor="text1"/>
                <w:sz w:val="12"/>
                <w:szCs w:val="12"/>
              </w:rPr>
            </w:pPr>
            <w:r w:rsidRPr="00977E53">
              <w:rPr>
                <w:b/>
                <w:color w:val="000000" w:themeColor="text1"/>
                <w:sz w:val="12"/>
                <w:szCs w:val="12"/>
              </w:rPr>
              <w:t>Kapitał podstawowy</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7440829" w14:textId="50246951"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3 574 686</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7F9E623" w14:textId="5904C838" w:rsidR="00C300F2" w:rsidRPr="00977E53" w:rsidRDefault="002B039A" w:rsidP="00C300F2">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4" w:space="0" w:color="0077BD"/>
              <w:right w:val="nil"/>
            </w:tcBorders>
            <w:shd w:val="clear" w:color="auto" w:fill="auto"/>
            <w:noWrap/>
            <w:vAlign w:val="center"/>
          </w:tcPr>
          <w:p w14:paraId="68FE8D00" w14:textId="30AFA58F"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3 574 686</w:t>
            </w:r>
          </w:p>
        </w:tc>
      </w:tr>
      <w:tr w:rsidR="00977E53" w:rsidRPr="00977E53" w14:paraId="7F6D2154"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6CE31BA6" w14:textId="3467C412" w:rsidR="00C300F2" w:rsidRPr="00977E53" w:rsidRDefault="00C300F2" w:rsidP="00C300F2">
            <w:pPr>
              <w:rPr>
                <w:b/>
                <w:color w:val="000000" w:themeColor="text1"/>
                <w:sz w:val="12"/>
                <w:szCs w:val="12"/>
              </w:rPr>
            </w:pPr>
            <w:r w:rsidRPr="00977E53">
              <w:rPr>
                <w:b/>
                <w:color w:val="000000" w:themeColor="text1"/>
                <w:sz w:val="12"/>
                <w:szCs w:val="12"/>
              </w:rPr>
              <w:t>Zyski zatrzymane</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FA8973B" w14:textId="38982798"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11 424 456</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61BE89E0" w14:textId="5942B1E0" w:rsidR="00C300F2" w:rsidRPr="00977E53" w:rsidRDefault="002B039A" w:rsidP="00C300F2">
            <w:pPr>
              <w:jc w:val="right"/>
              <w:rPr>
                <w:rFonts w:cs="Calibri"/>
                <w:b/>
                <w:bCs/>
                <w:color w:val="000000" w:themeColor="text1"/>
                <w:sz w:val="12"/>
                <w:szCs w:val="12"/>
              </w:rPr>
            </w:pPr>
            <w:r w:rsidRPr="00977E53">
              <w:rPr>
                <w:rFonts w:cs="Calibri"/>
                <w:b/>
                <w:bCs/>
                <w:color w:val="000000" w:themeColor="text1"/>
                <w:sz w:val="12"/>
                <w:szCs w:val="12"/>
              </w:rPr>
              <w:t>(44 873)</w:t>
            </w:r>
          </w:p>
        </w:tc>
        <w:tc>
          <w:tcPr>
            <w:tcW w:w="1417" w:type="dxa"/>
            <w:tcBorders>
              <w:top w:val="single" w:sz="4" w:space="0" w:color="0077BD"/>
              <w:left w:val="nil"/>
              <w:bottom w:val="single" w:sz="4" w:space="0" w:color="0077BD"/>
              <w:right w:val="nil"/>
            </w:tcBorders>
            <w:shd w:val="clear" w:color="auto" w:fill="auto"/>
            <w:noWrap/>
            <w:vAlign w:val="center"/>
          </w:tcPr>
          <w:p w14:paraId="65BC2F3D" w14:textId="5CCAD949" w:rsidR="00C300F2" w:rsidRPr="00977E53" w:rsidRDefault="00081F68" w:rsidP="00C300F2">
            <w:pPr>
              <w:jc w:val="right"/>
              <w:rPr>
                <w:rFonts w:cs="Calibri"/>
                <w:b/>
                <w:bCs/>
                <w:color w:val="000000" w:themeColor="text1"/>
                <w:sz w:val="12"/>
                <w:szCs w:val="12"/>
              </w:rPr>
            </w:pPr>
            <w:r w:rsidRPr="00977E53">
              <w:rPr>
                <w:rFonts w:cs="Calibri"/>
                <w:b/>
                <w:bCs/>
                <w:color w:val="000000" w:themeColor="text1"/>
                <w:sz w:val="12"/>
                <w:szCs w:val="12"/>
              </w:rPr>
              <w:t>11 379 583</w:t>
            </w:r>
          </w:p>
        </w:tc>
      </w:tr>
      <w:tr w:rsidR="00977E53" w:rsidRPr="00977E53" w14:paraId="22EB6B5A"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18A4A27B" w14:textId="0BD9C1F5" w:rsidR="00C300F2" w:rsidRPr="00977E53" w:rsidRDefault="00C300F2" w:rsidP="00C300F2">
            <w:pPr>
              <w:rPr>
                <w:color w:val="000000" w:themeColor="text1"/>
                <w:sz w:val="12"/>
                <w:szCs w:val="12"/>
              </w:rPr>
            </w:pPr>
            <w:r w:rsidRPr="00977E53">
              <w:rPr>
                <w:color w:val="000000" w:themeColor="text1"/>
                <w:sz w:val="12"/>
                <w:szCs w:val="12"/>
              </w:rPr>
              <w:t>- Wynik finansowy z lat ubiegłych</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EFA1209" w14:textId="6C73D0B2" w:rsidR="00C300F2" w:rsidRPr="00977E53" w:rsidRDefault="00FB49C8" w:rsidP="00C300F2">
            <w:pPr>
              <w:jc w:val="right"/>
              <w:rPr>
                <w:rFonts w:cs="Calibri"/>
                <w:bCs/>
                <w:color w:val="000000" w:themeColor="text1"/>
                <w:sz w:val="12"/>
                <w:szCs w:val="12"/>
              </w:rPr>
            </w:pPr>
            <w:r w:rsidRPr="00977E53">
              <w:rPr>
                <w:rFonts w:cs="Calibri"/>
                <w:bCs/>
                <w:color w:val="000000" w:themeColor="text1"/>
                <w:sz w:val="12"/>
                <w:szCs w:val="12"/>
              </w:rPr>
              <w:t>10 108 005</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A92DCCD" w14:textId="6F6F0D4F" w:rsidR="00C300F2" w:rsidRPr="00977E53" w:rsidRDefault="002B039A" w:rsidP="00C300F2">
            <w:pPr>
              <w:jc w:val="right"/>
              <w:rPr>
                <w:rFonts w:cs="Calibri"/>
                <w:bCs/>
                <w:color w:val="000000" w:themeColor="text1"/>
                <w:sz w:val="12"/>
                <w:szCs w:val="12"/>
              </w:rPr>
            </w:pPr>
            <w:r w:rsidRPr="00977E53">
              <w:rPr>
                <w:rFonts w:cs="Calibri"/>
                <w:bCs/>
                <w:color w:val="000000" w:themeColor="text1"/>
                <w:sz w:val="12"/>
                <w:szCs w:val="12"/>
              </w:rPr>
              <w:t>(31 208)</w:t>
            </w:r>
          </w:p>
        </w:tc>
        <w:tc>
          <w:tcPr>
            <w:tcW w:w="1417" w:type="dxa"/>
            <w:tcBorders>
              <w:top w:val="single" w:sz="4" w:space="0" w:color="0077BD"/>
              <w:left w:val="nil"/>
              <w:bottom w:val="single" w:sz="4" w:space="0" w:color="0077BD"/>
              <w:right w:val="nil"/>
            </w:tcBorders>
            <w:shd w:val="clear" w:color="auto" w:fill="auto"/>
            <w:noWrap/>
            <w:vAlign w:val="center"/>
          </w:tcPr>
          <w:p w14:paraId="4F2D964A" w14:textId="315C86D1" w:rsidR="00C300F2" w:rsidRPr="00977E53" w:rsidRDefault="00081F68" w:rsidP="00C300F2">
            <w:pPr>
              <w:jc w:val="right"/>
              <w:rPr>
                <w:rFonts w:cs="Calibri"/>
                <w:bCs/>
                <w:color w:val="000000" w:themeColor="text1"/>
                <w:sz w:val="12"/>
                <w:szCs w:val="12"/>
              </w:rPr>
            </w:pPr>
            <w:r w:rsidRPr="00977E53">
              <w:rPr>
                <w:rFonts w:cs="Calibri"/>
                <w:bCs/>
                <w:color w:val="000000" w:themeColor="text1"/>
                <w:sz w:val="12"/>
                <w:szCs w:val="12"/>
              </w:rPr>
              <w:t>10 076 797</w:t>
            </w:r>
          </w:p>
        </w:tc>
      </w:tr>
      <w:tr w:rsidR="00977E53" w:rsidRPr="00977E53" w14:paraId="660A4A62"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7082632B" w14:textId="3BF27832" w:rsidR="00C300F2" w:rsidRPr="00977E53" w:rsidRDefault="00C300F2" w:rsidP="00C300F2">
            <w:pPr>
              <w:rPr>
                <w:rFonts w:cs="Calibri"/>
                <w:bCs/>
                <w:color w:val="000000" w:themeColor="text1"/>
                <w:sz w:val="12"/>
                <w:szCs w:val="12"/>
              </w:rPr>
            </w:pPr>
            <w:r w:rsidRPr="00977E53">
              <w:rPr>
                <w:color w:val="000000" w:themeColor="text1"/>
                <w:sz w:val="12"/>
                <w:szCs w:val="12"/>
              </w:rPr>
              <w:t>- Wynik roku bieżącego</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5235D49" w14:textId="180F0BA6" w:rsidR="00C300F2" w:rsidRPr="00977E53" w:rsidRDefault="00FB49C8" w:rsidP="00C300F2">
            <w:pPr>
              <w:jc w:val="right"/>
              <w:rPr>
                <w:rFonts w:cs="Calibri"/>
                <w:bCs/>
                <w:color w:val="000000" w:themeColor="text1"/>
                <w:sz w:val="12"/>
                <w:szCs w:val="12"/>
              </w:rPr>
            </w:pPr>
            <w:r w:rsidRPr="00977E53">
              <w:rPr>
                <w:rFonts w:cs="Calibri"/>
                <w:bCs/>
                <w:color w:val="000000" w:themeColor="text1"/>
                <w:sz w:val="12"/>
                <w:szCs w:val="12"/>
              </w:rPr>
              <w:t>1 316 451</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8BE8C51" w14:textId="6C7D78EA" w:rsidR="00C300F2" w:rsidRPr="00977E53" w:rsidRDefault="002B039A" w:rsidP="00C300F2">
            <w:pPr>
              <w:jc w:val="right"/>
              <w:rPr>
                <w:rFonts w:cs="Calibri"/>
                <w:bCs/>
                <w:color w:val="000000" w:themeColor="text1"/>
                <w:sz w:val="12"/>
                <w:szCs w:val="12"/>
              </w:rPr>
            </w:pPr>
            <w:r w:rsidRPr="00977E53">
              <w:rPr>
                <w:rFonts w:cs="Calibri"/>
                <w:bCs/>
                <w:color w:val="000000" w:themeColor="text1"/>
                <w:sz w:val="12"/>
                <w:szCs w:val="12"/>
              </w:rPr>
              <w:t>(13 665)</w:t>
            </w:r>
          </w:p>
        </w:tc>
        <w:tc>
          <w:tcPr>
            <w:tcW w:w="1417" w:type="dxa"/>
            <w:tcBorders>
              <w:top w:val="single" w:sz="4" w:space="0" w:color="0077BD"/>
              <w:left w:val="nil"/>
              <w:bottom w:val="single" w:sz="4" w:space="0" w:color="0077BD"/>
              <w:right w:val="nil"/>
            </w:tcBorders>
            <w:shd w:val="clear" w:color="auto" w:fill="auto"/>
            <w:noWrap/>
            <w:vAlign w:val="center"/>
          </w:tcPr>
          <w:p w14:paraId="5119CE40" w14:textId="7517F14B" w:rsidR="00C300F2" w:rsidRPr="00977E53" w:rsidRDefault="00081F68" w:rsidP="00C300F2">
            <w:pPr>
              <w:jc w:val="right"/>
              <w:rPr>
                <w:rFonts w:cs="Calibri"/>
                <w:bCs/>
                <w:color w:val="000000" w:themeColor="text1"/>
                <w:sz w:val="12"/>
                <w:szCs w:val="12"/>
              </w:rPr>
            </w:pPr>
            <w:r w:rsidRPr="00977E53">
              <w:rPr>
                <w:rFonts w:cs="Calibri"/>
                <w:bCs/>
                <w:color w:val="000000" w:themeColor="text1"/>
                <w:sz w:val="12"/>
                <w:szCs w:val="12"/>
              </w:rPr>
              <w:t>1 302 786</w:t>
            </w:r>
          </w:p>
        </w:tc>
      </w:tr>
      <w:tr w:rsidR="00977E53" w:rsidRPr="00977E53" w14:paraId="7B4A292D" w14:textId="77777777" w:rsidTr="003D17A2">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33D48957" w14:textId="5FF9E5BC" w:rsidR="00C300F2" w:rsidRPr="00977E53" w:rsidRDefault="00C300F2" w:rsidP="00C300F2">
            <w:pPr>
              <w:rPr>
                <w:rFonts w:cs="Calibri"/>
                <w:b/>
                <w:bCs/>
                <w:color w:val="000000" w:themeColor="text1"/>
                <w:sz w:val="12"/>
                <w:szCs w:val="12"/>
              </w:rPr>
            </w:pPr>
            <w:r w:rsidRPr="00977E53">
              <w:rPr>
                <w:b/>
                <w:color w:val="000000" w:themeColor="text1"/>
                <w:sz w:val="12"/>
                <w:szCs w:val="12"/>
              </w:rPr>
              <w:t>Inne pozycje kapitału własnego</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BA58C1E" w14:textId="485C12B0"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214 838</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8FD5FF9" w14:textId="7E96AA5D" w:rsidR="00C300F2" w:rsidRPr="00977E53" w:rsidRDefault="002B039A" w:rsidP="00C300F2">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4" w:space="0" w:color="0077BD"/>
              <w:right w:val="nil"/>
            </w:tcBorders>
            <w:shd w:val="clear" w:color="auto" w:fill="auto"/>
            <w:noWrap/>
            <w:vAlign w:val="center"/>
          </w:tcPr>
          <w:p w14:paraId="4B579DB6" w14:textId="34FC0E0D"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214 838</w:t>
            </w:r>
          </w:p>
        </w:tc>
      </w:tr>
      <w:tr w:rsidR="00977E53" w:rsidRPr="00977E53" w14:paraId="5F1CE4D1" w14:textId="77777777" w:rsidTr="003D17A2">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tcPr>
          <w:p w14:paraId="671AB049" w14:textId="10EF59C2" w:rsidR="00C300F2" w:rsidRPr="00977E53" w:rsidRDefault="00C300F2" w:rsidP="00C300F2">
            <w:pPr>
              <w:rPr>
                <w:rFonts w:cs="Calibri"/>
                <w:b/>
                <w:bCs/>
                <w:color w:val="000000" w:themeColor="text1"/>
                <w:sz w:val="12"/>
                <w:szCs w:val="12"/>
              </w:rPr>
            </w:pPr>
            <w:r w:rsidRPr="00977E53">
              <w:rPr>
                <w:b/>
                <w:color w:val="000000" w:themeColor="text1"/>
                <w:sz w:val="12"/>
                <w:szCs w:val="12"/>
              </w:rPr>
              <w:t>Udziały niekontrolujące</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05E9D3FD" w14:textId="5B8EE5D7"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2 100</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767640DC" w14:textId="77777777" w:rsidR="00C300F2" w:rsidRPr="00977E53" w:rsidRDefault="00C300F2" w:rsidP="00C300F2">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31A341B7" w14:textId="32CB0686" w:rsidR="00C300F2" w:rsidRPr="00977E53" w:rsidRDefault="00FB49C8" w:rsidP="00C300F2">
            <w:pPr>
              <w:jc w:val="right"/>
              <w:rPr>
                <w:rFonts w:cs="Calibri"/>
                <w:b/>
                <w:bCs/>
                <w:color w:val="000000" w:themeColor="text1"/>
                <w:sz w:val="12"/>
                <w:szCs w:val="12"/>
              </w:rPr>
            </w:pPr>
            <w:r w:rsidRPr="00977E53">
              <w:rPr>
                <w:rFonts w:cs="Calibri"/>
                <w:b/>
                <w:bCs/>
                <w:color w:val="000000" w:themeColor="text1"/>
                <w:sz w:val="12"/>
                <w:szCs w:val="12"/>
              </w:rPr>
              <w:t>2 100</w:t>
            </w:r>
          </w:p>
        </w:tc>
      </w:tr>
      <w:tr w:rsidR="00977E53" w:rsidRPr="00977E53" w14:paraId="13B64DE2" w14:textId="77777777" w:rsidTr="003D17A2">
        <w:trPr>
          <w:trHeight w:val="255"/>
        </w:trPr>
        <w:tc>
          <w:tcPr>
            <w:tcW w:w="5400" w:type="dxa"/>
            <w:tcBorders>
              <w:top w:val="nil"/>
              <w:left w:val="nil"/>
              <w:bottom w:val="single" w:sz="8" w:space="0" w:color="0077BD"/>
              <w:right w:val="single" w:sz="8" w:space="0" w:color="0077BD"/>
            </w:tcBorders>
            <w:shd w:val="clear" w:color="auto" w:fill="auto"/>
            <w:noWrap/>
            <w:vAlign w:val="center"/>
          </w:tcPr>
          <w:p w14:paraId="1E29F393" w14:textId="2274D80E" w:rsidR="00C300F2" w:rsidRPr="00977E53" w:rsidRDefault="00C300F2" w:rsidP="00996A3D">
            <w:pPr>
              <w:rPr>
                <w:rFonts w:cs="Calibri"/>
                <w:b/>
                <w:bCs/>
                <w:color w:val="000000" w:themeColor="text1"/>
                <w:sz w:val="12"/>
                <w:szCs w:val="16"/>
              </w:rPr>
            </w:pPr>
            <w:r w:rsidRPr="00977E53">
              <w:rPr>
                <w:rFonts w:cs="Calibri"/>
                <w:b/>
                <w:bCs/>
                <w:color w:val="000000" w:themeColor="text1"/>
                <w:sz w:val="12"/>
                <w:szCs w:val="16"/>
              </w:rPr>
              <w:t>KAPITAŁY RAZEM</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4A7219DB" w14:textId="34AB8059" w:rsidR="00C300F2" w:rsidRPr="00977E53" w:rsidRDefault="00FB49C8" w:rsidP="00996A3D">
            <w:pPr>
              <w:jc w:val="right"/>
              <w:rPr>
                <w:rFonts w:cs="Calibri"/>
                <w:b/>
                <w:bCs/>
                <w:color w:val="000000" w:themeColor="text1"/>
                <w:sz w:val="12"/>
                <w:szCs w:val="12"/>
              </w:rPr>
            </w:pPr>
            <w:r w:rsidRPr="00977E53">
              <w:rPr>
                <w:rFonts w:cs="Calibri"/>
                <w:b/>
                <w:bCs/>
                <w:color w:val="000000" w:themeColor="text1"/>
                <w:sz w:val="12"/>
                <w:szCs w:val="12"/>
              </w:rPr>
              <w:t>15 216 080</w:t>
            </w:r>
          </w:p>
        </w:tc>
        <w:tc>
          <w:tcPr>
            <w:tcW w:w="1418" w:type="dxa"/>
            <w:tcBorders>
              <w:top w:val="nil"/>
              <w:left w:val="nil"/>
              <w:bottom w:val="single" w:sz="8" w:space="0" w:color="0077BD"/>
              <w:right w:val="single" w:sz="8" w:space="0" w:color="0077BD"/>
            </w:tcBorders>
            <w:shd w:val="clear" w:color="auto" w:fill="auto"/>
            <w:noWrap/>
            <w:vAlign w:val="center"/>
          </w:tcPr>
          <w:p w14:paraId="1656BD07" w14:textId="6A51AF02" w:rsidR="00C300F2" w:rsidRPr="00977E53" w:rsidRDefault="002B039A" w:rsidP="00996A3D">
            <w:pPr>
              <w:jc w:val="right"/>
              <w:rPr>
                <w:rFonts w:cs="Calibri"/>
                <w:b/>
                <w:color w:val="000000" w:themeColor="text1"/>
                <w:sz w:val="12"/>
                <w:szCs w:val="12"/>
              </w:rPr>
            </w:pPr>
            <w:r w:rsidRPr="00977E53">
              <w:rPr>
                <w:rFonts w:cs="Calibri"/>
                <w:b/>
                <w:color w:val="000000" w:themeColor="text1"/>
                <w:sz w:val="12"/>
                <w:szCs w:val="12"/>
              </w:rPr>
              <w:t>(44 873)</w:t>
            </w:r>
          </w:p>
        </w:tc>
        <w:tc>
          <w:tcPr>
            <w:tcW w:w="1417" w:type="dxa"/>
            <w:tcBorders>
              <w:top w:val="nil"/>
              <w:left w:val="nil"/>
              <w:bottom w:val="single" w:sz="8" w:space="0" w:color="0077BD"/>
              <w:right w:val="nil"/>
            </w:tcBorders>
            <w:shd w:val="clear" w:color="auto" w:fill="auto"/>
            <w:noWrap/>
            <w:vAlign w:val="center"/>
          </w:tcPr>
          <w:p w14:paraId="189E808D" w14:textId="5DDDA470" w:rsidR="00C300F2" w:rsidRPr="00977E53" w:rsidRDefault="00081F68" w:rsidP="00996A3D">
            <w:pPr>
              <w:jc w:val="right"/>
              <w:rPr>
                <w:rFonts w:cs="Calibri"/>
                <w:b/>
                <w:bCs/>
                <w:color w:val="000000" w:themeColor="text1"/>
                <w:sz w:val="12"/>
                <w:szCs w:val="12"/>
              </w:rPr>
            </w:pPr>
            <w:r w:rsidRPr="00977E53">
              <w:rPr>
                <w:rFonts w:cs="Calibri"/>
                <w:b/>
                <w:bCs/>
                <w:color w:val="000000" w:themeColor="text1"/>
                <w:sz w:val="12"/>
                <w:szCs w:val="12"/>
              </w:rPr>
              <w:t>15 171 207</w:t>
            </w:r>
          </w:p>
        </w:tc>
      </w:tr>
      <w:tr w:rsidR="00977E53" w:rsidRPr="00046547" w14:paraId="5F6723AF" w14:textId="77777777" w:rsidTr="00A1270F">
        <w:trPr>
          <w:trHeight w:val="40"/>
        </w:trPr>
        <w:tc>
          <w:tcPr>
            <w:tcW w:w="5400" w:type="dxa"/>
            <w:tcBorders>
              <w:top w:val="single" w:sz="8" w:space="0" w:color="0077BD"/>
              <w:left w:val="nil"/>
              <w:bottom w:val="single" w:sz="8" w:space="0" w:color="0077BD"/>
            </w:tcBorders>
            <w:shd w:val="clear" w:color="auto" w:fill="auto"/>
            <w:noWrap/>
            <w:vAlign w:val="center"/>
          </w:tcPr>
          <w:p w14:paraId="1A2F6AE3" w14:textId="77777777" w:rsidR="00C300F2" w:rsidRPr="00046547" w:rsidRDefault="00C300F2" w:rsidP="00996A3D">
            <w:pPr>
              <w:rPr>
                <w:rFonts w:cs="Calibri"/>
                <w:b/>
                <w:bCs/>
                <w:color w:val="000000" w:themeColor="text1"/>
                <w:sz w:val="8"/>
                <w:szCs w:val="8"/>
              </w:rPr>
            </w:pPr>
          </w:p>
        </w:tc>
        <w:tc>
          <w:tcPr>
            <w:tcW w:w="1404" w:type="dxa"/>
            <w:tcBorders>
              <w:top w:val="single" w:sz="8" w:space="0" w:color="0077BD"/>
              <w:bottom w:val="single" w:sz="8" w:space="0" w:color="0077BD"/>
            </w:tcBorders>
            <w:shd w:val="clear" w:color="auto" w:fill="auto"/>
            <w:noWrap/>
            <w:vAlign w:val="center"/>
          </w:tcPr>
          <w:p w14:paraId="28243958" w14:textId="77777777" w:rsidR="00C300F2" w:rsidRPr="00046547" w:rsidRDefault="00C300F2" w:rsidP="00996A3D">
            <w:pPr>
              <w:jc w:val="right"/>
              <w:rPr>
                <w:rFonts w:cs="Calibri"/>
                <w:b/>
                <w:bCs/>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10B8A543" w14:textId="77777777" w:rsidR="00C300F2" w:rsidRPr="00046547" w:rsidRDefault="00C300F2" w:rsidP="00996A3D">
            <w:pPr>
              <w:jc w:val="right"/>
              <w:rPr>
                <w:rFonts w:cs="Calibri"/>
                <w:color w:val="000000" w:themeColor="text1"/>
                <w:sz w:val="8"/>
                <w:szCs w:val="8"/>
              </w:rPr>
            </w:pPr>
          </w:p>
        </w:tc>
        <w:tc>
          <w:tcPr>
            <w:tcW w:w="1417" w:type="dxa"/>
            <w:tcBorders>
              <w:top w:val="single" w:sz="8" w:space="0" w:color="0077BD"/>
              <w:bottom w:val="single" w:sz="8" w:space="0" w:color="0077BD"/>
              <w:right w:val="nil"/>
            </w:tcBorders>
            <w:shd w:val="clear" w:color="auto" w:fill="auto"/>
            <w:noWrap/>
            <w:vAlign w:val="center"/>
          </w:tcPr>
          <w:p w14:paraId="16A8A8F9" w14:textId="77777777" w:rsidR="00C300F2" w:rsidRPr="00046547" w:rsidRDefault="00C300F2" w:rsidP="00996A3D">
            <w:pPr>
              <w:jc w:val="right"/>
              <w:rPr>
                <w:rFonts w:cs="Calibri"/>
                <w:b/>
                <w:bCs/>
                <w:color w:val="000000" w:themeColor="text1"/>
                <w:sz w:val="8"/>
                <w:szCs w:val="8"/>
              </w:rPr>
            </w:pPr>
          </w:p>
        </w:tc>
      </w:tr>
      <w:tr w:rsidR="00977E53" w:rsidRPr="00977E53" w14:paraId="0C0A43F1" w14:textId="77777777" w:rsidTr="00046547">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72830FDF" w14:textId="4713161B" w:rsidR="00C300F2" w:rsidRPr="00977E53" w:rsidRDefault="00C300F2" w:rsidP="00996A3D">
            <w:pPr>
              <w:rPr>
                <w:rFonts w:cs="Calibri"/>
                <w:b/>
                <w:bCs/>
                <w:color w:val="000000" w:themeColor="text1"/>
                <w:sz w:val="12"/>
                <w:szCs w:val="16"/>
              </w:rPr>
            </w:pPr>
            <w:r w:rsidRPr="00977E53">
              <w:rPr>
                <w:rFonts w:cs="Calibri"/>
                <w:b/>
                <w:bCs/>
                <w:color w:val="000000" w:themeColor="text1"/>
                <w:sz w:val="12"/>
                <w:szCs w:val="16"/>
              </w:rPr>
              <w:t xml:space="preserve">ZOBOWIĄZANIA I KAPITAŁY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2904D812" w14:textId="14FE0262" w:rsidR="00C300F2" w:rsidRPr="00977E53" w:rsidRDefault="00FB49C8" w:rsidP="00996A3D">
            <w:pPr>
              <w:jc w:val="right"/>
              <w:rPr>
                <w:rFonts w:cs="Calibri"/>
                <w:b/>
                <w:bCs/>
                <w:color w:val="000000" w:themeColor="text1"/>
                <w:sz w:val="12"/>
                <w:szCs w:val="12"/>
              </w:rPr>
            </w:pPr>
            <w:r w:rsidRPr="00977E53">
              <w:rPr>
                <w:rFonts w:cs="Calibri"/>
                <w:b/>
                <w:bCs/>
                <w:color w:val="000000" w:themeColor="text1"/>
                <w:sz w:val="12"/>
                <w:szCs w:val="12"/>
              </w:rPr>
              <w:t>145 750 119</w:t>
            </w:r>
          </w:p>
        </w:tc>
        <w:tc>
          <w:tcPr>
            <w:tcW w:w="1418" w:type="dxa"/>
            <w:tcBorders>
              <w:top w:val="nil"/>
              <w:left w:val="nil"/>
              <w:bottom w:val="single" w:sz="8" w:space="0" w:color="0077BD"/>
              <w:right w:val="single" w:sz="8" w:space="0" w:color="0077BD"/>
            </w:tcBorders>
            <w:shd w:val="clear" w:color="auto" w:fill="auto"/>
            <w:noWrap/>
            <w:vAlign w:val="center"/>
          </w:tcPr>
          <w:p w14:paraId="39E20055" w14:textId="36D253C1" w:rsidR="00C300F2" w:rsidRPr="00977E53" w:rsidRDefault="002B039A" w:rsidP="002B039A">
            <w:pPr>
              <w:jc w:val="right"/>
              <w:rPr>
                <w:rFonts w:cs="Calibri"/>
                <w:b/>
                <w:bCs/>
                <w:color w:val="000000" w:themeColor="text1"/>
                <w:sz w:val="12"/>
                <w:szCs w:val="12"/>
              </w:rPr>
            </w:pPr>
            <w:r w:rsidRPr="00977E53">
              <w:rPr>
                <w:rFonts w:cs="Calibri"/>
                <w:b/>
                <w:color w:val="000000" w:themeColor="text1"/>
                <w:sz w:val="12"/>
                <w:szCs w:val="12"/>
              </w:rPr>
              <w:t>30</w:t>
            </w:r>
            <w:r w:rsidR="00C300F2" w:rsidRPr="00977E53">
              <w:rPr>
                <w:rFonts w:cs="Calibri"/>
                <w:b/>
                <w:color w:val="000000" w:themeColor="text1"/>
                <w:sz w:val="12"/>
                <w:szCs w:val="12"/>
              </w:rPr>
              <w:t> </w:t>
            </w:r>
            <w:r w:rsidRPr="00977E53">
              <w:rPr>
                <w:rFonts w:cs="Calibri"/>
                <w:b/>
                <w:color w:val="000000" w:themeColor="text1"/>
                <w:sz w:val="12"/>
                <w:szCs w:val="12"/>
              </w:rPr>
              <w:t>439</w:t>
            </w:r>
          </w:p>
        </w:tc>
        <w:tc>
          <w:tcPr>
            <w:tcW w:w="1417" w:type="dxa"/>
            <w:tcBorders>
              <w:top w:val="nil"/>
              <w:left w:val="nil"/>
              <w:bottom w:val="single" w:sz="8" w:space="0" w:color="0077BD"/>
              <w:right w:val="nil"/>
            </w:tcBorders>
            <w:shd w:val="clear" w:color="auto" w:fill="auto"/>
            <w:noWrap/>
            <w:vAlign w:val="center"/>
          </w:tcPr>
          <w:p w14:paraId="2E3395E5" w14:textId="68122C06" w:rsidR="00C300F2" w:rsidRPr="00977E53" w:rsidRDefault="00081F68" w:rsidP="00996A3D">
            <w:pPr>
              <w:jc w:val="right"/>
              <w:rPr>
                <w:rFonts w:cs="Calibri"/>
                <w:b/>
                <w:bCs/>
                <w:color w:val="000000" w:themeColor="text1"/>
                <w:sz w:val="12"/>
                <w:szCs w:val="12"/>
              </w:rPr>
            </w:pPr>
            <w:r w:rsidRPr="00977E53">
              <w:rPr>
                <w:rFonts w:cs="Calibri"/>
                <w:b/>
                <w:bCs/>
                <w:color w:val="000000" w:themeColor="text1"/>
                <w:sz w:val="12"/>
                <w:szCs w:val="12"/>
              </w:rPr>
              <w:t>145 780 558</w:t>
            </w:r>
          </w:p>
        </w:tc>
      </w:tr>
    </w:tbl>
    <w:p w14:paraId="696EA2A9" w14:textId="13E2878F" w:rsidR="005F4AFE" w:rsidRPr="00977E53" w:rsidRDefault="005F4AFE" w:rsidP="00C31BA9">
      <w:pPr>
        <w:suppressAutoHyphens/>
        <w:spacing w:before="120" w:after="120"/>
        <w:jc w:val="both"/>
        <w:rPr>
          <w:rFonts w:cs="Tahoma"/>
          <w:color w:val="000000" w:themeColor="text1"/>
          <w:sz w:val="18"/>
          <w:szCs w:val="18"/>
        </w:rPr>
      </w:pPr>
      <w:r w:rsidRPr="00977E53">
        <w:rPr>
          <w:rFonts w:cs="Tahoma"/>
          <w:color w:val="000000" w:themeColor="text1"/>
          <w:sz w:val="18"/>
          <w:szCs w:val="18"/>
        </w:rPr>
        <w:t>Przekształcenia w skonsolidowanym sprawozdaniu z przepływów pieniężnych</w:t>
      </w:r>
      <w:r w:rsidR="00B06318">
        <w:rPr>
          <w:rFonts w:cs="Tahoma"/>
          <w:color w:val="000000" w:themeColor="text1"/>
          <w:sz w:val="18"/>
          <w:szCs w:val="18"/>
        </w:rPr>
        <w:t xml:space="preserve"> za 2018 rok</w:t>
      </w: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5F4AFE" w:rsidRPr="004D4E5D" w14:paraId="1263BFBF" w14:textId="77777777" w:rsidTr="00EF7126">
        <w:trPr>
          <w:trHeight w:val="794"/>
        </w:trPr>
        <w:tc>
          <w:tcPr>
            <w:tcW w:w="5400" w:type="dxa"/>
            <w:tcBorders>
              <w:top w:val="nil"/>
              <w:left w:val="nil"/>
              <w:right w:val="single" w:sz="8" w:space="0" w:color="FFFFFF"/>
            </w:tcBorders>
            <w:shd w:val="clear" w:color="000000" w:fill="0077BD"/>
            <w:vAlign w:val="center"/>
            <w:hideMark/>
          </w:tcPr>
          <w:p w14:paraId="3D273DD4" w14:textId="77777777" w:rsidR="005F4AFE" w:rsidRPr="004D4E5D" w:rsidRDefault="005F4AFE" w:rsidP="00996A3D">
            <w:pPr>
              <w:rPr>
                <w:rFonts w:cs="Calibri"/>
                <w:b/>
                <w:bCs/>
                <w:color w:val="FFFFFF"/>
                <w:sz w:val="12"/>
                <w:szCs w:val="16"/>
              </w:rPr>
            </w:pPr>
            <w:r w:rsidRPr="004D4E5D">
              <w:rPr>
                <w:rFonts w:cs="Calibri"/>
                <w:b/>
                <w:bCs/>
                <w:color w:val="FFFFFF"/>
                <w:sz w:val="12"/>
                <w:szCs w:val="16"/>
              </w:rPr>
              <w:t> </w:t>
            </w:r>
          </w:p>
        </w:tc>
        <w:tc>
          <w:tcPr>
            <w:tcW w:w="1404" w:type="dxa"/>
            <w:tcBorders>
              <w:top w:val="nil"/>
              <w:left w:val="nil"/>
              <w:right w:val="single" w:sz="8" w:space="0" w:color="FFFFFF"/>
            </w:tcBorders>
            <w:shd w:val="clear" w:color="000000" w:fill="0077BD"/>
            <w:vAlign w:val="center"/>
            <w:hideMark/>
          </w:tcPr>
          <w:p w14:paraId="257BC9A8" w14:textId="77777777" w:rsidR="005F4AFE" w:rsidRPr="004D4E5D" w:rsidRDefault="005F4AFE" w:rsidP="00996A3D">
            <w:pPr>
              <w:jc w:val="right"/>
              <w:rPr>
                <w:rFonts w:cs="Calibri"/>
                <w:b/>
                <w:bCs/>
                <w:color w:val="FFFFFF"/>
                <w:sz w:val="12"/>
                <w:szCs w:val="16"/>
              </w:rPr>
            </w:pPr>
            <w:r w:rsidRPr="004D4E5D">
              <w:rPr>
                <w:rFonts w:cs="Calibri"/>
                <w:b/>
                <w:bCs/>
                <w:color w:val="FFFFFF"/>
                <w:sz w:val="12"/>
                <w:szCs w:val="16"/>
              </w:rPr>
              <w:t xml:space="preserve">Okres  </w:t>
            </w:r>
            <w:r w:rsidRPr="004D4E5D">
              <w:rPr>
                <w:rFonts w:cs="Calibri"/>
                <w:b/>
                <w:bCs/>
                <w:color w:val="FFFFFF"/>
                <w:sz w:val="12"/>
                <w:szCs w:val="16"/>
              </w:rPr>
              <w:br/>
              <w:t xml:space="preserve">od 01.01.2018       </w:t>
            </w:r>
            <w:r w:rsidRPr="004D4E5D">
              <w:rPr>
                <w:rFonts w:cs="Calibri"/>
                <w:b/>
                <w:bCs/>
                <w:color w:val="FFFFFF"/>
                <w:sz w:val="12"/>
                <w:szCs w:val="16"/>
              </w:rPr>
              <w:br/>
              <w:t>do 31.12.2018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18F3EB21" w14:textId="77777777" w:rsidR="005F4AFE" w:rsidRPr="004D4E5D" w:rsidRDefault="005F4AFE" w:rsidP="00996A3D">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60901433" w14:textId="77777777" w:rsidR="005F4AFE" w:rsidRPr="004D4E5D" w:rsidRDefault="005F4AFE" w:rsidP="00996A3D">
            <w:pPr>
              <w:jc w:val="right"/>
              <w:rPr>
                <w:rFonts w:cs="Calibri"/>
                <w:b/>
                <w:bCs/>
                <w:color w:val="FFFFFF"/>
                <w:sz w:val="12"/>
                <w:szCs w:val="16"/>
              </w:rPr>
            </w:pPr>
            <w:r w:rsidRPr="004D4E5D">
              <w:rPr>
                <w:rFonts w:cs="Calibri"/>
                <w:b/>
                <w:bCs/>
                <w:color w:val="FFFFFF"/>
                <w:sz w:val="12"/>
                <w:szCs w:val="16"/>
              </w:rPr>
              <w:t xml:space="preserve">Okres  </w:t>
            </w:r>
            <w:r w:rsidRPr="004D4E5D">
              <w:rPr>
                <w:rFonts w:cs="Calibri"/>
                <w:b/>
                <w:bCs/>
                <w:color w:val="FFFFFF"/>
                <w:sz w:val="12"/>
                <w:szCs w:val="16"/>
              </w:rPr>
              <w:br/>
              <w:t xml:space="preserve">od 01.01.2018       </w:t>
            </w:r>
            <w:r w:rsidRPr="004D4E5D">
              <w:rPr>
                <w:rFonts w:cs="Calibri"/>
                <w:b/>
                <w:bCs/>
                <w:color w:val="FFFFFF"/>
                <w:sz w:val="12"/>
                <w:szCs w:val="16"/>
              </w:rPr>
              <w:br/>
              <w:t>do 31.12.2018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71781" w:rsidRPr="00971781" w14:paraId="3A5CC84E" w14:textId="77777777" w:rsidTr="00971781">
        <w:trPr>
          <w:trHeight w:val="284"/>
        </w:trPr>
        <w:tc>
          <w:tcPr>
            <w:tcW w:w="5400" w:type="dxa"/>
            <w:tcBorders>
              <w:left w:val="nil"/>
              <w:bottom w:val="single" w:sz="8" w:space="0" w:color="0077BD"/>
              <w:right w:val="single" w:sz="8" w:space="0" w:color="0077BD"/>
            </w:tcBorders>
            <w:shd w:val="clear" w:color="auto" w:fill="auto"/>
            <w:noWrap/>
            <w:vAlign w:val="center"/>
            <w:hideMark/>
          </w:tcPr>
          <w:p w14:paraId="17BFC659" w14:textId="0C2C9906" w:rsidR="00971781" w:rsidRPr="00971781" w:rsidRDefault="00971781" w:rsidP="00971781">
            <w:pPr>
              <w:rPr>
                <w:rFonts w:cs="Calibri"/>
                <w:b/>
                <w:bCs/>
                <w:color w:val="000000" w:themeColor="text1"/>
                <w:sz w:val="12"/>
                <w:szCs w:val="16"/>
              </w:rPr>
            </w:pPr>
            <w:r w:rsidRPr="00971781">
              <w:rPr>
                <w:rFonts w:cs="Calibri"/>
                <w:b/>
                <w:bCs/>
                <w:color w:val="000000" w:themeColor="text1"/>
                <w:sz w:val="12"/>
                <w:szCs w:val="16"/>
              </w:rPr>
              <w:t>Zysk przed opodatkowaniem</w:t>
            </w:r>
          </w:p>
        </w:tc>
        <w:tc>
          <w:tcPr>
            <w:tcW w:w="1404" w:type="dxa"/>
            <w:tcBorders>
              <w:left w:val="single" w:sz="8" w:space="0" w:color="0077BD"/>
              <w:bottom w:val="single" w:sz="8" w:space="0" w:color="0077BD"/>
              <w:right w:val="single" w:sz="8" w:space="0" w:color="0077BD"/>
            </w:tcBorders>
            <w:shd w:val="clear" w:color="auto" w:fill="auto"/>
            <w:noWrap/>
            <w:vAlign w:val="center"/>
          </w:tcPr>
          <w:p w14:paraId="33291482" w14:textId="54E4C6C0" w:rsidR="00971781" w:rsidRPr="00971781" w:rsidRDefault="00971781" w:rsidP="00971781">
            <w:pPr>
              <w:jc w:val="right"/>
              <w:rPr>
                <w:rFonts w:cs="Calibri"/>
                <w:b/>
                <w:bCs/>
                <w:color w:val="000000" w:themeColor="text1"/>
                <w:sz w:val="12"/>
                <w:szCs w:val="12"/>
              </w:rPr>
            </w:pPr>
            <w:r w:rsidRPr="00971781">
              <w:rPr>
                <w:b/>
                <w:sz w:val="12"/>
                <w:szCs w:val="12"/>
              </w:rPr>
              <w:t>1 800 314</w:t>
            </w:r>
          </w:p>
        </w:tc>
        <w:tc>
          <w:tcPr>
            <w:tcW w:w="1418" w:type="dxa"/>
            <w:tcBorders>
              <w:left w:val="nil"/>
              <w:bottom w:val="single" w:sz="8" w:space="0" w:color="0077BD"/>
              <w:right w:val="single" w:sz="8" w:space="0" w:color="0077BD"/>
            </w:tcBorders>
            <w:shd w:val="clear" w:color="auto" w:fill="auto"/>
            <w:noWrap/>
            <w:vAlign w:val="center"/>
          </w:tcPr>
          <w:p w14:paraId="4A048057" w14:textId="7039398C" w:rsidR="00971781" w:rsidRPr="00971781" w:rsidRDefault="00971781" w:rsidP="00971781">
            <w:pPr>
              <w:jc w:val="right"/>
              <w:rPr>
                <w:rFonts w:cs="Calibri"/>
                <w:b/>
                <w:bCs/>
                <w:color w:val="000000" w:themeColor="text1"/>
                <w:sz w:val="12"/>
                <w:szCs w:val="12"/>
              </w:rPr>
            </w:pPr>
            <w:r w:rsidRPr="00971781">
              <w:rPr>
                <w:b/>
                <w:sz w:val="12"/>
                <w:szCs w:val="12"/>
              </w:rPr>
              <w:t>(13 665)</w:t>
            </w:r>
          </w:p>
        </w:tc>
        <w:tc>
          <w:tcPr>
            <w:tcW w:w="1417" w:type="dxa"/>
            <w:tcBorders>
              <w:left w:val="nil"/>
              <w:bottom w:val="single" w:sz="8" w:space="0" w:color="0077BD"/>
              <w:right w:val="nil"/>
            </w:tcBorders>
            <w:shd w:val="clear" w:color="auto" w:fill="auto"/>
            <w:noWrap/>
            <w:vAlign w:val="center"/>
          </w:tcPr>
          <w:p w14:paraId="29BC5D87" w14:textId="64FF83BB" w:rsidR="00971781" w:rsidRPr="00971781" w:rsidRDefault="00971781" w:rsidP="00971781">
            <w:pPr>
              <w:jc w:val="right"/>
              <w:rPr>
                <w:rFonts w:cs="Calibri"/>
                <w:b/>
                <w:bCs/>
                <w:color w:val="000000" w:themeColor="text1"/>
                <w:sz w:val="12"/>
                <w:szCs w:val="12"/>
              </w:rPr>
            </w:pPr>
            <w:r w:rsidRPr="00971781">
              <w:rPr>
                <w:b/>
                <w:sz w:val="12"/>
                <w:szCs w:val="12"/>
              </w:rPr>
              <w:t>1 786 649</w:t>
            </w:r>
          </w:p>
        </w:tc>
      </w:tr>
      <w:tr w:rsidR="00971781" w:rsidRPr="00971781" w14:paraId="56D8122D" w14:textId="77777777" w:rsidTr="00971781">
        <w:trPr>
          <w:trHeight w:val="284"/>
        </w:trPr>
        <w:tc>
          <w:tcPr>
            <w:tcW w:w="5400" w:type="dxa"/>
            <w:tcBorders>
              <w:top w:val="single" w:sz="8" w:space="0" w:color="0077BD"/>
              <w:left w:val="nil"/>
              <w:bottom w:val="single" w:sz="8" w:space="0" w:color="0077BD"/>
              <w:right w:val="single" w:sz="8" w:space="0" w:color="0077BD"/>
            </w:tcBorders>
            <w:shd w:val="clear" w:color="auto" w:fill="auto"/>
            <w:vAlign w:val="center"/>
            <w:hideMark/>
          </w:tcPr>
          <w:p w14:paraId="147D1E06" w14:textId="75A285CE" w:rsidR="00971781" w:rsidRPr="00971781" w:rsidRDefault="00971781" w:rsidP="00971781">
            <w:pPr>
              <w:rPr>
                <w:rFonts w:cs="Calibri"/>
                <w:b/>
                <w:color w:val="000000" w:themeColor="text1"/>
                <w:sz w:val="12"/>
                <w:szCs w:val="16"/>
              </w:rPr>
            </w:pPr>
            <w:r w:rsidRPr="00971781">
              <w:rPr>
                <w:rFonts w:cs="Calibri"/>
                <w:b/>
                <w:color w:val="000000" w:themeColor="text1"/>
                <w:sz w:val="12"/>
                <w:szCs w:val="16"/>
              </w:rPr>
              <w:t>Korekty, w tym:</w:t>
            </w:r>
          </w:p>
        </w:tc>
        <w:tc>
          <w:tcPr>
            <w:tcW w:w="140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EF57CCF" w14:textId="3C4B7BE3" w:rsidR="00971781" w:rsidRPr="00971781" w:rsidRDefault="00147825" w:rsidP="00971781">
            <w:pPr>
              <w:jc w:val="right"/>
              <w:rPr>
                <w:rFonts w:cs="Calibri"/>
                <w:b/>
                <w:color w:val="000000" w:themeColor="text1"/>
                <w:sz w:val="12"/>
                <w:szCs w:val="12"/>
              </w:rPr>
            </w:pPr>
            <w:r>
              <w:rPr>
                <w:b/>
                <w:sz w:val="12"/>
                <w:szCs w:val="12"/>
              </w:rPr>
              <w:t>(</w:t>
            </w:r>
            <w:r w:rsidR="00F31A06">
              <w:rPr>
                <w:b/>
                <w:sz w:val="12"/>
                <w:szCs w:val="12"/>
              </w:rPr>
              <w:t>667</w:t>
            </w:r>
            <w:r>
              <w:rPr>
                <w:b/>
                <w:sz w:val="12"/>
                <w:szCs w:val="12"/>
              </w:rPr>
              <w:t> </w:t>
            </w:r>
            <w:r w:rsidR="00F31A06">
              <w:rPr>
                <w:b/>
                <w:sz w:val="12"/>
                <w:szCs w:val="12"/>
              </w:rPr>
              <w:t>57</w:t>
            </w:r>
            <w:r w:rsidR="00971781" w:rsidRPr="00971781">
              <w:rPr>
                <w:b/>
                <w:sz w:val="12"/>
                <w:szCs w:val="12"/>
              </w:rPr>
              <w:t>4</w:t>
            </w:r>
            <w:r>
              <w:rPr>
                <w:b/>
                <w:sz w:val="12"/>
                <w:szCs w:val="12"/>
              </w:rPr>
              <w:t>)</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AC1E69E" w14:textId="698D481A" w:rsidR="00971781" w:rsidRPr="00971781" w:rsidRDefault="00971781" w:rsidP="00971781">
            <w:pPr>
              <w:jc w:val="right"/>
              <w:rPr>
                <w:rFonts w:cs="Calibri"/>
                <w:b/>
                <w:color w:val="000000" w:themeColor="text1"/>
                <w:sz w:val="12"/>
                <w:szCs w:val="12"/>
              </w:rPr>
            </w:pPr>
            <w:r w:rsidRPr="00971781">
              <w:rPr>
                <w:b/>
                <w:sz w:val="12"/>
                <w:szCs w:val="12"/>
              </w:rPr>
              <w:t>13 665</w:t>
            </w:r>
          </w:p>
        </w:tc>
        <w:tc>
          <w:tcPr>
            <w:tcW w:w="1417" w:type="dxa"/>
            <w:tcBorders>
              <w:top w:val="single" w:sz="8" w:space="0" w:color="0077BD"/>
              <w:left w:val="nil"/>
              <w:bottom w:val="single" w:sz="8" w:space="0" w:color="0077BD"/>
              <w:right w:val="nil"/>
            </w:tcBorders>
            <w:shd w:val="clear" w:color="auto" w:fill="auto"/>
            <w:noWrap/>
            <w:vAlign w:val="center"/>
          </w:tcPr>
          <w:p w14:paraId="0BB917F0" w14:textId="39DF5F73" w:rsidR="00971781" w:rsidRPr="00971781" w:rsidRDefault="00147825" w:rsidP="00147825">
            <w:pPr>
              <w:jc w:val="right"/>
              <w:rPr>
                <w:rFonts w:cs="Calibri"/>
                <w:b/>
                <w:color w:val="000000" w:themeColor="text1"/>
                <w:sz w:val="12"/>
                <w:szCs w:val="12"/>
              </w:rPr>
            </w:pPr>
            <w:r>
              <w:rPr>
                <w:b/>
                <w:sz w:val="12"/>
                <w:szCs w:val="12"/>
              </w:rPr>
              <w:t>(653 909)</w:t>
            </w:r>
          </w:p>
        </w:tc>
      </w:tr>
      <w:tr w:rsidR="00971781" w:rsidRPr="00971781" w14:paraId="25C690A3" w14:textId="77777777" w:rsidTr="00DF65FA">
        <w:trPr>
          <w:trHeight w:val="340"/>
        </w:trPr>
        <w:tc>
          <w:tcPr>
            <w:tcW w:w="5400" w:type="dxa"/>
            <w:tcBorders>
              <w:top w:val="single" w:sz="8" w:space="0" w:color="0077BD"/>
              <w:left w:val="nil"/>
              <w:bottom w:val="single" w:sz="4" w:space="0" w:color="0077BD"/>
              <w:right w:val="single" w:sz="8" w:space="0" w:color="0077BD"/>
            </w:tcBorders>
            <w:shd w:val="clear" w:color="auto" w:fill="auto"/>
            <w:vAlign w:val="center"/>
          </w:tcPr>
          <w:p w14:paraId="3A3E26D5" w14:textId="17B776E6" w:rsidR="00971781" w:rsidRPr="00971781" w:rsidRDefault="00971781" w:rsidP="00971781">
            <w:pPr>
              <w:rPr>
                <w:rFonts w:cs="Calibri"/>
                <w:color w:val="000000" w:themeColor="text1"/>
                <w:sz w:val="12"/>
                <w:szCs w:val="12"/>
              </w:rPr>
            </w:pPr>
            <w:r w:rsidRPr="00971781">
              <w:rPr>
                <w:color w:val="000000" w:themeColor="text1"/>
                <w:sz w:val="12"/>
                <w:szCs w:val="12"/>
              </w:rPr>
              <w:t>Zmiana stanu aktywów i zobowiązań finansowych przeznaczonych do obrotu oraz pochodnych instrumentów zabezpieczających</w:t>
            </w:r>
          </w:p>
        </w:tc>
        <w:tc>
          <w:tcPr>
            <w:tcW w:w="1404"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7D649516" w14:textId="00F3D626" w:rsidR="00971781" w:rsidRPr="00971781" w:rsidRDefault="00971781" w:rsidP="00971781">
            <w:pPr>
              <w:jc w:val="right"/>
              <w:rPr>
                <w:rFonts w:cs="Calibri"/>
                <w:color w:val="000000" w:themeColor="text1"/>
                <w:sz w:val="12"/>
                <w:szCs w:val="12"/>
              </w:rPr>
            </w:pPr>
            <w:r w:rsidRPr="00971781">
              <w:rPr>
                <w:sz w:val="12"/>
                <w:szCs w:val="12"/>
              </w:rPr>
              <w:t>285 463</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16B879C9" w14:textId="1C2F3C12" w:rsidR="00971781" w:rsidRPr="00971781" w:rsidRDefault="00971781" w:rsidP="00971781">
            <w:pPr>
              <w:jc w:val="right"/>
              <w:rPr>
                <w:rFonts w:cs="Calibri"/>
                <w:color w:val="000000" w:themeColor="text1"/>
                <w:sz w:val="12"/>
                <w:szCs w:val="12"/>
              </w:rPr>
            </w:pPr>
            <w:r w:rsidRPr="00971781">
              <w:rPr>
                <w:sz w:val="12"/>
                <w:szCs w:val="12"/>
              </w:rPr>
              <w:t>(292 775)</w:t>
            </w:r>
          </w:p>
        </w:tc>
        <w:tc>
          <w:tcPr>
            <w:tcW w:w="1417" w:type="dxa"/>
            <w:tcBorders>
              <w:top w:val="single" w:sz="8" w:space="0" w:color="0077BD"/>
              <w:left w:val="nil"/>
              <w:bottom w:val="single" w:sz="4" w:space="0" w:color="0077BD"/>
              <w:right w:val="nil"/>
            </w:tcBorders>
            <w:shd w:val="clear" w:color="auto" w:fill="auto"/>
            <w:noWrap/>
            <w:vAlign w:val="center"/>
          </w:tcPr>
          <w:p w14:paraId="3E24D32F" w14:textId="7F5D8BD7" w:rsidR="00971781" w:rsidRPr="00971781" w:rsidRDefault="00971781" w:rsidP="00971781">
            <w:pPr>
              <w:jc w:val="right"/>
              <w:rPr>
                <w:rFonts w:cs="Calibri"/>
                <w:color w:val="000000" w:themeColor="text1"/>
                <w:sz w:val="12"/>
                <w:szCs w:val="12"/>
              </w:rPr>
            </w:pPr>
            <w:r w:rsidRPr="00971781">
              <w:rPr>
                <w:sz w:val="12"/>
                <w:szCs w:val="12"/>
              </w:rPr>
              <w:t>(7 312)</w:t>
            </w:r>
          </w:p>
        </w:tc>
      </w:tr>
      <w:tr w:rsidR="00971781" w:rsidRPr="00971781" w14:paraId="44A6870C" w14:textId="77777777" w:rsidTr="00971781">
        <w:trPr>
          <w:trHeight w:val="284"/>
        </w:trPr>
        <w:tc>
          <w:tcPr>
            <w:tcW w:w="5400" w:type="dxa"/>
            <w:tcBorders>
              <w:top w:val="single" w:sz="4" w:space="0" w:color="0077BD"/>
              <w:left w:val="nil"/>
              <w:bottom w:val="single" w:sz="4" w:space="0" w:color="0077BD"/>
              <w:right w:val="single" w:sz="8" w:space="0" w:color="0077BD"/>
            </w:tcBorders>
            <w:shd w:val="clear" w:color="auto" w:fill="auto"/>
            <w:vAlign w:val="center"/>
          </w:tcPr>
          <w:p w14:paraId="172B5D12" w14:textId="02426251" w:rsidR="00971781" w:rsidRPr="00971781" w:rsidRDefault="00971781" w:rsidP="00971781">
            <w:pPr>
              <w:rPr>
                <w:color w:val="000000" w:themeColor="text1"/>
                <w:sz w:val="12"/>
                <w:szCs w:val="12"/>
              </w:rPr>
            </w:pPr>
            <w:r w:rsidRPr="00971781">
              <w:rPr>
                <w:color w:val="000000" w:themeColor="text1"/>
                <w:sz w:val="12"/>
                <w:szCs w:val="12"/>
              </w:rPr>
              <w:t>Zmiana stanu pożyczek i kredytów udzielonych klientom</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59E4CC2" w14:textId="72F32562" w:rsidR="00971781" w:rsidRPr="00971781" w:rsidRDefault="00971781" w:rsidP="00971781">
            <w:pPr>
              <w:jc w:val="right"/>
              <w:rPr>
                <w:rFonts w:cs="Calibri"/>
                <w:color w:val="000000" w:themeColor="text1"/>
                <w:sz w:val="12"/>
                <w:szCs w:val="12"/>
              </w:rPr>
            </w:pPr>
            <w:r w:rsidRPr="00971781">
              <w:rPr>
                <w:sz w:val="12"/>
                <w:szCs w:val="12"/>
              </w:rPr>
              <w:t>(10 666 659)</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4F3AAC8" w14:textId="6A0F22F7" w:rsidR="00971781" w:rsidRPr="00971781" w:rsidRDefault="00971781" w:rsidP="00971781">
            <w:pPr>
              <w:jc w:val="right"/>
              <w:rPr>
                <w:color w:val="000000" w:themeColor="text1"/>
                <w:sz w:val="12"/>
                <w:szCs w:val="12"/>
              </w:rPr>
            </w:pPr>
            <w:r w:rsidRPr="00971781">
              <w:rPr>
                <w:sz w:val="12"/>
                <w:szCs w:val="12"/>
              </w:rPr>
              <w:t>385 954</w:t>
            </w:r>
          </w:p>
        </w:tc>
        <w:tc>
          <w:tcPr>
            <w:tcW w:w="1417" w:type="dxa"/>
            <w:tcBorders>
              <w:top w:val="single" w:sz="4" w:space="0" w:color="0077BD"/>
              <w:left w:val="nil"/>
              <w:bottom w:val="single" w:sz="4" w:space="0" w:color="0077BD"/>
              <w:right w:val="nil"/>
            </w:tcBorders>
            <w:shd w:val="clear" w:color="auto" w:fill="auto"/>
            <w:noWrap/>
            <w:vAlign w:val="center"/>
          </w:tcPr>
          <w:p w14:paraId="22EBA1AF" w14:textId="61BD3CF6" w:rsidR="00971781" w:rsidRPr="00971781" w:rsidRDefault="00971781" w:rsidP="00971781">
            <w:pPr>
              <w:jc w:val="right"/>
              <w:rPr>
                <w:rFonts w:cs="Calibri"/>
                <w:color w:val="000000" w:themeColor="text1"/>
                <w:sz w:val="12"/>
                <w:szCs w:val="12"/>
              </w:rPr>
            </w:pPr>
            <w:r w:rsidRPr="00971781">
              <w:rPr>
                <w:sz w:val="12"/>
                <w:szCs w:val="12"/>
              </w:rPr>
              <w:t>(10 280 705)</w:t>
            </w:r>
          </w:p>
        </w:tc>
      </w:tr>
      <w:tr w:rsidR="00971781" w:rsidRPr="00971781" w14:paraId="7921CBBD" w14:textId="77777777" w:rsidTr="00971781">
        <w:trPr>
          <w:trHeight w:val="284"/>
        </w:trPr>
        <w:tc>
          <w:tcPr>
            <w:tcW w:w="5400" w:type="dxa"/>
            <w:tcBorders>
              <w:top w:val="single" w:sz="4" w:space="0" w:color="0077BD"/>
              <w:left w:val="nil"/>
              <w:bottom w:val="single" w:sz="4" w:space="0" w:color="0077BD"/>
              <w:right w:val="single" w:sz="8" w:space="0" w:color="0077BD"/>
            </w:tcBorders>
            <w:shd w:val="clear" w:color="auto" w:fill="auto"/>
            <w:noWrap/>
            <w:vAlign w:val="center"/>
            <w:hideMark/>
          </w:tcPr>
          <w:p w14:paraId="4DA77988" w14:textId="06DC8A29" w:rsidR="00971781" w:rsidRPr="00971781" w:rsidRDefault="00971781" w:rsidP="00971781">
            <w:pPr>
              <w:rPr>
                <w:rFonts w:cs="Calibri"/>
                <w:bCs/>
                <w:color w:val="000000" w:themeColor="text1"/>
                <w:sz w:val="12"/>
                <w:szCs w:val="12"/>
              </w:rPr>
            </w:pPr>
            <w:r w:rsidRPr="00971781">
              <w:rPr>
                <w:color w:val="000000" w:themeColor="text1"/>
                <w:sz w:val="12"/>
                <w:szCs w:val="12"/>
              </w:rPr>
              <w:t>Zmiana stanu zobowiązań wobec banków</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CEE38B7" w14:textId="1927C0A3" w:rsidR="00971781" w:rsidRPr="00971781" w:rsidRDefault="00971781" w:rsidP="00971781">
            <w:pPr>
              <w:jc w:val="right"/>
              <w:rPr>
                <w:rFonts w:cs="Calibri"/>
                <w:bCs/>
                <w:color w:val="000000" w:themeColor="text1"/>
                <w:sz w:val="12"/>
                <w:szCs w:val="12"/>
              </w:rPr>
            </w:pPr>
            <w:r w:rsidRPr="00971781">
              <w:rPr>
                <w:sz w:val="12"/>
                <w:szCs w:val="12"/>
              </w:rPr>
              <w:t>605 550</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A0283F2" w14:textId="55A6FD76" w:rsidR="00971781" w:rsidRPr="00971781" w:rsidRDefault="00971781" w:rsidP="00971781">
            <w:pPr>
              <w:jc w:val="right"/>
              <w:rPr>
                <w:rFonts w:cs="Calibri"/>
                <w:bCs/>
                <w:color w:val="000000" w:themeColor="text1"/>
                <w:sz w:val="12"/>
                <w:szCs w:val="12"/>
              </w:rPr>
            </w:pPr>
            <w:r w:rsidRPr="00971781">
              <w:rPr>
                <w:sz w:val="12"/>
                <w:szCs w:val="12"/>
              </w:rPr>
              <w:t>30 439</w:t>
            </w:r>
          </w:p>
        </w:tc>
        <w:tc>
          <w:tcPr>
            <w:tcW w:w="1417" w:type="dxa"/>
            <w:tcBorders>
              <w:top w:val="single" w:sz="4" w:space="0" w:color="0077BD"/>
              <w:left w:val="nil"/>
              <w:bottom w:val="single" w:sz="4" w:space="0" w:color="0077BD"/>
              <w:right w:val="nil"/>
            </w:tcBorders>
            <w:shd w:val="clear" w:color="auto" w:fill="auto"/>
            <w:noWrap/>
            <w:vAlign w:val="center"/>
          </w:tcPr>
          <w:p w14:paraId="5D8CAEFB" w14:textId="492420A0" w:rsidR="00971781" w:rsidRPr="00971781" w:rsidRDefault="00971781" w:rsidP="00971781">
            <w:pPr>
              <w:jc w:val="right"/>
              <w:rPr>
                <w:rFonts w:cs="Calibri"/>
                <w:bCs/>
                <w:color w:val="000000" w:themeColor="text1"/>
                <w:sz w:val="12"/>
                <w:szCs w:val="12"/>
              </w:rPr>
            </w:pPr>
            <w:r w:rsidRPr="00971781">
              <w:rPr>
                <w:sz w:val="12"/>
                <w:szCs w:val="12"/>
              </w:rPr>
              <w:t>635 989</w:t>
            </w:r>
          </w:p>
        </w:tc>
      </w:tr>
      <w:tr w:rsidR="00971781" w:rsidRPr="00971781" w14:paraId="12357B12" w14:textId="77777777" w:rsidTr="00971781">
        <w:trPr>
          <w:trHeight w:val="284"/>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26B6CA0D" w14:textId="05F29E0F" w:rsidR="00971781" w:rsidRPr="00971781" w:rsidRDefault="00971781" w:rsidP="00971781">
            <w:pPr>
              <w:rPr>
                <w:color w:val="000000" w:themeColor="text1"/>
                <w:sz w:val="12"/>
                <w:szCs w:val="12"/>
              </w:rPr>
            </w:pPr>
            <w:r w:rsidRPr="00971781">
              <w:rPr>
                <w:color w:val="000000" w:themeColor="text1"/>
                <w:sz w:val="12"/>
                <w:szCs w:val="12"/>
              </w:rPr>
              <w:t>Zmiana stanu zobowiązań wobec klientów</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D722532" w14:textId="66D09FB0" w:rsidR="00971781" w:rsidRPr="00971781" w:rsidRDefault="00971781" w:rsidP="00971781">
            <w:pPr>
              <w:jc w:val="right"/>
              <w:rPr>
                <w:rFonts w:cs="Calibri"/>
                <w:bCs/>
                <w:color w:val="000000" w:themeColor="text1"/>
                <w:sz w:val="12"/>
                <w:szCs w:val="12"/>
              </w:rPr>
            </w:pPr>
            <w:r w:rsidRPr="00971781">
              <w:rPr>
                <w:sz w:val="12"/>
                <w:szCs w:val="12"/>
              </w:rPr>
              <w:t>11 588 570</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F09CC27" w14:textId="3090B099" w:rsidR="00971781" w:rsidRPr="00971781" w:rsidRDefault="00971781" w:rsidP="00971781">
            <w:pPr>
              <w:jc w:val="right"/>
              <w:rPr>
                <w:color w:val="000000" w:themeColor="text1"/>
                <w:sz w:val="12"/>
                <w:szCs w:val="12"/>
              </w:rPr>
            </w:pPr>
            <w:r w:rsidRPr="00971781">
              <w:rPr>
                <w:sz w:val="12"/>
                <w:szCs w:val="12"/>
              </w:rPr>
              <w:t>(123 618)</w:t>
            </w:r>
          </w:p>
        </w:tc>
        <w:tc>
          <w:tcPr>
            <w:tcW w:w="1417" w:type="dxa"/>
            <w:tcBorders>
              <w:top w:val="single" w:sz="4" w:space="0" w:color="0077BD"/>
              <w:left w:val="nil"/>
              <w:bottom w:val="single" w:sz="4" w:space="0" w:color="0077BD"/>
              <w:right w:val="nil"/>
            </w:tcBorders>
            <w:shd w:val="clear" w:color="auto" w:fill="auto"/>
            <w:noWrap/>
            <w:vAlign w:val="center"/>
          </w:tcPr>
          <w:p w14:paraId="25E9B79B" w14:textId="39D39E8C" w:rsidR="00971781" w:rsidRPr="00971781" w:rsidRDefault="00971781" w:rsidP="00971781">
            <w:pPr>
              <w:jc w:val="right"/>
              <w:rPr>
                <w:rFonts w:cs="Calibri"/>
                <w:bCs/>
                <w:color w:val="000000" w:themeColor="text1"/>
                <w:sz w:val="12"/>
                <w:szCs w:val="12"/>
              </w:rPr>
            </w:pPr>
            <w:r w:rsidRPr="00971781">
              <w:rPr>
                <w:sz w:val="12"/>
                <w:szCs w:val="12"/>
              </w:rPr>
              <w:t>11 464 952</w:t>
            </w:r>
          </w:p>
        </w:tc>
      </w:tr>
      <w:tr w:rsidR="00971781" w:rsidRPr="00971781" w14:paraId="5074B333" w14:textId="77777777" w:rsidTr="00971781">
        <w:trPr>
          <w:trHeight w:val="284"/>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20921BD5" w14:textId="2EA993B5" w:rsidR="00971781" w:rsidRPr="00971781" w:rsidRDefault="00971781" w:rsidP="00971781">
            <w:pPr>
              <w:rPr>
                <w:rFonts w:cs="Calibri"/>
                <w:bCs/>
                <w:color w:val="000000" w:themeColor="text1"/>
                <w:sz w:val="12"/>
                <w:szCs w:val="12"/>
              </w:rPr>
            </w:pPr>
            <w:r w:rsidRPr="00971781">
              <w:rPr>
                <w:color w:val="000000" w:themeColor="text1"/>
                <w:sz w:val="12"/>
                <w:szCs w:val="12"/>
              </w:rPr>
              <w:t>Zmiana stanu innych zobowiązań</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0426BC2" w14:textId="7DBCF8F8" w:rsidR="00971781" w:rsidRPr="00971781" w:rsidRDefault="00971781" w:rsidP="00971781">
            <w:pPr>
              <w:jc w:val="right"/>
              <w:rPr>
                <w:rFonts w:cs="Calibri"/>
                <w:bCs/>
                <w:color w:val="000000" w:themeColor="text1"/>
                <w:sz w:val="12"/>
                <w:szCs w:val="12"/>
              </w:rPr>
            </w:pPr>
            <w:r w:rsidRPr="00971781">
              <w:rPr>
                <w:sz w:val="12"/>
                <w:szCs w:val="12"/>
              </w:rPr>
              <w:t>763 860</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F2CBFDA" w14:textId="2FE2335D" w:rsidR="00971781" w:rsidRPr="00971781" w:rsidRDefault="00971781" w:rsidP="00971781">
            <w:pPr>
              <w:jc w:val="right"/>
              <w:rPr>
                <w:rFonts w:cs="Calibri"/>
                <w:color w:val="000000" w:themeColor="text1"/>
                <w:sz w:val="12"/>
                <w:szCs w:val="12"/>
              </w:rPr>
            </w:pPr>
            <w:r w:rsidRPr="00971781">
              <w:rPr>
                <w:sz w:val="12"/>
                <w:szCs w:val="12"/>
              </w:rPr>
              <w:t>13 665</w:t>
            </w:r>
          </w:p>
        </w:tc>
        <w:tc>
          <w:tcPr>
            <w:tcW w:w="1417" w:type="dxa"/>
            <w:tcBorders>
              <w:top w:val="single" w:sz="4" w:space="0" w:color="0077BD"/>
              <w:left w:val="nil"/>
              <w:bottom w:val="single" w:sz="4" w:space="0" w:color="0077BD"/>
              <w:right w:val="nil"/>
            </w:tcBorders>
            <w:shd w:val="clear" w:color="auto" w:fill="auto"/>
            <w:noWrap/>
            <w:vAlign w:val="center"/>
          </w:tcPr>
          <w:p w14:paraId="62C8E7E2" w14:textId="12BA7E84" w:rsidR="00971781" w:rsidRPr="00971781" w:rsidRDefault="00971781" w:rsidP="00971781">
            <w:pPr>
              <w:jc w:val="right"/>
              <w:rPr>
                <w:rFonts w:cs="Calibri"/>
                <w:bCs/>
                <w:color w:val="000000" w:themeColor="text1"/>
                <w:sz w:val="12"/>
                <w:szCs w:val="12"/>
              </w:rPr>
            </w:pPr>
            <w:r w:rsidRPr="00971781">
              <w:rPr>
                <w:sz w:val="12"/>
                <w:szCs w:val="12"/>
              </w:rPr>
              <w:t>777 525</w:t>
            </w:r>
          </w:p>
        </w:tc>
      </w:tr>
      <w:tr w:rsidR="00971781" w:rsidRPr="00971781" w14:paraId="507C80D1" w14:textId="77777777" w:rsidTr="00971781">
        <w:trPr>
          <w:trHeight w:val="284"/>
        </w:trPr>
        <w:tc>
          <w:tcPr>
            <w:tcW w:w="5400" w:type="dxa"/>
            <w:tcBorders>
              <w:top w:val="single" w:sz="4" w:space="0" w:color="0077BD"/>
              <w:left w:val="nil"/>
              <w:bottom w:val="single" w:sz="8" w:space="0" w:color="0077BD"/>
              <w:right w:val="single" w:sz="8" w:space="0" w:color="0077BD"/>
            </w:tcBorders>
            <w:shd w:val="clear" w:color="auto" w:fill="auto"/>
            <w:noWrap/>
            <w:vAlign w:val="center"/>
            <w:hideMark/>
          </w:tcPr>
          <w:p w14:paraId="280B8D29" w14:textId="676D4E5B" w:rsidR="00971781" w:rsidRPr="00971781" w:rsidRDefault="00971781" w:rsidP="00971781">
            <w:pPr>
              <w:rPr>
                <w:rFonts w:cs="Calibri"/>
                <w:bCs/>
                <w:color w:val="000000" w:themeColor="text1"/>
                <w:sz w:val="12"/>
                <w:szCs w:val="12"/>
              </w:rPr>
            </w:pPr>
            <w:r w:rsidRPr="00971781">
              <w:rPr>
                <w:color w:val="000000" w:themeColor="text1"/>
                <w:sz w:val="12"/>
                <w:szCs w:val="12"/>
              </w:rPr>
              <w:t>Pozostałe korekty</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5E332B5E" w14:textId="67E0E8EC" w:rsidR="00971781" w:rsidRPr="00971781" w:rsidRDefault="00147825" w:rsidP="00971781">
            <w:pPr>
              <w:jc w:val="right"/>
              <w:rPr>
                <w:rFonts w:cs="Calibri"/>
                <w:bCs/>
                <w:color w:val="000000" w:themeColor="text1"/>
                <w:sz w:val="12"/>
                <w:szCs w:val="12"/>
              </w:rPr>
            </w:pPr>
            <w:r>
              <w:rPr>
                <w:rFonts w:cs="Calibri"/>
                <w:bCs/>
                <w:color w:val="000000" w:themeColor="text1"/>
                <w:sz w:val="12"/>
                <w:szCs w:val="12"/>
              </w:rPr>
              <w:t>(3 244 358)</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6C13AE4E" w14:textId="511D9C18" w:rsidR="00971781" w:rsidRPr="00971781" w:rsidRDefault="00971781" w:rsidP="00971781">
            <w:pPr>
              <w:jc w:val="right"/>
              <w:rPr>
                <w:rFonts w:cs="Calibri"/>
                <w:bCs/>
                <w:color w:val="000000" w:themeColor="text1"/>
                <w:sz w:val="12"/>
                <w:szCs w:val="12"/>
              </w:rPr>
            </w:pPr>
            <w:r w:rsidRPr="00971781">
              <w:rPr>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4A12DB86" w14:textId="521178D4" w:rsidR="00971781" w:rsidRPr="00971781" w:rsidRDefault="00147825" w:rsidP="003E5E63">
            <w:pPr>
              <w:jc w:val="right"/>
              <w:rPr>
                <w:rFonts w:cs="Calibri"/>
                <w:bCs/>
                <w:color w:val="000000" w:themeColor="text1"/>
                <w:sz w:val="12"/>
                <w:szCs w:val="12"/>
              </w:rPr>
            </w:pPr>
            <w:r>
              <w:rPr>
                <w:rFonts w:cs="Calibri"/>
                <w:bCs/>
                <w:color w:val="000000" w:themeColor="text1"/>
                <w:sz w:val="12"/>
                <w:szCs w:val="12"/>
              </w:rPr>
              <w:t>(3 244 358)</w:t>
            </w:r>
          </w:p>
        </w:tc>
      </w:tr>
      <w:tr w:rsidR="00971781" w:rsidRPr="00971781" w14:paraId="53C35517" w14:textId="77777777" w:rsidTr="00971781">
        <w:trPr>
          <w:trHeight w:val="284"/>
        </w:trPr>
        <w:tc>
          <w:tcPr>
            <w:tcW w:w="5400" w:type="dxa"/>
            <w:tcBorders>
              <w:top w:val="single" w:sz="8" w:space="0" w:color="0077BD"/>
              <w:bottom w:val="single" w:sz="8" w:space="0" w:color="0077BD"/>
              <w:right w:val="single" w:sz="8" w:space="0" w:color="0077BD"/>
            </w:tcBorders>
            <w:shd w:val="clear" w:color="auto" w:fill="auto"/>
            <w:noWrap/>
            <w:vAlign w:val="center"/>
            <w:hideMark/>
          </w:tcPr>
          <w:p w14:paraId="5366A34C" w14:textId="0055DCEA" w:rsidR="00971781" w:rsidRPr="00971781" w:rsidRDefault="00971781" w:rsidP="00971781">
            <w:pPr>
              <w:rPr>
                <w:rFonts w:cs="Calibri"/>
                <w:b/>
                <w:color w:val="000000" w:themeColor="text1"/>
                <w:sz w:val="12"/>
                <w:szCs w:val="12"/>
              </w:rPr>
            </w:pPr>
            <w:r w:rsidRPr="00971781">
              <w:rPr>
                <w:b/>
                <w:color w:val="000000" w:themeColor="text1"/>
                <w:sz w:val="12"/>
                <w:szCs w:val="12"/>
              </w:rPr>
              <w:t>A. Przepływy środków pieniężnych z działalności operacyjnej</w:t>
            </w:r>
          </w:p>
        </w:tc>
        <w:tc>
          <w:tcPr>
            <w:tcW w:w="140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3937E7E" w14:textId="04F4CCB1" w:rsidR="00971781" w:rsidRPr="00971781" w:rsidRDefault="00971781" w:rsidP="00971781">
            <w:pPr>
              <w:jc w:val="right"/>
              <w:rPr>
                <w:rFonts w:cs="Calibri"/>
                <w:b/>
                <w:color w:val="000000" w:themeColor="text1"/>
                <w:sz w:val="12"/>
                <w:szCs w:val="12"/>
              </w:rPr>
            </w:pPr>
            <w:r w:rsidRPr="00971781">
              <w:rPr>
                <w:b/>
                <w:sz w:val="12"/>
                <w:szCs w:val="12"/>
              </w:rPr>
              <w:t>1 132 740</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C68601E" w14:textId="1E34BF05" w:rsidR="00971781" w:rsidRPr="00971781" w:rsidRDefault="00971781" w:rsidP="00971781">
            <w:pPr>
              <w:jc w:val="right"/>
              <w:rPr>
                <w:rFonts w:cs="Calibri"/>
                <w:b/>
                <w:color w:val="000000" w:themeColor="text1"/>
                <w:sz w:val="12"/>
                <w:szCs w:val="12"/>
              </w:rPr>
            </w:pPr>
            <w:r w:rsidRPr="00971781">
              <w:rPr>
                <w:b/>
                <w:sz w:val="12"/>
                <w:szCs w:val="12"/>
              </w:rPr>
              <w:t>-</w:t>
            </w:r>
          </w:p>
        </w:tc>
        <w:tc>
          <w:tcPr>
            <w:tcW w:w="1417" w:type="dxa"/>
            <w:tcBorders>
              <w:top w:val="single" w:sz="8" w:space="0" w:color="0077BD"/>
              <w:left w:val="single" w:sz="8" w:space="0" w:color="0077BD"/>
              <w:bottom w:val="single" w:sz="8" w:space="0" w:color="0077BD"/>
            </w:tcBorders>
            <w:shd w:val="clear" w:color="auto" w:fill="auto"/>
            <w:noWrap/>
            <w:vAlign w:val="center"/>
          </w:tcPr>
          <w:p w14:paraId="7B3C4F83" w14:textId="17BEC9D1" w:rsidR="00971781" w:rsidRPr="00971781" w:rsidRDefault="00971781" w:rsidP="00971781">
            <w:pPr>
              <w:jc w:val="right"/>
              <w:rPr>
                <w:rFonts w:cs="Calibri"/>
                <w:b/>
                <w:color w:val="000000" w:themeColor="text1"/>
                <w:sz w:val="12"/>
                <w:szCs w:val="12"/>
              </w:rPr>
            </w:pPr>
            <w:r w:rsidRPr="00971781">
              <w:rPr>
                <w:b/>
                <w:sz w:val="12"/>
                <w:szCs w:val="12"/>
              </w:rPr>
              <w:t>1 132 740</w:t>
            </w:r>
          </w:p>
        </w:tc>
      </w:tr>
      <w:tr w:rsidR="00971781" w:rsidRPr="00971781" w14:paraId="30AA6BEF" w14:textId="77777777" w:rsidTr="00971781">
        <w:trPr>
          <w:trHeight w:val="284"/>
        </w:trPr>
        <w:tc>
          <w:tcPr>
            <w:tcW w:w="5400" w:type="dxa"/>
            <w:tcBorders>
              <w:top w:val="single" w:sz="8" w:space="0" w:color="0077BD"/>
              <w:left w:val="nil"/>
              <w:bottom w:val="single" w:sz="8" w:space="0" w:color="0077BD"/>
              <w:right w:val="single" w:sz="8" w:space="0" w:color="0077BD"/>
            </w:tcBorders>
            <w:shd w:val="clear" w:color="auto" w:fill="auto"/>
            <w:vAlign w:val="center"/>
            <w:hideMark/>
          </w:tcPr>
          <w:p w14:paraId="07A440FB" w14:textId="5CA99F41" w:rsidR="00971781" w:rsidRPr="00971781" w:rsidRDefault="00971781" w:rsidP="00971781">
            <w:pPr>
              <w:rPr>
                <w:rFonts w:cs="Calibri"/>
                <w:b/>
                <w:color w:val="000000" w:themeColor="text1"/>
                <w:sz w:val="12"/>
                <w:szCs w:val="12"/>
              </w:rPr>
            </w:pPr>
            <w:r w:rsidRPr="00971781">
              <w:rPr>
                <w:b/>
                <w:color w:val="000000" w:themeColor="text1"/>
                <w:sz w:val="12"/>
                <w:szCs w:val="12"/>
              </w:rPr>
              <w:t>B. Przepływy środków pieniężnych z działalności inwestycyjnej</w:t>
            </w:r>
          </w:p>
        </w:tc>
        <w:tc>
          <w:tcPr>
            <w:tcW w:w="14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35D86B2" w14:textId="7B6487EE" w:rsidR="00971781" w:rsidRPr="00971781" w:rsidRDefault="00971781" w:rsidP="00971781">
            <w:pPr>
              <w:jc w:val="right"/>
              <w:rPr>
                <w:rFonts w:cs="Calibri"/>
                <w:b/>
                <w:color w:val="000000" w:themeColor="text1"/>
                <w:sz w:val="12"/>
                <w:szCs w:val="12"/>
              </w:rPr>
            </w:pPr>
            <w:r w:rsidRPr="00971781">
              <w:rPr>
                <w:b/>
                <w:sz w:val="12"/>
                <w:szCs w:val="12"/>
              </w:rPr>
              <w:t>41 757</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76052644" w14:textId="0461B246" w:rsidR="00971781" w:rsidRPr="00971781" w:rsidRDefault="00971781" w:rsidP="00971781">
            <w:pPr>
              <w:jc w:val="right"/>
              <w:rPr>
                <w:rFonts w:cs="Calibri"/>
                <w:b/>
                <w:color w:val="000000" w:themeColor="text1"/>
                <w:sz w:val="12"/>
                <w:szCs w:val="12"/>
              </w:rPr>
            </w:pPr>
            <w:r w:rsidRPr="00971781">
              <w:rPr>
                <w:b/>
                <w:sz w:val="12"/>
                <w:szCs w:val="12"/>
              </w:rPr>
              <w:t>-</w:t>
            </w:r>
          </w:p>
        </w:tc>
        <w:tc>
          <w:tcPr>
            <w:tcW w:w="1417" w:type="dxa"/>
            <w:tcBorders>
              <w:top w:val="single" w:sz="8" w:space="0" w:color="0077BD"/>
              <w:left w:val="nil"/>
              <w:bottom w:val="single" w:sz="8" w:space="0" w:color="0077BD"/>
              <w:right w:val="nil"/>
            </w:tcBorders>
            <w:shd w:val="clear" w:color="auto" w:fill="auto"/>
            <w:vAlign w:val="center"/>
          </w:tcPr>
          <w:p w14:paraId="3E99E31C" w14:textId="4031869B" w:rsidR="00971781" w:rsidRPr="00971781" w:rsidRDefault="00971781" w:rsidP="00971781">
            <w:pPr>
              <w:jc w:val="right"/>
              <w:rPr>
                <w:rFonts w:cs="Calibri"/>
                <w:b/>
                <w:color w:val="000000" w:themeColor="text1"/>
                <w:sz w:val="12"/>
                <w:szCs w:val="12"/>
              </w:rPr>
            </w:pPr>
            <w:r w:rsidRPr="00971781">
              <w:rPr>
                <w:b/>
                <w:sz w:val="12"/>
                <w:szCs w:val="12"/>
              </w:rPr>
              <w:t>41 757</w:t>
            </w:r>
          </w:p>
        </w:tc>
      </w:tr>
      <w:tr w:rsidR="00971781" w:rsidRPr="00971781" w14:paraId="543843C9" w14:textId="77777777" w:rsidTr="00971781">
        <w:trPr>
          <w:trHeight w:val="284"/>
        </w:trPr>
        <w:tc>
          <w:tcPr>
            <w:tcW w:w="5400" w:type="dxa"/>
            <w:tcBorders>
              <w:top w:val="single" w:sz="8" w:space="0" w:color="0077BD"/>
              <w:left w:val="nil"/>
              <w:bottom w:val="single" w:sz="8" w:space="0" w:color="0077BD"/>
              <w:right w:val="single" w:sz="8" w:space="0" w:color="0077BD"/>
            </w:tcBorders>
            <w:shd w:val="clear" w:color="auto" w:fill="auto"/>
            <w:vAlign w:val="center"/>
          </w:tcPr>
          <w:p w14:paraId="624A8818" w14:textId="724F6BD5" w:rsidR="00971781" w:rsidRPr="00971781" w:rsidRDefault="00971781" w:rsidP="00971781">
            <w:pPr>
              <w:rPr>
                <w:rFonts w:cs="Calibri"/>
                <w:b/>
                <w:color w:val="000000" w:themeColor="text1"/>
                <w:sz w:val="12"/>
                <w:szCs w:val="12"/>
              </w:rPr>
            </w:pPr>
            <w:r w:rsidRPr="00971781">
              <w:rPr>
                <w:b/>
                <w:color w:val="000000" w:themeColor="text1"/>
                <w:sz w:val="12"/>
                <w:szCs w:val="12"/>
              </w:rPr>
              <w:t>C. Przepływy środków pieniężnych z działalności finansowej</w:t>
            </w:r>
          </w:p>
        </w:tc>
        <w:tc>
          <w:tcPr>
            <w:tcW w:w="140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053EA97" w14:textId="3FC88213" w:rsidR="00971781" w:rsidRPr="00971781" w:rsidRDefault="00971781" w:rsidP="00971781">
            <w:pPr>
              <w:jc w:val="right"/>
              <w:rPr>
                <w:rFonts w:cs="Calibri"/>
                <w:b/>
                <w:color w:val="000000" w:themeColor="text1"/>
                <w:sz w:val="12"/>
                <w:szCs w:val="12"/>
              </w:rPr>
            </w:pPr>
            <w:r w:rsidRPr="00971781">
              <w:rPr>
                <w:b/>
                <w:sz w:val="12"/>
                <w:szCs w:val="12"/>
              </w:rPr>
              <w:t>(388 784)</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0E5B95F3" w14:textId="60ED0CF5" w:rsidR="00971781" w:rsidRPr="00971781" w:rsidRDefault="00971781" w:rsidP="00971781">
            <w:pPr>
              <w:jc w:val="right"/>
              <w:rPr>
                <w:rFonts w:cs="Calibri"/>
                <w:b/>
                <w:color w:val="000000" w:themeColor="text1"/>
                <w:sz w:val="12"/>
                <w:szCs w:val="12"/>
              </w:rPr>
            </w:pPr>
            <w:r w:rsidRPr="00971781">
              <w:rPr>
                <w:b/>
                <w:sz w:val="12"/>
                <w:szCs w:val="12"/>
              </w:rPr>
              <w:t>-</w:t>
            </w:r>
          </w:p>
        </w:tc>
        <w:tc>
          <w:tcPr>
            <w:tcW w:w="1417" w:type="dxa"/>
            <w:tcBorders>
              <w:top w:val="single" w:sz="8" w:space="0" w:color="0077BD"/>
              <w:left w:val="nil"/>
              <w:bottom w:val="single" w:sz="8" w:space="0" w:color="0077BD"/>
              <w:right w:val="nil"/>
            </w:tcBorders>
            <w:shd w:val="clear" w:color="auto" w:fill="auto"/>
            <w:vAlign w:val="center"/>
          </w:tcPr>
          <w:p w14:paraId="6A943EC0" w14:textId="6B0CA3A9" w:rsidR="00971781" w:rsidRPr="00971781" w:rsidRDefault="00971781" w:rsidP="00971781">
            <w:pPr>
              <w:jc w:val="right"/>
              <w:rPr>
                <w:rFonts w:cs="Calibri"/>
                <w:b/>
                <w:color w:val="000000" w:themeColor="text1"/>
                <w:sz w:val="12"/>
                <w:szCs w:val="12"/>
              </w:rPr>
            </w:pPr>
            <w:r w:rsidRPr="00971781">
              <w:rPr>
                <w:b/>
                <w:sz w:val="12"/>
                <w:szCs w:val="12"/>
              </w:rPr>
              <w:t>(388 784)</w:t>
            </w:r>
          </w:p>
        </w:tc>
      </w:tr>
      <w:tr w:rsidR="00971781" w:rsidRPr="00971781" w14:paraId="576EF399" w14:textId="77777777" w:rsidTr="00971781">
        <w:trPr>
          <w:trHeight w:val="284"/>
        </w:trPr>
        <w:tc>
          <w:tcPr>
            <w:tcW w:w="5400" w:type="dxa"/>
            <w:tcBorders>
              <w:top w:val="nil"/>
              <w:left w:val="nil"/>
              <w:bottom w:val="single" w:sz="8" w:space="0" w:color="0077BD"/>
              <w:right w:val="single" w:sz="8" w:space="0" w:color="0077BD"/>
            </w:tcBorders>
            <w:shd w:val="clear" w:color="auto" w:fill="auto"/>
            <w:vAlign w:val="center"/>
            <w:hideMark/>
          </w:tcPr>
          <w:p w14:paraId="14FB8399" w14:textId="5C462CBC" w:rsidR="00971781" w:rsidRPr="00971781" w:rsidRDefault="00971781" w:rsidP="00971781">
            <w:pPr>
              <w:rPr>
                <w:rFonts w:cs="Calibri"/>
                <w:b/>
                <w:color w:val="000000" w:themeColor="text1"/>
                <w:sz w:val="12"/>
                <w:szCs w:val="12"/>
              </w:rPr>
            </w:pPr>
            <w:r w:rsidRPr="00971781">
              <w:rPr>
                <w:b/>
                <w:color w:val="000000" w:themeColor="text1"/>
                <w:sz w:val="12"/>
                <w:szCs w:val="12"/>
              </w:rPr>
              <w:t>Zmiana stanu środków pieniężnych netto, razem (A+B+C)</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0FF43AE9" w14:textId="22FEB6D3" w:rsidR="00971781" w:rsidRPr="00971781" w:rsidRDefault="00971781" w:rsidP="00971781">
            <w:pPr>
              <w:jc w:val="right"/>
              <w:rPr>
                <w:rFonts w:cs="Calibri"/>
                <w:b/>
                <w:color w:val="000000" w:themeColor="text1"/>
                <w:sz w:val="12"/>
                <w:szCs w:val="12"/>
              </w:rPr>
            </w:pPr>
            <w:r w:rsidRPr="00971781">
              <w:rPr>
                <w:b/>
                <w:sz w:val="12"/>
                <w:szCs w:val="12"/>
              </w:rPr>
              <w:t>785 713</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2784A435" w14:textId="63B759D9" w:rsidR="00971781" w:rsidRPr="00971781" w:rsidRDefault="00971781" w:rsidP="00971781">
            <w:pPr>
              <w:jc w:val="right"/>
              <w:rPr>
                <w:rFonts w:cs="Calibri"/>
                <w:b/>
                <w:color w:val="000000" w:themeColor="text1"/>
                <w:sz w:val="12"/>
                <w:szCs w:val="12"/>
              </w:rPr>
            </w:pPr>
            <w:r w:rsidRPr="00971781">
              <w:rPr>
                <w:b/>
                <w:sz w:val="12"/>
                <w:szCs w:val="12"/>
              </w:rPr>
              <w:t>-</w:t>
            </w:r>
          </w:p>
        </w:tc>
        <w:tc>
          <w:tcPr>
            <w:tcW w:w="1417" w:type="dxa"/>
            <w:tcBorders>
              <w:top w:val="single" w:sz="4" w:space="0" w:color="0077BD"/>
              <w:left w:val="nil"/>
              <w:bottom w:val="single" w:sz="8" w:space="0" w:color="0077BD"/>
              <w:right w:val="nil"/>
            </w:tcBorders>
            <w:shd w:val="clear" w:color="auto" w:fill="auto"/>
            <w:vAlign w:val="center"/>
          </w:tcPr>
          <w:p w14:paraId="269C5B80" w14:textId="4AD43EE2" w:rsidR="00971781" w:rsidRPr="00971781" w:rsidRDefault="00971781" w:rsidP="00971781">
            <w:pPr>
              <w:jc w:val="right"/>
              <w:rPr>
                <w:rFonts w:cs="Calibri"/>
                <w:b/>
                <w:color w:val="000000" w:themeColor="text1"/>
                <w:sz w:val="12"/>
                <w:szCs w:val="12"/>
              </w:rPr>
            </w:pPr>
            <w:r w:rsidRPr="00971781">
              <w:rPr>
                <w:b/>
                <w:sz w:val="12"/>
                <w:szCs w:val="12"/>
              </w:rPr>
              <w:t>785 713</w:t>
            </w:r>
          </w:p>
        </w:tc>
      </w:tr>
      <w:tr w:rsidR="00971781" w:rsidRPr="00971781" w14:paraId="073B4A05" w14:textId="77777777" w:rsidTr="00971781">
        <w:trPr>
          <w:trHeight w:val="284"/>
        </w:trPr>
        <w:tc>
          <w:tcPr>
            <w:tcW w:w="5400" w:type="dxa"/>
            <w:tcBorders>
              <w:top w:val="single" w:sz="8" w:space="0" w:color="0077BD"/>
              <w:bottom w:val="single" w:sz="4" w:space="0" w:color="0077BD"/>
              <w:right w:val="single" w:sz="8" w:space="0" w:color="0077BD"/>
            </w:tcBorders>
            <w:shd w:val="clear" w:color="auto" w:fill="auto"/>
            <w:vAlign w:val="center"/>
          </w:tcPr>
          <w:p w14:paraId="30C34B4C" w14:textId="0B2F0EBA" w:rsidR="00971781" w:rsidRPr="00971781" w:rsidRDefault="00971781" w:rsidP="00971781">
            <w:pPr>
              <w:rPr>
                <w:rFonts w:cs="Calibri"/>
                <w:bCs/>
                <w:color w:val="000000" w:themeColor="text1"/>
                <w:sz w:val="12"/>
                <w:szCs w:val="12"/>
              </w:rPr>
            </w:pPr>
            <w:r w:rsidRPr="00971781">
              <w:rPr>
                <w:color w:val="000000" w:themeColor="text1"/>
                <w:sz w:val="12"/>
                <w:szCs w:val="12"/>
              </w:rPr>
              <w:t>Zmiana stanu środków pieniężnych z tytułu różnic kursowych</w:t>
            </w:r>
          </w:p>
        </w:tc>
        <w:tc>
          <w:tcPr>
            <w:tcW w:w="1404" w:type="dxa"/>
            <w:tcBorders>
              <w:top w:val="single" w:sz="8" w:space="0" w:color="0077BD"/>
              <w:left w:val="single" w:sz="8" w:space="0" w:color="0077BD"/>
              <w:bottom w:val="single" w:sz="6" w:space="0" w:color="0077BD"/>
              <w:right w:val="nil"/>
            </w:tcBorders>
            <w:shd w:val="clear" w:color="auto" w:fill="auto"/>
            <w:noWrap/>
            <w:vAlign w:val="center"/>
          </w:tcPr>
          <w:p w14:paraId="4F2C61D9" w14:textId="1C70D2BD" w:rsidR="00971781" w:rsidRPr="00971781" w:rsidRDefault="00971781" w:rsidP="00971781">
            <w:pPr>
              <w:jc w:val="right"/>
              <w:rPr>
                <w:rFonts w:cs="Calibri"/>
                <w:bCs/>
                <w:color w:val="000000" w:themeColor="text1"/>
                <w:sz w:val="12"/>
                <w:szCs w:val="12"/>
              </w:rPr>
            </w:pPr>
            <w:r w:rsidRPr="00971781">
              <w:rPr>
                <w:sz w:val="12"/>
                <w:szCs w:val="12"/>
              </w:rPr>
              <w:t>20 996</w:t>
            </w:r>
          </w:p>
        </w:tc>
        <w:tc>
          <w:tcPr>
            <w:tcW w:w="1418" w:type="dxa"/>
            <w:tcBorders>
              <w:top w:val="single" w:sz="8" w:space="0" w:color="0077BD"/>
              <w:left w:val="single" w:sz="8" w:space="0" w:color="0077BD"/>
              <w:bottom w:val="single" w:sz="6" w:space="0" w:color="0077BD"/>
              <w:right w:val="single" w:sz="8" w:space="0" w:color="0077BD"/>
            </w:tcBorders>
            <w:shd w:val="clear" w:color="auto" w:fill="auto"/>
            <w:vAlign w:val="center"/>
          </w:tcPr>
          <w:p w14:paraId="74B2A75B" w14:textId="5D8A7FBD" w:rsidR="00971781" w:rsidRPr="00971781" w:rsidRDefault="00971781" w:rsidP="00971781">
            <w:pPr>
              <w:jc w:val="right"/>
              <w:rPr>
                <w:rFonts w:cs="Calibri"/>
                <w:color w:val="000000" w:themeColor="text1"/>
                <w:sz w:val="12"/>
                <w:szCs w:val="12"/>
              </w:rPr>
            </w:pPr>
            <w:r w:rsidRPr="00971781">
              <w:rPr>
                <w:sz w:val="12"/>
                <w:szCs w:val="12"/>
              </w:rPr>
              <w:t>-</w:t>
            </w:r>
          </w:p>
        </w:tc>
        <w:tc>
          <w:tcPr>
            <w:tcW w:w="1417" w:type="dxa"/>
            <w:tcBorders>
              <w:top w:val="single" w:sz="8" w:space="0" w:color="0077BD"/>
              <w:left w:val="nil"/>
              <w:bottom w:val="single" w:sz="6" w:space="0" w:color="0077BD"/>
              <w:right w:val="nil"/>
            </w:tcBorders>
            <w:shd w:val="clear" w:color="auto" w:fill="auto"/>
            <w:noWrap/>
            <w:vAlign w:val="center"/>
          </w:tcPr>
          <w:p w14:paraId="04CB52FC" w14:textId="0AB5B54D" w:rsidR="00971781" w:rsidRPr="00971781" w:rsidRDefault="00971781" w:rsidP="00971781">
            <w:pPr>
              <w:jc w:val="right"/>
              <w:rPr>
                <w:rFonts w:cs="Calibri"/>
                <w:bCs/>
                <w:color w:val="000000" w:themeColor="text1"/>
                <w:sz w:val="12"/>
                <w:szCs w:val="12"/>
              </w:rPr>
            </w:pPr>
            <w:r w:rsidRPr="00971781">
              <w:rPr>
                <w:sz w:val="12"/>
                <w:szCs w:val="12"/>
              </w:rPr>
              <w:t>20 996</w:t>
            </w:r>
          </w:p>
        </w:tc>
      </w:tr>
      <w:tr w:rsidR="00971781" w:rsidRPr="00971781" w14:paraId="696DE5D5" w14:textId="77777777" w:rsidTr="00971781">
        <w:trPr>
          <w:trHeight w:val="284"/>
        </w:trPr>
        <w:tc>
          <w:tcPr>
            <w:tcW w:w="5400" w:type="dxa"/>
            <w:tcBorders>
              <w:top w:val="single" w:sz="8" w:space="0" w:color="0077BD"/>
              <w:bottom w:val="single" w:sz="8" w:space="0" w:color="0077BD"/>
              <w:right w:val="single" w:sz="8" w:space="0" w:color="0077BD"/>
            </w:tcBorders>
            <w:shd w:val="clear" w:color="auto" w:fill="auto"/>
            <w:vAlign w:val="center"/>
            <w:hideMark/>
          </w:tcPr>
          <w:p w14:paraId="172C0192" w14:textId="77A38EFC" w:rsidR="00971781" w:rsidRPr="00971781" w:rsidRDefault="00971781" w:rsidP="00971781">
            <w:pPr>
              <w:rPr>
                <w:rFonts w:cs="Calibri"/>
                <w:bCs/>
                <w:color w:val="000000" w:themeColor="text1"/>
                <w:sz w:val="12"/>
                <w:szCs w:val="12"/>
              </w:rPr>
            </w:pPr>
            <w:r w:rsidRPr="00971781">
              <w:rPr>
                <w:color w:val="000000" w:themeColor="text1"/>
                <w:sz w:val="12"/>
                <w:szCs w:val="12"/>
              </w:rPr>
              <w:t>Środki pieniężne na początek okresu sprawozdawczego</w:t>
            </w:r>
          </w:p>
        </w:tc>
        <w:tc>
          <w:tcPr>
            <w:tcW w:w="1404" w:type="dxa"/>
            <w:tcBorders>
              <w:top w:val="single" w:sz="8" w:space="0" w:color="0077BD"/>
              <w:left w:val="single" w:sz="8" w:space="0" w:color="0077BD"/>
              <w:bottom w:val="single" w:sz="8" w:space="0" w:color="0077BD"/>
              <w:right w:val="nil"/>
            </w:tcBorders>
            <w:shd w:val="clear" w:color="auto" w:fill="auto"/>
            <w:noWrap/>
            <w:vAlign w:val="center"/>
          </w:tcPr>
          <w:p w14:paraId="0E44F869" w14:textId="274627F1" w:rsidR="00971781" w:rsidRPr="00971781" w:rsidRDefault="00971781" w:rsidP="00971781">
            <w:pPr>
              <w:jc w:val="right"/>
              <w:rPr>
                <w:rFonts w:cs="Calibri"/>
                <w:bCs/>
                <w:color w:val="000000" w:themeColor="text1"/>
                <w:sz w:val="12"/>
                <w:szCs w:val="12"/>
              </w:rPr>
            </w:pPr>
            <w:r w:rsidRPr="00971781">
              <w:rPr>
                <w:sz w:val="12"/>
                <w:szCs w:val="12"/>
              </w:rPr>
              <w:t>9 824 260</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6FA9ABB" w14:textId="7727CDC3" w:rsidR="00971781" w:rsidRPr="00971781" w:rsidRDefault="00971781" w:rsidP="00971781">
            <w:pPr>
              <w:jc w:val="right"/>
              <w:rPr>
                <w:rFonts w:cs="Calibri"/>
                <w:color w:val="000000" w:themeColor="text1"/>
                <w:sz w:val="12"/>
                <w:szCs w:val="12"/>
              </w:rPr>
            </w:pPr>
            <w:r w:rsidRPr="00971781">
              <w:rPr>
                <w:sz w:val="12"/>
                <w:szCs w:val="12"/>
              </w:rPr>
              <w:t>-</w:t>
            </w:r>
          </w:p>
        </w:tc>
        <w:tc>
          <w:tcPr>
            <w:tcW w:w="1417" w:type="dxa"/>
            <w:tcBorders>
              <w:top w:val="single" w:sz="8" w:space="0" w:color="0077BD"/>
              <w:left w:val="nil"/>
              <w:bottom w:val="single" w:sz="8" w:space="0" w:color="0077BD"/>
              <w:right w:val="nil"/>
            </w:tcBorders>
            <w:shd w:val="clear" w:color="auto" w:fill="auto"/>
            <w:noWrap/>
            <w:vAlign w:val="center"/>
          </w:tcPr>
          <w:p w14:paraId="570EAF74" w14:textId="1DBF8C6C" w:rsidR="00971781" w:rsidRPr="00971781" w:rsidRDefault="00971781" w:rsidP="00971781">
            <w:pPr>
              <w:jc w:val="right"/>
              <w:rPr>
                <w:rFonts w:cs="Calibri"/>
                <w:bCs/>
                <w:color w:val="000000" w:themeColor="text1"/>
                <w:sz w:val="12"/>
                <w:szCs w:val="12"/>
              </w:rPr>
            </w:pPr>
            <w:r w:rsidRPr="00971781">
              <w:rPr>
                <w:sz w:val="12"/>
                <w:szCs w:val="12"/>
              </w:rPr>
              <w:t>9 824 260</w:t>
            </w:r>
          </w:p>
        </w:tc>
      </w:tr>
      <w:tr w:rsidR="00971781" w:rsidRPr="00971781" w14:paraId="47749DD7" w14:textId="77777777" w:rsidTr="00971781">
        <w:trPr>
          <w:trHeight w:val="284"/>
        </w:trPr>
        <w:tc>
          <w:tcPr>
            <w:tcW w:w="5400" w:type="dxa"/>
            <w:tcBorders>
              <w:top w:val="single" w:sz="8" w:space="0" w:color="0077BD"/>
              <w:bottom w:val="single" w:sz="8" w:space="0" w:color="0077BD"/>
              <w:right w:val="single" w:sz="8" w:space="0" w:color="0077BD"/>
            </w:tcBorders>
            <w:shd w:val="clear" w:color="auto" w:fill="auto"/>
            <w:vAlign w:val="center"/>
            <w:hideMark/>
          </w:tcPr>
          <w:p w14:paraId="3816FD69" w14:textId="22FE7844" w:rsidR="00971781" w:rsidRPr="00971781" w:rsidRDefault="00971781" w:rsidP="00971781">
            <w:pPr>
              <w:rPr>
                <w:rFonts w:cs="Calibri"/>
                <w:b/>
                <w:bCs/>
                <w:color w:val="000000" w:themeColor="text1"/>
                <w:sz w:val="12"/>
                <w:szCs w:val="12"/>
              </w:rPr>
            </w:pPr>
            <w:r w:rsidRPr="00971781">
              <w:rPr>
                <w:b/>
                <w:color w:val="000000" w:themeColor="text1"/>
                <w:sz w:val="12"/>
                <w:szCs w:val="12"/>
              </w:rPr>
              <w:t>Środki pieniężne na koniec okresu sprawozdawczego</w:t>
            </w:r>
          </w:p>
        </w:tc>
        <w:tc>
          <w:tcPr>
            <w:tcW w:w="1404" w:type="dxa"/>
            <w:tcBorders>
              <w:top w:val="single" w:sz="8" w:space="0" w:color="0077BD"/>
              <w:left w:val="single" w:sz="8" w:space="0" w:color="0077BD"/>
              <w:bottom w:val="single" w:sz="8" w:space="0" w:color="0077BD"/>
              <w:right w:val="nil"/>
            </w:tcBorders>
            <w:shd w:val="clear" w:color="auto" w:fill="auto"/>
            <w:noWrap/>
            <w:vAlign w:val="center"/>
          </w:tcPr>
          <w:p w14:paraId="65048799" w14:textId="7B8254CA" w:rsidR="00971781" w:rsidRPr="00971781" w:rsidRDefault="00971781" w:rsidP="00971781">
            <w:pPr>
              <w:jc w:val="right"/>
              <w:rPr>
                <w:rFonts w:cs="Calibri"/>
                <w:b/>
                <w:bCs/>
                <w:color w:val="000000" w:themeColor="text1"/>
                <w:sz w:val="12"/>
                <w:szCs w:val="12"/>
              </w:rPr>
            </w:pPr>
            <w:r w:rsidRPr="00971781">
              <w:rPr>
                <w:b/>
                <w:sz w:val="12"/>
                <w:szCs w:val="12"/>
              </w:rPr>
              <w:t>10 630 969</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9D2EC58" w14:textId="43127595" w:rsidR="00971781" w:rsidRPr="00971781" w:rsidRDefault="00971781" w:rsidP="00971781">
            <w:pPr>
              <w:jc w:val="right"/>
              <w:rPr>
                <w:rFonts w:cs="Calibri"/>
                <w:b/>
                <w:color w:val="000000" w:themeColor="text1"/>
                <w:sz w:val="12"/>
                <w:szCs w:val="12"/>
              </w:rPr>
            </w:pPr>
            <w:r w:rsidRPr="00971781">
              <w:rPr>
                <w:b/>
                <w:sz w:val="12"/>
                <w:szCs w:val="12"/>
              </w:rPr>
              <w:t>-</w:t>
            </w:r>
          </w:p>
        </w:tc>
        <w:tc>
          <w:tcPr>
            <w:tcW w:w="1417" w:type="dxa"/>
            <w:tcBorders>
              <w:top w:val="single" w:sz="8" w:space="0" w:color="0077BD"/>
              <w:left w:val="nil"/>
              <w:bottom w:val="single" w:sz="8" w:space="0" w:color="0077BD"/>
              <w:right w:val="nil"/>
            </w:tcBorders>
            <w:shd w:val="clear" w:color="auto" w:fill="auto"/>
            <w:noWrap/>
            <w:vAlign w:val="center"/>
          </w:tcPr>
          <w:p w14:paraId="2BC1DE29" w14:textId="43EDD89F" w:rsidR="00971781" w:rsidRPr="00971781" w:rsidRDefault="00971781" w:rsidP="00971781">
            <w:pPr>
              <w:jc w:val="right"/>
              <w:rPr>
                <w:rFonts w:cs="Calibri"/>
                <w:b/>
                <w:bCs/>
                <w:color w:val="000000" w:themeColor="text1"/>
                <w:sz w:val="12"/>
                <w:szCs w:val="12"/>
              </w:rPr>
            </w:pPr>
            <w:r w:rsidRPr="00971781">
              <w:rPr>
                <w:b/>
                <w:sz w:val="12"/>
                <w:szCs w:val="12"/>
              </w:rPr>
              <w:t>10 630 969</w:t>
            </w:r>
          </w:p>
        </w:tc>
      </w:tr>
    </w:tbl>
    <w:p w14:paraId="60C3EEAF" w14:textId="2893940F" w:rsidR="00916B8B" w:rsidRDefault="00CC1034" w:rsidP="00CC1034">
      <w:pPr>
        <w:spacing w:before="120" w:after="120"/>
        <w:jc w:val="both"/>
        <w:rPr>
          <w:rFonts w:cs="Tahoma"/>
          <w:color w:val="000000" w:themeColor="text1"/>
          <w:spacing w:val="-2"/>
          <w:sz w:val="18"/>
          <w:szCs w:val="18"/>
          <w:lang w:eastAsia="en-US"/>
        </w:rPr>
      </w:pPr>
      <w:r w:rsidRPr="00F9607E">
        <w:rPr>
          <w:rFonts w:cs="Tahoma"/>
          <w:color w:val="000000" w:themeColor="text1"/>
          <w:spacing w:val="-2"/>
          <w:sz w:val="18"/>
          <w:szCs w:val="18"/>
          <w:lang w:eastAsia="en-US"/>
        </w:rPr>
        <w:t>Powyżej opisane i zaprezentowane w zestawieniach zmiany danych porównawczych zostały uwzględnione w</w:t>
      </w:r>
      <w:r>
        <w:rPr>
          <w:rFonts w:cs="Tahoma"/>
          <w:color w:val="000000" w:themeColor="text1"/>
          <w:spacing w:val="-2"/>
          <w:sz w:val="18"/>
          <w:szCs w:val="18"/>
          <w:lang w:eastAsia="en-US"/>
        </w:rPr>
        <w:t> </w:t>
      </w:r>
      <w:r w:rsidRPr="00F9607E">
        <w:rPr>
          <w:rFonts w:cs="Tahoma"/>
          <w:color w:val="000000" w:themeColor="text1"/>
          <w:spacing w:val="-2"/>
          <w:sz w:val="18"/>
          <w:szCs w:val="18"/>
          <w:lang w:eastAsia="en-US"/>
        </w:rPr>
        <w:t>niniejszym sprawozdaniu finansowym we wszystkich notach, których te zmiany dotyczyły. Dane dotyczące współczynników wypłacalności dla okresów porównawczych nie podlegały przekształceniu.</w:t>
      </w:r>
    </w:p>
    <w:p w14:paraId="40A3BD25" w14:textId="77777777" w:rsidR="00916B8B" w:rsidRDefault="00916B8B">
      <w:pPr>
        <w:rPr>
          <w:rFonts w:cs="Tahoma"/>
          <w:color w:val="000000" w:themeColor="text1"/>
          <w:spacing w:val="-2"/>
          <w:sz w:val="18"/>
          <w:szCs w:val="18"/>
          <w:lang w:eastAsia="en-US"/>
        </w:rPr>
      </w:pPr>
      <w:r>
        <w:rPr>
          <w:rFonts w:cs="Tahoma"/>
          <w:color w:val="000000" w:themeColor="text1"/>
          <w:spacing w:val="-2"/>
          <w:sz w:val="18"/>
          <w:szCs w:val="18"/>
          <w:lang w:eastAsia="en-US"/>
        </w:rPr>
        <w:br w:type="page"/>
      </w:r>
    </w:p>
    <w:p w14:paraId="6851FC94" w14:textId="77777777" w:rsidR="00916B8B" w:rsidRPr="00977E53" w:rsidRDefault="00916B8B" w:rsidP="00916B8B">
      <w:pPr>
        <w:suppressAutoHyphens/>
        <w:spacing w:before="120" w:after="120"/>
        <w:jc w:val="both"/>
        <w:rPr>
          <w:rFonts w:cs="Tahoma"/>
          <w:color w:val="000000" w:themeColor="text1"/>
          <w:sz w:val="18"/>
          <w:szCs w:val="18"/>
        </w:rPr>
      </w:pPr>
      <w:r w:rsidRPr="00977E53">
        <w:rPr>
          <w:rFonts w:cs="Tahoma"/>
          <w:color w:val="000000" w:themeColor="text1"/>
          <w:sz w:val="18"/>
          <w:szCs w:val="18"/>
        </w:rPr>
        <w:lastRenderedPageBreak/>
        <w:t>Przekształcenia w skonsolidowanym sprawozdaniu z sytuacji finansowej na dzień 1 stycznia 2018 roku</w:t>
      </w: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916B8B" w:rsidRPr="004D4E5D" w14:paraId="3B587C85" w14:textId="77777777" w:rsidTr="00916B8B">
        <w:trPr>
          <w:trHeight w:val="510"/>
        </w:trPr>
        <w:tc>
          <w:tcPr>
            <w:tcW w:w="5400" w:type="dxa"/>
            <w:tcBorders>
              <w:top w:val="nil"/>
              <w:left w:val="nil"/>
              <w:right w:val="single" w:sz="8" w:space="0" w:color="FFFFFF"/>
            </w:tcBorders>
            <w:shd w:val="clear" w:color="000000" w:fill="0077BD"/>
            <w:vAlign w:val="center"/>
            <w:hideMark/>
          </w:tcPr>
          <w:p w14:paraId="426C647A" w14:textId="77777777" w:rsidR="00916B8B" w:rsidRPr="004D4E5D" w:rsidRDefault="00916B8B" w:rsidP="00916B8B">
            <w:pPr>
              <w:rPr>
                <w:rFonts w:cs="Calibri"/>
                <w:b/>
                <w:bCs/>
                <w:color w:val="FFFFFF"/>
                <w:sz w:val="12"/>
                <w:szCs w:val="16"/>
              </w:rPr>
            </w:pPr>
            <w:r>
              <w:rPr>
                <w:rFonts w:cs="Calibri"/>
                <w:b/>
                <w:bCs/>
                <w:color w:val="FFFFFF"/>
                <w:sz w:val="12"/>
                <w:szCs w:val="16"/>
              </w:rPr>
              <w:t>AKTYWA</w:t>
            </w:r>
          </w:p>
        </w:tc>
        <w:tc>
          <w:tcPr>
            <w:tcW w:w="1404" w:type="dxa"/>
            <w:tcBorders>
              <w:top w:val="nil"/>
              <w:left w:val="nil"/>
              <w:right w:val="single" w:sz="8" w:space="0" w:color="FFFFFF"/>
            </w:tcBorders>
            <w:shd w:val="clear" w:color="000000" w:fill="0077BD"/>
            <w:vAlign w:val="center"/>
            <w:hideMark/>
          </w:tcPr>
          <w:p w14:paraId="535773FC" w14:textId="77777777" w:rsidR="00916B8B" w:rsidRPr="004D4E5D" w:rsidRDefault="00916B8B" w:rsidP="00916B8B">
            <w:pPr>
              <w:jc w:val="right"/>
              <w:rPr>
                <w:rFonts w:cs="Calibri"/>
                <w:b/>
                <w:bCs/>
                <w:color w:val="FFFFFF"/>
                <w:sz w:val="12"/>
                <w:szCs w:val="16"/>
              </w:rPr>
            </w:pPr>
            <w:r>
              <w:rPr>
                <w:rFonts w:cs="Calibri"/>
                <w:b/>
                <w:bCs/>
                <w:color w:val="FFFFFF"/>
                <w:sz w:val="12"/>
                <w:szCs w:val="16"/>
              </w:rPr>
              <w:t>01.01</w:t>
            </w:r>
            <w:r w:rsidRPr="004D4E5D">
              <w:rPr>
                <w:rFonts w:cs="Calibri"/>
                <w:b/>
                <w:bCs/>
                <w:color w:val="FFFFFF"/>
                <w:sz w:val="12"/>
                <w:szCs w:val="16"/>
              </w:rPr>
              <w:t>.2018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5D097851" w14:textId="77777777" w:rsidR="00916B8B" w:rsidRPr="004D4E5D" w:rsidRDefault="00916B8B" w:rsidP="00916B8B">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4F59993C" w14:textId="77777777" w:rsidR="00916B8B" w:rsidRPr="004D4E5D" w:rsidRDefault="00916B8B" w:rsidP="00916B8B">
            <w:pPr>
              <w:jc w:val="right"/>
              <w:rPr>
                <w:rFonts w:cs="Calibri"/>
                <w:b/>
                <w:bCs/>
                <w:color w:val="FFFFFF"/>
                <w:sz w:val="12"/>
                <w:szCs w:val="16"/>
              </w:rPr>
            </w:pPr>
            <w:r>
              <w:rPr>
                <w:rFonts w:cs="Calibri"/>
                <w:b/>
                <w:bCs/>
                <w:color w:val="FFFFFF"/>
                <w:sz w:val="12"/>
                <w:szCs w:val="16"/>
              </w:rPr>
              <w:t>01</w:t>
            </w:r>
            <w:r w:rsidRPr="004D4E5D">
              <w:rPr>
                <w:rFonts w:cs="Calibri"/>
                <w:b/>
                <w:bCs/>
                <w:color w:val="FFFFFF"/>
                <w:sz w:val="12"/>
                <w:szCs w:val="16"/>
              </w:rPr>
              <w:t>.</w:t>
            </w:r>
            <w:r>
              <w:rPr>
                <w:rFonts w:cs="Calibri"/>
                <w:b/>
                <w:bCs/>
                <w:color w:val="FFFFFF"/>
                <w:sz w:val="12"/>
                <w:szCs w:val="16"/>
              </w:rPr>
              <w:t>01</w:t>
            </w:r>
            <w:r w:rsidRPr="004D4E5D">
              <w:rPr>
                <w:rFonts w:cs="Calibri"/>
                <w:b/>
                <w:bCs/>
                <w:color w:val="FFFFFF"/>
                <w:sz w:val="12"/>
                <w:szCs w:val="16"/>
              </w:rPr>
              <w:t>.2018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16B8B" w:rsidRPr="00977E53" w14:paraId="6C79A425" w14:textId="77777777" w:rsidTr="00916B8B">
        <w:trPr>
          <w:trHeight w:val="255"/>
        </w:trPr>
        <w:tc>
          <w:tcPr>
            <w:tcW w:w="5400" w:type="dxa"/>
            <w:tcBorders>
              <w:left w:val="nil"/>
              <w:bottom w:val="single" w:sz="4" w:space="0" w:color="0077BD"/>
              <w:right w:val="single" w:sz="8" w:space="0" w:color="0077BD"/>
            </w:tcBorders>
            <w:shd w:val="clear" w:color="auto" w:fill="auto"/>
            <w:noWrap/>
            <w:vAlign w:val="center"/>
            <w:hideMark/>
          </w:tcPr>
          <w:p w14:paraId="4CADDF78" w14:textId="77777777" w:rsidR="00916B8B" w:rsidRPr="00977E53" w:rsidRDefault="00916B8B" w:rsidP="00916B8B">
            <w:pPr>
              <w:rPr>
                <w:rFonts w:cs="Calibri"/>
                <w:bCs/>
                <w:color w:val="000000" w:themeColor="text1"/>
                <w:sz w:val="12"/>
                <w:szCs w:val="16"/>
              </w:rPr>
            </w:pPr>
            <w:r w:rsidRPr="00977E53">
              <w:rPr>
                <w:rFonts w:cs="Calibri"/>
                <w:bCs/>
                <w:color w:val="000000" w:themeColor="text1"/>
                <w:sz w:val="12"/>
                <w:szCs w:val="16"/>
              </w:rPr>
              <w:t>Aktywa finansowe przeznaczone do obrotu oraz instrumenty pochodne zabezpieczające</w:t>
            </w:r>
          </w:p>
        </w:tc>
        <w:tc>
          <w:tcPr>
            <w:tcW w:w="1404" w:type="dxa"/>
            <w:tcBorders>
              <w:left w:val="single" w:sz="8" w:space="0" w:color="0077BD"/>
              <w:bottom w:val="single" w:sz="4" w:space="0" w:color="0077BD"/>
              <w:right w:val="single" w:sz="8" w:space="0" w:color="0077BD"/>
            </w:tcBorders>
            <w:shd w:val="clear" w:color="auto" w:fill="auto"/>
            <w:noWrap/>
            <w:vAlign w:val="center"/>
          </w:tcPr>
          <w:p w14:paraId="4562E0AD"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2 761 685</w:t>
            </w:r>
          </w:p>
        </w:tc>
        <w:tc>
          <w:tcPr>
            <w:tcW w:w="1418" w:type="dxa"/>
            <w:tcBorders>
              <w:left w:val="nil"/>
              <w:bottom w:val="single" w:sz="4" w:space="0" w:color="0077BD"/>
              <w:right w:val="single" w:sz="8" w:space="0" w:color="0077BD"/>
            </w:tcBorders>
            <w:shd w:val="clear" w:color="auto" w:fill="auto"/>
            <w:noWrap/>
            <w:vAlign w:val="center"/>
          </w:tcPr>
          <w:p w14:paraId="7D521DC4"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(262 336)</w:t>
            </w:r>
          </w:p>
        </w:tc>
        <w:tc>
          <w:tcPr>
            <w:tcW w:w="1417" w:type="dxa"/>
            <w:tcBorders>
              <w:left w:val="nil"/>
              <w:bottom w:val="single" w:sz="4" w:space="0" w:color="0077BD"/>
              <w:right w:val="nil"/>
            </w:tcBorders>
            <w:shd w:val="clear" w:color="auto" w:fill="auto"/>
            <w:noWrap/>
            <w:vAlign w:val="center"/>
          </w:tcPr>
          <w:p w14:paraId="524CEF00"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2 499 349</w:t>
            </w:r>
          </w:p>
        </w:tc>
      </w:tr>
      <w:tr w:rsidR="00916B8B" w:rsidRPr="00977E53" w14:paraId="6E532B4E"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119B14C8" w14:textId="77777777" w:rsidR="00916B8B" w:rsidRPr="00977E53" w:rsidRDefault="00916B8B" w:rsidP="00916B8B">
            <w:pPr>
              <w:rPr>
                <w:rFonts w:cs="Calibri"/>
                <w:bCs/>
                <w:color w:val="000000" w:themeColor="text1"/>
                <w:sz w:val="12"/>
                <w:szCs w:val="12"/>
              </w:rPr>
            </w:pPr>
            <w:r w:rsidRPr="00977E53">
              <w:rPr>
                <w:color w:val="000000" w:themeColor="text1"/>
                <w:sz w:val="12"/>
                <w:szCs w:val="12"/>
              </w:rPr>
              <w:t>Aktywa finansowe wyceniane w zamortyzowanym koszcie, w tym:</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05790185"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90 774 285</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E3BFC06"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385 954</w:t>
            </w:r>
          </w:p>
        </w:tc>
        <w:tc>
          <w:tcPr>
            <w:tcW w:w="1417" w:type="dxa"/>
            <w:tcBorders>
              <w:top w:val="single" w:sz="4" w:space="0" w:color="0077BD"/>
              <w:left w:val="nil"/>
              <w:bottom w:val="single" w:sz="4" w:space="0" w:color="0077BD"/>
              <w:right w:val="nil"/>
            </w:tcBorders>
            <w:shd w:val="clear" w:color="auto" w:fill="auto"/>
            <w:noWrap/>
            <w:vAlign w:val="center"/>
          </w:tcPr>
          <w:p w14:paraId="2E402834"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91 160 239</w:t>
            </w:r>
          </w:p>
        </w:tc>
      </w:tr>
      <w:tr w:rsidR="00916B8B" w:rsidRPr="00977E53" w14:paraId="1B050B1C"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07B13611" w14:textId="77777777" w:rsidR="00916B8B" w:rsidRPr="00977E53" w:rsidRDefault="00916B8B" w:rsidP="00916B8B">
            <w:pPr>
              <w:rPr>
                <w:rFonts w:cs="Calibri"/>
                <w:bCs/>
                <w:i/>
                <w:color w:val="000000" w:themeColor="text1"/>
                <w:sz w:val="12"/>
                <w:szCs w:val="12"/>
              </w:rPr>
            </w:pPr>
            <w:r>
              <w:rPr>
                <w:i/>
                <w:color w:val="000000" w:themeColor="text1"/>
                <w:sz w:val="12"/>
                <w:szCs w:val="12"/>
              </w:rPr>
              <w:t xml:space="preserve">- </w:t>
            </w:r>
            <w:r w:rsidRPr="00977E53">
              <w:rPr>
                <w:i/>
                <w:color w:val="000000" w:themeColor="text1"/>
                <w:sz w:val="12"/>
                <w:szCs w:val="12"/>
              </w:rPr>
              <w:t>Kredyty i pożyczki udzielone klientom</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473DEDA" w14:textId="77777777" w:rsidR="00916B8B" w:rsidRPr="00977E53" w:rsidRDefault="00916B8B" w:rsidP="00916B8B">
            <w:pPr>
              <w:jc w:val="right"/>
              <w:rPr>
                <w:rFonts w:cs="Calibri"/>
                <w:bCs/>
                <w:i/>
                <w:color w:val="000000" w:themeColor="text1"/>
                <w:sz w:val="12"/>
                <w:szCs w:val="12"/>
              </w:rPr>
            </w:pPr>
            <w:r w:rsidRPr="00977E53">
              <w:rPr>
                <w:rFonts w:cs="Calibri"/>
                <w:bCs/>
                <w:i/>
                <w:color w:val="000000" w:themeColor="text1"/>
                <w:sz w:val="12"/>
                <w:szCs w:val="12"/>
              </w:rPr>
              <w:t>80 546 890</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C391F45" w14:textId="77777777" w:rsidR="00916B8B" w:rsidRPr="00977E53" w:rsidRDefault="00916B8B" w:rsidP="00916B8B">
            <w:pPr>
              <w:jc w:val="right"/>
              <w:rPr>
                <w:rFonts w:cs="Calibri"/>
                <w:bCs/>
                <w:i/>
                <w:color w:val="000000" w:themeColor="text1"/>
                <w:sz w:val="12"/>
                <w:szCs w:val="12"/>
              </w:rPr>
            </w:pPr>
            <w:r w:rsidRPr="00977E53">
              <w:rPr>
                <w:i/>
                <w:color w:val="000000" w:themeColor="text1"/>
                <w:sz w:val="12"/>
                <w:szCs w:val="12"/>
              </w:rPr>
              <w:t>385 954</w:t>
            </w:r>
          </w:p>
        </w:tc>
        <w:tc>
          <w:tcPr>
            <w:tcW w:w="1417" w:type="dxa"/>
            <w:tcBorders>
              <w:top w:val="single" w:sz="4" w:space="0" w:color="0077BD"/>
              <w:left w:val="nil"/>
              <w:bottom w:val="single" w:sz="4" w:space="0" w:color="0077BD"/>
              <w:right w:val="nil"/>
            </w:tcBorders>
            <w:shd w:val="clear" w:color="auto" w:fill="auto"/>
            <w:noWrap/>
            <w:vAlign w:val="center"/>
          </w:tcPr>
          <w:p w14:paraId="16717E40" w14:textId="77777777" w:rsidR="00916B8B" w:rsidRPr="00977E53" w:rsidRDefault="00916B8B" w:rsidP="00916B8B">
            <w:pPr>
              <w:jc w:val="right"/>
              <w:rPr>
                <w:rFonts w:cs="Calibri"/>
                <w:bCs/>
                <w:i/>
                <w:color w:val="000000" w:themeColor="text1"/>
                <w:sz w:val="12"/>
                <w:szCs w:val="12"/>
              </w:rPr>
            </w:pPr>
            <w:r w:rsidRPr="00977E53">
              <w:rPr>
                <w:rFonts w:cs="Calibri"/>
                <w:bCs/>
                <w:i/>
                <w:color w:val="000000" w:themeColor="text1"/>
                <w:sz w:val="12"/>
                <w:szCs w:val="12"/>
              </w:rPr>
              <w:t>80 932 844</w:t>
            </w:r>
          </w:p>
        </w:tc>
      </w:tr>
      <w:tr w:rsidR="00916B8B" w:rsidRPr="00977E53" w14:paraId="7BCB6F37" w14:textId="77777777" w:rsidTr="00916B8B">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hideMark/>
          </w:tcPr>
          <w:p w14:paraId="2B87EAF1" w14:textId="77777777" w:rsidR="00916B8B" w:rsidRPr="00977E53" w:rsidRDefault="00916B8B" w:rsidP="00916B8B">
            <w:pPr>
              <w:rPr>
                <w:rFonts w:cs="Calibri"/>
                <w:bCs/>
                <w:color w:val="000000" w:themeColor="text1"/>
                <w:sz w:val="12"/>
                <w:szCs w:val="16"/>
              </w:rPr>
            </w:pPr>
            <w:r w:rsidRPr="00977E53">
              <w:rPr>
                <w:rFonts w:cs="Calibri"/>
                <w:bCs/>
                <w:color w:val="000000" w:themeColor="text1"/>
                <w:sz w:val="12"/>
                <w:szCs w:val="16"/>
              </w:rPr>
              <w:t xml:space="preserve">Pozostałe pozycje aktywów </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184CFB1E"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37 641 368</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5C4A6006"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2C52B3E0"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37 641 368</w:t>
            </w:r>
          </w:p>
        </w:tc>
      </w:tr>
      <w:tr w:rsidR="00916B8B" w:rsidRPr="00977E53" w14:paraId="2F954212" w14:textId="77777777" w:rsidTr="00916B8B">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46767ED3" w14:textId="77777777" w:rsidR="00916B8B" w:rsidRPr="00977E53" w:rsidRDefault="00916B8B" w:rsidP="00916B8B">
            <w:pPr>
              <w:rPr>
                <w:rFonts w:cs="Calibri"/>
                <w:b/>
                <w:bCs/>
                <w:color w:val="000000" w:themeColor="text1"/>
                <w:sz w:val="12"/>
                <w:szCs w:val="16"/>
              </w:rPr>
            </w:pPr>
            <w:r w:rsidRPr="00977E53">
              <w:rPr>
                <w:rFonts w:cs="Calibri"/>
                <w:b/>
                <w:bCs/>
                <w:color w:val="000000" w:themeColor="text1"/>
                <w:sz w:val="12"/>
                <w:szCs w:val="16"/>
              </w:rPr>
              <w:t xml:space="preserve">AKTYWA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4AEC4995"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131 177 338</w:t>
            </w:r>
          </w:p>
        </w:tc>
        <w:tc>
          <w:tcPr>
            <w:tcW w:w="1418" w:type="dxa"/>
            <w:tcBorders>
              <w:top w:val="nil"/>
              <w:left w:val="nil"/>
              <w:bottom w:val="single" w:sz="8" w:space="0" w:color="0077BD"/>
              <w:right w:val="single" w:sz="8" w:space="0" w:color="0077BD"/>
            </w:tcBorders>
            <w:shd w:val="clear" w:color="auto" w:fill="auto"/>
            <w:noWrap/>
            <w:vAlign w:val="center"/>
          </w:tcPr>
          <w:p w14:paraId="65CFA64E" w14:textId="77777777" w:rsidR="00916B8B" w:rsidRPr="00977E53" w:rsidRDefault="00916B8B" w:rsidP="00916B8B">
            <w:pPr>
              <w:jc w:val="right"/>
              <w:rPr>
                <w:rFonts w:cs="Calibri"/>
                <w:b/>
                <w:bCs/>
                <w:color w:val="000000" w:themeColor="text1"/>
                <w:sz w:val="12"/>
                <w:szCs w:val="12"/>
              </w:rPr>
            </w:pPr>
            <w:r w:rsidRPr="00977E53">
              <w:rPr>
                <w:b/>
                <w:color w:val="000000" w:themeColor="text1"/>
                <w:sz w:val="12"/>
                <w:szCs w:val="12"/>
              </w:rPr>
              <w:t>123 618</w:t>
            </w:r>
          </w:p>
        </w:tc>
        <w:tc>
          <w:tcPr>
            <w:tcW w:w="1417" w:type="dxa"/>
            <w:tcBorders>
              <w:top w:val="nil"/>
              <w:left w:val="nil"/>
              <w:bottom w:val="single" w:sz="8" w:space="0" w:color="0077BD"/>
              <w:right w:val="nil"/>
            </w:tcBorders>
            <w:shd w:val="clear" w:color="auto" w:fill="auto"/>
            <w:noWrap/>
            <w:vAlign w:val="center"/>
          </w:tcPr>
          <w:p w14:paraId="6A2BDB9F"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131 300 956</w:t>
            </w:r>
          </w:p>
        </w:tc>
      </w:tr>
    </w:tbl>
    <w:p w14:paraId="65844BAA" w14:textId="23C79B92" w:rsidR="00916B8B" w:rsidRPr="00916B8B" w:rsidRDefault="00916B8B" w:rsidP="00916B8B">
      <w:pPr>
        <w:jc w:val="both"/>
        <w:rPr>
          <w:rFonts w:cs="Tahoma"/>
          <w:color w:val="000000" w:themeColor="text1"/>
          <w:spacing w:val="-2"/>
          <w:sz w:val="12"/>
          <w:szCs w:val="12"/>
          <w:lang w:eastAsia="en-US"/>
        </w:rPr>
      </w:pPr>
    </w:p>
    <w:tbl>
      <w:tblPr>
        <w:tblW w:w="9639" w:type="dxa"/>
        <w:tblLayout w:type="fixed"/>
        <w:tblCellMar>
          <w:left w:w="28" w:type="dxa"/>
          <w:right w:w="28" w:type="dxa"/>
        </w:tblCellMar>
        <w:tblLook w:val="04A0" w:firstRow="1" w:lastRow="0" w:firstColumn="1" w:lastColumn="0" w:noHBand="0" w:noVBand="1"/>
      </w:tblPr>
      <w:tblGrid>
        <w:gridCol w:w="5400"/>
        <w:gridCol w:w="1404"/>
        <w:gridCol w:w="1418"/>
        <w:gridCol w:w="1417"/>
      </w:tblGrid>
      <w:tr w:rsidR="00916B8B" w:rsidRPr="004D4E5D" w14:paraId="41E745A9" w14:textId="77777777" w:rsidTr="00916B8B">
        <w:trPr>
          <w:trHeight w:val="510"/>
        </w:trPr>
        <w:tc>
          <w:tcPr>
            <w:tcW w:w="5400" w:type="dxa"/>
            <w:tcBorders>
              <w:top w:val="nil"/>
              <w:left w:val="nil"/>
              <w:right w:val="single" w:sz="8" w:space="0" w:color="FFFFFF"/>
            </w:tcBorders>
            <w:shd w:val="clear" w:color="000000" w:fill="0077BD"/>
            <w:vAlign w:val="center"/>
            <w:hideMark/>
          </w:tcPr>
          <w:p w14:paraId="237B2E69" w14:textId="77777777" w:rsidR="00916B8B" w:rsidRPr="004D4E5D" w:rsidRDefault="00916B8B" w:rsidP="00916B8B">
            <w:pPr>
              <w:rPr>
                <w:rFonts w:cs="Calibri"/>
                <w:b/>
                <w:bCs/>
                <w:color w:val="FFFFFF"/>
                <w:sz w:val="12"/>
                <w:szCs w:val="16"/>
              </w:rPr>
            </w:pPr>
            <w:r>
              <w:rPr>
                <w:rFonts w:cs="Calibri"/>
                <w:b/>
                <w:bCs/>
                <w:color w:val="FFFFFF"/>
                <w:sz w:val="12"/>
                <w:szCs w:val="16"/>
              </w:rPr>
              <w:t>ZOBOWIĄZANIA</w:t>
            </w:r>
          </w:p>
        </w:tc>
        <w:tc>
          <w:tcPr>
            <w:tcW w:w="1404" w:type="dxa"/>
            <w:tcBorders>
              <w:top w:val="nil"/>
              <w:left w:val="nil"/>
              <w:right w:val="single" w:sz="8" w:space="0" w:color="FFFFFF"/>
            </w:tcBorders>
            <w:shd w:val="clear" w:color="000000" w:fill="0077BD"/>
            <w:vAlign w:val="center"/>
            <w:hideMark/>
          </w:tcPr>
          <w:p w14:paraId="47B03F78" w14:textId="77777777" w:rsidR="00916B8B" w:rsidRPr="004D4E5D" w:rsidRDefault="00916B8B" w:rsidP="00916B8B">
            <w:pPr>
              <w:jc w:val="right"/>
              <w:rPr>
                <w:rFonts w:cs="Calibri"/>
                <w:b/>
                <w:bCs/>
                <w:color w:val="FFFFFF"/>
                <w:sz w:val="12"/>
                <w:szCs w:val="16"/>
              </w:rPr>
            </w:pPr>
            <w:r>
              <w:rPr>
                <w:rFonts w:cs="Calibri"/>
                <w:b/>
                <w:bCs/>
                <w:color w:val="FFFFFF"/>
                <w:sz w:val="12"/>
                <w:szCs w:val="16"/>
              </w:rPr>
              <w:t>01</w:t>
            </w:r>
            <w:r w:rsidRPr="004D4E5D">
              <w:rPr>
                <w:rFonts w:cs="Calibri"/>
                <w:b/>
                <w:bCs/>
                <w:color w:val="FFFFFF"/>
                <w:sz w:val="12"/>
                <w:szCs w:val="16"/>
              </w:rPr>
              <w:t>.</w:t>
            </w:r>
            <w:r>
              <w:rPr>
                <w:rFonts w:cs="Calibri"/>
                <w:b/>
                <w:bCs/>
                <w:color w:val="FFFFFF"/>
                <w:sz w:val="12"/>
                <w:szCs w:val="16"/>
              </w:rPr>
              <w:t>01</w:t>
            </w:r>
            <w:r w:rsidRPr="004D4E5D">
              <w:rPr>
                <w:rFonts w:cs="Calibri"/>
                <w:b/>
                <w:bCs/>
                <w:color w:val="FFFFFF"/>
                <w:sz w:val="12"/>
                <w:szCs w:val="16"/>
              </w:rPr>
              <w:t>.2018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hideMark/>
          </w:tcPr>
          <w:p w14:paraId="4F7FC9D1" w14:textId="77777777" w:rsidR="00916B8B" w:rsidRPr="004D4E5D" w:rsidRDefault="00916B8B" w:rsidP="00916B8B">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hideMark/>
          </w:tcPr>
          <w:p w14:paraId="746E2DFD" w14:textId="77777777" w:rsidR="00916B8B" w:rsidRPr="004D4E5D" w:rsidRDefault="00916B8B" w:rsidP="00916B8B">
            <w:pPr>
              <w:jc w:val="right"/>
              <w:rPr>
                <w:rFonts w:cs="Calibri"/>
                <w:b/>
                <w:bCs/>
                <w:color w:val="FFFFFF"/>
                <w:sz w:val="12"/>
                <w:szCs w:val="16"/>
              </w:rPr>
            </w:pPr>
            <w:r>
              <w:rPr>
                <w:rFonts w:cs="Calibri"/>
                <w:b/>
                <w:bCs/>
                <w:color w:val="FFFFFF"/>
                <w:sz w:val="12"/>
                <w:szCs w:val="16"/>
              </w:rPr>
              <w:t>01</w:t>
            </w:r>
            <w:r w:rsidRPr="004D4E5D">
              <w:rPr>
                <w:rFonts w:cs="Calibri"/>
                <w:b/>
                <w:bCs/>
                <w:color w:val="FFFFFF"/>
                <w:sz w:val="12"/>
                <w:szCs w:val="16"/>
              </w:rPr>
              <w:t>.</w:t>
            </w:r>
            <w:r>
              <w:rPr>
                <w:rFonts w:cs="Calibri"/>
                <w:b/>
                <w:bCs/>
                <w:color w:val="FFFFFF"/>
                <w:sz w:val="12"/>
                <w:szCs w:val="16"/>
              </w:rPr>
              <w:t>01</w:t>
            </w:r>
            <w:r w:rsidRPr="004D4E5D">
              <w:rPr>
                <w:rFonts w:cs="Calibri"/>
                <w:b/>
                <w:bCs/>
                <w:color w:val="FFFFFF"/>
                <w:sz w:val="12"/>
                <w:szCs w:val="16"/>
              </w:rPr>
              <w:t>.2018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16B8B" w:rsidRPr="00977E53" w14:paraId="54AA1D0A" w14:textId="77777777" w:rsidTr="00916B8B">
        <w:trPr>
          <w:trHeight w:val="255"/>
        </w:trPr>
        <w:tc>
          <w:tcPr>
            <w:tcW w:w="5400" w:type="dxa"/>
            <w:tcBorders>
              <w:left w:val="nil"/>
              <w:bottom w:val="single" w:sz="4" w:space="0" w:color="0077BD"/>
              <w:right w:val="single" w:sz="8" w:space="0" w:color="0077BD"/>
            </w:tcBorders>
            <w:shd w:val="clear" w:color="auto" w:fill="auto"/>
            <w:noWrap/>
            <w:vAlign w:val="center"/>
            <w:hideMark/>
          </w:tcPr>
          <w:p w14:paraId="60683CE2" w14:textId="77777777" w:rsidR="00916B8B" w:rsidRPr="00977E53" w:rsidRDefault="00916B8B" w:rsidP="00916B8B">
            <w:pPr>
              <w:rPr>
                <w:rFonts w:cs="Calibri"/>
                <w:bCs/>
                <w:color w:val="000000" w:themeColor="text1"/>
                <w:sz w:val="12"/>
                <w:szCs w:val="12"/>
              </w:rPr>
            </w:pPr>
            <w:r w:rsidRPr="00977E53">
              <w:rPr>
                <w:color w:val="000000" w:themeColor="text1"/>
                <w:sz w:val="12"/>
                <w:szCs w:val="12"/>
              </w:rPr>
              <w:t>Zobowiązania finansowe wyceniane w zamortyzowanym koszcie, w tym:</w:t>
            </w:r>
          </w:p>
        </w:tc>
        <w:tc>
          <w:tcPr>
            <w:tcW w:w="1404" w:type="dxa"/>
            <w:tcBorders>
              <w:left w:val="single" w:sz="8" w:space="0" w:color="0077BD"/>
              <w:bottom w:val="single" w:sz="4" w:space="0" w:color="0077BD"/>
              <w:right w:val="single" w:sz="8" w:space="0" w:color="0077BD"/>
            </w:tcBorders>
            <w:shd w:val="clear" w:color="auto" w:fill="auto"/>
            <w:noWrap/>
            <w:vAlign w:val="center"/>
          </w:tcPr>
          <w:p w14:paraId="19F497CD"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113 050 373</w:t>
            </w:r>
          </w:p>
        </w:tc>
        <w:tc>
          <w:tcPr>
            <w:tcW w:w="1418" w:type="dxa"/>
            <w:tcBorders>
              <w:left w:val="nil"/>
              <w:bottom w:val="single" w:sz="4" w:space="0" w:color="0077BD"/>
              <w:right w:val="single" w:sz="8" w:space="0" w:color="0077BD"/>
            </w:tcBorders>
            <w:shd w:val="clear" w:color="auto" w:fill="auto"/>
            <w:noWrap/>
            <w:vAlign w:val="center"/>
          </w:tcPr>
          <w:p w14:paraId="577043F3"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123 618</w:t>
            </w:r>
          </w:p>
        </w:tc>
        <w:tc>
          <w:tcPr>
            <w:tcW w:w="1417" w:type="dxa"/>
            <w:tcBorders>
              <w:left w:val="nil"/>
              <w:bottom w:val="single" w:sz="4" w:space="0" w:color="0077BD"/>
              <w:right w:val="nil"/>
            </w:tcBorders>
            <w:shd w:val="clear" w:color="auto" w:fill="auto"/>
            <w:noWrap/>
            <w:vAlign w:val="center"/>
          </w:tcPr>
          <w:p w14:paraId="08EBAF20"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113 173 991</w:t>
            </w:r>
          </w:p>
        </w:tc>
      </w:tr>
      <w:tr w:rsidR="00916B8B" w:rsidRPr="00977E53" w14:paraId="5617F76A"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1D28EE3D" w14:textId="77777777" w:rsidR="00916B8B" w:rsidRPr="00977E53" w:rsidRDefault="00916B8B" w:rsidP="00916B8B">
            <w:pPr>
              <w:rPr>
                <w:rFonts w:cs="Calibri"/>
                <w:bCs/>
                <w:i/>
                <w:color w:val="000000" w:themeColor="text1"/>
                <w:sz w:val="12"/>
                <w:szCs w:val="12"/>
              </w:rPr>
            </w:pPr>
            <w:r>
              <w:rPr>
                <w:i/>
                <w:color w:val="000000" w:themeColor="text1"/>
                <w:sz w:val="12"/>
                <w:szCs w:val="12"/>
              </w:rPr>
              <w:t>- Zobowiązania wobec klientów</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6485953" w14:textId="77777777" w:rsidR="00916B8B" w:rsidRPr="00977E53" w:rsidRDefault="00916B8B" w:rsidP="00916B8B">
            <w:pPr>
              <w:jc w:val="right"/>
              <w:rPr>
                <w:rFonts w:cs="Calibri"/>
                <w:bCs/>
                <w:i/>
                <w:color w:val="000000" w:themeColor="text1"/>
                <w:sz w:val="12"/>
                <w:szCs w:val="12"/>
              </w:rPr>
            </w:pPr>
            <w:r>
              <w:rPr>
                <w:rFonts w:cs="Calibri"/>
                <w:bCs/>
                <w:i/>
                <w:color w:val="000000" w:themeColor="text1"/>
                <w:sz w:val="12"/>
                <w:szCs w:val="12"/>
              </w:rPr>
              <w:t>91</w:t>
            </w:r>
            <w:r w:rsidRPr="00977E53">
              <w:rPr>
                <w:rFonts w:cs="Calibri"/>
                <w:bCs/>
                <w:i/>
                <w:color w:val="000000" w:themeColor="text1"/>
                <w:sz w:val="12"/>
                <w:szCs w:val="12"/>
              </w:rPr>
              <w:t> </w:t>
            </w:r>
            <w:r>
              <w:rPr>
                <w:rFonts w:cs="Calibri"/>
                <w:bCs/>
                <w:i/>
                <w:color w:val="000000" w:themeColor="text1"/>
                <w:sz w:val="12"/>
                <w:szCs w:val="12"/>
              </w:rPr>
              <w:t>496</w:t>
            </w:r>
            <w:r w:rsidRPr="00977E53">
              <w:rPr>
                <w:rFonts w:cs="Calibri"/>
                <w:bCs/>
                <w:i/>
                <w:color w:val="000000" w:themeColor="text1"/>
                <w:sz w:val="12"/>
                <w:szCs w:val="12"/>
              </w:rPr>
              <w:t xml:space="preserve"> </w:t>
            </w:r>
            <w:r>
              <w:rPr>
                <w:rFonts w:cs="Calibri"/>
                <w:bCs/>
                <w:i/>
                <w:color w:val="000000" w:themeColor="text1"/>
                <w:sz w:val="12"/>
                <w:szCs w:val="12"/>
              </w:rPr>
              <w:t>027</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6097A3B6" w14:textId="77777777" w:rsidR="00916B8B" w:rsidRPr="00977E53" w:rsidRDefault="00916B8B" w:rsidP="00916B8B">
            <w:pPr>
              <w:jc w:val="right"/>
              <w:rPr>
                <w:rFonts w:cs="Calibri"/>
                <w:bCs/>
                <w:i/>
                <w:color w:val="000000" w:themeColor="text1"/>
                <w:sz w:val="12"/>
                <w:szCs w:val="12"/>
              </w:rPr>
            </w:pPr>
            <w:r w:rsidRPr="00977E53">
              <w:rPr>
                <w:i/>
                <w:color w:val="000000" w:themeColor="text1"/>
                <w:sz w:val="12"/>
                <w:szCs w:val="12"/>
              </w:rPr>
              <w:t>123 618</w:t>
            </w:r>
          </w:p>
        </w:tc>
        <w:tc>
          <w:tcPr>
            <w:tcW w:w="1417" w:type="dxa"/>
            <w:tcBorders>
              <w:top w:val="single" w:sz="4" w:space="0" w:color="0077BD"/>
              <w:left w:val="nil"/>
              <w:bottom w:val="single" w:sz="4" w:space="0" w:color="0077BD"/>
              <w:right w:val="nil"/>
            </w:tcBorders>
            <w:shd w:val="clear" w:color="auto" w:fill="auto"/>
            <w:noWrap/>
            <w:vAlign w:val="center"/>
          </w:tcPr>
          <w:p w14:paraId="34705FCC" w14:textId="77777777" w:rsidR="00916B8B" w:rsidRPr="00977E53" w:rsidRDefault="00916B8B" w:rsidP="00916B8B">
            <w:pPr>
              <w:jc w:val="right"/>
              <w:rPr>
                <w:rFonts w:cs="Calibri"/>
                <w:bCs/>
                <w:i/>
                <w:color w:val="000000" w:themeColor="text1"/>
                <w:sz w:val="12"/>
                <w:szCs w:val="12"/>
              </w:rPr>
            </w:pPr>
            <w:r>
              <w:rPr>
                <w:rFonts w:cs="Calibri"/>
                <w:bCs/>
                <w:i/>
                <w:color w:val="000000" w:themeColor="text1"/>
                <w:sz w:val="12"/>
                <w:szCs w:val="12"/>
              </w:rPr>
              <w:t>9</w:t>
            </w:r>
            <w:r w:rsidRPr="00977E53">
              <w:rPr>
                <w:rFonts w:cs="Calibri"/>
                <w:bCs/>
                <w:i/>
                <w:color w:val="000000" w:themeColor="text1"/>
                <w:sz w:val="12"/>
                <w:szCs w:val="12"/>
              </w:rPr>
              <w:t>1</w:t>
            </w:r>
            <w:r>
              <w:rPr>
                <w:rFonts w:cs="Calibri"/>
                <w:bCs/>
                <w:i/>
                <w:color w:val="000000" w:themeColor="text1"/>
                <w:sz w:val="12"/>
                <w:szCs w:val="12"/>
              </w:rPr>
              <w:t xml:space="preserve"> 619</w:t>
            </w:r>
            <w:r w:rsidRPr="00977E53">
              <w:rPr>
                <w:rFonts w:cs="Calibri"/>
                <w:bCs/>
                <w:i/>
                <w:color w:val="000000" w:themeColor="text1"/>
                <w:sz w:val="12"/>
                <w:szCs w:val="12"/>
              </w:rPr>
              <w:t xml:space="preserve"> </w:t>
            </w:r>
            <w:r>
              <w:rPr>
                <w:rFonts w:cs="Calibri"/>
                <w:bCs/>
                <w:i/>
                <w:color w:val="000000" w:themeColor="text1"/>
                <w:sz w:val="12"/>
                <w:szCs w:val="12"/>
              </w:rPr>
              <w:t>645</w:t>
            </w:r>
          </w:p>
        </w:tc>
      </w:tr>
      <w:tr w:rsidR="00916B8B" w:rsidRPr="00977E53" w14:paraId="12D8FC2F"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707B8355" w14:textId="77777777" w:rsidR="00916B8B" w:rsidRPr="00977E53" w:rsidRDefault="00916B8B" w:rsidP="00916B8B">
            <w:pPr>
              <w:rPr>
                <w:rFonts w:cs="Calibri"/>
                <w:bCs/>
                <w:color w:val="000000" w:themeColor="text1"/>
                <w:sz w:val="12"/>
                <w:szCs w:val="12"/>
              </w:rPr>
            </w:pPr>
            <w:r w:rsidRPr="00977E53">
              <w:rPr>
                <w:color w:val="000000" w:themeColor="text1"/>
                <w:sz w:val="12"/>
                <w:szCs w:val="12"/>
              </w:rPr>
              <w:t>Inne zobowiązania</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D6A4E50"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2 573 711</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24B256A"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31 208</w:t>
            </w:r>
          </w:p>
        </w:tc>
        <w:tc>
          <w:tcPr>
            <w:tcW w:w="1417" w:type="dxa"/>
            <w:tcBorders>
              <w:top w:val="single" w:sz="4" w:space="0" w:color="0077BD"/>
              <w:left w:val="nil"/>
              <w:bottom w:val="single" w:sz="4" w:space="0" w:color="0077BD"/>
              <w:right w:val="nil"/>
            </w:tcBorders>
            <w:shd w:val="clear" w:color="auto" w:fill="auto"/>
            <w:noWrap/>
            <w:vAlign w:val="center"/>
          </w:tcPr>
          <w:p w14:paraId="17E6F886"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2 604 919</w:t>
            </w:r>
          </w:p>
        </w:tc>
      </w:tr>
      <w:tr w:rsidR="00916B8B" w:rsidRPr="00977E53" w14:paraId="5038DF53" w14:textId="77777777" w:rsidTr="00916B8B">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hideMark/>
          </w:tcPr>
          <w:p w14:paraId="294F56D7" w14:textId="77777777" w:rsidR="00916B8B" w:rsidRPr="00977E53" w:rsidRDefault="00916B8B" w:rsidP="00916B8B">
            <w:pPr>
              <w:rPr>
                <w:rFonts w:cs="Calibri"/>
                <w:bCs/>
                <w:color w:val="000000" w:themeColor="text1"/>
                <w:sz w:val="12"/>
                <w:szCs w:val="12"/>
              </w:rPr>
            </w:pPr>
            <w:r w:rsidRPr="00977E53">
              <w:rPr>
                <w:color w:val="000000" w:themeColor="text1"/>
                <w:sz w:val="12"/>
                <w:szCs w:val="12"/>
              </w:rPr>
              <w:t>Pozostałe pozycje zobowiązań</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63C33FAF"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1 555 284</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546F04A6" w14:textId="77777777" w:rsidR="00916B8B" w:rsidRPr="00977E53" w:rsidRDefault="00916B8B" w:rsidP="00916B8B">
            <w:pPr>
              <w:jc w:val="right"/>
              <w:rPr>
                <w:rFonts w:cs="Calibri"/>
                <w:bCs/>
                <w:color w:val="000000" w:themeColor="text1"/>
                <w:sz w:val="12"/>
                <w:szCs w:val="12"/>
              </w:rPr>
            </w:pPr>
            <w:r w:rsidRPr="00977E53">
              <w:rPr>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4212399C"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1 555 284</w:t>
            </w:r>
          </w:p>
        </w:tc>
      </w:tr>
      <w:tr w:rsidR="00916B8B" w:rsidRPr="00977E53" w14:paraId="69B7717D" w14:textId="77777777" w:rsidTr="00916B8B">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30DC6233" w14:textId="77777777" w:rsidR="00916B8B" w:rsidRPr="00977E53" w:rsidRDefault="00916B8B" w:rsidP="00916B8B">
            <w:pPr>
              <w:rPr>
                <w:rFonts w:cs="Calibri"/>
                <w:b/>
                <w:bCs/>
                <w:color w:val="000000" w:themeColor="text1"/>
                <w:sz w:val="12"/>
                <w:szCs w:val="16"/>
              </w:rPr>
            </w:pPr>
            <w:r w:rsidRPr="00977E53">
              <w:rPr>
                <w:rFonts w:cs="Calibri"/>
                <w:b/>
                <w:bCs/>
                <w:color w:val="000000" w:themeColor="text1"/>
                <w:sz w:val="12"/>
                <w:szCs w:val="16"/>
              </w:rPr>
              <w:t xml:space="preserve">ZOBOWIĄZANIA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11AFF959"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117 179 368</w:t>
            </w:r>
          </w:p>
        </w:tc>
        <w:tc>
          <w:tcPr>
            <w:tcW w:w="1418" w:type="dxa"/>
            <w:tcBorders>
              <w:top w:val="nil"/>
              <w:left w:val="nil"/>
              <w:bottom w:val="single" w:sz="8" w:space="0" w:color="0077BD"/>
              <w:right w:val="single" w:sz="8" w:space="0" w:color="0077BD"/>
            </w:tcBorders>
            <w:shd w:val="clear" w:color="auto" w:fill="auto"/>
            <w:noWrap/>
            <w:vAlign w:val="center"/>
          </w:tcPr>
          <w:p w14:paraId="26FD955D" w14:textId="77777777" w:rsidR="00916B8B" w:rsidRPr="00977E53" w:rsidRDefault="00916B8B" w:rsidP="00916B8B">
            <w:pPr>
              <w:jc w:val="right"/>
              <w:rPr>
                <w:rFonts w:cs="Calibri"/>
                <w:b/>
                <w:bCs/>
                <w:color w:val="000000" w:themeColor="text1"/>
                <w:sz w:val="12"/>
                <w:szCs w:val="12"/>
              </w:rPr>
            </w:pPr>
            <w:r w:rsidRPr="00977E53">
              <w:rPr>
                <w:b/>
                <w:color w:val="000000" w:themeColor="text1"/>
                <w:sz w:val="12"/>
                <w:szCs w:val="12"/>
              </w:rPr>
              <w:t>154 826</w:t>
            </w:r>
          </w:p>
        </w:tc>
        <w:tc>
          <w:tcPr>
            <w:tcW w:w="1417" w:type="dxa"/>
            <w:tcBorders>
              <w:top w:val="nil"/>
              <w:left w:val="nil"/>
              <w:bottom w:val="single" w:sz="8" w:space="0" w:color="0077BD"/>
              <w:right w:val="nil"/>
            </w:tcBorders>
            <w:shd w:val="clear" w:color="auto" w:fill="auto"/>
            <w:noWrap/>
            <w:vAlign w:val="center"/>
          </w:tcPr>
          <w:p w14:paraId="6957D5F1"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117 334 194</w:t>
            </w:r>
          </w:p>
        </w:tc>
      </w:tr>
      <w:tr w:rsidR="00916B8B" w:rsidRPr="004D4E5D" w14:paraId="16CBC765" w14:textId="77777777" w:rsidTr="00916B8B">
        <w:trPr>
          <w:trHeight w:val="510"/>
        </w:trPr>
        <w:tc>
          <w:tcPr>
            <w:tcW w:w="5400" w:type="dxa"/>
            <w:tcBorders>
              <w:top w:val="nil"/>
              <w:left w:val="nil"/>
              <w:right w:val="single" w:sz="8" w:space="0" w:color="FFFFFF"/>
            </w:tcBorders>
            <w:shd w:val="clear" w:color="000000" w:fill="0077BD"/>
            <w:vAlign w:val="center"/>
            <w:hideMark/>
          </w:tcPr>
          <w:p w14:paraId="3D89BAAD" w14:textId="77777777" w:rsidR="00916B8B" w:rsidRPr="004D4E5D" w:rsidRDefault="00916B8B" w:rsidP="00916B8B">
            <w:pPr>
              <w:rPr>
                <w:rFonts w:cs="Calibri"/>
                <w:b/>
                <w:bCs/>
                <w:color w:val="FFFFFF"/>
                <w:sz w:val="12"/>
                <w:szCs w:val="16"/>
              </w:rPr>
            </w:pPr>
            <w:r>
              <w:rPr>
                <w:rFonts w:cs="Calibri"/>
                <w:b/>
                <w:bCs/>
                <w:color w:val="FFFFFF"/>
                <w:sz w:val="12"/>
                <w:szCs w:val="16"/>
              </w:rPr>
              <w:t>KAPITAŁY</w:t>
            </w:r>
          </w:p>
        </w:tc>
        <w:tc>
          <w:tcPr>
            <w:tcW w:w="1404" w:type="dxa"/>
            <w:tcBorders>
              <w:top w:val="nil"/>
              <w:left w:val="nil"/>
              <w:right w:val="single" w:sz="8" w:space="0" w:color="FFFFFF"/>
            </w:tcBorders>
            <w:shd w:val="clear" w:color="000000" w:fill="0077BD"/>
            <w:vAlign w:val="center"/>
          </w:tcPr>
          <w:p w14:paraId="67CB58C2" w14:textId="77777777" w:rsidR="00916B8B" w:rsidRPr="004D4E5D" w:rsidRDefault="00916B8B" w:rsidP="00916B8B">
            <w:pPr>
              <w:jc w:val="right"/>
              <w:rPr>
                <w:rFonts w:cs="Calibri"/>
                <w:b/>
                <w:bCs/>
                <w:color w:val="FFFFFF"/>
                <w:sz w:val="12"/>
                <w:szCs w:val="16"/>
              </w:rPr>
            </w:pPr>
            <w:r>
              <w:rPr>
                <w:rFonts w:cs="Calibri"/>
                <w:b/>
                <w:bCs/>
                <w:color w:val="FFFFFF"/>
                <w:sz w:val="12"/>
                <w:szCs w:val="16"/>
              </w:rPr>
              <w:t>01</w:t>
            </w:r>
            <w:r w:rsidRPr="004D4E5D">
              <w:rPr>
                <w:rFonts w:cs="Calibri"/>
                <w:b/>
                <w:bCs/>
                <w:color w:val="FFFFFF"/>
                <w:sz w:val="12"/>
                <w:szCs w:val="16"/>
              </w:rPr>
              <w:t>.</w:t>
            </w:r>
            <w:r>
              <w:rPr>
                <w:rFonts w:cs="Calibri"/>
                <w:b/>
                <w:bCs/>
                <w:color w:val="FFFFFF"/>
                <w:sz w:val="12"/>
                <w:szCs w:val="16"/>
              </w:rPr>
              <w:t>01</w:t>
            </w:r>
            <w:r w:rsidRPr="004D4E5D">
              <w:rPr>
                <w:rFonts w:cs="Calibri"/>
                <w:b/>
                <w:bCs/>
                <w:color w:val="FFFFFF"/>
                <w:sz w:val="12"/>
                <w:szCs w:val="16"/>
              </w:rPr>
              <w:t>.2018</w:t>
            </w:r>
            <w:r w:rsidRPr="004D4E5D">
              <w:rPr>
                <w:rFonts w:cs="Calibri"/>
                <w:b/>
                <w:bCs/>
                <w:color w:val="FFFFFF"/>
                <w:sz w:val="12"/>
                <w:szCs w:val="16"/>
              </w:rPr>
              <w:br/>
              <w:t xml:space="preserve">przed </w:t>
            </w:r>
            <w:r w:rsidRPr="004D4E5D">
              <w:rPr>
                <w:rFonts w:cs="Calibri"/>
                <w:b/>
                <w:bCs/>
                <w:color w:val="FFFFFF"/>
                <w:sz w:val="12"/>
                <w:szCs w:val="16"/>
              </w:rPr>
              <w:br/>
              <w:t>przekształceniem</w:t>
            </w:r>
          </w:p>
        </w:tc>
        <w:tc>
          <w:tcPr>
            <w:tcW w:w="1418" w:type="dxa"/>
            <w:tcBorders>
              <w:top w:val="nil"/>
              <w:left w:val="nil"/>
              <w:right w:val="nil"/>
            </w:tcBorders>
            <w:shd w:val="clear" w:color="000000" w:fill="0077BD"/>
            <w:vAlign w:val="center"/>
          </w:tcPr>
          <w:p w14:paraId="7F19097A" w14:textId="77777777" w:rsidR="00916B8B" w:rsidRPr="004D4E5D" w:rsidRDefault="00916B8B" w:rsidP="00916B8B">
            <w:pPr>
              <w:jc w:val="right"/>
              <w:rPr>
                <w:rFonts w:cs="Calibri"/>
                <w:b/>
                <w:bCs/>
                <w:color w:val="FFFFFF"/>
                <w:sz w:val="12"/>
                <w:szCs w:val="16"/>
              </w:rPr>
            </w:pPr>
            <w:r w:rsidRPr="004D4E5D">
              <w:rPr>
                <w:rFonts w:cs="Calibri"/>
                <w:b/>
                <w:bCs/>
                <w:color w:val="FFFFFF"/>
                <w:sz w:val="12"/>
                <w:szCs w:val="16"/>
              </w:rPr>
              <w:t xml:space="preserve">Korekty  </w:t>
            </w:r>
          </w:p>
        </w:tc>
        <w:tc>
          <w:tcPr>
            <w:tcW w:w="1417" w:type="dxa"/>
            <w:tcBorders>
              <w:top w:val="nil"/>
              <w:left w:val="single" w:sz="8" w:space="0" w:color="FFFFFF"/>
              <w:right w:val="nil"/>
            </w:tcBorders>
            <w:shd w:val="clear" w:color="000000" w:fill="0077BD"/>
            <w:vAlign w:val="center"/>
          </w:tcPr>
          <w:p w14:paraId="7E8D88F3" w14:textId="77777777" w:rsidR="00916B8B" w:rsidRPr="004D4E5D" w:rsidRDefault="00916B8B" w:rsidP="00916B8B">
            <w:pPr>
              <w:jc w:val="right"/>
              <w:rPr>
                <w:rFonts w:cs="Calibri"/>
                <w:b/>
                <w:bCs/>
                <w:color w:val="FFFFFF"/>
                <w:sz w:val="12"/>
                <w:szCs w:val="16"/>
              </w:rPr>
            </w:pPr>
            <w:r>
              <w:rPr>
                <w:rFonts w:cs="Calibri"/>
                <w:b/>
                <w:bCs/>
                <w:color w:val="FFFFFF"/>
                <w:sz w:val="12"/>
                <w:szCs w:val="16"/>
              </w:rPr>
              <w:t>01</w:t>
            </w:r>
            <w:r w:rsidRPr="004D4E5D">
              <w:rPr>
                <w:rFonts w:cs="Calibri"/>
                <w:b/>
                <w:bCs/>
                <w:color w:val="FFFFFF"/>
                <w:sz w:val="12"/>
                <w:szCs w:val="16"/>
              </w:rPr>
              <w:t>.</w:t>
            </w:r>
            <w:r>
              <w:rPr>
                <w:rFonts w:cs="Calibri"/>
                <w:b/>
                <w:bCs/>
                <w:color w:val="FFFFFF"/>
                <w:sz w:val="12"/>
                <w:szCs w:val="16"/>
              </w:rPr>
              <w:t>01</w:t>
            </w:r>
            <w:r w:rsidRPr="004D4E5D">
              <w:rPr>
                <w:rFonts w:cs="Calibri"/>
                <w:b/>
                <w:bCs/>
                <w:color w:val="FFFFFF"/>
                <w:sz w:val="12"/>
                <w:szCs w:val="16"/>
              </w:rPr>
              <w:t>.2018</w:t>
            </w:r>
            <w:r w:rsidRPr="004D4E5D">
              <w:rPr>
                <w:rFonts w:cs="Calibri"/>
                <w:b/>
                <w:bCs/>
                <w:color w:val="FFFFFF"/>
                <w:sz w:val="12"/>
                <w:szCs w:val="16"/>
              </w:rPr>
              <w:br/>
              <w:t xml:space="preserve">po </w:t>
            </w:r>
            <w:r w:rsidRPr="004D4E5D">
              <w:rPr>
                <w:rFonts w:cs="Calibri"/>
                <w:b/>
                <w:bCs/>
                <w:color w:val="FFFFFF"/>
                <w:sz w:val="12"/>
                <w:szCs w:val="16"/>
              </w:rPr>
              <w:br/>
              <w:t>przekształceniu</w:t>
            </w:r>
          </w:p>
        </w:tc>
      </w:tr>
      <w:tr w:rsidR="00916B8B" w:rsidRPr="00977E53" w14:paraId="1CBC4E18" w14:textId="77777777" w:rsidTr="00916B8B">
        <w:trPr>
          <w:trHeight w:val="255"/>
        </w:trPr>
        <w:tc>
          <w:tcPr>
            <w:tcW w:w="5400" w:type="dxa"/>
            <w:tcBorders>
              <w:left w:val="nil"/>
              <w:bottom w:val="single" w:sz="4" w:space="0" w:color="0077BD"/>
              <w:right w:val="single" w:sz="8" w:space="0" w:color="0077BD"/>
            </w:tcBorders>
            <w:shd w:val="clear" w:color="auto" w:fill="auto"/>
            <w:noWrap/>
            <w:vAlign w:val="center"/>
            <w:hideMark/>
          </w:tcPr>
          <w:p w14:paraId="22AD1D93" w14:textId="77777777" w:rsidR="00916B8B" w:rsidRPr="00977E53" w:rsidRDefault="00916B8B" w:rsidP="00916B8B">
            <w:pPr>
              <w:rPr>
                <w:rFonts w:cs="Calibri"/>
                <w:b/>
                <w:bCs/>
                <w:color w:val="000000" w:themeColor="text1"/>
                <w:sz w:val="12"/>
                <w:szCs w:val="12"/>
              </w:rPr>
            </w:pPr>
            <w:r w:rsidRPr="00977E53">
              <w:rPr>
                <w:b/>
                <w:color w:val="000000" w:themeColor="text1"/>
                <w:sz w:val="12"/>
                <w:szCs w:val="12"/>
              </w:rPr>
              <w:t>Kapitały własne przypadające na akcjonariuszy mBanku S.A.</w:t>
            </w:r>
          </w:p>
        </w:tc>
        <w:tc>
          <w:tcPr>
            <w:tcW w:w="1404" w:type="dxa"/>
            <w:tcBorders>
              <w:left w:val="single" w:sz="8" w:space="0" w:color="0077BD"/>
              <w:bottom w:val="single" w:sz="4" w:space="0" w:color="0077BD"/>
              <w:right w:val="single" w:sz="8" w:space="0" w:color="0077BD"/>
            </w:tcBorders>
            <w:shd w:val="clear" w:color="auto" w:fill="auto"/>
            <w:noWrap/>
            <w:vAlign w:val="center"/>
          </w:tcPr>
          <w:p w14:paraId="66544680"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13 995 784</w:t>
            </w:r>
          </w:p>
        </w:tc>
        <w:tc>
          <w:tcPr>
            <w:tcW w:w="1418" w:type="dxa"/>
            <w:tcBorders>
              <w:left w:val="nil"/>
              <w:bottom w:val="single" w:sz="4" w:space="0" w:color="0077BD"/>
              <w:right w:val="single" w:sz="8" w:space="0" w:color="0077BD"/>
            </w:tcBorders>
            <w:shd w:val="clear" w:color="auto" w:fill="auto"/>
            <w:noWrap/>
            <w:vAlign w:val="center"/>
          </w:tcPr>
          <w:p w14:paraId="4A217BE2"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(31 208)</w:t>
            </w:r>
          </w:p>
        </w:tc>
        <w:tc>
          <w:tcPr>
            <w:tcW w:w="1417" w:type="dxa"/>
            <w:tcBorders>
              <w:left w:val="nil"/>
              <w:bottom w:val="single" w:sz="4" w:space="0" w:color="0077BD"/>
              <w:right w:val="nil"/>
            </w:tcBorders>
            <w:shd w:val="clear" w:color="auto" w:fill="auto"/>
            <w:noWrap/>
            <w:vAlign w:val="center"/>
          </w:tcPr>
          <w:p w14:paraId="019A6FB6"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13 964 576</w:t>
            </w:r>
          </w:p>
        </w:tc>
      </w:tr>
      <w:tr w:rsidR="00916B8B" w:rsidRPr="00977E53" w14:paraId="6EE76DCF"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7F0CB24D" w14:textId="77777777" w:rsidR="00916B8B" w:rsidRPr="00977E53" w:rsidRDefault="00916B8B" w:rsidP="00916B8B">
            <w:pPr>
              <w:rPr>
                <w:b/>
                <w:color w:val="000000" w:themeColor="text1"/>
                <w:sz w:val="12"/>
                <w:szCs w:val="12"/>
              </w:rPr>
            </w:pPr>
            <w:r w:rsidRPr="00977E53">
              <w:rPr>
                <w:b/>
                <w:color w:val="000000" w:themeColor="text1"/>
                <w:sz w:val="12"/>
                <w:szCs w:val="12"/>
              </w:rPr>
              <w:t>Kapitał podstawowy</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5213989"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3 564 176</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6A8FAE4"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4" w:space="0" w:color="0077BD"/>
              <w:right w:val="nil"/>
            </w:tcBorders>
            <w:shd w:val="clear" w:color="auto" w:fill="auto"/>
            <w:noWrap/>
            <w:vAlign w:val="center"/>
          </w:tcPr>
          <w:p w14:paraId="1BADA032"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3 564 176</w:t>
            </w:r>
          </w:p>
        </w:tc>
      </w:tr>
      <w:tr w:rsidR="00916B8B" w:rsidRPr="00977E53" w14:paraId="67B9DF0F"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3F6CA1A0" w14:textId="77777777" w:rsidR="00916B8B" w:rsidRPr="00977E53" w:rsidRDefault="00916B8B" w:rsidP="00916B8B">
            <w:pPr>
              <w:rPr>
                <w:b/>
                <w:color w:val="000000" w:themeColor="text1"/>
                <w:sz w:val="12"/>
                <w:szCs w:val="12"/>
              </w:rPr>
            </w:pPr>
            <w:r w:rsidRPr="00977E53">
              <w:rPr>
                <w:b/>
                <w:color w:val="000000" w:themeColor="text1"/>
                <w:sz w:val="12"/>
                <w:szCs w:val="12"/>
              </w:rPr>
              <w:t>Zyski zatrzymane</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58141AE"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10 326 136</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AC17FCA"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(31 208)</w:t>
            </w:r>
          </w:p>
        </w:tc>
        <w:tc>
          <w:tcPr>
            <w:tcW w:w="1417" w:type="dxa"/>
            <w:tcBorders>
              <w:top w:val="single" w:sz="4" w:space="0" w:color="0077BD"/>
              <w:left w:val="nil"/>
              <w:bottom w:val="single" w:sz="4" w:space="0" w:color="0077BD"/>
              <w:right w:val="nil"/>
            </w:tcBorders>
            <w:shd w:val="clear" w:color="auto" w:fill="auto"/>
            <w:noWrap/>
            <w:vAlign w:val="center"/>
          </w:tcPr>
          <w:p w14:paraId="3C50181D"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10 294 928</w:t>
            </w:r>
          </w:p>
        </w:tc>
      </w:tr>
      <w:tr w:rsidR="00916B8B" w:rsidRPr="00977E53" w14:paraId="6586F901"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60AF2A13" w14:textId="77777777" w:rsidR="00916B8B" w:rsidRPr="00977E53" w:rsidRDefault="00916B8B" w:rsidP="00916B8B">
            <w:pPr>
              <w:rPr>
                <w:color w:val="000000" w:themeColor="text1"/>
                <w:sz w:val="12"/>
                <w:szCs w:val="12"/>
              </w:rPr>
            </w:pPr>
            <w:r w:rsidRPr="00977E53">
              <w:rPr>
                <w:color w:val="000000" w:themeColor="text1"/>
                <w:sz w:val="12"/>
                <w:szCs w:val="12"/>
              </w:rPr>
              <w:t>- Wynik finansowy z lat ubiegłych</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AEDFCC2"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10 326 136</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70680DB"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(31 208)</w:t>
            </w:r>
          </w:p>
        </w:tc>
        <w:tc>
          <w:tcPr>
            <w:tcW w:w="1417" w:type="dxa"/>
            <w:tcBorders>
              <w:top w:val="single" w:sz="4" w:space="0" w:color="0077BD"/>
              <w:left w:val="nil"/>
              <w:bottom w:val="single" w:sz="4" w:space="0" w:color="0077BD"/>
              <w:right w:val="nil"/>
            </w:tcBorders>
            <w:shd w:val="clear" w:color="auto" w:fill="auto"/>
            <w:noWrap/>
            <w:vAlign w:val="center"/>
          </w:tcPr>
          <w:p w14:paraId="2F8A3E5B" w14:textId="77777777" w:rsidR="00916B8B" w:rsidRPr="00977E53" w:rsidRDefault="00916B8B" w:rsidP="00916B8B">
            <w:pPr>
              <w:jc w:val="right"/>
              <w:rPr>
                <w:rFonts w:cs="Calibri"/>
                <w:bCs/>
                <w:color w:val="000000" w:themeColor="text1"/>
                <w:sz w:val="12"/>
                <w:szCs w:val="12"/>
              </w:rPr>
            </w:pPr>
            <w:r w:rsidRPr="00977E53">
              <w:rPr>
                <w:rFonts w:cs="Calibri"/>
                <w:bCs/>
                <w:color w:val="000000" w:themeColor="text1"/>
                <w:sz w:val="12"/>
                <w:szCs w:val="12"/>
              </w:rPr>
              <w:t>10 294 928</w:t>
            </w:r>
          </w:p>
        </w:tc>
      </w:tr>
      <w:tr w:rsidR="00916B8B" w:rsidRPr="00977E53" w14:paraId="0B140C4A" w14:textId="77777777" w:rsidTr="00916B8B">
        <w:trPr>
          <w:trHeight w:val="255"/>
        </w:trPr>
        <w:tc>
          <w:tcPr>
            <w:tcW w:w="5400" w:type="dxa"/>
            <w:tcBorders>
              <w:top w:val="single" w:sz="4" w:space="0" w:color="0077BD"/>
              <w:left w:val="nil"/>
              <w:bottom w:val="single" w:sz="4" w:space="0" w:color="0077BD"/>
              <w:right w:val="single" w:sz="8" w:space="0" w:color="0077BD"/>
            </w:tcBorders>
            <w:shd w:val="clear" w:color="auto" w:fill="auto"/>
            <w:noWrap/>
            <w:vAlign w:val="center"/>
          </w:tcPr>
          <w:p w14:paraId="060B944D" w14:textId="77777777" w:rsidR="00916B8B" w:rsidRPr="00977E53" w:rsidRDefault="00916B8B" w:rsidP="00916B8B">
            <w:pPr>
              <w:rPr>
                <w:rFonts w:cs="Calibri"/>
                <w:b/>
                <w:bCs/>
                <w:color w:val="000000" w:themeColor="text1"/>
                <w:sz w:val="12"/>
                <w:szCs w:val="12"/>
              </w:rPr>
            </w:pPr>
            <w:r w:rsidRPr="00977E53">
              <w:rPr>
                <w:b/>
                <w:color w:val="000000" w:themeColor="text1"/>
                <w:sz w:val="12"/>
                <w:szCs w:val="12"/>
              </w:rPr>
              <w:t>Inne pozycje kapitału własnego</w:t>
            </w:r>
          </w:p>
        </w:tc>
        <w:tc>
          <w:tcPr>
            <w:tcW w:w="14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054507E5"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105 472</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44C9F54"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4" w:space="0" w:color="0077BD"/>
              <w:right w:val="nil"/>
            </w:tcBorders>
            <w:shd w:val="clear" w:color="auto" w:fill="auto"/>
            <w:noWrap/>
            <w:vAlign w:val="center"/>
          </w:tcPr>
          <w:p w14:paraId="4A8929C3"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105 472</w:t>
            </w:r>
          </w:p>
        </w:tc>
      </w:tr>
      <w:tr w:rsidR="00916B8B" w:rsidRPr="00977E53" w14:paraId="14DCC84F" w14:textId="77777777" w:rsidTr="00916B8B">
        <w:trPr>
          <w:trHeight w:val="255"/>
        </w:trPr>
        <w:tc>
          <w:tcPr>
            <w:tcW w:w="5400" w:type="dxa"/>
            <w:tcBorders>
              <w:top w:val="single" w:sz="4" w:space="0" w:color="0077BD"/>
              <w:left w:val="nil"/>
              <w:bottom w:val="single" w:sz="8" w:space="0" w:color="0077BD"/>
              <w:right w:val="single" w:sz="8" w:space="0" w:color="0077BD"/>
            </w:tcBorders>
            <w:shd w:val="clear" w:color="auto" w:fill="auto"/>
            <w:noWrap/>
            <w:vAlign w:val="center"/>
          </w:tcPr>
          <w:p w14:paraId="1B281C52" w14:textId="77777777" w:rsidR="00916B8B" w:rsidRPr="00977E53" w:rsidRDefault="00916B8B" w:rsidP="00916B8B">
            <w:pPr>
              <w:rPr>
                <w:rFonts w:cs="Calibri"/>
                <w:b/>
                <w:bCs/>
                <w:color w:val="000000" w:themeColor="text1"/>
                <w:sz w:val="12"/>
                <w:szCs w:val="12"/>
              </w:rPr>
            </w:pPr>
            <w:r w:rsidRPr="00977E53">
              <w:rPr>
                <w:b/>
                <w:color w:val="000000" w:themeColor="text1"/>
                <w:sz w:val="12"/>
                <w:szCs w:val="12"/>
              </w:rPr>
              <w:t>Udziały niekontrolujące</w:t>
            </w:r>
          </w:p>
        </w:tc>
        <w:tc>
          <w:tcPr>
            <w:tcW w:w="1404"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6CD33A6C"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2 186</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7E7529C2"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w:t>
            </w:r>
          </w:p>
        </w:tc>
        <w:tc>
          <w:tcPr>
            <w:tcW w:w="1417" w:type="dxa"/>
            <w:tcBorders>
              <w:top w:val="single" w:sz="4" w:space="0" w:color="0077BD"/>
              <w:left w:val="nil"/>
              <w:bottom w:val="single" w:sz="8" w:space="0" w:color="0077BD"/>
              <w:right w:val="nil"/>
            </w:tcBorders>
            <w:shd w:val="clear" w:color="auto" w:fill="auto"/>
            <w:noWrap/>
            <w:vAlign w:val="center"/>
          </w:tcPr>
          <w:p w14:paraId="6FCFE04C"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2 186</w:t>
            </w:r>
          </w:p>
        </w:tc>
      </w:tr>
      <w:tr w:rsidR="00916B8B" w:rsidRPr="00977E53" w14:paraId="100F561B" w14:textId="77777777" w:rsidTr="00916B8B">
        <w:trPr>
          <w:trHeight w:val="255"/>
        </w:trPr>
        <w:tc>
          <w:tcPr>
            <w:tcW w:w="5400" w:type="dxa"/>
            <w:tcBorders>
              <w:top w:val="nil"/>
              <w:left w:val="nil"/>
              <w:bottom w:val="single" w:sz="8" w:space="0" w:color="0077BD"/>
              <w:right w:val="single" w:sz="8" w:space="0" w:color="0077BD"/>
            </w:tcBorders>
            <w:shd w:val="clear" w:color="auto" w:fill="auto"/>
            <w:noWrap/>
            <w:vAlign w:val="center"/>
          </w:tcPr>
          <w:p w14:paraId="74FD4C8C" w14:textId="77777777" w:rsidR="00916B8B" w:rsidRPr="00977E53" w:rsidRDefault="00916B8B" w:rsidP="00916B8B">
            <w:pPr>
              <w:rPr>
                <w:rFonts w:cs="Calibri"/>
                <w:b/>
                <w:bCs/>
                <w:color w:val="000000" w:themeColor="text1"/>
                <w:sz w:val="12"/>
                <w:szCs w:val="16"/>
              </w:rPr>
            </w:pPr>
            <w:r w:rsidRPr="00977E53">
              <w:rPr>
                <w:rFonts w:cs="Calibri"/>
                <w:b/>
                <w:bCs/>
                <w:color w:val="000000" w:themeColor="text1"/>
                <w:sz w:val="12"/>
                <w:szCs w:val="16"/>
              </w:rPr>
              <w:t>KAPITAŁY RAZEM</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346E8C7F"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13 997 970</w:t>
            </w:r>
          </w:p>
        </w:tc>
        <w:tc>
          <w:tcPr>
            <w:tcW w:w="1418" w:type="dxa"/>
            <w:tcBorders>
              <w:top w:val="nil"/>
              <w:left w:val="nil"/>
              <w:bottom w:val="single" w:sz="8" w:space="0" w:color="0077BD"/>
              <w:right w:val="single" w:sz="8" w:space="0" w:color="0077BD"/>
            </w:tcBorders>
            <w:shd w:val="clear" w:color="auto" w:fill="auto"/>
            <w:noWrap/>
            <w:vAlign w:val="center"/>
          </w:tcPr>
          <w:p w14:paraId="1010C4DF" w14:textId="77777777" w:rsidR="00916B8B" w:rsidRPr="00977E53" w:rsidRDefault="00916B8B" w:rsidP="00916B8B">
            <w:pPr>
              <w:jc w:val="right"/>
              <w:rPr>
                <w:rFonts w:cs="Calibri"/>
                <w:b/>
                <w:color w:val="000000" w:themeColor="text1"/>
                <w:sz w:val="12"/>
                <w:szCs w:val="12"/>
              </w:rPr>
            </w:pPr>
            <w:r w:rsidRPr="00977E53">
              <w:rPr>
                <w:rFonts w:cs="Calibri"/>
                <w:b/>
                <w:color w:val="000000" w:themeColor="text1"/>
                <w:sz w:val="12"/>
                <w:szCs w:val="12"/>
              </w:rPr>
              <w:t>(31 208)</w:t>
            </w:r>
          </w:p>
        </w:tc>
        <w:tc>
          <w:tcPr>
            <w:tcW w:w="1417" w:type="dxa"/>
            <w:tcBorders>
              <w:top w:val="nil"/>
              <w:left w:val="nil"/>
              <w:bottom w:val="single" w:sz="8" w:space="0" w:color="0077BD"/>
              <w:right w:val="nil"/>
            </w:tcBorders>
            <w:shd w:val="clear" w:color="auto" w:fill="auto"/>
            <w:noWrap/>
            <w:vAlign w:val="center"/>
          </w:tcPr>
          <w:p w14:paraId="6E5D6597"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13 966 762</w:t>
            </w:r>
          </w:p>
        </w:tc>
      </w:tr>
      <w:tr w:rsidR="00916B8B" w:rsidRPr="00046547" w14:paraId="5D32E535" w14:textId="77777777" w:rsidTr="00916B8B">
        <w:trPr>
          <w:trHeight w:val="20"/>
        </w:trPr>
        <w:tc>
          <w:tcPr>
            <w:tcW w:w="5400" w:type="dxa"/>
            <w:tcBorders>
              <w:top w:val="single" w:sz="8" w:space="0" w:color="0077BD"/>
              <w:left w:val="nil"/>
              <w:bottom w:val="single" w:sz="8" w:space="0" w:color="0077BD"/>
            </w:tcBorders>
            <w:shd w:val="clear" w:color="auto" w:fill="auto"/>
            <w:noWrap/>
            <w:vAlign w:val="center"/>
          </w:tcPr>
          <w:p w14:paraId="37671437" w14:textId="77777777" w:rsidR="00916B8B" w:rsidRPr="00046547" w:rsidRDefault="00916B8B" w:rsidP="00916B8B">
            <w:pPr>
              <w:rPr>
                <w:rFonts w:cs="Calibri"/>
                <w:b/>
                <w:bCs/>
                <w:color w:val="000000" w:themeColor="text1"/>
                <w:sz w:val="8"/>
                <w:szCs w:val="8"/>
              </w:rPr>
            </w:pPr>
          </w:p>
        </w:tc>
        <w:tc>
          <w:tcPr>
            <w:tcW w:w="1404" w:type="dxa"/>
            <w:tcBorders>
              <w:top w:val="single" w:sz="8" w:space="0" w:color="0077BD"/>
              <w:bottom w:val="single" w:sz="8" w:space="0" w:color="0077BD"/>
            </w:tcBorders>
            <w:shd w:val="clear" w:color="auto" w:fill="auto"/>
            <w:noWrap/>
            <w:vAlign w:val="center"/>
          </w:tcPr>
          <w:p w14:paraId="087F439F" w14:textId="77777777" w:rsidR="00916B8B" w:rsidRPr="00046547" w:rsidRDefault="00916B8B" w:rsidP="00916B8B">
            <w:pPr>
              <w:jc w:val="right"/>
              <w:rPr>
                <w:rFonts w:cs="Calibri"/>
                <w:b/>
                <w:bCs/>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1551E2BC" w14:textId="77777777" w:rsidR="00916B8B" w:rsidRPr="00046547" w:rsidRDefault="00916B8B" w:rsidP="00916B8B">
            <w:pPr>
              <w:jc w:val="right"/>
              <w:rPr>
                <w:rFonts w:cs="Calibri"/>
                <w:color w:val="000000" w:themeColor="text1"/>
                <w:sz w:val="8"/>
                <w:szCs w:val="8"/>
              </w:rPr>
            </w:pPr>
          </w:p>
        </w:tc>
        <w:tc>
          <w:tcPr>
            <w:tcW w:w="1417" w:type="dxa"/>
            <w:tcBorders>
              <w:top w:val="single" w:sz="8" w:space="0" w:color="0077BD"/>
              <w:bottom w:val="single" w:sz="8" w:space="0" w:color="0077BD"/>
              <w:right w:val="nil"/>
            </w:tcBorders>
            <w:shd w:val="clear" w:color="auto" w:fill="auto"/>
            <w:noWrap/>
            <w:vAlign w:val="center"/>
          </w:tcPr>
          <w:p w14:paraId="01741414" w14:textId="77777777" w:rsidR="00916B8B" w:rsidRPr="00046547" w:rsidRDefault="00916B8B" w:rsidP="00916B8B">
            <w:pPr>
              <w:jc w:val="right"/>
              <w:rPr>
                <w:rFonts w:cs="Calibri"/>
                <w:b/>
                <w:bCs/>
                <w:color w:val="000000" w:themeColor="text1"/>
                <w:sz w:val="8"/>
                <w:szCs w:val="8"/>
              </w:rPr>
            </w:pPr>
          </w:p>
        </w:tc>
      </w:tr>
      <w:tr w:rsidR="00916B8B" w:rsidRPr="00977E53" w14:paraId="5104B1D2" w14:textId="77777777" w:rsidTr="00916B8B">
        <w:trPr>
          <w:trHeight w:val="255"/>
        </w:trPr>
        <w:tc>
          <w:tcPr>
            <w:tcW w:w="5400" w:type="dxa"/>
            <w:tcBorders>
              <w:top w:val="nil"/>
              <w:left w:val="nil"/>
              <w:bottom w:val="single" w:sz="8" w:space="0" w:color="0077BD"/>
              <w:right w:val="single" w:sz="8" w:space="0" w:color="0077BD"/>
            </w:tcBorders>
            <w:shd w:val="clear" w:color="auto" w:fill="auto"/>
            <w:noWrap/>
            <w:vAlign w:val="center"/>
            <w:hideMark/>
          </w:tcPr>
          <w:p w14:paraId="049006F6" w14:textId="77777777" w:rsidR="00916B8B" w:rsidRPr="00977E53" w:rsidRDefault="00916B8B" w:rsidP="00916B8B">
            <w:pPr>
              <w:rPr>
                <w:rFonts w:cs="Calibri"/>
                <w:b/>
                <w:bCs/>
                <w:color w:val="000000" w:themeColor="text1"/>
                <w:sz w:val="12"/>
                <w:szCs w:val="16"/>
              </w:rPr>
            </w:pPr>
            <w:r w:rsidRPr="00977E53">
              <w:rPr>
                <w:rFonts w:cs="Calibri"/>
                <w:b/>
                <w:bCs/>
                <w:color w:val="000000" w:themeColor="text1"/>
                <w:sz w:val="12"/>
                <w:szCs w:val="16"/>
              </w:rPr>
              <w:t xml:space="preserve">ZOBOWIĄZANIA I KAPITAŁY RAZEM </w:t>
            </w:r>
          </w:p>
        </w:tc>
        <w:tc>
          <w:tcPr>
            <w:tcW w:w="1404" w:type="dxa"/>
            <w:tcBorders>
              <w:top w:val="nil"/>
              <w:left w:val="single" w:sz="8" w:space="0" w:color="0077BD"/>
              <w:bottom w:val="single" w:sz="8" w:space="0" w:color="0077BD"/>
              <w:right w:val="single" w:sz="8" w:space="0" w:color="0077BD"/>
            </w:tcBorders>
            <w:shd w:val="clear" w:color="auto" w:fill="auto"/>
            <w:noWrap/>
            <w:vAlign w:val="center"/>
          </w:tcPr>
          <w:p w14:paraId="2467CF1B" w14:textId="77777777" w:rsidR="00916B8B" w:rsidRPr="00977E53" w:rsidRDefault="00916B8B" w:rsidP="00916B8B">
            <w:pPr>
              <w:jc w:val="right"/>
              <w:rPr>
                <w:rFonts w:cs="Calibri"/>
                <w:b/>
                <w:bCs/>
                <w:color w:val="000000" w:themeColor="text1"/>
                <w:sz w:val="12"/>
                <w:szCs w:val="12"/>
              </w:rPr>
            </w:pPr>
            <w:r w:rsidRPr="00977E53">
              <w:rPr>
                <w:rFonts w:cs="Calibri"/>
                <w:b/>
                <w:bCs/>
                <w:color w:val="000000" w:themeColor="text1"/>
                <w:sz w:val="12"/>
                <w:szCs w:val="12"/>
              </w:rPr>
              <w:t>131 177 338</w:t>
            </w:r>
          </w:p>
        </w:tc>
        <w:tc>
          <w:tcPr>
            <w:tcW w:w="1418" w:type="dxa"/>
            <w:tcBorders>
              <w:top w:val="nil"/>
              <w:left w:val="nil"/>
              <w:bottom w:val="single" w:sz="8" w:space="0" w:color="0077BD"/>
              <w:right w:val="single" w:sz="8" w:space="0" w:color="0077BD"/>
            </w:tcBorders>
            <w:shd w:val="clear" w:color="auto" w:fill="auto"/>
            <w:noWrap/>
            <w:vAlign w:val="center"/>
          </w:tcPr>
          <w:p w14:paraId="3D80FA14" w14:textId="77777777" w:rsidR="00916B8B" w:rsidRPr="00977E53" w:rsidRDefault="00916B8B" w:rsidP="00916B8B">
            <w:pPr>
              <w:jc w:val="right"/>
              <w:rPr>
                <w:rFonts w:cs="Calibri"/>
                <w:b/>
                <w:bCs/>
                <w:color w:val="000000" w:themeColor="text1"/>
                <w:sz w:val="12"/>
                <w:szCs w:val="12"/>
              </w:rPr>
            </w:pPr>
            <w:r>
              <w:rPr>
                <w:rFonts w:cs="Calibri"/>
                <w:b/>
                <w:bCs/>
                <w:color w:val="000000" w:themeColor="text1"/>
                <w:sz w:val="12"/>
                <w:szCs w:val="12"/>
              </w:rPr>
              <w:t>123 618</w:t>
            </w:r>
          </w:p>
        </w:tc>
        <w:tc>
          <w:tcPr>
            <w:tcW w:w="1417" w:type="dxa"/>
            <w:tcBorders>
              <w:top w:val="nil"/>
              <w:left w:val="nil"/>
              <w:bottom w:val="single" w:sz="8" w:space="0" w:color="0077BD"/>
              <w:right w:val="nil"/>
            </w:tcBorders>
            <w:shd w:val="clear" w:color="auto" w:fill="auto"/>
            <w:noWrap/>
            <w:vAlign w:val="center"/>
          </w:tcPr>
          <w:p w14:paraId="18069EBF" w14:textId="77777777" w:rsidR="00916B8B" w:rsidRPr="00977E53" w:rsidRDefault="00916B8B" w:rsidP="00916B8B">
            <w:pPr>
              <w:jc w:val="right"/>
              <w:rPr>
                <w:rFonts w:cs="Calibri"/>
                <w:b/>
                <w:bCs/>
                <w:color w:val="000000" w:themeColor="text1"/>
                <w:sz w:val="12"/>
                <w:szCs w:val="12"/>
              </w:rPr>
            </w:pPr>
            <w:r>
              <w:rPr>
                <w:rFonts w:cs="Calibri"/>
                <w:b/>
                <w:bCs/>
                <w:color w:val="000000" w:themeColor="text1"/>
                <w:sz w:val="12"/>
                <w:szCs w:val="12"/>
              </w:rPr>
              <w:t>131 300</w:t>
            </w:r>
            <w:r w:rsidRPr="00977E53">
              <w:rPr>
                <w:rFonts w:cs="Calibri"/>
                <w:b/>
                <w:bCs/>
                <w:color w:val="000000" w:themeColor="text1"/>
                <w:sz w:val="12"/>
                <w:szCs w:val="12"/>
              </w:rPr>
              <w:t xml:space="preserve"> </w:t>
            </w:r>
            <w:r>
              <w:rPr>
                <w:rFonts w:cs="Calibri"/>
                <w:b/>
                <w:bCs/>
                <w:color w:val="000000" w:themeColor="text1"/>
                <w:sz w:val="12"/>
                <w:szCs w:val="12"/>
              </w:rPr>
              <w:t>956</w:t>
            </w:r>
          </w:p>
        </w:tc>
      </w:tr>
    </w:tbl>
    <w:p w14:paraId="3BA7E89C" w14:textId="13056DBA" w:rsidR="00916B8B" w:rsidRDefault="00916B8B" w:rsidP="00CC1034">
      <w:pPr>
        <w:spacing w:before="120" w:after="120"/>
        <w:jc w:val="both"/>
        <w:rPr>
          <w:rFonts w:cs="Tahoma"/>
          <w:color w:val="000000" w:themeColor="text1"/>
          <w:spacing w:val="-2"/>
          <w:sz w:val="18"/>
          <w:szCs w:val="18"/>
          <w:lang w:eastAsia="en-US"/>
        </w:rPr>
      </w:pPr>
    </w:p>
    <w:p w14:paraId="524F3E54" w14:textId="77777777" w:rsidR="00916B8B" w:rsidRDefault="00916B8B">
      <w:pPr>
        <w:rPr>
          <w:rFonts w:cs="Tahoma"/>
          <w:color w:val="000000" w:themeColor="text1"/>
          <w:spacing w:val="-2"/>
          <w:sz w:val="18"/>
          <w:szCs w:val="18"/>
          <w:lang w:eastAsia="en-US"/>
        </w:rPr>
      </w:pPr>
      <w:r>
        <w:rPr>
          <w:rFonts w:cs="Tahoma"/>
          <w:color w:val="000000" w:themeColor="text1"/>
          <w:spacing w:val="-2"/>
          <w:sz w:val="18"/>
          <w:szCs w:val="18"/>
          <w:lang w:eastAsia="en-US"/>
        </w:rPr>
        <w:br w:type="page"/>
      </w:r>
    </w:p>
    <w:p w14:paraId="17C8D003" w14:textId="20462C34" w:rsidR="00FB4A33" w:rsidRPr="00E2738B" w:rsidRDefault="009846CC" w:rsidP="00213C8D">
      <w:pPr>
        <w:pStyle w:val="Nagwek2"/>
        <w:numPr>
          <w:ilvl w:val="0"/>
          <w:numId w:val="14"/>
        </w:numPr>
        <w:tabs>
          <w:tab w:val="clear" w:pos="720"/>
        </w:tabs>
        <w:suppressAutoHyphens/>
        <w:spacing w:before="0" w:after="120"/>
        <w:ind w:left="425" w:hanging="425"/>
        <w:jc w:val="both"/>
        <w:rPr>
          <w:rFonts w:cs="Tahoma"/>
          <w:bCs w:val="0"/>
          <w:iCs w:val="0"/>
          <w:color w:val="E41E0A"/>
          <w:sz w:val="18"/>
          <w:szCs w:val="18"/>
        </w:rPr>
      </w:pPr>
      <w:bookmarkStart w:id="96" w:name="_Toc32999819"/>
      <w:r w:rsidRPr="00E2738B">
        <w:rPr>
          <w:rFonts w:cs="Tahoma"/>
          <w:bCs w:val="0"/>
          <w:iCs w:val="0"/>
          <w:color w:val="E41E0A"/>
          <w:sz w:val="18"/>
          <w:szCs w:val="18"/>
        </w:rPr>
        <w:lastRenderedPageBreak/>
        <w:t>Zarządzanie r</w:t>
      </w:r>
      <w:r w:rsidR="00FB4A33" w:rsidRPr="00E2738B">
        <w:rPr>
          <w:rFonts w:cs="Tahoma"/>
          <w:bCs w:val="0"/>
          <w:iCs w:val="0"/>
          <w:color w:val="E41E0A"/>
          <w:sz w:val="18"/>
          <w:szCs w:val="18"/>
        </w:rPr>
        <w:t>yzykiem</w:t>
      </w:r>
      <w:bookmarkEnd w:id="96"/>
      <w:r w:rsidR="00FB4A33" w:rsidRPr="00E2738B">
        <w:rPr>
          <w:rFonts w:cs="Tahoma"/>
          <w:bCs w:val="0"/>
          <w:iCs w:val="0"/>
          <w:color w:val="E41E0A"/>
          <w:sz w:val="18"/>
          <w:szCs w:val="18"/>
        </w:rPr>
        <w:t xml:space="preserve"> </w:t>
      </w:r>
    </w:p>
    <w:p w14:paraId="0DE0C87A" w14:textId="1AFC8352" w:rsidR="00C5656E" w:rsidRPr="00977E53" w:rsidRDefault="001954E6" w:rsidP="00467ED8">
      <w:pPr>
        <w:suppressAutoHyphens/>
        <w:spacing w:before="120"/>
        <w:jc w:val="both"/>
        <w:rPr>
          <w:rFonts w:cs="Tahoma"/>
          <w:color w:val="000000" w:themeColor="text1"/>
          <w:sz w:val="18"/>
          <w:szCs w:val="18"/>
        </w:rPr>
      </w:pPr>
      <w:r w:rsidRPr="00977E53">
        <w:rPr>
          <w:rFonts w:cs="Tahoma"/>
          <w:color w:val="000000" w:themeColor="text1"/>
          <w:sz w:val="18"/>
          <w:szCs w:val="18"/>
        </w:rPr>
        <w:t>Grupa mBanku zarządza ryzykiem w oparciu o wymagania nadzorcze oraz najlepsze praktyki rynkowe, formułując strategie, polityki oraz wytyczne w zakresie zarządzania ryzykiem. Funkcje i zadania związane z zarządzaniem ryzykiem występują na wszystkich szczeblach struktury organizacyjnej począwszy od Rady Nadzorczej a na jednostkach biznesowych Grupy skończywszy. Zarządzanie ryzykiem jest ujęte w jednolity proces realizowany przez wyspecjalizowane jednostki organizacyjne</w:t>
      </w:r>
      <w:r w:rsidR="00E627C7" w:rsidRPr="00977E53">
        <w:rPr>
          <w:rFonts w:cs="Tahoma"/>
          <w:color w:val="000000" w:themeColor="text1"/>
          <w:sz w:val="18"/>
          <w:szCs w:val="18"/>
        </w:rPr>
        <w:t>.</w:t>
      </w:r>
    </w:p>
    <w:p w14:paraId="0377AB71" w14:textId="77777777" w:rsidR="008A7B14" w:rsidRPr="00977E53" w:rsidRDefault="008A7B14" w:rsidP="008A7B14">
      <w:pPr>
        <w:suppressAutoHyphens/>
        <w:jc w:val="both"/>
        <w:rPr>
          <w:rFonts w:cs="Tahoma"/>
          <w:color w:val="000000" w:themeColor="text1"/>
          <w:sz w:val="18"/>
          <w:szCs w:val="18"/>
          <w:highlight w:val="yellow"/>
        </w:rPr>
      </w:pPr>
    </w:p>
    <w:p w14:paraId="37E9CDDA" w14:textId="16B2FFF0" w:rsidR="00203D18" w:rsidRPr="00166BB4" w:rsidRDefault="00F52176" w:rsidP="00213C8D">
      <w:pPr>
        <w:pStyle w:val="Akapitzlist"/>
        <w:keepNext/>
        <w:numPr>
          <w:ilvl w:val="1"/>
          <w:numId w:val="14"/>
        </w:numPr>
        <w:tabs>
          <w:tab w:val="num" w:pos="1224"/>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ind w:left="709" w:hanging="709"/>
        <w:jc w:val="both"/>
        <w:outlineLvl w:val="2"/>
        <w:rPr>
          <w:b/>
          <w:color w:val="E41E0A"/>
          <w:sz w:val="18"/>
          <w:szCs w:val="18"/>
          <w:lang w:eastAsia="en-US"/>
        </w:rPr>
      </w:pPr>
      <w:bookmarkStart w:id="97" w:name="_Toc411261063"/>
      <w:bookmarkStart w:id="98" w:name="_Toc32999820"/>
      <w:r w:rsidRPr="00166BB4">
        <w:rPr>
          <w:b/>
          <w:color w:val="E41E0A"/>
          <w:sz w:val="18"/>
          <w:szCs w:val="18"/>
          <w:lang w:eastAsia="en-US"/>
        </w:rPr>
        <w:t>Zarządzanie ryzykiem</w:t>
      </w:r>
      <w:r w:rsidR="001876E4">
        <w:rPr>
          <w:b/>
          <w:color w:val="E41E0A"/>
          <w:sz w:val="18"/>
          <w:szCs w:val="18"/>
          <w:lang w:eastAsia="en-US"/>
        </w:rPr>
        <w:t xml:space="preserve"> Grupy mBanku w 2019</w:t>
      </w:r>
      <w:r w:rsidR="00203D18" w:rsidRPr="00166BB4">
        <w:rPr>
          <w:b/>
          <w:color w:val="E41E0A"/>
          <w:sz w:val="18"/>
          <w:szCs w:val="18"/>
          <w:lang w:eastAsia="en-US"/>
        </w:rPr>
        <w:t xml:space="preserve"> roku </w:t>
      </w:r>
      <w:r w:rsidR="00B57EE0" w:rsidRPr="00166BB4">
        <w:rPr>
          <w:b/>
          <w:color w:val="E41E0A"/>
          <w:sz w:val="18"/>
          <w:szCs w:val="18"/>
          <w:lang w:eastAsia="en-US"/>
        </w:rPr>
        <w:t>–</w:t>
      </w:r>
      <w:r w:rsidR="00203D18" w:rsidRPr="00166BB4">
        <w:rPr>
          <w:b/>
          <w:color w:val="E41E0A"/>
          <w:sz w:val="18"/>
          <w:szCs w:val="18"/>
          <w:lang w:eastAsia="en-US"/>
        </w:rPr>
        <w:t xml:space="preserve"> </w:t>
      </w:r>
      <w:bookmarkEnd w:id="97"/>
      <w:r w:rsidR="00B57EE0" w:rsidRPr="00166BB4">
        <w:rPr>
          <w:b/>
          <w:color w:val="E41E0A"/>
          <w:sz w:val="18"/>
          <w:szCs w:val="18"/>
          <w:lang w:eastAsia="en-US"/>
        </w:rPr>
        <w:t>uwarunkowania zewnętrzne</w:t>
      </w:r>
      <w:bookmarkEnd w:id="98"/>
    </w:p>
    <w:p w14:paraId="6B6F1BC7" w14:textId="283D2C4E" w:rsidR="001954E6" w:rsidRPr="003420F5" w:rsidRDefault="001954E6" w:rsidP="001954E6">
      <w:pPr>
        <w:spacing w:before="120" w:after="120"/>
        <w:jc w:val="both"/>
        <w:rPr>
          <w:rFonts w:eastAsia="Calibri"/>
          <w:color w:val="000000" w:themeColor="text1"/>
          <w:sz w:val="18"/>
          <w:szCs w:val="18"/>
          <w:lang w:eastAsia="en-US"/>
        </w:rPr>
      </w:pPr>
      <w:r w:rsidRPr="003420F5">
        <w:rPr>
          <w:rFonts w:eastAsia="Calibri"/>
          <w:color w:val="000000" w:themeColor="text1"/>
          <w:sz w:val="18"/>
          <w:szCs w:val="18"/>
          <w:lang w:eastAsia="en-US"/>
        </w:rPr>
        <w:t>Bank jest w trakcie wprowadzania zmian, które wynikają z Rozporządzenia Delegowanego Komisji (UE) 2018/1620 z 13 lipca 2018 roku w odniesieniu do wymogu pokrycia wypływów netto dla instytucji i ich wpływu na stosowany sposób kalkulacji wskaźnika LCR. Bank stosuje wskaźnik LCR jako kluczowy wskaźnik pomiaru ryzyka płynności w kontekście planu naprawy.</w:t>
      </w:r>
    </w:p>
    <w:p w14:paraId="20898E2B" w14:textId="21033705" w:rsidR="001954E6" w:rsidRPr="003420F5" w:rsidRDefault="001954E6" w:rsidP="001954E6">
      <w:pPr>
        <w:spacing w:after="120"/>
        <w:jc w:val="both"/>
        <w:rPr>
          <w:rFonts w:eastAsia="Calibri"/>
          <w:color w:val="000000" w:themeColor="text1"/>
          <w:sz w:val="18"/>
          <w:szCs w:val="18"/>
          <w:lang w:eastAsia="en-US"/>
        </w:rPr>
      </w:pPr>
      <w:r w:rsidRPr="003420F5">
        <w:rPr>
          <w:rFonts w:eastAsia="Calibri"/>
          <w:color w:val="000000" w:themeColor="text1"/>
          <w:sz w:val="18"/>
          <w:szCs w:val="18"/>
          <w:lang w:eastAsia="en-US"/>
        </w:rPr>
        <w:t>W związku z publikacją Rozporządzenia Parlamentu Europejskiego i Rady (UE) 2019/876 z 20 maja 2019 roku oraz Dyrektywy Parlamentu Europejskiego i Rady (UE) 2019/878 z 20 maja 2019 roku zmieniających pakiet regulacji CRR/CRD IV (Capital Requirements Regulation &amp; Capital Requirements Directive), Grupa mBanku prowadzi prace mające na celu analizę nowych wymagań regulacyjnych oraz ich implementację. Większość zmian do Rozporządzenia CRR będzie miała zastosowanie po upływie 2 lat od daty wejścia w życie regulacji.</w:t>
      </w:r>
    </w:p>
    <w:p w14:paraId="581FB840" w14:textId="63C5C46B" w:rsidR="001954E6" w:rsidRPr="003420F5" w:rsidRDefault="001954E6" w:rsidP="001954E6">
      <w:pPr>
        <w:spacing w:after="120"/>
        <w:jc w:val="both"/>
        <w:rPr>
          <w:rFonts w:eastAsia="Calibri"/>
          <w:color w:val="000000" w:themeColor="text1"/>
          <w:sz w:val="18"/>
          <w:szCs w:val="18"/>
          <w:lang w:eastAsia="en-US"/>
        </w:rPr>
      </w:pPr>
      <w:r w:rsidRPr="003420F5">
        <w:rPr>
          <w:rFonts w:eastAsia="Calibri"/>
          <w:color w:val="000000" w:themeColor="text1"/>
          <w:sz w:val="18"/>
          <w:szCs w:val="18"/>
          <w:lang w:eastAsia="en-US"/>
        </w:rPr>
        <w:t>W ramach zmian są między innymi nowe metody kalkulacji wymogów kapitałowych z tytułu ryzyka kredytowego kontrahenta, a także z tytułu ryzyka rynkowego, które zastąpią metody stosowane dotychczas. Zaproponowano zmianę podejścia do traktowania ekspozycji wobec kontrahenta centralnego, rozszerzenie „zachęt” kapitałowych dla banków finansujących podmioty MŚP i wprowadzono minimalną wysokość wskaźnika dźwigni finansowej na poziomie 3%. Bank analizuje zmiany, które wpływają na</w:t>
      </w:r>
      <w:r w:rsidR="00BE6938">
        <w:rPr>
          <w:rFonts w:eastAsia="Calibri"/>
          <w:color w:val="000000" w:themeColor="text1"/>
          <w:sz w:val="18"/>
          <w:szCs w:val="18"/>
          <w:lang w:eastAsia="en-US"/>
        </w:rPr>
        <w:t> </w:t>
      </w:r>
      <w:r w:rsidRPr="003420F5">
        <w:rPr>
          <w:rFonts w:eastAsia="Calibri"/>
          <w:color w:val="000000" w:themeColor="text1"/>
          <w:sz w:val="18"/>
          <w:szCs w:val="18"/>
          <w:lang w:eastAsia="en-US"/>
        </w:rPr>
        <w:t>kalkulację wskaźnika stabilnego finansowania netto (NSFR), wprowadzając między innymi wymóg dla wskaźnika na poziomie 100%, obowiązujący od 28 czerwca 2021 roku.</w:t>
      </w:r>
    </w:p>
    <w:p w14:paraId="53EC44AB" w14:textId="7CFFE316" w:rsidR="001954E6" w:rsidRPr="003420F5" w:rsidRDefault="0036695A" w:rsidP="001954E6">
      <w:pPr>
        <w:spacing w:after="120"/>
        <w:jc w:val="both"/>
        <w:rPr>
          <w:rFonts w:eastAsia="Calibri"/>
          <w:color w:val="000000" w:themeColor="text1"/>
          <w:sz w:val="18"/>
          <w:szCs w:val="18"/>
          <w:lang w:eastAsia="en-US"/>
        </w:rPr>
      </w:pPr>
      <w:r w:rsidRPr="003420F5">
        <w:rPr>
          <w:rFonts w:eastAsia="Calibri"/>
          <w:color w:val="000000" w:themeColor="text1"/>
          <w:sz w:val="18"/>
          <w:szCs w:val="18"/>
          <w:lang w:eastAsia="en-US"/>
        </w:rPr>
        <w:t>W 2019 roku</w:t>
      </w:r>
      <w:r w:rsidR="001954E6" w:rsidRPr="003420F5">
        <w:rPr>
          <w:rFonts w:eastAsia="Calibri"/>
          <w:color w:val="000000" w:themeColor="text1"/>
          <w:sz w:val="18"/>
          <w:szCs w:val="18"/>
          <w:lang w:eastAsia="en-US"/>
        </w:rPr>
        <w:t xml:space="preserve"> opublikowano zmianę Rozporządzenia CRR, która ma na celu ograniczanie ryzyka, jakie niosą wysokie wolumeny kredytów zagrożonych. Wprowadza ona minimalny poziom pokrycia strat z tytułu kredytów niepracujących. W przypadku, gdy wymóg ten nie będzie spełniony, wprowadza karę w postaci pomniejszenia kapitału podstawowego Tier 1 o różnicę między poziomem minimalnego a faktycznego pokrycia kredytów niepracujących. Nowe wymaganie wprowadzane jest stopniowo, a wpływ nowych przepisów będzie widoczny dopiero po kilku latach od ich wejścia w życie.</w:t>
      </w:r>
    </w:p>
    <w:p w14:paraId="2A1330A9" w14:textId="280DD133" w:rsidR="001954E6" w:rsidRPr="003420F5" w:rsidRDefault="001954E6" w:rsidP="001954E6">
      <w:pPr>
        <w:spacing w:after="120"/>
        <w:jc w:val="both"/>
        <w:rPr>
          <w:rFonts w:eastAsia="Calibri"/>
          <w:color w:val="000000" w:themeColor="text1"/>
          <w:sz w:val="18"/>
          <w:szCs w:val="18"/>
          <w:lang w:eastAsia="en-US"/>
        </w:rPr>
      </w:pPr>
      <w:r w:rsidRPr="003420F5">
        <w:rPr>
          <w:rFonts w:eastAsia="Calibri"/>
          <w:color w:val="000000" w:themeColor="text1"/>
          <w:sz w:val="18"/>
          <w:szCs w:val="18"/>
          <w:lang w:eastAsia="en-US"/>
        </w:rPr>
        <w:t xml:space="preserve">W ramach zmian przepisów Dyrektywy </w:t>
      </w:r>
      <w:r w:rsidR="0036695A" w:rsidRPr="003420F5">
        <w:rPr>
          <w:rFonts w:eastAsia="Calibri"/>
          <w:color w:val="000000" w:themeColor="text1"/>
          <w:sz w:val="18"/>
          <w:szCs w:val="18"/>
          <w:lang w:eastAsia="en-US"/>
        </w:rPr>
        <w:t>CRD IV, opublikowanych w 2019 roku</w:t>
      </w:r>
      <w:r w:rsidRPr="003420F5">
        <w:rPr>
          <w:rFonts w:eastAsia="Calibri"/>
          <w:color w:val="000000" w:themeColor="text1"/>
          <w:sz w:val="18"/>
          <w:szCs w:val="18"/>
          <w:lang w:eastAsia="en-US"/>
        </w:rPr>
        <w:t>, uszczegółowiono wytyczne w zakresie ograniczenia wypłat z zysków. Doprecyzowano zapisy dotyczące stosowania narzędzi nadzorczych w celach mikro</w:t>
      </w:r>
      <w:r w:rsidR="0036695A" w:rsidRPr="003420F5">
        <w:rPr>
          <w:rFonts w:eastAsia="Calibri"/>
          <w:color w:val="000000" w:themeColor="text1"/>
          <w:sz w:val="18"/>
          <w:szCs w:val="18"/>
          <w:lang w:eastAsia="en-US"/>
        </w:rPr>
        <w:t xml:space="preserve"> </w:t>
      </w:r>
      <w:r w:rsidRPr="003420F5">
        <w:rPr>
          <w:rFonts w:eastAsia="Calibri"/>
          <w:color w:val="000000" w:themeColor="text1"/>
          <w:sz w:val="18"/>
          <w:szCs w:val="18"/>
          <w:lang w:eastAsia="en-US"/>
        </w:rPr>
        <w:t>- oraz makroostrożnościowych oraz zmiany w zakresie kalibracji buforów kapitałowych. Zaadresowano oczekiwania nadzorcze co do konieczności wystandaryzowania metodologii zarządzania ryzykiem stopy procentowej w portfelu bankowym w celu identyfikacji, oceny, zarządzania oraz mitygowania ryzyka. Zmiany Dyrektywy CRD IV powinny zostać wdrożone w Polsce przed końcem 2020 r</w:t>
      </w:r>
      <w:r w:rsidR="0036695A" w:rsidRPr="003420F5">
        <w:rPr>
          <w:rFonts w:eastAsia="Calibri"/>
          <w:color w:val="000000" w:themeColor="text1"/>
          <w:sz w:val="18"/>
          <w:szCs w:val="18"/>
          <w:lang w:eastAsia="en-US"/>
        </w:rPr>
        <w:t>oku.</w:t>
      </w:r>
    </w:p>
    <w:p w14:paraId="3D3E8362" w14:textId="7A0B52DC" w:rsidR="001954E6" w:rsidRPr="003420F5" w:rsidRDefault="001954E6" w:rsidP="001954E6">
      <w:pPr>
        <w:spacing w:after="120"/>
        <w:jc w:val="both"/>
        <w:rPr>
          <w:rFonts w:eastAsia="Calibri"/>
          <w:color w:val="000000" w:themeColor="text1"/>
          <w:sz w:val="18"/>
          <w:szCs w:val="18"/>
          <w:lang w:eastAsia="en-US"/>
        </w:rPr>
      </w:pPr>
      <w:r w:rsidRPr="003420F5">
        <w:rPr>
          <w:rFonts w:eastAsia="Calibri"/>
          <w:color w:val="000000" w:themeColor="text1"/>
          <w:sz w:val="18"/>
          <w:szCs w:val="18"/>
          <w:lang w:eastAsia="en-US"/>
        </w:rPr>
        <w:t>W związku z publikacją Dyrektywy Parlamentu Europejskiego i Rady (UE) 2019/879 z 20</w:t>
      </w:r>
      <w:r w:rsidR="0036695A" w:rsidRPr="003420F5">
        <w:rPr>
          <w:rFonts w:eastAsia="Calibri"/>
          <w:color w:val="000000" w:themeColor="text1"/>
          <w:sz w:val="18"/>
          <w:szCs w:val="18"/>
          <w:lang w:eastAsia="en-US"/>
        </w:rPr>
        <w:t xml:space="preserve"> maja </w:t>
      </w:r>
      <w:r w:rsidRPr="003420F5">
        <w:rPr>
          <w:rFonts w:eastAsia="Calibri"/>
          <w:color w:val="000000" w:themeColor="text1"/>
          <w:sz w:val="18"/>
          <w:szCs w:val="18"/>
          <w:lang w:eastAsia="en-US"/>
        </w:rPr>
        <w:t>2019 r</w:t>
      </w:r>
      <w:r w:rsidR="0036695A" w:rsidRPr="003420F5">
        <w:rPr>
          <w:rFonts w:eastAsia="Calibri"/>
          <w:color w:val="000000" w:themeColor="text1"/>
          <w:sz w:val="18"/>
          <w:szCs w:val="18"/>
          <w:lang w:eastAsia="en-US"/>
        </w:rPr>
        <w:t>oku</w:t>
      </w:r>
      <w:r w:rsidRPr="003420F5">
        <w:rPr>
          <w:rFonts w:eastAsia="Calibri"/>
          <w:color w:val="000000" w:themeColor="text1"/>
          <w:sz w:val="18"/>
          <w:szCs w:val="18"/>
          <w:lang w:eastAsia="en-US"/>
        </w:rPr>
        <w:t xml:space="preserve"> zmieniły się także przepisy Dyrektywy BRRD (Bank Recovery &amp; Resolution Directive). Nowe przepisy wymagają transpozycji do przepisów prawa krajowego. W dyrektywie o restrukturyzacji i uporządkowanej likwidacji zaproponowano zmiany dotyczące konstrukcji wskaźnika minimalnych wymogów w zakresie funduszy własnych i zobowiązań podlegających umorzeniu lub konwersji mające na celu</w:t>
      </w:r>
      <w:r w:rsidR="00263ED7">
        <w:rPr>
          <w:rFonts w:eastAsia="Calibri"/>
          <w:color w:val="000000" w:themeColor="text1"/>
          <w:sz w:val="18"/>
          <w:szCs w:val="18"/>
          <w:lang w:eastAsia="en-US"/>
        </w:rPr>
        <w:t xml:space="preserve"> spójność</w:t>
      </w:r>
      <w:r w:rsidRPr="003420F5">
        <w:rPr>
          <w:rFonts w:eastAsia="Calibri"/>
          <w:color w:val="000000" w:themeColor="text1"/>
          <w:sz w:val="18"/>
          <w:szCs w:val="18"/>
          <w:lang w:eastAsia="en-US"/>
        </w:rPr>
        <w:t xml:space="preserve"> tej normy z miarą TLAC (ang. total loss absorbing capacity). Zmiany dyrektywy BRRD mają zostać wdrożone do przepisów w Polsce przed końcem 2020 r</w:t>
      </w:r>
      <w:r w:rsidR="0036695A" w:rsidRPr="003420F5">
        <w:rPr>
          <w:rFonts w:eastAsia="Calibri"/>
          <w:color w:val="000000" w:themeColor="text1"/>
          <w:sz w:val="18"/>
          <w:szCs w:val="18"/>
          <w:lang w:eastAsia="en-US"/>
        </w:rPr>
        <w:t>oku</w:t>
      </w:r>
      <w:r w:rsidRPr="003420F5">
        <w:rPr>
          <w:rFonts w:eastAsia="Calibri"/>
          <w:color w:val="000000" w:themeColor="text1"/>
          <w:sz w:val="18"/>
          <w:szCs w:val="18"/>
          <w:lang w:eastAsia="en-US"/>
        </w:rPr>
        <w:t>.</w:t>
      </w:r>
    </w:p>
    <w:p w14:paraId="22432517" w14:textId="77777777" w:rsidR="001954E6" w:rsidRPr="003420F5" w:rsidRDefault="001954E6" w:rsidP="001954E6">
      <w:pPr>
        <w:spacing w:after="120"/>
        <w:jc w:val="both"/>
        <w:rPr>
          <w:color w:val="000000" w:themeColor="text1"/>
          <w:sz w:val="18"/>
          <w:szCs w:val="18"/>
        </w:rPr>
      </w:pPr>
      <w:r w:rsidRPr="003420F5">
        <w:rPr>
          <w:color w:val="000000" w:themeColor="text1"/>
          <w:sz w:val="18"/>
          <w:szCs w:val="18"/>
        </w:rPr>
        <w:t>Na zasady zarządzania ryzykiem w Banku wpływ mogą mieć również zmiany regulacyjne projektowane przez Europejski Urząd Nadzoru Bankowego (EUNB):</w:t>
      </w:r>
    </w:p>
    <w:p w14:paraId="04F298B5" w14:textId="77777777" w:rsidR="001954E6" w:rsidRPr="005C6C3F" w:rsidRDefault="001954E6" w:rsidP="005C6C3F">
      <w:pPr>
        <w:numPr>
          <w:ilvl w:val="0"/>
          <w:numId w:val="17"/>
        </w:numPr>
        <w:tabs>
          <w:tab w:val="clear" w:pos="1267"/>
          <w:tab w:val="num" w:pos="426"/>
        </w:tabs>
        <w:suppressAutoHyphens/>
        <w:spacing w:before="120" w:after="120"/>
        <w:ind w:left="425" w:right="-57" w:hanging="425"/>
        <w:jc w:val="both"/>
        <w:rPr>
          <w:rFonts w:cs="Tahoma"/>
          <w:bCs/>
          <w:color w:val="000000" w:themeColor="text1"/>
          <w:sz w:val="18"/>
          <w:szCs w:val="18"/>
        </w:rPr>
      </w:pPr>
      <w:r w:rsidRPr="005C6C3F">
        <w:rPr>
          <w:rFonts w:cs="Tahoma"/>
          <w:bCs/>
          <w:color w:val="000000" w:themeColor="text1"/>
          <w:sz w:val="18"/>
          <w:szCs w:val="18"/>
        </w:rPr>
        <w:t>W latach 2016-2019 EUNB w ramach szerszej inicjatywy regulacyjnej dotyczącej rewizji metody wewnętrznych ratingów (AIRB) opublikował dokumenty, które zawierają:</w:t>
      </w:r>
    </w:p>
    <w:p w14:paraId="69D917D1" w14:textId="77777777" w:rsidR="001954E6" w:rsidRPr="003420F5" w:rsidRDefault="001954E6" w:rsidP="006301B9">
      <w:pPr>
        <w:numPr>
          <w:ilvl w:val="1"/>
          <w:numId w:val="16"/>
        </w:numPr>
        <w:spacing w:after="120" w:line="259" w:lineRule="auto"/>
        <w:ind w:left="709" w:hanging="283"/>
        <w:jc w:val="both"/>
        <w:rPr>
          <w:color w:val="000000" w:themeColor="text1"/>
          <w:sz w:val="18"/>
          <w:szCs w:val="18"/>
        </w:rPr>
      </w:pPr>
      <w:r w:rsidRPr="003420F5">
        <w:rPr>
          <w:color w:val="000000" w:themeColor="text1"/>
          <w:sz w:val="18"/>
          <w:szCs w:val="18"/>
        </w:rPr>
        <w:t>wytyczne dotyczące zastosowania spójnej definicji defaultu, w tym określenia progów materialności dla ekspozycji kredytowych, których dotyczy niewykonanie zobowiązania,</w:t>
      </w:r>
    </w:p>
    <w:p w14:paraId="48739261" w14:textId="77777777" w:rsidR="001954E6" w:rsidRPr="003420F5" w:rsidRDefault="001954E6" w:rsidP="006301B9">
      <w:pPr>
        <w:numPr>
          <w:ilvl w:val="1"/>
          <w:numId w:val="16"/>
        </w:numPr>
        <w:spacing w:after="120" w:line="259" w:lineRule="auto"/>
        <w:ind w:left="709" w:hanging="283"/>
        <w:jc w:val="both"/>
        <w:rPr>
          <w:color w:val="000000" w:themeColor="text1"/>
          <w:sz w:val="18"/>
          <w:szCs w:val="18"/>
        </w:rPr>
      </w:pPr>
      <w:r w:rsidRPr="003420F5">
        <w:rPr>
          <w:color w:val="000000" w:themeColor="text1"/>
          <w:sz w:val="18"/>
          <w:szCs w:val="18"/>
        </w:rPr>
        <w:t>projekt metodyki oceny przez organy nadzoru, czy banki spełniają wymogi regulacyjne dotyczące stosowania metody wewnętrznych ratingów (AIRB),</w:t>
      </w:r>
    </w:p>
    <w:p w14:paraId="14C36AD5" w14:textId="5D32E2B1" w:rsidR="001954E6" w:rsidRPr="003420F5" w:rsidRDefault="001954E6" w:rsidP="006301B9">
      <w:pPr>
        <w:numPr>
          <w:ilvl w:val="1"/>
          <w:numId w:val="16"/>
        </w:numPr>
        <w:spacing w:after="120" w:line="259" w:lineRule="auto"/>
        <w:ind w:left="709" w:hanging="283"/>
        <w:jc w:val="both"/>
        <w:rPr>
          <w:color w:val="000000" w:themeColor="text1"/>
          <w:sz w:val="18"/>
          <w:szCs w:val="18"/>
        </w:rPr>
      </w:pPr>
      <w:r w:rsidRPr="003420F5">
        <w:rPr>
          <w:color w:val="000000" w:themeColor="text1"/>
          <w:sz w:val="18"/>
          <w:szCs w:val="18"/>
        </w:rPr>
        <w:t>wytyczne dotyczące szacowania wartości parametrów ryzyka PD, LGD oraz postępowania z</w:t>
      </w:r>
      <w:r w:rsidR="0036695A" w:rsidRPr="003420F5">
        <w:rPr>
          <w:color w:val="000000" w:themeColor="text1"/>
          <w:sz w:val="18"/>
          <w:szCs w:val="18"/>
        </w:rPr>
        <w:t> </w:t>
      </w:r>
      <w:r w:rsidRPr="003420F5">
        <w:rPr>
          <w:color w:val="000000" w:themeColor="text1"/>
          <w:sz w:val="18"/>
          <w:szCs w:val="18"/>
        </w:rPr>
        <w:t>ekspozycjami cechującymi się niewykonaniem zobowiązania,</w:t>
      </w:r>
    </w:p>
    <w:p w14:paraId="27E62DD2" w14:textId="77777777" w:rsidR="001954E6" w:rsidRPr="003420F5" w:rsidRDefault="001954E6" w:rsidP="006301B9">
      <w:pPr>
        <w:numPr>
          <w:ilvl w:val="1"/>
          <w:numId w:val="16"/>
        </w:numPr>
        <w:spacing w:after="120" w:line="259" w:lineRule="auto"/>
        <w:ind w:left="709" w:hanging="283"/>
        <w:jc w:val="both"/>
        <w:rPr>
          <w:color w:val="000000" w:themeColor="text1"/>
          <w:sz w:val="18"/>
          <w:szCs w:val="18"/>
        </w:rPr>
      </w:pPr>
      <w:r w:rsidRPr="003420F5">
        <w:rPr>
          <w:color w:val="000000" w:themeColor="text1"/>
          <w:sz w:val="18"/>
          <w:szCs w:val="18"/>
        </w:rPr>
        <w:lastRenderedPageBreak/>
        <w:t>wytyczne dotyczące estymacji parametru LGD dla okresu pogorszenia koniunktury gospodarczej oraz standard dotyczący szacowania i identyfikacji okresu pogorszenia koniunktury gospodarczej w modelowaniu IRB.</w:t>
      </w:r>
    </w:p>
    <w:p w14:paraId="44788CDB" w14:textId="77777777" w:rsidR="001954E6" w:rsidRPr="003420F5" w:rsidRDefault="001954E6" w:rsidP="005C6C3F">
      <w:pPr>
        <w:jc w:val="both"/>
        <w:rPr>
          <w:color w:val="000000" w:themeColor="text1"/>
          <w:sz w:val="18"/>
          <w:szCs w:val="18"/>
        </w:rPr>
      </w:pPr>
      <w:r w:rsidRPr="003420F5">
        <w:rPr>
          <w:color w:val="000000" w:themeColor="text1"/>
          <w:sz w:val="18"/>
          <w:szCs w:val="18"/>
        </w:rPr>
        <w:t>W związku z potencjalnie szerokim zakresem zmian, jakie będą konieczne w celu implementacji regulacji przez banki, ich wdrożenie odbędzie się zgodnie z terminami przewidzianymi przez EUNB.</w:t>
      </w:r>
    </w:p>
    <w:p w14:paraId="5FC096E8" w14:textId="7CE26796" w:rsidR="001954E6" w:rsidRPr="005C6C3F" w:rsidRDefault="0036695A"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Od 30 czerwca 2019 roku</w:t>
      </w:r>
      <w:r w:rsidR="001954E6" w:rsidRPr="005C6C3F">
        <w:rPr>
          <w:rFonts w:cs="Tahoma"/>
          <w:bCs/>
          <w:color w:val="000000" w:themeColor="text1"/>
          <w:sz w:val="18"/>
          <w:szCs w:val="18"/>
        </w:rPr>
        <w:t xml:space="preserve"> obowiązują wytyczne EUNB dotyczące zarządzania ekspozycjami nieobsługiwanymi oraz restrukturyzowanymi. Towarzyszą im zmiany dotyczące raportowania oraz ujawnień w tym zakresie, które będą miały zastosowanie począwszy od 2020 r</w:t>
      </w:r>
      <w:r w:rsidRPr="005C6C3F">
        <w:rPr>
          <w:rFonts w:cs="Tahoma"/>
          <w:bCs/>
          <w:color w:val="000000" w:themeColor="text1"/>
          <w:sz w:val="18"/>
          <w:szCs w:val="18"/>
        </w:rPr>
        <w:t>oku</w:t>
      </w:r>
      <w:r w:rsidR="001954E6" w:rsidRPr="005C6C3F">
        <w:rPr>
          <w:rFonts w:cs="Tahoma"/>
          <w:bCs/>
          <w:color w:val="000000" w:themeColor="text1"/>
          <w:sz w:val="18"/>
          <w:szCs w:val="18"/>
        </w:rPr>
        <w:t>.</w:t>
      </w:r>
    </w:p>
    <w:p w14:paraId="7A6A2AF4" w14:textId="7B01915A" w:rsidR="001954E6" w:rsidRPr="005C6C3F" w:rsidRDefault="001954E6"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 xml:space="preserve">W lutym 2019 </w:t>
      </w:r>
      <w:r w:rsidR="0036695A" w:rsidRPr="005C6C3F">
        <w:rPr>
          <w:rFonts w:cs="Tahoma"/>
          <w:bCs/>
          <w:color w:val="000000" w:themeColor="text1"/>
          <w:sz w:val="18"/>
          <w:szCs w:val="18"/>
        </w:rPr>
        <w:t>roku</w:t>
      </w:r>
      <w:r w:rsidRPr="005C6C3F">
        <w:rPr>
          <w:rFonts w:cs="Tahoma"/>
          <w:bCs/>
          <w:color w:val="000000" w:themeColor="text1"/>
          <w:sz w:val="18"/>
          <w:szCs w:val="18"/>
        </w:rPr>
        <w:t xml:space="preserve"> EUNB opublikował zmienione wytyczne w sprawie outsourcingu, które są zgodne z</w:t>
      </w:r>
      <w:r w:rsidR="00A35AAC" w:rsidRPr="005C6C3F">
        <w:rPr>
          <w:rFonts w:cs="Tahoma"/>
          <w:bCs/>
          <w:color w:val="000000" w:themeColor="text1"/>
          <w:sz w:val="18"/>
          <w:szCs w:val="18"/>
        </w:rPr>
        <w:t> </w:t>
      </w:r>
      <w:r w:rsidRPr="005C6C3F">
        <w:rPr>
          <w:rFonts w:cs="Tahoma"/>
          <w:bCs/>
          <w:color w:val="000000" w:themeColor="text1"/>
          <w:sz w:val="18"/>
          <w:szCs w:val="18"/>
        </w:rPr>
        <w:t>wymogami dyrektywy o usługach płatniczych (PSD2) i dyrektywy w sprawie rynków instrumentów finansowych (MiFID II); oraz mają zapewnić, że banki mogą stosować jednolite ramy outsourcingu dla wszystkich działań i usług bankowych, inwestycyjnych i płatniczych. Nadzór bankowy oczekuje dostosowania się banków do n</w:t>
      </w:r>
      <w:r w:rsidR="0036695A" w:rsidRPr="005C6C3F">
        <w:rPr>
          <w:rFonts w:cs="Tahoma"/>
          <w:bCs/>
          <w:color w:val="000000" w:themeColor="text1"/>
          <w:sz w:val="18"/>
          <w:szCs w:val="18"/>
        </w:rPr>
        <w:t xml:space="preserve">owych wymagań do 30 czerwca </w:t>
      </w:r>
      <w:r w:rsidRPr="005C6C3F">
        <w:rPr>
          <w:rFonts w:cs="Tahoma"/>
          <w:bCs/>
          <w:color w:val="000000" w:themeColor="text1"/>
          <w:sz w:val="18"/>
          <w:szCs w:val="18"/>
        </w:rPr>
        <w:t>2020 r</w:t>
      </w:r>
      <w:r w:rsidR="0036695A" w:rsidRPr="005C6C3F">
        <w:rPr>
          <w:rFonts w:cs="Tahoma"/>
          <w:bCs/>
          <w:color w:val="000000" w:themeColor="text1"/>
          <w:sz w:val="18"/>
          <w:szCs w:val="18"/>
        </w:rPr>
        <w:t>oku</w:t>
      </w:r>
      <w:r w:rsidRPr="005C6C3F">
        <w:rPr>
          <w:rFonts w:cs="Tahoma"/>
          <w:bCs/>
          <w:color w:val="000000" w:themeColor="text1"/>
          <w:sz w:val="18"/>
          <w:szCs w:val="18"/>
        </w:rPr>
        <w:t>.</w:t>
      </w:r>
    </w:p>
    <w:p w14:paraId="55FEC953" w14:textId="4684F1D1" w:rsidR="001954E6" w:rsidRPr="005C6C3F" w:rsidRDefault="0036695A"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W czerwcu 2019 roku</w:t>
      </w:r>
      <w:r w:rsidR="001954E6" w:rsidRPr="005C6C3F">
        <w:rPr>
          <w:rFonts w:cs="Tahoma"/>
          <w:bCs/>
          <w:color w:val="000000" w:themeColor="text1"/>
          <w:sz w:val="18"/>
          <w:szCs w:val="18"/>
        </w:rPr>
        <w:t xml:space="preserve"> EUNB opublikował projekt wytycznych dotyczących procesu kredytowego w</w:t>
      </w:r>
      <w:r w:rsidRPr="005C6C3F">
        <w:rPr>
          <w:rFonts w:cs="Tahoma"/>
          <w:bCs/>
          <w:color w:val="000000" w:themeColor="text1"/>
          <w:sz w:val="18"/>
          <w:szCs w:val="18"/>
        </w:rPr>
        <w:t> </w:t>
      </w:r>
      <w:r w:rsidR="001954E6" w:rsidRPr="005C6C3F">
        <w:rPr>
          <w:rFonts w:cs="Tahoma"/>
          <w:bCs/>
          <w:color w:val="000000" w:themeColor="text1"/>
          <w:sz w:val="18"/>
          <w:szCs w:val="18"/>
        </w:rPr>
        <w:t>bankach do konsultacji. Publikacja ostatecznej we</w:t>
      </w:r>
      <w:r w:rsidRPr="005C6C3F">
        <w:rPr>
          <w:rFonts w:cs="Tahoma"/>
          <w:bCs/>
          <w:color w:val="000000" w:themeColor="text1"/>
          <w:sz w:val="18"/>
          <w:szCs w:val="18"/>
        </w:rPr>
        <w:t xml:space="preserve">rsji planowana jest na 30 czerwca </w:t>
      </w:r>
      <w:r w:rsidR="001954E6" w:rsidRPr="005C6C3F">
        <w:rPr>
          <w:rFonts w:cs="Tahoma"/>
          <w:bCs/>
          <w:color w:val="000000" w:themeColor="text1"/>
          <w:sz w:val="18"/>
          <w:szCs w:val="18"/>
        </w:rPr>
        <w:t>2020 r</w:t>
      </w:r>
      <w:r w:rsidRPr="005C6C3F">
        <w:rPr>
          <w:rFonts w:cs="Tahoma"/>
          <w:bCs/>
          <w:color w:val="000000" w:themeColor="text1"/>
          <w:sz w:val="18"/>
          <w:szCs w:val="18"/>
        </w:rPr>
        <w:t>oku</w:t>
      </w:r>
      <w:r w:rsidR="001954E6" w:rsidRPr="005C6C3F">
        <w:rPr>
          <w:rFonts w:cs="Tahoma"/>
          <w:bCs/>
          <w:color w:val="000000" w:themeColor="text1"/>
          <w:sz w:val="18"/>
          <w:szCs w:val="18"/>
        </w:rPr>
        <w:t xml:space="preserve">. Wytyczne mają na celu zagwarantowanie, że banki posiadają solidne i ostrożne normy w zakresie podejmowania ryzyka kredytowego, zarządzania i monitorowania ryzyka oraz, że nowo udzielane kredyty charakteryzują się wysoką jakością kredytową. Banki powinny także dostosować swoje praktyki do zasad ochrony konsumentów i wymogów w zakresie przeciwdziałania praniu pieniędzy. </w:t>
      </w:r>
    </w:p>
    <w:p w14:paraId="2A7E6A91" w14:textId="50BA85DD" w:rsidR="001954E6" w:rsidRPr="005C6C3F" w:rsidRDefault="0036695A"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W listopadzie 2019 roku</w:t>
      </w:r>
      <w:r w:rsidR="001954E6" w:rsidRPr="005C6C3F">
        <w:rPr>
          <w:rFonts w:cs="Tahoma"/>
          <w:bCs/>
          <w:color w:val="000000" w:themeColor="text1"/>
          <w:sz w:val="18"/>
          <w:szCs w:val="18"/>
        </w:rPr>
        <w:t xml:space="preserve"> EUNB opublikował wytyczne dotyczące zarzadzania ryzykiem związanym z</w:t>
      </w:r>
      <w:r w:rsidR="00A35AAC" w:rsidRPr="005C6C3F">
        <w:rPr>
          <w:rFonts w:cs="Tahoma"/>
          <w:bCs/>
          <w:color w:val="000000" w:themeColor="text1"/>
          <w:sz w:val="18"/>
          <w:szCs w:val="18"/>
        </w:rPr>
        <w:t> </w:t>
      </w:r>
      <w:r w:rsidR="001954E6" w:rsidRPr="005C6C3F">
        <w:rPr>
          <w:rFonts w:cs="Tahoma"/>
          <w:bCs/>
          <w:color w:val="000000" w:themeColor="text1"/>
          <w:sz w:val="18"/>
          <w:szCs w:val="18"/>
        </w:rPr>
        <w:t>bezpieczeństwem oraz ryzykiem związanym z technologiami informacyjno-komunikacyjnymi, które mają mieć zast</w:t>
      </w:r>
      <w:r w:rsidRPr="005C6C3F">
        <w:rPr>
          <w:rFonts w:cs="Tahoma"/>
          <w:bCs/>
          <w:color w:val="000000" w:themeColor="text1"/>
          <w:sz w:val="18"/>
          <w:szCs w:val="18"/>
        </w:rPr>
        <w:t xml:space="preserve">osowanie począwszy od 30 czerwca </w:t>
      </w:r>
      <w:r w:rsidR="001954E6" w:rsidRPr="005C6C3F">
        <w:rPr>
          <w:rFonts w:cs="Tahoma"/>
          <w:bCs/>
          <w:color w:val="000000" w:themeColor="text1"/>
          <w:sz w:val="18"/>
          <w:szCs w:val="18"/>
        </w:rPr>
        <w:t>2020 r</w:t>
      </w:r>
      <w:r w:rsidRPr="005C6C3F">
        <w:rPr>
          <w:rFonts w:cs="Tahoma"/>
          <w:bCs/>
          <w:color w:val="000000" w:themeColor="text1"/>
          <w:sz w:val="18"/>
          <w:szCs w:val="18"/>
        </w:rPr>
        <w:t>oku</w:t>
      </w:r>
      <w:r w:rsidR="001954E6" w:rsidRPr="005C6C3F">
        <w:rPr>
          <w:rFonts w:cs="Tahoma"/>
          <w:bCs/>
          <w:color w:val="000000" w:themeColor="text1"/>
          <w:sz w:val="18"/>
          <w:szCs w:val="18"/>
        </w:rPr>
        <w:t>. Wytyczne mają zapewnić, że banki stosują ostrożne zasady zarządzania tymi rodzajami ryzyka.</w:t>
      </w:r>
    </w:p>
    <w:p w14:paraId="4ECB085A" w14:textId="77777777" w:rsidR="001954E6" w:rsidRPr="003420F5" w:rsidRDefault="001954E6" w:rsidP="005C6C3F">
      <w:pPr>
        <w:spacing w:before="120" w:after="60"/>
        <w:jc w:val="both"/>
        <w:rPr>
          <w:rFonts w:eastAsia="Calibri"/>
          <w:color w:val="000000" w:themeColor="text1"/>
          <w:sz w:val="18"/>
          <w:szCs w:val="18"/>
          <w:lang w:eastAsia="en-US"/>
        </w:rPr>
      </w:pPr>
      <w:r w:rsidRPr="003420F5">
        <w:rPr>
          <w:rFonts w:eastAsia="Calibri"/>
          <w:color w:val="000000" w:themeColor="text1"/>
          <w:sz w:val="18"/>
          <w:szCs w:val="18"/>
          <w:lang w:eastAsia="en-US"/>
        </w:rPr>
        <w:t xml:space="preserve">W celu aktualizacji dobrych praktyk, jakie obowiązują banki, w tym również w kontekście nowych zaleceń i wymagań definiowanych przez europejskie organy nadzoru, uwzględniając rozwiązania regulacyjne oraz praktyki stosowane w innych państwach, KNF zakończył lub prowadzi prace nad: </w:t>
      </w:r>
    </w:p>
    <w:p w14:paraId="5E0C5011" w14:textId="4E2A5825" w:rsidR="001954E6" w:rsidRPr="005C6C3F" w:rsidRDefault="001954E6" w:rsidP="005C6C3F">
      <w:pPr>
        <w:numPr>
          <w:ilvl w:val="0"/>
          <w:numId w:val="17"/>
        </w:numPr>
        <w:tabs>
          <w:tab w:val="clear" w:pos="1267"/>
        </w:tabs>
        <w:suppressAutoHyphens/>
        <w:spacing w:after="60"/>
        <w:ind w:left="567" w:right="-57" w:hanging="425"/>
        <w:jc w:val="both"/>
        <w:rPr>
          <w:rFonts w:cs="Tahoma"/>
          <w:bCs/>
          <w:color w:val="000000" w:themeColor="text1"/>
          <w:sz w:val="18"/>
          <w:szCs w:val="18"/>
        </w:rPr>
      </w:pPr>
      <w:r w:rsidRPr="005C6C3F">
        <w:rPr>
          <w:rFonts w:cs="Tahoma"/>
          <w:bCs/>
          <w:color w:val="000000" w:themeColor="text1"/>
          <w:sz w:val="18"/>
          <w:szCs w:val="18"/>
        </w:rPr>
        <w:t xml:space="preserve">aktualizacją Rekomendacji S dotyczącej dobrych praktyk w zakresie zarządzania ekspozycjami kredytowymi zabezpieczonymi hipotecznie, w zakresie rozszerzenia jej o zasady dotyczące kredytów hipotecznych na stałą stopę procentową. Rekomendacja powinna zostać </w:t>
      </w:r>
      <w:r w:rsidR="0036695A" w:rsidRPr="005C6C3F">
        <w:rPr>
          <w:rFonts w:cs="Tahoma"/>
          <w:bCs/>
          <w:color w:val="000000" w:themeColor="text1"/>
          <w:sz w:val="18"/>
          <w:szCs w:val="18"/>
        </w:rPr>
        <w:t xml:space="preserve">wprowadzona przez banki do </w:t>
      </w:r>
      <w:r w:rsidRPr="005C6C3F">
        <w:rPr>
          <w:rFonts w:cs="Tahoma"/>
          <w:bCs/>
          <w:color w:val="000000" w:themeColor="text1"/>
          <w:sz w:val="18"/>
          <w:szCs w:val="18"/>
        </w:rPr>
        <w:t>31 grudnia 2020 r</w:t>
      </w:r>
      <w:r w:rsidR="0036695A" w:rsidRPr="005C6C3F">
        <w:rPr>
          <w:rFonts w:cs="Tahoma"/>
          <w:bCs/>
          <w:color w:val="000000" w:themeColor="text1"/>
          <w:sz w:val="18"/>
          <w:szCs w:val="18"/>
        </w:rPr>
        <w:t>oku</w:t>
      </w:r>
      <w:r w:rsidRPr="005C6C3F">
        <w:rPr>
          <w:rFonts w:cs="Tahoma"/>
          <w:bCs/>
          <w:color w:val="000000" w:themeColor="text1"/>
          <w:sz w:val="18"/>
          <w:szCs w:val="18"/>
        </w:rPr>
        <w:t>.</w:t>
      </w:r>
    </w:p>
    <w:p w14:paraId="1968812F" w14:textId="77777777" w:rsidR="001954E6" w:rsidRPr="005C6C3F" w:rsidRDefault="001954E6" w:rsidP="005C6C3F">
      <w:pPr>
        <w:numPr>
          <w:ilvl w:val="0"/>
          <w:numId w:val="17"/>
        </w:numPr>
        <w:tabs>
          <w:tab w:val="clear" w:pos="1267"/>
        </w:tabs>
        <w:suppressAutoHyphens/>
        <w:spacing w:before="60" w:after="60"/>
        <w:ind w:left="567" w:right="-57" w:hanging="425"/>
        <w:jc w:val="both"/>
        <w:rPr>
          <w:rFonts w:cs="Tahoma"/>
          <w:bCs/>
          <w:color w:val="000000" w:themeColor="text1"/>
          <w:sz w:val="18"/>
          <w:szCs w:val="18"/>
        </w:rPr>
      </w:pPr>
      <w:r w:rsidRPr="005C6C3F">
        <w:rPr>
          <w:rFonts w:cs="Tahoma"/>
          <w:bCs/>
          <w:color w:val="000000" w:themeColor="text1"/>
          <w:sz w:val="18"/>
          <w:szCs w:val="18"/>
        </w:rPr>
        <w:t>nową Rekomendacją Z dotyczącą zasad ładu wewnętrznego w bankach,</w:t>
      </w:r>
    </w:p>
    <w:p w14:paraId="593095DB" w14:textId="77777777" w:rsidR="001954E6" w:rsidRPr="005C6C3F" w:rsidRDefault="001954E6" w:rsidP="005C6C3F">
      <w:pPr>
        <w:numPr>
          <w:ilvl w:val="0"/>
          <w:numId w:val="17"/>
        </w:numPr>
        <w:tabs>
          <w:tab w:val="clear" w:pos="1267"/>
        </w:tabs>
        <w:suppressAutoHyphens/>
        <w:spacing w:before="60" w:after="60"/>
        <w:ind w:left="567" w:right="-57" w:hanging="425"/>
        <w:jc w:val="both"/>
        <w:rPr>
          <w:rFonts w:cs="Tahoma"/>
          <w:bCs/>
          <w:color w:val="000000" w:themeColor="text1"/>
          <w:sz w:val="18"/>
          <w:szCs w:val="18"/>
        </w:rPr>
      </w:pPr>
      <w:r w:rsidRPr="005C6C3F">
        <w:rPr>
          <w:rFonts w:cs="Tahoma"/>
          <w:bCs/>
          <w:color w:val="000000" w:themeColor="text1"/>
          <w:sz w:val="18"/>
          <w:szCs w:val="18"/>
        </w:rPr>
        <w:t>aktualizacją Rekomendacji R dotyczącej zasad zarządzania ryzykiem kredytowym oraz ujmowania oczekiwanych strat kredytowych,</w:t>
      </w:r>
    </w:p>
    <w:p w14:paraId="37F1CBB9" w14:textId="77777777" w:rsidR="001954E6" w:rsidRPr="005C6C3F" w:rsidRDefault="001954E6" w:rsidP="005C6C3F">
      <w:pPr>
        <w:numPr>
          <w:ilvl w:val="0"/>
          <w:numId w:val="17"/>
        </w:numPr>
        <w:tabs>
          <w:tab w:val="clear" w:pos="1267"/>
        </w:tabs>
        <w:suppressAutoHyphens/>
        <w:spacing w:before="60" w:after="120"/>
        <w:ind w:left="567" w:right="-57" w:hanging="425"/>
        <w:jc w:val="both"/>
        <w:rPr>
          <w:rFonts w:cs="Tahoma"/>
          <w:bCs/>
          <w:color w:val="000000" w:themeColor="text1"/>
          <w:sz w:val="18"/>
          <w:szCs w:val="18"/>
        </w:rPr>
      </w:pPr>
      <w:r w:rsidRPr="005C6C3F">
        <w:rPr>
          <w:rFonts w:cs="Tahoma"/>
          <w:bCs/>
          <w:color w:val="000000" w:themeColor="text1"/>
          <w:sz w:val="18"/>
          <w:szCs w:val="18"/>
        </w:rPr>
        <w:t>aktualizacją Rekomendacji G dotyczącej zarządzania ryzykiem stopy procentowej.</w:t>
      </w:r>
    </w:p>
    <w:p w14:paraId="3A4B15C9" w14:textId="18B73C94" w:rsidR="00E019B8" w:rsidRPr="003420F5" w:rsidRDefault="001954E6" w:rsidP="001954E6">
      <w:pPr>
        <w:suppressAutoHyphens/>
        <w:jc w:val="both"/>
        <w:rPr>
          <w:rFonts w:eastAsia="Calibri"/>
          <w:color w:val="000000" w:themeColor="text1"/>
          <w:sz w:val="18"/>
          <w:szCs w:val="18"/>
          <w:lang w:eastAsia="en-US"/>
        </w:rPr>
      </w:pPr>
      <w:r w:rsidRPr="003420F5">
        <w:rPr>
          <w:rFonts w:eastAsia="Calibri"/>
          <w:color w:val="000000" w:themeColor="text1"/>
          <w:sz w:val="18"/>
          <w:szCs w:val="18"/>
          <w:lang w:eastAsia="en-US"/>
        </w:rPr>
        <w:t>Bank monitoruje także zmiany regulacyjne wynikające z prac Bazylejskiego Komitetu ds. Nadzoru Bankowego, w szczególności te związane z przeglądem oraz rewizją metodyk kalkulacji wymogów kapitałowych (tzw. Basel 4). W miarę pojawiania się kolejnych propozycji legislacyjnych, które implementują przepisy standardów bazylejskich do przepisów Unii Europejskiej, Bank analizuje projektowane zmiany regulacyjne oraz ocenia ich wpływ na Grupę</w:t>
      </w:r>
      <w:r w:rsidR="00166BB4" w:rsidRPr="003420F5">
        <w:rPr>
          <w:rFonts w:eastAsia="Calibri"/>
          <w:color w:val="000000" w:themeColor="text1"/>
          <w:sz w:val="18"/>
          <w:szCs w:val="18"/>
          <w:lang w:eastAsia="en-US"/>
        </w:rPr>
        <w:t>.</w:t>
      </w:r>
    </w:p>
    <w:p w14:paraId="3E78383C" w14:textId="77777777" w:rsidR="006A4B06" w:rsidRPr="003420F5" w:rsidRDefault="006A4B06" w:rsidP="00200706">
      <w:pPr>
        <w:suppressAutoHyphens/>
        <w:jc w:val="both"/>
        <w:rPr>
          <w:rFonts w:eastAsia="Calibri"/>
          <w:color w:val="000000" w:themeColor="text1"/>
          <w:sz w:val="18"/>
          <w:szCs w:val="18"/>
          <w:lang w:eastAsia="en-US"/>
        </w:rPr>
      </w:pPr>
    </w:p>
    <w:p w14:paraId="36F7B6A6" w14:textId="77777777" w:rsidR="00AE2449" w:rsidRPr="00166BB4" w:rsidRDefault="00AE2449" w:rsidP="00AE2449">
      <w:pPr>
        <w:pStyle w:val="Akapitzlist"/>
        <w:keepNext/>
        <w:numPr>
          <w:ilvl w:val="1"/>
          <w:numId w:val="1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60" w:line="240" w:lineRule="exact"/>
        <w:ind w:left="567" w:hanging="567"/>
        <w:jc w:val="both"/>
        <w:outlineLvl w:val="2"/>
        <w:rPr>
          <w:b/>
          <w:color w:val="E41E0A"/>
          <w:sz w:val="18"/>
          <w:szCs w:val="18"/>
        </w:rPr>
      </w:pPr>
      <w:bookmarkStart w:id="99" w:name="_Toc411261064"/>
      <w:bookmarkStart w:id="100" w:name="_Toc32999821"/>
      <w:r w:rsidRPr="00166BB4">
        <w:rPr>
          <w:b/>
          <w:color w:val="E41E0A"/>
          <w:sz w:val="18"/>
          <w:szCs w:val="18"/>
        </w:rPr>
        <w:t>Zasady zarządzania ryzykiem</w:t>
      </w:r>
      <w:bookmarkEnd w:id="99"/>
      <w:bookmarkEnd w:id="100"/>
    </w:p>
    <w:p w14:paraId="5826D6F2" w14:textId="783514AB" w:rsidR="00AE2449" w:rsidRPr="00977E53" w:rsidRDefault="00166BB4" w:rsidP="00AE2449">
      <w:pPr>
        <w:numPr>
          <w:ilvl w:val="2"/>
          <w:numId w:val="14"/>
        </w:numPr>
        <w:spacing w:before="240" w:after="120" w:line="259" w:lineRule="auto"/>
        <w:ind w:left="709"/>
        <w:rPr>
          <w:b/>
          <w:color w:val="000000" w:themeColor="text1"/>
          <w:sz w:val="18"/>
          <w:szCs w:val="18"/>
        </w:rPr>
      </w:pPr>
      <w:r w:rsidRPr="00977E53">
        <w:rPr>
          <w:b/>
          <w:color w:val="000000" w:themeColor="text1"/>
          <w:sz w:val="18"/>
          <w:szCs w:val="18"/>
        </w:rPr>
        <w:t>Kultura</w:t>
      </w:r>
      <w:r w:rsidR="00AE2449" w:rsidRPr="00977E53">
        <w:rPr>
          <w:b/>
          <w:color w:val="000000" w:themeColor="text1"/>
          <w:sz w:val="18"/>
          <w:szCs w:val="18"/>
        </w:rPr>
        <w:t xml:space="preserve"> zarządzania ryzykiem </w:t>
      </w:r>
    </w:p>
    <w:p w14:paraId="39C94185" w14:textId="2AA6FC7F" w:rsidR="002B11EB" w:rsidRPr="00977E53" w:rsidRDefault="002B11EB" w:rsidP="002B11EB">
      <w:pPr>
        <w:spacing w:after="120"/>
        <w:jc w:val="both"/>
        <w:rPr>
          <w:color w:val="000000" w:themeColor="text1"/>
          <w:sz w:val="18"/>
          <w:szCs w:val="18"/>
        </w:rPr>
      </w:pPr>
      <w:r w:rsidRPr="00977E53">
        <w:rPr>
          <w:color w:val="000000" w:themeColor="text1"/>
          <w:sz w:val="18"/>
          <w:szCs w:val="18"/>
        </w:rPr>
        <w:t>Fundamenty wdrożonej w Banku i Grupie mBanku kultury zarządzania ryzykiem zostały określone w</w:t>
      </w:r>
      <w:r w:rsidR="00FF5209" w:rsidRPr="00977E53">
        <w:rPr>
          <w:color w:val="000000" w:themeColor="text1"/>
          <w:sz w:val="18"/>
          <w:szCs w:val="18"/>
        </w:rPr>
        <w:t> </w:t>
      </w:r>
      <w:r w:rsidRPr="00977E53">
        <w:rPr>
          <w:color w:val="000000" w:themeColor="text1"/>
          <w:sz w:val="18"/>
          <w:szCs w:val="18"/>
        </w:rPr>
        <w:t>Strategii Zarządzania Ryzykiem Grupy mBanku oraz strategiach zarządzania poszczególnymi rodzajami ryzyka (ryzykiem koncentracji, ryzykiem kredytowym portfela detalicznego i korporacyjnego, ryzykiem rynkowym, ryzykiem płynności, ryzykiem operacyjnym, ryzykiem reputacji), zatwierdzonych przez Zarząd i Radę Nadzorczą mBanku.</w:t>
      </w:r>
    </w:p>
    <w:p w14:paraId="78E35F3C" w14:textId="55026F0C" w:rsidR="002B11EB" w:rsidRPr="00977E53" w:rsidRDefault="002B11EB" w:rsidP="005C6C3F">
      <w:pPr>
        <w:jc w:val="both"/>
        <w:rPr>
          <w:color w:val="000000" w:themeColor="text1"/>
          <w:sz w:val="18"/>
          <w:szCs w:val="18"/>
        </w:rPr>
      </w:pPr>
      <w:r w:rsidRPr="00977E53">
        <w:rPr>
          <w:color w:val="000000" w:themeColor="text1"/>
          <w:sz w:val="18"/>
          <w:szCs w:val="18"/>
        </w:rPr>
        <w:t>W Grupie mBanku role i zadania w zakresie zarządzania ryzykiem zorganizowano w oparciu o schemat trzech linii obrony:</w:t>
      </w:r>
    </w:p>
    <w:p w14:paraId="45C96B6B" w14:textId="7257743A" w:rsidR="002B11EB" w:rsidRPr="005C6C3F" w:rsidRDefault="002B11EB"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Pierwszą linię obrony stanowi Biznes (linie biznesowe), którego zadaniem jest uwzględnianie aspektów związanych z ryzykiem i kapitałem przy podejmowaniu wszystkich decyzji w granicach apetytu na</w:t>
      </w:r>
      <w:r w:rsidR="00BA0DCC" w:rsidRPr="005C6C3F">
        <w:rPr>
          <w:rFonts w:cs="Tahoma"/>
          <w:bCs/>
          <w:color w:val="000000" w:themeColor="text1"/>
          <w:sz w:val="18"/>
          <w:szCs w:val="18"/>
        </w:rPr>
        <w:t> </w:t>
      </w:r>
      <w:r w:rsidRPr="005C6C3F">
        <w:rPr>
          <w:rFonts w:cs="Tahoma"/>
          <w:bCs/>
          <w:color w:val="000000" w:themeColor="text1"/>
          <w:sz w:val="18"/>
          <w:szCs w:val="18"/>
        </w:rPr>
        <w:t>ryzyko określonego dla Grupy.</w:t>
      </w:r>
    </w:p>
    <w:p w14:paraId="5B2AD3FE" w14:textId="7BCD15D5" w:rsidR="002B11EB" w:rsidRPr="005C6C3F" w:rsidRDefault="002B11EB"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lastRenderedPageBreak/>
        <w:t>Druga linia obrony, przede wszystkim obszar zarządzania ryzykiem, Bezpieczeństwo oraz funkcja Compliance, jest odpowiedzialna za tworzenie ram i wytycznych dotyczących zarządzania poszczególnymi rodzajami ryzyka, wspieranie Biznesu w ich wdrażaniu oraz za nadzorowanie funkcji kontrolnych i ekspozycji na ryzyko. Aby zapewnić, że Biznes jest wspierany i nadzorowany w</w:t>
      </w:r>
      <w:r w:rsidR="00BD144C">
        <w:rPr>
          <w:rFonts w:cs="Tahoma"/>
          <w:bCs/>
          <w:color w:val="000000" w:themeColor="text1"/>
          <w:sz w:val="18"/>
          <w:szCs w:val="18"/>
        </w:rPr>
        <w:t> </w:t>
      </w:r>
      <w:r w:rsidRPr="005C6C3F">
        <w:rPr>
          <w:rFonts w:cs="Tahoma"/>
          <w:bCs/>
          <w:color w:val="000000" w:themeColor="text1"/>
          <w:sz w:val="18"/>
          <w:szCs w:val="18"/>
        </w:rPr>
        <w:t>obiektywny sposób, druga linia obrony działa niezależnie od Biznesu.</w:t>
      </w:r>
    </w:p>
    <w:p w14:paraId="36249AB9" w14:textId="64288256" w:rsidR="000F75B9" w:rsidRPr="005C6C3F" w:rsidRDefault="002B11EB" w:rsidP="005C6C3F">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5C6C3F">
        <w:rPr>
          <w:rFonts w:cs="Tahoma"/>
          <w:bCs/>
          <w:color w:val="000000" w:themeColor="text1"/>
          <w:sz w:val="18"/>
          <w:szCs w:val="18"/>
        </w:rPr>
        <w:t>Trzecią linią obrony jest Audyt Wewnętrzny dokonujący niezależnych ocen działań związanych z</w:t>
      </w:r>
      <w:r w:rsidR="00FF5209" w:rsidRPr="005C6C3F">
        <w:rPr>
          <w:rFonts w:cs="Tahoma"/>
          <w:bCs/>
          <w:color w:val="000000" w:themeColor="text1"/>
          <w:sz w:val="18"/>
          <w:szCs w:val="18"/>
        </w:rPr>
        <w:t> </w:t>
      </w:r>
      <w:r w:rsidRPr="005C6C3F">
        <w:rPr>
          <w:rFonts w:cs="Tahoma"/>
          <w:bCs/>
          <w:color w:val="000000" w:themeColor="text1"/>
          <w:sz w:val="18"/>
          <w:szCs w:val="18"/>
        </w:rPr>
        <w:t>zarządzaniem ryzykiem realizowanych zarówno przez pierwszą, jak i drugą linię obrony</w:t>
      </w:r>
      <w:r w:rsidR="000F75B9" w:rsidRPr="005C6C3F">
        <w:rPr>
          <w:rFonts w:cs="Tahoma"/>
          <w:bCs/>
          <w:color w:val="000000" w:themeColor="text1"/>
          <w:sz w:val="18"/>
          <w:szCs w:val="18"/>
        </w:rPr>
        <w:t>.</w:t>
      </w:r>
    </w:p>
    <w:p w14:paraId="7465AF04" w14:textId="77777777" w:rsidR="000F75B9" w:rsidRPr="00977E53" w:rsidRDefault="000F75B9" w:rsidP="002C181E">
      <w:pPr>
        <w:numPr>
          <w:ilvl w:val="2"/>
          <w:numId w:val="14"/>
        </w:numPr>
        <w:spacing w:before="240" w:after="120" w:line="259" w:lineRule="auto"/>
        <w:ind w:left="709"/>
        <w:rPr>
          <w:b/>
          <w:color w:val="000000" w:themeColor="text1"/>
          <w:sz w:val="18"/>
          <w:szCs w:val="18"/>
        </w:rPr>
      </w:pPr>
      <w:r w:rsidRPr="00977E53">
        <w:rPr>
          <w:b/>
          <w:color w:val="000000" w:themeColor="text1"/>
          <w:sz w:val="18"/>
          <w:szCs w:val="18"/>
        </w:rPr>
        <w:t xml:space="preserve">Podział ról w procesie zarządzania ryzykiem </w:t>
      </w:r>
    </w:p>
    <w:p w14:paraId="03565B90" w14:textId="773427A3" w:rsidR="00FF5209" w:rsidRPr="00977E53" w:rsidRDefault="00FF5209" w:rsidP="00FF5209">
      <w:pPr>
        <w:spacing w:after="120"/>
        <w:jc w:val="both"/>
        <w:rPr>
          <w:rFonts w:cs="Arial"/>
          <w:color w:val="000000" w:themeColor="text1"/>
          <w:spacing w:val="-4"/>
          <w:sz w:val="18"/>
          <w:szCs w:val="18"/>
        </w:rPr>
      </w:pPr>
      <w:r w:rsidRPr="00977E53">
        <w:rPr>
          <w:b/>
          <w:color w:val="000000" w:themeColor="text1"/>
          <w:spacing w:val="-4"/>
          <w:sz w:val="18"/>
          <w:szCs w:val="18"/>
        </w:rPr>
        <w:t xml:space="preserve">Rada Nadzorcza </w:t>
      </w:r>
      <w:r w:rsidRPr="00977E53">
        <w:rPr>
          <w:color w:val="000000" w:themeColor="text1"/>
          <w:spacing w:val="-4"/>
          <w:sz w:val="18"/>
          <w:szCs w:val="18"/>
        </w:rPr>
        <w:t>sprawuje stały nadzór nad działalnością Banku w obszarze przyjmowania ryzyka, co</w:t>
      </w:r>
      <w:r w:rsidR="00A35AAC">
        <w:rPr>
          <w:color w:val="000000" w:themeColor="text1"/>
          <w:spacing w:val="-4"/>
          <w:sz w:val="18"/>
          <w:szCs w:val="18"/>
        </w:rPr>
        <w:t> </w:t>
      </w:r>
      <w:r w:rsidRPr="00977E53">
        <w:rPr>
          <w:color w:val="000000" w:themeColor="text1"/>
          <w:spacing w:val="-4"/>
          <w:sz w:val="18"/>
          <w:szCs w:val="18"/>
        </w:rPr>
        <w:t>obejmuje zatwierdzanie Strategii Zarządzania Ryzykiem Grupy mBanku i nadzorowanie jej realizacji.</w:t>
      </w:r>
    </w:p>
    <w:p w14:paraId="230344F5" w14:textId="59BCEAF5" w:rsidR="00FF5209" w:rsidRPr="00977E53" w:rsidRDefault="00FF5209" w:rsidP="00FF5209">
      <w:pPr>
        <w:spacing w:after="120" w:line="264" w:lineRule="auto"/>
        <w:jc w:val="both"/>
        <w:rPr>
          <w:rFonts w:cs="Arial"/>
          <w:color w:val="000000" w:themeColor="text1"/>
          <w:spacing w:val="-4"/>
          <w:sz w:val="18"/>
          <w:szCs w:val="18"/>
        </w:rPr>
      </w:pPr>
      <w:r w:rsidRPr="00977E53">
        <w:rPr>
          <w:b/>
          <w:color w:val="000000" w:themeColor="text1"/>
          <w:spacing w:val="-4"/>
          <w:sz w:val="18"/>
          <w:szCs w:val="18"/>
        </w:rPr>
        <w:t xml:space="preserve">Komisja ds. Ryzyka Rady Nadzorczej </w:t>
      </w:r>
      <w:r w:rsidRPr="00977E53">
        <w:rPr>
          <w:color w:val="000000" w:themeColor="text1"/>
          <w:spacing w:val="-4"/>
          <w:sz w:val="18"/>
          <w:szCs w:val="18"/>
        </w:rPr>
        <w:t>sprawuje stały nadzór nad ryzykiem. W szczególności wydaje rekomendacje dotyczące zatwierdzanych przez Radę Nadzorczą strategii z obszaru zarządzania ryzykiem, w tym Strategii Zarządzania Ryzykiem Grupy mBanku.</w:t>
      </w:r>
    </w:p>
    <w:p w14:paraId="4F7933D5" w14:textId="3C196A93" w:rsidR="00FF5209" w:rsidRPr="00977E53" w:rsidRDefault="00FF5209" w:rsidP="00FF5209">
      <w:pPr>
        <w:spacing w:after="120"/>
        <w:jc w:val="both"/>
        <w:rPr>
          <w:rFonts w:cs="Arial"/>
          <w:color w:val="000000" w:themeColor="text1"/>
          <w:spacing w:val="-4"/>
          <w:sz w:val="18"/>
          <w:szCs w:val="18"/>
        </w:rPr>
      </w:pPr>
      <w:r w:rsidRPr="00977E53">
        <w:rPr>
          <w:b/>
          <w:color w:val="000000" w:themeColor="text1"/>
          <w:spacing w:val="-4"/>
          <w:sz w:val="18"/>
          <w:szCs w:val="18"/>
        </w:rPr>
        <w:t xml:space="preserve">Zarząd Banku </w:t>
      </w:r>
      <w:r w:rsidRPr="00977E53">
        <w:rPr>
          <w:color w:val="000000" w:themeColor="text1"/>
          <w:spacing w:val="-4"/>
          <w:sz w:val="18"/>
          <w:szCs w:val="18"/>
        </w:rPr>
        <w:t>przyjmuje Strategię Zarządzania Ryzykiem Grupy mBanku. Jest także odpowiedzialny za</w:t>
      </w:r>
      <w:r w:rsidR="00BA0DCC">
        <w:rPr>
          <w:color w:val="000000" w:themeColor="text1"/>
          <w:spacing w:val="-4"/>
          <w:sz w:val="18"/>
          <w:szCs w:val="18"/>
        </w:rPr>
        <w:t> </w:t>
      </w:r>
      <w:r w:rsidRPr="00977E53">
        <w:rPr>
          <w:color w:val="000000" w:themeColor="text1"/>
          <w:spacing w:val="-4"/>
          <w:sz w:val="18"/>
          <w:szCs w:val="18"/>
        </w:rPr>
        <w:t>określanie i wdrażanie zasad zarządzania poszczególnymi rodzajami ryzyka oraz za ich spójność ze</w:t>
      </w:r>
      <w:r w:rsidR="00BA0DCC">
        <w:rPr>
          <w:color w:val="000000" w:themeColor="text1"/>
          <w:spacing w:val="-4"/>
          <w:sz w:val="18"/>
          <w:szCs w:val="18"/>
        </w:rPr>
        <w:t> </w:t>
      </w:r>
      <w:r w:rsidRPr="00977E53">
        <w:rPr>
          <w:color w:val="000000" w:themeColor="text1"/>
          <w:spacing w:val="-4"/>
          <w:sz w:val="18"/>
          <w:szCs w:val="18"/>
        </w:rPr>
        <w:t xml:space="preserve">Strategią. Zarząd określa strukturę organizacyjną Banku, dbając o </w:t>
      </w:r>
      <w:r w:rsidRPr="00977E53">
        <w:rPr>
          <w:rFonts w:eastAsia="Calibri"/>
          <w:color w:val="000000" w:themeColor="text1"/>
          <w:sz w:val="18"/>
          <w:szCs w:val="18"/>
        </w:rPr>
        <w:t>właściwy podział ról kluczowych z punktu widzenia zarządzania ryzykiem</w:t>
      </w:r>
      <w:r w:rsidRPr="00977E53">
        <w:rPr>
          <w:color w:val="000000" w:themeColor="text1"/>
          <w:spacing w:val="-4"/>
          <w:sz w:val="18"/>
          <w:szCs w:val="18"/>
        </w:rPr>
        <w:t xml:space="preserve"> oraz przydziela zadania i obowiązki poszczególnym jednostkom organizacyjnym. Ponadto odpowiada za opracowanie, wdrożenie, skuteczność i aktualizację pisemnych strategii, polityk i procedur, które dotyczą: systemu kontroli wewnętrznej, systemu zarządzania ryzykiem, procesu szacowania kapitału wewnętrznego, zarządzania kapitałem i planowania kapitału.</w:t>
      </w:r>
    </w:p>
    <w:p w14:paraId="77C6617F" w14:textId="7F379E16" w:rsidR="00FF5209" w:rsidRPr="00977E53" w:rsidRDefault="00FF5209" w:rsidP="00FF5209">
      <w:pPr>
        <w:spacing w:after="120"/>
        <w:jc w:val="both"/>
        <w:rPr>
          <w:b/>
          <w:color w:val="000000" w:themeColor="text1"/>
          <w:spacing w:val="-4"/>
          <w:sz w:val="18"/>
          <w:szCs w:val="18"/>
        </w:rPr>
      </w:pPr>
      <w:r w:rsidRPr="00977E53">
        <w:rPr>
          <w:b/>
          <w:color w:val="000000" w:themeColor="text1"/>
          <w:sz w:val="18"/>
          <w:szCs w:val="18"/>
        </w:rPr>
        <w:t xml:space="preserve">Wiceprezes Zarządu ds. Zarządzania Ryzykiem (Chief Risk Officer – CRO) </w:t>
      </w:r>
      <w:r w:rsidRPr="00977E53">
        <w:rPr>
          <w:color w:val="000000" w:themeColor="text1"/>
          <w:sz w:val="18"/>
          <w:szCs w:val="18"/>
        </w:rPr>
        <w:t>jest odpowiedzialny za</w:t>
      </w:r>
      <w:r w:rsidR="00BA0DCC">
        <w:rPr>
          <w:color w:val="000000" w:themeColor="text1"/>
          <w:sz w:val="18"/>
          <w:szCs w:val="18"/>
        </w:rPr>
        <w:t> </w:t>
      </w:r>
      <w:r w:rsidRPr="00977E53">
        <w:rPr>
          <w:color w:val="000000" w:themeColor="text1"/>
          <w:sz w:val="18"/>
          <w:szCs w:val="18"/>
        </w:rPr>
        <w:t>zintegrowane zarządzanie ryzykiem i kapitałem Banku oraz Grupy w zakresie: definiowania strategii i polityk, pomiaru, kontroli i niezależnego raportowania w zakresie wszystkich rodzajów ryzyka (w szczególności ryzyka kredytowego, rynkowego, płynności oraz niefinansowego, w tym ryzyka operacyjnego), zatwierdzania limitów (zgodnie z regulacjami wewnętrznymi) oraz za procesy zarządzania ryzykiem detalicznego portfela kredytowego i portfela korporacyjnego.</w:t>
      </w:r>
    </w:p>
    <w:p w14:paraId="10972D4A" w14:textId="77777777" w:rsidR="00FF5209" w:rsidRPr="00977E53" w:rsidRDefault="00FF5209" w:rsidP="00FF5209">
      <w:pPr>
        <w:spacing w:after="120"/>
        <w:jc w:val="both"/>
        <w:rPr>
          <w:b/>
          <w:color w:val="000000" w:themeColor="text1"/>
          <w:spacing w:val="-4"/>
          <w:sz w:val="18"/>
          <w:szCs w:val="18"/>
        </w:rPr>
      </w:pPr>
      <w:r w:rsidRPr="00977E53">
        <w:rPr>
          <w:b/>
          <w:color w:val="000000" w:themeColor="text1"/>
          <w:spacing w:val="-4"/>
          <w:sz w:val="18"/>
          <w:szCs w:val="18"/>
        </w:rPr>
        <w:t>Komitety:</w:t>
      </w:r>
    </w:p>
    <w:p w14:paraId="12B135F2" w14:textId="3FCEB3C2"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Komitety Forum Biznesu i Ryzyka Grupy mBanku</w:t>
      </w:r>
      <w:r w:rsidRPr="001B396A">
        <w:rPr>
          <w:rFonts w:cs="Tahoma"/>
          <w:bCs/>
          <w:color w:val="000000" w:themeColor="text1"/>
          <w:sz w:val="18"/>
          <w:szCs w:val="18"/>
        </w:rPr>
        <w:t>, tj. Komitet Ryzyka Bankowości Detalicznej (KRD), Komitet Ryzyka Bankowości Korporacyjnej i Inwestycyjnej (KRK) oraz Komitet Ryzyka Rynków Finansowych (KRF) są platformą podejmowania decyzji oraz dialogu między jednostkami organizacyjnymi linii biznesowych i obszaru zarządzania ryzykiem w mBanku, jak również między Bankiem a spółkami Grupy. W</w:t>
      </w:r>
      <w:r w:rsidR="00A35AAC" w:rsidRPr="001B396A">
        <w:rPr>
          <w:rFonts w:cs="Tahoma"/>
          <w:bCs/>
          <w:color w:val="000000" w:themeColor="text1"/>
          <w:sz w:val="18"/>
          <w:szCs w:val="18"/>
        </w:rPr>
        <w:t> </w:t>
      </w:r>
      <w:r w:rsidRPr="001B396A">
        <w:rPr>
          <w:rFonts w:cs="Tahoma"/>
          <w:bCs/>
          <w:color w:val="000000" w:themeColor="text1"/>
          <w:sz w:val="18"/>
          <w:szCs w:val="18"/>
        </w:rPr>
        <w:t>szczególności Komitety podejmują decyzje oraz wydają rekomendacje w zakresie zasad zarządzania ryzykiem, polityk ryzyka, apetytu na ryzyko, definicji i wartości limitów ryzyka w odniesieniu do działalności danej linii biznesowej.</w:t>
      </w:r>
    </w:p>
    <w:p w14:paraId="336F3206" w14:textId="77777777"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 Ryzyka Modeli</w:t>
      </w:r>
      <w:r w:rsidRPr="001B396A">
        <w:rPr>
          <w:rFonts w:cs="Tahoma"/>
          <w:bCs/>
          <w:color w:val="000000" w:themeColor="text1"/>
          <w:sz w:val="18"/>
          <w:szCs w:val="18"/>
        </w:rPr>
        <w:t xml:space="preserve"> jest odpowiedzialny za nadzór nad procesem zarządzania ryzykiem modeli, pełniąc w tym zakresie funkcje: informacyjną, dyskusyjną, decyzyjną oraz legislacyjną.</w:t>
      </w:r>
    </w:p>
    <w:p w14:paraId="4BDED0FE" w14:textId="4941410C"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 Zarządzania Bilansem (BSM)</w:t>
      </w:r>
      <w:r w:rsidRPr="001B396A">
        <w:rPr>
          <w:rFonts w:cs="Tahoma"/>
          <w:bCs/>
          <w:color w:val="000000" w:themeColor="text1"/>
          <w:sz w:val="18"/>
          <w:szCs w:val="18"/>
        </w:rPr>
        <w:t xml:space="preserve"> jest odpowiedzialny za systematyczne monitorowanie struktury bilansu banku oraz alokację funduszy w granicach dopuszczalnych ryzyk w celu optymalizacji wyniku finansowego. W szczególności Komitet: wprowadza zasady zarządzania bilansem banku, realizuje działania zapewniające odpowiedni poziom finansowania w banku, rekomenduje zarządowi banku zmiany w podejścia strategicznym do zarządzania bilansem.</w:t>
      </w:r>
    </w:p>
    <w:p w14:paraId="3E047EAF" w14:textId="77777777"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 ds. Zarządzania Aktywami i Pasywami Grupy mBanku (ALCO)</w:t>
      </w:r>
      <w:r w:rsidRPr="001B396A">
        <w:rPr>
          <w:rFonts w:cs="Tahoma"/>
          <w:bCs/>
          <w:color w:val="000000" w:themeColor="text1"/>
          <w:sz w:val="18"/>
          <w:szCs w:val="18"/>
        </w:rPr>
        <w:t xml:space="preserve"> jest komitetem eksperckim odpowiedzialnym za monitorowanie struktury aktywów i pasywów oraz rekomendowanie jej optymalizacji do Komitetu BSM. ALCO jest również odpowiedzialne za przygotowanie materiałów do dyskusji na Komitecie BSM.</w:t>
      </w:r>
    </w:p>
    <w:p w14:paraId="4D7CD451" w14:textId="32A7B5E8"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
          <w:bCs/>
          <w:color w:val="000000" w:themeColor="text1"/>
          <w:sz w:val="18"/>
          <w:szCs w:val="18"/>
        </w:rPr>
      </w:pPr>
      <w:r w:rsidRPr="001B396A">
        <w:rPr>
          <w:rFonts w:cs="Tahoma"/>
          <w:b/>
          <w:bCs/>
          <w:color w:val="000000" w:themeColor="text1"/>
          <w:sz w:val="18"/>
          <w:szCs w:val="18"/>
        </w:rPr>
        <w:t>Komitet ds. Zarządzania Kapitałem</w:t>
      </w:r>
      <w:r w:rsidRPr="001B396A">
        <w:rPr>
          <w:rFonts w:cs="Tahoma"/>
          <w:bCs/>
          <w:color w:val="000000" w:themeColor="text1"/>
          <w:sz w:val="18"/>
          <w:szCs w:val="18"/>
        </w:rPr>
        <w:t xml:space="preserve"> jest w szczególności odpowiedzialny za zarządzanie kapitałem. Na</w:t>
      </w:r>
      <w:r w:rsidR="00A35AAC" w:rsidRPr="001B396A">
        <w:rPr>
          <w:rFonts w:cs="Tahoma"/>
          <w:bCs/>
          <w:color w:val="000000" w:themeColor="text1"/>
          <w:sz w:val="18"/>
          <w:szCs w:val="18"/>
        </w:rPr>
        <w:t> </w:t>
      </w:r>
      <w:r w:rsidRPr="001B396A">
        <w:rPr>
          <w:rFonts w:cs="Tahoma"/>
          <w:bCs/>
          <w:color w:val="000000" w:themeColor="text1"/>
          <w:sz w:val="18"/>
          <w:szCs w:val="18"/>
        </w:rPr>
        <w:t>podstawie podjętych decyzji Komitet wydaje rekomendacje dla Zarządu Banku w sprawie: działań z zakresu zarządzania kapitałem oraz poziomu i struktury kapitału, zwiększania efektywności wykorzystania kapitału, procedur wewnętrznych dotyczących zarządzania kapitałem i planowania kapitału.</w:t>
      </w:r>
    </w:p>
    <w:p w14:paraId="48EA11F9" w14:textId="172C8071"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 Kredytowy Grupy mBanku</w:t>
      </w:r>
      <w:r w:rsidRPr="001B396A">
        <w:rPr>
          <w:rFonts w:cs="Tahoma"/>
          <w:bCs/>
          <w:color w:val="000000" w:themeColor="text1"/>
          <w:sz w:val="18"/>
          <w:szCs w:val="18"/>
        </w:rPr>
        <w:t xml:space="preserve"> jest w szczególności odpowiedzialny za sprawowanie nadzoru nad ryzykiem koncentracji i dużymi zaangażowaniami na poziomie Grupy mBanku, poprzez podejmowane decyzje oraz wydawane rekomendacje. W ramach funkcjonowania Banku Komitet </w:t>
      </w:r>
      <w:r w:rsidRPr="001B396A">
        <w:rPr>
          <w:rFonts w:cs="Tahoma"/>
          <w:bCs/>
          <w:color w:val="000000" w:themeColor="text1"/>
          <w:sz w:val="18"/>
          <w:szCs w:val="18"/>
        </w:rPr>
        <w:lastRenderedPageBreak/>
        <w:t>podejmuje decyzje kredytowe, a także decyzje dotyczące m</w:t>
      </w:r>
      <w:r w:rsidR="00BD1962" w:rsidRPr="001B396A">
        <w:rPr>
          <w:rFonts w:cs="Tahoma"/>
          <w:bCs/>
          <w:color w:val="000000" w:themeColor="text1"/>
          <w:sz w:val="18"/>
          <w:szCs w:val="18"/>
        </w:rPr>
        <w:t>iędzy innymi</w:t>
      </w:r>
      <w:r w:rsidRPr="001B396A">
        <w:rPr>
          <w:rFonts w:cs="Tahoma"/>
          <w:bCs/>
          <w:color w:val="000000" w:themeColor="text1"/>
          <w:sz w:val="18"/>
          <w:szCs w:val="18"/>
        </w:rPr>
        <w:t xml:space="preserve"> konwersji długu na akcje, udziały oraz przejęcia nieruchomości w zamian za długi.</w:t>
      </w:r>
    </w:p>
    <w:p w14:paraId="56C06289" w14:textId="728F9705" w:rsidR="00FF5209" w:rsidRPr="001B396A" w:rsidRDefault="00FF5209" w:rsidP="00B06443">
      <w:pPr>
        <w:numPr>
          <w:ilvl w:val="0"/>
          <w:numId w:val="17"/>
        </w:numPr>
        <w:tabs>
          <w:tab w:val="clear" w:pos="1267"/>
          <w:tab w:val="num" w:pos="426"/>
        </w:tabs>
        <w:suppressAutoHyphens/>
        <w:spacing w:before="60" w:after="60"/>
        <w:ind w:left="425" w:right="-57" w:hanging="425"/>
        <w:jc w:val="both"/>
        <w:rPr>
          <w:rFonts w:cs="Tahoma"/>
          <w:b/>
          <w:bCs/>
          <w:color w:val="000000" w:themeColor="text1"/>
          <w:sz w:val="18"/>
          <w:szCs w:val="18"/>
        </w:rPr>
      </w:pPr>
      <w:r w:rsidRPr="001B396A">
        <w:rPr>
          <w:rFonts w:cs="Tahoma"/>
          <w:b/>
          <w:bCs/>
          <w:color w:val="000000" w:themeColor="text1"/>
          <w:sz w:val="18"/>
          <w:szCs w:val="18"/>
        </w:rPr>
        <w:t>Komitet Bankowości Inwestycyjnej</w:t>
      </w:r>
      <w:r w:rsidRPr="001B396A">
        <w:rPr>
          <w:rFonts w:cs="Tahoma"/>
          <w:bCs/>
          <w:color w:val="000000" w:themeColor="text1"/>
          <w:sz w:val="18"/>
          <w:szCs w:val="18"/>
        </w:rPr>
        <w:t xml:space="preserve"> jest w szczególności odpowiedzialny za sprawowanie kontroli i</w:t>
      </w:r>
      <w:r w:rsidR="008B7841" w:rsidRPr="001B396A">
        <w:rPr>
          <w:rFonts w:cs="Tahoma"/>
          <w:bCs/>
          <w:color w:val="000000" w:themeColor="text1"/>
          <w:sz w:val="18"/>
          <w:szCs w:val="18"/>
        </w:rPr>
        <w:t> </w:t>
      </w:r>
      <w:r w:rsidR="00BD1962" w:rsidRPr="001B396A">
        <w:rPr>
          <w:rFonts w:cs="Tahoma"/>
          <w:bCs/>
          <w:color w:val="000000" w:themeColor="text1"/>
          <w:sz w:val="18"/>
          <w:szCs w:val="18"/>
        </w:rPr>
        <w:t>zarządzanie ryzykiem (między innymi</w:t>
      </w:r>
      <w:r w:rsidRPr="001B396A">
        <w:rPr>
          <w:rFonts w:cs="Tahoma"/>
          <w:bCs/>
          <w:color w:val="000000" w:themeColor="text1"/>
          <w:sz w:val="18"/>
          <w:szCs w:val="18"/>
        </w:rPr>
        <w:t xml:space="preserve"> rynkowym, kredytowym, reputacyjnym, operacyjnym) transakcji Biura Maklerskiego oraz podejmowanie decyzji dotyczących realizacji tych transakcji.</w:t>
      </w:r>
      <w:r w:rsidRPr="001B396A">
        <w:rPr>
          <w:rFonts w:cs="Tahoma"/>
          <w:b/>
          <w:bCs/>
          <w:color w:val="000000" w:themeColor="text1"/>
          <w:sz w:val="18"/>
          <w:szCs w:val="18"/>
        </w:rPr>
        <w:t xml:space="preserve"> </w:t>
      </w:r>
    </w:p>
    <w:p w14:paraId="2D90FCE2" w14:textId="0448FA6A" w:rsidR="00FF5209" w:rsidRPr="001B396A" w:rsidRDefault="00FF5209" w:rsidP="001B396A">
      <w:pPr>
        <w:numPr>
          <w:ilvl w:val="0"/>
          <w:numId w:val="17"/>
        </w:numPr>
        <w:tabs>
          <w:tab w:val="clear" w:pos="1267"/>
          <w:tab w:val="num" w:pos="426"/>
        </w:tabs>
        <w:suppressAutoHyphens/>
        <w:spacing w:before="60" w:after="60"/>
        <w:ind w:left="425" w:right="-57" w:hanging="425"/>
        <w:jc w:val="both"/>
        <w:rPr>
          <w:rFonts w:cs="Tahoma"/>
          <w:bCs/>
          <w:color w:val="000000" w:themeColor="text1"/>
          <w:sz w:val="18"/>
          <w:szCs w:val="18"/>
        </w:rPr>
      </w:pPr>
      <w:r w:rsidRPr="001B396A">
        <w:rPr>
          <w:rFonts w:cs="Tahoma"/>
          <w:b/>
          <w:bCs/>
          <w:color w:val="000000" w:themeColor="text1"/>
          <w:sz w:val="18"/>
          <w:szCs w:val="18"/>
        </w:rPr>
        <w:t>Komitet ds. Nadzoru nad Oddziałami Zagranicznymi mBanku</w:t>
      </w:r>
      <w:r w:rsidR="00BD1962" w:rsidRPr="001B396A">
        <w:rPr>
          <w:rFonts w:cs="Tahoma"/>
          <w:bCs/>
          <w:color w:val="000000" w:themeColor="text1"/>
          <w:sz w:val="18"/>
          <w:szCs w:val="18"/>
        </w:rPr>
        <w:t xml:space="preserve"> między innymi</w:t>
      </w:r>
      <w:r w:rsidRPr="001B396A">
        <w:rPr>
          <w:rFonts w:cs="Tahoma"/>
          <w:bCs/>
          <w:color w:val="000000" w:themeColor="text1"/>
          <w:sz w:val="18"/>
          <w:szCs w:val="18"/>
        </w:rPr>
        <w:t xml:space="preserve"> wydaje rekomendacje w</w:t>
      </w:r>
      <w:r w:rsidR="008B7841" w:rsidRPr="001B396A">
        <w:rPr>
          <w:rFonts w:cs="Tahoma"/>
          <w:bCs/>
          <w:color w:val="000000" w:themeColor="text1"/>
          <w:sz w:val="18"/>
          <w:szCs w:val="18"/>
        </w:rPr>
        <w:t> </w:t>
      </w:r>
      <w:r w:rsidRPr="001B396A">
        <w:rPr>
          <w:rFonts w:cs="Tahoma"/>
          <w:bCs/>
          <w:color w:val="000000" w:themeColor="text1"/>
          <w:sz w:val="18"/>
          <w:szCs w:val="18"/>
        </w:rPr>
        <w:t>sprawie zatwierdzenia strategii działania oraz zasad stabilnego i ostrożnego zarządzania danego oddziału zagranicznego Banku, w szczególności w odniesieniu do ryzyka kredytowego.</w:t>
      </w:r>
    </w:p>
    <w:p w14:paraId="35BE5BD7" w14:textId="343AD9C6" w:rsidR="00200706" w:rsidRPr="00977E53" w:rsidRDefault="00FF5209" w:rsidP="00FF5209">
      <w:pPr>
        <w:spacing w:before="120" w:after="120"/>
        <w:jc w:val="both"/>
        <w:rPr>
          <w:rFonts w:eastAsia="Calibri"/>
          <w:color w:val="000000" w:themeColor="text1"/>
          <w:sz w:val="18"/>
          <w:szCs w:val="18"/>
        </w:rPr>
      </w:pPr>
      <w:r w:rsidRPr="00977E53">
        <w:rPr>
          <w:rFonts w:eastAsia="Calibri"/>
          <w:color w:val="000000" w:themeColor="text1"/>
          <w:sz w:val="18"/>
          <w:szCs w:val="18"/>
        </w:rPr>
        <w:t>Funkcja zarządzania na poziomie strategicznym i funkcja kontroli ryzyka kredytowego, rynkowego, płynności, operacyjnego i ryzyka modeli wykorzystywanych do kwantyfikacji wymienionych rodzajów ryzyka jest realizowana w ramach obszaru zarządzania ryzykiem nadzorowanego przez Wiceprezesa Zarządu ds. Zarządzania Ryzykiem.</w:t>
      </w:r>
    </w:p>
    <w:p w14:paraId="1F99A5A8" w14:textId="44594837" w:rsidR="000F75B9" w:rsidRPr="00977E53" w:rsidRDefault="000F75B9" w:rsidP="002C181E">
      <w:pPr>
        <w:numPr>
          <w:ilvl w:val="2"/>
          <w:numId w:val="14"/>
        </w:numPr>
        <w:spacing w:before="240" w:after="120" w:line="259" w:lineRule="auto"/>
        <w:ind w:left="709"/>
        <w:rPr>
          <w:b/>
          <w:color w:val="000000" w:themeColor="text1"/>
          <w:sz w:val="18"/>
          <w:szCs w:val="18"/>
        </w:rPr>
      </w:pPr>
      <w:r w:rsidRPr="00977E53">
        <w:rPr>
          <w:b/>
          <w:color w:val="000000" w:themeColor="text1"/>
          <w:sz w:val="18"/>
          <w:szCs w:val="18"/>
        </w:rPr>
        <w:t xml:space="preserve">Proces oceny adekwatności kapitału wewnętrznego </w:t>
      </w:r>
      <w:r w:rsidR="00EF002F">
        <w:rPr>
          <w:b/>
          <w:color w:val="000000" w:themeColor="text1"/>
          <w:sz w:val="18"/>
          <w:szCs w:val="18"/>
        </w:rPr>
        <w:t xml:space="preserve">i płynności </w:t>
      </w:r>
      <w:r w:rsidRPr="00977E53">
        <w:rPr>
          <w:b/>
          <w:color w:val="000000" w:themeColor="text1"/>
          <w:sz w:val="18"/>
          <w:szCs w:val="18"/>
        </w:rPr>
        <w:t>(ICAAP</w:t>
      </w:r>
      <w:r w:rsidR="007037B2">
        <w:rPr>
          <w:b/>
          <w:color w:val="000000" w:themeColor="text1"/>
          <w:sz w:val="18"/>
          <w:szCs w:val="18"/>
        </w:rPr>
        <w:t>/ILAAP</w:t>
      </w:r>
      <w:r w:rsidRPr="00977E53">
        <w:rPr>
          <w:b/>
          <w:color w:val="000000" w:themeColor="text1"/>
          <w:sz w:val="18"/>
          <w:szCs w:val="18"/>
        </w:rPr>
        <w:t>)</w:t>
      </w:r>
    </w:p>
    <w:p w14:paraId="0E8E4D7C" w14:textId="77777777" w:rsidR="008B7841" w:rsidRPr="00977E53" w:rsidRDefault="008B7841" w:rsidP="00ED255F">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 xml:space="preserve">Grupa mBanku stosuje proces oceny adekwatności kapitału wewnętrznego (ICAAP), który służy utrzymaniu funduszy własnych na poziomie adekwatnym do profilu i poziomu ryzyka ponoszonego w jej działalności. Proces ICAAP obejmuje: </w:t>
      </w:r>
    </w:p>
    <w:p w14:paraId="043F44F9"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inwentaryzację ryzyka w działalności Grupy mBanku, </w:t>
      </w:r>
    </w:p>
    <w:p w14:paraId="0A45BD68"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szacowanie kapitału wewnętrznego i regulacyjnego na pokrycie ryzyka, </w:t>
      </w:r>
    </w:p>
    <w:p w14:paraId="307FF40E"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agregację kapitału, </w:t>
      </w:r>
    </w:p>
    <w:p w14:paraId="37C29C8C"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testy warunków skrajnych, </w:t>
      </w:r>
    </w:p>
    <w:p w14:paraId="3FFC6A12"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ustalanie limitów dotyczących wykorzystania zasobów kapitałowych,</w:t>
      </w:r>
    </w:p>
    <w:p w14:paraId="517E0BC1"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planowanie i alokację kapitału, </w:t>
      </w:r>
    </w:p>
    <w:p w14:paraId="6B95D56F" w14:textId="77777777" w:rsidR="008B7841" w:rsidRPr="00ED255F" w:rsidRDefault="008B7841"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monitorowanie polegające na stałej identyfikacji ryzyka występującego w działalności Grupy mBanku oraz analizie poziomu kapitału na pokrycie ryzyka. </w:t>
      </w:r>
    </w:p>
    <w:p w14:paraId="4B3506F0" w14:textId="6AAD8CFF" w:rsidR="007E774B" w:rsidRPr="007E774B" w:rsidRDefault="007E774B" w:rsidP="00ED255F">
      <w:pPr>
        <w:autoSpaceDE w:val="0"/>
        <w:autoSpaceDN w:val="0"/>
        <w:adjustRightInd w:val="0"/>
        <w:spacing w:before="120" w:after="60"/>
        <w:jc w:val="both"/>
        <w:rPr>
          <w:rFonts w:eastAsia="Calibri" w:cs="Verdana"/>
          <w:sz w:val="18"/>
          <w:szCs w:val="18"/>
        </w:rPr>
      </w:pPr>
      <w:r w:rsidRPr="007E774B">
        <w:rPr>
          <w:rFonts w:eastAsia="Calibri" w:cs="Verdana"/>
          <w:sz w:val="18"/>
          <w:szCs w:val="18"/>
        </w:rPr>
        <w:t>Wdrożony w Grupie mBanku proces oceny adekwatności płynności (ILAAP) odgrywa kluczową rolę w</w:t>
      </w:r>
      <w:r>
        <w:rPr>
          <w:rFonts w:eastAsia="Calibri" w:cs="Verdana"/>
          <w:sz w:val="18"/>
          <w:szCs w:val="18"/>
        </w:rPr>
        <w:t> </w:t>
      </w:r>
      <w:r w:rsidRPr="007E774B">
        <w:rPr>
          <w:rFonts w:eastAsia="Calibri" w:cs="Verdana"/>
          <w:sz w:val="18"/>
          <w:szCs w:val="18"/>
        </w:rPr>
        <w:t>utrzymaniu ciągłości działania Banku i Grupy przez zapewnienie odpowiedniej pozycji płynnościowej i</w:t>
      </w:r>
      <w:r>
        <w:rPr>
          <w:rFonts w:eastAsia="Calibri" w:cs="Verdana"/>
          <w:sz w:val="18"/>
          <w:szCs w:val="18"/>
        </w:rPr>
        <w:t> </w:t>
      </w:r>
      <w:r w:rsidRPr="007E774B">
        <w:rPr>
          <w:rFonts w:eastAsia="Calibri" w:cs="Verdana"/>
          <w:sz w:val="18"/>
          <w:szCs w:val="18"/>
        </w:rPr>
        <w:t>finansowej. Proces ILAAP obejmuje m</w:t>
      </w:r>
      <w:r>
        <w:rPr>
          <w:rFonts w:eastAsia="Calibri" w:cs="Verdana"/>
          <w:sz w:val="18"/>
          <w:szCs w:val="18"/>
        </w:rPr>
        <w:t>iędzy innymi</w:t>
      </w:r>
      <w:r w:rsidRPr="007E774B">
        <w:rPr>
          <w:rFonts w:eastAsia="Calibri" w:cs="Verdana"/>
          <w:sz w:val="18"/>
          <w:szCs w:val="18"/>
        </w:rPr>
        <w:t>:</w:t>
      </w:r>
    </w:p>
    <w:p w14:paraId="4C57FA9B"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 xml:space="preserve">inwentaryzację ryzyka płynności i finansowania w działalności Grupy, </w:t>
      </w:r>
    </w:p>
    <w:p w14:paraId="6635E8D8"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kalkulację miar płynności, w tym modelowanie wybranych produktów bankowych,</w:t>
      </w:r>
    </w:p>
    <w:p w14:paraId="3D328CD2"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planowanie bilansu i ustalanie limitów zgodnych z apetytem na ryzyko,</w:t>
      </w:r>
    </w:p>
    <w:p w14:paraId="575132C6"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zarządzanie uwzględniające testy warunków skrajnych, miary ryzyka, plan awaryjny, wskaźniki wczesnego ostrzegania (EWI), wskaźniki recovery (RI) oraz monitorowanie limitów,</w:t>
      </w:r>
    </w:p>
    <w:p w14:paraId="6115B1A4"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przegląd i ocenę procesu,</w:t>
      </w:r>
    </w:p>
    <w:p w14:paraId="184CC702"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system Ceny Transferowej Funduszy (FTP),</w:t>
      </w:r>
    </w:p>
    <w:p w14:paraId="547B56D1" w14:textId="77777777" w:rsidR="007E774B" w:rsidRPr="00ED255F" w:rsidRDefault="007E774B"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ED255F">
        <w:rPr>
          <w:rFonts w:cs="Tahoma"/>
          <w:bCs/>
          <w:color w:val="000000" w:themeColor="text1"/>
          <w:sz w:val="18"/>
          <w:szCs w:val="18"/>
        </w:rPr>
        <w:t>walidację modeli.</w:t>
      </w:r>
    </w:p>
    <w:p w14:paraId="5B63548C" w14:textId="77777777" w:rsidR="008B7841" w:rsidRPr="00977E53" w:rsidRDefault="008B7841" w:rsidP="007E774B">
      <w:pPr>
        <w:autoSpaceDE w:val="0"/>
        <w:autoSpaceDN w:val="0"/>
        <w:adjustRightInd w:val="0"/>
        <w:spacing w:before="120" w:after="120"/>
        <w:jc w:val="both"/>
        <w:rPr>
          <w:rFonts w:eastAsia="Calibri" w:cs="Verdana"/>
          <w:color w:val="000000" w:themeColor="text1"/>
          <w:sz w:val="18"/>
          <w:szCs w:val="18"/>
        </w:rPr>
      </w:pPr>
      <w:r w:rsidRPr="00977E53">
        <w:rPr>
          <w:rFonts w:eastAsia="Calibri" w:cs="Verdana"/>
          <w:color w:val="000000" w:themeColor="text1"/>
          <w:sz w:val="18"/>
          <w:szCs w:val="18"/>
        </w:rPr>
        <w:t>Procesy ICAAP i ILAAP podlegają regularnym przeglądom realizowanym przez Zarząd Banku. Przeglądy tych procesów nadzoruje Rada Nadzorcza Banku.</w:t>
      </w:r>
    </w:p>
    <w:p w14:paraId="0CAF60CB" w14:textId="77777777" w:rsidR="008B7841" w:rsidRPr="00977E53" w:rsidRDefault="008B7841" w:rsidP="008B7841">
      <w:pPr>
        <w:autoSpaceDE w:val="0"/>
        <w:autoSpaceDN w:val="0"/>
        <w:adjustRightInd w:val="0"/>
        <w:spacing w:after="120"/>
        <w:jc w:val="both"/>
        <w:rPr>
          <w:rFonts w:eastAsia="Calibri" w:cs="Verdana"/>
          <w:b/>
          <w:color w:val="000000" w:themeColor="text1"/>
          <w:sz w:val="18"/>
          <w:szCs w:val="18"/>
        </w:rPr>
      </w:pPr>
      <w:r w:rsidRPr="00977E53">
        <w:rPr>
          <w:rFonts w:eastAsia="Calibri" w:cs="Verdana"/>
          <w:b/>
          <w:color w:val="000000" w:themeColor="text1"/>
          <w:sz w:val="18"/>
          <w:szCs w:val="18"/>
        </w:rPr>
        <w:t>Istotne rodzaje ryzyka w działalności Grupy mBanku</w:t>
      </w:r>
    </w:p>
    <w:p w14:paraId="3F210EBB" w14:textId="77777777" w:rsidR="008B7841" w:rsidRPr="00977E53" w:rsidRDefault="008B7841" w:rsidP="008B7841">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Zarząd Banku podejmuje działania, aby zapewnić, że Bank zarządza wszystkimi istotnymi rodzajami ryzyka, wynikającymi z realizacji przyjętej strategii Grupy mBanku. W tym celu w Grupie mBanku przeprowadzany jest corocznie proces identyfikacji i oceny istotności ryzyka. Wszystkie istotne rodzaje ryzyka są uwzględniane w Strategii Zarządzania Ryzykiem Grupy mBanku, w szczególności w procesie zarządzania zdolnością absorpcji ryzyka.</w:t>
      </w:r>
    </w:p>
    <w:p w14:paraId="34E427ED" w14:textId="0FE48A24" w:rsidR="00ED255F" w:rsidRDefault="008B7841" w:rsidP="008B7841">
      <w:pPr>
        <w:autoSpaceDE w:val="0"/>
        <w:autoSpaceDN w:val="0"/>
        <w:adjustRightInd w:val="0"/>
        <w:spacing w:after="120"/>
        <w:jc w:val="both"/>
        <w:rPr>
          <w:rFonts w:eastAsia="Calibri" w:cs="Verdana"/>
          <w:bCs/>
          <w:color w:val="000000" w:themeColor="text1"/>
          <w:sz w:val="18"/>
          <w:szCs w:val="18"/>
          <w:lang w:eastAsia="en-US"/>
        </w:rPr>
      </w:pPr>
      <w:r w:rsidRPr="00977E53">
        <w:rPr>
          <w:rFonts w:eastAsia="Calibri" w:cs="Verdana"/>
          <w:color w:val="000000" w:themeColor="text1"/>
          <w:sz w:val="18"/>
          <w:szCs w:val="18"/>
        </w:rPr>
        <w:t>Na dzień 31 grudnia 2019 roku za istotne w działalności Grupy mBanku uznawane były następujące rodzaje ryzyka: ryzyko kredytowe, ryzyko rynkowe, ryzyko operacyjne, ryzyko biznesowe (w tym strategiczne), ryzyko płynności, ryzyko reputacji, ryzyko modeli, ryzyko kapitałowe (w tym ryzyko nadmiernej dźwigni) oraz ryzyko regulacyjne</w:t>
      </w:r>
      <w:r w:rsidR="000F75B9" w:rsidRPr="00977E53">
        <w:rPr>
          <w:rFonts w:eastAsia="Calibri" w:cs="Verdana"/>
          <w:bCs/>
          <w:color w:val="000000" w:themeColor="text1"/>
          <w:sz w:val="18"/>
          <w:szCs w:val="18"/>
          <w:lang w:eastAsia="en-US"/>
        </w:rPr>
        <w:t>.</w:t>
      </w:r>
    </w:p>
    <w:p w14:paraId="4D9446B1" w14:textId="77777777" w:rsidR="00ED255F" w:rsidRDefault="00ED255F">
      <w:pPr>
        <w:rPr>
          <w:rFonts w:eastAsia="Calibri" w:cs="Verdana"/>
          <w:bCs/>
          <w:color w:val="000000" w:themeColor="text1"/>
          <w:sz w:val="18"/>
          <w:szCs w:val="18"/>
          <w:lang w:eastAsia="en-US"/>
        </w:rPr>
      </w:pPr>
      <w:r>
        <w:rPr>
          <w:rFonts w:eastAsia="Calibri" w:cs="Verdana"/>
          <w:bCs/>
          <w:color w:val="000000" w:themeColor="text1"/>
          <w:sz w:val="18"/>
          <w:szCs w:val="18"/>
          <w:lang w:eastAsia="en-US"/>
        </w:rPr>
        <w:br w:type="page"/>
      </w:r>
    </w:p>
    <w:p w14:paraId="0A99AED9" w14:textId="55F36ED8" w:rsidR="000F75B9" w:rsidRPr="00977E53" w:rsidRDefault="000F75B9" w:rsidP="002C181E">
      <w:pPr>
        <w:numPr>
          <w:ilvl w:val="2"/>
          <w:numId w:val="14"/>
        </w:numPr>
        <w:spacing w:before="240" w:after="120" w:line="259" w:lineRule="auto"/>
        <w:ind w:left="709"/>
        <w:rPr>
          <w:b/>
          <w:color w:val="000000" w:themeColor="text1"/>
          <w:sz w:val="18"/>
          <w:szCs w:val="18"/>
        </w:rPr>
      </w:pPr>
      <w:r w:rsidRPr="00977E53">
        <w:rPr>
          <w:b/>
          <w:color w:val="000000" w:themeColor="text1"/>
          <w:sz w:val="18"/>
          <w:szCs w:val="18"/>
        </w:rPr>
        <w:lastRenderedPageBreak/>
        <w:t>Apetyt na ryzyko</w:t>
      </w:r>
    </w:p>
    <w:p w14:paraId="5F66C6BB" w14:textId="34DF006A" w:rsidR="00E332DC" w:rsidRDefault="00AD795A" w:rsidP="00B06443">
      <w:pPr>
        <w:spacing w:after="120"/>
        <w:jc w:val="both"/>
        <w:rPr>
          <w:rFonts w:cs="Calibri"/>
          <w:color w:val="000000" w:themeColor="text1"/>
          <w:sz w:val="18"/>
          <w:szCs w:val="18"/>
        </w:rPr>
      </w:pPr>
      <w:r w:rsidRPr="00977E53">
        <w:rPr>
          <w:rFonts w:cs="Calibri"/>
          <w:color w:val="000000" w:themeColor="text1"/>
          <w:sz w:val="18"/>
          <w:szCs w:val="18"/>
        </w:rPr>
        <w:t xml:space="preserve">Grupa mBanku definiuje apetyt na ryzyko jako maksymalny poziom ryzyka, pod względem zarówno wartości, jak i struktury, jaki Grupa jest skłonna i zdolna zaakceptować w toku realizacji przyjętych celów biznesowych w ramach scenariusza kontynuacji działalności gospodarczej. </w:t>
      </w:r>
    </w:p>
    <w:p w14:paraId="78DB9E13" w14:textId="77777777" w:rsidR="00AD795A" w:rsidRPr="00977E53" w:rsidRDefault="00AD795A" w:rsidP="00AD795A">
      <w:pPr>
        <w:spacing w:after="120"/>
        <w:rPr>
          <w:b/>
          <w:color w:val="000000" w:themeColor="text1"/>
          <w:sz w:val="18"/>
          <w:szCs w:val="18"/>
        </w:rPr>
      </w:pPr>
      <w:r w:rsidRPr="00977E53">
        <w:rPr>
          <w:b/>
          <w:color w:val="000000" w:themeColor="text1"/>
          <w:sz w:val="18"/>
          <w:szCs w:val="18"/>
        </w:rPr>
        <w:t>Bufory kapitałowe i płynnościowe</w:t>
      </w:r>
    </w:p>
    <w:p w14:paraId="1C4C44A7" w14:textId="072DC60E" w:rsidR="00AD795A" w:rsidRPr="00977E53" w:rsidRDefault="00AD795A" w:rsidP="00AD795A">
      <w:pPr>
        <w:spacing w:after="120"/>
        <w:jc w:val="both"/>
        <w:rPr>
          <w:color w:val="000000" w:themeColor="text1"/>
          <w:spacing w:val="-4"/>
          <w:sz w:val="18"/>
          <w:szCs w:val="18"/>
        </w:rPr>
      </w:pPr>
      <w:r w:rsidRPr="00977E53">
        <w:rPr>
          <w:color w:val="000000" w:themeColor="text1"/>
          <w:spacing w:val="-4"/>
          <w:sz w:val="18"/>
          <w:szCs w:val="18"/>
        </w:rPr>
        <w:t>Apetyt na ryzyko jest ustalony z uwzględnieniem dostępnych zasobów na pokrycie ryzyka, określonych na</w:t>
      </w:r>
      <w:r w:rsidR="0028323A">
        <w:rPr>
          <w:color w:val="000000" w:themeColor="text1"/>
          <w:spacing w:val="-4"/>
          <w:sz w:val="18"/>
          <w:szCs w:val="18"/>
        </w:rPr>
        <w:t> </w:t>
      </w:r>
      <w:r w:rsidRPr="00977E53">
        <w:rPr>
          <w:color w:val="000000" w:themeColor="text1"/>
          <w:spacing w:val="-4"/>
          <w:sz w:val="18"/>
          <w:szCs w:val="18"/>
        </w:rPr>
        <w:t>podstawie wymagań nadzorczych w zakresie adekwatności kapitałowej i płynności przyjętych w przepisach europejskich i polskich. Ma to zapewnić niezakłócone funkcjonowanie Grupy w razie niekorzystnych zmian w</w:t>
      </w:r>
      <w:r w:rsidR="00A35AAC">
        <w:rPr>
          <w:color w:val="000000" w:themeColor="text1"/>
          <w:spacing w:val="-4"/>
          <w:sz w:val="18"/>
          <w:szCs w:val="18"/>
        </w:rPr>
        <w:t> </w:t>
      </w:r>
      <w:r w:rsidRPr="00977E53">
        <w:rPr>
          <w:color w:val="000000" w:themeColor="text1"/>
          <w:spacing w:val="-4"/>
          <w:sz w:val="18"/>
          <w:szCs w:val="18"/>
        </w:rPr>
        <w:t>samej Grupie lub jej otoczeniu, tak aby możliwe było utrzymanie zdolności do absorpcji ryzyka. Zasoby na</w:t>
      </w:r>
      <w:r w:rsidR="0028323A">
        <w:rPr>
          <w:color w:val="000000" w:themeColor="text1"/>
          <w:spacing w:val="-4"/>
          <w:sz w:val="18"/>
          <w:szCs w:val="18"/>
        </w:rPr>
        <w:t> </w:t>
      </w:r>
      <w:r w:rsidRPr="00977E53">
        <w:rPr>
          <w:color w:val="000000" w:themeColor="text1"/>
          <w:spacing w:val="-4"/>
          <w:sz w:val="18"/>
          <w:szCs w:val="18"/>
        </w:rPr>
        <w:t>pokrycie ryzyka i apetyt na ryzyko określa się z uwzględnieniem źródeł finansowania i pozycji kapitałowej Grupy, zarówno w perspektywie regulacyjnej, jak i ekonomicznej. Bank utrzymuje kapitał i aktywa płynne na</w:t>
      </w:r>
      <w:r w:rsidR="0028323A">
        <w:rPr>
          <w:color w:val="000000" w:themeColor="text1"/>
          <w:spacing w:val="-4"/>
          <w:sz w:val="18"/>
          <w:szCs w:val="18"/>
        </w:rPr>
        <w:t> </w:t>
      </w:r>
      <w:r w:rsidRPr="00977E53">
        <w:rPr>
          <w:color w:val="000000" w:themeColor="text1"/>
          <w:spacing w:val="-4"/>
          <w:sz w:val="18"/>
          <w:szCs w:val="18"/>
        </w:rPr>
        <w:t>poziomach zapewniających spełnianie wymogów regulacyjnych w warunkach normalnych oraz w warunkach skrajnych, ale prawdopodobnych. Aby wyznaczyć odpowiednią wielkość bufora płynności ustanowiony został minimalny poziom wskaźnika LCR powyżej wymogu regulacyjnego.</w:t>
      </w:r>
    </w:p>
    <w:p w14:paraId="34F276FC" w14:textId="77777777" w:rsidR="00AD795A" w:rsidRPr="00977E53" w:rsidRDefault="00AD795A" w:rsidP="00AD795A">
      <w:pPr>
        <w:spacing w:after="120"/>
        <w:jc w:val="both"/>
        <w:rPr>
          <w:color w:val="000000" w:themeColor="text1"/>
          <w:spacing w:val="-4"/>
          <w:sz w:val="18"/>
          <w:szCs w:val="18"/>
        </w:rPr>
      </w:pPr>
      <w:r w:rsidRPr="00977E53">
        <w:rPr>
          <w:color w:val="000000" w:themeColor="text1"/>
          <w:spacing w:val="-4"/>
          <w:sz w:val="18"/>
          <w:szCs w:val="18"/>
        </w:rPr>
        <w:t>Apetyt na ryzyko Grupy mBanku uwzględnia wszystkie istotne rodzaje ryzyka i ich kluczowe koncentracje wynikające z przyjętej strategii biznesowej, poprzez ustalenie odpowiednich buforów kapitałowych dla ryzyka wynikającego z potencjalnej materializacji wybranych czynników ryzyka, dotyczących istniejących portfeli oraz planowanej działalności, a także uwzględniających nowe wymagania regulacyjne, jak również potencjalne niekorzystne zmiany makroekonomiczne.</w:t>
      </w:r>
    </w:p>
    <w:p w14:paraId="54CB83DA" w14:textId="6A645A46" w:rsidR="00AD795A" w:rsidRPr="00977E53" w:rsidRDefault="00AD795A" w:rsidP="00AD795A">
      <w:pPr>
        <w:spacing w:after="120"/>
        <w:jc w:val="both"/>
        <w:rPr>
          <w:color w:val="000000" w:themeColor="text1"/>
          <w:spacing w:val="-4"/>
          <w:sz w:val="18"/>
          <w:szCs w:val="18"/>
        </w:rPr>
      </w:pPr>
      <w:r w:rsidRPr="00977E53">
        <w:rPr>
          <w:color w:val="000000" w:themeColor="text1"/>
          <w:spacing w:val="-4"/>
          <w:sz w:val="18"/>
          <w:szCs w:val="18"/>
        </w:rPr>
        <w:t>W wyniku wewnętrznych dyskusji o apetycie na ryzyko określane są docelowe współczynniki kapitałowe i wewnętrzne bufory płynności dla Grupy mBanku.</w:t>
      </w:r>
    </w:p>
    <w:p w14:paraId="1E8E2806" w14:textId="77777777" w:rsidR="00AD795A" w:rsidRPr="00977E53" w:rsidRDefault="00AD795A" w:rsidP="00AD795A">
      <w:pPr>
        <w:spacing w:after="120"/>
        <w:rPr>
          <w:b/>
          <w:color w:val="000000" w:themeColor="text1"/>
          <w:sz w:val="18"/>
          <w:szCs w:val="18"/>
        </w:rPr>
      </w:pPr>
      <w:r w:rsidRPr="00977E53">
        <w:rPr>
          <w:b/>
          <w:color w:val="000000" w:themeColor="text1"/>
          <w:sz w:val="18"/>
          <w:szCs w:val="18"/>
        </w:rPr>
        <w:t>Zdolność absorpcji ryzyka</w:t>
      </w:r>
    </w:p>
    <w:p w14:paraId="4EA24240" w14:textId="77777777" w:rsidR="00AD795A" w:rsidRPr="00977E53" w:rsidRDefault="00AD795A" w:rsidP="00282524">
      <w:pPr>
        <w:jc w:val="both"/>
        <w:rPr>
          <w:rFonts w:cs="Calibri"/>
          <w:color w:val="000000" w:themeColor="text1"/>
          <w:spacing w:val="-4"/>
          <w:sz w:val="18"/>
          <w:szCs w:val="18"/>
        </w:rPr>
      </w:pPr>
      <w:r w:rsidRPr="00977E53">
        <w:rPr>
          <w:color w:val="000000" w:themeColor="text1"/>
          <w:spacing w:val="-4"/>
          <w:sz w:val="18"/>
          <w:szCs w:val="18"/>
        </w:rPr>
        <w:t>Zdolność absorpcji ryzyka jest wyrażona w kapitale i źródłach finansowania, które mogą być alokowane celem zapewnienia bezpieczeństwa w scenariuszu normalnym i scenariuszu ryzyka. Maksymalne ryzyko, jakie Grupa mBanku jest skłonna i zdolna ponieść, przy akceptacji zagrożeń wynikających ze strategii biznesowej Grupy mBanku, określa się z uwzględnieniem następujących warunków</w:t>
      </w:r>
      <w:r w:rsidRPr="00977E53">
        <w:rPr>
          <w:rFonts w:cs="Calibri"/>
          <w:color w:val="000000" w:themeColor="text1"/>
          <w:spacing w:val="-4"/>
          <w:sz w:val="18"/>
          <w:szCs w:val="18"/>
        </w:rPr>
        <w:t>:</w:t>
      </w:r>
    </w:p>
    <w:p w14:paraId="41D46372" w14:textId="77777777" w:rsidR="00AD795A" w:rsidRPr="00282524" w:rsidRDefault="00AD795A"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zapewnienie adekwatnej zdolności absorpcji ryzyka (przestrzeganie limitów obowiązujących w normalnych warunkach) zgodnie z zasadami ICAAP (ang. Internal Capital Adequacy Assessment Process),</w:t>
      </w:r>
    </w:p>
    <w:p w14:paraId="0BF7F039" w14:textId="77777777" w:rsidR="00AD795A" w:rsidRPr="00282524" w:rsidRDefault="00AD795A"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przestrzeganie celów wewnętrznych określonych powyżej poziomu regulacyjnych wskaźników kapitałowych,</w:t>
      </w:r>
    </w:p>
    <w:p w14:paraId="41C76C16" w14:textId="2C270CA4" w:rsidR="00AD795A" w:rsidRPr="00282524" w:rsidRDefault="00AD795A" w:rsidP="00282524">
      <w:pPr>
        <w:numPr>
          <w:ilvl w:val="0"/>
          <w:numId w:val="17"/>
        </w:numPr>
        <w:tabs>
          <w:tab w:val="clear" w:pos="1267"/>
          <w:tab w:val="num" w:pos="426"/>
        </w:tabs>
        <w:suppressAutoHyphens/>
        <w:spacing w:after="120"/>
        <w:ind w:left="425" w:right="-57" w:hanging="283"/>
        <w:jc w:val="both"/>
        <w:rPr>
          <w:rFonts w:cs="Tahoma"/>
          <w:bCs/>
          <w:color w:val="000000" w:themeColor="text1"/>
          <w:sz w:val="18"/>
          <w:szCs w:val="18"/>
        </w:rPr>
      </w:pPr>
      <w:r w:rsidRPr="00282524">
        <w:rPr>
          <w:rFonts w:cs="Tahoma"/>
          <w:bCs/>
          <w:color w:val="000000" w:themeColor="text1"/>
          <w:sz w:val="18"/>
          <w:szCs w:val="18"/>
        </w:rPr>
        <w:t>zapewnienie zachowania płynności finansowej oraz adekwatnej płynności strukturalnej</w:t>
      </w:r>
      <w:r w:rsidRPr="00282524" w:rsidDel="00DE5311">
        <w:rPr>
          <w:rFonts w:cs="Tahoma"/>
          <w:bCs/>
          <w:color w:val="000000" w:themeColor="text1"/>
          <w:sz w:val="18"/>
          <w:szCs w:val="18"/>
        </w:rPr>
        <w:t xml:space="preserve"> </w:t>
      </w:r>
      <w:r w:rsidRPr="00282524">
        <w:rPr>
          <w:rFonts w:cs="Tahoma"/>
          <w:bCs/>
          <w:color w:val="000000" w:themeColor="text1"/>
          <w:sz w:val="18"/>
          <w:szCs w:val="18"/>
        </w:rPr>
        <w:t xml:space="preserve">Grupy zgodnie z zasadami ILAAP (ang. Internal Liquidity Adequacy Assessment Processs). </w:t>
      </w:r>
    </w:p>
    <w:p w14:paraId="1A8A565F" w14:textId="77777777" w:rsidR="00AD795A" w:rsidRPr="00977E53" w:rsidRDefault="00AD795A" w:rsidP="00AD795A">
      <w:pPr>
        <w:spacing w:after="120"/>
        <w:jc w:val="both"/>
        <w:rPr>
          <w:rFonts w:eastAsia="Calibri" w:cs="Calibri"/>
          <w:color w:val="000000" w:themeColor="text1"/>
          <w:sz w:val="18"/>
          <w:szCs w:val="18"/>
        </w:rPr>
      </w:pPr>
      <w:r w:rsidRPr="00977E53">
        <w:rPr>
          <w:rFonts w:eastAsia="Calibri" w:cs="Calibri"/>
          <w:color w:val="000000" w:themeColor="text1"/>
          <w:sz w:val="18"/>
          <w:szCs w:val="18"/>
        </w:rPr>
        <w:t xml:space="preserve">Podejście Grupy mBanku do oceny i kontroli zdolności do absorpcji ryzyka Grupy uwzględnia wymogi wewnętrzne i regulacyjne. </w:t>
      </w:r>
    </w:p>
    <w:p w14:paraId="48202DD6" w14:textId="77777777" w:rsidR="00AD795A" w:rsidRPr="00977E53" w:rsidRDefault="00AD795A" w:rsidP="00AD795A">
      <w:pPr>
        <w:spacing w:after="120"/>
        <w:rPr>
          <w:b/>
          <w:color w:val="000000" w:themeColor="text1"/>
          <w:sz w:val="18"/>
          <w:szCs w:val="18"/>
        </w:rPr>
      </w:pPr>
      <w:r w:rsidRPr="00977E53">
        <w:rPr>
          <w:b/>
          <w:color w:val="000000" w:themeColor="text1"/>
          <w:sz w:val="18"/>
          <w:szCs w:val="18"/>
        </w:rPr>
        <w:t>System limitów ryzyka</w:t>
      </w:r>
    </w:p>
    <w:p w14:paraId="6B3DC4EE" w14:textId="5916E286" w:rsidR="000F75B9" w:rsidRPr="00977E53" w:rsidRDefault="00AD795A" w:rsidP="00AD795A">
      <w:pPr>
        <w:spacing w:after="120"/>
        <w:jc w:val="both"/>
        <w:rPr>
          <w:rFonts w:cs="Calibri"/>
          <w:color w:val="000000" w:themeColor="text1"/>
          <w:spacing w:val="-4"/>
          <w:sz w:val="18"/>
          <w:szCs w:val="18"/>
        </w:rPr>
      </w:pPr>
      <w:r w:rsidRPr="00977E53">
        <w:rPr>
          <w:rFonts w:cs="Calibri"/>
          <w:color w:val="000000" w:themeColor="text1"/>
          <w:spacing w:val="-4"/>
          <w:sz w:val="18"/>
          <w:szCs w:val="18"/>
        </w:rPr>
        <w:t>Aby zapewnić efektywną alokację apetytu na ryzyko Grupa mBanku wdrożyła system limitów ryzyka. Struktura limitów przekłada apetyt na ryzyko na konkretne ograniczenia dotyczące rodzajów ryzyka występujących w</w:t>
      </w:r>
      <w:r w:rsidR="00D374AC" w:rsidRPr="00977E53">
        <w:rPr>
          <w:rFonts w:cs="Calibri"/>
          <w:color w:val="000000" w:themeColor="text1"/>
          <w:spacing w:val="-4"/>
          <w:sz w:val="18"/>
          <w:szCs w:val="18"/>
        </w:rPr>
        <w:t> </w:t>
      </w:r>
      <w:r w:rsidRPr="00977E53">
        <w:rPr>
          <w:rFonts w:cs="Calibri"/>
          <w:color w:val="000000" w:themeColor="text1"/>
          <w:spacing w:val="-4"/>
          <w:sz w:val="18"/>
          <w:szCs w:val="18"/>
        </w:rPr>
        <w:t>działalności Grupy. Oprócz limitów w celu zapewnienia bezpiecznego funkcjonowania Grupy stosowane są</w:t>
      </w:r>
      <w:r w:rsidR="00BD1962">
        <w:rPr>
          <w:rFonts w:cs="Calibri"/>
          <w:color w:val="000000" w:themeColor="text1"/>
          <w:spacing w:val="-4"/>
          <w:sz w:val="18"/>
          <w:szCs w:val="18"/>
        </w:rPr>
        <w:t> </w:t>
      </w:r>
      <w:r w:rsidRPr="00977E53">
        <w:rPr>
          <w:rFonts w:cs="Calibri"/>
          <w:color w:val="000000" w:themeColor="text1"/>
          <w:spacing w:val="-4"/>
          <w:sz w:val="18"/>
          <w:szCs w:val="18"/>
        </w:rPr>
        <w:t>również liczby kontrolne oraz wskaźniki wczesnego ostrzegania</w:t>
      </w:r>
      <w:r w:rsidR="00200706" w:rsidRPr="00977E53">
        <w:rPr>
          <w:rFonts w:cs="Calibri"/>
          <w:color w:val="000000" w:themeColor="text1"/>
          <w:spacing w:val="-4"/>
          <w:sz w:val="18"/>
          <w:szCs w:val="18"/>
        </w:rPr>
        <w:t>.</w:t>
      </w:r>
    </w:p>
    <w:p w14:paraId="251449ED" w14:textId="7295B169" w:rsidR="000F75B9" w:rsidRPr="00977E53" w:rsidRDefault="000F75B9" w:rsidP="002C181E">
      <w:pPr>
        <w:numPr>
          <w:ilvl w:val="2"/>
          <w:numId w:val="14"/>
        </w:numPr>
        <w:spacing w:before="240" w:after="120" w:line="259" w:lineRule="auto"/>
        <w:ind w:left="709"/>
        <w:rPr>
          <w:b/>
          <w:color w:val="000000" w:themeColor="text1"/>
          <w:sz w:val="18"/>
          <w:szCs w:val="18"/>
        </w:rPr>
      </w:pPr>
      <w:bookmarkStart w:id="101" w:name="_Toc411261065"/>
      <w:r w:rsidRPr="00977E53">
        <w:rPr>
          <w:b/>
          <w:color w:val="000000" w:themeColor="text1"/>
          <w:sz w:val="18"/>
          <w:szCs w:val="18"/>
        </w:rPr>
        <w:t>Testy warunków skrajnych w ramach ICAAP i ILAAP</w:t>
      </w:r>
    </w:p>
    <w:p w14:paraId="4B81B109" w14:textId="349C317A" w:rsidR="00D374AC" w:rsidRPr="00977E53" w:rsidRDefault="00D374AC" w:rsidP="00D374AC">
      <w:pPr>
        <w:spacing w:after="120"/>
        <w:jc w:val="both"/>
        <w:rPr>
          <w:rFonts w:eastAsia="Calibri"/>
          <w:b/>
          <w:bCs/>
          <w:color w:val="000000" w:themeColor="text1"/>
          <w:sz w:val="18"/>
          <w:szCs w:val="18"/>
        </w:rPr>
      </w:pPr>
      <w:r w:rsidRPr="00977E53">
        <w:rPr>
          <w:rFonts w:eastAsia="Calibri"/>
          <w:color w:val="000000" w:themeColor="text1"/>
          <w:sz w:val="18"/>
          <w:szCs w:val="18"/>
        </w:rPr>
        <w:t>Testy warunków skrajnych są wykorzystywane w zarządzaniu oraz planowaniu kapitałowym i</w:t>
      </w:r>
      <w:r w:rsidR="00A35AAC">
        <w:rPr>
          <w:rFonts w:eastAsia="Calibri"/>
          <w:color w:val="000000" w:themeColor="text1"/>
          <w:sz w:val="18"/>
          <w:szCs w:val="18"/>
        </w:rPr>
        <w:t> </w:t>
      </w:r>
      <w:r w:rsidRPr="00977E53">
        <w:rPr>
          <w:rFonts w:eastAsia="Calibri"/>
          <w:color w:val="000000" w:themeColor="text1"/>
          <w:sz w:val="18"/>
          <w:szCs w:val="18"/>
        </w:rPr>
        <w:t>płynnościowym Banku i Grupy. Pozwalają ocenić odporność Grupy w kontekście dotkliwych, ale</w:t>
      </w:r>
      <w:r w:rsidR="00A35AAC">
        <w:rPr>
          <w:rFonts w:eastAsia="Calibri"/>
          <w:color w:val="000000" w:themeColor="text1"/>
          <w:sz w:val="18"/>
          <w:szCs w:val="18"/>
        </w:rPr>
        <w:t> </w:t>
      </w:r>
      <w:r w:rsidRPr="00977E53">
        <w:rPr>
          <w:rFonts w:eastAsia="Calibri"/>
          <w:color w:val="000000" w:themeColor="text1"/>
          <w:sz w:val="18"/>
          <w:szCs w:val="18"/>
        </w:rPr>
        <w:t>jednocześnie prawdopodobnych scenariuszy wydarzeń zewnętrznych i wewnętrznych.</w:t>
      </w:r>
    </w:p>
    <w:p w14:paraId="497172C5" w14:textId="77777777" w:rsidR="00D374AC" w:rsidRPr="00977E53" w:rsidRDefault="00D374AC" w:rsidP="00D374AC">
      <w:pPr>
        <w:spacing w:after="120"/>
        <w:jc w:val="both"/>
        <w:rPr>
          <w:rFonts w:eastAsia="Calibri"/>
          <w:color w:val="000000" w:themeColor="text1"/>
          <w:sz w:val="18"/>
          <w:szCs w:val="18"/>
        </w:rPr>
      </w:pPr>
      <w:r w:rsidRPr="00977E53">
        <w:rPr>
          <w:rFonts w:eastAsia="Calibri"/>
          <w:bCs/>
          <w:color w:val="000000" w:themeColor="text1"/>
          <w:sz w:val="18"/>
          <w:szCs w:val="18"/>
        </w:rPr>
        <w:t>Testy warunków skrajnych</w:t>
      </w:r>
      <w:r w:rsidRPr="00977E53">
        <w:rPr>
          <w:rFonts w:eastAsia="Calibri"/>
          <w:color w:val="000000" w:themeColor="text1"/>
          <w:sz w:val="18"/>
          <w:szCs w:val="18"/>
        </w:rPr>
        <w:t xml:space="preserve"> są przeprowadzane przy założeniu scenariusza niekorzystnych warunków makroekonomicznych, które mogą negatywnie wpłynąć na sytuację finansową i płynnościową Grupy. </w:t>
      </w:r>
    </w:p>
    <w:p w14:paraId="204CDADE" w14:textId="7E7E21B0" w:rsidR="00D374AC" w:rsidRPr="00977E53" w:rsidRDefault="00D374AC" w:rsidP="00D374AC">
      <w:pPr>
        <w:spacing w:after="120"/>
        <w:jc w:val="both"/>
        <w:rPr>
          <w:rFonts w:eastAsia="Calibri"/>
          <w:color w:val="000000" w:themeColor="text1"/>
          <w:sz w:val="18"/>
          <w:szCs w:val="18"/>
        </w:rPr>
      </w:pPr>
      <w:r w:rsidRPr="00977E53">
        <w:rPr>
          <w:rFonts w:eastAsia="Calibri"/>
          <w:color w:val="000000" w:themeColor="text1"/>
          <w:sz w:val="18"/>
          <w:szCs w:val="18"/>
        </w:rPr>
        <w:t>W ramach ICAAP Grupa przeprowadza testy warunków skrajnych z wykorzystaniem różnych scenariuszy,</w:t>
      </w:r>
      <w:r w:rsidR="00BD1962">
        <w:rPr>
          <w:rFonts w:eastAsia="Calibri"/>
          <w:color w:val="000000" w:themeColor="text1"/>
          <w:sz w:val="18"/>
          <w:szCs w:val="18"/>
        </w:rPr>
        <w:t xml:space="preserve"> między innymi</w:t>
      </w:r>
      <w:r w:rsidRPr="00977E53">
        <w:rPr>
          <w:rFonts w:eastAsia="Calibri"/>
          <w:color w:val="000000" w:themeColor="text1"/>
          <w:sz w:val="18"/>
          <w:szCs w:val="18"/>
        </w:rPr>
        <w:t xml:space="preserve"> scenariuszy historycznych, scenariuszy makroekonomicznych dla pogarszającej się koniunktury gospodarczej, scenariuszy, które uwzględniają zdarzenia o charakterze idiosynkratycznym, w</w:t>
      </w:r>
      <w:r w:rsidR="00BD1962">
        <w:rPr>
          <w:rFonts w:eastAsia="Calibri"/>
          <w:color w:val="000000" w:themeColor="text1"/>
          <w:sz w:val="18"/>
          <w:szCs w:val="18"/>
        </w:rPr>
        <w:t> </w:t>
      </w:r>
      <w:r w:rsidRPr="00977E53">
        <w:rPr>
          <w:rFonts w:eastAsia="Calibri"/>
          <w:color w:val="000000" w:themeColor="text1"/>
          <w:sz w:val="18"/>
          <w:szCs w:val="18"/>
        </w:rPr>
        <w:t>kontekście specyficznych koncentracji ryzyka w Banku i Grupie. Analizy takie uwzględniają różne poziomy dotkliwości scenariuszy, które charakteryzują się różnym poziomem prawdopodobieństwa ich</w:t>
      </w:r>
      <w:r w:rsidR="00BA0DCC">
        <w:rPr>
          <w:rFonts w:eastAsia="Calibri"/>
          <w:color w:val="000000" w:themeColor="text1"/>
          <w:sz w:val="18"/>
          <w:szCs w:val="18"/>
        </w:rPr>
        <w:t> </w:t>
      </w:r>
      <w:r w:rsidRPr="00977E53">
        <w:rPr>
          <w:rFonts w:eastAsia="Calibri"/>
          <w:color w:val="000000" w:themeColor="text1"/>
          <w:sz w:val="18"/>
          <w:szCs w:val="18"/>
        </w:rPr>
        <w:t xml:space="preserve">realizacji. </w:t>
      </w:r>
    </w:p>
    <w:p w14:paraId="3F752E52" w14:textId="77777777" w:rsidR="00D374AC" w:rsidRPr="00977E53" w:rsidRDefault="00D374AC" w:rsidP="00D374AC">
      <w:pPr>
        <w:spacing w:after="120"/>
        <w:jc w:val="both"/>
        <w:rPr>
          <w:rFonts w:eastAsia="Calibri"/>
          <w:color w:val="000000" w:themeColor="text1"/>
          <w:sz w:val="18"/>
          <w:szCs w:val="18"/>
        </w:rPr>
      </w:pPr>
      <w:r w:rsidRPr="00977E53">
        <w:rPr>
          <w:color w:val="000000" w:themeColor="text1"/>
          <w:sz w:val="18"/>
          <w:szCs w:val="18"/>
        </w:rPr>
        <w:t xml:space="preserve">Scenariusze w ramach ILAAP obejmują negatywne zdarzenia o charakterze idiosynkratycznym, zdarzenia dotyczące całego rynku oraz scenariusze połączone. Scenariusze te uzupełniane są przez scenariusz </w:t>
      </w:r>
      <w:r w:rsidRPr="00977E53">
        <w:rPr>
          <w:color w:val="000000" w:themeColor="text1"/>
          <w:sz w:val="18"/>
          <w:szCs w:val="18"/>
        </w:rPr>
        <w:lastRenderedPageBreak/>
        <w:t>odwrócony pozwalający na identyfikację czynników ryzyka. Dodatkowo przeprowadzany jest scenariusz zintegrowany, w którym uwzględnia się również wpływ czynników pochodzących z innych rodzajów ryzyka.</w:t>
      </w:r>
    </w:p>
    <w:p w14:paraId="0D7ED80F" w14:textId="77777777" w:rsidR="00D374AC" w:rsidRPr="00977E53" w:rsidRDefault="00D374AC" w:rsidP="00D374AC">
      <w:pPr>
        <w:spacing w:after="120"/>
        <w:jc w:val="both"/>
        <w:rPr>
          <w:rFonts w:eastAsia="Calibri"/>
          <w:color w:val="000000" w:themeColor="text1"/>
          <w:sz w:val="18"/>
          <w:szCs w:val="18"/>
        </w:rPr>
      </w:pPr>
      <w:r w:rsidRPr="00977E53">
        <w:rPr>
          <w:rFonts w:eastAsia="Calibri"/>
          <w:color w:val="000000" w:themeColor="text1"/>
          <w:sz w:val="18"/>
          <w:szCs w:val="18"/>
        </w:rPr>
        <w:t>Przyjmowane do analizy scenariusze makroekonomiczne umożliwiają kompleksową analizę wszystkich istotnych rodzajów ryzyka oraz analizę jego wpływu na adekwatność kapitałową i płynność Banku oraz Grupy.</w:t>
      </w:r>
    </w:p>
    <w:p w14:paraId="56F65C60" w14:textId="563369E0" w:rsidR="000F75B9" w:rsidRPr="00977E53" w:rsidRDefault="00D374AC" w:rsidP="00D374AC">
      <w:pPr>
        <w:spacing w:after="240"/>
        <w:jc w:val="both"/>
        <w:rPr>
          <w:rFonts w:eastAsia="Calibri"/>
          <w:color w:val="000000" w:themeColor="text1"/>
          <w:sz w:val="18"/>
          <w:szCs w:val="18"/>
        </w:rPr>
      </w:pPr>
      <w:r w:rsidRPr="00977E53">
        <w:rPr>
          <w:rFonts w:eastAsia="Calibri"/>
          <w:color w:val="000000" w:themeColor="text1"/>
          <w:sz w:val="18"/>
          <w:szCs w:val="18"/>
        </w:rPr>
        <w:t xml:space="preserve">Dla Banku i Grupy przeprowadzane są tzw. </w:t>
      </w:r>
      <w:r w:rsidRPr="00977E53">
        <w:rPr>
          <w:rFonts w:eastAsia="Calibri"/>
          <w:bCs/>
          <w:color w:val="000000" w:themeColor="text1"/>
          <w:sz w:val="18"/>
          <w:szCs w:val="18"/>
        </w:rPr>
        <w:t>odwrócone testy warunków skrajnych</w:t>
      </w:r>
      <w:r w:rsidRPr="00977E53">
        <w:rPr>
          <w:rFonts w:eastAsia="Calibri"/>
          <w:color w:val="000000" w:themeColor="text1"/>
          <w:sz w:val="18"/>
          <w:szCs w:val="18"/>
        </w:rPr>
        <w:t>, których celem jest identyfikacja zdarzeń mogących spowodować zagrożenie dla kontynuacji funkcjonowania Banku i Grupy. Odwrócone testy warunków skrajnych służą do podejmowania decyzji strategicznych dotyczących akceptowanego profilu ryzyka Grupy</w:t>
      </w:r>
      <w:r w:rsidR="000F75B9" w:rsidRPr="00977E53">
        <w:rPr>
          <w:rFonts w:eastAsia="Calibri"/>
          <w:color w:val="000000" w:themeColor="text1"/>
          <w:sz w:val="18"/>
          <w:szCs w:val="18"/>
        </w:rPr>
        <w:t>.</w:t>
      </w:r>
    </w:p>
    <w:p w14:paraId="26F8565F" w14:textId="77777777" w:rsidR="00DC5841" w:rsidRDefault="00DC5841" w:rsidP="0084313B">
      <w:pPr>
        <w:pStyle w:val="Akapitzlist"/>
        <w:keepNext/>
        <w:numPr>
          <w:ilvl w:val="1"/>
          <w:numId w:val="1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7" w:hanging="567"/>
        <w:jc w:val="both"/>
        <w:outlineLvl w:val="2"/>
        <w:rPr>
          <w:b/>
          <w:color w:val="E41E0A"/>
          <w:sz w:val="18"/>
          <w:szCs w:val="18"/>
        </w:rPr>
      </w:pPr>
      <w:bookmarkStart w:id="102" w:name="_Toc32999822"/>
      <w:r w:rsidRPr="005C31C8">
        <w:rPr>
          <w:b/>
          <w:color w:val="E41E0A"/>
          <w:sz w:val="18"/>
          <w:szCs w:val="18"/>
        </w:rPr>
        <w:t>Ryzyko kredytowe</w:t>
      </w:r>
      <w:bookmarkEnd w:id="101"/>
      <w:bookmarkEnd w:id="102"/>
      <w:r w:rsidRPr="005C31C8">
        <w:rPr>
          <w:b/>
          <w:color w:val="E41E0A"/>
          <w:sz w:val="18"/>
          <w:szCs w:val="18"/>
        </w:rPr>
        <w:t xml:space="preserve"> </w:t>
      </w:r>
    </w:p>
    <w:p w14:paraId="01696DDE" w14:textId="77777777" w:rsidR="0084313B" w:rsidRPr="005C31C8" w:rsidRDefault="0084313B" w:rsidP="0084313B"/>
    <w:p w14:paraId="04071169" w14:textId="3DC8063D" w:rsidR="00984A34" w:rsidRPr="00977E53" w:rsidRDefault="00984A34" w:rsidP="009E7EB5">
      <w:pPr>
        <w:pStyle w:val="Akapitzlist"/>
        <w:numPr>
          <w:ilvl w:val="2"/>
          <w:numId w:val="14"/>
        </w:numPr>
        <w:spacing w:after="120"/>
        <w:ind w:left="709" w:hanging="709"/>
        <w:rPr>
          <w:b/>
          <w:color w:val="000000" w:themeColor="text1"/>
          <w:sz w:val="18"/>
          <w:szCs w:val="18"/>
          <w:lang w:eastAsia="en-US"/>
        </w:rPr>
      </w:pPr>
      <w:r w:rsidRPr="00977E53">
        <w:rPr>
          <w:b/>
          <w:color w:val="000000" w:themeColor="text1"/>
          <w:sz w:val="18"/>
          <w:szCs w:val="18"/>
          <w:lang w:eastAsia="en-US"/>
        </w:rPr>
        <w:t>Organizacja zarządzania ryzykiem</w:t>
      </w:r>
    </w:p>
    <w:p w14:paraId="3BE210DC" w14:textId="77777777" w:rsidR="007B1833" w:rsidRPr="00977E53" w:rsidRDefault="007B1833" w:rsidP="007B1833">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Grupa aktywnie zarządza ryzykiem kredytowym mając na celu optymalizację poziomu zysku uwzględniającą koszt ponoszonego ryzyka. Analiza ryzyka występującego w funkcjonowaniu Grupy ma charakter ciągły. W celu identyfikacji i monitorowania ryzyka kredytowego, w strukturze Banku oraz spółek zależnych stosuje się jednolite zasady zarządzania ryzykiem kredytowym, których podstawą jest między innymi oddzielenie funkcji oceny ryzyka kredytowego od funkcji sprzedażowych na wszystkich szczeblach do poziomu Zarządu włącznie. Analogiczne podejście Bank stosuje w odniesieniu do administrowania ekspozycjami niosącymi ryzyko kredytowe, które jest realizowane w obszarze zarządzania ryzykiem oraz w obszarze operacyjnym, w pełnej niezależności od funkcji sprzedażowych. Przyjęty model zarządzania ryzykiem w ramach Grupy zakłada uczestnictwo w tym procesie jednostek organizacyjnych Banku wchodzących w skład obszaru zarządzania ryzykiem, a także Komitetu Kredytowego Grupy (KKG). </w:t>
      </w:r>
    </w:p>
    <w:p w14:paraId="6AAD9732" w14:textId="63C65260" w:rsidR="007B1833" w:rsidRPr="00977E53" w:rsidRDefault="007B1833" w:rsidP="007B1833">
      <w:pPr>
        <w:autoSpaceDE w:val="0"/>
        <w:autoSpaceDN w:val="0"/>
        <w:adjustRightInd w:val="0"/>
        <w:spacing w:after="120"/>
        <w:jc w:val="both"/>
        <w:rPr>
          <w:rFonts w:eastAsia="Calibri" w:cs="Verdana"/>
          <w:bCs/>
          <w:color w:val="000000" w:themeColor="text1"/>
          <w:sz w:val="18"/>
          <w:szCs w:val="18"/>
        </w:rPr>
      </w:pPr>
      <w:r w:rsidRPr="00977E53">
        <w:rPr>
          <w:rFonts w:eastAsia="Calibri" w:cs="Verdana"/>
          <w:b/>
          <w:bCs/>
          <w:color w:val="000000" w:themeColor="text1"/>
          <w:sz w:val="18"/>
          <w:szCs w:val="18"/>
        </w:rPr>
        <w:t>Podejmowanie decyzji w odniesieniu do ekspozycji kredytowych w obszarze korporacyjnym</w:t>
      </w:r>
      <w:r w:rsidRPr="00977E53">
        <w:rPr>
          <w:rFonts w:eastAsia="Calibri" w:cs="Verdana"/>
          <w:bCs/>
          <w:color w:val="000000" w:themeColor="text1"/>
          <w:sz w:val="18"/>
          <w:szCs w:val="18"/>
        </w:rPr>
        <w:t>. Decyzje kredytowe podejmowane są zgodnie z przyjętymi zasadami Polityki Ryzyka Kredytowego. Poziom kompetencji decyzyjnych określony jest w postaci macierzy decyzyjnej. Na jej podstawie, w zależności od</w:t>
      </w:r>
      <w:r w:rsidR="00C727C5">
        <w:rPr>
          <w:rFonts w:eastAsia="Calibri" w:cs="Verdana"/>
          <w:bCs/>
          <w:color w:val="000000" w:themeColor="text1"/>
          <w:sz w:val="18"/>
          <w:szCs w:val="18"/>
        </w:rPr>
        <w:t> </w:t>
      </w:r>
      <w:r w:rsidRPr="00977E53">
        <w:rPr>
          <w:rFonts w:eastAsia="Calibri" w:cs="Verdana"/>
          <w:bCs/>
          <w:color w:val="000000" w:themeColor="text1"/>
          <w:sz w:val="18"/>
          <w:szCs w:val="18"/>
        </w:rPr>
        <w:t>EL-ratingu (ratingu oczekiwanej straty) oraz łącznego zaangażowania na klienta/grupę podmiotów powiązanych, ustalany jest szczebel decyzyjny odpowiedzialny za podjęcie decyzji kredytowej. W łącznym zaangażowaniu uwzględniane są również zaangażowania spółek Grupy mBanku na klienta/grupę podmiotów powiązanych.</w:t>
      </w:r>
    </w:p>
    <w:p w14:paraId="2BF1E8B8" w14:textId="16916676" w:rsidR="000F75B9" w:rsidRPr="00977E53" w:rsidRDefault="007B1833" w:rsidP="007B1833">
      <w:pPr>
        <w:autoSpaceDE w:val="0"/>
        <w:autoSpaceDN w:val="0"/>
        <w:adjustRightInd w:val="0"/>
        <w:spacing w:after="120"/>
        <w:jc w:val="both"/>
        <w:rPr>
          <w:rFonts w:eastAsia="Calibri" w:cs="Verdana"/>
          <w:bCs/>
          <w:color w:val="000000" w:themeColor="text1"/>
          <w:sz w:val="18"/>
          <w:szCs w:val="18"/>
          <w:lang w:eastAsia="en-US"/>
        </w:rPr>
      </w:pPr>
      <w:r w:rsidRPr="00977E53">
        <w:rPr>
          <w:rFonts w:eastAsia="Calibri" w:cs="Verdana"/>
          <w:b/>
          <w:bCs/>
          <w:color w:val="000000" w:themeColor="text1"/>
          <w:sz w:val="18"/>
          <w:szCs w:val="18"/>
        </w:rPr>
        <w:t>Podejmowanie decyzji w odniesieniu do ekspozycji kredytowych w obszarze detalicznym.</w:t>
      </w:r>
      <w:r w:rsidRPr="00977E53">
        <w:rPr>
          <w:rFonts w:eastAsia="Calibri" w:cs="Verdana"/>
          <w:bCs/>
          <w:color w:val="000000" w:themeColor="text1"/>
          <w:sz w:val="18"/>
          <w:szCs w:val="18"/>
        </w:rPr>
        <w:t xml:space="preserve"> Ze względu na profil klientów detalicznych, wielkość dopuszczalnych ekspozycji na pojedynczego klienta oraz standaryzację oferowanych produktów, proces podejmowania decyzji jest inny niż w przypadku klientów korporacyjnych. Proces decyzyjny w znacznej mierze jest zautomatyzowany, zarówno w zakresie pozyskiwania danych o kredytobiorcy z wewnętrznych oraz zewnętrznych źródeł danych jak i oceny ryzyka wykonywanej przy użyciu technik scoringowych oraz wystandaryzowanych kryteriów decyzyjnych. Obszar uznaniowości dotyczy głównie czynności związanych z weryfikacją dokumentacji kredytowej oraz obsługi ewentualnych odstępstw, kiedy to decyzja podejmowana jest z zastosowaniem reguł podwyższenia poziomu decyzyjnego. W przypadku kredytowania hipotecznego dodatkowo dokonywana jest wycena wartości zabezpieczenia (w standardowych przypadkach dokonywana wewnętrznie, w pozostałych polegająca na wewnętrznej weryfikacji wyceny dostarczonej z zewnątrz)</w:t>
      </w:r>
      <w:r w:rsidR="000F75B9" w:rsidRPr="00977E53">
        <w:rPr>
          <w:rFonts w:eastAsia="Calibri" w:cs="Verdana"/>
          <w:bCs/>
          <w:color w:val="000000" w:themeColor="text1"/>
          <w:sz w:val="18"/>
          <w:szCs w:val="18"/>
          <w:lang w:eastAsia="en-US"/>
        </w:rPr>
        <w:t>.</w:t>
      </w:r>
    </w:p>
    <w:p w14:paraId="7A7995F5" w14:textId="0E5717C6" w:rsidR="000F75B9" w:rsidRPr="00977E53" w:rsidRDefault="000F75B9" w:rsidP="0084313B">
      <w:pPr>
        <w:pStyle w:val="Akapitzlist"/>
        <w:numPr>
          <w:ilvl w:val="2"/>
          <w:numId w:val="14"/>
        </w:numPr>
        <w:spacing w:before="120" w:after="120"/>
        <w:ind w:left="709" w:hanging="709"/>
        <w:rPr>
          <w:b/>
          <w:color w:val="000000" w:themeColor="text1"/>
          <w:sz w:val="18"/>
          <w:szCs w:val="18"/>
          <w:lang w:eastAsia="en-US"/>
        </w:rPr>
      </w:pPr>
      <w:r w:rsidRPr="00977E53">
        <w:rPr>
          <w:b/>
          <w:color w:val="000000" w:themeColor="text1"/>
          <w:sz w:val="18"/>
          <w:szCs w:val="18"/>
          <w:lang w:eastAsia="en-US"/>
        </w:rPr>
        <w:t xml:space="preserve">Polityka kredytowa </w:t>
      </w:r>
    </w:p>
    <w:p w14:paraId="70772C4D" w14:textId="77777777" w:rsidR="00984A34" w:rsidRPr="00977E53" w:rsidRDefault="00984A34" w:rsidP="00282524">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 xml:space="preserve">Bank zarządza ryzykiem kredytowym w oparciu o wymagania nadzorcze, najlepsze praktyki rynkowe oraz własną wiedzę i doświadczenie. W procesie zarządzania ryzykiem kredytowym główną rolę odgrywają polityki kredytowe, ustalane osobno dla obszaru bankowości detalicznej i korporacyjnej. Polityki kredytowe określają między innymi: </w:t>
      </w:r>
    </w:p>
    <w:p w14:paraId="26EB8128" w14:textId="77777777" w:rsidR="00984A34" w:rsidRPr="00282524" w:rsidRDefault="00984A34"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docelowe grupy klientów, </w:t>
      </w:r>
    </w:p>
    <w:p w14:paraId="33C6A6AF" w14:textId="77777777" w:rsidR="00984A34" w:rsidRPr="00282524" w:rsidRDefault="00984A34"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akceptowalne poziomy ratingów definiowane wielkością oczekiwanej straty, </w:t>
      </w:r>
    </w:p>
    <w:p w14:paraId="66F56888" w14:textId="77777777" w:rsidR="00984A34" w:rsidRPr="00282524" w:rsidRDefault="00984A34"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kryteria akceptacji przedmiotów finansowania oraz zabezpieczeń, </w:t>
      </w:r>
    </w:p>
    <w:p w14:paraId="6FB804E4" w14:textId="77777777" w:rsidR="00984A34" w:rsidRPr="00282524" w:rsidRDefault="00984A34"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zasady ograniczania ryzyka koncentracji, </w:t>
      </w:r>
    </w:p>
    <w:p w14:paraId="14BFF1CB" w14:textId="2D3FE619" w:rsidR="000F75B9" w:rsidRPr="00282524" w:rsidRDefault="00984A34"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reguły odnoszące się do wybranych branż lub segmentów klientów</w:t>
      </w:r>
      <w:r w:rsidR="000F75B9" w:rsidRPr="00282524">
        <w:rPr>
          <w:rFonts w:cs="Tahoma"/>
          <w:bCs/>
          <w:color w:val="000000" w:themeColor="text1"/>
          <w:sz w:val="18"/>
          <w:szCs w:val="18"/>
        </w:rPr>
        <w:t>.</w:t>
      </w:r>
    </w:p>
    <w:p w14:paraId="22ABAEC6" w14:textId="1EB4E07C" w:rsidR="000F75B9" w:rsidRPr="00977E53" w:rsidRDefault="000F75B9" w:rsidP="006849D7">
      <w:pPr>
        <w:pStyle w:val="Akapitzlist"/>
        <w:numPr>
          <w:ilvl w:val="2"/>
          <w:numId w:val="14"/>
        </w:numPr>
        <w:spacing w:before="240" w:after="120"/>
        <w:ind w:left="709" w:hanging="709"/>
        <w:rPr>
          <w:b/>
          <w:color w:val="000000" w:themeColor="text1"/>
          <w:sz w:val="18"/>
          <w:szCs w:val="18"/>
          <w:lang w:eastAsia="en-US"/>
        </w:rPr>
      </w:pPr>
      <w:r w:rsidRPr="00977E53">
        <w:rPr>
          <w:b/>
          <w:color w:val="000000" w:themeColor="text1"/>
          <w:sz w:val="18"/>
          <w:szCs w:val="18"/>
          <w:lang w:eastAsia="en-US"/>
        </w:rPr>
        <w:t xml:space="preserve">Stosowane zabezpieczenia </w:t>
      </w:r>
    </w:p>
    <w:p w14:paraId="5E9BB4C9" w14:textId="77777777" w:rsidR="00124892" w:rsidRDefault="00B06C46" w:rsidP="00B06C46">
      <w:pPr>
        <w:autoSpaceDE w:val="0"/>
        <w:autoSpaceDN w:val="0"/>
        <w:adjustRightInd w:val="0"/>
        <w:spacing w:after="120"/>
        <w:jc w:val="both"/>
        <w:rPr>
          <w:rFonts w:eastAsia="Calibri" w:cs="Verdana"/>
          <w:color w:val="000000" w:themeColor="text1"/>
          <w:sz w:val="18"/>
          <w:szCs w:val="18"/>
        </w:rPr>
      </w:pPr>
      <w:r w:rsidRPr="00977E53">
        <w:rPr>
          <w:rFonts w:eastAsia="Calibri" w:cs="Verdana"/>
          <w:b/>
          <w:bCs/>
          <w:color w:val="000000" w:themeColor="text1"/>
          <w:sz w:val="18"/>
          <w:szCs w:val="18"/>
        </w:rPr>
        <w:t xml:space="preserve">Zabezpieczenia stosowane w ramach udzielania produktów kredytowych. </w:t>
      </w:r>
      <w:r w:rsidRPr="00977E53">
        <w:rPr>
          <w:rFonts w:eastAsia="Calibri" w:cs="Verdana"/>
          <w:color w:val="000000" w:themeColor="text1"/>
          <w:sz w:val="18"/>
          <w:szCs w:val="18"/>
        </w:rPr>
        <w:t xml:space="preserve">Ważnym elementem polityki kredytowej są stosowane zabezpieczenia. Podstawową rolą zabezpieczenia jest obniżenie ryzyka kredytowego transakcji i zapewnienie Bankowi realnej możliwości zwrotu należności. Bank, podejmując decyzję o przyznaniu produktu obarczonego ryzykiem kredytowym, dąży do uzyskania zabezpieczenia </w:t>
      </w:r>
      <w:r w:rsidRPr="00977E53">
        <w:rPr>
          <w:rFonts w:eastAsia="Calibri" w:cs="Verdana"/>
          <w:color w:val="000000" w:themeColor="text1"/>
          <w:sz w:val="18"/>
          <w:szCs w:val="18"/>
        </w:rPr>
        <w:lastRenderedPageBreak/>
        <w:t xml:space="preserve">adekwatnego do podejmowanego ryzyka. Bank przyjmuje zabezpieczenia tylko po dokonaniu ich oceny i pod warunkiem, że spełniają one warunek braku istotnej korelacji między ich wartością a wiarygodnością dłużnika. Rodzaj wymaganego zabezpieczenia zależy od produktu obciążonego ryzykiem kredytowym, okresu finansowania oraz ryzyka klienta. </w:t>
      </w:r>
    </w:p>
    <w:p w14:paraId="465665AA" w14:textId="16736EFE" w:rsidR="00B06C46" w:rsidRPr="00977E53" w:rsidRDefault="00B06C46" w:rsidP="00282524">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 xml:space="preserve">Do najczęściej stosowanych zabezpieczeń należą: </w:t>
      </w:r>
    </w:p>
    <w:p w14:paraId="7B870DA9"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hipoteka na nieruchomości,</w:t>
      </w:r>
    </w:p>
    <w:p w14:paraId="0724039C"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zastaw rejestrowy, </w:t>
      </w:r>
    </w:p>
    <w:p w14:paraId="0BAB2ADA"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przelew wierzytelności (cesja praw), </w:t>
      </w:r>
    </w:p>
    <w:p w14:paraId="4097A2FE"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kaucja pieniężna, </w:t>
      </w:r>
    </w:p>
    <w:p w14:paraId="1454D426"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gwarancje i poręczenia,</w:t>
      </w:r>
    </w:p>
    <w:p w14:paraId="155B8289"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 xml:space="preserve">depozyt gwarancyjny lub blokada pieniężna, </w:t>
      </w:r>
    </w:p>
    <w:p w14:paraId="72AB753E" w14:textId="77777777" w:rsidR="00B06C46" w:rsidRPr="00282524" w:rsidRDefault="00B06C46" w:rsidP="00282524">
      <w:pPr>
        <w:numPr>
          <w:ilvl w:val="0"/>
          <w:numId w:val="17"/>
        </w:numPr>
        <w:tabs>
          <w:tab w:val="clear" w:pos="1267"/>
          <w:tab w:val="num" w:pos="426"/>
        </w:tabs>
        <w:suppressAutoHyphens/>
        <w:spacing w:after="120"/>
        <w:ind w:left="426" w:right="-57" w:hanging="284"/>
        <w:jc w:val="both"/>
        <w:rPr>
          <w:rFonts w:cs="Tahoma"/>
          <w:bCs/>
          <w:color w:val="000000" w:themeColor="text1"/>
          <w:sz w:val="18"/>
          <w:szCs w:val="18"/>
        </w:rPr>
      </w:pPr>
      <w:r w:rsidRPr="00282524">
        <w:rPr>
          <w:rFonts w:cs="Tahoma"/>
          <w:bCs/>
          <w:color w:val="000000" w:themeColor="text1"/>
          <w:sz w:val="18"/>
          <w:szCs w:val="18"/>
        </w:rPr>
        <w:t xml:space="preserve">przewłaszczenie środka transportu. </w:t>
      </w:r>
    </w:p>
    <w:p w14:paraId="36BDC38F" w14:textId="77777777" w:rsidR="00B06C46" w:rsidRPr="00977E53" w:rsidRDefault="00B06C46" w:rsidP="00124892">
      <w:pPr>
        <w:autoSpaceDE w:val="0"/>
        <w:autoSpaceDN w:val="0"/>
        <w:adjustRightInd w:val="0"/>
        <w:spacing w:before="120" w:after="120"/>
        <w:jc w:val="both"/>
        <w:rPr>
          <w:rFonts w:eastAsia="Calibri" w:cs="Verdana"/>
          <w:color w:val="000000" w:themeColor="text1"/>
          <w:sz w:val="18"/>
          <w:szCs w:val="18"/>
        </w:rPr>
      </w:pPr>
      <w:r w:rsidRPr="00977E53">
        <w:rPr>
          <w:rFonts w:eastAsia="Calibri" w:cs="Verdana"/>
          <w:color w:val="000000" w:themeColor="text1"/>
          <w:sz w:val="18"/>
          <w:szCs w:val="18"/>
        </w:rPr>
        <w:t>Wartość środków trwałych stanowiących zabezpieczenie (innych niż środki transportu) ustalana jest na podstawie wyceny, sporządzanej przez uprawnionego rzeczoznawcę. Przedłożony w Banku operat jest weryfikowany przez zespół specjalistów usytuowany w obszarze zarządzania ryzykiem, który sprawdza poprawność przyjęcia wartości rynkowej oraz ocenia płynność zabezpieczenia. Każde zabezpieczenie podlega monitoringowi.</w:t>
      </w:r>
    </w:p>
    <w:p w14:paraId="29041E7E" w14:textId="5B60D2C8" w:rsidR="00B06C46" w:rsidRPr="00977E53" w:rsidRDefault="00B06C46" w:rsidP="00124892">
      <w:pPr>
        <w:autoSpaceDE w:val="0"/>
        <w:autoSpaceDN w:val="0"/>
        <w:adjustRightInd w:val="0"/>
        <w:spacing w:before="120" w:after="120"/>
        <w:jc w:val="both"/>
        <w:rPr>
          <w:color w:val="000000" w:themeColor="text1"/>
          <w:sz w:val="18"/>
          <w:szCs w:val="18"/>
        </w:rPr>
      </w:pPr>
      <w:r w:rsidRPr="00977E53">
        <w:rPr>
          <w:rFonts w:eastAsia="Calibri" w:cs="Verdana"/>
          <w:color w:val="000000" w:themeColor="text1"/>
          <w:sz w:val="18"/>
          <w:szCs w:val="18"/>
        </w:rPr>
        <w:t xml:space="preserve">W obszarze bankowości korporacyjnej, w przypadku zabezpieczeń na środkach trwałych i aktywach finansowych finalna wartość zabezpieczenia tzw. MRV (ang. Most Realistic Value) wyznaczana jest przy użyciu wskaźnika ECF (ang. Empirical Coverage Factor), który odzwierciedla pesymistyczny wariant </w:t>
      </w:r>
      <w:r w:rsidRPr="00977E53">
        <w:rPr>
          <w:color w:val="000000" w:themeColor="text1"/>
          <w:sz w:val="18"/>
          <w:szCs w:val="18"/>
        </w:rPr>
        <w:t>odzysku wierzytelności z zabezpieczenia rzeczowego w drodze wymuszonej sprzedaży. Ocena</w:t>
      </w:r>
      <w:r w:rsidR="00BA0DCC">
        <w:rPr>
          <w:color w:val="000000" w:themeColor="text1"/>
          <w:sz w:val="18"/>
          <w:szCs w:val="18"/>
        </w:rPr>
        <w:t xml:space="preserve"> </w:t>
      </w:r>
      <w:r w:rsidRPr="00977E53">
        <w:rPr>
          <w:color w:val="000000" w:themeColor="text1"/>
          <w:sz w:val="18"/>
          <w:szCs w:val="18"/>
        </w:rPr>
        <w:t>zabezpieczeń osobowych dokonywana jest na podstawie kondycji finansowej dostawcy. Bank wyznacza tzw. parametr PSW (będący odpowiednikiem wartości MRV dla zabezpieczeń rzeczowych). W sytuacji gdy parametr PD dostawcy zabezpieczenia jest równy lub gorszy od PD klienta, PSW równe jest zero.</w:t>
      </w:r>
    </w:p>
    <w:p w14:paraId="1E127D93" w14:textId="77777777" w:rsidR="00B06C46" w:rsidRPr="00977E53" w:rsidRDefault="00B06C46" w:rsidP="00282524">
      <w:pPr>
        <w:autoSpaceDE w:val="0"/>
        <w:autoSpaceDN w:val="0"/>
        <w:adjustRightInd w:val="0"/>
        <w:spacing w:before="120"/>
        <w:jc w:val="both"/>
        <w:rPr>
          <w:rFonts w:eastAsia="Calibri" w:cs="Verdana"/>
          <w:color w:val="000000" w:themeColor="text1"/>
          <w:sz w:val="18"/>
          <w:szCs w:val="18"/>
        </w:rPr>
      </w:pPr>
      <w:r w:rsidRPr="00977E53">
        <w:rPr>
          <w:rFonts w:eastAsia="Calibri" w:cs="Verdana"/>
          <w:color w:val="000000" w:themeColor="text1"/>
          <w:sz w:val="18"/>
          <w:szCs w:val="18"/>
        </w:rPr>
        <w:t>Bank posiada dedykowaną politykę dotyczącą zabezpieczeń w obszarze bankowości korporacyjnej. Najważniejsze jej elementy to:</w:t>
      </w:r>
    </w:p>
    <w:p w14:paraId="466833EA"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wskazanie zabezpieczeń preferowanych i niezalecanych,</w:t>
      </w:r>
    </w:p>
    <w:p w14:paraId="269C64BC"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rekomendacje w zakresie stosowania zabezpieczeń w określonych sytuacjach,</w:t>
      </w:r>
    </w:p>
    <w:p w14:paraId="58D15A22" w14:textId="77777777" w:rsidR="00B06C46" w:rsidRPr="00282524" w:rsidRDefault="00B06C46" w:rsidP="00282524">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282524">
        <w:rPr>
          <w:rFonts w:cs="Tahoma"/>
          <w:bCs/>
          <w:color w:val="000000" w:themeColor="text1"/>
          <w:sz w:val="18"/>
          <w:szCs w:val="18"/>
        </w:rPr>
        <w:t>określenie częstotliwości monitoringu zabezpieczeń,</w:t>
      </w:r>
    </w:p>
    <w:p w14:paraId="727BC262" w14:textId="78378BA3" w:rsidR="00B06C46" w:rsidRPr="00282524" w:rsidRDefault="00B06C46" w:rsidP="00282524">
      <w:pPr>
        <w:numPr>
          <w:ilvl w:val="0"/>
          <w:numId w:val="17"/>
        </w:numPr>
        <w:tabs>
          <w:tab w:val="clear" w:pos="1267"/>
          <w:tab w:val="num" w:pos="426"/>
        </w:tabs>
        <w:suppressAutoHyphens/>
        <w:spacing w:after="120"/>
        <w:ind w:left="426" w:right="-57" w:hanging="284"/>
        <w:jc w:val="both"/>
        <w:rPr>
          <w:rFonts w:cs="Tahoma"/>
          <w:bCs/>
          <w:color w:val="000000" w:themeColor="text1"/>
          <w:sz w:val="18"/>
          <w:szCs w:val="18"/>
        </w:rPr>
      </w:pPr>
      <w:r w:rsidRPr="00282524">
        <w:rPr>
          <w:rFonts w:cs="Tahoma"/>
          <w:bCs/>
          <w:color w:val="000000" w:themeColor="text1"/>
          <w:sz w:val="18"/>
          <w:szCs w:val="18"/>
        </w:rPr>
        <w:t>określenie podejścia do zabezpieczeń z zerowym MRV.</w:t>
      </w:r>
    </w:p>
    <w:p w14:paraId="10DD295C" w14:textId="77777777" w:rsidR="00B06C46" w:rsidRPr="00977E53" w:rsidRDefault="00B06C46" w:rsidP="00B06C46">
      <w:pPr>
        <w:autoSpaceDE w:val="0"/>
        <w:autoSpaceDN w:val="0"/>
        <w:adjustRightInd w:val="0"/>
        <w:spacing w:after="120"/>
        <w:jc w:val="both"/>
        <w:rPr>
          <w:rFonts w:eastAsia="Calibri" w:cs="Verdana"/>
          <w:color w:val="000000" w:themeColor="text1"/>
          <w:sz w:val="18"/>
          <w:szCs w:val="18"/>
          <w:highlight w:val="yellow"/>
        </w:rPr>
      </w:pPr>
      <w:r w:rsidRPr="00977E53">
        <w:rPr>
          <w:b/>
          <w:bCs/>
          <w:color w:val="000000" w:themeColor="text1"/>
          <w:sz w:val="18"/>
          <w:szCs w:val="18"/>
        </w:rPr>
        <w:t xml:space="preserve">Zabezpieczenia stosowane w ramach obrotu instrumentami pochodnymi. </w:t>
      </w:r>
      <w:r w:rsidRPr="00977E53">
        <w:rPr>
          <w:color w:val="000000" w:themeColor="text1"/>
          <w:sz w:val="18"/>
          <w:szCs w:val="18"/>
        </w:rPr>
        <w:t>Bank zarządza ryzykiem związanym z instrumentami pochodnymi. Ekspozycjami kredytowymi wynikającymi z zawartych transakcji pochodnych zarządza się w ramach ogólnych limitów kredytowych dla klientów, uwzględniając potencjalny wpływ na wartość ekspozycji zmian parametrów rynkowych. Stosowane umowy ramowe z kontrahentami zobowiązują Bank do codziennego monitorowania wartości ekspozycji wobec kontrahenta i wprowadzają konieczność dodatkowego zabezpieczania ekspozycji przez klienta lub mBank zgodnie z podpisanymi umowami zabezpieczającymi. Jednocześnie wspomniane umowy ramowe w przypadku naruszenia warunków umowy pozwalają na przedterminowe rozliczenie transakcji z klientem. mBank wykorzystuje Proces Wczesnego Ostrzegania (Early Warning) w celu monitorowania wykorzystania limitu na transakcje pochodne i możliwości reakcji Banku  w stosunku do klienta, w przypadku gdy ekspozycja z tytułu otwartych transakcji pochodnych zbliża się do maksymalnego poziomu limitu. Ponadto, uwzględniając ryzyko kredytowe związane z limitem na transakcje pochodne konkretnego klienta, Bank może stosować dodatkowe zabezpieczenia tego limitu, w ramach standardowego katalogu zabezpieczeń produktów ryzyka kredytowego.</w:t>
      </w:r>
    </w:p>
    <w:p w14:paraId="0F88565D" w14:textId="77777777" w:rsidR="00B06C46" w:rsidRPr="00977E53" w:rsidRDefault="00B06C46" w:rsidP="00B06C46">
      <w:pPr>
        <w:autoSpaceDE w:val="0"/>
        <w:autoSpaceDN w:val="0"/>
        <w:adjustRightInd w:val="0"/>
        <w:spacing w:after="120"/>
        <w:jc w:val="both"/>
        <w:rPr>
          <w:rFonts w:eastAsia="Calibri" w:cs="Verdana"/>
          <w:color w:val="000000" w:themeColor="text1"/>
          <w:sz w:val="18"/>
          <w:szCs w:val="18"/>
        </w:rPr>
      </w:pPr>
      <w:r w:rsidRPr="00977E53">
        <w:rPr>
          <w:rFonts w:eastAsia="Calibri" w:cs="Verdana"/>
          <w:b/>
          <w:bCs/>
          <w:color w:val="000000" w:themeColor="text1"/>
          <w:sz w:val="18"/>
          <w:szCs w:val="18"/>
        </w:rPr>
        <w:t xml:space="preserve">Zabezpieczenia akceptowane przez Spółki Grupy mBanku. </w:t>
      </w:r>
      <w:r w:rsidRPr="00977E53">
        <w:rPr>
          <w:rFonts w:eastAsia="Calibri" w:cs="Verdana"/>
          <w:color w:val="000000" w:themeColor="text1"/>
          <w:sz w:val="18"/>
          <w:szCs w:val="18"/>
        </w:rPr>
        <w:t xml:space="preserve">Spółki Grupy mBanku akceptują różne formy prawnych zabezpieczeń produktów obarczonych ryzykiem kredytowym. Ich katalog uzależniony jest od specyfiki prowadzonej działalności, rodzaju oferowanych produktów i ryzyka transakcji. </w:t>
      </w:r>
    </w:p>
    <w:p w14:paraId="7C65DA24" w14:textId="55C3016A" w:rsidR="00B06C46" w:rsidRDefault="00B06C46" w:rsidP="00B06C46">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mBank Hipoteczny jako podstawowe zabezpieczenie stosuje hipotekę na finansowanej nieruchomości. Dodatkowymi zabezpieczeniami mogą być poręczenia wekslowe lub cywilne właścicieli spółki kredytobiorcy, bądź zastaw na akcjach lub udziałach w spółce kredytobiorcy. Na okres niezbędny do</w:t>
      </w:r>
      <w:r w:rsidR="00C727C5">
        <w:rPr>
          <w:rFonts w:eastAsia="Calibri" w:cs="Verdana"/>
          <w:color w:val="000000" w:themeColor="text1"/>
          <w:sz w:val="18"/>
          <w:szCs w:val="18"/>
        </w:rPr>
        <w:t> </w:t>
      </w:r>
      <w:r w:rsidRPr="00977E53">
        <w:rPr>
          <w:rFonts w:eastAsia="Calibri" w:cs="Verdana"/>
          <w:color w:val="000000" w:themeColor="text1"/>
          <w:sz w:val="18"/>
          <w:szCs w:val="18"/>
        </w:rPr>
        <w:t xml:space="preserve">skutecznego ustanowienia zabezpieczenia może zostać przyjęte ubezpieczenie kredytu w zaakceptowanym przez Bank zakładzie ubezpieczeniowym. </w:t>
      </w:r>
    </w:p>
    <w:p w14:paraId="7BB0476F" w14:textId="77777777" w:rsidR="004E0E68" w:rsidRDefault="004E0E68" w:rsidP="004E0E68">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rPr>
        <w:t>mFaktoring akceptuje jedynie formy zabezpieczeń o dużej płynności. Obok weksli własnych in blanco są</w:t>
      </w:r>
      <w:r>
        <w:rPr>
          <w:rFonts w:eastAsia="Calibri" w:cs="Verdana"/>
          <w:color w:val="000000" w:themeColor="text1"/>
          <w:sz w:val="18"/>
          <w:szCs w:val="18"/>
        </w:rPr>
        <w:t> </w:t>
      </w:r>
      <w:r w:rsidRPr="00977E53">
        <w:rPr>
          <w:rFonts w:eastAsia="Calibri" w:cs="Verdana"/>
          <w:color w:val="000000" w:themeColor="text1"/>
          <w:sz w:val="18"/>
          <w:szCs w:val="18"/>
        </w:rPr>
        <w:t>to</w:t>
      </w:r>
      <w:r>
        <w:rPr>
          <w:rFonts w:eastAsia="Calibri" w:cs="Verdana"/>
          <w:color w:val="000000" w:themeColor="text1"/>
          <w:sz w:val="18"/>
          <w:szCs w:val="18"/>
        </w:rPr>
        <w:t> </w:t>
      </w:r>
      <w:r w:rsidRPr="00977E53">
        <w:rPr>
          <w:rFonts w:eastAsia="Calibri" w:cs="Verdana"/>
          <w:color w:val="000000" w:themeColor="text1"/>
          <w:sz w:val="18"/>
          <w:szCs w:val="18"/>
        </w:rPr>
        <w:t xml:space="preserve">przede wszystkim poręczenia wekslowe właścicieli spółki klienta, cesje wierzytelności z rachunków </w:t>
      </w:r>
      <w:r w:rsidRPr="00977E53">
        <w:rPr>
          <w:rFonts w:eastAsia="Calibri" w:cs="Verdana"/>
          <w:color w:val="000000" w:themeColor="text1"/>
          <w:sz w:val="18"/>
          <w:szCs w:val="18"/>
        </w:rPr>
        <w:lastRenderedPageBreak/>
        <w:t>bankowych (głównie prowadzonych przez mBank), ubezpieczenia należności, cesje praw z polis ubezpieczeniowych należności zawartych przez klientów</w:t>
      </w:r>
      <w:r w:rsidRPr="00977E53">
        <w:rPr>
          <w:rFonts w:eastAsia="Calibri" w:cs="Verdana"/>
          <w:color w:val="000000" w:themeColor="text1"/>
          <w:sz w:val="18"/>
          <w:szCs w:val="18"/>
          <w:lang w:eastAsia="en-US"/>
        </w:rPr>
        <w:t xml:space="preserve">. </w:t>
      </w:r>
    </w:p>
    <w:p w14:paraId="6A6E854C" w14:textId="6A8916C1" w:rsidR="00B06C46" w:rsidRPr="00977E53" w:rsidRDefault="00B06C46" w:rsidP="00B06C46">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mLeasing stosuje katalog zabezpieczeń najbardziej zbliżony do katalogu zabezpieczeń stosowanych w mBanku. Akceptuje zarówno standardowe zabezpieczenia osobiste: poręczenia wekslowe i według prawa cywilnego, listy patronackie, gwarancje, przystąpienia i przejęcia długu, jak i rzeczowe: hipoteki, zastawy rejestrowe, przewłaszczenia na zabezpieczenie, przelewy wierzytelności, cesje należności i cesje praw z polis ubezpieczeniowych oraz kaucje. </w:t>
      </w:r>
      <w:r w:rsidR="002B2138">
        <w:rPr>
          <w:rFonts w:eastAsia="Calibri" w:cs="Verdana"/>
          <w:color w:val="000000" w:themeColor="text1"/>
          <w:sz w:val="18"/>
          <w:szCs w:val="18"/>
        </w:rPr>
        <w:t>Spółka</w:t>
      </w:r>
      <w:r w:rsidR="002B2138" w:rsidRPr="002B2138">
        <w:rPr>
          <w:rFonts w:eastAsia="Calibri" w:cs="Verdana"/>
          <w:color w:val="000000" w:themeColor="text1"/>
          <w:sz w:val="18"/>
          <w:szCs w:val="18"/>
        </w:rPr>
        <w:t xml:space="preserve"> zarządza ryzykiem wartości resztowej poprzez stosowanie dodatkowych opłat za ponadnormatywne zużycie leasingowanego przedmiotu oraz za przekroczenie limitów przebiegu określonych w umowie. Te opłaty pobierane są na końcu umowy leasingu. Dodatkowo, w trakcie trwania umowy, w przypadku, gdy dla okresów półrocznych, licząc od daty przekazania pojazdu, proporcjonalny przebieg pojazdu różni się od ustalonego przez strony o więcej niż 10%, finansującemu przysługuje prawo do rekalkulacji wysokości rat wynagrodzenia w oparciu o nowy przewidywany przebieg pojazdu. Kalkulacja wartości resztowej uwzględniają okres leasingu, szacowany przebieg, szacowany stan pojazdu po okresie leasingu. Przy wartości resztowej uwzględniane są również takie czynniki jak kolor oraz rok produkcji (jeśli pojazd został wyprodukowany w latach wcześniejszych niż rok przekazania w leasing). Kalkulacja wartości resztowej opiera się o prognozy Eurotax. Otrzymana wartość jest obniżana o</w:t>
      </w:r>
      <w:r w:rsidR="0081070D">
        <w:rPr>
          <w:rFonts w:eastAsia="Calibri" w:cs="Verdana"/>
          <w:color w:val="000000" w:themeColor="text1"/>
          <w:sz w:val="18"/>
          <w:szCs w:val="18"/>
        </w:rPr>
        <w:t> </w:t>
      </w:r>
      <w:r w:rsidR="002B2138" w:rsidRPr="002B2138">
        <w:rPr>
          <w:rFonts w:eastAsia="Calibri" w:cs="Verdana"/>
          <w:color w:val="000000" w:themeColor="text1"/>
          <w:sz w:val="18"/>
          <w:szCs w:val="18"/>
        </w:rPr>
        <w:t xml:space="preserve">współczynnik bezpieczeństwa tak by pokryć ryzyka związane z osiągnięciem oszacowanego poziomu. </w:t>
      </w:r>
      <w:r w:rsidR="002B2138">
        <w:rPr>
          <w:rFonts w:eastAsia="Calibri" w:cs="Verdana"/>
          <w:color w:val="000000" w:themeColor="text1"/>
          <w:sz w:val="18"/>
          <w:szCs w:val="18"/>
        </w:rPr>
        <w:t>Na</w:t>
      </w:r>
      <w:r w:rsidR="00BA0DCC">
        <w:rPr>
          <w:rFonts w:eastAsia="Calibri" w:cs="Verdana"/>
          <w:color w:val="000000" w:themeColor="text1"/>
          <w:sz w:val="18"/>
          <w:szCs w:val="18"/>
        </w:rPr>
        <w:t> </w:t>
      </w:r>
      <w:r w:rsidR="002B2138">
        <w:rPr>
          <w:rFonts w:eastAsia="Calibri" w:cs="Verdana"/>
          <w:color w:val="000000" w:themeColor="text1"/>
          <w:sz w:val="18"/>
          <w:szCs w:val="18"/>
        </w:rPr>
        <w:t>końcowym etapie k</w:t>
      </w:r>
      <w:r w:rsidR="002B2138" w:rsidRPr="002B2138">
        <w:rPr>
          <w:rFonts w:eastAsia="Calibri" w:cs="Verdana"/>
          <w:color w:val="000000" w:themeColor="text1"/>
          <w:sz w:val="18"/>
          <w:szCs w:val="18"/>
        </w:rPr>
        <w:t xml:space="preserve">alkulacja jest weryfikowana z </w:t>
      </w:r>
      <w:r w:rsidR="002B2138">
        <w:rPr>
          <w:rFonts w:eastAsia="Calibri" w:cs="Verdana"/>
          <w:color w:val="000000" w:themeColor="text1"/>
          <w:sz w:val="18"/>
          <w:szCs w:val="18"/>
        </w:rPr>
        <w:t xml:space="preserve">cenami </w:t>
      </w:r>
      <w:r w:rsidR="002B2138" w:rsidRPr="002B2138">
        <w:rPr>
          <w:rFonts w:eastAsia="Calibri" w:cs="Verdana"/>
          <w:color w:val="000000" w:themeColor="text1"/>
          <w:sz w:val="18"/>
          <w:szCs w:val="18"/>
        </w:rPr>
        <w:t>obserw</w:t>
      </w:r>
      <w:r w:rsidR="002B2138">
        <w:rPr>
          <w:rFonts w:eastAsia="Calibri" w:cs="Verdana"/>
          <w:color w:val="000000" w:themeColor="text1"/>
          <w:sz w:val="18"/>
          <w:szCs w:val="18"/>
        </w:rPr>
        <w:t>owanymi na</w:t>
      </w:r>
      <w:r w:rsidR="002B2138" w:rsidRPr="002B2138">
        <w:rPr>
          <w:rFonts w:eastAsia="Calibri" w:cs="Verdana"/>
          <w:color w:val="000000" w:themeColor="text1"/>
          <w:sz w:val="18"/>
          <w:szCs w:val="18"/>
        </w:rPr>
        <w:t xml:space="preserve"> rynku używanych samochodów i zatwierdzana przez autoryzowany personel.</w:t>
      </w:r>
    </w:p>
    <w:p w14:paraId="595090C4" w14:textId="379174D2" w:rsidR="000F75B9" w:rsidRPr="00977E53" w:rsidRDefault="000F75B9" w:rsidP="0084313B">
      <w:pPr>
        <w:pStyle w:val="Akapitzlist"/>
        <w:numPr>
          <w:ilvl w:val="2"/>
          <w:numId w:val="14"/>
        </w:numPr>
        <w:spacing w:before="120" w:after="120"/>
        <w:ind w:left="709" w:hanging="709"/>
        <w:rPr>
          <w:b/>
          <w:color w:val="000000" w:themeColor="text1"/>
          <w:sz w:val="18"/>
          <w:szCs w:val="18"/>
          <w:lang w:eastAsia="en-US"/>
        </w:rPr>
      </w:pPr>
      <w:r w:rsidRPr="00977E53">
        <w:rPr>
          <w:b/>
          <w:color w:val="000000" w:themeColor="text1"/>
          <w:sz w:val="18"/>
          <w:szCs w:val="18"/>
          <w:lang w:eastAsia="en-US"/>
        </w:rPr>
        <w:t>System ratingowy</w:t>
      </w:r>
    </w:p>
    <w:p w14:paraId="77E2998F" w14:textId="77777777" w:rsidR="006301B9" w:rsidRPr="00977E53" w:rsidRDefault="006301B9" w:rsidP="00D54C70">
      <w:pPr>
        <w:autoSpaceDE w:val="0"/>
        <w:autoSpaceDN w:val="0"/>
        <w:adjustRightInd w:val="0"/>
        <w:spacing w:after="60"/>
        <w:jc w:val="both"/>
        <w:rPr>
          <w:rFonts w:eastAsia="Calibri" w:cs="Verdana"/>
          <w:color w:val="000000" w:themeColor="text1"/>
          <w:sz w:val="18"/>
          <w:szCs w:val="18"/>
        </w:rPr>
      </w:pPr>
      <w:r w:rsidRPr="00977E53">
        <w:rPr>
          <w:rFonts w:eastAsia="Calibri" w:cs="Verdana"/>
          <w:color w:val="000000" w:themeColor="text1"/>
          <w:sz w:val="18"/>
          <w:szCs w:val="18"/>
        </w:rPr>
        <w:t xml:space="preserve">Kluczowym elementem procesu zarządzania ryzykiem kredytowym </w:t>
      </w:r>
      <w:r w:rsidRPr="00977E53">
        <w:rPr>
          <w:rFonts w:eastAsia="Calibri" w:cs="Verdana"/>
          <w:b/>
          <w:color w:val="000000" w:themeColor="text1"/>
          <w:sz w:val="18"/>
          <w:szCs w:val="18"/>
        </w:rPr>
        <w:t>w obszarze bankowości korporacyjnej</w:t>
      </w:r>
      <w:r w:rsidRPr="00977E53">
        <w:rPr>
          <w:rFonts w:eastAsia="Calibri" w:cs="Verdana"/>
          <w:color w:val="000000" w:themeColor="text1"/>
          <w:sz w:val="18"/>
          <w:szCs w:val="18"/>
        </w:rPr>
        <w:t xml:space="preserve"> jest system ratingowy, oparty na następujących podstawowych elementach: </w:t>
      </w:r>
    </w:p>
    <w:p w14:paraId="4B29FECE" w14:textId="77777777" w:rsidR="006301B9" w:rsidRPr="00D54C70" w:rsidRDefault="006301B9" w:rsidP="00D54C70">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D54C70">
        <w:rPr>
          <w:rFonts w:cs="Tahoma"/>
          <w:bCs/>
          <w:color w:val="000000" w:themeColor="text1"/>
          <w:sz w:val="18"/>
          <w:szCs w:val="18"/>
        </w:rPr>
        <w:t xml:space="preserve">rating dłużnika (PD-rating) - określający prawdopodobieństwo zaniechania regulowania zobowiązań, </w:t>
      </w:r>
    </w:p>
    <w:p w14:paraId="2521086B" w14:textId="3AB759A1" w:rsidR="006301B9" w:rsidRPr="00D54C70" w:rsidRDefault="006301B9" w:rsidP="00D54C70">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D54C70">
        <w:rPr>
          <w:rFonts w:cs="Tahoma"/>
          <w:bCs/>
          <w:color w:val="000000" w:themeColor="text1"/>
          <w:sz w:val="18"/>
          <w:szCs w:val="18"/>
        </w:rPr>
        <w:t>model straty z tytułu niewykonania zobowiązania (LGD) obejmujący portfel ekspozycji bez przesłanki niewykonania zobowiązania (w przypadku niewykonania zobowiązania odzyski są</w:t>
      </w:r>
      <w:r w:rsidR="008D22A1" w:rsidRPr="00D54C70">
        <w:rPr>
          <w:rFonts w:cs="Tahoma"/>
          <w:bCs/>
          <w:color w:val="000000" w:themeColor="text1"/>
          <w:sz w:val="18"/>
          <w:szCs w:val="18"/>
        </w:rPr>
        <w:t> </w:t>
      </w:r>
      <w:r w:rsidRPr="00D54C70">
        <w:rPr>
          <w:rFonts w:cs="Tahoma"/>
          <w:bCs/>
          <w:color w:val="000000" w:themeColor="text1"/>
          <w:sz w:val="18"/>
          <w:szCs w:val="18"/>
        </w:rPr>
        <w:t>ustalane metodą indywidualną). Model składa się z komponentów: odzysku z części niezabezpieczonej (oparty na czynnikach ze sprawozdania finansowego, charakterystykach ekspozycji oraz klienta) oraz odzysku z</w:t>
      </w:r>
      <w:r w:rsidR="00BD144C">
        <w:rPr>
          <w:rFonts w:cs="Tahoma"/>
          <w:bCs/>
          <w:color w:val="000000" w:themeColor="text1"/>
          <w:sz w:val="18"/>
          <w:szCs w:val="18"/>
        </w:rPr>
        <w:t> </w:t>
      </w:r>
      <w:r w:rsidRPr="00D54C70">
        <w:rPr>
          <w:rFonts w:cs="Tahoma"/>
          <w:bCs/>
          <w:color w:val="000000" w:themeColor="text1"/>
          <w:sz w:val="18"/>
          <w:szCs w:val="18"/>
        </w:rPr>
        <w:t>części zabezpieczonej (oparty na czynnikach związanych z</w:t>
      </w:r>
      <w:r w:rsidR="008D22A1" w:rsidRPr="00D54C70">
        <w:rPr>
          <w:rFonts w:cs="Tahoma"/>
          <w:bCs/>
          <w:color w:val="000000" w:themeColor="text1"/>
          <w:sz w:val="18"/>
          <w:szCs w:val="18"/>
        </w:rPr>
        <w:t> </w:t>
      </w:r>
      <w:r w:rsidRPr="00D54C70">
        <w:rPr>
          <w:rFonts w:cs="Tahoma"/>
          <w:bCs/>
          <w:color w:val="000000" w:themeColor="text1"/>
          <w:sz w:val="18"/>
          <w:szCs w:val="18"/>
        </w:rPr>
        <w:t>przedmiotem zabezpieczenia),</w:t>
      </w:r>
    </w:p>
    <w:p w14:paraId="7F4CB3B4" w14:textId="653B28D5" w:rsidR="006301B9" w:rsidRPr="00D54C70" w:rsidRDefault="006301B9" w:rsidP="00D54C70">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D54C70">
        <w:rPr>
          <w:rFonts w:cs="Tahoma"/>
          <w:bCs/>
          <w:color w:val="000000" w:themeColor="text1"/>
          <w:sz w:val="18"/>
          <w:szCs w:val="18"/>
        </w:rPr>
        <w:t>model ekspozycji w przypadku niewykonania zobowiązania (EAD), którego składowymi są model współczynnika konwersji kredytowej CCF oraz komponent zużycia limitu. Komponenty oparte są</w:t>
      </w:r>
      <w:r w:rsidR="008D22A1" w:rsidRPr="00D54C70">
        <w:rPr>
          <w:rFonts w:cs="Tahoma"/>
          <w:bCs/>
          <w:color w:val="000000" w:themeColor="text1"/>
          <w:sz w:val="18"/>
          <w:szCs w:val="18"/>
        </w:rPr>
        <w:t> </w:t>
      </w:r>
      <w:r w:rsidRPr="00D54C70">
        <w:rPr>
          <w:rFonts w:cs="Tahoma"/>
          <w:bCs/>
          <w:color w:val="000000" w:themeColor="text1"/>
          <w:sz w:val="18"/>
          <w:szCs w:val="18"/>
        </w:rPr>
        <w:t>o</w:t>
      </w:r>
      <w:r w:rsidR="008D22A1" w:rsidRPr="00D54C70">
        <w:rPr>
          <w:rFonts w:cs="Tahoma"/>
          <w:bCs/>
          <w:color w:val="000000" w:themeColor="text1"/>
          <w:sz w:val="18"/>
          <w:szCs w:val="18"/>
        </w:rPr>
        <w:t> </w:t>
      </w:r>
      <w:r w:rsidRPr="00D54C70">
        <w:rPr>
          <w:rFonts w:cs="Tahoma"/>
          <w:bCs/>
          <w:color w:val="000000" w:themeColor="text1"/>
          <w:sz w:val="18"/>
          <w:szCs w:val="18"/>
        </w:rPr>
        <w:t>czynniki kontraktowe oraz klienckie,</w:t>
      </w:r>
    </w:p>
    <w:p w14:paraId="3C97017E" w14:textId="77777777" w:rsidR="006301B9" w:rsidRPr="00D54C70" w:rsidRDefault="006301B9" w:rsidP="00D54C70">
      <w:pPr>
        <w:numPr>
          <w:ilvl w:val="0"/>
          <w:numId w:val="17"/>
        </w:numPr>
        <w:tabs>
          <w:tab w:val="clear" w:pos="1267"/>
          <w:tab w:val="num" w:pos="426"/>
        </w:tabs>
        <w:suppressAutoHyphens/>
        <w:spacing w:after="120"/>
        <w:ind w:left="426" w:right="-57" w:hanging="284"/>
        <w:jc w:val="both"/>
        <w:rPr>
          <w:rFonts w:cs="Tahoma"/>
          <w:bCs/>
          <w:color w:val="000000" w:themeColor="text1"/>
          <w:sz w:val="18"/>
          <w:szCs w:val="18"/>
        </w:rPr>
      </w:pPr>
      <w:r w:rsidRPr="00D54C70">
        <w:rPr>
          <w:rFonts w:cs="Tahoma"/>
          <w:bCs/>
          <w:color w:val="000000" w:themeColor="text1"/>
          <w:sz w:val="18"/>
          <w:szCs w:val="18"/>
        </w:rPr>
        <w:t xml:space="preserve">rating kredytowy (EL-rating) - określający oczekiwaną stratę (EL) i biorący pod uwagę zarówno ryzyko związane z klientem (PD) jak i specyfikę transakcji (LGD – strata na skutek zaniechania regulowania zobowiązań). EL wyrażone jest w postaci iloczynu PD*LGD. Wskaźnik EL wykorzystywany jest głównie na etapie podejmowania decyzji kredytowej. </w:t>
      </w:r>
    </w:p>
    <w:p w14:paraId="0821176B" w14:textId="7AD2BAFE" w:rsidR="006301B9" w:rsidRPr="00977E53" w:rsidRDefault="006301B9" w:rsidP="006301B9">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Rating dostarcza względne miary ryzyka kredytowego zarówno w skali procentowej (PD% i EL%) jak też według umownej skali od 1.0 do 6.5 (PD-rating, EL-rating) dla korporacji (obroty powyżej 50 mln zł) i SME (obroty nieprzekraczające 50 mln zł). Kalkulacja PD jest ściśle zdefiniowanym procesem obejmującym siedem elementów tj. analizę finansową raportów rocznych, analizę finansową danych śródrocznych, ocenę terminowości składania sprawozdań finansowych, ocenę ryzyk jakościowych, wskaźniki ostrzegawcze, ocenę stopnia integracji grupy dłużnika oraz dodatkowe kryteria uznaniowe. Rating kredytowy oparty na oczekiwanej stracie (EL) powstaje poprzez nałożenie na ocenę ryzyka klienta analizy ryzyka transakcyjnego wynikającego z wielkości zaangażowania (EAD) oraz z charakteru i stopnia zabezpieczenia transakcji zawartych z danym klientem (LGD). LGD wyrażone jako procent EAD jest funkcją możliwej do</w:t>
      </w:r>
      <w:r w:rsidR="008D22A1">
        <w:rPr>
          <w:rFonts w:eastAsia="Calibri" w:cs="Verdana"/>
          <w:color w:val="000000" w:themeColor="text1"/>
          <w:sz w:val="18"/>
          <w:szCs w:val="18"/>
        </w:rPr>
        <w:t> </w:t>
      </w:r>
      <w:r w:rsidRPr="00977E53">
        <w:rPr>
          <w:rFonts w:eastAsia="Calibri" w:cs="Verdana"/>
          <w:color w:val="000000" w:themeColor="text1"/>
          <w:sz w:val="18"/>
          <w:szCs w:val="18"/>
        </w:rPr>
        <w:t xml:space="preserve">realizacji wartości zabezpieczeń rzeczowych i finansowych, zależnej od typu oraz wartości zabezpieczenia, typu transakcji oraz współczynnika odzysku należności z innych źródeł, niż zabezpieczenia. </w:t>
      </w:r>
    </w:p>
    <w:p w14:paraId="32E594CE" w14:textId="1FA89CD3" w:rsidR="00EF7BD9" w:rsidRPr="00977E53" w:rsidRDefault="006301B9" w:rsidP="006301B9">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rPr>
        <w:t>System ratingowy generuje prawdopodobieństwo zaniechania regulowania zobowiązań przez kredytobiorców bezpośrednio w postaci PD wyrażonych w procentach (skala ciągła). Klasy ratingowe tworzone są w oparciu o procedury dzielenia na grupy PD wyrażonego w procentach na podstawie drabinki geometrycznej. W sprawozdawczości zewnętrznej Bank stosuje mapowanie wewnętrznej skali ratingowej PD do ratingów zewnętrznych. Sposób mapowania przedstawiony jest w poniższej tabeli.</w:t>
      </w:r>
    </w:p>
    <w:tbl>
      <w:tblPr>
        <w:tblW w:w="0" w:type="auto"/>
        <w:tblLayout w:type="fixed"/>
        <w:tblCellMar>
          <w:left w:w="0" w:type="dxa"/>
          <w:right w:w="0" w:type="dxa"/>
        </w:tblCellMar>
        <w:tblLook w:val="04A0" w:firstRow="1" w:lastRow="0" w:firstColumn="1" w:lastColumn="0" w:noHBand="0" w:noVBand="1"/>
      </w:tblPr>
      <w:tblGrid>
        <w:gridCol w:w="567"/>
        <w:gridCol w:w="426"/>
        <w:gridCol w:w="348"/>
        <w:gridCol w:w="454"/>
        <w:gridCol w:w="454"/>
        <w:gridCol w:w="303"/>
        <w:gridCol w:w="425"/>
        <w:gridCol w:w="567"/>
        <w:gridCol w:w="425"/>
        <w:gridCol w:w="426"/>
        <w:gridCol w:w="567"/>
        <w:gridCol w:w="415"/>
        <w:gridCol w:w="425"/>
        <w:gridCol w:w="435"/>
        <w:gridCol w:w="567"/>
        <w:gridCol w:w="426"/>
        <w:gridCol w:w="425"/>
        <w:gridCol w:w="557"/>
        <w:gridCol w:w="567"/>
        <w:gridCol w:w="709"/>
      </w:tblGrid>
      <w:tr w:rsidR="00C31B17" w:rsidRPr="000E3F65" w14:paraId="5538DA41" w14:textId="77777777" w:rsidTr="0035588E">
        <w:trPr>
          <w:trHeight w:val="340"/>
        </w:trPr>
        <w:tc>
          <w:tcPr>
            <w:tcW w:w="567" w:type="dxa"/>
            <w:tcBorders>
              <w:top w:val="single" w:sz="4" w:space="0" w:color="FFFFFF"/>
              <w:left w:val="single" w:sz="8" w:space="0" w:color="0077BD"/>
              <w:bottom w:val="single" w:sz="8" w:space="0" w:color="FFFFFF"/>
              <w:right w:val="single" w:sz="8" w:space="0" w:color="FFFFFF"/>
            </w:tcBorders>
            <w:shd w:val="clear" w:color="000000" w:fill="0077BD"/>
            <w:vAlign w:val="center"/>
            <w:hideMark/>
          </w:tcPr>
          <w:p w14:paraId="0A0A6511" w14:textId="57682CAF" w:rsidR="00C31B17" w:rsidRPr="000E3F65" w:rsidRDefault="00C31B17" w:rsidP="000E3F65">
            <w:pPr>
              <w:jc w:val="center"/>
              <w:rPr>
                <w:rFonts w:cs="Calibri"/>
                <w:b/>
                <w:bCs/>
                <w:color w:val="FFFFFF"/>
                <w:sz w:val="9"/>
                <w:szCs w:val="9"/>
              </w:rPr>
            </w:pPr>
            <w:r>
              <w:rPr>
                <w:rFonts w:cs="Calibri"/>
                <w:b/>
                <w:bCs/>
                <w:color w:val="FFFFFF"/>
                <w:sz w:val="9"/>
                <w:szCs w:val="9"/>
              </w:rPr>
              <w:t>Pod-portfel</w:t>
            </w:r>
          </w:p>
        </w:tc>
        <w:tc>
          <w:tcPr>
            <w:tcW w:w="1682" w:type="dxa"/>
            <w:gridSpan w:val="4"/>
            <w:tcBorders>
              <w:top w:val="single" w:sz="4" w:space="0" w:color="FFFFFF"/>
              <w:left w:val="nil"/>
              <w:bottom w:val="nil"/>
              <w:right w:val="single" w:sz="8" w:space="0" w:color="FFFFFF"/>
            </w:tcBorders>
            <w:shd w:val="clear" w:color="000000" w:fill="0077BD"/>
            <w:vAlign w:val="center"/>
            <w:hideMark/>
          </w:tcPr>
          <w:p w14:paraId="4BD3F8D1"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1</w:t>
            </w:r>
          </w:p>
        </w:tc>
        <w:tc>
          <w:tcPr>
            <w:tcW w:w="1295" w:type="dxa"/>
            <w:gridSpan w:val="3"/>
            <w:tcBorders>
              <w:top w:val="single" w:sz="4" w:space="0" w:color="FFFFFF"/>
              <w:left w:val="nil"/>
              <w:bottom w:val="nil"/>
              <w:right w:val="single" w:sz="8" w:space="0" w:color="FFFFFF" w:themeColor="background1"/>
            </w:tcBorders>
            <w:shd w:val="clear" w:color="000000" w:fill="0077BD"/>
            <w:vAlign w:val="center"/>
            <w:hideMark/>
          </w:tcPr>
          <w:p w14:paraId="1DFD5A3F"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2</w:t>
            </w:r>
          </w:p>
        </w:tc>
        <w:tc>
          <w:tcPr>
            <w:tcW w:w="851" w:type="dxa"/>
            <w:gridSpan w:val="2"/>
            <w:tcBorders>
              <w:top w:val="single" w:sz="4" w:space="0" w:color="FFFFFF"/>
              <w:left w:val="single" w:sz="8" w:space="0" w:color="FFFFFF" w:themeColor="background1"/>
              <w:bottom w:val="nil"/>
              <w:right w:val="single" w:sz="8" w:space="0" w:color="FFFFFF"/>
            </w:tcBorders>
            <w:shd w:val="clear" w:color="000000" w:fill="0077BD"/>
            <w:vAlign w:val="center"/>
            <w:hideMark/>
          </w:tcPr>
          <w:p w14:paraId="1B7BE114"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3</w:t>
            </w:r>
          </w:p>
        </w:tc>
        <w:tc>
          <w:tcPr>
            <w:tcW w:w="1407" w:type="dxa"/>
            <w:gridSpan w:val="3"/>
            <w:tcBorders>
              <w:top w:val="single" w:sz="4" w:space="0" w:color="FFFFFF"/>
              <w:left w:val="nil"/>
              <w:bottom w:val="nil"/>
              <w:right w:val="single" w:sz="8" w:space="0" w:color="FFFFFF"/>
            </w:tcBorders>
            <w:shd w:val="clear" w:color="000000" w:fill="0077BD"/>
            <w:vAlign w:val="center"/>
            <w:hideMark/>
          </w:tcPr>
          <w:p w14:paraId="7A768CF6"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4</w:t>
            </w:r>
          </w:p>
        </w:tc>
        <w:tc>
          <w:tcPr>
            <w:tcW w:w="1428" w:type="dxa"/>
            <w:gridSpan w:val="3"/>
            <w:tcBorders>
              <w:top w:val="single" w:sz="4" w:space="0" w:color="FFFFFF"/>
              <w:left w:val="nil"/>
              <w:bottom w:val="nil"/>
              <w:right w:val="single" w:sz="8" w:space="0" w:color="FFFFFF" w:themeColor="background1"/>
            </w:tcBorders>
            <w:shd w:val="clear" w:color="000000" w:fill="0077BD"/>
            <w:vAlign w:val="center"/>
            <w:hideMark/>
          </w:tcPr>
          <w:p w14:paraId="310AAB42"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5</w:t>
            </w:r>
          </w:p>
        </w:tc>
        <w:tc>
          <w:tcPr>
            <w:tcW w:w="425" w:type="dxa"/>
            <w:tcBorders>
              <w:top w:val="single" w:sz="4" w:space="0" w:color="FFFFFF"/>
              <w:left w:val="single" w:sz="8" w:space="0" w:color="FFFFFF" w:themeColor="background1"/>
              <w:bottom w:val="nil"/>
              <w:right w:val="nil"/>
            </w:tcBorders>
            <w:shd w:val="clear" w:color="000000" w:fill="0077BD"/>
            <w:vAlign w:val="center"/>
            <w:hideMark/>
          </w:tcPr>
          <w:p w14:paraId="0158E06B"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6</w:t>
            </w:r>
          </w:p>
        </w:tc>
        <w:tc>
          <w:tcPr>
            <w:tcW w:w="557" w:type="dxa"/>
            <w:tcBorders>
              <w:top w:val="single" w:sz="4" w:space="0" w:color="FFFFFF"/>
              <w:left w:val="single" w:sz="8" w:space="0" w:color="FFFFFF"/>
              <w:bottom w:val="nil"/>
              <w:right w:val="single" w:sz="8" w:space="0" w:color="FFFFFF"/>
            </w:tcBorders>
            <w:shd w:val="clear" w:color="000000" w:fill="0077BD"/>
            <w:vAlign w:val="center"/>
            <w:hideMark/>
          </w:tcPr>
          <w:p w14:paraId="166AB78F"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7</w:t>
            </w:r>
          </w:p>
        </w:tc>
        <w:tc>
          <w:tcPr>
            <w:tcW w:w="567" w:type="dxa"/>
            <w:tcBorders>
              <w:top w:val="single" w:sz="4" w:space="0" w:color="FFFFFF"/>
              <w:left w:val="nil"/>
              <w:bottom w:val="nil"/>
              <w:right w:val="single" w:sz="8" w:space="0" w:color="FFFFFF"/>
            </w:tcBorders>
            <w:shd w:val="clear" w:color="000000" w:fill="0077BD"/>
            <w:vAlign w:val="center"/>
            <w:hideMark/>
          </w:tcPr>
          <w:p w14:paraId="01C314BB" w14:textId="77777777" w:rsidR="00C31B17" w:rsidRPr="000E3F65" w:rsidRDefault="00C31B17" w:rsidP="000E3F65">
            <w:pPr>
              <w:jc w:val="center"/>
              <w:rPr>
                <w:rFonts w:cs="Calibri"/>
                <w:b/>
                <w:color w:val="FFFFFF" w:themeColor="background1"/>
                <w:sz w:val="9"/>
                <w:szCs w:val="9"/>
              </w:rPr>
            </w:pPr>
            <w:r w:rsidRPr="000E3F65">
              <w:rPr>
                <w:rFonts w:cs="Calibri"/>
                <w:b/>
                <w:color w:val="FFFFFF" w:themeColor="background1"/>
                <w:sz w:val="9"/>
                <w:szCs w:val="9"/>
              </w:rPr>
              <w:t>8</w:t>
            </w:r>
          </w:p>
        </w:tc>
        <w:tc>
          <w:tcPr>
            <w:tcW w:w="709" w:type="dxa"/>
            <w:tcBorders>
              <w:top w:val="single" w:sz="4" w:space="0" w:color="FFFFFF"/>
              <w:left w:val="nil"/>
              <w:bottom w:val="nil"/>
              <w:right w:val="single" w:sz="8" w:space="0" w:color="0077BD"/>
            </w:tcBorders>
            <w:shd w:val="clear" w:color="000000" w:fill="0077BD"/>
            <w:vAlign w:val="center"/>
            <w:hideMark/>
          </w:tcPr>
          <w:p w14:paraId="33FEE8E1" w14:textId="77777777" w:rsidR="00C31B17" w:rsidRPr="000E3F65" w:rsidRDefault="00C31B17" w:rsidP="000E3F65">
            <w:pPr>
              <w:jc w:val="center"/>
              <w:rPr>
                <w:rFonts w:cs="Calibri"/>
                <w:b/>
                <w:color w:val="FFFFFF" w:themeColor="background1"/>
                <w:sz w:val="9"/>
                <w:szCs w:val="9"/>
              </w:rPr>
            </w:pPr>
          </w:p>
        </w:tc>
      </w:tr>
      <w:tr w:rsidR="00C31B17" w:rsidRPr="000E3F65" w14:paraId="073E4942" w14:textId="77777777" w:rsidTr="004F0B57">
        <w:trPr>
          <w:trHeight w:val="420"/>
        </w:trPr>
        <w:tc>
          <w:tcPr>
            <w:tcW w:w="567" w:type="dxa"/>
            <w:tcBorders>
              <w:top w:val="single" w:sz="8" w:space="0" w:color="FFFFFF"/>
              <w:left w:val="single" w:sz="8" w:space="0" w:color="0077BD"/>
              <w:bottom w:val="single" w:sz="8" w:space="0" w:color="FFFFFF"/>
              <w:right w:val="nil"/>
            </w:tcBorders>
            <w:shd w:val="clear" w:color="000000" w:fill="0077BD"/>
            <w:vAlign w:val="center"/>
            <w:hideMark/>
          </w:tcPr>
          <w:p w14:paraId="0119CA48" w14:textId="77777777" w:rsidR="00C31B17" w:rsidRPr="000E3F65" w:rsidRDefault="00C31B17" w:rsidP="000E3F65">
            <w:pPr>
              <w:jc w:val="center"/>
              <w:rPr>
                <w:rFonts w:cs="Calibri"/>
                <w:b/>
                <w:bCs/>
                <w:color w:val="FFFFFF"/>
                <w:sz w:val="9"/>
                <w:szCs w:val="9"/>
              </w:rPr>
            </w:pPr>
            <w:r w:rsidRPr="000E3F65">
              <w:rPr>
                <w:rFonts w:cs="Calibri"/>
                <w:b/>
                <w:bCs/>
                <w:color w:val="FFFFFF"/>
                <w:sz w:val="9"/>
                <w:szCs w:val="9"/>
              </w:rPr>
              <w:t>PD rating</w:t>
            </w:r>
          </w:p>
        </w:tc>
        <w:tc>
          <w:tcPr>
            <w:tcW w:w="426" w:type="dxa"/>
            <w:tcBorders>
              <w:top w:val="nil"/>
              <w:left w:val="nil"/>
              <w:bottom w:val="single" w:sz="8" w:space="0" w:color="0077BD"/>
              <w:right w:val="single" w:sz="8" w:space="0" w:color="0077BD"/>
            </w:tcBorders>
            <w:shd w:val="clear" w:color="auto" w:fill="auto"/>
            <w:vAlign w:val="center"/>
            <w:hideMark/>
          </w:tcPr>
          <w:p w14:paraId="5571D764"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1,0 - 1,2</w:t>
            </w:r>
          </w:p>
        </w:tc>
        <w:tc>
          <w:tcPr>
            <w:tcW w:w="348" w:type="dxa"/>
            <w:tcBorders>
              <w:top w:val="nil"/>
              <w:left w:val="nil"/>
              <w:bottom w:val="single" w:sz="8" w:space="0" w:color="0077BD"/>
              <w:right w:val="single" w:sz="8" w:space="0" w:color="0077BD"/>
            </w:tcBorders>
            <w:shd w:val="clear" w:color="auto" w:fill="auto"/>
            <w:vAlign w:val="center"/>
            <w:hideMark/>
          </w:tcPr>
          <w:p w14:paraId="0B60E9C1"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1,4</w:t>
            </w:r>
          </w:p>
        </w:tc>
        <w:tc>
          <w:tcPr>
            <w:tcW w:w="454" w:type="dxa"/>
            <w:tcBorders>
              <w:top w:val="nil"/>
              <w:left w:val="nil"/>
              <w:bottom w:val="single" w:sz="8" w:space="0" w:color="0077BD"/>
              <w:right w:val="single" w:sz="8" w:space="0" w:color="0077BD"/>
            </w:tcBorders>
            <w:shd w:val="clear" w:color="auto" w:fill="auto"/>
            <w:vAlign w:val="center"/>
            <w:hideMark/>
          </w:tcPr>
          <w:p w14:paraId="1FF44890"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1,6</w:t>
            </w:r>
          </w:p>
        </w:tc>
        <w:tc>
          <w:tcPr>
            <w:tcW w:w="454" w:type="dxa"/>
            <w:tcBorders>
              <w:top w:val="nil"/>
              <w:left w:val="nil"/>
              <w:bottom w:val="single" w:sz="8" w:space="0" w:color="0077BD"/>
              <w:right w:val="single" w:sz="8" w:space="0" w:color="0077BD"/>
            </w:tcBorders>
            <w:shd w:val="clear" w:color="auto" w:fill="auto"/>
            <w:vAlign w:val="center"/>
            <w:hideMark/>
          </w:tcPr>
          <w:p w14:paraId="79907FAB"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1,8</w:t>
            </w:r>
          </w:p>
        </w:tc>
        <w:tc>
          <w:tcPr>
            <w:tcW w:w="303" w:type="dxa"/>
            <w:tcBorders>
              <w:top w:val="nil"/>
              <w:left w:val="nil"/>
              <w:bottom w:val="single" w:sz="8" w:space="0" w:color="0077BD"/>
              <w:right w:val="single" w:sz="8" w:space="0" w:color="0077BD"/>
            </w:tcBorders>
            <w:shd w:val="clear" w:color="auto" w:fill="auto"/>
            <w:vAlign w:val="center"/>
            <w:hideMark/>
          </w:tcPr>
          <w:p w14:paraId="377ECEA3"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2</w:t>
            </w:r>
          </w:p>
        </w:tc>
        <w:tc>
          <w:tcPr>
            <w:tcW w:w="425" w:type="dxa"/>
            <w:tcBorders>
              <w:top w:val="nil"/>
              <w:left w:val="nil"/>
              <w:bottom w:val="single" w:sz="8" w:space="0" w:color="0077BD"/>
              <w:right w:val="single" w:sz="8" w:space="0" w:color="0077BD"/>
            </w:tcBorders>
            <w:shd w:val="clear" w:color="auto" w:fill="auto"/>
            <w:vAlign w:val="center"/>
            <w:hideMark/>
          </w:tcPr>
          <w:p w14:paraId="16CA2573"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2,2</w:t>
            </w:r>
          </w:p>
        </w:tc>
        <w:tc>
          <w:tcPr>
            <w:tcW w:w="567" w:type="dxa"/>
            <w:tcBorders>
              <w:top w:val="nil"/>
              <w:left w:val="nil"/>
              <w:bottom w:val="single" w:sz="8" w:space="0" w:color="0077BD"/>
              <w:right w:val="single" w:sz="8" w:space="0" w:color="0077BD"/>
            </w:tcBorders>
            <w:shd w:val="clear" w:color="auto" w:fill="auto"/>
            <w:vAlign w:val="center"/>
            <w:hideMark/>
          </w:tcPr>
          <w:p w14:paraId="640B6545"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2,4 - 2,6</w:t>
            </w:r>
          </w:p>
        </w:tc>
        <w:tc>
          <w:tcPr>
            <w:tcW w:w="425" w:type="dxa"/>
            <w:tcBorders>
              <w:top w:val="nil"/>
              <w:left w:val="nil"/>
              <w:bottom w:val="single" w:sz="8" w:space="0" w:color="0077BD"/>
              <w:right w:val="single" w:sz="8" w:space="0" w:color="0077BD"/>
            </w:tcBorders>
            <w:shd w:val="clear" w:color="auto" w:fill="auto"/>
            <w:vAlign w:val="center"/>
            <w:hideMark/>
          </w:tcPr>
          <w:p w14:paraId="2439069F"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2,8</w:t>
            </w:r>
          </w:p>
        </w:tc>
        <w:tc>
          <w:tcPr>
            <w:tcW w:w="426" w:type="dxa"/>
            <w:tcBorders>
              <w:top w:val="nil"/>
              <w:left w:val="nil"/>
              <w:bottom w:val="single" w:sz="8" w:space="0" w:color="0077BD"/>
              <w:right w:val="single" w:sz="8" w:space="0" w:color="0077BD"/>
            </w:tcBorders>
            <w:shd w:val="clear" w:color="auto" w:fill="auto"/>
            <w:vAlign w:val="center"/>
            <w:hideMark/>
          </w:tcPr>
          <w:p w14:paraId="3ABFD396"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3</w:t>
            </w:r>
          </w:p>
        </w:tc>
        <w:tc>
          <w:tcPr>
            <w:tcW w:w="567" w:type="dxa"/>
            <w:tcBorders>
              <w:top w:val="nil"/>
              <w:left w:val="nil"/>
              <w:bottom w:val="single" w:sz="8" w:space="0" w:color="0077BD"/>
              <w:right w:val="single" w:sz="8" w:space="0" w:color="0077BD"/>
            </w:tcBorders>
            <w:shd w:val="clear" w:color="auto" w:fill="auto"/>
            <w:vAlign w:val="center"/>
            <w:hideMark/>
          </w:tcPr>
          <w:p w14:paraId="6C24E274"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3,2 - 3,4</w:t>
            </w:r>
          </w:p>
        </w:tc>
        <w:tc>
          <w:tcPr>
            <w:tcW w:w="415" w:type="dxa"/>
            <w:tcBorders>
              <w:top w:val="nil"/>
              <w:left w:val="nil"/>
              <w:bottom w:val="single" w:sz="8" w:space="0" w:color="0077BD"/>
              <w:right w:val="single" w:sz="8" w:space="0" w:color="0077BD"/>
            </w:tcBorders>
            <w:shd w:val="clear" w:color="auto" w:fill="auto"/>
            <w:vAlign w:val="center"/>
            <w:hideMark/>
          </w:tcPr>
          <w:p w14:paraId="5E10687C"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3,6</w:t>
            </w:r>
          </w:p>
        </w:tc>
        <w:tc>
          <w:tcPr>
            <w:tcW w:w="425" w:type="dxa"/>
            <w:tcBorders>
              <w:top w:val="nil"/>
              <w:left w:val="nil"/>
              <w:bottom w:val="single" w:sz="8" w:space="0" w:color="0077BD"/>
              <w:right w:val="single" w:sz="8" w:space="0" w:color="0077BD"/>
            </w:tcBorders>
            <w:shd w:val="clear" w:color="auto" w:fill="auto"/>
            <w:vAlign w:val="center"/>
            <w:hideMark/>
          </w:tcPr>
          <w:p w14:paraId="36855010"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3,8</w:t>
            </w:r>
          </w:p>
        </w:tc>
        <w:tc>
          <w:tcPr>
            <w:tcW w:w="435" w:type="dxa"/>
            <w:tcBorders>
              <w:top w:val="nil"/>
              <w:left w:val="nil"/>
              <w:bottom w:val="single" w:sz="8" w:space="0" w:color="0077BD"/>
              <w:right w:val="single" w:sz="8" w:space="0" w:color="0077BD"/>
            </w:tcBorders>
            <w:shd w:val="clear" w:color="auto" w:fill="auto"/>
            <w:vAlign w:val="center"/>
            <w:hideMark/>
          </w:tcPr>
          <w:p w14:paraId="335D48AF"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4</w:t>
            </w:r>
          </w:p>
        </w:tc>
        <w:tc>
          <w:tcPr>
            <w:tcW w:w="567" w:type="dxa"/>
            <w:tcBorders>
              <w:top w:val="nil"/>
              <w:left w:val="nil"/>
              <w:bottom w:val="single" w:sz="8" w:space="0" w:color="0077BD"/>
              <w:right w:val="single" w:sz="8" w:space="0" w:color="0077BD"/>
            </w:tcBorders>
            <w:shd w:val="clear" w:color="auto" w:fill="auto"/>
            <w:vAlign w:val="center"/>
            <w:hideMark/>
          </w:tcPr>
          <w:p w14:paraId="1CBA375F"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4,2 - 4,6</w:t>
            </w:r>
          </w:p>
        </w:tc>
        <w:tc>
          <w:tcPr>
            <w:tcW w:w="426" w:type="dxa"/>
            <w:tcBorders>
              <w:top w:val="nil"/>
              <w:left w:val="nil"/>
              <w:bottom w:val="single" w:sz="8" w:space="0" w:color="0077BD"/>
              <w:right w:val="single" w:sz="8" w:space="0" w:color="0077BD"/>
            </w:tcBorders>
            <w:shd w:val="clear" w:color="auto" w:fill="auto"/>
            <w:vAlign w:val="center"/>
            <w:hideMark/>
          </w:tcPr>
          <w:p w14:paraId="2EEAEA2A"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4,8</w:t>
            </w:r>
          </w:p>
        </w:tc>
        <w:tc>
          <w:tcPr>
            <w:tcW w:w="425" w:type="dxa"/>
            <w:tcBorders>
              <w:top w:val="nil"/>
              <w:left w:val="nil"/>
              <w:bottom w:val="single" w:sz="8" w:space="0" w:color="0077BD"/>
              <w:right w:val="single" w:sz="8" w:space="0" w:color="0077BD"/>
            </w:tcBorders>
            <w:shd w:val="clear" w:color="auto" w:fill="auto"/>
            <w:vAlign w:val="center"/>
            <w:hideMark/>
          </w:tcPr>
          <w:p w14:paraId="05261F02"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5</w:t>
            </w:r>
          </w:p>
        </w:tc>
        <w:tc>
          <w:tcPr>
            <w:tcW w:w="557" w:type="dxa"/>
            <w:tcBorders>
              <w:top w:val="nil"/>
              <w:left w:val="nil"/>
              <w:bottom w:val="single" w:sz="8" w:space="0" w:color="0077BD"/>
              <w:right w:val="single" w:sz="8" w:space="0" w:color="0077BD"/>
            </w:tcBorders>
            <w:shd w:val="clear" w:color="auto" w:fill="auto"/>
            <w:vAlign w:val="center"/>
            <w:hideMark/>
          </w:tcPr>
          <w:p w14:paraId="228049B9" w14:textId="748230F4" w:rsidR="00C31B17" w:rsidRPr="00977E53" w:rsidRDefault="00C31B17" w:rsidP="00C31B17">
            <w:pPr>
              <w:jc w:val="center"/>
              <w:rPr>
                <w:rFonts w:cs="Calibri"/>
                <w:color w:val="000000" w:themeColor="text1"/>
                <w:sz w:val="9"/>
                <w:szCs w:val="9"/>
              </w:rPr>
            </w:pPr>
            <w:r w:rsidRPr="00977E53">
              <w:rPr>
                <w:rFonts w:cs="Calibri"/>
                <w:color w:val="000000" w:themeColor="text1"/>
                <w:sz w:val="9"/>
                <w:szCs w:val="9"/>
              </w:rPr>
              <w:t>5,2 - 5,</w:t>
            </w:r>
            <w:r>
              <w:rPr>
                <w:rFonts w:cs="Calibri"/>
                <w:color w:val="000000" w:themeColor="text1"/>
                <w:sz w:val="9"/>
                <w:szCs w:val="9"/>
              </w:rPr>
              <w:t>8</w:t>
            </w:r>
          </w:p>
        </w:tc>
        <w:tc>
          <w:tcPr>
            <w:tcW w:w="567" w:type="dxa"/>
            <w:tcBorders>
              <w:top w:val="nil"/>
              <w:left w:val="nil"/>
              <w:bottom w:val="single" w:sz="8" w:space="0" w:color="0077BD"/>
              <w:right w:val="single" w:sz="8" w:space="0" w:color="0077BD"/>
            </w:tcBorders>
            <w:shd w:val="clear" w:color="auto" w:fill="auto"/>
            <w:vAlign w:val="center"/>
            <w:hideMark/>
          </w:tcPr>
          <w:p w14:paraId="3FE0B131" w14:textId="49723C8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Brak ratingu</w:t>
            </w:r>
          </w:p>
        </w:tc>
        <w:tc>
          <w:tcPr>
            <w:tcW w:w="709" w:type="dxa"/>
            <w:tcBorders>
              <w:top w:val="nil"/>
              <w:left w:val="nil"/>
              <w:bottom w:val="single" w:sz="8" w:space="0" w:color="0077BD"/>
              <w:right w:val="single" w:sz="8" w:space="0" w:color="0077BD"/>
            </w:tcBorders>
            <w:shd w:val="clear" w:color="auto" w:fill="auto"/>
            <w:vAlign w:val="center"/>
            <w:hideMark/>
          </w:tcPr>
          <w:p w14:paraId="29FA6D42"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6,1 - 6,5</w:t>
            </w:r>
          </w:p>
        </w:tc>
      </w:tr>
      <w:tr w:rsidR="00C31B17" w:rsidRPr="000E3F65" w14:paraId="2644836D" w14:textId="77777777" w:rsidTr="004F0B57">
        <w:trPr>
          <w:trHeight w:val="420"/>
        </w:trPr>
        <w:tc>
          <w:tcPr>
            <w:tcW w:w="567" w:type="dxa"/>
            <w:vMerge w:val="restart"/>
            <w:tcBorders>
              <w:top w:val="single" w:sz="8" w:space="0" w:color="FFFFFF"/>
              <w:left w:val="single" w:sz="8" w:space="0" w:color="0077BD"/>
              <w:bottom w:val="single" w:sz="8" w:space="0" w:color="0077BD"/>
              <w:right w:val="nil"/>
            </w:tcBorders>
            <w:shd w:val="clear" w:color="000000" w:fill="0077BD"/>
            <w:vAlign w:val="center"/>
            <w:hideMark/>
          </w:tcPr>
          <w:p w14:paraId="7B8D1901" w14:textId="77777777" w:rsidR="00C31B17" w:rsidRPr="000E3F65" w:rsidRDefault="00C31B17" w:rsidP="000E3F65">
            <w:pPr>
              <w:jc w:val="center"/>
              <w:rPr>
                <w:rFonts w:cs="Calibri"/>
                <w:b/>
                <w:bCs/>
                <w:color w:val="FFFFFF"/>
                <w:sz w:val="9"/>
                <w:szCs w:val="9"/>
              </w:rPr>
            </w:pPr>
            <w:r w:rsidRPr="000E3F65">
              <w:rPr>
                <w:rFonts w:cs="Calibri"/>
                <w:b/>
                <w:bCs/>
                <w:color w:val="FFFFFF"/>
                <w:sz w:val="9"/>
                <w:szCs w:val="9"/>
              </w:rPr>
              <w:t>S&amp;P</w:t>
            </w:r>
          </w:p>
        </w:tc>
        <w:tc>
          <w:tcPr>
            <w:tcW w:w="426" w:type="dxa"/>
            <w:tcBorders>
              <w:top w:val="nil"/>
              <w:left w:val="nil"/>
              <w:bottom w:val="single" w:sz="8" w:space="0" w:color="0077BD"/>
              <w:right w:val="single" w:sz="8" w:space="0" w:color="0077BD"/>
            </w:tcBorders>
            <w:shd w:val="clear" w:color="auto" w:fill="auto"/>
            <w:vAlign w:val="center"/>
            <w:hideMark/>
          </w:tcPr>
          <w:p w14:paraId="6F0525C2"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AAA</w:t>
            </w:r>
          </w:p>
        </w:tc>
        <w:tc>
          <w:tcPr>
            <w:tcW w:w="348" w:type="dxa"/>
            <w:tcBorders>
              <w:top w:val="nil"/>
              <w:left w:val="nil"/>
              <w:bottom w:val="single" w:sz="8" w:space="0" w:color="0077BD"/>
              <w:right w:val="single" w:sz="8" w:space="0" w:color="0077BD"/>
            </w:tcBorders>
            <w:shd w:val="clear" w:color="auto" w:fill="auto"/>
            <w:vAlign w:val="center"/>
            <w:hideMark/>
          </w:tcPr>
          <w:p w14:paraId="338680FC"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AA+</w:t>
            </w:r>
          </w:p>
        </w:tc>
        <w:tc>
          <w:tcPr>
            <w:tcW w:w="454" w:type="dxa"/>
            <w:tcBorders>
              <w:top w:val="nil"/>
              <w:left w:val="nil"/>
              <w:bottom w:val="single" w:sz="8" w:space="0" w:color="0077BD"/>
              <w:right w:val="single" w:sz="8" w:space="0" w:color="0077BD"/>
            </w:tcBorders>
            <w:shd w:val="clear" w:color="auto" w:fill="auto"/>
            <w:vAlign w:val="center"/>
            <w:hideMark/>
          </w:tcPr>
          <w:p w14:paraId="4A0F009D"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AA, AA-</w:t>
            </w:r>
          </w:p>
        </w:tc>
        <w:tc>
          <w:tcPr>
            <w:tcW w:w="454" w:type="dxa"/>
            <w:tcBorders>
              <w:top w:val="nil"/>
              <w:left w:val="nil"/>
              <w:bottom w:val="single" w:sz="8" w:space="0" w:color="0077BD"/>
              <w:right w:val="single" w:sz="8" w:space="0" w:color="0077BD"/>
            </w:tcBorders>
            <w:shd w:val="clear" w:color="auto" w:fill="auto"/>
            <w:vAlign w:val="center"/>
            <w:hideMark/>
          </w:tcPr>
          <w:p w14:paraId="3C97624C"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A+, A</w:t>
            </w:r>
          </w:p>
        </w:tc>
        <w:tc>
          <w:tcPr>
            <w:tcW w:w="303" w:type="dxa"/>
            <w:tcBorders>
              <w:top w:val="nil"/>
              <w:left w:val="nil"/>
              <w:bottom w:val="single" w:sz="8" w:space="0" w:color="0077BD"/>
              <w:right w:val="single" w:sz="8" w:space="0" w:color="0077BD"/>
            </w:tcBorders>
            <w:shd w:val="clear" w:color="auto" w:fill="auto"/>
            <w:vAlign w:val="center"/>
            <w:hideMark/>
          </w:tcPr>
          <w:p w14:paraId="16A2E098"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A-</w:t>
            </w:r>
          </w:p>
        </w:tc>
        <w:tc>
          <w:tcPr>
            <w:tcW w:w="425" w:type="dxa"/>
            <w:tcBorders>
              <w:top w:val="nil"/>
              <w:left w:val="nil"/>
              <w:bottom w:val="single" w:sz="8" w:space="0" w:color="0077BD"/>
              <w:right w:val="single" w:sz="8" w:space="0" w:color="0077BD"/>
            </w:tcBorders>
            <w:shd w:val="clear" w:color="auto" w:fill="auto"/>
            <w:vAlign w:val="center"/>
            <w:hideMark/>
          </w:tcPr>
          <w:p w14:paraId="018ED8AD"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BBB+</w:t>
            </w:r>
          </w:p>
        </w:tc>
        <w:tc>
          <w:tcPr>
            <w:tcW w:w="567" w:type="dxa"/>
            <w:tcBorders>
              <w:top w:val="nil"/>
              <w:left w:val="nil"/>
              <w:bottom w:val="single" w:sz="8" w:space="0" w:color="0077BD"/>
              <w:right w:val="single" w:sz="8" w:space="0" w:color="0077BD"/>
            </w:tcBorders>
            <w:shd w:val="clear" w:color="auto" w:fill="auto"/>
            <w:vAlign w:val="center"/>
            <w:hideMark/>
          </w:tcPr>
          <w:p w14:paraId="601B13D3"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BBB</w:t>
            </w:r>
          </w:p>
        </w:tc>
        <w:tc>
          <w:tcPr>
            <w:tcW w:w="425" w:type="dxa"/>
            <w:tcBorders>
              <w:top w:val="nil"/>
              <w:left w:val="nil"/>
              <w:bottom w:val="single" w:sz="8" w:space="0" w:color="0077BD"/>
              <w:right w:val="single" w:sz="8" w:space="0" w:color="0077BD"/>
            </w:tcBorders>
            <w:shd w:val="clear" w:color="auto" w:fill="auto"/>
            <w:vAlign w:val="center"/>
            <w:hideMark/>
          </w:tcPr>
          <w:p w14:paraId="09D48197"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BBB-</w:t>
            </w:r>
          </w:p>
        </w:tc>
        <w:tc>
          <w:tcPr>
            <w:tcW w:w="426" w:type="dxa"/>
            <w:tcBorders>
              <w:top w:val="nil"/>
              <w:left w:val="nil"/>
              <w:bottom w:val="single" w:sz="8" w:space="0" w:color="0077BD"/>
              <w:right w:val="single" w:sz="8" w:space="0" w:color="0077BD"/>
            </w:tcBorders>
            <w:shd w:val="clear" w:color="auto" w:fill="auto"/>
            <w:vAlign w:val="center"/>
            <w:hideMark/>
          </w:tcPr>
          <w:p w14:paraId="387C2711"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w:t>
            </w:r>
          </w:p>
        </w:tc>
        <w:tc>
          <w:tcPr>
            <w:tcW w:w="567" w:type="dxa"/>
            <w:tcBorders>
              <w:top w:val="nil"/>
              <w:left w:val="nil"/>
              <w:bottom w:val="single" w:sz="8" w:space="0" w:color="0077BD"/>
              <w:right w:val="single" w:sz="8" w:space="0" w:color="0077BD"/>
            </w:tcBorders>
            <w:shd w:val="clear" w:color="auto" w:fill="auto"/>
            <w:vAlign w:val="center"/>
            <w:hideMark/>
          </w:tcPr>
          <w:p w14:paraId="0DF38D46"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w:t>
            </w:r>
          </w:p>
        </w:tc>
        <w:tc>
          <w:tcPr>
            <w:tcW w:w="415" w:type="dxa"/>
            <w:tcBorders>
              <w:top w:val="nil"/>
              <w:left w:val="nil"/>
              <w:bottom w:val="single" w:sz="8" w:space="0" w:color="0077BD"/>
              <w:right w:val="single" w:sz="8" w:space="0" w:color="0077BD"/>
            </w:tcBorders>
            <w:shd w:val="clear" w:color="auto" w:fill="auto"/>
            <w:vAlign w:val="center"/>
            <w:hideMark/>
          </w:tcPr>
          <w:p w14:paraId="537F5E97"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BB-</w:t>
            </w:r>
          </w:p>
        </w:tc>
        <w:tc>
          <w:tcPr>
            <w:tcW w:w="425" w:type="dxa"/>
            <w:tcBorders>
              <w:top w:val="nil"/>
              <w:left w:val="nil"/>
              <w:bottom w:val="single" w:sz="8" w:space="0" w:color="0077BD"/>
              <w:right w:val="single" w:sz="8" w:space="0" w:color="0077BD"/>
            </w:tcBorders>
            <w:shd w:val="clear" w:color="auto" w:fill="auto"/>
            <w:vAlign w:val="center"/>
            <w:hideMark/>
          </w:tcPr>
          <w:p w14:paraId="585CAE7B"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w:t>
            </w:r>
          </w:p>
        </w:tc>
        <w:tc>
          <w:tcPr>
            <w:tcW w:w="435" w:type="dxa"/>
            <w:tcBorders>
              <w:top w:val="nil"/>
              <w:left w:val="nil"/>
              <w:bottom w:val="single" w:sz="8" w:space="0" w:color="0077BD"/>
              <w:right w:val="single" w:sz="8" w:space="0" w:color="0077BD"/>
            </w:tcBorders>
            <w:shd w:val="clear" w:color="auto" w:fill="auto"/>
            <w:vAlign w:val="center"/>
            <w:hideMark/>
          </w:tcPr>
          <w:p w14:paraId="769E8689"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w:t>
            </w:r>
          </w:p>
        </w:tc>
        <w:tc>
          <w:tcPr>
            <w:tcW w:w="567" w:type="dxa"/>
            <w:tcBorders>
              <w:top w:val="nil"/>
              <w:left w:val="nil"/>
              <w:bottom w:val="single" w:sz="8" w:space="0" w:color="0077BD"/>
              <w:right w:val="single" w:sz="8" w:space="0" w:color="0077BD"/>
            </w:tcBorders>
            <w:shd w:val="clear" w:color="auto" w:fill="auto"/>
            <w:vAlign w:val="center"/>
            <w:hideMark/>
          </w:tcPr>
          <w:p w14:paraId="3A9C3E84"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w:t>
            </w:r>
          </w:p>
        </w:tc>
        <w:tc>
          <w:tcPr>
            <w:tcW w:w="426" w:type="dxa"/>
            <w:tcBorders>
              <w:top w:val="nil"/>
              <w:left w:val="nil"/>
              <w:bottom w:val="single" w:sz="8" w:space="0" w:color="0077BD"/>
              <w:right w:val="single" w:sz="8" w:space="0" w:color="0077BD"/>
            </w:tcBorders>
            <w:shd w:val="clear" w:color="auto" w:fill="auto"/>
            <w:vAlign w:val="center"/>
            <w:hideMark/>
          </w:tcPr>
          <w:p w14:paraId="17171477"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w:t>
            </w:r>
          </w:p>
        </w:tc>
        <w:tc>
          <w:tcPr>
            <w:tcW w:w="425" w:type="dxa"/>
            <w:tcBorders>
              <w:top w:val="nil"/>
              <w:left w:val="nil"/>
              <w:bottom w:val="single" w:sz="8" w:space="0" w:color="0077BD"/>
              <w:right w:val="single" w:sz="8" w:space="0" w:color="0077BD"/>
            </w:tcBorders>
            <w:shd w:val="clear" w:color="auto" w:fill="auto"/>
            <w:vAlign w:val="center"/>
            <w:hideMark/>
          </w:tcPr>
          <w:p w14:paraId="6B78C9C8"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B-</w:t>
            </w:r>
          </w:p>
        </w:tc>
        <w:tc>
          <w:tcPr>
            <w:tcW w:w="557" w:type="dxa"/>
            <w:tcBorders>
              <w:top w:val="nil"/>
              <w:left w:val="nil"/>
              <w:bottom w:val="single" w:sz="8" w:space="0" w:color="0077BD"/>
              <w:right w:val="single" w:sz="8" w:space="0" w:color="0077BD"/>
            </w:tcBorders>
            <w:shd w:val="clear" w:color="auto" w:fill="auto"/>
            <w:vAlign w:val="center"/>
            <w:hideMark/>
          </w:tcPr>
          <w:p w14:paraId="13E1F279" w14:textId="605C728E"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CCC+</w:t>
            </w:r>
            <w:r w:rsidR="00E05555">
              <w:rPr>
                <w:rFonts w:cs="Calibri"/>
                <w:color w:val="000000" w:themeColor="text1"/>
                <w:sz w:val="9"/>
                <w:szCs w:val="9"/>
              </w:rPr>
              <w:t xml:space="preserve"> do C</w:t>
            </w:r>
          </w:p>
        </w:tc>
        <w:tc>
          <w:tcPr>
            <w:tcW w:w="567" w:type="dxa"/>
            <w:tcBorders>
              <w:top w:val="nil"/>
              <w:left w:val="nil"/>
              <w:bottom w:val="single" w:sz="8" w:space="0" w:color="0077BD"/>
              <w:right w:val="single" w:sz="8" w:space="0" w:color="0077BD"/>
            </w:tcBorders>
            <w:shd w:val="clear" w:color="auto" w:fill="auto"/>
            <w:vAlign w:val="center"/>
            <w:hideMark/>
          </w:tcPr>
          <w:p w14:paraId="04084B1A" w14:textId="2AF000F0"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Nie dotyczy</w:t>
            </w:r>
          </w:p>
        </w:tc>
        <w:tc>
          <w:tcPr>
            <w:tcW w:w="709" w:type="dxa"/>
            <w:tcBorders>
              <w:top w:val="nil"/>
              <w:left w:val="nil"/>
              <w:bottom w:val="single" w:sz="8" w:space="0" w:color="0077BD"/>
              <w:right w:val="single" w:sz="8" w:space="0" w:color="0077BD"/>
            </w:tcBorders>
            <w:shd w:val="clear" w:color="auto" w:fill="auto"/>
            <w:vAlign w:val="center"/>
            <w:hideMark/>
          </w:tcPr>
          <w:p w14:paraId="4D35DBF7" w14:textId="77777777" w:rsidR="00C31B17" w:rsidRPr="00977E53" w:rsidRDefault="00C31B17" w:rsidP="000E3F65">
            <w:pPr>
              <w:jc w:val="center"/>
              <w:rPr>
                <w:rFonts w:cs="Calibri"/>
                <w:color w:val="000000" w:themeColor="text1"/>
                <w:sz w:val="9"/>
                <w:szCs w:val="9"/>
              </w:rPr>
            </w:pPr>
            <w:r w:rsidRPr="00977E53">
              <w:rPr>
                <w:rFonts w:cs="Calibri"/>
                <w:color w:val="000000" w:themeColor="text1"/>
                <w:sz w:val="9"/>
                <w:szCs w:val="9"/>
              </w:rPr>
              <w:t>D</w:t>
            </w:r>
          </w:p>
        </w:tc>
      </w:tr>
      <w:tr w:rsidR="004F0B57" w:rsidRPr="000E3F65" w14:paraId="644B319C" w14:textId="77777777" w:rsidTr="004F0B57">
        <w:trPr>
          <w:trHeight w:val="284"/>
        </w:trPr>
        <w:tc>
          <w:tcPr>
            <w:tcW w:w="567" w:type="dxa"/>
            <w:vMerge/>
            <w:tcBorders>
              <w:top w:val="single" w:sz="8" w:space="0" w:color="0077BD"/>
              <w:left w:val="single" w:sz="8" w:space="0" w:color="0077BD"/>
              <w:bottom w:val="single" w:sz="8" w:space="0" w:color="0077BD"/>
              <w:right w:val="nil"/>
            </w:tcBorders>
            <w:vAlign w:val="center"/>
            <w:hideMark/>
          </w:tcPr>
          <w:p w14:paraId="2D72A745" w14:textId="77777777" w:rsidR="004F0B57" w:rsidRPr="000E3F65" w:rsidRDefault="004F0B57" w:rsidP="000E3F65">
            <w:pPr>
              <w:rPr>
                <w:rFonts w:cs="Calibri"/>
                <w:b/>
                <w:bCs/>
                <w:color w:val="FFFFFF"/>
                <w:sz w:val="9"/>
                <w:szCs w:val="9"/>
              </w:rPr>
            </w:pPr>
          </w:p>
        </w:tc>
        <w:tc>
          <w:tcPr>
            <w:tcW w:w="3402" w:type="dxa"/>
            <w:gridSpan w:val="8"/>
            <w:tcBorders>
              <w:top w:val="single" w:sz="8" w:space="0" w:color="0077BD"/>
              <w:left w:val="nil"/>
              <w:bottom w:val="single" w:sz="8" w:space="0" w:color="0077BD"/>
              <w:right w:val="single" w:sz="8" w:space="0" w:color="0077BD"/>
            </w:tcBorders>
            <w:shd w:val="clear" w:color="auto" w:fill="auto"/>
            <w:noWrap/>
            <w:vAlign w:val="center"/>
            <w:hideMark/>
          </w:tcPr>
          <w:p w14:paraId="2287BE29" w14:textId="4178B0EB" w:rsidR="004F0B57" w:rsidRPr="00977E53" w:rsidRDefault="004F0B57" w:rsidP="000E3F65">
            <w:pPr>
              <w:jc w:val="center"/>
              <w:rPr>
                <w:rFonts w:cs="Calibri"/>
                <w:b/>
                <w:bCs/>
                <w:color w:val="000000" w:themeColor="text1"/>
                <w:sz w:val="9"/>
                <w:szCs w:val="9"/>
              </w:rPr>
            </w:pPr>
            <w:r w:rsidRPr="00977E53">
              <w:rPr>
                <w:rFonts w:cs="Calibri"/>
                <w:b/>
                <w:bCs/>
                <w:color w:val="000000" w:themeColor="text1"/>
                <w:sz w:val="9"/>
                <w:szCs w:val="9"/>
              </w:rPr>
              <w:t>Stopień inwestycyjny</w:t>
            </w:r>
          </w:p>
        </w:tc>
        <w:tc>
          <w:tcPr>
            <w:tcW w:w="1408" w:type="dxa"/>
            <w:gridSpan w:val="3"/>
            <w:tcBorders>
              <w:top w:val="single" w:sz="8" w:space="0" w:color="0077BD"/>
              <w:left w:val="nil"/>
              <w:bottom w:val="single" w:sz="8" w:space="0" w:color="0077BD"/>
              <w:right w:val="single" w:sz="8" w:space="0" w:color="0077BD"/>
            </w:tcBorders>
            <w:shd w:val="clear" w:color="auto" w:fill="auto"/>
            <w:vAlign w:val="center"/>
            <w:hideMark/>
          </w:tcPr>
          <w:p w14:paraId="1EE3E70F" w14:textId="636CD1FC" w:rsidR="004F0B57" w:rsidRPr="00977E53" w:rsidRDefault="004F0B57" w:rsidP="000E3F65">
            <w:pPr>
              <w:jc w:val="center"/>
              <w:rPr>
                <w:rFonts w:cs="Calibri"/>
                <w:b/>
                <w:bCs/>
                <w:color w:val="000000" w:themeColor="text1"/>
                <w:sz w:val="9"/>
                <w:szCs w:val="9"/>
              </w:rPr>
            </w:pPr>
            <w:r>
              <w:rPr>
                <w:rFonts w:cs="Calibri"/>
                <w:b/>
                <w:bCs/>
                <w:color w:val="000000" w:themeColor="text1"/>
                <w:sz w:val="9"/>
                <w:szCs w:val="9"/>
              </w:rPr>
              <w:t>Stopień sub</w:t>
            </w:r>
            <w:r w:rsidRPr="00977E53">
              <w:rPr>
                <w:rFonts w:cs="Calibri"/>
                <w:b/>
                <w:bCs/>
                <w:color w:val="000000" w:themeColor="text1"/>
                <w:sz w:val="9"/>
                <w:szCs w:val="9"/>
              </w:rPr>
              <w:t>inwestycyjny</w:t>
            </w:r>
          </w:p>
        </w:tc>
        <w:tc>
          <w:tcPr>
            <w:tcW w:w="2835" w:type="dxa"/>
            <w:gridSpan w:val="6"/>
            <w:tcBorders>
              <w:top w:val="single" w:sz="8" w:space="0" w:color="0077BD"/>
              <w:left w:val="nil"/>
              <w:bottom w:val="single" w:sz="8" w:space="0" w:color="0077BD"/>
              <w:right w:val="single" w:sz="8" w:space="0" w:color="0077BD"/>
            </w:tcBorders>
            <w:shd w:val="clear" w:color="auto" w:fill="auto"/>
            <w:vAlign w:val="center"/>
          </w:tcPr>
          <w:p w14:paraId="06E66729" w14:textId="2967D7F9" w:rsidR="004F0B57" w:rsidRPr="00977E53" w:rsidRDefault="004F0B57" w:rsidP="000E3F65">
            <w:pPr>
              <w:jc w:val="center"/>
              <w:rPr>
                <w:rFonts w:cs="Calibri"/>
                <w:b/>
                <w:bCs/>
                <w:color w:val="000000" w:themeColor="text1"/>
                <w:sz w:val="9"/>
                <w:szCs w:val="9"/>
              </w:rPr>
            </w:pPr>
            <w:r>
              <w:rPr>
                <w:rFonts w:cs="Calibri"/>
                <w:b/>
                <w:bCs/>
                <w:color w:val="000000" w:themeColor="text1"/>
                <w:sz w:val="9"/>
                <w:szCs w:val="9"/>
              </w:rPr>
              <w:t>Stopień nieinwestycyjny</w:t>
            </w:r>
          </w:p>
        </w:tc>
        <w:tc>
          <w:tcPr>
            <w:tcW w:w="567" w:type="dxa"/>
            <w:tcBorders>
              <w:top w:val="nil"/>
              <w:left w:val="nil"/>
              <w:bottom w:val="single" w:sz="8" w:space="0" w:color="0077BD"/>
              <w:right w:val="single" w:sz="8" w:space="0" w:color="0077BD"/>
            </w:tcBorders>
            <w:shd w:val="clear" w:color="auto" w:fill="auto"/>
            <w:vAlign w:val="center"/>
            <w:hideMark/>
          </w:tcPr>
          <w:p w14:paraId="56C04770" w14:textId="77777777" w:rsidR="004F0B57" w:rsidRPr="00977E53" w:rsidRDefault="004F0B57" w:rsidP="000E3F65">
            <w:pPr>
              <w:jc w:val="both"/>
              <w:rPr>
                <w:rFonts w:cs="Calibri"/>
                <w:color w:val="000000" w:themeColor="text1"/>
                <w:sz w:val="9"/>
                <w:szCs w:val="9"/>
              </w:rPr>
            </w:pPr>
            <w:r w:rsidRPr="00977E53">
              <w:rPr>
                <w:rFonts w:cs="Calibri"/>
                <w:color w:val="000000" w:themeColor="text1"/>
                <w:sz w:val="9"/>
                <w:szCs w:val="9"/>
              </w:rPr>
              <w:t> </w:t>
            </w:r>
          </w:p>
        </w:tc>
        <w:tc>
          <w:tcPr>
            <w:tcW w:w="709" w:type="dxa"/>
            <w:tcBorders>
              <w:top w:val="nil"/>
              <w:left w:val="nil"/>
              <w:bottom w:val="single" w:sz="8" w:space="0" w:color="0077BD"/>
              <w:right w:val="single" w:sz="8" w:space="0" w:color="0077BD"/>
            </w:tcBorders>
            <w:shd w:val="clear" w:color="auto" w:fill="auto"/>
            <w:vAlign w:val="center"/>
            <w:hideMark/>
          </w:tcPr>
          <w:p w14:paraId="298166A3" w14:textId="77777777" w:rsidR="004F0B57" w:rsidRPr="00977E53" w:rsidRDefault="004F0B57" w:rsidP="000E3F65">
            <w:pPr>
              <w:jc w:val="center"/>
              <w:rPr>
                <w:rFonts w:cs="Calibri"/>
                <w:b/>
                <w:bCs/>
                <w:color w:val="000000" w:themeColor="text1"/>
                <w:sz w:val="9"/>
                <w:szCs w:val="9"/>
              </w:rPr>
            </w:pPr>
            <w:r w:rsidRPr="00977E53">
              <w:rPr>
                <w:rFonts w:cs="Calibri"/>
                <w:b/>
                <w:bCs/>
                <w:color w:val="000000" w:themeColor="text1"/>
                <w:sz w:val="9"/>
                <w:szCs w:val="9"/>
              </w:rPr>
              <w:t>Default</w:t>
            </w:r>
          </w:p>
        </w:tc>
      </w:tr>
    </w:tbl>
    <w:p w14:paraId="50C6B748" w14:textId="77777777" w:rsidR="004E0E68" w:rsidRDefault="004E0E68">
      <w:pPr>
        <w:rPr>
          <w:rFonts w:eastAsia="Calibri" w:cs="Verdana"/>
          <w:b/>
          <w:color w:val="000000" w:themeColor="text1"/>
          <w:sz w:val="18"/>
          <w:szCs w:val="18"/>
          <w:lang w:eastAsia="en-US"/>
        </w:rPr>
      </w:pPr>
      <w:r>
        <w:rPr>
          <w:rFonts w:eastAsia="Calibri" w:cs="Verdana"/>
          <w:b/>
          <w:color w:val="000000" w:themeColor="text1"/>
          <w:sz w:val="18"/>
          <w:szCs w:val="18"/>
          <w:lang w:eastAsia="en-US"/>
        </w:rPr>
        <w:br w:type="page"/>
      </w:r>
    </w:p>
    <w:p w14:paraId="1E422C1A" w14:textId="2BD97769" w:rsidR="006301B9" w:rsidRPr="00977E53" w:rsidRDefault="006301B9" w:rsidP="0030790E">
      <w:pPr>
        <w:autoSpaceDE w:val="0"/>
        <w:autoSpaceDN w:val="0"/>
        <w:adjustRightInd w:val="0"/>
        <w:spacing w:before="120"/>
        <w:jc w:val="both"/>
        <w:rPr>
          <w:rFonts w:eastAsia="Calibri" w:cs="Verdana"/>
          <w:color w:val="000000" w:themeColor="text1"/>
          <w:sz w:val="18"/>
          <w:szCs w:val="18"/>
          <w:lang w:eastAsia="en-US"/>
        </w:rPr>
      </w:pPr>
      <w:r w:rsidRPr="00977E53">
        <w:rPr>
          <w:rFonts w:eastAsia="Calibri" w:cs="Verdana"/>
          <w:b/>
          <w:color w:val="000000" w:themeColor="text1"/>
          <w:sz w:val="18"/>
          <w:szCs w:val="18"/>
          <w:lang w:eastAsia="en-US"/>
        </w:rPr>
        <w:lastRenderedPageBreak/>
        <w:t>W obszarze bankowości detalicznej</w:t>
      </w:r>
      <w:r w:rsidRPr="00977E53">
        <w:rPr>
          <w:rFonts w:eastAsia="Calibri" w:cs="Verdana"/>
          <w:color w:val="000000" w:themeColor="text1"/>
          <w:sz w:val="18"/>
          <w:szCs w:val="18"/>
          <w:lang w:eastAsia="en-US"/>
        </w:rPr>
        <w:t xml:space="preserve"> funkcjonują następujące modele, wchodzące w skład systemu ratingowego: </w:t>
      </w:r>
    </w:p>
    <w:p w14:paraId="6BA2A853" w14:textId="77777777" w:rsidR="006301B9" w:rsidRPr="0030790E" w:rsidRDefault="006301B9" w:rsidP="0030790E">
      <w:pPr>
        <w:numPr>
          <w:ilvl w:val="0"/>
          <w:numId w:val="17"/>
        </w:numPr>
        <w:tabs>
          <w:tab w:val="clear" w:pos="1267"/>
        </w:tabs>
        <w:suppressAutoHyphens/>
        <w:spacing w:after="120"/>
        <w:ind w:left="284" w:right="-57" w:hanging="284"/>
        <w:jc w:val="both"/>
        <w:rPr>
          <w:rFonts w:cs="Tahoma"/>
          <w:bCs/>
          <w:color w:val="000000" w:themeColor="text1"/>
          <w:sz w:val="18"/>
          <w:szCs w:val="18"/>
        </w:rPr>
      </w:pPr>
      <w:r w:rsidRPr="0030790E">
        <w:rPr>
          <w:rFonts w:cs="Tahoma"/>
          <w:bCs/>
          <w:color w:val="000000" w:themeColor="text1"/>
          <w:sz w:val="18"/>
          <w:szCs w:val="18"/>
        </w:rPr>
        <w:t>model straty z tytułu niewykonania zobowiązania (LGD) obejmujący cały portfel detaliczny. Finalny poziom straty określany jest na podstawie integracji trzech komponentów:</w:t>
      </w:r>
    </w:p>
    <w:p w14:paraId="5A2071E9" w14:textId="77777777"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poziom odzysku dla przypadków uzdrowionych (oparte na średnich osiąganych poziomach odzysku dla przypadków uzdrowionych), </w:t>
      </w:r>
    </w:p>
    <w:p w14:paraId="29BED7EE" w14:textId="77777777"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poziom odzysku dla przypadków nieuzdrowionych (oparty na czynnikach kontraktowych, dotyczących relacji klienta z kontraktem oraz charakterystykę zabezpieczenia),</w:t>
      </w:r>
    </w:p>
    <w:p w14:paraId="196E8899" w14:textId="77777777"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prawdopodobieństwo uzdrowienia (oparte na czynnikach socjo-demograficznych oraz pełnej strukturze produktowej właściciela kontraktu).</w:t>
      </w:r>
    </w:p>
    <w:p w14:paraId="407B25D5" w14:textId="43580F99" w:rsidR="006301B9" w:rsidRPr="00977E53" w:rsidRDefault="006301B9" w:rsidP="0030790E">
      <w:pPr>
        <w:autoSpaceDE w:val="0"/>
        <w:autoSpaceDN w:val="0"/>
        <w:adjustRightInd w:val="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Szacowanie poziomu straty </w:t>
      </w:r>
      <w:r w:rsidR="007E499D">
        <w:rPr>
          <w:rFonts w:eastAsia="Calibri" w:cs="Verdana"/>
          <w:color w:val="000000" w:themeColor="text1"/>
          <w:sz w:val="18"/>
          <w:szCs w:val="18"/>
          <w:lang w:eastAsia="en-US"/>
        </w:rPr>
        <w:t xml:space="preserve">LGD </w:t>
      </w:r>
      <w:r w:rsidRPr="00977E53">
        <w:rPr>
          <w:rFonts w:eastAsia="Calibri" w:cs="Verdana"/>
          <w:color w:val="000000" w:themeColor="text1"/>
          <w:sz w:val="18"/>
          <w:szCs w:val="18"/>
          <w:lang w:eastAsia="en-US"/>
        </w:rPr>
        <w:t xml:space="preserve">przebiega w homogenicznych segmentach uwzględniających typ produktu oraz rodzaj zabezpieczenia. Funkcjonują oddzielne modele dla przypadków charakteryzujących oraz nie charakteryzujących się niewykonaniem zobowiązania </w:t>
      </w:r>
    </w:p>
    <w:p w14:paraId="4F672476" w14:textId="77777777" w:rsidR="006301B9" w:rsidRPr="0030790E" w:rsidRDefault="006301B9" w:rsidP="0030790E">
      <w:pPr>
        <w:numPr>
          <w:ilvl w:val="0"/>
          <w:numId w:val="17"/>
        </w:numPr>
        <w:tabs>
          <w:tab w:val="clear" w:pos="1267"/>
        </w:tabs>
        <w:suppressAutoHyphens/>
        <w:ind w:left="284" w:right="-57" w:hanging="284"/>
        <w:jc w:val="both"/>
        <w:rPr>
          <w:rFonts w:cs="Tahoma"/>
          <w:bCs/>
          <w:color w:val="000000" w:themeColor="text1"/>
          <w:sz w:val="18"/>
          <w:szCs w:val="18"/>
        </w:rPr>
      </w:pPr>
      <w:r w:rsidRPr="0030790E">
        <w:rPr>
          <w:rFonts w:cs="Tahoma"/>
          <w:bCs/>
          <w:color w:val="000000" w:themeColor="text1"/>
          <w:sz w:val="18"/>
          <w:szCs w:val="18"/>
        </w:rPr>
        <w:t xml:space="preserve">model ekspozycji w przypadku niewykonania zobowiązania (EAD), którego składowymi jest model współczynnika konwersji kredytowej CCF, komponent zużycia limitu oraz przedpłat. Komponenty oparte są na czynnikach kontraktowych oraz klienckich, </w:t>
      </w:r>
    </w:p>
    <w:p w14:paraId="42EE92AA" w14:textId="77777777" w:rsidR="006301B9" w:rsidRPr="0030790E" w:rsidRDefault="006301B9" w:rsidP="0030790E">
      <w:pPr>
        <w:numPr>
          <w:ilvl w:val="0"/>
          <w:numId w:val="17"/>
        </w:numPr>
        <w:tabs>
          <w:tab w:val="clear" w:pos="1267"/>
        </w:tabs>
        <w:suppressAutoHyphens/>
        <w:spacing w:after="120"/>
        <w:ind w:left="284" w:right="-57" w:hanging="284"/>
        <w:jc w:val="both"/>
        <w:rPr>
          <w:rFonts w:cs="Tahoma"/>
          <w:bCs/>
          <w:color w:val="000000" w:themeColor="text1"/>
          <w:sz w:val="18"/>
          <w:szCs w:val="18"/>
        </w:rPr>
      </w:pPr>
      <w:r w:rsidRPr="0030790E">
        <w:rPr>
          <w:rFonts w:cs="Tahoma"/>
          <w:bCs/>
          <w:color w:val="000000" w:themeColor="text1"/>
          <w:sz w:val="18"/>
          <w:szCs w:val="18"/>
        </w:rPr>
        <w:t>model parametru PD o konstrukcji modułowej integrujący funkcjonujące w obszarze detalicznym karty skoringowe:</w:t>
      </w:r>
    </w:p>
    <w:p w14:paraId="557D6EC1" w14:textId="77777777"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aplikacyjne (oparte na czynnikach: socjo-demograficznych, opisujących charakterystykę prowadzonej działalności gospodarczej oraz związanych ze specyfiką posiadanych/wnioskowanych produktów kredytowych), </w:t>
      </w:r>
    </w:p>
    <w:p w14:paraId="480ECAA3" w14:textId="1FCD9262"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behawioralne (oparte na informacjach dotyczących historii relacji kredytowej i depozytowej z</w:t>
      </w:r>
      <w:r w:rsidR="00A35AAC">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Bankiem),</w:t>
      </w:r>
    </w:p>
    <w:p w14:paraId="7A80B7F6" w14:textId="77777777" w:rsidR="006301B9" w:rsidRPr="00977E53" w:rsidRDefault="006301B9" w:rsidP="00526DF1">
      <w:pPr>
        <w:numPr>
          <w:ilvl w:val="1"/>
          <w:numId w:val="43"/>
        </w:numPr>
        <w:autoSpaceDE w:val="0"/>
        <w:autoSpaceDN w:val="0"/>
        <w:adjustRightInd w:val="0"/>
        <w:spacing w:after="120" w:line="259" w:lineRule="auto"/>
        <w:ind w:left="709" w:hanging="425"/>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biurowe (bazujące na danych z Biura Informacji Kredytowej dotyczących relacji i sposobu obsługi przez klienta zobowiązań posiadanych poza Bankiem).</w:t>
      </w:r>
    </w:p>
    <w:p w14:paraId="014915DE" w14:textId="371E5606" w:rsidR="000F75B9" w:rsidRPr="00977E53" w:rsidRDefault="006301B9" w:rsidP="006301B9">
      <w:pPr>
        <w:suppressAutoHyphens/>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Wszystkie spółki Grupy mBanku, których działalność obarczona jest ryzykiem kredytowym, przed zawarciem transakcji i w trakcie jej trwania – w trybie monitoringu – przeprowadzają ocenę ryzyka opierając się przy tym na systemach ratingowych stosowanych przez Grupę mBanku. Zastosowany system ratingowy wynika z charakteru prowadzonej działalności, przy czym spółka faktoringowa i leasingowa używają ratingu dłużnika (PD-rating), zaś leasingowa dodatkowo ratingu kredytowego (EL-rating). W przypadku kredytów hipotecznych i leasingu nieruchomości stosowany jest rating oparty na miarach nadzorczych (slotting approach)</w:t>
      </w:r>
      <w:r w:rsidR="000F75B9" w:rsidRPr="00977E53">
        <w:rPr>
          <w:rFonts w:eastAsia="Calibri" w:cs="Verdana"/>
          <w:color w:val="000000" w:themeColor="text1"/>
          <w:sz w:val="18"/>
          <w:szCs w:val="18"/>
          <w:lang w:eastAsia="en-US"/>
        </w:rPr>
        <w:t>.</w:t>
      </w:r>
    </w:p>
    <w:p w14:paraId="6BD8869D" w14:textId="0755D867" w:rsidR="000F75B9" w:rsidRPr="00977E53" w:rsidRDefault="000F75B9" w:rsidP="0084313B">
      <w:pPr>
        <w:pStyle w:val="Akapitzlist"/>
        <w:numPr>
          <w:ilvl w:val="2"/>
          <w:numId w:val="14"/>
        </w:numPr>
        <w:spacing w:before="120" w:after="120"/>
        <w:ind w:left="709" w:hanging="709"/>
        <w:rPr>
          <w:b/>
          <w:color w:val="000000" w:themeColor="text1"/>
          <w:sz w:val="18"/>
          <w:szCs w:val="18"/>
          <w:lang w:eastAsia="en-US"/>
        </w:rPr>
      </w:pPr>
      <w:r w:rsidRPr="00977E53">
        <w:rPr>
          <w:b/>
          <w:color w:val="000000" w:themeColor="text1"/>
          <w:sz w:val="18"/>
          <w:szCs w:val="18"/>
          <w:lang w:eastAsia="en-US"/>
        </w:rPr>
        <w:t>Monitoring i walidacja modeli</w:t>
      </w:r>
    </w:p>
    <w:p w14:paraId="1B2D9798" w14:textId="77777777" w:rsidR="008E7C82" w:rsidRPr="00977E53" w:rsidRDefault="008E7C82" w:rsidP="008E7C82">
      <w:pPr>
        <w:spacing w:after="120"/>
        <w:jc w:val="both"/>
        <w:rPr>
          <w:rFonts w:cs="Arial"/>
          <w:snapToGrid w:val="0"/>
          <w:color w:val="000000" w:themeColor="text1"/>
          <w:sz w:val="18"/>
          <w:szCs w:val="18"/>
        </w:rPr>
      </w:pPr>
      <w:r w:rsidRPr="00977E53">
        <w:rPr>
          <w:rFonts w:cs="Arial"/>
          <w:snapToGrid w:val="0"/>
          <w:color w:val="000000" w:themeColor="text1"/>
          <w:sz w:val="18"/>
          <w:szCs w:val="18"/>
        </w:rPr>
        <w:t xml:space="preserve">Wszystkie modele parametrów ryzyka w mBanku oraz w spółkach Grupy, w tym między innymi modele prawdopodobieństwa niewykonania zobowiązania (PD) oraz ich składowe, straty z tytułu niewykonania zobowiązania (LGD), oraz współczynnika konwersji kredytowej (CCF) podlegają szczegółowemu i corocznemu procesowi monitoringu przez jednostki modelujące. Ponadto modele te są przedmiotem cyklicznej walidacji przez niezależną jednostkę walidacyjną mBanku. </w:t>
      </w:r>
    </w:p>
    <w:p w14:paraId="3F1D4F8D" w14:textId="0F5D759D" w:rsidR="008E7C82" w:rsidRPr="00977E53" w:rsidRDefault="008E7C82" w:rsidP="008E7C82">
      <w:pPr>
        <w:spacing w:after="120"/>
        <w:jc w:val="both"/>
        <w:rPr>
          <w:rFonts w:cs="Arial"/>
          <w:snapToGrid w:val="0"/>
          <w:color w:val="000000" w:themeColor="text1"/>
          <w:sz w:val="18"/>
          <w:szCs w:val="18"/>
        </w:rPr>
      </w:pPr>
      <w:r w:rsidRPr="00977E53">
        <w:rPr>
          <w:rFonts w:cs="Arial"/>
          <w:snapToGrid w:val="0"/>
          <w:color w:val="000000" w:themeColor="text1"/>
          <w:sz w:val="18"/>
          <w:szCs w:val="18"/>
        </w:rPr>
        <w:t>W trakcie monitoringu przeprowadzane są testy sprawdzające moc dyskryminacyjną modeli lub poszczególnych ich komponentów, stabilność w czasie, istotność poszczególnych odchyleń empirycznych realizacji od wartości teoretycznych oraz wpływ na parametry portfelowe. Jednostka modelująca przeprowadza rekalibra</w:t>
      </w:r>
      <w:r w:rsidR="008D22A1">
        <w:rPr>
          <w:rFonts w:cs="Arial"/>
          <w:snapToGrid w:val="0"/>
          <w:color w:val="000000" w:themeColor="text1"/>
          <w:sz w:val="18"/>
          <w:szCs w:val="18"/>
        </w:rPr>
        <w:t>cje przedmiotowych modeli między innymi</w:t>
      </w:r>
      <w:r w:rsidRPr="00977E53">
        <w:rPr>
          <w:rFonts w:cs="Arial"/>
          <w:snapToGrid w:val="0"/>
          <w:color w:val="000000" w:themeColor="text1"/>
          <w:sz w:val="18"/>
          <w:szCs w:val="18"/>
        </w:rPr>
        <w:t xml:space="preserve"> w przypadku identyfikacji pewnych niedopasowań.</w:t>
      </w:r>
    </w:p>
    <w:p w14:paraId="324956DD" w14:textId="6281A9F0" w:rsidR="0032584F" w:rsidRPr="00977E53" w:rsidRDefault="008E7C82" w:rsidP="008E7C82">
      <w:pPr>
        <w:spacing w:after="120"/>
        <w:jc w:val="both"/>
        <w:rPr>
          <w:rFonts w:cs="Arial"/>
          <w:snapToGrid w:val="0"/>
          <w:color w:val="000000" w:themeColor="text1"/>
          <w:sz w:val="18"/>
          <w:szCs w:val="18"/>
          <w:lang w:eastAsia="en-US"/>
        </w:rPr>
      </w:pPr>
      <w:r w:rsidRPr="00977E53">
        <w:rPr>
          <w:rFonts w:cs="Arial"/>
          <w:snapToGrid w:val="0"/>
          <w:color w:val="000000" w:themeColor="text1"/>
          <w:sz w:val="18"/>
          <w:szCs w:val="18"/>
        </w:rPr>
        <w:t>Raporty z przeprowadzonych monitoringów/backtestów przedstawiane są do wiadomości użytkowników modelu oraz niezależnej jednostki walidacyjnej</w:t>
      </w:r>
      <w:r w:rsidR="0032584F" w:rsidRPr="00977E53">
        <w:rPr>
          <w:rFonts w:cs="Arial"/>
          <w:snapToGrid w:val="0"/>
          <w:color w:val="000000" w:themeColor="text1"/>
          <w:sz w:val="18"/>
          <w:szCs w:val="18"/>
          <w:lang w:eastAsia="en-US"/>
        </w:rPr>
        <w:t xml:space="preserve">. </w:t>
      </w:r>
    </w:p>
    <w:p w14:paraId="42963394" w14:textId="77777777" w:rsidR="0032584F" w:rsidRPr="00977E53" w:rsidRDefault="0032584F" w:rsidP="0032584F">
      <w:pPr>
        <w:spacing w:after="120"/>
        <w:jc w:val="both"/>
        <w:rPr>
          <w:rFonts w:eastAsia="Calibri"/>
          <w:b/>
          <w:color w:val="000000" w:themeColor="text1"/>
          <w:sz w:val="18"/>
          <w:szCs w:val="18"/>
          <w:lang w:eastAsia="en-US"/>
        </w:rPr>
      </w:pPr>
      <w:r w:rsidRPr="00977E53">
        <w:rPr>
          <w:rFonts w:eastAsia="Calibri"/>
          <w:b/>
          <w:color w:val="000000" w:themeColor="text1"/>
          <w:sz w:val="18"/>
          <w:szCs w:val="18"/>
          <w:lang w:eastAsia="en-US"/>
        </w:rPr>
        <w:t xml:space="preserve">Walidacja </w:t>
      </w:r>
    </w:p>
    <w:p w14:paraId="4CFA0BF8" w14:textId="77777777" w:rsidR="008E7C82" w:rsidRPr="00977E53" w:rsidRDefault="008E7C82" w:rsidP="008E7C82">
      <w:pPr>
        <w:spacing w:after="120"/>
        <w:jc w:val="both"/>
        <w:rPr>
          <w:rFonts w:cs="Arial"/>
          <w:color w:val="000000" w:themeColor="text1"/>
          <w:sz w:val="18"/>
          <w:szCs w:val="18"/>
          <w:lang w:eastAsia="en-US"/>
        </w:rPr>
      </w:pPr>
      <w:r w:rsidRPr="00977E53">
        <w:rPr>
          <w:rFonts w:eastAsia="Calibri" w:cs="Arial"/>
          <w:color w:val="000000" w:themeColor="text1"/>
          <w:sz w:val="18"/>
          <w:szCs w:val="18"/>
          <w:lang w:eastAsia="en-US"/>
        </w:rPr>
        <w:t xml:space="preserve">Walidacja jest wewnętrznym, kompleksowym procesem niezależnej i obiektywnej oceny funkcjonowania modelu, spełniającym wymogi Rekomendacji W, a także - w przypadku metody AIRB - wytyczne nadzoru określone w Rozporządzeniu CRR. Zasady walidacji zostały ramowo określone w Polityce Zarządzania Modelami (PZM) i uszczegółowione w innych regulacjach wewnętrznych Banku. </w:t>
      </w:r>
      <w:r w:rsidRPr="00977E53">
        <w:rPr>
          <w:rFonts w:cs="Arial"/>
          <w:color w:val="000000" w:themeColor="text1"/>
          <w:sz w:val="18"/>
          <w:szCs w:val="18"/>
          <w:lang w:eastAsia="en-US"/>
        </w:rPr>
        <w:t>Walidacji podlegają modele bezpośrednio lub pośrednio wykorzystywane w ocenie adekwatności kapitałowej z wykorzystaniem metody AIRB oraz inne wskazane w prowadzonym w Banku Wykazie Modeli PZM.</w:t>
      </w:r>
    </w:p>
    <w:p w14:paraId="2FAA10B9" w14:textId="77777777" w:rsidR="008E7C82" w:rsidRPr="00977E53" w:rsidRDefault="008E7C82" w:rsidP="008E7C82">
      <w:pPr>
        <w:spacing w:after="120"/>
        <w:jc w:val="both"/>
        <w:rPr>
          <w:rFonts w:cs="Arial"/>
          <w:color w:val="000000" w:themeColor="text1"/>
          <w:sz w:val="18"/>
          <w:szCs w:val="18"/>
          <w:lang w:eastAsia="en-US"/>
        </w:rPr>
      </w:pPr>
      <w:r w:rsidRPr="00977E53">
        <w:rPr>
          <w:rFonts w:cs="Arial"/>
          <w:snapToGrid w:val="0"/>
          <w:color w:val="000000" w:themeColor="text1"/>
          <w:sz w:val="18"/>
          <w:szCs w:val="18"/>
          <w:lang w:eastAsia="en-US"/>
        </w:rPr>
        <w:t xml:space="preserve">W przypadku modeli AIRB zachowana jest niezależność Jednostki Walidacyjnej w strukturach organizacyjnych Banku lub spółki Grupy w stosunku do jednostek zaangażowanych w proces </w:t>
      </w:r>
      <w:r w:rsidRPr="00977E53">
        <w:rPr>
          <w:rFonts w:cs="Arial"/>
          <w:snapToGrid w:val="0"/>
          <w:color w:val="000000" w:themeColor="text1"/>
          <w:sz w:val="18"/>
          <w:szCs w:val="18"/>
          <w:lang w:eastAsia="en-US"/>
        </w:rPr>
        <w:lastRenderedPageBreak/>
        <w:t>budowy/utrzymania modelu, tzn. jego właściciela oraz użytkowników.</w:t>
      </w:r>
      <w:r w:rsidRPr="00977E53">
        <w:rPr>
          <w:rFonts w:eastAsia="Calibri" w:cs="Arial"/>
          <w:color w:val="000000" w:themeColor="text1"/>
          <w:sz w:val="18"/>
          <w:szCs w:val="18"/>
          <w:lang w:eastAsia="en-US"/>
        </w:rPr>
        <w:t xml:space="preserve"> W mBanku za walidację odpowiedzialny jest Wydział Walidacji (Jednostka Walidacyjna). </w:t>
      </w:r>
    </w:p>
    <w:p w14:paraId="2A5044B4" w14:textId="77777777" w:rsidR="008E7C82" w:rsidRPr="00977E53" w:rsidRDefault="008E7C82" w:rsidP="008E7C82">
      <w:pPr>
        <w:spacing w:after="120"/>
        <w:jc w:val="both"/>
        <w:rPr>
          <w:rFonts w:cs="Arial"/>
          <w:snapToGrid w:val="0"/>
          <w:color w:val="000000" w:themeColor="text1"/>
          <w:sz w:val="18"/>
          <w:szCs w:val="18"/>
          <w:lang w:eastAsia="en-US"/>
        </w:rPr>
      </w:pPr>
      <w:r w:rsidRPr="00977E53">
        <w:rPr>
          <w:rFonts w:cs="Arial"/>
          <w:color w:val="000000" w:themeColor="text1"/>
          <w:sz w:val="18"/>
          <w:szCs w:val="18"/>
          <w:lang w:eastAsia="en-US"/>
        </w:rPr>
        <w:t xml:space="preserve">Walidacja przeprowadzana przez Jednostkę Walidacyjną obejmuje ocenę </w:t>
      </w:r>
      <w:r w:rsidRPr="00977E53">
        <w:rPr>
          <w:rFonts w:cs="Arial"/>
          <w:snapToGrid w:val="0"/>
          <w:color w:val="000000" w:themeColor="text1"/>
          <w:sz w:val="18"/>
          <w:szCs w:val="18"/>
          <w:lang w:eastAsia="en-US"/>
        </w:rPr>
        <w:t xml:space="preserve">modeli, ich implementacji oraz procesu ich stosowania. </w:t>
      </w:r>
    </w:p>
    <w:p w14:paraId="64686968" w14:textId="590E2B23" w:rsidR="008E7C82" w:rsidRPr="00977E53" w:rsidRDefault="008E7C82" w:rsidP="008E7C82">
      <w:pPr>
        <w:spacing w:after="120"/>
        <w:jc w:val="both"/>
        <w:rPr>
          <w:rFonts w:eastAsia="Calibri" w:cs="Arial"/>
          <w:color w:val="000000" w:themeColor="text1"/>
          <w:sz w:val="18"/>
          <w:szCs w:val="18"/>
          <w:lang w:eastAsia="en-US"/>
        </w:rPr>
      </w:pPr>
      <w:r w:rsidRPr="00977E53">
        <w:rPr>
          <w:rFonts w:cs="Arial"/>
          <w:color w:val="000000" w:themeColor="text1"/>
          <w:sz w:val="18"/>
          <w:szCs w:val="18"/>
          <w:lang w:eastAsia="en-US"/>
        </w:rPr>
        <w:t>W zależności od istotności i złożoności modelu, a także rodzaju przeprowadzanego badania, walidacja ma charakter zaawansowany (obejmuje zarówno elementy ilościowe, jak i jakościowe) lub podstawowy (jest</w:t>
      </w:r>
      <w:r w:rsidR="00BA0DCC">
        <w:rPr>
          <w:rFonts w:cs="Arial"/>
          <w:color w:val="000000" w:themeColor="text1"/>
          <w:sz w:val="18"/>
          <w:szCs w:val="18"/>
          <w:lang w:eastAsia="en-US"/>
        </w:rPr>
        <w:t> </w:t>
      </w:r>
      <w:r w:rsidRPr="00977E53">
        <w:rPr>
          <w:rFonts w:cs="Arial"/>
          <w:color w:val="000000" w:themeColor="text1"/>
          <w:sz w:val="18"/>
          <w:szCs w:val="18"/>
          <w:lang w:eastAsia="en-US"/>
        </w:rPr>
        <w:t>skoncentrowana głównie na analizach ilościowych oraz wybranych elementach jakościowych). Wyniki walidacji są udokumentowane w formie raportu walidacyjnego, który zawiera ocenę modelu między innymi na potrzeby dalszego zatwierdzenia modelu oraz ewentualne zalecenia, w postaci działań zaradczych bądź</w:t>
      </w:r>
      <w:r w:rsidR="00BA0DCC">
        <w:rPr>
          <w:rFonts w:cs="Arial"/>
          <w:color w:val="000000" w:themeColor="text1"/>
          <w:sz w:val="18"/>
          <w:szCs w:val="18"/>
          <w:lang w:eastAsia="en-US"/>
        </w:rPr>
        <w:t> </w:t>
      </w:r>
      <w:r w:rsidRPr="00977E53">
        <w:rPr>
          <w:rFonts w:cs="Arial"/>
          <w:color w:val="000000" w:themeColor="text1"/>
          <w:sz w:val="18"/>
          <w:szCs w:val="18"/>
          <w:lang w:eastAsia="en-US"/>
        </w:rPr>
        <w:t>naprawczych, dotyczące stwierdzonych nieprawidłowości</w:t>
      </w:r>
      <w:r w:rsidRPr="00977E53">
        <w:rPr>
          <w:rFonts w:eastAsia="Calibri" w:cs="Arial"/>
          <w:color w:val="000000" w:themeColor="text1"/>
          <w:sz w:val="18"/>
          <w:szCs w:val="18"/>
          <w:lang w:eastAsia="en-US"/>
        </w:rPr>
        <w:t xml:space="preserve">. </w:t>
      </w:r>
    </w:p>
    <w:p w14:paraId="1E56ADD0" w14:textId="1A35565F" w:rsidR="00E332DC" w:rsidRDefault="008E7C82" w:rsidP="008E7C82">
      <w:pPr>
        <w:spacing w:after="120"/>
        <w:jc w:val="both"/>
        <w:rPr>
          <w:rFonts w:eastAsia="Calibri"/>
          <w:color w:val="000000" w:themeColor="text1"/>
          <w:sz w:val="18"/>
          <w:szCs w:val="18"/>
          <w:lang w:eastAsia="en-US"/>
        </w:rPr>
      </w:pPr>
      <w:r w:rsidRPr="00977E53">
        <w:rPr>
          <w:rFonts w:eastAsia="Calibri"/>
          <w:color w:val="000000" w:themeColor="text1"/>
          <w:sz w:val="18"/>
          <w:szCs w:val="18"/>
          <w:lang w:eastAsia="en-US"/>
        </w:rPr>
        <w:t>Zadania walidacyjne realizowane są zgodnie z rocznym planem walidacji. Zarówno plan walidacji, jak</w:t>
      </w:r>
      <w:r w:rsidR="00BA0DCC">
        <w:rPr>
          <w:rFonts w:eastAsia="Calibri"/>
          <w:color w:val="000000" w:themeColor="text1"/>
          <w:sz w:val="18"/>
          <w:szCs w:val="18"/>
          <w:lang w:eastAsia="en-US"/>
        </w:rPr>
        <w:t> </w:t>
      </w:r>
      <w:r w:rsidRPr="00977E53">
        <w:rPr>
          <w:rFonts w:eastAsia="Calibri"/>
          <w:color w:val="000000" w:themeColor="text1"/>
          <w:sz w:val="18"/>
          <w:szCs w:val="18"/>
          <w:lang w:eastAsia="en-US"/>
        </w:rPr>
        <w:t>i wyniki przeprowadzonych zadań walidacyjnych zatwierdzane są przez Komitet Ryzyka Modeli</w:t>
      </w:r>
      <w:r w:rsidR="0032584F" w:rsidRPr="00977E53">
        <w:rPr>
          <w:rFonts w:eastAsia="Calibri"/>
          <w:color w:val="000000" w:themeColor="text1"/>
          <w:sz w:val="18"/>
          <w:szCs w:val="18"/>
          <w:lang w:eastAsia="en-US"/>
        </w:rPr>
        <w:t xml:space="preserve">. </w:t>
      </w:r>
    </w:p>
    <w:p w14:paraId="7E56CC1E" w14:textId="77777777" w:rsidR="0032584F" w:rsidRPr="00977E53" w:rsidRDefault="0032584F" w:rsidP="0032584F">
      <w:pPr>
        <w:spacing w:after="120"/>
        <w:jc w:val="both"/>
        <w:rPr>
          <w:rFonts w:eastAsia="Calibri" w:cs="Arial"/>
          <w:b/>
          <w:color w:val="000000" w:themeColor="text1"/>
          <w:sz w:val="18"/>
          <w:szCs w:val="18"/>
          <w:lang w:eastAsia="en-US"/>
        </w:rPr>
      </w:pPr>
      <w:r w:rsidRPr="00977E53">
        <w:rPr>
          <w:rFonts w:eastAsia="Calibri" w:cs="Arial"/>
          <w:b/>
          <w:color w:val="000000" w:themeColor="text1"/>
          <w:sz w:val="18"/>
          <w:szCs w:val="18"/>
          <w:lang w:eastAsia="en-US"/>
        </w:rPr>
        <w:t>Polityka zmian metody IRB</w:t>
      </w:r>
    </w:p>
    <w:p w14:paraId="365B8E3D" w14:textId="4D26AB35" w:rsidR="00FD36AC" w:rsidRDefault="0032584F" w:rsidP="0032584F">
      <w:pPr>
        <w:autoSpaceDE w:val="0"/>
        <w:autoSpaceDN w:val="0"/>
        <w:adjustRightInd w:val="0"/>
        <w:spacing w:after="120"/>
        <w:jc w:val="both"/>
        <w:rPr>
          <w:rFonts w:eastAsia="Calibri"/>
          <w:color w:val="000000" w:themeColor="text1"/>
          <w:sz w:val="18"/>
          <w:szCs w:val="18"/>
        </w:rPr>
      </w:pPr>
      <w:r w:rsidRPr="00977E53">
        <w:rPr>
          <w:rFonts w:eastAsia="Calibri"/>
          <w:color w:val="000000" w:themeColor="text1"/>
          <w:sz w:val="18"/>
          <w:szCs w:val="18"/>
        </w:rPr>
        <w:t>Bank posiada zatwierdzoną przez Zarząd i wdrożoną „Politykę zmian metody IRB”. Zawiera ona wewnętrzne zasady zarządzania zmianami w ramach stosowanej metody IRB, oparte na wytycznych władz nadzorczych i uwzględniające własną specyfikę organizacyjną. Polityka określa etapy procesu zarządzania zmianami, definiuje role i odpowiedzialności, szczegółowo charakteryzuje zasady klasyfikacji zmian, w szczególności kryteria klasyfikacji w oparciu o wytyczne Europejskiego Banku Centralnego</w:t>
      </w:r>
      <w:r w:rsidR="000F75B9" w:rsidRPr="00977E53">
        <w:rPr>
          <w:rFonts w:eastAsia="Calibri"/>
          <w:color w:val="000000" w:themeColor="text1"/>
          <w:sz w:val="18"/>
          <w:szCs w:val="18"/>
        </w:rPr>
        <w:t>.</w:t>
      </w:r>
    </w:p>
    <w:p w14:paraId="716C986B" w14:textId="1E470044" w:rsidR="000F75B9" w:rsidRPr="00977E53" w:rsidRDefault="000F75B9" w:rsidP="0084313B">
      <w:pPr>
        <w:pStyle w:val="Akapitzlist"/>
        <w:numPr>
          <w:ilvl w:val="2"/>
          <w:numId w:val="14"/>
        </w:numPr>
        <w:spacing w:before="120" w:after="120"/>
        <w:ind w:left="709" w:hanging="709"/>
        <w:rPr>
          <w:b/>
          <w:color w:val="000000" w:themeColor="text1"/>
          <w:sz w:val="18"/>
          <w:szCs w:val="18"/>
          <w:lang w:eastAsia="en-US"/>
        </w:rPr>
      </w:pPr>
      <w:r w:rsidRPr="00977E53">
        <w:rPr>
          <w:b/>
          <w:color w:val="000000" w:themeColor="text1"/>
          <w:sz w:val="18"/>
          <w:szCs w:val="18"/>
          <w:lang w:eastAsia="en-US"/>
        </w:rPr>
        <w:t xml:space="preserve">Zasady wyznaczania </w:t>
      </w:r>
      <w:r w:rsidR="00B8032F" w:rsidRPr="00977E53">
        <w:rPr>
          <w:b/>
          <w:color w:val="000000" w:themeColor="text1"/>
          <w:sz w:val="18"/>
          <w:szCs w:val="18"/>
          <w:lang w:eastAsia="en-US"/>
        </w:rPr>
        <w:t>oczekiwanych strat</w:t>
      </w:r>
      <w:r w:rsidRPr="00977E53">
        <w:rPr>
          <w:b/>
          <w:color w:val="000000" w:themeColor="text1"/>
          <w:sz w:val="18"/>
          <w:szCs w:val="18"/>
          <w:lang w:eastAsia="en-US"/>
        </w:rPr>
        <w:t xml:space="preserve"> kredytowych</w:t>
      </w:r>
    </w:p>
    <w:p w14:paraId="2D78C487" w14:textId="239C3687" w:rsidR="0032584F" w:rsidRPr="00977E53" w:rsidRDefault="00B8032F" w:rsidP="0032584F">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Sposób wyznaczania oczekiwanych strat kredytowych zgodny jest z wymogami Międzynarodowych Standardów Sprawozdawczości Finansowej. Wszystkie zasady i definicje dotyczące wyznaczania oczekiwanych strat kredytowych w mBanku są zgodne z polskim prawem bankowym i wymaganiami Komisji Nadzoru Finansowego</w:t>
      </w:r>
      <w:r w:rsidR="0032584F" w:rsidRPr="00977E53">
        <w:rPr>
          <w:rFonts w:eastAsia="Calibri"/>
          <w:color w:val="000000" w:themeColor="text1"/>
          <w:sz w:val="18"/>
          <w:szCs w:val="18"/>
        </w:rPr>
        <w:t>.</w:t>
      </w:r>
    </w:p>
    <w:p w14:paraId="1F857B83" w14:textId="27B33AC4" w:rsidR="000F75B9" w:rsidRPr="00977E53" w:rsidRDefault="0084313B" w:rsidP="000316FB">
      <w:pPr>
        <w:autoSpaceDE w:val="0"/>
        <w:autoSpaceDN w:val="0"/>
        <w:adjustRightInd w:val="0"/>
        <w:spacing w:after="120"/>
        <w:ind w:left="851" w:hanging="851"/>
        <w:jc w:val="both"/>
        <w:rPr>
          <w:rFonts w:eastAsia="Calibri" w:cs="Verdana"/>
          <w:b/>
          <w:bCs/>
          <w:color w:val="000000" w:themeColor="text1"/>
          <w:sz w:val="18"/>
          <w:szCs w:val="18"/>
        </w:rPr>
      </w:pPr>
      <w:r w:rsidRPr="00977E53">
        <w:rPr>
          <w:rFonts w:eastAsia="Calibri" w:cs="Verdana"/>
          <w:b/>
          <w:bCs/>
          <w:color w:val="000000" w:themeColor="text1"/>
          <w:sz w:val="18"/>
          <w:szCs w:val="18"/>
        </w:rPr>
        <w:t>3.3</w:t>
      </w:r>
      <w:r w:rsidR="000F75B9" w:rsidRPr="00977E53">
        <w:rPr>
          <w:rFonts w:eastAsia="Calibri" w:cs="Verdana"/>
          <w:b/>
          <w:bCs/>
          <w:color w:val="000000" w:themeColor="text1"/>
          <w:sz w:val="18"/>
          <w:szCs w:val="18"/>
        </w:rPr>
        <w:t>.6.1</w:t>
      </w:r>
      <w:r w:rsidR="000316FB">
        <w:rPr>
          <w:rFonts w:eastAsia="Calibri" w:cs="Verdana"/>
          <w:b/>
          <w:bCs/>
          <w:color w:val="000000" w:themeColor="text1"/>
          <w:sz w:val="18"/>
          <w:szCs w:val="18"/>
        </w:rPr>
        <w:tab/>
      </w:r>
      <w:r w:rsidR="000F75B9" w:rsidRPr="00977E53">
        <w:rPr>
          <w:rFonts w:eastAsia="Calibri" w:cs="Verdana"/>
          <w:b/>
          <w:bCs/>
          <w:color w:val="000000" w:themeColor="text1"/>
          <w:sz w:val="18"/>
          <w:szCs w:val="18"/>
        </w:rPr>
        <w:t>Zasady klasyfikacji ekspozycji do koszyków</w:t>
      </w:r>
    </w:p>
    <w:p w14:paraId="54544CE8" w14:textId="77777777" w:rsidR="0032584F" w:rsidRPr="00977E53" w:rsidRDefault="0032584F" w:rsidP="0032584F">
      <w:pPr>
        <w:autoSpaceDE w:val="0"/>
        <w:autoSpaceDN w:val="0"/>
        <w:adjustRightInd w:val="0"/>
        <w:spacing w:after="120"/>
        <w:jc w:val="both"/>
        <w:rPr>
          <w:rFonts w:eastAsia="Calibri"/>
          <w:color w:val="000000" w:themeColor="text1"/>
          <w:sz w:val="18"/>
          <w:szCs w:val="18"/>
        </w:rPr>
      </w:pPr>
      <w:r w:rsidRPr="00977E53">
        <w:rPr>
          <w:rFonts w:eastAsia="Calibri"/>
          <w:color w:val="000000" w:themeColor="text1"/>
          <w:sz w:val="18"/>
          <w:szCs w:val="18"/>
        </w:rPr>
        <w:t>Bank realizując postanowienia Międzynarodowych Standardów Sprawozdawczości Finansowej klasyfikuje ekspozycje kredytowe do koszyków (ang. stage):</w:t>
      </w:r>
    </w:p>
    <w:p w14:paraId="411753BF" w14:textId="77777777" w:rsidR="0032584F" w:rsidRPr="00977E53" w:rsidRDefault="0032584F" w:rsidP="00526DF1">
      <w:pPr>
        <w:numPr>
          <w:ilvl w:val="0"/>
          <w:numId w:val="60"/>
        </w:numPr>
        <w:autoSpaceDE w:val="0"/>
        <w:autoSpaceDN w:val="0"/>
        <w:adjustRightInd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Koszyk 1 – ekspozycje, dla których ryzyko nie zwiększyło się istotnie od momentu początkowego ujęcia w portfelu kredytowym (sytuacja normalna),</w:t>
      </w:r>
    </w:p>
    <w:p w14:paraId="36F49CB4" w14:textId="77777777" w:rsidR="0032584F" w:rsidRPr="00977E53" w:rsidRDefault="0032584F" w:rsidP="00526DF1">
      <w:pPr>
        <w:numPr>
          <w:ilvl w:val="0"/>
          <w:numId w:val="60"/>
        </w:numPr>
        <w:autoSpaceDE w:val="0"/>
        <w:autoSpaceDN w:val="0"/>
        <w:adjustRightInd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Koszyk 2 – ekspozycje, dla których na datę raportową stwierdzono istotne pogorszenie jakości kredytowej w stosunku do daty początkowego ujęcia,</w:t>
      </w:r>
    </w:p>
    <w:p w14:paraId="612C88D2" w14:textId="1055CF49" w:rsidR="0032584F" w:rsidRPr="00977E53" w:rsidRDefault="0032584F" w:rsidP="00526DF1">
      <w:pPr>
        <w:numPr>
          <w:ilvl w:val="0"/>
          <w:numId w:val="60"/>
        </w:numPr>
        <w:autoSpaceDE w:val="0"/>
        <w:autoSpaceDN w:val="0"/>
        <w:adjustRightInd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 xml:space="preserve">Koszyk 3 – ekspozycje, </w:t>
      </w:r>
      <w:r w:rsidR="00027155">
        <w:rPr>
          <w:rFonts w:eastAsia="Calibri"/>
          <w:color w:val="000000" w:themeColor="text1"/>
          <w:sz w:val="18"/>
          <w:szCs w:val="18"/>
        </w:rPr>
        <w:t>dla</w:t>
      </w:r>
      <w:r w:rsidRPr="00977E53">
        <w:rPr>
          <w:rFonts w:eastAsia="Calibri"/>
          <w:color w:val="000000" w:themeColor="text1"/>
          <w:sz w:val="18"/>
          <w:szCs w:val="18"/>
        </w:rPr>
        <w:t xml:space="preserve"> których została stwierdzona przesłanka utraty wartości,</w:t>
      </w:r>
    </w:p>
    <w:p w14:paraId="0489BB8E" w14:textId="77777777" w:rsidR="0032584F" w:rsidRPr="00977E53" w:rsidRDefault="0032584F" w:rsidP="00526DF1">
      <w:pPr>
        <w:numPr>
          <w:ilvl w:val="0"/>
          <w:numId w:val="60"/>
        </w:numPr>
        <w:autoSpaceDE w:val="0"/>
        <w:autoSpaceDN w:val="0"/>
        <w:adjustRightInd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POCI (ang.</w:t>
      </w:r>
      <w:r w:rsidRPr="00977E53">
        <w:rPr>
          <w:color w:val="000000" w:themeColor="text1"/>
          <w:sz w:val="18"/>
          <w:szCs w:val="18"/>
        </w:rPr>
        <w:t xml:space="preserve"> </w:t>
      </w:r>
      <w:r w:rsidRPr="00977E53">
        <w:rPr>
          <w:rFonts w:eastAsia="Calibri"/>
          <w:color w:val="000000" w:themeColor="text1"/>
          <w:sz w:val="18"/>
          <w:szCs w:val="18"/>
        </w:rPr>
        <w:t>purchased or originated credit-impaired asset) – aktywa, dla których przesłanka utraty wartości została zidentyfikowana na moment początkowego ujęcia.</w:t>
      </w:r>
    </w:p>
    <w:p w14:paraId="32ECF334" w14:textId="77777777" w:rsidR="0032584F" w:rsidRPr="00977E53" w:rsidRDefault="0032584F" w:rsidP="0032584F">
      <w:pPr>
        <w:autoSpaceDE w:val="0"/>
        <w:autoSpaceDN w:val="0"/>
        <w:adjustRightInd w:val="0"/>
        <w:spacing w:after="120"/>
        <w:jc w:val="both"/>
        <w:rPr>
          <w:rFonts w:eastAsia="Calibri"/>
          <w:color w:val="000000" w:themeColor="text1"/>
          <w:sz w:val="18"/>
          <w:szCs w:val="18"/>
        </w:rPr>
      </w:pPr>
      <w:r w:rsidRPr="00977E53">
        <w:rPr>
          <w:rFonts w:eastAsia="Calibri"/>
          <w:color w:val="000000" w:themeColor="text1"/>
          <w:sz w:val="18"/>
          <w:szCs w:val="18"/>
        </w:rPr>
        <w:t>Przypisanie ekspozycji do koszyka 2 odbywa się w Banku zgodnie z algorytmem tzw. Logiki Transferu, określającym przesłanki jakościowe oraz ilościową, mówiące o znaczącym wzroście ryzyka kredytowego, zaś o klasyfikacji do koszyka 3 decydują przesłanki utraty wartości.</w:t>
      </w:r>
    </w:p>
    <w:p w14:paraId="473AE9B5" w14:textId="58630901" w:rsidR="0032584F" w:rsidRPr="00977E53" w:rsidRDefault="0041350C" w:rsidP="0032584F">
      <w:pPr>
        <w:spacing w:after="120"/>
        <w:jc w:val="both"/>
        <w:rPr>
          <w:rFonts w:eastAsia="Calibri"/>
          <w:color w:val="000000" w:themeColor="text1"/>
          <w:sz w:val="18"/>
          <w:szCs w:val="18"/>
        </w:rPr>
      </w:pPr>
      <w:r w:rsidRPr="0041350C">
        <w:rPr>
          <w:rFonts w:eastAsia="Calibri"/>
          <w:color w:val="000000" w:themeColor="text1"/>
          <w:sz w:val="18"/>
          <w:szCs w:val="18"/>
        </w:rPr>
        <w:t>Po ustaniu przesłanki ilościowej lub przesłanek jakościowych, na podstawie których ekspozycja została zaklasyfikowana do Koszyka 2 na datę raportową (klient i przypisana do niego ekspozycja nie ma aktywnej żadnej z przesłanek jakościowych Logiki Transferu ani przesłanki ilościowej), ekspozycja zmieni kwalifikację z Koszyka 2 na Koszyk 1. Dodatkowo, w przypadku kredytów, wobec których zastosowano narzędzia pomocowe (forborne) warunkiem przeklasyfikowania do Koszyka 1 jest upłynięcie okresu 24-miesiący, w trakcie których kredyt jest prawidłowo obsługiwany (ang. performing).</w:t>
      </w:r>
    </w:p>
    <w:p w14:paraId="3A249A19" w14:textId="7FD883E1" w:rsidR="0032584F" w:rsidRPr="00977E53" w:rsidRDefault="0032584F" w:rsidP="0032584F">
      <w:pPr>
        <w:spacing w:after="120"/>
        <w:jc w:val="both"/>
        <w:rPr>
          <w:rFonts w:ascii="Calibri" w:eastAsia="Calibri" w:hAnsi="Calibri"/>
          <w:color w:val="000000" w:themeColor="text1"/>
          <w:sz w:val="18"/>
          <w:szCs w:val="18"/>
        </w:rPr>
      </w:pPr>
      <w:r w:rsidRPr="00977E53">
        <w:rPr>
          <w:rFonts w:eastAsia="Calibri"/>
          <w:color w:val="000000" w:themeColor="text1"/>
          <w:sz w:val="18"/>
          <w:szCs w:val="18"/>
        </w:rPr>
        <w:t>Możliwe jest również przeklasyfikowanie klienta z koszyka 3 do koszyka 2 lub koszyka 1 dla detalicznej części portfela w momencie ustania przesłanki niewykonania zobowiązania</w:t>
      </w:r>
      <w:r w:rsidR="00481978">
        <w:rPr>
          <w:rFonts w:eastAsia="Calibri"/>
          <w:color w:val="000000" w:themeColor="text1"/>
          <w:sz w:val="18"/>
          <w:szCs w:val="18"/>
        </w:rPr>
        <w:t xml:space="preserve"> </w:t>
      </w:r>
      <w:r w:rsidR="00481978" w:rsidRPr="00481978">
        <w:rPr>
          <w:rFonts w:eastAsia="Calibri"/>
          <w:color w:val="000000" w:themeColor="text1"/>
          <w:sz w:val="18"/>
          <w:szCs w:val="18"/>
        </w:rPr>
        <w:t>(za wyjątkiem przesłanki restrukturyzacja),</w:t>
      </w:r>
      <w:r w:rsidRPr="00977E53">
        <w:rPr>
          <w:rFonts w:eastAsia="Calibri"/>
          <w:color w:val="000000" w:themeColor="text1"/>
          <w:sz w:val="18"/>
          <w:szCs w:val="18"/>
        </w:rPr>
        <w:t xml:space="preserve"> a w przypadku klienta korporacyjnego, w momencie gdy:</w:t>
      </w:r>
    </w:p>
    <w:p w14:paraId="293886A7" w14:textId="247C6F2A" w:rsidR="0032584F" w:rsidRPr="00977E53" w:rsidRDefault="00CF742E" w:rsidP="00CF742E">
      <w:pPr>
        <w:spacing w:after="120"/>
        <w:ind w:left="284" w:hanging="284"/>
        <w:jc w:val="both"/>
        <w:rPr>
          <w:rFonts w:eastAsia="Calibri"/>
          <w:color w:val="000000" w:themeColor="text1"/>
          <w:sz w:val="18"/>
          <w:szCs w:val="18"/>
        </w:rPr>
      </w:pPr>
      <w:r>
        <w:rPr>
          <w:rFonts w:eastAsia="Calibri"/>
          <w:color w:val="000000" w:themeColor="text1"/>
          <w:sz w:val="18"/>
          <w:szCs w:val="18"/>
        </w:rPr>
        <w:t>1.</w:t>
      </w:r>
      <w:r>
        <w:rPr>
          <w:rFonts w:eastAsia="Calibri"/>
          <w:color w:val="000000" w:themeColor="text1"/>
          <w:sz w:val="18"/>
          <w:szCs w:val="18"/>
        </w:rPr>
        <w:tab/>
      </w:r>
      <w:r w:rsidR="0032584F" w:rsidRPr="00977E53">
        <w:rPr>
          <w:rFonts w:eastAsia="Calibri"/>
          <w:color w:val="000000" w:themeColor="text1"/>
          <w:sz w:val="18"/>
          <w:szCs w:val="18"/>
        </w:rPr>
        <w:t>ustały przesłanki niewykonania zobowiązania (loss event-y), które powodowały klasyfikację klienta do</w:t>
      </w:r>
      <w:r w:rsidR="0023345A">
        <w:rPr>
          <w:rFonts w:eastAsia="Calibri"/>
          <w:color w:val="000000" w:themeColor="text1"/>
          <w:sz w:val="18"/>
          <w:szCs w:val="18"/>
        </w:rPr>
        <w:t> </w:t>
      </w:r>
      <w:r w:rsidR="0032584F" w:rsidRPr="00977E53">
        <w:rPr>
          <w:rFonts w:eastAsia="Calibri"/>
          <w:color w:val="000000" w:themeColor="text1"/>
          <w:sz w:val="18"/>
          <w:szCs w:val="18"/>
        </w:rPr>
        <w:t>koszyka 3</w:t>
      </w:r>
      <w:r w:rsidR="0023345A">
        <w:rPr>
          <w:rFonts w:eastAsia="Calibri"/>
          <w:color w:val="000000" w:themeColor="text1"/>
          <w:sz w:val="18"/>
          <w:szCs w:val="18"/>
        </w:rPr>
        <w:t>,</w:t>
      </w:r>
      <w:r w:rsidR="0032584F" w:rsidRPr="00977E53">
        <w:rPr>
          <w:rFonts w:eastAsia="Calibri"/>
          <w:color w:val="000000" w:themeColor="text1"/>
          <w:sz w:val="18"/>
          <w:szCs w:val="18"/>
        </w:rPr>
        <w:t xml:space="preserve"> oraz</w:t>
      </w:r>
    </w:p>
    <w:p w14:paraId="789278C6" w14:textId="2FE88D69" w:rsidR="0032584F" w:rsidRPr="00977E53" w:rsidRDefault="00CF742E" w:rsidP="00CF742E">
      <w:pPr>
        <w:spacing w:after="120"/>
        <w:ind w:left="284" w:hanging="284"/>
        <w:jc w:val="both"/>
        <w:rPr>
          <w:rFonts w:eastAsia="Calibri"/>
          <w:color w:val="000000" w:themeColor="text1"/>
          <w:sz w:val="18"/>
          <w:szCs w:val="18"/>
        </w:rPr>
      </w:pPr>
      <w:r>
        <w:rPr>
          <w:rFonts w:eastAsia="Calibri"/>
          <w:color w:val="000000" w:themeColor="text1"/>
          <w:sz w:val="18"/>
          <w:szCs w:val="18"/>
        </w:rPr>
        <w:t>2.</w:t>
      </w:r>
      <w:r>
        <w:rPr>
          <w:rFonts w:eastAsia="Calibri"/>
          <w:color w:val="000000" w:themeColor="text1"/>
          <w:sz w:val="18"/>
          <w:szCs w:val="18"/>
        </w:rPr>
        <w:tab/>
      </w:r>
      <w:r w:rsidR="0032584F" w:rsidRPr="00977E53">
        <w:rPr>
          <w:rFonts w:eastAsia="Calibri"/>
          <w:color w:val="000000" w:themeColor="text1"/>
          <w:sz w:val="18"/>
          <w:szCs w:val="18"/>
        </w:rPr>
        <w:t>nastąpiła poprawa sytuacji ekonomiczno-finansowej dłużnika, w stopniu dającym wysokie prawdopodobieństwo spłaty całości zobowiązań kredytowych, według warunków wynikających z umowy pierwotnej lub z umowy określającej warunki restrukturyzacji</w:t>
      </w:r>
      <w:r w:rsidR="0023345A">
        <w:rPr>
          <w:rFonts w:eastAsia="Calibri"/>
          <w:color w:val="000000" w:themeColor="text1"/>
          <w:sz w:val="18"/>
          <w:szCs w:val="18"/>
        </w:rPr>
        <w:t>,</w:t>
      </w:r>
      <w:r w:rsidR="0032584F" w:rsidRPr="00977E53">
        <w:rPr>
          <w:rFonts w:eastAsia="Calibri"/>
          <w:color w:val="000000" w:themeColor="text1"/>
          <w:sz w:val="18"/>
          <w:szCs w:val="18"/>
        </w:rPr>
        <w:t xml:space="preserve"> oraz</w:t>
      </w:r>
    </w:p>
    <w:p w14:paraId="26304868" w14:textId="139E3B44" w:rsidR="0032584F" w:rsidRPr="00977E53" w:rsidRDefault="00CF742E" w:rsidP="00CF742E">
      <w:pPr>
        <w:spacing w:after="120"/>
        <w:ind w:left="284" w:hanging="284"/>
        <w:jc w:val="both"/>
        <w:rPr>
          <w:rFonts w:eastAsia="Calibri"/>
          <w:color w:val="000000" w:themeColor="text1"/>
          <w:sz w:val="18"/>
          <w:szCs w:val="18"/>
        </w:rPr>
      </w:pPr>
      <w:r>
        <w:rPr>
          <w:rFonts w:eastAsia="Calibri"/>
          <w:color w:val="000000" w:themeColor="text1"/>
          <w:sz w:val="18"/>
          <w:szCs w:val="18"/>
        </w:rPr>
        <w:t>3.</w:t>
      </w:r>
      <w:r>
        <w:rPr>
          <w:rFonts w:eastAsia="Calibri"/>
          <w:color w:val="000000" w:themeColor="text1"/>
          <w:sz w:val="18"/>
          <w:szCs w:val="18"/>
        </w:rPr>
        <w:tab/>
      </w:r>
      <w:r w:rsidR="0032584F" w:rsidRPr="00977E53">
        <w:rPr>
          <w:rFonts w:eastAsia="Calibri"/>
          <w:color w:val="000000" w:themeColor="text1"/>
          <w:sz w:val="18"/>
          <w:szCs w:val="18"/>
        </w:rPr>
        <w:t>nastąpiła spłata zadłużenia przeterminowanego</w:t>
      </w:r>
      <w:r w:rsidR="0023345A">
        <w:rPr>
          <w:rFonts w:eastAsia="Calibri"/>
          <w:color w:val="000000" w:themeColor="text1"/>
          <w:sz w:val="18"/>
          <w:szCs w:val="18"/>
        </w:rPr>
        <w:t>,</w:t>
      </w:r>
      <w:r w:rsidR="0032584F" w:rsidRPr="00977E53">
        <w:rPr>
          <w:rFonts w:eastAsia="Calibri"/>
          <w:color w:val="000000" w:themeColor="text1"/>
          <w:sz w:val="18"/>
          <w:szCs w:val="18"/>
        </w:rPr>
        <w:t xml:space="preserve"> oraz </w:t>
      </w:r>
    </w:p>
    <w:p w14:paraId="255676A7" w14:textId="75E28E89" w:rsidR="0032584F" w:rsidRPr="00977E53" w:rsidRDefault="00CF742E" w:rsidP="00CF742E">
      <w:pPr>
        <w:spacing w:after="120"/>
        <w:ind w:left="284" w:hanging="284"/>
        <w:jc w:val="both"/>
        <w:rPr>
          <w:rFonts w:eastAsia="Calibri"/>
          <w:color w:val="000000" w:themeColor="text1"/>
          <w:sz w:val="18"/>
          <w:szCs w:val="18"/>
        </w:rPr>
      </w:pPr>
      <w:r>
        <w:rPr>
          <w:rFonts w:eastAsia="Calibri"/>
          <w:color w:val="000000" w:themeColor="text1"/>
          <w:sz w:val="18"/>
          <w:szCs w:val="18"/>
        </w:rPr>
        <w:t>4.</w:t>
      </w:r>
      <w:r>
        <w:rPr>
          <w:rFonts w:eastAsia="Calibri"/>
          <w:color w:val="000000" w:themeColor="text1"/>
          <w:sz w:val="18"/>
          <w:szCs w:val="18"/>
        </w:rPr>
        <w:tab/>
      </w:r>
      <w:r w:rsidR="0032584F" w:rsidRPr="00977E53">
        <w:rPr>
          <w:rFonts w:eastAsia="Calibri"/>
          <w:color w:val="000000" w:themeColor="text1"/>
          <w:sz w:val="18"/>
          <w:szCs w:val="18"/>
        </w:rPr>
        <w:t>zadłużenie jest terminowo obsługiwane przez co najmniej 12 miesięcy po zmianie warunków umownych, lub</w:t>
      </w:r>
    </w:p>
    <w:p w14:paraId="6E6C896F" w14:textId="61BFA47F" w:rsidR="00853BD8" w:rsidRPr="00977E53" w:rsidRDefault="00CF742E" w:rsidP="00CF742E">
      <w:pPr>
        <w:spacing w:after="120"/>
        <w:ind w:left="284" w:hanging="284"/>
        <w:jc w:val="both"/>
        <w:rPr>
          <w:rFonts w:eastAsia="Calibri"/>
          <w:color w:val="000000" w:themeColor="text1"/>
          <w:sz w:val="18"/>
          <w:szCs w:val="18"/>
        </w:rPr>
      </w:pPr>
      <w:r>
        <w:rPr>
          <w:rFonts w:eastAsia="Calibri"/>
          <w:color w:val="000000" w:themeColor="text1"/>
          <w:sz w:val="18"/>
          <w:szCs w:val="18"/>
        </w:rPr>
        <w:lastRenderedPageBreak/>
        <w:t>5.</w:t>
      </w:r>
      <w:r>
        <w:rPr>
          <w:rFonts w:eastAsia="Calibri"/>
          <w:color w:val="000000" w:themeColor="text1"/>
          <w:sz w:val="18"/>
          <w:szCs w:val="18"/>
        </w:rPr>
        <w:tab/>
      </w:r>
      <w:r w:rsidR="0032584F" w:rsidRPr="00977E53">
        <w:rPr>
          <w:rFonts w:eastAsia="Calibri"/>
          <w:color w:val="000000" w:themeColor="text1"/>
          <w:sz w:val="18"/>
          <w:szCs w:val="18"/>
        </w:rPr>
        <w:t>saldo zobowiązań kredytowych i niekredytowych klienta wynosi zero, na skutek: całkowitej ich spłaty przez klienta, odzyskania wierzytelności Banku na skutek podjętych działań windykacyjnych lub</w:t>
      </w:r>
      <w:r w:rsidR="00BD144C">
        <w:rPr>
          <w:rFonts w:eastAsia="Calibri"/>
          <w:color w:val="000000" w:themeColor="text1"/>
          <w:sz w:val="18"/>
          <w:szCs w:val="18"/>
        </w:rPr>
        <w:t> </w:t>
      </w:r>
      <w:r w:rsidR="0032584F" w:rsidRPr="00977E53">
        <w:rPr>
          <w:rFonts w:eastAsia="Calibri"/>
          <w:color w:val="000000" w:themeColor="text1"/>
          <w:sz w:val="18"/>
          <w:szCs w:val="18"/>
        </w:rPr>
        <w:t>spisania wierzytelności</w:t>
      </w:r>
      <w:r w:rsidR="00853BD8" w:rsidRPr="00977E53">
        <w:rPr>
          <w:rFonts w:eastAsia="Calibri"/>
          <w:color w:val="000000" w:themeColor="text1"/>
          <w:sz w:val="18"/>
          <w:szCs w:val="18"/>
        </w:rPr>
        <w:t>.</w:t>
      </w:r>
    </w:p>
    <w:p w14:paraId="3EEA14EC" w14:textId="63992CB5" w:rsidR="000F75B9" w:rsidRPr="00977E53" w:rsidRDefault="0084313B" w:rsidP="000316FB">
      <w:pPr>
        <w:autoSpaceDE w:val="0"/>
        <w:autoSpaceDN w:val="0"/>
        <w:adjustRightInd w:val="0"/>
        <w:spacing w:after="120"/>
        <w:ind w:left="1134" w:hanging="1134"/>
        <w:jc w:val="both"/>
        <w:rPr>
          <w:rFonts w:eastAsia="Calibri" w:cs="Verdana"/>
          <w:b/>
          <w:bCs/>
          <w:color w:val="000000" w:themeColor="text1"/>
          <w:sz w:val="18"/>
          <w:szCs w:val="18"/>
        </w:rPr>
      </w:pPr>
      <w:r w:rsidRPr="00977E53">
        <w:rPr>
          <w:rFonts w:eastAsia="Calibri" w:cs="Verdana"/>
          <w:b/>
          <w:bCs/>
          <w:color w:val="000000" w:themeColor="text1"/>
          <w:sz w:val="18"/>
          <w:szCs w:val="18"/>
        </w:rPr>
        <w:t>3.3</w:t>
      </w:r>
      <w:r w:rsidR="000F75B9" w:rsidRPr="00977E53">
        <w:rPr>
          <w:rFonts w:eastAsia="Calibri" w:cs="Verdana"/>
          <w:b/>
          <w:bCs/>
          <w:color w:val="000000" w:themeColor="text1"/>
          <w:sz w:val="18"/>
          <w:szCs w:val="18"/>
        </w:rPr>
        <w:t>.6.1.1</w:t>
      </w:r>
      <w:r w:rsidRPr="00977E53">
        <w:rPr>
          <w:rFonts w:eastAsia="Calibri" w:cs="Verdana"/>
          <w:b/>
          <w:bCs/>
          <w:color w:val="000000" w:themeColor="text1"/>
          <w:sz w:val="18"/>
          <w:szCs w:val="18"/>
        </w:rPr>
        <w:t>.</w:t>
      </w:r>
      <w:r w:rsidRPr="00977E53">
        <w:rPr>
          <w:rFonts w:eastAsia="Calibri" w:cs="Verdana"/>
          <w:b/>
          <w:bCs/>
          <w:color w:val="000000" w:themeColor="text1"/>
          <w:sz w:val="18"/>
          <w:szCs w:val="18"/>
        </w:rPr>
        <w:tab/>
      </w:r>
      <w:r w:rsidR="000F75B9" w:rsidRPr="00977E53">
        <w:rPr>
          <w:rFonts w:eastAsia="Calibri" w:cs="Verdana"/>
          <w:b/>
          <w:bCs/>
          <w:color w:val="000000" w:themeColor="text1"/>
          <w:sz w:val="18"/>
          <w:szCs w:val="18"/>
        </w:rPr>
        <w:t>Istotne pogorszenie jakości kredytowej (klasyfikacja do koszyka 2)</w:t>
      </w:r>
    </w:p>
    <w:p w14:paraId="6E7ED3CE" w14:textId="77777777" w:rsidR="0032584F" w:rsidRPr="00977E53" w:rsidRDefault="0032584F" w:rsidP="0032584F">
      <w:pPr>
        <w:autoSpaceDE w:val="0"/>
        <w:autoSpaceDN w:val="0"/>
        <w:adjustRightInd w:val="0"/>
        <w:spacing w:after="120"/>
        <w:jc w:val="both"/>
        <w:rPr>
          <w:rFonts w:eastAsia="Calibri"/>
          <w:color w:val="000000" w:themeColor="text1"/>
          <w:sz w:val="18"/>
          <w:szCs w:val="18"/>
        </w:rPr>
      </w:pPr>
      <w:r w:rsidRPr="00977E53">
        <w:rPr>
          <w:rFonts w:eastAsia="Calibri"/>
          <w:color w:val="000000" w:themeColor="text1"/>
          <w:sz w:val="18"/>
          <w:szCs w:val="18"/>
        </w:rPr>
        <w:t>Identyfikacja istotnego pogorszenia jakości kredytowej aktywa odbywa się na bazie kryteriów ilościowych i jakościowych, przy czym o klasyfikacji aktywa do koszyka 2 decyduje wystąpienie przynajmniej jednego z kryteriów jakościowych lub kryterium ilościowego.</w:t>
      </w:r>
    </w:p>
    <w:p w14:paraId="7624439D" w14:textId="77777777" w:rsidR="009466E3" w:rsidRPr="00977E53" w:rsidRDefault="009466E3" w:rsidP="00EC3937">
      <w:pPr>
        <w:jc w:val="both"/>
        <w:rPr>
          <w:rFonts w:eastAsia="Calibri"/>
          <w:color w:val="000000" w:themeColor="text1"/>
          <w:sz w:val="18"/>
          <w:szCs w:val="18"/>
        </w:rPr>
      </w:pPr>
      <w:r w:rsidRPr="00977E53">
        <w:rPr>
          <w:rFonts w:eastAsia="Calibri"/>
          <w:color w:val="000000" w:themeColor="text1"/>
          <w:sz w:val="18"/>
          <w:szCs w:val="18"/>
        </w:rPr>
        <w:t>Kryteria jakościowe to:</w:t>
      </w:r>
    </w:p>
    <w:p w14:paraId="6842C390" w14:textId="4B014EA1" w:rsidR="009466E3" w:rsidRPr="00EC3937" w:rsidRDefault="009466E3" w:rsidP="00EC3937">
      <w:pPr>
        <w:numPr>
          <w:ilvl w:val="0"/>
          <w:numId w:val="17"/>
        </w:numPr>
        <w:tabs>
          <w:tab w:val="clear" w:pos="1267"/>
        </w:tabs>
        <w:suppressAutoHyphens/>
        <w:ind w:left="284" w:right="-57" w:hanging="284"/>
        <w:jc w:val="both"/>
        <w:rPr>
          <w:rFonts w:cs="Tahoma"/>
          <w:bCs/>
          <w:color w:val="000000" w:themeColor="text1"/>
          <w:sz w:val="18"/>
          <w:szCs w:val="18"/>
        </w:rPr>
      </w:pPr>
      <w:r w:rsidRPr="00EC3937">
        <w:rPr>
          <w:rFonts w:cs="Tahoma"/>
          <w:bCs/>
          <w:color w:val="000000" w:themeColor="text1"/>
          <w:sz w:val="18"/>
          <w:szCs w:val="18"/>
        </w:rPr>
        <w:t>Przeterminowanie należności o więcej niż 30 dni, przy uwzg</w:t>
      </w:r>
      <w:r w:rsidR="004320E9">
        <w:rPr>
          <w:rFonts w:cs="Tahoma"/>
          <w:bCs/>
          <w:color w:val="000000" w:themeColor="text1"/>
          <w:sz w:val="18"/>
          <w:szCs w:val="18"/>
        </w:rPr>
        <w:t>lędnieniu progu materialności (l</w:t>
      </w:r>
      <w:r w:rsidRPr="00EC3937">
        <w:rPr>
          <w:rFonts w:cs="Tahoma"/>
          <w:bCs/>
          <w:color w:val="000000" w:themeColor="text1"/>
          <w:sz w:val="18"/>
          <w:szCs w:val="18"/>
        </w:rPr>
        <w:t>iczba dni opóźnienia w spłacie najstarszej kwoty zaległości danej ekspozycji jest większa lub równa 31 dni. Jednocześnie saldo kapitałowe bądź zaangażowanie pozabilansowe jest równe co najmniej 500 zł w</w:t>
      </w:r>
      <w:r w:rsidR="001D747C" w:rsidRPr="00EC3937">
        <w:rPr>
          <w:rFonts w:cs="Tahoma"/>
          <w:bCs/>
          <w:color w:val="000000" w:themeColor="text1"/>
          <w:sz w:val="18"/>
          <w:szCs w:val="18"/>
        </w:rPr>
        <w:t> </w:t>
      </w:r>
      <w:r w:rsidRPr="00EC3937">
        <w:rPr>
          <w:rFonts w:cs="Tahoma"/>
          <w:bCs/>
          <w:color w:val="000000" w:themeColor="text1"/>
          <w:sz w:val="18"/>
          <w:szCs w:val="18"/>
        </w:rPr>
        <w:t>przypadku ekspozycji detalicznej lub co najmniej 3</w:t>
      </w:r>
      <w:r w:rsidR="001D747C" w:rsidRPr="00EC3937">
        <w:rPr>
          <w:rFonts w:cs="Tahoma"/>
          <w:bCs/>
          <w:color w:val="000000" w:themeColor="text1"/>
          <w:sz w:val="18"/>
          <w:szCs w:val="18"/>
        </w:rPr>
        <w:t> </w:t>
      </w:r>
      <w:r w:rsidRPr="00EC3937">
        <w:rPr>
          <w:rFonts w:cs="Tahoma"/>
          <w:bCs/>
          <w:color w:val="000000" w:themeColor="text1"/>
          <w:sz w:val="18"/>
          <w:szCs w:val="18"/>
        </w:rPr>
        <w:t>000 zł w przypadku ekspozycji korporacyjnej).</w:t>
      </w:r>
    </w:p>
    <w:p w14:paraId="645549F2" w14:textId="77777777" w:rsidR="009466E3" w:rsidRPr="00EC3937" w:rsidRDefault="009466E3" w:rsidP="00EC3937">
      <w:pPr>
        <w:numPr>
          <w:ilvl w:val="0"/>
          <w:numId w:val="17"/>
        </w:numPr>
        <w:tabs>
          <w:tab w:val="clear" w:pos="1267"/>
        </w:tabs>
        <w:suppressAutoHyphens/>
        <w:ind w:left="284" w:right="-57" w:hanging="284"/>
        <w:jc w:val="both"/>
        <w:rPr>
          <w:rFonts w:cs="Tahoma"/>
          <w:bCs/>
          <w:color w:val="000000" w:themeColor="text1"/>
          <w:sz w:val="18"/>
          <w:szCs w:val="18"/>
        </w:rPr>
      </w:pPr>
      <w:r w:rsidRPr="00EC3937">
        <w:rPr>
          <w:rFonts w:cs="Tahoma"/>
          <w:bCs/>
          <w:color w:val="000000" w:themeColor="text1"/>
          <w:sz w:val="18"/>
          <w:szCs w:val="18"/>
        </w:rPr>
        <w:t>Występowanie flagi Forborne (status klienta wskazujący na jego trudności w spłacie zobowiązania kredytowego zgodnie z definicją Forborne stosowaną w Banku).</w:t>
      </w:r>
    </w:p>
    <w:p w14:paraId="3702B290" w14:textId="77777777" w:rsidR="009466E3" w:rsidRPr="00EC3937" w:rsidRDefault="009466E3" w:rsidP="00EC3937">
      <w:pPr>
        <w:numPr>
          <w:ilvl w:val="0"/>
          <w:numId w:val="17"/>
        </w:numPr>
        <w:tabs>
          <w:tab w:val="clear" w:pos="1267"/>
        </w:tabs>
        <w:suppressAutoHyphens/>
        <w:spacing w:after="120"/>
        <w:ind w:left="284" w:right="-57" w:hanging="284"/>
        <w:jc w:val="both"/>
        <w:rPr>
          <w:rFonts w:cs="Tahoma"/>
          <w:bCs/>
          <w:color w:val="000000" w:themeColor="text1"/>
          <w:sz w:val="18"/>
          <w:szCs w:val="18"/>
        </w:rPr>
      </w:pPr>
      <w:r w:rsidRPr="00EC3937">
        <w:rPr>
          <w:rFonts w:cs="Tahoma"/>
          <w:bCs/>
          <w:color w:val="000000" w:themeColor="text1"/>
          <w:sz w:val="18"/>
          <w:szCs w:val="18"/>
        </w:rPr>
        <w:t xml:space="preserve">Występowanie flagi Watch (wewnętrzny proces Banku wskazujący klientów korporacyjnych podlegających szczególnej obserwacji pod względem zmian ich jakości kredytowej, zgodnie z zasadami klasyfikacji na Watch Listę przyjętymi w Banku). </w:t>
      </w:r>
    </w:p>
    <w:p w14:paraId="78C7452A" w14:textId="366C30A6" w:rsidR="000F75B9" w:rsidRPr="00977E53" w:rsidRDefault="009466E3" w:rsidP="009466E3">
      <w:pPr>
        <w:suppressAutoHyphens/>
        <w:spacing w:after="120"/>
        <w:jc w:val="both"/>
        <w:rPr>
          <w:rFonts w:eastAsia="Calibri"/>
          <w:color w:val="000000" w:themeColor="text1"/>
          <w:sz w:val="18"/>
          <w:szCs w:val="18"/>
        </w:rPr>
      </w:pPr>
      <w:r w:rsidRPr="00977E53">
        <w:rPr>
          <w:rFonts w:eastAsia="Calibri"/>
          <w:color w:val="000000" w:themeColor="text1"/>
          <w:sz w:val="18"/>
          <w:szCs w:val="18"/>
        </w:rPr>
        <w:t>Kryterium ilościowe Logiki Transferu wykorzystuje miarę istotnego pogorszenia jakości kredytowej bazującej na względnej zmianie długookresowej wartości PD określonej dla ekspozycji na datę raportową w stosunku do miary długookresowego PD określonej na datę początkowego ujęcia.</w:t>
      </w:r>
      <w:r w:rsidRPr="00977E53">
        <w:rPr>
          <w:rFonts w:ascii="Calibri" w:eastAsia="Calibri" w:hAnsi="Calibri"/>
          <w:color w:val="000000" w:themeColor="text1"/>
          <w:sz w:val="22"/>
          <w:szCs w:val="22"/>
          <w:lang w:eastAsia="en-US"/>
        </w:rPr>
        <w:t xml:space="preserve"> </w:t>
      </w:r>
      <w:r w:rsidRPr="00977E53">
        <w:rPr>
          <w:rFonts w:eastAsia="Calibri"/>
          <w:color w:val="000000" w:themeColor="text1"/>
          <w:sz w:val="18"/>
          <w:szCs w:val="18"/>
        </w:rPr>
        <w:t>Miara ta jest wyznaczana odrębnie dla portfela detalicznego oraz korporacyjnego w ramach segmentów homogenicznych ze względu na prawdopodobieństwo zajścia zdarzenia default. W przypadku gdy wartość względnej zmiany długookresowego PD przekroczy tzw. próg przejścia, wówczas dana ekspozycja trafia do Koszyka 2. Istotną kwestią w procesie kalkulacji miary pogorszenia jakości kredytowej jest spójne na poziomie całego Banku wyznaczanie daty początkowego ujęcia, względem której badane jest pogorszenie jakości kredytowej. Ponowna data początkowego ujęcia wyznaczana jest dla ekspozycji, dla których nastąpiła znacząca modyfikacja warunków kontraktowych. Każdorazowa zmiana daty początkowego ujęcia skutkuje ponowną kalkulacją, zgodnie z obowiązującymi na nową datę początkowego ujęcia charakterystykami ekspozycji, parametru inicjalnego PD, względem którego badane jest istotne pogorszenie jakości kredytowej ekspozycji</w:t>
      </w:r>
      <w:r w:rsidR="000F75B9" w:rsidRPr="00977E53">
        <w:rPr>
          <w:rFonts w:eastAsia="Calibri"/>
          <w:color w:val="000000" w:themeColor="text1"/>
          <w:sz w:val="18"/>
          <w:szCs w:val="18"/>
        </w:rPr>
        <w:t>.</w:t>
      </w:r>
    </w:p>
    <w:p w14:paraId="3D19E08E" w14:textId="0151A4F1" w:rsidR="001D747C" w:rsidRPr="00977E53" w:rsidRDefault="001D747C" w:rsidP="000316FB">
      <w:pPr>
        <w:autoSpaceDE w:val="0"/>
        <w:autoSpaceDN w:val="0"/>
        <w:adjustRightInd w:val="0"/>
        <w:spacing w:after="120"/>
        <w:ind w:left="1134" w:hanging="1134"/>
        <w:jc w:val="both"/>
        <w:rPr>
          <w:rFonts w:eastAsia="Calibri" w:cs="Verdana"/>
          <w:b/>
          <w:bCs/>
          <w:color w:val="000000" w:themeColor="text1"/>
          <w:sz w:val="18"/>
          <w:szCs w:val="18"/>
        </w:rPr>
      </w:pPr>
      <w:r w:rsidRPr="00977E53">
        <w:rPr>
          <w:rFonts w:eastAsia="Calibri" w:cs="Verdana"/>
          <w:b/>
          <w:bCs/>
          <w:color w:val="000000" w:themeColor="text1"/>
          <w:sz w:val="18"/>
          <w:szCs w:val="18"/>
        </w:rPr>
        <w:t>3.3.6.1.2.</w:t>
      </w:r>
      <w:r w:rsidRPr="00977E53">
        <w:rPr>
          <w:rFonts w:eastAsia="Calibri" w:cs="Verdana"/>
          <w:b/>
          <w:bCs/>
          <w:color w:val="000000" w:themeColor="text1"/>
          <w:sz w:val="18"/>
          <w:szCs w:val="18"/>
        </w:rPr>
        <w:tab/>
        <w:t xml:space="preserve">Niskie ryzyko kredytowe </w:t>
      </w:r>
    </w:p>
    <w:p w14:paraId="6CA409B4" w14:textId="011889C8" w:rsidR="001D747C" w:rsidRPr="00977E53" w:rsidRDefault="001D747C" w:rsidP="009466E3">
      <w:pPr>
        <w:suppressAutoHyphens/>
        <w:spacing w:after="120"/>
        <w:jc w:val="both"/>
        <w:rPr>
          <w:rFonts w:eastAsia="Calibri"/>
          <w:color w:val="000000" w:themeColor="text1"/>
          <w:sz w:val="18"/>
          <w:szCs w:val="18"/>
        </w:rPr>
      </w:pPr>
      <w:r w:rsidRPr="00977E53">
        <w:rPr>
          <w:rFonts w:eastAsia="Calibri"/>
          <w:color w:val="000000" w:themeColor="text1"/>
          <w:sz w:val="18"/>
          <w:szCs w:val="18"/>
        </w:rPr>
        <w:t>W przypadku ekspozycji, których charakterystyki wskazują na niskie ryzyko kredytowe (ang. Low Credit Risk - LCR), oczekiwane straty kredytowe wyznaczane są zawsze w horyzoncie 12 miesięcy. Dla ekspozycji oznaczonych jako LCR, nie zakłada się transferu z Koszyka 1 do Koszyka 2, choć nadal możliwe jest przejście z Koszyka 1 do Koszyka 3 w momencie stwierdzenia przesłanki utarty wartości. Bank stosuje kryterium LCR dla klientów korporacyjnych z segmentu K1 o PD-ratingu lepszym lub równym klasie 2.8. Kryterium LCR jest stosowane również w przypadku klientów z segmentów Banki i Rządy, Jednostek Samorządu Terytorialnego oraz NBFI (ang. Non Banking Financial Institution). Kryterium LCR nie jest stosowane wobec ekspozycji detalicznych</w:t>
      </w:r>
      <w:r w:rsidR="0008305C">
        <w:rPr>
          <w:rFonts w:eastAsia="Calibri"/>
          <w:color w:val="000000" w:themeColor="text1"/>
          <w:sz w:val="18"/>
          <w:szCs w:val="18"/>
        </w:rPr>
        <w:t>.</w:t>
      </w:r>
    </w:p>
    <w:p w14:paraId="0FB56036" w14:textId="0E1D74D3" w:rsidR="000F75B9" w:rsidRPr="00977E53" w:rsidRDefault="0084313B" w:rsidP="000316FB">
      <w:pPr>
        <w:autoSpaceDE w:val="0"/>
        <w:autoSpaceDN w:val="0"/>
        <w:adjustRightInd w:val="0"/>
        <w:spacing w:after="120"/>
        <w:ind w:left="1134" w:hanging="1134"/>
        <w:jc w:val="both"/>
        <w:rPr>
          <w:rFonts w:eastAsia="Calibri" w:cs="Verdana"/>
          <w:b/>
          <w:bCs/>
          <w:color w:val="000000" w:themeColor="text1"/>
          <w:sz w:val="18"/>
          <w:szCs w:val="18"/>
        </w:rPr>
      </w:pPr>
      <w:r w:rsidRPr="00977E53">
        <w:rPr>
          <w:rFonts w:eastAsia="Calibri" w:cs="Verdana"/>
          <w:b/>
          <w:bCs/>
          <w:color w:val="000000" w:themeColor="text1"/>
          <w:sz w:val="18"/>
          <w:szCs w:val="18"/>
        </w:rPr>
        <w:t>3.3</w:t>
      </w:r>
      <w:r w:rsidR="001D747C" w:rsidRPr="00977E53">
        <w:rPr>
          <w:rFonts w:eastAsia="Calibri" w:cs="Verdana"/>
          <w:b/>
          <w:bCs/>
          <w:color w:val="000000" w:themeColor="text1"/>
          <w:sz w:val="18"/>
          <w:szCs w:val="18"/>
        </w:rPr>
        <w:t>.6.1.3</w:t>
      </w:r>
      <w:r w:rsidR="000F75B9" w:rsidRPr="00977E53">
        <w:rPr>
          <w:rFonts w:eastAsia="Calibri" w:cs="Verdana"/>
          <w:b/>
          <w:bCs/>
          <w:color w:val="000000" w:themeColor="text1"/>
          <w:sz w:val="18"/>
          <w:szCs w:val="18"/>
        </w:rPr>
        <w:t>.</w:t>
      </w:r>
      <w:r w:rsidR="00D269B4" w:rsidRPr="00977E53">
        <w:rPr>
          <w:rFonts w:eastAsia="Calibri" w:cs="Verdana"/>
          <w:b/>
          <w:bCs/>
          <w:color w:val="000000" w:themeColor="text1"/>
          <w:sz w:val="18"/>
          <w:szCs w:val="18"/>
        </w:rPr>
        <w:tab/>
      </w:r>
      <w:r w:rsidR="000F75B9" w:rsidRPr="00977E53">
        <w:rPr>
          <w:rFonts w:eastAsia="Calibri" w:cs="Verdana"/>
          <w:b/>
          <w:bCs/>
          <w:color w:val="000000" w:themeColor="text1"/>
          <w:sz w:val="18"/>
          <w:szCs w:val="18"/>
        </w:rPr>
        <w:t xml:space="preserve">Przesłanki utraty wartości - należności korporacyjne </w:t>
      </w:r>
    </w:p>
    <w:p w14:paraId="6890F608" w14:textId="77777777" w:rsidR="001D747C" w:rsidRPr="00977E53" w:rsidRDefault="001D747C" w:rsidP="001D747C">
      <w:pPr>
        <w:autoSpaceDE w:val="0"/>
        <w:autoSpaceDN w:val="0"/>
        <w:spacing w:after="120"/>
        <w:jc w:val="both"/>
        <w:rPr>
          <w:rFonts w:eastAsia="Calibri"/>
          <w:color w:val="000000" w:themeColor="text1"/>
          <w:sz w:val="18"/>
          <w:szCs w:val="18"/>
          <w:u w:val="single"/>
        </w:rPr>
      </w:pPr>
      <w:r w:rsidRPr="00977E53">
        <w:rPr>
          <w:rFonts w:eastAsia="Calibri"/>
          <w:color w:val="000000" w:themeColor="text1"/>
          <w:sz w:val="18"/>
          <w:szCs w:val="18"/>
        </w:rPr>
        <w:t>W przypadku ekspozycji korporacyjnych Bank wyróżnia następujące przesłanki utraty wartości:</w:t>
      </w:r>
      <w:r w:rsidRPr="00977E53">
        <w:rPr>
          <w:rFonts w:eastAsia="Calibri"/>
          <w:color w:val="000000" w:themeColor="text1"/>
          <w:sz w:val="18"/>
          <w:szCs w:val="18"/>
          <w:u w:val="single"/>
        </w:rPr>
        <w:t xml:space="preserve"> </w:t>
      </w:r>
    </w:p>
    <w:p w14:paraId="1C3B8858"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Okres przeterminowania którejkolwiek ekspozycji o charakterze zobowiązania kredytowego dłużnika przekracza 90 dni (dla ekspozycji podmiotów sektora bankowego - 14 dni) oraz kwota przeterminowania przekracza 3 000 zł, dla klientów korporacyjnych, a 500 zł dla klientów Private Banking.</w:t>
      </w:r>
    </w:p>
    <w:p w14:paraId="32EA5FFA"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 xml:space="preserve">Zbycie przez Bank ekspozycji ze znaczną stratą ekonomiczną związaną z obniżeniem wiarygodności kredytowej dłużnika. </w:t>
      </w:r>
    </w:p>
    <w:p w14:paraId="6470C2A6"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 xml:space="preserve">Dokonanie przez Bank wymuszonej restrukturyzacji ekspozycji, czego następstwem jest zmiana harmonogramu obsługi kredytu/transakcji z uwagi na brak możliwości wywiązania się przez dłużnika z umowy kredytowej/transakcji według jej pierwotnych założeń, prowadząca do: </w:t>
      </w:r>
    </w:p>
    <w:p w14:paraId="54E8496C" w14:textId="77777777" w:rsidR="001D747C" w:rsidRPr="00977E53" w:rsidRDefault="001D747C" w:rsidP="00526DF1">
      <w:pPr>
        <w:numPr>
          <w:ilvl w:val="0"/>
          <w:numId w:val="50"/>
        </w:numPr>
        <w:autoSpaceDE w:val="0"/>
        <w:autoSpaceDN w:val="0"/>
        <w:spacing w:after="120" w:line="259" w:lineRule="auto"/>
        <w:jc w:val="both"/>
        <w:rPr>
          <w:rFonts w:eastAsia="Calibri"/>
          <w:color w:val="000000" w:themeColor="text1"/>
          <w:sz w:val="18"/>
          <w:szCs w:val="18"/>
        </w:rPr>
      </w:pPr>
      <w:r w:rsidRPr="00977E53">
        <w:rPr>
          <w:rFonts w:eastAsia="Calibri"/>
          <w:color w:val="000000" w:themeColor="text1"/>
          <w:sz w:val="18"/>
          <w:szCs w:val="18"/>
        </w:rPr>
        <w:t xml:space="preserve">zmniejszenie zobowiązań finansowych poprzez umorzenia części zobowiązania, lub </w:t>
      </w:r>
    </w:p>
    <w:p w14:paraId="6E559C62" w14:textId="77777777" w:rsidR="001D747C" w:rsidRPr="00977E53" w:rsidRDefault="001D747C" w:rsidP="00526DF1">
      <w:pPr>
        <w:numPr>
          <w:ilvl w:val="0"/>
          <w:numId w:val="50"/>
        </w:numPr>
        <w:autoSpaceDE w:val="0"/>
        <w:autoSpaceDN w:val="0"/>
        <w:spacing w:after="120" w:line="259" w:lineRule="auto"/>
        <w:jc w:val="both"/>
        <w:rPr>
          <w:rFonts w:eastAsia="Calibri"/>
          <w:color w:val="000000" w:themeColor="text1"/>
          <w:sz w:val="18"/>
          <w:szCs w:val="18"/>
        </w:rPr>
      </w:pPr>
      <w:r w:rsidRPr="00977E53">
        <w:rPr>
          <w:rFonts w:eastAsia="Calibri"/>
          <w:color w:val="000000" w:themeColor="text1"/>
          <w:sz w:val="18"/>
          <w:szCs w:val="18"/>
        </w:rPr>
        <w:t xml:space="preserve">odroczenia istotnej części spłaty kwoty głównej, odsetek lub (jeżeli dotyczy) prowizji, pod warunkiem, że brak zgody na restrukturyzację skutkowałby opóźnieniem dłużnika w płatności powyżej 90 dni kalendarzowych dotyczącym istotnej części zobowiązania. </w:t>
      </w:r>
    </w:p>
    <w:p w14:paraId="655D47DF"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lastRenderedPageBreak/>
        <w:t xml:space="preserve">Złożenie przez dłużnika wniosku o upadłość lub złożenie przez Bank, podmiot dominujący wobec Banku lub podmiot zależny od Banku wniosku o postawienie dłużnika w stan upadłości lub podobnego wniosku w odniesieniu do zobowiązań kredytowych dłużnika wobec Banku, podmiotu dominującego wobec Banku lub podmiotu zależnego Banku. </w:t>
      </w:r>
    </w:p>
    <w:p w14:paraId="469B21FC"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 xml:space="preserve">Postawienie dłużnika w stan upadłości lub uzyskanie przez niego podobnej ochrony prawnej, powodującej uniknięcie lub opóźnienie spłaty zobowiązań kredytowych wobec Banku, podmiotu dominującego wobec Banku lub podmiotu zależnego Banku. </w:t>
      </w:r>
    </w:p>
    <w:p w14:paraId="48739092" w14:textId="77777777" w:rsidR="001D747C" w:rsidRPr="00977E53" w:rsidRDefault="001D747C" w:rsidP="00526DF1">
      <w:pPr>
        <w:numPr>
          <w:ilvl w:val="0"/>
          <w:numId w:val="62"/>
        </w:numPr>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 xml:space="preserve">Wypowiedzenie przez Bank umowy w części lub całości i wszczęcie procedur restrukturyzacyjnych /windykacyjnych. </w:t>
      </w:r>
    </w:p>
    <w:p w14:paraId="147E0A95" w14:textId="69A699AF" w:rsidR="001D747C" w:rsidRPr="00977E53" w:rsidRDefault="001D747C" w:rsidP="00526DF1">
      <w:pPr>
        <w:numPr>
          <w:ilvl w:val="0"/>
          <w:numId w:val="62"/>
        </w:numPr>
        <w:tabs>
          <w:tab w:val="left" w:pos="4568"/>
        </w:tabs>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Oszustwo (wyłudzenie) ze strony klienta.</w:t>
      </w:r>
    </w:p>
    <w:p w14:paraId="4268ABED" w14:textId="20F1D40E" w:rsidR="001D747C" w:rsidRPr="00977E53" w:rsidRDefault="001D747C" w:rsidP="00526DF1">
      <w:pPr>
        <w:numPr>
          <w:ilvl w:val="0"/>
          <w:numId w:val="62"/>
        </w:numPr>
        <w:tabs>
          <w:tab w:val="left" w:pos="4568"/>
          <w:tab w:val="left" w:pos="4965"/>
        </w:tabs>
        <w:autoSpaceDE w:val="0"/>
        <w:autoSpaceDN w:val="0"/>
        <w:spacing w:after="120" w:line="259" w:lineRule="auto"/>
        <w:ind w:left="284" w:hanging="284"/>
        <w:jc w:val="both"/>
        <w:rPr>
          <w:rFonts w:eastAsia="Calibri"/>
          <w:color w:val="000000" w:themeColor="text1"/>
          <w:sz w:val="18"/>
          <w:szCs w:val="18"/>
        </w:rPr>
      </w:pPr>
      <w:r w:rsidRPr="00977E53">
        <w:rPr>
          <w:rFonts w:eastAsia="Calibri"/>
          <w:color w:val="000000" w:themeColor="text1"/>
          <w:sz w:val="18"/>
          <w:szCs w:val="18"/>
        </w:rPr>
        <w:t>Bank spodziewa się realizacji straty na kliencie.</w:t>
      </w:r>
    </w:p>
    <w:p w14:paraId="79DE363F" w14:textId="34CD1625" w:rsidR="00FD36AC" w:rsidRDefault="001D747C" w:rsidP="001D747C">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Dodatkowo Bank identyfikuje tzw. miękkie przesłanki utraty wartości, mające na celu zasygnalizowanie sytuacji, które mogą prowadzić do niemożności wywiązania się dłużnika w pełni ze swoich zobowiązań kredytowych wobec Banku. W przypadku ich wystąpienia dokonywana jest pogłębiona analiza uwzględniająca specyfikę obszaru działalności podmiotu, w wyniku której podejmowana jest indywidualna decyzja o klasyfikacji ekspozycji do jednego z koszyków</w:t>
      </w:r>
      <w:r w:rsidR="000F75B9" w:rsidRPr="00977E53">
        <w:rPr>
          <w:rFonts w:eastAsia="Calibri"/>
          <w:color w:val="000000" w:themeColor="text1"/>
          <w:sz w:val="18"/>
          <w:szCs w:val="18"/>
        </w:rPr>
        <w:t>.</w:t>
      </w:r>
    </w:p>
    <w:p w14:paraId="5CD4026D" w14:textId="462634A9" w:rsidR="000F75B9" w:rsidRPr="00977E53" w:rsidRDefault="00D269B4" w:rsidP="00ED6EC0">
      <w:pPr>
        <w:autoSpaceDE w:val="0"/>
        <w:autoSpaceDN w:val="0"/>
        <w:spacing w:after="120"/>
        <w:ind w:left="1134" w:hanging="1134"/>
        <w:jc w:val="both"/>
        <w:rPr>
          <w:rFonts w:eastAsia="Calibri"/>
          <w:b/>
          <w:bCs/>
          <w:color w:val="000000" w:themeColor="text1"/>
          <w:sz w:val="18"/>
          <w:szCs w:val="18"/>
        </w:rPr>
      </w:pPr>
      <w:r w:rsidRPr="00977E53">
        <w:rPr>
          <w:rFonts w:eastAsia="Calibri"/>
          <w:b/>
          <w:bCs/>
          <w:color w:val="000000" w:themeColor="text1"/>
          <w:sz w:val="18"/>
          <w:szCs w:val="18"/>
        </w:rPr>
        <w:t>3.3</w:t>
      </w:r>
      <w:r w:rsidR="001D747C" w:rsidRPr="00977E53">
        <w:rPr>
          <w:rFonts w:eastAsia="Calibri"/>
          <w:b/>
          <w:bCs/>
          <w:color w:val="000000" w:themeColor="text1"/>
          <w:sz w:val="18"/>
          <w:szCs w:val="18"/>
        </w:rPr>
        <w:t>.6.1.4</w:t>
      </w:r>
      <w:r w:rsidRPr="00977E53">
        <w:rPr>
          <w:rFonts w:eastAsia="Calibri"/>
          <w:b/>
          <w:bCs/>
          <w:color w:val="000000" w:themeColor="text1"/>
          <w:sz w:val="18"/>
          <w:szCs w:val="18"/>
        </w:rPr>
        <w:t>.</w:t>
      </w:r>
      <w:r w:rsidRPr="00977E53">
        <w:rPr>
          <w:rFonts w:eastAsia="Calibri"/>
          <w:b/>
          <w:bCs/>
          <w:color w:val="000000" w:themeColor="text1"/>
          <w:sz w:val="18"/>
          <w:szCs w:val="18"/>
        </w:rPr>
        <w:tab/>
      </w:r>
      <w:r w:rsidR="000F75B9" w:rsidRPr="00977E53">
        <w:rPr>
          <w:rFonts w:eastAsia="Calibri"/>
          <w:b/>
          <w:bCs/>
          <w:color w:val="000000" w:themeColor="text1"/>
          <w:sz w:val="18"/>
          <w:szCs w:val="18"/>
        </w:rPr>
        <w:t>Przesłanki utraty wartości – należności detaliczne</w:t>
      </w:r>
    </w:p>
    <w:p w14:paraId="4079188B" w14:textId="36A11009" w:rsidR="001D747C" w:rsidRPr="00977E53" w:rsidRDefault="001D747C" w:rsidP="001D747C">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W Polsce przesłanki utraty wartości rozpoznawane są na poziomie klienta, tj. z uwzględnieniem wszystkich jego zobowiązań wobec Banku. W oddziałach zagranicznych Banku (w Czechach i na Słowacji) stosuje się</w:t>
      </w:r>
      <w:r w:rsidR="00A35AAC">
        <w:rPr>
          <w:rFonts w:eastAsia="Calibri"/>
          <w:color w:val="000000" w:themeColor="text1"/>
          <w:sz w:val="18"/>
          <w:szCs w:val="18"/>
        </w:rPr>
        <w:t> </w:t>
      </w:r>
      <w:r w:rsidRPr="00977E53">
        <w:rPr>
          <w:rFonts w:eastAsia="Calibri"/>
          <w:color w:val="000000" w:themeColor="text1"/>
          <w:sz w:val="18"/>
          <w:szCs w:val="18"/>
        </w:rPr>
        <w:t>podejście transakcyjne, w którym każda ekspozycja kredytowa klienta analizowana jest niezależnie od</w:t>
      </w:r>
      <w:r w:rsidR="00A35AAC">
        <w:rPr>
          <w:rFonts w:eastAsia="Calibri"/>
          <w:color w:val="000000" w:themeColor="text1"/>
          <w:sz w:val="18"/>
          <w:szCs w:val="18"/>
        </w:rPr>
        <w:t> </w:t>
      </w:r>
      <w:r w:rsidRPr="00977E53">
        <w:rPr>
          <w:rFonts w:eastAsia="Calibri"/>
          <w:color w:val="000000" w:themeColor="text1"/>
          <w:sz w:val="18"/>
          <w:szCs w:val="18"/>
        </w:rPr>
        <w:t>innych.</w:t>
      </w:r>
    </w:p>
    <w:p w14:paraId="00AF62E5" w14:textId="77777777" w:rsidR="001D747C" w:rsidRPr="00977E53" w:rsidRDefault="001D747C" w:rsidP="001D747C">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W przypadku ekspozycji detalicznych Bank wyróżnia następujące przesłanki utraty wartości:</w:t>
      </w:r>
    </w:p>
    <w:p w14:paraId="637188DC" w14:textId="2AB53E70" w:rsidR="001D747C" w:rsidRPr="00977E53" w:rsidRDefault="001D747C" w:rsidP="00526DF1">
      <w:pPr>
        <w:pStyle w:val="Akapitzlist"/>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Najczęściej występującą przesłanką utraty wartości jest opóźnienie w spłacie, które wyznaczane jest w różny sposób w zależności od wyżej wymienionego podejścia. W oddziale polskim przesłanka utraty wartości ma miejsce, gdy kwota wymagalna wszystkich ekspozycji klienta, przeterminowanych powyżej 30 dni, przekracza 500 zł, a największe opóźnienie w spłacie jest większe niż 90 dni. W</w:t>
      </w:r>
      <w:r w:rsidR="00A35AAC">
        <w:rPr>
          <w:rFonts w:eastAsia="Calibri"/>
          <w:color w:val="000000" w:themeColor="text1"/>
          <w:sz w:val="18"/>
          <w:szCs w:val="18"/>
        </w:rPr>
        <w:t> </w:t>
      </w:r>
      <w:r w:rsidRPr="00977E53">
        <w:rPr>
          <w:rFonts w:eastAsia="Calibri"/>
          <w:color w:val="000000" w:themeColor="text1"/>
          <w:sz w:val="18"/>
          <w:szCs w:val="18"/>
        </w:rPr>
        <w:t>oddziałach Banku w Czechach i na Słowacji przesłankę utraty wartości stanowi zaległość przekraczająca odpowiednio 3 000 CZK lub 120 EUR, opóźniona powyżej 90 dni.</w:t>
      </w:r>
    </w:p>
    <w:p w14:paraId="159C5D6E" w14:textId="77777777" w:rsidR="001D747C" w:rsidRPr="00977E53" w:rsidRDefault="001D747C" w:rsidP="00526DF1">
      <w:pPr>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Restrukturyzacja danego zobowiązania kredytowego.</w:t>
      </w:r>
    </w:p>
    <w:p w14:paraId="2AB90D6B" w14:textId="77777777" w:rsidR="001D747C" w:rsidRPr="00977E53" w:rsidRDefault="001D747C" w:rsidP="00526DF1">
      <w:pPr>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Upadłość dłużnika.</w:t>
      </w:r>
    </w:p>
    <w:p w14:paraId="18448E27" w14:textId="77777777" w:rsidR="001D747C" w:rsidRPr="00977E53" w:rsidRDefault="001D747C" w:rsidP="00526DF1">
      <w:pPr>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Uznanie przez Bank danej transakcji jako wyłudzenie.</w:t>
      </w:r>
    </w:p>
    <w:p w14:paraId="190E1E33" w14:textId="77777777" w:rsidR="001D747C" w:rsidRPr="00977E53" w:rsidRDefault="001D747C" w:rsidP="00526DF1">
      <w:pPr>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Sprzedaż wierzytelności kredytowej ze znaczną stratą ekonomiczną.</w:t>
      </w:r>
    </w:p>
    <w:p w14:paraId="722DA70E" w14:textId="77777777" w:rsidR="00F96891" w:rsidRDefault="001D747C" w:rsidP="00F96891">
      <w:pPr>
        <w:numPr>
          <w:ilvl w:val="0"/>
          <w:numId w:val="72"/>
        </w:numPr>
        <w:autoSpaceDE w:val="0"/>
        <w:autoSpaceDN w:val="0"/>
        <w:spacing w:after="120"/>
        <w:ind w:left="426" w:hanging="284"/>
        <w:jc w:val="both"/>
        <w:rPr>
          <w:rFonts w:eastAsia="Calibri"/>
          <w:color w:val="000000" w:themeColor="text1"/>
          <w:sz w:val="18"/>
          <w:szCs w:val="18"/>
        </w:rPr>
      </w:pPr>
      <w:r w:rsidRPr="00977E53">
        <w:rPr>
          <w:rFonts w:eastAsia="Calibri"/>
          <w:color w:val="000000" w:themeColor="text1"/>
          <w:sz w:val="18"/>
          <w:szCs w:val="18"/>
        </w:rPr>
        <w:t>Stwierdzenie przez Bank nieściągalności zobowiązania.</w:t>
      </w:r>
    </w:p>
    <w:p w14:paraId="5A45A2ED" w14:textId="495237A6" w:rsidR="000F75B9" w:rsidRPr="00F96891" w:rsidRDefault="001D747C" w:rsidP="00F96891">
      <w:pPr>
        <w:numPr>
          <w:ilvl w:val="0"/>
          <w:numId w:val="72"/>
        </w:numPr>
        <w:autoSpaceDE w:val="0"/>
        <w:autoSpaceDN w:val="0"/>
        <w:spacing w:after="120"/>
        <w:ind w:left="426" w:hanging="284"/>
        <w:jc w:val="both"/>
        <w:rPr>
          <w:rFonts w:eastAsia="Calibri"/>
          <w:color w:val="000000" w:themeColor="text1"/>
          <w:sz w:val="18"/>
          <w:szCs w:val="18"/>
        </w:rPr>
      </w:pPr>
      <w:r w:rsidRPr="00F96891">
        <w:rPr>
          <w:rFonts w:eastAsia="Calibri"/>
          <w:color w:val="000000" w:themeColor="text1"/>
          <w:sz w:val="18"/>
          <w:szCs w:val="18"/>
        </w:rPr>
        <w:t>Wypłata przez towarzystwo ubezpieczeniowe świadczenia z tytułu ubezpieczenia niskiego wkładu własnego (NWW)</w:t>
      </w:r>
      <w:r w:rsidR="000F75B9" w:rsidRPr="00F96891">
        <w:rPr>
          <w:rFonts w:eastAsia="Calibri"/>
          <w:color w:val="000000" w:themeColor="text1"/>
          <w:sz w:val="18"/>
          <w:szCs w:val="18"/>
        </w:rPr>
        <w:t>.</w:t>
      </w:r>
    </w:p>
    <w:p w14:paraId="3C883457" w14:textId="199163C1" w:rsidR="000F75B9" w:rsidRPr="00977E53" w:rsidRDefault="00D269B4" w:rsidP="00ED6EC0">
      <w:pPr>
        <w:autoSpaceDE w:val="0"/>
        <w:autoSpaceDN w:val="0"/>
        <w:spacing w:after="120"/>
        <w:ind w:left="993" w:hanging="993"/>
        <w:jc w:val="both"/>
        <w:rPr>
          <w:b/>
          <w:bCs/>
          <w:color w:val="000000" w:themeColor="text1"/>
          <w:sz w:val="18"/>
          <w:szCs w:val="18"/>
        </w:rPr>
      </w:pPr>
      <w:r w:rsidRPr="00977E53">
        <w:rPr>
          <w:rFonts w:eastAsia="Calibri"/>
          <w:b/>
          <w:color w:val="000000" w:themeColor="text1"/>
          <w:sz w:val="18"/>
          <w:szCs w:val="18"/>
        </w:rPr>
        <w:t>3.3</w:t>
      </w:r>
      <w:r w:rsidR="000F75B9" w:rsidRPr="00977E53">
        <w:rPr>
          <w:rFonts w:eastAsia="Calibri"/>
          <w:b/>
          <w:color w:val="000000" w:themeColor="text1"/>
          <w:sz w:val="18"/>
          <w:szCs w:val="18"/>
        </w:rPr>
        <w:t>.6.2.</w:t>
      </w:r>
      <w:r w:rsidRPr="00977E53">
        <w:rPr>
          <w:rFonts w:eastAsia="Calibri"/>
          <w:b/>
          <w:color w:val="000000" w:themeColor="text1"/>
          <w:sz w:val="18"/>
          <w:szCs w:val="18"/>
        </w:rPr>
        <w:tab/>
      </w:r>
      <w:r w:rsidR="000F75B9" w:rsidRPr="00977E53">
        <w:rPr>
          <w:b/>
          <w:bCs/>
          <w:color w:val="000000" w:themeColor="text1"/>
          <w:sz w:val="18"/>
          <w:szCs w:val="18"/>
        </w:rPr>
        <w:t xml:space="preserve">Wyznaczanie </w:t>
      </w:r>
      <w:r w:rsidR="001D747C" w:rsidRPr="00977E53">
        <w:rPr>
          <w:b/>
          <w:bCs/>
          <w:color w:val="000000" w:themeColor="text1"/>
          <w:sz w:val="18"/>
          <w:szCs w:val="18"/>
        </w:rPr>
        <w:t>oczekiwanych strat kredytowych</w:t>
      </w:r>
    </w:p>
    <w:p w14:paraId="0807E755" w14:textId="025F7104" w:rsidR="00A73076" w:rsidRPr="00A73076" w:rsidRDefault="00A73076" w:rsidP="00A73076">
      <w:pPr>
        <w:suppressAutoHyphens/>
        <w:spacing w:after="120"/>
        <w:jc w:val="both"/>
        <w:rPr>
          <w:rFonts w:eastAsia="Calibri"/>
          <w:color w:val="000000" w:themeColor="text1"/>
          <w:sz w:val="18"/>
          <w:szCs w:val="18"/>
        </w:rPr>
      </w:pPr>
      <w:r w:rsidRPr="00A73076">
        <w:rPr>
          <w:rFonts w:eastAsia="Calibri"/>
          <w:color w:val="000000" w:themeColor="text1"/>
          <w:sz w:val="18"/>
          <w:szCs w:val="18"/>
        </w:rPr>
        <w:t>Kalkulacja oczekiwanych strat kredytowych (ECL) odbywa się na poziomie pojedynczego kontraktu lub</w:t>
      </w:r>
      <w:r w:rsidR="00A35AAC">
        <w:rPr>
          <w:rFonts w:eastAsia="Calibri"/>
          <w:color w:val="000000" w:themeColor="text1"/>
          <w:sz w:val="18"/>
          <w:szCs w:val="18"/>
        </w:rPr>
        <w:t> </w:t>
      </w:r>
      <w:r w:rsidRPr="00A73076">
        <w:rPr>
          <w:rFonts w:eastAsia="Calibri"/>
          <w:color w:val="000000" w:themeColor="text1"/>
          <w:sz w:val="18"/>
          <w:szCs w:val="18"/>
        </w:rPr>
        <w:t>ekspozycji (umowy). W podejściu portfelowym, oczekiwane straty kredytowe stanowią iloczyn indywidualnych dla każdej ekspozycji oszacowanych wartości parametrów PD, LGD i EAD, a ostateczna wartość strat oczekiwanych jest sumą strat oczekiwanych w poszczególnych okresach zdyskontowanych efektywną stopą procentową. W kalkulacji oczekiwanych strat kredytowych nie jest stosowane podejście kolektywne (przypisanie jednej wartości parametru dla wybranych portfeli). Jeżeli, na datę sprawozdawczą, ryzyko kredytowe ekspozycji nie wzrosło znacznie od momentu początkowego ujęcia, oczekiwane straty kredytowe kalkulowane są w horyzoncie 12-miesięcznym (12m ECL). Jeżeli ryzyko kredytowe ekspozycji wzrosło znacznie od momentu początkowego ujęcia (ekspozycja znajduje się w</w:t>
      </w:r>
      <w:r w:rsidR="00A35AAC">
        <w:rPr>
          <w:rFonts w:eastAsia="Calibri"/>
          <w:color w:val="000000" w:themeColor="text1"/>
          <w:sz w:val="18"/>
          <w:szCs w:val="18"/>
        </w:rPr>
        <w:t> </w:t>
      </w:r>
      <w:r w:rsidRPr="00A73076">
        <w:rPr>
          <w:rFonts w:eastAsia="Calibri"/>
          <w:color w:val="000000" w:themeColor="text1"/>
          <w:sz w:val="18"/>
          <w:szCs w:val="18"/>
        </w:rPr>
        <w:t xml:space="preserve">koszyku 2), Bank kalkuluje oczekiwane straty kredytowe w horyzoncie dożywotnim (Lt ECL). Parametry wykorzystane w celu kalkulacji oczekiwanej straty kredytowej w Koszyku 1 są identyczne z parametrami wyznaczanymi w celu wyliczenia długookresowej straty kredytowej w Koszyku 2 dla t=1, gdzie t oznacza pierwszy rok prognozy. </w:t>
      </w:r>
    </w:p>
    <w:p w14:paraId="32425F07" w14:textId="77777777" w:rsidR="00A73076" w:rsidRPr="00A73076" w:rsidRDefault="00A73076" w:rsidP="00A73076">
      <w:pPr>
        <w:suppressAutoHyphens/>
        <w:spacing w:after="120"/>
        <w:jc w:val="both"/>
        <w:rPr>
          <w:rFonts w:eastAsia="Calibri"/>
          <w:color w:val="000000" w:themeColor="text1"/>
          <w:sz w:val="18"/>
          <w:szCs w:val="18"/>
        </w:rPr>
      </w:pPr>
      <w:r w:rsidRPr="00A73076">
        <w:rPr>
          <w:rFonts w:eastAsia="Calibri"/>
          <w:color w:val="000000" w:themeColor="text1"/>
          <w:sz w:val="18"/>
          <w:szCs w:val="18"/>
        </w:rPr>
        <w:t>W przypadku gwarancji niefinansowych Grupa stosuje podejście polegające na tym, że oczekiwane straty kredytowe zawsze ujmowane w horyzoncie dożywotnim (Lt ECL).</w:t>
      </w:r>
    </w:p>
    <w:p w14:paraId="37445D65" w14:textId="719D870F" w:rsidR="00A73076" w:rsidRPr="00A73076" w:rsidRDefault="00A73076" w:rsidP="00A73076">
      <w:pPr>
        <w:suppressAutoHyphens/>
        <w:spacing w:after="120"/>
        <w:jc w:val="both"/>
        <w:rPr>
          <w:rFonts w:eastAsia="Calibri"/>
          <w:color w:val="000000" w:themeColor="text1"/>
          <w:sz w:val="18"/>
          <w:szCs w:val="18"/>
        </w:rPr>
      </w:pPr>
      <w:r w:rsidRPr="00A73076">
        <w:rPr>
          <w:rFonts w:eastAsia="Calibri"/>
          <w:color w:val="000000" w:themeColor="text1"/>
          <w:sz w:val="18"/>
          <w:szCs w:val="18"/>
        </w:rPr>
        <w:t xml:space="preserve">Podejście indywidualne obejmuje wszystkie bilansowe i pozabilansowe ekspozycje kredytowe z przesłanką utraty wartości w portfelu kredytów korporacyjnych oraz w portfelu kredytów segmentu Private Banking </w:t>
      </w:r>
      <w:r w:rsidRPr="00A73076">
        <w:rPr>
          <w:rFonts w:eastAsia="Calibri"/>
          <w:color w:val="000000" w:themeColor="text1"/>
          <w:sz w:val="18"/>
          <w:szCs w:val="18"/>
        </w:rPr>
        <w:lastRenderedPageBreak/>
        <w:t>rejestrowanego w systemach korporacyjnych, a także wybrane ekspozycje kredytowe z przesłanką utraty</w:t>
      </w:r>
      <w:r w:rsidR="00A35AAC">
        <w:rPr>
          <w:rFonts w:eastAsia="Calibri"/>
          <w:color w:val="000000" w:themeColor="text1"/>
          <w:sz w:val="18"/>
          <w:szCs w:val="18"/>
        </w:rPr>
        <w:t> </w:t>
      </w:r>
      <w:r w:rsidRPr="00A73076">
        <w:rPr>
          <w:rFonts w:eastAsia="Calibri"/>
          <w:color w:val="000000" w:themeColor="text1"/>
          <w:sz w:val="18"/>
          <w:szCs w:val="18"/>
        </w:rPr>
        <w:t>wartości w portfelu kredytów mikrofirm detalicznych (stosowane w przypadku ekspozycji z</w:t>
      </w:r>
      <w:r w:rsidR="00A35AAC">
        <w:rPr>
          <w:rFonts w:eastAsia="Calibri"/>
          <w:color w:val="000000" w:themeColor="text1"/>
          <w:sz w:val="18"/>
          <w:szCs w:val="18"/>
        </w:rPr>
        <w:t> </w:t>
      </w:r>
      <w:r w:rsidRPr="00A73076">
        <w:rPr>
          <w:rFonts w:eastAsia="Calibri"/>
          <w:color w:val="000000" w:themeColor="text1"/>
          <w:sz w:val="18"/>
          <w:szCs w:val="18"/>
        </w:rPr>
        <w:t>zabezpieczeniem hipotecznym o saldzie zadłużenia powyżej 300 tys. zł oraz zaległości powyżej 1 roku). Oczekiwane straty kredytowe są kalkulowane jako różnica pomiędzy wartością bilansową brutto danego aktywa, a bieżącą wartością szacowanych przyszłych przepływów pieniężnych zdyskontowanych efektywną stopą procentową. Sposób kalkulacji oczekiwanych odzysków odbywa się w scenariuszach i zależy od</w:t>
      </w:r>
      <w:r w:rsidR="00A35AAC">
        <w:rPr>
          <w:rFonts w:eastAsia="Calibri"/>
          <w:color w:val="000000" w:themeColor="text1"/>
          <w:sz w:val="18"/>
          <w:szCs w:val="18"/>
        </w:rPr>
        <w:t> </w:t>
      </w:r>
      <w:r w:rsidRPr="00A73076">
        <w:rPr>
          <w:rFonts w:eastAsia="Calibri"/>
          <w:color w:val="000000" w:themeColor="text1"/>
          <w:sz w:val="18"/>
          <w:szCs w:val="18"/>
        </w:rPr>
        <w:t>wybranej strategii postępowania Banku wobec klienta. W przypadku strategii restrukturyzacja</w:t>
      </w:r>
      <w:r w:rsidR="00E332DC">
        <w:rPr>
          <w:rFonts w:eastAsia="Calibri"/>
          <w:color w:val="000000" w:themeColor="text1"/>
          <w:sz w:val="18"/>
          <w:szCs w:val="18"/>
        </w:rPr>
        <w:t>,</w:t>
      </w:r>
      <w:r w:rsidRPr="00A73076">
        <w:rPr>
          <w:rFonts w:eastAsia="Calibri"/>
          <w:color w:val="000000" w:themeColor="text1"/>
          <w:sz w:val="18"/>
          <w:szCs w:val="18"/>
        </w:rPr>
        <w:t xml:space="preserve"> rozważane scenariusze przygotowywane są dla ekspozycji i zakładają istotny udział odzysków z wpłat własnych klienta. W strategii windykacja, scenariusze są opracowywane z uwzględnieniem źródeł odzysku (zabezpieczenia). Bank przyjmuje scenariusze per ekspozycja/źródło odzysku, przy czym warunkiem niezbędnym jest opracowanie minimum 2 scenariuszy, z których jeden przewidywać będzie wystąpienie co najmniej częściowej straty na ekspozycji/źródle odzysku. Waga  poszczególnych scenariuszy wynika z</w:t>
      </w:r>
      <w:r w:rsidR="00A35AAC">
        <w:rPr>
          <w:rFonts w:eastAsia="Calibri"/>
          <w:color w:val="000000" w:themeColor="text1"/>
          <w:sz w:val="18"/>
          <w:szCs w:val="18"/>
        </w:rPr>
        <w:t> </w:t>
      </w:r>
      <w:r w:rsidRPr="00A73076">
        <w:rPr>
          <w:rFonts w:eastAsia="Calibri"/>
          <w:color w:val="000000" w:themeColor="text1"/>
          <w:sz w:val="18"/>
          <w:szCs w:val="18"/>
        </w:rPr>
        <w:t>eksperckiej oceny prawdopodobieństwa scenariuszy opartej na istotnych okolicznościach faktycznych sprawy w szczególności dotyczących istniejących zabezpieczeń i ich rodzaju, sytuacji finansowej klienta, jego chęci współpracy, ryzykach mogących wystąpić w sprawie oraz czynnikach mikro- i</w:t>
      </w:r>
      <w:r w:rsidR="00A35AAC">
        <w:rPr>
          <w:rFonts w:eastAsia="Calibri"/>
          <w:color w:val="000000" w:themeColor="text1"/>
          <w:sz w:val="18"/>
          <w:szCs w:val="18"/>
        </w:rPr>
        <w:t> </w:t>
      </w:r>
      <w:r w:rsidRPr="00A73076">
        <w:rPr>
          <w:rFonts w:eastAsia="Calibri"/>
          <w:color w:val="000000" w:themeColor="text1"/>
          <w:sz w:val="18"/>
          <w:szCs w:val="18"/>
        </w:rPr>
        <w:t>makroekonomicznych.</w:t>
      </w:r>
    </w:p>
    <w:p w14:paraId="2DBEEB35" w14:textId="4FC7AC35" w:rsidR="00FD36AC" w:rsidRDefault="00A73076" w:rsidP="00A73076">
      <w:pPr>
        <w:suppressAutoHyphens/>
        <w:spacing w:after="120"/>
        <w:jc w:val="both"/>
        <w:rPr>
          <w:rFonts w:eastAsia="Calibri"/>
          <w:color w:val="000000" w:themeColor="text1"/>
          <w:sz w:val="18"/>
          <w:szCs w:val="18"/>
        </w:rPr>
      </w:pPr>
      <w:r w:rsidRPr="00A73076">
        <w:rPr>
          <w:rFonts w:eastAsia="Calibri"/>
          <w:color w:val="000000" w:themeColor="text1"/>
          <w:sz w:val="18"/>
          <w:szCs w:val="18"/>
        </w:rPr>
        <w:t>Do wyceny oczekiwanych strat kredytowych Bank wykorzystuje dane zawarte w systemach transakcyjnych Banku oraz dedykowanych narzędziach zaimplementowanych na potrzeby MSSF 9</w:t>
      </w:r>
      <w:r w:rsidR="0032584F" w:rsidRPr="00977E53">
        <w:rPr>
          <w:rFonts w:eastAsia="Calibri"/>
          <w:color w:val="000000" w:themeColor="text1"/>
          <w:sz w:val="18"/>
          <w:szCs w:val="18"/>
        </w:rPr>
        <w:t>.</w:t>
      </w:r>
    </w:p>
    <w:p w14:paraId="2D0AC98E" w14:textId="06F8B0C8" w:rsidR="000F75B9" w:rsidRPr="00977E53" w:rsidRDefault="00D269B4" w:rsidP="00ED6EC0">
      <w:pPr>
        <w:suppressAutoHyphens/>
        <w:spacing w:after="120"/>
        <w:ind w:left="1134" w:hanging="1134"/>
        <w:jc w:val="both"/>
        <w:rPr>
          <w:rFonts w:eastAsia="Calibri"/>
          <w:b/>
          <w:color w:val="000000" w:themeColor="text1"/>
          <w:sz w:val="18"/>
          <w:szCs w:val="18"/>
        </w:rPr>
      </w:pPr>
      <w:r w:rsidRPr="00977E53">
        <w:rPr>
          <w:rFonts w:eastAsia="Calibri"/>
          <w:b/>
          <w:color w:val="000000" w:themeColor="text1"/>
          <w:sz w:val="18"/>
          <w:szCs w:val="18"/>
        </w:rPr>
        <w:t>3.3</w:t>
      </w:r>
      <w:r w:rsidR="000F75B9" w:rsidRPr="00977E53">
        <w:rPr>
          <w:rFonts w:eastAsia="Calibri"/>
          <w:b/>
          <w:color w:val="000000" w:themeColor="text1"/>
          <w:sz w:val="18"/>
          <w:szCs w:val="18"/>
        </w:rPr>
        <w:t>.6.2.1.</w:t>
      </w:r>
      <w:r w:rsidRPr="00977E53">
        <w:rPr>
          <w:rFonts w:eastAsia="Calibri"/>
          <w:b/>
          <w:color w:val="000000" w:themeColor="text1"/>
          <w:sz w:val="18"/>
          <w:szCs w:val="18"/>
        </w:rPr>
        <w:tab/>
      </w:r>
      <w:r w:rsidR="000F75B9" w:rsidRPr="00977E53">
        <w:rPr>
          <w:rFonts w:eastAsia="Calibri"/>
          <w:b/>
          <w:color w:val="000000" w:themeColor="text1"/>
          <w:sz w:val="18"/>
          <w:szCs w:val="18"/>
        </w:rPr>
        <w:t>Wykorzystanie scenariuszy makroekonomicznych w szacowaniu ECL</w:t>
      </w:r>
    </w:p>
    <w:p w14:paraId="5657F85A" w14:textId="0373C3A6" w:rsidR="00626AEE" w:rsidRPr="00977E53" w:rsidRDefault="00626AEE" w:rsidP="00626AEE">
      <w:pPr>
        <w:spacing w:after="120"/>
        <w:jc w:val="both"/>
        <w:rPr>
          <w:rFonts w:eastAsia="Calibri"/>
          <w:color w:val="000000" w:themeColor="text1"/>
          <w:sz w:val="18"/>
          <w:szCs w:val="18"/>
        </w:rPr>
      </w:pPr>
      <w:r w:rsidRPr="00977E53">
        <w:rPr>
          <w:rFonts w:eastAsia="Calibri"/>
          <w:color w:val="000000" w:themeColor="text1"/>
          <w:sz w:val="18"/>
          <w:szCs w:val="18"/>
        </w:rPr>
        <w:t>Bank jest zobowiązany do wyznaczania oczekiwanej straty kredytowej w sposób, który odzwierciedla oczekiwania w zakresie różnych scenariuszy kształtowania się przyszłej sytuacji makroekonomicznej. W przypadku portfelowego szacowania ECL, Bank wyznacza parametr NLF (ang. non-linearity factor), który ma za zadanie korygować wartość oczekiwanej straty kredytowej (wyznaczanej co miesiąc). Wartość NLF jest wyznaczana co najmniej raz do roku, odrębnie dla segmentów detalicznych i korporacyjnych. Wartości współczynnika NLF są stosowane jako czynniki skalujące dla indywidualnych wartości ECL wyznaczanych na poziomie pojedynczych ekspozycji w poszczególnych segmentach na podstawie wyników 3 przeliczeń symulacyjnych wartości oczekiwanej straty kredytowej na identyczną datę raportową, wynikających z przyjętych scenariuszy makroekonomicznych. W szczególności parametr NLF dla danego segmentu jest wyznaczony jako iloraz:</w:t>
      </w:r>
    </w:p>
    <w:p w14:paraId="07DF83E5" w14:textId="562036B6" w:rsidR="00626AEE" w:rsidRPr="00977E53" w:rsidRDefault="00951E29" w:rsidP="00951E29">
      <w:pPr>
        <w:spacing w:after="120"/>
        <w:ind w:left="284" w:hanging="284"/>
        <w:jc w:val="both"/>
        <w:rPr>
          <w:rFonts w:eastAsia="Calibri"/>
          <w:color w:val="000000" w:themeColor="text1"/>
          <w:sz w:val="18"/>
          <w:szCs w:val="18"/>
        </w:rPr>
      </w:pPr>
      <w:r>
        <w:rPr>
          <w:rFonts w:eastAsia="Calibri"/>
          <w:color w:val="000000" w:themeColor="text1"/>
          <w:sz w:val="18"/>
          <w:szCs w:val="18"/>
        </w:rPr>
        <w:t>1.</w:t>
      </w:r>
      <w:r>
        <w:rPr>
          <w:rFonts w:eastAsia="Calibri"/>
          <w:color w:val="000000" w:themeColor="text1"/>
          <w:sz w:val="18"/>
          <w:szCs w:val="18"/>
        </w:rPr>
        <w:tab/>
      </w:r>
      <w:r w:rsidR="00626AEE" w:rsidRPr="00977E53">
        <w:rPr>
          <w:rFonts w:eastAsia="Calibri"/>
          <w:color w:val="000000" w:themeColor="text1"/>
          <w:sz w:val="18"/>
          <w:szCs w:val="18"/>
        </w:rPr>
        <w:t>ważonej prawdopodobieństwem realizacji scenariuszy, średniej wartości oczekiwanej straty z 3 scenariuszy makroekonomicznych (tzw. oszacowanie średnie), w skład których wchodzi: scenariusz bazowy, optymistyczny, pesymistyczny. Wagi tych scenariuszy odpowiadają prawdopodobieństwu realizacji każdego z nich i wynoszą odpowiednio 60% dla bazowego, 20% dla optymistycznego i 20% dla pesymistycznego.</w:t>
      </w:r>
    </w:p>
    <w:p w14:paraId="24D3960D" w14:textId="2E9813EC" w:rsidR="00626AEE" w:rsidRPr="00977E53" w:rsidRDefault="00951E29" w:rsidP="00951E29">
      <w:pPr>
        <w:spacing w:after="120"/>
        <w:ind w:left="284" w:hanging="284"/>
        <w:jc w:val="both"/>
        <w:rPr>
          <w:rFonts w:eastAsia="Calibri"/>
          <w:color w:val="000000" w:themeColor="text1"/>
          <w:sz w:val="18"/>
          <w:szCs w:val="18"/>
        </w:rPr>
      </w:pPr>
      <w:r>
        <w:rPr>
          <w:rFonts w:eastAsia="Calibri"/>
          <w:color w:val="000000" w:themeColor="text1"/>
          <w:sz w:val="18"/>
          <w:szCs w:val="18"/>
        </w:rPr>
        <w:t>2.</w:t>
      </w:r>
      <w:r>
        <w:rPr>
          <w:rFonts w:eastAsia="Calibri"/>
          <w:color w:val="000000" w:themeColor="text1"/>
          <w:sz w:val="18"/>
          <w:szCs w:val="18"/>
        </w:rPr>
        <w:tab/>
      </w:r>
      <w:r w:rsidR="00626AEE" w:rsidRPr="00977E53">
        <w:rPr>
          <w:rFonts w:eastAsia="Calibri"/>
          <w:color w:val="000000" w:themeColor="text1"/>
          <w:sz w:val="18"/>
          <w:szCs w:val="18"/>
        </w:rPr>
        <w:t>wartości oczekiwanej straty wyznaczonej w scenariuszu bazowym (oszacowanie referencyjne).</w:t>
      </w:r>
    </w:p>
    <w:p w14:paraId="64302A7E" w14:textId="2C0C3CA8" w:rsidR="00626AEE" w:rsidRPr="00977E53" w:rsidRDefault="00626AEE" w:rsidP="00626AEE">
      <w:pPr>
        <w:spacing w:after="120"/>
        <w:jc w:val="both"/>
        <w:rPr>
          <w:rFonts w:eastAsia="Calibri"/>
          <w:color w:val="000000" w:themeColor="text1"/>
          <w:sz w:val="18"/>
          <w:szCs w:val="18"/>
        </w:rPr>
      </w:pPr>
      <w:r w:rsidRPr="00977E53">
        <w:rPr>
          <w:rFonts w:eastAsia="Calibri"/>
          <w:color w:val="000000" w:themeColor="text1"/>
          <w:sz w:val="18"/>
          <w:szCs w:val="18"/>
        </w:rPr>
        <w:t>Przetwarzania symulacyjne, których wyniki są wykorzystywane do kalkulacji współczynnika NLF są</w:t>
      </w:r>
      <w:r w:rsidR="00A35AAC">
        <w:rPr>
          <w:rFonts w:eastAsia="Calibri"/>
          <w:color w:val="000000" w:themeColor="text1"/>
          <w:sz w:val="18"/>
          <w:szCs w:val="18"/>
        </w:rPr>
        <w:t> </w:t>
      </w:r>
      <w:r w:rsidRPr="00977E53">
        <w:rPr>
          <w:rFonts w:eastAsia="Calibri"/>
          <w:color w:val="000000" w:themeColor="text1"/>
          <w:sz w:val="18"/>
          <w:szCs w:val="18"/>
        </w:rPr>
        <w:t>wykonywane na podstawie tych samych danych wejściowych dotyczących charakterystyk ekspozycji, ale z wykorzystaniem różnych wektorów parametrów ryzyka, w przypadku gdy oczekiwania makroekonomiczne zdefiniowane w scenariuszach wpływają na wartości tych parametrów.</w:t>
      </w:r>
    </w:p>
    <w:p w14:paraId="26DAFF56" w14:textId="7980C20F" w:rsidR="00626AEE" w:rsidRPr="00977E53" w:rsidRDefault="00626AEE" w:rsidP="00626AEE">
      <w:pPr>
        <w:spacing w:after="120"/>
        <w:jc w:val="both"/>
        <w:rPr>
          <w:rFonts w:eastAsia="Calibri"/>
          <w:color w:val="000000" w:themeColor="text1"/>
          <w:sz w:val="18"/>
          <w:szCs w:val="18"/>
        </w:rPr>
      </w:pPr>
      <w:r w:rsidRPr="00977E53">
        <w:rPr>
          <w:rFonts w:eastAsia="Calibri"/>
          <w:color w:val="000000" w:themeColor="text1"/>
          <w:sz w:val="18"/>
          <w:szCs w:val="18"/>
        </w:rPr>
        <w:t xml:space="preserve">Dodatkowo uwzględnienie informacji </w:t>
      </w:r>
      <w:r w:rsidR="00076785">
        <w:rPr>
          <w:rFonts w:eastAsia="Calibri"/>
          <w:color w:val="000000" w:themeColor="text1"/>
          <w:sz w:val="18"/>
          <w:szCs w:val="18"/>
        </w:rPr>
        <w:t>dotyczących przyszłości (</w:t>
      </w:r>
      <w:r w:rsidRPr="00977E53">
        <w:rPr>
          <w:rFonts w:eastAsia="Calibri"/>
          <w:color w:val="000000" w:themeColor="text1"/>
          <w:sz w:val="18"/>
          <w:szCs w:val="18"/>
        </w:rPr>
        <w:t xml:space="preserve">forward-looking </w:t>
      </w:r>
      <w:r w:rsidR="00076785">
        <w:rPr>
          <w:rFonts w:eastAsia="Calibri"/>
          <w:color w:val="000000" w:themeColor="text1"/>
          <w:sz w:val="18"/>
          <w:szCs w:val="18"/>
        </w:rPr>
        <w:t xml:space="preserve">information) </w:t>
      </w:r>
      <w:r w:rsidRPr="00977E53">
        <w:rPr>
          <w:rFonts w:eastAsia="Calibri"/>
          <w:color w:val="000000" w:themeColor="text1"/>
          <w:sz w:val="18"/>
          <w:szCs w:val="18"/>
        </w:rPr>
        <w:t>ma miejsce w</w:t>
      </w:r>
      <w:r w:rsidR="00076785">
        <w:rPr>
          <w:rFonts w:eastAsia="Calibri"/>
          <w:color w:val="000000" w:themeColor="text1"/>
          <w:sz w:val="18"/>
          <w:szCs w:val="18"/>
        </w:rPr>
        <w:t> </w:t>
      </w:r>
      <w:r w:rsidRPr="00977E53">
        <w:rPr>
          <w:rFonts w:eastAsia="Calibri"/>
          <w:color w:val="000000" w:themeColor="text1"/>
          <w:sz w:val="18"/>
          <w:szCs w:val="18"/>
        </w:rPr>
        <w:t>modelach wszystkich trzech parametrów ryzyka kredytowego szacowanych w dożywotnim horyzoncie (LtPD, LtEAD, LtLGD). Dane</w:t>
      </w:r>
      <w:r w:rsidR="00076785">
        <w:rPr>
          <w:rFonts w:eastAsia="Calibri"/>
          <w:color w:val="000000" w:themeColor="text1"/>
          <w:sz w:val="18"/>
          <w:szCs w:val="18"/>
        </w:rPr>
        <w:t xml:space="preserve"> dotyczące przyszłości</w:t>
      </w:r>
      <w:r w:rsidRPr="00977E53">
        <w:rPr>
          <w:rFonts w:eastAsia="Calibri"/>
          <w:color w:val="000000" w:themeColor="text1"/>
          <w:sz w:val="18"/>
          <w:szCs w:val="18"/>
        </w:rPr>
        <w:t xml:space="preserve"> są wykorzystywane do wyznaczenia wartości parametrów w okresie powyżej 12</w:t>
      </w:r>
      <w:r w:rsidR="00A35AAC">
        <w:rPr>
          <w:rFonts w:eastAsia="Calibri"/>
          <w:color w:val="000000" w:themeColor="text1"/>
          <w:sz w:val="18"/>
          <w:szCs w:val="18"/>
        </w:rPr>
        <w:t> </w:t>
      </w:r>
      <w:r w:rsidRPr="00977E53">
        <w:rPr>
          <w:rFonts w:eastAsia="Calibri"/>
          <w:color w:val="000000" w:themeColor="text1"/>
          <w:sz w:val="18"/>
          <w:szCs w:val="18"/>
        </w:rPr>
        <w:t>miesięcy do 3 lat, co pozwala na zachowanie spójności z prognozami makroekonomicznymi wykonywanymi przez Bank i planowaniem średniorocznym. W oszacowaniach Bank wykorzystuje m</w:t>
      </w:r>
      <w:r w:rsidR="006308D0">
        <w:rPr>
          <w:rFonts w:eastAsia="Calibri"/>
          <w:color w:val="000000" w:themeColor="text1"/>
          <w:sz w:val="18"/>
          <w:szCs w:val="18"/>
        </w:rPr>
        <w:t>iędzy innymi</w:t>
      </w:r>
      <w:r w:rsidRPr="00977E53">
        <w:rPr>
          <w:rFonts w:eastAsia="Calibri"/>
          <w:color w:val="000000" w:themeColor="text1"/>
          <w:sz w:val="18"/>
          <w:szCs w:val="18"/>
        </w:rPr>
        <w:t xml:space="preserve"> ogólnodostępne wskaźniki makroekonomiczne (zatrudnienie w sektorze przedsiębiorstw, stopa bezrobocia, poziom exportu/importu, płace, rentowność obligacji, należności monetarnych instytucji finansowych od</w:t>
      </w:r>
      <w:r w:rsidR="00A35AAC">
        <w:rPr>
          <w:rFonts w:eastAsia="Calibri"/>
          <w:color w:val="000000" w:themeColor="text1"/>
          <w:sz w:val="18"/>
          <w:szCs w:val="18"/>
        </w:rPr>
        <w:t> </w:t>
      </w:r>
      <w:r w:rsidRPr="00977E53">
        <w:rPr>
          <w:rFonts w:eastAsia="Calibri"/>
          <w:color w:val="000000" w:themeColor="text1"/>
          <w:sz w:val="18"/>
          <w:szCs w:val="18"/>
        </w:rPr>
        <w:t>gospodarstw domowych), oczekiwania względem kształtowania się stóp procentowych i kursów walutowych, a także względem zmian cen nieruchomości.</w:t>
      </w:r>
    </w:p>
    <w:p w14:paraId="527F72AF" w14:textId="3A825EBC" w:rsidR="000F75B9" w:rsidRPr="00977E53" w:rsidRDefault="00626AEE" w:rsidP="00626AEE">
      <w:pPr>
        <w:spacing w:after="120"/>
        <w:jc w:val="both"/>
        <w:rPr>
          <w:rFonts w:eastAsia="Calibri"/>
          <w:color w:val="000000" w:themeColor="text1"/>
          <w:sz w:val="18"/>
          <w:szCs w:val="18"/>
        </w:rPr>
      </w:pPr>
      <w:r w:rsidRPr="00977E53">
        <w:rPr>
          <w:rFonts w:eastAsia="Calibri"/>
          <w:color w:val="000000" w:themeColor="text1"/>
          <w:sz w:val="18"/>
          <w:szCs w:val="18"/>
        </w:rPr>
        <w:t>W przypadku indywidualnego szacowania ECL, zakładane scenariusze odzysków uwzględniają różne warunki kształtowania się otoczenia makroekonomicznego</w:t>
      </w:r>
      <w:r w:rsidR="000F75B9" w:rsidRPr="00977E53">
        <w:rPr>
          <w:rFonts w:eastAsia="Calibri"/>
          <w:color w:val="000000" w:themeColor="text1"/>
          <w:sz w:val="18"/>
          <w:szCs w:val="18"/>
        </w:rPr>
        <w:t>.</w:t>
      </w:r>
    </w:p>
    <w:p w14:paraId="728FC3D7" w14:textId="345DFE58" w:rsidR="00853BD8" w:rsidRPr="00977E53" w:rsidRDefault="00D269B4" w:rsidP="00ED6EC0">
      <w:pPr>
        <w:suppressAutoHyphens/>
        <w:spacing w:after="120"/>
        <w:ind w:left="1134" w:hanging="1134"/>
        <w:jc w:val="both"/>
        <w:rPr>
          <w:rFonts w:eastAsia="Calibri"/>
          <w:b/>
          <w:color w:val="000000" w:themeColor="text1"/>
          <w:sz w:val="18"/>
          <w:szCs w:val="18"/>
        </w:rPr>
      </w:pPr>
      <w:r w:rsidRPr="00977E53">
        <w:rPr>
          <w:rFonts w:eastAsia="Calibri"/>
          <w:b/>
          <w:color w:val="000000" w:themeColor="text1"/>
          <w:sz w:val="18"/>
          <w:szCs w:val="18"/>
        </w:rPr>
        <w:t>3.3</w:t>
      </w:r>
      <w:r w:rsidR="00853BD8" w:rsidRPr="00977E53">
        <w:rPr>
          <w:rFonts w:eastAsia="Calibri"/>
          <w:b/>
          <w:color w:val="000000" w:themeColor="text1"/>
          <w:sz w:val="18"/>
          <w:szCs w:val="18"/>
        </w:rPr>
        <w:t>.6.2.2.</w:t>
      </w:r>
      <w:r w:rsidRPr="00977E53">
        <w:rPr>
          <w:rFonts w:eastAsia="Calibri"/>
          <w:b/>
          <w:color w:val="000000" w:themeColor="text1"/>
          <w:sz w:val="18"/>
          <w:szCs w:val="18"/>
        </w:rPr>
        <w:tab/>
      </w:r>
      <w:r w:rsidR="00853BD8" w:rsidRPr="00977E53">
        <w:rPr>
          <w:rFonts w:eastAsia="Calibri"/>
          <w:b/>
          <w:color w:val="000000" w:themeColor="text1"/>
          <w:sz w:val="18"/>
          <w:szCs w:val="18"/>
        </w:rPr>
        <w:t>Istotne zmiany modelowe</w:t>
      </w:r>
    </w:p>
    <w:p w14:paraId="1059044C" w14:textId="35073CE9" w:rsidR="00853BD8" w:rsidRDefault="00A35AAC" w:rsidP="00853BD8">
      <w:pPr>
        <w:suppressAutoHyphens/>
        <w:spacing w:after="120"/>
        <w:jc w:val="both"/>
        <w:rPr>
          <w:rFonts w:eastAsia="Calibri"/>
          <w:color w:val="000000" w:themeColor="text1"/>
          <w:sz w:val="18"/>
          <w:szCs w:val="18"/>
        </w:rPr>
      </w:pPr>
      <w:r>
        <w:rPr>
          <w:rFonts w:eastAsia="Calibri"/>
          <w:color w:val="000000" w:themeColor="text1"/>
          <w:sz w:val="18"/>
          <w:szCs w:val="18"/>
        </w:rPr>
        <w:t>W III</w:t>
      </w:r>
      <w:r w:rsidR="007B44D3" w:rsidRPr="00977E53">
        <w:rPr>
          <w:rFonts w:eastAsia="Calibri"/>
          <w:color w:val="000000" w:themeColor="text1"/>
          <w:sz w:val="18"/>
          <w:szCs w:val="18"/>
        </w:rPr>
        <w:t xml:space="preserve"> kwartale 2019 roku w związku ze znaczącymi zmianami w poziomie uzdrowień, odpowiedniemu dostosowaniu uległ model LT LGD dla segmentu deta</w:t>
      </w:r>
      <w:r w:rsidR="00B8269D">
        <w:rPr>
          <w:rFonts w:eastAsia="Calibri"/>
          <w:color w:val="000000" w:themeColor="text1"/>
          <w:sz w:val="18"/>
          <w:szCs w:val="18"/>
        </w:rPr>
        <w:t>licznego. Zmiany polegały na</w:t>
      </w:r>
      <w:r w:rsidR="007B44D3" w:rsidRPr="00977E53">
        <w:rPr>
          <w:rFonts w:eastAsia="Calibri"/>
          <w:color w:val="000000" w:themeColor="text1"/>
          <w:sz w:val="18"/>
          <w:szCs w:val="18"/>
        </w:rPr>
        <w:t xml:space="preserve"> dostosowaniu modeli do obecnie obserwowanych poziomów uzdrowień, zmianie w założeniach dotyczących metod szacowania oraz skróceniu okna kalibracji na potrzeby podkreślenia charakteru PIT modelu. Wpływ wyżej wymienionych zmian na poziom oczekiwanej straty kredytowej wyniósł 45 mln PLN</w:t>
      </w:r>
      <w:r w:rsidR="00B20FD9">
        <w:rPr>
          <w:rFonts w:eastAsia="Calibri"/>
          <w:color w:val="000000" w:themeColor="text1"/>
          <w:sz w:val="18"/>
          <w:szCs w:val="18"/>
        </w:rPr>
        <w:t xml:space="preserve"> (negatywny wpływ na</w:t>
      </w:r>
      <w:r w:rsidR="00124892">
        <w:rPr>
          <w:rFonts w:eastAsia="Calibri"/>
          <w:color w:val="000000" w:themeColor="text1"/>
          <w:sz w:val="18"/>
          <w:szCs w:val="18"/>
        </w:rPr>
        <w:t> </w:t>
      </w:r>
      <w:r w:rsidR="00B20FD9">
        <w:rPr>
          <w:rFonts w:eastAsia="Calibri"/>
          <w:color w:val="000000" w:themeColor="text1"/>
          <w:sz w:val="18"/>
          <w:szCs w:val="18"/>
        </w:rPr>
        <w:t>wynik)</w:t>
      </w:r>
      <w:r w:rsidR="00853BD8" w:rsidRPr="00977E53">
        <w:rPr>
          <w:rFonts w:eastAsia="Calibri"/>
          <w:color w:val="000000" w:themeColor="text1"/>
          <w:sz w:val="18"/>
          <w:szCs w:val="18"/>
        </w:rPr>
        <w:t>.</w:t>
      </w:r>
    </w:p>
    <w:p w14:paraId="0F4D68D8" w14:textId="791936B7" w:rsidR="007E6B3D" w:rsidRPr="00977E53" w:rsidRDefault="00A35AAC" w:rsidP="00853BD8">
      <w:pPr>
        <w:suppressAutoHyphens/>
        <w:spacing w:after="120"/>
        <w:jc w:val="both"/>
        <w:rPr>
          <w:rFonts w:eastAsia="Calibri"/>
          <w:color w:val="000000" w:themeColor="text1"/>
          <w:sz w:val="18"/>
          <w:szCs w:val="18"/>
        </w:rPr>
      </w:pPr>
      <w:r>
        <w:rPr>
          <w:rFonts w:eastAsia="Calibri"/>
          <w:color w:val="000000" w:themeColor="text1"/>
          <w:sz w:val="18"/>
          <w:szCs w:val="18"/>
        </w:rPr>
        <w:lastRenderedPageBreak/>
        <w:t>W IV</w:t>
      </w:r>
      <w:r w:rsidR="007E6B3D" w:rsidRPr="007E6B3D">
        <w:rPr>
          <w:rFonts w:eastAsia="Calibri"/>
          <w:color w:val="000000" w:themeColor="text1"/>
          <w:sz w:val="18"/>
          <w:szCs w:val="18"/>
        </w:rPr>
        <w:t xml:space="preserve"> kwartale 2019 roku Bank przeprowadził rekalibrację poziomu alokacji do koszyka 2 dla portfela detalicznego, skutkującą zmianą poziomu alokacji do 8% dla portfela detalicznych kredytów niezabezpieczonych hipotecznie oraz 5% dla portfela detalicznych kredytów zabezpieczonych hipotecznie. Zmiana podyktowana była poprawą adekwatności dla przesłanki ilościowej algorytmu Logiki Transferu, a</w:t>
      </w:r>
      <w:r w:rsidR="007E6B3D">
        <w:rPr>
          <w:rFonts w:eastAsia="Calibri"/>
          <w:color w:val="000000" w:themeColor="text1"/>
          <w:sz w:val="18"/>
          <w:szCs w:val="18"/>
        </w:rPr>
        <w:t> </w:t>
      </w:r>
      <w:r w:rsidR="007E6B3D" w:rsidRPr="007E6B3D">
        <w:rPr>
          <w:rFonts w:eastAsia="Calibri"/>
          <w:color w:val="000000" w:themeColor="text1"/>
          <w:sz w:val="18"/>
          <w:szCs w:val="18"/>
        </w:rPr>
        <w:t>w</w:t>
      </w:r>
      <w:r w:rsidR="007037B2">
        <w:rPr>
          <w:rFonts w:eastAsia="Calibri"/>
          <w:color w:val="000000" w:themeColor="text1"/>
          <w:sz w:val="18"/>
          <w:szCs w:val="18"/>
        </w:rPr>
        <w:t> </w:t>
      </w:r>
      <w:r w:rsidR="007E6B3D" w:rsidRPr="007E6B3D">
        <w:rPr>
          <w:rFonts w:eastAsia="Calibri"/>
          <w:color w:val="000000" w:themeColor="text1"/>
          <w:sz w:val="18"/>
          <w:szCs w:val="18"/>
        </w:rPr>
        <w:t>konsekwencji podniesieniem precyzji oszacowań oczekiwanej straty kredytowej. Wpływ wyżej wymienionej zmiany na poziom oczekiwanej straty kredytowej wyniósł 21 mln PLN (pozytywny wpływ na</w:t>
      </w:r>
      <w:r w:rsidR="00CF40D9">
        <w:rPr>
          <w:rFonts w:eastAsia="Calibri"/>
          <w:color w:val="000000" w:themeColor="text1"/>
          <w:sz w:val="18"/>
          <w:szCs w:val="18"/>
        </w:rPr>
        <w:t> </w:t>
      </w:r>
      <w:r w:rsidR="007E6B3D" w:rsidRPr="007E6B3D">
        <w:rPr>
          <w:rFonts w:eastAsia="Calibri"/>
          <w:color w:val="000000" w:themeColor="text1"/>
          <w:sz w:val="18"/>
          <w:szCs w:val="18"/>
        </w:rPr>
        <w:t>wynik)</w:t>
      </w:r>
      <w:r w:rsidR="007E6B3D">
        <w:rPr>
          <w:rFonts w:eastAsia="Calibri"/>
          <w:color w:val="000000" w:themeColor="text1"/>
          <w:sz w:val="18"/>
          <w:szCs w:val="18"/>
        </w:rPr>
        <w:t>.</w:t>
      </w:r>
    </w:p>
    <w:p w14:paraId="5071CDB0" w14:textId="7BA998F6" w:rsidR="00E347D7" w:rsidRPr="00977E53" w:rsidRDefault="00D269B4" w:rsidP="00ED6EC0">
      <w:pPr>
        <w:autoSpaceDE w:val="0"/>
        <w:autoSpaceDN w:val="0"/>
        <w:adjustRightInd w:val="0"/>
        <w:spacing w:after="120"/>
        <w:ind w:left="993" w:hanging="993"/>
        <w:jc w:val="both"/>
        <w:rPr>
          <w:rFonts w:eastAsia="Calibri"/>
          <w:b/>
          <w:color w:val="000000" w:themeColor="text1"/>
          <w:sz w:val="18"/>
          <w:szCs w:val="18"/>
        </w:rPr>
      </w:pPr>
      <w:r w:rsidRPr="00977E53">
        <w:rPr>
          <w:rFonts w:eastAsia="Calibri"/>
          <w:b/>
          <w:color w:val="000000" w:themeColor="text1"/>
          <w:sz w:val="18"/>
          <w:szCs w:val="18"/>
        </w:rPr>
        <w:t>3.3</w:t>
      </w:r>
      <w:r w:rsidR="00E347D7" w:rsidRPr="00977E53">
        <w:rPr>
          <w:rFonts w:eastAsia="Calibri"/>
          <w:b/>
          <w:color w:val="000000" w:themeColor="text1"/>
          <w:sz w:val="18"/>
          <w:szCs w:val="18"/>
        </w:rPr>
        <w:t>.6.3</w:t>
      </w:r>
      <w:r w:rsidRPr="00977E53">
        <w:rPr>
          <w:rFonts w:eastAsia="Calibri"/>
          <w:b/>
          <w:color w:val="000000" w:themeColor="text1"/>
          <w:sz w:val="18"/>
          <w:szCs w:val="18"/>
        </w:rPr>
        <w:t>.</w:t>
      </w:r>
      <w:r w:rsidRPr="00977E53">
        <w:rPr>
          <w:rFonts w:eastAsia="Calibri"/>
          <w:b/>
          <w:color w:val="000000" w:themeColor="text1"/>
          <w:sz w:val="18"/>
          <w:szCs w:val="18"/>
        </w:rPr>
        <w:tab/>
      </w:r>
      <w:r w:rsidR="00E347D7" w:rsidRPr="00977E53">
        <w:rPr>
          <w:rFonts w:eastAsia="Calibri"/>
          <w:b/>
          <w:color w:val="000000" w:themeColor="text1"/>
          <w:sz w:val="18"/>
          <w:szCs w:val="18"/>
        </w:rPr>
        <w:t>Pokrycie kosztami ryzyka kredytowego poszczególnych pod-portfeli</w:t>
      </w:r>
    </w:p>
    <w:p w14:paraId="38ECBCF8" w14:textId="282262AD" w:rsidR="00DE5270" w:rsidRPr="00977E53" w:rsidRDefault="00E347D7" w:rsidP="00E347D7">
      <w:pPr>
        <w:spacing w:after="120"/>
        <w:jc w:val="both"/>
        <w:rPr>
          <w:rFonts w:eastAsia="Calibri"/>
          <w:color w:val="000000" w:themeColor="text1"/>
          <w:sz w:val="18"/>
          <w:szCs w:val="18"/>
        </w:rPr>
      </w:pPr>
      <w:r w:rsidRPr="00977E53">
        <w:rPr>
          <w:rFonts w:eastAsia="Calibri"/>
          <w:color w:val="000000" w:themeColor="text1"/>
          <w:sz w:val="18"/>
          <w:szCs w:val="18"/>
        </w:rPr>
        <w:t xml:space="preserve">Poniższe tabele prezentują udział procentowy pozycji bilansowych i pozabilansowych Grupy, odnoszących się do kredytów i pożyczek oraz gwarancji i akredytyw udzielonych klientom indywidualnym, korporacyjnym i budżetowym oraz pokrycia ekspozycji kosztami ryzyka kredytowego dla każdej kategorii wewnętrznego ratingu stosowanego przez Bank (opis modelu ratingu jest przedstawiony w Nocie </w:t>
      </w:r>
      <w:r w:rsidR="00005452" w:rsidRPr="00977E53">
        <w:rPr>
          <w:rFonts w:eastAsia="Calibri"/>
          <w:color w:val="000000" w:themeColor="text1"/>
          <w:sz w:val="18"/>
          <w:szCs w:val="18"/>
        </w:rPr>
        <w:t>3.3</w:t>
      </w:r>
      <w:r w:rsidRPr="00977E53">
        <w:rPr>
          <w:rFonts w:eastAsia="Calibri"/>
          <w:color w:val="000000" w:themeColor="text1"/>
          <w:sz w:val="18"/>
          <w:szCs w:val="18"/>
        </w:rPr>
        <w:t>.4).</w:t>
      </w:r>
    </w:p>
    <w:p w14:paraId="6D1A3C60" w14:textId="3BAB0D02" w:rsidR="00E347D7" w:rsidRPr="00977E53" w:rsidRDefault="00E347D7" w:rsidP="00E347D7">
      <w:pPr>
        <w:spacing w:after="120"/>
        <w:jc w:val="both"/>
        <w:rPr>
          <w:rFonts w:eastAsia="Calibri"/>
          <w:color w:val="000000" w:themeColor="text1"/>
          <w:sz w:val="18"/>
          <w:szCs w:val="18"/>
          <w:u w:val="single"/>
        </w:rPr>
      </w:pPr>
      <w:r w:rsidRPr="00977E53">
        <w:rPr>
          <w:rFonts w:eastAsia="Calibri"/>
          <w:color w:val="000000" w:themeColor="text1"/>
          <w:sz w:val="18"/>
          <w:szCs w:val="18"/>
          <w:u w:val="single"/>
        </w:rPr>
        <w:t>Portfel wyceniany w zamortyzowanym koszcie</w:t>
      </w:r>
    </w:p>
    <w:tbl>
      <w:tblPr>
        <w:tblW w:w="9498" w:type="dxa"/>
        <w:tblCellMar>
          <w:left w:w="28" w:type="dxa"/>
          <w:right w:w="28" w:type="dxa"/>
        </w:tblCellMar>
        <w:tblLook w:val="04A0" w:firstRow="1" w:lastRow="0" w:firstColumn="1" w:lastColumn="0" w:noHBand="0" w:noVBand="1"/>
      </w:tblPr>
      <w:tblGrid>
        <w:gridCol w:w="2410"/>
        <w:gridCol w:w="1843"/>
        <w:gridCol w:w="1701"/>
        <w:gridCol w:w="1843"/>
        <w:gridCol w:w="1701"/>
      </w:tblGrid>
      <w:tr w:rsidR="0032584F" w:rsidRPr="00B01EB8" w14:paraId="7E1867F9" w14:textId="77777777" w:rsidTr="000737AF">
        <w:trPr>
          <w:trHeight w:val="397"/>
        </w:trPr>
        <w:tc>
          <w:tcPr>
            <w:tcW w:w="2410" w:type="dxa"/>
            <w:vMerge w:val="restart"/>
            <w:tcBorders>
              <w:top w:val="nil"/>
              <w:left w:val="nil"/>
              <w:bottom w:val="nil"/>
              <w:right w:val="single" w:sz="8" w:space="0" w:color="FFFFFF"/>
            </w:tcBorders>
            <w:shd w:val="clear" w:color="000000" w:fill="0077BD"/>
            <w:vAlign w:val="center"/>
            <w:hideMark/>
          </w:tcPr>
          <w:p w14:paraId="000156F4" w14:textId="79EE8640" w:rsidR="0032584F" w:rsidRPr="00B01EB8" w:rsidRDefault="006B09AA" w:rsidP="009E1F91">
            <w:pPr>
              <w:jc w:val="center"/>
              <w:rPr>
                <w:rFonts w:cs="Calibri"/>
                <w:b/>
                <w:bCs/>
                <w:color w:val="FFFFFF"/>
                <w:sz w:val="14"/>
                <w:szCs w:val="18"/>
              </w:rPr>
            </w:pPr>
            <w:r>
              <w:rPr>
                <w:rFonts w:cs="Calibri"/>
                <w:b/>
                <w:bCs/>
                <w:color w:val="FFFFFF"/>
                <w:sz w:val="14"/>
                <w:szCs w:val="18"/>
              </w:rPr>
              <w:t>Pod - portfel</w:t>
            </w:r>
          </w:p>
        </w:tc>
        <w:tc>
          <w:tcPr>
            <w:tcW w:w="3544" w:type="dxa"/>
            <w:gridSpan w:val="2"/>
            <w:tcBorders>
              <w:top w:val="nil"/>
              <w:left w:val="nil"/>
              <w:bottom w:val="single" w:sz="8" w:space="0" w:color="FFFFFF"/>
              <w:right w:val="single" w:sz="8" w:space="0" w:color="FFFFFF"/>
            </w:tcBorders>
            <w:shd w:val="clear" w:color="000000" w:fill="0077BD"/>
            <w:vAlign w:val="center"/>
            <w:hideMark/>
          </w:tcPr>
          <w:p w14:paraId="4E717E38" w14:textId="77777777" w:rsidR="0032584F" w:rsidRPr="00B01EB8" w:rsidRDefault="0032584F" w:rsidP="009E1F91">
            <w:pPr>
              <w:jc w:val="center"/>
              <w:rPr>
                <w:rFonts w:cs="Calibri"/>
                <w:b/>
                <w:bCs/>
                <w:color w:val="FFFFFF"/>
                <w:sz w:val="14"/>
                <w:szCs w:val="18"/>
              </w:rPr>
            </w:pPr>
            <w:r w:rsidRPr="00B01EB8">
              <w:rPr>
                <w:rFonts w:cs="Calibri"/>
                <w:b/>
                <w:bCs/>
                <w:color w:val="FFFFFF"/>
                <w:sz w:val="14"/>
                <w:szCs w:val="18"/>
              </w:rPr>
              <w:t>31.12.2019</w:t>
            </w:r>
          </w:p>
        </w:tc>
        <w:tc>
          <w:tcPr>
            <w:tcW w:w="3544" w:type="dxa"/>
            <w:gridSpan w:val="2"/>
            <w:tcBorders>
              <w:top w:val="nil"/>
              <w:left w:val="nil"/>
              <w:bottom w:val="single" w:sz="8" w:space="0" w:color="FFFFFF"/>
              <w:right w:val="single" w:sz="8" w:space="0" w:color="FFFFFF"/>
            </w:tcBorders>
            <w:shd w:val="clear" w:color="000000" w:fill="0077BD"/>
            <w:vAlign w:val="center"/>
            <w:hideMark/>
          </w:tcPr>
          <w:p w14:paraId="7304114B" w14:textId="77777777" w:rsidR="0032584F" w:rsidRPr="00B01EB8" w:rsidRDefault="0032584F" w:rsidP="009E1F91">
            <w:pPr>
              <w:jc w:val="center"/>
              <w:rPr>
                <w:rFonts w:cs="Calibri"/>
                <w:b/>
                <w:bCs/>
                <w:color w:val="FFFFFF"/>
                <w:sz w:val="14"/>
                <w:szCs w:val="18"/>
              </w:rPr>
            </w:pPr>
            <w:r w:rsidRPr="00B01EB8">
              <w:rPr>
                <w:rFonts w:cs="Calibri"/>
                <w:b/>
                <w:bCs/>
                <w:color w:val="FFFFFF"/>
                <w:sz w:val="14"/>
                <w:szCs w:val="18"/>
              </w:rPr>
              <w:t>31.12.2018</w:t>
            </w:r>
          </w:p>
        </w:tc>
      </w:tr>
      <w:tr w:rsidR="006B09AA" w:rsidRPr="00B01EB8" w14:paraId="7E35556E" w14:textId="77777777" w:rsidTr="000737AF">
        <w:trPr>
          <w:trHeight w:val="397"/>
        </w:trPr>
        <w:tc>
          <w:tcPr>
            <w:tcW w:w="2410" w:type="dxa"/>
            <w:vMerge/>
            <w:tcBorders>
              <w:top w:val="nil"/>
              <w:left w:val="nil"/>
              <w:bottom w:val="nil"/>
              <w:right w:val="single" w:sz="8" w:space="0" w:color="FFFFFF"/>
            </w:tcBorders>
            <w:vAlign w:val="center"/>
            <w:hideMark/>
          </w:tcPr>
          <w:p w14:paraId="0959B3DF" w14:textId="77777777" w:rsidR="006B09AA" w:rsidRPr="00B01EB8" w:rsidRDefault="006B09AA" w:rsidP="006B09AA">
            <w:pPr>
              <w:rPr>
                <w:rFonts w:cs="Calibri"/>
                <w:b/>
                <w:bCs/>
                <w:color w:val="FFFFFF"/>
                <w:sz w:val="14"/>
                <w:szCs w:val="18"/>
              </w:rPr>
            </w:pPr>
          </w:p>
        </w:tc>
        <w:tc>
          <w:tcPr>
            <w:tcW w:w="1843" w:type="dxa"/>
            <w:tcBorders>
              <w:top w:val="nil"/>
              <w:left w:val="nil"/>
              <w:bottom w:val="nil"/>
              <w:right w:val="single" w:sz="8" w:space="0" w:color="FFFFFF"/>
            </w:tcBorders>
            <w:shd w:val="clear" w:color="000000" w:fill="0077BD"/>
            <w:vAlign w:val="center"/>
            <w:hideMark/>
          </w:tcPr>
          <w:p w14:paraId="51562197" w14:textId="1C2BC24E" w:rsidR="006B09AA" w:rsidRPr="00B01EB8" w:rsidRDefault="006B09AA" w:rsidP="006B09AA">
            <w:pPr>
              <w:jc w:val="center"/>
              <w:rPr>
                <w:rFonts w:cs="Calibri"/>
                <w:b/>
                <w:bCs/>
                <w:color w:val="FFFFFF"/>
                <w:sz w:val="14"/>
                <w:szCs w:val="18"/>
              </w:rPr>
            </w:pPr>
            <w:r>
              <w:rPr>
                <w:rFonts w:cs="Calibri"/>
                <w:b/>
                <w:bCs/>
                <w:color w:val="FFFFFF"/>
                <w:sz w:val="14"/>
                <w:szCs w:val="18"/>
              </w:rPr>
              <w:t>Udział zaangażowania</w:t>
            </w:r>
            <w:r w:rsidRPr="00B01EB8">
              <w:rPr>
                <w:rFonts w:cs="Calibri"/>
                <w:b/>
                <w:bCs/>
                <w:color w:val="FFFFFF"/>
                <w:sz w:val="14"/>
                <w:szCs w:val="18"/>
              </w:rPr>
              <w:t xml:space="preserve"> </w:t>
            </w:r>
            <w:r w:rsidRPr="00B01EB8">
              <w:rPr>
                <w:rFonts w:cs="Calibri"/>
                <w:b/>
                <w:bCs/>
                <w:color w:val="FFFFFF"/>
                <w:sz w:val="14"/>
                <w:szCs w:val="18"/>
              </w:rPr>
              <w:br/>
              <w:t>(%)</w:t>
            </w:r>
          </w:p>
        </w:tc>
        <w:tc>
          <w:tcPr>
            <w:tcW w:w="1701" w:type="dxa"/>
            <w:tcBorders>
              <w:top w:val="nil"/>
              <w:left w:val="nil"/>
              <w:bottom w:val="nil"/>
              <w:right w:val="single" w:sz="8" w:space="0" w:color="FFFFFF"/>
            </w:tcBorders>
            <w:shd w:val="clear" w:color="000000" w:fill="0077BD"/>
            <w:vAlign w:val="center"/>
            <w:hideMark/>
          </w:tcPr>
          <w:p w14:paraId="705384CE" w14:textId="3C6EE4D0" w:rsidR="006B09AA" w:rsidRPr="00B01EB8" w:rsidRDefault="006B09AA" w:rsidP="006B09AA">
            <w:pPr>
              <w:jc w:val="center"/>
              <w:rPr>
                <w:rFonts w:cs="Calibri"/>
                <w:b/>
                <w:bCs/>
                <w:color w:val="FFFFFF"/>
                <w:sz w:val="14"/>
                <w:szCs w:val="18"/>
              </w:rPr>
            </w:pPr>
            <w:r>
              <w:rPr>
                <w:rFonts w:cs="Calibri"/>
                <w:b/>
                <w:bCs/>
                <w:color w:val="FFFFFF"/>
                <w:sz w:val="14"/>
                <w:szCs w:val="18"/>
              </w:rPr>
              <w:t>Pokrycie rezerwą</w:t>
            </w:r>
            <w:r w:rsidRPr="00B01EB8">
              <w:rPr>
                <w:rFonts w:cs="Calibri"/>
                <w:b/>
                <w:bCs/>
                <w:color w:val="FFFFFF"/>
                <w:sz w:val="14"/>
                <w:szCs w:val="18"/>
              </w:rPr>
              <w:t xml:space="preserve"> </w:t>
            </w:r>
            <w:r w:rsidRPr="00B01EB8">
              <w:rPr>
                <w:rFonts w:cs="Calibri"/>
                <w:b/>
                <w:bCs/>
                <w:color w:val="FFFFFF"/>
                <w:sz w:val="14"/>
                <w:szCs w:val="18"/>
              </w:rPr>
              <w:br/>
              <w:t>(%)</w:t>
            </w:r>
          </w:p>
        </w:tc>
        <w:tc>
          <w:tcPr>
            <w:tcW w:w="1843" w:type="dxa"/>
            <w:tcBorders>
              <w:top w:val="nil"/>
              <w:left w:val="nil"/>
              <w:bottom w:val="nil"/>
              <w:right w:val="single" w:sz="8" w:space="0" w:color="FFFFFF"/>
            </w:tcBorders>
            <w:shd w:val="clear" w:color="000000" w:fill="0077BD"/>
            <w:vAlign w:val="center"/>
            <w:hideMark/>
          </w:tcPr>
          <w:p w14:paraId="4F1AC2B4" w14:textId="19A15F5A" w:rsidR="006B09AA" w:rsidRPr="00B01EB8" w:rsidRDefault="006B09AA" w:rsidP="006B09AA">
            <w:pPr>
              <w:jc w:val="center"/>
              <w:rPr>
                <w:rFonts w:cs="Calibri"/>
                <w:b/>
                <w:bCs/>
                <w:color w:val="FFFFFF"/>
                <w:sz w:val="14"/>
                <w:szCs w:val="18"/>
              </w:rPr>
            </w:pPr>
            <w:r>
              <w:rPr>
                <w:rFonts w:cs="Calibri"/>
                <w:b/>
                <w:bCs/>
                <w:color w:val="FFFFFF"/>
                <w:sz w:val="14"/>
                <w:szCs w:val="18"/>
              </w:rPr>
              <w:t>Udział zaangażowania</w:t>
            </w:r>
            <w:r w:rsidRPr="00B01EB8">
              <w:rPr>
                <w:rFonts w:cs="Calibri"/>
                <w:b/>
                <w:bCs/>
                <w:color w:val="FFFFFF"/>
                <w:sz w:val="14"/>
                <w:szCs w:val="18"/>
              </w:rPr>
              <w:t xml:space="preserve"> </w:t>
            </w:r>
            <w:r w:rsidRPr="00B01EB8">
              <w:rPr>
                <w:rFonts w:cs="Calibri"/>
                <w:b/>
                <w:bCs/>
                <w:color w:val="FFFFFF"/>
                <w:sz w:val="14"/>
                <w:szCs w:val="18"/>
              </w:rPr>
              <w:br/>
              <w:t>(%)</w:t>
            </w:r>
          </w:p>
        </w:tc>
        <w:tc>
          <w:tcPr>
            <w:tcW w:w="1701" w:type="dxa"/>
            <w:tcBorders>
              <w:top w:val="nil"/>
              <w:left w:val="nil"/>
              <w:bottom w:val="nil"/>
              <w:right w:val="single" w:sz="8" w:space="0" w:color="FFFFFF"/>
            </w:tcBorders>
            <w:shd w:val="clear" w:color="000000" w:fill="0077BD"/>
            <w:vAlign w:val="center"/>
            <w:hideMark/>
          </w:tcPr>
          <w:p w14:paraId="50AC5492" w14:textId="7CFD3497" w:rsidR="006B09AA" w:rsidRPr="00B01EB8" w:rsidRDefault="006B09AA" w:rsidP="006B09AA">
            <w:pPr>
              <w:jc w:val="center"/>
              <w:rPr>
                <w:rFonts w:cs="Calibri"/>
                <w:b/>
                <w:bCs/>
                <w:color w:val="FFFFFF"/>
                <w:sz w:val="14"/>
                <w:szCs w:val="18"/>
              </w:rPr>
            </w:pPr>
            <w:r>
              <w:rPr>
                <w:rFonts w:cs="Calibri"/>
                <w:b/>
                <w:bCs/>
                <w:color w:val="FFFFFF"/>
                <w:sz w:val="14"/>
                <w:szCs w:val="18"/>
              </w:rPr>
              <w:t>Pokrycie rezerwą</w:t>
            </w:r>
            <w:r w:rsidRPr="00B01EB8">
              <w:rPr>
                <w:rFonts w:cs="Calibri"/>
                <w:b/>
                <w:bCs/>
                <w:color w:val="FFFFFF"/>
                <w:sz w:val="14"/>
                <w:szCs w:val="18"/>
              </w:rPr>
              <w:t xml:space="preserve"> </w:t>
            </w:r>
            <w:r w:rsidRPr="00B01EB8">
              <w:rPr>
                <w:rFonts w:cs="Calibri"/>
                <w:b/>
                <w:bCs/>
                <w:color w:val="FFFFFF"/>
                <w:sz w:val="14"/>
                <w:szCs w:val="18"/>
              </w:rPr>
              <w:br/>
              <w:t>(%)</w:t>
            </w:r>
          </w:p>
        </w:tc>
      </w:tr>
      <w:tr w:rsidR="00BD51B4" w:rsidRPr="00977E53" w14:paraId="7708C213"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5F1B487B"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1</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34B889B3" w14:textId="31B63F2E" w:rsidR="00BD51B4" w:rsidRPr="00BD51B4" w:rsidRDefault="00BD51B4" w:rsidP="00BD51B4">
            <w:pPr>
              <w:jc w:val="right"/>
              <w:rPr>
                <w:rFonts w:cs="Calibri"/>
                <w:color w:val="000000" w:themeColor="text1"/>
                <w:sz w:val="14"/>
                <w:szCs w:val="14"/>
              </w:rPr>
            </w:pPr>
            <w:r w:rsidRPr="00BD51B4">
              <w:rPr>
                <w:rFonts w:cs="Calibri"/>
                <w:sz w:val="14"/>
                <w:szCs w:val="14"/>
              </w:rPr>
              <w:t>14,32</w:t>
            </w:r>
          </w:p>
        </w:tc>
        <w:tc>
          <w:tcPr>
            <w:tcW w:w="1701" w:type="dxa"/>
            <w:tcBorders>
              <w:top w:val="nil"/>
              <w:left w:val="nil"/>
              <w:bottom w:val="single" w:sz="4" w:space="0" w:color="0077BD"/>
              <w:right w:val="single" w:sz="8" w:space="0" w:color="0077BD"/>
            </w:tcBorders>
            <w:shd w:val="clear" w:color="auto" w:fill="auto"/>
            <w:vAlign w:val="center"/>
          </w:tcPr>
          <w:p w14:paraId="26876AE6" w14:textId="7248107B" w:rsidR="00BD51B4" w:rsidRPr="00BD51B4" w:rsidRDefault="00BD51B4" w:rsidP="00BD51B4">
            <w:pPr>
              <w:jc w:val="right"/>
              <w:rPr>
                <w:rFonts w:cs="Calibri"/>
                <w:color w:val="000000" w:themeColor="text1"/>
                <w:sz w:val="14"/>
                <w:szCs w:val="14"/>
              </w:rPr>
            </w:pPr>
            <w:r w:rsidRPr="00BD51B4">
              <w:rPr>
                <w:rFonts w:cs="Calibri"/>
                <w:sz w:val="14"/>
                <w:szCs w:val="14"/>
              </w:rPr>
              <w:t>0,01</w:t>
            </w:r>
          </w:p>
        </w:tc>
        <w:tc>
          <w:tcPr>
            <w:tcW w:w="1843" w:type="dxa"/>
            <w:tcBorders>
              <w:top w:val="nil"/>
              <w:left w:val="nil"/>
              <w:bottom w:val="single" w:sz="4" w:space="0" w:color="0077BD"/>
              <w:right w:val="single" w:sz="8" w:space="0" w:color="0077BD"/>
            </w:tcBorders>
            <w:shd w:val="clear" w:color="auto" w:fill="auto"/>
            <w:vAlign w:val="center"/>
            <w:hideMark/>
          </w:tcPr>
          <w:p w14:paraId="341CCF59" w14:textId="314B07C4"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13,36</w:t>
            </w:r>
          </w:p>
        </w:tc>
        <w:tc>
          <w:tcPr>
            <w:tcW w:w="1701" w:type="dxa"/>
            <w:tcBorders>
              <w:top w:val="nil"/>
              <w:left w:val="nil"/>
              <w:bottom w:val="single" w:sz="4" w:space="0" w:color="0077BD"/>
              <w:right w:val="nil"/>
            </w:tcBorders>
            <w:shd w:val="clear" w:color="auto" w:fill="auto"/>
            <w:vAlign w:val="center"/>
            <w:hideMark/>
          </w:tcPr>
          <w:p w14:paraId="504B6259" w14:textId="77777777"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0,01</w:t>
            </w:r>
          </w:p>
        </w:tc>
      </w:tr>
      <w:tr w:rsidR="00BD51B4" w:rsidRPr="00977E53" w14:paraId="05DBF862"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260A59A0"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2</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761D1960" w14:textId="7EA89854" w:rsidR="00BD51B4" w:rsidRPr="00BD51B4" w:rsidRDefault="00BD51B4" w:rsidP="00BD51B4">
            <w:pPr>
              <w:jc w:val="right"/>
              <w:rPr>
                <w:rFonts w:cs="Calibri"/>
                <w:color w:val="000000" w:themeColor="text1"/>
                <w:sz w:val="14"/>
                <w:szCs w:val="14"/>
              </w:rPr>
            </w:pPr>
            <w:r w:rsidRPr="00BD51B4">
              <w:rPr>
                <w:rFonts w:cs="Calibri"/>
                <w:sz w:val="14"/>
                <w:szCs w:val="14"/>
              </w:rPr>
              <w:t>28,13</w:t>
            </w:r>
          </w:p>
        </w:tc>
        <w:tc>
          <w:tcPr>
            <w:tcW w:w="1701" w:type="dxa"/>
            <w:tcBorders>
              <w:top w:val="nil"/>
              <w:left w:val="nil"/>
              <w:bottom w:val="single" w:sz="4" w:space="0" w:color="0077BD"/>
              <w:right w:val="single" w:sz="8" w:space="0" w:color="0077BD"/>
            </w:tcBorders>
            <w:shd w:val="clear" w:color="auto" w:fill="auto"/>
            <w:vAlign w:val="center"/>
          </w:tcPr>
          <w:p w14:paraId="5563784D" w14:textId="12019E03" w:rsidR="00BD51B4" w:rsidRPr="00BD51B4" w:rsidRDefault="00BD51B4" w:rsidP="00BD51B4">
            <w:pPr>
              <w:jc w:val="right"/>
              <w:rPr>
                <w:rFonts w:cs="Calibri"/>
                <w:color w:val="000000" w:themeColor="text1"/>
                <w:sz w:val="14"/>
                <w:szCs w:val="14"/>
              </w:rPr>
            </w:pPr>
            <w:r w:rsidRPr="00BD51B4">
              <w:rPr>
                <w:rFonts w:cs="Calibri"/>
                <w:sz w:val="14"/>
                <w:szCs w:val="14"/>
              </w:rPr>
              <w:t>0,06</w:t>
            </w:r>
          </w:p>
        </w:tc>
        <w:tc>
          <w:tcPr>
            <w:tcW w:w="1843" w:type="dxa"/>
            <w:tcBorders>
              <w:top w:val="nil"/>
              <w:left w:val="nil"/>
              <w:bottom w:val="single" w:sz="4" w:space="0" w:color="0077BD"/>
              <w:right w:val="single" w:sz="8" w:space="0" w:color="0077BD"/>
            </w:tcBorders>
            <w:shd w:val="clear" w:color="auto" w:fill="auto"/>
            <w:vAlign w:val="center"/>
            <w:hideMark/>
          </w:tcPr>
          <w:p w14:paraId="640B08B3" w14:textId="4D3F8097"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31,63</w:t>
            </w:r>
          </w:p>
        </w:tc>
        <w:tc>
          <w:tcPr>
            <w:tcW w:w="1701" w:type="dxa"/>
            <w:tcBorders>
              <w:top w:val="nil"/>
              <w:left w:val="nil"/>
              <w:bottom w:val="single" w:sz="4" w:space="0" w:color="0077BD"/>
              <w:right w:val="nil"/>
            </w:tcBorders>
            <w:shd w:val="clear" w:color="auto" w:fill="auto"/>
            <w:vAlign w:val="center"/>
            <w:hideMark/>
          </w:tcPr>
          <w:p w14:paraId="165995FE" w14:textId="5914B57A"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0,06</w:t>
            </w:r>
          </w:p>
        </w:tc>
      </w:tr>
      <w:tr w:rsidR="00BD51B4" w:rsidRPr="00977E53" w14:paraId="37250777"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62D48989"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3</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0EAD46FB" w14:textId="18D48FB9" w:rsidR="00BD51B4" w:rsidRPr="00BD51B4" w:rsidRDefault="00BD51B4" w:rsidP="00BD51B4">
            <w:pPr>
              <w:jc w:val="right"/>
              <w:rPr>
                <w:rFonts w:cs="Calibri"/>
                <w:color w:val="000000" w:themeColor="text1"/>
                <w:sz w:val="14"/>
                <w:szCs w:val="14"/>
              </w:rPr>
            </w:pPr>
            <w:r w:rsidRPr="00BD51B4">
              <w:rPr>
                <w:rFonts w:cs="Calibri"/>
                <w:sz w:val="14"/>
                <w:szCs w:val="14"/>
              </w:rPr>
              <w:t>16,61</w:t>
            </w:r>
          </w:p>
        </w:tc>
        <w:tc>
          <w:tcPr>
            <w:tcW w:w="1701" w:type="dxa"/>
            <w:tcBorders>
              <w:top w:val="nil"/>
              <w:left w:val="nil"/>
              <w:bottom w:val="single" w:sz="4" w:space="0" w:color="0077BD"/>
              <w:right w:val="single" w:sz="8" w:space="0" w:color="0077BD"/>
            </w:tcBorders>
            <w:shd w:val="clear" w:color="auto" w:fill="auto"/>
            <w:vAlign w:val="center"/>
          </w:tcPr>
          <w:p w14:paraId="2888C87A" w14:textId="16F966E1" w:rsidR="00BD51B4" w:rsidRPr="00BD51B4" w:rsidRDefault="00BD51B4" w:rsidP="00BD51B4">
            <w:pPr>
              <w:jc w:val="right"/>
              <w:rPr>
                <w:rFonts w:cs="Calibri"/>
                <w:color w:val="000000" w:themeColor="text1"/>
                <w:sz w:val="14"/>
                <w:szCs w:val="14"/>
              </w:rPr>
            </w:pPr>
            <w:r w:rsidRPr="00BD51B4">
              <w:rPr>
                <w:rFonts w:cs="Calibri"/>
                <w:sz w:val="14"/>
                <w:szCs w:val="14"/>
              </w:rPr>
              <w:t>0,15</w:t>
            </w:r>
          </w:p>
        </w:tc>
        <w:tc>
          <w:tcPr>
            <w:tcW w:w="1843" w:type="dxa"/>
            <w:tcBorders>
              <w:top w:val="nil"/>
              <w:left w:val="nil"/>
              <w:bottom w:val="single" w:sz="4" w:space="0" w:color="0077BD"/>
              <w:right w:val="single" w:sz="8" w:space="0" w:color="0077BD"/>
            </w:tcBorders>
            <w:shd w:val="clear" w:color="auto" w:fill="auto"/>
            <w:vAlign w:val="center"/>
            <w:hideMark/>
          </w:tcPr>
          <w:p w14:paraId="227FBA20" w14:textId="2876B4EE"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14,52</w:t>
            </w:r>
          </w:p>
        </w:tc>
        <w:tc>
          <w:tcPr>
            <w:tcW w:w="1701" w:type="dxa"/>
            <w:tcBorders>
              <w:top w:val="nil"/>
              <w:left w:val="nil"/>
              <w:bottom w:val="single" w:sz="4" w:space="0" w:color="0077BD"/>
              <w:right w:val="nil"/>
            </w:tcBorders>
            <w:shd w:val="clear" w:color="auto" w:fill="auto"/>
            <w:vAlign w:val="center"/>
            <w:hideMark/>
          </w:tcPr>
          <w:p w14:paraId="1914343F" w14:textId="595FF86E"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0,16</w:t>
            </w:r>
          </w:p>
        </w:tc>
      </w:tr>
      <w:tr w:rsidR="00BD51B4" w:rsidRPr="00977E53" w14:paraId="54974758"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229C2B03"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4</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5C2AD034" w14:textId="222CAD94" w:rsidR="00BD51B4" w:rsidRPr="00BD51B4" w:rsidRDefault="00BD51B4" w:rsidP="00BD51B4">
            <w:pPr>
              <w:jc w:val="right"/>
              <w:rPr>
                <w:rFonts w:cs="Calibri"/>
                <w:color w:val="000000" w:themeColor="text1"/>
                <w:sz w:val="14"/>
                <w:szCs w:val="14"/>
              </w:rPr>
            </w:pPr>
            <w:r w:rsidRPr="00BD51B4">
              <w:rPr>
                <w:rFonts w:cs="Calibri"/>
                <w:sz w:val="14"/>
                <w:szCs w:val="14"/>
              </w:rPr>
              <w:t>25,05</w:t>
            </w:r>
          </w:p>
        </w:tc>
        <w:tc>
          <w:tcPr>
            <w:tcW w:w="1701" w:type="dxa"/>
            <w:tcBorders>
              <w:top w:val="nil"/>
              <w:left w:val="nil"/>
              <w:bottom w:val="single" w:sz="4" w:space="0" w:color="0077BD"/>
              <w:right w:val="single" w:sz="8" w:space="0" w:color="0077BD"/>
            </w:tcBorders>
            <w:shd w:val="clear" w:color="auto" w:fill="auto"/>
            <w:vAlign w:val="center"/>
          </w:tcPr>
          <w:p w14:paraId="71824AFB" w14:textId="0A44D38F" w:rsidR="00BD51B4" w:rsidRPr="00BD51B4" w:rsidRDefault="00BD51B4" w:rsidP="00BD51B4">
            <w:pPr>
              <w:jc w:val="right"/>
              <w:rPr>
                <w:rFonts w:cs="Calibri"/>
                <w:color w:val="000000" w:themeColor="text1"/>
                <w:sz w:val="14"/>
                <w:szCs w:val="14"/>
              </w:rPr>
            </w:pPr>
            <w:r w:rsidRPr="00BD51B4">
              <w:rPr>
                <w:rFonts w:cs="Calibri"/>
                <w:sz w:val="14"/>
                <w:szCs w:val="14"/>
              </w:rPr>
              <w:t>0,48</w:t>
            </w:r>
          </w:p>
        </w:tc>
        <w:tc>
          <w:tcPr>
            <w:tcW w:w="1843" w:type="dxa"/>
            <w:tcBorders>
              <w:top w:val="nil"/>
              <w:left w:val="nil"/>
              <w:bottom w:val="single" w:sz="4" w:space="0" w:color="0077BD"/>
              <w:right w:val="single" w:sz="8" w:space="0" w:color="0077BD"/>
            </w:tcBorders>
            <w:shd w:val="clear" w:color="auto" w:fill="auto"/>
            <w:vAlign w:val="center"/>
            <w:hideMark/>
          </w:tcPr>
          <w:p w14:paraId="2E837532" w14:textId="0D287A51"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24,56</w:t>
            </w:r>
          </w:p>
        </w:tc>
        <w:tc>
          <w:tcPr>
            <w:tcW w:w="1701" w:type="dxa"/>
            <w:tcBorders>
              <w:top w:val="nil"/>
              <w:left w:val="nil"/>
              <w:bottom w:val="single" w:sz="4" w:space="0" w:color="0077BD"/>
              <w:right w:val="nil"/>
            </w:tcBorders>
            <w:shd w:val="clear" w:color="auto" w:fill="auto"/>
            <w:vAlign w:val="center"/>
            <w:hideMark/>
          </w:tcPr>
          <w:p w14:paraId="0433DC4E" w14:textId="7AF76775"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0,42</w:t>
            </w:r>
          </w:p>
        </w:tc>
      </w:tr>
      <w:tr w:rsidR="00BD51B4" w:rsidRPr="00977E53" w14:paraId="425A021B"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4A98DED9"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5</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65AA098A" w14:textId="536AD895" w:rsidR="00BD51B4" w:rsidRPr="00BD51B4" w:rsidRDefault="00BD51B4" w:rsidP="00BD51B4">
            <w:pPr>
              <w:jc w:val="right"/>
              <w:rPr>
                <w:rFonts w:cs="Calibri"/>
                <w:color w:val="000000" w:themeColor="text1"/>
                <w:sz w:val="14"/>
                <w:szCs w:val="14"/>
              </w:rPr>
            </w:pPr>
            <w:r w:rsidRPr="00BD51B4">
              <w:rPr>
                <w:rFonts w:cs="Calibri"/>
                <w:sz w:val="14"/>
                <w:szCs w:val="14"/>
              </w:rPr>
              <w:t>6,17</w:t>
            </w:r>
          </w:p>
        </w:tc>
        <w:tc>
          <w:tcPr>
            <w:tcW w:w="1701" w:type="dxa"/>
            <w:tcBorders>
              <w:top w:val="nil"/>
              <w:left w:val="nil"/>
              <w:bottom w:val="single" w:sz="4" w:space="0" w:color="0077BD"/>
              <w:right w:val="single" w:sz="8" w:space="0" w:color="0077BD"/>
            </w:tcBorders>
            <w:shd w:val="clear" w:color="auto" w:fill="auto"/>
            <w:vAlign w:val="center"/>
          </w:tcPr>
          <w:p w14:paraId="473CE3C0" w14:textId="366ABF21" w:rsidR="00BD51B4" w:rsidRPr="00BD51B4" w:rsidRDefault="00BD51B4" w:rsidP="00BD51B4">
            <w:pPr>
              <w:jc w:val="right"/>
              <w:rPr>
                <w:rFonts w:cs="Calibri"/>
                <w:color w:val="000000" w:themeColor="text1"/>
                <w:sz w:val="14"/>
                <w:szCs w:val="14"/>
              </w:rPr>
            </w:pPr>
            <w:r w:rsidRPr="00BD51B4">
              <w:rPr>
                <w:rFonts w:cs="Calibri"/>
                <w:sz w:val="14"/>
                <w:szCs w:val="14"/>
              </w:rPr>
              <w:t>1,62</w:t>
            </w:r>
          </w:p>
        </w:tc>
        <w:tc>
          <w:tcPr>
            <w:tcW w:w="1843" w:type="dxa"/>
            <w:tcBorders>
              <w:top w:val="nil"/>
              <w:left w:val="nil"/>
              <w:bottom w:val="single" w:sz="4" w:space="0" w:color="0077BD"/>
              <w:right w:val="single" w:sz="8" w:space="0" w:color="0077BD"/>
            </w:tcBorders>
            <w:shd w:val="clear" w:color="auto" w:fill="auto"/>
            <w:vAlign w:val="center"/>
            <w:hideMark/>
          </w:tcPr>
          <w:p w14:paraId="05FA16D1" w14:textId="23D89495"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5,95</w:t>
            </w:r>
          </w:p>
        </w:tc>
        <w:tc>
          <w:tcPr>
            <w:tcW w:w="1701" w:type="dxa"/>
            <w:tcBorders>
              <w:top w:val="nil"/>
              <w:left w:val="nil"/>
              <w:bottom w:val="single" w:sz="4" w:space="0" w:color="0077BD"/>
              <w:right w:val="nil"/>
            </w:tcBorders>
            <w:shd w:val="clear" w:color="auto" w:fill="auto"/>
            <w:vAlign w:val="center"/>
            <w:hideMark/>
          </w:tcPr>
          <w:p w14:paraId="664A1023" w14:textId="28FA06EC"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1,33</w:t>
            </w:r>
          </w:p>
        </w:tc>
      </w:tr>
      <w:tr w:rsidR="00BD51B4" w:rsidRPr="00977E53" w14:paraId="0E3E7CAD"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120F9529"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6</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7ADA0714" w14:textId="1FFCBCA7" w:rsidR="00BD51B4" w:rsidRPr="00BD51B4" w:rsidRDefault="00BD51B4" w:rsidP="00BD51B4">
            <w:pPr>
              <w:jc w:val="right"/>
              <w:rPr>
                <w:rFonts w:cs="Calibri"/>
                <w:color w:val="000000" w:themeColor="text1"/>
                <w:sz w:val="14"/>
                <w:szCs w:val="14"/>
              </w:rPr>
            </w:pPr>
            <w:r w:rsidRPr="00BD51B4">
              <w:rPr>
                <w:rFonts w:cs="Calibri"/>
                <w:sz w:val="14"/>
                <w:szCs w:val="14"/>
              </w:rPr>
              <w:t>0,76</w:t>
            </w:r>
          </w:p>
        </w:tc>
        <w:tc>
          <w:tcPr>
            <w:tcW w:w="1701" w:type="dxa"/>
            <w:tcBorders>
              <w:top w:val="nil"/>
              <w:left w:val="nil"/>
              <w:bottom w:val="single" w:sz="4" w:space="0" w:color="0077BD"/>
              <w:right w:val="single" w:sz="8" w:space="0" w:color="0077BD"/>
            </w:tcBorders>
            <w:shd w:val="clear" w:color="auto" w:fill="auto"/>
            <w:vAlign w:val="center"/>
          </w:tcPr>
          <w:p w14:paraId="194E8B85" w14:textId="0D759EE3" w:rsidR="00BD51B4" w:rsidRPr="00BD51B4" w:rsidRDefault="00BD51B4" w:rsidP="00BD51B4">
            <w:pPr>
              <w:jc w:val="right"/>
              <w:rPr>
                <w:rFonts w:cs="Calibri"/>
                <w:color w:val="000000" w:themeColor="text1"/>
                <w:sz w:val="14"/>
                <w:szCs w:val="14"/>
              </w:rPr>
            </w:pPr>
            <w:r w:rsidRPr="00BD51B4">
              <w:rPr>
                <w:rFonts w:cs="Calibri"/>
                <w:sz w:val="14"/>
                <w:szCs w:val="14"/>
              </w:rPr>
              <w:t>3,43</w:t>
            </w:r>
          </w:p>
        </w:tc>
        <w:tc>
          <w:tcPr>
            <w:tcW w:w="1843" w:type="dxa"/>
            <w:tcBorders>
              <w:top w:val="nil"/>
              <w:left w:val="nil"/>
              <w:bottom w:val="single" w:sz="4" w:space="0" w:color="0077BD"/>
              <w:right w:val="single" w:sz="8" w:space="0" w:color="0077BD"/>
            </w:tcBorders>
            <w:shd w:val="clear" w:color="auto" w:fill="auto"/>
            <w:vAlign w:val="center"/>
            <w:hideMark/>
          </w:tcPr>
          <w:p w14:paraId="754B2D87" w14:textId="201B0C47"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0,48</w:t>
            </w:r>
          </w:p>
        </w:tc>
        <w:tc>
          <w:tcPr>
            <w:tcW w:w="1701" w:type="dxa"/>
            <w:tcBorders>
              <w:top w:val="nil"/>
              <w:left w:val="nil"/>
              <w:bottom w:val="single" w:sz="4" w:space="0" w:color="0077BD"/>
              <w:right w:val="nil"/>
            </w:tcBorders>
            <w:shd w:val="clear" w:color="auto" w:fill="auto"/>
            <w:vAlign w:val="center"/>
            <w:hideMark/>
          </w:tcPr>
          <w:p w14:paraId="601E876E" w14:textId="19F0369A"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3,25</w:t>
            </w:r>
          </w:p>
        </w:tc>
      </w:tr>
      <w:tr w:rsidR="00BD51B4" w:rsidRPr="00977E53" w14:paraId="3F3945B9"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0E41BA0A"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7</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0A8AC629" w14:textId="34C267AC" w:rsidR="00BD51B4" w:rsidRPr="00BD51B4" w:rsidRDefault="00BD51B4" w:rsidP="00BD51B4">
            <w:pPr>
              <w:jc w:val="right"/>
              <w:rPr>
                <w:rFonts w:cs="Calibri"/>
                <w:color w:val="000000" w:themeColor="text1"/>
                <w:sz w:val="14"/>
                <w:szCs w:val="14"/>
              </w:rPr>
            </w:pPr>
            <w:r w:rsidRPr="00BD51B4">
              <w:rPr>
                <w:rFonts w:cs="Calibri"/>
                <w:sz w:val="14"/>
                <w:szCs w:val="14"/>
              </w:rPr>
              <w:t>2,00</w:t>
            </w:r>
          </w:p>
        </w:tc>
        <w:tc>
          <w:tcPr>
            <w:tcW w:w="1701" w:type="dxa"/>
            <w:tcBorders>
              <w:top w:val="nil"/>
              <w:left w:val="nil"/>
              <w:bottom w:val="single" w:sz="4" w:space="0" w:color="0077BD"/>
              <w:right w:val="single" w:sz="8" w:space="0" w:color="0077BD"/>
            </w:tcBorders>
            <w:shd w:val="clear" w:color="auto" w:fill="auto"/>
            <w:vAlign w:val="center"/>
          </w:tcPr>
          <w:p w14:paraId="08E0D309" w14:textId="7B33F300" w:rsidR="00BD51B4" w:rsidRPr="00BD51B4" w:rsidRDefault="00BD51B4" w:rsidP="00BD51B4">
            <w:pPr>
              <w:jc w:val="right"/>
              <w:rPr>
                <w:rFonts w:cs="Calibri"/>
                <w:color w:val="000000" w:themeColor="text1"/>
                <w:sz w:val="14"/>
                <w:szCs w:val="14"/>
              </w:rPr>
            </w:pPr>
            <w:r w:rsidRPr="00BD51B4">
              <w:rPr>
                <w:rFonts w:cs="Calibri"/>
                <w:sz w:val="14"/>
                <w:szCs w:val="14"/>
              </w:rPr>
              <w:t>7,84</w:t>
            </w:r>
          </w:p>
        </w:tc>
        <w:tc>
          <w:tcPr>
            <w:tcW w:w="1843" w:type="dxa"/>
            <w:tcBorders>
              <w:top w:val="nil"/>
              <w:left w:val="nil"/>
              <w:bottom w:val="single" w:sz="4" w:space="0" w:color="0077BD"/>
              <w:right w:val="single" w:sz="8" w:space="0" w:color="0077BD"/>
            </w:tcBorders>
            <w:shd w:val="clear" w:color="auto" w:fill="auto"/>
            <w:vAlign w:val="center"/>
            <w:hideMark/>
          </w:tcPr>
          <w:p w14:paraId="340CC654" w14:textId="0AF02B9A"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1,86</w:t>
            </w:r>
          </w:p>
        </w:tc>
        <w:tc>
          <w:tcPr>
            <w:tcW w:w="1701" w:type="dxa"/>
            <w:tcBorders>
              <w:top w:val="nil"/>
              <w:left w:val="nil"/>
              <w:bottom w:val="single" w:sz="4" w:space="0" w:color="0077BD"/>
              <w:right w:val="nil"/>
            </w:tcBorders>
            <w:shd w:val="clear" w:color="auto" w:fill="auto"/>
            <w:vAlign w:val="center"/>
            <w:hideMark/>
          </w:tcPr>
          <w:p w14:paraId="692157FC" w14:textId="45C81639"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7,07</w:t>
            </w:r>
          </w:p>
        </w:tc>
      </w:tr>
      <w:tr w:rsidR="00BD51B4" w:rsidRPr="00977E53" w14:paraId="1A169569" w14:textId="77777777" w:rsidTr="002C6DA9">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1334A89F" w14:textId="77777777"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8</w:t>
            </w:r>
          </w:p>
        </w:tc>
        <w:tc>
          <w:tcPr>
            <w:tcW w:w="1843" w:type="dxa"/>
            <w:tcBorders>
              <w:top w:val="nil"/>
              <w:left w:val="single" w:sz="8" w:space="0" w:color="0077BD"/>
              <w:bottom w:val="single" w:sz="4" w:space="0" w:color="0077BD"/>
              <w:right w:val="single" w:sz="8" w:space="0" w:color="0077BD"/>
            </w:tcBorders>
            <w:shd w:val="clear" w:color="auto" w:fill="auto"/>
            <w:vAlign w:val="center"/>
          </w:tcPr>
          <w:p w14:paraId="66358A24" w14:textId="3E15BDA0" w:rsidR="00BD51B4" w:rsidRPr="00BD51B4" w:rsidRDefault="00BD51B4" w:rsidP="00BD51B4">
            <w:pPr>
              <w:jc w:val="right"/>
              <w:rPr>
                <w:rFonts w:cs="Calibri"/>
                <w:color w:val="000000" w:themeColor="text1"/>
                <w:sz w:val="14"/>
                <w:szCs w:val="14"/>
              </w:rPr>
            </w:pPr>
            <w:r w:rsidRPr="00BD51B4">
              <w:rPr>
                <w:rFonts w:cs="Calibri"/>
                <w:sz w:val="14"/>
                <w:szCs w:val="14"/>
              </w:rPr>
              <w:t>0,69</w:t>
            </w:r>
          </w:p>
        </w:tc>
        <w:tc>
          <w:tcPr>
            <w:tcW w:w="1701" w:type="dxa"/>
            <w:tcBorders>
              <w:top w:val="nil"/>
              <w:left w:val="nil"/>
              <w:bottom w:val="single" w:sz="4" w:space="0" w:color="0077BD"/>
              <w:right w:val="single" w:sz="8" w:space="0" w:color="0077BD"/>
            </w:tcBorders>
            <w:shd w:val="clear" w:color="auto" w:fill="auto"/>
            <w:vAlign w:val="center"/>
          </w:tcPr>
          <w:p w14:paraId="2F0171A1" w14:textId="3A3A6709" w:rsidR="00BD51B4" w:rsidRPr="00BD51B4" w:rsidRDefault="00BD51B4" w:rsidP="00BD51B4">
            <w:pPr>
              <w:jc w:val="right"/>
              <w:rPr>
                <w:rFonts w:cs="Calibri"/>
                <w:color w:val="000000" w:themeColor="text1"/>
                <w:sz w:val="14"/>
                <w:szCs w:val="14"/>
              </w:rPr>
            </w:pPr>
            <w:r w:rsidRPr="00BD51B4">
              <w:rPr>
                <w:rFonts w:cs="Calibri"/>
                <w:sz w:val="14"/>
                <w:szCs w:val="14"/>
              </w:rPr>
              <w:t>0,49</w:t>
            </w:r>
          </w:p>
        </w:tc>
        <w:tc>
          <w:tcPr>
            <w:tcW w:w="1843" w:type="dxa"/>
            <w:tcBorders>
              <w:top w:val="nil"/>
              <w:left w:val="nil"/>
              <w:bottom w:val="single" w:sz="4" w:space="0" w:color="0077BD"/>
              <w:right w:val="single" w:sz="8" w:space="0" w:color="0077BD"/>
            </w:tcBorders>
            <w:shd w:val="clear" w:color="auto" w:fill="auto"/>
            <w:vAlign w:val="center"/>
            <w:hideMark/>
          </w:tcPr>
          <w:p w14:paraId="6570EC34" w14:textId="785F9EEC"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1,41</w:t>
            </w:r>
          </w:p>
        </w:tc>
        <w:tc>
          <w:tcPr>
            <w:tcW w:w="1701" w:type="dxa"/>
            <w:tcBorders>
              <w:top w:val="nil"/>
              <w:left w:val="nil"/>
              <w:bottom w:val="single" w:sz="4" w:space="0" w:color="0077BD"/>
              <w:right w:val="nil"/>
            </w:tcBorders>
            <w:shd w:val="clear" w:color="auto" w:fill="auto"/>
            <w:vAlign w:val="center"/>
            <w:hideMark/>
          </w:tcPr>
          <w:p w14:paraId="38226201" w14:textId="0C2D39FD"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0,03</w:t>
            </w:r>
          </w:p>
        </w:tc>
      </w:tr>
      <w:tr w:rsidR="00BD51B4" w:rsidRPr="00977E53" w14:paraId="504E0A0E" w14:textId="77777777" w:rsidTr="002C6DA9">
        <w:trPr>
          <w:trHeight w:val="227"/>
        </w:trPr>
        <w:tc>
          <w:tcPr>
            <w:tcW w:w="2410" w:type="dxa"/>
            <w:tcBorders>
              <w:top w:val="single" w:sz="4" w:space="0" w:color="0077BD"/>
              <w:left w:val="nil"/>
              <w:bottom w:val="nil"/>
              <w:right w:val="single" w:sz="8" w:space="0" w:color="0077BD"/>
            </w:tcBorders>
            <w:shd w:val="clear" w:color="auto" w:fill="auto"/>
            <w:vAlign w:val="center"/>
          </w:tcPr>
          <w:p w14:paraId="750537B5" w14:textId="08297A8C"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pozostałe</w:t>
            </w:r>
          </w:p>
        </w:tc>
        <w:tc>
          <w:tcPr>
            <w:tcW w:w="1843" w:type="dxa"/>
            <w:tcBorders>
              <w:top w:val="nil"/>
              <w:left w:val="single" w:sz="8" w:space="0" w:color="0077BD"/>
              <w:bottom w:val="nil"/>
              <w:right w:val="single" w:sz="8" w:space="0" w:color="0077BD"/>
            </w:tcBorders>
            <w:shd w:val="clear" w:color="auto" w:fill="auto"/>
            <w:vAlign w:val="center"/>
          </w:tcPr>
          <w:p w14:paraId="6437036D" w14:textId="3B1E796C" w:rsidR="00BD51B4" w:rsidRPr="00BD51B4" w:rsidRDefault="00BD51B4" w:rsidP="00BD51B4">
            <w:pPr>
              <w:jc w:val="right"/>
              <w:rPr>
                <w:rFonts w:cs="Calibri"/>
                <w:color w:val="000000" w:themeColor="text1"/>
                <w:sz w:val="14"/>
                <w:szCs w:val="14"/>
              </w:rPr>
            </w:pPr>
            <w:r w:rsidRPr="00BD51B4">
              <w:rPr>
                <w:rFonts w:cs="Calibri"/>
                <w:sz w:val="14"/>
                <w:szCs w:val="14"/>
              </w:rPr>
              <w:t>3,19</w:t>
            </w:r>
          </w:p>
        </w:tc>
        <w:tc>
          <w:tcPr>
            <w:tcW w:w="1701" w:type="dxa"/>
            <w:tcBorders>
              <w:top w:val="nil"/>
              <w:left w:val="nil"/>
              <w:bottom w:val="single" w:sz="4" w:space="0" w:color="0077BD"/>
              <w:right w:val="single" w:sz="8" w:space="0" w:color="0077BD"/>
            </w:tcBorders>
            <w:shd w:val="clear" w:color="auto" w:fill="auto"/>
            <w:vAlign w:val="center"/>
          </w:tcPr>
          <w:p w14:paraId="2D8B635C" w14:textId="7173DBC4" w:rsidR="00BD51B4" w:rsidRPr="00BD51B4" w:rsidRDefault="00BD51B4" w:rsidP="00BD51B4">
            <w:pPr>
              <w:jc w:val="right"/>
              <w:rPr>
                <w:rFonts w:cs="Calibri"/>
                <w:color w:val="000000" w:themeColor="text1"/>
                <w:sz w:val="14"/>
                <w:szCs w:val="14"/>
              </w:rPr>
            </w:pPr>
            <w:r w:rsidRPr="00BD51B4">
              <w:rPr>
                <w:rFonts w:cs="Calibri"/>
                <w:sz w:val="14"/>
                <w:szCs w:val="14"/>
              </w:rPr>
              <w:t>0,04</w:t>
            </w:r>
          </w:p>
        </w:tc>
        <w:tc>
          <w:tcPr>
            <w:tcW w:w="1843" w:type="dxa"/>
            <w:tcBorders>
              <w:top w:val="single" w:sz="4" w:space="0" w:color="0077BD"/>
              <w:left w:val="nil"/>
              <w:bottom w:val="nil"/>
              <w:right w:val="single" w:sz="8" w:space="0" w:color="0077BD"/>
            </w:tcBorders>
            <w:shd w:val="clear" w:color="auto" w:fill="auto"/>
            <w:vAlign w:val="center"/>
          </w:tcPr>
          <w:p w14:paraId="576F9670" w14:textId="0760CA9C"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2,95</w:t>
            </w:r>
          </w:p>
        </w:tc>
        <w:tc>
          <w:tcPr>
            <w:tcW w:w="1701" w:type="dxa"/>
            <w:tcBorders>
              <w:top w:val="single" w:sz="4" w:space="0" w:color="0077BD"/>
              <w:left w:val="nil"/>
              <w:bottom w:val="nil"/>
              <w:right w:val="nil"/>
            </w:tcBorders>
            <w:shd w:val="clear" w:color="auto" w:fill="auto"/>
            <w:vAlign w:val="center"/>
          </w:tcPr>
          <w:p w14:paraId="6EEB349B" w14:textId="3E166831"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0,04</w:t>
            </w:r>
          </w:p>
        </w:tc>
      </w:tr>
      <w:tr w:rsidR="00BD51B4" w:rsidRPr="00977E53" w14:paraId="622A69DA" w14:textId="77777777" w:rsidTr="002C6DA9">
        <w:trPr>
          <w:trHeight w:val="227"/>
        </w:trPr>
        <w:tc>
          <w:tcPr>
            <w:tcW w:w="2410" w:type="dxa"/>
            <w:tcBorders>
              <w:top w:val="single" w:sz="4" w:space="0" w:color="0077BD"/>
              <w:left w:val="nil"/>
              <w:bottom w:val="nil"/>
              <w:right w:val="single" w:sz="8" w:space="0" w:color="0077BD"/>
            </w:tcBorders>
            <w:shd w:val="clear" w:color="auto" w:fill="auto"/>
            <w:vAlign w:val="center"/>
            <w:hideMark/>
          </w:tcPr>
          <w:p w14:paraId="6F6E96D6" w14:textId="4FCA9AE1" w:rsidR="00BD51B4" w:rsidRPr="003747EC" w:rsidRDefault="00BD51B4" w:rsidP="00BD51B4">
            <w:pPr>
              <w:jc w:val="center"/>
              <w:rPr>
                <w:rFonts w:cs="Calibri"/>
                <w:color w:val="000000" w:themeColor="text1"/>
                <w:sz w:val="14"/>
                <w:szCs w:val="14"/>
              </w:rPr>
            </w:pPr>
            <w:r w:rsidRPr="003747EC">
              <w:rPr>
                <w:rFonts w:cs="Calibri"/>
                <w:color w:val="000000" w:themeColor="text1"/>
                <w:sz w:val="14"/>
                <w:szCs w:val="14"/>
              </w:rPr>
              <w:t>kategoria default</w:t>
            </w:r>
          </w:p>
        </w:tc>
        <w:tc>
          <w:tcPr>
            <w:tcW w:w="1843" w:type="dxa"/>
            <w:tcBorders>
              <w:top w:val="single" w:sz="4" w:space="0" w:color="0077BD"/>
              <w:left w:val="single" w:sz="8" w:space="0" w:color="0077BD"/>
              <w:bottom w:val="nil"/>
              <w:right w:val="single" w:sz="8" w:space="0" w:color="0077BD"/>
            </w:tcBorders>
            <w:shd w:val="clear" w:color="auto" w:fill="auto"/>
            <w:vAlign w:val="center"/>
          </w:tcPr>
          <w:p w14:paraId="009D8AB4" w14:textId="447D6652" w:rsidR="00BD51B4" w:rsidRPr="00BD51B4" w:rsidRDefault="00BD51B4" w:rsidP="00BD51B4">
            <w:pPr>
              <w:jc w:val="right"/>
              <w:rPr>
                <w:rFonts w:cs="Calibri"/>
                <w:color w:val="000000" w:themeColor="text1"/>
                <w:sz w:val="14"/>
                <w:szCs w:val="14"/>
              </w:rPr>
            </w:pPr>
            <w:r w:rsidRPr="00BD51B4">
              <w:rPr>
                <w:rFonts w:cs="Calibri"/>
                <w:sz w:val="14"/>
                <w:szCs w:val="14"/>
              </w:rPr>
              <w:t>3,08</w:t>
            </w:r>
          </w:p>
        </w:tc>
        <w:tc>
          <w:tcPr>
            <w:tcW w:w="1701" w:type="dxa"/>
            <w:tcBorders>
              <w:top w:val="nil"/>
              <w:left w:val="nil"/>
              <w:bottom w:val="single" w:sz="4" w:space="0" w:color="0077BD"/>
              <w:right w:val="single" w:sz="8" w:space="0" w:color="0077BD"/>
            </w:tcBorders>
            <w:shd w:val="clear" w:color="auto" w:fill="auto"/>
            <w:vAlign w:val="center"/>
          </w:tcPr>
          <w:p w14:paraId="36DED1B7" w14:textId="25F63FBC" w:rsidR="00BD51B4" w:rsidRPr="00BD51B4" w:rsidRDefault="00BD51B4" w:rsidP="00BD51B4">
            <w:pPr>
              <w:jc w:val="right"/>
              <w:rPr>
                <w:rFonts w:cs="Calibri"/>
                <w:color w:val="000000" w:themeColor="text1"/>
                <w:sz w:val="14"/>
                <w:szCs w:val="14"/>
              </w:rPr>
            </w:pPr>
            <w:r w:rsidRPr="00BD51B4">
              <w:rPr>
                <w:rFonts w:cs="Calibri"/>
                <w:sz w:val="14"/>
                <w:szCs w:val="14"/>
              </w:rPr>
              <w:t>60,57</w:t>
            </w:r>
          </w:p>
        </w:tc>
        <w:tc>
          <w:tcPr>
            <w:tcW w:w="1843" w:type="dxa"/>
            <w:tcBorders>
              <w:top w:val="single" w:sz="4" w:space="0" w:color="0077BD"/>
              <w:left w:val="nil"/>
              <w:bottom w:val="nil"/>
              <w:right w:val="single" w:sz="8" w:space="0" w:color="0077BD"/>
            </w:tcBorders>
            <w:shd w:val="clear" w:color="auto" w:fill="auto"/>
            <w:vAlign w:val="center"/>
            <w:hideMark/>
          </w:tcPr>
          <w:p w14:paraId="1D202769" w14:textId="48016495"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3,28</w:t>
            </w:r>
          </w:p>
        </w:tc>
        <w:tc>
          <w:tcPr>
            <w:tcW w:w="1701" w:type="dxa"/>
            <w:tcBorders>
              <w:top w:val="single" w:sz="4" w:space="0" w:color="0077BD"/>
              <w:left w:val="nil"/>
              <w:bottom w:val="nil"/>
              <w:right w:val="nil"/>
            </w:tcBorders>
            <w:shd w:val="clear" w:color="auto" w:fill="auto"/>
            <w:vAlign w:val="center"/>
            <w:hideMark/>
          </w:tcPr>
          <w:p w14:paraId="7594A27C" w14:textId="2B0EFC6F" w:rsidR="00BD51B4" w:rsidRPr="003747EC" w:rsidRDefault="00BD51B4" w:rsidP="00BD51B4">
            <w:pPr>
              <w:jc w:val="right"/>
              <w:rPr>
                <w:rFonts w:cs="Calibri"/>
                <w:color w:val="000000" w:themeColor="text1"/>
                <w:sz w:val="14"/>
                <w:szCs w:val="14"/>
              </w:rPr>
            </w:pPr>
            <w:r w:rsidRPr="003747EC">
              <w:rPr>
                <w:rFonts w:cs="Calibri"/>
                <w:color w:val="000000" w:themeColor="text1"/>
                <w:sz w:val="14"/>
                <w:szCs w:val="14"/>
              </w:rPr>
              <w:t>61,74</w:t>
            </w:r>
          </w:p>
        </w:tc>
      </w:tr>
      <w:tr w:rsidR="00977E53" w:rsidRPr="00977E53" w14:paraId="2172872D" w14:textId="77777777" w:rsidTr="0018173F">
        <w:trPr>
          <w:trHeight w:val="227"/>
        </w:trPr>
        <w:tc>
          <w:tcPr>
            <w:tcW w:w="2410" w:type="dxa"/>
            <w:tcBorders>
              <w:top w:val="single" w:sz="8" w:space="0" w:color="0077BD"/>
              <w:left w:val="nil"/>
              <w:bottom w:val="single" w:sz="8" w:space="0" w:color="0077BD"/>
              <w:right w:val="single" w:sz="8" w:space="0" w:color="0077BD"/>
            </w:tcBorders>
            <w:shd w:val="clear" w:color="auto" w:fill="auto"/>
            <w:vAlign w:val="center"/>
            <w:hideMark/>
          </w:tcPr>
          <w:p w14:paraId="102BC550" w14:textId="77777777" w:rsidR="0032584F" w:rsidRPr="003747EC" w:rsidRDefault="0032584F" w:rsidP="009E1F91">
            <w:pPr>
              <w:rPr>
                <w:rFonts w:cs="Calibri"/>
                <w:b/>
                <w:bCs/>
                <w:color w:val="000000" w:themeColor="text1"/>
                <w:sz w:val="14"/>
                <w:szCs w:val="14"/>
              </w:rPr>
            </w:pPr>
            <w:r w:rsidRPr="003747EC">
              <w:rPr>
                <w:rFonts w:cs="Calibri"/>
                <w:b/>
                <w:bCs/>
                <w:color w:val="000000" w:themeColor="text1"/>
                <w:sz w:val="14"/>
                <w:szCs w:val="14"/>
              </w:rPr>
              <w:t>Total</w:t>
            </w:r>
          </w:p>
        </w:tc>
        <w:tc>
          <w:tcPr>
            <w:tcW w:w="1843" w:type="dxa"/>
            <w:tcBorders>
              <w:top w:val="single" w:sz="8" w:space="0" w:color="0077BD"/>
              <w:left w:val="nil"/>
              <w:bottom w:val="single" w:sz="8" w:space="0" w:color="0077BD"/>
              <w:right w:val="single" w:sz="8" w:space="0" w:color="0077BD"/>
            </w:tcBorders>
            <w:shd w:val="clear" w:color="auto" w:fill="auto"/>
            <w:vAlign w:val="center"/>
            <w:hideMark/>
          </w:tcPr>
          <w:p w14:paraId="7A3D3DDD" w14:textId="77777777" w:rsidR="0032584F" w:rsidRPr="003747EC" w:rsidRDefault="0032584F" w:rsidP="009E1F91">
            <w:pPr>
              <w:jc w:val="right"/>
              <w:rPr>
                <w:rFonts w:cs="Calibri"/>
                <w:b/>
                <w:bCs/>
                <w:color w:val="000000" w:themeColor="text1"/>
                <w:sz w:val="14"/>
                <w:szCs w:val="14"/>
              </w:rPr>
            </w:pPr>
            <w:r w:rsidRPr="003747EC">
              <w:rPr>
                <w:rFonts w:cs="Calibri"/>
                <w:b/>
                <w:bCs/>
                <w:color w:val="000000" w:themeColor="text1"/>
                <w:sz w:val="14"/>
                <w:szCs w:val="14"/>
              </w:rPr>
              <w:t>100,00</w:t>
            </w:r>
          </w:p>
        </w:tc>
        <w:tc>
          <w:tcPr>
            <w:tcW w:w="1701" w:type="dxa"/>
            <w:tcBorders>
              <w:top w:val="single" w:sz="8" w:space="0" w:color="0077BD"/>
              <w:left w:val="nil"/>
              <w:bottom w:val="single" w:sz="8" w:space="0" w:color="0077BD"/>
              <w:right w:val="single" w:sz="8" w:space="0" w:color="0077BD"/>
            </w:tcBorders>
            <w:shd w:val="clear" w:color="auto" w:fill="auto"/>
            <w:vAlign w:val="center"/>
            <w:hideMark/>
          </w:tcPr>
          <w:p w14:paraId="1A7B4325" w14:textId="40F4D7ED" w:rsidR="0032584F" w:rsidRPr="003747EC" w:rsidRDefault="0018173F" w:rsidP="009E1F91">
            <w:pPr>
              <w:jc w:val="right"/>
              <w:rPr>
                <w:rFonts w:cs="Calibri"/>
                <w:b/>
                <w:bCs/>
                <w:color w:val="000000" w:themeColor="text1"/>
                <w:sz w:val="14"/>
                <w:szCs w:val="14"/>
              </w:rPr>
            </w:pPr>
            <w:r w:rsidRPr="003747EC">
              <w:rPr>
                <w:rFonts w:cs="Calibri"/>
                <w:b/>
                <w:bCs/>
                <w:color w:val="000000" w:themeColor="text1"/>
                <w:sz w:val="14"/>
                <w:szCs w:val="14"/>
              </w:rPr>
              <w:t>2,31</w:t>
            </w:r>
          </w:p>
        </w:tc>
        <w:tc>
          <w:tcPr>
            <w:tcW w:w="1843" w:type="dxa"/>
            <w:tcBorders>
              <w:top w:val="single" w:sz="8" w:space="0" w:color="0077BD"/>
              <w:left w:val="nil"/>
              <w:bottom w:val="single" w:sz="8" w:space="0" w:color="0077BD"/>
              <w:right w:val="single" w:sz="8" w:space="0" w:color="0077BD"/>
            </w:tcBorders>
            <w:shd w:val="clear" w:color="auto" w:fill="auto"/>
            <w:vAlign w:val="center"/>
            <w:hideMark/>
          </w:tcPr>
          <w:p w14:paraId="05CB9FA9" w14:textId="77777777" w:rsidR="0032584F" w:rsidRPr="003747EC" w:rsidRDefault="0032584F" w:rsidP="009E1F91">
            <w:pPr>
              <w:jc w:val="right"/>
              <w:rPr>
                <w:rFonts w:cs="Calibri"/>
                <w:b/>
                <w:bCs/>
                <w:color w:val="000000" w:themeColor="text1"/>
                <w:sz w:val="14"/>
                <w:szCs w:val="14"/>
              </w:rPr>
            </w:pPr>
            <w:r w:rsidRPr="003747EC">
              <w:rPr>
                <w:rFonts w:cs="Calibri"/>
                <w:b/>
                <w:bCs/>
                <w:color w:val="000000" w:themeColor="text1"/>
                <w:sz w:val="14"/>
                <w:szCs w:val="14"/>
              </w:rPr>
              <w:t>100,00</w:t>
            </w:r>
          </w:p>
        </w:tc>
        <w:tc>
          <w:tcPr>
            <w:tcW w:w="1701" w:type="dxa"/>
            <w:tcBorders>
              <w:top w:val="single" w:sz="8" w:space="0" w:color="0077BD"/>
              <w:left w:val="nil"/>
              <w:bottom w:val="single" w:sz="8" w:space="0" w:color="0077BD"/>
              <w:right w:val="nil"/>
            </w:tcBorders>
            <w:shd w:val="clear" w:color="auto" w:fill="auto"/>
            <w:vAlign w:val="center"/>
            <w:hideMark/>
          </w:tcPr>
          <w:p w14:paraId="6FB8D93A" w14:textId="34830D27" w:rsidR="0032584F" w:rsidRPr="003747EC" w:rsidRDefault="001C40D2" w:rsidP="009E1F91">
            <w:pPr>
              <w:jc w:val="right"/>
              <w:rPr>
                <w:rFonts w:cs="Calibri"/>
                <w:b/>
                <w:bCs/>
                <w:color w:val="000000" w:themeColor="text1"/>
                <w:sz w:val="14"/>
                <w:szCs w:val="14"/>
              </w:rPr>
            </w:pPr>
            <w:r w:rsidRPr="003747EC">
              <w:rPr>
                <w:rFonts w:cs="Calibri"/>
                <w:b/>
                <w:bCs/>
                <w:color w:val="000000" w:themeColor="text1"/>
                <w:sz w:val="14"/>
                <w:szCs w:val="14"/>
              </w:rPr>
              <w:t>2,40</w:t>
            </w:r>
          </w:p>
        </w:tc>
      </w:tr>
    </w:tbl>
    <w:p w14:paraId="4D07CD23" w14:textId="2B84CC7C" w:rsidR="00E347D7" w:rsidRPr="00977E53" w:rsidRDefault="00E347D7" w:rsidP="00E347D7">
      <w:pPr>
        <w:spacing w:before="120" w:after="120"/>
        <w:jc w:val="both"/>
        <w:rPr>
          <w:rFonts w:eastAsia="Calibri"/>
          <w:color w:val="000000" w:themeColor="text1"/>
          <w:sz w:val="18"/>
          <w:szCs w:val="18"/>
        </w:rPr>
      </w:pPr>
      <w:r w:rsidRPr="00815161">
        <w:rPr>
          <w:rFonts w:eastAsia="Calibri"/>
          <w:color w:val="000000" w:themeColor="text1"/>
          <w:sz w:val="18"/>
          <w:szCs w:val="18"/>
        </w:rPr>
        <w:t xml:space="preserve">Na </w:t>
      </w:r>
      <w:r w:rsidR="0032584F" w:rsidRPr="00815161">
        <w:rPr>
          <w:rFonts w:eastAsia="Calibri"/>
          <w:color w:val="000000" w:themeColor="text1"/>
          <w:sz w:val="18"/>
          <w:szCs w:val="18"/>
        </w:rPr>
        <w:t>dzień 31 grudnia 2019</w:t>
      </w:r>
      <w:r w:rsidRPr="00815161">
        <w:rPr>
          <w:rFonts w:eastAsia="Calibri"/>
          <w:color w:val="000000" w:themeColor="text1"/>
          <w:sz w:val="18"/>
          <w:szCs w:val="18"/>
        </w:rPr>
        <w:t xml:space="preserve"> roku 4</w:t>
      </w:r>
      <w:r w:rsidR="00815161" w:rsidRPr="00815161">
        <w:rPr>
          <w:rFonts w:eastAsia="Calibri"/>
          <w:color w:val="000000" w:themeColor="text1"/>
          <w:sz w:val="18"/>
          <w:szCs w:val="18"/>
        </w:rPr>
        <w:t>2</w:t>
      </w:r>
      <w:r w:rsidRPr="00815161">
        <w:rPr>
          <w:rFonts w:eastAsia="Calibri"/>
          <w:color w:val="000000" w:themeColor="text1"/>
          <w:sz w:val="18"/>
          <w:szCs w:val="18"/>
        </w:rPr>
        <w:t>,</w:t>
      </w:r>
      <w:r w:rsidR="00815161" w:rsidRPr="00815161">
        <w:rPr>
          <w:rFonts w:eastAsia="Calibri"/>
          <w:color w:val="000000" w:themeColor="text1"/>
          <w:sz w:val="18"/>
          <w:szCs w:val="18"/>
        </w:rPr>
        <w:t>45</w:t>
      </w:r>
      <w:r w:rsidRPr="00815161">
        <w:rPr>
          <w:rFonts w:eastAsia="Calibri"/>
          <w:color w:val="000000" w:themeColor="text1"/>
          <w:sz w:val="18"/>
          <w:szCs w:val="18"/>
        </w:rPr>
        <w:t>% portfela kredytów i pożyczek (dla zaangażowania bilansowego</w:t>
      </w:r>
      <w:r w:rsidRPr="00977E53">
        <w:rPr>
          <w:rFonts w:eastAsia="Calibri"/>
          <w:color w:val="000000" w:themeColor="text1"/>
          <w:sz w:val="18"/>
          <w:szCs w:val="18"/>
        </w:rPr>
        <w:t xml:space="preserve"> i pozabilansowego) jest klasyfikowane do dwóch najwyższych poziomów wewnętrznego systemu </w:t>
      </w:r>
      <w:r w:rsidR="005162F9" w:rsidRPr="00977E53">
        <w:rPr>
          <w:rFonts w:eastAsia="Calibri"/>
          <w:color w:val="000000" w:themeColor="text1"/>
          <w:sz w:val="18"/>
          <w:szCs w:val="18"/>
        </w:rPr>
        <w:t>oceny (31 grudnia 2018 roku – 44</w:t>
      </w:r>
      <w:r w:rsidRPr="00977E53">
        <w:rPr>
          <w:rFonts w:eastAsia="Calibri"/>
          <w:color w:val="000000" w:themeColor="text1"/>
          <w:sz w:val="18"/>
          <w:szCs w:val="18"/>
        </w:rPr>
        <w:t>,</w:t>
      </w:r>
      <w:r w:rsidR="005162F9" w:rsidRPr="00977E53">
        <w:rPr>
          <w:rFonts w:eastAsia="Calibri"/>
          <w:color w:val="000000" w:themeColor="text1"/>
          <w:sz w:val="18"/>
          <w:szCs w:val="18"/>
        </w:rPr>
        <w:t>99</w:t>
      </w:r>
      <w:r w:rsidR="00D269B4" w:rsidRPr="00977E53">
        <w:rPr>
          <w:rFonts w:eastAsia="Calibri"/>
          <w:color w:val="000000" w:themeColor="text1"/>
          <w:sz w:val="18"/>
          <w:szCs w:val="18"/>
        </w:rPr>
        <w:t>%).</w:t>
      </w:r>
    </w:p>
    <w:p w14:paraId="55D9F416" w14:textId="201DD4C9" w:rsidR="000F75B9" w:rsidRPr="00977E53" w:rsidRDefault="000F75B9" w:rsidP="00DE7FE6">
      <w:pPr>
        <w:pStyle w:val="Akapitzlist"/>
        <w:numPr>
          <w:ilvl w:val="2"/>
          <w:numId w:val="14"/>
        </w:numPr>
        <w:spacing w:after="120"/>
        <w:ind w:left="426" w:hanging="426"/>
        <w:jc w:val="both"/>
        <w:rPr>
          <w:rFonts w:eastAsia="Calibri"/>
          <w:b/>
          <w:color w:val="000000" w:themeColor="text1"/>
          <w:sz w:val="18"/>
          <w:szCs w:val="18"/>
        </w:rPr>
      </w:pPr>
      <w:r w:rsidRPr="00977E53">
        <w:rPr>
          <w:rFonts w:eastAsia="Calibri"/>
          <w:b/>
          <w:color w:val="000000" w:themeColor="text1"/>
          <w:sz w:val="18"/>
          <w:szCs w:val="18"/>
        </w:rPr>
        <w:t>Zasady wyznaczania wartości godziwej dla aktywów kredytowych</w:t>
      </w:r>
    </w:p>
    <w:p w14:paraId="2575D346" w14:textId="5542E935" w:rsidR="000F75B9" w:rsidRPr="00977E53" w:rsidRDefault="00DE5270" w:rsidP="000F75B9">
      <w:pPr>
        <w:autoSpaceDE w:val="0"/>
        <w:autoSpaceDN w:val="0"/>
        <w:spacing w:after="120"/>
        <w:jc w:val="both"/>
        <w:rPr>
          <w:rFonts w:eastAsia="Calibri"/>
          <w:color w:val="000000" w:themeColor="text1"/>
          <w:sz w:val="18"/>
          <w:szCs w:val="18"/>
          <w:lang w:val="en-US"/>
        </w:rPr>
      </w:pPr>
      <w:r w:rsidRPr="00977E53">
        <w:rPr>
          <w:rFonts w:eastAsia="Calibri"/>
          <w:color w:val="000000" w:themeColor="text1"/>
          <w:sz w:val="18"/>
          <w:szCs w:val="18"/>
        </w:rPr>
        <w:t xml:space="preserve">Jeżeli nie są spełnione warunki umożliwiające wycenę ekspozycji kredytowej w zamortyzowanym koszcie (MSSF 9 par. 4.1.2), wówczas jest ona wyceniana w wartości godziwej przez wynik finansowy (ang. </w:t>
      </w:r>
      <w:r w:rsidRPr="00977E53">
        <w:rPr>
          <w:rFonts w:eastAsia="Calibri"/>
          <w:color w:val="000000" w:themeColor="text1"/>
          <w:sz w:val="18"/>
          <w:szCs w:val="18"/>
          <w:lang w:val="en-US"/>
        </w:rPr>
        <w:t>FVtPL: Fair Value through Profit &amp; Loss) lub przez „inne całkowite dochody” (ang. FVOCI: Fair Value through Other Comprehensive Income)</w:t>
      </w:r>
      <w:r w:rsidR="000F75B9" w:rsidRPr="00977E53">
        <w:rPr>
          <w:rFonts w:eastAsia="Calibri"/>
          <w:color w:val="000000" w:themeColor="text1"/>
          <w:sz w:val="18"/>
          <w:szCs w:val="18"/>
          <w:lang w:val="en-US"/>
        </w:rPr>
        <w:t>.</w:t>
      </w:r>
    </w:p>
    <w:p w14:paraId="3436F1C2" w14:textId="1CA95011" w:rsidR="000F75B9" w:rsidRPr="00977E53" w:rsidRDefault="000F75B9" w:rsidP="00DE7FE6">
      <w:pPr>
        <w:pStyle w:val="Akapitzlist"/>
        <w:numPr>
          <w:ilvl w:val="3"/>
          <w:numId w:val="14"/>
        </w:numPr>
        <w:autoSpaceDE w:val="0"/>
        <w:autoSpaceDN w:val="0"/>
        <w:spacing w:after="120"/>
        <w:ind w:left="993" w:hanging="993"/>
        <w:jc w:val="both"/>
        <w:rPr>
          <w:rFonts w:eastAsia="Calibri"/>
          <w:b/>
          <w:color w:val="000000" w:themeColor="text1"/>
          <w:sz w:val="18"/>
          <w:szCs w:val="18"/>
        </w:rPr>
      </w:pPr>
      <w:r w:rsidRPr="00977E53">
        <w:rPr>
          <w:rFonts w:eastAsia="Calibri"/>
          <w:b/>
          <w:color w:val="000000" w:themeColor="text1"/>
          <w:sz w:val="18"/>
          <w:szCs w:val="18"/>
        </w:rPr>
        <w:t>Wycena do wartości godziwej aktywów kredytowych bez przesłanki utraty wartości</w:t>
      </w:r>
    </w:p>
    <w:p w14:paraId="00AF753F" w14:textId="77777777" w:rsidR="00DE5270" w:rsidRPr="00977E53" w:rsidRDefault="00DE5270" w:rsidP="00DE5270">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Wycena dla ekspozycji nie posiadających przesłanki utraty wartości, odbywa się na podstawie zdyskontowanych oszacowanych przyszłych przepływów pieniężnych.</w:t>
      </w:r>
    </w:p>
    <w:p w14:paraId="6631A177" w14:textId="629DB119" w:rsidR="00DE5270" w:rsidRPr="00977E53" w:rsidRDefault="00DE5270" w:rsidP="00C90AC6">
      <w:pPr>
        <w:rPr>
          <w:rFonts w:eastAsia="Calibri"/>
          <w:color w:val="000000" w:themeColor="text1"/>
          <w:sz w:val="18"/>
          <w:szCs w:val="18"/>
        </w:rPr>
      </w:pPr>
      <w:r w:rsidRPr="00977E53">
        <w:rPr>
          <w:rFonts w:eastAsia="Calibri"/>
          <w:color w:val="000000" w:themeColor="text1"/>
          <w:sz w:val="18"/>
          <w:szCs w:val="18"/>
        </w:rPr>
        <w:t>Przyszłe przepływy z tytułu ekspozycji kredytowej wyznaczane są z uwzględnieniem:</w:t>
      </w:r>
    </w:p>
    <w:p w14:paraId="190C3930" w14:textId="77777777" w:rsidR="00DE5270" w:rsidRPr="00C90AC6" w:rsidRDefault="00DE5270" w:rsidP="00C90AC6">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C90AC6">
        <w:rPr>
          <w:rFonts w:cs="Tahoma"/>
          <w:bCs/>
          <w:color w:val="000000" w:themeColor="text1"/>
          <w:sz w:val="18"/>
          <w:szCs w:val="18"/>
        </w:rPr>
        <w:t>harmonogramu spłaty, a w przypadku braku harmonogramu (produkty odnawialne) – na podstawie statystycznej prognozy stopnia wykorzystania limitu kredytowego w poszczególnych okresach życia ekspozycji,</w:t>
      </w:r>
    </w:p>
    <w:p w14:paraId="04FA950C" w14:textId="77777777" w:rsidR="00DE5270" w:rsidRPr="00C90AC6" w:rsidRDefault="00DE5270" w:rsidP="00C90AC6">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C90AC6">
        <w:rPr>
          <w:rFonts w:cs="Tahoma"/>
          <w:bCs/>
          <w:color w:val="000000" w:themeColor="text1"/>
          <w:sz w:val="18"/>
          <w:szCs w:val="18"/>
        </w:rPr>
        <w:t>wartości pieniądza w czasie, poprzez wykorzystanie w procesie prognozy przepływów odsetkowych projekcji oprocentowania aktywów wolnych od ryzyka,</w:t>
      </w:r>
    </w:p>
    <w:p w14:paraId="1C34A017" w14:textId="77777777" w:rsidR="00DE5270" w:rsidRPr="00C90AC6" w:rsidRDefault="00DE5270" w:rsidP="00C90AC6">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C90AC6">
        <w:rPr>
          <w:rFonts w:cs="Tahoma"/>
          <w:bCs/>
          <w:color w:val="000000" w:themeColor="text1"/>
          <w:sz w:val="18"/>
          <w:szCs w:val="18"/>
        </w:rPr>
        <w:t>wahań kwoty i terminów przepływów wynikających z opcji przedpłaty (wcześniejszej częściowej lub całkowitej spłaty kwoty głównej) zawartej w umowie kredytowej, poprzez zastosowanie współczynników przedpłat,</w:t>
      </w:r>
    </w:p>
    <w:p w14:paraId="29EE44B5" w14:textId="7BA0A466" w:rsidR="00DE5270" w:rsidRPr="00C90AC6" w:rsidRDefault="00DE5270" w:rsidP="00C90AC6">
      <w:pPr>
        <w:numPr>
          <w:ilvl w:val="0"/>
          <w:numId w:val="17"/>
        </w:numPr>
        <w:tabs>
          <w:tab w:val="clear" w:pos="1267"/>
          <w:tab w:val="num" w:pos="426"/>
        </w:tabs>
        <w:suppressAutoHyphens/>
        <w:ind w:left="425" w:right="-57" w:hanging="283"/>
        <w:jc w:val="both"/>
        <w:rPr>
          <w:rFonts w:cs="Tahoma"/>
          <w:bCs/>
          <w:color w:val="000000" w:themeColor="text1"/>
          <w:sz w:val="18"/>
          <w:szCs w:val="18"/>
        </w:rPr>
      </w:pPr>
      <w:r w:rsidRPr="00C90AC6">
        <w:rPr>
          <w:rFonts w:cs="Tahoma"/>
          <w:bCs/>
          <w:color w:val="000000" w:themeColor="text1"/>
          <w:sz w:val="18"/>
          <w:szCs w:val="18"/>
        </w:rPr>
        <w:t>niepewności przepływów w całym prognozowanym okresie życia ekspozycji, wynikającej z ryzyka kredytowego, poprzez modyfikację przepływów kontraktowych przy pomocy wieloletnich parametrów ryzyka kredytowego LT PD i LT LGD,</w:t>
      </w:r>
    </w:p>
    <w:p w14:paraId="34CEAFFE" w14:textId="77777777" w:rsidR="00DE5270" w:rsidRPr="00C90AC6" w:rsidRDefault="00DE5270" w:rsidP="00C90AC6">
      <w:pPr>
        <w:numPr>
          <w:ilvl w:val="0"/>
          <w:numId w:val="17"/>
        </w:numPr>
        <w:tabs>
          <w:tab w:val="clear" w:pos="1267"/>
          <w:tab w:val="num" w:pos="426"/>
        </w:tabs>
        <w:suppressAutoHyphens/>
        <w:spacing w:after="120"/>
        <w:ind w:left="426" w:right="-57" w:hanging="284"/>
        <w:jc w:val="both"/>
        <w:rPr>
          <w:rFonts w:cs="Tahoma"/>
          <w:bCs/>
          <w:color w:val="000000" w:themeColor="text1"/>
          <w:sz w:val="18"/>
          <w:szCs w:val="18"/>
        </w:rPr>
      </w:pPr>
      <w:r w:rsidRPr="00C90AC6">
        <w:rPr>
          <w:rFonts w:cs="Tahoma"/>
          <w:bCs/>
          <w:color w:val="000000" w:themeColor="text1"/>
          <w:sz w:val="18"/>
          <w:szCs w:val="18"/>
        </w:rPr>
        <w:t>innych czynników, które byłyby brane pod uwagę przez potencjalnego nabywcę ekspozycji (narzutów kosztowych oraz oczekiwanej przez uczestników rynku marży zysku), kalibrując stopę dyskontową wykorzystywaną w procesie wyceny.</w:t>
      </w:r>
    </w:p>
    <w:p w14:paraId="75D46778" w14:textId="78426DC0" w:rsidR="000F75B9" w:rsidRPr="00977E53" w:rsidRDefault="00DE5270" w:rsidP="00DE5270">
      <w:pPr>
        <w:autoSpaceDE w:val="0"/>
        <w:autoSpaceDN w:val="0"/>
        <w:spacing w:after="120"/>
        <w:jc w:val="both"/>
        <w:rPr>
          <w:rFonts w:cs="Tahoma"/>
          <w:color w:val="000000" w:themeColor="text1"/>
          <w:sz w:val="18"/>
          <w:szCs w:val="18"/>
        </w:rPr>
      </w:pPr>
      <w:r w:rsidRPr="00977E53">
        <w:rPr>
          <w:rFonts w:eastAsia="Calibri"/>
          <w:color w:val="000000" w:themeColor="text1"/>
          <w:sz w:val="18"/>
          <w:szCs w:val="18"/>
        </w:rPr>
        <w:lastRenderedPageBreak/>
        <w:t>Zgodnie z wymogiem MSSF 13 dla ekspozycji, dla których nie są dostępne kwotowania z aktywnego rynku, Bank kalibruje stopę dyskontową w oparciu o wartość godziwą na datę początkowego ujęcia (tj. o cenę „nabycia” ekspozycji). Marża kalibracyjna odzwierciedla wycenę kosztów związanych z utrzymywaniem ekspozycji w portfelu oraz rynkowe oczekiwania, co do marży zysku realizowanej na aktywach podobnych do wycenianej ekspozycji</w:t>
      </w:r>
      <w:r w:rsidR="004070C3" w:rsidRPr="00977E53">
        <w:rPr>
          <w:rFonts w:eastAsia="Calibri"/>
          <w:color w:val="000000" w:themeColor="text1"/>
          <w:sz w:val="18"/>
          <w:szCs w:val="18"/>
        </w:rPr>
        <w:t>.</w:t>
      </w:r>
    </w:p>
    <w:p w14:paraId="7092612C" w14:textId="0274C995" w:rsidR="000F75B9" w:rsidRPr="00977E53" w:rsidRDefault="000F75B9" w:rsidP="00E175B6">
      <w:pPr>
        <w:pStyle w:val="Akapitzlist"/>
        <w:numPr>
          <w:ilvl w:val="3"/>
          <w:numId w:val="14"/>
        </w:numPr>
        <w:autoSpaceDE w:val="0"/>
        <w:autoSpaceDN w:val="0"/>
        <w:spacing w:after="120"/>
        <w:ind w:left="993" w:hanging="993"/>
        <w:jc w:val="both"/>
        <w:rPr>
          <w:rFonts w:eastAsia="Calibri"/>
          <w:b/>
          <w:color w:val="000000" w:themeColor="text1"/>
          <w:sz w:val="18"/>
          <w:szCs w:val="18"/>
        </w:rPr>
      </w:pPr>
      <w:r w:rsidRPr="00977E53">
        <w:rPr>
          <w:rFonts w:eastAsia="Calibri"/>
          <w:b/>
          <w:color w:val="000000" w:themeColor="text1"/>
          <w:sz w:val="18"/>
          <w:szCs w:val="18"/>
        </w:rPr>
        <w:t>Wycena do wartości godziwej aktywów kredytowych posiadających przesłankę utraty wartości</w:t>
      </w:r>
    </w:p>
    <w:p w14:paraId="3AA6DB7B" w14:textId="0C2320BD" w:rsidR="007B16D9" w:rsidRPr="00977E53" w:rsidRDefault="000F75B9" w:rsidP="000F75B9">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Aktywa kredytowe posiadające przesłankę utraty wartości wyceniane są w oparciu o przewidywane odzyski. W przypadku ekspozycji detalicznych odzwierciedlane są one za pomocą parametru LGD, natomiast dla ekspozycji korporacyjnych – w indywidualnych scenariuszach odzysków.</w:t>
      </w:r>
    </w:p>
    <w:p w14:paraId="4C126B8D" w14:textId="7249439A" w:rsidR="000F75B9" w:rsidRPr="00977E53" w:rsidRDefault="000F75B9" w:rsidP="00DD7216">
      <w:pPr>
        <w:pStyle w:val="Akapitzlist"/>
        <w:numPr>
          <w:ilvl w:val="2"/>
          <w:numId w:val="14"/>
        </w:numPr>
        <w:autoSpaceDE w:val="0"/>
        <w:autoSpaceDN w:val="0"/>
        <w:adjustRightInd w:val="0"/>
        <w:ind w:left="426" w:hanging="426"/>
        <w:jc w:val="both"/>
        <w:rPr>
          <w:rFonts w:eastAsia="Calibri" w:cs="Verdana"/>
          <w:b/>
          <w:color w:val="000000" w:themeColor="text1"/>
          <w:sz w:val="18"/>
          <w:szCs w:val="18"/>
          <w:lang w:eastAsia="en-US"/>
        </w:rPr>
      </w:pPr>
      <w:r w:rsidRPr="00977E53">
        <w:rPr>
          <w:rFonts w:eastAsia="Calibri" w:cs="Verdana"/>
          <w:b/>
          <w:color w:val="000000" w:themeColor="text1"/>
          <w:sz w:val="18"/>
          <w:szCs w:val="18"/>
          <w:lang w:eastAsia="en-US"/>
        </w:rPr>
        <w:t xml:space="preserve">Przejęte zabezpieczenia </w:t>
      </w:r>
    </w:p>
    <w:p w14:paraId="665272ED" w14:textId="2FADF03E" w:rsidR="00D564B7" w:rsidRPr="00977E53" w:rsidRDefault="0032584F" w:rsidP="00D564B7">
      <w:pPr>
        <w:suppressAutoHyphens/>
        <w:spacing w:before="120"/>
        <w:jc w:val="both"/>
        <w:rPr>
          <w:rFonts w:cs="Tahoma"/>
          <w:color w:val="000000" w:themeColor="text1"/>
          <w:sz w:val="18"/>
          <w:szCs w:val="18"/>
        </w:rPr>
      </w:pPr>
      <w:r w:rsidRPr="00977E53">
        <w:rPr>
          <w:rFonts w:cs="Tahoma"/>
          <w:color w:val="000000" w:themeColor="text1"/>
          <w:sz w:val="18"/>
          <w:szCs w:val="18"/>
        </w:rPr>
        <w:t>Grupa klasyfikuje przejęte zabezpieczenia jako aktywa przejęte za długi i wycenia zgodnie z przyjętymi zasadami rach</w:t>
      </w:r>
      <w:r w:rsidR="00BC7991">
        <w:rPr>
          <w:rFonts w:cs="Tahoma"/>
          <w:color w:val="000000" w:themeColor="text1"/>
          <w:sz w:val="18"/>
          <w:szCs w:val="18"/>
        </w:rPr>
        <w:t>unkowości opisanymi w Nocie 2.21</w:t>
      </w:r>
      <w:r w:rsidRPr="00977E53">
        <w:rPr>
          <w:rFonts w:cs="Tahoma"/>
          <w:color w:val="000000" w:themeColor="text1"/>
          <w:sz w:val="18"/>
          <w:szCs w:val="18"/>
        </w:rPr>
        <w:t xml:space="preserve">. Aktywa przejęte za długi zaklasyfikowane jako aktywa do zbycia zostaną wystawione na sprzedaż na właściwym dla nich rynku oraz zbyte w najszybszym możliwym terminie. </w:t>
      </w:r>
      <w:r w:rsidR="00D564B7" w:rsidRPr="00977E53">
        <w:rPr>
          <w:rFonts w:cs="Tahoma"/>
          <w:color w:val="000000" w:themeColor="text1"/>
          <w:sz w:val="18"/>
          <w:szCs w:val="18"/>
        </w:rPr>
        <w:t>Proces sprzedaży przejętych przez Bank zabezpieczeń jest zorganizowany zgodnie z</w:t>
      </w:r>
      <w:r w:rsidR="00380AF3">
        <w:rPr>
          <w:rFonts w:cs="Tahoma"/>
          <w:color w:val="000000" w:themeColor="text1"/>
          <w:sz w:val="18"/>
          <w:szCs w:val="18"/>
        </w:rPr>
        <w:t> </w:t>
      </w:r>
      <w:r w:rsidR="00D564B7" w:rsidRPr="00977E53">
        <w:rPr>
          <w:rFonts w:cs="Tahoma"/>
          <w:color w:val="000000" w:themeColor="text1"/>
          <w:sz w:val="18"/>
          <w:szCs w:val="18"/>
        </w:rPr>
        <w:t xml:space="preserve">polityką i procedurami określonymi dla poszczególnych rodzajów przejmowanych zabezpieczeń. </w:t>
      </w:r>
    </w:p>
    <w:p w14:paraId="2CA24C84" w14:textId="5114A30D" w:rsidR="000F75B9" w:rsidRPr="00977E53" w:rsidRDefault="00D564B7" w:rsidP="00D564B7">
      <w:pPr>
        <w:suppressAutoHyphens/>
        <w:spacing w:before="120"/>
        <w:jc w:val="both"/>
        <w:rPr>
          <w:rFonts w:cs="Tahoma"/>
          <w:color w:val="000000" w:themeColor="text1"/>
          <w:sz w:val="18"/>
          <w:szCs w:val="18"/>
        </w:rPr>
      </w:pPr>
      <w:r w:rsidRPr="00977E53">
        <w:rPr>
          <w:rFonts w:cs="Tahoma"/>
          <w:color w:val="000000" w:themeColor="text1"/>
          <w:sz w:val="18"/>
          <w:szCs w:val="18"/>
        </w:rPr>
        <w:t>Polityką spółek Grupy jest sprzedaż przejętych aktywów lub – jak to ma miejsce w przypadku leasingu – oddanie w ponowny leasing innemu klientowi. Do rzadkości należą przypadki zagospodarowania przejętych aktywów na potrzeby własne – czynność taka musi być ekonomicznie uzasadniona i odzwierciedlać pilną potrzebę spółek Grupy oraz musi uzyskać każdorazowo aprobatę ich Zarządów. W 2019 roku i w 2018 roku Grupa nie posiadała żadnych trudnozbywalnych aktywów przejętych jako zabezpieczenia</w:t>
      </w:r>
      <w:r w:rsidR="0032584F" w:rsidRPr="00977E53">
        <w:rPr>
          <w:rFonts w:cs="Tahoma"/>
          <w:color w:val="000000" w:themeColor="text1"/>
          <w:sz w:val="18"/>
          <w:szCs w:val="18"/>
        </w:rPr>
        <w:t xml:space="preserve">. Na dzień </w:t>
      </w:r>
      <w:r w:rsidR="0032584F" w:rsidRPr="003747EC">
        <w:rPr>
          <w:rFonts w:cs="Tahoma"/>
          <w:color w:val="000000" w:themeColor="text1"/>
          <w:sz w:val="18"/>
          <w:szCs w:val="18"/>
        </w:rPr>
        <w:t xml:space="preserve">31 grudnia 2019 roku wartość przejętych zabezpieczeń wyniosła </w:t>
      </w:r>
      <w:r w:rsidR="003747EC" w:rsidRPr="003747EC">
        <w:rPr>
          <w:rFonts w:cs="Tahoma"/>
          <w:color w:val="000000" w:themeColor="text1"/>
          <w:sz w:val="18"/>
          <w:szCs w:val="18"/>
        </w:rPr>
        <w:t>70</w:t>
      </w:r>
      <w:r w:rsidR="0032584F" w:rsidRPr="003747EC">
        <w:rPr>
          <w:rFonts w:cs="Tahoma"/>
          <w:color w:val="000000" w:themeColor="text1"/>
          <w:sz w:val="18"/>
          <w:szCs w:val="18"/>
        </w:rPr>
        <w:t> </w:t>
      </w:r>
      <w:r w:rsidR="003747EC" w:rsidRPr="003747EC">
        <w:rPr>
          <w:rFonts w:cs="Tahoma"/>
          <w:color w:val="000000" w:themeColor="text1"/>
          <w:sz w:val="18"/>
          <w:szCs w:val="18"/>
        </w:rPr>
        <w:t>262</w:t>
      </w:r>
      <w:r w:rsidR="0032584F" w:rsidRPr="003747EC">
        <w:rPr>
          <w:rFonts w:cs="Tahoma"/>
          <w:color w:val="000000" w:themeColor="text1"/>
          <w:sz w:val="18"/>
          <w:szCs w:val="18"/>
        </w:rPr>
        <w:t xml:space="preserve"> tys. zł i obejmowała głównie</w:t>
      </w:r>
      <w:r w:rsidR="0032584F" w:rsidRPr="00977E53">
        <w:rPr>
          <w:rFonts w:cs="Tahoma"/>
          <w:color w:val="000000" w:themeColor="text1"/>
          <w:sz w:val="18"/>
          <w:szCs w:val="18"/>
        </w:rPr>
        <w:t xml:space="preserve"> przedmioty leasingu (31 grudnia 2018 rok – 33 211 tys. zł). Wartość przejętych zabezpieczeń została </w:t>
      </w:r>
      <w:r w:rsidR="00FC1E1B" w:rsidRPr="00977E53">
        <w:rPr>
          <w:rFonts w:cs="Tahoma"/>
          <w:color w:val="000000" w:themeColor="text1"/>
          <w:sz w:val="18"/>
          <w:szCs w:val="18"/>
        </w:rPr>
        <w:t>ujęta w pozycji zapasy (Nocie 27</w:t>
      </w:r>
      <w:r w:rsidR="0032584F" w:rsidRPr="00977E53">
        <w:rPr>
          <w:rFonts w:cs="Tahoma"/>
          <w:color w:val="000000" w:themeColor="text1"/>
          <w:sz w:val="18"/>
          <w:szCs w:val="18"/>
        </w:rPr>
        <w:t>)</w:t>
      </w:r>
      <w:r w:rsidR="000F75B9" w:rsidRPr="00977E53">
        <w:rPr>
          <w:rFonts w:cs="Tahoma"/>
          <w:color w:val="000000" w:themeColor="text1"/>
          <w:sz w:val="18"/>
          <w:szCs w:val="18"/>
        </w:rPr>
        <w:t>.</w:t>
      </w:r>
    </w:p>
    <w:p w14:paraId="113E116E" w14:textId="77777777" w:rsidR="00D564B7" w:rsidRPr="00977E53" w:rsidRDefault="00D564B7" w:rsidP="00D564B7">
      <w:pPr>
        <w:suppressAutoHyphens/>
        <w:jc w:val="both"/>
        <w:rPr>
          <w:rFonts w:cs="Tahoma"/>
          <w:color w:val="000000" w:themeColor="text1"/>
          <w:sz w:val="18"/>
          <w:szCs w:val="18"/>
        </w:rPr>
      </w:pPr>
    </w:p>
    <w:p w14:paraId="6FC05F30" w14:textId="2F674BC0" w:rsidR="00627B93" w:rsidRPr="00977E53" w:rsidRDefault="00627B93" w:rsidP="009E7EB5">
      <w:pPr>
        <w:pStyle w:val="Akapitzlist"/>
        <w:numPr>
          <w:ilvl w:val="2"/>
          <w:numId w:val="14"/>
        </w:numPr>
        <w:spacing w:after="120"/>
        <w:ind w:left="425" w:hanging="425"/>
        <w:rPr>
          <w:b/>
          <w:color w:val="000000" w:themeColor="text1"/>
          <w:sz w:val="18"/>
          <w:szCs w:val="18"/>
          <w:lang w:eastAsia="en-US"/>
        </w:rPr>
      </w:pPr>
      <w:r w:rsidRPr="00977E53">
        <w:rPr>
          <w:b/>
          <w:color w:val="000000" w:themeColor="text1"/>
          <w:sz w:val="18"/>
          <w:szCs w:val="18"/>
          <w:lang w:eastAsia="en-US"/>
        </w:rPr>
        <w:t xml:space="preserve">Polityka Grupy mBanku w zakresie forbearance </w:t>
      </w:r>
    </w:p>
    <w:p w14:paraId="7E5A56B2" w14:textId="77777777" w:rsidR="00134237" w:rsidRPr="00977E53" w:rsidRDefault="00134237" w:rsidP="00134237">
      <w:pPr>
        <w:autoSpaceDE w:val="0"/>
        <w:autoSpaceDN w:val="0"/>
        <w:adjustRightInd w:val="0"/>
        <w:spacing w:before="120" w:after="120"/>
        <w:jc w:val="both"/>
        <w:rPr>
          <w:b/>
          <w:color w:val="000000" w:themeColor="text1"/>
          <w:sz w:val="18"/>
          <w:szCs w:val="18"/>
        </w:rPr>
      </w:pPr>
      <w:r w:rsidRPr="00977E53">
        <w:rPr>
          <w:b/>
          <w:color w:val="000000" w:themeColor="text1"/>
          <w:sz w:val="18"/>
          <w:szCs w:val="18"/>
        </w:rPr>
        <w:t xml:space="preserve">Definicja </w:t>
      </w:r>
    </w:p>
    <w:p w14:paraId="75F3D02C" w14:textId="77777777" w:rsidR="00D564B7" w:rsidRPr="00977E53" w:rsidRDefault="00D564B7" w:rsidP="00D564B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Polityka Grupy mBanku w zakresie forbearance oznacza zdefiniowany regulacjami wewnętrznymi zestaw działań związanych z renegocjacją i restrukturyzacją warunków umów kredytowych. </w:t>
      </w:r>
    </w:p>
    <w:p w14:paraId="25862305" w14:textId="203EC47D" w:rsidR="00D564B7" w:rsidRPr="00977E53" w:rsidRDefault="00D564B7" w:rsidP="00D564B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Grupa oferuje klientom, którzy są tymczasowo lub trwale w trudnej sytuacji finansowej i nie są w stanie sprostać pierwotnym warunkom spłaty, łagodniejsze warunki obsługi zobowiązań, pozwalające na</w:t>
      </w:r>
      <w:r w:rsidR="00124892">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utrzymanie bieżącej ich obsługi, bez których problemy finansowe klientów uniemożliwiłyby spłatę w</w:t>
      </w:r>
      <w:r w:rsidR="001A01F3" w:rsidRPr="00977E53">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 xml:space="preserve">terminie określonym pierwotną umową. Umowy te mogą być inicjowane przez klienta lub podmiot finansujący z Grupy. </w:t>
      </w:r>
    </w:p>
    <w:p w14:paraId="25FA342F" w14:textId="77777777" w:rsidR="00D564B7" w:rsidRPr="00977E53" w:rsidRDefault="00D564B7" w:rsidP="00D564B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Typ oferowanej ulgi jest dostosowywany do charakteru i przewidywanego czasu trwania trudnej sytuacji finansowej klienta. Do zawarcia porozumienia z klientem konieczne jest przekonanie po stronie podmiotu finansującego z Grupy o zdolności i gotowości  klienta do spłaty. Przed udzieleniem ulgi przeprowadzana jest ocena jej wpływu na poprawę zdolności klienta do spłaty. </w:t>
      </w:r>
    </w:p>
    <w:p w14:paraId="0AB0BFDA" w14:textId="77777777" w:rsidR="00D564B7" w:rsidRPr="00977E53" w:rsidRDefault="00D564B7" w:rsidP="00D564B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Grupa renegocjuje umowy kredytowe z klientami mającymi trudności finansowe w celu maksymalizacji możliwości odzyskania należności oraz minimalizacji ryzyka defaultu (niewywiązania się klienta ze swoich zobowiązań). </w:t>
      </w:r>
    </w:p>
    <w:p w14:paraId="0CDDDACB" w14:textId="39BCBA54" w:rsidR="00627B93" w:rsidRPr="00977E53" w:rsidRDefault="00D564B7" w:rsidP="00D564B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Ekspozycje ze zmodyfikowanymi warunkami podlegającymi polityce forbearance (dalej - ekspozycje forborne) są przedmiotem raportowania regulacyjnego oraz wewnętrznego</w:t>
      </w:r>
      <w:r w:rsidR="00627B93" w:rsidRPr="00977E53">
        <w:rPr>
          <w:rFonts w:eastAsia="Calibri" w:cs="Verdana"/>
          <w:color w:val="000000" w:themeColor="text1"/>
          <w:sz w:val="18"/>
          <w:szCs w:val="18"/>
          <w:lang w:eastAsia="en-US"/>
        </w:rPr>
        <w:t xml:space="preserve">. </w:t>
      </w:r>
    </w:p>
    <w:p w14:paraId="361F635B" w14:textId="77777777" w:rsidR="00627B93" w:rsidRPr="00977E53" w:rsidRDefault="00627B93" w:rsidP="00627B93">
      <w:pPr>
        <w:autoSpaceDE w:val="0"/>
        <w:autoSpaceDN w:val="0"/>
        <w:adjustRightInd w:val="0"/>
        <w:spacing w:after="120"/>
        <w:jc w:val="both"/>
        <w:rPr>
          <w:b/>
          <w:color w:val="000000" w:themeColor="text1"/>
          <w:sz w:val="18"/>
          <w:szCs w:val="18"/>
        </w:rPr>
      </w:pPr>
      <w:r w:rsidRPr="00977E53">
        <w:rPr>
          <w:b/>
          <w:color w:val="000000" w:themeColor="text1"/>
          <w:sz w:val="18"/>
          <w:szCs w:val="18"/>
        </w:rPr>
        <w:t xml:space="preserve">Stosowane instrumenty </w:t>
      </w:r>
    </w:p>
    <w:p w14:paraId="28607457" w14:textId="6248D1E7" w:rsidR="001A01F3" w:rsidRPr="00977E53" w:rsidRDefault="001A01F3" w:rsidP="001A01F3">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Grupa prowadzi otwartą komunikację z klientem w celu jak najwcześniejszego rozpoznania trudności finansowych oraz poznania ich przyczyn. Działania pomocowe oferowane klientom indywidualnym, których trudności finansowe w ocenie Banku mają krótkoterminowy charakter, koncentrują się na czasowej redukcji wysoko</w:t>
      </w:r>
      <w:r w:rsidR="00412375">
        <w:rPr>
          <w:rFonts w:eastAsia="Calibri" w:cs="Verdana"/>
          <w:color w:val="000000" w:themeColor="text1"/>
          <w:sz w:val="18"/>
          <w:szCs w:val="18"/>
          <w:lang w:eastAsia="en-US"/>
        </w:rPr>
        <w:t>ści rat i mogą mieć charakter między innymi</w:t>
      </w:r>
      <w:r w:rsidRPr="00977E53">
        <w:rPr>
          <w:rFonts w:eastAsia="Calibri" w:cs="Verdana"/>
          <w:color w:val="000000" w:themeColor="text1"/>
          <w:sz w:val="18"/>
          <w:szCs w:val="18"/>
          <w:lang w:eastAsia="en-US"/>
        </w:rPr>
        <w:t xml:space="preserve"> zawieszenia spłat kapitału przy utrzymaniu spłat odsetek. </w:t>
      </w:r>
    </w:p>
    <w:p w14:paraId="175BE2E2" w14:textId="77777777" w:rsidR="001A01F3" w:rsidRPr="00977E53" w:rsidRDefault="001A01F3" w:rsidP="001A01F3">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Klientom, których problemy finansowe mają charakter długoterminowy, może być oferowane wydłużenie terminu spłaty zobowiązań, które może obejmować zmniejszenie wysokości spłacanych rat. </w:t>
      </w:r>
    </w:p>
    <w:p w14:paraId="3B1BB133" w14:textId="77777777" w:rsidR="001A01F3" w:rsidRPr="00977E53" w:rsidRDefault="001A01F3" w:rsidP="001A01F3">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Wobec klientów korporacyjnych będących w trudnej sytuacji finansowej ulgi oferowane przez Grupę, począwszy od standstill (zaniechania działań, do których bank jest upoważniony w przypadku naruszenia warunków umownych bądź covenantów) a na restrukturyzacji umów kończąc, mają na celu wsparcie procesu biznesowego. Umowy restrukturyzacyjne mogą zwiększyć bezpieczeństwo Grupy poprzez zamianę finansowania otwartego (kredyt w rachunku bieżącym) na faktoring lub dyskonto faktur. Umowy </w:t>
      </w:r>
      <w:r w:rsidRPr="00977E53">
        <w:rPr>
          <w:rFonts w:eastAsia="Calibri" w:cs="Verdana"/>
          <w:color w:val="000000" w:themeColor="text1"/>
          <w:sz w:val="18"/>
          <w:szCs w:val="18"/>
          <w:lang w:eastAsia="en-US"/>
        </w:rPr>
        <w:lastRenderedPageBreak/>
        <w:t xml:space="preserve">restrukturyzacyjne mogą uchylać lub łagodzić warunki dodatkowe zawarte w umowie pierwotnej, jeżeli jest to optymalna strategia przetrwania biznesu klienta. </w:t>
      </w:r>
    </w:p>
    <w:p w14:paraId="3069B4BD" w14:textId="77777777" w:rsidR="001A01F3" w:rsidRPr="00977E53" w:rsidRDefault="001A01F3" w:rsidP="00382124">
      <w:pPr>
        <w:autoSpaceDE w:val="0"/>
        <w:autoSpaceDN w:val="0"/>
        <w:adjustRightInd w:val="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Poniższa lista nie wyczerpuje wszystkich dostępnych ulg (działań forbearance) podlegających polityce forbearance, ale obejmuje te najczęściej stosowane: </w:t>
      </w:r>
    </w:p>
    <w:p w14:paraId="62478DE0" w14:textId="77777777"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 xml:space="preserve">wydłużenie terminu spłaty kredytu, </w:t>
      </w:r>
    </w:p>
    <w:p w14:paraId="6E1AB4B2" w14:textId="77777777"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restrukturyzacja (średnio lub długoterminowe refinansowanie),</w:t>
      </w:r>
    </w:p>
    <w:p w14:paraId="11930734" w14:textId="77777777"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 xml:space="preserve">kapitalizacja odsetek, </w:t>
      </w:r>
    </w:p>
    <w:p w14:paraId="50881727" w14:textId="77777777"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 xml:space="preserve">odroczenia spłat odsetek, </w:t>
      </w:r>
    </w:p>
    <w:p w14:paraId="0FED1507" w14:textId="77777777"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 xml:space="preserve">odroczenia spłat rat kapitałowych, </w:t>
      </w:r>
    </w:p>
    <w:p w14:paraId="154C6990" w14:textId="3064972D"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zawieszenie, odstąpienie od realizacji działań wynikających z dodatkowych warunków zawartych w</w:t>
      </w:r>
      <w:r w:rsidR="00124892" w:rsidRPr="00382124">
        <w:rPr>
          <w:rFonts w:cs="Tahoma"/>
          <w:bCs/>
          <w:color w:val="000000" w:themeColor="text1"/>
          <w:sz w:val="18"/>
          <w:szCs w:val="18"/>
        </w:rPr>
        <w:t> </w:t>
      </w:r>
      <w:r w:rsidRPr="00382124">
        <w:rPr>
          <w:rFonts w:cs="Tahoma"/>
          <w:bCs/>
          <w:color w:val="000000" w:themeColor="text1"/>
          <w:sz w:val="18"/>
          <w:szCs w:val="18"/>
        </w:rPr>
        <w:t xml:space="preserve">umowie (tzw. covenantów), </w:t>
      </w:r>
    </w:p>
    <w:p w14:paraId="2F7A7FBF" w14:textId="1B4611CE" w:rsidR="001A01F3" w:rsidRPr="00382124" w:rsidRDefault="001A01F3" w:rsidP="00382124">
      <w:pPr>
        <w:numPr>
          <w:ilvl w:val="0"/>
          <w:numId w:val="17"/>
        </w:numPr>
        <w:tabs>
          <w:tab w:val="clear" w:pos="1267"/>
        </w:tabs>
        <w:suppressAutoHyphens/>
        <w:ind w:left="426" w:right="-57" w:hanging="284"/>
        <w:jc w:val="both"/>
        <w:rPr>
          <w:rFonts w:cs="Tahoma"/>
          <w:bCs/>
          <w:color w:val="000000" w:themeColor="text1"/>
          <w:sz w:val="18"/>
          <w:szCs w:val="18"/>
        </w:rPr>
      </w:pPr>
      <w:r w:rsidRPr="00382124">
        <w:rPr>
          <w:rFonts w:cs="Tahoma"/>
          <w:bCs/>
          <w:color w:val="000000" w:themeColor="text1"/>
          <w:sz w:val="18"/>
          <w:szCs w:val="18"/>
        </w:rPr>
        <w:t xml:space="preserve">standstills. </w:t>
      </w:r>
    </w:p>
    <w:p w14:paraId="6A25DEDB" w14:textId="77777777" w:rsidR="000C64D0" w:rsidRPr="00977E53" w:rsidRDefault="000C64D0" w:rsidP="000C64D0">
      <w:pPr>
        <w:ind w:left="425"/>
        <w:jc w:val="both"/>
        <w:rPr>
          <w:rFonts w:cs="Arial"/>
          <w:snapToGrid w:val="0"/>
          <w:color w:val="000000" w:themeColor="text1"/>
          <w:sz w:val="18"/>
          <w:szCs w:val="18"/>
          <w:lang w:eastAsia="en-US"/>
        </w:rPr>
      </w:pPr>
    </w:p>
    <w:p w14:paraId="09839257" w14:textId="77777777" w:rsidR="001A01F3" w:rsidRPr="00977E53" w:rsidRDefault="001A01F3" w:rsidP="001A01F3">
      <w:pPr>
        <w:autoSpaceDE w:val="0"/>
        <w:autoSpaceDN w:val="0"/>
        <w:adjustRightInd w:val="0"/>
        <w:spacing w:after="120"/>
        <w:jc w:val="both"/>
        <w:rPr>
          <w:b/>
          <w:color w:val="000000" w:themeColor="text1"/>
          <w:sz w:val="18"/>
          <w:szCs w:val="18"/>
        </w:rPr>
      </w:pPr>
      <w:r w:rsidRPr="00977E53">
        <w:rPr>
          <w:b/>
          <w:color w:val="000000" w:themeColor="text1"/>
          <w:sz w:val="18"/>
          <w:szCs w:val="18"/>
        </w:rPr>
        <w:t xml:space="preserve">Zarządzanie ryzykiem </w:t>
      </w:r>
    </w:p>
    <w:p w14:paraId="1791BFD1" w14:textId="21A12CE0" w:rsidR="001A01F3" w:rsidRPr="00977E53" w:rsidRDefault="001A01F3" w:rsidP="001A01F3">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Działania forbearance są w Grupie od wielu lat integralną częścią działalności obszaru zarządzania ryzykiem. Portfel klientów w statusie forborne podlega regularnemu przeglądowi i raportowaniu do</w:t>
      </w:r>
      <w:r w:rsidR="00BA0DCC">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 xml:space="preserve">kierownictwa obszaru. Ocenie podlega skuteczność podejmowanych działań, regularność obsługi zrestrukturyzowanych transakcji w zależności od typu produktu oraz segmentu klienta. Analiza ryzyka związanego z detalicznym portfelem forborne ma charakter portfelowy, zaś portfela korporacyjnego oparta jest na podejściu indywidualnym. </w:t>
      </w:r>
    </w:p>
    <w:p w14:paraId="4D786ED8" w14:textId="3D6882E3" w:rsidR="001A01F3" w:rsidRPr="00977E53" w:rsidRDefault="001A01F3" w:rsidP="001A01F3">
      <w:pPr>
        <w:autoSpaceDE w:val="0"/>
        <w:autoSpaceDN w:val="0"/>
        <w:adjustRightInd w:val="0"/>
        <w:spacing w:after="120"/>
        <w:jc w:val="both"/>
        <w:rPr>
          <w:rFonts w:cs="Verdana"/>
          <w:color w:val="000000" w:themeColor="text1"/>
          <w:sz w:val="18"/>
          <w:szCs w:val="18"/>
        </w:rPr>
      </w:pPr>
      <w:r w:rsidRPr="00977E53">
        <w:rPr>
          <w:rFonts w:cs="Verdana"/>
          <w:color w:val="000000" w:themeColor="text1"/>
          <w:sz w:val="18"/>
          <w:szCs w:val="18"/>
        </w:rPr>
        <w:t xml:space="preserve">W bankowości korporacyjnej, każda ekspozycja kredytowa Banku wobec klientów z rozpoznaną przesłanką utraty wartości (loss event) jest klasyfikowana do kategorii default i poddawana testowi impairmentowemu na utratę wartości. Każda ekspozycja w kategorii default jest przejmowana do obsługi przez wyspecjalizowaną jednostkę ds. restrukturyzacji i windykacji. Wszystkie ekspozycje kredytowe Banku wobec klientów w trudnej sytuacji finansowej (w tym: w kategorii default), wobec których Bank zastosował ulgi, mają status forborne. Klienci non-default w trudnej sytuacji finansowej, tj.: bez rozpoznanej przesłanki utraty wartości, którzy otrzymali ulgę, podlegają szczególnemu monitoringowi (Watch List – WL) przez wszystkie jednostki uczestniczące w procesie kredytowania. Monitorowana jest ich bieżąca sytuacja finansowa oraz kontrolowane jest wystąpienie przesłanek utraty wartości należności Grupy. </w:t>
      </w:r>
    </w:p>
    <w:p w14:paraId="20413DF8" w14:textId="77777777" w:rsidR="001A01F3" w:rsidRPr="00977E53" w:rsidRDefault="001A01F3" w:rsidP="001A01F3">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Grupa nie stosuje odrębnych modeli do wyznaczania poziomu rezerwy portfelowej bądź celowej na produktach pomocowych podlegających polityce forbearance. </w:t>
      </w:r>
    </w:p>
    <w:p w14:paraId="01F32359" w14:textId="77777777" w:rsidR="001A01F3" w:rsidRPr="00977E53" w:rsidRDefault="001A01F3" w:rsidP="001A01F3">
      <w:pPr>
        <w:autoSpaceDE w:val="0"/>
        <w:autoSpaceDN w:val="0"/>
        <w:adjustRightInd w:val="0"/>
        <w:spacing w:after="120"/>
        <w:jc w:val="both"/>
        <w:rPr>
          <w:b/>
          <w:color w:val="000000" w:themeColor="text1"/>
          <w:sz w:val="18"/>
          <w:szCs w:val="18"/>
        </w:rPr>
      </w:pPr>
      <w:r w:rsidRPr="00977E53">
        <w:rPr>
          <w:b/>
          <w:color w:val="000000" w:themeColor="text1"/>
          <w:sz w:val="18"/>
          <w:szCs w:val="18"/>
        </w:rPr>
        <w:t>Warunki wyjścia ekspozycji z forborne - obszar bankowości korporacyjnej</w:t>
      </w:r>
    </w:p>
    <w:p w14:paraId="679FAF0C" w14:textId="77777777" w:rsidR="001A01F3" w:rsidRPr="00977E53" w:rsidRDefault="001A01F3" w:rsidP="00634BB4">
      <w:pPr>
        <w:autoSpaceDE w:val="0"/>
        <w:autoSpaceDN w:val="0"/>
        <w:adjustRightInd w:val="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Grupa zaprzestaje wykazywania ekspozycji jako forborne w przypadku spełnienia łącznie wszystkich poniższych warunków: </w:t>
      </w:r>
    </w:p>
    <w:p w14:paraId="740B5585"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 xml:space="preserve">nastąpiła poprawa sytuacji finansowej klienta, ekspozycja została uznana za niezagrożoną i została przeklasyfikowana z kategorii zagrożonej, </w:t>
      </w:r>
    </w:p>
    <w:p w14:paraId="71DCD150"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 xml:space="preserve">ekspozycja pozostaje niezagrożona co najmniej 24 miesiące od daty uznania ekspozycji za niezagrożoną (okres próby), </w:t>
      </w:r>
    </w:p>
    <w:p w14:paraId="3F56EFF6"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 xml:space="preserve">występują regularne wpływy (przeterminowanie nie przekracza 30 dni) z tytułu należności lub odsetek w istotnej wysokości przez okres min. 12 ostatnich miesięcy okresu próby, </w:t>
      </w:r>
    </w:p>
    <w:p w14:paraId="05407AA0" w14:textId="77777777" w:rsidR="001A01F3" w:rsidRPr="00634BB4" w:rsidRDefault="001A01F3" w:rsidP="00634BB4">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634BB4">
        <w:rPr>
          <w:rFonts w:cs="Tahoma"/>
          <w:bCs/>
          <w:color w:val="000000" w:themeColor="text1"/>
          <w:sz w:val="18"/>
          <w:szCs w:val="18"/>
        </w:rPr>
        <w:t xml:space="preserve">żadna ekspozycja dłużnika nie jest przeterminowana powyżej 30 dni na koniec okresu próby. </w:t>
      </w:r>
    </w:p>
    <w:p w14:paraId="15ACFFD4" w14:textId="77777777" w:rsidR="001A01F3" w:rsidRPr="00977E53" w:rsidRDefault="001A01F3" w:rsidP="001A01F3">
      <w:pPr>
        <w:autoSpaceDE w:val="0"/>
        <w:autoSpaceDN w:val="0"/>
        <w:adjustRightInd w:val="0"/>
        <w:spacing w:after="120"/>
        <w:jc w:val="both"/>
        <w:rPr>
          <w:b/>
          <w:color w:val="000000" w:themeColor="text1"/>
          <w:sz w:val="18"/>
          <w:szCs w:val="18"/>
        </w:rPr>
      </w:pPr>
      <w:r w:rsidRPr="00977E53">
        <w:rPr>
          <w:b/>
          <w:color w:val="000000" w:themeColor="text1"/>
          <w:sz w:val="18"/>
          <w:szCs w:val="18"/>
        </w:rPr>
        <w:t>Warunki wyjścia ekspozycji z forborne - obszar bankowości detalicznej</w:t>
      </w:r>
    </w:p>
    <w:p w14:paraId="28DF283B" w14:textId="77777777" w:rsidR="001A01F3" w:rsidRPr="00977E53" w:rsidRDefault="001A01F3" w:rsidP="00634BB4">
      <w:pPr>
        <w:jc w:val="both"/>
        <w:rPr>
          <w:rFonts w:eastAsia="Calibri"/>
          <w:color w:val="000000" w:themeColor="text1"/>
          <w:sz w:val="18"/>
          <w:szCs w:val="18"/>
          <w:lang w:eastAsia="en-US"/>
        </w:rPr>
      </w:pPr>
      <w:r w:rsidRPr="00977E53">
        <w:rPr>
          <w:rFonts w:eastAsia="Calibri"/>
          <w:color w:val="000000" w:themeColor="text1"/>
          <w:sz w:val="18"/>
          <w:szCs w:val="18"/>
          <w:lang w:eastAsia="en-US"/>
        </w:rPr>
        <w:t xml:space="preserve">Kontrakt przestaje być klasyfikowany jako ekspozycja forborne, gdy spełnione są łącznie poniższe warunki: </w:t>
      </w:r>
    </w:p>
    <w:p w14:paraId="14172C76"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kontrakt jest uważany za niezagrożony (performing),</w:t>
      </w:r>
    </w:p>
    <w:p w14:paraId="58117A37"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 xml:space="preserve">minęły co najmniej 2 lata próby od uznania ekspozycji za niezagrożoną (performing), </w:t>
      </w:r>
    </w:p>
    <w:p w14:paraId="318A7788" w14:textId="77777777"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wystąpiły regularne wpływy z tytułu należności lub odsetek (opóźnienia w spłacie na kontrakcie nie przekraczające 31 dni w istotnej wysokości), co najmniej od połowy okresu próby, o którym mowa powyżej,</w:t>
      </w:r>
    </w:p>
    <w:p w14:paraId="6EC50DD4" w14:textId="77777777" w:rsid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t>na koniec 2-letniego okresu próby żadna z ekspozycji dłużnika nie jest przeterminowana powyżej 31 dni i jednocześnie kwota wymagalna nie przekracza 500 zł.</w:t>
      </w:r>
    </w:p>
    <w:p w14:paraId="41C2766C" w14:textId="42F29182" w:rsidR="001A01F3" w:rsidRPr="00634BB4" w:rsidRDefault="001A01F3" w:rsidP="00634BB4">
      <w:pPr>
        <w:numPr>
          <w:ilvl w:val="0"/>
          <w:numId w:val="17"/>
        </w:numPr>
        <w:tabs>
          <w:tab w:val="clear" w:pos="1267"/>
        </w:tabs>
        <w:suppressAutoHyphens/>
        <w:ind w:left="426" w:right="-57" w:hanging="284"/>
        <w:jc w:val="both"/>
        <w:rPr>
          <w:rFonts w:cs="Tahoma"/>
          <w:bCs/>
          <w:color w:val="000000" w:themeColor="text1"/>
          <w:sz w:val="18"/>
          <w:szCs w:val="18"/>
        </w:rPr>
      </w:pPr>
      <w:r w:rsidRPr="00634BB4">
        <w:rPr>
          <w:rFonts w:cs="Tahoma"/>
          <w:bCs/>
          <w:color w:val="000000" w:themeColor="text1"/>
          <w:sz w:val="18"/>
          <w:szCs w:val="18"/>
        </w:rPr>
        <w:br w:type="page"/>
      </w:r>
    </w:p>
    <w:p w14:paraId="3C7C8812" w14:textId="4DA55EBF" w:rsidR="00134237" w:rsidRPr="00977E53" w:rsidRDefault="001A01F3" w:rsidP="001A01F3">
      <w:pPr>
        <w:autoSpaceDE w:val="0"/>
        <w:autoSpaceDN w:val="0"/>
        <w:adjustRightInd w:val="0"/>
        <w:spacing w:before="120" w:after="120"/>
        <w:jc w:val="both"/>
        <w:rPr>
          <w:b/>
          <w:color w:val="000000" w:themeColor="text1"/>
          <w:sz w:val="18"/>
          <w:szCs w:val="18"/>
        </w:rPr>
      </w:pPr>
      <w:r w:rsidRPr="00977E53">
        <w:rPr>
          <w:b/>
          <w:color w:val="000000" w:themeColor="text1"/>
          <w:sz w:val="18"/>
          <w:szCs w:val="18"/>
        </w:rPr>
        <w:lastRenderedPageBreak/>
        <w:t>Charakterystyka portfela</w:t>
      </w:r>
      <w:r w:rsidR="00134237" w:rsidRPr="00977E53">
        <w:rPr>
          <w:b/>
          <w:color w:val="000000" w:themeColor="text1"/>
          <w:sz w:val="18"/>
          <w:szCs w:val="18"/>
        </w:rPr>
        <w:t xml:space="preserve"> </w:t>
      </w:r>
    </w:p>
    <w:tbl>
      <w:tblPr>
        <w:tblW w:w="9634" w:type="dxa"/>
        <w:tblLayout w:type="fixed"/>
        <w:tblCellMar>
          <w:left w:w="28" w:type="dxa"/>
          <w:right w:w="28" w:type="dxa"/>
        </w:tblCellMar>
        <w:tblLook w:val="04A0" w:firstRow="1" w:lastRow="0" w:firstColumn="1" w:lastColumn="0" w:noHBand="0" w:noVBand="1"/>
      </w:tblPr>
      <w:tblGrid>
        <w:gridCol w:w="2547"/>
        <w:gridCol w:w="1182"/>
        <w:gridCol w:w="1181"/>
        <w:gridCol w:w="1181"/>
        <w:gridCol w:w="1181"/>
        <w:gridCol w:w="1181"/>
        <w:gridCol w:w="1181"/>
      </w:tblGrid>
      <w:tr w:rsidR="003E6DBA" w:rsidRPr="00D152A8" w14:paraId="1CBCC290" w14:textId="77777777" w:rsidTr="003E6DBA">
        <w:trPr>
          <w:trHeight w:val="336"/>
        </w:trPr>
        <w:tc>
          <w:tcPr>
            <w:tcW w:w="2547" w:type="dxa"/>
            <w:vMerge w:val="restart"/>
            <w:tcBorders>
              <w:top w:val="nil"/>
              <w:left w:val="single" w:sz="4" w:space="0" w:color="FFFFFF"/>
              <w:right w:val="single" w:sz="6" w:space="0" w:color="FFFFFF" w:themeColor="background1"/>
            </w:tcBorders>
            <w:shd w:val="clear" w:color="000000" w:fill="0077BD"/>
            <w:vAlign w:val="center"/>
          </w:tcPr>
          <w:p w14:paraId="3DD4E643" w14:textId="6B878E44" w:rsidR="003E6DBA" w:rsidRPr="00D152A8" w:rsidRDefault="003E6DBA" w:rsidP="009E1F91">
            <w:pPr>
              <w:rPr>
                <w:rFonts w:cs="Calibri"/>
                <w:b/>
                <w:bCs/>
                <w:color w:val="FF0000"/>
                <w:sz w:val="13"/>
                <w:szCs w:val="13"/>
              </w:rPr>
            </w:pPr>
          </w:p>
        </w:tc>
        <w:tc>
          <w:tcPr>
            <w:tcW w:w="3544" w:type="dxa"/>
            <w:gridSpan w:val="3"/>
            <w:tcBorders>
              <w:left w:val="single" w:sz="6" w:space="0" w:color="FFFFFF" w:themeColor="background1"/>
              <w:bottom w:val="single" w:sz="6" w:space="0" w:color="FFFFFF" w:themeColor="background1"/>
              <w:right w:val="single" w:sz="6" w:space="0" w:color="FFFFFF" w:themeColor="background1"/>
            </w:tcBorders>
            <w:shd w:val="clear" w:color="000000" w:fill="0077BD"/>
            <w:vAlign w:val="center"/>
            <w:hideMark/>
          </w:tcPr>
          <w:p w14:paraId="2B927C12" w14:textId="77777777" w:rsidR="003E6DBA" w:rsidRPr="00D152A8" w:rsidRDefault="003E6DBA" w:rsidP="009E1F91">
            <w:pPr>
              <w:jc w:val="center"/>
              <w:rPr>
                <w:rFonts w:cs="Calibri"/>
                <w:b/>
                <w:bCs/>
                <w:color w:val="FFFFFF"/>
                <w:sz w:val="13"/>
                <w:szCs w:val="13"/>
              </w:rPr>
            </w:pPr>
            <w:r w:rsidRPr="00D152A8">
              <w:rPr>
                <w:rFonts w:cs="Calibri"/>
                <w:b/>
                <w:bCs/>
                <w:color w:val="FFFFFF"/>
                <w:sz w:val="13"/>
                <w:szCs w:val="13"/>
              </w:rPr>
              <w:t>31.12.2019</w:t>
            </w:r>
          </w:p>
        </w:tc>
        <w:tc>
          <w:tcPr>
            <w:tcW w:w="3543" w:type="dxa"/>
            <w:gridSpan w:val="3"/>
            <w:tcBorders>
              <w:left w:val="single" w:sz="6" w:space="0" w:color="FFFFFF" w:themeColor="background1"/>
              <w:bottom w:val="single" w:sz="6" w:space="0" w:color="FFFFFF" w:themeColor="background1"/>
              <w:right w:val="single" w:sz="8" w:space="0" w:color="FFFFFF"/>
            </w:tcBorders>
            <w:shd w:val="clear" w:color="000000" w:fill="0077BD"/>
            <w:vAlign w:val="center"/>
            <w:hideMark/>
          </w:tcPr>
          <w:p w14:paraId="2DAE8F50" w14:textId="77777777" w:rsidR="003E6DBA" w:rsidRPr="00D152A8" w:rsidRDefault="003E6DBA" w:rsidP="009E1F91">
            <w:pPr>
              <w:jc w:val="center"/>
              <w:rPr>
                <w:rFonts w:cs="Calibri"/>
                <w:b/>
                <w:bCs/>
                <w:color w:val="FFFFFF"/>
                <w:sz w:val="13"/>
                <w:szCs w:val="13"/>
              </w:rPr>
            </w:pPr>
            <w:r w:rsidRPr="00D152A8">
              <w:rPr>
                <w:rFonts w:cs="Calibri"/>
                <w:b/>
                <w:bCs/>
                <w:color w:val="FFFFFF"/>
                <w:sz w:val="13"/>
                <w:szCs w:val="13"/>
              </w:rPr>
              <w:t>31.12.2018</w:t>
            </w:r>
          </w:p>
        </w:tc>
      </w:tr>
      <w:tr w:rsidR="003E6DBA" w:rsidRPr="00D152A8" w14:paraId="21DFAE84" w14:textId="77777777" w:rsidTr="00CA10A7">
        <w:trPr>
          <w:trHeight w:val="535"/>
        </w:trPr>
        <w:tc>
          <w:tcPr>
            <w:tcW w:w="2547" w:type="dxa"/>
            <w:vMerge/>
            <w:tcBorders>
              <w:left w:val="single" w:sz="4" w:space="0" w:color="FFFFFF"/>
              <w:right w:val="single" w:sz="6" w:space="0" w:color="FFFFFF" w:themeColor="background1"/>
            </w:tcBorders>
            <w:shd w:val="clear" w:color="000000" w:fill="0077BD"/>
            <w:vAlign w:val="center"/>
          </w:tcPr>
          <w:p w14:paraId="1080C144" w14:textId="4A69C9FA" w:rsidR="003E6DBA" w:rsidRPr="00D152A8" w:rsidRDefault="003E6DBA" w:rsidP="009E1F91">
            <w:pPr>
              <w:rPr>
                <w:rFonts w:cs="Calibri"/>
                <w:b/>
                <w:bCs/>
                <w:color w:val="FF0000"/>
                <w:sz w:val="13"/>
                <w:szCs w:val="13"/>
              </w:rPr>
            </w:pPr>
          </w:p>
        </w:tc>
        <w:tc>
          <w:tcPr>
            <w:tcW w:w="1182" w:type="dxa"/>
            <w:tcBorders>
              <w:top w:val="single" w:sz="6" w:space="0" w:color="FFFFFF" w:themeColor="background1"/>
              <w:left w:val="single" w:sz="6" w:space="0" w:color="FFFFFF" w:themeColor="background1"/>
              <w:right w:val="single" w:sz="8" w:space="0" w:color="FFFFFF"/>
            </w:tcBorders>
            <w:shd w:val="clear" w:color="000000" w:fill="0077BD"/>
            <w:vAlign w:val="center"/>
            <w:hideMark/>
          </w:tcPr>
          <w:p w14:paraId="368314F6" w14:textId="77777777" w:rsidR="003E6DBA" w:rsidRPr="00D152A8" w:rsidRDefault="003E6DBA" w:rsidP="009E1F91">
            <w:pPr>
              <w:jc w:val="center"/>
              <w:rPr>
                <w:rFonts w:cs="Calibri"/>
                <w:b/>
                <w:bCs/>
                <w:color w:val="FFFFFF"/>
                <w:sz w:val="13"/>
                <w:szCs w:val="13"/>
              </w:rPr>
            </w:pPr>
            <w:r w:rsidRPr="00D152A8">
              <w:rPr>
                <w:rFonts w:cs="Calibri"/>
                <w:b/>
                <w:bCs/>
                <w:color w:val="FFFFFF"/>
                <w:sz w:val="13"/>
                <w:szCs w:val="13"/>
              </w:rPr>
              <w:t>Wartość brutto</w:t>
            </w:r>
          </w:p>
        </w:tc>
        <w:tc>
          <w:tcPr>
            <w:tcW w:w="1181" w:type="dxa"/>
            <w:tcBorders>
              <w:top w:val="single" w:sz="6" w:space="0" w:color="FFFFFF" w:themeColor="background1"/>
              <w:left w:val="nil"/>
              <w:right w:val="single" w:sz="8" w:space="0" w:color="FFFFFF"/>
            </w:tcBorders>
            <w:shd w:val="clear" w:color="000000" w:fill="0077BD"/>
            <w:vAlign w:val="center"/>
            <w:hideMark/>
          </w:tcPr>
          <w:p w14:paraId="5DC7F13D" w14:textId="6F4E14A6" w:rsidR="003E6DBA" w:rsidRPr="00D152A8" w:rsidRDefault="005833E1" w:rsidP="003F143F">
            <w:pPr>
              <w:jc w:val="center"/>
              <w:rPr>
                <w:rFonts w:cs="Calibri"/>
                <w:b/>
                <w:bCs/>
                <w:color w:val="FFFFFF"/>
                <w:sz w:val="13"/>
                <w:szCs w:val="13"/>
              </w:rPr>
            </w:pPr>
            <w:r w:rsidRPr="00D152A8">
              <w:rPr>
                <w:rFonts w:cs="Calibri"/>
                <w:b/>
                <w:bCs/>
                <w:color w:val="FFFFFF"/>
                <w:sz w:val="13"/>
                <w:szCs w:val="13"/>
              </w:rPr>
              <w:t>Skumulowana utrata wartości</w:t>
            </w:r>
          </w:p>
        </w:tc>
        <w:tc>
          <w:tcPr>
            <w:tcW w:w="1181" w:type="dxa"/>
            <w:tcBorders>
              <w:top w:val="single" w:sz="6" w:space="0" w:color="FFFFFF" w:themeColor="background1"/>
              <w:left w:val="nil"/>
              <w:right w:val="single" w:sz="6" w:space="0" w:color="FFFFFF" w:themeColor="background1"/>
            </w:tcBorders>
            <w:shd w:val="clear" w:color="000000" w:fill="0077BD"/>
            <w:vAlign w:val="center"/>
            <w:hideMark/>
          </w:tcPr>
          <w:p w14:paraId="5A7EA320" w14:textId="5FABFCE4" w:rsidR="003E6DBA" w:rsidRPr="00D152A8" w:rsidRDefault="003E6DBA" w:rsidP="009E1F91">
            <w:pPr>
              <w:jc w:val="center"/>
              <w:rPr>
                <w:rFonts w:cs="Calibri"/>
                <w:b/>
                <w:bCs/>
                <w:color w:val="FFFFFF"/>
                <w:sz w:val="13"/>
                <w:szCs w:val="13"/>
              </w:rPr>
            </w:pPr>
            <w:r w:rsidRPr="00D152A8">
              <w:rPr>
                <w:rFonts w:cs="Calibri"/>
                <w:b/>
                <w:bCs/>
                <w:color w:val="FFFFFF"/>
                <w:sz w:val="13"/>
                <w:szCs w:val="13"/>
              </w:rPr>
              <w:t>Wartość netto</w:t>
            </w:r>
            <w:r w:rsidR="00843A8E" w:rsidRPr="00D152A8">
              <w:rPr>
                <w:rFonts w:cs="Calibri"/>
                <w:b/>
                <w:bCs/>
                <w:color w:val="FFFFFF"/>
                <w:sz w:val="13"/>
                <w:szCs w:val="13"/>
              </w:rPr>
              <w:t>/</w:t>
            </w:r>
            <w:r w:rsidR="00843A8E" w:rsidRPr="00D152A8">
              <w:rPr>
                <w:rFonts w:cs="Calibri"/>
                <w:b/>
                <w:bCs/>
                <w:color w:val="FFFFFF"/>
                <w:sz w:val="13"/>
                <w:szCs w:val="13"/>
              </w:rPr>
              <w:br/>
              <w:t>wartość godziwa</w:t>
            </w:r>
          </w:p>
        </w:tc>
        <w:tc>
          <w:tcPr>
            <w:tcW w:w="1181" w:type="dxa"/>
            <w:tcBorders>
              <w:top w:val="single" w:sz="6" w:space="0" w:color="FFFFFF" w:themeColor="background1"/>
              <w:left w:val="single" w:sz="6" w:space="0" w:color="FFFFFF" w:themeColor="background1"/>
              <w:right w:val="single" w:sz="8" w:space="0" w:color="FFFFFF"/>
            </w:tcBorders>
            <w:shd w:val="clear" w:color="000000" w:fill="0077BD"/>
            <w:vAlign w:val="center"/>
            <w:hideMark/>
          </w:tcPr>
          <w:p w14:paraId="4744E707" w14:textId="77777777" w:rsidR="003E6DBA" w:rsidRPr="00D152A8" w:rsidRDefault="003E6DBA" w:rsidP="009E1F91">
            <w:pPr>
              <w:jc w:val="center"/>
              <w:rPr>
                <w:rFonts w:cs="Calibri"/>
                <w:b/>
                <w:bCs/>
                <w:color w:val="FFFFFF"/>
                <w:sz w:val="13"/>
                <w:szCs w:val="13"/>
              </w:rPr>
            </w:pPr>
            <w:r w:rsidRPr="00D152A8">
              <w:rPr>
                <w:rFonts w:cs="Calibri"/>
                <w:b/>
                <w:bCs/>
                <w:color w:val="FFFFFF"/>
                <w:sz w:val="13"/>
                <w:szCs w:val="13"/>
              </w:rPr>
              <w:t>Wartość brutto</w:t>
            </w:r>
          </w:p>
        </w:tc>
        <w:tc>
          <w:tcPr>
            <w:tcW w:w="1181" w:type="dxa"/>
            <w:tcBorders>
              <w:top w:val="single" w:sz="6" w:space="0" w:color="FFFFFF" w:themeColor="background1"/>
              <w:left w:val="nil"/>
              <w:right w:val="single" w:sz="8" w:space="0" w:color="FFFFFF"/>
            </w:tcBorders>
            <w:shd w:val="clear" w:color="000000" w:fill="0077BD"/>
            <w:vAlign w:val="center"/>
            <w:hideMark/>
          </w:tcPr>
          <w:p w14:paraId="395FE0AB" w14:textId="122C7E14" w:rsidR="003E6DBA" w:rsidRPr="00D152A8" w:rsidRDefault="00843A8E" w:rsidP="003F143F">
            <w:pPr>
              <w:jc w:val="center"/>
              <w:rPr>
                <w:rFonts w:cs="Calibri"/>
                <w:b/>
                <w:bCs/>
                <w:color w:val="FFFFFF"/>
                <w:sz w:val="13"/>
                <w:szCs w:val="13"/>
              </w:rPr>
            </w:pPr>
            <w:r w:rsidRPr="00D152A8">
              <w:rPr>
                <w:rFonts w:cs="Calibri"/>
                <w:b/>
                <w:bCs/>
                <w:color w:val="FFFFFF"/>
                <w:sz w:val="13"/>
                <w:szCs w:val="13"/>
              </w:rPr>
              <w:t>Skumulowana utrata wartości</w:t>
            </w:r>
          </w:p>
        </w:tc>
        <w:tc>
          <w:tcPr>
            <w:tcW w:w="1181" w:type="dxa"/>
            <w:tcBorders>
              <w:top w:val="single" w:sz="6" w:space="0" w:color="FFFFFF" w:themeColor="background1"/>
              <w:left w:val="nil"/>
              <w:right w:val="nil"/>
            </w:tcBorders>
            <w:shd w:val="clear" w:color="000000" w:fill="0077BD"/>
            <w:vAlign w:val="center"/>
            <w:hideMark/>
          </w:tcPr>
          <w:p w14:paraId="2E3AD3E4" w14:textId="489418A9" w:rsidR="003E6DBA" w:rsidRPr="00D152A8" w:rsidRDefault="003E6DBA" w:rsidP="009E1F91">
            <w:pPr>
              <w:jc w:val="center"/>
              <w:rPr>
                <w:rFonts w:cs="Calibri"/>
                <w:b/>
                <w:bCs/>
                <w:color w:val="FFFFFF"/>
                <w:sz w:val="13"/>
                <w:szCs w:val="13"/>
              </w:rPr>
            </w:pPr>
            <w:r w:rsidRPr="00D152A8">
              <w:rPr>
                <w:rFonts w:cs="Calibri"/>
                <w:b/>
                <w:bCs/>
                <w:color w:val="FFFFFF"/>
                <w:sz w:val="13"/>
                <w:szCs w:val="13"/>
              </w:rPr>
              <w:t>Wartość netto</w:t>
            </w:r>
            <w:r w:rsidR="00843A8E" w:rsidRPr="00D152A8">
              <w:rPr>
                <w:rFonts w:cs="Calibri"/>
                <w:b/>
                <w:bCs/>
                <w:color w:val="FFFFFF"/>
                <w:sz w:val="13"/>
                <w:szCs w:val="13"/>
              </w:rPr>
              <w:t>/</w:t>
            </w:r>
            <w:r w:rsidR="00843A8E" w:rsidRPr="00D152A8">
              <w:rPr>
                <w:rFonts w:cs="Calibri"/>
                <w:b/>
                <w:bCs/>
                <w:color w:val="FFFFFF"/>
                <w:sz w:val="13"/>
                <w:szCs w:val="13"/>
              </w:rPr>
              <w:br/>
              <w:t>wartość godziwa</w:t>
            </w:r>
          </w:p>
        </w:tc>
      </w:tr>
      <w:tr w:rsidR="00F17B85" w:rsidRPr="00D152A8" w14:paraId="17B08D41" w14:textId="77777777" w:rsidTr="00CA10A7">
        <w:trPr>
          <w:trHeight w:val="510"/>
        </w:trPr>
        <w:tc>
          <w:tcPr>
            <w:tcW w:w="2547" w:type="dxa"/>
            <w:tcBorders>
              <w:left w:val="nil"/>
              <w:bottom w:val="single" w:sz="8" w:space="0" w:color="0077BD"/>
              <w:right w:val="single" w:sz="8" w:space="0" w:color="0077BD"/>
            </w:tcBorders>
            <w:shd w:val="clear" w:color="000000" w:fill="FFFFFF"/>
            <w:vAlign w:val="center"/>
            <w:hideMark/>
          </w:tcPr>
          <w:p w14:paraId="23180F6B" w14:textId="77777777" w:rsidR="00F17B85" w:rsidRPr="00D152A8" w:rsidRDefault="00F17B85" w:rsidP="00F17B85">
            <w:pPr>
              <w:rPr>
                <w:rFonts w:cs="Calibri"/>
                <w:b/>
                <w:bCs/>
                <w:color w:val="000000" w:themeColor="text1"/>
                <w:sz w:val="13"/>
                <w:szCs w:val="13"/>
              </w:rPr>
            </w:pPr>
            <w:r w:rsidRPr="00D152A8">
              <w:rPr>
                <w:rFonts w:cs="Calibri"/>
                <w:b/>
                <w:bCs/>
                <w:color w:val="000000" w:themeColor="text1"/>
                <w:sz w:val="13"/>
                <w:szCs w:val="13"/>
              </w:rPr>
              <w:t>Kredyty i pożyczki udzielone klientom wyceniane w zamortyzowanym koszcie</w:t>
            </w:r>
          </w:p>
        </w:tc>
        <w:tc>
          <w:tcPr>
            <w:tcW w:w="1182" w:type="dxa"/>
            <w:tcBorders>
              <w:left w:val="single" w:sz="8" w:space="0" w:color="0077BD"/>
              <w:bottom w:val="single" w:sz="8" w:space="0" w:color="0077BD"/>
              <w:right w:val="single" w:sz="8" w:space="0" w:color="0077BD"/>
            </w:tcBorders>
            <w:shd w:val="clear" w:color="auto" w:fill="auto"/>
            <w:noWrap/>
            <w:vAlign w:val="center"/>
          </w:tcPr>
          <w:p w14:paraId="6D1439AF" w14:textId="4D2ECEA8"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106 393 532</w:t>
            </w:r>
          </w:p>
        </w:tc>
        <w:tc>
          <w:tcPr>
            <w:tcW w:w="1181" w:type="dxa"/>
            <w:tcBorders>
              <w:left w:val="nil"/>
              <w:bottom w:val="single" w:sz="8" w:space="0" w:color="0077BD"/>
              <w:right w:val="single" w:sz="8" w:space="0" w:color="0077BD"/>
            </w:tcBorders>
            <w:shd w:val="clear" w:color="auto" w:fill="auto"/>
            <w:noWrap/>
            <w:vAlign w:val="center"/>
          </w:tcPr>
          <w:p w14:paraId="3BF5E928" w14:textId="17BAE26B"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(3 190 278)</w:t>
            </w:r>
          </w:p>
        </w:tc>
        <w:tc>
          <w:tcPr>
            <w:tcW w:w="1181" w:type="dxa"/>
            <w:tcBorders>
              <w:left w:val="nil"/>
              <w:bottom w:val="single" w:sz="8" w:space="0" w:color="0077BD"/>
              <w:right w:val="single" w:sz="8" w:space="0" w:color="0077BD"/>
            </w:tcBorders>
            <w:shd w:val="clear" w:color="auto" w:fill="auto"/>
            <w:noWrap/>
            <w:vAlign w:val="center"/>
          </w:tcPr>
          <w:p w14:paraId="63FE83AA" w14:textId="778CDF1C"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103 203 254</w:t>
            </w:r>
          </w:p>
        </w:tc>
        <w:tc>
          <w:tcPr>
            <w:tcW w:w="1181" w:type="dxa"/>
            <w:tcBorders>
              <w:left w:val="nil"/>
              <w:bottom w:val="single" w:sz="8" w:space="0" w:color="0077BD"/>
              <w:right w:val="single" w:sz="8" w:space="0" w:color="0077BD"/>
            </w:tcBorders>
            <w:shd w:val="clear" w:color="auto" w:fill="auto"/>
            <w:noWrap/>
            <w:vAlign w:val="center"/>
          </w:tcPr>
          <w:p w14:paraId="360DEC52" w14:textId="725836DF"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95 059 979</w:t>
            </w:r>
          </w:p>
        </w:tc>
        <w:tc>
          <w:tcPr>
            <w:tcW w:w="1181" w:type="dxa"/>
            <w:tcBorders>
              <w:left w:val="nil"/>
              <w:bottom w:val="single" w:sz="8" w:space="0" w:color="0077BD"/>
              <w:right w:val="single" w:sz="8" w:space="0" w:color="0077BD"/>
            </w:tcBorders>
            <w:shd w:val="clear" w:color="auto" w:fill="auto"/>
            <w:noWrap/>
            <w:vAlign w:val="center"/>
          </w:tcPr>
          <w:p w14:paraId="4F2FDE47" w14:textId="3D3DF309"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(3 042 547)</w:t>
            </w:r>
          </w:p>
        </w:tc>
        <w:tc>
          <w:tcPr>
            <w:tcW w:w="1181" w:type="dxa"/>
            <w:tcBorders>
              <w:left w:val="nil"/>
              <w:bottom w:val="single" w:sz="8" w:space="0" w:color="0077BD"/>
              <w:right w:val="nil"/>
            </w:tcBorders>
            <w:shd w:val="clear" w:color="auto" w:fill="auto"/>
            <w:noWrap/>
            <w:vAlign w:val="center"/>
          </w:tcPr>
          <w:p w14:paraId="7A6F377C" w14:textId="0CA17B03" w:rsidR="00F17B85" w:rsidRPr="00D152A8" w:rsidRDefault="00F17B85" w:rsidP="00F17B85">
            <w:pPr>
              <w:jc w:val="right"/>
              <w:rPr>
                <w:rFonts w:cs="Calibri"/>
                <w:color w:val="000000" w:themeColor="text1"/>
                <w:sz w:val="13"/>
                <w:szCs w:val="13"/>
              </w:rPr>
            </w:pPr>
            <w:r w:rsidRPr="00D152A8">
              <w:rPr>
                <w:rFonts w:cs="Calibri"/>
                <w:b/>
                <w:bCs/>
                <w:color w:val="201C17"/>
                <w:sz w:val="13"/>
                <w:szCs w:val="13"/>
              </w:rPr>
              <w:t>92 017 432</w:t>
            </w:r>
          </w:p>
        </w:tc>
      </w:tr>
      <w:tr w:rsidR="00F17B85" w:rsidRPr="00D152A8" w14:paraId="48049EDE" w14:textId="77777777" w:rsidTr="00B934D8">
        <w:trPr>
          <w:trHeight w:val="288"/>
        </w:trPr>
        <w:tc>
          <w:tcPr>
            <w:tcW w:w="2547" w:type="dxa"/>
            <w:tcBorders>
              <w:top w:val="nil"/>
              <w:left w:val="nil"/>
              <w:bottom w:val="single" w:sz="4" w:space="0" w:color="0077BD"/>
              <w:right w:val="single" w:sz="8" w:space="0" w:color="0077BD"/>
            </w:tcBorders>
            <w:shd w:val="clear" w:color="000000" w:fill="FFFFFF"/>
            <w:vAlign w:val="center"/>
            <w:hideMark/>
          </w:tcPr>
          <w:p w14:paraId="6B27BE2B" w14:textId="5A6AD642" w:rsidR="00F17B85" w:rsidRPr="00D152A8" w:rsidRDefault="00843BF1" w:rsidP="00F17B85">
            <w:pPr>
              <w:rPr>
                <w:rFonts w:cs="Calibri"/>
                <w:color w:val="000000" w:themeColor="text1"/>
                <w:sz w:val="13"/>
                <w:szCs w:val="13"/>
              </w:rPr>
            </w:pPr>
            <w:r>
              <w:rPr>
                <w:rFonts w:cs="Calibri"/>
                <w:color w:val="000000" w:themeColor="text1"/>
                <w:sz w:val="13"/>
                <w:szCs w:val="13"/>
              </w:rPr>
              <w:t>w tym: ekspozycje forborne</w:t>
            </w:r>
          </w:p>
        </w:tc>
        <w:tc>
          <w:tcPr>
            <w:tcW w:w="1182"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6EB7635E" w14:textId="29F8D44B"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2 118 673</w:t>
            </w:r>
          </w:p>
        </w:tc>
        <w:tc>
          <w:tcPr>
            <w:tcW w:w="1181" w:type="dxa"/>
            <w:tcBorders>
              <w:top w:val="single" w:sz="8" w:space="0" w:color="0077BD"/>
              <w:left w:val="nil"/>
              <w:bottom w:val="single" w:sz="4" w:space="0" w:color="0077BD"/>
              <w:right w:val="single" w:sz="8" w:space="0" w:color="0077BD"/>
            </w:tcBorders>
            <w:shd w:val="clear" w:color="auto" w:fill="auto"/>
            <w:noWrap/>
            <w:vAlign w:val="center"/>
          </w:tcPr>
          <w:p w14:paraId="0C6BEEC9" w14:textId="49F50F8C"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(626 254)</w:t>
            </w:r>
          </w:p>
        </w:tc>
        <w:tc>
          <w:tcPr>
            <w:tcW w:w="1181" w:type="dxa"/>
            <w:tcBorders>
              <w:top w:val="single" w:sz="8" w:space="0" w:color="0077BD"/>
              <w:left w:val="nil"/>
              <w:bottom w:val="single" w:sz="4" w:space="0" w:color="0077BD"/>
              <w:right w:val="single" w:sz="8" w:space="0" w:color="0077BD"/>
            </w:tcBorders>
            <w:shd w:val="clear" w:color="auto" w:fill="auto"/>
            <w:noWrap/>
            <w:vAlign w:val="center"/>
          </w:tcPr>
          <w:p w14:paraId="23B43C36" w14:textId="59624094"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1 492 419</w:t>
            </w:r>
          </w:p>
        </w:tc>
        <w:tc>
          <w:tcPr>
            <w:tcW w:w="1181" w:type="dxa"/>
            <w:tcBorders>
              <w:top w:val="single" w:sz="8" w:space="0" w:color="0077BD"/>
              <w:left w:val="nil"/>
              <w:bottom w:val="single" w:sz="4" w:space="0" w:color="0077BD"/>
              <w:right w:val="single" w:sz="8" w:space="0" w:color="0077BD"/>
            </w:tcBorders>
            <w:shd w:val="clear" w:color="auto" w:fill="auto"/>
            <w:noWrap/>
            <w:vAlign w:val="center"/>
          </w:tcPr>
          <w:p w14:paraId="54769704" w14:textId="29545BFD"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1 810 116</w:t>
            </w:r>
          </w:p>
        </w:tc>
        <w:tc>
          <w:tcPr>
            <w:tcW w:w="1181" w:type="dxa"/>
            <w:tcBorders>
              <w:top w:val="single" w:sz="8" w:space="0" w:color="0077BD"/>
              <w:left w:val="nil"/>
              <w:bottom w:val="single" w:sz="4" w:space="0" w:color="0077BD"/>
              <w:right w:val="single" w:sz="8" w:space="0" w:color="0077BD"/>
            </w:tcBorders>
            <w:shd w:val="clear" w:color="auto" w:fill="auto"/>
            <w:noWrap/>
            <w:vAlign w:val="center"/>
          </w:tcPr>
          <w:p w14:paraId="648C6585" w14:textId="2459B3CE"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(577 912)</w:t>
            </w:r>
          </w:p>
        </w:tc>
        <w:tc>
          <w:tcPr>
            <w:tcW w:w="1181" w:type="dxa"/>
            <w:tcBorders>
              <w:top w:val="single" w:sz="8" w:space="0" w:color="0077BD"/>
              <w:left w:val="nil"/>
              <w:bottom w:val="single" w:sz="4" w:space="0" w:color="0077BD"/>
              <w:right w:val="nil"/>
            </w:tcBorders>
            <w:shd w:val="clear" w:color="auto" w:fill="auto"/>
            <w:noWrap/>
            <w:vAlign w:val="center"/>
          </w:tcPr>
          <w:p w14:paraId="791F7CD3" w14:textId="2053B6D6" w:rsidR="00F17B85" w:rsidRPr="0074184D" w:rsidRDefault="00F17B85" w:rsidP="00F17B85">
            <w:pPr>
              <w:jc w:val="right"/>
              <w:rPr>
                <w:rFonts w:cs="Calibri"/>
                <w:color w:val="000000" w:themeColor="text1"/>
                <w:sz w:val="13"/>
                <w:szCs w:val="13"/>
              </w:rPr>
            </w:pPr>
            <w:r w:rsidRPr="0074184D">
              <w:rPr>
                <w:rFonts w:cs="Calibri"/>
                <w:color w:val="000000" w:themeColor="text1"/>
                <w:sz w:val="13"/>
                <w:szCs w:val="13"/>
              </w:rPr>
              <w:t>1 232 204</w:t>
            </w:r>
          </w:p>
        </w:tc>
      </w:tr>
      <w:tr w:rsidR="00F17B85" w:rsidRPr="00D152A8" w14:paraId="2458FD21" w14:textId="77777777" w:rsidTr="00B934D8">
        <w:trPr>
          <w:trHeight w:val="288"/>
        </w:trPr>
        <w:tc>
          <w:tcPr>
            <w:tcW w:w="2547" w:type="dxa"/>
            <w:tcBorders>
              <w:top w:val="single" w:sz="4" w:space="0" w:color="0077BD"/>
              <w:left w:val="nil"/>
              <w:bottom w:val="single" w:sz="8" w:space="0" w:color="0077BD"/>
              <w:right w:val="single" w:sz="8" w:space="0" w:color="0077BD"/>
            </w:tcBorders>
            <w:shd w:val="clear" w:color="000000" w:fill="FFFFFF"/>
            <w:noWrap/>
            <w:vAlign w:val="center"/>
            <w:hideMark/>
          </w:tcPr>
          <w:p w14:paraId="744F79FF" w14:textId="77777777" w:rsidR="00F17B85" w:rsidRPr="00D152A8" w:rsidRDefault="00F17B85" w:rsidP="00F17B85">
            <w:pPr>
              <w:ind w:firstLineChars="200" w:firstLine="260"/>
              <w:rPr>
                <w:rFonts w:cs="Calibri"/>
                <w:i/>
                <w:iCs/>
                <w:color w:val="000000" w:themeColor="text1"/>
                <w:sz w:val="13"/>
                <w:szCs w:val="13"/>
              </w:rPr>
            </w:pPr>
            <w:r w:rsidRPr="00D152A8">
              <w:rPr>
                <w:rFonts w:cs="Calibri"/>
                <w:i/>
                <w:iCs/>
                <w:color w:val="000000" w:themeColor="text1"/>
                <w:sz w:val="13"/>
                <w:szCs w:val="13"/>
              </w:rPr>
              <w:t>w tym: w kategorii default</w:t>
            </w:r>
          </w:p>
        </w:tc>
        <w:tc>
          <w:tcPr>
            <w:tcW w:w="1182"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28081330" w14:textId="4699F0C8" w:rsidR="00F17B85" w:rsidRPr="0074184D" w:rsidRDefault="00F17B85" w:rsidP="00F17B85">
            <w:pPr>
              <w:jc w:val="right"/>
              <w:rPr>
                <w:rFonts w:cs="Calibri"/>
                <w:i/>
                <w:color w:val="000000" w:themeColor="text1"/>
                <w:sz w:val="13"/>
                <w:szCs w:val="13"/>
              </w:rPr>
            </w:pPr>
            <w:r w:rsidRPr="0074184D">
              <w:rPr>
                <w:rFonts w:cs="Calibri"/>
                <w:color w:val="000000" w:themeColor="text1"/>
                <w:sz w:val="13"/>
                <w:szCs w:val="13"/>
              </w:rPr>
              <w:t>1 232 518</w:t>
            </w: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58D4F379" w14:textId="1AB6F59C" w:rsidR="00F17B85" w:rsidRPr="0074184D" w:rsidRDefault="00F17B85" w:rsidP="00F17B85">
            <w:pPr>
              <w:jc w:val="right"/>
              <w:rPr>
                <w:rFonts w:cs="Calibri"/>
                <w:i/>
                <w:color w:val="000000" w:themeColor="text1"/>
                <w:sz w:val="13"/>
                <w:szCs w:val="13"/>
              </w:rPr>
            </w:pPr>
            <w:r w:rsidRPr="0074184D">
              <w:rPr>
                <w:rFonts w:cs="Calibri"/>
                <w:color w:val="000000" w:themeColor="text1"/>
                <w:sz w:val="13"/>
                <w:szCs w:val="13"/>
              </w:rPr>
              <w:t>(603 456)</w:t>
            </w: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7C8D5D64" w14:textId="77F92A0D" w:rsidR="00F17B85" w:rsidRPr="0074184D" w:rsidRDefault="00F17B85" w:rsidP="00F17B85">
            <w:pPr>
              <w:jc w:val="right"/>
              <w:rPr>
                <w:rFonts w:cs="Calibri"/>
                <w:i/>
                <w:color w:val="000000" w:themeColor="text1"/>
                <w:sz w:val="13"/>
                <w:szCs w:val="13"/>
              </w:rPr>
            </w:pPr>
            <w:r w:rsidRPr="0074184D">
              <w:rPr>
                <w:rFonts w:cs="Calibri"/>
                <w:i/>
                <w:iCs/>
                <w:color w:val="000000" w:themeColor="text1"/>
                <w:sz w:val="13"/>
                <w:szCs w:val="13"/>
              </w:rPr>
              <w:t>629 062</w:t>
            </w: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5644CFDF" w14:textId="2CCF2065" w:rsidR="00F17B85" w:rsidRPr="0074184D" w:rsidRDefault="00F17B85" w:rsidP="00F17B85">
            <w:pPr>
              <w:jc w:val="right"/>
              <w:rPr>
                <w:rFonts w:cs="Calibri"/>
                <w:i/>
                <w:color w:val="000000" w:themeColor="text1"/>
                <w:sz w:val="13"/>
                <w:szCs w:val="13"/>
              </w:rPr>
            </w:pPr>
            <w:r w:rsidRPr="0074184D">
              <w:rPr>
                <w:rFonts w:cs="Calibri"/>
                <w:i/>
                <w:iCs/>
                <w:color w:val="000000" w:themeColor="text1"/>
                <w:sz w:val="13"/>
                <w:szCs w:val="13"/>
              </w:rPr>
              <w:t>1 203 040</w:t>
            </w: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28E7724F" w14:textId="211A9D48" w:rsidR="00F17B85" w:rsidRPr="0074184D" w:rsidRDefault="00F17B85" w:rsidP="00F17B85">
            <w:pPr>
              <w:jc w:val="right"/>
              <w:rPr>
                <w:rFonts w:cs="Calibri"/>
                <w:i/>
                <w:color w:val="000000" w:themeColor="text1"/>
                <w:sz w:val="13"/>
                <w:szCs w:val="13"/>
              </w:rPr>
            </w:pPr>
            <w:r w:rsidRPr="0074184D">
              <w:rPr>
                <w:rFonts w:cs="Calibri"/>
                <w:i/>
                <w:iCs/>
                <w:color w:val="000000" w:themeColor="text1"/>
                <w:sz w:val="13"/>
                <w:szCs w:val="13"/>
              </w:rPr>
              <w:t>(564 052)</w:t>
            </w:r>
          </w:p>
        </w:tc>
        <w:tc>
          <w:tcPr>
            <w:tcW w:w="1181" w:type="dxa"/>
            <w:tcBorders>
              <w:top w:val="single" w:sz="4" w:space="0" w:color="0077BD"/>
              <w:left w:val="nil"/>
              <w:bottom w:val="single" w:sz="8" w:space="0" w:color="0077BD"/>
              <w:right w:val="nil"/>
            </w:tcBorders>
            <w:shd w:val="clear" w:color="auto" w:fill="auto"/>
            <w:noWrap/>
            <w:vAlign w:val="center"/>
          </w:tcPr>
          <w:p w14:paraId="52190170" w14:textId="15109DCA" w:rsidR="00F17B85" w:rsidRPr="0074184D" w:rsidRDefault="00F17B85" w:rsidP="00F17B85">
            <w:pPr>
              <w:jc w:val="right"/>
              <w:rPr>
                <w:rFonts w:cs="Calibri"/>
                <w:i/>
                <w:color w:val="000000" w:themeColor="text1"/>
                <w:sz w:val="13"/>
                <w:szCs w:val="13"/>
              </w:rPr>
            </w:pPr>
            <w:r w:rsidRPr="0074184D">
              <w:rPr>
                <w:rFonts w:cs="Calibri"/>
                <w:i/>
                <w:iCs/>
                <w:color w:val="000000" w:themeColor="text1"/>
                <w:sz w:val="13"/>
                <w:szCs w:val="13"/>
              </w:rPr>
              <w:t>638 988</w:t>
            </w:r>
          </w:p>
        </w:tc>
      </w:tr>
      <w:tr w:rsidR="00977E53" w:rsidRPr="00D152A8" w14:paraId="04EFA6CD" w14:textId="77777777" w:rsidTr="00B934D8">
        <w:trPr>
          <w:trHeight w:val="120"/>
        </w:trPr>
        <w:tc>
          <w:tcPr>
            <w:tcW w:w="2547" w:type="dxa"/>
            <w:tcBorders>
              <w:top w:val="single" w:sz="8" w:space="0" w:color="0077BD"/>
              <w:left w:val="nil"/>
              <w:bottom w:val="single" w:sz="4" w:space="0" w:color="0077BD"/>
              <w:right w:val="nil"/>
            </w:tcBorders>
            <w:shd w:val="clear" w:color="000000" w:fill="FFFFFF"/>
            <w:vAlign w:val="center"/>
          </w:tcPr>
          <w:p w14:paraId="04F3B3DB" w14:textId="50EE05EB" w:rsidR="0032584F" w:rsidRPr="00D152A8" w:rsidRDefault="0032584F" w:rsidP="009E1F91">
            <w:pPr>
              <w:jc w:val="right"/>
              <w:rPr>
                <w:rFonts w:cs="Calibri"/>
                <w:color w:val="000000" w:themeColor="text1"/>
                <w:sz w:val="8"/>
                <w:szCs w:val="8"/>
              </w:rPr>
            </w:pPr>
          </w:p>
        </w:tc>
        <w:tc>
          <w:tcPr>
            <w:tcW w:w="1182" w:type="dxa"/>
            <w:tcBorders>
              <w:top w:val="single" w:sz="8" w:space="0" w:color="0077BD"/>
              <w:left w:val="nil"/>
              <w:bottom w:val="single" w:sz="8" w:space="0" w:color="0077BD"/>
              <w:right w:val="nil"/>
            </w:tcBorders>
            <w:shd w:val="clear" w:color="000000" w:fill="FFFFFF"/>
            <w:noWrap/>
            <w:vAlign w:val="center"/>
          </w:tcPr>
          <w:p w14:paraId="14479C5F" w14:textId="5E1E7151" w:rsidR="0032584F" w:rsidRPr="00D152A8" w:rsidRDefault="0032584F" w:rsidP="009E1F91">
            <w:pPr>
              <w:jc w:val="right"/>
              <w:rPr>
                <w:rFonts w:cs="Calibri"/>
                <w:color w:val="000000" w:themeColor="text1"/>
                <w:sz w:val="8"/>
                <w:szCs w:val="8"/>
              </w:rPr>
            </w:pPr>
          </w:p>
        </w:tc>
        <w:tc>
          <w:tcPr>
            <w:tcW w:w="1181" w:type="dxa"/>
            <w:tcBorders>
              <w:top w:val="single" w:sz="8" w:space="0" w:color="0077BD"/>
              <w:left w:val="nil"/>
              <w:bottom w:val="single" w:sz="8" w:space="0" w:color="0077BD"/>
              <w:right w:val="nil"/>
            </w:tcBorders>
            <w:shd w:val="clear" w:color="000000" w:fill="FFFFFF"/>
            <w:noWrap/>
            <w:vAlign w:val="center"/>
          </w:tcPr>
          <w:p w14:paraId="1A46AAC0" w14:textId="6E05586E" w:rsidR="0032584F" w:rsidRPr="00D152A8" w:rsidRDefault="0032584F" w:rsidP="009E1F91">
            <w:pPr>
              <w:jc w:val="right"/>
              <w:rPr>
                <w:rFonts w:cs="Calibri"/>
                <w:color w:val="000000" w:themeColor="text1"/>
                <w:sz w:val="8"/>
                <w:szCs w:val="8"/>
              </w:rPr>
            </w:pPr>
          </w:p>
        </w:tc>
        <w:tc>
          <w:tcPr>
            <w:tcW w:w="1181" w:type="dxa"/>
            <w:tcBorders>
              <w:top w:val="single" w:sz="8" w:space="0" w:color="0077BD"/>
              <w:left w:val="nil"/>
              <w:bottom w:val="single" w:sz="4" w:space="0" w:color="0077BD"/>
              <w:right w:val="single" w:sz="8" w:space="0" w:color="0077BD"/>
            </w:tcBorders>
            <w:shd w:val="clear" w:color="000000" w:fill="FFFFFF"/>
            <w:noWrap/>
            <w:vAlign w:val="center"/>
          </w:tcPr>
          <w:p w14:paraId="2411511B" w14:textId="395431C0" w:rsidR="0032584F" w:rsidRPr="00D152A8" w:rsidRDefault="0032584F" w:rsidP="009E1F91">
            <w:pPr>
              <w:jc w:val="right"/>
              <w:rPr>
                <w:rFonts w:cs="Calibri"/>
                <w:color w:val="000000" w:themeColor="text1"/>
                <w:sz w:val="8"/>
                <w:szCs w:val="8"/>
              </w:rPr>
            </w:pPr>
          </w:p>
        </w:tc>
        <w:tc>
          <w:tcPr>
            <w:tcW w:w="1181" w:type="dxa"/>
            <w:tcBorders>
              <w:top w:val="single" w:sz="8" w:space="0" w:color="0077BD"/>
              <w:left w:val="nil"/>
              <w:bottom w:val="single" w:sz="8" w:space="0" w:color="0077BD"/>
              <w:right w:val="nil"/>
            </w:tcBorders>
            <w:shd w:val="clear" w:color="000000" w:fill="FFFFFF"/>
            <w:noWrap/>
            <w:vAlign w:val="center"/>
          </w:tcPr>
          <w:p w14:paraId="47614BFB" w14:textId="65BDB1A0" w:rsidR="0032584F" w:rsidRPr="00D152A8" w:rsidRDefault="0032584F" w:rsidP="009E1F91">
            <w:pPr>
              <w:jc w:val="right"/>
              <w:rPr>
                <w:rFonts w:cs="Calibri"/>
                <w:color w:val="000000" w:themeColor="text1"/>
                <w:sz w:val="8"/>
                <w:szCs w:val="8"/>
              </w:rPr>
            </w:pPr>
          </w:p>
        </w:tc>
        <w:tc>
          <w:tcPr>
            <w:tcW w:w="1181" w:type="dxa"/>
            <w:tcBorders>
              <w:top w:val="single" w:sz="8" w:space="0" w:color="0077BD"/>
              <w:left w:val="nil"/>
              <w:bottom w:val="single" w:sz="8" w:space="0" w:color="0077BD"/>
              <w:right w:val="nil"/>
            </w:tcBorders>
            <w:shd w:val="clear" w:color="000000" w:fill="FFFFFF"/>
            <w:noWrap/>
            <w:vAlign w:val="center"/>
          </w:tcPr>
          <w:p w14:paraId="7AACA77C" w14:textId="6F6A8D5A" w:rsidR="0032584F" w:rsidRPr="00D152A8" w:rsidRDefault="0032584F" w:rsidP="009E1F91">
            <w:pPr>
              <w:jc w:val="right"/>
              <w:rPr>
                <w:rFonts w:cs="Calibri"/>
                <w:color w:val="000000" w:themeColor="text1"/>
                <w:sz w:val="8"/>
                <w:szCs w:val="8"/>
              </w:rPr>
            </w:pPr>
          </w:p>
        </w:tc>
        <w:tc>
          <w:tcPr>
            <w:tcW w:w="1181" w:type="dxa"/>
            <w:tcBorders>
              <w:top w:val="single" w:sz="8" w:space="0" w:color="0077BD"/>
              <w:left w:val="nil"/>
              <w:bottom w:val="single" w:sz="4" w:space="0" w:color="0077BD"/>
              <w:right w:val="nil"/>
            </w:tcBorders>
            <w:shd w:val="clear" w:color="000000" w:fill="FFFFFF"/>
            <w:noWrap/>
            <w:vAlign w:val="center"/>
          </w:tcPr>
          <w:p w14:paraId="4CA22EF1" w14:textId="592EB1DF" w:rsidR="0032584F" w:rsidRPr="00D152A8" w:rsidRDefault="0032584F" w:rsidP="009E1F91">
            <w:pPr>
              <w:jc w:val="right"/>
              <w:rPr>
                <w:rFonts w:cs="Calibri"/>
                <w:color w:val="000000" w:themeColor="text1"/>
                <w:sz w:val="8"/>
                <w:szCs w:val="8"/>
              </w:rPr>
            </w:pPr>
          </w:p>
        </w:tc>
      </w:tr>
      <w:tr w:rsidR="00977E53" w:rsidRPr="00D152A8" w14:paraId="0E6F5048" w14:textId="77777777" w:rsidTr="00571FCD">
        <w:trPr>
          <w:trHeight w:val="696"/>
        </w:trPr>
        <w:tc>
          <w:tcPr>
            <w:tcW w:w="2547" w:type="dxa"/>
            <w:tcBorders>
              <w:top w:val="single" w:sz="8" w:space="0" w:color="0077BD"/>
              <w:left w:val="nil"/>
              <w:bottom w:val="single" w:sz="8" w:space="0" w:color="0077BD"/>
              <w:right w:val="single" w:sz="8" w:space="0" w:color="0077BD"/>
            </w:tcBorders>
            <w:shd w:val="clear" w:color="000000" w:fill="FFFFFF"/>
            <w:vAlign w:val="center"/>
            <w:hideMark/>
          </w:tcPr>
          <w:p w14:paraId="4E50EDA9" w14:textId="77777777" w:rsidR="0032584F" w:rsidRPr="00D152A8" w:rsidRDefault="0032584F" w:rsidP="009E1F91">
            <w:pPr>
              <w:rPr>
                <w:rFonts w:cs="Calibri"/>
                <w:b/>
                <w:bCs/>
                <w:color w:val="000000" w:themeColor="text1"/>
                <w:sz w:val="13"/>
                <w:szCs w:val="13"/>
              </w:rPr>
            </w:pPr>
            <w:r w:rsidRPr="00D152A8">
              <w:rPr>
                <w:rFonts w:cs="Calibri"/>
                <w:b/>
                <w:bCs/>
                <w:color w:val="000000" w:themeColor="text1"/>
                <w:sz w:val="13"/>
                <w:szCs w:val="13"/>
              </w:rPr>
              <w:t>Kredyty i pożyczki udzielone klientom wyceniane obowiązkowo w wartości godziwej przez wynik finansowy</w:t>
            </w:r>
          </w:p>
        </w:tc>
        <w:tc>
          <w:tcPr>
            <w:tcW w:w="1182" w:type="dxa"/>
            <w:tcBorders>
              <w:top w:val="single" w:sz="8" w:space="0" w:color="0077BD"/>
              <w:left w:val="nil"/>
              <w:bottom w:val="single" w:sz="8" w:space="0" w:color="0077BD"/>
              <w:right w:val="single" w:sz="8" w:space="0" w:color="0077BD"/>
            </w:tcBorders>
            <w:shd w:val="thinDiagStripe" w:color="auto" w:fill="auto"/>
            <w:noWrap/>
            <w:vAlign w:val="center"/>
          </w:tcPr>
          <w:p w14:paraId="11BA5BAB" w14:textId="178C13D1" w:rsidR="0032584F" w:rsidRPr="00D152A8" w:rsidRDefault="0032584F" w:rsidP="009E1F91">
            <w:pPr>
              <w:jc w:val="right"/>
              <w:rPr>
                <w:rFonts w:cs="Calibri"/>
                <w:b/>
                <w:color w:val="000000" w:themeColor="text1"/>
                <w:sz w:val="13"/>
                <w:szCs w:val="13"/>
              </w:rPr>
            </w:pPr>
          </w:p>
        </w:tc>
        <w:tc>
          <w:tcPr>
            <w:tcW w:w="1181" w:type="dxa"/>
            <w:tcBorders>
              <w:top w:val="single" w:sz="8" w:space="0" w:color="0077BD"/>
              <w:left w:val="nil"/>
              <w:bottom w:val="single" w:sz="8" w:space="0" w:color="0077BD"/>
              <w:right w:val="single" w:sz="8" w:space="0" w:color="0077BD"/>
            </w:tcBorders>
            <w:shd w:val="thinDiagStripe" w:color="auto" w:fill="auto"/>
            <w:noWrap/>
            <w:vAlign w:val="center"/>
          </w:tcPr>
          <w:p w14:paraId="355B587C" w14:textId="64AE8E0A" w:rsidR="0032584F" w:rsidRPr="00D152A8" w:rsidRDefault="0032584F" w:rsidP="009E1F91">
            <w:pPr>
              <w:jc w:val="right"/>
              <w:rPr>
                <w:rFonts w:cs="Calibri"/>
                <w:b/>
                <w:color w:val="000000" w:themeColor="text1"/>
                <w:sz w:val="13"/>
                <w:szCs w:val="13"/>
              </w:rPr>
            </w:pPr>
          </w:p>
        </w:tc>
        <w:tc>
          <w:tcPr>
            <w:tcW w:w="1181" w:type="dxa"/>
            <w:tcBorders>
              <w:top w:val="single" w:sz="8" w:space="0" w:color="0077BD"/>
              <w:left w:val="nil"/>
              <w:bottom w:val="single" w:sz="8" w:space="0" w:color="0077BD"/>
              <w:right w:val="single" w:sz="8" w:space="0" w:color="0077BD"/>
            </w:tcBorders>
            <w:shd w:val="clear" w:color="auto" w:fill="auto"/>
            <w:noWrap/>
            <w:vAlign w:val="center"/>
          </w:tcPr>
          <w:p w14:paraId="0C5E4AB7" w14:textId="3A585070" w:rsidR="0032584F" w:rsidRPr="00D152A8" w:rsidRDefault="00F17B85" w:rsidP="009E1F91">
            <w:pPr>
              <w:jc w:val="right"/>
              <w:rPr>
                <w:rFonts w:cs="Calibri"/>
                <w:b/>
                <w:color w:val="000000" w:themeColor="text1"/>
                <w:sz w:val="13"/>
                <w:szCs w:val="13"/>
              </w:rPr>
            </w:pPr>
            <w:r w:rsidRPr="00D152A8">
              <w:rPr>
                <w:rFonts w:cs="Calibri"/>
                <w:b/>
                <w:color w:val="000000" w:themeColor="text1"/>
                <w:sz w:val="13"/>
                <w:szCs w:val="13"/>
              </w:rPr>
              <w:t>1 971 532</w:t>
            </w:r>
          </w:p>
        </w:tc>
        <w:tc>
          <w:tcPr>
            <w:tcW w:w="1181" w:type="dxa"/>
            <w:tcBorders>
              <w:top w:val="single" w:sz="8" w:space="0" w:color="0077BD"/>
              <w:left w:val="nil"/>
              <w:bottom w:val="single" w:sz="8" w:space="0" w:color="0077BD"/>
              <w:right w:val="single" w:sz="8" w:space="0" w:color="0077BD"/>
            </w:tcBorders>
            <w:shd w:val="thinDiagStripe" w:color="auto" w:fill="auto"/>
            <w:noWrap/>
            <w:vAlign w:val="center"/>
          </w:tcPr>
          <w:p w14:paraId="186514C4" w14:textId="1F2C4968" w:rsidR="0032584F" w:rsidRPr="00D152A8" w:rsidRDefault="0032584F" w:rsidP="009E1F91">
            <w:pPr>
              <w:jc w:val="right"/>
              <w:rPr>
                <w:rFonts w:cs="Calibri"/>
                <w:b/>
                <w:color w:val="000000" w:themeColor="text1"/>
                <w:sz w:val="13"/>
                <w:szCs w:val="13"/>
              </w:rPr>
            </w:pPr>
          </w:p>
        </w:tc>
        <w:tc>
          <w:tcPr>
            <w:tcW w:w="1181" w:type="dxa"/>
            <w:tcBorders>
              <w:top w:val="single" w:sz="8" w:space="0" w:color="0077BD"/>
              <w:left w:val="nil"/>
              <w:bottom w:val="single" w:sz="8" w:space="0" w:color="0077BD"/>
              <w:right w:val="single" w:sz="8" w:space="0" w:color="0077BD"/>
            </w:tcBorders>
            <w:shd w:val="thinDiagStripe" w:color="auto" w:fill="auto"/>
            <w:noWrap/>
            <w:vAlign w:val="center"/>
          </w:tcPr>
          <w:p w14:paraId="78DA6536" w14:textId="71B09AB7" w:rsidR="0032584F" w:rsidRPr="00D152A8" w:rsidRDefault="0032584F" w:rsidP="009E1F91">
            <w:pPr>
              <w:jc w:val="right"/>
              <w:rPr>
                <w:rFonts w:cs="Calibri"/>
                <w:b/>
                <w:color w:val="000000" w:themeColor="text1"/>
                <w:sz w:val="13"/>
                <w:szCs w:val="13"/>
              </w:rPr>
            </w:pPr>
          </w:p>
        </w:tc>
        <w:tc>
          <w:tcPr>
            <w:tcW w:w="1181" w:type="dxa"/>
            <w:tcBorders>
              <w:top w:val="single" w:sz="8" w:space="0" w:color="0077BD"/>
              <w:left w:val="nil"/>
              <w:bottom w:val="single" w:sz="8" w:space="0" w:color="0077BD"/>
              <w:right w:val="nil"/>
            </w:tcBorders>
            <w:shd w:val="clear" w:color="auto" w:fill="auto"/>
            <w:noWrap/>
            <w:vAlign w:val="center"/>
          </w:tcPr>
          <w:p w14:paraId="6D69C9CB" w14:textId="4E35FFE1" w:rsidR="0032584F" w:rsidRPr="00D152A8" w:rsidRDefault="001C5CB2" w:rsidP="009E1F91">
            <w:pPr>
              <w:jc w:val="right"/>
              <w:rPr>
                <w:rFonts w:cs="Calibri"/>
                <w:b/>
                <w:color w:val="000000" w:themeColor="text1"/>
                <w:sz w:val="13"/>
                <w:szCs w:val="13"/>
              </w:rPr>
            </w:pPr>
            <w:r>
              <w:rPr>
                <w:rFonts w:cs="Calibri"/>
                <w:b/>
                <w:color w:val="000000" w:themeColor="text1"/>
                <w:sz w:val="13"/>
                <w:szCs w:val="13"/>
              </w:rPr>
              <w:t>2 705 155</w:t>
            </w:r>
          </w:p>
        </w:tc>
      </w:tr>
      <w:tr w:rsidR="00977E53" w:rsidRPr="00D152A8" w14:paraId="07C12252" w14:textId="77777777" w:rsidTr="00571FCD">
        <w:trPr>
          <w:trHeight w:val="288"/>
        </w:trPr>
        <w:tc>
          <w:tcPr>
            <w:tcW w:w="2547" w:type="dxa"/>
            <w:tcBorders>
              <w:top w:val="nil"/>
              <w:left w:val="nil"/>
              <w:bottom w:val="single" w:sz="4" w:space="0" w:color="0077BD"/>
              <w:right w:val="single" w:sz="8" w:space="0" w:color="0077BD"/>
            </w:tcBorders>
            <w:shd w:val="clear" w:color="000000" w:fill="FFFFFF"/>
            <w:vAlign w:val="center"/>
            <w:hideMark/>
          </w:tcPr>
          <w:p w14:paraId="5F67A469" w14:textId="23373622" w:rsidR="0032584F" w:rsidRPr="00D152A8" w:rsidRDefault="00326D5A" w:rsidP="009E1F91">
            <w:pPr>
              <w:rPr>
                <w:rFonts w:cs="Calibri"/>
                <w:color w:val="000000" w:themeColor="text1"/>
                <w:sz w:val="13"/>
                <w:szCs w:val="13"/>
              </w:rPr>
            </w:pPr>
            <w:r>
              <w:rPr>
                <w:rFonts w:cs="Calibri"/>
                <w:color w:val="000000" w:themeColor="text1"/>
                <w:sz w:val="13"/>
                <w:szCs w:val="13"/>
              </w:rPr>
              <w:t>w tym: ekspozycje forborne</w:t>
            </w:r>
          </w:p>
        </w:tc>
        <w:tc>
          <w:tcPr>
            <w:tcW w:w="1182" w:type="dxa"/>
            <w:tcBorders>
              <w:top w:val="nil"/>
              <w:left w:val="nil"/>
              <w:bottom w:val="single" w:sz="4" w:space="0" w:color="0077BD"/>
              <w:right w:val="single" w:sz="8" w:space="0" w:color="0077BD"/>
            </w:tcBorders>
            <w:shd w:val="thinDiagStripe" w:color="auto" w:fill="auto"/>
            <w:noWrap/>
            <w:vAlign w:val="center"/>
          </w:tcPr>
          <w:p w14:paraId="261B2A36" w14:textId="162D84DA" w:rsidR="0032584F" w:rsidRPr="00D152A8" w:rsidRDefault="0032584F" w:rsidP="009E1F91">
            <w:pPr>
              <w:jc w:val="right"/>
              <w:rPr>
                <w:rFonts w:cs="Calibri"/>
                <w:color w:val="000000" w:themeColor="text1"/>
                <w:sz w:val="13"/>
                <w:szCs w:val="13"/>
              </w:rPr>
            </w:pPr>
          </w:p>
        </w:tc>
        <w:tc>
          <w:tcPr>
            <w:tcW w:w="1181" w:type="dxa"/>
            <w:tcBorders>
              <w:top w:val="nil"/>
              <w:left w:val="nil"/>
              <w:bottom w:val="single" w:sz="4" w:space="0" w:color="0077BD"/>
              <w:right w:val="single" w:sz="8" w:space="0" w:color="0077BD"/>
            </w:tcBorders>
            <w:shd w:val="thinDiagStripe" w:color="auto" w:fill="auto"/>
            <w:noWrap/>
            <w:vAlign w:val="center"/>
          </w:tcPr>
          <w:p w14:paraId="7B2F19D4" w14:textId="73E0E7E7" w:rsidR="0032584F" w:rsidRPr="00D152A8" w:rsidRDefault="0032584F" w:rsidP="009E1F91">
            <w:pPr>
              <w:jc w:val="right"/>
              <w:rPr>
                <w:rFonts w:cs="Calibri"/>
                <w:color w:val="000000" w:themeColor="text1"/>
                <w:sz w:val="13"/>
                <w:szCs w:val="13"/>
              </w:rPr>
            </w:pPr>
          </w:p>
        </w:tc>
        <w:tc>
          <w:tcPr>
            <w:tcW w:w="1181" w:type="dxa"/>
            <w:tcBorders>
              <w:top w:val="nil"/>
              <w:left w:val="nil"/>
              <w:bottom w:val="single" w:sz="4" w:space="0" w:color="0077BD"/>
              <w:right w:val="single" w:sz="8" w:space="0" w:color="0077BD"/>
            </w:tcBorders>
            <w:shd w:val="clear" w:color="auto" w:fill="auto"/>
            <w:noWrap/>
            <w:vAlign w:val="center"/>
          </w:tcPr>
          <w:p w14:paraId="58FECD67" w14:textId="641C8DC9" w:rsidR="0032584F" w:rsidRPr="00D152A8" w:rsidRDefault="00F17B85" w:rsidP="009E1F91">
            <w:pPr>
              <w:jc w:val="right"/>
              <w:rPr>
                <w:rFonts w:cs="Calibri"/>
                <w:color w:val="000000" w:themeColor="text1"/>
                <w:sz w:val="13"/>
                <w:szCs w:val="13"/>
              </w:rPr>
            </w:pPr>
            <w:r w:rsidRPr="00D152A8">
              <w:rPr>
                <w:rFonts w:cs="Calibri"/>
                <w:color w:val="000000" w:themeColor="text1"/>
                <w:sz w:val="13"/>
                <w:szCs w:val="13"/>
              </w:rPr>
              <w:t>123 818</w:t>
            </w:r>
          </w:p>
        </w:tc>
        <w:tc>
          <w:tcPr>
            <w:tcW w:w="1181" w:type="dxa"/>
            <w:tcBorders>
              <w:top w:val="nil"/>
              <w:left w:val="nil"/>
              <w:bottom w:val="single" w:sz="4" w:space="0" w:color="0077BD"/>
              <w:right w:val="single" w:sz="8" w:space="0" w:color="0077BD"/>
            </w:tcBorders>
            <w:shd w:val="thinDiagStripe" w:color="auto" w:fill="auto"/>
            <w:noWrap/>
            <w:vAlign w:val="center"/>
          </w:tcPr>
          <w:p w14:paraId="421ADE21" w14:textId="4B087E33" w:rsidR="0032584F" w:rsidRPr="00D152A8" w:rsidRDefault="0032584F" w:rsidP="009E1F91">
            <w:pPr>
              <w:jc w:val="right"/>
              <w:rPr>
                <w:rFonts w:cs="Calibri"/>
                <w:color w:val="000000" w:themeColor="text1"/>
                <w:sz w:val="13"/>
                <w:szCs w:val="13"/>
              </w:rPr>
            </w:pPr>
          </w:p>
        </w:tc>
        <w:tc>
          <w:tcPr>
            <w:tcW w:w="1181" w:type="dxa"/>
            <w:tcBorders>
              <w:top w:val="nil"/>
              <w:left w:val="nil"/>
              <w:bottom w:val="single" w:sz="4" w:space="0" w:color="0077BD"/>
              <w:right w:val="single" w:sz="8" w:space="0" w:color="0077BD"/>
            </w:tcBorders>
            <w:shd w:val="thinDiagStripe" w:color="auto" w:fill="auto"/>
            <w:noWrap/>
            <w:vAlign w:val="center"/>
          </w:tcPr>
          <w:p w14:paraId="1BC87F8B" w14:textId="0108D60E" w:rsidR="0032584F" w:rsidRPr="00D152A8" w:rsidRDefault="0032584F" w:rsidP="009E1F91">
            <w:pPr>
              <w:jc w:val="right"/>
              <w:rPr>
                <w:rFonts w:cs="Calibri"/>
                <w:color w:val="000000" w:themeColor="text1"/>
                <w:sz w:val="13"/>
                <w:szCs w:val="13"/>
              </w:rPr>
            </w:pPr>
          </w:p>
        </w:tc>
        <w:tc>
          <w:tcPr>
            <w:tcW w:w="1181" w:type="dxa"/>
            <w:tcBorders>
              <w:top w:val="nil"/>
              <w:left w:val="nil"/>
              <w:bottom w:val="single" w:sz="4" w:space="0" w:color="0077BD"/>
              <w:right w:val="nil"/>
            </w:tcBorders>
            <w:shd w:val="clear" w:color="auto" w:fill="auto"/>
            <w:noWrap/>
            <w:vAlign w:val="center"/>
          </w:tcPr>
          <w:p w14:paraId="75D1AC05" w14:textId="2CA108E7" w:rsidR="0032584F" w:rsidRPr="00D152A8" w:rsidRDefault="00F17B85" w:rsidP="009E1F91">
            <w:pPr>
              <w:jc w:val="right"/>
              <w:rPr>
                <w:rFonts w:cs="Calibri"/>
                <w:color w:val="000000" w:themeColor="text1"/>
                <w:sz w:val="13"/>
                <w:szCs w:val="13"/>
              </w:rPr>
            </w:pPr>
            <w:r w:rsidRPr="00D152A8">
              <w:rPr>
                <w:rFonts w:cs="Calibri"/>
                <w:color w:val="000000" w:themeColor="text1"/>
                <w:sz w:val="13"/>
                <w:szCs w:val="13"/>
              </w:rPr>
              <w:t>144 476</w:t>
            </w:r>
          </w:p>
        </w:tc>
      </w:tr>
      <w:tr w:rsidR="00977E53" w:rsidRPr="00D152A8" w14:paraId="2D7AEDEB" w14:textId="77777777" w:rsidTr="00571FCD">
        <w:trPr>
          <w:trHeight w:val="288"/>
        </w:trPr>
        <w:tc>
          <w:tcPr>
            <w:tcW w:w="2547" w:type="dxa"/>
            <w:tcBorders>
              <w:top w:val="single" w:sz="4" w:space="0" w:color="0077BD"/>
              <w:left w:val="nil"/>
              <w:bottom w:val="single" w:sz="8" w:space="0" w:color="0077BD"/>
              <w:right w:val="single" w:sz="8" w:space="0" w:color="0077BD"/>
            </w:tcBorders>
            <w:shd w:val="clear" w:color="000000" w:fill="FFFFFF"/>
            <w:vAlign w:val="center"/>
            <w:hideMark/>
          </w:tcPr>
          <w:p w14:paraId="174E69DA" w14:textId="533BADA9" w:rsidR="0032584F" w:rsidRPr="00D152A8" w:rsidRDefault="0032584F" w:rsidP="00DD7216">
            <w:pPr>
              <w:ind w:firstLine="209"/>
              <w:rPr>
                <w:rFonts w:cs="Calibri"/>
                <w:i/>
                <w:iCs/>
                <w:color w:val="000000" w:themeColor="text1"/>
                <w:sz w:val="13"/>
                <w:szCs w:val="13"/>
              </w:rPr>
            </w:pPr>
            <w:r w:rsidRPr="00D152A8">
              <w:rPr>
                <w:rFonts w:cs="Calibri"/>
                <w:i/>
                <w:iCs/>
                <w:color w:val="000000" w:themeColor="text1"/>
                <w:sz w:val="13"/>
                <w:szCs w:val="13"/>
              </w:rPr>
              <w:t>w tym: w kategorii default</w:t>
            </w:r>
          </w:p>
        </w:tc>
        <w:tc>
          <w:tcPr>
            <w:tcW w:w="1182" w:type="dxa"/>
            <w:tcBorders>
              <w:top w:val="single" w:sz="4" w:space="0" w:color="0077BD"/>
              <w:left w:val="nil"/>
              <w:bottom w:val="single" w:sz="8" w:space="0" w:color="0077BD"/>
              <w:right w:val="single" w:sz="8" w:space="0" w:color="0077BD"/>
            </w:tcBorders>
            <w:shd w:val="thinDiagStripe" w:color="auto" w:fill="auto"/>
            <w:noWrap/>
            <w:vAlign w:val="center"/>
          </w:tcPr>
          <w:p w14:paraId="363F7D4E" w14:textId="394A4530" w:rsidR="0032584F" w:rsidRPr="00D152A8" w:rsidRDefault="0032584F"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3CB6DA26" w14:textId="6B4E6374" w:rsidR="0032584F" w:rsidRPr="00D152A8" w:rsidRDefault="0032584F"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4DDBC237" w14:textId="57D023D1" w:rsidR="0032584F" w:rsidRPr="00D152A8" w:rsidRDefault="00F17B85" w:rsidP="009E1F91">
            <w:pPr>
              <w:jc w:val="right"/>
              <w:rPr>
                <w:rFonts w:cs="Calibri"/>
                <w:i/>
                <w:color w:val="000000" w:themeColor="text1"/>
                <w:sz w:val="13"/>
                <w:szCs w:val="13"/>
              </w:rPr>
            </w:pPr>
            <w:r w:rsidRPr="00D152A8">
              <w:rPr>
                <w:rFonts w:cs="Calibri"/>
                <w:i/>
                <w:color w:val="000000" w:themeColor="text1"/>
                <w:sz w:val="13"/>
                <w:szCs w:val="13"/>
              </w:rPr>
              <w:t>103 286</w:t>
            </w: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02B68CBA" w14:textId="2BE37371" w:rsidR="0032584F" w:rsidRPr="00D152A8" w:rsidRDefault="0032584F"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30417FC2" w14:textId="1FDE3D54" w:rsidR="0032584F" w:rsidRPr="00D152A8" w:rsidRDefault="0032584F"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nil"/>
            </w:tcBorders>
            <w:shd w:val="clear" w:color="auto" w:fill="auto"/>
            <w:noWrap/>
            <w:vAlign w:val="center"/>
          </w:tcPr>
          <w:p w14:paraId="5BCEF431" w14:textId="2DDEAF0F" w:rsidR="0032584F" w:rsidRPr="00D152A8" w:rsidRDefault="00F17B85" w:rsidP="009E1F91">
            <w:pPr>
              <w:jc w:val="right"/>
              <w:rPr>
                <w:rFonts w:cs="Calibri"/>
                <w:i/>
                <w:color w:val="000000" w:themeColor="text1"/>
                <w:sz w:val="13"/>
                <w:szCs w:val="13"/>
              </w:rPr>
            </w:pPr>
            <w:r w:rsidRPr="00D152A8">
              <w:rPr>
                <w:rFonts w:cs="Calibri"/>
                <w:i/>
                <w:color w:val="000000" w:themeColor="text1"/>
                <w:sz w:val="13"/>
                <w:szCs w:val="13"/>
              </w:rPr>
              <w:t>98 902</w:t>
            </w:r>
          </w:p>
        </w:tc>
      </w:tr>
      <w:tr w:rsidR="00F17B85" w:rsidRPr="00D152A8" w14:paraId="5C5FEE2B" w14:textId="77777777" w:rsidTr="00571FCD">
        <w:trPr>
          <w:trHeight w:val="20"/>
        </w:trPr>
        <w:tc>
          <w:tcPr>
            <w:tcW w:w="2547" w:type="dxa"/>
            <w:tcBorders>
              <w:top w:val="single" w:sz="8" w:space="0" w:color="0077BD"/>
              <w:left w:val="nil"/>
              <w:bottom w:val="single" w:sz="8" w:space="0" w:color="0077BD"/>
            </w:tcBorders>
            <w:shd w:val="clear" w:color="000000" w:fill="FFFFFF"/>
            <w:vAlign w:val="center"/>
          </w:tcPr>
          <w:p w14:paraId="7415AC4F" w14:textId="77777777" w:rsidR="00F17B85" w:rsidRPr="00D152A8" w:rsidRDefault="00F17B85" w:rsidP="00DD7216">
            <w:pPr>
              <w:ind w:firstLine="209"/>
              <w:rPr>
                <w:rFonts w:cs="Calibri"/>
                <w:i/>
                <w:iCs/>
                <w:color w:val="000000" w:themeColor="text1"/>
                <w:sz w:val="8"/>
                <w:szCs w:val="8"/>
              </w:rPr>
            </w:pPr>
          </w:p>
        </w:tc>
        <w:tc>
          <w:tcPr>
            <w:tcW w:w="1182" w:type="dxa"/>
            <w:tcBorders>
              <w:top w:val="single" w:sz="8" w:space="0" w:color="0077BD"/>
              <w:bottom w:val="single" w:sz="8" w:space="0" w:color="0077BD"/>
            </w:tcBorders>
            <w:shd w:val="clear" w:color="auto" w:fill="auto"/>
            <w:noWrap/>
            <w:vAlign w:val="center"/>
          </w:tcPr>
          <w:p w14:paraId="7E805466" w14:textId="77777777" w:rsidR="00F17B85" w:rsidRPr="00D152A8" w:rsidRDefault="00F17B85" w:rsidP="009E1F91">
            <w:pPr>
              <w:jc w:val="right"/>
              <w:rPr>
                <w:rFonts w:cs="Calibri"/>
                <w:color w:val="000000" w:themeColor="text1"/>
                <w:sz w:val="8"/>
                <w:szCs w:val="8"/>
              </w:rPr>
            </w:pPr>
          </w:p>
        </w:tc>
        <w:tc>
          <w:tcPr>
            <w:tcW w:w="1181" w:type="dxa"/>
            <w:tcBorders>
              <w:top w:val="single" w:sz="8" w:space="0" w:color="0077BD"/>
              <w:bottom w:val="single" w:sz="8" w:space="0" w:color="0077BD"/>
            </w:tcBorders>
            <w:shd w:val="clear" w:color="auto" w:fill="auto"/>
            <w:noWrap/>
            <w:vAlign w:val="center"/>
          </w:tcPr>
          <w:p w14:paraId="1C32B715" w14:textId="77777777" w:rsidR="00F17B85" w:rsidRPr="00D152A8" w:rsidRDefault="00F17B85" w:rsidP="009E1F91">
            <w:pPr>
              <w:jc w:val="right"/>
              <w:rPr>
                <w:rFonts w:cs="Calibri"/>
                <w:color w:val="000000" w:themeColor="text1"/>
                <w:sz w:val="8"/>
                <w:szCs w:val="8"/>
              </w:rPr>
            </w:pPr>
          </w:p>
        </w:tc>
        <w:tc>
          <w:tcPr>
            <w:tcW w:w="1181" w:type="dxa"/>
            <w:tcBorders>
              <w:top w:val="single" w:sz="8" w:space="0" w:color="0077BD"/>
              <w:bottom w:val="single" w:sz="8" w:space="0" w:color="0077BD"/>
            </w:tcBorders>
            <w:shd w:val="clear" w:color="auto" w:fill="auto"/>
            <w:noWrap/>
            <w:vAlign w:val="center"/>
          </w:tcPr>
          <w:p w14:paraId="60A65501" w14:textId="77777777" w:rsidR="00F17B85" w:rsidRPr="00D152A8" w:rsidRDefault="00F17B85" w:rsidP="009E1F91">
            <w:pPr>
              <w:jc w:val="right"/>
              <w:rPr>
                <w:rFonts w:cs="Calibri"/>
                <w:color w:val="000000" w:themeColor="text1"/>
                <w:sz w:val="8"/>
                <w:szCs w:val="8"/>
              </w:rPr>
            </w:pPr>
          </w:p>
        </w:tc>
        <w:tc>
          <w:tcPr>
            <w:tcW w:w="1181" w:type="dxa"/>
            <w:tcBorders>
              <w:top w:val="single" w:sz="8" w:space="0" w:color="0077BD"/>
              <w:bottom w:val="single" w:sz="8" w:space="0" w:color="0077BD"/>
            </w:tcBorders>
            <w:shd w:val="clear" w:color="auto" w:fill="auto"/>
            <w:noWrap/>
            <w:vAlign w:val="center"/>
          </w:tcPr>
          <w:p w14:paraId="6817DFED" w14:textId="77777777" w:rsidR="00F17B85" w:rsidRPr="00D152A8" w:rsidRDefault="00F17B85" w:rsidP="009E1F91">
            <w:pPr>
              <w:jc w:val="right"/>
              <w:rPr>
                <w:rFonts w:cs="Calibri"/>
                <w:color w:val="000000" w:themeColor="text1"/>
                <w:sz w:val="8"/>
                <w:szCs w:val="8"/>
              </w:rPr>
            </w:pPr>
          </w:p>
        </w:tc>
        <w:tc>
          <w:tcPr>
            <w:tcW w:w="1181" w:type="dxa"/>
            <w:tcBorders>
              <w:top w:val="single" w:sz="8" w:space="0" w:color="0077BD"/>
              <w:bottom w:val="single" w:sz="8" w:space="0" w:color="0077BD"/>
            </w:tcBorders>
            <w:shd w:val="clear" w:color="auto" w:fill="auto"/>
            <w:noWrap/>
            <w:vAlign w:val="center"/>
          </w:tcPr>
          <w:p w14:paraId="76F67BC2" w14:textId="77777777" w:rsidR="00F17B85" w:rsidRPr="00D152A8" w:rsidRDefault="00F17B85" w:rsidP="009E1F91">
            <w:pPr>
              <w:jc w:val="right"/>
              <w:rPr>
                <w:rFonts w:cs="Calibri"/>
                <w:color w:val="000000" w:themeColor="text1"/>
                <w:sz w:val="8"/>
                <w:szCs w:val="8"/>
              </w:rPr>
            </w:pPr>
          </w:p>
        </w:tc>
        <w:tc>
          <w:tcPr>
            <w:tcW w:w="1181" w:type="dxa"/>
            <w:tcBorders>
              <w:top w:val="single" w:sz="8" w:space="0" w:color="0077BD"/>
              <w:bottom w:val="single" w:sz="8" w:space="0" w:color="0077BD"/>
              <w:right w:val="nil"/>
            </w:tcBorders>
            <w:shd w:val="clear" w:color="auto" w:fill="auto"/>
            <w:noWrap/>
            <w:vAlign w:val="center"/>
          </w:tcPr>
          <w:p w14:paraId="68F6BA8F" w14:textId="77777777" w:rsidR="00F17B85" w:rsidRPr="00D152A8" w:rsidRDefault="00F17B85" w:rsidP="009E1F91">
            <w:pPr>
              <w:jc w:val="right"/>
              <w:rPr>
                <w:rFonts w:cs="Calibri"/>
                <w:color w:val="000000" w:themeColor="text1"/>
                <w:sz w:val="8"/>
                <w:szCs w:val="8"/>
              </w:rPr>
            </w:pPr>
          </w:p>
        </w:tc>
      </w:tr>
      <w:tr w:rsidR="00F17B85" w:rsidRPr="00D152A8" w14:paraId="368AECC6" w14:textId="77777777" w:rsidTr="00571FCD">
        <w:trPr>
          <w:trHeight w:val="288"/>
        </w:trPr>
        <w:tc>
          <w:tcPr>
            <w:tcW w:w="2547" w:type="dxa"/>
            <w:tcBorders>
              <w:top w:val="single" w:sz="8" w:space="0" w:color="0077BD"/>
              <w:left w:val="nil"/>
              <w:bottom w:val="single" w:sz="4" w:space="0" w:color="0077BD"/>
              <w:right w:val="single" w:sz="8" w:space="0" w:color="0077BD"/>
            </w:tcBorders>
            <w:shd w:val="clear" w:color="000000" w:fill="FFFFFF"/>
            <w:vAlign w:val="center"/>
          </w:tcPr>
          <w:p w14:paraId="45FF3963" w14:textId="7F86CF0F" w:rsidR="00F17B85" w:rsidRPr="00607D5C" w:rsidRDefault="00326D5A" w:rsidP="00F17B85">
            <w:pPr>
              <w:rPr>
                <w:rFonts w:cs="Calibri"/>
                <w:b/>
                <w:iCs/>
                <w:color w:val="000000" w:themeColor="text1"/>
                <w:sz w:val="13"/>
                <w:szCs w:val="13"/>
              </w:rPr>
            </w:pPr>
            <w:r w:rsidRPr="00607D5C">
              <w:rPr>
                <w:rFonts w:cs="Calibri"/>
                <w:b/>
                <w:iCs/>
                <w:color w:val="000000" w:themeColor="text1"/>
                <w:sz w:val="13"/>
                <w:szCs w:val="13"/>
              </w:rPr>
              <w:t>Ekspozycje forborne</w:t>
            </w:r>
            <w:r w:rsidR="00F17B85" w:rsidRPr="00607D5C">
              <w:rPr>
                <w:rFonts w:cs="Calibri"/>
                <w:b/>
                <w:iCs/>
                <w:color w:val="000000" w:themeColor="text1"/>
                <w:sz w:val="13"/>
                <w:szCs w:val="13"/>
              </w:rPr>
              <w:t>, razem</w:t>
            </w:r>
          </w:p>
        </w:tc>
        <w:tc>
          <w:tcPr>
            <w:tcW w:w="1182" w:type="dxa"/>
            <w:tcBorders>
              <w:top w:val="single" w:sz="8" w:space="0" w:color="0077BD"/>
              <w:left w:val="nil"/>
              <w:bottom w:val="single" w:sz="4" w:space="0" w:color="0077BD"/>
              <w:right w:val="single" w:sz="8" w:space="0" w:color="0077BD"/>
            </w:tcBorders>
            <w:shd w:val="thinDiagStripe" w:color="auto" w:fill="auto"/>
            <w:noWrap/>
            <w:vAlign w:val="center"/>
          </w:tcPr>
          <w:p w14:paraId="6B496746" w14:textId="35DB261F" w:rsidR="00F17B85" w:rsidRPr="00D152A8" w:rsidRDefault="00F17B85" w:rsidP="009E1F91">
            <w:pPr>
              <w:jc w:val="right"/>
              <w:rPr>
                <w:rFonts w:cs="Calibri"/>
                <w:color w:val="000000" w:themeColor="text1"/>
                <w:sz w:val="13"/>
                <w:szCs w:val="13"/>
              </w:rPr>
            </w:pPr>
          </w:p>
        </w:tc>
        <w:tc>
          <w:tcPr>
            <w:tcW w:w="1181" w:type="dxa"/>
            <w:tcBorders>
              <w:top w:val="single" w:sz="8" w:space="0" w:color="0077BD"/>
              <w:left w:val="nil"/>
              <w:bottom w:val="single" w:sz="4" w:space="0" w:color="0077BD"/>
              <w:right w:val="single" w:sz="8" w:space="0" w:color="0077BD"/>
            </w:tcBorders>
            <w:shd w:val="thinDiagStripe" w:color="auto" w:fill="auto"/>
            <w:noWrap/>
            <w:vAlign w:val="center"/>
          </w:tcPr>
          <w:p w14:paraId="7A0BE03D" w14:textId="714D1994" w:rsidR="00F17B85" w:rsidRPr="00D152A8" w:rsidRDefault="00F17B85" w:rsidP="009E1F91">
            <w:pPr>
              <w:jc w:val="right"/>
              <w:rPr>
                <w:rFonts w:cs="Calibri"/>
                <w:color w:val="000000" w:themeColor="text1"/>
                <w:sz w:val="13"/>
                <w:szCs w:val="13"/>
              </w:rPr>
            </w:pPr>
          </w:p>
        </w:tc>
        <w:tc>
          <w:tcPr>
            <w:tcW w:w="1181" w:type="dxa"/>
            <w:tcBorders>
              <w:top w:val="single" w:sz="8" w:space="0" w:color="0077BD"/>
              <w:left w:val="nil"/>
              <w:bottom w:val="single" w:sz="4" w:space="0" w:color="0077BD"/>
              <w:right w:val="single" w:sz="8" w:space="0" w:color="0077BD"/>
            </w:tcBorders>
            <w:shd w:val="clear" w:color="auto" w:fill="auto"/>
            <w:noWrap/>
            <w:vAlign w:val="center"/>
          </w:tcPr>
          <w:p w14:paraId="34A66F15" w14:textId="41C0914E" w:rsidR="00F17B85" w:rsidRPr="00607D5C" w:rsidRDefault="00F17B85" w:rsidP="009E1F91">
            <w:pPr>
              <w:jc w:val="right"/>
              <w:rPr>
                <w:rFonts w:cs="Calibri"/>
                <w:b/>
                <w:color w:val="000000" w:themeColor="text1"/>
                <w:sz w:val="13"/>
                <w:szCs w:val="13"/>
              </w:rPr>
            </w:pPr>
            <w:r w:rsidRPr="00607D5C">
              <w:rPr>
                <w:rFonts w:cs="Calibri"/>
                <w:b/>
                <w:color w:val="000000" w:themeColor="text1"/>
                <w:sz w:val="13"/>
                <w:szCs w:val="13"/>
              </w:rPr>
              <w:t>1 616 237</w:t>
            </w:r>
          </w:p>
        </w:tc>
        <w:tc>
          <w:tcPr>
            <w:tcW w:w="1181" w:type="dxa"/>
            <w:tcBorders>
              <w:top w:val="single" w:sz="8" w:space="0" w:color="0077BD"/>
              <w:left w:val="nil"/>
              <w:bottom w:val="single" w:sz="4" w:space="0" w:color="0077BD"/>
              <w:right w:val="single" w:sz="8" w:space="0" w:color="0077BD"/>
            </w:tcBorders>
            <w:shd w:val="thinDiagStripe" w:color="auto" w:fill="auto"/>
            <w:noWrap/>
            <w:vAlign w:val="center"/>
          </w:tcPr>
          <w:p w14:paraId="70005A42" w14:textId="517F4DC4" w:rsidR="00F17B85" w:rsidRPr="00D152A8" w:rsidRDefault="00F17B85" w:rsidP="009E1F91">
            <w:pPr>
              <w:jc w:val="right"/>
              <w:rPr>
                <w:rFonts w:cs="Calibri"/>
                <w:color w:val="000000" w:themeColor="text1"/>
                <w:sz w:val="13"/>
                <w:szCs w:val="13"/>
              </w:rPr>
            </w:pPr>
          </w:p>
        </w:tc>
        <w:tc>
          <w:tcPr>
            <w:tcW w:w="1181" w:type="dxa"/>
            <w:tcBorders>
              <w:top w:val="single" w:sz="8" w:space="0" w:color="0077BD"/>
              <w:left w:val="nil"/>
              <w:bottom w:val="single" w:sz="4" w:space="0" w:color="0077BD"/>
              <w:right w:val="single" w:sz="8" w:space="0" w:color="0077BD"/>
            </w:tcBorders>
            <w:shd w:val="thinDiagStripe" w:color="auto" w:fill="auto"/>
            <w:noWrap/>
            <w:vAlign w:val="center"/>
          </w:tcPr>
          <w:p w14:paraId="589389D1" w14:textId="73BA69F2" w:rsidR="00F17B85" w:rsidRPr="00D152A8" w:rsidRDefault="00F17B85" w:rsidP="009E1F91">
            <w:pPr>
              <w:jc w:val="right"/>
              <w:rPr>
                <w:rFonts w:cs="Calibri"/>
                <w:color w:val="000000" w:themeColor="text1"/>
                <w:sz w:val="13"/>
                <w:szCs w:val="13"/>
              </w:rPr>
            </w:pPr>
          </w:p>
        </w:tc>
        <w:tc>
          <w:tcPr>
            <w:tcW w:w="1181" w:type="dxa"/>
            <w:tcBorders>
              <w:top w:val="single" w:sz="8" w:space="0" w:color="0077BD"/>
              <w:left w:val="nil"/>
              <w:bottom w:val="single" w:sz="4" w:space="0" w:color="0077BD"/>
              <w:right w:val="nil"/>
            </w:tcBorders>
            <w:shd w:val="clear" w:color="auto" w:fill="auto"/>
            <w:noWrap/>
            <w:vAlign w:val="center"/>
          </w:tcPr>
          <w:p w14:paraId="2F1AE9DF" w14:textId="7780AFF0" w:rsidR="00F17B85" w:rsidRPr="00607D5C" w:rsidRDefault="004D0B38" w:rsidP="009E1F91">
            <w:pPr>
              <w:jc w:val="right"/>
              <w:rPr>
                <w:rFonts w:cs="Calibri"/>
                <w:b/>
                <w:color w:val="000000" w:themeColor="text1"/>
                <w:sz w:val="13"/>
                <w:szCs w:val="13"/>
              </w:rPr>
            </w:pPr>
            <w:r w:rsidRPr="00607D5C">
              <w:rPr>
                <w:rFonts w:cs="Calibri"/>
                <w:b/>
                <w:color w:val="000000" w:themeColor="text1"/>
                <w:sz w:val="13"/>
                <w:szCs w:val="13"/>
              </w:rPr>
              <w:t>1 376 680</w:t>
            </w:r>
          </w:p>
        </w:tc>
      </w:tr>
      <w:tr w:rsidR="00F17B85" w:rsidRPr="00D152A8" w14:paraId="6904CA88" w14:textId="77777777" w:rsidTr="00571FCD">
        <w:trPr>
          <w:trHeight w:val="288"/>
        </w:trPr>
        <w:tc>
          <w:tcPr>
            <w:tcW w:w="2547" w:type="dxa"/>
            <w:tcBorders>
              <w:top w:val="single" w:sz="4" w:space="0" w:color="0077BD"/>
              <w:left w:val="nil"/>
              <w:bottom w:val="single" w:sz="8" w:space="0" w:color="0077BD"/>
              <w:right w:val="single" w:sz="8" w:space="0" w:color="0077BD"/>
            </w:tcBorders>
            <w:shd w:val="clear" w:color="000000" w:fill="FFFFFF"/>
            <w:vAlign w:val="center"/>
          </w:tcPr>
          <w:p w14:paraId="0FC746C3" w14:textId="14CC7B28" w:rsidR="00F17B85" w:rsidRPr="00D152A8" w:rsidRDefault="00F17B85" w:rsidP="00DD7216">
            <w:pPr>
              <w:ind w:firstLine="209"/>
              <w:rPr>
                <w:rFonts w:cs="Calibri"/>
                <w:i/>
                <w:iCs/>
                <w:color w:val="000000" w:themeColor="text1"/>
                <w:sz w:val="13"/>
                <w:szCs w:val="13"/>
              </w:rPr>
            </w:pPr>
            <w:r w:rsidRPr="00D152A8">
              <w:rPr>
                <w:rFonts w:cs="Calibri"/>
                <w:i/>
                <w:iCs/>
                <w:color w:val="000000" w:themeColor="text1"/>
                <w:sz w:val="13"/>
                <w:szCs w:val="13"/>
              </w:rPr>
              <w:t>w tym: w kategorii default</w:t>
            </w:r>
          </w:p>
        </w:tc>
        <w:tc>
          <w:tcPr>
            <w:tcW w:w="1182" w:type="dxa"/>
            <w:tcBorders>
              <w:top w:val="single" w:sz="4" w:space="0" w:color="0077BD"/>
              <w:left w:val="nil"/>
              <w:bottom w:val="single" w:sz="8" w:space="0" w:color="0077BD"/>
              <w:right w:val="single" w:sz="8" w:space="0" w:color="0077BD"/>
            </w:tcBorders>
            <w:shd w:val="thinDiagStripe" w:color="auto" w:fill="auto"/>
            <w:noWrap/>
            <w:vAlign w:val="center"/>
          </w:tcPr>
          <w:p w14:paraId="6AF26A7F" w14:textId="7695B96D" w:rsidR="00F17B85" w:rsidRPr="00D152A8" w:rsidRDefault="00F17B85"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70EC8B29" w14:textId="335247B5" w:rsidR="00F17B85" w:rsidRPr="00D152A8" w:rsidRDefault="00F17B85"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clear" w:color="auto" w:fill="auto"/>
            <w:noWrap/>
            <w:vAlign w:val="center"/>
          </w:tcPr>
          <w:p w14:paraId="3DA39C01" w14:textId="4B9C59E0" w:rsidR="00F17B85" w:rsidRPr="00D152A8" w:rsidRDefault="00F17B85" w:rsidP="009E1F91">
            <w:pPr>
              <w:jc w:val="right"/>
              <w:rPr>
                <w:rFonts w:cs="Calibri"/>
                <w:i/>
                <w:color w:val="000000" w:themeColor="text1"/>
                <w:sz w:val="13"/>
                <w:szCs w:val="13"/>
              </w:rPr>
            </w:pPr>
            <w:r w:rsidRPr="00D152A8">
              <w:rPr>
                <w:rFonts w:cs="Calibri"/>
                <w:i/>
                <w:color w:val="000000" w:themeColor="text1"/>
                <w:sz w:val="13"/>
                <w:szCs w:val="13"/>
              </w:rPr>
              <w:t>732 348</w:t>
            </w: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48A4B2CC" w14:textId="2C7C0114" w:rsidR="00F17B85" w:rsidRPr="00D152A8" w:rsidRDefault="00F17B85"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single" w:sz="8" w:space="0" w:color="0077BD"/>
            </w:tcBorders>
            <w:shd w:val="thinDiagStripe" w:color="auto" w:fill="auto"/>
            <w:noWrap/>
            <w:vAlign w:val="center"/>
          </w:tcPr>
          <w:p w14:paraId="716C0D2E" w14:textId="1BD744ED" w:rsidR="00F17B85" w:rsidRPr="00D152A8" w:rsidRDefault="00F17B85" w:rsidP="009E1F91">
            <w:pPr>
              <w:jc w:val="right"/>
              <w:rPr>
                <w:rFonts w:cs="Calibri"/>
                <w:i/>
                <w:color w:val="000000" w:themeColor="text1"/>
                <w:sz w:val="13"/>
                <w:szCs w:val="13"/>
              </w:rPr>
            </w:pPr>
          </w:p>
        </w:tc>
        <w:tc>
          <w:tcPr>
            <w:tcW w:w="1181" w:type="dxa"/>
            <w:tcBorders>
              <w:top w:val="single" w:sz="4" w:space="0" w:color="0077BD"/>
              <w:left w:val="nil"/>
              <w:bottom w:val="single" w:sz="8" w:space="0" w:color="0077BD"/>
              <w:right w:val="nil"/>
            </w:tcBorders>
            <w:shd w:val="clear" w:color="auto" w:fill="auto"/>
            <w:noWrap/>
            <w:vAlign w:val="center"/>
          </w:tcPr>
          <w:p w14:paraId="59428C14" w14:textId="573B007A" w:rsidR="00F17B85" w:rsidRPr="00D152A8" w:rsidRDefault="004D0B38" w:rsidP="009E1F91">
            <w:pPr>
              <w:jc w:val="right"/>
              <w:rPr>
                <w:rFonts w:cs="Calibri"/>
                <w:i/>
                <w:color w:val="000000" w:themeColor="text1"/>
                <w:sz w:val="13"/>
                <w:szCs w:val="13"/>
              </w:rPr>
            </w:pPr>
            <w:r w:rsidRPr="00D152A8">
              <w:rPr>
                <w:rFonts w:cs="Calibri"/>
                <w:i/>
                <w:color w:val="000000" w:themeColor="text1"/>
                <w:sz w:val="13"/>
                <w:szCs w:val="13"/>
              </w:rPr>
              <w:t>737 890</w:t>
            </w:r>
          </w:p>
        </w:tc>
      </w:tr>
    </w:tbl>
    <w:p w14:paraId="70CC0CBC" w14:textId="5A661EAA" w:rsidR="0032584F" w:rsidRPr="00977E53" w:rsidRDefault="0032584F" w:rsidP="00043DAA">
      <w:pPr>
        <w:autoSpaceDE w:val="0"/>
        <w:autoSpaceDN w:val="0"/>
        <w:adjustRightInd w:val="0"/>
        <w:rPr>
          <w:rFonts w:eastAsia="Calibri" w:cs="Verdana"/>
          <w:color w:val="000000" w:themeColor="text1"/>
          <w:sz w:val="18"/>
          <w:szCs w:val="18"/>
          <w:lang w:eastAsia="en-US"/>
        </w:rPr>
      </w:pPr>
    </w:p>
    <w:tbl>
      <w:tblPr>
        <w:tblW w:w="9640" w:type="dxa"/>
        <w:tblCellMar>
          <w:left w:w="28" w:type="dxa"/>
          <w:right w:w="28" w:type="dxa"/>
        </w:tblCellMar>
        <w:tblLook w:val="04A0" w:firstRow="1" w:lastRow="0" w:firstColumn="1" w:lastColumn="0" w:noHBand="0" w:noVBand="1"/>
      </w:tblPr>
      <w:tblGrid>
        <w:gridCol w:w="4908"/>
        <w:gridCol w:w="2366"/>
        <w:gridCol w:w="2366"/>
      </w:tblGrid>
      <w:tr w:rsidR="0032584F" w:rsidRPr="00D152A8" w14:paraId="4EE92602" w14:textId="77777777" w:rsidTr="006A2052">
        <w:trPr>
          <w:trHeight w:val="284"/>
        </w:trPr>
        <w:tc>
          <w:tcPr>
            <w:tcW w:w="4908" w:type="dxa"/>
            <w:tcBorders>
              <w:top w:val="nil"/>
              <w:left w:val="single" w:sz="4" w:space="0" w:color="FFFFFF"/>
              <w:bottom w:val="nil"/>
              <w:right w:val="single" w:sz="8" w:space="0" w:color="FFFFFF"/>
            </w:tcBorders>
            <w:shd w:val="clear" w:color="000000" w:fill="0077BD"/>
            <w:vAlign w:val="center"/>
            <w:hideMark/>
          </w:tcPr>
          <w:p w14:paraId="5F116AE7" w14:textId="77777777" w:rsidR="0032584F" w:rsidRPr="00D152A8" w:rsidRDefault="0032584F" w:rsidP="009E1F91">
            <w:pPr>
              <w:rPr>
                <w:rFonts w:cs="Calibri"/>
                <w:b/>
                <w:bCs/>
                <w:color w:val="FFFFFF"/>
                <w:sz w:val="13"/>
                <w:szCs w:val="13"/>
              </w:rPr>
            </w:pPr>
            <w:r w:rsidRPr="00D152A8">
              <w:rPr>
                <w:rFonts w:cs="Calibri"/>
                <w:b/>
                <w:bCs/>
                <w:color w:val="FFFFFF"/>
                <w:sz w:val="13"/>
                <w:szCs w:val="13"/>
              </w:rPr>
              <w:t>Zmiany wartości bilansowej ekspozycji forborne</w:t>
            </w:r>
          </w:p>
        </w:tc>
        <w:tc>
          <w:tcPr>
            <w:tcW w:w="2366" w:type="dxa"/>
            <w:tcBorders>
              <w:top w:val="nil"/>
              <w:left w:val="nil"/>
              <w:bottom w:val="nil"/>
              <w:right w:val="nil"/>
            </w:tcBorders>
            <w:shd w:val="clear" w:color="000000" w:fill="0077BD"/>
            <w:vAlign w:val="center"/>
            <w:hideMark/>
          </w:tcPr>
          <w:p w14:paraId="3A3EFB42"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31.12.2019</w:t>
            </w:r>
          </w:p>
        </w:tc>
        <w:tc>
          <w:tcPr>
            <w:tcW w:w="2366" w:type="dxa"/>
            <w:tcBorders>
              <w:top w:val="nil"/>
              <w:left w:val="single" w:sz="8" w:space="0" w:color="FFFFFF"/>
              <w:bottom w:val="nil"/>
              <w:right w:val="nil"/>
            </w:tcBorders>
            <w:shd w:val="clear" w:color="000000" w:fill="0077BD"/>
            <w:vAlign w:val="center"/>
            <w:hideMark/>
          </w:tcPr>
          <w:p w14:paraId="1D39D690"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31.12.2018</w:t>
            </w:r>
          </w:p>
        </w:tc>
      </w:tr>
      <w:tr w:rsidR="00862BC8" w:rsidRPr="00D152A8" w14:paraId="7E500F47" w14:textId="77777777" w:rsidTr="002F1666">
        <w:trPr>
          <w:trHeight w:val="255"/>
        </w:trPr>
        <w:tc>
          <w:tcPr>
            <w:tcW w:w="4908" w:type="dxa"/>
            <w:tcBorders>
              <w:top w:val="single" w:sz="4" w:space="0" w:color="0077BD"/>
              <w:left w:val="nil"/>
              <w:bottom w:val="single" w:sz="8" w:space="0" w:color="0077BD"/>
              <w:right w:val="single" w:sz="8" w:space="0" w:color="0077BD"/>
            </w:tcBorders>
            <w:shd w:val="clear" w:color="000000" w:fill="FFFFFF"/>
            <w:noWrap/>
            <w:vAlign w:val="center"/>
            <w:hideMark/>
          </w:tcPr>
          <w:p w14:paraId="6163F071" w14:textId="77777777" w:rsidR="00862BC8" w:rsidRPr="00ED31F2" w:rsidRDefault="00862BC8" w:rsidP="00862BC8">
            <w:pPr>
              <w:rPr>
                <w:rFonts w:cs="Calibri"/>
                <w:b/>
                <w:bCs/>
                <w:color w:val="000000" w:themeColor="text1"/>
                <w:sz w:val="13"/>
                <w:szCs w:val="13"/>
              </w:rPr>
            </w:pPr>
            <w:r w:rsidRPr="00ED31F2">
              <w:rPr>
                <w:rFonts w:cs="Calibri"/>
                <w:b/>
                <w:bCs/>
                <w:color w:val="000000" w:themeColor="text1"/>
                <w:sz w:val="13"/>
                <w:szCs w:val="13"/>
              </w:rPr>
              <w:t>Saldo na początek okresu</w:t>
            </w:r>
          </w:p>
        </w:tc>
        <w:tc>
          <w:tcPr>
            <w:tcW w:w="2366"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520C1776" w14:textId="112FE923" w:rsidR="00862BC8" w:rsidRPr="00ED31F2" w:rsidRDefault="00862BC8" w:rsidP="00862BC8">
            <w:pPr>
              <w:jc w:val="right"/>
              <w:rPr>
                <w:rFonts w:cs="Calibri"/>
                <w:b/>
                <w:bCs/>
                <w:color w:val="000000" w:themeColor="text1"/>
                <w:sz w:val="13"/>
                <w:szCs w:val="13"/>
              </w:rPr>
            </w:pPr>
            <w:r w:rsidRPr="00ED31F2">
              <w:rPr>
                <w:rFonts w:cs="Calibri"/>
                <w:b/>
                <w:bCs/>
                <w:color w:val="000000" w:themeColor="text1"/>
                <w:sz w:val="13"/>
                <w:szCs w:val="13"/>
              </w:rPr>
              <w:t>1 376 680</w:t>
            </w:r>
          </w:p>
        </w:tc>
        <w:tc>
          <w:tcPr>
            <w:tcW w:w="2366" w:type="dxa"/>
            <w:tcBorders>
              <w:top w:val="single" w:sz="4" w:space="0" w:color="0077BD"/>
              <w:left w:val="nil"/>
              <w:bottom w:val="single" w:sz="8" w:space="0" w:color="0077BD"/>
              <w:right w:val="nil"/>
            </w:tcBorders>
            <w:shd w:val="clear" w:color="auto" w:fill="auto"/>
            <w:noWrap/>
            <w:vAlign w:val="center"/>
          </w:tcPr>
          <w:p w14:paraId="34ECDFBC" w14:textId="1593A3EB" w:rsidR="00862BC8" w:rsidRPr="00ED31F2" w:rsidRDefault="00862BC8" w:rsidP="00862BC8">
            <w:pPr>
              <w:jc w:val="right"/>
              <w:rPr>
                <w:rFonts w:cs="Calibri"/>
                <w:b/>
                <w:bCs/>
                <w:color w:val="000000" w:themeColor="text1"/>
                <w:sz w:val="13"/>
                <w:szCs w:val="13"/>
              </w:rPr>
            </w:pPr>
            <w:r w:rsidRPr="00ED31F2">
              <w:rPr>
                <w:rFonts w:cs="Calibri"/>
                <w:b/>
                <w:bCs/>
                <w:color w:val="000000" w:themeColor="text1"/>
                <w:sz w:val="13"/>
                <w:szCs w:val="13"/>
              </w:rPr>
              <w:t>1 365 850</w:t>
            </w:r>
          </w:p>
        </w:tc>
      </w:tr>
      <w:tr w:rsidR="00862BC8" w:rsidRPr="00D152A8" w14:paraId="10BDD5AF" w14:textId="77777777" w:rsidTr="002F1666">
        <w:trPr>
          <w:trHeight w:val="255"/>
        </w:trPr>
        <w:tc>
          <w:tcPr>
            <w:tcW w:w="4908" w:type="dxa"/>
            <w:tcBorders>
              <w:top w:val="nil"/>
              <w:left w:val="nil"/>
              <w:bottom w:val="single" w:sz="4" w:space="0" w:color="0077BD"/>
              <w:right w:val="single" w:sz="8" w:space="0" w:color="0077BD"/>
            </w:tcBorders>
            <w:shd w:val="clear" w:color="000000" w:fill="FFFFFF"/>
            <w:noWrap/>
            <w:vAlign w:val="center"/>
            <w:hideMark/>
          </w:tcPr>
          <w:p w14:paraId="60670AC8" w14:textId="77777777" w:rsidR="00862BC8" w:rsidRPr="00ED31F2" w:rsidRDefault="00862BC8" w:rsidP="00862BC8">
            <w:pPr>
              <w:rPr>
                <w:rFonts w:cs="Calibri"/>
                <w:color w:val="000000" w:themeColor="text1"/>
                <w:sz w:val="13"/>
                <w:szCs w:val="13"/>
              </w:rPr>
            </w:pPr>
            <w:r w:rsidRPr="00ED31F2">
              <w:rPr>
                <w:rFonts w:cs="Calibri"/>
                <w:color w:val="000000" w:themeColor="text1"/>
                <w:sz w:val="13"/>
                <w:szCs w:val="13"/>
              </w:rPr>
              <w:t>Wyjścia z forbearance</w:t>
            </w:r>
          </w:p>
        </w:tc>
        <w:tc>
          <w:tcPr>
            <w:tcW w:w="2366" w:type="dxa"/>
            <w:tcBorders>
              <w:top w:val="nil"/>
              <w:left w:val="single" w:sz="8" w:space="0" w:color="0077BD"/>
              <w:bottom w:val="single" w:sz="4" w:space="0" w:color="0077BD"/>
              <w:right w:val="single" w:sz="8" w:space="0" w:color="0077BD"/>
            </w:tcBorders>
            <w:shd w:val="clear" w:color="auto" w:fill="auto"/>
            <w:noWrap/>
            <w:vAlign w:val="center"/>
          </w:tcPr>
          <w:p w14:paraId="6C157B63" w14:textId="760FA6D9"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(301 593)</w:t>
            </w:r>
          </w:p>
        </w:tc>
        <w:tc>
          <w:tcPr>
            <w:tcW w:w="2366" w:type="dxa"/>
            <w:tcBorders>
              <w:top w:val="nil"/>
              <w:left w:val="nil"/>
              <w:bottom w:val="single" w:sz="4" w:space="0" w:color="0077BD"/>
              <w:right w:val="nil"/>
            </w:tcBorders>
            <w:shd w:val="clear" w:color="auto" w:fill="auto"/>
            <w:noWrap/>
            <w:vAlign w:val="center"/>
          </w:tcPr>
          <w:p w14:paraId="0F2B71EA" w14:textId="26E3A332"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(407 971)</w:t>
            </w:r>
          </w:p>
        </w:tc>
      </w:tr>
      <w:tr w:rsidR="00862BC8" w:rsidRPr="00D152A8" w14:paraId="2B445599" w14:textId="77777777" w:rsidTr="002F1666">
        <w:trPr>
          <w:trHeight w:val="255"/>
        </w:trPr>
        <w:tc>
          <w:tcPr>
            <w:tcW w:w="4908" w:type="dxa"/>
            <w:tcBorders>
              <w:top w:val="nil"/>
              <w:left w:val="nil"/>
              <w:bottom w:val="single" w:sz="4" w:space="0" w:color="0077BD"/>
              <w:right w:val="single" w:sz="8" w:space="0" w:color="0077BD"/>
            </w:tcBorders>
            <w:shd w:val="clear" w:color="000000" w:fill="FFFFFF"/>
            <w:noWrap/>
            <w:vAlign w:val="center"/>
            <w:hideMark/>
          </w:tcPr>
          <w:p w14:paraId="5DBB4C7A" w14:textId="77777777" w:rsidR="00862BC8" w:rsidRPr="00ED31F2" w:rsidRDefault="00862BC8" w:rsidP="00862BC8">
            <w:pPr>
              <w:rPr>
                <w:rFonts w:cs="Calibri"/>
                <w:color w:val="000000" w:themeColor="text1"/>
                <w:sz w:val="13"/>
                <w:szCs w:val="13"/>
              </w:rPr>
            </w:pPr>
            <w:r w:rsidRPr="00ED31F2">
              <w:rPr>
                <w:rFonts w:cs="Calibri"/>
                <w:color w:val="000000" w:themeColor="text1"/>
                <w:sz w:val="13"/>
                <w:szCs w:val="13"/>
              </w:rPr>
              <w:t>Wejścia do forbearance</w:t>
            </w:r>
          </w:p>
        </w:tc>
        <w:tc>
          <w:tcPr>
            <w:tcW w:w="2366" w:type="dxa"/>
            <w:tcBorders>
              <w:top w:val="nil"/>
              <w:left w:val="single" w:sz="8" w:space="0" w:color="0077BD"/>
              <w:bottom w:val="single" w:sz="4" w:space="0" w:color="0077BD"/>
              <w:right w:val="single" w:sz="8" w:space="0" w:color="0077BD"/>
            </w:tcBorders>
            <w:shd w:val="clear" w:color="auto" w:fill="auto"/>
            <w:noWrap/>
            <w:vAlign w:val="center"/>
          </w:tcPr>
          <w:p w14:paraId="7571BD1B" w14:textId="5180C971"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664 882</w:t>
            </w:r>
          </w:p>
        </w:tc>
        <w:tc>
          <w:tcPr>
            <w:tcW w:w="2366" w:type="dxa"/>
            <w:tcBorders>
              <w:top w:val="nil"/>
              <w:left w:val="nil"/>
              <w:bottom w:val="single" w:sz="4" w:space="0" w:color="0077BD"/>
              <w:right w:val="nil"/>
            </w:tcBorders>
            <w:shd w:val="clear" w:color="auto" w:fill="auto"/>
            <w:noWrap/>
            <w:vAlign w:val="center"/>
          </w:tcPr>
          <w:p w14:paraId="2770BE61" w14:textId="2B4E2F81"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509 526</w:t>
            </w:r>
          </w:p>
        </w:tc>
      </w:tr>
      <w:tr w:rsidR="00862BC8" w:rsidRPr="00D152A8" w14:paraId="4A9D47F5" w14:textId="77777777" w:rsidTr="00862BC8">
        <w:trPr>
          <w:trHeight w:val="255"/>
        </w:trPr>
        <w:tc>
          <w:tcPr>
            <w:tcW w:w="4908" w:type="dxa"/>
            <w:tcBorders>
              <w:top w:val="nil"/>
              <w:left w:val="nil"/>
              <w:bottom w:val="single" w:sz="8" w:space="0" w:color="0077BD"/>
              <w:right w:val="single" w:sz="8" w:space="0" w:color="0077BD"/>
            </w:tcBorders>
            <w:shd w:val="clear" w:color="000000" w:fill="FFFFFF"/>
            <w:noWrap/>
            <w:vAlign w:val="center"/>
            <w:hideMark/>
          </w:tcPr>
          <w:p w14:paraId="7794978F" w14:textId="77777777" w:rsidR="00862BC8" w:rsidRPr="00ED31F2" w:rsidRDefault="00862BC8" w:rsidP="00862BC8">
            <w:pPr>
              <w:rPr>
                <w:rFonts w:cs="Calibri"/>
                <w:color w:val="000000" w:themeColor="text1"/>
                <w:sz w:val="13"/>
                <w:szCs w:val="13"/>
              </w:rPr>
            </w:pPr>
            <w:r w:rsidRPr="00ED31F2">
              <w:rPr>
                <w:rFonts w:cs="Calibri"/>
                <w:color w:val="000000" w:themeColor="text1"/>
                <w:sz w:val="13"/>
                <w:szCs w:val="13"/>
              </w:rPr>
              <w:t>Zmiana salda na kontynuowanych umowach</w:t>
            </w:r>
          </w:p>
        </w:tc>
        <w:tc>
          <w:tcPr>
            <w:tcW w:w="2366" w:type="dxa"/>
            <w:tcBorders>
              <w:top w:val="nil"/>
              <w:left w:val="single" w:sz="8" w:space="0" w:color="0077BD"/>
              <w:bottom w:val="single" w:sz="8" w:space="0" w:color="0077BD"/>
              <w:right w:val="single" w:sz="8" w:space="0" w:color="0077BD"/>
            </w:tcBorders>
            <w:shd w:val="clear" w:color="auto" w:fill="auto"/>
            <w:noWrap/>
            <w:vAlign w:val="center"/>
          </w:tcPr>
          <w:p w14:paraId="1A874602" w14:textId="54BCE292"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(123 732)</w:t>
            </w:r>
          </w:p>
        </w:tc>
        <w:tc>
          <w:tcPr>
            <w:tcW w:w="2366" w:type="dxa"/>
            <w:tcBorders>
              <w:top w:val="nil"/>
              <w:left w:val="nil"/>
              <w:bottom w:val="single" w:sz="8" w:space="0" w:color="0077BD"/>
              <w:right w:val="nil"/>
            </w:tcBorders>
            <w:shd w:val="clear" w:color="auto" w:fill="auto"/>
            <w:noWrap/>
            <w:vAlign w:val="center"/>
          </w:tcPr>
          <w:p w14:paraId="52957458" w14:textId="61F2E54F" w:rsidR="00862BC8" w:rsidRPr="00ED31F2" w:rsidRDefault="00862BC8" w:rsidP="00862BC8">
            <w:pPr>
              <w:jc w:val="right"/>
              <w:rPr>
                <w:rFonts w:cs="Calibri"/>
                <w:color w:val="000000" w:themeColor="text1"/>
                <w:sz w:val="13"/>
                <w:szCs w:val="13"/>
              </w:rPr>
            </w:pPr>
            <w:r w:rsidRPr="00ED31F2">
              <w:rPr>
                <w:rFonts w:cs="Calibri"/>
                <w:color w:val="000000" w:themeColor="text1"/>
                <w:sz w:val="13"/>
                <w:szCs w:val="13"/>
              </w:rPr>
              <w:t>(90 725)</w:t>
            </w:r>
          </w:p>
        </w:tc>
      </w:tr>
      <w:tr w:rsidR="00862BC8" w:rsidRPr="00D152A8" w14:paraId="5ABA9979" w14:textId="77777777" w:rsidTr="00862BC8">
        <w:trPr>
          <w:trHeight w:val="255"/>
        </w:trPr>
        <w:tc>
          <w:tcPr>
            <w:tcW w:w="4908" w:type="dxa"/>
            <w:tcBorders>
              <w:top w:val="single" w:sz="8" w:space="0" w:color="0077BD"/>
              <w:left w:val="nil"/>
              <w:bottom w:val="single" w:sz="8" w:space="0" w:color="0077BD"/>
              <w:right w:val="single" w:sz="8" w:space="0" w:color="0077BD"/>
            </w:tcBorders>
            <w:shd w:val="clear" w:color="000000" w:fill="FFFFFF"/>
            <w:noWrap/>
            <w:vAlign w:val="center"/>
            <w:hideMark/>
          </w:tcPr>
          <w:p w14:paraId="0EDE62BD" w14:textId="77777777" w:rsidR="00862BC8" w:rsidRPr="00ED31F2" w:rsidRDefault="00862BC8" w:rsidP="00862BC8">
            <w:pPr>
              <w:rPr>
                <w:rFonts w:cs="Calibri"/>
                <w:b/>
                <w:bCs/>
                <w:color w:val="000000" w:themeColor="text1"/>
                <w:sz w:val="13"/>
                <w:szCs w:val="13"/>
              </w:rPr>
            </w:pPr>
            <w:r w:rsidRPr="00ED31F2">
              <w:rPr>
                <w:rFonts w:cs="Calibri"/>
                <w:b/>
                <w:bCs/>
                <w:color w:val="000000" w:themeColor="text1"/>
                <w:sz w:val="13"/>
                <w:szCs w:val="13"/>
              </w:rPr>
              <w:t>Saldo na koniec okresu</w:t>
            </w:r>
          </w:p>
        </w:tc>
        <w:tc>
          <w:tcPr>
            <w:tcW w:w="2366"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047EB33F" w14:textId="6D4CD1CE" w:rsidR="00862BC8" w:rsidRPr="00ED31F2" w:rsidRDefault="00862BC8" w:rsidP="00862BC8">
            <w:pPr>
              <w:jc w:val="right"/>
              <w:rPr>
                <w:rFonts w:cs="Calibri"/>
                <w:b/>
                <w:bCs/>
                <w:color w:val="000000" w:themeColor="text1"/>
                <w:sz w:val="13"/>
                <w:szCs w:val="13"/>
              </w:rPr>
            </w:pPr>
            <w:r w:rsidRPr="00ED31F2">
              <w:rPr>
                <w:rFonts w:cs="Calibri"/>
                <w:b/>
                <w:bCs/>
                <w:color w:val="000000" w:themeColor="text1"/>
                <w:sz w:val="13"/>
                <w:szCs w:val="13"/>
              </w:rPr>
              <w:t>1 616 237</w:t>
            </w:r>
          </w:p>
        </w:tc>
        <w:tc>
          <w:tcPr>
            <w:tcW w:w="2366" w:type="dxa"/>
            <w:tcBorders>
              <w:top w:val="single" w:sz="8" w:space="0" w:color="0077BD"/>
              <w:left w:val="single" w:sz="8" w:space="0" w:color="0077BD"/>
              <w:bottom w:val="single" w:sz="8" w:space="0" w:color="0077BD"/>
              <w:right w:val="nil"/>
            </w:tcBorders>
            <w:shd w:val="clear" w:color="auto" w:fill="auto"/>
            <w:noWrap/>
            <w:vAlign w:val="center"/>
          </w:tcPr>
          <w:p w14:paraId="0BAF2F69" w14:textId="683A9A03" w:rsidR="00862BC8" w:rsidRPr="00ED31F2" w:rsidRDefault="00862BC8" w:rsidP="00862BC8">
            <w:pPr>
              <w:jc w:val="right"/>
              <w:rPr>
                <w:rFonts w:cs="Calibri"/>
                <w:b/>
                <w:bCs/>
                <w:color w:val="000000" w:themeColor="text1"/>
                <w:sz w:val="13"/>
                <w:szCs w:val="13"/>
              </w:rPr>
            </w:pPr>
            <w:r w:rsidRPr="00ED31F2">
              <w:rPr>
                <w:rFonts w:cs="Calibri"/>
                <w:b/>
                <w:bCs/>
                <w:color w:val="000000" w:themeColor="text1"/>
                <w:sz w:val="13"/>
                <w:szCs w:val="13"/>
              </w:rPr>
              <w:t>1 376 680</w:t>
            </w:r>
          </w:p>
        </w:tc>
      </w:tr>
    </w:tbl>
    <w:p w14:paraId="72007263" w14:textId="44344BC0" w:rsidR="00BE698C" w:rsidRDefault="00BE698C" w:rsidP="00BE698C">
      <w:pPr>
        <w:autoSpaceDE w:val="0"/>
        <w:autoSpaceDN w:val="0"/>
        <w:adjustRightInd w:val="0"/>
        <w:spacing w:before="120" w:after="120"/>
        <w:jc w:val="both"/>
        <w:rPr>
          <w:rFonts w:eastAsia="Calibri" w:cs="Verdana"/>
          <w:color w:val="000000" w:themeColor="text1"/>
          <w:sz w:val="18"/>
          <w:szCs w:val="18"/>
          <w:lang w:eastAsia="en-US"/>
        </w:rPr>
      </w:pPr>
      <w:r w:rsidRPr="00BE698C">
        <w:rPr>
          <w:rFonts w:eastAsia="Calibri" w:cs="Verdana"/>
          <w:color w:val="000000" w:themeColor="text1"/>
          <w:sz w:val="18"/>
          <w:szCs w:val="18"/>
          <w:lang w:eastAsia="en-US"/>
        </w:rPr>
        <w:t>Przeprowadzona dla powyższych okresów raportowych analiza wykazała znikomy udział ekspozycji, które w ciągu jednego roku opuszczają status forbearance, a następnie do niego wracają.</w:t>
      </w:r>
    </w:p>
    <w:tbl>
      <w:tblPr>
        <w:tblW w:w="9634" w:type="dxa"/>
        <w:tblCellMar>
          <w:left w:w="28" w:type="dxa"/>
          <w:right w:w="28" w:type="dxa"/>
        </w:tblCellMar>
        <w:tblLook w:val="04A0" w:firstRow="1" w:lastRow="0" w:firstColumn="1" w:lastColumn="0" w:noHBand="0" w:noVBand="1"/>
      </w:tblPr>
      <w:tblGrid>
        <w:gridCol w:w="4906"/>
        <w:gridCol w:w="2364"/>
        <w:gridCol w:w="2364"/>
      </w:tblGrid>
      <w:tr w:rsidR="0032584F" w:rsidRPr="00D152A8" w14:paraId="3CDB5CAB" w14:textId="77777777" w:rsidTr="00607D5C">
        <w:trPr>
          <w:trHeight w:val="284"/>
        </w:trPr>
        <w:tc>
          <w:tcPr>
            <w:tcW w:w="4906" w:type="dxa"/>
            <w:tcBorders>
              <w:top w:val="nil"/>
              <w:left w:val="single" w:sz="4" w:space="0" w:color="FFFFFF"/>
              <w:right w:val="single" w:sz="8" w:space="0" w:color="FFFFFF"/>
            </w:tcBorders>
            <w:shd w:val="clear" w:color="000000" w:fill="0077BD"/>
            <w:vAlign w:val="center"/>
            <w:hideMark/>
          </w:tcPr>
          <w:p w14:paraId="3639A75E" w14:textId="77777777" w:rsidR="0032584F" w:rsidRPr="00D152A8" w:rsidRDefault="0032584F" w:rsidP="009E1F91">
            <w:pPr>
              <w:rPr>
                <w:rFonts w:cs="Calibri"/>
                <w:b/>
                <w:bCs/>
                <w:color w:val="FFFFFF"/>
                <w:sz w:val="13"/>
                <w:szCs w:val="13"/>
              </w:rPr>
            </w:pPr>
            <w:r w:rsidRPr="00D152A8">
              <w:rPr>
                <w:rFonts w:cs="Calibri"/>
                <w:b/>
                <w:bCs/>
                <w:color w:val="FFFFFF"/>
                <w:sz w:val="13"/>
                <w:szCs w:val="13"/>
              </w:rPr>
              <w:t>Ekspozycje forborne według segmentów klienta</w:t>
            </w:r>
          </w:p>
        </w:tc>
        <w:tc>
          <w:tcPr>
            <w:tcW w:w="2364" w:type="dxa"/>
            <w:tcBorders>
              <w:top w:val="nil"/>
              <w:left w:val="nil"/>
              <w:right w:val="nil"/>
            </w:tcBorders>
            <w:shd w:val="clear" w:color="000000" w:fill="0077BD"/>
            <w:vAlign w:val="center"/>
            <w:hideMark/>
          </w:tcPr>
          <w:p w14:paraId="5CD68E8C"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31.12.2019</w:t>
            </w:r>
          </w:p>
        </w:tc>
        <w:tc>
          <w:tcPr>
            <w:tcW w:w="2364" w:type="dxa"/>
            <w:tcBorders>
              <w:top w:val="nil"/>
              <w:left w:val="single" w:sz="8" w:space="0" w:color="FFFFFF"/>
              <w:right w:val="nil"/>
            </w:tcBorders>
            <w:shd w:val="clear" w:color="000000" w:fill="0077BD"/>
            <w:vAlign w:val="center"/>
            <w:hideMark/>
          </w:tcPr>
          <w:p w14:paraId="2E27830D"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31.12.2018</w:t>
            </w:r>
          </w:p>
        </w:tc>
      </w:tr>
      <w:tr w:rsidR="00977E53" w:rsidRPr="00D152A8" w14:paraId="7840205D" w14:textId="77777777" w:rsidTr="00607D5C">
        <w:trPr>
          <w:trHeight w:val="255"/>
        </w:trPr>
        <w:tc>
          <w:tcPr>
            <w:tcW w:w="4906" w:type="dxa"/>
            <w:tcBorders>
              <w:top w:val="nil"/>
              <w:left w:val="nil"/>
              <w:bottom w:val="single" w:sz="8" w:space="0" w:color="0077BD"/>
            </w:tcBorders>
            <w:shd w:val="clear" w:color="000000" w:fill="FFFFFF"/>
            <w:vAlign w:val="center"/>
            <w:hideMark/>
          </w:tcPr>
          <w:p w14:paraId="08B4D5EE"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Kredyty i pożyczki udzielone klientom</w:t>
            </w:r>
          </w:p>
        </w:tc>
        <w:tc>
          <w:tcPr>
            <w:tcW w:w="2364" w:type="dxa"/>
            <w:tcBorders>
              <w:top w:val="nil"/>
              <w:bottom w:val="single" w:sz="8" w:space="0" w:color="0077BD"/>
            </w:tcBorders>
            <w:shd w:val="clear" w:color="auto" w:fill="auto"/>
            <w:noWrap/>
            <w:vAlign w:val="center"/>
          </w:tcPr>
          <w:p w14:paraId="1C7FB340" w14:textId="685DB632" w:rsidR="0032584F" w:rsidRPr="00D152A8" w:rsidRDefault="0032584F" w:rsidP="009E1F91">
            <w:pPr>
              <w:jc w:val="right"/>
              <w:rPr>
                <w:rFonts w:cs="Calibri"/>
                <w:color w:val="000000" w:themeColor="text1"/>
                <w:sz w:val="13"/>
                <w:szCs w:val="13"/>
              </w:rPr>
            </w:pPr>
          </w:p>
        </w:tc>
        <w:tc>
          <w:tcPr>
            <w:tcW w:w="2364" w:type="dxa"/>
            <w:tcBorders>
              <w:top w:val="nil"/>
              <w:bottom w:val="single" w:sz="8" w:space="0" w:color="0077BD"/>
              <w:right w:val="nil"/>
            </w:tcBorders>
            <w:shd w:val="clear" w:color="auto" w:fill="auto"/>
            <w:noWrap/>
            <w:vAlign w:val="center"/>
          </w:tcPr>
          <w:p w14:paraId="6A0C6308" w14:textId="54875F3E" w:rsidR="0032584F" w:rsidRPr="00D152A8" w:rsidRDefault="0032584F" w:rsidP="009E1F91">
            <w:pPr>
              <w:jc w:val="right"/>
              <w:rPr>
                <w:rFonts w:cs="Calibri"/>
                <w:color w:val="000000" w:themeColor="text1"/>
                <w:sz w:val="13"/>
                <w:szCs w:val="13"/>
              </w:rPr>
            </w:pPr>
          </w:p>
        </w:tc>
      </w:tr>
      <w:tr w:rsidR="00977E53" w:rsidRPr="00D152A8" w14:paraId="317A9597" w14:textId="77777777" w:rsidTr="00862BC8">
        <w:trPr>
          <w:trHeight w:val="255"/>
        </w:trPr>
        <w:tc>
          <w:tcPr>
            <w:tcW w:w="4906" w:type="dxa"/>
            <w:tcBorders>
              <w:top w:val="nil"/>
              <w:left w:val="nil"/>
              <w:bottom w:val="single" w:sz="4" w:space="0" w:color="0077BD"/>
              <w:right w:val="single" w:sz="8" w:space="0" w:color="0077BD"/>
            </w:tcBorders>
            <w:shd w:val="clear" w:color="000000" w:fill="FFFFFF"/>
            <w:noWrap/>
            <w:vAlign w:val="center"/>
            <w:hideMark/>
          </w:tcPr>
          <w:p w14:paraId="4F2696A8"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Klienci indywidualni</w:t>
            </w:r>
          </w:p>
        </w:tc>
        <w:tc>
          <w:tcPr>
            <w:tcW w:w="2364" w:type="dxa"/>
            <w:tcBorders>
              <w:top w:val="nil"/>
              <w:left w:val="nil"/>
              <w:bottom w:val="single" w:sz="4" w:space="0" w:color="0077BD"/>
              <w:right w:val="single" w:sz="8" w:space="0" w:color="0077BD"/>
            </w:tcBorders>
            <w:shd w:val="clear" w:color="auto" w:fill="auto"/>
            <w:noWrap/>
            <w:vAlign w:val="center"/>
          </w:tcPr>
          <w:p w14:paraId="166E8313" w14:textId="4D834011" w:rsidR="0032584F" w:rsidRPr="00D152A8" w:rsidRDefault="00862BC8" w:rsidP="009E1F91">
            <w:pPr>
              <w:jc w:val="right"/>
              <w:rPr>
                <w:rFonts w:cs="Calibri"/>
                <w:color w:val="000000" w:themeColor="text1"/>
                <w:sz w:val="13"/>
                <w:szCs w:val="13"/>
              </w:rPr>
            </w:pPr>
            <w:r w:rsidRPr="00D152A8">
              <w:rPr>
                <w:rFonts w:cs="Calibri"/>
                <w:color w:val="000000" w:themeColor="text1"/>
                <w:sz w:val="13"/>
                <w:szCs w:val="13"/>
              </w:rPr>
              <w:t>609 041</w:t>
            </w:r>
          </w:p>
        </w:tc>
        <w:tc>
          <w:tcPr>
            <w:tcW w:w="2364" w:type="dxa"/>
            <w:tcBorders>
              <w:top w:val="nil"/>
              <w:left w:val="nil"/>
              <w:bottom w:val="single" w:sz="4" w:space="0" w:color="0077BD"/>
              <w:right w:val="nil"/>
            </w:tcBorders>
            <w:shd w:val="clear" w:color="auto" w:fill="auto"/>
            <w:noWrap/>
            <w:vAlign w:val="center"/>
          </w:tcPr>
          <w:p w14:paraId="28A733CA" w14:textId="4FA87937" w:rsidR="0032584F" w:rsidRPr="00D152A8" w:rsidRDefault="00753331" w:rsidP="009E1F91">
            <w:pPr>
              <w:jc w:val="right"/>
              <w:rPr>
                <w:rFonts w:cs="Calibri"/>
                <w:color w:val="000000" w:themeColor="text1"/>
                <w:sz w:val="13"/>
                <w:szCs w:val="13"/>
              </w:rPr>
            </w:pPr>
            <w:r w:rsidRPr="00D152A8">
              <w:rPr>
                <w:rFonts w:cs="Calibri"/>
                <w:color w:val="000000" w:themeColor="text1"/>
                <w:sz w:val="13"/>
                <w:szCs w:val="13"/>
              </w:rPr>
              <w:t>743 817</w:t>
            </w:r>
          </w:p>
        </w:tc>
      </w:tr>
      <w:tr w:rsidR="00977E53" w:rsidRPr="00D152A8" w14:paraId="5A7C2E51" w14:textId="77777777" w:rsidTr="00862BC8">
        <w:trPr>
          <w:trHeight w:val="255"/>
        </w:trPr>
        <w:tc>
          <w:tcPr>
            <w:tcW w:w="4906" w:type="dxa"/>
            <w:tcBorders>
              <w:top w:val="nil"/>
              <w:left w:val="nil"/>
              <w:bottom w:val="single" w:sz="4" w:space="0" w:color="0077BD"/>
              <w:right w:val="single" w:sz="8" w:space="0" w:color="0077BD"/>
            </w:tcBorders>
            <w:shd w:val="clear" w:color="000000" w:fill="FFFFFF"/>
            <w:noWrap/>
            <w:vAlign w:val="center"/>
            <w:hideMark/>
          </w:tcPr>
          <w:p w14:paraId="46C98717" w14:textId="77777777" w:rsidR="0032584F" w:rsidRPr="00D152A8" w:rsidRDefault="0032584F" w:rsidP="009E1F91">
            <w:pPr>
              <w:ind w:firstLineChars="200" w:firstLine="260"/>
              <w:rPr>
                <w:rFonts w:cs="Calibri"/>
                <w:i/>
                <w:iCs/>
                <w:color w:val="000000" w:themeColor="text1"/>
                <w:sz w:val="13"/>
                <w:szCs w:val="13"/>
              </w:rPr>
            </w:pPr>
            <w:r w:rsidRPr="00D152A8">
              <w:rPr>
                <w:rFonts w:cs="Calibri"/>
                <w:i/>
                <w:iCs/>
                <w:color w:val="000000" w:themeColor="text1"/>
                <w:sz w:val="13"/>
                <w:szCs w:val="13"/>
              </w:rPr>
              <w:t>w tym: kredyty hipoteczne i mieszkaniowe</w:t>
            </w:r>
          </w:p>
        </w:tc>
        <w:tc>
          <w:tcPr>
            <w:tcW w:w="2364" w:type="dxa"/>
            <w:tcBorders>
              <w:top w:val="nil"/>
              <w:left w:val="nil"/>
              <w:bottom w:val="single" w:sz="4" w:space="0" w:color="0077BD"/>
              <w:right w:val="single" w:sz="8" w:space="0" w:color="0077BD"/>
            </w:tcBorders>
            <w:shd w:val="clear" w:color="auto" w:fill="auto"/>
            <w:noWrap/>
            <w:vAlign w:val="center"/>
          </w:tcPr>
          <w:p w14:paraId="3C5050E7" w14:textId="097AE764" w:rsidR="0032584F" w:rsidRPr="00D152A8" w:rsidRDefault="00862BC8" w:rsidP="009E1F91">
            <w:pPr>
              <w:jc w:val="right"/>
              <w:rPr>
                <w:rFonts w:cs="Calibri"/>
                <w:i/>
                <w:iCs/>
                <w:color w:val="000000" w:themeColor="text1"/>
                <w:sz w:val="13"/>
                <w:szCs w:val="13"/>
              </w:rPr>
            </w:pPr>
            <w:r w:rsidRPr="00D152A8">
              <w:rPr>
                <w:rFonts w:cs="Calibri"/>
                <w:i/>
                <w:iCs/>
                <w:color w:val="000000" w:themeColor="text1"/>
                <w:sz w:val="13"/>
                <w:szCs w:val="13"/>
              </w:rPr>
              <w:t>537 252</w:t>
            </w:r>
          </w:p>
        </w:tc>
        <w:tc>
          <w:tcPr>
            <w:tcW w:w="2364" w:type="dxa"/>
            <w:tcBorders>
              <w:top w:val="nil"/>
              <w:left w:val="nil"/>
              <w:bottom w:val="single" w:sz="4" w:space="0" w:color="0077BD"/>
              <w:right w:val="nil"/>
            </w:tcBorders>
            <w:shd w:val="clear" w:color="auto" w:fill="auto"/>
            <w:noWrap/>
            <w:vAlign w:val="center"/>
          </w:tcPr>
          <w:p w14:paraId="703C75B2" w14:textId="5D6C552B" w:rsidR="0032584F" w:rsidRPr="00D152A8" w:rsidRDefault="00753331" w:rsidP="009E1F91">
            <w:pPr>
              <w:jc w:val="right"/>
              <w:rPr>
                <w:rFonts w:cs="Calibri"/>
                <w:i/>
                <w:iCs/>
                <w:color w:val="000000" w:themeColor="text1"/>
                <w:sz w:val="13"/>
                <w:szCs w:val="13"/>
              </w:rPr>
            </w:pPr>
            <w:r w:rsidRPr="00D152A8">
              <w:rPr>
                <w:rFonts w:cs="Calibri"/>
                <w:i/>
                <w:iCs/>
                <w:color w:val="000000" w:themeColor="text1"/>
                <w:sz w:val="13"/>
                <w:szCs w:val="13"/>
              </w:rPr>
              <w:t>552 442</w:t>
            </w:r>
          </w:p>
        </w:tc>
      </w:tr>
      <w:tr w:rsidR="00977E53" w:rsidRPr="00D152A8" w14:paraId="1BFB6F5C" w14:textId="77777777" w:rsidTr="00862BC8">
        <w:trPr>
          <w:trHeight w:val="255"/>
        </w:trPr>
        <w:tc>
          <w:tcPr>
            <w:tcW w:w="4906" w:type="dxa"/>
            <w:tcBorders>
              <w:top w:val="nil"/>
              <w:left w:val="nil"/>
              <w:bottom w:val="single" w:sz="4" w:space="0" w:color="0077BD"/>
              <w:right w:val="single" w:sz="8" w:space="0" w:color="0077BD"/>
            </w:tcBorders>
            <w:shd w:val="clear" w:color="000000" w:fill="FFFFFF"/>
            <w:noWrap/>
            <w:vAlign w:val="center"/>
            <w:hideMark/>
          </w:tcPr>
          <w:p w14:paraId="6909AE9E"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Klienci korporacyjni</w:t>
            </w:r>
          </w:p>
        </w:tc>
        <w:tc>
          <w:tcPr>
            <w:tcW w:w="2364" w:type="dxa"/>
            <w:tcBorders>
              <w:top w:val="nil"/>
              <w:left w:val="nil"/>
              <w:bottom w:val="single" w:sz="4" w:space="0" w:color="0077BD"/>
              <w:right w:val="single" w:sz="8" w:space="0" w:color="0077BD"/>
            </w:tcBorders>
            <w:shd w:val="clear" w:color="auto" w:fill="auto"/>
            <w:noWrap/>
            <w:vAlign w:val="center"/>
          </w:tcPr>
          <w:p w14:paraId="337CD165" w14:textId="002254AE" w:rsidR="0032584F" w:rsidRPr="00D152A8" w:rsidRDefault="00862BC8" w:rsidP="009E1F91">
            <w:pPr>
              <w:jc w:val="right"/>
              <w:rPr>
                <w:rFonts w:cs="Calibri"/>
                <w:color w:val="000000" w:themeColor="text1"/>
                <w:sz w:val="13"/>
                <w:szCs w:val="13"/>
              </w:rPr>
            </w:pPr>
            <w:r w:rsidRPr="00D152A8">
              <w:rPr>
                <w:rFonts w:cs="Calibri"/>
                <w:color w:val="000000" w:themeColor="text1"/>
                <w:sz w:val="13"/>
                <w:szCs w:val="13"/>
              </w:rPr>
              <w:t>1 007 196</w:t>
            </w:r>
          </w:p>
        </w:tc>
        <w:tc>
          <w:tcPr>
            <w:tcW w:w="2364" w:type="dxa"/>
            <w:tcBorders>
              <w:top w:val="nil"/>
              <w:left w:val="nil"/>
              <w:bottom w:val="single" w:sz="4" w:space="0" w:color="0077BD"/>
              <w:right w:val="nil"/>
            </w:tcBorders>
            <w:shd w:val="clear" w:color="auto" w:fill="auto"/>
            <w:noWrap/>
            <w:vAlign w:val="center"/>
          </w:tcPr>
          <w:p w14:paraId="5679DC0B" w14:textId="4C405486" w:rsidR="0032584F" w:rsidRPr="00D152A8" w:rsidRDefault="00607D5C" w:rsidP="00607D5C">
            <w:pPr>
              <w:jc w:val="right"/>
              <w:rPr>
                <w:rFonts w:cs="Calibri"/>
                <w:color w:val="000000" w:themeColor="text1"/>
                <w:sz w:val="13"/>
                <w:szCs w:val="13"/>
              </w:rPr>
            </w:pPr>
            <w:r>
              <w:rPr>
                <w:rFonts w:cs="Calibri"/>
                <w:color w:val="000000" w:themeColor="text1"/>
                <w:sz w:val="13"/>
                <w:szCs w:val="13"/>
              </w:rPr>
              <w:t>632</w:t>
            </w:r>
            <w:r w:rsidR="00753331" w:rsidRPr="00D152A8">
              <w:rPr>
                <w:rFonts w:cs="Calibri"/>
                <w:color w:val="000000" w:themeColor="text1"/>
                <w:sz w:val="13"/>
                <w:szCs w:val="13"/>
              </w:rPr>
              <w:t xml:space="preserve"> </w:t>
            </w:r>
            <w:r>
              <w:rPr>
                <w:rFonts w:cs="Calibri"/>
                <w:color w:val="000000" w:themeColor="text1"/>
                <w:sz w:val="13"/>
                <w:szCs w:val="13"/>
              </w:rPr>
              <w:t>86</w:t>
            </w:r>
            <w:r w:rsidR="00753331" w:rsidRPr="00D152A8">
              <w:rPr>
                <w:rFonts w:cs="Calibri"/>
                <w:color w:val="000000" w:themeColor="text1"/>
                <w:sz w:val="13"/>
                <w:szCs w:val="13"/>
              </w:rPr>
              <w:t>3</w:t>
            </w:r>
          </w:p>
        </w:tc>
      </w:tr>
      <w:tr w:rsidR="00977E53" w:rsidRPr="00D152A8" w14:paraId="4E41FCC0" w14:textId="77777777" w:rsidTr="00862BC8">
        <w:trPr>
          <w:trHeight w:val="255"/>
        </w:trPr>
        <w:tc>
          <w:tcPr>
            <w:tcW w:w="4906" w:type="dxa"/>
            <w:tcBorders>
              <w:top w:val="nil"/>
              <w:left w:val="nil"/>
              <w:bottom w:val="single" w:sz="8" w:space="0" w:color="0077BD"/>
              <w:right w:val="single" w:sz="8" w:space="0" w:color="0077BD"/>
            </w:tcBorders>
            <w:shd w:val="clear" w:color="000000" w:fill="FFFFFF"/>
            <w:noWrap/>
            <w:vAlign w:val="center"/>
            <w:hideMark/>
          </w:tcPr>
          <w:p w14:paraId="17EBDC57"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Klienci budżetowi</w:t>
            </w:r>
          </w:p>
        </w:tc>
        <w:tc>
          <w:tcPr>
            <w:tcW w:w="2364" w:type="dxa"/>
            <w:tcBorders>
              <w:top w:val="nil"/>
              <w:left w:val="nil"/>
              <w:bottom w:val="single" w:sz="8" w:space="0" w:color="0077BD"/>
              <w:right w:val="single" w:sz="8" w:space="0" w:color="0077BD"/>
            </w:tcBorders>
            <w:shd w:val="clear" w:color="auto" w:fill="auto"/>
            <w:noWrap/>
            <w:vAlign w:val="center"/>
          </w:tcPr>
          <w:p w14:paraId="4E70A6C2" w14:textId="5858905C" w:rsidR="0032584F" w:rsidRPr="00D152A8" w:rsidRDefault="00862BC8" w:rsidP="009E1F91">
            <w:pPr>
              <w:jc w:val="right"/>
              <w:rPr>
                <w:rFonts w:cs="Calibri"/>
                <w:color w:val="000000" w:themeColor="text1"/>
                <w:sz w:val="13"/>
                <w:szCs w:val="13"/>
              </w:rPr>
            </w:pPr>
            <w:r w:rsidRPr="00D152A8">
              <w:rPr>
                <w:rFonts w:cs="Calibri"/>
                <w:color w:val="000000" w:themeColor="text1"/>
                <w:sz w:val="13"/>
                <w:szCs w:val="13"/>
              </w:rPr>
              <w:t>-</w:t>
            </w:r>
          </w:p>
        </w:tc>
        <w:tc>
          <w:tcPr>
            <w:tcW w:w="2364" w:type="dxa"/>
            <w:tcBorders>
              <w:top w:val="nil"/>
              <w:left w:val="nil"/>
              <w:bottom w:val="single" w:sz="8" w:space="0" w:color="0077BD"/>
              <w:right w:val="nil"/>
            </w:tcBorders>
            <w:shd w:val="clear" w:color="auto" w:fill="auto"/>
            <w:noWrap/>
            <w:vAlign w:val="center"/>
          </w:tcPr>
          <w:p w14:paraId="52BA404F" w14:textId="1B65A622" w:rsidR="0032584F" w:rsidRPr="00D152A8" w:rsidRDefault="00753331" w:rsidP="009E1F91">
            <w:pPr>
              <w:jc w:val="right"/>
              <w:rPr>
                <w:rFonts w:cs="Calibri"/>
                <w:color w:val="000000" w:themeColor="text1"/>
                <w:sz w:val="13"/>
                <w:szCs w:val="13"/>
              </w:rPr>
            </w:pPr>
            <w:r w:rsidRPr="00D152A8">
              <w:rPr>
                <w:rFonts w:cs="Calibri"/>
                <w:color w:val="000000" w:themeColor="text1"/>
                <w:sz w:val="13"/>
                <w:szCs w:val="13"/>
              </w:rPr>
              <w:t>-</w:t>
            </w:r>
          </w:p>
        </w:tc>
      </w:tr>
      <w:tr w:rsidR="00977E53" w:rsidRPr="00D152A8" w14:paraId="0A9A5683" w14:textId="77777777" w:rsidTr="00862BC8">
        <w:trPr>
          <w:trHeight w:val="255"/>
        </w:trPr>
        <w:tc>
          <w:tcPr>
            <w:tcW w:w="4906" w:type="dxa"/>
            <w:tcBorders>
              <w:top w:val="single" w:sz="8" w:space="0" w:color="0077BD"/>
              <w:left w:val="nil"/>
              <w:bottom w:val="single" w:sz="8" w:space="0" w:color="0077BD"/>
              <w:right w:val="single" w:sz="8" w:space="0" w:color="0077BD"/>
            </w:tcBorders>
            <w:shd w:val="clear" w:color="000000" w:fill="FFFFFF"/>
            <w:noWrap/>
            <w:vAlign w:val="center"/>
            <w:hideMark/>
          </w:tcPr>
          <w:p w14:paraId="548A3AB9" w14:textId="77777777" w:rsidR="0032584F" w:rsidRPr="00D152A8" w:rsidRDefault="0032584F" w:rsidP="009E1F91">
            <w:pPr>
              <w:rPr>
                <w:rFonts w:cs="Calibri"/>
                <w:b/>
                <w:bCs/>
                <w:color w:val="000000" w:themeColor="text1"/>
                <w:sz w:val="13"/>
                <w:szCs w:val="13"/>
              </w:rPr>
            </w:pPr>
            <w:r w:rsidRPr="00D152A8">
              <w:rPr>
                <w:rFonts w:cs="Calibri"/>
                <w:b/>
                <w:bCs/>
                <w:color w:val="000000" w:themeColor="text1"/>
                <w:sz w:val="13"/>
                <w:szCs w:val="13"/>
              </w:rPr>
              <w:t xml:space="preserve">Razem </w:t>
            </w:r>
          </w:p>
        </w:tc>
        <w:tc>
          <w:tcPr>
            <w:tcW w:w="2364" w:type="dxa"/>
            <w:tcBorders>
              <w:top w:val="single" w:sz="8" w:space="0" w:color="0077BD"/>
              <w:left w:val="nil"/>
              <w:bottom w:val="single" w:sz="8" w:space="0" w:color="0077BD"/>
              <w:right w:val="single" w:sz="8" w:space="0" w:color="0077BD"/>
            </w:tcBorders>
            <w:shd w:val="clear" w:color="auto" w:fill="auto"/>
            <w:noWrap/>
            <w:vAlign w:val="center"/>
          </w:tcPr>
          <w:p w14:paraId="55FBB767" w14:textId="24CB8C5E" w:rsidR="0032584F" w:rsidRPr="00D152A8" w:rsidRDefault="00862BC8" w:rsidP="009E1F91">
            <w:pPr>
              <w:jc w:val="right"/>
              <w:rPr>
                <w:rFonts w:cs="Calibri"/>
                <w:b/>
                <w:bCs/>
                <w:color w:val="000000" w:themeColor="text1"/>
                <w:sz w:val="13"/>
                <w:szCs w:val="13"/>
              </w:rPr>
            </w:pPr>
            <w:r w:rsidRPr="00D152A8">
              <w:rPr>
                <w:rFonts w:cs="Calibri"/>
                <w:b/>
                <w:bCs/>
                <w:color w:val="000000" w:themeColor="text1"/>
                <w:sz w:val="13"/>
                <w:szCs w:val="13"/>
              </w:rPr>
              <w:t>1 616 237</w:t>
            </w:r>
          </w:p>
        </w:tc>
        <w:tc>
          <w:tcPr>
            <w:tcW w:w="2364" w:type="dxa"/>
            <w:tcBorders>
              <w:top w:val="single" w:sz="8" w:space="0" w:color="0077BD"/>
              <w:left w:val="nil"/>
              <w:bottom w:val="single" w:sz="8" w:space="0" w:color="0077BD"/>
              <w:right w:val="nil"/>
            </w:tcBorders>
            <w:shd w:val="clear" w:color="auto" w:fill="auto"/>
            <w:noWrap/>
            <w:vAlign w:val="center"/>
          </w:tcPr>
          <w:p w14:paraId="34B7CF59" w14:textId="56FD6621" w:rsidR="0032584F" w:rsidRPr="00D152A8" w:rsidRDefault="00753331" w:rsidP="009E1F91">
            <w:pPr>
              <w:jc w:val="right"/>
              <w:rPr>
                <w:rFonts w:cs="Calibri"/>
                <w:b/>
                <w:bCs/>
                <w:color w:val="000000" w:themeColor="text1"/>
                <w:sz w:val="13"/>
                <w:szCs w:val="13"/>
              </w:rPr>
            </w:pPr>
            <w:r w:rsidRPr="00D152A8">
              <w:rPr>
                <w:rFonts w:cs="Calibri"/>
                <w:b/>
                <w:bCs/>
                <w:color w:val="000000" w:themeColor="text1"/>
                <w:sz w:val="13"/>
                <w:szCs w:val="13"/>
              </w:rPr>
              <w:t>1 376 680</w:t>
            </w:r>
          </w:p>
        </w:tc>
      </w:tr>
    </w:tbl>
    <w:p w14:paraId="5DF59683" w14:textId="31A9971F" w:rsidR="0032584F" w:rsidRPr="00977E53" w:rsidRDefault="0032584F" w:rsidP="00043DAA">
      <w:pPr>
        <w:autoSpaceDE w:val="0"/>
        <w:autoSpaceDN w:val="0"/>
        <w:adjustRightInd w:val="0"/>
        <w:jc w:val="both"/>
        <w:rPr>
          <w:rFonts w:eastAsia="Calibri" w:cs="Verdana"/>
          <w:color w:val="000000" w:themeColor="text1"/>
          <w:sz w:val="18"/>
          <w:szCs w:val="18"/>
          <w:lang w:eastAsia="en-US"/>
        </w:rPr>
      </w:pPr>
    </w:p>
    <w:tbl>
      <w:tblPr>
        <w:tblW w:w="9634" w:type="dxa"/>
        <w:tblCellMar>
          <w:left w:w="28" w:type="dxa"/>
          <w:right w:w="28" w:type="dxa"/>
        </w:tblCellMar>
        <w:tblLook w:val="04A0" w:firstRow="1" w:lastRow="0" w:firstColumn="1" w:lastColumn="0" w:noHBand="0" w:noVBand="1"/>
      </w:tblPr>
      <w:tblGrid>
        <w:gridCol w:w="4906"/>
        <w:gridCol w:w="2364"/>
        <w:gridCol w:w="2364"/>
      </w:tblGrid>
      <w:tr w:rsidR="0032584F" w:rsidRPr="00D152A8" w14:paraId="5783E98D" w14:textId="77777777" w:rsidTr="006A2052">
        <w:trPr>
          <w:trHeight w:val="284"/>
        </w:trPr>
        <w:tc>
          <w:tcPr>
            <w:tcW w:w="4905" w:type="dxa"/>
            <w:tcBorders>
              <w:top w:val="nil"/>
              <w:left w:val="single" w:sz="4" w:space="0" w:color="FFFFFF"/>
              <w:bottom w:val="nil"/>
              <w:right w:val="single" w:sz="8" w:space="0" w:color="FFFFFF"/>
            </w:tcBorders>
            <w:shd w:val="clear" w:color="000000" w:fill="0077BD"/>
            <w:vAlign w:val="center"/>
            <w:hideMark/>
          </w:tcPr>
          <w:p w14:paraId="319BFEE6" w14:textId="77777777" w:rsidR="0032584F" w:rsidRPr="00D152A8" w:rsidRDefault="0032584F" w:rsidP="009E1F91">
            <w:pPr>
              <w:rPr>
                <w:rFonts w:cs="Calibri"/>
                <w:b/>
                <w:bCs/>
                <w:color w:val="FFFFFF"/>
                <w:sz w:val="13"/>
                <w:szCs w:val="13"/>
              </w:rPr>
            </w:pPr>
            <w:r w:rsidRPr="00D152A8">
              <w:rPr>
                <w:rFonts w:cs="Calibri"/>
                <w:b/>
                <w:bCs/>
                <w:color w:val="FFFFFF"/>
                <w:sz w:val="13"/>
                <w:szCs w:val="13"/>
              </w:rPr>
              <w:t>Ekspozycje forborne według charakteru udzielonej ulgi</w:t>
            </w:r>
          </w:p>
        </w:tc>
        <w:tc>
          <w:tcPr>
            <w:tcW w:w="2364" w:type="dxa"/>
            <w:tcBorders>
              <w:top w:val="nil"/>
              <w:left w:val="nil"/>
              <w:bottom w:val="nil"/>
              <w:right w:val="nil"/>
            </w:tcBorders>
            <w:shd w:val="clear" w:color="000000" w:fill="0077BD"/>
            <w:vAlign w:val="center"/>
            <w:hideMark/>
          </w:tcPr>
          <w:p w14:paraId="488E9931"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31.12.2019</w:t>
            </w:r>
          </w:p>
        </w:tc>
        <w:tc>
          <w:tcPr>
            <w:tcW w:w="2364" w:type="dxa"/>
            <w:tcBorders>
              <w:top w:val="nil"/>
              <w:left w:val="single" w:sz="8" w:space="0" w:color="FFFFFF"/>
              <w:bottom w:val="nil"/>
              <w:right w:val="nil"/>
            </w:tcBorders>
            <w:shd w:val="clear" w:color="000000" w:fill="0077BD"/>
            <w:vAlign w:val="center"/>
            <w:hideMark/>
          </w:tcPr>
          <w:p w14:paraId="2197CC43" w14:textId="77777777" w:rsidR="0032584F" w:rsidRPr="00D152A8" w:rsidRDefault="0032584F" w:rsidP="00D152A8">
            <w:pPr>
              <w:jc w:val="right"/>
              <w:rPr>
                <w:rFonts w:cs="Calibri"/>
                <w:b/>
                <w:bCs/>
                <w:color w:val="FFFFFF"/>
                <w:sz w:val="13"/>
                <w:szCs w:val="13"/>
              </w:rPr>
            </w:pPr>
            <w:r w:rsidRPr="00D152A8">
              <w:rPr>
                <w:rFonts w:cs="Calibri"/>
                <w:b/>
                <w:bCs/>
                <w:color w:val="FFFFFF"/>
                <w:sz w:val="13"/>
                <w:szCs w:val="13"/>
              </w:rPr>
              <w:t>31.12.2018</w:t>
            </w:r>
          </w:p>
        </w:tc>
      </w:tr>
      <w:tr w:rsidR="00977E53" w:rsidRPr="00D152A8" w14:paraId="4A2FC4C3" w14:textId="77777777" w:rsidTr="006A2052">
        <w:trPr>
          <w:trHeight w:val="255"/>
        </w:trPr>
        <w:tc>
          <w:tcPr>
            <w:tcW w:w="4905" w:type="dxa"/>
            <w:tcBorders>
              <w:top w:val="single" w:sz="4" w:space="0" w:color="0077BD"/>
              <w:left w:val="nil"/>
              <w:bottom w:val="single" w:sz="4" w:space="0" w:color="0077BD"/>
              <w:right w:val="single" w:sz="8" w:space="0" w:color="0077BD"/>
            </w:tcBorders>
            <w:shd w:val="clear" w:color="000000" w:fill="FFFFFF"/>
            <w:noWrap/>
            <w:vAlign w:val="center"/>
            <w:hideMark/>
          </w:tcPr>
          <w:p w14:paraId="7AA39D70"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Refinansowanie</w:t>
            </w:r>
          </w:p>
        </w:tc>
        <w:tc>
          <w:tcPr>
            <w:tcW w:w="2364" w:type="dxa"/>
            <w:tcBorders>
              <w:top w:val="single" w:sz="4" w:space="0" w:color="0077BD"/>
              <w:left w:val="nil"/>
              <w:bottom w:val="single" w:sz="4" w:space="0" w:color="0077BD"/>
              <w:right w:val="single" w:sz="8" w:space="0" w:color="0077BD"/>
            </w:tcBorders>
            <w:shd w:val="clear" w:color="auto" w:fill="auto"/>
            <w:noWrap/>
            <w:vAlign w:val="center"/>
          </w:tcPr>
          <w:p w14:paraId="71DBBC02" w14:textId="6E7D580E" w:rsidR="0032584F" w:rsidRPr="00D152A8" w:rsidRDefault="006C4D8D" w:rsidP="009E1F91">
            <w:pPr>
              <w:jc w:val="right"/>
              <w:rPr>
                <w:rFonts w:cs="Calibri"/>
                <w:color w:val="000000" w:themeColor="text1"/>
                <w:sz w:val="13"/>
                <w:szCs w:val="13"/>
              </w:rPr>
            </w:pPr>
            <w:r w:rsidRPr="00D152A8">
              <w:rPr>
                <w:rFonts w:cs="Calibri"/>
                <w:color w:val="000000" w:themeColor="text1"/>
                <w:sz w:val="13"/>
                <w:szCs w:val="13"/>
              </w:rPr>
              <w:t>159 214</w:t>
            </w:r>
          </w:p>
        </w:tc>
        <w:tc>
          <w:tcPr>
            <w:tcW w:w="2364" w:type="dxa"/>
            <w:tcBorders>
              <w:top w:val="single" w:sz="4" w:space="0" w:color="0077BD"/>
              <w:left w:val="nil"/>
              <w:bottom w:val="single" w:sz="4" w:space="0" w:color="0077BD"/>
              <w:right w:val="nil"/>
            </w:tcBorders>
            <w:shd w:val="clear" w:color="auto" w:fill="auto"/>
            <w:noWrap/>
            <w:vAlign w:val="center"/>
          </w:tcPr>
          <w:p w14:paraId="15C88F57" w14:textId="31CA9A51" w:rsidR="0032584F" w:rsidRPr="00D152A8" w:rsidRDefault="004D6A5A" w:rsidP="009E1F91">
            <w:pPr>
              <w:jc w:val="right"/>
              <w:rPr>
                <w:rFonts w:cs="Calibri"/>
                <w:color w:val="000000" w:themeColor="text1"/>
                <w:sz w:val="13"/>
                <w:szCs w:val="13"/>
              </w:rPr>
            </w:pPr>
            <w:r w:rsidRPr="00D152A8">
              <w:rPr>
                <w:rFonts w:cs="Calibri"/>
                <w:color w:val="000000" w:themeColor="text1"/>
                <w:sz w:val="13"/>
                <w:szCs w:val="13"/>
              </w:rPr>
              <w:t>112 168</w:t>
            </w:r>
          </w:p>
        </w:tc>
      </w:tr>
      <w:tr w:rsidR="00977E53" w:rsidRPr="00D152A8" w14:paraId="0BA3B4B0" w14:textId="77777777" w:rsidTr="006A2052">
        <w:trPr>
          <w:trHeight w:val="255"/>
        </w:trPr>
        <w:tc>
          <w:tcPr>
            <w:tcW w:w="4905" w:type="dxa"/>
            <w:tcBorders>
              <w:top w:val="nil"/>
              <w:left w:val="nil"/>
              <w:bottom w:val="single" w:sz="8" w:space="0" w:color="0077BD"/>
              <w:right w:val="single" w:sz="8" w:space="0" w:color="0077BD"/>
            </w:tcBorders>
            <w:shd w:val="clear" w:color="000000" w:fill="FFFFFF"/>
            <w:noWrap/>
            <w:vAlign w:val="center"/>
            <w:hideMark/>
          </w:tcPr>
          <w:p w14:paraId="259C439C" w14:textId="77777777" w:rsidR="0032584F" w:rsidRPr="00D152A8" w:rsidRDefault="0032584F" w:rsidP="009E1F91">
            <w:pPr>
              <w:rPr>
                <w:rFonts w:cs="Calibri"/>
                <w:color w:val="000000" w:themeColor="text1"/>
                <w:sz w:val="13"/>
                <w:szCs w:val="13"/>
              </w:rPr>
            </w:pPr>
            <w:r w:rsidRPr="00D152A8">
              <w:rPr>
                <w:rFonts w:cs="Calibri"/>
                <w:color w:val="000000" w:themeColor="text1"/>
                <w:sz w:val="13"/>
                <w:szCs w:val="13"/>
              </w:rPr>
              <w:t>Zmiana warunków</w:t>
            </w:r>
          </w:p>
        </w:tc>
        <w:tc>
          <w:tcPr>
            <w:tcW w:w="2364" w:type="dxa"/>
            <w:tcBorders>
              <w:top w:val="nil"/>
              <w:left w:val="nil"/>
              <w:bottom w:val="single" w:sz="8" w:space="0" w:color="0077BD"/>
              <w:right w:val="single" w:sz="8" w:space="0" w:color="0077BD"/>
            </w:tcBorders>
            <w:shd w:val="clear" w:color="auto" w:fill="auto"/>
            <w:noWrap/>
            <w:vAlign w:val="center"/>
          </w:tcPr>
          <w:p w14:paraId="76DA782F" w14:textId="0D6E04F8" w:rsidR="0032584F" w:rsidRPr="00D152A8" w:rsidRDefault="006C4D8D" w:rsidP="009E1F91">
            <w:pPr>
              <w:jc w:val="right"/>
              <w:rPr>
                <w:rFonts w:cs="Calibri"/>
                <w:color w:val="000000" w:themeColor="text1"/>
                <w:sz w:val="13"/>
                <w:szCs w:val="13"/>
              </w:rPr>
            </w:pPr>
            <w:r w:rsidRPr="00D152A8">
              <w:rPr>
                <w:rFonts w:cs="Calibri"/>
                <w:color w:val="000000" w:themeColor="text1"/>
                <w:sz w:val="13"/>
                <w:szCs w:val="13"/>
              </w:rPr>
              <w:t>1 457 023</w:t>
            </w:r>
          </w:p>
        </w:tc>
        <w:tc>
          <w:tcPr>
            <w:tcW w:w="2364" w:type="dxa"/>
            <w:tcBorders>
              <w:top w:val="nil"/>
              <w:left w:val="nil"/>
              <w:bottom w:val="single" w:sz="8" w:space="0" w:color="0077BD"/>
              <w:right w:val="nil"/>
            </w:tcBorders>
            <w:shd w:val="clear" w:color="auto" w:fill="auto"/>
            <w:noWrap/>
            <w:vAlign w:val="center"/>
          </w:tcPr>
          <w:p w14:paraId="36418BFA" w14:textId="654D7710" w:rsidR="0032584F" w:rsidRPr="00D152A8" w:rsidRDefault="004D6A5A" w:rsidP="009E1F91">
            <w:pPr>
              <w:jc w:val="right"/>
              <w:rPr>
                <w:rFonts w:cs="Calibri"/>
                <w:color w:val="000000" w:themeColor="text1"/>
                <w:sz w:val="13"/>
                <w:szCs w:val="13"/>
              </w:rPr>
            </w:pPr>
            <w:r w:rsidRPr="00D152A8">
              <w:rPr>
                <w:rFonts w:cs="Calibri"/>
                <w:color w:val="000000" w:themeColor="text1"/>
                <w:sz w:val="13"/>
                <w:szCs w:val="13"/>
              </w:rPr>
              <w:t>1 264 512</w:t>
            </w:r>
          </w:p>
        </w:tc>
      </w:tr>
      <w:tr w:rsidR="00977E53" w:rsidRPr="00D152A8" w14:paraId="590EF9D5" w14:textId="77777777" w:rsidTr="006A2052">
        <w:trPr>
          <w:trHeight w:val="255"/>
        </w:trPr>
        <w:tc>
          <w:tcPr>
            <w:tcW w:w="4905" w:type="dxa"/>
            <w:tcBorders>
              <w:top w:val="nil"/>
              <w:left w:val="nil"/>
              <w:bottom w:val="single" w:sz="8" w:space="0" w:color="0077BD"/>
              <w:right w:val="single" w:sz="8" w:space="0" w:color="0077BD"/>
            </w:tcBorders>
            <w:shd w:val="clear" w:color="000000" w:fill="FFFFFF"/>
            <w:noWrap/>
            <w:vAlign w:val="center"/>
            <w:hideMark/>
          </w:tcPr>
          <w:p w14:paraId="225786A0" w14:textId="77777777" w:rsidR="0032584F" w:rsidRPr="00D152A8" w:rsidRDefault="0032584F" w:rsidP="009E1F91">
            <w:pPr>
              <w:rPr>
                <w:rFonts w:cs="Calibri"/>
                <w:b/>
                <w:bCs/>
                <w:color w:val="000000" w:themeColor="text1"/>
                <w:sz w:val="13"/>
                <w:szCs w:val="13"/>
              </w:rPr>
            </w:pPr>
            <w:r w:rsidRPr="00D152A8">
              <w:rPr>
                <w:rFonts w:cs="Calibri"/>
                <w:b/>
                <w:bCs/>
                <w:color w:val="000000" w:themeColor="text1"/>
                <w:sz w:val="13"/>
                <w:szCs w:val="13"/>
              </w:rPr>
              <w:t>Razem</w:t>
            </w:r>
          </w:p>
        </w:tc>
        <w:tc>
          <w:tcPr>
            <w:tcW w:w="2364" w:type="dxa"/>
            <w:tcBorders>
              <w:top w:val="nil"/>
              <w:left w:val="nil"/>
              <w:bottom w:val="single" w:sz="8" w:space="0" w:color="0077BD"/>
              <w:right w:val="single" w:sz="8" w:space="0" w:color="0077BD"/>
            </w:tcBorders>
            <w:shd w:val="clear" w:color="auto" w:fill="auto"/>
            <w:noWrap/>
            <w:vAlign w:val="center"/>
          </w:tcPr>
          <w:p w14:paraId="12D474EE" w14:textId="2CF5C436" w:rsidR="0032584F" w:rsidRPr="00D152A8" w:rsidRDefault="006C4D8D" w:rsidP="009E1F91">
            <w:pPr>
              <w:jc w:val="right"/>
              <w:rPr>
                <w:rFonts w:cs="Calibri"/>
                <w:b/>
                <w:bCs/>
                <w:color w:val="000000" w:themeColor="text1"/>
                <w:sz w:val="13"/>
                <w:szCs w:val="13"/>
              </w:rPr>
            </w:pPr>
            <w:r w:rsidRPr="00D152A8">
              <w:rPr>
                <w:rFonts w:cs="Calibri"/>
                <w:b/>
                <w:bCs/>
                <w:color w:val="000000" w:themeColor="text1"/>
                <w:sz w:val="13"/>
                <w:szCs w:val="13"/>
              </w:rPr>
              <w:t>1 616 237</w:t>
            </w:r>
          </w:p>
        </w:tc>
        <w:tc>
          <w:tcPr>
            <w:tcW w:w="2364" w:type="dxa"/>
            <w:tcBorders>
              <w:top w:val="nil"/>
              <w:left w:val="nil"/>
              <w:bottom w:val="single" w:sz="8" w:space="0" w:color="0077BD"/>
              <w:right w:val="nil"/>
            </w:tcBorders>
            <w:shd w:val="clear" w:color="auto" w:fill="auto"/>
            <w:noWrap/>
            <w:vAlign w:val="center"/>
          </w:tcPr>
          <w:p w14:paraId="7B9688E7" w14:textId="4B254ADE" w:rsidR="0032584F" w:rsidRPr="00D152A8" w:rsidRDefault="004D6A5A" w:rsidP="009E1F91">
            <w:pPr>
              <w:jc w:val="right"/>
              <w:rPr>
                <w:rFonts w:cs="Calibri"/>
                <w:b/>
                <w:bCs/>
                <w:color w:val="000000" w:themeColor="text1"/>
                <w:sz w:val="13"/>
                <w:szCs w:val="13"/>
              </w:rPr>
            </w:pPr>
            <w:r w:rsidRPr="00D152A8">
              <w:rPr>
                <w:rFonts w:cs="Calibri"/>
                <w:b/>
                <w:bCs/>
                <w:color w:val="000000" w:themeColor="text1"/>
                <w:sz w:val="13"/>
                <w:szCs w:val="13"/>
              </w:rPr>
              <w:t>1 376 680</w:t>
            </w:r>
          </w:p>
        </w:tc>
      </w:tr>
    </w:tbl>
    <w:p w14:paraId="6CF59713" w14:textId="590754E9" w:rsidR="00CC780E" w:rsidRPr="00977E53" w:rsidRDefault="00CC780E" w:rsidP="00043DAA">
      <w:pPr>
        <w:autoSpaceDE w:val="0"/>
        <w:autoSpaceDN w:val="0"/>
        <w:adjustRightInd w:val="0"/>
        <w:rPr>
          <w:rFonts w:eastAsia="Calibri" w:cs="Verdana"/>
          <w:color w:val="000000" w:themeColor="text1"/>
          <w:sz w:val="18"/>
          <w:szCs w:val="18"/>
          <w:lang w:eastAsia="en-US"/>
        </w:rPr>
      </w:pPr>
    </w:p>
    <w:tbl>
      <w:tblPr>
        <w:tblW w:w="9634" w:type="dxa"/>
        <w:tblCellMar>
          <w:left w:w="28" w:type="dxa"/>
          <w:right w:w="28" w:type="dxa"/>
        </w:tblCellMar>
        <w:tblLook w:val="04A0" w:firstRow="1" w:lastRow="0" w:firstColumn="1" w:lastColumn="0" w:noHBand="0" w:noVBand="1"/>
      </w:tblPr>
      <w:tblGrid>
        <w:gridCol w:w="4906"/>
        <w:gridCol w:w="2364"/>
        <w:gridCol w:w="2364"/>
      </w:tblGrid>
      <w:tr w:rsidR="00CC780E" w:rsidRPr="00D152A8" w14:paraId="74AAD739" w14:textId="77777777" w:rsidTr="006A2052">
        <w:trPr>
          <w:trHeight w:val="284"/>
        </w:trPr>
        <w:tc>
          <w:tcPr>
            <w:tcW w:w="4905" w:type="dxa"/>
            <w:tcBorders>
              <w:top w:val="nil"/>
              <w:left w:val="single" w:sz="4" w:space="0" w:color="FFFFFF"/>
              <w:bottom w:val="nil"/>
              <w:right w:val="single" w:sz="8" w:space="0" w:color="FFFFFF"/>
            </w:tcBorders>
            <w:shd w:val="clear" w:color="000000" w:fill="0077BD"/>
            <w:vAlign w:val="center"/>
            <w:hideMark/>
          </w:tcPr>
          <w:p w14:paraId="24B19636" w14:textId="77777777" w:rsidR="00CC780E" w:rsidRPr="00D152A8" w:rsidRDefault="00CC780E" w:rsidP="009E1F91">
            <w:pPr>
              <w:rPr>
                <w:rFonts w:cs="Calibri"/>
                <w:b/>
                <w:bCs/>
                <w:color w:val="FFFFFF"/>
                <w:sz w:val="13"/>
                <w:szCs w:val="13"/>
              </w:rPr>
            </w:pPr>
            <w:r w:rsidRPr="00D152A8">
              <w:rPr>
                <w:rFonts w:cs="Calibri"/>
                <w:b/>
                <w:bCs/>
                <w:color w:val="FFFFFF"/>
                <w:sz w:val="13"/>
                <w:szCs w:val="13"/>
              </w:rPr>
              <w:t>Ekspozycje forborne według struktury geograficznej</w:t>
            </w:r>
          </w:p>
        </w:tc>
        <w:tc>
          <w:tcPr>
            <w:tcW w:w="2364" w:type="dxa"/>
            <w:tcBorders>
              <w:top w:val="nil"/>
              <w:left w:val="nil"/>
              <w:bottom w:val="nil"/>
              <w:right w:val="nil"/>
            </w:tcBorders>
            <w:shd w:val="clear" w:color="000000" w:fill="0077BD"/>
            <w:vAlign w:val="center"/>
            <w:hideMark/>
          </w:tcPr>
          <w:p w14:paraId="4BDC5515"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31.12.2019</w:t>
            </w:r>
          </w:p>
        </w:tc>
        <w:tc>
          <w:tcPr>
            <w:tcW w:w="2364" w:type="dxa"/>
            <w:tcBorders>
              <w:top w:val="nil"/>
              <w:left w:val="single" w:sz="8" w:space="0" w:color="FFFFFF"/>
              <w:bottom w:val="nil"/>
              <w:right w:val="nil"/>
            </w:tcBorders>
            <w:shd w:val="clear" w:color="000000" w:fill="0077BD"/>
            <w:vAlign w:val="center"/>
            <w:hideMark/>
          </w:tcPr>
          <w:p w14:paraId="5EB8DAB2"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31.12.2018</w:t>
            </w:r>
          </w:p>
        </w:tc>
      </w:tr>
      <w:tr w:rsidR="00977E53" w:rsidRPr="00D152A8" w14:paraId="1629C44E" w14:textId="77777777" w:rsidTr="006A2052">
        <w:trPr>
          <w:trHeight w:val="227"/>
        </w:trPr>
        <w:tc>
          <w:tcPr>
            <w:tcW w:w="4905" w:type="dxa"/>
            <w:tcBorders>
              <w:top w:val="single" w:sz="4" w:space="0" w:color="0077BD"/>
              <w:left w:val="nil"/>
              <w:bottom w:val="single" w:sz="4" w:space="0" w:color="0077BD"/>
              <w:right w:val="single" w:sz="8" w:space="0" w:color="0077BD"/>
            </w:tcBorders>
            <w:shd w:val="clear" w:color="000000" w:fill="FFFFFF"/>
            <w:noWrap/>
            <w:vAlign w:val="center"/>
            <w:hideMark/>
          </w:tcPr>
          <w:p w14:paraId="590F8983"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Polska</w:t>
            </w:r>
          </w:p>
        </w:tc>
        <w:tc>
          <w:tcPr>
            <w:tcW w:w="2364" w:type="dxa"/>
            <w:tcBorders>
              <w:top w:val="single" w:sz="4" w:space="0" w:color="0077BD"/>
              <w:left w:val="nil"/>
              <w:bottom w:val="single" w:sz="4" w:space="0" w:color="0077BD"/>
              <w:right w:val="single" w:sz="8" w:space="0" w:color="0077BD"/>
            </w:tcBorders>
            <w:shd w:val="clear" w:color="auto" w:fill="auto"/>
            <w:noWrap/>
            <w:vAlign w:val="center"/>
          </w:tcPr>
          <w:p w14:paraId="441B3E55" w14:textId="05C69D5B" w:rsidR="00CC780E" w:rsidRPr="00D152A8" w:rsidRDefault="00366E61" w:rsidP="009E1F91">
            <w:pPr>
              <w:jc w:val="right"/>
              <w:rPr>
                <w:rFonts w:cs="Calibri"/>
                <w:color w:val="000000" w:themeColor="text1"/>
                <w:sz w:val="13"/>
                <w:szCs w:val="13"/>
              </w:rPr>
            </w:pPr>
            <w:r w:rsidRPr="00D152A8">
              <w:rPr>
                <w:rFonts w:cs="Calibri"/>
                <w:color w:val="000000" w:themeColor="text1"/>
                <w:sz w:val="13"/>
                <w:szCs w:val="13"/>
              </w:rPr>
              <w:t>1 561 030</w:t>
            </w:r>
          </w:p>
        </w:tc>
        <w:tc>
          <w:tcPr>
            <w:tcW w:w="2364" w:type="dxa"/>
            <w:tcBorders>
              <w:top w:val="single" w:sz="4" w:space="0" w:color="0077BD"/>
              <w:left w:val="nil"/>
              <w:bottom w:val="single" w:sz="4" w:space="0" w:color="0077BD"/>
              <w:right w:val="nil"/>
            </w:tcBorders>
            <w:shd w:val="clear" w:color="auto" w:fill="auto"/>
            <w:noWrap/>
            <w:vAlign w:val="center"/>
          </w:tcPr>
          <w:p w14:paraId="64331141" w14:textId="4FE9438F" w:rsidR="00CC780E" w:rsidRPr="00D152A8" w:rsidRDefault="004D6A5A" w:rsidP="009E1F91">
            <w:pPr>
              <w:jc w:val="right"/>
              <w:rPr>
                <w:rFonts w:cs="Calibri"/>
                <w:color w:val="000000" w:themeColor="text1"/>
                <w:sz w:val="13"/>
                <w:szCs w:val="13"/>
              </w:rPr>
            </w:pPr>
            <w:r w:rsidRPr="00D152A8">
              <w:rPr>
                <w:rFonts w:cs="Calibri"/>
                <w:color w:val="000000" w:themeColor="text1"/>
                <w:sz w:val="13"/>
                <w:szCs w:val="13"/>
              </w:rPr>
              <w:t>1 332 903</w:t>
            </w:r>
          </w:p>
        </w:tc>
      </w:tr>
      <w:tr w:rsidR="00977E53" w:rsidRPr="00D152A8" w14:paraId="21B6AEAA" w14:textId="77777777" w:rsidTr="006A2052">
        <w:trPr>
          <w:trHeight w:val="227"/>
        </w:trPr>
        <w:tc>
          <w:tcPr>
            <w:tcW w:w="4905" w:type="dxa"/>
            <w:tcBorders>
              <w:top w:val="nil"/>
              <w:left w:val="nil"/>
              <w:bottom w:val="single" w:sz="8" w:space="0" w:color="0077BD"/>
              <w:right w:val="single" w:sz="8" w:space="0" w:color="0077BD"/>
            </w:tcBorders>
            <w:shd w:val="clear" w:color="000000" w:fill="FFFFFF"/>
            <w:noWrap/>
            <w:vAlign w:val="center"/>
            <w:hideMark/>
          </w:tcPr>
          <w:p w14:paraId="5B5CA812"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Zagranica</w:t>
            </w:r>
          </w:p>
        </w:tc>
        <w:tc>
          <w:tcPr>
            <w:tcW w:w="2364" w:type="dxa"/>
            <w:tcBorders>
              <w:top w:val="nil"/>
              <w:left w:val="nil"/>
              <w:bottom w:val="single" w:sz="8" w:space="0" w:color="0077BD"/>
              <w:right w:val="single" w:sz="8" w:space="0" w:color="0077BD"/>
            </w:tcBorders>
            <w:shd w:val="clear" w:color="auto" w:fill="auto"/>
            <w:noWrap/>
            <w:vAlign w:val="center"/>
          </w:tcPr>
          <w:p w14:paraId="0CA89C2D" w14:textId="470CD169" w:rsidR="00CC780E" w:rsidRPr="00D152A8" w:rsidRDefault="00366E61" w:rsidP="009E1F91">
            <w:pPr>
              <w:jc w:val="right"/>
              <w:rPr>
                <w:rFonts w:cs="Calibri"/>
                <w:color w:val="000000" w:themeColor="text1"/>
                <w:sz w:val="13"/>
                <w:szCs w:val="13"/>
              </w:rPr>
            </w:pPr>
            <w:r w:rsidRPr="00D152A8">
              <w:rPr>
                <w:rFonts w:cs="Calibri"/>
                <w:color w:val="000000" w:themeColor="text1"/>
                <w:sz w:val="13"/>
                <w:szCs w:val="13"/>
              </w:rPr>
              <w:t>55 207</w:t>
            </w:r>
          </w:p>
        </w:tc>
        <w:tc>
          <w:tcPr>
            <w:tcW w:w="2364" w:type="dxa"/>
            <w:tcBorders>
              <w:top w:val="nil"/>
              <w:left w:val="nil"/>
              <w:bottom w:val="single" w:sz="8" w:space="0" w:color="0077BD"/>
              <w:right w:val="nil"/>
            </w:tcBorders>
            <w:shd w:val="clear" w:color="auto" w:fill="auto"/>
            <w:noWrap/>
            <w:vAlign w:val="center"/>
          </w:tcPr>
          <w:p w14:paraId="3B7C1176" w14:textId="5943E17D" w:rsidR="00CC780E" w:rsidRPr="00D152A8" w:rsidRDefault="004D6A5A" w:rsidP="009E1F91">
            <w:pPr>
              <w:jc w:val="right"/>
              <w:rPr>
                <w:rFonts w:cs="Calibri"/>
                <w:color w:val="000000" w:themeColor="text1"/>
                <w:sz w:val="13"/>
                <w:szCs w:val="13"/>
              </w:rPr>
            </w:pPr>
            <w:r w:rsidRPr="00D152A8">
              <w:rPr>
                <w:rFonts w:cs="Calibri"/>
                <w:color w:val="000000" w:themeColor="text1"/>
                <w:sz w:val="13"/>
                <w:szCs w:val="13"/>
              </w:rPr>
              <w:t>43 777</w:t>
            </w:r>
          </w:p>
        </w:tc>
      </w:tr>
      <w:tr w:rsidR="00977E53" w:rsidRPr="00D152A8" w14:paraId="43AE45A7" w14:textId="77777777" w:rsidTr="006A2052">
        <w:trPr>
          <w:trHeight w:val="227"/>
        </w:trPr>
        <w:tc>
          <w:tcPr>
            <w:tcW w:w="4905" w:type="dxa"/>
            <w:tcBorders>
              <w:top w:val="nil"/>
              <w:left w:val="nil"/>
              <w:bottom w:val="single" w:sz="8" w:space="0" w:color="0077BD"/>
              <w:right w:val="single" w:sz="8" w:space="0" w:color="0077BD"/>
            </w:tcBorders>
            <w:shd w:val="clear" w:color="000000" w:fill="FFFFFF"/>
            <w:noWrap/>
            <w:vAlign w:val="center"/>
            <w:hideMark/>
          </w:tcPr>
          <w:p w14:paraId="78577E94" w14:textId="77777777" w:rsidR="00CC780E" w:rsidRPr="00D152A8" w:rsidRDefault="00CC780E" w:rsidP="009E1F91">
            <w:pPr>
              <w:rPr>
                <w:rFonts w:cs="Calibri"/>
                <w:b/>
                <w:bCs/>
                <w:color w:val="000000" w:themeColor="text1"/>
                <w:sz w:val="13"/>
                <w:szCs w:val="13"/>
              </w:rPr>
            </w:pPr>
            <w:r w:rsidRPr="00D152A8">
              <w:rPr>
                <w:rFonts w:cs="Calibri"/>
                <w:b/>
                <w:bCs/>
                <w:color w:val="000000" w:themeColor="text1"/>
                <w:sz w:val="13"/>
                <w:szCs w:val="13"/>
              </w:rPr>
              <w:t>Razem</w:t>
            </w:r>
          </w:p>
        </w:tc>
        <w:tc>
          <w:tcPr>
            <w:tcW w:w="2364" w:type="dxa"/>
            <w:tcBorders>
              <w:top w:val="nil"/>
              <w:left w:val="nil"/>
              <w:bottom w:val="single" w:sz="8" w:space="0" w:color="0077BD"/>
              <w:right w:val="single" w:sz="8" w:space="0" w:color="0077BD"/>
            </w:tcBorders>
            <w:shd w:val="clear" w:color="000000" w:fill="FFFFFF"/>
            <w:noWrap/>
            <w:vAlign w:val="center"/>
          </w:tcPr>
          <w:p w14:paraId="4F9FF744" w14:textId="544BC5DB" w:rsidR="00CC780E" w:rsidRPr="00D152A8" w:rsidRDefault="00366E61" w:rsidP="009E1F91">
            <w:pPr>
              <w:jc w:val="right"/>
              <w:rPr>
                <w:rFonts w:cs="Calibri"/>
                <w:b/>
                <w:bCs/>
                <w:color w:val="000000" w:themeColor="text1"/>
                <w:sz w:val="13"/>
                <w:szCs w:val="13"/>
              </w:rPr>
            </w:pPr>
            <w:r w:rsidRPr="00D152A8">
              <w:rPr>
                <w:rFonts w:cs="Calibri"/>
                <w:b/>
                <w:bCs/>
                <w:color w:val="000000" w:themeColor="text1"/>
                <w:sz w:val="13"/>
                <w:szCs w:val="13"/>
              </w:rPr>
              <w:t>1 616 237</w:t>
            </w:r>
          </w:p>
        </w:tc>
        <w:tc>
          <w:tcPr>
            <w:tcW w:w="2364" w:type="dxa"/>
            <w:tcBorders>
              <w:top w:val="nil"/>
              <w:left w:val="nil"/>
              <w:bottom w:val="single" w:sz="8" w:space="0" w:color="0077BD"/>
              <w:right w:val="nil"/>
            </w:tcBorders>
            <w:shd w:val="clear" w:color="000000" w:fill="FFFFFF"/>
            <w:noWrap/>
            <w:vAlign w:val="center"/>
          </w:tcPr>
          <w:p w14:paraId="46DDBD26" w14:textId="16297563" w:rsidR="00CC780E" w:rsidRPr="00D152A8" w:rsidRDefault="004D6A5A" w:rsidP="009E1F91">
            <w:pPr>
              <w:jc w:val="right"/>
              <w:rPr>
                <w:rFonts w:cs="Calibri"/>
                <w:b/>
                <w:bCs/>
                <w:color w:val="000000" w:themeColor="text1"/>
                <w:sz w:val="13"/>
                <w:szCs w:val="13"/>
              </w:rPr>
            </w:pPr>
            <w:r w:rsidRPr="00D152A8">
              <w:rPr>
                <w:rFonts w:cs="Calibri"/>
                <w:b/>
                <w:bCs/>
                <w:color w:val="000000" w:themeColor="text1"/>
                <w:sz w:val="13"/>
                <w:szCs w:val="13"/>
              </w:rPr>
              <w:t>1 376 680</w:t>
            </w:r>
          </w:p>
        </w:tc>
      </w:tr>
    </w:tbl>
    <w:p w14:paraId="0FB2F242" w14:textId="6EFEA8AE" w:rsidR="00CC780E" w:rsidRPr="00977E53" w:rsidRDefault="00CC780E" w:rsidP="00043DAA">
      <w:pPr>
        <w:autoSpaceDE w:val="0"/>
        <w:autoSpaceDN w:val="0"/>
        <w:adjustRightInd w:val="0"/>
        <w:rPr>
          <w:rFonts w:eastAsia="Calibri" w:cs="Verdana"/>
          <w:color w:val="000000" w:themeColor="text1"/>
          <w:sz w:val="18"/>
          <w:szCs w:val="18"/>
          <w:lang w:eastAsia="en-US"/>
        </w:rPr>
      </w:pPr>
    </w:p>
    <w:tbl>
      <w:tblPr>
        <w:tblW w:w="9634" w:type="dxa"/>
        <w:tblCellMar>
          <w:left w:w="28" w:type="dxa"/>
          <w:right w:w="28" w:type="dxa"/>
        </w:tblCellMar>
        <w:tblLook w:val="04A0" w:firstRow="1" w:lastRow="0" w:firstColumn="1" w:lastColumn="0" w:noHBand="0" w:noVBand="1"/>
      </w:tblPr>
      <w:tblGrid>
        <w:gridCol w:w="4906"/>
        <w:gridCol w:w="2364"/>
        <w:gridCol w:w="2364"/>
      </w:tblGrid>
      <w:tr w:rsidR="00CC780E" w:rsidRPr="00D152A8" w14:paraId="541F3185" w14:textId="77777777" w:rsidTr="006A2052">
        <w:trPr>
          <w:trHeight w:val="284"/>
        </w:trPr>
        <w:tc>
          <w:tcPr>
            <w:tcW w:w="4905" w:type="dxa"/>
            <w:tcBorders>
              <w:top w:val="nil"/>
              <w:left w:val="single" w:sz="4" w:space="0" w:color="FFFFFF"/>
              <w:bottom w:val="nil"/>
              <w:right w:val="single" w:sz="8" w:space="0" w:color="FFFFFF"/>
            </w:tcBorders>
            <w:shd w:val="clear" w:color="000000" w:fill="0077BD"/>
            <w:vAlign w:val="center"/>
            <w:hideMark/>
          </w:tcPr>
          <w:p w14:paraId="5F04989B" w14:textId="77777777" w:rsidR="00CC780E" w:rsidRPr="00D152A8" w:rsidRDefault="00CC780E" w:rsidP="009E1F91">
            <w:pPr>
              <w:rPr>
                <w:rFonts w:cs="Calibri"/>
                <w:b/>
                <w:bCs/>
                <w:color w:val="FFFFFF"/>
                <w:sz w:val="13"/>
                <w:szCs w:val="13"/>
              </w:rPr>
            </w:pPr>
            <w:r w:rsidRPr="00D152A8">
              <w:rPr>
                <w:rFonts w:cs="Calibri"/>
                <w:b/>
                <w:bCs/>
                <w:color w:val="FFFFFF"/>
                <w:sz w:val="13"/>
                <w:szCs w:val="13"/>
              </w:rPr>
              <w:t>Ekspozycje forborne według przeterminowania</w:t>
            </w:r>
          </w:p>
        </w:tc>
        <w:tc>
          <w:tcPr>
            <w:tcW w:w="2364" w:type="dxa"/>
            <w:tcBorders>
              <w:top w:val="nil"/>
              <w:left w:val="nil"/>
              <w:bottom w:val="nil"/>
              <w:right w:val="nil"/>
            </w:tcBorders>
            <w:shd w:val="clear" w:color="000000" w:fill="0077BD"/>
            <w:vAlign w:val="center"/>
            <w:hideMark/>
          </w:tcPr>
          <w:p w14:paraId="4E5F48DA"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31.12.2019</w:t>
            </w:r>
          </w:p>
        </w:tc>
        <w:tc>
          <w:tcPr>
            <w:tcW w:w="2364" w:type="dxa"/>
            <w:tcBorders>
              <w:top w:val="nil"/>
              <w:left w:val="single" w:sz="8" w:space="0" w:color="FFFFFF"/>
              <w:bottom w:val="nil"/>
              <w:right w:val="nil"/>
            </w:tcBorders>
            <w:shd w:val="clear" w:color="000000" w:fill="0077BD"/>
            <w:vAlign w:val="center"/>
            <w:hideMark/>
          </w:tcPr>
          <w:p w14:paraId="387AA52B"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31.12.2018</w:t>
            </w:r>
          </w:p>
        </w:tc>
      </w:tr>
      <w:tr w:rsidR="00977E53" w:rsidRPr="00D152A8" w14:paraId="712D514F" w14:textId="77777777" w:rsidTr="006A2052">
        <w:trPr>
          <w:trHeight w:val="227"/>
        </w:trPr>
        <w:tc>
          <w:tcPr>
            <w:tcW w:w="4905" w:type="dxa"/>
            <w:tcBorders>
              <w:top w:val="single" w:sz="4" w:space="0" w:color="0077BD"/>
              <w:left w:val="nil"/>
              <w:bottom w:val="single" w:sz="4" w:space="0" w:color="0077BD"/>
              <w:right w:val="single" w:sz="8" w:space="0" w:color="0077BD"/>
            </w:tcBorders>
            <w:shd w:val="clear" w:color="000000" w:fill="FFFFFF"/>
            <w:noWrap/>
            <w:vAlign w:val="center"/>
            <w:hideMark/>
          </w:tcPr>
          <w:p w14:paraId="4BBB9F6C"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Nieprzeterminowane</w:t>
            </w:r>
          </w:p>
        </w:tc>
        <w:tc>
          <w:tcPr>
            <w:tcW w:w="2364" w:type="dxa"/>
            <w:tcBorders>
              <w:top w:val="single" w:sz="4" w:space="0" w:color="0077BD"/>
              <w:left w:val="nil"/>
              <w:bottom w:val="single" w:sz="4" w:space="0" w:color="0077BD"/>
              <w:right w:val="single" w:sz="8" w:space="0" w:color="0077BD"/>
            </w:tcBorders>
            <w:shd w:val="clear" w:color="auto" w:fill="auto"/>
            <w:noWrap/>
            <w:vAlign w:val="center"/>
          </w:tcPr>
          <w:p w14:paraId="77DFBF7B" w14:textId="11450412" w:rsidR="00CC780E" w:rsidRPr="00D152A8" w:rsidRDefault="001005F6" w:rsidP="009E1F91">
            <w:pPr>
              <w:jc w:val="right"/>
              <w:rPr>
                <w:rFonts w:cs="Calibri"/>
                <w:color w:val="000000" w:themeColor="text1"/>
                <w:sz w:val="13"/>
                <w:szCs w:val="13"/>
              </w:rPr>
            </w:pPr>
            <w:r w:rsidRPr="00D152A8">
              <w:rPr>
                <w:rFonts w:cs="Calibri"/>
                <w:color w:val="000000" w:themeColor="text1"/>
                <w:sz w:val="13"/>
                <w:szCs w:val="13"/>
              </w:rPr>
              <w:t>1 071 540</w:t>
            </w:r>
          </w:p>
        </w:tc>
        <w:tc>
          <w:tcPr>
            <w:tcW w:w="2364" w:type="dxa"/>
            <w:tcBorders>
              <w:top w:val="single" w:sz="4" w:space="0" w:color="0077BD"/>
              <w:left w:val="nil"/>
              <w:bottom w:val="single" w:sz="4" w:space="0" w:color="0077BD"/>
              <w:right w:val="nil"/>
            </w:tcBorders>
            <w:shd w:val="clear" w:color="auto" w:fill="auto"/>
            <w:noWrap/>
            <w:vAlign w:val="center"/>
          </w:tcPr>
          <w:p w14:paraId="5DC1DC4D" w14:textId="7A9B03B4" w:rsidR="00CC780E" w:rsidRPr="00D152A8" w:rsidRDefault="007A4808" w:rsidP="009E1F91">
            <w:pPr>
              <w:jc w:val="right"/>
              <w:rPr>
                <w:rFonts w:cs="Calibri"/>
                <w:color w:val="000000" w:themeColor="text1"/>
                <w:sz w:val="13"/>
                <w:szCs w:val="13"/>
              </w:rPr>
            </w:pPr>
            <w:r w:rsidRPr="00D152A8">
              <w:rPr>
                <w:rFonts w:cs="Calibri"/>
                <w:color w:val="000000" w:themeColor="text1"/>
                <w:sz w:val="13"/>
                <w:szCs w:val="13"/>
              </w:rPr>
              <w:t>785 376</w:t>
            </w:r>
          </w:p>
        </w:tc>
      </w:tr>
      <w:tr w:rsidR="00977E53" w:rsidRPr="00D152A8" w14:paraId="048FAE8C" w14:textId="77777777" w:rsidTr="006A2052">
        <w:trPr>
          <w:trHeight w:val="227"/>
        </w:trPr>
        <w:tc>
          <w:tcPr>
            <w:tcW w:w="4905" w:type="dxa"/>
            <w:tcBorders>
              <w:top w:val="nil"/>
              <w:left w:val="nil"/>
              <w:bottom w:val="single" w:sz="4" w:space="0" w:color="0077BD"/>
              <w:right w:val="single" w:sz="8" w:space="0" w:color="0077BD"/>
            </w:tcBorders>
            <w:shd w:val="clear" w:color="000000" w:fill="FFFFFF"/>
            <w:noWrap/>
            <w:vAlign w:val="center"/>
            <w:hideMark/>
          </w:tcPr>
          <w:p w14:paraId="72952DA5"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do 30 dni</w:t>
            </w:r>
          </w:p>
        </w:tc>
        <w:tc>
          <w:tcPr>
            <w:tcW w:w="2364" w:type="dxa"/>
            <w:tcBorders>
              <w:top w:val="nil"/>
              <w:left w:val="nil"/>
              <w:bottom w:val="single" w:sz="4" w:space="0" w:color="0077BD"/>
              <w:right w:val="single" w:sz="8" w:space="0" w:color="0077BD"/>
            </w:tcBorders>
            <w:shd w:val="clear" w:color="auto" w:fill="auto"/>
            <w:noWrap/>
            <w:vAlign w:val="center"/>
          </w:tcPr>
          <w:p w14:paraId="60050D26" w14:textId="27C65C03" w:rsidR="00CC780E" w:rsidRPr="00D152A8" w:rsidRDefault="001005F6" w:rsidP="009E1F91">
            <w:pPr>
              <w:jc w:val="right"/>
              <w:rPr>
                <w:rFonts w:cs="Calibri"/>
                <w:color w:val="000000" w:themeColor="text1"/>
                <w:sz w:val="13"/>
                <w:szCs w:val="13"/>
              </w:rPr>
            </w:pPr>
            <w:r w:rsidRPr="00D152A8">
              <w:rPr>
                <w:rFonts w:cs="Calibri"/>
                <w:color w:val="000000" w:themeColor="text1"/>
                <w:sz w:val="13"/>
                <w:szCs w:val="13"/>
              </w:rPr>
              <w:t>176 597</w:t>
            </w:r>
          </w:p>
        </w:tc>
        <w:tc>
          <w:tcPr>
            <w:tcW w:w="2364" w:type="dxa"/>
            <w:tcBorders>
              <w:top w:val="nil"/>
              <w:left w:val="nil"/>
              <w:bottom w:val="single" w:sz="4" w:space="0" w:color="0077BD"/>
              <w:right w:val="nil"/>
            </w:tcBorders>
            <w:shd w:val="clear" w:color="auto" w:fill="auto"/>
            <w:noWrap/>
            <w:vAlign w:val="center"/>
          </w:tcPr>
          <w:p w14:paraId="3CD64E89" w14:textId="18CCCCDA" w:rsidR="00CC780E" w:rsidRPr="00D152A8" w:rsidRDefault="007A4808" w:rsidP="009E1F91">
            <w:pPr>
              <w:jc w:val="right"/>
              <w:rPr>
                <w:rFonts w:cs="Calibri"/>
                <w:color w:val="000000" w:themeColor="text1"/>
                <w:sz w:val="13"/>
                <w:szCs w:val="13"/>
              </w:rPr>
            </w:pPr>
            <w:r w:rsidRPr="00D152A8">
              <w:rPr>
                <w:rFonts w:cs="Calibri"/>
                <w:color w:val="000000" w:themeColor="text1"/>
                <w:sz w:val="13"/>
                <w:szCs w:val="13"/>
              </w:rPr>
              <w:t>209 224</w:t>
            </w:r>
          </w:p>
        </w:tc>
      </w:tr>
      <w:tr w:rsidR="00977E53" w:rsidRPr="00D152A8" w14:paraId="6C032D7B" w14:textId="77777777" w:rsidTr="006A2052">
        <w:trPr>
          <w:trHeight w:val="227"/>
        </w:trPr>
        <w:tc>
          <w:tcPr>
            <w:tcW w:w="4905" w:type="dxa"/>
            <w:tcBorders>
              <w:top w:val="nil"/>
              <w:left w:val="nil"/>
              <w:bottom w:val="single" w:sz="4" w:space="0" w:color="0077BD"/>
              <w:right w:val="single" w:sz="8" w:space="0" w:color="0077BD"/>
            </w:tcBorders>
            <w:shd w:val="clear" w:color="000000" w:fill="FFFFFF"/>
            <w:noWrap/>
            <w:vAlign w:val="center"/>
            <w:hideMark/>
          </w:tcPr>
          <w:p w14:paraId="1727DCFF"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od 31 dni do 90 dni</w:t>
            </w:r>
          </w:p>
        </w:tc>
        <w:tc>
          <w:tcPr>
            <w:tcW w:w="2364" w:type="dxa"/>
            <w:tcBorders>
              <w:top w:val="nil"/>
              <w:left w:val="nil"/>
              <w:bottom w:val="single" w:sz="4" w:space="0" w:color="0077BD"/>
              <w:right w:val="single" w:sz="8" w:space="0" w:color="0077BD"/>
            </w:tcBorders>
            <w:shd w:val="clear" w:color="auto" w:fill="auto"/>
            <w:noWrap/>
            <w:vAlign w:val="center"/>
          </w:tcPr>
          <w:p w14:paraId="6F55D596" w14:textId="6B458C55" w:rsidR="00CC780E" w:rsidRPr="00D152A8" w:rsidRDefault="001005F6" w:rsidP="009E1F91">
            <w:pPr>
              <w:jc w:val="right"/>
              <w:rPr>
                <w:rFonts w:cs="Calibri"/>
                <w:color w:val="000000" w:themeColor="text1"/>
                <w:sz w:val="13"/>
                <w:szCs w:val="13"/>
              </w:rPr>
            </w:pPr>
            <w:r w:rsidRPr="00D152A8">
              <w:rPr>
                <w:rFonts w:cs="Calibri"/>
                <w:color w:val="000000" w:themeColor="text1"/>
                <w:sz w:val="13"/>
                <w:szCs w:val="13"/>
              </w:rPr>
              <w:t>73 577</w:t>
            </w:r>
          </w:p>
        </w:tc>
        <w:tc>
          <w:tcPr>
            <w:tcW w:w="2364" w:type="dxa"/>
            <w:tcBorders>
              <w:top w:val="nil"/>
              <w:left w:val="nil"/>
              <w:bottom w:val="single" w:sz="4" w:space="0" w:color="0077BD"/>
              <w:right w:val="nil"/>
            </w:tcBorders>
            <w:shd w:val="clear" w:color="auto" w:fill="auto"/>
            <w:noWrap/>
            <w:vAlign w:val="center"/>
          </w:tcPr>
          <w:p w14:paraId="4AEFC91D" w14:textId="090F0A9F" w:rsidR="00CC780E" w:rsidRPr="00D152A8" w:rsidRDefault="007A4808" w:rsidP="009E1F91">
            <w:pPr>
              <w:jc w:val="right"/>
              <w:rPr>
                <w:rFonts w:cs="Calibri"/>
                <w:color w:val="000000" w:themeColor="text1"/>
                <w:sz w:val="13"/>
                <w:szCs w:val="13"/>
              </w:rPr>
            </w:pPr>
            <w:r w:rsidRPr="00D152A8">
              <w:rPr>
                <w:rFonts w:cs="Calibri"/>
                <w:color w:val="000000" w:themeColor="text1"/>
                <w:sz w:val="13"/>
                <w:szCs w:val="13"/>
              </w:rPr>
              <w:t>88 199</w:t>
            </w:r>
          </w:p>
        </w:tc>
      </w:tr>
      <w:tr w:rsidR="00977E53" w:rsidRPr="00D152A8" w14:paraId="27D9EB26" w14:textId="77777777" w:rsidTr="006A2052">
        <w:trPr>
          <w:trHeight w:val="227"/>
        </w:trPr>
        <w:tc>
          <w:tcPr>
            <w:tcW w:w="4905" w:type="dxa"/>
            <w:tcBorders>
              <w:top w:val="nil"/>
              <w:left w:val="nil"/>
              <w:bottom w:val="single" w:sz="8" w:space="0" w:color="0077BD"/>
              <w:right w:val="single" w:sz="8" w:space="0" w:color="0077BD"/>
            </w:tcBorders>
            <w:shd w:val="clear" w:color="000000" w:fill="FFFFFF"/>
            <w:noWrap/>
            <w:vAlign w:val="center"/>
            <w:hideMark/>
          </w:tcPr>
          <w:p w14:paraId="50F4C09E"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powyżej 90 dni</w:t>
            </w:r>
          </w:p>
        </w:tc>
        <w:tc>
          <w:tcPr>
            <w:tcW w:w="2364" w:type="dxa"/>
            <w:tcBorders>
              <w:top w:val="nil"/>
              <w:left w:val="nil"/>
              <w:bottom w:val="single" w:sz="8" w:space="0" w:color="0077BD"/>
              <w:right w:val="single" w:sz="8" w:space="0" w:color="0077BD"/>
            </w:tcBorders>
            <w:shd w:val="clear" w:color="auto" w:fill="auto"/>
            <w:noWrap/>
            <w:vAlign w:val="center"/>
          </w:tcPr>
          <w:p w14:paraId="588E4DD4" w14:textId="47E3F866" w:rsidR="00CC780E" w:rsidRPr="00D152A8" w:rsidRDefault="001005F6" w:rsidP="009E1F91">
            <w:pPr>
              <w:jc w:val="right"/>
              <w:rPr>
                <w:rFonts w:cs="Calibri"/>
                <w:color w:val="000000" w:themeColor="text1"/>
                <w:sz w:val="13"/>
                <w:szCs w:val="13"/>
              </w:rPr>
            </w:pPr>
            <w:r w:rsidRPr="00D152A8">
              <w:rPr>
                <w:rFonts w:cs="Calibri"/>
                <w:color w:val="000000" w:themeColor="text1"/>
                <w:sz w:val="13"/>
                <w:szCs w:val="13"/>
              </w:rPr>
              <w:t>294 523</w:t>
            </w:r>
          </w:p>
        </w:tc>
        <w:tc>
          <w:tcPr>
            <w:tcW w:w="2364" w:type="dxa"/>
            <w:tcBorders>
              <w:top w:val="nil"/>
              <w:left w:val="nil"/>
              <w:bottom w:val="single" w:sz="8" w:space="0" w:color="0077BD"/>
              <w:right w:val="nil"/>
            </w:tcBorders>
            <w:shd w:val="clear" w:color="auto" w:fill="auto"/>
            <w:noWrap/>
            <w:vAlign w:val="center"/>
          </w:tcPr>
          <w:p w14:paraId="664CB573" w14:textId="2A34BC12" w:rsidR="00CC780E" w:rsidRPr="00D152A8" w:rsidRDefault="007A4808" w:rsidP="009E1F91">
            <w:pPr>
              <w:jc w:val="right"/>
              <w:rPr>
                <w:rFonts w:cs="Calibri"/>
                <w:color w:val="000000" w:themeColor="text1"/>
                <w:sz w:val="13"/>
                <w:szCs w:val="13"/>
              </w:rPr>
            </w:pPr>
            <w:r w:rsidRPr="00D152A8">
              <w:rPr>
                <w:rFonts w:cs="Calibri"/>
                <w:color w:val="000000" w:themeColor="text1"/>
                <w:sz w:val="13"/>
                <w:szCs w:val="13"/>
              </w:rPr>
              <w:t>293 881</w:t>
            </w:r>
          </w:p>
        </w:tc>
      </w:tr>
      <w:tr w:rsidR="00977E53" w:rsidRPr="00D152A8" w14:paraId="596F7AAA" w14:textId="77777777" w:rsidTr="006A2052">
        <w:trPr>
          <w:trHeight w:val="227"/>
        </w:trPr>
        <w:tc>
          <w:tcPr>
            <w:tcW w:w="4905" w:type="dxa"/>
            <w:tcBorders>
              <w:top w:val="nil"/>
              <w:left w:val="nil"/>
              <w:bottom w:val="single" w:sz="8" w:space="0" w:color="0077BD"/>
              <w:right w:val="single" w:sz="8" w:space="0" w:color="0077BD"/>
            </w:tcBorders>
            <w:shd w:val="clear" w:color="000000" w:fill="FFFFFF"/>
            <w:noWrap/>
            <w:vAlign w:val="center"/>
            <w:hideMark/>
          </w:tcPr>
          <w:p w14:paraId="6E1ED9A2" w14:textId="77777777" w:rsidR="00CC780E" w:rsidRPr="00D152A8" w:rsidRDefault="00CC780E" w:rsidP="009E1F91">
            <w:pPr>
              <w:rPr>
                <w:rFonts w:cs="Calibri"/>
                <w:b/>
                <w:bCs/>
                <w:color w:val="000000" w:themeColor="text1"/>
                <w:sz w:val="13"/>
                <w:szCs w:val="13"/>
              </w:rPr>
            </w:pPr>
            <w:r w:rsidRPr="00D152A8">
              <w:rPr>
                <w:rFonts w:cs="Calibri"/>
                <w:b/>
                <w:bCs/>
                <w:color w:val="000000" w:themeColor="text1"/>
                <w:sz w:val="13"/>
                <w:szCs w:val="13"/>
              </w:rPr>
              <w:t>Razem</w:t>
            </w:r>
          </w:p>
        </w:tc>
        <w:tc>
          <w:tcPr>
            <w:tcW w:w="2364" w:type="dxa"/>
            <w:tcBorders>
              <w:top w:val="nil"/>
              <w:left w:val="nil"/>
              <w:bottom w:val="single" w:sz="8" w:space="0" w:color="0077BD"/>
              <w:right w:val="single" w:sz="8" w:space="0" w:color="0077BD"/>
            </w:tcBorders>
            <w:shd w:val="clear" w:color="auto" w:fill="auto"/>
            <w:noWrap/>
            <w:vAlign w:val="center"/>
          </w:tcPr>
          <w:p w14:paraId="30900AF9" w14:textId="575A9100" w:rsidR="00CC780E" w:rsidRPr="00D152A8" w:rsidRDefault="001005F6" w:rsidP="009E1F91">
            <w:pPr>
              <w:jc w:val="right"/>
              <w:rPr>
                <w:rFonts w:cs="Calibri"/>
                <w:b/>
                <w:bCs/>
                <w:color w:val="000000" w:themeColor="text1"/>
                <w:sz w:val="13"/>
                <w:szCs w:val="13"/>
              </w:rPr>
            </w:pPr>
            <w:r w:rsidRPr="00D152A8">
              <w:rPr>
                <w:rFonts w:cs="Calibri"/>
                <w:b/>
                <w:bCs/>
                <w:color w:val="000000" w:themeColor="text1"/>
                <w:sz w:val="13"/>
                <w:szCs w:val="13"/>
              </w:rPr>
              <w:t>1 616 237</w:t>
            </w:r>
          </w:p>
        </w:tc>
        <w:tc>
          <w:tcPr>
            <w:tcW w:w="2364" w:type="dxa"/>
            <w:tcBorders>
              <w:top w:val="nil"/>
              <w:left w:val="nil"/>
              <w:bottom w:val="single" w:sz="8" w:space="0" w:color="0077BD"/>
              <w:right w:val="nil"/>
            </w:tcBorders>
            <w:shd w:val="clear" w:color="auto" w:fill="auto"/>
            <w:noWrap/>
            <w:vAlign w:val="center"/>
          </w:tcPr>
          <w:p w14:paraId="2101B452" w14:textId="058215CB" w:rsidR="00CC780E" w:rsidRPr="00D152A8" w:rsidRDefault="007A4808" w:rsidP="009E1F91">
            <w:pPr>
              <w:jc w:val="right"/>
              <w:rPr>
                <w:rFonts w:cs="Calibri"/>
                <w:b/>
                <w:bCs/>
                <w:color w:val="000000" w:themeColor="text1"/>
                <w:sz w:val="13"/>
                <w:szCs w:val="13"/>
              </w:rPr>
            </w:pPr>
            <w:r w:rsidRPr="00D152A8">
              <w:rPr>
                <w:rFonts w:cs="Calibri"/>
                <w:b/>
                <w:bCs/>
                <w:color w:val="000000" w:themeColor="text1"/>
                <w:sz w:val="13"/>
                <w:szCs w:val="13"/>
              </w:rPr>
              <w:t>1 376 680</w:t>
            </w:r>
          </w:p>
        </w:tc>
      </w:tr>
    </w:tbl>
    <w:p w14:paraId="47C3F17B" w14:textId="77777777" w:rsidR="00043DAA" w:rsidRDefault="00043DAA">
      <w:pPr>
        <w:rPr>
          <w:rFonts w:eastAsia="Calibri" w:cs="Verdana"/>
          <w:color w:val="000000" w:themeColor="text1"/>
          <w:sz w:val="18"/>
          <w:szCs w:val="18"/>
          <w:lang w:eastAsia="en-US"/>
        </w:rPr>
      </w:pPr>
      <w:r>
        <w:rPr>
          <w:rFonts w:eastAsia="Calibri" w:cs="Verdana"/>
          <w:color w:val="000000" w:themeColor="text1"/>
          <w:sz w:val="18"/>
          <w:szCs w:val="18"/>
          <w:lang w:eastAsia="en-US"/>
        </w:rPr>
        <w:br w:type="page"/>
      </w:r>
    </w:p>
    <w:tbl>
      <w:tblPr>
        <w:tblW w:w="9488" w:type="dxa"/>
        <w:tblLayout w:type="fixed"/>
        <w:tblCellMar>
          <w:left w:w="28" w:type="dxa"/>
          <w:right w:w="28" w:type="dxa"/>
        </w:tblCellMar>
        <w:tblLook w:val="04A0" w:firstRow="1" w:lastRow="0" w:firstColumn="1" w:lastColumn="0" w:noHBand="0" w:noVBand="1"/>
      </w:tblPr>
      <w:tblGrid>
        <w:gridCol w:w="4830"/>
        <w:gridCol w:w="2329"/>
        <w:gridCol w:w="2329"/>
      </w:tblGrid>
      <w:tr w:rsidR="00CC780E" w:rsidRPr="00D152A8" w14:paraId="1B893C40" w14:textId="77777777" w:rsidTr="00BA0DCC">
        <w:trPr>
          <w:trHeight w:val="284"/>
        </w:trPr>
        <w:tc>
          <w:tcPr>
            <w:tcW w:w="4905" w:type="dxa"/>
            <w:tcBorders>
              <w:top w:val="nil"/>
              <w:left w:val="single" w:sz="8" w:space="0" w:color="FFFFFF"/>
              <w:bottom w:val="nil"/>
              <w:right w:val="single" w:sz="8" w:space="0" w:color="FFFFFF"/>
            </w:tcBorders>
            <w:shd w:val="clear" w:color="000000" w:fill="0077BD"/>
            <w:vAlign w:val="center"/>
            <w:hideMark/>
          </w:tcPr>
          <w:p w14:paraId="527176AA" w14:textId="77777777" w:rsidR="00CC780E" w:rsidRPr="00D152A8" w:rsidRDefault="00CC780E" w:rsidP="009E1F91">
            <w:pPr>
              <w:rPr>
                <w:rFonts w:cs="Calibri"/>
                <w:b/>
                <w:bCs/>
                <w:color w:val="FFFFFF"/>
                <w:sz w:val="13"/>
                <w:szCs w:val="13"/>
              </w:rPr>
            </w:pPr>
            <w:r w:rsidRPr="00D152A8">
              <w:rPr>
                <w:rFonts w:cs="Calibri"/>
                <w:b/>
                <w:bCs/>
                <w:color w:val="FFFFFF"/>
                <w:sz w:val="13"/>
                <w:szCs w:val="13"/>
              </w:rPr>
              <w:lastRenderedPageBreak/>
              <w:t>Ekspozycje forborne według struktury branżowej</w:t>
            </w:r>
          </w:p>
        </w:tc>
        <w:tc>
          <w:tcPr>
            <w:tcW w:w="2364" w:type="dxa"/>
            <w:tcBorders>
              <w:top w:val="nil"/>
              <w:left w:val="nil"/>
              <w:bottom w:val="nil"/>
              <w:right w:val="nil"/>
            </w:tcBorders>
            <w:shd w:val="clear" w:color="000000" w:fill="0077BD"/>
            <w:vAlign w:val="center"/>
            <w:hideMark/>
          </w:tcPr>
          <w:p w14:paraId="65E2454D"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31.12.2019</w:t>
            </w:r>
          </w:p>
        </w:tc>
        <w:tc>
          <w:tcPr>
            <w:tcW w:w="2364" w:type="dxa"/>
            <w:tcBorders>
              <w:top w:val="nil"/>
              <w:left w:val="single" w:sz="8" w:space="0" w:color="FFFFFF"/>
              <w:bottom w:val="nil"/>
              <w:right w:val="nil"/>
            </w:tcBorders>
            <w:shd w:val="clear" w:color="000000" w:fill="0077BD"/>
            <w:vAlign w:val="center"/>
            <w:hideMark/>
          </w:tcPr>
          <w:p w14:paraId="34898A3E" w14:textId="77777777" w:rsidR="00CC780E" w:rsidRPr="00D152A8" w:rsidRDefault="00CC780E" w:rsidP="00D152A8">
            <w:pPr>
              <w:jc w:val="right"/>
              <w:rPr>
                <w:rFonts w:cs="Calibri"/>
                <w:b/>
                <w:bCs/>
                <w:color w:val="FFFFFF"/>
                <w:sz w:val="13"/>
                <w:szCs w:val="13"/>
              </w:rPr>
            </w:pPr>
            <w:r w:rsidRPr="00D152A8">
              <w:rPr>
                <w:rFonts w:cs="Calibri"/>
                <w:b/>
                <w:bCs/>
                <w:color w:val="FFFFFF"/>
                <w:sz w:val="13"/>
                <w:szCs w:val="13"/>
              </w:rPr>
              <w:t>31.12.2018</w:t>
            </w:r>
          </w:p>
        </w:tc>
      </w:tr>
      <w:tr w:rsidR="002F1666" w:rsidRPr="00D152A8" w14:paraId="0A0A58A1"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7AD920EA" w14:textId="1A16DF32" w:rsidR="002F1666" w:rsidRPr="00D152A8" w:rsidRDefault="002F1666" w:rsidP="002F1666">
            <w:pPr>
              <w:rPr>
                <w:rFonts w:cs="Calibri"/>
                <w:color w:val="000000" w:themeColor="text1"/>
                <w:sz w:val="13"/>
                <w:szCs w:val="13"/>
              </w:rPr>
            </w:pPr>
            <w:r w:rsidRPr="00D152A8">
              <w:rPr>
                <w:rFonts w:cs="Calibri"/>
                <w:color w:val="000000" w:themeColor="text1"/>
                <w:sz w:val="13"/>
                <w:szCs w:val="13"/>
              </w:rPr>
              <w:t>Osoby fizyczne</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76D09DA7" w14:textId="2DE71AFD"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609 040</w:t>
            </w:r>
          </w:p>
        </w:tc>
        <w:tc>
          <w:tcPr>
            <w:tcW w:w="2364" w:type="dxa"/>
            <w:tcBorders>
              <w:top w:val="single" w:sz="4" w:space="0" w:color="0077BD"/>
              <w:left w:val="nil"/>
              <w:bottom w:val="single" w:sz="4" w:space="0" w:color="0077BD"/>
              <w:right w:val="nil"/>
            </w:tcBorders>
            <w:shd w:val="clear" w:color="auto" w:fill="auto"/>
            <w:noWrap/>
            <w:vAlign w:val="center"/>
          </w:tcPr>
          <w:p w14:paraId="3C3CF832" w14:textId="16032CC3"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683 604</w:t>
            </w:r>
          </w:p>
        </w:tc>
      </w:tr>
      <w:tr w:rsidR="002F1666" w:rsidRPr="00D152A8" w14:paraId="0A83AB64"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49F6D062" w14:textId="395B18CE" w:rsidR="002F1666" w:rsidRPr="00D152A8" w:rsidRDefault="002F1666" w:rsidP="002F1666">
            <w:pPr>
              <w:rPr>
                <w:rFonts w:cs="Calibri"/>
                <w:color w:val="000000" w:themeColor="text1"/>
                <w:sz w:val="13"/>
                <w:szCs w:val="13"/>
              </w:rPr>
            </w:pPr>
            <w:r w:rsidRPr="00D152A8">
              <w:rPr>
                <w:rFonts w:cs="Calibri"/>
                <w:color w:val="000000" w:themeColor="text1"/>
                <w:sz w:val="13"/>
                <w:szCs w:val="13"/>
              </w:rPr>
              <w:t>Budownictwo</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1CA52CC6" w14:textId="12D8E7F2"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195 145</w:t>
            </w:r>
          </w:p>
        </w:tc>
        <w:tc>
          <w:tcPr>
            <w:tcW w:w="2364" w:type="dxa"/>
            <w:tcBorders>
              <w:top w:val="nil"/>
              <w:left w:val="nil"/>
              <w:bottom w:val="single" w:sz="4" w:space="0" w:color="0077BD"/>
              <w:right w:val="nil"/>
            </w:tcBorders>
            <w:shd w:val="clear" w:color="auto" w:fill="auto"/>
            <w:noWrap/>
            <w:vAlign w:val="center"/>
          </w:tcPr>
          <w:p w14:paraId="07B3745C" w14:textId="2646DDBF"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159 560</w:t>
            </w:r>
          </w:p>
        </w:tc>
      </w:tr>
      <w:tr w:rsidR="002F1666" w:rsidRPr="00D152A8" w14:paraId="6B3FDC00"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7852D71E" w14:textId="3F15949F" w:rsidR="002F1666" w:rsidRPr="00D152A8" w:rsidRDefault="002F1666" w:rsidP="002F1666">
            <w:pPr>
              <w:rPr>
                <w:rFonts w:cs="Calibri"/>
                <w:color w:val="000000" w:themeColor="text1"/>
                <w:sz w:val="13"/>
                <w:szCs w:val="13"/>
              </w:rPr>
            </w:pPr>
            <w:r w:rsidRPr="00D152A8">
              <w:rPr>
                <w:rFonts w:cs="Calibri"/>
                <w:color w:val="000000" w:themeColor="text1"/>
                <w:sz w:val="13"/>
                <w:szCs w:val="13"/>
              </w:rPr>
              <w:t>Obsługa rynku nieruchomości</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1D139828" w14:textId="07B5B006"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148 249</w:t>
            </w:r>
          </w:p>
        </w:tc>
        <w:tc>
          <w:tcPr>
            <w:tcW w:w="2364" w:type="dxa"/>
            <w:tcBorders>
              <w:top w:val="nil"/>
              <w:left w:val="nil"/>
              <w:bottom w:val="single" w:sz="4" w:space="0" w:color="0077BD"/>
              <w:right w:val="nil"/>
            </w:tcBorders>
            <w:shd w:val="clear" w:color="auto" w:fill="auto"/>
            <w:noWrap/>
            <w:vAlign w:val="center"/>
          </w:tcPr>
          <w:p w14:paraId="13C0EC8F" w14:textId="602E7C2B"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145 772</w:t>
            </w:r>
          </w:p>
        </w:tc>
      </w:tr>
      <w:tr w:rsidR="002F1666" w:rsidRPr="00D152A8" w14:paraId="6E055D90"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0BE7D2BB" w14:textId="7FD6E20B" w:rsidR="002F1666" w:rsidRPr="00D152A8" w:rsidRDefault="002F1666" w:rsidP="002F1666">
            <w:pPr>
              <w:rPr>
                <w:rFonts w:cs="Calibri"/>
                <w:color w:val="000000" w:themeColor="text1"/>
                <w:sz w:val="13"/>
                <w:szCs w:val="13"/>
              </w:rPr>
            </w:pPr>
            <w:r w:rsidRPr="00D152A8">
              <w:rPr>
                <w:rFonts w:cs="Calibri"/>
                <w:color w:val="000000" w:themeColor="text1"/>
                <w:sz w:val="13"/>
                <w:szCs w:val="13"/>
              </w:rPr>
              <w:t>Działalność profesjonalna</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578C049B" w14:textId="725E5AFB"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103 741</w:t>
            </w:r>
          </w:p>
        </w:tc>
        <w:tc>
          <w:tcPr>
            <w:tcW w:w="2364" w:type="dxa"/>
            <w:tcBorders>
              <w:top w:val="nil"/>
              <w:left w:val="nil"/>
              <w:bottom w:val="single" w:sz="4" w:space="0" w:color="0077BD"/>
              <w:right w:val="nil"/>
            </w:tcBorders>
            <w:shd w:val="clear" w:color="auto" w:fill="auto"/>
            <w:noWrap/>
            <w:vAlign w:val="center"/>
          </w:tcPr>
          <w:p w14:paraId="3199A2C0" w14:textId="28D53576"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5 123</w:t>
            </w:r>
          </w:p>
        </w:tc>
      </w:tr>
      <w:tr w:rsidR="002F1666" w:rsidRPr="00D152A8" w14:paraId="1E1DAFF9"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5EE357E5" w14:textId="3E627A40" w:rsidR="002F1666" w:rsidRPr="00D152A8" w:rsidRDefault="002F1666" w:rsidP="002F1666">
            <w:pPr>
              <w:rPr>
                <w:rFonts w:cs="Calibri"/>
                <w:color w:val="000000" w:themeColor="text1"/>
                <w:sz w:val="13"/>
                <w:szCs w:val="13"/>
              </w:rPr>
            </w:pPr>
            <w:r w:rsidRPr="00D152A8">
              <w:rPr>
                <w:rFonts w:cs="Calibri"/>
                <w:color w:val="000000" w:themeColor="text1"/>
                <w:sz w:val="13"/>
                <w:szCs w:val="13"/>
              </w:rPr>
              <w:t>Branża finansowa</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52AFCC53" w14:textId="1670C776"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101 841</w:t>
            </w:r>
          </w:p>
        </w:tc>
        <w:tc>
          <w:tcPr>
            <w:tcW w:w="2364" w:type="dxa"/>
            <w:tcBorders>
              <w:top w:val="nil"/>
              <w:left w:val="nil"/>
              <w:bottom w:val="single" w:sz="4" w:space="0" w:color="0077BD"/>
              <w:right w:val="nil"/>
            </w:tcBorders>
            <w:shd w:val="clear" w:color="auto" w:fill="auto"/>
            <w:noWrap/>
            <w:vAlign w:val="center"/>
          </w:tcPr>
          <w:p w14:paraId="3D3E67B7" w14:textId="7FA0BA4D"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34 087</w:t>
            </w:r>
          </w:p>
        </w:tc>
      </w:tr>
      <w:tr w:rsidR="002F1666" w:rsidRPr="00D152A8" w14:paraId="34DDCBDF"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73F4AAC9" w14:textId="2535DBDA" w:rsidR="002F1666" w:rsidRPr="00D152A8" w:rsidRDefault="002F1666" w:rsidP="002F1666">
            <w:pPr>
              <w:rPr>
                <w:rFonts w:cs="Calibri"/>
                <w:color w:val="000000" w:themeColor="text1"/>
                <w:sz w:val="13"/>
                <w:szCs w:val="13"/>
              </w:rPr>
            </w:pPr>
            <w:r w:rsidRPr="00D152A8">
              <w:rPr>
                <w:rFonts w:cs="Calibri"/>
                <w:color w:val="000000" w:themeColor="text1"/>
                <w:sz w:val="13"/>
                <w:szCs w:val="13"/>
              </w:rPr>
              <w:t>Branża spożywcza</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0C48DE3A" w14:textId="54182444"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86 417</w:t>
            </w:r>
          </w:p>
        </w:tc>
        <w:tc>
          <w:tcPr>
            <w:tcW w:w="2364" w:type="dxa"/>
            <w:tcBorders>
              <w:top w:val="nil"/>
              <w:left w:val="nil"/>
              <w:bottom w:val="single" w:sz="4" w:space="0" w:color="0077BD"/>
              <w:right w:val="nil"/>
            </w:tcBorders>
            <w:shd w:val="clear" w:color="auto" w:fill="auto"/>
            <w:noWrap/>
            <w:vAlign w:val="center"/>
          </w:tcPr>
          <w:p w14:paraId="62821EA0" w14:textId="3D342E21"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45 162</w:t>
            </w:r>
          </w:p>
        </w:tc>
      </w:tr>
      <w:tr w:rsidR="002F1666" w:rsidRPr="00D152A8" w14:paraId="11B4938B"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3BE30B7E" w14:textId="3F0EA3AB" w:rsidR="002F1666" w:rsidRPr="00D152A8" w:rsidRDefault="002F1666" w:rsidP="002F1666">
            <w:pPr>
              <w:rPr>
                <w:rFonts w:cs="Calibri"/>
                <w:color w:val="000000" w:themeColor="text1"/>
                <w:sz w:val="13"/>
                <w:szCs w:val="13"/>
              </w:rPr>
            </w:pPr>
            <w:r w:rsidRPr="00D152A8">
              <w:rPr>
                <w:rFonts w:cs="Calibri"/>
                <w:color w:val="000000" w:themeColor="text1"/>
                <w:sz w:val="13"/>
                <w:szCs w:val="13"/>
              </w:rPr>
              <w:t>Tkaniny i odzież</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103CC6AE" w14:textId="15DA7145"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65 377</w:t>
            </w:r>
          </w:p>
        </w:tc>
        <w:tc>
          <w:tcPr>
            <w:tcW w:w="2364" w:type="dxa"/>
            <w:tcBorders>
              <w:top w:val="nil"/>
              <w:left w:val="nil"/>
              <w:bottom w:val="single" w:sz="4" w:space="0" w:color="0077BD"/>
              <w:right w:val="nil"/>
            </w:tcBorders>
            <w:shd w:val="clear" w:color="auto" w:fill="auto"/>
            <w:noWrap/>
            <w:vAlign w:val="center"/>
          </w:tcPr>
          <w:p w14:paraId="069EB5E4" w14:textId="78383044"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4 338</w:t>
            </w:r>
          </w:p>
        </w:tc>
      </w:tr>
      <w:tr w:rsidR="002F1666" w:rsidRPr="00D152A8" w14:paraId="10FEAA73"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578CF950" w14:textId="61816512" w:rsidR="002F1666" w:rsidRPr="00D152A8" w:rsidRDefault="002F1666" w:rsidP="002F1666">
            <w:pPr>
              <w:rPr>
                <w:rFonts w:cs="Calibri"/>
                <w:color w:val="000000" w:themeColor="text1"/>
                <w:sz w:val="13"/>
                <w:szCs w:val="13"/>
              </w:rPr>
            </w:pPr>
            <w:r w:rsidRPr="00D152A8">
              <w:rPr>
                <w:rFonts w:cs="Calibri"/>
                <w:color w:val="000000" w:themeColor="text1"/>
                <w:sz w:val="13"/>
                <w:szCs w:val="13"/>
              </w:rPr>
              <w:t>Transport i logistyka</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56454648" w14:textId="1EA0967E"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62 130</w:t>
            </w:r>
          </w:p>
        </w:tc>
        <w:tc>
          <w:tcPr>
            <w:tcW w:w="2364" w:type="dxa"/>
            <w:tcBorders>
              <w:top w:val="nil"/>
              <w:left w:val="nil"/>
              <w:bottom w:val="single" w:sz="4" w:space="0" w:color="0077BD"/>
              <w:right w:val="nil"/>
            </w:tcBorders>
            <w:shd w:val="clear" w:color="auto" w:fill="auto"/>
            <w:noWrap/>
            <w:vAlign w:val="center"/>
          </w:tcPr>
          <w:p w14:paraId="3AA6184A" w14:textId="11BA27EF"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14 891</w:t>
            </w:r>
          </w:p>
        </w:tc>
      </w:tr>
      <w:tr w:rsidR="002F1666" w:rsidRPr="00D152A8" w14:paraId="5A31D638"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14DDAFE8" w14:textId="07B06C9A" w:rsidR="002F1666" w:rsidRPr="00D152A8" w:rsidRDefault="002F1666" w:rsidP="002F1666">
            <w:pPr>
              <w:rPr>
                <w:rFonts w:cs="Calibri"/>
                <w:color w:val="000000" w:themeColor="text1"/>
                <w:sz w:val="13"/>
                <w:szCs w:val="13"/>
              </w:rPr>
            </w:pPr>
            <w:r w:rsidRPr="00D152A8">
              <w:rPr>
                <w:rFonts w:cs="Calibri"/>
                <w:color w:val="000000" w:themeColor="text1"/>
                <w:sz w:val="13"/>
                <w:szCs w:val="13"/>
              </w:rPr>
              <w:t>Drewno, meble i wyroby papiernicze</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17B21E9E" w14:textId="2D9AAC3B"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51 759</w:t>
            </w:r>
          </w:p>
        </w:tc>
        <w:tc>
          <w:tcPr>
            <w:tcW w:w="2364" w:type="dxa"/>
            <w:tcBorders>
              <w:top w:val="nil"/>
              <w:left w:val="nil"/>
              <w:bottom w:val="single" w:sz="4" w:space="0" w:color="0077BD"/>
              <w:right w:val="nil"/>
            </w:tcBorders>
            <w:shd w:val="clear" w:color="auto" w:fill="auto"/>
            <w:noWrap/>
            <w:vAlign w:val="center"/>
          </w:tcPr>
          <w:p w14:paraId="274D43E1" w14:textId="21CE13F3"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53 645</w:t>
            </w:r>
          </w:p>
        </w:tc>
      </w:tr>
      <w:tr w:rsidR="002F1666" w:rsidRPr="00D152A8" w14:paraId="3C389E1F" w14:textId="77777777" w:rsidTr="00BA0DCC">
        <w:trPr>
          <w:trHeight w:val="227"/>
        </w:trPr>
        <w:tc>
          <w:tcPr>
            <w:tcW w:w="4905" w:type="dxa"/>
            <w:tcBorders>
              <w:top w:val="nil"/>
              <w:left w:val="nil"/>
              <w:bottom w:val="single" w:sz="4" w:space="0" w:color="0077BD"/>
              <w:right w:val="single" w:sz="8" w:space="0" w:color="0077BD"/>
            </w:tcBorders>
            <w:shd w:val="clear" w:color="auto" w:fill="auto"/>
            <w:noWrap/>
            <w:vAlign w:val="center"/>
            <w:hideMark/>
          </w:tcPr>
          <w:p w14:paraId="44F4071F" w14:textId="44A5C4A1" w:rsidR="002F1666" w:rsidRPr="00D152A8" w:rsidRDefault="002F1666" w:rsidP="002F1666">
            <w:pPr>
              <w:rPr>
                <w:rFonts w:cs="Calibri"/>
                <w:color w:val="000000" w:themeColor="text1"/>
                <w:sz w:val="13"/>
                <w:szCs w:val="13"/>
              </w:rPr>
            </w:pPr>
            <w:r w:rsidRPr="00D152A8">
              <w:rPr>
                <w:rFonts w:cs="Calibri"/>
                <w:color w:val="000000" w:themeColor="text1"/>
                <w:sz w:val="13"/>
                <w:szCs w:val="13"/>
              </w:rPr>
              <w:t>Materiały budowlane</w:t>
            </w:r>
          </w:p>
        </w:tc>
        <w:tc>
          <w:tcPr>
            <w:tcW w:w="2364" w:type="dxa"/>
            <w:tcBorders>
              <w:top w:val="nil"/>
              <w:left w:val="single" w:sz="8" w:space="0" w:color="0077BD"/>
              <w:bottom w:val="single" w:sz="4" w:space="0" w:color="0077BD"/>
              <w:right w:val="single" w:sz="8" w:space="0" w:color="0077BD"/>
            </w:tcBorders>
            <w:shd w:val="clear" w:color="auto" w:fill="auto"/>
            <w:noWrap/>
            <w:vAlign w:val="center"/>
          </w:tcPr>
          <w:p w14:paraId="60C215DD" w14:textId="79E013CF"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41 954</w:t>
            </w:r>
          </w:p>
        </w:tc>
        <w:tc>
          <w:tcPr>
            <w:tcW w:w="2364" w:type="dxa"/>
            <w:tcBorders>
              <w:top w:val="nil"/>
              <w:left w:val="nil"/>
              <w:bottom w:val="single" w:sz="4" w:space="0" w:color="0077BD"/>
              <w:right w:val="nil"/>
            </w:tcBorders>
            <w:shd w:val="clear" w:color="auto" w:fill="auto"/>
            <w:noWrap/>
            <w:vAlign w:val="center"/>
          </w:tcPr>
          <w:p w14:paraId="10CDA4D1" w14:textId="2464F7CB" w:rsidR="002F1666" w:rsidRPr="00D152A8" w:rsidRDefault="002F1666" w:rsidP="002F1666">
            <w:pPr>
              <w:jc w:val="right"/>
              <w:rPr>
                <w:rFonts w:cs="Calibri"/>
                <w:color w:val="000000" w:themeColor="text1"/>
                <w:sz w:val="13"/>
                <w:szCs w:val="13"/>
              </w:rPr>
            </w:pPr>
            <w:r w:rsidRPr="00D152A8">
              <w:rPr>
                <w:rFonts w:cs="Calibri"/>
                <w:color w:val="000000" w:themeColor="text1"/>
                <w:sz w:val="13"/>
                <w:szCs w:val="13"/>
              </w:rPr>
              <w:t>14 932</w:t>
            </w:r>
          </w:p>
        </w:tc>
      </w:tr>
      <w:tr w:rsidR="00977E53" w:rsidRPr="00D152A8" w14:paraId="3A36FD0A" w14:textId="77777777" w:rsidTr="00BA0DCC">
        <w:trPr>
          <w:trHeight w:val="227"/>
        </w:trPr>
        <w:tc>
          <w:tcPr>
            <w:tcW w:w="4905" w:type="dxa"/>
            <w:tcBorders>
              <w:top w:val="nil"/>
              <w:left w:val="nil"/>
              <w:bottom w:val="single" w:sz="8" w:space="0" w:color="0077BD"/>
              <w:right w:val="single" w:sz="8" w:space="0" w:color="0077BD"/>
            </w:tcBorders>
            <w:shd w:val="clear" w:color="auto" w:fill="auto"/>
            <w:noWrap/>
            <w:vAlign w:val="center"/>
            <w:hideMark/>
          </w:tcPr>
          <w:p w14:paraId="6316EDF1" w14:textId="77777777" w:rsidR="00CC780E" w:rsidRPr="00D152A8" w:rsidRDefault="00CC780E" w:rsidP="009E1F91">
            <w:pPr>
              <w:rPr>
                <w:rFonts w:cs="Calibri"/>
                <w:color w:val="000000" w:themeColor="text1"/>
                <w:sz w:val="13"/>
                <w:szCs w:val="13"/>
              </w:rPr>
            </w:pPr>
            <w:r w:rsidRPr="00D152A8">
              <w:rPr>
                <w:rFonts w:cs="Calibri"/>
                <w:color w:val="000000" w:themeColor="text1"/>
                <w:sz w:val="13"/>
                <w:szCs w:val="13"/>
              </w:rPr>
              <w:t>Pozostałe branże</w:t>
            </w:r>
          </w:p>
        </w:tc>
        <w:tc>
          <w:tcPr>
            <w:tcW w:w="2364" w:type="dxa"/>
            <w:tcBorders>
              <w:top w:val="nil"/>
              <w:left w:val="nil"/>
              <w:bottom w:val="single" w:sz="8" w:space="0" w:color="0077BD"/>
              <w:right w:val="single" w:sz="8" w:space="0" w:color="0077BD"/>
            </w:tcBorders>
            <w:shd w:val="clear" w:color="auto" w:fill="auto"/>
            <w:noWrap/>
            <w:vAlign w:val="center"/>
          </w:tcPr>
          <w:p w14:paraId="01B318DC" w14:textId="2A67902E" w:rsidR="00CC780E" w:rsidRPr="00D152A8" w:rsidRDefault="00690184" w:rsidP="009E1F91">
            <w:pPr>
              <w:jc w:val="right"/>
              <w:rPr>
                <w:rFonts w:cs="Calibri"/>
                <w:color w:val="000000" w:themeColor="text1"/>
                <w:sz w:val="13"/>
                <w:szCs w:val="13"/>
              </w:rPr>
            </w:pPr>
            <w:r w:rsidRPr="00D152A8">
              <w:rPr>
                <w:rFonts w:cs="Calibri"/>
                <w:color w:val="000000" w:themeColor="text1"/>
                <w:sz w:val="13"/>
                <w:szCs w:val="13"/>
              </w:rPr>
              <w:t>150 584</w:t>
            </w:r>
          </w:p>
        </w:tc>
        <w:tc>
          <w:tcPr>
            <w:tcW w:w="2364" w:type="dxa"/>
            <w:tcBorders>
              <w:top w:val="nil"/>
              <w:left w:val="nil"/>
              <w:bottom w:val="single" w:sz="8" w:space="0" w:color="0077BD"/>
              <w:right w:val="nil"/>
            </w:tcBorders>
            <w:shd w:val="clear" w:color="auto" w:fill="auto"/>
            <w:noWrap/>
            <w:vAlign w:val="center"/>
          </w:tcPr>
          <w:p w14:paraId="4ECD6F63" w14:textId="24EBA4C1" w:rsidR="00CC780E" w:rsidRPr="00D152A8" w:rsidRDefault="00690184" w:rsidP="009E1F91">
            <w:pPr>
              <w:jc w:val="right"/>
              <w:rPr>
                <w:rFonts w:cs="Calibri"/>
                <w:color w:val="000000" w:themeColor="text1"/>
                <w:sz w:val="13"/>
                <w:szCs w:val="13"/>
              </w:rPr>
            </w:pPr>
            <w:r w:rsidRPr="00D152A8">
              <w:rPr>
                <w:rFonts w:cs="Calibri"/>
                <w:color w:val="000000" w:themeColor="text1"/>
                <w:sz w:val="13"/>
                <w:szCs w:val="13"/>
              </w:rPr>
              <w:t>215 566</w:t>
            </w:r>
          </w:p>
        </w:tc>
      </w:tr>
      <w:tr w:rsidR="00977E53" w:rsidRPr="00D152A8" w14:paraId="5041E1B7" w14:textId="77777777" w:rsidTr="00BA0DCC">
        <w:trPr>
          <w:trHeight w:val="227"/>
        </w:trPr>
        <w:tc>
          <w:tcPr>
            <w:tcW w:w="4905" w:type="dxa"/>
            <w:tcBorders>
              <w:top w:val="single" w:sz="8" w:space="0" w:color="0077BD"/>
              <w:left w:val="nil"/>
              <w:bottom w:val="single" w:sz="8" w:space="0" w:color="0077BD"/>
              <w:right w:val="single" w:sz="8" w:space="0" w:color="0077BD"/>
            </w:tcBorders>
            <w:shd w:val="clear" w:color="auto" w:fill="auto"/>
            <w:noWrap/>
            <w:vAlign w:val="center"/>
            <w:hideMark/>
          </w:tcPr>
          <w:p w14:paraId="6A962B77" w14:textId="77777777" w:rsidR="00CC780E" w:rsidRPr="00D152A8" w:rsidRDefault="00CC780E" w:rsidP="009E1F91">
            <w:pPr>
              <w:rPr>
                <w:rFonts w:cs="Calibri"/>
                <w:b/>
                <w:bCs/>
                <w:color w:val="000000" w:themeColor="text1"/>
                <w:sz w:val="13"/>
                <w:szCs w:val="13"/>
              </w:rPr>
            </w:pPr>
            <w:r w:rsidRPr="00D152A8">
              <w:rPr>
                <w:rFonts w:cs="Calibri"/>
                <w:b/>
                <w:bCs/>
                <w:color w:val="000000" w:themeColor="text1"/>
                <w:sz w:val="13"/>
                <w:szCs w:val="13"/>
              </w:rPr>
              <w:t>Razem</w:t>
            </w:r>
          </w:p>
        </w:tc>
        <w:tc>
          <w:tcPr>
            <w:tcW w:w="2364" w:type="dxa"/>
            <w:tcBorders>
              <w:top w:val="single" w:sz="8" w:space="0" w:color="0077BD"/>
              <w:left w:val="nil"/>
              <w:bottom w:val="single" w:sz="8" w:space="0" w:color="0077BD"/>
              <w:right w:val="single" w:sz="8" w:space="0" w:color="0077BD"/>
            </w:tcBorders>
            <w:shd w:val="clear" w:color="auto" w:fill="auto"/>
            <w:noWrap/>
            <w:vAlign w:val="center"/>
          </w:tcPr>
          <w:p w14:paraId="1E0E7556" w14:textId="15848266" w:rsidR="00CC780E" w:rsidRPr="00D152A8" w:rsidRDefault="00690184" w:rsidP="009E1F91">
            <w:pPr>
              <w:jc w:val="right"/>
              <w:rPr>
                <w:rFonts w:cs="Calibri"/>
                <w:b/>
                <w:bCs/>
                <w:color w:val="000000" w:themeColor="text1"/>
                <w:sz w:val="13"/>
                <w:szCs w:val="13"/>
              </w:rPr>
            </w:pPr>
            <w:r w:rsidRPr="00D152A8">
              <w:rPr>
                <w:rFonts w:cs="Calibri"/>
                <w:b/>
                <w:bCs/>
                <w:color w:val="000000" w:themeColor="text1"/>
                <w:sz w:val="13"/>
                <w:szCs w:val="13"/>
              </w:rPr>
              <w:t>1 616 237</w:t>
            </w:r>
          </w:p>
        </w:tc>
        <w:tc>
          <w:tcPr>
            <w:tcW w:w="2364" w:type="dxa"/>
            <w:tcBorders>
              <w:top w:val="single" w:sz="8" w:space="0" w:color="0077BD"/>
              <w:left w:val="nil"/>
              <w:bottom w:val="single" w:sz="8" w:space="0" w:color="0077BD"/>
              <w:right w:val="nil"/>
            </w:tcBorders>
            <w:shd w:val="clear" w:color="auto" w:fill="auto"/>
            <w:noWrap/>
            <w:vAlign w:val="center"/>
          </w:tcPr>
          <w:p w14:paraId="2BB81672" w14:textId="33FDE558" w:rsidR="00CC780E" w:rsidRPr="00D152A8" w:rsidRDefault="00690184" w:rsidP="009E1F91">
            <w:pPr>
              <w:jc w:val="right"/>
              <w:rPr>
                <w:rFonts w:cs="Calibri"/>
                <w:b/>
                <w:bCs/>
                <w:color w:val="000000" w:themeColor="text1"/>
                <w:sz w:val="13"/>
                <w:szCs w:val="13"/>
              </w:rPr>
            </w:pPr>
            <w:r w:rsidRPr="00D152A8">
              <w:rPr>
                <w:rFonts w:cs="Calibri"/>
                <w:b/>
                <w:bCs/>
                <w:color w:val="000000" w:themeColor="text1"/>
                <w:sz w:val="13"/>
                <w:szCs w:val="13"/>
              </w:rPr>
              <w:t>1 376 680</w:t>
            </w:r>
          </w:p>
        </w:tc>
      </w:tr>
    </w:tbl>
    <w:p w14:paraId="0F5FA902" w14:textId="5FF3173A" w:rsidR="00627B93" w:rsidRPr="00977E53" w:rsidRDefault="00627B93" w:rsidP="007E02FD">
      <w:pPr>
        <w:pStyle w:val="Akapitzlist"/>
        <w:numPr>
          <w:ilvl w:val="2"/>
          <w:numId w:val="14"/>
        </w:numPr>
        <w:spacing w:before="240" w:after="120"/>
        <w:ind w:left="851" w:hanging="851"/>
        <w:rPr>
          <w:b/>
          <w:color w:val="000000" w:themeColor="text1"/>
          <w:sz w:val="18"/>
          <w:szCs w:val="18"/>
        </w:rPr>
      </w:pPr>
      <w:r w:rsidRPr="00977E53">
        <w:rPr>
          <w:b/>
          <w:color w:val="000000" w:themeColor="text1"/>
          <w:sz w:val="18"/>
          <w:szCs w:val="18"/>
        </w:rPr>
        <w:t>Ryzyko kontrahenta wynikające z transakcji na instrumentach pochodnych</w:t>
      </w:r>
    </w:p>
    <w:p w14:paraId="4C334BAE" w14:textId="16E10D43" w:rsidR="007D54A1" w:rsidRPr="00977E53" w:rsidRDefault="007D54A1" w:rsidP="007D54A1">
      <w:pPr>
        <w:spacing w:after="120"/>
        <w:jc w:val="both"/>
        <w:rPr>
          <w:color w:val="000000" w:themeColor="text1"/>
          <w:sz w:val="18"/>
          <w:szCs w:val="18"/>
        </w:rPr>
      </w:pPr>
      <w:bookmarkStart w:id="103" w:name="_Toc411261068"/>
      <w:r w:rsidRPr="00977E53">
        <w:rPr>
          <w:rFonts w:eastAsia="Calibri" w:cs="Verdana"/>
          <w:color w:val="000000" w:themeColor="text1"/>
          <w:sz w:val="18"/>
          <w:szCs w:val="18"/>
        </w:rPr>
        <w:t xml:space="preserve">Ekspozycja kredytowa na portfelu mBanku jest kalkulowana jako suma kosztu zastąpienia poszczególnych transakcji (netowanie pozycji kredytowej - NPV) i potencjalnej zmiany wyceny w przyszłości (Add-on). Bank korzysta z metod ograniczania ryzyka takich jak kompensowanie (netting) i kolateralizacja (uwzględnienie zabezpieczeń). Netowanie ekspozycji kredytowej jest stosowane po podpisaniu z kontrahentem tzw. umowy kompensacyjnej (netting agreement), zaś kolateralizacja wymaga podpisania umowy CSA (Credit Support Annex) </w:t>
      </w:r>
      <w:r w:rsidRPr="00977E53">
        <w:rPr>
          <w:color w:val="000000" w:themeColor="text1"/>
          <w:sz w:val="18"/>
          <w:szCs w:val="18"/>
        </w:rPr>
        <w:t>lub zawarcia stosownej klauzuli w obowiązującej z klientem umowie ramowej</w:t>
      </w:r>
      <w:r w:rsidRPr="00977E53">
        <w:rPr>
          <w:rFonts w:eastAsia="Calibri" w:cs="Verdana"/>
          <w:color w:val="000000" w:themeColor="text1"/>
          <w:sz w:val="18"/>
          <w:szCs w:val="18"/>
        </w:rPr>
        <w:t>. Umowa CSA pozwala na wezwanie klienta do wpłacenia zabezpieczenia (variation margin) jeśli wycena portfela transakcji klienta przekroczy określony poziom kwotowy (tzw. threshold). Dodatkowo w zakresie obowiązujących umów możliwa jest wymiana dodatkowego zabezpieczenia (initial margin, itp.). Ekspozycja kredytowa na instrumentach pochodnych jest korygowana o otrzymane lub wniesione zabezpieczenie (variation margin) i może być ponadto korygowana o dodatkowe zabezpieczenia zgodnie z podpisanymi umowami między Bankiem a kontrahentami. W celu kalkulacji ekspozycji kredytowej na</w:t>
      </w:r>
      <w:r w:rsidR="009F088D">
        <w:rPr>
          <w:rFonts w:eastAsia="Calibri" w:cs="Verdana"/>
          <w:color w:val="000000" w:themeColor="text1"/>
          <w:sz w:val="18"/>
          <w:szCs w:val="18"/>
        </w:rPr>
        <w:t> </w:t>
      </w:r>
      <w:r w:rsidRPr="00977E53">
        <w:rPr>
          <w:rFonts w:eastAsia="Calibri" w:cs="Verdana"/>
          <w:color w:val="000000" w:themeColor="text1"/>
          <w:sz w:val="18"/>
          <w:szCs w:val="18"/>
        </w:rPr>
        <w:t>potrzeby ryzyka kontrahenta uwzględnia się jedynie pozytywną wycenę portfela transakcji pochodnych.</w:t>
      </w:r>
    </w:p>
    <w:p w14:paraId="66EB1EC9" w14:textId="77777777" w:rsidR="007D54A1" w:rsidRPr="00977E53" w:rsidRDefault="007D54A1" w:rsidP="007D54A1">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Kontrola tej ekspozycji dokonywana jest systemowo w czasie rzeczywistym. Kontrolowane jest na bieżąco wykorzystanie przyznanych limitów kontrahenta z tytułu transakcji na instrumentach pochodnych. Dodatkowo kontrolowane jest przestrzeganie restrykcji wynikających z poszczególnych decyzji kredytowych, regulacji nadzorczych i decyzji biznesowych. Limity na ekspozycję kredytową z tytułu transakcji pochodnych są dekomponowane na określone grupy produktów i tenory transakcji. </w:t>
      </w:r>
    </w:p>
    <w:p w14:paraId="6508F749" w14:textId="77777777" w:rsidR="007D54A1" w:rsidRPr="00977E53" w:rsidRDefault="007D54A1" w:rsidP="00BB2527">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Rozkład ekspozycji kredytowej mBanku z tytułu zawartych transakcji pochodnych w podziale na typ kontrahenta przedstawia się w następujący sposób:</w:t>
      </w:r>
    </w:p>
    <w:p w14:paraId="2403856F" w14:textId="77777777" w:rsidR="007D54A1" w:rsidRPr="00BB2527" w:rsidRDefault="007D54A1" w:rsidP="00BB2527">
      <w:pPr>
        <w:numPr>
          <w:ilvl w:val="0"/>
          <w:numId w:val="17"/>
        </w:numPr>
        <w:tabs>
          <w:tab w:val="clear" w:pos="1267"/>
        </w:tabs>
        <w:suppressAutoHyphens/>
        <w:ind w:left="426" w:right="-57" w:hanging="284"/>
        <w:jc w:val="both"/>
        <w:rPr>
          <w:rFonts w:cs="Tahoma"/>
          <w:bCs/>
          <w:color w:val="000000" w:themeColor="text1"/>
          <w:sz w:val="18"/>
          <w:szCs w:val="18"/>
        </w:rPr>
      </w:pPr>
      <w:r w:rsidRPr="00BB2527">
        <w:rPr>
          <w:rFonts w:cs="Tahoma"/>
          <w:bCs/>
          <w:color w:val="000000" w:themeColor="text1"/>
          <w:sz w:val="18"/>
          <w:szCs w:val="18"/>
        </w:rPr>
        <w:t xml:space="preserve">36% z bankami, </w:t>
      </w:r>
    </w:p>
    <w:p w14:paraId="3622CBF7" w14:textId="21E08D15" w:rsidR="007D54A1" w:rsidRPr="00BB2527" w:rsidRDefault="007D54A1" w:rsidP="00BB2527">
      <w:pPr>
        <w:numPr>
          <w:ilvl w:val="0"/>
          <w:numId w:val="17"/>
        </w:numPr>
        <w:tabs>
          <w:tab w:val="clear" w:pos="1267"/>
        </w:tabs>
        <w:suppressAutoHyphens/>
        <w:ind w:left="426" w:right="-57" w:hanging="284"/>
        <w:jc w:val="both"/>
        <w:rPr>
          <w:rFonts w:cs="Tahoma"/>
          <w:bCs/>
          <w:color w:val="000000" w:themeColor="text1"/>
          <w:sz w:val="18"/>
          <w:szCs w:val="18"/>
        </w:rPr>
      </w:pPr>
      <w:r w:rsidRPr="00BB2527">
        <w:rPr>
          <w:rFonts w:cs="Tahoma"/>
          <w:bCs/>
          <w:color w:val="000000" w:themeColor="text1"/>
          <w:sz w:val="18"/>
          <w:szCs w:val="18"/>
        </w:rPr>
        <w:t xml:space="preserve"> 9% z kontrahentami centralnymi (CCP),</w:t>
      </w:r>
    </w:p>
    <w:p w14:paraId="6FF797FF" w14:textId="40DFD716" w:rsidR="007D54A1" w:rsidRPr="00BB2527" w:rsidRDefault="007D54A1" w:rsidP="00BB2527">
      <w:pPr>
        <w:numPr>
          <w:ilvl w:val="0"/>
          <w:numId w:val="17"/>
        </w:numPr>
        <w:tabs>
          <w:tab w:val="clear" w:pos="1267"/>
        </w:tabs>
        <w:suppressAutoHyphens/>
        <w:ind w:left="426" w:right="-57" w:hanging="284"/>
        <w:jc w:val="both"/>
        <w:rPr>
          <w:rFonts w:cs="Tahoma"/>
          <w:bCs/>
          <w:color w:val="000000" w:themeColor="text1"/>
          <w:sz w:val="18"/>
          <w:szCs w:val="18"/>
        </w:rPr>
      </w:pPr>
      <w:r w:rsidRPr="00BB2527">
        <w:rPr>
          <w:rFonts w:cs="Tahoma"/>
          <w:bCs/>
          <w:color w:val="000000" w:themeColor="text1"/>
          <w:sz w:val="18"/>
          <w:szCs w:val="18"/>
        </w:rPr>
        <w:t xml:space="preserve"> 6% z instytucjami finansowymi,</w:t>
      </w:r>
    </w:p>
    <w:p w14:paraId="4F954CA5" w14:textId="088F069A" w:rsidR="005345A8" w:rsidRPr="00BB2527" w:rsidRDefault="007D54A1" w:rsidP="00BB2527">
      <w:pPr>
        <w:numPr>
          <w:ilvl w:val="0"/>
          <w:numId w:val="17"/>
        </w:numPr>
        <w:tabs>
          <w:tab w:val="clear" w:pos="1267"/>
        </w:tabs>
        <w:suppressAutoHyphens/>
        <w:ind w:left="426" w:right="-57" w:hanging="284"/>
        <w:jc w:val="both"/>
        <w:rPr>
          <w:rFonts w:cs="Tahoma"/>
          <w:bCs/>
          <w:color w:val="000000" w:themeColor="text1"/>
          <w:sz w:val="18"/>
          <w:szCs w:val="18"/>
        </w:rPr>
      </w:pPr>
      <w:r w:rsidRPr="00BB2527">
        <w:rPr>
          <w:rFonts w:cs="Tahoma"/>
          <w:bCs/>
          <w:color w:val="000000" w:themeColor="text1"/>
          <w:sz w:val="18"/>
          <w:szCs w:val="18"/>
        </w:rPr>
        <w:t>49% z korporacjami, private banking i pozostałymi</w:t>
      </w:r>
      <w:r w:rsidR="005345A8" w:rsidRPr="00BB2527">
        <w:rPr>
          <w:rFonts w:cs="Tahoma"/>
          <w:bCs/>
          <w:color w:val="000000" w:themeColor="text1"/>
          <w:sz w:val="18"/>
          <w:szCs w:val="18"/>
        </w:rPr>
        <w:t>.</w:t>
      </w:r>
    </w:p>
    <w:p w14:paraId="2DAA2B96" w14:textId="77777777" w:rsidR="005345A8" w:rsidRPr="00977E53" w:rsidRDefault="005345A8" w:rsidP="00BB2527">
      <w:pPr>
        <w:suppressAutoHyphens/>
        <w:spacing w:before="120" w:after="120"/>
        <w:jc w:val="both"/>
        <w:rPr>
          <w:rFonts w:eastAsia="Calibri" w:cs="Verdana"/>
          <w:color w:val="000000" w:themeColor="text1"/>
          <w:sz w:val="18"/>
          <w:szCs w:val="18"/>
        </w:rPr>
      </w:pPr>
      <w:r w:rsidRPr="00977E53">
        <w:rPr>
          <w:rFonts w:eastAsia="Calibri" w:cs="Verdana"/>
          <w:color w:val="000000" w:themeColor="text1"/>
          <w:sz w:val="18"/>
          <w:szCs w:val="18"/>
        </w:rPr>
        <w:t>Rozkład ekspozycji kredytowej z tytułu zawartych transakcji pochodnych w podziale na typ klienta został przedstawiony w poniższej tabeli:</w:t>
      </w:r>
    </w:p>
    <w:tbl>
      <w:tblPr>
        <w:tblW w:w="9629" w:type="dxa"/>
        <w:tblCellMar>
          <w:left w:w="28" w:type="dxa"/>
          <w:right w:w="28" w:type="dxa"/>
        </w:tblCellMar>
        <w:tblLook w:val="04A0" w:firstRow="1" w:lastRow="0" w:firstColumn="1" w:lastColumn="0" w:noHBand="0" w:noVBand="1"/>
      </w:tblPr>
      <w:tblGrid>
        <w:gridCol w:w="4903"/>
        <w:gridCol w:w="2363"/>
        <w:gridCol w:w="2363"/>
      </w:tblGrid>
      <w:tr w:rsidR="005345A8" w:rsidRPr="00DD3088" w14:paraId="0B528C31" w14:textId="77777777" w:rsidTr="000737AF">
        <w:trPr>
          <w:trHeight w:val="456"/>
        </w:trPr>
        <w:tc>
          <w:tcPr>
            <w:tcW w:w="4706" w:type="dxa"/>
            <w:tcBorders>
              <w:top w:val="nil"/>
              <w:left w:val="single" w:sz="8" w:space="0" w:color="FFFFFF"/>
              <w:bottom w:val="nil"/>
              <w:right w:val="single" w:sz="8" w:space="0" w:color="FFFFFF"/>
            </w:tcBorders>
            <w:shd w:val="clear" w:color="000000" w:fill="0077BD"/>
            <w:vAlign w:val="center"/>
            <w:hideMark/>
          </w:tcPr>
          <w:p w14:paraId="7456E491" w14:textId="77777777" w:rsidR="005345A8" w:rsidRPr="00DD3088" w:rsidRDefault="005345A8" w:rsidP="009E1F91">
            <w:pPr>
              <w:rPr>
                <w:rFonts w:cs="Calibri"/>
                <w:b/>
                <w:bCs/>
                <w:color w:val="FFFFFF"/>
                <w:sz w:val="14"/>
                <w:szCs w:val="14"/>
              </w:rPr>
            </w:pPr>
            <w:r w:rsidRPr="00DD3088">
              <w:rPr>
                <w:rFonts w:cs="Calibri"/>
                <w:b/>
                <w:bCs/>
                <w:color w:val="FFFFFF"/>
                <w:sz w:val="14"/>
                <w:szCs w:val="14"/>
              </w:rPr>
              <w:t>Typ klienta</w:t>
            </w:r>
          </w:p>
        </w:tc>
        <w:tc>
          <w:tcPr>
            <w:tcW w:w="2268" w:type="dxa"/>
            <w:tcBorders>
              <w:top w:val="nil"/>
              <w:left w:val="nil"/>
              <w:bottom w:val="nil"/>
              <w:right w:val="nil"/>
            </w:tcBorders>
            <w:shd w:val="clear" w:color="000000" w:fill="0077BD"/>
            <w:vAlign w:val="center"/>
            <w:hideMark/>
          </w:tcPr>
          <w:p w14:paraId="448B8F07" w14:textId="77777777" w:rsidR="005345A8" w:rsidRPr="00DD3088" w:rsidRDefault="005345A8" w:rsidP="009E1F91">
            <w:pPr>
              <w:jc w:val="center"/>
              <w:rPr>
                <w:rFonts w:cs="Calibri"/>
                <w:b/>
                <w:bCs/>
                <w:color w:val="FFFFFF"/>
                <w:sz w:val="14"/>
                <w:szCs w:val="14"/>
              </w:rPr>
            </w:pPr>
            <w:r w:rsidRPr="00DD3088">
              <w:rPr>
                <w:rFonts w:cs="Calibri"/>
                <w:b/>
                <w:bCs/>
                <w:color w:val="FFFFFF"/>
                <w:sz w:val="14"/>
                <w:szCs w:val="14"/>
              </w:rPr>
              <w:t>Ekspozycja kredytowa 2019 (w mln zł)</w:t>
            </w:r>
          </w:p>
        </w:tc>
        <w:tc>
          <w:tcPr>
            <w:tcW w:w="2268" w:type="dxa"/>
            <w:tcBorders>
              <w:top w:val="nil"/>
              <w:left w:val="single" w:sz="8" w:space="0" w:color="FFFFFF"/>
              <w:bottom w:val="nil"/>
              <w:right w:val="nil"/>
            </w:tcBorders>
            <w:shd w:val="clear" w:color="000000" w:fill="0077BD"/>
            <w:vAlign w:val="center"/>
            <w:hideMark/>
          </w:tcPr>
          <w:p w14:paraId="38FADF3A" w14:textId="77777777" w:rsidR="005345A8" w:rsidRPr="00DD3088" w:rsidRDefault="005345A8" w:rsidP="009E1F91">
            <w:pPr>
              <w:jc w:val="center"/>
              <w:rPr>
                <w:rFonts w:cs="Calibri"/>
                <w:b/>
                <w:bCs/>
                <w:color w:val="FFFFFF"/>
                <w:sz w:val="14"/>
                <w:szCs w:val="14"/>
              </w:rPr>
            </w:pPr>
            <w:r w:rsidRPr="00DD3088">
              <w:rPr>
                <w:rFonts w:cs="Calibri"/>
                <w:b/>
                <w:bCs/>
                <w:color w:val="FFFFFF"/>
                <w:sz w:val="14"/>
                <w:szCs w:val="14"/>
              </w:rPr>
              <w:t>Ekspozycja kredytowa 2018 (w mln zł)</w:t>
            </w:r>
          </w:p>
        </w:tc>
      </w:tr>
      <w:tr w:rsidR="00977E53" w:rsidRPr="00977E53" w14:paraId="07054F2E"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78D8D84A"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Banki z umową zabezpieczającą</w:t>
            </w:r>
          </w:p>
        </w:tc>
        <w:tc>
          <w:tcPr>
            <w:tcW w:w="2268" w:type="dxa"/>
            <w:tcBorders>
              <w:top w:val="single" w:sz="4" w:space="0" w:color="0077BD"/>
              <w:left w:val="nil"/>
              <w:bottom w:val="single" w:sz="4" w:space="0" w:color="0077BD"/>
              <w:right w:val="single" w:sz="8" w:space="0" w:color="0077BD"/>
            </w:tcBorders>
            <w:shd w:val="clear" w:color="auto" w:fill="auto"/>
            <w:noWrap/>
            <w:vAlign w:val="center"/>
          </w:tcPr>
          <w:p w14:paraId="31EE7A55" w14:textId="631A2AF9"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1 169</w:t>
            </w:r>
          </w:p>
        </w:tc>
        <w:tc>
          <w:tcPr>
            <w:tcW w:w="2268" w:type="dxa"/>
            <w:tcBorders>
              <w:top w:val="single" w:sz="4" w:space="0" w:color="0077BD"/>
              <w:left w:val="nil"/>
              <w:bottom w:val="single" w:sz="4" w:space="0" w:color="0077BD"/>
              <w:right w:val="nil"/>
            </w:tcBorders>
            <w:shd w:val="clear" w:color="auto" w:fill="auto"/>
            <w:noWrap/>
            <w:vAlign w:val="center"/>
            <w:hideMark/>
          </w:tcPr>
          <w:p w14:paraId="24D7D4A4"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1 222</w:t>
            </w:r>
          </w:p>
        </w:tc>
      </w:tr>
      <w:tr w:rsidR="00977E53" w:rsidRPr="00977E53" w14:paraId="22277C6D"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71BB42A4"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Banki bez umowy zabezpieczającej</w:t>
            </w:r>
          </w:p>
        </w:tc>
        <w:tc>
          <w:tcPr>
            <w:tcW w:w="2268" w:type="dxa"/>
            <w:tcBorders>
              <w:top w:val="nil"/>
              <w:left w:val="nil"/>
              <w:bottom w:val="single" w:sz="4" w:space="0" w:color="0077BD"/>
              <w:right w:val="single" w:sz="8" w:space="0" w:color="0077BD"/>
            </w:tcBorders>
            <w:shd w:val="clear" w:color="auto" w:fill="auto"/>
            <w:noWrap/>
            <w:vAlign w:val="center"/>
          </w:tcPr>
          <w:p w14:paraId="37F890DA" w14:textId="05D730E5" w:rsidR="005345A8" w:rsidRPr="00977E53" w:rsidRDefault="002A6EA6" w:rsidP="002A6EA6">
            <w:pPr>
              <w:jc w:val="right"/>
              <w:rPr>
                <w:rFonts w:cs="Calibri"/>
                <w:color w:val="000000" w:themeColor="text1"/>
                <w:sz w:val="14"/>
                <w:szCs w:val="14"/>
              </w:rPr>
            </w:pPr>
            <w:r w:rsidRPr="00977E53">
              <w:rPr>
                <w:rFonts w:cs="Calibri"/>
                <w:color w:val="000000" w:themeColor="text1"/>
                <w:sz w:val="14"/>
                <w:szCs w:val="14"/>
              </w:rPr>
              <w:t>1</w:t>
            </w:r>
          </w:p>
        </w:tc>
        <w:tc>
          <w:tcPr>
            <w:tcW w:w="2268" w:type="dxa"/>
            <w:tcBorders>
              <w:top w:val="nil"/>
              <w:left w:val="nil"/>
              <w:bottom w:val="single" w:sz="4" w:space="0" w:color="0077BD"/>
              <w:right w:val="nil"/>
            </w:tcBorders>
            <w:shd w:val="clear" w:color="auto" w:fill="auto"/>
            <w:noWrap/>
            <w:vAlign w:val="center"/>
            <w:hideMark/>
          </w:tcPr>
          <w:p w14:paraId="55D9DE06"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2</w:t>
            </w:r>
          </w:p>
        </w:tc>
      </w:tr>
      <w:tr w:rsidR="00977E53" w:rsidRPr="00977E53" w14:paraId="5586271C"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5FDD18D1"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Kontrahenci centralni</w:t>
            </w:r>
          </w:p>
        </w:tc>
        <w:tc>
          <w:tcPr>
            <w:tcW w:w="2268" w:type="dxa"/>
            <w:tcBorders>
              <w:top w:val="nil"/>
              <w:left w:val="nil"/>
              <w:bottom w:val="single" w:sz="4" w:space="0" w:color="0077BD"/>
              <w:right w:val="single" w:sz="8" w:space="0" w:color="0077BD"/>
            </w:tcBorders>
            <w:shd w:val="clear" w:color="auto" w:fill="auto"/>
            <w:noWrap/>
            <w:vAlign w:val="center"/>
          </w:tcPr>
          <w:p w14:paraId="400E051C" w14:textId="3023DA8F"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282</w:t>
            </w:r>
          </w:p>
        </w:tc>
        <w:tc>
          <w:tcPr>
            <w:tcW w:w="2268" w:type="dxa"/>
            <w:tcBorders>
              <w:top w:val="nil"/>
              <w:left w:val="nil"/>
              <w:bottom w:val="single" w:sz="4" w:space="0" w:color="0077BD"/>
              <w:right w:val="nil"/>
            </w:tcBorders>
            <w:shd w:val="clear" w:color="auto" w:fill="auto"/>
            <w:noWrap/>
            <w:vAlign w:val="center"/>
            <w:hideMark/>
          </w:tcPr>
          <w:p w14:paraId="74E6CE52"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229</w:t>
            </w:r>
          </w:p>
        </w:tc>
      </w:tr>
      <w:tr w:rsidR="00977E53" w:rsidRPr="00977E53" w14:paraId="34BC2B87"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169738D0"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Korporacje z limitem</w:t>
            </w:r>
          </w:p>
        </w:tc>
        <w:tc>
          <w:tcPr>
            <w:tcW w:w="2268" w:type="dxa"/>
            <w:tcBorders>
              <w:top w:val="nil"/>
              <w:left w:val="nil"/>
              <w:bottom w:val="single" w:sz="4" w:space="0" w:color="0077BD"/>
              <w:right w:val="single" w:sz="8" w:space="0" w:color="0077BD"/>
            </w:tcBorders>
            <w:shd w:val="clear" w:color="auto" w:fill="auto"/>
            <w:noWrap/>
            <w:vAlign w:val="center"/>
          </w:tcPr>
          <w:p w14:paraId="426B3CA8" w14:textId="08706CFD"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1 616</w:t>
            </w:r>
          </w:p>
        </w:tc>
        <w:tc>
          <w:tcPr>
            <w:tcW w:w="2268" w:type="dxa"/>
            <w:tcBorders>
              <w:top w:val="nil"/>
              <w:left w:val="nil"/>
              <w:bottom w:val="single" w:sz="4" w:space="0" w:color="0077BD"/>
              <w:right w:val="nil"/>
            </w:tcBorders>
            <w:shd w:val="clear" w:color="auto" w:fill="auto"/>
            <w:noWrap/>
            <w:vAlign w:val="center"/>
            <w:hideMark/>
          </w:tcPr>
          <w:p w14:paraId="2702E29B"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919</w:t>
            </w:r>
          </w:p>
        </w:tc>
      </w:tr>
      <w:tr w:rsidR="00977E53" w:rsidRPr="00977E53" w14:paraId="6449D3CE"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31DE9E01"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Niebankowe instytucje finansowe</w:t>
            </w:r>
          </w:p>
        </w:tc>
        <w:tc>
          <w:tcPr>
            <w:tcW w:w="2268" w:type="dxa"/>
            <w:tcBorders>
              <w:top w:val="nil"/>
              <w:left w:val="nil"/>
              <w:bottom w:val="single" w:sz="4" w:space="0" w:color="0077BD"/>
              <w:right w:val="single" w:sz="8" w:space="0" w:color="0077BD"/>
            </w:tcBorders>
            <w:shd w:val="clear" w:color="auto" w:fill="auto"/>
            <w:noWrap/>
            <w:vAlign w:val="center"/>
          </w:tcPr>
          <w:p w14:paraId="44605C89" w14:textId="46EE7368"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205</w:t>
            </w:r>
          </w:p>
        </w:tc>
        <w:tc>
          <w:tcPr>
            <w:tcW w:w="2268" w:type="dxa"/>
            <w:tcBorders>
              <w:top w:val="nil"/>
              <w:left w:val="nil"/>
              <w:bottom w:val="single" w:sz="4" w:space="0" w:color="0077BD"/>
              <w:right w:val="nil"/>
            </w:tcBorders>
            <w:shd w:val="clear" w:color="auto" w:fill="auto"/>
            <w:noWrap/>
            <w:vAlign w:val="center"/>
            <w:hideMark/>
          </w:tcPr>
          <w:p w14:paraId="3FCADB3F"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274</w:t>
            </w:r>
          </w:p>
        </w:tc>
      </w:tr>
      <w:tr w:rsidR="00977E53" w:rsidRPr="00977E53" w14:paraId="2FDC2F24"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7F4F7075" w14:textId="536095A1" w:rsidR="005345A8" w:rsidRPr="00977E53" w:rsidRDefault="008D2BC8" w:rsidP="009E1F91">
            <w:pPr>
              <w:rPr>
                <w:rFonts w:cs="Calibri"/>
                <w:color w:val="000000" w:themeColor="text1"/>
                <w:sz w:val="14"/>
                <w:szCs w:val="14"/>
              </w:rPr>
            </w:pPr>
            <w:r>
              <w:rPr>
                <w:rFonts w:cs="Calibri"/>
                <w:color w:val="000000" w:themeColor="text1"/>
                <w:sz w:val="14"/>
                <w:szCs w:val="14"/>
              </w:rPr>
              <w:t>Klienci</w:t>
            </w:r>
            <w:r w:rsidR="005345A8" w:rsidRPr="00977E53">
              <w:rPr>
                <w:rFonts w:cs="Calibri"/>
                <w:color w:val="000000" w:themeColor="text1"/>
                <w:sz w:val="14"/>
                <w:szCs w:val="14"/>
              </w:rPr>
              <w:t xml:space="preserve"> Private Banking</w:t>
            </w:r>
          </w:p>
        </w:tc>
        <w:tc>
          <w:tcPr>
            <w:tcW w:w="2268" w:type="dxa"/>
            <w:tcBorders>
              <w:top w:val="nil"/>
              <w:left w:val="nil"/>
              <w:bottom w:val="single" w:sz="4" w:space="0" w:color="0077BD"/>
              <w:right w:val="single" w:sz="8" w:space="0" w:color="0077BD"/>
            </w:tcBorders>
            <w:shd w:val="clear" w:color="auto" w:fill="auto"/>
            <w:noWrap/>
            <w:vAlign w:val="center"/>
          </w:tcPr>
          <w:p w14:paraId="259A248D" w14:textId="0680E14A"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(2)</w:t>
            </w:r>
          </w:p>
        </w:tc>
        <w:tc>
          <w:tcPr>
            <w:tcW w:w="2268" w:type="dxa"/>
            <w:tcBorders>
              <w:top w:val="nil"/>
              <w:left w:val="nil"/>
              <w:bottom w:val="single" w:sz="4" w:space="0" w:color="0077BD"/>
              <w:right w:val="nil"/>
            </w:tcBorders>
            <w:shd w:val="clear" w:color="auto" w:fill="auto"/>
            <w:noWrap/>
            <w:vAlign w:val="center"/>
            <w:hideMark/>
          </w:tcPr>
          <w:p w14:paraId="25790C5E"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(4)</w:t>
            </w:r>
          </w:p>
        </w:tc>
      </w:tr>
      <w:tr w:rsidR="00977E53" w:rsidRPr="00977E53" w14:paraId="13FD3E30" w14:textId="77777777" w:rsidTr="000737AF">
        <w:trPr>
          <w:trHeight w:val="288"/>
        </w:trPr>
        <w:tc>
          <w:tcPr>
            <w:tcW w:w="4706" w:type="dxa"/>
            <w:tcBorders>
              <w:top w:val="nil"/>
              <w:left w:val="nil"/>
              <w:bottom w:val="single" w:sz="4" w:space="0" w:color="0077BD"/>
              <w:right w:val="single" w:sz="8" w:space="0" w:color="0077BD"/>
            </w:tcBorders>
            <w:shd w:val="clear" w:color="auto" w:fill="auto"/>
            <w:noWrap/>
            <w:vAlign w:val="center"/>
            <w:hideMark/>
          </w:tcPr>
          <w:p w14:paraId="2D094C60" w14:textId="77777777" w:rsidR="005345A8" w:rsidRPr="00977E53" w:rsidRDefault="005345A8" w:rsidP="009E1F91">
            <w:pPr>
              <w:rPr>
                <w:rFonts w:cs="Calibri"/>
                <w:color w:val="000000" w:themeColor="text1"/>
                <w:sz w:val="14"/>
                <w:szCs w:val="14"/>
              </w:rPr>
            </w:pPr>
            <w:r w:rsidRPr="00977E53">
              <w:rPr>
                <w:rFonts w:cs="Calibri"/>
                <w:color w:val="000000" w:themeColor="text1"/>
                <w:sz w:val="14"/>
                <w:szCs w:val="14"/>
              </w:rPr>
              <w:t>Korporacje z ekspozycją zabezpieczoną gotówka i pozostali</w:t>
            </w:r>
          </w:p>
        </w:tc>
        <w:tc>
          <w:tcPr>
            <w:tcW w:w="2268" w:type="dxa"/>
            <w:tcBorders>
              <w:top w:val="nil"/>
              <w:left w:val="nil"/>
              <w:bottom w:val="single" w:sz="4" w:space="0" w:color="0077BD"/>
              <w:right w:val="single" w:sz="8" w:space="0" w:color="0077BD"/>
            </w:tcBorders>
            <w:shd w:val="clear" w:color="auto" w:fill="auto"/>
            <w:noWrap/>
            <w:vAlign w:val="center"/>
          </w:tcPr>
          <w:p w14:paraId="58C3BF9D" w14:textId="64DC60B1" w:rsidR="005345A8" w:rsidRPr="00977E53" w:rsidRDefault="002A6EA6" w:rsidP="009E1F91">
            <w:pPr>
              <w:jc w:val="right"/>
              <w:rPr>
                <w:rFonts w:cs="Calibri"/>
                <w:color w:val="000000" w:themeColor="text1"/>
                <w:sz w:val="14"/>
                <w:szCs w:val="14"/>
              </w:rPr>
            </w:pPr>
            <w:r w:rsidRPr="00977E53">
              <w:rPr>
                <w:rFonts w:cs="Calibri"/>
                <w:color w:val="000000" w:themeColor="text1"/>
                <w:sz w:val="14"/>
                <w:szCs w:val="14"/>
              </w:rPr>
              <w:t>(15)</w:t>
            </w:r>
          </w:p>
        </w:tc>
        <w:tc>
          <w:tcPr>
            <w:tcW w:w="2268" w:type="dxa"/>
            <w:tcBorders>
              <w:top w:val="nil"/>
              <w:left w:val="nil"/>
              <w:bottom w:val="single" w:sz="4" w:space="0" w:color="0077BD"/>
              <w:right w:val="nil"/>
            </w:tcBorders>
            <w:shd w:val="clear" w:color="auto" w:fill="auto"/>
            <w:noWrap/>
            <w:vAlign w:val="center"/>
            <w:hideMark/>
          </w:tcPr>
          <w:p w14:paraId="689AC179" w14:textId="77777777" w:rsidR="005345A8" w:rsidRPr="00977E53" w:rsidRDefault="005345A8" w:rsidP="009E1F91">
            <w:pPr>
              <w:jc w:val="right"/>
              <w:rPr>
                <w:rFonts w:cs="Calibri"/>
                <w:color w:val="000000" w:themeColor="text1"/>
                <w:sz w:val="14"/>
                <w:szCs w:val="14"/>
              </w:rPr>
            </w:pPr>
            <w:r w:rsidRPr="00977E53">
              <w:rPr>
                <w:rFonts w:cs="Calibri"/>
                <w:color w:val="000000" w:themeColor="text1"/>
                <w:sz w:val="14"/>
                <w:szCs w:val="14"/>
              </w:rPr>
              <w:t>(18)</w:t>
            </w:r>
          </w:p>
        </w:tc>
      </w:tr>
    </w:tbl>
    <w:p w14:paraId="75477B3F" w14:textId="77777777" w:rsidR="005345A8" w:rsidRPr="00977E53" w:rsidRDefault="005345A8" w:rsidP="00276360">
      <w:pPr>
        <w:suppressAutoHyphens/>
        <w:spacing w:before="120"/>
        <w:rPr>
          <w:rFonts w:eastAsia="Calibri" w:cs="Verdana"/>
          <w:i/>
          <w:color w:val="000000" w:themeColor="text1"/>
          <w:szCs w:val="16"/>
        </w:rPr>
      </w:pPr>
      <w:r w:rsidRPr="00977E53">
        <w:rPr>
          <w:rFonts w:eastAsia="Calibri" w:cs="Verdana"/>
          <w:i/>
          <w:color w:val="000000" w:themeColor="text1"/>
          <w:szCs w:val="16"/>
        </w:rPr>
        <w:t>*ujemna ekspozycja oznacza overcollateralizację</w:t>
      </w:r>
    </w:p>
    <w:p w14:paraId="369D4C2A" w14:textId="77777777" w:rsidR="00380AF3" w:rsidRDefault="00380AF3">
      <w:pPr>
        <w:rPr>
          <w:rFonts w:eastAsia="Calibri"/>
          <w:color w:val="000000" w:themeColor="text1"/>
          <w:sz w:val="18"/>
          <w:szCs w:val="18"/>
        </w:rPr>
      </w:pPr>
      <w:r>
        <w:rPr>
          <w:rFonts w:eastAsia="Calibri"/>
          <w:color w:val="000000" w:themeColor="text1"/>
          <w:sz w:val="18"/>
          <w:szCs w:val="18"/>
        </w:rPr>
        <w:br w:type="page"/>
      </w:r>
    </w:p>
    <w:p w14:paraId="5250087C" w14:textId="31A5899E" w:rsidR="005345A8" w:rsidRPr="00977E53" w:rsidRDefault="005345A8" w:rsidP="005345A8">
      <w:pPr>
        <w:autoSpaceDE w:val="0"/>
        <w:autoSpaceDN w:val="0"/>
        <w:adjustRightInd w:val="0"/>
        <w:spacing w:before="120" w:after="120"/>
        <w:jc w:val="both"/>
        <w:rPr>
          <w:rFonts w:eastAsia="Calibri"/>
          <w:color w:val="000000" w:themeColor="text1"/>
          <w:sz w:val="18"/>
          <w:szCs w:val="18"/>
        </w:rPr>
      </w:pPr>
      <w:r w:rsidRPr="00977E53">
        <w:rPr>
          <w:rFonts w:eastAsia="Calibri"/>
          <w:color w:val="000000" w:themeColor="text1"/>
          <w:sz w:val="18"/>
          <w:szCs w:val="18"/>
        </w:rPr>
        <w:lastRenderedPageBreak/>
        <w:t>Pozytywna wycena transakcji pochodnych (z uwzględnieniem netowania) oraz wniesione/otrzymane zabezpieczenie zostało przedstawione w poniższej tabeli:</w:t>
      </w:r>
    </w:p>
    <w:tbl>
      <w:tblPr>
        <w:tblW w:w="9629" w:type="dxa"/>
        <w:tblCellMar>
          <w:left w:w="28" w:type="dxa"/>
          <w:right w:w="28" w:type="dxa"/>
        </w:tblCellMar>
        <w:tblLook w:val="04A0" w:firstRow="1" w:lastRow="0" w:firstColumn="1" w:lastColumn="0" w:noHBand="0" w:noVBand="1"/>
      </w:tblPr>
      <w:tblGrid>
        <w:gridCol w:w="2021"/>
        <w:gridCol w:w="951"/>
        <w:gridCol w:w="951"/>
        <w:gridCol w:w="951"/>
        <w:gridCol w:w="951"/>
        <w:gridCol w:w="951"/>
        <w:gridCol w:w="951"/>
        <w:gridCol w:w="951"/>
        <w:gridCol w:w="951"/>
      </w:tblGrid>
      <w:tr w:rsidR="00CF40D9" w:rsidRPr="00217782" w14:paraId="79E83AC5" w14:textId="77777777" w:rsidTr="004637D1">
        <w:trPr>
          <w:trHeight w:val="227"/>
        </w:trPr>
        <w:tc>
          <w:tcPr>
            <w:tcW w:w="1928" w:type="dxa"/>
            <w:vMerge w:val="restart"/>
            <w:tcBorders>
              <w:top w:val="nil"/>
              <w:left w:val="single" w:sz="8" w:space="0" w:color="FFFFFF"/>
              <w:right w:val="single" w:sz="8" w:space="0" w:color="FFFFFF"/>
            </w:tcBorders>
            <w:shd w:val="clear" w:color="000000" w:fill="0077BD"/>
            <w:vAlign w:val="center"/>
            <w:hideMark/>
          </w:tcPr>
          <w:p w14:paraId="63626CC3" w14:textId="77777777" w:rsidR="00CF40D9" w:rsidRPr="00217782" w:rsidRDefault="00CF40D9" w:rsidP="0081070D">
            <w:pPr>
              <w:rPr>
                <w:rFonts w:cs="Calibri"/>
                <w:b/>
                <w:bCs/>
                <w:color w:val="FFFFFF"/>
                <w:sz w:val="14"/>
                <w:szCs w:val="14"/>
              </w:rPr>
            </w:pPr>
            <w:r w:rsidRPr="00217782">
              <w:rPr>
                <w:rFonts w:cs="Calibri"/>
                <w:b/>
                <w:bCs/>
                <w:color w:val="FFFFFF"/>
                <w:sz w:val="14"/>
                <w:szCs w:val="14"/>
              </w:rPr>
              <w:t>(w mln zł)</w:t>
            </w:r>
          </w:p>
        </w:tc>
        <w:tc>
          <w:tcPr>
            <w:tcW w:w="907" w:type="dxa"/>
            <w:gridSpan w:val="2"/>
            <w:vMerge w:val="restart"/>
            <w:tcBorders>
              <w:top w:val="nil"/>
              <w:left w:val="nil"/>
              <w:right w:val="single" w:sz="8" w:space="0" w:color="FFFFFF"/>
            </w:tcBorders>
            <w:shd w:val="clear" w:color="000000" w:fill="0077BD"/>
            <w:vAlign w:val="center"/>
            <w:hideMark/>
          </w:tcPr>
          <w:p w14:paraId="51F36E5F" w14:textId="77777777" w:rsidR="00CF40D9" w:rsidRPr="00217782" w:rsidRDefault="00CF40D9" w:rsidP="009E1F91">
            <w:pPr>
              <w:jc w:val="center"/>
              <w:rPr>
                <w:rFonts w:cs="Calibri"/>
                <w:b/>
                <w:bCs/>
                <w:color w:val="FFFFFF"/>
                <w:sz w:val="14"/>
                <w:szCs w:val="14"/>
              </w:rPr>
            </w:pPr>
            <w:r w:rsidRPr="00217782">
              <w:rPr>
                <w:rFonts w:cs="Calibri"/>
                <w:b/>
                <w:bCs/>
                <w:color w:val="FFFFFF"/>
                <w:sz w:val="14"/>
                <w:szCs w:val="14"/>
              </w:rPr>
              <w:t>Banki</w:t>
            </w:r>
          </w:p>
        </w:tc>
        <w:tc>
          <w:tcPr>
            <w:tcW w:w="907" w:type="dxa"/>
            <w:gridSpan w:val="2"/>
            <w:vMerge w:val="restart"/>
            <w:tcBorders>
              <w:top w:val="nil"/>
              <w:left w:val="nil"/>
              <w:right w:val="single" w:sz="8" w:space="0" w:color="FFFFFF"/>
            </w:tcBorders>
            <w:shd w:val="clear" w:color="000000" w:fill="0077BD"/>
            <w:vAlign w:val="center"/>
            <w:hideMark/>
          </w:tcPr>
          <w:p w14:paraId="02DE242F" w14:textId="43ECC59F" w:rsidR="00CF40D9" w:rsidRPr="00217782" w:rsidRDefault="00CF40D9" w:rsidP="009E1F91">
            <w:pPr>
              <w:jc w:val="center"/>
              <w:rPr>
                <w:rFonts w:cs="Calibri"/>
                <w:b/>
                <w:bCs/>
                <w:color w:val="FFFFFF"/>
                <w:sz w:val="14"/>
                <w:szCs w:val="14"/>
              </w:rPr>
            </w:pPr>
            <w:r w:rsidRPr="00217782">
              <w:rPr>
                <w:rFonts w:cs="Calibri"/>
                <w:b/>
                <w:bCs/>
                <w:color w:val="FFFFFF"/>
                <w:sz w:val="14"/>
                <w:szCs w:val="14"/>
              </w:rPr>
              <w:t>CCP</w:t>
            </w:r>
            <w:r>
              <w:rPr>
                <w:rFonts w:cs="Calibri"/>
                <w:b/>
                <w:bCs/>
                <w:color w:val="FFFFFF"/>
                <w:sz w:val="14"/>
                <w:szCs w:val="14"/>
              </w:rPr>
              <w:t>*</w:t>
            </w:r>
          </w:p>
        </w:tc>
        <w:tc>
          <w:tcPr>
            <w:tcW w:w="907" w:type="dxa"/>
            <w:gridSpan w:val="4"/>
            <w:tcBorders>
              <w:top w:val="nil"/>
              <w:left w:val="nil"/>
              <w:bottom w:val="nil"/>
              <w:right w:val="nil"/>
            </w:tcBorders>
            <w:shd w:val="clear" w:color="000000" w:fill="0077BD"/>
            <w:vAlign w:val="center"/>
            <w:hideMark/>
          </w:tcPr>
          <w:p w14:paraId="1F1EC13E" w14:textId="77777777" w:rsidR="00CF40D9" w:rsidRPr="00217782" w:rsidRDefault="00CF40D9" w:rsidP="009E1F91">
            <w:pPr>
              <w:jc w:val="center"/>
              <w:rPr>
                <w:rFonts w:cs="Calibri"/>
                <w:b/>
                <w:bCs/>
                <w:color w:val="FFFFFF"/>
                <w:sz w:val="14"/>
                <w:szCs w:val="14"/>
              </w:rPr>
            </w:pPr>
            <w:r w:rsidRPr="00217782">
              <w:rPr>
                <w:rFonts w:cs="Calibri"/>
                <w:b/>
                <w:bCs/>
                <w:color w:val="FFFFFF"/>
                <w:sz w:val="14"/>
                <w:szCs w:val="14"/>
              </w:rPr>
              <w:t>Korporacje i pozostali kontrahenci</w:t>
            </w:r>
          </w:p>
        </w:tc>
      </w:tr>
      <w:tr w:rsidR="00CF40D9" w:rsidRPr="00217782" w14:paraId="69FA75AF" w14:textId="77777777" w:rsidTr="004637D1">
        <w:trPr>
          <w:trHeight w:val="227"/>
        </w:trPr>
        <w:tc>
          <w:tcPr>
            <w:tcW w:w="1928" w:type="dxa"/>
            <w:vMerge/>
            <w:tcBorders>
              <w:left w:val="single" w:sz="8" w:space="0" w:color="FFFFFF"/>
              <w:right w:val="single" w:sz="8" w:space="0" w:color="FFFFFF"/>
            </w:tcBorders>
            <w:shd w:val="clear" w:color="000000" w:fill="0077BD"/>
            <w:vAlign w:val="center"/>
            <w:hideMark/>
          </w:tcPr>
          <w:p w14:paraId="5D2380D7" w14:textId="6FC1E511" w:rsidR="00CF40D9" w:rsidRPr="00217782" w:rsidRDefault="00CF40D9" w:rsidP="0081070D">
            <w:pPr>
              <w:rPr>
                <w:rFonts w:cs="Calibri"/>
                <w:b/>
                <w:bCs/>
                <w:color w:val="FFFFFF"/>
                <w:sz w:val="14"/>
                <w:szCs w:val="14"/>
              </w:rPr>
            </w:pPr>
          </w:p>
        </w:tc>
        <w:tc>
          <w:tcPr>
            <w:tcW w:w="907" w:type="dxa"/>
            <w:gridSpan w:val="2"/>
            <w:vMerge/>
            <w:tcBorders>
              <w:left w:val="nil"/>
              <w:bottom w:val="single" w:sz="6" w:space="0" w:color="FFFFFF"/>
              <w:right w:val="single" w:sz="8" w:space="0" w:color="FFFFFF"/>
            </w:tcBorders>
            <w:shd w:val="clear" w:color="000000" w:fill="0077BD"/>
            <w:vAlign w:val="center"/>
            <w:hideMark/>
          </w:tcPr>
          <w:p w14:paraId="361299E3" w14:textId="005B86FA" w:rsidR="00CF40D9" w:rsidRPr="00217782" w:rsidRDefault="00CF40D9" w:rsidP="00CF40D9">
            <w:pPr>
              <w:rPr>
                <w:rFonts w:cs="Calibri"/>
                <w:b/>
                <w:bCs/>
                <w:color w:val="FFFFFF"/>
                <w:sz w:val="14"/>
                <w:szCs w:val="14"/>
              </w:rPr>
            </w:pPr>
          </w:p>
        </w:tc>
        <w:tc>
          <w:tcPr>
            <w:tcW w:w="907" w:type="dxa"/>
            <w:gridSpan w:val="2"/>
            <w:vMerge/>
            <w:tcBorders>
              <w:left w:val="nil"/>
              <w:bottom w:val="single" w:sz="6" w:space="0" w:color="FFFFFF"/>
              <w:right w:val="single" w:sz="8" w:space="0" w:color="FFFFFF"/>
            </w:tcBorders>
            <w:shd w:val="clear" w:color="000000" w:fill="0077BD"/>
            <w:vAlign w:val="center"/>
            <w:hideMark/>
          </w:tcPr>
          <w:p w14:paraId="02A674E2" w14:textId="24344394" w:rsidR="00CF40D9" w:rsidRPr="00217782" w:rsidRDefault="00CF40D9" w:rsidP="009E1F91">
            <w:pPr>
              <w:jc w:val="center"/>
              <w:rPr>
                <w:rFonts w:cs="Calibri"/>
                <w:b/>
                <w:bCs/>
                <w:color w:val="FFFFFF"/>
                <w:sz w:val="14"/>
                <w:szCs w:val="14"/>
              </w:rPr>
            </w:pPr>
          </w:p>
        </w:tc>
        <w:tc>
          <w:tcPr>
            <w:tcW w:w="907" w:type="dxa"/>
            <w:tcBorders>
              <w:top w:val="single" w:sz="8" w:space="0" w:color="FFFFFF"/>
              <w:left w:val="nil"/>
              <w:bottom w:val="single" w:sz="6" w:space="0" w:color="FFFFFF"/>
              <w:right w:val="nil"/>
            </w:tcBorders>
            <w:shd w:val="clear" w:color="000000" w:fill="0077BD"/>
            <w:vAlign w:val="center"/>
            <w:hideMark/>
          </w:tcPr>
          <w:p w14:paraId="46DEA64B" w14:textId="77777777" w:rsidR="00CF40D9" w:rsidRPr="00217782" w:rsidRDefault="00CF40D9" w:rsidP="009E1F91">
            <w:pPr>
              <w:jc w:val="center"/>
              <w:rPr>
                <w:rFonts w:cs="Calibri"/>
                <w:b/>
                <w:bCs/>
                <w:color w:val="FFFFFF"/>
                <w:sz w:val="14"/>
                <w:szCs w:val="14"/>
              </w:rPr>
            </w:pPr>
            <w:r w:rsidRPr="00217782">
              <w:rPr>
                <w:rFonts w:cs="Calibri"/>
                <w:b/>
                <w:bCs/>
                <w:color w:val="FFFFFF"/>
                <w:sz w:val="14"/>
                <w:szCs w:val="14"/>
              </w:rPr>
              <w:t>CSA</w:t>
            </w:r>
          </w:p>
        </w:tc>
        <w:tc>
          <w:tcPr>
            <w:tcW w:w="907" w:type="dxa"/>
            <w:tcBorders>
              <w:top w:val="single" w:sz="8" w:space="0" w:color="FFFFFF"/>
              <w:left w:val="single" w:sz="8" w:space="0" w:color="FFFFFF"/>
              <w:bottom w:val="single" w:sz="6" w:space="0" w:color="FFFFFF"/>
              <w:right w:val="nil"/>
            </w:tcBorders>
            <w:shd w:val="clear" w:color="000000" w:fill="0077BD"/>
            <w:vAlign w:val="center"/>
            <w:hideMark/>
          </w:tcPr>
          <w:p w14:paraId="669E5AD2" w14:textId="77777777" w:rsidR="00CF40D9" w:rsidRPr="00217782" w:rsidRDefault="00CF40D9" w:rsidP="009E1F91">
            <w:pPr>
              <w:jc w:val="center"/>
              <w:rPr>
                <w:rFonts w:cs="Calibri"/>
                <w:b/>
                <w:bCs/>
                <w:color w:val="FFFFFF"/>
                <w:sz w:val="14"/>
                <w:szCs w:val="14"/>
              </w:rPr>
            </w:pPr>
            <w:r w:rsidRPr="00217782">
              <w:rPr>
                <w:rFonts w:cs="Calibri"/>
                <w:b/>
                <w:bCs/>
                <w:color w:val="FFFFFF"/>
                <w:sz w:val="14"/>
                <w:szCs w:val="14"/>
              </w:rPr>
              <w:t>bez CSA</w:t>
            </w:r>
          </w:p>
        </w:tc>
        <w:tc>
          <w:tcPr>
            <w:tcW w:w="907" w:type="dxa"/>
            <w:tcBorders>
              <w:top w:val="single" w:sz="8" w:space="0" w:color="FFFFFF"/>
              <w:left w:val="single" w:sz="8" w:space="0" w:color="FFFFFF"/>
              <w:bottom w:val="single" w:sz="6" w:space="0" w:color="FFFFFF"/>
              <w:right w:val="nil"/>
            </w:tcBorders>
            <w:shd w:val="clear" w:color="000000" w:fill="0077BD"/>
            <w:vAlign w:val="center"/>
            <w:hideMark/>
          </w:tcPr>
          <w:p w14:paraId="640F1762" w14:textId="77777777" w:rsidR="00CF40D9" w:rsidRPr="00217782" w:rsidRDefault="00CF40D9" w:rsidP="009E1F91">
            <w:pPr>
              <w:jc w:val="center"/>
              <w:rPr>
                <w:rFonts w:cs="Calibri"/>
                <w:b/>
                <w:bCs/>
                <w:color w:val="FFFFFF"/>
                <w:sz w:val="14"/>
                <w:szCs w:val="14"/>
              </w:rPr>
            </w:pPr>
            <w:r w:rsidRPr="00217782">
              <w:rPr>
                <w:rFonts w:cs="Calibri"/>
                <w:b/>
                <w:bCs/>
                <w:color w:val="FFFFFF"/>
                <w:sz w:val="14"/>
                <w:szCs w:val="14"/>
              </w:rPr>
              <w:t>CSA</w:t>
            </w:r>
          </w:p>
        </w:tc>
        <w:tc>
          <w:tcPr>
            <w:tcW w:w="907" w:type="dxa"/>
            <w:tcBorders>
              <w:top w:val="single" w:sz="8" w:space="0" w:color="FFFFFF"/>
              <w:left w:val="single" w:sz="8" w:space="0" w:color="FFFFFF"/>
              <w:bottom w:val="single" w:sz="6" w:space="0" w:color="FFFFFF"/>
              <w:right w:val="nil"/>
            </w:tcBorders>
            <w:shd w:val="clear" w:color="000000" w:fill="0077BD"/>
            <w:vAlign w:val="center"/>
            <w:hideMark/>
          </w:tcPr>
          <w:p w14:paraId="3200F66D" w14:textId="4FAD6A03" w:rsidR="00CF40D9" w:rsidRPr="00217782" w:rsidRDefault="00CF40D9" w:rsidP="009E1F91">
            <w:pPr>
              <w:jc w:val="center"/>
              <w:rPr>
                <w:rFonts w:cs="Calibri"/>
                <w:b/>
                <w:bCs/>
                <w:color w:val="FFFFFF"/>
                <w:sz w:val="14"/>
                <w:szCs w:val="14"/>
              </w:rPr>
            </w:pPr>
            <w:r w:rsidRPr="00217782">
              <w:rPr>
                <w:rFonts w:cs="Calibri"/>
                <w:b/>
                <w:bCs/>
                <w:color w:val="FFFFFF"/>
                <w:sz w:val="14"/>
                <w:szCs w:val="14"/>
              </w:rPr>
              <w:t>bez CSA</w:t>
            </w:r>
            <w:r w:rsidR="005A0812">
              <w:rPr>
                <w:rFonts w:cs="Calibri"/>
                <w:b/>
                <w:bCs/>
                <w:color w:val="FFFFFF"/>
                <w:sz w:val="14"/>
                <w:szCs w:val="14"/>
              </w:rPr>
              <w:t>**</w:t>
            </w:r>
          </w:p>
        </w:tc>
      </w:tr>
      <w:tr w:rsidR="0081070D" w:rsidRPr="00217782" w14:paraId="0CDBA9F4" w14:textId="77777777" w:rsidTr="004637D1">
        <w:trPr>
          <w:trHeight w:val="227"/>
        </w:trPr>
        <w:tc>
          <w:tcPr>
            <w:tcW w:w="1928" w:type="dxa"/>
            <w:vMerge/>
            <w:tcBorders>
              <w:left w:val="single" w:sz="8" w:space="0" w:color="FFFFFF"/>
              <w:bottom w:val="nil"/>
              <w:right w:val="single" w:sz="8" w:space="0" w:color="FFFFFF"/>
            </w:tcBorders>
            <w:shd w:val="clear" w:color="000000" w:fill="0077BD"/>
            <w:vAlign w:val="center"/>
            <w:hideMark/>
          </w:tcPr>
          <w:p w14:paraId="48819C5B" w14:textId="0BB9BE30" w:rsidR="0081070D" w:rsidRPr="00217782" w:rsidRDefault="0081070D" w:rsidP="009E1F91">
            <w:pPr>
              <w:rPr>
                <w:rFonts w:cs="Calibri"/>
                <w:b/>
                <w:bCs/>
                <w:color w:val="FFFFFF"/>
                <w:sz w:val="14"/>
                <w:szCs w:val="14"/>
              </w:rPr>
            </w:pPr>
          </w:p>
        </w:tc>
        <w:tc>
          <w:tcPr>
            <w:tcW w:w="907" w:type="dxa"/>
            <w:tcBorders>
              <w:top w:val="single" w:sz="6" w:space="0" w:color="FFFFFF"/>
              <w:left w:val="nil"/>
              <w:bottom w:val="nil"/>
              <w:right w:val="nil"/>
            </w:tcBorders>
            <w:shd w:val="clear" w:color="000000" w:fill="0077BD"/>
            <w:vAlign w:val="center"/>
            <w:hideMark/>
          </w:tcPr>
          <w:p w14:paraId="2F582A79"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2019</w:t>
            </w:r>
          </w:p>
        </w:tc>
        <w:tc>
          <w:tcPr>
            <w:tcW w:w="907" w:type="dxa"/>
            <w:tcBorders>
              <w:top w:val="single" w:sz="6" w:space="0" w:color="FFFFFF"/>
              <w:left w:val="single" w:sz="8" w:space="0" w:color="FFFFFF"/>
              <w:bottom w:val="nil"/>
              <w:right w:val="nil"/>
            </w:tcBorders>
            <w:shd w:val="clear" w:color="000000" w:fill="0077BD"/>
            <w:vAlign w:val="center"/>
            <w:hideMark/>
          </w:tcPr>
          <w:p w14:paraId="64622E82"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2018</w:t>
            </w:r>
          </w:p>
        </w:tc>
        <w:tc>
          <w:tcPr>
            <w:tcW w:w="907" w:type="dxa"/>
            <w:tcBorders>
              <w:top w:val="single" w:sz="6" w:space="0" w:color="FFFFFF"/>
              <w:left w:val="single" w:sz="8" w:space="0" w:color="FFFFFF"/>
              <w:bottom w:val="nil"/>
              <w:right w:val="nil"/>
            </w:tcBorders>
            <w:shd w:val="clear" w:color="000000" w:fill="0077BD"/>
            <w:vAlign w:val="center"/>
            <w:hideMark/>
          </w:tcPr>
          <w:p w14:paraId="259F272A"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2019</w:t>
            </w:r>
          </w:p>
        </w:tc>
        <w:tc>
          <w:tcPr>
            <w:tcW w:w="907" w:type="dxa"/>
            <w:tcBorders>
              <w:top w:val="single" w:sz="6" w:space="0" w:color="FFFFFF"/>
              <w:left w:val="single" w:sz="8" w:space="0" w:color="FFFFFF"/>
              <w:bottom w:val="nil"/>
              <w:right w:val="single" w:sz="8" w:space="0" w:color="FFFFFF"/>
            </w:tcBorders>
            <w:shd w:val="clear" w:color="000000" w:fill="0077BD"/>
            <w:vAlign w:val="center"/>
            <w:hideMark/>
          </w:tcPr>
          <w:p w14:paraId="65AE4C59"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2018</w:t>
            </w:r>
          </w:p>
        </w:tc>
        <w:tc>
          <w:tcPr>
            <w:tcW w:w="907" w:type="dxa"/>
            <w:gridSpan w:val="2"/>
            <w:tcBorders>
              <w:top w:val="single" w:sz="6" w:space="0" w:color="FFFFFF"/>
              <w:left w:val="nil"/>
              <w:bottom w:val="nil"/>
              <w:right w:val="single" w:sz="8" w:space="0" w:color="FFFFFF"/>
            </w:tcBorders>
            <w:shd w:val="clear" w:color="000000" w:fill="0077BD"/>
            <w:vAlign w:val="center"/>
            <w:hideMark/>
          </w:tcPr>
          <w:p w14:paraId="6AB3E738"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2019</w:t>
            </w:r>
          </w:p>
        </w:tc>
        <w:tc>
          <w:tcPr>
            <w:tcW w:w="907" w:type="dxa"/>
            <w:gridSpan w:val="2"/>
            <w:tcBorders>
              <w:top w:val="single" w:sz="6" w:space="0" w:color="FFFFFF"/>
              <w:left w:val="nil"/>
              <w:bottom w:val="nil"/>
              <w:right w:val="nil"/>
            </w:tcBorders>
            <w:shd w:val="clear" w:color="000000" w:fill="0077BD"/>
            <w:vAlign w:val="center"/>
            <w:hideMark/>
          </w:tcPr>
          <w:p w14:paraId="12BA36F9" w14:textId="77777777" w:rsidR="0081070D" w:rsidRPr="00217782" w:rsidRDefault="0081070D" w:rsidP="009E1F91">
            <w:pPr>
              <w:jc w:val="center"/>
              <w:rPr>
                <w:rFonts w:cs="Calibri"/>
                <w:b/>
                <w:bCs/>
                <w:color w:val="FFFFFF"/>
                <w:sz w:val="14"/>
                <w:szCs w:val="14"/>
              </w:rPr>
            </w:pPr>
            <w:r w:rsidRPr="00217782">
              <w:rPr>
                <w:rFonts w:cs="Calibri"/>
                <w:b/>
                <w:bCs/>
                <w:color w:val="FFFFFF"/>
                <w:sz w:val="14"/>
                <w:szCs w:val="14"/>
              </w:rPr>
              <w:t>2018</w:t>
            </w:r>
          </w:p>
        </w:tc>
      </w:tr>
      <w:tr w:rsidR="00977E53" w:rsidRPr="00977E53" w14:paraId="7ECCC684" w14:textId="77777777" w:rsidTr="00E20D07">
        <w:trPr>
          <w:trHeight w:val="288"/>
        </w:trPr>
        <w:tc>
          <w:tcPr>
            <w:tcW w:w="1928" w:type="dxa"/>
            <w:tcBorders>
              <w:top w:val="nil"/>
              <w:left w:val="nil"/>
              <w:bottom w:val="single" w:sz="4" w:space="0" w:color="0077BD"/>
              <w:right w:val="single" w:sz="8" w:space="0" w:color="0077BD"/>
            </w:tcBorders>
            <w:shd w:val="clear" w:color="auto" w:fill="auto"/>
            <w:noWrap/>
            <w:vAlign w:val="center"/>
            <w:hideMark/>
          </w:tcPr>
          <w:p w14:paraId="6213B1A8" w14:textId="77777777" w:rsidR="008E595C" w:rsidRPr="00977E53" w:rsidRDefault="008E595C" w:rsidP="008E595C">
            <w:pPr>
              <w:rPr>
                <w:rFonts w:cs="Calibri"/>
                <w:color w:val="000000" w:themeColor="text1"/>
                <w:sz w:val="14"/>
                <w:szCs w:val="14"/>
              </w:rPr>
            </w:pPr>
            <w:r w:rsidRPr="00977E53">
              <w:rPr>
                <w:rFonts w:cs="Calibri"/>
                <w:color w:val="000000" w:themeColor="text1"/>
                <w:sz w:val="14"/>
                <w:szCs w:val="14"/>
              </w:rPr>
              <w:t>NPV</w:t>
            </w:r>
          </w:p>
        </w:tc>
        <w:tc>
          <w:tcPr>
            <w:tcW w:w="907" w:type="dxa"/>
            <w:tcBorders>
              <w:top w:val="nil"/>
              <w:left w:val="nil"/>
              <w:bottom w:val="single" w:sz="4" w:space="0" w:color="0077BD"/>
              <w:right w:val="single" w:sz="8" w:space="0" w:color="0077BD"/>
            </w:tcBorders>
            <w:shd w:val="clear" w:color="auto" w:fill="auto"/>
            <w:noWrap/>
            <w:vAlign w:val="center"/>
          </w:tcPr>
          <w:p w14:paraId="289366D4" w14:textId="3ED051F2" w:rsidR="008E595C" w:rsidRPr="00977E53" w:rsidRDefault="008E595C" w:rsidP="008E595C">
            <w:pPr>
              <w:jc w:val="right"/>
              <w:rPr>
                <w:rFonts w:cs="Calibri"/>
                <w:color w:val="000000" w:themeColor="text1"/>
                <w:sz w:val="14"/>
                <w:szCs w:val="14"/>
              </w:rPr>
            </w:pPr>
            <w:r w:rsidRPr="00977E53">
              <w:rPr>
                <w:color w:val="000000" w:themeColor="text1"/>
                <w:sz w:val="14"/>
                <w:szCs w:val="14"/>
              </w:rPr>
              <w:t>32,11</w:t>
            </w:r>
          </w:p>
        </w:tc>
        <w:tc>
          <w:tcPr>
            <w:tcW w:w="907" w:type="dxa"/>
            <w:tcBorders>
              <w:top w:val="nil"/>
              <w:left w:val="nil"/>
              <w:bottom w:val="single" w:sz="4" w:space="0" w:color="0077BD"/>
              <w:right w:val="single" w:sz="8" w:space="0" w:color="0077BD"/>
            </w:tcBorders>
            <w:shd w:val="clear" w:color="auto" w:fill="auto"/>
            <w:noWrap/>
            <w:vAlign w:val="center"/>
            <w:hideMark/>
          </w:tcPr>
          <w:p w14:paraId="39DCA2F7"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26,78</w:t>
            </w:r>
          </w:p>
        </w:tc>
        <w:tc>
          <w:tcPr>
            <w:tcW w:w="907" w:type="dxa"/>
            <w:tcBorders>
              <w:top w:val="nil"/>
              <w:left w:val="nil"/>
              <w:bottom w:val="single" w:sz="4" w:space="0" w:color="0077BD"/>
              <w:right w:val="single" w:sz="8" w:space="0" w:color="0077BD"/>
            </w:tcBorders>
            <w:shd w:val="clear" w:color="auto" w:fill="auto"/>
            <w:noWrap/>
            <w:vAlign w:val="center"/>
          </w:tcPr>
          <w:p w14:paraId="6064B04D" w14:textId="626BF12A" w:rsidR="008E595C" w:rsidRPr="00977E53" w:rsidRDefault="008D2BC8" w:rsidP="008E595C">
            <w:pPr>
              <w:jc w:val="right"/>
              <w:rPr>
                <w:rFonts w:cs="Calibri"/>
                <w:color w:val="000000" w:themeColor="text1"/>
                <w:sz w:val="14"/>
                <w:szCs w:val="14"/>
              </w:rPr>
            </w:pPr>
            <w:r w:rsidRPr="00977E53">
              <w:rPr>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hideMark/>
          </w:tcPr>
          <w:p w14:paraId="11CC5A42"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5,87</w:t>
            </w:r>
          </w:p>
        </w:tc>
        <w:tc>
          <w:tcPr>
            <w:tcW w:w="907" w:type="dxa"/>
            <w:tcBorders>
              <w:top w:val="nil"/>
              <w:left w:val="nil"/>
              <w:bottom w:val="single" w:sz="4" w:space="0" w:color="0077BD"/>
              <w:right w:val="single" w:sz="8" w:space="0" w:color="0077BD"/>
            </w:tcBorders>
            <w:shd w:val="clear" w:color="auto" w:fill="auto"/>
            <w:noWrap/>
            <w:vAlign w:val="center"/>
          </w:tcPr>
          <w:p w14:paraId="67AF591C" w14:textId="265EC72E" w:rsidR="008E595C" w:rsidRPr="00977E53" w:rsidRDefault="008E595C" w:rsidP="008E595C">
            <w:pPr>
              <w:jc w:val="right"/>
              <w:rPr>
                <w:rFonts w:cs="Calibri"/>
                <w:color w:val="000000" w:themeColor="text1"/>
                <w:sz w:val="14"/>
                <w:szCs w:val="14"/>
              </w:rPr>
            </w:pPr>
            <w:r w:rsidRPr="00977E53">
              <w:rPr>
                <w:color w:val="000000" w:themeColor="text1"/>
                <w:sz w:val="14"/>
                <w:szCs w:val="14"/>
              </w:rPr>
              <w:t>1,23</w:t>
            </w:r>
          </w:p>
        </w:tc>
        <w:tc>
          <w:tcPr>
            <w:tcW w:w="907" w:type="dxa"/>
            <w:tcBorders>
              <w:top w:val="nil"/>
              <w:left w:val="nil"/>
              <w:bottom w:val="single" w:sz="4" w:space="0" w:color="0077BD"/>
              <w:right w:val="single" w:sz="8" w:space="0" w:color="0077BD"/>
            </w:tcBorders>
            <w:shd w:val="clear" w:color="auto" w:fill="auto"/>
            <w:noWrap/>
            <w:vAlign w:val="center"/>
          </w:tcPr>
          <w:p w14:paraId="4CFA7DC8" w14:textId="1D0C08BA" w:rsidR="008E595C" w:rsidRPr="00977E53" w:rsidRDefault="008E595C" w:rsidP="008E595C">
            <w:pPr>
              <w:jc w:val="right"/>
              <w:rPr>
                <w:rFonts w:cs="Calibri"/>
                <w:color w:val="000000" w:themeColor="text1"/>
                <w:sz w:val="14"/>
                <w:szCs w:val="14"/>
              </w:rPr>
            </w:pPr>
            <w:r w:rsidRPr="00977E53">
              <w:rPr>
                <w:color w:val="000000" w:themeColor="text1"/>
                <w:sz w:val="14"/>
                <w:szCs w:val="14"/>
              </w:rPr>
              <w:t>129,73</w:t>
            </w:r>
          </w:p>
        </w:tc>
        <w:tc>
          <w:tcPr>
            <w:tcW w:w="907" w:type="dxa"/>
            <w:tcBorders>
              <w:top w:val="nil"/>
              <w:left w:val="nil"/>
              <w:bottom w:val="single" w:sz="4" w:space="0" w:color="0077BD"/>
              <w:right w:val="single" w:sz="8" w:space="0" w:color="0077BD"/>
            </w:tcBorders>
            <w:shd w:val="clear" w:color="auto" w:fill="auto"/>
            <w:noWrap/>
            <w:vAlign w:val="center"/>
            <w:hideMark/>
          </w:tcPr>
          <w:p w14:paraId="40B8501A"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38,45</w:t>
            </w:r>
          </w:p>
        </w:tc>
        <w:tc>
          <w:tcPr>
            <w:tcW w:w="907" w:type="dxa"/>
            <w:tcBorders>
              <w:top w:val="nil"/>
              <w:left w:val="nil"/>
              <w:bottom w:val="single" w:sz="4" w:space="0" w:color="0077BD"/>
              <w:right w:val="nil"/>
            </w:tcBorders>
            <w:shd w:val="clear" w:color="auto" w:fill="auto"/>
            <w:noWrap/>
            <w:vAlign w:val="center"/>
            <w:hideMark/>
          </w:tcPr>
          <w:p w14:paraId="79E5C53E"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127,48</w:t>
            </w:r>
          </w:p>
        </w:tc>
      </w:tr>
      <w:tr w:rsidR="00977E53" w:rsidRPr="00977E53" w14:paraId="02475923" w14:textId="77777777" w:rsidTr="00E20D07">
        <w:trPr>
          <w:trHeight w:val="288"/>
        </w:trPr>
        <w:tc>
          <w:tcPr>
            <w:tcW w:w="1928" w:type="dxa"/>
            <w:tcBorders>
              <w:top w:val="nil"/>
              <w:left w:val="nil"/>
              <w:bottom w:val="single" w:sz="4" w:space="0" w:color="0077BD"/>
              <w:right w:val="single" w:sz="8" w:space="0" w:color="0077BD"/>
            </w:tcBorders>
            <w:shd w:val="clear" w:color="auto" w:fill="auto"/>
            <w:noWrap/>
            <w:vAlign w:val="center"/>
            <w:hideMark/>
          </w:tcPr>
          <w:p w14:paraId="0D66E661" w14:textId="77777777" w:rsidR="00E20D07" w:rsidRPr="00E20D07" w:rsidRDefault="00E20D07" w:rsidP="00E20D07">
            <w:pPr>
              <w:rPr>
                <w:rFonts w:cs="Calibri"/>
                <w:color w:val="000000" w:themeColor="text1"/>
                <w:sz w:val="14"/>
                <w:szCs w:val="14"/>
              </w:rPr>
            </w:pPr>
            <w:r w:rsidRPr="00E20D07">
              <w:rPr>
                <w:rFonts w:cs="Calibri"/>
                <w:color w:val="000000" w:themeColor="text1"/>
                <w:sz w:val="14"/>
                <w:szCs w:val="14"/>
              </w:rPr>
              <w:t xml:space="preserve">zabezpieczenie otrzymane </w:t>
            </w:r>
          </w:p>
          <w:p w14:paraId="10E8C4D8" w14:textId="63DCE324" w:rsidR="008E595C" w:rsidRPr="00977E53" w:rsidRDefault="00E20D07" w:rsidP="00E20D07">
            <w:pPr>
              <w:rPr>
                <w:rFonts w:cs="Calibri"/>
                <w:color w:val="000000" w:themeColor="text1"/>
                <w:sz w:val="14"/>
                <w:szCs w:val="14"/>
              </w:rPr>
            </w:pPr>
            <w:r w:rsidRPr="00E20D07">
              <w:rPr>
                <w:rFonts w:cs="Calibri"/>
                <w:color w:val="000000" w:themeColor="text1"/>
                <w:sz w:val="14"/>
                <w:szCs w:val="14"/>
              </w:rPr>
              <w:t>(z uwzględn</w:t>
            </w:r>
            <w:r>
              <w:rPr>
                <w:rFonts w:cs="Calibri"/>
                <w:color w:val="000000" w:themeColor="text1"/>
                <w:sz w:val="14"/>
                <w:szCs w:val="14"/>
              </w:rPr>
              <w:t>ieniem zabezpieczenia złożonego</w:t>
            </w:r>
            <w:r>
              <w:rPr>
                <w:rFonts w:cs="Calibri"/>
                <w:color w:val="000000" w:themeColor="text1"/>
                <w:sz w:val="14"/>
                <w:szCs w:val="14"/>
              </w:rPr>
              <w:br/>
            </w:r>
            <w:r w:rsidRPr="00E20D07">
              <w:rPr>
                <w:rFonts w:cs="Calibri"/>
                <w:color w:val="000000" w:themeColor="text1"/>
                <w:sz w:val="14"/>
                <w:szCs w:val="14"/>
              </w:rPr>
              <w:t>u depozytariusza)</w:t>
            </w:r>
          </w:p>
        </w:tc>
        <w:tc>
          <w:tcPr>
            <w:tcW w:w="907" w:type="dxa"/>
            <w:tcBorders>
              <w:top w:val="nil"/>
              <w:left w:val="nil"/>
              <w:bottom w:val="single" w:sz="4" w:space="0" w:color="0077BD"/>
              <w:right w:val="single" w:sz="8" w:space="0" w:color="0077BD"/>
            </w:tcBorders>
            <w:shd w:val="clear" w:color="auto" w:fill="auto"/>
            <w:noWrap/>
            <w:vAlign w:val="center"/>
          </w:tcPr>
          <w:p w14:paraId="4CD454EE" w14:textId="58E4765F" w:rsidR="008E595C" w:rsidRPr="00977E53" w:rsidRDefault="008E595C" w:rsidP="008E595C">
            <w:pPr>
              <w:jc w:val="right"/>
              <w:rPr>
                <w:rFonts w:cs="Calibri"/>
                <w:color w:val="000000" w:themeColor="text1"/>
                <w:sz w:val="14"/>
                <w:szCs w:val="14"/>
              </w:rPr>
            </w:pPr>
            <w:r w:rsidRPr="00977E53">
              <w:rPr>
                <w:color w:val="000000" w:themeColor="text1"/>
                <w:sz w:val="14"/>
                <w:szCs w:val="14"/>
              </w:rPr>
              <w:t>154,86</w:t>
            </w:r>
          </w:p>
        </w:tc>
        <w:tc>
          <w:tcPr>
            <w:tcW w:w="907" w:type="dxa"/>
            <w:tcBorders>
              <w:top w:val="nil"/>
              <w:left w:val="nil"/>
              <w:bottom w:val="single" w:sz="4" w:space="0" w:color="0077BD"/>
              <w:right w:val="single" w:sz="8" w:space="0" w:color="0077BD"/>
            </w:tcBorders>
            <w:shd w:val="clear" w:color="auto" w:fill="auto"/>
            <w:noWrap/>
            <w:vAlign w:val="center"/>
            <w:hideMark/>
          </w:tcPr>
          <w:p w14:paraId="08CB0CB9"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86,93</w:t>
            </w:r>
          </w:p>
        </w:tc>
        <w:tc>
          <w:tcPr>
            <w:tcW w:w="907" w:type="dxa"/>
            <w:tcBorders>
              <w:top w:val="nil"/>
              <w:left w:val="nil"/>
              <w:bottom w:val="single" w:sz="4" w:space="0" w:color="0077BD"/>
              <w:right w:val="single" w:sz="8" w:space="0" w:color="0077BD"/>
            </w:tcBorders>
            <w:shd w:val="clear" w:color="auto" w:fill="auto"/>
            <w:noWrap/>
            <w:vAlign w:val="center"/>
          </w:tcPr>
          <w:p w14:paraId="70B3DC03" w14:textId="3CCA3DD3" w:rsidR="008E595C" w:rsidRPr="00977E53" w:rsidRDefault="008E595C" w:rsidP="008E595C">
            <w:pPr>
              <w:jc w:val="right"/>
              <w:rPr>
                <w:rFonts w:cs="Calibri"/>
                <w:color w:val="000000" w:themeColor="text1"/>
                <w:sz w:val="14"/>
                <w:szCs w:val="14"/>
              </w:rPr>
            </w:pPr>
            <w:r w:rsidRPr="00977E53">
              <w:rPr>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hideMark/>
          </w:tcPr>
          <w:p w14:paraId="3F0C51E1"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tcPr>
          <w:p w14:paraId="56AE0911" w14:textId="71B79950" w:rsidR="008E595C" w:rsidRPr="00977E53" w:rsidRDefault="008E595C" w:rsidP="008E595C">
            <w:pPr>
              <w:jc w:val="right"/>
              <w:rPr>
                <w:rFonts w:cs="Calibri"/>
                <w:color w:val="000000" w:themeColor="text1"/>
                <w:sz w:val="14"/>
                <w:szCs w:val="14"/>
              </w:rPr>
            </w:pPr>
            <w:r w:rsidRPr="00977E53">
              <w:rPr>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tcPr>
          <w:p w14:paraId="6D9EB354" w14:textId="2B8198C9" w:rsidR="008E595C" w:rsidRPr="00977E53" w:rsidRDefault="008E595C" w:rsidP="008E595C">
            <w:pPr>
              <w:jc w:val="right"/>
              <w:rPr>
                <w:rFonts w:cs="Calibri"/>
                <w:color w:val="000000" w:themeColor="text1"/>
                <w:sz w:val="14"/>
                <w:szCs w:val="14"/>
              </w:rPr>
            </w:pPr>
            <w:r w:rsidRPr="00977E53">
              <w:rPr>
                <w:color w:val="000000" w:themeColor="text1"/>
                <w:sz w:val="14"/>
                <w:szCs w:val="14"/>
              </w:rPr>
              <w:t>51,31</w:t>
            </w:r>
          </w:p>
        </w:tc>
        <w:tc>
          <w:tcPr>
            <w:tcW w:w="907" w:type="dxa"/>
            <w:tcBorders>
              <w:top w:val="nil"/>
              <w:left w:val="nil"/>
              <w:bottom w:val="single" w:sz="4" w:space="0" w:color="0077BD"/>
              <w:right w:val="single" w:sz="8" w:space="0" w:color="0077BD"/>
            </w:tcBorders>
            <w:shd w:val="clear" w:color="auto" w:fill="auto"/>
            <w:noWrap/>
            <w:vAlign w:val="center"/>
            <w:hideMark/>
          </w:tcPr>
          <w:p w14:paraId="7C529BC4"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w:t>
            </w:r>
          </w:p>
        </w:tc>
        <w:tc>
          <w:tcPr>
            <w:tcW w:w="907" w:type="dxa"/>
            <w:tcBorders>
              <w:top w:val="nil"/>
              <w:left w:val="nil"/>
              <w:bottom w:val="single" w:sz="4" w:space="0" w:color="0077BD"/>
              <w:right w:val="nil"/>
            </w:tcBorders>
            <w:shd w:val="clear" w:color="auto" w:fill="auto"/>
            <w:noWrap/>
            <w:vAlign w:val="center"/>
            <w:hideMark/>
          </w:tcPr>
          <w:p w14:paraId="082EB0F5"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41,26</w:t>
            </w:r>
          </w:p>
        </w:tc>
      </w:tr>
      <w:tr w:rsidR="00977E53" w:rsidRPr="00977E53" w14:paraId="028D480E" w14:textId="77777777" w:rsidTr="00E20D07">
        <w:trPr>
          <w:trHeight w:val="288"/>
        </w:trPr>
        <w:tc>
          <w:tcPr>
            <w:tcW w:w="1928" w:type="dxa"/>
            <w:tcBorders>
              <w:top w:val="nil"/>
              <w:left w:val="nil"/>
              <w:bottom w:val="single" w:sz="4" w:space="0" w:color="0077BD"/>
              <w:right w:val="single" w:sz="8" w:space="0" w:color="0077BD"/>
            </w:tcBorders>
            <w:shd w:val="clear" w:color="auto" w:fill="auto"/>
            <w:noWrap/>
            <w:vAlign w:val="center"/>
            <w:hideMark/>
          </w:tcPr>
          <w:p w14:paraId="6263D680" w14:textId="77777777" w:rsidR="00E20D07" w:rsidRPr="00E20D07" w:rsidRDefault="00E20D07" w:rsidP="00E20D07">
            <w:pPr>
              <w:rPr>
                <w:rFonts w:cs="Calibri"/>
                <w:color w:val="000000" w:themeColor="text1"/>
                <w:sz w:val="14"/>
                <w:szCs w:val="14"/>
              </w:rPr>
            </w:pPr>
            <w:r w:rsidRPr="00E20D07">
              <w:rPr>
                <w:rFonts w:cs="Calibri"/>
                <w:color w:val="000000" w:themeColor="text1"/>
                <w:sz w:val="14"/>
                <w:szCs w:val="14"/>
              </w:rPr>
              <w:t xml:space="preserve">zabezpieczenie wpłacone </w:t>
            </w:r>
          </w:p>
          <w:p w14:paraId="063334B0" w14:textId="4FB38EF7" w:rsidR="008E595C" w:rsidRPr="00977E53" w:rsidRDefault="00E20D07" w:rsidP="00E20D07">
            <w:pPr>
              <w:rPr>
                <w:rFonts w:cs="Calibri"/>
                <w:color w:val="000000" w:themeColor="text1"/>
                <w:sz w:val="14"/>
                <w:szCs w:val="14"/>
              </w:rPr>
            </w:pPr>
            <w:r w:rsidRPr="00E20D07">
              <w:rPr>
                <w:rFonts w:cs="Calibri"/>
                <w:color w:val="000000" w:themeColor="text1"/>
                <w:sz w:val="14"/>
                <w:szCs w:val="14"/>
              </w:rPr>
              <w:t>(z uwzględn</w:t>
            </w:r>
            <w:r>
              <w:rPr>
                <w:rFonts w:cs="Calibri"/>
                <w:color w:val="000000" w:themeColor="text1"/>
                <w:sz w:val="14"/>
                <w:szCs w:val="14"/>
              </w:rPr>
              <w:t>ieniem zabezpieczenia złożonego</w:t>
            </w:r>
            <w:r>
              <w:rPr>
                <w:rFonts w:cs="Calibri"/>
                <w:color w:val="000000" w:themeColor="text1"/>
                <w:sz w:val="14"/>
                <w:szCs w:val="14"/>
              </w:rPr>
              <w:br/>
            </w:r>
            <w:r w:rsidRPr="00E20D07">
              <w:rPr>
                <w:rFonts w:cs="Calibri"/>
                <w:color w:val="000000" w:themeColor="text1"/>
                <w:sz w:val="14"/>
                <w:szCs w:val="14"/>
              </w:rPr>
              <w:t>u depozytariusza)</w:t>
            </w:r>
          </w:p>
        </w:tc>
        <w:tc>
          <w:tcPr>
            <w:tcW w:w="907" w:type="dxa"/>
            <w:tcBorders>
              <w:top w:val="nil"/>
              <w:left w:val="nil"/>
              <w:bottom w:val="single" w:sz="4" w:space="0" w:color="0077BD"/>
              <w:right w:val="single" w:sz="8" w:space="0" w:color="0077BD"/>
            </w:tcBorders>
            <w:shd w:val="clear" w:color="auto" w:fill="auto"/>
            <w:noWrap/>
            <w:vAlign w:val="center"/>
          </w:tcPr>
          <w:p w14:paraId="7578F46A" w14:textId="4F9E02F6" w:rsidR="008E595C" w:rsidRPr="00977E53" w:rsidRDefault="008E595C" w:rsidP="008E595C">
            <w:pPr>
              <w:jc w:val="right"/>
              <w:rPr>
                <w:rFonts w:cs="Calibri"/>
                <w:color w:val="000000" w:themeColor="text1"/>
                <w:sz w:val="14"/>
                <w:szCs w:val="14"/>
              </w:rPr>
            </w:pPr>
            <w:r w:rsidRPr="00977E53">
              <w:rPr>
                <w:color w:val="000000" w:themeColor="text1"/>
                <w:sz w:val="14"/>
                <w:szCs w:val="14"/>
              </w:rPr>
              <w:t>55,30</w:t>
            </w:r>
          </w:p>
        </w:tc>
        <w:tc>
          <w:tcPr>
            <w:tcW w:w="907" w:type="dxa"/>
            <w:tcBorders>
              <w:top w:val="nil"/>
              <w:left w:val="nil"/>
              <w:bottom w:val="single" w:sz="4" w:space="0" w:color="0077BD"/>
              <w:right w:val="single" w:sz="8" w:space="0" w:color="0077BD"/>
            </w:tcBorders>
            <w:shd w:val="clear" w:color="auto" w:fill="auto"/>
            <w:noWrap/>
            <w:vAlign w:val="center"/>
            <w:hideMark/>
          </w:tcPr>
          <w:p w14:paraId="3C458B59"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0,64</w:t>
            </w:r>
          </w:p>
        </w:tc>
        <w:tc>
          <w:tcPr>
            <w:tcW w:w="907" w:type="dxa"/>
            <w:tcBorders>
              <w:top w:val="nil"/>
              <w:left w:val="nil"/>
              <w:bottom w:val="single" w:sz="4" w:space="0" w:color="0077BD"/>
              <w:right w:val="single" w:sz="8" w:space="0" w:color="0077BD"/>
            </w:tcBorders>
            <w:shd w:val="clear" w:color="auto" w:fill="auto"/>
            <w:noWrap/>
            <w:vAlign w:val="center"/>
          </w:tcPr>
          <w:p w14:paraId="52FFA1D5" w14:textId="35B2A29E" w:rsidR="008E595C" w:rsidRPr="00977E53" w:rsidRDefault="008E595C" w:rsidP="008E595C">
            <w:pPr>
              <w:jc w:val="right"/>
              <w:rPr>
                <w:rFonts w:cs="Calibri"/>
                <w:color w:val="000000" w:themeColor="text1"/>
                <w:sz w:val="14"/>
                <w:szCs w:val="14"/>
              </w:rPr>
            </w:pPr>
            <w:r w:rsidRPr="00977E53">
              <w:rPr>
                <w:color w:val="000000" w:themeColor="text1"/>
                <w:sz w:val="14"/>
                <w:szCs w:val="14"/>
              </w:rPr>
              <w:t>256,45</w:t>
            </w:r>
          </w:p>
        </w:tc>
        <w:tc>
          <w:tcPr>
            <w:tcW w:w="907" w:type="dxa"/>
            <w:tcBorders>
              <w:top w:val="nil"/>
              <w:left w:val="nil"/>
              <w:bottom w:val="single" w:sz="4" w:space="0" w:color="0077BD"/>
              <w:right w:val="single" w:sz="8" w:space="0" w:color="0077BD"/>
            </w:tcBorders>
            <w:shd w:val="clear" w:color="auto" w:fill="auto"/>
            <w:noWrap/>
            <w:vAlign w:val="center"/>
            <w:hideMark/>
          </w:tcPr>
          <w:p w14:paraId="33F053AD"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194,97</w:t>
            </w:r>
          </w:p>
        </w:tc>
        <w:tc>
          <w:tcPr>
            <w:tcW w:w="907" w:type="dxa"/>
            <w:tcBorders>
              <w:top w:val="nil"/>
              <w:left w:val="nil"/>
              <w:bottom w:val="single" w:sz="4" w:space="0" w:color="0077BD"/>
              <w:right w:val="single" w:sz="8" w:space="0" w:color="0077BD"/>
            </w:tcBorders>
            <w:shd w:val="clear" w:color="auto" w:fill="auto"/>
            <w:noWrap/>
            <w:vAlign w:val="center"/>
          </w:tcPr>
          <w:p w14:paraId="25C6F1E2" w14:textId="25CF2147" w:rsidR="008E595C" w:rsidRPr="00977E53" w:rsidRDefault="008E595C" w:rsidP="008E595C">
            <w:pPr>
              <w:jc w:val="right"/>
              <w:rPr>
                <w:rFonts w:cs="Calibri"/>
                <w:color w:val="000000" w:themeColor="text1"/>
                <w:sz w:val="14"/>
                <w:szCs w:val="14"/>
              </w:rPr>
            </w:pPr>
            <w:r w:rsidRPr="00977E53">
              <w:rPr>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tcPr>
          <w:p w14:paraId="5C3A435E" w14:textId="163C547F" w:rsidR="008E595C" w:rsidRPr="00977E53" w:rsidRDefault="008E595C" w:rsidP="008E595C">
            <w:pPr>
              <w:jc w:val="right"/>
              <w:rPr>
                <w:rFonts w:cs="Calibri"/>
                <w:color w:val="000000" w:themeColor="text1"/>
                <w:sz w:val="14"/>
                <w:szCs w:val="14"/>
              </w:rPr>
            </w:pPr>
            <w:r w:rsidRPr="00977E53">
              <w:rPr>
                <w:color w:val="000000" w:themeColor="text1"/>
                <w:sz w:val="14"/>
                <w:szCs w:val="14"/>
              </w:rPr>
              <w:t>-</w:t>
            </w:r>
          </w:p>
        </w:tc>
        <w:tc>
          <w:tcPr>
            <w:tcW w:w="907" w:type="dxa"/>
            <w:tcBorders>
              <w:top w:val="nil"/>
              <w:left w:val="nil"/>
              <w:bottom w:val="single" w:sz="4" w:space="0" w:color="0077BD"/>
              <w:right w:val="single" w:sz="8" w:space="0" w:color="0077BD"/>
            </w:tcBorders>
            <w:shd w:val="clear" w:color="auto" w:fill="auto"/>
            <w:noWrap/>
            <w:vAlign w:val="center"/>
            <w:hideMark/>
          </w:tcPr>
          <w:p w14:paraId="423745F0"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w:t>
            </w:r>
          </w:p>
        </w:tc>
        <w:tc>
          <w:tcPr>
            <w:tcW w:w="907" w:type="dxa"/>
            <w:tcBorders>
              <w:top w:val="nil"/>
              <w:left w:val="nil"/>
              <w:bottom w:val="single" w:sz="4" w:space="0" w:color="0077BD"/>
              <w:right w:val="nil"/>
            </w:tcBorders>
            <w:shd w:val="clear" w:color="auto" w:fill="auto"/>
            <w:noWrap/>
            <w:vAlign w:val="center"/>
            <w:hideMark/>
          </w:tcPr>
          <w:p w14:paraId="5D82EB64" w14:textId="77777777" w:rsidR="008E595C" w:rsidRPr="00977E53" w:rsidRDefault="008E595C" w:rsidP="008E595C">
            <w:pPr>
              <w:jc w:val="right"/>
              <w:rPr>
                <w:rFonts w:cs="Calibri"/>
                <w:color w:val="000000" w:themeColor="text1"/>
                <w:sz w:val="14"/>
                <w:szCs w:val="14"/>
              </w:rPr>
            </w:pPr>
            <w:r w:rsidRPr="00977E53">
              <w:rPr>
                <w:rFonts w:cs="Calibri"/>
                <w:color w:val="000000" w:themeColor="text1"/>
                <w:sz w:val="14"/>
                <w:szCs w:val="14"/>
              </w:rPr>
              <w:t>-</w:t>
            </w:r>
          </w:p>
        </w:tc>
      </w:tr>
    </w:tbl>
    <w:p w14:paraId="0111E3B5" w14:textId="5D9AB0F7" w:rsidR="005345A8" w:rsidRPr="00977E53" w:rsidRDefault="005345A8" w:rsidP="005345A8">
      <w:pPr>
        <w:autoSpaceDE w:val="0"/>
        <w:autoSpaceDN w:val="0"/>
        <w:adjustRightInd w:val="0"/>
        <w:spacing w:before="120" w:after="120"/>
        <w:jc w:val="both"/>
        <w:rPr>
          <w:i/>
          <w:color w:val="000000" w:themeColor="text1"/>
          <w:szCs w:val="16"/>
        </w:rPr>
      </w:pPr>
      <w:r w:rsidRPr="00977E53">
        <w:rPr>
          <w:rFonts w:eastAsia="Calibri" w:cs="Verdana"/>
          <w:bCs/>
          <w:i/>
          <w:color w:val="000000" w:themeColor="text1"/>
          <w:szCs w:val="16"/>
        </w:rPr>
        <w:t xml:space="preserve">*collateral nie uwzględnia </w:t>
      </w:r>
      <w:r w:rsidRPr="00977E53">
        <w:rPr>
          <w:i/>
          <w:color w:val="000000" w:themeColor="text1"/>
          <w:szCs w:val="16"/>
        </w:rPr>
        <w:t>variation margin and default fund (</w:t>
      </w:r>
      <w:r w:rsidRPr="00977E53">
        <w:rPr>
          <w:rFonts w:cs="Segoe UI"/>
          <w:i/>
          <w:color w:val="000000" w:themeColor="text1"/>
          <w:szCs w:val="16"/>
        </w:rPr>
        <w:t>zabezpieczenie składane w CCP na wypadek niewykonania zobowiązania przez któregoś z członków izby</w:t>
      </w:r>
      <w:r w:rsidRPr="00977E53">
        <w:rPr>
          <w:i/>
          <w:color w:val="000000" w:themeColor="text1"/>
          <w:szCs w:val="16"/>
        </w:rPr>
        <w:t>)</w:t>
      </w:r>
    </w:p>
    <w:p w14:paraId="26594716" w14:textId="77777777" w:rsidR="005345A8" w:rsidRPr="00977E53" w:rsidRDefault="005345A8" w:rsidP="005345A8">
      <w:pPr>
        <w:autoSpaceDE w:val="0"/>
        <w:autoSpaceDN w:val="0"/>
        <w:adjustRightInd w:val="0"/>
        <w:spacing w:after="60"/>
        <w:jc w:val="both"/>
        <w:rPr>
          <w:rFonts w:eastAsia="Calibri"/>
          <w:i/>
          <w:color w:val="000000" w:themeColor="text1"/>
          <w:szCs w:val="16"/>
        </w:rPr>
      </w:pPr>
      <w:r w:rsidRPr="00977E53">
        <w:rPr>
          <w:rFonts w:eastAsia="Calibri"/>
          <w:i/>
          <w:color w:val="000000" w:themeColor="text1"/>
          <w:szCs w:val="16"/>
        </w:rPr>
        <w:t>**collateral skalkulowany w oparciu o bieżącą wycenę i jej potencjalną zmianę w przyszłości</w:t>
      </w:r>
    </w:p>
    <w:p w14:paraId="4A08E789" w14:textId="77777777" w:rsidR="005345A8" w:rsidRPr="00977E53" w:rsidRDefault="005345A8" w:rsidP="005345A8">
      <w:pPr>
        <w:autoSpaceDE w:val="0"/>
        <w:autoSpaceDN w:val="0"/>
        <w:spacing w:before="120" w:after="120"/>
        <w:jc w:val="both"/>
        <w:rPr>
          <w:rFonts w:eastAsia="Calibri"/>
          <w:color w:val="000000" w:themeColor="text1"/>
          <w:sz w:val="18"/>
          <w:szCs w:val="18"/>
        </w:rPr>
      </w:pPr>
      <w:r w:rsidRPr="00977E53">
        <w:rPr>
          <w:rFonts w:eastAsia="Calibri"/>
          <w:color w:val="000000" w:themeColor="text1"/>
          <w:sz w:val="18"/>
          <w:szCs w:val="18"/>
        </w:rPr>
        <w:t xml:space="preserve">W celu odzwierciedlenia ryzyka kredytowego zawartego w instrumentach pochodnych Grupa stosuje korektę ich wartości godziwej, która uwzględnia ryzyko kredytowe kontrahenta. Korekta z tytułu ryzyka kredytowego kontrahenta bazuje na oczekiwanej stracie do terminu zapadalności instrumentu i jest wyliczana na poziomie Banku zgodnie z przyjętą metodyką kalkulacji CVA/DVA. Kwota korekty jest następnie alokowana na poszczególne transakcje. Wartość tej korekty ujęta jest w rachunku zysków i strat w wyniku na działalności handlowej. </w:t>
      </w:r>
    </w:p>
    <w:p w14:paraId="52A74394" w14:textId="1FF3C59A" w:rsidR="005345A8" w:rsidRPr="00977E53" w:rsidRDefault="005345A8" w:rsidP="005345A8">
      <w:pPr>
        <w:autoSpaceDE w:val="0"/>
        <w:autoSpaceDN w:val="0"/>
        <w:spacing w:after="120"/>
        <w:jc w:val="both"/>
        <w:rPr>
          <w:rFonts w:eastAsia="Calibri"/>
          <w:color w:val="000000" w:themeColor="text1"/>
          <w:sz w:val="18"/>
          <w:szCs w:val="18"/>
        </w:rPr>
      </w:pPr>
      <w:r w:rsidRPr="00977E53">
        <w:rPr>
          <w:rFonts w:eastAsia="Calibri"/>
          <w:color w:val="000000" w:themeColor="text1"/>
          <w:sz w:val="18"/>
          <w:szCs w:val="18"/>
        </w:rPr>
        <w:t>Wartość instrumentów pochodnych, stanowiących składnik aktywów finansowych dla każdej kategorii wewnętrznego ratingu stosowanego przez Grupę (opis modelu ratingu jest pr</w:t>
      </w:r>
      <w:r w:rsidR="0079515B">
        <w:rPr>
          <w:rFonts w:eastAsia="Calibri"/>
          <w:color w:val="000000" w:themeColor="text1"/>
          <w:sz w:val="18"/>
          <w:szCs w:val="18"/>
        </w:rPr>
        <w:t>zedstawiony w Nocie 3.3</w:t>
      </w:r>
      <w:r w:rsidRPr="00977E53">
        <w:rPr>
          <w:rFonts w:eastAsia="Calibri"/>
          <w:color w:val="000000" w:themeColor="text1"/>
          <w:sz w:val="18"/>
          <w:szCs w:val="18"/>
        </w:rPr>
        <w:t>.4) została zaprezentowana w Nocie 20.</w:t>
      </w:r>
    </w:p>
    <w:p w14:paraId="082B15D5" w14:textId="77777777" w:rsidR="00DC5841" w:rsidRPr="00AD7DA6" w:rsidRDefault="00DC5841" w:rsidP="004637D1">
      <w:pPr>
        <w:pStyle w:val="Akapitzlist"/>
        <w:keepNext/>
        <w:numPr>
          <w:ilvl w:val="1"/>
          <w:numId w:val="1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ind w:left="567" w:hanging="567"/>
        <w:jc w:val="both"/>
        <w:outlineLvl w:val="2"/>
        <w:rPr>
          <w:b/>
          <w:color w:val="E41E0A"/>
          <w:sz w:val="18"/>
          <w:szCs w:val="18"/>
        </w:rPr>
      </w:pPr>
      <w:bookmarkStart w:id="104" w:name="_Toc32999823"/>
      <w:r w:rsidRPr="00AD7DA6">
        <w:rPr>
          <w:b/>
          <w:color w:val="E41E0A"/>
          <w:sz w:val="18"/>
          <w:szCs w:val="18"/>
        </w:rPr>
        <w:t>Koncentracja aktywów, zobowiązań i pozycji pozabilansowych</w:t>
      </w:r>
      <w:bookmarkEnd w:id="103"/>
      <w:bookmarkEnd w:id="104"/>
      <w:r w:rsidRPr="00AD7DA6">
        <w:rPr>
          <w:b/>
          <w:color w:val="E41E0A"/>
          <w:sz w:val="18"/>
          <w:szCs w:val="18"/>
        </w:rPr>
        <w:t xml:space="preserve"> </w:t>
      </w:r>
    </w:p>
    <w:p w14:paraId="60EBF2F6" w14:textId="77777777" w:rsidR="00627B93" w:rsidRPr="00977E53" w:rsidRDefault="00627B93" w:rsidP="00627B93">
      <w:pPr>
        <w:autoSpaceDE w:val="0"/>
        <w:autoSpaceDN w:val="0"/>
        <w:adjustRightInd w:val="0"/>
        <w:spacing w:after="120"/>
        <w:jc w:val="both"/>
        <w:rPr>
          <w:rFonts w:eastAsia="Calibri" w:cs="Verdana"/>
          <w:color w:val="000000" w:themeColor="text1"/>
          <w:sz w:val="18"/>
          <w:szCs w:val="18"/>
        </w:rPr>
      </w:pPr>
      <w:r w:rsidRPr="00977E53">
        <w:rPr>
          <w:rFonts w:eastAsia="Calibri" w:cs="Verdana"/>
          <w:b/>
          <w:bCs/>
          <w:color w:val="000000" w:themeColor="text1"/>
          <w:sz w:val="18"/>
          <w:szCs w:val="18"/>
        </w:rPr>
        <w:t xml:space="preserve">Ryzyko koncentracji geograficznej </w:t>
      </w:r>
    </w:p>
    <w:p w14:paraId="0C6FD0DE" w14:textId="77777777" w:rsidR="00A007CC" w:rsidRPr="00977E53" w:rsidRDefault="00A007CC" w:rsidP="00122C25">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 xml:space="preserve">W celu aktywnego zarządzania ryzykiem koncentracji na kraje Grupa: </w:t>
      </w:r>
    </w:p>
    <w:p w14:paraId="38AC8162" w14:textId="77777777" w:rsidR="00A007CC" w:rsidRPr="00122C25" w:rsidRDefault="00A007CC" w:rsidP="00122C25">
      <w:pPr>
        <w:numPr>
          <w:ilvl w:val="0"/>
          <w:numId w:val="17"/>
        </w:numPr>
        <w:tabs>
          <w:tab w:val="clear" w:pos="1267"/>
        </w:tabs>
        <w:suppressAutoHyphens/>
        <w:ind w:left="426" w:right="-57" w:hanging="284"/>
        <w:jc w:val="both"/>
        <w:rPr>
          <w:rFonts w:cs="Tahoma"/>
          <w:bCs/>
          <w:color w:val="000000" w:themeColor="text1"/>
          <w:sz w:val="18"/>
          <w:szCs w:val="18"/>
        </w:rPr>
      </w:pPr>
      <w:r w:rsidRPr="00122C25">
        <w:rPr>
          <w:rFonts w:cs="Tahoma"/>
          <w:bCs/>
          <w:color w:val="000000" w:themeColor="text1"/>
          <w:sz w:val="18"/>
          <w:szCs w:val="18"/>
        </w:rPr>
        <w:t xml:space="preserve">przestrzega sformalizowanych procedur mających na celu identyfikację, pomiar oraz monitorowanie tego ryzyka, </w:t>
      </w:r>
    </w:p>
    <w:p w14:paraId="4CEC50F0" w14:textId="71D38385" w:rsidR="00A007CC" w:rsidRPr="00122C25" w:rsidRDefault="00A007CC" w:rsidP="00122C25">
      <w:pPr>
        <w:numPr>
          <w:ilvl w:val="0"/>
          <w:numId w:val="17"/>
        </w:numPr>
        <w:tabs>
          <w:tab w:val="clear" w:pos="1267"/>
        </w:tabs>
        <w:suppressAutoHyphens/>
        <w:ind w:left="426" w:right="-57" w:hanging="284"/>
        <w:jc w:val="both"/>
        <w:rPr>
          <w:rFonts w:cs="Tahoma"/>
          <w:bCs/>
          <w:color w:val="000000" w:themeColor="text1"/>
          <w:sz w:val="18"/>
          <w:szCs w:val="18"/>
        </w:rPr>
      </w:pPr>
      <w:r w:rsidRPr="00122C25">
        <w:rPr>
          <w:rFonts w:cs="Tahoma"/>
          <w:bCs/>
          <w:color w:val="000000" w:themeColor="text1"/>
          <w:sz w:val="18"/>
          <w:szCs w:val="18"/>
        </w:rPr>
        <w:t>przestrzega sformalizowanych limitów ograniczających ryzyko na kraje oraz zasad postępowania w</w:t>
      </w:r>
      <w:r w:rsidR="00BD1962" w:rsidRPr="00122C25">
        <w:rPr>
          <w:rFonts w:cs="Tahoma"/>
          <w:bCs/>
          <w:color w:val="000000" w:themeColor="text1"/>
          <w:sz w:val="18"/>
          <w:szCs w:val="18"/>
        </w:rPr>
        <w:t> </w:t>
      </w:r>
      <w:r w:rsidRPr="00122C25">
        <w:rPr>
          <w:rFonts w:cs="Tahoma"/>
          <w:bCs/>
          <w:color w:val="000000" w:themeColor="text1"/>
          <w:sz w:val="18"/>
          <w:szCs w:val="18"/>
        </w:rPr>
        <w:t xml:space="preserve">przypadku przekroczenia tych limitów, </w:t>
      </w:r>
    </w:p>
    <w:p w14:paraId="20E9D3D7" w14:textId="77777777" w:rsidR="00A007CC" w:rsidRPr="00122C25" w:rsidRDefault="00A007CC" w:rsidP="00122C25">
      <w:pPr>
        <w:numPr>
          <w:ilvl w:val="0"/>
          <w:numId w:val="17"/>
        </w:numPr>
        <w:tabs>
          <w:tab w:val="clear" w:pos="1267"/>
        </w:tabs>
        <w:suppressAutoHyphens/>
        <w:ind w:left="426" w:right="-57" w:hanging="284"/>
        <w:jc w:val="both"/>
        <w:rPr>
          <w:rFonts w:cs="Tahoma"/>
          <w:bCs/>
          <w:color w:val="000000" w:themeColor="text1"/>
          <w:sz w:val="18"/>
          <w:szCs w:val="18"/>
        </w:rPr>
      </w:pPr>
      <w:r w:rsidRPr="00122C25">
        <w:rPr>
          <w:rFonts w:cs="Tahoma"/>
          <w:bCs/>
          <w:color w:val="000000" w:themeColor="text1"/>
          <w:sz w:val="18"/>
          <w:szCs w:val="18"/>
        </w:rPr>
        <w:t xml:space="preserve">posiada system sprawozdawczości zarządczej umożliwiający monitorowanie poziomu ryzyka na kraje, wspierający proces decyzyjny dotyczący zarządzania, </w:t>
      </w:r>
    </w:p>
    <w:p w14:paraId="4570B1FA" w14:textId="202F84D6" w:rsidR="00A007CC" w:rsidRPr="00122C25" w:rsidRDefault="00A007CC" w:rsidP="00122C25">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122C25">
        <w:rPr>
          <w:rFonts w:cs="Tahoma"/>
          <w:bCs/>
          <w:color w:val="000000" w:themeColor="text1"/>
          <w:sz w:val="18"/>
          <w:szCs w:val="18"/>
        </w:rPr>
        <w:t>utrzymuje kontakty z wyselekcjonowaną grupą największych banków o dobrym ratingu, aktywnych w</w:t>
      </w:r>
      <w:r w:rsidR="00BD144C">
        <w:rPr>
          <w:rFonts w:cs="Tahoma"/>
          <w:bCs/>
          <w:color w:val="000000" w:themeColor="text1"/>
          <w:sz w:val="18"/>
          <w:szCs w:val="18"/>
        </w:rPr>
        <w:t> </w:t>
      </w:r>
      <w:r w:rsidRPr="00122C25">
        <w:rPr>
          <w:rFonts w:cs="Tahoma"/>
          <w:bCs/>
          <w:color w:val="000000" w:themeColor="text1"/>
          <w:sz w:val="18"/>
          <w:szCs w:val="18"/>
        </w:rPr>
        <w:t xml:space="preserve">obsłudze transakcji zagranicznych. Na niektórych rynkach, których ryzyko jest trudne do oszacowania, Bank korzysta z usług swoich zagranicznych banków korespondentów, na przykład Commerzbanku, oraz z ubezpieczenia w KUKE pokrywającego ryzyko ekonomiczne i polityczne. </w:t>
      </w:r>
    </w:p>
    <w:p w14:paraId="13CAD827" w14:textId="3C46F92C" w:rsidR="00627B93" w:rsidRPr="00977E53" w:rsidRDefault="00A007CC" w:rsidP="00A007CC">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Na dzień 31 grudnia </w:t>
      </w:r>
      <w:r w:rsidRPr="00977E53">
        <w:rPr>
          <w:rFonts w:eastAsia="Calibri"/>
          <w:color w:val="000000" w:themeColor="text1"/>
          <w:sz w:val="18"/>
        </w:rPr>
        <w:t>2019</w:t>
      </w:r>
      <w:r w:rsidRPr="00977E53">
        <w:rPr>
          <w:rFonts w:eastAsia="Calibri" w:cs="Verdana"/>
          <w:color w:val="000000" w:themeColor="text1"/>
          <w:sz w:val="18"/>
          <w:szCs w:val="18"/>
        </w:rPr>
        <w:t xml:space="preserve"> roku i na dzień 31 grudnia 2018 roku nie występował istotny poziom koncentracji geograficznej w portfelu kredytowym Grupy mBanku. W zakresie ekspozycji odnoszących się do krajów innych niż Polska nie stwierdzono istotnego udziału ekspozycji z utratą wartości.</w:t>
      </w:r>
    </w:p>
    <w:p w14:paraId="67D316AC" w14:textId="3E184143" w:rsidR="00627B93" w:rsidRPr="00977E53" w:rsidRDefault="00627B93" w:rsidP="00627B93">
      <w:pPr>
        <w:autoSpaceDE w:val="0"/>
        <w:autoSpaceDN w:val="0"/>
        <w:adjustRightInd w:val="0"/>
        <w:spacing w:after="120"/>
        <w:jc w:val="both"/>
        <w:rPr>
          <w:rFonts w:eastAsia="Calibri" w:cs="Verdana"/>
          <w:color w:val="000000" w:themeColor="text1"/>
          <w:sz w:val="18"/>
          <w:szCs w:val="18"/>
        </w:rPr>
      </w:pPr>
      <w:r w:rsidRPr="00977E53">
        <w:rPr>
          <w:rFonts w:eastAsia="Calibri" w:cs="Verdana"/>
          <w:b/>
          <w:bCs/>
          <w:color w:val="000000" w:themeColor="text1"/>
          <w:sz w:val="18"/>
          <w:szCs w:val="18"/>
        </w:rPr>
        <w:t xml:space="preserve">Ryzyko koncentracji branżowej </w:t>
      </w:r>
    </w:p>
    <w:p w14:paraId="4A07C5F1" w14:textId="77777777" w:rsidR="00A007CC" w:rsidRPr="00977E53" w:rsidRDefault="00A007CC" w:rsidP="00A007CC">
      <w:pPr>
        <w:spacing w:after="120"/>
        <w:jc w:val="both"/>
        <w:rPr>
          <w:rFonts w:eastAsia="Calibri"/>
          <w:color w:val="000000" w:themeColor="text1"/>
          <w:sz w:val="18"/>
          <w:szCs w:val="18"/>
        </w:rPr>
      </w:pPr>
      <w:r w:rsidRPr="00977E53">
        <w:rPr>
          <w:rFonts w:eastAsia="Calibri"/>
          <w:color w:val="000000" w:themeColor="text1"/>
          <w:sz w:val="18"/>
          <w:szCs w:val="18"/>
        </w:rPr>
        <w:t xml:space="preserve">Monitoring zaangażowań w branże, zdefiniowane zgodnie z Polską Klasyfikacją Działalności, dokonywany jest w poszczególnych spółkach Grupy, zgodnie z wewnętrznymi przepisami. </w:t>
      </w:r>
    </w:p>
    <w:p w14:paraId="27419A39" w14:textId="416136F4" w:rsidR="00A007CC" w:rsidRPr="00977E53" w:rsidRDefault="00A007CC" w:rsidP="00A007CC">
      <w:pPr>
        <w:spacing w:after="120"/>
        <w:jc w:val="both"/>
        <w:rPr>
          <w:rFonts w:eastAsia="Calibri"/>
          <w:color w:val="000000" w:themeColor="text1"/>
          <w:sz w:val="18"/>
          <w:szCs w:val="18"/>
        </w:rPr>
      </w:pPr>
      <w:r w:rsidRPr="00977E53">
        <w:rPr>
          <w:rFonts w:eastAsia="Calibri"/>
          <w:color w:val="000000" w:themeColor="text1"/>
          <w:sz w:val="18"/>
          <w:szCs w:val="18"/>
        </w:rPr>
        <w:t xml:space="preserve">mBank analizuje ryzyko koncentracji branżowej w celu bezpiecznego i efektywnego budowania portfela korporacyjnego i zarządza ryzykiem koncentracji branżowej między innymi poprzez limity branżowe. </w:t>
      </w:r>
    </w:p>
    <w:p w14:paraId="1AC65739" w14:textId="77777777" w:rsidR="00A007CC" w:rsidRPr="00977E53" w:rsidRDefault="00A007CC" w:rsidP="00A007CC">
      <w:pPr>
        <w:spacing w:after="120"/>
        <w:jc w:val="both"/>
        <w:rPr>
          <w:rFonts w:eastAsia="Calibri"/>
          <w:color w:val="000000" w:themeColor="text1"/>
          <w:sz w:val="18"/>
          <w:szCs w:val="18"/>
        </w:rPr>
      </w:pPr>
      <w:r w:rsidRPr="00977E53">
        <w:rPr>
          <w:rFonts w:eastAsia="Calibri"/>
          <w:color w:val="000000" w:themeColor="text1"/>
          <w:sz w:val="18"/>
          <w:szCs w:val="18"/>
        </w:rPr>
        <w:t xml:space="preserve">Limitowaniu podlegają branże, na które Bank posiada zaangażowanie powyżej 5% łącznej kwoty zaangażowania w portfelu korporacyjnym na koniec danego okresu sprawozdawczego, a także branże wskazane przez Komitet Ryzyka Bankowości Korporacyjnej i Inwestycyjnej (KRK). </w:t>
      </w:r>
    </w:p>
    <w:p w14:paraId="460CE95E" w14:textId="77777777" w:rsidR="00A007CC" w:rsidRPr="00977E53" w:rsidRDefault="00A007CC" w:rsidP="00982CD1">
      <w:pPr>
        <w:jc w:val="both"/>
        <w:rPr>
          <w:rFonts w:eastAsia="Calibri"/>
          <w:color w:val="000000" w:themeColor="text1"/>
          <w:sz w:val="18"/>
          <w:szCs w:val="18"/>
        </w:rPr>
      </w:pPr>
      <w:r w:rsidRPr="00977E53">
        <w:rPr>
          <w:rFonts w:eastAsia="Calibri"/>
          <w:color w:val="000000" w:themeColor="text1"/>
          <w:sz w:val="18"/>
          <w:szCs w:val="18"/>
        </w:rPr>
        <w:t xml:space="preserve">mBank ustalił limit zaangażowania mBanku w dowolną branżę na poziomie nie wyższym niż: </w:t>
      </w:r>
    </w:p>
    <w:p w14:paraId="786195CF" w14:textId="77777777" w:rsidR="00A007CC" w:rsidRPr="00982CD1" w:rsidRDefault="00A007CC" w:rsidP="00982CD1">
      <w:pPr>
        <w:numPr>
          <w:ilvl w:val="0"/>
          <w:numId w:val="17"/>
        </w:numPr>
        <w:tabs>
          <w:tab w:val="clear" w:pos="1267"/>
        </w:tabs>
        <w:suppressAutoHyphens/>
        <w:ind w:left="426" w:right="-57" w:hanging="284"/>
        <w:jc w:val="both"/>
        <w:rPr>
          <w:rFonts w:cs="Tahoma"/>
          <w:bCs/>
          <w:color w:val="000000" w:themeColor="text1"/>
          <w:sz w:val="18"/>
          <w:szCs w:val="18"/>
        </w:rPr>
      </w:pPr>
      <w:r w:rsidRPr="00982CD1">
        <w:rPr>
          <w:rFonts w:cs="Tahoma"/>
          <w:bCs/>
          <w:color w:val="000000" w:themeColor="text1"/>
          <w:sz w:val="18"/>
          <w:szCs w:val="18"/>
        </w:rPr>
        <w:t xml:space="preserve">12% wartości brutto korporacyjnego portfela kredytowego dla branż o ryzyku niskim, ale nie więcej niż 60% wartości kapitału Tier 1, </w:t>
      </w:r>
    </w:p>
    <w:p w14:paraId="52BD1E29" w14:textId="77777777" w:rsidR="00A007CC" w:rsidRPr="00982CD1" w:rsidRDefault="00A007CC" w:rsidP="00982CD1">
      <w:pPr>
        <w:numPr>
          <w:ilvl w:val="0"/>
          <w:numId w:val="17"/>
        </w:numPr>
        <w:tabs>
          <w:tab w:val="clear" w:pos="1267"/>
        </w:tabs>
        <w:suppressAutoHyphens/>
        <w:ind w:left="426" w:right="-57" w:hanging="284"/>
        <w:jc w:val="both"/>
        <w:rPr>
          <w:rFonts w:cs="Tahoma"/>
          <w:bCs/>
          <w:color w:val="000000" w:themeColor="text1"/>
          <w:sz w:val="18"/>
          <w:szCs w:val="18"/>
        </w:rPr>
      </w:pPr>
      <w:r w:rsidRPr="00982CD1">
        <w:rPr>
          <w:rFonts w:cs="Tahoma"/>
          <w:bCs/>
          <w:color w:val="000000" w:themeColor="text1"/>
          <w:sz w:val="18"/>
          <w:szCs w:val="18"/>
        </w:rPr>
        <w:t xml:space="preserve">10% wartości brutto korporacyjnego portfela kredytowego dla branż o ryzyku średnim, ale nie więcej niż 50% wartości kapitału Tier 1, </w:t>
      </w:r>
    </w:p>
    <w:p w14:paraId="3C3ADD64" w14:textId="77777777" w:rsidR="00A007CC" w:rsidRPr="00982CD1" w:rsidRDefault="00A007CC" w:rsidP="00B401B0">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982CD1">
        <w:rPr>
          <w:rFonts w:cs="Tahoma"/>
          <w:bCs/>
          <w:color w:val="000000" w:themeColor="text1"/>
          <w:sz w:val="18"/>
          <w:szCs w:val="18"/>
        </w:rPr>
        <w:lastRenderedPageBreak/>
        <w:t>7% wartości brutto korporacyjnego portfela kredytowego dla branż o ryzyku wysokim, ale nie więcej niż 35% kapitału Tier 1.</w:t>
      </w:r>
    </w:p>
    <w:p w14:paraId="394C1EA5" w14:textId="64168972" w:rsidR="00A007CC" w:rsidRPr="00977E53" w:rsidRDefault="00A007CC" w:rsidP="00A007CC">
      <w:pPr>
        <w:spacing w:after="120"/>
        <w:jc w:val="both"/>
        <w:rPr>
          <w:rFonts w:eastAsia="Calibri"/>
          <w:color w:val="000000" w:themeColor="text1"/>
          <w:sz w:val="18"/>
          <w:szCs w:val="18"/>
        </w:rPr>
      </w:pPr>
      <w:r w:rsidRPr="00977E53">
        <w:rPr>
          <w:rFonts w:eastAsia="Calibri"/>
          <w:color w:val="000000" w:themeColor="text1"/>
          <w:sz w:val="18"/>
          <w:szCs w:val="18"/>
        </w:rPr>
        <w:t xml:space="preserve">W przypadku gdy wykorzystanie limitu wynosi co najmniej 90%, wprowadzane są działania zapobiegające przekroczeniu limitu; decyzje w tym zakresie podejmuje KRK. </w:t>
      </w:r>
    </w:p>
    <w:p w14:paraId="70097ACF" w14:textId="0694AB57" w:rsidR="00627B93" w:rsidRPr="00977E53" w:rsidRDefault="00A007CC" w:rsidP="00A007CC">
      <w:pPr>
        <w:jc w:val="both"/>
        <w:rPr>
          <w:rFonts w:cs="Tahoma"/>
          <w:color w:val="000000" w:themeColor="text1"/>
          <w:sz w:val="18"/>
          <w:szCs w:val="18"/>
        </w:rPr>
      </w:pPr>
      <w:r w:rsidRPr="00977E53">
        <w:rPr>
          <w:rFonts w:cs="Tahoma"/>
          <w:color w:val="000000" w:themeColor="text1"/>
          <w:sz w:val="18"/>
          <w:szCs w:val="18"/>
        </w:rPr>
        <w:t>Poniższa tabela prezentuje strukturę koncentracji zaangażowania bilansowego Grupy mBanku S.A. w poszczególne branże. Podział branżowy jest zbudowany na podstawie koncepcji łańcucha wartości, gdzie</w:t>
      </w:r>
      <w:r w:rsidR="004706F9">
        <w:rPr>
          <w:rFonts w:cs="Tahoma"/>
          <w:color w:val="000000" w:themeColor="text1"/>
          <w:sz w:val="18"/>
          <w:szCs w:val="18"/>
        </w:rPr>
        <w:t> </w:t>
      </w:r>
      <w:r w:rsidRPr="00977E53">
        <w:rPr>
          <w:rFonts w:cs="Tahoma"/>
          <w:color w:val="000000" w:themeColor="text1"/>
          <w:sz w:val="18"/>
          <w:szCs w:val="18"/>
        </w:rPr>
        <w:t>w ramach jednej branży skupione są podmioty które prowadzą działalność związaną z danym rynkiem (dostawcy, producenci, sprzedawcy).</w:t>
      </w:r>
      <w:r w:rsidR="00627B93" w:rsidRPr="00977E53">
        <w:rPr>
          <w:rFonts w:cs="Tahoma"/>
          <w:color w:val="000000" w:themeColor="text1"/>
          <w:sz w:val="18"/>
          <w:szCs w:val="18"/>
        </w:rPr>
        <w:t xml:space="preserve"> </w:t>
      </w:r>
    </w:p>
    <w:p w14:paraId="444262D4" w14:textId="331EEB61" w:rsidR="005A7F17" w:rsidRPr="00977E53" w:rsidRDefault="005345A8" w:rsidP="005A7F17">
      <w:pPr>
        <w:spacing w:before="120"/>
        <w:jc w:val="both"/>
        <w:rPr>
          <w:color w:val="000000" w:themeColor="text1"/>
          <w:sz w:val="18"/>
          <w:szCs w:val="18"/>
        </w:rPr>
      </w:pPr>
      <w:r w:rsidRPr="00977E53">
        <w:rPr>
          <w:rFonts w:cs="Tahoma"/>
          <w:color w:val="000000" w:themeColor="text1"/>
          <w:sz w:val="18"/>
          <w:szCs w:val="18"/>
        </w:rPr>
        <w:t>Poniższa</w:t>
      </w:r>
      <w:r w:rsidR="005A7F17" w:rsidRPr="00977E53">
        <w:rPr>
          <w:rFonts w:cs="Tahoma"/>
          <w:color w:val="000000" w:themeColor="text1"/>
          <w:sz w:val="18"/>
          <w:szCs w:val="18"/>
        </w:rPr>
        <w:t xml:space="preserve"> tabela dotyczy kredytów wycenianych zamortyzowanym kosztem i nie obejmuje kredytów wycenianych w wartości godziwej przez wynik finansowy. </w:t>
      </w:r>
    </w:p>
    <w:p w14:paraId="0C1ADCCA" w14:textId="7FFD1A2E" w:rsidR="00DC5841" w:rsidRPr="00977E53" w:rsidRDefault="00DC5841" w:rsidP="00AE7F64">
      <w:pPr>
        <w:autoSpaceDE w:val="0"/>
        <w:autoSpaceDN w:val="0"/>
        <w:adjustRightInd w:val="0"/>
        <w:spacing w:before="120" w:after="120"/>
        <w:rPr>
          <w:rFonts w:eastAsia="Calibri" w:cs="Verdana"/>
          <w:b/>
          <w:bCs/>
          <w:color w:val="000000" w:themeColor="text1"/>
          <w:sz w:val="18"/>
          <w:szCs w:val="18"/>
          <w:lang w:eastAsia="en-US"/>
        </w:rPr>
      </w:pPr>
      <w:r w:rsidRPr="00977E53">
        <w:rPr>
          <w:rFonts w:eastAsia="Calibri" w:cs="Verdana"/>
          <w:b/>
          <w:bCs/>
          <w:color w:val="000000" w:themeColor="text1"/>
          <w:sz w:val="18"/>
          <w:szCs w:val="18"/>
          <w:lang w:eastAsia="en-US"/>
        </w:rPr>
        <w:t>Struktura koncentracji zaangażowania Grupy mBanku</w:t>
      </w:r>
    </w:p>
    <w:tbl>
      <w:tblPr>
        <w:tblW w:w="9623" w:type="dxa"/>
        <w:tblLayout w:type="fixed"/>
        <w:tblCellMar>
          <w:left w:w="70" w:type="dxa"/>
          <w:right w:w="70" w:type="dxa"/>
        </w:tblCellMar>
        <w:tblLook w:val="04A0" w:firstRow="1" w:lastRow="0" w:firstColumn="1" w:lastColumn="0" w:noHBand="0" w:noVBand="1"/>
      </w:tblPr>
      <w:tblGrid>
        <w:gridCol w:w="423"/>
        <w:gridCol w:w="3552"/>
        <w:gridCol w:w="1412"/>
        <w:gridCol w:w="1412"/>
        <w:gridCol w:w="1412"/>
        <w:gridCol w:w="1412"/>
      </w:tblGrid>
      <w:tr w:rsidR="005345A8" w:rsidRPr="00A62807" w14:paraId="2B71187C" w14:textId="77777777" w:rsidTr="00A62807">
        <w:trPr>
          <w:trHeight w:val="284"/>
        </w:trPr>
        <w:tc>
          <w:tcPr>
            <w:tcW w:w="423" w:type="dxa"/>
            <w:vMerge w:val="restart"/>
            <w:tcBorders>
              <w:top w:val="nil"/>
              <w:left w:val="nil"/>
              <w:bottom w:val="single" w:sz="4" w:space="0" w:color="0066CC"/>
              <w:right w:val="nil"/>
            </w:tcBorders>
            <w:shd w:val="clear" w:color="000000" w:fill="0077BD"/>
            <w:noWrap/>
            <w:vAlign w:val="center"/>
            <w:hideMark/>
          </w:tcPr>
          <w:p w14:paraId="1E0FAD03" w14:textId="77777777" w:rsidR="005345A8" w:rsidRPr="00A62807" w:rsidRDefault="005345A8" w:rsidP="009E1F91">
            <w:pPr>
              <w:jc w:val="center"/>
              <w:rPr>
                <w:rFonts w:cs="Calibri"/>
                <w:b/>
                <w:bCs/>
                <w:color w:val="FFFFFF"/>
                <w:sz w:val="13"/>
                <w:szCs w:val="13"/>
              </w:rPr>
            </w:pPr>
            <w:r w:rsidRPr="00A62807">
              <w:rPr>
                <w:rFonts w:cs="Calibri"/>
                <w:b/>
                <w:bCs/>
                <w:color w:val="FFFFFF"/>
                <w:sz w:val="13"/>
                <w:szCs w:val="13"/>
              </w:rPr>
              <w:t>Lp</w:t>
            </w:r>
          </w:p>
        </w:tc>
        <w:tc>
          <w:tcPr>
            <w:tcW w:w="3552"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5A6D082E" w14:textId="77777777" w:rsidR="005345A8" w:rsidRPr="00A62807" w:rsidRDefault="005345A8" w:rsidP="009E1F91">
            <w:pPr>
              <w:jc w:val="center"/>
              <w:rPr>
                <w:rFonts w:cs="Calibri"/>
                <w:b/>
                <w:bCs/>
                <w:color w:val="FFFFFF"/>
                <w:sz w:val="13"/>
                <w:szCs w:val="13"/>
              </w:rPr>
            </w:pPr>
            <w:r w:rsidRPr="00A62807">
              <w:rPr>
                <w:rFonts w:cs="Calibri"/>
                <w:b/>
                <w:bCs/>
                <w:color w:val="FFFFFF"/>
                <w:sz w:val="13"/>
                <w:szCs w:val="13"/>
              </w:rPr>
              <w:t>Branże</w:t>
            </w:r>
          </w:p>
        </w:tc>
        <w:tc>
          <w:tcPr>
            <w:tcW w:w="1412" w:type="dxa"/>
            <w:tcBorders>
              <w:top w:val="nil"/>
              <w:left w:val="nil"/>
              <w:bottom w:val="single" w:sz="6" w:space="0" w:color="FFFFFF"/>
              <w:right w:val="single" w:sz="8" w:space="0" w:color="FFFFFF"/>
            </w:tcBorders>
            <w:shd w:val="clear" w:color="000000" w:fill="0077BD"/>
            <w:vAlign w:val="center"/>
            <w:hideMark/>
          </w:tcPr>
          <w:p w14:paraId="23DFC07A" w14:textId="77777777" w:rsidR="005345A8" w:rsidRPr="00A62807" w:rsidRDefault="005345A8" w:rsidP="009E1F91">
            <w:pPr>
              <w:jc w:val="right"/>
              <w:rPr>
                <w:rFonts w:cs="Calibri"/>
                <w:b/>
                <w:bCs/>
                <w:color w:val="FFFFFF"/>
                <w:sz w:val="13"/>
                <w:szCs w:val="13"/>
              </w:rPr>
            </w:pPr>
            <w:r w:rsidRPr="00A62807">
              <w:rPr>
                <w:rFonts w:cs="Calibri"/>
                <w:b/>
                <w:bCs/>
                <w:color w:val="FFFFFF"/>
                <w:sz w:val="13"/>
                <w:szCs w:val="13"/>
              </w:rPr>
              <w:t>Wartość brutto</w:t>
            </w:r>
          </w:p>
        </w:tc>
        <w:tc>
          <w:tcPr>
            <w:tcW w:w="1412"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59E7D426" w14:textId="77777777" w:rsidR="005345A8" w:rsidRPr="00A62807" w:rsidRDefault="005345A8" w:rsidP="009E1F91">
            <w:pPr>
              <w:jc w:val="center"/>
              <w:rPr>
                <w:rFonts w:cs="Calibri"/>
                <w:b/>
                <w:bCs/>
                <w:color w:val="FFFFFF"/>
                <w:sz w:val="13"/>
                <w:szCs w:val="13"/>
              </w:rPr>
            </w:pPr>
            <w:r w:rsidRPr="00A62807">
              <w:rPr>
                <w:rFonts w:cs="Calibri"/>
                <w:b/>
                <w:bCs/>
                <w:color w:val="FFFFFF"/>
                <w:sz w:val="13"/>
                <w:szCs w:val="13"/>
              </w:rPr>
              <w:t>%</w:t>
            </w:r>
          </w:p>
        </w:tc>
        <w:tc>
          <w:tcPr>
            <w:tcW w:w="1412" w:type="dxa"/>
            <w:tcBorders>
              <w:top w:val="nil"/>
              <w:left w:val="nil"/>
              <w:bottom w:val="single" w:sz="6" w:space="0" w:color="FFFFFF"/>
              <w:right w:val="single" w:sz="8" w:space="0" w:color="FFFFFF"/>
            </w:tcBorders>
            <w:shd w:val="clear" w:color="000000" w:fill="0077BD"/>
            <w:vAlign w:val="center"/>
            <w:hideMark/>
          </w:tcPr>
          <w:p w14:paraId="2DC288C0" w14:textId="77777777" w:rsidR="005345A8" w:rsidRPr="00A62807" w:rsidRDefault="005345A8" w:rsidP="009E1F91">
            <w:pPr>
              <w:jc w:val="right"/>
              <w:rPr>
                <w:rFonts w:cs="Calibri"/>
                <w:b/>
                <w:bCs/>
                <w:color w:val="FFFFFF"/>
                <w:sz w:val="13"/>
                <w:szCs w:val="13"/>
              </w:rPr>
            </w:pPr>
            <w:r w:rsidRPr="00A62807">
              <w:rPr>
                <w:rFonts w:cs="Calibri"/>
                <w:b/>
                <w:bCs/>
                <w:color w:val="FFFFFF"/>
                <w:sz w:val="13"/>
                <w:szCs w:val="13"/>
              </w:rPr>
              <w:t>Wartość brutto</w:t>
            </w:r>
          </w:p>
        </w:tc>
        <w:tc>
          <w:tcPr>
            <w:tcW w:w="1412" w:type="dxa"/>
            <w:vMerge w:val="restart"/>
            <w:tcBorders>
              <w:top w:val="nil"/>
              <w:left w:val="single" w:sz="8" w:space="0" w:color="FFFFFF"/>
              <w:bottom w:val="single" w:sz="8" w:space="0" w:color="FFFFFF"/>
              <w:right w:val="nil"/>
            </w:tcBorders>
            <w:shd w:val="clear" w:color="000000" w:fill="0077BD"/>
            <w:vAlign w:val="center"/>
            <w:hideMark/>
          </w:tcPr>
          <w:p w14:paraId="1B050A84" w14:textId="77777777" w:rsidR="005345A8" w:rsidRPr="00A62807" w:rsidRDefault="005345A8" w:rsidP="009E1F91">
            <w:pPr>
              <w:jc w:val="center"/>
              <w:rPr>
                <w:rFonts w:cs="Calibri"/>
                <w:b/>
                <w:bCs/>
                <w:color w:val="FFFFFF"/>
                <w:sz w:val="13"/>
                <w:szCs w:val="13"/>
              </w:rPr>
            </w:pPr>
            <w:r w:rsidRPr="00A62807">
              <w:rPr>
                <w:rFonts w:cs="Calibri"/>
                <w:b/>
                <w:bCs/>
                <w:color w:val="FFFFFF"/>
                <w:sz w:val="13"/>
                <w:szCs w:val="13"/>
              </w:rPr>
              <w:t>%</w:t>
            </w:r>
          </w:p>
        </w:tc>
      </w:tr>
      <w:tr w:rsidR="005345A8" w:rsidRPr="00A62807" w14:paraId="4D41F494" w14:textId="77777777" w:rsidTr="00A62807">
        <w:trPr>
          <w:trHeight w:val="288"/>
        </w:trPr>
        <w:tc>
          <w:tcPr>
            <w:tcW w:w="423" w:type="dxa"/>
            <w:vMerge/>
            <w:tcBorders>
              <w:top w:val="nil"/>
              <w:left w:val="nil"/>
              <w:right w:val="nil"/>
            </w:tcBorders>
            <w:vAlign w:val="center"/>
            <w:hideMark/>
          </w:tcPr>
          <w:p w14:paraId="2CC51F2B" w14:textId="77777777" w:rsidR="005345A8" w:rsidRPr="00A62807" w:rsidRDefault="005345A8" w:rsidP="009E1F91">
            <w:pPr>
              <w:rPr>
                <w:rFonts w:cs="Calibri"/>
                <w:b/>
                <w:bCs/>
                <w:color w:val="FFFFFF"/>
                <w:sz w:val="13"/>
                <w:szCs w:val="13"/>
              </w:rPr>
            </w:pPr>
          </w:p>
        </w:tc>
        <w:tc>
          <w:tcPr>
            <w:tcW w:w="3552" w:type="dxa"/>
            <w:vMerge/>
            <w:tcBorders>
              <w:top w:val="nil"/>
              <w:left w:val="single" w:sz="8" w:space="0" w:color="FFFFFF"/>
              <w:right w:val="single" w:sz="8" w:space="0" w:color="FFFFFF"/>
            </w:tcBorders>
            <w:vAlign w:val="center"/>
            <w:hideMark/>
          </w:tcPr>
          <w:p w14:paraId="21499176" w14:textId="77777777" w:rsidR="005345A8" w:rsidRPr="00A62807" w:rsidRDefault="005345A8" w:rsidP="009E1F91">
            <w:pPr>
              <w:rPr>
                <w:rFonts w:cs="Calibri"/>
                <w:b/>
                <w:bCs/>
                <w:color w:val="FFFFFF"/>
                <w:sz w:val="13"/>
                <w:szCs w:val="13"/>
              </w:rPr>
            </w:pPr>
          </w:p>
        </w:tc>
        <w:tc>
          <w:tcPr>
            <w:tcW w:w="1412" w:type="dxa"/>
            <w:tcBorders>
              <w:top w:val="single" w:sz="6" w:space="0" w:color="FFFFFF"/>
              <w:left w:val="nil"/>
              <w:right w:val="single" w:sz="8" w:space="0" w:color="FFFFFF"/>
            </w:tcBorders>
            <w:shd w:val="clear" w:color="000000" w:fill="0077BD"/>
            <w:vAlign w:val="center"/>
            <w:hideMark/>
          </w:tcPr>
          <w:p w14:paraId="1E5E115E" w14:textId="77777777" w:rsidR="005345A8" w:rsidRPr="00A62807" w:rsidRDefault="005345A8" w:rsidP="009E1F91">
            <w:pPr>
              <w:jc w:val="right"/>
              <w:rPr>
                <w:rFonts w:cs="Calibri"/>
                <w:b/>
                <w:bCs/>
                <w:color w:val="FFFFFF"/>
                <w:sz w:val="13"/>
                <w:szCs w:val="13"/>
              </w:rPr>
            </w:pPr>
            <w:r w:rsidRPr="00A62807">
              <w:rPr>
                <w:rFonts w:cs="Calibri"/>
                <w:b/>
                <w:bCs/>
                <w:color w:val="FFFFFF"/>
                <w:sz w:val="13"/>
                <w:szCs w:val="13"/>
              </w:rPr>
              <w:t>31.12.2019</w:t>
            </w:r>
          </w:p>
        </w:tc>
        <w:tc>
          <w:tcPr>
            <w:tcW w:w="1412" w:type="dxa"/>
            <w:vMerge/>
            <w:tcBorders>
              <w:top w:val="nil"/>
              <w:left w:val="single" w:sz="8" w:space="0" w:color="FFFFFF"/>
              <w:right w:val="single" w:sz="8" w:space="0" w:color="FFFFFF"/>
            </w:tcBorders>
            <w:vAlign w:val="center"/>
            <w:hideMark/>
          </w:tcPr>
          <w:p w14:paraId="19CD1127" w14:textId="77777777" w:rsidR="005345A8" w:rsidRPr="00A62807" w:rsidRDefault="005345A8" w:rsidP="009E1F91">
            <w:pPr>
              <w:rPr>
                <w:rFonts w:cs="Calibri"/>
                <w:b/>
                <w:bCs/>
                <w:color w:val="FFFFFF"/>
                <w:sz w:val="13"/>
                <w:szCs w:val="13"/>
              </w:rPr>
            </w:pPr>
          </w:p>
        </w:tc>
        <w:tc>
          <w:tcPr>
            <w:tcW w:w="1412" w:type="dxa"/>
            <w:tcBorders>
              <w:top w:val="single" w:sz="6" w:space="0" w:color="FFFFFF"/>
              <w:left w:val="nil"/>
              <w:right w:val="single" w:sz="8" w:space="0" w:color="FFFFFF"/>
            </w:tcBorders>
            <w:shd w:val="clear" w:color="000000" w:fill="0077BD"/>
            <w:vAlign w:val="center"/>
            <w:hideMark/>
          </w:tcPr>
          <w:p w14:paraId="6B17BC03" w14:textId="77777777" w:rsidR="005345A8" w:rsidRPr="00A62807" w:rsidRDefault="005345A8" w:rsidP="009E1F91">
            <w:pPr>
              <w:jc w:val="right"/>
              <w:rPr>
                <w:rFonts w:cs="Calibri"/>
                <w:b/>
                <w:bCs/>
                <w:color w:val="FFFFFF"/>
                <w:sz w:val="13"/>
                <w:szCs w:val="13"/>
              </w:rPr>
            </w:pPr>
            <w:r w:rsidRPr="00A62807">
              <w:rPr>
                <w:rFonts w:cs="Calibri"/>
                <w:b/>
                <w:bCs/>
                <w:color w:val="FFFFFF"/>
                <w:sz w:val="13"/>
                <w:szCs w:val="13"/>
              </w:rPr>
              <w:t>31.12.2018</w:t>
            </w:r>
          </w:p>
        </w:tc>
        <w:tc>
          <w:tcPr>
            <w:tcW w:w="1412" w:type="dxa"/>
            <w:vMerge/>
            <w:tcBorders>
              <w:top w:val="nil"/>
              <w:left w:val="single" w:sz="8" w:space="0" w:color="FFFFFF"/>
              <w:right w:val="nil"/>
            </w:tcBorders>
            <w:vAlign w:val="center"/>
            <w:hideMark/>
          </w:tcPr>
          <w:p w14:paraId="0894BDCC" w14:textId="77777777" w:rsidR="005345A8" w:rsidRPr="00A62807" w:rsidRDefault="005345A8" w:rsidP="009E1F91">
            <w:pPr>
              <w:rPr>
                <w:rFonts w:cs="Calibri"/>
                <w:b/>
                <w:bCs/>
                <w:color w:val="FFFFFF"/>
                <w:sz w:val="13"/>
                <w:szCs w:val="13"/>
              </w:rPr>
            </w:pPr>
          </w:p>
        </w:tc>
      </w:tr>
      <w:tr w:rsidR="00977E53" w:rsidRPr="00A62807" w14:paraId="5582CACC"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7650B7D1"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11A8B5E7" w14:textId="219EAFD9" w:rsidR="00F71D57" w:rsidRPr="00A62807" w:rsidRDefault="00F71D57" w:rsidP="00F71D57">
            <w:pPr>
              <w:rPr>
                <w:rFonts w:cs="Calibri"/>
                <w:color w:val="000000" w:themeColor="text1"/>
                <w:sz w:val="13"/>
                <w:szCs w:val="13"/>
              </w:rPr>
            </w:pPr>
            <w:r w:rsidRPr="00A62807">
              <w:rPr>
                <w:rFonts w:cs="Calibri"/>
                <w:color w:val="000000" w:themeColor="text1"/>
                <w:sz w:val="13"/>
                <w:szCs w:val="13"/>
              </w:rPr>
              <w:t>Osoby fizyczne</w:t>
            </w:r>
            <w:r w:rsidR="00F51E5E">
              <w:rPr>
                <w:rFonts w:cs="Calibri"/>
                <w:color w:val="000000" w:themeColor="text1"/>
                <w:sz w:val="13"/>
                <w:szCs w:val="13"/>
              </w:rPr>
              <w:t xml:space="preserve"> </w:t>
            </w:r>
          </w:p>
        </w:tc>
        <w:tc>
          <w:tcPr>
            <w:tcW w:w="1412" w:type="dxa"/>
            <w:tcBorders>
              <w:top w:val="nil"/>
              <w:left w:val="nil"/>
              <w:bottom w:val="single" w:sz="4" w:space="0" w:color="0077BD"/>
              <w:right w:val="single" w:sz="8" w:space="0" w:color="0077BD"/>
            </w:tcBorders>
            <w:shd w:val="clear" w:color="auto" w:fill="auto"/>
            <w:noWrap/>
            <w:vAlign w:val="center"/>
          </w:tcPr>
          <w:p w14:paraId="105724D4" w14:textId="748681F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58 674 891</w:t>
            </w:r>
          </w:p>
        </w:tc>
        <w:tc>
          <w:tcPr>
            <w:tcW w:w="1412" w:type="dxa"/>
            <w:tcBorders>
              <w:top w:val="nil"/>
              <w:left w:val="nil"/>
              <w:bottom w:val="single" w:sz="4" w:space="0" w:color="0077BD"/>
              <w:right w:val="single" w:sz="8" w:space="0" w:color="0077BD"/>
            </w:tcBorders>
            <w:shd w:val="clear" w:color="auto" w:fill="auto"/>
            <w:noWrap/>
            <w:vAlign w:val="center"/>
          </w:tcPr>
          <w:p w14:paraId="7A2C9E8C" w14:textId="6734C5A8"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55,15</w:t>
            </w:r>
          </w:p>
        </w:tc>
        <w:tc>
          <w:tcPr>
            <w:tcW w:w="1412" w:type="dxa"/>
            <w:tcBorders>
              <w:top w:val="nil"/>
              <w:left w:val="nil"/>
              <w:bottom w:val="single" w:sz="4" w:space="0" w:color="0077BD"/>
              <w:right w:val="single" w:sz="8" w:space="0" w:color="0077BD"/>
            </w:tcBorders>
            <w:shd w:val="clear" w:color="auto" w:fill="auto"/>
            <w:noWrap/>
            <w:vAlign w:val="center"/>
            <w:hideMark/>
          </w:tcPr>
          <w:p w14:paraId="1CCB5048" w14:textId="199EEB3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50 554 503</w:t>
            </w:r>
          </w:p>
        </w:tc>
        <w:tc>
          <w:tcPr>
            <w:tcW w:w="1412" w:type="dxa"/>
            <w:tcBorders>
              <w:top w:val="nil"/>
              <w:left w:val="nil"/>
              <w:bottom w:val="single" w:sz="4" w:space="0" w:color="0077BD"/>
              <w:right w:val="nil"/>
            </w:tcBorders>
            <w:shd w:val="clear" w:color="auto" w:fill="auto"/>
            <w:noWrap/>
            <w:vAlign w:val="center"/>
            <w:hideMark/>
          </w:tcPr>
          <w:p w14:paraId="3ED39187" w14:textId="3CFFF07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53,18</w:t>
            </w:r>
          </w:p>
        </w:tc>
      </w:tr>
      <w:tr w:rsidR="00977E53" w:rsidRPr="00A62807" w14:paraId="3ECB14AA"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15AADD63"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2.</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56FBDA4F" w14:textId="5467E623" w:rsidR="00F71D57" w:rsidRPr="00A62807" w:rsidRDefault="00F71D57" w:rsidP="00F71D57">
            <w:pPr>
              <w:rPr>
                <w:rFonts w:cs="Calibri"/>
                <w:color w:val="000000" w:themeColor="text1"/>
                <w:sz w:val="13"/>
                <w:szCs w:val="13"/>
              </w:rPr>
            </w:pPr>
            <w:r w:rsidRPr="00A62807">
              <w:rPr>
                <w:rFonts w:cs="Calibri"/>
                <w:color w:val="000000" w:themeColor="text1"/>
                <w:sz w:val="13"/>
                <w:szCs w:val="13"/>
              </w:rPr>
              <w:t>Obsługa rynku nieruchomości</w:t>
            </w:r>
          </w:p>
        </w:tc>
        <w:tc>
          <w:tcPr>
            <w:tcW w:w="1412" w:type="dxa"/>
            <w:tcBorders>
              <w:top w:val="nil"/>
              <w:left w:val="nil"/>
              <w:bottom w:val="single" w:sz="4" w:space="0" w:color="0077BD"/>
              <w:right w:val="single" w:sz="8" w:space="0" w:color="0077BD"/>
            </w:tcBorders>
            <w:shd w:val="clear" w:color="auto" w:fill="auto"/>
            <w:noWrap/>
            <w:vAlign w:val="center"/>
          </w:tcPr>
          <w:p w14:paraId="16F2DD25" w14:textId="30F4BD1C"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6 305 974</w:t>
            </w:r>
          </w:p>
        </w:tc>
        <w:tc>
          <w:tcPr>
            <w:tcW w:w="1412" w:type="dxa"/>
            <w:tcBorders>
              <w:top w:val="nil"/>
              <w:left w:val="nil"/>
              <w:bottom w:val="single" w:sz="4" w:space="0" w:color="0077BD"/>
              <w:right w:val="single" w:sz="8" w:space="0" w:color="0077BD"/>
            </w:tcBorders>
            <w:shd w:val="clear" w:color="auto" w:fill="auto"/>
            <w:noWrap/>
            <w:vAlign w:val="center"/>
          </w:tcPr>
          <w:p w14:paraId="7E1AA31D" w14:textId="3807A055"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5,93</w:t>
            </w:r>
          </w:p>
        </w:tc>
        <w:tc>
          <w:tcPr>
            <w:tcW w:w="1412" w:type="dxa"/>
            <w:tcBorders>
              <w:top w:val="nil"/>
              <w:left w:val="nil"/>
              <w:bottom w:val="single" w:sz="4" w:space="0" w:color="0077BD"/>
              <w:right w:val="single" w:sz="8" w:space="0" w:color="0077BD"/>
            </w:tcBorders>
            <w:shd w:val="clear" w:color="auto" w:fill="auto"/>
            <w:noWrap/>
            <w:vAlign w:val="center"/>
            <w:hideMark/>
          </w:tcPr>
          <w:p w14:paraId="5EF08519" w14:textId="3CD7B968"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5 781 986</w:t>
            </w:r>
          </w:p>
        </w:tc>
        <w:tc>
          <w:tcPr>
            <w:tcW w:w="1412" w:type="dxa"/>
            <w:tcBorders>
              <w:top w:val="nil"/>
              <w:left w:val="nil"/>
              <w:bottom w:val="single" w:sz="4" w:space="0" w:color="0077BD"/>
              <w:right w:val="nil"/>
            </w:tcBorders>
            <w:shd w:val="clear" w:color="auto" w:fill="auto"/>
            <w:noWrap/>
            <w:vAlign w:val="center"/>
            <w:hideMark/>
          </w:tcPr>
          <w:p w14:paraId="4C2EE9C5" w14:textId="3CEB194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6,08</w:t>
            </w:r>
          </w:p>
        </w:tc>
      </w:tr>
      <w:tr w:rsidR="00977E53" w:rsidRPr="00A62807" w14:paraId="233D3641"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0FE49F65"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3.</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50C38CCE" w14:textId="23D5FAE9" w:rsidR="00F71D57" w:rsidRPr="00A62807" w:rsidRDefault="00F71D57" w:rsidP="00F71D57">
            <w:pPr>
              <w:rPr>
                <w:rFonts w:cs="Calibri"/>
                <w:color w:val="000000" w:themeColor="text1"/>
                <w:sz w:val="13"/>
                <w:szCs w:val="13"/>
              </w:rPr>
            </w:pPr>
            <w:r w:rsidRPr="00A62807">
              <w:rPr>
                <w:rFonts w:cs="Calibri"/>
                <w:color w:val="000000" w:themeColor="text1"/>
                <w:sz w:val="13"/>
                <w:szCs w:val="13"/>
              </w:rPr>
              <w:t>Budownictwo</w:t>
            </w:r>
          </w:p>
        </w:tc>
        <w:tc>
          <w:tcPr>
            <w:tcW w:w="1412" w:type="dxa"/>
            <w:tcBorders>
              <w:top w:val="nil"/>
              <w:left w:val="nil"/>
              <w:bottom w:val="single" w:sz="4" w:space="0" w:color="0077BD"/>
              <w:right w:val="single" w:sz="8" w:space="0" w:color="0077BD"/>
            </w:tcBorders>
            <w:shd w:val="clear" w:color="auto" w:fill="auto"/>
            <w:noWrap/>
            <w:vAlign w:val="center"/>
          </w:tcPr>
          <w:p w14:paraId="78FD8DA1" w14:textId="630784E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5 160 496</w:t>
            </w:r>
          </w:p>
        </w:tc>
        <w:tc>
          <w:tcPr>
            <w:tcW w:w="1412" w:type="dxa"/>
            <w:tcBorders>
              <w:top w:val="nil"/>
              <w:left w:val="nil"/>
              <w:bottom w:val="single" w:sz="4" w:space="0" w:color="0077BD"/>
              <w:right w:val="single" w:sz="8" w:space="0" w:color="0077BD"/>
            </w:tcBorders>
            <w:shd w:val="clear" w:color="auto" w:fill="auto"/>
            <w:noWrap/>
            <w:vAlign w:val="center"/>
          </w:tcPr>
          <w:p w14:paraId="322F4EAD" w14:textId="3281631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4,85</w:t>
            </w:r>
          </w:p>
        </w:tc>
        <w:tc>
          <w:tcPr>
            <w:tcW w:w="1412" w:type="dxa"/>
            <w:tcBorders>
              <w:top w:val="nil"/>
              <w:left w:val="nil"/>
              <w:bottom w:val="single" w:sz="4" w:space="0" w:color="0077BD"/>
              <w:right w:val="single" w:sz="8" w:space="0" w:color="0077BD"/>
            </w:tcBorders>
            <w:shd w:val="clear" w:color="auto" w:fill="auto"/>
            <w:noWrap/>
            <w:vAlign w:val="center"/>
            <w:hideMark/>
          </w:tcPr>
          <w:p w14:paraId="5BEA1FFB" w14:textId="040A6C6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4 367 250</w:t>
            </w:r>
          </w:p>
        </w:tc>
        <w:tc>
          <w:tcPr>
            <w:tcW w:w="1412" w:type="dxa"/>
            <w:tcBorders>
              <w:top w:val="nil"/>
              <w:left w:val="nil"/>
              <w:bottom w:val="single" w:sz="4" w:space="0" w:color="0077BD"/>
              <w:right w:val="nil"/>
            </w:tcBorders>
            <w:shd w:val="clear" w:color="auto" w:fill="auto"/>
            <w:noWrap/>
            <w:vAlign w:val="center"/>
            <w:hideMark/>
          </w:tcPr>
          <w:p w14:paraId="3FD9D7EB" w14:textId="6C4DEAC9"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4,59</w:t>
            </w:r>
          </w:p>
        </w:tc>
      </w:tr>
      <w:tr w:rsidR="00977E53" w:rsidRPr="00A62807" w14:paraId="33BB232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7E5713F5"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4.</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6DA58E9E" w14:textId="039C0CCD" w:rsidR="00F71D57" w:rsidRPr="00A62807" w:rsidRDefault="00F71D57" w:rsidP="00F71D57">
            <w:pPr>
              <w:rPr>
                <w:rFonts w:cs="Calibri"/>
                <w:color w:val="000000" w:themeColor="text1"/>
                <w:sz w:val="13"/>
                <w:szCs w:val="13"/>
              </w:rPr>
            </w:pPr>
            <w:r w:rsidRPr="00A62807">
              <w:rPr>
                <w:rFonts w:cs="Calibri"/>
                <w:color w:val="000000" w:themeColor="text1"/>
                <w:sz w:val="13"/>
                <w:szCs w:val="13"/>
              </w:rPr>
              <w:t>Branża spożywcza</w:t>
            </w:r>
          </w:p>
        </w:tc>
        <w:tc>
          <w:tcPr>
            <w:tcW w:w="1412" w:type="dxa"/>
            <w:tcBorders>
              <w:top w:val="nil"/>
              <w:left w:val="nil"/>
              <w:bottom w:val="single" w:sz="4" w:space="0" w:color="0077BD"/>
              <w:right w:val="single" w:sz="8" w:space="0" w:color="0077BD"/>
            </w:tcBorders>
            <w:shd w:val="clear" w:color="auto" w:fill="auto"/>
            <w:noWrap/>
            <w:vAlign w:val="center"/>
          </w:tcPr>
          <w:p w14:paraId="035D43E8" w14:textId="14A3D5A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3 017 507</w:t>
            </w:r>
          </w:p>
        </w:tc>
        <w:tc>
          <w:tcPr>
            <w:tcW w:w="1412" w:type="dxa"/>
            <w:tcBorders>
              <w:top w:val="nil"/>
              <w:left w:val="nil"/>
              <w:bottom w:val="single" w:sz="4" w:space="0" w:color="0077BD"/>
              <w:right w:val="single" w:sz="8" w:space="0" w:color="0077BD"/>
            </w:tcBorders>
            <w:shd w:val="clear" w:color="auto" w:fill="auto"/>
            <w:noWrap/>
            <w:vAlign w:val="center"/>
          </w:tcPr>
          <w:p w14:paraId="2C02BC2D" w14:textId="6C488F48"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2,84</w:t>
            </w:r>
          </w:p>
        </w:tc>
        <w:tc>
          <w:tcPr>
            <w:tcW w:w="1412" w:type="dxa"/>
            <w:tcBorders>
              <w:top w:val="nil"/>
              <w:left w:val="nil"/>
              <w:bottom w:val="single" w:sz="4" w:space="0" w:color="0077BD"/>
              <w:right w:val="single" w:sz="8" w:space="0" w:color="0077BD"/>
            </w:tcBorders>
            <w:shd w:val="clear" w:color="auto" w:fill="auto"/>
            <w:noWrap/>
            <w:vAlign w:val="center"/>
            <w:hideMark/>
          </w:tcPr>
          <w:p w14:paraId="7FF9DA38" w14:textId="3E6C507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2 854 184</w:t>
            </w:r>
          </w:p>
        </w:tc>
        <w:tc>
          <w:tcPr>
            <w:tcW w:w="1412" w:type="dxa"/>
            <w:tcBorders>
              <w:top w:val="nil"/>
              <w:left w:val="nil"/>
              <w:bottom w:val="single" w:sz="4" w:space="0" w:color="0077BD"/>
              <w:right w:val="nil"/>
            </w:tcBorders>
            <w:shd w:val="clear" w:color="auto" w:fill="auto"/>
            <w:noWrap/>
            <w:vAlign w:val="center"/>
            <w:hideMark/>
          </w:tcPr>
          <w:p w14:paraId="2F358850" w14:textId="1B1658D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3,00</w:t>
            </w:r>
          </w:p>
        </w:tc>
      </w:tr>
      <w:tr w:rsidR="00977E53" w:rsidRPr="00A62807" w14:paraId="568DB1C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2D416571"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5.</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40DD6FB3" w14:textId="22C82E45" w:rsidR="00F71D57" w:rsidRPr="00A62807" w:rsidRDefault="00F71D57" w:rsidP="00F71D57">
            <w:pPr>
              <w:rPr>
                <w:rFonts w:cs="Calibri"/>
                <w:color w:val="000000" w:themeColor="text1"/>
                <w:sz w:val="13"/>
                <w:szCs w:val="13"/>
              </w:rPr>
            </w:pPr>
            <w:r w:rsidRPr="00A62807">
              <w:rPr>
                <w:rFonts w:cs="Calibri"/>
                <w:color w:val="000000" w:themeColor="text1"/>
                <w:sz w:val="13"/>
                <w:szCs w:val="13"/>
              </w:rPr>
              <w:t>Transport i logistyka</w:t>
            </w:r>
          </w:p>
        </w:tc>
        <w:tc>
          <w:tcPr>
            <w:tcW w:w="1412" w:type="dxa"/>
            <w:tcBorders>
              <w:top w:val="nil"/>
              <w:left w:val="nil"/>
              <w:bottom w:val="single" w:sz="4" w:space="0" w:color="0077BD"/>
              <w:right w:val="single" w:sz="8" w:space="0" w:color="0077BD"/>
            </w:tcBorders>
            <w:shd w:val="clear" w:color="auto" w:fill="auto"/>
            <w:noWrap/>
            <w:vAlign w:val="center"/>
          </w:tcPr>
          <w:p w14:paraId="0A130318" w14:textId="74A3D14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2 825 670</w:t>
            </w:r>
          </w:p>
        </w:tc>
        <w:tc>
          <w:tcPr>
            <w:tcW w:w="1412" w:type="dxa"/>
            <w:tcBorders>
              <w:top w:val="nil"/>
              <w:left w:val="nil"/>
              <w:bottom w:val="single" w:sz="4" w:space="0" w:color="0077BD"/>
              <w:right w:val="single" w:sz="8" w:space="0" w:color="0077BD"/>
            </w:tcBorders>
            <w:shd w:val="clear" w:color="auto" w:fill="auto"/>
            <w:noWrap/>
            <w:vAlign w:val="center"/>
          </w:tcPr>
          <w:p w14:paraId="166A53C3" w14:textId="4B9F695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2,66</w:t>
            </w:r>
          </w:p>
        </w:tc>
        <w:tc>
          <w:tcPr>
            <w:tcW w:w="1412" w:type="dxa"/>
            <w:tcBorders>
              <w:top w:val="nil"/>
              <w:left w:val="nil"/>
              <w:bottom w:val="single" w:sz="4" w:space="0" w:color="0077BD"/>
              <w:right w:val="single" w:sz="8" w:space="0" w:color="0077BD"/>
            </w:tcBorders>
            <w:shd w:val="clear" w:color="auto" w:fill="auto"/>
            <w:noWrap/>
            <w:vAlign w:val="center"/>
            <w:hideMark/>
          </w:tcPr>
          <w:p w14:paraId="081C217B" w14:textId="21DA5368"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2 729 735</w:t>
            </w:r>
          </w:p>
        </w:tc>
        <w:tc>
          <w:tcPr>
            <w:tcW w:w="1412" w:type="dxa"/>
            <w:tcBorders>
              <w:top w:val="nil"/>
              <w:left w:val="nil"/>
              <w:bottom w:val="single" w:sz="4" w:space="0" w:color="0077BD"/>
              <w:right w:val="nil"/>
            </w:tcBorders>
            <w:shd w:val="clear" w:color="auto" w:fill="auto"/>
            <w:noWrap/>
            <w:vAlign w:val="center"/>
            <w:hideMark/>
          </w:tcPr>
          <w:p w14:paraId="3A3D23A8" w14:textId="5835E20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2,87</w:t>
            </w:r>
          </w:p>
        </w:tc>
      </w:tr>
      <w:tr w:rsidR="00977E53" w:rsidRPr="00A62807" w14:paraId="22CCD115"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14EB1A82"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6.</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1A64AB92" w14:textId="2757C292" w:rsidR="00F71D57" w:rsidRPr="00A62807" w:rsidRDefault="00F71D57" w:rsidP="00F71D57">
            <w:pPr>
              <w:rPr>
                <w:rFonts w:cs="Calibri"/>
                <w:color w:val="000000" w:themeColor="text1"/>
                <w:sz w:val="13"/>
                <w:szCs w:val="13"/>
              </w:rPr>
            </w:pPr>
            <w:r w:rsidRPr="00A62807">
              <w:rPr>
                <w:rFonts w:cs="Calibri"/>
                <w:color w:val="000000" w:themeColor="text1"/>
                <w:sz w:val="13"/>
                <w:szCs w:val="13"/>
              </w:rPr>
              <w:t>Metale</w:t>
            </w:r>
          </w:p>
        </w:tc>
        <w:tc>
          <w:tcPr>
            <w:tcW w:w="1412" w:type="dxa"/>
            <w:tcBorders>
              <w:top w:val="nil"/>
              <w:left w:val="nil"/>
              <w:bottom w:val="single" w:sz="4" w:space="0" w:color="0077BD"/>
              <w:right w:val="single" w:sz="8" w:space="0" w:color="0077BD"/>
            </w:tcBorders>
            <w:shd w:val="clear" w:color="auto" w:fill="auto"/>
            <w:noWrap/>
            <w:vAlign w:val="center"/>
          </w:tcPr>
          <w:p w14:paraId="2316B850" w14:textId="6CD010E9"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2 331 810</w:t>
            </w:r>
          </w:p>
        </w:tc>
        <w:tc>
          <w:tcPr>
            <w:tcW w:w="1412" w:type="dxa"/>
            <w:tcBorders>
              <w:top w:val="nil"/>
              <w:left w:val="nil"/>
              <w:bottom w:val="single" w:sz="4" w:space="0" w:color="0077BD"/>
              <w:right w:val="single" w:sz="8" w:space="0" w:color="0077BD"/>
            </w:tcBorders>
            <w:shd w:val="clear" w:color="auto" w:fill="auto"/>
            <w:noWrap/>
            <w:vAlign w:val="center"/>
          </w:tcPr>
          <w:p w14:paraId="39A99859" w14:textId="0525AB7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2,19</w:t>
            </w:r>
          </w:p>
        </w:tc>
        <w:tc>
          <w:tcPr>
            <w:tcW w:w="1412" w:type="dxa"/>
            <w:tcBorders>
              <w:top w:val="nil"/>
              <w:left w:val="nil"/>
              <w:bottom w:val="single" w:sz="4" w:space="0" w:color="0077BD"/>
              <w:right w:val="single" w:sz="8" w:space="0" w:color="0077BD"/>
            </w:tcBorders>
            <w:shd w:val="clear" w:color="auto" w:fill="auto"/>
            <w:noWrap/>
            <w:vAlign w:val="center"/>
            <w:hideMark/>
          </w:tcPr>
          <w:p w14:paraId="3A466C84" w14:textId="11F06A69"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2 512 155</w:t>
            </w:r>
          </w:p>
        </w:tc>
        <w:tc>
          <w:tcPr>
            <w:tcW w:w="1412" w:type="dxa"/>
            <w:tcBorders>
              <w:top w:val="nil"/>
              <w:left w:val="nil"/>
              <w:bottom w:val="single" w:sz="4" w:space="0" w:color="0077BD"/>
              <w:right w:val="nil"/>
            </w:tcBorders>
            <w:shd w:val="clear" w:color="auto" w:fill="auto"/>
            <w:noWrap/>
            <w:vAlign w:val="center"/>
            <w:hideMark/>
          </w:tcPr>
          <w:p w14:paraId="3ABDEA28" w14:textId="59BB529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2,64</w:t>
            </w:r>
          </w:p>
        </w:tc>
      </w:tr>
      <w:tr w:rsidR="00977E53" w:rsidRPr="00A62807" w14:paraId="7709A5C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267DD039"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7.</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43A9DA06" w14:textId="543E3D96" w:rsidR="00F71D57" w:rsidRPr="00A62807" w:rsidRDefault="00F71D57" w:rsidP="00F71D57">
            <w:pPr>
              <w:rPr>
                <w:rFonts w:cs="Calibri"/>
                <w:color w:val="000000" w:themeColor="text1"/>
                <w:sz w:val="13"/>
                <w:szCs w:val="13"/>
              </w:rPr>
            </w:pPr>
            <w:r w:rsidRPr="00A62807">
              <w:rPr>
                <w:rFonts w:cs="Calibri"/>
                <w:color w:val="000000" w:themeColor="text1"/>
                <w:sz w:val="13"/>
                <w:szCs w:val="13"/>
              </w:rPr>
              <w:t>Motoryzacja</w:t>
            </w:r>
          </w:p>
        </w:tc>
        <w:tc>
          <w:tcPr>
            <w:tcW w:w="1412" w:type="dxa"/>
            <w:tcBorders>
              <w:top w:val="nil"/>
              <w:left w:val="nil"/>
              <w:bottom w:val="single" w:sz="4" w:space="0" w:color="0077BD"/>
              <w:right w:val="single" w:sz="8" w:space="0" w:color="0077BD"/>
            </w:tcBorders>
            <w:shd w:val="clear" w:color="auto" w:fill="auto"/>
            <w:noWrap/>
            <w:vAlign w:val="center"/>
          </w:tcPr>
          <w:p w14:paraId="661DDE50" w14:textId="72CD7F4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2 240 037</w:t>
            </w:r>
          </w:p>
        </w:tc>
        <w:tc>
          <w:tcPr>
            <w:tcW w:w="1412" w:type="dxa"/>
            <w:tcBorders>
              <w:top w:val="nil"/>
              <w:left w:val="nil"/>
              <w:bottom w:val="single" w:sz="4" w:space="0" w:color="0077BD"/>
              <w:right w:val="single" w:sz="8" w:space="0" w:color="0077BD"/>
            </w:tcBorders>
            <w:shd w:val="clear" w:color="auto" w:fill="auto"/>
            <w:noWrap/>
            <w:vAlign w:val="center"/>
          </w:tcPr>
          <w:p w14:paraId="22E67D81" w14:textId="5098CB31"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2,11</w:t>
            </w:r>
          </w:p>
        </w:tc>
        <w:tc>
          <w:tcPr>
            <w:tcW w:w="1412" w:type="dxa"/>
            <w:tcBorders>
              <w:top w:val="nil"/>
              <w:left w:val="nil"/>
              <w:bottom w:val="single" w:sz="4" w:space="0" w:color="0077BD"/>
              <w:right w:val="single" w:sz="8" w:space="0" w:color="0077BD"/>
            </w:tcBorders>
            <w:shd w:val="clear" w:color="auto" w:fill="auto"/>
            <w:noWrap/>
            <w:vAlign w:val="center"/>
            <w:hideMark/>
          </w:tcPr>
          <w:p w14:paraId="7F697A8D" w14:textId="7B5E17D5"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2 019 772</w:t>
            </w:r>
          </w:p>
        </w:tc>
        <w:tc>
          <w:tcPr>
            <w:tcW w:w="1412" w:type="dxa"/>
            <w:tcBorders>
              <w:top w:val="nil"/>
              <w:left w:val="nil"/>
              <w:bottom w:val="single" w:sz="4" w:space="0" w:color="0077BD"/>
              <w:right w:val="nil"/>
            </w:tcBorders>
            <w:shd w:val="clear" w:color="auto" w:fill="auto"/>
            <w:noWrap/>
            <w:vAlign w:val="center"/>
            <w:hideMark/>
          </w:tcPr>
          <w:p w14:paraId="0C8F7860" w14:textId="22FACAD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2,12</w:t>
            </w:r>
          </w:p>
        </w:tc>
      </w:tr>
      <w:tr w:rsidR="00977E53" w:rsidRPr="00A62807" w14:paraId="448E3F8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82AD31C"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8.</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2DF1BC01" w14:textId="661F5C98" w:rsidR="00F71D57" w:rsidRPr="00A62807" w:rsidRDefault="00F71D57" w:rsidP="00F71D57">
            <w:pPr>
              <w:rPr>
                <w:rFonts w:cs="Calibri"/>
                <w:color w:val="000000" w:themeColor="text1"/>
                <w:sz w:val="13"/>
                <w:szCs w:val="13"/>
              </w:rPr>
            </w:pPr>
            <w:r w:rsidRPr="00A62807">
              <w:rPr>
                <w:rFonts w:cs="Calibri"/>
                <w:color w:val="000000" w:themeColor="text1"/>
                <w:sz w:val="13"/>
                <w:szCs w:val="13"/>
              </w:rPr>
              <w:t>Materiały budowlane</w:t>
            </w:r>
          </w:p>
        </w:tc>
        <w:tc>
          <w:tcPr>
            <w:tcW w:w="1412" w:type="dxa"/>
            <w:tcBorders>
              <w:top w:val="nil"/>
              <w:left w:val="nil"/>
              <w:bottom w:val="single" w:sz="4" w:space="0" w:color="0077BD"/>
              <w:right w:val="single" w:sz="8" w:space="0" w:color="0077BD"/>
            </w:tcBorders>
            <w:shd w:val="clear" w:color="auto" w:fill="auto"/>
            <w:noWrap/>
            <w:vAlign w:val="center"/>
          </w:tcPr>
          <w:p w14:paraId="2DC63C3E" w14:textId="5C30156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2 178 231</w:t>
            </w:r>
          </w:p>
        </w:tc>
        <w:tc>
          <w:tcPr>
            <w:tcW w:w="1412" w:type="dxa"/>
            <w:tcBorders>
              <w:top w:val="nil"/>
              <w:left w:val="nil"/>
              <w:bottom w:val="single" w:sz="4" w:space="0" w:color="0077BD"/>
              <w:right w:val="single" w:sz="8" w:space="0" w:color="0077BD"/>
            </w:tcBorders>
            <w:shd w:val="clear" w:color="auto" w:fill="auto"/>
            <w:noWrap/>
            <w:vAlign w:val="center"/>
          </w:tcPr>
          <w:p w14:paraId="2901F41C" w14:textId="3BB0DBC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2,05</w:t>
            </w:r>
          </w:p>
        </w:tc>
        <w:tc>
          <w:tcPr>
            <w:tcW w:w="1412" w:type="dxa"/>
            <w:tcBorders>
              <w:top w:val="nil"/>
              <w:left w:val="nil"/>
              <w:bottom w:val="single" w:sz="4" w:space="0" w:color="0077BD"/>
              <w:right w:val="single" w:sz="8" w:space="0" w:color="0077BD"/>
            </w:tcBorders>
            <w:shd w:val="clear" w:color="auto" w:fill="auto"/>
            <w:noWrap/>
            <w:vAlign w:val="center"/>
            <w:hideMark/>
          </w:tcPr>
          <w:p w14:paraId="4AFEAAFE" w14:textId="12C4FB6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1 897 015</w:t>
            </w:r>
          </w:p>
        </w:tc>
        <w:tc>
          <w:tcPr>
            <w:tcW w:w="1412" w:type="dxa"/>
            <w:tcBorders>
              <w:top w:val="nil"/>
              <w:left w:val="nil"/>
              <w:bottom w:val="single" w:sz="4" w:space="0" w:color="0077BD"/>
              <w:right w:val="nil"/>
            </w:tcBorders>
            <w:shd w:val="clear" w:color="auto" w:fill="auto"/>
            <w:noWrap/>
            <w:vAlign w:val="center"/>
            <w:hideMark/>
          </w:tcPr>
          <w:p w14:paraId="26F29D6E" w14:textId="12F81282"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2,00</w:t>
            </w:r>
          </w:p>
        </w:tc>
      </w:tr>
      <w:tr w:rsidR="00977E53" w:rsidRPr="00A62807" w14:paraId="5FD68A49"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20290613"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9.</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60DAD86C" w14:textId="3834DB1A" w:rsidR="00F71D57" w:rsidRPr="00A62807" w:rsidRDefault="00F71D57" w:rsidP="00F71D57">
            <w:pPr>
              <w:rPr>
                <w:rFonts w:cs="Calibri"/>
                <w:color w:val="000000" w:themeColor="text1"/>
                <w:sz w:val="13"/>
                <w:szCs w:val="13"/>
              </w:rPr>
            </w:pPr>
            <w:r w:rsidRPr="00A62807">
              <w:rPr>
                <w:rFonts w:cs="Calibri"/>
                <w:color w:val="000000" w:themeColor="text1"/>
                <w:sz w:val="13"/>
                <w:szCs w:val="13"/>
              </w:rPr>
              <w:t>Chemia i tworzywa</w:t>
            </w:r>
          </w:p>
        </w:tc>
        <w:tc>
          <w:tcPr>
            <w:tcW w:w="1412" w:type="dxa"/>
            <w:tcBorders>
              <w:top w:val="nil"/>
              <w:left w:val="nil"/>
              <w:bottom w:val="single" w:sz="4" w:space="0" w:color="0077BD"/>
              <w:right w:val="single" w:sz="8" w:space="0" w:color="0077BD"/>
            </w:tcBorders>
            <w:shd w:val="clear" w:color="auto" w:fill="auto"/>
            <w:noWrap/>
            <w:vAlign w:val="center"/>
          </w:tcPr>
          <w:p w14:paraId="46AD990D" w14:textId="5EC6466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1 915 441</w:t>
            </w:r>
          </w:p>
        </w:tc>
        <w:tc>
          <w:tcPr>
            <w:tcW w:w="1412" w:type="dxa"/>
            <w:tcBorders>
              <w:top w:val="nil"/>
              <w:left w:val="nil"/>
              <w:bottom w:val="single" w:sz="4" w:space="0" w:color="0077BD"/>
              <w:right w:val="single" w:sz="8" w:space="0" w:color="0077BD"/>
            </w:tcBorders>
            <w:shd w:val="clear" w:color="auto" w:fill="auto"/>
            <w:noWrap/>
            <w:vAlign w:val="center"/>
          </w:tcPr>
          <w:p w14:paraId="0CD55E31" w14:textId="778845C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1,80</w:t>
            </w:r>
          </w:p>
        </w:tc>
        <w:tc>
          <w:tcPr>
            <w:tcW w:w="1412" w:type="dxa"/>
            <w:tcBorders>
              <w:top w:val="nil"/>
              <w:left w:val="nil"/>
              <w:bottom w:val="single" w:sz="4" w:space="0" w:color="0077BD"/>
              <w:right w:val="single" w:sz="8" w:space="0" w:color="0077BD"/>
            </w:tcBorders>
            <w:shd w:val="clear" w:color="auto" w:fill="auto"/>
            <w:noWrap/>
            <w:vAlign w:val="center"/>
            <w:hideMark/>
          </w:tcPr>
          <w:p w14:paraId="708B48CD" w14:textId="3513E5B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1 913 025</w:t>
            </w:r>
          </w:p>
        </w:tc>
        <w:tc>
          <w:tcPr>
            <w:tcW w:w="1412" w:type="dxa"/>
            <w:tcBorders>
              <w:top w:val="nil"/>
              <w:left w:val="nil"/>
              <w:bottom w:val="single" w:sz="4" w:space="0" w:color="0077BD"/>
              <w:right w:val="nil"/>
            </w:tcBorders>
            <w:shd w:val="clear" w:color="auto" w:fill="auto"/>
            <w:noWrap/>
            <w:vAlign w:val="center"/>
            <w:hideMark/>
          </w:tcPr>
          <w:p w14:paraId="2A74D9DC" w14:textId="491C9969"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2,01</w:t>
            </w:r>
          </w:p>
        </w:tc>
      </w:tr>
      <w:tr w:rsidR="00977E53" w:rsidRPr="00A62807" w14:paraId="253D59A0"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48409A8"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10.</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18734488" w14:textId="5E6F3377" w:rsidR="00F71D57" w:rsidRPr="00A62807" w:rsidRDefault="00F71D57" w:rsidP="00F71D57">
            <w:pPr>
              <w:rPr>
                <w:rFonts w:cs="Calibri"/>
                <w:color w:val="000000" w:themeColor="text1"/>
                <w:sz w:val="13"/>
                <w:szCs w:val="13"/>
              </w:rPr>
            </w:pPr>
            <w:r w:rsidRPr="00A62807">
              <w:rPr>
                <w:rFonts w:cs="Calibri"/>
                <w:color w:val="000000" w:themeColor="text1"/>
                <w:sz w:val="13"/>
                <w:szCs w:val="13"/>
              </w:rPr>
              <w:t>Drewno, meble i wyroby papiernicze</w:t>
            </w:r>
          </w:p>
        </w:tc>
        <w:tc>
          <w:tcPr>
            <w:tcW w:w="1412" w:type="dxa"/>
            <w:tcBorders>
              <w:top w:val="nil"/>
              <w:left w:val="nil"/>
              <w:bottom w:val="single" w:sz="4" w:space="0" w:color="0077BD"/>
              <w:right w:val="single" w:sz="8" w:space="0" w:color="0077BD"/>
            </w:tcBorders>
            <w:shd w:val="clear" w:color="auto" w:fill="auto"/>
            <w:noWrap/>
            <w:vAlign w:val="center"/>
          </w:tcPr>
          <w:p w14:paraId="1918C85C" w14:textId="6B16578F"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1 782 443</w:t>
            </w:r>
          </w:p>
        </w:tc>
        <w:tc>
          <w:tcPr>
            <w:tcW w:w="1412" w:type="dxa"/>
            <w:tcBorders>
              <w:top w:val="nil"/>
              <w:left w:val="nil"/>
              <w:bottom w:val="single" w:sz="4" w:space="0" w:color="0077BD"/>
              <w:right w:val="single" w:sz="8" w:space="0" w:color="0077BD"/>
            </w:tcBorders>
            <w:shd w:val="clear" w:color="auto" w:fill="auto"/>
            <w:noWrap/>
            <w:vAlign w:val="center"/>
          </w:tcPr>
          <w:p w14:paraId="66CB38AD" w14:textId="532A086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1,68</w:t>
            </w:r>
          </w:p>
        </w:tc>
        <w:tc>
          <w:tcPr>
            <w:tcW w:w="1412" w:type="dxa"/>
            <w:tcBorders>
              <w:top w:val="nil"/>
              <w:left w:val="nil"/>
              <w:bottom w:val="single" w:sz="4" w:space="0" w:color="0077BD"/>
              <w:right w:val="single" w:sz="8" w:space="0" w:color="0077BD"/>
            </w:tcBorders>
            <w:shd w:val="clear" w:color="auto" w:fill="auto"/>
            <w:noWrap/>
            <w:vAlign w:val="center"/>
            <w:hideMark/>
          </w:tcPr>
          <w:p w14:paraId="1D4A3B16" w14:textId="72F34475"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1 378 926</w:t>
            </w:r>
          </w:p>
        </w:tc>
        <w:tc>
          <w:tcPr>
            <w:tcW w:w="1412" w:type="dxa"/>
            <w:tcBorders>
              <w:top w:val="nil"/>
              <w:left w:val="nil"/>
              <w:bottom w:val="single" w:sz="4" w:space="0" w:color="0077BD"/>
              <w:right w:val="nil"/>
            </w:tcBorders>
            <w:shd w:val="clear" w:color="auto" w:fill="auto"/>
            <w:noWrap/>
            <w:vAlign w:val="center"/>
            <w:hideMark/>
          </w:tcPr>
          <w:p w14:paraId="43C98698" w14:textId="10B85F21"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1,45</w:t>
            </w:r>
          </w:p>
        </w:tc>
      </w:tr>
      <w:tr w:rsidR="00977E53" w:rsidRPr="00A62807" w14:paraId="197F88CC"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3DA411E3"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11.</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5A4F053C" w14:textId="2F80A82E" w:rsidR="00F71D57" w:rsidRPr="00A62807" w:rsidRDefault="00F71D57" w:rsidP="00F71D57">
            <w:pPr>
              <w:rPr>
                <w:rFonts w:cs="Calibri"/>
                <w:color w:val="000000" w:themeColor="text1"/>
                <w:sz w:val="13"/>
                <w:szCs w:val="13"/>
              </w:rPr>
            </w:pPr>
            <w:r w:rsidRPr="00A62807">
              <w:rPr>
                <w:rFonts w:cs="Calibri"/>
                <w:color w:val="000000" w:themeColor="text1"/>
                <w:sz w:val="13"/>
                <w:szCs w:val="13"/>
              </w:rPr>
              <w:t xml:space="preserve">Branża finansowa </w:t>
            </w:r>
          </w:p>
        </w:tc>
        <w:tc>
          <w:tcPr>
            <w:tcW w:w="1412" w:type="dxa"/>
            <w:tcBorders>
              <w:top w:val="nil"/>
              <w:left w:val="nil"/>
              <w:bottom w:val="single" w:sz="4" w:space="0" w:color="0077BD"/>
              <w:right w:val="single" w:sz="8" w:space="0" w:color="0077BD"/>
            </w:tcBorders>
            <w:shd w:val="clear" w:color="auto" w:fill="auto"/>
            <w:noWrap/>
            <w:vAlign w:val="center"/>
          </w:tcPr>
          <w:p w14:paraId="2488AB7C" w14:textId="75C0AF9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1 766 892</w:t>
            </w:r>
          </w:p>
        </w:tc>
        <w:tc>
          <w:tcPr>
            <w:tcW w:w="1412" w:type="dxa"/>
            <w:tcBorders>
              <w:top w:val="nil"/>
              <w:left w:val="nil"/>
              <w:bottom w:val="single" w:sz="4" w:space="0" w:color="0077BD"/>
              <w:right w:val="single" w:sz="8" w:space="0" w:color="0077BD"/>
            </w:tcBorders>
            <w:shd w:val="clear" w:color="auto" w:fill="auto"/>
            <w:noWrap/>
            <w:vAlign w:val="center"/>
          </w:tcPr>
          <w:p w14:paraId="2A2781F9" w14:textId="7C1E4877"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1,66</w:t>
            </w:r>
          </w:p>
        </w:tc>
        <w:tc>
          <w:tcPr>
            <w:tcW w:w="1412" w:type="dxa"/>
            <w:tcBorders>
              <w:top w:val="nil"/>
              <w:left w:val="nil"/>
              <w:bottom w:val="single" w:sz="4" w:space="0" w:color="0077BD"/>
              <w:right w:val="single" w:sz="8" w:space="0" w:color="0077BD"/>
            </w:tcBorders>
            <w:shd w:val="clear" w:color="auto" w:fill="auto"/>
            <w:noWrap/>
            <w:vAlign w:val="center"/>
            <w:hideMark/>
          </w:tcPr>
          <w:p w14:paraId="48B203B3" w14:textId="0F0E666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3 379 316</w:t>
            </w:r>
          </w:p>
        </w:tc>
        <w:tc>
          <w:tcPr>
            <w:tcW w:w="1412" w:type="dxa"/>
            <w:tcBorders>
              <w:top w:val="nil"/>
              <w:left w:val="nil"/>
              <w:bottom w:val="single" w:sz="4" w:space="0" w:color="0077BD"/>
              <w:right w:val="nil"/>
            </w:tcBorders>
            <w:shd w:val="clear" w:color="auto" w:fill="auto"/>
            <w:noWrap/>
            <w:vAlign w:val="center"/>
            <w:hideMark/>
          </w:tcPr>
          <w:p w14:paraId="7044C67C" w14:textId="1783C21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3,55</w:t>
            </w:r>
          </w:p>
        </w:tc>
      </w:tr>
      <w:tr w:rsidR="00977E53" w:rsidRPr="00A62807" w14:paraId="58836E1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CAFB66D"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12.</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0BF655E8" w14:textId="296A1EE0" w:rsidR="00F71D57" w:rsidRPr="00A62807" w:rsidRDefault="00F71D57" w:rsidP="00F71D57">
            <w:pPr>
              <w:rPr>
                <w:rFonts w:cs="Calibri"/>
                <w:color w:val="000000" w:themeColor="text1"/>
                <w:sz w:val="13"/>
                <w:szCs w:val="13"/>
              </w:rPr>
            </w:pPr>
            <w:r w:rsidRPr="00A62807">
              <w:rPr>
                <w:rFonts w:cs="Calibri"/>
                <w:color w:val="000000" w:themeColor="text1"/>
                <w:sz w:val="13"/>
                <w:szCs w:val="13"/>
              </w:rPr>
              <w:t>Handel hurtowy</w:t>
            </w:r>
          </w:p>
        </w:tc>
        <w:tc>
          <w:tcPr>
            <w:tcW w:w="1412" w:type="dxa"/>
            <w:tcBorders>
              <w:top w:val="nil"/>
              <w:left w:val="nil"/>
              <w:bottom w:val="single" w:sz="4" w:space="0" w:color="0077BD"/>
              <w:right w:val="single" w:sz="8" w:space="0" w:color="0077BD"/>
            </w:tcBorders>
            <w:shd w:val="clear" w:color="auto" w:fill="auto"/>
            <w:noWrap/>
            <w:vAlign w:val="center"/>
          </w:tcPr>
          <w:p w14:paraId="044A64C0" w14:textId="672F2FD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1 427 747</w:t>
            </w:r>
          </w:p>
        </w:tc>
        <w:tc>
          <w:tcPr>
            <w:tcW w:w="1412" w:type="dxa"/>
            <w:tcBorders>
              <w:top w:val="nil"/>
              <w:left w:val="nil"/>
              <w:bottom w:val="single" w:sz="4" w:space="0" w:color="0077BD"/>
              <w:right w:val="single" w:sz="8" w:space="0" w:color="0077BD"/>
            </w:tcBorders>
            <w:shd w:val="clear" w:color="auto" w:fill="auto"/>
            <w:noWrap/>
            <w:vAlign w:val="center"/>
          </w:tcPr>
          <w:p w14:paraId="3507C775" w14:textId="184C563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1,34</w:t>
            </w:r>
          </w:p>
        </w:tc>
        <w:tc>
          <w:tcPr>
            <w:tcW w:w="1412" w:type="dxa"/>
            <w:tcBorders>
              <w:top w:val="nil"/>
              <w:left w:val="nil"/>
              <w:bottom w:val="single" w:sz="4" w:space="0" w:color="0077BD"/>
              <w:right w:val="single" w:sz="8" w:space="0" w:color="0077BD"/>
            </w:tcBorders>
            <w:shd w:val="clear" w:color="auto" w:fill="auto"/>
            <w:noWrap/>
            <w:vAlign w:val="center"/>
            <w:hideMark/>
          </w:tcPr>
          <w:p w14:paraId="067BA5B4" w14:textId="1A3A5F72"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1 362 759</w:t>
            </w:r>
          </w:p>
        </w:tc>
        <w:tc>
          <w:tcPr>
            <w:tcW w:w="1412" w:type="dxa"/>
            <w:tcBorders>
              <w:top w:val="nil"/>
              <w:left w:val="nil"/>
              <w:bottom w:val="single" w:sz="4" w:space="0" w:color="0077BD"/>
              <w:right w:val="nil"/>
            </w:tcBorders>
            <w:shd w:val="clear" w:color="auto" w:fill="auto"/>
            <w:noWrap/>
            <w:vAlign w:val="center"/>
            <w:hideMark/>
          </w:tcPr>
          <w:p w14:paraId="5090A7D5" w14:textId="746E3B8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1,43</w:t>
            </w:r>
          </w:p>
        </w:tc>
      </w:tr>
      <w:tr w:rsidR="00977E53" w:rsidRPr="00A62807" w14:paraId="0E181853"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52469A3"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13.</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20F56BE8" w14:textId="5B223923" w:rsidR="00F71D57" w:rsidRPr="00A62807" w:rsidRDefault="00F71D57" w:rsidP="00F71D57">
            <w:pPr>
              <w:rPr>
                <w:rFonts w:cs="Calibri"/>
                <w:color w:val="000000" w:themeColor="text1"/>
                <w:sz w:val="13"/>
                <w:szCs w:val="13"/>
              </w:rPr>
            </w:pPr>
            <w:r w:rsidRPr="00A62807">
              <w:rPr>
                <w:rFonts w:cs="Calibri"/>
                <w:color w:val="000000" w:themeColor="text1"/>
                <w:sz w:val="13"/>
                <w:szCs w:val="13"/>
              </w:rPr>
              <w:t>Działalność profesjonalna</w:t>
            </w:r>
          </w:p>
        </w:tc>
        <w:tc>
          <w:tcPr>
            <w:tcW w:w="1412" w:type="dxa"/>
            <w:tcBorders>
              <w:top w:val="nil"/>
              <w:left w:val="nil"/>
              <w:bottom w:val="single" w:sz="4" w:space="0" w:color="0077BD"/>
              <w:right w:val="single" w:sz="8" w:space="0" w:color="0077BD"/>
            </w:tcBorders>
            <w:shd w:val="clear" w:color="auto" w:fill="auto"/>
            <w:noWrap/>
            <w:vAlign w:val="center"/>
          </w:tcPr>
          <w:p w14:paraId="02396705" w14:textId="4AF6CBFB"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1 406 065</w:t>
            </w:r>
          </w:p>
        </w:tc>
        <w:tc>
          <w:tcPr>
            <w:tcW w:w="1412" w:type="dxa"/>
            <w:tcBorders>
              <w:top w:val="nil"/>
              <w:left w:val="nil"/>
              <w:bottom w:val="single" w:sz="4" w:space="0" w:color="0077BD"/>
              <w:right w:val="single" w:sz="8" w:space="0" w:color="0077BD"/>
            </w:tcBorders>
            <w:shd w:val="clear" w:color="auto" w:fill="auto"/>
            <w:noWrap/>
            <w:vAlign w:val="center"/>
          </w:tcPr>
          <w:p w14:paraId="6F31E615" w14:textId="78FC34F8"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1,32</w:t>
            </w:r>
          </w:p>
        </w:tc>
        <w:tc>
          <w:tcPr>
            <w:tcW w:w="1412" w:type="dxa"/>
            <w:tcBorders>
              <w:top w:val="nil"/>
              <w:left w:val="nil"/>
              <w:bottom w:val="single" w:sz="4" w:space="0" w:color="0077BD"/>
              <w:right w:val="single" w:sz="8" w:space="0" w:color="0077BD"/>
            </w:tcBorders>
            <w:shd w:val="clear" w:color="auto" w:fill="auto"/>
            <w:noWrap/>
            <w:vAlign w:val="center"/>
            <w:hideMark/>
          </w:tcPr>
          <w:p w14:paraId="6854A778" w14:textId="6C5D9B1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1 216 481</w:t>
            </w:r>
          </w:p>
        </w:tc>
        <w:tc>
          <w:tcPr>
            <w:tcW w:w="1412" w:type="dxa"/>
            <w:tcBorders>
              <w:top w:val="nil"/>
              <w:left w:val="nil"/>
              <w:bottom w:val="single" w:sz="4" w:space="0" w:color="0077BD"/>
              <w:right w:val="nil"/>
            </w:tcBorders>
            <w:shd w:val="clear" w:color="auto" w:fill="auto"/>
            <w:noWrap/>
            <w:vAlign w:val="center"/>
            <w:hideMark/>
          </w:tcPr>
          <w:p w14:paraId="12A99078" w14:textId="56EFEC6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1,28</w:t>
            </w:r>
          </w:p>
        </w:tc>
      </w:tr>
      <w:tr w:rsidR="00977E53" w:rsidRPr="00A62807" w14:paraId="278D9B2C"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D69DBA1"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14.</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711B8128" w14:textId="77E766C2" w:rsidR="00F71D57" w:rsidRPr="00A62807" w:rsidRDefault="00F71D57" w:rsidP="00F71D57">
            <w:pPr>
              <w:rPr>
                <w:rFonts w:cs="Calibri"/>
                <w:color w:val="000000" w:themeColor="text1"/>
                <w:sz w:val="13"/>
                <w:szCs w:val="13"/>
              </w:rPr>
            </w:pPr>
            <w:r w:rsidRPr="00A62807">
              <w:rPr>
                <w:rFonts w:cs="Calibri"/>
                <w:color w:val="000000" w:themeColor="text1"/>
                <w:sz w:val="13"/>
                <w:szCs w:val="13"/>
              </w:rPr>
              <w:t>Handel detaliczny</w:t>
            </w:r>
          </w:p>
        </w:tc>
        <w:tc>
          <w:tcPr>
            <w:tcW w:w="1412" w:type="dxa"/>
            <w:tcBorders>
              <w:top w:val="nil"/>
              <w:left w:val="nil"/>
              <w:bottom w:val="single" w:sz="4" w:space="0" w:color="0077BD"/>
              <w:right w:val="single" w:sz="8" w:space="0" w:color="0077BD"/>
            </w:tcBorders>
            <w:shd w:val="clear" w:color="auto" w:fill="auto"/>
            <w:noWrap/>
            <w:vAlign w:val="center"/>
          </w:tcPr>
          <w:p w14:paraId="4736DB49" w14:textId="035E288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1 231 428</w:t>
            </w:r>
          </w:p>
        </w:tc>
        <w:tc>
          <w:tcPr>
            <w:tcW w:w="1412" w:type="dxa"/>
            <w:tcBorders>
              <w:top w:val="nil"/>
              <w:left w:val="nil"/>
              <w:bottom w:val="single" w:sz="4" w:space="0" w:color="0077BD"/>
              <w:right w:val="single" w:sz="8" w:space="0" w:color="0077BD"/>
            </w:tcBorders>
            <w:shd w:val="clear" w:color="auto" w:fill="auto"/>
            <w:noWrap/>
            <w:vAlign w:val="center"/>
          </w:tcPr>
          <w:p w14:paraId="1E874DD2" w14:textId="4E46574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1,16</w:t>
            </w:r>
          </w:p>
        </w:tc>
        <w:tc>
          <w:tcPr>
            <w:tcW w:w="1412" w:type="dxa"/>
            <w:tcBorders>
              <w:top w:val="nil"/>
              <w:left w:val="nil"/>
              <w:bottom w:val="single" w:sz="4" w:space="0" w:color="0077BD"/>
              <w:right w:val="single" w:sz="8" w:space="0" w:color="0077BD"/>
            </w:tcBorders>
            <w:shd w:val="clear" w:color="auto" w:fill="auto"/>
            <w:noWrap/>
            <w:vAlign w:val="center"/>
            <w:hideMark/>
          </w:tcPr>
          <w:p w14:paraId="47C14402" w14:textId="6242B44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835 071</w:t>
            </w:r>
          </w:p>
        </w:tc>
        <w:tc>
          <w:tcPr>
            <w:tcW w:w="1412" w:type="dxa"/>
            <w:tcBorders>
              <w:top w:val="nil"/>
              <w:left w:val="nil"/>
              <w:bottom w:val="single" w:sz="4" w:space="0" w:color="0077BD"/>
              <w:right w:val="nil"/>
            </w:tcBorders>
            <w:shd w:val="clear" w:color="auto" w:fill="auto"/>
            <w:noWrap/>
            <w:vAlign w:val="center"/>
            <w:hideMark/>
          </w:tcPr>
          <w:p w14:paraId="5C5AEEF2" w14:textId="31B84F2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0,88</w:t>
            </w:r>
          </w:p>
        </w:tc>
      </w:tr>
      <w:tr w:rsidR="00977E53" w:rsidRPr="00A62807" w14:paraId="19B5BAA1"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7E86B7FA"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15.</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114CFF96" w14:textId="2E78CACF" w:rsidR="00F71D57" w:rsidRPr="00A62807" w:rsidRDefault="00F71D57" w:rsidP="00F71D57">
            <w:pPr>
              <w:rPr>
                <w:rFonts w:cs="Calibri"/>
                <w:color w:val="000000" w:themeColor="text1"/>
                <w:sz w:val="13"/>
                <w:szCs w:val="13"/>
              </w:rPr>
            </w:pPr>
            <w:r w:rsidRPr="00A62807">
              <w:rPr>
                <w:rFonts w:cs="Calibri"/>
                <w:color w:val="000000" w:themeColor="text1"/>
                <w:sz w:val="13"/>
                <w:szCs w:val="13"/>
              </w:rPr>
              <w:t>Informatyka (IT)</w:t>
            </w:r>
          </w:p>
        </w:tc>
        <w:tc>
          <w:tcPr>
            <w:tcW w:w="1412" w:type="dxa"/>
            <w:tcBorders>
              <w:top w:val="nil"/>
              <w:left w:val="nil"/>
              <w:bottom w:val="single" w:sz="4" w:space="0" w:color="0077BD"/>
              <w:right w:val="single" w:sz="8" w:space="0" w:color="0077BD"/>
            </w:tcBorders>
            <w:shd w:val="clear" w:color="auto" w:fill="auto"/>
            <w:noWrap/>
            <w:vAlign w:val="center"/>
          </w:tcPr>
          <w:p w14:paraId="51F5EA71" w14:textId="6B0939F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1 172 087</w:t>
            </w:r>
          </w:p>
        </w:tc>
        <w:tc>
          <w:tcPr>
            <w:tcW w:w="1412" w:type="dxa"/>
            <w:tcBorders>
              <w:top w:val="nil"/>
              <w:left w:val="nil"/>
              <w:bottom w:val="single" w:sz="4" w:space="0" w:color="0077BD"/>
              <w:right w:val="single" w:sz="8" w:space="0" w:color="0077BD"/>
            </w:tcBorders>
            <w:shd w:val="clear" w:color="auto" w:fill="auto"/>
            <w:noWrap/>
            <w:vAlign w:val="center"/>
          </w:tcPr>
          <w:p w14:paraId="622FDFCB" w14:textId="5C02BA76"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1,10</w:t>
            </w:r>
          </w:p>
        </w:tc>
        <w:tc>
          <w:tcPr>
            <w:tcW w:w="1412" w:type="dxa"/>
            <w:tcBorders>
              <w:top w:val="nil"/>
              <w:left w:val="nil"/>
              <w:bottom w:val="single" w:sz="4" w:space="0" w:color="0077BD"/>
              <w:right w:val="single" w:sz="8" w:space="0" w:color="0077BD"/>
            </w:tcBorders>
            <w:shd w:val="clear" w:color="auto" w:fill="auto"/>
            <w:noWrap/>
            <w:vAlign w:val="center"/>
            <w:hideMark/>
          </w:tcPr>
          <w:p w14:paraId="61A95A6B" w14:textId="0563DDB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1 024 833</w:t>
            </w:r>
          </w:p>
        </w:tc>
        <w:tc>
          <w:tcPr>
            <w:tcW w:w="1412" w:type="dxa"/>
            <w:tcBorders>
              <w:top w:val="nil"/>
              <w:left w:val="nil"/>
              <w:bottom w:val="single" w:sz="4" w:space="0" w:color="0077BD"/>
              <w:right w:val="nil"/>
            </w:tcBorders>
            <w:shd w:val="clear" w:color="auto" w:fill="auto"/>
            <w:noWrap/>
            <w:vAlign w:val="center"/>
            <w:hideMark/>
          </w:tcPr>
          <w:p w14:paraId="38FE9563" w14:textId="69F5B1CC"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1,08</w:t>
            </w:r>
          </w:p>
        </w:tc>
      </w:tr>
      <w:tr w:rsidR="00977E53" w:rsidRPr="00A62807" w14:paraId="32CDA64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6BC566C9"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16.</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0F0524FC" w14:textId="129BBADD" w:rsidR="00F71D57" w:rsidRPr="00A62807" w:rsidRDefault="00F71D57" w:rsidP="00F71D57">
            <w:pPr>
              <w:rPr>
                <w:rFonts w:cs="Calibri"/>
                <w:color w:val="000000" w:themeColor="text1"/>
                <w:sz w:val="13"/>
                <w:szCs w:val="13"/>
              </w:rPr>
            </w:pPr>
            <w:r w:rsidRPr="00A62807">
              <w:rPr>
                <w:rFonts w:cs="Calibri"/>
                <w:color w:val="000000" w:themeColor="text1"/>
                <w:sz w:val="13"/>
                <w:szCs w:val="13"/>
              </w:rPr>
              <w:t>Energetyka i ciepłownictwo</w:t>
            </w:r>
          </w:p>
        </w:tc>
        <w:tc>
          <w:tcPr>
            <w:tcW w:w="1412" w:type="dxa"/>
            <w:tcBorders>
              <w:top w:val="nil"/>
              <w:left w:val="nil"/>
              <w:bottom w:val="single" w:sz="4" w:space="0" w:color="0077BD"/>
              <w:right w:val="single" w:sz="8" w:space="0" w:color="0077BD"/>
            </w:tcBorders>
            <w:shd w:val="clear" w:color="auto" w:fill="auto"/>
            <w:noWrap/>
            <w:vAlign w:val="center"/>
          </w:tcPr>
          <w:p w14:paraId="536883AE" w14:textId="7B5C697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1 126 577</w:t>
            </w:r>
          </w:p>
        </w:tc>
        <w:tc>
          <w:tcPr>
            <w:tcW w:w="1412" w:type="dxa"/>
            <w:tcBorders>
              <w:top w:val="nil"/>
              <w:left w:val="nil"/>
              <w:bottom w:val="single" w:sz="4" w:space="0" w:color="0077BD"/>
              <w:right w:val="single" w:sz="8" w:space="0" w:color="0077BD"/>
            </w:tcBorders>
            <w:shd w:val="clear" w:color="auto" w:fill="auto"/>
            <w:noWrap/>
            <w:vAlign w:val="center"/>
          </w:tcPr>
          <w:p w14:paraId="6B908386" w14:textId="234677AF"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1,06</w:t>
            </w:r>
          </w:p>
        </w:tc>
        <w:tc>
          <w:tcPr>
            <w:tcW w:w="1412" w:type="dxa"/>
            <w:tcBorders>
              <w:top w:val="nil"/>
              <w:left w:val="nil"/>
              <w:bottom w:val="single" w:sz="4" w:space="0" w:color="0077BD"/>
              <w:right w:val="single" w:sz="8" w:space="0" w:color="0077BD"/>
            </w:tcBorders>
            <w:shd w:val="clear" w:color="auto" w:fill="auto"/>
            <w:noWrap/>
            <w:vAlign w:val="center"/>
            <w:hideMark/>
          </w:tcPr>
          <w:p w14:paraId="2212994D" w14:textId="4552158F"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1 011 767</w:t>
            </w:r>
          </w:p>
        </w:tc>
        <w:tc>
          <w:tcPr>
            <w:tcW w:w="1412" w:type="dxa"/>
            <w:tcBorders>
              <w:top w:val="nil"/>
              <w:left w:val="nil"/>
              <w:bottom w:val="single" w:sz="4" w:space="0" w:color="0077BD"/>
              <w:right w:val="nil"/>
            </w:tcBorders>
            <w:shd w:val="clear" w:color="auto" w:fill="auto"/>
            <w:noWrap/>
            <w:vAlign w:val="center"/>
            <w:hideMark/>
          </w:tcPr>
          <w:p w14:paraId="3E8FEEEC" w14:textId="41A601D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1,06</w:t>
            </w:r>
          </w:p>
        </w:tc>
      </w:tr>
      <w:tr w:rsidR="00977E53" w:rsidRPr="00A62807" w14:paraId="60EF41EC"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1671DE9F"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17.</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29763CE6" w14:textId="7141655E" w:rsidR="00F71D57" w:rsidRPr="00A62807" w:rsidRDefault="00F71D57" w:rsidP="00F71D57">
            <w:pPr>
              <w:rPr>
                <w:rFonts w:cs="Calibri"/>
                <w:color w:val="000000" w:themeColor="text1"/>
                <w:sz w:val="13"/>
                <w:szCs w:val="13"/>
              </w:rPr>
            </w:pPr>
            <w:r w:rsidRPr="00A62807">
              <w:rPr>
                <w:rFonts w:cs="Calibri"/>
                <w:color w:val="000000" w:themeColor="text1"/>
                <w:sz w:val="13"/>
                <w:szCs w:val="13"/>
              </w:rPr>
              <w:t>Leasing i wynajem ruchomości</w:t>
            </w:r>
          </w:p>
        </w:tc>
        <w:tc>
          <w:tcPr>
            <w:tcW w:w="1412" w:type="dxa"/>
            <w:tcBorders>
              <w:top w:val="nil"/>
              <w:left w:val="nil"/>
              <w:bottom w:val="single" w:sz="4" w:space="0" w:color="0077BD"/>
              <w:right w:val="single" w:sz="8" w:space="0" w:color="0077BD"/>
            </w:tcBorders>
            <w:shd w:val="clear" w:color="auto" w:fill="auto"/>
            <w:noWrap/>
            <w:vAlign w:val="center"/>
          </w:tcPr>
          <w:p w14:paraId="380B13CE" w14:textId="74DAC301"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1 116 106</w:t>
            </w:r>
          </w:p>
        </w:tc>
        <w:tc>
          <w:tcPr>
            <w:tcW w:w="1412" w:type="dxa"/>
            <w:tcBorders>
              <w:top w:val="nil"/>
              <w:left w:val="nil"/>
              <w:bottom w:val="single" w:sz="4" w:space="0" w:color="0077BD"/>
              <w:right w:val="single" w:sz="8" w:space="0" w:color="0077BD"/>
            </w:tcBorders>
            <w:shd w:val="clear" w:color="auto" w:fill="auto"/>
            <w:noWrap/>
            <w:vAlign w:val="center"/>
          </w:tcPr>
          <w:p w14:paraId="1C038DEB" w14:textId="0777E0F2"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1,05</w:t>
            </w:r>
          </w:p>
        </w:tc>
        <w:tc>
          <w:tcPr>
            <w:tcW w:w="1412" w:type="dxa"/>
            <w:tcBorders>
              <w:top w:val="nil"/>
              <w:left w:val="nil"/>
              <w:bottom w:val="single" w:sz="4" w:space="0" w:color="0077BD"/>
              <w:right w:val="single" w:sz="8" w:space="0" w:color="0077BD"/>
            </w:tcBorders>
            <w:shd w:val="clear" w:color="auto" w:fill="auto"/>
            <w:noWrap/>
            <w:vAlign w:val="center"/>
            <w:hideMark/>
          </w:tcPr>
          <w:p w14:paraId="4F68402B" w14:textId="405E8E5C"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1 131 910</w:t>
            </w:r>
          </w:p>
        </w:tc>
        <w:tc>
          <w:tcPr>
            <w:tcW w:w="1412" w:type="dxa"/>
            <w:tcBorders>
              <w:top w:val="nil"/>
              <w:left w:val="nil"/>
              <w:bottom w:val="single" w:sz="4" w:space="0" w:color="0077BD"/>
              <w:right w:val="nil"/>
            </w:tcBorders>
            <w:shd w:val="clear" w:color="auto" w:fill="auto"/>
            <w:noWrap/>
            <w:vAlign w:val="center"/>
            <w:hideMark/>
          </w:tcPr>
          <w:p w14:paraId="6D729C9E" w14:textId="323A9A5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1,19</w:t>
            </w:r>
          </w:p>
        </w:tc>
      </w:tr>
      <w:tr w:rsidR="00977E53" w:rsidRPr="00A62807" w14:paraId="74F4597D"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55C0E38F"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18.</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63E6C335" w14:textId="4C55234F" w:rsidR="00F71D57" w:rsidRPr="00A62807" w:rsidRDefault="00F71D57" w:rsidP="00F71D57">
            <w:pPr>
              <w:rPr>
                <w:rFonts w:cs="Calibri"/>
                <w:color w:val="000000" w:themeColor="text1"/>
                <w:sz w:val="13"/>
                <w:szCs w:val="13"/>
              </w:rPr>
            </w:pPr>
            <w:r w:rsidRPr="00A62807">
              <w:rPr>
                <w:rFonts w:cs="Calibri"/>
                <w:color w:val="000000" w:themeColor="text1"/>
                <w:sz w:val="13"/>
                <w:szCs w:val="13"/>
              </w:rPr>
              <w:t>Paliwa</w:t>
            </w:r>
          </w:p>
        </w:tc>
        <w:tc>
          <w:tcPr>
            <w:tcW w:w="1412" w:type="dxa"/>
            <w:tcBorders>
              <w:top w:val="nil"/>
              <w:left w:val="nil"/>
              <w:bottom w:val="single" w:sz="4" w:space="0" w:color="0077BD"/>
              <w:right w:val="single" w:sz="8" w:space="0" w:color="0077BD"/>
            </w:tcBorders>
            <w:shd w:val="clear" w:color="auto" w:fill="auto"/>
            <w:noWrap/>
            <w:vAlign w:val="center"/>
          </w:tcPr>
          <w:p w14:paraId="26DBB56D" w14:textId="793870D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1 033 659</w:t>
            </w:r>
          </w:p>
        </w:tc>
        <w:tc>
          <w:tcPr>
            <w:tcW w:w="1412" w:type="dxa"/>
            <w:tcBorders>
              <w:top w:val="nil"/>
              <w:left w:val="nil"/>
              <w:bottom w:val="single" w:sz="4" w:space="0" w:color="0077BD"/>
              <w:right w:val="single" w:sz="8" w:space="0" w:color="0077BD"/>
            </w:tcBorders>
            <w:shd w:val="clear" w:color="auto" w:fill="auto"/>
            <w:noWrap/>
            <w:vAlign w:val="center"/>
          </w:tcPr>
          <w:p w14:paraId="55CBE306" w14:textId="054D5AC6"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0,97</w:t>
            </w:r>
          </w:p>
        </w:tc>
        <w:tc>
          <w:tcPr>
            <w:tcW w:w="1412" w:type="dxa"/>
            <w:tcBorders>
              <w:top w:val="nil"/>
              <w:left w:val="nil"/>
              <w:bottom w:val="single" w:sz="4" w:space="0" w:color="0077BD"/>
              <w:right w:val="single" w:sz="8" w:space="0" w:color="0077BD"/>
            </w:tcBorders>
            <w:shd w:val="clear" w:color="auto" w:fill="auto"/>
            <w:noWrap/>
            <w:vAlign w:val="center"/>
            <w:hideMark/>
          </w:tcPr>
          <w:p w14:paraId="09D14183" w14:textId="2CE5AA2E"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1 286 179</w:t>
            </w:r>
          </w:p>
        </w:tc>
        <w:tc>
          <w:tcPr>
            <w:tcW w:w="1412" w:type="dxa"/>
            <w:tcBorders>
              <w:top w:val="nil"/>
              <w:left w:val="nil"/>
              <w:bottom w:val="single" w:sz="4" w:space="0" w:color="0077BD"/>
              <w:right w:val="nil"/>
            </w:tcBorders>
            <w:shd w:val="clear" w:color="auto" w:fill="auto"/>
            <w:noWrap/>
            <w:vAlign w:val="center"/>
            <w:hideMark/>
          </w:tcPr>
          <w:p w14:paraId="3BCAFA62" w14:textId="048A3092"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1,35</w:t>
            </w:r>
          </w:p>
        </w:tc>
      </w:tr>
      <w:tr w:rsidR="00977E53" w:rsidRPr="00A62807" w14:paraId="0C1BFCAE"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5D1A1315"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19.</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4C5B0470" w14:textId="7EE8A0FE" w:rsidR="00F71D57" w:rsidRPr="00A62807" w:rsidRDefault="00F71D57" w:rsidP="00F71D57">
            <w:pPr>
              <w:rPr>
                <w:rFonts w:cs="Calibri"/>
                <w:color w:val="000000" w:themeColor="text1"/>
                <w:sz w:val="13"/>
                <w:szCs w:val="13"/>
              </w:rPr>
            </w:pPr>
            <w:r w:rsidRPr="00A62807">
              <w:rPr>
                <w:rFonts w:cs="Calibri"/>
                <w:color w:val="000000" w:themeColor="text1"/>
                <w:sz w:val="13"/>
                <w:szCs w:val="13"/>
              </w:rPr>
              <w:t>Informacja i komunikacja</w:t>
            </w:r>
          </w:p>
        </w:tc>
        <w:tc>
          <w:tcPr>
            <w:tcW w:w="1412" w:type="dxa"/>
            <w:tcBorders>
              <w:top w:val="nil"/>
              <w:left w:val="nil"/>
              <w:bottom w:val="single" w:sz="4" w:space="0" w:color="0077BD"/>
              <w:right w:val="single" w:sz="8" w:space="0" w:color="0077BD"/>
            </w:tcBorders>
            <w:shd w:val="clear" w:color="auto" w:fill="auto"/>
            <w:noWrap/>
            <w:vAlign w:val="center"/>
          </w:tcPr>
          <w:p w14:paraId="5AC62789" w14:textId="3D753DB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944 929</w:t>
            </w:r>
          </w:p>
        </w:tc>
        <w:tc>
          <w:tcPr>
            <w:tcW w:w="1412" w:type="dxa"/>
            <w:tcBorders>
              <w:top w:val="nil"/>
              <w:left w:val="nil"/>
              <w:bottom w:val="single" w:sz="4" w:space="0" w:color="0077BD"/>
              <w:right w:val="single" w:sz="8" w:space="0" w:color="0077BD"/>
            </w:tcBorders>
            <w:shd w:val="clear" w:color="auto" w:fill="auto"/>
            <w:noWrap/>
            <w:vAlign w:val="center"/>
          </w:tcPr>
          <w:p w14:paraId="7EE78D5B" w14:textId="55CE531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0,89</w:t>
            </w:r>
          </w:p>
        </w:tc>
        <w:tc>
          <w:tcPr>
            <w:tcW w:w="1412" w:type="dxa"/>
            <w:tcBorders>
              <w:top w:val="nil"/>
              <w:left w:val="nil"/>
              <w:bottom w:val="single" w:sz="4" w:space="0" w:color="0077BD"/>
              <w:right w:val="single" w:sz="8" w:space="0" w:color="0077BD"/>
            </w:tcBorders>
            <w:shd w:val="clear" w:color="auto" w:fill="auto"/>
            <w:noWrap/>
            <w:vAlign w:val="center"/>
            <w:hideMark/>
          </w:tcPr>
          <w:p w14:paraId="1426CD0E" w14:textId="0BA7F1E0"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887 843</w:t>
            </w:r>
          </w:p>
        </w:tc>
        <w:tc>
          <w:tcPr>
            <w:tcW w:w="1412" w:type="dxa"/>
            <w:tcBorders>
              <w:top w:val="nil"/>
              <w:left w:val="nil"/>
              <w:bottom w:val="single" w:sz="4" w:space="0" w:color="0077BD"/>
              <w:right w:val="nil"/>
            </w:tcBorders>
            <w:shd w:val="clear" w:color="auto" w:fill="auto"/>
            <w:noWrap/>
            <w:vAlign w:val="center"/>
            <w:hideMark/>
          </w:tcPr>
          <w:p w14:paraId="2F954244" w14:textId="4E13B064"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0,93</w:t>
            </w:r>
          </w:p>
        </w:tc>
      </w:tr>
      <w:tr w:rsidR="00977E53" w:rsidRPr="00A62807" w14:paraId="3CB864C1" w14:textId="77777777" w:rsidTr="00F71D57">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28B947C0" w14:textId="77777777" w:rsidR="00F71D57" w:rsidRPr="00A62807" w:rsidRDefault="00F71D57" w:rsidP="00F71D57">
            <w:pPr>
              <w:jc w:val="center"/>
              <w:rPr>
                <w:rFonts w:cs="Calibri"/>
                <w:color w:val="000000" w:themeColor="text1"/>
                <w:sz w:val="13"/>
                <w:szCs w:val="13"/>
              </w:rPr>
            </w:pPr>
            <w:r w:rsidRPr="00A62807">
              <w:rPr>
                <w:rFonts w:cs="Calibri"/>
                <w:color w:val="000000" w:themeColor="text1"/>
                <w:sz w:val="13"/>
                <w:szCs w:val="13"/>
              </w:rPr>
              <w:t>20.</w:t>
            </w:r>
          </w:p>
        </w:tc>
        <w:tc>
          <w:tcPr>
            <w:tcW w:w="3552" w:type="dxa"/>
            <w:tcBorders>
              <w:top w:val="nil"/>
              <w:left w:val="single" w:sz="8" w:space="0" w:color="0077BD"/>
              <w:bottom w:val="single" w:sz="4" w:space="0" w:color="0077BD"/>
              <w:right w:val="single" w:sz="8" w:space="0" w:color="0077BD"/>
            </w:tcBorders>
            <w:shd w:val="clear" w:color="auto" w:fill="auto"/>
            <w:noWrap/>
            <w:vAlign w:val="center"/>
            <w:hideMark/>
          </w:tcPr>
          <w:p w14:paraId="67024E7D" w14:textId="3B595CCE" w:rsidR="00F71D57" w:rsidRPr="00A62807" w:rsidRDefault="00F71D57" w:rsidP="00F71D57">
            <w:pPr>
              <w:rPr>
                <w:rFonts w:cs="Calibri"/>
                <w:color w:val="000000" w:themeColor="text1"/>
                <w:sz w:val="13"/>
                <w:szCs w:val="13"/>
              </w:rPr>
            </w:pPr>
            <w:r w:rsidRPr="00A62807">
              <w:rPr>
                <w:rFonts w:cs="Calibri"/>
                <w:color w:val="000000" w:themeColor="text1"/>
                <w:sz w:val="13"/>
                <w:szCs w:val="13"/>
              </w:rPr>
              <w:t>Farmacja</w:t>
            </w:r>
          </w:p>
        </w:tc>
        <w:tc>
          <w:tcPr>
            <w:tcW w:w="1412" w:type="dxa"/>
            <w:tcBorders>
              <w:top w:val="nil"/>
              <w:left w:val="nil"/>
              <w:bottom w:val="single" w:sz="4" w:space="0" w:color="0077BD"/>
              <w:right w:val="single" w:sz="8" w:space="0" w:color="0077BD"/>
            </w:tcBorders>
            <w:shd w:val="clear" w:color="auto" w:fill="auto"/>
            <w:noWrap/>
            <w:vAlign w:val="center"/>
          </w:tcPr>
          <w:p w14:paraId="5E8A0506" w14:textId="6E4A135D"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894 470</w:t>
            </w:r>
          </w:p>
        </w:tc>
        <w:tc>
          <w:tcPr>
            <w:tcW w:w="1412" w:type="dxa"/>
            <w:tcBorders>
              <w:top w:val="nil"/>
              <w:left w:val="nil"/>
              <w:bottom w:val="single" w:sz="4" w:space="0" w:color="0077BD"/>
              <w:right w:val="single" w:sz="8" w:space="0" w:color="0077BD"/>
            </w:tcBorders>
            <w:shd w:val="clear" w:color="auto" w:fill="auto"/>
            <w:noWrap/>
            <w:vAlign w:val="center"/>
          </w:tcPr>
          <w:p w14:paraId="6FEF9B6E" w14:textId="2AD5D065"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0,84</w:t>
            </w:r>
          </w:p>
        </w:tc>
        <w:tc>
          <w:tcPr>
            <w:tcW w:w="1412" w:type="dxa"/>
            <w:tcBorders>
              <w:top w:val="nil"/>
              <w:left w:val="nil"/>
              <w:bottom w:val="single" w:sz="4" w:space="0" w:color="0077BD"/>
              <w:right w:val="single" w:sz="8" w:space="0" w:color="0077BD"/>
            </w:tcBorders>
            <w:shd w:val="clear" w:color="auto" w:fill="auto"/>
            <w:noWrap/>
            <w:vAlign w:val="center"/>
            <w:hideMark/>
          </w:tcPr>
          <w:p w14:paraId="562ACC83" w14:textId="47049C03"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342 945</w:t>
            </w:r>
          </w:p>
        </w:tc>
        <w:tc>
          <w:tcPr>
            <w:tcW w:w="1412" w:type="dxa"/>
            <w:tcBorders>
              <w:top w:val="nil"/>
              <w:left w:val="nil"/>
              <w:bottom w:val="single" w:sz="4" w:space="0" w:color="0077BD"/>
              <w:right w:val="nil"/>
            </w:tcBorders>
            <w:shd w:val="clear" w:color="auto" w:fill="auto"/>
            <w:noWrap/>
            <w:vAlign w:val="center"/>
            <w:hideMark/>
          </w:tcPr>
          <w:p w14:paraId="42F499AD" w14:textId="748AE5FA" w:rsidR="00F71D57" w:rsidRPr="00A62807" w:rsidRDefault="00F71D57" w:rsidP="00F71D57">
            <w:pPr>
              <w:jc w:val="right"/>
              <w:rPr>
                <w:rFonts w:cs="Calibri"/>
                <w:color w:val="000000" w:themeColor="text1"/>
                <w:sz w:val="13"/>
                <w:szCs w:val="13"/>
              </w:rPr>
            </w:pPr>
            <w:r w:rsidRPr="00A62807">
              <w:rPr>
                <w:rFonts w:cs="Calibri"/>
                <w:color w:val="000000" w:themeColor="text1"/>
                <w:sz w:val="13"/>
                <w:szCs w:val="13"/>
              </w:rPr>
              <w:t>0,36</w:t>
            </w:r>
          </w:p>
        </w:tc>
      </w:tr>
    </w:tbl>
    <w:p w14:paraId="6EB9B95D" w14:textId="77942460" w:rsidR="005345A8" w:rsidRPr="00977E53" w:rsidRDefault="00DF43D0" w:rsidP="005A7F17">
      <w:pPr>
        <w:spacing w:before="120"/>
        <w:jc w:val="both"/>
        <w:rPr>
          <w:rFonts w:eastAsia="Calibri"/>
          <w:noProof/>
          <w:color w:val="000000" w:themeColor="text1"/>
        </w:rPr>
      </w:pPr>
      <w:r w:rsidRPr="00977E53">
        <w:rPr>
          <w:rFonts w:eastAsia="Calibri"/>
          <w:color w:val="000000" w:themeColor="text1"/>
          <w:sz w:val="18"/>
          <w:szCs w:val="18"/>
          <w:lang w:eastAsia="en-US"/>
        </w:rPr>
        <w:t xml:space="preserve">Łączne zaangażowanie Grupy na dzień 31 grudnia 2019 roku w wyżej wymienione branże (poza osobami fizycznymi) wynosi </w:t>
      </w:r>
      <w:r w:rsidR="0006286D" w:rsidRPr="00977E53">
        <w:rPr>
          <w:rFonts w:eastAsia="Calibri"/>
          <w:color w:val="000000" w:themeColor="text1"/>
          <w:sz w:val="18"/>
          <w:szCs w:val="18"/>
          <w:lang w:eastAsia="en-US"/>
        </w:rPr>
        <w:t>37</w:t>
      </w:r>
      <w:r w:rsidRPr="00977E53">
        <w:rPr>
          <w:rFonts w:eastAsia="Calibri"/>
          <w:color w:val="000000" w:themeColor="text1"/>
          <w:sz w:val="18"/>
          <w:szCs w:val="18"/>
          <w:lang w:eastAsia="en-US"/>
        </w:rPr>
        <w:t>,</w:t>
      </w:r>
      <w:r w:rsidR="0006286D" w:rsidRPr="00977E53">
        <w:rPr>
          <w:rFonts w:eastAsia="Calibri"/>
          <w:color w:val="000000" w:themeColor="text1"/>
          <w:sz w:val="18"/>
          <w:szCs w:val="18"/>
          <w:lang w:eastAsia="en-US"/>
        </w:rPr>
        <w:t>50</w:t>
      </w:r>
      <w:r w:rsidRPr="00977E53">
        <w:rPr>
          <w:rFonts w:eastAsia="Calibri"/>
          <w:color w:val="000000" w:themeColor="text1"/>
          <w:sz w:val="18"/>
          <w:szCs w:val="18"/>
          <w:lang w:eastAsia="en-US"/>
        </w:rPr>
        <w:t>% portfela kredytowego (31 grudnia 2018</w:t>
      </w:r>
      <w:r w:rsidR="0006286D" w:rsidRPr="00977E53">
        <w:rPr>
          <w:rFonts w:eastAsia="Calibri"/>
          <w:color w:val="000000" w:themeColor="text1"/>
          <w:sz w:val="18"/>
          <w:szCs w:val="18"/>
          <w:lang w:eastAsia="en-US"/>
        </w:rPr>
        <w:t xml:space="preserve"> roku – 39</w:t>
      </w:r>
      <w:r w:rsidRPr="00977E53">
        <w:rPr>
          <w:rFonts w:eastAsia="Calibri"/>
          <w:color w:val="000000" w:themeColor="text1"/>
          <w:sz w:val="18"/>
          <w:szCs w:val="18"/>
          <w:lang w:eastAsia="en-US"/>
        </w:rPr>
        <w:t>,</w:t>
      </w:r>
      <w:r w:rsidR="0006286D" w:rsidRPr="00977E53">
        <w:rPr>
          <w:rFonts w:eastAsia="Calibri"/>
          <w:color w:val="000000" w:themeColor="text1"/>
          <w:sz w:val="18"/>
          <w:szCs w:val="18"/>
          <w:lang w:eastAsia="en-US"/>
        </w:rPr>
        <w:t>87</w:t>
      </w:r>
      <w:r w:rsidRPr="00977E53">
        <w:rPr>
          <w:rFonts w:eastAsia="Calibri"/>
          <w:color w:val="000000" w:themeColor="text1"/>
          <w:sz w:val="18"/>
          <w:szCs w:val="18"/>
          <w:lang w:eastAsia="en-US"/>
        </w:rPr>
        <w:t>%).</w:t>
      </w:r>
    </w:p>
    <w:p w14:paraId="097AE960" w14:textId="41319481" w:rsidR="005345A8" w:rsidRPr="00977E53" w:rsidRDefault="005345A8" w:rsidP="005345A8">
      <w:pPr>
        <w:suppressAutoHyphens/>
        <w:spacing w:before="120" w:after="120"/>
        <w:jc w:val="both"/>
        <w:rPr>
          <w:rFonts w:eastAsia="Calibri"/>
          <w:color w:val="000000" w:themeColor="text1"/>
          <w:sz w:val="18"/>
          <w:szCs w:val="18"/>
        </w:rPr>
      </w:pPr>
      <w:r w:rsidRPr="00977E53">
        <w:rPr>
          <w:rFonts w:eastAsia="Calibri"/>
          <w:color w:val="000000" w:themeColor="text1"/>
          <w:sz w:val="18"/>
          <w:szCs w:val="18"/>
        </w:rPr>
        <w:t>Poniższa tabela przedstawia ryzyko branż limitowanych na koniec 2019 roku i na koniec 2018 roku.</w:t>
      </w:r>
    </w:p>
    <w:tbl>
      <w:tblPr>
        <w:tblW w:w="9488" w:type="dxa"/>
        <w:tblLayout w:type="fixed"/>
        <w:tblCellMar>
          <w:left w:w="28" w:type="dxa"/>
          <w:right w:w="28" w:type="dxa"/>
        </w:tblCellMar>
        <w:tblLook w:val="04A0" w:firstRow="1" w:lastRow="0" w:firstColumn="1" w:lastColumn="0" w:noHBand="0" w:noVBand="1"/>
      </w:tblPr>
      <w:tblGrid>
        <w:gridCol w:w="423"/>
        <w:gridCol w:w="4245"/>
        <w:gridCol w:w="2410"/>
        <w:gridCol w:w="2410"/>
      </w:tblGrid>
      <w:tr w:rsidR="005345A8" w:rsidRPr="00950EDE" w14:paraId="388E6088" w14:textId="77777777" w:rsidTr="00665C1C">
        <w:trPr>
          <w:trHeight w:val="345"/>
        </w:trPr>
        <w:tc>
          <w:tcPr>
            <w:tcW w:w="423" w:type="dxa"/>
            <w:tcBorders>
              <w:top w:val="single" w:sz="8" w:space="0" w:color="FFFFFF"/>
              <w:left w:val="single" w:sz="8" w:space="0" w:color="FFFFFF"/>
              <w:bottom w:val="nil"/>
              <w:right w:val="single" w:sz="8" w:space="0" w:color="FFFFFF"/>
            </w:tcBorders>
            <w:shd w:val="clear" w:color="000000" w:fill="0077BD"/>
            <w:vAlign w:val="center"/>
            <w:hideMark/>
          </w:tcPr>
          <w:p w14:paraId="4B57AF10" w14:textId="77777777" w:rsidR="005345A8" w:rsidRPr="00950EDE" w:rsidRDefault="005345A8" w:rsidP="009E1F91">
            <w:pPr>
              <w:jc w:val="center"/>
              <w:rPr>
                <w:rFonts w:cs="Calibri"/>
                <w:b/>
                <w:bCs/>
                <w:color w:val="FFFFFF"/>
                <w:sz w:val="14"/>
                <w:szCs w:val="14"/>
              </w:rPr>
            </w:pPr>
            <w:r w:rsidRPr="00950EDE">
              <w:rPr>
                <w:rFonts w:cs="Calibri"/>
                <w:b/>
                <w:bCs/>
                <w:color w:val="FFFFFF"/>
                <w:sz w:val="14"/>
                <w:szCs w:val="14"/>
              </w:rPr>
              <w:t>Lp.</w:t>
            </w:r>
          </w:p>
        </w:tc>
        <w:tc>
          <w:tcPr>
            <w:tcW w:w="4245" w:type="dxa"/>
            <w:tcBorders>
              <w:top w:val="single" w:sz="8" w:space="0" w:color="FFFFFF"/>
              <w:left w:val="nil"/>
              <w:bottom w:val="nil"/>
              <w:right w:val="single" w:sz="8" w:space="0" w:color="FFFFFF"/>
            </w:tcBorders>
            <w:shd w:val="clear" w:color="000000" w:fill="0077BD"/>
            <w:vAlign w:val="center"/>
            <w:hideMark/>
          </w:tcPr>
          <w:p w14:paraId="7DE3D293" w14:textId="77777777" w:rsidR="005345A8" w:rsidRPr="00950EDE" w:rsidRDefault="005345A8" w:rsidP="009E1F91">
            <w:pPr>
              <w:jc w:val="center"/>
              <w:rPr>
                <w:rFonts w:cs="Calibri"/>
                <w:b/>
                <w:bCs/>
                <w:color w:val="FFFFFF"/>
                <w:sz w:val="14"/>
                <w:szCs w:val="14"/>
              </w:rPr>
            </w:pPr>
            <w:r w:rsidRPr="00950EDE">
              <w:rPr>
                <w:rFonts w:cs="Calibri"/>
                <w:b/>
                <w:bCs/>
                <w:color w:val="FFFFFF"/>
                <w:sz w:val="14"/>
                <w:szCs w:val="14"/>
              </w:rPr>
              <w:t>Branża</w:t>
            </w:r>
          </w:p>
        </w:tc>
        <w:tc>
          <w:tcPr>
            <w:tcW w:w="2410" w:type="dxa"/>
            <w:tcBorders>
              <w:top w:val="single" w:sz="8" w:space="0" w:color="FFFFFF"/>
              <w:left w:val="nil"/>
              <w:bottom w:val="nil"/>
              <w:right w:val="single" w:sz="8" w:space="0" w:color="FFFFFF"/>
            </w:tcBorders>
            <w:shd w:val="clear" w:color="000000" w:fill="0077BD"/>
            <w:vAlign w:val="center"/>
            <w:hideMark/>
          </w:tcPr>
          <w:p w14:paraId="28124279" w14:textId="77777777" w:rsidR="005345A8" w:rsidRPr="00950EDE" w:rsidRDefault="005345A8" w:rsidP="00DF43D0">
            <w:pPr>
              <w:jc w:val="right"/>
              <w:rPr>
                <w:rFonts w:cs="Calibri"/>
                <w:b/>
                <w:bCs/>
                <w:color w:val="FFFFFF"/>
                <w:sz w:val="14"/>
                <w:szCs w:val="14"/>
              </w:rPr>
            </w:pPr>
            <w:r w:rsidRPr="00950EDE">
              <w:rPr>
                <w:rFonts w:cs="Calibri"/>
                <w:b/>
                <w:bCs/>
                <w:color w:val="FFFFFF"/>
                <w:sz w:val="14"/>
                <w:szCs w:val="14"/>
              </w:rPr>
              <w:t>31.12.2019</w:t>
            </w:r>
          </w:p>
        </w:tc>
        <w:tc>
          <w:tcPr>
            <w:tcW w:w="2410" w:type="dxa"/>
            <w:tcBorders>
              <w:top w:val="single" w:sz="8" w:space="0" w:color="FFFFFF"/>
              <w:left w:val="nil"/>
              <w:bottom w:val="nil"/>
              <w:right w:val="single" w:sz="8" w:space="0" w:color="FFFFFF"/>
            </w:tcBorders>
            <w:shd w:val="clear" w:color="000000" w:fill="0077BD"/>
            <w:vAlign w:val="center"/>
            <w:hideMark/>
          </w:tcPr>
          <w:p w14:paraId="5F8CD32D" w14:textId="77777777" w:rsidR="005345A8" w:rsidRPr="00950EDE" w:rsidRDefault="005345A8" w:rsidP="00DF43D0">
            <w:pPr>
              <w:jc w:val="right"/>
              <w:rPr>
                <w:rFonts w:cs="Calibri"/>
                <w:b/>
                <w:bCs/>
                <w:color w:val="FFFFFF"/>
                <w:sz w:val="14"/>
                <w:szCs w:val="14"/>
              </w:rPr>
            </w:pPr>
            <w:r w:rsidRPr="00950EDE">
              <w:rPr>
                <w:rFonts w:cs="Calibri"/>
                <w:b/>
                <w:bCs/>
                <w:color w:val="FFFFFF"/>
                <w:sz w:val="14"/>
                <w:szCs w:val="14"/>
              </w:rPr>
              <w:t>31.12.2018</w:t>
            </w:r>
          </w:p>
        </w:tc>
      </w:tr>
      <w:tr w:rsidR="00977E53" w:rsidRPr="00977E53" w14:paraId="2BD601CF"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91A0C8F"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1.</w:t>
            </w:r>
          </w:p>
        </w:tc>
        <w:tc>
          <w:tcPr>
            <w:tcW w:w="4245" w:type="dxa"/>
            <w:tcBorders>
              <w:top w:val="nil"/>
              <w:left w:val="nil"/>
              <w:bottom w:val="single" w:sz="4" w:space="0" w:color="0077BD"/>
              <w:right w:val="single" w:sz="8" w:space="0" w:color="0077BD"/>
            </w:tcBorders>
            <w:shd w:val="clear" w:color="auto" w:fill="auto"/>
            <w:noWrap/>
            <w:vAlign w:val="center"/>
            <w:hideMark/>
          </w:tcPr>
          <w:p w14:paraId="0760AAE9"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Finansowa</w:t>
            </w:r>
          </w:p>
        </w:tc>
        <w:tc>
          <w:tcPr>
            <w:tcW w:w="2410" w:type="dxa"/>
            <w:tcBorders>
              <w:top w:val="nil"/>
              <w:left w:val="nil"/>
              <w:bottom w:val="single" w:sz="4" w:space="0" w:color="0077BD"/>
              <w:right w:val="single" w:sz="8" w:space="0" w:color="0077BD"/>
            </w:tcBorders>
            <w:shd w:val="clear" w:color="auto" w:fill="auto"/>
            <w:noWrap/>
            <w:vAlign w:val="center"/>
            <w:hideMark/>
          </w:tcPr>
          <w:p w14:paraId="228961C5"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niskie</w:t>
            </w:r>
          </w:p>
        </w:tc>
        <w:tc>
          <w:tcPr>
            <w:tcW w:w="2410" w:type="dxa"/>
            <w:tcBorders>
              <w:top w:val="nil"/>
              <w:left w:val="nil"/>
              <w:bottom w:val="single" w:sz="4" w:space="0" w:color="0077BD"/>
              <w:right w:val="nil"/>
            </w:tcBorders>
            <w:shd w:val="clear" w:color="auto" w:fill="auto"/>
            <w:noWrap/>
            <w:vAlign w:val="center"/>
            <w:hideMark/>
          </w:tcPr>
          <w:p w14:paraId="0B789418" w14:textId="77777777" w:rsidR="005345A8" w:rsidRPr="00977E53" w:rsidRDefault="005345A8" w:rsidP="00DF43D0">
            <w:pPr>
              <w:tabs>
                <w:tab w:val="left" w:pos="4272"/>
              </w:tabs>
              <w:jc w:val="right"/>
              <w:rPr>
                <w:rFonts w:cs="Calibri"/>
                <w:color w:val="000000" w:themeColor="text1"/>
                <w:sz w:val="13"/>
                <w:szCs w:val="13"/>
              </w:rPr>
            </w:pPr>
            <w:r w:rsidRPr="00977E53">
              <w:rPr>
                <w:rFonts w:cs="Calibri"/>
                <w:color w:val="000000" w:themeColor="text1"/>
                <w:sz w:val="13"/>
                <w:szCs w:val="13"/>
              </w:rPr>
              <w:t>niskie</w:t>
            </w:r>
          </w:p>
        </w:tc>
      </w:tr>
      <w:tr w:rsidR="00977E53" w:rsidRPr="00977E53" w14:paraId="0DB77D43"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4C1038AB"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2.</w:t>
            </w:r>
          </w:p>
        </w:tc>
        <w:tc>
          <w:tcPr>
            <w:tcW w:w="4245" w:type="dxa"/>
            <w:tcBorders>
              <w:top w:val="nil"/>
              <w:left w:val="nil"/>
              <w:bottom w:val="single" w:sz="4" w:space="0" w:color="0077BD"/>
              <w:right w:val="single" w:sz="8" w:space="0" w:color="0077BD"/>
            </w:tcBorders>
            <w:shd w:val="clear" w:color="auto" w:fill="auto"/>
            <w:noWrap/>
            <w:vAlign w:val="center"/>
            <w:hideMark/>
          </w:tcPr>
          <w:p w14:paraId="255AC320"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Paliwowa</w:t>
            </w:r>
          </w:p>
        </w:tc>
        <w:tc>
          <w:tcPr>
            <w:tcW w:w="2410" w:type="dxa"/>
            <w:tcBorders>
              <w:top w:val="nil"/>
              <w:left w:val="nil"/>
              <w:bottom w:val="single" w:sz="4" w:space="0" w:color="0077BD"/>
              <w:right w:val="single" w:sz="8" w:space="0" w:color="0077BD"/>
            </w:tcBorders>
            <w:shd w:val="clear" w:color="auto" w:fill="auto"/>
            <w:noWrap/>
            <w:vAlign w:val="center"/>
            <w:hideMark/>
          </w:tcPr>
          <w:p w14:paraId="25FC75A6"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c>
          <w:tcPr>
            <w:tcW w:w="2410" w:type="dxa"/>
            <w:tcBorders>
              <w:top w:val="nil"/>
              <w:left w:val="nil"/>
              <w:bottom w:val="single" w:sz="4" w:space="0" w:color="0077BD"/>
              <w:right w:val="nil"/>
            </w:tcBorders>
            <w:shd w:val="clear" w:color="auto" w:fill="auto"/>
            <w:noWrap/>
            <w:vAlign w:val="center"/>
            <w:hideMark/>
          </w:tcPr>
          <w:p w14:paraId="613A1EAB"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r>
      <w:tr w:rsidR="00977E53" w:rsidRPr="00977E53" w14:paraId="7DFCA429"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534D1F79"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3.</w:t>
            </w:r>
          </w:p>
        </w:tc>
        <w:tc>
          <w:tcPr>
            <w:tcW w:w="4245" w:type="dxa"/>
            <w:tcBorders>
              <w:top w:val="nil"/>
              <w:left w:val="nil"/>
              <w:bottom w:val="single" w:sz="4" w:space="0" w:color="0077BD"/>
              <w:right w:val="single" w:sz="8" w:space="0" w:color="0077BD"/>
            </w:tcBorders>
            <w:shd w:val="clear" w:color="auto" w:fill="auto"/>
            <w:noWrap/>
            <w:vAlign w:val="center"/>
            <w:hideMark/>
          </w:tcPr>
          <w:p w14:paraId="50BD3E45"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Spożywcza</w:t>
            </w:r>
          </w:p>
        </w:tc>
        <w:tc>
          <w:tcPr>
            <w:tcW w:w="2410" w:type="dxa"/>
            <w:tcBorders>
              <w:top w:val="nil"/>
              <w:left w:val="nil"/>
              <w:bottom w:val="single" w:sz="4" w:space="0" w:color="0077BD"/>
              <w:right w:val="single" w:sz="8" w:space="0" w:color="0077BD"/>
            </w:tcBorders>
            <w:shd w:val="clear" w:color="auto" w:fill="auto"/>
            <w:noWrap/>
            <w:vAlign w:val="center"/>
            <w:hideMark/>
          </w:tcPr>
          <w:p w14:paraId="070ACAB1"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c>
          <w:tcPr>
            <w:tcW w:w="2410" w:type="dxa"/>
            <w:tcBorders>
              <w:top w:val="nil"/>
              <w:left w:val="nil"/>
              <w:bottom w:val="single" w:sz="4" w:space="0" w:color="0077BD"/>
              <w:right w:val="nil"/>
            </w:tcBorders>
            <w:shd w:val="clear" w:color="auto" w:fill="auto"/>
            <w:noWrap/>
            <w:vAlign w:val="center"/>
            <w:hideMark/>
          </w:tcPr>
          <w:p w14:paraId="440E91D0"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r>
      <w:tr w:rsidR="00977E53" w:rsidRPr="00977E53" w14:paraId="406D1A23"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6032C3A9"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4.</w:t>
            </w:r>
          </w:p>
        </w:tc>
        <w:tc>
          <w:tcPr>
            <w:tcW w:w="4245" w:type="dxa"/>
            <w:tcBorders>
              <w:top w:val="nil"/>
              <w:left w:val="nil"/>
              <w:bottom w:val="single" w:sz="4" w:space="0" w:color="0077BD"/>
              <w:right w:val="single" w:sz="8" w:space="0" w:color="0077BD"/>
            </w:tcBorders>
            <w:shd w:val="clear" w:color="auto" w:fill="auto"/>
            <w:noWrap/>
            <w:vAlign w:val="center"/>
            <w:hideMark/>
          </w:tcPr>
          <w:p w14:paraId="16891386"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Budowlana</w:t>
            </w:r>
          </w:p>
        </w:tc>
        <w:tc>
          <w:tcPr>
            <w:tcW w:w="2410" w:type="dxa"/>
            <w:tcBorders>
              <w:top w:val="nil"/>
              <w:left w:val="nil"/>
              <w:bottom w:val="single" w:sz="4" w:space="0" w:color="0077BD"/>
              <w:right w:val="single" w:sz="8" w:space="0" w:color="0077BD"/>
            </w:tcBorders>
            <w:shd w:val="clear" w:color="auto" w:fill="auto"/>
            <w:noWrap/>
            <w:vAlign w:val="center"/>
            <w:hideMark/>
          </w:tcPr>
          <w:p w14:paraId="23BEA917"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wysokie</w:t>
            </w:r>
          </w:p>
        </w:tc>
        <w:tc>
          <w:tcPr>
            <w:tcW w:w="2410" w:type="dxa"/>
            <w:tcBorders>
              <w:top w:val="nil"/>
              <w:left w:val="nil"/>
              <w:bottom w:val="single" w:sz="4" w:space="0" w:color="0077BD"/>
              <w:right w:val="nil"/>
            </w:tcBorders>
            <w:shd w:val="clear" w:color="auto" w:fill="auto"/>
            <w:noWrap/>
            <w:vAlign w:val="center"/>
            <w:hideMark/>
          </w:tcPr>
          <w:p w14:paraId="64698DAD"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wysokie</w:t>
            </w:r>
          </w:p>
        </w:tc>
      </w:tr>
      <w:tr w:rsidR="00977E53" w:rsidRPr="00977E53" w14:paraId="5CAC2CEA"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349086F5"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5.</w:t>
            </w:r>
          </w:p>
        </w:tc>
        <w:tc>
          <w:tcPr>
            <w:tcW w:w="4245" w:type="dxa"/>
            <w:tcBorders>
              <w:top w:val="nil"/>
              <w:left w:val="nil"/>
              <w:bottom w:val="single" w:sz="4" w:space="0" w:color="0077BD"/>
              <w:right w:val="single" w:sz="8" w:space="0" w:color="0077BD"/>
            </w:tcBorders>
            <w:shd w:val="clear" w:color="auto" w:fill="auto"/>
            <w:noWrap/>
            <w:vAlign w:val="center"/>
            <w:hideMark/>
          </w:tcPr>
          <w:p w14:paraId="27964178"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Motoryzacyjna</w:t>
            </w:r>
          </w:p>
        </w:tc>
        <w:tc>
          <w:tcPr>
            <w:tcW w:w="2410" w:type="dxa"/>
            <w:tcBorders>
              <w:top w:val="nil"/>
              <w:left w:val="nil"/>
              <w:bottom w:val="single" w:sz="4" w:space="0" w:color="0077BD"/>
              <w:right w:val="single" w:sz="8" w:space="0" w:color="0077BD"/>
            </w:tcBorders>
            <w:shd w:val="clear" w:color="auto" w:fill="auto"/>
            <w:noWrap/>
            <w:vAlign w:val="center"/>
            <w:hideMark/>
          </w:tcPr>
          <w:p w14:paraId="4A5A519D"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c>
          <w:tcPr>
            <w:tcW w:w="2410" w:type="dxa"/>
            <w:tcBorders>
              <w:top w:val="nil"/>
              <w:left w:val="nil"/>
              <w:bottom w:val="single" w:sz="4" w:space="0" w:color="0077BD"/>
              <w:right w:val="nil"/>
            </w:tcBorders>
            <w:shd w:val="clear" w:color="auto" w:fill="auto"/>
            <w:noWrap/>
            <w:vAlign w:val="center"/>
            <w:hideMark/>
          </w:tcPr>
          <w:p w14:paraId="05F9D6A5"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r>
      <w:tr w:rsidR="00977E53" w:rsidRPr="00977E53" w14:paraId="6E59F531"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5443F6F5"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6.</w:t>
            </w:r>
          </w:p>
        </w:tc>
        <w:tc>
          <w:tcPr>
            <w:tcW w:w="4245" w:type="dxa"/>
            <w:tcBorders>
              <w:top w:val="nil"/>
              <w:left w:val="nil"/>
              <w:bottom w:val="single" w:sz="4" w:space="0" w:color="0077BD"/>
              <w:right w:val="single" w:sz="8" w:space="0" w:color="0077BD"/>
            </w:tcBorders>
            <w:shd w:val="clear" w:color="auto" w:fill="auto"/>
            <w:noWrap/>
            <w:vAlign w:val="center"/>
            <w:hideMark/>
          </w:tcPr>
          <w:p w14:paraId="4E65E8B3"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Metale</w:t>
            </w:r>
          </w:p>
        </w:tc>
        <w:tc>
          <w:tcPr>
            <w:tcW w:w="2410" w:type="dxa"/>
            <w:tcBorders>
              <w:top w:val="nil"/>
              <w:left w:val="nil"/>
              <w:bottom w:val="single" w:sz="4" w:space="0" w:color="0077BD"/>
              <w:right w:val="single" w:sz="8" w:space="0" w:color="0077BD"/>
            </w:tcBorders>
            <w:shd w:val="clear" w:color="auto" w:fill="auto"/>
            <w:noWrap/>
            <w:vAlign w:val="center"/>
            <w:hideMark/>
          </w:tcPr>
          <w:p w14:paraId="369CF0BF" w14:textId="2D4960C4" w:rsidR="005345A8" w:rsidRPr="00977E53" w:rsidRDefault="00AD3426" w:rsidP="00AD3426">
            <w:pPr>
              <w:jc w:val="right"/>
              <w:rPr>
                <w:rFonts w:cs="Calibri"/>
                <w:color w:val="000000" w:themeColor="text1"/>
                <w:sz w:val="13"/>
                <w:szCs w:val="13"/>
              </w:rPr>
            </w:pPr>
            <w:r w:rsidRPr="00977E53">
              <w:rPr>
                <w:rFonts w:cs="Calibri"/>
                <w:color w:val="000000" w:themeColor="text1"/>
                <w:sz w:val="13"/>
                <w:szCs w:val="13"/>
              </w:rPr>
              <w:t>wysokie</w:t>
            </w:r>
          </w:p>
        </w:tc>
        <w:tc>
          <w:tcPr>
            <w:tcW w:w="2410" w:type="dxa"/>
            <w:tcBorders>
              <w:top w:val="nil"/>
              <w:left w:val="nil"/>
              <w:bottom w:val="single" w:sz="4" w:space="0" w:color="0077BD"/>
              <w:right w:val="nil"/>
            </w:tcBorders>
            <w:shd w:val="clear" w:color="auto" w:fill="auto"/>
            <w:noWrap/>
            <w:vAlign w:val="center"/>
            <w:hideMark/>
          </w:tcPr>
          <w:p w14:paraId="3DCCA16F"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r>
      <w:tr w:rsidR="00977E53" w:rsidRPr="00977E53" w14:paraId="244EEF20" w14:textId="77777777" w:rsidTr="00AD3426">
        <w:trPr>
          <w:trHeight w:val="227"/>
        </w:trPr>
        <w:tc>
          <w:tcPr>
            <w:tcW w:w="423" w:type="dxa"/>
            <w:tcBorders>
              <w:top w:val="nil"/>
              <w:left w:val="nil"/>
              <w:bottom w:val="single" w:sz="4" w:space="0" w:color="0077BD"/>
              <w:right w:val="single" w:sz="8" w:space="0" w:color="0077BD"/>
            </w:tcBorders>
            <w:shd w:val="clear" w:color="auto" w:fill="auto"/>
            <w:noWrap/>
            <w:vAlign w:val="center"/>
            <w:hideMark/>
          </w:tcPr>
          <w:p w14:paraId="0C2038CA" w14:textId="77777777" w:rsidR="005345A8" w:rsidRPr="00977E53" w:rsidRDefault="005345A8" w:rsidP="009E1F91">
            <w:pPr>
              <w:jc w:val="center"/>
              <w:rPr>
                <w:rFonts w:cs="Calibri"/>
                <w:color w:val="000000" w:themeColor="text1"/>
                <w:sz w:val="13"/>
                <w:szCs w:val="13"/>
              </w:rPr>
            </w:pPr>
            <w:r w:rsidRPr="00977E53">
              <w:rPr>
                <w:rFonts w:cs="Calibri"/>
                <w:color w:val="000000" w:themeColor="text1"/>
                <w:sz w:val="13"/>
                <w:szCs w:val="13"/>
              </w:rPr>
              <w:t>7.</w:t>
            </w:r>
          </w:p>
        </w:tc>
        <w:tc>
          <w:tcPr>
            <w:tcW w:w="4245" w:type="dxa"/>
            <w:tcBorders>
              <w:top w:val="nil"/>
              <w:left w:val="nil"/>
              <w:bottom w:val="single" w:sz="4" w:space="0" w:color="0077BD"/>
              <w:right w:val="single" w:sz="8" w:space="0" w:color="0077BD"/>
            </w:tcBorders>
            <w:shd w:val="clear" w:color="auto" w:fill="auto"/>
            <w:noWrap/>
            <w:vAlign w:val="center"/>
            <w:hideMark/>
          </w:tcPr>
          <w:p w14:paraId="4B2F44B8" w14:textId="77777777" w:rsidR="005345A8" w:rsidRPr="00977E53" w:rsidRDefault="005345A8" w:rsidP="009E1F91">
            <w:pPr>
              <w:rPr>
                <w:rFonts w:cs="Calibri"/>
                <w:color w:val="000000" w:themeColor="text1"/>
                <w:sz w:val="13"/>
                <w:szCs w:val="13"/>
              </w:rPr>
            </w:pPr>
            <w:r w:rsidRPr="00977E53">
              <w:rPr>
                <w:rFonts w:cs="Calibri"/>
                <w:color w:val="000000" w:themeColor="text1"/>
                <w:sz w:val="13"/>
                <w:szCs w:val="13"/>
              </w:rPr>
              <w:t>Chemia i tworzywa</w:t>
            </w:r>
          </w:p>
        </w:tc>
        <w:tc>
          <w:tcPr>
            <w:tcW w:w="2410" w:type="dxa"/>
            <w:tcBorders>
              <w:top w:val="nil"/>
              <w:left w:val="nil"/>
              <w:bottom w:val="single" w:sz="4" w:space="0" w:color="0077BD"/>
              <w:right w:val="single" w:sz="8" w:space="0" w:color="0077BD"/>
            </w:tcBorders>
            <w:shd w:val="clear" w:color="auto" w:fill="auto"/>
            <w:noWrap/>
            <w:vAlign w:val="center"/>
            <w:hideMark/>
          </w:tcPr>
          <w:p w14:paraId="6F6C2E8B"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c>
          <w:tcPr>
            <w:tcW w:w="2410" w:type="dxa"/>
            <w:tcBorders>
              <w:top w:val="nil"/>
              <w:left w:val="nil"/>
              <w:bottom w:val="single" w:sz="4" w:space="0" w:color="0077BD"/>
              <w:right w:val="nil"/>
            </w:tcBorders>
            <w:shd w:val="clear" w:color="auto" w:fill="auto"/>
            <w:noWrap/>
            <w:vAlign w:val="center"/>
            <w:hideMark/>
          </w:tcPr>
          <w:p w14:paraId="24427353" w14:textId="77777777" w:rsidR="005345A8" w:rsidRPr="00977E53" w:rsidRDefault="005345A8" w:rsidP="00DF43D0">
            <w:pPr>
              <w:jc w:val="right"/>
              <w:rPr>
                <w:rFonts w:cs="Calibri"/>
                <w:color w:val="000000" w:themeColor="text1"/>
                <w:sz w:val="13"/>
                <w:szCs w:val="13"/>
              </w:rPr>
            </w:pPr>
            <w:r w:rsidRPr="00977E53">
              <w:rPr>
                <w:rFonts w:cs="Calibri"/>
                <w:color w:val="000000" w:themeColor="text1"/>
                <w:sz w:val="13"/>
                <w:szCs w:val="13"/>
              </w:rPr>
              <w:t>średnie</w:t>
            </w:r>
          </w:p>
        </w:tc>
      </w:tr>
    </w:tbl>
    <w:p w14:paraId="0C97B3A4" w14:textId="38FA7910" w:rsidR="00627B93" w:rsidRPr="00977E53" w:rsidRDefault="00627B93" w:rsidP="00627B93">
      <w:pPr>
        <w:autoSpaceDE w:val="0"/>
        <w:autoSpaceDN w:val="0"/>
        <w:adjustRightInd w:val="0"/>
        <w:spacing w:before="120" w:after="120"/>
        <w:jc w:val="both"/>
        <w:rPr>
          <w:rFonts w:eastAsia="Calibri" w:cs="Verdana"/>
          <w:color w:val="000000" w:themeColor="text1"/>
          <w:sz w:val="18"/>
          <w:szCs w:val="18"/>
          <w:lang w:eastAsia="en-US"/>
        </w:rPr>
      </w:pPr>
      <w:r w:rsidRPr="00977E53">
        <w:rPr>
          <w:rFonts w:eastAsia="Calibri" w:cs="Verdana"/>
          <w:b/>
          <w:bCs/>
          <w:color w:val="000000" w:themeColor="text1"/>
          <w:sz w:val="18"/>
          <w:szCs w:val="18"/>
          <w:lang w:eastAsia="en-US"/>
        </w:rPr>
        <w:t xml:space="preserve">Ryzyko koncentracji dużych ekspozycji </w:t>
      </w:r>
    </w:p>
    <w:p w14:paraId="1ADA7E11" w14:textId="77777777" w:rsidR="00694284" w:rsidRPr="00977E53" w:rsidRDefault="00694284" w:rsidP="00360D5A">
      <w:pPr>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Celem procesu zarządzania ryzykiem koncentracji dużych ekspozycji jest bieżący monitoring poziomu limitów określonych w Rozporządzeniu CRR. W celu zabezpieczenia się przed ryzykiem przekroczenia regulacyjnych limitów w Banku:</w:t>
      </w:r>
    </w:p>
    <w:p w14:paraId="4B231E9A" w14:textId="77777777" w:rsidR="00694284" w:rsidRPr="00360D5A" w:rsidRDefault="00694284" w:rsidP="00360D5A">
      <w:pPr>
        <w:numPr>
          <w:ilvl w:val="0"/>
          <w:numId w:val="17"/>
        </w:numPr>
        <w:tabs>
          <w:tab w:val="clear" w:pos="1267"/>
        </w:tabs>
        <w:suppressAutoHyphens/>
        <w:ind w:left="426" w:right="-57" w:hanging="284"/>
        <w:jc w:val="both"/>
        <w:rPr>
          <w:rFonts w:cs="Tahoma"/>
          <w:bCs/>
          <w:color w:val="000000" w:themeColor="text1"/>
          <w:sz w:val="18"/>
          <w:szCs w:val="18"/>
        </w:rPr>
      </w:pPr>
      <w:r w:rsidRPr="00360D5A">
        <w:rPr>
          <w:rFonts w:cs="Tahoma"/>
          <w:bCs/>
          <w:color w:val="000000" w:themeColor="text1"/>
          <w:sz w:val="18"/>
          <w:szCs w:val="18"/>
        </w:rPr>
        <w:t>ustalane są limity wewnętrzne, mniejsze niż określone w Rozporządzeniu CRR,</w:t>
      </w:r>
    </w:p>
    <w:p w14:paraId="1D59DE47" w14:textId="77777777" w:rsidR="00694284" w:rsidRPr="00360D5A" w:rsidRDefault="00694284" w:rsidP="00360D5A">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360D5A">
        <w:rPr>
          <w:rFonts w:cs="Tahoma"/>
          <w:bCs/>
          <w:color w:val="000000" w:themeColor="text1"/>
          <w:sz w:val="18"/>
          <w:szCs w:val="18"/>
        </w:rPr>
        <w:t>prowadzony jest codzienny monitoring dużych ekspozycji oraz obowiązuje niezwłoczne informowanie uczestników procesów, kredytowego i inwestycyjnego, w przypadku zanotowania przekroczeń limitów wewnętrznych.</w:t>
      </w:r>
    </w:p>
    <w:p w14:paraId="1BB10597" w14:textId="5188BF23" w:rsidR="00694284" w:rsidRPr="00977E53" w:rsidRDefault="00694284" w:rsidP="00694284">
      <w:pPr>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lastRenderedPageBreak/>
        <w:t>Działania te mają bezpośredni wpływ na decyzje podejmowane w Banku dotyczące nowych ekspozycji lub</w:t>
      </w:r>
      <w:r w:rsidR="009F088D">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 xml:space="preserve">zwiększania ekspozycji istniejących. </w:t>
      </w:r>
    </w:p>
    <w:p w14:paraId="71302361" w14:textId="77777777" w:rsidR="00694284" w:rsidRPr="00977E53" w:rsidRDefault="00694284" w:rsidP="00694284">
      <w:pPr>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mBank przykłada szczególną wagę do prawidłowej identyfikacji skali ryzyka wobec znaczących ekspozycji kredytowych, które są zdefiniowane w wewnętrznych przepisach Banku. W przypadku przekroczenia określonej kwoty ekspozycji/limitu na klienta/GPP identyfikowanej jako „bulk risk” finansowanie wymaga dodatkowej decyzji Zarządu Banku niezależnie od PD-ratingu i poziomu szczebla decyzyjnego.</w:t>
      </w:r>
    </w:p>
    <w:p w14:paraId="5ECA42E9" w14:textId="77777777" w:rsidR="00694284" w:rsidRPr="00977E53" w:rsidRDefault="00694284" w:rsidP="00694284">
      <w:pPr>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Bank monitoruje duże zaangażowania podlegające limitowi koncentracji, tj. ekspozycje po uwzględnieniu skutków ograniczenia ryzyka kredytowego (art. 401-403 Rozporządzenia CRR) oraz wyłączeń (art. 390 ust. 6, art. 400, art. 493 ust. 3 Rozporządzenia CRR), które są równe lub przekraczają 10% uznanego kapitału. Według stanu na koniec 2019 roku nie zanotowano żadnego dużego zaangażowania podlegającego limitowi koncentracji.</w:t>
      </w:r>
    </w:p>
    <w:p w14:paraId="2960AC15" w14:textId="21DD9875" w:rsidR="00627B93" w:rsidRPr="00977E53" w:rsidRDefault="00B917C6" w:rsidP="00694284">
      <w:pPr>
        <w:spacing w:after="120"/>
        <w:jc w:val="both"/>
        <w:rPr>
          <w:color w:val="000000" w:themeColor="text1"/>
          <w:sz w:val="18"/>
          <w:szCs w:val="18"/>
          <w:lang w:eastAsia="en-US"/>
        </w:rPr>
      </w:pPr>
      <w:r>
        <w:rPr>
          <w:rFonts w:eastAsia="Calibri" w:cs="Verdana"/>
          <w:color w:val="000000" w:themeColor="text1"/>
          <w:sz w:val="18"/>
          <w:szCs w:val="18"/>
          <w:lang w:eastAsia="en-US"/>
        </w:rPr>
        <w:t xml:space="preserve">W </w:t>
      </w:r>
      <w:r w:rsidR="00694284" w:rsidRPr="00977E53">
        <w:rPr>
          <w:rFonts w:eastAsia="Calibri" w:cs="Verdana"/>
          <w:color w:val="000000" w:themeColor="text1"/>
          <w:sz w:val="18"/>
          <w:szCs w:val="18"/>
          <w:lang w:eastAsia="en-US"/>
        </w:rPr>
        <w:t>Banku funkcjonuje Komitet Kredytowy Grupy mBanku, który jest odpowiedzialny za sprawowanie nadzoru na ryzykiem koncentracji i dużymi ekspozycjami na poziomie spółek zależnych mBanku</w:t>
      </w:r>
      <w:r w:rsidR="00627B93" w:rsidRPr="00977E53">
        <w:rPr>
          <w:color w:val="000000" w:themeColor="text1"/>
          <w:sz w:val="18"/>
          <w:szCs w:val="18"/>
          <w:lang w:eastAsia="en-US"/>
        </w:rPr>
        <w:t>.</w:t>
      </w:r>
    </w:p>
    <w:p w14:paraId="6D1123C9" w14:textId="4092FA20" w:rsidR="00DC5841" w:rsidRDefault="00DC5841" w:rsidP="00526DF1">
      <w:pPr>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after="120"/>
        <w:contextualSpacing/>
        <w:jc w:val="both"/>
        <w:outlineLvl w:val="2"/>
        <w:rPr>
          <w:b/>
          <w:color w:val="E41E0A"/>
          <w:sz w:val="18"/>
          <w:szCs w:val="18"/>
        </w:rPr>
      </w:pPr>
      <w:bookmarkStart w:id="105" w:name="_Toc32999824"/>
      <w:r w:rsidRPr="00627B93">
        <w:rPr>
          <w:b/>
          <w:color w:val="E41E0A"/>
          <w:sz w:val="18"/>
          <w:szCs w:val="18"/>
        </w:rPr>
        <w:t>Ryzyko rynkowe</w:t>
      </w:r>
      <w:bookmarkEnd w:id="105"/>
      <w:r w:rsidRPr="00627B93">
        <w:rPr>
          <w:b/>
          <w:color w:val="E41E0A"/>
          <w:sz w:val="18"/>
          <w:szCs w:val="18"/>
        </w:rPr>
        <w:t xml:space="preserve"> </w:t>
      </w:r>
    </w:p>
    <w:p w14:paraId="719A47B9" w14:textId="77777777" w:rsidR="00456415" w:rsidRPr="00977E53" w:rsidRDefault="00456415" w:rsidP="00A2309C">
      <w:pPr>
        <w:autoSpaceDE w:val="0"/>
        <w:autoSpaceDN w:val="0"/>
        <w:adjustRightInd w:val="0"/>
        <w:spacing w:before="24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W prowadzonej działalności Grupa jest narażona na ryzyko rynkowe, czyli ryzyko niekorzystnej zmiany bieżącej wyceny instrumentów finansowych znajdujących się w portfelach Grupy, następującej w wyniku zmian czynników ryzyka rynkowego, takich jak:</w:t>
      </w:r>
    </w:p>
    <w:p w14:paraId="46BE71C1" w14:textId="77777777" w:rsidR="00456415" w:rsidRPr="00A2309C" w:rsidRDefault="00456415" w:rsidP="00A2309C">
      <w:pPr>
        <w:numPr>
          <w:ilvl w:val="0"/>
          <w:numId w:val="17"/>
        </w:numPr>
        <w:tabs>
          <w:tab w:val="clear" w:pos="1267"/>
        </w:tabs>
        <w:suppressAutoHyphens/>
        <w:ind w:left="426" w:right="-57" w:hanging="284"/>
        <w:jc w:val="both"/>
        <w:rPr>
          <w:rFonts w:cs="Tahoma"/>
          <w:bCs/>
          <w:color w:val="000000" w:themeColor="text1"/>
          <w:sz w:val="18"/>
          <w:szCs w:val="18"/>
        </w:rPr>
      </w:pPr>
      <w:r w:rsidRPr="00A2309C">
        <w:rPr>
          <w:rFonts w:cs="Tahoma"/>
          <w:bCs/>
          <w:color w:val="000000" w:themeColor="text1"/>
          <w:sz w:val="18"/>
          <w:szCs w:val="18"/>
        </w:rPr>
        <w:t>stopy procentowe,</w:t>
      </w:r>
    </w:p>
    <w:p w14:paraId="131EC22C" w14:textId="77777777" w:rsidR="00456415" w:rsidRPr="00A2309C" w:rsidRDefault="00456415" w:rsidP="00A2309C">
      <w:pPr>
        <w:numPr>
          <w:ilvl w:val="0"/>
          <w:numId w:val="17"/>
        </w:numPr>
        <w:tabs>
          <w:tab w:val="clear" w:pos="1267"/>
        </w:tabs>
        <w:suppressAutoHyphens/>
        <w:ind w:left="426" w:right="-57" w:hanging="284"/>
        <w:jc w:val="both"/>
        <w:rPr>
          <w:rFonts w:cs="Tahoma"/>
          <w:bCs/>
          <w:color w:val="000000" w:themeColor="text1"/>
          <w:sz w:val="18"/>
          <w:szCs w:val="18"/>
        </w:rPr>
      </w:pPr>
      <w:r w:rsidRPr="00A2309C">
        <w:rPr>
          <w:rFonts w:cs="Tahoma"/>
          <w:bCs/>
          <w:color w:val="000000" w:themeColor="text1"/>
          <w:sz w:val="18"/>
          <w:szCs w:val="18"/>
        </w:rPr>
        <w:t>kursy walutowe,</w:t>
      </w:r>
    </w:p>
    <w:p w14:paraId="1E0BC949" w14:textId="77777777" w:rsidR="00456415" w:rsidRPr="00A2309C" w:rsidRDefault="00456415" w:rsidP="00A2309C">
      <w:pPr>
        <w:numPr>
          <w:ilvl w:val="0"/>
          <w:numId w:val="17"/>
        </w:numPr>
        <w:tabs>
          <w:tab w:val="clear" w:pos="1267"/>
        </w:tabs>
        <w:suppressAutoHyphens/>
        <w:ind w:left="426" w:right="-57" w:hanging="284"/>
        <w:jc w:val="both"/>
        <w:rPr>
          <w:rFonts w:cs="Tahoma"/>
          <w:bCs/>
          <w:color w:val="000000" w:themeColor="text1"/>
          <w:sz w:val="18"/>
          <w:szCs w:val="18"/>
        </w:rPr>
      </w:pPr>
      <w:r w:rsidRPr="00A2309C">
        <w:rPr>
          <w:rFonts w:cs="Tahoma"/>
          <w:bCs/>
          <w:color w:val="000000" w:themeColor="text1"/>
          <w:sz w:val="18"/>
          <w:szCs w:val="18"/>
        </w:rPr>
        <w:t>ceny akcji i kwotowania indeksów,</w:t>
      </w:r>
    </w:p>
    <w:p w14:paraId="4535AAF2" w14:textId="77777777" w:rsidR="00456415" w:rsidRPr="00A2309C" w:rsidRDefault="00456415" w:rsidP="00A2309C">
      <w:pPr>
        <w:numPr>
          <w:ilvl w:val="0"/>
          <w:numId w:val="17"/>
        </w:numPr>
        <w:tabs>
          <w:tab w:val="clear" w:pos="1267"/>
        </w:tabs>
        <w:suppressAutoHyphens/>
        <w:ind w:left="426" w:right="-57" w:hanging="284"/>
        <w:jc w:val="both"/>
        <w:rPr>
          <w:rFonts w:cs="Tahoma"/>
          <w:bCs/>
          <w:color w:val="000000" w:themeColor="text1"/>
          <w:sz w:val="18"/>
          <w:szCs w:val="18"/>
        </w:rPr>
      </w:pPr>
      <w:r w:rsidRPr="00A2309C">
        <w:rPr>
          <w:rFonts w:cs="Tahoma"/>
          <w:bCs/>
          <w:color w:val="000000" w:themeColor="text1"/>
          <w:sz w:val="18"/>
          <w:szCs w:val="18"/>
        </w:rPr>
        <w:t>implikowane zmienności instrumentów opcyjnych,</w:t>
      </w:r>
    </w:p>
    <w:p w14:paraId="36EBCCF2" w14:textId="77777777" w:rsidR="00456415" w:rsidRPr="00A2309C" w:rsidRDefault="00456415" w:rsidP="00A2309C">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A2309C">
        <w:rPr>
          <w:rFonts w:cs="Tahoma"/>
          <w:bCs/>
          <w:color w:val="000000" w:themeColor="text1"/>
          <w:sz w:val="18"/>
          <w:szCs w:val="18"/>
        </w:rPr>
        <w:t>spready kredytowe (w części odpowiadającej za rynkową fluktuację cen papierów dłużnych, odzwierciedlając wartość spreadu kredytowego dla obligacji korporacyjnych oraz wartość spreadu pomiędzy krzywą rentowności obligacji rządowych a krzywą swap - dla obligacji rządowych).</w:t>
      </w:r>
    </w:p>
    <w:p w14:paraId="1C3060DB" w14:textId="1EF08089" w:rsidR="008318EE" w:rsidRPr="00977E53" w:rsidRDefault="00456415" w:rsidP="00456415">
      <w:pPr>
        <w:autoSpaceDE w:val="0"/>
        <w:autoSpaceDN w:val="0"/>
        <w:adjustRightInd w:val="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W zakresie księgi bankowej Grupa wyróżnia ryzyko stopy procentowej, które definiuje jako ryzyko niekorzystnej zmiany zarówno bieżącej wyceny pozycji księgi bankowej, jak i wyniku odsetkowego, na</w:t>
      </w:r>
      <w:r w:rsidR="00BD1962">
        <w:rPr>
          <w:rFonts w:eastAsia="Calibri" w:cs="Verdana"/>
          <w:color w:val="000000" w:themeColor="text1"/>
          <w:sz w:val="18"/>
          <w:szCs w:val="18"/>
          <w:lang w:eastAsia="en-US"/>
        </w:rPr>
        <w:t> </w:t>
      </w:r>
      <w:r w:rsidRPr="00977E53">
        <w:rPr>
          <w:rFonts w:eastAsia="Calibri" w:cs="Verdana"/>
          <w:color w:val="000000" w:themeColor="text1"/>
          <w:sz w:val="18"/>
          <w:szCs w:val="18"/>
          <w:lang w:eastAsia="en-US"/>
        </w:rPr>
        <w:t>skutek zmian stóp procentowych</w:t>
      </w:r>
      <w:r w:rsidR="008318EE" w:rsidRPr="00977E53">
        <w:rPr>
          <w:rFonts w:eastAsia="Calibri" w:cs="Verdana"/>
          <w:color w:val="000000" w:themeColor="text1"/>
          <w:sz w:val="18"/>
          <w:szCs w:val="18"/>
          <w:lang w:eastAsia="en-US"/>
        </w:rPr>
        <w:t>.</w:t>
      </w:r>
    </w:p>
    <w:p w14:paraId="07006D0E" w14:textId="5A4155BF" w:rsidR="008318EE" w:rsidRPr="00977E53" w:rsidRDefault="008318EE" w:rsidP="00526DF1">
      <w:pPr>
        <w:pStyle w:val="Akapitzlist"/>
        <w:numPr>
          <w:ilvl w:val="2"/>
          <w:numId w:val="44"/>
        </w:numPr>
        <w:spacing w:before="120" w:after="120"/>
        <w:rPr>
          <w:b/>
          <w:color w:val="000000" w:themeColor="text1"/>
          <w:sz w:val="18"/>
          <w:szCs w:val="18"/>
          <w:lang w:eastAsia="en-US"/>
        </w:rPr>
      </w:pPr>
      <w:r w:rsidRPr="00977E53">
        <w:rPr>
          <w:b/>
          <w:color w:val="000000" w:themeColor="text1"/>
          <w:sz w:val="18"/>
          <w:szCs w:val="18"/>
          <w:lang w:eastAsia="en-US"/>
        </w:rPr>
        <w:t>Organizacja zarządzania ryzykiem</w:t>
      </w:r>
    </w:p>
    <w:p w14:paraId="2718DEFC" w14:textId="35866F9F"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Organizując procesy zarządzania ryzykiem rynkowym mBank przestrzega wymogów wynikających z</w:t>
      </w:r>
      <w:r w:rsidR="00BD1962">
        <w:rPr>
          <w:rFonts w:eastAsia="Calibri" w:cs="Verdana"/>
          <w:color w:val="000000" w:themeColor="text1"/>
          <w:sz w:val="18"/>
          <w:szCs w:val="18"/>
        </w:rPr>
        <w:t> </w:t>
      </w:r>
      <w:r w:rsidRPr="00977E53">
        <w:rPr>
          <w:rFonts w:eastAsia="Calibri" w:cs="Verdana"/>
          <w:color w:val="000000" w:themeColor="text1"/>
          <w:sz w:val="18"/>
          <w:szCs w:val="18"/>
        </w:rPr>
        <w:t>przepisów prawa oraz uwzględnia rekomendacje nadzorcze, w sz</w:t>
      </w:r>
      <w:r w:rsidR="0092361B">
        <w:rPr>
          <w:rFonts w:eastAsia="Calibri" w:cs="Verdana"/>
          <w:color w:val="000000" w:themeColor="text1"/>
          <w:sz w:val="18"/>
          <w:szCs w:val="18"/>
        </w:rPr>
        <w:t>czególności Rekomendacje KNF (między innymi</w:t>
      </w:r>
      <w:r w:rsidRPr="00977E53">
        <w:rPr>
          <w:rFonts w:eastAsia="Calibri" w:cs="Verdana"/>
          <w:color w:val="000000" w:themeColor="text1"/>
          <w:sz w:val="18"/>
          <w:szCs w:val="18"/>
        </w:rPr>
        <w:t xml:space="preserve"> A, C, G, I) oraz wytyczne EBA, które dotyczą zarządzania ryzykiem rynkowym. </w:t>
      </w:r>
    </w:p>
    <w:p w14:paraId="5AC81153" w14:textId="7387C624" w:rsidR="00380AF3" w:rsidRDefault="00001702" w:rsidP="00C57787">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rPr>
        <w:t xml:space="preserve">Naczelną zasadą organizacji procesu zarządzania ryzykiem rynkowym jest oddzielenie funkcji monitoringu i kontroli ryzyka rynkowego od funkcji związanych z podejmowaniem i utrzymywaniem otwartych pozycji ryzyka rynkowego. </w:t>
      </w:r>
    </w:p>
    <w:p w14:paraId="484D86A7" w14:textId="0428A637" w:rsidR="008318EE" w:rsidRPr="00977E53" w:rsidRDefault="008318EE" w:rsidP="00526DF1">
      <w:pPr>
        <w:pStyle w:val="Akapitzlist"/>
        <w:numPr>
          <w:ilvl w:val="2"/>
          <w:numId w:val="44"/>
        </w:numPr>
        <w:spacing w:before="120" w:after="120"/>
        <w:rPr>
          <w:b/>
          <w:color w:val="000000" w:themeColor="text1"/>
          <w:sz w:val="18"/>
          <w:szCs w:val="18"/>
          <w:lang w:eastAsia="en-US"/>
        </w:rPr>
      </w:pPr>
      <w:r w:rsidRPr="00977E53">
        <w:rPr>
          <w:b/>
          <w:color w:val="000000" w:themeColor="text1"/>
          <w:sz w:val="18"/>
          <w:szCs w:val="18"/>
          <w:lang w:eastAsia="en-US"/>
        </w:rPr>
        <w:t>Narzędzia i miary</w:t>
      </w:r>
    </w:p>
    <w:p w14:paraId="32AB0C16" w14:textId="534B069B" w:rsidR="00001702" w:rsidRPr="00977E53" w:rsidRDefault="00001702" w:rsidP="0066606E">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Na potrzeby wewnętrznego zarządzania Bank kwantyfikuje ekspozycję na ryzyko rynkowe, zarówno dla</w:t>
      </w:r>
      <w:r w:rsidR="00B6662B">
        <w:rPr>
          <w:rFonts w:eastAsia="Calibri" w:cs="Verdana"/>
          <w:color w:val="000000" w:themeColor="text1"/>
          <w:sz w:val="18"/>
          <w:szCs w:val="18"/>
        </w:rPr>
        <w:t> </w:t>
      </w:r>
      <w:r w:rsidRPr="00977E53">
        <w:rPr>
          <w:rFonts w:eastAsia="Calibri" w:cs="Verdana"/>
          <w:color w:val="000000" w:themeColor="text1"/>
          <w:sz w:val="18"/>
          <w:szCs w:val="18"/>
        </w:rPr>
        <w:t>księgi bankowej, jak i handlowej, poprzez pomiar:</w:t>
      </w:r>
    </w:p>
    <w:p w14:paraId="66FB795D" w14:textId="77777777" w:rsidR="00001702" w:rsidRPr="0066606E" w:rsidRDefault="00001702" w:rsidP="0066606E">
      <w:pPr>
        <w:numPr>
          <w:ilvl w:val="0"/>
          <w:numId w:val="17"/>
        </w:numPr>
        <w:tabs>
          <w:tab w:val="clear" w:pos="1267"/>
        </w:tabs>
        <w:suppressAutoHyphens/>
        <w:ind w:left="426" w:right="-57" w:hanging="284"/>
        <w:jc w:val="both"/>
        <w:rPr>
          <w:rFonts w:cs="Tahoma"/>
          <w:bCs/>
          <w:color w:val="000000" w:themeColor="text1"/>
          <w:sz w:val="18"/>
          <w:szCs w:val="18"/>
        </w:rPr>
      </w:pPr>
      <w:r w:rsidRPr="0066606E">
        <w:rPr>
          <w:rFonts w:cs="Tahoma"/>
          <w:bCs/>
          <w:color w:val="000000" w:themeColor="text1"/>
          <w:sz w:val="18"/>
          <w:szCs w:val="18"/>
        </w:rPr>
        <w:t>wartości zagrożonej (VaR),</w:t>
      </w:r>
    </w:p>
    <w:p w14:paraId="586BC8AA" w14:textId="77777777" w:rsidR="00001702" w:rsidRPr="0066606E" w:rsidRDefault="00001702" w:rsidP="0066606E">
      <w:pPr>
        <w:numPr>
          <w:ilvl w:val="0"/>
          <w:numId w:val="17"/>
        </w:numPr>
        <w:tabs>
          <w:tab w:val="clear" w:pos="1267"/>
        </w:tabs>
        <w:suppressAutoHyphens/>
        <w:ind w:left="426" w:right="-57" w:hanging="284"/>
        <w:jc w:val="both"/>
        <w:rPr>
          <w:rFonts w:cs="Tahoma"/>
          <w:bCs/>
          <w:color w:val="000000" w:themeColor="text1"/>
          <w:sz w:val="18"/>
          <w:szCs w:val="18"/>
        </w:rPr>
      </w:pPr>
      <w:r w:rsidRPr="0066606E">
        <w:rPr>
          <w:rFonts w:cs="Tahoma"/>
          <w:bCs/>
          <w:color w:val="000000" w:themeColor="text1"/>
          <w:sz w:val="18"/>
          <w:szCs w:val="18"/>
        </w:rPr>
        <w:t>oczekiwanej straty pod warunkiem, że strata przekracza wartość zagrożoną (ES – Expected Shortfall),</w:t>
      </w:r>
    </w:p>
    <w:p w14:paraId="39FE0078" w14:textId="77777777" w:rsidR="00001702" w:rsidRPr="0066606E" w:rsidRDefault="00001702" w:rsidP="0066606E">
      <w:pPr>
        <w:numPr>
          <w:ilvl w:val="0"/>
          <w:numId w:val="17"/>
        </w:numPr>
        <w:tabs>
          <w:tab w:val="clear" w:pos="1267"/>
        </w:tabs>
        <w:suppressAutoHyphens/>
        <w:ind w:left="426" w:right="-57" w:hanging="284"/>
        <w:jc w:val="both"/>
        <w:rPr>
          <w:rFonts w:cs="Tahoma"/>
          <w:bCs/>
          <w:color w:val="000000" w:themeColor="text1"/>
          <w:sz w:val="18"/>
          <w:szCs w:val="18"/>
        </w:rPr>
      </w:pPr>
      <w:r w:rsidRPr="0066606E">
        <w:rPr>
          <w:rFonts w:cs="Tahoma"/>
          <w:bCs/>
          <w:color w:val="000000" w:themeColor="text1"/>
          <w:sz w:val="18"/>
          <w:szCs w:val="18"/>
        </w:rPr>
        <w:t>wartości zagrożonej w niekorzystnych warunkach rynkowych (Stressed VaR),</w:t>
      </w:r>
    </w:p>
    <w:p w14:paraId="6064C5D9" w14:textId="77777777" w:rsidR="00001702" w:rsidRPr="0066606E" w:rsidRDefault="00001702" w:rsidP="0066606E">
      <w:pPr>
        <w:numPr>
          <w:ilvl w:val="0"/>
          <w:numId w:val="17"/>
        </w:numPr>
        <w:tabs>
          <w:tab w:val="clear" w:pos="1267"/>
        </w:tabs>
        <w:suppressAutoHyphens/>
        <w:ind w:left="426" w:right="-57" w:hanging="284"/>
        <w:jc w:val="both"/>
        <w:rPr>
          <w:rFonts w:cs="Tahoma"/>
          <w:bCs/>
          <w:color w:val="000000" w:themeColor="text1"/>
          <w:sz w:val="18"/>
          <w:szCs w:val="18"/>
        </w:rPr>
      </w:pPr>
      <w:r w:rsidRPr="0066606E">
        <w:rPr>
          <w:rFonts w:cs="Tahoma"/>
          <w:bCs/>
          <w:color w:val="000000" w:themeColor="text1"/>
          <w:sz w:val="18"/>
          <w:szCs w:val="18"/>
        </w:rPr>
        <w:t>kapitału ekonomicznego na pokrycie ryzyka rynkowego,</w:t>
      </w:r>
    </w:p>
    <w:p w14:paraId="1506EFE6" w14:textId="77777777" w:rsidR="00001702" w:rsidRPr="0066606E" w:rsidRDefault="00001702" w:rsidP="0066606E">
      <w:pPr>
        <w:numPr>
          <w:ilvl w:val="0"/>
          <w:numId w:val="17"/>
        </w:numPr>
        <w:tabs>
          <w:tab w:val="clear" w:pos="1267"/>
        </w:tabs>
        <w:suppressAutoHyphens/>
        <w:ind w:left="426" w:right="-57" w:hanging="284"/>
        <w:jc w:val="both"/>
        <w:rPr>
          <w:rFonts w:cs="Tahoma"/>
          <w:bCs/>
          <w:color w:val="000000" w:themeColor="text1"/>
          <w:sz w:val="18"/>
          <w:szCs w:val="18"/>
        </w:rPr>
      </w:pPr>
      <w:r w:rsidRPr="0066606E">
        <w:rPr>
          <w:rFonts w:cs="Tahoma"/>
          <w:bCs/>
          <w:color w:val="000000" w:themeColor="text1"/>
          <w:sz w:val="18"/>
          <w:szCs w:val="18"/>
        </w:rPr>
        <w:t>wartości testów warunków skrajnych,</w:t>
      </w:r>
    </w:p>
    <w:p w14:paraId="462E0AC5" w14:textId="77777777" w:rsidR="00001702" w:rsidRPr="0066606E" w:rsidRDefault="00001702" w:rsidP="0066606E">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66606E">
        <w:rPr>
          <w:rFonts w:cs="Tahoma"/>
          <w:bCs/>
          <w:color w:val="000000" w:themeColor="text1"/>
          <w:sz w:val="18"/>
          <w:szCs w:val="18"/>
        </w:rPr>
        <w:t xml:space="preserve">wrażliwości portfela na zmiany cen i parametrów rynkowych (IR BPV – Interest Rate Basis Point Value, CS BPV – Credit Spread Basis Point Value). </w:t>
      </w:r>
    </w:p>
    <w:p w14:paraId="6F5FF497"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Bank przypisuje ryzyko rynkowe pozycjom księgi bankowej, niezależnie od zasad kalkulacji wyniku na tych pozycjach stosowanych na potrzeby sprawozdawczości finansowej. Miary ryzyka rynkowego pozycji odsetkowych księgi bankowej są wyznaczane modelami wartości bieżącej (NPV – net present value).</w:t>
      </w:r>
    </w:p>
    <w:p w14:paraId="4F373A91" w14:textId="53ACBE8B" w:rsidR="00354DB9"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Bank monitoruje ryzyko rynkowe w trybie dziennym. Dla wybranych miar ryzyka pomiar prowadzony jest</w:t>
      </w:r>
      <w:r w:rsidR="00BD144C">
        <w:rPr>
          <w:rFonts w:eastAsia="Calibri" w:cs="Verdana"/>
          <w:color w:val="000000" w:themeColor="text1"/>
          <w:sz w:val="18"/>
          <w:szCs w:val="18"/>
        </w:rPr>
        <w:t> </w:t>
      </w:r>
      <w:r w:rsidRPr="00977E53">
        <w:rPr>
          <w:rFonts w:eastAsia="Calibri" w:cs="Verdana"/>
          <w:color w:val="000000" w:themeColor="text1"/>
          <w:sz w:val="18"/>
          <w:szCs w:val="18"/>
        </w:rPr>
        <w:t xml:space="preserve">w trybie tygodniowym (Stressed VaR, CS BPV według klas ratingowych) lub miesięcznym (kapitał ekonomiczny). </w:t>
      </w:r>
    </w:p>
    <w:p w14:paraId="2516CF63" w14:textId="77777777" w:rsidR="00354DB9" w:rsidRDefault="00354DB9">
      <w:pPr>
        <w:rPr>
          <w:rFonts w:eastAsia="Calibri" w:cs="Verdana"/>
          <w:color w:val="000000" w:themeColor="text1"/>
          <w:sz w:val="18"/>
          <w:szCs w:val="18"/>
        </w:rPr>
      </w:pPr>
      <w:r>
        <w:rPr>
          <w:rFonts w:eastAsia="Calibri" w:cs="Verdana"/>
          <w:color w:val="000000" w:themeColor="text1"/>
          <w:sz w:val="18"/>
          <w:szCs w:val="18"/>
        </w:rPr>
        <w:br w:type="page"/>
      </w:r>
    </w:p>
    <w:p w14:paraId="14CEB44E" w14:textId="77777777" w:rsidR="00001702" w:rsidRPr="00977E53" w:rsidRDefault="00001702" w:rsidP="00AD50A6">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lastRenderedPageBreak/>
        <w:t>Dla księgi bankowej Bank stosuje dodatkowo następujące miary (szerzej opisane w rozdziale dotyczącym ryzyka stopy procentowej):</w:t>
      </w:r>
    </w:p>
    <w:p w14:paraId="58E7CFD4" w14:textId="77777777" w:rsidR="00001702" w:rsidRPr="00AD50A6" w:rsidRDefault="00001702" w:rsidP="00AD50A6">
      <w:pPr>
        <w:numPr>
          <w:ilvl w:val="0"/>
          <w:numId w:val="17"/>
        </w:numPr>
        <w:tabs>
          <w:tab w:val="clear" w:pos="1267"/>
        </w:tabs>
        <w:suppressAutoHyphens/>
        <w:ind w:left="426" w:right="-57" w:hanging="284"/>
        <w:jc w:val="both"/>
        <w:rPr>
          <w:rFonts w:cs="Tahoma"/>
          <w:bCs/>
          <w:color w:val="000000" w:themeColor="text1"/>
          <w:sz w:val="18"/>
          <w:szCs w:val="18"/>
        </w:rPr>
      </w:pPr>
      <w:r w:rsidRPr="00AD50A6">
        <w:rPr>
          <w:rFonts w:cs="Tahoma"/>
          <w:bCs/>
          <w:color w:val="000000" w:themeColor="text1"/>
          <w:sz w:val="18"/>
          <w:szCs w:val="18"/>
        </w:rPr>
        <w:t>wrażliwość wartości ekonomicznej kapitału (delta EVE),</w:t>
      </w:r>
    </w:p>
    <w:p w14:paraId="501CDA65" w14:textId="77777777" w:rsidR="00001702" w:rsidRPr="00AD50A6" w:rsidRDefault="00001702" w:rsidP="00AD50A6">
      <w:pPr>
        <w:numPr>
          <w:ilvl w:val="0"/>
          <w:numId w:val="17"/>
        </w:numPr>
        <w:tabs>
          <w:tab w:val="clear" w:pos="1267"/>
        </w:tabs>
        <w:suppressAutoHyphens/>
        <w:ind w:left="426" w:right="-57" w:hanging="284"/>
        <w:jc w:val="both"/>
        <w:rPr>
          <w:rFonts w:cs="Tahoma"/>
          <w:bCs/>
          <w:color w:val="000000" w:themeColor="text1"/>
          <w:sz w:val="18"/>
          <w:szCs w:val="18"/>
        </w:rPr>
      </w:pPr>
      <w:r w:rsidRPr="00AD50A6">
        <w:rPr>
          <w:rFonts w:cs="Tahoma"/>
          <w:bCs/>
          <w:color w:val="000000" w:themeColor="text1"/>
          <w:sz w:val="18"/>
          <w:szCs w:val="18"/>
        </w:rPr>
        <w:t>wrażliwość wyniku odsetkowego netto (delta NII),</w:t>
      </w:r>
    </w:p>
    <w:p w14:paraId="7DF3417C" w14:textId="77777777" w:rsidR="00001702" w:rsidRPr="00AD50A6" w:rsidRDefault="00001702" w:rsidP="00AD50A6">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AD50A6">
        <w:rPr>
          <w:rFonts w:cs="Tahoma"/>
          <w:bCs/>
          <w:color w:val="000000" w:themeColor="text1"/>
          <w:sz w:val="18"/>
          <w:szCs w:val="18"/>
        </w:rPr>
        <w:t>luka przeszacowania.</w:t>
      </w:r>
    </w:p>
    <w:p w14:paraId="7824285B"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Wartość zagrożona (VaR) wyznaczana jest dla poszczególnych czynników ryzyka za pomocą metody historycznej, dla 1-dniowego i 10-dniowego horyzontu czasowego, dla poziomów ufności 95%, 97,5% oraz 99%, zakładając utrzymywanie niezmienionej struktury portfela. W metodzie symulacji historycznej brane są pod uwagę dane historyczne dotyczące czynników ryzyka z ostatnich 254 dni roboczych.</w:t>
      </w:r>
    </w:p>
    <w:p w14:paraId="1E2D2412" w14:textId="645377AD"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Na podstawie kalkulacji wartości zagrożonej obliczana jest oczekiwana wartość straty pod warunkiem, że</w:t>
      </w:r>
      <w:r w:rsidR="00BD1962">
        <w:rPr>
          <w:rFonts w:eastAsia="Calibri" w:cs="Verdana"/>
          <w:color w:val="000000" w:themeColor="text1"/>
          <w:sz w:val="18"/>
          <w:szCs w:val="18"/>
        </w:rPr>
        <w:t> </w:t>
      </w:r>
      <w:r w:rsidRPr="00977E53">
        <w:rPr>
          <w:rFonts w:eastAsia="Calibri" w:cs="Verdana"/>
          <w:color w:val="000000" w:themeColor="text1"/>
          <w:sz w:val="18"/>
          <w:szCs w:val="18"/>
        </w:rPr>
        <w:t>strata przekracza wartość zagrożoną (ES), jako średnia z sześciu hipotetycznych największych strat.</w:t>
      </w:r>
    </w:p>
    <w:p w14:paraId="44CD8780"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Wartość zagrożona w niekorzystnych warunkach rynkowych (Stressed VaR) jest miarą potencjalnej straty portfela w niekorzystnych warunkach rynkowych odbiegających od typowego zachowania rynku.</w:t>
      </w:r>
      <w:r w:rsidRPr="00977E53" w:rsidDel="00A30E1A">
        <w:rPr>
          <w:rFonts w:eastAsia="Calibri" w:cs="Verdana"/>
          <w:color w:val="000000" w:themeColor="text1"/>
          <w:sz w:val="18"/>
          <w:szCs w:val="18"/>
        </w:rPr>
        <w:t xml:space="preserve"> </w:t>
      </w:r>
      <w:r w:rsidRPr="00977E53">
        <w:rPr>
          <w:rFonts w:eastAsia="Calibri" w:cs="Verdana"/>
          <w:color w:val="000000" w:themeColor="text1"/>
          <w:sz w:val="18"/>
          <w:szCs w:val="18"/>
        </w:rPr>
        <w:t>Kalkulacja jest analogiczna do kalkulacji wartości zagrożonej, a jedyną różnicą jest okres występowania warunków skrajnych, który wyznaczany jest na podstawie szeregu wartości zagrożonej, opartego na kolejnych dwunastomiesięcznych oknach zmian czynników ryzyka od 2007 roku.</w:t>
      </w:r>
    </w:p>
    <w:p w14:paraId="1BD425D9" w14:textId="67CC97DF"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Kapitał ekonomiczny na pokrycie ryzyka rynkowego to kapitał na pokrycie strat w skali jednego roku z tytułu zmian wyceny instrumentów finansowych tworzących portfele Grupy mBanku, wynikających ze</w:t>
      </w:r>
      <w:r w:rsidR="00BD1962">
        <w:rPr>
          <w:rFonts w:eastAsia="Calibri" w:cs="Verdana"/>
          <w:color w:val="000000" w:themeColor="text1"/>
          <w:sz w:val="18"/>
          <w:szCs w:val="18"/>
        </w:rPr>
        <w:t> </w:t>
      </w:r>
      <w:r w:rsidRPr="00977E53">
        <w:rPr>
          <w:rFonts w:eastAsia="Calibri" w:cs="Verdana"/>
          <w:color w:val="000000" w:themeColor="text1"/>
          <w:sz w:val="18"/>
          <w:szCs w:val="18"/>
        </w:rPr>
        <w:t>zmian cen i wartości parametrów rynkowych.</w:t>
      </w:r>
    </w:p>
    <w:p w14:paraId="34BCC256"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Dodatkowymi miarami ryzyka rynkowego, uzupełniającymi pomiar wartości zagrożonej, są testy warunków skrajnych. Pokazują hipotetyczną zmianę bieżącej wyceny portfeli Grupy mBanku, która nastąpiłaby wskutek wystąpienia tzw. scenariuszy testów warunków skrajnych, czyli przyjęcia przez czynniki ryzyka wyszczególnionych skrajnych wartości, przy założeniu utrzymywania statycznego portfela. </w:t>
      </w:r>
    </w:p>
    <w:p w14:paraId="4878222D"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Testy warunków skrajnych składają się z dwóch części: standardowych testów warunków skrajnych wyznaczonych dla standardowych czynników ryzyka (kursy wymiany walut, stopy procentowe, ceny akcji oraz ich zmienności), a także testów warunków skrajnych, które obejmują zmiany spreadów kredytowych. W ten sposób zaadresowano między innymi potrzebę pokrycia w analizach testów warunków skrajnych niezależnego wpływu ryzyka bazowego (spreadu pomiędzy </w:t>
      </w:r>
      <w:r w:rsidRPr="00977E53">
        <w:rPr>
          <w:color w:val="000000" w:themeColor="text1"/>
          <w:sz w:val="18"/>
          <w:szCs w:val="18"/>
        </w:rPr>
        <w:t>krzywą rentowności obligacji rządowych oraz krzywą swap</w:t>
      </w:r>
      <w:r w:rsidRPr="00977E53">
        <w:rPr>
          <w:rFonts w:eastAsia="Calibri" w:cs="Verdana"/>
          <w:color w:val="000000" w:themeColor="text1"/>
          <w:sz w:val="18"/>
          <w:szCs w:val="18"/>
        </w:rPr>
        <w:t>), na które wyeksponowana jest Grupa z tytułu utrzymywania portfela obligacji Skarbu Państwa.</w:t>
      </w:r>
    </w:p>
    <w:p w14:paraId="43C3F662" w14:textId="612ADE69"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IR BPV jest miarą wrażliwości bieżącej wyceny portfeli na wzrost stóp procentowych o 1 punkt bazowy, a CS BPV na wzrost spreadu kredytowego o 1 punkt bazowy. </w:t>
      </w:r>
    </w:p>
    <w:p w14:paraId="4FCFE5DE"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W celu odwzorowania ryzyka stopy procentowej produktów obszarów bankowości detalicznej i korporacyjnej o nieokreślonym terminie przeszacowania odsetek lub o stopach administrowanych przez mBank, Bank stosuje modele tak zwanych portfeli replikujących. Podejście do rachunków bieżących uwzględnia podział części stabilnej na część salda wrażliwą i niewrażliwą na zmiany stóp procentowych. Przyjęta dla części stabilnych kapitału oraz rachunków bieżących, niewrażliwych na zmiany stóp procentowych, struktura tenorowa odzwierciedla przyjętą strategię banku w zakresie stabilizowania wyniku odsetkowego.</w:t>
      </w:r>
    </w:p>
    <w:p w14:paraId="75B24E6F" w14:textId="35D64591"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Pomiar i analiza ryzyka rynkowego odbywa się w dwóch ujęciach (z uwzględnieniem i bez uwzględnienia modelowania stabilnych części kapitału i rachunków bieżących, niewrażliwych na zmiany stóp procentowych), co pozwala kontrolować wpływ na poziom ryzyka rynkowego przyjętej strategii stabilizowania wyniku odsetkowego. Przedstawione w dalszej części raportu wyniki pomiaru VaR i IR BPV prezentują ujęcie z uwzględnieniem modelowania.</w:t>
      </w:r>
      <w:r w:rsidR="0083752D">
        <w:rPr>
          <w:rFonts w:eastAsia="Calibri" w:cs="Verdana"/>
          <w:color w:val="000000" w:themeColor="text1"/>
          <w:sz w:val="18"/>
          <w:szCs w:val="18"/>
        </w:rPr>
        <w:t xml:space="preserve"> W 2019 roku n</w:t>
      </w:r>
      <w:r w:rsidR="0083752D" w:rsidRPr="0083752D">
        <w:rPr>
          <w:rFonts w:eastAsia="Calibri" w:cs="Verdana"/>
          <w:color w:val="000000" w:themeColor="text1"/>
          <w:sz w:val="18"/>
          <w:szCs w:val="18"/>
        </w:rPr>
        <w:t>astąpiła zmiana w prezentacji w stosunku do roku 2018, gdy wartości były podane w ujęciu bez uwzględnienia modelowania stabilnych części kapitału i rachunków bieżących, niewrażliwych na zmiany stóp procentowych</w:t>
      </w:r>
      <w:r w:rsidR="0083752D">
        <w:rPr>
          <w:rFonts w:eastAsia="Calibri" w:cs="Verdana"/>
          <w:color w:val="000000" w:themeColor="text1"/>
          <w:sz w:val="18"/>
          <w:szCs w:val="18"/>
        </w:rPr>
        <w:t>.</w:t>
      </w:r>
    </w:p>
    <w:p w14:paraId="547801E4" w14:textId="77777777" w:rsidR="00001702" w:rsidRPr="00977E53" w:rsidRDefault="00001702" w:rsidP="000017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Metodologia pomiaru podlega wstępnej i okresowej walidacji, prowadzonej przez Jednostkę Walidacyjną, oraz kontroli przez Departament Audytu Wewnętrznego.</w:t>
      </w:r>
    </w:p>
    <w:p w14:paraId="1AED748D" w14:textId="77777777" w:rsidR="00001702" w:rsidRPr="00977E53" w:rsidRDefault="00001702" w:rsidP="002E2F47">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W celu ograniczenia ekspozycji na ryzyko rynkowe ustanawiane są limity na:</w:t>
      </w:r>
    </w:p>
    <w:p w14:paraId="229D0E34" w14:textId="77777777" w:rsidR="00001702" w:rsidRPr="002E2F47" w:rsidRDefault="00001702" w:rsidP="002E2F47">
      <w:pPr>
        <w:numPr>
          <w:ilvl w:val="0"/>
          <w:numId w:val="17"/>
        </w:numPr>
        <w:tabs>
          <w:tab w:val="clear" w:pos="1267"/>
        </w:tabs>
        <w:suppressAutoHyphens/>
        <w:ind w:left="426" w:right="-57" w:hanging="284"/>
        <w:jc w:val="both"/>
        <w:rPr>
          <w:rFonts w:cs="Tahoma"/>
          <w:bCs/>
          <w:color w:val="000000" w:themeColor="text1"/>
          <w:sz w:val="18"/>
          <w:szCs w:val="18"/>
        </w:rPr>
      </w:pPr>
      <w:r w:rsidRPr="002E2F47">
        <w:rPr>
          <w:rFonts w:cs="Tahoma"/>
          <w:bCs/>
          <w:color w:val="000000" w:themeColor="text1"/>
          <w:sz w:val="18"/>
          <w:szCs w:val="18"/>
        </w:rPr>
        <w:t>VaR na poziomie ufności 97,5% w 1-dniowym horyzoncie czasowym,</w:t>
      </w:r>
    </w:p>
    <w:p w14:paraId="7E36B794" w14:textId="77777777" w:rsidR="00001702" w:rsidRPr="002E2F47" w:rsidRDefault="00001702" w:rsidP="002E2F47">
      <w:pPr>
        <w:numPr>
          <w:ilvl w:val="0"/>
          <w:numId w:val="17"/>
        </w:numPr>
        <w:tabs>
          <w:tab w:val="clear" w:pos="1267"/>
        </w:tabs>
        <w:suppressAutoHyphens/>
        <w:ind w:left="426" w:right="-57" w:hanging="284"/>
        <w:jc w:val="both"/>
        <w:rPr>
          <w:rFonts w:cs="Tahoma"/>
          <w:bCs/>
          <w:color w:val="000000" w:themeColor="text1"/>
          <w:sz w:val="18"/>
          <w:szCs w:val="18"/>
        </w:rPr>
      </w:pPr>
      <w:r w:rsidRPr="002E2F47">
        <w:rPr>
          <w:rFonts w:cs="Tahoma"/>
          <w:bCs/>
          <w:color w:val="000000" w:themeColor="text1"/>
          <w:sz w:val="18"/>
          <w:szCs w:val="18"/>
        </w:rPr>
        <w:t>wyniki testów warunków skrajnych,</w:t>
      </w:r>
    </w:p>
    <w:p w14:paraId="142DAF0A" w14:textId="7D904676" w:rsidR="00D822BF" w:rsidRDefault="00001702" w:rsidP="002B7078">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2E2F47">
        <w:rPr>
          <w:rFonts w:cs="Tahoma"/>
          <w:bCs/>
          <w:color w:val="000000" w:themeColor="text1"/>
          <w:sz w:val="18"/>
          <w:szCs w:val="18"/>
        </w:rPr>
        <w:t>miary wrażliwości IR BPV i CS BPV.</w:t>
      </w:r>
    </w:p>
    <w:p w14:paraId="37A0D94B" w14:textId="6AD70DC4" w:rsidR="00001702" w:rsidRPr="00977E53" w:rsidRDefault="00001702" w:rsidP="00CA6B95">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Decyzje w zakresie wartości limitów ryzyka rynkowego podejmują:</w:t>
      </w:r>
    </w:p>
    <w:p w14:paraId="30BCD0BD" w14:textId="77777777" w:rsidR="00001702" w:rsidRPr="002E2F47" w:rsidRDefault="00001702" w:rsidP="002E2F47">
      <w:pPr>
        <w:numPr>
          <w:ilvl w:val="0"/>
          <w:numId w:val="17"/>
        </w:numPr>
        <w:tabs>
          <w:tab w:val="clear" w:pos="1267"/>
        </w:tabs>
        <w:suppressAutoHyphens/>
        <w:ind w:left="426" w:right="-57" w:hanging="284"/>
        <w:jc w:val="both"/>
        <w:rPr>
          <w:rFonts w:cs="Tahoma"/>
          <w:bCs/>
          <w:color w:val="000000" w:themeColor="text1"/>
          <w:sz w:val="18"/>
          <w:szCs w:val="18"/>
        </w:rPr>
      </w:pPr>
      <w:r w:rsidRPr="002E2F47">
        <w:rPr>
          <w:rFonts w:cs="Tahoma"/>
          <w:bCs/>
          <w:color w:val="000000" w:themeColor="text1"/>
          <w:sz w:val="18"/>
          <w:szCs w:val="18"/>
        </w:rPr>
        <w:t>Rada Nadzorcza (w odniesieniu do portfela Grupy mBanku),</w:t>
      </w:r>
    </w:p>
    <w:p w14:paraId="7A98E458" w14:textId="77777777" w:rsidR="005F3054" w:rsidRPr="002E2F47" w:rsidRDefault="00001702" w:rsidP="002E2F47">
      <w:pPr>
        <w:numPr>
          <w:ilvl w:val="0"/>
          <w:numId w:val="17"/>
        </w:numPr>
        <w:tabs>
          <w:tab w:val="clear" w:pos="1267"/>
        </w:tabs>
        <w:suppressAutoHyphens/>
        <w:ind w:left="426" w:right="-57" w:hanging="284"/>
        <w:jc w:val="both"/>
        <w:rPr>
          <w:rFonts w:cs="Tahoma"/>
          <w:bCs/>
          <w:color w:val="000000" w:themeColor="text1"/>
          <w:sz w:val="18"/>
          <w:szCs w:val="18"/>
        </w:rPr>
      </w:pPr>
      <w:r w:rsidRPr="002E2F47">
        <w:rPr>
          <w:rFonts w:cs="Tahoma"/>
          <w:bCs/>
          <w:color w:val="000000" w:themeColor="text1"/>
          <w:sz w:val="18"/>
          <w:szCs w:val="18"/>
        </w:rPr>
        <w:lastRenderedPageBreak/>
        <w:t>Zarząd Banku (w odniesieniu do portfela mBanku),</w:t>
      </w:r>
    </w:p>
    <w:p w14:paraId="12338C68" w14:textId="30341585" w:rsidR="006E16F4" w:rsidRDefault="00001702" w:rsidP="002E2F47">
      <w:pPr>
        <w:numPr>
          <w:ilvl w:val="0"/>
          <w:numId w:val="17"/>
        </w:numPr>
        <w:tabs>
          <w:tab w:val="clear" w:pos="1267"/>
        </w:tabs>
        <w:suppressAutoHyphens/>
        <w:ind w:left="426" w:right="-57" w:hanging="284"/>
        <w:jc w:val="both"/>
        <w:rPr>
          <w:rFonts w:cs="Tahoma"/>
          <w:bCs/>
          <w:color w:val="000000" w:themeColor="text1"/>
          <w:sz w:val="18"/>
          <w:szCs w:val="18"/>
        </w:rPr>
      </w:pPr>
      <w:r w:rsidRPr="002E2F47">
        <w:rPr>
          <w:rFonts w:cs="Tahoma"/>
          <w:bCs/>
          <w:color w:val="000000" w:themeColor="text1"/>
          <w:sz w:val="18"/>
          <w:szCs w:val="18"/>
        </w:rPr>
        <w:t>Komitet Ryzyka Rynków Finansowych (w odniesieniu do portfeli jednostek biznesowych)</w:t>
      </w:r>
      <w:r w:rsidR="008318EE" w:rsidRPr="002E2F47">
        <w:rPr>
          <w:rFonts w:cs="Tahoma"/>
          <w:bCs/>
          <w:color w:val="000000" w:themeColor="text1"/>
          <w:sz w:val="18"/>
          <w:szCs w:val="18"/>
        </w:rPr>
        <w:t>.</w:t>
      </w:r>
    </w:p>
    <w:p w14:paraId="592A5F30" w14:textId="77777777" w:rsidR="002E2F47" w:rsidRPr="002E2F47" w:rsidRDefault="002E2F47" w:rsidP="002E2F47">
      <w:pPr>
        <w:suppressAutoHyphens/>
        <w:ind w:left="426" w:right="-57"/>
        <w:jc w:val="both"/>
        <w:rPr>
          <w:rFonts w:cs="Tahoma"/>
          <w:bCs/>
          <w:color w:val="000000" w:themeColor="text1"/>
          <w:sz w:val="18"/>
          <w:szCs w:val="18"/>
        </w:rPr>
      </w:pPr>
    </w:p>
    <w:p w14:paraId="1BA746F0" w14:textId="2357200A" w:rsidR="008318EE" w:rsidRPr="00977E53" w:rsidRDefault="008318EE" w:rsidP="00526DF1">
      <w:pPr>
        <w:pStyle w:val="Akapitzlist"/>
        <w:numPr>
          <w:ilvl w:val="2"/>
          <w:numId w:val="44"/>
        </w:numPr>
        <w:spacing w:after="120"/>
        <w:rPr>
          <w:b/>
          <w:color w:val="000000" w:themeColor="text1"/>
          <w:sz w:val="18"/>
          <w:szCs w:val="18"/>
          <w:lang w:eastAsia="en-US"/>
        </w:rPr>
      </w:pPr>
      <w:r w:rsidRPr="00977E53">
        <w:rPr>
          <w:b/>
          <w:color w:val="000000" w:themeColor="text1"/>
          <w:sz w:val="18"/>
          <w:szCs w:val="18"/>
          <w:lang w:eastAsia="en-US"/>
        </w:rPr>
        <w:t>Profil ryzyka rynkowego</w:t>
      </w:r>
    </w:p>
    <w:p w14:paraId="7B592792" w14:textId="77777777" w:rsidR="008318EE" w:rsidRPr="00977E53" w:rsidRDefault="008318EE" w:rsidP="008318EE">
      <w:pPr>
        <w:autoSpaceDE w:val="0"/>
        <w:autoSpaceDN w:val="0"/>
        <w:adjustRightInd w:val="0"/>
        <w:spacing w:after="120"/>
        <w:jc w:val="both"/>
        <w:rPr>
          <w:rFonts w:eastAsia="Calibri" w:cs="Verdana"/>
          <w:color w:val="000000" w:themeColor="text1"/>
          <w:sz w:val="18"/>
          <w:szCs w:val="18"/>
          <w:lang w:eastAsia="en-US"/>
        </w:rPr>
      </w:pPr>
      <w:r w:rsidRPr="00977E53">
        <w:rPr>
          <w:rFonts w:eastAsia="Calibri" w:cs="Verdana"/>
          <w:color w:val="000000" w:themeColor="text1"/>
          <w:sz w:val="18"/>
          <w:szCs w:val="18"/>
          <w:lang w:eastAsia="en-US"/>
        </w:rPr>
        <w:t xml:space="preserve">Zasadniczym źródłem ryzyka rynkowego Grupy mBanku są pozycje mBanku. </w:t>
      </w:r>
    </w:p>
    <w:p w14:paraId="265009B2" w14:textId="77777777" w:rsidR="008318EE" w:rsidRPr="00977E53" w:rsidRDefault="008318EE" w:rsidP="008318EE">
      <w:pPr>
        <w:autoSpaceDE w:val="0"/>
        <w:autoSpaceDN w:val="0"/>
        <w:adjustRightInd w:val="0"/>
        <w:spacing w:after="120"/>
        <w:jc w:val="both"/>
        <w:rPr>
          <w:rFonts w:eastAsia="Calibri" w:cs="Verdana"/>
          <w:b/>
          <w:bCs/>
          <w:color w:val="000000" w:themeColor="text1"/>
          <w:sz w:val="18"/>
          <w:szCs w:val="18"/>
          <w:lang w:eastAsia="en-US"/>
        </w:rPr>
      </w:pPr>
      <w:r w:rsidRPr="00977E53">
        <w:rPr>
          <w:rFonts w:eastAsia="Calibri" w:cs="Verdana"/>
          <w:b/>
          <w:bCs/>
          <w:color w:val="000000" w:themeColor="text1"/>
          <w:sz w:val="18"/>
          <w:szCs w:val="18"/>
          <w:lang w:eastAsia="en-US"/>
        </w:rPr>
        <w:t xml:space="preserve">Wartość zagrożona </w:t>
      </w:r>
    </w:p>
    <w:p w14:paraId="6790BCAA" w14:textId="71ABDC4D" w:rsidR="008318EE" w:rsidRPr="00977E53" w:rsidRDefault="008318EE" w:rsidP="008318EE">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W 2019 roku ryzyko rynkowe mierzone wartością zagrożoną VaR (w horyzoncie jednodniowym, na</w:t>
      </w:r>
      <w:r w:rsidR="00BD1962">
        <w:rPr>
          <w:rFonts w:eastAsia="Calibri" w:cs="Verdana"/>
          <w:color w:val="000000" w:themeColor="text1"/>
          <w:sz w:val="18"/>
          <w:szCs w:val="18"/>
        </w:rPr>
        <w:t> </w:t>
      </w:r>
      <w:r w:rsidRPr="00977E53">
        <w:rPr>
          <w:rFonts w:eastAsia="Calibri" w:cs="Verdana"/>
          <w:color w:val="000000" w:themeColor="text1"/>
          <w:sz w:val="18"/>
          <w:szCs w:val="18"/>
        </w:rPr>
        <w:t>poziomie ufności 97,5%) utrzymywało się na umiarkowanym poziomie w relacji do limitów VaR.</w:t>
      </w:r>
    </w:p>
    <w:p w14:paraId="36A2BF24" w14:textId="77777777" w:rsidR="008318EE" w:rsidRPr="00977E53" w:rsidRDefault="008318EE" w:rsidP="008318EE">
      <w:pPr>
        <w:autoSpaceDE w:val="0"/>
        <w:autoSpaceDN w:val="0"/>
        <w:adjustRightInd w:val="0"/>
        <w:spacing w:after="120"/>
        <w:rPr>
          <w:rFonts w:eastAsia="Calibri" w:cs="Verdana"/>
          <w:color w:val="000000" w:themeColor="text1"/>
          <w:sz w:val="18"/>
          <w:szCs w:val="18"/>
        </w:rPr>
      </w:pPr>
      <w:r w:rsidRPr="00977E53">
        <w:rPr>
          <w:rFonts w:eastAsia="Calibri" w:cs="Verdana"/>
          <w:color w:val="000000" w:themeColor="text1"/>
          <w:sz w:val="18"/>
          <w:szCs w:val="18"/>
        </w:rPr>
        <w:t>W tabeli przedstawione zostały wartości VaR dla portfela Grupy i mBanku:</w:t>
      </w:r>
    </w:p>
    <w:tbl>
      <w:tblPr>
        <w:tblW w:w="9639" w:type="dxa"/>
        <w:tblLayout w:type="fixed"/>
        <w:tblCellMar>
          <w:left w:w="28" w:type="dxa"/>
          <w:right w:w="28" w:type="dxa"/>
        </w:tblCellMar>
        <w:tblLook w:val="04A0" w:firstRow="1" w:lastRow="0" w:firstColumn="1" w:lastColumn="0" w:noHBand="0" w:noVBand="1"/>
      </w:tblPr>
      <w:tblGrid>
        <w:gridCol w:w="1071"/>
        <w:gridCol w:w="1071"/>
        <w:gridCol w:w="1071"/>
        <w:gridCol w:w="1071"/>
        <w:gridCol w:w="1071"/>
        <w:gridCol w:w="1071"/>
        <w:gridCol w:w="1071"/>
        <w:gridCol w:w="1071"/>
        <w:gridCol w:w="1071"/>
      </w:tblGrid>
      <w:tr w:rsidR="006A50EB" w:rsidRPr="00B14EBD" w14:paraId="18821576" w14:textId="77777777" w:rsidTr="00AD7D45">
        <w:trPr>
          <w:trHeight w:val="284"/>
        </w:trPr>
        <w:tc>
          <w:tcPr>
            <w:tcW w:w="1071" w:type="dxa"/>
            <w:vMerge w:val="restart"/>
            <w:tcBorders>
              <w:top w:val="single" w:sz="8" w:space="0" w:color="FFFFFF"/>
              <w:left w:val="nil"/>
              <w:bottom w:val="single" w:sz="8" w:space="0" w:color="FFFFFF"/>
              <w:right w:val="single" w:sz="8" w:space="0" w:color="FFFFFF"/>
            </w:tcBorders>
            <w:shd w:val="clear" w:color="000000" w:fill="0077BD"/>
            <w:vAlign w:val="center"/>
            <w:hideMark/>
          </w:tcPr>
          <w:p w14:paraId="18CAB624" w14:textId="77777777" w:rsidR="00B14EBD" w:rsidRPr="00B14EBD" w:rsidRDefault="00B14EBD" w:rsidP="00B14EBD">
            <w:pPr>
              <w:rPr>
                <w:rFonts w:cs="Calibri"/>
                <w:b/>
                <w:bCs/>
                <w:color w:val="FFFFFF"/>
                <w:sz w:val="13"/>
                <w:szCs w:val="13"/>
              </w:rPr>
            </w:pPr>
            <w:r w:rsidRPr="00B14EBD">
              <w:rPr>
                <w:rFonts w:cs="Calibri"/>
                <w:b/>
                <w:bCs/>
                <w:color w:val="FFFFFF"/>
                <w:sz w:val="13"/>
                <w:szCs w:val="13"/>
              </w:rPr>
              <w:t>tys. zł</w:t>
            </w:r>
          </w:p>
        </w:tc>
        <w:tc>
          <w:tcPr>
            <w:tcW w:w="4284" w:type="dxa"/>
            <w:gridSpan w:val="4"/>
            <w:tcBorders>
              <w:top w:val="single" w:sz="8" w:space="0" w:color="FFFFFF"/>
              <w:left w:val="nil"/>
              <w:bottom w:val="single" w:sz="4" w:space="0" w:color="FFFFFF"/>
              <w:right w:val="single" w:sz="8" w:space="0" w:color="FFFFFF"/>
            </w:tcBorders>
            <w:shd w:val="clear" w:color="000000" w:fill="0077BD"/>
            <w:vAlign w:val="center"/>
            <w:hideMark/>
          </w:tcPr>
          <w:p w14:paraId="33BA35CE"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2019</w:t>
            </w:r>
          </w:p>
        </w:tc>
        <w:tc>
          <w:tcPr>
            <w:tcW w:w="4284" w:type="dxa"/>
            <w:gridSpan w:val="4"/>
            <w:tcBorders>
              <w:top w:val="single" w:sz="8" w:space="0" w:color="FFFFFF"/>
              <w:left w:val="nil"/>
              <w:bottom w:val="single" w:sz="4" w:space="0" w:color="FFFFFF"/>
              <w:right w:val="nil"/>
            </w:tcBorders>
            <w:shd w:val="clear" w:color="000000" w:fill="0077BD"/>
            <w:vAlign w:val="center"/>
            <w:hideMark/>
          </w:tcPr>
          <w:p w14:paraId="09AEF88E"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2018</w:t>
            </w:r>
          </w:p>
        </w:tc>
      </w:tr>
      <w:tr w:rsidR="00D114B3" w:rsidRPr="00B14EBD" w14:paraId="49EBE9C0" w14:textId="77777777" w:rsidTr="00AD7D45">
        <w:trPr>
          <w:trHeight w:val="284"/>
        </w:trPr>
        <w:tc>
          <w:tcPr>
            <w:tcW w:w="1071" w:type="dxa"/>
            <w:vMerge/>
            <w:tcBorders>
              <w:top w:val="single" w:sz="8" w:space="0" w:color="FFFFFF"/>
              <w:left w:val="nil"/>
              <w:bottom w:val="single" w:sz="8" w:space="0" w:color="FFFFFF"/>
              <w:right w:val="single" w:sz="8" w:space="0" w:color="FFFFFF"/>
            </w:tcBorders>
            <w:vAlign w:val="center"/>
            <w:hideMark/>
          </w:tcPr>
          <w:p w14:paraId="517E1A58" w14:textId="77777777" w:rsidR="00B14EBD" w:rsidRPr="00B14EBD" w:rsidRDefault="00B14EBD" w:rsidP="00B14EBD">
            <w:pPr>
              <w:rPr>
                <w:rFonts w:cs="Calibri"/>
                <w:b/>
                <w:bCs/>
                <w:color w:val="FFFFFF"/>
                <w:sz w:val="13"/>
                <w:szCs w:val="13"/>
              </w:rPr>
            </w:pPr>
          </w:p>
        </w:tc>
        <w:tc>
          <w:tcPr>
            <w:tcW w:w="2142" w:type="dxa"/>
            <w:gridSpan w:val="2"/>
            <w:tcBorders>
              <w:top w:val="single" w:sz="4" w:space="0" w:color="FFFFFF"/>
              <w:left w:val="nil"/>
              <w:bottom w:val="single" w:sz="4" w:space="0" w:color="FFFFFF"/>
              <w:right w:val="single" w:sz="8" w:space="0" w:color="FFFFFF"/>
            </w:tcBorders>
            <w:shd w:val="clear" w:color="000000" w:fill="0077BD"/>
            <w:vAlign w:val="center"/>
            <w:hideMark/>
          </w:tcPr>
          <w:p w14:paraId="6DC590EF"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Grupa mBanku</w:t>
            </w:r>
          </w:p>
        </w:tc>
        <w:tc>
          <w:tcPr>
            <w:tcW w:w="2142" w:type="dxa"/>
            <w:gridSpan w:val="2"/>
            <w:tcBorders>
              <w:top w:val="single" w:sz="4" w:space="0" w:color="FFFFFF"/>
              <w:left w:val="nil"/>
              <w:bottom w:val="single" w:sz="4" w:space="0" w:color="FFFFFF"/>
              <w:right w:val="single" w:sz="8" w:space="0" w:color="FFFFFF"/>
            </w:tcBorders>
            <w:shd w:val="clear" w:color="000000" w:fill="0077BD"/>
            <w:vAlign w:val="center"/>
            <w:hideMark/>
          </w:tcPr>
          <w:p w14:paraId="4F562167"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mBank</w:t>
            </w:r>
          </w:p>
        </w:tc>
        <w:tc>
          <w:tcPr>
            <w:tcW w:w="2142" w:type="dxa"/>
            <w:gridSpan w:val="2"/>
            <w:tcBorders>
              <w:top w:val="single" w:sz="4" w:space="0" w:color="FFFFFF"/>
              <w:left w:val="nil"/>
              <w:bottom w:val="single" w:sz="4" w:space="0" w:color="FFFFFF"/>
              <w:right w:val="single" w:sz="8" w:space="0" w:color="FFFFFF"/>
            </w:tcBorders>
            <w:shd w:val="clear" w:color="000000" w:fill="0077BD"/>
            <w:vAlign w:val="center"/>
            <w:hideMark/>
          </w:tcPr>
          <w:p w14:paraId="364C3A92"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Grupa mBanku</w:t>
            </w:r>
          </w:p>
        </w:tc>
        <w:tc>
          <w:tcPr>
            <w:tcW w:w="2142" w:type="dxa"/>
            <w:gridSpan w:val="2"/>
            <w:tcBorders>
              <w:top w:val="single" w:sz="4" w:space="0" w:color="FFFFFF"/>
              <w:left w:val="nil"/>
              <w:bottom w:val="single" w:sz="4" w:space="0" w:color="FFFFFF"/>
              <w:right w:val="nil"/>
            </w:tcBorders>
            <w:shd w:val="clear" w:color="000000" w:fill="0077BD"/>
            <w:vAlign w:val="center"/>
            <w:hideMark/>
          </w:tcPr>
          <w:p w14:paraId="256FB7D3" w14:textId="77777777" w:rsidR="00B14EBD" w:rsidRPr="00B14EBD" w:rsidRDefault="00B14EBD" w:rsidP="00B14EBD">
            <w:pPr>
              <w:jc w:val="center"/>
              <w:rPr>
                <w:rFonts w:cs="Calibri"/>
                <w:b/>
                <w:bCs/>
                <w:color w:val="FFFFFF"/>
                <w:sz w:val="13"/>
                <w:szCs w:val="13"/>
              </w:rPr>
            </w:pPr>
            <w:r w:rsidRPr="00B14EBD">
              <w:rPr>
                <w:rFonts w:cs="Calibri"/>
                <w:b/>
                <w:bCs/>
                <w:color w:val="FFFFFF"/>
                <w:sz w:val="13"/>
                <w:szCs w:val="13"/>
              </w:rPr>
              <w:t>mBank</w:t>
            </w:r>
          </w:p>
        </w:tc>
      </w:tr>
      <w:tr w:rsidR="00D114B3" w:rsidRPr="00D114B3" w14:paraId="2E573DA4" w14:textId="77777777" w:rsidTr="00AD7D45">
        <w:trPr>
          <w:trHeight w:val="284"/>
        </w:trPr>
        <w:tc>
          <w:tcPr>
            <w:tcW w:w="1071" w:type="dxa"/>
            <w:vMerge/>
            <w:tcBorders>
              <w:top w:val="single" w:sz="8" w:space="0" w:color="FFFFFF"/>
              <w:left w:val="nil"/>
              <w:right w:val="single" w:sz="8" w:space="0" w:color="FFFFFF"/>
            </w:tcBorders>
            <w:vAlign w:val="center"/>
            <w:hideMark/>
          </w:tcPr>
          <w:p w14:paraId="7A734B41" w14:textId="77777777" w:rsidR="00B14EBD" w:rsidRPr="00B14EBD" w:rsidRDefault="00B14EBD" w:rsidP="00B14EBD">
            <w:pPr>
              <w:rPr>
                <w:rFonts w:cs="Calibri"/>
                <w:b/>
                <w:bCs/>
                <w:color w:val="FFFFFF"/>
                <w:sz w:val="13"/>
                <w:szCs w:val="13"/>
              </w:rPr>
            </w:pPr>
          </w:p>
        </w:tc>
        <w:tc>
          <w:tcPr>
            <w:tcW w:w="1071" w:type="dxa"/>
            <w:tcBorders>
              <w:top w:val="single" w:sz="4" w:space="0" w:color="FFFFFF"/>
              <w:left w:val="nil"/>
              <w:right w:val="single" w:sz="8" w:space="0" w:color="FFFFFF"/>
            </w:tcBorders>
            <w:shd w:val="clear" w:color="000000" w:fill="0077BD"/>
            <w:vAlign w:val="center"/>
            <w:hideMark/>
          </w:tcPr>
          <w:p w14:paraId="341AFB05"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31.12.2019</w:t>
            </w:r>
          </w:p>
        </w:tc>
        <w:tc>
          <w:tcPr>
            <w:tcW w:w="1071" w:type="dxa"/>
            <w:tcBorders>
              <w:top w:val="single" w:sz="4" w:space="0" w:color="FFFFFF"/>
              <w:left w:val="nil"/>
              <w:right w:val="single" w:sz="8" w:space="0" w:color="FFFFFF"/>
            </w:tcBorders>
            <w:shd w:val="clear" w:color="000000" w:fill="0077BD"/>
            <w:vAlign w:val="center"/>
            <w:hideMark/>
          </w:tcPr>
          <w:p w14:paraId="0A1CB2C8"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 xml:space="preserve">średnia </w:t>
            </w:r>
          </w:p>
        </w:tc>
        <w:tc>
          <w:tcPr>
            <w:tcW w:w="1071" w:type="dxa"/>
            <w:tcBorders>
              <w:top w:val="single" w:sz="4" w:space="0" w:color="FFFFFF"/>
              <w:left w:val="nil"/>
              <w:right w:val="single" w:sz="8" w:space="0" w:color="FFFFFF"/>
            </w:tcBorders>
            <w:shd w:val="clear" w:color="000000" w:fill="0077BD"/>
            <w:vAlign w:val="center"/>
            <w:hideMark/>
          </w:tcPr>
          <w:p w14:paraId="0A034C78"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31.12.2019</w:t>
            </w:r>
          </w:p>
        </w:tc>
        <w:tc>
          <w:tcPr>
            <w:tcW w:w="1071" w:type="dxa"/>
            <w:tcBorders>
              <w:top w:val="single" w:sz="4" w:space="0" w:color="FFFFFF"/>
              <w:left w:val="nil"/>
              <w:right w:val="single" w:sz="8" w:space="0" w:color="FFFFFF"/>
            </w:tcBorders>
            <w:shd w:val="clear" w:color="000000" w:fill="0077BD"/>
            <w:vAlign w:val="center"/>
            <w:hideMark/>
          </w:tcPr>
          <w:p w14:paraId="3B9958B5"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 xml:space="preserve">średnia </w:t>
            </w:r>
          </w:p>
        </w:tc>
        <w:tc>
          <w:tcPr>
            <w:tcW w:w="1071" w:type="dxa"/>
            <w:tcBorders>
              <w:top w:val="single" w:sz="4" w:space="0" w:color="FFFFFF"/>
              <w:left w:val="nil"/>
              <w:right w:val="single" w:sz="8" w:space="0" w:color="FFFFFF"/>
            </w:tcBorders>
            <w:shd w:val="clear" w:color="000000" w:fill="0077BD"/>
            <w:vAlign w:val="center"/>
            <w:hideMark/>
          </w:tcPr>
          <w:p w14:paraId="04ECEBAD"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31.12.2018</w:t>
            </w:r>
          </w:p>
        </w:tc>
        <w:tc>
          <w:tcPr>
            <w:tcW w:w="1071" w:type="dxa"/>
            <w:tcBorders>
              <w:top w:val="single" w:sz="4" w:space="0" w:color="FFFFFF"/>
              <w:left w:val="nil"/>
              <w:right w:val="single" w:sz="8" w:space="0" w:color="FFFFFF"/>
            </w:tcBorders>
            <w:shd w:val="clear" w:color="000000" w:fill="0077BD"/>
            <w:vAlign w:val="center"/>
            <w:hideMark/>
          </w:tcPr>
          <w:p w14:paraId="101A101C"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 xml:space="preserve">średnia </w:t>
            </w:r>
          </w:p>
        </w:tc>
        <w:tc>
          <w:tcPr>
            <w:tcW w:w="1071" w:type="dxa"/>
            <w:tcBorders>
              <w:top w:val="single" w:sz="4" w:space="0" w:color="FFFFFF"/>
              <w:left w:val="nil"/>
              <w:right w:val="single" w:sz="8" w:space="0" w:color="FFFFFF"/>
            </w:tcBorders>
            <w:shd w:val="clear" w:color="000000" w:fill="0077BD"/>
            <w:vAlign w:val="center"/>
            <w:hideMark/>
          </w:tcPr>
          <w:p w14:paraId="52E8C7DB"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31.12.2018</w:t>
            </w:r>
          </w:p>
        </w:tc>
        <w:tc>
          <w:tcPr>
            <w:tcW w:w="1071" w:type="dxa"/>
            <w:tcBorders>
              <w:top w:val="single" w:sz="4" w:space="0" w:color="FFFFFF"/>
              <w:left w:val="nil"/>
              <w:right w:val="nil"/>
            </w:tcBorders>
            <w:shd w:val="clear" w:color="000000" w:fill="0077BD"/>
            <w:vAlign w:val="center"/>
            <w:hideMark/>
          </w:tcPr>
          <w:p w14:paraId="4747F38D" w14:textId="77777777" w:rsidR="00B14EBD" w:rsidRPr="00B14EBD" w:rsidRDefault="00B14EBD" w:rsidP="00B14EBD">
            <w:pPr>
              <w:jc w:val="right"/>
              <w:rPr>
                <w:rFonts w:cs="Calibri"/>
                <w:b/>
                <w:bCs/>
                <w:color w:val="FFFFFF"/>
                <w:sz w:val="13"/>
                <w:szCs w:val="13"/>
              </w:rPr>
            </w:pPr>
            <w:r w:rsidRPr="00B14EBD">
              <w:rPr>
                <w:rFonts w:cs="Calibri"/>
                <w:b/>
                <w:bCs/>
                <w:color w:val="FFFFFF"/>
                <w:sz w:val="13"/>
                <w:szCs w:val="13"/>
              </w:rPr>
              <w:t xml:space="preserve">średnia </w:t>
            </w:r>
          </w:p>
        </w:tc>
      </w:tr>
      <w:tr w:rsidR="00977E53" w:rsidRPr="00977E53" w14:paraId="52CD101C" w14:textId="77777777" w:rsidTr="00EA58AF">
        <w:trPr>
          <w:trHeight w:val="284"/>
        </w:trPr>
        <w:tc>
          <w:tcPr>
            <w:tcW w:w="1071" w:type="dxa"/>
            <w:tcBorders>
              <w:top w:val="nil"/>
              <w:left w:val="nil"/>
              <w:bottom w:val="single" w:sz="4" w:space="0" w:color="0077BD"/>
              <w:right w:val="single" w:sz="8" w:space="0" w:color="0077BD"/>
            </w:tcBorders>
            <w:shd w:val="clear" w:color="auto" w:fill="auto"/>
            <w:noWrap/>
            <w:vAlign w:val="center"/>
            <w:hideMark/>
          </w:tcPr>
          <w:p w14:paraId="63E4991D" w14:textId="77777777" w:rsidR="007A6E58" w:rsidRPr="00977E53" w:rsidRDefault="007A6E58" w:rsidP="007A6E58">
            <w:pPr>
              <w:rPr>
                <w:rFonts w:cs="Calibri"/>
                <w:color w:val="000000" w:themeColor="text1"/>
                <w:sz w:val="13"/>
                <w:szCs w:val="13"/>
              </w:rPr>
            </w:pPr>
            <w:r w:rsidRPr="00977E53">
              <w:rPr>
                <w:rFonts w:cs="Calibri"/>
                <w:color w:val="000000" w:themeColor="text1"/>
                <w:sz w:val="13"/>
                <w:szCs w:val="13"/>
              </w:rPr>
              <w:t>VaR IR</w:t>
            </w:r>
          </w:p>
        </w:tc>
        <w:tc>
          <w:tcPr>
            <w:tcW w:w="1071" w:type="dxa"/>
            <w:tcBorders>
              <w:top w:val="nil"/>
              <w:left w:val="nil"/>
              <w:bottom w:val="single" w:sz="4" w:space="0" w:color="0077BD"/>
              <w:right w:val="single" w:sz="8" w:space="0" w:color="0077BD"/>
            </w:tcBorders>
            <w:shd w:val="clear" w:color="auto" w:fill="auto"/>
            <w:noWrap/>
            <w:vAlign w:val="center"/>
          </w:tcPr>
          <w:p w14:paraId="53D2D3E3" w14:textId="08B5517D"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4 294</w:t>
            </w:r>
          </w:p>
        </w:tc>
        <w:tc>
          <w:tcPr>
            <w:tcW w:w="1071" w:type="dxa"/>
            <w:tcBorders>
              <w:top w:val="nil"/>
              <w:left w:val="nil"/>
              <w:bottom w:val="single" w:sz="4" w:space="0" w:color="0077BD"/>
              <w:right w:val="single" w:sz="8" w:space="0" w:color="0077BD"/>
            </w:tcBorders>
            <w:shd w:val="clear" w:color="auto" w:fill="auto"/>
            <w:noWrap/>
            <w:vAlign w:val="center"/>
          </w:tcPr>
          <w:p w14:paraId="5A1789F3" w14:textId="2F03ECD2"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3 840</w:t>
            </w:r>
          </w:p>
        </w:tc>
        <w:tc>
          <w:tcPr>
            <w:tcW w:w="1071" w:type="dxa"/>
            <w:tcBorders>
              <w:top w:val="nil"/>
              <w:left w:val="nil"/>
              <w:bottom w:val="single" w:sz="4" w:space="0" w:color="0077BD"/>
              <w:right w:val="single" w:sz="8" w:space="0" w:color="0077BD"/>
            </w:tcBorders>
            <w:shd w:val="clear" w:color="auto" w:fill="auto"/>
            <w:noWrap/>
            <w:vAlign w:val="center"/>
          </w:tcPr>
          <w:p w14:paraId="54140AFD" w14:textId="44A107E9"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3 778</w:t>
            </w:r>
          </w:p>
        </w:tc>
        <w:tc>
          <w:tcPr>
            <w:tcW w:w="1071" w:type="dxa"/>
            <w:tcBorders>
              <w:top w:val="nil"/>
              <w:left w:val="nil"/>
              <w:bottom w:val="single" w:sz="4" w:space="0" w:color="0077BD"/>
              <w:right w:val="single" w:sz="8" w:space="0" w:color="0077BD"/>
            </w:tcBorders>
            <w:shd w:val="clear" w:color="auto" w:fill="auto"/>
            <w:noWrap/>
            <w:vAlign w:val="center"/>
          </w:tcPr>
          <w:p w14:paraId="1FF67257" w14:textId="70B94464"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3 759</w:t>
            </w:r>
          </w:p>
        </w:tc>
        <w:tc>
          <w:tcPr>
            <w:tcW w:w="1071" w:type="dxa"/>
            <w:tcBorders>
              <w:top w:val="nil"/>
              <w:left w:val="nil"/>
              <w:bottom w:val="single" w:sz="4" w:space="0" w:color="0077BD"/>
              <w:right w:val="single" w:sz="8" w:space="0" w:color="0077BD"/>
            </w:tcBorders>
            <w:shd w:val="clear" w:color="auto" w:fill="auto"/>
            <w:noWrap/>
            <w:vAlign w:val="center"/>
            <w:hideMark/>
          </w:tcPr>
          <w:p w14:paraId="4C8D32B2" w14:textId="1FD14991"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3 223</w:t>
            </w:r>
          </w:p>
        </w:tc>
        <w:tc>
          <w:tcPr>
            <w:tcW w:w="1071" w:type="dxa"/>
            <w:tcBorders>
              <w:top w:val="nil"/>
              <w:left w:val="nil"/>
              <w:bottom w:val="single" w:sz="4" w:space="0" w:color="0077BD"/>
              <w:right w:val="single" w:sz="8" w:space="0" w:color="0077BD"/>
            </w:tcBorders>
            <w:shd w:val="clear" w:color="auto" w:fill="auto"/>
            <w:noWrap/>
            <w:vAlign w:val="center"/>
            <w:hideMark/>
          </w:tcPr>
          <w:p w14:paraId="5FDEAE41" w14:textId="0BA9681B"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3 439</w:t>
            </w:r>
          </w:p>
        </w:tc>
        <w:tc>
          <w:tcPr>
            <w:tcW w:w="1071" w:type="dxa"/>
            <w:tcBorders>
              <w:top w:val="nil"/>
              <w:left w:val="nil"/>
              <w:bottom w:val="single" w:sz="4" w:space="0" w:color="0077BD"/>
              <w:right w:val="single" w:sz="8" w:space="0" w:color="0077BD"/>
            </w:tcBorders>
            <w:shd w:val="clear" w:color="auto" w:fill="auto"/>
            <w:noWrap/>
            <w:vAlign w:val="center"/>
            <w:hideMark/>
          </w:tcPr>
          <w:p w14:paraId="7CCFDA69" w14:textId="3F2F233C"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3 248</w:t>
            </w:r>
          </w:p>
        </w:tc>
        <w:tc>
          <w:tcPr>
            <w:tcW w:w="1071" w:type="dxa"/>
            <w:tcBorders>
              <w:top w:val="nil"/>
              <w:left w:val="nil"/>
              <w:bottom w:val="single" w:sz="4" w:space="0" w:color="0077BD"/>
              <w:right w:val="nil"/>
            </w:tcBorders>
            <w:shd w:val="clear" w:color="auto" w:fill="auto"/>
            <w:noWrap/>
            <w:vAlign w:val="center"/>
            <w:hideMark/>
          </w:tcPr>
          <w:p w14:paraId="4CFAF670" w14:textId="3439E783"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3 443</w:t>
            </w:r>
          </w:p>
        </w:tc>
      </w:tr>
      <w:tr w:rsidR="00977E53" w:rsidRPr="00977E53" w14:paraId="1518F87D" w14:textId="77777777" w:rsidTr="00EA58AF">
        <w:trPr>
          <w:trHeight w:val="284"/>
        </w:trPr>
        <w:tc>
          <w:tcPr>
            <w:tcW w:w="1071" w:type="dxa"/>
            <w:tcBorders>
              <w:top w:val="nil"/>
              <w:left w:val="nil"/>
              <w:bottom w:val="single" w:sz="4" w:space="0" w:color="0077BD"/>
              <w:right w:val="single" w:sz="8" w:space="0" w:color="0077BD"/>
            </w:tcBorders>
            <w:shd w:val="clear" w:color="auto" w:fill="auto"/>
            <w:noWrap/>
            <w:vAlign w:val="center"/>
            <w:hideMark/>
          </w:tcPr>
          <w:p w14:paraId="1FEFF1D1" w14:textId="77777777" w:rsidR="007A6E58" w:rsidRPr="00977E53" w:rsidRDefault="007A6E58" w:rsidP="007A6E58">
            <w:pPr>
              <w:rPr>
                <w:rFonts w:cs="Calibri"/>
                <w:color w:val="000000" w:themeColor="text1"/>
                <w:sz w:val="13"/>
                <w:szCs w:val="13"/>
              </w:rPr>
            </w:pPr>
            <w:r w:rsidRPr="00977E53">
              <w:rPr>
                <w:rFonts w:cs="Calibri"/>
                <w:color w:val="000000" w:themeColor="text1"/>
                <w:sz w:val="13"/>
                <w:szCs w:val="13"/>
              </w:rPr>
              <w:t>VaR FX</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531CAB21" w14:textId="2C73519A"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767</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0DDDE06A" w14:textId="5F0E3F95"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957</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13F70AAB" w14:textId="40AA31A3"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728</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0760F287" w14:textId="5C3F1361"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961</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2D44E58F" w14:textId="3121E8DA"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317</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4727617C" w14:textId="6DFDBDCE"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427</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4CD3B746" w14:textId="2DD85C0A"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341</w:t>
            </w:r>
          </w:p>
        </w:tc>
        <w:tc>
          <w:tcPr>
            <w:tcW w:w="1071" w:type="dxa"/>
            <w:tcBorders>
              <w:top w:val="single" w:sz="4" w:space="0" w:color="0077BD"/>
              <w:left w:val="nil"/>
              <w:bottom w:val="single" w:sz="4" w:space="0" w:color="0077BD"/>
              <w:right w:val="nil"/>
            </w:tcBorders>
            <w:shd w:val="clear" w:color="auto" w:fill="auto"/>
            <w:noWrap/>
            <w:vAlign w:val="center"/>
            <w:hideMark/>
          </w:tcPr>
          <w:p w14:paraId="712AE17A" w14:textId="6F1B2758"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421</w:t>
            </w:r>
          </w:p>
        </w:tc>
      </w:tr>
      <w:tr w:rsidR="00977E53" w:rsidRPr="00977E53" w14:paraId="5B4DC571" w14:textId="77777777" w:rsidTr="00EA58AF">
        <w:trPr>
          <w:trHeight w:val="284"/>
        </w:trPr>
        <w:tc>
          <w:tcPr>
            <w:tcW w:w="1071" w:type="dxa"/>
            <w:tcBorders>
              <w:top w:val="nil"/>
              <w:left w:val="nil"/>
              <w:bottom w:val="single" w:sz="4" w:space="0" w:color="0077BD"/>
              <w:right w:val="single" w:sz="8" w:space="0" w:color="0077BD"/>
            </w:tcBorders>
            <w:shd w:val="clear" w:color="auto" w:fill="auto"/>
            <w:noWrap/>
            <w:vAlign w:val="center"/>
            <w:hideMark/>
          </w:tcPr>
          <w:p w14:paraId="7A018DED" w14:textId="77777777" w:rsidR="007A6E58" w:rsidRPr="00977E53" w:rsidRDefault="007A6E58" w:rsidP="007A6E58">
            <w:pPr>
              <w:rPr>
                <w:rFonts w:cs="Calibri"/>
                <w:color w:val="000000" w:themeColor="text1"/>
                <w:sz w:val="13"/>
                <w:szCs w:val="13"/>
              </w:rPr>
            </w:pPr>
            <w:r w:rsidRPr="00977E53">
              <w:rPr>
                <w:rFonts w:cs="Calibri"/>
                <w:color w:val="000000" w:themeColor="text1"/>
                <w:sz w:val="13"/>
                <w:szCs w:val="13"/>
              </w:rPr>
              <w:t>VaR EQ</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28AEB7FB" w14:textId="7FC13E2C"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51D4EDD3" w14:textId="337B0AB5"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70B4A917" w14:textId="12568AD0"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single" w:sz="8" w:space="0" w:color="0077BD"/>
            </w:tcBorders>
            <w:shd w:val="clear" w:color="auto" w:fill="auto"/>
            <w:noWrap/>
            <w:vAlign w:val="center"/>
          </w:tcPr>
          <w:p w14:paraId="5DC7D7B5" w14:textId="1D1804DD"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56AB1A70" w14:textId="56EED826"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7D2212CD" w14:textId="71A315AE"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51</w:t>
            </w:r>
          </w:p>
        </w:tc>
        <w:tc>
          <w:tcPr>
            <w:tcW w:w="1071" w:type="dxa"/>
            <w:tcBorders>
              <w:top w:val="single" w:sz="4" w:space="0" w:color="0077BD"/>
              <w:left w:val="nil"/>
              <w:bottom w:val="single" w:sz="4" w:space="0" w:color="0077BD"/>
              <w:right w:val="single" w:sz="8" w:space="0" w:color="0077BD"/>
            </w:tcBorders>
            <w:shd w:val="clear" w:color="auto" w:fill="auto"/>
            <w:noWrap/>
            <w:vAlign w:val="center"/>
            <w:hideMark/>
          </w:tcPr>
          <w:p w14:paraId="1F3833B1" w14:textId="0B578A2E"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0</w:t>
            </w:r>
          </w:p>
        </w:tc>
        <w:tc>
          <w:tcPr>
            <w:tcW w:w="1071" w:type="dxa"/>
            <w:tcBorders>
              <w:top w:val="single" w:sz="4" w:space="0" w:color="0077BD"/>
              <w:left w:val="nil"/>
              <w:bottom w:val="single" w:sz="4" w:space="0" w:color="0077BD"/>
              <w:right w:val="nil"/>
            </w:tcBorders>
            <w:shd w:val="clear" w:color="auto" w:fill="auto"/>
            <w:noWrap/>
            <w:vAlign w:val="center"/>
            <w:hideMark/>
          </w:tcPr>
          <w:p w14:paraId="4A23D276" w14:textId="56460D4B"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51</w:t>
            </w:r>
          </w:p>
        </w:tc>
      </w:tr>
      <w:tr w:rsidR="00977E53" w:rsidRPr="00977E53" w14:paraId="0D9CBC25" w14:textId="77777777" w:rsidTr="00EA58AF">
        <w:trPr>
          <w:trHeight w:val="284"/>
        </w:trPr>
        <w:tc>
          <w:tcPr>
            <w:tcW w:w="1071" w:type="dxa"/>
            <w:tcBorders>
              <w:top w:val="nil"/>
              <w:left w:val="nil"/>
              <w:bottom w:val="single" w:sz="8" w:space="0" w:color="0077BD"/>
              <w:right w:val="single" w:sz="8" w:space="0" w:color="0077BD"/>
            </w:tcBorders>
            <w:shd w:val="clear" w:color="auto" w:fill="auto"/>
            <w:noWrap/>
            <w:vAlign w:val="center"/>
            <w:hideMark/>
          </w:tcPr>
          <w:p w14:paraId="519C7251" w14:textId="77777777" w:rsidR="007A6E58" w:rsidRPr="00977E53" w:rsidRDefault="007A6E58" w:rsidP="007A6E58">
            <w:pPr>
              <w:rPr>
                <w:rFonts w:cs="Calibri"/>
                <w:color w:val="000000" w:themeColor="text1"/>
                <w:sz w:val="13"/>
                <w:szCs w:val="13"/>
              </w:rPr>
            </w:pPr>
            <w:r w:rsidRPr="00977E53">
              <w:rPr>
                <w:rFonts w:cs="Calibri"/>
                <w:color w:val="000000" w:themeColor="text1"/>
                <w:sz w:val="13"/>
                <w:szCs w:val="13"/>
              </w:rPr>
              <w:t>VaR CS</w:t>
            </w:r>
          </w:p>
        </w:tc>
        <w:tc>
          <w:tcPr>
            <w:tcW w:w="1071" w:type="dxa"/>
            <w:tcBorders>
              <w:top w:val="single" w:sz="4" w:space="0" w:color="0077BD"/>
              <w:left w:val="nil"/>
              <w:bottom w:val="single" w:sz="8" w:space="0" w:color="0077BD"/>
              <w:right w:val="single" w:sz="8" w:space="0" w:color="0077BD"/>
            </w:tcBorders>
            <w:shd w:val="clear" w:color="auto" w:fill="auto"/>
            <w:noWrap/>
            <w:vAlign w:val="center"/>
          </w:tcPr>
          <w:p w14:paraId="79DA6756" w14:textId="5878D302"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21 908</w:t>
            </w:r>
          </w:p>
        </w:tc>
        <w:tc>
          <w:tcPr>
            <w:tcW w:w="1071" w:type="dxa"/>
            <w:tcBorders>
              <w:top w:val="single" w:sz="4" w:space="0" w:color="0077BD"/>
              <w:left w:val="nil"/>
              <w:bottom w:val="single" w:sz="8" w:space="0" w:color="0077BD"/>
              <w:right w:val="single" w:sz="8" w:space="0" w:color="0077BD"/>
            </w:tcBorders>
            <w:shd w:val="clear" w:color="auto" w:fill="auto"/>
            <w:noWrap/>
            <w:vAlign w:val="center"/>
          </w:tcPr>
          <w:p w14:paraId="4ABB4D3F" w14:textId="2E43C89F"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21 927</w:t>
            </w:r>
          </w:p>
        </w:tc>
        <w:tc>
          <w:tcPr>
            <w:tcW w:w="1071" w:type="dxa"/>
            <w:tcBorders>
              <w:top w:val="single" w:sz="4" w:space="0" w:color="0077BD"/>
              <w:left w:val="nil"/>
              <w:bottom w:val="single" w:sz="8" w:space="0" w:color="0077BD"/>
              <w:right w:val="single" w:sz="8" w:space="0" w:color="0077BD"/>
            </w:tcBorders>
            <w:shd w:val="clear" w:color="auto" w:fill="auto"/>
            <w:noWrap/>
            <w:vAlign w:val="center"/>
          </w:tcPr>
          <w:p w14:paraId="0E8F3F3C" w14:textId="79744DE1"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20 989</w:t>
            </w:r>
          </w:p>
        </w:tc>
        <w:tc>
          <w:tcPr>
            <w:tcW w:w="1071" w:type="dxa"/>
            <w:tcBorders>
              <w:top w:val="single" w:sz="4" w:space="0" w:color="0077BD"/>
              <w:left w:val="nil"/>
              <w:bottom w:val="single" w:sz="8" w:space="0" w:color="0077BD"/>
              <w:right w:val="single" w:sz="8" w:space="0" w:color="0077BD"/>
            </w:tcBorders>
            <w:shd w:val="clear" w:color="auto" w:fill="auto"/>
            <w:noWrap/>
            <w:vAlign w:val="center"/>
          </w:tcPr>
          <w:p w14:paraId="28799001" w14:textId="7DDCB3EF"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21 241</w:t>
            </w:r>
          </w:p>
        </w:tc>
        <w:tc>
          <w:tcPr>
            <w:tcW w:w="1071" w:type="dxa"/>
            <w:tcBorders>
              <w:top w:val="single" w:sz="4" w:space="0" w:color="0077BD"/>
              <w:left w:val="nil"/>
              <w:bottom w:val="single" w:sz="8" w:space="0" w:color="0077BD"/>
              <w:right w:val="single" w:sz="8" w:space="0" w:color="0077BD"/>
            </w:tcBorders>
            <w:shd w:val="clear" w:color="auto" w:fill="auto"/>
            <w:noWrap/>
            <w:vAlign w:val="center"/>
            <w:hideMark/>
          </w:tcPr>
          <w:p w14:paraId="5A963A79" w14:textId="0A8FD2AC"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18 234</w:t>
            </w:r>
          </w:p>
        </w:tc>
        <w:tc>
          <w:tcPr>
            <w:tcW w:w="1071" w:type="dxa"/>
            <w:tcBorders>
              <w:top w:val="single" w:sz="4" w:space="0" w:color="0077BD"/>
              <w:left w:val="nil"/>
              <w:bottom w:val="single" w:sz="8" w:space="0" w:color="0077BD"/>
              <w:right w:val="single" w:sz="8" w:space="0" w:color="0077BD"/>
            </w:tcBorders>
            <w:shd w:val="clear" w:color="auto" w:fill="auto"/>
            <w:noWrap/>
            <w:vAlign w:val="center"/>
            <w:hideMark/>
          </w:tcPr>
          <w:p w14:paraId="504E1211" w14:textId="56061B4E"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13 674</w:t>
            </w:r>
          </w:p>
        </w:tc>
        <w:tc>
          <w:tcPr>
            <w:tcW w:w="1071" w:type="dxa"/>
            <w:tcBorders>
              <w:top w:val="single" w:sz="4" w:space="0" w:color="0077BD"/>
              <w:left w:val="nil"/>
              <w:bottom w:val="single" w:sz="8" w:space="0" w:color="0077BD"/>
              <w:right w:val="single" w:sz="8" w:space="0" w:color="0077BD"/>
            </w:tcBorders>
            <w:shd w:val="clear" w:color="auto" w:fill="auto"/>
            <w:noWrap/>
            <w:vAlign w:val="center"/>
            <w:hideMark/>
          </w:tcPr>
          <w:p w14:paraId="5E17F568" w14:textId="499E403C"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17 839</w:t>
            </w:r>
          </w:p>
        </w:tc>
        <w:tc>
          <w:tcPr>
            <w:tcW w:w="1071" w:type="dxa"/>
            <w:tcBorders>
              <w:top w:val="single" w:sz="4" w:space="0" w:color="0077BD"/>
              <w:left w:val="nil"/>
              <w:bottom w:val="single" w:sz="8" w:space="0" w:color="0077BD"/>
              <w:right w:val="nil"/>
            </w:tcBorders>
            <w:shd w:val="clear" w:color="auto" w:fill="auto"/>
            <w:noWrap/>
            <w:vAlign w:val="center"/>
            <w:hideMark/>
          </w:tcPr>
          <w:p w14:paraId="582E91D0" w14:textId="1292B8FC" w:rsidR="007A6E58" w:rsidRPr="00977E53" w:rsidRDefault="007A6E58" w:rsidP="007A6E58">
            <w:pPr>
              <w:jc w:val="right"/>
              <w:rPr>
                <w:rFonts w:cs="Calibri"/>
                <w:color w:val="000000" w:themeColor="text1"/>
                <w:sz w:val="13"/>
                <w:szCs w:val="13"/>
              </w:rPr>
            </w:pPr>
            <w:r w:rsidRPr="00977E53">
              <w:rPr>
                <w:rFonts w:cs="Calibri"/>
                <w:color w:val="000000" w:themeColor="text1"/>
                <w:sz w:val="13"/>
                <w:szCs w:val="13"/>
              </w:rPr>
              <w:t>13 255</w:t>
            </w:r>
          </w:p>
        </w:tc>
      </w:tr>
      <w:tr w:rsidR="00977E53" w:rsidRPr="00977E53" w14:paraId="257B6EE2" w14:textId="77777777" w:rsidTr="00343A7A">
        <w:trPr>
          <w:trHeight w:val="284"/>
        </w:trPr>
        <w:tc>
          <w:tcPr>
            <w:tcW w:w="1071" w:type="dxa"/>
            <w:tcBorders>
              <w:top w:val="nil"/>
              <w:left w:val="nil"/>
              <w:bottom w:val="single" w:sz="8" w:space="0" w:color="0077BD"/>
              <w:right w:val="single" w:sz="8" w:space="0" w:color="0077BD"/>
            </w:tcBorders>
            <w:shd w:val="clear" w:color="auto" w:fill="auto"/>
            <w:noWrap/>
            <w:vAlign w:val="center"/>
            <w:hideMark/>
          </w:tcPr>
          <w:p w14:paraId="50EA9A47" w14:textId="77777777" w:rsidR="007A6E58" w:rsidRPr="00977E53" w:rsidRDefault="007A6E58" w:rsidP="007A6E58">
            <w:pPr>
              <w:rPr>
                <w:rFonts w:cs="Calibri"/>
                <w:b/>
                <w:bCs/>
                <w:color w:val="000000" w:themeColor="text1"/>
                <w:sz w:val="13"/>
                <w:szCs w:val="13"/>
              </w:rPr>
            </w:pPr>
            <w:r w:rsidRPr="00977E53">
              <w:rPr>
                <w:rFonts w:cs="Calibri"/>
                <w:b/>
                <w:bCs/>
                <w:color w:val="000000" w:themeColor="text1"/>
                <w:sz w:val="13"/>
                <w:szCs w:val="13"/>
              </w:rPr>
              <w:t>VaR</w:t>
            </w:r>
          </w:p>
        </w:tc>
        <w:tc>
          <w:tcPr>
            <w:tcW w:w="1071" w:type="dxa"/>
            <w:tcBorders>
              <w:top w:val="nil"/>
              <w:left w:val="nil"/>
              <w:bottom w:val="single" w:sz="8" w:space="0" w:color="0077BD"/>
              <w:right w:val="single" w:sz="8" w:space="0" w:color="0077BD"/>
            </w:tcBorders>
            <w:shd w:val="clear" w:color="auto" w:fill="auto"/>
            <w:noWrap/>
            <w:vAlign w:val="center"/>
          </w:tcPr>
          <w:p w14:paraId="532D7088" w14:textId="21CF5817"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22 494</w:t>
            </w:r>
          </w:p>
        </w:tc>
        <w:tc>
          <w:tcPr>
            <w:tcW w:w="1071" w:type="dxa"/>
            <w:tcBorders>
              <w:top w:val="nil"/>
              <w:left w:val="nil"/>
              <w:bottom w:val="single" w:sz="8" w:space="0" w:color="0077BD"/>
              <w:right w:val="single" w:sz="8" w:space="0" w:color="0077BD"/>
            </w:tcBorders>
            <w:shd w:val="clear" w:color="auto" w:fill="auto"/>
            <w:noWrap/>
            <w:vAlign w:val="center"/>
          </w:tcPr>
          <w:p w14:paraId="1142E9FA" w14:textId="2A733B34"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21 999</w:t>
            </w:r>
          </w:p>
        </w:tc>
        <w:tc>
          <w:tcPr>
            <w:tcW w:w="1071" w:type="dxa"/>
            <w:tcBorders>
              <w:top w:val="nil"/>
              <w:left w:val="nil"/>
              <w:bottom w:val="single" w:sz="8" w:space="0" w:color="0077BD"/>
              <w:right w:val="single" w:sz="8" w:space="0" w:color="0077BD"/>
            </w:tcBorders>
            <w:shd w:val="clear" w:color="auto" w:fill="auto"/>
            <w:noWrap/>
            <w:vAlign w:val="center"/>
          </w:tcPr>
          <w:p w14:paraId="4F16C3C2" w14:textId="21B3135B"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21 978</w:t>
            </w:r>
          </w:p>
        </w:tc>
        <w:tc>
          <w:tcPr>
            <w:tcW w:w="1071" w:type="dxa"/>
            <w:tcBorders>
              <w:top w:val="nil"/>
              <w:left w:val="nil"/>
              <w:bottom w:val="single" w:sz="8" w:space="0" w:color="0077BD"/>
              <w:right w:val="single" w:sz="8" w:space="0" w:color="0077BD"/>
            </w:tcBorders>
            <w:shd w:val="clear" w:color="auto" w:fill="auto"/>
            <w:noWrap/>
            <w:vAlign w:val="center"/>
          </w:tcPr>
          <w:p w14:paraId="3760BC33" w14:textId="6DFA5F40"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21 344</w:t>
            </w:r>
          </w:p>
        </w:tc>
        <w:tc>
          <w:tcPr>
            <w:tcW w:w="1071" w:type="dxa"/>
            <w:tcBorders>
              <w:top w:val="nil"/>
              <w:left w:val="nil"/>
              <w:bottom w:val="single" w:sz="8" w:space="0" w:color="0077BD"/>
              <w:right w:val="single" w:sz="8" w:space="0" w:color="0077BD"/>
            </w:tcBorders>
            <w:shd w:val="clear" w:color="auto" w:fill="auto"/>
            <w:noWrap/>
            <w:vAlign w:val="center"/>
            <w:hideMark/>
          </w:tcPr>
          <w:p w14:paraId="1520B863" w14:textId="5CBA253D"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18 155</w:t>
            </w:r>
          </w:p>
        </w:tc>
        <w:tc>
          <w:tcPr>
            <w:tcW w:w="1071" w:type="dxa"/>
            <w:tcBorders>
              <w:top w:val="nil"/>
              <w:left w:val="nil"/>
              <w:bottom w:val="single" w:sz="8" w:space="0" w:color="0077BD"/>
              <w:right w:val="single" w:sz="8" w:space="0" w:color="0077BD"/>
            </w:tcBorders>
            <w:shd w:val="clear" w:color="auto" w:fill="auto"/>
            <w:noWrap/>
            <w:vAlign w:val="center"/>
            <w:hideMark/>
          </w:tcPr>
          <w:p w14:paraId="234E68DC" w14:textId="0CBD3E99"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13 768</w:t>
            </w:r>
          </w:p>
        </w:tc>
        <w:tc>
          <w:tcPr>
            <w:tcW w:w="1071" w:type="dxa"/>
            <w:tcBorders>
              <w:top w:val="nil"/>
              <w:left w:val="nil"/>
              <w:bottom w:val="single" w:sz="8" w:space="0" w:color="0077BD"/>
              <w:right w:val="single" w:sz="8" w:space="0" w:color="0077BD"/>
            </w:tcBorders>
            <w:shd w:val="clear" w:color="auto" w:fill="auto"/>
            <w:noWrap/>
            <w:vAlign w:val="center"/>
            <w:hideMark/>
          </w:tcPr>
          <w:p w14:paraId="121990EC" w14:textId="39EC0000"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17 776</w:t>
            </w:r>
          </w:p>
        </w:tc>
        <w:tc>
          <w:tcPr>
            <w:tcW w:w="1071" w:type="dxa"/>
            <w:tcBorders>
              <w:top w:val="nil"/>
              <w:left w:val="nil"/>
              <w:bottom w:val="single" w:sz="8" w:space="0" w:color="0077BD"/>
              <w:right w:val="nil"/>
            </w:tcBorders>
            <w:shd w:val="clear" w:color="auto" w:fill="auto"/>
            <w:noWrap/>
            <w:vAlign w:val="center"/>
            <w:hideMark/>
          </w:tcPr>
          <w:p w14:paraId="79D96EC5" w14:textId="0E9050D0"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13 436</w:t>
            </w:r>
          </w:p>
        </w:tc>
      </w:tr>
      <w:tr w:rsidR="007A6E58" w:rsidRPr="00977E53" w14:paraId="0639C484" w14:textId="77777777" w:rsidTr="00343A7A">
        <w:trPr>
          <w:trHeight w:val="284"/>
        </w:trPr>
        <w:tc>
          <w:tcPr>
            <w:tcW w:w="1071" w:type="dxa"/>
            <w:tcBorders>
              <w:top w:val="nil"/>
              <w:left w:val="nil"/>
              <w:bottom w:val="single" w:sz="8" w:space="0" w:color="0077BD"/>
              <w:right w:val="single" w:sz="8" w:space="0" w:color="0077BD"/>
            </w:tcBorders>
            <w:shd w:val="clear" w:color="auto" w:fill="auto"/>
            <w:noWrap/>
            <w:vAlign w:val="center"/>
            <w:hideMark/>
          </w:tcPr>
          <w:p w14:paraId="0B599C90" w14:textId="77777777" w:rsidR="007A6E58" w:rsidRPr="00977E53" w:rsidRDefault="007A6E58" w:rsidP="007A6E58">
            <w:pPr>
              <w:rPr>
                <w:rFonts w:cs="Calibri"/>
                <w:b/>
                <w:bCs/>
                <w:color w:val="000000" w:themeColor="text1"/>
                <w:sz w:val="13"/>
                <w:szCs w:val="13"/>
              </w:rPr>
            </w:pPr>
            <w:r w:rsidRPr="00977E53">
              <w:rPr>
                <w:rFonts w:cs="Calibri"/>
                <w:b/>
                <w:bCs/>
                <w:color w:val="000000" w:themeColor="text1"/>
                <w:sz w:val="13"/>
                <w:szCs w:val="13"/>
              </w:rPr>
              <w:t>Stressed VaR</w:t>
            </w:r>
          </w:p>
        </w:tc>
        <w:tc>
          <w:tcPr>
            <w:tcW w:w="1071" w:type="dxa"/>
            <w:tcBorders>
              <w:top w:val="nil"/>
              <w:left w:val="nil"/>
              <w:bottom w:val="single" w:sz="8" w:space="0" w:color="0077BD"/>
              <w:right w:val="single" w:sz="8" w:space="0" w:color="0077BD"/>
            </w:tcBorders>
            <w:shd w:val="clear" w:color="auto" w:fill="auto"/>
            <w:noWrap/>
            <w:vAlign w:val="center"/>
          </w:tcPr>
          <w:p w14:paraId="07D7E63B" w14:textId="5178FDE0"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97 073</w:t>
            </w:r>
          </w:p>
        </w:tc>
        <w:tc>
          <w:tcPr>
            <w:tcW w:w="1071" w:type="dxa"/>
            <w:tcBorders>
              <w:top w:val="nil"/>
              <w:left w:val="nil"/>
              <w:bottom w:val="single" w:sz="8" w:space="0" w:color="0077BD"/>
              <w:right w:val="single" w:sz="8" w:space="0" w:color="0077BD"/>
            </w:tcBorders>
            <w:shd w:val="clear" w:color="auto" w:fill="auto"/>
            <w:noWrap/>
            <w:vAlign w:val="center"/>
          </w:tcPr>
          <w:p w14:paraId="00A81578" w14:textId="29B04AB3"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108 369</w:t>
            </w:r>
          </w:p>
        </w:tc>
        <w:tc>
          <w:tcPr>
            <w:tcW w:w="1071" w:type="dxa"/>
            <w:tcBorders>
              <w:top w:val="nil"/>
              <w:left w:val="nil"/>
              <w:bottom w:val="single" w:sz="8" w:space="0" w:color="0077BD"/>
              <w:right w:val="single" w:sz="8" w:space="0" w:color="0077BD"/>
            </w:tcBorders>
            <w:shd w:val="clear" w:color="auto" w:fill="auto"/>
            <w:noWrap/>
            <w:vAlign w:val="center"/>
          </w:tcPr>
          <w:p w14:paraId="4B4C3A44" w14:textId="6B2E8413"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94 229</w:t>
            </w:r>
          </w:p>
        </w:tc>
        <w:tc>
          <w:tcPr>
            <w:tcW w:w="1071" w:type="dxa"/>
            <w:tcBorders>
              <w:top w:val="nil"/>
              <w:left w:val="nil"/>
              <w:bottom w:val="single" w:sz="8" w:space="0" w:color="0077BD"/>
              <w:right w:val="single" w:sz="8" w:space="0" w:color="0077BD"/>
            </w:tcBorders>
            <w:shd w:val="clear" w:color="auto" w:fill="auto"/>
            <w:noWrap/>
            <w:vAlign w:val="center"/>
          </w:tcPr>
          <w:p w14:paraId="466419D9" w14:textId="728DBEF1" w:rsidR="007A6E58" w:rsidRPr="00977E53" w:rsidRDefault="007A6E58" w:rsidP="007A6E58">
            <w:pPr>
              <w:jc w:val="right"/>
              <w:rPr>
                <w:rFonts w:cs="Calibri"/>
                <w:b/>
                <w:bCs/>
                <w:color w:val="000000" w:themeColor="text1"/>
                <w:sz w:val="13"/>
                <w:szCs w:val="13"/>
              </w:rPr>
            </w:pPr>
            <w:r w:rsidRPr="00977E53">
              <w:rPr>
                <w:rFonts w:cs="Calibri"/>
                <w:b/>
                <w:bCs/>
                <w:color w:val="000000" w:themeColor="text1"/>
                <w:sz w:val="13"/>
                <w:szCs w:val="13"/>
              </w:rPr>
              <w:t>104 269</w:t>
            </w:r>
          </w:p>
        </w:tc>
        <w:tc>
          <w:tcPr>
            <w:tcW w:w="1071" w:type="dxa"/>
            <w:tcBorders>
              <w:top w:val="nil"/>
              <w:left w:val="nil"/>
              <w:bottom w:val="single" w:sz="8" w:space="0" w:color="0077BD"/>
              <w:right w:val="single" w:sz="8" w:space="0" w:color="0077BD"/>
            </w:tcBorders>
            <w:shd w:val="clear" w:color="auto" w:fill="auto"/>
            <w:noWrap/>
            <w:vAlign w:val="center"/>
            <w:hideMark/>
          </w:tcPr>
          <w:p w14:paraId="0940624B" w14:textId="1BC6188E"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106 235</w:t>
            </w:r>
          </w:p>
        </w:tc>
        <w:tc>
          <w:tcPr>
            <w:tcW w:w="1071" w:type="dxa"/>
            <w:tcBorders>
              <w:top w:val="nil"/>
              <w:left w:val="nil"/>
              <w:bottom w:val="single" w:sz="8" w:space="0" w:color="0077BD"/>
              <w:right w:val="single" w:sz="8" w:space="0" w:color="0077BD"/>
            </w:tcBorders>
            <w:shd w:val="clear" w:color="auto" w:fill="auto"/>
            <w:noWrap/>
            <w:vAlign w:val="center"/>
            <w:hideMark/>
          </w:tcPr>
          <w:p w14:paraId="06077D2A" w14:textId="7C9EA84B"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93 723</w:t>
            </w:r>
          </w:p>
        </w:tc>
        <w:tc>
          <w:tcPr>
            <w:tcW w:w="1071" w:type="dxa"/>
            <w:tcBorders>
              <w:top w:val="nil"/>
              <w:left w:val="nil"/>
              <w:bottom w:val="single" w:sz="8" w:space="0" w:color="0077BD"/>
              <w:right w:val="single" w:sz="8" w:space="0" w:color="0077BD"/>
            </w:tcBorders>
            <w:shd w:val="clear" w:color="auto" w:fill="auto"/>
            <w:noWrap/>
            <w:vAlign w:val="center"/>
            <w:hideMark/>
          </w:tcPr>
          <w:p w14:paraId="68596449" w14:textId="5E747FDF"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104 743</w:t>
            </w:r>
          </w:p>
        </w:tc>
        <w:tc>
          <w:tcPr>
            <w:tcW w:w="1071" w:type="dxa"/>
            <w:tcBorders>
              <w:top w:val="nil"/>
              <w:left w:val="nil"/>
              <w:bottom w:val="single" w:sz="8" w:space="0" w:color="0077BD"/>
              <w:right w:val="nil"/>
            </w:tcBorders>
            <w:shd w:val="clear" w:color="auto" w:fill="auto"/>
            <w:noWrap/>
            <w:vAlign w:val="center"/>
            <w:hideMark/>
          </w:tcPr>
          <w:p w14:paraId="48692EEB" w14:textId="464BDC7D" w:rsidR="007A6E58" w:rsidRPr="00977E53" w:rsidRDefault="007A6E58" w:rsidP="007A6E58">
            <w:pPr>
              <w:jc w:val="right"/>
              <w:rPr>
                <w:rFonts w:cs="Calibri"/>
                <w:b/>
                <w:bCs/>
                <w:color w:val="000000" w:themeColor="text1"/>
                <w:sz w:val="13"/>
                <w:szCs w:val="13"/>
              </w:rPr>
            </w:pPr>
            <w:r w:rsidRPr="00977E53">
              <w:rPr>
                <w:rFonts w:cs="Calibri"/>
                <w:b/>
                <w:color w:val="000000" w:themeColor="text1"/>
                <w:sz w:val="13"/>
                <w:szCs w:val="13"/>
              </w:rPr>
              <w:t>90 316</w:t>
            </w:r>
          </w:p>
        </w:tc>
      </w:tr>
    </w:tbl>
    <w:p w14:paraId="6330A8F7" w14:textId="77777777" w:rsidR="007A6E58" w:rsidRPr="00977E53" w:rsidRDefault="007A6E58" w:rsidP="007A6E58">
      <w:pPr>
        <w:autoSpaceDE w:val="0"/>
        <w:autoSpaceDN w:val="0"/>
        <w:adjustRightInd w:val="0"/>
        <w:rPr>
          <w:rFonts w:eastAsia="Calibri" w:cs="Verdana"/>
          <w:color w:val="000000" w:themeColor="text1"/>
          <w:sz w:val="12"/>
          <w:szCs w:val="12"/>
        </w:rPr>
      </w:pPr>
    </w:p>
    <w:p w14:paraId="2202DAD9" w14:textId="3BDB3297" w:rsidR="007A6E58" w:rsidRPr="00977E53" w:rsidRDefault="007A6E58" w:rsidP="007A6E58">
      <w:pPr>
        <w:autoSpaceDE w:val="0"/>
        <w:autoSpaceDN w:val="0"/>
        <w:adjustRightInd w:val="0"/>
        <w:rPr>
          <w:rFonts w:eastAsia="Calibri" w:cs="Verdana"/>
          <w:color w:val="000000" w:themeColor="text1"/>
          <w:szCs w:val="16"/>
        </w:rPr>
      </w:pPr>
      <w:r w:rsidRPr="00977E53">
        <w:rPr>
          <w:rFonts w:eastAsia="Calibri" w:cs="Verdana"/>
          <w:color w:val="000000" w:themeColor="text1"/>
          <w:szCs w:val="16"/>
        </w:rPr>
        <w:t xml:space="preserve">VaR IR – ryzyko stopy procentowej (bez wyodrębnionego spreadu kredytowego) </w:t>
      </w:r>
    </w:p>
    <w:p w14:paraId="62927EB0" w14:textId="77777777" w:rsidR="007A6E58" w:rsidRPr="00977E53" w:rsidRDefault="007A6E58" w:rsidP="007A6E58">
      <w:pPr>
        <w:autoSpaceDE w:val="0"/>
        <w:autoSpaceDN w:val="0"/>
        <w:adjustRightInd w:val="0"/>
        <w:rPr>
          <w:rFonts w:eastAsia="Calibri" w:cs="Verdana"/>
          <w:color w:val="000000" w:themeColor="text1"/>
          <w:szCs w:val="16"/>
        </w:rPr>
      </w:pPr>
      <w:r w:rsidRPr="00977E53">
        <w:rPr>
          <w:rFonts w:eastAsia="Calibri" w:cs="Verdana"/>
          <w:color w:val="000000" w:themeColor="text1"/>
          <w:szCs w:val="16"/>
        </w:rPr>
        <w:t xml:space="preserve">VaR FX - ryzyko walutowe </w:t>
      </w:r>
    </w:p>
    <w:p w14:paraId="29130732" w14:textId="77777777" w:rsidR="007A6E58" w:rsidRPr="00977E53" w:rsidRDefault="007A6E58" w:rsidP="007A6E58">
      <w:pPr>
        <w:autoSpaceDE w:val="0"/>
        <w:autoSpaceDN w:val="0"/>
        <w:adjustRightInd w:val="0"/>
        <w:rPr>
          <w:rFonts w:eastAsia="Calibri" w:cs="Verdana"/>
          <w:color w:val="000000" w:themeColor="text1"/>
          <w:szCs w:val="16"/>
        </w:rPr>
      </w:pPr>
      <w:r w:rsidRPr="00977E53">
        <w:rPr>
          <w:rFonts w:eastAsia="Calibri" w:cs="Verdana"/>
          <w:color w:val="000000" w:themeColor="text1"/>
          <w:szCs w:val="16"/>
        </w:rPr>
        <w:t xml:space="preserve">VaR EQ – ryzyko akcyjne </w:t>
      </w:r>
    </w:p>
    <w:p w14:paraId="5A07DA29" w14:textId="77777777" w:rsidR="007A6E58" w:rsidRPr="00977E53" w:rsidRDefault="007A6E58" w:rsidP="007A6E58">
      <w:pPr>
        <w:autoSpaceDE w:val="0"/>
        <w:autoSpaceDN w:val="0"/>
        <w:adjustRightInd w:val="0"/>
        <w:rPr>
          <w:rFonts w:eastAsia="Calibri" w:cs="Verdana"/>
          <w:color w:val="000000" w:themeColor="text1"/>
          <w:szCs w:val="16"/>
        </w:rPr>
      </w:pPr>
      <w:r w:rsidRPr="00977E53">
        <w:rPr>
          <w:rFonts w:eastAsia="Calibri" w:cs="Verdana"/>
          <w:color w:val="000000" w:themeColor="text1"/>
          <w:szCs w:val="16"/>
        </w:rPr>
        <w:t>VaR CS – ryzyko spreadu kredytowego</w:t>
      </w:r>
    </w:p>
    <w:p w14:paraId="29002CDC" w14:textId="6C7F7C11" w:rsidR="00020DE3" w:rsidRDefault="00020DE3" w:rsidP="007A6E58">
      <w:pPr>
        <w:suppressAutoHyphens/>
        <w:spacing w:before="120"/>
        <w:jc w:val="both"/>
        <w:rPr>
          <w:rFonts w:eastAsia="Calibri" w:cs="Verdana"/>
          <w:color w:val="000000" w:themeColor="text1"/>
          <w:sz w:val="18"/>
          <w:szCs w:val="18"/>
        </w:rPr>
      </w:pPr>
      <w:r w:rsidRPr="00020DE3">
        <w:rPr>
          <w:rFonts w:eastAsia="Calibri" w:cs="Verdana"/>
          <w:color w:val="000000" w:themeColor="text1"/>
          <w:sz w:val="18"/>
          <w:szCs w:val="18"/>
        </w:rPr>
        <w:t xml:space="preserve">Wyniki pomiaru prezentują ujęcie z uwzględnieniem modelowania stabilnych części kapitału i rachunków bieżących, niewrażliwych na zmiany stóp procentowych. </w:t>
      </w:r>
      <w:r>
        <w:rPr>
          <w:rFonts w:eastAsia="Calibri" w:cs="Verdana"/>
          <w:color w:val="000000" w:themeColor="text1"/>
          <w:sz w:val="18"/>
          <w:szCs w:val="18"/>
        </w:rPr>
        <w:t xml:space="preserve">W 2019 roku </w:t>
      </w:r>
      <w:r w:rsidR="00E349DD">
        <w:rPr>
          <w:rFonts w:eastAsia="Calibri" w:cs="Verdana"/>
          <w:color w:val="000000" w:themeColor="text1"/>
          <w:sz w:val="18"/>
          <w:szCs w:val="18"/>
        </w:rPr>
        <w:t>n</w:t>
      </w:r>
      <w:r>
        <w:rPr>
          <w:rFonts w:eastAsia="Calibri" w:cs="Verdana"/>
          <w:color w:val="000000" w:themeColor="text1"/>
          <w:sz w:val="18"/>
          <w:szCs w:val="18"/>
        </w:rPr>
        <w:t>a</w:t>
      </w:r>
      <w:r w:rsidRPr="00020DE3">
        <w:rPr>
          <w:rFonts w:eastAsia="Calibri" w:cs="Verdana"/>
          <w:color w:val="000000" w:themeColor="text1"/>
          <w:sz w:val="18"/>
          <w:szCs w:val="18"/>
        </w:rPr>
        <w:t>stąpiła zmiana w</w:t>
      </w:r>
      <w:r>
        <w:rPr>
          <w:rFonts w:eastAsia="Calibri" w:cs="Verdana"/>
          <w:color w:val="000000" w:themeColor="text1"/>
          <w:sz w:val="18"/>
          <w:szCs w:val="18"/>
        </w:rPr>
        <w:t xml:space="preserve"> prezentacji w porównaniu do </w:t>
      </w:r>
      <w:r w:rsidRPr="00020DE3">
        <w:rPr>
          <w:rFonts w:eastAsia="Calibri" w:cs="Verdana"/>
          <w:color w:val="000000" w:themeColor="text1"/>
          <w:sz w:val="18"/>
          <w:szCs w:val="18"/>
        </w:rPr>
        <w:t>2018</w:t>
      </w:r>
      <w:r>
        <w:rPr>
          <w:rFonts w:eastAsia="Calibri" w:cs="Verdana"/>
          <w:color w:val="000000" w:themeColor="text1"/>
          <w:sz w:val="18"/>
          <w:szCs w:val="18"/>
        </w:rPr>
        <w:t xml:space="preserve"> roku, w którym wartości były podane</w:t>
      </w:r>
      <w:r w:rsidRPr="00020DE3">
        <w:rPr>
          <w:rFonts w:eastAsia="Calibri" w:cs="Verdana"/>
          <w:color w:val="000000" w:themeColor="text1"/>
          <w:sz w:val="18"/>
          <w:szCs w:val="18"/>
        </w:rPr>
        <w:t xml:space="preserve"> bez uwzględnienia </w:t>
      </w:r>
      <w:r>
        <w:rPr>
          <w:rFonts w:eastAsia="Calibri" w:cs="Verdana"/>
          <w:color w:val="000000" w:themeColor="text1"/>
          <w:sz w:val="18"/>
          <w:szCs w:val="18"/>
        </w:rPr>
        <w:t xml:space="preserve">powyższego </w:t>
      </w:r>
      <w:r w:rsidRPr="00020DE3">
        <w:rPr>
          <w:rFonts w:eastAsia="Calibri" w:cs="Verdana"/>
          <w:color w:val="000000" w:themeColor="text1"/>
          <w:sz w:val="18"/>
          <w:szCs w:val="18"/>
        </w:rPr>
        <w:t>modelowania</w:t>
      </w:r>
      <w:r>
        <w:rPr>
          <w:rFonts w:eastAsia="Calibri" w:cs="Verdana"/>
          <w:color w:val="000000" w:themeColor="text1"/>
          <w:sz w:val="18"/>
          <w:szCs w:val="18"/>
        </w:rPr>
        <w:t>.</w:t>
      </w:r>
    </w:p>
    <w:p w14:paraId="64862A08" w14:textId="1CF2586E" w:rsidR="007A6E58" w:rsidRPr="00977E53" w:rsidRDefault="007A6E58" w:rsidP="00C57787">
      <w:pPr>
        <w:suppressAutoHyphens/>
        <w:spacing w:before="120" w:after="120"/>
        <w:jc w:val="both"/>
        <w:rPr>
          <w:rFonts w:eastAsia="Calibri" w:cs="Verdana"/>
          <w:color w:val="000000" w:themeColor="text1"/>
          <w:sz w:val="18"/>
          <w:szCs w:val="18"/>
        </w:rPr>
      </w:pPr>
      <w:r w:rsidRPr="00977E53">
        <w:rPr>
          <w:rFonts w:eastAsia="Calibri" w:cs="Verdana"/>
          <w:color w:val="000000" w:themeColor="text1"/>
          <w:sz w:val="18"/>
          <w:szCs w:val="18"/>
        </w:rPr>
        <w:t>Na poziom wartości zagrożonej (VaR) miały wpływ w przeważającej mierze portfele instrumentów wrażliwych na stopę procentową oraz na wyodrębniony spread kredytowy - głównie portfele skarbowych papierów dłużnych (na księdze bankowej i handlowej) oraz pozycje wynikające z transakcji wymiany stóp procentowych</w:t>
      </w:r>
      <w:r w:rsidR="007037B2">
        <w:rPr>
          <w:rFonts w:eastAsia="Calibri" w:cs="Verdana"/>
          <w:color w:val="000000" w:themeColor="text1"/>
          <w:sz w:val="18"/>
          <w:szCs w:val="18"/>
        </w:rPr>
        <w:t>.</w:t>
      </w:r>
    </w:p>
    <w:p w14:paraId="277157F5" w14:textId="54E7A276" w:rsidR="008318EE" w:rsidRPr="00977E53" w:rsidRDefault="008318EE" w:rsidP="00C57787">
      <w:pPr>
        <w:autoSpaceDE w:val="0"/>
        <w:autoSpaceDN w:val="0"/>
        <w:adjustRightInd w:val="0"/>
        <w:spacing w:before="120" w:after="120"/>
        <w:jc w:val="both"/>
        <w:rPr>
          <w:rFonts w:eastAsia="Calibri" w:cs="Verdana"/>
          <w:b/>
          <w:bCs/>
          <w:color w:val="000000" w:themeColor="text1"/>
          <w:sz w:val="18"/>
          <w:szCs w:val="18"/>
        </w:rPr>
      </w:pPr>
      <w:r w:rsidRPr="00977E53">
        <w:rPr>
          <w:rFonts w:eastAsia="Calibri" w:cs="Verdana"/>
          <w:b/>
          <w:bCs/>
          <w:color w:val="000000" w:themeColor="text1"/>
          <w:sz w:val="18"/>
          <w:szCs w:val="18"/>
        </w:rPr>
        <w:t xml:space="preserve">Miary wrażliwości </w:t>
      </w:r>
    </w:p>
    <w:p w14:paraId="42481943" w14:textId="237F2427" w:rsidR="008318EE" w:rsidRPr="00977E53" w:rsidRDefault="006E05BD" w:rsidP="00CA5402">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W tabeli przedstawione zostały wartości IR BPV i CS BPV (+1 p.b.) dla portfela Grupy i mBanku w podziale na księgę bankową i handlową</w:t>
      </w:r>
      <w:r w:rsidR="008318EE" w:rsidRPr="00977E53">
        <w:rPr>
          <w:rFonts w:eastAsia="Calibri" w:cs="Verdana"/>
          <w:color w:val="000000" w:themeColor="text1"/>
          <w:sz w:val="18"/>
          <w:szCs w:val="18"/>
        </w:rPr>
        <w:t>:</w:t>
      </w:r>
    </w:p>
    <w:tbl>
      <w:tblPr>
        <w:tblW w:w="9597" w:type="dxa"/>
        <w:tblLayout w:type="fixed"/>
        <w:tblCellMar>
          <w:left w:w="0" w:type="dxa"/>
          <w:right w:w="0" w:type="dxa"/>
        </w:tblCellMar>
        <w:tblLook w:val="04A0" w:firstRow="1" w:lastRow="0" w:firstColumn="1" w:lastColumn="0" w:noHBand="0" w:noVBand="1"/>
      </w:tblPr>
      <w:tblGrid>
        <w:gridCol w:w="1141"/>
        <w:gridCol w:w="1057"/>
        <w:gridCol w:w="1057"/>
        <w:gridCol w:w="1057"/>
        <w:gridCol w:w="1057"/>
        <w:gridCol w:w="1057"/>
        <w:gridCol w:w="1057"/>
        <w:gridCol w:w="1057"/>
        <w:gridCol w:w="1057"/>
      </w:tblGrid>
      <w:tr w:rsidR="00B65EAB" w:rsidRPr="006A50EB" w14:paraId="43E7E0D2" w14:textId="77777777" w:rsidTr="003F286B">
        <w:trPr>
          <w:trHeight w:val="284"/>
        </w:trPr>
        <w:tc>
          <w:tcPr>
            <w:tcW w:w="1141" w:type="dxa"/>
            <w:vMerge w:val="restart"/>
            <w:tcBorders>
              <w:top w:val="single" w:sz="8" w:space="0" w:color="FFFFFF"/>
              <w:left w:val="nil"/>
              <w:bottom w:val="single" w:sz="8" w:space="0" w:color="FFFFFF"/>
              <w:right w:val="single" w:sz="6" w:space="0" w:color="FFFFFF"/>
            </w:tcBorders>
            <w:shd w:val="clear" w:color="000000" w:fill="0077BD"/>
            <w:vAlign w:val="center"/>
            <w:hideMark/>
          </w:tcPr>
          <w:p w14:paraId="3FAAC1A0" w14:textId="77777777" w:rsidR="006A50EB" w:rsidRPr="006A50EB" w:rsidRDefault="006A50EB" w:rsidP="006A50EB">
            <w:pPr>
              <w:rPr>
                <w:rFonts w:cs="Calibri"/>
                <w:b/>
                <w:bCs/>
                <w:color w:val="FFFFFF"/>
                <w:sz w:val="13"/>
                <w:szCs w:val="13"/>
              </w:rPr>
            </w:pPr>
            <w:r w:rsidRPr="006A50EB">
              <w:rPr>
                <w:rFonts w:cs="Calibri"/>
                <w:b/>
                <w:bCs/>
                <w:color w:val="FFFFFF"/>
                <w:sz w:val="13"/>
                <w:szCs w:val="13"/>
              </w:rPr>
              <w:t>mln zł</w:t>
            </w:r>
          </w:p>
        </w:tc>
        <w:tc>
          <w:tcPr>
            <w:tcW w:w="4228" w:type="dxa"/>
            <w:gridSpan w:val="4"/>
            <w:tcBorders>
              <w:top w:val="single" w:sz="8" w:space="0" w:color="FFFFFF"/>
              <w:left w:val="single" w:sz="6" w:space="0" w:color="FFFFFF"/>
              <w:bottom w:val="single" w:sz="4" w:space="0" w:color="FFFFFF"/>
              <w:right w:val="single" w:sz="8" w:space="0" w:color="FFFFFF"/>
            </w:tcBorders>
            <w:shd w:val="clear" w:color="000000" w:fill="0077BD"/>
            <w:vAlign w:val="center"/>
            <w:hideMark/>
          </w:tcPr>
          <w:p w14:paraId="14D2E80D" w14:textId="764C02ED" w:rsidR="006A50EB" w:rsidRPr="006A50EB" w:rsidRDefault="00361C66" w:rsidP="006A50EB">
            <w:pPr>
              <w:jc w:val="center"/>
              <w:rPr>
                <w:rFonts w:cs="Calibri"/>
                <w:b/>
                <w:bCs/>
                <w:color w:val="FFFFFF"/>
                <w:sz w:val="13"/>
                <w:szCs w:val="13"/>
              </w:rPr>
            </w:pPr>
            <w:r>
              <w:rPr>
                <w:rFonts w:cs="Calibri"/>
                <w:b/>
                <w:bCs/>
                <w:color w:val="FFFFFF"/>
                <w:sz w:val="13"/>
                <w:szCs w:val="13"/>
              </w:rPr>
              <w:t>IR BPV</w:t>
            </w:r>
          </w:p>
        </w:tc>
        <w:tc>
          <w:tcPr>
            <w:tcW w:w="4228" w:type="dxa"/>
            <w:gridSpan w:val="4"/>
            <w:tcBorders>
              <w:top w:val="single" w:sz="8" w:space="0" w:color="FFFFFF"/>
              <w:left w:val="nil"/>
              <w:bottom w:val="single" w:sz="4" w:space="0" w:color="FFFFFF"/>
            </w:tcBorders>
            <w:shd w:val="clear" w:color="000000" w:fill="0077BD"/>
            <w:vAlign w:val="center"/>
            <w:hideMark/>
          </w:tcPr>
          <w:p w14:paraId="7A1CF4CA" w14:textId="4EF1754C" w:rsidR="006A50EB" w:rsidRPr="006A50EB" w:rsidRDefault="00361C66" w:rsidP="006A50EB">
            <w:pPr>
              <w:jc w:val="center"/>
              <w:rPr>
                <w:rFonts w:cs="Calibri"/>
                <w:b/>
                <w:bCs/>
                <w:color w:val="FFFFFF"/>
                <w:sz w:val="13"/>
                <w:szCs w:val="13"/>
              </w:rPr>
            </w:pPr>
            <w:r>
              <w:rPr>
                <w:rFonts w:cs="Calibri"/>
                <w:b/>
                <w:bCs/>
                <w:color w:val="FFFFFF"/>
                <w:sz w:val="13"/>
                <w:szCs w:val="13"/>
              </w:rPr>
              <w:t>CS BPV</w:t>
            </w:r>
          </w:p>
        </w:tc>
      </w:tr>
      <w:tr w:rsidR="00B65EAB" w:rsidRPr="006A50EB" w14:paraId="6E816BB5" w14:textId="77777777" w:rsidTr="003F286B">
        <w:trPr>
          <w:trHeight w:val="284"/>
        </w:trPr>
        <w:tc>
          <w:tcPr>
            <w:tcW w:w="1141" w:type="dxa"/>
            <w:vMerge/>
            <w:tcBorders>
              <w:top w:val="single" w:sz="8" w:space="0" w:color="FFFFFF"/>
              <w:left w:val="nil"/>
              <w:bottom w:val="single" w:sz="8" w:space="0" w:color="FFFFFF"/>
              <w:right w:val="single" w:sz="6" w:space="0" w:color="FFFFFF"/>
            </w:tcBorders>
            <w:vAlign w:val="center"/>
            <w:hideMark/>
          </w:tcPr>
          <w:p w14:paraId="31A8A072" w14:textId="77777777" w:rsidR="006A50EB" w:rsidRPr="006A50EB" w:rsidRDefault="006A50EB" w:rsidP="006A50EB">
            <w:pPr>
              <w:rPr>
                <w:rFonts w:cs="Calibri"/>
                <w:b/>
                <w:bCs/>
                <w:color w:val="FFFFFF"/>
                <w:sz w:val="13"/>
                <w:szCs w:val="13"/>
              </w:rPr>
            </w:pPr>
          </w:p>
        </w:tc>
        <w:tc>
          <w:tcPr>
            <w:tcW w:w="2114" w:type="dxa"/>
            <w:gridSpan w:val="2"/>
            <w:tcBorders>
              <w:top w:val="single" w:sz="4" w:space="0" w:color="FFFFFF"/>
              <w:left w:val="single" w:sz="6" w:space="0" w:color="FFFFFF"/>
              <w:bottom w:val="single" w:sz="4" w:space="0" w:color="FFFFFF"/>
              <w:right w:val="single" w:sz="6" w:space="0" w:color="FFFFFF"/>
            </w:tcBorders>
            <w:shd w:val="clear" w:color="000000" w:fill="0077BD"/>
            <w:vAlign w:val="center"/>
            <w:hideMark/>
          </w:tcPr>
          <w:p w14:paraId="2D200C2F" w14:textId="77777777" w:rsidR="006A50EB" w:rsidRPr="006A50EB" w:rsidRDefault="006A50EB" w:rsidP="006A50EB">
            <w:pPr>
              <w:jc w:val="center"/>
              <w:rPr>
                <w:rFonts w:cs="Calibri"/>
                <w:b/>
                <w:bCs/>
                <w:color w:val="FFFFFF"/>
                <w:sz w:val="13"/>
                <w:szCs w:val="13"/>
              </w:rPr>
            </w:pPr>
            <w:r w:rsidRPr="006A50EB">
              <w:rPr>
                <w:rFonts w:cs="Calibri"/>
                <w:b/>
                <w:bCs/>
                <w:color w:val="FFFFFF"/>
                <w:sz w:val="13"/>
                <w:szCs w:val="13"/>
              </w:rPr>
              <w:t>Grupa mBanku</w:t>
            </w:r>
          </w:p>
        </w:tc>
        <w:tc>
          <w:tcPr>
            <w:tcW w:w="2114" w:type="dxa"/>
            <w:gridSpan w:val="2"/>
            <w:tcBorders>
              <w:top w:val="single" w:sz="4" w:space="0" w:color="FFFFFF"/>
              <w:left w:val="single" w:sz="6" w:space="0" w:color="FFFFFF"/>
              <w:bottom w:val="single" w:sz="4" w:space="0" w:color="FFFFFF"/>
              <w:right w:val="single" w:sz="8" w:space="0" w:color="FFFFFF"/>
            </w:tcBorders>
            <w:shd w:val="clear" w:color="000000" w:fill="0077BD"/>
            <w:vAlign w:val="center"/>
            <w:hideMark/>
          </w:tcPr>
          <w:p w14:paraId="41802796" w14:textId="77777777" w:rsidR="006A50EB" w:rsidRPr="006A50EB" w:rsidRDefault="006A50EB" w:rsidP="006A50EB">
            <w:pPr>
              <w:jc w:val="center"/>
              <w:rPr>
                <w:rFonts w:cs="Calibri"/>
                <w:b/>
                <w:bCs/>
                <w:color w:val="FFFFFF"/>
                <w:sz w:val="13"/>
                <w:szCs w:val="13"/>
              </w:rPr>
            </w:pPr>
            <w:r w:rsidRPr="006A50EB">
              <w:rPr>
                <w:rFonts w:cs="Calibri"/>
                <w:b/>
                <w:bCs/>
                <w:color w:val="FFFFFF"/>
                <w:sz w:val="13"/>
                <w:szCs w:val="13"/>
              </w:rPr>
              <w:t>mBank</w:t>
            </w:r>
          </w:p>
        </w:tc>
        <w:tc>
          <w:tcPr>
            <w:tcW w:w="2114" w:type="dxa"/>
            <w:gridSpan w:val="2"/>
            <w:tcBorders>
              <w:top w:val="single" w:sz="4" w:space="0" w:color="FFFFFF"/>
              <w:left w:val="nil"/>
              <w:bottom w:val="single" w:sz="4" w:space="0" w:color="FFFFFF"/>
              <w:right w:val="single" w:sz="6" w:space="0" w:color="FFFFFF"/>
            </w:tcBorders>
            <w:shd w:val="clear" w:color="000000" w:fill="0077BD"/>
            <w:vAlign w:val="center"/>
            <w:hideMark/>
          </w:tcPr>
          <w:p w14:paraId="6C7B8E64" w14:textId="77777777" w:rsidR="006A50EB" w:rsidRPr="006A50EB" w:rsidRDefault="006A50EB" w:rsidP="006A50EB">
            <w:pPr>
              <w:jc w:val="center"/>
              <w:rPr>
                <w:rFonts w:cs="Calibri"/>
                <w:b/>
                <w:bCs/>
                <w:color w:val="FFFFFF"/>
                <w:sz w:val="13"/>
                <w:szCs w:val="13"/>
              </w:rPr>
            </w:pPr>
            <w:r w:rsidRPr="006A50EB">
              <w:rPr>
                <w:rFonts w:cs="Calibri"/>
                <w:b/>
                <w:bCs/>
                <w:color w:val="FFFFFF"/>
                <w:sz w:val="13"/>
                <w:szCs w:val="13"/>
              </w:rPr>
              <w:t>Grupa mBanku</w:t>
            </w:r>
          </w:p>
        </w:tc>
        <w:tc>
          <w:tcPr>
            <w:tcW w:w="2114" w:type="dxa"/>
            <w:gridSpan w:val="2"/>
            <w:tcBorders>
              <w:top w:val="single" w:sz="4" w:space="0" w:color="FFFFFF"/>
              <w:left w:val="single" w:sz="6" w:space="0" w:color="FFFFFF"/>
              <w:bottom w:val="single" w:sz="4" w:space="0" w:color="FFFFFF"/>
            </w:tcBorders>
            <w:shd w:val="clear" w:color="000000" w:fill="0077BD"/>
            <w:vAlign w:val="center"/>
            <w:hideMark/>
          </w:tcPr>
          <w:p w14:paraId="5B12778E" w14:textId="77777777" w:rsidR="006A50EB" w:rsidRPr="006A50EB" w:rsidRDefault="006A50EB" w:rsidP="006A50EB">
            <w:pPr>
              <w:jc w:val="center"/>
              <w:rPr>
                <w:rFonts w:cs="Calibri"/>
                <w:b/>
                <w:bCs/>
                <w:color w:val="FFFFFF"/>
                <w:sz w:val="13"/>
                <w:szCs w:val="13"/>
              </w:rPr>
            </w:pPr>
            <w:r w:rsidRPr="006A50EB">
              <w:rPr>
                <w:rFonts w:cs="Calibri"/>
                <w:b/>
                <w:bCs/>
                <w:color w:val="FFFFFF"/>
                <w:sz w:val="13"/>
                <w:szCs w:val="13"/>
              </w:rPr>
              <w:t>mBank</w:t>
            </w:r>
          </w:p>
        </w:tc>
      </w:tr>
      <w:tr w:rsidR="006A50EB" w:rsidRPr="006A50EB" w14:paraId="0FA69622" w14:textId="77777777" w:rsidTr="003F286B">
        <w:trPr>
          <w:trHeight w:val="284"/>
        </w:trPr>
        <w:tc>
          <w:tcPr>
            <w:tcW w:w="1141" w:type="dxa"/>
            <w:vMerge/>
            <w:tcBorders>
              <w:top w:val="single" w:sz="8" w:space="0" w:color="FFFFFF"/>
              <w:left w:val="nil"/>
              <w:bottom w:val="single" w:sz="8" w:space="0" w:color="FFFFFF"/>
              <w:right w:val="single" w:sz="6" w:space="0" w:color="FFFFFF"/>
            </w:tcBorders>
            <w:vAlign w:val="center"/>
            <w:hideMark/>
          </w:tcPr>
          <w:p w14:paraId="760DF8E2" w14:textId="77777777" w:rsidR="006A50EB" w:rsidRPr="006A50EB" w:rsidRDefault="006A50EB" w:rsidP="006A50EB">
            <w:pPr>
              <w:rPr>
                <w:rFonts w:cs="Calibri"/>
                <w:b/>
                <w:bCs/>
                <w:color w:val="FFFFFF"/>
                <w:sz w:val="13"/>
                <w:szCs w:val="13"/>
              </w:rPr>
            </w:pPr>
          </w:p>
        </w:tc>
        <w:tc>
          <w:tcPr>
            <w:tcW w:w="1057" w:type="dxa"/>
            <w:tcBorders>
              <w:top w:val="single" w:sz="4" w:space="0" w:color="FFFFFF"/>
              <w:left w:val="single" w:sz="6" w:space="0" w:color="FFFFFF"/>
              <w:bottom w:val="single" w:sz="8" w:space="0" w:color="FFFFFF"/>
              <w:right w:val="single" w:sz="8" w:space="0" w:color="FFFFFF"/>
            </w:tcBorders>
            <w:shd w:val="clear" w:color="000000" w:fill="0077BD"/>
            <w:vAlign w:val="center"/>
            <w:hideMark/>
          </w:tcPr>
          <w:p w14:paraId="1111F94E" w14:textId="77777777" w:rsidR="006A50EB" w:rsidRPr="006A50EB" w:rsidRDefault="006A50EB" w:rsidP="006A50EB">
            <w:pPr>
              <w:jc w:val="right"/>
              <w:rPr>
                <w:rFonts w:cs="Calibri"/>
                <w:b/>
                <w:bCs/>
                <w:color w:val="FFFFFF"/>
                <w:sz w:val="13"/>
                <w:szCs w:val="13"/>
              </w:rPr>
            </w:pPr>
            <w:r w:rsidRPr="006A50EB">
              <w:rPr>
                <w:rFonts w:cs="Calibri"/>
                <w:b/>
                <w:bCs/>
                <w:color w:val="FFFFFF"/>
                <w:sz w:val="13"/>
                <w:szCs w:val="13"/>
              </w:rPr>
              <w:t>31.12.2019</w:t>
            </w:r>
          </w:p>
        </w:tc>
        <w:tc>
          <w:tcPr>
            <w:tcW w:w="1057" w:type="dxa"/>
            <w:tcBorders>
              <w:top w:val="single" w:sz="4" w:space="0" w:color="FFFFFF"/>
              <w:left w:val="nil"/>
              <w:bottom w:val="single" w:sz="8" w:space="0" w:color="FFFFFF"/>
              <w:right w:val="single" w:sz="6" w:space="0" w:color="FFFFFF"/>
            </w:tcBorders>
            <w:shd w:val="clear" w:color="000000" w:fill="0077BD"/>
            <w:vAlign w:val="center"/>
            <w:hideMark/>
          </w:tcPr>
          <w:p w14:paraId="7995DAE8" w14:textId="693B160B" w:rsidR="006A50EB" w:rsidRPr="006A50EB" w:rsidRDefault="006E05BD" w:rsidP="006A50EB">
            <w:pPr>
              <w:jc w:val="right"/>
              <w:rPr>
                <w:rFonts w:cs="Calibri"/>
                <w:b/>
                <w:bCs/>
                <w:color w:val="FFFFFF"/>
                <w:sz w:val="13"/>
                <w:szCs w:val="13"/>
              </w:rPr>
            </w:pPr>
            <w:r>
              <w:rPr>
                <w:rFonts w:cs="Calibri"/>
                <w:b/>
                <w:bCs/>
                <w:color w:val="FFFFFF"/>
                <w:sz w:val="13"/>
                <w:szCs w:val="13"/>
              </w:rPr>
              <w:t>31.12.2018</w:t>
            </w:r>
            <w:r w:rsidR="006A50EB" w:rsidRPr="006A50EB">
              <w:rPr>
                <w:rFonts w:cs="Calibri"/>
                <w:b/>
                <w:bCs/>
                <w:color w:val="FFFFFF"/>
                <w:sz w:val="13"/>
                <w:szCs w:val="13"/>
              </w:rPr>
              <w:t xml:space="preserve"> </w:t>
            </w:r>
          </w:p>
        </w:tc>
        <w:tc>
          <w:tcPr>
            <w:tcW w:w="1057" w:type="dxa"/>
            <w:tcBorders>
              <w:top w:val="single" w:sz="4" w:space="0" w:color="FFFFFF"/>
              <w:left w:val="single" w:sz="6" w:space="0" w:color="FFFFFF"/>
              <w:bottom w:val="single" w:sz="8" w:space="0" w:color="FFFFFF"/>
              <w:right w:val="single" w:sz="8" w:space="0" w:color="FFFFFF"/>
            </w:tcBorders>
            <w:shd w:val="clear" w:color="000000" w:fill="0077BD"/>
            <w:vAlign w:val="center"/>
            <w:hideMark/>
          </w:tcPr>
          <w:p w14:paraId="04FBF19E" w14:textId="77777777" w:rsidR="006A50EB" w:rsidRPr="006A50EB" w:rsidRDefault="006A50EB" w:rsidP="006A50EB">
            <w:pPr>
              <w:jc w:val="right"/>
              <w:rPr>
                <w:rFonts w:cs="Calibri"/>
                <w:b/>
                <w:bCs/>
                <w:color w:val="FFFFFF"/>
                <w:sz w:val="13"/>
                <w:szCs w:val="13"/>
              </w:rPr>
            </w:pPr>
            <w:r w:rsidRPr="006A50EB">
              <w:rPr>
                <w:rFonts w:cs="Calibri"/>
                <w:b/>
                <w:bCs/>
                <w:color w:val="FFFFFF"/>
                <w:sz w:val="13"/>
                <w:szCs w:val="13"/>
              </w:rPr>
              <w:t>31.12.2019</w:t>
            </w:r>
          </w:p>
        </w:tc>
        <w:tc>
          <w:tcPr>
            <w:tcW w:w="1057" w:type="dxa"/>
            <w:tcBorders>
              <w:top w:val="single" w:sz="4" w:space="0" w:color="FFFFFF"/>
              <w:left w:val="nil"/>
              <w:bottom w:val="single" w:sz="8" w:space="0" w:color="FFFFFF"/>
              <w:right w:val="single" w:sz="8" w:space="0" w:color="FFFFFF"/>
            </w:tcBorders>
            <w:shd w:val="clear" w:color="000000" w:fill="0077BD"/>
            <w:vAlign w:val="center"/>
            <w:hideMark/>
          </w:tcPr>
          <w:p w14:paraId="5070ED46" w14:textId="7C31FD51" w:rsidR="006A50EB" w:rsidRPr="006A50EB" w:rsidRDefault="006E05BD" w:rsidP="006A50EB">
            <w:pPr>
              <w:jc w:val="right"/>
              <w:rPr>
                <w:rFonts w:cs="Calibri"/>
                <w:b/>
                <w:bCs/>
                <w:color w:val="FFFFFF"/>
                <w:sz w:val="13"/>
                <w:szCs w:val="13"/>
              </w:rPr>
            </w:pPr>
            <w:r>
              <w:rPr>
                <w:rFonts w:cs="Calibri"/>
                <w:b/>
                <w:bCs/>
                <w:color w:val="FFFFFF"/>
                <w:sz w:val="13"/>
                <w:szCs w:val="13"/>
              </w:rPr>
              <w:t>31.12.2018</w:t>
            </w:r>
            <w:r w:rsidR="006A50EB" w:rsidRPr="006A50EB">
              <w:rPr>
                <w:rFonts w:cs="Calibri"/>
                <w:b/>
                <w:bCs/>
                <w:color w:val="FFFFFF"/>
                <w:sz w:val="13"/>
                <w:szCs w:val="13"/>
              </w:rPr>
              <w:t xml:space="preserve"> </w:t>
            </w:r>
          </w:p>
        </w:tc>
        <w:tc>
          <w:tcPr>
            <w:tcW w:w="1057" w:type="dxa"/>
            <w:tcBorders>
              <w:top w:val="single" w:sz="4" w:space="0" w:color="FFFFFF"/>
              <w:left w:val="nil"/>
              <w:bottom w:val="single" w:sz="8" w:space="0" w:color="FFFFFF"/>
              <w:right w:val="single" w:sz="6" w:space="0" w:color="FFFFFF"/>
            </w:tcBorders>
            <w:shd w:val="clear" w:color="000000" w:fill="0077BD"/>
            <w:vAlign w:val="center"/>
            <w:hideMark/>
          </w:tcPr>
          <w:p w14:paraId="174B7D16" w14:textId="27091DDC" w:rsidR="006A50EB" w:rsidRPr="006A50EB" w:rsidRDefault="006A50EB" w:rsidP="00361C66">
            <w:pPr>
              <w:jc w:val="right"/>
              <w:rPr>
                <w:rFonts w:cs="Calibri"/>
                <w:b/>
                <w:bCs/>
                <w:color w:val="FFFFFF"/>
                <w:sz w:val="13"/>
                <w:szCs w:val="13"/>
              </w:rPr>
            </w:pPr>
            <w:r w:rsidRPr="006A50EB">
              <w:rPr>
                <w:rFonts w:cs="Calibri"/>
                <w:b/>
                <w:bCs/>
                <w:color w:val="FFFFFF"/>
                <w:sz w:val="13"/>
                <w:szCs w:val="13"/>
              </w:rPr>
              <w:t>31.12.201</w:t>
            </w:r>
            <w:r w:rsidR="00361C66">
              <w:rPr>
                <w:rFonts w:cs="Calibri"/>
                <w:b/>
                <w:bCs/>
                <w:color w:val="FFFFFF"/>
                <w:sz w:val="13"/>
                <w:szCs w:val="13"/>
              </w:rPr>
              <w:t>9</w:t>
            </w:r>
          </w:p>
        </w:tc>
        <w:tc>
          <w:tcPr>
            <w:tcW w:w="1057" w:type="dxa"/>
            <w:tcBorders>
              <w:top w:val="single" w:sz="4" w:space="0" w:color="FFFFFF"/>
              <w:left w:val="single" w:sz="6" w:space="0" w:color="FFFFFF"/>
              <w:bottom w:val="single" w:sz="8" w:space="0" w:color="FFFFFF"/>
              <w:right w:val="single" w:sz="6" w:space="0" w:color="FFFFFF"/>
            </w:tcBorders>
            <w:shd w:val="clear" w:color="000000" w:fill="0077BD"/>
            <w:vAlign w:val="center"/>
            <w:hideMark/>
          </w:tcPr>
          <w:p w14:paraId="460A62A0" w14:textId="0BFE09B7" w:rsidR="006A50EB" w:rsidRPr="006A50EB" w:rsidRDefault="006E05BD" w:rsidP="006A50EB">
            <w:pPr>
              <w:jc w:val="right"/>
              <w:rPr>
                <w:rFonts w:cs="Calibri"/>
                <w:b/>
                <w:bCs/>
                <w:color w:val="FFFFFF"/>
                <w:sz w:val="13"/>
                <w:szCs w:val="13"/>
              </w:rPr>
            </w:pPr>
            <w:r>
              <w:rPr>
                <w:rFonts w:cs="Calibri"/>
                <w:b/>
                <w:bCs/>
                <w:color w:val="FFFFFF"/>
                <w:sz w:val="13"/>
                <w:szCs w:val="13"/>
              </w:rPr>
              <w:t>31.12.2018</w:t>
            </w:r>
            <w:r w:rsidR="006A50EB" w:rsidRPr="006A50EB">
              <w:rPr>
                <w:rFonts w:cs="Calibri"/>
                <w:b/>
                <w:bCs/>
                <w:color w:val="FFFFFF"/>
                <w:sz w:val="13"/>
                <w:szCs w:val="13"/>
              </w:rPr>
              <w:t xml:space="preserve"> </w:t>
            </w:r>
          </w:p>
        </w:tc>
        <w:tc>
          <w:tcPr>
            <w:tcW w:w="1057" w:type="dxa"/>
            <w:tcBorders>
              <w:top w:val="single" w:sz="4" w:space="0" w:color="FFFFFF"/>
              <w:left w:val="single" w:sz="6" w:space="0" w:color="FFFFFF"/>
              <w:bottom w:val="single" w:sz="8" w:space="0" w:color="FFFFFF"/>
              <w:right w:val="single" w:sz="8" w:space="0" w:color="FFFFFF"/>
            </w:tcBorders>
            <w:shd w:val="clear" w:color="000000" w:fill="0077BD"/>
            <w:vAlign w:val="center"/>
            <w:hideMark/>
          </w:tcPr>
          <w:p w14:paraId="17765F5B" w14:textId="235EEF67" w:rsidR="006A50EB" w:rsidRPr="006A50EB" w:rsidRDefault="006A50EB" w:rsidP="00361C66">
            <w:pPr>
              <w:jc w:val="right"/>
              <w:rPr>
                <w:rFonts w:cs="Calibri"/>
                <w:b/>
                <w:bCs/>
                <w:color w:val="FFFFFF"/>
                <w:sz w:val="13"/>
                <w:szCs w:val="13"/>
              </w:rPr>
            </w:pPr>
            <w:r w:rsidRPr="006A50EB">
              <w:rPr>
                <w:rFonts w:cs="Calibri"/>
                <w:b/>
                <w:bCs/>
                <w:color w:val="FFFFFF"/>
                <w:sz w:val="13"/>
                <w:szCs w:val="13"/>
              </w:rPr>
              <w:t>31.12.201</w:t>
            </w:r>
            <w:r w:rsidR="00361C66">
              <w:rPr>
                <w:rFonts w:cs="Calibri"/>
                <w:b/>
                <w:bCs/>
                <w:color w:val="FFFFFF"/>
                <w:sz w:val="13"/>
                <w:szCs w:val="13"/>
              </w:rPr>
              <w:t>9</w:t>
            </w:r>
          </w:p>
        </w:tc>
        <w:tc>
          <w:tcPr>
            <w:tcW w:w="1057" w:type="dxa"/>
            <w:tcBorders>
              <w:top w:val="single" w:sz="4" w:space="0" w:color="FFFFFF"/>
              <w:left w:val="nil"/>
              <w:bottom w:val="single" w:sz="8" w:space="0" w:color="FFFFFF"/>
            </w:tcBorders>
            <w:shd w:val="clear" w:color="000000" w:fill="0077BD"/>
            <w:vAlign w:val="center"/>
            <w:hideMark/>
          </w:tcPr>
          <w:p w14:paraId="3334E79F" w14:textId="76ECDB4C" w:rsidR="006A50EB" w:rsidRPr="006A50EB" w:rsidRDefault="006E05BD" w:rsidP="006A50EB">
            <w:pPr>
              <w:jc w:val="right"/>
              <w:rPr>
                <w:rFonts w:cs="Calibri"/>
                <w:b/>
                <w:bCs/>
                <w:color w:val="FFFFFF"/>
                <w:sz w:val="13"/>
                <w:szCs w:val="13"/>
              </w:rPr>
            </w:pPr>
            <w:r>
              <w:rPr>
                <w:rFonts w:cs="Calibri"/>
                <w:b/>
                <w:bCs/>
                <w:color w:val="FFFFFF"/>
                <w:sz w:val="13"/>
                <w:szCs w:val="13"/>
              </w:rPr>
              <w:t>31.12.2018</w:t>
            </w:r>
            <w:r w:rsidR="006A50EB" w:rsidRPr="006A50EB">
              <w:rPr>
                <w:rFonts w:cs="Calibri"/>
                <w:b/>
                <w:bCs/>
                <w:color w:val="FFFFFF"/>
                <w:sz w:val="13"/>
                <w:szCs w:val="13"/>
              </w:rPr>
              <w:t xml:space="preserve"> </w:t>
            </w:r>
          </w:p>
        </w:tc>
      </w:tr>
      <w:tr w:rsidR="00977E53" w:rsidRPr="00977E53" w14:paraId="0EA396CD" w14:textId="77777777" w:rsidTr="00CA6B95">
        <w:trPr>
          <w:trHeight w:val="255"/>
        </w:trPr>
        <w:tc>
          <w:tcPr>
            <w:tcW w:w="1141" w:type="dxa"/>
            <w:tcBorders>
              <w:top w:val="nil"/>
              <w:left w:val="nil"/>
              <w:bottom w:val="single" w:sz="4" w:space="0" w:color="0077BD"/>
              <w:right w:val="single" w:sz="8" w:space="0" w:color="0077BD"/>
            </w:tcBorders>
            <w:shd w:val="clear" w:color="auto" w:fill="auto"/>
            <w:noWrap/>
            <w:vAlign w:val="center"/>
            <w:hideMark/>
          </w:tcPr>
          <w:p w14:paraId="04DA41E4" w14:textId="77777777" w:rsidR="006E05BD" w:rsidRPr="00977E53" w:rsidRDefault="006E05BD" w:rsidP="006E05BD">
            <w:pPr>
              <w:rPr>
                <w:rFonts w:cs="Calibri"/>
                <w:color w:val="000000" w:themeColor="text1"/>
                <w:sz w:val="13"/>
                <w:szCs w:val="13"/>
              </w:rPr>
            </w:pPr>
            <w:r w:rsidRPr="00977E53">
              <w:rPr>
                <w:rFonts w:cs="Calibri"/>
                <w:color w:val="000000" w:themeColor="text1"/>
                <w:sz w:val="13"/>
                <w:szCs w:val="13"/>
              </w:rPr>
              <w:t>Księga bankowa</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441E6965" w14:textId="3E0435E9"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257</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5DBE2FEA" w14:textId="1872D1F4" w:rsidR="006E05BD" w:rsidRPr="00977E53" w:rsidRDefault="00B66C95" w:rsidP="006E05BD">
            <w:pPr>
              <w:jc w:val="right"/>
              <w:rPr>
                <w:rFonts w:cs="Calibri"/>
                <w:color w:val="000000" w:themeColor="text1"/>
                <w:sz w:val="13"/>
                <w:szCs w:val="13"/>
              </w:rPr>
            </w:pPr>
            <w:r>
              <w:rPr>
                <w:rFonts w:cs="Calibri"/>
                <w:color w:val="000000" w:themeColor="text1"/>
                <w:sz w:val="13"/>
                <w:szCs w:val="13"/>
              </w:rPr>
              <w:t>(</w:t>
            </w:r>
            <w:r w:rsidR="006E05BD" w:rsidRPr="00977E53">
              <w:rPr>
                <w:rFonts w:cs="Calibri"/>
                <w:color w:val="000000" w:themeColor="text1"/>
                <w:sz w:val="13"/>
                <w:szCs w:val="13"/>
              </w:rPr>
              <w:t>306</w:t>
            </w:r>
            <w:r>
              <w:rPr>
                <w:rFonts w:cs="Calibri"/>
                <w:color w:val="000000" w:themeColor="text1"/>
                <w:sz w:val="13"/>
                <w:szCs w:val="13"/>
              </w:rPr>
              <w:t>)</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6441173F" w14:textId="69314107"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263</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3025B3AA" w14:textId="36ABF2EE"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(237)</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316A4A30" w14:textId="13141C71"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(8 302)</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55ACED93" w14:textId="1FC2B010"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(8 131)</w:t>
            </w:r>
          </w:p>
        </w:tc>
        <w:tc>
          <w:tcPr>
            <w:tcW w:w="1057" w:type="dxa"/>
            <w:tcBorders>
              <w:top w:val="single" w:sz="4" w:space="0" w:color="0077BD"/>
              <w:left w:val="nil"/>
              <w:bottom w:val="single" w:sz="4" w:space="0" w:color="0077BD"/>
              <w:right w:val="single" w:sz="8" w:space="0" w:color="0077BD"/>
            </w:tcBorders>
            <w:shd w:val="clear" w:color="auto" w:fill="auto"/>
            <w:noWrap/>
            <w:vAlign w:val="center"/>
          </w:tcPr>
          <w:p w14:paraId="66230DF2" w14:textId="5FAEB86E"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(8 075)</w:t>
            </w:r>
          </w:p>
        </w:tc>
        <w:tc>
          <w:tcPr>
            <w:tcW w:w="1057" w:type="dxa"/>
            <w:tcBorders>
              <w:top w:val="single" w:sz="8" w:space="0" w:color="FFFFFF"/>
              <w:left w:val="nil"/>
              <w:bottom w:val="single" w:sz="4" w:space="0" w:color="0077BD"/>
            </w:tcBorders>
            <w:shd w:val="clear" w:color="auto" w:fill="auto"/>
            <w:noWrap/>
            <w:vAlign w:val="center"/>
          </w:tcPr>
          <w:p w14:paraId="69DAEC2E" w14:textId="3740AD28"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(7 957)</w:t>
            </w:r>
          </w:p>
        </w:tc>
      </w:tr>
      <w:tr w:rsidR="00977E53" w:rsidRPr="00977E53" w14:paraId="5AFB505A" w14:textId="77777777" w:rsidTr="00CA6B95">
        <w:trPr>
          <w:trHeight w:val="255"/>
        </w:trPr>
        <w:tc>
          <w:tcPr>
            <w:tcW w:w="1141" w:type="dxa"/>
            <w:tcBorders>
              <w:top w:val="nil"/>
              <w:left w:val="nil"/>
              <w:bottom w:val="single" w:sz="8" w:space="0" w:color="0077BD"/>
              <w:right w:val="single" w:sz="8" w:space="0" w:color="0077BD"/>
            </w:tcBorders>
            <w:shd w:val="clear" w:color="auto" w:fill="auto"/>
            <w:noWrap/>
            <w:vAlign w:val="center"/>
            <w:hideMark/>
          </w:tcPr>
          <w:p w14:paraId="34DCF424" w14:textId="77777777" w:rsidR="006E05BD" w:rsidRPr="00977E53" w:rsidRDefault="006E05BD" w:rsidP="006E05BD">
            <w:pPr>
              <w:rPr>
                <w:rFonts w:cs="Calibri"/>
                <w:color w:val="000000" w:themeColor="text1"/>
                <w:sz w:val="13"/>
                <w:szCs w:val="13"/>
              </w:rPr>
            </w:pPr>
            <w:r w:rsidRPr="00977E53">
              <w:rPr>
                <w:rFonts w:cs="Calibri"/>
                <w:color w:val="000000" w:themeColor="text1"/>
                <w:sz w:val="13"/>
                <w:szCs w:val="13"/>
              </w:rPr>
              <w:t>Księga handlowa</w:t>
            </w:r>
          </w:p>
        </w:tc>
        <w:tc>
          <w:tcPr>
            <w:tcW w:w="1057" w:type="dxa"/>
            <w:tcBorders>
              <w:top w:val="nil"/>
              <w:left w:val="nil"/>
              <w:bottom w:val="single" w:sz="8" w:space="0" w:color="0077BD"/>
              <w:right w:val="single" w:sz="8" w:space="0" w:color="0077BD"/>
            </w:tcBorders>
            <w:shd w:val="clear" w:color="auto" w:fill="auto"/>
            <w:noWrap/>
            <w:vAlign w:val="center"/>
          </w:tcPr>
          <w:p w14:paraId="1B8ECF5D" w14:textId="38B8AC01"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56</w:t>
            </w:r>
          </w:p>
        </w:tc>
        <w:tc>
          <w:tcPr>
            <w:tcW w:w="1057" w:type="dxa"/>
            <w:tcBorders>
              <w:top w:val="nil"/>
              <w:left w:val="nil"/>
              <w:bottom w:val="single" w:sz="8" w:space="0" w:color="0077BD"/>
              <w:right w:val="single" w:sz="8" w:space="0" w:color="0077BD"/>
            </w:tcBorders>
            <w:shd w:val="clear" w:color="auto" w:fill="auto"/>
            <w:noWrap/>
            <w:vAlign w:val="center"/>
          </w:tcPr>
          <w:p w14:paraId="50B5E4CC" w14:textId="1FAB862C"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33</w:t>
            </w:r>
          </w:p>
        </w:tc>
        <w:tc>
          <w:tcPr>
            <w:tcW w:w="1057" w:type="dxa"/>
            <w:tcBorders>
              <w:top w:val="nil"/>
              <w:left w:val="nil"/>
              <w:bottom w:val="single" w:sz="8" w:space="0" w:color="0077BD"/>
              <w:right w:val="single" w:sz="8" w:space="0" w:color="0077BD"/>
            </w:tcBorders>
            <w:shd w:val="clear" w:color="auto" w:fill="auto"/>
            <w:noWrap/>
            <w:vAlign w:val="center"/>
          </w:tcPr>
          <w:p w14:paraId="6D1740EC" w14:textId="1246F75E"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56</w:t>
            </w:r>
          </w:p>
        </w:tc>
        <w:tc>
          <w:tcPr>
            <w:tcW w:w="1057" w:type="dxa"/>
            <w:tcBorders>
              <w:top w:val="nil"/>
              <w:left w:val="nil"/>
              <w:bottom w:val="single" w:sz="8" w:space="0" w:color="0077BD"/>
              <w:right w:val="single" w:sz="8" w:space="0" w:color="0077BD"/>
            </w:tcBorders>
            <w:shd w:val="clear" w:color="auto" w:fill="auto"/>
            <w:noWrap/>
            <w:vAlign w:val="center"/>
          </w:tcPr>
          <w:p w14:paraId="30227D45" w14:textId="478C7929"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33</w:t>
            </w:r>
          </w:p>
        </w:tc>
        <w:tc>
          <w:tcPr>
            <w:tcW w:w="1057" w:type="dxa"/>
            <w:tcBorders>
              <w:top w:val="nil"/>
              <w:left w:val="nil"/>
              <w:bottom w:val="single" w:sz="8" w:space="0" w:color="0077BD"/>
              <w:right w:val="single" w:sz="8" w:space="0" w:color="0077BD"/>
            </w:tcBorders>
            <w:shd w:val="clear" w:color="auto" w:fill="auto"/>
            <w:noWrap/>
            <w:vAlign w:val="center"/>
          </w:tcPr>
          <w:p w14:paraId="362C8A52" w14:textId="6733311F"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(504)</w:t>
            </w:r>
          </w:p>
        </w:tc>
        <w:tc>
          <w:tcPr>
            <w:tcW w:w="1057" w:type="dxa"/>
            <w:tcBorders>
              <w:top w:val="nil"/>
              <w:left w:val="nil"/>
              <w:bottom w:val="single" w:sz="8" w:space="0" w:color="0077BD"/>
              <w:right w:val="single" w:sz="8" w:space="0" w:color="0077BD"/>
            </w:tcBorders>
            <w:shd w:val="clear" w:color="auto" w:fill="auto"/>
            <w:noWrap/>
            <w:vAlign w:val="center"/>
          </w:tcPr>
          <w:p w14:paraId="65C345DA" w14:textId="6C5D853A"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21</w:t>
            </w:r>
          </w:p>
        </w:tc>
        <w:tc>
          <w:tcPr>
            <w:tcW w:w="1057" w:type="dxa"/>
            <w:tcBorders>
              <w:top w:val="nil"/>
              <w:left w:val="nil"/>
              <w:bottom w:val="single" w:sz="8" w:space="0" w:color="0077BD"/>
              <w:right w:val="single" w:sz="8" w:space="0" w:color="0077BD"/>
            </w:tcBorders>
            <w:shd w:val="clear" w:color="auto" w:fill="auto"/>
            <w:noWrap/>
            <w:vAlign w:val="center"/>
          </w:tcPr>
          <w:p w14:paraId="0F5BA2C7" w14:textId="7F025F52"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(504)</w:t>
            </w:r>
          </w:p>
        </w:tc>
        <w:tc>
          <w:tcPr>
            <w:tcW w:w="1057" w:type="dxa"/>
            <w:tcBorders>
              <w:top w:val="nil"/>
              <w:left w:val="nil"/>
              <w:bottom w:val="single" w:sz="8" w:space="0" w:color="0077BD"/>
            </w:tcBorders>
            <w:shd w:val="clear" w:color="auto" w:fill="auto"/>
            <w:noWrap/>
            <w:vAlign w:val="center"/>
          </w:tcPr>
          <w:p w14:paraId="498052F5" w14:textId="01483DF2" w:rsidR="006E05BD" w:rsidRPr="00977E53" w:rsidRDefault="006E05BD" w:rsidP="006E05BD">
            <w:pPr>
              <w:jc w:val="right"/>
              <w:rPr>
                <w:rFonts w:cs="Calibri"/>
                <w:color w:val="000000" w:themeColor="text1"/>
                <w:sz w:val="13"/>
                <w:szCs w:val="13"/>
              </w:rPr>
            </w:pPr>
            <w:r w:rsidRPr="00977E53">
              <w:rPr>
                <w:rFonts w:cs="Calibri"/>
                <w:color w:val="000000" w:themeColor="text1"/>
                <w:sz w:val="13"/>
                <w:szCs w:val="13"/>
              </w:rPr>
              <w:t>21</w:t>
            </w:r>
          </w:p>
        </w:tc>
      </w:tr>
      <w:tr w:rsidR="00977E53" w:rsidRPr="00977E53" w14:paraId="7ED26CDC" w14:textId="77777777" w:rsidTr="00CA6B95">
        <w:trPr>
          <w:trHeight w:val="255"/>
        </w:trPr>
        <w:tc>
          <w:tcPr>
            <w:tcW w:w="1141" w:type="dxa"/>
            <w:tcBorders>
              <w:top w:val="nil"/>
              <w:left w:val="nil"/>
              <w:bottom w:val="single" w:sz="8" w:space="0" w:color="0077BD"/>
              <w:right w:val="single" w:sz="8" w:space="0" w:color="0077BD"/>
            </w:tcBorders>
            <w:shd w:val="clear" w:color="auto" w:fill="auto"/>
            <w:noWrap/>
            <w:vAlign w:val="center"/>
            <w:hideMark/>
          </w:tcPr>
          <w:p w14:paraId="7646743E" w14:textId="77777777" w:rsidR="006E05BD" w:rsidRPr="00977E53" w:rsidRDefault="006E05BD" w:rsidP="006E05BD">
            <w:pPr>
              <w:rPr>
                <w:rFonts w:cs="Calibri"/>
                <w:b/>
                <w:bCs/>
                <w:color w:val="000000" w:themeColor="text1"/>
                <w:sz w:val="13"/>
                <w:szCs w:val="13"/>
              </w:rPr>
            </w:pPr>
            <w:r w:rsidRPr="00977E53">
              <w:rPr>
                <w:rFonts w:cs="Calibri"/>
                <w:b/>
                <w:bCs/>
                <w:color w:val="000000" w:themeColor="text1"/>
                <w:sz w:val="13"/>
                <w:szCs w:val="13"/>
              </w:rPr>
              <w:t>Suma</w:t>
            </w:r>
          </w:p>
        </w:tc>
        <w:tc>
          <w:tcPr>
            <w:tcW w:w="1057" w:type="dxa"/>
            <w:tcBorders>
              <w:top w:val="nil"/>
              <w:left w:val="nil"/>
              <w:bottom w:val="single" w:sz="8" w:space="0" w:color="0077BD"/>
              <w:right w:val="single" w:sz="8" w:space="0" w:color="0077BD"/>
            </w:tcBorders>
            <w:shd w:val="clear" w:color="auto" w:fill="auto"/>
            <w:noWrap/>
            <w:vAlign w:val="center"/>
          </w:tcPr>
          <w:p w14:paraId="07E66FC7" w14:textId="72BD575C" w:rsidR="006E05BD" w:rsidRPr="00977E53" w:rsidRDefault="006E05BD" w:rsidP="004B25B6">
            <w:pPr>
              <w:jc w:val="right"/>
              <w:rPr>
                <w:rFonts w:cs="Calibri"/>
                <w:b/>
                <w:bCs/>
                <w:color w:val="000000" w:themeColor="text1"/>
                <w:sz w:val="13"/>
                <w:szCs w:val="13"/>
              </w:rPr>
            </w:pPr>
            <w:r w:rsidRPr="00977E53">
              <w:rPr>
                <w:rFonts w:cs="Calibri"/>
                <w:b/>
                <w:bCs/>
                <w:color w:val="000000" w:themeColor="text1"/>
                <w:sz w:val="13"/>
                <w:szCs w:val="13"/>
              </w:rPr>
              <w:t>31</w:t>
            </w:r>
            <w:r w:rsidR="004B25B6">
              <w:rPr>
                <w:rFonts w:cs="Calibri"/>
                <w:b/>
                <w:bCs/>
                <w:color w:val="000000" w:themeColor="text1"/>
                <w:sz w:val="13"/>
                <w:szCs w:val="13"/>
              </w:rPr>
              <w:t>3</w:t>
            </w:r>
          </w:p>
        </w:tc>
        <w:tc>
          <w:tcPr>
            <w:tcW w:w="1057" w:type="dxa"/>
            <w:tcBorders>
              <w:top w:val="nil"/>
              <w:left w:val="nil"/>
              <w:bottom w:val="single" w:sz="8" w:space="0" w:color="0077BD"/>
              <w:right w:val="single" w:sz="8" w:space="0" w:color="0077BD"/>
            </w:tcBorders>
            <w:shd w:val="clear" w:color="auto" w:fill="auto"/>
            <w:noWrap/>
            <w:vAlign w:val="center"/>
          </w:tcPr>
          <w:p w14:paraId="2E5AE582" w14:textId="68FBF63C"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(273)</w:t>
            </w:r>
          </w:p>
        </w:tc>
        <w:tc>
          <w:tcPr>
            <w:tcW w:w="1057" w:type="dxa"/>
            <w:tcBorders>
              <w:top w:val="nil"/>
              <w:left w:val="nil"/>
              <w:bottom w:val="single" w:sz="8" w:space="0" w:color="0077BD"/>
              <w:right w:val="single" w:sz="8" w:space="0" w:color="0077BD"/>
            </w:tcBorders>
            <w:shd w:val="clear" w:color="auto" w:fill="auto"/>
            <w:noWrap/>
            <w:vAlign w:val="center"/>
          </w:tcPr>
          <w:p w14:paraId="70237940" w14:textId="6CC39B5C" w:rsidR="006E05BD" w:rsidRPr="00977E53" w:rsidRDefault="006E05BD" w:rsidP="004B25B6">
            <w:pPr>
              <w:jc w:val="right"/>
              <w:rPr>
                <w:rFonts w:cs="Calibri"/>
                <w:b/>
                <w:bCs/>
                <w:color w:val="000000" w:themeColor="text1"/>
                <w:sz w:val="13"/>
                <w:szCs w:val="13"/>
              </w:rPr>
            </w:pPr>
            <w:r w:rsidRPr="00977E53">
              <w:rPr>
                <w:rFonts w:cs="Calibri"/>
                <w:b/>
                <w:bCs/>
                <w:color w:val="000000" w:themeColor="text1"/>
                <w:sz w:val="13"/>
                <w:szCs w:val="13"/>
              </w:rPr>
              <w:t>31</w:t>
            </w:r>
            <w:r w:rsidR="004B25B6">
              <w:rPr>
                <w:rFonts w:cs="Calibri"/>
                <w:b/>
                <w:bCs/>
                <w:color w:val="000000" w:themeColor="text1"/>
                <w:sz w:val="13"/>
                <w:szCs w:val="13"/>
              </w:rPr>
              <w:t>9</w:t>
            </w:r>
          </w:p>
        </w:tc>
        <w:tc>
          <w:tcPr>
            <w:tcW w:w="1057" w:type="dxa"/>
            <w:tcBorders>
              <w:top w:val="nil"/>
              <w:left w:val="nil"/>
              <w:bottom w:val="single" w:sz="8" w:space="0" w:color="0077BD"/>
              <w:right w:val="single" w:sz="8" w:space="0" w:color="0077BD"/>
            </w:tcBorders>
            <w:shd w:val="clear" w:color="auto" w:fill="auto"/>
            <w:noWrap/>
            <w:vAlign w:val="center"/>
          </w:tcPr>
          <w:p w14:paraId="1BEF81F7" w14:textId="54181B69"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(204)</w:t>
            </w:r>
          </w:p>
        </w:tc>
        <w:tc>
          <w:tcPr>
            <w:tcW w:w="1057" w:type="dxa"/>
            <w:tcBorders>
              <w:top w:val="nil"/>
              <w:left w:val="nil"/>
              <w:bottom w:val="single" w:sz="8" w:space="0" w:color="0077BD"/>
              <w:right w:val="single" w:sz="8" w:space="0" w:color="0077BD"/>
            </w:tcBorders>
            <w:shd w:val="clear" w:color="auto" w:fill="auto"/>
            <w:noWrap/>
            <w:vAlign w:val="center"/>
          </w:tcPr>
          <w:p w14:paraId="4E59A1FE" w14:textId="770A38EF"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(8 806)</w:t>
            </w:r>
          </w:p>
        </w:tc>
        <w:tc>
          <w:tcPr>
            <w:tcW w:w="1057" w:type="dxa"/>
            <w:tcBorders>
              <w:top w:val="nil"/>
              <w:left w:val="nil"/>
              <w:bottom w:val="single" w:sz="8" w:space="0" w:color="0077BD"/>
              <w:right w:val="single" w:sz="8" w:space="0" w:color="0077BD"/>
            </w:tcBorders>
            <w:shd w:val="clear" w:color="auto" w:fill="auto"/>
            <w:noWrap/>
            <w:vAlign w:val="center"/>
          </w:tcPr>
          <w:p w14:paraId="5FA86F21" w14:textId="576030D7"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(8 110)</w:t>
            </w:r>
          </w:p>
        </w:tc>
        <w:tc>
          <w:tcPr>
            <w:tcW w:w="1057" w:type="dxa"/>
            <w:tcBorders>
              <w:top w:val="nil"/>
              <w:left w:val="nil"/>
              <w:bottom w:val="single" w:sz="8" w:space="0" w:color="0077BD"/>
              <w:right w:val="single" w:sz="8" w:space="0" w:color="0077BD"/>
            </w:tcBorders>
            <w:shd w:val="clear" w:color="auto" w:fill="auto"/>
            <w:noWrap/>
            <w:vAlign w:val="center"/>
          </w:tcPr>
          <w:p w14:paraId="5BBC275E" w14:textId="6D0614C0"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(8 579)</w:t>
            </w:r>
          </w:p>
        </w:tc>
        <w:tc>
          <w:tcPr>
            <w:tcW w:w="1057" w:type="dxa"/>
            <w:tcBorders>
              <w:top w:val="nil"/>
              <w:left w:val="nil"/>
              <w:bottom w:val="single" w:sz="8" w:space="0" w:color="0077BD"/>
            </w:tcBorders>
            <w:shd w:val="clear" w:color="auto" w:fill="auto"/>
            <w:noWrap/>
            <w:vAlign w:val="center"/>
          </w:tcPr>
          <w:p w14:paraId="5C3F2DF1" w14:textId="06001A93" w:rsidR="006E05BD" w:rsidRPr="00977E53" w:rsidRDefault="006E05BD" w:rsidP="006E05BD">
            <w:pPr>
              <w:jc w:val="right"/>
              <w:rPr>
                <w:rFonts w:cs="Calibri"/>
                <w:b/>
                <w:bCs/>
                <w:color w:val="000000" w:themeColor="text1"/>
                <w:sz w:val="13"/>
                <w:szCs w:val="13"/>
              </w:rPr>
            </w:pPr>
            <w:r w:rsidRPr="00977E53">
              <w:rPr>
                <w:rFonts w:cs="Calibri"/>
                <w:b/>
                <w:bCs/>
                <w:color w:val="000000" w:themeColor="text1"/>
                <w:sz w:val="13"/>
                <w:szCs w:val="13"/>
              </w:rPr>
              <w:t>(7 936)</w:t>
            </w:r>
          </w:p>
        </w:tc>
      </w:tr>
    </w:tbl>
    <w:p w14:paraId="7EBBE417" w14:textId="4E2D712C" w:rsidR="006A50EB" w:rsidRPr="00977E53" w:rsidRDefault="004B3C04" w:rsidP="00850870">
      <w:pPr>
        <w:autoSpaceDE w:val="0"/>
        <w:autoSpaceDN w:val="0"/>
        <w:adjustRightInd w:val="0"/>
        <w:spacing w:before="120" w:after="120"/>
        <w:jc w:val="both"/>
        <w:rPr>
          <w:rFonts w:eastAsia="Calibri" w:cs="Verdana"/>
          <w:color w:val="000000" w:themeColor="text1"/>
          <w:sz w:val="18"/>
          <w:szCs w:val="18"/>
        </w:rPr>
      </w:pPr>
      <w:r w:rsidRPr="00977E53">
        <w:rPr>
          <w:color w:val="000000" w:themeColor="text1"/>
          <w:sz w:val="18"/>
          <w:szCs w:val="18"/>
        </w:rPr>
        <w:t>Prezentowana wrażliwość na zmiany spreadu kredytowego (CS BPV) dla księgi bankowej mBanku w około 40% wynika z pozycji w papierach dłużnych wycenianych według zamortyzowanego kosztu. Wahania cen rynkowych nie mają wpływu na poziom rezerwy rewaluacyjnej i rachunek zysków i strat dla tych pozycji.</w:t>
      </w:r>
    </w:p>
    <w:p w14:paraId="42CEDC95" w14:textId="77777777" w:rsidR="008318EE" w:rsidRPr="00977E53" w:rsidRDefault="008318EE" w:rsidP="008318EE">
      <w:pPr>
        <w:autoSpaceDE w:val="0"/>
        <w:autoSpaceDN w:val="0"/>
        <w:adjustRightInd w:val="0"/>
        <w:spacing w:before="120" w:after="120"/>
        <w:jc w:val="both"/>
        <w:rPr>
          <w:rFonts w:eastAsia="Calibri" w:cs="Verdana"/>
          <w:b/>
          <w:bCs/>
          <w:color w:val="000000" w:themeColor="text1"/>
          <w:sz w:val="18"/>
          <w:szCs w:val="18"/>
        </w:rPr>
      </w:pPr>
      <w:r w:rsidRPr="00977E53">
        <w:rPr>
          <w:rFonts w:eastAsia="Calibri" w:cs="Verdana"/>
          <w:b/>
          <w:bCs/>
          <w:color w:val="000000" w:themeColor="text1"/>
          <w:sz w:val="18"/>
          <w:szCs w:val="18"/>
        </w:rPr>
        <w:t>Kapitał ekonomiczny na pokrycie ryzyka rynkowego</w:t>
      </w:r>
    </w:p>
    <w:p w14:paraId="0C6358D6" w14:textId="77777777" w:rsidR="001E0495" w:rsidRPr="00977E53" w:rsidRDefault="001E0495" w:rsidP="001E0495">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Bank kalkuluje kapitał ekonomiczny na pokrycie ryzyka rynkowego w ujęciu bez uwzględnienia modelowania stabilnych części kapitału i rachunków bieżących, niewrażliwych na zmiany stóp procentowych.</w:t>
      </w:r>
    </w:p>
    <w:p w14:paraId="5A53BF18" w14:textId="77777777" w:rsidR="001E0495" w:rsidRPr="00977E53" w:rsidRDefault="001E0495" w:rsidP="001E0495">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Dla Grupy mBanku średnie wykorzystanie limitu na kapitał ekonomiczny na pokrycie ryzyka rynkowego w 2019 roku wyniosło 59% (1 057,2 mln zł). Średni poziom kapitału ekonomicznego dla mBanku wynosił 1 041,0 mln zł.</w:t>
      </w:r>
    </w:p>
    <w:p w14:paraId="1A00FFF3" w14:textId="77777777" w:rsidR="00380AF3" w:rsidRDefault="001E0495" w:rsidP="00CA6B95">
      <w:pPr>
        <w:suppressAutoHyphens/>
        <w:spacing w:after="120"/>
        <w:jc w:val="both"/>
        <w:rPr>
          <w:rFonts w:eastAsia="Calibri" w:cs="Verdana"/>
          <w:color w:val="000000" w:themeColor="text1"/>
          <w:sz w:val="18"/>
          <w:szCs w:val="18"/>
        </w:rPr>
      </w:pPr>
      <w:r w:rsidRPr="00977E53">
        <w:rPr>
          <w:rFonts w:eastAsia="Calibri" w:cs="Verdana"/>
          <w:color w:val="000000" w:themeColor="text1"/>
          <w:sz w:val="18"/>
          <w:szCs w:val="18"/>
        </w:rPr>
        <w:lastRenderedPageBreak/>
        <w:t>Na koniec 2019 roku kapitał ekonomiczny na ryzyko rynkowe wynosił dla Grupy mBanku 1 162,8 mln zł, natomiast dla Banku 1 134,8 mln zł. Dla porównania na koniec 2018 roku wartości tej miary kształtowały się odpowiednio na poziomie 925,6 mln zł oraz 912,7 mln zł. Kapitał ekonomiczny wzrósł w 2019 roku głównie z powodu zmiany obserwacji w 12-miesięcznym oknie przyjętym do kalkulacji (wzrost zmienności stóp procentowych), a także wzrostu wolumenu oraz duracji portfela obligacji</w:t>
      </w:r>
      <w:r w:rsidR="008318EE" w:rsidRPr="00977E53">
        <w:rPr>
          <w:rFonts w:eastAsia="Calibri" w:cs="Verdana"/>
          <w:color w:val="000000" w:themeColor="text1"/>
          <w:sz w:val="18"/>
          <w:szCs w:val="18"/>
        </w:rPr>
        <w:t>.</w:t>
      </w:r>
    </w:p>
    <w:p w14:paraId="130C4441" w14:textId="77777777" w:rsidR="006D1D4D" w:rsidRPr="00627B93" w:rsidRDefault="00DC5841" w:rsidP="00CA6B95">
      <w:pPr>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contextualSpacing/>
        <w:jc w:val="both"/>
        <w:outlineLvl w:val="2"/>
        <w:rPr>
          <w:b/>
          <w:color w:val="E41E0A"/>
          <w:sz w:val="18"/>
          <w:szCs w:val="18"/>
        </w:rPr>
      </w:pPr>
      <w:bookmarkStart w:id="106" w:name="_Toc32999825"/>
      <w:r w:rsidRPr="00627B93">
        <w:rPr>
          <w:b/>
          <w:color w:val="E41E0A"/>
          <w:sz w:val="18"/>
          <w:szCs w:val="18"/>
        </w:rPr>
        <w:t>Ryzyko walutowe</w:t>
      </w:r>
      <w:bookmarkEnd w:id="106"/>
    </w:p>
    <w:p w14:paraId="44029AA5" w14:textId="68DF3AA2" w:rsidR="00C71522" w:rsidRPr="00977E53" w:rsidRDefault="00C71522" w:rsidP="00CA6B95">
      <w:pPr>
        <w:spacing w:before="120"/>
        <w:jc w:val="both"/>
        <w:rPr>
          <w:color w:val="000000" w:themeColor="text1"/>
          <w:sz w:val="18"/>
          <w:szCs w:val="18"/>
          <w:lang w:eastAsia="en-US"/>
        </w:rPr>
      </w:pPr>
      <w:r w:rsidRPr="00977E53">
        <w:rPr>
          <w:color w:val="000000" w:themeColor="text1"/>
          <w:sz w:val="18"/>
          <w:szCs w:val="18"/>
          <w:lang w:eastAsia="en-US"/>
        </w:rPr>
        <w:t>Grupa jest narażona na wpływ zmian kursów walutowych z tytułu posiadanych aktywów finansowych i zaciągniętych zobowiązań w walutach innych niż PLN. Poniższe tabele przedstawiają ekspozycję Grupy na ryzyko w</w:t>
      </w:r>
      <w:r w:rsidR="00A82A04" w:rsidRPr="00977E53">
        <w:rPr>
          <w:color w:val="000000" w:themeColor="text1"/>
          <w:sz w:val="18"/>
          <w:szCs w:val="18"/>
          <w:lang w:eastAsia="en-US"/>
        </w:rPr>
        <w:t>alutowe na dzień 31 grudnia 2019 roku i 31 grudnia 2018</w:t>
      </w:r>
      <w:r w:rsidRPr="00977E53">
        <w:rPr>
          <w:color w:val="000000" w:themeColor="text1"/>
          <w:sz w:val="18"/>
          <w:szCs w:val="18"/>
          <w:lang w:eastAsia="en-US"/>
        </w:rPr>
        <w:t xml:space="preserve"> roku. Tabele te przedstawiają aktywa i zobowiązania Grupy według wartości bilansowej, w podziale walutowym.</w:t>
      </w:r>
    </w:p>
    <w:p w14:paraId="5450C842" w14:textId="77777777" w:rsidR="001A10F2" w:rsidRPr="007B2A96" w:rsidRDefault="001A10F2" w:rsidP="00DC5841">
      <w:pPr>
        <w:rPr>
          <w:highlight w:val="yellow"/>
          <w:lang w:eastAsia="en-US"/>
        </w:rPr>
      </w:pPr>
    </w:p>
    <w:tbl>
      <w:tblPr>
        <w:tblW w:w="9639" w:type="dxa"/>
        <w:tblLayout w:type="fixed"/>
        <w:tblCellMar>
          <w:left w:w="28" w:type="dxa"/>
          <w:right w:w="28" w:type="dxa"/>
        </w:tblCellMar>
        <w:tblLook w:val="04A0" w:firstRow="1" w:lastRow="0" w:firstColumn="1" w:lastColumn="0" w:noHBand="0" w:noVBand="1"/>
      </w:tblPr>
      <w:tblGrid>
        <w:gridCol w:w="2835"/>
        <w:gridCol w:w="972"/>
        <w:gridCol w:w="972"/>
        <w:gridCol w:w="972"/>
        <w:gridCol w:w="972"/>
        <w:gridCol w:w="972"/>
        <w:gridCol w:w="972"/>
        <w:gridCol w:w="972"/>
      </w:tblGrid>
      <w:tr w:rsidR="008318EE" w:rsidRPr="00950EDE" w14:paraId="5C65F0D3" w14:textId="77777777" w:rsidTr="00A82A04">
        <w:trPr>
          <w:trHeight w:val="227"/>
        </w:trPr>
        <w:tc>
          <w:tcPr>
            <w:tcW w:w="2835" w:type="dxa"/>
            <w:tcBorders>
              <w:top w:val="single" w:sz="8" w:space="0" w:color="FFFFFF"/>
              <w:left w:val="nil"/>
              <w:bottom w:val="nil"/>
              <w:right w:val="single" w:sz="8" w:space="0" w:color="FFFFFF"/>
            </w:tcBorders>
            <w:shd w:val="clear" w:color="000000" w:fill="0077BD"/>
            <w:vAlign w:val="center"/>
            <w:hideMark/>
          </w:tcPr>
          <w:p w14:paraId="1490E8EB" w14:textId="77777777" w:rsidR="008318EE" w:rsidRPr="00950EDE" w:rsidRDefault="008318EE" w:rsidP="009E1F91">
            <w:pPr>
              <w:rPr>
                <w:rFonts w:cs="Calibri"/>
                <w:b/>
                <w:bCs/>
                <w:color w:val="FFFFFF"/>
                <w:sz w:val="11"/>
                <w:szCs w:val="11"/>
              </w:rPr>
            </w:pPr>
            <w:r>
              <w:rPr>
                <w:rFonts w:cs="Calibri"/>
                <w:b/>
                <w:bCs/>
                <w:color w:val="FFFFFF"/>
                <w:sz w:val="11"/>
                <w:szCs w:val="11"/>
              </w:rPr>
              <w:t>31.12.2019</w:t>
            </w:r>
          </w:p>
        </w:tc>
        <w:tc>
          <w:tcPr>
            <w:tcW w:w="972" w:type="dxa"/>
            <w:tcBorders>
              <w:top w:val="single" w:sz="8" w:space="0" w:color="FFFFFF"/>
              <w:left w:val="nil"/>
              <w:bottom w:val="nil"/>
              <w:right w:val="nil"/>
            </w:tcBorders>
            <w:shd w:val="clear" w:color="000000" w:fill="0077BD"/>
            <w:noWrap/>
            <w:vAlign w:val="center"/>
            <w:hideMark/>
          </w:tcPr>
          <w:p w14:paraId="16443B04"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PLN</w:t>
            </w:r>
          </w:p>
        </w:tc>
        <w:tc>
          <w:tcPr>
            <w:tcW w:w="972" w:type="dxa"/>
            <w:tcBorders>
              <w:top w:val="single" w:sz="8" w:space="0" w:color="FFFFFF"/>
              <w:left w:val="single" w:sz="8" w:space="0" w:color="FFFFFF"/>
              <w:bottom w:val="nil"/>
              <w:right w:val="nil"/>
            </w:tcBorders>
            <w:shd w:val="clear" w:color="000000" w:fill="0077BD"/>
            <w:noWrap/>
            <w:vAlign w:val="center"/>
            <w:hideMark/>
          </w:tcPr>
          <w:p w14:paraId="5298D268"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EUR</w:t>
            </w:r>
          </w:p>
        </w:tc>
        <w:tc>
          <w:tcPr>
            <w:tcW w:w="972" w:type="dxa"/>
            <w:tcBorders>
              <w:top w:val="single" w:sz="8" w:space="0" w:color="FFFFFF"/>
              <w:left w:val="single" w:sz="8" w:space="0" w:color="FFFFFF"/>
              <w:bottom w:val="nil"/>
              <w:right w:val="nil"/>
            </w:tcBorders>
            <w:shd w:val="clear" w:color="000000" w:fill="0077BD"/>
            <w:noWrap/>
            <w:vAlign w:val="center"/>
            <w:hideMark/>
          </w:tcPr>
          <w:p w14:paraId="4BCCC456"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USD</w:t>
            </w:r>
          </w:p>
        </w:tc>
        <w:tc>
          <w:tcPr>
            <w:tcW w:w="972" w:type="dxa"/>
            <w:tcBorders>
              <w:top w:val="single" w:sz="8" w:space="0" w:color="FFFFFF"/>
              <w:left w:val="single" w:sz="8" w:space="0" w:color="FFFFFF"/>
              <w:bottom w:val="nil"/>
              <w:right w:val="nil"/>
            </w:tcBorders>
            <w:shd w:val="clear" w:color="000000" w:fill="0077BD"/>
            <w:noWrap/>
            <w:vAlign w:val="center"/>
            <w:hideMark/>
          </w:tcPr>
          <w:p w14:paraId="0994E7F2"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CHF</w:t>
            </w:r>
          </w:p>
        </w:tc>
        <w:tc>
          <w:tcPr>
            <w:tcW w:w="972" w:type="dxa"/>
            <w:tcBorders>
              <w:top w:val="single" w:sz="8" w:space="0" w:color="FFFFFF"/>
              <w:left w:val="single" w:sz="8" w:space="0" w:color="FFFFFF"/>
              <w:bottom w:val="nil"/>
              <w:right w:val="nil"/>
            </w:tcBorders>
            <w:shd w:val="clear" w:color="000000" w:fill="0077BD"/>
            <w:noWrap/>
            <w:vAlign w:val="center"/>
            <w:hideMark/>
          </w:tcPr>
          <w:p w14:paraId="3092D414"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CZK</w:t>
            </w:r>
          </w:p>
        </w:tc>
        <w:tc>
          <w:tcPr>
            <w:tcW w:w="972" w:type="dxa"/>
            <w:tcBorders>
              <w:top w:val="single" w:sz="8" w:space="0" w:color="FFFFFF"/>
              <w:left w:val="single" w:sz="8" w:space="0" w:color="FFFFFF"/>
              <w:bottom w:val="nil"/>
              <w:right w:val="nil"/>
            </w:tcBorders>
            <w:shd w:val="clear" w:color="000000" w:fill="0077BD"/>
            <w:noWrap/>
            <w:vAlign w:val="center"/>
            <w:hideMark/>
          </w:tcPr>
          <w:p w14:paraId="0BDEE0B4"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INNE</w:t>
            </w:r>
          </w:p>
        </w:tc>
        <w:tc>
          <w:tcPr>
            <w:tcW w:w="972" w:type="dxa"/>
            <w:tcBorders>
              <w:top w:val="single" w:sz="8" w:space="0" w:color="FFFFFF"/>
              <w:left w:val="single" w:sz="8" w:space="0" w:color="FFFFFF"/>
              <w:bottom w:val="nil"/>
              <w:right w:val="nil"/>
            </w:tcBorders>
            <w:shd w:val="clear" w:color="000000" w:fill="0077BD"/>
            <w:noWrap/>
            <w:vAlign w:val="center"/>
            <w:hideMark/>
          </w:tcPr>
          <w:p w14:paraId="005F2047"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Razem</w:t>
            </w:r>
          </w:p>
        </w:tc>
      </w:tr>
      <w:tr w:rsidR="00977E53" w:rsidRPr="00977E53" w14:paraId="18278F89" w14:textId="77777777" w:rsidTr="00A82A04">
        <w:trPr>
          <w:trHeight w:val="227"/>
        </w:trPr>
        <w:tc>
          <w:tcPr>
            <w:tcW w:w="2835" w:type="dxa"/>
            <w:tcBorders>
              <w:top w:val="nil"/>
              <w:left w:val="nil"/>
              <w:bottom w:val="single" w:sz="8" w:space="0" w:color="0077BD"/>
              <w:right w:val="nil"/>
            </w:tcBorders>
            <w:shd w:val="clear" w:color="auto" w:fill="auto"/>
            <w:vAlign w:val="center"/>
            <w:hideMark/>
          </w:tcPr>
          <w:p w14:paraId="4DD4AEDC" w14:textId="42AEC2DD" w:rsidR="008318EE" w:rsidRPr="00AF0169" w:rsidRDefault="00A82A04" w:rsidP="009E1F91">
            <w:pPr>
              <w:rPr>
                <w:rFonts w:cs="Calibri"/>
                <w:b/>
                <w:bCs/>
                <w:color w:val="000000" w:themeColor="text1"/>
                <w:sz w:val="11"/>
                <w:szCs w:val="11"/>
              </w:rPr>
            </w:pPr>
            <w:r w:rsidRPr="00AF0169">
              <w:rPr>
                <w:rFonts w:cs="Calibri"/>
                <w:b/>
                <w:bCs/>
                <w:color w:val="000000" w:themeColor="text1"/>
                <w:sz w:val="11"/>
                <w:szCs w:val="11"/>
              </w:rPr>
              <w:t>AKTYWA</w:t>
            </w:r>
          </w:p>
        </w:tc>
        <w:tc>
          <w:tcPr>
            <w:tcW w:w="972" w:type="dxa"/>
            <w:tcBorders>
              <w:top w:val="nil"/>
              <w:left w:val="nil"/>
              <w:bottom w:val="single" w:sz="8" w:space="0" w:color="0077BD"/>
              <w:right w:val="nil"/>
            </w:tcBorders>
            <w:shd w:val="clear" w:color="auto" w:fill="auto"/>
            <w:noWrap/>
            <w:vAlign w:val="center"/>
            <w:hideMark/>
          </w:tcPr>
          <w:p w14:paraId="73451ED6"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3DBCEDAE"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13F70275"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0625F89B"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79BF0B53"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3122781F"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1267189A" w14:textId="77777777" w:rsidR="008318EE" w:rsidRPr="00977E53" w:rsidRDefault="008318EE" w:rsidP="009E1F91">
            <w:pPr>
              <w:jc w:val="center"/>
              <w:rPr>
                <w:rFonts w:cs="Calibri"/>
                <w:b/>
                <w:bCs/>
                <w:color w:val="000000" w:themeColor="text1"/>
                <w:sz w:val="11"/>
                <w:szCs w:val="11"/>
              </w:rPr>
            </w:pPr>
            <w:r w:rsidRPr="00977E53">
              <w:rPr>
                <w:rFonts w:cs="Calibri"/>
                <w:b/>
                <w:bCs/>
                <w:color w:val="000000" w:themeColor="text1"/>
                <w:sz w:val="11"/>
                <w:szCs w:val="11"/>
              </w:rPr>
              <w:t> </w:t>
            </w:r>
          </w:p>
        </w:tc>
      </w:tr>
      <w:tr w:rsidR="00C34A0B" w:rsidRPr="00977E53" w14:paraId="214C66A0"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40BA281A" w14:textId="77777777" w:rsidR="00C34A0B" w:rsidRPr="00AF0169" w:rsidRDefault="00C34A0B" w:rsidP="00C34A0B">
            <w:pPr>
              <w:rPr>
                <w:rFonts w:cs="Calibri"/>
                <w:b/>
                <w:bCs/>
                <w:color w:val="000000" w:themeColor="text1"/>
                <w:sz w:val="11"/>
                <w:szCs w:val="11"/>
              </w:rPr>
            </w:pPr>
            <w:r w:rsidRPr="00AF0169">
              <w:rPr>
                <w:rFonts w:cs="Calibri"/>
                <w:b/>
                <w:bCs/>
                <w:color w:val="000000" w:themeColor="text1"/>
                <w:sz w:val="11"/>
                <w:szCs w:val="11"/>
              </w:rPr>
              <w:t>Kasa, operacje z bankiem centralnym</w:t>
            </w:r>
          </w:p>
        </w:tc>
        <w:tc>
          <w:tcPr>
            <w:tcW w:w="972" w:type="dxa"/>
            <w:tcBorders>
              <w:top w:val="nil"/>
              <w:left w:val="single" w:sz="8" w:space="0" w:color="0077BD"/>
              <w:bottom w:val="single" w:sz="4" w:space="0" w:color="0077BD"/>
              <w:right w:val="nil"/>
            </w:tcBorders>
            <w:shd w:val="clear" w:color="auto" w:fill="auto"/>
            <w:noWrap/>
            <w:vAlign w:val="center"/>
          </w:tcPr>
          <w:p w14:paraId="40A1432A" w14:textId="3E520030"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6 830 666</w:t>
            </w:r>
          </w:p>
        </w:tc>
        <w:tc>
          <w:tcPr>
            <w:tcW w:w="972" w:type="dxa"/>
            <w:tcBorders>
              <w:top w:val="nil"/>
              <w:left w:val="single" w:sz="8" w:space="0" w:color="0077BD"/>
              <w:bottom w:val="single" w:sz="4" w:space="0" w:color="0077BD"/>
              <w:right w:val="nil"/>
            </w:tcBorders>
            <w:shd w:val="clear" w:color="auto" w:fill="auto"/>
            <w:noWrap/>
            <w:vAlign w:val="center"/>
          </w:tcPr>
          <w:p w14:paraId="059A744F" w14:textId="6ADDFEE9"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826 679</w:t>
            </w:r>
          </w:p>
        </w:tc>
        <w:tc>
          <w:tcPr>
            <w:tcW w:w="972" w:type="dxa"/>
            <w:tcBorders>
              <w:top w:val="nil"/>
              <w:left w:val="single" w:sz="8" w:space="0" w:color="0077BD"/>
              <w:bottom w:val="single" w:sz="4" w:space="0" w:color="0077BD"/>
              <w:right w:val="nil"/>
            </w:tcBorders>
            <w:shd w:val="clear" w:color="auto" w:fill="auto"/>
            <w:noWrap/>
            <w:vAlign w:val="center"/>
          </w:tcPr>
          <w:p w14:paraId="116CAA35" w14:textId="618929CD"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34 340</w:t>
            </w:r>
          </w:p>
        </w:tc>
        <w:tc>
          <w:tcPr>
            <w:tcW w:w="972" w:type="dxa"/>
            <w:tcBorders>
              <w:top w:val="nil"/>
              <w:left w:val="single" w:sz="8" w:space="0" w:color="0077BD"/>
              <w:bottom w:val="single" w:sz="4" w:space="0" w:color="0077BD"/>
              <w:right w:val="nil"/>
            </w:tcBorders>
            <w:shd w:val="clear" w:color="auto" w:fill="auto"/>
            <w:noWrap/>
            <w:vAlign w:val="center"/>
          </w:tcPr>
          <w:p w14:paraId="10CA6CE1" w14:textId="661592BC"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6 883</w:t>
            </w:r>
          </w:p>
        </w:tc>
        <w:tc>
          <w:tcPr>
            <w:tcW w:w="972" w:type="dxa"/>
            <w:tcBorders>
              <w:top w:val="nil"/>
              <w:left w:val="single" w:sz="8" w:space="0" w:color="0077BD"/>
              <w:bottom w:val="single" w:sz="4" w:space="0" w:color="0077BD"/>
              <w:right w:val="nil"/>
            </w:tcBorders>
            <w:shd w:val="clear" w:color="auto" w:fill="auto"/>
            <w:noWrap/>
            <w:vAlign w:val="center"/>
          </w:tcPr>
          <w:p w14:paraId="40BF9B00" w14:textId="64AB1A66"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184 482</w:t>
            </w:r>
          </w:p>
        </w:tc>
        <w:tc>
          <w:tcPr>
            <w:tcW w:w="972" w:type="dxa"/>
            <w:tcBorders>
              <w:top w:val="nil"/>
              <w:left w:val="single" w:sz="8" w:space="0" w:color="0077BD"/>
              <w:bottom w:val="single" w:sz="4" w:space="0" w:color="0077BD"/>
              <w:right w:val="nil"/>
            </w:tcBorders>
            <w:shd w:val="clear" w:color="auto" w:fill="auto"/>
            <w:noWrap/>
            <w:vAlign w:val="center"/>
          </w:tcPr>
          <w:p w14:paraId="11AA2FBC" w14:textId="1320AEAC"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13 960</w:t>
            </w:r>
          </w:p>
        </w:tc>
        <w:tc>
          <w:tcPr>
            <w:tcW w:w="972" w:type="dxa"/>
            <w:tcBorders>
              <w:top w:val="nil"/>
              <w:left w:val="single" w:sz="8" w:space="0" w:color="0077BD"/>
              <w:bottom w:val="single" w:sz="4" w:space="0" w:color="0077BD"/>
              <w:right w:val="nil"/>
            </w:tcBorders>
            <w:shd w:val="clear" w:color="auto" w:fill="auto"/>
            <w:noWrap/>
            <w:vAlign w:val="center"/>
          </w:tcPr>
          <w:p w14:paraId="48F605E1" w14:textId="67D9BA5F"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7 897 010</w:t>
            </w:r>
          </w:p>
        </w:tc>
      </w:tr>
      <w:tr w:rsidR="00C34A0B" w:rsidRPr="00977E53" w14:paraId="7AAB78AF"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0B09D275" w14:textId="77777777" w:rsidR="00C34A0B" w:rsidRPr="00AF0169" w:rsidRDefault="00C34A0B" w:rsidP="00C34A0B">
            <w:pPr>
              <w:rPr>
                <w:rFonts w:cs="Calibri"/>
                <w:b/>
                <w:bCs/>
                <w:color w:val="000000" w:themeColor="text1"/>
                <w:sz w:val="11"/>
                <w:szCs w:val="11"/>
              </w:rPr>
            </w:pPr>
            <w:r w:rsidRPr="00AF0169">
              <w:rPr>
                <w:rFonts w:cs="Calibri"/>
                <w:b/>
                <w:bCs/>
                <w:color w:val="000000" w:themeColor="text1"/>
                <w:sz w:val="11"/>
                <w:szCs w:val="11"/>
              </w:rPr>
              <w:t>Aktywa finansowe przeznaczone do obrotu i instrumenty pochodne zabezpieczające</w:t>
            </w:r>
          </w:p>
        </w:tc>
        <w:tc>
          <w:tcPr>
            <w:tcW w:w="972" w:type="dxa"/>
            <w:tcBorders>
              <w:top w:val="nil"/>
              <w:left w:val="single" w:sz="8" w:space="0" w:color="0077BD"/>
              <w:bottom w:val="single" w:sz="4" w:space="0" w:color="0077BD"/>
              <w:right w:val="nil"/>
            </w:tcBorders>
            <w:shd w:val="clear" w:color="auto" w:fill="auto"/>
            <w:noWrap/>
            <w:vAlign w:val="center"/>
          </w:tcPr>
          <w:p w14:paraId="12DB8D2D" w14:textId="26CFD011"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2 643 346</w:t>
            </w:r>
          </w:p>
        </w:tc>
        <w:tc>
          <w:tcPr>
            <w:tcW w:w="972" w:type="dxa"/>
            <w:tcBorders>
              <w:top w:val="nil"/>
              <w:left w:val="single" w:sz="8" w:space="0" w:color="0077BD"/>
              <w:bottom w:val="single" w:sz="4" w:space="0" w:color="0077BD"/>
              <w:right w:val="nil"/>
            </w:tcBorders>
            <w:shd w:val="clear" w:color="auto" w:fill="auto"/>
            <w:noWrap/>
            <w:vAlign w:val="center"/>
          </w:tcPr>
          <w:p w14:paraId="0BC3B372" w14:textId="0D6DD1D4"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164 803</w:t>
            </w:r>
          </w:p>
        </w:tc>
        <w:tc>
          <w:tcPr>
            <w:tcW w:w="972" w:type="dxa"/>
            <w:tcBorders>
              <w:top w:val="nil"/>
              <w:left w:val="single" w:sz="8" w:space="0" w:color="0077BD"/>
              <w:bottom w:val="single" w:sz="4" w:space="0" w:color="0077BD"/>
              <w:right w:val="nil"/>
            </w:tcBorders>
            <w:shd w:val="clear" w:color="auto" w:fill="auto"/>
            <w:noWrap/>
            <w:vAlign w:val="center"/>
          </w:tcPr>
          <w:p w14:paraId="6DC7C373" w14:textId="49176797"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53 957</w:t>
            </w:r>
          </w:p>
        </w:tc>
        <w:tc>
          <w:tcPr>
            <w:tcW w:w="972" w:type="dxa"/>
            <w:tcBorders>
              <w:top w:val="nil"/>
              <w:left w:val="single" w:sz="8" w:space="0" w:color="0077BD"/>
              <w:bottom w:val="single" w:sz="4" w:space="0" w:color="0077BD"/>
              <w:right w:val="nil"/>
            </w:tcBorders>
            <w:shd w:val="clear" w:color="auto" w:fill="auto"/>
            <w:noWrap/>
            <w:vAlign w:val="center"/>
          </w:tcPr>
          <w:p w14:paraId="23A204F8" w14:textId="21EDE0D4"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3 926</w:t>
            </w:r>
          </w:p>
        </w:tc>
        <w:tc>
          <w:tcPr>
            <w:tcW w:w="972" w:type="dxa"/>
            <w:tcBorders>
              <w:top w:val="nil"/>
              <w:left w:val="single" w:sz="8" w:space="0" w:color="0077BD"/>
              <w:bottom w:val="single" w:sz="4" w:space="0" w:color="0077BD"/>
              <w:right w:val="nil"/>
            </w:tcBorders>
            <w:shd w:val="clear" w:color="auto" w:fill="auto"/>
            <w:noWrap/>
            <w:vAlign w:val="center"/>
          </w:tcPr>
          <w:p w14:paraId="19A5710B" w14:textId="3DD6D7BE"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2</w:t>
            </w:r>
          </w:p>
        </w:tc>
        <w:tc>
          <w:tcPr>
            <w:tcW w:w="972" w:type="dxa"/>
            <w:tcBorders>
              <w:top w:val="nil"/>
              <w:left w:val="single" w:sz="8" w:space="0" w:color="0077BD"/>
              <w:bottom w:val="single" w:sz="4" w:space="0" w:color="0077BD"/>
              <w:right w:val="nil"/>
            </w:tcBorders>
            <w:shd w:val="clear" w:color="auto" w:fill="auto"/>
            <w:noWrap/>
            <w:vAlign w:val="center"/>
          </w:tcPr>
          <w:p w14:paraId="7AEE6964" w14:textId="761F6CBC"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74E1C96" w14:textId="2E9B6AE6"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2 866 034</w:t>
            </w:r>
          </w:p>
        </w:tc>
      </w:tr>
      <w:tr w:rsidR="00C34A0B" w:rsidRPr="00977E53" w14:paraId="4EE1FDB0" w14:textId="77777777" w:rsidTr="008067D0">
        <w:trPr>
          <w:trHeight w:val="454"/>
        </w:trPr>
        <w:tc>
          <w:tcPr>
            <w:tcW w:w="2835" w:type="dxa"/>
            <w:tcBorders>
              <w:top w:val="nil"/>
              <w:left w:val="nil"/>
              <w:bottom w:val="single" w:sz="4" w:space="0" w:color="0077BD"/>
              <w:right w:val="single" w:sz="8" w:space="0" w:color="0077BD"/>
            </w:tcBorders>
            <w:shd w:val="clear" w:color="auto" w:fill="auto"/>
            <w:vAlign w:val="center"/>
            <w:hideMark/>
          </w:tcPr>
          <w:p w14:paraId="1F41DBBF" w14:textId="77777777" w:rsidR="00C34A0B" w:rsidRPr="00AF0169" w:rsidRDefault="00C34A0B" w:rsidP="00C34A0B">
            <w:pPr>
              <w:rPr>
                <w:rFonts w:cs="Calibri"/>
                <w:b/>
                <w:bCs/>
                <w:color w:val="000000" w:themeColor="text1"/>
                <w:sz w:val="11"/>
                <w:szCs w:val="11"/>
              </w:rPr>
            </w:pPr>
            <w:r w:rsidRPr="00AF0169">
              <w:rPr>
                <w:rFonts w:cs="Calibri"/>
                <w:b/>
                <w:bCs/>
                <w:color w:val="000000" w:themeColor="text1"/>
                <w:sz w:val="11"/>
                <w:szCs w:val="11"/>
              </w:rPr>
              <w:t>Aktywa finansowe nieprzeznaczone do obrotu wyceniane obowiązkowo w wartości godziwej przez wynik finansowy, w tym:</w:t>
            </w:r>
          </w:p>
        </w:tc>
        <w:tc>
          <w:tcPr>
            <w:tcW w:w="972" w:type="dxa"/>
            <w:tcBorders>
              <w:top w:val="nil"/>
              <w:left w:val="single" w:sz="8" w:space="0" w:color="0077BD"/>
              <w:bottom w:val="single" w:sz="4" w:space="0" w:color="0077BD"/>
              <w:right w:val="nil"/>
            </w:tcBorders>
            <w:shd w:val="clear" w:color="auto" w:fill="auto"/>
            <w:noWrap/>
            <w:vAlign w:val="center"/>
          </w:tcPr>
          <w:p w14:paraId="3C97DFC4" w14:textId="1B60C41C"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1 984 096</w:t>
            </w:r>
          </w:p>
        </w:tc>
        <w:tc>
          <w:tcPr>
            <w:tcW w:w="972" w:type="dxa"/>
            <w:tcBorders>
              <w:top w:val="nil"/>
              <w:left w:val="single" w:sz="8" w:space="0" w:color="0077BD"/>
              <w:bottom w:val="single" w:sz="4" w:space="0" w:color="0077BD"/>
              <w:right w:val="nil"/>
            </w:tcBorders>
            <w:shd w:val="clear" w:color="auto" w:fill="auto"/>
            <w:noWrap/>
            <w:vAlign w:val="center"/>
          </w:tcPr>
          <w:p w14:paraId="29703094" w14:textId="6A5035BE"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150 052</w:t>
            </w:r>
          </w:p>
        </w:tc>
        <w:tc>
          <w:tcPr>
            <w:tcW w:w="972" w:type="dxa"/>
            <w:tcBorders>
              <w:top w:val="nil"/>
              <w:left w:val="single" w:sz="8" w:space="0" w:color="0077BD"/>
              <w:bottom w:val="single" w:sz="4" w:space="0" w:color="0077BD"/>
              <w:right w:val="nil"/>
            </w:tcBorders>
            <w:shd w:val="clear" w:color="auto" w:fill="auto"/>
            <w:noWrap/>
            <w:vAlign w:val="center"/>
          </w:tcPr>
          <w:p w14:paraId="50047774" w14:textId="222AB67B"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133 774</w:t>
            </w:r>
          </w:p>
        </w:tc>
        <w:tc>
          <w:tcPr>
            <w:tcW w:w="972" w:type="dxa"/>
            <w:tcBorders>
              <w:top w:val="nil"/>
              <w:left w:val="single" w:sz="8" w:space="0" w:color="0077BD"/>
              <w:bottom w:val="single" w:sz="4" w:space="0" w:color="0077BD"/>
              <w:right w:val="nil"/>
            </w:tcBorders>
            <w:shd w:val="clear" w:color="auto" w:fill="auto"/>
            <w:noWrap/>
            <w:vAlign w:val="center"/>
          </w:tcPr>
          <w:p w14:paraId="5667873D" w14:textId="5BA75B35"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CBC10CA" w14:textId="3E62E7E1"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5DD0939" w14:textId="73668498"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BB7A280" w14:textId="3EF99D9A" w:rsidR="00C34A0B" w:rsidRPr="00AF0169" w:rsidRDefault="00C34A0B" w:rsidP="00C34A0B">
            <w:pPr>
              <w:jc w:val="right"/>
              <w:rPr>
                <w:rFonts w:cs="Calibri"/>
                <w:color w:val="000000" w:themeColor="text1"/>
                <w:sz w:val="11"/>
                <w:szCs w:val="11"/>
              </w:rPr>
            </w:pPr>
            <w:r w:rsidRPr="00AF0169">
              <w:rPr>
                <w:rFonts w:cs="Calibri"/>
                <w:color w:val="000000" w:themeColor="text1"/>
                <w:sz w:val="11"/>
                <w:szCs w:val="11"/>
              </w:rPr>
              <w:t>2 267 922</w:t>
            </w:r>
          </w:p>
        </w:tc>
      </w:tr>
      <w:tr w:rsidR="00C34A0B" w:rsidRPr="00977E53" w14:paraId="3CBFC4C6"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4ECE2613" w14:textId="77777777" w:rsidR="00C34A0B" w:rsidRPr="00AF0169" w:rsidRDefault="00C34A0B" w:rsidP="00C34A0B">
            <w:pPr>
              <w:rPr>
                <w:rFonts w:cs="Calibri"/>
                <w:i/>
                <w:iCs/>
                <w:color w:val="000000" w:themeColor="text1"/>
                <w:sz w:val="11"/>
                <w:szCs w:val="11"/>
              </w:rPr>
            </w:pPr>
            <w:r w:rsidRPr="00AF0169">
              <w:rPr>
                <w:rFonts w:cs="Calibri"/>
                <w:i/>
                <w:iCs/>
                <w:color w:val="000000" w:themeColor="text1"/>
                <w:sz w:val="11"/>
                <w:szCs w:val="11"/>
              </w:rPr>
              <w:t>Kapitałowe papiery wartościowe</w:t>
            </w:r>
          </w:p>
        </w:tc>
        <w:tc>
          <w:tcPr>
            <w:tcW w:w="972" w:type="dxa"/>
            <w:tcBorders>
              <w:top w:val="nil"/>
              <w:left w:val="single" w:sz="8" w:space="0" w:color="0077BD"/>
              <w:bottom w:val="single" w:sz="4" w:space="0" w:color="0077BD"/>
              <w:right w:val="nil"/>
            </w:tcBorders>
            <w:shd w:val="clear" w:color="auto" w:fill="auto"/>
            <w:noWrap/>
            <w:vAlign w:val="center"/>
          </w:tcPr>
          <w:p w14:paraId="55977846" w14:textId="091FE375"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161 577</w:t>
            </w:r>
          </w:p>
        </w:tc>
        <w:tc>
          <w:tcPr>
            <w:tcW w:w="972" w:type="dxa"/>
            <w:tcBorders>
              <w:top w:val="nil"/>
              <w:left w:val="single" w:sz="8" w:space="0" w:color="0077BD"/>
              <w:bottom w:val="single" w:sz="4" w:space="0" w:color="0077BD"/>
              <w:right w:val="nil"/>
            </w:tcBorders>
            <w:shd w:val="clear" w:color="auto" w:fill="auto"/>
            <w:noWrap/>
            <w:vAlign w:val="center"/>
          </w:tcPr>
          <w:p w14:paraId="2EEDF94F" w14:textId="2765B00F"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1 039</w:t>
            </w:r>
          </w:p>
        </w:tc>
        <w:tc>
          <w:tcPr>
            <w:tcW w:w="972" w:type="dxa"/>
            <w:tcBorders>
              <w:top w:val="nil"/>
              <w:left w:val="single" w:sz="8" w:space="0" w:color="0077BD"/>
              <w:bottom w:val="single" w:sz="4" w:space="0" w:color="0077BD"/>
              <w:right w:val="nil"/>
            </w:tcBorders>
            <w:shd w:val="clear" w:color="auto" w:fill="auto"/>
            <w:noWrap/>
            <w:vAlign w:val="center"/>
          </w:tcPr>
          <w:p w14:paraId="7A822A68" w14:textId="031FFDE7"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EA1C865" w14:textId="7D5C4135"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F91CB31" w14:textId="573E9A99"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72D046C" w14:textId="17BDB23B"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050F731D" w14:textId="636B4252"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162 616</w:t>
            </w:r>
          </w:p>
        </w:tc>
      </w:tr>
      <w:tr w:rsidR="00C34A0B" w:rsidRPr="00977E53" w14:paraId="24F23A2F"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23ECC456" w14:textId="77777777" w:rsidR="00C34A0B" w:rsidRPr="00AF0169" w:rsidRDefault="00C34A0B" w:rsidP="00C34A0B">
            <w:pPr>
              <w:rPr>
                <w:rFonts w:cs="Calibri"/>
                <w:i/>
                <w:iCs/>
                <w:color w:val="000000" w:themeColor="text1"/>
                <w:sz w:val="11"/>
                <w:szCs w:val="11"/>
              </w:rPr>
            </w:pPr>
            <w:r w:rsidRPr="00AF0169">
              <w:rPr>
                <w:rFonts w:cs="Calibri"/>
                <w:i/>
                <w:iCs/>
                <w:color w:val="000000" w:themeColor="text1"/>
                <w:sz w:val="11"/>
                <w:szCs w:val="11"/>
              </w:rPr>
              <w:t>Dłużne papiery wartościowe</w:t>
            </w:r>
          </w:p>
        </w:tc>
        <w:tc>
          <w:tcPr>
            <w:tcW w:w="972" w:type="dxa"/>
            <w:tcBorders>
              <w:top w:val="nil"/>
              <w:left w:val="single" w:sz="8" w:space="0" w:color="0077BD"/>
              <w:bottom w:val="single" w:sz="4" w:space="0" w:color="0077BD"/>
              <w:right w:val="nil"/>
            </w:tcBorders>
            <w:shd w:val="clear" w:color="auto" w:fill="auto"/>
            <w:noWrap/>
            <w:vAlign w:val="center"/>
          </w:tcPr>
          <w:p w14:paraId="4D34DA01" w14:textId="24DC292B"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F9C2C21" w14:textId="2D24273F"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555F10A" w14:textId="5F026072"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133 774</w:t>
            </w:r>
          </w:p>
        </w:tc>
        <w:tc>
          <w:tcPr>
            <w:tcW w:w="972" w:type="dxa"/>
            <w:tcBorders>
              <w:top w:val="nil"/>
              <w:left w:val="single" w:sz="8" w:space="0" w:color="0077BD"/>
              <w:bottom w:val="single" w:sz="4" w:space="0" w:color="0077BD"/>
              <w:right w:val="nil"/>
            </w:tcBorders>
            <w:shd w:val="clear" w:color="auto" w:fill="auto"/>
            <w:noWrap/>
            <w:vAlign w:val="center"/>
          </w:tcPr>
          <w:p w14:paraId="6D0CDAA1" w14:textId="793AD6F8"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12C5611" w14:textId="6155D4F6"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CEE7C27" w14:textId="34D7DEB9"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41DC3EE" w14:textId="588834A0" w:rsidR="00C34A0B" w:rsidRPr="00AF0169" w:rsidRDefault="00C34A0B" w:rsidP="00C34A0B">
            <w:pPr>
              <w:jc w:val="right"/>
              <w:rPr>
                <w:rFonts w:cs="Calibri"/>
                <w:i/>
                <w:iCs/>
                <w:color w:val="000000" w:themeColor="text1"/>
                <w:sz w:val="11"/>
                <w:szCs w:val="11"/>
              </w:rPr>
            </w:pPr>
            <w:r w:rsidRPr="00AF0169">
              <w:rPr>
                <w:rFonts w:cs="Calibri"/>
                <w:i/>
                <w:iCs/>
                <w:color w:val="000000" w:themeColor="text1"/>
                <w:sz w:val="11"/>
                <w:szCs w:val="11"/>
              </w:rPr>
              <w:t>133 774</w:t>
            </w:r>
          </w:p>
        </w:tc>
      </w:tr>
      <w:tr w:rsidR="003F2662" w:rsidRPr="00977E53" w14:paraId="03B59A35"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7BAEE3CE" w14:textId="77777777" w:rsidR="003F2662" w:rsidRPr="00AF0169" w:rsidRDefault="003F2662" w:rsidP="003F2662">
            <w:pPr>
              <w:rPr>
                <w:rFonts w:cs="Calibri"/>
                <w:i/>
                <w:iCs/>
                <w:color w:val="000000" w:themeColor="text1"/>
                <w:sz w:val="11"/>
                <w:szCs w:val="11"/>
              </w:rPr>
            </w:pPr>
            <w:r w:rsidRPr="00AF0169">
              <w:rPr>
                <w:rFonts w:cs="Calibri"/>
                <w:i/>
                <w:iCs/>
                <w:color w:val="000000" w:themeColor="text1"/>
                <w:sz w:val="11"/>
                <w:szCs w:val="11"/>
              </w:rPr>
              <w:t>Kredyty i pożyczki udzielone klientom</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F6641A7" w14:textId="5D06CA3B"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1 822 519</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0F1B28F" w14:textId="68891166"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149 013</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235BDA6A" w14:textId="6D6D5955"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5D6CC68" w14:textId="17090592"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C6C7896" w14:textId="502776E6"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85B0549" w14:textId="15092CA0"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6E67F7B" w14:textId="1C01AC27" w:rsidR="003F2662" w:rsidRPr="00AF0169" w:rsidRDefault="003F2662" w:rsidP="003F2662">
            <w:pPr>
              <w:jc w:val="right"/>
              <w:rPr>
                <w:rFonts w:cs="Calibri"/>
                <w:i/>
                <w:iCs/>
                <w:color w:val="000000" w:themeColor="text1"/>
                <w:sz w:val="11"/>
                <w:szCs w:val="11"/>
              </w:rPr>
            </w:pPr>
            <w:r w:rsidRPr="00AF0169">
              <w:rPr>
                <w:rFonts w:cs="Calibri"/>
                <w:i/>
                <w:iCs/>
                <w:color w:val="000000" w:themeColor="text1"/>
                <w:sz w:val="11"/>
                <w:szCs w:val="11"/>
              </w:rPr>
              <w:t>1 971 532</w:t>
            </w:r>
          </w:p>
        </w:tc>
      </w:tr>
      <w:tr w:rsidR="001C4AD0" w:rsidRPr="00977E53" w14:paraId="436DCCE2"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68E994EE" w14:textId="77777777" w:rsidR="001C4AD0" w:rsidRPr="00AF0169" w:rsidRDefault="001C4AD0" w:rsidP="001C4AD0">
            <w:pPr>
              <w:rPr>
                <w:rFonts w:cs="Calibri"/>
                <w:b/>
                <w:bCs/>
                <w:color w:val="000000" w:themeColor="text1"/>
                <w:sz w:val="11"/>
                <w:szCs w:val="11"/>
              </w:rPr>
            </w:pPr>
            <w:r w:rsidRPr="00AF0169">
              <w:rPr>
                <w:rFonts w:cs="Calibri"/>
                <w:b/>
                <w:bCs/>
                <w:color w:val="000000" w:themeColor="text1"/>
                <w:sz w:val="11"/>
                <w:szCs w:val="11"/>
              </w:rPr>
              <w:t>Aktywa finansowe wyceniane w wartości godziwej przez pozostałe całkowite dochody</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40358B5" w14:textId="2D510D39"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21 893 509</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F6F0752" w14:textId="1974FCE1"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549 880</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178C064" w14:textId="38160DEB"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76 748</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0796982" w14:textId="4120C378"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2CD18E5F" w14:textId="20F796EE"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253 784</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E4FACCC" w14:textId="5565F51D"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51A50997" w14:textId="43792C68"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22 773 921</w:t>
            </w:r>
          </w:p>
        </w:tc>
      </w:tr>
      <w:tr w:rsidR="001C4AD0" w:rsidRPr="00977E53" w14:paraId="08680129"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6659CA93" w14:textId="77777777" w:rsidR="001C4AD0" w:rsidRPr="00AF0169" w:rsidRDefault="001C4AD0" w:rsidP="001C4AD0">
            <w:pPr>
              <w:rPr>
                <w:rFonts w:cs="Calibri"/>
                <w:b/>
                <w:bCs/>
                <w:color w:val="000000" w:themeColor="text1"/>
                <w:sz w:val="11"/>
                <w:szCs w:val="11"/>
              </w:rPr>
            </w:pPr>
            <w:r w:rsidRPr="00AF0169">
              <w:rPr>
                <w:rFonts w:cs="Calibri"/>
                <w:b/>
                <w:bCs/>
                <w:color w:val="000000" w:themeColor="text1"/>
                <w:sz w:val="11"/>
                <w:szCs w:val="11"/>
              </w:rPr>
              <w:t>Aktywa finansowe wyceniane w zamortyzowanym koszcie, w tym:</w:t>
            </w:r>
          </w:p>
        </w:tc>
        <w:tc>
          <w:tcPr>
            <w:tcW w:w="972" w:type="dxa"/>
            <w:tcBorders>
              <w:top w:val="nil"/>
              <w:left w:val="single" w:sz="8" w:space="0" w:color="0077BD"/>
              <w:bottom w:val="single" w:sz="4" w:space="0" w:color="0077BD"/>
              <w:right w:val="nil"/>
            </w:tcBorders>
            <w:shd w:val="clear" w:color="auto" w:fill="auto"/>
            <w:noWrap/>
            <w:vAlign w:val="center"/>
          </w:tcPr>
          <w:p w14:paraId="1DBD4664" w14:textId="1AA96794"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80 080 299</w:t>
            </w:r>
          </w:p>
        </w:tc>
        <w:tc>
          <w:tcPr>
            <w:tcW w:w="972" w:type="dxa"/>
            <w:tcBorders>
              <w:top w:val="nil"/>
              <w:left w:val="single" w:sz="8" w:space="0" w:color="0077BD"/>
              <w:bottom w:val="single" w:sz="4" w:space="0" w:color="0077BD"/>
              <w:right w:val="nil"/>
            </w:tcBorders>
            <w:shd w:val="clear" w:color="auto" w:fill="auto"/>
            <w:noWrap/>
            <w:vAlign w:val="center"/>
          </w:tcPr>
          <w:p w14:paraId="01422DC5" w14:textId="6FF74B6A"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16 139 899</w:t>
            </w:r>
          </w:p>
        </w:tc>
        <w:tc>
          <w:tcPr>
            <w:tcW w:w="972" w:type="dxa"/>
            <w:tcBorders>
              <w:top w:val="nil"/>
              <w:left w:val="single" w:sz="8" w:space="0" w:color="0077BD"/>
              <w:bottom w:val="single" w:sz="4" w:space="0" w:color="0077BD"/>
              <w:right w:val="nil"/>
            </w:tcBorders>
            <w:shd w:val="clear" w:color="auto" w:fill="auto"/>
            <w:noWrap/>
            <w:vAlign w:val="center"/>
          </w:tcPr>
          <w:p w14:paraId="62E27DF6" w14:textId="7D15199D"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1 127 263</w:t>
            </w:r>
          </w:p>
        </w:tc>
        <w:tc>
          <w:tcPr>
            <w:tcW w:w="972" w:type="dxa"/>
            <w:tcBorders>
              <w:top w:val="nil"/>
              <w:left w:val="single" w:sz="8" w:space="0" w:color="0077BD"/>
              <w:bottom w:val="single" w:sz="4" w:space="0" w:color="0077BD"/>
              <w:right w:val="nil"/>
            </w:tcBorders>
            <w:shd w:val="clear" w:color="auto" w:fill="auto"/>
            <w:noWrap/>
            <w:vAlign w:val="center"/>
          </w:tcPr>
          <w:p w14:paraId="26072455" w14:textId="2D84A2D5"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13 945 654</w:t>
            </w:r>
          </w:p>
        </w:tc>
        <w:tc>
          <w:tcPr>
            <w:tcW w:w="972" w:type="dxa"/>
            <w:tcBorders>
              <w:top w:val="nil"/>
              <w:left w:val="single" w:sz="8" w:space="0" w:color="0077BD"/>
              <w:bottom w:val="single" w:sz="4" w:space="0" w:color="0077BD"/>
              <w:right w:val="nil"/>
            </w:tcBorders>
            <w:shd w:val="clear" w:color="auto" w:fill="auto"/>
            <w:noWrap/>
            <w:vAlign w:val="center"/>
          </w:tcPr>
          <w:p w14:paraId="7B098746" w14:textId="54679686"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7 352 302</w:t>
            </w:r>
          </w:p>
        </w:tc>
        <w:tc>
          <w:tcPr>
            <w:tcW w:w="972" w:type="dxa"/>
            <w:tcBorders>
              <w:top w:val="nil"/>
              <w:left w:val="single" w:sz="8" w:space="0" w:color="0077BD"/>
              <w:bottom w:val="single" w:sz="4" w:space="0" w:color="0077BD"/>
              <w:right w:val="nil"/>
            </w:tcBorders>
            <w:shd w:val="clear" w:color="auto" w:fill="auto"/>
            <w:noWrap/>
            <w:vAlign w:val="center"/>
          </w:tcPr>
          <w:p w14:paraId="379783B0" w14:textId="25068805"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134 468</w:t>
            </w:r>
          </w:p>
        </w:tc>
        <w:tc>
          <w:tcPr>
            <w:tcW w:w="972" w:type="dxa"/>
            <w:tcBorders>
              <w:top w:val="nil"/>
              <w:left w:val="single" w:sz="8" w:space="0" w:color="0077BD"/>
              <w:bottom w:val="single" w:sz="4" w:space="0" w:color="0077BD"/>
              <w:right w:val="nil"/>
            </w:tcBorders>
            <w:shd w:val="clear" w:color="auto" w:fill="auto"/>
            <w:noWrap/>
            <w:vAlign w:val="center"/>
          </w:tcPr>
          <w:p w14:paraId="4AA3C922" w14:textId="069CEC88" w:rsidR="001C4AD0" w:rsidRPr="00AF0169" w:rsidRDefault="001C4AD0" w:rsidP="001C4AD0">
            <w:pPr>
              <w:jc w:val="right"/>
              <w:rPr>
                <w:rFonts w:cs="Calibri"/>
                <w:color w:val="000000" w:themeColor="text1"/>
                <w:sz w:val="11"/>
                <w:szCs w:val="11"/>
              </w:rPr>
            </w:pPr>
            <w:r w:rsidRPr="00AF0169">
              <w:rPr>
                <w:rFonts w:cs="Calibri"/>
                <w:color w:val="000000" w:themeColor="text1"/>
                <w:sz w:val="11"/>
                <w:szCs w:val="11"/>
              </w:rPr>
              <w:t>118 779 885</w:t>
            </w:r>
          </w:p>
        </w:tc>
      </w:tr>
      <w:tr w:rsidR="001C4AD0" w:rsidRPr="00977E53" w14:paraId="11B35AD6"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9013346" w14:textId="77777777" w:rsidR="001C4AD0" w:rsidRPr="00AF0169" w:rsidRDefault="001C4AD0" w:rsidP="001C4AD0">
            <w:pPr>
              <w:rPr>
                <w:rFonts w:cs="Calibri"/>
                <w:i/>
                <w:iCs/>
                <w:color w:val="000000" w:themeColor="text1"/>
                <w:sz w:val="11"/>
                <w:szCs w:val="11"/>
              </w:rPr>
            </w:pPr>
            <w:r w:rsidRPr="00AF0169">
              <w:rPr>
                <w:rFonts w:cs="Calibri"/>
                <w:i/>
                <w:iCs/>
                <w:color w:val="000000" w:themeColor="text1"/>
                <w:sz w:val="11"/>
                <w:szCs w:val="11"/>
              </w:rPr>
              <w:t>Dłużne papiery wartościowe</w:t>
            </w:r>
          </w:p>
        </w:tc>
        <w:tc>
          <w:tcPr>
            <w:tcW w:w="972" w:type="dxa"/>
            <w:tcBorders>
              <w:top w:val="nil"/>
              <w:left w:val="single" w:sz="8" w:space="0" w:color="0077BD"/>
              <w:bottom w:val="single" w:sz="4" w:space="0" w:color="0077BD"/>
              <w:right w:val="nil"/>
            </w:tcBorders>
            <w:shd w:val="clear" w:color="auto" w:fill="auto"/>
            <w:noWrap/>
            <w:vAlign w:val="center"/>
          </w:tcPr>
          <w:p w14:paraId="5E18D2CE" w14:textId="4D2AC02C"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11 234 873</w:t>
            </w:r>
          </w:p>
        </w:tc>
        <w:tc>
          <w:tcPr>
            <w:tcW w:w="972" w:type="dxa"/>
            <w:tcBorders>
              <w:top w:val="nil"/>
              <w:left w:val="single" w:sz="8" w:space="0" w:color="0077BD"/>
              <w:bottom w:val="single" w:sz="4" w:space="0" w:color="0077BD"/>
              <w:right w:val="nil"/>
            </w:tcBorders>
            <w:shd w:val="clear" w:color="auto" w:fill="auto"/>
            <w:noWrap/>
            <w:vAlign w:val="center"/>
          </w:tcPr>
          <w:p w14:paraId="795C0286" w14:textId="7C1B3C9C"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9D9B8C7" w14:textId="3BF12AB4"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0928BEE" w14:textId="2E0002F3"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10ED092" w14:textId="517DE9A9"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0646A34" w14:textId="6679D9E0"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74AF559" w14:textId="6BA84C46"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11 234 873</w:t>
            </w:r>
          </w:p>
        </w:tc>
      </w:tr>
      <w:tr w:rsidR="001C4AD0" w:rsidRPr="00977E53" w14:paraId="7EBCC57C"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28B06ED4" w14:textId="77777777" w:rsidR="001C4AD0" w:rsidRPr="00AF0169" w:rsidRDefault="001C4AD0" w:rsidP="001C4AD0">
            <w:pPr>
              <w:rPr>
                <w:rFonts w:cs="Calibri"/>
                <w:i/>
                <w:iCs/>
                <w:color w:val="000000" w:themeColor="text1"/>
                <w:sz w:val="11"/>
                <w:szCs w:val="11"/>
              </w:rPr>
            </w:pPr>
            <w:r w:rsidRPr="00AF0169">
              <w:rPr>
                <w:rFonts w:cs="Calibri"/>
                <w:i/>
                <w:iCs/>
                <w:color w:val="000000" w:themeColor="text1"/>
                <w:sz w:val="11"/>
                <w:szCs w:val="11"/>
              </w:rPr>
              <w:t>Należności od banków</w:t>
            </w:r>
          </w:p>
        </w:tc>
        <w:tc>
          <w:tcPr>
            <w:tcW w:w="972" w:type="dxa"/>
            <w:tcBorders>
              <w:top w:val="nil"/>
              <w:left w:val="single" w:sz="8" w:space="0" w:color="0077BD"/>
              <w:bottom w:val="single" w:sz="4" w:space="0" w:color="0077BD"/>
              <w:right w:val="nil"/>
            </w:tcBorders>
            <w:shd w:val="clear" w:color="auto" w:fill="auto"/>
            <w:noWrap/>
            <w:vAlign w:val="center"/>
          </w:tcPr>
          <w:p w14:paraId="13987F81" w14:textId="32831AD5"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239 794</w:t>
            </w:r>
          </w:p>
        </w:tc>
        <w:tc>
          <w:tcPr>
            <w:tcW w:w="972" w:type="dxa"/>
            <w:tcBorders>
              <w:top w:val="nil"/>
              <w:left w:val="single" w:sz="8" w:space="0" w:color="0077BD"/>
              <w:bottom w:val="single" w:sz="4" w:space="0" w:color="0077BD"/>
              <w:right w:val="nil"/>
            </w:tcBorders>
            <w:shd w:val="clear" w:color="auto" w:fill="auto"/>
            <w:noWrap/>
            <w:vAlign w:val="center"/>
          </w:tcPr>
          <w:p w14:paraId="5C602C16" w14:textId="6AA92B87"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498 310</w:t>
            </w:r>
          </w:p>
        </w:tc>
        <w:tc>
          <w:tcPr>
            <w:tcW w:w="972" w:type="dxa"/>
            <w:tcBorders>
              <w:top w:val="nil"/>
              <w:left w:val="single" w:sz="8" w:space="0" w:color="0077BD"/>
              <w:bottom w:val="single" w:sz="4" w:space="0" w:color="0077BD"/>
              <w:right w:val="nil"/>
            </w:tcBorders>
            <w:shd w:val="clear" w:color="auto" w:fill="auto"/>
            <w:noWrap/>
            <w:vAlign w:val="center"/>
          </w:tcPr>
          <w:p w14:paraId="708838FB" w14:textId="76F7C530"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91 344</w:t>
            </w:r>
          </w:p>
        </w:tc>
        <w:tc>
          <w:tcPr>
            <w:tcW w:w="972" w:type="dxa"/>
            <w:tcBorders>
              <w:top w:val="nil"/>
              <w:left w:val="single" w:sz="8" w:space="0" w:color="0077BD"/>
              <w:bottom w:val="single" w:sz="4" w:space="0" w:color="0077BD"/>
              <w:right w:val="nil"/>
            </w:tcBorders>
            <w:shd w:val="clear" w:color="auto" w:fill="auto"/>
            <w:noWrap/>
            <w:vAlign w:val="center"/>
          </w:tcPr>
          <w:p w14:paraId="34FEF217" w14:textId="1A54B8E7"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1 019</w:t>
            </w:r>
          </w:p>
        </w:tc>
        <w:tc>
          <w:tcPr>
            <w:tcW w:w="972" w:type="dxa"/>
            <w:tcBorders>
              <w:top w:val="nil"/>
              <w:left w:val="single" w:sz="8" w:space="0" w:color="0077BD"/>
              <w:bottom w:val="single" w:sz="4" w:space="0" w:color="0077BD"/>
              <w:right w:val="nil"/>
            </w:tcBorders>
            <w:shd w:val="clear" w:color="auto" w:fill="auto"/>
            <w:noWrap/>
            <w:vAlign w:val="center"/>
          </w:tcPr>
          <w:p w14:paraId="339A2E67" w14:textId="3F463023"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3 485 083</w:t>
            </w:r>
          </w:p>
        </w:tc>
        <w:tc>
          <w:tcPr>
            <w:tcW w:w="972" w:type="dxa"/>
            <w:tcBorders>
              <w:top w:val="nil"/>
              <w:left w:val="single" w:sz="8" w:space="0" w:color="0077BD"/>
              <w:bottom w:val="single" w:sz="4" w:space="0" w:color="0077BD"/>
              <w:right w:val="nil"/>
            </w:tcBorders>
            <w:shd w:val="clear" w:color="auto" w:fill="auto"/>
            <w:noWrap/>
            <w:vAlign w:val="center"/>
          </w:tcPr>
          <w:p w14:paraId="3CF2FB49" w14:textId="02B18DBA"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26 208</w:t>
            </w:r>
          </w:p>
        </w:tc>
        <w:tc>
          <w:tcPr>
            <w:tcW w:w="972" w:type="dxa"/>
            <w:tcBorders>
              <w:top w:val="nil"/>
              <w:left w:val="single" w:sz="8" w:space="0" w:color="0077BD"/>
              <w:bottom w:val="single" w:sz="4" w:space="0" w:color="0077BD"/>
              <w:right w:val="nil"/>
            </w:tcBorders>
            <w:shd w:val="clear" w:color="auto" w:fill="auto"/>
            <w:noWrap/>
            <w:vAlign w:val="center"/>
          </w:tcPr>
          <w:p w14:paraId="509EFF81" w14:textId="7096D855"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4 341 758</w:t>
            </w:r>
          </w:p>
        </w:tc>
      </w:tr>
      <w:tr w:rsidR="001C4AD0" w:rsidRPr="00977E53" w14:paraId="4AB17C48"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2AF12D25" w14:textId="77777777" w:rsidR="001C4AD0" w:rsidRPr="00AF0169" w:rsidRDefault="001C4AD0" w:rsidP="001C4AD0">
            <w:pPr>
              <w:rPr>
                <w:rFonts w:cs="Calibri"/>
                <w:i/>
                <w:iCs/>
                <w:color w:val="000000" w:themeColor="text1"/>
                <w:sz w:val="11"/>
                <w:szCs w:val="11"/>
              </w:rPr>
            </w:pPr>
            <w:r w:rsidRPr="00AF0169">
              <w:rPr>
                <w:rFonts w:cs="Calibri"/>
                <w:i/>
                <w:iCs/>
                <w:color w:val="000000" w:themeColor="text1"/>
                <w:sz w:val="11"/>
                <w:szCs w:val="11"/>
              </w:rPr>
              <w:t>Kredyty i pożyczki udzielone klientom</w:t>
            </w:r>
          </w:p>
        </w:tc>
        <w:tc>
          <w:tcPr>
            <w:tcW w:w="972" w:type="dxa"/>
            <w:tcBorders>
              <w:top w:val="nil"/>
              <w:left w:val="single" w:sz="8" w:space="0" w:color="0077BD"/>
              <w:bottom w:val="single" w:sz="4" w:space="0" w:color="0077BD"/>
              <w:right w:val="nil"/>
            </w:tcBorders>
            <w:shd w:val="clear" w:color="auto" w:fill="auto"/>
            <w:noWrap/>
            <w:vAlign w:val="center"/>
          </w:tcPr>
          <w:p w14:paraId="015DAB1A" w14:textId="65F624D2"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68 605 632</w:t>
            </w:r>
          </w:p>
        </w:tc>
        <w:tc>
          <w:tcPr>
            <w:tcW w:w="972" w:type="dxa"/>
            <w:tcBorders>
              <w:top w:val="nil"/>
              <w:left w:val="single" w:sz="8" w:space="0" w:color="0077BD"/>
              <w:bottom w:val="single" w:sz="4" w:space="0" w:color="0077BD"/>
              <w:right w:val="nil"/>
            </w:tcBorders>
            <w:shd w:val="clear" w:color="auto" w:fill="auto"/>
            <w:noWrap/>
            <w:vAlign w:val="center"/>
          </w:tcPr>
          <w:p w14:paraId="0179C2F1" w14:textId="2EEF8B72"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15 641 589</w:t>
            </w:r>
          </w:p>
        </w:tc>
        <w:tc>
          <w:tcPr>
            <w:tcW w:w="972" w:type="dxa"/>
            <w:tcBorders>
              <w:top w:val="nil"/>
              <w:left w:val="single" w:sz="8" w:space="0" w:color="0077BD"/>
              <w:bottom w:val="single" w:sz="4" w:space="0" w:color="0077BD"/>
              <w:right w:val="nil"/>
            </w:tcBorders>
            <w:shd w:val="clear" w:color="auto" w:fill="auto"/>
            <w:noWrap/>
            <w:vAlign w:val="center"/>
          </w:tcPr>
          <w:p w14:paraId="37383766" w14:textId="36C55142"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1 035 919</w:t>
            </w:r>
          </w:p>
        </w:tc>
        <w:tc>
          <w:tcPr>
            <w:tcW w:w="972" w:type="dxa"/>
            <w:tcBorders>
              <w:top w:val="nil"/>
              <w:left w:val="single" w:sz="8" w:space="0" w:color="0077BD"/>
              <w:bottom w:val="single" w:sz="4" w:space="0" w:color="0077BD"/>
              <w:right w:val="nil"/>
            </w:tcBorders>
            <w:shd w:val="clear" w:color="auto" w:fill="auto"/>
            <w:noWrap/>
            <w:vAlign w:val="center"/>
          </w:tcPr>
          <w:p w14:paraId="02B20A9A" w14:textId="4ACB1755"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13 944 635</w:t>
            </w:r>
          </w:p>
        </w:tc>
        <w:tc>
          <w:tcPr>
            <w:tcW w:w="972" w:type="dxa"/>
            <w:tcBorders>
              <w:top w:val="nil"/>
              <w:left w:val="single" w:sz="8" w:space="0" w:color="0077BD"/>
              <w:bottom w:val="single" w:sz="4" w:space="0" w:color="0077BD"/>
              <w:right w:val="nil"/>
            </w:tcBorders>
            <w:shd w:val="clear" w:color="auto" w:fill="auto"/>
            <w:noWrap/>
            <w:vAlign w:val="center"/>
          </w:tcPr>
          <w:p w14:paraId="034D6634" w14:textId="6C4B0738"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3 867 219</w:t>
            </w:r>
          </w:p>
        </w:tc>
        <w:tc>
          <w:tcPr>
            <w:tcW w:w="972" w:type="dxa"/>
            <w:tcBorders>
              <w:top w:val="nil"/>
              <w:left w:val="single" w:sz="8" w:space="0" w:color="0077BD"/>
              <w:bottom w:val="single" w:sz="4" w:space="0" w:color="0077BD"/>
              <w:right w:val="nil"/>
            </w:tcBorders>
            <w:shd w:val="clear" w:color="auto" w:fill="auto"/>
            <w:noWrap/>
            <w:vAlign w:val="center"/>
          </w:tcPr>
          <w:p w14:paraId="4B568B78" w14:textId="1560EC67"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108 260</w:t>
            </w:r>
          </w:p>
        </w:tc>
        <w:tc>
          <w:tcPr>
            <w:tcW w:w="972" w:type="dxa"/>
            <w:tcBorders>
              <w:top w:val="nil"/>
              <w:left w:val="single" w:sz="8" w:space="0" w:color="0077BD"/>
              <w:bottom w:val="single" w:sz="4" w:space="0" w:color="0077BD"/>
              <w:right w:val="nil"/>
            </w:tcBorders>
            <w:shd w:val="clear" w:color="auto" w:fill="auto"/>
            <w:noWrap/>
            <w:vAlign w:val="center"/>
          </w:tcPr>
          <w:p w14:paraId="52315C5F" w14:textId="4259E50A" w:rsidR="001C4AD0" w:rsidRPr="00AF0169" w:rsidRDefault="001C4AD0" w:rsidP="001C4AD0">
            <w:pPr>
              <w:jc w:val="right"/>
              <w:rPr>
                <w:rFonts w:cs="Calibri"/>
                <w:i/>
                <w:iCs/>
                <w:color w:val="000000" w:themeColor="text1"/>
                <w:sz w:val="11"/>
                <w:szCs w:val="11"/>
              </w:rPr>
            </w:pPr>
            <w:r w:rsidRPr="00AF0169">
              <w:rPr>
                <w:rFonts w:cs="Calibri"/>
                <w:i/>
                <w:iCs/>
                <w:color w:val="000000" w:themeColor="text1"/>
                <w:sz w:val="11"/>
                <w:szCs w:val="11"/>
              </w:rPr>
              <w:t>103 203 254</w:t>
            </w:r>
          </w:p>
        </w:tc>
      </w:tr>
      <w:tr w:rsidR="00C73BF6" w:rsidRPr="00977E53" w14:paraId="43FDA2F1" w14:textId="77777777" w:rsidTr="008067D0">
        <w:trPr>
          <w:trHeight w:val="454"/>
        </w:trPr>
        <w:tc>
          <w:tcPr>
            <w:tcW w:w="2835" w:type="dxa"/>
            <w:tcBorders>
              <w:top w:val="nil"/>
              <w:left w:val="nil"/>
              <w:bottom w:val="single" w:sz="4" w:space="0" w:color="0077BD"/>
              <w:right w:val="single" w:sz="8" w:space="0" w:color="0077BD"/>
            </w:tcBorders>
            <w:shd w:val="clear" w:color="auto" w:fill="auto"/>
            <w:vAlign w:val="center"/>
          </w:tcPr>
          <w:p w14:paraId="1E63C0F4" w14:textId="4A09375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Aktywa trwałe i grupy do zbycia sklasyfikowane jako przeznaczone do sprzedaży</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3EE0503" w14:textId="531606E7"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10 651</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0D434306" w14:textId="0F13BC8A"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86EE544" w14:textId="0334ADD6"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015E425D" w14:textId="16FDAAF5"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824A967" w14:textId="1C944609"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51839010" w14:textId="7F4F8741"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3F3A8B45" w14:textId="2904CD76"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10 651</w:t>
            </w:r>
          </w:p>
        </w:tc>
      </w:tr>
      <w:tr w:rsidR="00C73BF6" w:rsidRPr="00977E53" w14:paraId="1B02B81E"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5F9B2D8" w14:textId="7777777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Wartości niematerialne</w:t>
            </w:r>
          </w:p>
        </w:tc>
        <w:tc>
          <w:tcPr>
            <w:tcW w:w="972" w:type="dxa"/>
            <w:tcBorders>
              <w:top w:val="nil"/>
              <w:left w:val="single" w:sz="8" w:space="0" w:color="0077BD"/>
              <w:bottom w:val="single" w:sz="4" w:space="0" w:color="0077BD"/>
              <w:right w:val="nil"/>
            </w:tcBorders>
            <w:shd w:val="clear" w:color="auto" w:fill="auto"/>
            <w:noWrap/>
            <w:vAlign w:val="center"/>
          </w:tcPr>
          <w:p w14:paraId="274ED665" w14:textId="384B03A8"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955 188</w:t>
            </w:r>
          </w:p>
        </w:tc>
        <w:tc>
          <w:tcPr>
            <w:tcW w:w="972" w:type="dxa"/>
            <w:tcBorders>
              <w:top w:val="nil"/>
              <w:left w:val="single" w:sz="8" w:space="0" w:color="0077BD"/>
              <w:bottom w:val="single" w:sz="4" w:space="0" w:color="0077BD"/>
              <w:right w:val="nil"/>
            </w:tcBorders>
            <w:shd w:val="clear" w:color="auto" w:fill="auto"/>
            <w:noWrap/>
            <w:vAlign w:val="center"/>
          </w:tcPr>
          <w:p w14:paraId="1683B6F0" w14:textId="30D80B11"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38</w:t>
            </w:r>
          </w:p>
        </w:tc>
        <w:tc>
          <w:tcPr>
            <w:tcW w:w="972" w:type="dxa"/>
            <w:tcBorders>
              <w:top w:val="nil"/>
              <w:left w:val="single" w:sz="8" w:space="0" w:color="0077BD"/>
              <w:bottom w:val="single" w:sz="4" w:space="0" w:color="0077BD"/>
              <w:right w:val="nil"/>
            </w:tcBorders>
            <w:shd w:val="clear" w:color="auto" w:fill="auto"/>
            <w:noWrap/>
            <w:vAlign w:val="center"/>
          </w:tcPr>
          <w:p w14:paraId="560DCB49" w14:textId="6B2D4624"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A3C8EE7" w14:textId="42E8D168"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0431686" w14:textId="78B66635"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214</w:t>
            </w:r>
          </w:p>
        </w:tc>
        <w:tc>
          <w:tcPr>
            <w:tcW w:w="972" w:type="dxa"/>
            <w:tcBorders>
              <w:top w:val="nil"/>
              <w:left w:val="single" w:sz="8" w:space="0" w:color="0077BD"/>
              <w:bottom w:val="single" w:sz="4" w:space="0" w:color="0077BD"/>
              <w:right w:val="nil"/>
            </w:tcBorders>
            <w:shd w:val="clear" w:color="auto" w:fill="auto"/>
            <w:noWrap/>
            <w:vAlign w:val="center"/>
          </w:tcPr>
          <w:p w14:paraId="18C3EE05" w14:textId="087C00E2"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F8EF967" w14:textId="183A9ADF"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955 440</w:t>
            </w:r>
          </w:p>
        </w:tc>
      </w:tr>
      <w:tr w:rsidR="00C73BF6" w:rsidRPr="00977E53" w14:paraId="242771BC"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525E0641" w14:textId="7777777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Rzeczowe aktywa trwałe</w:t>
            </w:r>
          </w:p>
        </w:tc>
        <w:tc>
          <w:tcPr>
            <w:tcW w:w="972" w:type="dxa"/>
            <w:tcBorders>
              <w:top w:val="nil"/>
              <w:left w:val="single" w:sz="8" w:space="0" w:color="0077BD"/>
              <w:bottom w:val="single" w:sz="4" w:space="0" w:color="0077BD"/>
              <w:right w:val="nil"/>
            </w:tcBorders>
            <w:shd w:val="clear" w:color="auto" w:fill="auto"/>
            <w:noWrap/>
            <w:vAlign w:val="center"/>
          </w:tcPr>
          <w:p w14:paraId="7C22BDA8" w14:textId="1B541C67"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1 223 158</w:t>
            </w:r>
          </w:p>
        </w:tc>
        <w:tc>
          <w:tcPr>
            <w:tcW w:w="972" w:type="dxa"/>
            <w:tcBorders>
              <w:top w:val="nil"/>
              <w:left w:val="single" w:sz="8" w:space="0" w:color="0077BD"/>
              <w:bottom w:val="single" w:sz="4" w:space="0" w:color="0077BD"/>
              <w:right w:val="nil"/>
            </w:tcBorders>
            <w:shd w:val="clear" w:color="auto" w:fill="auto"/>
            <w:noWrap/>
            <w:vAlign w:val="center"/>
          </w:tcPr>
          <w:p w14:paraId="5BD2D243" w14:textId="04D26886"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7 828</w:t>
            </w:r>
          </w:p>
        </w:tc>
        <w:tc>
          <w:tcPr>
            <w:tcW w:w="972" w:type="dxa"/>
            <w:tcBorders>
              <w:top w:val="nil"/>
              <w:left w:val="single" w:sz="8" w:space="0" w:color="0077BD"/>
              <w:bottom w:val="single" w:sz="4" w:space="0" w:color="0077BD"/>
              <w:right w:val="nil"/>
            </w:tcBorders>
            <w:shd w:val="clear" w:color="auto" w:fill="auto"/>
            <w:noWrap/>
            <w:vAlign w:val="center"/>
          </w:tcPr>
          <w:p w14:paraId="41D93479" w14:textId="17008CA3"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4BEE185" w14:textId="0B200649"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9DE83CE" w14:textId="669DD36B"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31 411</w:t>
            </w:r>
          </w:p>
        </w:tc>
        <w:tc>
          <w:tcPr>
            <w:tcW w:w="972" w:type="dxa"/>
            <w:tcBorders>
              <w:top w:val="nil"/>
              <w:left w:val="single" w:sz="8" w:space="0" w:color="0077BD"/>
              <w:bottom w:val="single" w:sz="4" w:space="0" w:color="0077BD"/>
              <w:right w:val="nil"/>
            </w:tcBorders>
            <w:shd w:val="clear" w:color="auto" w:fill="auto"/>
            <w:noWrap/>
            <w:vAlign w:val="center"/>
          </w:tcPr>
          <w:p w14:paraId="18736389" w14:textId="4FC492DA"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DBE2F40" w14:textId="43428D03"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1 262 397</w:t>
            </w:r>
          </w:p>
        </w:tc>
      </w:tr>
      <w:tr w:rsidR="00C73BF6" w:rsidRPr="00977E53" w14:paraId="57BCAB4D"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1842F7B7" w14:textId="7777777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Należności z tytułu bieżącego podatku dochodowego</w:t>
            </w:r>
          </w:p>
        </w:tc>
        <w:tc>
          <w:tcPr>
            <w:tcW w:w="972" w:type="dxa"/>
            <w:tcBorders>
              <w:top w:val="nil"/>
              <w:left w:val="single" w:sz="8" w:space="0" w:color="0077BD"/>
              <w:bottom w:val="single" w:sz="4" w:space="0" w:color="0077BD"/>
              <w:right w:val="nil"/>
            </w:tcBorders>
            <w:shd w:val="clear" w:color="auto" w:fill="auto"/>
            <w:noWrap/>
            <w:vAlign w:val="center"/>
          </w:tcPr>
          <w:p w14:paraId="5C25E6B8" w14:textId="6B28816E"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784</w:t>
            </w:r>
          </w:p>
        </w:tc>
        <w:tc>
          <w:tcPr>
            <w:tcW w:w="972" w:type="dxa"/>
            <w:tcBorders>
              <w:top w:val="nil"/>
              <w:left w:val="single" w:sz="8" w:space="0" w:color="0077BD"/>
              <w:bottom w:val="single" w:sz="4" w:space="0" w:color="0077BD"/>
              <w:right w:val="nil"/>
            </w:tcBorders>
            <w:shd w:val="clear" w:color="auto" w:fill="auto"/>
            <w:noWrap/>
            <w:vAlign w:val="center"/>
          </w:tcPr>
          <w:p w14:paraId="3511065F" w14:textId="0BFA54E5"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92E4912" w14:textId="1D979974"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FB61A39" w14:textId="5BE6BCD3"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818B8A6" w14:textId="3DE6C1A5"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11 878</w:t>
            </w:r>
          </w:p>
        </w:tc>
        <w:tc>
          <w:tcPr>
            <w:tcW w:w="972" w:type="dxa"/>
            <w:tcBorders>
              <w:top w:val="nil"/>
              <w:left w:val="single" w:sz="8" w:space="0" w:color="0077BD"/>
              <w:bottom w:val="single" w:sz="4" w:space="0" w:color="0077BD"/>
              <w:right w:val="nil"/>
            </w:tcBorders>
            <w:shd w:val="clear" w:color="auto" w:fill="auto"/>
            <w:noWrap/>
            <w:vAlign w:val="center"/>
          </w:tcPr>
          <w:p w14:paraId="67709E21" w14:textId="589FAC5C"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66F527E" w14:textId="00A421F6"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12 662</w:t>
            </w:r>
          </w:p>
        </w:tc>
      </w:tr>
      <w:tr w:rsidR="00C73BF6" w:rsidRPr="00977E53" w14:paraId="51DE8D77"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7C0488A7" w14:textId="7777777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Aktywa z tytułu odroczonego podatku dochodowego</w:t>
            </w:r>
          </w:p>
        </w:tc>
        <w:tc>
          <w:tcPr>
            <w:tcW w:w="972" w:type="dxa"/>
            <w:tcBorders>
              <w:top w:val="nil"/>
              <w:left w:val="single" w:sz="8" w:space="0" w:color="0077BD"/>
              <w:bottom w:val="single" w:sz="4" w:space="0" w:color="0077BD"/>
              <w:right w:val="nil"/>
            </w:tcBorders>
            <w:shd w:val="clear" w:color="auto" w:fill="auto"/>
            <w:noWrap/>
            <w:vAlign w:val="center"/>
          </w:tcPr>
          <w:p w14:paraId="54FB6D25" w14:textId="33B79A5B"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935 335</w:t>
            </w:r>
          </w:p>
        </w:tc>
        <w:tc>
          <w:tcPr>
            <w:tcW w:w="972" w:type="dxa"/>
            <w:tcBorders>
              <w:top w:val="nil"/>
              <w:left w:val="single" w:sz="8" w:space="0" w:color="0077BD"/>
              <w:bottom w:val="single" w:sz="4" w:space="0" w:color="0077BD"/>
              <w:right w:val="nil"/>
            </w:tcBorders>
            <w:shd w:val="clear" w:color="auto" w:fill="auto"/>
            <w:noWrap/>
            <w:vAlign w:val="center"/>
          </w:tcPr>
          <w:p w14:paraId="4C9715A8" w14:textId="25A9738C"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B26B97A" w14:textId="70C282B5"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7A6694A" w14:textId="711D4ED4"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6223245" w14:textId="0C6600FF"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2 377</w:t>
            </w:r>
          </w:p>
        </w:tc>
        <w:tc>
          <w:tcPr>
            <w:tcW w:w="972" w:type="dxa"/>
            <w:tcBorders>
              <w:top w:val="nil"/>
              <w:left w:val="single" w:sz="8" w:space="0" w:color="0077BD"/>
              <w:bottom w:val="single" w:sz="4" w:space="0" w:color="0077BD"/>
              <w:right w:val="nil"/>
            </w:tcBorders>
            <w:shd w:val="clear" w:color="auto" w:fill="auto"/>
            <w:noWrap/>
            <w:vAlign w:val="center"/>
          </w:tcPr>
          <w:p w14:paraId="28EF5A9C" w14:textId="4040F25B"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0173C879" w14:textId="169E5DFC"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937 712</w:t>
            </w:r>
          </w:p>
        </w:tc>
      </w:tr>
      <w:tr w:rsidR="00C73BF6" w:rsidRPr="00977E53" w14:paraId="465BC2D9" w14:textId="77777777" w:rsidTr="001A15DD">
        <w:trPr>
          <w:trHeight w:val="227"/>
        </w:trPr>
        <w:tc>
          <w:tcPr>
            <w:tcW w:w="2835" w:type="dxa"/>
            <w:tcBorders>
              <w:top w:val="nil"/>
              <w:left w:val="nil"/>
              <w:bottom w:val="single" w:sz="8" w:space="0" w:color="0077BD"/>
              <w:right w:val="single" w:sz="8" w:space="0" w:color="0077BD"/>
            </w:tcBorders>
            <w:shd w:val="clear" w:color="auto" w:fill="auto"/>
            <w:vAlign w:val="center"/>
            <w:hideMark/>
          </w:tcPr>
          <w:p w14:paraId="61E60152" w14:textId="77777777"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Inne aktywa</w:t>
            </w:r>
          </w:p>
        </w:tc>
        <w:tc>
          <w:tcPr>
            <w:tcW w:w="972" w:type="dxa"/>
            <w:tcBorders>
              <w:top w:val="nil"/>
              <w:left w:val="single" w:sz="8" w:space="0" w:color="0077BD"/>
              <w:bottom w:val="single" w:sz="8" w:space="0" w:color="0077BD"/>
              <w:right w:val="nil"/>
            </w:tcBorders>
            <w:shd w:val="clear" w:color="auto" w:fill="auto"/>
            <w:noWrap/>
            <w:vAlign w:val="center"/>
          </w:tcPr>
          <w:p w14:paraId="4FCD8C17" w14:textId="5488469E"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817 799</w:t>
            </w:r>
          </w:p>
        </w:tc>
        <w:tc>
          <w:tcPr>
            <w:tcW w:w="972" w:type="dxa"/>
            <w:tcBorders>
              <w:top w:val="nil"/>
              <w:left w:val="single" w:sz="8" w:space="0" w:color="0077BD"/>
              <w:bottom w:val="single" w:sz="8" w:space="0" w:color="0077BD"/>
              <w:right w:val="nil"/>
            </w:tcBorders>
            <w:shd w:val="clear" w:color="auto" w:fill="auto"/>
            <w:noWrap/>
            <w:vAlign w:val="center"/>
          </w:tcPr>
          <w:p w14:paraId="1B843E60" w14:textId="0B09EC79"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22 445</w:t>
            </w:r>
          </w:p>
        </w:tc>
        <w:tc>
          <w:tcPr>
            <w:tcW w:w="972" w:type="dxa"/>
            <w:tcBorders>
              <w:top w:val="nil"/>
              <w:left w:val="single" w:sz="8" w:space="0" w:color="0077BD"/>
              <w:bottom w:val="single" w:sz="8" w:space="0" w:color="0077BD"/>
              <w:right w:val="nil"/>
            </w:tcBorders>
            <w:shd w:val="clear" w:color="auto" w:fill="auto"/>
            <w:noWrap/>
            <w:vAlign w:val="center"/>
          </w:tcPr>
          <w:p w14:paraId="3B59B18E" w14:textId="16C1A5F7"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90 855</w:t>
            </w:r>
          </w:p>
        </w:tc>
        <w:tc>
          <w:tcPr>
            <w:tcW w:w="972" w:type="dxa"/>
            <w:tcBorders>
              <w:top w:val="nil"/>
              <w:left w:val="single" w:sz="8" w:space="0" w:color="0077BD"/>
              <w:bottom w:val="single" w:sz="8" w:space="0" w:color="0077BD"/>
              <w:right w:val="nil"/>
            </w:tcBorders>
            <w:shd w:val="clear" w:color="auto" w:fill="auto"/>
            <w:noWrap/>
            <w:vAlign w:val="center"/>
          </w:tcPr>
          <w:p w14:paraId="7AFD75C4" w14:textId="1E08BD90" w:rsidR="00C73BF6" w:rsidRPr="00AF0169" w:rsidRDefault="00C73BF6" w:rsidP="00C73BF6">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8" w:space="0" w:color="0077BD"/>
              <w:right w:val="nil"/>
            </w:tcBorders>
            <w:shd w:val="clear" w:color="auto" w:fill="auto"/>
            <w:noWrap/>
            <w:vAlign w:val="center"/>
          </w:tcPr>
          <w:p w14:paraId="689BD098" w14:textId="505D0611"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25 850</w:t>
            </w:r>
          </w:p>
        </w:tc>
        <w:tc>
          <w:tcPr>
            <w:tcW w:w="972" w:type="dxa"/>
            <w:tcBorders>
              <w:top w:val="nil"/>
              <w:left w:val="single" w:sz="8" w:space="0" w:color="0077BD"/>
              <w:bottom w:val="single" w:sz="8" w:space="0" w:color="0077BD"/>
              <w:right w:val="nil"/>
            </w:tcBorders>
            <w:shd w:val="clear" w:color="auto" w:fill="auto"/>
            <w:noWrap/>
            <w:vAlign w:val="center"/>
          </w:tcPr>
          <w:p w14:paraId="3C9E42BE" w14:textId="1BBEA254"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w:t>
            </w:r>
          </w:p>
        </w:tc>
        <w:tc>
          <w:tcPr>
            <w:tcW w:w="972" w:type="dxa"/>
            <w:tcBorders>
              <w:top w:val="nil"/>
              <w:left w:val="single" w:sz="8" w:space="0" w:color="0077BD"/>
              <w:bottom w:val="single" w:sz="8" w:space="0" w:color="0077BD"/>
              <w:right w:val="nil"/>
            </w:tcBorders>
            <w:shd w:val="clear" w:color="auto" w:fill="auto"/>
            <w:noWrap/>
            <w:vAlign w:val="center"/>
          </w:tcPr>
          <w:p w14:paraId="1E733F9A" w14:textId="7B66366C" w:rsidR="00C73BF6" w:rsidRPr="00970B99" w:rsidRDefault="00C73BF6" w:rsidP="00C73BF6">
            <w:pPr>
              <w:jc w:val="right"/>
              <w:rPr>
                <w:rFonts w:cs="Calibri"/>
                <w:color w:val="000000" w:themeColor="text1"/>
                <w:sz w:val="11"/>
                <w:szCs w:val="11"/>
              </w:rPr>
            </w:pPr>
            <w:r w:rsidRPr="00970B99">
              <w:rPr>
                <w:rFonts w:cs="Calibri"/>
                <w:color w:val="000000" w:themeColor="text1"/>
                <w:sz w:val="11"/>
                <w:szCs w:val="11"/>
              </w:rPr>
              <w:t>956 949</w:t>
            </w:r>
          </w:p>
        </w:tc>
      </w:tr>
      <w:tr w:rsidR="00C73BF6" w:rsidRPr="00977E53" w14:paraId="60679435" w14:textId="77777777" w:rsidTr="008067D0">
        <w:trPr>
          <w:trHeight w:val="227"/>
        </w:trPr>
        <w:tc>
          <w:tcPr>
            <w:tcW w:w="2835" w:type="dxa"/>
            <w:tcBorders>
              <w:top w:val="single" w:sz="8" w:space="0" w:color="0077BD"/>
              <w:left w:val="nil"/>
              <w:bottom w:val="single" w:sz="8" w:space="0" w:color="0077BD"/>
              <w:right w:val="single" w:sz="8" w:space="0" w:color="0077BD"/>
            </w:tcBorders>
            <w:shd w:val="clear" w:color="auto" w:fill="auto"/>
            <w:vAlign w:val="center"/>
            <w:hideMark/>
          </w:tcPr>
          <w:p w14:paraId="494ED8BF" w14:textId="6D6F3700" w:rsidR="00C73BF6" w:rsidRPr="00AF0169" w:rsidRDefault="00C73BF6" w:rsidP="00C73BF6">
            <w:pPr>
              <w:rPr>
                <w:rFonts w:cs="Calibri"/>
                <w:b/>
                <w:bCs/>
                <w:color w:val="000000" w:themeColor="text1"/>
                <w:sz w:val="11"/>
                <w:szCs w:val="11"/>
              </w:rPr>
            </w:pPr>
            <w:r w:rsidRPr="00AF0169">
              <w:rPr>
                <w:rFonts w:cs="Calibri"/>
                <w:b/>
                <w:bCs/>
                <w:color w:val="000000" w:themeColor="text1"/>
                <w:sz w:val="11"/>
                <w:szCs w:val="11"/>
              </w:rPr>
              <w:t>AKTYWA RAZEM</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70DDF006" w14:textId="1B42B922"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117 374 831</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0D4E11D1" w14:textId="69C51668"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17 861 624</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070E2751" w14:textId="48F97171"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1 516 937</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4506FE3B" w14:textId="2481D7D7"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13 956 463</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3853F2ED" w14:textId="24421A24"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7 862 300</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079B519B" w14:textId="16F1920D"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148 428</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6C96632D" w14:textId="4C7CAE53" w:rsidR="00C73BF6" w:rsidRPr="00AF0169" w:rsidRDefault="00C73BF6" w:rsidP="00C73BF6">
            <w:pPr>
              <w:jc w:val="right"/>
              <w:rPr>
                <w:rFonts w:cs="Calibri"/>
                <w:b/>
                <w:bCs/>
                <w:color w:val="000000" w:themeColor="text1"/>
                <w:sz w:val="11"/>
                <w:szCs w:val="11"/>
              </w:rPr>
            </w:pPr>
            <w:r w:rsidRPr="00AF0169">
              <w:rPr>
                <w:rFonts w:cs="Calibri"/>
                <w:b/>
                <w:bCs/>
                <w:color w:val="000000" w:themeColor="text1"/>
                <w:sz w:val="11"/>
                <w:szCs w:val="11"/>
              </w:rPr>
              <w:t>158 720 583</w:t>
            </w:r>
          </w:p>
        </w:tc>
      </w:tr>
      <w:tr w:rsidR="00977E53" w:rsidRPr="00977E53" w14:paraId="36FB54CD" w14:textId="77777777" w:rsidTr="00A82A04">
        <w:trPr>
          <w:trHeight w:val="227"/>
        </w:trPr>
        <w:tc>
          <w:tcPr>
            <w:tcW w:w="2835" w:type="dxa"/>
            <w:tcBorders>
              <w:top w:val="nil"/>
              <w:left w:val="nil"/>
              <w:bottom w:val="single" w:sz="8" w:space="0" w:color="0077BD"/>
              <w:right w:val="nil"/>
            </w:tcBorders>
            <w:shd w:val="clear" w:color="auto" w:fill="auto"/>
            <w:vAlign w:val="center"/>
            <w:hideMark/>
          </w:tcPr>
          <w:p w14:paraId="00AD8D99" w14:textId="6A95EFD9" w:rsidR="008318EE" w:rsidRPr="00AF0169" w:rsidRDefault="00A82A04" w:rsidP="009E1F91">
            <w:pPr>
              <w:rPr>
                <w:rFonts w:cs="Calibri"/>
                <w:b/>
                <w:bCs/>
                <w:color w:val="000000" w:themeColor="text1"/>
                <w:sz w:val="11"/>
                <w:szCs w:val="11"/>
              </w:rPr>
            </w:pPr>
            <w:r w:rsidRPr="00AF0169">
              <w:rPr>
                <w:rFonts w:cs="Calibri"/>
                <w:b/>
                <w:bCs/>
                <w:color w:val="000000" w:themeColor="text1"/>
                <w:sz w:val="11"/>
                <w:szCs w:val="11"/>
              </w:rPr>
              <w:t>ZOBOWIĄZANIA</w:t>
            </w:r>
          </w:p>
        </w:tc>
        <w:tc>
          <w:tcPr>
            <w:tcW w:w="972" w:type="dxa"/>
            <w:tcBorders>
              <w:top w:val="nil"/>
              <w:left w:val="nil"/>
              <w:bottom w:val="single" w:sz="8" w:space="0" w:color="0077BD"/>
              <w:right w:val="nil"/>
            </w:tcBorders>
            <w:shd w:val="clear" w:color="auto" w:fill="auto"/>
            <w:noWrap/>
            <w:vAlign w:val="center"/>
          </w:tcPr>
          <w:p w14:paraId="1D1DDFFB"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1E2658E8"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402D8E84"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2EC13210"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44AA5259"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5526058F" w14:textId="77777777" w:rsidR="008318EE" w:rsidRPr="00AF0169" w:rsidRDefault="008318EE" w:rsidP="009E1F91">
            <w:pPr>
              <w:jc w:val="center"/>
              <w:rPr>
                <w:rFonts w:cs="Calibri"/>
                <w:b/>
                <w:bCs/>
                <w:color w:val="000000" w:themeColor="text1"/>
                <w:sz w:val="11"/>
                <w:szCs w:val="11"/>
              </w:rPr>
            </w:pPr>
          </w:p>
        </w:tc>
        <w:tc>
          <w:tcPr>
            <w:tcW w:w="972" w:type="dxa"/>
            <w:tcBorders>
              <w:top w:val="nil"/>
              <w:left w:val="nil"/>
              <w:bottom w:val="single" w:sz="8" w:space="0" w:color="0077BD"/>
              <w:right w:val="nil"/>
            </w:tcBorders>
            <w:shd w:val="clear" w:color="auto" w:fill="auto"/>
            <w:noWrap/>
            <w:vAlign w:val="center"/>
          </w:tcPr>
          <w:p w14:paraId="2EB02800" w14:textId="77777777" w:rsidR="008318EE" w:rsidRPr="00AF0169" w:rsidRDefault="008318EE" w:rsidP="009E1F91">
            <w:pPr>
              <w:jc w:val="center"/>
              <w:rPr>
                <w:rFonts w:cs="Calibri"/>
                <w:b/>
                <w:bCs/>
                <w:color w:val="000000" w:themeColor="text1"/>
                <w:sz w:val="11"/>
                <w:szCs w:val="11"/>
              </w:rPr>
            </w:pPr>
          </w:p>
        </w:tc>
      </w:tr>
      <w:tr w:rsidR="004D27EA" w:rsidRPr="00977E53" w14:paraId="5E0CC7EF" w14:textId="77777777" w:rsidTr="008067D0">
        <w:trPr>
          <w:trHeight w:val="454"/>
        </w:trPr>
        <w:tc>
          <w:tcPr>
            <w:tcW w:w="2835" w:type="dxa"/>
            <w:tcBorders>
              <w:top w:val="nil"/>
              <w:left w:val="nil"/>
              <w:bottom w:val="single" w:sz="4" w:space="0" w:color="0077BD"/>
              <w:right w:val="single" w:sz="8" w:space="0" w:color="0077BD"/>
            </w:tcBorders>
            <w:shd w:val="clear" w:color="auto" w:fill="auto"/>
            <w:vAlign w:val="center"/>
            <w:hideMark/>
          </w:tcPr>
          <w:p w14:paraId="62F11D47" w14:textId="1139F444"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Zobowiązania finansowe przeznaczone do obrotu i instrumenty pochodne zabezpieczające</w:t>
            </w:r>
          </w:p>
        </w:tc>
        <w:tc>
          <w:tcPr>
            <w:tcW w:w="972" w:type="dxa"/>
            <w:tcBorders>
              <w:top w:val="nil"/>
              <w:left w:val="single" w:sz="8" w:space="0" w:color="0077BD"/>
              <w:bottom w:val="single" w:sz="4" w:space="0" w:color="0077BD"/>
              <w:right w:val="nil"/>
            </w:tcBorders>
            <w:shd w:val="clear" w:color="auto" w:fill="auto"/>
            <w:noWrap/>
            <w:vAlign w:val="center"/>
          </w:tcPr>
          <w:p w14:paraId="56FD20B5" w14:textId="524B9BF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736 540</w:t>
            </w:r>
          </w:p>
        </w:tc>
        <w:tc>
          <w:tcPr>
            <w:tcW w:w="972" w:type="dxa"/>
            <w:tcBorders>
              <w:top w:val="nil"/>
              <w:left w:val="single" w:sz="8" w:space="0" w:color="0077BD"/>
              <w:bottom w:val="single" w:sz="4" w:space="0" w:color="0077BD"/>
              <w:right w:val="nil"/>
            </w:tcBorders>
            <w:shd w:val="clear" w:color="auto" w:fill="auto"/>
            <w:noWrap/>
            <w:vAlign w:val="center"/>
          </w:tcPr>
          <w:p w14:paraId="47DC9985" w14:textId="39ABE9B0"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163 102</w:t>
            </w:r>
          </w:p>
        </w:tc>
        <w:tc>
          <w:tcPr>
            <w:tcW w:w="972" w:type="dxa"/>
            <w:tcBorders>
              <w:top w:val="nil"/>
              <w:left w:val="single" w:sz="8" w:space="0" w:color="0077BD"/>
              <w:bottom w:val="single" w:sz="4" w:space="0" w:color="0077BD"/>
              <w:right w:val="nil"/>
            </w:tcBorders>
            <w:shd w:val="clear" w:color="auto" w:fill="auto"/>
            <w:noWrap/>
            <w:vAlign w:val="center"/>
          </w:tcPr>
          <w:p w14:paraId="74FA4E04" w14:textId="1330E84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40 685</w:t>
            </w:r>
          </w:p>
        </w:tc>
        <w:tc>
          <w:tcPr>
            <w:tcW w:w="972" w:type="dxa"/>
            <w:tcBorders>
              <w:top w:val="nil"/>
              <w:left w:val="single" w:sz="8" w:space="0" w:color="0077BD"/>
              <w:bottom w:val="single" w:sz="4" w:space="0" w:color="0077BD"/>
              <w:right w:val="nil"/>
            </w:tcBorders>
            <w:shd w:val="clear" w:color="auto" w:fill="auto"/>
            <w:noWrap/>
            <w:vAlign w:val="center"/>
          </w:tcPr>
          <w:p w14:paraId="418FF354" w14:textId="564C598A"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A76AB5E" w14:textId="4A13EA3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8 437</w:t>
            </w:r>
          </w:p>
        </w:tc>
        <w:tc>
          <w:tcPr>
            <w:tcW w:w="972" w:type="dxa"/>
            <w:tcBorders>
              <w:top w:val="nil"/>
              <w:left w:val="single" w:sz="8" w:space="0" w:color="0077BD"/>
              <w:bottom w:val="single" w:sz="4" w:space="0" w:color="0077BD"/>
              <w:right w:val="nil"/>
            </w:tcBorders>
            <w:shd w:val="clear" w:color="auto" w:fill="auto"/>
            <w:noWrap/>
            <w:vAlign w:val="center"/>
          </w:tcPr>
          <w:p w14:paraId="4599046C" w14:textId="790DD73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A4B83D2" w14:textId="23071807"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948 764</w:t>
            </w:r>
          </w:p>
        </w:tc>
      </w:tr>
      <w:tr w:rsidR="004D27EA" w:rsidRPr="00977E53" w14:paraId="245497FB" w14:textId="77777777" w:rsidTr="008067D0">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2B5F01F4"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Zobowiązania finansowe wyceniane w zamortyzowanym koszcie, w tym:</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6DAB738" w14:textId="6AC79178" w:rsidR="004D27EA" w:rsidRPr="00AF0169" w:rsidRDefault="006155C5" w:rsidP="006155C5">
            <w:pPr>
              <w:jc w:val="right"/>
              <w:rPr>
                <w:rFonts w:cs="Calibri"/>
                <w:color w:val="000000" w:themeColor="text1"/>
                <w:sz w:val="11"/>
                <w:szCs w:val="11"/>
              </w:rPr>
            </w:pPr>
            <w:r>
              <w:rPr>
                <w:rFonts w:cs="Calibri"/>
                <w:color w:val="000000" w:themeColor="text1"/>
                <w:sz w:val="11"/>
                <w:szCs w:val="11"/>
              </w:rPr>
              <w:t>93 572</w:t>
            </w:r>
            <w:r w:rsidR="004D27EA" w:rsidRPr="00AF0169">
              <w:rPr>
                <w:rFonts w:cs="Calibri"/>
                <w:color w:val="000000" w:themeColor="text1"/>
                <w:sz w:val="11"/>
                <w:szCs w:val="11"/>
              </w:rPr>
              <w:t xml:space="preserve"> </w:t>
            </w:r>
            <w:r>
              <w:rPr>
                <w:rFonts w:cs="Calibri"/>
                <w:color w:val="000000" w:themeColor="text1"/>
                <w:sz w:val="11"/>
                <w:szCs w:val="11"/>
              </w:rPr>
              <w:t>790</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3FB3C76B" w14:textId="124F4283"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27 665 133</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EF6393F" w14:textId="05B745A1"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3 655 467</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6FF1CDF" w14:textId="5F165AAF" w:rsidR="004D27EA" w:rsidRPr="00AF0169" w:rsidRDefault="0062626E" w:rsidP="0062626E">
            <w:pPr>
              <w:jc w:val="right"/>
              <w:rPr>
                <w:rFonts w:cs="Calibri"/>
                <w:color w:val="000000" w:themeColor="text1"/>
                <w:sz w:val="11"/>
                <w:szCs w:val="11"/>
              </w:rPr>
            </w:pPr>
            <w:r>
              <w:rPr>
                <w:rFonts w:cs="Calibri"/>
                <w:color w:val="000000" w:themeColor="text1"/>
                <w:sz w:val="11"/>
                <w:szCs w:val="11"/>
              </w:rPr>
              <w:t>4 971</w:t>
            </w:r>
            <w:r w:rsidR="004D27EA" w:rsidRPr="00AF0169">
              <w:rPr>
                <w:rFonts w:cs="Calibri"/>
                <w:color w:val="000000" w:themeColor="text1"/>
                <w:sz w:val="11"/>
                <w:szCs w:val="11"/>
              </w:rPr>
              <w:t xml:space="preserve"> </w:t>
            </w:r>
            <w:r>
              <w:rPr>
                <w:rFonts w:cs="Calibri"/>
                <w:color w:val="000000" w:themeColor="text1"/>
                <w:sz w:val="11"/>
                <w:szCs w:val="11"/>
              </w:rPr>
              <w:t>109</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340381EF" w14:textId="34281000"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7 394 510</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059C8F76" w14:textId="7FFA9561"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504 360</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623848FA" w14:textId="4B41B215"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137 763 369</w:t>
            </w:r>
          </w:p>
        </w:tc>
      </w:tr>
      <w:tr w:rsidR="004D27EA" w:rsidRPr="00977E53" w14:paraId="6EE875EA"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5C574702" w14:textId="77777777" w:rsidR="004D27EA" w:rsidRPr="00AF0169" w:rsidRDefault="004D27EA" w:rsidP="004D27EA">
            <w:pPr>
              <w:rPr>
                <w:rFonts w:cs="Calibri"/>
                <w:i/>
                <w:iCs/>
                <w:color w:val="000000" w:themeColor="text1"/>
                <w:sz w:val="11"/>
                <w:szCs w:val="11"/>
              </w:rPr>
            </w:pPr>
            <w:r w:rsidRPr="00AF0169">
              <w:rPr>
                <w:rFonts w:cs="Calibri"/>
                <w:i/>
                <w:iCs/>
                <w:color w:val="000000" w:themeColor="text1"/>
                <w:sz w:val="11"/>
                <w:szCs w:val="11"/>
              </w:rPr>
              <w:t>Zobowiązania wobec banków</w:t>
            </w:r>
          </w:p>
        </w:tc>
        <w:tc>
          <w:tcPr>
            <w:tcW w:w="972" w:type="dxa"/>
            <w:tcBorders>
              <w:top w:val="nil"/>
              <w:left w:val="single" w:sz="8" w:space="0" w:color="0077BD"/>
              <w:bottom w:val="single" w:sz="4" w:space="0" w:color="0077BD"/>
              <w:right w:val="nil"/>
            </w:tcBorders>
            <w:shd w:val="clear" w:color="auto" w:fill="auto"/>
            <w:noWrap/>
            <w:vAlign w:val="center"/>
          </w:tcPr>
          <w:p w14:paraId="1B4BF4DD" w14:textId="6511B451" w:rsidR="004D27EA" w:rsidRPr="00AF0169" w:rsidRDefault="004D27EA" w:rsidP="006155C5">
            <w:pPr>
              <w:jc w:val="right"/>
              <w:rPr>
                <w:rFonts w:cs="Calibri"/>
                <w:i/>
                <w:iCs/>
                <w:color w:val="000000" w:themeColor="text1"/>
                <w:sz w:val="11"/>
                <w:szCs w:val="11"/>
              </w:rPr>
            </w:pPr>
            <w:r w:rsidRPr="00AF0169">
              <w:rPr>
                <w:rFonts w:cs="Calibri"/>
                <w:i/>
                <w:iCs/>
                <w:color w:val="000000" w:themeColor="text1"/>
                <w:sz w:val="11"/>
                <w:szCs w:val="11"/>
              </w:rPr>
              <w:t xml:space="preserve">439 </w:t>
            </w:r>
            <w:r w:rsidR="006155C5">
              <w:rPr>
                <w:rFonts w:cs="Calibri"/>
                <w:i/>
                <w:iCs/>
                <w:color w:val="000000" w:themeColor="text1"/>
                <w:sz w:val="11"/>
                <w:szCs w:val="11"/>
              </w:rPr>
              <w:t>154</w:t>
            </w:r>
          </w:p>
        </w:tc>
        <w:tc>
          <w:tcPr>
            <w:tcW w:w="972" w:type="dxa"/>
            <w:tcBorders>
              <w:top w:val="nil"/>
              <w:left w:val="single" w:sz="8" w:space="0" w:color="0077BD"/>
              <w:bottom w:val="single" w:sz="4" w:space="0" w:color="0077BD"/>
              <w:right w:val="nil"/>
            </w:tcBorders>
            <w:shd w:val="clear" w:color="auto" w:fill="auto"/>
            <w:noWrap/>
            <w:vAlign w:val="center"/>
          </w:tcPr>
          <w:p w14:paraId="4BFD93A8" w14:textId="3698DD51"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513 210</w:t>
            </w:r>
          </w:p>
        </w:tc>
        <w:tc>
          <w:tcPr>
            <w:tcW w:w="972" w:type="dxa"/>
            <w:tcBorders>
              <w:top w:val="nil"/>
              <w:left w:val="single" w:sz="8" w:space="0" w:color="0077BD"/>
              <w:bottom w:val="single" w:sz="4" w:space="0" w:color="0077BD"/>
              <w:right w:val="nil"/>
            </w:tcBorders>
            <w:shd w:val="clear" w:color="auto" w:fill="auto"/>
            <w:noWrap/>
            <w:vAlign w:val="center"/>
          </w:tcPr>
          <w:p w14:paraId="5A1677E9" w14:textId="216F3662"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214 463</w:t>
            </w:r>
          </w:p>
        </w:tc>
        <w:tc>
          <w:tcPr>
            <w:tcW w:w="972" w:type="dxa"/>
            <w:tcBorders>
              <w:top w:val="nil"/>
              <w:left w:val="single" w:sz="8" w:space="0" w:color="0077BD"/>
              <w:bottom w:val="single" w:sz="4" w:space="0" w:color="0077BD"/>
              <w:right w:val="nil"/>
            </w:tcBorders>
            <w:shd w:val="clear" w:color="auto" w:fill="auto"/>
            <w:noWrap/>
            <w:vAlign w:val="center"/>
          </w:tcPr>
          <w:p w14:paraId="2B03045B" w14:textId="637CE645" w:rsidR="004D27EA" w:rsidRPr="00AF0169" w:rsidRDefault="006155C5" w:rsidP="004D27EA">
            <w:pPr>
              <w:jc w:val="right"/>
              <w:rPr>
                <w:rFonts w:cs="Calibri"/>
                <w:i/>
                <w:iCs/>
                <w:color w:val="000000" w:themeColor="text1"/>
                <w:sz w:val="11"/>
                <w:szCs w:val="11"/>
              </w:rPr>
            </w:pPr>
            <w:r>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DCAE150" w14:textId="2B7F3B72"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B329420" w14:textId="4B184FF1"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44</w:t>
            </w:r>
          </w:p>
        </w:tc>
        <w:tc>
          <w:tcPr>
            <w:tcW w:w="972" w:type="dxa"/>
            <w:tcBorders>
              <w:top w:val="nil"/>
              <w:left w:val="single" w:sz="8" w:space="0" w:color="0077BD"/>
              <w:bottom w:val="single" w:sz="4" w:space="0" w:color="0077BD"/>
              <w:right w:val="nil"/>
            </w:tcBorders>
            <w:shd w:val="clear" w:color="auto" w:fill="auto"/>
            <w:noWrap/>
            <w:vAlign w:val="center"/>
          </w:tcPr>
          <w:p w14:paraId="3E697634" w14:textId="7EBFADFC"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1 166 871</w:t>
            </w:r>
          </w:p>
        </w:tc>
      </w:tr>
      <w:tr w:rsidR="004D27EA" w:rsidRPr="00977E53" w14:paraId="11B97130"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670087B8" w14:textId="77777777" w:rsidR="004D27EA" w:rsidRPr="00AF0169" w:rsidRDefault="004D27EA" w:rsidP="004D27EA">
            <w:pPr>
              <w:rPr>
                <w:rFonts w:cs="Calibri"/>
                <w:i/>
                <w:iCs/>
                <w:color w:val="000000" w:themeColor="text1"/>
                <w:sz w:val="11"/>
                <w:szCs w:val="11"/>
              </w:rPr>
            </w:pPr>
            <w:r w:rsidRPr="00AF0169">
              <w:rPr>
                <w:rFonts w:cs="Calibri"/>
                <w:i/>
                <w:iCs/>
                <w:color w:val="000000" w:themeColor="text1"/>
                <w:sz w:val="11"/>
                <w:szCs w:val="11"/>
              </w:rPr>
              <w:t>Zobowiązania wobec klientów</w:t>
            </w:r>
          </w:p>
        </w:tc>
        <w:tc>
          <w:tcPr>
            <w:tcW w:w="972" w:type="dxa"/>
            <w:tcBorders>
              <w:top w:val="nil"/>
              <w:left w:val="single" w:sz="8" w:space="0" w:color="0077BD"/>
              <w:bottom w:val="single" w:sz="4" w:space="0" w:color="0077BD"/>
              <w:right w:val="nil"/>
            </w:tcBorders>
            <w:shd w:val="clear" w:color="auto" w:fill="auto"/>
            <w:noWrap/>
            <w:vAlign w:val="center"/>
          </w:tcPr>
          <w:p w14:paraId="1A638579" w14:textId="1A8289CC"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86 862 884</w:t>
            </w:r>
          </w:p>
        </w:tc>
        <w:tc>
          <w:tcPr>
            <w:tcW w:w="972" w:type="dxa"/>
            <w:tcBorders>
              <w:top w:val="nil"/>
              <w:left w:val="single" w:sz="8" w:space="0" w:color="0077BD"/>
              <w:bottom w:val="single" w:sz="4" w:space="0" w:color="0077BD"/>
              <w:right w:val="nil"/>
            </w:tcBorders>
            <w:shd w:val="clear" w:color="auto" w:fill="auto"/>
            <w:noWrap/>
            <w:vAlign w:val="center"/>
          </w:tcPr>
          <w:p w14:paraId="77042E72" w14:textId="1CED044B"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16 460 938</w:t>
            </w:r>
          </w:p>
        </w:tc>
        <w:tc>
          <w:tcPr>
            <w:tcW w:w="972" w:type="dxa"/>
            <w:tcBorders>
              <w:top w:val="nil"/>
              <w:left w:val="single" w:sz="8" w:space="0" w:color="0077BD"/>
              <w:bottom w:val="single" w:sz="4" w:space="0" w:color="0077BD"/>
              <w:right w:val="nil"/>
            </w:tcBorders>
            <w:shd w:val="clear" w:color="auto" w:fill="auto"/>
            <w:noWrap/>
            <w:vAlign w:val="center"/>
          </w:tcPr>
          <w:p w14:paraId="7676D428" w14:textId="4BCA7907"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3 441 004</w:t>
            </w:r>
          </w:p>
        </w:tc>
        <w:tc>
          <w:tcPr>
            <w:tcW w:w="972" w:type="dxa"/>
            <w:tcBorders>
              <w:top w:val="nil"/>
              <w:left w:val="single" w:sz="8" w:space="0" w:color="0077BD"/>
              <w:bottom w:val="single" w:sz="4" w:space="0" w:color="0077BD"/>
              <w:right w:val="nil"/>
            </w:tcBorders>
            <w:shd w:val="clear" w:color="auto" w:fill="auto"/>
            <w:noWrap/>
            <w:vAlign w:val="center"/>
          </w:tcPr>
          <w:p w14:paraId="47B5EF67" w14:textId="3191DBD5"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1 997 486</w:t>
            </w:r>
          </w:p>
        </w:tc>
        <w:tc>
          <w:tcPr>
            <w:tcW w:w="972" w:type="dxa"/>
            <w:tcBorders>
              <w:top w:val="nil"/>
              <w:left w:val="single" w:sz="8" w:space="0" w:color="0077BD"/>
              <w:bottom w:val="single" w:sz="4" w:space="0" w:color="0077BD"/>
              <w:right w:val="nil"/>
            </w:tcBorders>
            <w:shd w:val="clear" w:color="auto" w:fill="auto"/>
            <w:noWrap/>
            <w:vAlign w:val="center"/>
          </w:tcPr>
          <w:p w14:paraId="29AE1969" w14:textId="43AB4F7F"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7 394 510</w:t>
            </w:r>
          </w:p>
        </w:tc>
        <w:tc>
          <w:tcPr>
            <w:tcW w:w="972" w:type="dxa"/>
            <w:tcBorders>
              <w:top w:val="nil"/>
              <w:left w:val="single" w:sz="8" w:space="0" w:color="0077BD"/>
              <w:bottom w:val="single" w:sz="4" w:space="0" w:color="0077BD"/>
              <w:right w:val="nil"/>
            </w:tcBorders>
            <w:shd w:val="clear" w:color="auto" w:fill="auto"/>
            <w:noWrap/>
            <w:vAlign w:val="center"/>
          </w:tcPr>
          <w:p w14:paraId="1711A691" w14:textId="1E15A22A"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504 316</w:t>
            </w:r>
          </w:p>
        </w:tc>
        <w:tc>
          <w:tcPr>
            <w:tcW w:w="972" w:type="dxa"/>
            <w:tcBorders>
              <w:top w:val="nil"/>
              <w:left w:val="single" w:sz="8" w:space="0" w:color="0077BD"/>
              <w:bottom w:val="single" w:sz="4" w:space="0" w:color="0077BD"/>
              <w:right w:val="nil"/>
            </w:tcBorders>
            <w:shd w:val="clear" w:color="auto" w:fill="auto"/>
            <w:noWrap/>
            <w:vAlign w:val="center"/>
          </w:tcPr>
          <w:p w14:paraId="1B2FBEDA" w14:textId="3EFAF5BB"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116 661 138</w:t>
            </w:r>
          </w:p>
        </w:tc>
      </w:tr>
      <w:tr w:rsidR="004D27EA" w:rsidRPr="00977E53" w14:paraId="6E31000D" w14:textId="77777777" w:rsidTr="001C2A7E">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1237F690" w14:textId="77777777" w:rsidR="004D27EA" w:rsidRPr="00AF0169" w:rsidRDefault="004D27EA" w:rsidP="004D27EA">
            <w:pPr>
              <w:rPr>
                <w:rFonts w:cs="Calibri"/>
                <w:i/>
                <w:iCs/>
                <w:color w:val="000000" w:themeColor="text1"/>
                <w:sz w:val="11"/>
                <w:szCs w:val="11"/>
              </w:rPr>
            </w:pPr>
            <w:r w:rsidRPr="00AF0169">
              <w:rPr>
                <w:rFonts w:cs="Calibri"/>
                <w:i/>
                <w:iCs/>
                <w:color w:val="000000" w:themeColor="text1"/>
                <w:sz w:val="11"/>
                <w:szCs w:val="11"/>
              </w:rPr>
              <w:t>Zobowiązania z tytułu emisji dłużnych papierów wartościowych</w:t>
            </w:r>
          </w:p>
        </w:tc>
        <w:tc>
          <w:tcPr>
            <w:tcW w:w="972" w:type="dxa"/>
            <w:tcBorders>
              <w:top w:val="nil"/>
              <w:left w:val="single" w:sz="8" w:space="0" w:color="0077BD"/>
              <w:bottom w:val="single" w:sz="4" w:space="0" w:color="0077BD"/>
              <w:right w:val="nil"/>
            </w:tcBorders>
            <w:shd w:val="clear" w:color="auto" w:fill="auto"/>
            <w:noWrap/>
            <w:vAlign w:val="center"/>
          </w:tcPr>
          <w:p w14:paraId="07FAA7AA" w14:textId="3CB1E3EC"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4 751 306</w:t>
            </w:r>
          </w:p>
        </w:tc>
        <w:tc>
          <w:tcPr>
            <w:tcW w:w="972" w:type="dxa"/>
            <w:tcBorders>
              <w:top w:val="nil"/>
              <w:left w:val="single" w:sz="8" w:space="0" w:color="0077BD"/>
              <w:bottom w:val="single" w:sz="4" w:space="0" w:color="0077BD"/>
              <w:right w:val="nil"/>
            </w:tcBorders>
            <w:shd w:val="clear" w:color="auto" w:fill="auto"/>
            <w:noWrap/>
            <w:vAlign w:val="center"/>
          </w:tcPr>
          <w:p w14:paraId="35FEE4D3" w14:textId="0F81982C"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10 690 985</w:t>
            </w:r>
          </w:p>
        </w:tc>
        <w:tc>
          <w:tcPr>
            <w:tcW w:w="972" w:type="dxa"/>
            <w:tcBorders>
              <w:top w:val="nil"/>
              <w:left w:val="single" w:sz="8" w:space="0" w:color="0077BD"/>
              <w:bottom w:val="single" w:sz="4" w:space="0" w:color="0077BD"/>
              <w:right w:val="nil"/>
            </w:tcBorders>
            <w:shd w:val="clear" w:color="auto" w:fill="auto"/>
            <w:noWrap/>
            <w:vAlign w:val="center"/>
          </w:tcPr>
          <w:p w14:paraId="0E9D31BF" w14:textId="79B795BD"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F8A1D9D" w14:textId="12F877FD"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1 992 852</w:t>
            </w:r>
          </w:p>
        </w:tc>
        <w:tc>
          <w:tcPr>
            <w:tcW w:w="972" w:type="dxa"/>
            <w:tcBorders>
              <w:top w:val="nil"/>
              <w:left w:val="single" w:sz="8" w:space="0" w:color="0077BD"/>
              <w:bottom w:val="single" w:sz="4" w:space="0" w:color="0077BD"/>
              <w:right w:val="nil"/>
            </w:tcBorders>
            <w:shd w:val="clear" w:color="auto" w:fill="auto"/>
            <w:noWrap/>
            <w:vAlign w:val="center"/>
          </w:tcPr>
          <w:p w14:paraId="309EF6D7" w14:textId="611FCFFE"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D7051AC" w14:textId="1C7B2E20"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8FA1CD6" w14:textId="3CA535DA"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17 435 143</w:t>
            </w:r>
          </w:p>
        </w:tc>
      </w:tr>
      <w:tr w:rsidR="004D27EA" w:rsidRPr="00977E53" w14:paraId="74EBED0A"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68DBE968" w14:textId="77777777" w:rsidR="004D27EA" w:rsidRPr="00AF0169" w:rsidRDefault="004D27EA" w:rsidP="004D27EA">
            <w:pPr>
              <w:rPr>
                <w:rFonts w:cs="Calibri"/>
                <w:i/>
                <w:iCs/>
                <w:color w:val="000000" w:themeColor="text1"/>
                <w:sz w:val="11"/>
                <w:szCs w:val="11"/>
              </w:rPr>
            </w:pPr>
            <w:r w:rsidRPr="00AF0169">
              <w:rPr>
                <w:rFonts w:cs="Calibri"/>
                <w:i/>
                <w:iCs/>
                <w:color w:val="000000" w:themeColor="text1"/>
                <w:sz w:val="11"/>
                <w:szCs w:val="11"/>
              </w:rPr>
              <w:t>Zobowiązania podporządkowane</w:t>
            </w:r>
          </w:p>
        </w:tc>
        <w:tc>
          <w:tcPr>
            <w:tcW w:w="972" w:type="dxa"/>
            <w:tcBorders>
              <w:top w:val="nil"/>
              <w:left w:val="single" w:sz="8" w:space="0" w:color="0077BD"/>
              <w:bottom w:val="single" w:sz="4" w:space="0" w:color="0077BD"/>
              <w:right w:val="nil"/>
            </w:tcBorders>
            <w:shd w:val="clear" w:color="auto" w:fill="auto"/>
            <w:noWrap/>
            <w:vAlign w:val="center"/>
          </w:tcPr>
          <w:p w14:paraId="57963031" w14:textId="290FB6D3"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1 519 446</w:t>
            </w:r>
          </w:p>
        </w:tc>
        <w:tc>
          <w:tcPr>
            <w:tcW w:w="972" w:type="dxa"/>
            <w:tcBorders>
              <w:top w:val="nil"/>
              <w:left w:val="single" w:sz="8" w:space="0" w:color="0077BD"/>
              <w:bottom w:val="single" w:sz="4" w:space="0" w:color="0077BD"/>
              <w:right w:val="nil"/>
            </w:tcBorders>
            <w:shd w:val="clear" w:color="auto" w:fill="auto"/>
            <w:noWrap/>
            <w:vAlign w:val="center"/>
          </w:tcPr>
          <w:p w14:paraId="37C3B9D8" w14:textId="5AE59331"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ABD587A" w14:textId="344CB723"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CF82552" w14:textId="7E1A889C"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980 771</w:t>
            </w:r>
          </w:p>
        </w:tc>
        <w:tc>
          <w:tcPr>
            <w:tcW w:w="972" w:type="dxa"/>
            <w:tcBorders>
              <w:top w:val="nil"/>
              <w:left w:val="single" w:sz="8" w:space="0" w:color="0077BD"/>
              <w:bottom w:val="single" w:sz="4" w:space="0" w:color="0077BD"/>
              <w:right w:val="nil"/>
            </w:tcBorders>
            <w:shd w:val="clear" w:color="auto" w:fill="auto"/>
            <w:noWrap/>
            <w:vAlign w:val="center"/>
          </w:tcPr>
          <w:p w14:paraId="56BCB54C" w14:textId="5AF7D323"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083FDDA" w14:textId="706BD954"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02AE547D" w14:textId="747D4FC4" w:rsidR="004D27EA" w:rsidRPr="00AF0169" w:rsidRDefault="004D27EA" w:rsidP="004D27EA">
            <w:pPr>
              <w:jc w:val="right"/>
              <w:rPr>
                <w:rFonts w:cs="Calibri"/>
                <w:i/>
                <w:iCs/>
                <w:color w:val="000000" w:themeColor="text1"/>
                <w:sz w:val="11"/>
                <w:szCs w:val="11"/>
              </w:rPr>
            </w:pPr>
            <w:r w:rsidRPr="00AF0169">
              <w:rPr>
                <w:rFonts w:cs="Calibri"/>
                <w:i/>
                <w:iCs/>
                <w:color w:val="000000" w:themeColor="text1"/>
                <w:sz w:val="11"/>
                <w:szCs w:val="11"/>
              </w:rPr>
              <w:t>2 500 217</w:t>
            </w:r>
          </w:p>
        </w:tc>
      </w:tr>
      <w:tr w:rsidR="004D27EA" w:rsidRPr="00977E53" w14:paraId="14CD720B" w14:textId="77777777" w:rsidTr="008067D0">
        <w:trPr>
          <w:trHeight w:val="454"/>
        </w:trPr>
        <w:tc>
          <w:tcPr>
            <w:tcW w:w="2835" w:type="dxa"/>
            <w:tcBorders>
              <w:top w:val="nil"/>
              <w:left w:val="nil"/>
              <w:bottom w:val="single" w:sz="4" w:space="0" w:color="0077BD"/>
              <w:right w:val="single" w:sz="8" w:space="0" w:color="0077BD"/>
            </w:tcBorders>
            <w:shd w:val="clear" w:color="auto" w:fill="auto"/>
            <w:vAlign w:val="center"/>
          </w:tcPr>
          <w:p w14:paraId="26C62EF7" w14:textId="0E0340D5"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Zmiany wartości godziwej pozycji zabezpieczanych w zabezpieczaniu portfela przed ryzykiem stopy procentowej</w:t>
            </w:r>
          </w:p>
        </w:tc>
        <w:tc>
          <w:tcPr>
            <w:tcW w:w="972" w:type="dxa"/>
            <w:tcBorders>
              <w:top w:val="nil"/>
              <w:left w:val="single" w:sz="8" w:space="0" w:color="0077BD"/>
              <w:bottom w:val="single" w:sz="4" w:space="0" w:color="0077BD"/>
              <w:right w:val="nil"/>
            </w:tcBorders>
            <w:shd w:val="clear" w:color="auto" w:fill="auto"/>
            <w:noWrap/>
            <w:vAlign w:val="center"/>
          </w:tcPr>
          <w:p w14:paraId="1C048BDB" w14:textId="066A13E8"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75760707" w14:textId="2E8A6EF1"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BF899C5" w14:textId="0FCEEE38"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B2FE8B8" w14:textId="10958595"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7FF9FA1" w14:textId="53325130"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136</w:t>
            </w:r>
          </w:p>
        </w:tc>
        <w:tc>
          <w:tcPr>
            <w:tcW w:w="972" w:type="dxa"/>
            <w:tcBorders>
              <w:top w:val="nil"/>
              <w:left w:val="single" w:sz="8" w:space="0" w:color="0077BD"/>
              <w:bottom w:val="single" w:sz="4" w:space="0" w:color="0077BD"/>
              <w:right w:val="nil"/>
            </w:tcBorders>
            <w:shd w:val="clear" w:color="auto" w:fill="auto"/>
            <w:noWrap/>
            <w:vAlign w:val="center"/>
          </w:tcPr>
          <w:p w14:paraId="449BB396" w14:textId="4C6170C9"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4456200" w14:textId="51309A66"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136</w:t>
            </w:r>
          </w:p>
        </w:tc>
      </w:tr>
      <w:tr w:rsidR="004D27EA" w:rsidRPr="00977E53" w14:paraId="37BA389E" w14:textId="77777777" w:rsidTr="008067D0">
        <w:trPr>
          <w:trHeight w:val="454"/>
        </w:trPr>
        <w:tc>
          <w:tcPr>
            <w:tcW w:w="2835" w:type="dxa"/>
            <w:tcBorders>
              <w:top w:val="nil"/>
              <w:left w:val="nil"/>
              <w:bottom w:val="single" w:sz="4" w:space="0" w:color="0077BD"/>
              <w:right w:val="single" w:sz="8" w:space="0" w:color="0077BD"/>
            </w:tcBorders>
            <w:shd w:val="clear" w:color="auto" w:fill="auto"/>
            <w:vAlign w:val="center"/>
          </w:tcPr>
          <w:p w14:paraId="289CD3E2" w14:textId="4FECB441"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Zobowiązania uwzględnione w grupach do zbycia sklasyfikowanych jako przeznaczone do sprzedaży</w:t>
            </w:r>
          </w:p>
        </w:tc>
        <w:tc>
          <w:tcPr>
            <w:tcW w:w="972" w:type="dxa"/>
            <w:tcBorders>
              <w:top w:val="nil"/>
              <w:left w:val="single" w:sz="8" w:space="0" w:color="0077BD"/>
              <w:bottom w:val="single" w:sz="4" w:space="0" w:color="0077BD"/>
              <w:right w:val="nil"/>
            </w:tcBorders>
            <w:shd w:val="clear" w:color="auto" w:fill="auto"/>
            <w:noWrap/>
            <w:vAlign w:val="center"/>
          </w:tcPr>
          <w:p w14:paraId="23794E4F" w14:textId="50A00A8E"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1 315</w:t>
            </w:r>
          </w:p>
        </w:tc>
        <w:tc>
          <w:tcPr>
            <w:tcW w:w="972" w:type="dxa"/>
            <w:tcBorders>
              <w:top w:val="nil"/>
              <w:left w:val="single" w:sz="8" w:space="0" w:color="0077BD"/>
              <w:bottom w:val="single" w:sz="4" w:space="0" w:color="0077BD"/>
              <w:right w:val="nil"/>
            </w:tcBorders>
            <w:shd w:val="clear" w:color="auto" w:fill="auto"/>
            <w:noWrap/>
            <w:vAlign w:val="center"/>
          </w:tcPr>
          <w:p w14:paraId="7FBDF1EE" w14:textId="26C1B8B6"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4F7315F" w14:textId="70D7F0C3"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0A2DD15F" w14:textId="273C5018"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1AC5E468" w14:textId="4FD967E2"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4D83AC8" w14:textId="627327A9"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653CBB1" w14:textId="76C56112"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1 315</w:t>
            </w:r>
          </w:p>
        </w:tc>
      </w:tr>
      <w:tr w:rsidR="004D27EA" w:rsidRPr="00977E53" w14:paraId="646F74BF"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9F18A3B"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Rezerwy</w:t>
            </w:r>
          </w:p>
        </w:tc>
        <w:tc>
          <w:tcPr>
            <w:tcW w:w="972" w:type="dxa"/>
            <w:tcBorders>
              <w:top w:val="nil"/>
              <w:left w:val="single" w:sz="8" w:space="0" w:color="0077BD"/>
              <w:bottom w:val="single" w:sz="4" w:space="0" w:color="0077BD"/>
              <w:right w:val="nil"/>
            </w:tcBorders>
            <w:shd w:val="clear" w:color="auto" w:fill="auto"/>
            <w:noWrap/>
            <w:vAlign w:val="center"/>
          </w:tcPr>
          <w:p w14:paraId="6250ABB5" w14:textId="0D29F836"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698 444</w:t>
            </w:r>
          </w:p>
        </w:tc>
        <w:tc>
          <w:tcPr>
            <w:tcW w:w="972" w:type="dxa"/>
            <w:tcBorders>
              <w:top w:val="nil"/>
              <w:left w:val="single" w:sz="8" w:space="0" w:color="0077BD"/>
              <w:bottom w:val="single" w:sz="4" w:space="0" w:color="0077BD"/>
              <w:right w:val="nil"/>
            </w:tcBorders>
            <w:shd w:val="clear" w:color="auto" w:fill="auto"/>
            <w:noWrap/>
            <w:vAlign w:val="center"/>
          </w:tcPr>
          <w:p w14:paraId="4BD83A63" w14:textId="1E23EF15"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37 215</w:t>
            </w:r>
          </w:p>
        </w:tc>
        <w:tc>
          <w:tcPr>
            <w:tcW w:w="972" w:type="dxa"/>
            <w:tcBorders>
              <w:top w:val="nil"/>
              <w:left w:val="single" w:sz="8" w:space="0" w:color="0077BD"/>
              <w:bottom w:val="single" w:sz="4" w:space="0" w:color="0077BD"/>
              <w:right w:val="nil"/>
            </w:tcBorders>
            <w:shd w:val="clear" w:color="auto" w:fill="auto"/>
            <w:noWrap/>
            <w:vAlign w:val="center"/>
          </w:tcPr>
          <w:p w14:paraId="4144B691" w14:textId="6397CCB2"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1 451</w:t>
            </w:r>
          </w:p>
        </w:tc>
        <w:tc>
          <w:tcPr>
            <w:tcW w:w="972" w:type="dxa"/>
            <w:tcBorders>
              <w:top w:val="nil"/>
              <w:left w:val="single" w:sz="8" w:space="0" w:color="0077BD"/>
              <w:bottom w:val="single" w:sz="4" w:space="0" w:color="0077BD"/>
              <w:right w:val="nil"/>
            </w:tcBorders>
            <w:shd w:val="clear" w:color="auto" w:fill="auto"/>
            <w:noWrap/>
            <w:vAlign w:val="center"/>
          </w:tcPr>
          <w:p w14:paraId="041CA0E9" w14:textId="5194C139"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1 435</w:t>
            </w:r>
          </w:p>
        </w:tc>
        <w:tc>
          <w:tcPr>
            <w:tcW w:w="972" w:type="dxa"/>
            <w:tcBorders>
              <w:top w:val="nil"/>
              <w:left w:val="single" w:sz="8" w:space="0" w:color="0077BD"/>
              <w:bottom w:val="single" w:sz="4" w:space="0" w:color="0077BD"/>
              <w:right w:val="nil"/>
            </w:tcBorders>
            <w:shd w:val="clear" w:color="auto" w:fill="auto"/>
            <w:noWrap/>
            <w:vAlign w:val="center"/>
          </w:tcPr>
          <w:p w14:paraId="5955C204" w14:textId="52C58B83"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701</w:t>
            </w:r>
          </w:p>
        </w:tc>
        <w:tc>
          <w:tcPr>
            <w:tcW w:w="972" w:type="dxa"/>
            <w:tcBorders>
              <w:top w:val="nil"/>
              <w:left w:val="single" w:sz="8" w:space="0" w:color="0077BD"/>
              <w:bottom w:val="single" w:sz="4" w:space="0" w:color="0077BD"/>
              <w:right w:val="nil"/>
            </w:tcBorders>
            <w:shd w:val="clear" w:color="auto" w:fill="auto"/>
            <w:noWrap/>
            <w:vAlign w:val="center"/>
          </w:tcPr>
          <w:p w14:paraId="4A00F635" w14:textId="7F85F854"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50</w:t>
            </w:r>
          </w:p>
        </w:tc>
        <w:tc>
          <w:tcPr>
            <w:tcW w:w="972" w:type="dxa"/>
            <w:tcBorders>
              <w:top w:val="nil"/>
              <w:left w:val="single" w:sz="8" w:space="0" w:color="0077BD"/>
              <w:bottom w:val="single" w:sz="4" w:space="0" w:color="0077BD"/>
              <w:right w:val="nil"/>
            </w:tcBorders>
            <w:shd w:val="clear" w:color="auto" w:fill="auto"/>
            <w:noWrap/>
            <w:vAlign w:val="center"/>
          </w:tcPr>
          <w:p w14:paraId="21F23888" w14:textId="5194A341"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739 296</w:t>
            </w:r>
          </w:p>
        </w:tc>
      </w:tr>
      <w:tr w:rsidR="004D27EA" w:rsidRPr="00977E53" w14:paraId="3F898CF2" w14:textId="77777777" w:rsidTr="001C2A7E">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22DEBE32"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Bieżące zobowiązanie z tytułu podatku dochodowego</w:t>
            </w:r>
          </w:p>
        </w:tc>
        <w:tc>
          <w:tcPr>
            <w:tcW w:w="972" w:type="dxa"/>
            <w:tcBorders>
              <w:top w:val="nil"/>
              <w:left w:val="single" w:sz="8" w:space="0" w:color="0077BD"/>
              <w:bottom w:val="single" w:sz="4" w:space="0" w:color="0077BD"/>
              <w:right w:val="nil"/>
            </w:tcBorders>
            <w:shd w:val="clear" w:color="auto" w:fill="auto"/>
            <w:noWrap/>
            <w:vAlign w:val="center"/>
          </w:tcPr>
          <w:p w14:paraId="563352D6" w14:textId="4E47CE74"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135 549</w:t>
            </w:r>
          </w:p>
        </w:tc>
        <w:tc>
          <w:tcPr>
            <w:tcW w:w="972" w:type="dxa"/>
            <w:tcBorders>
              <w:top w:val="nil"/>
              <w:left w:val="single" w:sz="8" w:space="0" w:color="0077BD"/>
              <w:bottom w:val="single" w:sz="4" w:space="0" w:color="0077BD"/>
              <w:right w:val="nil"/>
            </w:tcBorders>
            <w:shd w:val="clear" w:color="auto" w:fill="auto"/>
            <w:noWrap/>
            <w:vAlign w:val="center"/>
          </w:tcPr>
          <w:p w14:paraId="09FDD14F" w14:textId="33C809D0"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95376F3" w14:textId="1C2D49F4"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2072B68" w14:textId="107AE3DE"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28191A89" w14:textId="55848766"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25 985</w:t>
            </w:r>
          </w:p>
        </w:tc>
        <w:tc>
          <w:tcPr>
            <w:tcW w:w="972" w:type="dxa"/>
            <w:tcBorders>
              <w:top w:val="nil"/>
              <w:left w:val="single" w:sz="8" w:space="0" w:color="0077BD"/>
              <w:bottom w:val="single" w:sz="4" w:space="0" w:color="0077BD"/>
              <w:right w:val="nil"/>
            </w:tcBorders>
            <w:shd w:val="clear" w:color="auto" w:fill="auto"/>
            <w:noWrap/>
            <w:vAlign w:val="center"/>
          </w:tcPr>
          <w:p w14:paraId="661BC6DE" w14:textId="584B4665"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52A92F54" w14:textId="5AD87193"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161 534</w:t>
            </w:r>
          </w:p>
        </w:tc>
      </w:tr>
      <w:tr w:rsidR="004D27EA" w:rsidRPr="00977E53" w14:paraId="3450BCF7" w14:textId="77777777" w:rsidTr="001C2A7E">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1AF0FB2E"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Rezerwa z tytułu odroczonego podatku dochodowego</w:t>
            </w:r>
          </w:p>
        </w:tc>
        <w:tc>
          <w:tcPr>
            <w:tcW w:w="972" w:type="dxa"/>
            <w:tcBorders>
              <w:top w:val="nil"/>
              <w:left w:val="single" w:sz="8" w:space="0" w:color="0077BD"/>
              <w:bottom w:val="single" w:sz="4" w:space="0" w:color="0077BD"/>
              <w:right w:val="nil"/>
            </w:tcBorders>
            <w:shd w:val="clear" w:color="auto" w:fill="auto"/>
            <w:noWrap/>
            <w:vAlign w:val="center"/>
          </w:tcPr>
          <w:p w14:paraId="29E0D054" w14:textId="3C89E8E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30A4FE55" w14:textId="11B97B61"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82</w:t>
            </w:r>
          </w:p>
        </w:tc>
        <w:tc>
          <w:tcPr>
            <w:tcW w:w="972" w:type="dxa"/>
            <w:tcBorders>
              <w:top w:val="nil"/>
              <w:left w:val="single" w:sz="8" w:space="0" w:color="0077BD"/>
              <w:bottom w:val="single" w:sz="4" w:space="0" w:color="0077BD"/>
              <w:right w:val="nil"/>
            </w:tcBorders>
            <w:shd w:val="clear" w:color="auto" w:fill="auto"/>
            <w:noWrap/>
            <w:vAlign w:val="center"/>
          </w:tcPr>
          <w:p w14:paraId="44BDD839" w14:textId="13BF0352"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21CD846" w14:textId="21EF146B"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67A1DFE7" w14:textId="6BEF061D"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8177F07" w14:textId="4BCA7E0C"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tcPr>
          <w:p w14:paraId="48710EC7" w14:textId="32526169"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82</w:t>
            </w:r>
          </w:p>
        </w:tc>
      </w:tr>
      <w:tr w:rsidR="004D27EA" w:rsidRPr="00977E53" w14:paraId="0589327A" w14:textId="77777777" w:rsidTr="008067D0">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86E0CF3"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Inne zobowiązania</w:t>
            </w:r>
          </w:p>
        </w:tc>
        <w:tc>
          <w:tcPr>
            <w:tcW w:w="972" w:type="dxa"/>
            <w:tcBorders>
              <w:top w:val="nil"/>
              <w:left w:val="single" w:sz="8" w:space="0" w:color="0077BD"/>
              <w:bottom w:val="single" w:sz="4" w:space="0" w:color="0077BD"/>
              <w:right w:val="nil"/>
            </w:tcBorders>
            <w:shd w:val="clear" w:color="auto" w:fill="auto"/>
            <w:noWrap/>
            <w:vAlign w:val="center"/>
          </w:tcPr>
          <w:p w14:paraId="50F3891D" w14:textId="1D6FC4D3"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2 504 654</w:t>
            </w:r>
          </w:p>
        </w:tc>
        <w:tc>
          <w:tcPr>
            <w:tcW w:w="972" w:type="dxa"/>
            <w:tcBorders>
              <w:top w:val="nil"/>
              <w:left w:val="single" w:sz="8" w:space="0" w:color="0077BD"/>
              <w:bottom w:val="single" w:sz="4" w:space="0" w:color="0077BD"/>
              <w:right w:val="nil"/>
            </w:tcBorders>
            <w:shd w:val="clear" w:color="auto" w:fill="auto"/>
            <w:noWrap/>
            <w:vAlign w:val="center"/>
          </w:tcPr>
          <w:p w14:paraId="29DFF846" w14:textId="63DE97A9"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165 482</w:t>
            </w:r>
          </w:p>
        </w:tc>
        <w:tc>
          <w:tcPr>
            <w:tcW w:w="972" w:type="dxa"/>
            <w:tcBorders>
              <w:top w:val="nil"/>
              <w:left w:val="single" w:sz="8" w:space="0" w:color="0077BD"/>
              <w:bottom w:val="single" w:sz="4" w:space="0" w:color="0077BD"/>
              <w:right w:val="nil"/>
            </w:tcBorders>
            <w:shd w:val="clear" w:color="auto" w:fill="auto"/>
            <w:noWrap/>
            <w:vAlign w:val="center"/>
          </w:tcPr>
          <w:p w14:paraId="10446E00" w14:textId="6D6D1365"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144 432</w:t>
            </w:r>
          </w:p>
        </w:tc>
        <w:tc>
          <w:tcPr>
            <w:tcW w:w="972" w:type="dxa"/>
            <w:tcBorders>
              <w:top w:val="nil"/>
              <w:left w:val="single" w:sz="8" w:space="0" w:color="0077BD"/>
              <w:bottom w:val="single" w:sz="4" w:space="0" w:color="0077BD"/>
              <w:right w:val="nil"/>
            </w:tcBorders>
            <w:shd w:val="clear" w:color="auto" w:fill="auto"/>
            <w:noWrap/>
            <w:vAlign w:val="center"/>
          </w:tcPr>
          <w:p w14:paraId="2C3C9DF0" w14:textId="0C8E0434"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4 436</w:t>
            </w:r>
          </w:p>
        </w:tc>
        <w:tc>
          <w:tcPr>
            <w:tcW w:w="972" w:type="dxa"/>
            <w:tcBorders>
              <w:top w:val="nil"/>
              <w:left w:val="single" w:sz="8" w:space="0" w:color="0077BD"/>
              <w:bottom w:val="single" w:sz="4" w:space="0" w:color="0077BD"/>
              <w:right w:val="nil"/>
            </w:tcBorders>
            <w:shd w:val="clear" w:color="auto" w:fill="auto"/>
            <w:noWrap/>
            <w:vAlign w:val="center"/>
          </w:tcPr>
          <w:p w14:paraId="2C83D2E9" w14:textId="3F43F1C4"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107 598</w:t>
            </w:r>
          </w:p>
        </w:tc>
        <w:tc>
          <w:tcPr>
            <w:tcW w:w="972" w:type="dxa"/>
            <w:tcBorders>
              <w:top w:val="nil"/>
              <w:left w:val="single" w:sz="8" w:space="0" w:color="0077BD"/>
              <w:bottom w:val="single" w:sz="4" w:space="0" w:color="0077BD"/>
              <w:right w:val="nil"/>
            </w:tcBorders>
            <w:shd w:val="clear" w:color="auto" w:fill="auto"/>
            <w:noWrap/>
            <w:vAlign w:val="center"/>
          </w:tcPr>
          <w:p w14:paraId="583EFC80" w14:textId="2C9ED2DB"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26 180</w:t>
            </w:r>
          </w:p>
        </w:tc>
        <w:tc>
          <w:tcPr>
            <w:tcW w:w="972" w:type="dxa"/>
            <w:tcBorders>
              <w:top w:val="nil"/>
              <w:left w:val="single" w:sz="8" w:space="0" w:color="0077BD"/>
              <w:bottom w:val="single" w:sz="4" w:space="0" w:color="0077BD"/>
              <w:right w:val="nil"/>
            </w:tcBorders>
            <w:shd w:val="clear" w:color="auto" w:fill="auto"/>
            <w:noWrap/>
            <w:vAlign w:val="center"/>
          </w:tcPr>
          <w:p w14:paraId="03699BC3" w14:textId="640BEF8D" w:rsidR="004D27EA" w:rsidRPr="00AF0169" w:rsidRDefault="004D27EA" w:rsidP="004D27EA">
            <w:pPr>
              <w:jc w:val="right"/>
              <w:rPr>
                <w:rFonts w:cs="Calibri"/>
                <w:color w:val="000000" w:themeColor="text1"/>
                <w:sz w:val="11"/>
                <w:szCs w:val="11"/>
              </w:rPr>
            </w:pPr>
            <w:r w:rsidRPr="00AF0169">
              <w:rPr>
                <w:rFonts w:cs="Calibri"/>
                <w:color w:val="000000" w:themeColor="text1"/>
                <w:sz w:val="11"/>
                <w:szCs w:val="11"/>
              </w:rPr>
              <w:t>2 952 782</w:t>
            </w:r>
          </w:p>
        </w:tc>
      </w:tr>
      <w:tr w:rsidR="004D27EA" w:rsidRPr="00977E53" w14:paraId="60113B25" w14:textId="77777777" w:rsidTr="008067D0">
        <w:trPr>
          <w:trHeight w:val="227"/>
        </w:trPr>
        <w:tc>
          <w:tcPr>
            <w:tcW w:w="2835" w:type="dxa"/>
            <w:tcBorders>
              <w:top w:val="single" w:sz="8" w:space="0" w:color="0077BD"/>
              <w:left w:val="nil"/>
              <w:bottom w:val="single" w:sz="8" w:space="0" w:color="0077BD"/>
              <w:right w:val="single" w:sz="8" w:space="0" w:color="0077BD"/>
            </w:tcBorders>
            <w:shd w:val="clear" w:color="auto" w:fill="auto"/>
            <w:vAlign w:val="center"/>
            <w:hideMark/>
          </w:tcPr>
          <w:p w14:paraId="7B62335B" w14:textId="42375DB6"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ZOBOWIĄZANIA RAZEM</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01591D61" w14:textId="2F90FC05" w:rsidR="004D27EA" w:rsidRPr="00AF0169" w:rsidRDefault="00251A57" w:rsidP="004D27EA">
            <w:pPr>
              <w:jc w:val="right"/>
              <w:rPr>
                <w:rFonts w:cs="Calibri"/>
                <w:b/>
                <w:bCs/>
                <w:color w:val="000000" w:themeColor="text1"/>
                <w:sz w:val="11"/>
                <w:szCs w:val="11"/>
              </w:rPr>
            </w:pPr>
            <w:r>
              <w:rPr>
                <w:rFonts w:cs="Calibri"/>
                <w:b/>
                <w:bCs/>
                <w:color w:val="000000" w:themeColor="text1"/>
                <w:sz w:val="11"/>
                <w:szCs w:val="11"/>
              </w:rPr>
              <w:t>97 649 292</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52C8B454" w14:textId="330A447D"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28 031 014</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78BAED27" w14:textId="2BF246C7"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3 842 035</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3628F963" w14:textId="6C9DB797" w:rsidR="004D27EA" w:rsidRPr="00AF0169" w:rsidRDefault="004D27EA" w:rsidP="004D786E">
            <w:pPr>
              <w:jc w:val="right"/>
              <w:rPr>
                <w:rFonts w:cs="Calibri"/>
                <w:b/>
                <w:bCs/>
                <w:color w:val="000000" w:themeColor="text1"/>
                <w:sz w:val="11"/>
                <w:szCs w:val="11"/>
              </w:rPr>
            </w:pPr>
            <w:r w:rsidRPr="00AF0169">
              <w:rPr>
                <w:rFonts w:cs="Calibri"/>
                <w:b/>
                <w:bCs/>
                <w:color w:val="000000" w:themeColor="text1"/>
                <w:sz w:val="11"/>
                <w:szCs w:val="11"/>
              </w:rPr>
              <w:t xml:space="preserve">4 976 </w:t>
            </w:r>
            <w:r w:rsidR="004D786E">
              <w:rPr>
                <w:rFonts w:cs="Calibri"/>
                <w:b/>
                <w:bCs/>
                <w:color w:val="000000" w:themeColor="text1"/>
                <w:sz w:val="11"/>
                <w:szCs w:val="11"/>
              </w:rPr>
              <w:t>980</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5CF42D7E" w14:textId="66D0A9BB"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7 537 367</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1E823582" w14:textId="6E0C5328"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530 590</w:t>
            </w:r>
          </w:p>
        </w:tc>
        <w:tc>
          <w:tcPr>
            <w:tcW w:w="972" w:type="dxa"/>
            <w:tcBorders>
              <w:top w:val="single" w:sz="8" w:space="0" w:color="0077BD"/>
              <w:left w:val="single" w:sz="8" w:space="0" w:color="0077BD"/>
              <w:bottom w:val="single" w:sz="8" w:space="0" w:color="0077BD"/>
              <w:right w:val="nil"/>
            </w:tcBorders>
            <w:shd w:val="clear" w:color="auto" w:fill="auto"/>
            <w:noWrap/>
            <w:vAlign w:val="center"/>
          </w:tcPr>
          <w:p w14:paraId="044B83F0" w14:textId="69DF18C5"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142 567 278</w:t>
            </w:r>
          </w:p>
        </w:tc>
      </w:tr>
      <w:tr w:rsidR="00977E53" w:rsidRPr="00977E53" w14:paraId="11A3D753" w14:textId="77777777" w:rsidTr="0019495E">
        <w:trPr>
          <w:trHeight w:val="20"/>
        </w:trPr>
        <w:tc>
          <w:tcPr>
            <w:tcW w:w="2835" w:type="dxa"/>
            <w:tcBorders>
              <w:top w:val="nil"/>
              <w:left w:val="nil"/>
              <w:bottom w:val="nil"/>
              <w:right w:val="nil"/>
            </w:tcBorders>
            <w:shd w:val="clear" w:color="auto" w:fill="auto"/>
            <w:vAlign w:val="center"/>
            <w:hideMark/>
          </w:tcPr>
          <w:p w14:paraId="1016D3AF" w14:textId="77777777" w:rsidR="008318EE" w:rsidRPr="00AF0169" w:rsidRDefault="008318EE" w:rsidP="009E1F91">
            <w:pPr>
              <w:jc w:val="right"/>
              <w:rPr>
                <w:rFonts w:cs="Calibri"/>
                <w:b/>
                <w:bCs/>
                <w:color w:val="000000" w:themeColor="text1"/>
                <w:sz w:val="11"/>
                <w:szCs w:val="11"/>
              </w:rPr>
            </w:pPr>
          </w:p>
        </w:tc>
        <w:tc>
          <w:tcPr>
            <w:tcW w:w="972" w:type="dxa"/>
            <w:tcBorders>
              <w:top w:val="nil"/>
              <w:left w:val="nil"/>
              <w:bottom w:val="nil"/>
              <w:right w:val="nil"/>
            </w:tcBorders>
            <w:shd w:val="clear" w:color="auto" w:fill="auto"/>
            <w:noWrap/>
            <w:vAlign w:val="center"/>
          </w:tcPr>
          <w:p w14:paraId="56C3A0DD" w14:textId="77777777" w:rsidR="008318EE" w:rsidRPr="00AF0169" w:rsidRDefault="008318EE" w:rsidP="009E1F91">
            <w:pPr>
              <w:rPr>
                <w:color w:val="000000" w:themeColor="text1"/>
                <w:sz w:val="11"/>
                <w:szCs w:val="11"/>
              </w:rPr>
            </w:pPr>
          </w:p>
        </w:tc>
        <w:tc>
          <w:tcPr>
            <w:tcW w:w="972" w:type="dxa"/>
            <w:tcBorders>
              <w:top w:val="nil"/>
              <w:left w:val="nil"/>
              <w:bottom w:val="nil"/>
              <w:right w:val="nil"/>
            </w:tcBorders>
            <w:shd w:val="clear" w:color="auto" w:fill="auto"/>
            <w:noWrap/>
            <w:vAlign w:val="center"/>
          </w:tcPr>
          <w:p w14:paraId="29FF1248" w14:textId="77777777" w:rsidR="008318EE" w:rsidRPr="00AF0169" w:rsidRDefault="008318EE" w:rsidP="009E1F91">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396D1F63" w14:textId="77777777" w:rsidR="008318EE" w:rsidRPr="00AF0169" w:rsidRDefault="008318EE" w:rsidP="009E1F91">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2A59DA87" w14:textId="77777777" w:rsidR="008318EE" w:rsidRPr="00AF0169" w:rsidRDefault="008318EE" w:rsidP="009E1F91">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54214469" w14:textId="77777777" w:rsidR="008318EE" w:rsidRPr="00AF0169" w:rsidRDefault="008318EE" w:rsidP="009E1F91">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1B4A420B" w14:textId="77777777" w:rsidR="008318EE" w:rsidRPr="00AF0169" w:rsidRDefault="008318EE" w:rsidP="009E1F91">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0AD467EE" w14:textId="77777777" w:rsidR="008318EE" w:rsidRPr="00AF0169" w:rsidRDefault="008318EE" w:rsidP="009E1F91">
            <w:pPr>
              <w:jc w:val="right"/>
              <w:rPr>
                <w:color w:val="000000" w:themeColor="text1"/>
                <w:sz w:val="11"/>
                <w:szCs w:val="11"/>
              </w:rPr>
            </w:pPr>
          </w:p>
        </w:tc>
      </w:tr>
      <w:tr w:rsidR="004D27EA" w:rsidRPr="00977E53" w14:paraId="3F823488" w14:textId="77777777" w:rsidTr="008067D0">
        <w:trPr>
          <w:trHeight w:val="227"/>
        </w:trPr>
        <w:tc>
          <w:tcPr>
            <w:tcW w:w="2835" w:type="dxa"/>
            <w:tcBorders>
              <w:top w:val="single" w:sz="8" w:space="0" w:color="0070C0"/>
              <w:left w:val="nil"/>
              <w:bottom w:val="single" w:sz="8" w:space="0" w:color="0070C0"/>
              <w:right w:val="single" w:sz="8" w:space="0" w:color="0070C0"/>
            </w:tcBorders>
            <w:shd w:val="clear" w:color="auto" w:fill="auto"/>
            <w:vAlign w:val="center"/>
            <w:hideMark/>
          </w:tcPr>
          <w:p w14:paraId="55885807" w14:textId="77777777" w:rsidR="004D27EA" w:rsidRPr="00AF0169" w:rsidRDefault="004D27EA" w:rsidP="004D27EA">
            <w:pPr>
              <w:rPr>
                <w:rFonts w:cs="Calibri"/>
                <w:b/>
                <w:bCs/>
                <w:color w:val="000000" w:themeColor="text1"/>
                <w:sz w:val="11"/>
                <w:szCs w:val="11"/>
              </w:rPr>
            </w:pPr>
            <w:r w:rsidRPr="00AF0169">
              <w:rPr>
                <w:rFonts w:cs="Calibri"/>
                <w:b/>
                <w:bCs/>
                <w:color w:val="000000" w:themeColor="text1"/>
                <w:sz w:val="11"/>
                <w:szCs w:val="11"/>
              </w:rPr>
              <w:t>Pozycja bilansowa netto</w:t>
            </w:r>
          </w:p>
        </w:tc>
        <w:tc>
          <w:tcPr>
            <w:tcW w:w="972" w:type="dxa"/>
            <w:tcBorders>
              <w:top w:val="single" w:sz="8" w:space="0" w:color="0070C0"/>
              <w:left w:val="single" w:sz="8" w:space="0" w:color="0070C0"/>
              <w:bottom w:val="single" w:sz="8" w:space="0" w:color="0070C0"/>
              <w:right w:val="single" w:sz="8" w:space="0" w:color="0070C0"/>
            </w:tcBorders>
            <w:shd w:val="clear" w:color="auto" w:fill="auto"/>
            <w:noWrap/>
            <w:vAlign w:val="center"/>
          </w:tcPr>
          <w:p w14:paraId="6AA5EC51" w14:textId="26B7CDFD"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19 725</w:t>
            </w:r>
            <w:r w:rsidR="0010008F">
              <w:rPr>
                <w:rFonts w:cs="Calibri"/>
                <w:b/>
                <w:bCs/>
                <w:color w:val="000000" w:themeColor="text1"/>
                <w:sz w:val="11"/>
                <w:szCs w:val="11"/>
              </w:rPr>
              <w:t xml:space="preserve"> 539</w:t>
            </w:r>
          </w:p>
        </w:tc>
        <w:tc>
          <w:tcPr>
            <w:tcW w:w="972" w:type="dxa"/>
            <w:tcBorders>
              <w:top w:val="single" w:sz="8" w:space="0" w:color="0070C0"/>
              <w:left w:val="nil"/>
              <w:bottom w:val="single" w:sz="8" w:space="0" w:color="0070C0"/>
              <w:right w:val="single" w:sz="8" w:space="0" w:color="0070C0"/>
            </w:tcBorders>
            <w:shd w:val="clear" w:color="auto" w:fill="auto"/>
            <w:noWrap/>
            <w:vAlign w:val="center"/>
          </w:tcPr>
          <w:p w14:paraId="7A67CF37" w14:textId="049AB5C0"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(10 169 390)</w:t>
            </w:r>
          </w:p>
        </w:tc>
        <w:tc>
          <w:tcPr>
            <w:tcW w:w="972" w:type="dxa"/>
            <w:tcBorders>
              <w:top w:val="single" w:sz="8" w:space="0" w:color="0070C0"/>
              <w:left w:val="nil"/>
              <w:bottom w:val="single" w:sz="8" w:space="0" w:color="0070C0"/>
              <w:right w:val="single" w:sz="8" w:space="0" w:color="0070C0"/>
            </w:tcBorders>
            <w:shd w:val="clear" w:color="auto" w:fill="auto"/>
            <w:noWrap/>
            <w:vAlign w:val="center"/>
          </w:tcPr>
          <w:p w14:paraId="7B85717B" w14:textId="3E3B45D7"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(2 325 098)</w:t>
            </w:r>
          </w:p>
        </w:tc>
        <w:tc>
          <w:tcPr>
            <w:tcW w:w="972" w:type="dxa"/>
            <w:tcBorders>
              <w:top w:val="single" w:sz="8" w:space="0" w:color="0070C0"/>
              <w:left w:val="nil"/>
              <w:bottom w:val="single" w:sz="8" w:space="0" w:color="0070C0"/>
              <w:right w:val="single" w:sz="8" w:space="0" w:color="0070C0"/>
            </w:tcBorders>
            <w:shd w:val="clear" w:color="auto" w:fill="auto"/>
            <w:noWrap/>
            <w:vAlign w:val="center"/>
          </w:tcPr>
          <w:p w14:paraId="495F694E" w14:textId="5FA39D3C" w:rsidR="004D27EA" w:rsidRPr="00AF0169" w:rsidRDefault="004D27EA" w:rsidP="00F5068A">
            <w:pPr>
              <w:jc w:val="right"/>
              <w:rPr>
                <w:rFonts w:cs="Calibri"/>
                <w:b/>
                <w:bCs/>
                <w:color w:val="000000" w:themeColor="text1"/>
                <w:sz w:val="11"/>
                <w:szCs w:val="11"/>
              </w:rPr>
            </w:pPr>
            <w:r w:rsidRPr="00AF0169">
              <w:rPr>
                <w:rFonts w:cs="Calibri"/>
                <w:b/>
                <w:bCs/>
                <w:color w:val="000000" w:themeColor="text1"/>
                <w:sz w:val="11"/>
                <w:szCs w:val="11"/>
              </w:rPr>
              <w:t xml:space="preserve">8 979 </w:t>
            </w:r>
            <w:r w:rsidR="00F5068A">
              <w:rPr>
                <w:rFonts w:cs="Calibri"/>
                <w:b/>
                <w:bCs/>
                <w:color w:val="000000" w:themeColor="text1"/>
                <w:sz w:val="11"/>
                <w:szCs w:val="11"/>
              </w:rPr>
              <w:t>483</w:t>
            </w:r>
          </w:p>
        </w:tc>
        <w:tc>
          <w:tcPr>
            <w:tcW w:w="972" w:type="dxa"/>
            <w:tcBorders>
              <w:top w:val="single" w:sz="8" w:space="0" w:color="0070C0"/>
              <w:left w:val="nil"/>
              <w:bottom w:val="single" w:sz="8" w:space="0" w:color="0070C0"/>
              <w:right w:val="single" w:sz="8" w:space="0" w:color="0070C0"/>
            </w:tcBorders>
            <w:shd w:val="clear" w:color="auto" w:fill="auto"/>
            <w:noWrap/>
            <w:vAlign w:val="center"/>
          </w:tcPr>
          <w:p w14:paraId="6C57A548" w14:textId="443A3377"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324 933</w:t>
            </w:r>
          </w:p>
        </w:tc>
        <w:tc>
          <w:tcPr>
            <w:tcW w:w="972" w:type="dxa"/>
            <w:tcBorders>
              <w:top w:val="single" w:sz="8" w:space="0" w:color="0070C0"/>
              <w:left w:val="nil"/>
              <w:bottom w:val="single" w:sz="8" w:space="0" w:color="0070C0"/>
              <w:right w:val="single" w:sz="8" w:space="0" w:color="0070C0"/>
            </w:tcBorders>
            <w:shd w:val="clear" w:color="auto" w:fill="auto"/>
            <w:noWrap/>
            <w:vAlign w:val="center"/>
          </w:tcPr>
          <w:p w14:paraId="796CB416" w14:textId="07D53E2B"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(382 162)</w:t>
            </w:r>
          </w:p>
        </w:tc>
        <w:tc>
          <w:tcPr>
            <w:tcW w:w="972" w:type="dxa"/>
            <w:tcBorders>
              <w:top w:val="single" w:sz="8" w:space="0" w:color="0070C0"/>
              <w:left w:val="nil"/>
              <w:bottom w:val="single" w:sz="8" w:space="0" w:color="0070C0"/>
              <w:right w:val="nil"/>
            </w:tcBorders>
            <w:shd w:val="clear" w:color="auto" w:fill="auto"/>
            <w:noWrap/>
            <w:vAlign w:val="center"/>
          </w:tcPr>
          <w:p w14:paraId="5A45B6C9" w14:textId="1ABEAB40" w:rsidR="004D27EA" w:rsidRPr="00AF0169" w:rsidRDefault="004D27EA" w:rsidP="004D27EA">
            <w:pPr>
              <w:jc w:val="right"/>
              <w:rPr>
                <w:rFonts w:cs="Calibri"/>
                <w:b/>
                <w:bCs/>
                <w:color w:val="000000" w:themeColor="text1"/>
                <w:sz w:val="11"/>
                <w:szCs w:val="11"/>
              </w:rPr>
            </w:pPr>
            <w:r w:rsidRPr="00AF0169">
              <w:rPr>
                <w:rFonts w:cs="Calibri"/>
                <w:b/>
                <w:bCs/>
                <w:color w:val="000000" w:themeColor="text1"/>
                <w:sz w:val="11"/>
                <w:szCs w:val="11"/>
              </w:rPr>
              <w:t>16 153 305</w:t>
            </w:r>
          </w:p>
        </w:tc>
      </w:tr>
      <w:tr w:rsidR="004D27EA" w:rsidRPr="001C5CB2" w14:paraId="79391BC1" w14:textId="77777777" w:rsidTr="00ED31F2">
        <w:trPr>
          <w:trHeight w:val="340"/>
        </w:trPr>
        <w:tc>
          <w:tcPr>
            <w:tcW w:w="2835" w:type="dxa"/>
            <w:tcBorders>
              <w:top w:val="single" w:sz="4" w:space="0" w:color="0077BD"/>
              <w:left w:val="nil"/>
              <w:bottom w:val="single" w:sz="4" w:space="0" w:color="0077BD"/>
              <w:right w:val="single" w:sz="8" w:space="0" w:color="0077BD"/>
            </w:tcBorders>
            <w:shd w:val="clear" w:color="auto" w:fill="auto"/>
            <w:vAlign w:val="center"/>
            <w:hideMark/>
          </w:tcPr>
          <w:p w14:paraId="01261463" w14:textId="77777777" w:rsidR="004D27EA" w:rsidRPr="001C5CB2" w:rsidRDefault="004D27EA" w:rsidP="004D27EA">
            <w:pPr>
              <w:rPr>
                <w:rFonts w:cs="Calibri"/>
                <w:bCs/>
                <w:color w:val="000000" w:themeColor="text1"/>
                <w:sz w:val="11"/>
                <w:szCs w:val="11"/>
              </w:rPr>
            </w:pPr>
            <w:r w:rsidRPr="001C5CB2">
              <w:rPr>
                <w:rFonts w:cs="Calibri"/>
                <w:bCs/>
                <w:color w:val="000000" w:themeColor="text1"/>
                <w:sz w:val="11"/>
                <w:szCs w:val="11"/>
              </w:rPr>
              <w:t>Zobowiązania do udzielenia kredytów oraz pozostałe udzielone zobowiązania finansowe</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2CE8B850" w14:textId="1FBC6F7F"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26 264 641</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6F39E31" w14:textId="1B0E2C49"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2 026 955</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7B08ADED" w14:textId="09C5BB7F"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331 737</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70569E4" w14:textId="01B6BBDA"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2</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45BC0EFE" w14:textId="5A513CF6"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510 904</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5A9804D5" w14:textId="799C8DFF"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696</w:t>
            </w:r>
          </w:p>
        </w:tc>
        <w:tc>
          <w:tcPr>
            <w:tcW w:w="972" w:type="dxa"/>
            <w:tcBorders>
              <w:top w:val="single" w:sz="4" w:space="0" w:color="0077BD"/>
              <w:left w:val="single" w:sz="8" w:space="0" w:color="0077BD"/>
              <w:bottom w:val="single" w:sz="4" w:space="0" w:color="0077BD"/>
              <w:right w:val="nil"/>
            </w:tcBorders>
            <w:shd w:val="clear" w:color="auto" w:fill="auto"/>
            <w:noWrap/>
            <w:vAlign w:val="center"/>
          </w:tcPr>
          <w:p w14:paraId="14FE4210" w14:textId="06005E4F" w:rsidR="004D27EA" w:rsidRPr="001C5CB2" w:rsidRDefault="004D27EA" w:rsidP="004D27EA">
            <w:pPr>
              <w:jc w:val="right"/>
              <w:rPr>
                <w:rFonts w:cs="Calibri"/>
                <w:color w:val="000000" w:themeColor="text1"/>
                <w:sz w:val="11"/>
                <w:szCs w:val="11"/>
              </w:rPr>
            </w:pPr>
            <w:r w:rsidRPr="001C5CB2">
              <w:rPr>
                <w:rFonts w:cs="Calibri"/>
                <w:bCs/>
                <w:color w:val="000000" w:themeColor="text1"/>
                <w:sz w:val="11"/>
                <w:szCs w:val="11"/>
              </w:rPr>
              <w:t>29 134 935</w:t>
            </w:r>
          </w:p>
        </w:tc>
      </w:tr>
      <w:tr w:rsidR="004D27EA" w:rsidRPr="001C5CB2" w14:paraId="27339E74" w14:textId="77777777" w:rsidTr="00ED31F2">
        <w:trPr>
          <w:trHeight w:val="227"/>
        </w:trPr>
        <w:tc>
          <w:tcPr>
            <w:tcW w:w="2835" w:type="dxa"/>
            <w:tcBorders>
              <w:top w:val="single" w:sz="4" w:space="0" w:color="0077BD"/>
              <w:left w:val="nil"/>
              <w:bottom w:val="single" w:sz="8" w:space="0" w:color="0070C0"/>
              <w:right w:val="single" w:sz="8" w:space="0" w:color="0070C0"/>
            </w:tcBorders>
            <w:shd w:val="clear" w:color="auto" w:fill="auto"/>
            <w:vAlign w:val="center"/>
            <w:hideMark/>
          </w:tcPr>
          <w:p w14:paraId="1EEAA0F1" w14:textId="77777777" w:rsidR="004D27EA" w:rsidRPr="001C5CB2" w:rsidRDefault="004D27EA" w:rsidP="004D27EA">
            <w:pPr>
              <w:rPr>
                <w:rFonts w:cs="Calibri"/>
                <w:bCs/>
                <w:color w:val="000000" w:themeColor="text1"/>
                <w:sz w:val="11"/>
                <w:szCs w:val="11"/>
              </w:rPr>
            </w:pPr>
            <w:r w:rsidRPr="001C5CB2">
              <w:rPr>
                <w:rFonts w:cs="Calibri"/>
                <w:bCs/>
                <w:color w:val="000000" w:themeColor="text1"/>
                <w:sz w:val="11"/>
                <w:szCs w:val="11"/>
              </w:rPr>
              <w:t>Gwarancje, akcepty bankowe i akredytywy</w:t>
            </w:r>
          </w:p>
        </w:tc>
        <w:tc>
          <w:tcPr>
            <w:tcW w:w="972" w:type="dxa"/>
            <w:tcBorders>
              <w:top w:val="single" w:sz="4" w:space="0" w:color="0077BD"/>
              <w:left w:val="single" w:sz="8" w:space="0" w:color="0070C0"/>
              <w:bottom w:val="single" w:sz="8" w:space="0" w:color="0070C0"/>
              <w:right w:val="single" w:sz="8" w:space="0" w:color="0070C0"/>
            </w:tcBorders>
            <w:shd w:val="clear" w:color="auto" w:fill="auto"/>
            <w:noWrap/>
            <w:vAlign w:val="center"/>
          </w:tcPr>
          <w:p w14:paraId="2A2D11B2" w14:textId="572EBB1D"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6 528 126</w:t>
            </w:r>
          </w:p>
        </w:tc>
        <w:tc>
          <w:tcPr>
            <w:tcW w:w="972" w:type="dxa"/>
            <w:tcBorders>
              <w:top w:val="single" w:sz="4" w:space="0" w:color="0077BD"/>
              <w:left w:val="nil"/>
              <w:bottom w:val="single" w:sz="8" w:space="0" w:color="0070C0"/>
              <w:right w:val="single" w:sz="8" w:space="0" w:color="0070C0"/>
            </w:tcBorders>
            <w:shd w:val="clear" w:color="auto" w:fill="auto"/>
            <w:noWrap/>
            <w:vAlign w:val="center"/>
          </w:tcPr>
          <w:p w14:paraId="1E0CB2D5" w14:textId="36CD2D24"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1 405 314</w:t>
            </w:r>
          </w:p>
        </w:tc>
        <w:tc>
          <w:tcPr>
            <w:tcW w:w="972" w:type="dxa"/>
            <w:tcBorders>
              <w:top w:val="single" w:sz="4" w:space="0" w:color="0077BD"/>
              <w:left w:val="nil"/>
              <w:bottom w:val="single" w:sz="8" w:space="0" w:color="0070C0"/>
              <w:right w:val="single" w:sz="8" w:space="0" w:color="0070C0"/>
            </w:tcBorders>
            <w:shd w:val="clear" w:color="auto" w:fill="auto"/>
            <w:noWrap/>
            <w:vAlign w:val="center"/>
          </w:tcPr>
          <w:p w14:paraId="68354EB2" w14:textId="78497D3D"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955 210</w:t>
            </w:r>
          </w:p>
        </w:tc>
        <w:tc>
          <w:tcPr>
            <w:tcW w:w="972" w:type="dxa"/>
            <w:tcBorders>
              <w:top w:val="single" w:sz="4" w:space="0" w:color="0077BD"/>
              <w:left w:val="nil"/>
              <w:bottom w:val="single" w:sz="8" w:space="0" w:color="0070C0"/>
              <w:right w:val="single" w:sz="8" w:space="0" w:color="0070C0"/>
            </w:tcBorders>
            <w:shd w:val="clear" w:color="auto" w:fill="auto"/>
            <w:noWrap/>
            <w:vAlign w:val="center"/>
          </w:tcPr>
          <w:p w14:paraId="60190124" w14:textId="36569215"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w:t>
            </w:r>
          </w:p>
        </w:tc>
        <w:tc>
          <w:tcPr>
            <w:tcW w:w="972" w:type="dxa"/>
            <w:tcBorders>
              <w:top w:val="single" w:sz="4" w:space="0" w:color="0077BD"/>
              <w:left w:val="nil"/>
              <w:bottom w:val="single" w:sz="8" w:space="0" w:color="0070C0"/>
              <w:right w:val="single" w:sz="8" w:space="0" w:color="0070C0"/>
            </w:tcBorders>
            <w:shd w:val="clear" w:color="auto" w:fill="auto"/>
            <w:noWrap/>
            <w:vAlign w:val="center"/>
          </w:tcPr>
          <w:p w14:paraId="3A4DB34C" w14:textId="322F1276"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1 667</w:t>
            </w:r>
          </w:p>
        </w:tc>
        <w:tc>
          <w:tcPr>
            <w:tcW w:w="972" w:type="dxa"/>
            <w:tcBorders>
              <w:top w:val="single" w:sz="4" w:space="0" w:color="0077BD"/>
              <w:left w:val="nil"/>
              <w:bottom w:val="single" w:sz="8" w:space="0" w:color="0070C0"/>
              <w:right w:val="single" w:sz="8" w:space="0" w:color="0070C0"/>
            </w:tcBorders>
            <w:shd w:val="clear" w:color="auto" w:fill="auto"/>
            <w:noWrap/>
            <w:vAlign w:val="center"/>
          </w:tcPr>
          <w:p w14:paraId="51E42FB1" w14:textId="52E402BF"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48 110</w:t>
            </w:r>
          </w:p>
        </w:tc>
        <w:tc>
          <w:tcPr>
            <w:tcW w:w="972" w:type="dxa"/>
            <w:tcBorders>
              <w:top w:val="single" w:sz="4" w:space="0" w:color="0077BD"/>
              <w:left w:val="single" w:sz="8" w:space="0" w:color="0077BD"/>
              <w:bottom w:val="single" w:sz="8" w:space="0" w:color="0077BD"/>
              <w:right w:val="nil"/>
            </w:tcBorders>
            <w:shd w:val="clear" w:color="auto" w:fill="auto"/>
            <w:noWrap/>
            <w:vAlign w:val="center"/>
          </w:tcPr>
          <w:p w14:paraId="3A068546" w14:textId="104A36FA" w:rsidR="004D27EA" w:rsidRPr="001C5CB2" w:rsidRDefault="004D27EA" w:rsidP="004D27EA">
            <w:pPr>
              <w:jc w:val="right"/>
              <w:rPr>
                <w:rFonts w:cs="Calibri"/>
                <w:bCs/>
                <w:color w:val="000000" w:themeColor="text1"/>
                <w:sz w:val="11"/>
                <w:szCs w:val="11"/>
              </w:rPr>
            </w:pPr>
            <w:r w:rsidRPr="001C5CB2">
              <w:rPr>
                <w:rFonts w:cs="Calibri"/>
                <w:bCs/>
                <w:color w:val="000000" w:themeColor="text1"/>
                <w:sz w:val="11"/>
                <w:szCs w:val="11"/>
              </w:rPr>
              <w:t>8 938 427</w:t>
            </w:r>
          </w:p>
        </w:tc>
      </w:tr>
    </w:tbl>
    <w:p w14:paraId="37116C60" w14:textId="77777777" w:rsidR="008318EE" w:rsidRDefault="008318EE" w:rsidP="008318EE">
      <w:pPr>
        <w:rPr>
          <w:color w:val="201C17"/>
          <w:sz w:val="18"/>
          <w:szCs w:val="18"/>
          <w:lang w:eastAsia="en-US"/>
        </w:rPr>
      </w:pPr>
      <w:r>
        <w:rPr>
          <w:color w:val="201C17"/>
          <w:sz w:val="18"/>
          <w:szCs w:val="18"/>
          <w:lang w:eastAsia="en-US"/>
        </w:rPr>
        <w:br w:type="page"/>
      </w:r>
    </w:p>
    <w:tbl>
      <w:tblPr>
        <w:tblW w:w="9639" w:type="dxa"/>
        <w:tblLayout w:type="fixed"/>
        <w:tblCellMar>
          <w:left w:w="28" w:type="dxa"/>
          <w:right w:w="28" w:type="dxa"/>
        </w:tblCellMar>
        <w:tblLook w:val="04A0" w:firstRow="1" w:lastRow="0" w:firstColumn="1" w:lastColumn="0" w:noHBand="0" w:noVBand="1"/>
      </w:tblPr>
      <w:tblGrid>
        <w:gridCol w:w="2835"/>
        <w:gridCol w:w="972"/>
        <w:gridCol w:w="972"/>
        <w:gridCol w:w="972"/>
        <w:gridCol w:w="972"/>
        <w:gridCol w:w="972"/>
        <w:gridCol w:w="972"/>
        <w:gridCol w:w="972"/>
      </w:tblGrid>
      <w:tr w:rsidR="008318EE" w:rsidRPr="00950EDE" w14:paraId="7FA2377E" w14:textId="77777777" w:rsidTr="001F6A2D">
        <w:trPr>
          <w:trHeight w:val="227"/>
        </w:trPr>
        <w:tc>
          <w:tcPr>
            <w:tcW w:w="2835" w:type="dxa"/>
            <w:tcBorders>
              <w:top w:val="single" w:sz="8" w:space="0" w:color="FFFFFF"/>
              <w:left w:val="nil"/>
              <w:bottom w:val="nil"/>
              <w:right w:val="single" w:sz="8" w:space="0" w:color="FFFFFF"/>
            </w:tcBorders>
            <w:shd w:val="clear" w:color="000000" w:fill="0077BD"/>
            <w:vAlign w:val="center"/>
            <w:hideMark/>
          </w:tcPr>
          <w:p w14:paraId="290653B2" w14:textId="77777777" w:rsidR="008318EE" w:rsidRPr="00950EDE" w:rsidRDefault="008318EE" w:rsidP="009E1F91">
            <w:pPr>
              <w:rPr>
                <w:rFonts w:cs="Calibri"/>
                <w:b/>
                <w:bCs/>
                <w:color w:val="FFFFFF"/>
                <w:sz w:val="11"/>
                <w:szCs w:val="11"/>
              </w:rPr>
            </w:pPr>
            <w:r w:rsidRPr="00950EDE">
              <w:rPr>
                <w:rFonts w:cs="Calibri"/>
                <w:b/>
                <w:bCs/>
                <w:color w:val="FFFFFF"/>
                <w:sz w:val="11"/>
                <w:szCs w:val="11"/>
              </w:rPr>
              <w:lastRenderedPageBreak/>
              <w:t>31.12.2018</w:t>
            </w:r>
          </w:p>
        </w:tc>
        <w:tc>
          <w:tcPr>
            <w:tcW w:w="972" w:type="dxa"/>
            <w:tcBorders>
              <w:top w:val="single" w:sz="8" w:space="0" w:color="FFFFFF"/>
              <w:left w:val="nil"/>
              <w:bottom w:val="nil"/>
              <w:right w:val="nil"/>
            </w:tcBorders>
            <w:shd w:val="clear" w:color="000000" w:fill="0077BD"/>
            <w:noWrap/>
            <w:vAlign w:val="center"/>
            <w:hideMark/>
          </w:tcPr>
          <w:p w14:paraId="72C5A46F"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PLN</w:t>
            </w:r>
          </w:p>
        </w:tc>
        <w:tc>
          <w:tcPr>
            <w:tcW w:w="972" w:type="dxa"/>
            <w:tcBorders>
              <w:top w:val="single" w:sz="8" w:space="0" w:color="FFFFFF"/>
              <w:left w:val="single" w:sz="8" w:space="0" w:color="FFFFFF"/>
              <w:bottom w:val="nil"/>
              <w:right w:val="nil"/>
            </w:tcBorders>
            <w:shd w:val="clear" w:color="000000" w:fill="0077BD"/>
            <w:noWrap/>
            <w:vAlign w:val="center"/>
            <w:hideMark/>
          </w:tcPr>
          <w:p w14:paraId="23422F30"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EUR</w:t>
            </w:r>
          </w:p>
        </w:tc>
        <w:tc>
          <w:tcPr>
            <w:tcW w:w="972" w:type="dxa"/>
            <w:tcBorders>
              <w:top w:val="single" w:sz="8" w:space="0" w:color="FFFFFF"/>
              <w:left w:val="single" w:sz="8" w:space="0" w:color="FFFFFF"/>
              <w:bottom w:val="nil"/>
              <w:right w:val="nil"/>
            </w:tcBorders>
            <w:shd w:val="clear" w:color="000000" w:fill="0077BD"/>
            <w:noWrap/>
            <w:vAlign w:val="center"/>
            <w:hideMark/>
          </w:tcPr>
          <w:p w14:paraId="3D18F777"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USD</w:t>
            </w:r>
          </w:p>
        </w:tc>
        <w:tc>
          <w:tcPr>
            <w:tcW w:w="972" w:type="dxa"/>
            <w:tcBorders>
              <w:top w:val="single" w:sz="8" w:space="0" w:color="FFFFFF"/>
              <w:left w:val="single" w:sz="8" w:space="0" w:color="FFFFFF"/>
              <w:bottom w:val="nil"/>
              <w:right w:val="nil"/>
            </w:tcBorders>
            <w:shd w:val="clear" w:color="000000" w:fill="0077BD"/>
            <w:noWrap/>
            <w:vAlign w:val="center"/>
            <w:hideMark/>
          </w:tcPr>
          <w:p w14:paraId="01DA5E76"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CHF</w:t>
            </w:r>
          </w:p>
        </w:tc>
        <w:tc>
          <w:tcPr>
            <w:tcW w:w="972" w:type="dxa"/>
            <w:tcBorders>
              <w:top w:val="single" w:sz="8" w:space="0" w:color="FFFFFF"/>
              <w:left w:val="single" w:sz="8" w:space="0" w:color="FFFFFF"/>
              <w:bottom w:val="nil"/>
              <w:right w:val="nil"/>
            </w:tcBorders>
            <w:shd w:val="clear" w:color="000000" w:fill="0077BD"/>
            <w:noWrap/>
            <w:vAlign w:val="center"/>
            <w:hideMark/>
          </w:tcPr>
          <w:p w14:paraId="31667A42"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CZK</w:t>
            </w:r>
          </w:p>
        </w:tc>
        <w:tc>
          <w:tcPr>
            <w:tcW w:w="972" w:type="dxa"/>
            <w:tcBorders>
              <w:top w:val="single" w:sz="8" w:space="0" w:color="FFFFFF"/>
              <w:left w:val="single" w:sz="8" w:space="0" w:color="FFFFFF"/>
              <w:bottom w:val="nil"/>
              <w:right w:val="nil"/>
            </w:tcBorders>
            <w:shd w:val="clear" w:color="000000" w:fill="0077BD"/>
            <w:noWrap/>
            <w:vAlign w:val="center"/>
            <w:hideMark/>
          </w:tcPr>
          <w:p w14:paraId="436D01F5"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INNE</w:t>
            </w:r>
          </w:p>
        </w:tc>
        <w:tc>
          <w:tcPr>
            <w:tcW w:w="972" w:type="dxa"/>
            <w:tcBorders>
              <w:top w:val="single" w:sz="8" w:space="0" w:color="FFFFFF"/>
              <w:left w:val="single" w:sz="8" w:space="0" w:color="FFFFFF"/>
              <w:bottom w:val="nil"/>
              <w:right w:val="nil"/>
            </w:tcBorders>
            <w:shd w:val="clear" w:color="000000" w:fill="0077BD"/>
            <w:noWrap/>
            <w:vAlign w:val="center"/>
            <w:hideMark/>
          </w:tcPr>
          <w:p w14:paraId="47F0E587" w14:textId="77777777" w:rsidR="008318EE" w:rsidRPr="00950EDE" w:rsidRDefault="008318EE" w:rsidP="00510857">
            <w:pPr>
              <w:jc w:val="right"/>
              <w:rPr>
                <w:rFonts w:cs="Calibri"/>
                <w:b/>
                <w:bCs/>
                <w:color w:val="FFFFFF"/>
                <w:sz w:val="11"/>
                <w:szCs w:val="11"/>
              </w:rPr>
            </w:pPr>
            <w:r w:rsidRPr="00950EDE">
              <w:rPr>
                <w:rFonts w:cs="Calibri"/>
                <w:b/>
                <w:bCs/>
                <w:color w:val="FFFFFF"/>
                <w:sz w:val="11"/>
                <w:szCs w:val="11"/>
              </w:rPr>
              <w:t>Razem</w:t>
            </w:r>
          </w:p>
        </w:tc>
      </w:tr>
      <w:tr w:rsidR="00977E53" w:rsidRPr="00977E53" w14:paraId="4754A298" w14:textId="77777777" w:rsidTr="001F6A2D">
        <w:trPr>
          <w:trHeight w:val="227"/>
        </w:trPr>
        <w:tc>
          <w:tcPr>
            <w:tcW w:w="2835" w:type="dxa"/>
            <w:tcBorders>
              <w:top w:val="nil"/>
              <w:left w:val="nil"/>
              <w:bottom w:val="single" w:sz="8" w:space="0" w:color="0077BD"/>
              <w:right w:val="nil"/>
            </w:tcBorders>
            <w:shd w:val="clear" w:color="auto" w:fill="auto"/>
            <w:vAlign w:val="center"/>
            <w:hideMark/>
          </w:tcPr>
          <w:p w14:paraId="0D37D99B" w14:textId="2B66A765" w:rsidR="001F6A2D" w:rsidRPr="00977E53" w:rsidRDefault="001F6A2D" w:rsidP="001F6A2D">
            <w:pPr>
              <w:rPr>
                <w:rFonts w:cs="Calibri"/>
                <w:b/>
                <w:bCs/>
                <w:color w:val="000000" w:themeColor="text1"/>
                <w:sz w:val="11"/>
                <w:szCs w:val="11"/>
              </w:rPr>
            </w:pPr>
            <w:r w:rsidRPr="00977E53">
              <w:rPr>
                <w:rFonts w:cs="Calibri"/>
                <w:b/>
                <w:bCs/>
                <w:color w:val="000000" w:themeColor="text1"/>
                <w:sz w:val="11"/>
                <w:szCs w:val="11"/>
              </w:rPr>
              <w:t>AKTYWA</w:t>
            </w:r>
          </w:p>
        </w:tc>
        <w:tc>
          <w:tcPr>
            <w:tcW w:w="972" w:type="dxa"/>
            <w:tcBorders>
              <w:top w:val="nil"/>
              <w:left w:val="nil"/>
              <w:bottom w:val="single" w:sz="8" w:space="0" w:color="0077BD"/>
              <w:right w:val="nil"/>
            </w:tcBorders>
            <w:shd w:val="clear" w:color="auto" w:fill="auto"/>
            <w:noWrap/>
            <w:vAlign w:val="center"/>
            <w:hideMark/>
          </w:tcPr>
          <w:p w14:paraId="32A3DA76"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5300C1D3"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5F189723"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4D6B119A"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1F8F0C67"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4DDB7B85"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781E8EAE" w14:textId="77777777" w:rsidR="001F6A2D" w:rsidRPr="00977E53" w:rsidRDefault="001F6A2D" w:rsidP="001F6A2D">
            <w:pPr>
              <w:jc w:val="center"/>
              <w:rPr>
                <w:rFonts w:cs="Calibri"/>
                <w:b/>
                <w:bCs/>
                <w:color w:val="000000" w:themeColor="text1"/>
                <w:sz w:val="11"/>
                <w:szCs w:val="11"/>
              </w:rPr>
            </w:pPr>
            <w:r w:rsidRPr="00977E53">
              <w:rPr>
                <w:rFonts w:cs="Calibri"/>
                <w:b/>
                <w:bCs/>
                <w:color w:val="000000" w:themeColor="text1"/>
                <w:sz w:val="11"/>
                <w:szCs w:val="11"/>
              </w:rPr>
              <w:t> </w:t>
            </w:r>
          </w:p>
        </w:tc>
      </w:tr>
      <w:tr w:rsidR="00977E53" w:rsidRPr="00977E53" w14:paraId="78F84E2B"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4EE84F4" w14:textId="0D145212"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Kasa, operacje z bankiem centralnym</w:t>
            </w:r>
          </w:p>
        </w:tc>
        <w:tc>
          <w:tcPr>
            <w:tcW w:w="972" w:type="dxa"/>
            <w:tcBorders>
              <w:top w:val="nil"/>
              <w:left w:val="nil"/>
              <w:bottom w:val="single" w:sz="4" w:space="0" w:color="0077BD"/>
              <w:right w:val="nil"/>
            </w:tcBorders>
            <w:shd w:val="clear" w:color="auto" w:fill="auto"/>
            <w:noWrap/>
            <w:vAlign w:val="center"/>
            <w:hideMark/>
          </w:tcPr>
          <w:p w14:paraId="1D6F2F0D"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5 924 554</w:t>
            </w:r>
          </w:p>
        </w:tc>
        <w:tc>
          <w:tcPr>
            <w:tcW w:w="972" w:type="dxa"/>
            <w:tcBorders>
              <w:top w:val="nil"/>
              <w:left w:val="single" w:sz="8" w:space="0" w:color="0077BD"/>
              <w:bottom w:val="single" w:sz="4" w:space="0" w:color="0077BD"/>
              <w:right w:val="nil"/>
            </w:tcBorders>
            <w:shd w:val="clear" w:color="auto" w:fill="auto"/>
            <w:noWrap/>
            <w:vAlign w:val="center"/>
            <w:hideMark/>
          </w:tcPr>
          <w:p w14:paraId="4D6CD838"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516 028</w:t>
            </w:r>
          </w:p>
        </w:tc>
        <w:tc>
          <w:tcPr>
            <w:tcW w:w="972" w:type="dxa"/>
            <w:tcBorders>
              <w:top w:val="nil"/>
              <w:left w:val="single" w:sz="8" w:space="0" w:color="0077BD"/>
              <w:bottom w:val="single" w:sz="4" w:space="0" w:color="0077BD"/>
              <w:right w:val="nil"/>
            </w:tcBorders>
            <w:shd w:val="clear" w:color="auto" w:fill="auto"/>
            <w:noWrap/>
            <w:vAlign w:val="center"/>
            <w:hideMark/>
          </w:tcPr>
          <w:p w14:paraId="63AFB5A8"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44 148</w:t>
            </w:r>
          </w:p>
        </w:tc>
        <w:tc>
          <w:tcPr>
            <w:tcW w:w="972" w:type="dxa"/>
            <w:tcBorders>
              <w:top w:val="nil"/>
              <w:left w:val="single" w:sz="8" w:space="0" w:color="0077BD"/>
              <w:bottom w:val="single" w:sz="4" w:space="0" w:color="0077BD"/>
              <w:right w:val="nil"/>
            </w:tcBorders>
            <w:shd w:val="clear" w:color="auto" w:fill="auto"/>
            <w:noWrap/>
            <w:vAlign w:val="center"/>
            <w:hideMark/>
          </w:tcPr>
          <w:p w14:paraId="66D8DBA6"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10 499</w:t>
            </w:r>
          </w:p>
        </w:tc>
        <w:tc>
          <w:tcPr>
            <w:tcW w:w="972" w:type="dxa"/>
            <w:tcBorders>
              <w:top w:val="nil"/>
              <w:left w:val="single" w:sz="8" w:space="0" w:color="0077BD"/>
              <w:bottom w:val="single" w:sz="4" w:space="0" w:color="0077BD"/>
              <w:right w:val="nil"/>
            </w:tcBorders>
            <w:shd w:val="clear" w:color="auto" w:fill="auto"/>
            <w:noWrap/>
            <w:vAlign w:val="center"/>
            <w:hideMark/>
          </w:tcPr>
          <w:p w14:paraId="286F658B"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2 670 180</w:t>
            </w:r>
          </w:p>
        </w:tc>
        <w:tc>
          <w:tcPr>
            <w:tcW w:w="972" w:type="dxa"/>
            <w:tcBorders>
              <w:top w:val="nil"/>
              <w:left w:val="single" w:sz="8" w:space="0" w:color="0077BD"/>
              <w:bottom w:val="single" w:sz="4" w:space="0" w:color="0077BD"/>
              <w:right w:val="nil"/>
            </w:tcBorders>
            <w:shd w:val="clear" w:color="auto" w:fill="auto"/>
            <w:noWrap/>
            <w:vAlign w:val="center"/>
            <w:hideMark/>
          </w:tcPr>
          <w:p w14:paraId="5497511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33 855</w:t>
            </w:r>
          </w:p>
        </w:tc>
        <w:tc>
          <w:tcPr>
            <w:tcW w:w="972" w:type="dxa"/>
            <w:tcBorders>
              <w:top w:val="nil"/>
              <w:left w:val="single" w:sz="8" w:space="0" w:color="0077BD"/>
              <w:bottom w:val="single" w:sz="4" w:space="0" w:color="0077BD"/>
              <w:right w:val="nil"/>
            </w:tcBorders>
            <w:shd w:val="clear" w:color="auto" w:fill="auto"/>
            <w:noWrap/>
            <w:vAlign w:val="center"/>
            <w:hideMark/>
          </w:tcPr>
          <w:p w14:paraId="4C0F107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9 199 264</w:t>
            </w:r>
          </w:p>
        </w:tc>
      </w:tr>
      <w:tr w:rsidR="00977E53" w:rsidRPr="00977E53" w14:paraId="36F31C59" w14:textId="77777777" w:rsidTr="00510857">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68DBC1C1" w14:textId="2D44CFBF"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Aktywa finansowe przeznaczone do obrotu i instrumenty pochodne zabezpieczające</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51A4E5F3" w14:textId="69BEE4BA"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1 802 868</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3E167724" w14:textId="18E2C0AB"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254 866</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7EE56E13" w14:textId="5BE2727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61 362</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42BCD27A" w14:textId="6752149C"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15 272</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60E36AA9" w14:textId="7F7C7255"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373</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0F7FB528" w14:textId="4A5A595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31557841" w14:textId="48F5C6E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2 134 741</w:t>
            </w:r>
          </w:p>
        </w:tc>
      </w:tr>
      <w:tr w:rsidR="00977E53" w:rsidRPr="00977E53" w14:paraId="2414B317" w14:textId="77777777" w:rsidTr="001F6A2D">
        <w:trPr>
          <w:trHeight w:val="454"/>
        </w:trPr>
        <w:tc>
          <w:tcPr>
            <w:tcW w:w="2835" w:type="dxa"/>
            <w:tcBorders>
              <w:top w:val="nil"/>
              <w:left w:val="nil"/>
              <w:bottom w:val="single" w:sz="4" w:space="0" w:color="0077BD"/>
              <w:right w:val="single" w:sz="8" w:space="0" w:color="0077BD"/>
            </w:tcBorders>
            <w:shd w:val="clear" w:color="auto" w:fill="auto"/>
            <w:vAlign w:val="center"/>
            <w:hideMark/>
          </w:tcPr>
          <w:p w14:paraId="279347CB" w14:textId="6749DD85"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Aktywa finansowe nieprzeznaczone do obrotu wyceniane obowiązkowo w wartości godziwej przez wynik finansowy, w tym:</w:t>
            </w:r>
          </w:p>
        </w:tc>
        <w:tc>
          <w:tcPr>
            <w:tcW w:w="972" w:type="dxa"/>
            <w:tcBorders>
              <w:top w:val="nil"/>
              <w:left w:val="nil"/>
              <w:bottom w:val="single" w:sz="4" w:space="0" w:color="0077BD"/>
              <w:right w:val="nil"/>
            </w:tcBorders>
            <w:shd w:val="clear" w:color="auto" w:fill="auto"/>
            <w:noWrap/>
            <w:vAlign w:val="center"/>
            <w:hideMark/>
          </w:tcPr>
          <w:p w14:paraId="5835F8D5"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2 587 940</w:t>
            </w:r>
          </w:p>
        </w:tc>
        <w:tc>
          <w:tcPr>
            <w:tcW w:w="972" w:type="dxa"/>
            <w:tcBorders>
              <w:top w:val="nil"/>
              <w:left w:val="single" w:sz="8" w:space="0" w:color="0077BD"/>
              <w:bottom w:val="single" w:sz="4" w:space="0" w:color="0077BD"/>
              <w:right w:val="nil"/>
            </w:tcBorders>
            <w:shd w:val="clear" w:color="auto" w:fill="auto"/>
            <w:noWrap/>
            <w:vAlign w:val="center"/>
            <w:hideMark/>
          </w:tcPr>
          <w:p w14:paraId="2997E52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189 990</w:t>
            </w:r>
          </w:p>
        </w:tc>
        <w:tc>
          <w:tcPr>
            <w:tcW w:w="972" w:type="dxa"/>
            <w:tcBorders>
              <w:top w:val="nil"/>
              <w:left w:val="single" w:sz="8" w:space="0" w:color="0077BD"/>
              <w:bottom w:val="single" w:sz="4" w:space="0" w:color="0077BD"/>
              <w:right w:val="nil"/>
            </w:tcBorders>
            <w:shd w:val="clear" w:color="auto" w:fill="auto"/>
            <w:noWrap/>
            <w:vAlign w:val="center"/>
            <w:hideMark/>
          </w:tcPr>
          <w:p w14:paraId="433F314F"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58 130</w:t>
            </w:r>
          </w:p>
        </w:tc>
        <w:tc>
          <w:tcPr>
            <w:tcW w:w="972" w:type="dxa"/>
            <w:tcBorders>
              <w:top w:val="nil"/>
              <w:left w:val="single" w:sz="8" w:space="0" w:color="0077BD"/>
              <w:bottom w:val="single" w:sz="4" w:space="0" w:color="0077BD"/>
              <w:right w:val="nil"/>
            </w:tcBorders>
            <w:shd w:val="clear" w:color="auto" w:fill="auto"/>
            <w:noWrap/>
            <w:vAlign w:val="center"/>
            <w:hideMark/>
          </w:tcPr>
          <w:p w14:paraId="6A536E40"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DB9833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0EA9E87"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3D095EE"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2 836 060</w:t>
            </w:r>
          </w:p>
        </w:tc>
      </w:tr>
      <w:tr w:rsidR="00977E53" w:rsidRPr="00977E53" w14:paraId="1E640744"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492734EC" w14:textId="5B035879"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Kapitałowe papiery wartościowe</w:t>
            </w:r>
          </w:p>
        </w:tc>
        <w:tc>
          <w:tcPr>
            <w:tcW w:w="972" w:type="dxa"/>
            <w:tcBorders>
              <w:top w:val="nil"/>
              <w:left w:val="nil"/>
              <w:bottom w:val="single" w:sz="4" w:space="0" w:color="0077BD"/>
              <w:right w:val="nil"/>
            </w:tcBorders>
            <w:shd w:val="clear" w:color="auto" w:fill="auto"/>
            <w:noWrap/>
            <w:vAlign w:val="center"/>
            <w:hideMark/>
          </w:tcPr>
          <w:p w14:paraId="00262B16"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71 704</w:t>
            </w:r>
          </w:p>
        </w:tc>
        <w:tc>
          <w:tcPr>
            <w:tcW w:w="972" w:type="dxa"/>
            <w:tcBorders>
              <w:top w:val="nil"/>
              <w:left w:val="single" w:sz="8" w:space="0" w:color="0077BD"/>
              <w:bottom w:val="single" w:sz="4" w:space="0" w:color="0077BD"/>
              <w:right w:val="nil"/>
            </w:tcBorders>
            <w:shd w:val="clear" w:color="auto" w:fill="auto"/>
            <w:noWrap/>
            <w:vAlign w:val="center"/>
            <w:hideMark/>
          </w:tcPr>
          <w:p w14:paraId="534FAD4E"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1 071</w:t>
            </w:r>
          </w:p>
        </w:tc>
        <w:tc>
          <w:tcPr>
            <w:tcW w:w="972" w:type="dxa"/>
            <w:tcBorders>
              <w:top w:val="nil"/>
              <w:left w:val="single" w:sz="8" w:space="0" w:color="0077BD"/>
              <w:bottom w:val="single" w:sz="4" w:space="0" w:color="0077BD"/>
              <w:right w:val="nil"/>
            </w:tcBorders>
            <w:shd w:val="clear" w:color="auto" w:fill="auto"/>
            <w:noWrap/>
            <w:vAlign w:val="center"/>
            <w:hideMark/>
          </w:tcPr>
          <w:p w14:paraId="32B859A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655485D4"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69F0342"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4D4CF4BC"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C55B095"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72 775</w:t>
            </w:r>
          </w:p>
        </w:tc>
      </w:tr>
      <w:tr w:rsidR="00977E53" w:rsidRPr="00977E53" w14:paraId="7776B307"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7E778BF3" w14:textId="2709CAF8"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Dłużne papiery wartościowe</w:t>
            </w:r>
          </w:p>
        </w:tc>
        <w:tc>
          <w:tcPr>
            <w:tcW w:w="972" w:type="dxa"/>
            <w:tcBorders>
              <w:top w:val="nil"/>
              <w:left w:val="nil"/>
              <w:bottom w:val="single" w:sz="4" w:space="0" w:color="0077BD"/>
              <w:right w:val="nil"/>
            </w:tcBorders>
            <w:shd w:val="clear" w:color="auto" w:fill="auto"/>
            <w:noWrap/>
            <w:vAlign w:val="center"/>
            <w:hideMark/>
          </w:tcPr>
          <w:p w14:paraId="4B40D7B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1A0A42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AC6651A"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58 130</w:t>
            </w:r>
          </w:p>
        </w:tc>
        <w:tc>
          <w:tcPr>
            <w:tcW w:w="972" w:type="dxa"/>
            <w:tcBorders>
              <w:top w:val="nil"/>
              <w:left w:val="single" w:sz="8" w:space="0" w:color="0077BD"/>
              <w:bottom w:val="single" w:sz="4" w:space="0" w:color="0077BD"/>
              <w:right w:val="nil"/>
            </w:tcBorders>
            <w:shd w:val="clear" w:color="auto" w:fill="auto"/>
            <w:noWrap/>
            <w:vAlign w:val="center"/>
            <w:hideMark/>
          </w:tcPr>
          <w:p w14:paraId="082176BB"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6D4A713"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71A2DCA"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25B6677"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58 130</w:t>
            </w:r>
          </w:p>
        </w:tc>
      </w:tr>
      <w:tr w:rsidR="00977E53" w:rsidRPr="00977E53" w14:paraId="3E60D4A6"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1FBEFE8B" w14:textId="7D1B7076"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Kredyty i pożyczki udzielone klientom</w:t>
            </w:r>
          </w:p>
        </w:tc>
        <w:tc>
          <w:tcPr>
            <w:tcW w:w="972" w:type="dxa"/>
            <w:tcBorders>
              <w:top w:val="nil"/>
              <w:left w:val="nil"/>
              <w:bottom w:val="single" w:sz="4" w:space="0" w:color="0077BD"/>
              <w:right w:val="nil"/>
            </w:tcBorders>
            <w:shd w:val="clear" w:color="auto" w:fill="auto"/>
            <w:noWrap/>
            <w:vAlign w:val="center"/>
            <w:hideMark/>
          </w:tcPr>
          <w:p w14:paraId="7D37DCA8"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2 516 236</w:t>
            </w:r>
          </w:p>
        </w:tc>
        <w:tc>
          <w:tcPr>
            <w:tcW w:w="972" w:type="dxa"/>
            <w:tcBorders>
              <w:top w:val="nil"/>
              <w:left w:val="single" w:sz="8" w:space="0" w:color="0077BD"/>
              <w:bottom w:val="single" w:sz="4" w:space="0" w:color="0077BD"/>
              <w:right w:val="nil"/>
            </w:tcBorders>
            <w:shd w:val="clear" w:color="auto" w:fill="auto"/>
            <w:noWrap/>
            <w:vAlign w:val="center"/>
            <w:hideMark/>
          </w:tcPr>
          <w:p w14:paraId="631901C7"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188 919</w:t>
            </w:r>
          </w:p>
        </w:tc>
        <w:tc>
          <w:tcPr>
            <w:tcW w:w="972" w:type="dxa"/>
            <w:tcBorders>
              <w:top w:val="nil"/>
              <w:left w:val="single" w:sz="8" w:space="0" w:color="0077BD"/>
              <w:bottom w:val="single" w:sz="4" w:space="0" w:color="0077BD"/>
              <w:right w:val="nil"/>
            </w:tcBorders>
            <w:shd w:val="clear" w:color="auto" w:fill="auto"/>
            <w:noWrap/>
            <w:vAlign w:val="center"/>
            <w:hideMark/>
          </w:tcPr>
          <w:p w14:paraId="51662D1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7DCF0F2"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2145E16"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26A5A97"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5224292"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2 705 155</w:t>
            </w:r>
          </w:p>
        </w:tc>
      </w:tr>
      <w:tr w:rsidR="00977E53" w:rsidRPr="00977E53" w14:paraId="128ECDEA" w14:textId="77777777" w:rsidTr="001F6A2D">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23CAB6A7" w14:textId="0FB4C3ED"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Aktywa finansowe wyceniane w wartości godziwej przez pozostałe całkowite dochody</w:t>
            </w:r>
          </w:p>
        </w:tc>
        <w:tc>
          <w:tcPr>
            <w:tcW w:w="972" w:type="dxa"/>
            <w:tcBorders>
              <w:top w:val="nil"/>
              <w:left w:val="nil"/>
              <w:bottom w:val="single" w:sz="4" w:space="0" w:color="0077BD"/>
              <w:right w:val="nil"/>
            </w:tcBorders>
            <w:shd w:val="clear" w:color="auto" w:fill="auto"/>
            <w:noWrap/>
            <w:vAlign w:val="center"/>
            <w:hideMark/>
          </w:tcPr>
          <w:p w14:paraId="32CDF00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23 397 111</w:t>
            </w:r>
          </w:p>
        </w:tc>
        <w:tc>
          <w:tcPr>
            <w:tcW w:w="972" w:type="dxa"/>
            <w:tcBorders>
              <w:top w:val="nil"/>
              <w:left w:val="single" w:sz="8" w:space="0" w:color="0077BD"/>
              <w:bottom w:val="single" w:sz="4" w:space="0" w:color="0077BD"/>
              <w:right w:val="nil"/>
            </w:tcBorders>
            <w:shd w:val="clear" w:color="auto" w:fill="auto"/>
            <w:noWrap/>
            <w:vAlign w:val="center"/>
            <w:hideMark/>
          </w:tcPr>
          <w:p w14:paraId="217ECBD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682 448</w:t>
            </w:r>
          </w:p>
        </w:tc>
        <w:tc>
          <w:tcPr>
            <w:tcW w:w="972" w:type="dxa"/>
            <w:tcBorders>
              <w:top w:val="nil"/>
              <w:left w:val="single" w:sz="8" w:space="0" w:color="0077BD"/>
              <w:bottom w:val="single" w:sz="4" w:space="0" w:color="0077BD"/>
              <w:right w:val="nil"/>
            </w:tcBorders>
            <w:shd w:val="clear" w:color="auto" w:fill="auto"/>
            <w:noWrap/>
            <w:vAlign w:val="center"/>
            <w:hideMark/>
          </w:tcPr>
          <w:p w14:paraId="185F860D"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3A64D02"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DE5069D"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258 725</w:t>
            </w:r>
          </w:p>
        </w:tc>
        <w:tc>
          <w:tcPr>
            <w:tcW w:w="972" w:type="dxa"/>
            <w:tcBorders>
              <w:top w:val="nil"/>
              <w:left w:val="single" w:sz="8" w:space="0" w:color="0077BD"/>
              <w:bottom w:val="single" w:sz="4" w:space="0" w:color="0077BD"/>
              <w:right w:val="nil"/>
            </w:tcBorders>
            <w:shd w:val="clear" w:color="auto" w:fill="auto"/>
            <w:noWrap/>
            <w:vAlign w:val="center"/>
            <w:hideMark/>
          </w:tcPr>
          <w:p w14:paraId="163B9A6A"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79FA522"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24 338 284</w:t>
            </w:r>
          </w:p>
        </w:tc>
      </w:tr>
      <w:tr w:rsidR="00977E53" w:rsidRPr="00977E53" w14:paraId="76201234" w14:textId="77777777" w:rsidTr="001F6A2D">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0B7E4534" w14:textId="6BDFB61D"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Aktywa finansowe wyceniane w zamortyzowanym koszcie, w tym:</w:t>
            </w:r>
          </w:p>
        </w:tc>
        <w:tc>
          <w:tcPr>
            <w:tcW w:w="972" w:type="dxa"/>
            <w:tcBorders>
              <w:top w:val="nil"/>
              <w:left w:val="nil"/>
              <w:bottom w:val="single" w:sz="4" w:space="0" w:color="0077BD"/>
              <w:right w:val="nil"/>
            </w:tcBorders>
            <w:shd w:val="clear" w:color="auto" w:fill="auto"/>
            <w:noWrap/>
            <w:vAlign w:val="center"/>
            <w:hideMark/>
          </w:tcPr>
          <w:p w14:paraId="0631A267"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67 026 378</w:t>
            </w:r>
          </w:p>
        </w:tc>
        <w:tc>
          <w:tcPr>
            <w:tcW w:w="972" w:type="dxa"/>
            <w:tcBorders>
              <w:top w:val="nil"/>
              <w:left w:val="single" w:sz="8" w:space="0" w:color="0077BD"/>
              <w:bottom w:val="single" w:sz="4" w:space="0" w:color="0077BD"/>
              <w:right w:val="nil"/>
            </w:tcBorders>
            <w:shd w:val="clear" w:color="auto" w:fill="auto"/>
            <w:noWrap/>
            <w:vAlign w:val="center"/>
            <w:hideMark/>
          </w:tcPr>
          <w:p w14:paraId="392FF9F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16 203 235</w:t>
            </w:r>
          </w:p>
        </w:tc>
        <w:tc>
          <w:tcPr>
            <w:tcW w:w="972" w:type="dxa"/>
            <w:tcBorders>
              <w:top w:val="nil"/>
              <w:left w:val="single" w:sz="8" w:space="0" w:color="0077BD"/>
              <w:bottom w:val="single" w:sz="4" w:space="0" w:color="0077BD"/>
              <w:right w:val="nil"/>
            </w:tcBorders>
            <w:shd w:val="clear" w:color="auto" w:fill="auto"/>
            <w:noWrap/>
            <w:vAlign w:val="center"/>
            <w:hideMark/>
          </w:tcPr>
          <w:p w14:paraId="009593E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1 618 899</w:t>
            </w:r>
          </w:p>
        </w:tc>
        <w:tc>
          <w:tcPr>
            <w:tcW w:w="972" w:type="dxa"/>
            <w:tcBorders>
              <w:top w:val="nil"/>
              <w:left w:val="single" w:sz="8" w:space="0" w:color="0077BD"/>
              <w:bottom w:val="single" w:sz="4" w:space="0" w:color="0077BD"/>
              <w:right w:val="nil"/>
            </w:tcBorders>
            <w:shd w:val="clear" w:color="auto" w:fill="auto"/>
            <w:noWrap/>
            <w:vAlign w:val="center"/>
            <w:hideMark/>
          </w:tcPr>
          <w:p w14:paraId="05580BF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14 829 912</w:t>
            </w:r>
          </w:p>
        </w:tc>
        <w:tc>
          <w:tcPr>
            <w:tcW w:w="972" w:type="dxa"/>
            <w:tcBorders>
              <w:top w:val="nil"/>
              <w:left w:val="single" w:sz="8" w:space="0" w:color="0077BD"/>
              <w:bottom w:val="single" w:sz="4" w:space="0" w:color="0077BD"/>
              <w:right w:val="nil"/>
            </w:tcBorders>
            <w:shd w:val="clear" w:color="auto" w:fill="auto"/>
            <w:noWrap/>
            <w:vAlign w:val="center"/>
            <w:hideMark/>
          </w:tcPr>
          <w:p w14:paraId="1DCEDC2B"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3 758 829</w:t>
            </w:r>
          </w:p>
        </w:tc>
        <w:tc>
          <w:tcPr>
            <w:tcW w:w="972" w:type="dxa"/>
            <w:tcBorders>
              <w:top w:val="nil"/>
              <w:left w:val="single" w:sz="8" w:space="0" w:color="0077BD"/>
              <w:bottom w:val="single" w:sz="4" w:space="0" w:color="0077BD"/>
              <w:right w:val="nil"/>
            </w:tcBorders>
            <w:shd w:val="clear" w:color="auto" w:fill="auto"/>
            <w:noWrap/>
            <w:vAlign w:val="center"/>
            <w:hideMark/>
          </w:tcPr>
          <w:p w14:paraId="23E124C3"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127 064</w:t>
            </w:r>
          </w:p>
        </w:tc>
        <w:tc>
          <w:tcPr>
            <w:tcW w:w="972" w:type="dxa"/>
            <w:tcBorders>
              <w:top w:val="nil"/>
              <w:left w:val="single" w:sz="8" w:space="0" w:color="0077BD"/>
              <w:bottom w:val="single" w:sz="4" w:space="0" w:color="0077BD"/>
              <w:right w:val="nil"/>
            </w:tcBorders>
            <w:shd w:val="clear" w:color="auto" w:fill="auto"/>
            <w:noWrap/>
            <w:vAlign w:val="center"/>
            <w:hideMark/>
          </w:tcPr>
          <w:p w14:paraId="0F4C1DCE"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103 564 317</w:t>
            </w:r>
          </w:p>
        </w:tc>
      </w:tr>
      <w:tr w:rsidR="00977E53" w:rsidRPr="00977E53" w14:paraId="5039226F"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47675D73" w14:textId="2542D3C2"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Dłużne papiery wartościowe</w:t>
            </w:r>
          </w:p>
        </w:tc>
        <w:tc>
          <w:tcPr>
            <w:tcW w:w="972" w:type="dxa"/>
            <w:tcBorders>
              <w:top w:val="nil"/>
              <w:left w:val="nil"/>
              <w:bottom w:val="single" w:sz="4" w:space="0" w:color="0077BD"/>
              <w:right w:val="nil"/>
            </w:tcBorders>
            <w:shd w:val="clear" w:color="auto" w:fill="auto"/>
            <w:noWrap/>
            <w:vAlign w:val="center"/>
            <w:hideMark/>
          </w:tcPr>
          <w:p w14:paraId="6378CD15"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9 000 539</w:t>
            </w:r>
          </w:p>
        </w:tc>
        <w:tc>
          <w:tcPr>
            <w:tcW w:w="972" w:type="dxa"/>
            <w:tcBorders>
              <w:top w:val="nil"/>
              <w:left w:val="single" w:sz="8" w:space="0" w:color="0077BD"/>
              <w:bottom w:val="single" w:sz="4" w:space="0" w:color="0077BD"/>
              <w:right w:val="nil"/>
            </w:tcBorders>
            <w:shd w:val="clear" w:color="auto" w:fill="auto"/>
            <w:noWrap/>
            <w:vAlign w:val="center"/>
            <w:hideMark/>
          </w:tcPr>
          <w:p w14:paraId="2C608356"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D9B3284"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5EDB53E"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B4EC358"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7A8ED2B"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69F818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9 000 539</w:t>
            </w:r>
          </w:p>
        </w:tc>
      </w:tr>
      <w:tr w:rsidR="00977E53" w:rsidRPr="00977E53" w14:paraId="10456351"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3AEAE8F9" w14:textId="3275BA35"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Należności od banków</w:t>
            </w:r>
          </w:p>
        </w:tc>
        <w:tc>
          <w:tcPr>
            <w:tcW w:w="972" w:type="dxa"/>
            <w:tcBorders>
              <w:top w:val="nil"/>
              <w:left w:val="nil"/>
              <w:bottom w:val="single" w:sz="4" w:space="0" w:color="0077BD"/>
              <w:right w:val="nil"/>
            </w:tcBorders>
            <w:shd w:val="clear" w:color="auto" w:fill="auto"/>
            <w:noWrap/>
            <w:vAlign w:val="center"/>
            <w:hideMark/>
          </w:tcPr>
          <w:p w14:paraId="60F85A78"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1 202 544</w:t>
            </w:r>
          </w:p>
        </w:tc>
        <w:tc>
          <w:tcPr>
            <w:tcW w:w="972" w:type="dxa"/>
            <w:tcBorders>
              <w:top w:val="nil"/>
              <w:left w:val="single" w:sz="8" w:space="0" w:color="0077BD"/>
              <w:bottom w:val="single" w:sz="4" w:space="0" w:color="0077BD"/>
              <w:right w:val="nil"/>
            </w:tcBorders>
            <w:shd w:val="clear" w:color="auto" w:fill="auto"/>
            <w:noWrap/>
            <w:vAlign w:val="center"/>
            <w:hideMark/>
          </w:tcPr>
          <w:p w14:paraId="32B38868"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868 828</w:t>
            </w:r>
          </w:p>
        </w:tc>
        <w:tc>
          <w:tcPr>
            <w:tcW w:w="972" w:type="dxa"/>
            <w:tcBorders>
              <w:top w:val="nil"/>
              <w:left w:val="single" w:sz="8" w:space="0" w:color="0077BD"/>
              <w:bottom w:val="single" w:sz="4" w:space="0" w:color="0077BD"/>
              <w:right w:val="nil"/>
            </w:tcBorders>
            <w:shd w:val="clear" w:color="auto" w:fill="auto"/>
            <w:noWrap/>
            <w:vAlign w:val="center"/>
            <w:hideMark/>
          </w:tcPr>
          <w:p w14:paraId="2C84DD51"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377 184</w:t>
            </w:r>
          </w:p>
        </w:tc>
        <w:tc>
          <w:tcPr>
            <w:tcW w:w="972" w:type="dxa"/>
            <w:tcBorders>
              <w:top w:val="nil"/>
              <w:left w:val="single" w:sz="8" w:space="0" w:color="0077BD"/>
              <w:bottom w:val="single" w:sz="4" w:space="0" w:color="0077BD"/>
              <w:right w:val="nil"/>
            </w:tcBorders>
            <w:shd w:val="clear" w:color="auto" w:fill="auto"/>
            <w:noWrap/>
            <w:vAlign w:val="center"/>
            <w:hideMark/>
          </w:tcPr>
          <w:p w14:paraId="002B369C"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4 313</w:t>
            </w:r>
          </w:p>
        </w:tc>
        <w:tc>
          <w:tcPr>
            <w:tcW w:w="972" w:type="dxa"/>
            <w:tcBorders>
              <w:top w:val="nil"/>
              <w:left w:val="single" w:sz="8" w:space="0" w:color="0077BD"/>
              <w:bottom w:val="single" w:sz="4" w:space="0" w:color="0077BD"/>
              <w:right w:val="nil"/>
            </w:tcBorders>
            <w:shd w:val="clear" w:color="auto" w:fill="auto"/>
            <w:noWrap/>
            <w:vAlign w:val="center"/>
            <w:hideMark/>
          </w:tcPr>
          <w:p w14:paraId="14DAAB68"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42 047</w:t>
            </w:r>
          </w:p>
        </w:tc>
        <w:tc>
          <w:tcPr>
            <w:tcW w:w="972" w:type="dxa"/>
            <w:tcBorders>
              <w:top w:val="nil"/>
              <w:left w:val="single" w:sz="8" w:space="0" w:color="0077BD"/>
              <w:bottom w:val="single" w:sz="4" w:space="0" w:color="0077BD"/>
              <w:right w:val="nil"/>
            </w:tcBorders>
            <w:shd w:val="clear" w:color="auto" w:fill="auto"/>
            <w:noWrap/>
            <w:vAlign w:val="center"/>
            <w:hideMark/>
          </w:tcPr>
          <w:p w14:paraId="23EE791F"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51 430</w:t>
            </w:r>
          </w:p>
        </w:tc>
        <w:tc>
          <w:tcPr>
            <w:tcW w:w="972" w:type="dxa"/>
            <w:tcBorders>
              <w:top w:val="nil"/>
              <w:left w:val="single" w:sz="8" w:space="0" w:color="0077BD"/>
              <w:bottom w:val="single" w:sz="4" w:space="0" w:color="0077BD"/>
              <w:right w:val="nil"/>
            </w:tcBorders>
            <w:shd w:val="clear" w:color="auto" w:fill="auto"/>
            <w:noWrap/>
            <w:vAlign w:val="center"/>
            <w:hideMark/>
          </w:tcPr>
          <w:p w14:paraId="0EA94EEC"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2 546 346</w:t>
            </w:r>
          </w:p>
        </w:tc>
      </w:tr>
      <w:tr w:rsidR="00977E53" w:rsidRPr="00977E53" w14:paraId="5D58879A"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50FFDB03" w14:textId="53A4345E" w:rsidR="001F6A2D" w:rsidRPr="00842482" w:rsidRDefault="001F6A2D" w:rsidP="001F6A2D">
            <w:pPr>
              <w:rPr>
                <w:rFonts w:cs="Calibri"/>
                <w:i/>
                <w:iCs/>
                <w:color w:val="000000" w:themeColor="text1"/>
                <w:sz w:val="11"/>
                <w:szCs w:val="11"/>
              </w:rPr>
            </w:pPr>
            <w:r w:rsidRPr="00842482">
              <w:rPr>
                <w:rFonts w:cs="Calibri"/>
                <w:i/>
                <w:iCs/>
                <w:color w:val="000000" w:themeColor="text1"/>
                <w:sz w:val="11"/>
                <w:szCs w:val="11"/>
              </w:rPr>
              <w:t>Kredyty i pożyczki udzielone klientom</w:t>
            </w:r>
          </w:p>
        </w:tc>
        <w:tc>
          <w:tcPr>
            <w:tcW w:w="972" w:type="dxa"/>
            <w:tcBorders>
              <w:top w:val="nil"/>
              <w:left w:val="nil"/>
              <w:bottom w:val="single" w:sz="4" w:space="0" w:color="0077BD"/>
              <w:right w:val="nil"/>
            </w:tcBorders>
            <w:shd w:val="clear" w:color="auto" w:fill="auto"/>
            <w:noWrap/>
            <w:vAlign w:val="center"/>
            <w:hideMark/>
          </w:tcPr>
          <w:p w14:paraId="0281F1F6"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56 823 295</w:t>
            </w:r>
          </w:p>
        </w:tc>
        <w:tc>
          <w:tcPr>
            <w:tcW w:w="972" w:type="dxa"/>
            <w:tcBorders>
              <w:top w:val="nil"/>
              <w:left w:val="single" w:sz="8" w:space="0" w:color="0077BD"/>
              <w:bottom w:val="single" w:sz="4" w:space="0" w:color="0077BD"/>
              <w:right w:val="nil"/>
            </w:tcBorders>
            <w:shd w:val="clear" w:color="auto" w:fill="auto"/>
            <w:noWrap/>
            <w:vAlign w:val="center"/>
            <w:hideMark/>
          </w:tcPr>
          <w:p w14:paraId="4E2C251C"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15 334 407</w:t>
            </w:r>
          </w:p>
        </w:tc>
        <w:tc>
          <w:tcPr>
            <w:tcW w:w="972" w:type="dxa"/>
            <w:tcBorders>
              <w:top w:val="nil"/>
              <w:left w:val="single" w:sz="8" w:space="0" w:color="0077BD"/>
              <w:bottom w:val="single" w:sz="4" w:space="0" w:color="0077BD"/>
              <w:right w:val="nil"/>
            </w:tcBorders>
            <w:shd w:val="clear" w:color="auto" w:fill="auto"/>
            <w:noWrap/>
            <w:vAlign w:val="center"/>
            <w:hideMark/>
          </w:tcPr>
          <w:p w14:paraId="0E988C9A"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1 241 715</w:t>
            </w:r>
          </w:p>
        </w:tc>
        <w:tc>
          <w:tcPr>
            <w:tcW w:w="972" w:type="dxa"/>
            <w:tcBorders>
              <w:top w:val="nil"/>
              <w:left w:val="single" w:sz="8" w:space="0" w:color="0077BD"/>
              <w:bottom w:val="single" w:sz="4" w:space="0" w:color="0077BD"/>
              <w:right w:val="nil"/>
            </w:tcBorders>
            <w:shd w:val="clear" w:color="auto" w:fill="auto"/>
            <w:noWrap/>
            <w:vAlign w:val="center"/>
            <w:hideMark/>
          </w:tcPr>
          <w:p w14:paraId="0D56A9DE"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14 825 599</w:t>
            </w:r>
          </w:p>
        </w:tc>
        <w:tc>
          <w:tcPr>
            <w:tcW w:w="972" w:type="dxa"/>
            <w:tcBorders>
              <w:top w:val="nil"/>
              <w:left w:val="single" w:sz="8" w:space="0" w:color="0077BD"/>
              <w:bottom w:val="single" w:sz="4" w:space="0" w:color="0077BD"/>
              <w:right w:val="nil"/>
            </w:tcBorders>
            <w:shd w:val="clear" w:color="auto" w:fill="auto"/>
            <w:noWrap/>
            <w:vAlign w:val="center"/>
            <w:hideMark/>
          </w:tcPr>
          <w:p w14:paraId="50BF6CC9"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3 716 782</w:t>
            </w:r>
          </w:p>
        </w:tc>
        <w:tc>
          <w:tcPr>
            <w:tcW w:w="972" w:type="dxa"/>
            <w:tcBorders>
              <w:top w:val="nil"/>
              <w:left w:val="single" w:sz="8" w:space="0" w:color="0077BD"/>
              <w:bottom w:val="single" w:sz="4" w:space="0" w:color="0077BD"/>
              <w:right w:val="nil"/>
            </w:tcBorders>
            <w:shd w:val="clear" w:color="auto" w:fill="auto"/>
            <w:noWrap/>
            <w:vAlign w:val="center"/>
            <w:hideMark/>
          </w:tcPr>
          <w:p w14:paraId="5ABD2B44"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75 634</w:t>
            </w:r>
          </w:p>
        </w:tc>
        <w:tc>
          <w:tcPr>
            <w:tcW w:w="972" w:type="dxa"/>
            <w:tcBorders>
              <w:top w:val="nil"/>
              <w:left w:val="single" w:sz="8" w:space="0" w:color="0077BD"/>
              <w:bottom w:val="single" w:sz="4" w:space="0" w:color="0077BD"/>
              <w:right w:val="nil"/>
            </w:tcBorders>
            <w:shd w:val="clear" w:color="auto" w:fill="auto"/>
            <w:noWrap/>
            <w:vAlign w:val="center"/>
            <w:hideMark/>
          </w:tcPr>
          <w:p w14:paraId="2631BE26" w14:textId="77777777" w:rsidR="001F6A2D" w:rsidRPr="00977E53" w:rsidRDefault="001F6A2D" w:rsidP="001F6A2D">
            <w:pPr>
              <w:jc w:val="right"/>
              <w:rPr>
                <w:rFonts w:cs="Calibri"/>
                <w:i/>
                <w:iCs/>
                <w:color w:val="000000" w:themeColor="text1"/>
                <w:sz w:val="11"/>
                <w:szCs w:val="11"/>
              </w:rPr>
            </w:pPr>
            <w:r w:rsidRPr="00977E53">
              <w:rPr>
                <w:rFonts w:cs="Calibri"/>
                <w:i/>
                <w:iCs/>
                <w:color w:val="000000" w:themeColor="text1"/>
                <w:sz w:val="11"/>
                <w:szCs w:val="11"/>
              </w:rPr>
              <w:t>92 017 432</w:t>
            </w:r>
          </w:p>
        </w:tc>
      </w:tr>
      <w:tr w:rsidR="00977E53" w:rsidRPr="00977E53" w14:paraId="4EA72247"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285709F2" w14:textId="27F6E95E"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Wartości niematerialne</w:t>
            </w:r>
          </w:p>
        </w:tc>
        <w:tc>
          <w:tcPr>
            <w:tcW w:w="972" w:type="dxa"/>
            <w:tcBorders>
              <w:top w:val="nil"/>
              <w:left w:val="nil"/>
              <w:bottom w:val="single" w:sz="4" w:space="0" w:color="0077BD"/>
              <w:right w:val="nil"/>
            </w:tcBorders>
            <w:shd w:val="clear" w:color="auto" w:fill="auto"/>
            <w:noWrap/>
            <w:vAlign w:val="center"/>
            <w:hideMark/>
          </w:tcPr>
          <w:p w14:paraId="2E254B14"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775 762</w:t>
            </w:r>
          </w:p>
        </w:tc>
        <w:tc>
          <w:tcPr>
            <w:tcW w:w="972" w:type="dxa"/>
            <w:tcBorders>
              <w:top w:val="nil"/>
              <w:left w:val="single" w:sz="8" w:space="0" w:color="0077BD"/>
              <w:bottom w:val="single" w:sz="4" w:space="0" w:color="0077BD"/>
              <w:right w:val="nil"/>
            </w:tcBorders>
            <w:shd w:val="clear" w:color="auto" w:fill="auto"/>
            <w:noWrap/>
            <w:vAlign w:val="center"/>
            <w:hideMark/>
          </w:tcPr>
          <w:p w14:paraId="67BE00A6"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253</w:t>
            </w:r>
          </w:p>
        </w:tc>
        <w:tc>
          <w:tcPr>
            <w:tcW w:w="972" w:type="dxa"/>
            <w:tcBorders>
              <w:top w:val="nil"/>
              <w:left w:val="single" w:sz="8" w:space="0" w:color="0077BD"/>
              <w:bottom w:val="single" w:sz="4" w:space="0" w:color="0077BD"/>
              <w:right w:val="nil"/>
            </w:tcBorders>
            <w:shd w:val="clear" w:color="auto" w:fill="auto"/>
            <w:noWrap/>
            <w:vAlign w:val="center"/>
            <w:hideMark/>
          </w:tcPr>
          <w:p w14:paraId="7F2BDDF5"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0EEF14B"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9ABBCA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160</w:t>
            </w:r>
          </w:p>
        </w:tc>
        <w:tc>
          <w:tcPr>
            <w:tcW w:w="972" w:type="dxa"/>
            <w:tcBorders>
              <w:top w:val="nil"/>
              <w:left w:val="single" w:sz="8" w:space="0" w:color="0077BD"/>
              <w:bottom w:val="single" w:sz="4" w:space="0" w:color="0077BD"/>
              <w:right w:val="nil"/>
            </w:tcBorders>
            <w:shd w:val="clear" w:color="auto" w:fill="auto"/>
            <w:noWrap/>
            <w:vAlign w:val="center"/>
            <w:hideMark/>
          </w:tcPr>
          <w:p w14:paraId="4C71873F"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A5E4C6F"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776 175</w:t>
            </w:r>
          </w:p>
        </w:tc>
      </w:tr>
      <w:tr w:rsidR="00977E53" w:rsidRPr="00977E53" w14:paraId="00AB2846"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7CDAE378" w14:textId="6FD41F14"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Rzeczowe aktywa trwałe</w:t>
            </w:r>
          </w:p>
        </w:tc>
        <w:tc>
          <w:tcPr>
            <w:tcW w:w="972" w:type="dxa"/>
            <w:tcBorders>
              <w:top w:val="nil"/>
              <w:left w:val="nil"/>
              <w:bottom w:val="single" w:sz="4" w:space="0" w:color="0077BD"/>
              <w:right w:val="nil"/>
            </w:tcBorders>
            <w:shd w:val="clear" w:color="auto" w:fill="auto"/>
            <w:noWrap/>
            <w:vAlign w:val="center"/>
            <w:hideMark/>
          </w:tcPr>
          <w:p w14:paraId="74555F16"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765 953</w:t>
            </w:r>
          </w:p>
        </w:tc>
        <w:tc>
          <w:tcPr>
            <w:tcW w:w="972" w:type="dxa"/>
            <w:tcBorders>
              <w:top w:val="nil"/>
              <w:left w:val="single" w:sz="8" w:space="0" w:color="0077BD"/>
              <w:bottom w:val="single" w:sz="4" w:space="0" w:color="0077BD"/>
              <w:right w:val="nil"/>
            </w:tcBorders>
            <w:shd w:val="clear" w:color="auto" w:fill="auto"/>
            <w:noWrap/>
            <w:vAlign w:val="center"/>
            <w:hideMark/>
          </w:tcPr>
          <w:p w14:paraId="0A2DCFC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3 115</w:t>
            </w:r>
          </w:p>
        </w:tc>
        <w:tc>
          <w:tcPr>
            <w:tcW w:w="972" w:type="dxa"/>
            <w:tcBorders>
              <w:top w:val="nil"/>
              <w:left w:val="single" w:sz="8" w:space="0" w:color="0077BD"/>
              <w:bottom w:val="single" w:sz="4" w:space="0" w:color="0077BD"/>
              <w:right w:val="nil"/>
            </w:tcBorders>
            <w:shd w:val="clear" w:color="auto" w:fill="auto"/>
            <w:noWrap/>
            <w:vAlign w:val="center"/>
            <w:hideMark/>
          </w:tcPr>
          <w:p w14:paraId="1A8981E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848542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9D04316"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15 958</w:t>
            </w:r>
          </w:p>
        </w:tc>
        <w:tc>
          <w:tcPr>
            <w:tcW w:w="972" w:type="dxa"/>
            <w:tcBorders>
              <w:top w:val="nil"/>
              <w:left w:val="single" w:sz="8" w:space="0" w:color="0077BD"/>
              <w:bottom w:val="single" w:sz="4" w:space="0" w:color="0077BD"/>
              <w:right w:val="nil"/>
            </w:tcBorders>
            <w:shd w:val="clear" w:color="auto" w:fill="auto"/>
            <w:noWrap/>
            <w:vAlign w:val="center"/>
            <w:hideMark/>
          </w:tcPr>
          <w:p w14:paraId="45AA9FA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DBC6CEA"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785 026</w:t>
            </w:r>
          </w:p>
        </w:tc>
      </w:tr>
      <w:tr w:rsidR="00977E53" w:rsidRPr="00977E53" w14:paraId="5BB8EB73" w14:textId="77777777" w:rsidTr="001F6A2D">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4134C20C" w14:textId="57ADF922"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Należności z tytułu bieżącego podatku dochodowego</w:t>
            </w:r>
          </w:p>
        </w:tc>
        <w:tc>
          <w:tcPr>
            <w:tcW w:w="972" w:type="dxa"/>
            <w:tcBorders>
              <w:top w:val="nil"/>
              <w:left w:val="nil"/>
              <w:bottom w:val="single" w:sz="4" w:space="0" w:color="0077BD"/>
              <w:right w:val="nil"/>
            </w:tcBorders>
            <w:shd w:val="clear" w:color="auto" w:fill="auto"/>
            <w:noWrap/>
            <w:vAlign w:val="center"/>
            <w:hideMark/>
          </w:tcPr>
          <w:p w14:paraId="20051E2E"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F638527"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7F81D15"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4808877"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2003545"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9 336</w:t>
            </w:r>
          </w:p>
        </w:tc>
        <w:tc>
          <w:tcPr>
            <w:tcW w:w="972" w:type="dxa"/>
            <w:tcBorders>
              <w:top w:val="nil"/>
              <w:left w:val="single" w:sz="8" w:space="0" w:color="0077BD"/>
              <w:bottom w:val="single" w:sz="4" w:space="0" w:color="0077BD"/>
              <w:right w:val="nil"/>
            </w:tcBorders>
            <w:shd w:val="clear" w:color="auto" w:fill="auto"/>
            <w:noWrap/>
            <w:vAlign w:val="center"/>
            <w:hideMark/>
          </w:tcPr>
          <w:p w14:paraId="5D084B3E"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223B65B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9 336</w:t>
            </w:r>
          </w:p>
        </w:tc>
      </w:tr>
      <w:tr w:rsidR="00977E53" w:rsidRPr="00977E53" w14:paraId="00565020" w14:textId="77777777" w:rsidTr="001F6A2D">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602D84CD" w14:textId="2A572FF3"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Aktywa z tytułu odroczonego podatku dochodowego</w:t>
            </w:r>
          </w:p>
        </w:tc>
        <w:tc>
          <w:tcPr>
            <w:tcW w:w="972" w:type="dxa"/>
            <w:tcBorders>
              <w:top w:val="nil"/>
              <w:left w:val="nil"/>
              <w:bottom w:val="single" w:sz="4" w:space="0" w:color="0077BD"/>
              <w:right w:val="nil"/>
            </w:tcBorders>
            <w:shd w:val="clear" w:color="auto" w:fill="auto"/>
            <w:noWrap/>
            <w:vAlign w:val="center"/>
            <w:hideMark/>
          </w:tcPr>
          <w:p w14:paraId="4D4C8723"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957 159</w:t>
            </w:r>
          </w:p>
        </w:tc>
        <w:tc>
          <w:tcPr>
            <w:tcW w:w="972" w:type="dxa"/>
            <w:tcBorders>
              <w:top w:val="nil"/>
              <w:left w:val="single" w:sz="8" w:space="0" w:color="0077BD"/>
              <w:bottom w:val="single" w:sz="4" w:space="0" w:color="0077BD"/>
              <w:right w:val="nil"/>
            </w:tcBorders>
            <w:shd w:val="clear" w:color="auto" w:fill="auto"/>
            <w:noWrap/>
            <w:vAlign w:val="center"/>
            <w:hideMark/>
          </w:tcPr>
          <w:p w14:paraId="0BE91B51"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8C99E7D"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9D1CD65"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40C16712"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1 917</w:t>
            </w:r>
          </w:p>
        </w:tc>
        <w:tc>
          <w:tcPr>
            <w:tcW w:w="972" w:type="dxa"/>
            <w:tcBorders>
              <w:top w:val="nil"/>
              <w:left w:val="single" w:sz="8" w:space="0" w:color="0077BD"/>
              <w:bottom w:val="single" w:sz="4" w:space="0" w:color="0077BD"/>
              <w:right w:val="nil"/>
            </w:tcBorders>
            <w:shd w:val="clear" w:color="auto" w:fill="auto"/>
            <w:noWrap/>
            <w:vAlign w:val="center"/>
            <w:hideMark/>
          </w:tcPr>
          <w:p w14:paraId="569BED0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6E167C2"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959 076</w:t>
            </w:r>
          </w:p>
        </w:tc>
      </w:tr>
      <w:tr w:rsidR="00977E53" w:rsidRPr="00977E53" w14:paraId="771C754D" w14:textId="77777777" w:rsidTr="001F6A2D">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0A4C9C84" w14:textId="74C67EA7" w:rsidR="001F6A2D" w:rsidRPr="00842482" w:rsidRDefault="001F6A2D" w:rsidP="001F6A2D">
            <w:pPr>
              <w:rPr>
                <w:rFonts w:cs="Calibri"/>
                <w:b/>
                <w:bCs/>
                <w:color w:val="000000" w:themeColor="text1"/>
                <w:sz w:val="11"/>
                <w:szCs w:val="11"/>
              </w:rPr>
            </w:pPr>
            <w:r w:rsidRPr="00842482">
              <w:rPr>
                <w:rFonts w:cs="Calibri"/>
                <w:b/>
                <w:bCs/>
                <w:color w:val="000000" w:themeColor="text1"/>
                <w:sz w:val="11"/>
                <w:szCs w:val="11"/>
              </w:rPr>
              <w:t>Inne aktywa</w:t>
            </w:r>
          </w:p>
        </w:tc>
        <w:tc>
          <w:tcPr>
            <w:tcW w:w="972" w:type="dxa"/>
            <w:tcBorders>
              <w:top w:val="nil"/>
              <w:left w:val="nil"/>
              <w:bottom w:val="single" w:sz="4" w:space="0" w:color="0077BD"/>
              <w:right w:val="nil"/>
            </w:tcBorders>
            <w:shd w:val="clear" w:color="auto" w:fill="auto"/>
            <w:noWrap/>
            <w:vAlign w:val="center"/>
            <w:hideMark/>
          </w:tcPr>
          <w:p w14:paraId="381D32F8"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1 041 179</w:t>
            </w:r>
          </w:p>
        </w:tc>
        <w:tc>
          <w:tcPr>
            <w:tcW w:w="972" w:type="dxa"/>
            <w:tcBorders>
              <w:top w:val="nil"/>
              <w:left w:val="single" w:sz="8" w:space="0" w:color="0077BD"/>
              <w:bottom w:val="single" w:sz="4" w:space="0" w:color="0077BD"/>
              <w:right w:val="nil"/>
            </w:tcBorders>
            <w:shd w:val="clear" w:color="auto" w:fill="auto"/>
            <w:noWrap/>
            <w:vAlign w:val="center"/>
            <w:hideMark/>
          </w:tcPr>
          <w:p w14:paraId="53393318"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94 365</w:t>
            </w:r>
          </w:p>
        </w:tc>
        <w:tc>
          <w:tcPr>
            <w:tcW w:w="972" w:type="dxa"/>
            <w:tcBorders>
              <w:top w:val="nil"/>
              <w:left w:val="single" w:sz="8" w:space="0" w:color="0077BD"/>
              <w:bottom w:val="single" w:sz="4" w:space="0" w:color="0077BD"/>
              <w:right w:val="nil"/>
            </w:tcBorders>
            <w:shd w:val="clear" w:color="auto" w:fill="auto"/>
            <w:noWrap/>
            <w:vAlign w:val="center"/>
            <w:hideMark/>
          </w:tcPr>
          <w:p w14:paraId="5469F68F"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24 541</w:t>
            </w:r>
          </w:p>
        </w:tc>
        <w:tc>
          <w:tcPr>
            <w:tcW w:w="972" w:type="dxa"/>
            <w:tcBorders>
              <w:top w:val="nil"/>
              <w:left w:val="single" w:sz="8" w:space="0" w:color="0077BD"/>
              <w:bottom w:val="single" w:sz="4" w:space="0" w:color="0077BD"/>
              <w:right w:val="nil"/>
            </w:tcBorders>
            <w:shd w:val="clear" w:color="auto" w:fill="auto"/>
            <w:noWrap/>
            <w:vAlign w:val="center"/>
            <w:hideMark/>
          </w:tcPr>
          <w:p w14:paraId="0024B9CC"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18</w:t>
            </w:r>
          </w:p>
        </w:tc>
        <w:tc>
          <w:tcPr>
            <w:tcW w:w="972" w:type="dxa"/>
            <w:tcBorders>
              <w:top w:val="nil"/>
              <w:left w:val="single" w:sz="8" w:space="0" w:color="0077BD"/>
              <w:bottom w:val="single" w:sz="4" w:space="0" w:color="0077BD"/>
              <w:right w:val="nil"/>
            </w:tcBorders>
            <w:shd w:val="clear" w:color="auto" w:fill="auto"/>
            <w:noWrap/>
            <w:vAlign w:val="center"/>
            <w:hideMark/>
          </w:tcPr>
          <w:p w14:paraId="1BF88587"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18 131</w:t>
            </w:r>
          </w:p>
        </w:tc>
        <w:tc>
          <w:tcPr>
            <w:tcW w:w="972" w:type="dxa"/>
            <w:tcBorders>
              <w:top w:val="nil"/>
              <w:left w:val="single" w:sz="8" w:space="0" w:color="0077BD"/>
              <w:bottom w:val="single" w:sz="4" w:space="0" w:color="0077BD"/>
              <w:right w:val="nil"/>
            </w:tcBorders>
            <w:shd w:val="clear" w:color="auto" w:fill="auto"/>
            <w:noWrap/>
            <w:vAlign w:val="center"/>
            <w:hideMark/>
          </w:tcPr>
          <w:p w14:paraId="28274B49"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45</w:t>
            </w:r>
          </w:p>
        </w:tc>
        <w:tc>
          <w:tcPr>
            <w:tcW w:w="972" w:type="dxa"/>
            <w:tcBorders>
              <w:top w:val="nil"/>
              <w:left w:val="single" w:sz="8" w:space="0" w:color="0077BD"/>
              <w:bottom w:val="single" w:sz="4" w:space="0" w:color="0077BD"/>
              <w:right w:val="nil"/>
            </w:tcBorders>
            <w:shd w:val="clear" w:color="auto" w:fill="auto"/>
            <w:noWrap/>
            <w:vAlign w:val="center"/>
            <w:hideMark/>
          </w:tcPr>
          <w:p w14:paraId="067FFD13" w14:textId="77777777" w:rsidR="001F6A2D" w:rsidRPr="00977E53" w:rsidRDefault="001F6A2D" w:rsidP="001F6A2D">
            <w:pPr>
              <w:jc w:val="right"/>
              <w:rPr>
                <w:rFonts w:cs="Calibri"/>
                <w:color w:val="000000" w:themeColor="text1"/>
                <w:sz w:val="11"/>
                <w:szCs w:val="11"/>
              </w:rPr>
            </w:pPr>
            <w:r w:rsidRPr="00977E53">
              <w:rPr>
                <w:rFonts w:cs="Calibri"/>
                <w:color w:val="000000" w:themeColor="text1"/>
                <w:sz w:val="11"/>
                <w:szCs w:val="11"/>
              </w:rPr>
              <w:t>1 178 279</w:t>
            </w:r>
          </w:p>
        </w:tc>
      </w:tr>
      <w:tr w:rsidR="00977E53" w:rsidRPr="00977E53" w14:paraId="10D41D7D" w14:textId="77777777" w:rsidTr="00510857">
        <w:trPr>
          <w:trHeight w:val="227"/>
        </w:trPr>
        <w:tc>
          <w:tcPr>
            <w:tcW w:w="2835" w:type="dxa"/>
            <w:tcBorders>
              <w:top w:val="single" w:sz="8" w:space="0" w:color="0077BD"/>
              <w:left w:val="nil"/>
              <w:bottom w:val="single" w:sz="8" w:space="0" w:color="0077BD"/>
              <w:right w:val="single" w:sz="8" w:space="0" w:color="0077BD"/>
            </w:tcBorders>
            <w:shd w:val="clear" w:color="auto" w:fill="auto"/>
            <w:vAlign w:val="center"/>
            <w:hideMark/>
          </w:tcPr>
          <w:p w14:paraId="19CCFC0B" w14:textId="566E7F0A"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AKTYWA RAZEM</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67EDE937" w14:textId="6756AF56"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104 278 904</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D18DE2A" w14:textId="7C68DCE1"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17 944 300</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E0FBC6A" w14:textId="25A9F698"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1 807 080</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CBBE91A" w14:textId="5644A7A6"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14 855 701</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3FEA65EF" w14:textId="16C8A047"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6 733 609</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1E555359" w14:textId="4DF8A305"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160 964</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4A6B48C9" w14:textId="5844BB3F"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145 780 558</w:t>
            </w:r>
          </w:p>
        </w:tc>
      </w:tr>
      <w:tr w:rsidR="00977E53" w:rsidRPr="00977E53" w14:paraId="1608EE94" w14:textId="77777777" w:rsidTr="001F6A2D">
        <w:trPr>
          <w:trHeight w:val="227"/>
        </w:trPr>
        <w:tc>
          <w:tcPr>
            <w:tcW w:w="2835" w:type="dxa"/>
            <w:tcBorders>
              <w:top w:val="nil"/>
              <w:left w:val="nil"/>
              <w:bottom w:val="single" w:sz="8" w:space="0" w:color="0077BD"/>
              <w:right w:val="nil"/>
            </w:tcBorders>
            <w:shd w:val="clear" w:color="auto" w:fill="auto"/>
            <w:vAlign w:val="center"/>
            <w:hideMark/>
          </w:tcPr>
          <w:p w14:paraId="347C0F6A" w14:textId="3759A581"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ZOBOWIĄZANIA</w:t>
            </w:r>
          </w:p>
        </w:tc>
        <w:tc>
          <w:tcPr>
            <w:tcW w:w="972" w:type="dxa"/>
            <w:tcBorders>
              <w:top w:val="nil"/>
              <w:left w:val="nil"/>
              <w:bottom w:val="single" w:sz="8" w:space="0" w:color="0077BD"/>
              <w:right w:val="nil"/>
            </w:tcBorders>
            <w:shd w:val="clear" w:color="auto" w:fill="auto"/>
            <w:noWrap/>
            <w:vAlign w:val="center"/>
            <w:hideMark/>
          </w:tcPr>
          <w:p w14:paraId="16682888" w14:textId="549C2B36"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34E7A6C6" w14:textId="5FF3269C"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35F5CAB4" w14:textId="0D6E9DA6"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316E2DE3" w14:textId="66A17C97"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6AE336C7" w14:textId="1000E3DC"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29B95DEA" w14:textId="5977FC8B"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c>
          <w:tcPr>
            <w:tcW w:w="972" w:type="dxa"/>
            <w:tcBorders>
              <w:top w:val="nil"/>
              <w:left w:val="nil"/>
              <w:bottom w:val="single" w:sz="8" w:space="0" w:color="0077BD"/>
              <w:right w:val="nil"/>
            </w:tcBorders>
            <w:shd w:val="clear" w:color="auto" w:fill="auto"/>
            <w:noWrap/>
            <w:vAlign w:val="center"/>
            <w:hideMark/>
          </w:tcPr>
          <w:p w14:paraId="4754A9F5" w14:textId="4DD82D82" w:rsidR="00510857" w:rsidRPr="00977E53" w:rsidRDefault="00510857" w:rsidP="00510857">
            <w:pPr>
              <w:jc w:val="center"/>
              <w:rPr>
                <w:rFonts w:cs="Calibri"/>
                <w:b/>
                <w:bCs/>
                <w:color w:val="000000" w:themeColor="text1"/>
                <w:sz w:val="11"/>
                <w:szCs w:val="11"/>
              </w:rPr>
            </w:pPr>
            <w:r w:rsidRPr="00977E53">
              <w:rPr>
                <w:rFonts w:cs="Calibri"/>
                <w:b/>
                <w:bCs/>
                <w:color w:val="000000" w:themeColor="text1"/>
                <w:sz w:val="11"/>
                <w:szCs w:val="11"/>
              </w:rPr>
              <w:t> </w:t>
            </w:r>
          </w:p>
        </w:tc>
      </w:tr>
      <w:tr w:rsidR="00977E53" w:rsidRPr="00977E53" w14:paraId="3676252E" w14:textId="77777777" w:rsidTr="00294CBC">
        <w:trPr>
          <w:trHeight w:val="454"/>
        </w:trPr>
        <w:tc>
          <w:tcPr>
            <w:tcW w:w="2835" w:type="dxa"/>
            <w:tcBorders>
              <w:top w:val="nil"/>
              <w:left w:val="nil"/>
              <w:bottom w:val="single" w:sz="4" w:space="0" w:color="0077BD"/>
              <w:right w:val="single" w:sz="8" w:space="0" w:color="0077BD"/>
            </w:tcBorders>
            <w:shd w:val="clear" w:color="auto" w:fill="auto"/>
            <w:vAlign w:val="center"/>
            <w:hideMark/>
          </w:tcPr>
          <w:p w14:paraId="6FB55DAF" w14:textId="68B20A17"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Zobowiązania finansowe przeznaczone do obrotu i instrumenty pochodne zabezpieczające</w:t>
            </w:r>
          </w:p>
        </w:tc>
        <w:tc>
          <w:tcPr>
            <w:tcW w:w="972" w:type="dxa"/>
            <w:tcBorders>
              <w:top w:val="nil"/>
              <w:left w:val="single" w:sz="8" w:space="0" w:color="0077BD"/>
              <w:bottom w:val="single" w:sz="4" w:space="0" w:color="0077BD"/>
              <w:right w:val="nil"/>
            </w:tcBorders>
            <w:shd w:val="clear" w:color="auto" w:fill="auto"/>
            <w:noWrap/>
            <w:vAlign w:val="center"/>
            <w:hideMark/>
          </w:tcPr>
          <w:p w14:paraId="1BD7EC13" w14:textId="101274D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706 868</w:t>
            </w:r>
          </w:p>
        </w:tc>
        <w:tc>
          <w:tcPr>
            <w:tcW w:w="972" w:type="dxa"/>
            <w:tcBorders>
              <w:top w:val="nil"/>
              <w:left w:val="single" w:sz="8" w:space="0" w:color="0077BD"/>
              <w:bottom w:val="single" w:sz="4" w:space="0" w:color="0077BD"/>
              <w:right w:val="nil"/>
            </w:tcBorders>
            <w:shd w:val="clear" w:color="auto" w:fill="auto"/>
            <w:noWrap/>
            <w:vAlign w:val="center"/>
            <w:hideMark/>
          </w:tcPr>
          <w:p w14:paraId="45886527" w14:textId="486FDA56"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204 624</w:t>
            </w:r>
          </w:p>
        </w:tc>
        <w:tc>
          <w:tcPr>
            <w:tcW w:w="972" w:type="dxa"/>
            <w:tcBorders>
              <w:top w:val="nil"/>
              <w:left w:val="single" w:sz="8" w:space="0" w:color="0077BD"/>
              <w:bottom w:val="single" w:sz="4" w:space="0" w:color="0077BD"/>
              <w:right w:val="nil"/>
            </w:tcBorders>
            <w:shd w:val="clear" w:color="auto" w:fill="auto"/>
            <w:noWrap/>
            <w:vAlign w:val="center"/>
            <w:hideMark/>
          </w:tcPr>
          <w:p w14:paraId="1C9D5140" w14:textId="6174F0B1"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61 415</w:t>
            </w:r>
          </w:p>
        </w:tc>
        <w:tc>
          <w:tcPr>
            <w:tcW w:w="972" w:type="dxa"/>
            <w:tcBorders>
              <w:top w:val="nil"/>
              <w:left w:val="single" w:sz="8" w:space="0" w:color="0077BD"/>
              <w:bottom w:val="single" w:sz="4" w:space="0" w:color="0077BD"/>
              <w:right w:val="nil"/>
            </w:tcBorders>
            <w:shd w:val="clear" w:color="auto" w:fill="auto"/>
            <w:noWrap/>
            <w:vAlign w:val="center"/>
            <w:hideMark/>
          </w:tcPr>
          <w:p w14:paraId="5A42D40C" w14:textId="3EC25729"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0CDBB5B" w14:textId="697576EB"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8 210</w:t>
            </w:r>
          </w:p>
        </w:tc>
        <w:tc>
          <w:tcPr>
            <w:tcW w:w="972" w:type="dxa"/>
            <w:tcBorders>
              <w:top w:val="nil"/>
              <w:left w:val="single" w:sz="8" w:space="0" w:color="0077BD"/>
              <w:bottom w:val="single" w:sz="4" w:space="0" w:color="0077BD"/>
              <w:right w:val="nil"/>
            </w:tcBorders>
            <w:shd w:val="clear" w:color="auto" w:fill="auto"/>
            <w:noWrap/>
            <w:vAlign w:val="center"/>
            <w:hideMark/>
          </w:tcPr>
          <w:p w14:paraId="7F997A94" w14:textId="324E03E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E008EE1" w14:textId="5C69B00F"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981 117</w:t>
            </w:r>
          </w:p>
        </w:tc>
      </w:tr>
      <w:tr w:rsidR="00977E53" w:rsidRPr="00977E53" w14:paraId="0BACFBDE" w14:textId="77777777" w:rsidTr="00510857">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6D7D2E93" w14:textId="7E853561"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Zobowiązania finansowe wyceniane w zamortyzowanym koszcie, w tym:</w:t>
            </w:r>
          </w:p>
        </w:tc>
        <w:tc>
          <w:tcPr>
            <w:tcW w:w="972" w:type="dxa"/>
            <w:tcBorders>
              <w:top w:val="nil"/>
              <w:left w:val="single" w:sz="8" w:space="0" w:color="0077BD"/>
              <w:bottom w:val="single" w:sz="4" w:space="0" w:color="0077BD"/>
              <w:right w:val="nil"/>
            </w:tcBorders>
            <w:shd w:val="clear" w:color="auto" w:fill="auto"/>
            <w:noWrap/>
            <w:vAlign w:val="center"/>
            <w:hideMark/>
          </w:tcPr>
          <w:p w14:paraId="7670A793" w14:textId="16B60535"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82 165 495</w:t>
            </w:r>
          </w:p>
        </w:tc>
        <w:tc>
          <w:tcPr>
            <w:tcW w:w="972" w:type="dxa"/>
            <w:tcBorders>
              <w:top w:val="nil"/>
              <w:left w:val="single" w:sz="8" w:space="0" w:color="0077BD"/>
              <w:bottom w:val="single" w:sz="4" w:space="0" w:color="0077BD"/>
              <w:right w:val="nil"/>
            </w:tcBorders>
            <w:shd w:val="clear" w:color="auto" w:fill="auto"/>
            <w:noWrap/>
            <w:vAlign w:val="center"/>
            <w:hideMark/>
          </w:tcPr>
          <w:p w14:paraId="5AD99B13" w14:textId="7652F94E"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28 627 561</w:t>
            </w:r>
          </w:p>
        </w:tc>
        <w:tc>
          <w:tcPr>
            <w:tcW w:w="972" w:type="dxa"/>
            <w:tcBorders>
              <w:top w:val="nil"/>
              <w:left w:val="single" w:sz="8" w:space="0" w:color="0077BD"/>
              <w:bottom w:val="single" w:sz="4" w:space="0" w:color="0077BD"/>
              <w:right w:val="nil"/>
            </w:tcBorders>
            <w:shd w:val="clear" w:color="auto" w:fill="auto"/>
            <w:noWrap/>
            <w:vAlign w:val="center"/>
            <w:hideMark/>
          </w:tcPr>
          <w:p w14:paraId="691F1EA9" w14:textId="0D287166"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3 384 888</w:t>
            </w:r>
          </w:p>
        </w:tc>
        <w:tc>
          <w:tcPr>
            <w:tcW w:w="972" w:type="dxa"/>
            <w:tcBorders>
              <w:top w:val="nil"/>
              <w:left w:val="single" w:sz="8" w:space="0" w:color="0077BD"/>
              <w:bottom w:val="single" w:sz="4" w:space="0" w:color="0077BD"/>
              <w:right w:val="nil"/>
            </w:tcBorders>
            <w:shd w:val="clear" w:color="auto" w:fill="auto"/>
            <w:noWrap/>
            <w:vAlign w:val="center"/>
            <w:hideMark/>
          </w:tcPr>
          <w:p w14:paraId="69E835C6" w14:textId="1E53F061"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3 779 559</w:t>
            </w:r>
          </w:p>
        </w:tc>
        <w:tc>
          <w:tcPr>
            <w:tcW w:w="972" w:type="dxa"/>
            <w:tcBorders>
              <w:top w:val="nil"/>
              <w:left w:val="single" w:sz="8" w:space="0" w:color="0077BD"/>
              <w:bottom w:val="single" w:sz="4" w:space="0" w:color="0077BD"/>
              <w:right w:val="nil"/>
            </w:tcBorders>
            <w:shd w:val="clear" w:color="auto" w:fill="auto"/>
            <w:noWrap/>
            <w:vAlign w:val="center"/>
            <w:hideMark/>
          </w:tcPr>
          <w:p w14:paraId="0C63DADA" w14:textId="571AD981"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7 190 096</w:t>
            </w:r>
          </w:p>
        </w:tc>
        <w:tc>
          <w:tcPr>
            <w:tcW w:w="972" w:type="dxa"/>
            <w:tcBorders>
              <w:top w:val="nil"/>
              <w:left w:val="single" w:sz="8" w:space="0" w:color="0077BD"/>
              <w:bottom w:val="single" w:sz="4" w:space="0" w:color="0077BD"/>
              <w:right w:val="nil"/>
            </w:tcBorders>
            <w:shd w:val="clear" w:color="auto" w:fill="auto"/>
            <w:noWrap/>
            <w:vAlign w:val="center"/>
            <w:hideMark/>
          </w:tcPr>
          <w:p w14:paraId="6DCFA294" w14:textId="5C8DE43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494 035</w:t>
            </w:r>
          </w:p>
        </w:tc>
        <w:tc>
          <w:tcPr>
            <w:tcW w:w="972" w:type="dxa"/>
            <w:tcBorders>
              <w:top w:val="nil"/>
              <w:left w:val="single" w:sz="8" w:space="0" w:color="0077BD"/>
              <w:bottom w:val="single" w:sz="4" w:space="0" w:color="0077BD"/>
              <w:right w:val="nil"/>
            </w:tcBorders>
            <w:shd w:val="clear" w:color="auto" w:fill="auto"/>
            <w:noWrap/>
            <w:vAlign w:val="center"/>
            <w:hideMark/>
          </w:tcPr>
          <w:p w14:paraId="519CE93F" w14:textId="74BD4CF4"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125 641 634</w:t>
            </w:r>
          </w:p>
        </w:tc>
      </w:tr>
      <w:tr w:rsidR="00977E53" w:rsidRPr="00977E53" w14:paraId="5447BD53" w14:textId="77777777" w:rsidTr="00510857">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06472F4C" w14:textId="41074702" w:rsidR="00510857" w:rsidRPr="00842482" w:rsidRDefault="00510857" w:rsidP="00510857">
            <w:pPr>
              <w:ind w:leftChars="-17" w:left="1" w:hangingChars="25" w:hanging="28"/>
              <w:rPr>
                <w:rFonts w:cs="Calibri"/>
                <w:i/>
                <w:iCs/>
                <w:color w:val="000000" w:themeColor="text1"/>
                <w:sz w:val="11"/>
                <w:szCs w:val="11"/>
              </w:rPr>
            </w:pPr>
            <w:r w:rsidRPr="00842482">
              <w:rPr>
                <w:rFonts w:cs="Calibri"/>
                <w:i/>
                <w:iCs/>
                <w:color w:val="000000" w:themeColor="text1"/>
                <w:sz w:val="11"/>
                <w:szCs w:val="11"/>
              </w:rPr>
              <w:t>Zobowiązania wobec banków</w:t>
            </w:r>
          </w:p>
        </w:tc>
        <w:tc>
          <w:tcPr>
            <w:tcW w:w="972" w:type="dxa"/>
            <w:tcBorders>
              <w:top w:val="nil"/>
              <w:left w:val="single" w:sz="8" w:space="0" w:color="0077BD"/>
              <w:bottom w:val="single" w:sz="4" w:space="0" w:color="0077BD"/>
              <w:right w:val="nil"/>
            </w:tcBorders>
            <w:shd w:val="clear" w:color="auto" w:fill="auto"/>
            <w:noWrap/>
            <w:vAlign w:val="center"/>
            <w:hideMark/>
          </w:tcPr>
          <w:p w14:paraId="73EE1A33" w14:textId="7200F22E"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1 848 691</w:t>
            </w:r>
          </w:p>
        </w:tc>
        <w:tc>
          <w:tcPr>
            <w:tcW w:w="972" w:type="dxa"/>
            <w:tcBorders>
              <w:top w:val="nil"/>
              <w:left w:val="single" w:sz="8" w:space="0" w:color="0077BD"/>
              <w:bottom w:val="single" w:sz="4" w:space="0" w:color="0077BD"/>
              <w:right w:val="nil"/>
            </w:tcBorders>
            <w:shd w:val="clear" w:color="auto" w:fill="auto"/>
            <w:noWrap/>
            <w:vAlign w:val="center"/>
            <w:hideMark/>
          </w:tcPr>
          <w:p w14:paraId="106FFB16" w14:textId="27A9E457"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1 040 035</w:t>
            </w:r>
          </w:p>
        </w:tc>
        <w:tc>
          <w:tcPr>
            <w:tcW w:w="972" w:type="dxa"/>
            <w:tcBorders>
              <w:top w:val="nil"/>
              <w:left w:val="single" w:sz="8" w:space="0" w:color="0077BD"/>
              <w:bottom w:val="single" w:sz="4" w:space="0" w:color="0077BD"/>
              <w:right w:val="nil"/>
            </w:tcBorders>
            <w:shd w:val="clear" w:color="auto" w:fill="auto"/>
            <w:noWrap/>
            <w:vAlign w:val="center"/>
            <w:hideMark/>
          </w:tcPr>
          <w:p w14:paraId="3300257A" w14:textId="786E07E7"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212 094</w:t>
            </w:r>
          </w:p>
        </w:tc>
        <w:tc>
          <w:tcPr>
            <w:tcW w:w="972" w:type="dxa"/>
            <w:tcBorders>
              <w:top w:val="nil"/>
              <w:left w:val="single" w:sz="8" w:space="0" w:color="0077BD"/>
              <w:bottom w:val="single" w:sz="4" w:space="0" w:color="0077BD"/>
              <w:right w:val="nil"/>
            </w:tcBorders>
            <w:shd w:val="clear" w:color="auto" w:fill="auto"/>
            <w:noWrap/>
            <w:vAlign w:val="center"/>
            <w:hideMark/>
          </w:tcPr>
          <w:p w14:paraId="27AA92C9" w14:textId="0E5AC7B5"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563</w:t>
            </w:r>
          </w:p>
        </w:tc>
        <w:tc>
          <w:tcPr>
            <w:tcW w:w="972" w:type="dxa"/>
            <w:tcBorders>
              <w:top w:val="nil"/>
              <w:left w:val="single" w:sz="8" w:space="0" w:color="0077BD"/>
              <w:bottom w:val="single" w:sz="4" w:space="0" w:color="0077BD"/>
              <w:right w:val="nil"/>
            </w:tcBorders>
            <w:shd w:val="clear" w:color="auto" w:fill="auto"/>
            <w:noWrap/>
            <w:vAlign w:val="center"/>
            <w:hideMark/>
          </w:tcPr>
          <w:p w14:paraId="55CDFE36" w14:textId="23B4BEC2"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416</w:t>
            </w:r>
          </w:p>
        </w:tc>
        <w:tc>
          <w:tcPr>
            <w:tcW w:w="972" w:type="dxa"/>
            <w:tcBorders>
              <w:top w:val="nil"/>
              <w:left w:val="single" w:sz="8" w:space="0" w:color="0077BD"/>
              <w:bottom w:val="single" w:sz="4" w:space="0" w:color="0077BD"/>
              <w:right w:val="nil"/>
            </w:tcBorders>
            <w:shd w:val="clear" w:color="auto" w:fill="auto"/>
            <w:noWrap/>
            <w:vAlign w:val="center"/>
            <w:hideMark/>
          </w:tcPr>
          <w:p w14:paraId="5A9E4B9C" w14:textId="67B70237"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7 027</w:t>
            </w:r>
          </w:p>
        </w:tc>
        <w:tc>
          <w:tcPr>
            <w:tcW w:w="972" w:type="dxa"/>
            <w:tcBorders>
              <w:top w:val="nil"/>
              <w:left w:val="single" w:sz="8" w:space="0" w:color="0077BD"/>
              <w:bottom w:val="single" w:sz="4" w:space="0" w:color="0077BD"/>
              <w:right w:val="nil"/>
            </w:tcBorders>
            <w:shd w:val="clear" w:color="auto" w:fill="auto"/>
            <w:noWrap/>
            <w:vAlign w:val="center"/>
            <w:hideMark/>
          </w:tcPr>
          <w:p w14:paraId="05C79264" w14:textId="20ABA5F3"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3 108 826</w:t>
            </w:r>
          </w:p>
        </w:tc>
      </w:tr>
      <w:tr w:rsidR="00977E53" w:rsidRPr="00977E53" w14:paraId="34023162" w14:textId="77777777" w:rsidTr="00294CBC">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5F36FF6E" w14:textId="4B1C28EC" w:rsidR="00510857" w:rsidRPr="00842482" w:rsidRDefault="00510857" w:rsidP="00510857">
            <w:pPr>
              <w:rPr>
                <w:rFonts w:cs="Calibri"/>
                <w:i/>
                <w:iCs/>
                <w:color w:val="000000" w:themeColor="text1"/>
                <w:sz w:val="11"/>
                <w:szCs w:val="11"/>
              </w:rPr>
            </w:pPr>
            <w:r w:rsidRPr="00842482">
              <w:rPr>
                <w:rFonts w:cs="Calibri"/>
                <w:i/>
                <w:iCs/>
                <w:color w:val="000000" w:themeColor="text1"/>
                <w:sz w:val="11"/>
                <w:szCs w:val="11"/>
              </w:rPr>
              <w:t>Zobowiązania wobec klientów</w:t>
            </w:r>
          </w:p>
        </w:tc>
        <w:tc>
          <w:tcPr>
            <w:tcW w:w="972" w:type="dxa"/>
            <w:tcBorders>
              <w:top w:val="nil"/>
              <w:left w:val="single" w:sz="8" w:space="0" w:color="0077BD"/>
              <w:bottom w:val="single" w:sz="4" w:space="0" w:color="0077BD"/>
              <w:right w:val="nil"/>
            </w:tcBorders>
            <w:shd w:val="clear" w:color="auto" w:fill="auto"/>
            <w:noWrap/>
            <w:vAlign w:val="center"/>
            <w:hideMark/>
          </w:tcPr>
          <w:p w14:paraId="5BF1F67A" w14:textId="427D016C"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74 049 582</w:t>
            </w:r>
          </w:p>
        </w:tc>
        <w:tc>
          <w:tcPr>
            <w:tcW w:w="972" w:type="dxa"/>
            <w:tcBorders>
              <w:top w:val="nil"/>
              <w:left w:val="single" w:sz="8" w:space="0" w:color="0077BD"/>
              <w:bottom w:val="single" w:sz="4" w:space="0" w:color="0077BD"/>
              <w:right w:val="nil"/>
            </w:tcBorders>
            <w:shd w:val="clear" w:color="auto" w:fill="auto"/>
            <w:noWrap/>
            <w:vAlign w:val="center"/>
            <w:hideMark/>
          </w:tcPr>
          <w:p w14:paraId="6C898627" w14:textId="7F4DCA29"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15 745 425</w:t>
            </w:r>
          </w:p>
        </w:tc>
        <w:tc>
          <w:tcPr>
            <w:tcW w:w="972" w:type="dxa"/>
            <w:tcBorders>
              <w:top w:val="nil"/>
              <w:left w:val="single" w:sz="8" w:space="0" w:color="0077BD"/>
              <w:bottom w:val="single" w:sz="4" w:space="0" w:color="0077BD"/>
              <w:right w:val="nil"/>
            </w:tcBorders>
            <w:shd w:val="clear" w:color="auto" w:fill="auto"/>
            <w:noWrap/>
            <w:vAlign w:val="center"/>
            <w:hideMark/>
          </w:tcPr>
          <w:p w14:paraId="72EC6C38" w14:textId="5E687678"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3 172 794</w:t>
            </w:r>
          </w:p>
        </w:tc>
        <w:tc>
          <w:tcPr>
            <w:tcW w:w="972" w:type="dxa"/>
            <w:tcBorders>
              <w:top w:val="nil"/>
              <w:left w:val="single" w:sz="8" w:space="0" w:color="0077BD"/>
              <w:bottom w:val="single" w:sz="4" w:space="0" w:color="0077BD"/>
              <w:right w:val="nil"/>
            </w:tcBorders>
            <w:shd w:val="clear" w:color="auto" w:fill="auto"/>
            <w:noWrap/>
            <w:vAlign w:val="center"/>
            <w:hideMark/>
          </w:tcPr>
          <w:p w14:paraId="73008977" w14:textId="53C94735"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1 364 573</w:t>
            </w:r>
          </w:p>
        </w:tc>
        <w:tc>
          <w:tcPr>
            <w:tcW w:w="972" w:type="dxa"/>
            <w:tcBorders>
              <w:top w:val="nil"/>
              <w:left w:val="single" w:sz="8" w:space="0" w:color="0077BD"/>
              <w:bottom w:val="single" w:sz="4" w:space="0" w:color="0077BD"/>
              <w:right w:val="nil"/>
            </w:tcBorders>
            <w:shd w:val="clear" w:color="auto" w:fill="auto"/>
            <w:noWrap/>
            <w:vAlign w:val="center"/>
            <w:hideMark/>
          </w:tcPr>
          <w:p w14:paraId="76A6946F" w14:textId="666163CA"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7 189 680</w:t>
            </w:r>
          </w:p>
        </w:tc>
        <w:tc>
          <w:tcPr>
            <w:tcW w:w="972" w:type="dxa"/>
            <w:tcBorders>
              <w:top w:val="nil"/>
              <w:left w:val="single" w:sz="8" w:space="0" w:color="0077BD"/>
              <w:bottom w:val="single" w:sz="4" w:space="0" w:color="0077BD"/>
              <w:right w:val="nil"/>
            </w:tcBorders>
            <w:shd w:val="clear" w:color="auto" w:fill="auto"/>
            <w:noWrap/>
            <w:vAlign w:val="center"/>
            <w:hideMark/>
          </w:tcPr>
          <w:p w14:paraId="6F99706A" w14:textId="094B7353"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487 008</w:t>
            </w:r>
          </w:p>
        </w:tc>
        <w:tc>
          <w:tcPr>
            <w:tcW w:w="972" w:type="dxa"/>
            <w:tcBorders>
              <w:top w:val="nil"/>
              <w:left w:val="single" w:sz="8" w:space="0" w:color="0077BD"/>
              <w:bottom w:val="single" w:sz="4" w:space="0" w:color="0077BD"/>
              <w:right w:val="nil"/>
            </w:tcBorders>
            <w:shd w:val="clear" w:color="auto" w:fill="auto"/>
            <w:noWrap/>
            <w:vAlign w:val="center"/>
            <w:hideMark/>
          </w:tcPr>
          <w:p w14:paraId="6C7A89B7" w14:textId="7EC1CFF2"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102 009 062</w:t>
            </w:r>
          </w:p>
        </w:tc>
      </w:tr>
      <w:tr w:rsidR="00977E53" w:rsidRPr="00977E53" w14:paraId="46633305" w14:textId="77777777" w:rsidTr="00294CBC">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532D58D6" w14:textId="4071052F" w:rsidR="00510857" w:rsidRPr="00842482" w:rsidRDefault="00510857" w:rsidP="00510857">
            <w:pPr>
              <w:rPr>
                <w:rFonts w:cs="Calibri"/>
                <w:i/>
                <w:iCs/>
                <w:color w:val="000000" w:themeColor="text1"/>
                <w:sz w:val="11"/>
                <w:szCs w:val="11"/>
              </w:rPr>
            </w:pPr>
            <w:r w:rsidRPr="00842482">
              <w:rPr>
                <w:rFonts w:cs="Calibri"/>
                <w:i/>
                <w:iCs/>
                <w:color w:val="000000" w:themeColor="text1"/>
                <w:sz w:val="11"/>
                <w:szCs w:val="11"/>
              </w:rPr>
              <w:t>Zobowiązania z tytułu emisji dłużnych papierów wartościowych</w:t>
            </w:r>
          </w:p>
        </w:tc>
        <w:tc>
          <w:tcPr>
            <w:tcW w:w="972" w:type="dxa"/>
            <w:tcBorders>
              <w:top w:val="nil"/>
              <w:left w:val="single" w:sz="8" w:space="0" w:color="0077BD"/>
              <w:bottom w:val="single" w:sz="4" w:space="0" w:color="0077BD"/>
              <w:right w:val="nil"/>
            </w:tcBorders>
            <w:shd w:val="clear" w:color="auto" w:fill="auto"/>
            <w:noWrap/>
            <w:vAlign w:val="center"/>
            <w:hideMark/>
          </w:tcPr>
          <w:p w14:paraId="0DB5FA96" w14:textId="58895198"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4 747 743</w:t>
            </w:r>
          </w:p>
        </w:tc>
        <w:tc>
          <w:tcPr>
            <w:tcW w:w="972" w:type="dxa"/>
            <w:tcBorders>
              <w:top w:val="nil"/>
              <w:left w:val="single" w:sz="8" w:space="0" w:color="0077BD"/>
              <w:bottom w:val="single" w:sz="4" w:space="0" w:color="0077BD"/>
              <w:right w:val="nil"/>
            </w:tcBorders>
            <w:shd w:val="clear" w:color="auto" w:fill="auto"/>
            <w:noWrap/>
            <w:vAlign w:val="center"/>
            <w:hideMark/>
          </w:tcPr>
          <w:p w14:paraId="195B151A" w14:textId="152ADFA0"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11 842 101</w:t>
            </w:r>
          </w:p>
        </w:tc>
        <w:tc>
          <w:tcPr>
            <w:tcW w:w="972" w:type="dxa"/>
            <w:tcBorders>
              <w:top w:val="nil"/>
              <w:left w:val="single" w:sz="8" w:space="0" w:color="0077BD"/>
              <w:bottom w:val="single" w:sz="4" w:space="0" w:color="0077BD"/>
              <w:right w:val="nil"/>
            </w:tcBorders>
            <w:shd w:val="clear" w:color="auto" w:fill="auto"/>
            <w:noWrap/>
            <w:vAlign w:val="center"/>
            <w:hideMark/>
          </w:tcPr>
          <w:p w14:paraId="56453A4B" w14:textId="0E0C65A8"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8DA43C3" w14:textId="22352578"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1 459 739</w:t>
            </w:r>
          </w:p>
        </w:tc>
        <w:tc>
          <w:tcPr>
            <w:tcW w:w="972" w:type="dxa"/>
            <w:tcBorders>
              <w:top w:val="nil"/>
              <w:left w:val="single" w:sz="8" w:space="0" w:color="0077BD"/>
              <w:bottom w:val="single" w:sz="4" w:space="0" w:color="0077BD"/>
              <w:right w:val="nil"/>
            </w:tcBorders>
            <w:shd w:val="clear" w:color="auto" w:fill="auto"/>
            <w:noWrap/>
            <w:vAlign w:val="center"/>
            <w:hideMark/>
          </w:tcPr>
          <w:p w14:paraId="286654A0" w14:textId="3651232D"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8C94E38" w14:textId="04112D52"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DCAC137" w14:textId="199C9554"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18 049 583</w:t>
            </w:r>
          </w:p>
        </w:tc>
      </w:tr>
      <w:tr w:rsidR="00977E53" w:rsidRPr="00977E53" w14:paraId="3BD6A3CE" w14:textId="77777777" w:rsidTr="00294CBC">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66A93110" w14:textId="298A455D" w:rsidR="00510857" w:rsidRPr="00842482" w:rsidRDefault="00510857" w:rsidP="00510857">
            <w:pPr>
              <w:rPr>
                <w:rFonts w:cs="Calibri"/>
                <w:i/>
                <w:iCs/>
                <w:color w:val="000000" w:themeColor="text1"/>
                <w:sz w:val="11"/>
                <w:szCs w:val="11"/>
              </w:rPr>
            </w:pPr>
            <w:r w:rsidRPr="00842482">
              <w:rPr>
                <w:rFonts w:cs="Calibri"/>
                <w:i/>
                <w:iCs/>
                <w:color w:val="000000" w:themeColor="text1"/>
                <w:sz w:val="11"/>
                <w:szCs w:val="11"/>
              </w:rPr>
              <w:t>Zobowiązania podporządkowane</w:t>
            </w:r>
          </w:p>
        </w:tc>
        <w:tc>
          <w:tcPr>
            <w:tcW w:w="972" w:type="dxa"/>
            <w:tcBorders>
              <w:top w:val="nil"/>
              <w:left w:val="single" w:sz="8" w:space="0" w:color="0077BD"/>
              <w:bottom w:val="single" w:sz="4" w:space="0" w:color="0077BD"/>
              <w:right w:val="nil"/>
            </w:tcBorders>
            <w:shd w:val="clear" w:color="auto" w:fill="auto"/>
            <w:noWrap/>
            <w:vAlign w:val="center"/>
            <w:hideMark/>
          </w:tcPr>
          <w:p w14:paraId="03CC2262" w14:textId="17694A15"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1 519 479</w:t>
            </w:r>
          </w:p>
        </w:tc>
        <w:tc>
          <w:tcPr>
            <w:tcW w:w="972" w:type="dxa"/>
            <w:tcBorders>
              <w:top w:val="nil"/>
              <w:left w:val="single" w:sz="8" w:space="0" w:color="0077BD"/>
              <w:bottom w:val="single" w:sz="4" w:space="0" w:color="0077BD"/>
              <w:right w:val="nil"/>
            </w:tcBorders>
            <w:shd w:val="clear" w:color="auto" w:fill="auto"/>
            <w:noWrap/>
            <w:vAlign w:val="center"/>
            <w:hideMark/>
          </w:tcPr>
          <w:p w14:paraId="494FCED6" w14:textId="203B6B1E"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5BEBB4A" w14:textId="00FECF72"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5123CDAA" w14:textId="38496EDD"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954 684</w:t>
            </w:r>
          </w:p>
        </w:tc>
        <w:tc>
          <w:tcPr>
            <w:tcW w:w="972" w:type="dxa"/>
            <w:tcBorders>
              <w:top w:val="nil"/>
              <w:left w:val="single" w:sz="8" w:space="0" w:color="0077BD"/>
              <w:bottom w:val="single" w:sz="4" w:space="0" w:color="0077BD"/>
              <w:right w:val="nil"/>
            </w:tcBorders>
            <w:shd w:val="clear" w:color="auto" w:fill="auto"/>
            <w:noWrap/>
            <w:vAlign w:val="center"/>
            <w:hideMark/>
          </w:tcPr>
          <w:p w14:paraId="6595CD0B" w14:textId="47E7EDFF"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EE81A7A" w14:textId="10BC9A6A"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694CA158" w14:textId="791AEFFE" w:rsidR="00510857" w:rsidRPr="00977E53" w:rsidRDefault="00510857" w:rsidP="00510857">
            <w:pPr>
              <w:jc w:val="right"/>
              <w:rPr>
                <w:rFonts w:cs="Calibri"/>
                <w:i/>
                <w:iCs/>
                <w:color w:val="000000" w:themeColor="text1"/>
                <w:sz w:val="11"/>
                <w:szCs w:val="11"/>
              </w:rPr>
            </w:pPr>
            <w:r w:rsidRPr="00977E53">
              <w:rPr>
                <w:rFonts w:cs="Calibri"/>
                <w:i/>
                <w:iCs/>
                <w:color w:val="000000" w:themeColor="text1"/>
                <w:sz w:val="11"/>
                <w:szCs w:val="11"/>
              </w:rPr>
              <w:t>2 474 163</w:t>
            </w:r>
          </w:p>
        </w:tc>
      </w:tr>
      <w:tr w:rsidR="00977E53" w:rsidRPr="00977E53" w14:paraId="69E6E5D3" w14:textId="77777777" w:rsidTr="00294CBC">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3456F2D3" w14:textId="17AD868A"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Rezerwy</w:t>
            </w:r>
          </w:p>
        </w:tc>
        <w:tc>
          <w:tcPr>
            <w:tcW w:w="972" w:type="dxa"/>
            <w:tcBorders>
              <w:top w:val="nil"/>
              <w:left w:val="single" w:sz="8" w:space="0" w:color="0077BD"/>
              <w:bottom w:val="single" w:sz="4" w:space="0" w:color="0077BD"/>
              <w:right w:val="nil"/>
            </w:tcBorders>
            <w:shd w:val="clear" w:color="auto" w:fill="auto"/>
            <w:noWrap/>
            <w:vAlign w:val="center"/>
            <w:hideMark/>
          </w:tcPr>
          <w:p w14:paraId="06AE4C17" w14:textId="5B2E8ADC"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205 610</w:t>
            </w:r>
          </w:p>
        </w:tc>
        <w:tc>
          <w:tcPr>
            <w:tcW w:w="972" w:type="dxa"/>
            <w:tcBorders>
              <w:top w:val="nil"/>
              <w:left w:val="single" w:sz="8" w:space="0" w:color="0077BD"/>
              <w:bottom w:val="single" w:sz="4" w:space="0" w:color="0077BD"/>
              <w:right w:val="nil"/>
            </w:tcBorders>
            <w:shd w:val="clear" w:color="auto" w:fill="auto"/>
            <w:noWrap/>
            <w:vAlign w:val="center"/>
            <w:hideMark/>
          </w:tcPr>
          <w:p w14:paraId="67A9D41D" w14:textId="3155709C"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49 634</w:t>
            </w:r>
          </w:p>
        </w:tc>
        <w:tc>
          <w:tcPr>
            <w:tcW w:w="972" w:type="dxa"/>
            <w:tcBorders>
              <w:top w:val="nil"/>
              <w:left w:val="single" w:sz="8" w:space="0" w:color="0077BD"/>
              <w:bottom w:val="single" w:sz="4" w:space="0" w:color="0077BD"/>
              <w:right w:val="nil"/>
            </w:tcBorders>
            <w:shd w:val="clear" w:color="auto" w:fill="auto"/>
            <w:noWrap/>
            <w:vAlign w:val="center"/>
            <w:hideMark/>
          </w:tcPr>
          <w:p w14:paraId="793B3A7E" w14:textId="334687D4"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898</w:t>
            </w:r>
          </w:p>
        </w:tc>
        <w:tc>
          <w:tcPr>
            <w:tcW w:w="972" w:type="dxa"/>
            <w:tcBorders>
              <w:top w:val="nil"/>
              <w:left w:val="single" w:sz="8" w:space="0" w:color="0077BD"/>
              <w:bottom w:val="single" w:sz="4" w:space="0" w:color="0077BD"/>
              <w:right w:val="nil"/>
            </w:tcBorders>
            <w:shd w:val="clear" w:color="auto" w:fill="auto"/>
            <w:noWrap/>
            <w:vAlign w:val="center"/>
            <w:hideMark/>
          </w:tcPr>
          <w:p w14:paraId="703FEB6E" w14:textId="26D3A8E1"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320</w:t>
            </w:r>
          </w:p>
        </w:tc>
        <w:tc>
          <w:tcPr>
            <w:tcW w:w="972" w:type="dxa"/>
            <w:tcBorders>
              <w:top w:val="nil"/>
              <w:left w:val="single" w:sz="8" w:space="0" w:color="0077BD"/>
              <w:bottom w:val="single" w:sz="4" w:space="0" w:color="0077BD"/>
              <w:right w:val="nil"/>
            </w:tcBorders>
            <w:shd w:val="clear" w:color="auto" w:fill="auto"/>
            <w:noWrap/>
            <w:vAlign w:val="center"/>
            <w:hideMark/>
          </w:tcPr>
          <w:p w14:paraId="5F37DE4F" w14:textId="791013DC"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1 765</w:t>
            </w:r>
          </w:p>
        </w:tc>
        <w:tc>
          <w:tcPr>
            <w:tcW w:w="972" w:type="dxa"/>
            <w:tcBorders>
              <w:top w:val="nil"/>
              <w:left w:val="single" w:sz="8" w:space="0" w:color="0077BD"/>
              <w:bottom w:val="single" w:sz="4" w:space="0" w:color="0077BD"/>
              <w:right w:val="nil"/>
            </w:tcBorders>
            <w:shd w:val="clear" w:color="auto" w:fill="auto"/>
            <w:noWrap/>
            <w:vAlign w:val="center"/>
            <w:hideMark/>
          </w:tcPr>
          <w:p w14:paraId="7D586692" w14:textId="66C1BA5E"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56</w:t>
            </w:r>
          </w:p>
        </w:tc>
        <w:tc>
          <w:tcPr>
            <w:tcW w:w="972" w:type="dxa"/>
            <w:tcBorders>
              <w:top w:val="nil"/>
              <w:left w:val="single" w:sz="8" w:space="0" w:color="0077BD"/>
              <w:bottom w:val="single" w:sz="4" w:space="0" w:color="0077BD"/>
              <w:right w:val="nil"/>
            </w:tcBorders>
            <w:shd w:val="clear" w:color="auto" w:fill="auto"/>
            <w:noWrap/>
            <w:vAlign w:val="center"/>
            <w:hideMark/>
          </w:tcPr>
          <w:p w14:paraId="4363E221" w14:textId="6FA30468"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258 283</w:t>
            </w:r>
          </w:p>
        </w:tc>
      </w:tr>
      <w:tr w:rsidR="00977E53" w:rsidRPr="00977E53" w14:paraId="0B38C2EC" w14:textId="77777777" w:rsidTr="00294CBC">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5A0BC7B0" w14:textId="16D6D0DB"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Bieżące zobowiązanie z tytułu podatku dochodowego</w:t>
            </w:r>
          </w:p>
        </w:tc>
        <w:tc>
          <w:tcPr>
            <w:tcW w:w="972" w:type="dxa"/>
            <w:tcBorders>
              <w:top w:val="nil"/>
              <w:left w:val="single" w:sz="8" w:space="0" w:color="0077BD"/>
              <w:bottom w:val="single" w:sz="4" w:space="0" w:color="0077BD"/>
              <w:right w:val="nil"/>
            </w:tcBorders>
            <w:shd w:val="clear" w:color="auto" w:fill="auto"/>
            <w:noWrap/>
            <w:vAlign w:val="center"/>
            <w:hideMark/>
          </w:tcPr>
          <w:p w14:paraId="10F88455" w14:textId="2B384D4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338 122</w:t>
            </w:r>
          </w:p>
        </w:tc>
        <w:tc>
          <w:tcPr>
            <w:tcW w:w="972" w:type="dxa"/>
            <w:tcBorders>
              <w:top w:val="nil"/>
              <w:left w:val="single" w:sz="8" w:space="0" w:color="0077BD"/>
              <w:bottom w:val="single" w:sz="4" w:space="0" w:color="0077BD"/>
              <w:right w:val="nil"/>
            </w:tcBorders>
            <w:shd w:val="clear" w:color="auto" w:fill="auto"/>
            <w:noWrap/>
            <w:vAlign w:val="center"/>
            <w:hideMark/>
          </w:tcPr>
          <w:p w14:paraId="28F958BE" w14:textId="37224786"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0CE3CC8" w14:textId="69A92188"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2FE6A46" w14:textId="596B5F8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753FB9F2" w14:textId="3DB20736"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14 840</w:t>
            </w:r>
          </w:p>
        </w:tc>
        <w:tc>
          <w:tcPr>
            <w:tcW w:w="972" w:type="dxa"/>
            <w:tcBorders>
              <w:top w:val="nil"/>
              <w:left w:val="single" w:sz="8" w:space="0" w:color="0077BD"/>
              <w:bottom w:val="single" w:sz="4" w:space="0" w:color="0077BD"/>
              <w:right w:val="nil"/>
            </w:tcBorders>
            <w:shd w:val="clear" w:color="auto" w:fill="auto"/>
            <w:noWrap/>
            <w:vAlign w:val="center"/>
            <w:hideMark/>
          </w:tcPr>
          <w:p w14:paraId="28CD7F4C" w14:textId="2344EAC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6E995402" w14:textId="7377485F"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352 962</w:t>
            </w:r>
          </w:p>
        </w:tc>
      </w:tr>
      <w:tr w:rsidR="00977E53" w:rsidRPr="00977E53" w14:paraId="5E154BFC" w14:textId="77777777" w:rsidTr="00294CBC">
        <w:trPr>
          <w:trHeight w:val="340"/>
        </w:trPr>
        <w:tc>
          <w:tcPr>
            <w:tcW w:w="2835" w:type="dxa"/>
            <w:tcBorders>
              <w:top w:val="nil"/>
              <w:left w:val="nil"/>
              <w:bottom w:val="single" w:sz="4" w:space="0" w:color="0077BD"/>
              <w:right w:val="single" w:sz="8" w:space="0" w:color="0077BD"/>
            </w:tcBorders>
            <w:shd w:val="clear" w:color="auto" w:fill="auto"/>
            <w:vAlign w:val="center"/>
            <w:hideMark/>
          </w:tcPr>
          <w:p w14:paraId="1B9A8452" w14:textId="75B96778"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Rezerwa z tytułu odroczonego podatku dochodowego</w:t>
            </w:r>
          </w:p>
        </w:tc>
        <w:tc>
          <w:tcPr>
            <w:tcW w:w="972" w:type="dxa"/>
            <w:tcBorders>
              <w:top w:val="nil"/>
              <w:left w:val="single" w:sz="8" w:space="0" w:color="0077BD"/>
              <w:bottom w:val="single" w:sz="4" w:space="0" w:color="0077BD"/>
              <w:right w:val="nil"/>
            </w:tcBorders>
            <w:shd w:val="clear" w:color="auto" w:fill="auto"/>
            <w:noWrap/>
            <w:vAlign w:val="center"/>
            <w:hideMark/>
          </w:tcPr>
          <w:p w14:paraId="11D2F431" w14:textId="6CEA7313"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64EEAA54" w14:textId="2EE2019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83</w:t>
            </w:r>
          </w:p>
        </w:tc>
        <w:tc>
          <w:tcPr>
            <w:tcW w:w="972" w:type="dxa"/>
            <w:tcBorders>
              <w:top w:val="nil"/>
              <w:left w:val="single" w:sz="8" w:space="0" w:color="0077BD"/>
              <w:bottom w:val="single" w:sz="4" w:space="0" w:color="0077BD"/>
              <w:right w:val="nil"/>
            </w:tcBorders>
            <w:shd w:val="clear" w:color="auto" w:fill="auto"/>
            <w:noWrap/>
            <w:vAlign w:val="center"/>
            <w:hideMark/>
          </w:tcPr>
          <w:p w14:paraId="33095100" w14:textId="7BDEEB6C"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77549D7" w14:textId="75006761"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399E729B" w14:textId="0ACDDBE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0E9F7250" w14:textId="35A33583"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w:t>
            </w:r>
          </w:p>
        </w:tc>
        <w:tc>
          <w:tcPr>
            <w:tcW w:w="972" w:type="dxa"/>
            <w:tcBorders>
              <w:top w:val="nil"/>
              <w:left w:val="single" w:sz="8" w:space="0" w:color="0077BD"/>
              <w:bottom w:val="single" w:sz="4" w:space="0" w:color="0077BD"/>
              <w:right w:val="nil"/>
            </w:tcBorders>
            <w:shd w:val="clear" w:color="auto" w:fill="auto"/>
            <w:noWrap/>
            <w:vAlign w:val="center"/>
            <w:hideMark/>
          </w:tcPr>
          <w:p w14:paraId="15F11DEA" w14:textId="6ED0755D"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83</w:t>
            </w:r>
          </w:p>
        </w:tc>
      </w:tr>
      <w:tr w:rsidR="00977E53" w:rsidRPr="00977E53" w14:paraId="7FC390DE" w14:textId="77777777" w:rsidTr="00510857">
        <w:trPr>
          <w:trHeight w:val="227"/>
        </w:trPr>
        <w:tc>
          <w:tcPr>
            <w:tcW w:w="2835" w:type="dxa"/>
            <w:tcBorders>
              <w:top w:val="nil"/>
              <w:left w:val="nil"/>
              <w:bottom w:val="single" w:sz="4" w:space="0" w:color="0077BD"/>
              <w:right w:val="single" w:sz="8" w:space="0" w:color="0077BD"/>
            </w:tcBorders>
            <w:shd w:val="clear" w:color="auto" w:fill="auto"/>
            <w:vAlign w:val="center"/>
            <w:hideMark/>
          </w:tcPr>
          <w:p w14:paraId="7210E24D" w14:textId="358B0608"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Inne zobowiązania</w:t>
            </w:r>
          </w:p>
        </w:tc>
        <w:tc>
          <w:tcPr>
            <w:tcW w:w="972" w:type="dxa"/>
            <w:tcBorders>
              <w:top w:val="nil"/>
              <w:left w:val="single" w:sz="8" w:space="0" w:color="0077BD"/>
              <w:bottom w:val="single" w:sz="4" w:space="0" w:color="0077BD"/>
              <w:right w:val="nil"/>
            </w:tcBorders>
            <w:shd w:val="clear" w:color="auto" w:fill="auto"/>
            <w:noWrap/>
            <w:vAlign w:val="center"/>
            <w:hideMark/>
          </w:tcPr>
          <w:p w14:paraId="0CC6A96C" w14:textId="234F3098"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2 958 775</w:t>
            </w:r>
          </w:p>
        </w:tc>
        <w:tc>
          <w:tcPr>
            <w:tcW w:w="972" w:type="dxa"/>
            <w:tcBorders>
              <w:top w:val="nil"/>
              <w:left w:val="single" w:sz="8" w:space="0" w:color="0077BD"/>
              <w:bottom w:val="single" w:sz="4" w:space="0" w:color="0077BD"/>
              <w:right w:val="nil"/>
            </w:tcBorders>
            <w:shd w:val="clear" w:color="auto" w:fill="auto"/>
            <w:noWrap/>
            <w:vAlign w:val="center"/>
            <w:hideMark/>
          </w:tcPr>
          <w:p w14:paraId="3C5E5B0B" w14:textId="3A92A289"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180 467</w:t>
            </w:r>
          </w:p>
        </w:tc>
        <w:tc>
          <w:tcPr>
            <w:tcW w:w="972" w:type="dxa"/>
            <w:tcBorders>
              <w:top w:val="nil"/>
              <w:left w:val="single" w:sz="8" w:space="0" w:color="0077BD"/>
              <w:bottom w:val="single" w:sz="4" w:space="0" w:color="0077BD"/>
              <w:right w:val="nil"/>
            </w:tcBorders>
            <w:shd w:val="clear" w:color="auto" w:fill="auto"/>
            <w:noWrap/>
            <w:vAlign w:val="center"/>
            <w:hideMark/>
          </w:tcPr>
          <w:p w14:paraId="0AD7816D" w14:textId="06548DA2"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135 076</w:t>
            </w:r>
          </w:p>
        </w:tc>
        <w:tc>
          <w:tcPr>
            <w:tcW w:w="972" w:type="dxa"/>
            <w:tcBorders>
              <w:top w:val="nil"/>
              <w:left w:val="single" w:sz="8" w:space="0" w:color="0077BD"/>
              <w:bottom w:val="single" w:sz="4" w:space="0" w:color="0077BD"/>
              <w:right w:val="nil"/>
            </w:tcBorders>
            <w:shd w:val="clear" w:color="auto" w:fill="auto"/>
            <w:noWrap/>
            <w:vAlign w:val="center"/>
            <w:hideMark/>
          </w:tcPr>
          <w:p w14:paraId="088CF091" w14:textId="0D3C8263"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3 998</w:t>
            </w:r>
          </w:p>
        </w:tc>
        <w:tc>
          <w:tcPr>
            <w:tcW w:w="972" w:type="dxa"/>
            <w:tcBorders>
              <w:top w:val="nil"/>
              <w:left w:val="single" w:sz="8" w:space="0" w:color="0077BD"/>
              <w:bottom w:val="single" w:sz="4" w:space="0" w:color="0077BD"/>
              <w:right w:val="nil"/>
            </w:tcBorders>
            <w:shd w:val="clear" w:color="auto" w:fill="auto"/>
            <w:noWrap/>
            <w:vAlign w:val="center"/>
            <w:hideMark/>
          </w:tcPr>
          <w:p w14:paraId="21F5A679" w14:textId="1AFBC030"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80 972</w:t>
            </w:r>
          </w:p>
        </w:tc>
        <w:tc>
          <w:tcPr>
            <w:tcW w:w="972" w:type="dxa"/>
            <w:tcBorders>
              <w:top w:val="nil"/>
              <w:left w:val="single" w:sz="8" w:space="0" w:color="0077BD"/>
              <w:bottom w:val="single" w:sz="4" w:space="0" w:color="0077BD"/>
              <w:right w:val="nil"/>
            </w:tcBorders>
            <w:shd w:val="clear" w:color="auto" w:fill="auto"/>
            <w:noWrap/>
            <w:vAlign w:val="center"/>
            <w:hideMark/>
          </w:tcPr>
          <w:p w14:paraId="6800217C" w14:textId="342F59B6"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15 984</w:t>
            </w:r>
          </w:p>
        </w:tc>
        <w:tc>
          <w:tcPr>
            <w:tcW w:w="972" w:type="dxa"/>
            <w:tcBorders>
              <w:top w:val="nil"/>
              <w:left w:val="single" w:sz="8" w:space="0" w:color="0077BD"/>
              <w:bottom w:val="single" w:sz="4" w:space="0" w:color="0077BD"/>
              <w:right w:val="nil"/>
            </w:tcBorders>
            <w:shd w:val="clear" w:color="auto" w:fill="auto"/>
            <w:noWrap/>
            <w:vAlign w:val="center"/>
            <w:hideMark/>
          </w:tcPr>
          <w:p w14:paraId="68116E5B" w14:textId="41D37197" w:rsidR="00510857" w:rsidRPr="00977E53" w:rsidRDefault="00510857" w:rsidP="00510857">
            <w:pPr>
              <w:jc w:val="right"/>
              <w:rPr>
                <w:rFonts w:cs="Calibri"/>
                <w:color w:val="000000" w:themeColor="text1"/>
                <w:sz w:val="11"/>
                <w:szCs w:val="11"/>
              </w:rPr>
            </w:pPr>
            <w:r w:rsidRPr="00977E53">
              <w:rPr>
                <w:rFonts w:cs="Calibri"/>
                <w:color w:val="000000" w:themeColor="text1"/>
                <w:sz w:val="11"/>
                <w:szCs w:val="11"/>
              </w:rPr>
              <w:t>3 375 272</w:t>
            </w:r>
          </w:p>
        </w:tc>
      </w:tr>
      <w:tr w:rsidR="00977E53" w:rsidRPr="00977E53" w14:paraId="1D835CCE" w14:textId="77777777" w:rsidTr="00510857">
        <w:trPr>
          <w:trHeight w:val="227"/>
        </w:trPr>
        <w:tc>
          <w:tcPr>
            <w:tcW w:w="2835" w:type="dxa"/>
            <w:tcBorders>
              <w:top w:val="single" w:sz="8" w:space="0" w:color="0077BD"/>
              <w:left w:val="nil"/>
              <w:bottom w:val="single" w:sz="8" w:space="0" w:color="0077BD"/>
              <w:right w:val="single" w:sz="8" w:space="0" w:color="0077BD"/>
            </w:tcBorders>
            <w:shd w:val="clear" w:color="auto" w:fill="auto"/>
            <w:vAlign w:val="center"/>
            <w:hideMark/>
          </w:tcPr>
          <w:p w14:paraId="0C997F80" w14:textId="2C3727D8"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ZOBOWIĄZANIA RAZEM</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77BD05DF" w14:textId="53FF04AE"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86 374 870</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9973AF1" w14:textId="75413960"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29 062 369</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9BCFE01" w14:textId="3F22B580"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3 582 277</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526926A8" w14:textId="7482F820"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3 783 877</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26FCE103" w14:textId="49F6DF13"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7 295 883</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4E50EBBB" w14:textId="79E3B5A6"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510 075</w:t>
            </w:r>
          </w:p>
        </w:tc>
        <w:tc>
          <w:tcPr>
            <w:tcW w:w="972" w:type="dxa"/>
            <w:tcBorders>
              <w:top w:val="single" w:sz="8" w:space="0" w:color="0077BD"/>
              <w:left w:val="single" w:sz="8" w:space="0" w:color="0077BD"/>
              <w:bottom w:val="single" w:sz="8" w:space="0" w:color="0077BD"/>
              <w:right w:val="nil"/>
            </w:tcBorders>
            <w:shd w:val="clear" w:color="auto" w:fill="auto"/>
            <w:noWrap/>
            <w:vAlign w:val="center"/>
            <w:hideMark/>
          </w:tcPr>
          <w:p w14:paraId="11705541" w14:textId="740B18B2"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130 609 351</w:t>
            </w:r>
          </w:p>
        </w:tc>
      </w:tr>
      <w:tr w:rsidR="00977E53" w:rsidRPr="00977E53" w14:paraId="4F0229D6" w14:textId="77777777" w:rsidTr="001F6A2D">
        <w:trPr>
          <w:trHeight w:val="38"/>
        </w:trPr>
        <w:tc>
          <w:tcPr>
            <w:tcW w:w="2835" w:type="dxa"/>
            <w:tcBorders>
              <w:top w:val="nil"/>
              <w:left w:val="nil"/>
              <w:bottom w:val="nil"/>
              <w:right w:val="nil"/>
            </w:tcBorders>
            <w:shd w:val="clear" w:color="auto" w:fill="auto"/>
            <w:vAlign w:val="center"/>
          </w:tcPr>
          <w:p w14:paraId="538C1B88" w14:textId="77777777" w:rsidR="00510857" w:rsidRPr="00842482" w:rsidRDefault="00510857" w:rsidP="00510857">
            <w:pPr>
              <w:jc w:val="right"/>
              <w:rPr>
                <w:rFonts w:cs="Calibri"/>
                <w:b/>
                <w:bCs/>
                <w:color w:val="000000" w:themeColor="text1"/>
                <w:sz w:val="11"/>
                <w:szCs w:val="11"/>
              </w:rPr>
            </w:pPr>
          </w:p>
        </w:tc>
        <w:tc>
          <w:tcPr>
            <w:tcW w:w="972" w:type="dxa"/>
            <w:tcBorders>
              <w:top w:val="nil"/>
              <w:left w:val="nil"/>
              <w:bottom w:val="nil"/>
              <w:right w:val="nil"/>
            </w:tcBorders>
            <w:shd w:val="clear" w:color="auto" w:fill="auto"/>
            <w:noWrap/>
            <w:vAlign w:val="center"/>
          </w:tcPr>
          <w:p w14:paraId="4109224C" w14:textId="77777777" w:rsidR="00510857" w:rsidRPr="00977E53" w:rsidRDefault="00510857" w:rsidP="00510857">
            <w:pPr>
              <w:rPr>
                <w:color w:val="000000" w:themeColor="text1"/>
                <w:sz w:val="11"/>
                <w:szCs w:val="11"/>
              </w:rPr>
            </w:pPr>
          </w:p>
        </w:tc>
        <w:tc>
          <w:tcPr>
            <w:tcW w:w="972" w:type="dxa"/>
            <w:tcBorders>
              <w:top w:val="nil"/>
              <w:left w:val="nil"/>
              <w:bottom w:val="nil"/>
              <w:right w:val="nil"/>
            </w:tcBorders>
            <w:shd w:val="clear" w:color="auto" w:fill="auto"/>
            <w:noWrap/>
            <w:vAlign w:val="center"/>
          </w:tcPr>
          <w:p w14:paraId="16759B0C" w14:textId="77777777" w:rsidR="00510857" w:rsidRPr="00977E53" w:rsidRDefault="00510857" w:rsidP="00510857">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38C9E23E" w14:textId="77777777" w:rsidR="00510857" w:rsidRPr="00977E53" w:rsidRDefault="00510857" w:rsidP="00510857">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33F937EB" w14:textId="77777777" w:rsidR="00510857" w:rsidRPr="00977E53" w:rsidRDefault="00510857" w:rsidP="00510857">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7AE31293" w14:textId="77777777" w:rsidR="00510857" w:rsidRPr="00977E53" w:rsidRDefault="00510857" w:rsidP="00510857">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744C9A4B" w14:textId="77777777" w:rsidR="00510857" w:rsidRPr="00977E53" w:rsidRDefault="00510857" w:rsidP="00510857">
            <w:pPr>
              <w:jc w:val="right"/>
              <w:rPr>
                <w:color w:val="000000" w:themeColor="text1"/>
                <w:sz w:val="11"/>
                <w:szCs w:val="11"/>
              </w:rPr>
            </w:pPr>
          </w:p>
        </w:tc>
        <w:tc>
          <w:tcPr>
            <w:tcW w:w="972" w:type="dxa"/>
            <w:tcBorders>
              <w:top w:val="nil"/>
              <w:left w:val="nil"/>
              <w:bottom w:val="nil"/>
              <w:right w:val="nil"/>
            </w:tcBorders>
            <w:shd w:val="clear" w:color="auto" w:fill="auto"/>
            <w:noWrap/>
            <w:vAlign w:val="center"/>
          </w:tcPr>
          <w:p w14:paraId="39C82A0E" w14:textId="77777777" w:rsidR="00510857" w:rsidRPr="00977E53" w:rsidRDefault="00510857" w:rsidP="00510857">
            <w:pPr>
              <w:jc w:val="right"/>
              <w:rPr>
                <w:color w:val="000000" w:themeColor="text1"/>
                <w:sz w:val="11"/>
                <w:szCs w:val="11"/>
              </w:rPr>
            </w:pPr>
          </w:p>
        </w:tc>
      </w:tr>
      <w:tr w:rsidR="00977E53" w:rsidRPr="00977E53" w14:paraId="0BAF3FA7" w14:textId="77777777" w:rsidTr="00510857">
        <w:trPr>
          <w:trHeight w:val="227"/>
        </w:trPr>
        <w:tc>
          <w:tcPr>
            <w:tcW w:w="2835" w:type="dxa"/>
            <w:tcBorders>
              <w:top w:val="single" w:sz="8" w:space="0" w:color="0070C0"/>
              <w:left w:val="nil"/>
              <w:bottom w:val="single" w:sz="8" w:space="0" w:color="0070C0"/>
              <w:right w:val="single" w:sz="8" w:space="0" w:color="0070C0"/>
            </w:tcBorders>
            <w:shd w:val="clear" w:color="auto" w:fill="auto"/>
            <w:vAlign w:val="center"/>
            <w:hideMark/>
          </w:tcPr>
          <w:p w14:paraId="210BCCE9" w14:textId="77777777" w:rsidR="00510857" w:rsidRPr="00842482" w:rsidRDefault="00510857" w:rsidP="00510857">
            <w:pPr>
              <w:rPr>
                <w:rFonts w:cs="Calibri"/>
                <w:b/>
                <w:bCs/>
                <w:color w:val="000000" w:themeColor="text1"/>
                <w:sz w:val="11"/>
                <w:szCs w:val="11"/>
              </w:rPr>
            </w:pPr>
            <w:r w:rsidRPr="00842482">
              <w:rPr>
                <w:rFonts w:cs="Calibri"/>
                <w:b/>
                <w:bCs/>
                <w:color w:val="000000" w:themeColor="text1"/>
                <w:sz w:val="11"/>
                <w:szCs w:val="11"/>
              </w:rPr>
              <w:t>Pozycja bilansowa netto</w:t>
            </w:r>
          </w:p>
        </w:tc>
        <w:tc>
          <w:tcPr>
            <w:tcW w:w="97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5CC0DC23" w14:textId="0FD59E43"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17 904 034</w:t>
            </w:r>
          </w:p>
        </w:tc>
        <w:tc>
          <w:tcPr>
            <w:tcW w:w="972" w:type="dxa"/>
            <w:tcBorders>
              <w:top w:val="single" w:sz="8" w:space="0" w:color="0070C0"/>
              <w:left w:val="nil"/>
              <w:bottom w:val="single" w:sz="8" w:space="0" w:color="0070C0"/>
              <w:right w:val="single" w:sz="8" w:space="0" w:color="0070C0"/>
            </w:tcBorders>
            <w:shd w:val="clear" w:color="auto" w:fill="auto"/>
            <w:noWrap/>
            <w:vAlign w:val="center"/>
            <w:hideMark/>
          </w:tcPr>
          <w:p w14:paraId="6DCA0E38" w14:textId="57A288B1"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(11 118 069)</w:t>
            </w:r>
          </w:p>
        </w:tc>
        <w:tc>
          <w:tcPr>
            <w:tcW w:w="972" w:type="dxa"/>
            <w:tcBorders>
              <w:top w:val="single" w:sz="8" w:space="0" w:color="0070C0"/>
              <w:left w:val="nil"/>
              <w:bottom w:val="single" w:sz="8" w:space="0" w:color="0070C0"/>
              <w:right w:val="single" w:sz="8" w:space="0" w:color="0070C0"/>
            </w:tcBorders>
            <w:shd w:val="clear" w:color="auto" w:fill="auto"/>
            <w:noWrap/>
            <w:vAlign w:val="center"/>
            <w:hideMark/>
          </w:tcPr>
          <w:p w14:paraId="7B905C92" w14:textId="19A71095"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(1 775 197)</w:t>
            </w:r>
          </w:p>
        </w:tc>
        <w:tc>
          <w:tcPr>
            <w:tcW w:w="972" w:type="dxa"/>
            <w:tcBorders>
              <w:top w:val="single" w:sz="8" w:space="0" w:color="0070C0"/>
              <w:left w:val="nil"/>
              <w:bottom w:val="single" w:sz="8" w:space="0" w:color="0070C0"/>
              <w:right w:val="single" w:sz="8" w:space="0" w:color="0070C0"/>
            </w:tcBorders>
            <w:shd w:val="clear" w:color="auto" w:fill="auto"/>
            <w:noWrap/>
            <w:vAlign w:val="center"/>
            <w:hideMark/>
          </w:tcPr>
          <w:p w14:paraId="6C3C5256" w14:textId="188F1CB2"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11 071 824</w:t>
            </w:r>
          </w:p>
        </w:tc>
        <w:tc>
          <w:tcPr>
            <w:tcW w:w="972" w:type="dxa"/>
            <w:tcBorders>
              <w:top w:val="single" w:sz="8" w:space="0" w:color="0070C0"/>
              <w:left w:val="nil"/>
              <w:bottom w:val="single" w:sz="8" w:space="0" w:color="0070C0"/>
              <w:right w:val="single" w:sz="8" w:space="0" w:color="0070C0"/>
            </w:tcBorders>
            <w:shd w:val="clear" w:color="auto" w:fill="auto"/>
            <w:noWrap/>
            <w:vAlign w:val="center"/>
            <w:hideMark/>
          </w:tcPr>
          <w:p w14:paraId="612F8C79" w14:textId="23DCFBEF"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(562 274)</w:t>
            </w:r>
          </w:p>
        </w:tc>
        <w:tc>
          <w:tcPr>
            <w:tcW w:w="972" w:type="dxa"/>
            <w:tcBorders>
              <w:top w:val="single" w:sz="8" w:space="0" w:color="0070C0"/>
              <w:left w:val="nil"/>
              <w:bottom w:val="single" w:sz="8" w:space="0" w:color="0070C0"/>
              <w:right w:val="single" w:sz="8" w:space="0" w:color="0070C0"/>
            </w:tcBorders>
            <w:shd w:val="clear" w:color="auto" w:fill="auto"/>
            <w:noWrap/>
            <w:vAlign w:val="center"/>
            <w:hideMark/>
          </w:tcPr>
          <w:p w14:paraId="782CF910" w14:textId="45A9D9E8"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(349 111)</w:t>
            </w:r>
          </w:p>
        </w:tc>
        <w:tc>
          <w:tcPr>
            <w:tcW w:w="972" w:type="dxa"/>
            <w:tcBorders>
              <w:top w:val="single" w:sz="8" w:space="0" w:color="0070C0"/>
              <w:left w:val="nil"/>
              <w:bottom w:val="single" w:sz="8" w:space="0" w:color="0070C0"/>
              <w:right w:val="nil"/>
            </w:tcBorders>
            <w:shd w:val="clear" w:color="auto" w:fill="auto"/>
            <w:noWrap/>
            <w:vAlign w:val="center"/>
            <w:hideMark/>
          </w:tcPr>
          <w:p w14:paraId="705BC55C" w14:textId="0C4273DA" w:rsidR="00510857" w:rsidRPr="00977E53" w:rsidRDefault="00510857" w:rsidP="00510857">
            <w:pPr>
              <w:jc w:val="right"/>
              <w:rPr>
                <w:rFonts w:cs="Calibri"/>
                <w:b/>
                <w:bCs/>
                <w:color w:val="000000" w:themeColor="text1"/>
                <w:sz w:val="11"/>
                <w:szCs w:val="11"/>
              </w:rPr>
            </w:pPr>
            <w:r w:rsidRPr="00977E53">
              <w:rPr>
                <w:rFonts w:cs="Calibri"/>
                <w:b/>
                <w:bCs/>
                <w:color w:val="000000" w:themeColor="text1"/>
                <w:sz w:val="11"/>
                <w:szCs w:val="11"/>
              </w:rPr>
              <w:t>15 171 207</w:t>
            </w:r>
          </w:p>
        </w:tc>
      </w:tr>
      <w:tr w:rsidR="00977E53" w:rsidRPr="005D2A56" w14:paraId="28B1EF74" w14:textId="77777777" w:rsidTr="005D2A56">
        <w:trPr>
          <w:trHeight w:val="397"/>
        </w:trPr>
        <w:tc>
          <w:tcPr>
            <w:tcW w:w="2835" w:type="dxa"/>
            <w:tcBorders>
              <w:top w:val="single" w:sz="4" w:space="0" w:color="0077BD"/>
              <w:left w:val="nil"/>
              <w:bottom w:val="single" w:sz="4" w:space="0" w:color="0077BD"/>
              <w:right w:val="single" w:sz="8" w:space="0" w:color="0077BD"/>
            </w:tcBorders>
            <w:shd w:val="clear" w:color="auto" w:fill="auto"/>
            <w:vAlign w:val="center"/>
            <w:hideMark/>
          </w:tcPr>
          <w:p w14:paraId="5D29AC6D" w14:textId="77777777" w:rsidR="008318EE" w:rsidRPr="005D2A56" w:rsidRDefault="008318EE" w:rsidP="009E1F91">
            <w:pPr>
              <w:rPr>
                <w:rFonts w:cs="Calibri"/>
                <w:bCs/>
                <w:color w:val="000000" w:themeColor="text1"/>
                <w:sz w:val="11"/>
                <w:szCs w:val="11"/>
              </w:rPr>
            </w:pPr>
            <w:r w:rsidRPr="005D2A56">
              <w:rPr>
                <w:rFonts w:cs="Calibri"/>
                <w:bCs/>
                <w:color w:val="000000" w:themeColor="text1"/>
                <w:sz w:val="11"/>
                <w:szCs w:val="11"/>
              </w:rPr>
              <w:t>Zobowiązania do udzielenia kredytów oraz pozostałe udzielone zobowiązania finansowe</w:t>
            </w:r>
          </w:p>
        </w:tc>
        <w:tc>
          <w:tcPr>
            <w:tcW w:w="972" w:type="dxa"/>
            <w:tcBorders>
              <w:top w:val="single" w:sz="4" w:space="0" w:color="0077BD"/>
              <w:left w:val="nil"/>
              <w:bottom w:val="single" w:sz="4" w:space="0" w:color="0077BD"/>
              <w:right w:val="nil"/>
            </w:tcBorders>
            <w:shd w:val="clear" w:color="auto" w:fill="auto"/>
            <w:noWrap/>
            <w:vAlign w:val="center"/>
            <w:hideMark/>
          </w:tcPr>
          <w:p w14:paraId="22C8CBBC"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24 573 772</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0C3CA1A0"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2 350 470</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0D111EB1"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415 703</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64D31C2E"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11ECED2D"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521 964</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4953905E"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2 483</w:t>
            </w:r>
          </w:p>
        </w:tc>
        <w:tc>
          <w:tcPr>
            <w:tcW w:w="972" w:type="dxa"/>
            <w:tcBorders>
              <w:top w:val="single" w:sz="4" w:space="0" w:color="0077BD"/>
              <w:left w:val="single" w:sz="8" w:space="0" w:color="0077BD"/>
              <w:bottom w:val="single" w:sz="4" w:space="0" w:color="0077BD"/>
              <w:right w:val="nil"/>
            </w:tcBorders>
            <w:shd w:val="clear" w:color="auto" w:fill="auto"/>
            <w:noWrap/>
            <w:vAlign w:val="center"/>
            <w:hideMark/>
          </w:tcPr>
          <w:p w14:paraId="25D648C2" w14:textId="77777777" w:rsidR="008318EE" w:rsidRPr="005D2A56" w:rsidRDefault="008318EE" w:rsidP="009E1F91">
            <w:pPr>
              <w:jc w:val="right"/>
              <w:rPr>
                <w:rFonts w:cs="Calibri"/>
                <w:color w:val="000000" w:themeColor="text1"/>
                <w:sz w:val="11"/>
                <w:szCs w:val="11"/>
              </w:rPr>
            </w:pPr>
            <w:r w:rsidRPr="005D2A56">
              <w:rPr>
                <w:rFonts w:cs="Calibri"/>
                <w:color w:val="000000" w:themeColor="text1"/>
                <w:sz w:val="11"/>
                <w:szCs w:val="11"/>
              </w:rPr>
              <w:t>27 864 392</w:t>
            </w:r>
          </w:p>
        </w:tc>
      </w:tr>
      <w:tr w:rsidR="00977E53" w:rsidRPr="005D2A56" w14:paraId="0A9135B2" w14:textId="77777777" w:rsidTr="005D2A56">
        <w:trPr>
          <w:trHeight w:val="227"/>
        </w:trPr>
        <w:tc>
          <w:tcPr>
            <w:tcW w:w="2835" w:type="dxa"/>
            <w:tcBorders>
              <w:top w:val="single" w:sz="4" w:space="0" w:color="0077BD"/>
              <w:left w:val="nil"/>
              <w:bottom w:val="single" w:sz="8" w:space="0" w:color="0070C0"/>
              <w:right w:val="single" w:sz="8" w:space="0" w:color="0070C0"/>
            </w:tcBorders>
            <w:shd w:val="clear" w:color="auto" w:fill="auto"/>
            <w:vAlign w:val="center"/>
            <w:hideMark/>
          </w:tcPr>
          <w:p w14:paraId="4D3BF8BA" w14:textId="77777777" w:rsidR="008318EE" w:rsidRPr="005D2A56" w:rsidRDefault="008318EE" w:rsidP="009E1F91">
            <w:pPr>
              <w:rPr>
                <w:rFonts w:cs="Calibri"/>
                <w:bCs/>
                <w:color w:val="000000" w:themeColor="text1"/>
                <w:sz w:val="11"/>
                <w:szCs w:val="11"/>
              </w:rPr>
            </w:pPr>
            <w:r w:rsidRPr="005D2A56">
              <w:rPr>
                <w:rFonts w:cs="Calibri"/>
                <w:bCs/>
                <w:color w:val="000000" w:themeColor="text1"/>
                <w:sz w:val="11"/>
                <w:szCs w:val="11"/>
              </w:rPr>
              <w:t>Gwarancje, akcepty bankowe i akredytywy</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10C1CB45"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6 374 884</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759FC56B"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1 371 605</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0D659249"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763 694</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0CA9AA1A"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63EF6808"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5 472</w:t>
            </w:r>
          </w:p>
        </w:tc>
        <w:tc>
          <w:tcPr>
            <w:tcW w:w="972" w:type="dxa"/>
            <w:tcBorders>
              <w:top w:val="single" w:sz="4" w:space="0" w:color="0077BD"/>
              <w:left w:val="nil"/>
              <w:bottom w:val="single" w:sz="8" w:space="0" w:color="0070C0"/>
              <w:right w:val="single" w:sz="8" w:space="0" w:color="0070C0"/>
            </w:tcBorders>
            <w:shd w:val="clear" w:color="auto" w:fill="auto"/>
            <w:noWrap/>
            <w:vAlign w:val="center"/>
            <w:hideMark/>
          </w:tcPr>
          <w:p w14:paraId="7276EAC5"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25 778</w:t>
            </w:r>
          </w:p>
        </w:tc>
        <w:tc>
          <w:tcPr>
            <w:tcW w:w="972" w:type="dxa"/>
            <w:tcBorders>
              <w:top w:val="single" w:sz="4" w:space="0" w:color="0077BD"/>
              <w:left w:val="single" w:sz="8" w:space="0" w:color="0077BD"/>
              <w:bottom w:val="single" w:sz="8" w:space="0" w:color="0077BD"/>
              <w:right w:val="nil"/>
            </w:tcBorders>
            <w:shd w:val="clear" w:color="auto" w:fill="auto"/>
            <w:noWrap/>
            <w:vAlign w:val="center"/>
            <w:hideMark/>
          </w:tcPr>
          <w:p w14:paraId="57198F09" w14:textId="77777777" w:rsidR="008318EE" w:rsidRPr="005D2A56" w:rsidRDefault="008318EE" w:rsidP="009E1F91">
            <w:pPr>
              <w:jc w:val="right"/>
              <w:rPr>
                <w:rFonts w:cs="Calibri"/>
                <w:bCs/>
                <w:color w:val="000000" w:themeColor="text1"/>
                <w:sz w:val="11"/>
                <w:szCs w:val="11"/>
              </w:rPr>
            </w:pPr>
            <w:r w:rsidRPr="005D2A56">
              <w:rPr>
                <w:rFonts w:cs="Calibri"/>
                <w:bCs/>
                <w:color w:val="000000" w:themeColor="text1"/>
                <w:sz w:val="11"/>
                <w:szCs w:val="11"/>
              </w:rPr>
              <w:t>8 541 433</w:t>
            </w:r>
          </w:p>
        </w:tc>
      </w:tr>
    </w:tbl>
    <w:p w14:paraId="7BF88AE7" w14:textId="1E8C6DD1" w:rsidR="00675807" w:rsidRDefault="00675807" w:rsidP="00A82A04">
      <w:pPr>
        <w:autoSpaceDE w:val="0"/>
        <w:autoSpaceDN w:val="0"/>
        <w:adjustRightInd w:val="0"/>
        <w:jc w:val="both"/>
        <w:rPr>
          <w:rFonts w:eastAsia="Calibri" w:cs="Verdana"/>
          <w:sz w:val="18"/>
          <w:szCs w:val="18"/>
          <w:lang w:eastAsia="en-US"/>
        </w:rPr>
      </w:pPr>
    </w:p>
    <w:p w14:paraId="5919CFCA" w14:textId="77777777" w:rsidR="00675807" w:rsidRPr="00627B93" w:rsidRDefault="00675807"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2"/>
        <w:rPr>
          <w:b/>
          <w:color w:val="E41E0A"/>
          <w:sz w:val="18"/>
          <w:szCs w:val="18"/>
          <w:lang w:eastAsia="en-US"/>
        </w:rPr>
      </w:pPr>
      <w:bookmarkStart w:id="107" w:name="_Toc32999826"/>
      <w:r w:rsidRPr="00627B93">
        <w:rPr>
          <w:b/>
          <w:color w:val="E41E0A"/>
          <w:sz w:val="18"/>
          <w:szCs w:val="18"/>
          <w:lang w:eastAsia="en-US"/>
        </w:rPr>
        <w:t>Ryzyko stopy procentowej</w:t>
      </w:r>
      <w:bookmarkEnd w:id="107"/>
    </w:p>
    <w:p w14:paraId="4E4566C0" w14:textId="77777777" w:rsidR="00675807" w:rsidRPr="00627B93" w:rsidRDefault="00675807" w:rsidP="00675807">
      <w:pPr>
        <w:rPr>
          <w:lang w:eastAsia="en-US"/>
        </w:rPr>
      </w:pPr>
    </w:p>
    <w:p w14:paraId="5783C2F1" w14:textId="77777777" w:rsidR="00675807" w:rsidRPr="00977E53" w:rsidRDefault="00675807" w:rsidP="00675807">
      <w:pPr>
        <w:spacing w:after="120"/>
        <w:rPr>
          <w:b/>
          <w:color w:val="000000" w:themeColor="text1"/>
          <w:sz w:val="18"/>
          <w:szCs w:val="18"/>
        </w:rPr>
      </w:pPr>
      <w:r w:rsidRPr="00977E53">
        <w:rPr>
          <w:b/>
          <w:color w:val="000000" w:themeColor="text1"/>
          <w:sz w:val="18"/>
          <w:szCs w:val="18"/>
        </w:rPr>
        <w:t xml:space="preserve">mBank S.A. </w:t>
      </w:r>
    </w:p>
    <w:p w14:paraId="21BF03CC" w14:textId="66BA825F" w:rsidR="006D300C" w:rsidRPr="00977E53" w:rsidRDefault="006D300C" w:rsidP="006D300C">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W procesie zarządzania ryzykiem stopy procentowej księgi bankowej zapewniona została </w:t>
      </w:r>
      <w:r w:rsidR="003F1A0F">
        <w:rPr>
          <w:rFonts w:eastAsia="Calibri" w:cs="Verdana"/>
          <w:color w:val="000000" w:themeColor="text1"/>
          <w:sz w:val="18"/>
          <w:szCs w:val="18"/>
        </w:rPr>
        <w:t xml:space="preserve">w Grupie </w:t>
      </w:r>
      <w:r w:rsidRPr="00977E53">
        <w:rPr>
          <w:rFonts w:eastAsia="Calibri" w:cs="Verdana"/>
          <w:color w:val="000000" w:themeColor="text1"/>
          <w:sz w:val="18"/>
          <w:szCs w:val="18"/>
        </w:rPr>
        <w:t>niezależność funkcji pomiaru, monitorowania i kontrolowania ryzyka od działalności operacyjnej skutkujące</w:t>
      </w:r>
      <w:r w:rsidR="003F1A0F">
        <w:rPr>
          <w:rFonts w:eastAsia="Calibri" w:cs="Verdana"/>
          <w:color w:val="000000" w:themeColor="text1"/>
          <w:sz w:val="18"/>
          <w:szCs w:val="18"/>
        </w:rPr>
        <w:t>j zajmowaniem pozycji przez Grupę</w:t>
      </w:r>
      <w:r w:rsidRPr="00977E53">
        <w:rPr>
          <w:rFonts w:eastAsia="Calibri" w:cs="Verdana"/>
          <w:color w:val="000000" w:themeColor="text1"/>
          <w:sz w:val="18"/>
          <w:szCs w:val="18"/>
        </w:rPr>
        <w:t xml:space="preserve">. </w:t>
      </w:r>
    </w:p>
    <w:p w14:paraId="38017144" w14:textId="26BB8A88" w:rsidR="003F286B" w:rsidRDefault="006D300C" w:rsidP="006D300C">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 xml:space="preserve">Ryzyko stopy procentowej księgi bankowej to ryzyko wynikające z narażenia wyniku odsetkowego oraz kapitału Banku na niekorzystny wpływ zmian stóp procentowych. Kierując się rekomendacjami KNF, w szczególności Rekomendacją G, oraz wytycznymi EBA (EBA/GL/2018/02), Bank monitoruje strukturę księgi bankowej w zakresie ryzyka niedopasowania terminów przeszacowania, ryzyka bazowego, ryzyka krzywej dochodowości oraz ryzyka opcji klienta. </w:t>
      </w:r>
    </w:p>
    <w:p w14:paraId="03BE3ADB" w14:textId="77777777" w:rsidR="003F286B" w:rsidRDefault="003F286B">
      <w:pPr>
        <w:rPr>
          <w:rFonts w:eastAsia="Calibri" w:cs="Verdana"/>
          <w:color w:val="000000" w:themeColor="text1"/>
          <w:sz w:val="18"/>
          <w:szCs w:val="18"/>
        </w:rPr>
      </w:pPr>
      <w:r>
        <w:rPr>
          <w:rFonts w:eastAsia="Calibri" w:cs="Verdana"/>
          <w:color w:val="000000" w:themeColor="text1"/>
          <w:sz w:val="18"/>
          <w:szCs w:val="18"/>
        </w:rPr>
        <w:br w:type="page"/>
      </w:r>
    </w:p>
    <w:p w14:paraId="36152679" w14:textId="13A9FBB1" w:rsidR="006D300C" w:rsidRPr="00977E53" w:rsidRDefault="006D300C" w:rsidP="00F96A48">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lastRenderedPageBreak/>
        <w:t xml:space="preserve">Podstawowymi miarami </w:t>
      </w:r>
      <w:r w:rsidR="00D12EE3">
        <w:rPr>
          <w:rFonts w:eastAsia="Calibri" w:cs="Verdana"/>
          <w:color w:val="000000" w:themeColor="text1"/>
          <w:sz w:val="18"/>
          <w:szCs w:val="18"/>
        </w:rPr>
        <w:t xml:space="preserve">ryzyka stopy procentowej księgi bankowej </w:t>
      </w:r>
      <w:r w:rsidRPr="00977E53">
        <w:rPr>
          <w:rFonts w:eastAsia="Calibri" w:cs="Verdana"/>
          <w:color w:val="000000" w:themeColor="text1"/>
          <w:sz w:val="18"/>
          <w:szCs w:val="18"/>
        </w:rPr>
        <w:t xml:space="preserve">stosowanymi przez Bank są: </w:t>
      </w:r>
    </w:p>
    <w:p w14:paraId="6471B27E" w14:textId="77777777" w:rsidR="006D300C" w:rsidRPr="00F96A48" w:rsidRDefault="006D300C" w:rsidP="00F96A48">
      <w:pPr>
        <w:numPr>
          <w:ilvl w:val="0"/>
          <w:numId w:val="17"/>
        </w:numPr>
        <w:tabs>
          <w:tab w:val="clear" w:pos="1267"/>
        </w:tabs>
        <w:suppressAutoHyphens/>
        <w:ind w:left="426" w:right="-57" w:hanging="284"/>
        <w:jc w:val="both"/>
        <w:rPr>
          <w:rFonts w:cs="Tahoma"/>
          <w:bCs/>
          <w:color w:val="000000" w:themeColor="text1"/>
          <w:sz w:val="18"/>
          <w:szCs w:val="18"/>
        </w:rPr>
      </w:pPr>
      <w:r w:rsidRPr="00F96A48">
        <w:rPr>
          <w:rFonts w:cs="Tahoma"/>
          <w:bCs/>
          <w:color w:val="000000" w:themeColor="text1"/>
          <w:sz w:val="18"/>
          <w:szCs w:val="18"/>
        </w:rPr>
        <w:t>luka przeszacowania, tj. różnica między aktywami, pasywami oraz pozycjami pozabilansowymi księgi bankowej, wrażliwymi na zmiany stóp procentowych, wyznaczana w określonych przedziałach przeszacowania w oparciu o najbliższą datę możliwej zmiany oprocentowania produktów odsetkowych,</w:t>
      </w:r>
    </w:p>
    <w:p w14:paraId="78D97100" w14:textId="77777777" w:rsidR="006D300C" w:rsidRPr="00F96A48" w:rsidRDefault="006D300C" w:rsidP="00F96A48">
      <w:pPr>
        <w:numPr>
          <w:ilvl w:val="0"/>
          <w:numId w:val="17"/>
        </w:numPr>
        <w:tabs>
          <w:tab w:val="clear" w:pos="1267"/>
        </w:tabs>
        <w:suppressAutoHyphens/>
        <w:ind w:left="426" w:right="-57" w:hanging="284"/>
        <w:jc w:val="both"/>
        <w:rPr>
          <w:rFonts w:cs="Tahoma"/>
          <w:bCs/>
          <w:color w:val="000000" w:themeColor="text1"/>
          <w:sz w:val="18"/>
          <w:szCs w:val="18"/>
        </w:rPr>
      </w:pPr>
      <w:r w:rsidRPr="00F96A48">
        <w:rPr>
          <w:rFonts w:cs="Tahoma"/>
          <w:bCs/>
          <w:color w:val="000000" w:themeColor="text1"/>
          <w:sz w:val="18"/>
          <w:szCs w:val="18"/>
        </w:rPr>
        <w:t>wrażliwość wyniku odsetkowego (delta NII), tj. różnica wyniku odsetkowego netto pomiędzy scenariuszem bazowym i scenariuszem alternatywnym, zakładającym różne możliwości przesunięcia krzywej rentowności oraz zmian struktury bilansu,</w:t>
      </w:r>
    </w:p>
    <w:p w14:paraId="48D0F60D" w14:textId="77777777" w:rsidR="006D300C" w:rsidRPr="00F96A48" w:rsidRDefault="006D300C" w:rsidP="00F96A48">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F96A48">
        <w:rPr>
          <w:rFonts w:cs="Tahoma"/>
          <w:bCs/>
          <w:color w:val="000000" w:themeColor="text1"/>
          <w:sz w:val="18"/>
          <w:szCs w:val="18"/>
        </w:rPr>
        <w:t xml:space="preserve">wrażliwość wartości ekonomicznej kapitału (delta EVE), tj. różnica wartości bieżącej przepływów pieniężnych pomiędzy scenariuszem bazowym a scenariuszem alternatywnym, zakładającym różne przesunięcia krzywej rentowności, w tym zgodne z wytycznymi EBA dotyczącymi regulacyjnego testu wartości odstających. </w:t>
      </w:r>
    </w:p>
    <w:p w14:paraId="137C1DAD" w14:textId="77777777" w:rsidR="006D300C" w:rsidRPr="00977E53" w:rsidRDefault="006D300C" w:rsidP="006D300C">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t>Ryzyko stopy procentowej na portfelu bankowym jest zabezpieczane i zarządzane w oparciu o limity luki przeszacowania dla całego portfela, w tym osobno dla walut istotnych, limity dla ryzyka rynkowego – nałożonymi na wartość zagrożoną (VaR), testy warunków skrajnych oraz na BPV i CS BPV. Raporty powyższych miar są przygotowywane w trybie dziennym.</w:t>
      </w:r>
    </w:p>
    <w:p w14:paraId="1B8B3E3B" w14:textId="56F3D24B" w:rsidR="006D300C" w:rsidRPr="00977E53" w:rsidRDefault="006D300C" w:rsidP="00886699">
      <w:pPr>
        <w:autoSpaceDE w:val="0"/>
        <w:autoSpaceDN w:val="0"/>
        <w:adjustRightInd w:val="0"/>
        <w:jc w:val="both"/>
        <w:rPr>
          <w:rFonts w:eastAsia="Calibri" w:cs="Verdana"/>
          <w:color w:val="000000" w:themeColor="text1"/>
          <w:sz w:val="18"/>
          <w:szCs w:val="18"/>
        </w:rPr>
      </w:pPr>
      <w:r w:rsidRPr="00977E53">
        <w:rPr>
          <w:rFonts w:eastAsia="Calibri" w:cs="Verdana"/>
          <w:color w:val="000000" w:themeColor="text1"/>
          <w:sz w:val="18"/>
          <w:szCs w:val="18"/>
        </w:rPr>
        <w:t>Bank kalkuluje w trybie miesięcznym i raportuje kwartalnie poziom wrażliwości dochodu odsetkowego netto, wyliczanego dla 22 scenariuszy zmian stóp procentowych, uwzględniających zmiany poziomu krzywej dochodowości (w tym równoległe przesunięcie krzywej, jej wystromienie oraz spłaszczenie) oraz ryzyka bazowego, zarówno w ujęciu statycznym, dynamicznym jak i dla bilansu odpływów w horyzoncie 5 lat. Główne założenia przyjęte do kalkulacji miary to:</w:t>
      </w:r>
    </w:p>
    <w:p w14:paraId="47DF22BE" w14:textId="77777777" w:rsidR="006D300C" w:rsidRPr="00886699" w:rsidRDefault="006D300C"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stosowanie stawek klientowskich, dekomponowanych na marżę handlową oraz stawkę rynkową, </w:t>
      </w:r>
    </w:p>
    <w:p w14:paraId="5644AD89" w14:textId="77777777" w:rsidR="006D300C" w:rsidRPr="00886699" w:rsidRDefault="006D300C"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dla produktów bez określonej daty zapadalności przypisywanie terminów przeszacowania na podstawie modelu portfeli replikujących,</w:t>
      </w:r>
    </w:p>
    <w:p w14:paraId="23C24ACC" w14:textId="77777777" w:rsidR="006D300C" w:rsidRPr="00886699" w:rsidRDefault="006D300C"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zastosowane ograniczenia poziomu dolnego zmiany stóp procentowych do 0%,</w:t>
      </w:r>
    </w:p>
    <w:p w14:paraId="6FBC2868" w14:textId="77777777" w:rsidR="006D300C" w:rsidRPr="00886699" w:rsidRDefault="006D300C" w:rsidP="00886699">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886699">
        <w:rPr>
          <w:rFonts w:cs="Tahoma"/>
          <w:bCs/>
          <w:color w:val="000000" w:themeColor="text1"/>
          <w:sz w:val="18"/>
          <w:szCs w:val="18"/>
        </w:rPr>
        <w:t>opcje behawioralne obejmujące zerwania depozytów oraz przedpłaty kredytów obliczane są na bazie średniej historycznej.</w:t>
      </w:r>
    </w:p>
    <w:p w14:paraId="206715BE" w14:textId="2B03B0C1" w:rsidR="006D300C" w:rsidRPr="00977E53" w:rsidRDefault="006D300C" w:rsidP="00886699">
      <w:pPr>
        <w:autoSpaceDE w:val="0"/>
        <w:autoSpaceDN w:val="0"/>
        <w:adjustRightInd w:val="0"/>
        <w:jc w:val="both"/>
        <w:rPr>
          <w:color w:val="000000" w:themeColor="text1"/>
          <w:sz w:val="18"/>
          <w:szCs w:val="18"/>
        </w:rPr>
      </w:pPr>
      <w:r w:rsidRPr="00977E53">
        <w:rPr>
          <w:color w:val="000000" w:themeColor="text1"/>
          <w:sz w:val="18"/>
          <w:szCs w:val="18"/>
        </w:rPr>
        <w:t>Dodatkowo Bank kalkuluje w trybie miesięcznym i raportuje kwartalnie wrażliwość wartości ekonomicznej kapitału dla 14 scenariuszy (w tym szokowe scenariusze regulacyjne opisane w wytycznych EBA) uwzględniających zmiany poziomu i nachylenia krzywej dochodowości oraz spreadów walutowych i kredytowych, w podziale na wartości w walutach razem oraz osobno dla walut istotnych, w oparciu o następujące założenia:</w:t>
      </w:r>
    </w:p>
    <w:p w14:paraId="1C9D47C1" w14:textId="0420C22A" w:rsidR="009373E4" w:rsidRPr="00886699" w:rsidRDefault="009373E4"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uwzględnienie przepływów z aktywów i pasywów wrażliwych na zmiany stóp procentowych, z</w:t>
      </w:r>
      <w:r w:rsidR="007B14BE" w:rsidRPr="00886699">
        <w:rPr>
          <w:rFonts w:cs="Tahoma"/>
          <w:bCs/>
          <w:color w:val="000000" w:themeColor="text1"/>
          <w:sz w:val="18"/>
          <w:szCs w:val="18"/>
        </w:rPr>
        <w:t> </w:t>
      </w:r>
      <w:r w:rsidRPr="00886699">
        <w:rPr>
          <w:rFonts w:cs="Tahoma"/>
          <w:bCs/>
          <w:color w:val="000000" w:themeColor="text1"/>
          <w:sz w:val="18"/>
          <w:szCs w:val="18"/>
        </w:rPr>
        <w:t>uwzględnieniem marż komercyjnych,</w:t>
      </w:r>
    </w:p>
    <w:p w14:paraId="58D6753A" w14:textId="77777777" w:rsidR="009373E4" w:rsidRPr="00886699" w:rsidRDefault="009373E4"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użycie krzywych wolnych od ryzyka, z wyjątkiem papierów dłużnych, gdzie zastosowana została krzywa zawierająca spread kredytowy, </w:t>
      </w:r>
    </w:p>
    <w:p w14:paraId="365C222A" w14:textId="77777777" w:rsidR="009373E4" w:rsidRPr="00886699" w:rsidRDefault="009373E4"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wyłączenie kapitału z pasywów,</w:t>
      </w:r>
    </w:p>
    <w:p w14:paraId="079774E9" w14:textId="77777777" w:rsidR="009373E4" w:rsidRPr="00886699" w:rsidRDefault="009373E4" w:rsidP="00886699">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886699">
        <w:rPr>
          <w:rFonts w:cs="Tahoma"/>
          <w:bCs/>
          <w:color w:val="000000" w:themeColor="text1"/>
          <w:sz w:val="18"/>
          <w:szCs w:val="18"/>
        </w:rPr>
        <w:t>brak nowej produkcji (run-off balance sheet).</w:t>
      </w:r>
    </w:p>
    <w:p w14:paraId="13F22F13" w14:textId="07FBB041" w:rsidR="006D300C" w:rsidRPr="00977E53" w:rsidRDefault="006D300C" w:rsidP="006D300C">
      <w:pPr>
        <w:autoSpaceDE w:val="0"/>
        <w:autoSpaceDN w:val="0"/>
        <w:adjustRightInd w:val="0"/>
        <w:spacing w:after="120"/>
        <w:jc w:val="both"/>
        <w:rPr>
          <w:color w:val="000000" w:themeColor="text1"/>
          <w:sz w:val="18"/>
          <w:szCs w:val="18"/>
        </w:rPr>
      </w:pPr>
      <w:r w:rsidRPr="00977E53">
        <w:rPr>
          <w:color w:val="000000" w:themeColor="text1"/>
          <w:sz w:val="18"/>
          <w:szCs w:val="18"/>
        </w:rPr>
        <w:t>W przypadku kalkulowanych miar wrażliwości dochodu odsetkowego netto oraz</w:t>
      </w:r>
      <w:r w:rsidR="009C3CB6">
        <w:rPr>
          <w:color w:val="000000" w:themeColor="text1"/>
          <w:sz w:val="18"/>
          <w:szCs w:val="18"/>
        </w:rPr>
        <w:t xml:space="preserve"> wartości ekonomicznej kapitału</w:t>
      </w:r>
      <w:r w:rsidRPr="00977E53">
        <w:rPr>
          <w:color w:val="000000" w:themeColor="text1"/>
          <w:sz w:val="18"/>
          <w:szCs w:val="18"/>
        </w:rPr>
        <w:t xml:space="preserve"> Bank uwzględnia ryzyko częściowej lub całkowitej spłaty kredytu przed terminem jego zapadalności. Stosowany algorytm przedpłat bazuje na średniej historycznej a jego wynikiem jest roczna stopa przedpłat kredytów w podziale na waluty istotne (PLN, CHF, EUR, CZK) oraz portfel klientów detalicznych i korpor</w:t>
      </w:r>
      <w:r w:rsidR="00A621FA">
        <w:rPr>
          <w:color w:val="000000" w:themeColor="text1"/>
          <w:sz w:val="18"/>
          <w:szCs w:val="18"/>
        </w:rPr>
        <w:t xml:space="preserve">acyjnych. Według stanu na 31 grudnia </w:t>
      </w:r>
      <w:r w:rsidRPr="00977E53">
        <w:rPr>
          <w:color w:val="000000" w:themeColor="text1"/>
          <w:sz w:val="18"/>
          <w:szCs w:val="18"/>
        </w:rPr>
        <w:t xml:space="preserve">2019 </w:t>
      </w:r>
      <w:r w:rsidR="00A621FA">
        <w:rPr>
          <w:color w:val="000000" w:themeColor="text1"/>
          <w:sz w:val="18"/>
          <w:szCs w:val="18"/>
        </w:rPr>
        <w:t xml:space="preserve">roku </w:t>
      </w:r>
      <w:r w:rsidRPr="00977E53">
        <w:rPr>
          <w:color w:val="000000" w:themeColor="text1"/>
          <w:sz w:val="18"/>
          <w:szCs w:val="18"/>
        </w:rPr>
        <w:t>procentowa roczna wysokość przedpłat szacowanych na potrzeby wyżej wymienionych miar ryzyka kształtowała się następująco: klienci detaliczni (8,7%), klienci korporacyjni (18%).</w:t>
      </w:r>
    </w:p>
    <w:p w14:paraId="74865F20" w14:textId="77777777" w:rsidR="009F2F81" w:rsidRDefault="009F2F81">
      <w:pPr>
        <w:rPr>
          <w:rFonts w:eastAsia="Calibri" w:cs="Verdana"/>
          <w:color w:val="000000" w:themeColor="text1"/>
          <w:sz w:val="18"/>
          <w:szCs w:val="18"/>
        </w:rPr>
      </w:pPr>
      <w:r>
        <w:rPr>
          <w:rFonts w:eastAsia="Calibri" w:cs="Verdana"/>
          <w:color w:val="000000" w:themeColor="text1"/>
          <w:sz w:val="18"/>
          <w:szCs w:val="18"/>
        </w:rPr>
        <w:br w:type="page"/>
      </w:r>
    </w:p>
    <w:p w14:paraId="3C70633F" w14:textId="738C9D95" w:rsidR="008318EE" w:rsidRPr="00977E53" w:rsidRDefault="006D300C" w:rsidP="006D300C">
      <w:pPr>
        <w:autoSpaceDE w:val="0"/>
        <w:autoSpaceDN w:val="0"/>
        <w:adjustRightInd w:val="0"/>
        <w:spacing w:after="120"/>
        <w:jc w:val="both"/>
        <w:rPr>
          <w:rFonts w:eastAsia="Calibri" w:cs="Verdana"/>
          <w:color w:val="000000" w:themeColor="text1"/>
          <w:sz w:val="18"/>
          <w:szCs w:val="18"/>
        </w:rPr>
      </w:pPr>
      <w:r w:rsidRPr="00977E53">
        <w:rPr>
          <w:rFonts w:eastAsia="Calibri" w:cs="Verdana"/>
          <w:color w:val="000000" w:themeColor="text1"/>
          <w:sz w:val="18"/>
          <w:szCs w:val="18"/>
        </w:rPr>
        <w:lastRenderedPageBreak/>
        <w:t>Według stanu na dzień 31 grudnia 2019 roku i 31 grudnia 2018 roku wrażliwość dochodu odsetkowego netto (na podstawie bilansu statycznego w horyzoncie 12 miesięcy) oraz wartości ekonomicznej kapitału (dla bilansu odpływów) w standardowych (regulacyjnych) scenariuszach szokowych dla ryzyka stopy procentowej przedstawia poniższa tabela</w:t>
      </w:r>
      <w:r w:rsidR="008318EE" w:rsidRPr="00977E53">
        <w:rPr>
          <w:rFonts w:eastAsia="Calibri" w:cs="Verdana"/>
          <w:color w:val="000000" w:themeColor="text1"/>
          <w:sz w:val="18"/>
          <w:szCs w:val="18"/>
        </w:rPr>
        <w:t>:</w:t>
      </w: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12394F" w:rsidRPr="000D2E92" w14:paraId="791A4107" w14:textId="77777777" w:rsidTr="008C0E87">
        <w:trPr>
          <w:trHeight w:val="227"/>
        </w:trPr>
        <w:tc>
          <w:tcPr>
            <w:tcW w:w="3912" w:type="dxa"/>
            <w:vMerge w:val="restart"/>
            <w:tcBorders>
              <w:left w:val="nil"/>
              <w:bottom w:val="single" w:sz="8" w:space="0" w:color="FFFFFF"/>
              <w:right w:val="single" w:sz="8" w:space="0" w:color="FFFFFF"/>
            </w:tcBorders>
            <w:shd w:val="clear" w:color="000000" w:fill="0077BD"/>
            <w:vAlign w:val="center"/>
            <w:hideMark/>
          </w:tcPr>
          <w:p w14:paraId="68CA77AC" w14:textId="77777777" w:rsidR="0012394F" w:rsidRPr="000D2E92" w:rsidRDefault="0012394F" w:rsidP="0012394F">
            <w:pPr>
              <w:rPr>
                <w:rFonts w:cs="Calibri"/>
                <w:b/>
                <w:bCs/>
                <w:color w:val="FFFFFF"/>
                <w:sz w:val="13"/>
                <w:szCs w:val="13"/>
              </w:rPr>
            </w:pPr>
            <w:r w:rsidRPr="000D2E92">
              <w:rPr>
                <w:rFonts w:cs="Calibri"/>
                <w:b/>
                <w:bCs/>
                <w:color w:val="FFFFFF"/>
                <w:sz w:val="13"/>
                <w:szCs w:val="13"/>
              </w:rPr>
              <w:t> </w:t>
            </w:r>
          </w:p>
        </w:tc>
        <w:tc>
          <w:tcPr>
            <w:tcW w:w="2836" w:type="dxa"/>
            <w:gridSpan w:val="2"/>
            <w:tcBorders>
              <w:left w:val="nil"/>
              <w:bottom w:val="single" w:sz="4" w:space="0" w:color="FFFFFF"/>
              <w:right w:val="single" w:sz="8" w:space="0" w:color="FFFFFF"/>
            </w:tcBorders>
            <w:shd w:val="clear" w:color="000000" w:fill="0077BD"/>
            <w:vAlign w:val="center"/>
            <w:hideMark/>
          </w:tcPr>
          <w:p w14:paraId="3A5DE43E" w14:textId="77777777" w:rsidR="0012394F" w:rsidRPr="000D2E92" w:rsidRDefault="0012394F" w:rsidP="0012394F">
            <w:pPr>
              <w:jc w:val="center"/>
              <w:rPr>
                <w:rFonts w:cs="Calibri"/>
                <w:b/>
                <w:bCs/>
                <w:color w:val="FFFFFF"/>
                <w:sz w:val="13"/>
                <w:szCs w:val="13"/>
              </w:rPr>
            </w:pPr>
            <w:r w:rsidRPr="000D2E92">
              <w:rPr>
                <w:rFonts w:cs="Calibri"/>
                <w:b/>
                <w:bCs/>
                <w:color w:val="FFFFFF"/>
                <w:sz w:val="13"/>
                <w:szCs w:val="13"/>
              </w:rPr>
              <w:t xml:space="preserve"> ∆ NII</w:t>
            </w:r>
          </w:p>
        </w:tc>
        <w:tc>
          <w:tcPr>
            <w:tcW w:w="2836" w:type="dxa"/>
            <w:gridSpan w:val="2"/>
            <w:tcBorders>
              <w:left w:val="nil"/>
              <w:bottom w:val="single" w:sz="4" w:space="0" w:color="FFFFFF"/>
              <w:right w:val="single" w:sz="8" w:space="0" w:color="FFFFFF"/>
            </w:tcBorders>
            <w:shd w:val="clear" w:color="000000" w:fill="0077BD"/>
            <w:vAlign w:val="center"/>
            <w:hideMark/>
          </w:tcPr>
          <w:p w14:paraId="3F09E16F" w14:textId="77777777" w:rsidR="0012394F" w:rsidRPr="000D2E92" w:rsidRDefault="0012394F" w:rsidP="0012394F">
            <w:pPr>
              <w:jc w:val="center"/>
              <w:rPr>
                <w:rFonts w:cs="Calibri"/>
                <w:b/>
                <w:bCs/>
                <w:color w:val="FFFFFF"/>
                <w:sz w:val="13"/>
                <w:szCs w:val="13"/>
              </w:rPr>
            </w:pPr>
            <w:r w:rsidRPr="000D2E92">
              <w:rPr>
                <w:rFonts w:cs="Calibri"/>
                <w:b/>
                <w:bCs/>
                <w:color w:val="FFFFFF"/>
                <w:sz w:val="13"/>
                <w:szCs w:val="13"/>
              </w:rPr>
              <w:t xml:space="preserve"> ∆ EVE</w:t>
            </w:r>
          </w:p>
        </w:tc>
      </w:tr>
      <w:tr w:rsidR="0012394F" w:rsidRPr="000D2E92" w14:paraId="6C5D1F06" w14:textId="77777777" w:rsidTr="008C0E87">
        <w:trPr>
          <w:trHeight w:val="227"/>
        </w:trPr>
        <w:tc>
          <w:tcPr>
            <w:tcW w:w="3912" w:type="dxa"/>
            <w:vMerge/>
            <w:tcBorders>
              <w:top w:val="nil"/>
              <w:left w:val="nil"/>
              <w:bottom w:val="single" w:sz="8" w:space="0" w:color="FFFFFF"/>
              <w:right w:val="single" w:sz="8" w:space="0" w:color="FFFFFF"/>
            </w:tcBorders>
            <w:vAlign w:val="center"/>
            <w:hideMark/>
          </w:tcPr>
          <w:p w14:paraId="7F3DA459" w14:textId="77777777" w:rsidR="0012394F" w:rsidRPr="000D2E92" w:rsidRDefault="0012394F" w:rsidP="0012394F">
            <w:pPr>
              <w:rPr>
                <w:rFonts w:cs="Calibri"/>
                <w:b/>
                <w:bCs/>
                <w:color w:val="FFFFFF"/>
                <w:sz w:val="13"/>
                <w:szCs w:val="13"/>
              </w:rPr>
            </w:pPr>
          </w:p>
        </w:tc>
        <w:tc>
          <w:tcPr>
            <w:tcW w:w="1418" w:type="dxa"/>
            <w:tcBorders>
              <w:top w:val="single" w:sz="4" w:space="0" w:color="FFFFFF"/>
              <w:left w:val="nil"/>
              <w:bottom w:val="single" w:sz="8" w:space="0" w:color="FFFFFF"/>
              <w:right w:val="single" w:sz="8" w:space="0" w:color="FFFFFF"/>
            </w:tcBorders>
            <w:shd w:val="clear" w:color="000000" w:fill="0077BD"/>
            <w:vAlign w:val="center"/>
            <w:hideMark/>
          </w:tcPr>
          <w:p w14:paraId="7AD6DF71" w14:textId="77777777" w:rsidR="0012394F" w:rsidRPr="000D2E92" w:rsidRDefault="0012394F" w:rsidP="0012394F">
            <w:pPr>
              <w:jc w:val="right"/>
              <w:rPr>
                <w:rFonts w:cs="Calibri"/>
                <w:b/>
                <w:bCs/>
                <w:color w:val="FFFFFF"/>
                <w:sz w:val="13"/>
                <w:szCs w:val="13"/>
              </w:rPr>
            </w:pPr>
            <w:r w:rsidRPr="000D2E92">
              <w:rPr>
                <w:rFonts w:cs="Calibri"/>
                <w:b/>
                <w:bCs/>
                <w:color w:val="FFFFFF"/>
                <w:sz w:val="13"/>
                <w:szCs w:val="13"/>
              </w:rPr>
              <w:t>31.12.2019</w:t>
            </w:r>
          </w:p>
        </w:tc>
        <w:tc>
          <w:tcPr>
            <w:tcW w:w="1418" w:type="dxa"/>
            <w:tcBorders>
              <w:top w:val="single" w:sz="4" w:space="0" w:color="FFFFFF"/>
              <w:left w:val="nil"/>
              <w:bottom w:val="single" w:sz="8" w:space="0" w:color="FFFFFF"/>
              <w:right w:val="single" w:sz="8" w:space="0" w:color="FFFFFF"/>
            </w:tcBorders>
            <w:shd w:val="clear" w:color="000000" w:fill="0077BD"/>
            <w:vAlign w:val="center"/>
            <w:hideMark/>
          </w:tcPr>
          <w:p w14:paraId="2046EEA9" w14:textId="77777777" w:rsidR="0012394F" w:rsidRPr="000D2E92" w:rsidRDefault="0012394F" w:rsidP="0012394F">
            <w:pPr>
              <w:jc w:val="right"/>
              <w:rPr>
                <w:rFonts w:cs="Calibri"/>
                <w:b/>
                <w:bCs/>
                <w:color w:val="FFFFFF"/>
                <w:sz w:val="13"/>
                <w:szCs w:val="13"/>
              </w:rPr>
            </w:pPr>
            <w:r w:rsidRPr="000D2E92">
              <w:rPr>
                <w:rFonts w:cs="Calibri"/>
                <w:b/>
                <w:bCs/>
                <w:color w:val="FFFFFF"/>
                <w:sz w:val="13"/>
                <w:szCs w:val="13"/>
              </w:rPr>
              <w:t>31.12.2018</w:t>
            </w:r>
          </w:p>
        </w:tc>
        <w:tc>
          <w:tcPr>
            <w:tcW w:w="1418" w:type="dxa"/>
            <w:tcBorders>
              <w:top w:val="single" w:sz="4" w:space="0" w:color="FFFFFF"/>
              <w:left w:val="nil"/>
              <w:bottom w:val="single" w:sz="8" w:space="0" w:color="FFFFFF"/>
              <w:right w:val="single" w:sz="8" w:space="0" w:color="FFFFFF"/>
            </w:tcBorders>
            <w:shd w:val="clear" w:color="000000" w:fill="0077BD"/>
            <w:vAlign w:val="center"/>
            <w:hideMark/>
          </w:tcPr>
          <w:p w14:paraId="5C3E7F91" w14:textId="77777777" w:rsidR="0012394F" w:rsidRPr="000D2E92" w:rsidRDefault="0012394F" w:rsidP="0012394F">
            <w:pPr>
              <w:jc w:val="right"/>
              <w:rPr>
                <w:rFonts w:cs="Calibri"/>
                <w:b/>
                <w:bCs/>
                <w:color w:val="FFFFFF"/>
                <w:sz w:val="13"/>
                <w:szCs w:val="13"/>
              </w:rPr>
            </w:pPr>
            <w:r w:rsidRPr="000D2E92">
              <w:rPr>
                <w:rFonts w:cs="Calibri"/>
                <w:b/>
                <w:bCs/>
                <w:color w:val="FFFFFF"/>
                <w:sz w:val="13"/>
                <w:szCs w:val="13"/>
              </w:rPr>
              <w:t>31.12.2019</w:t>
            </w:r>
          </w:p>
        </w:tc>
        <w:tc>
          <w:tcPr>
            <w:tcW w:w="1418" w:type="dxa"/>
            <w:tcBorders>
              <w:top w:val="single" w:sz="4" w:space="0" w:color="FFFFFF"/>
              <w:left w:val="nil"/>
              <w:bottom w:val="single" w:sz="8" w:space="0" w:color="FFFFFF"/>
              <w:right w:val="single" w:sz="8" w:space="0" w:color="FFFFFF"/>
            </w:tcBorders>
            <w:shd w:val="clear" w:color="000000" w:fill="0077BD"/>
            <w:vAlign w:val="center"/>
            <w:hideMark/>
          </w:tcPr>
          <w:p w14:paraId="64B0C407" w14:textId="77777777" w:rsidR="0012394F" w:rsidRPr="000D2E92" w:rsidRDefault="0012394F" w:rsidP="0012394F">
            <w:pPr>
              <w:jc w:val="right"/>
              <w:rPr>
                <w:rFonts w:cs="Calibri"/>
                <w:b/>
                <w:bCs/>
                <w:color w:val="FFFFFF"/>
                <w:sz w:val="13"/>
                <w:szCs w:val="13"/>
              </w:rPr>
            </w:pPr>
            <w:r w:rsidRPr="000D2E92">
              <w:rPr>
                <w:rFonts w:cs="Calibri"/>
                <w:b/>
                <w:bCs/>
                <w:color w:val="FFFFFF"/>
                <w:sz w:val="13"/>
                <w:szCs w:val="13"/>
              </w:rPr>
              <w:t>31.12.2018</w:t>
            </w:r>
          </w:p>
        </w:tc>
      </w:tr>
      <w:tr w:rsidR="005619B0" w:rsidRPr="005A46BF" w14:paraId="5ED7992C" w14:textId="77777777" w:rsidTr="001B7F2C">
        <w:trPr>
          <w:trHeight w:val="227"/>
        </w:trPr>
        <w:tc>
          <w:tcPr>
            <w:tcW w:w="3912" w:type="dxa"/>
            <w:tcBorders>
              <w:top w:val="nil"/>
              <w:left w:val="nil"/>
              <w:bottom w:val="single" w:sz="4" w:space="0" w:color="0077BD"/>
              <w:right w:val="single" w:sz="8" w:space="0" w:color="0077BD"/>
            </w:tcBorders>
            <w:shd w:val="clear" w:color="auto" w:fill="auto"/>
            <w:noWrap/>
            <w:vAlign w:val="center"/>
            <w:hideMark/>
          </w:tcPr>
          <w:p w14:paraId="4B7C2B41"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Nagły równoległy wzrost o 200 pb</w:t>
            </w:r>
          </w:p>
        </w:tc>
        <w:tc>
          <w:tcPr>
            <w:tcW w:w="1418" w:type="dxa"/>
            <w:tcBorders>
              <w:top w:val="nil"/>
              <w:left w:val="nil"/>
              <w:bottom w:val="single" w:sz="4" w:space="0" w:color="0077BD"/>
              <w:right w:val="single" w:sz="8" w:space="0" w:color="0077BD"/>
            </w:tcBorders>
            <w:shd w:val="clear" w:color="auto" w:fill="auto"/>
            <w:noWrap/>
            <w:vAlign w:val="center"/>
          </w:tcPr>
          <w:p w14:paraId="7594430A" w14:textId="5F934CA5" w:rsidR="005619B0" w:rsidRPr="007B14BE" w:rsidRDefault="005619B0" w:rsidP="005619B0">
            <w:pPr>
              <w:jc w:val="right"/>
              <w:rPr>
                <w:rFonts w:cs="Calibri"/>
                <w:color w:val="000000" w:themeColor="text1"/>
                <w:sz w:val="13"/>
                <w:szCs w:val="13"/>
              </w:rPr>
            </w:pPr>
            <w:r w:rsidRPr="007B14BE">
              <w:rPr>
                <w:rFonts w:cs="Calibri"/>
                <w:color w:val="000000" w:themeColor="text1"/>
                <w:sz w:val="13"/>
                <w:szCs w:val="13"/>
              </w:rPr>
              <w:t>193 591</w:t>
            </w:r>
          </w:p>
        </w:tc>
        <w:tc>
          <w:tcPr>
            <w:tcW w:w="1418" w:type="dxa"/>
            <w:tcBorders>
              <w:top w:val="nil"/>
              <w:left w:val="nil"/>
              <w:bottom w:val="single" w:sz="4" w:space="0" w:color="0077BD"/>
              <w:right w:val="single" w:sz="8" w:space="0" w:color="0077BD"/>
            </w:tcBorders>
            <w:shd w:val="clear" w:color="auto" w:fill="auto"/>
            <w:noWrap/>
            <w:vAlign w:val="center"/>
          </w:tcPr>
          <w:p w14:paraId="53DCBC16" w14:textId="0D6DCEE7"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100 352 </w:t>
            </w:r>
          </w:p>
        </w:tc>
        <w:tc>
          <w:tcPr>
            <w:tcW w:w="1418" w:type="dxa"/>
            <w:tcBorders>
              <w:top w:val="nil"/>
              <w:left w:val="nil"/>
              <w:bottom w:val="single" w:sz="4" w:space="0" w:color="0077BD"/>
              <w:right w:val="single" w:sz="8" w:space="0" w:color="0077BD"/>
            </w:tcBorders>
            <w:shd w:val="clear" w:color="auto" w:fill="auto"/>
            <w:noWrap/>
            <w:vAlign w:val="center"/>
          </w:tcPr>
          <w:p w14:paraId="56286FBB" w14:textId="520EE34C"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(597 790)</w:t>
            </w:r>
          </w:p>
        </w:tc>
        <w:tc>
          <w:tcPr>
            <w:tcW w:w="1418" w:type="dxa"/>
            <w:tcBorders>
              <w:top w:val="nil"/>
              <w:left w:val="nil"/>
              <w:bottom w:val="single" w:sz="4" w:space="0" w:color="0077BD"/>
              <w:right w:val="single" w:sz="8" w:space="0" w:color="FFFFFF"/>
            </w:tcBorders>
            <w:shd w:val="clear" w:color="auto" w:fill="auto"/>
            <w:noWrap/>
            <w:vAlign w:val="center"/>
          </w:tcPr>
          <w:p w14:paraId="68534DAB" w14:textId="5826E492"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(534 376)</w:t>
            </w:r>
          </w:p>
        </w:tc>
      </w:tr>
      <w:tr w:rsidR="005619B0" w:rsidRPr="005A46BF" w14:paraId="7169F10A"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101C1716"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Nagły równoległy spadek o 200 pb</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0AE6243" w14:textId="2B5E5035"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(857 302)</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CFC71D0" w14:textId="64982801"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(649 544)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BA731B8" w14:textId="0687DC29"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659 163</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382B5508" w14:textId="4F23E1CC"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574 611</w:t>
            </w:r>
          </w:p>
        </w:tc>
      </w:tr>
      <w:tr w:rsidR="005619B0" w:rsidRPr="005A46BF" w14:paraId="3D64256F"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0851045F"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Równoległy wzrost szoku</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7216E2E" w14:textId="69363A10"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184 864</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88CA0FE" w14:textId="1F7D4DAD"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83 148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60918A6" w14:textId="6401A0F7"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(621 015)</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3603731E" w14:textId="0040047E"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(557 863)</w:t>
            </w:r>
          </w:p>
        </w:tc>
      </w:tr>
      <w:tr w:rsidR="005619B0" w:rsidRPr="005A46BF" w14:paraId="27BDBD71"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45FCDD81"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Równoległy spadek szoku</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0CA70F6" w14:textId="1794060A"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(1 229 657)</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15C51B4" w14:textId="4F5B6D63"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(756 903)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DB7330C" w14:textId="33CE9D7B"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683 062</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482DFFDE" w14:textId="71A71D80"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598 575</w:t>
            </w:r>
          </w:p>
        </w:tc>
      </w:tr>
      <w:tr w:rsidR="005619B0" w:rsidRPr="005A46BF" w14:paraId="6623D4FB"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35197111"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Gwałtowniejszy szok</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C136AED" w14:textId="7B4FC16A"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(639 348)</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7FF9C017" w14:textId="6D4E3D51"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(298 938)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B4B22D3" w14:textId="4509C42B"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27 127</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7C83C4DA" w14:textId="71CD4420"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88 247</w:t>
            </w:r>
          </w:p>
        </w:tc>
      </w:tr>
      <w:tr w:rsidR="005619B0" w:rsidRPr="005A46BF" w14:paraId="4E9063BD"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07AE8FB5"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Bardziej umiarkowany szok</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ECBC328" w14:textId="3679F5E2"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(53 429)</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7A0ABC68" w14:textId="04A82AB8"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(160 831)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08EACAAF" w14:textId="17888AB5"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(129 019)</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326E5A71" w14:textId="1FFB69D9"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(180 644)</w:t>
            </w:r>
          </w:p>
        </w:tc>
      </w:tr>
      <w:tr w:rsidR="005619B0" w:rsidRPr="005A46BF" w14:paraId="343058C9"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144F1677"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Wzrost szoku dla stóp krótkoterminowych</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391D8DAD" w14:textId="4532BE28"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(9 013)</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3DD0F366" w14:textId="4CB5D670"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(130 320)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41669D2" w14:textId="0051DA19"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(305 383)</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3AE667FE" w14:textId="3280732E"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(333 653)</w:t>
            </w:r>
          </w:p>
        </w:tc>
      </w:tr>
      <w:tr w:rsidR="005619B0" w:rsidRPr="005A46BF" w14:paraId="6CBCAFA5"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3DCAE4DF"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Spadek szoku dla stóp krótkoterminowych</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BBB0E4A" w14:textId="25D0A017"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(1 426 397)</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21FE71A" w14:textId="6ECBB326"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(185 353)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CF1AF74" w14:textId="234F2B03"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116 267</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3EE4DB45" w14:textId="2799CDA1"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127 634</w:t>
            </w:r>
          </w:p>
        </w:tc>
      </w:tr>
      <w:tr w:rsidR="005619B0" w:rsidRPr="005A46BF" w14:paraId="6BC03BC0" w14:textId="77777777" w:rsidTr="001B7F2C">
        <w:trPr>
          <w:trHeight w:val="227"/>
        </w:trPr>
        <w:tc>
          <w:tcPr>
            <w:tcW w:w="3912" w:type="dxa"/>
            <w:tcBorders>
              <w:top w:val="single" w:sz="4" w:space="0" w:color="0077BD"/>
              <w:left w:val="nil"/>
              <w:bottom w:val="single" w:sz="4" w:space="0" w:color="0077BD"/>
              <w:right w:val="single" w:sz="8" w:space="0" w:color="0077BD"/>
            </w:tcBorders>
            <w:shd w:val="clear" w:color="auto" w:fill="auto"/>
            <w:noWrap/>
            <w:vAlign w:val="center"/>
            <w:hideMark/>
          </w:tcPr>
          <w:p w14:paraId="1DAB3505"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Maximum</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4C1DBFD5" w14:textId="0801FA42"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(1 426 397)</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C551F01" w14:textId="107AC8B9"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(756 903) </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8932DEC" w14:textId="481561ED"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(621 015)</w:t>
            </w:r>
          </w:p>
        </w:tc>
        <w:tc>
          <w:tcPr>
            <w:tcW w:w="1418" w:type="dxa"/>
            <w:tcBorders>
              <w:top w:val="single" w:sz="4" w:space="0" w:color="0077BD"/>
              <w:left w:val="nil"/>
              <w:bottom w:val="single" w:sz="4" w:space="0" w:color="0077BD"/>
              <w:right w:val="single" w:sz="8" w:space="0" w:color="FFFFFF"/>
            </w:tcBorders>
            <w:shd w:val="clear" w:color="auto" w:fill="auto"/>
            <w:noWrap/>
            <w:vAlign w:val="center"/>
          </w:tcPr>
          <w:p w14:paraId="2155984B" w14:textId="69869FE7"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(557 863)</w:t>
            </w:r>
          </w:p>
        </w:tc>
      </w:tr>
      <w:tr w:rsidR="005619B0" w:rsidRPr="0068723D" w14:paraId="0560F98C" w14:textId="77777777" w:rsidTr="001B7F2C">
        <w:trPr>
          <w:trHeight w:val="227"/>
        </w:trPr>
        <w:tc>
          <w:tcPr>
            <w:tcW w:w="3912" w:type="dxa"/>
            <w:tcBorders>
              <w:top w:val="single" w:sz="4" w:space="0" w:color="0077BD"/>
              <w:left w:val="nil"/>
              <w:bottom w:val="single" w:sz="8" w:space="0" w:color="0077BD"/>
              <w:right w:val="single" w:sz="8" w:space="0" w:color="0077BD"/>
            </w:tcBorders>
            <w:shd w:val="clear" w:color="auto" w:fill="auto"/>
            <w:noWrap/>
            <w:vAlign w:val="center"/>
            <w:hideMark/>
          </w:tcPr>
          <w:p w14:paraId="48C13208" w14:textId="77777777" w:rsidR="005619B0" w:rsidRPr="005A46BF" w:rsidRDefault="005619B0" w:rsidP="005619B0">
            <w:pPr>
              <w:rPr>
                <w:rFonts w:cs="Calibri"/>
                <w:color w:val="000000" w:themeColor="text1"/>
                <w:sz w:val="13"/>
                <w:szCs w:val="13"/>
              </w:rPr>
            </w:pPr>
            <w:r w:rsidRPr="005A46BF">
              <w:rPr>
                <w:rFonts w:cs="Calibri"/>
                <w:color w:val="000000" w:themeColor="text1"/>
                <w:sz w:val="13"/>
                <w:szCs w:val="13"/>
              </w:rPr>
              <w:t>Kapitał Tier 1</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36A92B5B" w14:textId="67306A40"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14 053 467</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12F122B8" w14:textId="20E383CA" w:rsidR="005619B0" w:rsidRPr="005A46BF" w:rsidRDefault="005619B0" w:rsidP="005619B0">
            <w:pPr>
              <w:jc w:val="right"/>
              <w:rPr>
                <w:rFonts w:cs="Calibri"/>
                <w:color w:val="000000" w:themeColor="text1"/>
                <w:sz w:val="13"/>
                <w:szCs w:val="13"/>
              </w:rPr>
            </w:pPr>
            <w:r w:rsidRPr="004504F9">
              <w:rPr>
                <w:rFonts w:cs="Calibri"/>
                <w:color w:val="000000" w:themeColor="text1"/>
                <w:sz w:val="13"/>
                <w:szCs w:val="13"/>
              </w:rPr>
              <w:t xml:space="preserve">13 419 690 </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47CDAC75" w14:textId="61CA7E67"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 xml:space="preserve">14 053 467 </w:t>
            </w:r>
          </w:p>
        </w:tc>
        <w:tc>
          <w:tcPr>
            <w:tcW w:w="1418" w:type="dxa"/>
            <w:tcBorders>
              <w:top w:val="single" w:sz="4" w:space="0" w:color="0077BD"/>
              <w:left w:val="nil"/>
              <w:bottom w:val="single" w:sz="8" w:space="0" w:color="0077BD"/>
              <w:right w:val="single" w:sz="8" w:space="0" w:color="FFFFFF"/>
            </w:tcBorders>
            <w:shd w:val="clear" w:color="auto" w:fill="auto"/>
            <w:noWrap/>
            <w:vAlign w:val="center"/>
          </w:tcPr>
          <w:p w14:paraId="385DE683" w14:textId="730A880E" w:rsidR="005619B0" w:rsidRPr="005A46BF" w:rsidRDefault="005619B0" w:rsidP="005619B0">
            <w:pPr>
              <w:jc w:val="right"/>
              <w:rPr>
                <w:rFonts w:cs="Calibri"/>
                <w:color w:val="000000" w:themeColor="text1"/>
                <w:sz w:val="13"/>
                <w:szCs w:val="13"/>
              </w:rPr>
            </w:pPr>
            <w:r w:rsidRPr="005439C2">
              <w:rPr>
                <w:rFonts w:cs="Calibri"/>
                <w:color w:val="000000" w:themeColor="text1"/>
                <w:sz w:val="13"/>
                <w:szCs w:val="13"/>
              </w:rPr>
              <w:t xml:space="preserve">13 419 690 </w:t>
            </w:r>
          </w:p>
        </w:tc>
      </w:tr>
    </w:tbl>
    <w:p w14:paraId="2269DBAA" w14:textId="68B993A9" w:rsidR="008318EE" w:rsidRPr="0068723D" w:rsidRDefault="006F13C4" w:rsidP="006F13C4">
      <w:pPr>
        <w:spacing w:before="120"/>
        <w:jc w:val="both"/>
        <w:rPr>
          <w:color w:val="000000" w:themeColor="text1"/>
          <w:highlight w:val="yellow"/>
          <w:lang w:eastAsia="en-US"/>
        </w:rPr>
      </w:pPr>
      <w:r w:rsidRPr="0068723D">
        <w:rPr>
          <w:rFonts w:eastAsia="Calibri" w:cs="Verdana"/>
          <w:color w:val="000000" w:themeColor="text1"/>
          <w:sz w:val="18"/>
          <w:szCs w:val="18"/>
        </w:rPr>
        <w:t>Bezwzględny wzrost wartości ∆NII w większości scenariuszy wynikał z kilku nakładających się na siebie przyczyn. Pierwszą z nich była coroczna aktualizacja szoków w scenariuszach warunków skrajnych. Na koniec 2019 roku zastosowano bardziej konserwatywne, tj. bezwzględnie wyższe, wartości dla większości scenariuszy, szczególnie dla waluty PLN. Miało to znaczący wpływ na wzrost wartości ∆NII w</w:t>
      </w:r>
      <w:r w:rsidR="007B14BE">
        <w:rPr>
          <w:rFonts w:eastAsia="Calibri" w:cs="Verdana"/>
          <w:color w:val="000000" w:themeColor="text1"/>
          <w:sz w:val="18"/>
          <w:szCs w:val="18"/>
        </w:rPr>
        <w:t> </w:t>
      </w:r>
      <w:r w:rsidRPr="0068723D">
        <w:rPr>
          <w:rFonts w:eastAsia="Calibri" w:cs="Verdana"/>
          <w:color w:val="000000" w:themeColor="text1"/>
          <w:sz w:val="18"/>
          <w:szCs w:val="18"/>
        </w:rPr>
        <w:t>scenariuszu spadek szoku dla stóp krótkoterminowych. Kolejną przyczyną wzrostów były zmiany metodologiczne wprowadzone w procesie kalkulacji miary ∆NII w trakcie 2019 roku, do najważniejszych z</w:t>
      </w:r>
      <w:r w:rsidR="007B14BE">
        <w:rPr>
          <w:rFonts w:eastAsia="Calibri" w:cs="Verdana"/>
          <w:color w:val="000000" w:themeColor="text1"/>
          <w:sz w:val="18"/>
          <w:szCs w:val="18"/>
        </w:rPr>
        <w:t> </w:t>
      </w:r>
      <w:r w:rsidRPr="0068723D">
        <w:rPr>
          <w:rFonts w:eastAsia="Calibri" w:cs="Verdana"/>
          <w:color w:val="000000" w:themeColor="text1"/>
          <w:sz w:val="18"/>
          <w:szCs w:val="18"/>
        </w:rPr>
        <w:t>nich należało uwzględnienie ryzyka opcji klienta (przedpłaty kredytów, zerwania depozytów). Dodatkowo zmiany poziomów ∆ NII mogły wynikać ze wzrostu sumy bilansowej, którą obserwujemy pomiędzy 2018 i</w:t>
      </w:r>
      <w:r w:rsidR="007B14BE">
        <w:rPr>
          <w:rFonts w:eastAsia="Calibri" w:cs="Verdana"/>
          <w:color w:val="000000" w:themeColor="text1"/>
          <w:sz w:val="18"/>
          <w:szCs w:val="18"/>
        </w:rPr>
        <w:t> </w:t>
      </w:r>
      <w:r w:rsidRPr="0068723D">
        <w:rPr>
          <w:rFonts w:eastAsia="Calibri" w:cs="Verdana"/>
          <w:color w:val="000000" w:themeColor="text1"/>
          <w:sz w:val="18"/>
          <w:szCs w:val="18"/>
        </w:rPr>
        <w:t>2019 rokiem.</w:t>
      </w:r>
    </w:p>
    <w:p w14:paraId="181E3AEC" w14:textId="77777777" w:rsidR="001A7D8E" w:rsidRPr="0068723D" w:rsidRDefault="001A7D8E" w:rsidP="008318EE">
      <w:pPr>
        <w:rPr>
          <w:b/>
          <w:color w:val="000000" w:themeColor="text1"/>
          <w:sz w:val="18"/>
          <w:szCs w:val="18"/>
          <w:lang w:eastAsia="en-US"/>
        </w:rPr>
      </w:pPr>
    </w:p>
    <w:p w14:paraId="521CD0FD" w14:textId="6E92FDC4" w:rsidR="008318EE" w:rsidRPr="0068723D" w:rsidRDefault="008318EE" w:rsidP="008318EE">
      <w:pPr>
        <w:rPr>
          <w:b/>
          <w:color w:val="000000" w:themeColor="text1"/>
          <w:sz w:val="18"/>
          <w:szCs w:val="18"/>
          <w:lang w:eastAsia="en-US"/>
        </w:rPr>
      </w:pPr>
      <w:r w:rsidRPr="0068723D">
        <w:rPr>
          <w:b/>
          <w:color w:val="000000" w:themeColor="text1"/>
          <w:sz w:val="18"/>
          <w:szCs w:val="18"/>
          <w:lang w:eastAsia="en-US"/>
        </w:rPr>
        <w:t>mBank Hipoteczny S.A.</w:t>
      </w:r>
    </w:p>
    <w:p w14:paraId="368A57A5" w14:textId="77777777"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Podstawowymi miarami ryzyka stopy procentowej w mBanku Hipotecznego S.A. są luka niedopasowania terminów przeszacowania oraz liczony na jej bazie dochód odsetkowy narażony na ryzyko („EaR”).</w:t>
      </w:r>
    </w:p>
    <w:p w14:paraId="745137B2" w14:textId="77777777" w:rsidR="008318EE" w:rsidRPr="0068723D" w:rsidRDefault="008318EE" w:rsidP="00702449">
      <w:pPr>
        <w:spacing w:before="120" w:after="120"/>
        <w:jc w:val="both"/>
        <w:rPr>
          <w:color w:val="000000" w:themeColor="text1"/>
          <w:sz w:val="18"/>
          <w:szCs w:val="18"/>
          <w:lang w:eastAsia="en-US"/>
        </w:rPr>
      </w:pPr>
      <w:r w:rsidRPr="0068723D">
        <w:rPr>
          <w:color w:val="000000" w:themeColor="text1"/>
          <w:sz w:val="18"/>
          <w:szCs w:val="18"/>
          <w:lang w:eastAsia="en-US"/>
        </w:rPr>
        <w:t>Nagła zmiana rynkowych stóp procentowych o 100 bp dla wszystkich terminów zapadalności w przypadku, gdyby miała charakter trwały i o niekorzystnym kierunku spowodowałaby zmniejszenie rocznego dochodu odsetkowego o:</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702449" w:rsidRPr="00702449" w14:paraId="0196B784" w14:textId="77777777" w:rsidTr="002839CF">
        <w:trPr>
          <w:trHeight w:val="284"/>
        </w:trPr>
        <w:tc>
          <w:tcPr>
            <w:tcW w:w="6747" w:type="dxa"/>
            <w:tcBorders>
              <w:top w:val="single" w:sz="8" w:space="0" w:color="FFFFFF"/>
              <w:left w:val="single" w:sz="8" w:space="0" w:color="FFFFFF"/>
              <w:right w:val="single" w:sz="8" w:space="0" w:color="FFFFFF"/>
            </w:tcBorders>
            <w:shd w:val="clear" w:color="000000" w:fill="0077BD"/>
            <w:noWrap/>
            <w:vAlign w:val="center"/>
            <w:hideMark/>
          </w:tcPr>
          <w:p w14:paraId="2536B335" w14:textId="060E8824" w:rsidR="00702449" w:rsidRPr="00702449" w:rsidRDefault="00702449" w:rsidP="009E1E81">
            <w:pPr>
              <w:rPr>
                <w:rFonts w:cs="Calibri"/>
                <w:b/>
                <w:bCs/>
                <w:color w:val="FFFFFF"/>
                <w:sz w:val="13"/>
                <w:szCs w:val="13"/>
              </w:rPr>
            </w:pPr>
            <w:r w:rsidRPr="00702449">
              <w:rPr>
                <w:rFonts w:cs="Calibri"/>
                <w:b/>
                <w:bCs/>
                <w:color w:val="FFFFFF"/>
                <w:sz w:val="13"/>
                <w:szCs w:val="13"/>
              </w:rPr>
              <w:t>EaR (w tys. zł)</w:t>
            </w:r>
          </w:p>
        </w:tc>
        <w:tc>
          <w:tcPr>
            <w:tcW w:w="1418" w:type="dxa"/>
            <w:tcBorders>
              <w:top w:val="single" w:sz="8" w:space="0" w:color="FFFFFF"/>
              <w:left w:val="nil"/>
              <w:right w:val="single" w:sz="8" w:space="0" w:color="FFFFFF"/>
            </w:tcBorders>
            <w:shd w:val="clear" w:color="000000" w:fill="0077BD"/>
            <w:noWrap/>
            <w:vAlign w:val="center"/>
            <w:hideMark/>
          </w:tcPr>
          <w:p w14:paraId="3E85AD3B" w14:textId="1C052E9A" w:rsidR="00702449" w:rsidRPr="00702449" w:rsidRDefault="00902B19" w:rsidP="00902B19">
            <w:pPr>
              <w:jc w:val="right"/>
              <w:rPr>
                <w:rFonts w:cs="Calibri"/>
                <w:b/>
                <w:bCs/>
                <w:color w:val="FFFFFF"/>
                <w:sz w:val="13"/>
                <w:szCs w:val="13"/>
              </w:rPr>
            </w:pPr>
            <w:r>
              <w:rPr>
                <w:rFonts w:cs="Calibri"/>
                <w:b/>
                <w:bCs/>
                <w:color w:val="FFFFFF"/>
                <w:sz w:val="13"/>
                <w:szCs w:val="13"/>
              </w:rPr>
              <w:t>31.12.</w:t>
            </w:r>
            <w:r w:rsidR="00702449" w:rsidRPr="00702449">
              <w:rPr>
                <w:rFonts w:cs="Calibri"/>
                <w:b/>
                <w:bCs/>
                <w:color w:val="FFFFFF"/>
                <w:sz w:val="13"/>
                <w:szCs w:val="13"/>
              </w:rPr>
              <w:t>2019</w:t>
            </w:r>
          </w:p>
        </w:tc>
        <w:tc>
          <w:tcPr>
            <w:tcW w:w="1418" w:type="dxa"/>
            <w:tcBorders>
              <w:top w:val="single" w:sz="8" w:space="0" w:color="FFFFFF"/>
              <w:left w:val="nil"/>
              <w:right w:val="nil"/>
            </w:tcBorders>
            <w:shd w:val="clear" w:color="000000" w:fill="0077BD"/>
            <w:noWrap/>
            <w:vAlign w:val="center"/>
            <w:hideMark/>
          </w:tcPr>
          <w:p w14:paraId="29537405" w14:textId="04B59C22" w:rsidR="00702449" w:rsidRPr="00702449" w:rsidRDefault="00902B19" w:rsidP="00902B19">
            <w:pPr>
              <w:jc w:val="right"/>
              <w:rPr>
                <w:rFonts w:cs="Calibri"/>
                <w:b/>
                <w:bCs/>
                <w:color w:val="FFFFFF"/>
                <w:sz w:val="13"/>
                <w:szCs w:val="13"/>
              </w:rPr>
            </w:pPr>
            <w:r>
              <w:rPr>
                <w:rFonts w:cs="Calibri"/>
                <w:b/>
                <w:bCs/>
                <w:color w:val="FFFFFF"/>
                <w:sz w:val="13"/>
                <w:szCs w:val="13"/>
              </w:rPr>
              <w:t>31.12.</w:t>
            </w:r>
            <w:r w:rsidR="00702449" w:rsidRPr="00702449">
              <w:rPr>
                <w:rFonts w:cs="Calibri"/>
                <w:b/>
                <w:bCs/>
                <w:color w:val="FFFFFF"/>
                <w:sz w:val="13"/>
                <w:szCs w:val="13"/>
              </w:rPr>
              <w:t>2018</w:t>
            </w:r>
          </w:p>
        </w:tc>
      </w:tr>
      <w:tr w:rsidR="00D54765" w:rsidRPr="0068723D" w14:paraId="3DE7FCB5" w14:textId="77777777" w:rsidTr="00C6148C">
        <w:trPr>
          <w:trHeight w:val="284"/>
        </w:trPr>
        <w:tc>
          <w:tcPr>
            <w:tcW w:w="6747" w:type="dxa"/>
            <w:tcBorders>
              <w:left w:val="nil"/>
              <w:bottom w:val="single" w:sz="4" w:space="0" w:color="0077BD"/>
              <w:right w:val="single" w:sz="8" w:space="0" w:color="0077BD"/>
            </w:tcBorders>
            <w:shd w:val="clear" w:color="auto" w:fill="auto"/>
            <w:noWrap/>
            <w:vAlign w:val="center"/>
            <w:hideMark/>
          </w:tcPr>
          <w:p w14:paraId="0E0AF250" w14:textId="77777777" w:rsidR="00702449" w:rsidRPr="00842482" w:rsidRDefault="00702449" w:rsidP="00702449">
            <w:pPr>
              <w:rPr>
                <w:rFonts w:cs="Calibri"/>
                <w:color w:val="000000" w:themeColor="text1"/>
                <w:sz w:val="13"/>
                <w:szCs w:val="13"/>
              </w:rPr>
            </w:pPr>
            <w:r w:rsidRPr="00842482">
              <w:rPr>
                <w:rFonts w:cs="Calibri"/>
                <w:color w:val="000000" w:themeColor="text1"/>
                <w:sz w:val="13"/>
                <w:szCs w:val="13"/>
              </w:rPr>
              <w:t>dla pozycji wyrażonych w PLN</w:t>
            </w:r>
          </w:p>
        </w:tc>
        <w:tc>
          <w:tcPr>
            <w:tcW w:w="1418" w:type="dxa"/>
            <w:tcBorders>
              <w:left w:val="single" w:sz="8" w:space="0" w:color="0077BD"/>
              <w:bottom w:val="single" w:sz="4" w:space="0" w:color="0077BD"/>
              <w:right w:val="single" w:sz="8" w:space="0" w:color="0077BD"/>
            </w:tcBorders>
            <w:shd w:val="clear" w:color="auto" w:fill="auto"/>
            <w:noWrap/>
            <w:vAlign w:val="center"/>
          </w:tcPr>
          <w:p w14:paraId="54FE92BF" w14:textId="35A05BA2" w:rsidR="00702449" w:rsidRPr="00842482" w:rsidRDefault="00C6148C" w:rsidP="00702449">
            <w:pPr>
              <w:jc w:val="right"/>
              <w:rPr>
                <w:rFonts w:cs="Calibri"/>
                <w:color w:val="000000" w:themeColor="text1"/>
                <w:sz w:val="13"/>
                <w:szCs w:val="13"/>
              </w:rPr>
            </w:pPr>
            <w:r w:rsidRPr="00842482">
              <w:rPr>
                <w:rFonts w:cs="Calibri"/>
                <w:color w:val="000000" w:themeColor="text1"/>
                <w:sz w:val="13"/>
                <w:szCs w:val="13"/>
              </w:rPr>
              <w:t>8 002</w:t>
            </w:r>
          </w:p>
        </w:tc>
        <w:tc>
          <w:tcPr>
            <w:tcW w:w="1418" w:type="dxa"/>
            <w:tcBorders>
              <w:left w:val="single" w:sz="8" w:space="0" w:color="0077BD"/>
              <w:bottom w:val="single" w:sz="4" w:space="0" w:color="0077BD"/>
              <w:right w:val="nil"/>
            </w:tcBorders>
            <w:shd w:val="clear" w:color="auto" w:fill="auto"/>
            <w:noWrap/>
            <w:vAlign w:val="center"/>
            <w:hideMark/>
          </w:tcPr>
          <w:p w14:paraId="45508AC2" w14:textId="77777777" w:rsidR="00702449" w:rsidRPr="00842482" w:rsidRDefault="00702449" w:rsidP="00702449">
            <w:pPr>
              <w:jc w:val="right"/>
              <w:rPr>
                <w:rFonts w:cs="Calibri"/>
                <w:color w:val="000000" w:themeColor="text1"/>
                <w:sz w:val="13"/>
                <w:szCs w:val="13"/>
              </w:rPr>
            </w:pPr>
            <w:r w:rsidRPr="00842482">
              <w:rPr>
                <w:rFonts w:cs="Calibri"/>
                <w:color w:val="000000" w:themeColor="text1"/>
                <w:sz w:val="13"/>
                <w:szCs w:val="13"/>
              </w:rPr>
              <w:t>6 487</w:t>
            </w:r>
          </w:p>
        </w:tc>
      </w:tr>
      <w:tr w:rsidR="00D54765" w:rsidRPr="0068723D" w14:paraId="7D84E21C" w14:textId="77777777" w:rsidTr="00C6148C">
        <w:trPr>
          <w:trHeight w:val="284"/>
        </w:trPr>
        <w:tc>
          <w:tcPr>
            <w:tcW w:w="6747" w:type="dxa"/>
            <w:tcBorders>
              <w:top w:val="single" w:sz="4" w:space="0" w:color="0077BD"/>
              <w:left w:val="nil"/>
              <w:bottom w:val="single" w:sz="4" w:space="0" w:color="0077BD"/>
              <w:right w:val="single" w:sz="8" w:space="0" w:color="0077BD"/>
            </w:tcBorders>
            <w:shd w:val="clear" w:color="auto" w:fill="auto"/>
            <w:noWrap/>
            <w:vAlign w:val="center"/>
            <w:hideMark/>
          </w:tcPr>
          <w:p w14:paraId="07D6897E" w14:textId="77777777" w:rsidR="00702449" w:rsidRPr="00842482" w:rsidRDefault="00702449" w:rsidP="00702449">
            <w:pPr>
              <w:rPr>
                <w:rFonts w:cs="Calibri"/>
                <w:color w:val="000000" w:themeColor="text1"/>
                <w:sz w:val="13"/>
                <w:szCs w:val="13"/>
              </w:rPr>
            </w:pPr>
            <w:r w:rsidRPr="00842482">
              <w:rPr>
                <w:rFonts w:cs="Calibri"/>
                <w:color w:val="000000" w:themeColor="text1"/>
                <w:sz w:val="13"/>
                <w:szCs w:val="13"/>
              </w:rPr>
              <w:t>dla pozycji wyrażonych w USD</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C65632A" w14:textId="1A4E8E94" w:rsidR="00702449" w:rsidRPr="00842482" w:rsidRDefault="00C6148C" w:rsidP="00702449">
            <w:pPr>
              <w:jc w:val="right"/>
              <w:rPr>
                <w:rFonts w:cs="Calibri"/>
                <w:color w:val="000000" w:themeColor="text1"/>
                <w:sz w:val="13"/>
                <w:szCs w:val="13"/>
              </w:rPr>
            </w:pPr>
            <w:r w:rsidRPr="00842482">
              <w:rPr>
                <w:rFonts w:cs="Calibri"/>
                <w:color w:val="000000" w:themeColor="text1"/>
                <w:sz w:val="13"/>
                <w:szCs w:val="13"/>
              </w:rPr>
              <w:t>20</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689A2B88" w14:textId="77777777" w:rsidR="00702449" w:rsidRPr="00842482" w:rsidRDefault="00702449" w:rsidP="00702449">
            <w:pPr>
              <w:jc w:val="right"/>
              <w:rPr>
                <w:rFonts w:cs="Calibri"/>
                <w:color w:val="000000" w:themeColor="text1"/>
                <w:sz w:val="13"/>
                <w:szCs w:val="13"/>
              </w:rPr>
            </w:pPr>
            <w:r w:rsidRPr="00842482">
              <w:rPr>
                <w:rFonts w:cs="Calibri"/>
                <w:color w:val="000000" w:themeColor="text1"/>
                <w:sz w:val="13"/>
                <w:szCs w:val="13"/>
              </w:rPr>
              <w:t>2</w:t>
            </w:r>
          </w:p>
        </w:tc>
      </w:tr>
      <w:tr w:rsidR="00D54765" w:rsidRPr="0068723D" w14:paraId="033B74A4" w14:textId="77777777" w:rsidTr="00C6148C">
        <w:trPr>
          <w:trHeight w:val="284"/>
        </w:trPr>
        <w:tc>
          <w:tcPr>
            <w:tcW w:w="6747" w:type="dxa"/>
            <w:tcBorders>
              <w:top w:val="single" w:sz="4" w:space="0" w:color="0077BD"/>
              <w:left w:val="nil"/>
              <w:bottom w:val="single" w:sz="8" w:space="0" w:color="0077BD"/>
              <w:right w:val="single" w:sz="8" w:space="0" w:color="0077BD"/>
            </w:tcBorders>
            <w:shd w:val="clear" w:color="auto" w:fill="auto"/>
            <w:noWrap/>
            <w:vAlign w:val="center"/>
            <w:hideMark/>
          </w:tcPr>
          <w:p w14:paraId="6DE346FA" w14:textId="77777777" w:rsidR="00702449" w:rsidRPr="00842482" w:rsidRDefault="00702449" w:rsidP="00702449">
            <w:pPr>
              <w:rPr>
                <w:rFonts w:cs="Calibri"/>
                <w:color w:val="000000" w:themeColor="text1"/>
                <w:sz w:val="13"/>
                <w:szCs w:val="13"/>
              </w:rPr>
            </w:pPr>
            <w:r w:rsidRPr="00842482">
              <w:rPr>
                <w:rFonts w:cs="Calibri"/>
                <w:color w:val="000000" w:themeColor="text1"/>
                <w:sz w:val="13"/>
                <w:szCs w:val="13"/>
              </w:rPr>
              <w:t>dla pozycji wyrażonych w EUR</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4326D9EF" w14:textId="4626D44F" w:rsidR="00702449" w:rsidRPr="00842482" w:rsidRDefault="00C6148C" w:rsidP="00702449">
            <w:pPr>
              <w:jc w:val="right"/>
              <w:rPr>
                <w:rFonts w:cs="Calibri"/>
                <w:color w:val="000000" w:themeColor="text1"/>
                <w:sz w:val="13"/>
                <w:szCs w:val="13"/>
              </w:rPr>
            </w:pPr>
            <w:r w:rsidRPr="00842482">
              <w:rPr>
                <w:rFonts w:cs="Calibri"/>
                <w:color w:val="000000" w:themeColor="text1"/>
                <w:sz w:val="13"/>
                <w:szCs w:val="13"/>
              </w:rPr>
              <w:t>510</w:t>
            </w:r>
          </w:p>
        </w:tc>
        <w:tc>
          <w:tcPr>
            <w:tcW w:w="1418" w:type="dxa"/>
            <w:tcBorders>
              <w:top w:val="single" w:sz="4" w:space="0" w:color="0077BD"/>
              <w:left w:val="single" w:sz="8" w:space="0" w:color="0077BD"/>
              <w:bottom w:val="single" w:sz="8" w:space="0" w:color="0077BD"/>
              <w:right w:val="nil"/>
            </w:tcBorders>
            <w:shd w:val="clear" w:color="auto" w:fill="auto"/>
            <w:noWrap/>
            <w:vAlign w:val="center"/>
            <w:hideMark/>
          </w:tcPr>
          <w:p w14:paraId="44837C11" w14:textId="77777777" w:rsidR="00702449" w:rsidRPr="00842482" w:rsidRDefault="00702449" w:rsidP="00702449">
            <w:pPr>
              <w:jc w:val="right"/>
              <w:rPr>
                <w:rFonts w:cs="Calibri"/>
                <w:color w:val="000000" w:themeColor="text1"/>
                <w:sz w:val="13"/>
                <w:szCs w:val="13"/>
              </w:rPr>
            </w:pPr>
            <w:r w:rsidRPr="00842482">
              <w:rPr>
                <w:rFonts w:cs="Calibri"/>
                <w:color w:val="000000" w:themeColor="text1"/>
                <w:sz w:val="13"/>
                <w:szCs w:val="13"/>
              </w:rPr>
              <w:t>705</w:t>
            </w:r>
          </w:p>
        </w:tc>
      </w:tr>
    </w:tbl>
    <w:p w14:paraId="2B0F28F8" w14:textId="736021DE"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Przy wyliczaniu tych wartości, przyjęto założenie, że struktura aktywów i zobowiązań ujętych w sprawozdaniach finansowych</w:t>
      </w:r>
      <w:r w:rsidR="00702449" w:rsidRPr="0068723D">
        <w:rPr>
          <w:color w:val="000000" w:themeColor="text1"/>
          <w:sz w:val="18"/>
          <w:szCs w:val="18"/>
          <w:lang w:eastAsia="en-US"/>
        </w:rPr>
        <w:t xml:space="preserve"> według stanu na 31 grudnia 2019</w:t>
      </w:r>
      <w:r w:rsidRPr="0068723D">
        <w:rPr>
          <w:color w:val="000000" w:themeColor="text1"/>
          <w:sz w:val="18"/>
          <w:szCs w:val="18"/>
          <w:lang w:eastAsia="en-US"/>
        </w:rPr>
        <w:t xml:space="preserve"> roku i</w:t>
      </w:r>
      <w:r w:rsidR="00702449" w:rsidRPr="0068723D">
        <w:rPr>
          <w:color w:val="000000" w:themeColor="text1"/>
          <w:sz w:val="18"/>
          <w:szCs w:val="18"/>
          <w:lang w:eastAsia="en-US"/>
        </w:rPr>
        <w:t xml:space="preserve"> według stanu na 31 grudnia 2018</w:t>
      </w:r>
      <w:r w:rsidRPr="0068723D">
        <w:rPr>
          <w:color w:val="000000" w:themeColor="text1"/>
          <w:sz w:val="18"/>
          <w:szCs w:val="18"/>
          <w:lang w:eastAsia="en-US"/>
        </w:rPr>
        <w:t xml:space="preserve"> roku nie ulegnie zmianie w trakcie najbliższego roku, ani że Bank nie podejmie żadnych działań w celu zmiany ekspozycji narażonej na ryzyko.</w:t>
      </w:r>
    </w:p>
    <w:p w14:paraId="7FA38D94" w14:textId="77777777" w:rsidR="008318EE" w:rsidRPr="0068723D" w:rsidRDefault="008318EE" w:rsidP="008318EE">
      <w:pPr>
        <w:rPr>
          <w:color w:val="000000" w:themeColor="text1"/>
          <w:lang w:eastAsia="en-US"/>
        </w:rPr>
      </w:pPr>
    </w:p>
    <w:p w14:paraId="407B5EA7" w14:textId="77777777" w:rsidR="008318EE" w:rsidRPr="0068723D" w:rsidRDefault="008318EE" w:rsidP="008318EE">
      <w:pPr>
        <w:rPr>
          <w:b/>
          <w:color w:val="000000" w:themeColor="text1"/>
          <w:sz w:val="18"/>
          <w:szCs w:val="18"/>
          <w:lang w:val="en-GB" w:eastAsia="en-US"/>
        </w:rPr>
      </w:pPr>
      <w:r w:rsidRPr="0068723D">
        <w:rPr>
          <w:b/>
          <w:color w:val="000000" w:themeColor="text1"/>
          <w:sz w:val="18"/>
          <w:szCs w:val="18"/>
          <w:lang w:val="en-GB" w:eastAsia="en-US"/>
        </w:rPr>
        <w:t>mLeasing Sp. z o.o.</w:t>
      </w:r>
    </w:p>
    <w:p w14:paraId="57EAF81F" w14:textId="77777777"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 xml:space="preserve">Ryzyko rynkowe oznacza dla Spółki potencjalną stratę wywołaną niekorzystnymi zmianami cen rynkowych lub parametrów, na które ceny rynkowe mają wpływ. Spółka jest narażona w tym zakresie na ryzyko wynikające z otwartych pozycji walutowych oraz z niedopasowania produktów obciążonych ryzykiem stopy procentowej w zakresie terminów zapadalności i/lub terminów przeszacowań. </w:t>
      </w:r>
    </w:p>
    <w:p w14:paraId="6C3D93BA" w14:textId="77777777"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Spółka stosuje globalną miarę dla mierzenia wartości portfela bankowego zagrożonego ryzykiem walutowym i stopy procentowej jaką jest VaR.</w:t>
      </w:r>
    </w:p>
    <w:p w14:paraId="115937F1" w14:textId="77777777"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Suma VaR ryzyka stopy procentowej oraz VaR ryzyka kursowego stanowi VaR globalny Spółki. VaR ryzyka stopy procentowej prezentuje wpływ zmian stopy procentowej na wartość portfela Spółki. VaR ryzyka kursowego prezentuje wpływ zmian kursów walut na wycenę pozycji bilansowych zobowiązań i aktywów do dnia ich przeszacowania (zmiany oprocentowania).</w:t>
      </w:r>
    </w:p>
    <w:p w14:paraId="26C3C549" w14:textId="77777777"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 xml:space="preserve">Zgodnie z decyzją Komitetu Ryzyka mBanku S.A. dotyczącą zasad monitorowania poziomu ryzyka rynkowego w podmiotach zależnych należących do Grupy mBanku, mBank przekazuje wyznaczone wartości miar ryzyka dla portfela mLeasing. </w:t>
      </w:r>
    </w:p>
    <w:p w14:paraId="3F7445DB" w14:textId="72F7256B"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lastRenderedPageBreak/>
        <w:t xml:space="preserve">Wysokość VaR (97,5% poziom ufności, okres przetrzymania 1 dzień) nie może przekraczać podstawowego </w:t>
      </w:r>
      <w:r w:rsidRPr="000613C0">
        <w:rPr>
          <w:color w:val="000000" w:themeColor="text1"/>
          <w:sz w:val="18"/>
          <w:szCs w:val="18"/>
          <w:lang w:eastAsia="en-US"/>
        </w:rPr>
        <w:t>limitu VaR na mLeasing stosowanego przez mBank S.A. w danym okresie (600 tys. zł na koniec 201</w:t>
      </w:r>
      <w:r w:rsidR="00702449" w:rsidRPr="000613C0">
        <w:rPr>
          <w:color w:val="000000" w:themeColor="text1"/>
          <w:sz w:val="18"/>
          <w:szCs w:val="18"/>
          <w:lang w:eastAsia="en-US"/>
        </w:rPr>
        <w:t>9</w:t>
      </w:r>
      <w:r w:rsidRPr="0068723D">
        <w:rPr>
          <w:color w:val="000000" w:themeColor="text1"/>
          <w:sz w:val="18"/>
          <w:szCs w:val="18"/>
          <w:lang w:eastAsia="en-US"/>
        </w:rPr>
        <w:t xml:space="preserve"> roku).</w:t>
      </w:r>
    </w:p>
    <w:p w14:paraId="6AA8AF35" w14:textId="794968BF" w:rsidR="008318EE" w:rsidRPr="0068723D" w:rsidRDefault="008318EE" w:rsidP="008318EE">
      <w:pPr>
        <w:spacing w:before="120"/>
        <w:jc w:val="both"/>
        <w:rPr>
          <w:color w:val="000000" w:themeColor="text1"/>
          <w:sz w:val="18"/>
          <w:szCs w:val="18"/>
          <w:lang w:eastAsia="en-US"/>
        </w:rPr>
      </w:pPr>
      <w:r w:rsidRPr="0068723D">
        <w:rPr>
          <w:color w:val="000000" w:themeColor="text1"/>
          <w:sz w:val="18"/>
          <w:szCs w:val="18"/>
          <w:lang w:eastAsia="en-US"/>
        </w:rPr>
        <w:t>Poniższa tabela przedstawia warto</w:t>
      </w:r>
      <w:r w:rsidR="00702449" w:rsidRPr="0068723D">
        <w:rPr>
          <w:color w:val="000000" w:themeColor="text1"/>
          <w:sz w:val="18"/>
          <w:szCs w:val="18"/>
          <w:lang w:eastAsia="en-US"/>
        </w:rPr>
        <w:t>ści VaR na dzień 31 grudnia 2019</w:t>
      </w:r>
      <w:r w:rsidRPr="0068723D">
        <w:rPr>
          <w:color w:val="000000" w:themeColor="text1"/>
          <w:sz w:val="18"/>
          <w:szCs w:val="18"/>
          <w:lang w:eastAsia="en-US"/>
        </w:rPr>
        <w:t xml:space="preserve"> roku oraz na dzień 31 grud</w:t>
      </w:r>
      <w:r w:rsidR="00702449" w:rsidRPr="0068723D">
        <w:rPr>
          <w:color w:val="000000" w:themeColor="text1"/>
          <w:sz w:val="18"/>
          <w:szCs w:val="18"/>
          <w:lang w:eastAsia="en-US"/>
        </w:rPr>
        <w:t>nia 2018</w:t>
      </w:r>
      <w:r w:rsidRPr="0068723D">
        <w:rPr>
          <w:color w:val="000000" w:themeColor="text1"/>
          <w:sz w:val="18"/>
          <w:szCs w:val="18"/>
          <w:lang w:eastAsia="en-US"/>
        </w:rPr>
        <w:t xml:space="preserve"> roku, wyliczone przy zastosowaniu opisanych powyżej parametrów.</w:t>
      </w:r>
    </w:p>
    <w:p w14:paraId="64567D7C" w14:textId="37E7B5B3" w:rsidR="008318EE" w:rsidRDefault="008318EE" w:rsidP="00676165">
      <w:pPr>
        <w:jc w:val="both"/>
        <w:rPr>
          <w:noProof/>
        </w:rPr>
      </w:pPr>
    </w:p>
    <w:tbl>
      <w:tblPr>
        <w:tblW w:w="0" w:type="auto"/>
        <w:tblLayout w:type="fixed"/>
        <w:tblCellMar>
          <w:left w:w="28" w:type="dxa"/>
          <w:right w:w="28" w:type="dxa"/>
        </w:tblCellMar>
        <w:tblLook w:val="04A0" w:firstRow="1" w:lastRow="0" w:firstColumn="1" w:lastColumn="0" w:noHBand="0" w:noVBand="1"/>
      </w:tblPr>
      <w:tblGrid>
        <w:gridCol w:w="6747"/>
        <w:gridCol w:w="1418"/>
        <w:gridCol w:w="1418"/>
      </w:tblGrid>
      <w:tr w:rsidR="00646C29" w:rsidRPr="00646C29" w14:paraId="682FD8FA" w14:textId="77777777" w:rsidTr="0065578E">
        <w:trPr>
          <w:trHeight w:val="300"/>
        </w:trPr>
        <w:tc>
          <w:tcPr>
            <w:tcW w:w="6747" w:type="dxa"/>
            <w:vMerge w:val="restart"/>
            <w:tcBorders>
              <w:top w:val="single" w:sz="8" w:space="0" w:color="FFFFFF"/>
              <w:left w:val="nil"/>
              <w:bottom w:val="single" w:sz="8" w:space="0" w:color="FFFFFF"/>
              <w:right w:val="single" w:sz="8" w:space="0" w:color="FFFFFF"/>
            </w:tcBorders>
            <w:shd w:val="clear" w:color="000000" w:fill="0077BD"/>
            <w:noWrap/>
            <w:vAlign w:val="center"/>
            <w:hideMark/>
          </w:tcPr>
          <w:p w14:paraId="09AA0ADF" w14:textId="77777777" w:rsidR="00646C29" w:rsidRPr="00646C29" w:rsidRDefault="00646C29" w:rsidP="00646C29">
            <w:pPr>
              <w:rPr>
                <w:rFonts w:cs="Calibri"/>
                <w:b/>
                <w:bCs/>
                <w:color w:val="FFFFFF"/>
                <w:sz w:val="13"/>
                <w:szCs w:val="13"/>
              </w:rPr>
            </w:pPr>
            <w:r w:rsidRPr="00646C29">
              <w:rPr>
                <w:rFonts w:cs="Calibri"/>
                <w:b/>
                <w:bCs/>
                <w:color w:val="FFFFFF"/>
                <w:sz w:val="13"/>
                <w:szCs w:val="13"/>
              </w:rPr>
              <w:t>w tys. zł</w:t>
            </w:r>
          </w:p>
        </w:tc>
        <w:tc>
          <w:tcPr>
            <w:tcW w:w="1418" w:type="dxa"/>
            <w:gridSpan w:val="2"/>
            <w:tcBorders>
              <w:top w:val="single" w:sz="8" w:space="0" w:color="FFFFFF"/>
              <w:left w:val="nil"/>
              <w:bottom w:val="single" w:sz="4" w:space="0" w:color="FFFFFF"/>
              <w:right w:val="nil"/>
            </w:tcBorders>
            <w:shd w:val="clear" w:color="000000" w:fill="0077BD"/>
            <w:vAlign w:val="center"/>
            <w:hideMark/>
          </w:tcPr>
          <w:p w14:paraId="5B6FB998" w14:textId="77777777" w:rsidR="00646C29" w:rsidRPr="00646C29" w:rsidRDefault="00646C29" w:rsidP="00646C29">
            <w:pPr>
              <w:jc w:val="center"/>
              <w:rPr>
                <w:rFonts w:cs="Calibri"/>
                <w:b/>
                <w:bCs/>
                <w:color w:val="FFFFFF"/>
                <w:sz w:val="13"/>
                <w:szCs w:val="13"/>
              </w:rPr>
            </w:pPr>
            <w:r w:rsidRPr="00646C29">
              <w:rPr>
                <w:rFonts w:cs="Calibri"/>
                <w:b/>
                <w:bCs/>
                <w:color w:val="FFFFFF"/>
                <w:sz w:val="13"/>
                <w:szCs w:val="13"/>
              </w:rPr>
              <w:t>VaR</w:t>
            </w:r>
          </w:p>
        </w:tc>
      </w:tr>
      <w:tr w:rsidR="00646C29" w:rsidRPr="00646C29" w14:paraId="2262E956" w14:textId="77777777" w:rsidTr="005869CD">
        <w:trPr>
          <w:trHeight w:val="300"/>
        </w:trPr>
        <w:tc>
          <w:tcPr>
            <w:tcW w:w="6747" w:type="dxa"/>
            <w:vMerge/>
            <w:tcBorders>
              <w:top w:val="single" w:sz="8" w:space="0" w:color="FFFFFF"/>
              <w:left w:val="nil"/>
              <w:right w:val="single" w:sz="8" w:space="0" w:color="FFFFFF"/>
            </w:tcBorders>
            <w:vAlign w:val="center"/>
            <w:hideMark/>
          </w:tcPr>
          <w:p w14:paraId="0EA3EA15" w14:textId="77777777" w:rsidR="00646C29" w:rsidRPr="00646C29" w:rsidRDefault="00646C29" w:rsidP="00646C29">
            <w:pPr>
              <w:rPr>
                <w:rFonts w:cs="Calibri"/>
                <w:b/>
                <w:bCs/>
                <w:color w:val="FFFFFF"/>
                <w:sz w:val="13"/>
                <w:szCs w:val="13"/>
              </w:rPr>
            </w:pPr>
          </w:p>
        </w:tc>
        <w:tc>
          <w:tcPr>
            <w:tcW w:w="1418" w:type="dxa"/>
            <w:tcBorders>
              <w:top w:val="single" w:sz="4" w:space="0" w:color="FFFFFF"/>
              <w:left w:val="nil"/>
              <w:right w:val="single" w:sz="8" w:space="0" w:color="FFFFFF"/>
            </w:tcBorders>
            <w:shd w:val="clear" w:color="000000" w:fill="0077BD"/>
            <w:noWrap/>
            <w:vAlign w:val="center"/>
            <w:hideMark/>
          </w:tcPr>
          <w:p w14:paraId="4157D363" w14:textId="4CFCAF07" w:rsidR="00646C29" w:rsidRPr="00646C29" w:rsidRDefault="00E17B40" w:rsidP="00E17B40">
            <w:pPr>
              <w:jc w:val="right"/>
              <w:rPr>
                <w:rFonts w:cs="Calibri"/>
                <w:b/>
                <w:bCs/>
                <w:color w:val="FFFFFF"/>
                <w:sz w:val="13"/>
                <w:szCs w:val="13"/>
              </w:rPr>
            </w:pPr>
            <w:r>
              <w:rPr>
                <w:rFonts w:cs="Calibri"/>
                <w:b/>
                <w:bCs/>
                <w:color w:val="FFFFFF"/>
                <w:sz w:val="13"/>
                <w:szCs w:val="13"/>
              </w:rPr>
              <w:t>31.12.</w:t>
            </w:r>
            <w:r w:rsidR="00646C29" w:rsidRPr="00646C29">
              <w:rPr>
                <w:rFonts w:cs="Calibri"/>
                <w:b/>
                <w:bCs/>
                <w:color w:val="FFFFFF"/>
                <w:sz w:val="13"/>
                <w:szCs w:val="13"/>
              </w:rPr>
              <w:t>2019</w:t>
            </w:r>
          </w:p>
        </w:tc>
        <w:tc>
          <w:tcPr>
            <w:tcW w:w="1418" w:type="dxa"/>
            <w:tcBorders>
              <w:top w:val="single" w:sz="4" w:space="0" w:color="FFFFFF"/>
              <w:left w:val="nil"/>
              <w:right w:val="nil"/>
            </w:tcBorders>
            <w:shd w:val="clear" w:color="000000" w:fill="0077BD"/>
            <w:noWrap/>
            <w:vAlign w:val="center"/>
            <w:hideMark/>
          </w:tcPr>
          <w:p w14:paraId="615559CD" w14:textId="1B4A7942" w:rsidR="00646C29" w:rsidRPr="00646C29" w:rsidRDefault="00E17B40" w:rsidP="00E17B40">
            <w:pPr>
              <w:jc w:val="right"/>
              <w:rPr>
                <w:rFonts w:cs="Calibri"/>
                <w:b/>
                <w:bCs/>
                <w:color w:val="FFFFFF"/>
                <w:sz w:val="13"/>
                <w:szCs w:val="13"/>
              </w:rPr>
            </w:pPr>
            <w:r>
              <w:rPr>
                <w:rFonts w:cs="Calibri"/>
                <w:b/>
                <w:bCs/>
                <w:color w:val="FFFFFF"/>
                <w:sz w:val="13"/>
                <w:szCs w:val="13"/>
              </w:rPr>
              <w:t>31.12.</w:t>
            </w:r>
            <w:r w:rsidR="00646C29" w:rsidRPr="00646C29">
              <w:rPr>
                <w:rFonts w:cs="Calibri"/>
                <w:b/>
                <w:bCs/>
                <w:color w:val="FFFFFF"/>
                <w:sz w:val="13"/>
                <w:szCs w:val="13"/>
              </w:rPr>
              <w:t>2018</w:t>
            </w:r>
          </w:p>
        </w:tc>
      </w:tr>
      <w:tr w:rsidR="00D54765" w:rsidRPr="0068723D" w14:paraId="431B0DF9" w14:textId="77777777" w:rsidTr="00E97698">
        <w:trPr>
          <w:trHeight w:val="300"/>
        </w:trPr>
        <w:tc>
          <w:tcPr>
            <w:tcW w:w="6747" w:type="dxa"/>
            <w:tcBorders>
              <w:left w:val="nil"/>
              <w:bottom w:val="single" w:sz="4" w:space="0" w:color="0077BD"/>
              <w:right w:val="single" w:sz="6" w:space="0" w:color="0077BD"/>
            </w:tcBorders>
            <w:shd w:val="clear" w:color="auto" w:fill="auto"/>
            <w:noWrap/>
            <w:vAlign w:val="center"/>
            <w:hideMark/>
          </w:tcPr>
          <w:p w14:paraId="479E563E" w14:textId="77777777" w:rsidR="00646C29" w:rsidRPr="00842482" w:rsidRDefault="00646C29" w:rsidP="00646C29">
            <w:pPr>
              <w:rPr>
                <w:rFonts w:cs="Calibri"/>
                <w:color w:val="000000" w:themeColor="text1"/>
                <w:sz w:val="13"/>
                <w:szCs w:val="13"/>
              </w:rPr>
            </w:pPr>
            <w:r w:rsidRPr="00842482">
              <w:rPr>
                <w:rFonts w:cs="Calibri"/>
                <w:color w:val="000000" w:themeColor="text1"/>
                <w:sz w:val="13"/>
                <w:szCs w:val="13"/>
              </w:rPr>
              <w:t>Ryzyko stopy procentowej</w:t>
            </w:r>
          </w:p>
        </w:tc>
        <w:tc>
          <w:tcPr>
            <w:tcW w:w="1418" w:type="dxa"/>
            <w:tcBorders>
              <w:left w:val="single" w:sz="6" w:space="0" w:color="0077BD"/>
              <w:bottom w:val="single" w:sz="4" w:space="0" w:color="0077BD"/>
              <w:right w:val="single" w:sz="6" w:space="0" w:color="0077BD"/>
            </w:tcBorders>
            <w:shd w:val="clear" w:color="auto" w:fill="auto"/>
            <w:noWrap/>
            <w:vAlign w:val="center"/>
          </w:tcPr>
          <w:p w14:paraId="205F65BD" w14:textId="512278D3" w:rsidR="00646C29" w:rsidRPr="00842482" w:rsidRDefault="000613C0" w:rsidP="00646C29">
            <w:pPr>
              <w:jc w:val="right"/>
              <w:rPr>
                <w:rFonts w:cs="Calibri"/>
                <w:color w:val="000000" w:themeColor="text1"/>
                <w:sz w:val="13"/>
                <w:szCs w:val="13"/>
              </w:rPr>
            </w:pPr>
            <w:r w:rsidRPr="00842482">
              <w:rPr>
                <w:rFonts w:cs="Calibri"/>
                <w:color w:val="000000" w:themeColor="text1"/>
                <w:sz w:val="13"/>
                <w:szCs w:val="13"/>
              </w:rPr>
              <w:t>70</w:t>
            </w:r>
          </w:p>
        </w:tc>
        <w:tc>
          <w:tcPr>
            <w:tcW w:w="1418" w:type="dxa"/>
            <w:tcBorders>
              <w:left w:val="single" w:sz="6" w:space="0" w:color="0077BD"/>
              <w:bottom w:val="single" w:sz="4" w:space="0" w:color="0077BD"/>
              <w:right w:val="nil"/>
            </w:tcBorders>
            <w:shd w:val="clear" w:color="auto" w:fill="auto"/>
            <w:noWrap/>
            <w:vAlign w:val="center"/>
            <w:hideMark/>
          </w:tcPr>
          <w:p w14:paraId="06CEB5A4" w14:textId="77777777" w:rsidR="00646C29" w:rsidRPr="00842482" w:rsidRDefault="00646C29" w:rsidP="00646C29">
            <w:pPr>
              <w:jc w:val="right"/>
              <w:rPr>
                <w:rFonts w:cs="Calibri"/>
                <w:color w:val="000000" w:themeColor="text1"/>
                <w:sz w:val="13"/>
                <w:szCs w:val="13"/>
              </w:rPr>
            </w:pPr>
            <w:r w:rsidRPr="00842482">
              <w:rPr>
                <w:rFonts w:cs="Calibri"/>
                <w:color w:val="000000" w:themeColor="text1"/>
                <w:sz w:val="13"/>
                <w:szCs w:val="13"/>
              </w:rPr>
              <w:t>64</w:t>
            </w:r>
          </w:p>
        </w:tc>
      </w:tr>
      <w:tr w:rsidR="00D54765" w:rsidRPr="0068723D" w14:paraId="2E05FA48" w14:textId="77777777" w:rsidTr="00E97698">
        <w:trPr>
          <w:trHeight w:val="300"/>
        </w:trPr>
        <w:tc>
          <w:tcPr>
            <w:tcW w:w="6747" w:type="dxa"/>
            <w:tcBorders>
              <w:top w:val="single" w:sz="4" w:space="0" w:color="0077BD"/>
              <w:left w:val="nil"/>
              <w:bottom w:val="single" w:sz="6" w:space="0" w:color="0077BD"/>
              <w:right w:val="single" w:sz="6" w:space="0" w:color="0077BD"/>
            </w:tcBorders>
            <w:shd w:val="clear" w:color="auto" w:fill="auto"/>
            <w:noWrap/>
            <w:vAlign w:val="center"/>
            <w:hideMark/>
          </w:tcPr>
          <w:p w14:paraId="7FF3E88A" w14:textId="77777777" w:rsidR="00646C29" w:rsidRPr="00842482" w:rsidRDefault="00646C29" w:rsidP="00646C29">
            <w:pPr>
              <w:rPr>
                <w:rFonts w:cs="Calibri"/>
                <w:color w:val="000000" w:themeColor="text1"/>
                <w:sz w:val="13"/>
                <w:szCs w:val="13"/>
              </w:rPr>
            </w:pPr>
            <w:r w:rsidRPr="00842482">
              <w:rPr>
                <w:rFonts w:cs="Calibri"/>
                <w:color w:val="000000" w:themeColor="text1"/>
                <w:sz w:val="13"/>
                <w:szCs w:val="13"/>
              </w:rPr>
              <w:t>Ryzyko walutowe</w:t>
            </w:r>
          </w:p>
        </w:tc>
        <w:tc>
          <w:tcPr>
            <w:tcW w:w="1418" w:type="dxa"/>
            <w:tcBorders>
              <w:top w:val="single" w:sz="4" w:space="0" w:color="0077BD"/>
              <w:left w:val="single" w:sz="6" w:space="0" w:color="0077BD"/>
              <w:bottom w:val="single" w:sz="6" w:space="0" w:color="0077BD"/>
              <w:right w:val="single" w:sz="6" w:space="0" w:color="0077BD"/>
            </w:tcBorders>
            <w:shd w:val="clear" w:color="auto" w:fill="auto"/>
            <w:noWrap/>
            <w:vAlign w:val="center"/>
          </w:tcPr>
          <w:p w14:paraId="4B2CE33A" w14:textId="6C2527D2" w:rsidR="00646C29" w:rsidRPr="00842482" w:rsidRDefault="000613C0" w:rsidP="00646C29">
            <w:pPr>
              <w:jc w:val="right"/>
              <w:rPr>
                <w:rFonts w:cs="Calibri"/>
                <w:color w:val="000000" w:themeColor="text1"/>
                <w:sz w:val="13"/>
                <w:szCs w:val="13"/>
              </w:rPr>
            </w:pPr>
            <w:r w:rsidRPr="00842482">
              <w:rPr>
                <w:rFonts w:cs="Calibri"/>
                <w:color w:val="000000" w:themeColor="text1"/>
                <w:sz w:val="13"/>
                <w:szCs w:val="13"/>
              </w:rPr>
              <w:t>4</w:t>
            </w:r>
          </w:p>
        </w:tc>
        <w:tc>
          <w:tcPr>
            <w:tcW w:w="1418" w:type="dxa"/>
            <w:tcBorders>
              <w:top w:val="single" w:sz="4" w:space="0" w:color="0077BD"/>
              <w:left w:val="single" w:sz="6" w:space="0" w:color="0077BD"/>
              <w:bottom w:val="single" w:sz="6" w:space="0" w:color="0077BD"/>
              <w:right w:val="nil"/>
            </w:tcBorders>
            <w:shd w:val="clear" w:color="auto" w:fill="auto"/>
            <w:noWrap/>
            <w:vAlign w:val="center"/>
            <w:hideMark/>
          </w:tcPr>
          <w:p w14:paraId="141613E5" w14:textId="77777777" w:rsidR="00646C29" w:rsidRPr="00842482" w:rsidRDefault="00646C29" w:rsidP="00646C29">
            <w:pPr>
              <w:jc w:val="right"/>
              <w:rPr>
                <w:rFonts w:cs="Calibri"/>
                <w:color w:val="000000" w:themeColor="text1"/>
                <w:sz w:val="13"/>
                <w:szCs w:val="13"/>
              </w:rPr>
            </w:pPr>
            <w:r w:rsidRPr="00842482">
              <w:rPr>
                <w:rFonts w:cs="Calibri"/>
                <w:color w:val="000000" w:themeColor="text1"/>
                <w:sz w:val="13"/>
                <w:szCs w:val="13"/>
              </w:rPr>
              <w:t>6</w:t>
            </w:r>
          </w:p>
        </w:tc>
      </w:tr>
      <w:tr w:rsidR="00D54765" w:rsidRPr="0068723D" w14:paraId="745F8F42" w14:textId="77777777" w:rsidTr="00E97698">
        <w:trPr>
          <w:trHeight w:val="300"/>
        </w:trPr>
        <w:tc>
          <w:tcPr>
            <w:tcW w:w="6747" w:type="dxa"/>
            <w:tcBorders>
              <w:top w:val="single" w:sz="6" w:space="0" w:color="0077BD"/>
              <w:left w:val="nil"/>
              <w:bottom w:val="single" w:sz="8" w:space="0" w:color="0077BD"/>
              <w:right w:val="single" w:sz="6" w:space="0" w:color="0077BD"/>
            </w:tcBorders>
            <w:shd w:val="clear" w:color="auto" w:fill="auto"/>
            <w:noWrap/>
            <w:vAlign w:val="center"/>
            <w:hideMark/>
          </w:tcPr>
          <w:p w14:paraId="365F5793" w14:textId="77777777" w:rsidR="00646C29" w:rsidRPr="00842482" w:rsidRDefault="00646C29" w:rsidP="00646C29">
            <w:pPr>
              <w:rPr>
                <w:rFonts w:cs="Calibri"/>
                <w:b/>
                <w:bCs/>
                <w:color w:val="000000" w:themeColor="text1"/>
                <w:sz w:val="13"/>
                <w:szCs w:val="13"/>
              </w:rPr>
            </w:pPr>
            <w:r w:rsidRPr="00842482">
              <w:rPr>
                <w:rFonts w:cs="Calibri"/>
                <w:b/>
                <w:bCs/>
                <w:color w:val="000000" w:themeColor="text1"/>
                <w:sz w:val="13"/>
                <w:szCs w:val="13"/>
              </w:rPr>
              <w:t>VaR ogółem</w:t>
            </w:r>
          </w:p>
        </w:tc>
        <w:tc>
          <w:tcPr>
            <w:tcW w:w="1418" w:type="dxa"/>
            <w:tcBorders>
              <w:top w:val="single" w:sz="6" w:space="0" w:color="0077BD"/>
              <w:left w:val="single" w:sz="6" w:space="0" w:color="0077BD"/>
              <w:bottom w:val="single" w:sz="8" w:space="0" w:color="0077BD"/>
              <w:right w:val="single" w:sz="6" w:space="0" w:color="0077BD"/>
            </w:tcBorders>
            <w:shd w:val="clear" w:color="auto" w:fill="auto"/>
            <w:noWrap/>
            <w:vAlign w:val="center"/>
          </w:tcPr>
          <w:p w14:paraId="02AF7DD2" w14:textId="5C4556FF" w:rsidR="00646C29" w:rsidRPr="00842482" w:rsidRDefault="000613C0" w:rsidP="00646C29">
            <w:pPr>
              <w:jc w:val="right"/>
              <w:rPr>
                <w:rFonts w:cs="Calibri"/>
                <w:b/>
                <w:bCs/>
                <w:color w:val="000000" w:themeColor="text1"/>
                <w:sz w:val="13"/>
                <w:szCs w:val="13"/>
              </w:rPr>
            </w:pPr>
            <w:r w:rsidRPr="00842482">
              <w:rPr>
                <w:rFonts w:cs="Calibri"/>
                <w:b/>
                <w:bCs/>
                <w:color w:val="000000" w:themeColor="text1"/>
                <w:sz w:val="13"/>
                <w:szCs w:val="13"/>
              </w:rPr>
              <w:t>74</w:t>
            </w:r>
          </w:p>
        </w:tc>
        <w:tc>
          <w:tcPr>
            <w:tcW w:w="1418" w:type="dxa"/>
            <w:tcBorders>
              <w:top w:val="single" w:sz="6" w:space="0" w:color="0077BD"/>
              <w:left w:val="single" w:sz="6" w:space="0" w:color="0077BD"/>
              <w:bottom w:val="single" w:sz="8" w:space="0" w:color="0077BD"/>
              <w:right w:val="nil"/>
            </w:tcBorders>
            <w:shd w:val="clear" w:color="auto" w:fill="auto"/>
            <w:noWrap/>
            <w:vAlign w:val="center"/>
            <w:hideMark/>
          </w:tcPr>
          <w:p w14:paraId="217A857B" w14:textId="77777777" w:rsidR="00646C29" w:rsidRPr="00842482" w:rsidRDefault="00646C29" w:rsidP="00646C29">
            <w:pPr>
              <w:jc w:val="right"/>
              <w:rPr>
                <w:rFonts w:cs="Calibri"/>
                <w:b/>
                <w:bCs/>
                <w:color w:val="000000" w:themeColor="text1"/>
                <w:sz w:val="13"/>
                <w:szCs w:val="13"/>
              </w:rPr>
            </w:pPr>
            <w:r w:rsidRPr="00842482">
              <w:rPr>
                <w:rFonts w:cs="Calibri"/>
                <w:b/>
                <w:bCs/>
                <w:color w:val="000000" w:themeColor="text1"/>
                <w:sz w:val="13"/>
                <w:szCs w:val="13"/>
              </w:rPr>
              <w:t>70</w:t>
            </w:r>
          </w:p>
        </w:tc>
      </w:tr>
    </w:tbl>
    <w:p w14:paraId="63B2C059" w14:textId="77777777" w:rsidR="008318EE" w:rsidRPr="0068723D" w:rsidRDefault="008318EE" w:rsidP="008318EE">
      <w:pPr>
        <w:jc w:val="both"/>
        <w:rPr>
          <w:color w:val="000000" w:themeColor="text1"/>
          <w:highlight w:val="yellow"/>
          <w:lang w:eastAsia="en-US"/>
        </w:rPr>
      </w:pPr>
    </w:p>
    <w:p w14:paraId="20CCCFFA" w14:textId="77777777" w:rsidR="008318EE" w:rsidRPr="0068723D" w:rsidRDefault="008318EE" w:rsidP="008318EE">
      <w:pPr>
        <w:rPr>
          <w:b/>
          <w:color w:val="000000" w:themeColor="text1"/>
          <w:sz w:val="18"/>
          <w:szCs w:val="18"/>
          <w:lang w:eastAsia="en-US"/>
        </w:rPr>
      </w:pPr>
      <w:r w:rsidRPr="0068723D">
        <w:rPr>
          <w:b/>
          <w:color w:val="000000" w:themeColor="text1"/>
          <w:sz w:val="18"/>
          <w:szCs w:val="18"/>
          <w:lang w:eastAsia="en-US"/>
        </w:rPr>
        <w:t>Ryzyko stopy procentowej Grupy mBanku S.A.</w:t>
      </w:r>
    </w:p>
    <w:p w14:paraId="05567BF2" w14:textId="77777777" w:rsidR="00646C29" w:rsidRPr="0068723D" w:rsidRDefault="00646C29" w:rsidP="008318EE">
      <w:pPr>
        <w:jc w:val="both"/>
        <w:rPr>
          <w:color w:val="000000" w:themeColor="text1"/>
          <w:sz w:val="18"/>
          <w:szCs w:val="18"/>
          <w:lang w:eastAsia="en-US"/>
        </w:rPr>
      </w:pPr>
    </w:p>
    <w:p w14:paraId="0785721E" w14:textId="6C536AB5" w:rsidR="001508F5" w:rsidRPr="0068723D" w:rsidRDefault="008318EE" w:rsidP="008318EE">
      <w:pPr>
        <w:jc w:val="both"/>
        <w:rPr>
          <w:color w:val="000000" w:themeColor="text1"/>
          <w:sz w:val="18"/>
          <w:szCs w:val="18"/>
          <w:highlight w:val="yellow"/>
          <w:lang w:eastAsia="en-US"/>
        </w:rPr>
      </w:pPr>
      <w:r w:rsidRPr="0068723D">
        <w:rPr>
          <w:color w:val="000000" w:themeColor="text1"/>
          <w:sz w:val="18"/>
          <w:szCs w:val="18"/>
          <w:lang w:eastAsia="en-US"/>
        </w:rPr>
        <w:t>Poniższe tabele przedstawiają ekspozycję Grupy na ryzyko stopy procentowej. Tabele te przedstawiają instrumenty finansowe Grupy według wartości bilansowej, w podziale według wcześniejszego z dwóch terminów: zmiany oprocentowania przewidzianego w umowie lub terminu wymagalności.</w:t>
      </w:r>
    </w:p>
    <w:p w14:paraId="3A2A3A6B" w14:textId="77777777" w:rsidR="001508F5" w:rsidRPr="00D54765" w:rsidRDefault="001508F5" w:rsidP="00347521">
      <w:pPr>
        <w:jc w:val="both"/>
        <w:rPr>
          <w:sz w:val="18"/>
          <w:szCs w:val="18"/>
          <w:highlight w:val="yellow"/>
          <w:lang w:eastAsia="en-US"/>
        </w:rPr>
      </w:pPr>
    </w:p>
    <w:tbl>
      <w:tblPr>
        <w:tblW w:w="9639" w:type="dxa"/>
        <w:tblLayout w:type="fixed"/>
        <w:tblCellMar>
          <w:left w:w="28" w:type="dxa"/>
          <w:right w:w="28" w:type="dxa"/>
        </w:tblCellMar>
        <w:tblLook w:val="04A0" w:firstRow="1" w:lastRow="0" w:firstColumn="1" w:lastColumn="0" w:noHBand="0" w:noVBand="1"/>
      </w:tblPr>
      <w:tblGrid>
        <w:gridCol w:w="2693"/>
        <w:gridCol w:w="992"/>
        <w:gridCol w:w="992"/>
        <w:gridCol w:w="992"/>
        <w:gridCol w:w="993"/>
        <w:gridCol w:w="992"/>
        <w:gridCol w:w="992"/>
        <w:gridCol w:w="993"/>
      </w:tblGrid>
      <w:tr w:rsidR="008318EE" w:rsidRPr="002B2EA0" w14:paraId="48214EF4" w14:textId="77777777" w:rsidTr="00343A7A">
        <w:trPr>
          <w:trHeight w:val="351"/>
        </w:trPr>
        <w:tc>
          <w:tcPr>
            <w:tcW w:w="2693" w:type="dxa"/>
            <w:tcBorders>
              <w:top w:val="nil"/>
              <w:left w:val="nil"/>
              <w:bottom w:val="nil"/>
              <w:right w:val="nil"/>
            </w:tcBorders>
            <w:shd w:val="clear" w:color="000000" w:fill="0077BD"/>
            <w:vAlign w:val="center"/>
            <w:hideMark/>
          </w:tcPr>
          <w:p w14:paraId="26DE75B7" w14:textId="77777777" w:rsidR="008318EE" w:rsidRPr="002B2EA0" w:rsidRDefault="008318EE" w:rsidP="009E1F91">
            <w:pPr>
              <w:rPr>
                <w:rFonts w:cs="Calibri"/>
                <w:b/>
                <w:bCs/>
                <w:color w:val="FFFFFF"/>
                <w:sz w:val="11"/>
                <w:szCs w:val="11"/>
              </w:rPr>
            </w:pPr>
            <w:r w:rsidRPr="002B2EA0">
              <w:rPr>
                <w:rFonts w:cs="Calibri"/>
                <w:b/>
                <w:bCs/>
                <w:color w:val="FFFFFF"/>
                <w:sz w:val="11"/>
                <w:szCs w:val="11"/>
              </w:rPr>
              <w:t>31.12.2019</w:t>
            </w:r>
          </w:p>
        </w:tc>
        <w:tc>
          <w:tcPr>
            <w:tcW w:w="992" w:type="dxa"/>
            <w:tcBorders>
              <w:top w:val="nil"/>
              <w:left w:val="single" w:sz="8" w:space="0" w:color="FFFFFF"/>
              <w:bottom w:val="nil"/>
              <w:right w:val="single" w:sz="8" w:space="0" w:color="FFFFFF"/>
            </w:tcBorders>
            <w:shd w:val="clear" w:color="000000" w:fill="0077BD"/>
            <w:noWrap/>
            <w:vAlign w:val="center"/>
            <w:hideMark/>
          </w:tcPr>
          <w:p w14:paraId="3F56AD8B"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Do 1 miesiąca</w:t>
            </w:r>
          </w:p>
        </w:tc>
        <w:tc>
          <w:tcPr>
            <w:tcW w:w="992" w:type="dxa"/>
            <w:tcBorders>
              <w:top w:val="nil"/>
              <w:left w:val="nil"/>
              <w:bottom w:val="nil"/>
              <w:right w:val="single" w:sz="8" w:space="0" w:color="FFFFFF"/>
            </w:tcBorders>
            <w:shd w:val="clear" w:color="000000" w:fill="0077BD"/>
            <w:vAlign w:val="center"/>
            <w:hideMark/>
          </w:tcPr>
          <w:p w14:paraId="7B4C92F2"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1 do 3 miesięcy</w:t>
            </w:r>
          </w:p>
        </w:tc>
        <w:tc>
          <w:tcPr>
            <w:tcW w:w="992" w:type="dxa"/>
            <w:tcBorders>
              <w:top w:val="nil"/>
              <w:left w:val="nil"/>
              <w:bottom w:val="nil"/>
              <w:right w:val="single" w:sz="8" w:space="0" w:color="FFFFFF"/>
            </w:tcBorders>
            <w:shd w:val="clear" w:color="000000" w:fill="0077BD"/>
            <w:vAlign w:val="center"/>
            <w:hideMark/>
          </w:tcPr>
          <w:p w14:paraId="43AE4BDE"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3 do12 miesięcy</w:t>
            </w:r>
          </w:p>
        </w:tc>
        <w:tc>
          <w:tcPr>
            <w:tcW w:w="993" w:type="dxa"/>
            <w:tcBorders>
              <w:top w:val="nil"/>
              <w:left w:val="nil"/>
              <w:bottom w:val="nil"/>
              <w:right w:val="single" w:sz="8" w:space="0" w:color="FFFFFF"/>
            </w:tcBorders>
            <w:shd w:val="clear" w:color="000000" w:fill="0077BD"/>
            <w:vAlign w:val="center"/>
            <w:hideMark/>
          </w:tcPr>
          <w:p w14:paraId="10A16A87"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1 do 5 lat</w:t>
            </w:r>
          </w:p>
        </w:tc>
        <w:tc>
          <w:tcPr>
            <w:tcW w:w="992" w:type="dxa"/>
            <w:tcBorders>
              <w:top w:val="nil"/>
              <w:left w:val="nil"/>
              <w:bottom w:val="nil"/>
              <w:right w:val="single" w:sz="8" w:space="0" w:color="FFFFFF"/>
            </w:tcBorders>
            <w:shd w:val="clear" w:color="000000" w:fill="0077BD"/>
            <w:vAlign w:val="center"/>
            <w:hideMark/>
          </w:tcPr>
          <w:p w14:paraId="1B807F95"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Powyżej 5 lat</w:t>
            </w:r>
          </w:p>
        </w:tc>
        <w:tc>
          <w:tcPr>
            <w:tcW w:w="992" w:type="dxa"/>
            <w:tcBorders>
              <w:top w:val="nil"/>
              <w:left w:val="nil"/>
              <w:bottom w:val="nil"/>
              <w:right w:val="single" w:sz="8" w:space="0" w:color="FFFFFF"/>
            </w:tcBorders>
            <w:shd w:val="clear" w:color="000000" w:fill="0077BD"/>
            <w:vAlign w:val="center"/>
            <w:hideMark/>
          </w:tcPr>
          <w:p w14:paraId="2BAB35FF"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Pozycje nieodsetkowe</w:t>
            </w:r>
          </w:p>
        </w:tc>
        <w:tc>
          <w:tcPr>
            <w:tcW w:w="993" w:type="dxa"/>
            <w:tcBorders>
              <w:top w:val="nil"/>
              <w:left w:val="nil"/>
              <w:bottom w:val="nil"/>
              <w:right w:val="single" w:sz="4" w:space="0" w:color="FFFFFF"/>
            </w:tcBorders>
            <w:shd w:val="clear" w:color="000000" w:fill="0077BD"/>
            <w:noWrap/>
            <w:vAlign w:val="center"/>
            <w:hideMark/>
          </w:tcPr>
          <w:p w14:paraId="62433A52"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Razem</w:t>
            </w:r>
          </w:p>
        </w:tc>
      </w:tr>
      <w:tr w:rsidR="008318EE" w:rsidRPr="002B2EA0" w14:paraId="44527EDE" w14:textId="77777777" w:rsidTr="00343A7A">
        <w:trPr>
          <w:trHeight w:val="227"/>
        </w:trPr>
        <w:tc>
          <w:tcPr>
            <w:tcW w:w="2693" w:type="dxa"/>
            <w:tcBorders>
              <w:top w:val="nil"/>
              <w:left w:val="nil"/>
              <w:bottom w:val="nil"/>
              <w:right w:val="nil"/>
            </w:tcBorders>
            <w:shd w:val="clear" w:color="auto" w:fill="auto"/>
            <w:vAlign w:val="center"/>
            <w:hideMark/>
          </w:tcPr>
          <w:p w14:paraId="40DEC773" w14:textId="77777777" w:rsidR="008318EE" w:rsidRPr="002B2EA0" w:rsidRDefault="008318EE" w:rsidP="009E1F91">
            <w:pPr>
              <w:rPr>
                <w:rFonts w:cs="Calibri"/>
                <w:b/>
                <w:bCs/>
                <w:color w:val="000000" w:themeColor="text1"/>
                <w:sz w:val="11"/>
                <w:szCs w:val="11"/>
              </w:rPr>
            </w:pPr>
            <w:r w:rsidRPr="002B2EA0">
              <w:rPr>
                <w:rFonts w:cs="Calibri"/>
                <w:b/>
                <w:bCs/>
                <w:color w:val="000000" w:themeColor="text1"/>
                <w:sz w:val="11"/>
                <w:szCs w:val="11"/>
              </w:rPr>
              <w:t>Aktywa</w:t>
            </w:r>
          </w:p>
        </w:tc>
        <w:tc>
          <w:tcPr>
            <w:tcW w:w="992" w:type="dxa"/>
            <w:tcBorders>
              <w:top w:val="nil"/>
              <w:left w:val="nil"/>
              <w:bottom w:val="nil"/>
              <w:right w:val="nil"/>
            </w:tcBorders>
            <w:shd w:val="clear" w:color="auto" w:fill="auto"/>
            <w:vAlign w:val="center"/>
            <w:hideMark/>
          </w:tcPr>
          <w:p w14:paraId="3D965454" w14:textId="77777777" w:rsidR="008318EE" w:rsidRPr="002B2EA0" w:rsidRDefault="008318EE" w:rsidP="009E1F91">
            <w:pPr>
              <w:rPr>
                <w:rFonts w:cs="Calibri"/>
                <w:b/>
                <w:bCs/>
                <w:color w:val="000000" w:themeColor="text1"/>
                <w:sz w:val="11"/>
                <w:szCs w:val="11"/>
              </w:rPr>
            </w:pPr>
          </w:p>
        </w:tc>
        <w:tc>
          <w:tcPr>
            <w:tcW w:w="992" w:type="dxa"/>
            <w:tcBorders>
              <w:top w:val="nil"/>
              <w:left w:val="nil"/>
              <w:bottom w:val="nil"/>
              <w:right w:val="nil"/>
            </w:tcBorders>
            <w:shd w:val="clear" w:color="auto" w:fill="auto"/>
            <w:vAlign w:val="center"/>
            <w:hideMark/>
          </w:tcPr>
          <w:p w14:paraId="4B2DF448"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3D0138DC" w14:textId="77777777" w:rsidR="008318EE" w:rsidRPr="002B2EA0" w:rsidRDefault="008318EE" w:rsidP="009E1F91">
            <w:pPr>
              <w:jc w:val="right"/>
              <w:rPr>
                <w:color w:val="000000" w:themeColor="text1"/>
                <w:sz w:val="11"/>
                <w:szCs w:val="11"/>
              </w:rPr>
            </w:pPr>
          </w:p>
        </w:tc>
        <w:tc>
          <w:tcPr>
            <w:tcW w:w="993" w:type="dxa"/>
            <w:tcBorders>
              <w:top w:val="nil"/>
              <w:left w:val="nil"/>
              <w:bottom w:val="nil"/>
              <w:right w:val="nil"/>
            </w:tcBorders>
            <w:shd w:val="clear" w:color="auto" w:fill="auto"/>
            <w:vAlign w:val="center"/>
            <w:hideMark/>
          </w:tcPr>
          <w:p w14:paraId="72EF2D6E"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5CAEC92C"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386892B3" w14:textId="77777777" w:rsidR="008318EE" w:rsidRPr="002B2EA0" w:rsidRDefault="008318EE" w:rsidP="009E1F91">
            <w:pPr>
              <w:jc w:val="right"/>
              <w:rPr>
                <w:color w:val="000000" w:themeColor="text1"/>
                <w:sz w:val="11"/>
                <w:szCs w:val="11"/>
              </w:rPr>
            </w:pPr>
          </w:p>
        </w:tc>
        <w:tc>
          <w:tcPr>
            <w:tcW w:w="993" w:type="dxa"/>
            <w:tcBorders>
              <w:top w:val="nil"/>
              <w:left w:val="nil"/>
              <w:bottom w:val="nil"/>
              <w:right w:val="nil"/>
            </w:tcBorders>
            <w:shd w:val="clear" w:color="auto" w:fill="auto"/>
            <w:vAlign w:val="center"/>
            <w:hideMark/>
          </w:tcPr>
          <w:p w14:paraId="1ED09E38" w14:textId="77777777" w:rsidR="008318EE" w:rsidRPr="002B2EA0" w:rsidRDefault="008318EE" w:rsidP="009E1F91">
            <w:pPr>
              <w:jc w:val="right"/>
              <w:rPr>
                <w:color w:val="000000" w:themeColor="text1"/>
                <w:sz w:val="11"/>
                <w:szCs w:val="11"/>
              </w:rPr>
            </w:pPr>
          </w:p>
        </w:tc>
      </w:tr>
      <w:tr w:rsidR="008554DA" w:rsidRPr="002B2EA0" w14:paraId="70EC0CC2" w14:textId="77777777" w:rsidTr="00817B66">
        <w:trPr>
          <w:trHeight w:val="227"/>
        </w:trPr>
        <w:tc>
          <w:tcPr>
            <w:tcW w:w="2693" w:type="dxa"/>
            <w:tcBorders>
              <w:top w:val="single" w:sz="8" w:space="0" w:color="0077BD"/>
              <w:left w:val="nil"/>
              <w:bottom w:val="single" w:sz="4" w:space="0" w:color="0077BD"/>
              <w:right w:val="single" w:sz="8" w:space="0" w:color="0077BD"/>
            </w:tcBorders>
            <w:shd w:val="clear" w:color="auto" w:fill="auto"/>
            <w:vAlign w:val="center"/>
            <w:hideMark/>
          </w:tcPr>
          <w:p w14:paraId="2BD9F127"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Kasa, operacje z bankiem centralnym</w:t>
            </w:r>
          </w:p>
        </w:tc>
        <w:tc>
          <w:tcPr>
            <w:tcW w:w="992" w:type="dxa"/>
            <w:tcBorders>
              <w:top w:val="single" w:sz="8" w:space="0" w:color="0077BD"/>
              <w:left w:val="single" w:sz="8" w:space="0" w:color="0077BD"/>
              <w:bottom w:val="single" w:sz="4" w:space="0" w:color="0077BD"/>
              <w:right w:val="single" w:sz="8" w:space="0" w:color="0077BD"/>
            </w:tcBorders>
            <w:shd w:val="clear" w:color="auto" w:fill="auto"/>
            <w:vAlign w:val="center"/>
          </w:tcPr>
          <w:p w14:paraId="63052B39" w14:textId="298B201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3 773 915</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5858238A" w14:textId="595B7038"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48584C4F" w14:textId="23ECE7F7"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3" w:type="dxa"/>
            <w:tcBorders>
              <w:top w:val="single" w:sz="8" w:space="0" w:color="0077BD"/>
              <w:left w:val="nil"/>
              <w:bottom w:val="single" w:sz="4" w:space="0" w:color="0077BD"/>
              <w:right w:val="single" w:sz="8" w:space="0" w:color="0077BD"/>
            </w:tcBorders>
            <w:shd w:val="clear" w:color="auto" w:fill="auto"/>
            <w:vAlign w:val="center"/>
          </w:tcPr>
          <w:p w14:paraId="7E74511B" w14:textId="528BBD7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4F5873EA" w14:textId="55F0EDDA"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0F63C2A2" w14:textId="16E199B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4 123 095</w:t>
            </w:r>
          </w:p>
        </w:tc>
        <w:tc>
          <w:tcPr>
            <w:tcW w:w="993" w:type="dxa"/>
            <w:tcBorders>
              <w:top w:val="single" w:sz="8" w:space="0" w:color="0077BD"/>
              <w:left w:val="nil"/>
              <w:bottom w:val="single" w:sz="4" w:space="0" w:color="0077BD"/>
              <w:right w:val="nil"/>
            </w:tcBorders>
            <w:shd w:val="clear" w:color="auto" w:fill="auto"/>
            <w:vAlign w:val="center"/>
          </w:tcPr>
          <w:p w14:paraId="012E868A" w14:textId="67D1D871"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7 897 010</w:t>
            </w:r>
          </w:p>
        </w:tc>
      </w:tr>
      <w:tr w:rsidR="008554DA" w:rsidRPr="002B2EA0" w14:paraId="6C283FF0" w14:textId="77777777" w:rsidTr="00817B66">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2AB26A43"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Należności od banków</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19A34E0E" w14:textId="78694947"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4 080 164</w:t>
            </w:r>
          </w:p>
        </w:tc>
        <w:tc>
          <w:tcPr>
            <w:tcW w:w="992" w:type="dxa"/>
            <w:tcBorders>
              <w:top w:val="nil"/>
              <w:left w:val="nil"/>
              <w:bottom w:val="single" w:sz="4" w:space="0" w:color="0077BD"/>
              <w:right w:val="single" w:sz="8" w:space="0" w:color="0077BD"/>
            </w:tcBorders>
            <w:shd w:val="clear" w:color="auto" w:fill="auto"/>
            <w:vAlign w:val="center"/>
          </w:tcPr>
          <w:p w14:paraId="28F62E07" w14:textId="7A2D2E03"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253</w:t>
            </w:r>
          </w:p>
        </w:tc>
        <w:tc>
          <w:tcPr>
            <w:tcW w:w="992" w:type="dxa"/>
            <w:tcBorders>
              <w:top w:val="nil"/>
              <w:left w:val="nil"/>
              <w:bottom w:val="single" w:sz="4" w:space="0" w:color="0077BD"/>
              <w:right w:val="single" w:sz="8" w:space="0" w:color="0077BD"/>
            </w:tcBorders>
            <w:shd w:val="clear" w:color="auto" w:fill="auto"/>
            <w:vAlign w:val="center"/>
          </w:tcPr>
          <w:p w14:paraId="07508C34" w14:textId="324B27C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74 699</w:t>
            </w:r>
          </w:p>
        </w:tc>
        <w:tc>
          <w:tcPr>
            <w:tcW w:w="993" w:type="dxa"/>
            <w:tcBorders>
              <w:top w:val="nil"/>
              <w:left w:val="nil"/>
              <w:bottom w:val="single" w:sz="4" w:space="0" w:color="0077BD"/>
              <w:right w:val="single" w:sz="8" w:space="0" w:color="0077BD"/>
            </w:tcBorders>
            <w:shd w:val="clear" w:color="auto" w:fill="auto"/>
            <w:vAlign w:val="center"/>
          </w:tcPr>
          <w:p w14:paraId="381F4935" w14:textId="08427695"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tcPr>
          <w:p w14:paraId="23485770" w14:textId="78CBF1D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tcPr>
          <w:p w14:paraId="294F2DB8" w14:textId="4308C7E7"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186 642</w:t>
            </w:r>
          </w:p>
        </w:tc>
        <w:tc>
          <w:tcPr>
            <w:tcW w:w="993" w:type="dxa"/>
            <w:tcBorders>
              <w:top w:val="nil"/>
              <w:left w:val="nil"/>
              <w:bottom w:val="single" w:sz="4" w:space="0" w:color="0077BD"/>
              <w:right w:val="nil"/>
            </w:tcBorders>
            <w:shd w:val="clear" w:color="auto" w:fill="auto"/>
            <w:vAlign w:val="center"/>
          </w:tcPr>
          <w:p w14:paraId="5D99B100" w14:textId="42E9AED4"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4 341 758</w:t>
            </w:r>
          </w:p>
        </w:tc>
      </w:tr>
      <w:tr w:rsidR="008554DA" w:rsidRPr="002B2EA0" w14:paraId="37F633EB" w14:textId="77777777" w:rsidTr="004F3EBA">
        <w:trPr>
          <w:trHeight w:val="284"/>
        </w:trPr>
        <w:tc>
          <w:tcPr>
            <w:tcW w:w="2693" w:type="dxa"/>
            <w:tcBorders>
              <w:top w:val="nil"/>
              <w:left w:val="nil"/>
              <w:bottom w:val="single" w:sz="4" w:space="0" w:color="0077BD"/>
              <w:right w:val="single" w:sz="8" w:space="0" w:color="0077BD"/>
            </w:tcBorders>
            <w:shd w:val="clear" w:color="auto" w:fill="auto"/>
            <w:vAlign w:val="center"/>
            <w:hideMark/>
          </w:tcPr>
          <w:p w14:paraId="5F29CC74"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Dłużne i kapitałowe papiery wartościowe oraz inwestycje w jednostki zależne</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61955821" w14:textId="19E4C08D"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8 338 555</w:t>
            </w:r>
          </w:p>
        </w:tc>
        <w:tc>
          <w:tcPr>
            <w:tcW w:w="992" w:type="dxa"/>
            <w:tcBorders>
              <w:top w:val="nil"/>
              <w:left w:val="nil"/>
              <w:bottom w:val="single" w:sz="4" w:space="0" w:color="0077BD"/>
              <w:right w:val="single" w:sz="8" w:space="0" w:color="0077BD"/>
            </w:tcBorders>
            <w:shd w:val="clear" w:color="auto" w:fill="auto"/>
            <w:vAlign w:val="center"/>
          </w:tcPr>
          <w:p w14:paraId="3962C999" w14:textId="77BBAA46"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1 547 699</w:t>
            </w:r>
          </w:p>
        </w:tc>
        <w:tc>
          <w:tcPr>
            <w:tcW w:w="992" w:type="dxa"/>
            <w:tcBorders>
              <w:top w:val="nil"/>
              <w:left w:val="nil"/>
              <w:bottom w:val="single" w:sz="4" w:space="0" w:color="0077BD"/>
              <w:right w:val="single" w:sz="8" w:space="0" w:color="0077BD"/>
            </w:tcBorders>
            <w:shd w:val="clear" w:color="auto" w:fill="auto"/>
            <w:vAlign w:val="center"/>
          </w:tcPr>
          <w:p w14:paraId="1DDCC3BB" w14:textId="75804373"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7 552 578</w:t>
            </w:r>
          </w:p>
        </w:tc>
        <w:tc>
          <w:tcPr>
            <w:tcW w:w="993" w:type="dxa"/>
            <w:tcBorders>
              <w:top w:val="nil"/>
              <w:left w:val="nil"/>
              <w:bottom w:val="single" w:sz="4" w:space="0" w:color="0077BD"/>
              <w:right w:val="single" w:sz="8" w:space="0" w:color="0077BD"/>
            </w:tcBorders>
            <w:shd w:val="clear" w:color="auto" w:fill="auto"/>
            <w:vAlign w:val="center"/>
          </w:tcPr>
          <w:p w14:paraId="394DABE9" w14:textId="54A89514"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17 646 331</w:t>
            </w:r>
          </w:p>
        </w:tc>
        <w:tc>
          <w:tcPr>
            <w:tcW w:w="992" w:type="dxa"/>
            <w:tcBorders>
              <w:top w:val="nil"/>
              <w:left w:val="nil"/>
              <w:bottom w:val="single" w:sz="4" w:space="0" w:color="0077BD"/>
              <w:right w:val="single" w:sz="8" w:space="0" w:color="0077BD"/>
            </w:tcBorders>
            <w:shd w:val="clear" w:color="auto" w:fill="auto"/>
            <w:vAlign w:val="center"/>
          </w:tcPr>
          <w:p w14:paraId="73C8CE5A" w14:textId="626BF54F"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657 201</w:t>
            </w:r>
          </w:p>
        </w:tc>
        <w:tc>
          <w:tcPr>
            <w:tcW w:w="992" w:type="dxa"/>
            <w:tcBorders>
              <w:top w:val="nil"/>
              <w:left w:val="nil"/>
              <w:bottom w:val="single" w:sz="4" w:space="0" w:color="0077BD"/>
              <w:right w:val="single" w:sz="8" w:space="0" w:color="0077BD"/>
            </w:tcBorders>
            <w:shd w:val="clear" w:color="auto" w:fill="auto"/>
            <w:vAlign w:val="center"/>
          </w:tcPr>
          <w:p w14:paraId="79A1422F" w14:textId="62AEB7C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296 389</w:t>
            </w:r>
          </w:p>
        </w:tc>
        <w:tc>
          <w:tcPr>
            <w:tcW w:w="993" w:type="dxa"/>
            <w:tcBorders>
              <w:top w:val="nil"/>
              <w:left w:val="nil"/>
              <w:bottom w:val="single" w:sz="4" w:space="0" w:color="0077BD"/>
              <w:right w:val="nil"/>
            </w:tcBorders>
            <w:shd w:val="clear" w:color="auto" w:fill="auto"/>
            <w:vAlign w:val="center"/>
          </w:tcPr>
          <w:p w14:paraId="3A751011" w14:textId="63CC6212"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36 038 753</w:t>
            </w:r>
          </w:p>
        </w:tc>
      </w:tr>
      <w:tr w:rsidR="008554DA" w:rsidRPr="002B2EA0" w14:paraId="79A25757" w14:textId="77777777" w:rsidTr="00817B66">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7B328CBE"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Kredyty i pożyczki udzielone klientom</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5D4E5513" w14:textId="32DB2927"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65 919 348</w:t>
            </w:r>
          </w:p>
        </w:tc>
        <w:tc>
          <w:tcPr>
            <w:tcW w:w="992" w:type="dxa"/>
            <w:tcBorders>
              <w:top w:val="nil"/>
              <w:left w:val="nil"/>
              <w:bottom w:val="single" w:sz="4" w:space="0" w:color="0077BD"/>
              <w:right w:val="single" w:sz="8" w:space="0" w:color="0077BD"/>
            </w:tcBorders>
            <w:shd w:val="clear" w:color="auto" w:fill="auto"/>
            <w:vAlign w:val="center"/>
          </w:tcPr>
          <w:p w14:paraId="2122A414" w14:textId="1CC6842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33 600 772</w:t>
            </w:r>
          </w:p>
        </w:tc>
        <w:tc>
          <w:tcPr>
            <w:tcW w:w="992" w:type="dxa"/>
            <w:tcBorders>
              <w:top w:val="nil"/>
              <w:left w:val="nil"/>
              <w:bottom w:val="single" w:sz="4" w:space="0" w:color="0077BD"/>
              <w:right w:val="single" w:sz="8" w:space="0" w:color="0077BD"/>
            </w:tcBorders>
            <w:shd w:val="clear" w:color="auto" w:fill="auto"/>
            <w:vAlign w:val="center"/>
          </w:tcPr>
          <w:p w14:paraId="48FD5581" w14:textId="06C799FE"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2 540 545</w:t>
            </w:r>
          </w:p>
        </w:tc>
        <w:tc>
          <w:tcPr>
            <w:tcW w:w="993" w:type="dxa"/>
            <w:tcBorders>
              <w:top w:val="nil"/>
              <w:left w:val="nil"/>
              <w:bottom w:val="single" w:sz="4" w:space="0" w:color="0077BD"/>
              <w:right w:val="single" w:sz="8" w:space="0" w:color="0077BD"/>
            </w:tcBorders>
            <w:shd w:val="clear" w:color="auto" w:fill="auto"/>
            <w:vAlign w:val="center"/>
          </w:tcPr>
          <w:p w14:paraId="39C5FF38" w14:textId="326B5B00"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2 844 928</w:t>
            </w:r>
          </w:p>
        </w:tc>
        <w:tc>
          <w:tcPr>
            <w:tcW w:w="992" w:type="dxa"/>
            <w:tcBorders>
              <w:top w:val="nil"/>
              <w:left w:val="nil"/>
              <w:bottom w:val="single" w:sz="4" w:space="0" w:color="0077BD"/>
              <w:right w:val="single" w:sz="8" w:space="0" w:color="0077BD"/>
            </w:tcBorders>
            <w:shd w:val="clear" w:color="auto" w:fill="auto"/>
            <w:vAlign w:val="center"/>
          </w:tcPr>
          <w:p w14:paraId="7BDCDA83" w14:textId="5B8ECB8A"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193 622</w:t>
            </w:r>
          </w:p>
        </w:tc>
        <w:tc>
          <w:tcPr>
            <w:tcW w:w="992" w:type="dxa"/>
            <w:tcBorders>
              <w:top w:val="nil"/>
              <w:left w:val="nil"/>
              <w:bottom w:val="single" w:sz="4" w:space="0" w:color="0077BD"/>
              <w:right w:val="single" w:sz="8" w:space="0" w:color="0077BD"/>
            </w:tcBorders>
            <w:shd w:val="clear" w:color="auto" w:fill="auto"/>
            <w:vAlign w:val="center"/>
          </w:tcPr>
          <w:p w14:paraId="62B7C541" w14:textId="10236459"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248 260</w:t>
            </w:r>
          </w:p>
        </w:tc>
        <w:tc>
          <w:tcPr>
            <w:tcW w:w="993" w:type="dxa"/>
            <w:tcBorders>
              <w:top w:val="nil"/>
              <w:left w:val="nil"/>
              <w:bottom w:val="single" w:sz="4" w:space="0" w:color="0077BD"/>
              <w:right w:val="nil"/>
            </w:tcBorders>
            <w:shd w:val="clear" w:color="auto" w:fill="auto"/>
            <w:vAlign w:val="center"/>
          </w:tcPr>
          <w:p w14:paraId="3F173D95" w14:textId="38CD5D6F"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105 347 475</w:t>
            </w:r>
          </w:p>
        </w:tc>
      </w:tr>
      <w:tr w:rsidR="008554DA" w:rsidRPr="002B2EA0" w14:paraId="2308B712" w14:textId="77777777" w:rsidTr="009B0B92">
        <w:trPr>
          <w:trHeight w:val="284"/>
        </w:trPr>
        <w:tc>
          <w:tcPr>
            <w:tcW w:w="2693" w:type="dxa"/>
            <w:tcBorders>
              <w:top w:val="nil"/>
              <w:left w:val="nil"/>
              <w:bottom w:val="single" w:sz="8" w:space="0" w:color="0077BD"/>
              <w:right w:val="single" w:sz="8" w:space="0" w:color="0077BD"/>
            </w:tcBorders>
            <w:shd w:val="clear" w:color="auto" w:fill="auto"/>
            <w:vAlign w:val="center"/>
            <w:hideMark/>
          </w:tcPr>
          <w:p w14:paraId="63FD991E"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Inne aktywa oraz pochodne instrumenty finansowe</w:t>
            </w:r>
          </w:p>
        </w:tc>
        <w:tc>
          <w:tcPr>
            <w:tcW w:w="992" w:type="dxa"/>
            <w:tcBorders>
              <w:top w:val="nil"/>
              <w:left w:val="single" w:sz="8" w:space="0" w:color="0077BD"/>
              <w:bottom w:val="single" w:sz="8" w:space="0" w:color="0077BD"/>
              <w:right w:val="single" w:sz="8" w:space="0" w:color="0077BD"/>
            </w:tcBorders>
            <w:shd w:val="clear" w:color="auto" w:fill="auto"/>
            <w:vAlign w:val="center"/>
          </w:tcPr>
          <w:p w14:paraId="12E7FF20" w14:textId="39864085"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167 091</w:t>
            </w:r>
          </w:p>
        </w:tc>
        <w:tc>
          <w:tcPr>
            <w:tcW w:w="992" w:type="dxa"/>
            <w:tcBorders>
              <w:top w:val="nil"/>
              <w:left w:val="nil"/>
              <w:bottom w:val="single" w:sz="8" w:space="0" w:color="0077BD"/>
              <w:right w:val="single" w:sz="8" w:space="0" w:color="0077BD"/>
            </w:tcBorders>
            <w:shd w:val="clear" w:color="auto" w:fill="auto"/>
            <w:vAlign w:val="center"/>
          </w:tcPr>
          <w:p w14:paraId="69331F54" w14:textId="6E65F5F2"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133 930</w:t>
            </w:r>
          </w:p>
        </w:tc>
        <w:tc>
          <w:tcPr>
            <w:tcW w:w="992" w:type="dxa"/>
            <w:tcBorders>
              <w:top w:val="nil"/>
              <w:left w:val="nil"/>
              <w:bottom w:val="single" w:sz="8" w:space="0" w:color="0077BD"/>
              <w:right w:val="single" w:sz="8" w:space="0" w:color="0077BD"/>
            </w:tcBorders>
            <w:shd w:val="clear" w:color="auto" w:fill="auto"/>
            <w:vAlign w:val="center"/>
          </w:tcPr>
          <w:p w14:paraId="6945B5E6" w14:textId="589937A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169 852</w:t>
            </w:r>
          </w:p>
        </w:tc>
        <w:tc>
          <w:tcPr>
            <w:tcW w:w="993" w:type="dxa"/>
            <w:tcBorders>
              <w:top w:val="nil"/>
              <w:left w:val="nil"/>
              <w:bottom w:val="single" w:sz="8" w:space="0" w:color="0077BD"/>
              <w:right w:val="single" w:sz="8" w:space="0" w:color="0077BD"/>
            </w:tcBorders>
            <w:shd w:val="clear" w:color="auto" w:fill="auto"/>
            <w:vAlign w:val="center"/>
          </w:tcPr>
          <w:p w14:paraId="32603756" w14:textId="08F7F8ED"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257 799</w:t>
            </w:r>
          </w:p>
        </w:tc>
        <w:tc>
          <w:tcPr>
            <w:tcW w:w="992" w:type="dxa"/>
            <w:tcBorders>
              <w:top w:val="nil"/>
              <w:left w:val="nil"/>
              <w:bottom w:val="single" w:sz="8" w:space="0" w:color="0077BD"/>
              <w:right w:val="single" w:sz="8" w:space="0" w:color="0077BD"/>
            </w:tcBorders>
            <w:shd w:val="clear" w:color="auto" w:fill="auto"/>
            <w:vAlign w:val="center"/>
          </w:tcPr>
          <w:p w14:paraId="30379E9B" w14:textId="2C1562F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24 000</w:t>
            </w:r>
          </w:p>
        </w:tc>
        <w:tc>
          <w:tcPr>
            <w:tcW w:w="992" w:type="dxa"/>
            <w:tcBorders>
              <w:top w:val="nil"/>
              <w:left w:val="nil"/>
              <w:bottom w:val="single" w:sz="8" w:space="0" w:color="0077BD"/>
              <w:right w:val="single" w:sz="8" w:space="0" w:color="0077BD"/>
            </w:tcBorders>
            <w:shd w:val="clear" w:color="auto" w:fill="auto"/>
            <w:vAlign w:val="center"/>
          </w:tcPr>
          <w:p w14:paraId="60CC7B45" w14:textId="4B830A94"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1 164 053</w:t>
            </w:r>
          </w:p>
        </w:tc>
        <w:tc>
          <w:tcPr>
            <w:tcW w:w="993" w:type="dxa"/>
            <w:tcBorders>
              <w:top w:val="nil"/>
              <w:left w:val="nil"/>
              <w:bottom w:val="single" w:sz="8" w:space="0" w:color="0077BD"/>
              <w:right w:val="nil"/>
            </w:tcBorders>
            <w:shd w:val="clear" w:color="auto" w:fill="auto"/>
            <w:vAlign w:val="center"/>
          </w:tcPr>
          <w:p w14:paraId="1FA1F38A" w14:textId="7D39AFF8"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1 916 725</w:t>
            </w:r>
          </w:p>
        </w:tc>
      </w:tr>
      <w:tr w:rsidR="008554DA" w:rsidRPr="002B2EA0" w14:paraId="426B4462" w14:textId="77777777" w:rsidTr="00817B66">
        <w:trPr>
          <w:trHeight w:val="227"/>
        </w:trPr>
        <w:tc>
          <w:tcPr>
            <w:tcW w:w="2693" w:type="dxa"/>
            <w:tcBorders>
              <w:top w:val="nil"/>
              <w:left w:val="nil"/>
              <w:bottom w:val="single" w:sz="8" w:space="0" w:color="0077BD"/>
              <w:right w:val="single" w:sz="8" w:space="0" w:color="0077BD"/>
            </w:tcBorders>
            <w:shd w:val="clear" w:color="auto" w:fill="auto"/>
            <w:vAlign w:val="center"/>
            <w:hideMark/>
          </w:tcPr>
          <w:p w14:paraId="20640163" w14:textId="05ACAD15" w:rsidR="008554DA" w:rsidRPr="002B2EA0" w:rsidRDefault="008554DA" w:rsidP="008554DA">
            <w:pPr>
              <w:rPr>
                <w:rFonts w:cs="Calibri"/>
                <w:b/>
                <w:bCs/>
                <w:color w:val="000000" w:themeColor="text1"/>
                <w:sz w:val="11"/>
                <w:szCs w:val="11"/>
              </w:rPr>
            </w:pPr>
            <w:r w:rsidRPr="002B2EA0">
              <w:rPr>
                <w:rFonts w:cs="Calibri"/>
                <w:b/>
                <w:bCs/>
                <w:color w:val="000000" w:themeColor="text1"/>
                <w:sz w:val="11"/>
                <w:szCs w:val="11"/>
              </w:rPr>
              <w:t>Aktywa razem</w:t>
            </w:r>
          </w:p>
        </w:tc>
        <w:tc>
          <w:tcPr>
            <w:tcW w:w="992" w:type="dxa"/>
            <w:tcBorders>
              <w:top w:val="nil"/>
              <w:left w:val="single" w:sz="8" w:space="0" w:color="0077BD"/>
              <w:bottom w:val="single" w:sz="8" w:space="0" w:color="0077BD"/>
              <w:right w:val="single" w:sz="8" w:space="0" w:color="0077BD"/>
            </w:tcBorders>
            <w:shd w:val="clear" w:color="auto" w:fill="auto"/>
            <w:vAlign w:val="center"/>
          </w:tcPr>
          <w:p w14:paraId="3795F042" w14:textId="2920C5FD"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82 279 073</w:t>
            </w:r>
          </w:p>
        </w:tc>
        <w:tc>
          <w:tcPr>
            <w:tcW w:w="992" w:type="dxa"/>
            <w:tcBorders>
              <w:top w:val="nil"/>
              <w:left w:val="nil"/>
              <w:bottom w:val="single" w:sz="8" w:space="0" w:color="0077BD"/>
              <w:right w:val="single" w:sz="8" w:space="0" w:color="0077BD"/>
            </w:tcBorders>
            <w:shd w:val="clear" w:color="auto" w:fill="auto"/>
            <w:vAlign w:val="center"/>
          </w:tcPr>
          <w:p w14:paraId="0E2EDDC9" w14:textId="69584F5A"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35 282 654</w:t>
            </w:r>
          </w:p>
        </w:tc>
        <w:tc>
          <w:tcPr>
            <w:tcW w:w="992" w:type="dxa"/>
            <w:tcBorders>
              <w:top w:val="nil"/>
              <w:left w:val="nil"/>
              <w:bottom w:val="single" w:sz="8" w:space="0" w:color="0077BD"/>
              <w:right w:val="single" w:sz="8" w:space="0" w:color="0077BD"/>
            </w:tcBorders>
            <w:shd w:val="clear" w:color="auto" w:fill="auto"/>
            <w:vAlign w:val="center"/>
          </w:tcPr>
          <w:p w14:paraId="36FF1846" w14:textId="7BE924BB"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10 337 674</w:t>
            </w:r>
          </w:p>
        </w:tc>
        <w:tc>
          <w:tcPr>
            <w:tcW w:w="993" w:type="dxa"/>
            <w:tcBorders>
              <w:top w:val="nil"/>
              <w:left w:val="nil"/>
              <w:bottom w:val="single" w:sz="8" w:space="0" w:color="0077BD"/>
              <w:right w:val="single" w:sz="8" w:space="0" w:color="0077BD"/>
            </w:tcBorders>
            <w:shd w:val="clear" w:color="auto" w:fill="auto"/>
            <w:vAlign w:val="center"/>
          </w:tcPr>
          <w:p w14:paraId="73530E5E" w14:textId="3A330F7F"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20 749 058</w:t>
            </w:r>
          </w:p>
        </w:tc>
        <w:tc>
          <w:tcPr>
            <w:tcW w:w="992" w:type="dxa"/>
            <w:tcBorders>
              <w:top w:val="nil"/>
              <w:left w:val="nil"/>
              <w:bottom w:val="single" w:sz="8" w:space="0" w:color="0077BD"/>
              <w:right w:val="single" w:sz="8" w:space="0" w:color="0077BD"/>
            </w:tcBorders>
            <w:shd w:val="clear" w:color="auto" w:fill="auto"/>
            <w:vAlign w:val="center"/>
          </w:tcPr>
          <w:p w14:paraId="545B1D4A" w14:textId="53E654D3"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874 823</w:t>
            </w:r>
          </w:p>
        </w:tc>
        <w:tc>
          <w:tcPr>
            <w:tcW w:w="992" w:type="dxa"/>
            <w:tcBorders>
              <w:top w:val="nil"/>
              <w:left w:val="nil"/>
              <w:bottom w:val="single" w:sz="8" w:space="0" w:color="0077BD"/>
              <w:right w:val="single" w:sz="8" w:space="0" w:color="0077BD"/>
            </w:tcBorders>
            <w:shd w:val="clear" w:color="auto" w:fill="auto"/>
            <w:vAlign w:val="center"/>
          </w:tcPr>
          <w:p w14:paraId="467F8483" w14:textId="46510CC0"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6 018 439</w:t>
            </w:r>
          </w:p>
        </w:tc>
        <w:tc>
          <w:tcPr>
            <w:tcW w:w="993" w:type="dxa"/>
            <w:tcBorders>
              <w:top w:val="nil"/>
              <w:left w:val="nil"/>
              <w:bottom w:val="single" w:sz="8" w:space="0" w:color="0077BD"/>
              <w:right w:val="nil"/>
            </w:tcBorders>
            <w:shd w:val="clear" w:color="auto" w:fill="auto"/>
            <w:vAlign w:val="center"/>
          </w:tcPr>
          <w:p w14:paraId="250B6D42" w14:textId="2E630362"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155 541 721</w:t>
            </w:r>
          </w:p>
        </w:tc>
      </w:tr>
      <w:tr w:rsidR="008318EE" w:rsidRPr="002B2EA0" w14:paraId="439853C7" w14:textId="77777777" w:rsidTr="0049271B">
        <w:trPr>
          <w:trHeight w:val="227"/>
        </w:trPr>
        <w:tc>
          <w:tcPr>
            <w:tcW w:w="2693" w:type="dxa"/>
            <w:tcBorders>
              <w:top w:val="nil"/>
              <w:left w:val="nil"/>
              <w:bottom w:val="single" w:sz="8" w:space="0" w:color="0077BD"/>
              <w:right w:val="nil"/>
            </w:tcBorders>
            <w:shd w:val="clear" w:color="auto" w:fill="auto"/>
            <w:vAlign w:val="center"/>
            <w:hideMark/>
          </w:tcPr>
          <w:p w14:paraId="282B416A" w14:textId="77777777" w:rsidR="008318EE" w:rsidRPr="002B2EA0" w:rsidRDefault="008318EE" w:rsidP="009E1F91">
            <w:pPr>
              <w:rPr>
                <w:rFonts w:cs="Calibri"/>
                <w:b/>
                <w:bCs/>
                <w:color w:val="000000" w:themeColor="text1"/>
                <w:sz w:val="11"/>
                <w:szCs w:val="11"/>
              </w:rPr>
            </w:pPr>
            <w:r w:rsidRPr="002B2EA0">
              <w:rPr>
                <w:rFonts w:cs="Calibri"/>
                <w:b/>
                <w:bCs/>
                <w:color w:val="000000" w:themeColor="text1"/>
                <w:sz w:val="11"/>
                <w:szCs w:val="11"/>
              </w:rPr>
              <w:t>Zobowiązania</w:t>
            </w:r>
          </w:p>
        </w:tc>
        <w:tc>
          <w:tcPr>
            <w:tcW w:w="992" w:type="dxa"/>
            <w:tcBorders>
              <w:top w:val="nil"/>
              <w:left w:val="nil"/>
              <w:bottom w:val="single" w:sz="8" w:space="0" w:color="0077BD"/>
              <w:right w:val="nil"/>
            </w:tcBorders>
            <w:shd w:val="clear" w:color="auto" w:fill="auto"/>
            <w:vAlign w:val="center"/>
          </w:tcPr>
          <w:p w14:paraId="1E7942DF" w14:textId="77777777" w:rsidR="008318EE" w:rsidRPr="008554DA" w:rsidRDefault="008318EE" w:rsidP="009E1F91">
            <w:pPr>
              <w:rPr>
                <w:rFonts w:cs="Calibri"/>
                <w:b/>
                <w:bCs/>
                <w:color w:val="000000" w:themeColor="text1"/>
                <w:sz w:val="11"/>
                <w:szCs w:val="11"/>
              </w:rPr>
            </w:pPr>
          </w:p>
        </w:tc>
        <w:tc>
          <w:tcPr>
            <w:tcW w:w="992" w:type="dxa"/>
            <w:tcBorders>
              <w:top w:val="nil"/>
              <w:left w:val="nil"/>
              <w:bottom w:val="single" w:sz="8" w:space="0" w:color="0077BD"/>
              <w:right w:val="nil"/>
            </w:tcBorders>
            <w:shd w:val="clear" w:color="auto" w:fill="auto"/>
            <w:vAlign w:val="center"/>
          </w:tcPr>
          <w:p w14:paraId="2D0723CE" w14:textId="77777777" w:rsidR="008318EE" w:rsidRPr="008554DA"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tcPr>
          <w:p w14:paraId="05F5518F" w14:textId="77777777" w:rsidR="008318EE" w:rsidRPr="008554DA" w:rsidRDefault="008318EE" w:rsidP="009E1F91">
            <w:pPr>
              <w:jc w:val="right"/>
              <w:rPr>
                <w:color w:val="000000" w:themeColor="text1"/>
                <w:sz w:val="11"/>
                <w:szCs w:val="11"/>
              </w:rPr>
            </w:pPr>
          </w:p>
        </w:tc>
        <w:tc>
          <w:tcPr>
            <w:tcW w:w="993" w:type="dxa"/>
            <w:tcBorders>
              <w:top w:val="nil"/>
              <w:left w:val="nil"/>
              <w:bottom w:val="single" w:sz="8" w:space="0" w:color="0077BD"/>
              <w:right w:val="nil"/>
            </w:tcBorders>
            <w:shd w:val="clear" w:color="auto" w:fill="auto"/>
            <w:vAlign w:val="center"/>
          </w:tcPr>
          <w:p w14:paraId="2F468583" w14:textId="77777777" w:rsidR="008318EE" w:rsidRPr="008554DA"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tcPr>
          <w:p w14:paraId="3F7CACA9" w14:textId="77777777" w:rsidR="008318EE" w:rsidRPr="008554DA"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tcPr>
          <w:p w14:paraId="2CF8A078" w14:textId="77777777" w:rsidR="008318EE" w:rsidRPr="008554DA" w:rsidRDefault="008318EE" w:rsidP="009E1F91">
            <w:pPr>
              <w:jc w:val="right"/>
              <w:rPr>
                <w:color w:val="000000" w:themeColor="text1"/>
                <w:sz w:val="11"/>
                <w:szCs w:val="11"/>
              </w:rPr>
            </w:pPr>
          </w:p>
        </w:tc>
        <w:tc>
          <w:tcPr>
            <w:tcW w:w="993" w:type="dxa"/>
            <w:tcBorders>
              <w:top w:val="nil"/>
              <w:left w:val="nil"/>
              <w:bottom w:val="single" w:sz="8" w:space="0" w:color="0077BD"/>
              <w:right w:val="nil"/>
            </w:tcBorders>
            <w:shd w:val="clear" w:color="auto" w:fill="auto"/>
            <w:vAlign w:val="center"/>
          </w:tcPr>
          <w:p w14:paraId="5930E399" w14:textId="77777777" w:rsidR="008318EE" w:rsidRPr="008554DA" w:rsidRDefault="008318EE" w:rsidP="009E1F91">
            <w:pPr>
              <w:jc w:val="right"/>
              <w:rPr>
                <w:color w:val="000000" w:themeColor="text1"/>
                <w:sz w:val="11"/>
                <w:szCs w:val="11"/>
              </w:rPr>
            </w:pPr>
          </w:p>
        </w:tc>
      </w:tr>
      <w:tr w:rsidR="008554DA" w:rsidRPr="002B2EA0" w14:paraId="3511EA73" w14:textId="77777777" w:rsidTr="0049271B">
        <w:trPr>
          <w:trHeight w:val="227"/>
        </w:trPr>
        <w:tc>
          <w:tcPr>
            <w:tcW w:w="2693" w:type="dxa"/>
            <w:tcBorders>
              <w:top w:val="single" w:sz="8" w:space="0" w:color="0077BD"/>
              <w:left w:val="nil"/>
              <w:bottom w:val="single" w:sz="4" w:space="0" w:color="0077BD"/>
              <w:right w:val="single" w:sz="8" w:space="0" w:color="0077BD"/>
            </w:tcBorders>
            <w:shd w:val="clear" w:color="auto" w:fill="auto"/>
            <w:vAlign w:val="center"/>
            <w:hideMark/>
          </w:tcPr>
          <w:p w14:paraId="6FE8C9A4" w14:textId="04EC525C" w:rsidR="008554DA" w:rsidRPr="002B2EA0" w:rsidRDefault="008554DA" w:rsidP="008554DA">
            <w:pPr>
              <w:rPr>
                <w:rFonts w:cs="Calibri"/>
                <w:color w:val="000000" w:themeColor="text1"/>
                <w:sz w:val="11"/>
                <w:szCs w:val="11"/>
              </w:rPr>
            </w:pPr>
            <w:r w:rsidRPr="002B2EA0">
              <w:rPr>
                <w:rFonts w:cs="Calibri"/>
                <w:color w:val="000000" w:themeColor="text1"/>
                <w:sz w:val="11"/>
                <w:szCs w:val="11"/>
              </w:rPr>
              <w:t xml:space="preserve">Zobowiązania </w:t>
            </w:r>
            <w:r w:rsidR="00AF1F12">
              <w:rPr>
                <w:rFonts w:cs="Calibri"/>
                <w:color w:val="000000" w:themeColor="text1"/>
                <w:sz w:val="11"/>
                <w:szCs w:val="11"/>
              </w:rPr>
              <w:t>wobec</w:t>
            </w:r>
            <w:r w:rsidRPr="002B2EA0">
              <w:rPr>
                <w:rFonts w:cs="Calibri"/>
                <w:color w:val="000000" w:themeColor="text1"/>
                <w:sz w:val="11"/>
                <w:szCs w:val="11"/>
              </w:rPr>
              <w:t xml:space="preserve"> banków</w:t>
            </w:r>
          </w:p>
        </w:tc>
        <w:tc>
          <w:tcPr>
            <w:tcW w:w="992" w:type="dxa"/>
            <w:tcBorders>
              <w:top w:val="single" w:sz="8" w:space="0" w:color="0077BD"/>
              <w:left w:val="single" w:sz="8" w:space="0" w:color="0077BD"/>
              <w:bottom w:val="single" w:sz="4" w:space="0" w:color="0077BD"/>
              <w:right w:val="single" w:sz="8" w:space="0" w:color="0077BD"/>
            </w:tcBorders>
            <w:shd w:val="clear" w:color="auto" w:fill="auto"/>
            <w:vAlign w:val="center"/>
          </w:tcPr>
          <w:p w14:paraId="508C9E79" w14:textId="54EF0BA5"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966 951</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3DA87893" w14:textId="719EACC7"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189 901</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03267978" w14:textId="6F574773"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3" w:type="dxa"/>
            <w:tcBorders>
              <w:top w:val="single" w:sz="8" w:space="0" w:color="0077BD"/>
              <w:left w:val="nil"/>
              <w:bottom w:val="single" w:sz="4" w:space="0" w:color="0077BD"/>
              <w:right w:val="single" w:sz="8" w:space="0" w:color="0077BD"/>
            </w:tcBorders>
            <w:shd w:val="clear" w:color="auto" w:fill="auto"/>
            <w:vAlign w:val="center"/>
          </w:tcPr>
          <w:p w14:paraId="760EB0CE" w14:textId="025CFC0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2CA1C23B" w14:textId="443DEFD0"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tcPr>
          <w:p w14:paraId="54A5117F" w14:textId="1725D2C9"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10 019</w:t>
            </w:r>
          </w:p>
        </w:tc>
        <w:tc>
          <w:tcPr>
            <w:tcW w:w="993" w:type="dxa"/>
            <w:tcBorders>
              <w:top w:val="single" w:sz="8" w:space="0" w:color="0077BD"/>
              <w:left w:val="nil"/>
              <w:bottom w:val="single" w:sz="4" w:space="0" w:color="0077BD"/>
              <w:right w:val="nil"/>
            </w:tcBorders>
            <w:shd w:val="clear" w:color="auto" w:fill="auto"/>
            <w:vAlign w:val="center"/>
          </w:tcPr>
          <w:p w14:paraId="5B9D1A97" w14:textId="211439CB"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1 166 871</w:t>
            </w:r>
          </w:p>
        </w:tc>
      </w:tr>
      <w:tr w:rsidR="008554DA" w:rsidRPr="002B2EA0" w14:paraId="20DE7522" w14:textId="77777777" w:rsidTr="00817B66">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0B5BFE38"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Zobowiązania wobec klientów</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633465E9" w14:textId="1FF9F33F"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99 748 135</w:t>
            </w:r>
          </w:p>
        </w:tc>
        <w:tc>
          <w:tcPr>
            <w:tcW w:w="992" w:type="dxa"/>
            <w:tcBorders>
              <w:top w:val="nil"/>
              <w:left w:val="nil"/>
              <w:bottom w:val="single" w:sz="4" w:space="0" w:color="0077BD"/>
              <w:right w:val="single" w:sz="8" w:space="0" w:color="0077BD"/>
            </w:tcBorders>
            <w:shd w:val="clear" w:color="auto" w:fill="auto"/>
            <w:vAlign w:val="center"/>
          </w:tcPr>
          <w:p w14:paraId="6C3684FE" w14:textId="52F56AD6"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9 296 587</w:t>
            </w:r>
          </w:p>
        </w:tc>
        <w:tc>
          <w:tcPr>
            <w:tcW w:w="992" w:type="dxa"/>
            <w:tcBorders>
              <w:top w:val="nil"/>
              <w:left w:val="nil"/>
              <w:bottom w:val="single" w:sz="4" w:space="0" w:color="0077BD"/>
              <w:right w:val="single" w:sz="8" w:space="0" w:color="0077BD"/>
            </w:tcBorders>
            <w:shd w:val="clear" w:color="auto" w:fill="auto"/>
            <w:vAlign w:val="center"/>
          </w:tcPr>
          <w:p w14:paraId="0298ECF4" w14:textId="2C10815D"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4 256 380</w:t>
            </w:r>
          </w:p>
        </w:tc>
        <w:tc>
          <w:tcPr>
            <w:tcW w:w="993" w:type="dxa"/>
            <w:tcBorders>
              <w:top w:val="nil"/>
              <w:left w:val="nil"/>
              <w:bottom w:val="single" w:sz="4" w:space="0" w:color="0077BD"/>
              <w:right w:val="single" w:sz="8" w:space="0" w:color="0077BD"/>
            </w:tcBorders>
            <w:shd w:val="clear" w:color="auto" w:fill="auto"/>
            <w:vAlign w:val="center"/>
          </w:tcPr>
          <w:p w14:paraId="3FC6F6AD" w14:textId="103F9CA9"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2 616 421</w:t>
            </w:r>
          </w:p>
        </w:tc>
        <w:tc>
          <w:tcPr>
            <w:tcW w:w="992" w:type="dxa"/>
            <w:tcBorders>
              <w:top w:val="nil"/>
              <w:left w:val="nil"/>
              <w:bottom w:val="single" w:sz="4" w:space="0" w:color="0077BD"/>
              <w:right w:val="single" w:sz="8" w:space="0" w:color="0077BD"/>
            </w:tcBorders>
            <w:shd w:val="clear" w:color="auto" w:fill="auto"/>
            <w:vAlign w:val="center"/>
          </w:tcPr>
          <w:p w14:paraId="4EF220DE" w14:textId="7369CAFF"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2 071</w:t>
            </w:r>
          </w:p>
        </w:tc>
        <w:tc>
          <w:tcPr>
            <w:tcW w:w="992" w:type="dxa"/>
            <w:tcBorders>
              <w:top w:val="nil"/>
              <w:left w:val="nil"/>
              <w:bottom w:val="single" w:sz="4" w:space="0" w:color="0077BD"/>
              <w:right w:val="single" w:sz="8" w:space="0" w:color="0077BD"/>
            </w:tcBorders>
            <w:shd w:val="clear" w:color="auto" w:fill="auto"/>
            <w:vAlign w:val="center"/>
          </w:tcPr>
          <w:p w14:paraId="39E3C335" w14:textId="3C9D7D0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741 544</w:t>
            </w:r>
          </w:p>
        </w:tc>
        <w:tc>
          <w:tcPr>
            <w:tcW w:w="993" w:type="dxa"/>
            <w:tcBorders>
              <w:top w:val="nil"/>
              <w:left w:val="nil"/>
              <w:bottom w:val="single" w:sz="4" w:space="0" w:color="0077BD"/>
              <w:right w:val="nil"/>
            </w:tcBorders>
            <w:shd w:val="clear" w:color="auto" w:fill="auto"/>
            <w:vAlign w:val="center"/>
          </w:tcPr>
          <w:p w14:paraId="71C4AAEF" w14:textId="00D2D1C3"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116 661 138</w:t>
            </w:r>
          </w:p>
        </w:tc>
      </w:tr>
      <w:tr w:rsidR="008554DA" w:rsidRPr="002B2EA0" w14:paraId="6C77D84F" w14:textId="77777777" w:rsidTr="009B0B92">
        <w:trPr>
          <w:trHeight w:val="284"/>
        </w:trPr>
        <w:tc>
          <w:tcPr>
            <w:tcW w:w="2693" w:type="dxa"/>
            <w:tcBorders>
              <w:top w:val="nil"/>
              <w:left w:val="nil"/>
              <w:bottom w:val="single" w:sz="4" w:space="0" w:color="0077BD"/>
              <w:right w:val="single" w:sz="8" w:space="0" w:color="0077BD"/>
            </w:tcBorders>
            <w:shd w:val="clear" w:color="auto" w:fill="auto"/>
            <w:vAlign w:val="center"/>
            <w:hideMark/>
          </w:tcPr>
          <w:p w14:paraId="114058D2"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Zobowiązania z tytułu emisji dłużnych papierów wartościowych</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6C9C1DFE" w14:textId="32C5D33F"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1 071 199</w:t>
            </w:r>
          </w:p>
        </w:tc>
        <w:tc>
          <w:tcPr>
            <w:tcW w:w="992" w:type="dxa"/>
            <w:tcBorders>
              <w:top w:val="nil"/>
              <w:left w:val="nil"/>
              <w:bottom w:val="single" w:sz="4" w:space="0" w:color="0077BD"/>
              <w:right w:val="single" w:sz="8" w:space="0" w:color="0077BD"/>
            </w:tcBorders>
            <w:shd w:val="clear" w:color="auto" w:fill="auto"/>
            <w:vAlign w:val="center"/>
          </w:tcPr>
          <w:p w14:paraId="3C3791D5" w14:textId="6A45F492"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4 050 378</w:t>
            </w:r>
          </w:p>
        </w:tc>
        <w:tc>
          <w:tcPr>
            <w:tcW w:w="992" w:type="dxa"/>
            <w:tcBorders>
              <w:top w:val="nil"/>
              <w:left w:val="nil"/>
              <w:bottom w:val="single" w:sz="4" w:space="0" w:color="0077BD"/>
              <w:right w:val="single" w:sz="8" w:space="0" w:color="0077BD"/>
            </w:tcBorders>
            <w:shd w:val="clear" w:color="auto" w:fill="auto"/>
            <w:vAlign w:val="center"/>
          </w:tcPr>
          <w:p w14:paraId="3AE27C42" w14:textId="18C484D5"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2 877 871</w:t>
            </w:r>
          </w:p>
        </w:tc>
        <w:tc>
          <w:tcPr>
            <w:tcW w:w="993" w:type="dxa"/>
            <w:tcBorders>
              <w:top w:val="nil"/>
              <w:left w:val="nil"/>
              <w:bottom w:val="single" w:sz="4" w:space="0" w:color="0077BD"/>
              <w:right w:val="single" w:sz="8" w:space="0" w:color="0077BD"/>
            </w:tcBorders>
            <w:shd w:val="clear" w:color="auto" w:fill="auto"/>
            <w:vAlign w:val="center"/>
          </w:tcPr>
          <w:p w14:paraId="1DC5CEB0" w14:textId="46289DDE"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6 406 116</w:t>
            </w:r>
          </w:p>
        </w:tc>
        <w:tc>
          <w:tcPr>
            <w:tcW w:w="992" w:type="dxa"/>
            <w:tcBorders>
              <w:top w:val="nil"/>
              <w:left w:val="nil"/>
              <w:bottom w:val="single" w:sz="4" w:space="0" w:color="0077BD"/>
              <w:right w:val="single" w:sz="8" w:space="0" w:color="0077BD"/>
            </w:tcBorders>
            <w:shd w:val="clear" w:color="auto" w:fill="auto"/>
            <w:vAlign w:val="center"/>
          </w:tcPr>
          <w:p w14:paraId="48970031" w14:textId="1F3D3A39"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3 029 579</w:t>
            </w:r>
          </w:p>
        </w:tc>
        <w:tc>
          <w:tcPr>
            <w:tcW w:w="992" w:type="dxa"/>
            <w:tcBorders>
              <w:top w:val="nil"/>
              <w:left w:val="nil"/>
              <w:bottom w:val="single" w:sz="4" w:space="0" w:color="0077BD"/>
              <w:right w:val="single" w:sz="8" w:space="0" w:color="0077BD"/>
            </w:tcBorders>
            <w:shd w:val="clear" w:color="auto" w:fill="auto"/>
            <w:vAlign w:val="center"/>
          </w:tcPr>
          <w:p w14:paraId="63EF31DD" w14:textId="0AEF57C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3" w:type="dxa"/>
            <w:tcBorders>
              <w:top w:val="nil"/>
              <w:left w:val="nil"/>
              <w:bottom w:val="single" w:sz="4" w:space="0" w:color="0077BD"/>
              <w:right w:val="nil"/>
            </w:tcBorders>
            <w:shd w:val="clear" w:color="auto" w:fill="auto"/>
            <w:vAlign w:val="center"/>
          </w:tcPr>
          <w:p w14:paraId="6A58D1DC" w14:textId="1B063FB0"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17 435 143</w:t>
            </w:r>
          </w:p>
        </w:tc>
      </w:tr>
      <w:tr w:rsidR="008554DA" w:rsidRPr="002B2EA0" w14:paraId="0D1ED2BF" w14:textId="77777777" w:rsidTr="00817B66">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4CB24469"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Zobowiązania podporządkowane</w:t>
            </w:r>
          </w:p>
        </w:tc>
        <w:tc>
          <w:tcPr>
            <w:tcW w:w="992" w:type="dxa"/>
            <w:tcBorders>
              <w:top w:val="nil"/>
              <w:left w:val="single" w:sz="8" w:space="0" w:color="0077BD"/>
              <w:bottom w:val="single" w:sz="4" w:space="0" w:color="0077BD"/>
              <w:right w:val="single" w:sz="8" w:space="0" w:color="0077BD"/>
            </w:tcBorders>
            <w:shd w:val="clear" w:color="auto" w:fill="auto"/>
            <w:vAlign w:val="center"/>
          </w:tcPr>
          <w:p w14:paraId="6DF757C5" w14:textId="59C5FBB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763 355</w:t>
            </w:r>
          </w:p>
        </w:tc>
        <w:tc>
          <w:tcPr>
            <w:tcW w:w="992" w:type="dxa"/>
            <w:tcBorders>
              <w:top w:val="nil"/>
              <w:left w:val="nil"/>
              <w:bottom w:val="single" w:sz="4" w:space="0" w:color="0077BD"/>
              <w:right w:val="single" w:sz="8" w:space="0" w:color="0077BD"/>
            </w:tcBorders>
            <w:shd w:val="clear" w:color="auto" w:fill="auto"/>
            <w:vAlign w:val="center"/>
          </w:tcPr>
          <w:p w14:paraId="44EF026C" w14:textId="1B572900"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980 771</w:t>
            </w:r>
          </w:p>
        </w:tc>
        <w:tc>
          <w:tcPr>
            <w:tcW w:w="992" w:type="dxa"/>
            <w:tcBorders>
              <w:top w:val="nil"/>
              <w:left w:val="nil"/>
              <w:bottom w:val="single" w:sz="4" w:space="0" w:color="0077BD"/>
              <w:right w:val="single" w:sz="8" w:space="0" w:color="0077BD"/>
            </w:tcBorders>
            <w:shd w:val="clear" w:color="auto" w:fill="auto"/>
            <w:vAlign w:val="center"/>
          </w:tcPr>
          <w:p w14:paraId="203CCBC4" w14:textId="79CCA656"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756 091</w:t>
            </w:r>
          </w:p>
        </w:tc>
        <w:tc>
          <w:tcPr>
            <w:tcW w:w="993" w:type="dxa"/>
            <w:tcBorders>
              <w:top w:val="nil"/>
              <w:left w:val="nil"/>
              <w:bottom w:val="single" w:sz="4" w:space="0" w:color="0077BD"/>
              <w:right w:val="single" w:sz="8" w:space="0" w:color="0077BD"/>
            </w:tcBorders>
            <w:shd w:val="clear" w:color="auto" w:fill="auto"/>
            <w:vAlign w:val="center"/>
          </w:tcPr>
          <w:p w14:paraId="5761F292" w14:textId="3B161A11"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tcPr>
          <w:p w14:paraId="63A3B91B" w14:textId="59F2DC82"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tcPr>
          <w:p w14:paraId="1B013A7F" w14:textId="55025B5D"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w:t>
            </w:r>
          </w:p>
        </w:tc>
        <w:tc>
          <w:tcPr>
            <w:tcW w:w="993" w:type="dxa"/>
            <w:tcBorders>
              <w:top w:val="nil"/>
              <w:left w:val="nil"/>
              <w:bottom w:val="single" w:sz="4" w:space="0" w:color="0077BD"/>
              <w:right w:val="nil"/>
            </w:tcBorders>
            <w:shd w:val="clear" w:color="auto" w:fill="auto"/>
            <w:vAlign w:val="center"/>
          </w:tcPr>
          <w:p w14:paraId="192DCD04" w14:textId="5677ED74"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2 500 217</w:t>
            </w:r>
          </w:p>
        </w:tc>
      </w:tr>
      <w:tr w:rsidR="008554DA" w:rsidRPr="002B2EA0" w14:paraId="4135DF2F" w14:textId="77777777" w:rsidTr="009B0B92">
        <w:trPr>
          <w:trHeight w:val="284"/>
        </w:trPr>
        <w:tc>
          <w:tcPr>
            <w:tcW w:w="2693" w:type="dxa"/>
            <w:tcBorders>
              <w:top w:val="nil"/>
              <w:left w:val="nil"/>
              <w:bottom w:val="single" w:sz="8" w:space="0" w:color="0077BD"/>
              <w:right w:val="single" w:sz="8" w:space="0" w:color="0077BD"/>
            </w:tcBorders>
            <w:shd w:val="clear" w:color="auto" w:fill="auto"/>
            <w:vAlign w:val="center"/>
            <w:hideMark/>
          </w:tcPr>
          <w:p w14:paraId="72879704" w14:textId="77777777" w:rsidR="008554DA" w:rsidRPr="002B2EA0" w:rsidRDefault="008554DA" w:rsidP="008554DA">
            <w:pPr>
              <w:rPr>
                <w:rFonts w:cs="Calibri"/>
                <w:color w:val="000000" w:themeColor="text1"/>
                <w:sz w:val="11"/>
                <w:szCs w:val="11"/>
              </w:rPr>
            </w:pPr>
            <w:r w:rsidRPr="002B2EA0">
              <w:rPr>
                <w:rFonts w:cs="Calibri"/>
                <w:color w:val="000000" w:themeColor="text1"/>
                <w:sz w:val="11"/>
                <w:szCs w:val="11"/>
              </w:rPr>
              <w:t>Pozostałe zobowiązania oraz pochodne instrumenty finansowe</w:t>
            </w:r>
          </w:p>
        </w:tc>
        <w:tc>
          <w:tcPr>
            <w:tcW w:w="992" w:type="dxa"/>
            <w:tcBorders>
              <w:top w:val="nil"/>
              <w:left w:val="single" w:sz="8" w:space="0" w:color="0077BD"/>
              <w:bottom w:val="single" w:sz="8" w:space="0" w:color="0077BD"/>
              <w:right w:val="single" w:sz="8" w:space="0" w:color="0077BD"/>
            </w:tcBorders>
            <w:shd w:val="clear" w:color="auto" w:fill="auto"/>
            <w:vAlign w:val="center"/>
          </w:tcPr>
          <w:p w14:paraId="56B9660B" w14:textId="51DD5FD8"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376 119</w:t>
            </w:r>
          </w:p>
        </w:tc>
        <w:tc>
          <w:tcPr>
            <w:tcW w:w="992" w:type="dxa"/>
            <w:tcBorders>
              <w:top w:val="nil"/>
              <w:left w:val="nil"/>
              <w:bottom w:val="single" w:sz="8" w:space="0" w:color="0077BD"/>
              <w:right w:val="single" w:sz="8" w:space="0" w:color="0077BD"/>
            </w:tcBorders>
            <w:shd w:val="clear" w:color="auto" w:fill="auto"/>
            <w:vAlign w:val="center"/>
          </w:tcPr>
          <w:p w14:paraId="218C9BEC" w14:textId="34B2C01B"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121 995</w:t>
            </w:r>
          </w:p>
        </w:tc>
        <w:tc>
          <w:tcPr>
            <w:tcW w:w="992" w:type="dxa"/>
            <w:tcBorders>
              <w:top w:val="nil"/>
              <w:left w:val="nil"/>
              <w:bottom w:val="single" w:sz="8" w:space="0" w:color="0077BD"/>
              <w:right w:val="single" w:sz="8" w:space="0" w:color="0077BD"/>
            </w:tcBorders>
            <w:shd w:val="clear" w:color="auto" w:fill="auto"/>
            <w:vAlign w:val="center"/>
          </w:tcPr>
          <w:p w14:paraId="2A46841A" w14:textId="48808F18"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197 518</w:t>
            </w:r>
          </w:p>
        </w:tc>
        <w:tc>
          <w:tcPr>
            <w:tcW w:w="993" w:type="dxa"/>
            <w:tcBorders>
              <w:top w:val="nil"/>
              <w:left w:val="nil"/>
              <w:bottom w:val="single" w:sz="8" w:space="0" w:color="0077BD"/>
              <w:right w:val="single" w:sz="8" w:space="0" w:color="0077BD"/>
            </w:tcBorders>
            <w:shd w:val="clear" w:color="auto" w:fill="auto"/>
            <w:vAlign w:val="center"/>
          </w:tcPr>
          <w:p w14:paraId="6E46AB57" w14:textId="06FE69E8"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186 144</w:t>
            </w:r>
          </w:p>
        </w:tc>
        <w:tc>
          <w:tcPr>
            <w:tcW w:w="992" w:type="dxa"/>
            <w:tcBorders>
              <w:top w:val="nil"/>
              <w:left w:val="nil"/>
              <w:bottom w:val="single" w:sz="8" w:space="0" w:color="0077BD"/>
              <w:right w:val="single" w:sz="8" w:space="0" w:color="0077BD"/>
            </w:tcBorders>
            <w:shd w:val="clear" w:color="auto" w:fill="auto"/>
            <w:vAlign w:val="center"/>
          </w:tcPr>
          <w:p w14:paraId="282816E7" w14:textId="6931A91E"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19 807</w:t>
            </w:r>
          </w:p>
        </w:tc>
        <w:tc>
          <w:tcPr>
            <w:tcW w:w="992" w:type="dxa"/>
            <w:tcBorders>
              <w:top w:val="nil"/>
              <w:left w:val="nil"/>
              <w:bottom w:val="single" w:sz="8" w:space="0" w:color="0077BD"/>
              <w:right w:val="single" w:sz="8" w:space="0" w:color="0077BD"/>
            </w:tcBorders>
            <w:shd w:val="clear" w:color="auto" w:fill="auto"/>
            <w:vAlign w:val="center"/>
          </w:tcPr>
          <w:p w14:paraId="25035DC8" w14:textId="3131DAD0" w:rsidR="008554DA" w:rsidRPr="008554DA" w:rsidRDefault="008554DA" w:rsidP="008554DA">
            <w:pPr>
              <w:jc w:val="right"/>
              <w:rPr>
                <w:rFonts w:cs="Calibri"/>
                <w:color w:val="000000" w:themeColor="text1"/>
                <w:sz w:val="11"/>
                <w:szCs w:val="11"/>
              </w:rPr>
            </w:pPr>
            <w:r w:rsidRPr="008554DA">
              <w:rPr>
                <w:rFonts w:cs="Calibri"/>
                <w:color w:val="000000" w:themeColor="text1"/>
                <w:sz w:val="11"/>
                <w:szCs w:val="11"/>
              </w:rPr>
              <w:t>2 999 964</w:t>
            </w:r>
          </w:p>
        </w:tc>
        <w:tc>
          <w:tcPr>
            <w:tcW w:w="993" w:type="dxa"/>
            <w:tcBorders>
              <w:top w:val="nil"/>
              <w:left w:val="nil"/>
              <w:bottom w:val="single" w:sz="8" w:space="0" w:color="0077BD"/>
              <w:right w:val="nil"/>
            </w:tcBorders>
            <w:shd w:val="clear" w:color="auto" w:fill="auto"/>
            <w:vAlign w:val="center"/>
          </w:tcPr>
          <w:p w14:paraId="0D318E89" w14:textId="60A41B27"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3 901 547</w:t>
            </w:r>
          </w:p>
        </w:tc>
      </w:tr>
      <w:tr w:rsidR="00CD55C4" w:rsidRPr="002B2EA0" w14:paraId="01EB5063" w14:textId="77777777" w:rsidTr="0008305C">
        <w:trPr>
          <w:trHeight w:val="227"/>
        </w:trPr>
        <w:tc>
          <w:tcPr>
            <w:tcW w:w="2693" w:type="dxa"/>
            <w:tcBorders>
              <w:top w:val="nil"/>
              <w:left w:val="nil"/>
              <w:bottom w:val="single" w:sz="8" w:space="0" w:color="0077BD"/>
              <w:right w:val="single" w:sz="8" w:space="0" w:color="0077BD"/>
            </w:tcBorders>
            <w:shd w:val="clear" w:color="auto" w:fill="auto"/>
            <w:vAlign w:val="center"/>
            <w:hideMark/>
          </w:tcPr>
          <w:p w14:paraId="4ABFD781" w14:textId="642B35CB" w:rsidR="00CD55C4" w:rsidRPr="002B2EA0" w:rsidRDefault="00CD55C4" w:rsidP="00CD55C4">
            <w:pPr>
              <w:rPr>
                <w:rFonts w:cs="Calibri"/>
                <w:b/>
                <w:bCs/>
                <w:color w:val="000000" w:themeColor="text1"/>
                <w:sz w:val="11"/>
                <w:szCs w:val="11"/>
              </w:rPr>
            </w:pPr>
            <w:r w:rsidRPr="002B2EA0">
              <w:rPr>
                <w:rFonts w:cs="Calibri"/>
                <w:b/>
                <w:bCs/>
                <w:color w:val="000000" w:themeColor="text1"/>
                <w:sz w:val="11"/>
                <w:szCs w:val="11"/>
              </w:rPr>
              <w:t>Zobowiązania razem</w:t>
            </w:r>
          </w:p>
        </w:tc>
        <w:tc>
          <w:tcPr>
            <w:tcW w:w="992"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CBB4A01" w14:textId="07716A3D"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102 925 759</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7812CF8B" w14:textId="5958135E"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14 639 632</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04B0F6C5" w14:textId="4FD99498"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8 087 860</w:t>
            </w:r>
          </w:p>
        </w:tc>
        <w:tc>
          <w:tcPr>
            <w:tcW w:w="993" w:type="dxa"/>
            <w:tcBorders>
              <w:top w:val="single" w:sz="8" w:space="0" w:color="0077BD"/>
              <w:left w:val="nil"/>
              <w:bottom w:val="single" w:sz="8" w:space="0" w:color="0077BD"/>
              <w:right w:val="single" w:sz="8" w:space="0" w:color="0077BD"/>
            </w:tcBorders>
            <w:shd w:val="clear" w:color="auto" w:fill="auto"/>
            <w:vAlign w:val="center"/>
          </w:tcPr>
          <w:p w14:paraId="13F78D01" w14:textId="0286B089"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9 208 681</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1AE92400" w14:textId="22C88879"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3 051 457</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7D16D629" w14:textId="61162F7D"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3 751 527</w:t>
            </w:r>
          </w:p>
        </w:tc>
        <w:tc>
          <w:tcPr>
            <w:tcW w:w="993" w:type="dxa"/>
            <w:tcBorders>
              <w:top w:val="single" w:sz="8" w:space="0" w:color="0077BD"/>
              <w:left w:val="nil"/>
              <w:bottom w:val="single" w:sz="8" w:space="0" w:color="0077BD"/>
              <w:right w:val="nil"/>
            </w:tcBorders>
            <w:shd w:val="clear" w:color="auto" w:fill="auto"/>
            <w:vAlign w:val="center"/>
          </w:tcPr>
          <w:p w14:paraId="7022CBA4" w14:textId="53FD7E9A" w:rsidR="00CD55C4" w:rsidRPr="00CD55C4" w:rsidRDefault="00CD55C4" w:rsidP="00CD55C4">
            <w:pPr>
              <w:jc w:val="right"/>
              <w:rPr>
                <w:rFonts w:cs="Calibri"/>
                <w:b/>
                <w:bCs/>
                <w:color w:val="000000" w:themeColor="text1"/>
                <w:sz w:val="11"/>
                <w:szCs w:val="11"/>
              </w:rPr>
            </w:pPr>
            <w:r w:rsidRPr="00CD55C4">
              <w:rPr>
                <w:rFonts w:cs="Calibri"/>
                <w:b/>
                <w:bCs/>
                <w:color w:val="201C17"/>
                <w:sz w:val="11"/>
                <w:szCs w:val="11"/>
              </w:rPr>
              <w:t>141 664 916</w:t>
            </w:r>
          </w:p>
        </w:tc>
      </w:tr>
      <w:tr w:rsidR="008554DA" w:rsidRPr="002B2EA0" w14:paraId="3A8A4656" w14:textId="77777777" w:rsidTr="002B2EA0">
        <w:trPr>
          <w:trHeight w:val="20"/>
        </w:trPr>
        <w:tc>
          <w:tcPr>
            <w:tcW w:w="2693" w:type="dxa"/>
            <w:tcBorders>
              <w:top w:val="nil"/>
              <w:left w:val="nil"/>
              <w:bottom w:val="nil"/>
              <w:right w:val="nil"/>
            </w:tcBorders>
            <w:shd w:val="clear" w:color="auto" w:fill="auto"/>
            <w:vAlign w:val="center"/>
            <w:hideMark/>
          </w:tcPr>
          <w:p w14:paraId="3B77988B" w14:textId="77777777" w:rsidR="008554DA" w:rsidRPr="002B2EA0" w:rsidRDefault="008554DA" w:rsidP="008554DA">
            <w:pPr>
              <w:jc w:val="right"/>
              <w:rPr>
                <w:rFonts w:cs="Calibri"/>
                <w:b/>
                <w:bCs/>
                <w:color w:val="000000" w:themeColor="text1"/>
                <w:sz w:val="4"/>
                <w:szCs w:val="4"/>
              </w:rPr>
            </w:pPr>
          </w:p>
        </w:tc>
        <w:tc>
          <w:tcPr>
            <w:tcW w:w="992" w:type="dxa"/>
            <w:tcBorders>
              <w:top w:val="nil"/>
              <w:left w:val="nil"/>
              <w:bottom w:val="nil"/>
              <w:right w:val="nil"/>
            </w:tcBorders>
            <w:shd w:val="clear" w:color="auto" w:fill="auto"/>
            <w:vAlign w:val="center"/>
          </w:tcPr>
          <w:p w14:paraId="7623D746" w14:textId="77777777" w:rsidR="008554DA" w:rsidRPr="008554DA" w:rsidRDefault="008554DA" w:rsidP="008554DA">
            <w:pPr>
              <w:rPr>
                <w:color w:val="000000" w:themeColor="text1"/>
                <w:sz w:val="11"/>
                <w:szCs w:val="11"/>
              </w:rPr>
            </w:pPr>
          </w:p>
        </w:tc>
        <w:tc>
          <w:tcPr>
            <w:tcW w:w="992" w:type="dxa"/>
            <w:tcBorders>
              <w:top w:val="nil"/>
              <w:left w:val="nil"/>
              <w:bottom w:val="nil"/>
              <w:right w:val="nil"/>
            </w:tcBorders>
            <w:shd w:val="clear" w:color="auto" w:fill="auto"/>
            <w:vAlign w:val="center"/>
          </w:tcPr>
          <w:p w14:paraId="580693E9" w14:textId="77777777" w:rsidR="008554DA" w:rsidRPr="008554DA" w:rsidRDefault="008554DA" w:rsidP="008554DA">
            <w:pPr>
              <w:jc w:val="right"/>
              <w:rPr>
                <w:color w:val="000000" w:themeColor="text1"/>
                <w:sz w:val="11"/>
                <w:szCs w:val="11"/>
              </w:rPr>
            </w:pPr>
          </w:p>
        </w:tc>
        <w:tc>
          <w:tcPr>
            <w:tcW w:w="992" w:type="dxa"/>
            <w:tcBorders>
              <w:top w:val="nil"/>
              <w:left w:val="nil"/>
              <w:bottom w:val="nil"/>
              <w:right w:val="nil"/>
            </w:tcBorders>
            <w:shd w:val="clear" w:color="auto" w:fill="auto"/>
            <w:vAlign w:val="center"/>
          </w:tcPr>
          <w:p w14:paraId="0F6538AD" w14:textId="77777777" w:rsidR="008554DA" w:rsidRPr="008554DA" w:rsidRDefault="008554DA" w:rsidP="008554DA">
            <w:pPr>
              <w:jc w:val="right"/>
              <w:rPr>
                <w:color w:val="000000" w:themeColor="text1"/>
                <w:sz w:val="11"/>
                <w:szCs w:val="11"/>
              </w:rPr>
            </w:pPr>
          </w:p>
        </w:tc>
        <w:tc>
          <w:tcPr>
            <w:tcW w:w="993" w:type="dxa"/>
            <w:tcBorders>
              <w:top w:val="nil"/>
              <w:left w:val="nil"/>
              <w:bottom w:val="nil"/>
              <w:right w:val="nil"/>
            </w:tcBorders>
            <w:shd w:val="clear" w:color="auto" w:fill="auto"/>
            <w:vAlign w:val="center"/>
          </w:tcPr>
          <w:p w14:paraId="393BEEF5" w14:textId="77777777" w:rsidR="008554DA" w:rsidRPr="008554DA" w:rsidRDefault="008554DA" w:rsidP="008554DA">
            <w:pPr>
              <w:jc w:val="right"/>
              <w:rPr>
                <w:color w:val="000000" w:themeColor="text1"/>
                <w:sz w:val="11"/>
                <w:szCs w:val="11"/>
              </w:rPr>
            </w:pPr>
          </w:p>
        </w:tc>
        <w:tc>
          <w:tcPr>
            <w:tcW w:w="992" w:type="dxa"/>
            <w:tcBorders>
              <w:top w:val="nil"/>
              <w:left w:val="nil"/>
              <w:bottom w:val="nil"/>
              <w:right w:val="nil"/>
            </w:tcBorders>
            <w:shd w:val="clear" w:color="auto" w:fill="auto"/>
            <w:vAlign w:val="center"/>
          </w:tcPr>
          <w:p w14:paraId="4B4B09FD" w14:textId="77777777" w:rsidR="008554DA" w:rsidRPr="008554DA" w:rsidRDefault="008554DA" w:rsidP="008554DA">
            <w:pPr>
              <w:jc w:val="right"/>
              <w:rPr>
                <w:color w:val="000000" w:themeColor="text1"/>
                <w:sz w:val="11"/>
                <w:szCs w:val="11"/>
              </w:rPr>
            </w:pPr>
          </w:p>
        </w:tc>
        <w:tc>
          <w:tcPr>
            <w:tcW w:w="992" w:type="dxa"/>
            <w:tcBorders>
              <w:top w:val="nil"/>
              <w:left w:val="nil"/>
              <w:bottom w:val="nil"/>
              <w:right w:val="nil"/>
            </w:tcBorders>
            <w:shd w:val="clear" w:color="auto" w:fill="auto"/>
            <w:vAlign w:val="center"/>
          </w:tcPr>
          <w:p w14:paraId="18CB18B6" w14:textId="77777777" w:rsidR="008554DA" w:rsidRPr="008554DA" w:rsidRDefault="008554DA" w:rsidP="008554DA">
            <w:pPr>
              <w:jc w:val="right"/>
              <w:rPr>
                <w:color w:val="000000" w:themeColor="text1"/>
                <w:sz w:val="11"/>
                <w:szCs w:val="11"/>
              </w:rPr>
            </w:pPr>
          </w:p>
        </w:tc>
        <w:tc>
          <w:tcPr>
            <w:tcW w:w="993" w:type="dxa"/>
            <w:tcBorders>
              <w:top w:val="nil"/>
              <w:left w:val="nil"/>
              <w:bottom w:val="nil"/>
              <w:right w:val="nil"/>
            </w:tcBorders>
            <w:shd w:val="clear" w:color="auto" w:fill="auto"/>
            <w:vAlign w:val="center"/>
          </w:tcPr>
          <w:p w14:paraId="427FC3E0" w14:textId="77777777" w:rsidR="008554DA" w:rsidRPr="008554DA" w:rsidRDefault="008554DA" w:rsidP="008554DA">
            <w:pPr>
              <w:jc w:val="right"/>
              <w:rPr>
                <w:color w:val="000000" w:themeColor="text1"/>
                <w:sz w:val="11"/>
                <w:szCs w:val="11"/>
              </w:rPr>
            </w:pPr>
          </w:p>
        </w:tc>
      </w:tr>
      <w:tr w:rsidR="008554DA" w:rsidRPr="002B2EA0" w14:paraId="0E383C1E" w14:textId="77777777" w:rsidTr="00817B66">
        <w:trPr>
          <w:trHeight w:val="227"/>
        </w:trPr>
        <w:tc>
          <w:tcPr>
            <w:tcW w:w="2693" w:type="dxa"/>
            <w:tcBorders>
              <w:top w:val="single" w:sz="8" w:space="0" w:color="0077BD"/>
              <w:left w:val="nil"/>
              <w:bottom w:val="single" w:sz="8" w:space="0" w:color="0077BD"/>
              <w:right w:val="single" w:sz="8" w:space="0" w:color="0077BD"/>
            </w:tcBorders>
            <w:shd w:val="clear" w:color="auto" w:fill="auto"/>
            <w:vAlign w:val="center"/>
            <w:hideMark/>
          </w:tcPr>
          <w:p w14:paraId="65B9228A" w14:textId="77777777" w:rsidR="008554DA" w:rsidRPr="002B2EA0" w:rsidRDefault="008554DA" w:rsidP="008554DA">
            <w:pPr>
              <w:rPr>
                <w:rFonts w:cs="Calibri"/>
                <w:b/>
                <w:bCs/>
                <w:color w:val="000000" w:themeColor="text1"/>
                <w:sz w:val="11"/>
                <w:szCs w:val="11"/>
              </w:rPr>
            </w:pPr>
            <w:r w:rsidRPr="002B2EA0">
              <w:rPr>
                <w:rFonts w:cs="Calibri"/>
                <w:b/>
                <w:bCs/>
                <w:color w:val="000000" w:themeColor="text1"/>
                <w:sz w:val="11"/>
                <w:szCs w:val="11"/>
              </w:rPr>
              <w:t>Luka bilansowa</w:t>
            </w:r>
          </w:p>
        </w:tc>
        <w:tc>
          <w:tcPr>
            <w:tcW w:w="992"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A6EE50C" w14:textId="376346FF" w:rsidR="008554DA" w:rsidRPr="008554DA" w:rsidRDefault="00CD55C4" w:rsidP="00CD55C4">
            <w:pPr>
              <w:jc w:val="right"/>
              <w:rPr>
                <w:rFonts w:cs="Calibri"/>
                <w:b/>
                <w:bCs/>
                <w:color w:val="000000" w:themeColor="text1"/>
                <w:sz w:val="11"/>
                <w:szCs w:val="11"/>
              </w:rPr>
            </w:pPr>
            <w:r>
              <w:rPr>
                <w:rFonts w:cs="Calibri"/>
                <w:b/>
                <w:bCs/>
                <w:color w:val="000000" w:themeColor="text1"/>
                <w:sz w:val="11"/>
                <w:szCs w:val="11"/>
              </w:rPr>
              <w:t>(20 646</w:t>
            </w:r>
            <w:r w:rsidR="008554DA" w:rsidRPr="008554DA">
              <w:rPr>
                <w:rFonts w:cs="Calibri"/>
                <w:b/>
                <w:bCs/>
                <w:color w:val="000000" w:themeColor="text1"/>
                <w:sz w:val="11"/>
                <w:szCs w:val="11"/>
              </w:rPr>
              <w:t xml:space="preserve"> </w:t>
            </w:r>
            <w:r>
              <w:rPr>
                <w:rFonts w:cs="Calibri"/>
                <w:b/>
                <w:bCs/>
                <w:color w:val="000000" w:themeColor="text1"/>
                <w:sz w:val="11"/>
                <w:szCs w:val="11"/>
              </w:rPr>
              <w:t>68</w:t>
            </w:r>
            <w:r w:rsidR="008554DA" w:rsidRPr="008554DA">
              <w:rPr>
                <w:rFonts w:cs="Calibri"/>
                <w:b/>
                <w:bCs/>
                <w:color w:val="000000" w:themeColor="text1"/>
                <w:sz w:val="11"/>
                <w:szCs w:val="11"/>
              </w:rPr>
              <w:t>6)</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5B55B9D3" w14:textId="6E2F6ABD"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20 643 022</w:t>
            </w:r>
          </w:p>
        </w:tc>
        <w:tc>
          <w:tcPr>
            <w:tcW w:w="992" w:type="dxa"/>
            <w:tcBorders>
              <w:top w:val="single" w:sz="8" w:space="0" w:color="0077BD"/>
              <w:left w:val="nil"/>
              <w:bottom w:val="single" w:sz="8" w:space="0" w:color="0077BD"/>
              <w:right w:val="single" w:sz="8" w:space="0" w:color="0077BD"/>
            </w:tcBorders>
            <w:shd w:val="clear" w:color="auto" w:fill="auto"/>
            <w:vAlign w:val="center"/>
          </w:tcPr>
          <w:p w14:paraId="02C6C3E6" w14:textId="2C1EB5C5"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2 249 814</w:t>
            </w:r>
          </w:p>
        </w:tc>
        <w:tc>
          <w:tcPr>
            <w:tcW w:w="993" w:type="dxa"/>
            <w:tcBorders>
              <w:top w:val="single" w:sz="8" w:space="0" w:color="0077BD"/>
              <w:left w:val="nil"/>
              <w:bottom w:val="single" w:sz="8" w:space="0" w:color="0077BD"/>
              <w:right w:val="single" w:sz="8" w:space="0" w:color="0077BD"/>
            </w:tcBorders>
            <w:shd w:val="clear" w:color="auto" w:fill="auto"/>
            <w:vAlign w:val="center"/>
          </w:tcPr>
          <w:p w14:paraId="1E5605C7" w14:textId="313009A1"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11 540 377</w:t>
            </w:r>
          </w:p>
        </w:tc>
        <w:tc>
          <w:tcPr>
            <w:tcW w:w="992" w:type="dxa"/>
            <w:tcBorders>
              <w:top w:val="single" w:sz="8" w:space="0" w:color="0077BD"/>
              <w:left w:val="nil"/>
              <w:bottom w:val="single" w:sz="8" w:space="0" w:color="0077BD"/>
              <w:right w:val="nil"/>
            </w:tcBorders>
            <w:shd w:val="clear" w:color="auto" w:fill="auto"/>
            <w:vAlign w:val="center"/>
          </w:tcPr>
          <w:p w14:paraId="6528781D" w14:textId="1AEE2EC5" w:rsidR="008554DA" w:rsidRPr="008554DA" w:rsidRDefault="008554DA" w:rsidP="008554DA">
            <w:pPr>
              <w:jc w:val="right"/>
              <w:rPr>
                <w:rFonts w:cs="Calibri"/>
                <w:b/>
                <w:bCs/>
                <w:color w:val="000000" w:themeColor="text1"/>
                <w:sz w:val="11"/>
                <w:szCs w:val="11"/>
              </w:rPr>
            </w:pPr>
            <w:r w:rsidRPr="008554DA">
              <w:rPr>
                <w:rFonts w:cs="Calibri"/>
                <w:b/>
                <w:bCs/>
                <w:color w:val="000000" w:themeColor="text1"/>
                <w:sz w:val="11"/>
                <w:szCs w:val="11"/>
              </w:rPr>
              <w:t>(2 176 634)</w:t>
            </w:r>
          </w:p>
        </w:tc>
        <w:tc>
          <w:tcPr>
            <w:tcW w:w="992" w:type="dxa"/>
            <w:tcBorders>
              <w:top w:val="nil"/>
              <w:left w:val="nil"/>
              <w:bottom w:val="nil"/>
              <w:right w:val="nil"/>
            </w:tcBorders>
            <w:shd w:val="clear" w:color="auto" w:fill="auto"/>
            <w:vAlign w:val="center"/>
          </w:tcPr>
          <w:p w14:paraId="5C94D2B1" w14:textId="77777777" w:rsidR="008554DA" w:rsidRPr="008554DA" w:rsidRDefault="008554DA" w:rsidP="008554DA">
            <w:pPr>
              <w:jc w:val="right"/>
              <w:rPr>
                <w:rFonts w:cs="Calibri"/>
                <w:b/>
                <w:bCs/>
                <w:color w:val="000000" w:themeColor="text1"/>
                <w:sz w:val="11"/>
                <w:szCs w:val="11"/>
              </w:rPr>
            </w:pPr>
          </w:p>
        </w:tc>
        <w:tc>
          <w:tcPr>
            <w:tcW w:w="993" w:type="dxa"/>
            <w:tcBorders>
              <w:top w:val="nil"/>
              <w:left w:val="nil"/>
              <w:bottom w:val="nil"/>
              <w:right w:val="nil"/>
            </w:tcBorders>
            <w:shd w:val="clear" w:color="auto" w:fill="auto"/>
            <w:vAlign w:val="center"/>
          </w:tcPr>
          <w:p w14:paraId="5463A831" w14:textId="77777777" w:rsidR="008554DA" w:rsidRPr="008554DA" w:rsidRDefault="008554DA" w:rsidP="008554DA">
            <w:pPr>
              <w:rPr>
                <w:color w:val="000000" w:themeColor="text1"/>
                <w:sz w:val="11"/>
                <w:szCs w:val="11"/>
              </w:rPr>
            </w:pPr>
          </w:p>
        </w:tc>
      </w:tr>
    </w:tbl>
    <w:p w14:paraId="4ED0CD51" w14:textId="1E3B7273" w:rsidR="003023D5" w:rsidRDefault="003023D5" w:rsidP="00347521">
      <w:pPr>
        <w:jc w:val="both"/>
        <w:rPr>
          <w:color w:val="201C17"/>
          <w:sz w:val="18"/>
          <w:szCs w:val="18"/>
          <w:highlight w:val="yellow"/>
          <w:lang w:eastAsia="en-US"/>
        </w:rPr>
      </w:pPr>
    </w:p>
    <w:tbl>
      <w:tblPr>
        <w:tblW w:w="9639" w:type="dxa"/>
        <w:tblLayout w:type="fixed"/>
        <w:tblCellMar>
          <w:left w:w="28" w:type="dxa"/>
          <w:right w:w="28" w:type="dxa"/>
        </w:tblCellMar>
        <w:tblLook w:val="04A0" w:firstRow="1" w:lastRow="0" w:firstColumn="1" w:lastColumn="0" w:noHBand="0" w:noVBand="1"/>
      </w:tblPr>
      <w:tblGrid>
        <w:gridCol w:w="2693"/>
        <w:gridCol w:w="992"/>
        <w:gridCol w:w="992"/>
        <w:gridCol w:w="992"/>
        <w:gridCol w:w="993"/>
        <w:gridCol w:w="992"/>
        <w:gridCol w:w="992"/>
        <w:gridCol w:w="993"/>
      </w:tblGrid>
      <w:tr w:rsidR="008318EE" w:rsidRPr="002B2EA0" w14:paraId="2DB3DE92" w14:textId="77777777" w:rsidTr="00343A7A">
        <w:trPr>
          <w:trHeight w:val="392"/>
        </w:trPr>
        <w:tc>
          <w:tcPr>
            <w:tcW w:w="2693" w:type="dxa"/>
            <w:tcBorders>
              <w:top w:val="nil"/>
              <w:left w:val="nil"/>
              <w:bottom w:val="nil"/>
              <w:right w:val="nil"/>
            </w:tcBorders>
            <w:shd w:val="clear" w:color="000000" w:fill="0077BD"/>
            <w:vAlign w:val="center"/>
            <w:hideMark/>
          </w:tcPr>
          <w:p w14:paraId="3151B4E3" w14:textId="77777777" w:rsidR="008318EE" w:rsidRPr="002B2EA0" w:rsidRDefault="008318EE" w:rsidP="009E1F91">
            <w:pPr>
              <w:rPr>
                <w:rFonts w:cs="Calibri"/>
                <w:b/>
                <w:bCs/>
                <w:color w:val="FFFFFF"/>
                <w:sz w:val="11"/>
                <w:szCs w:val="11"/>
              </w:rPr>
            </w:pPr>
            <w:r w:rsidRPr="002B2EA0">
              <w:rPr>
                <w:rFonts w:cs="Calibri"/>
                <w:b/>
                <w:bCs/>
                <w:color w:val="FFFFFF"/>
                <w:sz w:val="11"/>
                <w:szCs w:val="11"/>
              </w:rPr>
              <w:t>31.12.2018</w:t>
            </w:r>
          </w:p>
        </w:tc>
        <w:tc>
          <w:tcPr>
            <w:tcW w:w="992" w:type="dxa"/>
            <w:tcBorders>
              <w:top w:val="nil"/>
              <w:left w:val="single" w:sz="8" w:space="0" w:color="FFFFFF"/>
              <w:bottom w:val="nil"/>
              <w:right w:val="single" w:sz="8" w:space="0" w:color="FFFFFF"/>
            </w:tcBorders>
            <w:shd w:val="clear" w:color="000000" w:fill="0077BD"/>
            <w:noWrap/>
            <w:vAlign w:val="center"/>
            <w:hideMark/>
          </w:tcPr>
          <w:p w14:paraId="26953006"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Do 1 miesiąca</w:t>
            </w:r>
          </w:p>
        </w:tc>
        <w:tc>
          <w:tcPr>
            <w:tcW w:w="992" w:type="dxa"/>
            <w:tcBorders>
              <w:top w:val="nil"/>
              <w:left w:val="nil"/>
              <w:bottom w:val="nil"/>
              <w:right w:val="single" w:sz="8" w:space="0" w:color="FFFFFF"/>
            </w:tcBorders>
            <w:shd w:val="clear" w:color="000000" w:fill="0077BD"/>
            <w:vAlign w:val="center"/>
            <w:hideMark/>
          </w:tcPr>
          <w:p w14:paraId="44601B90"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1 do 3 miesięcy</w:t>
            </w:r>
          </w:p>
        </w:tc>
        <w:tc>
          <w:tcPr>
            <w:tcW w:w="992" w:type="dxa"/>
            <w:tcBorders>
              <w:top w:val="nil"/>
              <w:left w:val="nil"/>
              <w:bottom w:val="nil"/>
              <w:right w:val="single" w:sz="8" w:space="0" w:color="FFFFFF"/>
            </w:tcBorders>
            <w:shd w:val="clear" w:color="000000" w:fill="0077BD"/>
            <w:vAlign w:val="center"/>
            <w:hideMark/>
          </w:tcPr>
          <w:p w14:paraId="360E44CC"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3 do12 miesięcy</w:t>
            </w:r>
          </w:p>
        </w:tc>
        <w:tc>
          <w:tcPr>
            <w:tcW w:w="993" w:type="dxa"/>
            <w:tcBorders>
              <w:top w:val="nil"/>
              <w:left w:val="nil"/>
              <w:bottom w:val="nil"/>
              <w:right w:val="single" w:sz="8" w:space="0" w:color="FFFFFF"/>
            </w:tcBorders>
            <w:shd w:val="clear" w:color="000000" w:fill="0077BD"/>
            <w:vAlign w:val="center"/>
            <w:hideMark/>
          </w:tcPr>
          <w:p w14:paraId="5C7205A6"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Od 1 do 5 lat</w:t>
            </w:r>
          </w:p>
        </w:tc>
        <w:tc>
          <w:tcPr>
            <w:tcW w:w="992" w:type="dxa"/>
            <w:tcBorders>
              <w:top w:val="nil"/>
              <w:left w:val="nil"/>
              <w:bottom w:val="nil"/>
              <w:right w:val="single" w:sz="8" w:space="0" w:color="FFFFFF"/>
            </w:tcBorders>
            <w:shd w:val="clear" w:color="000000" w:fill="0077BD"/>
            <w:vAlign w:val="center"/>
            <w:hideMark/>
          </w:tcPr>
          <w:p w14:paraId="1D4F8C58"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Powyżej 5 lat</w:t>
            </w:r>
          </w:p>
        </w:tc>
        <w:tc>
          <w:tcPr>
            <w:tcW w:w="992" w:type="dxa"/>
            <w:tcBorders>
              <w:top w:val="nil"/>
              <w:left w:val="nil"/>
              <w:bottom w:val="nil"/>
              <w:right w:val="single" w:sz="8" w:space="0" w:color="FFFFFF"/>
            </w:tcBorders>
            <w:shd w:val="clear" w:color="000000" w:fill="0077BD"/>
            <w:vAlign w:val="center"/>
            <w:hideMark/>
          </w:tcPr>
          <w:p w14:paraId="0FC7DA0C"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Pozycje nieodsetkowe</w:t>
            </w:r>
          </w:p>
        </w:tc>
        <w:tc>
          <w:tcPr>
            <w:tcW w:w="993" w:type="dxa"/>
            <w:tcBorders>
              <w:top w:val="nil"/>
              <w:left w:val="nil"/>
              <w:bottom w:val="nil"/>
              <w:right w:val="single" w:sz="4" w:space="0" w:color="FFFFFF"/>
            </w:tcBorders>
            <w:shd w:val="clear" w:color="000000" w:fill="0077BD"/>
            <w:noWrap/>
            <w:vAlign w:val="center"/>
            <w:hideMark/>
          </w:tcPr>
          <w:p w14:paraId="0104BC2E" w14:textId="77777777" w:rsidR="008318EE" w:rsidRPr="002B2EA0" w:rsidRDefault="008318EE" w:rsidP="009E1F91">
            <w:pPr>
              <w:jc w:val="right"/>
              <w:rPr>
                <w:rFonts w:cs="Calibri"/>
                <w:b/>
                <w:bCs/>
                <w:color w:val="FFFFFF"/>
                <w:sz w:val="11"/>
                <w:szCs w:val="11"/>
              </w:rPr>
            </w:pPr>
            <w:r w:rsidRPr="002B2EA0">
              <w:rPr>
                <w:rFonts w:cs="Calibri"/>
                <w:b/>
                <w:bCs/>
                <w:color w:val="FFFFFF"/>
                <w:sz w:val="11"/>
                <w:szCs w:val="11"/>
              </w:rPr>
              <w:t>Razem</w:t>
            </w:r>
          </w:p>
        </w:tc>
      </w:tr>
      <w:tr w:rsidR="008318EE" w:rsidRPr="002B2EA0" w14:paraId="73782813" w14:textId="77777777" w:rsidTr="00343A7A">
        <w:trPr>
          <w:trHeight w:val="227"/>
        </w:trPr>
        <w:tc>
          <w:tcPr>
            <w:tcW w:w="2693" w:type="dxa"/>
            <w:tcBorders>
              <w:top w:val="nil"/>
              <w:left w:val="nil"/>
              <w:bottom w:val="nil"/>
              <w:right w:val="nil"/>
            </w:tcBorders>
            <w:shd w:val="clear" w:color="auto" w:fill="auto"/>
            <w:vAlign w:val="center"/>
            <w:hideMark/>
          </w:tcPr>
          <w:p w14:paraId="686E40CF" w14:textId="77777777" w:rsidR="008318EE" w:rsidRPr="002B2EA0" w:rsidRDefault="008318EE" w:rsidP="009E1F91">
            <w:pPr>
              <w:rPr>
                <w:rFonts w:cs="Calibri"/>
                <w:b/>
                <w:bCs/>
                <w:color w:val="000000" w:themeColor="text1"/>
                <w:sz w:val="11"/>
                <w:szCs w:val="11"/>
              </w:rPr>
            </w:pPr>
            <w:r w:rsidRPr="002B2EA0">
              <w:rPr>
                <w:rFonts w:cs="Calibri"/>
                <w:b/>
                <w:bCs/>
                <w:color w:val="000000" w:themeColor="text1"/>
                <w:sz w:val="11"/>
                <w:szCs w:val="11"/>
              </w:rPr>
              <w:t>Aktywa</w:t>
            </w:r>
          </w:p>
        </w:tc>
        <w:tc>
          <w:tcPr>
            <w:tcW w:w="992" w:type="dxa"/>
            <w:tcBorders>
              <w:top w:val="nil"/>
              <w:left w:val="nil"/>
              <w:bottom w:val="nil"/>
              <w:right w:val="nil"/>
            </w:tcBorders>
            <w:shd w:val="clear" w:color="auto" w:fill="auto"/>
            <w:vAlign w:val="center"/>
            <w:hideMark/>
          </w:tcPr>
          <w:p w14:paraId="68B92C43" w14:textId="77777777" w:rsidR="008318EE" w:rsidRPr="002B2EA0" w:rsidRDefault="008318EE" w:rsidP="009E1F91">
            <w:pPr>
              <w:rPr>
                <w:rFonts w:cs="Calibri"/>
                <w:b/>
                <w:bCs/>
                <w:color w:val="000000" w:themeColor="text1"/>
                <w:sz w:val="11"/>
                <w:szCs w:val="11"/>
              </w:rPr>
            </w:pPr>
          </w:p>
        </w:tc>
        <w:tc>
          <w:tcPr>
            <w:tcW w:w="992" w:type="dxa"/>
            <w:tcBorders>
              <w:top w:val="nil"/>
              <w:left w:val="nil"/>
              <w:bottom w:val="nil"/>
              <w:right w:val="nil"/>
            </w:tcBorders>
            <w:shd w:val="clear" w:color="auto" w:fill="auto"/>
            <w:vAlign w:val="center"/>
            <w:hideMark/>
          </w:tcPr>
          <w:p w14:paraId="22E3ED71"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1D18DF7F" w14:textId="77777777" w:rsidR="008318EE" w:rsidRPr="002B2EA0" w:rsidRDefault="008318EE" w:rsidP="009E1F91">
            <w:pPr>
              <w:jc w:val="right"/>
              <w:rPr>
                <w:color w:val="000000" w:themeColor="text1"/>
                <w:sz w:val="11"/>
                <w:szCs w:val="11"/>
              </w:rPr>
            </w:pPr>
          </w:p>
        </w:tc>
        <w:tc>
          <w:tcPr>
            <w:tcW w:w="993" w:type="dxa"/>
            <w:tcBorders>
              <w:top w:val="nil"/>
              <w:left w:val="nil"/>
              <w:bottom w:val="nil"/>
              <w:right w:val="nil"/>
            </w:tcBorders>
            <w:shd w:val="clear" w:color="auto" w:fill="auto"/>
            <w:vAlign w:val="center"/>
            <w:hideMark/>
          </w:tcPr>
          <w:p w14:paraId="5E42BDA3"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41720063" w14:textId="77777777" w:rsidR="008318EE" w:rsidRPr="002B2EA0" w:rsidRDefault="008318EE" w:rsidP="009E1F91">
            <w:pPr>
              <w:jc w:val="right"/>
              <w:rPr>
                <w:color w:val="000000" w:themeColor="text1"/>
                <w:sz w:val="11"/>
                <w:szCs w:val="11"/>
              </w:rPr>
            </w:pPr>
          </w:p>
        </w:tc>
        <w:tc>
          <w:tcPr>
            <w:tcW w:w="992" w:type="dxa"/>
            <w:tcBorders>
              <w:top w:val="nil"/>
              <w:left w:val="nil"/>
              <w:bottom w:val="nil"/>
              <w:right w:val="nil"/>
            </w:tcBorders>
            <w:shd w:val="clear" w:color="auto" w:fill="auto"/>
            <w:vAlign w:val="center"/>
            <w:hideMark/>
          </w:tcPr>
          <w:p w14:paraId="4D85BE90" w14:textId="77777777" w:rsidR="008318EE" w:rsidRPr="002B2EA0" w:rsidRDefault="008318EE" w:rsidP="009E1F91">
            <w:pPr>
              <w:jc w:val="right"/>
              <w:rPr>
                <w:color w:val="000000" w:themeColor="text1"/>
                <w:sz w:val="11"/>
                <w:szCs w:val="11"/>
              </w:rPr>
            </w:pPr>
          </w:p>
        </w:tc>
        <w:tc>
          <w:tcPr>
            <w:tcW w:w="993" w:type="dxa"/>
            <w:tcBorders>
              <w:top w:val="nil"/>
              <w:left w:val="nil"/>
              <w:bottom w:val="nil"/>
              <w:right w:val="nil"/>
            </w:tcBorders>
            <w:shd w:val="clear" w:color="auto" w:fill="auto"/>
            <w:vAlign w:val="center"/>
            <w:hideMark/>
          </w:tcPr>
          <w:p w14:paraId="1EEC8A08" w14:textId="77777777" w:rsidR="008318EE" w:rsidRPr="002B2EA0" w:rsidRDefault="008318EE" w:rsidP="009E1F91">
            <w:pPr>
              <w:jc w:val="right"/>
              <w:rPr>
                <w:color w:val="000000" w:themeColor="text1"/>
                <w:sz w:val="11"/>
                <w:szCs w:val="11"/>
              </w:rPr>
            </w:pPr>
          </w:p>
        </w:tc>
      </w:tr>
      <w:tr w:rsidR="008318EE" w:rsidRPr="002B2EA0" w14:paraId="5E41C6F4" w14:textId="77777777" w:rsidTr="00343A7A">
        <w:trPr>
          <w:trHeight w:val="227"/>
        </w:trPr>
        <w:tc>
          <w:tcPr>
            <w:tcW w:w="2693" w:type="dxa"/>
            <w:tcBorders>
              <w:top w:val="single" w:sz="8" w:space="0" w:color="0077BD"/>
              <w:left w:val="nil"/>
              <w:bottom w:val="single" w:sz="4" w:space="0" w:color="0077BD"/>
              <w:right w:val="single" w:sz="8" w:space="0" w:color="0077BD"/>
            </w:tcBorders>
            <w:shd w:val="clear" w:color="auto" w:fill="auto"/>
            <w:vAlign w:val="center"/>
            <w:hideMark/>
          </w:tcPr>
          <w:p w14:paraId="63A65291"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Kasa, operacje z bankiem centralnym</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7EBA73A4"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3 314 448</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51F35B2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7FFCDBAE"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3" w:type="dxa"/>
            <w:tcBorders>
              <w:top w:val="single" w:sz="8" w:space="0" w:color="0077BD"/>
              <w:left w:val="nil"/>
              <w:bottom w:val="single" w:sz="4" w:space="0" w:color="0077BD"/>
              <w:right w:val="single" w:sz="8" w:space="0" w:color="0077BD"/>
            </w:tcBorders>
            <w:shd w:val="clear" w:color="auto" w:fill="auto"/>
            <w:vAlign w:val="center"/>
            <w:hideMark/>
          </w:tcPr>
          <w:p w14:paraId="22848D5C"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522FD2AB"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0FB1D892"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5 884 816</w:t>
            </w:r>
          </w:p>
        </w:tc>
        <w:tc>
          <w:tcPr>
            <w:tcW w:w="993" w:type="dxa"/>
            <w:tcBorders>
              <w:top w:val="single" w:sz="8" w:space="0" w:color="0077BD"/>
              <w:left w:val="nil"/>
              <w:bottom w:val="single" w:sz="4" w:space="0" w:color="0077BD"/>
              <w:right w:val="nil"/>
            </w:tcBorders>
            <w:shd w:val="clear" w:color="auto" w:fill="auto"/>
            <w:vAlign w:val="center"/>
            <w:hideMark/>
          </w:tcPr>
          <w:p w14:paraId="34CE027A"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9 199 264</w:t>
            </w:r>
          </w:p>
        </w:tc>
      </w:tr>
      <w:tr w:rsidR="008318EE" w:rsidRPr="002B2EA0" w14:paraId="63F99A73" w14:textId="77777777" w:rsidTr="00343A7A">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1C7A672B"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Należności od banków</w:t>
            </w:r>
          </w:p>
        </w:tc>
        <w:tc>
          <w:tcPr>
            <w:tcW w:w="992" w:type="dxa"/>
            <w:tcBorders>
              <w:top w:val="nil"/>
              <w:left w:val="nil"/>
              <w:bottom w:val="single" w:sz="4" w:space="0" w:color="0077BD"/>
              <w:right w:val="single" w:sz="8" w:space="0" w:color="0077BD"/>
            </w:tcBorders>
            <w:shd w:val="clear" w:color="auto" w:fill="auto"/>
            <w:vAlign w:val="center"/>
            <w:hideMark/>
          </w:tcPr>
          <w:p w14:paraId="1ED49F03"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2 392 163</w:t>
            </w:r>
          </w:p>
        </w:tc>
        <w:tc>
          <w:tcPr>
            <w:tcW w:w="992" w:type="dxa"/>
            <w:tcBorders>
              <w:top w:val="nil"/>
              <w:left w:val="nil"/>
              <w:bottom w:val="single" w:sz="4" w:space="0" w:color="0077BD"/>
              <w:right w:val="single" w:sz="8" w:space="0" w:color="0077BD"/>
            </w:tcBorders>
            <w:shd w:val="clear" w:color="auto" w:fill="auto"/>
            <w:vAlign w:val="center"/>
            <w:hideMark/>
          </w:tcPr>
          <w:p w14:paraId="5DE4E704"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8 329</w:t>
            </w:r>
          </w:p>
        </w:tc>
        <w:tc>
          <w:tcPr>
            <w:tcW w:w="992" w:type="dxa"/>
            <w:tcBorders>
              <w:top w:val="nil"/>
              <w:left w:val="nil"/>
              <w:bottom w:val="single" w:sz="4" w:space="0" w:color="0077BD"/>
              <w:right w:val="single" w:sz="8" w:space="0" w:color="0077BD"/>
            </w:tcBorders>
            <w:shd w:val="clear" w:color="auto" w:fill="auto"/>
            <w:vAlign w:val="center"/>
            <w:hideMark/>
          </w:tcPr>
          <w:p w14:paraId="317F75BF"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87 738</w:t>
            </w:r>
          </w:p>
        </w:tc>
        <w:tc>
          <w:tcPr>
            <w:tcW w:w="993" w:type="dxa"/>
            <w:tcBorders>
              <w:top w:val="nil"/>
              <w:left w:val="nil"/>
              <w:bottom w:val="single" w:sz="4" w:space="0" w:color="0077BD"/>
              <w:right w:val="single" w:sz="8" w:space="0" w:color="0077BD"/>
            </w:tcBorders>
            <w:shd w:val="clear" w:color="auto" w:fill="auto"/>
            <w:vAlign w:val="center"/>
            <w:hideMark/>
          </w:tcPr>
          <w:p w14:paraId="01D4EC71"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15 265</w:t>
            </w:r>
          </w:p>
        </w:tc>
        <w:tc>
          <w:tcPr>
            <w:tcW w:w="992" w:type="dxa"/>
            <w:tcBorders>
              <w:top w:val="nil"/>
              <w:left w:val="nil"/>
              <w:bottom w:val="single" w:sz="4" w:space="0" w:color="0077BD"/>
              <w:right w:val="single" w:sz="8" w:space="0" w:color="0077BD"/>
            </w:tcBorders>
            <w:shd w:val="clear" w:color="auto" w:fill="auto"/>
            <w:vAlign w:val="center"/>
            <w:hideMark/>
          </w:tcPr>
          <w:p w14:paraId="607F6C89"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hideMark/>
          </w:tcPr>
          <w:p w14:paraId="1373BA89"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42 851</w:t>
            </w:r>
          </w:p>
        </w:tc>
        <w:tc>
          <w:tcPr>
            <w:tcW w:w="993" w:type="dxa"/>
            <w:tcBorders>
              <w:top w:val="nil"/>
              <w:left w:val="nil"/>
              <w:bottom w:val="single" w:sz="4" w:space="0" w:color="0077BD"/>
              <w:right w:val="nil"/>
            </w:tcBorders>
            <w:shd w:val="clear" w:color="auto" w:fill="auto"/>
            <w:vAlign w:val="center"/>
            <w:hideMark/>
          </w:tcPr>
          <w:p w14:paraId="59C7E06D"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2 546 346</w:t>
            </w:r>
          </w:p>
        </w:tc>
      </w:tr>
      <w:tr w:rsidR="00416C55" w:rsidRPr="002B2EA0" w14:paraId="712A483F" w14:textId="77777777" w:rsidTr="002B2EA0">
        <w:trPr>
          <w:trHeight w:val="284"/>
        </w:trPr>
        <w:tc>
          <w:tcPr>
            <w:tcW w:w="2693" w:type="dxa"/>
            <w:tcBorders>
              <w:top w:val="nil"/>
              <w:left w:val="nil"/>
              <w:bottom w:val="single" w:sz="4" w:space="0" w:color="0077BD"/>
              <w:right w:val="single" w:sz="8" w:space="0" w:color="0077BD"/>
            </w:tcBorders>
            <w:shd w:val="clear" w:color="auto" w:fill="auto"/>
            <w:vAlign w:val="center"/>
            <w:hideMark/>
          </w:tcPr>
          <w:p w14:paraId="79A71A58" w14:textId="77777777" w:rsidR="00416C55" w:rsidRPr="009E1E81" w:rsidRDefault="00416C55" w:rsidP="00416C55">
            <w:pPr>
              <w:rPr>
                <w:rFonts w:cs="Calibri"/>
                <w:color w:val="000000" w:themeColor="text1"/>
                <w:sz w:val="11"/>
                <w:szCs w:val="11"/>
              </w:rPr>
            </w:pPr>
            <w:r w:rsidRPr="009E1E81">
              <w:rPr>
                <w:rFonts w:cs="Calibri"/>
                <w:color w:val="000000" w:themeColor="text1"/>
                <w:sz w:val="11"/>
                <w:szCs w:val="11"/>
              </w:rPr>
              <w:t>Dłużne i kapitałowe papiery wartościowe oraz inwestycje w jednostki zależne</w:t>
            </w:r>
          </w:p>
        </w:tc>
        <w:tc>
          <w:tcPr>
            <w:tcW w:w="992" w:type="dxa"/>
            <w:tcBorders>
              <w:top w:val="single" w:sz="4" w:space="0" w:color="0077BD"/>
              <w:left w:val="single" w:sz="8" w:space="0" w:color="0077BD"/>
              <w:bottom w:val="single" w:sz="4" w:space="0" w:color="0077BD"/>
              <w:right w:val="single" w:sz="8" w:space="0" w:color="0077BD"/>
            </w:tcBorders>
            <w:shd w:val="clear" w:color="auto" w:fill="auto"/>
            <w:vAlign w:val="center"/>
            <w:hideMark/>
          </w:tcPr>
          <w:p w14:paraId="1AAAA9BE" w14:textId="7FBB1A65"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6 366 921</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203E9699" w14:textId="75D74C8E"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1 719 955</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1C242461" w14:textId="36085F7B"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10 712 438</w:t>
            </w:r>
          </w:p>
        </w:tc>
        <w:tc>
          <w:tcPr>
            <w:tcW w:w="993" w:type="dxa"/>
            <w:tcBorders>
              <w:top w:val="single" w:sz="4" w:space="0" w:color="0077BD"/>
              <w:left w:val="nil"/>
              <w:bottom w:val="single" w:sz="4" w:space="0" w:color="0077BD"/>
              <w:right w:val="single" w:sz="8" w:space="0" w:color="0077BD"/>
            </w:tcBorders>
            <w:shd w:val="clear" w:color="auto" w:fill="auto"/>
            <w:vAlign w:val="center"/>
            <w:hideMark/>
          </w:tcPr>
          <w:p w14:paraId="31946AF1" w14:textId="11BEF513"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14 361 468</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25D760E4" w14:textId="76F62A44"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1 291 606</w:t>
            </w:r>
          </w:p>
        </w:tc>
        <w:tc>
          <w:tcPr>
            <w:tcW w:w="992" w:type="dxa"/>
            <w:tcBorders>
              <w:top w:val="single" w:sz="4" w:space="0" w:color="0077BD"/>
              <w:left w:val="nil"/>
              <w:bottom w:val="single" w:sz="4" w:space="0" w:color="0077BD"/>
              <w:right w:val="single" w:sz="8" w:space="0" w:color="0077BD"/>
            </w:tcBorders>
            <w:shd w:val="clear" w:color="auto" w:fill="auto"/>
            <w:vAlign w:val="center"/>
            <w:hideMark/>
          </w:tcPr>
          <w:p w14:paraId="52ACCD4A" w14:textId="5A8FA7DC" w:rsidR="00416C55" w:rsidRPr="009E1E81" w:rsidRDefault="00416C55" w:rsidP="00416C55">
            <w:pPr>
              <w:jc w:val="right"/>
              <w:rPr>
                <w:rFonts w:cs="Calibri"/>
                <w:color w:val="000000" w:themeColor="text1"/>
                <w:sz w:val="11"/>
                <w:szCs w:val="11"/>
              </w:rPr>
            </w:pPr>
            <w:r w:rsidRPr="009E1E81">
              <w:rPr>
                <w:rFonts w:cs="Calibri"/>
                <w:color w:val="000000" w:themeColor="text1"/>
                <w:sz w:val="11"/>
                <w:szCs w:val="11"/>
              </w:rPr>
              <w:t>102 836</w:t>
            </w:r>
          </w:p>
        </w:tc>
        <w:tc>
          <w:tcPr>
            <w:tcW w:w="993" w:type="dxa"/>
            <w:tcBorders>
              <w:top w:val="single" w:sz="4" w:space="0" w:color="0077BD"/>
              <w:left w:val="nil"/>
              <w:bottom w:val="single" w:sz="4" w:space="0" w:color="0077BD"/>
              <w:right w:val="nil"/>
            </w:tcBorders>
            <w:shd w:val="clear" w:color="auto" w:fill="auto"/>
            <w:vAlign w:val="center"/>
            <w:hideMark/>
          </w:tcPr>
          <w:p w14:paraId="4A4C6E24" w14:textId="0B62A593"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34 555 224</w:t>
            </w:r>
          </w:p>
        </w:tc>
      </w:tr>
      <w:tr w:rsidR="008318EE" w:rsidRPr="002B2EA0" w14:paraId="745934F8" w14:textId="77777777" w:rsidTr="00343A7A">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7E228BAC"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Kredyty i pożyczki udzielone klientom</w:t>
            </w:r>
          </w:p>
        </w:tc>
        <w:tc>
          <w:tcPr>
            <w:tcW w:w="992" w:type="dxa"/>
            <w:tcBorders>
              <w:top w:val="nil"/>
              <w:left w:val="nil"/>
              <w:bottom w:val="single" w:sz="4" w:space="0" w:color="0077BD"/>
              <w:right w:val="single" w:sz="8" w:space="0" w:color="0077BD"/>
            </w:tcBorders>
            <w:shd w:val="clear" w:color="auto" w:fill="auto"/>
            <w:vAlign w:val="center"/>
            <w:hideMark/>
          </w:tcPr>
          <w:p w14:paraId="0E55502E"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62 235 515</w:t>
            </w:r>
          </w:p>
        </w:tc>
        <w:tc>
          <w:tcPr>
            <w:tcW w:w="992" w:type="dxa"/>
            <w:tcBorders>
              <w:top w:val="nil"/>
              <w:left w:val="nil"/>
              <w:bottom w:val="single" w:sz="4" w:space="0" w:color="0077BD"/>
              <w:right w:val="single" w:sz="8" w:space="0" w:color="0077BD"/>
            </w:tcBorders>
            <w:shd w:val="clear" w:color="auto" w:fill="auto"/>
            <w:vAlign w:val="center"/>
            <w:hideMark/>
          </w:tcPr>
          <w:p w14:paraId="79F1B093"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25 963 158</w:t>
            </w:r>
          </w:p>
        </w:tc>
        <w:tc>
          <w:tcPr>
            <w:tcW w:w="992" w:type="dxa"/>
            <w:tcBorders>
              <w:top w:val="nil"/>
              <w:left w:val="nil"/>
              <w:bottom w:val="single" w:sz="4" w:space="0" w:color="0077BD"/>
              <w:right w:val="single" w:sz="8" w:space="0" w:color="0077BD"/>
            </w:tcBorders>
            <w:shd w:val="clear" w:color="auto" w:fill="auto"/>
            <w:vAlign w:val="center"/>
            <w:hideMark/>
          </w:tcPr>
          <w:p w14:paraId="480FFCA0"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3 086 287</w:t>
            </w:r>
          </w:p>
        </w:tc>
        <w:tc>
          <w:tcPr>
            <w:tcW w:w="993" w:type="dxa"/>
            <w:tcBorders>
              <w:top w:val="nil"/>
              <w:left w:val="nil"/>
              <w:bottom w:val="single" w:sz="4" w:space="0" w:color="0077BD"/>
              <w:right w:val="single" w:sz="8" w:space="0" w:color="0077BD"/>
            </w:tcBorders>
            <w:shd w:val="clear" w:color="auto" w:fill="auto"/>
            <w:vAlign w:val="center"/>
            <w:hideMark/>
          </w:tcPr>
          <w:p w14:paraId="285B5E7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3 271 202</w:t>
            </w:r>
          </w:p>
        </w:tc>
        <w:tc>
          <w:tcPr>
            <w:tcW w:w="992" w:type="dxa"/>
            <w:tcBorders>
              <w:top w:val="nil"/>
              <w:left w:val="nil"/>
              <w:bottom w:val="single" w:sz="4" w:space="0" w:color="0077BD"/>
              <w:right w:val="single" w:sz="8" w:space="0" w:color="0077BD"/>
            </w:tcBorders>
            <w:shd w:val="clear" w:color="auto" w:fill="auto"/>
            <w:vAlign w:val="center"/>
            <w:hideMark/>
          </w:tcPr>
          <w:p w14:paraId="5443DAFD"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44 799</w:t>
            </w:r>
          </w:p>
        </w:tc>
        <w:tc>
          <w:tcPr>
            <w:tcW w:w="992" w:type="dxa"/>
            <w:tcBorders>
              <w:top w:val="nil"/>
              <w:left w:val="nil"/>
              <w:bottom w:val="single" w:sz="4" w:space="0" w:color="0077BD"/>
              <w:right w:val="single" w:sz="8" w:space="0" w:color="0077BD"/>
            </w:tcBorders>
            <w:shd w:val="clear" w:color="auto" w:fill="auto"/>
            <w:vAlign w:val="center"/>
            <w:hideMark/>
          </w:tcPr>
          <w:p w14:paraId="4A34FAFE"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164 792</w:t>
            </w:r>
          </w:p>
        </w:tc>
        <w:tc>
          <w:tcPr>
            <w:tcW w:w="993" w:type="dxa"/>
            <w:tcBorders>
              <w:top w:val="nil"/>
              <w:left w:val="nil"/>
              <w:bottom w:val="single" w:sz="4" w:space="0" w:color="0077BD"/>
              <w:right w:val="nil"/>
            </w:tcBorders>
            <w:shd w:val="clear" w:color="auto" w:fill="auto"/>
            <w:vAlign w:val="center"/>
            <w:hideMark/>
          </w:tcPr>
          <w:p w14:paraId="6D8DCF5E"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94 765 753</w:t>
            </w:r>
          </w:p>
        </w:tc>
      </w:tr>
      <w:tr w:rsidR="008318EE" w:rsidRPr="002B2EA0" w14:paraId="738017FE" w14:textId="77777777" w:rsidTr="002B2EA0">
        <w:trPr>
          <w:trHeight w:val="284"/>
        </w:trPr>
        <w:tc>
          <w:tcPr>
            <w:tcW w:w="2693" w:type="dxa"/>
            <w:tcBorders>
              <w:top w:val="nil"/>
              <w:left w:val="nil"/>
              <w:bottom w:val="single" w:sz="8" w:space="0" w:color="0077BD"/>
              <w:right w:val="single" w:sz="8" w:space="0" w:color="0077BD"/>
            </w:tcBorders>
            <w:shd w:val="clear" w:color="auto" w:fill="auto"/>
            <w:vAlign w:val="center"/>
            <w:hideMark/>
          </w:tcPr>
          <w:p w14:paraId="1D51F69F"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Inne aktywa oraz pochodne instrumenty finansowe</w:t>
            </w:r>
          </w:p>
        </w:tc>
        <w:tc>
          <w:tcPr>
            <w:tcW w:w="992" w:type="dxa"/>
            <w:tcBorders>
              <w:top w:val="nil"/>
              <w:left w:val="nil"/>
              <w:bottom w:val="single" w:sz="8" w:space="0" w:color="0077BD"/>
              <w:right w:val="single" w:sz="8" w:space="0" w:color="0077BD"/>
            </w:tcBorders>
            <w:shd w:val="clear" w:color="auto" w:fill="auto"/>
            <w:vAlign w:val="center"/>
            <w:hideMark/>
          </w:tcPr>
          <w:p w14:paraId="6C6EF439"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241 548</w:t>
            </w:r>
          </w:p>
        </w:tc>
        <w:tc>
          <w:tcPr>
            <w:tcW w:w="992" w:type="dxa"/>
            <w:tcBorders>
              <w:top w:val="nil"/>
              <w:left w:val="nil"/>
              <w:bottom w:val="single" w:sz="8" w:space="0" w:color="0077BD"/>
              <w:right w:val="single" w:sz="8" w:space="0" w:color="0077BD"/>
            </w:tcBorders>
            <w:shd w:val="clear" w:color="auto" w:fill="auto"/>
            <w:vAlign w:val="center"/>
            <w:hideMark/>
          </w:tcPr>
          <w:p w14:paraId="779C0CF7"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152 350</w:t>
            </w:r>
          </w:p>
        </w:tc>
        <w:tc>
          <w:tcPr>
            <w:tcW w:w="992" w:type="dxa"/>
            <w:tcBorders>
              <w:top w:val="nil"/>
              <w:left w:val="nil"/>
              <w:bottom w:val="single" w:sz="8" w:space="0" w:color="0077BD"/>
              <w:right w:val="single" w:sz="8" w:space="0" w:color="0077BD"/>
            </w:tcBorders>
            <w:shd w:val="clear" w:color="auto" w:fill="auto"/>
            <w:vAlign w:val="center"/>
            <w:hideMark/>
          </w:tcPr>
          <w:p w14:paraId="38AA4D0D"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178 789</w:t>
            </w:r>
          </w:p>
        </w:tc>
        <w:tc>
          <w:tcPr>
            <w:tcW w:w="993" w:type="dxa"/>
            <w:tcBorders>
              <w:top w:val="nil"/>
              <w:left w:val="nil"/>
              <w:bottom w:val="single" w:sz="8" w:space="0" w:color="0077BD"/>
              <w:right w:val="single" w:sz="8" w:space="0" w:color="0077BD"/>
            </w:tcBorders>
            <w:shd w:val="clear" w:color="auto" w:fill="auto"/>
            <w:vAlign w:val="center"/>
            <w:hideMark/>
          </w:tcPr>
          <w:p w14:paraId="785AC62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252 602</w:t>
            </w:r>
          </w:p>
        </w:tc>
        <w:tc>
          <w:tcPr>
            <w:tcW w:w="992" w:type="dxa"/>
            <w:tcBorders>
              <w:top w:val="nil"/>
              <w:left w:val="nil"/>
              <w:bottom w:val="single" w:sz="8" w:space="0" w:color="0077BD"/>
              <w:right w:val="single" w:sz="8" w:space="0" w:color="0077BD"/>
            </w:tcBorders>
            <w:shd w:val="clear" w:color="auto" w:fill="auto"/>
            <w:vAlign w:val="center"/>
            <w:hideMark/>
          </w:tcPr>
          <w:p w14:paraId="4D70F5F3"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30 226</w:t>
            </w:r>
          </w:p>
        </w:tc>
        <w:tc>
          <w:tcPr>
            <w:tcW w:w="992" w:type="dxa"/>
            <w:tcBorders>
              <w:top w:val="nil"/>
              <w:left w:val="nil"/>
              <w:bottom w:val="single" w:sz="8" w:space="0" w:color="0077BD"/>
              <w:right w:val="single" w:sz="8" w:space="0" w:color="0077BD"/>
            </w:tcBorders>
            <w:shd w:val="clear" w:color="auto" w:fill="auto"/>
            <w:vAlign w:val="center"/>
            <w:hideMark/>
          </w:tcPr>
          <w:p w14:paraId="01984A37"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1 328 843</w:t>
            </w:r>
          </w:p>
        </w:tc>
        <w:tc>
          <w:tcPr>
            <w:tcW w:w="993" w:type="dxa"/>
            <w:tcBorders>
              <w:top w:val="nil"/>
              <w:left w:val="nil"/>
              <w:bottom w:val="single" w:sz="8" w:space="0" w:color="0077BD"/>
              <w:right w:val="nil"/>
            </w:tcBorders>
            <w:shd w:val="clear" w:color="auto" w:fill="auto"/>
            <w:vAlign w:val="center"/>
            <w:hideMark/>
          </w:tcPr>
          <w:p w14:paraId="4A63D8C7"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2 184 358</w:t>
            </w:r>
          </w:p>
        </w:tc>
      </w:tr>
      <w:tr w:rsidR="00416C55" w:rsidRPr="002B2EA0" w14:paraId="123068A9" w14:textId="77777777" w:rsidTr="00416C55">
        <w:trPr>
          <w:trHeight w:val="227"/>
        </w:trPr>
        <w:tc>
          <w:tcPr>
            <w:tcW w:w="2693" w:type="dxa"/>
            <w:tcBorders>
              <w:top w:val="nil"/>
              <w:left w:val="nil"/>
              <w:bottom w:val="single" w:sz="8" w:space="0" w:color="0077BD"/>
              <w:right w:val="single" w:sz="8" w:space="0" w:color="0077BD"/>
            </w:tcBorders>
            <w:shd w:val="clear" w:color="auto" w:fill="auto"/>
            <w:vAlign w:val="center"/>
            <w:hideMark/>
          </w:tcPr>
          <w:p w14:paraId="14255E71" w14:textId="160EC80A" w:rsidR="00416C55" w:rsidRPr="009E1E81" w:rsidRDefault="00416C55" w:rsidP="00416C55">
            <w:pPr>
              <w:rPr>
                <w:rFonts w:cs="Calibri"/>
                <w:b/>
                <w:bCs/>
                <w:color w:val="000000" w:themeColor="text1"/>
                <w:sz w:val="11"/>
                <w:szCs w:val="11"/>
              </w:rPr>
            </w:pPr>
            <w:r w:rsidRPr="009E1E81">
              <w:rPr>
                <w:rFonts w:cs="Calibri"/>
                <w:b/>
                <w:bCs/>
                <w:color w:val="000000" w:themeColor="text1"/>
                <w:sz w:val="11"/>
                <w:szCs w:val="11"/>
              </w:rPr>
              <w:t>Aktywa razem</w:t>
            </w:r>
          </w:p>
        </w:tc>
        <w:tc>
          <w:tcPr>
            <w:tcW w:w="992"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78A4CF91" w14:textId="6D50E021"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74 550 595</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65BBE88E" w14:textId="41097A24"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27 843 792</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74D58B97" w14:textId="3C2571EE"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14 065 252</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3F59114C" w14:textId="5C98E357"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17 900 537</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56F96ABF" w14:textId="3F34126B"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1 366 631</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39810EEF" w14:textId="3CA09C53"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7 524 138</w:t>
            </w:r>
          </w:p>
        </w:tc>
        <w:tc>
          <w:tcPr>
            <w:tcW w:w="993" w:type="dxa"/>
            <w:tcBorders>
              <w:top w:val="single" w:sz="8" w:space="0" w:color="0077BD"/>
              <w:left w:val="nil"/>
              <w:bottom w:val="single" w:sz="8" w:space="0" w:color="0077BD"/>
              <w:right w:val="nil"/>
            </w:tcBorders>
            <w:shd w:val="clear" w:color="auto" w:fill="auto"/>
            <w:vAlign w:val="center"/>
            <w:hideMark/>
          </w:tcPr>
          <w:p w14:paraId="2726AFBB" w14:textId="45F1DDC6" w:rsidR="00416C55" w:rsidRPr="009E1E81" w:rsidRDefault="00416C55" w:rsidP="00416C55">
            <w:pPr>
              <w:jc w:val="right"/>
              <w:rPr>
                <w:rFonts w:cs="Calibri"/>
                <w:b/>
                <w:bCs/>
                <w:color w:val="000000" w:themeColor="text1"/>
                <w:sz w:val="11"/>
                <w:szCs w:val="11"/>
              </w:rPr>
            </w:pPr>
            <w:r w:rsidRPr="009E1E81">
              <w:rPr>
                <w:rFonts w:cs="Calibri"/>
                <w:b/>
                <w:bCs/>
                <w:color w:val="000000" w:themeColor="text1"/>
                <w:sz w:val="11"/>
                <w:szCs w:val="11"/>
              </w:rPr>
              <w:t>143 250 945</w:t>
            </w:r>
          </w:p>
        </w:tc>
      </w:tr>
      <w:tr w:rsidR="008318EE" w:rsidRPr="002B2EA0" w14:paraId="04051B2E" w14:textId="77777777" w:rsidTr="00CD55C4">
        <w:trPr>
          <w:trHeight w:val="227"/>
        </w:trPr>
        <w:tc>
          <w:tcPr>
            <w:tcW w:w="2693" w:type="dxa"/>
            <w:tcBorders>
              <w:top w:val="nil"/>
              <w:left w:val="nil"/>
              <w:bottom w:val="single" w:sz="8" w:space="0" w:color="0077BD"/>
              <w:right w:val="nil"/>
            </w:tcBorders>
            <w:shd w:val="clear" w:color="auto" w:fill="auto"/>
            <w:vAlign w:val="center"/>
            <w:hideMark/>
          </w:tcPr>
          <w:p w14:paraId="662BD90F" w14:textId="77777777" w:rsidR="008318EE" w:rsidRPr="002B2EA0" w:rsidRDefault="008318EE" w:rsidP="009E1F91">
            <w:pPr>
              <w:rPr>
                <w:rFonts w:cs="Calibri"/>
                <w:b/>
                <w:bCs/>
                <w:color w:val="000000" w:themeColor="text1"/>
                <w:sz w:val="11"/>
                <w:szCs w:val="11"/>
              </w:rPr>
            </w:pPr>
            <w:r w:rsidRPr="002B2EA0">
              <w:rPr>
                <w:rFonts w:cs="Calibri"/>
                <w:b/>
                <w:bCs/>
                <w:color w:val="000000" w:themeColor="text1"/>
                <w:sz w:val="11"/>
                <w:szCs w:val="11"/>
              </w:rPr>
              <w:t>Zobowiązania</w:t>
            </w:r>
          </w:p>
        </w:tc>
        <w:tc>
          <w:tcPr>
            <w:tcW w:w="992" w:type="dxa"/>
            <w:tcBorders>
              <w:top w:val="nil"/>
              <w:left w:val="nil"/>
              <w:bottom w:val="single" w:sz="8" w:space="0" w:color="0077BD"/>
              <w:right w:val="nil"/>
            </w:tcBorders>
            <w:shd w:val="clear" w:color="auto" w:fill="auto"/>
            <w:vAlign w:val="center"/>
            <w:hideMark/>
          </w:tcPr>
          <w:p w14:paraId="3B330119" w14:textId="77777777" w:rsidR="008318EE" w:rsidRPr="00842482" w:rsidRDefault="008318EE" w:rsidP="009E1F91">
            <w:pPr>
              <w:rPr>
                <w:rFonts w:cs="Calibri"/>
                <w:b/>
                <w:bCs/>
                <w:color w:val="000000" w:themeColor="text1"/>
                <w:sz w:val="11"/>
                <w:szCs w:val="11"/>
              </w:rPr>
            </w:pPr>
          </w:p>
        </w:tc>
        <w:tc>
          <w:tcPr>
            <w:tcW w:w="992" w:type="dxa"/>
            <w:tcBorders>
              <w:top w:val="nil"/>
              <w:left w:val="nil"/>
              <w:bottom w:val="single" w:sz="8" w:space="0" w:color="0077BD"/>
              <w:right w:val="nil"/>
            </w:tcBorders>
            <w:shd w:val="clear" w:color="auto" w:fill="auto"/>
            <w:vAlign w:val="center"/>
            <w:hideMark/>
          </w:tcPr>
          <w:p w14:paraId="2EBDDE18" w14:textId="77777777" w:rsidR="008318EE" w:rsidRPr="00842482"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hideMark/>
          </w:tcPr>
          <w:p w14:paraId="44FE1988" w14:textId="77777777" w:rsidR="008318EE" w:rsidRPr="00842482" w:rsidRDefault="008318EE" w:rsidP="009E1F91">
            <w:pPr>
              <w:jc w:val="right"/>
              <w:rPr>
                <w:color w:val="000000" w:themeColor="text1"/>
                <w:sz w:val="11"/>
                <w:szCs w:val="11"/>
              </w:rPr>
            </w:pPr>
          </w:p>
        </w:tc>
        <w:tc>
          <w:tcPr>
            <w:tcW w:w="993" w:type="dxa"/>
            <w:tcBorders>
              <w:top w:val="nil"/>
              <w:left w:val="nil"/>
              <w:bottom w:val="single" w:sz="8" w:space="0" w:color="0077BD"/>
              <w:right w:val="nil"/>
            </w:tcBorders>
            <w:shd w:val="clear" w:color="auto" w:fill="auto"/>
            <w:vAlign w:val="center"/>
            <w:hideMark/>
          </w:tcPr>
          <w:p w14:paraId="632655F0" w14:textId="77777777" w:rsidR="008318EE" w:rsidRPr="00842482"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hideMark/>
          </w:tcPr>
          <w:p w14:paraId="50BBC8BB" w14:textId="77777777" w:rsidR="008318EE" w:rsidRPr="00842482" w:rsidRDefault="008318EE" w:rsidP="009E1F91">
            <w:pPr>
              <w:jc w:val="right"/>
              <w:rPr>
                <w:color w:val="000000" w:themeColor="text1"/>
                <w:sz w:val="11"/>
                <w:szCs w:val="11"/>
              </w:rPr>
            </w:pPr>
          </w:p>
        </w:tc>
        <w:tc>
          <w:tcPr>
            <w:tcW w:w="992" w:type="dxa"/>
            <w:tcBorders>
              <w:top w:val="nil"/>
              <w:left w:val="nil"/>
              <w:bottom w:val="single" w:sz="8" w:space="0" w:color="0077BD"/>
              <w:right w:val="nil"/>
            </w:tcBorders>
            <w:shd w:val="clear" w:color="auto" w:fill="auto"/>
            <w:vAlign w:val="center"/>
            <w:hideMark/>
          </w:tcPr>
          <w:p w14:paraId="4F108107" w14:textId="77777777" w:rsidR="008318EE" w:rsidRPr="00842482" w:rsidRDefault="008318EE" w:rsidP="009E1F91">
            <w:pPr>
              <w:jc w:val="right"/>
              <w:rPr>
                <w:color w:val="000000" w:themeColor="text1"/>
                <w:sz w:val="11"/>
                <w:szCs w:val="11"/>
              </w:rPr>
            </w:pPr>
          </w:p>
        </w:tc>
        <w:tc>
          <w:tcPr>
            <w:tcW w:w="993" w:type="dxa"/>
            <w:tcBorders>
              <w:top w:val="nil"/>
              <w:left w:val="nil"/>
              <w:bottom w:val="single" w:sz="8" w:space="0" w:color="0077BD"/>
              <w:right w:val="nil"/>
            </w:tcBorders>
            <w:shd w:val="clear" w:color="auto" w:fill="auto"/>
            <w:vAlign w:val="center"/>
            <w:hideMark/>
          </w:tcPr>
          <w:p w14:paraId="4732D43E" w14:textId="77777777" w:rsidR="008318EE" w:rsidRPr="00842482" w:rsidRDefault="008318EE" w:rsidP="009E1F91">
            <w:pPr>
              <w:jc w:val="right"/>
              <w:rPr>
                <w:color w:val="000000" w:themeColor="text1"/>
                <w:sz w:val="11"/>
                <w:szCs w:val="11"/>
              </w:rPr>
            </w:pPr>
          </w:p>
        </w:tc>
      </w:tr>
      <w:tr w:rsidR="002B2EA0" w:rsidRPr="002B2EA0" w14:paraId="39EBA6DF" w14:textId="77777777" w:rsidTr="00CD55C4">
        <w:trPr>
          <w:trHeight w:val="227"/>
        </w:trPr>
        <w:tc>
          <w:tcPr>
            <w:tcW w:w="2693" w:type="dxa"/>
            <w:tcBorders>
              <w:top w:val="single" w:sz="8" w:space="0" w:color="0077BD"/>
              <w:left w:val="nil"/>
              <w:bottom w:val="single" w:sz="4" w:space="0" w:color="0077BD"/>
              <w:right w:val="single" w:sz="8" w:space="0" w:color="0077BD"/>
            </w:tcBorders>
            <w:shd w:val="clear" w:color="auto" w:fill="auto"/>
            <w:vAlign w:val="center"/>
            <w:hideMark/>
          </w:tcPr>
          <w:p w14:paraId="66FBEEE6" w14:textId="72C5F3DC" w:rsidR="002B2EA0" w:rsidRPr="009E1E81" w:rsidRDefault="00AF1F12" w:rsidP="002B2EA0">
            <w:pPr>
              <w:rPr>
                <w:rFonts w:cs="Calibri"/>
                <w:color w:val="000000" w:themeColor="text1"/>
                <w:sz w:val="11"/>
                <w:szCs w:val="11"/>
              </w:rPr>
            </w:pPr>
            <w:r>
              <w:rPr>
                <w:rFonts w:cs="Calibri"/>
                <w:color w:val="000000" w:themeColor="text1"/>
                <w:sz w:val="11"/>
                <w:szCs w:val="11"/>
              </w:rPr>
              <w:t>Zobowiązania wobec</w:t>
            </w:r>
            <w:r w:rsidR="002B2EA0" w:rsidRPr="009E1E81">
              <w:rPr>
                <w:rFonts w:cs="Calibri"/>
                <w:color w:val="000000" w:themeColor="text1"/>
                <w:sz w:val="11"/>
                <w:szCs w:val="11"/>
              </w:rPr>
              <w:t xml:space="preserve"> banków</w:t>
            </w:r>
          </w:p>
        </w:tc>
        <w:tc>
          <w:tcPr>
            <w:tcW w:w="992" w:type="dxa"/>
            <w:tcBorders>
              <w:top w:val="single" w:sz="8" w:space="0" w:color="0077BD"/>
              <w:left w:val="single" w:sz="8" w:space="0" w:color="0077BD"/>
              <w:bottom w:val="single" w:sz="4" w:space="0" w:color="0077BD"/>
              <w:right w:val="single" w:sz="8" w:space="0" w:color="0077BD"/>
            </w:tcBorders>
            <w:shd w:val="clear" w:color="auto" w:fill="auto"/>
            <w:vAlign w:val="center"/>
            <w:hideMark/>
          </w:tcPr>
          <w:p w14:paraId="6A08D7F3" w14:textId="33F0A5FC"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1 920 938</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705182C8" w14:textId="0867AD7E"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895 617</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02131604" w14:textId="5B467082"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288 985</w:t>
            </w:r>
          </w:p>
        </w:tc>
        <w:tc>
          <w:tcPr>
            <w:tcW w:w="993" w:type="dxa"/>
            <w:tcBorders>
              <w:top w:val="single" w:sz="8" w:space="0" w:color="0077BD"/>
              <w:left w:val="nil"/>
              <w:bottom w:val="single" w:sz="4" w:space="0" w:color="0077BD"/>
              <w:right w:val="single" w:sz="8" w:space="0" w:color="0077BD"/>
            </w:tcBorders>
            <w:shd w:val="clear" w:color="auto" w:fill="auto"/>
            <w:vAlign w:val="center"/>
            <w:hideMark/>
          </w:tcPr>
          <w:p w14:paraId="31404589" w14:textId="00D9C747"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09B86773" w14:textId="56107AFB"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single" w:sz="8" w:space="0" w:color="0077BD"/>
              <w:left w:val="nil"/>
              <w:bottom w:val="single" w:sz="4" w:space="0" w:color="0077BD"/>
              <w:right w:val="single" w:sz="8" w:space="0" w:color="0077BD"/>
            </w:tcBorders>
            <w:shd w:val="clear" w:color="auto" w:fill="auto"/>
            <w:vAlign w:val="center"/>
            <w:hideMark/>
          </w:tcPr>
          <w:p w14:paraId="0265669F" w14:textId="3C25E754" w:rsidR="002B2EA0" w:rsidRPr="009E1E81" w:rsidRDefault="002B2EA0" w:rsidP="002B2EA0">
            <w:pPr>
              <w:jc w:val="right"/>
              <w:rPr>
                <w:rFonts w:cs="Calibri"/>
                <w:color w:val="000000" w:themeColor="text1"/>
                <w:sz w:val="11"/>
                <w:szCs w:val="11"/>
              </w:rPr>
            </w:pPr>
            <w:r w:rsidRPr="009E1E81">
              <w:rPr>
                <w:rFonts w:cs="Calibri"/>
                <w:color w:val="000000" w:themeColor="text1"/>
                <w:sz w:val="11"/>
                <w:szCs w:val="11"/>
              </w:rPr>
              <w:t>3 286</w:t>
            </w:r>
          </w:p>
        </w:tc>
        <w:tc>
          <w:tcPr>
            <w:tcW w:w="993" w:type="dxa"/>
            <w:tcBorders>
              <w:top w:val="single" w:sz="8" w:space="0" w:color="0077BD"/>
              <w:left w:val="nil"/>
              <w:bottom w:val="single" w:sz="4" w:space="0" w:color="0077BD"/>
              <w:right w:val="nil"/>
            </w:tcBorders>
            <w:shd w:val="clear" w:color="auto" w:fill="auto"/>
            <w:vAlign w:val="center"/>
            <w:hideMark/>
          </w:tcPr>
          <w:p w14:paraId="071E8BF3" w14:textId="467C784B"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3 108 826</w:t>
            </w:r>
          </w:p>
        </w:tc>
      </w:tr>
      <w:tr w:rsidR="008318EE" w:rsidRPr="002B2EA0" w14:paraId="326C2146" w14:textId="77777777" w:rsidTr="00343A7A">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206D8F52"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Zobowiązania wobec klientów</w:t>
            </w:r>
          </w:p>
        </w:tc>
        <w:tc>
          <w:tcPr>
            <w:tcW w:w="992" w:type="dxa"/>
            <w:tcBorders>
              <w:top w:val="nil"/>
              <w:left w:val="nil"/>
              <w:bottom w:val="single" w:sz="4" w:space="0" w:color="0077BD"/>
              <w:right w:val="single" w:sz="8" w:space="0" w:color="0077BD"/>
            </w:tcBorders>
            <w:shd w:val="clear" w:color="auto" w:fill="auto"/>
            <w:vAlign w:val="center"/>
            <w:hideMark/>
          </w:tcPr>
          <w:p w14:paraId="262010EF"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85 656 253</w:t>
            </w:r>
          </w:p>
        </w:tc>
        <w:tc>
          <w:tcPr>
            <w:tcW w:w="992" w:type="dxa"/>
            <w:tcBorders>
              <w:top w:val="nil"/>
              <w:left w:val="nil"/>
              <w:bottom w:val="single" w:sz="4" w:space="0" w:color="0077BD"/>
              <w:right w:val="single" w:sz="8" w:space="0" w:color="0077BD"/>
            </w:tcBorders>
            <w:shd w:val="clear" w:color="auto" w:fill="auto"/>
            <w:vAlign w:val="center"/>
            <w:hideMark/>
          </w:tcPr>
          <w:p w14:paraId="373679FD"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9 419 449</w:t>
            </w:r>
          </w:p>
        </w:tc>
        <w:tc>
          <w:tcPr>
            <w:tcW w:w="992" w:type="dxa"/>
            <w:tcBorders>
              <w:top w:val="nil"/>
              <w:left w:val="nil"/>
              <w:bottom w:val="single" w:sz="4" w:space="0" w:color="0077BD"/>
              <w:right w:val="single" w:sz="8" w:space="0" w:color="0077BD"/>
            </w:tcBorders>
            <w:shd w:val="clear" w:color="auto" w:fill="auto"/>
            <w:vAlign w:val="center"/>
            <w:hideMark/>
          </w:tcPr>
          <w:p w14:paraId="3FF2BE9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5 604 957</w:t>
            </w:r>
          </w:p>
        </w:tc>
        <w:tc>
          <w:tcPr>
            <w:tcW w:w="993" w:type="dxa"/>
            <w:tcBorders>
              <w:top w:val="nil"/>
              <w:left w:val="nil"/>
              <w:bottom w:val="single" w:sz="4" w:space="0" w:color="0077BD"/>
              <w:right w:val="single" w:sz="8" w:space="0" w:color="0077BD"/>
            </w:tcBorders>
            <w:shd w:val="clear" w:color="auto" w:fill="auto"/>
            <w:vAlign w:val="center"/>
            <w:hideMark/>
          </w:tcPr>
          <w:p w14:paraId="5E86A555"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1 012 170</w:t>
            </w:r>
          </w:p>
        </w:tc>
        <w:tc>
          <w:tcPr>
            <w:tcW w:w="992" w:type="dxa"/>
            <w:tcBorders>
              <w:top w:val="nil"/>
              <w:left w:val="nil"/>
              <w:bottom w:val="single" w:sz="4" w:space="0" w:color="0077BD"/>
              <w:right w:val="single" w:sz="8" w:space="0" w:color="0077BD"/>
            </w:tcBorders>
            <w:shd w:val="clear" w:color="auto" w:fill="auto"/>
            <w:vAlign w:val="center"/>
            <w:hideMark/>
          </w:tcPr>
          <w:p w14:paraId="6E819F1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56 213</w:t>
            </w:r>
          </w:p>
        </w:tc>
        <w:tc>
          <w:tcPr>
            <w:tcW w:w="992" w:type="dxa"/>
            <w:tcBorders>
              <w:top w:val="nil"/>
              <w:left w:val="nil"/>
              <w:bottom w:val="single" w:sz="4" w:space="0" w:color="0077BD"/>
              <w:right w:val="single" w:sz="8" w:space="0" w:color="0077BD"/>
            </w:tcBorders>
            <w:shd w:val="clear" w:color="auto" w:fill="auto"/>
            <w:vAlign w:val="center"/>
            <w:hideMark/>
          </w:tcPr>
          <w:p w14:paraId="7DC1472A"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260 020</w:t>
            </w:r>
          </w:p>
        </w:tc>
        <w:tc>
          <w:tcPr>
            <w:tcW w:w="993" w:type="dxa"/>
            <w:tcBorders>
              <w:top w:val="nil"/>
              <w:left w:val="nil"/>
              <w:bottom w:val="single" w:sz="4" w:space="0" w:color="0077BD"/>
              <w:right w:val="nil"/>
            </w:tcBorders>
            <w:shd w:val="clear" w:color="auto" w:fill="auto"/>
            <w:vAlign w:val="center"/>
            <w:hideMark/>
          </w:tcPr>
          <w:p w14:paraId="7AD40260"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102 009 062</w:t>
            </w:r>
          </w:p>
        </w:tc>
      </w:tr>
      <w:tr w:rsidR="008318EE" w:rsidRPr="002B2EA0" w14:paraId="337C4360" w14:textId="77777777" w:rsidTr="002B2EA0">
        <w:trPr>
          <w:trHeight w:val="284"/>
        </w:trPr>
        <w:tc>
          <w:tcPr>
            <w:tcW w:w="2693" w:type="dxa"/>
            <w:tcBorders>
              <w:top w:val="nil"/>
              <w:left w:val="nil"/>
              <w:bottom w:val="single" w:sz="4" w:space="0" w:color="0077BD"/>
              <w:right w:val="single" w:sz="8" w:space="0" w:color="0077BD"/>
            </w:tcBorders>
            <w:shd w:val="clear" w:color="auto" w:fill="auto"/>
            <w:vAlign w:val="center"/>
            <w:hideMark/>
          </w:tcPr>
          <w:p w14:paraId="794552C4"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Zobowiązania z tytułu emisji dłużnych papierów wartościowych</w:t>
            </w:r>
          </w:p>
        </w:tc>
        <w:tc>
          <w:tcPr>
            <w:tcW w:w="992" w:type="dxa"/>
            <w:tcBorders>
              <w:top w:val="nil"/>
              <w:left w:val="nil"/>
              <w:bottom w:val="single" w:sz="4" w:space="0" w:color="0077BD"/>
              <w:right w:val="single" w:sz="8" w:space="0" w:color="0077BD"/>
            </w:tcBorders>
            <w:shd w:val="clear" w:color="auto" w:fill="auto"/>
            <w:vAlign w:val="center"/>
            <w:hideMark/>
          </w:tcPr>
          <w:p w14:paraId="73852F52"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1 408 019</w:t>
            </w:r>
          </w:p>
        </w:tc>
        <w:tc>
          <w:tcPr>
            <w:tcW w:w="992" w:type="dxa"/>
            <w:tcBorders>
              <w:top w:val="nil"/>
              <w:left w:val="nil"/>
              <w:bottom w:val="single" w:sz="4" w:space="0" w:color="0077BD"/>
              <w:right w:val="single" w:sz="8" w:space="0" w:color="0077BD"/>
            </w:tcBorders>
            <w:shd w:val="clear" w:color="auto" w:fill="auto"/>
            <w:vAlign w:val="center"/>
            <w:hideMark/>
          </w:tcPr>
          <w:p w14:paraId="57756263"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3 359 216</w:t>
            </w:r>
          </w:p>
        </w:tc>
        <w:tc>
          <w:tcPr>
            <w:tcW w:w="992" w:type="dxa"/>
            <w:tcBorders>
              <w:top w:val="nil"/>
              <w:left w:val="nil"/>
              <w:bottom w:val="single" w:sz="4" w:space="0" w:color="0077BD"/>
              <w:right w:val="single" w:sz="8" w:space="0" w:color="0077BD"/>
            </w:tcBorders>
            <w:shd w:val="clear" w:color="auto" w:fill="auto"/>
            <w:vAlign w:val="center"/>
            <w:hideMark/>
          </w:tcPr>
          <w:p w14:paraId="4D4C44B5"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2 736 927</w:t>
            </w:r>
          </w:p>
        </w:tc>
        <w:tc>
          <w:tcPr>
            <w:tcW w:w="993" w:type="dxa"/>
            <w:tcBorders>
              <w:top w:val="nil"/>
              <w:left w:val="nil"/>
              <w:bottom w:val="single" w:sz="4" w:space="0" w:color="0077BD"/>
              <w:right w:val="single" w:sz="8" w:space="0" w:color="0077BD"/>
            </w:tcBorders>
            <w:shd w:val="clear" w:color="auto" w:fill="auto"/>
            <w:vAlign w:val="center"/>
            <w:hideMark/>
          </w:tcPr>
          <w:p w14:paraId="01F4BE4E"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8 705 679</w:t>
            </w:r>
          </w:p>
        </w:tc>
        <w:tc>
          <w:tcPr>
            <w:tcW w:w="992" w:type="dxa"/>
            <w:tcBorders>
              <w:top w:val="nil"/>
              <w:left w:val="nil"/>
              <w:bottom w:val="single" w:sz="4" w:space="0" w:color="0077BD"/>
              <w:right w:val="single" w:sz="8" w:space="0" w:color="0077BD"/>
            </w:tcBorders>
            <w:shd w:val="clear" w:color="auto" w:fill="auto"/>
            <w:vAlign w:val="center"/>
            <w:hideMark/>
          </w:tcPr>
          <w:p w14:paraId="2535750E"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1 839 742</w:t>
            </w:r>
          </w:p>
        </w:tc>
        <w:tc>
          <w:tcPr>
            <w:tcW w:w="992" w:type="dxa"/>
            <w:tcBorders>
              <w:top w:val="nil"/>
              <w:left w:val="nil"/>
              <w:bottom w:val="single" w:sz="4" w:space="0" w:color="0077BD"/>
              <w:right w:val="single" w:sz="8" w:space="0" w:color="0077BD"/>
            </w:tcBorders>
            <w:shd w:val="clear" w:color="auto" w:fill="auto"/>
            <w:vAlign w:val="center"/>
            <w:hideMark/>
          </w:tcPr>
          <w:p w14:paraId="0ED84ED7"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3" w:type="dxa"/>
            <w:tcBorders>
              <w:top w:val="nil"/>
              <w:left w:val="nil"/>
              <w:bottom w:val="single" w:sz="4" w:space="0" w:color="0077BD"/>
              <w:right w:val="nil"/>
            </w:tcBorders>
            <w:shd w:val="clear" w:color="auto" w:fill="auto"/>
            <w:vAlign w:val="center"/>
            <w:hideMark/>
          </w:tcPr>
          <w:p w14:paraId="1B5553CB"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18 049 583</w:t>
            </w:r>
          </w:p>
        </w:tc>
      </w:tr>
      <w:tr w:rsidR="008318EE" w:rsidRPr="002B2EA0" w14:paraId="2FB1F3F6" w14:textId="77777777" w:rsidTr="00343A7A">
        <w:trPr>
          <w:trHeight w:val="227"/>
        </w:trPr>
        <w:tc>
          <w:tcPr>
            <w:tcW w:w="2693" w:type="dxa"/>
            <w:tcBorders>
              <w:top w:val="nil"/>
              <w:left w:val="nil"/>
              <w:bottom w:val="single" w:sz="4" w:space="0" w:color="0077BD"/>
              <w:right w:val="single" w:sz="8" w:space="0" w:color="0077BD"/>
            </w:tcBorders>
            <w:shd w:val="clear" w:color="auto" w:fill="auto"/>
            <w:vAlign w:val="center"/>
            <w:hideMark/>
          </w:tcPr>
          <w:p w14:paraId="41318F4B"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Zobowiązania podporządkowane</w:t>
            </w:r>
          </w:p>
        </w:tc>
        <w:tc>
          <w:tcPr>
            <w:tcW w:w="992" w:type="dxa"/>
            <w:tcBorders>
              <w:top w:val="nil"/>
              <w:left w:val="nil"/>
              <w:bottom w:val="single" w:sz="4" w:space="0" w:color="0077BD"/>
              <w:right w:val="single" w:sz="8" w:space="0" w:color="0077BD"/>
            </w:tcBorders>
            <w:shd w:val="clear" w:color="auto" w:fill="auto"/>
            <w:vAlign w:val="center"/>
            <w:hideMark/>
          </w:tcPr>
          <w:p w14:paraId="25530CC9"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763 318</w:t>
            </w:r>
          </w:p>
        </w:tc>
        <w:tc>
          <w:tcPr>
            <w:tcW w:w="992" w:type="dxa"/>
            <w:tcBorders>
              <w:top w:val="nil"/>
              <w:left w:val="nil"/>
              <w:bottom w:val="single" w:sz="4" w:space="0" w:color="0077BD"/>
              <w:right w:val="single" w:sz="8" w:space="0" w:color="0077BD"/>
            </w:tcBorders>
            <w:shd w:val="clear" w:color="auto" w:fill="auto"/>
            <w:vAlign w:val="center"/>
            <w:hideMark/>
          </w:tcPr>
          <w:p w14:paraId="7E1E3B01"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954 684</w:t>
            </w:r>
          </w:p>
        </w:tc>
        <w:tc>
          <w:tcPr>
            <w:tcW w:w="992" w:type="dxa"/>
            <w:tcBorders>
              <w:top w:val="nil"/>
              <w:left w:val="nil"/>
              <w:bottom w:val="single" w:sz="4" w:space="0" w:color="0077BD"/>
              <w:right w:val="single" w:sz="8" w:space="0" w:color="0077BD"/>
            </w:tcBorders>
            <w:shd w:val="clear" w:color="auto" w:fill="auto"/>
            <w:vAlign w:val="center"/>
            <w:hideMark/>
          </w:tcPr>
          <w:p w14:paraId="68CA9A35"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756 161</w:t>
            </w:r>
          </w:p>
        </w:tc>
        <w:tc>
          <w:tcPr>
            <w:tcW w:w="993" w:type="dxa"/>
            <w:tcBorders>
              <w:top w:val="nil"/>
              <w:left w:val="nil"/>
              <w:bottom w:val="single" w:sz="4" w:space="0" w:color="0077BD"/>
              <w:right w:val="single" w:sz="8" w:space="0" w:color="0077BD"/>
            </w:tcBorders>
            <w:shd w:val="clear" w:color="auto" w:fill="auto"/>
            <w:vAlign w:val="center"/>
            <w:hideMark/>
          </w:tcPr>
          <w:p w14:paraId="3F8AE568"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hideMark/>
          </w:tcPr>
          <w:p w14:paraId="4E8F8DD0"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2" w:type="dxa"/>
            <w:tcBorders>
              <w:top w:val="nil"/>
              <w:left w:val="nil"/>
              <w:bottom w:val="single" w:sz="4" w:space="0" w:color="0077BD"/>
              <w:right w:val="single" w:sz="8" w:space="0" w:color="0077BD"/>
            </w:tcBorders>
            <w:shd w:val="clear" w:color="auto" w:fill="auto"/>
            <w:vAlign w:val="center"/>
            <w:hideMark/>
          </w:tcPr>
          <w:p w14:paraId="744045E4"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w:t>
            </w:r>
          </w:p>
        </w:tc>
        <w:tc>
          <w:tcPr>
            <w:tcW w:w="993" w:type="dxa"/>
            <w:tcBorders>
              <w:top w:val="nil"/>
              <w:left w:val="nil"/>
              <w:bottom w:val="single" w:sz="4" w:space="0" w:color="0077BD"/>
              <w:right w:val="nil"/>
            </w:tcBorders>
            <w:shd w:val="clear" w:color="auto" w:fill="auto"/>
            <w:vAlign w:val="center"/>
            <w:hideMark/>
          </w:tcPr>
          <w:p w14:paraId="60C63A28"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2 474 163</w:t>
            </w:r>
          </w:p>
        </w:tc>
      </w:tr>
      <w:tr w:rsidR="008318EE" w:rsidRPr="002B2EA0" w14:paraId="096169EB" w14:textId="77777777" w:rsidTr="002B2EA0">
        <w:trPr>
          <w:trHeight w:val="284"/>
        </w:trPr>
        <w:tc>
          <w:tcPr>
            <w:tcW w:w="2693" w:type="dxa"/>
            <w:tcBorders>
              <w:top w:val="nil"/>
              <w:left w:val="nil"/>
              <w:bottom w:val="single" w:sz="8" w:space="0" w:color="0077BD"/>
              <w:right w:val="single" w:sz="8" w:space="0" w:color="0077BD"/>
            </w:tcBorders>
            <w:shd w:val="clear" w:color="auto" w:fill="auto"/>
            <w:vAlign w:val="center"/>
            <w:hideMark/>
          </w:tcPr>
          <w:p w14:paraId="58E8FFA1" w14:textId="77777777" w:rsidR="008318EE" w:rsidRPr="009E1E81" w:rsidRDefault="008318EE" w:rsidP="009E1F91">
            <w:pPr>
              <w:rPr>
                <w:rFonts w:cs="Calibri"/>
                <w:color w:val="000000" w:themeColor="text1"/>
                <w:sz w:val="11"/>
                <w:szCs w:val="11"/>
              </w:rPr>
            </w:pPr>
            <w:r w:rsidRPr="009E1E81">
              <w:rPr>
                <w:rFonts w:cs="Calibri"/>
                <w:color w:val="000000" w:themeColor="text1"/>
                <w:sz w:val="11"/>
                <w:szCs w:val="11"/>
              </w:rPr>
              <w:t>Pozostałe zobowiązania oraz pochodne instrumenty finansowe</w:t>
            </w:r>
          </w:p>
        </w:tc>
        <w:tc>
          <w:tcPr>
            <w:tcW w:w="992" w:type="dxa"/>
            <w:tcBorders>
              <w:top w:val="nil"/>
              <w:left w:val="nil"/>
              <w:bottom w:val="single" w:sz="8" w:space="0" w:color="0077BD"/>
              <w:right w:val="single" w:sz="8" w:space="0" w:color="0077BD"/>
            </w:tcBorders>
            <w:shd w:val="clear" w:color="auto" w:fill="auto"/>
            <w:vAlign w:val="center"/>
            <w:hideMark/>
          </w:tcPr>
          <w:p w14:paraId="7DA3A677"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356 118</w:t>
            </w:r>
          </w:p>
        </w:tc>
        <w:tc>
          <w:tcPr>
            <w:tcW w:w="992" w:type="dxa"/>
            <w:tcBorders>
              <w:top w:val="nil"/>
              <w:left w:val="nil"/>
              <w:bottom w:val="single" w:sz="8" w:space="0" w:color="0077BD"/>
              <w:right w:val="single" w:sz="8" w:space="0" w:color="0077BD"/>
            </w:tcBorders>
            <w:shd w:val="clear" w:color="auto" w:fill="auto"/>
            <w:vAlign w:val="center"/>
            <w:hideMark/>
          </w:tcPr>
          <w:p w14:paraId="0A36216A"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159 780</w:t>
            </w:r>
          </w:p>
        </w:tc>
        <w:tc>
          <w:tcPr>
            <w:tcW w:w="992" w:type="dxa"/>
            <w:tcBorders>
              <w:top w:val="nil"/>
              <w:left w:val="nil"/>
              <w:bottom w:val="single" w:sz="8" w:space="0" w:color="0077BD"/>
              <w:right w:val="single" w:sz="8" w:space="0" w:color="0077BD"/>
            </w:tcBorders>
            <w:shd w:val="clear" w:color="auto" w:fill="auto"/>
            <w:vAlign w:val="center"/>
            <w:hideMark/>
          </w:tcPr>
          <w:p w14:paraId="59AC8E7D"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264 576</w:t>
            </w:r>
          </w:p>
        </w:tc>
        <w:tc>
          <w:tcPr>
            <w:tcW w:w="993" w:type="dxa"/>
            <w:tcBorders>
              <w:top w:val="nil"/>
              <w:left w:val="nil"/>
              <w:bottom w:val="single" w:sz="8" w:space="0" w:color="0077BD"/>
              <w:right w:val="single" w:sz="8" w:space="0" w:color="0077BD"/>
            </w:tcBorders>
            <w:shd w:val="clear" w:color="auto" w:fill="auto"/>
            <w:vAlign w:val="center"/>
            <w:hideMark/>
          </w:tcPr>
          <w:p w14:paraId="4BE326FA"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209 898</w:t>
            </w:r>
          </w:p>
        </w:tc>
        <w:tc>
          <w:tcPr>
            <w:tcW w:w="992" w:type="dxa"/>
            <w:tcBorders>
              <w:top w:val="nil"/>
              <w:left w:val="nil"/>
              <w:bottom w:val="single" w:sz="8" w:space="0" w:color="0077BD"/>
              <w:right w:val="single" w:sz="8" w:space="0" w:color="0077BD"/>
            </w:tcBorders>
            <w:shd w:val="clear" w:color="auto" w:fill="auto"/>
            <w:vAlign w:val="center"/>
            <w:hideMark/>
          </w:tcPr>
          <w:p w14:paraId="645B2F4B"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25 736</w:t>
            </w:r>
          </w:p>
        </w:tc>
        <w:tc>
          <w:tcPr>
            <w:tcW w:w="992" w:type="dxa"/>
            <w:tcBorders>
              <w:top w:val="nil"/>
              <w:left w:val="nil"/>
              <w:bottom w:val="single" w:sz="8" w:space="0" w:color="0077BD"/>
              <w:right w:val="single" w:sz="8" w:space="0" w:color="0077BD"/>
            </w:tcBorders>
            <w:shd w:val="clear" w:color="auto" w:fill="auto"/>
            <w:vAlign w:val="center"/>
            <w:hideMark/>
          </w:tcPr>
          <w:p w14:paraId="19322E5C" w14:textId="77777777" w:rsidR="008318EE" w:rsidRPr="009E1E81" w:rsidRDefault="008318EE" w:rsidP="009E1F91">
            <w:pPr>
              <w:jc w:val="right"/>
              <w:rPr>
                <w:rFonts w:cs="Calibri"/>
                <w:color w:val="000000" w:themeColor="text1"/>
                <w:sz w:val="11"/>
                <w:szCs w:val="11"/>
              </w:rPr>
            </w:pPr>
            <w:r w:rsidRPr="009E1E81">
              <w:rPr>
                <w:rFonts w:cs="Calibri"/>
                <w:color w:val="000000" w:themeColor="text1"/>
                <w:sz w:val="11"/>
                <w:szCs w:val="11"/>
              </w:rPr>
              <w:t>3 295 408</w:t>
            </w:r>
          </w:p>
        </w:tc>
        <w:tc>
          <w:tcPr>
            <w:tcW w:w="993" w:type="dxa"/>
            <w:tcBorders>
              <w:top w:val="nil"/>
              <w:left w:val="nil"/>
              <w:bottom w:val="single" w:sz="8" w:space="0" w:color="0077BD"/>
              <w:right w:val="nil"/>
            </w:tcBorders>
            <w:shd w:val="clear" w:color="auto" w:fill="auto"/>
            <w:vAlign w:val="center"/>
            <w:hideMark/>
          </w:tcPr>
          <w:p w14:paraId="3529384B" w14:textId="77777777" w:rsidR="008318EE" w:rsidRPr="009E1E81" w:rsidRDefault="008318EE" w:rsidP="009E1F91">
            <w:pPr>
              <w:jc w:val="right"/>
              <w:rPr>
                <w:rFonts w:cs="Calibri"/>
                <w:b/>
                <w:bCs/>
                <w:color w:val="000000" w:themeColor="text1"/>
                <w:sz w:val="11"/>
                <w:szCs w:val="11"/>
              </w:rPr>
            </w:pPr>
            <w:r w:rsidRPr="009E1E81">
              <w:rPr>
                <w:rFonts w:cs="Calibri"/>
                <w:b/>
                <w:bCs/>
                <w:color w:val="000000" w:themeColor="text1"/>
                <w:sz w:val="11"/>
                <w:szCs w:val="11"/>
              </w:rPr>
              <w:t>4 311 516</w:t>
            </w:r>
          </w:p>
        </w:tc>
      </w:tr>
      <w:tr w:rsidR="002B2EA0" w:rsidRPr="002B2EA0" w14:paraId="6EDA859D" w14:textId="77777777" w:rsidTr="002B2EA0">
        <w:trPr>
          <w:trHeight w:val="227"/>
        </w:trPr>
        <w:tc>
          <w:tcPr>
            <w:tcW w:w="2693" w:type="dxa"/>
            <w:tcBorders>
              <w:top w:val="nil"/>
              <w:left w:val="nil"/>
              <w:bottom w:val="single" w:sz="8" w:space="0" w:color="0077BD"/>
              <w:right w:val="single" w:sz="8" w:space="0" w:color="0077BD"/>
            </w:tcBorders>
            <w:shd w:val="clear" w:color="auto" w:fill="auto"/>
            <w:vAlign w:val="center"/>
            <w:hideMark/>
          </w:tcPr>
          <w:p w14:paraId="79291996" w14:textId="3CDD8D22" w:rsidR="002B2EA0" w:rsidRPr="002B2EA0" w:rsidRDefault="002B2EA0" w:rsidP="002B2EA0">
            <w:pPr>
              <w:rPr>
                <w:rFonts w:cs="Calibri"/>
                <w:b/>
                <w:bCs/>
                <w:color w:val="000000" w:themeColor="text1"/>
                <w:sz w:val="11"/>
                <w:szCs w:val="11"/>
              </w:rPr>
            </w:pPr>
            <w:r w:rsidRPr="002B2EA0">
              <w:rPr>
                <w:rFonts w:cs="Calibri"/>
                <w:b/>
                <w:bCs/>
                <w:color w:val="000000" w:themeColor="text1"/>
                <w:sz w:val="11"/>
                <w:szCs w:val="11"/>
              </w:rPr>
              <w:t>Zobowiązania razem</w:t>
            </w:r>
          </w:p>
        </w:tc>
        <w:tc>
          <w:tcPr>
            <w:tcW w:w="992"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38C778B1" w14:textId="06E1A029" w:rsidR="002B2EA0" w:rsidRPr="009E1E81" w:rsidRDefault="002B2EA0" w:rsidP="003A2A06">
            <w:pPr>
              <w:jc w:val="right"/>
              <w:rPr>
                <w:rFonts w:cs="Calibri"/>
                <w:b/>
                <w:bCs/>
                <w:color w:val="000000" w:themeColor="text1"/>
                <w:sz w:val="11"/>
                <w:szCs w:val="11"/>
              </w:rPr>
            </w:pPr>
            <w:r w:rsidRPr="009E1E81">
              <w:rPr>
                <w:rFonts w:cs="Calibri"/>
                <w:b/>
                <w:bCs/>
                <w:color w:val="000000" w:themeColor="text1"/>
                <w:sz w:val="11"/>
                <w:szCs w:val="11"/>
              </w:rPr>
              <w:t xml:space="preserve">90 104 </w:t>
            </w:r>
            <w:r w:rsidR="003A2A06">
              <w:rPr>
                <w:rFonts w:cs="Calibri"/>
                <w:b/>
                <w:bCs/>
                <w:color w:val="000000" w:themeColor="text1"/>
                <w:sz w:val="11"/>
                <w:szCs w:val="11"/>
              </w:rPr>
              <w:t>646</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576DF90A" w14:textId="23091378"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14 788 746</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30F7CD33" w14:textId="69E50DB4"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9 651 606</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2D87EBD4" w14:textId="56776C46"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9 927 747</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526EF6BC" w14:textId="0E1237B0"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1 921 691</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05FC7885" w14:textId="4D1449A9" w:rsidR="002B2EA0" w:rsidRPr="009E1E81" w:rsidRDefault="002B2EA0" w:rsidP="002B2EA0">
            <w:pPr>
              <w:jc w:val="right"/>
              <w:rPr>
                <w:rFonts w:cs="Calibri"/>
                <w:b/>
                <w:bCs/>
                <w:color w:val="000000" w:themeColor="text1"/>
                <w:sz w:val="11"/>
                <w:szCs w:val="11"/>
              </w:rPr>
            </w:pPr>
            <w:r w:rsidRPr="009E1E81">
              <w:rPr>
                <w:rFonts w:cs="Calibri"/>
                <w:b/>
                <w:bCs/>
                <w:color w:val="000000" w:themeColor="text1"/>
                <w:sz w:val="11"/>
                <w:szCs w:val="11"/>
              </w:rPr>
              <w:t>3 558 714</w:t>
            </w:r>
          </w:p>
        </w:tc>
        <w:tc>
          <w:tcPr>
            <w:tcW w:w="993" w:type="dxa"/>
            <w:tcBorders>
              <w:top w:val="single" w:sz="8" w:space="0" w:color="0077BD"/>
              <w:left w:val="nil"/>
              <w:bottom w:val="single" w:sz="8" w:space="0" w:color="0077BD"/>
              <w:right w:val="nil"/>
            </w:tcBorders>
            <w:shd w:val="clear" w:color="auto" w:fill="auto"/>
            <w:vAlign w:val="center"/>
            <w:hideMark/>
          </w:tcPr>
          <w:p w14:paraId="41A84136" w14:textId="50CCA053" w:rsidR="002B2EA0" w:rsidRPr="009E1E81" w:rsidRDefault="002B2EA0" w:rsidP="003A2A06">
            <w:pPr>
              <w:jc w:val="right"/>
              <w:rPr>
                <w:rFonts w:cs="Calibri"/>
                <w:b/>
                <w:bCs/>
                <w:color w:val="000000" w:themeColor="text1"/>
                <w:sz w:val="11"/>
                <w:szCs w:val="11"/>
              </w:rPr>
            </w:pPr>
            <w:r w:rsidRPr="009E1E81">
              <w:rPr>
                <w:rFonts w:cs="Calibri"/>
                <w:b/>
                <w:bCs/>
                <w:color w:val="000000" w:themeColor="text1"/>
                <w:sz w:val="11"/>
                <w:szCs w:val="11"/>
              </w:rPr>
              <w:t xml:space="preserve">129 953 </w:t>
            </w:r>
            <w:r w:rsidR="003A2A06">
              <w:rPr>
                <w:rFonts w:cs="Calibri"/>
                <w:b/>
                <w:bCs/>
                <w:color w:val="000000" w:themeColor="text1"/>
                <w:sz w:val="11"/>
                <w:szCs w:val="11"/>
              </w:rPr>
              <w:t>150</w:t>
            </w:r>
          </w:p>
        </w:tc>
      </w:tr>
      <w:tr w:rsidR="008318EE" w:rsidRPr="00124892" w14:paraId="5F227DD2" w14:textId="77777777" w:rsidTr="002B2EA0">
        <w:trPr>
          <w:trHeight w:val="20"/>
        </w:trPr>
        <w:tc>
          <w:tcPr>
            <w:tcW w:w="2693" w:type="dxa"/>
            <w:tcBorders>
              <w:top w:val="nil"/>
              <w:left w:val="nil"/>
              <w:bottom w:val="nil"/>
              <w:right w:val="nil"/>
            </w:tcBorders>
            <w:shd w:val="clear" w:color="auto" w:fill="auto"/>
            <w:vAlign w:val="center"/>
            <w:hideMark/>
          </w:tcPr>
          <w:p w14:paraId="5044BF6F" w14:textId="77777777" w:rsidR="008318EE" w:rsidRPr="00124892" w:rsidRDefault="008318EE" w:rsidP="009E1F91">
            <w:pPr>
              <w:jc w:val="right"/>
              <w:rPr>
                <w:rFonts w:cs="Calibri"/>
                <w:b/>
                <w:bCs/>
                <w:color w:val="000000" w:themeColor="text1"/>
                <w:sz w:val="10"/>
                <w:szCs w:val="10"/>
              </w:rPr>
            </w:pPr>
          </w:p>
        </w:tc>
        <w:tc>
          <w:tcPr>
            <w:tcW w:w="992" w:type="dxa"/>
            <w:tcBorders>
              <w:top w:val="nil"/>
              <w:left w:val="nil"/>
              <w:bottom w:val="nil"/>
              <w:right w:val="nil"/>
            </w:tcBorders>
            <w:shd w:val="clear" w:color="auto" w:fill="auto"/>
            <w:vAlign w:val="center"/>
            <w:hideMark/>
          </w:tcPr>
          <w:p w14:paraId="7870F8A3" w14:textId="77777777" w:rsidR="008318EE" w:rsidRPr="00124892" w:rsidRDefault="008318EE" w:rsidP="009E1F91">
            <w:pPr>
              <w:rPr>
                <w:color w:val="000000" w:themeColor="text1"/>
                <w:sz w:val="10"/>
                <w:szCs w:val="10"/>
              </w:rPr>
            </w:pPr>
          </w:p>
        </w:tc>
        <w:tc>
          <w:tcPr>
            <w:tcW w:w="992" w:type="dxa"/>
            <w:tcBorders>
              <w:top w:val="nil"/>
              <w:left w:val="nil"/>
              <w:bottom w:val="nil"/>
              <w:right w:val="nil"/>
            </w:tcBorders>
            <w:shd w:val="clear" w:color="auto" w:fill="auto"/>
            <w:vAlign w:val="center"/>
            <w:hideMark/>
          </w:tcPr>
          <w:p w14:paraId="20FF73F6" w14:textId="77777777" w:rsidR="008318EE" w:rsidRPr="00124892" w:rsidRDefault="008318EE" w:rsidP="009E1F91">
            <w:pPr>
              <w:jc w:val="right"/>
              <w:rPr>
                <w:color w:val="000000" w:themeColor="text1"/>
                <w:sz w:val="10"/>
                <w:szCs w:val="10"/>
              </w:rPr>
            </w:pPr>
          </w:p>
        </w:tc>
        <w:tc>
          <w:tcPr>
            <w:tcW w:w="992" w:type="dxa"/>
            <w:tcBorders>
              <w:top w:val="nil"/>
              <w:left w:val="nil"/>
              <w:bottom w:val="nil"/>
              <w:right w:val="nil"/>
            </w:tcBorders>
            <w:shd w:val="clear" w:color="auto" w:fill="auto"/>
            <w:vAlign w:val="center"/>
            <w:hideMark/>
          </w:tcPr>
          <w:p w14:paraId="031069D4" w14:textId="77777777" w:rsidR="008318EE" w:rsidRPr="00124892" w:rsidRDefault="008318EE" w:rsidP="009E1F91">
            <w:pPr>
              <w:jc w:val="right"/>
              <w:rPr>
                <w:color w:val="000000" w:themeColor="text1"/>
                <w:sz w:val="10"/>
                <w:szCs w:val="10"/>
              </w:rPr>
            </w:pPr>
          </w:p>
        </w:tc>
        <w:tc>
          <w:tcPr>
            <w:tcW w:w="993" w:type="dxa"/>
            <w:tcBorders>
              <w:top w:val="nil"/>
              <w:left w:val="nil"/>
              <w:bottom w:val="nil"/>
              <w:right w:val="nil"/>
            </w:tcBorders>
            <w:shd w:val="clear" w:color="auto" w:fill="auto"/>
            <w:vAlign w:val="center"/>
            <w:hideMark/>
          </w:tcPr>
          <w:p w14:paraId="27B8AC1B" w14:textId="77777777" w:rsidR="008318EE" w:rsidRPr="00124892" w:rsidRDefault="008318EE" w:rsidP="009E1F91">
            <w:pPr>
              <w:jc w:val="right"/>
              <w:rPr>
                <w:color w:val="000000" w:themeColor="text1"/>
                <w:sz w:val="10"/>
                <w:szCs w:val="10"/>
              </w:rPr>
            </w:pPr>
          </w:p>
        </w:tc>
        <w:tc>
          <w:tcPr>
            <w:tcW w:w="992" w:type="dxa"/>
            <w:tcBorders>
              <w:top w:val="nil"/>
              <w:left w:val="nil"/>
              <w:bottom w:val="nil"/>
              <w:right w:val="nil"/>
            </w:tcBorders>
            <w:shd w:val="clear" w:color="auto" w:fill="auto"/>
            <w:vAlign w:val="center"/>
            <w:hideMark/>
          </w:tcPr>
          <w:p w14:paraId="72AF433A" w14:textId="77777777" w:rsidR="008318EE" w:rsidRPr="00124892" w:rsidRDefault="008318EE" w:rsidP="009E1F91">
            <w:pPr>
              <w:jc w:val="right"/>
              <w:rPr>
                <w:color w:val="000000" w:themeColor="text1"/>
                <w:sz w:val="10"/>
                <w:szCs w:val="10"/>
              </w:rPr>
            </w:pPr>
          </w:p>
        </w:tc>
        <w:tc>
          <w:tcPr>
            <w:tcW w:w="992" w:type="dxa"/>
            <w:tcBorders>
              <w:top w:val="nil"/>
              <w:left w:val="nil"/>
              <w:bottom w:val="nil"/>
              <w:right w:val="nil"/>
            </w:tcBorders>
            <w:shd w:val="clear" w:color="auto" w:fill="auto"/>
            <w:vAlign w:val="center"/>
            <w:hideMark/>
          </w:tcPr>
          <w:p w14:paraId="48B2FA7C" w14:textId="77777777" w:rsidR="008318EE" w:rsidRPr="00124892" w:rsidRDefault="008318EE" w:rsidP="009E1F91">
            <w:pPr>
              <w:jc w:val="right"/>
              <w:rPr>
                <w:color w:val="000000" w:themeColor="text1"/>
                <w:sz w:val="10"/>
                <w:szCs w:val="10"/>
              </w:rPr>
            </w:pPr>
          </w:p>
        </w:tc>
        <w:tc>
          <w:tcPr>
            <w:tcW w:w="993" w:type="dxa"/>
            <w:tcBorders>
              <w:top w:val="nil"/>
              <w:left w:val="nil"/>
              <w:bottom w:val="nil"/>
              <w:right w:val="nil"/>
            </w:tcBorders>
            <w:shd w:val="clear" w:color="auto" w:fill="auto"/>
            <w:vAlign w:val="center"/>
            <w:hideMark/>
          </w:tcPr>
          <w:p w14:paraId="15404EFA" w14:textId="77777777" w:rsidR="008318EE" w:rsidRPr="00124892" w:rsidRDefault="008318EE" w:rsidP="009E1F91">
            <w:pPr>
              <w:jc w:val="right"/>
              <w:rPr>
                <w:color w:val="000000" w:themeColor="text1"/>
                <w:sz w:val="10"/>
                <w:szCs w:val="10"/>
              </w:rPr>
            </w:pPr>
          </w:p>
        </w:tc>
      </w:tr>
      <w:tr w:rsidR="008318EE" w:rsidRPr="002B2EA0" w14:paraId="5DBF6AE4" w14:textId="77777777" w:rsidTr="00343A7A">
        <w:trPr>
          <w:trHeight w:val="227"/>
        </w:trPr>
        <w:tc>
          <w:tcPr>
            <w:tcW w:w="2693" w:type="dxa"/>
            <w:tcBorders>
              <w:top w:val="single" w:sz="8" w:space="0" w:color="0077BD"/>
              <w:left w:val="nil"/>
              <w:bottom w:val="single" w:sz="8" w:space="0" w:color="0077BD"/>
              <w:right w:val="single" w:sz="8" w:space="0" w:color="0077BD"/>
            </w:tcBorders>
            <w:shd w:val="clear" w:color="auto" w:fill="auto"/>
            <w:vAlign w:val="center"/>
            <w:hideMark/>
          </w:tcPr>
          <w:p w14:paraId="4941D98C" w14:textId="77777777" w:rsidR="008318EE" w:rsidRPr="002B2EA0" w:rsidRDefault="008318EE" w:rsidP="009E1F91">
            <w:pPr>
              <w:rPr>
                <w:rFonts w:cs="Calibri"/>
                <w:b/>
                <w:bCs/>
                <w:color w:val="000000" w:themeColor="text1"/>
                <w:sz w:val="11"/>
                <w:szCs w:val="11"/>
              </w:rPr>
            </w:pPr>
            <w:r w:rsidRPr="002B2EA0">
              <w:rPr>
                <w:rFonts w:cs="Calibri"/>
                <w:b/>
                <w:bCs/>
                <w:color w:val="000000" w:themeColor="text1"/>
                <w:sz w:val="11"/>
                <w:szCs w:val="11"/>
              </w:rPr>
              <w:t>Luka bilansowa</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7E43BE26" w14:textId="4950A5E6" w:rsidR="008318EE" w:rsidRPr="002B2EA0" w:rsidRDefault="008318EE" w:rsidP="003A2A06">
            <w:pPr>
              <w:jc w:val="right"/>
              <w:rPr>
                <w:rFonts w:cs="Calibri"/>
                <w:b/>
                <w:bCs/>
                <w:color w:val="000000" w:themeColor="text1"/>
                <w:sz w:val="11"/>
                <w:szCs w:val="11"/>
              </w:rPr>
            </w:pPr>
            <w:r w:rsidRPr="002B2EA0">
              <w:rPr>
                <w:rFonts w:cs="Calibri"/>
                <w:b/>
                <w:bCs/>
                <w:color w:val="000000" w:themeColor="text1"/>
                <w:sz w:val="11"/>
                <w:szCs w:val="11"/>
              </w:rPr>
              <w:t xml:space="preserve">(15 554 </w:t>
            </w:r>
            <w:r w:rsidR="003A2A06">
              <w:rPr>
                <w:rFonts w:cs="Calibri"/>
                <w:b/>
                <w:bCs/>
                <w:color w:val="000000" w:themeColor="text1"/>
                <w:sz w:val="11"/>
                <w:szCs w:val="11"/>
              </w:rPr>
              <w:t>051</w:t>
            </w:r>
            <w:r w:rsidRPr="002B2EA0">
              <w:rPr>
                <w:rFonts w:cs="Calibri"/>
                <w:b/>
                <w:bCs/>
                <w:color w:val="000000" w:themeColor="text1"/>
                <w:sz w:val="11"/>
                <w:szCs w:val="11"/>
              </w:rPr>
              <w:t>)</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07E2C666" w14:textId="77777777" w:rsidR="008318EE" w:rsidRPr="002B2EA0" w:rsidRDefault="008318EE" w:rsidP="009E1F91">
            <w:pPr>
              <w:jc w:val="right"/>
              <w:rPr>
                <w:rFonts w:cs="Calibri"/>
                <w:b/>
                <w:bCs/>
                <w:color w:val="000000" w:themeColor="text1"/>
                <w:sz w:val="11"/>
                <w:szCs w:val="11"/>
              </w:rPr>
            </w:pPr>
            <w:r w:rsidRPr="002B2EA0">
              <w:rPr>
                <w:rFonts w:cs="Calibri"/>
                <w:b/>
                <w:bCs/>
                <w:color w:val="000000" w:themeColor="text1"/>
                <w:sz w:val="11"/>
                <w:szCs w:val="11"/>
              </w:rPr>
              <w:t>13 055 046</w:t>
            </w:r>
          </w:p>
        </w:tc>
        <w:tc>
          <w:tcPr>
            <w:tcW w:w="992" w:type="dxa"/>
            <w:tcBorders>
              <w:top w:val="single" w:sz="8" w:space="0" w:color="0077BD"/>
              <w:left w:val="nil"/>
              <w:bottom w:val="single" w:sz="8" w:space="0" w:color="0077BD"/>
              <w:right w:val="single" w:sz="8" w:space="0" w:color="0077BD"/>
            </w:tcBorders>
            <w:shd w:val="clear" w:color="auto" w:fill="auto"/>
            <w:vAlign w:val="center"/>
            <w:hideMark/>
          </w:tcPr>
          <w:p w14:paraId="21E1DDA5" w14:textId="77777777" w:rsidR="008318EE" w:rsidRPr="002B2EA0" w:rsidRDefault="008318EE" w:rsidP="009E1F91">
            <w:pPr>
              <w:jc w:val="right"/>
              <w:rPr>
                <w:rFonts w:cs="Calibri"/>
                <w:b/>
                <w:bCs/>
                <w:color w:val="000000" w:themeColor="text1"/>
                <w:sz w:val="11"/>
                <w:szCs w:val="11"/>
              </w:rPr>
            </w:pPr>
            <w:r w:rsidRPr="002B2EA0">
              <w:rPr>
                <w:rFonts w:cs="Calibri"/>
                <w:b/>
                <w:bCs/>
                <w:color w:val="000000" w:themeColor="text1"/>
                <w:sz w:val="11"/>
                <w:szCs w:val="11"/>
              </w:rPr>
              <w:t>4 413 646</w:t>
            </w:r>
          </w:p>
        </w:tc>
        <w:tc>
          <w:tcPr>
            <w:tcW w:w="993" w:type="dxa"/>
            <w:tcBorders>
              <w:top w:val="single" w:sz="8" w:space="0" w:color="0077BD"/>
              <w:left w:val="nil"/>
              <w:bottom w:val="single" w:sz="8" w:space="0" w:color="0077BD"/>
              <w:right w:val="single" w:sz="8" w:space="0" w:color="0077BD"/>
            </w:tcBorders>
            <w:shd w:val="clear" w:color="auto" w:fill="auto"/>
            <w:vAlign w:val="center"/>
            <w:hideMark/>
          </w:tcPr>
          <w:p w14:paraId="7100CB52" w14:textId="77777777" w:rsidR="008318EE" w:rsidRPr="002B2EA0" w:rsidRDefault="008318EE" w:rsidP="009E1F91">
            <w:pPr>
              <w:jc w:val="right"/>
              <w:rPr>
                <w:rFonts w:cs="Calibri"/>
                <w:b/>
                <w:bCs/>
                <w:color w:val="000000" w:themeColor="text1"/>
                <w:sz w:val="11"/>
                <w:szCs w:val="11"/>
              </w:rPr>
            </w:pPr>
            <w:r w:rsidRPr="002B2EA0">
              <w:rPr>
                <w:rFonts w:cs="Calibri"/>
                <w:b/>
                <w:bCs/>
                <w:color w:val="000000" w:themeColor="text1"/>
                <w:sz w:val="11"/>
                <w:szCs w:val="11"/>
              </w:rPr>
              <w:t>7 972 790</w:t>
            </w:r>
          </w:p>
        </w:tc>
        <w:tc>
          <w:tcPr>
            <w:tcW w:w="992" w:type="dxa"/>
            <w:tcBorders>
              <w:top w:val="single" w:sz="8" w:space="0" w:color="0077BD"/>
              <w:left w:val="nil"/>
              <w:bottom w:val="single" w:sz="8" w:space="0" w:color="0077BD"/>
              <w:right w:val="nil"/>
            </w:tcBorders>
            <w:shd w:val="clear" w:color="auto" w:fill="auto"/>
            <w:vAlign w:val="center"/>
            <w:hideMark/>
          </w:tcPr>
          <w:p w14:paraId="4684F476" w14:textId="77777777" w:rsidR="008318EE" w:rsidRPr="002B2EA0" w:rsidRDefault="008318EE" w:rsidP="009E1F91">
            <w:pPr>
              <w:jc w:val="right"/>
              <w:rPr>
                <w:rFonts w:cs="Calibri"/>
                <w:b/>
                <w:bCs/>
                <w:color w:val="000000" w:themeColor="text1"/>
                <w:sz w:val="11"/>
                <w:szCs w:val="11"/>
              </w:rPr>
            </w:pPr>
            <w:r w:rsidRPr="002B2EA0">
              <w:rPr>
                <w:rFonts w:cs="Calibri"/>
                <w:b/>
                <w:bCs/>
                <w:color w:val="000000" w:themeColor="text1"/>
                <w:sz w:val="11"/>
                <w:szCs w:val="11"/>
              </w:rPr>
              <w:t>(555 060)</w:t>
            </w:r>
          </w:p>
        </w:tc>
        <w:tc>
          <w:tcPr>
            <w:tcW w:w="992" w:type="dxa"/>
            <w:tcBorders>
              <w:top w:val="nil"/>
              <w:left w:val="nil"/>
              <w:bottom w:val="nil"/>
              <w:right w:val="nil"/>
            </w:tcBorders>
            <w:shd w:val="clear" w:color="auto" w:fill="auto"/>
            <w:vAlign w:val="center"/>
            <w:hideMark/>
          </w:tcPr>
          <w:p w14:paraId="75A32D74" w14:textId="77777777" w:rsidR="008318EE" w:rsidRPr="002B2EA0" w:rsidRDefault="008318EE" w:rsidP="009E1F91">
            <w:pPr>
              <w:jc w:val="right"/>
              <w:rPr>
                <w:rFonts w:cs="Calibri"/>
                <w:b/>
                <w:bCs/>
                <w:color w:val="000000" w:themeColor="text1"/>
                <w:sz w:val="11"/>
                <w:szCs w:val="11"/>
              </w:rPr>
            </w:pPr>
          </w:p>
        </w:tc>
        <w:tc>
          <w:tcPr>
            <w:tcW w:w="993" w:type="dxa"/>
            <w:tcBorders>
              <w:top w:val="nil"/>
              <w:left w:val="nil"/>
              <w:bottom w:val="nil"/>
              <w:right w:val="nil"/>
            </w:tcBorders>
            <w:shd w:val="clear" w:color="auto" w:fill="auto"/>
            <w:vAlign w:val="center"/>
            <w:hideMark/>
          </w:tcPr>
          <w:p w14:paraId="1013AC23" w14:textId="77777777" w:rsidR="008318EE" w:rsidRPr="002B2EA0" w:rsidRDefault="008318EE" w:rsidP="009E1F91">
            <w:pPr>
              <w:rPr>
                <w:color w:val="000000" w:themeColor="text1"/>
                <w:sz w:val="11"/>
                <w:szCs w:val="11"/>
              </w:rPr>
            </w:pPr>
          </w:p>
        </w:tc>
      </w:tr>
    </w:tbl>
    <w:p w14:paraId="6303B590" w14:textId="77777777" w:rsidR="00CD55C4" w:rsidRDefault="00CD55C4" w:rsidP="00CD55C4">
      <w:pPr>
        <w:rPr>
          <w:lang w:eastAsia="en-US"/>
        </w:rPr>
      </w:pPr>
      <w:bookmarkStart w:id="108" w:name="_Toc32999827"/>
    </w:p>
    <w:p w14:paraId="1DBF7FCD" w14:textId="77777777" w:rsidR="00CD55C4" w:rsidRDefault="00CD55C4">
      <w:pPr>
        <w:rPr>
          <w:lang w:eastAsia="en-US"/>
        </w:rPr>
      </w:pPr>
      <w:r>
        <w:rPr>
          <w:lang w:eastAsia="en-US"/>
        </w:rPr>
        <w:br w:type="page"/>
      </w:r>
    </w:p>
    <w:p w14:paraId="63C25F06" w14:textId="20595285" w:rsidR="006D027F" w:rsidRPr="00627B93" w:rsidRDefault="006D027F"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09" w:hanging="709"/>
        <w:jc w:val="both"/>
        <w:outlineLvl w:val="2"/>
        <w:rPr>
          <w:b/>
          <w:color w:val="E41E0A"/>
          <w:sz w:val="18"/>
          <w:szCs w:val="18"/>
          <w:lang w:eastAsia="en-US"/>
        </w:rPr>
      </w:pPr>
      <w:r w:rsidRPr="00627B93">
        <w:rPr>
          <w:b/>
          <w:color w:val="E41E0A"/>
          <w:sz w:val="18"/>
          <w:szCs w:val="18"/>
          <w:lang w:eastAsia="en-US"/>
        </w:rPr>
        <w:lastRenderedPageBreak/>
        <w:t>Ryzyko płynności</w:t>
      </w:r>
      <w:bookmarkEnd w:id="108"/>
    </w:p>
    <w:p w14:paraId="32C44BDD" w14:textId="77777777" w:rsidR="00AD7DA6" w:rsidRPr="0068723D" w:rsidRDefault="00AD7DA6" w:rsidP="00DF5549">
      <w:pPr>
        <w:autoSpaceDE w:val="0"/>
        <w:autoSpaceDN w:val="0"/>
        <w:adjustRightInd w:val="0"/>
        <w:spacing w:before="120" w:after="120"/>
        <w:jc w:val="both"/>
        <w:rPr>
          <w:rFonts w:eastAsia="Calibri" w:cs="Verdana"/>
          <w:b/>
          <w:bCs/>
          <w:color w:val="000000" w:themeColor="text1"/>
          <w:sz w:val="18"/>
          <w:szCs w:val="18"/>
          <w:lang w:eastAsia="en-US"/>
        </w:rPr>
      </w:pPr>
      <w:r w:rsidRPr="0068723D">
        <w:rPr>
          <w:rFonts w:eastAsia="Calibri" w:cs="Verdana"/>
          <w:b/>
          <w:bCs/>
          <w:color w:val="000000" w:themeColor="text1"/>
          <w:sz w:val="18"/>
          <w:szCs w:val="18"/>
          <w:lang w:eastAsia="en-US"/>
        </w:rPr>
        <w:t>Źródła ryzyka płynności</w:t>
      </w:r>
    </w:p>
    <w:p w14:paraId="3CA2712C" w14:textId="040EDCEC"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 xml:space="preserve">Ryzyko płynności jest rozumiane jako ryzyko utraty zdolności finansowania aktywów i terminowego wykonywania zobowiązań płatniczych, wynikających z posiadanych przez Bank pozycji bilansowych i pozabilansowych na dogodnych dla Banku warunkach i po cenie rynkowej zobowiązań. </w:t>
      </w:r>
    </w:p>
    <w:p w14:paraId="3EDC8A70"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Przyczyny problemów z płynnością mogą pojawić się po dwóch stronach bilansu oraz zobowiązań pozabilansowych.</w:t>
      </w:r>
    </w:p>
    <w:p w14:paraId="2DB7C248"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 xml:space="preserve">Po stronie aktywnej ich głównym źródłem jest ryzyko płynności rynku oraz ryzyko nieterminowej spłaty kredytów. Ryzyko płynności rynku jest to rodzaj zagrożenia, którego objawem jest całkowity bądź częściowy brak możliwości upłynnienia posiadanych aktywów lub możliwość zbycia tych aktywów jedynie po niekorzystnej cenie. </w:t>
      </w:r>
    </w:p>
    <w:p w14:paraId="7DA50497"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 xml:space="preserve">Po stronie pasywnej najczęstszym źródłem ryzyka płynności jest ryzyko finansowania i ryzyko wycofania środków przez klientów. Pierwsze z nich jest rodzajem zagrożenia, w którym w przypadku kryzysu pozyskanie środków finansujących może odbyć się jedynie po znacznie wyższej cenie, a w sytuacji skrajnej pozyskanie lub odnowienie zapadającego finansowania wcale nie jest możliwe. Drugi rodzaj zagrożenia jest związany z niepewnością w zakresie zachowania klientów, których decyzje (np. dotyczące wycofania zdeponowanych środków) mogą zachwiać zdolnością Banku do bieżącej obsługi zobowiązań. </w:t>
      </w:r>
    </w:p>
    <w:p w14:paraId="3EAE1D27" w14:textId="1198FBB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Źródłem ryzyka dla zobowiązań pozabilansowych są, związane z zachowaniem klientów, niespodziewane ciągnienia przyznanych linii. Odnosi się to również do wykorzystywania przyznanych linii intraday i overdraft dla klientów powierniczych i korporacyjnych. Materializacja tego rodzaju ryzyka może być szczególnie dotkliwa w sytuacji występowania wysokich koncentracji zobowiązań. W odniesieniu do</w:t>
      </w:r>
      <w:r w:rsidR="00545AFB">
        <w:rPr>
          <w:rFonts w:eastAsia="Calibri"/>
          <w:color w:val="000000" w:themeColor="text1"/>
          <w:sz w:val="18"/>
          <w:szCs w:val="18"/>
          <w:lang w:eastAsia="en-US"/>
        </w:rPr>
        <w:t> </w:t>
      </w:r>
      <w:r w:rsidRPr="0068723D">
        <w:rPr>
          <w:rFonts w:eastAsia="Calibri"/>
          <w:color w:val="000000" w:themeColor="text1"/>
          <w:sz w:val="18"/>
          <w:szCs w:val="18"/>
          <w:lang w:eastAsia="en-US"/>
        </w:rPr>
        <w:t>instrumentów pochodnych zawartych w ramach umów ramowych lub rozliczanych przez centralnego kontrahenta, ryzyko płynności może materializować się na skutek niekorzystnych, skrajnych zmian w warunkach rynkowych powodujących zmianę wyceny instrumentów pochodnych i związanej z tym konieczności uzupełnienia zabezpieczenia.</w:t>
      </w:r>
    </w:p>
    <w:p w14:paraId="38A1243B"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 xml:space="preserve">Bieżąca działalność Banku wymaga rozliczania operacji płatniczych. Tego typu działalność generuje wysokie zapotrzebowanie na płynność w ciągu dnia. </w:t>
      </w:r>
    </w:p>
    <w:p w14:paraId="18F7B4B7"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 xml:space="preserve">Biorąc pod uwagę Grupę mBanku ryzyko płynności identyfikowane jest również jako możliwość nieoczekiwanego wzrostu istotnych potrzeb płynnościowych spółek zależnych mBanku. W Grupie wprowadzono scentralizowane podejście do zarządzania finansowaniem w celu zwiększenia efektywności wykorzystywanych zasobów płynnościowych oraz bardziej efektywnego dopasowania struktury terminowej zapadalności finansowania i aktywów. </w:t>
      </w:r>
    </w:p>
    <w:p w14:paraId="71DC9CAE" w14:textId="77777777" w:rsidR="001A7D8E" w:rsidRPr="0068723D" w:rsidRDefault="001A7D8E" w:rsidP="001A7D8E">
      <w:pPr>
        <w:autoSpaceDE w:val="0"/>
        <w:autoSpaceDN w:val="0"/>
        <w:adjustRightInd w:val="0"/>
        <w:spacing w:after="120"/>
        <w:jc w:val="both"/>
        <w:rPr>
          <w:rFonts w:eastAsia="Calibri"/>
          <w:color w:val="000000" w:themeColor="text1"/>
          <w:sz w:val="18"/>
          <w:szCs w:val="18"/>
          <w:lang w:eastAsia="en-US"/>
        </w:rPr>
      </w:pPr>
      <w:r w:rsidRPr="0068723D">
        <w:rPr>
          <w:rFonts w:eastAsia="Calibri"/>
          <w:color w:val="000000" w:themeColor="text1"/>
          <w:sz w:val="18"/>
          <w:szCs w:val="18"/>
          <w:lang w:eastAsia="en-US"/>
        </w:rPr>
        <w:t>Ryzyko płynności może ujawnić się także w wyniku stosowania nieadekwatnych modeli na potrzeby analiz płynności (np. modelu osadu bazy depozytowej) i może w konsekwencji polegać na niedoszacowaniu ryzyka płynności. Jest ono monitorowane poprzez weryfikację i back-testy zgodnie z Polityką Zarządzania Modelami.</w:t>
      </w:r>
    </w:p>
    <w:p w14:paraId="3773B500" w14:textId="77777777" w:rsidR="001A7D8E" w:rsidRPr="0068723D" w:rsidRDefault="001A7D8E" w:rsidP="001A7D8E">
      <w:pPr>
        <w:autoSpaceDE w:val="0"/>
        <w:autoSpaceDN w:val="0"/>
        <w:adjustRightInd w:val="0"/>
        <w:spacing w:after="120"/>
        <w:jc w:val="both"/>
        <w:rPr>
          <w:rFonts w:eastAsia="Calibri" w:cs="Verdana"/>
          <w:b/>
          <w:bCs/>
          <w:color w:val="000000" w:themeColor="text1"/>
          <w:sz w:val="18"/>
          <w:szCs w:val="18"/>
          <w:lang w:eastAsia="en-US"/>
        </w:rPr>
      </w:pPr>
      <w:r w:rsidRPr="0068723D">
        <w:rPr>
          <w:rFonts w:eastAsia="Calibri" w:cs="Verdana"/>
          <w:b/>
          <w:bCs/>
          <w:color w:val="000000" w:themeColor="text1"/>
          <w:sz w:val="18"/>
          <w:szCs w:val="18"/>
          <w:lang w:eastAsia="en-US"/>
        </w:rPr>
        <w:t xml:space="preserve">Organizacja zarządzania ryzykiem </w:t>
      </w:r>
    </w:p>
    <w:p w14:paraId="6CF38927" w14:textId="77777777" w:rsidR="001A7D8E" w:rsidRPr="0068723D" w:rsidRDefault="001A7D8E" w:rsidP="001A7D8E">
      <w:pPr>
        <w:autoSpaceDE w:val="0"/>
        <w:autoSpaceDN w:val="0"/>
        <w:adjustRightInd w:val="0"/>
        <w:spacing w:after="120"/>
        <w:jc w:val="both"/>
        <w:rPr>
          <w:rFonts w:eastAsia="Calibri" w:cs="Verdana"/>
          <w:bCs/>
          <w:color w:val="000000" w:themeColor="text1"/>
          <w:sz w:val="18"/>
          <w:szCs w:val="18"/>
        </w:rPr>
      </w:pPr>
      <w:r w:rsidRPr="0068723D">
        <w:rPr>
          <w:rFonts w:eastAsia="Calibri" w:cs="Verdana"/>
          <w:color w:val="000000" w:themeColor="text1"/>
          <w:sz w:val="18"/>
          <w:szCs w:val="18"/>
        </w:rPr>
        <w:t xml:space="preserve">W celu zapewnienia efektywnego procesu zarządzania ryzykiem płynności Zarząd Banku określa adekwatną strukturę organizacyjną oraz deleguje kompetencje na dedykowane jednostki i Komitety. Zarządzanie ryzykiem płynności odbywa się w oparciu o model trzech linii obrony. </w:t>
      </w:r>
    </w:p>
    <w:p w14:paraId="1DD3BFE5" w14:textId="097BC34F" w:rsidR="001A7D8E" w:rsidRPr="0068723D" w:rsidRDefault="001A7D8E" w:rsidP="002545BE">
      <w:pPr>
        <w:autoSpaceDE w:val="0"/>
        <w:autoSpaceDN w:val="0"/>
        <w:adjustRightInd w:val="0"/>
        <w:spacing w:after="120"/>
        <w:jc w:val="both"/>
        <w:rPr>
          <w:color w:val="000000" w:themeColor="text1"/>
          <w:sz w:val="18"/>
          <w:szCs w:val="18"/>
        </w:rPr>
      </w:pPr>
      <w:r w:rsidRPr="0068723D">
        <w:rPr>
          <w:rFonts w:eastAsia="Calibri" w:cs="Verdana"/>
          <w:bCs/>
          <w:color w:val="000000" w:themeColor="text1"/>
          <w:sz w:val="18"/>
          <w:szCs w:val="18"/>
        </w:rPr>
        <w:t xml:space="preserve">Zarządzanie ryzykiem płynności </w:t>
      </w:r>
      <w:r w:rsidRPr="0068723D">
        <w:rPr>
          <w:rFonts w:eastAsia="Calibri" w:cs="Verdana"/>
          <w:color w:val="000000" w:themeColor="text1"/>
          <w:sz w:val="18"/>
          <w:szCs w:val="18"/>
        </w:rPr>
        <w:t>ma na celu zapewnienie i utrzymywanie zdolności Banku i Grupy do wywiązywania się zarówno z bieżących, jak i przyszłych zobowiązań, z uwzględnieniem kosztów pozyskania płynności. Na proces zarządzania płynnością składa się zbiór działań mających na celu identyfikację, pomiar, kontrolę, monitorowanie, redukowanie oraz określenie akceptowanego poziomu ekspozycji na ryzyko. W procesie tym można wydzielić, w sensie operacyjnym, dwa podstawowe elementy – składnik obejmujący wszelkie formy zarządzania oraz składnik kontroli i monitorowania ryzyka płynności.</w:t>
      </w:r>
    </w:p>
    <w:p w14:paraId="5F7585DD" w14:textId="77777777" w:rsidR="001A7D8E" w:rsidRPr="0068723D" w:rsidRDefault="001A7D8E" w:rsidP="001A7D8E">
      <w:pPr>
        <w:suppressAutoHyphens/>
        <w:spacing w:after="120"/>
        <w:jc w:val="both"/>
        <w:rPr>
          <w:rFonts w:cs="Tahoma"/>
          <w:b/>
          <w:color w:val="000000" w:themeColor="text1"/>
          <w:sz w:val="18"/>
          <w:szCs w:val="18"/>
        </w:rPr>
      </w:pPr>
      <w:r w:rsidRPr="0068723D">
        <w:rPr>
          <w:rFonts w:cs="Tahoma"/>
          <w:b/>
          <w:color w:val="000000" w:themeColor="text1"/>
          <w:sz w:val="18"/>
          <w:szCs w:val="18"/>
        </w:rPr>
        <w:t>mBank S.A.</w:t>
      </w:r>
    </w:p>
    <w:p w14:paraId="3A9D48AD" w14:textId="77777777" w:rsidR="001A7D8E" w:rsidRPr="0068723D" w:rsidRDefault="001A7D8E" w:rsidP="001A7D8E">
      <w:pPr>
        <w:autoSpaceDE w:val="0"/>
        <w:autoSpaceDN w:val="0"/>
        <w:adjustRightInd w:val="0"/>
        <w:spacing w:after="120"/>
        <w:jc w:val="both"/>
        <w:rPr>
          <w:rFonts w:eastAsia="Calibri" w:cs="Verdana"/>
          <w:color w:val="000000" w:themeColor="text1"/>
          <w:sz w:val="18"/>
          <w:szCs w:val="18"/>
          <w:lang w:eastAsia="en-US"/>
        </w:rPr>
      </w:pPr>
      <w:r w:rsidRPr="0068723D">
        <w:rPr>
          <w:rFonts w:eastAsia="Calibri" w:cs="Verdana"/>
          <w:color w:val="000000" w:themeColor="text1"/>
          <w:sz w:val="18"/>
          <w:szCs w:val="18"/>
          <w:lang w:eastAsia="en-US"/>
        </w:rPr>
        <w:t xml:space="preserve">Celem zarządzania ryzykiem płynności jest zapewnienie i utrzymywanie zdolności Banku do wywiązywania się zarówno z bieżących, jak i przyszłych zobowiązań. Bank realizuje ten cel poprzez dywersyfikację stabilnych źródeł finansowania w odniesieniu do grup klientów (od których pozyskuje depozyty), produktów i walut, utrzymywanie bufora płynności, przy jednoczesnej optymalizacji bilansu pod kątem rentowności. Długoterminowe działania mBanku w tym zakresie realizowane są przy uwzględnieniu uwarunkowań co do możliwości pozyskania finansowania oraz dochodowości biznesu. </w:t>
      </w:r>
    </w:p>
    <w:p w14:paraId="3EF9E313" w14:textId="6097BFE1" w:rsidR="001A7D8E" w:rsidRPr="0068723D" w:rsidRDefault="001A7D8E" w:rsidP="001A7D8E">
      <w:pPr>
        <w:autoSpaceDE w:val="0"/>
        <w:autoSpaceDN w:val="0"/>
        <w:adjustRightInd w:val="0"/>
        <w:spacing w:after="120"/>
        <w:jc w:val="both"/>
        <w:rPr>
          <w:rFonts w:eastAsia="Calibri" w:cs="Verdana"/>
          <w:color w:val="000000" w:themeColor="text1"/>
          <w:sz w:val="18"/>
          <w:szCs w:val="18"/>
          <w:lang w:eastAsia="en-US"/>
        </w:rPr>
      </w:pPr>
      <w:r w:rsidRPr="0068723D">
        <w:rPr>
          <w:rFonts w:eastAsia="Calibri" w:cs="Verdana"/>
          <w:color w:val="000000" w:themeColor="text1"/>
          <w:sz w:val="18"/>
          <w:szCs w:val="18"/>
          <w:lang w:eastAsia="en-US"/>
        </w:rPr>
        <w:t xml:space="preserve">W </w:t>
      </w:r>
      <w:r w:rsidRPr="0068723D">
        <w:rPr>
          <w:rFonts w:eastAsia="Calibri"/>
          <w:color w:val="000000" w:themeColor="text1"/>
          <w:sz w:val="18"/>
        </w:rPr>
        <w:t>2019</w:t>
      </w:r>
      <w:r w:rsidRPr="0068723D">
        <w:rPr>
          <w:rFonts w:eastAsia="Calibri" w:cs="Verdana"/>
          <w:color w:val="000000" w:themeColor="text1"/>
          <w:sz w:val="18"/>
          <w:szCs w:val="18"/>
          <w:lang w:eastAsia="en-US"/>
        </w:rPr>
        <w:t xml:space="preserve"> roku sytuacja płynnościowa była monitorowana i utrzymywana na adekwatnym do potrzeb poziomie poprzez dostosowywanie poziomu bazy depozytów i uruchamianie dodatkowych źródeł </w:t>
      </w:r>
      <w:r w:rsidRPr="0068723D">
        <w:rPr>
          <w:rFonts w:eastAsia="Calibri" w:cs="Verdana"/>
          <w:color w:val="000000" w:themeColor="text1"/>
          <w:sz w:val="18"/>
          <w:szCs w:val="18"/>
          <w:lang w:eastAsia="en-US"/>
        </w:rPr>
        <w:lastRenderedPageBreak/>
        <w:t>finansowania w postaci pożyczek od banków i emisji obligacji w zależności od rozwoju akcji kredytowej i</w:t>
      </w:r>
      <w:r w:rsidR="005475A3" w:rsidRPr="0068723D">
        <w:rPr>
          <w:rFonts w:eastAsia="Calibri" w:cs="Verdana"/>
          <w:color w:val="000000" w:themeColor="text1"/>
          <w:sz w:val="18"/>
          <w:szCs w:val="18"/>
          <w:lang w:eastAsia="en-US"/>
        </w:rPr>
        <w:t> </w:t>
      </w:r>
      <w:r w:rsidRPr="0068723D">
        <w:rPr>
          <w:rFonts w:eastAsia="Calibri" w:cs="Verdana"/>
          <w:color w:val="000000" w:themeColor="text1"/>
          <w:sz w:val="18"/>
          <w:szCs w:val="18"/>
          <w:lang w:eastAsia="en-US"/>
        </w:rPr>
        <w:t>pozostałych potrzeb płynnościowych.</w:t>
      </w:r>
    </w:p>
    <w:p w14:paraId="13891BA8" w14:textId="77777777" w:rsidR="001A7D8E" w:rsidRPr="0068723D" w:rsidRDefault="001A7D8E" w:rsidP="001A7D8E">
      <w:pPr>
        <w:autoSpaceDE w:val="0"/>
        <w:autoSpaceDN w:val="0"/>
        <w:adjustRightInd w:val="0"/>
        <w:spacing w:after="120"/>
        <w:jc w:val="both"/>
        <w:rPr>
          <w:b/>
          <w:color w:val="000000" w:themeColor="text1"/>
          <w:sz w:val="18"/>
          <w:szCs w:val="18"/>
        </w:rPr>
      </w:pPr>
      <w:r w:rsidRPr="0068723D">
        <w:rPr>
          <w:b/>
          <w:color w:val="000000" w:themeColor="text1"/>
          <w:sz w:val="18"/>
          <w:szCs w:val="18"/>
        </w:rPr>
        <w:t xml:space="preserve">Proces samooceny adekwatności płynności (ILAAP) </w:t>
      </w:r>
    </w:p>
    <w:p w14:paraId="0DF6C803" w14:textId="77777777" w:rsidR="001A7D8E" w:rsidRPr="0068723D" w:rsidRDefault="001A7D8E" w:rsidP="008C6E2A">
      <w:pPr>
        <w:jc w:val="both"/>
        <w:rPr>
          <w:color w:val="000000" w:themeColor="text1"/>
          <w:sz w:val="18"/>
          <w:szCs w:val="18"/>
        </w:rPr>
      </w:pPr>
      <w:r w:rsidRPr="0068723D">
        <w:rPr>
          <w:color w:val="000000" w:themeColor="text1"/>
          <w:sz w:val="18"/>
          <w:szCs w:val="18"/>
        </w:rPr>
        <w:t>W celu dokonywania przeglądu systemu zarządzania ryzykiem płynności w Banku oraz całej Grupie został wypracowany proces ILAAP. W ramach tego procesu przeglądowi podlegają wszystkie elementy systemu zarządzania ryzykiem płynności w tym:</w:t>
      </w:r>
    </w:p>
    <w:p w14:paraId="4F63D59C"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strategia zarządzania ryzykiem płynności, </w:t>
      </w:r>
    </w:p>
    <w:p w14:paraId="44069631"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testy warunków skrajnych, </w:t>
      </w:r>
    </w:p>
    <w:p w14:paraId="4BBCAB72"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plan awaryjny płynności, </w:t>
      </w:r>
    </w:p>
    <w:p w14:paraId="2009FF7F"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bufor płynności, </w:t>
      </w:r>
    </w:p>
    <w:p w14:paraId="3A9B5EC3"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zarządzania ryzykiem płynności śróddziennej, </w:t>
      </w:r>
    </w:p>
    <w:p w14:paraId="758F3E72"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system wczesnego ostrzegania, </w:t>
      </w:r>
    </w:p>
    <w:p w14:paraId="135B92EE"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identyfikacja i pomiar ryzyka płynności, </w:t>
      </w:r>
    </w:p>
    <w:p w14:paraId="3B205D26" w14:textId="77777777" w:rsidR="001A7D8E" w:rsidRPr="00886699" w:rsidRDefault="001A7D8E" w:rsidP="00886699">
      <w:pPr>
        <w:numPr>
          <w:ilvl w:val="0"/>
          <w:numId w:val="17"/>
        </w:numPr>
        <w:tabs>
          <w:tab w:val="clear" w:pos="1267"/>
        </w:tabs>
        <w:suppressAutoHyphens/>
        <w:ind w:left="426" w:right="-57" w:hanging="284"/>
        <w:jc w:val="both"/>
        <w:rPr>
          <w:rFonts w:cs="Tahoma"/>
          <w:bCs/>
          <w:color w:val="000000" w:themeColor="text1"/>
          <w:sz w:val="18"/>
          <w:szCs w:val="18"/>
        </w:rPr>
      </w:pPr>
      <w:r w:rsidRPr="00886699">
        <w:rPr>
          <w:rFonts w:cs="Tahoma"/>
          <w:bCs/>
          <w:color w:val="000000" w:themeColor="text1"/>
          <w:sz w:val="18"/>
          <w:szCs w:val="18"/>
        </w:rPr>
        <w:t xml:space="preserve">system raportowania. </w:t>
      </w:r>
    </w:p>
    <w:p w14:paraId="63A2467B" w14:textId="77777777" w:rsidR="001A7D8E" w:rsidRPr="0068723D" w:rsidRDefault="001A7D8E" w:rsidP="00E06D34">
      <w:pPr>
        <w:spacing w:before="120" w:after="120"/>
        <w:jc w:val="both"/>
        <w:rPr>
          <w:b/>
          <w:color w:val="000000" w:themeColor="text1"/>
          <w:sz w:val="18"/>
          <w:szCs w:val="18"/>
        </w:rPr>
      </w:pPr>
      <w:r w:rsidRPr="0068723D">
        <w:rPr>
          <w:color w:val="000000" w:themeColor="text1"/>
          <w:sz w:val="18"/>
          <w:szCs w:val="18"/>
        </w:rPr>
        <w:t>Przegląd dokonywany jest raz w roku. Wnioski z przeprowadzanego przeglądu służą dalszemu ulepszaniu i rozwojowi systemu zarządzania ryzykiem płynności.</w:t>
      </w:r>
    </w:p>
    <w:p w14:paraId="6376C80E" w14:textId="77777777" w:rsidR="001A7D8E" w:rsidRPr="0068723D" w:rsidRDefault="001A7D8E" w:rsidP="001A7D8E">
      <w:pPr>
        <w:spacing w:after="120"/>
        <w:jc w:val="both"/>
        <w:rPr>
          <w:b/>
          <w:color w:val="000000" w:themeColor="text1"/>
          <w:sz w:val="18"/>
          <w:szCs w:val="18"/>
          <w:lang w:eastAsia="en-US"/>
        </w:rPr>
      </w:pPr>
      <w:r w:rsidRPr="0068723D">
        <w:rPr>
          <w:b/>
          <w:color w:val="000000" w:themeColor="text1"/>
          <w:sz w:val="18"/>
          <w:szCs w:val="18"/>
          <w:lang w:eastAsia="en-US"/>
        </w:rPr>
        <w:t>Narzędzia i miary wykorzystywane w pomiarze ryzyka płynności</w:t>
      </w:r>
    </w:p>
    <w:p w14:paraId="5EE5A616" w14:textId="77777777"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W ramach zarządzania ryzykiem płynności analizie poddawany jest szereg miar ryzyka, z których podstawową jest luka niedopasowania. Obejmuje ona wszystkie aktywa, pasywa oraz pozycje pozabilansowe Banku dla wszystkich walut w horyzontach czasowych ustalonych przez Bank. W </w:t>
      </w:r>
      <w:r w:rsidRPr="0068723D">
        <w:rPr>
          <w:rFonts w:eastAsia="Calibri"/>
          <w:color w:val="000000" w:themeColor="text1"/>
          <w:sz w:val="18"/>
        </w:rPr>
        <w:t>2019</w:t>
      </w:r>
      <w:r w:rsidRPr="0068723D">
        <w:rPr>
          <w:rFonts w:eastAsia="Calibri" w:cs="Verdana"/>
          <w:color w:val="000000" w:themeColor="text1"/>
          <w:sz w:val="18"/>
          <w:szCs w:val="18"/>
        </w:rPr>
        <w:t xml:space="preserve"> roku Bank utrzymywał poziom nadwyżki płynnościowej adekwatny do prowadzonej działalności operacyjnej i aktualnej sytuacji rynkowej w postaci portfela płynnych papierów skarbowych i pieniężnych, dla których istnieje możliwość zastawu bądź sprzedaży w dowolnym momencie bez istotnej utraty ich wartości. </w:t>
      </w:r>
    </w:p>
    <w:p w14:paraId="2B219480" w14:textId="26E8B89D"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Zgodnie z Uchwałą KNF nr 386/2008 w sprawie ustalenia wiążących banki norm płynności oraz </w:t>
      </w:r>
      <w:r w:rsidRPr="0068723D">
        <w:rPr>
          <w:color w:val="000000" w:themeColor="text1"/>
          <w:sz w:val="18"/>
          <w:szCs w:val="18"/>
        </w:rPr>
        <w:t>zgodnie z Rozporządzeniem Delegowanym Komisji (UE) 2015/61 z dnia 10 października 2014 roku</w:t>
      </w:r>
      <w:r w:rsidRPr="0068723D">
        <w:rPr>
          <w:rFonts w:eastAsia="Calibri" w:cs="Verdana"/>
          <w:color w:val="000000" w:themeColor="text1"/>
          <w:sz w:val="18"/>
          <w:szCs w:val="18"/>
        </w:rPr>
        <w:t>, Bank kalkuluje nadzorcze miary płynności. W 2019 roku nadzorcze limity nie były przekraczane. Ponadto, Bank dokonuje pogłębionej analizy płynności długoterminowej oraz ustala wewnętrzne limity (o charakterze poziomów kontrolnych) zaangażowania w aktywa długoterminowe. Na miary nadzorcze nakładane są również limity wewnętrzne oraz wyznaczane odpowiednie bufory. Badana jest również stabilność i struktura źródeł finansowania, w tym poziom osadu i koncentracji dla depozytów terminowych i rachunków bieżących. Dodatkowo, Bank przeprowadza analizy zmienności pozycji bilansowych i pozabilansowych, w</w:t>
      </w:r>
      <w:r w:rsidR="005475A3" w:rsidRPr="0068723D">
        <w:rPr>
          <w:rFonts w:eastAsia="Calibri" w:cs="Verdana"/>
          <w:color w:val="000000" w:themeColor="text1"/>
          <w:sz w:val="18"/>
          <w:szCs w:val="18"/>
        </w:rPr>
        <w:t> </w:t>
      </w:r>
      <w:r w:rsidRPr="0068723D">
        <w:rPr>
          <w:rFonts w:eastAsia="Calibri" w:cs="Verdana"/>
          <w:color w:val="000000" w:themeColor="text1"/>
          <w:sz w:val="18"/>
          <w:szCs w:val="18"/>
        </w:rPr>
        <w:t xml:space="preserve">szczególności otwartych linii kredytowych i wykorzystania limitów w rachunkach. </w:t>
      </w:r>
    </w:p>
    <w:p w14:paraId="424ACBAA" w14:textId="221B2A3A"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Bieżącej analizie podlega płynność w warunkach normalnych i stresowych</w:t>
      </w:r>
      <w:r w:rsidR="00752A9A">
        <w:rPr>
          <w:rFonts w:eastAsia="Calibri" w:cs="Verdana"/>
          <w:color w:val="000000" w:themeColor="text1"/>
          <w:sz w:val="18"/>
          <w:szCs w:val="18"/>
        </w:rPr>
        <w:t>,</w:t>
      </w:r>
      <w:r w:rsidRPr="0068723D">
        <w:rPr>
          <w:rFonts w:eastAsia="Calibri" w:cs="Verdana"/>
          <w:color w:val="000000" w:themeColor="text1"/>
          <w:sz w:val="18"/>
          <w:szCs w:val="18"/>
        </w:rPr>
        <w:t xml:space="preserve"> mogących skutkować potencjalnym zagrożeniem jej utraty. W celu określenia wytrzymałości Banku na niekorzystne, istotne zdarzenia mogące prowadzić do utraty płynności przeprowadzane są analizy scenariuszowe obejmujące skrajne założenia dotyczące funkcjonowania rynków finansowych i/lub zjawisk behawioralnych dotyczących klientów Banku. </w:t>
      </w:r>
    </w:p>
    <w:p w14:paraId="4A741871" w14:textId="77777777" w:rsidR="001A7D8E" w:rsidRPr="0068723D" w:rsidRDefault="001A7D8E" w:rsidP="001A7D8E">
      <w:pPr>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W tym celu regularnie kalkulowane są scenariusze testów warunków skrajnych w horyzoncie krótkoterminowym i długoterminowym, w scenariuszu bank, market i połączonym. </w:t>
      </w:r>
    </w:p>
    <w:p w14:paraId="62DA7F2A" w14:textId="77777777"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Dodatkowo, raz do roku w Banku przeprowadzany jest scenariusz odwrócony dla ryzyka płynności (reverse stress test) oraz z częstotliwością miesięczną scenariusz kryzysowy dla ryzyka płynności śróddziennej. </w:t>
      </w:r>
    </w:p>
    <w:p w14:paraId="734D5F79" w14:textId="77777777"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Testy warunków skrajnych są wykorzystywane w Banku do bieżącego zarządzania ryzykiem płynności. </w:t>
      </w:r>
    </w:p>
    <w:p w14:paraId="7A549067" w14:textId="77777777" w:rsidR="001A7D8E" w:rsidRPr="0068723D" w:rsidRDefault="001A7D8E" w:rsidP="001A7D8E">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Bank posiada ustalone procedury działania na wypadek zagrożenia utraty płynności finansowej. W zależności od dotkliwości występujących czynników oraz stopnia zagrożenia utratą płynności zdefiniowane są odpowiednie działania w Planie Awaryjnym na wypadek zagrożenia utraty płynności przez Grupę mBanku (Plan Awaryjny) lub w Planie Naprawy Grupy mBanku (Plan Naprawy). Scenariusze wykorzystywane w obu planach są spójne z powyższymi testami warunków skrajnych.</w:t>
      </w:r>
    </w:p>
    <w:p w14:paraId="6675A141" w14:textId="3A985F5B" w:rsidR="00F92FD6" w:rsidRPr="0068723D" w:rsidRDefault="001A7D8E" w:rsidP="001A7D8E">
      <w:pPr>
        <w:autoSpaceDE w:val="0"/>
        <w:autoSpaceDN w:val="0"/>
        <w:adjustRightInd w:val="0"/>
        <w:spacing w:after="120"/>
        <w:jc w:val="both"/>
        <w:rPr>
          <w:rFonts w:eastAsia="Calibri"/>
          <w:color w:val="000000" w:themeColor="text1"/>
          <w:sz w:val="18"/>
          <w:szCs w:val="18"/>
        </w:rPr>
      </w:pPr>
      <w:r w:rsidRPr="0068723D">
        <w:rPr>
          <w:rFonts w:eastAsia="Calibri"/>
          <w:color w:val="000000" w:themeColor="text1"/>
          <w:sz w:val="18"/>
          <w:szCs w:val="18"/>
        </w:rPr>
        <w:t>Realizacja strategii zapewnienia płynności polega na aktywnym zarządzaniu strukturą bilansu, przyszłych przepływów pieniężnych oraz utrzymywaniu rezerw płynności adekwatnych do potrzeb płynnościowych, wynikających z aktywności Banku i struktury bilansu, zobowiązań wobec spółek zależnych i aktualnej sytuacji rynkowej oraz zapotrzebowania na środki płynne wynikające z przeprowadzanych testów warunków skrajnych. W tym celu Bank utrzymuje zapas nieobciążonych</w:t>
      </w:r>
      <w:r w:rsidR="00752A9A">
        <w:rPr>
          <w:rFonts w:eastAsia="Calibri"/>
          <w:color w:val="000000" w:themeColor="text1"/>
          <w:sz w:val="18"/>
          <w:szCs w:val="18"/>
        </w:rPr>
        <w:t xml:space="preserve"> aktywów płynnych stanowiących rezerwy p</w:t>
      </w:r>
      <w:r w:rsidRPr="0068723D">
        <w:rPr>
          <w:rFonts w:eastAsia="Calibri"/>
          <w:color w:val="000000" w:themeColor="text1"/>
          <w:sz w:val="18"/>
          <w:szCs w:val="18"/>
        </w:rPr>
        <w:t>łynności, dla których istnieje możliwość zastawu, transakcji na rynku repo bądź sprzedaży w dowolnym momencie bez istotne</w:t>
      </w:r>
      <w:r w:rsidR="00752A9A">
        <w:rPr>
          <w:rFonts w:eastAsia="Calibri"/>
          <w:color w:val="000000" w:themeColor="text1"/>
          <w:sz w:val="18"/>
          <w:szCs w:val="18"/>
        </w:rPr>
        <w:t>j utraty ich wartości. W skład rezerw p</w:t>
      </w:r>
      <w:r w:rsidRPr="0068723D">
        <w:rPr>
          <w:rFonts w:eastAsia="Calibri"/>
          <w:color w:val="000000" w:themeColor="text1"/>
          <w:sz w:val="18"/>
          <w:szCs w:val="18"/>
        </w:rPr>
        <w:t xml:space="preserve">łynności wchodziły polskie </w:t>
      </w:r>
      <w:r w:rsidRPr="0068723D">
        <w:rPr>
          <w:rFonts w:eastAsia="Calibri"/>
          <w:color w:val="000000" w:themeColor="text1"/>
          <w:sz w:val="18"/>
          <w:szCs w:val="18"/>
        </w:rPr>
        <w:lastRenderedPageBreak/>
        <w:t>obligacje skarbowe w PLN i EUR, bony pieniężne emitowane przez Narodowy Bank Polski oraz czeskie obligacje skarbowe i bony emitowane przez Narodowy Ba</w:t>
      </w:r>
      <w:r w:rsidR="00752A9A">
        <w:rPr>
          <w:rFonts w:eastAsia="Calibri"/>
          <w:color w:val="000000" w:themeColor="text1"/>
          <w:sz w:val="18"/>
          <w:szCs w:val="18"/>
        </w:rPr>
        <w:t>nk Czeski w CZK. Wartości tych r</w:t>
      </w:r>
      <w:r w:rsidRPr="0068723D">
        <w:rPr>
          <w:rFonts w:eastAsia="Calibri"/>
          <w:color w:val="000000" w:themeColor="text1"/>
          <w:sz w:val="18"/>
          <w:szCs w:val="18"/>
        </w:rPr>
        <w:t>ezerw wynosiły</w:t>
      </w:r>
      <w:r w:rsidR="00F92FD6" w:rsidRPr="0068723D">
        <w:rPr>
          <w:rFonts w:eastAsia="Calibri"/>
          <w:color w:val="000000" w:themeColor="text1"/>
          <w:sz w:val="18"/>
          <w:szCs w:val="18"/>
        </w:rPr>
        <w:t>:</w:t>
      </w:r>
    </w:p>
    <w:tbl>
      <w:tblPr>
        <w:tblW w:w="9639" w:type="dxa"/>
        <w:tblCellMar>
          <w:left w:w="70" w:type="dxa"/>
          <w:right w:w="70" w:type="dxa"/>
        </w:tblCellMar>
        <w:tblLook w:val="04A0" w:firstRow="1" w:lastRow="0" w:firstColumn="1" w:lastColumn="0" w:noHBand="0" w:noVBand="1"/>
      </w:tblPr>
      <w:tblGrid>
        <w:gridCol w:w="4820"/>
        <w:gridCol w:w="4819"/>
      </w:tblGrid>
      <w:tr w:rsidR="00F92FD6" w:rsidRPr="009C00EF" w14:paraId="3B731893" w14:textId="77777777" w:rsidTr="00FD36AC">
        <w:trPr>
          <w:trHeight w:val="276"/>
        </w:trPr>
        <w:tc>
          <w:tcPr>
            <w:tcW w:w="9639" w:type="dxa"/>
            <w:gridSpan w:val="2"/>
            <w:tcBorders>
              <w:top w:val="nil"/>
              <w:left w:val="nil"/>
              <w:bottom w:val="single" w:sz="8" w:space="0" w:color="FFFFFF"/>
              <w:right w:val="single" w:sz="12" w:space="0" w:color="FFFFFF"/>
            </w:tcBorders>
            <w:shd w:val="clear" w:color="000000" w:fill="0077BD"/>
            <w:vAlign w:val="center"/>
            <w:hideMark/>
          </w:tcPr>
          <w:p w14:paraId="49B83918" w14:textId="1A1FB7E8" w:rsidR="00F92FD6" w:rsidRPr="009C00EF" w:rsidRDefault="00752A9A" w:rsidP="00FC695C">
            <w:pPr>
              <w:jc w:val="center"/>
              <w:rPr>
                <w:rFonts w:cs="Calibri"/>
                <w:b/>
                <w:bCs/>
                <w:color w:val="FFFFFF"/>
                <w:sz w:val="14"/>
                <w:szCs w:val="16"/>
              </w:rPr>
            </w:pPr>
            <w:r>
              <w:rPr>
                <w:rFonts w:cs="Calibri"/>
                <w:b/>
                <w:bCs/>
                <w:color w:val="FFFFFF"/>
                <w:sz w:val="14"/>
                <w:szCs w:val="16"/>
              </w:rPr>
              <w:t>Wartość rezerw p</w:t>
            </w:r>
            <w:r w:rsidR="00F92FD6" w:rsidRPr="009C00EF">
              <w:rPr>
                <w:rFonts w:cs="Calibri"/>
                <w:b/>
                <w:bCs/>
                <w:color w:val="FFFFFF"/>
                <w:sz w:val="14"/>
                <w:szCs w:val="16"/>
              </w:rPr>
              <w:t>łynności (w mln zł)</w:t>
            </w:r>
          </w:p>
        </w:tc>
      </w:tr>
      <w:tr w:rsidR="00F92FD6" w:rsidRPr="009C00EF" w14:paraId="319310D7" w14:textId="77777777" w:rsidTr="00FD36AC">
        <w:trPr>
          <w:trHeight w:val="264"/>
        </w:trPr>
        <w:tc>
          <w:tcPr>
            <w:tcW w:w="4820" w:type="dxa"/>
            <w:tcBorders>
              <w:top w:val="nil"/>
              <w:left w:val="nil"/>
              <w:bottom w:val="nil"/>
              <w:right w:val="single" w:sz="8" w:space="0" w:color="FFFFFF"/>
            </w:tcBorders>
            <w:shd w:val="clear" w:color="000000" w:fill="0077BD"/>
            <w:vAlign w:val="center"/>
            <w:hideMark/>
          </w:tcPr>
          <w:p w14:paraId="4982847C" w14:textId="77777777" w:rsidR="00F92FD6" w:rsidRPr="009C00EF" w:rsidRDefault="00F92FD6" w:rsidP="00FC695C">
            <w:pPr>
              <w:jc w:val="center"/>
              <w:rPr>
                <w:rFonts w:cs="Calibri"/>
                <w:b/>
                <w:bCs/>
                <w:color w:val="FFFFFF"/>
                <w:sz w:val="14"/>
                <w:szCs w:val="16"/>
              </w:rPr>
            </w:pPr>
            <w:r w:rsidRPr="009C00EF">
              <w:rPr>
                <w:rFonts w:cs="Calibri"/>
                <w:b/>
                <w:bCs/>
                <w:color w:val="FFFFFF"/>
                <w:sz w:val="14"/>
                <w:szCs w:val="16"/>
              </w:rPr>
              <w:t>31.12.2019</w:t>
            </w:r>
          </w:p>
        </w:tc>
        <w:tc>
          <w:tcPr>
            <w:tcW w:w="4819" w:type="dxa"/>
            <w:tcBorders>
              <w:top w:val="nil"/>
              <w:left w:val="nil"/>
              <w:bottom w:val="nil"/>
              <w:right w:val="single" w:sz="8" w:space="0" w:color="FFFFFF"/>
            </w:tcBorders>
            <w:shd w:val="clear" w:color="000000" w:fill="0077BD"/>
            <w:vAlign w:val="center"/>
            <w:hideMark/>
          </w:tcPr>
          <w:p w14:paraId="2F217505" w14:textId="77777777" w:rsidR="00F92FD6" w:rsidRPr="009C00EF" w:rsidRDefault="00F92FD6" w:rsidP="00FC695C">
            <w:pPr>
              <w:jc w:val="center"/>
              <w:rPr>
                <w:rFonts w:cs="Calibri"/>
                <w:b/>
                <w:bCs/>
                <w:color w:val="FFFFFF"/>
                <w:sz w:val="14"/>
                <w:szCs w:val="16"/>
              </w:rPr>
            </w:pPr>
            <w:r w:rsidRPr="009C00EF">
              <w:rPr>
                <w:rFonts w:cs="Calibri"/>
                <w:b/>
                <w:bCs/>
                <w:color w:val="FFFFFF"/>
                <w:sz w:val="14"/>
                <w:szCs w:val="16"/>
              </w:rPr>
              <w:t>31.12.2018</w:t>
            </w:r>
          </w:p>
        </w:tc>
      </w:tr>
      <w:tr w:rsidR="005A24AE" w:rsidRPr="0068723D" w14:paraId="634AF678" w14:textId="77777777" w:rsidTr="00FC695C">
        <w:trPr>
          <w:trHeight w:val="276"/>
        </w:trPr>
        <w:tc>
          <w:tcPr>
            <w:tcW w:w="4820" w:type="dxa"/>
            <w:tcBorders>
              <w:top w:val="nil"/>
              <w:left w:val="nil"/>
              <w:bottom w:val="single" w:sz="8" w:space="0" w:color="0070C0"/>
              <w:right w:val="single" w:sz="8" w:space="0" w:color="0070C0"/>
            </w:tcBorders>
            <w:shd w:val="clear" w:color="auto" w:fill="auto"/>
            <w:noWrap/>
            <w:vAlign w:val="center"/>
            <w:hideMark/>
          </w:tcPr>
          <w:p w14:paraId="71F9E1A4" w14:textId="399D3EA9" w:rsidR="00F92FD6" w:rsidRPr="0068723D" w:rsidRDefault="002F7905" w:rsidP="00FC695C">
            <w:pPr>
              <w:jc w:val="center"/>
              <w:rPr>
                <w:rFonts w:cs="Calibri"/>
                <w:color w:val="000000" w:themeColor="text1"/>
                <w:sz w:val="14"/>
                <w:szCs w:val="16"/>
              </w:rPr>
            </w:pPr>
            <w:r w:rsidRPr="0068723D">
              <w:rPr>
                <w:rFonts w:cs="Calibri"/>
                <w:color w:val="000000" w:themeColor="text1"/>
                <w:sz w:val="14"/>
                <w:szCs w:val="16"/>
              </w:rPr>
              <w:t>32 750</w:t>
            </w:r>
          </w:p>
        </w:tc>
        <w:tc>
          <w:tcPr>
            <w:tcW w:w="4819" w:type="dxa"/>
            <w:tcBorders>
              <w:top w:val="nil"/>
              <w:left w:val="nil"/>
              <w:bottom w:val="single" w:sz="8" w:space="0" w:color="0070C0"/>
              <w:right w:val="nil"/>
            </w:tcBorders>
            <w:shd w:val="clear" w:color="auto" w:fill="auto"/>
            <w:noWrap/>
            <w:vAlign w:val="center"/>
            <w:hideMark/>
          </w:tcPr>
          <w:p w14:paraId="1A52531B" w14:textId="77777777" w:rsidR="00F92FD6" w:rsidRPr="0068723D" w:rsidRDefault="00F92FD6" w:rsidP="00FC695C">
            <w:pPr>
              <w:jc w:val="center"/>
              <w:rPr>
                <w:rFonts w:cs="Calibri"/>
                <w:color w:val="000000" w:themeColor="text1"/>
                <w:sz w:val="14"/>
                <w:szCs w:val="16"/>
              </w:rPr>
            </w:pPr>
            <w:r w:rsidRPr="0068723D">
              <w:rPr>
                <w:rFonts w:cs="Calibri"/>
                <w:color w:val="000000" w:themeColor="text1"/>
                <w:sz w:val="14"/>
                <w:szCs w:val="16"/>
              </w:rPr>
              <w:t>25 700</w:t>
            </w:r>
          </w:p>
        </w:tc>
      </w:tr>
    </w:tbl>
    <w:p w14:paraId="4DDE3442" w14:textId="77777777" w:rsidR="00F92FD6" w:rsidRPr="0068723D" w:rsidRDefault="00F92FD6" w:rsidP="00F92FD6">
      <w:pPr>
        <w:autoSpaceDE w:val="0"/>
        <w:autoSpaceDN w:val="0"/>
        <w:adjustRightInd w:val="0"/>
        <w:spacing w:before="120" w:after="120"/>
        <w:jc w:val="both"/>
        <w:rPr>
          <w:rFonts w:eastAsia="Calibri"/>
          <w:color w:val="000000" w:themeColor="text1"/>
          <w:sz w:val="18"/>
          <w:szCs w:val="18"/>
        </w:rPr>
      </w:pPr>
      <w:r w:rsidRPr="0068723D">
        <w:rPr>
          <w:rFonts w:eastAsia="Calibri"/>
          <w:color w:val="000000" w:themeColor="text1"/>
          <w:sz w:val="18"/>
          <w:szCs w:val="18"/>
        </w:rPr>
        <w:t>W ramach Grupy Rezerwy Płynności utrzymuje również mBank Hipoteczny Rezerwy Płynności mBanku Hipotecznego składały się z polskich obligacji skarbowych w PLN oraz bonów pieniężnych emitowanych przez Narodowy Bank Polski i wynosiły:</w:t>
      </w:r>
    </w:p>
    <w:tbl>
      <w:tblPr>
        <w:tblW w:w="9639" w:type="dxa"/>
        <w:tblCellMar>
          <w:left w:w="70" w:type="dxa"/>
          <w:right w:w="70" w:type="dxa"/>
        </w:tblCellMar>
        <w:tblLook w:val="04A0" w:firstRow="1" w:lastRow="0" w:firstColumn="1" w:lastColumn="0" w:noHBand="0" w:noVBand="1"/>
      </w:tblPr>
      <w:tblGrid>
        <w:gridCol w:w="4820"/>
        <w:gridCol w:w="4819"/>
      </w:tblGrid>
      <w:tr w:rsidR="00F92FD6" w:rsidRPr="009C00EF" w14:paraId="4D1B6ED3" w14:textId="77777777" w:rsidTr="00FD36AC">
        <w:trPr>
          <w:trHeight w:val="276"/>
        </w:trPr>
        <w:tc>
          <w:tcPr>
            <w:tcW w:w="9639" w:type="dxa"/>
            <w:gridSpan w:val="2"/>
            <w:tcBorders>
              <w:top w:val="nil"/>
              <w:left w:val="nil"/>
              <w:bottom w:val="single" w:sz="8" w:space="0" w:color="FFFFFF"/>
              <w:right w:val="single" w:sz="12" w:space="0" w:color="FFFFFF"/>
            </w:tcBorders>
            <w:shd w:val="clear" w:color="000000" w:fill="0077BD"/>
            <w:vAlign w:val="center"/>
            <w:hideMark/>
          </w:tcPr>
          <w:p w14:paraId="60879992" w14:textId="6714DF84" w:rsidR="00F92FD6" w:rsidRPr="009C00EF" w:rsidRDefault="00752A9A" w:rsidP="00FC695C">
            <w:pPr>
              <w:jc w:val="center"/>
              <w:rPr>
                <w:rFonts w:cs="Calibri"/>
                <w:b/>
                <w:bCs/>
                <w:color w:val="FFFFFF"/>
                <w:sz w:val="14"/>
                <w:szCs w:val="16"/>
              </w:rPr>
            </w:pPr>
            <w:r>
              <w:rPr>
                <w:rFonts w:cs="Calibri"/>
                <w:b/>
                <w:bCs/>
                <w:color w:val="FFFFFF"/>
                <w:sz w:val="14"/>
                <w:szCs w:val="16"/>
              </w:rPr>
              <w:t>Wartość rezerw p</w:t>
            </w:r>
            <w:r w:rsidR="00F92FD6" w:rsidRPr="009C00EF">
              <w:rPr>
                <w:rFonts w:cs="Calibri"/>
                <w:b/>
                <w:bCs/>
                <w:color w:val="FFFFFF"/>
                <w:sz w:val="14"/>
                <w:szCs w:val="16"/>
              </w:rPr>
              <w:t>łynności (w mln zł)</w:t>
            </w:r>
          </w:p>
        </w:tc>
      </w:tr>
      <w:tr w:rsidR="00F92FD6" w:rsidRPr="009C00EF" w14:paraId="62ADF6BC" w14:textId="77777777" w:rsidTr="00FD36AC">
        <w:trPr>
          <w:trHeight w:val="264"/>
        </w:trPr>
        <w:tc>
          <w:tcPr>
            <w:tcW w:w="4820" w:type="dxa"/>
            <w:tcBorders>
              <w:top w:val="nil"/>
              <w:left w:val="nil"/>
              <w:bottom w:val="nil"/>
              <w:right w:val="single" w:sz="8" w:space="0" w:color="FFFFFF"/>
            </w:tcBorders>
            <w:shd w:val="clear" w:color="000000" w:fill="0077BD"/>
            <w:vAlign w:val="center"/>
            <w:hideMark/>
          </w:tcPr>
          <w:p w14:paraId="30776700" w14:textId="77777777" w:rsidR="00F92FD6" w:rsidRPr="009C00EF" w:rsidRDefault="00F92FD6" w:rsidP="00FC695C">
            <w:pPr>
              <w:jc w:val="center"/>
              <w:rPr>
                <w:rFonts w:cs="Calibri"/>
                <w:b/>
                <w:bCs/>
                <w:color w:val="FFFFFF"/>
                <w:sz w:val="14"/>
                <w:szCs w:val="16"/>
              </w:rPr>
            </w:pPr>
            <w:r w:rsidRPr="009C00EF">
              <w:rPr>
                <w:rFonts w:cs="Calibri"/>
                <w:b/>
                <w:bCs/>
                <w:color w:val="FFFFFF"/>
                <w:sz w:val="14"/>
                <w:szCs w:val="16"/>
              </w:rPr>
              <w:t>31.12.2019</w:t>
            </w:r>
          </w:p>
        </w:tc>
        <w:tc>
          <w:tcPr>
            <w:tcW w:w="4819" w:type="dxa"/>
            <w:tcBorders>
              <w:top w:val="nil"/>
              <w:left w:val="nil"/>
              <w:bottom w:val="nil"/>
              <w:right w:val="single" w:sz="8" w:space="0" w:color="FFFFFF"/>
            </w:tcBorders>
            <w:shd w:val="clear" w:color="000000" w:fill="0077BD"/>
            <w:vAlign w:val="center"/>
            <w:hideMark/>
          </w:tcPr>
          <w:p w14:paraId="6FB73660" w14:textId="77777777" w:rsidR="00F92FD6" w:rsidRPr="009C00EF" w:rsidRDefault="00F92FD6" w:rsidP="00FC695C">
            <w:pPr>
              <w:jc w:val="center"/>
              <w:rPr>
                <w:rFonts w:cs="Calibri"/>
                <w:b/>
                <w:bCs/>
                <w:color w:val="FFFFFF"/>
                <w:sz w:val="14"/>
                <w:szCs w:val="16"/>
              </w:rPr>
            </w:pPr>
            <w:r w:rsidRPr="009C00EF">
              <w:rPr>
                <w:rFonts w:cs="Calibri"/>
                <w:b/>
                <w:bCs/>
                <w:color w:val="FFFFFF"/>
                <w:sz w:val="14"/>
                <w:szCs w:val="16"/>
              </w:rPr>
              <w:t>31.12.2018</w:t>
            </w:r>
          </w:p>
        </w:tc>
      </w:tr>
      <w:tr w:rsidR="005A24AE" w:rsidRPr="0068723D" w14:paraId="2F0A0EE7" w14:textId="77777777" w:rsidTr="00FC695C">
        <w:trPr>
          <w:trHeight w:val="276"/>
        </w:trPr>
        <w:tc>
          <w:tcPr>
            <w:tcW w:w="4820" w:type="dxa"/>
            <w:tcBorders>
              <w:top w:val="nil"/>
              <w:left w:val="nil"/>
              <w:bottom w:val="single" w:sz="8" w:space="0" w:color="0070C0"/>
              <w:right w:val="single" w:sz="8" w:space="0" w:color="0070C0"/>
            </w:tcBorders>
            <w:shd w:val="clear" w:color="auto" w:fill="auto"/>
            <w:noWrap/>
            <w:vAlign w:val="center"/>
            <w:hideMark/>
          </w:tcPr>
          <w:p w14:paraId="46DF7FDC" w14:textId="3C915DE2" w:rsidR="00F92FD6" w:rsidRPr="0068723D" w:rsidRDefault="002F7905" w:rsidP="00FC695C">
            <w:pPr>
              <w:jc w:val="center"/>
              <w:rPr>
                <w:rFonts w:cs="Calibri"/>
                <w:color w:val="000000" w:themeColor="text1"/>
                <w:sz w:val="14"/>
                <w:szCs w:val="16"/>
              </w:rPr>
            </w:pPr>
            <w:r w:rsidRPr="0068723D">
              <w:rPr>
                <w:rFonts w:cs="Calibri"/>
                <w:color w:val="000000" w:themeColor="text1"/>
                <w:sz w:val="14"/>
                <w:szCs w:val="16"/>
              </w:rPr>
              <w:t>1 010</w:t>
            </w:r>
          </w:p>
        </w:tc>
        <w:tc>
          <w:tcPr>
            <w:tcW w:w="4819" w:type="dxa"/>
            <w:tcBorders>
              <w:top w:val="nil"/>
              <w:left w:val="nil"/>
              <w:bottom w:val="single" w:sz="8" w:space="0" w:color="0070C0"/>
              <w:right w:val="nil"/>
            </w:tcBorders>
            <w:shd w:val="clear" w:color="auto" w:fill="auto"/>
            <w:noWrap/>
            <w:vAlign w:val="center"/>
            <w:hideMark/>
          </w:tcPr>
          <w:p w14:paraId="0738F48A" w14:textId="77777777" w:rsidR="00F92FD6" w:rsidRPr="0068723D" w:rsidRDefault="00F92FD6" w:rsidP="00FC695C">
            <w:pPr>
              <w:jc w:val="center"/>
              <w:rPr>
                <w:rFonts w:cs="Calibri"/>
                <w:color w:val="000000" w:themeColor="text1"/>
                <w:sz w:val="14"/>
                <w:szCs w:val="16"/>
              </w:rPr>
            </w:pPr>
            <w:r w:rsidRPr="0068723D">
              <w:rPr>
                <w:rFonts w:cs="Calibri"/>
                <w:color w:val="000000" w:themeColor="text1"/>
                <w:sz w:val="14"/>
                <w:szCs w:val="16"/>
              </w:rPr>
              <w:t>1 051</w:t>
            </w:r>
          </w:p>
        </w:tc>
      </w:tr>
    </w:tbl>
    <w:p w14:paraId="34C0403F" w14:textId="77777777" w:rsidR="002F7905" w:rsidRPr="0068723D" w:rsidRDefault="002F7905" w:rsidP="002F7905">
      <w:pPr>
        <w:autoSpaceDE w:val="0"/>
        <w:autoSpaceDN w:val="0"/>
        <w:adjustRightInd w:val="0"/>
        <w:spacing w:before="120" w:after="120"/>
        <w:jc w:val="both"/>
        <w:rPr>
          <w:rFonts w:eastAsia="Calibri"/>
          <w:color w:val="000000" w:themeColor="text1"/>
          <w:sz w:val="18"/>
          <w:szCs w:val="18"/>
        </w:rPr>
      </w:pPr>
      <w:r w:rsidRPr="0068723D">
        <w:rPr>
          <w:rFonts w:eastAsia="Calibri" w:cs="Verdana"/>
          <w:color w:val="000000" w:themeColor="text1"/>
          <w:sz w:val="18"/>
          <w:szCs w:val="18"/>
        </w:rPr>
        <w:t xml:space="preserve">W celu wsparcia procesu zarządzania ryzykiem płynności został wypracowany system wskaźników wczesnego ostrzegania i wskaźników recovery. </w:t>
      </w:r>
      <w:r w:rsidRPr="0068723D">
        <w:rPr>
          <w:rFonts w:eastAsia="Calibri"/>
          <w:color w:val="000000" w:themeColor="text1"/>
          <w:sz w:val="18"/>
          <w:szCs w:val="18"/>
        </w:rPr>
        <w:t>Składa się on ze wskaźników monitorujących poziom wykorzystania limitów regulacyjnych i wewnętrznych oraz dodatkowo wskaźników monitorujących istotne zmiany czynników rynkowych, a także zmiany struktury bilansu Banku. Przekroczenie wartości progowych przez zdefiniowane wskaźniki może być przesłanką do uruchomienia Planu Awaryjnego lub Planu Naprawy.</w:t>
      </w:r>
    </w:p>
    <w:p w14:paraId="4E6D7C0A" w14:textId="269E146F" w:rsidR="002F7905" w:rsidRPr="0068723D" w:rsidRDefault="002F7905" w:rsidP="002F7905">
      <w:pPr>
        <w:autoSpaceDE w:val="0"/>
        <w:autoSpaceDN w:val="0"/>
        <w:adjustRightInd w:val="0"/>
        <w:spacing w:after="120"/>
        <w:jc w:val="both"/>
        <w:rPr>
          <w:rFonts w:eastAsia="Calibri"/>
          <w:color w:val="000000" w:themeColor="text1"/>
          <w:sz w:val="18"/>
          <w:szCs w:val="18"/>
        </w:rPr>
      </w:pPr>
      <w:r w:rsidRPr="0068723D">
        <w:rPr>
          <w:rFonts w:eastAsia="Calibri"/>
          <w:color w:val="000000" w:themeColor="text1"/>
          <w:sz w:val="18"/>
          <w:szCs w:val="18"/>
        </w:rPr>
        <w:t xml:space="preserve">W związku ze stosowaniem przez Bank instrumentów FX swap i CIRS do zamiany nadwyżek walut lokalnych na waluty obce, w Banku obowiązują wewnętrzne limity na wykorzystanie tych instrumentów. Dodatkowo, w celu ograniczenia ryzyka koncentracji transakcji FX swap monitorowana jest wielkość pozyskiwanych kwot w okresie do 1 roku w przedziałach miesięcznych. </w:t>
      </w:r>
    </w:p>
    <w:p w14:paraId="593C6C97" w14:textId="14037E47" w:rsidR="002F7905" w:rsidRPr="0068723D" w:rsidRDefault="002F7905" w:rsidP="00E06D34">
      <w:pPr>
        <w:autoSpaceDE w:val="0"/>
        <w:autoSpaceDN w:val="0"/>
        <w:adjustRightInd w:val="0"/>
        <w:jc w:val="both"/>
        <w:rPr>
          <w:rFonts w:eastAsia="Calibri"/>
          <w:color w:val="000000" w:themeColor="text1"/>
          <w:sz w:val="18"/>
          <w:szCs w:val="18"/>
        </w:rPr>
      </w:pPr>
      <w:r w:rsidRPr="0068723D">
        <w:rPr>
          <w:rFonts w:eastAsia="Calibri"/>
          <w:color w:val="000000" w:themeColor="text1"/>
          <w:sz w:val="18"/>
          <w:szCs w:val="18"/>
        </w:rPr>
        <w:t>W Banku obliczane są i raportowane również inne miary ryzyka płynności obejmujące:</w:t>
      </w:r>
    </w:p>
    <w:p w14:paraId="7E1EB857"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koncentrację źródeł finansowania,</w:t>
      </w:r>
    </w:p>
    <w:p w14:paraId="7B92D97D"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stabilność bazy depozytowej,</w:t>
      </w:r>
    </w:p>
    <w:p w14:paraId="4BAE823A"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zrywalność depozytów,</w:t>
      </w:r>
    </w:p>
    <w:p w14:paraId="00C6C19E"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wskaźnik finansowania rynku nieruchomości,</w:t>
      </w:r>
    </w:p>
    <w:p w14:paraId="63FE7601" w14:textId="4210DF08" w:rsidR="002F7905" w:rsidRPr="00E06D34" w:rsidRDefault="002F7905" w:rsidP="00E06D34">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E06D34">
        <w:rPr>
          <w:rFonts w:cs="Tahoma"/>
          <w:bCs/>
          <w:color w:val="000000" w:themeColor="text1"/>
          <w:sz w:val="18"/>
          <w:szCs w:val="18"/>
        </w:rPr>
        <w:t>wskaźnik koncentracji ryzyka płynności w obrębie pozycji pozabilansowych dotyczących zobowiązań o</w:t>
      </w:r>
      <w:r w:rsidR="00545AFB">
        <w:rPr>
          <w:rFonts w:cs="Tahoma"/>
          <w:bCs/>
          <w:color w:val="000000" w:themeColor="text1"/>
          <w:sz w:val="18"/>
          <w:szCs w:val="18"/>
        </w:rPr>
        <w:t> </w:t>
      </w:r>
      <w:r w:rsidRPr="00E06D34">
        <w:rPr>
          <w:rFonts w:cs="Tahoma"/>
          <w:bCs/>
          <w:color w:val="000000" w:themeColor="text1"/>
          <w:sz w:val="18"/>
          <w:szCs w:val="18"/>
        </w:rPr>
        <w:t>charakterze finansowym i gwarancyjnym.</w:t>
      </w:r>
    </w:p>
    <w:p w14:paraId="3401F9A1" w14:textId="4ABBD9D2" w:rsidR="002F7905" w:rsidRPr="0068723D" w:rsidRDefault="002F7905" w:rsidP="002F7905">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Bank w zarządzaniu ryzykiem płynności uwzględnia również ryzyko płynności produktu. Odzwierciedlone jest ono w zakresie pomiaru płynności rynku papier</w:t>
      </w:r>
      <w:r w:rsidR="002748E3">
        <w:rPr>
          <w:rFonts w:eastAsia="Calibri" w:cs="Verdana"/>
          <w:color w:val="000000" w:themeColor="text1"/>
          <w:sz w:val="18"/>
          <w:szCs w:val="18"/>
        </w:rPr>
        <w:t>ów wartościowych, które tworzą rezerwy p</w:t>
      </w:r>
      <w:r w:rsidRPr="0068723D">
        <w:rPr>
          <w:rFonts w:eastAsia="Calibri" w:cs="Verdana"/>
          <w:color w:val="000000" w:themeColor="text1"/>
          <w:sz w:val="18"/>
          <w:szCs w:val="18"/>
        </w:rPr>
        <w:t xml:space="preserve">łynności. </w:t>
      </w:r>
      <w:r w:rsidRPr="0068723D">
        <w:rPr>
          <w:rFonts w:eastAsia="Calibri"/>
          <w:color w:val="000000" w:themeColor="text1"/>
          <w:sz w:val="18"/>
          <w:szCs w:val="18"/>
        </w:rPr>
        <w:t>Bank, w odstępach miesięcznych, analizuje płynność rynkową obligacji Skarbu Państwa, uwzględniając determinanty płynności rynkowej takie jak: obrót rynkowy, głębokość arkusza zleceń, spread transakcji kupna/sprzedaży i wielkość emisji. Badanie płynności rynkowej odzwierciedlone jest w wewnętrznych miarach płynności, w których konstrukcja scenariuszy uwzględnia upłynnianie obligacji Skarbu Państwa będących w posiadaniu Banku na poszczególnych seriach obligacji. Badanie potencjału rynkowego wykonywane jest również w kontekście potencjału zastawienia poszczególnych serii obligacji.</w:t>
      </w:r>
    </w:p>
    <w:p w14:paraId="4AD25EB1" w14:textId="77777777" w:rsidR="002F7905" w:rsidRPr="0068723D" w:rsidRDefault="002F7905" w:rsidP="002F7905">
      <w:pPr>
        <w:spacing w:after="120"/>
        <w:jc w:val="both"/>
        <w:rPr>
          <w:b/>
          <w:color w:val="000000" w:themeColor="text1"/>
          <w:sz w:val="18"/>
          <w:szCs w:val="18"/>
          <w:lang w:eastAsia="en-US"/>
        </w:rPr>
      </w:pPr>
      <w:r w:rsidRPr="0068723D">
        <w:rPr>
          <w:b/>
          <w:color w:val="000000" w:themeColor="text1"/>
          <w:sz w:val="18"/>
          <w:szCs w:val="18"/>
          <w:lang w:eastAsia="en-US"/>
        </w:rPr>
        <w:t>Pomiar, limitowanie i raportowanie ryzyka płynności</w:t>
      </w:r>
    </w:p>
    <w:p w14:paraId="038797E7" w14:textId="77777777" w:rsidR="002F7905" w:rsidRPr="0068723D" w:rsidRDefault="002F7905" w:rsidP="002F7905">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W Banku funkcjonuje proces cyklicznego raportowania ryzyka płynności. Obejmuje ono zarówno dostarczanie informacji dziennej dla jednostek zajmujących się zarządzaniem ryzykiem płynności oraz osób kontrolujących zarządzanie ryzykiem płynności na poziomie operacyjnym, jak i cykliczne raportowanie dla wyższych szczebli zarządzania na potrzeby podejmowania decyzji strategicznych dotyczących ryzyka płynności.</w:t>
      </w:r>
    </w:p>
    <w:p w14:paraId="03DB261B" w14:textId="77777777" w:rsidR="002F7905" w:rsidRPr="0068723D" w:rsidRDefault="002F7905" w:rsidP="00E06D34">
      <w:pPr>
        <w:autoSpaceDE w:val="0"/>
        <w:autoSpaceDN w:val="0"/>
        <w:adjustRightInd w:val="0"/>
        <w:jc w:val="both"/>
        <w:rPr>
          <w:rFonts w:eastAsia="Calibri" w:cs="Verdana"/>
          <w:color w:val="000000" w:themeColor="text1"/>
          <w:sz w:val="18"/>
          <w:szCs w:val="18"/>
        </w:rPr>
      </w:pPr>
      <w:r w:rsidRPr="0068723D">
        <w:rPr>
          <w:rFonts w:eastAsia="Calibri" w:cs="Verdana"/>
          <w:color w:val="000000" w:themeColor="text1"/>
          <w:sz w:val="18"/>
          <w:szCs w:val="18"/>
        </w:rPr>
        <w:t>W cyklu dziennym raportowane są:</w:t>
      </w:r>
    </w:p>
    <w:p w14:paraId="09517B3B"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miary regulacyjne,</w:t>
      </w:r>
    </w:p>
    <w:p w14:paraId="15F13A5D"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luki płynności w scenariuszach kryzysowych dla mBanku, Grupy mBanku oraz istotnych z punktu widzenia ryzyka płynności spółek zależnych wraz z wykorzystaniem limitów nałożonych na te miary,</w:t>
      </w:r>
    </w:p>
    <w:p w14:paraId="6258B08A"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płynność śróddzienna,</w:t>
      </w:r>
    </w:p>
    <w:p w14:paraId="7F798528"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inne miary wewnętrzne ryzyka płynności.</w:t>
      </w:r>
    </w:p>
    <w:p w14:paraId="73F6465D" w14:textId="77777777" w:rsidR="002F7905" w:rsidRPr="0068723D" w:rsidRDefault="002F7905" w:rsidP="00E06D34">
      <w:pPr>
        <w:autoSpaceDE w:val="0"/>
        <w:autoSpaceDN w:val="0"/>
        <w:adjustRightInd w:val="0"/>
        <w:spacing w:before="120"/>
        <w:jc w:val="both"/>
        <w:rPr>
          <w:rFonts w:eastAsia="Calibri" w:cs="Verdana"/>
          <w:color w:val="000000" w:themeColor="text1"/>
          <w:sz w:val="18"/>
          <w:szCs w:val="18"/>
        </w:rPr>
      </w:pPr>
      <w:r w:rsidRPr="0068723D">
        <w:rPr>
          <w:rFonts w:eastAsia="Calibri" w:cs="Verdana"/>
          <w:color w:val="000000" w:themeColor="text1"/>
          <w:sz w:val="18"/>
          <w:szCs w:val="18"/>
        </w:rPr>
        <w:t>W cyklu tygodniowym raportowane są:</w:t>
      </w:r>
    </w:p>
    <w:p w14:paraId="49F66149" w14:textId="1B2E4D0E" w:rsidR="008C6E2A"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wskaźniki wczesnego ostrzegania (EWI).</w:t>
      </w:r>
    </w:p>
    <w:p w14:paraId="26EADD08" w14:textId="2F417EB3" w:rsidR="002F7905" w:rsidRPr="008C6E2A" w:rsidRDefault="008C6E2A" w:rsidP="008C6E2A">
      <w:pPr>
        <w:rPr>
          <w:rFonts w:eastAsia="Calibri" w:cs="Verdana"/>
          <w:bCs/>
          <w:color w:val="000000" w:themeColor="text1"/>
          <w:sz w:val="18"/>
          <w:szCs w:val="18"/>
        </w:rPr>
      </w:pPr>
      <w:r>
        <w:rPr>
          <w:rFonts w:eastAsia="Calibri" w:cs="Verdana"/>
          <w:bCs/>
          <w:color w:val="000000" w:themeColor="text1"/>
          <w:sz w:val="18"/>
          <w:szCs w:val="18"/>
        </w:rPr>
        <w:br w:type="page"/>
      </w:r>
    </w:p>
    <w:p w14:paraId="0BFEFEF8" w14:textId="77777777" w:rsidR="002F7905" w:rsidRPr="0068723D" w:rsidRDefault="002F7905" w:rsidP="00E06D34">
      <w:pPr>
        <w:autoSpaceDE w:val="0"/>
        <w:autoSpaceDN w:val="0"/>
        <w:adjustRightInd w:val="0"/>
        <w:jc w:val="both"/>
        <w:rPr>
          <w:rFonts w:eastAsia="Calibri" w:cs="Verdana"/>
          <w:color w:val="000000" w:themeColor="text1"/>
          <w:sz w:val="18"/>
          <w:szCs w:val="18"/>
        </w:rPr>
      </w:pPr>
      <w:r w:rsidRPr="0068723D">
        <w:rPr>
          <w:rFonts w:eastAsia="Calibri" w:cs="Verdana"/>
          <w:color w:val="000000" w:themeColor="text1"/>
          <w:sz w:val="18"/>
          <w:szCs w:val="18"/>
        </w:rPr>
        <w:lastRenderedPageBreak/>
        <w:t>W cyklu miesięcznym raportowane są:</w:t>
      </w:r>
    </w:p>
    <w:p w14:paraId="50883494" w14:textId="77777777" w:rsidR="002F7905" w:rsidRPr="00E06D34" w:rsidRDefault="002F7905" w:rsidP="00E06D34">
      <w:pPr>
        <w:numPr>
          <w:ilvl w:val="0"/>
          <w:numId w:val="17"/>
        </w:numPr>
        <w:tabs>
          <w:tab w:val="clear" w:pos="1267"/>
        </w:tabs>
        <w:suppressAutoHyphens/>
        <w:ind w:left="426" w:right="-57" w:hanging="284"/>
        <w:jc w:val="both"/>
        <w:rPr>
          <w:rFonts w:cs="Tahoma"/>
          <w:bCs/>
          <w:color w:val="000000" w:themeColor="text1"/>
          <w:sz w:val="18"/>
          <w:szCs w:val="18"/>
        </w:rPr>
      </w:pPr>
      <w:r w:rsidRPr="00E06D34">
        <w:rPr>
          <w:rFonts w:cs="Tahoma"/>
          <w:bCs/>
          <w:color w:val="000000" w:themeColor="text1"/>
          <w:sz w:val="18"/>
          <w:szCs w:val="18"/>
        </w:rPr>
        <w:t>miary regulacyjne i wewnętrzne miary płynności dla członków Zarządu Banku i Komitetu Ryzyka Rynków Finansowych (KRF),</w:t>
      </w:r>
    </w:p>
    <w:p w14:paraId="1455EC5B" w14:textId="77777777" w:rsidR="002F7905" w:rsidRPr="00E06D34" w:rsidRDefault="002F7905" w:rsidP="00E06D34">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E06D34">
        <w:rPr>
          <w:rFonts w:cs="Tahoma"/>
          <w:bCs/>
          <w:color w:val="000000" w:themeColor="text1"/>
          <w:sz w:val="18"/>
          <w:szCs w:val="18"/>
        </w:rPr>
        <w:t>miary regulacyjne, wewnętrzne miary płynności oraz prognozy miar płynności uwzględniające prognozy rozwoju biznesu dla Komitetu ds. Zarządzania Aktywami i Pasywami Grupy mBanku (ALCO) i Komitetu ds. Zarządzania Bilansem.</w:t>
      </w:r>
    </w:p>
    <w:p w14:paraId="3F5929B0" w14:textId="77777777" w:rsidR="002F7905" w:rsidRPr="0068723D" w:rsidRDefault="002F7905" w:rsidP="00E06D34">
      <w:pPr>
        <w:autoSpaceDE w:val="0"/>
        <w:autoSpaceDN w:val="0"/>
        <w:adjustRightInd w:val="0"/>
        <w:jc w:val="both"/>
        <w:rPr>
          <w:rFonts w:eastAsia="Calibri" w:cs="Verdana"/>
          <w:color w:val="000000" w:themeColor="text1"/>
          <w:sz w:val="18"/>
          <w:szCs w:val="18"/>
        </w:rPr>
      </w:pPr>
      <w:r w:rsidRPr="0068723D">
        <w:rPr>
          <w:rFonts w:eastAsia="Calibri" w:cs="Verdana"/>
          <w:color w:val="000000" w:themeColor="text1"/>
          <w:sz w:val="18"/>
          <w:szCs w:val="18"/>
        </w:rPr>
        <w:t>W cyklu kwartalnym raportowane są miary regulacyjne i wewnętrzne miary płynności dla Rady Nadzorczej Banku.</w:t>
      </w:r>
    </w:p>
    <w:p w14:paraId="5AA11B7A" w14:textId="05BC54FD" w:rsidR="005A24AE" w:rsidRPr="0068723D" w:rsidRDefault="002F7905" w:rsidP="00E06D34">
      <w:pPr>
        <w:suppressAutoHyphens/>
        <w:spacing w:before="120" w:after="120"/>
        <w:jc w:val="both"/>
        <w:rPr>
          <w:rFonts w:eastAsia="Calibri" w:cs="Verdana"/>
          <w:color w:val="000000" w:themeColor="text1"/>
          <w:sz w:val="18"/>
          <w:szCs w:val="18"/>
        </w:rPr>
      </w:pPr>
      <w:r w:rsidRPr="0068723D">
        <w:rPr>
          <w:rFonts w:eastAsia="Calibri" w:cs="Verdana"/>
          <w:color w:val="000000" w:themeColor="text1"/>
          <w:sz w:val="18"/>
          <w:szCs w:val="18"/>
        </w:rPr>
        <w:t>Dla potrzeb bieżącego monitorowania płynności Bank kalkuluje wartości urealnionej, skumulowanej luki niedopasowania przepływów pieniężnych. Luka urealniona jest kalkulowana na bazie przepływów kontraktowych (Nota 3.8.1). Urealniane są przede wszystkim przepływy w portfelu depozytów klientów niebankowych, w portfelu kredytów w rachunkach bieżących oraz przepływy portfela kredytów terminowych. Przy kalkulacji miar płynności Bank bierze pod uwagę potencjalne możliwości uzyskania środków finansowych z tytułu upłynnienia bądź zastawienia papierów wartościowych należących do Rezerw Płynności Banku.</w:t>
      </w:r>
    </w:p>
    <w:p w14:paraId="418E2DEC" w14:textId="15F5C00F" w:rsidR="00F92FD6" w:rsidRPr="0068723D" w:rsidRDefault="002F7905" w:rsidP="002F7905">
      <w:pPr>
        <w:jc w:val="both"/>
        <w:rPr>
          <w:rFonts w:cs="Tahoma"/>
          <w:color w:val="000000" w:themeColor="text1"/>
          <w:sz w:val="18"/>
          <w:szCs w:val="18"/>
        </w:rPr>
      </w:pPr>
      <w:r w:rsidRPr="0068723D">
        <w:rPr>
          <w:rFonts w:cs="Tahoma"/>
          <w:color w:val="000000" w:themeColor="text1"/>
          <w:sz w:val="18"/>
          <w:szCs w:val="18"/>
        </w:rPr>
        <w:t>W metodyce LAB miara LAB Base Case jest podstawową miarą zarządczą i na jej podstawie limitowane są</w:t>
      </w:r>
      <w:r w:rsidR="00B034B5">
        <w:rPr>
          <w:rFonts w:cs="Tahoma"/>
          <w:color w:val="000000" w:themeColor="text1"/>
          <w:sz w:val="18"/>
          <w:szCs w:val="18"/>
        </w:rPr>
        <w:t> </w:t>
      </w:r>
      <w:r w:rsidRPr="0068723D">
        <w:rPr>
          <w:rFonts w:cs="Tahoma"/>
          <w:color w:val="000000" w:themeColor="text1"/>
          <w:sz w:val="18"/>
          <w:szCs w:val="18"/>
        </w:rPr>
        <w:t>luki płynności w poszczególnych walutach obcych</w:t>
      </w:r>
      <w:r w:rsidR="00F92FD6" w:rsidRPr="0068723D">
        <w:rPr>
          <w:rFonts w:cs="Tahoma"/>
          <w:color w:val="000000" w:themeColor="text1"/>
          <w:sz w:val="18"/>
          <w:szCs w:val="18"/>
        </w:rPr>
        <w:t xml:space="preserve">. </w:t>
      </w:r>
    </w:p>
    <w:p w14:paraId="18BF8E48" w14:textId="77777777" w:rsidR="00D54765" w:rsidRPr="0068723D" w:rsidRDefault="00D54765" w:rsidP="00F92FD6">
      <w:pPr>
        <w:jc w:val="both"/>
        <w:rPr>
          <w:rFonts w:cs="Tahoma"/>
          <w:color w:val="000000" w:themeColor="text1"/>
          <w:sz w:val="18"/>
          <w:szCs w:val="18"/>
        </w:rPr>
      </w:pPr>
    </w:p>
    <w:tbl>
      <w:tblPr>
        <w:tblW w:w="9488" w:type="dxa"/>
        <w:tblLayout w:type="fixed"/>
        <w:tblCellMar>
          <w:left w:w="28" w:type="dxa"/>
          <w:right w:w="28" w:type="dxa"/>
        </w:tblCellMar>
        <w:tblLook w:val="04A0" w:firstRow="1" w:lastRow="0" w:firstColumn="1" w:lastColumn="0" w:noHBand="0" w:noVBand="1"/>
      </w:tblPr>
      <w:tblGrid>
        <w:gridCol w:w="1897"/>
        <w:gridCol w:w="1897"/>
        <w:gridCol w:w="1898"/>
        <w:gridCol w:w="1898"/>
        <w:gridCol w:w="1898"/>
      </w:tblGrid>
      <w:tr w:rsidR="00F92FD6" w:rsidRPr="009C00EF" w14:paraId="26171FB3" w14:textId="77777777" w:rsidTr="001F3055">
        <w:trPr>
          <w:trHeight w:val="309"/>
        </w:trPr>
        <w:tc>
          <w:tcPr>
            <w:tcW w:w="9488" w:type="dxa"/>
            <w:gridSpan w:val="5"/>
            <w:tcBorders>
              <w:top w:val="single" w:sz="8" w:space="0" w:color="FFFFFF"/>
              <w:left w:val="single" w:sz="8" w:space="0" w:color="FFFFFF"/>
              <w:bottom w:val="single" w:sz="6" w:space="0" w:color="FFFFFF"/>
              <w:right w:val="single" w:sz="8" w:space="0" w:color="FFFFFF"/>
            </w:tcBorders>
            <w:shd w:val="clear" w:color="000000" w:fill="0077BD"/>
            <w:vAlign w:val="center"/>
            <w:hideMark/>
          </w:tcPr>
          <w:p w14:paraId="06848CB8" w14:textId="77777777" w:rsidR="00F92FD6" w:rsidRPr="009C00EF" w:rsidRDefault="00F92FD6" w:rsidP="00FC695C">
            <w:pPr>
              <w:jc w:val="center"/>
              <w:rPr>
                <w:rFonts w:cs="Calibri"/>
                <w:b/>
                <w:bCs/>
                <w:color w:val="FFFFFF"/>
                <w:sz w:val="12"/>
                <w:szCs w:val="16"/>
              </w:rPr>
            </w:pPr>
            <w:r w:rsidRPr="009C00EF">
              <w:rPr>
                <w:rFonts w:cs="Calibri"/>
                <w:b/>
                <w:bCs/>
                <w:color w:val="FFFFFF"/>
                <w:sz w:val="12"/>
                <w:szCs w:val="16"/>
              </w:rPr>
              <w:t>Wartość urealnionej, przedziałowej i skumulowanej  luki niedopasowania przepływów pieniężnych  (w mln zł)</w:t>
            </w:r>
          </w:p>
        </w:tc>
      </w:tr>
      <w:tr w:rsidR="00F92FD6" w:rsidRPr="009C00EF" w14:paraId="4348DFCE" w14:textId="77777777" w:rsidTr="001F3055">
        <w:trPr>
          <w:trHeight w:val="342"/>
        </w:trPr>
        <w:tc>
          <w:tcPr>
            <w:tcW w:w="1897" w:type="dxa"/>
            <w:vMerge w:val="restart"/>
            <w:tcBorders>
              <w:top w:val="single" w:sz="6" w:space="0" w:color="FFFFFF"/>
              <w:left w:val="single" w:sz="8" w:space="0" w:color="FFFFFF"/>
              <w:bottom w:val="nil"/>
              <w:right w:val="single" w:sz="8" w:space="0" w:color="FFFFFF"/>
            </w:tcBorders>
            <w:shd w:val="clear" w:color="000000" w:fill="0077BD"/>
            <w:vAlign w:val="center"/>
            <w:hideMark/>
          </w:tcPr>
          <w:p w14:paraId="6027D9FC" w14:textId="77777777" w:rsidR="00F92FD6" w:rsidRPr="009C00EF" w:rsidRDefault="00F92FD6" w:rsidP="00FC695C">
            <w:pPr>
              <w:rPr>
                <w:rFonts w:cs="Calibri"/>
                <w:b/>
                <w:bCs/>
                <w:color w:val="FFFFFF"/>
                <w:sz w:val="12"/>
                <w:szCs w:val="16"/>
              </w:rPr>
            </w:pPr>
            <w:r w:rsidRPr="009C00EF">
              <w:rPr>
                <w:rFonts w:cs="Calibri"/>
                <w:b/>
                <w:bCs/>
                <w:color w:val="FFFFFF"/>
                <w:sz w:val="12"/>
                <w:szCs w:val="16"/>
              </w:rPr>
              <w:t>Przedział czasowy</w:t>
            </w:r>
          </w:p>
        </w:tc>
        <w:tc>
          <w:tcPr>
            <w:tcW w:w="3795" w:type="dxa"/>
            <w:gridSpan w:val="2"/>
            <w:tcBorders>
              <w:top w:val="single" w:sz="6" w:space="0" w:color="FFFFFF"/>
              <w:left w:val="nil"/>
              <w:bottom w:val="single" w:sz="6" w:space="0" w:color="FFFFFF"/>
              <w:right w:val="single" w:sz="8" w:space="0" w:color="FFFFFF"/>
            </w:tcBorders>
            <w:shd w:val="clear" w:color="000000" w:fill="0077BD"/>
            <w:vAlign w:val="center"/>
            <w:hideMark/>
          </w:tcPr>
          <w:p w14:paraId="73E28F15" w14:textId="43596261" w:rsidR="00F92FD6" w:rsidRPr="009C00EF" w:rsidRDefault="00F92FD6" w:rsidP="00FC695C">
            <w:pPr>
              <w:jc w:val="center"/>
              <w:rPr>
                <w:rFonts w:cs="Calibri"/>
                <w:b/>
                <w:bCs/>
                <w:color w:val="FFFFFF"/>
                <w:sz w:val="12"/>
                <w:szCs w:val="16"/>
              </w:rPr>
            </w:pPr>
            <w:r w:rsidRPr="009C00EF">
              <w:rPr>
                <w:rFonts w:cs="Calibri"/>
                <w:b/>
                <w:bCs/>
                <w:color w:val="FFFFFF"/>
                <w:sz w:val="12"/>
                <w:szCs w:val="16"/>
              </w:rPr>
              <w:t>luka LAB Base Case - 31.12.2019</w:t>
            </w:r>
          </w:p>
        </w:tc>
        <w:tc>
          <w:tcPr>
            <w:tcW w:w="3796" w:type="dxa"/>
            <w:gridSpan w:val="2"/>
            <w:tcBorders>
              <w:top w:val="single" w:sz="6" w:space="0" w:color="FFFFFF"/>
              <w:left w:val="nil"/>
              <w:bottom w:val="single" w:sz="6" w:space="0" w:color="FFFFFF"/>
              <w:right w:val="single" w:sz="8" w:space="0" w:color="FFFFFF"/>
            </w:tcBorders>
            <w:shd w:val="clear" w:color="000000" w:fill="0077BD"/>
            <w:vAlign w:val="center"/>
            <w:hideMark/>
          </w:tcPr>
          <w:p w14:paraId="5598001B" w14:textId="0FCF2184" w:rsidR="00F92FD6" w:rsidRPr="009C00EF" w:rsidRDefault="00F92FD6" w:rsidP="001F00D5">
            <w:pPr>
              <w:jc w:val="center"/>
              <w:rPr>
                <w:rFonts w:cs="Calibri"/>
                <w:b/>
                <w:bCs/>
                <w:color w:val="FFFFFF"/>
                <w:sz w:val="12"/>
                <w:szCs w:val="16"/>
              </w:rPr>
            </w:pPr>
            <w:r w:rsidRPr="009C00EF">
              <w:rPr>
                <w:rFonts w:cs="Calibri"/>
                <w:b/>
                <w:bCs/>
                <w:color w:val="FFFFFF"/>
                <w:sz w:val="12"/>
                <w:szCs w:val="16"/>
              </w:rPr>
              <w:t>luka LAB Base Case - 31.12.2018</w:t>
            </w:r>
          </w:p>
        </w:tc>
      </w:tr>
      <w:tr w:rsidR="00F92FD6" w:rsidRPr="009C00EF" w14:paraId="6C009D56" w14:textId="77777777" w:rsidTr="005A24AE">
        <w:trPr>
          <w:trHeight w:val="342"/>
        </w:trPr>
        <w:tc>
          <w:tcPr>
            <w:tcW w:w="1897" w:type="dxa"/>
            <w:vMerge/>
            <w:tcBorders>
              <w:top w:val="nil"/>
              <w:left w:val="single" w:sz="8" w:space="0" w:color="FFFFFF"/>
              <w:bottom w:val="nil"/>
              <w:right w:val="single" w:sz="8" w:space="0" w:color="FFFFFF"/>
            </w:tcBorders>
            <w:vAlign w:val="center"/>
            <w:hideMark/>
          </w:tcPr>
          <w:p w14:paraId="5DBEAD10" w14:textId="77777777" w:rsidR="00F92FD6" w:rsidRPr="009C00EF" w:rsidRDefault="00F92FD6" w:rsidP="00FC695C">
            <w:pPr>
              <w:rPr>
                <w:rFonts w:cs="Calibri"/>
                <w:b/>
                <w:bCs/>
                <w:color w:val="FFFFFF"/>
                <w:sz w:val="12"/>
                <w:szCs w:val="16"/>
              </w:rPr>
            </w:pPr>
          </w:p>
        </w:tc>
        <w:tc>
          <w:tcPr>
            <w:tcW w:w="1897" w:type="dxa"/>
            <w:tcBorders>
              <w:top w:val="single" w:sz="6" w:space="0" w:color="FFFFFF"/>
              <w:left w:val="nil"/>
              <w:bottom w:val="nil"/>
              <w:right w:val="single" w:sz="8" w:space="0" w:color="FFFFFF"/>
            </w:tcBorders>
            <w:shd w:val="clear" w:color="000000" w:fill="0077BD"/>
            <w:vAlign w:val="center"/>
            <w:hideMark/>
          </w:tcPr>
          <w:p w14:paraId="770226BC" w14:textId="77777777" w:rsidR="00F92FD6" w:rsidRPr="009C00EF" w:rsidRDefault="00F92FD6" w:rsidP="00FC695C">
            <w:pPr>
              <w:jc w:val="center"/>
              <w:rPr>
                <w:rFonts w:cs="Calibri"/>
                <w:b/>
                <w:bCs/>
                <w:color w:val="FFFFFF"/>
                <w:sz w:val="12"/>
                <w:szCs w:val="16"/>
              </w:rPr>
            </w:pPr>
            <w:r w:rsidRPr="009C00EF">
              <w:rPr>
                <w:rFonts w:cs="Calibri"/>
                <w:b/>
                <w:bCs/>
                <w:color w:val="FFFFFF"/>
                <w:sz w:val="12"/>
                <w:szCs w:val="16"/>
              </w:rPr>
              <w:t>przedziałowa</w:t>
            </w:r>
          </w:p>
        </w:tc>
        <w:tc>
          <w:tcPr>
            <w:tcW w:w="1898" w:type="dxa"/>
            <w:tcBorders>
              <w:top w:val="single" w:sz="6" w:space="0" w:color="FFFFFF"/>
              <w:left w:val="nil"/>
              <w:bottom w:val="nil"/>
              <w:right w:val="single" w:sz="8" w:space="0" w:color="FFFFFF"/>
            </w:tcBorders>
            <w:shd w:val="clear" w:color="000000" w:fill="0077BD"/>
            <w:vAlign w:val="center"/>
            <w:hideMark/>
          </w:tcPr>
          <w:p w14:paraId="2894F807" w14:textId="77777777" w:rsidR="00F92FD6" w:rsidRPr="009C00EF" w:rsidRDefault="00F92FD6" w:rsidP="00FC695C">
            <w:pPr>
              <w:jc w:val="center"/>
              <w:rPr>
                <w:rFonts w:cs="Calibri"/>
                <w:b/>
                <w:bCs/>
                <w:color w:val="FFFFFF"/>
                <w:sz w:val="12"/>
                <w:szCs w:val="16"/>
              </w:rPr>
            </w:pPr>
            <w:r w:rsidRPr="009C00EF">
              <w:rPr>
                <w:rFonts w:cs="Calibri"/>
                <w:b/>
                <w:bCs/>
                <w:color w:val="FFFFFF"/>
                <w:sz w:val="12"/>
                <w:szCs w:val="16"/>
              </w:rPr>
              <w:t>skumulowana</w:t>
            </w:r>
          </w:p>
        </w:tc>
        <w:tc>
          <w:tcPr>
            <w:tcW w:w="1898" w:type="dxa"/>
            <w:tcBorders>
              <w:top w:val="single" w:sz="6" w:space="0" w:color="FFFFFF"/>
              <w:left w:val="single" w:sz="8" w:space="0" w:color="FFFFFF"/>
              <w:bottom w:val="nil"/>
              <w:right w:val="single" w:sz="8" w:space="0" w:color="FFFFFF"/>
            </w:tcBorders>
            <w:shd w:val="clear" w:color="000000" w:fill="0077BD"/>
            <w:vAlign w:val="center"/>
            <w:hideMark/>
          </w:tcPr>
          <w:p w14:paraId="75FBF696" w14:textId="77777777" w:rsidR="00F92FD6" w:rsidRPr="009C00EF" w:rsidRDefault="00F92FD6" w:rsidP="00FC695C">
            <w:pPr>
              <w:jc w:val="center"/>
              <w:rPr>
                <w:rFonts w:cs="Calibri"/>
                <w:b/>
                <w:bCs/>
                <w:color w:val="FFFFFF"/>
                <w:sz w:val="12"/>
                <w:szCs w:val="16"/>
              </w:rPr>
            </w:pPr>
            <w:r w:rsidRPr="009C00EF">
              <w:rPr>
                <w:rFonts w:cs="Calibri"/>
                <w:b/>
                <w:bCs/>
                <w:color w:val="FFFFFF"/>
                <w:sz w:val="12"/>
                <w:szCs w:val="16"/>
              </w:rPr>
              <w:t>przedziałowa</w:t>
            </w:r>
          </w:p>
        </w:tc>
        <w:tc>
          <w:tcPr>
            <w:tcW w:w="1898" w:type="dxa"/>
            <w:tcBorders>
              <w:top w:val="single" w:sz="6" w:space="0" w:color="FFFFFF"/>
              <w:left w:val="nil"/>
              <w:bottom w:val="nil"/>
              <w:right w:val="nil"/>
            </w:tcBorders>
            <w:shd w:val="clear" w:color="000000" w:fill="0077BD"/>
            <w:vAlign w:val="center"/>
            <w:hideMark/>
          </w:tcPr>
          <w:p w14:paraId="5E2FD4B9" w14:textId="77777777" w:rsidR="00F92FD6" w:rsidRPr="009C00EF" w:rsidRDefault="00F92FD6" w:rsidP="00FC695C">
            <w:pPr>
              <w:jc w:val="center"/>
              <w:rPr>
                <w:rFonts w:cs="Calibri"/>
                <w:b/>
                <w:bCs/>
                <w:color w:val="FFFFFF"/>
                <w:sz w:val="12"/>
                <w:szCs w:val="16"/>
              </w:rPr>
            </w:pPr>
            <w:r w:rsidRPr="009C00EF">
              <w:rPr>
                <w:rFonts w:cs="Calibri"/>
                <w:b/>
                <w:bCs/>
                <w:color w:val="FFFFFF"/>
                <w:sz w:val="12"/>
                <w:szCs w:val="16"/>
              </w:rPr>
              <w:t>skumulowana</w:t>
            </w:r>
          </w:p>
        </w:tc>
      </w:tr>
      <w:tr w:rsidR="005A24AE" w:rsidRPr="0068723D" w14:paraId="2F349455"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6EA0EE2A"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 dnia roboczego</w:t>
            </w:r>
          </w:p>
        </w:tc>
        <w:tc>
          <w:tcPr>
            <w:tcW w:w="1897" w:type="dxa"/>
            <w:tcBorders>
              <w:top w:val="nil"/>
              <w:left w:val="nil"/>
              <w:bottom w:val="single" w:sz="4" w:space="0" w:color="0077BD"/>
              <w:right w:val="single" w:sz="8" w:space="0" w:color="0077BD"/>
            </w:tcBorders>
            <w:shd w:val="clear" w:color="auto" w:fill="auto"/>
            <w:vAlign w:val="center"/>
            <w:hideMark/>
          </w:tcPr>
          <w:p w14:paraId="2EDDC043" w14:textId="36A2E9FE"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18 801</w:t>
            </w:r>
          </w:p>
        </w:tc>
        <w:tc>
          <w:tcPr>
            <w:tcW w:w="1898" w:type="dxa"/>
            <w:tcBorders>
              <w:top w:val="nil"/>
              <w:left w:val="nil"/>
              <w:bottom w:val="single" w:sz="4" w:space="0" w:color="0077BD"/>
              <w:right w:val="single" w:sz="8" w:space="0" w:color="0077BD"/>
            </w:tcBorders>
            <w:shd w:val="clear" w:color="auto" w:fill="auto"/>
            <w:vAlign w:val="center"/>
            <w:hideMark/>
          </w:tcPr>
          <w:p w14:paraId="0C259FB0" w14:textId="6A7F68CA"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18 801</w:t>
            </w:r>
          </w:p>
        </w:tc>
        <w:tc>
          <w:tcPr>
            <w:tcW w:w="1898" w:type="dxa"/>
            <w:tcBorders>
              <w:top w:val="nil"/>
              <w:left w:val="nil"/>
              <w:bottom w:val="single" w:sz="4" w:space="0" w:color="0077BD"/>
              <w:right w:val="single" w:sz="8" w:space="0" w:color="0077BD"/>
            </w:tcBorders>
            <w:shd w:val="clear" w:color="auto" w:fill="auto"/>
            <w:vAlign w:val="center"/>
            <w:hideMark/>
          </w:tcPr>
          <w:p w14:paraId="1A6BD225"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19 207</w:t>
            </w:r>
          </w:p>
        </w:tc>
        <w:tc>
          <w:tcPr>
            <w:tcW w:w="1898" w:type="dxa"/>
            <w:tcBorders>
              <w:top w:val="nil"/>
              <w:left w:val="nil"/>
              <w:bottom w:val="single" w:sz="4" w:space="0" w:color="0077BD"/>
              <w:right w:val="nil"/>
            </w:tcBorders>
            <w:shd w:val="clear" w:color="auto" w:fill="auto"/>
            <w:noWrap/>
            <w:vAlign w:val="center"/>
            <w:hideMark/>
          </w:tcPr>
          <w:p w14:paraId="3569998D"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19 207</w:t>
            </w:r>
          </w:p>
        </w:tc>
      </w:tr>
      <w:tr w:rsidR="005A24AE" w:rsidRPr="0068723D" w14:paraId="7CF0E29C"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0F2B601E"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 xml:space="preserve">do 3 dni roboczych </w:t>
            </w:r>
          </w:p>
        </w:tc>
        <w:tc>
          <w:tcPr>
            <w:tcW w:w="1897" w:type="dxa"/>
            <w:tcBorders>
              <w:top w:val="nil"/>
              <w:left w:val="nil"/>
              <w:bottom w:val="single" w:sz="4" w:space="0" w:color="0077BD"/>
              <w:right w:val="single" w:sz="8" w:space="0" w:color="0077BD"/>
            </w:tcBorders>
            <w:shd w:val="clear" w:color="auto" w:fill="auto"/>
            <w:vAlign w:val="center"/>
            <w:hideMark/>
          </w:tcPr>
          <w:p w14:paraId="0E130D35" w14:textId="011CC414"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(1 210)</w:t>
            </w:r>
          </w:p>
        </w:tc>
        <w:tc>
          <w:tcPr>
            <w:tcW w:w="1898" w:type="dxa"/>
            <w:tcBorders>
              <w:top w:val="nil"/>
              <w:left w:val="nil"/>
              <w:bottom w:val="single" w:sz="4" w:space="0" w:color="0077BD"/>
              <w:right w:val="single" w:sz="8" w:space="0" w:color="0077BD"/>
            </w:tcBorders>
            <w:shd w:val="clear" w:color="auto" w:fill="auto"/>
            <w:vAlign w:val="center"/>
            <w:hideMark/>
          </w:tcPr>
          <w:p w14:paraId="0BEE6779" w14:textId="5B31AC3B"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17 591</w:t>
            </w:r>
          </w:p>
        </w:tc>
        <w:tc>
          <w:tcPr>
            <w:tcW w:w="1898" w:type="dxa"/>
            <w:tcBorders>
              <w:top w:val="nil"/>
              <w:left w:val="nil"/>
              <w:bottom w:val="single" w:sz="4" w:space="0" w:color="0077BD"/>
              <w:right w:val="single" w:sz="8" w:space="0" w:color="0077BD"/>
            </w:tcBorders>
            <w:shd w:val="clear" w:color="auto" w:fill="auto"/>
            <w:vAlign w:val="center"/>
            <w:hideMark/>
          </w:tcPr>
          <w:p w14:paraId="54044FCB"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417</w:t>
            </w:r>
          </w:p>
        </w:tc>
        <w:tc>
          <w:tcPr>
            <w:tcW w:w="1898" w:type="dxa"/>
            <w:tcBorders>
              <w:top w:val="nil"/>
              <w:left w:val="nil"/>
              <w:bottom w:val="single" w:sz="4" w:space="0" w:color="0077BD"/>
              <w:right w:val="nil"/>
            </w:tcBorders>
            <w:shd w:val="clear" w:color="auto" w:fill="auto"/>
            <w:noWrap/>
            <w:vAlign w:val="center"/>
            <w:hideMark/>
          </w:tcPr>
          <w:p w14:paraId="4475F97C" w14:textId="442F4789" w:rsidR="000F7531" w:rsidRPr="0068723D" w:rsidRDefault="002748E3" w:rsidP="000F7531">
            <w:pPr>
              <w:jc w:val="right"/>
              <w:rPr>
                <w:rFonts w:cs="Calibri"/>
                <w:color w:val="000000" w:themeColor="text1"/>
                <w:sz w:val="12"/>
                <w:szCs w:val="16"/>
              </w:rPr>
            </w:pPr>
            <w:r>
              <w:rPr>
                <w:rFonts w:cs="Calibri"/>
                <w:color w:val="000000" w:themeColor="text1"/>
                <w:sz w:val="12"/>
                <w:szCs w:val="16"/>
              </w:rPr>
              <w:t>19 624</w:t>
            </w:r>
          </w:p>
        </w:tc>
      </w:tr>
      <w:tr w:rsidR="005A24AE" w:rsidRPr="0068723D" w14:paraId="3BB0CE28"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40326F56"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7 dni kalendarzowych</w:t>
            </w:r>
          </w:p>
        </w:tc>
        <w:tc>
          <w:tcPr>
            <w:tcW w:w="1897" w:type="dxa"/>
            <w:tcBorders>
              <w:top w:val="nil"/>
              <w:left w:val="nil"/>
              <w:bottom w:val="single" w:sz="4" w:space="0" w:color="0077BD"/>
              <w:right w:val="single" w:sz="8" w:space="0" w:color="0077BD"/>
            </w:tcBorders>
            <w:shd w:val="clear" w:color="auto" w:fill="auto"/>
            <w:vAlign w:val="center"/>
            <w:hideMark/>
          </w:tcPr>
          <w:p w14:paraId="69E60909" w14:textId="5CC69C84"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0</w:t>
            </w:r>
          </w:p>
        </w:tc>
        <w:tc>
          <w:tcPr>
            <w:tcW w:w="1898" w:type="dxa"/>
            <w:tcBorders>
              <w:top w:val="nil"/>
              <w:left w:val="nil"/>
              <w:bottom w:val="single" w:sz="4" w:space="0" w:color="0077BD"/>
              <w:right w:val="single" w:sz="8" w:space="0" w:color="0077BD"/>
            </w:tcBorders>
            <w:shd w:val="clear" w:color="auto" w:fill="auto"/>
            <w:vAlign w:val="center"/>
            <w:hideMark/>
          </w:tcPr>
          <w:p w14:paraId="38F59375" w14:textId="171C36FB"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17 591</w:t>
            </w:r>
          </w:p>
        </w:tc>
        <w:tc>
          <w:tcPr>
            <w:tcW w:w="1898" w:type="dxa"/>
            <w:tcBorders>
              <w:top w:val="nil"/>
              <w:left w:val="nil"/>
              <w:bottom w:val="single" w:sz="4" w:space="0" w:color="0077BD"/>
              <w:right w:val="single" w:sz="8" w:space="0" w:color="0077BD"/>
            </w:tcBorders>
            <w:shd w:val="clear" w:color="auto" w:fill="auto"/>
            <w:vAlign w:val="center"/>
            <w:hideMark/>
          </w:tcPr>
          <w:p w14:paraId="4026CCA4"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(2 987)</w:t>
            </w:r>
          </w:p>
        </w:tc>
        <w:tc>
          <w:tcPr>
            <w:tcW w:w="1898" w:type="dxa"/>
            <w:tcBorders>
              <w:top w:val="nil"/>
              <w:left w:val="nil"/>
              <w:bottom w:val="single" w:sz="4" w:space="0" w:color="0077BD"/>
              <w:right w:val="nil"/>
            </w:tcBorders>
            <w:shd w:val="clear" w:color="auto" w:fill="auto"/>
            <w:noWrap/>
            <w:vAlign w:val="center"/>
            <w:hideMark/>
          </w:tcPr>
          <w:p w14:paraId="2B8580F4" w14:textId="572FB5CA" w:rsidR="000F7531" w:rsidRPr="0068723D" w:rsidRDefault="002748E3" w:rsidP="000F7531">
            <w:pPr>
              <w:jc w:val="right"/>
              <w:rPr>
                <w:rFonts w:cs="Calibri"/>
                <w:color w:val="000000" w:themeColor="text1"/>
                <w:sz w:val="12"/>
                <w:szCs w:val="16"/>
              </w:rPr>
            </w:pPr>
            <w:r>
              <w:rPr>
                <w:rFonts w:cs="Calibri"/>
                <w:color w:val="000000" w:themeColor="text1"/>
                <w:sz w:val="12"/>
                <w:szCs w:val="16"/>
              </w:rPr>
              <w:t>16 637</w:t>
            </w:r>
          </w:p>
        </w:tc>
      </w:tr>
      <w:tr w:rsidR="005A24AE" w:rsidRPr="0068723D" w14:paraId="57E123DF"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08E1B33F"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15 dni kalendarzowych</w:t>
            </w:r>
          </w:p>
        </w:tc>
        <w:tc>
          <w:tcPr>
            <w:tcW w:w="1897" w:type="dxa"/>
            <w:tcBorders>
              <w:top w:val="nil"/>
              <w:left w:val="nil"/>
              <w:bottom w:val="single" w:sz="4" w:space="0" w:color="0077BD"/>
              <w:right w:val="single" w:sz="8" w:space="0" w:color="0077BD"/>
            </w:tcBorders>
            <w:shd w:val="clear" w:color="auto" w:fill="auto"/>
            <w:vAlign w:val="center"/>
            <w:hideMark/>
          </w:tcPr>
          <w:p w14:paraId="55A61BC7" w14:textId="6D383B5F"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(568)</w:t>
            </w:r>
          </w:p>
        </w:tc>
        <w:tc>
          <w:tcPr>
            <w:tcW w:w="1898" w:type="dxa"/>
            <w:tcBorders>
              <w:top w:val="nil"/>
              <w:left w:val="nil"/>
              <w:bottom w:val="single" w:sz="4" w:space="0" w:color="0077BD"/>
              <w:right w:val="single" w:sz="8" w:space="0" w:color="0077BD"/>
            </w:tcBorders>
            <w:shd w:val="clear" w:color="auto" w:fill="auto"/>
            <w:vAlign w:val="center"/>
            <w:hideMark/>
          </w:tcPr>
          <w:p w14:paraId="60847B5B" w14:textId="3E31BF29"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17 023</w:t>
            </w:r>
          </w:p>
        </w:tc>
        <w:tc>
          <w:tcPr>
            <w:tcW w:w="1898" w:type="dxa"/>
            <w:tcBorders>
              <w:top w:val="nil"/>
              <w:left w:val="nil"/>
              <w:bottom w:val="single" w:sz="4" w:space="0" w:color="0077BD"/>
              <w:right w:val="single" w:sz="8" w:space="0" w:color="0077BD"/>
            </w:tcBorders>
            <w:shd w:val="clear" w:color="auto" w:fill="auto"/>
            <w:vAlign w:val="center"/>
            <w:hideMark/>
          </w:tcPr>
          <w:p w14:paraId="557D38A2"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64</w:t>
            </w:r>
          </w:p>
        </w:tc>
        <w:tc>
          <w:tcPr>
            <w:tcW w:w="1898" w:type="dxa"/>
            <w:tcBorders>
              <w:top w:val="nil"/>
              <w:left w:val="nil"/>
              <w:bottom w:val="single" w:sz="4" w:space="0" w:color="0077BD"/>
              <w:right w:val="nil"/>
            </w:tcBorders>
            <w:shd w:val="clear" w:color="auto" w:fill="auto"/>
            <w:noWrap/>
            <w:vAlign w:val="center"/>
            <w:hideMark/>
          </w:tcPr>
          <w:p w14:paraId="3FF2923E" w14:textId="56D36BE9" w:rsidR="000F7531" w:rsidRPr="0068723D" w:rsidRDefault="002748E3" w:rsidP="000F7531">
            <w:pPr>
              <w:jc w:val="right"/>
              <w:rPr>
                <w:rFonts w:cs="Calibri"/>
                <w:color w:val="000000" w:themeColor="text1"/>
                <w:sz w:val="12"/>
                <w:szCs w:val="16"/>
              </w:rPr>
            </w:pPr>
            <w:r>
              <w:rPr>
                <w:rFonts w:cs="Calibri"/>
                <w:color w:val="000000" w:themeColor="text1"/>
                <w:sz w:val="12"/>
                <w:szCs w:val="16"/>
              </w:rPr>
              <w:t>16 701</w:t>
            </w:r>
          </w:p>
        </w:tc>
      </w:tr>
      <w:tr w:rsidR="005A24AE" w:rsidRPr="0068723D" w14:paraId="1CC059E9"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732A098F"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 miesiąca</w:t>
            </w:r>
          </w:p>
        </w:tc>
        <w:tc>
          <w:tcPr>
            <w:tcW w:w="1897" w:type="dxa"/>
            <w:tcBorders>
              <w:top w:val="nil"/>
              <w:left w:val="nil"/>
              <w:bottom w:val="single" w:sz="4" w:space="0" w:color="0077BD"/>
              <w:right w:val="single" w:sz="8" w:space="0" w:color="0077BD"/>
            </w:tcBorders>
            <w:shd w:val="clear" w:color="auto" w:fill="auto"/>
            <w:vAlign w:val="center"/>
            <w:hideMark/>
          </w:tcPr>
          <w:p w14:paraId="2EBDB434" w14:textId="5B57332C"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(2 340)</w:t>
            </w:r>
          </w:p>
        </w:tc>
        <w:tc>
          <w:tcPr>
            <w:tcW w:w="1898" w:type="dxa"/>
            <w:tcBorders>
              <w:top w:val="nil"/>
              <w:left w:val="nil"/>
              <w:bottom w:val="single" w:sz="4" w:space="0" w:color="0077BD"/>
              <w:right w:val="single" w:sz="8" w:space="0" w:color="0077BD"/>
            </w:tcBorders>
            <w:shd w:val="clear" w:color="auto" w:fill="auto"/>
            <w:vAlign w:val="center"/>
            <w:hideMark/>
          </w:tcPr>
          <w:p w14:paraId="3EB6EF1B" w14:textId="067D08EC"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14 683</w:t>
            </w:r>
          </w:p>
        </w:tc>
        <w:tc>
          <w:tcPr>
            <w:tcW w:w="1898" w:type="dxa"/>
            <w:tcBorders>
              <w:top w:val="nil"/>
              <w:left w:val="nil"/>
              <w:bottom w:val="single" w:sz="4" w:space="0" w:color="0077BD"/>
              <w:right w:val="single" w:sz="8" w:space="0" w:color="0077BD"/>
            </w:tcBorders>
            <w:shd w:val="clear" w:color="auto" w:fill="auto"/>
            <w:vAlign w:val="center"/>
            <w:hideMark/>
          </w:tcPr>
          <w:p w14:paraId="0AFFABD7"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(330)</w:t>
            </w:r>
          </w:p>
        </w:tc>
        <w:tc>
          <w:tcPr>
            <w:tcW w:w="1898" w:type="dxa"/>
            <w:tcBorders>
              <w:top w:val="nil"/>
              <w:left w:val="nil"/>
              <w:bottom w:val="single" w:sz="4" w:space="0" w:color="0077BD"/>
              <w:right w:val="nil"/>
            </w:tcBorders>
            <w:shd w:val="clear" w:color="auto" w:fill="auto"/>
            <w:noWrap/>
            <w:vAlign w:val="center"/>
            <w:hideMark/>
          </w:tcPr>
          <w:p w14:paraId="0D700018"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16 371</w:t>
            </w:r>
          </w:p>
        </w:tc>
      </w:tr>
      <w:tr w:rsidR="005A24AE" w:rsidRPr="0068723D" w14:paraId="22527565"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1A45F42C"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2 miesięcy</w:t>
            </w:r>
          </w:p>
        </w:tc>
        <w:tc>
          <w:tcPr>
            <w:tcW w:w="1897" w:type="dxa"/>
            <w:tcBorders>
              <w:top w:val="nil"/>
              <w:left w:val="nil"/>
              <w:bottom w:val="single" w:sz="4" w:space="0" w:color="0077BD"/>
              <w:right w:val="single" w:sz="8" w:space="0" w:color="0077BD"/>
            </w:tcBorders>
            <w:shd w:val="clear" w:color="auto" w:fill="auto"/>
            <w:vAlign w:val="center"/>
            <w:hideMark/>
          </w:tcPr>
          <w:p w14:paraId="08B4FC20" w14:textId="79FE5A8D"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1 979</w:t>
            </w:r>
          </w:p>
        </w:tc>
        <w:tc>
          <w:tcPr>
            <w:tcW w:w="1898" w:type="dxa"/>
            <w:tcBorders>
              <w:top w:val="nil"/>
              <w:left w:val="nil"/>
              <w:bottom w:val="single" w:sz="4" w:space="0" w:color="0077BD"/>
              <w:right w:val="single" w:sz="8" w:space="0" w:color="0077BD"/>
            </w:tcBorders>
            <w:shd w:val="clear" w:color="auto" w:fill="auto"/>
            <w:vAlign w:val="center"/>
            <w:hideMark/>
          </w:tcPr>
          <w:p w14:paraId="22391DAF" w14:textId="0FECC87C"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16 662</w:t>
            </w:r>
          </w:p>
        </w:tc>
        <w:tc>
          <w:tcPr>
            <w:tcW w:w="1898" w:type="dxa"/>
            <w:tcBorders>
              <w:top w:val="nil"/>
              <w:left w:val="nil"/>
              <w:bottom w:val="single" w:sz="4" w:space="0" w:color="0077BD"/>
              <w:right w:val="single" w:sz="8" w:space="0" w:color="0077BD"/>
            </w:tcBorders>
            <w:shd w:val="clear" w:color="auto" w:fill="auto"/>
            <w:vAlign w:val="center"/>
            <w:hideMark/>
          </w:tcPr>
          <w:p w14:paraId="0434960C"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1 937</w:t>
            </w:r>
          </w:p>
        </w:tc>
        <w:tc>
          <w:tcPr>
            <w:tcW w:w="1898" w:type="dxa"/>
            <w:tcBorders>
              <w:top w:val="nil"/>
              <w:left w:val="nil"/>
              <w:bottom w:val="single" w:sz="4" w:space="0" w:color="0077BD"/>
              <w:right w:val="nil"/>
            </w:tcBorders>
            <w:shd w:val="clear" w:color="auto" w:fill="auto"/>
            <w:noWrap/>
            <w:vAlign w:val="center"/>
            <w:hideMark/>
          </w:tcPr>
          <w:p w14:paraId="706D0B2B"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18 308</w:t>
            </w:r>
          </w:p>
        </w:tc>
      </w:tr>
      <w:tr w:rsidR="005A24AE" w:rsidRPr="0068723D" w14:paraId="171C4647"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506E786F"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3 miesięcy</w:t>
            </w:r>
          </w:p>
        </w:tc>
        <w:tc>
          <w:tcPr>
            <w:tcW w:w="1897" w:type="dxa"/>
            <w:tcBorders>
              <w:top w:val="nil"/>
              <w:left w:val="nil"/>
              <w:bottom w:val="single" w:sz="4" w:space="0" w:color="0077BD"/>
              <w:right w:val="single" w:sz="8" w:space="0" w:color="0077BD"/>
            </w:tcBorders>
            <w:shd w:val="clear" w:color="auto" w:fill="auto"/>
            <w:vAlign w:val="center"/>
            <w:hideMark/>
          </w:tcPr>
          <w:p w14:paraId="390F24DF" w14:textId="2DE1DA6D"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(6)</w:t>
            </w:r>
          </w:p>
        </w:tc>
        <w:tc>
          <w:tcPr>
            <w:tcW w:w="1898" w:type="dxa"/>
            <w:tcBorders>
              <w:top w:val="nil"/>
              <w:left w:val="nil"/>
              <w:bottom w:val="single" w:sz="4" w:space="0" w:color="0077BD"/>
              <w:right w:val="single" w:sz="8" w:space="0" w:color="0077BD"/>
            </w:tcBorders>
            <w:shd w:val="clear" w:color="auto" w:fill="auto"/>
            <w:vAlign w:val="center"/>
            <w:hideMark/>
          </w:tcPr>
          <w:p w14:paraId="15066418" w14:textId="3EA8CD1E"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16 656</w:t>
            </w:r>
          </w:p>
        </w:tc>
        <w:tc>
          <w:tcPr>
            <w:tcW w:w="1898" w:type="dxa"/>
            <w:tcBorders>
              <w:top w:val="nil"/>
              <w:left w:val="nil"/>
              <w:bottom w:val="single" w:sz="4" w:space="0" w:color="0077BD"/>
              <w:right w:val="single" w:sz="8" w:space="0" w:color="0077BD"/>
            </w:tcBorders>
            <w:shd w:val="clear" w:color="auto" w:fill="auto"/>
            <w:vAlign w:val="center"/>
            <w:hideMark/>
          </w:tcPr>
          <w:p w14:paraId="313AA178"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(574)</w:t>
            </w:r>
          </w:p>
        </w:tc>
        <w:tc>
          <w:tcPr>
            <w:tcW w:w="1898" w:type="dxa"/>
            <w:tcBorders>
              <w:top w:val="nil"/>
              <w:left w:val="nil"/>
              <w:bottom w:val="single" w:sz="4" w:space="0" w:color="0077BD"/>
              <w:right w:val="nil"/>
            </w:tcBorders>
            <w:shd w:val="clear" w:color="auto" w:fill="auto"/>
            <w:noWrap/>
            <w:vAlign w:val="center"/>
            <w:hideMark/>
          </w:tcPr>
          <w:p w14:paraId="31514DA3"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17 734</w:t>
            </w:r>
          </w:p>
        </w:tc>
      </w:tr>
      <w:tr w:rsidR="005A24AE" w:rsidRPr="0068723D" w14:paraId="38A0F66F"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32C0C006"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4 miesięcy</w:t>
            </w:r>
          </w:p>
        </w:tc>
        <w:tc>
          <w:tcPr>
            <w:tcW w:w="1897" w:type="dxa"/>
            <w:tcBorders>
              <w:top w:val="nil"/>
              <w:left w:val="nil"/>
              <w:bottom w:val="single" w:sz="4" w:space="0" w:color="0077BD"/>
              <w:right w:val="single" w:sz="8" w:space="0" w:color="0077BD"/>
            </w:tcBorders>
            <w:shd w:val="clear" w:color="auto" w:fill="auto"/>
            <w:vAlign w:val="center"/>
            <w:hideMark/>
          </w:tcPr>
          <w:p w14:paraId="279382CB" w14:textId="78ABCB24"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(94)</w:t>
            </w:r>
          </w:p>
        </w:tc>
        <w:tc>
          <w:tcPr>
            <w:tcW w:w="1898" w:type="dxa"/>
            <w:tcBorders>
              <w:top w:val="nil"/>
              <w:left w:val="nil"/>
              <w:bottom w:val="single" w:sz="4" w:space="0" w:color="0077BD"/>
              <w:right w:val="single" w:sz="8" w:space="0" w:color="0077BD"/>
            </w:tcBorders>
            <w:shd w:val="clear" w:color="auto" w:fill="auto"/>
            <w:vAlign w:val="center"/>
            <w:hideMark/>
          </w:tcPr>
          <w:p w14:paraId="610D6CB4" w14:textId="36C88E14"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16 562</w:t>
            </w:r>
          </w:p>
        </w:tc>
        <w:tc>
          <w:tcPr>
            <w:tcW w:w="1898" w:type="dxa"/>
            <w:tcBorders>
              <w:top w:val="nil"/>
              <w:left w:val="nil"/>
              <w:bottom w:val="single" w:sz="4" w:space="0" w:color="0077BD"/>
              <w:right w:val="single" w:sz="8" w:space="0" w:color="0077BD"/>
            </w:tcBorders>
            <w:shd w:val="clear" w:color="auto" w:fill="auto"/>
            <w:vAlign w:val="center"/>
            <w:hideMark/>
          </w:tcPr>
          <w:p w14:paraId="5B100FC1"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(2 218)</w:t>
            </w:r>
          </w:p>
        </w:tc>
        <w:tc>
          <w:tcPr>
            <w:tcW w:w="1898" w:type="dxa"/>
            <w:tcBorders>
              <w:top w:val="nil"/>
              <w:left w:val="nil"/>
              <w:bottom w:val="single" w:sz="4" w:space="0" w:color="0077BD"/>
              <w:right w:val="nil"/>
            </w:tcBorders>
            <w:shd w:val="clear" w:color="auto" w:fill="auto"/>
            <w:noWrap/>
            <w:vAlign w:val="center"/>
            <w:hideMark/>
          </w:tcPr>
          <w:p w14:paraId="12393B34"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15 516</w:t>
            </w:r>
          </w:p>
        </w:tc>
      </w:tr>
      <w:tr w:rsidR="005A24AE" w:rsidRPr="0068723D" w14:paraId="5B0B691D"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121AD12D"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5 miesięcy</w:t>
            </w:r>
          </w:p>
        </w:tc>
        <w:tc>
          <w:tcPr>
            <w:tcW w:w="1897" w:type="dxa"/>
            <w:tcBorders>
              <w:top w:val="nil"/>
              <w:left w:val="nil"/>
              <w:bottom w:val="single" w:sz="4" w:space="0" w:color="0077BD"/>
              <w:right w:val="single" w:sz="8" w:space="0" w:color="0077BD"/>
            </w:tcBorders>
            <w:shd w:val="clear" w:color="auto" w:fill="auto"/>
            <w:vAlign w:val="center"/>
            <w:hideMark/>
          </w:tcPr>
          <w:p w14:paraId="29D75E73" w14:textId="56C8A363"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(476)</w:t>
            </w:r>
          </w:p>
        </w:tc>
        <w:tc>
          <w:tcPr>
            <w:tcW w:w="1898" w:type="dxa"/>
            <w:tcBorders>
              <w:top w:val="nil"/>
              <w:left w:val="nil"/>
              <w:bottom w:val="single" w:sz="4" w:space="0" w:color="0077BD"/>
              <w:right w:val="single" w:sz="8" w:space="0" w:color="0077BD"/>
            </w:tcBorders>
            <w:shd w:val="clear" w:color="auto" w:fill="auto"/>
            <w:vAlign w:val="center"/>
            <w:hideMark/>
          </w:tcPr>
          <w:p w14:paraId="464F36F9" w14:textId="1F070CCC"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16 086</w:t>
            </w:r>
          </w:p>
        </w:tc>
        <w:tc>
          <w:tcPr>
            <w:tcW w:w="1898" w:type="dxa"/>
            <w:tcBorders>
              <w:top w:val="nil"/>
              <w:left w:val="nil"/>
              <w:bottom w:val="single" w:sz="4" w:space="0" w:color="0077BD"/>
              <w:right w:val="single" w:sz="8" w:space="0" w:color="0077BD"/>
            </w:tcBorders>
            <w:shd w:val="clear" w:color="auto" w:fill="auto"/>
            <w:vAlign w:val="center"/>
            <w:hideMark/>
          </w:tcPr>
          <w:p w14:paraId="67FCB616"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(1 105)</w:t>
            </w:r>
          </w:p>
        </w:tc>
        <w:tc>
          <w:tcPr>
            <w:tcW w:w="1898" w:type="dxa"/>
            <w:tcBorders>
              <w:top w:val="nil"/>
              <w:left w:val="nil"/>
              <w:bottom w:val="single" w:sz="4" w:space="0" w:color="0077BD"/>
              <w:right w:val="nil"/>
            </w:tcBorders>
            <w:shd w:val="clear" w:color="auto" w:fill="auto"/>
            <w:noWrap/>
            <w:vAlign w:val="center"/>
            <w:hideMark/>
          </w:tcPr>
          <w:p w14:paraId="64E25CB5" w14:textId="2525DAC1" w:rsidR="000F7531" w:rsidRPr="0068723D" w:rsidRDefault="002748E3" w:rsidP="000F7531">
            <w:pPr>
              <w:jc w:val="right"/>
              <w:rPr>
                <w:rFonts w:cs="Calibri"/>
                <w:color w:val="000000" w:themeColor="text1"/>
                <w:sz w:val="12"/>
                <w:szCs w:val="16"/>
              </w:rPr>
            </w:pPr>
            <w:r>
              <w:rPr>
                <w:rFonts w:cs="Calibri"/>
                <w:color w:val="000000" w:themeColor="text1"/>
                <w:sz w:val="12"/>
                <w:szCs w:val="16"/>
              </w:rPr>
              <w:t>14 411</w:t>
            </w:r>
          </w:p>
        </w:tc>
      </w:tr>
      <w:tr w:rsidR="005A24AE" w:rsidRPr="0068723D" w14:paraId="53487B17"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5FCC63D0"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6 miesięcy</w:t>
            </w:r>
          </w:p>
        </w:tc>
        <w:tc>
          <w:tcPr>
            <w:tcW w:w="1897" w:type="dxa"/>
            <w:tcBorders>
              <w:top w:val="nil"/>
              <w:left w:val="nil"/>
              <w:bottom w:val="single" w:sz="4" w:space="0" w:color="0077BD"/>
              <w:right w:val="single" w:sz="8" w:space="0" w:color="0077BD"/>
            </w:tcBorders>
            <w:shd w:val="clear" w:color="auto" w:fill="auto"/>
            <w:vAlign w:val="center"/>
            <w:hideMark/>
          </w:tcPr>
          <w:p w14:paraId="3F1DFA14" w14:textId="7E7F10DA"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(13)</w:t>
            </w:r>
          </w:p>
        </w:tc>
        <w:tc>
          <w:tcPr>
            <w:tcW w:w="1898" w:type="dxa"/>
            <w:tcBorders>
              <w:top w:val="nil"/>
              <w:left w:val="nil"/>
              <w:bottom w:val="single" w:sz="4" w:space="0" w:color="0077BD"/>
              <w:right w:val="single" w:sz="8" w:space="0" w:color="0077BD"/>
            </w:tcBorders>
            <w:shd w:val="clear" w:color="auto" w:fill="auto"/>
            <w:vAlign w:val="center"/>
            <w:hideMark/>
          </w:tcPr>
          <w:p w14:paraId="7C0FB118" w14:textId="71DCEC52"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16 073</w:t>
            </w:r>
          </w:p>
        </w:tc>
        <w:tc>
          <w:tcPr>
            <w:tcW w:w="1898" w:type="dxa"/>
            <w:tcBorders>
              <w:top w:val="nil"/>
              <w:left w:val="nil"/>
              <w:bottom w:val="single" w:sz="4" w:space="0" w:color="0077BD"/>
              <w:right w:val="single" w:sz="8" w:space="0" w:color="0077BD"/>
            </w:tcBorders>
            <w:shd w:val="clear" w:color="auto" w:fill="auto"/>
            <w:vAlign w:val="center"/>
            <w:hideMark/>
          </w:tcPr>
          <w:p w14:paraId="0109F223"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(933)</w:t>
            </w:r>
          </w:p>
        </w:tc>
        <w:tc>
          <w:tcPr>
            <w:tcW w:w="1898" w:type="dxa"/>
            <w:tcBorders>
              <w:top w:val="nil"/>
              <w:left w:val="nil"/>
              <w:bottom w:val="single" w:sz="4" w:space="0" w:color="0077BD"/>
              <w:right w:val="nil"/>
            </w:tcBorders>
            <w:shd w:val="clear" w:color="auto" w:fill="auto"/>
            <w:noWrap/>
            <w:vAlign w:val="center"/>
            <w:hideMark/>
          </w:tcPr>
          <w:p w14:paraId="759AEB79" w14:textId="53950D09" w:rsidR="000F7531" w:rsidRPr="0068723D" w:rsidRDefault="002748E3" w:rsidP="000F7531">
            <w:pPr>
              <w:jc w:val="right"/>
              <w:rPr>
                <w:rFonts w:cs="Calibri"/>
                <w:color w:val="000000" w:themeColor="text1"/>
                <w:sz w:val="12"/>
                <w:szCs w:val="16"/>
              </w:rPr>
            </w:pPr>
            <w:r>
              <w:rPr>
                <w:rFonts w:cs="Calibri"/>
                <w:color w:val="000000" w:themeColor="text1"/>
                <w:sz w:val="12"/>
                <w:szCs w:val="16"/>
              </w:rPr>
              <w:t>13 478</w:t>
            </w:r>
          </w:p>
        </w:tc>
      </w:tr>
      <w:tr w:rsidR="005A24AE" w:rsidRPr="0068723D" w14:paraId="19196855"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1EA70995"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7 miesięcy</w:t>
            </w:r>
          </w:p>
        </w:tc>
        <w:tc>
          <w:tcPr>
            <w:tcW w:w="1897" w:type="dxa"/>
            <w:tcBorders>
              <w:top w:val="nil"/>
              <w:left w:val="nil"/>
              <w:bottom w:val="single" w:sz="4" w:space="0" w:color="0077BD"/>
              <w:right w:val="single" w:sz="8" w:space="0" w:color="0077BD"/>
            </w:tcBorders>
            <w:shd w:val="clear" w:color="auto" w:fill="auto"/>
            <w:vAlign w:val="center"/>
            <w:hideMark/>
          </w:tcPr>
          <w:p w14:paraId="09276602" w14:textId="328E1A2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(225)</w:t>
            </w:r>
          </w:p>
        </w:tc>
        <w:tc>
          <w:tcPr>
            <w:tcW w:w="1898" w:type="dxa"/>
            <w:tcBorders>
              <w:top w:val="nil"/>
              <w:left w:val="nil"/>
              <w:bottom w:val="single" w:sz="4" w:space="0" w:color="0077BD"/>
              <w:right w:val="single" w:sz="8" w:space="0" w:color="0077BD"/>
            </w:tcBorders>
            <w:shd w:val="clear" w:color="auto" w:fill="auto"/>
            <w:vAlign w:val="center"/>
            <w:hideMark/>
          </w:tcPr>
          <w:p w14:paraId="47811C24" w14:textId="5911A70D"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15 848</w:t>
            </w:r>
          </w:p>
        </w:tc>
        <w:tc>
          <w:tcPr>
            <w:tcW w:w="1898" w:type="dxa"/>
            <w:tcBorders>
              <w:top w:val="nil"/>
              <w:left w:val="nil"/>
              <w:bottom w:val="single" w:sz="4" w:space="0" w:color="0077BD"/>
              <w:right w:val="single" w:sz="8" w:space="0" w:color="0077BD"/>
            </w:tcBorders>
            <w:shd w:val="clear" w:color="auto" w:fill="auto"/>
            <w:vAlign w:val="center"/>
            <w:hideMark/>
          </w:tcPr>
          <w:p w14:paraId="3F215A82"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(12)</w:t>
            </w:r>
          </w:p>
        </w:tc>
        <w:tc>
          <w:tcPr>
            <w:tcW w:w="1898" w:type="dxa"/>
            <w:tcBorders>
              <w:top w:val="nil"/>
              <w:left w:val="nil"/>
              <w:bottom w:val="single" w:sz="4" w:space="0" w:color="0077BD"/>
              <w:right w:val="nil"/>
            </w:tcBorders>
            <w:shd w:val="clear" w:color="auto" w:fill="auto"/>
            <w:noWrap/>
            <w:vAlign w:val="center"/>
            <w:hideMark/>
          </w:tcPr>
          <w:p w14:paraId="7D9A075D" w14:textId="3B12B09D" w:rsidR="000F7531" w:rsidRPr="0068723D" w:rsidRDefault="002748E3" w:rsidP="000F7531">
            <w:pPr>
              <w:jc w:val="right"/>
              <w:rPr>
                <w:rFonts w:cs="Calibri"/>
                <w:color w:val="000000" w:themeColor="text1"/>
                <w:sz w:val="12"/>
                <w:szCs w:val="16"/>
              </w:rPr>
            </w:pPr>
            <w:r>
              <w:rPr>
                <w:rFonts w:cs="Calibri"/>
                <w:color w:val="000000" w:themeColor="text1"/>
                <w:sz w:val="12"/>
                <w:szCs w:val="16"/>
              </w:rPr>
              <w:t>13 466</w:t>
            </w:r>
          </w:p>
        </w:tc>
      </w:tr>
      <w:tr w:rsidR="005A24AE" w:rsidRPr="0068723D" w14:paraId="34E4DAB6"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7EC44DEE"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8 miesięcy</w:t>
            </w:r>
          </w:p>
        </w:tc>
        <w:tc>
          <w:tcPr>
            <w:tcW w:w="1897" w:type="dxa"/>
            <w:tcBorders>
              <w:top w:val="nil"/>
              <w:left w:val="nil"/>
              <w:bottom w:val="single" w:sz="4" w:space="0" w:color="0077BD"/>
              <w:right w:val="single" w:sz="8" w:space="0" w:color="0077BD"/>
            </w:tcBorders>
            <w:shd w:val="clear" w:color="auto" w:fill="auto"/>
            <w:vAlign w:val="center"/>
            <w:hideMark/>
          </w:tcPr>
          <w:p w14:paraId="4BEEA77C" w14:textId="42D97202"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(335)</w:t>
            </w:r>
          </w:p>
        </w:tc>
        <w:tc>
          <w:tcPr>
            <w:tcW w:w="1898" w:type="dxa"/>
            <w:tcBorders>
              <w:top w:val="nil"/>
              <w:left w:val="nil"/>
              <w:bottom w:val="single" w:sz="4" w:space="0" w:color="0077BD"/>
              <w:right w:val="single" w:sz="8" w:space="0" w:color="0077BD"/>
            </w:tcBorders>
            <w:shd w:val="clear" w:color="auto" w:fill="auto"/>
            <w:vAlign w:val="center"/>
            <w:hideMark/>
          </w:tcPr>
          <w:p w14:paraId="1D9C1BFC" w14:textId="6F28C58D"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15 513</w:t>
            </w:r>
          </w:p>
        </w:tc>
        <w:tc>
          <w:tcPr>
            <w:tcW w:w="1898" w:type="dxa"/>
            <w:tcBorders>
              <w:top w:val="nil"/>
              <w:left w:val="nil"/>
              <w:bottom w:val="single" w:sz="4" w:space="0" w:color="0077BD"/>
              <w:right w:val="single" w:sz="8" w:space="0" w:color="0077BD"/>
            </w:tcBorders>
            <w:shd w:val="clear" w:color="auto" w:fill="auto"/>
            <w:vAlign w:val="center"/>
            <w:hideMark/>
          </w:tcPr>
          <w:p w14:paraId="08EA6785"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(366)</w:t>
            </w:r>
          </w:p>
        </w:tc>
        <w:tc>
          <w:tcPr>
            <w:tcW w:w="1898" w:type="dxa"/>
            <w:tcBorders>
              <w:top w:val="nil"/>
              <w:left w:val="nil"/>
              <w:bottom w:val="single" w:sz="4" w:space="0" w:color="0077BD"/>
              <w:right w:val="nil"/>
            </w:tcBorders>
            <w:shd w:val="clear" w:color="auto" w:fill="auto"/>
            <w:noWrap/>
            <w:vAlign w:val="center"/>
            <w:hideMark/>
          </w:tcPr>
          <w:p w14:paraId="23920C0C" w14:textId="0A325F95"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 xml:space="preserve">13 </w:t>
            </w:r>
            <w:r w:rsidR="002748E3">
              <w:rPr>
                <w:rFonts w:cs="Calibri"/>
                <w:color w:val="000000" w:themeColor="text1"/>
                <w:sz w:val="12"/>
                <w:szCs w:val="16"/>
              </w:rPr>
              <w:t>100</w:t>
            </w:r>
          </w:p>
        </w:tc>
      </w:tr>
      <w:tr w:rsidR="005A24AE" w:rsidRPr="0068723D" w14:paraId="50C11DE7"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4AA7545B"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9 miesięcy</w:t>
            </w:r>
          </w:p>
        </w:tc>
        <w:tc>
          <w:tcPr>
            <w:tcW w:w="1897" w:type="dxa"/>
            <w:tcBorders>
              <w:top w:val="nil"/>
              <w:left w:val="nil"/>
              <w:bottom w:val="single" w:sz="4" w:space="0" w:color="0077BD"/>
              <w:right w:val="single" w:sz="8" w:space="0" w:color="0077BD"/>
            </w:tcBorders>
            <w:shd w:val="clear" w:color="auto" w:fill="auto"/>
            <w:vAlign w:val="center"/>
            <w:hideMark/>
          </w:tcPr>
          <w:p w14:paraId="105BF18A" w14:textId="2BA61233"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(2 318)</w:t>
            </w:r>
          </w:p>
        </w:tc>
        <w:tc>
          <w:tcPr>
            <w:tcW w:w="1898" w:type="dxa"/>
            <w:tcBorders>
              <w:top w:val="nil"/>
              <w:left w:val="nil"/>
              <w:bottom w:val="single" w:sz="4" w:space="0" w:color="0077BD"/>
              <w:right w:val="single" w:sz="8" w:space="0" w:color="0077BD"/>
            </w:tcBorders>
            <w:shd w:val="clear" w:color="auto" w:fill="auto"/>
            <w:vAlign w:val="center"/>
            <w:hideMark/>
          </w:tcPr>
          <w:p w14:paraId="324E03BD" w14:textId="611829B5"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13 195</w:t>
            </w:r>
          </w:p>
        </w:tc>
        <w:tc>
          <w:tcPr>
            <w:tcW w:w="1898" w:type="dxa"/>
            <w:tcBorders>
              <w:top w:val="nil"/>
              <w:left w:val="nil"/>
              <w:bottom w:val="single" w:sz="4" w:space="0" w:color="0077BD"/>
              <w:right w:val="single" w:sz="8" w:space="0" w:color="0077BD"/>
            </w:tcBorders>
            <w:shd w:val="clear" w:color="auto" w:fill="auto"/>
            <w:vAlign w:val="center"/>
            <w:hideMark/>
          </w:tcPr>
          <w:p w14:paraId="75F243DF"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150</w:t>
            </w:r>
          </w:p>
        </w:tc>
        <w:tc>
          <w:tcPr>
            <w:tcW w:w="1898" w:type="dxa"/>
            <w:tcBorders>
              <w:top w:val="nil"/>
              <w:left w:val="nil"/>
              <w:bottom w:val="single" w:sz="4" w:space="0" w:color="0077BD"/>
              <w:right w:val="nil"/>
            </w:tcBorders>
            <w:shd w:val="clear" w:color="auto" w:fill="auto"/>
            <w:noWrap/>
            <w:vAlign w:val="center"/>
            <w:hideMark/>
          </w:tcPr>
          <w:p w14:paraId="6A22B686" w14:textId="24A90BA4" w:rsidR="000F7531" w:rsidRPr="0068723D" w:rsidRDefault="002748E3" w:rsidP="000F7531">
            <w:pPr>
              <w:jc w:val="right"/>
              <w:rPr>
                <w:rFonts w:cs="Calibri"/>
                <w:color w:val="000000" w:themeColor="text1"/>
                <w:sz w:val="12"/>
                <w:szCs w:val="16"/>
              </w:rPr>
            </w:pPr>
            <w:r>
              <w:rPr>
                <w:rFonts w:cs="Calibri"/>
                <w:color w:val="000000" w:themeColor="text1"/>
                <w:sz w:val="12"/>
                <w:szCs w:val="16"/>
              </w:rPr>
              <w:t>13 250</w:t>
            </w:r>
          </w:p>
        </w:tc>
      </w:tr>
      <w:tr w:rsidR="005A24AE" w:rsidRPr="0068723D" w14:paraId="70C07511"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1BA4FDFD"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10 miesięcy</w:t>
            </w:r>
          </w:p>
        </w:tc>
        <w:tc>
          <w:tcPr>
            <w:tcW w:w="1897" w:type="dxa"/>
            <w:tcBorders>
              <w:top w:val="nil"/>
              <w:left w:val="nil"/>
              <w:bottom w:val="single" w:sz="4" w:space="0" w:color="0077BD"/>
              <w:right w:val="single" w:sz="8" w:space="0" w:color="0077BD"/>
            </w:tcBorders>
            <w:shd w:val="clear" w:color="auto" w:fill="auto"/>
            <w:vAlign w:val="center"/>
            <w:hideMark/>
          </w:tcPr>
          <w:p w14:paraId="23B088EF" w14:textId="15E20595"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(565)</w:t>
            </w:r>
          </w:p>
        </w:tc>
        <w:tc>
          <w:tcPr>
            <w:tcW w:w="1898" w:type="dxa"/>
            <w:tcBorders>
              <w:top w:val="nil"/>
              <w:left w:val="nil"/>
              <w:bottom w:val="single" w:sz="4" w:space="0" w:color="0077BD"/>
              <w:right w:val="single" w:sz="8" w:space="0" w:color="0077BD"/>
            </w:tcBorders>
            <w:shd w:val="clear" w:color="auto" w:fill="auto"/>
            <w:vAlign w:val="center"/>
            <w:hideMark/>
          </w:tcPr>
          <w:p w14:paraId="4682113D" w14:textId="07AC9583"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12 630</w:t>
            </w:r>
          </w:p>
        </w:tc>
        <w:tc>
          <w:tcPr>
            <w:tcW w:w="1898" w:type="dxa"/>
            <w:tcBorders>
              <w:top w:val="nil"/>
              <w:left w:val="nil"/>
              <w:bottom w:val="single" w:sz="4" w:space="0" w:color="0077BD"/>
              <w:right w:val="single" w:sz="8" w:space="0" w:color="0077BD"/>
            </w:tcBorders>
            <w:shd w:val="clear" w:color="auto" w:fill="auto"/>
            <w:vAlign w:val="center"/>
            <w:hideMark/>
          </w:tcPr>
          <w:p w14:paraId="06DC37E4"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761</w:t>
            </w:r>
          </w:p>
        </w:tc>
        <w:tc>
          <w:tcPr>
            <w:tcW w:w="1898" w:type="dxa"/>
            <w:tcBorders>
              <w:top w:val="nil"/>
              <w:left w:val="nil"/>
              <w:bottom w:val="single" w:sz="4" w:space="0" w:color="0077BD"/>
              <w:right w:val="nil"/>
            </w:tcBorders>
            <w:shd w:val="clear" w:color="auto" w:fill="auto"/>
            <w:noWrap/>
            <w:vAlign w:val="center"/>
            <w:hideMark/>
          </w:tcPr>
          <w:p w14:paraId="4958DA6D" w14:textId="4136B8AF" w:rsidR="000F7531" w:rsidRPr="0068723D" w:rsidRDefault="002748E3" w:rsidP="000F7531">
            <w:pPr>
              <w:jc w:val="right"/>
              <w:rPr>
                <w:rFonts w:cs="Calibri"/>
                <w:color w:val="000000" w:themeColor="text1"/>
                <w:sz w:val="12"/>
                <w:szCs w:val="16"/>
              </w:rPr>
            </w:pPr>
            <w:r>
              <w:rPr>
                <w:rFonts w:cs="Calibri"/>
                <w:color w:val="000000" w:themeColor="text1"/>
                <w:sz w:val="12"/>
                <w:szCs w:val="16"/>
              </w:rPr>
              <w:t>14 011</w:t>
            </w:r>
          </w:p>
        </w:tc>
      </w:tr>
      <w:tr w:rsidR="005A24AE" w:rsidRPr="0068723D" w14:paraId="543434A6" w14:textId="77777777" w:rsidTr="00256456">
        <w:trPr>
          <w:trHeight w:val="227"/>
        </w:trPr>
        <w:tc>
          <w:tcPr>
            <w:tcW w:w="1897" w:type="dxa"/>
            <w:tcBorders>
              <w:top w:val="nil"/>
              <w:left w:val="single" w:sz="8" w:space="0" w:color="FFFFFF"/>
              <w:bottom w:val="single" w:sz="4" w:space="0" w:color="0077BD"/>
              <w:right w:val="single" w:sz="8" w:space="0" w:color="0077BD"/>
            </w:tcBorders>
            <w:shd w:val="clear" w:color="auto" w:fill="auto"/>
            <w:vAlign w:val="center"/>
            <w:hideMark/>
          </w:tcPr>
          <w:p w14:paraId="2257F57A"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11 miesięcy</w:t>
            </w:r>
          </w:p>
        </w:tc>
        <w:tc>
          <w:tcPr>
            <w:tcW w:w="1897" w:type="dxa"/>
            <w:tcBorders>
              <w:top w:val="nil"/>
              <w:left w:val="nil"/>
              <w:bottom w:val="single" w:sz="4" w:space="0" w:color="0077BD"/>
              <w:right w:val="single" w:sz="8" w:space="0" w:color="0077BD"/>
            </w:tcBorders>
            <w:shd w:val="clear" w:color="auto" w:fill="auto"/>
            <w:vAlign w:val="center"/>
            <w:hideMark/>
          </w:tcPr>
          <w:p w14:paraId="23711D2B" w14:textId="354EE26F"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(142)</w:t>
            </w:r>
          </w:p>
        </w:tc>
        <w:tc>
          <w:tcPr>
            <w:tcW w:w="1898" w:type="dxa"/>
            <w:tcBorders>
              <w:top w:val="nil"/>
              <w:left w:val="nil"/>
              <w:bottom w:val="single" w:sz="4" w:space="0" w:color="0077BD"/>
              <w:right w:val="single" w:sz="8" w:space="0" w:color="0077BD"/>
            </w:tcBorders>
            <w:shd w:val="clear" w:color="auto" w:fill="auto"/>
            <w:vAlign w:val="center"/>
            <w:hideMark/>
          </w:tcPr>
          <w:p w14:paraId="4578B7EA" w14:textId="23204978"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12 488</w:t>
            </w:r>
          </w:p>
        </w:tc>
        <w:tc>
          <w:tcPr>
            <w:tcW w:w="1898" w:type="dxa"/>
            <w:tcBorders>
              <w:top w:val="nil"/>
              <w:left w:val="nil"/>
              <w:bottom w:val="single" w:sz="4" w:space="0" w:color="0077BD"/>
              <w:right w:val="single" w:sz="8" w:space="0" w:color="0077BD"/>
            </w:tcBorders>
            <w:shd w:val="clear" w:color="auto" w:fill="auto"/>
            <w:vAlign w:val="center"/>
            <w:hideMark/>
          </w:tcPr>
          <w:p w14:paraId="433455D0"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(109)</w:t>
            </w:r>
          </w:p>
        </w:tc>
        <w:tc>
          <w:tcPr>
            <w:tcW w:w="1898" w:type="dxa"/>
            <w:tcBorders>
              <w:top w:val="nil"/>
              <w:left w:val="nil"/>
              <w:bottom w:val="single" w:sz="4" w:space="0" w:color="0077BD"/>
              <w:right w:val="nil"/>
            </w:tcBorders>
            <w:shd w:val="clear" w:color="auto" w:fill="auto"/>
            <w:noWrap/>
            <w:vAlign w:val="center"/>
            <w:hideMark/>
          </w:tcPr>
          <w:p w14:paraId="49CCE32E" w14:textId="461C5953" w:rsidR="000F7531" w:rsidRPr="0068723D" w:rsidRDefault="002748E3" w:rsidP="000F7531">
            <w:pPr>
              <w:jc w:val="right"/>
              <w:rPr>
                <w:rFonts w:cs="Calibri"/>
                <w:color w:val="000000" w:themeColor="text1"/>
                <w:sz w:val="12"/>
                <w:szCs w:val="16"/>
              </w:rPr>
            </w:pPr>
            <w:r>
              <w:rPr>
                <w:rFonts w:cs="Calibri"/>
                <w:color w:val="000000" w:themeColor="text1"/>
                <w:sz w:val="12"/>
                <w:szCs w:val="16"/>
              </w:rPr>
              <w:t>13 902</w:t>
            </w:r>
          </w:p>
        </w:tc>
      </w:tr>
      <w:tr w:rsidR="005A24AE" w:rsidRPr="0068723D" w14:paraId="3D03215D" w14:textId="77777777" w:rsidTr="00256456">
        <w:trPr>
          <w:trHeight w:val="227"/>
        </w:trPr>
        <w:tc>
          <w:tcPr>
            <w:tcW w:w="1897" w:type="dxa"/>
            <w:tcBorders>
              <w:top w:val="nil"/>
              <w:left w:val="single" w:sz="8" w:space="0" w:color="FFFFFF"/>
              <w:bottom w:val="single" w:sz="8" w:space="0" w:color="0077BD"/>
              <w:right w:val="single" w:sz="8" w:space="0" w:color="0077BD"/>
            </w:tcBorders>
            <w:shd w:val="clear" w:color="auto" w:fill="auto"/>
            <w:vAlign w:val="center"/>
            <w:hideMark/>
          </w:tcPr>
          <w:p w14:paraId="71D4B572" w14:textId="77777777" w:rsidR="000F7531" w:rsidRPr="0068723D" w:rsidRDefault="000F7531" w:rsidP="000F7531">
            <w:pPr>
              <w:rPr>
                <w:rFonts w:cs="Calibri"/>
                <w:color w:val="000000" w:themeColor="text1"/>
                <w:sz w:val="12"/>
                <w:szCs w:val="16"/>
              </w:rPr>
            </w:pPr>
            <w:r w:rsidRPr="0068723D">
              <w:rPr>
                <w:rFonts w:cs="Calibri"/>
                <w:color w:val="000000" w:themeColor="text1"/>
                <w:sz w:val="12"/>
                <w:szCs w:val="16"/>
              </w:rPr>
              <w:t>do 12 miesięcy</w:t>
            </w:r>
          </w:p>
        </w:tc>
        <w:tc>
          <w:tcPr>
            <w:tcW w:w="1897" w:type="dxa"/>
            <w:tcBorders>
              <w:top w:val="nil"/>
              <w:left w:val="nil"/>
              <w:bottom w:val="single" w:sz="8" w:space="0" w:color="0077BD"/>
              <w:right w:val="nil"/>
            </w:tcBorders>
            <w:shd w:val="clear" w:color="auto" w:fill="auto"/>
            <w:noWrap/>
            <w:vAlign w:val="center"/>
            <w:hideMark/>
          </w:tcPr>
          <w:p w14:paraId="0841BAE6" w14:textId="3EB7E20F"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361</w:t>
            </w:r>
          </w:p>
        </w:tc>
        <w:tc>
          <w:tcPr>
            <w:tcW w:w="1898" w:type="dxa"/>
            <w:tcBorders>
              <w:top w:val="nil"/>
              <w:left w:val="single" w:sz="8" w:space="0" w:color="0077BD"/>
              <w:bottom w:val="single" w:sz="8" w:space="0" w:color="0077BD"/>
              <w:right w:val="nil"/>
            </w:tcBorders>
            <w:shd w:val="clear" w:color="auto" w:fill="auto"/>
            <w:noWrap/>
            <w:vAlign w:val="center"/>
            <w:hideMark/>
          </w:tcPr>
          <w:p w14:paraId="5CABACFF" w14:textId="25230DB8"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12 849</w:t>
            </w:r>
          </w:p>
        </w:tc>
        <w:tc>
          <w:tcPr>
            <w:tcW w:w="1898" w:type="dxa"/>
            <w:tcBorders>
              <w:top w:val="nil"/>
              <w:left w:val="single" w:sz="8" w:space="0" w:color="0077BD"/>
              <w:bottom w:val="single" w:sz="8" w:space="0" w:color="0077BD"/>
              <w:right w:val="nil"/>
            </w:tcBorders>
            <w:shd w:val="clear" w:color="auto" w:fill="auto"/>
            <w:noWrap/>
            <w:vAlign w:val="center"/>
            <w:hideMark/>
          </w:tcPr>
          <w:p w14:paraId="41188941" w14:textId="77777777" w:rsidR="000F7531" w:rsidRPr="0068723D" w:rsidRDefault="000F7531" w:rsidP="000F7531">
            <w:pPr>
              <w:jc w:val="right"/>
              <w:rPr>
                <w:rFonts w:cs="Calibri"/>
                <w:color w:val="000000" w:themeColor="text1"/>
                <w:sz w:val="12"/>
                <w:szCs w:val="16"/>
              </w:rPr>
            </w:pPr>
            <w:r w:rsidRPr="0068723D">
              <w:rPr>
                <w:rFonts w:cs="Calibri"/>
                <w:color w:val="000000" w:themeColor="text1"/>
                <w:sz w:val="12"/>
                <w:szCs w:val="16"/>
              </w:rPr>
              <w:t>349</w:t>
            </w:r>
          </w:p>
        </w:tc>
        <w:tc>
          <w:tcPr>
            <w:tcW w:w="1898" w:type="dxa"/>
            <w:tcBorders>
              <w:top w:val="nil"/>
              <w:left w:val="single" w:sz="8" w:space="0" w:color="0077BD"/>
              <w:bottom w:val="single" w:sz="8" w:space="0" w:color="0077BD"/>
              <w:right w:val="nil"/>
            </w:tcBorders>
            <w:shd w:val="clear" w:color="auto" w:fill="auto"/>
            <w:noWrap/>
            <w:vAlign w:val="center"/>
            <w:hideMark/>
          </w:tcPr>
          <w:p w14:paraId="65565B8D" w14:textId="0C438502" w:rsidR="000F7531" w:rsidRPr="0068723D" w:rsidRDefault="002748E3" w:rsidP="000F7531">
            <w:pPr>
              <w:jc w:val="right"/>
              <w:rPr>
                <w:rFonts w:cs="Calibri"/>
                <w:color w:val="000000" w:themeColor="text1"/>
                <w:sz w:val="12"/>
                <w:szCs w:val="16"/>
              </w:rPr>
            </w:pPr>
            <w:r>
              <w:rPr>
                <w:rFonts w:cs="Calibri"/>
                <w:color w:val="000000" w:themeColor="text1"/>
                <w:sz w:val="12"/>
                <w:szCs w:val="16"/>
              </w:rPr>
              <w:t>14 251</w:t>
            </w:r>
          </w:p>
        </w:tc>
      </w:tr>
    </w:tbl>
    <w:p w14:paraId="6A849F31" w14:textId="70918AD7" w:rsidR="00E60A42" w:rsidRPr="0068723D" w:rsidRDefault="00E60A42" w:rsidP="00E60A42">
      <w:pPr>
        <w:autoSpaceDE w:val="0"/>
        <w:autoSpaceDN w:val="0"/>
        <w:adjustRightInd w:val="0"/>
        <w:spacing w:before="120" w:after="120"/>
        <w:jc w:val="both"/>
        <w:rPr>
          <w:rFonts w:eastAsia="Calibri" w:cs="Verdana"/>
          <w:color w:val="000000" w:themeColor="text1"/>
          <w:sz w:val="18"/>
          <w:szCs w:val="18"/>
        </w:rPr>
      </w:pPr>
      <w:r w:rsidRPr="0068723D">
        <w:rPr>
          <w:rFonts w:eastAsia="Calibri" w:cs="Verdana"/>
          <w:color w:val="000000" w:themeColor="text1"/>
          <w:sz w:val="18"/>
          <w:szCs w:val="18"/>
        </w:rPr>
        <w:t xml:space="preserve">Powyższe wartości należy interpretować jako nadwyżki/niedobory płynności w wymienionych przedziałach czasowych. Pozytywny wpływ na poziom luki płynności miała dynamika rozwoju depozytów terminowych i rachunków bieżących (13,8 mld zł, w przeliczeniu po kursie z dnia 31 grudnia 2019 roku) przewyższająca dynamikę rozwoju działalności kredytowej (10,1 mld zł, w przeliczeniu po kursie z dnia 31 grudnia 2019 roku). </w:t>
      </w:r>
    </w:p>
    <w:p w14:paraId="7CDC189A" w14:textId="1EC07B85" w:rsidR="00E60A42" w:rsidRPr="0068723D" w:rsidRDefault="00E60A42" w:rsidP="00E60A42">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Negatywnie na poziom luki płynności wpłynął rozwój finansowania hurtowego - spłaty finansowania przewyższały wartość finansowania pozyskanego</w:t>
      </w:r>
      <w:r w:rsidR="008C0367">
        <w:rPr>
          <w:rFonts w:eastAsia="Calibri" w:cs="Verdana"/>
          <w:color w:val="000000" w:themeColor="text1"/>
          <w:sz w:val="18"/>
          <w:szCs w:val="18"/>
        </w:rPr>
        <w:t>,</w:t>
      </w:r>
      <w:r w:rsidRPr="0068723D">
        <w:rPr>
          <w:rFonts w:eastAsia="Calibri" w:cs="Verdana"/>
          <w:color w:val="000000" w:themeColor="text1"/>
          <w:sz w:val="18"/>
          <w:szCs w:val="18"/>
        </w:rPr>
        <w:t xml:space="preserve"> wynikający ze spłaty 500 mln EUR finansowania niezabezpieczonego, spłaty 376 mln EUR finansowania zabezpieczonego oraz pozyskania 263 mln CHF.</w:t>
      </w:r>
    </w:p>
    <w:p w14:paraId="22A8CB2D" w14:textId="77777777" w:rsidR="00E60A42" w:rsidRPr="0068723D" w:rsidRDefault="00E60A42" w:rsidP="00E60A42">
      <w:pPr>
        <w:spacing w:after="120"/>
        <w:jc w:val="both"/>
        <w:rPr>
          <w:color w:val="000000" w:themeColor="text1"/>
          <w:sz w:val="18"/>
          <w:szCs w:val="18"/>
        </w:rPr>
      </w:pPr>
      <w:r w:rsidRPr="0068723D">
        <w:rPr>
          <w:color w:val="000000" w:themeColor="text1"/>
          <w:sz w:val="18"/>
          <w:szCs w:val="18"/>
        </w:rPr>
        <w:t>Bank oblicza kwotę dodatkowego wymogu depozytów zabezpieczających, wynikającego z zawartych umów z kontrahentami, które musiałby dostarczyć kontrahentom w przypadku potencjalnego obniżenia ratingu kredytowego. Według stanu na 31 grudnia 2019 roku Bank nie musiałby wnosić dodatkowego zabezpieczenia.</w:t>
      </w:r>
    </w:p>
    <w:p w14:paraId="4087414F" w14:textId="3C783DC0" w:rsidR="008C6E2A" w:rsidRDefault="00E60A42" w:rsidP="00E60A42">
      <w:pPr>
        <w:autoSpaceDE w:val="0"/>
        <w:autoSpaceDN w:val="0"/>
        <w:adjustRightInd w:val="0"/>
        <w:spacing w:after="120"/>
        <w:jc w:val="both"/>
        <w:rPr>
          <w:rFonts w:eastAsia="Calibri"/>
          <w:color w:val="000000" w:themeColor="text1"/>
          <w:sz w:val="18"/>
          <w:szCs w:val="18"/>
        </w:rPr>
      </w:pPr>
      <w:r w:rsidRPr="0068723D">
        <w:rPr>
          <w:rFonts w:eastAsia="Calibri"/>
          <w:color w:val="000000" w:themeColor="text1"/>
          <w:sz w:val="18"/>
          <w:szCs w:val="18"/>
        </w:rPr>
        <w:t>W 2019 roku płynność Banku kształtowała się na bezpiecznym poziomie, co było odzwierciedlone w kwocie nadwyżki środków płynnych nad zobowiązaniami krótkoterminowymi w terminach miar LAB oraz w poziomach miar regulacyjnych.</w:t>
      </w:r>
    </w:p>
    <w:p w14:paraId="6BE5BE06" w14:textId="77777777" w:rsidR="008C6E2A" w:rsidRDefault="008C6E2A">
      <w:pPr>
        <w:rPr>
          <w:rFonts w:eastAsia="Calibri"/>
          <w:color w:val="000000" w:themeColor="text1"/>
          <w:sz w:val="18"/>
          <w:szCs w:val="18"/>
        </w:rPr>
      </w:pPr>
      <w:r>
        <w:rPr>
          <w:rFonts w:eastAsia="Calibri"/>
          <w:color w:val="000000" w:themeColor="text1"/>
          <w:sz w:val="18"/>
          <w:szCs w:val="18"/>
        </w:rPr>
        <w:br w:type="page"/>
      </w:r>
    </w:p>
    <w:p w14:paraId="235A4017" w14:textId="1FE143E0" w:rsidR="00F92FD6" w:rsidRPr="0068723D" w:rsidRDefault="00E60A42" w:rsidP="00E60A42">
      <w:pPr>
        <w:autoSpaceDE w:val="0"/>
        <w:autoSpaceDN w:val="0"/>
        <w:adjustRightInd w:val="0"/>
        <w:spacing w:after="120"/>
        <w:jc w:val="both"/>
        <w:rPr>
          <w:rFonts w:eastAsia="Calibri"/>
          <w:color w:val="000000" w:themeColor="text1"/>
          <w:sz w:val="18"/>
          <w:szCs w:val="18"/>
        </w:rPr>
      </w:pPr>
      <w:r w:rsidRPr="0068723D">
        <w:rPr>
          <w:rFonts w:eastAsia="Calibri"/>
          <w:color w:val="000000" w:themeColor="text1"/>
          <w:sz w:val="18"/>
          <w:szCs w:val="18"/>
        </w:rPr>
        <w:lastRenderedPageBreak/>
        <w:t>Niedopasowanie luk LAB w terminach do 1 miesiąca oraz do 1 roku w 2019 roku oraz wartości miar regulacyjnych M3-M4 oraz LCR przedstawia poniższa tabela</w:t>
      </w:r>
      <w:r w:rsidR="00F92FD6" w:rsidRPr="0068723D">
        <w:rPr>
          <w:rFonts w:eastAsia="Calibri"/>
          <w:color w:val="000000" w:themeColor="text1"/>
          <w:sz w:val="18"/>
          <w:szCs w:val="18"/>
        </w:rPr>
        <w:t>:</w:t>
      </w:r>
    </w:p>
    <w:tbl>
      <w:tblPr>
        <w:tblW w:w="9639" w:type="dxa"/>
        <w:tblCellMar>
          <w:left w:w="28" w:type="dxa"/>
          <w:right w:w="28" w:type="dxa"/>
        </w:tblCellMar>
        <w:tblLook w:val="04A0" w:firstRow="1" w:lastRow="0" w:firstColumn="1" w:lastColumn="0" w:noHBand="0" w:noVBand="1"/>
      </w:tblPr>
      <w:tblGrid>
        <w:gridCol w:w="4893"/>
        <w:gridCol w:w="2373"/>
        <w:gridCol w:w="2373"/>
      </w:tblGrid>
      <w:tr w:rsidR="00F92FD6" w:rsidRPr="001F00D5" w14:paraId="632769C1" w14:textId="77777777" w:rsidTr="00E60A42">
        <w:trPr>
          <w:trHeight w:val="284"/>
        </w:trPr>
        <w:tc>
          <w:tcPr>
            <w:tcW w:w="4893" w:type="dxa"/>
            <w:tcBorders>
              <w:top w:val="single" w:sz="8" w:space="0" w:color="FFFFFF"/>
              <w:left w:val="nil"/>
              <w:bottom w:val="single" w:sz="8" w:space="0" w:color="FFFFFF"/>
              <w:right w:val="single" w:sz="8" w:space="0" w:color="FFFFFF"/>
            </w:tcBorders>
            <w:shd w:val="clear" w:color="000000" w:fill="0070C0"/>
            <w:noWrap/>
            <w:vAlign w:val="center"/>
            <w:hideMark/>
          </w:tcPr>
          <w:p w14:paraId="58596920" w14:textId="26962163" w:rsidR="00F92FD6" w:rsidRPr="001F00D5" w:rsidRDefault="00F92FD6" w:rsidP="00FC695C">
            <w:pPr>
              <w:jc w:val="right"/>
              <w:rPr>
                <w:rFonts w:cs="Calibri"/>
                <w:b/>
                <w:bCs/>
                <w:color w:val="FFFFFF"/>
                <w:sz w:val="13"/>
                <w:szCs w:val="13"/>
              </w:rPr>
            </w:pPr>
          </w:p>
        </w:tc>
        <w:tc>
          <w:tcPr>
            <w:tcW w:w="2373" w:type="dxa"/>
            <w:tcBorders>
              <w:top w:val="single" w:sz="8" w:space="0" w:color="FFFFFF"/>
              <w:left w:val="nil"/>
              <w:bottom w:val="single" w:sz="8" w:space="0" w:color="FFFFFF"/>
              <w:right w:val="single" w:sz="8" w:space="0" w:color="FFFFFF"/>
            </w:tcBorders>
            <w:shd w:val="clear" w:color="000000" w:fill="0070C0"/>
            <w:noWrap/>
            <w:vAlign w:val="center"/>
            <w:hideMark/>
          </w:tcPr>
          <w:p w14:paraId="7922E85B" w14:textId="77777777" w:rsidR="00F92FD6" w:rsidRPr="001F00D5" w:rsidRDefault="00F92FD6" w:rsidP="00FC695C">
            <w:pPr>
              <w:jc w:val="right"/>
              <w:rPr>
                <w:rFonts w:cs="Calibri"/>
                <w:b/>
                <w:bCs/>
                <w:color w:val="FFFFFF"/>
                <w:sz w:val="13"/>
                <w:szCs w:val="13"/>
              </w:rPr>
            </w:pPr>
            <w:r w:rsidRPr="001F00D5">
              <w:rPr>
                <w:rFonts w:cs="Calibri"/>
                <w:b/>
                <w:bCs/>
                <w:color w:val="FFFFFF"/>
                <w:sz w:val="13"/>
                <w:szCs w:val="13"/>
              </w:rPr>
              <w:t>31.12.2019</w:t>
            </w:r>
          </w:p>
        </w:tc>
        <w:tc>
          <w:tcPr>
            <w:tcW w:w="2373" w:type="dxa"/>
            <w:tcBorders>
              <w:top w:val="single" w:sz="8" w:space="0" w:color="FFFFFF"/>
              <w:left w:val="nil"/>
              <w:bottom w:val="single" w:sz="8" w:space="0" w:color="FFFFFF"/>
              <w:right w:val="nil"/>
            </w:tcBorders>
            <w:shd w:val="clear" w:color="000000" w:fill="0070C0"/>
            <w:noWrap/>
            <w:vAlign w:val="center"/>
            <w:hideMark/>
          </w:tcPr>
          <w:p w14:paraId="4B38F54D" w14:textId="77777777" w:rsidR="00F92FD6" w:rsidRPr="001F00D5" w:rsidRDefault="00F92FD6" w:rsidP="00FC695C">
            <w:pPr>
              <w:jc w:val="right"/>
              <w:rPr>
                <w:rFonts w:cs="Calibri"/>
                <w:b/>
                <w:bCs/>
                <w:color w:val="FFFFFF"/>
                <w:sz w:val="13"/>
                <w:szCs w:val="13"/>
              </w:rPr>
            </w:pPr>
            <w:r w:rsidRPr="001F00D5">
              <w:rPr>
                <w:rFonts w:cs="Calibri"/>
                <w:b/>
                <w:bCs/>
                <w:color w:val="FFFFFF"/>
                <w:sz w:val="13"/>
                <w:szCs w:val="13"/>
              </w:rPr>
              <w:t>31.12.2018</w:t>
            </w:r>
          </w:p>
        </w:tc>
      </w:tr>
      <w:tr w:rsidR="005A24AE" w:rsidRPr="0068723D" w14:paraId="2487B2D0" w14:textId="77777777" w:rsidTr="00E60A42">
        <w:trPr>
          <w:trHeight w:val="204"/>
        </w:trPr>
        <w:tc>
          <w:tcPr>
            <w:tcW w:w="4893" w:type="dxa"/>
            <w:tcBorders>
              <w:top w:val="single" w:sz="4" w:space="0" w:color="0070C0"/>
              <w:left w:val="nil"/>
              <w:bottom w:val="single" w:sz="4" w:space="0" w:color="0070C0"/>
              <w:right w:val="single" w:sz="8" w:space="0" w:color="0070C0"/>
            </w:tcBorders>
            <w:shd w:val="clear" w:color="auto" w:fill="auto"/>
            <w:noWrap/>
            <w:vAlign w:val="center"/>
            <w:hideMark/>
          </w:tcPr>
          <w:p w14:paraId="7A1108B2" w14:textId="77777777" w:rsidR="00E60A42" w:rsidRPr="0068723D" w:rsidRDefault="00E60A42" w:rsidP="00E60A42">
            <w:pPr>
              <w:rPr>
                <w:rFonts w:cs="Calibri"/>
                <w:color w:val="000000" w:themeColor="text1"/>
                <w:sz w:val="13"/>
                <w:szCs w:val="13"/>
              </w:rPr>
            </w:pPr>
            <w:r w:rsidRPr="0068723D">
              <w:rPr>
                <w:rFonts w:cs="Calibri"/>
                <w:color w:val="000000" w:themeColor="text1"/>
                <w:sz w:val="13"/>
                <w:szCs w:val="13"/>
              </w:rPr>
              <w:t>LAB Base Case 1M</w:t>
            </w:r>
          </w:p>
        </w:tc>
        <w:tc>
          <w:tcPr>
            <w:tcW w:w="2373" w:type="dxa"/>
            <w:tcBorders>
              <w:top w:val="single" w:sz="4" w:space="0" w:color="0070C0"/>
              <w:left w:val="nil"/>
              <w:bottom w:val="single" w:sz="4" w:space="0" w:color="0070C0"/>
              <w:right w:val="single" w:sz="8" w:space="0" w:color="0070C0"/>
            </w:tcBorders>
            <w:shd w:val="clear" w:color="auto" w:fill="auto"/>
            <w:noWrap/>
            <w:vAlign w:val="center"/>
          </w:tcPr>
          <w:p w14:paraId="7A8790F8" w14:textId="1D1A6DC1"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14 683</w:t>
            </w:r>
          </w:p>
        </w:tc>
        <w:tc>
          <w:tcPr>
            <w:tcW w:w="2373" w:type="dxa"/>
            <w:tcBorders>
              <w:top w:val="single" w:sz="4" w:space="0" w:color="0070C0"/>
              <w:left w:val="nil"/>
              <w:bottom w:val="single" w:sz="4" w:space="0" w:color="0070C0"/>
              <w:right w:val="nil"/>
            </w:tcBorders>
            <w:shd w:val="clear" w:color="auto" w:fill="auto"/>
            <w:noWrap/>
            <w:vAlign w:val="center"/>
          </w:tcPr>
          <w:p w14:paraId="3DD1611F" w14:textId="31FF0238"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16 371</w:t>
            </w:r>
          </w:p>
        </w:tc>
      </w:tr>
      <w:tr w:rsidR="005A24AE" w:rsidRPr="0068723D" w14:paraId="5A2B042B" w14:textId="77777777" w:rsidTr="00E60A42">
        <w:trPr>
          <w:trHeight w:val="204"/>
        </w:trPr>
        <w:tc>
          <w:tcPr>
            <w:tcW w:w="4893" w:type="dxa"/>
            <w:tcBorders>
              <w:top w:val="nil"/>
              <w:left w:val="nil"/>
              <w:bottom w:val="single" w:sz="4" w:space="0" w:color="0070C0"/>
              <w:right w:val="single" w:sz="8" w:space="0" w:color="0070C0"/>
            </w:tcBorders>
            <w:shd w:val="clear" w:color="auto" w:fill="auto"/>
            <w:noWrap/>
            <w:vAlign w:val="center"/>
            <w:hideMark/>
          </w:tcPr>
          <w:p w14:paraId="04E39328" w14:textId="77777777" w:rsidR="00E60A42" w:rsidRPr="0068723D" w:rsidRDefault="00E60A42" w:rsidP="00E60A42">
            <w:pPr>
              <w:rPr>
                <w:rFonts w:cs="Calibri"/>
                <w:color w:val="000000" w:themeColor="text1"/>
                <w:sz w:val="13"/>
                <w:szCs w:val="13"/>
              </w:rPr>
            </w:pPr>
            <w:r w:rsidRPr="0068723D">
              <w:rPr>
                <w:rFonts w:cs="Calibri"/>
                <w:color w:val="000000" w:themeColor="text1"/>
                <w:sz w:val="13"/>
                <w:szCs w:val="13"/>
              </w:rPr>
              <w:t>LAB Base Case 1Y</w:t>
            </w:r>
          </w:p>
        </w:tc>
        <w:tc>
          <w:tcPr>
            <w:tcW w:w="2373" w:type="dxa"/>
            <w:tcBorders>
              <w:top w:val="nil"/>
              <w:left w:val="nil"/>
              <w:bottom w:val="single" w:sz="4" w:space="0" w:color="0070C0"/>
              <w:right w:val="single" w:sz="8" w:space="0" w:color="0070C0"/>
            </w:tcBorders>
            <w:shd w:val="clear" w:color="auto" w:fill="auto"/>
            <w:noWrap/>
            <w:vAlign w:val="center"/>
          </w:tcPr>
          <w:p w14:paraId="299124D9" w14:textId="17D463C1"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12 849</w:t>
            </w:r>
          </w:p>
        </w:tc>
        <w:tc>
          <w:tcPr>
            <w:tcW w:w="2373" w:type="dxa"/>
            <w:tcBorders>
              <w:top w:val="nil"/>
              <w:left w:val="nil"/>
              <w:bottom w:val="single" w:sz="4" w:space="0" w:color="0070C0"/>
              <w:right w:val="nil"/>
            </w:tcBorders>
            <w:shd w:val="clear" w:color="auto" w:fill="auto"/>
            <w:noWrap/>
            <w:vAlign w:val="center"/>
          </w:tcPr>
          <w:p w14:paraId="403F5EF7" w14:textId="15CEC3F1" w:rsidR="00E60A42" w:rsidRPr="0068723D" w:rsidRDefault="008C0367" w:rsidP="00E60A42">
            <w:pPr>
              <w:jc w:val="right"/>
              <w:rPr>
                <w:rFonts w:cs="Calibri"/>
                <w:color w:val="000000" w:themeColor="text1"/>
                <w:sz w:val="13"/>
                <w:szCs w:val="13"/>
              </w:rPr>
            </w:pPr>
            <w:r>
              <w:rPr>
                <w:rFonts w:cs="Calibri"/>
                <w:color w:val="000000" w:themeColor="text1"/>
                <w:sz w:val="13"/>
                <w:szCs w:val="13"/>
              </w:rPr>
              <w:t>14 251</w:t>
            </w:r>
          </w:p>
        </w:tc>
      </w:tr>
      <w:tr w:rsidR="005A24AE" w:rsidRPr="0068723D" w14:paraId="2C28B1D9" w14:textId="77777777" w:rsidTr="00E60A42">
        <w:trPr>
          <w:trHeight w:val="204"/>
        </w:trPr>
        <w:tc>
          <w:tcPr>
            <w:tcW w:w="4893" w:type="dxa"/>
            <w:tcBorders>
              <w:top w:val="nil"/>
              <w:left w:val="nil"/>
              <w:bottom w:val="single" w:sz="4" w:space="0" w:color="0070C0"/>
              <w:right w:val="single" w:sz="8" w:space="0" w:color="0070C0"/>
            </w:tcBorders>
            <w:shd w:val="clear" w:color="auto" w:fill="auto"/>
            <w:noWrap/>
            <w:vAlign w:val="center"/>
            <w:hideMark/>
          </w:tcPr>
          <w:p w14:paraId="3F4BC8AD" w14:textId="77777777" w:rsidR="00E60A42" w:rsidRPr="0068723D" w:rsidRDefault="00E60A42" w:rsidP="00E60A42">
            <w:pPr>
              <w:rPr>
                <w:rFonts w:cs="Calibri"/>
                <w:color w:val="000000" w:themeColor="text1"/>
                <w:sz w:val="13"/>
                <w:szCs w:val="13"/>
              </w:rPr>
            </w:pPr>
            <w:r w:rsidRPr="0068723D">
              <w:rPr>
                <w:rFonts w:cs="Calibri"/>
                <w:color w:val="000000" w:themeColor="text1"/>
                <w:sz w:val="13"/>
                <w:szCs w:val="13"/>
              </w:rPr>
              <w:t>M3</w:t>
            </w:r>
          </w:p>
        </w:tc>
        <w:tc>
          <w:tcPr>
            <w:tcW w:w="2373" w:type="dxa"/>
            <w:tcBorders>
              <w:top w:val="nil"/>
              <w:left w:val="nil"/>
              <w:bottom w:val="single" w:sz="4" w:space="0" w:color="0070C0"/>
              <w:right w:val="single" w:sz="8" w:space="0" w:color="0070C0"/>
            </w:tcBorders>
            <w:shd w:val="clear" w:color="auto" w:fill="auto"/>
            <w:noWrap/>
            <w:vAlign w:val="center"/>
          </w:tcPr>
          <w:p w14:paraId="595E73A1" w14:textId="6FD55A5B" w:rsidR="00E60A42" w:rsidRPr="0068723D" w:rsidRDefault="00E60A42" w:rsidP="00A621FA">
            <w:pPr>
              <w:jc w:val="right"/>
              <w:rPr>
                <w:rFonts w:cs="Calibri"/>
                <w:color w:val="000000" w:themeColor="text1"/>
                <w:sz w:val="13"/>
                <w:szCs w:val="13"/>
              </w:rPr>
            </w:pPr>
            <w:r w:rsidRPr="0068723D">
              <w:rPr>
                <w:rFonts w:cs="Calibri"/>
                <w:color w:val="000000" w:themeColor="text1"/>
                <w:sz w:val="13"/>
                <w:szCs w:val="13"/>
              </w:rPr>
              <w:t>4,3</w:t>
            </w:r>
            <w:r w:rsidR="00A621FA">
              <w:rPr>
                <w:rFonts w:cs="Calibri"/>
                <w:color w:val="000000" w:themeColor="text1"/>
                <w:sz w:val="13"/>
                <w:szCs w:val="13"/>
              </w:rPr>
              <w:t>0</w:t>
            </w:r>
          </w:p>
        </w:tc>
        <w:tc>
          <w:tcPr>
            <w:tcW w:w="2373" w:type="dxa"/>
            <w:tcBorders>
              <w:top w:val="nil"/>
              <w:left w:val="nil"/>
              <w:bottom w:val="single" w:sz="4" w:space="0" w:color="0070C0"/>
              <w:right w:val="nil"/>
            </w:tcBorders>
            <w:shd w:val="clear" w:color="auto" w:fill="auto"/>
            <w:noWrap/>
            <w:vAlign w:val="center"/>
          </w:tcPr>
          <w:p w14:paraId="1786DF14" w14:textId="0A0D52BF"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4,95</w:t>
            </w:r>
          </w:p>
        </w:tc>
      </w:tr>
      <w:tr w:rsidR="005A24AE" w:rsidRPr="0068723D" w14:paraId="1CC461A1" w14:textId="77777777" w:rsidTr="00E60A42">
        <w:trPr>
          <w:trHeight w:val="204"/>
        </w:trPr>
        <w:tc>
          <w:tcPr>
            <w:tcW w:w="4893" w:type="dxa"/>
            <w:tcBorders>
              <w:top w:val="nil"/>
              <w:left w:val="nil"/>
              <w:bottom w:val="single" w:sz="4" w:space="0" w:color="0070C0"/>
              <w:right w:val="single" w:sz="8" w:space="0" w:color="0070C0"/>
            </w:tcBorders>
            <w:shd w:val="clear" w:color="auto" w:fill="auto"/>
            <w:noWrap/>
            <w:vAlign w:val="center"/>
            <w:hideMark/>
          </w:tcPr>
          <w:p w14:paraId="303B926C" w14:textId="77777777" w:rsidR="00E60A42" w:rsidRPr="0068723D" w:rsidRDefault="00E60A42" w:rsidP="00E60A42">
            <w:pPr>
              <w:rPr>
                <w:rFonts w:cs="Calibri"/>
                <w:color w:val="000000" w:themeColor="text1"/>
                <w:sz w:val="13"/>
                <w:szCs w:val="13"/>
              </w:rPr>
            </w:pPr>
            <w:r w:rsidRPr="0068723D">
              <w:rPr>
                <w:rFonts w:cs="Calibri"/>
                <w:color w:val="000000" w:themeColor="text1"/>
                <w:sz w:val="13"/>
                <w:szCs w:val="13"/>
              </w:rPr>
              <w:t>M4</w:t>
            </w:r>
          </w:p>
        </w:tc>
        <w:tc>
          <w:tcPr>
            <w:tcW w:w="2373" w:type="dxa"/>
            <w:tcBorders>
              <w:top w:val="nil"/>
              <w:left w:val="nil"/>
              <w:bottom w:val="single" w:sz="4" w:space="0" w:color="0070C0"/>
              <w:right w:val="single" w:sz="8" w:space="0" w:color="0070C0"/>
            </w:tcBorders>
            <w:shd w:val="clear" w:color="auto" w:fill="auto"/>
            <w:noWrap/>
            <w:vAlign w:val="center"/>
          </w:tcPr>
          <w:p w14:paraId="786D02BC" w14:textId="3626ED06"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1,38</w:t>
            </w:r>
          </w:p>
        </w:tc>
        <w:tc>
          <w:tcPr>
            <w:tcW w:w="2373" w:type="dxa"/>
            <w:tcBorders>
              <w:top w:val="nil"/>
              <w:left w:val="nil"/>
              <w:bottom w:val="single" w:sz="4" w:space="0" w:color="0070C0"/>
              <w:right w:val="nil"/>
            </w:tcBorders>
            <w:shd w:val="clear" w:color="auto" w:fill="auto"/>
            <w:noWrap/>
            <w:vAlign w:val="center"/>
          </w:tcPr>
          <w:p w14:paraId="090EEDC5" w14:textId="5C69F36D"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1,38</w:t>
            </w:r>
          </w:p>
        </w:tc>
      </w:tr>
      <w:tr w:rsidR="005A24AE" w:rsidRPr="0068723D" w14:paraId="4B2CB36E" w14:textId="77777777" w:rsidTr="00E60A42">
        <w:trPr>
          <w:trHeight w:val="204"/>
        </w:trPr>
        <w:tc>
          <w:tcPr>
            <w:tcW w:w="4893" w:type="dxa"/>
            <w:tcBorders>
              <w:top w:val="nil"/>
              <w:left w:val="nil"/>
              <w:bottom w:val="single" w:sz="4" w:space="0" w:color="0070C0"/>
              <w:right w:val="single" w:sz="8" w:space="0" w:color="0070C0"/>
            </w:tcBorders>
            <w:shd w:val="clear" w:color="auto" w:fill="auto"/>
            <w:noWrap/>
            <w:vAlign w:val="center"/>
            <w:hideMark/>
          </w:tcPr>
          <w:p w14:paraId="34E226C5" w14:textId="77777777" w:rsidR="00E60A42" w:rsidRPr="0068723D" w:rsidRDefault="00E60A42" w:rsidP="00E60A42">
            <w:pPr>
              <w:rPr>
                <w:rFonts w:cs="Calibri"/>
                <w:color w:val="000000" w:themeColor="text1"/>
                <w:sz w:val="13"/>
                <w:szCs w:val="13"/>
              </w:rPr>
            </w:pPr>
            <w:r w:rsidRPr="0068723D">
              <w:rPr>
                <w:rFonts w:cs="Calibri"/>
                <w:color w:val="000000" w:themeColor="text1"/>
                <w:sz w:val="13"/>
                <w:szCs w:val="13"/>
              </w:rPr>
              <w:t>LCR</w:t>
            </w:r>
          </w:p>
        </w:tc>
        <w:tc>
          <w:tcPr>
            <w:tcW w:w="2373" w:type="dxa"/>
            <w:tcBorders>
              <w:top w:val="nil"/>
              <w:left w:val="nil"/>
              <w:bottom w:val="single" w:sz="4" w:space="0" w:color="0070C0"/>
              <w:right w:val="single" w:sz="8" w:space="0" w:color="0070C0"/>
            </w:tcBorders>
            <w:shd w:val="clear" w:color="auto" w:fill="auto"/>
            <w:noWrap/>
            <w:vAlign w:val="center"/>
          </w:tcPr>
          <w:p w14:paraId="62F61FC4" w14:textId="192C395B"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169%</w:t>
            </w:r>
          </w:p>
        </w:tc>
        <w:tc>
          <w:tcPr>
            <w:tcW w:w="2373" w:type="dxa"/>
            <w:tcBorders>
              <w:top w:val="nil"/>
              <w:left w:val="nil"/>
              <w:bottom w:val="single" w:sz="4" w:space="0" w:color="0070C0"/>
              <w:right w:val="nil"/>
            </w:tcBorders>
            <w:shd w:val="clear" w:color="auto" w:fill="auto"/>
            <w:noWrap/>
            <w:vAlign w:val="center"/>
          </w:tcPr>
          <w:p w14:paraId="172D97FE" w14:textId="02149DE7" w:rsidR="00E60A42" w:rsidRPr="0068723D" w:rsidRDefault="00E60A42" w:rsidP="00E60A42">
            <w:pPr>
              <w:jc w:val="right"/>
              <w:rPr>
                <w:rFonts w:cs="Calibri"/>
                <w:color w:val="000000" w:themeColor="text1"/>
                <w:sz w:val="13"/>
                <w:szCs w:val="13"/>
              </w:rPr>
            </w:pPr>
            <w:r w:rsidRPr="0068723D">
              <w:rPr>
                <w:rFonts w:cs="Calibri"/>
                <w:color w:val="000000" w:themeColor="text1"/>
                <w:sz w:val="13"/>
                <w:szCs w:val="13"/>
              </w:rPr>
              <w:t>190%</w:t>
            </w:r>
          </w:p>
        </w:tc>
      </w:tr>
    </w:tbl>
    <w:p w14:paraId="0CEC59BB" w14:textId="77777777" w:rsidR="00F92FD6" w:rsidRPr="0068723D" w:rsidRDefault="00F92FD6" w:rsidP="00F92FD6">
      <w:pPr>
        <w:suppressAutoHyphens/>
        <w:spacing w:before="120" w:after="60"/>
        <w:jc w:val="both"/>
        <w:rPr>
          <w:rFonts w:eastAsia="Calibri" w:cs="Tahoma"/>
          <w:bCs/>
          <w:i/>
          <w:color w:val="000000" w:themeColor="text1"/>
          <w:szCs w:val="16"/>
        </w:rPr>
      </w:pPr>
      <w:r w:rsidRPr="0068723D">
        <w:rPr>
          <w:rFonts w:eastAsia="Calibri" w:cs="Tahoma"/>
          <w:bCs/>
          <w:i/>
          <w:color w:val="000000" w:themeColor="text1"/>
          <w:szCs w:val="16"/>
        </w:rPr>
        <w:t>* Miary LAB są wyrażone w mln zł, podczas gdy M3, M4 i LCR są miarami relatywnymi wyrażonymi w postaci ułamka dziesiętnego.</w:t>
      </w:r>
    </w:p>
    <w:p w14:paraId="1C56D981" w14:textId="77777777" w:rsidR="006153DD" w:rsidRPr="0068723D" w:rsidRDefault="006153DD" w:rsidP="006153DD">
      <w:pPr>
        <w:spacing w:before="120" w:after="120"/>
        <w:jc w:val="both"/>
        <w:rPr>
          <w:color w:val="000000" w:themeColor="text1"/>
          <w:sz w:val="18"/>
          <w:szCs w:val="18"/>
        </w:rPr>
      </w:pPr>
      <w:r w:rsidRPr="0068723D">
        <w:rPr>
          <w:color w:val="000000" w:themeColor="text1"/>
          <w:sz w:val="18"/>
          <w:szCs w:val="18"/>
        </w:rPr>
        <w:t xml:space="preserve">Nadzorcze miary </w:t>
      </w:r>
      <w:r w:rsidRPr="0068723D">
        <w:rPr>
          <w:rFonts w:eastAsia="Calibri" w:cs="Verdana"/>
          <w:color w:val="000000" w:themeColor="text1"/>
          <w:sz w:val="18"/>
          <w:szCs w:val="18"/>
        </w:rPr>
        <w:t xml:space="preserve">pokrycia długoterminowego (M3, M4) odznaczały się wysoką stabilnością na bezpiecznym poziomie, powyżej minimum określonego przez regulatora równego 1. </w:t>
      </w:r>
      <w:r w:rsidRPr="0068723D">
        <w:rPr>
          <w:rFonts w:eastAsia="Calibri"/>
          <w:color w:val="000000" w:themeColor="text1"/>
          <w:sz w:val="18"/>
          <w:szCs w:val="18"/>
        </w:rPr>
        <w:t>Miara LCR pozostawała na bezpiecznym poziomie, znacznie przekraczającym 100%.</w:t>
      </w:r>
    </w:p>
    <w:p w14:paraId="4AE2E43B" w14:textId="77777777" w:rsidR="006153DD" w:rsidRPr="0068723D" w:rsidRDefault="006153DD" w:rsidP="006153DD">
      <w:pPr>
        <w:spacing w:after="120"/>
        <w:jc w:val="both"/>
        <w:rPr>
          <w:b/>
          <w:color w:val="000000" w:themeColor="text1"/>
          <w:sz w:val="18"/>
          <w:szCs w:val="18"/>
        </w:rPr>
      </w:pPr>
      <w:r w:rsidRPr="0068723D">
        <w:rPr>
          <w:b/>
          <w:color w:val="000000" w:themeColor="text1"/>
          <w:sz w:val="18"/>
          <w:szCs w:val="18"/>
        </w:rPr>
        <w:t>Źródła finansowania</w:t>
      </w:r>
    </w:p>
    <w:p w14:paraId="7D5A9860" w14:textId="23831930" w:rsidR="006153DD" w:rsidRPr="0068723D" w:rsidRDefault="006153DD" w:rsidP="006153DD">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Założenia strategiczne dotyczące dywersyfikacji źródeł finansowania i rentownej struktury bilansu odzwierciedlone są w planie finansowym Grupy mBanku za pomocą wybranych mierników, między innymi wskaźnika L/D (Loans to Deposits). Mierzy on określoną relację kredytów do depozytów w celu utrzymania stabilnej struktury bilansu. W ciągu roku </w:t>
      </w:r>
      <w:r w:rsidRPr="0068723D">
        <w:rPr>
          <w:rFonts w:eastAsia="Calibri"/>
          <w:color w:val="000000" w:themeColor="text1"/>
          <w:sz w:val="18"/>
        </w:rPr>
        <w:t>2019</w:t>
      </w:r>
      <w:r w:rsidRPr="0068723D">
        <w:rPr>
          <w:rFonts w:eastAsia="Calibri" w:cs="Verdana"/>
          <w:color w:val="000000" w:themeColor="text1"/>
          <w:sz w:val="18"/>
          <w:szCs w:val="18"/>
        </w:rPr>
        <w:t xml:space="preserve"> wartość wskaźnika L/D uległa nieznacznej zmianie z poziomu 75,9% do poziomu 76,4% dla Banku oraz zmianie z poziomu 92,9% do poziomu 90,3%% dla</w:t>
      </w:r>
      <w:r w:rsidR="00BD144C">
        <w:rPr>
          <w:rFonts w:eastAsia="Calibri" w:cs="Verdana"/>
          <w:color w:val="000000" w:themeColor="text1"/>
          <w:sz w:val="18"/>
          <w:szCs w:val="18"/>
        </w:rPr>
        <w:t> </w:t>
      </w:r>
      <w:r w:rsidRPr="0068723D">
        <w:rPr>
          <w:rFonts w:eastAsia="Calibri" w:cs="Verdana"/>
          <w:color w:val="000000" w:themeColor="text1"/>
          <w:sz w:val="18"/>
          <w:szCs w:val="18"/>
        </w:rPr>
        <w:t>Grupy. Bank buduje stabilną bazę depozytową poprzez oferowanie klientom produktów depozytowych, inwestycyjnych oraz programów regularnego i celowego oszczędzania. Środki pozyskiwane od klientów Banku stanowią główne źródło finansowania działalności obok portfela długoterminowych pożyczek od</w:t>
      </w:r>
      <w:r w:rsidR="00BD144C">
        <w:rPr>
          <w:rFonts w:eastAsia="Calibri" w:cs="Verdana"/>
          <w:color w:val="000000" w:themeColor="text1"/>
          <w:sz w:val="18"/>
          <w:szCs w:val="18"/>
        </w:rPr>
        <w:t> </w:t>
      </w:r>
      <w:r w:rsidRPr="0068723D">
        <w:rPr>
          <w:rFonts w:eastAsia="Calibri" w:cs="Verdana"/>
          <w:color w:val="000000" w:themeColor="text1"/>
          <w:sz w:val="18"/>
          <w:szCs w:val="18"/>
        </w:rPr>
        <w:t xml:space="preserve">banków i emisji obligacji (powyżej 1 roku) (Nota 28). Wspomniane pożyczki i obligacje łącznie z pożyczkami podporządkowanymi (Nota 28) stanowią źródło finansowania portfela kredytów hipotecznych w CHF. W związku z zawieszeniem sprzedaży kredytów hipotecznych w CHF następuje sukcesywne zmniejszanie się należności Banku w tej walucie wynikające ze stopniowego spłacania się portfela. </w:t>
      </w:r>
    </w:p>
    <w:p w14:paraId="17949F20" w14:textId="77777777" w:rsidR="006153DD" w:rsidRPr="0068723D" w:rsidRDefault="006153DD" w:rsidP="006153DD">
      <w:pPr>
        <w:spacing w:after="120"/>
        <w:jc w:val="both"/>
        <w:rPr>
          <w:color w:val="000000" w:themeColor="text1"/>
          <w:sz w:val="18"/>
          <w:szCs w:val="18"/>
        </w:rPr>
      </w:pPr>
      <w:r w:rsidRPr="0068723D">
        <w:rPr>
          <w:color w:val="000000" w:themeColor="text1"/>
          <w:sz w:val="18"/>
          <w:szCs w:val="18"/>
        </w:rPr>
        <w:t xml:space="preserve">Ponadto do finansowania się (w tym w walutach obcych) Bank wykorzystuje średnioterminowe i długoterminowe instrumenty, w tym finansowanie w postaci linii kredytowych na rynku międzynarodowym, emisje niezabezpieczone, pożyczki bilateralne oraz transakcje FX swap i CIRS. </w:t>
      </w:r>
    </w:p>
    <w:p w14:paraId="3BA95908" w14:textId="3550C567" w:rsidR="006153DD" w:rsidRPr="0068723D" w:rsidRDefault="006153DD" w:rsidP="006153DD">
      <w:pPr>
        <w:spacing w:after="120"/>
        <w:jc w:val="both"/>
        <w:rPr>
          <w:color w:val="000000" w:themeColor="text1"/>
          <w:sz w:val="18"/>
          <w:szCs w:val="18"/>
        </w:rPr>
      </w:pPr>
      <w:r w:rsidRPr="0068723D">
        <w:rPr>
          <w:color w:val="000000" w:themeColor="text1"/>
          <w:sz w:val="18"/>
          <w:szCs w:val="18"/>
        </w:rPr>
        <w:t>W ramach Grupy poza mBankiem z finansowania zewnętrznego korzystają mBank Hipoteczny za pośrednictwem emisji listów zastawnych oraz krótkoterminowych papierów dłużnych i mLeasing za pośrednictwem krótkoterminowych papierów dłużnych.</w:t>
      </w:r>
    </w:p>
    <w:p w14:paraId="6AC9498B" w14:textId="77777777" w:rsidR="006153DD" w:rsidRPr="0068723D" w:rsidRDefault="006153DD" w:rsidP="006153DD">
      <w:pPr>
        <w:spacing w:after="120"/>
        <w:jc w:val="both"/>
        <w:rPr>
          <w:color w:val="000000" w:themeColor="text1"/>
          <w:sz w:val="18"/>
          <w:szCs w:val="18"/>
        </w:rPr>
      </w:pPr>
      <w:r w:rsidRPr="0068723D">
        <w:rPr>
          <w:color w:val="000000" w:themeColor="text1"/>
          <w:sz w:val="18"/>
          <w:szCs w:val="18"/>
        </w:rPr>
        <w:t xml:space="preserve">Przy podejmowaniu decyzji co do finansowania, mając na celu optymalne dostosowanie struktury terminowej źródeł finansowania do struktury długoterminowych aktywów, Grupa bierze pod uwagę poziomy nadzorczych miar płynności oraz wewnętrznie ustanowione limity płynności. </w:t>
      </w:r>
    </w:p>
    <w:p w14:paraId="471737D5" w14:textId="00FC4457" w:rsidR="006153DD" w:rsidRPr="0068723D" w:rsidRDefault="006153DD" w:rsidP="006153DD">
      <w:pPr>
        <w:spacing w:after="120"/>
        <w:jc w:val="both"/>
        <w:rPr>
          <w:b/>
          <w:color w:val="000000" w:themeColor="text1"/>
          <w:sz w:val="18"/>
          <w:szCs w:val="18"/>
        </w:rPr>
      </w:pPr>
      <w:r w:rsidRPr="0068723D">
        <w:rPr>
          <w:b/>
          <w:color w:val="000000" w:themeColor="text1"/>
          <w:sz w:val="18"/>
          <w:szCs w:val="18"/>
        </w:rPr>
        <w:t xml:space="preserve">Grupa mBanku S.A. </w:t>
      </w:r>
    </w:p>
    <w:p w14:paraId="4DB0A048" w14:textId="77777777" w:rsidR="00042CF8" w:rsidRDefault="006153DD" w:rsidP="006153DD">
      <w:pPr>
        <w:spacing w:after="120"/>
        <w:jc w:val="both"/>
        <w:rPr>
          <w:color w:val="000000" w:themeColor="text1"/>
          <w:sz w:val="18"/>
          <w:szCs w:val="18"/>
        </w:rPr>
      </w:pPr>
      <w:r w:rsidRPr="0068723D">
        <w:rPr>
          <w:color w:val="000000" w:themeColor="text1"/>
          <w:sz w:val="18"/>
          <w:szCs w:val="18"/>
        </w:rPr>
        <w:t>Ryzyko płynności w Grupie mBanku generowane jest głównie przez pozycje mBanku. Niemniej jednak monitorowaniu podlega również poziom ryzyka płynności w spółkach Grupy mBanku, gdzie ryzyko płynności zostało uznane za istotne. W spółkach generujących największe ryzyko płynności (mHipoteczny i mLeasing) Bank monitoruje poziom ryzyka płynności w trybie dziennym. Dane przekazywane przez powyższe spółki pozwalają na raportowanie kontraktowego niedopasowania przepływów pieniężnych jak również kalkulację urealnionej luki przepływów pieniężnych konstruowanej na bazie modelu LAB opartej o</w:t>
      </w:r>
      <w:r w:rsidR="005A24AE" w:rsidRPr="0068723D">
        <w:rPr>
          <w:color w:val="000000" w:themeColor="text1"/>
          <w:sz w:val="18"/>
          <w:szCs w:val="18"/>
        </w:rPr>
        <w:t> </w:t>
      </w:r>
      <w:r w:rsidRPr="0068723D">
        <w:rPr>
          <w:color w:val="000000" w:themeColor="text1"/>
          <w:sz w:val="18"/>
          <w:szCs w:val="18"/>
        </w:rPr>
        <w:t>założenia modelowania wybranych produktów zgodnie z  profilami ryzyka, możliwościami finansowania i</w:t>
      </w:r>
      <w:r w:rsidR="005A24AE" w:rsidRPr="0068723D">
        <w:rPr>
          <w:color w:val="000000" w:themeColor="text1"/>
          <w:sz w:val="18"/>
          <w:szCs w:val="18"/>
        </w:rPr>
        <w:t> </w:t>
      </w:r>
      <w:r w:rsidRPr="0068723D">
        <w:rPr>
          <w:color w:val="000000" w:themeColor="text1"/>
          <w:sz w:val="18"/>
          <w:szCs w:val="18"/>
        </w:rPr>
        <w:t xml:space="preserve">specyfiką produktów danej spółki. </w:t>
      </w:r>
    </w:p>
    <w:p w14:paraId="3E0D59AD" w14:textId="77777777" w:rsidR="00042CF8" w:rsidRDefault="00042CF8">
      <w:pPr>
        <w:rPr>
          <w:color w:val="000000" w:themeColor="text1"/>
          <w:sz w:val="18"/>
          <w:szCs w:val="18"/>
        </w:rPr>
      </w:pPr>
      <w:r>
        <w:rPr>
          <w:color w:val="000000" w:themeColor="text1"/>
          <w:sz w:val="18"/>
          <w:szCs w:val="18"/>
        </w:rPr>
        <w:br w:type="page"/>
      </w:r>
    </w:p>
    <w:p w14:paraId="1AAB9567" w14:textId="0C01D9CE" w:rsidR="00F92FD6" w:rsidRPr="0068723D" w:rsidRDefault="006153DD" w:rsidP="006153DD">
      <w:pPr>
        <w:spacing w:after="120"/>
        <w:jc w:val="both"/>
        <w:rPr>
          <w:color w:val="000000" w:themeColor="text1"/>
          <w:sz w:val="18"/>
          <w:szCs w:val="18"/>
        </w:rPr>
      </w:pPr>
      <w:r w:rsidRPr="0068723D">
        <w:rPr>
          <w:color w:val="000000" w:themeColor="text1"/>
          <w:sz w:val="18"/>
          <w:szCs w:val="18"/>
        </w:rPr>
        <w:lastRenderedPageBreak/>
        <w:t>Kształtowanie się poziomów urealnionej, skumulowanej luki niedopasowania przepływów pieniężnych dla Grupy mBanku przedstawione zostały w poniższej tabeli</w:t>
      </w:r>
      <w:r w:rsidR="00F92FD6" w:rsidRPr="0068723D">
        <w:rPr>
          <w:color w:val="000000" w:themeColor="text1"/>
          <w:sz w:val="18"/>
          <w:szCs w:val="18"/>
        </w:rPr>
        <w:t>:</w:t>
      </w:r>
    </w:p>
    <w:tbl>
      <w:tblPr>
        <w:tblW w:w="9488" w:type="dxa"/>
        <w:tblCellMar>
          <w:left w:w="28" w:type="dxa"/>
          <w:right w:w="28" w:type="dxa"/>
        </w:tblCellMar>
        <w:tblLook w:val="04A0" w:firstRow="1" w:lastRow="0" w:firstColumn="1" w:lastColumn="0" w:noHBand="0" w:noVBand="1"/>
      </w:tblPr>
      <w:tblGrid>
        <w:gridCol w:w="1975"/>
        <w:gridCol w:w="1984"/>
        <w:gridCol w:w="1984"/>
        <w:gridCol w:w="1843"/>
        <w:gridCol w:w="1702"/>
      </w:tblGrid>
      <w:tr w:rsidR="00F92FD6" w:rsidRPr="00E30B24" w14:paraId="6D17D83C" w14:textId="77777777" w:rsidTr="006153DD">
        <w:trPr>
          <w:trHeight w:val="284"/>
        </w:trPr>
        <w:tc>
          <w:tcPr>
            <w:tcW w:w="9488" w:type="dxa"/>
            <w:gridSpan w:val="5"/>
            <w:tcBorders>
              <w:top w:val="single" w:sz="8" w:space="0" w:color="FFFFFF"/>
              <w:bottom w:val="single" w:sz="6" w:space="0" w:color="FFFFFF"/>
              <w:right w:val="single" w:sz="6" w:space="0" w:color="FFFFFF"/>
            </w:tcBorders>
            <w:shd w:val="clear" w:color="000000" w:fill="0077BD"/>
            <w:vAlign w:val="center"/>
            <w:hideMark/>
          </w:tcPr>
          <w:p w14:paraId="438F5760" w14:textId="77777777" w:rsidR="00F92FD6" w:rsidRPr="00E30B24" w:rsidRDefault="00F92FD6" w:rsidP="00FC695C">
            <w:pPr>
              <w:jc w:val="center"/>
              <w:rPr>
                <w:rFonts w:cs="Calibri"/>
                <w:b/>
                <w:bCs/>
                <w:color w:val="FFFFFF"/>
                <w:sz w:val="12"/>
                <w:szCs w:val="12"/>
              </w:rPr>
            </w:pPr>
            <w:r w:rsidRPr="00E30B24">
              <w:rPr>
                <w:rFonts w:cs="Calibri"/>
                <w:b/>
                <w:bCs/>
                <w:color w:val="FFFFFF"/>
                <w:sz w:val="12"/>
                <w:szCs w:val="12"/>
              </w:rPr>
              <w:t>Wartość urealnionej, przedziałowej i skumulowanej  luki niedopasowania przepływów pieniężnych  (w mln zł)</w:t>
            </w:r>
          </w:p>
        </w:tc>
      </w:tr>
      <w:tr w:rsidR="00F92FD6" w:rsidRPr="00E30B24" w14:paraId="5FA25992" w14:textId="77777777" w:rsidTr="00B16591">
        <w:trPr>
          <w:trHeight w:val="284"/>
        </w:trPr>
        <w:tc>
          <w:tcPr>
            <w:tcW w:w="1975" w:type="dxa"/>
            <w:vMerge w:val="restart"/>
            <w:tcBorders>
              <w:top w:val="single" w:sz="6" w:space="0" w:color="FFFFFF"/>
              <w:left w:val="nil"/>
              <w:bottom w:val="nil"/>
              <w:right w:val="single" w:sz="8" w:space="0" w:color="FFFFFF"/>
            </w:tcBorders>
            <w:shd w:val="clear" w:color="000000" w:fill="0077BD"/>
            <w:vAlign w:val="center"/>
            <w:hideMark/>
          </w:tcPr>
          <w:p w14:paraId="46CF783F" w14:textId="77777777" w:rsidR="00F92FD6" w:rsidRPr="00E30B24" w:rsidRDefault="00F92FD6" w:rsidP="00FC695C">
            <w:pPr>
              <w:rPr>
                <w:rFonts w:cs="Calibri"/>
                <w:b/>
                <w:bCs/>
                <w:color w:val="FFFFFF"/>
                <w:sz w:val="12"/>
                <w:szCs w:val="12"/>
              </w:rPr>
            </w:pPr>
            <w:r w:rsidRPr="00E30B24">
              <w:rPr>
                <w:rFonts w:cs="Calibri"/>
                <w:b/>
                <w:bCs/>
                <w:color w:val="FFFFFF"/>
                <w:sz w:val="12"/>
                <w:szCs w:val="12"/>
              </w:rPr>
              <w:t>Przedział czasowy</w:t>
            </w:r>
          </w:p>
        </w:tc>
        <w:tc>
          <w:tcPr>
            <w:tcW w:w="3968" w:type="dxa"/>
            <w:gridSpan w:val="2"/>
            <w:tcBorders>
              <w:top w:val="single" w:sz="6" w:space="0" w:color="FFFFFF"/>
              <w:left w:val="nil"/>
              <w:bottom w:val="single" w:sz="6" w:space="0" w:color="FFFFFF"/>
              <w:right w:val="single" w:sz="8" w:space="0" w:color="FFFFFF"/>
            </w:tcBorders>
            <w:shd w:val="clear" w:color="000000" w:fill="0077BD"/>
            <w:vAlign w:val="center"/>
            <w:hideMark/>
          </w:tcPr>
          <w:p w14:paraId="2044EBDF" w14:textId="1A0B7783" w:rsidR="00F92FD6" w:rsidRPr="00E30B24" w:rsidRDefault="00F92FD6" w:rsidP="001F00D5">
            <w:pPr>
              <w:jc w:val="center"/>
              <w:rPr>
                <w:rFonts w:cs="Calibri"/>
                <w:b/>
                <w:bCs/>
                <w:color w:val="FFFFFF"/>
                <w:sz w:val="12"/>
                <w:szCs w:val="12"/>
              </w:rPr>
            </w:pPr>
            <w:r w:rsidRPr="00E30B24">
              <w:rPr>
                <w:rFonts w:cs="Calibri"/>
                <w:b/>
                <w:bCs/>
                <w:color w:val="FFFFFF"/>
                <w:sz w:val="12"/>
                <w:szCs w:val="12"/>
              </w:rPr>
              <w:t xml:space="preserve">luka LAB </w:t>
            </w:r>
            <w:r w:rsidR="001F00D5" w:rsidRPr="00E30B24">
              <w:rPr>
                <w:rFonts w:cs="Calibri"/>
                <w:b/>
                <w:bCs/>
                <w:color w:val="FFFFFF"/>
                <w:sz w:val="12"/>
                <w:szCs w:val="12"/>
              </w:rPr>
              <w:t>Base Case - 31.12.2019</w:t>
            </w:r>
          </w:p>
        </w:tc>
        <w:tc>
          <w:tcPr>
            <w:tcW w:w="3545" w:type="dxa"/>
            <w:gridSpan w:val="2"/>
            <w:tcBorders>
              <w:top w:val="single" w:sz="6" w:space="0" w:color="FFFFFF"/>
              <w:left w:val="single" w:sz="8" w:space="0" w:color="FFFFFF"/>
              <w:bottom w:val="single" w:sz="6" w:space="0" w:color="FFFFFF"/>
              <w:right w:val="single" w:sz="6" w:space="0" w:color="FFFFFF"/>
            </w:tcBorders>
            <w:shd w:val="clear" w:color="000000" w:fill="0077BD"/>
            <w:vAlign w:val="center"/>
            <w:hideMark/>
          </w:tcPr>
          <w:p w14:paraId="0F197B78" w14:textId="7724D860" w:rsidR="00F92FD6" w:rsidRPr="00E30B24" w:rsidRDefault="00F92FD6" w:rsidP="00FC695C">
            <w:pPr>
              <w:jc w:val="center"/>
              <w:rPr>
                <w:rFonts w:cs="Calibri"/>
                <w:b/>
                <w:bCs/>
                <w:color w:val="FFFFFF"/>
                <w:sz w:val="12"/>
                <w:szCs w:val="12"/>
              </w:rPr>
            </w:pPr>
            <w:r w:rsidRPr="00E30B24">
              <w:rPr>
                <w:rFonts w:cs="Calibri"/>
                <w:b/>
                <w:bCs/>
                <w:color w:val="FFFFFF"/>
                <w:sz w:val="12"/>
                <w:szCs w:val="12"/>
              </w:rPr>
              <w:t>l</w:t>
            </w:r>
            <w:r w:rsidR="001F00D5" w:rsidRPr="00E30B24">
              <w:rPr>
                <w:rFonts w:cs="Calibri"/>
                <w:b/>
                <w:bCs/>
                <w:color w:val="FFFFFF"/>
                <w:sz w:val="12"/>
                <w:szCs w:val="12"/>
              </w:rPr>
              <w:t>uka LAB  Base Case - 31.12.2018</w:t>
            </w:r>
          </w:p>
        </w:tc>
      </w:tr>
      <w:tr w:rsidR="00F92FD6" w:rsidRPr="00E30B24" w14:paraId="3F2C88D4" w14:textId="77777777" w:rsidTr="00B16591">
        <w:trPr>
          <w:trHeight w:val="284"/>
        </w:trPr>
        <w:tc>
          <w:tcPr>
            <w:tcW w:w="1975" w:type="dxa"/>
            <w:vMerge/>
            <w:tcBorders>
              <w:top w:val="nil"/>
              <w:left w:val="nil"/>
              <w:bottom w:val="nil"/>
              <w:right w:val="single" w:sz="8" w:space="0" w:color="FFFFFF"/>
            </w:tcBorders>
            <w:vAlign w:val="center"/>
            <w:hideMark/>
          </w:tcPr>
          <w:p w14:paraId="725331F8" w14:textId="77777777" w:rsidR="00F92FD6" w:rsidRPr="00E30B24" w:rsidRDefault="00F92FD6" w:rsidP="00FC695C">
            <w:pPr>
              <w:rPr>
                <w:rFonts w:cs="Calibri"/>
                <w:b/>
                <w:bCs/>
                <w:color w:val="FFFFFF"/>
                <w:sz w:val="12"/>
                <w:szCs w:val="12"/>
              </w:rPr>
            </w:pPr>
          </w:p>
        </w:tc>
        <w:tc>
          <w:tcPr>
            <w:tcW w:w="1984" w:type="dxa"/>
            <w:tcBorders>
              <w:top w:val="nil"/>
              <w:left w:val="nil"/>
              <w:bottom w:val="nil"/>
              <w:right w:val="single" w:sz="8" w:space="0" w:color="FFFFFF"/>
            </w:tcBorders>
            <w:shd w:val="clear" w:color="000000" w:fill="0077BD"/>
            <w:vAlign w:val="center"/>
            <w:hideMark/>
          </w:tcPr>
          <w:p w14:paraId="7CB0E190" w14:textId="77777777" w:rsidR="00F92FD6" w:rsidRPr="00E30B24" w:rsidRDefault="00F92FD6" w:rsidP="00FC695C">
            <w:pPr>
              <w:jc w:val="center"/>
              <w:rPr>
                <w:rFonts w:cs="Calibri"/>
                <w:b/>
                <w:bCs/>
                <w:color w:val="FFFFFF"/>
                <w:sz w:val="12"/>
                <w:szCs w:val="12"/>
              </w:rPr>
            </w:pPr>
            <w:r w:rsidRPr="00E30B24">
              <w:rPr>
                <w:rFonts w:cs="Calibri"/>
                <w:b/>
                <w:bCs/>
                <w:color w:val="FFFFFF"/>
                <w:sz w:val="12"/>
                <w:szCs w:val="12"/>
              </w:rPr>
              <w:t>przedziałowa</w:t>
            </w:r>
          </w:p>
        </w:tc>
        <w:tc>
          <w:tcPr>
            <w:tcW w:w="1984" w:type="dxa"/>
            <w:tcBorders>
              <w:top w:val="nil"/>
              <w:left w:val="nil"/>
              <w:bottom w:val="nil"/>
              <w:right w:val="single" w:sz="8" w:space="0" w:color="FFFFFF"/>
            </w:tcBorders>
            <w:shd w:val="clear" w:color="000000" w:fill="0077BD"/>
            <w:vAlign w:val="center"/>
            <w:hideMark/>
          </w:tcPr>
          <w:p w14:paraId="28CA55DD" w14:textId="77777777" w:rsidR="00F92FD6" w:rsidRPr="00E30B24" w:rsidRDefault="00F92FD6" w:rsidP="00FC695C">
            <w:pPr>
              <w:jc w:val="center"/>
              <w:rPr>
                <w:rFonts w:cs="Calibri"/>
                <w:b/>
                <w:bCs/>
                <w:color w:val="FFFFFF"/>
                <w:sz w:val="12"/>
                <w:szCs w:val="12"/>
              </w:rPr>
            </w:pPr>
            <w:r w:rsidRPr="00E30B24">
              <w:rPr>
                <w:rFonts w:cs="Calibri"/>
                <w:b/>
                <w:bCs/>
                <w:color w:val="FFFFFF"/>
                <w:sz w:val="12"/>
                <w:szCs w:val="12"/>
              </w:rPr>
              <w:t>skumulowana</w:t>
            </w:r>
          </w:p>
        </w:tc>
        <w:tc>
          <w:tcPr>
            <w:tcW w:w="1843" w:type="dxa"/>
            <w:tcBorders>
              <w:top w:val="nil"/>
              <w:left w:val="single" w:sz="8" w:space="0" w:color="FFFFFF"/>
              <w:right w:val="single" w:sz="8" w:space="0" w:color="FFFFFF"/>
            </w:tcBorders>
            <w:shd w:val="clear" w:color="000000" w:fill="0077BD"/>
            <w:vAlign w:val="center"/>
            <w:hideMark/>
          </w:tcPr>
          <w:p w14:paraId="754CBF32" w14:textId="77777777" w:rsidR="00F92FD6" w:rsidRPr="00E30B24" w:rsidRDefault="00F92FD6" w:rsidP="00FC695C">
            <w:pPr>
              <w:jc w:val="center"/>
              <w:rPr>
                <w:rFonts w:cs="Calibri"/>
                <w:b/>
                <w:bCs/>
                <w:color w:val="FFFFFF"/>
                <w:sz w:val="12"/>
                <w:szCs w:val="12"/>
              </w:rPr>
            </w:pPr>
            <w:r w:rsidRPr="00E30B24">
              <w:rPr>
                <w:rFonts w:cs="Calibri"/>
                <w:b/>
                <w:bCs/>
                <w:color w:val="FFFFFF"/>
                <w:sz w:val="12"/>
                <w:szCs w:val="12"/>
              </w:rPr>
              <w:t>przedziałowa</w:t>
            </w:r>
          </w:p>
        </w:tc>
        <w:tc>
          <w:tcPr>
            <w:tcW w:w="1702" w:type="dxa"/>
            <w:tcBorders>
              <w:top w:val="nil"/>
              <w:left w:val="nil"/>
              <w:right w:val="single" w:sz="6" w:space="0" w:color="FFFFFF"/>
            </w:tcBorders>
            <w:shd w:val="clear" w:color="000000" w:fill="0077BD"/>
            <w:vAlign w:val="center"/>
            <w:hideMark/>
          </w:tcPr>
          <w:p w14:paraId="1C4FDF0C" w14:textId="77777777" w:rsidR="00F92FD6" w:rsidRPr="00E30B24" w:rsidRDefault="00F92FD6" w:rsidP="00FC695C">
            <w:pPr>
              <w:jc w:val="center"/>
              <w:rPr>
                <w:rFonts w:cs="Calibri"/>
                <w:b/>
                <w:bCs/>
                <w:color w:val="FFFFFF"/>
                <w:sz w:val="12"/>
                <w:szCs w:val="12"/>
              </w:rPr>
            </w:pPr>
            <w:r w:rsidRPr="00E30B24">
              <w:rPr>
                <w:rFonts w:cs="Calibri"/>
                <w:b/>
                <w:bCs/>
                <w:color w:val="FFFFFF"/>
                <w:sz w:val="12"/>
                <w:szCs w:val="12"/>
              </w:rPr>
              <w:t>skumulowana</w:t>
            </w:r>
          </w:p>
        </w:tc>
      </w:tr>
      <w:tr w:rsidR="006153DD" w:rsidRPr="00E30B24" w14:paraId="7923BB7F"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2A8A1312"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 dnia roboczego</w:t>
            </w:r>
          </w:p>
        </w:tc>
        <w:tc>
          <w:tcPr>
            <w:tcW w:w="1984" w:type="dxa"/>
            <w:tcBorders>
              <w:top w:val="nil"/>
              <w:left w:val="nil"/>
              <w:bottom w:val="single" w:sz="4" w:space="0" w:color="0077BD"/>
              <w:right w:val="single" w:sz="8" w:space="0" w:color="0077BD"/>
            </w:tcBorders>
            <w:shd w:val="clear" w:color="auto" w:fill="auto"/>
            <w:vAlign w:val="center"/>
          </w:tcPr>
          <w:p w14:paraId="0E0A5C27" w14:textId="31D7D6F7"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20 626</w:t>
            </w:r>
          </w:p>
        </w:tc>
        <w:tc>
          <w:tcPr>
            <w:tcW w:w="1984" w:type="dxa"/>
            <w:tcBorders>
              <w:top w:val="nil"/>
              <w:left w:val="nil"/>
              <w:bottom w:val="single" w:sz="4" w:space="0" w:color="0077BD"/>
              <w:right w:val="single" w:sz="8" w:space="0" w:color="0077BD"/>
            </w:tcBorders>
            <w:shd w:val="clear" w:color="auto" w:fill="auto"/>
            <w:vAlign w:val="center"/>
          </w:tcPr>
          <w:p w14:paraId="3E7E0A00" w14:textId="405E908E"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20 626</w:t>
            </w:r>
          </w:p>
        </w:tc>
        <w:tc>
          <w:tcPr>
            <w:tcW w:w="1843" w:type="dxa"/>
            <w:tcBorders>
              <w:top w:val="nil"/>
              <w:left w:val="nil"/>
              <w:bottom w:val="single" w:sz="4" w:space="0" w:color="0077BD"/>
              <w:right w:val="single" w:sz="8" w:space="0" w:color="0077BD"/>
            </w:tcBorders>
            <w:shd w:val="clear" w:color="auto" w:fill="auto"/>
            <w:vAlign w:val="center"/>
            <w:hideMark/>
          </w:tcPr>
          <w:p w14:paraId="045286EF" w14:textId="31125538"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19 809</w:t>
            </w:r>
          </w:p>
        </w:tc>
        <w:tc>
          <w:tcPr>
            <w:tcW w:w="1702" w:type="dxa"/>
            <w:tcBorders>
              <w:top w:val="nil"/>
              <w:left w:val="nil"/>
              <w:bottom w:val="single" w:sz="4" w:space="0" w:color="0077BD"/>
              <w:right w:val="single" w:sz="6" w:space="0" w:color="FFFFFF"/>
            </w:tcBorders>
            <w:shd w:val="clear" w:color="auto" w:fill="auto"/>
            <w:noWrap/>
            <w:vAlign w:val="center"/>
            <w:hideMark/>
          </w:tcPr>
          <w:p w14:paraId="6D0F25A2" w14:textId="110EA350"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19 809</w:t>
            </w:r>
          </w:p>
        </w:tc>
      </w:tr>
      <w:tr w:rsidR="006153DD" w:rsidRPr="00E30B24" w14:paraId="3D2F5332"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6ADCFCE2"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 xml:space="preserve">do 3 dni roboczych </w:t>
            </w:r>
          </w:p>
        </w:tc>
        <w:tc>
          <w:tcPr>
            <w:tcW w:w="1984" w:type="dxa"/>
            <w:tcBorders>
              <w:top w:val="nil"/>
              <w:left w:val="nil"/>
              <w:bottom w:val="single" w:sz="4" w:space="0" w:color="0077BD"/>
              <w:right w:val="single" w:sz="8" w:space="0" w:color="0077BD"/>
            </w:tcBorders>
            <w:shd w:val="clear" w:color="auto" w:fill="auto"/>
            <w:vAlign w:val="center"/>
          </w:tcPr>
          <w:p w14:paraId="3ADE4CC8" w14:textId="06DC74BA"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(1 189)</w:t>
            </w:r>
          </w:p>
        </w:tc>
        <w:tc>
          <w:tcPr>
            <w:tcW w:w="1984" w:type="dxa"/>
            <w:tcBorders>
              <w:top w:val="nil"/>
              <w:left w:val="nil"/>
              <w:bottom w:val="single" w:sz="4" w:space="0" w:color="0077BD"/>
              <w:right w:val="single" w:sz="8" w:space="0" w:color="0077BD"/>
            </w:tcBorders>
            <w:shd w:val="clear" w:color="auto" w:fill="auto"/>
            <w:vAlign w:val="center"/>
          </w:tcPr>
          <w:p w14:paraId="7D347709" w14:textId="5276AE94"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19 437</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60C78110" w14:textId="701967C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624</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60AF391F" w14:textId="4FA6583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20 434</w:t>
            </w:r>
          </w:p>
        </w:tc>
      </w:tr>
      <w:tr w:rsidR="006153DD" w:rsidRPr="00E30B24" w14:paraId="4FEF7EA0"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5B978572"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7 dni kalendarzowych</w:t>
            </w:r>
          </w:p>
        </w:tc>
        <w:tc>
          <w:tcPr>
            <w:tcW w:w="1984" w:type="dxa"/>
            <w:tcBorders>
              <w:top w:val="nil"/>
              <w:left w:val="nil"/>
              <w:bottom w:val="single" w:sz="4" w:space="0" w:color="0077BD"/>
              <w:right w:val="single" w:sz="8" w:space="0" w:color="0077BD"/>
            </w:tcBorders>
            <w:shd w:val="clear" w:color="auto" w:fill="auto"/>
            <w:vAlign w:val="center"/>
          </w:tcPr>
          <w:p w14:paraId="5EE74FE9" w14:textId="2E1447A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0</w:t>
            </w:r>
          </w:p>
        </w:tc>
        <w:tc>
          <w:tcPr>
            <w:tcW w:w="1984" w:type="dxa"/>
            <w:tcBorders>
              <w:top w:val="nil"/>
              <w:left w:val="nil"/>
              <w:bottom w:val="single" w:sz="4" w:space="0" w:color="0077BD"/>
              <w:right w:val="single" w:sz="8" w:space="0" w:color="0077BD"/>
            </w:tcBorders>
            <w:shd w:val="clear" w:color="auto" w:fill="auto"/>
            <w:vAlign w:val="center"/>
          </w:tcPr>
          <w:p w14:paraId="6AF19441" w14:textId="5B0D63A6"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19 437</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50D1700F" w14:textId="705A3580"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(2 950)</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0DC4BF67" w14:textId="13CCEA5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17 484</w:t>
            </w:r>
          </w:p>
        </w:tc>
      </w:tr>
      <w:tr w:rsidR="006153DD" w:rsidRPr="00E30B24" w14:paraId="001D5CA1"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31D9A069"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15 dni kalendarzowych</w:t>
            </w:r>
          </w:p>
        </w:tc>
        <w:tc>
          <w:tcPr>
            <w:tcW w:w="1984" w:type="dxa"/>
            <w:tcBorders>
              <w:top w:val="nil"/>
              <w:left w:val="nil"/>
              <w:bottom w:val="single" w:sz="4" w:space="0" w:color="0077BD"/>
              <w:right w:val="single" w:sz="8" w:space="0" w:color="0077BD"/>
            </w:tcBorders>
            <w:shd w:val="clear" w:color="auto" w:fill="auto"/>
            <w:vAlign w:val="center"/>
          </w:tcPr>
          <w:p w14:paraId="04EB9F49" w14:textId="2BB4C7EC"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(498)</w:t>
            </w:r>
          </w:p>
        </w:tc>
        <w:tc>
          <w:tcPr>
            <w:tcW w:w="1984" w:type="dxa"/>
            <w:tcBorders>
              <w:top w:val="nil"/>
              <w:left w:val="nil"/>
              <w:bottom w:val="single" w:sz="4" w:space="0" w:color="0077BD"/>
              <w:right w:val="single" w:sz="8" w:space="0" w:color="0077BD"/>
            </w:tcBorders>
            <w:shd w:val="clear" w:color="auto" w:fill="auto"/>
            <w:vAlign w:val="center"/>
          </w:tcPr>
          <w:p w14:paraId="5E4A5D67" w14:textId="516682CC"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18 939</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65EE26DC" w14:textId="0D8508C2"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(10)</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7C55BC15" w14:textId="78B51E49"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17 474</w:t>
            </w:r>
          </w:p>
        </w:tc>
      </w:tr>
      <w:tr w:rsidR="006153DD" w:rsidRPr="00E30B24" w14:paraId="43DAC54A"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01774EA7"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 miesiąca</w:t>
            </w:r>
          </w:p>
        </w:tc>
        <w:tc>
          <w:tcPr>
            <w:tcW w:w="1984" w:type="dxa"/>
            <w:tcBorders>
              <w:top w:val="nil"/>
              <w:left w:val="nil"/>
              <w:bottom w:val="single" w:sz="4" w:space="0" w:color="0077BD"/>
              <w:right w:val="single" w:sz="8" w:space="0" w:color="0077BD"/>
            </w:tcBorders>
            <w:shd w:val="clear" w:color="auto" w:fill="auto"/>
            <w:vAlign w:val="center"/>
          </w:tcPr>
          <w:p w14:paraId="59111F0E" w14:textId="64B4B2AF"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(2 403)</w:t>
            </w:r>
          </w:p>
        </w:tc>
        <w:tc>
          <w:tcPr>
            <w:tcW w:w="1984" w:type="dxa"/>
            <w:tcBorders>
              <w:top w:val="nil"/>
              <w:left w:val="nil"/>
              <w:bottom w:val="single" w:sz="4" w:space="0" w:color="0077BD"/>
              <w:right w:val="single" w:sz="8" w:space="0" w:color="0077BD"/>
            </w:tcBorders>
            <w:shd w:val="clear" w:color="auto" w:fill="auto"/>
            <w:vAlign w:val="center"/>
          </w:tcPr>
          <w:p w14:paraId="00E141C1" w14:textId="0337D6F8"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16 536</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5CA443DB" w14:textId="5CB90CDA"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(387)</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24CC11FC" w14:textId="1C1A00D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17 087</w:t>
            </w:r>
          </w:p>
        </w:tc>
      </w:tr>
      <w:tr w:rsidR="006153DD" w:rsidRPr="00E30B24" w14:paraId="688D3169"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3ACF926E"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2 miesięcy</w:t>
            </w:r>
          </w:p>
        </w:tc>
        <w:tc>
          <w:tcPr>
            <w:tcW w:w="1984" w:type="dxa"/>
            <w:tcBorders>
              <w:top w:val="nil"/>
              <w:left w:val="nil"/>
              <w:bottom w:val="single" w:sz="4" w:space="0" w:color="0077BD"/>
              <w:right w:val="single" w:sz="8" w:space="0" w:color="0077BD"/>
            </w:tcBorders>
            <w:shd w:val="clear" w:color="auto" w:fill="auto"/>
            <w:vAlign w:val="center"/>
          </w:tcPr>
          <w:p w14:paraId="48316B0A" w14:textId="103E911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2 224</w:t>
            </w:r>
          </w:p>
        </w:tc>
        <w:tc>
          <w:tcPr>
            <w:tcW w:w="1984" w:type="dxa"/>
            <w:tcBorders>
              <w:top w:val="nil"/>
              <w:left w:val="nil"/>
              <w:bottom w:val="single" w:sz="4" w:space="0" w:color="0077BD"/>
              <w:right w:val="single" w:sz="8" w:space="0" w:color="0077BD"/>
            </w:tcBorders>
            <w:shd w:val="clear" w:color="auto" w:fill="auto"/>
            <w:vAlign w:val="center"/>
          </w:tcPr>
          <w:p w14:paraId="2AE439BF" w14:textId="4B5093D2"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18 760</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1088296F" w14:textId="5CB6E3ED"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2 503</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52AA4105" w14:textId="5B1B463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19 589</w:t>
            </w:r>
          </w:p>
        </w:tc>
      </w:tr>
      <w:tr w:rsidR="006153DD" w:rsidRPr="00E30B24" w14:paraId="3BA153D7"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0BAD65C2"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3 miesięcy</w:t>
            </w:r>
          </w:p>
        </w:tc>
        <w:tc>
          <w:tcPr>
            <w:tcW w:w="1984" w:type="dxa"/>
            <w:tcBorders>
              <w:top w:val="nil"/>
              <w:left w:val="nil"/>
              <w:bottom w:val="single" w:sz="4" w:space="0" w:color="0077BD"/>
              <w:right w:val="single" w:sz="8" w:space="0" w:color="0077BD"/>
            </w:tcBorders>
            <w:shd w:val="clear" w:color="auto" w:fill="auto"/>
            <w:vAlign w:val="center"/>
          </w:tcPr>
          <w:p w14:paraId="16258A70" w14:textId="6D43AAD0"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83</w:t>
            </w:r>
          </w:p>
        </w:tc>
        <w:tc>
          <w:tcPr>
            <w:tcW w:w="1984" w:type="dxa"/>
            <w:tcBorders>
              <w:top w:val="nil"/>
              <w:left w:val="nil"/>
              <w:bottom w:val="single" w:sz="4" w:space="0" w:color="0077BD"/>
              <w:right w:val="single" w:sz="8" w:space="0" w:color="0077BD"/>
            </w:tcBorders>
            <w:shd w:val="clear" w:color="auto" w:fill="auto"/>
            <w:vAlign w:val="center"/>
          </w:tcPr>
          <w:p w14:paraId="393C9EB0" w14:textId="57FCF15C"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18 843</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65A0A206" w14:textId="551B70C9"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(269)</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5E74A315" w14:textId="7F47CC6B"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19 320</w:t>
            </w:r>
          </w:p>
        </w:tc>
      </w:tr>
      <w:tr w:rsidR="006153DD" w:rsidRPr="00E30B24" w14:paraId="5EF11683"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371A3892"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4 miesięcy</w:t>
            </w:r>
          </w:p>
        </w:tc>
        <w:tc>
          <w:tcPr>
            <w:tcW w:w="1984" w:type="dxa"/>
            <w:tcBorders>
              <w:top w:val="nil"/>
              <w:left w:val="nil"/>
              <w:bottom w:val="single" w:sz="4" w:space="0" w:color="0077BD"/>
              <w:right w:val="single" w:sz="8" w:space="0" w:color="0077BD"/>
            </w:tcBorders>
            <w:shd w:val="clear" w:color="auto" w:fill="auto"/>
            <w:vAlign w:val="center"/>
          </w:tcPr>
          <w:p w14:paraId="03F90E3D" w14:textId="1DC443BF"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(98)</w:t>
            </w:r>
          </w:p>
        </w:tc>
        <w:tc>
          <w:tcPr>
            <w:tcW w:w="1984" w:type="dxa"/>
            <w:tcBorders>
              <w:top w:val="nil"/>
              <w:left w:val="nil"/>
              <w:bottom w:val="single" w:sz="4" w:space="0" w:color="0077BD"/>
              <w:right w:val="single" w:sz="8" w:space="0" w:color="0077BD"/>
            </w:tcBorders>
            <w:shd w:val="clear" w:color="auto" w:fill="auto"/>
            <w:vAlign w:val="center"/>
          </w:tcPr>
          <w:p w14:paraId="04A3DB6F" w14:textId="0D67AA64"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18 745</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1D25D751" w14:textId="6726F01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(1 707)</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4FC1F56C" w14:textId="1D5CC24B"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17 613</w:t>
            </w:r>
          </w:p>
        </w:tc>
      </w:tr>
      <w:tr w:rsidR="006153DD" w:rsidRPr="00E30B24" w14:paraId="78E00DBD"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61F9771B"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5 miesięcy</w:t>
            </w:r>
          </w:p>
        </w:tc>
        <w:tc>
          <w:tcPr>
            <w:tcW w:w="1984" w:type="dxa"/>
            <w:tcBorders>
              <w:top w:val="nil"/>
              <w:left w:val="nil"/>
              <w:bottom w:val="single" w:sz="4" w:space="0" w:color="0077BD"/>
              <w:right w:val="single" w:sz="8" w:space="0" w:color="0077BD"/>
            </w:tcBorders>
            <w:shd w:val="clear" w:color="auto" w:fill="auto"/>
            <w:vAlign w:val="center"/>
          </w:tcPr>
          <w:p w14:paraId="3A5B26A4" w14:textId="5D00740D"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(578)</w:t>
            </w:r>
          </w:p>
        </w:tc>
        <w:tc>
          <w:tcPr>
            <w:tcW w:w="1984" w:type="dxa"/>
            <w:tcBorders>
              <w:top w:val="nil"/>
              <w:left w:val="nil"/>
              <w:bottom w:val="single" w:sz="4" w:space="0" w:color="0077BD"/>
              <w:right w:val="single" w:sz="8" w:space="0" w:color="0077BD"/>
            </w:tcBorders>
            <w:shd w:val="clear" w:color="auto" w:fill="auto"/>
            <w:vAlign w:val="center"/>
          </w:tcPr>
          <w:p w14:paraId="55E647A1" w14:textId="7570F9A0"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18 167</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7E56D476" w14:textId="472D1104"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(570)</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64219F10" w14:textId="476ED2BA"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17 043</w:t>
            </w:r>
          </w:p>
        </w:tc>
      </w:tr>
      <w:tr w:rsidR="006153DD" w:rsidRPr="00E30B24" w14:paraId="25DEC027"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467BFF33"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6 miesięcy</w:t>
            </w:r>
          </w:p>
        </w:tc>
        <w:tc>
          <w:tcPr>
            <w:tcW w:w="1984" w:type="dxa"/>
            <w:tcBorders>
              <w:top w:val="nil"/>
              <w:left w:val="nil"/>
              <w:bottom w:val="single" w:sz="4" w:space="0" w:color="0077BD"/>
              <w:right w:val="single" w:sz="8" w:space="0" w:color="0077BD"/>
            </w:tcBorders>
            <w:shd w:val="clear" w:color="auto" w:fill="auto"/>
            <w:vAlign w:val="center"/>
          </w:tcPr>
          <w:p w14:paraId="1DFA24F7" w14:textId="0A256657"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(128)</w:t>
            </w:r>
          </w:p>
        </w:tc>
        <w:tc>
          <w:tcPr>
            <w:tcW w:w="1984" w:type="dxa"/>
            <w:tcBorders>
              <w:top w:val="nil"/>
              <w:left w:val="nil"/>
              <w:bottom w:val="single" w:sz="4" w:space="0" w:color="0077BD"/>
              <w:right w:val="single" w:sz="8" w:space="0" w:color="0077BD"/>
            </w:tcBorders>
            <w:shd w:val="clear" w:color="auto" w:fill="auto"/>
            <w:vAlign w:val="center"/>
          </w:tcPr>
          <w:p w14:paraId="2068DE9D" w14:textId="57D3CAC8"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18 039</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7231006D" w14:textId="16F2414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(665)</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5CEA5C2B" w14:textId="3EC0738B"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16 378</w:t>
            </w:r>
          </w:p>
        </w:tc>
      </w:tr>
      <w:tr w:rsidR="006153DD" w:rsidRPr="00E30B24" w14:paraId="74A434E3"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6D7E6C89"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7 miesięcy</w:t>
            </w:r>
          </w:p>
        </w:tc>
        <w:tc>
          <w:tcPr>
            <w:tcW w:w="1984" w:type="dxa"/>
            <w:tcBorders>
              <w:top w:val="nil"/>
              <w:left w:val="nil"/>
              <w:bottom w:val="single" w:sz="4" w:space="0" w:color="0077BD"/>
              <w:right w:val="single" w:sz="8" w:space="0" w:color="0077BD"/>
            </w:tcBorders>
            <w:shd w:val="clear" w:color="auto" w:fill="auto"/>
            <w:vAlign w:val="center"/>
          </w:tcPr>
          <w:p w14:paraId="2616B1D7" w14:textId="731736D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(405)</w:t>
            </w:r>
          </w:p>
        </w:tc>
        <w:tc>
          <w:tcPr>
            <w:tcW w:w="1984" w:type="dxa"/>
            <w:tcBorders>
              <w:top w:val="nil"/>
              <w:left w:val="nil"/>
              <w:bottom w:val="single" w:sz="4" w:space="0" w:color="0077BD"/>
              <w:right w:val="single" w:sz="8" w:space="0" w:color="0077BD"/>
            </w:tcBorders>
            <w:shd w:val="clear" w:color="auto" w:fill="auto"/>
            <w:vAlign w:val="center"/>
          </w:tcPr>
          <w:p w14:paraId="4FB15880" w14:textId="5C9ED9CC"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17 634</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619D06B5" w14:textId="1E5EC814"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516</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60173048" w14:textId="51361BD9"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16 895</w:t>
            </w:r>
          </w:p>
        </w:tc>
      </w:tr>
      <w:tr w:rsidR="006153DD" w:rsidRPr="00E30B24" w14:paraId="0EC98754"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5A8DD689"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8 miesięcy</w:t>
            </w:r>
          </w:p>
        </w:tc>
        <w:tc>
          <w:tcPr>
            <w:tcW w:w="1984" w:type="dxa"/>
            <w:tcBorders>
              <w:top w:val="nil"/>
              <w:left w:val="nil"/>
              <w:bottom w:val="single" w:sz="4" w:space="0" w:color="0077BD"/>
              <w:right w:val="single" w:sz="8" w:space="0" w:color="0077BD"/>
            </w:tcBorders>
            <w:shd w:val="clear" w:color="auto" w:fill="auto"/>
            <w:vAlign w:val="center"/>
          </w:tcPr>
          <w:p w14:paraId="0E6C192B" w14:textId="55165A46"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(162)</w:t>
            </w:r>
          </w:p>
        </w:tc>
        <w:tc>
          <w:tcPr>
            <w:tcW w:w="1984" w:type="dxa"/>
            <w:tcBorders>
              <w:top w:val="nil"/>
              <w:left w:val="nil"/>
              <w:bottom w:val="single" w:sz="4" w:space="0" w:color="0077BD"/>
              <w:right w:val="single" w:sz="8" w:space="0" w:color="0077BD"/>
            </w:tcBorders>
            <w:shd w:val="clear" w:color="auto" w:fill="auto"/>
            <w:vAlign w:val="center"/>
          </w:tcPr>
          <w:p w14:paraId="640E4077" w14:textId="5592103C"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17 472</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11CBF7C4" w14:textId="0F4B04D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(157)</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58ECC835" w14:textId="6483E123"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16 738</w:t>
            </w:r>
          </w:p>
        </w:tc>
      </w:tr>
      <w:tr w:rsidR="006153DD" w:rsidRPr="00E30B24" w14:paraId="06604F3E"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64594E79"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9 miesięcy</w:t>
            </w:r>
          </w:p>
        </w:tc>
        <w:tc>
          <w:tcPr>
            <w:tcW w:w="1984" w:type="dxa"/>
            <w:tcBorders>
              <w:top w:val="nil"/>
              <w:left w:val="nil"/>
              <w:bottom w:val="single" w:sz="4" w:space="0" w:color="0077BD"/>
              <w:right w:val="single" w:sz="8" w:space="0" w:color="0077BD"/>
            </w:tcBorders>
            <w:shd w:val="clear" w:color="auto" w:fill="auto"/>
            <w:vAlign w:val="center"/>
          </w:tcPr>
          <w:p w14:paraId="51245132" w14:textId="5F85C1B6"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(2 682)</w:t>
            </w:r>
          </w:p>
        </w:tc>
        <w:tc>
          <w:tcPr>
            <w:tcW w:w="1984" w:type="dxa"/>
            <w:tcBorders>
              <w:top w:val="nil"/>
              <w:left w:val="nil"/>
              <w:bottom w:val="single" w:sz="4" w:space="0" w:color="0077BD"/>
              <w:right w:val="single" w:sz="8" w:space="0" w:color="0077BD"/>
            </w:tcBorders>
            <w:shd w:val="clear" w:color="auto" w:fill="auto"/>
            <w:vAlign w:val="center"/>
          </w:tcPr>
          <w:p w14:paraId="794BD1D0" w14:textId="29653CE2"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14 790</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6CBD12EB" w14:textId="4B4BD376"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504</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2C8BB30A" w14:textId="02605435"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17 243</w:t>
            </w:r>
          </w:p>
        </w:tc>
      </w:tr>
      <w:tr w:rsidR="006153DD" w:rsidRPr="00E30B24" w14:paraId="0FDA0069"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37CCB160"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10 miesięcy</w:t>
            </w:r>
          </w:p>
        </w:tc>
        <w:tc>
          <w:tcPr>
            <w:tcW w:w="1984" w:type="dxa"/>
            <w:tcBorders>
              <w:top w:val="nil"/>
              <w:left w:val="nil"/>
              <w:bottom w:val="single" w:sz="4" w:space="0" w:color="0077BD"/>
              <w:right w:val="single" w:sz="8" w:space="0" w:color="0077BD"/>
            </w:tcBorders>
            <w:shd w:val="clear" w:color="auto" w:fill="auto"/>
            <w:vAlign w:val="center"/>
          </w:tcPr>
          <w:p w14:paraId="42BD7E06" w14:textId="2BDD74CE"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(394)</w:t>
            </w:r>
          </w:p>
        </w:tc>
        <w:tc>
          <w:tcPr>
            <w:tcW w:w="1984" w:type="dxa"/>
            <w:tcBorders>
              <w:top w:val="nil"/>
              <w:left w:val="nil"/>
              <w:bottom w:val="single" w:sz="4" w:space="0" w:color="0077BD"/>
              <w:right w:val="single" w:sz="8" w:space="0" w:color="0077BD"/>
            </w:tcBorders>
            <w:shd w:val="clear" w:color="auto" w:fill="auto"/>
            <w:vAlign w:val="center"/>
          </w:tcPr>
          <w:p w14:paraId="7A989753" w14:textId="69D6E058"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14 396</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4AF2419D" w14:textId="2A305967"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608</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4ACC049E" w14:textId="5C99A148"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17 851</w:t>
            </w:r>
          </w:p>
        </w:tc>
      </w:tr>
      <w:tr w:rsidR="006153DD" w:rsidRPr="00E30B24" w14:paraId="2386EBDD" w14:textId="77777777" w:rsidTr="00B16591">
        <w:trPr>
          <w:trHeight w:val="227"/>
        </w:trPr>
        <w:tc>
          <w:tcPr>
            <w:tcW w:w="1975" w:type="dxa"/>
            <w:tcBorders>
              <w:top w:val="nil"/>
              <w:left w:val="nil"/>
              <w:bottom w:val="single" w:sz="4" w:space="0" w:color="0077BD"/>
              <w:right w:val="single" w:sz="8" w:space="0" w:color="0077BD"/>
            </w:tcBorders>
            <w:shd w:val="clear" w:color="auto" w:fill="auto"/>
            <w:vAlign w:val="center"/>
            <w:hideMark/>
          </w:tcPr>
          <w:p w14:paraId="394E7BE9"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11 miesięcy</w:t>
            </w:r>
          </w:p>
        </w:tc>
        <w:tc>
          <w:tcPr>
            <w:tcW w:w="1984" w:type="dxa"/>
            <w:tcBorders>
              <w:top w:val="nil"/>
              <w:left w:val="nil"/>
              <w:bottom w:val="single" w:sz="4" w:space="0" w:color="0077BD"/>
              <w:right w:val="single" w:sz="8" w:space="0" w:color="0077BD"/>
            </w:tcBorders>
            <w:shd w:val="clear" w:color="auto" w:fill="auto"/>
            <w:vAlign w:val="center"/>
          </w:tcPr>
          <w:p w14:paraId="12F4633A" w14:textId="7369842E"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w:t>
            </w:r>
          </w:p>
        </w:tc>
        <w:tc>
          <w:tcPr>
            <w:tcW w:w="1984" w:type="dxa"/>
            <w:tcBorders>
              <w:top w:val="nil"/>
              <w:left w:val="nil"/>
              <w:bottom w:val="single" w:sz="4" w:space="0" w:color="0077BD"/>
              <w:right w:val="single" w:sz="8" w:space="0" w:color="0077BD"/>
            </w:tcBorders>
            <w:shd w:val="clear" w:color="auto" w:fill="auto"/>
            <w:vAlign w:val="center"/>
          </w:tcPr>
          <w:p w14:paraId="448F69C8" w14:textId="3200CE59"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14 394</w:t>
            </w:r>
          </w:p>
        </w:tc>
        <w:tc>
          <w:tcPr>
            <w:tcW w:w="1843" w:type="dxa"/>
            <w:tcBorders>
              <w:top w:val="single" w:sz="4" w:space="0" w:color="0077BD"/>
              <w:left w:val="nil"/>
              <w:bottom w:val="single" w:sz="4" w:space="0" w:color="0077BD"/>
              <w:right w:val="single" w:sz="8" w:space="0" w:color="0077BD"/>
            </w:tcBorders>
            <w:shd w:val="clear" w:color="auto" w:fill="auto"/>
            <w:vAlign w:val="center"/>
            <w:hideMark/>
          </w:tcPr>
          <w:p w14:paraId="4CDA02F5" w14:textId="35E4B7E3"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(254)</w:t>
            </w:r>
          </w:p>
        </w:tc>
        <w:tc>
          <w:tcPr>
            <w:tcW w:w="1702" w:type="dxa"/>
            <w:tcBorders>
              <w:top w:val="single" w:sz="4" w:space="0" w:color="0077BD"/>
              <w:left w:val="nil"/>
              <w:bottom w:val="single" w:sz="4" w:space="0" w:color="0077BD"/>
              <w:right w:val="single" w:sz="6" w:space="0" w:color="FFFFFF"/>
            </w:tcBorders>
            <w:shd w:val="clear" w:color="auto" w:fill="auto"/>
            <w:noWrap/>
            <w:vAlign w:val="center"/>
            <w:hideMark/>
          </w:tcPr>
          <w:p w14:paraId="62B06105" w14:textId="20FEE256"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17 597</w:t>
            </w:r>
          </w:p>
        </w:tc>
      </w:tr>
      <w:tr w:rsidR="006153DD" w:rsidRPr="00E30B24" w14:paraId="279EEA5D" w14:textId="77777777" w:rsidTr="00B16591">
        <w:trPr>
          <w:trHeight w:val="227"/>
        </w:trPr>
        <w:tc>
          <w:tcPr>
            <w:tcW w:w="1975" w:type="dxa"/>
            <w:tcBorders>
              <w:top w:val="nil"/>
              <w:left w:val="nil"/>
              <w:bottom w:val="single" w:sz="8" w:space="0" w:color="0077BD"/>
              <w:right w:val="single" w:sz="8" w:space="0" w:color="0077BD"/>
            </w:tcBorders>
            <w:shd w:val="clear" w:color="auto" w:fill="auto"/>
            <w:vAlign w:val="center"/>
            <w:hideMark/>
          </w:tcPr>
          <w:p w14:paraId="0A13381C" w14:textId="77777777" w:rsidR="006153DD" w:rsidRPr="00E30B24" w:rsidRDefault="006153DD" w:rsidP="006153DD">
            <w:pPr>
              <w:rPr>
                <w:rFonts w:cs="Calibri"/>
                <w:color w:val="000000" w:themeColor="text1"/>
                <w:sz w:val="12"/>
                <w:szCs w:val="12"/>
              </w:rPr>
            </w:pPr>
            <w:r w:rsidRPr="00E30B24">
              <w:rPr>
                <w:rFonts w:cs="Calibri"/>
                <w:color w:val="000000" w:themeColor="text1"/>
                <w:sz w:val="12"/>
                <w:szCs w:val="12"/>
              </w:rPr>
              <w:t>do 12 miesięcy</w:t>
            </w:r>
          </w:p>
        </w:tc>
        <w:tc>
          <w:tcPr>
            <w:tcW w:w="1984" w:type="dxa"/>
            <w:tcBorders>
              <w:top w:val="nil"/>
              <w:left w:val="nil"/>
              <w:bottom w:val="single" w:sz="8" w:space="0" w:color="0077BD"/>
              <w:right w:val="single" w:sz="8" w:space="0" w:color="0077BD"/>
            </w:tcBorders>
            <w:shd w:val="clear" w:color="auto" w:fill="auto"/>
            <w:noWrap/>
            <w:vAlign w:val="center"/>
          </w:tcPr>
          <w:p w14:paraId="1E5C2DD7" w14:textId="63F90D10"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531</w:t>
            </w:r>
          </w:p>
        </w:tc>
        <w:tc>
          <w:tcPr>
            <w:tcW w:w="1984" w:type="dxa"/>
            <w:tcBorders>
              <w:top w:val="nil"/>
              <w:left w:val="nil"/>
              <w:bottom w:val="single" w:sz="8" w:space="0" w:color="0077BD"/>
              <w:right w:val="single" w:sz="8" w:space="0" w:color="0077BD"/>
            </w:tcBorders>
            <w:shd w:val="clear" w:color="auto" w:fill="auto"/>
            <w:noWrap/>
            <w:vAlign w:val="center"/>
          </w:tcPr>
          <w:p w14:paraId="51575643" w14:textId="64770BC2"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14 925</w:t>
            </w:r>
          </w:p>
        </w:tc>
        <w:tc>
          <w:tcPr>
            <w:tcW w:w="1843" w:type="dxa"/>
            <w:tcBorders>
              <w:top w:val="single" w:sz="4" w:space="0" w:color="0077BD"/>
              <w:left w:val="nil"/>
              <w:bottom w:val="single" w:sz="8" w:space="0" w:color="0077BD"/>
              <w:right w:val="single" w:sz="8" w:space="0" w:color="0077BD"/>
            </w:tcBorders>
            <w:shd w:val="clear" w:color="auto" w:fill="auto"/>
            <w:noWrap/>
            <w:vAlign w:val="center"/>
            <w:hideMark/>
          </w:tcPr>
          <w:p w14:paraId="1E953B48" w14:textId="728BF632"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716</w:t>
            </w:r>
          </w:p>
        </w:tc>
        <w:tc>
          <w:tcPr>
            <w:tcW w:w="1702" w:type="dxa"/>
            <w:tcBorders>
              <w:top w:val="single" w:sz="4" w:space="0" w:color="0077BD"/>
              <w:left w:val="nil"/>
              <w:bottom w:val="single" w:sz="8" w:space="0" w:color="0077BD"/>
              <w:right w:val="single" w:sz="6" w:space="0" w:color="FFFFFF"/>
            </w:tcBorders>
            <w:shd w:val="clear" w:color="auto" w:fill="auto"/>
            <w:noWrap/>
            <w:vAlign w:val="center"/>
            <w:hideMark/>
          </w:tcPr>
          <w:p w14:paraId="5E10050F" w14:textId="473C3C81" w:rsidR="006153DD" w:rsidRPr="00E30B24" w:rsidRDefault="006153DD" w:rsidP="006153DD">
            <w:pPr>
              <w:jc w:val="right"/>
              <w:rPr>
                <w:rFonts w:cs="Calibri"/>
                <w:color w:val="000000" w:themeColor="text1"/>
                <w:sz w:val="12"/>
                <w:szCs w:val="12"/>
              </w:rPr>
            </w:pPr>
            <w:r w:rsidRPr="00E30B24">
              <w:rPr>
                <w:rFonts w:cs="Calibri"/>
                <w:color w:val="000000" w:themeColor="text1"/>
                <w:sz w:val="12"/>
                <w:szCs w:val="12"/>
              </w:rPr>
              <w:t>18 313</w:t>
            </w:r>
          </w:p>
        </w:tc>
      </w:tr>
    </w:tbl>
    <w:p w14:paraId="1691CA6E" w14:textId="3814A170" w:rsidR="00F92FD6" w:rsidRPr="0068723D" w:rsidRDefault="007669A8" w:rsidP="00F92FD6">
      <w:pPr>
        <w:spacing w:before="120" w:after="120"/>
        <w:jc w:val="both"/>
        <w:rPr>
          <w:rFonts w:eastAsia="Calibri"/>
          <w:color w:val="000000" w:themeColor="text1"/>
          <w:sz w:val="18"/>
          <w:szCs w:val="18"/>
        </w:rPr>
      </w:pPr>
      <w:r w:rsidRPr="0068723D">
        <w:rPr>
          <w:rFonts w:eastAsia="Calibri"/>
          <w:color w:val="000000" w:themeColor="text1"/>
          <w:sz w:val="18"/>
          <w:szCs w:val="18"/>
        </w:rPr>
        <w:t>Niedopasowanie luk LAB w terminach do 1 miesiąca oraz do 1 roku w ciągu 2019 i 2018 roku oraz wartości miary regulacyjnej LCR na poziomie Grupy przedstawia poniższa tabela</w:t>
      </w:r>
      <w:r w:rsidR="00F92FD6" w:rsidRPr="0068723D">
        <w:rPr>
          <w:rFonts w:eastAsia="Calibri"/>
          <w:color w:val="000000" w:themeColor="text1"/>
          <w:sz w:val="18"/>
          <w:szCs w:val="18"/>
        </w:rPr>
        <w:t>:</w:t>
      </w:r>
    </w:p>
    <w:tbl>
      <w:tblPr>
        <w:tblW w:w="9498" w:type="dxa"/>
        <w:tblCellMar>
          <w:left w:w="28" w:type="dxa"/>
          <w:right w:w="28" w:type="dxa"/>
        </w:tblCellMar>
        <w:tblLook w:val="04A0" w:firstRow="1" w:lastRow="0" w:firstColumn="1" w:lastColumn="0" w:noHBand="0" w:noVBand="1"/>
      </w:tblPr>
      <w:tblGrid>
        <w:gridCol w:w="5954"/>
        <w:gridCol w:w="1843"/>
        <w:gridCol w:w="1701"/>
      </w:tblGrid>
      <w:tr w:rsidR="00F92FD6" w:rsidRPr="007669A8" w14:paraId="103E564B" w14:textId="77777777" w:rsidTr="00990265">
        <w:trPr>
          <w:trHeight w:val="284"/>
        </w:trPr>
        <w:tc>
          <w:tcPr>
            <w:tcW w:w="5954" w:type="dxa"/>
            <w:tcBorders>
              <w:top w:val="single" w:sz="8" w:space="0" w:color="FFFFFF"/>
              <w:left w:val="nil"/>
              <w:bottom w:val="single" w:sz="8" w:space="0" w:color="FFFFFF"/>
              <w:right w:val="single" w:sz="8" w:space="0" w:color="FFFFFF"/>
            </w:tcBorders>
            <w:shd w:val="clear" w:color="000000" w:fill="0077BD"/>
            <w:noWrap/>
            <w:vAlign w:val="center"/>
            <w:hideMark/>
          </w:tcPr>
          <w:p w14:paraId="720F8CDD" w14:textId="41420B35" w:rsidR="00F92FD6" w:rsidRPr="007669A8" w:rsidRDefault="00F92FD6" w:rsidP="00FC695C">
            <w:pPr>
              <w:jc w:val="right"/>
              <w:rPr>
                <w:rFonts w:cs="Calibri"/>
                <w:b/>
                <w:bCs/>
                <w:color w:val="FFFFFF"/>
                <w:sz w:val="13"/>
                <w:szCs w:val="13"/>
              </w:rPr>
            </w:pPr>
          </w:p>
        </w:tc>
        <w:tc>
          <w:tcPr>
            <w:tcW w:w="1843" w:type="dxa"/>
            <w:tcBorders>
              <w:top w:val="single" w:sz="8" w:space="0" w:color="FFFFFF"/>
              <w:left w:val="nil"/>
              <w:bottom w:val="single" w:sz="8" w:space="0" w:color="FFFFFF"/>
              <w:right w:val="single" w:sz="8" w:space="0" w:color="FFFFFF"/>
            </w:tcBorders>
            <w:shd w:val="clear" w:color="000000" w:fill="0077BD"/>
            <w:noWrap/>
            <w:vAlign w:val="center"/>
            <w:hideMark/>
          </w:tcPr>
          <w:p w14:paraId="599BEF3F" w14:textId="77777777" w:rsidR="00F92FD6" w:rsidRPr="007669A8" w:rsidRDefault="00F92FD6" w:rsidP="00FC695C">
            <w:pPr>
              <w:jc w:val="right"/>
              <w:rPr>
                <w:rFonts w:cs="Calibri"/>
                <w:b/>
                <w:bCs/>
                <w:color w:val="FFFFFF"/>
                <w:sz w:val="13"/>
                <w:szCs w:val="13"/>
              </w:rPr>
            </w:pPr>
            <w:r w:rsidRPr="007669A8">
              <w:rPr>
                <w:rFonts w:cs="Calibri"/>
                <w:b/>
                <w:bCs/>
                <w:color w:val="FFFFFF"/>
                <w:sz w:val="13"/>
                <w:szCs w:val="13"/>
              </w:rPr>
              <w:t>31.12.2019</w:t>
            </w:r>
          </w:p>
        </w:tc>
        <w:tc>
          <w:tcPr>
            <w:tcW w:w="1701" w:type="dxa"/>
            <w:tcBorders>
              <w:top w:val="single" w:sz="8" w:space="0" w:color="FFFFFF"/>
              <w:left w:val="nil"/>
              <w:bottom w:val="single" w:sz="8" w:space="0" w:color="FFFFFF"/>
              <w:right w:val="nil"/>
            </w:tcBorders>
            <w:shd w:val="clear" w:color="000000" w:fill="0077BD"/>
            <w:noWrap/>
            <w:vAlign w:val="center"/>
            <w:hideMark/>
          </w:tcPr>
          <w:p w14:paraId="4E36328E" w14:textId="77777777" w:rsidR="00F92FD6" w:rsidRPr="007669A8" w:rsidRDefault="00F92FD6" w:rsidP="00FC695C">
            <w:pPr>
              <w:jc w:val="right"/>
              <w:rPr>
                <w:rFonts w:cs="Calibri"/>
                <w:b/>
                <w:bCs/>
                <w:color w:val="FFFFFF"/>
                <w:sz w:val="13"/>
                <w:szCs w:val="13"/>
              </w:rPr>
            </w:pPr>
            <w:r w:rsidRPr="007669A8">
              <w:rPr>
                <w:rFonts w:cs="Calibri"/>
                <w:b/>
                <w:bCs/>
                <w:color w:val="FFFFFF"/>
                <w:sz w:val="13"/>
                <w:szCs w:val="13"/>
              </w:rPr>
              <w:t>31.12.2018</w:t>
            </w:r>
          </w:p>
        </w:tc>
      </w:tr>
      <w:tr w:rsidR="007669A8" w:rsidRPr="0068723D" w14:paraId="10C2BA45" w14:textId="77777777" w:rsidTr="00B16591">
        <w:trPr>
          <w:trHeight w:val="227"/>
        </w:trPr>
        <w:tc>
          <w:tcPr>
            <w:tcW w:w="5954" w:type="dxa"/>
            <w:tcBorders>
              <w:top w:val="single" w:sz="4" w:space="0" w:color="0070C0"/>
              <w:left w:val="nil"/>
              <w:bottom w:val="single" w:sz="4" w:space="0" w:color="0070C0"/>
              <w:right w:val="single" w:sz="8" w:space="0" w:color="0070C0"/>
            </w:tcBorders>
            <w:shd w:val="clear" w:color="auto" w:fill="auto"/>
            <w:noWrap/>
            <w:vAlign w:val="center"/>
            <w:hideMark/>
          </w:tcPr>
          <w:p w14:paraId="42813384" w14:textId="77777777" w:rsidR="007669A8" w:rsidRPr="00842482" w:rsidRDefault="007669A8" w:rsidP="007669A8">
            <w:pPr>
              <w:rPr>
                <w:rFonts w:cs="Calibri"/>
                <w:color w:val="000000" w:themeColor="text1"/>
                <w:sz w:val="13"/>
                <w:szCs w:val="13"/>
              </w:rPr>
            </w:pPr>
            <w:r w:rsidRPr="00842482">
              <w:rPr>
                <w:rFonts w:cs="Calibri"/>
                <w:color w:val="000000" w:themeColor="text1"/>
                <w:sz w:val="13"/>
                <w:szCs w:val="13"/>
              </w:rPr>
              <w:t>LAB Base Case 1M</w:t>
            </w:r>
          </w:p>
        </w:tc>
        <w:tc>
          <w:tcPr>
            <w:tcW w:w="1843" w:type="dxa"/>
            <w:tcBorders>
              <w:top w:val="single" w:sz="4" w:space="0" w:color="0070C0"/>
              <w:left w:val="nil"/>
              <w:bottom w:val="single" w:sz="4" w:space="0" w:color="0070C0"/>
              <w:right w:val="single" w:sz="8" w:space="0" w:color="0070C0"/>
            </w:tcBorders>
            <w:shd w:val="clear" w:color="auto" w:fill="auto"/>
            <w:noWrap/>
            <w:vAlign w:val="center"/>
          </w:tcPr>
          <w:p w14:paraId="71A23899" w14:textId="07534F5D"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16 536 </w:t>
            </w:r>
          </w:p>
        </w:tc>
        <w:tc>
          <w:tcPr>
            <w:tcW w:w="1701" w:type="dxa"/>
            <w:tcBorders>
              <w:top w:val="single" w:sz="4" w:space="0" w:color="0070C0"/>
              <w:left w:val="nil"/>
              <w:bottom w:val="single" w:sz="4" w:space="0" w:color="0070C0"/>
              <w:right w:val="nil"/>
            </w:tcBorders>
            <w:shd w:val="clear" w:color="auto" w:fill="auto"/>
            <w:noWrap/>
            <w:vAlign w:val="center"/>
            <w:hideMark/>
          </w:tcPr>
          <w:p w14:paraId="77624A21" w14:textId="77777777"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17 087 </w:t>
            </w:r>
          </w:p>
        </w:tc>
      </w:tr>
      <w:tr w:rsidR="007669A8" w:rsidRPr="0068723D" w14:paraId="774C7C3B" w14:textId="77777777" w:rsidTr="00B16591">
        <w:trPr>
          <w:trHeight w:val="227"/>
        </w:trPr>
        <w:tc>
          <w:tcPr>
            <w:tcW w:w="5954" w:type="dxa"/>
            <w:tcBorders>
              <w:top w:val="nil"/>
              <w:left w:val="nil"/>
              <w:bottom w:val="single" w:sz="4" w:space="0" w:color="0070C0"/>
              <w:right w:val="single" w:sz="8" w:space="0" w:color="0070C0"/>
            </w:tcBorders>
            <w:shd w:val="clear" w:color="auto" w:fill="auto"/>
            <w:noWrap/>
            <w:vAlign w:val="center"/>
            <w:hideMark/>
          </w:tcPr>
          <w:p w14:paraId="19709A4C" w14:textId="77777777" w:rsidR="007669A8" w:rsidRPr="00842482" w:rsidRDefault="007669A8" w:rsidP="007669A8">
            <w:pPr>
              <w:rPr>
                <w:rFonts w:cs="Calibri"/>
                <w:color w:val="000000" w:themeColor="text1"/>
                <w:sz w:val="13"/>
                <w:szCs w:val="13"/>
              </w:rPr>
            </w:pPr>
            <w:r w:rsidRPr="00842482">
              <w:rPr>
                <w:rFonts w:cs="Calibri"/>
                <w:color w:val="000000" w:themeColor="text1"/>
                <w:sz w:val="13"/>
                <w:szCs w:val="13"/>
              </w:rPr>
              <w:t>LAB Base Case 1Y</w:t>
            </w:r>
          </w:p>
        </w:tc>
        <w:tc>
          <w:tcPr>
            <w:tcW w:w="1843" w:type="dxa"/>
            <w:tcBorders>
              <w:top w:val="nil"/>
              <w:left w:val="nil"/>
              <w:bottom w:val="single" w:sz="4" w:space="0" w:color="0070C0"/>
              <w:right w:val="single" w:sz="8" w:space="0" w:color="0070C0"/>
            </w:tcBorders>
            <w:shd w:val="clear" w:color="auto" w:fill="auto"/>
            <w:noWrap/>
            <w:vAlign w:val="center"/>
          </w:tcPr>
          <w:p w14:paraId="0FDC160D" w14:textId="22185B5C"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14 925 </w:t>
            </w:r>
          </w:p>
        </w:tc>
        <w:tc>
          <w:tcPr>
            <w:tcW w:w="1701" w:type="dxa"/>
            <w:tcBorders>
              <w:top w:val="nil"/>
              <w:left w:val="nil"/>
              <w:bottom w:val="single" w:sz="4" w:space="0" w:color="0070C0"/>
              <w:right w:val="nil"/>
            </w:tcBorders>
            <w:shd w:val="clear" w:color="auto" w:fill="auto"/>
            <w:noWrap/>
            <w:vAlign w:val="center"/>
            <w:hideMark/>
          </w:tcPr>
          <w:p w14:paraId="0946AC4B" w14:textId="77777777"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18 313 </w:t>
            </w:r>
          </w:p>
        </w:tc>
      </w:tr>
      <w:tr w:rsidR="007669A8" w:rsidRPr="0068723D" w14:paraId="5B6C1001" w14:textId="77777777" w:rsidTr="00B16591">
        <w:trPr>
          <w:trHeight w:val="227"/>
        </w:trPr>
        <w:tc>
          <w:tcPr>
            <w:tcW w:w="5954" w:type="dxa"/>
            <w:tcBorders>
              <w:top w:val="nil"/>
              <w:left w:val="nil"/>
              <w:bottom w:val="single" w:sz="4" w:space="0" w:color="0070C0"/>
              <w:right w:val="single" w:sz="8" w:space="0" w:color="0070C0"/>
            </w:tcBorders>
            <w:shd w:val="clear" w:color="auto" w:fill="auto"/>
            <w:noWrap/>
            <w:vAlign w:val="center"/>
            <w:hideMark/>
          </w:tcPr>
          <w:p w14:paraId="4C46CC1C" w14:textId="77777777" w:rsidR="007669A8" w:rsidRPr="00842482" w:rsidRDefault="007669A8" w:rsidP="007669A8">
            <w:pPr>
              <w:rPr>
                <w:rFonts w:cs="Calibri"/>
                <w:color w:val="000000" w:themeColor="text1"/>
                <w:sz w:val="13"/>
                <w:szCs w:val="13"/>
              </w:rPr>
            </w:pPr>
            <w:r w:rsidRPr="00842482">
              <w:rPr>
                <w:rFonts w:cs="Calibri"/>
                <w:color w:val="000000" w:themeColor="text1"/>
                <w:sz w:val="13"/>
                <w:szCs w:val="13"/>
              </w:rPr>
              <w:t>LCR Grupa</w:t>
            </w:r>
          </w:p>
        </w:tc>
        <w:tc>
          <w:tcPr>
            <w:tcW w:w="1843" w:type="dxa"/>
            <w:tcBorders>
              <w:top w:val="nil"/>
              <w:left w:val="nil"/>
              <w:bottom w:val="single" w:sz="4" w:space="0" w:color="0070C0"/>
              <w:right w:val="single" w:sz="8" w:space="0" w:color="0070C0"/>
            </w:tcBorders>
            <w:shd w:val="clear" w:color="auto" w:fill="auto"/>
            <w:noWrap/>
            <w:vAlign w:val="center"/>
          </w:tcPr>
          <w:p w14:paraId="53111E92" w14:textId="1B759138"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190% </w:t>
            </w:r>
          </w:p>
        </w:tc>
        <w:tc>
          <w:tcPr>
            <w:tcW w:w="1701" w:type="dxa"/>
            <w:tcBorders>
              <w:top w:val="nil"/>
              <w:left w:val="nil"/>
              <w:bottom w:val="single" w:sz="4" w:space="0" w:color="0070C0"/>
              <w:right w:val="nil"/>
            </w:tcBorders>
            <w:shd w:val="clear" w:color="auto" w:fill="auto"/>
            <w:noWrap/>
            <w:vAlign w:val="center"/>
            <w:hideMark/>
          </w:tcPr>
          <w:p w14:paraId="52CE9D0E" w14:textId="77777777" w:rsidR="007669A8" w:rsidRPr="00842482" w:rsidRDefault="007669A8" w:rsidP="007669A8">
            <w:pPr>
              <w:jc w:val="right"/>
              <w:rPr>
                <w:rFonts w:cs="Calibri"/>
                <w:color w:val="000000" w:themeColor="text1"/>
                <w:sz w:val="13"/>
                <w:szCs w:val="13"/>
              </w:rPr>
            </w:pPr>
            <w:r w:rsidRPr="00842482">
              <w:rPr>
                <w:rFonts w:cs="Calibri"/>
                <w:color w:val="000000" w:themeColor="text1"/>
                <w:sz w:val="13"/>
                <w:szCs w:val="13"/>
              </w:rPr>
              <w:t>231% </w:t>
            </w:r>
          </w:p>
        </w:tc>
      </w:tr>
    </w:tbl>
    <w:p w14:paraId="5BAEE21C" w14:textId="77777777" w:rsidR="00F92FD6" w:rsidRPr="0068723D" w:rsidRDefault="00F92FD6" w:rsidP="00F92FD6">
      <w:pPr>
        <w:spacing w:before="120" w:after="120"/>
        <w:jc w:val="both"/>
        <w:rPr>
          <w:rFonts w:eastAsia="Calibri" w:cs="Tahoma"/>
          <w:bCs/>
          <w:i/>
          <w:color w:val="000000" w:themeColor="text1"/>
          <w:szCs w:val="16"/>
        </w:rPr>
      </w:pPr>
      <w:r w:rsidRPr="0068723D">
        <w:rPr>
          <w:rFonts w:eastAsia="Calibri" w:cs="Tahoma"/>
          <w:bCs/>
          <w:i/>
          <w:color w:val="000000" w:themeColor="text1"/>
          <w:szCs w:val="16"/>
        </w:rPr>
        <w:t>* Miary LAB są wyrażone w mln zł, podczas gdy LCR jest miarą relatywną wyrażoną w postaci ułamka dziesiętnego.</w:t>
      </w:r>
    </w:p>
    <w:p w14:paraId="5F252DA7" w14:textId="1D53FC37" w:rsidR="00F92FD6" w:rsidRPr="0068723D" w:rsidRDefault="007669A8" w:rsidP="007669A8">
      <w:pPr>
        <w:spacing w:before="120"/>
        <w:jc w:val="both"/>
        <w:rPr>
          <w:color w:val="000000" w:themeColor="text1"/>
          <w:sz w:val="18"/>
          <w:szCs w:val="18"/>
        </w:rPr>
      </w:pPr>
      <w:r w:rsidRPr="0068723D">
        <w:rPr>
          <w:color w:val="000000" w:themeColor="text1"/>
          <w:sz w:val="18"/>
          <w:szCs w:val="18"/>
        </w:rPr>
        <w:t>Dla pozostałych spółek z uwagi na mniejsze sumy bilansowe i prostsze produkty bilansowe wypracowany został sposób monitoringu w oparciu o dwa kryteria: wielkość sumy bilansowej i, w przypadku gdy spółka jest objęta kalkulacją miary LCR dla Grupy zgodnie z Rozporządzeniem Delegowanym Komisji (UE) 2015/61 z dnia 10 października 2014 roku, jej udział w wypływach ogółem. W przypadku przekroczenia nałożonych wartości progowych, podejmowana jest decyzja o ewentualnym włączeniu spółki do systemu pomiaru ryzyka płynności.</w:t>
      </w:r>
    </w:p>
    <w:p w14:paraId="39FF86BF" w14:textId="77777777" w:rsidR="006A7B25" w:rsidRPr="0068723D" w:rsidRDefault="006A7B25" w:rsidP="006A7B25">
      <w:pPr>
        <w:jc w:val="both"/>
        <w:rPr>
          <w:color w:val="000000" w:themeColor="text1"/>
          <w:sz w:val="18"/>
          <w:szCs w:val="18"/>
        </w:rPr>
      </w:pPr>
    </w:p>
    <w:p w14:paraId="5FE371B7" w14:textId="14258784" w:rsidR="00D2046B" w:rsidRPr="0068723D" w:rsidRDefault="00D2046B" w:rsidP="00526DF1">
      <w:pPr>
        <w:pStyle w:val="Akapitzlist"/>
        <w:numPr>
          <w:ilvl w:val="2"/>
          <w:numId w:val="44"/>
        </w:numPr>
        <w:rPr>
          <w:b/>
          <w:color w:val="000000" w:themeColor="text1"/>
          <w:sz w:val="18"/>
          <w:szCs w:val="18"/>
          <w:lang w:eastAsia="en-US"/>
        </w:rPr>
      </w:pPr>
      <w:r w:rsidRPr="0068723D">
        <w:rPr>
          <w:b/>
          <w:color w:val="000000" w:themeColor="text1"/>
          <w:sz w:val="18"/>
          <w:szCs w:val="18"/>
          <w:lang w:eastAsia="en-US"/>
        </w:rPr>
        <w:t>Przepływy środków pieniężnych z transakcji na niepochodnych instrumentach finansowych</w:t>
      </w:r>
    </w:p>
    <w:p w14:paraId="1451280A" w14:textId="77777777" w:rsidR="00AF77F2" w:rsidRPr="0068723D" w:rsidRDefault="00AF77F2" w:rsidP="00AF77F2">
      <w:pPr>
        <w:spacing w:before="120" w:after="120"/>
        <w:jc w:val="both"/>
        <w:rPr>
          <w:rFonts w:eastAsia="Calibri" w:cs="Verdana"/>
          <w:color w:val="000000" w:themeColor="text1"/>
          <w:sz w:val="18"/>
          <w:szCs w:val="18"/>
          <w:lang w:eastAsia="en-US"/>
        </w:rPr>
      </w:pPr>
      <w:r w:rsidRPr="0068723D">
        <w:rPr>
          <w:rFonts w:eastAsia="Calibri" w:cs="Verdana"/>
          <w:color w:val="000000" w:themeColor="text1"/>
          <w:sz w:val="18"/>
          <w:szCs w:val="18"/>
          <w:lang w:eastAsia="en-US"/>
        </w:rPr>
        <w:t>Poniższa tabela zawiera wartości przepływów środków pieniężnych wymaganych do zapłacenia przez Grupę, wynikających z zobowiązań finansowych. Przepływy zaprezentowano na datę bilansową w podziale według pozostałego umownego terminu wymagalności. Kwoty denominowane w walutach obcych zostały przeliczone na złote według średniego kursu NBP z dnia bilansowego. Kwoty ujawnione w analizie terminów wymagalności to umowne niezdyskontowane przepływy środków pieniężnych.</w:t>
      </w:r>
    </w:p>
    <w:tbl>
      <w:tblPr>
        <w:tblW w:w="9498" w:type="dxa"/>
        <w:tblLayout w:type="fixed"/>
        <w:tblCellMar>
          <w:left w:w="28" w:type="dxa"/>
          <w:right w:w="28" w:type="dxa"/>
        </w:tblCellMar>
        <w:tblLook w:val="04A0" w:firstRow="1" w:lastRow="0" w:firstColumn="1" w:lastColumn="0" w:noHBand="0" w:noVBand="1"/>
      </w:tblPr>
      <w:tblGrid>
        <w:gridCol w:w="2410"/>
        <w:gridCol w:w="1178"/>
        <w:gridCol w:w="1178"/>
        <w:gridCol w:w="1178"/>
        <w:gridCol w:w="1178"/>
        <w:gridCol w:w="1178"/>
        <w:gridCol w:w="1198"/>
      </w:tblGrid>
      <w:tr w:rsidR="00AF77F2" w:rsidRPr="00E30B24" w14:paraId="2C03B7A3" w14:textId="77777777" w:rsidTr="00B16591">
        <w:trPr>
          <w:trHeight w:val="408"/>
        </w:trPr>
        <w:tc>
          <w:tcPr>
            <w:tcW w:w="2410" w:type="dxa"/>
            <w:tcBorders>
              <w:top w:val="nil"/>
              <w:left w:val="nil"/>
              <w:bottom w:val="nil"/>
              <w:right w:val="single" w:sz="8" w:space="0" w:color="FFFFFF"/>
            </w:tcBorders>
            <w:shd w:val="clear" w:color="000000" w:fill="0077BD"/>
            <w:vAlign w:val="center"/>
            <w:hideMark/>
          </w:tcPr>
          <w:p w14:paraId="0879D676" w14:textId="5518A51A" w:rsidR="00AF77F2" w:rsidRPr="00E30B24" w:rsidRDefault="00AF77F2" w:rsidP="00FC695C">
            <w:pPr>
              <w:rPr>
                <w:rFonts w:cs="Calibri"/>
                <w:b/>
                <w:bCs/>
                <w:color w:val="FFFFFF"/>
                <w:sz w:val="12"/>
                <w:szCs w:val="12"/>
              </w:rPr>
            </w:pPr>
            <w:r w:rsidRPr="00E30B24">
              <w:rPr>
                <w:rFonts w:cs="Calibri"/>
                <w:b/>
                <w:bCs/>
                <w:color w:val="FFFFFF"/>
                <w:sz w:val="12"/>
                <w:szCs w:val="12"/>
              </w:rPr>
              <w:t>31.12.2019</w:t>
            </w:r>
          </w:p>
        </w:tc>
        <w:tc>
          <w:tcPr>
            <w:tcW w:w="1178" w:type="dxa"/>
            <w:tcBorders>
              <w:top w:val="nil"/>
              <w:left w:val="nil"/>
              <w:bottom w:val="nil"/>
              <w:right w:val="single" w:sz="8" w:space="0" w:color="FFFFFF"/>
            </w:tcBorders>
            <w:shd w:val="clear" w:color="000000" w:fill="0077BD"/>
            <w:vAlign w:val="center"/>
            <w:hideMark/>
          </w:tcPr>
          <w:p w14:paraId="452523A4"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178" w:type="dxa"/>
            <w:tcBorders>
              <w:top w:val="nil"/>
              <w:left w:val="nil"/>
              <w:bottom w:val="nil"/>
              <w:right w:val="single" w:sz="8" w:space="0" w:color="FFFFFF"/>
            </w:tcBorders>
            <w:shd w:val="clear" w:color="000000" w:fill="0077BD"/>
            <w:vAlign w:val="center"/>
            <w:hideMark/>
          </w:tcPr>
          <w:p w14:paraId="3CD51BF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178" w:type="dxa"/>
            <w:tcBorders>
              <w:top w:val="nil"/>
              <w:left w:val="nil"/>
              <w:bottom w:val="nil"/>
              <w:right w:val="single" w:sz="8" w:space="0" w:color="FFFFFF"/>
            </w:tcBorders>
            <w:shd w:val="clear" w:color="000000" w:fill="0077BD"/>
            <w:vAlign w:val="center"/>
            <w:hideMark/>
          </w:tcPr>
          <w:p w14:paraId="569E1D28"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178" w:type="dxa"/>
            <w:tcBorders>
              <w:top w:val="nil"/>
              <w:left w:val="nil"/>
              <w:bottom w:val="nil"/>
              <w:right w:val="single" w:sz="8" w:space="0" w:color="FFFFFF"/>
            </w:tcBorders>
            <w:shd w:val="clear" w:color="000000" w:fill="0077BD"/>
            <w:vAlign w:val="center"/>
            <w:hideMark/>
          </w:tcPr>
          <w:p w14:paraId="0AD1663F"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roku do 5 lat</w:t>
            </w:r>
          </w:p>
        </w:tc>
        <w:tc>
          <w:tcPr>
            <w:tcW w:w="1178" w:type="dxa"/>
            <w:tcBorders>
              <w:top w:val="nil"/>
              <w:left w:val="nil"/>
              <w:bottom w:val="nil"/>
              <w:right w:val="single" w:sz="8" w:space="0" w:color="FFFFFF"/>
            </w:tcBorders>
            <w:shd w:val="clear" w:color="000000" w:fill="0077BD"/>
            <w:vAlign w:val="center"/>
            <w:hideMark/>
          </w:tcPr>
          <w:p w14:paraId="1E4C22C8"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198" w:type="dxa"/>
            <w:tcBorders>
              <w:top w:val="nil"/>
              <w:left w:val="nil"/>
              <w:bottom w:val="nil"/>
              <w:right w:val="nil"/>
            </w:tcBorders>
            <w:shd w:val="clear" w:color="000000" w:fill="0077BD"/>
            <w:vAlign w:val="center"/>
            <w:hideMark/>
          </w:tcPr>
          <w:p w14:paraId="69DF065B"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D54765" w:rsidRPr="00E30B24" w14:paraId="543DDADF" w14:textId="77777777" w:rsidTr="00EA4981">
        <w:trPr>
          <w:trHeight w:val="227"/>
        </w:trPr>
        <w:tc>
          <w:tcPr>
            <w:tcW w:w="9498" w:type="dxa"/>
            <w:gridSpan w:val="7"/>
            <w:tcBorders>
              <w:top w:val="nil"/>
              <w:left w:val="nil"/>
              <w:bottom w:val="single" w:sz="8" w:space="0" w:color="0077BD"/>
              <w:right w:val="nil"/>
            </w:tcBorders>
            <w:shd w:val="clear" w:color="auto" w:fill="auto"/>
            <w:vAlign w:val="center"/>
            <w:hideMark/>
          </w:tcPr>
          <w:p w14:paraId="25A8B53E" w14:textId="77777777" w:rsidR="00AF77F2" w:rsidRPr="00E30B24" w:rsidRDefault="00AF77F2" w:rsidP="00FC695C">
            <w:pPr>
              <w:rPr>
                <w:color w:val="000000" w:themeColor="text1"/>
                <w:sz w:val="12"/>
                <w:szCs w:val="12"/>
              </w:rPr>
            </w:pPr>
            <w:r w:rsidRPr="00E30B24">
              <w:rPr>
                <w:rFonts w:cs="Calibri"/>
                <w:b/>
                <w:bCs/>
                <w:color w:val="000000" w:themeColor="text1"/>
                <w:sz w:val="12"/>
                <w:szCs w:val="12"/>
              </w:rPr>
              <w:t>Zobowiązania (według umownych terminów wymagalności)</w:t>
            </w:r>
          </w:p>
        </w:tc>
      </w:tr>
      <w:tr w:rsidR="006816A8" w:rsidRPr="00E30B24" w14:paraId="5352206B" w14:textId="77777777" w:rsidTr="004845D1">
        <w:trPr>
          <w:trHeight w:val="227"/>
        </w:trPr>
        <w:tc>
          <w:tcPr>
            <w:tcW w:w="2410" w:type="dxa"/>
            <w:tcBorders>
              <w:top w:val="single" w:sz="8" w:space="0" w:color="0077BD"/>
              <w:left w:val="nil"/>
              <w:bottom w:val="single" w:sz="4" w:space="0" w:color="0077BD"/>
              <w:right w:val="single" w:sz="8" w:space="0" w:color="0077BD"/>
            </w:tcBorders>
            <w:shd w:val="clear" w:color="auto" w:fill="auto"/>
            <w:vAlign w:val="center"/>
            <w:hideMark/>
          </w:tcPr>
          <w:p w14:paraId="64028490" w14:textId="1DE1D3CB" w:rsidR="006816A8" w:rsidRPr="00E30B24" w:rsidRDefault="006816A8" w:rsidP="006816A8">
            <w:pPr>
              <w:rPr>
                <w:rFonts w:cs="Calibri"/>
                <w:color w:val="000000" w:themeColor="text1"/>
                <w:sz w:val="12"/>
                <w:szCs w:val="12"/>
              </w:rPr>
            </w:pPr>
            <w:r w:rsidRPr="00E30B24">
              <w:rPr>
                <w:rFonts w:cs="Calibri"/>
                <w:color w:val="000000" w:themeColor="text1"/>
                <w:sz w:val="12"/>
                <w:szCs w:val="12"/>
              </w:rPr>
              <w:t>Zobowiązania wobec banków</w:t>
            </w:r>
          </w:p>
        </w:tc>
        <w:tc>
          <w:tcPr>
            <w:tcW w:w="1178" w:type="dxa"/>
            <w:tcBorders>
              <w:top w:val="nil"/>
              <w:left w:val="single" w:sz="8" w:space="0" w:color="0077BD"/>
              <w:bottom w:val="single" w:sz="4" w:space="0" w:color="0077BD"/>
              <w:right w:val="single" w:sz="8" w:space="0" w:color="0077BD"/>
            </w:tcBorders>
            <w:shd w:val="clear" w:color="auto" w:fill="auto"/>
            <w:noWrap/>
            <w:vAlign w:val="center"/>
          </w:tcPr>
          <w:p w14:paraId="4FA46333" w14:textId="23EBE45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1 045 928</w:t>
            </w:r>
          </w:p>
        </w:tc>
        <w:tc>
          <w:tcPr>
            <w:tcW w:w="1178" w:type="dxa"/>
            <w:tcBorders>
              <w:top w:val="nil"/>
              <w:left w:val="nil"/>
              <w:bottom w:val="single" w:sz="4" w:space="0" w:color="0077BD"/>
              <w:right w:val="single" w:sz="8" w:space="0" w:color="0077BD"/>
            </w:tcBorders>
            <w:shd w:val="clear" w:color="auto" w:fill="auto"/>
            <w:noWrap/>
            <w:vAlign w:val="center"/>
          </w:tcPr>
          <w:p w14:paraId="707E8207" w14:textId="3C01CFD0"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1 301</w:t>
            </w:r>
          </w:p>
        </w:tc>
        <w:tc>
          <w:tcPr>
            <w:tcW w:w="1178" w:type="dxa"/>
            <w:tcBorders>
              <w:top w:val="nil"/>
              <w:left w:val="nil"/>
              <w:bottom w:val="single" w:sz="4" w:space="0" w:color="0077BD"/>
              <w:right w:val="single" w:sz="8" w:space="0" w:color="0077BD"/>
            </w:tcBorders>
            <w:shd w:val="clear" w:color="auto" w:fill="auto"/>
            <w:noWrap/>
            <w:vAlign w:val="center"/>
          </w:tcPr>
          <w:p w14:paraId="404F32F7" w14:textId="647E96F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3 932</w:t>
            </w:r>
          </w:p>
        </w:tc>
        <w:tc>
          <w:tcPr>
            <w:tcW w:w="1178" w:type="dxa"/>
            <w:tcBorders>
              <w:top w:val="nil"/>
              <w:left w:val="nil"/>
              <w:bottom w:val="single" w:sz="4" w:space="0" w:color="0077BD"/>
              <w:right w:val="single" w:sz="8" w:space="0" w:color="0077BD"/>
            </w:tcBorders>
            <w:shd w:val="clear" w:color="auto" w:fill="auto"/>
            <w:noWrap/>
            <w:vAlign w:val="center"/>
          </w:tcPr>
          <w:p w14:paraId="39630147" w14:textId="280D6EC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192 315</w:t>
            </w:r>
          </w:p>
        </w:tc>
        <w:tc>
          <w:tcPr>
            <w:tcW w:w="1178" w:type="dxa"/>
            <w:tcBorders>
              <w:top w:val="nil"/>
              <w:left w:val="nil"/>
              <w:bottom w:val="single" w:sz="4" w:space="0" w:color="0077BD"/>
              <w:right w:val="single" w:sz="8" w:space="0" w:color="0077BD"/>
            </w:tcBorders>
            <w:shd w:val="clear" w:color="auto" w:fill="auto"/>
            <w:noWrap/>
            <w:vAlign w:val="center"/>
          </w:tcPr>
          <w:p w14:paraId="2634C894" w14:textId="372D70F9"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w:t>
            </w:r>
          </w:p>
        </w:tc>
        <w:tc>
          <w:tcPr>
            <w:tcW w:w="1198" w:type="dxa"/>
            <w:tcBorders>
              <w:top w:val="single" w:sz="4" w:space="0" w:color="0077BD"/>
              <w:left w:val="nil"/>
              <w:bottom w:val="single" w:sz="4" w:space="0" w:color="0077BD"/>
              <w:right w:val="nil"/>
            </w:tcBorders>
            <w:shd w:val="clear" w:color="auto" w:fill="auto"/>
            <w:noWrap/>
            <w:vAlign w:val="center"/>
          </w:tcPr>
          <w:p w14:paraId="51FF89B1" w14:textId="5C5D8D9E"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1 243 476</w:t>
            </w:r>
          </w:p>
        </w:tc>
      </w:tr>
      <w:tr w:rsidR="006816A8" w:rsidRPr="00E30B24" w14:paraId="6AB1F2CD" w14:textId="77777777" w:rsidTr="00B52BF0">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10B28FE7" w14:textId="77777777" w:rsidR="006816A8" w:rsidRPr="00E30B24" w:rsidRDefault="006816A8" w:rsidP="006816A8">
            <w:pPr>
              <w:rPr>
                <w:rFonts w:cs="Calibri"/>
                <w:color w:val="000000" w:themeColor="text1"/>
                <w:sz w:val="12"/>
                <w:szCs w:val="12"/>
              </w:rPr>
            </w:pPr>
            <w:r w:rsidRPr="00E30B24">
              <w:rPr>
                <w:rFonts w:cs="Calibri"/>
                <w:color w:val="000000" w:themeColor="text1"/>
                <w:sz w:val="12"/>
                <w:szCs w:val="12"/>
              </w:rPr>
              <w:t>Zobowiązania wobec klientów</w:t>
            </w:r>
          </w:p>
        </w:tc>
        <w:tc>
          <w:tcPr>
            <w:tcW w:w="1178" w:type="dxa"/>
            <w:tcBorders>
              <w:top w:val="nil"/>
              <w:left w:val="single" w:sz="8" w:space="0" w:color="0077BD"/>
              <w:bottom w:val="single" w:sz="4" w:space="0" w:color="0077BD"/>
              <w:right w:val="single" w:sz="8" w:space="0" w:color="0077BD"/>
            </w:tcBorders>
            <w:shd w:val="clear" w:color="auto" w:fill="auto"/>
            <w:noWrap/>
            <w:vAlign w:val="center"/>
          </w:tcPr>
          <w:p w14:paraId="2D473B07" w14:textId="2E64852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100 159 708</w:t>
            </w:r>
          </w:p>
        </w:tc>
        <w:tc>
          <w:tcPr>
            <w:tcW w:w="1178" w:type="dxa"/>
            <w:tcBorders>
              <w:top w:val="nil"/>
              <w:left w:val="nil"/>
              <w:bottom w:val="single" w:sz="4" w:space="0" w:color="0077BD"/>
              <w:right w:val="single" w:sz="8" w:space="0" w:color="0077BD"/>
            </w:tcBorders>
            <w:shd w:val="clear" w:color="auto" w:fill="auto"/>
            <w:noWrap/>
            <w:vAlign w:val="center"/>
          </w:tcPr>
          <w:p w14:paraId="20B05888" w14:textId="10620EF4"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8 758 198</w:t>
            </w:r>
          </w:p>
        </w:tc>
        <w:tc>
          <w:tcPr>
            <w:tcW w:w="1178" w:type="dxa"/>
            <w:tcBorders>
              <w:top w:val="nil"/>
              <w:left w:val="nil"/>
              <w:bottom w:val="single" w:sz="4" w:space="0" w:color="0077BD"/>
              <w:right w:val="single" w:sz="8" w:space="0" w:color="0077BD"/>
            </w:tcBorders>
            <w:shd w:val="clear" w:color="auto" w:fill="auto"/>
            <w:noWrap/>
            <w:vAlign w:val="center"/>
          </w:tcPr>
          <w:p w14:paraId="28411CD8" w14:textId="7E2E7068"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4 643 196</w:t>
            </w:r>
          </w:p>
        </w:tc>
        <w:tc>
          <w:tcPr>
            <w:tcW w:w="1178" w:type="dxa"/>
            <w:tcBorders>
              <w:top w:val="nil"/>
              <w:left w:val="nil"/>
              <w:bottom w:val="single" w:sz="4" w:space="0" w:color="0077BD"/>
              <w:right w:val="single" w:sz="8" w:space="0" w:color="0077BD"/>
            </w:tcBorders>
            <w:shd w:val="clear" w:color="auto" w:fill="auto"/>
            <w:noWrap/>
            <w:vAlign w:val="center"/>
          </w:tcPr>
          <w:p w14:paraId="64FC503A" w14:textId="1ADEE8A4"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1 857 214</w:t>
            </w:r>
          </w:p>
        </w:tc>
        <w:tc>
          <w:tcPr>
            <w:tcW w:w="1178" w:type="dxa"/>
            <w:tcBorders>
              <w:top w:val="nil"/>
              <w:left w:val="nil"/>
              <w:bottom w:val="single" w:sz="4" w:space="0" w:color="0077BD"/>
              <w:right w:val="single" w:sz="8" w:space="0" w:color="0077BD"/>
            </w:tcBorders>
            <w:shd w:val="clear" w:color="auto" w:fill="auto"/>
            <w:noWrap/>
            <w:vAlign w:val="center"/>
          </w:tcPr>
          <w:p w14:paraId="3E9E9F08" w14:textId="47244792"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1 684 193</w:t>
            </w:r>
          </w:p>
        </w:tc>
        <w:tc>
          <w:tcPr>
            <w:tcW w:w="1198" w:type="dxa"/>
            <w:tcBorders>
              <w:top w:val="nil"/>
              <w:left w:val="nil"/>
              <w:bottom w:val="single" w:sz="4" w:space="0" w:color="0077BD"/>
              <w:right w:val="nil"/>
            </w:tcBorders>
            <w:shd w:val="clear" w:color="auto" w:fill="auto"/>
            <w:noWrap/>
            <w:vAlign w:val="center"/>
          </w:tcPr>
          <w:p w14:paraId="6647C734" w14:textId="3B321BB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117 102 509</w:t>
            </w:r>
          </w:p>
        </w:tc>
      </w:tr>
      <w:tr w:rsidR="006816A8" w:rsidRPr="00E30B24" w14:paraId="0E1C1ED2" w14:textId="77777777" w:rsidTr="00B52BF0">
        <w:trPr>
          <w:trHeight w:val="340"/>
        </w:trPr>
        <w:tc>
          <w:tcPr>
            <w:tcW w:w="2410" w:type="dxa"/>
            <w:tcBorders>
              <w:top w:val="nil"/>
              <w:left w:val="nil"/>
              <w:bottom w:val="single" w:sz="4" w:space="0" w:color="0077BD"/>
              <w:right w:val="single" w:sz="8" w:space="0" w:color="0077BD"/>
            </w:tcBorders>
            <w:shd w:val="clear" w:color="auto" w:fill="auto"/>
            <w:vAlign w:val="center"/>
            <w:hideMark/>
          </w:tcPr>
          <w:p w14:paraId="47BC854E" w14:textId="77777777" w:rsidR="006816A8" w:rsidRPr="00E30B24" w:rsidRDefault="006816A8" w:rsidP="006816A8">
            <w:pPr>
              <w:rPr>
                <w:rFonts w:cs="Calibri"/>
                <w:color w:val="000000" w:themeColor="text1"/>
                <w:sz w:val="12"/>
                <w:szCs w:val="12"/>
              </w:rPr>
            </w:pPr>
            <w:r w:rsidRPr="00E30B24">
              <w:rPr>
                <w:rFonts w:cs="Calibri"/>
                <w:color w:val="000000" w:themeColor="text1"/>
                <w:sz w:val="12"/>
                <w:szCs w:val="12"/>
              </w:rPr>
              <w:t>Zobowiązania z tytułu emisji dłużnych papierów wartościowych</w:t>
            </w:r>
          </w:p>
        </w:tc>
        <w:tc>
          <w:tcPr>
            <w:tcW w:w="1178" w:type="dxa"/>
            <w:tcBorders>
              <w:top w:val="nil"/>
              <w:left w:val="single" w:sz="8" w:space="0" w:color="0077BD"/>
              <w:bottom w:val="single" w:sz="4" w:space="0" w:color="0077BD"/>
              <w:right w:val="single" w:sz="8" w:space="0" w:color="0077BD"/>
            </w:tcBorders>
            <w:shd w:val="clear" w:color="auto" w:fill="auto"/>
            <w:noWrap/>
            <w:vAlign w:val="center"/>
          </w:tcPr>
          <w:p w14:paraId="2652CB38" w14:textId="7F817EF7"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199 186</w:t>
            </w:r>
          </w:p>
        </w:tc>
        <w:tc>
          <w:tcPr>
            <w:tcW w:w="1178" w:type="dxa"/>
            <w:tcBorders>
              <w:top w:val="nil"/>
              <w:left w:val="nil"/>
              <w:bottom w:val="single" w:sz="4" w:space="0" w:color="0077BD"/>
              <w:right w:val="single" w:sz="8" w:space="0" w:color="0077BD"/>
            </w:tcBorders>
            <w:shd w:val="clear" w:color="auto" w:fill="auto"/>
            <w:noWrap/>
            <w:vAlign w:val="center"/>
          </w:tcPr>
          <w:p w14:paraId="514ADA91" w14:textId="1EEA8551"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600 907</w:t>
            </w:r>
          </w:p>
        </w:tc>
        <w:tc>
          <w:tcPr>
            <w:tcW w:w="1178" w:type="dxa"/>
            <w:tcBorders>
              <w:top w:val="nil"/>
              <w:left w:val="nil"/>
              <w:bottom w:val="single" w:sz="4" w:space="0" w:color="0077BD"/>
              <w:right w:val="single" w:sz="8" w:space="0" w:color="0077BD"/>
            </w:tcBorders>
            <w:shd w:val="clear" w:color="auto" w:fill="auto"/>
            <w:noWrap/>
            <w:vAlign w:val="center"/>
          </w:tcPr>
          <w:p w14:paraId="3FAFC17F" w14:textId="4D57408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3 527 303</w:t>
            </w:r>
          </w:p>
        </w:tc>
        <w:tc>
          <w:tcPr>
            <w:tcW w:w="1178" w:type="dxa"/>
            <w:tcBorders>
              <w:top w:val="nil"/>
              <w:left w:val="nil"/>
              <w:bottom w:val="single" w:sz="4" w:space="0" w:color="0077BD"/>
              <w:right w:val="single" w:sz="8" w:space="0" w:color="0077BD"/>
            </w:tcBorders>
            <w:shd w:val="clear" w:color="auto" w:fill="auto"/>
            <w:noWrap/>
            <w:vAlign w:val="center"/>
          </w:tcPr>
          <w:p w14:paraId="549EF04A" w14:textId="3BC52628"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10 852 325</w:t>
            </w:r>
          </w:p>
        </w:tc>
        <w:tc>
          <w:tcPr>
            <w:tcW w:w="1178" w:type="dxa"/>
            <w:tcBorders>
              <w:top w:val="nil"/>
              <w:left w:val="nil"/>
              <w:bottom w:val="single" w:sz="4" w:space="0" w:color="0077BD"/>
              <w:right w:val="single" w:sz="8" w:space="0" w:color="0077BD"/>
            </w:tcBorders>
            <w:shd w:val="clear" w:color="auto" w:fill="auto"/>
            <w:noWrap/>
            <w:vAlign w:val="center"/>
          </w:tcPr>
          <w:p w14:paraId="707527D6" w14:textId="0E80E2DB"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3 152 488</w:t>
            </w:r>
          </w:p>
        </w:tc>
        <w:tc>
          <w:tcPr>
            <w:tcW w:w="1198" w:type="dxa"/>
            <w:tcBorders>
              <w:top w:val="nil"/>
              <w:left w:val="nil"/>
              <w:bottom w:val="single" w:sz="4" w:space="0" w:color="0077BD"/>
              <w:right w:val="nil"/>
            </w:tcBorders>
            <w:shd w:val="clear" w:color="auto" w:fill="auto"/>
            <w:noWrap/>
            <w:vAlign w:val="center"/>
          </w:tcPr>
          <w:p w14:paraId="59863E97" w14:textId="64FF06D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18 332 209</w:t>
            </w:r>
          </w:p>
        </w:tc>
      </w:tr>
      <w:tr w:rsidR="006816A8" w:rsidRPr="00E30B24" w14:paraId="7C003F18" w14:textId="77777777" w:rsidTr="00B52BF0">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67D70A58" w14:textId="77777777" w:rsidR="006816A8" w:rsidRPr="00E30B24" w:rsidRDefault="006816A8" w:rsidP="006816A8">
            <w:pPr>
              <w:rPr>
                <w:rFonts w:cs="Calibri"/>
                <w:color w:val="000000" w:themeColor="text1"/>
                <w:sz w:val="12"/>
                <w:szCs w:val="12"/>
              </w:rPr>
            </w:pPr>
            <w:r w:rsidRPr="00E30B24">
              <w:rPr>
                <w:rFonts w:cs="Calibri"/>
                <w:color w:val="000000" w:themeColor="text1"/>
                <w:sz w:val="12"/>
                <w:szCs w:val="12"/>
              </w:rPr>
              <w:t>Zobowiązania podporządkowane</w:t>
            </w:r>
          </w:p>
        </w:tc>
        <w:tc>
          <w:tcPr>
            <w:tcW w:w="1178" w:type="dxa"/>
            <w:tcBorders>
              <w:top w:val="nil"/>
              <w:left w:val="single" w:sz="8" w:space="0" w:color="0077BD"/>
              <w:bottom w:val="single" w:sz="4" w:space="0" w:color="0077BD"/>
              <w:right w:val="single" w:sz="8" w:space="0" w:color="0077BD"/>
            </w:tcBorders>
            <w:shd w:val="clear" w:color="auto" w:fill="auto"/>
            <w:noWrap/>
            <w:vAlign w:val="center"/>
          </w:tcPr>
          <w:p w14:paraId="3FB4CAAE" w14:textId="27F6A565"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34 828</w:t>
            </w:r>
          </w:p>
        </w:tc>
        <w:tc>
          <w:tcPr>
            <w:tcW w:w="1178" w:type="dxa"/>
            <w:tcBorders>
              <w:top w:val="nil"/>
              <w:left w:val="nil"/>
              <w:bottom w:val="single" w:sz="4" w:space="0" w:color="0077BD"/>
              <w:right w:val="single" w:sz="8" w:space="0" w:color="0077BD"/>
            </w:tcBorders>
            <w:shd w:val="clear" w:color="auto" w:fill="auto"/>
            <w:noWrap/>
            <w:vAlign w:val="center"/>
          </w:tcPr>
          <w:p w14:paraId="15D04097" w14:textId="2B947577"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5 068</w:t>
            </w:r>
          </w:p>
        </w:tc>
        <w:tc>
          <w:tcPr>
            <w:tcW w:w="1178" w:type="dxa"/>
            <w:tcBorders>
              <w:top w:val="nil"/>
              <w:left w:val="nil"/>
              <w:bottom w:val="single" w:sz="4" w:space="0" w:color="0077BD"/>
              <w:right w:val="single" w:sz="8" w:space="0" w:color="0077BD"/>
            </w:tcBorders>
            <w:shd w:val="clear" w:color="auto" w:fill="auto"/>
            <w:noWrap/>
            <w:vAlign w:val="center"/>
          </w:tcPr>
          <w:p w14:paraId="714AB05A" w14:textId="1C76DE60"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57 163</w:t>
            </w:r>
          </w:p>
        </w:tc>
        <w:tc>
          <w:tcPr>
            <w:tcW w:w="1178" w:type="dxa"/>
            <w:tcBorders>
              <w:top w:val="nil"/>
              <w:left w:val="nil"/>
              <w:bottom w:val="single" w:sz="4" w:space="0" w:color="0077BD"/>
              <w:right w:val="single" w:sz="8" w:space="0" w:color="0077BD"/>
            </w:tcBorders>
            <w:shd w:val="clear" w:color="auto" w:fill="auto"/>
            <w:noWrap/>
            <w:vAlign w:val="center"/>
          </w:tcPr>
          <w:p w14:paraId="595C622F" w14:textId="367B19DA"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307 123</w:t>
            </w:r>
          </w:p>
        </w:tc>
        <w:tc>
          <w:tcPr>
            <w:tcW w:w="1178" w:type="dxa"/>
            <w:tcBorders>
              <w:top w:val="nil"/>
              <w:left w:val="nil"/>
              <w:bottom w:val="single" w:sz="4" w:space="0" w:color="0077BD"/>
              <w:right w:val="single" w:sz="8" w:space="0" w:color="0077BD"/>
            </w:tcBorders>
            <w:shd w:val="clear" w:color="auto" w:fill="auto"/>
            <w:noWrap/>
            <w:vAlign w:val="center"/>
          </w:tcPr>
          <w:p w14:paraId="482F77B8" w14:textId="08E77A2C"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2 684 908</w:t>
            </w:r>
          </w:p>
        </w:tc>
        <w:tc>
          <w:tcPr>
            <w:tcW w:w="1198" w:type="dxa"/>
            <w:tcBorders>
              <w:top w:val="nil"/>
              <w:left w:val="nil"/>
              <w:bottom w:val="single" w:sz="4" w:space="0" w:color="0077BD"/>
              <w:right w:val="nil"/>
            </w:tcBorders>
            <w:shd w:val="clear" w:color="auto" w:fill="auto"/>
            <w:noWrap/>
            <w:vAlign w:val="center"/>
          </w:tcPr>
          <w:p w14:paraId="6010B518" w14:textId="389A77F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3 089 090</w:t>
            </w:r>
          </w:p>
        </w:tc>
      </w:tr>
      <w:tr w:rsidR="006816A8" w:rsidRPr="00E30B24" w14:paraId="0886C4F7" w14:textId="77777777" w:rsidTr="00B52BF0">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308172B5" w14:textId="77777777" w:rsidR="006816A8" w:rsidRPr="00E30B24" w:rsidRDefault="006816A8" w:rsidP="006816A8">
            <w:pPr>
              <w:rPr>
                <w:rFonts w:cs="Calibri"/>
                <w:color w:val="000000" w:themeColor="text1"/>
                <w:sz w:val="12"/>
                <w:szCs w:val="12"/>
              </w:rPr>
            </w:pPr>
            <w:r w:rsidRPr="00E30B24">
              <w:rPr>
                <w:rFonts w:cs="Calibri"/>
                <w:color w:val="000000" w:themeColor="text1"/>
                <w:sz w:val="12"/>
                <w:szCs w:val="12"/>
              </w:rPr>
              <w:t>Pozostałe zobowiązania</w:t>
            </w:r>
          </w:p>
        </w:tc>
        <w:tc>
          <w:tcPr>
            <w:tcW w:w="1178" w:type="dxa"/>
            <w:tcBorders>
              <w:top w:val="nil"/>
              <w:left w:val="single" w:sz="8" w:space="0" w:color="0077BD"/>
              <w:bottom w:val="single" w:sz="8" w:space="0" w:color="0077BD"/>
              <w:right w:val="single" w:sz="8" w:space="0" w:color="0077BD"/>
            </w:tcBorders>
            <w:shd w:val="clear" w:color="auto" w:fill="auto"/>
            <w:noWrap/>
            <w:vAlign w:val="center"/>
          </w:tcPr>
          <w:p w14:paraId="711A4E50" w14:textId="125F1A7C"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1 605 558</w:t>
            </w:r>
          </w:p>
        </w:tc>
        <w:tc>
          <w:tcPr>
            <w:tcW w:w="1178" w:type="dxa"/>
            <w:tcBorders>
              <w:top w:val="nil"/>
              <w:left w:val="nil"/>
              <w:bottom w:val="single" w:sz="8" w:space="0" w:color="0077BD"/>
              <w:right w:val="single" w:sz="8" w:space="0" w:color="0077BD"/>
            </w:tcBorders>
            <w:shd w:val="clear" w:color="auto" w:fill="auto"/>
            <w:noWrap/>
            <w:vAlign w:val="center"/>
          </w:tcPr>
          <w:p w14:paraId="193B349F" w14:textId="23E5EE86"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1 763</w:t>
            </w:r>
          </w:p>
        </w:tc>
        <w:tc>
          <w:tcPr>
            <w:tcW w:w="1178" w:type="dxa"/>
            <w:tcBorders>
              <w:top w:val="nil"/>
              <w:left w:val="nil"/>
              <w:bottom w:val="single" w:sz="8" w:space="0" w:color="0077BD"/>
              <w:right w:val="single" w:sz="8" w:space="0" w:color="0077BD"/>
            </w:tcBorders>
            <w:shd w:val="clear" w:color="auto" w:fill="auto"/>
            <w:noWrap/>
            <w:vAlign w:val="center"/>
          </w:tcPr>
          <w:p w14:paraId="0F5E7E6C" w14:textId="5AA65FA0"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487 420</w:t>
            </w:r>
          </w:p>
        </w:tc>
        <w:tc>
          <w:tcPr>
            <w:tcW w:w="1178" w:type="dxa"/>
            <w:tcBorders>
              <w:top w:val="nil"/>
              <w:left w:val="nil"/>
              <w:bottom w:val="single" w:sz="8" w:space="0" w:color="0077BD"/>
              <w:right w:val="single" w:sz="8" w:space="0" w:color="0077BD"/>
            </w:tcBorders>
            <w:shd w:val="clear" w:color="auto" w:fill="auto"/>
            <w:noWrap/>
            <w:vAlign w:val="center"/>
          </w:tcPr>
          <w:p w14:paraId="3724B3BA" w14:textId="546DE7F3"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w:t>
            </w:r>
          </w:p>
        </w:tc>
        <w:tc>
          <w:tcPr>
            <w:tcW w:w="1178" w:type="dxa"/>
            <w:tcBorders>
              <w:top w:val="nil"/>
              <w:left w:val="nil"/>
              <w:bottom w:val="single" w:sz="8" w:space="0" w:color="0077BD"/>
              <w:right w:val="single" w:sz="8" w:space="0" w:color="0077BD"/>
            </w:tcBorders>
            <w:shd w:val="clear" w:color="auto" w:fill="auto"/>
            <w:noWrap/>
            <w:vAlign w:val="center"/>
          </w:tcPr>
          <w:p w14:paraId="160FACC8" w14:textId="12492A8F" w:rsidR="006816A8" w:rsidRPr="0090066D" w:rsidRDefault="006816A8" w:rsidP="006816A8">
            <w:pPr>
              <w:jc w:val="right"/>
              <w:rPr>
                <w:rFonts w:cs="Calibri"/>
                <w:color w:val="000000" w:themeColor="text1"/>
                <w:sz w:val="12"/>
                <w:szCs w:val="12"/>
              </w:rPr>
            </w:pPr>
            <w:r w:rsidRPr="0090066D">
              <w:rPr>
                <w:rFonts w:cs="Calibri"/>
                <w:color w:val="000000" w:themeColor="text1"/>
                <w:sz w:val="12"/>
                <w:szCs w:val="12"/>
              </w:rPr>
              <w:t>-</w:t>
            </w:r>
          </w:p>
        </w:tc>
        <w:tc>
          <w:tcPr>
            <w:tcW w:w="1198" w:type="dxa"/>
            <w:tcBorders>
              <w:top w:val="nil"/>
              <w:left w:val="nil"/>
              <w:bottom w:val="single" w:sz="8" w:space="0" w:color="0077BD"/>
              <w:right w:val="nil"/>
            </w:tcBorders>
            <w:shd w:val="clear" w:color="auto" w:fill="auto"/>
            <w:noWrap/>
            <w:vAlign w:val="center"/>
          </w:tcPr>
          <w:p w14:paraId="72642FB2" w14:textId="3BA6AC3D"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2 094 741</w:t>
            </w:r>
          </w:p>
        </w:tc>
      </w:tr>
      <w:tr w:rsidR="006816A8" w:rsidRPr="00E30B24" w14:paraId="56977637" w14:textId="77777777" w:rsidTr="00B52BF0">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353EF09A" w14:textId="77777777" w:rsidR="006816A8" w:rsidRPr="00E30B24" w:rsidRDefault="006816A8" w:rsidP="006816A8">
            <w:pPr>
              <w:rPr>
                <w:rFonts w:cs="Calibri"/>
                <w:b/>
                <w:bCs/>
                <w:color w:val="000000" w:themeColor="text1"/>
                <w:sz w:val="12"/>
                <w:szCs w:val="12"/>
              </w:rPr>
            </w:pPr>
            <w:r w:rsidRPr="00E30B24">
              <w:rPr>
                <w:rFonts w:cs="Calibri"/>
                <w:b/>
                <w:bCs/>
                <w:color w:val="000000" w:themeColor="text1"/>
                <w:sz w:val="12"/>
                <w:szCs w:val="12"/>
              </w:rPr>
              <w:t>Zobowiązania razem</w:t>
            </w:r>
          </w:p>
        </w:tc>
        <w:tc>
          <w:tcPr>
            <w:tcW w:w="1178" w:type="dxa"/>
            <w:tcBorders>
              <w:top w:val="nil"/>
              <w:left w:val="single" w:sz="8" w:space="0" w:color="0077BD"/>
              <w:bottom w:val="single" w:sz="8" w:space="0" w:color="0077BD"/>
              <w:right w:val="single" w:sz="8" w:space="0" w:color="0077BD"/>
            </w:tcBorders>
            <w:shd w:val="clear" w:color="auto" w:fill="auto"/>
            <w:noWrap/>
            <w:vAlign w:val="center"/>
          </w:tcPr>
          <w:p w14:paraId="4AA1189D" w14:textId="6A3B7ED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103 045 208</w:t>
            </w:r>
          </w:p>
        </w:tc>
        <w:tc>
          <w:tcPr>
            <w:tcW w:w="1178" w:type="dxa"/>
            <w:tcBorders>
              <w:top w:val="nil"/>
              <w:left w:val="nil"/>
              <w:bottom w:val="single" w:sz="8" w:space="0" w:color="0077BD"/>
              <w:right w:val="single" w:sz="8" w:space="0" w:color="0077BD"/>
            </w:tcBorders>
            <w:shd w:val="clear" w:color="auto" w:fill="auto"/>
            <w:noWrap/>
            <w:vAlign w:val="center"/>
          </w:tcPr>
          <w:p w14:paraId="213A229E" w14:textId="73B7D30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9 367 237</w:t>
            </w:r>
          </w:p>
        </w:tc>
        <w:tc>
          <w:tcPr>
            <w:tcW w:w="1178" w:type="dxa"/>
            <w:tcBorders>
              <w:top w:val="nil"/>
              <w:left w:val="nil"/>
              <w:bottom w:val="single" w:sz="8" w:space="0" w:color="0077BD"/>
              <w:right w:val="single" w:sz="8" w:space="0" w:color="0077BD"/>
            </w:tcBorders>
            <w:shd w:val="clear" w:color="auto" w:fill="auto"/>
            <w:noWrap/>
            <w:vAlign w:val="center"/>
          </w:tcPr>
          <w:p w14:paraId="4E4ECA3C" w14:textId="726404B9"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8 719 014</w:t>
            </w:r>
          </w:p>
        </w:tc>
        <w:tc>
          <w:tcPr>
            <w:tcW w:w="1178" w:type="dxa"/>
            <w:tcBorders>
              <w:top w:val="nil"/>
              <w:left w:val="nil"/>
              <w:bottom w:val="single" w:sz="8" w:space="0" w:color="0077BD"/>
              <w:right w:val="single" w:sz="8" w:space="0" w:color="0077BD"/>
            </w:tcBorders>
            <w:shd w:val="clear" w:color="auto" w:fill="auto"/>
            <w:noWrap/>
            <w:vAlign w:val="center"/>
          </w:tcPr>
          <w:p w14:paraId="3FB13A89" w14:textId="287F9F64"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13 208 977</w:t>
            </w:r>
          </w:p>
        </w:tc>
        <w:tc>
          <w:tcPr>
            <w:tcW w:w="1178" w:type="dxa"/>
            <w:tcBorders>
              <w:top w:val="nil"/>
              <w:left w:val="nil"/>
              <w:bottom w:val="single" w:sz="8" w:space="0" w:color="0077BD"/>
              <w:right w:val="single" w:sz="8" w:space="0" w:color="0077BD"/>
            </w:tcBorders>
            <w:shd w:val="clear" w:color="auto" w:fill="auto"/>
            <w:noWrap/>
            <w:vAlign w:val="center"/>
          </w:tcPr>
          <w:p w14:paraId="0D1F7257" w14:textId="3B31D34E"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7 521 589</w:t>
            </w:r>
          </w:p>
        </w:tc>
        <w:tc>
          <w:tcPr>
            <w:tcW w:w="1198" w:type="dxa"/>
            <w:tcBorders>
              <w:top w:val="nil"/>
              <w:left w:val="nil"/>
              <w:bottom w:val="single" w:sz="8" w:space="0" w:color="0077BD"/>
              <w:right w:val="nil"/>
            </w:tcBorders>
            <w:shd w:val="clear" w:color="auto" w:fill="auto"/>
            <w:noWrap/>
            <w:vAlign w:val="center"/>
          </w:tcPr>
          <w:p w14:paraId="0A721B8C" w14:textId="47D81796" w:rsidR="006816A8" w:rsidRPr="0090066D" w:rsidRDefault="006816A8" w:rsidP="006816A8">
            <w:pPr>
              <w:jc w:val="right"/>
              <w:rPr>
                <w:rFonts w:cs="Calibri"/>
                <w:b/>
                <w:bCs/>
                <w:color w:val="000000" w:themeColor="text1"/>
                <w:sz w:val="12"/>
                <w:szCs w:val="12"/>
              </w:rPr>
            </w:pPr>
            <w:r w:rsidRPr="0090066D">
              <w:rPr>
                <w:rFonts w:cs="Calibri"/>
                <w:b/>
                <w:bCs/>
                <w:color w:val="000000" w:themeColor="text1"/>
                <w:sz w:val="12"/>
                <w:szCs w:val="12"/>
              </w:rPr>
              <w:t>141 862 025</w:t>
            </w:r>
          </w:p>
        </w:tc>
      </w:tr>
      <w:tr w:rsidR="00D54765" w:rsidRPr="00E30B24" w14:paraId="1DB820BC" w14:textId="77777777" w:rsidTr="00B16591">
        <w:trPr>
          <w:trHeight w:val="227"/>
        </w:trPr>
        <w:tc>
          <w:tcPr>
            <w:tcW w:w="4766" w:type="dxa"/>
            <w:gridSpan w:val="3"/>
            <w:tcBorders>
              <w:top w:val="nil"/>
              <w:left w:val="nil"/>
              <w:bottom w:val="nil"/>
              <w:right w:val="nil"/>
            </w:tcBorders>
            <w:shd w:val="clear" w:color="auto" w:fill="auto"/>
            <w:vAlign w:val="center"/>
            <w:hideMark/>
          </w:tcPr>
          <w:p w14:paraId="0B9F0A34" w14:textId="77777777" w:rsidR="00AF77F2" w:rsidRPr="00E30B24" w:rsidRDefault="00AF77F2" w:rsidP="00FC695C">
            <w:pPr>
              <w:rPr>
                <w:color w:val="000000" w:themeColor="text1"/>
                <w:sz w:val="12"/>
                <w:szCs w:val="12"/>
              </w:rPr>
            </w:pPr>
            <w:r w:rsidRPr="00E30B24">
              <w:rPr>
                <w:rFonts w:cs="Calibri"/>
                <w:b/>
                <w:bCs/>
                <w:color w:val="000000" w:themeColor="text1"/>
                <w:sz w:val="12"/>
                <w:szCs w:val="12"/>
              </w:rPr>
              <w:t>Aktywa (według oczekiwanych terminów zapadalności)</w:t>
            </w:r>
          </w:p>
        </w:tc>
        <w:tc>
          <w:tcPr>
            <w:tcW w:w="1178" w:type="dxa"/>
            <w:tcBorders>
              <w:top w:val="nil"/>
              <w:left w:val="nil"/>
              <w:bottom w:val="nil"/>
              <w:right w:val="nil"/>
            </w:tcBorders>
            <w:shd w:val="clear" w:color="auto" w:fill="auto"/>
            <w:noWrap/>
            <w:vAlign w:val="center"/>
            <w:hideMark/>
          </w:tcPr>
          <w:p w14:paraId="6F5727C8" w14:textId="77777777" w:rsidR="00AF77F2" w:rsidRPr="00E30B24" w:rsidRDefault="00AF77F2" w:rsidP="00FC695C">
            <w:pPr>
              <w:rPr>
                <w:color w:val="000000" w:themeColor="text1"/>
                <w:sz w:val="12"/>
                <w:szCs w:val="12"/>
              </w:rPr>
            </w:pPr>
          </w:p>
        </w:tc>
        <w:tc>
          <w:tcPr>
            <w:tcW w:w="1178" w:type="dxa"/>
            <w:tcBorders>
              <w:top w:val="nil"/>
              <w:left w:val="nil"/>
              <w:bottom w:val="nil"/>
              <w:right w:val="nil"/>
            </w:tcBorders>
            <w:shd w:val="clear" w:color="auto" w:fill="auto"/>
            <w:noWrap/>
            <w:vAlign w:val="center"/>
            <w:hideMark/>
          </w:tcPr>
          <w:p w14:paraId="7D9E1B03" w14:textId="77777777" w:rsidR="00AF77F2" w:rsidRPr="00E30B24" w:rsidRDefault="00AF77F2" w:rsidP="00FC695C">
            <w:pPr>
              <w:rPr>
                <w:color w:val="000000" w:themeColor="text1"/>
                <w:sz w:val="12"/>
                <w:szCs w:val="12"/>
              </w:rPr>
            </w:pPr>
          </w:p>
        </w:tc>
        <w:tc>
          <w:tcPr>
            <w:tcW w:w="1178" w:type="dxa"/>
            <w:tcBorders>
              <w:top w:val="nil"/>
              <w:left w:val="nil"/>
              <w:bottom w:val="nil"/>
              <w:right w:val="nil"/>
            </w:tcBorders>
            <w:shd w:val="clear" w:color="auto" w:fill="auto"/>
            <w:noWrap/>
            <w:vAlign w:val="center"/>
            <w:hideMark/>
          </w:tcPr>
          <w:p w14:paraId="357F4FEE" w14:textId="77777777" w:rsidR="00AF77F2" w:rsidRPr="00E30B24" w:rsidRDefault="00AF77F2" w:rsidP="00FC695C">
            <w:pPr>
              <w:rPr>
                <w:color w:val="000000" w:themeColor="text1"/>
                <w:sz w:val="12"/>
                <w:szCs w:val="12"/>
              </w:rPr>
            </w:pPr>
          </w:p>
        </w:tc>
        <w:tc>
          <w:tcPr>
            <w:tcW w:w="1198" w:type="dxa"/>
            <w:tcBorders>
              <w:top w:val="nil"/>
              <w:left w:val="nil"/>
              <w:bottom w:val="nil"/>
              <w:right w:val="nil"/>
            </w:tcBorders>
            <w:shd w:val="clear" w:color="auto" w:fill="auto"/>
            <w:noWrap/>
            <w:vAlign w:val="center"/>
            <w:hideMark/>
          </w:tcPr>
          <w:p w14:paraId="702A3174" w14:textId="77777777" w:rsidR="00AF77F2" w:rsidRPr="00E30B24" w:rsidRDefault="00AF77F2" w:rsidP="00FC695C">
            <w:pPr>
              <w:rPr>
                <w:color w:val="000000" w:themeColor="text1"/>
                <w:sz w:val="12"/>
                <w:szCs w:val="12"/>
              </w:rPr>
            </w:pPr>
          </w:p>
        </w:tc>
      </w:tr>
      <w:tr w:rsidR="006816A8" w:rsidRPr="00E30B24" w14:paraId="15A7C032" w14:textId="77777777" w:rsidTr="00B52BF0">
        <w:trPr>
          <w:trHeight w:val="227"/>
        </w:trPr>
        <w:tc>
          <w:tcPr>
            <w:tcW w:w="2410" w:type="dxa"/>
            <w:tcBorders>
              <w:top w:val="single" w:sz="8" w:space="0" w:color="0077BD"/>
              <w:left w:val="nil"/>
              <w:bottom w:val="single" w:sz="8" w:space="0" w:color="0077BD"/>
              <w:right w:val="single" w:sz="8" w:space="0" w:color="0077BD"/>
            </w:tcBorders>
            <w:shd w:val="clear" w:color="auto" w:fill="auto"/>
            <w:vAlign w:val="center"/>
            <w:hideMark/>
          </w:tcPr>
          <w:p w14:paraId="3BCC8DDC" w14:textId="77777777" w:rsidR="006816A8" w:rsidRPr="00E30B24" w:rsidRDefault="006816A8" w:rsidP="006816A8">
            <w:pPr>
              <w:rPr>
                <w:rFonts w:cs="Calibri"/>
                <w:b/>
                <w:bCs/>
                <w:color w:val="000000" w:themeColor="text1"/>
                <w:sz w:val="12"/>
                <w:szCs w:val="12"/>
              </w:rPr>
            </w:pPr>
            <w:r w:rsidRPr="00E30B24">
              <w:rPr>
                <w:rFonts w:cs="Calibri"/>
                <w:b/>
                <w:bCs/>
                <w:color w:val="000000" w:themeColor="text1"/>
                <w:sz w:val="12"/>
                <w:szCs w:val="12"/>
              </w:rPr>
              <w:t>Aktywa razem</w:t>
            </w:r>
          </w:p>
        </w:tc>
        <w:tc>
          <w:tcPr>
            <w:tcW w:w="117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316B084A" w14:textId="74ADBCA7"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21 707 301</w:t>
            </w:r>
          </w:p>
        </w:tc>
        <w:tc>
          <w:tcPr>
            <w:tcW w:w="1178" w:type="dxa"/>
            <w:tcBorders>
              <w:top w:val="single" w:sz="8" w:space="0" w:color="0077BD"/>
              <w:left w:val="nil"/>
              <w:bottom w:val="single" w:sz="8" w:space="0" w:color="0077BD"/>
              <w:right w:val="single" w:sz="8" w:space="0" w:color="0077BD"/>
            </w:tcBorders>
            <w:shd w:val="clear" w:color="auto" w:fill="auto"/>
            <w:noWrap/>
            <w:vAlign w:val="center"/>
          </w:tcPr>
          <w:p w14:paraId="7229D0C7" w14:textId="3E4B4709"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9 576 282</w:t>
            </w:r>
          </w:p>
        </w:tc>
        <w:tc>
          <w:tcPr>
            <w:tcW w:w="1178" w:type="dxa"/>
            <w:tcBorders>
              <w:top w:val="single" w:sz="8" w:space="0" w:color="0077BD"/>
              <w:left w:val="nil"/>
              <w:bottom w:val="single" w:sz="8" w:space="0" w:color="0077BD"/>
              <w:right w:val="single" w:sz="8" w:space="0" w:color="0077BD"/>
            </w:tcBorders>
            <w:shd w:val="clear" w:color="auto" w:fill="auto"/>
            <w:noWrap/>
            <w:vAlign w:val="center"/>
          </w:tcPr>
          <w:p w14:paraId="493B5096" w14:textId="00E3E341"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24 333 627</w:t>
            </w:r>
          </w:p>
        </w:tc>
        <w:tc>
          <w:tcPr>
            <w:tcW w:w="1178" w:type="dxa"/>
            <w:tcBorders>
              <w:top w:val="single" w:sz="8" w:space="0" w:color="0077BD"/>
              <w:left w:val="nil"/>
              <w:bottom w:val="single" w:sz="8" w:space="0" w:color="0077BD"/>
              <w:right w:val="single" w:sz="8" w:space="0" w:color="0077BD"/>
            </w:tcBorders>
            <w:shd w:val="clear" w:color="auto" w:fill="auto"/>
            <w:noWrap/>
            <w:vAlign w:val="center"/>
          </w:tcPr>
          <w:p w14:paraId="038F72B9" w14:textId="12B00C7E"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71 286 197</w:t>
            </w:r>
          </w:p>
        </w:tc>
        <w:tc>
          <w:tcPr>
            <w:tcW w:w="1178" w:type="dxa"/>
            <w:tcBorders>
              <w:top w:val="single" w:sz="8" w:space="0" w:color="0077BD"/>
              <w:left w:val="nil"/>
              <w:bottom w:val="single" w:sz="8" w:space="0" w:color="0077BD"/>
              <w:right w:val="single" w:sz="8" w:space="0" w:color="0077BD"/>
            </w:tcBorders>
            <w:shd w:val="clear" w:color="auto" w:fill="auto"/>
            <w:noWrap/>
            <w:vAlign w:val="center"/>
          </w:tcPr>
          <w:p w14:paraId="3130C9B9" w14:textId="4032E55E"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53 415 447</w:t>
            </w:r>
          </w:p>
        </w:tc>
        <w:tc>
          <w:tcPr>
            <w:tcW w:w="1198" w:type="dxa"/>
            <w:tcBorders>
              <w:top w:val="single" w:sz="8" w:space="0" w:color="0077BD"/>
              <w:left w:val="nil"/>
              <w:bottom w:val="single" w:sz="8" w:space="0" w:color="0077BD"/>
              <w:right w:val="nil"/>
            </w:tcBorders>
            <w:shd w:val="clear" w:color="auto" w:fill="auto"/>
            <w:noWrap/>
            <w:vAlign w:val="center"/>
          </w:tcPr>
          <w:p w14:paraId="37B77F9F" w14:textId="4ADB0BCE"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180 318 854</w:t>
            </w:r>
          </w:p>
        </w:tc>
      </w:tr>
      <w:tr w:rsidR="006816A8" w:rsidRPr="00E30B24" w14:paraId="66EEB997" w14:textId="77777777" w:rsidTr="00B52BF0">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5F84F1F0" w14:textId="77777777" w:rsidR="006816A8" w:rsidRPr="00E30B24" w:rsidRDefault="006816A8" w:rsidP="006816A8">
            <w:pPr>
              <w:rPr>
                <w:rFonts w:cs="Calibri"/>
                <w:b/>
                <w:bCs/>
                <w:color w:val="000000" w:themeColor="text1"/>
                <w:sz w:val="12"/>
                <w:szCs w:val="12"/>
              </w:rPr>
            </w:pPr>
            <w:r w:rsidRPr="00E30B24">
              <w:rPr>
                <w:rFonts w:cs="Calibri"/>
                <w:b/>
                <w:bCs/>
                <w:color w:val="000000" w:themeColor="text1"/>
                <w:sz w:val="12"/>
                <w:szCs w:val="12"/>
              </w:rPr>
              <w:t>Luka płynności netto</w:t>
            </w:r>
          </w:p>
        </w:tc>
        <w:tc>
          <w:tcPr>
            <w:tcW w:w="1178" w:type="dxa"/>
            <w:tcBorders>
              <w:top w:val="nil"/>
              <w:left w:val="single" w:sz="8" w:space="0" w:color="0077BD"/>
              <w:bottom w:val="single" w:sz="8" w:space="0" w:color="0077BD"/>
              <w:right w:val="single" w:sz="8" w:space="0" w:color="0077BD"/>
            </w:tcBorders>
            <w:shd w:val="clear" w:color="auto" w:fill="auto"/>
            <w:noWrap/>
            <w:vAlign w:val="center"/>
          </w:tcPr>
          <w:p w14:paraId="0A4271BC" w14:textId="28C6C148"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(81 337 907)</w:t>
            </w:r>
          </w:p>
        </w:tc>
        <w:tc>
          <w:tcPr>
            <w:tcW w:w="1178" w:type="dxa"/>
            <w:tcBorders>
              <w:top w:val="nil"/>
              <w:left w:val="nil"/>
              <w:bottom w:val="single" w:sz="8" w:space="0" w:color="0077BD"/>
              <w:right w:val="single" w:sz="8" w:space="0" w:color="0077BD"/>
            </w:tcBorders>
            <w:shd w:val="clear" w:color="auto" w:fill="auto"/>
            <w:noWrap/>
            <w:vAlign w:val="center"/>
          </w:tcPr>
          <w:p w14:paraId="32120234" w14:textId="31442DD0"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209 045</w:t>
            </w:r>
          </w:p>
        </w:tc>
        <w:tc>
          <w:tcPr>
            <w:tcW w:w="1178" w:type="dxa"/>
            <w:tcBorders>
              <w:top w:val="nil"/>
              <w:left w:val="nil"/>
              <w:bottom w:val="single" w:sz="8" w:space="0" w:color="0077BD"/>
              <w:right w:val="single" w:sz="8" w:space="0" w:color="0077BD"/>
            </w:tcBorders>
            <w:shd w:val="clear" w:color="auto" w:fill="auto"/>
            <w:noWrap/>
            <w:vAlign w:val="center"/>
          </w:tcPr>
          <w:p w14:paraId="77EB549C" w14:textId="1A675DC8"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15 614 613</w:t>
            </w:r>
          </w:p>
        </w:tc>
        <w:tc>
          <w:tcPr>
            <w:tcW w:w="1178" w:type="dxa"/>
            <w:tcBorders>
              <w:top w:val="nil"/>
              <w:left w:val="nil"/>
              <w:bottom w:val="single" w:sz="8" w:space="0" w:color="0077BD"/>
              <w:right w:val="single" w:sz="8" w:space="0" w:color="0077BD"/>
            </w:tcBorders>
            <w:shd w:val="clear" w:color="auto" w:fill="auto"/>
            <w:noWrap/>
            <w:vAlign w:val="center"/>
          </w:tcPr>
          <w:p w14:paraId="1A19EF11" w14:textId="3E611A36"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58 077 220</w:t>
            </w:r>
          </w:p>
        </w:tc>
        <w:tc>
          <w:tcPr>
            <w:tcW w:w="1178" w:type="dxa"/>
            <w:tcBorders>
              <w:top w:val="nil"/>
              <w:left w:val="nil"/>
              <w:bottom w:val="single" w:sz="8" w:space="0" w:color="0077BD"/>
              <w:right w:val="single" w:sz="8" w:space="0" w:color="0077BD"/>
            </w:tcBorders>
            <w:shd w:val="clear" w:color="auto" w:fill="auto"/>
            <w:noWrap/>
            <w:vAlign w:val="center"/>
          </w:tcPr>
          <w:p w14:paraId="6FF52588" w14:textId="1E11CFA0"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45 893 858</w:t>
            </w:r>
          </w:p>
        </w:tc>
        <w:tc>
          <w:tcPr>
            <w:tcW w:w="1198" w:type="dxa"/>
            <w:tcBorders>
              <w:top w:val="nil"/>
              <w:left w:val="nil"/>
              <w:bottom w:val="single" w:sz="8" w:space="0" w:color="0077BD"/>
              <w:right w:val="nil"/>
            </w:tcBorders>
            <w:shd w:val="clear" w:color="auto" w:fill="auto"/>
            <w:noWrap/>
            <w:vAlign w:val="center"/>
          </w:tcPr>
          <w:p w14:paraId="2AADC1C0" w14:textId="1FF85752" w:rsidR="006816A8" w:rsidRPr="006816A8" w:rsidRDefault="006816A8" w:rsidP="006816A8">
            <w:pPr>
              <w:jc w:val="right"/>
              <w:rPr>
                <w:rFonts w:cs="Calibri"/>
                <w:b/>
                <w:bCs/>
                <w:color w:val="000000" w:themeColor="text1"/>
                <w:sz w:val="12"/>
                <w:szCs w:val="12"/>
              </w:rPr>
            </w:pPr>
            <w:r w:rsidRPr="006816A8">
              <w:rPr>
                <w:rFonts w:cs="Calibri"/>
                <w:b/>
                <w:bCs/>
                <w:color w:val="201C17"/>
                <w:sz w:val="12"/>
                <w:szCs w:val="12"/>
              </w:rPr>
              <w:t>38 456 829</w:t>
            </w:r>
          </w:p>
        </w:tc>
      </w:tr>
    </w:tbl>
    <w:p w14:paraId="41FC6EED" w14:textId="77777777" w:rsidR="00B16591" w:rsidRDefault="00B16591" w:rsidP="00AF77F2">
      <w:pPr>
        <w:jc w:val="both"/>
        <w:rPr>
          <w:rFonts w:eastAsia="Calibri" w:cs="Verdana"/>
          <w:sz w:val="18"/>
          <w:szCs w:val="18"/>
          <w:lang w:eastAsia="en-US"/>
        </w:rPr>
      </w:pPr>
    </w:p>
    <w:tbl>
      <w:tblPr>
        <w:tblW w:w="9478" w:type="dxa"/>
        <w:tblLayout w:type="fixed"/>
        <w:tblCellMar>
          <w:left w:w="28" w:type="dxa"/>
          <w:right w:w="28" w:type="dxa"/>
        </w:tblCellMar>
        <w:tblLook w:val="04A0" w:firstRow="1" w:lastRow="0" w:firstColumn="1" w:lastColumn="0" w:noHBand="0" w:noVBand="1"/>
      </w:tblPr>
      <w:tblGrid>
        <w:gridCol w:w="2410"/>
        <w:gridCol w:w="1178"/>
        <w:gridCol w:w="1178"/>
        <w:gridCol w:w="1178"/>
        <w:gridCol w:w="1178"/>
        <w:gridCol w:w="1178"/>
        <w:gridCol w:w="1178"/>
      </w:tblGrid>
      <w:tr w:rsidR="00AF77F2" w:rsidRPr="00E30B24" w14:paraId="3C23DF8B" w14:textId="77777777" w:rsidTr="00B16591">
        <w:trPr>
          <w:trHeight w:val="408"/>
        </w:trPr>
        <w:tc>
          <w:tcPr>
            <w:tcW w:w="2410" w:type="dxa"/>
            <w:tcBorders>
              <w:top w:val="nil"/>
              <w:left w:val="nil"/>
              <w:bottom w:val="nil"/>
              <w:right w:val="single" w:sz="8" w:space="0" w:color="FFFFFF"/>
            </w:tcBorders>
            <w:shd w:val="clear" w:color="000000" w:fill="0077BD"/>
            <w:vAlign w:val="center"/>
            <w:hideMark/>
          </w:tcPr>
          <w:p w14:paraId="552A8ECE" w14:textId="0A0A4C13" w:rsidR="00AF77F2" w:rsidRPr="00E30B24" w:rsidRDefault="00AF77F2" w:rsidP="00FC695C">
            <w:pPr>
              <w:rPr>
                <w:rFonts w:cs="Calibri"/>
                <w:b/>
                <w:bCs/>
                <w:color w:val="FFFFFF"/>
                <w:sz w:val="12"/>
                <w:szCs w:val="12"/>
              </w:rPr>
            </w:pPr>
            <w:r w:rsidRPr="00E30B24">
              <w:rPr>
                <w:rFonts w:cs="Calibri"/>
                <w:b/>
                <w:bCs/>
                <w:color w:val="FFFFFF"/>
                <w:sz w:val="12"/>
                <w:szCs w:val="12"/>
              </w:rPr>
              <w:lastRenderedPageBreak/>
              <w:t>31.12.2018</w:t>
            </w:r>
          </w:p>
        </w:tc>
        <w:tc>
          <w:tcPr>
            <w:tcW w:w="1178" w:type="dxa"/>
            <w:tcBorders>
              <w:top w:val="nil"/>
              <w:left w:val="nil"/>
              <w:bottom w:val="nil"/>
              <w:right w:val="single" w:sz="8" w:space="0" w:color="FFFFFF"/>
            </w:tcBorders>
            <w:shd w:val="clear" w:color="000000" w:fill="0077BD"/>
            <w:vAlign w:val="center"/>
            <w:hideMark/>
          </w:tcPr>
          <w:p w14:paraId="5CB55A8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178" w:type="dxa"/>
            <w:tcBorders>
              <w:top w:val="nil"/>
              <w:left w:val="nil"/>
              <w:bottom w:val="nil"/>
              <w:right w:val="single" w:sz="8" w:space="0" w:color="FFFFFF"/>
            </w:tcBorders>
            <w:shd w:val="clear" w:color="000000" w:fill="0077BD"/>
            <w:vAlign w:val="center"/>
            <w:hideMark/>
          </w:tcPr>
          <w:p w14:paraId="345E401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178" w:type="dxa"/>
            <w:tcBorders>
              <w:top w:val="nil"/>
              <w:left w:val="nil"/>
              <w:bottom w:val="nil"/>
              <w:right w:val="single" w:sz="8" w:space="0" w:color="FFFFFF"/>
            </w:tcBorders>
            <w:shd w:val="clear" w:color="000000" w:fill="0077BD"/>
            <w:vAlign w:val="center"/>
            <w:hideMark/>
          </w:tcPr>
          <w:p w14:paraId="1ECD666F"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178" w:type="dxa"/>
            <w:tcBorders>
              <w:top w:val="nil"/>
              <w:left w:val="nil"/>
              <w:bottom w:val="nil"/>
              <w:right w:val="single" w:sz="8" w:space="0" w:color="FFFFFF"/>
            </w:tcBorders>
            <w:shd w:val="clear" w:color="000000" w:fill="0077BD"/>
            <w:vAlign w:val="center"/>
            <w:hideMark/>
          </w:tcPr>
          <w:p w14:paraId="48DF6D04"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roku do 5 lat</w:t>
            </w:r>
          </w:p>
        </w:tc>
        <w:tc>
          <w:tcPr>
            <w:tcW w:w="1178" w:type="dxa"/>
            <w:tcBorders>
              <w:top w:val="nil"/>
              <w:left w:val="nil"/>
              <w:bottom w:val="nil"/>
              <w:right w:val="single" w:sz="8" w:space="0" w:color="FFFFFF"/>
            </w:tcBorders>
            <w:shd w:val="clear" w:color="000000" w:fill="0077BD"/>
            <w:vAlign w:val="center"/>
            <w:hideMark/>
          </w:tcPr>
          <w:p w14:paraId="3E66113D"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178" w:type="dxa"/>
            <w:tcBorders>
              <w:top w:val="nil"/>
              <w:left w:val="nil"/>
              <w:bottom w:val="nil"/>
              <w:right w:val="nil"/>
            </w:tcBorders>
            <w:shd w:val="clear" w:color="000000" w:fill="0077BD"/>
            <w:vAlign w:val="center"/>
            <w:hideMark/>
          </w:tcPr>
          <w:p w14:paraId="6CB02261"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D54765" w:rsidRPr="00E30B24" w14:paraId="0CF0EB28" w14:textId="77777777" w:rsidTr="00EA4981">
        <w:trPr>
          <w:trHeight w:val="227"/>
        </w:trPr>
        <w:tc>
          <w:tcPr>
            <w:tcW w:w="9478" w:type="dxa"/>
            <w:gridSpan w:val="7"/>
            <w:tcBorders>
              <w:top w:val="nil"/>
              <w:left w:val="nil"/>
              <w:bottom w:val="single" w:sz="8" w:space="0" w:color="0077BD"/>
              <w:right w:val="nil"/>
            </w:tcBorders>
            <w:shd w:val="clear" w:color="auto" w:fill="auto"/>
            <w:vAlign w:val="center"/>
            <w:hideMark/>
          </w:tcPr>
          <w:p w14:paraId="4743BE86" w14:textId="77777777" w:rsidR="00AF77F2" w:rsidRPr="00E30B24" w:rsidRDefault="00AF77F2" w:rsidP="00FC695C">
            <w:pPr>
              <w:rPr>
                <w:color w:val="000000" w:themeColor="text1"/>
                <w:sz w:val="12"/>
                <w:szCs w:val="12"/>
              </w:rPr>
            </w:pPr>
            <w:r w:rsidRPr="00E30B24">
              <w:rPr>
                <w:rFonts w:cs="Calibri"/>
                <w:b/>
                <w:bCs/>
                <w:color w:val="000000" w:themeColor="text1"/>
                <w:sz w:val="12"/>
                <w:szCs w:val="12"/>
              </w:rPr>
              <w:t>Zobowiązania (według umownych terminów wymagalności)</w:t>
            </w:r>
          </w:p>
        </w:tc>
      </w:tr>
      <w:tr w:rsidR="00E121FB" w:rsidRPr="00E30B24" w14:paraId="1E5E2FC0" w14:textId="77777777" w:rsidTr="00EA4981">
        <w:trPr>
          <w:trHeight w:val="227"/>
        </w:trPr>
        <w:tc>
          <w:tcPr>
            <w:tcW w:w="2410" w:type="dxa"/>
            <w:tcBorders>
              <w:top w:val="single" w:sz="8" w:space="0" w:color="0077BD"/>
              <w:left w:val="nil"/>
              <w:bottom w:val="single" w:sz="4" w:space="0" w:color="0077BD"/>
              <w:right w:val="single" w:sz="8" w:space="0" w:color="0077BD"/>
            </w:tcBorders>
            <w:shd w:val="clear" w:color="auto" w:fill="auto"/>
            <w:vAlign w:val="center"/>
            <w:hideMark/>
          </w:tcPr>
          <w:p w14:paraId="117A1428" w14:textId="7DBBF711" w:rsidR="00E121FB" w:rsidRPr="00E30B24" w:rsidRDefault="005A7E2E" w:rsidP="00E121FB">
            <w:pPr>
              <w:rPr>
                <w:rFonts w:cs="Calibri"/>
                <w:color w:val="000000" w:themeColor="text1"/>
                <w:sz w:val="12"/>
                <w:szCs w:val="12"/>
              </w:rPr>
            </w:pPr>
            <w:r w:rsidRPr="00E30B24">
              <w:rPr>
                <w:rFonts w:cs="Calibri"/>
                <w:color w:val="000000" w:themeColor="text1"/>
                <w:sz w:val="12"/>
                <w:szCs w:val="12"/>
              </w:rPr>
              <w:t xml:space="preserve">Zobowiązania wobec </w:t>
            </w:r>
            <w:r w:rsidR="00E121FB" w:rsidRPr="00E30B24">
              <w:rPr>
                <w:rFonts w:cs="Calibri"/>
                <w:color w:val="000000" w:themeColor="text1"/>
                <w:sz w:val="12"/>
                <w:szCs w:val="12"/>
              </w:rPr>
              <w:t>banków</w:t>
            </w:r>
          </w:p>
        </w:tc>
        <w:tc>
          <w:tcPr>
            <w:tcW w:w="1178" w:type="dxa"/>
            <w:tcBorders>
              <w:top w:val="single" w:sz="8" w:space="0" w:color="0077BD"/>
              <w:left w:val="single" w:sz="8" w:space="0" w:color="0077BD"/>
              <w:bottom w:val="single" w:sz="4" w:space="0" w:color="0077BD"/>
              <w:right w:val="single" w:sz="8" w:space="0" w:color="0077BD"/>
            </w:tcBorders>
            <w:shd w:val="clear" w:color="auto" w:fill="auto"/>
            <w:noWrap/>
            <w:vAlign w:val="center"/>
            <w:hideMark/>
          </w:tcPr>
          <w:p w14:paraId="136405F8" w14:textId="045B9EA1"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2 286 677</w:t>
            </w:r>
          </w:p>
        </w:tc>
        <w:tc>
          <w:tcPr>
            <w:tcW w:w="1178" w:type="dxa"/>
            <w:tcBorders>
              <w:top w:val="single" w:sz="8" w:space="0" w:color="0077BD"/>
              <w:left w:val="nil"/>
              <w:bottom w:val="single" w:sz="4" w:space="0" w:color="0077BD"/>
              <w:right w:val="single" w:sz="8" w:space="0" w:color="0077BD"/>
            </w:tcBorders>
            <w:shd w:val="clear" w:color="auto" w:fill="auto"/>
            <w:noWrap/>
            <w:vAlign w:val="center"/>
            <w:hideMark/>
          </w:tcPr>
          <w:p w14:paraId="7F45C0D9" w14:textId="6145A13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47 156</w:t>
            </w:r>
          </w:p>
        </w:tc>
        <w:tc>
          <w:tcPr>
            <w:tcW w:w="1178" w:type="dxa"/>
            <w:tcBorders>
              <w:top w:val="single" w:sz="8" w:space="0" w:color="0077BD"/>
              <w:left w:val="nil"/>
              <w:bottom w:val="single" w:sz="4" w:space="0" w:color="0077BD"/>
              <w:right w:val="single" w:sz="8" w:space="0" w:color="0077BD"/>
            </w:tcBorders>
            <w:shd w:val="clear" w:color="auto" w:fill="auto"/>
            <w:noWrap/>
            <w:vAlign w:val="center"/>
            <w:hideMark/>
          </w:tcPr>
          <w:p w14:paraId="32044928" w14:textId="019B93D3"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672 106</w:t>
            </w:r>
          </w:p>
        </w:tc>
        <w:tc>
          <w:tcPr>
            <w:tcW w:w="1178" w:type="dxa"/>
            <w:tcBorders>
              <w:top w:val="single" w:sz="8" w:space="0" w:color="0077BD"/>
              <w:left w:val="nil"/>
              <w:bottom w:val="single" w:sz="4" w:space="0" w:color="0077BD"/>
              <w:right w:val="single" w:sz="8" w:space="0" w:color="0077BD"/>
            </w:tcBorders>
            <w:shd w:val="clear" w:color="auto" w:fill="auto"/>
            <w:noWrap/>
            <w:vAlign w:val="center"/>
            <w:hideMark/>
          </w:tcPr>
          <w:p w14:paraId="697754FA" w14:textId="5AAE910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197 996</w:t>
            </w:r>
          </w:p>
        </w:tc>
        <w:tc>
          <w:tcPr>
            <w:tcW w:w="1178" w:type="dxa"/>
            <w:tcBorders>
              <w:top w:val="single" w:sz="8" w:space="0" w:color="0077BD"/>
              <w:left w:val="nil"/>
              <w:bottom w:val="single" w:sz="4" w:space="0" w:color="0077BD"/>
              <w:right w:val="single" w:sz="8" w:space="0" w:color="0077BD"/>
            </w:tcBorders>
            <w:shd w:val="clear" w:color="auto" w:fill="auto"/>
            <w:noWrap/>
            <w:vAlign w:val="center"/>
            <w:hideMark/>
          </w:tcPr>
          <w:p w14:paraId="2203E5AC" w14:textId="47DDE96C"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w:t>
            </w:r>
          </w:p>
        </w:tc>
        <w:tc>
          <w:tcPr>
            <w:tcW w:w="1178" w:type="dxa"/>
            <w:tcBorders>
              <w:top w:val="single" w:sz="8" w:space="0" w:color="0077BD"/>
              <w:left w:val="nil"/>
              <w:bottom w:val="single" w:sz="4" w:space="0" w:color="0077BD"/>
              <w:right w:val="nil"/>
            </w:tcBorders>
            <w:shd w:val="clear" w:color="auto" w:fill="auto"/>
            <w:noWrap/>
            <w:vAlign w:val="center"/>
            <w:hideMark/>
          </w:tcPr>
          <w:p w14:paraId="0A8EABB7" w14:textId="5BF0EF0F"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3 203 935</w:t>
            </w:r>
          </w:p>
        </w:tc>
      </w:tr>
      <w:tr w:rsidR="00E121FB" w:rsidRPr="00E30B24" w14:paraId="48F1DB8C" w14:textId="77777777" w:rsidTr="00294CBC">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1E5A88EE" w14:textId="77777777" w:rsidR="00E121FB" w:rsidRPr="00E30B24" w:rsidRDefault="00E121FB" w:rsidP="00E121FB">
            <w:pPr>
              <w:rPr>
                <w:rFonts w:cs="Calibri"/>
                <w:color w:val="000000" w:themeColor="text1"/>
                <w:sz w:val="12"/>
                <w:szCs w:val="12"/>
              </w:rPr>
            </w:pPr>
            <w:r w:rsidRPr="00E30B24">
              <w:rPr>
                <w:rFonts w:cs="Calibri"/>
                <w:color w:val="000000" w:themeColor="text1"/>
                <w:sz w:val="12"/>
                <w:szCs w:val="12"/>
              </w:rPr>
              <w:t>Zobowiązania wobec klientów</w:t>
            </w:r>
          </w:p>
        </w:tc>
        <w:tc>
          <w:tcPr>
            <w:tcW w:w="1178" w:type="dxa"/>
            <w:tcBorders>
              <w:top w:val="nil"/>
              <w:left w:val="single" w:sz="8" w:space="0" w:color="0077BD"/>
              <w:bottom w:val="single" w:sz="4" w:space="0" w:color="0077BD"/>
              <w:right w:val="single" w:sz="8" w:space="0" w:color="0077BD"/>
            </w:tcBorders>
            <w:shd w:val="clear" w:color="auto" w:fill="auto"/>
            <w:noWrap/>
            <w:vAlign w:val="center"/>
            <w:hideMark/>
          </w:tcPr>
          <w:p w14:paraId="1243E470" w14:textId="0F056344"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85 556 018</w:t>
            </w:r>
          </w:p>
        </w:tc>
        <w:tc>
          <w:tcPr>
            <w:tcW w:w="1178" w:type="dxa"/>
            <w:tcBorders>
              <w:top w:val="nil"/>
              <w:left w:val="nil"/>
              <w:bottom w:val="single" w:sz="4" w:space="0" w:color="0077BD"/>
              <w:right w:val="single" w:sz="8" w:space="0" w:color="0077BD"/>
            </w:tcBorders>
            <w:shd w:val="clear" w:color="auto" w:fill="auto"/>
            <w:noWrap/>
            <w:vAlign w:val="center"/>
            <w:hideMark/>
          </w:tcPr>
          <w:p w14:paraId="519F4539" w14:textId="7A0FCB12"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7 477 488</w:t>
            </w:r>
          </w:p>
        </w:tc>
        <w:tc>
          <w:tcPr>
            <w:tcW w:w="1178" w:type="dxa"/>
            <w:tcBorders>
              <w:top w:val="nil"/>
              <w:left w:val="nil"/>
              <w:bottom w:val="single" w:sz="4" w:space="0" w:color="0077BD"/>
              <w:right w:val="single" w:sz="8" w:space="0" w:color="0077BD"/>
            </w:tcBorders>
            <w:shd w:val="clear" w:color="auto" w:fill="auto"/>
            <w:noWrap/>
            <w:vAlign w:val="center"/>
            <w:hideMark/>
          </w:tcPr>
          <w:p w14:paraId="662F7FCF" w14:textId="36EAAAA7"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6 153 475</w:t>
            </w:r>
          </w:p>
        </w:tc>
        <w:tc>
          <w:tcPr>
            <w:tcW w:w="1178" w:type="dxa"/>
            <w:tcBorders>
              <w:top w:val="nil"/>
              <w:left w:val="nil"/>
              <w:bottom w:val="single" w:sz="4" w:space="0" w:color="0077BD"/>
              <w:right w:val="single" w:sz="8" w:space="0" w:color="0077BD"/>
            </w:tcBorders>
            <w:shd w:val="clear" w:color="auto" w:fill="auto"/>
            <w:noWrap/>
            <w:vAlign w:val="center"/>
            <w:hideMark/>
          </w:tcPr>
          <w:p w14:paraId="47471BD0" w14:textId="4A0C9099"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2 249 094</w:t>
            </w:r>
          </w:p>
        </w:tc>
        <w:tc>
          <w:tcPr>
            <w:tcW w:w="1178" w:type="dxa"/>
            <w:tcBorders>
              <w:top w:val="nil"/>
              <w:left w:val="nil"/>
              <w:bottom w:val="single" w:sz="4" w:space="0" w:color="0077BD"/>
              <w:right w:val="single" w:sz="8" w:space="0" w:color="0077BD"/>
            </w:tcBorders>
            <w:shd w:val="clear" w:color="auto" w:fill="auto"/>
            <w:noWrap/>
            <w:vAlign w:val="center"/>
            <w:hideMark/>
          </w:tcPr>
          <w:p w14:paraId="0E02DED2" w14:textId="211578EF"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1 605 173</w:t>
            </w:r>
          </w:p>
        </w:tc>
        <w:tc>
          <w:tcPr>
            <w:tcW w:w="1178" w:type="dxa"/>
            <w:tcBorders>
              <w:top w:val="nil"/>
              <w:left w:val="nil"/>
              <w:bottom w:val="single" w:sz="4" w:space="0" w:color="0077BD"/>
              <w:right w:val="nil"/>
            </w:tcBorders>
            <w:shd w:val="clear" w:color="auto" w:fill="auto"/>
            <w:noWrap/>
            <w:vAlign w:val="center"/>
            <w:hideMark/>
          </w:tcPr>
          <w:p w14:paraId="1F2AD31E" w14:textId="0DBD4560"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103 041 248</w:t>
            </w:r>
          </w:p>
        </w:tc>
      </w:tr>
      <w:tr w:rsidR="00E121FB" w:rsidRPr="00E30B24" w14:paraId="48943964" w14:textId="77777777" w:rsidTr="00294CBC">
        <w:trPr>
          <w:trHeight w:val="340"/>
        </w:trPr>
        <w:tc>
          <w:tcPr>
            <w:tcW w:w="2410" w:type="dxa"/>
            <w:tcBorders>
              <w:top w:val="nil"/>
              <w:left w:val="nil"/>
              <w:bottom w:val="single" w:sz="4" w:space="0" w:color="0077BD"/>
              <w:right w:val="single" w:sz="8" w:space="0" w:color="0077BD"/>
            </w:tcBorders>
            <w:shd w:val="clear" w:color="auto" w:fill="auto"/>
            <w:vAlign w:val="center"/>
            <w:hideMark/>
          </w:tcPr>
          <w:p w14:paraId="018065CD" w14:textId="77777777" w:rsidR="00E121FB" w:rsidRPr="00E30B24" w:rsidRDefault="00E121FB" w:rsidP="00E121FB">
            <w:pPr>
              <w:rPr>
                <w:rFonts w:cs="Calibri"/>
                <w:color w:val="000000" w:themeColor="text1"/>
                <w:sz w:val="12"/>
                <w:szCs w:val="12"/>
              </w:rPr>
            </w:pPr>
            <w:r w:rsidRPr="00E30B24">
              <w:rPr>
                <w:rFonts w:cs="Calibri"/>
                <w:color w:val="000000" w:themeColor="text1"/>
                <w:sz w:val="12"/>
                <w:szCs w:val="12"/>
              </w:rPr>
              <w:t>Zobowiązania z tytułu emisji dłużnych papierów wartościowych</w:t>
            </w:r>
          </w:p>
        </w:tc>
        <w:tc>
          <w:tcPr>
            <w:tcW w:w="1178" w:type="dxa"/>
            <w:tcBorders>
              <w:top w:val="nil"/>
              <w:left w:val="single" w:sz="8" w:space="0" w:color="0077BD"/>
              <w:bottom w:val="single" w:sz="4" w:space="0" w:color="0077BD"/>
              <w:right w:val="single" w:sz="8" w:space="0" w:color="0077BD"/>
            </w:tcBorders>
            <w:shd w:val="clear" w:color="auto" w:fill="auto"/>
            <w:noWrap/>
            <w:vAlign w:val="center"/>
            <w:hideMark/>
          </w:tcPr>
          <w:p w14:paraId="35CE1814" w14:textId="7CC0F6D5"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379 019</w:t>
            </w:r>
          </w:p>
        </w:tc>
        <w:tc>
          <w:tcPr>
            <w:tcW w:w="1178" w:type="dxa"/>
            <w:tcBorders>
              <w:top w:val="nil"/>
              <w:left w:val="nil"/>
              <w:bottom w:val="single" w:sz="4" w:space="0" w:color="0077BD"/>
              <w:right w:val="single" w:sz="8" w:space="0" w:color="0077BD"/>
            </w:tcBorders>
            <w:shd w:val="clear" w:color="auto" w:fill="auto"/>
            <w:noWrap/>
            <w:vAlign w:val="center"/>
            <w:hideMark/>
          </w:tcPr>
          <w:p w14:paraId="3E7E905B" w14:textId="1A38F680"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355 806</w:t>
            </w:r>
          </w:p>
        </w:tc>
        <w:tc>
          <w:tcPr>
            <w:tcW w:w="1178" w:type="dxa"/>
            <w:tcBorders>
              <w:top w:val="nil"/>
              <w:left w:val="nil"/>
              <w:bottom w:val="single" w:sz="4" w:space="0" w:color="0077BD"/>
              <w:right w:val="single" w:sz="8" w:space="0" w:color="0077BD"/>
            </w:tcBorders>
            <w:shd w:val="clear" w:color="auto" w:fill="auto"/>
            <w:noWrap/>
            <w:vAlign w:val="center"/>
            <w:hideMark/>
          </w:tcPr>
          <w:p w14:paraId="1874D73E" w14:textId="6039435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3 410 614</w:t>
            </w:r>
          </w:p>
        </w:tc>
        <w:tc>
          <w:tcPr>
            <w:tcW w:w="1178" w:type="dxa"/>
            <w:tcBorders>
              <w:top w:val="nil"/>
              <w:left w:val="nil"/>
              <w:bottom w:val="single" w:sz="4" w:space="0" w:color="0077BD"/>
              <w:right w:val="single" w:sz="8" w:space="0" w:color="0077BD"/>
            </w:tcBorders>
            <w:shd w:val="clear" w:color="auto" w:fill="auto"/>
            <w:noWrap/>
            <w:vAlign w:val="center"/>
            <w:hideMark/>
          </w:tcPr>
          <w:p w14:paraId="55721361" w14:textId="22A88842"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13 142 018</w:t>
            </w:r>
          </w:p>
        </w:tc>
        <w:tc>
          <w:tcPr>
            <w:tcW w:w="1178" w:type="dxa"/>
            <w:tcBorders>
              <w:top w:val="nil"/>
              <w:left w:val="nil"/>
              <w:bottom w:val="single" w:sz="4" w:space="0" w:color="0077BD"/>
              <w:right w:val="single" w:sz="8" w:space="0" w:color="0077BD"/>
            </w:tcBorders>
            <w:shd w:val="clear" w:color="auto" w:fill="auto"/>
            <w:noWrap/>
            <w:vAlign w:val="center"/>
            <w:hideMark/>
          </w:tcPr>
          <w:p w14:paraId="145E5060" w14:textId="6C5A3E8E"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2 223 770</w:t>
            </w:r>
          </w:p>
        </w:tc>
        <w:tc>
          <w:tcPr>
            <w:tcW w:w="1178" w:type="dxa"/>
            <w:tcBorders>
              <w:top w:val="nil"/>
              <w:left w:val="nil"/>
              <w:bottom w:val="single" w:sz="4" w:space="0" w:color="0077BD"/>
              <w:right w:val="nil"/>
            </w:tcBorders>
            <w:shd w:val="clear" w:color="auto" w:fill="auto"/>
            <w:noWrap/>
            <w:vAlign w:val="center"/>
            <w:hideMark/>
          </w:tcPr>
          <w:p w14:paraId="013E2814" w14:textId="7D882111"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19 511 227</w:t>
            </w:r>
          </w:p>
        </w:tc>
      </w:tr>
      <w:tr w:rsidR="00E121FB" w:rsidRPr="00E30B24" w14:paraId="5A09FF06" w14:textId="77777777" w:rsidTr="00294CBC">
        <w:trPr>
          <w:trHeight w:val="227"/>
        </w:trPr>
        <w:tc>
          <w:tcPr>
            <w:tcW w:w="2410" w:type="dxa"/>
            <w:tcBorders>
              <w:top w:val="nil"/>
              <w:left w:val="nil"/>
              <w:bottom w:val="single" w:sz="4" w:space="0" w:color="0077BD"/>
              <w:right w:val="single" w:sz="8" w:space="0" w:color="0077BD"/>
            </w:tcBorders>
            <w:shd w:val="clear" w:color="auto" w:fill="auto"/>
            <w:vAlign w:val="center"/>
            <w:hideMark/>
          </w:tcPr>
          <w:p w14:paraId="796A9F05" w14:textId="77777777" w:rsidR="00E121FB" w:rsidRPr="00E30B24" w:rsidRDefault="00E121FB" w:rsidP="00E121FB">
            <w:pPr>
              <w:rPr>
                <w:rFonts w:cs="Calibri"/>
                <w:color w:val="000000" w:themeColor="text1"/>
                <w:sz w:val="12"/>
                <w:szCs w:val="12"/>
              </w:rPr>
            </w:pPr>
            <w:r w:rsidRPr="00E30B24">
              <w:rPr>
                <w:rFonts w:cs="Calibri"/>
                <w:color w:val="000000" w:themeColor="text1"/>
                <w:sz w:val="12"/>
                <w:szCs w:val="12"/>
              </w:rPr>
              <w:t>Zobowiązania podporządkowane</w:t>
            </w:r>
          </w:p>
        </w:tc>
        <w:tc>
          <w:tcPr>
            <w:tcW w:w="1178" w:type="dxa"/>
            <w:tcBorders>
              <w:top w:val="nil"/>
              <w:left w:val="single" w:sz="8" w:space="0" w:color="0077BD"/>
              <w:bottom w:val="single" w:sz="4" w:space="0" w:color="0077BD"/>
              <w:right w:val="single" w:sz="8" w:space="0" w:color="0077BD"/>
            </w:tcBorders>
            <w:shd w:val="clear" w:color="auto" w:fill="auto"/>
            <w:noWrap/>
            <w:vAlign w:val="center"/>
            <w:hideMark/>
          </w:tcPr>
          <w:p w14:paraId="0A638B7D" w14:textId="6C1053D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34 918</w:t>
            </w:r>
          </w:p>
        </w:tc>
        <w:tc>
          <w:tcPr>
            <w:tcW w:w="1178" w:type="dxa"/>
            <w:tcBorders>
              <w:top w:val="nil"/>
              <w:left w:val="nil"/>
              <w:bottom w:val="single" w:sz="4" w:space="0" w:color="0077BD"/>
              <w:right w:val="single" w:sz="8" w:space="0" w:color="0077BD"/>
            </w:tcBorders>
            <w:shd w:val="clear" w:color="auto" w:fill="auto"/>
            <w:noWrap/>
            <w:vAlign w:val="center"/>
            <w:hideMark/>
          </w:tcPr>
          <w:p w14:paraId="27EAF9E0" w14:textId="0874976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4 814</w:t>
            </w:r>
          </w:p>
        </w:tc>
        <w:tc>
          <w:tcPr>
            <w:tcW w:w="1178" w:type="dxa"/>
            <w:tcBorders>
              <w:top w:val="nil"/>
              <w:left w:val="nil"/>
              <w:bottom w:val="single" w:sz="4" w:space="0" w:color="0077BD"/>
              <w:right w:val="single" w:sz="8" w:space="0" w:color="0077BD"/>
            </w:tcBorders>
            <w:shd w:val="clear" w:color="auto" w:fill="auto"/>
            <w:noWrap/>
            <w:vAlign w:val="center"/>
            <w:hideMark/>
          </w:tcPr>
          <w:p w14:paraId="7C80DA71" w14:textId="0791E5A5"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56 440</w:t>
            </w:r>
          </w:p>
        </w:tc>
        <w:tc>
          <w:tcPr>
            <w:tcW w:w="1178" w:type="dxa"/>
            <w:tcBorders>
              <w:top w:val="nil"/>
              <w:left w:val="nil"/>
              <w:bottom w:val="single" w:sz="4" w:space="0" w:color="0077BD"/>
              <w:right w:val="single" w:sz="8" w:space="0" w:color="0077BD"/>
            </w:tcBorders>
            <w:shd w:val="clear" w:color="auto" w:fill="auto"/>
            <w:noWrap/>
            <w:vAlign w:val="center"/>
            <w:hideMark/>
          </w:tcPr>
          <w:p w14:paraId="7649199B" w14:textId="068D170D"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303 605</w:t>
            </w:r>
          </w:p>
        </w:tc>
        <w:tc>
          <w:tcPr>
            <w:tcW w:w="1178" w:type="dxa"/>
            <w:tcBorders>
              <w:top w:val="nil"/>
              <w:left w:val="nil"/>
              <w:bottom w:val="single" w:sz="4" w:space="0" w:color="0077BD"/>
              <w:right w:val="single" w:sz="8" w:space="0" w:color="0077BD"/>
            </w:tcBorders>
            <w:shd w:val="clear" w:color="auto" w:fill="auto"/>
            <w:noWrap/>
            <w:vAlign w:val="center"/>
            <w:hideMark/>
          </w:tcPr>
          <w:p w14:paraId="6D68598D" w14:textId="11F57F68"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2 732 251</w:t>
            </w:r>
          </w:p>
        </w:tc>
        <w:tc>
          <w:tcPr>
            <w:tcW w:w="1178" w:type="dxa"/>
            <w:tcBorders>
              <w:top w:val="nil"/>
              <w:left w:val="nil"/>
              <w:bottom w:val="single" w:sz="4" w:space="0" w:color="0077BD"/>
              <w:right w:val="nil"/>
            </w:tcBorders>
            <w:shd w:val="clear" w:color="auto" w:fill="auto"/>
            <w:noWrap/>
            <w:vAlign w:val="center"/>
            <w:hideMark/>
          </w:tcPr>
          <w:p w14:paraId="57405501" w14:textId="408EB376"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3 132 028</w:t>
            </w:r>
          </w:p>
        </w:tc>
      </w:tr>
      <w:tr w:rsidR="00E121FB" w:rsidRPr="00E30B24" w14:paraId="5F12D9DD" w14:textId="77777777" w:rsidTr="00294CBC">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4C896617" w14:textId="77777777" w:rsidR="00E121FB" w:rsidRPr="00E30B24" w:rsidRDefault="00E121FB" w:rsidP="00E121FB">
            <w:pPr>
              <w:rPr>
                <w:rFonts w:cs="Calibri"/>
                <w:color w:val="000000" w:themeColor="text1"/>
                <w:sz w:val="12"/>
                <w:szCs w:val="12"/>
              </w:rPr>
            </w:pPr>
            <w:r w:rsidRPr="00E30B24">
              <w:rPr>
                <w:rFonts w:cs="Calibri"/>
                <w:color w:val="000000" w:themeColor="text1"/>
                <w:sz w:val="12"/>
                <w:szCs w:val="12"/>
              </w:rPr>
              <w:t>Pozostałe zobowiązania</w:t>
            </w:r>
          </w:p>
        </w:tc>
        <w:tc>
          <w:tcPr>
            <w:tcW w:w="1178" w:type="dxa"/>
            <w:tcBorders>
              <w:top w:val="nil"/>
              <w:left w:val="single" w:sz="8" w:space="0" w:color="0077BD"/>
              <w:bottom w:val="single" w:sz="8" w:space="0" w:color="0077BD"/>
              <w:right w:val="single" w:sz="8" w:space="0" w:color="0077BD"/>
            </w:tcBorders>
            <w:shd w:val="clear" w:color="auto" w:fill="auto"/>
            <w:noWrap/>
            <w:vAlign w:val="center"/>
            <w:hideMark/>
          </w:tcPr>
          <w:p w14:paraId="4E1E632F" w14:textId="11B5860E"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2 051 526</w:t>
            </w:r>
          </w:p>
        </w:tc>
        <w:tc>
          <w:tcPr>
            <w:tcW w:w="1178" w:type="dxa"/>
            <w:tcBorders>
              <w:top w:val="nil"/>
              <w:left w:val="nil"/>
              <w:bottom w:val="single" w:sz="8" w:space="0" w:color="0077BD"/>
              <w:right w:val="single" w:sz="8" w:space="0" w:color="0077BD"/>
            </w:tcBorders>
            <w:shd w:val="clear" w:color="auto" w:fill="auto"/>
            <w:noWrap/>
            <w:vAlign w:val="center"/>
            <w:hideMark/>
          </w:tcPr>
          <w:p w14:paraId="7ECFF250" w14:textId="06C5FD6B"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1 378</w:t>
            </w:r>
          </w:p>
        </w:tc>
        <w:tc>
          <w:tcPr>
            <w:tcW w:w="1178" w:type="dxa"/>
            <w:tcBorders>
              <w:top w:val="nil"/>
              <w:left w:val="nil"/>
              <w:bottom w:val="single" w:sz="8" w:space="0" w:color="0077BD"/>
              <w:right w:val="single" w:sz="8" w:space="0" w:color="0077BD"/>
            </w:tcBorders>
            <w:shd w:val="clear" w:color="auto" w:fill="auto"/>
            <w:noWrap/>
            <w:vAlign w:val="center"/>
            <w:hideMark/>
          </w:tcPr>
          <w:p w14:paraId="0A8FEB04" w14:textId="7B8EF7E5"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438 963</w:t>
            </w:r>
          </w:p>
        </w:tc>
        <w:tc>
          <w:tcPr>
            <w:tcW w:w="1178" w:type="dxa"/>
            <w:tcBorders>
              <w:top w:val="nil"/>
              <w:left w:val="nil"/>
              <w:bottom w:val="single" w:sz="8" w:space="0" w:color="0077BD"/>
              <w:right w:val="single" w:sz="8" w:space="0" w:color="0077BD"/>
            </w:tcBorders>
            <w:shd w:val="clear" w:color="auto" w:fill="auto"/>
            <w:noWrap/>
            <w:vAlign w:val="center"/>
            <w:hideMark/>
          </w:tcPr>
          <w:p w14:paraId="4E37A6FC" w14:textId="5701F210"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w:t>
            </w:r>
          </w:p>
        </w:tc>
        <w:tc>
          <w:tcPr>
            <w:tcW w:w="1178" w:type="dxa"/>
            <w:tcBorders>
              <w:top w:val="nil"/>
              <w:left w:val="nil"/>
              <w:bottom w:val="single" w:sz="8" w:space="0" w:color="0077BD"/>
              <w:right w:val="single" w:sz="8" w:space="0" w:color="0077BD"/>
            </w:tcBorders>
            <w:shd w:val="clear" w:color="auto" w:fill="auto"/>
            <w:noWrap/>
            <w:vAlign w:val="center"/>
            <w:hideMark/>
          </w:tcPr>
          <w:p w14:paraId="480DE3AB" w14:textId="01CD56C0" w:rsidR="00E121FB" w:rsidRPr="00E30B24" w:rsidRDefault="00E121FB" w:rsidP="00E121FB">
            <w:pPr>
              <w:jc w:val="right"/>
              <w:rPr>
                <w:rFonts w:cs="Calibri"/>
                <w:color w:val="000000" w:themeColor="text1"/>
                <w:sz w:val="12"/>
                <w:szCs w:val="12"/>
              </w:rPr>
            </w:pPr>
            <w:r w:rsidRPr="00E30B24">
              <w:rPr>
                <w:rFonts w:cs="Calibri"/>
                <w:color w:val="000000" w:themeColor="text1"/>
                <w:sz w:val="12"/>
                <w:szCs w:val="12"/>
              </w:rPr>
              <w:t>-</w:t>
            </w:r>
          </w:p>
        </w:tc>
        <w:tc>
          <w:tcPr>
            <w:tcW w:w="1178" w:type="dxa"/>
            <w:tcBorders>
              <w:top w:val="nil"/>
              <w:left w:val="nil"/>
              <w:bottom w:val="single" w:sz="8" w:space="0" w:color="0077BD"/>
              <w:right w:val="nil"/>
            </w:tcBorders>
            <w:shd w:val="clear" w:color="auto" w:fill="auto"/>
            <w:noWrap/>
            <w:vAlign w:val="center"/>
            <w:hideMark/>
          </w:tcPr>
          <w:p w14:paraId="57E3F3F5" w14:textId="4B0189B4"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2 491 867</w:t>
            </w:r>
          </w:p>
        </w:tc>
      </w:tr>
      <w:tr w:rsidR="00E121FB" w:rsidRPr="00E30B24" w14:paraId="62E6FFCF" w14:textId="77777777" w:rsidTr="00895C5E">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713CE7A5" w14:textId="77777777" w:rsidR="00E121FB" w:rsidRPr="00E30B24" w:rsidRDefault="00E121FB" w:rsidP="00E121FB">
            <w:pPr>
              <w:rPr>
                <w:rFonts w:cs="Calibri"/>
                <w:b/>
                <w:bCs/>
                <w:color w:val="000000" w:themeColor="text1"/>
                <w:sz w:val="12"/>
                <w:szCs w:val="12"/>
              </w:rPr>
            </w:pPr>
            <w:r w:rsidRPr="00E30B24">
              <w:rPr>
                <w:rFonts w:cs="Calibri"/>
                <w:b/>
                <w:bCs/>
                <w:color w:val="000000" w:themeColor="text1"/>
                <w:sz w:val="12"/>
                <w:szCs w:val="12"/>
              </w:rPr>
              <w:t>Zobowiązania razem</w:t>
            </w:r>
          </w:p>
        </w:tc>
        <w:tc>
          <w:tcPr>
            <w:tcW w:w="1178" w:type="dxa"/>
            <w:tcBorders>
              <w:top w:val="nil"/>
              <w:left w:val="single" w:sz="8" w:space="0" w:color="0077BD"/>
              <w:bottom w:val="single" w:sz="8" w:space="0" w:color="0077BD"/>
              <w:right w:val="single" w:sz="8" w:space="0" w:color="0077BD"/>
            </w:tcBorders>
            <w:shd w:val="clear" w:color="auto" w:fill="auto"/>
            <w:noWrap/>
            <w:vAlign w:val="center"/>
            <w:hideMark/>
          </w:tcPr>
          <w:p w14:paraId="488FA884" w14:textId="1DB1F2B2"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90 308 158</w:t>
            </w:r>
          </w:p>
        </w:tc>
        <w:tc>
          <w:tcPr>
            <w:tcW w:w="1178" w:type="dxa"/>
            <w:tcBorders>
              <w:top w:val="nil"/>
              <w:left w:val="nil"/>
              <w:bottom w:val="single" w:sz="8" w:space="0" w:color="0077BD"/>
              <w:right w:val="single" w:sz="8" w:space="0" w:color="0077BD"/>
            </w:tcBorders>
            <w:shd w:val="clear" w:color="auto" w:fill="auto"/>
            <w:noWrap/>
            <w:vAlign w:val="center"/>
            <w:hideMark/>
          </w:tcPr>
          <w:p w14:paraId="4A40A84B" w14:textId="1270B12E"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7 886 642</w:t>
            </w:r>
          </w:p>
        </w:tc>
        <w:tc>
          <w:tcPr>
            <w:tcW w:w="1178" w:type="dxa"/>
            <w:tcBorders>
              <w:top w:val="nil"/>
              <w:left w:val="nil"/>
              <w:bottom w:val="single" w:sz="8" w:space="0" w:color="0077BD"/>
              <w:right w:val="single" w:sz="8" w:space="0" w:color="0077BD"/>
            </w:tcBorders>
            <w:shd w:val="clear" w:color="auto" w:fill="auto"/>
            <w:noWrap/>
            <w:vAlign w:val="center"/>
            <w:hideMark/>
          </w:tcPr>
          <w:p w14:paraId="2D852502" w14:textId="1696AC5A"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10 731 598</w:t>
            </w:r>
          </w:p>
        </w:tc>
        <w:tc>
          <w:tcPr>
            <w:tcW w:w="1178" w:type="dxa"/>
            <w:tcBorders>
              <w:top w:val="nil"/>
              <w:left w:val="nil"/>
              <w:bottom w:val="single" w:sz="8" w:space="0" w:color="0077BD"/>
              <w:right w:val="single" w:sz="8" w:space="0" w:color="0077BD"/>
            </w:tcBorders>
            <w:shd w:val="clear" w:color="auto" w:fill="auto"/>
            <w:noWrap/>
            <w:vAlign w:val="center"/>
            <w:hideMark/>
          </w:tcPr>
          <w:p w14:paraId="67E97672" w14:textId="271F01B5"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15 892 713</w:t>
            </w:r>
          </w:p>
        </w:tc>
        <w:tc>
          <w:tcPr>
            <w:tcW w:w="1178" w:type="dxa"/>
            <w:tcBorders>
              <w:top w:val="nil"/>
              <w:left w:val="nil"/>
              <w:bottom w:val="single" w:sz="8" w:space="0" w:color="0077BD"/>
              <w:right w:val="single" w:sz="8" w:space="0" w:color="0077BD"/>
            </w:tcBorders>
            <w:shd w:val="clear" w:color="auto" w:fill="auto"/>
            <w:noWrap/>
            <w:vAlign w:val="center"/>
            <w:hideMark/>
          </w:tcPr>
          <w:p w14:paraId="0271E084" w14:textId="3CAC10D4"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6 561 194</w:t>
            </w:r>
          </w:p>
        </w:tc>
        <w:tc>
          <w:tcPr>
            <w:tcW w:w="1178" w:type="dxa"/>
            <w:tcBorders>
              <w:top w:val="nil"/>
              <w:left w:val="nil"/>
              <w:bottom w:val="single" w:sz="8" w:space="0" w:color="0077BD"/>
              <w:right w:val="nil"/>
            </w:tcBorders>
            <w:shd w:val="clear" w:color="auto" w:fill="auto"/>
            <w:noWrap/>
            <w:vAlign w:val="center"/>
            <w:hideMark/>
          </w:tcPr>
          <w:p w14:paraId="65BEC70C" w14:textId="356C1179" w:rsidR="00E121FB" w:rsidRPr="00E30B24" w:rsidRDefault="00E121FB" w:rsidP="00E121FB">
            <w:pPr>
              <w:jc w:val="right"/>
              <w:rPr>
                <w:rFonts w:cs="Calibri"/>
                <w:b/>
                <w:bCs/>
                <w:color w:val="000000" w:themeColor="text1"/>
                <w:sz w:val="12"/>
                <w:szCs w:val="12"/>
              </w:rPr>
            </w:pPr>
            <w:r w:rsidRPr="00E30B24">
              <w:rPr>
                <w:rFonts w:cs="Calibri"/>
                <w:b/>
                <w:bCs/>
                <w:color w:val="000000" w:themeColor="text1"/>
                <w:sz w:val="12"/>
                <w:szCs w:val="12"/>
              </w:rPr>
              <w:t>131 380 305</w:t>
            </w:r>
          </w:p>
        </w:tc>
      </w:tr>
      <w:tr w:rsidR="00D54765" w:rsidRPr="00E30B24" w14:paraId="5BD67467" w14:textId="77777777" w:rsidTr="00B16591">
        <w:trPr>
          <w:trHeight w:val="227"/>
        </w:trPr>
        <w:tc>
          <w:tcPr>
            <w:tcW w:w="4766" w:type="dxa"/>
            <w:gridSpan w:val="3"/>
            <w:tcBorders>
              <w:top w:val="nil"/>
              <w:left w:val="nil"/>
              <w:bottom w:val="nil"/>
              <w:right w:val="nil"/>
            </w:tcBorders>
            <w:shd w:val="clear" w:color="auto" w:fill="auto"/>
            <w:vAlign w:val="center"/>
            <w:hideMark/>
          </w:tcPr>
          <w:p w14:paraId="52F0A0FC" w14:textId="77777777" w:rsidR="00AF77F2" w:rsidRPr="00E30B24" w:rsidRDefault="00AF77F2" w:rsidP="00FC695C">
            <w:pPr>
              <w:rPr>
                <w:color w:val="000000" w:themeColor="text1"/>
                <w:sz w:val="12"/>
                <w:szCs w:val="12"/>
              </w:rPr>
            </w:pPr>
            <w:r w:rsidRPr="00E30B24">
              <w:rPr>
                <w:rFonts w:cs="Calibri"/>
                <w:b/>
                <w:bCs/>
                <w:color w:val="000000" w:themeColor="text1"/>
                <w:sz w:val="12"/>
                <w:szCs w:val="12"/>
              </w:rPr>
              <w:t>Aktywa (według oczekiwanych terminów zapadalności)</w:t>
            </w:r>
          </w:p>
        </w:tc>
        <w:tc>
          <w:tcPr>
            <w:tcW w:w="1178" w:type="dxa"/>
            <w:tcBorders>
              <w:top w:val="nil"/>
              <w:left w:val="nil"/>
              <w:bottom w:val="nil"/>
              <w:right w:val="nil"/>
            </w:tcBorders>
            <w:shd w:val="clear" w:color="auto" w:fill="auto"/>
            <w:noWrap/>
            <w:vAlign w:val="center"/>
            <w:hideMark/>
          </w:tcPr>
          <w:p w14:paraId="745CB5E4" w14:textId="77777777" w:rsidR="00AF77F2" w:rsidRPr="00E30B24" w:rsidRDefault="00AF77F2" w:rsidP="00FC695C">
            <w:pPr>
              <w:rPr>
                <w:color w:val="000000" w:themeColor="text1"/>
                <w:sz w:val="12"/>
                <w:szCs w:val="12"/>
              </w:rPr>
            </w:pPr>
          </w:p>
        </w:tc>
        <w:tc>
          <w:tcPr>
            <w:tcW w:w="1178" w:type="dxa"/>
            <w:tcBorders>
              <w:top w:val="nil"/>
              <w:left w:val="nil"/>
              <w:bottom w:val="nil"/>
              <w:right w:val="nil"/>
            </w:tcBorders>
            <w:shd w:val="clear" w:color="auto" w:fill="auto"/>
            <w:noWrap/>
            <w:vAlign w:val="center"/>
            <w:hideMark/>
          </w:tcPr>
          <w:p w14:paraId="23BADD92" w14:textId="77777777" w:rsidR="00AF77F2" w:rsidRPr="00E30B24" w:rsidRDefault="00AF77F2" w:rsidP="00FC695C">
            <w:pPr>
              <w:rPr>
                <w:color w:val="000000" w:themeColor="text1"/>
                <w:sz w:val="12"/>
                <w:szCs w:val="12"/>
              </w:rPr>
            </w:pPr>
          </w:p>
        </w:tc>
        <w:tc>
          <w:tcPr>
            <w:tcW w:w="1178" w:type="dxa"/>
            <w:tcBorders>
              <w:top w:val="nil"/>
              <w:left w:val="nil"/>
              <w:bottom w:val="nil"/>
              <w:right w:val="nil"/>
            </w:tcBorders>
            <w:shd w:val="clear" w:color="auto" w:fill="auto"/>
            <w:noWrap/>
            <w:vAlign w:val="center"/>
            <w:hideMark/>
          </w:tcPr>
          <w:p w14:paraId="52D2F9B0" w14:textId="77777777" w:rsidR="00AF77F2" w:rsidRPr="00E30B24" w:rsidRDefault="00AF77F2" w:rsidP="00FC695C">
            <w:pPr>
              <w:rPr>
                <w:color w:val="000000" w:themeColor="text1"/>
                <w:sz w:val="12"/>
                <w:szCs w:val="12"/>
              </w:rPr>
            </w:pPr>
          </w:p>
        </w:tc>
        <w:tc>
          <w:tcPr>
            <w:tcW w:w="1178" w:type="dxa"/>
            <w:tcBorders>
              <w:top w:val="nil"/>
              <w:left w:val="nil"/>
              <w:bottom w:val="nil"/>
              <w:right w:val="nil"/>
            </w:tcBorders>
            <w:shd w:val="clear" w:color="auto" w:fill="auto"/>
            <w:noWrap/>
            <w:vAlign w:val="center"/>
            <w:hideMark/>
          </w:tcPr>
          <w:p w14:paraId="02C1B201" w14:textId="77777777" w:rsidR="00AF77F2" w:rsidRPr="00E30B24" w:rsidRDefault="00AF77F2" w:rsidP="00FC695C">
            <w:pPr>
              <w:rPr>
                <w:color w:val="000000" w:themeColor="text1"/>
                <w:sz w:val="12"/>
                <w:szCs w:val="12"/>
              </w:rPr>
            </w:pPr>
          </w:p>
        </w:tc>
      </w:tr>
      <w:tr w:rsidR="005C002D" w:rsidRPr="00E30B24" w14:paraId="0D119BB5" w14:textId="77777777" w:rsidTr="00801757">
        <w:trPr>
          <w:trHeight w:val="227"/>
        </w:trPr>
        <w:tc>
          <w:tcPr>
            <w:tcW w:w="2410" w:type="dxa"/>
            <w:tcBorders>
              <w:top w:val="single" w:sz="8" w:space="0" w:color="0077BD"/>
              <w:left w:val="nil"/>
              <w:bottom w:val="single" w:sz="8" w:space="0" w:color="0077BD"/>
              <w:right w:val="single" w:sz="8" w:space="0" w:color="0077BD"/>
            </w:tcBorders>
            <w:shd w:val="clear" w:color="auto" w:fill="auto"/>
            <w:vAlign w:val="center"/>
            <w:hideMark/>
          </w:tcPr>
          <w:p w14:paraId="4D3C7B6C" w14:textId="77777777" w:rsidR="00801757" w:rsidRPr="00E30B24" w:rsidRDefault="00801757" w:rsidP="00801757">
            <w:pPr>
              <w:rPr>
                <w:rFonts w:cs="Calibri"/>
                <w:b/>
                <w:bCs/>
                <w:color w:val="000000" w:themeColor="text1"/>
                <w:sz w:val="12"/>
                <w:szCs w:val="12"/>
              </w:rPr>
            </w:pPr>
            <w:r w:rsidRPr="00E30B24">
              <w:rPr>
                <w:rFonts w:cs="Calibri"/>
                <w:b/>
                <w:bCs/>
                <w:color w:val="000000" w:themeColor="text1"/>
                <w:sz w:val="12"/>
                <w:szCs w:val="12"/>
              </w:rPr>
              <w:t>Aktywa razem</w:t>
            </w:r>
          </w:p>
        </w:tc>
        <w:tc>
          <w:tcPr>
            <w:tcW w:w="1178"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2457AD36" w14:textId="4E0A2071"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19 750 626</w:t>
            </w:r>
          </w:p>
        </w:tc>
        <w:tc>
          <w:tcPr>
            <w:tcW w:w="1178" w:type="dxa"/>
            <w:tcBorders>
              <w:top w:val="single" w:sz="8" w:space="0" w:color="0077BD"/>
              <w:left w:val="nil"/>
              <w:bottom w:val="single" w:sz="8" w:space="0" w:color="0077BD"/>
              <w:right w:val="single" w:sz="8" w:space="0" w:color="0077BD"/>
            </w:tcBorders>
            <w:shd w:val="clear" w:color="auto" w:fill="auto"/>
            <w:noWrap/>
            <w:vAlign w:val="center"/>
            <w:hideMark/>
          </w:tcPr>
          <w:p w14:paraId="529CB553" w14:textId="7FD96948"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7 335 020</w:t>
            </w:r>
          </w:p>
        </w:tc>
        <w:tc>
          <w:tcPr>
            <w:tcW w:w="1178" w:type="dxa"/>
            <w:tcBorders>
              <w:top w:val="single" w:sz="8" w:space="0" w:color="0077BD"/>
              <w:left w:val="nil"/>
              <w:bottom w:val="single" w:sz="8" w:space="0" w:color="0077BD"/>
              <w:right w:val="single" w:sz="8" w:space="0" w:color="0077BD"/>
            </w:tcBorders>
            <w:shd w:val="clear" w:color="auto" w:fill="auto"/>
            <w:noWrap/>
            <w:vAlign w:val="center"/>
            <w:hideMark/>
          </w:tcPr>
          <w:p w14:paraId="60E520A5" w14:textId="35BFB07F"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26 213 788</w:t>
            </w:r>
          </w:p>
        </w:tc>
        <w:tc>
          <w:tcPr>
            <w:tcW w:w="1178" w:type="dxa"/>
            <w:tcBorders>
              <w:top w:val="single" w:sz="8" w:space="0" w:color="0077BD"/>
              <w:left w:val="nil"/>
              <w:bottom w:val="single" w:sz="8" w:space="0" w:color="0077BD"/>
              <w:right w:val="single" w:sz="8" w:space="0" w:color="0077BD"/>
            </w:tcBorders>
            <w:shd w:val="clear" w:color="auto" w:fill="auto"/>
            <w:noWrap/>
            <w:vAlign w:val="center"/>
            <w:hideMark/>
          </w:tcPr>
          <w:p w14:paraId="51223E92" w14:textId="3A368EA3"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60 915 168</w:t>
            </w:r>
          </w:p>
        </w:tc>
        <w:tc>
          <w:tcPr>
            <w:tcW w:w="1178" w:type="dxa"/>
            <w:tcBorders>
              <w:top w:val="single" w:sz="8" w:space="0" w:color="0077BD"/>
              <w:left w:val="nil"/>
              <w:bottom w:val="single" w:sz="8" w:space="0" w:color="0077BD"/>
              <w:right w:val="single" w:sz="8" w:space="0" w:color="0077BD"/>
            </w:tcBorders>
            <w:shd w:val="clear" w:color="auto" w:fill="auto"/>
            <w:noWrap/>
            <w:vAlign w:val="center"/>
            <w:hideMark/>
          </w:tcPr>
          <w:p w14:paraId="29C73EB5" w14:textId="6F81403A"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48 321 843</w:t>
            </w:r>
          </w:p>
        </w:tc>
        <w:tc>
          <w:tcPr>
            <w:tcW w:w="1178" w:type="dxa"/>
            <w:tcBorders>
              <w:top w:val="single" w:sz="8" w:space="0" w:color="0077BD"/>
              <w:left w:val="nil"/>
              <w:bottom w:val="single" w:sz="8" w:space="0" w:color="0077BD"/>
              <w:right w:val="nil"/>
            </w:tcBorders>
            <w:shd w:val="clear" w:color="auto" w:fill="auto"/>
            <w:noWrap/>
            <w:vAlign w:val="center"/>
            <w:hideMark/>
          </w:tcPr>
          <w:p w14:paraId="5BBD6D29" w14:textId="61A3CB7D"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162 536 445</w:t>
            </w:r>
          </w:p>
        </w:tc>
      </w:tr>
      <w:tr w:rsidR="005C002D" w:rsidRPr="00E30B24" w14:paraId="1E85EAC2" w14:textId="77777777" w:rsidTr="00801757">
        <w:trPr>
          <w:trHeight w:val="227"/>
        </w:trPr>
        <w:tc>
          <w:tcPr>
            <w:tcW w:w="2410" w:type="dxa"/>
            <w:tcBorders>
              <w:top w:val="nil"/>
              <w:left w:val="nil"/>
              <w:bottom w:val="single" w:sz="8" w:space="0" w:color="0077BD"/>
              <w:right w:val="single" w:sz="8" w:space="0" w:color="0077BD"/>
            </w:tcBorders>
            <w:shd w:val="clear" w:color="auto" w:fill="auto"/>
            <w:vAlign w:val="center"/>
            <w:hideMark/>
          </w:tcPr>
          <w:p w14:paraId="778F321D" w14:textId="77777777" w:rsidR="00801757" w:rsidRPr="00E30B24" w:rsidRDefault="00801757" w:rsidP="00801757">
            <w:pPr>
              <w:rPr>
                <w:rFonts w:cs="Calibri"/>
                <w:b/>
                <w:bCs/>
                <w:color w:val="000000" w:themeColor="text1"/>
                <w:sz w:val="12"/>
                <w:szCs w:val="12"/>
              </w:rPr>
            </w:pPr>
            <w:r w:rsidRPr="00E30B24">
              <w:rPr>
                <w:rFonts w:cs="Calibri"/>
                <w:b/>
                <w:bCs/>
                <w:color w:val="000000" w:themeColor="text1"/>
                <w:sz w:val="12"/>
                <w:szCs w:val="12"/>
              </w:rPr>
              <w:t>Luka płynności netto</w:t>
            </w:r>
          </w:p>
        </w:tc>
        <w:tc>
          <w:tcPr>
            <w:tcW w:w="1178" w:type="dxa"/>
            <w:tcBorders>
              <w:top w:val="nil"/>
              <w:left w:val="single" w:sz="8" w:space="0" w:color="0077BD"/>
              <w:bottom w:val="single" w:sz="8" w:space="0" w:color="0077BD"/>
              <w:right w:val="single" w:sz="8" w:space="0" w:color="0077BD"/>
            </w:tcBorders>
            <w:shd w:val="clear" w:color="auto" w:fill="auto"/>
            <w:noWrap/>
            <w:vAlign w:val="center"/>
            <w:hideMark/>
          </w:tcPr>
          <w:p w14:paraId="4B8267B0" w14:textId="359659D7"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(70 557 532)</w:t>
            </w:r>
          </w:p>
        </w:tc>
        <w:tc>
          <w:tcPr>
            <w:tcW w:w="1178" w:type="dxa"/>
            <w:tcBorders>
              <w:top w:val="nil"/>
              <w:left w:val="nil"/>
              <w:bottom w:val="single" w:sz="8" w:space="0" w:color="0077BD"/>
              <w:right w:val="single" w:sz="8" w:space="0" w:color="0077BD"/>
            </w:tcBorders>
            <w:shd w:val="clear" w:color="auto" w:fill="auto"/>
            <w:noWrap/>
            <w:vAlign w:val="center"/>
            <w:hideMark/>
          </w:tcPr>
          <w:p w14:paraId="64D0AD2B" w14:textId="224AA0F2"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(551 622)</w:t>
            </w:r>
          </w:p>
        </w:tc>
        <w:tc>
          <w:tcPr>
            <w:tcW w:w="1178" w:type="dxa"/>
            <w:tcBorders>
              <w:top w:val="nil"/>
              <w:left w:val="nil"/>
              <w:bottom w:val="single" w:sz="8" w:space="0" w:color="0077BD"/>
              <w:right w:val="single" w:sz="8" w:space="0" w:color="0077BD"/>
            </w:tcBorders>
            <w:shd w:val="clear" w:color="auto" w:fill="auto"/>
            <w:noWrap/>
            <w:vAlign w:val="center"/>
            <w:hideMark/>
          </w:tcPr>
          <w:p w14:paraId="3490297B" w14:textId="276C304D"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15 482 190</w:t>
            </w:r>
          </w:p>
        </w:tc>
        <w:tc>
          <w:tcPr>
            <w:tcW w:w="1178" w:type="dxa"/>
            <w:tcBorders>
              <w:top w:val="nil"/>
              <w:left w:val="nil"/>
              <w:bottom w:val="single" w:sz="8" w:space="0" w:color="0077BD"/>
              <w:right w:val="single" w:sz="8" w:space="0" w:color="0077BD"/>
            </w:tcBorders>
            <w:shd w:val="clear" w:color="auto" w:fill="auto"/>
            <w:noWrap/>
            <w:vAlign w:val="center"/>
            <w:hideMark/>
          </w:tcPr>
          <w:p w14:paraId="19942BE0" w14:textId="3210A748"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45 022 455</w:t>
            </w:r>
          </w:p>
        </w:tc>
        <w:tc>
          <w:tcPr>
            <w:tcW w:w="1178" w:type="dxa"/>
            <w:tcBorders>
              <w:top w:val="nil"/>
              <w:left w:val="nil"/>
              <w:bottom w:val="single" w:sz="8" w:space="0" w:color="0077BD"/>
              <w:right w:val="single" w:sz="8" w:space="0" w:color="0077BD"/>
            </w:tcBorders>
            <w:shd w:val="clear" w:color="auto" w:fill="auto"/>
            <w:noWrap/>
            <w:vAlign w:val="center"/>
            <w:hideMark/>
          </w:tcPr>
          <w:p w14:paraId="64640232" w14:textId="28EED796"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41 760 649</w:t>
            </w:r>
          </w:p>
        </w:tc>
        <w:tc>
          <w:tcPr>
            <w:tcW w:w="1178" w:type="dxa"/>
            <w:tcBorders>
              <w:top w:val="nil"/>
              <w:left w:val="nil"/>
              <w:bottom w:val="single" w:sz="8" w:space="0" w:color="0077BD"/>
              <w:right w:val="nil"/>
            </w:tcBorders>
            <w:shd w:val="clear" w:color="auto" w:fill="auto"/>
            <w:noWrap/>
            <w:vAlign w:val="center"/>
            <w:hideMark/>
          </w:tcPr>
          <w:p w14:paraId="6BB51F7D" w14:textId="13394921" w:rsidR="00801757" w:rsidRPr="00E30B24" w:rsidRDefault="00801757" w:rsidP="00801757">
            <w:pPr>
              <w:jc w:val="right"/>
              <w:rPr>
                <w:rFonts w:cs="Calibri"/>
                <w:b/>
                <w:bCs/>
                <w:color w:val="000000" w:themeColor="text1"/>
                <w:sz w:val="12"/>
                <w:szCs w:val="12"/>
              </w:rPr>
            </w:pPr>
            <w:r w:rsidRPr="00E30B24">
              <w:rPr>
                <w:rFonts w:cs="Calibri"/>
                <w:b/>
                <w:bCs/>
                <w:color w:val="000000" w:themeColor="text1"/>
                <w:sz w:val="12"/>
                <w:szCs w:val="12"/>
              </w:rPr>
              <w:t>31 156 140</w:t>
            </w:r>
          </w:p>
        </w:tc>
      </w:tr>
    </w:tbl>
    <w:p w14:paraId="128BE122" w14:textId="77777777" w:rsidR="00AF77F2" w:rsidRPr="0068723D" w:rsidRDefault="00AF77F2" w:rsidP="00AF77F2">
      <w:pPr>
        <w:spacing w:before="120"/>
        <w:jc w:val="both"/>
        <w:rPr>
          <w:rFonts w:cs="Tahoma"/>
          <w:color w:val="000000" w:themeColor="text1"/>
          <w:sz w:val="18"/>
          <w:szCs w:val="18"/>
        </w:rPr>
      </w:pPr>
      <w:r w:rsidRPr="0068723D">
        <w:rPr>
          <w:rFonts w:cs="Tahoma"/>
          <w:color w:val="000000" w:themeColor="text1"/>
          <w:sz w:val="18"/>
          <w:szCs w:val="18"/>
        </w:rPr>
        <w:t xml:space="preserve">Aktywa, zapewniające realizację wszystkich zobowiązań oraz zobowiązań do udzielenia kredytów, obejmują gotówkę, środki pieniężne w banku centralnym, środki w drodze oraz obligacje skarbowe i inne uznane obligacje, należności od banków, kredyty i pożyczki udzielone klientom. </w:t>
      </w:r>
    </w:p>
    <w:p w14:paraId="29AF0AA0" w14:textId="6B8FBD4A" w:rsidR="00D2046B" w:rsidRDefault="00AF77F2" w:rsidP="00AF77F2">
      <w:pPr>
        <w:suppressAutoHyphens/>
        <w:spacing w:before="120"/>
        <w:jc w:val="both"/>
        <w:rPr>
          <w:rFonts w:cs="Tahoma"/>
          <w:color w:val="000000" w:themeColor="text1"/>
          <w:sz w:val="18"/>
          <w:szCs w:val="18"/>
        </w:rPr>
      </w:pPr>
      <w:r w:rsidRPr="0068723D">
        <w:rPr>
          <w:rFonts w:cs="Tahoma"/>
          <w:color w:val="000000" w:themeColor="text1"/>
          <w:sz w:val="18"/>
          <w:szCs w:val="18"/>
        </w:rPr>
        <w:t>W normalnej działalności część z kredytów udzielonych klientom, których umowny termin spłaty przypadał w ciągu roku, zostanie przedłużona. Ponadto, część dłużnych papierów wartościowych została zastawiona jako zabezpieczenie zobowiązań. Grupa mogłaby zapewnić środki pieniężne na nieoczekiwane wypływy netto sprzedając papiery wartościowe oraz korzystając z innych źródeł finansowania, takich jak rynek papierów zabezpieczonych aktywami</w:t>
      </w:r>
      <w:r w:rsidR="00D2046B" w:rsidRPr="0068723D">
        <w:rPr>
          <w:rFonts w:cs="Tahoma"/>
          <w:color w:val="000000" w:themeColor="text1"/>
          <w:sz w:val="18"/>
          <w:szCs w:val="18"/>
        </w:rPr>
        <w:t>.</w:t>
      </w:r>
    </w:p>
    <w:p w14:paraId="045DB885" w14:textId="3428E65E" w:rsidR="00FF43FF" w:rsidRDefault="00FF43FF" w:rsidP="00AF77F2">
      <w:pPr>
        <w:suppressAutoHyphens/>
        <w:spacing w:before="120"/>
        <w:jc w:val="both"/>
        <w:rPr>
          <w:rFonts w:cs="Tahoma"/>
          <w:color w:val="000000" w:themeColor="text1"/>
          <w:sz w:val="18"/>
          <w:szCs w:val="18"/>
        </w:rPr>
      </w:pPr>
      <w:r w:rsidRPr="00FF43FF">
        <w:rPr>
          <w:rFonts w:cs="Tahoma"/>
          <w:color w:val="000000" w:themeColor="text1"/>
          <w:sz w:val="18"/>
          <w:szCs w:val="18"/>
        </w:rPr>
        <w:t>Zobowiązania z tytułu leasingu według terminów wymagalności (niezdyskont</w:t>
      </w:r>
      <w:r>
        <w:rPr>
          <w:rFonts w:cs="Tahoma"/>
          <w:color w:val="000000" w:themeColor="text1"/>
          <w:sz w:val="18"/>
          <w:szCs w:val="18"/>
        </w:rPr>
        <w:t>owane) zostały przedstawione w N</w:t>
      </w:r>
      <w:r w:rsidRPr="00FF43FF">
        <w:rPr>
          <w:rFonts w:cs="Tahoma"/>
          <w:color w:val="000000" w:themeColor="text1"/>
          <w:sz w:val="18"/>
          <w:szCs w:val="18"/>
        </w:rPr>
        <w:t>ocie 28.</w:t>
      </w:r>
    </w:p>
    <w:p w14:paraId="201A7692" w14:textId="46A98F98" w:rsidR="00FF43FF" w:rsidRPr="0068723D" w:rsidRDefault="00FF43FF" w:rsidP="00AF77F2">
      <w:pPr>
        <w:suppressAutoHyphens/>
        <w:spacing w:before="120"/>
        <w:jc w:val="both"/>
        <w:rPr>
          <w:rFonts w:cs="Tahoma"/>
          <w:color w:val="000000" w:themeColor="text1"/>
          <w:sz w:val="18"/>
          <w:szCs w:val="18"/>
        </w:rPr>
      </w:pPr>
      <w:r w:rsidRPr="00FF43FF">
        <w:rPr>
          <w:rFonts w:cs="Tahoma"/>
          <w:color w:val="000000" w:themeColor="text1"/>
          <w:sz w:val="18"/>
          <w:szCs w:val="18"/>
        </w:rPr>
        <w:t>Pozostałe umowne terminy wymagalności wystawio</w:t>
      </w:r>
      <w:r>
        <w:rPr>
          <w:rFonts w:cs="Tahoma"/>
          <w:color w:val="000000" w:themeColor="text1"/>
          <w:sz w:val="18"/>
          <w:szCs w:val="18"/>
        </w:rPr>
        <w:t>nych gwarancji przedstawiono w N</w:t>
      </w:r>
      <w:r w:rsidRPr="00FF43FF">
        <w:rPr>
          <w:rFonts w:cs="Tahoma"/>
          <w:color w:val="000000" w:themeColor="text1"/>
          <w:sz w:val="18"/>
          <w:szCs w:val="18"/>
        </w:rPr>
        <w:t>ocie 33.</w:t>
      </w:r>
    </w:p>
    <w:p w14:paraId="3B376D88" w14:textId="77777777" w:rsidR="00D2046B" w:rsidRPr="0068723D" w:rsidRDefault="00D2046B" w:rsidP="00467ED8">
      <w:pPr>
        <w:suppressAutoHyphens/>
        <w:jc w:val="both"/>
        <w:rPr>
          <w:rFonts w:cs="Tahoma"/>
          <w:color w:val="000000" w:themeColor="text1"/>
          <w:sz w:val="18"/>
          <w:szCs w:val="18"/>
          <w:highlight w:val="yellow"/>
        </w:rPr>
      </w:pPr>
    </w:p>
    <w:p w14:paraId="5871E0D5" w14:textId="163020EE" w:rsidR="00D2046B" w:rsidRPr="0068723D" w:rsidRDefault="00D2046B" w:rsidP="00526DF1">
      <w:pPr>
        <w:pStyle w:val="Akapitzlist"/>
        <w:numPr>
          <w:ilvl w:val="2"/>
          <w:numId w:val="44"/>
        </w:numPr>
        <w:rPr>
          <w:b/>
          <w:color w:val="000000" w:themeColor="text1"/>
          <w:sz w:val="18"/>
          <w:szCs w:val="18"/>
          <w:lang w:eastAsia="en-US"/>
        </w:rPr>
      </w:pPr>
      <w:r w:rsidRPr="0068723D">
        <w:rPr>
          <w:b/>
          <w:color w:val="000000" w:themeColor="text1"/>
          <w:sz w:val="18"/>
          <w:szCs w:val="18"/>
          <w:lang w:eastAsia="en-US"/>
        </w:rPr>
        <w:t>Przepływy środków pieniężnych z pochodnych instrumentów finansowych</w:t>
      </w:r>
    </w:p>
    <w:p w14:paraId="50924395" w14:textId="77777777" w:rsidR="00AF77F2" w:rsidRPr="0068723D" w:rsidRDefault="00AF77F2" w:rsidP="00AF77F2">
      <w:pPr>
        <w:suppressAutoHyphens/>
        <w:spacing w:before="120"/>
        <w:jc w:val="both"/>
        <w:rPr>
          <w:rFonts w:cs="Tahoma"/>
          <w:color w:val="000000" w:themeColor="text1"/>
          <w:sz w:val="18"/>
          <w:szCs w:val="18"/>
          <w:u w:val="single"/>
        </w:rPr>
      </w:pPr>
      <w:r w:rsidRPr="0068723D">
        <w:rPr>
          <w:rFonts w:cs="Tahoma"/>
          <w:color w:val="000000" w:themeColor="text1"/>
          <w:sz w:val="18"/>
          <w:szCs w:val="18"/>
          <w:u w:val="single"/>
        </w:rPr>
        <w:t>Pochodne instrumenty finansowe rozliczane w kwotach netto</w:t>
      </w:r>
    </w:p>
    <w:p w14:paraId="16377F5A" w14:textId="77777777" w:rsidR="00AF77F2" w:rsidRPr="0068723D" w:rsidRDefault="00AF77F2" w:rsidP="00AF77F2">
      <w:pPr>
        <w:suppressAutoHyphens/>
        <w:spacing w:before="120"/>
        <w:jc w:val="both"/>
        <w:rPr>
          <w:rFonts w:cs="Tahoma"/>
          <w:color w:val="000000" w:themeColor="text1"/>
          <w:sz w:val="18"/>
          <w:szCs w:val="18"/>
        </w:rPr>
      </w:pPr>
      <w:r w:rsidRPr="0068723D">
        <w:rPr>
          <w:rFonts w:cs="Tahoma"/>
          <w:color w:val="000000" w:themeColor="text1"/>
          <w:sz w:val="18"/>
          <w:szCs w:val="18"/>
        </w:rPr>
        <w:t xml:space="preserve">Do pochodnych instrumentów finansowych rozliczanych przez Grupę na bazie netto należą: </w:t>
      </w:r>
    </w:p>
    <w:p w14:paraId="6A1D5976"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 xml:space="preserve">pochodne transakcje futures, </w:t>
      </w:r>
    </w:p>
    <w:p w14:paraId="02FE05CC"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kontrakty na przyszłą stopę procentową (FRA),</w:t>
      </w:r>
    </w:p>
    <w:p w14:paraId="6631153C"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opcje,</w:t>
      </w:r>
    </w:p>
    <w:p w14:paraId="04088C80"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warranty,</w:t>
      </w:r>
    </w:p>
    <w:p w14:paraId="5702AB9E"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kontrakty swap na stopę procentową (IRS),</w:t>
      </w:r>
    </w:p>
    <w:p w14:paraId="1C7EB12E"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 xml:space="preserve">kontrakty swap na stopę procentową w walucie obcej (CIRS), </w:t>
      </w:r>
    </w:p>
    <w:p w14:paraId="435FF0F3" w14:textId="77777777" w:rsidR="00AF77F2" w:rsidRPr="00531C73" w:rsidRDefault="00AF77F2"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kontrakty forward na papiery wartościowe.</w:t>
      </w:r>
    </w:p>
    <w:p w14:paraId="52AB7FCE" w14:textId="5C4E7491" w:rsidR="00AF77F2" w:rsidRPr="0068723D" w:rsidRDefault="00AF77F2" w:rsidP="00AF77F2">
      <w:pPr>
        <w:spacing w:before="120"/>
        <w:jc w:val="both"/>
        <w:rPr>
          <w:rFonts w:cs="Tahoma"/>
          <w:color w:val="000000" w:themeColor="text1"/>
          <w:sz w:val="18"/>
          <w:szCs w:val="18"/>
        </w:rPr>
      </w:pPr>
      <w:r w:rsidRPr="0068723D">
        <w:rPr>
          <w:rFonts w:cs="Tahoma"/>
          <w:color w:val="000000" w:themeColor="text1"/>
          <w:sz w:val="18"/>
          <w:szCs w:val="18"/>
        </w:rPr>
        <w:t>W poniższej tabeli przedstawiono zobowiązania finansowe Grupy z tytułu transakcji na powyższych instrumentach finansowych, dla których</w:t>
      </w:r>
      <w:r w:rsidR="00F2184C">
        <w:rPr>
          <w:rFonts w:cs="Tahoma"/>
          <w:color w:val="000000" w:themeColor="text1"/>
          <w:sz w:val="18"/>
          <w:szCs w:val="18"/>
        </w:rPr>
        <w:t xml:space="preserve"> wycena na koniec 2019</w:t>
      </w:r>
      <w:r w:rsidRPr="0068723D">
        <w:rPr>
          <w:rFonts w:cs="Tahoma"/>
          <w:color w:val="000000" w:themeColor="text1"/>
          <w:sz w:val="18"/>
          <w:szCs w:val="18"/>
        </w:rPr>
        <w:t xml:space="preserve"> roku jest ujemna, pogrupowane w odpowiednich pozostałych umownych terminach zapadalności na datę bilansową, prezentowane w wartości nominalnej (niezdyskontowanej) poza pozycjami Inne do 1 miesiąca oraz pozycją Pochodne transakcje futures, które przedstawione zostały w wartościach bieżących (zdyskontowanych). Kwoty denominowane w walutach obcych zostały przeliczone na złote według średniego kursu NBP z dnia bilansowego.</w:t>
      </w:r>
    </w:p>
    <w:p w14:paraId="469789D3" w14:textId="77777777" w:rsidR="00D54765" w:rsidRPr="0068723D" w:rsidRDefault="00D54765" w:rsidP="00D54765">
      <w:pPr>
        <w:jc w:val="both"/>
        <w:rPr>
          <w:rFonts w:cs="Tahoma"/>
          <w:color w:val="000000" w:themeColor="text1"/>
          <w:sz w:val="18"/>
          <w:szCs w:val="18"/>
        </w:rPr>
      </w:pPr>
    </w:p>
    <w:tbl>
      <w:tblPr>
        <w:tblW w:w="9639" w:type="dxa"/>
        <w:tblLayout w:type="fixed"/>
        <w:tblCellMar>
          <w:left w:w="28" w:type="dxa"/>
          <w:right w:w="28" w:type="dxa"/>
        </w:tblCellMar>
        <w:tblLook w:val="04A0" w:firstRow="1" w:lastRow="0" w:firstColumn="1" w:lastColumn="0" w:noHBand="0" w:noVBand="1"/>
      </w:tblPr>
      <w:tblGrid>
        <w:gridCol w:w="3261"/>
        <w:gridCol w:w="1063"/>
        <w:gridCol w:w="1063"/>
        <w:gridCol w:w="1063"/>
        <w:gridCol w:w="1063"/>
        <w:gridCol w:w="1063"/>
        <w:gridCol w:w="1063"/>
      </w:tblGrid>
      <w:tr w:rsidR="00AF77F2" w:rsidRPr="00E30B24" w14:paraId="4E94F260" w14:textId="77777777" w:rsidTr="006D20E8">
        <w:trPr>
          <w:trHeight w:val="419"/>
        </w:trPr>
        <w:tc>
          <w:tcPr>
            <w:tcW w:w="3261" w:type="dxa"/>
            <w:tcBorders>
              <w:top w:val="nil"/>
              <w:left w:val="nil"/>
              <w:bottom w:val="nil"/>
              <w:right w:val="single" w:sz="8" w:space="0" w:color="FFFFFF"/>
            </w:tcBorders>
            <w:shd w:val="clear" w:color="000000" w:fill="0077BD"/>
            <w:vAlign w:val="center"/>
            <w:hideMark/>
          </w:tcPr>
          <w:p w14:paraId="0578CFD2" w14:textId="096B60E0" w:rsidR="00AF77F2" w:rsidRPr="00E30B24" w:rsidRDefault="00AF77F2" w:rsidP="00FC695C">
            <w:pPr>
              <w:rPr>
                <w:rFonts w:cs="Calibri"/>
                <w:b/>
                <w:bCs/>
                <w:color w:val="FFFFFF"/>
                <w:sz w:val="12"/>
                <w:szCs w:val="12"/>
              </w:rPr>
            </w:pPr>
            <w:r w:rsidRPr="00E30B24">
              <w:rPr>
                <w:rFonts w:cs="Calibri"/>
                <w:b/>
                <w:bCs/>
                <w:color w:val="FFFFFF"/>
                <w:sz w:val="12"/>
                <w:szCs w:val="12"/>
              </w:rPr>
              <w:t>31.12.2019</w:t>
            </w:r>
          </w:p>
        </w:tc>
        <w:tc>
          <w:tcPr>
            <w:tcW w:w="1063" w:type="dxa"/>
            <w:tcBorders>
              <w:top w:val="nil"/>
              <w:left w:val="nil"/>
              <w:bottom w:val="nil"/>
              <w:right w:val="single" w:sz="8" w:space="0" w:color="FFFFFF"/>
            </w:tcBorders>
            <w:shd w:val="clear" w:color="000000" w:fill="0077BD"/>
            <w:vAlign w:val="center"/>
            <w:hideMark/>
          </w:tcPr>
          <w:p w14:paraId="06C96AC2"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063" w:type="dxa"/>
            <w:tcBorders>
              <w:top w:val="nil"/>
              <w:left w:val="nil"/>
              <w:bottom w:val="nil"/>
              <w:right w:val="single" w:sz="8" w:space="0" w:color="FFFFFF"/>
            </w:tcBorders>
            <w:shd w:val="clear" w:color="000000" w:fill="0077BD"/>
            <w:vAlign w:val="center"/>
            <w:hideMark/>
          </w:tcPr>
          <w:p w14:paraId="7811422E"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063" w:type="dxa"/>
            <w:tcBorders>
              <w:top w:val="nil"/>
              <w:left w:val="nil"/>
              <w:bottom w:val="nil"/>
              <w:right w:val="single" w:sz="8" w:space="0" w:color="FFFFFF"/>
            </w:tcBorders>
            <w:shd w:val="clear" w:color="000000" w:fill="0077BD"/>
            <w:vAlign w:val="center"/>
            <w:hideMark/>
          </w:tcPr>
          <w:p w14:paraId="4924D745"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063" w:type="dxa"/>
            <w:tcBorders>
              <w:top w:val="nil"/>
              <w:left w:val="nil"/>
              <w:bottom w:val="nil"/>
              <w:right w:val="single" w:sz="8" w:space="0" w:color="FFFFFF"/>
            </w:tcBorders>
            <w:shd w:val="clear" w:color="000000" w:fill="0077BD"/>
            <w:vAlign w:val="center"/>
            <w:hideMark/>
          </w:tcPr>
          <w:p w14:paraId="256355F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1 roku </w:t>
            </w:r>
            <w:r w:rsidRPr="00E30B24">
              <w:rPr>
                <w:rFonts w:cs="Calibri"/>
                <w:b/>
                <w:bCs/>
                <w:color w:val="FFFFFF"/>
                <w:sz w:val="12"/>
                <w:szCs w:val="12"/>
              </w:rPr>
              <w:br/>
              <w:t>do 5 lat</w:t>
            </w:r>
          </w:p>
        </w:tc>
        <w:tc>
          <w:tcPr>
            <w:tcW w:w="1063" w:type="dxa"/>
            <w:tcBorders>
              <w:top w:val="nil"/>
              <w:left w:val="nil"/>
              <w:bottom w:val="nil"/>
              <w:right w:val="single" w:sz="8" w:space="0" w:color="FFFFFF"/>
            </w:tcBorders>
            <w:shd w:val="clear" w:color="000000" w:fill="0077BD"/>
            <w:vAlign w:val="center"/>
            <w:hideMark/>
          </w:tcPr>
          <w:p w14:paraId="6EE5039F"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063" w:type="dxa"/>
            <w:tcBorders>
              <w:top w:val="nil"/>
              <w:left w:val="nil"/>
              <w:bottom w:val="nil"/>
              <w:right w:val="nil"/>
            </w:tcBorders>
            <w:shd w:val="clear" w:color="000000" w:fill="0077BD"/>
            <w:vAlign w:val="center"/>
            <w:hideMark/>
          </w:tcPr>
          <w:p w14:paraId="62C8DB61"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6C46FA" w:rsidRPr="00E30B24" w14:paraId="58EC4E20" w14:textId="77777777" w:rsidTr="00B52BF0">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43233A6C" w14:textId="77777777" w:rsidR="006C46FA" w:rsidRPr="00E30B24" w:rsidRDefault="006C46FA" w:rsidP="006C46FA">
            <w:pPr>
              <w:rPr>
                <w:rFonts w:cs="Calibri"/>
                <w:bCs/>
                <w:color w:val="000000" w:themeColor="text1"/>
                <w:sz w:val="12"/>
                <w:szCs w:val="12"/>
              </w:rPr>
            </w:pPr>
            <w:r w:rsidRPr="00E30B24">
              <w:rPr>
                <w:rFonts w:cs="Calibri"/>
                <w:bCs/>
                <w:color w:val="000000" w:themeColor="text1"/>
                <w:sz w:val="12"/>
                <w:szCs w:val="12"/>
              </w:rPr>
              <w:t>Kontrakty na przyszłą stopę procentową (FRA)</w:t>
            </w:r>
          </w:p>
        </w:tc>
        <w:tc>
          <w:tcPr>
            <w:tcW w:w="1063" w:type="dxa"/>
            <w:tcBorders>
              <w:top w:val="nil"/>
              <w:left w:val="single" w:sz="8" w:space="0" w:color="0077BD"/>
              <w:bottom w:val="single" w:sz="4" w:space="0" w:color="0077BD"/>
              <w:right w:val="single" w:sz="8" w:space="0" w:color="0077BD"/>
            </w:tcBorders>
            <w:shd w:val="clear" w:color="auto" w:fill="auto"/>
            <w:noWrap/>
            <w:vAlign w:val="center"/>
          </w:tcPr>
          <w:p w14:paraId="39850A24" w14:textId="47A9C9D8"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597</w:t>
            </w:r>
          </w:p>
        </w:tc>
        <w:tc>
          <w:tcPr>
            <w:tcW w:w="1063" w:type="dxa"/>
            <w:tcBorders>
              <w:top w:val="nil"/>
              <w:left w:val="nil"/>
              <w:bottom w:val="single" w:sz="4" w:space="0" w:color="0077BD"/>
              <w:right w:val="single" w:sz="8" w:space="0" w:color="0077BD"/>
            </w:tcBorders>
            <w:shd w:val="clear" w:color="auto" w:fill="auto"/>
            <w:noWrap/>
            <w:vAlign w:val="center"/>
          </w:tcPr>
          <w:p w14:paraId="3FE2D6CD" w14:textId="57B14FE4"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338</w:t>
            </w:r>
          </w:p>
        </w:tc>
        <w:tc>
          <w:tcPr>
            <w:tcW w:w="1063" w:type="dxa"/>
            <w:tcBorders>
              <w:top w:val="nil"/>
              <w:left w:val="nil"/>
              <w:bottom w:val="single" w:sz="4" w:space="0" w:color="0077BD"/>
              <w:right w:val="single" w:sz="8" w:space="0" w:color="0077BD"/>
            </w:tcBorders>
            <w:shd w:val="clear" w:color="auto" w:fill="auto"/>
            <w:noWrap/>
            <w:vAlign w:val="center"/>
          </w:tcPr>
          <w:p w14:paraId="7C575A80" w14:textId="4852B14C"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242</w:t>
            </w:r>
          </w:p>
        </w:tc>
        <w:tc>
          <w:tcPr>
            <w:tcW w:w="1063" w:type="dxa"/>
            <w:tcBorders>
              <w:top w:val="nil"/>
              <w:left w:val="nil"/>
              <w:bottom w:val="single" w:sz="4" w:space="0" w:color="0077BD"/>
              <w:right w:val="single" w:sz="8" w:space="0" w:color="0077BD"/>
            </w:tcBorders>
            <w:shd w:val="clear" w:color="auto" w:fill="auto"/>
            <w:noWrap/>
            <w:vAlign w:val="center"/>
          </w:tcPr>
          <w:p w14:paraId="3E37CD25" w14:textId="276897CA"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27</w:t>
            </w:r>
          </w:p>
        </w:tc>
        <w:tc>
          <w:tcPr>
            <w:tcW w:w="1063" w:type="dxa"/>
            <w:tcBorders>
              <w:top w:val="nil"/>
              <w:left w:val="nil"/>
              <w:bottom w:val="single" w:sz="4" w:space="0" w:color="0077BD"/>
              <w:right w:val="single" w:sz="8" w:space="0" w:color="0077BD"/>
            </w:tcBorders>
            <w:shd w:val="clear" w:color="auto" w:fill="auto"/>
            <w:noWrap/>
            <w:vAlign w:val="center"/>
          </w:tcPr>
          <w:p w14:paraId="7DC5ECF7" w14:textId="7293D86D"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w:t>
            </w:r>
          </w:p>
        </w:tc>
        <w:tc>
          <w:tcPr>
            <w:tcW w:w="1063" w:type="dxa"/>
            <w:tcBorders>
              <w:top w:val="nil"/>
              <w:left w:val="nil"/>
              <w:bottom w:val="single" w:sz="4" w:space="0" w:color="0077BD"/>
              <w:right w:val="nil"/>
            </w:tcBorders>
            <w:shd w:val="clear" w:color="auto" w:fill="auto"/>
            <w:noWrap/>
            <w:vAlign w:val="center"/>
          </w:tcPr>
          <w:p w14:paraId="2D20A87B" w14:textId="2CE2C8B5"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1 204</w:t>
            </w:r>
          </w:p>
        </w:tc>
      </w:tr>
      <w:tr w:rsidR="006C46FA" w:rsidRPr="00E30B24" w14:paraId="33FA0213" w14:textId="77777777" w:rsidTr="00B52BF0">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7C7DFA7D" w14:textId="77777777" w:rsidR="006C46FA" w:rsidRPr="00E30B24" w:rsidRDefault="006C46FA" w:rsidP="006C46FA">
            <w:pPr>
              <w:rPr>
                <w:rFonts w:cs="Calibri"/>
                <w:bCs/>
                <w:color w:val="000000" w:themeColor="text1"/>
                <w:sz w:val="12"/>
                <w:szCs w:val="12"/>
              </w:rPr>
            </w:pPr>
            <w:r w:rsidRPr="00E30B24">
              <w:rPr>
                <w:rFonts w:cs="Calibri"/>
                <w:bCs/>
                <w:color w:val="000000" w:themeColor="text1"/>
                <w:sz w:val="12"/>
                <w:szCs w:val="12"/>
              </w:rPr>
              <w:t>Kontrakty swap na stopę procentową (IRS)</w:t>
            </w:r>
          </w:p>
        </w:tc>
        <w:tc>
          <w:tcPr>
            <w:tcW w:w="1063" w:type="dxa"/>
            <w:tcBorders>
              <w:top w:val="nil"/>
              <w:left w:val="single" w:sz="8" w:space="0" w:color="0077BD"/>
              <w:bottom w:val="single" w:sz="4" w:space="0" w:color="0077BD"/>
              <w:right w:val="single" w:sz="8" w:space="0" w:color="0077BD"/>
            </w:tcBorders>
            <w:shd w:val="clear" w:color="auto" w:fill="auto"/>
            <w:noWrap/>
            <w:vAlign w:val="center"/>
          </w:tcPr>
          <w:p w14:paraId="07FF7796" w14:textId="133A8C04"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43 637</w:t>
            </w:r>
          </w:p>
        </w:tc>
        <w:tc>
          <w:tcPr>
            <w:tcW w:w="1063" w:type="dxa"/>
            <w:tcBorders>
              <w:top w:val="nil"/>
              <w:left w:val="nil"/>
              <w:bottom w:val="single" w:sz="4" w:space="0" w:color="0077BD"/>
              <w:right w:val="single" w:sz="8" w:space="0" w:color="0077BD"/>
            </w:tcBorders>
            <w:shd w:val="clear" w:color="auto" w:fill="auto"/>
            <w:noWrap/>
            <w:vAlign w:val="center"/>
          </w:tcPr>
          <w:p w14:paraId="6E9B77CD" w14:textId="481A3B23"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189 639</w:t>
            </w:r>
          </w:p>
        </w:tc>
        <w:tc>
          <w:tcPr>
            <w:tcW w:w="1063" w:type="dxa"/>
            <w:tcBorders>
              <w:top w:val="nil"/>
              <w:left w:val="nil"/>
              <w:bottom w:val="single" w:sz="4" w:space="0" w:color="0077BD"/>
              <w:right w:val="single" w:sz="8" w:space="0" w:color="0077BD"/>
            </w:tcBorders>
            <w:shd w:val="clear" w:color="auto" w:fill="auto"/>
            <w:noWrap/>
            <w:vAlign w:val="center"/>
          </w:tcPr>
          <w:p w14:paraId="5D4FEA28" w14:textId="315B84B5"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337 406</w:t>
            </w:r>
          </w:p>
        </w:tc>
        <w:tc>
          <w:tcPr>
            <w:tcW w:w="1063" w:type="dxa"/>
            <w:tcBorders>
              <w:top w:val="nil"/>
              <w:left w:val="nil"/>
              <w:bottom w:val="single" w:sz="4" w:space="0" w:color="0077BD"/>
              <w:right w:val="single" w:sz="8" w:space="0" w:color="0077BD"/>
            </w:tcBorders>
            <w:shd w:val="clear" w:color="auto" w:fill="auto"/>
            <w:noWrap/>
            <w:vAlign w:val="center"/>
          </w:tcPr>
          <w:p w14:paraId="5DD6F5F1" w14:textId="1EFEE92D"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1 409 739</w:t>
            </w:r>
          </w:p>
        </w:tc>
        <w:tc>
          <w:tcPr>
            <w:tcW w:w="1063" w:type="dxa"/>
            <w:tcBorders>
              <w:top w:val="nil"/>
              <w:left w:val="nil"/>
              <w:bottom w:val="single" w:sz="4" w:space="0" w:color="0077BD"/>
              <w:right w:val="single" w:sz="8" w:space="0" w:color="0077BD"/>
            </w:tcBorders>
            <w:shd w:val="clear" w:color="auto" w:fill="auto"/>
            <w:noWrap/>
            <w:vAlign w:val="center"/>
          </w:tcPr>
          <w:p w14:paraId="1AA61098" w14:textId="34441986"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159 838</w:t>
            </w:r>
          </w:p>
        </w:tc>
        <w:tc>
          <w:tcPr>
            <w:tcW w:w="1063" w:type="dxa"/>
            <w:tcBorders>
              <w:top w:val="nil"/>
              <w:left w:val="nil"/>
              <w:bottom w:val="single" w:sz="4" w:space="0" w:color="0077BD"/>
              <w:right w:val="nil"/>
            </w:tcBorders>
            <w:shd w:val="clear" w:color="auto" w:fill="auto"/>
            <w:noWrap/>
            <w:vAlign w:val="center"/>
          </w:tcPr>
          <w:p w14:paraId="6FD75C3A" w14:textId="3393E9AB"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2 140 259</w:t>
            </w:r>
          </w:p>
        </w:tc>
      </w:tr>
      <w:tr w:rsidR="006C46FA" w:rsidRPr="00E30B24" w14:paraId="42A664E9" w14:textId="77777777" w:rsidTr="00B52BF0">
        <w:trPr>
          <w:trHeight w:val="227"/>
        </w:trPr>
        <w:tc>
          <w:tcPr>
            <w:tcW w:w="3261" w:type="dxa"/>
            <w:tcBorders>
              <w:top w:val="nil"/>
              <w:left w:val="nil"/>
              <w:bottom w:val="single" w:sz="4" w:space="0" w:color="0077BD"/>
              <w:right w:val="single" w:sz="8" w:space="0" w:color="0077BD"/>
            </w:tcBorders>
            <w:shd w:val="clear" w:color="auto" w:fill="auto"/>
            <w:noWrap/>
            <w:vAlign w:val="center"/>
            <w:hideMark/>
          </w:tcPr>
          <w:p w14:paraId="192E670D" w14:textId="77777777" w:rsidR="006C46FA" w:rsidRPr="00E30B24" w:rsidRDefault="006C46FA" w:rsidP="006C46FA">
            <w:pPr>
              <w:rPr>
                <w:rFonts w:cs="Calibri"/>
                <w:i/>
                <w:color w:val="000000" w:themeColor="text1"/>
                <w:sz w:val="12"/>
                <w:szCs w:val="12"/>
              </w:rPr>
            </w:pPr>
            <w:r w:rsidRPr="00E30B24">
              <w:rPr>
                <w:rFonts w:cs="Calibri"/>
                <w:i/>
                <w:color w:val="000000" w:themeColor="text1"/>
                <w:sz w:val="12"/>
                <w:szCs w:val="12"/>
              </w:rPr>
              <w:t>- Kontrakty IRS zabezpieczające</w:t>
            </w:r>
          </w:p>
        </w:tc>
        <w:tc>
          <w:tcPr>
            <w:tcW w:w="1063" w:type="dxa"/>
            <w:tcBorders>
              <w:top w:val="nil"/>
              <w:left w:val="single" w:sz="8" w:space="0" w:color="0077BD"/>
              <w:bottom w:val="single" w:sz="4" w:space="0" w:color="0077BD"/>
              <w:right w:val="single" w:sz="8" w:space="0" w:color="0077BD"/>
            </w:tcBorders>
            <w:shd w:val="clear" w:color="auto" w:fill="auto"/>
            <w:noWrap/>
            <w:vAlign w:val="center"/>
          </w:tcPr>
          <w:p w14:paraId="24341087" w14:textId="4C78239B" w:rsidR="006C46FA" w:rsidRPr="002550B8" w:rsidRDefault="006C46FA" w:rsidP="006C46FA">
            <w:pPr>
              <w:jc w:val="right"/>
              <w:rPr>
                <w:rFonts w:cs="Calibri"/>
                <w:i/>
                <w:color w:val="000000" w:themeColor="text1"/>
                <w:sz w:val="12"/>
                <w:szCs w:val="12"/>
              </w:rPr>
            </w:pPr>
            <w:r w:rsidRPr="002550B8">
              <w:rPr>
                <w:rFonts w:cs="Calibri"/>
                <w:i/>
                <w:color w:val="000000" w:themeColor="text1"/>
                <w:sz w:val="12"/>
                <w:szCs w:val="12"/>
              </w:rPr>
              <w:t>131</w:t>
            </w:r>
          </w:p>
        </w:tc>
        <w:tc>
          <w:tcPr>
            <w:tcW w:w="1063" w:type="dxa"/>
            <w:tcBorders>
              <w:top w:val="nil"/>
              <w:left w:val="nil"/>
              <w:bottom w:val="single" w:sz="4" w:space="0" w:color="0077BD"/>
              <w:right w:val="single" w:sz="8" w:space="0" w:color="0077BD"/>
            </w:tcBorders>
            <w:shd w:val="clear" w:color="auto" w:fill="auto"/>
            <w:noWrap/>
            <w:vAlign w:val="center"/>
          </w:tcPr>
          <w:p w14:paraId="7C6AC45C" w14:textId="37FACD06" w:rsidR="006C46FA" w:rsidRPr="002550B8" w:rsidRDefault="006C46FA" w:rsidP="006C46FA">
            <w:pPr>
              <w:jc w:val="right"/>
              <w:rPr>
                <w:rFonts w:cs="Calibri"/>
                <w:i/>
                <w:color w:val="000000" w:themeColor="text1"/>
                <w:sz w:val="12"/>
                <w:szCs w:val="12"/>
              </w:rPr>
            </w:pPr>
            <w:r w:rsidRPr="002550B8">
              <w:rPr>
                <w:rFonts w:cs="Calibri"/>
                <w:i/>
                <w:color w:val="000000" w:themeColor="text1"/>
                <w:sz w:val="12"/>
                <w:szCs w:val="12"/>
              </w:rPr>
              <w:t>611</w:t>
            </w:r>
          </w:p>
        </w:tc>
        <w:tc>
          <w:tcPr>
            <w:tcW w:w="1063" w:type="dxa"/>
            <w:tcBorders>
              <w:top w:val="nil"/>
              <w:left w:val="nil"/>
              <w:bottom w:val="single" w:sz="4" w:space="0" w:color="0077BD"/>
              <w:right w:val="single" w:sz="8" w:space="0" w:color="0077BD"/>
            </w:tcBorders>
            <w:shd w:val="clear" w:color="auto" w:fill="auto"/>
            <w:noWrap/>
            <w:vAlign w:val="center"/>
          </w:tcPr>
          <w:p w14:paraId="26FBFBE7" w14:textId="2B981F3F" w:rsidR="006C46FA" w:rsidRPr="002550B8" w:rsidRDefault="006C46FA" w:rsidP="006C46FA">
            <w:pPr>
              <w:jc w:val="right"/>
              <w:rPr>
                <w:rFonts w:cs="Calibri"/>
                <w:i/>
                <w:color w:val="000000" w:themeColor="text1"/>
                <w:sz w:val="12"/>
                <w:szCs w:val="12"/>
              </w:rPr>
            </w:pPr>
            <w:r w:rsidRPr="002550B8">
              <w:rPr>
                <w:rFonts w:cs="Calibri"/>
                <w:i/>
                <w:color w:val="000000" w:themeColor="text1"/>
                <w:sz w:val="12"/>
                <w:szCs w:val="12"/>
              </w:rPr>
              <w:t>1 548</w:t>
            </w:r>
          </w:p>
        </w:tc>
        <w:tc>
          <w:tcPr>
            <w:tcW w:w="1063" w:type="dxa"/>
            <w:tcBorders>
              <w:top w:val="nil"/>
              <w:left w:val="nil"/>
              <w:bottom w:val="single" w:sz="4" w:space="0" w:color="0077BD"/>
              <w:right w:val="single" w:sz="8" w:space="0" w:color="0077BD"/>
            </w:tcBorders>
            <w:shd w:val="clear" w:color="auto" w:fill="auto"/>
            <w:noWrap/>
            <w:vAlign w:val="center"/>
          </w:tcPr>
          <w:p w14:paraId="2BFB97C6" w14:textId="05F372FB" w:rsidR="006C46FA" w:rsidRPr="002550B8" w:rsidRDefault="006C46FA" w:rsidP="006C46FA">
            <w:pPr>
              <w:jc w:val="right"/>
              <w:rPr>
                <w:rFonts w:cs="Calibri"/>
                <w:i/>
                <w:color w:val="000000" w:themeColor="text1"/>
                <w:sz w:val="12"/>
                <w:szCs w:val="12"/>
              </w:rPr>
            </w:pPr>
            <w:r w:rsidRPr="002550B8">
              <w:rPr>
                <w:rFonts w:cs="Calibri"/>
                <w:i/>
                <w:color w:val="000000" w:themeColor="text1"/>
                <w:sz w:val="12"/>
                <w:szCs w:val="12"/>
              </w:rPr>
              <w:t>-</w:t>
            </w:r>
          </w:p>
        </w:tc>
        <w:tc>
          <w:tcPr>
            <w:tcW w:w="1063" w:type="dxa"/>
            <w:tcBorders>
              <w:top w:val="nil"/>
              <w:left w:val="nil"/>
              <w:bottom w:val="single" w:sz="4" w:space="0" w:color="0077BD"/>
              <w:right w:val="single" w:sz="8" w:space="0" w:color="0077BD"/>
            </w:tcBorders>
            <w:shd w:val="clear" w:color="auto" w:fill="auto"/>
            <w:noWrap/>
            <w:vAlign w:val="center"/>
          </w:tcPr>
          <w:p w14:paraId="6DFA4C03" w14:textId="678EB869" w:rsidR="006C46FA" w:rsidRPr="002550B8" w:rsidRDefault="006C46FA" w:rsidP="006C46FA">
            <w:pPr>
              <w:jc w:val="right"/>
              <w:rPr>
                <w:rFonts w:cs="Calibri"/>
                <w:i/>
                <w:color w:val="000000" w:themeColor="text1"/>
                <w:sz w:val="12"/>
                <w:szCs w:val="12"/>
              </w:rPr>
            </w:pPr>
            <w:r w:rsidRPr="002550B8">
              <w:rPr>
                <w:rFonts w:cs="Calibri"/>
                <w:i/>
                <w:color w:val="000000" w:themeColor="text1"/>
                <w:sz w:val="12"/>
                <w:szCs w:val="12"/>
              </w:rPr>
              <w:t>-</w:t>
            </w:r>
          </w:p>
        </w:tc>
        <w:tc>
          <w:tcPr>
            <w:tcW w:w="1063" w:type="dxa"/>
            <w:tcBorders>
              <w:top w:val="nil"/>
              <w:left w:val="nil"/>
              <w:bottom w:val="single" w:sz="4" w:space="0" w:color="0077BD"/>
              <w:right w:val="nil"/>
            </w:tcBorders>
            <w:shd w:val="clear" w:color="auto" w:fill="auto"/>
            <w:noWrap/>
            <w:vAlign w:val="center"/>
          </w:tcPr>
          <w:p w14:paraId="3642FB10" w14:textId="69457AF2" w:rsidR="006C46FA" w:rsidRPr="002550B8" w:rsidRDefault="006C46FA" w:rsidP="006C46FA">
            <w:pPr>
              <w:jc w:val="right"/>
              <w:rPr>
                <w:rFonts w:cs="Calibri"/>
                <w:b/>
                <w:bCs/>
                <w:i/>
                <w:color w:val="000000" w:themeColor="text1"/>
                <w:sz w:val="12"/>
                <w:szCs w:val="12"/>
              </w:rPr>
            </w:pPr>
            <w:r w:rsidRPr="002550B8">
              <w:rPr>
                <w:rFonts w:cs="Calibri"/>
                <w:b/>
                <w:bCs/>
                <w:i/>
                <w:color w:val="000000" w:themeColor="text1"/>
                <w:sz w:val="12"/>
                <w:szCs w:val="12"/>
              </w:rPr>
              <w:t>2 290</w:t>
            </w:r>
          </w:p>
        </w:tc>
      </w:tr>
      <w:tr w:rsidR="006C46FA" w:rsidRPr="00E30B24" w14:paraId="17F591E3" w14:textId="77777777" w:rsidTr="00B52BF0">
        <w:trPr>
          <w:trHeight w:val="340"/>
        </w:trPr>
        <w:tc>
          <w:tcPr>
            <w:tcW w:w="3261" w:type="dxa"/>
            <w:tcBorders>
              <w:top w:val="nil"/>
              <w:left w:val="nil"/>
              <w:bottom w:val="single" w:sz="4" w:space="0" w:color="0077BD"/>
              <w:right w:val="single" w:sz="8" w:space="0" w:color="0077BD"/>
            </w:tcBorders>
            <w:shd w:val="clear" w:color="auto" w:fill="auto"/>
            <w:vAlign w:val="center"/>
            <w:hideMark/>
          </w:tcPr>
          <w:p w14:paraId="047A1F28" w14:textId="77777777" w:rsidR="006C46FA" w:rsidRPr="00E30B24" w:rsidRDefault="006C46FA" w:rsidP="006C46FA">
            <w:pPr>
              <w:rPr>
                <w:rFonts w:cs="Calibri"/>
                <w:bCs/>
                <w:color w:val="000000" w:themeColor="text1"/>
                <w:sz w:val="12"/>
                <w:szCs w:val="12"/>
              </w:rPr>
            </w:pPr>
            <w:r w:rsidRPr="00E30B24">
              <w:rPr>
                <w:rFonts w:cs="Calibri"/>
                <w:bCs/>
                <w:color w:val="000000" w:themeColor="text1"/>
                <w:sz w:val="12"/>
                <w:szCs w:val="12"/>
              </w:rPr>
              <w:t>Kontrakty swap na stopę procentową w walucie obcej (CIRS)</w:t>
            </w:r>
          </w:p>
        </w:tc>
        <w:tc>
          <w:tcPr>
            <w:tcW w:w="1063" w:type="dxa"/>
            <w:tcBorders>
              <w:top w:val="nil"/>
              <w:left w:val="single" w:sz="8" w:space="0" w:color="0077BD"/>
              <w:bottom w:val="single" w:sz="4" w:space="0" w:color="0077BD"/>
              <w:right w:val="single" w:sz="8" w:space="0" w:color="0077BD"/>
            </w:tcBorders>
            <w:shd w:val="clear" w:color="auto" w:fill="auto"/>
            <w:noWrap/>
            <w:vAlign w:val="center"/>
          </w:tcPr>
          <w:p w14:paraId="5C09F335" w14:textId="298A77D9"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(1 213)</w:t>
            </w:r>
          </w:p>
        </w:tc>
        <w:tc>
          <w:tcPr>
            <w:tcW w:w="1063" w:type="dxa"/>
            <w:tcBorders>
              <w:top w:val="nil"/>
              <w:left w:val="nil"/>
              <w:bottom w:val="single" w:sz="4" w:space="0" w:color="0077BD"/>
              <w:right w:val="single" w:sz="8" w:space="0" w:color="0077BD"/>
            </w:tcBorders>
            <w:shd w:val="clear" w:color="auto" w:fill="auto"/>
            <w:noWrap/>
            <w:vAlign w:val="center"/>
          </w:tcPr>
          <w:p w14:paraId="04C42282" w14:textId="402482D1"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(7 053)</w:t>
            </w:r>
          </w:p>
        </w:tc>
        <w:tc>
          <w:tcPr>
            <w:tcW w:w="1063" w:type="dxa"/>
            <w:tcBorders>
              <w:top w:val="nil"/>
              <w:left w:val="nil"/>
              <w:bottom w:val="single" w:sz="4" w:space="0" w:color="0077BD"/>
              <w:right w:val="single" w:sz="8" w:space="0" w:color="0077BD"/>
            </w:tcBorders>
            <w:shd w:val="clear" w:color="auto" w:fill="auto"/>
            <w:noWrap/>
            <w:vAlign w:val="center"/>
          </w:tcPr>
          <w:p w14:paraId="736C7811" w14:textId="53BB749A"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(17 266)</w:t>
            </w:r>
          </w:p>
        </w:tc>
        <w:tc>
          <w:tcPr>
            <w:tcW w:w="1063" w:type="dxa"/>
            <w:tcBorders>
              <w:top w:val="nil"/>
              <w:left w:val="nil"/>
              <w:bottom w:val="single" w:sz="4" w:space="0" w:color="0077BD"/>
              <w:right w:val="single" w:sz="8" w:space="0" w:color="0077BD"/>
            </w:tcBorders>
            <w:shd w:val="clear" w:color="auto" w:fill="auto"/>
            <w:noWrap/>
            <w:vAlign w:val="center"/>
          </w:tcPr>
          <w:p w14:paraId="23470FC6" w14:textId="59750844"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12 699</w:t>
            </w:r>
          </w:p>
        </w:tc>
        <w:tc>
          <w:tcPr>
            <w:tcW w:w="1063" w:type="dxa"/>
            <w:tcBorders>
              <w:top w:val="nil"/>
              <w:left w:val="nil"/>
              <w:bottom w:val="single" w:sz="4" w:space="0" w:color="0077BD"/>
              <w:right w:val="single" w:sz="8" w:space="0" w:color="0077BD"/>
            </w:tcBorders>
            <w:shd w:val="clear" w:color="auto" w:fill="auto"/>
            <w:noWrap/>
            <w:vAlign w:val="center"/>
          </w:tcPr>
          <w:p w14:paraId="7834F279" w14:textId="79CB0E1D"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1 415</w:t>
            </w:r>
          </w:p>
        </w:tc>
        <w:tc>
          <w:tcPr>
            <w:tcW w:w="1063" w:type="dxa"/>
            <w:tcBorders>
              <w:top w:val="nil"/>
              <w:left w:val="nil"/>
              <w:bottom w:val="single" w:sz="4" w:space="0" w:color="0077BD"/>
              <w:right w:val="nil"/>
            </w:tcBorders>
            <w:shd w:val="clear" w:color="auto" w:fill="auto"/>
            <w:noWrap/>
            <w:vAlign w:val="center"/>
          </w:tcPr>
          <w:p w14:paraId="2246FA1B" w14:textId="7DE96093"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(11 418)</w:t>
            </w:r>
          </w:p>
        </w:tc>
      </w:tr>
      <w:tr w:rsidR="006C46FA" w:rsidRPr="00E30B24" w14:paraId="51AAF9A9" w14:textId="77777777" w:rsidTr="00B52BF0">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42EA6E28" w14:textId="77777777" w:rsidR="006C46FA" w:rsidRPr="00E30B24" w:rsidRDefault="006C46FA" w:rsidP="006C46FA">
            <w:pPr>
              <w:rPr>
                <w:rFonts w:cs="Calibri"/>
                <w:bCs/>
                <w:color w:val="000000" w:themeColor="text1"/>
                <w:sz w:val="12"/>
                <w:szCs w:val="12"/>
              </w:rPr>
            </w:pPr>
            <w:r w:rsidRPr="00E30B24">
              <w:rPr>
                <w:rFonts w:cs="Calibri"/>
                <w:bCs/>
                <w:color w:val="000000" w:themeColor="text1"/>
                <w:sz w:val="12"/>
                <w:szCs w:val="12"/>
              </w:rPr>
              <w:t>Opcje</w:t>
            </w:r>
          </w:p>
        </w:tc>
        <w:tc>
          <w:tcPr>
            <w:tcW w:w="1063" w:type="dxa"/>
            <w:tcBorders>
              <w:top w:val="nil"/>
              <w:left w:val="single" w:sz="8" w:space="0" w:color="0077BD"/>
              <w:bottom w:val="single" w:sz="4" w:space="0" w:color="0077BD"/>
              <w:right w:val="single" w:sz="8" w:space="0" w:color="0077BD"/>
            </w:tcBorders>
            <w:shd w:val="clear" w:color="auto" w:fill="auto"/>
            <w:noWrap/>
            <w:vAlign w:val="center"/>
          </w:tcPr>
          <w:p w14:paraId="3690D351" w14:textId="7D2AD2EC"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2 863</w:t>
            </w:r>
          </w:p>
        </w:tc>
        <w:tc>
          <w:tcPr>
            <w:tcW w:w="1063" w:type="dxa"/>
            <w:tcBorders>
              <w:top w:val="nil"/>
              <w:left w:val="nil"/>
              <w:bottom w:val="single" w:sz="4" w:space="0" w:color="0077BD"/>
              <w:right w:val="single" w:sz="8" w:space="0" w:color="0077BD"/>
            </w:tcBorders>
            <w:shd w:val="clear" w:color="auto" w:fill="auto"/>
            <w:noWrap/>
            <w:vAlign w:val="center"/>
          </w:tcPr>
          <w:p w14:paraId="6D079BA5" w14:textId="6EEA9ABF"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8 875</w:t>
            </w:r>
          </w:p>
        </w:tc>
        <w:tc>
          <w:tcPr>
            <w:tcW w:w="1063" w:type="dxa"/>
            <w:tcBorders>
              <w:top w:val="nil"/>
              <w:left w:val="nil"/>
              <w:bottom w:val="single" w:sz="4" w:space="0" w:color="0077BD"/>
              <w:right w:val="single" w:sz="8" w:space="0" w:color="0077BD"/>
            </w:tcBorders>
            <w:shd w:val="clear" w:color="auto" w:fill="auto"/>
            <w:noWrap/>
            <w:vAlign w:val="center"/>
          </w:tcPr>
          <w:p w14:paraId="57EB053F" w14:textId="393F8AB2"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21 751</w:t>
            </w:r>
          </w:p>
        </w:tc>
        <w:tc>
          <w:tcPr>
            <w:tcW w:w="1063" w:type="dxa"/>
            <w:tcBorders>
              <w:top w:val="nil"/>
              <w:left w:val="nil"/>
              <w:bottom w:val="single" w:sz="4" w:space="0" w:color="0077BD"/>
              <w:right w:val="single" w:sz="8" w:space="0" w:color="0077BD"/>
            </w:tcBorders>
            <w:shd w:val="clear" w:color="auto" w:fill="auto"/>
            <w:noWrap/>
            <w:vAlign w:val="center"/>
          </w:tcPr>
          <w:p w14:paraId="6E3528E9" w14:textId="55B8AB80"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8 177</w:t>
            </w:r>
          </w:p>
        </w:tc>
        <w:tc>
          <w:tcPr>
            <w:tcW w:w="1063" w:type="dxa"/>
            <w:tcBorders>
              <w:top w:val="nil"/>
              <w:left w:val="nil"/>
              <w:bottom w:val="single" w:sz="4" w:space="0" w:color="0077BD"/>
              <w:right w:val="single" w:sz="8" w:space="0" w:color="0077BD"/>
            </w:tcBorders>
            <w:shd w:val="clear" w:color="auto" w:fill="auto"/>
            <w:noWrap/>
            <w:vAlign w:val="center"/>
          </w:tcPr>
          <w:p w14:paraId="086F697C" w14:textId="2898295D"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3</w:t>
            </w:r>
          </w:p>
        </w:tc>
        <w:tc>
          <w:tcPr>
            <w:tcW w:w="1063" w:type="dxa"/>
            <w:tcBorders>
              <w:top w:val="nil"/>
              <w:left w:val="nil"/>
              <w:bottom w:val="single" w:sz="4" w:space="0" w:color="0077BD"/>
              <w:right w:val="nil"/>
            </w:tcBorders>
            <w:shd w:val="clear" w:color="auto" w:fill="auto"/>
            <w:noWrap/>
            <w:vAlign w:val="center"/>
          </w:tcPr>
          <w:p w14:paraId="352E70D2" w14:textId="7077A2C8"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41 669</w:t>
            </w:r>
          </w:p>
        </w:tc>
      </w:tr>
      <w:tr w:rsidR="006C46FA" w:rsidRPr="00E30B24" w14:paraId="0FDA8407" w14:textId="77777777" w:rsidTr="00B52BF0">
        <w:trPr>
          <w:trHeight w:val="227"/>
        </w:trPr>
        <w:tc>
          <w:tcPr>
            <w:tcW w:w="3261" w:type="dxa"/>
            <w:tcBorders>
              <w:top w:val="nil"/>
              <w:left w:val="nil"/>
              <w:bottom w:val="single" w:sz="8" w:space="0" w:color="0077BD"/>
              <w:right w:val="single" w:sz="8" w:space="0" w:color="0077BD"/>
            </w:tcBorders>
            <w:shd w:val="clear" w:color="auto" w:fill="auto"/>
            <w:vAlign w:val="center"/>
            <w:hideMark/>
          </w:tcPr>
          <w:p w14:paraId="2738AC47" w14:textId="77777777" w:rsidR="006C46FA" w:rsidRPr="00E30B24" w:rsidRDefault="006C46FA" w:rsidP="006C46FA">
            <w:pPr>
              <w:rPr>
                <w:rFonts w:cs="Calibri"/>
                <w:bCs/>
                <w:color w:val="000000" w:themeColor="text1"/>
                <w:sz w:val="12"/>
                <w:szCs w:val="12"/>
              </w:rPr>
            </w:pPr>
            <w:r w:rsidRPr="00E30B24">
              <w:rPr>
                <w:rFonts w:cs="Calibri"/>
                <w:bCs/>
                <w:color w:val="000000" w:themeColor="text1"/>
                <w:sz w:val="12"/>
                <w:szCs w:val="12"/>
              </w:rPr>
              <w:t>Inne</w:t>
            </w:r>
          </w:p>
        </w:tc>
        <w:tc>
          <w:tcPr>
            <w:tcW w:w="1063" w:type="dxa"/>
            <w:tcBorders>
              <w:top w:val="nil"/>
              <w:left w:val="single" w:sz="8" w:space="0" w:color="0077BD"/>
              <w:bottom w:val="single" w:sz="8" w:space="0" w:color="0077BD"/>
              <w:right w:val="single" w:sz="8" w:space="0" w:color="0077BD"/>
            </w:tcBorders>
            <w:shd w:val="clear" w:color="auto" w:fill="auto"/>
            <w:noWrap/>
            <w:vAlign w:val="center"/>
          </w:tcPr>
          <w:p w14:paraId="4435D824" w14:textId="38ACD63B"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2 309</w:t>
            </w:r>
          </w:p>
        </w:tc>
        <w:tc>
          <w:tcPr>
            <w:tcW w:w="1063" w:type="dxa"/>
            <w:tcBorders>
              <w:top w:val="nil"/>
              <w:left w:val="nil"/>
              <w:bottom w:val="single" w:sz="8" w:space="0" w:color="0077BD"/>
              <w:right w:val="single" w:sz="8" w:space="0" w:color="0077BD"/>
            </w:tcBorders>
            <w:shd w:val="clear" w:color="auto" w:fill="auto"/>
            <w:noWrap/>
            <w:vAlign w:val="center"/>
          </w:tcPr>
          <w:p w14:paraId="60B1A755" w14:textId="59A36DC6"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87 475</w:t>
            </w:r>
          </w:p>
        </w:tc>
        <w:tc>
          <w:tcPr>
            <w:tcW w:w="1063" w:type="dxa"/>
            <w:tcBorders>
              <w:top w:val="nil"/>
              <w:left w:val="nil"/>
              <w:bottom w:val="single" w:sz="8" w:space="0" w:color="0077BD"/>
              <w:right w:val="single" w:sz="8" w:space="0" w:color="0077BD"/>
            </w:tcBorders>
            <w:shd w:val="clear" w:color="auto" w:fill="auto"/>
            <w:noWrap/>
            <w:vAlign w:val="center"/>
          </w:tcPr>
          <w:p w14:paraId="1A6D41F2" w14:textId="6DB724B0"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171 391</w:t>
            </w:r>
          </w:p>
        </w:tc>
        <w:tc>
          <w:tcPr>
            <w:tcW w:w="1063" w:type="dxa"/>
            <w:tcBorders>
              <w:top w:val="nil"/>
              <w:left w:val="nil"/>
              <w:bottom w:val="single" w:sz="8" w:space="0" w:color="0077BD"/>
              <w:right w:val="single" w:sz="8" w:space="0" w:color="0077BD"/>
            </w:tcBorders>
            <w:shd w:val="clear" w:color="auto" w:fill="auto"/>
            <w:noWrap/>
            <w:vAlign w:val="center"/>
          </w:tcPr>
          <w:p w14:paraId="6C87A120" w14:textId="26075306"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184 307</w:t>
            </w:r>
          </w:p>
        </w:tc>
        <w:tc>
          <w:tcPr>
            <w:tcW w:w="1063" w:type="dxa"/>
            <w:tcBorders>
              <w:top w:val="nil"/>
              <w:left w:val="nil"/>
              <w:bottom w:val="single" w:sz="8" w:space="0" w:color="0077BD"/>
              <w:right w:val="single" w:sz="8" w:space="0" w:color="0077BD"/>
            </w:tcBorders>
            <w:shd w:val="clear" w:color="auto" w:fill="auto"/>
            <w:noWrap/>
            <w:vAlign w:val="center"/>
          </w:tcPr>
          <w:p w14:paraId="2A3D3C04" w14:textId="0208D3FE" w:rsidR="006C46FA" w:rsidRPr="00E30B24" w:rsidRDefault="006C46FA" w:rsidP="006C46FA">
            <w:pPr>
              <w:jc w:val="right"/>
              <w:rPr>
                <w:rFonts w:cs="Calibri"/>
                <w:color w:val="000000" w:themeColor="text1"/>
                <w:sz w:val="12"/>
                <w:szCs w:val="12"/>
              </w:rPr>
            </w:pPr>
            <w:r w:rsidRPr="00E30B24">
              <w:rPr>
                <w:rFonts w:cs="Calibri"/>
                <w:color w:val="000000" w:themeColor="text1"/>
                <w:sz w:val="12"/>
                <w:szCs w:val="12"/>
              </w:rPr>
              <w:t>-</w:t>
            </w:r>
          </w:p>
        </w:tc>
        <w:tc>
          <w:tcPr>
            <w:tcW w:w="1063" w:type="dxa"/>
            <w:tcBorders>
              <w:top w:val="nil"/>
              <w:left w:val="nil"/>
              <w:bottom w:val="single" w:sz="8" w:space="0" w:color="0077BD"/>
              <w:right w:val="nil"/>
            </w:tcBorders>
            <w:shd w:val="clear" w:color="auto" w:fill="auto"/>
            <w:noWrap/>
            <w:vAlign w:val="center"/>
          </w:tcPr>
          <w:p w14:paraId="0A3434CE" w14:textId="27B95D57"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445 482</w:t>
            </w:r>
          </w:p>
        </w:tc>
      </w:tr>
      <w:tr w:rsidR="006C46FA" w:rsidRPr="00E30B24" w14:paraId="7D1951F5" w14:textId="77777777" w:rsidTr="00B52BF0">
        <w:trPr>
          <w:trHeight w:val="340"/>
        </w:trPr>
        <w:tc>
          <w:tcPr>
            <w:tcW w:w="3261" w:type="dxa"/>
            <w:tcBorders>
              <w:top w:val="nil"/>
              <w:left w:val="nil"/>
              <w:bottom w:val="single" w:sz="8" w:space="0" w:color="0077BD"/>
              <w:right w:val="single" w:sz="8" w:space="0" w:color="0077BD"/>
            </w:tcBorders>
            <w:shd w:val="clear" w:color="auto" w:fill="auto"/>
            <w:vAlign w:val="center"/>
            <w:hideMark/>
          </w:tcPr>
          <w:p w14:paraId="4D07B511" w14:textId="77777777" w:rsidR="006C46FA" w:rsidRPr="00E30B24" w:rsidRDefault="006C46FA" w:rsidP="006C46FA">
            <w:pPr>
              <w:rPr>
                <w:rFonts w:cs="Calibri"/>
                <w:b/>
                <w:bCs/>
                <w:color w:val="000000" w:themeColor="text1"/>
                <w:sz w:val="12"/>
                <w:szCs w:val="12"/>
              </w:rPr>
            </w:pPr>
            <w:r w:rsidRPr="00E30B24">
              <w:rPr>
                <w:rFonts w:cs="Calibri"/>
                <w:b/>
                <w:bCs/>
                <w:color w:val="000000" w:themeColor="text1"/>
                <w:sz w:val="12"/>
                <w:szCs w:val="12"/>
              </w:rPr>
              <w:t>Pochodne instrumenty finansowe, które będą rozliczone na bazie netto razem</w:t>
            </w:r>
          </w:p>
        </w:tc>
        <w:tc>
          <w:tcPr>
            <w:tcW w:w="1063" w:type="dxa"/>
            <w:tcBorders>
              <w:top w:val="nil"/>
              <w:left w:val="single" w:sz="8" w:space="0" w:color="0077BD"/>
              <w:bottom w:val="single" w:sz="8" w:space="0" w:color="0077BD"/>
              <w:right w:val="single" w:sz="8" w:space="0" w:color="0077BD"/>
            </w:tcBorders>
            <w:shd w:val="clear" w:color="auto" w:fill="auto"/>
            <w:noWrap/>
            <w:vAlign w:val="center"/>
          </w:tcPr>
          <w:p w14:paraId="3BBA33AE" w14:textId="0D3E9094"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48 193</w:t>
            </w:r>
          </w:p>
        </w:tc>
        <w:tc>
          <w:tcPr>
            <w:tcW w:w="1063" w:type="dxa"/>
            <w:tcBorders>
              <w:top w:val="nil"/>
              <w:left w:val="nil"/>
              <w:bottom w:val="single" w:sz="8" w:space="0" w:color="0077BD"/>
              <w:right w:val="single" w:sz="8" w:space="0" w:color="0077BD"/>
            </w:tcBorders>
            <w:shd w:val="clear" w:color="auto" w:fill="auto"/>
            <w:noWrap/>
            <w:vAlign w:val="center"/>
          </w:tcPr>
          <w:p w14:paraId="715D6044" w14:textId="343D2A33"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279 274</w:t>
            </w:r>
          </w:p>
        </w:tc>
        <w:tc>
          <w:tcPr>
            <w:tcW w:w="1063" w:type="dxa"/>
            <w:tcBorders>
              <w:top w:val="nil"/>
              <w:left w:val="nil"/>
              <w:bottom w:val="single" w:sz="8" w:space="0" w:color="0077BD"/>
              <w:right w:val="single" w:sz="8" w:space="0" w:color="0077BD"/>
            </w:tcBorders>
            <w:shd w:val="clear" w:color="auto" w:fill="auto"/>
            <w:noWrap/>
            <w:vAlign w:val="center"/>
          </w:tcPr>
          <w:p w14:paraId="26430A8A" w14:textId="2988B55B"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513 524</w:t>
            </w:r>
          </w:p>
        </w:tc>
        <w:tc>
          <w:tcPr>
            <w:tcW w:w="1063" w:type="dxa"/>
            <w:tcBorders>
              <w:top w:val="nil"/>
              <w:left w:val="nil"/>
              <w:bottom w:val="single" w:sz="8" w:space="0" w:color="0077BD"/>
              <w:right w:val="single" w:sz="8" w:space="0" w:color="0077BD"/>
            </w:tcBorders>
            <w:shd w:val="clear" w:color="auto" w:fill="auto"/>
            <w:noWrap/>
            <w:vAlign w:val="center"/>
          </w:tcPr>
          <w:p w14:paraId="74F81118" w14:textId="7CA21AD4"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1 614 949</w:t>
            </w:r>
          </w:p>
        </w:tc>
        <w:tc>
          <w:tcPr>
            <w:tcW w:w="1063" w:type="dxa"/>
            <w:tcBorders>
              <w:top w:val="nil"/>
              <w:left w:val="nil"/>
              <w:bottom w:val="single" w:sz="8" w:space="0" w:color="0077BD"/>
              <w:right w:val="single" w:sz="8" w:space="0" w:color="0077BD"/>
            </w:tcBorders>
            <w:shd w:val="clear" w:color="auto" w:fill="auto"/>
            <w:noWrap/>
            <w:vAlign w:val="center"/>
          </w:tcPr>
          <w:p w14:paraId="6BB4B210" w14:textId="71EC2EC0"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161 256</w:t>
            </w:r>
          </w:p>
        </w:tc>
        <w:tc>
          <w:tcPr>
            <w:tcW w:w="1063" w:type="dxa"/>
            <w:tcBorders>
              <w:top w:val="nil"/>
              <w:left w:val="nil"/>
              <w:bottom w:val="single" w:sz="8" w:space="0" w:color="0077BD"/>
              <w:right w:val="nil"/>
            </w:tcBorders>
            <w:shd w:val="clear" w:color="auto" w:fill="auto"/>
            <w:noWrap/>
            <w:vAlign w:val="center"/>
          </w:tcPr>
          <w:p w14:paraId="0E2002D5" w14:textId="0CCA5FC8" w:rsidR="006C46FA" w:rsidRPr="00E30B24" w:rsidRDefault="006C46FA" w:rsidP="006C46FA">
            <w:pPr>
              <w:jc w:val="right"/>
              <w:rPr>
                <w:rFonts w:cs="Calibri"/>
                <w:b/>
                <w:bCs/>
                <w:color w:val="000000" w:themeColor="text1"/>
                <w:sz w:val="12"/>
                <w:szCs w:val="12"/>
              </w:rPr>
            </w:pPr>
            <w:r w:rsidRPr="00E30B24">
              <w:rPr>
                <w:rFonts w:cs="Calibri"/>
                <w:b/>
                <w:bCs/>
                <w:color w:val="000000" w:themeColor="text1"/>
                <w:sz w:val="12"/>
                <w:szCs w:val="12"/>
              </w:rPr>
              <w:t>2 617 196</w:t>
            </w:r>
          </w:p>
        </w:tc>
      </w:tr>
    </w:tbl>
    <w:p w14:paraId="206820BA" w14:textId="029B235C" w:rsidR="0095442A" w:rsidRDefault="0095442A" w:rsidP="00AF77F2">
      <w:pPr>
        <w:jc w:val="both"/>
        <w:rPr>
          <w:rFonts w:cs="Tahoma"/>
          <w:color w:val="201C17"/>
          <w:sz w:val="18"/>
          <w:szCs w:val="18"/>
        </w:rPr>
      </w:pPr>
    </w:p>
    <w:p w14:paraId="14A84236" w14:textId="77777777" w:rsidR="0095442A" w:rsidRDefault="0095442A">
      <w:pPr>
        <w:rPr>
          <w:rFonts w:cs="Tahoma"/>
          <w:color w:val="201C17"/>
          <w:sz w:val="18"/>
          <w:szCs w:val="18"/>
        </w:rPr>
      </w:pPr>
      <w:r>
        <w:rPr>
          <w:rFonts w:cs="Tahoma"/>
          <w:color w:val="201C17"/>
          <w:sz w:val="18"/>
          <w:szCs w:val="18"/>
        </w:rPr>
        <w:br w:type="page"/>
      </w:r>
    </w:p>
    <w:tbl>
      <w:tblPr>
        <w:tblW w:w="9639" w:type="dxa"/>
        <w:tblLayout w:type="fixed"/>
        <w:tblCellMar>
          <w:left w:w="28" w:type="dxa"/>
          <w:right w:w="28" w:type="dxa"/>
        </w:tblCellMar>
        <w:tblLook w:val="04A0" w:firstRow="1" w:lastRow="0" w:firstColumn="1" w:lastColumn="0" w:noHBand="0" w:noVBand="1"/>
      </w:tblPr>
      <w:tblGrid>
        <w:gridCol w:w="3261"/>
        <w:gridCol w:w="1063"/>
        <w:gridCol w:w="1063"/>
        <w:gridCol w:w="1063"/>
        <w:gridCol w:w="1063"/>
        <w:gridCol w:w="1063"/>
        <w:gridCol w:w="1063"/>
      </w:tblGrid>
      <w:tr w:rsidR="00AF77F2" w:rsidRPr="00E30B24" w14:paraId="70E0C877" w14:textId="77777777" w:rsidTr="006D20E8">
        <w:trPr>
          <w:trHeight w:val="419"/>
        </w:trPr>
        <w:tc>
          <w:tcPr>
            <w:tcW w:w="3261" w:type="dxa"/>
            <w:tcBorders>
              <w:top w:val="nil"/>
              <w:left w:val="nil"/>
              <w:bottom w:val="nil"/>
              <w:right w:val="single" w:sz="8" w:space="0" w:color="FFFFFF"/>
            </w:tcBorders>
            <w:shd w:val="clear" w:color="000000" w:fill="0077BD"/>
            <w:vAlign w:val="center"/>
            <w:hideMark/>
          </w:tcPr>
          <w:p w14:paraId="366BF208" w14:textId="11F043C1" w:rsidR="00AF77F2" w:rsidRPr="00E30B24" w:rsidRDefault="00AF77F2" w:rsidP="00FC695C">
            <w:pPr>
              <w:rPr>
                <w:rFonts w:cs="Calibri"/>
                <w:b/>
                <w:bCs/>
                <w:color w:val="FFFFFF"/>
                <w:sz w:val="12"/>
                <w:szCs w:val="12"/>
              </w:rPr>
            </w:pPr>
            <w:r w:rsidRPr="00E30B24">
              <w:rPr>
                <w:rFonts w:cs="Calibri"/>
                <w:b/>
                <w:bCs/>
                <w:color w:val="FFFFFF"/>
                <w:sz w:val="12"/>
                <w:szCs w:val="12"/>
              </w:rPr>
              <w:lastRenderedPageBreak/>
              <w:t>31.12.2018</w:t>
            </w:r>
          </w:p>
        </w:tc>
        <w:tc>
          <w:tcPr>
            <w:tcW w:w="1063" w:type="dxa"/>
            <w:tcBorders>
              <w:top w:val="nil"/>
              <w:left w:val="nil"/>
              <w:bottom w:val="nil"/>
              <w:right w:val="single" w:sz="8" w:space="0" w:color="FFFFFF"/>
            </w:tcBorders>
            <w:shd w:val="clear" w:color="000000" w:fill="0077BD"/>
            <w:vAlign w:val="center"/>
            <w:hideMark/>
          </w:tcPr>
          <w:p w14:paraId="6630FCF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063" w:type="dxa"/>
            <w:tcBorders>
              <w:top w:val="nil"/>
              <w:left w:val="nil"/>
              <w:bottom w:val="nil"/>
              <w:right w:val="single" w:sz="8" w:space="0" w:color="FFFFFF"/>
            </w:tcBorders>
            <w:shd w:val="clear" w:color="000000" w:fill="0077BD"/>
            <w:vAlign w:val="center"/>
            <w:hideMark/>
          </w:tcPr>
          <w:p w14:paraId="00656454"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063" w:type="dxa"/>
            <w:tcBorders>
              <w:top w:val="nil"/>
              <w:left w:val="nil"/>
              <w:bottom w:val="nil"/>
              <w:right w:val="single" w:sz="8" w:space="0" w:color="FFFFFF"/>
            </w:tcBorders>
            <w:shd w:val="clear" w:color="000000" w:fill="0077BD"/>
            <w:vAlign w:val="center"/>
            <w:hideMark/>
          </w:tcPr>
          <w:p w14:paraId="4CC6A0C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063" w:type="dxa"/>
            <w:tcBorders>
              <w:top w:val="nil"/>
              <w:left w:val="nil"/>
              <w:bottom w:val="nil"/>
              <w:right w:val="single" w:sz="8" w:space="0" w:color="FFFFFF"/>
            </w:tcBorders>
            <w:shd w:val="clear" w:color="000000" w:fill="0077BD"/>
            <w:vAlign w:val="center"/>
            <w:hideMark/>
          </w:tcPr>
          <w:p w14:paraId="7B124629"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1 roku </w:t>
            </w:r>
            <w:r w:rsidRPr="00E30B24">
              <w:rPr>
                <w:rFonts w:cs="Calibri"/>
                <w:b/>
                <w:bCs/>
                <w:color w:val="FFFFFF"/>
                <w:sz w:val="12"/>
                <w:szCs w:val="12"/>
              </w:rPr>
              <w:br/>
              <w:t>do 5 lat</w:t>
            </w:r>
          </w:p>
        </w:tc>
        <w:tc>
          <w:tcPr>
            <w:tcW w:w="1063" w:type="dxa"/>
            <w:tcBorders>
              <w:top w:val="nil"/>
              <w:left w:val="nil"/>
              <w:bottom w:val="nil"/>
              <w:right w:val="single" w:sz="8" w:space="0" w:color="FFFFFF"/>
            </w:tcBorders>
            <w:shd w:val="clear" w:color="000000" w:fill="0077BD"/>
            <w:vAlign w:val="center"/>
            <w:hideMark/>
          </w:tcPr>
          <w:p w14:paraId="071A7BA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063" w:type="dxa"/>
            <w:tcBorders>
              <w:top w:val="nil"/>
              <w:left w:val="nil"/>
              <w:bottom w:val="nil"/>
              <w:right w:val="nil"/>
            </w:tcBorders>
            <w:shd w:val="clear" w:color="000000" w:fill="0077BD"/>
            <w:vAlign w:val="center"/>
            <w:hideMark/>
          </w:tcPr>
          <w:p w14:paraId="1E06406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6D20E8" w:rsidRPr="00E30B24" w14:paraId="536D242E" w14:textId="77777777" w:rsidTr="006D20E8">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7A776767" w14:textId="77777777" w:rsidR="00AF77F2" w:rsidRPr="00E30B24" w:rsidRDefault="00AF77F2" w:rsidP="00FC695C">
            <w:pPr>
              <w:rPr>
                <w:rFonts w:cs="Calibri"/>
                <w:bCs/>
                <w:color w:val="000000" w:themeColor="text1"/>
                <w:sz w:val="12"/>
                <w:szCs w:val="12"/>
              </w:rPr>
            </w:pPr>
            <w:r w:rsidRPr="00E30B24">
              <w:rPr>
                <w:rFonts w:cs="Calibri"/>
                <w:bCs/>
                <w:color w:val="000000" w:themeColor="text1"/>
                <w:sz w:val="12"/>
                <w:szCs w:val="12"/>
              </w:rPr>
              <w:t>Kontrakty na przyszłą stopę procentową (FRA)</w:t>
            </w:r>
          </w:p>
        </w:tc>
        <w:tc>
          <w:tcPr>
            <w:tcW w:w="1063" w:type="dxa"/>
            <w:tcBorders>
              <w:top w:val="nil"/>
              <w:left w:val="nil"/>
              <w:bottom w:val="single" w:sz="4" w:space="0" w:color="0077BD"/>
              <w:right w:val="single" w:sz="8" w:space="0" w:color="0077BD"/>
            </w:tcBorders>
            <w:shd w:val="clear" w:color="auto" w:fill="auto"/>
            <w:noWrap/>
            <w:vAlign w:val="center"/>
            <w:hideMark/>
          </w:tcPr>
          <w:p w14:paraId="51C6C318"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31</w:t>
            </w:r>
          </w:p>
        </w:tc>
        <w:tc>
          <w:tcPr>
            <w:tcW w:w="1063" w:type="dxa"/>
            <w:tcBorders>
              <w:top w:val="nil"/>
              <w:left w:val="nil"/>
              <w:bottom w:val="single" w:sz="4" w:space="0" w:color="0077BD"/>
              <w:right w:val="single" w:sz="8" w:space="0" w:color="0077BD"/>
            </w:tcBorders>
            <w:shd w:val="clear" w:color="auto" w:fill="auto"/>
            <w:noWrap/>
            <w:vAlign w:val="center"/>
            <w:hideMark/>
          </w:tcPr>
          <w:p w14:paraId="5137401E"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284</w:t>
            </w:r>
          </w:p>
        </w:tc>
        <w:tc>
          <w:tcPr>
            <w:tcW w:w="1063" w:type="dxa"/>
            <w:tcBorders>
              <w:top w:val="nil"/>
              <w:left w:val="nil"/>
              <w:bottom w:val="single" w:sz="4" w:space="0" w:color="0077BD"/>
              <w:right w:val="single" w:sz="8" w:space="0" w:color="0077BD"/>
            </w:tcBorders>
            <w:shd w:val="clear" w:color="auto" w:fill="auto"/>
            <w:noWrap/>
            <w:vAlign w:val="center"/>
            <w:hideMark/>
          </w:tcPr>
          <w:p w14:paraId="4FA394EA"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2 814</w:t>
            </w:r>
          </w:p>
        </w:tc>
        <w:tc>
          <w:tcPr>
            <w:tcW w:w="1063" w:type="dxa"/>
            <w:tcBorders>
              <w:top w:val="nil"/>
              <w:left w:val="nil"/>
              <w:bottom w:val="single" w:sz="4" w:space="0" w:color="0077BD"/>
              <w:right w:val="single" w:sz="8" w:space="0" w:color="0077BD"/>
            </w:tcBorders>
            <w:shd w:val="clear" w:color="auto" w:fill="auto"/>
            <w:noWrap/>
            <w:vAlign w:val="center"/>
            <w:hideMark/>
          </w:tcPr>
          <w:p w14:paraId="5194C2ED"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700</w:t>
            </w:r>
          </w:p>
        </w:tc>
        <w:tc>
          <w:tcPr>
            <w:tcW w:w="1063" w:type="dxa"/>
            <w:tcBorders>
              <w:top w:val="nil"/>
              <w:left w:val="nil"/>
              <w:bottom w:val="single" w:sz="4" w:space="0" w:color="0077BD"/>
              <w:right w:val="single" w:sz="8" w:space="0" w:color="0077BD"/>
            </w:tcBorders>
            <w:shd w:val="clear" w:color="auto" w:fill="auto"/>
            <w:noWrap/>
            <w:vAlign w:val="center"/>
            <w:hideMark/>
          </w:tcPr>
          <w:p w14:paraId="5306E9D8"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w:t>
            </w:r>
          </w:p>
        </w:tc>
        <w:tc>
          <w:tcPr>
            <w:tcW w:w="1063" w:type="dxa"/>
            <w:tcBorders>
              <w:top w:val="nil"/>
              <w:left w:val="nil"/>
              <w:bottom w:val="single" w:sz="4" w:space="0" w:color="0077BD"/>
              <w:right w:val="nil"/>
            </w:tcBorders>
            <w:shd w:val="clear" w:color="auto" w:fill="auto"/>
            <w:noWrap/>
            <w:vAlign w:val="center"/>
            <w:hideMark/>
          </w:tcPr>
          <w:p w14:paraId="4B45E4F3" w14:textId="77777777" w:rsidR="00AF77F2" w:rsidRPr="00E30B24" w:rsidRDefault="00AF77F2" w:rsidP="00FC695C">
            <w:pPr>
              <w:jc w:val="right"/>
              <w:rPr>
                <w:rFonts w:cs="Calibri"/>
                <w:b/>
                <w:bCs/>
                <w:color w:val="000000" w:themeColor="text1"/>
                <w:sz w:val="12"/>
                <w:szCs w:val="12"/>
              </w:rPr>
            </w:pPr>
            <w:r w:rsidRPr="00E30B24">
              <w:rPr>
                <w:rFonts w:cs="Calibri"/>
                <w:b/>
                <w:bCs/>
                <w:color w:val="000000" w:themeColor="text1"/>
                <w:sz w:val="12"/>
                <w:szCs w:val="12"/>
              </w:rPr>
              <w:t>3 829</w:t>
            </w:r>
          </w:p>
        </w:tc>
      </w:tr>
      <w:tr w:rsidR="006D20E8" w:rsidRPr="00E30B24" w14:paraId="48DAC4BE" w14:textId="77777777" w:rsidTr="006D20E8">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1D11D3C0" w14:textId="77777777" w:rsidR="00AF77F2" w:rsidRPr="00E30B24" w:rsidRDefault="00AF77F2" w:rsidP="00FC695C">
            <w:pPr>
              <w:rPr>
                <w:rFonts w:cs="Calibri"/>
                <w:bCs/>
                <w:color w:val="000000" w:themeColor="text1"/>
                <w:sz w:val="12"/>
                <w:szCs w:val="12"/>
              </w:rPr>
            </w:pPr>
            <w:r w:rsidRPr="00E30B24">
              <w:rPr>
                <w:rFonts w:cs="Calibri"/>
                <w:bCs/>
                <w:color w:val="000000" w:themeColor="text1"/>
                <w:sz w:val="12"/>
                <w:szCs w:val="12"/>
              </w:rPr>
              <w:t>Kontrakty swap na stopę procentową (IRS)</w:t>
            </w:r>
          </w:p>
        </w:tc>
        <w:tc>
          <w:tcPr>
            <w:tcW w:w="1063" w:type="dxa"/>
            <w:tcBorders>
              <w:top w:val="nil"/>
              <w:left w:val="nil"/>
              <w:bottom w:val="single" w:sz="4" w:space="0" w:color="0077BD"/>
              <w:right w:val="single" w:sz="8" w:space="0" w:color="0077BD"/>
            </w:tcBorders>
            <w:shd w:val="clear" w:color="auto" w:fill="auto"/>
            <w:noWrap/>
            <w:vAlign w:val="center"/>
            <w:hideMark/>
          </w:tcPr>
          <w:p w14:paraId="4FF53AD3"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13 853</w:t>
            </w:r>
          </w:p>
        </w:tc>
        <w:tc>
          <w:tcPr>
            <w:tcW w:w="1063" w:type="dxa"/>
            <w:tcBorders>
              <w:top w:val="nil"/>
              <w:left w:val="nil"/>
              <w:bottom w:val="single" w:sz="4" w:space="0" w:color="0077BD"/>
              <w:right w:val="single" w:sz="8" w:space="0" w:color="0077BD"/>
            </w:tcBorders>
            <w:shd w:val="clear" w:color="auto" w:fill="auto"/>
            <w:noWrap/>
            <w:vAlign w:val="center"/>
            <w:hideMark/>
          </w:tcPr>
          <w:p w14:paraId="0DDE94D6"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142 352</w:t>
            </w:r>
          </w:p>
        </w:tc>
        <w:tc>
          <w:tcPr>
            <w:tcW w:w="1063" w:type="dxa"/>
            <w:tcBorders>
              <w:top w:val="nil"/>
              <w:left w:val="nil"/>
              <w:bottom w:val="single" w:sz="4" w:space="0" w:color="0077BD"/>
              <w:right w:val="single" w:sz="8" w:space="0" w:color="0077BD"/>
            </w:tcBorders>
            <w:shd w:val="clear" w:color="auto" w:fill="auto"/>
            <w:noWrap/>
            <w:vAlign w:val="center"/>
            <w:hideMark/>
          </w:tcPr>
          <w:p w14:paraId="2F00839A"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389 687</w:t>
            </w:r>
          </w:p>
        </w:tc>
        <w:tc>
          <w:tcPr>
            <w:tcW w:w="1063" w:type="dxa"/>
            <w:tcBorders>
              <w:top w:val="nil"/>
              <w:left w:val="nil"/>
              <w:bottom w:val="single" w:sz="4" w:space="0" w:color="0077BD"/>
              <w:right w:val="single" w:sz="8" w:space="0" w:color="0077BD"/>
            </w:tcBorders>
            <w:shd w:val="clear" w:color="auto" w:fill="auto"/>
            <w:noWrap/>
            <w:vAlign w:val="center"/>
            <w:hideMark/>
          </w:tcPr>
          <w:p w14:paraId="41C564B7"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1 142 976</w:t>
            </w:r>
          </w:p>
        </w:tc>
        <w:tc>
          <w:tcPr>
            <w:tcW w:w="1063" w:type="dxa"/>
            <w:tcBorders>
              <w:top w:val="nil"/>
              <w:left w:val="nil"/>
              <w:bottom w:val="single" w:sz="4" w:space="0" w:color="0077BD"/>
              <w:right w:val="single" w:sz="8" w:space="0" w:color="0077BD"/>
            </w:tcBorders>
            <w:shd w:val="clear" w:color="auto" w:fill="auto"/>
            <w:noWrap/>
            <w:vAlign w:val="center"/>
            <w:hideMark/>
          </w:tcPr>
          <w:p w14:paraId="4CB59C0B"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77 461</w:t>
            </w:r>
          </w:p>
        </w:tc>
        <w:tc>
          <w:tcPr>
            <w:tcW w:w="1063" w:type="dxa"/>
            <w:tcBorders>
              <w:top w:val="nil"/>
              <w:left w:val="nil"/>
              <w:bottom w:val="single" w:sz="4" w:space="0" w:color="0077BD"/>
              <w:right w:val="nil"/>
            </w:tcBorders>
            <w:shd w:val="clear" w:color="auto" w:fill="auto"/>
            <w:noWrap/>
            <w:vAlign w:val="center"/>
            <w:hideMark/>
          </w:tcPr>
          <w:p w14:paraId="6E302A7C" w14:textId="77777777" w:rsidR="00AF77F2" w:rsidRPr="00E30B24" w:rsidRDefault="00AF77F2" w:rsidP="00FC695C">
            <w:pPr>
              <w:jc w:val="right"/>
              <w:rPr>
                <w:rFonts w:cs="Calibri"/>
                <w:b/>
                <w:bCs/>
                <w:color w:val="000000" w:themeColor="text1"/>
                <w:sz w:val="12"/>
                <w:szCs w:val="12"/>
              </w:rPr>
            </w:pPr>
            <w:r w:rsidRPr="00E30B24">
              <w:rPr>
                <w:rFonts w:cs="Calibri"/>
                <w:b/>
                <w:bCs/>
                <w:color w:val="000000" w:themeColor="text1"/>
                <w:sz w:val="12"/>
                <w:szCs w:val="12"/>
              </w:rPr>
              <w:t>1 766 329</w:t>
            </w:r>
          </w:p>
        </w:tc>
      </w:tr>
      <w:tr w:rsidR="006D20E8" w:rsidRPr="00E30B24" w14:paraId="78E86B9C" w14:textId="77777777" w:rsidTr="006D20E8">
        <w:trPr>
          <w:trHeight w:val="227"/>
        </w:trPr>
        <w:tc>
          <w:tcPr>
            <w:tcW w:w="3261" w:type="dxa"/>
            <w:tcBorders>
              <w:top w:val="nil"/>
              <w:left w:val="nil"/>
              <w:bottom w:val="single" w:sz="4" w:space="0" w:color="0077BD"/>
              <w:right w:val="single" w:sz="8" w:space="0" w:color="0077BD"/>
            </w:tcBorders>
            <w:shd w:val="clear" w:color="auto" w:fill="auto"/>
            <w:noWrap/>
            <w:vAlign w:val="center"/>
            <w:hideMark/>
          </w:tcPr>
          <w:p w14:paraId="0BBA83DE" w14:textId="77777777" w:rsidR="00AF77F2" w:rsidRPr="00E30B24" w:rsidRDefault="00AF77F2" w:rsidP="00FC695C">
            <w:pPr>
              <w:rPr>
                <w:rFonts w:cs="Calibri"/>
                <w:i/>
                <w:color w:val="000000" w:themeColor="text1"/>
                <w:sz w:val="12"/>
                <w:szCs w:val="12"/>
              </w:rPr>
            </w:pPr>
            <w:r w:rsidRPr="00E30B24">
              <w:rPr>
                <w:rFonts w:cs="Calibri"/>
                <w:i/>
                <w:color w:val="000000" w:themeColor="text1"/>
                <w:sz w:val="12"/>
                <w:szCs w:val="12"/>
              </w:rPr>
              <w:t>- Kontrakty IRS zabezpieczające</w:t>
            </w:r>
          </w:p>
        </w:tc>
        <w:tc>
          <w:tcPr>
            <w:tcW w:w="1063" w:type="dxa"/>
            <w:tcBorders>
              <w:top w:val="nil"/>
              <w:left w:val="nil"/>
              <w:bottom w:val="single" w:sz="4" w:space="0" w:color="0077BD"/>
              <w:right w:val="single" w:sz="8" w:space="0" w:color="0077BD"/>
            </w:tcBorders>
            <w:shd w:val="clear" w:color="auto" w:fill="auto"/>
            <w:noWrap/>
            <w:vAlign w:val="center"/>
            <w:hideMark/>
          </w:tcPr>
          <w:p w14:paraId="0D61A322" w14:textId="77777777" w:rsidR="00AF77F2" w:rsidRPr="00E30B24" w:rsidRDefault="00AF77F2" w:rsidP="00FC695C">
            <w:pPr>
              <w:jc w:val="right"/>
              <w:rPr>
                <w:rFonts w:cs="Calibri"/>
                <w:i/>
                <w:color w:val="000000" w:themeColor="text1"/>
                <w:sz w:val="12"/>
                <w:szCs w:val="12"/>
              </w:rPr>
            </w:pPr>
            <w:r w:rsidRPr="00E30B24">
              <w:rPr>
                <w:rFonts w:cs="Calibri"/>
                <w:i/>
                <w:color w:val="000000" w:themeColor="text1"/>
                <w:sz w:val="12"/>
                <w:szCs w:val="12"/>
              </w:rPr>
              <w:t>-</w:t>
            </w:r>
          </w:p>
        </w:tc>
        <w:tc>
          <w:tcPr>
            <w:tcW w:w="1063" w:type="dxa"/>
            <w:tcBorders>
              <w:top w:val="nil"/>
              <w:left w:val="nil"/>
              <w:bottom w:val="single" w:sz="4" w:space="0" w:color="0077BD"/>
              <w:right w:val="single" w:sz="8" w:space="0" w:color="0077BD"/>
            </w:tcBorders>
            <w:shd w:val="clear" w:color="auto" w:fill="auto"/>
            <w:noWrap/>
            <w:vAlign w:val="center"/>
            <w:hideMark/>
          </w:tcPr>
          <w:p w14:paraId="75BC0DC4" w14:textId="77777777" w:rsidR="00AF77F2" w:rsidRPr="00E30B24" w:rsidRDefault="00AF77F2" w:rsidP="00FC695C">
            <w:pPr>
              <w:jc w:val="right"/>
              <w:rPr>
                <w:rFonts w:cs="Calibri"/>
                <w:i/>
                <w:color w:val="000000" w:themeColor="text1"/>
                <w:sz w:val="12"/>
                <w:szCs w:val="12"/>
              </w:rPr>
            </w:pPr>
            <w:r w:rsidRPr="00E30B24">
              <w:rPr>
                <w:rFonts w:cs="Calibri"/>
                <w:i/>
                <w:color w:val="000000" w:themeColor="text1"/>
                <w:sz w:val="12"/>
                <w:szCs w:val="12"/>
              </w:rPr>
              <w:t>361</w:t>
            </w:r>
          </w:p>
        </w:tc>
        <w:tc>
          <w:tcPr>
            <w:tcW w:w="1063" w:type="dxa"/>
            <w:tcBorders>
              <w:top w:val="nil"/>
              <w:left w:val="nil"/>
              <w:bottom w:val="single" w:sz="4" w:space="0" w:color="0077BD"/>
              <w:right w:val="single" w:sz="8" w:space="0" w:color="0077BD"/>
            </w:tcBorders>
            <w:shd w:val="clear" w:color="auto" w:fill="auto"/>
            <w:noWrap/>
            <w:vAlign w:val="center"/>
            <w:hideMark/>
          </w:tcPr>
          <w:p w14:paraId="4A68FDCE" w14:textId="77777777" w:rsidR="00AF77F2" w:rsidRPr="00E30B24" w:rsidRDefault="00AF77F2" w:rsidP="00FC695C">
            <w:pPr>
              <w:jc w:val="right"/>
              <w:rPr>
                <w:rFonts w:cs="Calibri"/>
                <w:i/>
                <w:color w:val="000000" w:themeColor="text1"/>
                <w:sz w:val="12"/>
                <w:szCs w:val="12"/>
              </w:rPr>
            </w:pPr>
            <w:r w:rsidRPr="00E30B24">
              <w:rPr>
                <w:rFonts w:cs="Calibri"/>
                <w:i/>
                <w:color w:val="000000" w:themeColor="text1"/>
                <w:sz w:val="12"/>
                <w:szCs w:val="12"/>
              </w:rPr>
              <w:t>3 576</w:t>
            </w:r>
          </w:p>
        </w:tc>
        <w:tc>
          <w:tcPr>
            <w:tcW w:w="1063" w:type="dxa"/>
            <w:tcBorders>
              <w:top w:val="nil"/>
              <w:left w:val="nil"/>
              <w:bottom w:val="single" w:sz="4" w:space="0" w:color="0077BD"/>
              <w:right w:val="single" w:sz="8" w:space="0" w:color="0077BD"/>
            </w:tcBorders>
            <w:shd w:val="clear" w:color="auto" w:fill="auto"/>
            <w:noWrap/>
            <w:vAlign w:val="center"/>
            <w:hideMark/>
          </w:tcPr>
          <w:p w14:paraId="38DDAD5D" w14:textId="77777777" w:rsidR="00AF77F2" w:rsidRPr="00E30B24" w:rsidRDefault="00AF77F2" w:rsidP="00FC695C">
            <w:pPr>
              <w:jc w:val="right"/>
              <w:rPr>
                <w:rFonts w:cs="Calibri"/>
                <w:i/>
                <w:color w:val="000000" w:themeColor="text1"/>
                <w:sz w:val="12"/>
                <w:szCs w:val="12"/>
              </w:rPr>
            </w:pPr>
            <w:r w:rsidRPr="00E30B24">
              <w:rPr>
                <w:rFonts w:cs="Calibri"/>
                <w:i/>
                <w:color w:val="000000" w:themeColor="text1"/>
                <w:sz w:val="12"/>
                <w:szCs w:val="12"/>
              </w:rPr>
              <w:t>20 206</w:t>
            </w:r>
          </w:p>
        </w:tc>
        <w:tc>
          <w:tcPr>
            <w:tcW w:w="1063" w:type="dxa"/>
            <w:tcBorders>
              <w:top w:val="nil"/>
              <w:left w:val="nil"/>
              <w:bottom w:val="single" w:sz="4" w:space="0" w:color="0077BD"/>
              <w:right w:val="single" w:sz="8" w:space="0" w:color="0077BD"/>
            </w:tcBorders>
            <w:shd w:val="clear" w:color="auto" w:fill="auto"/>
            <w:noWrap/>
            <w:vAlign w:val="center"/>
            <w:hideMark/>
          </w:tcPr>
          <w:p w14:paraId="2B50A759" w14:textId="77777777" w:rsidR="00AF77F2" w:rsidRPr="00E30B24" w:rsidRDefault="00AF77F2" w:rsidP="00FC695C">
            <w:pPr>
              <w:jc w:val="right"/>
              <w:rPr>
                <w:rFonts w:cs="Calibri"/>
                <w:i/>
                <w:color w:val="000000" w:themeColor="text1"/>
                <w:sz w:val="12"/>
                <w:szCs w:val="12"/>
              </w:rPr>
            </w:pPr>
            <w:r w:rsidRPr="00E30B24">
              <w:rPr>
                <w:rFonts w:cs="Calibri"/>
                <w:i/>
                <w:color w:val="000000" w:themeColor="text1"/>
                <w:sz w:val="12"/>
                <w:szCs w:val="12"/>
              </w:rPr>
              <w:t>19 908</w:t>
            </w:r>
          </w:p>
        </w:tc>
        <w:tc>
          <w:tcPr>
            <w:tcW w:w="1063" w:type="dxa"/>
            <w:tcBorders>
              <w:top w:val="nil"/>
              <w:left w:val="nil"/>
              <w:bottom w:val="single" w:sz="4" w:space="0" w:color="0077BD"/>
              <w:right w:val="nil"/>
            </w:tcBorders>
            <w:shd w:val="clear" w:color="auto" w:fill="auto"/>
            <w:noWrap/>
            <w:vAlign w:val="center"/>
            <w:hideMark/>
          </w:tcPr>
          <w:p w14:paraId="5030BDA6" w14:textId="77777777" w:rsidR="00AF77F2" w:rsidRPr="00E30B24" w:rsidRDefault="00AF77F2" w:rsidP="00FC695C">
            <w:pPr>
              <w:jc w:val="right"/>
              <w:rPr>
                <w:rFonts w:cs="Calibri"/>
                <w:b/>
                <w:bCs/>
                <w:i/>
                <w:color w:val="000000" w:themeColor="text1"/>
                <w:sz w:val="12"/>
                <w:szCs w:val="12"/>
              </w:rPr>
            </w:pPr>
            <w:r w:rsidRPr="00E30B24">
              <w:rPr>
                <w:rFonts w:cs="Calibri"/>
                <w:b/>
                <w:bCs/>
                <w:i/>
                <w:color w:val="000000" w:themeColor="text1"/>
                <w:sz w:val="12"/>
                <w:szCs w:val="12"/>
              </w:rPr>
              <w:t>44 051</w:t>
            </w:r>
          </w:p>
        </w:tc>
      </w:tr>
      <w:tr w:rsidR="006D20E8" w:rsidRPr="00E30B24" w14:paraId="3ACB8601" w14:textId="77777777" w:rsidTr="006D20E8">
        <w:trPr>
          <w:trHeight w:val="340"/>
        </w:trPr>
        <w:tc>
          <w:tcPr>
            <w:tcW w:w="3261" w:type="dxa"/>
            <w:tcBorders>
              <w:top w:val="nil"/>
              <w:left w:val="nil"/>
              <w:bottom w:val="single" w:sz="4" w:space="0" w:color="0077BD"/>
              <w:right w:val="single" w:sz="8" w:space="0" w:color="0077BD"/>
            </w:tcBorders>
            <w:shd w:val="clear" w:color="auto" w:fill="auto"/>
            <w:vAlign w:val="center"/>
            <w:hideMark/>
          </w:tcPr>
          <w:p w14:paraId="07752581" w14:textId="77777777" w:rsidR="00AF77F2" w:rsidRPr="00E30B24" w:rsidRDefault="00AF77F2" w:rsidP="00FC695C">
            <w:pPr>
              <w:rPr>
                <w:rFonts w:cs="Calibri"/>
                <w:bCs/>
                <w:color w:val="000000" w:themeColor="text1"/>
                <w:sz w:val="12"/>
                <w:szCs w:val="12"/>
              </w:rPr>
            </w:pPr>
            <w:r w:rsidRPr="00E30B24">
              <w:rPr>
                <w:rFonts w:cs="Calibri"/>
                <w:bCs/>
                <w:color w:val="000000" w:themeColor="text1"/>
                <w:sz w:val="12"/>
                <w:szCs w:val="12"/>
              </w:rPr>
              <w:t>Kontrakty swap na stopę procentową w walucie obcej (CIRS)</w:t>
            </w:r>
          </w:p>
        </w:tc>
        <w:tc>
          <w:tcPr>
            <w:tcW w:w="1063" w:type="dxa"/>
            <w:tcBorders>
              <w:top w:val="nil"/>
              <w:left w:val="nil"/>
              <w:bottom w:val="single" w:sz="4" w:space="0" w:color="0077BD"/>
              <w:right w:val="single" w:sz="8" w:space="0" w:color="0077BD"/>
            </w:tcBorders>
            <w:shd w:val="clear" w:color="auto" w:fill="auto"/>
            <w:noWrap/>
            <w:vAlign w:val="center"/>
            <w:hideMark/>
          </w:tcPr>
          <w:p w14:paraId="342C73A5"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7 652</w:t>
            </w:r>
          </w:p>
        </w:tc>
        <w:tc>
          <w:tcPr>
            <w:tcW w:w="1063" w:type="dxa"/>
            <w:tcBorders>
              <w:top w:val="nil"/>
              <w:left w:val="nil"/>
              <w:bottom w:val="single" w:sz="4" w:space="0" w:color="0077BD"/>
              <w:right w:val="single" w:sz="8" w:space="0" w:color="0077BD"/>
            </w:tcBorders>
            <w:shd w:val="clear" w:color="auto" w:fill="auto"/>
            <w:noWrap/>
            <w:vAlign w:val="center"/>
            <w:hideMark/>
          </w:tcPr>
          <w:p w14:paraId="285D5A1C"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(15 228)</w:t>
            </w:r>
          </w:p>
        </w:tc>
        <w:tc>
          <w:tcPr>
            <w:tcW w:w="1063" w:type="dxa"/>
            <w:tcBorders>
              <w:top w:val="nil"/>
              <w:left w:val="nil"/>
              <w:bottom w:val="single" w:sz="4" w:space="0" w:color="0077BD"/>
              <w:right w:val="single" w:sz="8" w:space="0" w:color="0077BD"/>
            </w:tcBorders>
            <w:shd w:val="clear" w:color="auto" w:fill="auto"/>
            <w:noWrap/>
            <w:vAlign w:val="center"/>
            <w:hideMark/>
          </w:tcPr>
          <w:p w14:paraId="20569D7F"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(41 909)</w:t>
            </w:r>
          </w:p>
        </w:tc>
        <w:tc>
          <w:tcPr>
            <w:tcW w:w="1063" w:type="dxa"/>
            <w:tcBorders>
              <w:top w:val="nil"/>
              <w:left w:val="nil"/>
              <w:bottom w:val="single" w:sz="4" w:space="0" w:color="0077BD"/>
              <w:right w:val="single" w:sz="8" w:space="0" w:color="0077BD"/>
            </w:tcBorders>
            <w:shd w:val="clear" w:color="auto" w:fill="auto"/>
            <w:noWrap/>
            <w:vAlign w:val="center"/>
            <w:hideMark/>
          </w:tcPr>
          <w:p w14:paraId="35E4C2E4"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(49 193)</w:t>
            </w:r>
          </w:p>
        </w:tc>
        <w:tc>
          <w:tcPr>
            <w:tcW w:w="1063" w:type="dxa"/>
            <w:tcBorders>
              <w:top w:val="nil"/>
              <w:left w:val="nil"/>
              <w:bottom w:val="single" w:sz="4" w:space="0" w:color="0077BD"/>
              <w:right w:val="single" w:sz="8" w:space="0" w:color="0077BD"/>
            </w:tcBorders>
            <w:shd w:val="clear" w:color="auto" w:fill="auto"/>
            <w:noWrap/>
            <w:vAlign w:val="center"/>
            <w:hideMark/>
          </w:tcPr>
          <w:p w14:paraId="24156FAF" w14:textId="77777777" w:rsidR="00AF77F2" w:rsidRPr="00E30B24" w:rsidRDefault="00AF77F2" w:rsidP="00FC695C">
            <w:pPr>
              <w:jc w:val="right"/>
              <w:rPr>
                <w:rFonts w:cs="Calibri"/>
                <w:color w:val="000000" w:themeColor="text1"/>
                <w:sz w:val="12"/>
                <w:szCs w:val="12"/>
              </w:rPr>
            </w:pPr>
            <w:r w:rsidRPr="00E30B24">
              <w:rPr>
                <w:rFonts w:cs="Calibri"/>
                <w:color w:val="000000" w:themeColor="text1"/>
                <w:sz w:val="12"/>
                <w:szCs w:val="12"/>
              </w:rPr>
              <w:t>(6 424)</w:t>
            </w:r>
          </w:p>
        </w:tc>
        <w:tc>
          <w:tcPr>
            <w:tcW w:w="1063" w:type="dxa"/>
            <w:tcBorders>
              <w:top w:val="nil"/>
              <w:left w:val="nil"/>
              <w:bottom w:val="single" w:sz="4" w:space="0" w:color="0077BD"/>
              <w:right w:val="nil"/>
            </w:tcBorders>
            <w:shd w:val="clear" w:color="auto" w:fill="auto"/>
            <w:noWrap/>
            <w:vAlign w:val="center"/>
            <w:hideMark/>
          </w:tcPr>
          <w:p w14:paraId="656A51A8" w14:textId="77777777" w:rsidR="00AF77F2" w:rsidRPr="00E30B24" w:rsidRDefault="00AF77F2" w:rsidP="00FC695C">
            <w:pPr>
              <w:jc w:val="right"/>
              <w:rPr>
                <w:rFonts w:cs="Calibri"/>
                <w:b/>
                <w:bCs/>
                <w:color w:val="000000" w:themeColor="text1"/>
                <w:sz w:val="12"/>
                <w:szCs w:val="12"/>
              </w:rPr>
            </w:pPr>
            <w:r w:rsidRPr="00E30B24">
              <w:rPr>
                <w:rFonts w:cs="Calibri"/>
                <w:b/>
                <w:bCs/>
                <w:color w:val="000000" w:themeColor="text1"/>
                <w:sz w:val="12"/>
                <w:szCs w:val="12"/>
              </w:rPr>
              <w:t>(105 102)</w:t>
            </w:r>
          </w:p>
        </w:tc>
      </w:tr>
      <w:tr w:rsidR="00320C1D" w:rsidRPr="00E30B24" w14:paraId="02538501" w14:textId="77777777" w:rsidTr="00320C1D">
        <w:trPr>
          <w:trHeight w:val="227"/>
        </w:trPr>
        <w:tc>
          <w:tcPr>
            <w:tcW w:w="3261" w:type="dxa"/>
            <w:tcBorders>
              <w:top w:val="nil"/>
              <w:left w:val="nil"/>
              <w:bottom w:val="single" w:sz="4" w:space="0" w:color="0077BD"/>
              <w:right w:val="single" w:sz="8" w:space="0" w:color="0077BD"/>
            </w:tcBorders>
            <w:shd w:val="clear" w:color="auto" w:fill="auto"/>
            <w:vAlign w:val="center"/>
            <w:hideMark/>
          </w:tcPr>
          <w:p w14:paraId="2CE0A463" w14:textId="77777777" w:rsidR="00320C1D" w:rsidRPr="00E30B24" w:rsidRDefault="00320C1D" w:rsidP="00320C1D">
            <w:pPr>
              <w:rPr>
                <w:rFonts w:cs="Calibri"/>
                <w:bCs/>
                <w:color w:val="000000" w:themeColor="text1"/>
                <w:sz w:val="12"/>
                <w:szCs w:val="12"/>
              </w:rPr>
            </w:pPr>
            <w:r w:rsidRPr="00E30B24">
              <w:rPr>
                <w:rFonts w:cs="Calibri"/>
                <w:bCs/>
                <w:color w:val="000000" w:themeColor="text1"/>
                <w:sz w:val="12"/>
                <w:szCs w:val="12"/>
              </w:rPr>
              <w:t>Opcje</w:t>
            </w:r>
          </w:p>
        </w:tc>
        <w:tc>
          <w:tcPr>
            <w:tcW w:w="1063" w:type="dxa"/>
            <w:tcBorders>
              <w:top w:val="single" w:sz="4" w:space="0" w:color="0077BD"/>
              <w:left w:val="single" w:sz="8" w:space="0" w:color="0077BD"/>
              <w:bottom w:val="single" w:sz="4" w:space="0" w:color="0077BD"/>
              <w:right w:val="single" w:sz="8" w:space="0" w:color="0077BD"/>
            </w:tcBorders>
            <w:shd w:val="clear" w:color="auto" w:fill="auto"/>
            <w:noWrap/>
            <w:vAlign w:val="center"/>
            <w:hideMark/>
          </w:tcPr>
          <w:p w14:paraId="410F4381" w14:textId="57C98088"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3 696</w:t>
            </w:r>
          </w:p>
        </w:tc>
        <w:tc>
          <w:tcPr>
            <w:tcW w:w="1063" w:type="dxa"/>
            <w:tcBorders>
              <w:top w:val="single" w:sz="4" w:space="0" w:color="0077BD"/>
              <w:left w:val="nil"/>
              <w:bottom w:val="single" w:sz="4" w:space="0" w:color="0077BD"/>
              <w:right w:val="single" w:sz="8" w:space="0" w:color="0077BD"/>
            </w:tcBorders>
            <w:shd w:val="clear" w:color="auto" w:fill="auto"/>
            <w:noWrap/>
            <w:vAlign w:val="center"/>
            <w:hideMark/>
          </w:tcPr>
          <w:p w14:paraId="019D8807" w14:textId="14A33CF1"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3 211</w:t>
            </w:r>
          </w:p>
        </w:tc>
        <w:tc>
          <w:tcPr>
            <w:tcW w:w="1063" w:type="dxa"/>
            <w:tcBorders>
              <w:top w:val="single" w:sz="4" w:space="0" w:color="0077BD"/>
              <w:left w:val="nil"/>
              <w:bottom w:val="single" w:sz="4" w:space="0" w:color="0077BD"/>
              <w:right w:val="single" w:sz="8" w:space="0" w:color="0077BD"/>
            </w:tcBorders>
            <w:shd w:val="clear" w:color="auto" w:fill="auto"/>
            <w:noWrap/>
            <w:vAlign w:val="center"/>
            <w:hideMark/>
          </w:tcPr>
          <w:p w14:paraId="1378380E" w14:textId="38CF89FD"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16 929</w:t>
            </w:r>
          </w:p>
        </w:tc>
        <w:tc>
          <w:tcPr>
            <w:tcW w:w="1063" w:type="dxa"/>
            <w:tcBorders>
              <w:top w:val="single" w:sz="4" w:space="0" w:color="0077BD"/>
              <w:left w:val="nil"/>
              <w:bottom w:val="single" w:sz="4" w:space="0" w:color="0077BD"/>
              <w:right w:val="single" w:sz="8" w:space="0" w:color="0077BD"/>
            </w:tcBorders>
            <w:shd w:val="clear" w:color="auto" w:fill="auto"/>
            <w:noWrap/>
            <w:vAlign w:val="center"/>
            <w:hideMark/>
          </w:tcPr>
          <w:p w14:paraId="060B3DD1" w14:textId="0DFA9291"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7 024</w:t>
            </w:r>
          </w:p>
        </w:tc>
        <w:tc>
          <w:tcPr>
            <w:tcW w:w="1063" w:type="dxa"/>
            <w:tcBorders>
              <w:top w:val="single" w:sz="4" w:space="0" w:color="0077BD"/>
              <w:left w:val="nil"/>
              <w:bottom w:val="single" w:sz="4" w:space="0" w:color="0077BD"/>
              <w:right w:val="single" w:sz="8" w:space="0" w:color="0077BD"/>
            </w:tcBorders>
            <w:shd w:val="clear" w:color="auto" w:fill="auto"/>
            <w:noWrap/>
            <w:vAlign w:val="center"/>
            <w:hideMark/>
          </w:tcPr>
          <w:p w14:paraId="784F39E6" w14:textId="77C88956"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(50)</w:t>
            </w:r>
          </w:p>
        </w:tc>
        <w:tc>
          <w:tcPr>
            <w:tcW w:w="1063" w:type="dxa"/>
            <w:tcBorders>
              <w:top w:val="single" w:sz="4" w:space="0" w:color="0077BD"/>
              <w:left w:val="nil"/>
              <w:bottom w:val="single" w:sz="4" w:space="0" w:color="0077BD"/>
              <w:right w:val="nil"/>
            </w:tcBorders>
            <w:shd w:val="clear" w:color="auto" w:fill="auto"/>
            <w:noWrap/>
            <w:vAlign w:val="center"/>
            <w:hideMark/>
          </w:tcPr>
          <w:p w14:paraId="126D333E" w14:textId="1D11E0AE"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30 810</w:t>
            </w:r>
          </w:p>
        </w:tc>
      </w:tr>
      <w:tr w:rsidR="00320C1D" w:rsidRPr="00E30B24" w14:paraId="6C6BA5B3" w14:textId="77777777" w:rsidTr="00320C1D">
        <w:trPr>
          <w:trHeight w:val="227"/>
        </w:trPr>
        <w:tc>
          <w:tcPr>
            <w:tcW w:w="3261" w:type="dxa"/>
            <w:tcBorders>
              <w:top w:val="nil"/>
              <w:left w:val="nil"/>
              <w:bottom w:val="single" w:sz="8" w:space="0" w:color="0077BD"/>
              <w:right w:val="single" w:sz="8" w:space="0" w:color="0077BD"/>
            </w:tcBorders>
            <w:shd w:val="clear" w:color="auto" w:fill="auto"/>
            <w:vAlign w:val="center"/>
            <w:hideMark/>
          </w:tcPr>
          <w:p w14:paraId="592222AC" w14:textId="77777777" w:rsidR="00320C1D" w:rsidRPr="00E30B24" w:rsidRDefault="00320C1D" w:rsidP="00320C1D">
            <w:pPr>
              <w:rPr>
                <w:rFonts w:cs="Calibri"/>
                <w:bCs/>
                <w:color w:val="000000" w:themeColor="text1"/>
                <w:sz w:val="12"/>
                <w:szCs w:val="12"/>
              </w:rPr>
            </w:pPr>
            <w:r w:rsidRPr="00E30B24">
              <w:rPr>
                <w:rFonts w:cs="Calibri"/>
                <w:bCs/>
                <w:color w:val="000000" w:themeColor="text1"/>
                <w:sz w:val="12"/>
                <w:szCs w:val="12"/>
              </w:rPr>
              <w:t>Inne</w:t>
            </w:r>
          </w:p>
        </w:tc>
        <w:tc>
          <w:tcPr>
            <w:tcW w:w="1063" w:type="dxa"/>
            <w:tcBorders>
              <w:top w:val="nil"/>
              <w:left w:val="single" w:sz="8" w:space="0" w:color="0077BD"/>
              <w:bottom w:val="single" w:sz="8" w:space="0" w:color="0077BD"/>
              <w:right w:val="single" w:sz="8" w:space="0" w:color="0077BD"/>
            </w:tcBorders>
            <w:shd w:val="clear" w:color="auto" w:fill="auto"/>
            <w:noWrap/>
            <w:vAlign w:val="center"/>
            <w:hideMark/>
          </w:tcPr>
          <w:p w14:paraId="0D98F9E1" w14:textId="5FD6166D"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5 226</w:t>
            </w:r>
          </w:p>
        </w:tc>
        <w:tc>
          <w:tcPr>
            <w:tcW w:w="1063" w:type="dxa"/>
            <w:tcBorders>
              <w:top w:val="nil"/>
              <w:left w:val="nil"/>
              <w:bottom w:val="single" w:sz="8" w:space="0" w:color="0077BD"/>
              <w:right w:val="single" w:sz="8" w:space="0" w:color="0077BD"/>
            </w:tcBorders>
            <w:shd w:val="clear" w:color="auto" w:fill="auto"/>
            <w:noWrap/>
            <w:vAlign w:val="center"/>
            <w:hideMark/>
          </w:tcPr>
          <w:p w14:paraId="40B6EB9A" w14:textId="031ABB70"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3 735</w:t>
            </w:r>
          </w:p>
        </w:tc>
        <w:tc>
          <w:tcPr>
            <w:tcW w:w="1063" w:type="dxa"/>
            <w:tcBorders>
              <w:top w:val="nil"/>
              <w:left w:val="nil"/>
              <w:bottom w:val="single" w:sz="8" w:space="0" w:color="0077BD"/>
              <w:right w:val="single" w:sz="8" w:space="0" w:color="0077BD"/>
            </w:tcBorders>
            <w:shd w:val="clear" w:color="auto" w:fill="auto"/>
            <w:noWrap/>
            <w:vAlign w:val="center"/>
            <w:hideMark/>
          </w:tcPr>
          <w:p w14:paraId="44795BFF" w14:textId="06E6944E"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15 765</w:t>
            </w:r>
          </w:p>
        </w:tc>
        <w:tc>
          <w:tcPr>
            <w:tcW w:w="1063" w:type="dxa"/>
            <w:tcBorders>
              <w:top w:val="nil"/>
              <w:left w:val="nil"/>
              <w:bottom w:val="single" w:sz="8" w:space="0" w:color="0077BD"/>
              <w:right w:val="single" w:sz="8" w:space="0" w:color="0077BD"/>
            </w:tcBorders>
            <w:shd w:val="clear" w:color="auto" w:fill="auto"/>
            <w:noWrap/>
            <w:vAlign w:val="center"/>
            <w:hideMark/>
          </w:tcPr>
          <w:p w14:paraId="7ECB126F" w14:textId="257817AF"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18 833</w:t>
            </w:r>
          </w:p>
        </w:tc>
        <w:tc>
          <w:tcPr>
            <w:tcW w:w="1063" w:type="dxa"/>
            <w:tcBorders>
              <w:top w:val="nil"/>
              <w:left w:val="nil"/>
              <w:bottom w:val="single" w:sz="8" w:space="0" w:color="0077BD"/>
              <w:right w:val="single" w:sz="8" w:space="0" w:color="0077BD"/>
            </w:tcBorders>
            <w:shd w:val="clear" w:color="auto" w:fill="auto"/>
            <w:noWrap/>
            <w:vAlign w:val="center"/>
            <w:hideMark/>
          </w:tcPr>
          <w:p w14:paraId="4F8F337F" w14:textId="7E049C9D" w:rsidR="00320C1D" w:rsidRPr="00E30B24" w:rsidRDefault="00320C1D" w:rsidP="00320C1D">
            <w:pPr>
              <w:jc w:val="right"/>
              <w:rPr>
                <w:rFonts w:cs="Calibri"/>
                <w:color w:val="000000" w:themeColor="text1"/>
                <w:sz w:val="12"/>
                <w:szCs w:val="12"/>
              </w:rPr>
            </w:pPr>
            <w:r w:rsidRPr="00E30B24">
              <w:rPr>
                <w:rFonts w:cs="Calibri"/>
                <w:color w:val="000000" w:themeColor="text1"/>
                <w:sz w:val="12"/>
                <w:szCs w:val="12"/>
              </w:rPr>
              <w:t>-</w:t>
            </w:r>
          </w:p>
        </w:tc>
        <w:tc>
          <w:tcPr>
            <w:tcW w:w="1063" w:type="dxa"/>
            <w:tcBorders>
              <w:top w:val="nil"/>
              <w:left w:val="nil"/>
              <w:bottom w:val="single" w:sz="8" w:space="0" w:color="0077BD"/>
              <w:right w:val="nil"/>
            </w:tcBorders>
            <w:shd w:val="clear" w:color="auto" w:fill="auto"/>
            <w:noWrap/>
            <w:vAlign w:val="center"/>
            <w:hideMark/>
          </w:tcPr>
          <w:p w14:paraId="43B75CB0" w14:textId="1F8304AB"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43 559</w:t>
            </w:r>
          </w:p>
        </w:tc>
      </w:tr>
      <w:tr w:rsidR="00320C1D" w:rsidRPr="00E30B24" w14:paraId="77238A2A" w14:textId="77777777" w:rsidTr="00B52BF0">
        <w:trPr>
          <w:trHeight w:val="340"/>
        </w:trPr>
        <w:tc>
          <w:tcPr>
            <w:tcW w:w="3261" w:type="dxa"/>
            <w:tcBorders>
              <w:top w:val="nil"/>
              <w:left w:val="nil"/>
              <w:bottom w:val="single" w:sz="8" w:space="0" w:color="0077BD"/>
              <w:right w:val="single" w:sz="8" w:space="0" w:color="0077BD"/>
            </w:tcBorders>
            <w:shd w:val="clear" w:color="auto" w:fill="auto"/>
            <w:vAlign w:val="center"/>
            <w:hideMark/>
          </w:tcPr>
          <w:p w14:paraId="78C0B517" w14:textId="77777777" w:rsidR="00320C1D" w:rsidRPr="00E30B24" w:rsidRDefault="00320C1D" w:rsidP="00320C1D">
            <w:pPr>
              <w:rPr>
                <w:rFonts w:cs="Calibri"/>
                <w:b/>
                <w:bCs/>
                <w:color w:val="000000" w:themeColor="text1"/>
                <w:sz w:val="12"/>
                <w:szCs w:val="12"/>
              </w:rPr>
            </w:pPr>
            <w:r w:rsidRPr="00E30B24">
              <w:rPr>
                <w:rFonts w:cs="Calibri"/>
                <w:b/>
                <w:bCs/>
                <w:color w:val="000000" w:themeColor="text1"/>
                <w:sz w:val="12"/>
                <w:szCs w:val="12"/>
              </w:rPr>
              <w:t>Pochodne instrumenty finansowe, które będą rozliczone na bazie netto razem</w:t>
            </w:r>
          </w:p>
        </w:tc>
        <w:tc>
          <w:tcPr>
            <w:tcW w:w="1063" w:type="dxa"/>
            <w:tcBorders>
              <w:top w:val="nil"/>
              <w:left w:val="single" w:sz="8" w:space="0" w:color="0077BD"/>
              <w:bottom w:val="single" w:sz="8" w:space="0" w:color="0077BD"/>
              <w:right w:val="single" w:sz="8" w:space="0" w:color="0077BD"/>
            </w:tcBorders>
            <w:shd w:val="clear" w:color="auto" w:fill="auto"/>
            <w:noWrap/>
            <w:vAlign w:val="center"/>
            <w:hideMark/>
          </w:tcPr>
          <w:p w14:paraId="13F0374F" w14:textId="1FBD8185"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30 458</w:t>
            </w:r>
          </w:p>
        </w:tc>
        <w:tc>
          <w:tcPr>
            <w:tcW w:w="1063" w:type="dxa"/>
            <w:tcBorders>
              <w:top w:val="nil"/>
              <w:left w:val="nil"/>
              <w:bottom w:val="single" w:sz="8" w:space="0" w:color="0077BD"/>
              <w:right w:val="single" w:sz="8" w:space="0" w:color="0077BD"/>
            </w:tcBorders>
            <w:shd w:val="clear" w:color="auto" w:fill="auto"/>
            <w:noWrap/>
            <w:vAlign w:val="center"/>
            <w:hideMark/>
          </w:tcPr>
          <w:p w14:paraId="0186803C" w14:textId="61D067D8"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134 354</w:t>
            </w:r>
          </w:p>
        </w:tc>
        <w:tc>
          <w:tcPr>
            <w:tcW w:w="1063" w:type="dxa"/>
            <w:tcBorders>
              <w:top w:val="nil"/>
              <w:left w:val="nil"/>
              <w:bottom w:val="single" w:sz="8" w:space="0" w:color="0077BD"/>
              <w:right w:val="single" w:sz="8" w:space="0" w:color="0077BD"/>
            </w:tcBorders>
            <w:shd w:val="clear" w:color="auto" w:fill="auto"/>
            <w:noWrap/>
            <w:vAlign w:val="center"/>
            <w:hideMark/>
          </w:tcPr>
          <w:p w14:paraId="1FF2298F" w14:textId="35E8D830"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383 286</w:t>
            </w:r>
          </w:p>
        </w:tc>
        <w:tc>
          <w:tcPr>
            <w:tcW w:w="1063" w:type="dxa"/>
            <w:tcBorders>
              <w:top w:val="nil"/>
              <w:left w:val="nil"/>
              <w:bottom w:val="single" w:sz="8" w:space="0" w:color="0077BD"/>
              <w:right w:val="single" w:sz="8" w:space="0" w:color="0077BD"/>
            </w:tcBorders>
            <w:shd w:val="clear" w:color="auto" w:fill="auto"/>
            <w:noWrap/>
            <w:vAlign w:val="center"/>
            <w:hideMark/>
          </w:tcPr>
          <w:p w14:paraId="2831096D" w14:textId="4B121195"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1 120 340</w:t>
            </w:r>
          </w:p>
        </w:tc>
        <w:tc>
          <w:tcPr>
            <w:tcW w:w="1063" w:type="dxa"/>
            <w:tcBorders>
              <w:top w:val="nil"/>
              <w:left w:val="nil"/>
              <w:bottom w:val="single" w:sz="8" w:space="0" w:color="0077BD"/>
              <w:right w:val="single" w:sz="8" w:space="0" w:color="0077BD"/>
            </w:tcBorders>
            <w:shd w:val="clear" w:color="auto" w:fill="auto"/>
            <w:noWrap/>
            <w:vAlign w:val="center"/>
            <w:hideMark/>
          </w:tcPr>
          <w:p w14:paraId="7C435B98" w14:textId="255859CB"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70 987</w:t>
            </w:r>
          </w:p>
        </w:tc>
        <w:tc>
          <w:tcPr>
            <w:tcW w:w="1063" w:type="dxa"/>
            <w:tcBorders>
              <w:top w:val="nil"/>
              <w:left w:val="nil"/>
              <w:bottom w:val="single" w:sz="8" w:space="0" w:color="0077BD"/>
              <w:right w:val="nil"/>
            </w:tcBorders>
            <w:shd w:val="clear" w:color="auto" w:fill="auto"/>
            <w:noWrap/>
            <w:vAlign w:val="center"/>
            <w:hideMark/>
          </w:tcPr>
          <w:p w14:paraId="3F1DD93B" w14:textId="590C9F96" w:rsidR="00320C1D" w:rsidRPr="00E30B24" w:rsidRDefault="00320C1D" w:rsidP="00320C1D">
            <w:pPr>
              <w:jc w:val="right"/>
              <w:rPr>
                <w:rFonts w:cs="Calibri"/>
                <w:b/>
                <w:bCs/>
                <w:color w:val="000000" w:themeColor="text1"/>
                <w:sz w:val="12"/>
                <w:szCs w:val="12"/>
              </w:rPr>
            </w:pPr>
            <w:r w:rsidRPr="00E30B24">
              <w:rPr>
                <w:rFonts w:cs="Calibri"/>
                <w:b/>
                <w:bCs/>
                <w:color w:val="000000" w:themeColor="text1"/>
                <w:sz w:val="12"/>
                <w:szCs w:val="12"/>
              </w:rPr>
              <w:t>1 739 425</w:t>
            </w:r>
          </w:p>
        </w:tc>
      </w:tr>
    </w:tbl>
    <w:p w14:paraId="29787661" w14:textId="639AD984" w:rsidR="00AF77F2" w:rsidRPr="0068723D" w:rsidRDefault="00AF77F2" w:rsidP="00AF77F2">
      <w:pPr>
        <w:spacing w:before="120"/>
        <w:jc w:val="both"/>
        <w:rPr>
          <w:rFonts w:cs="Tahoma"/>
          <w:color w:val="000000" w:themeColor="text1"/>
          <w:sz w:val="18"/>
          <w:szCs w:val="18"/>
          <w:u w:val="single"/>
        </w:rPr>
      </w:pPr>
      <w:r w:rsidRPr="0068723D">
        <w:rPr>
          <w:rFonts w:cs="Tahoma"/>
          <w:color w:val="000000" w:themeColor="text1"/>
          <w:sz w:val="18"/>
          <w:szCs w:val="18"/>
          <w:u w:val="single"/>
        </w:rPr>
        <w:t>Pochodne instrumenty finansowe rozliczane w kwotach brutto</w:t>
      </w:r>
    </w:p>
    <w:p w14:paraId="0D622A4D" w14:textId="77777777" w:rsidR="00AF77F2" w:rsidRPr="0068723D" w:rsidRDefault="00AF77F2" w:rsidP="00AF77F2">
      <w:pPr>
        <w:suppressAutoHyphens/>
        <w:spacing w:before="120"/>
        <w:jc w:val="both"/>
        <w:rPr>
          <w:rFonts w:cs="Tahoma"/>
          <w:color w:val="000000" w:themeColor="text1"/>
          <w:sz w:val="18"/>
          <w:szCs w:val="18"/>
        </w:rPr>
      </w:pPr>
      <w:r w:rsidRPr="0068723D">
        <w:rPr>
          <w:rFonts w:cs="Tahoma"/>
          <w:color w:val="000000" w:themeColor="text1"/>
          <w:sz w:val="18"/>
          <w:szCs w:val="18"/>
        </w:rPr>
        <w:t>Do pochodnych instrumentów finansowych rozliczanych przez Grupę na bazie brutto należą pochodne walutowe instrumenty finansowe: walutowe kontrakty forward oraz walutowe kontrakty swap.</w:t>
      </w:r>
    </w:p>
    <w:p w14:paraId="09FD9542" w14:textId="65177D34" w:rsidR="00AF77F2" w:rsidRPr="0068723D" w:rsidRDefault="00AF77F2" w:rsidP="00AF77F2">
      <w:pPr>
        <w:spacing w:before="120"/>
        <w:jc w:val="both"/>
        <w:rPr>
          <w:rFonts w:cs="Tahoma"/>
          <w:color w:val="000000" w:themeColor="text1"/>
          <w:sz w:val="18"/>
          <w:szCs w:val="18"/>
        </w:rPr>
      </w:pPr>
      <w:r w:rsidRPr="0068723D">
        <w:rPr>
          <w:rFonts w:cs="Tahoma"/>
          <w:color w:val="000000" w:themeColor="text1"/>
          <w:sz w:val="18"/>
          <w:szCs w:val="18"/>
        </w:rPr>
        <w:t>W poniższej tabeli przedstawiono zobowiązania/należności z tytułu instrumentów pochodnych Grupy, które</w:t>
      </w:r>
      <w:r w:rsidR="00BD144C">
        <w:rPr>
          <w:rFonts w:cs="Tahoma"/>
          <w:color w:val="000000" w:themeColor="text1"/>
          <w:sz w:val="18"/>
          <w:szCs w:val="18"/>
        </w:rPr>
        <w:t> </w:t>
      </w:r>
      <w:r w:rsidRPr="0068723D">
        <w:rPr>
          <w:rFonts w:cs="Tahoma"/>
          <w:color w:val="000000" w:themeColor="text1"/>
          <w:sz w:val="18"/>
          <w:szCs w:val="18"/>
        </w:rPr>
        <w:t>będą rozliczone na bazie brutto, pogrupowane w odpowiednich pozostałych umownych terminach zapadalności na datę bilansową. Kwoty denominowane w walutach obcych zostały przeliczone na złote według średniego kursu NBP z dnia bilansowego.</w:t>
      </w:r>
    </w:p>
    <w:p w14:paraId="6053AAD0" w14:textId="77777777" w:rsidR="00AF77F2" w:rsidRPr="000D2E92" w:rsidRDefault="00AF77F2" w:rsidP="00AF77F2">
      <w:pPr>
        <w:jc w:val="both"/>
        <w:rPr>
          <w:rFonts w:cs="Tahoma"/>
          <w:sz w:val="18"/>
          <w:szCs w:val="18"/>
        </w:rPr>
      </w:pPr>
    </w:p>
    <w:tbl>
      <w:tblPr>
        <w:tblW w:w="9639" w:type="dxa"/>
        <w:tblCellMar>
          <w:left w:w="28" w:type="dxa"/>
          <w:right w:w="28" w:type="dxa"/>
        </w:tblCellMar>
        <w:tblLook w:val="04A0" w:firstRow="1" w:lastRow="0" w:firstColumn="1" w:lastColumn="0" w:noHBand="0" w:noVBand="1"/>
      </w:tblPr>
      <w:tblGrid>
        <w:gridCol w:w="3350"/>
        <w:gridCol w:w="1049"/>
        <w:gridCol w:w="1048"/>
        <w:gridCol w:w="1048"/>
        <w:gridCol w:w="1048"/>
        <w:gridCol w:w="1048"/>
        <w:gridCol w:w="1048"/>
      </w:tblGrid>
      <w:tr w:rsidR="00AF77F2" w:rsidRPr="00E30B24" w14:paraId="009C462D" w14:textId="77777777" w:rsidTr="00983C83">
        <w:trPr>
          <w:trHeight w:val="454"/>
        </w:trPr>
        <w:tc>
          <w:tcPr>
            <w:tcW w:w="3350" w:type="dxa"/>
            <w:tcBorders>
              <w:top w:val="nil"/>
              <w:left w:val="nil"/>
              <w:bottom w:val="nil"/>
              <w:right w:val="single" w:sz="8" w:space="0" w:color="FFFFFF"/>
            </w:tcBorders>
            <w:shd w:val="clear" w:color="000000" w:fill="0077BD"/>
            <w:vAlign w:val="center"/>
            <w:hideMark/>
          </w:tcPr>
          <w:p w14:paraId="04CCE35B" w14:textId="68938E59" w:rsidR="00AF77F2" w:rsidRPr="00E30B24" w:rsidRDefault="00AF77F2" w:rsidP="00FC695C">
            <w:pPr>
              <w:rPr>
                <w:rFonts w:cs="Calibri"/>
                <w:b/>
                <w:bCs/>
                <w:color w:val="FFFFFF"/>
                <w:sz w:val="12"/>
                <w:szCs w:val="12"/>
              </w:rPr>
            </w:pPr>
            <w:r w:rsidRPr="00E30B24">
              <w:rPr>
                <w:rFonts w:cs="Calibri"/>
                <w:b/>
                <w:bCs/>
                <w:color w:val="FFFFFF"/>
                <w:sz w:val="12"/>
                <w:szCs w:val="12"/>
              </w:rPr>
              <w:t>31.12.2019</w:t>
            </w:r>
          </w:p>
        </w:tc>
        <w:tc>
          <w:tcPr>
            <w:tcW w:w="1049" w:type="dxa"/>
            <w:tcBorders>
              <w:top w:val="nil"/>
              <w:left w:val="nil"/>
              <w:bottom w:val="nil"/>
              <w:right w:val="single" w:sz="8" w:space="0" w:color="FFFFFF"/>
            </w:tcBorders>
            <w:shd w:val="clear" w:color="000000" w:fill="0077BD"/>
            <w:vAlign w:val="center"/>
            <w:hideMark/>
          </w:tcPr>
          <w:p w14:paraId="433ABBDA"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048" w:type="dxa"/>
            <w:tcBorders>
              <w:top w:val="nil"/>
              <w:left w:val="nil"/>
              <w:bottom w:val="nil"/>
              <w:right w:val="single" w:sz="8" w:space="0" w:color="FFFFFF"/>
            </w:tcBorders>
            <w:shd w:val="clear" w:color="000000" w:fill="0077BD"/>
            <w:vAlign w:val="center"/>
            <w:hideMark/>
          </w:tcPr>
          <w:p w14:paraId="3F4570F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048" w:type="dxa"/>
            <w:tcBorders>
              <w:top w:val="nil"/>
              <w:left w:val="nil"/>
              <w:bottom w:val="nil"/>
              <w:right w:val="single" w:sz="8" w:space="0" w:color="FFFFFF"/>
            </w:tcBorders>
            <w:shd w:val="clear" w:color="000000" w:fill="0077BD"/>
            <w:vAlign w:val="center"/>
            <w:hideMark/>
          </w:tcPr>
          <w:p w14:paraId="660B743E"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048" w:type="dxa"/>
            <w:tcBorders>
              <w:top w:val="nil"/>
              <w:left w:val="nil"/>
              <w:bottom w:val="nil"/>
              <w:right w:val="single" w:sz="8" w:space="0" w:color="FFFFFF"/>
            </w:tcBorders>
            <w:shd w:val="clear" w:color="000000" w:fill="0077BD"/>
            <w:vAlign w:val="center"/>
            <w:hideMark/>
          </w:tcPr>
          <w:p w14:paraId="6077576C"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1 roku </w:t>
            </w:r>
            <w:r w:rsidRPr="00E30B24">
              <w:rPr>
                <w:rFonts w:cs="Calibri"/>
                <w:b/>
                <w:bCs/>
                <w:color w:val="FFFFFF"/>
                <w:sz w:val="12"/>
                <w:szCs w:val="12"/>
              </w:rPr>
              <w:br/>
              <w:t>do 5 lat</w:t>
            </w:r>
          </w:p>
        </w:tc>
        <w:tc>
          <w:tcPr>
            <w:tcW w:w="1048" w:type="dxa"/>
            <w:tcBorders>
              <w:top w:val="nil"/>
              <w:left w:val="nil"/>
              <w:bottom w:val="nil"/>
              <w:right w:val="single" w:sz="8" w:space="0" w:color="FFFFFF"/>
            </w:tcBorders>
            <w:shd w:val="clear" w:color="000000" w:fill="0077BD"/>
            <w:vAlign w:val="center"/>
            <w:hideMark/>
          </w:tcPr>
          <w:p w14:paraId="5D61AF7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048" w:type="dxa"/>
            <w:tcBorders>
              <w:top w:val="nil"/>
              <w:left w:val="nil"/>
              <w:bottom w:val="nil"/>
              <w:right w:val="nil"/>
            </w:tcBorders>
            <w:shd w:val="clear" w:color="000000" w:fill="0077BD"/>
            <w:vAlign w:val="center"/>
            <w:hideMark/>
          </w:tcPr>
          <w:p w14:paraId="07952AEC"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D54765" w:rsidRPr="00E30B24" w14:paraId="260F75D3" w14:textId="77777777" w:rsidTr="00983C83">
        <w:trPr>
          <w:trHeight w:val="227"/>
        </w:trPr>
        <w:tc>
          <w:tcPr>
            <w:tcW w:w="3350" w:type="dxa"/>
            <w:tcBorders>
              <w:top w:val="single" w:sz="8" w:space="0" w:color="0077BD"/>
              <w:left w:val="nil"/>
              <w:bottom w:val="single" w:sz="8" w:space="0" w:color="0077BD"/>
              <w:right w:val="single" w:sz="8" w:space="0" w:color="0077BD"/>
            </w:tcBorders>
            <w:shd w:val="clear" w:color="auto" w:fill="auto"/>
            <w:vAlign w:val="center"/>
            <w:hideMark/>
          </w:tcPr>
          <w:p w14:paraId="063CE6CC" w14:textId="77777777" w:rsidR="00AF77F2" w:rsidRPr="00E30B24" w:rsidRDefault="00AF77F2" w:rsidP="00FC695C">
            <w:pPr>
              <w:rPr>
                <w:rFonts w:cs="Calibri"/>
                <w:b/>
                <w:bCs/>
                <w:color w:val="000000" w:themeColor="text1"/>
                <w:sz w:val="12"/>
                <w:szCs w:val="12"/>
              </w:rPr>
            </w:pPr>
            <w:r w:rsidRPr="00E30B24">
              <w:rPr>
                <w:rFonts w:cs="Calibri"/>
                <w:b/>
                <w:bCs/>
                <w:color w:val="000000" w:themeColor="text1"/>
                <w:sz w:val="12"/>
                <w:szCs w:val="12"/>
              </w:rPr>
              <w:t>Pochodne instrumenty walutowe:</w:t>
            </w:r>
          </w:p>
        </w:tc>
        <w:tc>
          <w:tcPr>
            <w:tcW w:w="1049" w:type="dxa"/>
            <w:tcBorders>
              <w:top w:val="single" w:sz="8" w:space="0" w:color="0077BD"/>
              <w:left w:val="nil"/>
              <w:bottom w:val="single" w:sz="8" w:space="0" w:color="0077BD"/>
              <w:right w:val="single" w:sz="8" w:space="0" w:color="0077BD"/>
            </w:tcBorders>
            <w:shd w:val="clear" w:color="auto" w:fill="auto"/>
            <w:noWrap/>
            <w:vAlign w:val="center"/>
          </w:tcPr>
          <w:p w14:paraId="696EC74C" w14:textId="6BD13A39" w:rsidR="00AF77F2" w:rsidRPr="00E30B24" w:rsidRDefault="00AF77F2" w:rsidP="00D54765">
            <w:pPr>
              <w:jc w:val="right"/>
              <w:rPr>
                <w:rFonts w:cs="Calibri"/>
                <w:b/>
                <w:bCs/>
                <w:color w:val="000000" w:themeColor="text1"/>
                <w:sz w:val="12"/>
                <w:szCs w:val="12"/>
              </w:rPr>
            </w:pP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59E093DE" w14:textId="7A641046" w:rsidR="00AF77F2" w:rsidRPr="00E30B24" w:rsidRDefault="00AF77F2" w:rsidP="00D54765">
            <w:pPr>
              <w:jc w:val="right"/>
              <w:rPr>
                <w:rFonts w:cs="Calibri"/>
                <w:b/>
                <w:bCs/>
                <w:color w:val="000000" w:themeColor="text1"/>
                <w:sz w:val="12"/>
                <w:szCs w:val="12"/>
              </w:rPr>
            </w:pP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1795A3C3" w14:textId="16529D2A" w:rsidR="00AF77F2" w:rsidRPr="00E30B24" w:rsidRDefault="00AF77F2" w:rsidP="00D54765">
            <w:pPr>
              <w:jc w:val="right"/>
              <w:rPr>
                <w:rFonts w:cs="Calibri"/>
                <w:b/>
                <w:bCs/>
                <w:color w:val="000000" w:themeColor="text1"/>
                <w:sz w:val="12"/>
                <w:szCs w:val="12"/>
              </w:rPr>
            </w:pP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62B829D5" w14:textId="72D2A6B7" w:rsidR="00AF77F2" w:rsidRPr="00E30B24" w:rsidRDefault="00AF77F2" w:rsidP="00D54765">
            <w:pPr>
              <w:jc w:val="right"/>
              <w:rPr>
                <w:rFonts w:cs="Calibri"/>
                <w:b/>
                <w:bCs/>
                <w:color w:val="000000" w:themeColor="text1"/>
                <w:sz w:val="12"/>
                <w:szCs w:val="12"/>
              </w:rPr>
            </w:pP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4E29C0D9" w14:textId="213B1649" w:rsidR="00AF77F2" w:rsidRPr="00E30B24" w:rsidRDefault="00AF77F2" w:rsidP="00D54765">
            <w:pPr>
              <w:jc w:val="right"/>
              <w:rPr>
                <w:rFonts w:cs="Calibri"/>
                <w:b/>
                <w:bCs/>
                <w:color w:val="000000" w:themeColor="text1"/>
                <w:sz w:val="12"/>
                <w:szCs w:val="12"/>
              </w:rPr>
            </w:pPr>
          </w:p>
        </w:tc>
        <w:tc>
          <w:tcPr>
            <w:tcW w:w="1048" w:type="dxa"/>
            <w:tcBorders>
              <w:top w:val="single" w:sz="8" w:space="0" w:color="0077BD"/>
              <w:left w:val="nil"/>
              <w:bottom w:val="single" w:sz="8" w:space="0" w:color="0077BD"/>
              <w:right w:val="nil"/>
            </w:tcBorders>
            <w:shd w:val="clear" w:color="auto" w:fill="auto"/>
            <w:noWrap/>
            <w:vAlign w:val="center"/>
          </w:tcPr>
          <w:p w14:paraId="32D810F6" w14:textId="36EC45B6" w:rsidR="00AF77F2" w:rsidRPr="00E30B24" w:rsidRDefault="00AF77F2" w:rsidP="00D54765">
            <w:pPr>
              <w:jc w:val="right"/>
              <w:rPr>
                <w:rFonts w:cs="Calibri"/>
                <w:b/>
                <w:bCs/>
                <w:color w:val="000000" w:themeColor="text1"/>
                <w:sz w:val="12"/>
                <w:szCs w:val="12"/>
              </w:rPr>
            </w:pPr>
          </w:p>
        </w:tc>
      </w:tr>
      <w:tr w:rsidR="00983C83" w:rsidRPr="00E30B24" w14:paraId="502043A9" w14:textId="77777777" w:rsidTr="00983C83">
        <w:trPr>
          <w:trHeight w:val="227"/>
        </w:trPr>
        <w:tc>
          <w:tcPr>
            <w:tcW w:w="3350" w:type="dxa"/>
            <w:tcBorders>
              <w:top w:val="nil"/>
              <w:left w:val="nil"/>
              <w:bottom w:val="single" w:sz="8" w:space="0" w:color="0077BD"/>
              <w:right w:val="single" w:sz="8" w:space="0" w:color="0077BD"/>
            </w:tcBorders>
            <w:shd w:val="clear" w:color="auto" w:fill="auto"/>
            <w:vAlign w:val="center"/>
            <w:hideMark/>
          </w:tcPr>
          <w:p w14:paraId="3A27EBEE" w14:textId="77777777" w:rsidR="00983C83" w:rsidRPr="00E30B24" w:rsidRDefault="00983C83" w:rsidP="00983C83">
            <w:pPr>
              <w:rPr>
                <w:rFonts w:cs="Calibri"/>
                <w:bCs/>
                <w:color w:val="000000" w:themeColor="text1"/>
                <w:sz w:val="12"/>
                <w:szCs w:val="12"/>
              </w:rPr>
            </w:pPr>
            <w:r w:rsidRPr="00E30B24">
              <w:rPr>
                <w:rFonts w:cs="Calibri"/>
                <w:bCs/>
                <w:color w:val="000000" w:themeColor="text1"/>
                <w:sz w:val="12"/>
                <w:szCs w:val="12"/>
              </w:rPr>
              <w:t xml:space="preserve"> - wypływy</w:t>
            </w:r>
          </w:p>
        </w:tc>
        <w:tc>
          <w:tcPr>
            <w:tcW w:w="104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892DFDB" w14:textId="603CEE4D"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13 637 448</w:t>
            </w: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25A29898" w14:textId="1C8EDE63"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4 902 487</w:t>
            </w: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69C4D65C" w14:textId="2FF62A59"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5 672 219</w:t>
            </w: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3F606AC7" w14:textId="11C35C85"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3 916 331</w:t>
            </w:r>
          </w:p>
        </w:tc>
        <w:tc>
          <w:tcPr>
            <w:tcW w:w="1048" w:type="dxa"/>
            <w:tcBorders>
              <w:top w:val="single" w:sz="8" w:space="0" w:color="0077BD"/>
              <w:left w:val="nil"/>
              <w:bottom w:val="single" w:sz="8" w:space="0" w:color="0077BD"/>
              <w:right w:val="single" w:sz="8" w:space="0" w:color="0077BD"/>
            </w:tcBorders>
            <w:shd w:val="clear" w:color="auto" w:fill="auto"/>
            <w:noWrap/>
            <w:vAlign w:val="center"/>
          </w:tcPr>
          <w:p w14:paraId="70ED2896" w14:textId="0EC11909"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1 304 587</w:t>
            </w:r>
          </w:p>
        </w:tc>
        <w:tc>
          <w:tcPr>
            <w:tcW w:w="1048" w:type="dxa"/>
            <w:tcBorders>
              <w:top w:val="single" w:sz="8" w:space="0" w:color="0077BD"/>
              <w:left w:val="nil"/>
              <w:bottom w:val="single" w:sz="8" w:space="0" w:color="0077BD"/>
              <w:right w:val="nil"/>
            </w:tcBorders>
            <w:shd w:val="clear" w:color="auto" w:fill="auto"/>
            <w:noWrap/>
            <w:vAlign w:val="center"/>
          </w:tcPr>
          <w:p w14:paraId="553AE998" w14:textId="20EA2305" w:rsidR="00983C83" w:rsidRPr="00E30B24" w:rsidRDefault="00983C83" w:rsidP="00983C83">
            <w:pPr>
              <w:jc w:val="right"/>
              <w:rPr>
                <w:rFonts w:cs="Calibri"/>
                <w:bCs/>
                <w:color w:val="000000" w:themeColor="text1"/>
                <w:sz w:val="12"/>
                <w:szCs w:val="12"/>
              </w:rPr>
            </w:pPr>
            <w:r w:rsidRPr="00E30B24">
              <w:rPr>
                <w:rFonts w:cs="Calibri"/>
                <w:b/>
                <w:bCs/>
                <w:color w:val="000000" w:themeColor="text1"/>
                <w:sz w:val="12"/>
                <w:szCs w:val="12"/>
              </w:rPr>
              <w:t>29 433 072</w:t>
            </w:r>
          </w:p>
        </w:tc>
      </w:tr>
      <w:tr w:rsidR="00983C83" w:rsidRPr="00E30B24" w14:paraId="242E79C9" w14:textId="77777777" w:rsidTr="00983C83">
        <w:trPr>
          <w:trHeight w:val="227"/>
        </w:trPr>
        <w:tc>
          <w:tcPr>
            <w:tcW w:w="3350" w:type="dxa"/>
            <w:tcBorders>
              <w:top w:val="nil"/>
              <w:left w:val="nil"/>
              <w:bottom w:val="single" w:sz="8" w:space="0" w:color="0077BD"/>
              <w:right w:val="single" w:sz="8" w:space="0" w:color="0077BD"/>
            </w:tcBorders>
            <w:shd w:val="clear" w:color="auto" w:fill="auto"/>
            <w:vAlign w:val="center"/>
            <w:hideMark/>
          </w:tcPr>
          <w:p w14:paraId="00D08343" w14:textId="77777777" w:rsidR="00983C83" w:rsidRPr="00E30B24" w:rsidRDefault="00983C83" w:rsidP="00983C83">
            <w:pPr>
              <w:rPr>
                <w:rFonts w:cs="Calibri"/>
                <w:bCs/>
                <w:color w:val="000000" w:themeColor="text1"/>
                <w:sz w:val="12"/>
                <w:szCs w:val="12"/>
              </w:rPr>
            </w:pPr>
            <w:r w:rsidRPr="00E30B24">
              <w:rPr>
                <w:rFonts w:cs="Calibri"/>
                <w:bCs/>
                <w:color w:val="000000" w:themeColor="text1"/>
                <w:sz w:val="12"/>
                <w:szCs w:val="12"/>
              </w:rPr>
              <w:t xml:space="preserve"> - wpływy</w:t>
            </w:r>
          </w:p>
        </w:tc>
        <w:tc>
          <w:tcPr>
            <w:tcW w:w="1049" w:type="dxa"/>
            <w:tcBorders>
              <w:top w:val="nil"/>
              <w:left w:val="single" w:sz="8" w:space="0" w:color="0077BD"/>
              <w:bottom w:val="single" w:sz="8" w:space="0" w:color="0077BD"/>
              <w:right w:val="single" w:sz="8" w:space="0" w:color="0077BD"/>
            </w:tcBorders>
            <w:shd w:val="clear" w:color="auto" w:fill="auto"/>
            <w:noWrap/>
            <w:vAlign w:val="center"/>
          </w:tcPr>
          <w:p w14:paraId="5A486526" w14:textId="514E4BDC"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13 620 463</w:t>
            </w:r>
          </w:p>
        </w:tc>
        <w:tc>
          <w:tcPr>
            <w:tcW w:w="1048" w:type="dxa"/>
            <w:tcBorders>
              <w:top w:val="nil"/>
              <w:left w:val="nil"/>
              <w:bottom w:val="single" w:sz="8" w:space="0" w:color="0077BD"/>
              <w:right w:val="single" w:sz="8" w:space="0" w:color="0077BD"/>
            </w:tcBorders>
            <w:shd w:val="clear" w:color="auto" w:fill="auto"/>
            <w:noWrap/>
            <w:vAlign w:val="center"/>
          </w:tcPr>
          <w:p w14:paraId="265D4B68" w14:textId="43C116FB"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4 886 803</w:t>
            </w:r>
          </w:p>
        </w:tc>
        <w:tc>
          <w:tcPr>
            <w:tcW w:w="1048" w:type="dxa"/>
            <w:tcBorders>
              <w:top w:val="nil"/>
              <w:left w:val="nil"/>
              <w:bottom w:val="single" w:sz="8" w:space="0" w:color="0077BD"/>
              <w:right w:val="single" w:sz="8" w:space="0" w:color="0077BD"/>
            </w:tcBorders>
            <w:shd w:val="clear" w:color="auto" w:fill="auto"/>
            <w:noWrap/>
            <w:vAlign w:val="center"/>
          </w:tcPr>
          <w:p w14:paraId="6422A999" w14:textId="619B6FC7"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5 636 831</w:t>
            </w:r>
          </w:p>
        </w:tc>
        <w:tc>
          <w:tcPr>
            <w:tcW w:w="1048" w:type="dxa"/>
            <w:tcBorders>
              <w:top w:val="nil"/>
              <w:left w:val="nil"/>
              <w:bottom w:val="single" w:sz="8" w:space="0" w:color="0077BD"/>
              <w:right w:val="single" w:sz="8" w:space="0" w:color="0077BD"/>
            </w:tcBorders>
            <w:shd w:val="clear" w:color="auto" w:fill="auto"/>
            <w:noWrap/>
            <w:vAlign w:val="center"/>
          </w:tcPr>
          <w:p w14:paraId="20D1441A" w14:textId="231C01E8"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3 714 444</w:t>
            </w:r>
          </w:p>
        </w:tc>
        <w:tc>
          <w:tcPr>
            <w:tcW w:w="1048" w:type="dxa"/>
            <w:tcBorders>
              <w:top w:val="nil"/>
              <w:left w:val="nil"/>
              <w:bottom w:val="single" w:sz="8" w:space="0" w:color="0077BD"/>
              <w:right w:val="single" w:sz="8" w:space="0" w:color="0077BD"/>
            </w:tcBorders>
            <w:shd w:val="clear" w:color="auto" w:fill="auto"/>
            <w:noWrap/>
            <w:vAlign w:val="center"/>
          </w:tcPr>
          <w:p w14:paraId="172E540B" w14:textId="0481E83E" w:rsidR="00983C83" w:rsidRPr="00E30B24" w:rsidRDefault="00983C83" w:rsidP="00983C83">
            <w:pPr>
              <w:jc w:val="right"/>
              <w:rPr>
                <w:rFonts w:cs="Calibri"/>
                <w:bCs/>
                <w:color w:val="000000" w:themeColor="text1"/>
                <w:sz w:val="12"/>
                <w:szCs w:val="12"/>
              </w:rPr>
            </w:pPr>
            <w:r w:rsidRPr="00E30B24">
              <w:rPr>
                <w:rFonts w:cs="Calibri"/>
                <w:bCs/>
                <w:color w:val="000000" w:themeColor="text1"/>
                <w:sz w:val="12"/>
                <w:szCs w:val="12"/>
              </w:rPr>
              <w:t>1 280 639</w:t>
            </w:r>
          </w:p>
        </w:tc>
        <w:tc>
          <w:tcPr>
            <w:tcW w:w="1048" w:type="dxa"/>
            <w:tcBorders>
              <w:top w:val="nil"/>
              <w:left w:val="nil"/>
              <w:bottom w:val="single" w:sz="8" w:space="0" w:color="0077BD"/>
              <w:right w:val="nil"/>
            </w:tcBorders>
            <w:shd w:val="clear" w:color="auto" w:fill="auto"/>
            <w:noWrap/>
            <w:vAlign w:val="center"/>
          </w:tcPr>
          <w:p w14:paraId="675ADF1E" w14:textId="06B74687" w:rsidR="00983C83" w:rsidRPr="00E30B24" w:rsidRDefault="00983C83" w:rsidP="00983C83">
            <w:pPr>
              <w:jc w:val="right"/>
              <w:rPr>
                <w:rFonts w:cs="Calibri"/>
                <w:bCs/>
                <w:color w:val="000000" w:themeColor="text1"/>
                <w:sz w:val="12"/>
                <w:szCs w:val="12"/>
              </w:rPr>
            </w:pPr>
            <w:r w:rsidRPr="00E30B24">
              <w:rPr>
                <w:rFonts w:cs="Calibri"/>
                <w:b/>
                <w:bCs/>
                <w:color w:val="000000" w:themeColor="text1"/>
                <w:sz w:val="12"/>
                <w:szCs w:val="12"/>
              </w:rPr>
              <w:t>29 139 180</w:t>
            </w:r>
          </w:p>
        </w:tc>
      </w:tr>
    </w:tbl>
    <w:p w14:paraId="2602DF79" w14:textId="77777777" w:rsidR="00AF77F2" w:rsidRDefault="00AF77F2" w:rsidP="00AF77F2">
      <w:pPr>
        <w:jc w:val="both"/>
        <w:rPr>
          <w:rFonts w:cs="Tahoma"/>
          <w:color w:val="201C17"/>
          <w:sz w:val="18"/>
          <w:szCs w:val="18"/>
        </w:rPr>
      </w:pPr>
    </w:p>
    <w:tbl>
      <w:tblPr>
        <w:tblW w:w="9639" w:type="dxa"/>
        <w:tblCellMar>
          <w:left w:w="28" w:type="dxa"/>
          <w:right w:w="28" w:type="dxa"/>
        </w:tblCellMar>
        <w:tblLook w:val="04A0" w:firstRow="1" w:lastRow="0" w:firstColumn="1" w:lastColumn="0" w:noHBand="0" w:noVBand="1"/>
      </w:tblPr>
      <w:tblGrid>
        <w:gridCol w:w="3350"/>
        <w:gridCol w:w="1049"/>
        <w:gridCol w:w="1048"/>
        <w:gridCol w:w="1048"/>
        <w:gridCol w:w="1048"/>
        <w:gridCol w:w="1048"/>
        <w:gridCol w:w="1048"/>
      </w:tblGrid>
      <w:tr w:rsidR="00AF77F2" w:rsidRPr="00E30B24" w14:paraId="5E668278" w14:textId="77777777" w:rsidTr="006D20E8">
        <w:trPr>
          <w:trHeight w:val="454"/>
        </w:trPr>
        <w:tc>
          <w:tcPr>
            <w:tcW w:w="3261" w:type="dxa"/>
            <w:tcBorders>
              <w:top w:val="nil"/>
              <w:left w:val="nil"/>
              <w:bottom w:val="nil"/>
              <w:right w:val="single" w:sz="8" w:space="0" w:color="FFFFFF"/>
            </w:tcBorders>
            <w:shd w:val="clear" w:color="000000" w:fill="0077BD"/>
            <w:vAlign w:val="center"/>
            <w:hideMark/>
          </w:tcPr>
          <w:p w14:paraId="5743FB6C" w14:textId="28E33CD8" w:rsidR="00AF77F2" w:rsidRPr="00E30B24" w:rsidRDefault="00AF77F2" w:rsidP="00FC695C">
            <w:pPr>
              <w:rPr>
                <w:rFonts w:cs="Calibri"/>
                <w:b/>
                <w:bCs/>
                <w:color w:val="FFFFFF"/>
                <w:sz w:val="12"/>
                <w:szCs w:val="12"/>
              </w:rPr>
            </w:pPr>
            <w:r w:rsidRPr="00E30B24">
              <w:rPr>
                <w:rFonts w:cs="Calibri"/>
                <w:b/>
                <w:bCs/>
                <w:color w:val="FFFFFF"/>
                <w:sz w:val="12"/>
                <w:szCs w:val="12"/>
              </w:rPr>
              <w:t>31.12.2018</w:t>
            </w:r>
          </w:p>
        </w:tc>
        <w:tc>
          <w:tcPr>
            <w:tcW w:w="1021" w:type="dxa"/>
            <w:tcBorders>
              <w:top w:val="nil"/>
              <w:left w:val="nil"/>
              <w:bottom w:val="nil"/>
              <w:right w:val="single" w:sz="8" w:space="0" w:color="FFFFFF"/>
            </w:tcBorders>
            <w:shd w:val="clear" w:color="000000" w:fill="0077BD"/>
            <w:vAlign w:val="center"/>
            <w:hideMark/>
          </w:tcPr>
          <w:p w14:paraId="66114F99"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do 1 miesiąca</w:t>
            </w:r>
          </w:p>
        </w:tc>
        <w:tc>
          <w:tcPr>
            <w:tcW w:w="1021" w:type="dxa"/>
            <w:tcBorders>
              <w:top w:val="nil"/>
              <w:left w:val="nil"/>
              <w:bottom w:val="nil"/>
              <w:right w:val="single" w:sz="8" w:space="0" w:color="FFFFFF"/>
            </w:tcBorders>
            <w:shd w:val="clear" w:color="000000" w:fill="0077BD"/>
            <w:vAlign w:val="center"/>
            <w:hideMark/>
          </w:tcPr>
          <w:p w14:paraId="412799F7"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od 1 do 3 miesięcy</w:t>
            </w:r>
          </w:p>
        </w:tc>
        <w:tc>
          <w:tcPr>
            <w:tcW w:w="1021" w:type="dxa"/>
            <w:tcBorders>
              <w:top w:val="nil"/>
              <w:left w:val="nil"/>
              <w:bottom w:val="nil"/>
              <w:right w:val="single" w:sz="8" w:space="0" w:color="FFFFFF"/>
            </w:tcBorders>
            <w:shd w:val="clear" w:color="000000" w:fill="0077BD"/>
            <w:vAlign w:val="center"/>
            <w:hideMark/>
          </w:tcPr>
          <w:p w14:paraId="274A7C76"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3 miesięcy </w:t>
            </w:r>
            <w:r w:rsidRPr="00E30B24">
              <w:rPr>
                <w:rFonts w:cs="Calibri"/>
                <w:b/>
                <w:bCs/>
                <w:color w:val="FFFFFF"/>
                <w:sz w:val="12"/>
                <w:szCs w:val="12"/>
              </w:rPr>
              <w:br/>
              <w:t>do 1 roku</w:t>
            </w:r>
          </w:p>
        </w:tc>
        <w:tc>
          <w:tcPr>
            <w:tcW w:w="1021" w:type="dxa"/>
            <w:tcBorders>
              <w:top w:val="nil"/>
              <w:left w:val="nil"/>
              <w:bottom w:val="nil"/>
              <w:right w:val="single" w:sz="8" w:space="0" w:color="FFFFFF"/>
            </w:tcBorders>
            <w:shd w:val="clear" w:color="000000" w:fill="0077BD"/>
            <w:vAlign w:val="center"/>
            <w:hideMark/>
          </w:tcPr>
          <w:p w14:paraId="6F958BA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 xml:space="preserve">od 1 roku </w:t>
            </w:r>
            <w:r w:rsidRPr="00E30B24">
              <w:rPr>
                <w:rFonts w:cs="Calibri"/>
                <w:b/>
                <w:bCs/>
                <w:color w:val="FFFFFF"/>
                <w:sz w:val="12"/>
                <w:szCs w:val="12"/>
              </w:rPr>
              <w:br/>
              <w:t>do 5 lat</w:t>
            </w:r>
          </w:p>
        </w:tc>
        <w:tc>
          <w:tcPr>
            <w:tcW w:w="1021" w:type="dxa"/>
            <w:tcBorders>
              <w:top w:val="nil"/>
              <w:left w:val="nil"/>
              <w:bottom w:val="nil"/>
              <w:right w:val="single" w:sz="8" w:space="0" w:color="FFFFFF"/>
            </w:tcBorders>
            <w:shd w:val="clear" w:color="000000" w:fill="0077BD"/>
            <w:vAlign w:val="center"/>
            <w:hideMark/>
          </w:tcPr>
          <w:p w14:paraId="571AE513"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powyżej 5 lat</w:t>
            </w:r>
          </w:p>
        </w:tc>
        <w:tc>
          <w:tcPr>
            <w:tcW w:w="1021" w:type="dxa"/>
            <w:tcBorders>
              <w:top w:val="nil"/>
              <w:left w:val="nil"/>
              <w:bottom w:val="nil"/>
              <w:right w:val="nil"/>
            </w:tcBorders>
            <w:shd w:val="clear" w:color="000000" w:fill="0077BD"/>
            <w:vAlign w:val="center"/>
            <w:hideMark/>
          </w:tcPr>
          <w:p w14:paraId="3DD2E34B" w14:textId="77777777" w:rsidR="00AF77F2" w:rsidRPr="00E30B24" w:rsidRDefault="00AF77F2" w:rsidP="00FC695C">
            <w:pPr>
              <w:jc w:val="right"/>
              <w:rPr>
                <w:rFonts w:cs="Calibri"/>
                <w:b/>
                <w:bCs/>
                <w:color w:val="FFFFFF"/>
                <w:sz w:val="12"/>
                <w:szCs w:val="12"/>
              </w:rPr>
            </w:pPr>
            <w:r w:rsidRPr="00E30B24">
              <w:rPr>
                <w:rFonts w:cs="Calibri"/>
                <w:b/>
                <w:bCs/>
                <w:color w:val="FFFFFF"/>
                <w:sz w:val="12"/>
                <w:szCs w:val="12"/>
              </w:rPr>
              <w:t>Razem</w:t>
            </w:r>
          </w:p>
        </w:tc>
      </w:tr>
      <w:tr w:rsidR="00D54765" w:rsidRPr="00E30B24" w14:paraId="23D38D99" w14:textId="77777777" w:rsidTr="006D20E8">
        <w:trPr>
          <w:trHeight w:val="227"/>
        </w:trPr>
        <w:tc>
          <w:tcPr>
            <w:tcW w:w="3261" w:type="dxa"/>
            <w:tcBorders>
              <w:top w:val="single" w:sz="8" w:space="0" w:color="0077BD"/>
              <w:left w:val="nil"/>
              <w:bottom w:val="single" w:sz="8" w:space="0" w:color="0077BD"/>
              <w:right w:val="single" w:sz="8" w:space="0" w:color="0077BD"/>
            </w:tcBorders>
            <w:shd w:val="clear" w:color="auto" w:fill="auto"/>
            <w:vAlign w:val="center"/>
            <w:hideMark/>
          </w:tcPr>
          <w:p w14:paraId="1DA827B6" w14:textId="77777777" w:rsidR="00AF77F2" w:rsidRPr="00E30B24" w:rsidRDefault="00AF77F2" w:rsidP="00FC695C">
            <w:pPr>
              <w:rPr>
                <w:rFonts w:cs="Calibri"/>
                <w:b/>
                <w:bCs/>
                <w:color w:val="000000" w:themeColor="text1"/>
                <w:sz w:val="12"/>
                <w:szCs w:val="12"/>
              </w:rPr>
            </w:pPr>
            <w:r w:rsidRPr="00E30B24">
              <w:rPr>
                <w:rFonts w:cs="Calibri"/>
                <w:b/>
                <w:bCs/>
                <w:color w:val="000000" w:themeColor="text1"/>
                <w:sz w:val="12"/>
                <w:szCs w:val="12"/>
              </w:rPr>
              <w:t>Pochodne instrumenty walutowe:</w:t>
            </w: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57083D18" w14:textId="3023AC6F" w:rsidR="00AF77F2" w:rsidRPr="00E30B24" w:rsidRDefault="00AF77F2" w:rsidP="00D54765">
            <w:pPr>
              <w:jc w:val="right"/>
              <w:rPr>
                <w:rFonts w:cs="Calibri"/>
                <w:b/>
                <w:bCs/>
                <w:color w:val="000000" w:themeColor="text1"/>
                <w:sz w:val="12"/>
                <w:szCs w:val="12"/>
              </w:rPr>
            </w:pP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721CA299" w14:textId="0D166B6B" w:rsidR="00AF77F2" w:rsidRPr="00E30B24" w:rsidRDefault="00AF77F2" w:rsidP="00D54765">
            <w:pPr>
              <w:jc w:val="right"/>
              <w:rPr>
                <w:rFonts w:cs="Calibri"/>
                <w:b/>
                <w:bCs/>
                <w:color w:val="000000" w:themeColor="text1"/>
                <w:sz w:val="12"/>
                <w:szCs w:val="12"/>
              </w:rPr>
            </w:pP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4F96C277" w14:textId="4B3D6347" w:rsidR="00AF77F2" w:rsidRPr="00E30B24" w:rsidRDefault="00AF77F2" w:rsidP="00D54765">
            <w:pPr>
              <w:jc w:val="right"/>
              <w:rPr>
                <w:rFonts w:cs="Calibri"/>
                <w:b/>
                <w:bCs/>
                <w:color w:val="000000" w:themeColor="text1"/>
                <w:sz w:val="12"/>
                <w:szCs w:val="12"/>
              </w:rPr>
            </w:pP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65AF24DF" w14:textId="343E0B1F" w:rsidR="00AF77F2" w:rsidRPr="00E30B24" w:rsidRDefault="00AF77F2" w:rsidP="00D54765">
            <w:pPr>
              <w:jc w:val="right"/>
              <w:rPr>
                <w:rFonts w:cs="Calibri"/>
                <w:b/>
                <w:bCs/>
                <w:color w:val="000000" w:themeColor="text1"/>
                <w:sz w:val="12"/>
                <w:szCs w:val="12"/>
              </w:rPr>
            </w:pP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0B267075" w14:textId="081BF977" w:rsidR="00AF77F2" w:rsidRPr="00E30B24" w:rsidRDefault="00AF77F2" w:rsidP="00D54765">
            <w:pPr>
              <w:jc w:val="right"/>
              <w:rPr>
                <w:rFonts w:cs="Calibri"/>
                <w:b/>
                <w:bCs/>
                <w:color w:val="000000" w:themeColor="text1"/>
                <w:sz w:val="12"/>
                <w:szCs w:val="12"/>
              </w:rPr>
            </w:pPr>
          </w:p>
        </w:tc>
        <w:tc>
          <w:tcPr>
            <w:tcW w:w="1021" w:type="dxa"/>
            <w:tcBorders>
              <w:top w:val="single" w:sz="8" w:space="0" w:color="0077BD"/>
              <w:left w:val="nil"/>
              <w:bottom w:val="single" w:sz="8" w:space="0" w:color="0077BD"/>
              <w:right w:val="nil"/>
            </w:tcBorders>
            <w:shd w:val="clear" w:color="auto" w:fill="auto"/>
            <w:noWrap/>
            <w:vAlign w:val="center"/>
          </w:tcPr>
          <w:p w14:paraId="5CB4EC21" w14:textId="54B39305" w:rsidR="00AF77F2" w:rsidRPr="00E30B24" w:rsidRDefault="00AF77F2" w:rsidP="00D54765">
            <w:pPr>
              <w:jc w:val="right"/>
              <w:rPr>
                <w:rFonts w:cs="Calibri"/>
                <w:b/>
                <w:bCs/>
                <w:color w:val="000000" w:themeColor="text1"/>
                <w:sz w:val="12"/>
                <w:szCs w:val="12"/>
              </w:rPr>
            </w:pPr>
          </w:p>
        </w:tc>
      </w:tr>
      <w:tr w:rsidR="00D54765" w:rsidRPr="00E30B24" w14:paraId="29532F30" w14:textId="77777777" w:rsidTr="006D20E8">
        <w:trPr>
          <w:trHeight w:val="227"/>
        </w:trPr>
        <w:tc>
          <w:tcPr>
            <w:tcW w:w="3261" w:type="dxa"/>
            <w:tcBorders>
              <w:top w:val="nil"/>
              <w:left w:val="nil"/>
              <w:bottom w:val="single" w:sz="8" w:space="0" w:color="0077BD"/>
              <w:right w:val="single" w:sz="8" w:space="0" w:color="0077BD"/>
            </w:tcBorders>
            <w:shd w:val="clear" w:color="auto" w:fill="auto"/>
            <w:vAlign w:val="center"/>
            <w:hideMark/>
          </w:tcPr>
          <w:p w14:paraId="05EBF7BC" w14:textId="77777777" w:rsidR="00AF77F2" w:rsidRPr="00E30B24" w:rsidRDefault="00AF77F2" w:rsidP="00FC695C">
            <w:pPr>
              <w:rPr>
                <w:rFonts w:cs="Calibri"/>
                <w:bCs/>
                <w:color w:val="000000" w:themeColor="text1"/>
                <w:sz w:val="12"/>
                <w:szCs w:val="12"/>
              </w:rPr>
            </w:pPr>
            <w:r w:rsidRPr="00E30B24">
              <w:rPr>
                <w:rFonts w:cs="Calibri"/>
                <w:bCs/>
                <w:color w:val="000000" w:themeColor="text1"/>
                <w:sz w:val="12"/>
                <w:szCs w:val="12"/>
              </w:rPr>
              <w:t xml:space="preserve"> - wypływy</w:t>
            </w:r>
          </w:p>
        </w:tc>
        <w:tc>
          <w:tcPr>
            <w:tcW w:w="1021" w:type="dxa"/>
            <w:tcBorders>
              <w:top w:val="nil"/>
              <w:left w:val="nil"/>
              <w:bottom w:val="single" w:sz="8" w:space="0" w:color="0077BD"/>
              <w:right w:val="single" w:sz="8" w:space="0" w:color="0077BD"/>
            </w:tcBorders>
            <w:shd w:val="clear" w:color="auto" w:fill="auto"/>
            <w:noWrap/>
            <w:vAlign w:val="center"/>
            <w:hideMark/>
          </w:tcPr>
          <w:p w14:paraId="488B8FE8"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16 914 479</w:t>
            </w:r>
          </w:p>
        </w:tc>
        <w:tc>
          <w:tcPr>
            <w:tcW w:w="1021" w:type="dxa"/>
            <w:tcBorders>
              <w:top w:val="nil"/>
              <w:left w:val="nil"/>
              <w:bottom w:val="single" w:sz="8" w:space="0" w:color="0077BD"/>
              <w:right w:val="single" w:sz="8" w:space="0" w:color="0077BD"/>
            </w:tcBorders>
            <w:shd w:val="clear" w:color="auto" w:fill="auto"/>
            <w:noWrap/>
            <w:vAlign w:val="center"/>
            <w:hideMark/>
          </w:tcPr>
          <w:p w14:paraId="2D1CA25B"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4 086 705</w:t>
            </w:r>
          </w:p>
        </w:tc>
        <w:tc>
          <w:tcPr>
            <w:tcW w:w="1021" w:type="dxa"/>
            <w:tcBorders>
              <w:top w:val="nil"/>
              <w:left w:val="nil"/>
              <w:bottom w:val="single" w:sz="8" w:space="0" w:color="0077BD"/>
              <w:right w:val="single" w:sz="8" w:space="0" w:color="0077BD"/>
            </w:tcBorders>
            <w:shd w:val="clear" w:color="auto" w:fill="auto"/>
            <w:noWrap/>
            <w:vAlign w:val="center"/>
            <w:hideMark/>
          </w:tcPr>
          <w:p w14:paraId="3E8D4630"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4 678 672</w:t>
            </w:r>
          </w:p>
        </w:tc>
        <w:tc>
          <w:tcPr>
            <w:tcW w:w="1021" w:type="dxa"/>
            <w:tcBorders>
              <w:top w:val="nil"/>
              <w:left w:val="nil"/>
              <w:bottom w:val="single" w:sz="8" w:space="0" w:color="0077BD"/>
              <w:right w:val="single" w:sz="8" w:space="0" w:color="0077BD"/>
            </w:tcBorders>
            <w:shd w:val="clear" w:color="auto" w:fill="auto"/>
            <w:noWrap/>
            <w:vAlign w:val="center"/>
            <w:hideMark/>
          </w:tcPr>
          <w:p w14:paraId="4CCA8411"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2 018 037</w:t>
            </w:r>
          </w:p>
        </w:tc>
        <w:tc>
          <w:tcPr>
            <w:tcW w:w="1021" w:type="dxa"/>
            <w:tcBorders>
              <w:top w:val="nil"/>
              <w:left w:val="nil"/>
              <w:bottom w:val="single" w:sz="8" w:space="0" w:color="0077BD"/>
              <w:right w:val="single" w:sz="8" w:space="0" w:color="0077BD"/>
            </w:tcBorders>
            <w:shd w:val="clear" w:color="auto" w:fill="auto"/>
            <w:noWrap/>
            <w:vAlign w:val="center"/>
            <w:hideMark/>
          </w:tcPr>
          <w:p w14:paraId="103957D8"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w:t>
            </w:r>
          </w:p>
        </w:tc>
        <w:tc>
          <w:tcPr>
            <w:tcW w:w="1021" w:type="dxa"/>
            <w:tcBorders>
              <w:top w:val="nil"/>
              <w:left w:val="nil"/>
              <w:bottom w:val="single" w:sz="8" w:space="0" w:color="0077BD"/>
              <w:right w:val="nil"/>
            </w:tcBorders>
            <w:shd w:val="clear" w:color="auto" w:fill="auto"/>
            <w:noWrap/>
            <w:vAlign w:val="center"/>
            <w:hideMark/>
          </w:tcPr>
          <w:p w14:paraId="02EBC0E1" w14:textId="77777777" w:rsidR="00AF77F2" w:rsidRPr="00E30B24" w:rsidRDefault="00AF77F2" w:rsidP="00FC695C">
            <w:pPr>
              <w:jc w:val="right"/>
              <w:rPr>
                <w:rFonts w:cs="Calibri"/>
                <w:b/>
                <w:bCs/>
                <w:color w:val="000000" w:themeColor="text1"/>
                <w:sz w:val="12"/>
                <w:szCs w:val="12"/>
              </w:rPr>
            </w:pPr>
            <w:r w:rsidRPr="00E30B24">
              <w:rPr>
                <w:rFonts w:cs="Calibri"/>
                <w:b/>
                <w:bCs/>
                <w:color w:val="000000" w:themeColor="text1"/>
                <w:sz w:val="12"/>
                <w:szCs w:val="12"/>
              </w:rPr>
              <w:t>27 697 893</w:t>
            </w:r>
          </w:p>
        </w:tc>
      </w:tr>
      <w:tr w:rsidR="00D54765" w:rsidRPr="00E30B24" w14:paraId="72E39C0E" w14:textId="77777777" w:rsidTr="006D20E8">
        <w:trPr>
          <w:trHeight w:val="227"/>
        </w:trPr>
        <w:tc>
          <w:tcPr>
            <w:tcW w:w="3261" w:type="dxa"/>
            <w:tcBorders>
              <w:top w:val="nil"/>
              <w:left w:val="nil"/>
              <w:bottom w:val="single" w:sz="8" w:space="0" w:color="0077BD"/>
              <w:right w:val="single" w:sz="8" w:space="0" w:color="0077BD"/>
            </w:tcBorders>
            <w:shd w:val="clear" w:color="auto" w:fill="auto"/>
            <w:vAlign w:val="center"/>
            <w:hideMark/>
          </w:tcPr>
          <w:p w14:paraId="774607CC" w14:textId="77777777" w:rsidR="00AF77F2" w:rsidRPr="00E30B24" w:rsidRDefault="00AF77F2" w:rsidP="00FC695C">
            <w:pPr>
              <w:rPr>
                <w:rFonts w:cs="Calibri"/>
                <w:bCs/>
                <w:color w:val="000000" w:themeColor="text1"/>
                <w:sz w:val="12"/>
                <w:szCs w:val="12"/>
              </w:rPr>
            </w:pPr>
            <w:r w:rsidRPr="00E30B24">
              <w:rPr>
                <w:rFonts w:cs="Calibri"/>
                <w:bCs/>
                <w:color w:val="000000" w:themeColor="text1"/>
                <w:sz w:val="12"/>
                <w:szCs w:val="12"/>
              </w:rPr>
              <w:t xml:space="preserve"> - wpływy</w:t>
            </w:r>
          </w:p>
        </w:tc>
        <w:tc>
          <w:tcPr>
            <w:tcW w:w="1021" w:type="dxa"/>
            <w:tcBorders>
              <w:top w:val="nil"/>
              <w:left w:val="nil"/>
              <w:bottom w:val="single" w:sz="8" w:space="0" w:color="0077BD"/>
              <w:right w:val="single" w:sz="8" w:space="0" w:color="0077BD"/>
            </w:tcBorders>
            <w:shd w:val="clear" w:color="auto" w:fill="auto"/>
            <w:noWrap/>
            <w:vAlign w:val="center"/>
            <w:hideMark/>
          </w:tcPr>
          <w:p w14:paraId="54A61944"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16 911 612</w:t>
            </w:r>
          </w:p>
        </w:tc>
        <w:tc>
          <w:tcPr>
            <w:tcW w:w="1021" w:type="dxa"/>
            <w:tcBorders>
              <w:top w:val="nil"/>
              <w:left w:val="nil"/>
              <w:bottom w:val="single" w:sz="8" w:space="0" w:color="0077BD"/>
              <w:right w:val="single" w:sz="8" w:space="0" w:color="0077BD"/>
            </w:tcBorders>
            <w:shd w:val="clear" w:color="auto" w:fill="auto"/>
            <w:noWrap/>
            <w:vAlign w:val="center"/>
            <w:hideMark/>
          </w:tcPr>
          <w:p w14:paraId="03241ECC"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4 074 380</w:t>
            </w:r>
          </w:p>
        </w:tc>
        <w:tc>
          <w:tcPr>
            <w:tcW w:w="1021" w:type="dxa"/>
            <w:tcBorders>
              <w:top w:val="nil"/>
              <w:left w:val="nil"/>
              <w:bottom w:val="single" w:sz="8" w:space="0" w:color="0077BD"/>
              <w:right w:val="single" w:sz="8" w:space="0" w:color="0077BD"/>
            </w:tcBorders>
            <w:shd w:val="clear" w:color="auto" w:fill="auto"/>
            <w:noWrap/>
            <w:vAlign w:val="center"/>
            <w:hideMark/>
          </w:tcPr>
          <w:p w14:paraId="1BBE2A77"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4 655 793</w:t>
            </w:r>
          </w:p>
        </w:tc>
        <w:tc>
          <w:tcPr>
            <w:tcW w:w="1021" w:type="dxa"/>
            <w:tcBorders>
              <w:top w:val="nil"/>
              <w:left w:val="nil"/>
              <w:bottom w:val="single" w:sz="8" w:space="0" w:color="0077BD"/>
              <w:right w:val="single" w:sz="8" w:space="0" w:color="0077BD"/>
            </w:tcBorders>
            <w:shd w:val="clear" w:color="auto" w:fill="auto"/>
            <w:noWrap/>
            <w:vAlign w:val="center"/>
            <w:hideMark/>
          </w:tcPr>
          <w:p w14:paraId="696FCD1B"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1 987 573</w:t>
            </w:r>
          </w:p>
        </w:tc>
        <w:tc>
          <w:tcPr>
            <w:tcW w:w="1021" w:type="dxa"/>
            <w:tcBorders>
              <w:top w:val="nil"/>
              <w:left w:val="nil"/>
              <w:bottom w:val="single" w:sz="8" w:space="0" w:color="0077BD"/>
              <w:right w:val="single" w:sz="8" w:space="0" w:color="0077BD"/>
            </w:tcBorders>
            <w:shd w:val="clear" w:color="auto" w:fill="auto"/>
            <w:noWrap/>
            <w:vAlign w:val="center"/>
            <w:hideMark/>
          </w:tcPr>
          <w:p w14:paraId="011C664B" w14:textId="77777777" w:rsidR="00AF77F2" w:rsidRPr="00E30B24" w:rsidRDefault="00AF77F2" w:rsidP="00FC695C">
            <w:pPr>
              <w:jc w:val="right"/>
              <w:rPr>
                <w:rFonts w:cs="Calibri"/>
                <w:bCs/>
                <w:color w:val="000000" w:themeColor="text1"/>
                <w:sz w:val="12"/>
                <w:szCs w:val="12"/>
              </w:rPr>
            </w:pPr>
            <w:r w:rsidRPr="00E30B24">
              <w:rPr>
                <w:rFonts w:cs="Calibri"/>
                <w:bCs/>
                <w:color w:val="000000" w:themeColor="text1"/>
                <w:sz w:val="12"/>
                <w:szCs w:val="12"/>
              </w:rPr>
              <w:t>-</w:t>
            </w:r>
          </w:p>
        </w:tc>
        <w:tc>
          <w:tcPr>
            <w:tcW w:w="1021" w:type="dxa"/>
            <w:tcBorders>
              <w:top w:val="nil"/>
              <w:left w:val="nil"/>
              <w:bottom w:val="single" w:sz="8" w:space="0" w:color="0077BD"/>
              <w:right w:val="nil"/>
            </w:tcBorders>
            <w:shd w:val="clear" w:color="auto" w:fill="auto"/>
            <w:noWrap/>
            <w:vAlign w:val="center"/>
            <w:hideMark/>
          </w:tcPr>
          <w:p w14:paraId="398D0AC9" w14:textId="77777777" w:rsidR="00AF77F2" w:rsidRPr="00E30B24" w:rsidRDefault="00AF77F2" w:rsidP="00FC695C">
            <w:pPr>
              <w:jc w:val="right"/>
              <w:rPr>
                <w:rFonts w:cs="Calibri"/>
                <w:b/>
                <w:bCs/>
                <w:color w:val="000000" w:themeColor="text1"/>
                <w:sz w:val="12"/>
                <w:szCs w:val="12"/>
              </w:rPr>
            </w:pPr>
            <w:r w:rsidRPr="00E30B24">
              <w:rPr>
                <w:rFonts w:cs="Calibri"/>
                <w:b/>
                <w:bCs/>
                <w:color w:val="000000" w:themeColor="text1"/>
                <w:sz w:val="12"/>
                <w:szCs w:val="12"/>
              </w:rPr>
              <w:t>27 629 358</w:t>
            </w:r>
          </w:p>
        </w:tc>
      </w:tr>
    </w:tbl>
    <w:p w14:paraId="20E6C4FE" w14:textId="77777777" w:rsidR="00AF77F2" w:rsidRPr="0068723D" w:rsidRDefault="00AF77F2" w:rsidP="00AF77F2">
      <w:pPr>
        <w:suppressAutoHyphens/>
        <w:spacing w:before="120"/>
        <w:jc w:val="both"/>
        <w:rPr>
          <w:rFonts w:cs="Tahoma"/>
          <w:color w:val="000000" w:themeColor="text1"/>
          <w:sz w:val="18"/>
          <w:szCs w:val="18"/>
        </w:rPr>
      </w:pPr>
      <w:r w:rsidRPr="0068723D">
        <w:rPr>
          <w:rFonts w:cs="Tahoma"/>
          <w:color w:val="000000" w:themeColor="text1"/>
          <w:sz w:val="18"/>
          <w:szCs w:val="18"/>
        </w:rPr>
        <w:t>Kwoty ujawnione w tabeli to niezdyskontowane umowne wypływy/wpływy pieniężne.</w:t>
      </w:r>
    </w:p>
    <w:p w14:paraId="501FFA25" w14:textId="77777777" w:rsidR="00AF77F2" w:rsidRPr="0068723D" w:rsidRDefault="00AF77F2" w:rsidP="00AF77F2">
      <w:pPr>
        <w:suppressAutoHyphens/>
        <w:spacing w:before="120"/>
        <w:jc w:val="both"/>
        <w:rPr>
          <w:rFonts w:cs="Tahoma"/>
          <w:color w:val="000000" w:themeColor="text1"/>
          <w:sz w:val="18"/>
          <w:szCs w:val="18"/>
        </w:rPr>
      </w:pPr>
      <w:r w:rsidRPr="0068723D">
        <w:rPr>
          <w:rFonts w:cs="Tahoma"/>
          <w:color w:val="000000" w:themeColor="text1"/>
          <w:sz w:val="18"/>
          <w:szCs w:val="18"/>
        </w:rPr>
        <w:t>Wartości zaprezentowane w powyższej tabeli to nominalne kwoty przepływów pozostające do rozliczenia z tytułu pochodnych walutowych instrumentów finansowych, podczas gdy w Nocie 20 zostały zaprezentowane wartości nominalne wszystkich umownie otwartych transakcji pochodnych.</w:t>
      </w:r>
    </w:p>
    <w:p w14:paraId="38F6CF44" w14:textId="492F6BB3" w:rsidR="00D2046B" w:rsidRDefault="00AF77F2" w:rsidP="00AF77F2">
      <w:pPr>
        <w:spacing w:before="120"/>
        <w:rPr>
          <w:rFonts w:cs="Tahoma"/>
          <w:color w:val="000000" w:themeColor="text1"/>
          <w:sz w:val="18"/>
          <w:szCs w:val="18"/>
        </w:rPr>
      </w:pPr>
      <w:r w:rsidRPr="0068723D">
        <w:rPr>
          <w:rFonts w:cs="Tahoma"/>
          <w:color w:val="000000" w:themeColor="text1"/>
          <w:sz w:val="18"/>
          <w:szCs w:val="18"/>
        </w:rPr>
        <w:t xml:space="preserve">Szczegółowe informacje dotyczące ryzyka płynności pozycji pozabilansowych przedstawiono w </w:t>
      </w:r>
      <w:r w:rsidR="00595E64" w:rsidRPr="0068723D">
        <w:rPr>
          <w:rFonts w:cs="Tahoma"/>
          <w:color w:val="000000" w:themeColor="text1"/>
          <w:sz w:val="18"/>
          <w:szCs w:val="18"/>
        </w:rPr>
        <w:t>Nocie 33</w:t>
      </w:r>
      <w:r w:rsidR="00D2046B" w:rsidRPr="0068723D">
        <w:rPr>
          <w:rFonts w:cs="Tahoma"/>
          <w:color w:val="000000" w:themeColor="text1"/>
          <w:sz w:val="18"/>
          <w:szCs w:val="18"/>
        </w:rPr>
        <w:t>.</w:t>
      </w:r>
    </w:p>
    <w:p w14:paraId="3B43A09F" w14:textId="77777777" w:rsidR="0095442A" w:rsidRPr="0068723D" w:rsidRDefault="0095442A" w:rsidP="0095442A">
      <w:pPr>
        <w:rPr>
          <w:rFonts w:cs="Tahoma"/>
          <w:color w:val="000000" w:themeColor="text1"/>
          <w:sz w:val="18"/>
          <w:szCs w:val="18"/>
        </w:rPr>
      </w:pPr>
    </w:p>
    <w:p w14:paraId="40A32324" w14:textId="77777777" w:rsidR="009D5945" w:rsidRPr="00627B93" w:rsidRDefault="009D5945"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09" w:hanging="709"/>
        <w:jc w:val="both"/>
        <w:outlineLvl w:val="2"/>
        <w:rPr>
          <w:b/>
          <w:color w:val="E41E0A"/>
          <w:sz w:val="18"/>
          <w:szCs w:val="18"/>
          <w:lang w:eastAsia="en-US"/>
        </w:rPr>
      </w:pPr>
      <w:bookmarkStart w:id="109" w:name="_Toc32999828"/>
      <w:r w:rsidRPr="00627B93">
        <w:rPr>
          <w:b/>
          <w:color w:val="E41E0A"/>
          <w:sz w:val="18"/>
          <w:szCs w:val="18"/>
          <w:lang w:eastAsia="en-US"/>
        </w:rPr>
        <w:t>Ryzyko operacyjne</w:t>
      </w:r>
      <w:bookmarkEnd w:id="109"/>
    </w:p>
    <w:p w14:paraId="7F0F8E07" w14:textId="0283281B" w:rsidR="00181463" w:rsidRPr="0068723D" w:rsidRDefault="00181463" w:rsidP="00181463">
      <w:pPr>
        <w:suppressAutoHyphens/>
        <w:spacing w:before="120" w:after="120"/>
        <w:jc w:val="both"/>
        <w:rPr>
          <w:color w:val="000000" w:themeColor="text1"/>
          <w:sz w:val="18"/>
          <w:szCs w:val="18"/>
        </w:rPr>
      </w:pPr>
      <w:r w:rsidRPr="0068723D">
        <w:rPr>
          <w:rFonts w:cs="Tahoma"/>
          <w:color w:val="000000" w:themeColor="text1"/>
          <w:sz w:val="18"/>
          <w:szCs w:val="18"/>
        </w:rPr>
        <w:t>Przez ryzyko operacyjne mBank rozumie możliwość poniesienia straty wynikającą z nieadekwatnych lub</w:t>
      </w:r>
      <w:r w:rsidR="005E1BD2">
        <w:rPr>
          <w:rFonts w:cs="Tahoma"/>
          <w:color w:val="000000" w:themeColor="text1"/>
          <w:sz w:val="18"/>
          <w:szCs w:val="18"/>
        </w:rPr>
        <w:t> </w:t>
      </w:r>
      <w:r w:rsidRPr="0068723D">
        <w:rPr>
          <w:rFonts w:cs="Tahoma"/>
          <w:color w:val="000000" w:themeColor="text1"/>
          <w:sz w:val="18"/>
          <w:szCs w:val="18"/>
        </w:rPr>
        <w:t>wadliwych wewnętrznych procesów, systemów, błędów lub działań podjętych przez pracownika Banku oraz ze zdarzeń zewnętrznych. Ryzyko operacyjne obejmuje w szczególności następujące istotne podkategorie:</w:t>
      </w:r>
      <w:r w:rsidRPr="0068723D">
        <w:rPr>
          <w:color w:val="000000" w:themeColor="text1"/>
          <w:sz w:val="18"/>
          <w:szCs w:val="18"/>
        </w:rPr>
        <w:t xml:space="preserve"> ryzyko prawne, ryzyko IT, ryzyko cyberzagrożeń, ryzyko braku zgodności, ryzyko prowadzenia działalności („conduct risk”), ryzyko oszustw zewnętrznych, ryzyko outsourcingu. Ryzyko operacyjne nie obejmuje ryzyka reputacji, jednak materializacja ryzyka operacyjnego może powodować wzrost ryzyka reputacji.</w:t>
      </w:r>
    </w:p>
    <w:p w14:paraId="12C89C9B" w14:textId="77777777" w:rsidR="00181463" w:rsidRPr="0068723D" w:rsidRDefault="00181463" w:rsidP="00181463">
      <w:pPr>
        <w:autoSpaceDE w:val="0"/>
        <w:autoSpaceDN w:val="0"/>
        <w:adjustRightInd w:val="0"/>
        <w:spacing w:after="120"/>
        <w:jc w:val="both"/>
        <w:rPr>
          <w:color w:val="000000" w:themeColor="text1"/>
          <w:sz w:val="18"/>
          <w:szCs w:val="18"/>
        </w:rPr>
      </w:pPr>
      <w:r w:rsidRPr="0068723D">
        <w:rPr>
          <w:rFonts w:eastAsia="Calibri" w:cs="Verdana"/>
          <w:bCs/>
          <w:color w:val="000000" w:themeColor="text1"/>
          <w:sz w:val="18"/>
          <w:szCs w:val="18"/>
        </w:rPr>
        <w:t xml:space="preserve">Zarządzanie ryzykiem operacyjnym </w:t>
      </w:r>
      <w:r w:rsidRPr="0068723D">
        <w:rPr>
          <w:rFonts w:eastAsia="Calibri" w:cs="Verdana"/>
          <w:color w:val="000000" w:themeColor="text1"/>
          <w:sz w:val="18"/>
          <w:szCs w:val="18"/>
        </w:rPr>
        <w:t xml:space="preserve">realizowane jest w mBanku oraz na poziomie skonsolidowanym w Grupie mBanku. </w:t>
      </w:r>
      <w:r w:rsidRPr="0068723D">
        <w:rPr>
          <w:color w:val="000000" w:themeColor="text1"/>
          <w:sz w:val="18"/>
          <w:szCs w:val="18"/>
        </w:rPr>
        <w:t xml:space="preserve">Organizując proces zarządzania ryzykiem operacyjnym Bank bierze pod uwagę wymogi regulacyjne, które stanowią punkt wyjścia dla przygotowania ram systemu kontroli i zarządzania ryzykiem operacyjnym w Banku i Grupie. </w:t>
      </w:r>
    </w:p>
    <w:p w14:paraId="352C95BD" w14:textId="77777777" w:rsidR="00181463" w:rsidRPr="0068723D" w:rsidRDefault="00181463" w:rsidP="00181463">
      <w:pPr>
        <w:spacing w:after="120"/>
        <w:jc w:val="both"/>
        <w:rPr>
          <w:color w:val="000000" w:themeColor="text1"/>
          <w:sz w:val="18"/>
          <w:szCs w:val="18"/>
        </w:rPr>
      </w:pPr>
      <w:r w:rsidRPr="0068723D">
        <w:rPr>
          <w:color w:val="000000" w:themeColor="text1"/>
          <w:sz w:val="18"/>
          <w:szCs w:val="18"/>
        </w:rPr>
        <w:t>Celem zarządzania ryzykiem operacyjnym w Grupie jest ograniczenie przyczyn występowania zdarzeń operacyjnych, zmniejszanie prawdopodobieństwa ich wystąpienia oraz dotkliwości potencjalnych skutków. Przy podejmowaniu decyzji o akceptowalnym poziomie ryzyka operacyjnego rozważana jest analiza: koszty vs. korzyści.</w:t>
      </w:r>
    </w:p>
    <w:p w14:paraId="0A794CAE" w14:textId="69F31981" w:rsidR="00181463" w:rsidRPr="0068723D" w:rsidRDefault="00181463" w:rsidP="00181463">
      <w:pPr>
        <w:spacing w:after="120"/>
        <w:jc w:val="both"/>
        <w:rPr>
          <w:color w:val="000000" w:themeColor="text1"/>
          <w:sz w:val="18"/>
          <w:szCs w:val="18"/>
        </w:rPr>
      </w:pPr>
      <w:r w:rsidRPr="0068723D">
        <w:rPr>
          <w:color w:val="000000" w:themeColor="text1"/>
          <w:sz w:val="18"/>
          <w:szCs w:val="18"/>
        </w:rPr>
        <w:t>Na kontrolę i zarządzanie ryzykiem operacyjnym składa się zbiór działań mających na celu identyfikację, monitorowanie, pomiar, ocenę, raportowanie, a także redukcję, unikanie, transfer lub akceptację ryzyka operacyjnego, na które Bank jest narażony w poszczególnych obszarach działalności. Podstawą są metody oraz narzędzia ilościowe i jakościowe, służące kontroli ryzyka operacyjnego. Stosowane narzędzia zmierzają do ukierunkowanego na przyczynę zarządzania ryzykiem operacyjnym oraz koncentrują się</w:t>
      </w:r>
      <w:r w:rsidR="005E1BD2">
        <w:rPr>
          <w:color w:val="000000" w:themeColor="text1"/>
          <w:sz w:val="18"/>
          <w:szCs w:val="18"/>
        </w:rPr>
        <w:t> </w:t>
      </w:r>
      <w:r w:rsidRPr="0068723D">
        <w:rPr>
          <w:color w:val="000000" w:themeColor="text1"/>
          <w:sz w:val="18"/>
          <w:szCs w:val="18"/>
        </w:rPr>
        <w:t>na</w:t>
      </w:r>
      <w:r w:rsidR="005E1BD2">
        <w:rPr>
          <w:color w:val="000000" w:themeColor="text1"/>
          <w:sz w:val="18"/>
          <w:szCs w:val="18"/>
        </w:rPr>
        <w:t> </w:t>
      </w:r>
      <w:r w:rsidRPr="0068723D">
        <w:rPr>
          <w:color w:val="000000" w:themeColor="text1"/>
          <w:sz w:val="18"/>
          <w:szCs w:val="18"/>
        </w:rPr>
        <w:t>podejściu oddolnym w celu identyfikacji ryzyka.</w:t>
      </w:r>
    </w:p>
    <w:p w14:paraId="6A7F5A98" w14:textId="5535963D" w:rsidR="00181463" w:rsidRPr="0068723D" w:rsidRDefault="00181463" w:rsidP="00181463">
      <w:pPr>
        <w:spacing w:after="120"/>
        <w:jc w:val="both"/>
        <w:rPr>
          <w:color w:val="000000" w:themeColor="text1"/>
          <w:sz w:val="18"/>
          <w:szCs w:val="18"/>
        </w:rPr>
      </w:pPr>
      <w:r w:rsidRPr="0068723D">
        <w:rPr>
          <w:color w:val="000000" w:themeColor="text1"/>
          <w:sz w:val="18"/>
          <w:szCs w:val="18"/>
        </w:rPr>
        <w:lastRenderedPageBreak/>
        <w:t>Celem narzędzi jakościowych jest ustanowienie w ramach Banku i Grupy mBanku spójnej oceny jakościowej czynników środowiska wewnętrznego i zewnętrznego mających wpływ na proces zarządzania ryzykiem operacyjnym. Podstawowym narzędziem jakościowym jest Samoocena Efektywności Zarządzania Ryzykiem, która pozwala na ocenę najważniejszych ryzyk, mechanizmów kontrolnych i</w:t>
      </w:r>
      <w:r w:rsidR="00B034B5">
        <w:rPr>
          <w:color w:val="000000" w:themeColor="text1"/>
          <w:sz w:val="18"/>
          <w:szCs w:val="18"/>
        </w:rPr>
        <w:t> </w:t>
      </w:r>
      <w:r w:rsidRPr="0068723D">
        <w:rPr>
          <w:color w:val="000000" w:themeColor="text1"/>
          <w:sz w:val="18"/>
          <w:szCs w:val="18"/>
        </w:rPr>
        <w:t>niezależnych monitorowań mechanizmów kontrolnych, a następnie opracowanie i wdrożenie niezbędnych planów działań naprawczych.</w:t>
      </w:r>
    </w:p>
    <w:p w14:paraId="32C35994" w14:textId="3FC8191D" w:rsidR="00181463" w:rsidRPr="0068723D" w:rsidRDefault="00181463" w:rsidP="00181463">
      <w:pPr>
        <w:spacing w:after="120"/>
        <w:jc w:val="both"/>
        <w:rPr>
          <w:color w:val="000000" w:themeColor="text1"/>
          <w:sz w:val="18"/>
          <w:szCs w:val="18"/>
        </w:rPr>
      </w:pPr>
      <w:r w:rsidRPr="0068723D">
        <w:rPr>
          <w:color w:val="000000" w:themeColor="text1"/>
          <w:sz w:val="18"/>
          <w:szCs w:val="18"/>
        </w:rPr>
        <w:t>Ponadto, Bank prowadzi rejestr zdarzeń i strat operacyjnych Grupy, zbiera i monitoruje kluczowe wskaźniki ryzyka, a także tworzy i analizuje scenariusze ryzyka operacyjnego w celu identyfikacji zdarzeń, które potencjalnie mogą spowodować bardzo duże straty o charakterze operacyjnym. Jednocześnie utrzymywana jest komunikacja z wszystkimi obszarami działania Banku (zarówno biznesowymi, jak</w:t>
      </w:r>
      <w:r w:rsidR="00B034B5">
        <w:rPr>
          <w:color w:val="000000" w:themeColor="text1"/>
          <w:sz w:val="18"/>
          <w:szCs w:val="18"/>
        </w:rPr>
        <w:t> </w:t>
      </w:r>
      <w:r w:rsidRPr="0068723D">
        <w:rPr>
          <w:color w:val="000000" w:themeColor="text1"/>
          <w:sz w:val="18"/>
          <w:szCs w:val="18"/>
        </w:rPr>
        <w:t>również wsparcia) w celu monitorowania i podejmowania działań zapobiegawczych w momencie zasygnalizowania ryzyka krytycznych zdarzeń w jakimkolwiek obszarze działania.</w:t>
      </w:r>
    </w:p>
    <w:p w14:paraId="0B504CE0" w14:textId="77777777" w:rsidR="00181463" w:rsidRPr="0068723D" w:rsidRDefault="00181463" w:rsidP="00181463">
      <w:pPr>
        <w:spacing w:after="120"/>
        <w:jc w:val="both"/>
        <w:rPr>
          <w:b/>
          <w:color w:val="000000" w:themeColor="text1"/>
          <w:sz w:val="18"/>
          <w:szCs w:val="18"/>
        </w:rPr>
      </w:pPr>
      <w:r w:rsidRPr="0068723D">
        <w:rPr>
          <w:b/>
          <w:color w:val="000000" w:themeColor="text1"/>
          <w:sz w:val="18"/>
          <w:szCs w:val="18"/>
        </w:rPr>
        <w:t>Straty operacyjne</w:t>
      </w:r>
    </w:p>
    <w:p w14:paraId="4DD6B3DA" w14:textId="77777777" w:rsidR="0093564E" w:rsidRPr="0093564E" w:rsidRDefault="0093564E" w:rsidP="0093564E">
      <w:pPr>
        <w:spacing w:after="120"/>
        <w:jc w:val="both"/>
        <w:rPr>
          <w:color w:val="000000" w:themeColor="text1"/>
          <w:sz w:val="18"/>
          <w:szCs w:val="18"/>
        </w:rPr>
      </w:pPr>
      <w:r w:rsidRPr="0093564E">
        <w:rPr>
          <w:color w:val="000000" w:themeColor="text1"/>
          <w:sz w:val="18"/>
          <w:szCs w:val="18"/>
        </w:rPr>
        <w:t>Zdecydowana większość strat operacyjnych Grupy dotyczy następujących linii biznesowych (wyodrębnionych zgodnie z Rozporządzeniem CRR): bankowość komercyjna i bankowość detaliczna.</w:t>
      </w:r>
    </w:p>
    <w:p w14:paraId="40BE8212" w14:textId="77777777" w:rsidR="0093564E" w:rsidRPr="0093564E" w:rsidRDefault="0093564E" w:rsidP="0093564E">
      <w:pPr>
        <w:spacing w:after="120"/>
        <w:jc w:val="both"/>
        <w:rPr>
          <w:color w:val="000000" w:themeColor="text1"/>
          <w:sz w:val="18"/>
          <w:szCs w:val="18"/>
        </w:rPr>
      </w:pPr>
      <w:r w:rsidRPr="0093564E">
        <w:rPr>
          <w:color w:val="000000" w:themeColor="text1"/>
          <w:sz w:val="18"/>
          <w:szCs w:val="18"/>
        </w:rPr>
        <w:t xml:space="preserve">W podziale strat na kategorie ryzyka, największe straty Grupa ponosi z tytułu dwóch kategorii ryzyka operacyjnego: (i) przestępstw popełnionych przez osoby z zewnątrz; (ii) klientów, produktów i praktyk biznesowych. </w:t>
      </w:r>
    </w:p>
    <w:p w14:paraId="3A3F580C" w14:textId="6790B824" w:rsidR="00181463" w:rsidRPr="0093564E" w:rsidRDefault="0093564E" w:rsidP="0093564E">
      <w:pPr>
        <w:suppressAutoHyphens/>
        <w:spacing w:before="120" w:after="120"/>
        <w:jc w:val="both"/>
        <w:rPr>
          <w:rFonts w:cs="Tahoma"/>
          <w:color w:val="000000" w:themeColor="text1"/>
          <w:sz w:val="18"/>
          <w:szCs w:val="18"/>
        </w:rPr>
      </w:pPr>
      <w:r w:rsidRPr="0093564E">
        <w:rPr>
          <w:color w:val="000000" w:themeColor="text1"/>
          <w:sz w:val="18"/>
          <w:szCs w:val="18"/>
        </w:rPr>
        <w:t>Poniższa tabela przedstawia rozkład według strat rzeczywistych netto (po uwzględnieniu odzysków) poniesionych w 2019 roku przez Grupę mBanku wg kategorii ryzyka operacyjnego</w:t>
      </w:r>
      <w:r w:rsidR="00181463" w:rsidRPr="0093564E">
        <w:rPr>
          <w:color w:val="000000" w:themeColor="text1"/>
          <w:sz w:val="18"/>
          <w:szCs w:val="18"/>
        </w:rPr>
        <w:t>:</w:t>
      </w:r>
    </w:p>
    <w:tbl>
      <w:tblPr>
        <w:tblW w:w="9639" w:type="dxa"/>
        <w:tblLayout w:type="fixed"/>
        <w:tblCellMar>
          <w:left w:w="28" w:type="dxa"/>
          <w:right w:w="28" w:type="dxa"/>
        </w:tblCellMar>
        <w:tblLook w:val="04A0" w:firstRow="1" w:lastRow="0" w:firstColumn="1" w:lastColumn="0" w:noHBand="0" w:noVBand="1"/>
      </w:tblPr>
      <w:tblGrid>
        <w:gridCol w:w="3254"/>
        <w:gridCol w:w="3253"/>
        <w:gridCol w:w="3132"/>
      </w:tblGrid>
      <w:tr w:rsidR="007012E2" w:rsidRPr="0093564E" w14:paraId="2083E1E1" w14:textId="77777777" w:rsidTr="001414BE">
        <w:trPr>
          <w:trHeight w:val="340"/>
        </w:trPr>
        <w:tc>
          <w:tcPr>
            <w:tcW w:w="3062" w:type="dxa"/>
            <w:tcBorders>
              <w:top w:val="nil"/>
              <w:left w:val="nil"/>
              <w:bottom w:val="nil"/>
              <w:right w:val="single" w:sz="8" w:space="0" w:color="FFFFFF"/>
            </w:tcBorders>
            <w:shd w:val="clear" w:color="000000" w:fill="0077BD"/>
            <w:vAlign w:val="center"/>
            <w:hideMark/>
          </w:tcPr>
          <w:p w14:paraId="223E44E1" w14:textId="77777777" w:rsidR="0093564E" w:rsidRPr="0093564E" w:rsidRDefault="0093564E" w:rsidP="0093564E">
            <w:pPr>
              <w:rPr>
                <w:rFonts w:cs="Calibri"/>
                <w:b/>
                <w:bCs/>
                <w:color w:val="FFFFFF"/>
                <w:sz w:val="13"/>
                <w:szCs w:val="13"/>
              </w:rPr>
            </w:pPr>
            <w:r w:rsidRPr="0093564E">
              <w:rPr>
                <w:rFonts w:cs="Calibri"/>
                <w:b/>
                <w:bCs/>
                <w:color w:val="FFFFFF"/>
                <w:sz w:val="13"/>
                <w:szCs w:val="13"/>
              </w:rPr>
              <w:t>Kategorie zdarzeń operacyjnych</w:t>
            </w:r>
          </w:p>
        </w:tc>
        <w:tc>
          <w:tcPr>
            <w:tcW w:w="3062" w:type="dxa"/>
            <w:tcBorders>
              <w:top w:val="nil"/>
              <w:left w:val="nil"/>
              <w:bottom w:val="nil"/>
              <w:right w:val="single" w:sz="8" w:space="0" w:color="FFFFFF"/>
            </w:tcBorders>
            <w:shd w:val="clear" w:color="000000" w:fill="0077BD"/>
            <w:vAlign w:val="center"/>
            <w:hideMark/>
          </w:tcPr>
          <w:p w14:paraId="49E52A4E" w14:textId="77777777" w:rsidR="0093564E" w:rsidRPr="0093564E" w:rsidRDefault="0093564E" w:rsidP="0093564E">
            <w:pPr>
              <w:jc w:val="center"/>
              <w:rPr>
                <w:rFonts w:cs="Calibri"/>
                <w:b/>
                <w:bCs/>
                <w:color w:val="FFFFFF"/>
                <w:sz w:val="13"/>
                <w:szCs w:val="13"/>
              </w:rPr>
            </w:pPr>
            <w:r w:rsidRPr="0093564E">
              <w:rPr>
                <w:rFonts w:cs="Calibri"/>
                <w:b/>
                <w:bCs/>
                <w:color w:val="FFFFFF"/>
                <w:sz w:val="13"/>
                <w:szCs w:val="13"/>
              </w:rPr>
              <w:t>Rozkład</w:t>
            </w:r>
          </w:p>
        </w:tc>
        <w:tc>
          <w:tcPr>
            <w:tcW w:w="2948" w:type="dxa"/>
            <w:tcBorders>
              <w:top w:val="nil"/>
              <w:left w:val="nil"/>
              <w:bottom w:val="nil"/>
              <w:right w:val="nil"/>
            </w:tcBorders>
            <w:shd w:val="clear" w:color="000000" w:fill="0077BD"/>
            <w:vAlign w:val="center"/>
            <w:hideMark/>
          </w:tcPr>
          <w:p w14:paraId="7794BF82" w14:textId="77777777" w:rsidR="0093564E" w:rsidRPr="0093564E" w:rsidRDefault="0093564E" w:rsidP="0093564E">
            <w:pPr>
              <w:jc w:val="center"/>
              <w:rPr>
                <w:rFonts w:cs="Calibri"/>
                <w:b/>
                <w:bCs/>
                <w:color w:val="FFFFFF"/>
                <w:sz w:val="13"/>
                <w:szCs w:val="13"/>
              </w:rPr>
            </w:pPr>
            <w:r w:rsidRPr="0093564E">
              <w:rPr>
                <w:rFonts w:cs="Calibri"/>
                <w:b/>
                <w:bCs/>
                <w:color w:val="FFFFFF"/>
                <w:sz w:val="13"/>
                <w:szCs w:val="13"/>
              </w:rPr>
              <w:t>Wartość strat do wartości zysku brutto</w:t>
            </w:r>
          </w:p>
        </w:tc>
      </w:tr>
      <w:tr w:rsidR="001414BE" w:rsidRPr="0093564E" w14:paraId="436E2BAE" w14:textId="77777777" w:rsidTr="001414BE">
        <w:trPr>
          <w:trHeight w:val="340"/>
        </w:trPr>
        <w:tc>
          <w:tcPr>
            <w:tcW w:w="3062" w:type="dxa"/>
            <w:tcBorders>
              <w:top w:val="nil"/>
              <w:left w:val="nil"/>
              <w:bottom w:val="single" w:sz="4" w:space="0" w:color="0077BD"/>
              <w:right w:val="single" w:sz="8" w:space="0" w:color="0077BD"/>
            </w:tcBorders>
            <w:shd w:val="clear" w:color="auto" w:fill="auto"/>
            <w:noWrap/>
            <w:vAlign w:val="center"/>
            <w:hideMark/>
          </w:tcPr>
          <w:p w14:paraId="7E7D2DC1" w14:textId="77777777" w:rsidR="0093564E" w:rsidRPr="0082377D" w:rsidRDefault="0093564E" w:rsidP="0093564E">
            <w:pPr>
              <w:rPr>
                <w:rFonts w:cs="Calibri"/>
                <w:color w:val="000000" w:themeColor="text1"/>
                <w:sz w:val="13"/>
                <w:szCs w:val="13"/>
              </w:rPr>
            </w:pPr>
            <w:r w:rsidRPr="0082377D">
              <w:rPr>
                <w:rFonts w:cs="Calibri"/>
                <w:color w:val="000000" w:themeColor="text1"/>
                <w:sz w:val="13"/>
                <w:szCs w:val="13"/>
              </w:rPr>
              <w:t>Przestępstwa popełnione przez osoby z zewnątrz</w:t>
            </w:r>
          </w:p>
        </w:tc>
        <w:tc>
          <w:tcPr>
            <w:tcW w:w="3062" w:type="dxa"/>
            <w:tcBorders>
              <w:top w:val="nil"/>
              <w:left w:val="nil"/>
              <w:bottom w:val="single" w:sz="4" w:space="0" w:color="0077BD"/>
              <w:right w:val="single" w:sz="8" w:space="0" w:color="0077BD"/>
            </w:tcBorders>
            <w:shd w:val="clear" w:color="auto" w:fill="auto"/>
            <w:noWrap/>
            <w:vAlign w:val="center"/>
            <w:hideMark/>
          </w:tcPr>
          <w:p w14:paraId="23514E16"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9,59%</w:t>
            </w:r>
          </w:p>
        </w:tc>
        <w:tc>
          <w:tcPr>
            <w:tcW w:w="2948" w:type="dxa"/>
            <w:tcBorders>
              <w:top w:val="nil"/>
              <w:left w:val="nil"/>
              <w:bottom w:val="single" w:sz="4" w:space="0" w:color="0077BD"/>
              <w:right w:val="nil"/>
            </w:tcBorders>
            <w:shd w:val="clear" w:color="auto" w:fill="auto"/>
            <w:noWrap/>
            <w:vAlign w:val="center"/>
            <w:hideMark/>
          </w:tcPr>
          <w:p w14:paraId="012D56F8"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2,81%</w:t>
            </w:r>
          </w:p>
        </w:tc>
      </w:tr>
      <w:tr w:rsidR="001414BE" w:rsidRPr="0093564E" w14:paraId="5EBD985E" w14:textId="77777777" w:rsidTr="001414BE">
        <w:trPr>
          <w:trHeight w:val="284"/>
        </w:trPr>
        <w:tc>
          <w:tcPr>
            <w:tcW w:w="3062" w:type="dxa"/>
            <w:tcBorders>
              <w:top w:val="single" w:sz="4" w:space="0" w:color="0077BD"/>
              <w:left w:val="nil"/>
              <w:bottom w:val="single" w:sz="4" w:space="0" w:color="0077BD"/>
              <w:right w:val="single" w:sz="8" w:space="0" w:color="0077BD"/>
            </w:tcBorders>
            <w:shd w:val="clear" w:color="auto" w:fill="auto"/>
            <w:noWrap/>
            <w:vAlign w:val="center"/>
            <w:hideMark/>
          </w:tcPr>
          <w:p w14:paraId="748E85E7" w14:textId="77777777" w:rsidR="0093564E" w:rsidRPr="0082377D" w:rsidRDefault="0093564E" w:rsidP="0093564E">
            <w:pPr>
              <w:rPr>
                <w:rFonts w:cs="Calibri"/>
                <w:color w:val="000000" w:themeColor="text1"/>
                <w:sz w:val="13"/>
                <w:szCs w:val="13"/>
              </w:rPr>
            </w:pPr>
            <w:r w:rsidRPr="0082377D">
              <w:rPr>
                <w:rFonts w:cs="Calibri"/>
                <w:color w:val="000000" w:themeColor="text1"/>
                <w:sz w:val="13"/>
                <w:szCs w:val="13"/>
              </w:rPr>
              <w:t>Klienci, produkty i praktyki biznesowe</w:t>
            </w:r>
          </w:p>
        </w:tc>
        <w:tc>
          <w:tcPr>
            <w:tcW w:w="3062" w:type="dxa"/>
            <w:tcBorders>
              <w:top w:val="single" w:sz="4" w:space="0" w:color="0077BD"/>
              <w:left w:val="nil"/>
              <w:bottom w:val="single" w:sz="4" w:space="0" w:color="0077BD"/>
              <w:right w:val="single" w:sz="8" w:space="0" w:color="0077BD"/>
            </w:tcBorders>
            <w:shd w:val="clear" w:color="auto" w:fill="auto"/>
            <w:noWrap/>
            <w:vAlign w:val="center"/>
            <w:hideMark/>
          </w:tcPr>
          <w:p w14:paraId="1AB3F677"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89,60%</w:t>
            </w:r>
          </w:p>
        </w:tc>
        <w:tc>
          <w:tcPr>
            <w:tcW w:w="2948" w:type="dxa"/>
            <w:tcBorders>
              <w:top w:val="single" w:sz="4" w:space="0" w:color="0077BD"/>
              <w:left w:val="nil"/>
              <w:bottom w:val="single" w:sz="4" w:space="0" w:color="0077BD"/>
              <w:right w:val="nil"/>
            </w:tcBorders>
            <w:shd w:val="clear" w:color="auto" w:fill="auto"/>
            <w:noWrap/>
            <w:vAlign w:val="center"/>
            <w:hideMark/>
          </w:tcPr>
          <w:p w14:paraId="0502FD57"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26,30%</w:t>
            </w:r>
          </w:p>
        </w:tc>
      </w:tr>
      <w:tr w:rsidR="001414BE" w:rsidRPr="0093564E" w14:paraId="4F216451" w14:textId="77777777" w:rsidTr="001414BE">
        <w:trPr>
          <w:trHeight w:val="284"/>
        </w:trPr>
        <w:tc>
          <w:tcPr>
            <w:tcW w:w="3062" w:type="dxa"/>
            <w:tcBorders>
              <w:top w:val="single" w:sz="4" w:space="0" w:color="0077BD"/>
              <w:left w:val="nil"/>
              <w:bottom w:val="single" w:sz="8" w:space="0" w:color="0077BD"/>
              <w:right w:val="single" w:sz="8" w:space="0" w:color="0077BD"/>
            </w:tcBorders>
            <w:shd w:val="clear" w:color="auto" w:fill="auto"/>
            <w:noWrap/>
            <w:vAlign w:val="center"/>
            <w:hideMark/>
          </w:tcPr>
          <w:p w14:paraId="2A8B3CF8" w14:textId="77777777" w:rsidR="0093564E" w:rsidRPr="0082377D" w:rsidRDefault="0093564E" w:rsidP="0093564E">
            <w:pPr>
              <w:rPr>
                <w:rFonts w:cs="Calibri"/>
                <w:color w:val="000000" w:themeColor="text1"/>
                <w:sz w:val="13"/>
                <w:szCs w:val="13"/>
              </w:rPr>
            </w:pPr>
            <w:r w:rsidRPr="0082377D">
              <w:rPr>
                <w:rFonts w:cs="Calibri"/>
                <w:color w:val="000000" w:themeColor="text1"/>
                <w:sz w:val="13"/>
                <w:szCs w:val="13"/>
              </w:rPr>
              <w:t>Pozostałe</w:t>
            </w:r>
          </w:p>
        </w:tc>
        <w:tc>
          <w:tcPr>
            <w:tcW w:w="3062" w:type="dxa"/>
            <w:tcBorders>
              <w:top w:val="single" w:sz="4" w:space="0" w:color="0077BD"/>
              <w:left w:val="nil"/>
              <w:bottom w:val="single" w:sz="8" w:space="0" w:color="0077BD"/>
              <w:right w:val="single" w:sz="8" w:space="0" w:color="0077BD"/>
            </w:tcBorders>
            <w:shd w:val="clear" w:color="auto" w:fill="auto"/>
            <w:noWrap/>
            <w:vAlign w:val="center"/>
            <w:hideMark/>
          </w:tcPr>
          <w:p w14:paraId="3AAEC25F"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0,81%</w:t>
            </w:r>
          </w:p>
        </w:tc>
        <w:tc>
          <w:tcPr>
            <w:tcW w:w="2948" w:type="dxa"/>
            <w:tcBorders>
              <w:top w:val="single" w:sz="4" w:space="0" w:color="0077BD"/>
              <w:left w:val="nil"/>
              <w:bottom w:val="single" w:sz="8" w:space="0" w:color="0077BD"/>
              <w:right w:val="nil"/>
            </w:tcBorders>
            <w:shd w:val="clear" w:color="auto" w:fill="auto"/>
            <w:noWrap/>
            <w:vAlign w:val="center"/>
            <w:hideMark/>
          </w:tcPr>
          <w:p w14:paraId="5D638CE7"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0,24%</w:t>
            </w:r>
          </w:p>
        </w:tc>
      </w:tr>
      <w:tr w:rsidR="0093564E" w:rsidRPr="0093564E" w14:paraId="6556AAA0" w14:textId="77777777" w:rsidTr="001414BE">
        <w:trPr>
          <w:trHeight w:val="284"/>
        </w:trPr>
        <w:tc>
          <w:tcPr>
            <w:tcW w:w="3062" w:type="dxa"/>
            <w:tcBorders>
              <w:top w:val="nil"/>
              <w:left w:val="nil"/>
              <w:bottom w:val="single" w:sz="8" w:space="0" w:color="0077BD"/>
              <w:right w:val="single" w:sz="8" w:space="0" w:color="0077BD"/>
            </w:tcBorders>
            <w:shd w:val="clear" w:color="auto" w:fill="auto"/>
            <w:noWrap/>
            <w:vAlign w:val="center"/>
            <w:hideMark/>
          </w:tcPr>
          <w:p w14:paraId="4F124E91" w14:textId="77777777" w:rsidR="0093564E" w:rsidRPr="0082377D" w:rsidRDefault="0093564E" w:rsidP="0093564E">
            <w:pPr>
              <w:rPr>
                <w:rFonts w:cs="Calibri"/>
                <w:color w:val="000000" w:themeColor="text1"/>
                <w:sz w:val="13"/>
                <w:szCs w:val="13"/>
              </w:rPr>
            </w:pPr>
            <w:r w:rsidRPr="0082377D">
              <w:rPr>
                <w:rFonts w:cs="Calibri"/>
                <w:color w:val="000000" w:themeColor="text1"/>
                <w:sz w:val="13"/>
                <w:szCs w:val="13"/>
              </w:rPr>
              <w:t>Razem</w:t>
            </w:r>
          </w:p>
        </w:tc>
        <w:tc>
          <w:tcPr>
            <w:tcW w:w="3062" w:type="dxa"/>
            <w:tcBorders>
              <w:top w:val="nil"/>
              <w:left w:val="nil"/>
              <w:bottom w:val="single" w:sz="8" w:space="0" w:color="0077BD"/>
              <w:right w:val="single" w:sz="8" w:space="0" w:color="0077BD"/>
            </w:tcBorders>
            <w:shd w:val="clear" w:color="auto" w:fill="auto"/>
            <w:noWrap/>
            <w:vAlign w:val="center"/>
            <w:hideMark/>
          </w:tcPr>
          <w:p w14:paraId="0C5CF409"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100,00%</w:t>
            </w:r>
          </w:p>
        </w:tc>
        <w:tc>
          <w:tcPr>
            <w:tcW w:w="2948" w:type="dxa"/>
            <w:tcBorders>
              <w:top w:val="nil"/>
              <w:left w:val="nil"/>
              <w:bottom w:val="single" w:sz="8" w:space="0" w:color="0077BD"/>
              <w:right w:val="nil"/>
            </w:tcBorders>
            <w:shd w:val="clear" w:color="auto" w:fill="auto"/>
            <w:noWrap/>
            <w:vAlign w:val="center"/>
            <w:hideMark/>
          </w:tcPr>
          <w:p w14:paraId="650AAB33" w14:textId="77777777" w:rsidR="0093564E" w:rsidRPr="0082377D" w:rsidRDefault="0093564E" w:rsidP="0093564E">
            <w:pPr>
              <w:jc w:val="right"/>
              <w:rPr>
                <w:rFonts w:cs="Calibri"/>
                <w:color w:val="000000" w:themeColor="text1"/>
                <w:sz w:val="13"/>
                <w:szCs w:val="13"/>
              </w:rPr>
            </w:pPr>
            <w:r w:rsidRPr="0082377D">
              <w:rPr>
                <w:rFonts w:cs="Calibri"/>
                <w:color w:val="000000" w:themeColor="text1"/>
                <w:sz w:val="13"/>
                <w:szCs w:val="13"/>
              </w:rPr>
              <w:t>29,35%</w:t>
            </w:r>
          </w:p>
        </w:tc>
      </w:tr>
    </w:tbl>
    <w:p w14:paraId="012B11A0" w14:textId="3B6CD225" w:rsidR="0093564E" w:rsidRPr="0093564E" w:rsidRDefault="0093564E" w:rsidP="0093564E">
      <w:pPr>
        <w:spacing w:before="120" w:after="120"/>
        <w:jc w:val="both"/>
        <w:rPr>
          <w:sz w:val="18"/>
          <w:szCs w:val="18"/>
        </w:rPr>
      </w:pPr>
      <w:r w:rsidRPr="0093564E">
        <w:rPr>
          <w:sz w:val="18"/>
          <w:szCs w:val="18"/>
        </w:rPr>
        <w:t xml:space="preserve">Wysoki udział strat w kategorii „Klienci, produkty i praktyki biznesowe” w 2019 roku wynikał z utworzenia rezerw na ryzyko prawne dotyczące kredytów walutowych. Więcej informacji na temat powyższych rezerw znajduje się w </w:t>
      </w:r>
      <w:r w:rsidR="008F411E" w:rsidRPr="008F411E">
        <w:rPr>
          <w:sz w:val="18"/>
          <w:szCs w:val="18"/>
        </w:rPr>
        <w:t>Nocie 4 oraz w Nocie 32</w:t>
      </w:r>
      <w:r w:rsidRPr="0093564E">
        <w:rPr>
          <w:sz w:val="18"/>
          <w:szCs w:val="18"/>
        </w:rPr>
        <w:t xml:space="preserve">. </w:t>
      </w:r>
    </w:p>
    <w:p w14:paraId="267DAC11" w14:textId="0F596A0E" w:rsidR="00181463" w:rsidRPr="0068723D" w:rsidRDefault="0093564E" w:rsidP="0093564E">
      <w:pPr>
        <w:spacing w:before="120" w:after="120"/>
        <w:jc w:val="both"/>
        <w:rPr>
          <w:color w:val="000000" w:themeColor="text1"/>
          <w:sz w:val="18"/>
          <w:szCs w:val="18"/>
        </w:rPr>
      </w:pPr>
      <w:r w:rsidRPr="0093564E">
        <w:rPr>
          <w:color w:val="000000"/>
          <w:sz w:val="18"/>
          <w:szCs w:val="18"/>
        </w:rPr>
        <w:t>Poziom strat z tytułu ryzyka operacyjnego jest na bieżąco monitorowany i regularnie raportowany do</w:t>
      </w:r>
      <w:r w:rsidR="00B034B5">
        <w:rPr>
          <w:color w:val="000000"/>
          <w:sz w:val="18"/>
          <w:szCs w:val="18"/>
        </w:rPr>
        <w:t> </w:t>
      </w:r>
      <w:r w:rsidRPr="0093564E">
        <w:rPr>
          <w:color w:val="000000"/>
          <w:sz w:val="18"/>
          <w:szCs w:val="18"/>
        </w:rPr>
        <w:t>kierownictwa oraz Rady Nadzorczej Banku. Monitorowanie odbywa się na poziomie pojedynczych transakcji oraz na poziomie wielkości sumy strat. W przypadku pojedynczych zdarzeń operacyjnych z</w:t>
      </w:r>
      <w:r w:rsidR="00B034B5">
        <w:rPr>
          <w:color w:val="000000"/>
          <w:sz w:val="18"/>
          <w:szCs w:val="18"/>
        </w:rPr>
        <w:t> </w:t>
      </w:r>
      <w:r w:rsidRPr="0093564E">
        <w:rPr>
          <w:color w:val="000000"/>
          <w:sz w:val="18"/>
          <w:szCs w:val="18"/>
        </w:rPr>
        <w:t>wysoką stratą lub sumy strat przekraczającej ustalone progi wymagane jest przeprowadzenie analizy przyczyn i opracowanie planów naprawczych, które ograniczą wystąpienie podobnych strat w przyszłości</w:t>
      </w:r>
      <w:r>
        <w:rPr>
          <w:color w:val="000000"/>
          <w:sz w:val="18"/>
          <w:szCs w:val="18"/>
        </w:rPr>
        <w:t>.</w:t>
      </w:r>
    </w:p>
    <w:p w14:paraId="4BAACC2C" w14:textId="3159020F" w:rsidR="00337EE9" w:rsidRPr="0068723D" w:rsidRDefault="00337EE9" w:rsidP="00526DF1">
      <w:pPr>
        <w:pStyle w:val="Akapitzlist"/>
        <w:numPr>
          <w:ilvl w:val="2"/>
          <w:numId w:val="44"/>
        </w:numPr>
        <w:spacing w:before="240" w:after="120"/>
        <w:rPr>
          <w:b/>
          <w:color w:val="000000" w:themeColor="text1"/>
          <w:sz w:val="18"/>
          <w:szCs w:val="18"/>
          <w:lang w:eastAsia="en-US"/>
        </w:rPr>
      </w:pPr>
      <w:r w:rsidRPr="0068723D">
        <w:rPr>
          <w:b/>
          <w:color w:val="000000" w:themeColor="text1"/>
          <w:sz w:val="18"/>
          <w:szCs w:val="18"/>
          <w:lang w:eastAsia="en-US"/>
        </w:rPr>
        <w:t>Ryzyko braku zgodności</w:t>
      </w:r>
    </w:p>
    <w:p w14:paraId="65783CBF" w14:textId="77777777" w:rsidR="00181463" w:rsidRPr="0068723D" w:rsidRDefault="00181463" w:rsidP="00181463">
      <w:pPr>
        <w:autoSpaceDE w:val="0"/>
        <w:autoSpaceDN w:val="0"/>
        <w:spacing w:after="120"/>
        <w:jc w:val="both"/>
        <w:rPr>
          <w:color w:val="000000" w:themeColor="text1"/>
          <w:sz w:val="18"/>
          <w:szCs w:val="18"/>
        </w:rPr>
      </w:pPr>
      <w:r w:rsidRPr="0068723D">
        <w:rPr>
          <w:color w:val="000000" w:themeColor="text1"/>
          <w:sz w:val="18"/>
          <w:szCs w:val="18"/>
        </w:rPr>
        <w:t>Zarządzanie ryzykiem braku zgodności w mBanku jest realizowane w szczególności zgodnie z postanowieniami Polityki zgodności w mBanku S.A., która zawiera ogólne zasady zapewniania zgodności działania Banku z przepisami prawa, regulacjami wewnętrznymi i standardami rynkowymi.</w:t>
      </w:r>
    </w:p>
    <w:p w14:paraId="50BF6046" w14:textId="77777777" w:rsidR="00181463" w:rsidRPr="0068723D" w:rsidRDefault="00181463" w:rsidP="00181463">
      <w:pPr>
        <w:autoSpaceDE w:val="0"/>
        <w:autoSpaceDN w:val="0"/>
        <w:spacing w:after="120"/>
        <w:jc w:val="both"/>
        <w:rPr>
          <w:color w:val="000000" w:themeColor="text1"/>
          <w:sz w:val="18"/>
          <w:szCs w:val="18"/>
        </w:rPr>
      </w:pPr>
      <w:r w:rsidRPr="0068723D">
        <w:rPr>
          <w:color w:val="000000" w:themeColor="text1"/>
          <w:sz w:val="18"/>
          <w:szCs w:val="18"/>
        </w:rPr>
        <w:t>Przez ryzyko braku zgodności należy rozumieć skutki nieprzestrzegania przepisów prawa, regulacji wewnętrznych oraz przyjętych przez Bank standardów rynkowych. Celem zarządzania ryzykiem braku zgodności jest minimalizowanie ryzyka związanego z nieprzestrzeganiem i niedostosowaniem działalności Banku do przepisów prawa, regulacji wewnętrznych oraz przyjętych przez Bank standardów rynkowych. Przez niedostosowanie działalności Banku do przepisów, o których mowa powyżej, należy rozumieć niedostosowanie regulacji wewnętrznych do przepisów prawa i standardów rynkowych przyjętych przez Bank, w tym niewykonywanie zaleceń i rekomendacji Komisji Nadzoru Finansowego (KNF) oraz innych organów nadzoru realizujących swoje zadania wobec instytucji finansowych.</w:t>
      </w:r>
    </w:p>
    <w:p w14:paraId="58DD450E" w14:textId="35D4EB5C" w:rsidR="00181463" w:rsidRPr="0068723D" w:rsidRDefault="00181463" w:rsidP="00181463">
      <w:pPr>
        <w:autoSpaceDE w:val="0"/>
        <w:autoSpaceDN w:val="0"/>
        <w:spacing w:after="120"/>
        <w:jc w:val="both"/>
        <w:rPr>
          <w:color w:val="000000" w:themeColor="text1"/>
          <w:sz w:val="18"/>
          <w:szCs w:val="18"/>
        </w:rPr>
      </w:pPr>
      <w:r w:rsidRPr="0068723D">
        <w:rPr>
          <w:color w:val="000000" w:themeColor="text1"/>
          <w:sz w:val="18"/>
          <w:szCs w:val="18"/>
        </w:rPr>
        <w:t>Zapewnianie celów systemu kontroli wewnętrznej w zakresie zapewniania zgodności odbywa się w ramach trzech linii obrony. Na pierwszy poziom składa się zarządzanie ryzykiem w działalności operacyjnej. Na drugi poziom składa się co najmniej zarządzanie ryzykiem przez pracowników na specjalnie powoływanych do tego stanowiskach lub w jednostkach organizacyjnych, niezależnie od zarządzania ryzykiem na pierwszym poziomie oraz działalność Departamentu Compliance. Na trzeci poziom składa się</w:t>
      </w:r>
      <w:r w:rsidR="00BD144C">
        <w:rPr>
          <w:color w:val="000000" w:themeColor="text1"/>
          <w:sz w:val="18"/>
          <w:szCs w:val="18"/>
        </w:rPr>
        <w:t> </w:t>
      </w:r>
      <w:r w:rsidRPr="0068723D">
        <w:rPr>
          <w:color w:val="000000" w:themeColor="text1"/>
          <w:sz w:val="18"/>
          <w:szCs w:val="18"/>
        </w:rPr>
        <w:t>działalność Departamentu Audytu Wewnętrznego. Na wszystki</w:t>
      </w:r>
      <w:r w:rsidR="0095442A">
        <w:rPr>
          <w:color w:val="000000" w:themeColor="text1"/>
          <w:sz w:val="18"/>
          <w:szCs w:val="18"/>
        </w:rPr>
        <w:t>ch trzech poziomach pracownicy B</w:t>
      </w:r>
      <w:r w:rsidRPr="0068723D">
        <w:rPr>
          <w:color w:val="000000" w:themeColor="text1"/>
          <w:sz w:val="18"/>
          <w:szCs w:val="18"/>
        </w:rPr>
        <w:t>anku stosują mechanizmy kontrolne i niezależnie monitorują przestrzeganie tych mechanizmów.</w:t>
      </w:r>
    </w:p>
    <w:p w14:paraId="3BAF0BF1" w14:textId="7E042A04" w:rsidR="00181463" w:rsidRPr="0068723D" w:rsidRDefault="00181463" w:rsidP="00181463">
      <w:pPr>
        <w:autoSpaceDE w:val="0"/>
        <w:autoSpaceDN w:val="0"/>
        <w:spacing w:after="120"/>
        <w:jc w:val="both"/>
        <w:rPr>
          <w:color w:val="000000" w:themeColor="text1"/>
          <w:sz w:val="18"/>
          <w:szCs w:val="18"/>
        </w:rPr>
      </w:pPr>
      <w:r w:rsidRPr="0068723D">
        <w:rPr>
          <w:color w:val="000000" w:themeColor="text1"/>
          <w:sz w:val="18"/>
          <w:szCs w:val="18"/>
        </w:rPr>
        <w:t xml:space="preserve">Zapewnienie zgodności regulacji wewnętrznych banku z przepisami prawa (krajowego i międzynarodowego) i ze standardami rynkowymi przyjętymi przez bank, a także przestrzeganie regulacji </w:t>
      </w:r>
      <w:r w:rsidRPr="0068723D">
        <w:rPr>
          <w:color w:val="000000" w:themeColor="text1"/>
          <w:sz w:val="18"/>
          <w:szCs w:val="18"/>
        </w:rPr>
        <w:lastRenderedPageBreak/>
        <w:t>wewnętrznych przez pracowników Banku zapewnia osiąganie celów systemu kontroli wewnętrznej i niweluje ryzyko braku zgodności oraz minimalizuje możliwość wystąpienia bądź eliminuje następujące ryzyka: prawne, reputacji, nałożenia sankcji i powstania strat finansowych oraz ryzyka wynikającego z rozbieżności przy interpretacji przepisów prawa.</w:t>
      </w:r>
    </w:p>
    <w:p w14:paraId="0E65DD43" w14:textId="7ECD8491" w:rsidR="0003143F" w:rsidRPr="0068723D" w:rsidRDefault="00181463" w:rsidP="0003143F">
      <w:pPr>
        <w:autoSpaceDE w:val="0"/>
        <w:autoSpaceDN w:val="0"/>
        <w:spacing w:after="120"/>
        <w:jc w:val="both"/>
        <w:rPr>
          <w:rFonts w:eastAsia="Calibri"/>
          <w:color w:val="000000" w:themeColor="text1"/>
          <w:sz w:val="18"/>
          <w:szCs w:val="18"/>
        </w:rPr>
      </w:pPr>
      <w:r w:rsidRPr="0068723D">
        <w:rPr>
          <w:color w:val="000000" w:themeColor="text1"/>
          <w:sz w:val="18"/>
          <w:szCs w:val="18"/>
        </w:rPr>
        <w:t>Za realizację procesu zarządzania ryzykiem braku zgodności są odpowiedzialni wszyscy pracownicy Banku, stosownie do wykonywanego przez nich zakresu obowiązk</w:t>
      </w:r>
      <w:r w:rsidR="0003143F">
        <w:rPr>
          <w:color w:val="000000" w:themeColor="text1"/>
          <w:sz w:val="18"/>
          <w:szCs w:val="18"/>
        </w:rPr>
        <w:t xml:space="preserve">ów oraz nadanych im uprawnień. </w:t>
      </w:r>
      <w:r w:rsidRPr="0068723D">
        <w:rPr>
          <w:color w:val="000000" w:themeColor="text1"/>
          <w:sz w:val="18"/>
          <w:szCs w:val="18"/>
        </w:rPr>
        <w:t>Za koordynację i nadzór nad procesem zarządzania ryzykiem braku zgodności jest odpowiedzialny Departament Compliance.</w:t>
      </w:r>
    </w:p>
    <w:p w14:paraId="691BBD66" w14:textId="77777777" w:rsidR="00181463" w:rsidRPr="0068723D" w:rsidRDefault="00181463" w:rsidP="00181463">
      <w:pPr>
        <w:autoSpaceDE w:val="0"/>
        <w:autoSpaceDN w:val="0"/>
        <w:spacing w:after="120"/>
        <w:jc w:val="both"/>
        <w:rPr>
          <w:color w:val="000000" w:themeColor="text1"/>
          <w:sz w:val="18"/>
          <w:szCs w:val="18"/>
        </w:rPr>
      </w:pPr>
      <w:r w:rsidRPr="0068723D">
        <w:rPr>
          <w:color w:val="000000" w:themeColor="text1"/>
          <w:sz w:val="18"/>
          <w:szCs w:val="18"/>
        </w:rPr>
        <w:t>Nadzór nad wdrażaniem w podmiotach zależnych Grupy mBanku wspólnych standardów w obszarze compliance</w:t>
      </w:r>
      <w:r w:rsidRPr="0068723D">
        <w:rPr>
          <w:b/>
          <w:bCs/>
          <w:color w:val="000000" w:themeColor="text1"/>
          <w:sz w:val="18"/>
          <w:szCs w:val="18"/>
        </w:rPr>
        <w:t xml:space="preserve"> </w:t>
      </w:r>
      <w:r w:rsidRPr="0068723D">
        <w:rPr>
          <w:color w:val="000000" w:themeColor="text1"/>
          <w:sz w:val="18"/>
          <w:szCs w:val="18"/>
        </w:rPr>
        <w:t>jest realizowany w sposób nienaruszający obowiązujących przepisów prawa, regulacji ostrożnościowych i niezależności pracowników realizujących funkcję compliance w podmiotach zależnych, w szczególności na podstawie porozumień zawartych z podmiotami zależnymi.</w:t>
      </w:r>
    </w:p>
    <w:p w14:paraId="0036B161" w14:textId="77777777" w:rsidR="00337EE9" w:rsidRPr="00627B93" w:rsidRDefault="00337EE9"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09" w:hanging="709"/>
        <w:jc w:val="both"/>
        <w:outlineLvl w:val="2"/>
        <w:rPr>
          <w:b/>
          <w:color w:val="E41E0A"/>
          <w:sz w:val="18"/>
          <w:szCs w:val="18"/>
          <w:lang w:eastAsia="en-US"/>
        </w:rPr>
      </w:pPr>
      <w:bookmarkStart w:id="110" w:name="_Toc32999829"/>
      <w:r w:rsidRPr="00627B93">
        <w:rPr>
          <w:b/>
          <w:color w:val="E41E0A"/>
          <w:sz w:val="18"/>
          <w:szCs w:val="18"/>
          <w:lang w:eastAsia="en-US"/>
        </w:rPr>
        <w:t>Ryzyko biznesowe</w:t>
      </w:r>
      <w:bookmarkEnd w:id="110"/>
    </w:p>
    <w:p w14:paraId="0CD91683" w14:textId="48737AB1" w:rsidR="000A03F4" w:rsidRPr="0068723D" w:rsidRDefault="000A03F4" w:rsidP="000A03F4">
      <w:pPr>
        <w:autoSpaceDE w:val="0"/>
        <w:autoSpaceDN w:val="0"/>
        <w:adjustRightInd w:val="0"/>
        <w:spacing w:before="120" w:after="120"/>
        <w:jc w:val="both"/>
        <w:rPr>
          <w:rFonts w:eastAsia="Calibri" w:cs="Verdana"/>
          <w:color w:val="000000" w:themeColor="text1"/>
          <w:sz w:val="18"/>
          <w:szCs w:val="18"/>
        </w:rPr>
      </w:pPr>
      <w:r w:rsidRPr="0068723D">
        <w:rPr>
          <w:rFonts w:eastAsia="Calibri" w:cs="Verdana"/>
          <w:color w:val="000000" w:themeColor="text1"/>
          <w:sz w:val="18"/>
          <w:szCs w:val="18"/>
        </w:rPr>
        <w:t xml:space="preserve">Ryzyko biznesowe oznacza ryzyko strat z tytułu odchyleń </w:t>
      </w:r>
      <w:r w:rsidRPr="0068723D">
        <w:rPr>
          <w:color w:val="000000" w:themeColor="text1"/>
          <w:sz w:val="18"/>
          <w:szCs w:val="18"/>
        </w:rPr>
        <w:t>rzeczywistego wyniku operacyjnego Grupy mBanku od planowanego poziomu</w:t>
      </w:r>
      <w:r w:rsidRPr="0068723D">
        <w:rPr>
          <w:rFonts w:eastAsia="Calibri" w:cs="Verdana"/>
          <w:color w:val="000000" w:themeColor="text1"/>
          <w:sz w:val="18"/>
          <w:szCs w:val="18"/>
        </w:rPr>
        <w:t>.  Kalkulacja odchyleń wartości rzeczywistych od planowanych jest</w:t>
      </w:r>
      <w:r w:rsidR="003135F4">
        <w:rPr>
          <w:rFonts w:eastAsia="Calibri" w:cs="Verdana"/>
          <w:color w:val="000000" w:themeColor="text1"/>
          <w:sz w:val="18"/>
          <w:szCs w:val="18"/>
        </w:rPr>
        <w:t> </w:t>
      </w:r>
      <w:r w:rsidRPr="0068723D">
        <w:rPr>
          <w:rFonts w:eastAsia="Calibri" w:cs="Verdana"/>
          <w:color w:val="000000" w:themeColor="text1"/>
          <w:sz w:val="18"/>
          <w:szCs w:val="18"/>
        </w:rPr>
        <w:t>rozłączna dla części przychodowej i kosztowej. Ryzyko biznesowe obejmuje w szczególności ryzyko strategiczne, związane z możliwością wystąpienia negatywnych konsekwencji finansowych spowodowanych podjęciem błędnych lub niekorzystnych decyzji lub też wadliwą ich realizacją. Zakłada się</w:t>
      </w:r>
      <w:r w:rsidR="003135F4">
        <w:rPr>
          <w:rFonts w:eastAsia="Calibri" w:cs="Verdana"/>
          <w:color w:val="000000" w:themeColor="text1"/>
          <w:sz w:val="18"/>
          <w:szCs w:val="18"/>
        </w:rPr>
        <w:t> </w:t>
      </w:r>
      <w:r w:rsidRPr="0068723D">
        <w:rPr>
          <w:rFonts w:eastAsia="Calibri" w:cs="Verdana"/>
          <w:color w:val="000000" w:themeColor="text1"/>
          <w:sz w:val="18"/>
          <w:szCs w:val="18"/>
        </w:rPr>
        <w:t>przy tym, że skutki realizowanych decyzji strategicznych są odzwierciedlone w odchyleniach wyniku operacyjnego od poziomu planowanego w horyzoncie rocznym.</w:t>
      </w:r>
    </w:p>
    <w:p w14:paraId="7F414D4B" w14:textId="77777777" w:rsidR="000A03F4" w:rsidRPr="0068723D" w:rsidRDefault="000A03F4" w:rsidP="000A03F4">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Ryzyko biznesowe jest uwzględniane w procesie kalkulacji kapitału ekonomicznego mBanku i Grupy mBanku.</w:t>
      </w:r>
    </w:p>
    <w:p w14:paraId="073F2ECF" w14:textId="2D026BAB" w:rsidR="000A03F4" w:rsidRPr="0068723D" w:rsidRDefault="000A03F4" w:rsidP="00531C73">
      <w:pPr>
        <w:autoSpaceDE w:val="0"/>
        <w:autoSpaceDN w:val="0"/>
        <w:adjustRightInd w:val="0"/>
        <w:jc w:val="both"/>
        <w:rPr>
          <w:rFonts w:eastAsia="Calibri" w:cs="Verdana"/>
          <w:color w:val="000000" w:themeColor="text1"/>
          <w:sz w:val="18"/>
          <w:szCs w:val="18"/>
        </w:rPr>
      </w:pPr>
      <w:r w:rsidRPr="0068723D">
        <w:rPr>
          <w:rFonts w:eastAsia="Calibri" w:cs="Verdana"/>
          <w:color w:val="000000" w:themeColor="text1"/>
          <w:sz w:val="18"/>
          <w:szCs w:val="18"/>
        </w:rPr>
        <w:t>W celu efektywnego zarządzania i ograniczania ryzyka biznesowego podejmowane są</w:t>
      </w:r>
      <w:r w:rsidR="0092361B">
        <w:rPr>
          <w:rFonts w:eastAsia="Calibri" w:cs="Verdana"/>
          <w:color w:val="000000" w:themeColor="text1"/>
          <w:sz w:val="18"/>
          <w:szCs w:val="18"/>
        </w:rPr>
        <w:t xml:space="preserve"> między innymi</w:t>
      </w:r>
      <w:r w:rsidRPr="0068723D">
        <w:rPr>
          <w:rFonts w:eastAsia="Calibri" w:cs="Verdana"/>
          <w:color w:val="000000" w:themeColor="text1"/>
          <w:sz w:val="18"/>
          <w:szCs w:val="18"/>
        </w:rPr>
        <w:t>. następujące działania:</w:t>
      </w:r>
    </w:p>
    <w:p w14:paraId="1DF378B8" w14:textId="77777777" w:rsidR="000A03F4" w:rsidRPr="00531C73" w:rsidRDefault="000A03F4"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koordynacja procesu planistycznego przez Departament Controllingu i Informacji Zarządczej obejmująca weryfikację zaplanowanych danych,</w:t>
      </w:r>
    </w:p>
    <w:p w14:paraId="206AE331" w14:textId="65FA8410" w:rsidR="000A03F4" w:rsidRPr="00531C73" w:rsidRDefault="000A03F4"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regularna analiza przyczyn obserwowanych odchyleń bieżących wyników finansowych jednostek organizacyjnych Grupy mBanku od poziomu zaplanowanego i informowanie Zarządu Banku o wynikach tych analiz,</w:t>
      </w:r>
    </w:p>
    <w:p w14:paraId="3F9A990E" w14:textId="77777777" w:rsidR="000A03F4" w:rsidRPr="00531C73" w:rsidRDefault="000A03F4"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okresowa weryfikacja przyjętej strategii,</w:t>
      </w:r>
    </w:p>
    <w:p w14:paraId="6F1D30F8" w14:textId="28EE8827" w:rsidR="00627B93" w:rsidRPr="00531C73" w:rsidRDefault="000A03F4"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regularna analiza działań konkurencji</w:t>
      </w:r>
      <w:r w:rsidR="00627B93" w:rsidRPr="00531C73">
        <w:rPr>
          <w:rFonts w:cs="Tahoma"/>
          <w:bCs/>
          <w:color w:val="000000" w:themeColor="text1"/>
          <w:sz w:val="18"/>
          <w:szCs w:val="18"/>
        </w:rPr>
        <w:t>.</w:t>
      </w:r>
    </w:p>
    <w:p w14:paraId="5A52C43A" w14:textId="77777777" w:rsidR="00E859C9" w:rsidRPr="00247A07" w:rsidRDefault="00E859C9" w:rsidP="00E859C9">
      <w:pPr>
        <w:autoSpaceDE w:val="0"/>
        <w:autoSpaceDN w:val="0"/>
        <w:adjustRightInd w:val="0"/>
        <w:jc w:val="both"/>
        <w:rPr>
          <w:rFonts w:eastAsia="Calibri" w:cs="Verdana"/>
          <w:sz w:val="18"/>
          <w:szCs w:val="18"/>
          <w:highlight w:val="yellow"/>
          <w:lang w:eastAsia="en-US"/>
        </w:rPr>
      </w:pPr>
    </w:p>
    <w:p w14:paraId="343EC85A" w14:textId="77777777" w:rsidR="00337EE9" w:rsidRPr="00627B93" w:rsidRDefault="00337EE9"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jc w:val="both"/>
        <w:outlineLvl w:val="2"/>
        <w:rPr>
          <w:b/>
          <w:color w:val="E41E0A"/>
          <w:sz w:val="18"/>
          <w:szCs w:val="18"/>
        </w:rPr>
      </w:pPr>
      <w:bookmarkStart w:id="111" w:name="_Toc32999830"/>
      <w:r w:rsidRPr="00627B93">
        <w:rPr>
          <w:b/>
          <w:color w:val="E41E0A"/>
          <w:sz w:val="18"/>
          <w:szCs w:val="18"/>
        </w:rPr>
        <w:t>Ryzyko modeli</w:t>
      </w:r>
      <w:bookmarkEnd w:id="111"/>
    </w:p>
    <w:p w14:paraId="6666AAB6" w14:textId="16D8D1C1" w:rsidR="005B0BBE" w:rsidRPr="0068723D" w:rsidRDefault="005B0BBE" w:rsidP="005B0BBE">
      <w:pPr>
        <w:spacing w:after="120"/>
        <w:jc w:val="both"/>
        <w:rPr>
          <w:rFonts w:eastAsia="Calibri"/>
          <w:color w:val="000000" w:themeColor="text1"/>
          <w:sz w:val="18"/>
          <w:szCs w:val="18"/>
        </w:rPr>
      </w:pPr>
      <w:r w:rsidRPr="0068723D">
        <w:rPr>
          <w:rFonts w:eastAsia="Calibri"/>
          <w:color w:val="000000" w:themeColor="text1"/>
          <w:sz w:val="18"/>
          <w:szCs w:val="18"/>
        </w:rPr>
        <w:t>Ryzyko modeli jest rozumiane jako ryzyko negatywnych konsekwencji związanych z decyzjami podejmowanymi na podstawie danych wyjściowych modeli, które zostały nieprawidłowo zbudowane lub</w:t>
      </w:r>
      <w:r w:rsidR="00BD144C">
        <w:rPr>
          <w:rFonts w:eastAsia="Calibri"/>
          <w:color w:val="000000" w:themeColor="text1"/>
          <w:sz w:val="18"/>
          <w:szCs w:val="18"/>
        </w:rPr>
        <w:t> </w:t>
      </w:r>
      <w:r w:rsidRPr="0068723D">
        <w:rPr>
          <w:rFonts w:eastAsia="Calibri"/>
          <w:color w:val="000000" w:themeColor="text1"/>
          <w:sz w:val="18"/>
          <w:szCs w:val="18"/>
        </w:rPr>
        <w:t>są</w:t>
      </w:r>
      <w:r w:rsidR="00B034B5">
        <w:rPr>
          <w:rFonts w:eastAsia="Calibri"/>
          <w:color w:val="000000" w:themeColor="text1"/>
          <w:sz w:val="18"/>
          <w:szCs w:val="18"/>
        </w:rPr>
        <w:t> </w:t>
      </w:r>
      <w:r w:rsidRPr="0068723D">
        <w:rPr>
          <w:rFonts w:eastAsia="Calibri"/>
          <w:color w:val="000000" w:themeColor="text1"/>
          <w:sz w:val="18"/>
          <w:szCs w:val="18"/>
        </w:rPr>
        <w:t>niewłaściwie administrowane. Ryzyko modeli może skutkować stratami finansowymi, błędnymi decyzjami biznesowymi lub strategicznymi, bądź też ni</w:t>
      </w:r>
      <w:r w:rsidR="00DB5928">
        <w:rPr>
          <w:rFonts w:eastAsia="Calibri"/>
          <w:color w:val="000000" w:themeColor="text1"/>
          <w:sz w:val="18"/>
          <w:szCs w:val="18"/>
        </w:rPr>
        <w:t>ekorzystnie zaważyć na renomie B</w:t>
      </w:r>
      <w:r w:rsidRPr="0068723D">
        <w:rPr>
          <w:rFonts w:eastAsia="Calibri"/>
          <w:color w:val="000000" w:themeColor="text1"/>
          <w:sz w:val="18"/>
          <w:szCs w:val="18"/>
        </w:rPr>
        <w:t>anku.</w:t>
      </w:r>
    </w:p>
    <w:p w14:paraId="0BAFFF08" w14:textId="77777777" w:rsidR="005B0BBE" w:rsidRPr="0068723D" w:rsidRDefault="005B0BBE" w:rsidP="005B0BBE">
      <w:pPr>
        <w:spacing w:after="120"/>
        <w:jc w:val="both"/>
        <w:rPr>
          <w:rFonts w:eastAsia="Calibri"/>
          <w:color w:val="000000" w:themeColor="text1"/>
          <w:sz w:val="18"/>
          <w:szCs w:val="18"/>
        </w:rPr>
      </w:pPr>
      <w:r w:rsidRPr="0068723D">
        <w:rPr>
          <w:rFonts w:eastAsia="Calibri"/>
          <w:color w:val="000000" w:themeColor="text1"/>
          <w:sz w:val="18"/>
          <w:szCs w:val="18"/>
        </w:rPr>
        <w:t>W ryzyku modeli można wyodrębnić w szczególności następujące specyficzne podkategorie: ryzyko immanentne nierozerwalnie związane z ograniczeniami w modelowaniu danego zjawiska, ryzyko założeń, ryzyko danych, ryzyko administrowania oraz ryzyko współzależności.</w:t>
      </w:r>
    </w:p>
    <w:p w14:paraId="79D7937E" w14:textId="7D81E83A" w:rsidR="005B0BBE" w:rsidRPr="0068723D" w:rsidRDefault="005B0BBE" w:rsidP="005B0BBE">
      <w:pPr>
        <w:spacing w:after="120"/>
        <w:jc w:val="both"/>
        <w:rPr>
          <w:rFonts w:eastAsia="Calibri"/>
          <w:b/>
          <w:color w:val="000000" w:themeColor="text1"/>
          <w:sz w:val="18"/>
          <w:szCs w:val="18"/>
          <w:u w:val="single"/>
        </w:rPr>
      </w:pPr>
      <w:r w:rsidRPr="0068723D">
        <w:rPr>
          <w:rFonts w:eastAsia="Calibri"/>
          <w:color w:val="000000" w:themeColor="text1"/>
          <w:sz w:val="18"/>
          <w:szCs w:val="18"/>
        </w:rPr>
        <w:t>R</w:t>
      </w:r>
      <w:r w:rsidR="00DB5928">
        <w:rPr>
          <w:rFonts w:eastAsia="Calibri"/>
          <w:color w:val="000000" w:themeColor="text1"/>
          <w:sz w:val="18"/>
          <w:szCs w:val="18"/>
        </w:rPr>
        <w:t>yzyko modeli jest zarządzane w B</w:t>
      </w:r>
      <w:r w:rsidRPr="0068723D">
        <w:rPr>
          <w:rFonts w:eastAsia="Calibri"/>
          <w:color w:val="000000" w:themeColor="text1"/>
          <w:sz w:val="18"/>
          <w:szCs w:val="18"/>
        </w:rPr>
        <w:t>anku w sposób systemowy poprzez odpowiednie regulacje wewnętrzne dotyczące procesu zarządzania modelami i ich ryzykiem, w szczególności monitorowania i walidacji modeli.</w:t>
      </w:r>
    </w:p>
    <w:p w14:paraId="63A74528" w14:textId="4BE9E269" w:rsidR="00627B93" w:rsidRPr="0068723D" w:rsidRDefault="005B0BBE" w:rsidP="005B0BBE">
      <w:pPr>
        <w:jc w:val="both"/>
        <w:rPr>
          <w:rFonts w:cs="Arial"/>
          <w:snapToGrid w:val="0"/>
          <w:color w:val="000000" w:themeColor="text1"/>
          <w:sz w:val="18"/>
          <w:szCs w:val="18"/>
        </w:rPr>
      </w:pPr>
      <w:r w:rsidRPr="0068723D">
        <w:rPr>
          <w:rFonts w:eastAsia="Calibri" w:cs="Verdana"/>
          <w:color w:val="000000" w:themeColor="text1"/>
          <w:sz w:val="18"/>
          <w:szCs w:val="18"/>
        </w:rPr>
        <w:t>Istotną rolę w procesie zarządzania modelami i ich ryzykiem odgrywa Komitet Ryzyka Modeli. Rekomenduje on między innymi poziom tolerancji na ryzyko modeli, który jest następnie zatwierdzany przez Zarząd oraz Radę Nadzorczą Banku</w:t>
      </w:r>
      <w:r w:rsidR="00627B93" w:rsidRPr="0068723D">
        <w:rPr>
          <w:rFonts w:cs="Arial"/>
          <w:snapToGrid w:val="0"/>
          <w:color w:val="000000" w:themeColor="text1"/>
          <w:sz w:val="18"/>
          <w:szCs w:val="18"/>
        </w:rPr>
        <w:t>.</w:t>
      </w:r>
    </w:p>
    <w:p w14:paraId="2314F12A" w14:textId="77777777" w:rsidR="00627B93" w:rsidRPr="0068723D" w:rsidRDefault="00627B93" w:rsidP="00627B93">
      <w:pPr>
        <w:jc w:val="both"/>
        <w:rPr>
          <w:rFonts w:cs="Arial"/>
          <w:snapToGrid w:val="0"/>
          <w:color w:val="000000" w:themeColor="text1"/>
          <w:sz w:val="18"/>
          <w:szCs w:val="18"/>
        </w:rPr>
      </w:pPr>
    </w:p>
    <w:p w14:paraId="210783ED" w14:textId="77777777" w:rsidR="00337EE9" w:rsidRPr="00627B93" w:rsidRDefault="00337EE9"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jc w:val="both"/>
        <w:outlineLvl w:val="2"/>
        <w:rPr>
          <w:b/>
          <w:color w:val="E41E0A"/>
          <w:sz w:val="18"/>
          <w:szCs w:val="18"/>
        </w:rPr>
      </w:pPr>
      <w:bookmarkStart w:id="112" w:name="_Toc32999831"/>
      <w:r w:rsidRPr="00627B93">
        <w:rPr>
          <w:b/>
          <w:color w:val="E41E0A"/>
          <w:sz w:val="18"/>
          <w:szCs w:val="18"/>
        </w:rPr>
        <w:t>Ryzyko reputacji</w:t>
      </w:r>
      <w:bookmarkEnd w:id="112"/>
    </w:p>
    <w:p w14:paraId="2940A28E" w14:textId="2EAD3409" w:rsidR="005B0BBE" w:rsidRPr="0068723D" w:rsidRDefault="005B0BBE" w:rsidP="005B0BBE">
      <w:pPr>
        <w:autoSpaceDN w:val="0"/>
        <w:spacing w:after="120"/>
        <w:jc w:val="both"/>
        <w:textAlignment w:val="baseline"/>
        <w:rPr>
          <w:rFonts w:eastAsia="Calibri"/>
          <w:color w:val="000000" w:themeColor="text1"/>
          <w:sz w:val="18"/>
          <w:szCs w:val="18"/>
          <w:lang w:eastAsia="zh-CN"/>
        </w:rPr>
      </w:pPr>
      <w:r w:rsidRPr="0068723D">
        <w:rPr>
          <w:rFonts w:eastAsia="Calibri"/>
          <w:color w:val="000000" w:themeColor="text1"/>
          <w:sz w:val="18"/>
          <w:szCs w:val="18"/>
          <w:lang w:eastAsia="zh-CN"/>
        </w:rPr>
        <w:t>Celem zarządzania ryzykiem reputacji, definiowanym jako ryzyko wynikające z negatywnego postrzegania mBanku lub jego spółek zależnych przez interesariuszy, jest identyfikacja, ocena i ograniczanie ryzyka reputacji w ramach szczególnych procesów, aby chronić i wzmacniać dobre imię mBanku i Grupy mBanku.</w:t>
      </w:r>
    </w:p>
    <w:p w14:paraId="2FA8FB20" w14:textId="7B923FC2" w:rsidR="00835A93" w:rsidRDefault="005B0BBE" w:rsidP="005B0BBE">
      <w:pPr>
        <w:spacing w:after="120"/>
        <w:jc w:val="both"/>
        <w:rPr>
          <w:rFonts w:eastAsia="Calibri"/>
          <w:color w:val="000000" w:themeColor="text1"/>
          <w:sz w:val="18"/>
          <w:szCs w:val="18"/>
        </w:rPr>
      </w:pPr>
      <w:r w:rsidRPr="0068723D">
        <w:rPr>
          <w:rFonts w:eastAsia="Calibri"/>
          <w:color w:val="000000" w:themeColor="text1"/>
          <w:sz w:val="18"/>
          <w:szCs w:val="18"/>
        </w:rPr>
        <w:t>Wsz</w:t>
      </w:r>
      <w:r w:rsidR="00835A93">
        <w:rPr>
          <w:rFonts w:eastAsia="Calibri"/>
          <w:color w:val="000000" w:themeColor="text1"/>
          <w:sz w:val="18"/>
          <w:szCs w:val="18"/>
        </w:rPr>
        <w:t>ystkie jednostki organizacyjne B</w:t>
      </w:r>
      <w:r w:rsidRPr="0068723D">
        <w:rPr>
          <w:rFonts w:eastAsia="Calibri"/>
          <w:color w:val="000000" w:themeColor="text1"/>
          <w:sz w:val="18"/>
          <w:szCs w:val="18"/>
        </w:rPr>
        <w:t xml:space="preserve">anku, oddziały zagraniczne oraz spółki zależne są bezpośrednio odpowiedzialne za ryzyko reputacji wynikające z ich działalności operacyjnej. </w:t>
      </w:r>
    </w:p>
    <w:p w14:paraId="34A4E678" w14:textId="77777777" w:rsidR="00835A93" w:rsidRDefault="00835A93">
      <w:pPr>
        <w:rPr>
          <w:rFonts w:eastAsia="Calibri"/>
          <w:color w:val="000000" w:themeColor="text1"/>
          <w:sz w:val="18"/>
          <w:szCs w:val="18"/>
        </w:rPr>
      </w:pPr>
      <w:r>
        <w:rPr>
          <w:rFonts w:eastAsia="Calibri"/>
          <w:color w:val="000000" w:themeColor="text1"/>
          <w:sz w:val="18"/>
          <w:szCs w:val="18"/>
        </w:rPr>
        <w:br w:type="page"/>
      </w:r>
    </w:p>
    <w:p w14:paraId="00B6D6CA" w14:textId="77777777" w:rsidR="005B0BBE" w:rsidRPr="0068723D" w:rsidRDefault="005B0BBE" w:rsidP="00531C73">
      <w:pPr>
        <w:autoSpaceDN w:val="0"/>
        <w:jc w:val="both"/>
        <w:textAlignment w:val="baseline"/>
        <w:rPr>
          <w:rFonts w:eastAsia="Calibri"/>
          <w:color w:val="000000" w:themeColor="text1"/>
          <w:sz w:val="18"/>
          <w:szCs w:val="18"/>
          <w:lang w:eastAsia="zh-CN"/>
        </w:rPr>
      </w:pPr>
      <w:r w:rsidRPr="0068723D">
        <w:rPr>
          <w:rFonts w:eastAsia="Calibri"/>
          <w:color w:val="000000" w:themeColor="text1"/>
          <w:sz w:val="18"/>
          <w:szCs w:val="18"/>
          <w:lang w:eastAsia="zh-CN"/>
        </w:rPr>
        <w:lastRenderedPageBreak/>
        <w:t>W celu monitorowania i zarządzania ryzykiem reputacji mBank wykorzystuje takie narzędzia jak:</w:t>
      </w:r>
    </w:p>
    <w:p w14:paraId="015AC6E6"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 xml:space="preserve">wartości mBanku (zorientowanie na klienta, prostota, profesjonalizm, zaangażowanie i myślenie zorientowane na przyszłość), które są kodem Banku podczas budowania relacji biznesowych zarówno w ramach Grupy, jak i poza nią, </w:t>
      </w:r>
    </w:p>
    <w:p w14:paraId="128D0BEC"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badanie kultury zaangażowania – postrzeganie Banku przez pracowników,</w:t>
      </w:r>
    </w:p>
    <w:p w14:paraId="480F1BB6"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Społeczna Odpowiedzialność Biznesu – podejmowanie odpowiedzialnych działań na rzecz klientów, pracowników, środowiska naturalnego i społeczności lokalnych (w tym wolontariat pracowniczy) oraz udział w projektach Fundacji mBanku,</w:t>
      </w:r>
    </w:p>
    <w:p w14:paraId="06A6DE70"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 xml:space="preserve">monitoring publikacji prasowych, komentarzy w internecie i mediach społecznościowych, </w:t>
      </w:r>
    </w:p>
    <w:p w14:paraId="4AB02B3B"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analiza satysfakcji klientów bankowości detalicznej i korporacyjnej,</w:t>
      </w:r>
    </w:p>
    <w:p w14:paraId="63774748" w14:textId="77777777" w:rsidR="005B0BBE" w:rsidRPr="00531C73" w:rsidRDefault="005B0BBE" w:rsidP="00531C73">
      <w:pPr>
        <w:numPr>
          <w:ilvl w:val="0"/>
          <w:numId w:val="17"/>
        </w:numPr>
        <w:tabs>
          <w:tab w:val="clear" w:pos="1267"/>
        </w:tabs>
        <w:suppressAutoHyphens/>
        <w:ind w:left="426" w:right="-57" w:hanging="284"/>
        <w:jc w:val="both"/>
        <w:rPr>
          <w:rFonts w:cs="Tahoma"/>
          <w:bCs/>
          <w:color w:val="000000" w:themeColor="text1"/>
          <w:sz w:val="18"/>
          <w:szCs w:val="18"/>
        </w:rPr>
      </w:pPr>
      <w:r w:rsidRPr="00531C73">
        <w:rPr>
          <w:rFonts w:cs="Tahoma"/>
          <w:bCs/>
          <w:color w:val="000000" w:themeColor="text1"/>
          <w:sz w:val="18"/>
          <w:szCs w:val="18"/>
        </w:rPr>
        <w:t>proces wdrażania nowych produktów, gdzie ryzyko reputacji jest jednym z aspektów analizowanych podczas procesu implementacji nowych produktów,</w:t>
      </w:r>
    </w:p>
    <w:p w14:paraId="71F66E9E" w14:textId="77777777" w:rsidR="005B0BBE" w:rsidRPr="00531C73" w:rsidRDefault="005B0BBE" w:rsidP="00531C73">
      <w:pPr>
        <w:numPr>
          <w:ilvl w:val="0"/>
          <w:numId w:val="17"/>
        </w:numPr>
        <w:tabs>
          <w:tab w:val="clear" w:pos="1267"/>
        </w:tabs>
        <w:suppressAutoHyphens/>
        <w:spacing w:after="120"/>
        <w:ind w:left="426" w:right="-57" w:hanging="284"/>
        <w:jc w:val="both"/>
        <w:rPr>
          <w:rFonts w:cs="Tahoma"/>
          <w:bCs/>
          <w:color w:val="000000" w:themeColor="text1"/>
          <w:sz w:val="18"/>
          <w:szCs w:val="18"/>
        </w:rPr>
      </w:pPr>
      <w:r w:rsidRPr="00531C73">
        <w:rPr>
          <w:rFonts w:cs="Tahoma"/>
          <w:bCs/>
          <w:color w:val="000000" w:themeColor="text1"/>
          <w:sz w:val="18"/>
          <w:szCs w:val="18"/>
        </w:rPr>
        <w:t xml:space="preserve">analiza reklamacji klientów. </w:t>
      </w:r>
    </w:p>
    <w:p w14:paraId="2AF372A7" w14:textId="15FE9EF5" w:rsidR="00627B93" w:rsidRPr="0068723D" w:rsidRDefault="005B0BBE" w:rsidP="005B0BBE">
      <w:pPr>
        <w:jc w:val="both"/>
        <w:rPr>
          <w:rFonts w:eastAsia="Calibri"/>
          <w:color w:val="000000" w:themeColor="text1"/>
          <w:sz w:val="18"/>
          <w:szCs w:val="18"/>
          <w:lang w:eastAsia="en-US"/>
        </w:rPr>
      </w:pPr>
      <w:r w:rsidRPr="0068723D">
        <w:rPr>
          <w:rFonts w:eastAsia="Calibri"/>
          <w:color w:val="000000" w:themeColor="text1"/>
          <w:sz w:val="18"/>
          <w:szCs w:val="18"/>
        </w:rPr>
        <w:t>Strategia Zarządzania Ryzykiem Reputacji Grupy mBanku określa zasady i poszczególne elementy procesu zarządzania ryzykiem reputacji</w:t>
      </w:r>
      <w:r w:rsidR="00627B93" w:rsidRPr="0068723D">
        <w:rPr>
          <w:rFonts w:eastAsia="Calibri"/>
          <w:color w:val="000000" w:themeColor="text1"/>
          <w:sz w:val="18"/>
          <w:szCs w:val="18"/>
          <w:lang w:eastAsia="en-US"/>
        </w:rPr>
        <w:t xml:space="preserve">. </w:t>
      </w:r>
    </w:p>
    <w:p w14:paraId="4EB591E7" w14:textId="77777777" w:rsidR="00E859C9" w:rsidRPr="0068723D" w:rsidRDefault="00E859C9" w:rsidP="00E859C9">
      <w:pPr>
        <w:jc w:val="both"/>
        <w:rPr>
          <w:rFonts w:eastAsia="Calibri"/>
          <w:color w:val="000000" w:themeColor="text1"/>
          <w:sz w:val="18"/>
          <w:szCs w:val="18"/>
          <w:highlight w:val="yellow"/>
          <w:lang w:eastAsia="en-US"/>
        </w:rPr>
      </w:pPr>
    </w:p>
    <w:p w14:paraId="26AB3385" w14:textId="4C74DF1F" w:rsidR="00337EE9" w:rsidRDefault="00337EE9"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jc w:val="both"/>
        <w:outlineLvl w:val="2"/>
        <w:rPr>
          <w:b/>
          <w:color w:val="E41E0A"/>
          <w:sz w:val="18"/>
          <w:szCs w:val="18"/>
          <w:lang w:eastAsia="en-US"/>
        </w:rPr>
      </w:pPr>
      <w:bookmarkStart w:id="113" w:name="_Toc32999832"/>
      <w:r w:rsidRPr="00627B93">
        <w:rPr>
          <w:b/>
          <w:color w:val="E41E0A"/>
          <w:sz w:val="18"/>
          <w:szCs w:val="18"/>
          <w:lang w:eastAsia="en-US"/>
        </w:rPr>
        <w:t>Ryzyko kapitałowe</w:t>
      </w:r>
      <w:bookmarkEnd w:id="113"/>
    </w:p>
    <w:p w14:paraId="1E1584A7" w14:textId="2824A6A0" w:rsidR="003C4276" w:rsidRPr="0068723D" w:rsidRDefault="003C4276" w:rsidP="003C4276">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W Grupie mBanku funkcjonuje proces zarządzania kapitałem w celu zabezpieczenia się przed ryzykiem kapitałowym, rozumianym jako ryzyko wynikające z niezapewnienia kapitału, jak i braku możliwości osiągnięcia poziomu kapitału ad</w:t>
      </w:r>
      <w:r w:rsidR="00831E56">
        <w:rPr>
          <w:rFonts w:eastAsia="Calibri" w:cs="Verdana"/>
          <w:color w:val="000000" w:themeColor="text1"/>
          <w:sz w:val="18"/>
          <w:szCs w:val="18"/>
        </w:rPr>
        <w:t>ekwatnego do ponoszonego przez B</w:t>
      </w:r>
      <w:r w:rsidRPr="0068723D">
        <w:rPr>
          <w:rFonts w:eastAsia="Calibri" w:cs="Verdana"/>
          <w:color w:val="000000" w:themeColor="text1"/>
          <w:sz w:val="18"/>
          <w:szCs w:val="18"/>
        </w:rPr>
        <w:t>ank ryzyka prowadzonej działalności, niezbędnego do pokrycia nieoczekiwanych strat oraz spełniającego wymogi nadzorcze umożliwiające dalsze samodzielne funkcjonowanie Banku. Ryzyko kapitałowe obejmuje ryzyko nadmiernej dźwigni finansowej.</w:t>
      </w:r>
    </w:p>
    <w:p w14:paraId="3A8EC5E6" w14:textId="77777777" w:rsidR="003C4276" w:rsidRPr="0068723D" w:rsidRDefault="003C4276" w:rsidP="003C4276">
      <w:pPr>
        <w:autoSpaceDE w:val="0"/>
        <w:autoSpaceDN w:val="0"/>
        <w:adjustRightInd w:val="0"/>
        <w:spacing w:after="120"/>
        <w:jc w:val="both"/>
        <w:rPr>
          <w:rFonts w:eastAsia="Calibri" w:cs="Verdana"/>
          <w:color w:val="000000" w:themeColor="text1"/>
          <w:sz w:val="18"/>
          <w:szCs w:val="18"/>
        </w:rPr>
      </w:pPr>
      <w:r w:rsidRPr="0068723D">
        <w:rPr>
          <w:rFonts w:eastAsia="Calibri" w:cs="Verdana"/>
          <w:color w:val="000000" w:themeColor="text1"/>
          <w:sz w:val="18"/>
          <w:szCs w:val="18"/>
        </w:rPr>
        <w:t xml:space="preserve">Zarządzanie ryzykiem kapitałowym realizowane jest na poziomie jednostkowym w mBanku oraz na poziomie skonsolidowanym w Grupie mBanku. </w:t>
      </w:r>
    </w:p>
    <w:p w14:paraId="124ACA1F" w14:textId="77777777" w:rsidR="003C4276" w:rsidRPr="0068723D" w:rsidRDefault="003C4276" w:rsidP="003C4276">
      <w:pPr>
        <w:autoSpaceDE w:val="0"/>
        <w:autoSpaceDN w:val="0"/>
        <w:adjustRightInd w:val="0"/>
        <w:spacing w:after="120"/>
        <w:jc w:val="both"/>
        <w:rPr>
          <w:rFonts w:eastAsia="Calibri"/>
          <w:color w:val="000000" w:themeColor="text1"/>
          <w:sz w:val="18"/>
          <w:szCs w:val="18"/>
        </w:rPr>
      </w:pPr>
      <w:r w:rsidRPr="0068723D">
        <w:rPr>
          <w:rFonts w:eastAsia="Calibri"/>
          <w:color w:val="000000" w:themeColor="text1"/>
          <w:sz w:val="18"/>
          <w:szCs w:val="18"/>
        </w:rPr>
        <w:t>Zarządzanie kapitałem w Grupie mBanku jest zorganizowane jako proces obejmujący planowanie, zarządzanie i monitorowanie kapitału regulacyjnego oraz kapitału wewnętrznego. W ramach procesu zarządzania kapitałem prowadzony jest regularny monitoring adekwatności i efektywności kapitałowej w celu zapewnienia adekwatnego i optymalnego poziomu kapitału w Grupie mBanku. Wsparciem dla tego procesu są analizy testów warunków skrajnych, których celem jest przedstawienie dokładnego obrazu aktualnej pozycji kapitałowej oraz możliwych przyszłych zmian wynikających z przyjętych do analizy scenariuszy warunków skrajnych.</w:t>
      </w:r>
    </w:p>
    <w:p w14:paraId="4B6776B3" w14:textId="5A38B843" w:rsidR="00627B93" w:rsidRPr="0068723D" w:rsidRDefault="003C4276" w:rsidP="003C4276">
      <w:pPr>
        <w:autoSpaceDE w:val="0"/>
        <w:autoSpaceDN w:val="0"/>
        <w:adjustRightInd w:val="0"/>
        <w:jc w:val="both"/>
        <w:rPr>
          <w:rFonts w:eastAsia="Calibri" w:cs="TTE18FFF88t00"/>
          <w:color w:val="000000" w:themeColor="text1"/>
          <w:sz w:val="18"/>
          <w:szCs w:val="18"/>
        </w:rPr>
      </w:pPr>
      <w:r w:rsidRPr="0068723D">
        <w:rPr>
          <w:rFonts w:eastAsia="Calibri"/>
          <w:color w:val="000000" w:themeColor="text1"/>
          <w:sz w:val="18"/>
          <w:szCs w:val="18"/>
        </w:rPr>
        <w:t>Więcej informacji na temat adekwatności kapitałowej Grupy mBanku znajduje się w Nocie 45</w:t>
      </w:r>
      <w:r w:rsidR="00627B93" w:rsidRPr="0068723D">
        <w:rPr>
          <w:rFonts w:eastAsia="Calibri" w:cs="TTE18FFF88t00"/>
          <w:color w:val="000000" w:themeColor="text1"/>
          <w:sz w:val="18"/>
          <w:szCs w:val="18"/>
        </w:rPr>
        <w:t>.</w:t>
      </w:r>
    </w:p>
    <w:p w14:paraId="5B41968E" w14:textId="77777777" w:rsidR="00627B93" w:rsidRPr="0068723D" w:rsidRDefault="00627B93" w:rsidP="00627B93">
      <w:pPr>
        <w:autoSpaceDE w:val="0"/>
        <w:autoSpaceDN w:val="0"/>
        <w:adjustRightInd w:val="0"/>
        <w:jc w:val="both"/>
        <w:rPr>
          <w:rFonts w:eastAsia="Calibri" w:cs="TTE18FFF88t00"/>
          <w:color w:val="000000" w:themeColor="text1"/>
          <w:sz w:val="18"/>
          <w:szCs w:val="18"/>
        </w:rPr>
      </w:pPr>
    </w:p>
    <w:p w14:paraId="41CEBD77" w14:textId="3D437DC6" w:rsidR="00C64FD8" w:rsidRPr="00627B93" w:rsidRDefault="00C64FD8"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jc w:val="both"/>
        <w:outlineLvl w:val="2"/>
        <w:rPr>
          <w:b/>
          <w:color w:val="E41E0A"/>
          <w:sz w:val="18"/>
          <w:szCs w:val="18"/>
          <w:lang w:eastAsia="en-US"/>
        </w:rPr>
      </w:pPr>
      <w:bookmarkStart w:id="114" w:name="_Toc32999833"/>
      <w:r w:rsidRPr="00627B93">
        <w:rPr>
          <w:b/>
          <w:color w:val="E41E0A"/>
          <w:sz w:val="18"/>
          <w:szCs w:val="18"/>
          <w:lang w:eastAsia="en-US"/>
        </w:rPr>
        <w:t>Ryzyko regulacyjne</w:t>
      </w:r>
      <w:bookmarkEnd w:id="114"/>
    </w:p>
    <w:p w14:paraId="045B0220" w14:textId="43AE12DA" w:rsidR="00627B93" w:rsidRPr="0068723D" w:rsidRDefault="009A75CA" w:rsidP="00247A07">
      <w:pPr>
        <w:autoSpaceDE w:val="0"/>
        <w:autoSpaceDN w:val="0"/>
        <w:adjustRightInd w:val="0"/>
        <w:spacing w:before="120" w:after="120"/>
        <w:jc w:val="both"/>
        <w:rPr>
          <w:color w:val="000000" w:themeColor="text1"/>
          <w:sz w:val="18"/>
          <w:szCs w:val="18"/>
        </w:rPr>
      </w:pPr>
      <w:r w:rsidRPr="0068723D">
        <w:rPr>
          <w:color w:val="000000" w:themeColor="text1"/>
          <w:sz w:val="18"/>
          <w:szCs w:val="18"/>
        </w:rPr>
        <w:t>Ryzyko regulacyjne jako ryzyko zmian w regulacjach prawnych lub wprowadzenia nowych regulacji dotyczących określonego obszaru działalności Banku i Grupy mających wpływ na obszar adekwatności kapitałowej lub płynności, jest w Grupie uwzględnione w ramach procesu zarządzania ryzykiem kapitałowym oraz płynności</w:t>
      </w:r>
      <w:r w:rsidR="00627B93" w:rsidRPr="0068723D">
        <w:rPr>
          <w:color w:val="000000" w:themeColor="text1"/>
          <w:sz w:val="18"/>
          <w:szCs w:val="18"/>
        </w:rPr>
        <w:t>.</w:t>
      </w:r>
    </w:p>
    <w:p w14:paraId="765D36FD" w14:textId="77777777" w:rsidR="00B111ED" w:rsidRPr="00337EE9" w:rsidRDefault="00B111ED" w:rsidP="00526DF1">
      <w:pPr>
        <w:pStyle w:val="Akapitzlist"/>
        <w:keepNext/>
        <w:numPr>
          <w:ilvl w:val="1"/>
          <w:numId w:val="44"/>
        </w:numPr>
        <w:tabs>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after="120"/>
        <w:jc w:val="both"/>
        <w:outlineLvl w:val="2"/>
        <w:rPr>
          <w:b/>
          <w:color w:val="E41E0A"/>
          <w:sz w:val="18"/>
          <w:szCs w:val="18"/>
          <w:lang w:eastAsia="en-US"/>
        </w:rPr>
      </w:pPr>
      <w:bookmarkStart w:id="115" w:name="_Toc32999834"/>
      <w:r w:rsidRPr="00337EE9">
        <w:rPr>
          <w:b/>
          <w:color w:val="E41E0A"/>
          <w:sz w:val="18"/>
          <w:szCs w:val="18"/>
          <w:lang w:eastAsia="en-US"/>
        </w:rPr>
        <w:t>Wartość godziwa aktywów i zobowiązań</w:t>
      </w:r>
      <w:bookmarkEnd w:id="115"/>
    </w:p>
    <w:p w14:paraId="248FC4BF" w14:textId="77777777" w:rsidR="007E5981" w:rsidRPr="0068723D" w:rsidRDefault="007E5981" w:rsidP="007E5981">
      <w:pPr>
        <w:suppressAutoHyphens/>
        <w:spacing w:before="120"/>
        <w:jc w:val="both"/>
        <w:rPr>
          <w:rFonts w:cs="Tahoma"/>
          <w:color w:val="000000" w:themeColor="text1"/>
          <w:sz w:val="18"/>
          <w:szCs w:val="18"/>
        </w:rPr>
      </w:pPr>
      <w:r w:rsidRPr="0068723D">
        <w:rPr>
          <w:rFonts w:cs="Tahoma"/>
          <w:color w:val="000000" w:themeColor="text1"/>
          <w:sz w:val="18"/>
          <w:szCs w:val="18"/>
        </w:rPr>
        <w:t>Wartość godziwa jest rozumiana jako cena, która byłaby otrzymana ze sprzedaży składnika aktywów, bądź zapłacona w celu przeniesienia zobowiązania w transakcji przeprowadzonej na zwykłych warunkach między uczestnikami rynku na dzień wyceny. Wycena wartości godziwej opiera się na założeniu, że transakcja sprzedaży składnika aktywów lub przeniesienia zobowiązania odbywa się:</w:t>
      </w:r>
    </w:p>
    <w:p w14:paraId="3A7BA31C" w14:textId="77777777" w:rsidR="007E5981" w:rsidRPr="0068723D" w:rsidRDefault="007E5981" w:rsidP="00526DF1">
      <w:pPr>
        <w:numPr>
          <w:ilvl w:val="0"/>
          <w:numId w:val="56"/>
        </w:numPr>
        <w:shd w:val="clear" w:color="auto" w:fill="FFFFFF"/>
        <w:spacing w:before="120" w:after="120"/>
        <w:jc w:val="both"/>
        <w:rPr>
          <w:rFonts w:cs="Tahoma"/>
          <w:color w:val="000000" w:themeColor="text1"/>
          <w:sz w:val="18"/>
          <w:szCs w:val="18"/>
        </w:rPr>
      </w:pPr>
      <w:r w:rsidRPr="0068723D">
        <w:rPr>
          <w:rFonts w:cs="Tahoma"/>
          <w:color w:val="000000" w:themeColor="text1"/>
          <w:sz w:val="18"/>
          <w:szCs w:val="18"/>
        </w:rPr>
        <w:t>na głównym rynku dla danego składnika aktywów bądź zobowiązania,</w:t>
      </w:r>
    </w:p>
    <w:p w14:paraId="342D4D34" w14:textId="5ABC425F" w:rsidR="007E5981" w:rsidRPr="0068723D" w:rsidRDefault="007E5981" w:rsidP="00526DF1">
      <w:pPr>
        <w:numPr>
          <w:ilvl w:val="0"/>
          <w:numId w:val="56"/>
        </w:numPr>
        <w:shd w:val="clear" w:color="auto" w:fill="FFFFFF"/>
        <w:spacing w:before="120" w:after="120"/>
        <w:jc w:val="both"/>
        <w:rPr>
          <w:rFonts w:cs="Tahoma"/>
          <w:color w:val="000000" w:themeColor="text1"/>
          <w:sz w:val="18"/>
          <w:szCs w:val="18"/>
        </w:rPr>
      </w:pPr>
      <w:r w:rsidRPr="0068723D">
        <w:rPr>
          <w:rFonts w:cs="Tahoma"/>
          <w:color w:val="000000" w:themeColor="text1"/>
          <w:sz w:val="18"/>
          <w:szCs w:val="18"/>
        </w:rPr>
        <w:t>w przypadku braku głównego rynku, na najkorzystniejszym rynku dla danego składnika aktywów lub</w:t>
      </w:r>
      <w:r w:rsidR="00B034B5">
        <w:rPr>
          <w:rFonts w:cs="Tahoma"/>
          <w:color w:val="000000" w:themeColor="text1"/>
          <w:sz w:val="18"/>
          <w:szCs w:val="18"/>
        </w:rPr>
        <w:t> </w:t>
      </w:r>
      <w:r w:rsidRPr="0068723D">
        <w:rPr>
          <w:rFonts w:cs="Tahoma"/>
          <w:color w:val="000000" w:themeColor="text1"/>
          <w:sz w:val="18"/>
          <w:szCs w:val="18"/>
        </w:rPr>
        <w:t>zobowiązania.</w:t>
      </w:r>
    </w:p>
    <w:p w14:paraId="48F78A2C" w14:textId="7BE1C8C5" w:rsidR="007E5981" w:rsidRPr="0068723D" w:rsidRDefault="007E5981" w:rsidP="007E5981">
      <w:pPr>
        <w:suppressAutoHyphens/>
        <w:spacing w:before="120"/>
        <w:jc w:val="both"/>
        <w:rPr>
          <w:rFonts w:cs="Tahoma"/>
          <w:color w:val="000000" w:themeColor="text1"/>
          <w:sz w:val="18"/>
          <w:szCs w:val="18"/>
        </w:rPr>
      </w:pPr>
      <w:r w:rsidRPr="0068723D">
        <w:rPr>
          <w:rFonts w:cs="Tahoma"/>
          <w:color w:val="000000" w:themeColor="text1"/>
          <w:sz w:val="18"/>
          <w:szCs w:val="18"/>
        </w:rPr>
        <w:t>Zgodnie z MSSF 9 w celach księgowych Grupa wycenia aktywa i zobowiązania finansowe według zamortyzowanego kosztu lub w wartości godziwej. Ponadto dla pozycji wycenianych księgowo według zamortyzowanego kosztu przeprowadzana jest na potrzeby ujawnień w sprawozdaniach finansowych - zgodnie z wymaganiami MSSF 7 - wycena w wartości godziwej.</w:t>
      </w:r>
    </w:p>
    <w:p w14:paraId="5B7CA25C" w14:textId="605D804C" w:rsidR="007E5981" w:rsidRPr="0068723D" w:rsidRDefault="007E5981" w:rsidP="007E5981">
      <w:pPr>
        <w:suppressAutoHyphens/>
        <w:spacing w:before="120"/>
        <w:jc w:val="both"/>
        <w:rPr>
          <w:rFonts w:cs="Tahoma"/>
          <w:color w:val="000000" w:themeColor="text1"/>
          <w:sz w:val="18"/>
          <w:szCs w:val="18"/>
        </w:rPr>
      </w:pPr>
      <w:r w:rsidRPr="0068723D">
        <w:rPr>
          <w:rFonts w:cs="Tahoma"/>
          <w:color w:val="000000" w:themeColor="text1"/>
          <w:sz w:val="18"/>
          <w:szCs w:val="18"/>
        </w:rPr>
        <w:t xml:space="preserve">Podejście do księgowej wyceny aktywów kredytowych w wartości godziwej - zgodnie z wymaganiami MSSF 9 - zostało opisane w rozdziale </w:t>
      </w:r>
      <w:r w:rsidR="00B302F8" w:rsidRPr="0068723D">
        <w:rPr>
          <w:rFonts w:cs="Tahoma"/>
          <w:color w:val="000000" w:themeColor="text1"/>
          <w:sz w:val="18"/>
          <w:szCs w:val="18"/>
        </w:rPr>
        <w:t>3.3</w:t>
      </w:r>
      <w:r w:rsidRPr="0068723D">
        <w:rPr>
          <w:rFonts w:cs="Tahoma"/>
          <w:color w:val="000000" w:themeColor="text1"/>
          <w:sz w:val="18"/>
          <w:szCs w:val="18"/>
        </w:rPr>
        <w:t>.7.</w:t>
      </w:r>
    </w:p>
    <w:p w14:paraId="576D7E3C" w14:textId="7EAF77CB" w:rsidR="007E5981" w:rsidRPr="0068723D" w:rsidRDefault="007E5981" w:rsidP="007E5981">
      <w:pPr>
        <w:suppressAutoHyphens/>
        <w:spacing w:before="120"/>
        <w:jc w:val="both"/>
        <w:rPr>
          <w:rFonts w:cs="Tahoma"/>
          <w:color w:val="000000" w:themeColor="text1"/>
          <w:sz w:val="18"/>
          <w:szCs w:val="18"/>
        </w:rPr>
      </w:pPr>
      <w:r w:rsidRPr="0068723D">
        <w:rPr>
          <w:rFonts w:cs="Tahoma"/>
          <w:color w:val="000000" w:themeColor="text1"/>
          <w:sz w:val="18"/>
          <w:szCs w:val="18"/>
        </w:rPr>
        <w:lastRenderedPageBreak/>
        <w:t>Zgodnie z praktykami rynkowymi Grupa wycenia instrumenty finansowe, w których utrzymuje otwarte pozycje, stosując ceny rynkowe (wycena do rynku) lub uznane w praktyce rynkowej modele wyceny (wycena z modelu) zasilane cenami lub parametrami rynkowymi, a w nielicznych przypadkach parametrami estymowanymi wewnętrznie przez Grupę. Wszystkie istotne otwarte pozycje w instrumentach pochodnych są wyceniane modelami rynkowymi, które są zasilane cenami lub parametrami obserwowalnymi przez rynek. Papiery komercyjne emitentów krajowych są wyceniane głównie z modelu (dyskontowanie przepływów finansowych), który oprócz rynkowej krzywej stóp procentowych używa spreadów kredytowych wyznaczonych wewnętrznie.</w:t>
      </w:r>
    </w:p>
    <w:p w14:paraId="1E90A355" w14:textId="12578117" w:rsidR="007E5981" w:rsidRPr="0068723D" w:rsidRDefault="007E5981" w:rsidP="007E5981">
      <w:pPr>
        <w:suppressAutoHyphens/>
        <w:spacing w:before="120"/>
        <w:jc w:val="both"/>
        <w:rPr>
          <w:rFonts w:cs="Tahoma"/>
          <w:color w:val="000000" w:themeColor="text1"/>
          <w:sz w:val="18"/>
          <w:szCs w:val="18"/>
        </w:rPr>
      </w:pPr>
      <w:r w:rsidRPr="0068723D">
        <w:rPr>
          <w:rFonts w:cs="Tahoma"/>
          <w:color w:val="000000" w:themeColor="text1"/>
          <w:sz w:val="18"/>
          <w:szCs w:val="18"/>
        </w:rPr>
        <w:t xml:space="preserve">Dla potrzeb ujawnień Grupa przyjęła założenie, że wartość godziwa krótkoterminowych zobowiązań finansowych (poniżej 1 roku) jest równa ich wartości księgowej. W przypadku zobowiązań finansowych powyżej 1 roku wartość godziwa szacowana jest na podstawie zdyskontowanych przepływów pieniężnych przy zastosowaniu odpowiednich stóp procentowych. </w:t>
      </w:r>
    </w:p>
    <w:p w14:paraId="2DD6BE0F" w14:textId="78571A87" w:rsidR="007E5981" w:rsidRPr="0068723D" w:rsidRDefault="007E5981" w:rsidP="00E1151F">
      <w:pPr>
        <w:suppressAutoHyphens/>
        <w:spacing w:before="120" w:after="120"/>
        <w:jc w:val="both"/>
        <w:rPr>
          <w:rFonts w:cs="Tahoma"/>
          <w:b/>
          <w:color w:val="000000" w:themeColor="text1"/>
          <w:sz w:val="18"/>
          <w:szCs w:val="18"/>
          <w:u w:val="single"/>
        </w:rPr>
      </w:pPr>
      <w:r w:rsidRPr="0068723D">
        <w:rPr>
          <w:rFonts w:cs="Tahoma"/>
          <w:b/>
          <w:color w:val="000000" w:themeColor="text1"/>
          <w:sz w:val="18"/>
          <w:szCs w:val="18"/>
          <w:u w:val="single"/>
        </w:rPr>
        <w:t>Pozycje wyceniane księgowo do zamortyzowanego kosztu</w:t>
      </w:r>
    </w:p>
    <w:p w14:paraId="2246188C" w14:textId="1492666C" w:rsidR="007E5981" w:rsidRPr="0068723D" w:rsidRDefault="007E5981" w:rsidP="007E5981">
      <w:pPr>
        <w:spacing w:before="120"/>
        <w:jc w:val="both"/>
        <w:rPr>
          <w:rFonts w:cs="Tahoma"/>
          <w:color w:val="000000" w:themeColor="text1"/>
          <w:sz w:val="18"/>
          <w:szCs w:val="18"/>
        </w:rPr>
      </w:pPr>
      <w:r w:rsidRPr="0068723D">
        <w:rPr>
          <w:rFonts w:cs="Tahoma"/>
          <w:color w:val="000000" w:themeColor="text1"/>
          <w:sz w:val="18"/>
          <w:szCs w:val="18"/>
        </w:rPr>
        <w:t>W poniższej tabeli przedstawiono zestawienie wartości księgowych oraz wartości godziwych dla każdej grupy aktywów i zobowiązań finansowych, które nie zostały wykazane w sprawozdaniu z sytuacji finansowej Grupy w wartości godziwej.</w:t>
      </w:r>
    </w:p>
    <w:p w14:paraId="4F6FFDAC" w14:textId="77777777" w:rsidR="000D2E92" w:rsidRPr="0068723D" w:rsidRDefault="000D2E92" w:rsidP="000D2E92">
      <w:pPr>
        <w:jc w:val="both"/>
        <w:rPr>
          <w:rFonts w:cs="Tahoma"/>
          <w:color w:val="000000" w:themeColor="text1"/>
          <w:sz w:val="18"/>
          <w:szCs w:val="18"/>
        </w:rPr>
      </w:pPr>
    </w:p>
    <w:tbl>
      <w:tblPr>
        <w:tblW w:w="0" w:type="auto"/>
        <w:tblCellMar>
          <w:left w:w="28" w:type="dxa"/>
          <w:right w:w="28" w:type="dxa"/>
        </w:tblCellMar>
        <w:tblLook w:val="04A0" w:firstRow="1" w:lastRow="0" w:firstColumn="1" w:lastColumn="0" w:noHBand="0" w:noVBand="1"/>
      </w:tblPr>
      <w:tblGrid>
        <w:gridCol w:w="4409"/>
        <w:gridCol w:w="1332"/>
        <w:gridCol w:w="1249"/>
        <w:gridCol w:w="1332"/>
        <w:gridCol w:w="1249"/>
      </w:tblGrid>
      <w:tr w:rsidR="00CA6B0E" w:rsidRPr="00CA6B0E" w14:paraId="4683B1AF" w14:textId="77777777" w:rsidTr="00990265">
        <w:trPr>
          <w:trHeight w:val="284"/>
        </w:trPr>
        <w:tc>
          <w:tcPr>
            <w:tcW w:w="0" w:type="auto"/>
            <w:vMerge w:val="restart"/>
            <w:tcBorders>
              <w:top w:val="nil"/>
              <w:left w:val="nil"/>
              <w:right w:val="nil"/>
            </w:tcBorders>
            <w:shd w:val="clear" w:color="000000" w:fill="0077BD"/>
            <w:vAlign w:val="center"/>
            <w:hideMark/>
          </w:tcPr>
          <w:p w14:paraId="4FC38B7F" w14:textId="58AFB201" w:rsidR="00CA6B0E" w:rsidRPr="00CA6B0E" w:rsidRDefault="00CA6B0E" w:rsidP="00CA6B0E">
            <w:pPr>
              <w:rPr>
                <w:rFonts w:cs="Calibri"/>
                <w:b/>
                <w:bCs/>
                <w:color w:val="FFFFFF"/>
                <w:sz w:val="13"/>
                <w:szCs w:val="13"/>
              </w:rPr>
            </w:pPr>
          </w:p>
        </w:tc>
        <w:tc>
          <w:tcPr>
            <w:tcW w:w="0" w:type="auto"/>
            <w:gridSpan w:val="2"/>
            <w:tcBorders>
              <w:top w:val="nil"/>
              <w:left w:val="single" w:sz="8" w:space="0" w:color="FFFFFF"/>
              <w:bottom w:val="single" w:sz="6" w:space="0" w:color="FFFFFF"/>
              <w:right w:val="single" w:sz="8" w:space="0" w:color="FFFFFF"/>
            </w:tcBorders>
            <w:shd w:val="clear" w:color="000000" w:fill="0077BD"/>
            <w:vAlign w:val="center"/>
            <w:hideMark/>
          </w:tcPr>
          <w:p w14:paraId="1BCB68D9" w14:textId="77777777" w:rsidR="00CA6B0E" w:rsidRPr="00CA6B0E" w:rsidRDefault="00CA6B0E" w:rsidP="00CA6B0E">
            <w:pPr>
              <w:jc w:val="center"/>
              <w:rPr>
                <w:rFonts w:cs="Calibri"/>
                <w:b/>
                <w:bCs/>
                <w:color w:val="FFFFFF"/>
                <w:sz w:val="13"/>
                <w:szCs w:val="13"/>
              </w:rPr>
            </w:pPr>
            <w:r w:rsidRPr="00CA6B0E">
              <w:rPr>
                <w:rFonts w:cs="Calibri"/>
                <w:b/>
                <w:bCs/>
                <w:color w:val="FFFFFF"/>
                <w:sz w:val="13"/>
                <w:szCs w:val="13"/>
              </w:rPr>
              <w:t>31.12.2019</w:t>
            </w:r>
          </w:p>
        </w:tc>
        <w:tc>
          <w:tcPr>
            <w:tcW w:w="0" w:type="auto"/>
            <w:gridSpan w:val="2"/>
            <w:tcBorders>
              <w:top w:val="nil"/>
              <w:left w:val="single" w:sz="8" w:space="0" w:color="FFFFFF"/>
              <w:bottom w:val="single" w:sz="6" w:space="0" w:color="FFFFFF"/>
              <w:right w:val="single" w:sz="8" w:space="0" w:color="FFFFFF"/>
            </w:tcBorders>
            <w:shd w:val="clear" w:color="000000" w:fill="0077BD"/>
            <w:vAlign w:val="center"/>
            <w:hideMark/>
          </w:tcPr>
          <w:p w14:paraId="6581FAE9" w14:textId="77777777" w:rsidR="00CA6B0E" w:rsidRPr="00CA6B0E" w:rsidRDefault="00CA6B0E" w:rsidP="00CA6B0E">
            <w:pPr>
              <w:jc w:val="center"/>
              <w:rPr>
                <w:rFonts w:cs="Calibri"/>
                <w:b/>
                <w:bCs/>
                <w:color w:val="FFFFFF"/>
                <w:sz w:val="13"/>
                <w:szCs w:val="13"/>
              </w:rPr>
            </w:pPr>
            <w:r w:rsidRPr="00CA6B0E">
              <w:rPr>
                <w:rFonts w:cs="Calibri"/>
                <w:b/>
                <w:bCs/>
                <w:color w:val="FFFFFF"/>
                <w:sz w:val="13"/>
                <w:szCs w:val="13"/>
              </w:rPr>
              <w:t>31.12.2018</w:t>
            </w:r>
          </w:p>
        </w:tc>
      </w:tr>
      <w:tr w:rsidR="00CA6B0E" w:rsidRPr="00CA6B0E" w14:paraId="7DC9F26B" w14:textId="77777777" w:rsidTr="00990265">
        <w:trPr>
          <w:trHeight w:val="340"/>
        </w:trPr>
        <w:tc>
          <w:tcPr>
            <w:tcW w:w="0" w:type="auto"/>
            <w:vMerge/>
            <w:tcBorders>
              <w:left w:val="nil"/>
              <w:bottom w:val="nil"/>
              <w:right w:val="nil"/>
            </w:tcBorders>
            <w:shd w:val="clear" w:color="000000" w:fill="0077BD"/>
            <w:noWrap/>
            <w:vAlign w:val="center"/>
            <w:hideMark/>
          </w:tcPr>
          <w:p w14:paraId="454455C6" w14:textId="5D040631" w:rsidR="00CA6B0E" w:rsidRPr="00CA6B0E" w:rsidRDefault="00CA6B0E" w:rsidP="00CA6B0E">
            <w:pPr>
              <w:rPr>
                <w:rFonts w:cs="Calibri"/>
                <w:color w:val="FFFFFF"/>
                <w:sz w:val="13"/>
                <w:szCs w:val="13"/>
              </w:rPr>
            </w:pPr>
          </w:p>
        </w:tc>
        <w:tc>
          <w:tcPr>
            <w:tcW w:w="0" w:type="auto"/>
            <w:tcBorders>
              <w:top w:val="single" w:sz="6" w:space="0" w:color="FFFFFF"/>
              <w:left w:val="single" w:sz="8" w:space="0" w:color="FFFFFF"/>
              <w:bottom w:val="nil"/>
              <w:right w:val="single" w:sz="8" w:space="0" w:color="FFFFFF"/>
            </w:tcBorders>
            <w:shd w:val="clear" w:color="000000" w:fill="0077BD"/>
            <w:vAlign w:val="center"/>
            <w:hideMark/>
          </w:tcPr>
          <w:p w14:paraId="699B668B" w14:textId="77777777" w:rsidR="00CA6B0E" w:rsidRPr="00CA6B0E" w:rsidRDefault="00CA6B0E" w:rsidP="00CA6B0E">
            <w:pPr>
              <w:jc w:val="right"/>
              <w:rPr>
                <w:rFonts w:cs="Calibri"/>
                <w:b/>
                <w:bCs/>
                <w:color w:val="FFFFFF"/>
                <w:sz w:val="13"/>
                <w:szCs w:val="13"/>
              </w:rPr>
            </w:pPr>
            <w:r w:rsidRPr="00CA6B0E">
              <w:rPr>
                <w:rFonts w:cs="Calibri"/>
                <w:b/>
                <w:bCs/>
                <w:color w:val="FFFFFF"/>
                <w:sz w:val="13"/>
                <w:szCs w:val="13"/>
              </w:rPr>
              <w:t>Wartość księgowa</w:t>
            </w:r>
          </w:p>
        </w:tc>
        <w:tc>
          <w:tcPr>
            <w:tcW w:w="0" w:type="auto"/>
            <w:tcBorders>
              <w:top w:val="single" w:sz="6" w:space="0" w:color="FFFFFF"/>
              <w:left w:val="nil"/>
              <w:bottom w:val="nil"/>
              <w:right w:val="nil"/>
            </w:tcBorders>
            <w:shd w:val="clear" w:color="000000" w:fill="0077BD"/>
            <w:vAlign w:val="center"/>
            <w:hideMark/>
          </w:tcPr>
          <w:p w14:paraId="09B9C5A1" w14:textId="77777777" w:rsidR="00CA6B0E" w:rsidRPr="00CA6B0E" w:rsidRDefault="00CA6B0E" w:rsidP="00CA6B0E">
            <w:pPr>
              <w:jc w:val="right"/>
              <w:rPr>
                <w:rFonts w:cs="Calibri"/>
                <w:b/>
                <w:bCs/>
                <w:color w:val="FFFFFF"/>
                <w:sz w:val="13"/>
                <w:szCs w:val="13"/>
              </w:rPr>
            </w:pPr>
            <w:r w:rsidRPr="00CA6B0E">
              <w:rPr>
                <w:rFonts w:cs="Calibri"/>
                <w:b/>
                <w:bCs/>
                <w:color w:val="FFFFFF"/>
                <w:sz w:val="13"/>
                <w:szCs w:val="13"/>
              </w:rPr>
              <w:t>Wartość godziwa</w:t>
            </w:r>
          </w:p>
        </w:tc>
        <w:tc>
          <w:tcPr>
            <w:tcW w:w="0" w:type="auto"/>
            <w:tcBorders>
              <w:top w:val="single" w:sz="6" w:space="0" w:color="FFFFFF"/>
              <w:left w:val="single" w:sz="8" w:space="0" w:color="FFFFFF"/>
              <w:bottom w:val="nil"/>
              <w:right w:val="single" w:sz="8" w:space="0" w:color="FFFFFF"/>
            </w:tcBorders>
            <w:shd w:val="clear" w:color="000000" w:fill="0077BD"/>
            <w:vAlign w:val="center"/>
            <w:hideMark/>
          </w:tcPr>
          <w:p w14:paraId="36DF70E1" w14:textId="77777777" w:rsidR="00CA6B0E" w:rsidRPr="00CA6B0E" w:rsidRDefault="00CA6B0E" w:rsidP="00CA6B0E">
            <w:pPr>
              <w:jc w:val="right"/>
              <w:rPr>
                <w:rFonts w:cs="Calibri"/>
                <w:b/>
                <w:bCs/>
                <w:color w:val="FFFFFF"/>
                <w:sz w:val="13"/>
                <w:szCs w:val="13"/>
              </w:rPr>
            </w:pPr>
            <w:r w:rsidRPr="00CA6B0E">
              <w:rPr>
                <w:rFonts w:cs="Calibri"/>
                <w:b/>
                <w:bCs/>
                <w:color w:val="FFFFFF"/>
                <w:sz w:val="13"/>
                <w:szCs w:val="13"/>
              </w:rPr>
              <w:t>Wartość księgowa</w:t>
            </w:r>
          </w:p>
        </w:tc>
        <w:tc>
          <w:tcPr>
            <w:tcW w:w="0" w:type="auto"/>
            <w:tcBorders>
              <w:top w:val="single" w:sz="6" w:space="0" w:color="FFFFFF"/>
              <w:left w:val="nil"/>
              <w:bottom w:val="nil"/>
              <w:right w:val="nil"/>
            </w:tcBorders>
            <w:shd w:val="clear" w:color="000000" w:fill="0077BD"/>
            <w:vAlign w:val="center"/>
            <w:hideMark/>
          </w:tcPr>
          <w:p w14:paraId="34FA34D7" w14:textId="77777777" w:rsidR="00CA6B0E" w:rsidRPr="00CA6B0E" w:rsidRDefault="00CA6B0E" w:rsidP="00CA6B0E">
            <w:pPr>
              <w:jc w:val="right"/>
              <w:rPr>
                <w:rFonts w:cs="Calibri"/>
                <w:b/>
                <w:bCs/>
                <w:color w:val="FFFFFF"/>
                <w:sz w:val="13"/>
                <w:szCs w:val="13"/>
              </w:rPr>
            </w:pPr>
            <w:r w:rsidRPr="00CA6B0E">
              <w:rPr>
                <w:rFonts w:cs="Calibri"/>
                <w:b/>
                <w:bCs/>
                <w:color w:val="FFFFFF"/>
                <w:sz w:val="13"/>
                <w:szCs w:val="13"/>
              </w:rPr>
              <w:t>Wartość godziwa</w:t>
            </w:r>
          </w:p>
        </w:tc>
      </w:tr>
      <w:tr w:rsidR="000D2E92" w:rsidRPr="0068723D" w14:paraId="2E9AE119" w14:textId="77777777" w:rsidTr="00343A7A">
        <w:trPr>
          <w:trHeight w:val="284"/>
        </w:trPr>
        <w:tc>
          <w:tcPr>
            <w:tcW w:w="0" w:type="auto"/>
            <w:gridSpan w:val="5"/>
            <w:tcBorders>
              <w:top w:val="nil"/>
              <w:left w:val="nil"/>
              <w:bottom w:val="single" w:sz="8" w:space="0" w:color="0077BD"/>
              <w:right w:val="nil"/>
            </w:tcBorders>
            <w:shd w:val="clear" w:color="auto" w:fill="auto"/>
            <w:noWrap/>
            <w:vAlign w:val="center"/>
            <w:hideMark/>
          </w:tcPr>
          <w:p w14:paraId="4765FCAA" w14:textId="77777777" w:rsidR="00CA6B0E" w:rsidRPr="0068723D" w:rsidRDefault="00CA6B0E" w:rsidP="00CA6B0E">
            <w:pPr>
              <w:rPr>
                <w:rFonts w:cs="Calibri"/>
                <w:b/>
                <w:bCs/>
                <w:color w:val="000000" w:themeColor="text1"/>
                <w:sz w:val="13"/>
                <w:szCs w:val="13"/>
              </w:rPr>
            </w:pPr>
            <w:r w:rsidRPr="0068723D">
              <w:rPr>
                <w:rFonts w:cs="Calibri"/>
                <w:b/>
                <w:bCs/>
                <w:color w:val="000000" w:themeColor="text1"/>
                <w:sz w:val="13"/>
                <w:szCs w:val="13"/>
              </w:rPr>
              <w:t>Aktywa finansowe wyceniane w zamortyzowanym koszcie</w:t>
            </w:r>
          </w:p>
        </w:tc>
      </w:tr>
      <w:tr w:rsidR="00561100" w:rsidRPr="0068723D" w14:paraId="42BE1126" w14:textId="77777777" w:rsidTr="00D63A49">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06BA3FAC"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Dłużne papiery wartościowe</w:t>
            </w:r>
          </w:p>
        </w:tc>
        <w:tc>
          <w:tcPr>
            <w:tcW w:w="0" w:type="auto"/>
            <w:tcBorders>
              <w:top w:val="single" w:sz="8" w:space="0" w:color="0077BD"/>
              <w:left w:val="nil"/>
              <w:bottom w:val="single" w:sz="8" w:space="0" w:color="0077BD"/>
              <w:right w:val="single" w:sz="8" w:space="0" w:color="0077BD"/>
            </w:tcBorders>
            <w:shd w:val="clear" w:color="auto" w:fill="auto"/>
            <w:vAlign w:val="center"/>
          </w:tcPr>
          <w:p w14:paraId="322956D1" w14:textId="1848ED55" w:rsidR="00561100" w:rsidRPr="00561100" w:rsidRDefault="00561100" w:rsidP="00561100">
            <w:pPr>
              <w:jc w:val="right"/>
              <w:rPr>
                <w:rFonts w:cs="Calibri"/>
                <w:b/>
                <w:bCs/>
                <w:color w:val="000000" w:themeColor="text1"/>
                <w:sz w:val="13"/>
                <w:szCs w:val="13"/>
              </w:rPr>
            </w:pPr>
            <w:r w:rsidRPr="00561100">
              <w:rPr>
                <w:rFonts w:cs="Calibri"/>
                <w:b/>
                <w:bCs/>
                <w:sz w:val="13"/>
                <w:szCs w:val="13"/>
              </w:rPr>
              <w:t>11 234 873</w:t>
            </w:r>
          </w:p>
        </w:tc>
        <w:tc>
          <w:tcPr>
            <w:tcW w:w="0" w:type="auto"/>
            <w:tcBorders>
              <w:top w:val="single" w:sz="8" w:space="0" w:color="0077BD"/>
              <w:left w:val="nil"/>
              <w:bottom w:val="single" w:sz="8" w:space="0" w:color="0077BD"/>
              <w:right w:val="single" w:sz="8" w:space="0" w:color="0077BD"/>
            </w:tcBorders>
            <w:shd w:val="clear" w:color="auto" w:fill="auto"/>
            <w:vAlign w:val="center"/>
          </w:tcPr>
          <w:p w14:paraId="76F465A4" w14:textId="40C5A78D" w:rsidR="00561100" w:rsidRPr="00561100" w:rsidRDefault="00561100" w:rsidP="00561100">
            <w:pPr>
              <w:jc w:val="right"/>
              <w:rPr>
                <w:rFonts w:cs="Calibri"/>
                <w:b/>
                <w:bCs/>
                <w:color w:val="000000" w:themeColor="text1"/>
                <w:sz w:val="13"/>
                <w:szCs w:val="13"/>
              </w:rPr>
            </w:pPr>
            <w:r w:rsidRPr="00561100">
              <w:rPr>
                <w:rFonts w:cs="Calibri"/>
                <w:b/>
                <w:bCs/>
                <w:sz w:val="13"/>
                <w:szCs w:val="13"/>
              </w:rPr>
              <w:t>11 409 164</w:t>
            </w:r>
          </w:p>
        </w:tc>
        <w:tc>
          <w:tcPr>
            <w:tcW w:w="0" w:type="auto"/>
            <w:tcBorders>
              <w:top w:val="nil"/>
              <w:left w:val="nil"/>
              <w:bottom w:val="single" w:sz="8" w:space="0" w:color="0077BD"/>
              <w:right w:val="single" w:sz="8" w:space="0" w:color="0077BD"/>
            </w:tcBorders>
            <w:shd w:val="clear" w:color="auto" w:fill="auto"/>
            <w:vAlign w:val="center"/>
            <w:hideMark/>
          </w:tcPr>
          <w:p w14:paraId="18EC3CFE"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9 000 539</w:t>
            </w:r>
          </w:p>
        </w:tc>
        <w:tc>
          <w:tcPr>
            <w:tcW w:w="0" w:type="auto"/>
            <w:tcBorders>
              <w:top w:val="nil"/>
              <w:left w:val="nil"/>
              <w:bottom w:val="single" w:sz="8" w:space="0" w:color="0077BD"/>
              <w:right w:val="nil"/>
            </w:tcBorders>
            <w:shd w:val="clear" w:color="auto" w:fill="auto"/>
            <w:vAlign w:val="center"/>
            <w:hideMark/>
          </w:tcPr>
          <w:p w14:paraId="39EC8BDB"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9 148 798</w:t>
            </w:r>
          </w:p>
        </w:tc>
      </w:tr>
      <w:tr w:rsidR="00561100" w:rsidRPr="0068723D" w14:paraId="7B85183A" w14:textId="77777777" w:rsidTr="00F9166A">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10A4A850"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Należności od banków</w:t>
            </w:r>
          </w:p>
        </w:tc>
        <w:tc>
          <w:tcPr>
            <w:tcW w:w="0" w:type="auto"/>
            <w:tcBorders>
              <w:top w:val="nil"/>
              <w:left w:val="nil"/>
              <w:bottom w:val="single" w:sz="8" w:space="0" w:color="0077BD"/>
              <w:right w:val="single" w:sz="8" w:space="0" w:color="0077BD"/>
            </w:tcBorders>
            <w:shd w:val="clear" w:color="auto" w:fill="auto"/>
            <w:vAlign w:val="center"/>
          </w:tcPr>
          <w:p w14:paraId="17D9BFCF" w14:textId="79B9A59C" w:rsidR="00561100" w:rsidRPr="00561100" w:rsidRDefault="00561100" w:rsidP="00561100">
            <w:pPr>
              <w:jc w:val="right"/>
              <w:rPr>
                <w:rFonts w:cs="Calibri"/>
                <w:b/>
                <w:bCs/>
                <w:color w:val="000000" w:themeColor="text1"/>
                <w:sz w:val="13"/>
                <w:szCs w:val="13"/>
              </w:rPr>
            </w:pPr>
            <w:r w:rsidRPr="00561100">
              <w:rPr>
                <w:rFonts w:cs="Calibri"/>
                <w:b/>
                <w:bCs/>
                <w:sz w:val="13"/>
                <w:szCs w:val="13"/>
              </w:rPr>
              <w:t>4 341 758</w:t>
            </w:r>
          </w:p>
        </w:tc>
        <w:tc>
          <w:tcPr>
            <w:tcW w:w="0" w:type="auto"/>
            <w:tcBorders>
              <w:top w:val="nil"/>
              <w:left w:val="nil"/>
              <w:bottom w:val="single" w:sz="8" w:space="0" w:color="0077BD"/>
              <w:right w:val="single" w:sz="8" w:space="0" w:color="0077BD"/>
            </w:tcBorders>
            <w:shd w:val="clear" w:color="auto" w:fill="auto"/>
            <w:vAlign w:val="center"/>
          </w:tcPr>
          <w:p w14:paraId="17A02B43" w14:textId="62134642" w:rsidR="00561100" w:rsidRPr="00561100" w:rsidRDefault="00561100" w:rsidP="00561100">
            <w:pPr>
              <w:jc w:val="right"/>
              <w:rPr>
                <w:rFonts w:cs="Calibri"/>
                <w:b/>
                <w:bCs/>
                <w:color w:val="000000" w:themeColor="text1"/>
                <w:sz w:val="13"/>
                <w:szCs w:val="13"/>
              </w:rPr>
            </w:pPr>
            <w:r w:rsidRPr="00561100">
              <w:rPr>
                <w:rFonts w:cs="Calibri"/>
                <w:b/>
                <w:bCs/>
                <w:sz w:val="13"/>
                <w:szCs w:val="13"/>
              </w:rPr>
              <w:t>4 338 448</w:t>
            </w:r>
          </w:p>
        </w:tc>
        <w:tc>
          <w:tcPr>
            <w:tcW w:w="0" w:type="auto"/>
            <w:tcBorders>
              <w:top w:val="nil"/>
              <w:left w:val="nil"/>
              <w:bottom w:val="single" w:sz="8" w:space="0" w:color="0077BD"/>
              <w:right w:val="single" w:sz="8" w:space="0" w:color="0077BD"/>
            </w:tcBorders>
            <w:shd w:val="clear" w:color="auto" w:fill="auto"/>
            <w:vAlign w:val="center"/>
            <w:hideMark/>
          </w:tcPr>
          <w:p w14:paraId="76A8729E"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2 546 346</w:t>
            </w:r>
          </w:p>
        </w:tc>
        <w:tc>
          <w:tcPr>
            <w:tcW w:w="0" w:type="auto"/>
            <w:tcBorders>
              <w:top w:val="nil"/>
              <w:left w:val="nil"/>
              <w:bottom w:val="single" w:sz="8" w:space="0" w:color="0077BD"/>
              <w:right w:val="nil"/>
            </w:tcBorders>
            <w:shd w:val="clear" w:color="auto" w:fill="auto"/>
            <w:vAlign w:val="center"/>
            <w:hideMark/>
          </w:tcPr>
          <w:p w14:paraId="374209F7"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2 521 793</w:t>
            </w:r>
          </w:p>
        </w:tc>
      </w:tr>
      <w:tr w:rsidR="00561100" w:rsidRPr="0068723D" w14:paraId="5C947330" w14:textId="77777777" w:rsidTr="00F9166A">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3BFF5E8F"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Kredyty i pożyczki udzielone klientom, w tym:</w:t>
            </w:r>
          </w:p>
        </w:tc>
        <w:tc>
          <w:tcPr>
            <w:tcW w:w="0" w:type="auto"/>
            <w:tcBorders>
              <w:top w:val="nil"/>
              <w:left w:val="nil"/>
              <w:bottom w:val="single" w:sz="8" w:space="0" w:color="0077BD"/>
              <w:right w:val="single" w:sz="8" w:space="0" w:color="0077BD"/>
            </w:tcBorders>
            <w:shd w:val="clear" w:color="auto" w:fill="auto"/>
            <w:vAlign w:val="center"/>
          </w:tcPr>
          <w:p w14:paraId="4EDB6698" w14:textId="187B4418" w:rsidR="00561100" w:rsidRPr="00561100" w:rsidRDefault="00561100" w:rsidP="00561100">
            <w:pPr>
              <w:jc w:val="right"/>
              <w:rPr>
                <w:rFonts w:cs="Calibri"/>
                <w:b/>
                <w:bCs/>
                <w:color w:val="000000" w:themeColor="text1"/>
                <w:sz w:val="13"/>
                <w:szCs w:val="13"/>
              </w:rPr>
            </w:pPr>
            <w:r w:rsidRPr="00561100">
              <w:rPr>
                <w:rFonts w:cs="Calibri"/>
                <w:b/>
                <w:bCs/>
                <w:sz w:val="13"/>
                <w:szCs w:val="13"/>
              </w:rPr>
              <w:t>103 203 254</w:t>
            </w:r>
          </w:p>
        </w:tc>
        <w:tc>
          <w:tcPr>
            <w:tcW w:w="0" w:type="auto"/>
            <w:tcBorders>
              <w:top w:val="nil"/>
              <w:left w:val="nil"/>
              <w:bottom w:val="single" w:sz="8" w:space="0" w:color="0077BD"/>
              <w:right w:val="single" w:sz="8" w:space="0" w:color="0077BD"/>
            </w:tcBorders>
            <w:shd w:val="clear" w:color="auto" w:fill="auto"/>
            <w:vAlign w:val="center"/>
          </w:tcPr>
          <w:p w14:paraId="51FBBC78" w14:textId="4BF018B2" w:rsidR="00561100" w:rsidRPr="00561100" w:rsidRDefault="00561100" w:rsidP="00561100">
            <w:pPr>
              <w:jc w:val="right"/>
              <w:rPr>
                <w:rFonts w:cs="Calibri"/>
                <w:b/>
                <w:bCs/>
                <w:color w:val="000000" w:themeColor="text1"/>
                <w:sz w:val="13"/>
                <w:szCs w:val="13"/>
              </w:rPr>
            </w:pPr>
            <w:r w:rsidRPr="00561100">
              <w:rPr>
                <w:rFonts w:cs="Calibri"/>
                <w:b/>
                <w:bCs/>
                <w:sz w:val="13"/>
                <w:szCs w:val="13"/>
              </w:rPr>
              <w:t>103 538 180</w:t>
            </w:r>
          </w:p>
        </w:tc>
        <w:tc>
          <w:tcPr>
            <w:tcW w:w="0" w:type="auto"/>
            <w:tcBorders>
              <w:top w:val="nil"/>
              <w:left w:val="nil"/>
              <w:bottom w:val="single" w:sz="8" w:space="0" w:color="0077BD"/>
              <w:right w:val="single" w:sz="8" w:space="0" w:color="0077BD"/>
            </w:tcBorders>
            <w:shd w:val="clear" w:color="auto" w:fill="auto"/>
            <w:vAlign w:val="center"/>
            <w:hideMark/>
          </w:tcPr>
          <w:p w14:paraId="417A2CF9"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92 017 432</w:t>
            </w:r>
          </w:p>
        </w:tc>
        <w:tc>
          <w:tcPr>
            <w:tcW w:w="0" w:type="auto"/>
            <w:tcBorders>
              <w:top w:val="nil"/>
              <w:left w:val="nil"/>
              <w:bottom w:val="single" w:sz="8" w:space="0" w:color="0077BD"/>
              <w:right w:val="nil"/>
            </w:tcBorders>
            <w:shd w:val="clear" w:color="auto" w:fill="auto"/>
            <w:vAlign w:val="center"/>
            <w:hideMark/>
          </w:tcPr>
          <w:p w14:paraId="071C1D15"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91 924 443</w:t>
            </w:r>
          </w:p>
        </w:tc>
      </w:tr>
      <w:tr w:rsidR="00561100" w:rsidRPr="0068723D" w14:paraId="63FB2865" w14:textId="77777777" w:rsidTr="00F9166A">
        <w:trPr>
          <w:trHeight w:val="284"/>
        </w:trPr>
        <w:tc>
          <w:tcPr>
            <w:tcW w:w="0" w:type="auto"/>
            <w:tcBorders>
              <w:top w:val="nil"/>
              <w:left w:val="nil"/>
              <w:bottom w:val="nil"/>
              <w:right w:val="single" w:sz="8" w:space="0" w:color="0077BD"/>
            </w:tcBorders>
            <w:shd w:val="clear" w:color="auto" w:fill="auto"/>
            <w:vAlign w:val="center"/>
            <w:hideMark/>
          </w:tcPr>
          <w:p w14:paraId="4613D9FE"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Klienci indywidualni</w:t>
            </w:r>
          </w:p>
        </w:tc>
        <w:tc>
          <w:tcPr>
            <w:tcW w:w="0" w:type="auto"/>
            <w:tcBorders>
              <w:top w:val="nil"/>
              <w:left w:val="nil"/>
              <w:bottom w:val="nil"/>
              <w:right w:val="single" w:sz="8" w:space="0" w:color="0077BD"/>
            </w:tcBorders>
            <w:shd w:val="clear" w:color="auto" w:fill="auto"/>
            <w:vAlign w:val="center"/>
          </w:tcPr>
          <w:p w14:paraId="029ED226" w14:textId="54F0458C" w:rsidR="00561100" w:rsidRPr="00561100" w:rsidRDefault="00561100" w:rsidP="00561100">
            <w:pPr>
              <w:jc w:val="right"/>
              <w:rPr>
                <w:rFonts w:cs="Calibri"/>
                <w:b/>
                <w:bCs/>
                <w:color w:val="000000" w:themeColor="text1"/>
                <w:sz w:val="13"/>
                <w:szCs w:val="13"/>
              </w:rPr>
            </w:pPr>
            <w:r w:rsidRPr="00561100">
              <w:rPr>
                <w:rFonts w:cs="Calibri"/>
                <w:b/>
                <w:bCs/>
                <w:sz w:val="13"/>
                <w:szCs w:val="13"/>
              </w:rPr>
              <w:t>56 999 856</w:t>
            </w:r>
          </w:p>
        </w:tc>
        <w:tc>
          <w:tcPr>
            <w:tcW w:w="0" w:type="auto"/>
            <w:tcBorders>
              <w:top w:val="nil"/>
              <w:left w:val="nil"/>
              <w:bottom w:val="nil"/>
              <w:right w:val="single" w:sz="8" w:space="0" w:color="0077BD"/>
            </w:tcBorders>
            <w:shd w:val="clear" w:color="auto" w:fill="auto"/>
            <w:vAlign w:val="center"/>
          </w:tcPr>
          <w:p w14:paraId="21F0AC5C" w14:textId="20A8E061" w:rsidR="00561100" w:rsidRPr="00561100" w:rsidRDefault="00561100" w:rsidP="00561100">
            <w:pPr>
              <w:jc w:val="right"/>
              <w:rPr>
                <w:rFonts w:cs="Calibri"/>
                <w:b/>
                <w:bCs/>
                <w:color w:val="000000" w:themeColor="text1"/>
                <w:sz w:val="13"/>
                <w:szCs w:val="13"/>
              </w:rPr>
            </w:pPr>
            <w:r w:rsidRPr="00561100">
              <w:rPr>
                <w:rFonts w:cs="Calibri"/>
                <w:b/>
                <w:bCs/>
                <w:sz w:val="13"/>
                <w:szCs w:val="13"/>
              </w:rPr>
              <w:t>58 296 285</w:t>
            </w:r>
          </w:p>
        </w:tc>
        <w:tc>
          <w:tcPr>
            <w:tcW w:w="0" w:type="auto"/>
            <w:tcBorders>
              <w:top w:val="nil"/>
              <w:left w:val="nil"/>
              <w:bottom w:val="nil"/>
              <w:right w:val="single" w:sz="8" w:space="0" w:color="0077BD"/>
            </w:tcBorders>
            <w:shd w:val="clear" w:color="auto" w:fill="auto"/>
            <w:vAlign w:val="center"/>
            <w:hideMark/>
          </w:tcPr>
          <w:p w14:paraId="291113E0"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48 924 332</w:t>
            </w:r>
          </w:p>
        </w:tc>
        <w:tc>
          <w:tcPr>
            <w:tcW w:w="0" w:type="auto"/>
            <w:tcBorders>
              <w:top w:val="nil"/>
              <w:left w:val="nil"/>
              <w:bottom w:val="nil"/>
              <w:right w:val="nil"/>
            </w:tcBorders>
            <w:shd w:val="clear" w:color="auto" w:fill="auto"/>
            <w:vAlign w:val="center"/>
            <w:hideMark/>
          </w:tcPr>
          <w:p w14:paraId="0F3449AD"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49 612 551</w:t>
            </w:r>
          </w:p>
        </w:tc>
      </w:tr>
      <w:tr w:rsidR="00561100" w:rsidRPr="0068723D" w14:paraId="3C1EE3C2" w14:textId="77777777" w:rsidTr="00F9166A">
        <w:trPr>
          <w:trHeight w:val="284"/>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35498D86"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Należności bieżące</w:t>
            </w:r>
          </w:p>
        </w:tc>
        <w:tc>
          <w:tcPr>
            <w:tcW w:w="0" w:type="auto"/>
            <w:tcBorders>
              <w:top w:val="single" w:sz="8" w:space="0" w:color="0077BD"/>
              <w:left w:val="nil"/>
              <w:bottom w:val="single" w:sz="4" w:space="0" w:color="0077BD"/>
              <w:right w:val="single" w:sz="8" w:space="0" w:color="0077BD"/>
            </w:tcBorders>
            <w:shd w:val="clear" w:color="auto" w:fill="auto"/>
            <w:vAlign w:val="center"/>
          </w:tcPr>
          <w:p w14:paraId="61C7178F" w14:textId="09B4BEE3" w:rsidR="00561100" w:rsidRPr="00561100" w:rsidRDefault="00561100" w:rsidP="00561100">
            <w:pPr>
              <w:jc w:val="right"/>
              <w:rPr>
                <w:rFonts w:cs="Calibri"/>
                <w:color w:val="000000" w:themeColor="text1"/>
                <w:sz w:val="13"/>
                <w:szCs w:val="13"/>
              </w:rPr>
            </w:pPr>
            <w:r w:rsidRPr="00561100">
              <w:rPr>
                <w:rFonts w:cs="Calibri"/>
                <w:sz w:val="13"/>
                <w:szCs w:val="13"/>
              </w:rPr>
              <w:t>6 828 579</w:t>
            </w:r>
          </w:p>
        </w:tc>
        <w:tc>
          <w:tcPr>
            <w:tcW w:w="0" w:type="auto"/>
            <w:tcBorders>
              <w:top w:val="single" w:sz="8" w:space="0" w:color="0077BD"/>
              <w:left w:val="nil"/>
              <w:bottom w:val="single" w:sz="4" w:space="0" w:color="0077BD"/>
              <w:right w:val="single" w:sz="8" w:space="0" w:color="0077BD"/>
            </w:tcBorders>
            <w:shd w:val="clear" w:color="auto" w:fill="auto"/>
            <w:vAlign w:val="center"/>
          </w:tcPr>
          <w:p w14:paraId="2DDFA689" w14:textId="760BAF2D" w:rsidR="00561100" w:rsidRPr="00561100" w:rsidRDefault="00561100" w:rsidP="00561100">
            <w:pPr>
              <w:jc w:val="right"/>
              <w:rPr>
                <w:rFonts w:cs="Calibri"/>
                <w:color w:val="000000" w:themeColor="text1"/>
                <w:sz w:val="13"/>
                <w:szCs w:val="13"/>
              </w:rPr>
            </w:pPr>
            <w:r w:rsidRPr="00561100">
              <w:rPr>
                <w:rFonts w:cs="Calibri"/>
                <w:sz w:val="13"/>
                <w:szCs w:val="13"/>
              </w:rPr>
              <w:t>7 011 607</w:t>
            </w:r>
          </w:p>
        </w:tc>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7804AA96"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5 809 899</w:t>
            </w:r>
          </w:p>
        </w:tc>
        <w:tc>
          <w:tcPr>
            <w:tcW w:w="0" w:type="auto"/>
            <w:tcBorders>
              <w:top w:val="single" w:sz="8" w:space="0" w:color="0077BD"/>
              <w:left w:val="nil"/>
              <w:bottom w:val="single" w:sz="4" w:space="0" w:color="0077BD"/>
              <w:right w:val="nil"/>
            </w:tcBorders>
            <w:shd w:val="clear" w:color="auto" w:fill="auto"/>
            <w:vAlign w:val="center"/>
            <w:hideMark/>
          </w:tcPr>
          <w:p w14:paraId="66112E02"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5 972 042</w:t>
            </w:r>
          </w:p>
        </w:tc>
      </w:tr>
      <w:tr w:rsidR="00561100" w:rsidRPr="0068723D" w14:paraId="692C511A"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8146BF0"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Kredyty terminowe</w:t>
            </w:r>
          </w:p>
        </w:tc>
        <w:tc>
          <w:tcPr>
            <w:tcW w:w="0" w:type="auto"/>
            <w:tcBorders>
              <w:top w:val="nil"/>
              <w:left w:val="nil"/>
              <w:bottom w:val="single" w:sz="4" w:space="0" w:color="0077BD"/>
              <w:right w:val="single" w:sz="8" w:space="0" w:color="0077BD"/>
            </w:tcBorders>
            <w:shd w:val="clear" w:color="auto" w:fill="auto"/>
            <w:vAlign w:val="center"/>
          </w:tcPr>
          <w:p w14:paraId="127D7D3A" w14:textId="394C51B3" w:rsidR="00561100" w:rsidRPr="00561100" w:rsidRDefault="00561100" w:rsidP="00561100">
            <w:pPr>
              <w:jc w:val="right"/>
              <w:rPr>
                <w:rFonts w:cs="Calibri"/>
                <w:color w:val="000000" w:themeColor="text1"/>
                <w:sz w:val="13"/>
                <w:szCs w:val="13"/>
              </w:rPr>
            </w:pPr>
            <w:r w:rsidRPr="00561100">
              <w:rPr>
                <w:rFonts w:cs="Calibri"/>
                <w:sz w:val="13"/>
                <w:szCs w:val="13"/>
              </w:rPr>
              <w:t>49 809 251</w:t>
            </w:r>
          </w:p>
        </w:tc>
        <w:tc>
          <w:tcPr>
            <w:tcW w:w="0" w:type="auto"/>
            <w:tcBorders>
              <w:top w:val="nil"/>
              <w:left w:val="nil"/>
              <w:bottom w:val="single" w:sz="4" w:space="0" w:color="0077BD"/>
              <w:right w:val="single" w:sz="8" w:space="0" w:color="0077BD"/>
            </w:tcBorders>
            <w:shd w:val="clear" w:color="auto" w:fill="auto"/>
            <w:vAlign w:val="center"/>
          </w:tcPr>
          <w:p w14:paraId="7339E5E5" w14:textId="3FE71FB6" w:rsidR="00561100" w:rsidRPr="00561100" w:rsidRDefault="00561100" w:rsidP="00561100">
            <w:pPr>
              <w:jc w:val="right"/>
              <w:rPr>
                <w:rFonts w:cs="Calibri"/>
                <w:color w:val="000000" w:themeColor="text1"/>
                <w:sz w:val="13"/>
                <w:szCs w:val="13"/>
              </w:rPr>
            </w:pPr>
            <w:r w:rsidRPr="00561100">
              <w:rPr>
                <w:rFonts w:cs="Calibri"/>
                <w:sz w:val="13"/>
                <w:szCs w:val="13"/>
              </w:rPr>
              <w:t>50 922 652</w:t>
            </w:r>
          </w:p>
        </w:tc>
        <w:tc>
          <w:tcPr>
            <w:tcW w:w="0" w:type="auto"/>
            <w:tcBorders>
              <w:top w:val="nil"/>
              <w:left w:val="nil"/>
              <w:bottom w:val="single" w:sz="4" w:space="0" w:color="0077BD"/>
              <w:right w:val="single" w:sz="8" w:space="0" w:color="0077BD"/>
            </w:tcBorders>
            <w:shd w:val="clear" w:color="auto" w:fill="auto"/>
            <w:vAlign w:val="center"/>
            <w:hideMark/>
          </w:tcPr>
          <w:p w14:paraId="0F357B81"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42 754 960</w:t>
            </w:r>
          </w:p>
        </w:tc>
        <w:tc>
          <w:tcPr>
            <w:tcW w:w="0" w:type="auto"/>
            <w:tcBorders>
              <w:top w:val="nil"/>
              <w:left w:val="nil"/>
              <w:bottom w:val="single" w:sz="4" w:space="0" w:color="0077BD"/>
              <w:right w:val="nil"/>
            </w:tcBorders>
            <w:shd w:val="clear" w:color="auto" w:fill="auto"/>
            <w:vAlign w:val="center"/>
            <w:hideMark/>
          </w:tcPr>
          <w:p w14:paraId="11CFBA57"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43 281 036</w:t>
            </w:r>
          </w:p>
        </w:tc>
      </w:tr>
      <w:tr w:rsidR="00561100" w:rsidRPr="0068723D" w14:paraId="3E811578"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43046CF"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Inne należności</w:t>
            </w:r>
          </w:p>
        </w:tc>
        <w:tc>
          <w:tcPr>
            <w:tcW w:w="0" w:type="auto"/>
            <w:tcBorders>
              <w:top w:val="nil"/>
              <w:left w:val="nil"/>
              <w:bottom w:val="single" w:sz="4" w:space="0" w:color="0077BD"/>
              <w:right w:val="single" w:sz="8" w:space="0" w:color="0077BD"/>
            </w:tcBorders>
            <w:shd w:val="clear" w:color="auto" w:fill="auto"/>
            <w:vAlign w:val="center"/>
          </w:tcPr>
          <w:p w14:paraId="2B195069" w14:textId="20B8613C" w:rsidR="00561100" w:rsidRPr="00561100" w:rsidRDefault="00561100" w:rsidP="00561100">
            <w:pPr>
              <w:jc w:val="right"/>
              <w:rPr>
                <w:rFonts w:cs="Calibri"/>
                <w:color w:val="000000" w:themeColor="text1"/>
                <w:sz w:val="13"/>
                <w:szCs w:val="13"/>
              </w:rPr>
            </w:pPr>
            <w:r w:rsidRPr="00561100">
              <w:rPr>
                <w:rFonts w:cs="Calibri"/>
                <w:sz w:val="13"/>
                <w:szCs w:val="13"/>
              </w:rPr>
              <w:t>362 026</w:t>
            </w:r>
          </w:p>
        </w:tc>
        <w:tc>
          <w:tcPr>
            <w:tcW w:w="0" w:type="auto"/>
            <w:tcBorders>
              <w:top w:val="nil"/>
              <w:left w:val="nil"/>
              <w:bottom w:val="single" w:sz="4" w:space="0" w:color="0077BD"/>
              <w:right w:val="single" w:sz="8" w:space="0" w:color="0077BD"/>
            </w:tcBorders>
            <w:shd w:val="clear" w:color="auto" w:fill="auto"/>
            <w:vAlign w:val="center"/>
          </w:tcPr>
          <w:p w14:paraId="052EA47D" w14:textId="5C7705A6" w:rsidR="00561100" w:rsidRPr="00561100" w:rsidRDefault="00561100" w:rsidP="00561100">
            <w:pPr>
              <w:jc w:val="right"/>
              <w:rPr>
                <w:rFonts w:cs="Calibri"/>
                <w:color w:val="000000" w:themeColor="text1"/>
                <w:sz w:val="13"/>
                <w:szCs w:val="13"/>
              </w:rPr>
            </w:pPr>
            <w:r w:rsidRPr="00561100">
              <w:rPr>
                <w:rFonts w:cs="Calibri"/>
                <w:sz w:val="13"/>
                <w:szCs w:val="13"/>
              </w:rPr>
              <w:t>362 026</w:t>
            </w:r>
          </w:p>
        </w:tc>
        <w:tc>
          <w:tcPr>
            <w:tcW w:w="0" w:type="auto"/>
            <w:tcBorders>
              <w:top w:val="nil"/>
              <w:left w:val="nil"/>
              <w:bottom w:val="single" w:sz="4" w:space="0" w:color="0077BD"/>
              <w:right w:val="single" w:sz="8" w:space="0" w:color="0077BD"/>
            </w:tcBorders>
            <w:shd w:val="clear" w:color="auto" w:fill="auto"/>
            <w:vAlign w:val="center"/>
            <w:hideMark/>
          </w:tcPr>
          <w:p w14:paraId="696908CE"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359 473</w:t>
            </w:r>
          </w:p>
        </w:tc>
        <w:tc>
          <w:tcPr>
            <w:tcW w:w="0" w:type="auto"/>
            <w:tcBorders>
              <w:top w:val="nil"/>
              <w:left w:val="nil"/>
              <w:bottom w:val="single" w:sz="4" w:space="0" w:color="0077BD"/>
              <w:right w:val="nil"/>
            </w:tcBorders>
            <w:shd w:val="clear" w:color="auto" w:fill="auto"/>
            <w:vAlign w:val="center"/>
            <w:hideMark/>
          </w:tcPr>
          <w:p w14:paraId="7D83A5EB"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359 473</w:t>
            </w:r>
          </w:p>
        </w:tc>
      </w:tr>
      <w:tr w:rsidR="00561100" w:rsidRPr="0068723D" w14:paraId="5CB3BE9F" w14:textId="77777777" w:rsidTr="00F9166A">
        <w:trPr>
          <w:trHeight w:val="284"/>
        </w:trPr>
        <w:tc>
          <w:tcPr>
            <w:tcW w:w="0" w:type="auto"/>
            <w:tcBorders>
              <w:top w:val="single" w:sz="8" w:space="0" w:color="0077BD"/>
              <w:left w:val="nil"/>
              <w:bottom w:val="nil"/>
              <w:right w:val="single" w:sz="8" w:space="0" w:color="0077BD"/>
            </w:tcBorders>
            <w:shd w:val="clear" w:color="auto" w:fill="auto"/>
            <w:vAlign w:val="center"/>
            <w:hideMark/>
          </w:tcPr>
          <w:p w14:paraId="7921620D"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Klienci korporacyjni</w:t>
            </w:r>
          </w:p>
        </w:tc>
        <w:tc>
          <w:tcPr>
            <w:tcW w:w="0" w:type="auto"/>
            <w:tcBorders>
              <w:top w:val="single" w:sz="8" w:space="0" w:color="0077BD"/>
              <w:left w:val="nil"/>
              <w:bottom w:val="nil"/>
              <w:right w:val="single" w:sz="8" w:space="0" w:color="0077BD"/>
            </w:tcBorders>
            <w:shd w:val="clear" w:color="auto" w:fill="auto"/>
            <w:vAlign w:val="center"/>
          </w:tcPr>
          <w:p w14:paraId="10BB752D" w14:textId="5D209CC0" w:rsidR="00561100" w:rsidRPr="00561100" w:rsidRDefault="00561100" w:rsidP="00561100">
            <w:pPr>
              <w:jc w:val="right"/>
              <w:rPr>
                <w:rFonts w:cs="Calibri"/>
                <w:b/>
                <w:bCs/>
                <w:color w:val="000000" w:themeColor="text1"/>
                <w:sz w:val="13"/>
                <w:szCs w:val="13"/>
              </w:rPr>
            </w:pPr>
            <w:r w:rsidRPr="00561100">
              <w:rPr>
                <w:rFonts w:cs="Calibri"/>
                <w:b/>
                <w:bCs/>
                <w:sz w:val="13"/>
                <w:szCs w:val="13"/>
              </w:rPr>
              <w:t>45 819 083</w:t>
            </w:r>
          </w:p>
        </w:tc>
        <w:tc>
          <w:tcPr>
            <w:tcW w:w="0" w:type="auto"/>
            <w:tcBorders>
              <w:top w:val="single" w:sz="8" w:space="0" w:color="0077BD"/>
              <w:left w:val="nil"/>
              <w:bottom w:val="nil"/>
              <w:right w:val="single" w:sz="8" w:space="0" w:color="0077BD"/>
            </w:tcBorders>
            <w:shd w:val="clear" w:color="auto" w:fill="auto"/>
            <w:vAlign w:val="center"/>
          </w:tcPr>
          <w:p w14:paraId="028AFAEB" w14:textId="472A5DB9" w:rsidR="00561100" w:rsidRPr="00561100" w:rsidRDefault="00561100" w:rsidP="00561100">
            <w:pPr>
              <w:jc w:val="right"/>
              <w:rPr>
                <w:rFonts w:cs="Calibri"/>
                <w:b/>
                <w:bCs/>
                <w:color w:val="000000" w:themeColor="text1"/>
                <w:sz w:val="13"/>
                <w:szCs w:val="13"/>
              </w:rPr>
            </w:pPr>
            <w:r w:rsidRPr="00561100">
              <w:rPr>
                <w:rFonts w:cs="Calibri"/>
                <w:b/>
                <w:bCs/>
                <w:sz w:val="13"/>
                <w:szCs w:val="13"/>
              </w:rPr>
              <w:t>44 854 574</w:t>
            </w:r>
          </w:p>
        </w:tc>
        <w:tc>
          <w:tcPr>
            <w:tcW w:w="0" w:type="auto"/>
            <w:tcBorders>
              <w:top w:val="single" w:sz="8" w:space="0" w:color="0077BD"/>
              <w:left w:val="nil"/>
              <w:bottom w:val="nil"/>
              <w:right w:val="single" w:sz="8" w:space="0" w:color="0077BD"/>
            </w:tcBorders>
            <w:shd w:val="clear" w:color="auto" w:fill="auto"/>
            <w:vAlign w:val="center"/>
            <w:hideMark/>
          </w:tcPr>
          <w:p w14:paraId="28C8CC5C"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42 456 817</w:t>
            </w:r>
          </w:p>
        </w:tc>
        <w:tc>
          <w:tcPr>
            <w:tcW w:w="0" w:type="auto"/>
            <w:tcBorders>
              <w:top w:val="single" w:sz="8" w:space="0" w:color="0077BD"/>
              <w:left w:val="nil"/>
              <w:bottom w:val="nil"/>
              <w:right w:val="nil"/>
            </w:tcBorders>
            <w:shd w:val="clear" w:color="auto" w:fill="auto"/>
            <w:vAlign w:val="center"/>
            <w:hideMark/>
          </w:tcPr>
          <w:p w14:paraId="3A54A7BD"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41 673 943</w:t>
            </w:r>
          </w:p>
        </w:tc>
      </w:tr>
      <w:tr w:rsidR="00561100" w:rsidRPr="0068723D" w14:paraId="325E30AB" w14:textId="77777777" w:rsidTr="00F9166A">
        <w:trPr>
          <w:trHeight w:val="284"/>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76A4C61B"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Należności bieżące</w:t>
            </w:r>
          </w:p>
        </w:tc>
        <w:tc>
          <w:tcPr>
            <w:tcW w:w="0" w:type="auto"/>
            <w:tcBorders>
              <w:top w:val="single" w:sz="8" w:space="0" w:color="0077BD"/>
              <w:left w:val="nil"/>
              <w:bottom w:val="single" w:sz="4" w:space="0" w:color="0077BD"/>
              <w:right w:val="single" w:sz="8" w:space="0" w:color="0077BD"/>
            </w:tcBorders>
            <w:shd w:val="clear" w:color="auto" w:fill="auto"/>
            <w:vAlign w:val="center"/>
          </w:tcPr>
          <w:p w14:paraId="2A50ECAD" w14:textId="3F5A523B" w:rsidR="00561100" w:rsidRPr="00561100" w:rsidRDefault="00561100" w:rsidP="00561100">
            <w:pPr>
              <w:jc w:val="right"/>
              <w:rPr>
                <w:rFonts w:cs="Calibri"/>
                <w:color w:val="000000" w:themeColor="text1"/>
                <w:sz w:val="13"/>
                <w:szCs w:val="13"/>
              </w:rPr>
            </w:pPr>
            <w:r w:rsidRPr="00561100">
              <w:rPr>
                <w:rFonts w:cs="Calibri"/>
                <w:sz w:val="13"/>
                <w:szCs w:val="13"/>
              </w:rPr>
              <w:t>5 657 614</w:t>
            </w:r>
          </w:p>
        </w:tc>
        <w:tc>
          <w:tcPr>
            <w:tcW w:w="0" w:type="auto"/>
            <w:tcBorders>
              <w:top w:val="single" w:sz="8" w:space="0" w:color="0077BD"/>
              <w:left w:val="nil"/>
              <w:bottom w:val="single" w:sz="4" w:space="0" w:color="0077BD"/>
              <w:right w:val="single" w:sz="8" w:space="0" w:color="0077BD"/>
            </w:tcBorders>
            <w:shd w:val="clear" w:color="auto" w:fill="auto"/>
            <w:vAlign w:val="center"/>
          </w:tcPr>
          <w:p w14:paraId="7D946DDA" w14:textId="07117AFA" w:rsidR="00561100" w:rsidRPr="00561100" w:rsidRDefault="00561100" w:rsidP="00561100">
            <w:pPr>
              <w:jc w:val="right"/>
              <w:rPr>
                <w:rFonts w:cs="Calibri"/>
                <w:color w:val="000000" w:themeColor="text1"/>
                <w:sz w:val="13"/>
                <w:szCs w:val="13"/>
              </w:rPr>
            </w:pPr>
            <w:r w:rsidRPr="00561100">
              <w:rPr>
                <w:rFonts w:cs="Calibri"/>
                <w:sz w:val="13"/>
                <w:szCs w:val="13"/>
              </w:rPr>
              <w:t>5 522 094</w:t>
            </w:r>
          </w:p>
        </w:tc>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42474F90"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5 331 403</w:t>
            </w:r>
          </w:p>
        </w:tc>
        <w:tc>
          <w:tcPr>
            <w:tcW w:w="0" w:type="auto"/>
            <w:tcBorders>
              <w:top w:val="single" w:sz="8" w:space="0" w:color="0077BD"/>
              <w:left w:val="nil"/>
              <w:bottom w:val="single" w:sz="4" w:space="0" w:color="0077BD"/>
              <w:right w:val="nil"/>
            </w:tcBorders>
            <w:shd w:val="clear" w:color="auto" w:fill="auto"/>
            <w:vAlign w:val="center"/>
            <w:hideMark/>
          </w:tcPr>
          <w:p w14:paraId="44C41B75"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5 217 161</w:t>
            </w:r>
          </w:p>
        </w:tc>
      </w:tr>
      <w:tr w:rsidR="00561100" w:rsidRPr="0068723D" w14:paraId="0E1A9874"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27DEFCE"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Kredyty terminowe, w tym leasing finansowy</w:t>
            </w:r>
          </w:p>
        </w:tc>
        <w:tc>
          <w:tcPr>
            <w:tcW w:w="0" w:type="auto"/>
            <w:tcBorders>
              <w:top w:val="nil"/>
              <w:left w:val="nil"/>
              <w:bottom w:val="single" w:sz="4" w:space="0" w:color="0077BD"/>
              <w:right w:val="single" w:sz="8" w:space="0" w:color="0077BD"/>
            </w:tcBorders>
            <w:shd w:val="clear" w:color="auto" w:fill="auto"/>
            <w:vAlign w:val="center"/>
          </w:tcPr>
          <w:p w14:paraId="146589F4" w14:textId="44A77E9E" w:rsidR="00561100" w:rsidRPr="00561100" w:rsidRDefault="00561100" w:rsidP="00561100">
            <w:pPr>
              <w:jc w:val="right"/>
              <w:rPr>
                <w:rFonts w:cs="Calibri"/>
                <w:color w:val="000000" w:themeColor="text1"/>
                <w:sz w:val="13"/>
                <w:szCs w:val="13"/>
              </w:rPr>
            </w:pPr>
            <w:r w:rsidRPr="00561100">
              <w:rPr>
                <w:rFonts w:cs="Calibri"/>
                <w:sz w:val="13"/>
                <w:szCs w:val="13"/>
              </w:rPr>
              <w:t>37 301 706</w:t>
            </w:r>
          </w:p>
        </w:tc>
        <w:tc>
          <w:tcPr>
            <w:tcW w:w="0" w:type="auto"/>
            <w:tcBorders>
              <w:top w:val="nil"/>
              <w:left w:val="nil"/>
              <w:bottom w:val="single" w:sz="4" w:space="0" w:color="0077BD"/>
              <w:right w:val="single" w:sz="8" w:space="0" w:color="0077BD"/>
            </w:tcBorders>
            <w:shd w:val="clear" w:color="auto" w:fill="auto"/>
            <w:vAlign w:val="center"/>
          </w:tcPr>
          <w:p w14:paraId="166A207F" w14:textId="68B15D45" w:rsidR="00561100" w:rsidRPr="00561100" w:rsidRDefault="00561100" w:rsidP="00561100">
            <w:pPr>
              <w:jc w:val="right"/>
              <w:rPr>
                <w:rFonts w:cs="Calibri"/>
                <w:color w:val="000000" w:themeColor="text1"/>
                <w:sz w:val="13"/>
                <w:szCs w:val="13"/>
              </w:rPr>
            </w:pPr>
            <w:r w:rsidRPr="00561100">
              <w:rPr>
                <w:rFonts w:cs="Calibri"/>
                <w:sz w:val="13"/>
                <w:szCs w:val="13"/>
              </w:rPr>
              <w:t>36 472 717</w:t>
            </w:r>
          </w:p>
        </w:tc>
        <w:tc>
          <w:tcPr>
            <w:tcW w:w="0" w:type="auto"/>
            <w:tcBorders>
              <w:top w:val="nil"/>
              <w:left w:val="nil"/>
              <w:bottom w:val="single" w:sz="4" w:space="0" w:color="0077BD"/>
              <w:right w:val="single" w:sz="8" w:space="0" w:color="0077BD"/>
            </w:tcBorders>
            <w:shd w:val="clear" w:color="auto" w:fill="auto"/>
            <w:vAlign w:val="center"/>
            <w:hideMark/>
          </w:tcPr>
          <w:p w14:paraId="006D6D3A"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33 581 972</w:t>
            </w:r>
          </w:p>
        </w:tc>
        <w:tc>
          <w:tcPr>
            <w:tcW w:w="0" w:type="auto"/>
            <w:tcBorders>
              <w:top w:val="nil"/>
              <w:left w:val="nil"/>
              <w:bottom w:val="single" w:sz="4" w:space="0" w:color="0077BD"/>
              <w:right w:val="nil"/>
            </w:tcBorders>
            <w:shd w:val="clear" w:color="auto" w:fill="auto"/>
            <w:vAlign w:val="center"/>
            <w:hideMark/>
          </w:tcPr>
          <w:p w14:paraId="0103E952"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32 913 340</w:t>
            </w:r>
          </w:p>
        </w:tc>
      </w:tr>
      <w:tr w:rsidR="00561100" w:rsidRPr="0068723D" w14:paraId="286A1472"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D5758D1" w14:textId="67B2123F" w:rsidR="00561100" w:rsidRPr="0068723D" w:rsidRDefault="00413EB0" w:rsidP="00561100">
            <w:pPr>
              <w:rPr>
                <w:rFonts w:cs="Calibri"/>
                <w:color w:val="000000" w:themeColor="text1"/>
                <w:sz w:val="13"/>
                <w:szCs w:val="13"/>
                <w:lang w:val="en-US"/>
              </w:rPr>
            </w:pPr>
            <w:r>
              <w:rPr>
                <w:rFonts w:cs="Calibri"/>
                <w:color w:val="000000" w:themeColor="text1"/>
                <w:sz w:val="13"/>
                <w:szCs w:val="13"/>
                <w:lang w:val="en-US"/>
              </w:rPr>
              <w:t>Transakcje reverse repo lub buy/</w:t>
            </w:r>
            <w:r w:rsidR="00561100" w:rsidRPr="0068723D">
              <w:rPr>
                <w:rFonts w:cs="Calibri"/>
                <w:color w:val="000000" w:themeColor="text1"/>
                <w:sz w:val="13"/>
                <w:szCs w:val="13"/>
                <w:lang w:val="en-US"/>
              </w:rPr>
              <w:t>sell back</w:t>
            </w:r>
          </w:p>
        </w:tc>
        <w:tc>
          <w:tcPr>
            <w:tcW w:w="0" w:type="auto"/>
            <w:tcBorders>
              <w:top w:val="nil"/>
              <w:left w:val="nil"/>
              <w:bottom w:val="single" w:sz="4" w:space="0" w:color="0077BD"/>
              <w:right w:val="single" w:sz="8" w:space="0" w:color="0077BD"/>
            </w:tcBorders>
            <w:shd w:val="clear" w:color="auto" w:fill="auto"/>
            <w:vAlign w:val="center"/>
          </w:tcPr>
          <w:p w14:paraId="0AF71DBD" w14:textId="77541327" w:rsidR="00561100" w:rsidRPr="00561100" w:rsidRDefault="00561100" w:rsidP="00561100">
            <w:pPr>
              <w:jc w:val="right"/>
              <w:rPr>
                <w:rFonts w:cs="Calibri"/>
                <w:color w:val="000000" w:themeColor="text1"/>
                <w:sz w:val="13"/>
                <w:szCs w:val="13"/>
                <w:lang w:val="en-US"/>
              </w:rPr>
            </w:pPr>
            <w:r w:rsidRPr="00561100">
              <w:rPr>
                <w:rFonts w:cs="Calibri"/>
                <w:sz w:val="13"/>
                <w:szCs w:val="13"/>
              </w:rPr>
              <w:t>13 398</w:t>
            </w:r>
          </w:p>
        </w:tc>
        <w:tc>
          <w:tcPr>
            <w:tcW w:w="0" w:type="auto"/>
            <w:tcBorders>
              <w:top w:val="nil"/>
              <w:left w:val="nil"/>
              <w:bottom w:val="single" w:sz="4" w:space="0" w:color="0077BD"/>
              <w:right w:val="single" w:sz="8" w:space="0" w:color="0077BD"/>
            </w:tcBorders>
            <w:shd w:val="clear" w:color="auto" w:fill="auto"/>
            <w:vAlign w:val="center"/>
          </w:tcPr>
          <w:p w14:paraId="453C8249" w14:textId="6F6FBF5E" w:rsidR="00561100" w:rsidRPr="00561100" w:rsidRDefault="00561100" w:rsidP="00561100">
            <w:pPr>
              <w:jc w:val="right"/>
              <w:rPr>
                <w:rFonts w:cs="Calibri"/>
                <w:color w:val="000000" w:themeColor="text1"/>
                <w:sz w:val="13"/>
                <w:szCs w:val="13"/>
                <w:lang w:val="en-US"/>
              </w:rPr>
            </w:pPr>
            <w:r w:rsidRPr="00561100">
              <w:rPr>
                <w:rFonts w:cs="Calibri"/>
                <w:sz w:val="13"/>
                <w:szCs w:val="13"/>
              </w:rPr>
              <w:t>13 398</w:t>
            </w:r>
          </w:p>
        </w:tc>
        <w:tc>
          <w:tcPr>
            <w:tcW w:w="0" w:type="auto"/>
            <w:tcBorders>
              <w:top w:val="nil"/>
              <w:left w:val="nil"/>
              <w:bottom w:val="single" w:sz="4" w:space="0" w:color="0077BD"/>
              <w:right w:val="single" w:sz="8" w:space="0" w:color="0077BD"/>
            </w:tcBorders>
            <w:shd w:val="clear" w:color="auto" w:fill="auto"/>
            <w:vAlign w:val="center"/>
            <w:hideMark/>
          </w:tcPr>
          <w:p w14:paraId="3D5F0991"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1 146 263</w:t>
            </w:r>
          </w:p>
        </w:tc>
        <w:tc>
          <w:tcPr>
            <w:tcW w:w="0" w:type="auto"/>
            <w:tcBorders>
              <w:top w:val="nil"/>
              <w:left w:val="nil"/>
              <w:bottom w:val="single" w:sz="4" w:space="0" w:color="0077BD"/>
              <w:right w:val="nil"/>
            </w:tcBorders>
            <w:shd w:val="clear" w:color="auto" w:fill="auto"/>
            <w:vAlign w:val="center"/>
            <w:hideMark/>
          </w:tcPr>
          <w:p w14:paraId="01FED626"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1 146 263</w:t>
            </w:r>
          </w:p>
        </w:tc>
      </w:tr>
      <w:tr w:rsidR="00561100" w:rsidRPr="0068723D" w14:paraId="5018A1FA"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89F2C71"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Pozostałe należności kredytowe</w:t>
            </w:r>
          </w:p>
        </w:tc>
        <w:tc>
          <w:tcPr>
            <w:tcW w:w="0" w:type="auto"/>
            <w:tcBorders>
              <w:top w:val="nil"/>
              <w:left w:val="nil"/>
              <w:bottom w:val="single" w:sz="4" w:space="0" w:color="0077BD"/>
              <w:right w:val="single" w:sz="8" w:space="0" w:color="0077BD"/>
            </w:tcBorders>
            <w:shd w:val="clear" w:color="auto" w:fill="auto"/>
            <w:vAlign w:val="center"/>
          </w:tcPr>
          <w:p w14:paraId="5D78990E" w14:textId="2D0D7143" w:rsidR="00561100" w:rsidRPr="00561100" w:rsidRDefault="00561100" w:rsidP="00561100">
            <w:pPr>
              <w:jc w:val="right"/>
              <w:rPr>
                <w:rFonts w:cs="Calibri"/>
                <w:color w:val="000000" w:themeColor="text1"/>
                <w:sz w:val="13"/>
                <w:szCs w:val="13"/>
              </w:rPr>
            </w:pPr>
            <w:r w:rsidRPr="00561100">
              <w:rPr>
                <w:rFonts w:cs="Calibri"/>
                <w:sz w:val="13"/>
                <w:szCs w:val="13"/>
              </w:rPr>
              <w:t>2 596 454</w:t>
            </w:r>
          </w:p>
        </w:tc>
        <w:tc>
          <w:tcPr>
            <w:tcW w:w="0" w:type="auto"/>
            <w:tcBorders>
              <w:top w:val="nil"/>
              <w:left w:val="nil"/>
              <w:bottom w:val="single" w:sz="4" w:space="0" w:color="0077BD"/>
              <w:right w:val="single" w:sz="8" w:space="0" w:color="0077BD"/>
            </w:tcBorders>
            <w:shd w:val="clear" w:color="auto" w:fill="auto"/>
            <w:vAlign w:val="center"/>
          </w:tcPr>
          <w:p w14:paraId="76949C27" w14:textId="77BED168" w:rsidR="00561100" w:rsidRPr="00561100" w:rsidRDefault="00561100" w:rsidP="00561100">
            <w:pPr>
              <w:jc w:val="right"/>
              <w:rPr>
                <w:rFonts w:cs="Calibri"/>
                <w:color w:val="000000" w:themeColor="text1"/>
                <w:sz w:val="13"/>
                <w:szCs w:val="13"/>
              </w:rPr>
            </w:pPr>
            <w:r w:rsidRPr="00561100">
              <w:rPr>
                <w:rFonts w:cs="Calibri"/>
                <w:sz w:val="13"/>
                <w:szCs w:val="13"/>
              </w:rPr>
              <w:t>2 596 454</w:t>
            </w:r>
          </w:p>
        </w:tc>
        <w:tc>
          <w:tcPr>
            <w:tcW w:w="0" w:type="auto"/>
            <w:tcBorders>
              <w:top w:val="nil"/>
              <w:left w:val="nil"/>
              <w:bottom w:val="single" w:sz="4" w:space="0" w:color="0077BD"/>
              <w:right w:val="single" w:sz="8" w:space="0" w:color="0077BD"/>
            </w:tcBorders>
            <w:shd w:val="clear" w:color="auto" w:fill="auto"/>
            <w:vAlign w:val="center"/>
            <w:hideMark/>
          </w:tcPr>
          <w:p w14:paraId="3E377DDA"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2 382 247</w:t>
            </w:r>
          </w:p>
        </w:tc>
        <w:tc>
          <w:tcPr>
            <w:tcW w:w="0" w:type="auto"/>
            <w:tcBorders>
              <w:top w:val="nil"/>
              <w:left w:val="nil"/>
              <w:bottom w:val="single" w:sz="4" w:space="0" w:color="0077BD"/>
              <w:right w:val="nil"/>
            </w:tcBorders>
            <w:shd w:val="clear" w:color="auto" w:fill="auto"/>
            <w:vAlign w:val="center"/>
            <w:hideMark/>
          </w:tcPr>
          <w:p w14:paraId="71E3ED6F"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2 382 247</w:t>
            </w:r>
          </w:p>
        </w:tc>
      </w:tr>
      <w:tr w:rsidR="00561100" w:rsidRPr="0068723D" w14:paraId="35E69993"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C0AC7F7" w14:textId="77777777" w:rsidR="00561100" w:rsidRPr="0068723D" w:rsidRDefault="00561100" w:rsidP="00561100">
            <w:pPr>
              <w:rPr>
                <w:rFonts w:cs="Calibri"/>
                <w:color w:val="000000" w:themeColor="text1"/>
                <w:sz w:val="13"/>
                <w:szCs w:val="13"/>
              </w:rPr>
            </w:pPr>
            <w:r w:rsidRPr="0068723D">
              <w:rPr>
                <w:rFonts w:cs="Calibri"/>
                <w:color w:val="000000" w:themeColor="text1"/>
                <w:sz w:val="13"/>
                <w:szCs w:val="13"/>
              </w:rPr>
              <w:t>Inne należności</w:t>
            </w:r>
          </w:p>
        </w:tc>
        <w:tc>
          <w:tcPr>
            <w:tcW w:w="0" w:type="auto"/>
            <w:tcBorders>
              <w:top w:val="nil"/>
              <w:left w:val="nil"/>
              <w:bottom w:val="single" w:sz="4" w:space="0" w:color="0077BD"/>
              <w:right w:val="single" w:sz="8" w:space="0" w:color="0077BD"/>
            </w:tcBorders>
            <w:shd w:val="clear" w:color="auto" w:fill="auto"/>
            <w:vAlign w:val="center"/>
          </w:tcPr>
          <w:p w14:paraId="24A627E6" w14:textId="6E747A37" w:rsidR="00561100" w:rsidRPr="00561100" w:rsidRDefault="00561100" w:rsidP="00561100">
            <w:pPr>
              <w:jc w:val="right"/>
              <w:rPr>
                <w:rFonts w:cs="Calibri"/>
                <w:color w:val="000000" w:themeColor="text1"/>
                <w:sz w:val="13"/>
                <w:szCs w:val="13"/>
              </w:rPr>
            </w:pPr>
            <w:r w:rsidRPr="00561100">
              <w:rPr>
                <w:rFonts w:cs="Calibri"/>
                <w:sz w:val="13"/>
                <w:szCs w:val="13"/>
              </w:rPr>
              <w:t>249 911</w:t>
            </w:r>
          </w:p>
        </w:tc>
        <w:tc>
          <w:tcPr>
            <w:tcW w:w="0" w:type="auto"/>
            <w:tcBorders>
              <w:top w:val="nil"/>
              <w:left w:val="nil"/>
              <w:bottom w:val="single" w:sz="4" w:space="0" w:color="0077BD"/>
              <w:right w:val="single" w:sz="8" w:space="0" w:color="0077BD"/>
            </w:tcBorders>
            <w:shd w:val="clear" w:color="auto" w:fill="auto"/>
            <w:vAlign w:val="center"/>
          </w:tcPr>
          <w:p w14:paraId="15555BE1" w14:textId="05817E81" w:rsidR="00561100" w:rsidRPr="00561100" w:rsidRDefault="00561100" w:rsidP="00561100">
            <w:pPr>
              <w:jc w:val="right"/>
              <w:rPr>
                <w:rFonts w:cs="Calibri"/>
                <w:color w:val="000000" w:themeColor="text1"/>
                <w:sz w:val="13"/>
                <w:szCs w:val="13"/>
              </w:rPr>
            </w:pPr>
            <w:r w:rsidRPr="00561100">
              <w:rPr>
                <w:rFonts w:cs="Calibri"/>
                <w:sz w:val="13"/>
                <w:szCs w:val="13"/>
              </w:rPr>
              <w:t>249 911</w:t>
            </w:r>
          </w:p>
        </w:tc>
        <w:tc>
          <w:tcPr>
            <w:tcW w:w="0" w:type="auto"/>
            <w:tcBorders>
              <w:top w:val="nil"/>
              <w:left w:val="nil"/>
              <w:bottom w:val="single" w:sz="4" w:space="0" w:color="0077BD"/>
              <w:right w:val="single" w:sz="8" w:space="0" w:color="0077BD"/>
            </w:tcBorders>
            <w:shd w:val="clear" w:color="auto" w:fill="auto"/>
            <w:vAlign w:val="center"/>
            <w:hideMark/>
          </w:tcPr>
          <w:p w14:paraId="06B2787F"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14 932</w:t>
            </w:r>
          </w:p>
        </w:tc>
        <w:tc>
          <w:tcPr>
            <w:tcW w:w="0" w:type="auto"/>
            <w:tcBorders>
              <w:top w:val="nil"/>
              <w:left w:val="nil"/>
              <w:bottom w:val="single" w:sz="4" w:space="0" w:color="0077BD"/>
              <w:right w:val="nil"/>
            </w:tcBorders>
            <w:shd w:val="clear" w:color="auto" w:fill="auto"/>
            <w:vAlign w:val="center"/>
            <w:hideMark/>
          </w:tcPr>
          <w:p w14:paraId="07C544A1" w14:textId="77777777" w:rsidR="00561100" w:rsidRPr="0068723D" w:rsidRDefault="00561100" w:rsidP="00561100">
            <w:pPr>
              <w:jc w:val="right"/>
              <w:rPr>
                <w:rFonts w:cs="Calibri"/>
                <w:color w:val="000000" w:themeColor="text1"/>
                <w:sz w:val="13"/>
                <w:szCs w:val="13"/>
              </w:rPr>
            </w:pPr>
            <w:r w:rsidRPr="0068723D">
              <w:rPr>
                <w:rFonts w:cs="Calibri"/>
                <w:color w:val="000000" w:themeColor="text1"/>
                <w:sz w:val="13"/>
                <w:szCs w:val="13"/>
              </w:rPr>
              <w:t>14 932</w:t>
            </w:r>
          </w:p>
        </w:tc>
      </w:tr>
      <w:tr w:rsidR="00561100" w:rsidRPr="0068723D" w14:paraId="312E63AA" w14:textId="77777777" w:rsidTr="00F9166A">
        <w:trPr>
          <w:trHeight w:val="284"/>
        </w:trPr>
        <w:tc>
          <w:tcPr>
            <w:tcW w:w="0" w:type="auto"/>
            <w:tcBorders>
              <w:top w:val="single" w:sz="8" w:space="0" w:color="0077BD"/>
              <w:left w:val="nil"/>
              <w:bottom w:val="nil"/>
              <w:right w:val="single" w:sz="8" w:space="0" w:color="0077BD"/>
            </w:tcBorders>
            <w:shd w:val="clear" w:color="auto" w:fill="auto"/>
            <w:vAlign w:val="center"/>
            <w:hideMark/>
          </w:tcPr>
          <w:p w14:paraId="6A9E6202"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Klienci budżetowi</w:t>
            </w:r>
          </w:p>
        </w:tc>
        <w:tc>
          <w:tcPr>
            <w:tcW w:w="0" w:type="auto"/>
            <w:tcBorders>
              <w:top w:val="single" w:sz="8" w:space="0" w:color="0077BD"/>
              <w:left w:val="nil"/>
              <w:bottom w:val="nil"/>
              <w:right w:val="single" w:sz="8" w:space="0" w:color="0077BD"/>
            </w:tcBorders>
            <w:shd w:val="clear" w:color="auto" w:fill="auto"/>
            <w:vAlign w:val="center"/>
          </w:tcPr>
          <w:p w14:paraId="5922DD1D" w14:textId="53DECB57" w:rsidR="00561100" w:rsidRPr="00561100" w:rsidRDefault="00561100" w:rsidP="00561100">
            <w:pPr>
              <w:jc w:val="right"/>
              <w:rPr>
                <w:rFonts w:cs="Calibri"/>
                <w:b/>
                <w:bCs/>
                <w:color w:val="000000" w:themeColor="text1"/>
                <w:sz w:val="13"/>
                <w:szCs w:val="13"/>
              </w:rPr>
            </w:pPr>
            <w:r w:rsidRPr="00561100">
              <w:rPr>
                <w:rFonts w:cs="Calibri"/>
                <w:b/>
                <w:bCs/>
                <w:sz w:val="13"/>
                <w:szCs w:val="13"/>
              </w:rPr>
              <w:t>384 315</w:t>
            </w:r>
          </w:p>
        </w:tc>
        <w:tc>
          <w:tcPr>
            <w:tcW w:w="0" w:type="auto"/>
            <w:tcBorders>
              <w:top w:val="single" w:sz="8" w:space="0" w:color="0077BD"/>
              <w:left w:val="nil"/>
              <w:bottom w:val="nil"/>
              <w:right w:val="single" w:sz="8" w:space="0" w:color="0077BD"/>
            </w:tcBorders>
            <w:shd w:val="clear" w:color="auto" w:fill="auto"/>
            <w:vAlign w:val="center"/>
          </w:tcPr>
          <w:p w14:paraId="29897B13" w14:textId="252BB674" w:rsidR="00561100" w:rsidRPr="00561100" w:rsidRDefault="00561100" w:rsidP="00561100">
            <w:pPr>
              <w:jc w:val="right"/>
              <w:rPr>
                <w:rFonts w:cs="Calibri"/>
                <w:b/>
                <w:bCs/>
                <w:color w:val="000000" w:themeColor="text1"/>
                <w:sz w:val="13"/>
                <w:szCs w:val="13"/>
              </w:rPr>
            </w:pPr>
            <w:r w:rsidRPr="00561100">
              <w:rPr>
                <w:rFonts w:cs="Calibri"/>
                <w:b/>
                <w:bCs/>
                <w:sz w:val="13"/>
                <w:szCs w:val="13"/>
              </w:rPr>
              <w:t>387 321</w:t>
            </w:r>
          </w:p>
        </w:tc>
        <w:tc>
          <w:tcPr>
            <w:tcW w:w="0" w:type="auto"/>
            <w:tcBorders>
              <w:top w:val="single" w:sz="8" w:space="0" w:color="0077BD"/>
              <w:left w:val="nil"/>
              <w:bottom w:val="nil"/>
              <w:right w:val="single" w:sz="8" w:space="0" w:color="0077BD"/>
            </w:tcBorders>
            <w:shd w:val="clear" w:color="auto" w:fill="auto"/>
            <w:vAlign w:val="center"/>
            <w:hideMark/>
          </w:tcPr>
          <w:p w14:paraId="1A436411"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636 283</w:t>
            </w:r>
          </w:p>
        </w:tc>
        <w:tc>
          <w:tcPr>
            <w:tcW w:w="0" w:type="auto"/>
            <w:tcBorders>
              <w:top w:val="single" w:sz="8" w:space="0" w:color="0077BD"/>
              <w:left w:val="nil"/>
              <w:bottom w:val="nil"/>
              <w:right w:val="nil"/>
            </w:tcBorders>
            <w:shd w:val="clear" w:color="auto" w:fill="auto"/>
            <w:vAlign w:val="center"/>
            <w:hideMark/>
          </w:tcPr>
          <w:p w14:paraId="2662A3B0"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637 949</w:t>
            </w:r>
          </w:p>
        </w:tc>
      </w:tr>
      <w:tr w:rsidR="000D2E92" w:rsidRPr="0068723D" w14:paraId="61E4A141" w14:textId="77777777" w:rsidTr="00343A7A">
        <w:trPr>
          <w:trHeight w:val="284"/>
        </w:trPr>
        <w:tc>
          <w:tcPr>
            <w:tcW w:w="0" w:type="auto"/>
            <w:gridSpan w:val="5"/>
            <w:tcBorders>
              <w:top w:val="single" w:sz="8" w:space="0" w:color="0077BD"/>
              <w:left w:val="nil"/>
              <w:bottom w:val="single" w:sz="8" w:space="0" w:color="0077BD"/>
              <w:right w:val="nil"/>
            </w:tcBorders>
            <w:shd w:val="clear" w:color="auto" w:fill="auto"/>
            <w:vAlign w:val="center"/>
            <w:hideMark/>
          </w:tcPr>
          <w:p w14:paraId="5BB24A98" w14:textId="77777777" w:rsidR="00CA6B0E" w:rsidRPr="0068723D" w:rsidRDefault="00CA6B0E" w:rsidP="00CA6B0E">
            <w:pPr>
              <w:rPr>
                <w:rFonts w:cs="Calibri"/>
                <w:b/>
                <w:bCs/>
                <w:color w:val="000000" w:themeColor="text1"/>
                <w:sz w:val="13"/>
                <w:szCs w:val="13"/>
              </w:rPr>
            </w:pPr>
            <w:r w:rsidRPr="0068723D">
              <w:rPr>
                <w:rFonts w:cs="Calibri"/>
                <w:b/>
                <w:bCs/>
                <w:color w:val="000000" w:themeColor="text1"/>
                <w:sz w:val="13"/>
                <w:szCs w:val="13"/>
              </w:rPr>
              <w:t>Zobowiązania finansowe wyceniane w zamortyzowanym koszcie</w:t>
            </w:r>
          </w:p>
        </w:tc>
      </w:tr>
      <w:tr w:rsidR="00561100" w:rsidRPr="0068723D" w14:paraId="321582F5" w14:textId="77777777" w:rsidTr="0014621E">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B0B1401"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Zobowiązania wobec banków</w:t>
            </w:r>
          </w:p>
        </w:tc>
        <w:tc>
          <w:tcPr>
            <w:tcW w:w="0" w:type="auto"/>
            <w:tcBorders>
              <w:top w:val="nil"/>
              <w:left w:val="nil"/>
              <w:bottom w:val="single" w:sz="4" w:space="0" w:color="0077BD"/>
              <w:right w:val="single" w:sz="8" w:space="0" w:color="0077BD"/>
            </w:tcBorders>
            <w:shd w:val="clear" w:color="auto" w:fill="auto"/>
            <w:vAlign w:val="center"/>
          </w:tcPr>
          <w:p w14:paraId="130B3897" w14:textId="67F68256" w:rsidR="00561100" w:rsidRPr="00561100" w:rsidRDefault="00561100" w:rsidP="00561100">
            <w:pPr>
              <w:jc w:val="right"/>
              <w:rPr>
                <w:rFonts w:cs="Calibri"/>
                <w:b/>
                <w:bCs/>
                <w:color w:val="000000" w:themeColor="text1"/>
                <w:sz w:val="13"/>
                <w:szCs w:val="13"/>
              </w:rPr>
            </w:pPr>
            <w:r w:rsidRPr="00561100">
              <w:rPr>
                <w:rFonts w:cs="Calibri"/>
                <w:b/>
                <w:bCs/>
                <w:sz w:val="13"/>
                <w:szCs w:val="13"/>
              </w:rPr>
              <w:t>1 166 871</w:t>
            </w:r>
          </w:p>
        </w:tc>
        <w:tc>
          <w:tcPr>
            <w:tcW w:w="0" w:type="auto"/>
            <w:tcBorders>
              <w:top w:val="nil"/>
              <w:left w:val="nil"/>
              <w:bottom w:val="single" w:sz="4" w:space="0" w:color="0077BD"/>
              <w:right w:val="single" w:sz="8" w:space="0" w:color="0077BD"/>
            </w:tcBorders>
            <w:shd w:val="clear" w:color="auto" w:fill="auto"/>
            <w:vAlign w:val="center"/>
          </w:tcPr>
          <w:p w14:paraId="3086C49C" w14:textId="76F2FC66" w:rsidR="00561100" w:rsidRPr="00561100" w:rsidRDefault="00561100" w:rsidP="00561100">
            <w:pPr>
              <w:jc w:val="right"/>
              <w:rPr>
                <w:rFonts w:cs="Calibri"/>
                <w:b/>
                <w:bCs/>
                <w:color w:val="000000" w:themeColor="text1"/>
                <w:sz w:val="13"/>
                <w:szCs w:val="13"/>
              </w:rPr>
            </w:pPr>
            <w:r w:rsidRPr="00561100">
              <w:rPr>
                <w:rFonts w:cs="Calibri"/>
                <w:b/>
                <w:bCs/>
                <w:sz w:val="13"/>
                <w:szCs w:val="13"/>
              </w:rPr>
              <w:t>1 166 836</w:t>
            </w:r>
          </w:p>
        </w:tc>
        <w:tc>
          <w:tcPr>
            <w:tcW w:w="0" w:type="auto"/>
            <w:tcBorders>
              <w:top w:val="nil"/>
              <w:left w:val="nil"/>
              <w:bottom w:val="single" w:sz="4" w:space="0" w:color="0077BD"/>
              <w:right w:val="single" w:sz="8" w:space="0" w:color="0077BD"/>
            </w:tcBorders>
            <w:shd w:val="clear" w:color="auto" w:fill="auto"/>
            <w:vAlign w:val="center"/>
            <w:hideMark/>
          </w:tcPr>
          <w:p w14:paraId="3D3160A6" w14:textId="38EE669A" w:rsidR="00561100" w:rsidRPr="0014621E" w:rsidRDefault="00561100" w:rsidP="00561100">
            <w:pPr>
              <w:jc w:val="right"/>
              <w:rPr>
                <w:rFonts w:cs="Calibri"/>
                <w:b/>
                <w:bCs/>
                <w:color w:val="000000" w:themeColor="text1"/>
                <w:sz w:val="13"/>
                <w:szCs w:val="13"/>
              </w:rPr>
            </w:pPr>
            <w:r w:rsidRPr="0014621E">
              <w:rPr>
                <w:rFonts w:cs="Calibri"/>
                <w:b/>
                <w:bCs/>
                <w:sz w:val="13"/>
                <w:szCs w:val="13"/>
              </w:rPr>
              <w:t>3 108 826</w:t>
            </w:r>
          </w:p>
        </w:tc>
        <w:tc>
          <w:tcPr>
            <w:tcW w:w="0" w:type="auto"/>
            <w:tcBorders>
              <w:top w:val="nil"/>
              <w:left w:val="nil"/>
              <w:bottom w:val="single" w:sz="4" w:space="0" w:color="0077BD"/>
              <w:right w:val="nil"/>
            </w:tcBorders>
            <w:shd w:val="clear" w:color="auto" w:fill="auto"/>
            <w:vAlign w:val="center"/>
            <w:hideMark/>
          </w:tcPr>
          <w:p w14:paraId="2A55A130" w14:textId="1866DC46" w:rsidR="00561100" w:rsidRPr="0014621E" w:rsidRDefault="00561100" w:rsidP="00561100">
            <w:pPr>
              <w:jc w:val="right"/>
              <w:rPr>
                <w:rFonts w:cs="Calibri"/>
                <w:b/>
                <w:bCs/>
                <w:color w:val="000000" w:themeColor="text1"/>
                <w:sz w:val="13"/>
                <w:szCs w:val="13"/>
              </w:rPr>
            </w:pPr>
            <w:r w:rsidRPr="0014621E">
              <w:rPr>
                <w:rFonts w:cs="Calibri"/>
                <w:b/>
                <w:bCs/>
                <w:sz w:val="13"/>
                <w:szCs w:val="13"/>
              </w:rPr>
              <w:t>3 107 261</w:t>
            </w:r>
          </w:p>
        </w:tc>
      </w:tr>
      <w:tr w:rsidR="00561100" w:rsidRPr="0068723D" w14:paraId="53615C9E" w14:textId="77777777" w:rsidTr="00F9166A">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7E4DC6A5"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Zobowiązania wobec klientów</w:t>
            </w:r>
          </w:p>
        </w:tc>
        <w:tc>
          <w:tcPr>
            <w:tcW w:w="0" w:type="auto"/>
            <w:tcBorders>
              <w:top w:val="nil"/>
              <w:left w:val="nil"/>
              <w:bottom w:val="single" w:sz="4" w:space="0" w:color="0077BD"/>
              <w:right w:val="single" w:sz="8" w:space="0" w:color="0077BD"/>
            </w:tcBorders>
            <w:shd w:val="clear" w:color="auto" w:fill="auto"/>
            <w:vAlign w:val="center"/>
          </w:tcPr>
          <w:p w14:paraId="08CA9963" w14:textId="62C9C91E" w:rsidR="00561100" w:rsidRPr="00561100" w:rsidRDefault="00561100" w:rsidP="00561100">
            <w:pPr>
              <w:jc w:val="right"/>
              <w:rPr>
                <w:rFonts w:cs="Calibri"/>
                <w:b/>
                <w:bCs/>
                <w:color w:val="000000" w:themeColor="text1"/>
                <w:sz w:val="13"/>
                <w:szCs w:val="13"/>
              </w:rPr>
            </w:pPr>
            <w:r w:rsidRPr="00561100">
              <w:rPr>
                <w:rFonts w:cs="Calibri"/>
                <w:b/>
                <w:bCs/>
                <w:sz w:val="13"/>
                <w:szCs w:val="13"/>
              </w:rPr>
              <w:t>116 661 138</w:t>
            </w:r>
          </w:p>
        </w:tc>
        <w:tc>
          <w:tcPr>
            <w:tcW w:w="0" w:type="auto"/>
            <w:tcBorders>
              <w:top w:val="nil"/>
              <w:left w:val="nil"/>
              <w:bottom w:val="single" w:sz="4" w:space="0" w:color="0077BD"/>
              <w:right w:val="single" w:sz="8" w:space="0" w:color="0077BD"/>
            </w:tcBorders>
            <w:shd w:val="clear" w:color="auto" w:fill="auto"/>
            <w:vAlign w:val="center"/>
          </w:tcPr>
          <w:p w14:paraId="5F6B1EBD" w14:textId="72356BAC" w:rsidR="00561100" w:rsidRPr="00561100" w:rsidRDefault="00561100" w:rsidP="00561100">
            <w:pPr>
              <w:jc w:val="right"/>
              <w:rPr>
                <w:rFonts w:cs="Calibri"/>
                <w:b/>
                <w:bCs/>
                <w:color w:val="000000" w:themeColor="text1"/>
                <w:sz w:val="13"/>
                <w:szCs w:val="13"/>
              </w:rPr>
            </w:pPr>
            <w:r w:rsidRPr="00561100">
              <w:rPr>
                <w:rFonts w:cs="Calibri"/>
                <w:b/>
                <w:bCs/>
                <w:sz w:val="13"/>
                <w:szCs w:val="13"/>
              </w:rPr>
              <w:t>116 661 251</w:t>
            </w:r>
          </w:p>
        </w:tc>
        <w:tc>
          <w:tcPr>
            <w:tcW w:w="0" w:type="auto"/>
            <w:tcBorders>
              <w:top w:val="nil"/>
              <w:left w:val="nil"/>
              <w:bottom w:val="single" w:sz="4" w:space="0" w:color="0077BD"/>
              <w:right w:val="single" w:sz="8" w:space="0" w:color="0077BD"/>
            </w:tcBorders>
            <w:shd w:val="clear" w:color="auto" w:fill="auto"/>
            <w:vAlign w:val="center"/>
            <w:hideMark/>
          </w:tcPr>
          <w:p w14:paraId="2B872635"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102 009 062</w:t>
            </w:r>
          </w:p>
        </w:tc>
        <w:tc>
          <w:tcPr>
            <w:tcW w:w="0" w:type="auto"/>
            <w:tcBorders>
              <w:top w:val="nil"/>
              <w:left w:val="nil"/>
              <w:bottom w:val="single" w:sz="4" w:space="0" w:color="0077BD"/>
              <w:right w:val="nil"/>
            </w:tcBorders>
            <w:shd w:val="clear" w:color="auto" w:fill="auto"/>
            <w:vAlign w:val="center"/>
            <w:hideMark/>
          </w:tcPr>
          <w:p w14:paraId="7AD18828"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101 932 151</w:t>
            </w:r>
          </w:p>
        </w:tc>
      </w:tr>
      <w:tr w:rsidR="00561100" w:rsidRPr="0068723D" w14:paraId="3B897BC1" w14:textId="77777777" w:rsidTr="00F9166A">
        <w:trPr>
          <w:trHeight w:val="340"/>
        </w:trPr>
        <w:tc>
          <w:tcPr>
            <w:tcW w:w="0" w:type="auto"/>
            <w:tcBorders>
              <w:top w:val="nil"/>
              <w:left w:val="nil"/>
              <w:bottom w:val="nil"/>
              <w:right w:val="single" w:sz="8" w:space="0" w:color="0077BD"/>
            </w:tcBorders>
            <w:shd w:val="clear" w:color="auto" w:fill="auto"/>
            <w:vAlign w:val="center"/>
            <w:hideMark/>
          </w:tcPr>
          <w:p w14:paraId="592AFD6D"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Zobowiązania z tytułu emisji dłużnych papierów wartościowych</w:t>
            </w:r>
          </w:p>
        </w:tc>
        <w:tc>
          <w:tcPr>
            <w:tcW w:w="0" w:type="auto"/>
            <w:tcBorders>
              <w:top w:val="nil"/>
              <w:left w:val="nil"/>
              <w:bottom w:val="nil"/>
              <w:right w:val="single" w:sz="8" w:space="0" w:color="0077BD"/>
            </w:tcBorders>
            <w:shd w:val="clear" w:color="auto" w:fill="auto"/>
            <w:vAlign w:val="center"/>
          </w:tcPr>
          <w:p w14:paraId="61492B3E" w14:textId="06709548" w:rsidR="00561100" w:rsidRPr="00561100" w:rsidRDefault="00561100" w:rsidP="00561100">
            <w:pPr>
              <w:jc w:val="right"/>
              <w:rPr>
                <w:rFonts w:cs="Calibri"/>
                <w:b/>
                <w:bCs/>
                <w:color w:val="000000" w:themeColor="text1"/>
                <w:sz w:val="13"/>
                <w:szCs w:val="13"/>
              </w:rPr>
            </w:pPr>
            <w:r w:rsidRPr="00561100">
              <w:rPr>
                <w:rFonts w:cs="Calibri"/>
                <w:b/>
                <w:bCs/>
                <w:sz w:val="13"/>
                <w:szCs w:val="13"/>
              </w:rPr>
              <w:t>17 435 143</w:t>
            </w:r>
          </w:p>
        </w:tc>
        <w:tc>
          <w:tcPr>
            <w:tcW w:w="0" w:type="auto"/>
            <w:tcBorders>
              <w:top w:val="nil"/>
              <w:left w:val="nil"/>
              <w:bottom w:val="nil"/>
              <w:right w:val="single" w:sz="8" w:space="0" w:color="0077BD"/>
            </w:tcBorders>
            <w:shd w:val="clear" w:color="auto" w:fill="auto"/>
            <w:vAlign w:val="center"/>
          </w:tcPr>
          <w:p w14:paraId="4F0CD1E6" w14:textId="1C42D1CE" w:rsidR="00561100" w:rsidRPr="00561100" w:rsidRDefault="00804688" w:rsidP="00804688">
            <w:pPr>
              <w:jc w:val="right"/>
              <w:rPr>
                <w:rFonts w:cs="Calibri"/>
                <w:b/>
                <w:bCs/>
                <w:color w:val="000000" w:themeColor="text1"/>
                <w:sz w:val="13"/>
                <w:szCs w:val="13"/>
              </w:rPr>
            </w:pPr>
            <w:r>
              <w:rPr>
                <w:rFonts w:cs="Calibri"/>
                <w:b/>
                <w:bCs/>
                <w:sz w:val="13"/>
                <w:szCs w:val="13"/>
              </w:rPr>
              <w:t>17 711</w:t>
            </w:r>
            <w:r w:rsidR="00561100" w:rsidRPr="00561100">
              <w:rPr>
                <w:rFonts w:cs="Calibri"/>
                <w:b/>
                <w:bCs/>
                <w:sz w:val="13"/>
                <w:szCs w:val="13"/>
              </w:rPr>
              <w:t xml:space="preserve"> </w:t>
            </w:r>
            <w:r>
              <w:rPr>
                <w:rFonts w:cs="Calibri"/>
                <w:b/>
                <w:bCs/>
                <w:sz w:val="13"/>
                <w:szCs w:val="13"/>
              </w:rPr>
              <w:t>082</w:t>
            </w:r>
          </w:p>
        </w:tc>
        <w:tc>
          <w:tcPr>
            <w:tcW w:w="0" w:type="auto"/>
            <w:tcBorders>
              <w:top w:val="nil"/>
              <w:left w:val="nil"/>
              <w:bottom w:val="nil"/>
              <w:right w:val="single" w:sz="8" w:space="0" w:color="0077BD"/>
            </w:tcBorders>
            <w:shd w:val="clear" w:color="auto" w:fill="auto"/>
            <w:vAlign w:val="center"/>
            <w:hideMark/>
          </w:tcPr>
          <w:p w14:paraId="39DD3F5E"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18 049 583</w:t>
            </w:r>
          </w:p>
        </w:tc>
        <w:tc>
          <w:tcPr>
            <w:tcW w:w="0" w:type="auto"/>
            <w:tcBorders>
              <w:top w:val="nil"/>
              <w:left w:val="nil"/>
              <w:bottom w:val="nil"/>
              <w:right w:val="nil"/>
            </w:tcBorders>
            <w:shd w:val="clear" w:color="auto" w:fill="auto"/>
            <w:vAlign w:val="center"/>
            <w:hideMark/>
          </w:tcPr>
          <w:p w14:paraId="77D4D8AE"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18 236 156</w:t>
            </w:r>
          </w:p>
        </w:tc>
      </w:tr>
      <w:tr w:rsidR="00561100" w:rsidRPr="0068723D" w14:paraId="38757984" w14:textId="77777777" w:rsidTr="00F9166A">
        <w:trPr>
          <w:trHeight w:val="284"/>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245D6E5C" w14:textId="77777777" w:rsidR="00561100" w:rsidRPr="0068723D" w:rsidRDefault="00561100" w:rsidP="00561100">
            <w:pPr>
              <w:rPr>
                <w:rFonts w:cs="Calibri"/>
                <w:b/>
                <w:bCs/>
                <w:color w:val="000000" w:themeColor="text1"/>
                <w:sz w:val="13"/>
                <w:szCs w:val="13"/>
              </w:rPr>
            </w:pPr>
            <w:r w:rsidRPr="0068723D">
              <w:rPr>
                <w:rFonts w:cs="Calibri"/>
                <w:b/>
                <w:bCs/>
                <w:color w:val="000000" w:themeColor="text1"/>
                <w:sz w:val="13"/>
                <w:szCs w:val="13"/>
              </w:rPr>
              <w:t xml:space="preserve">Zobowiązania podporządkowane </w:t>
            </w:r>
          </w:p>
        </w:tc>
        <w:tc>
          <w:tcPr>
            <w:tcW w:w="0" w:type="auto"/>
            <w:tcBorders>
              <w:top w:val="single" w:sz="4" w:space="0" w:color="0077BD"/>
              <w:left w:val="nil"/>
              <w:bottom w:val="single" w:sz="8" w:space="0" w:color="0077BD"/>
              <w:right w:val="single" w:sz="8" w:space="0" w:color="0077BD"/>
            </w:tcBorders>
            <w:shd w:val="clear" w:color="auto" w:fill="auto"/>
            <w:vAlign w:val="center"/>
          </w:tcPr>
          <w:p w14:paraId="2F5F91B2" w14:textId="46ACFE02" w:rsidR="00561100" w:rsidRPr="00561100" w:rsidRDefault="00561100" w:rsidP="00561100">
            <w:pPr>
              <w:jc w:val="right"/>
              <w:rPr>
                <w:rFonts w:cs="Calibri"/>
                <w:b/>
                <w:bCs/>
                <w:color w:val="000000" w:themeColor="text1"/>
                <w:sz w:val="13"/>
                <w:szCs w:val="13"/>
              </w:rPr>
            </w:pPr>
            <w:r w:rsidRPr="00561100">
              <w:rPr>
                <w:rFonts w:cs="Calibri"/>
                <w:b/>
                <w:bCs/>
                <w:sz w:val="13"/>
                <w:szCs w:val="13"/>
              </w:rPr>
              <w:t>2 500 217</w:t>
            </w:r>
          </w:p>
        </w:tc>
        <w:tc>
          <w:tcPr>
            <w:tcW w:w="0" w:type="auto"/>
            <w:tcBorders>
              <w:top w:val="single" w:sz="4" w:space="0" w:color="0077BD"/>
              <w:left w:val="nil"/>
              <w:bottom w:val="single" w:sz="8" w:space="0" w:color="0077BD"/>
              <w:right w:val="single" w:sz="8" w:space="0" w:color="0077BD"/>
            </w:tcBorders>
            <w:shd w:val="clear" w:color="auto" w:fill="auto"/>
            <w:vAlign w:val="center"/>
          </w:tcPr>
          <w:p w14:paraId="00651E14" w14:textId="75995BA1" w:rsidR="00561100" w:rsidRPr="00561100" w:rsidRDefault="00561100" w:rsidP="00561100">
            <w:pPr>
              <w:jc w:val="right"/>
              <w:rPr>
                <w:rFonts w:cs="Calibri"/>
                <w:b/>
                <w:bCs/>
                <w:color w:val="000000" w:themeColor="text1"/>
                <w:sz w:val="13"/>
                <w:szCs w:val="13"/>
              </w:rPr>
            </w:pPr>
            <w:r w:rsidRPr="00561100">
              <w:rPr>
                <w:rFonts w:cs="Calibri"/>
                <w:b/>
                <w:bCs/>
                <w:sz w:val="13"/>
                <w:szCs w:val="13"/>
              </w:rPr>
              <w:t>2 519 770</w:t>
            </w:r>
          </w:p>
        </w:tc>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423F9286"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2 474 163</w:t>
            </w:r>
          </w:p>
        </w:tc>
        <w:tc>
          <w:tcPr>
            <w:tcW w:w="0" w:type="auto"/>
            <w:tcBorders>
              <w:top w:val="single" w:sz="4" w:space="0" w:color="0077BD"/>
              <w:left w:val="nil"/>
              <w:bottom w:val="single" w:sz="8" w:space="0" w:color="0077BD"/>
              <w:right w:val="nil"/>
            </w:tcBorders>
            <w:shd w:val="clear" w:color="auto" w:fill="auto"/>
            <w:vAlign w:val="center"/>
            <w:hideMark/>
          </w:tcPr>
          <w:p w14:paraId="1BE4ED6F" w14:textId="77777777" w:rsidR="00561100" w:rsidRPr="0068723D" w:rsidRDefault="00561100" w:rsidP="00561100">
            <w:pPr>
              <w:jc w:val="right"/>
              <w:rPr>
                <w:rFonts w:cs="Calibri"/>
                <w:b/>
                <w:bCs/>
                <w:color w:val="000000" w:themeColor="text1"/>
                <w:sz w:val="13"/>
                <w:szCs w:val="13"/>
              </w:rPr>
            </w:pPr>
            <w:r w:rsidRPr="0068723D">
              <w:rPr>
                <w:rFonts w:cs="Calibri"/>
                <w:b/>
                <w:bCs/>
                <w:color w:val="000000" w:themeColor="text1"/>
                <w:sz w:val="13"/>
                <w:szCs w:val="13"/>
              </w:rPr>
              <w:t>2 492 101</w:t>
            </w:r>
          </w:p>
        </w:tc>
      </w:tr>
    </w:tbl>
    <w:p w14:paraId="5BE10B73" w14:textId="777500C7"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rPr>
        <w:t>Poniżej zaprezentowane są główne założenia i metody wykorzystane przez Grupę podczas szacowania wartości godziwej instrumentów finansowych:</w:t>
      </w:r>
    </w:p>
    <w:p w14:paraId="63812B65" w14:textId="0DF60EA2" w:rsidR="00C55375"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u w:val="single"/>
        </w:rPr>
        <w:t xml:space="preserve">Należności od banków oraz kredyty i pożyczki udzielone klientom. </w:t>
      </w:r>
      <w:r w:rsidRPr="0068723D">
        <w:rPr>
          <w:rFonts w:cs="Tahoma"/>
          <w:color w:val="000000" w:themeColor="text1"/>
          <w:sz w:val="18"/>
          <w:szCs w:val="18"/>
        </w:rPr>
        <w:t>Wartość godziwa należności od banków oraz kredytów i pożyczek udzielonych klientom została wyliczona jako wartość szacowanych przyszłych przepływów pieniężnych (z uwzględnieniem efektu przedpłat) przy zastosowaniu bieżących stóp procentowych, uwzględniając wysokość spreadu kredytowego, kosztu płynności oraz kosztu kapitału. Poziom spreadu kredytowego został wyznaczony w oparciu o notowania rynkowe mediany spreadów kredytowych dla systemu ratingowego Moody’s. Przypisanie spreadu kredytowego do danej ekspozycji kredytowej nastąpiło poprzez zmapowanie systemu ratingowego Moody’s z wewnętrznym systemem ratingowym Banku. W celu odzwierciedlenia faktu, że duża część ekspozycji Grupy jest zabezpieczona, podczas gdy mediana kwotowań rynkowych jest skoncentrowana wokół emisji niezabezpieczonych, Grupa dokonała korekty z tego tytułu.</w:t>
      </w:r>
    </w:p>
    <w:p w14:paraId="339C1174" w14:textId="77777777" w:rsidR="00C55375" w:rsidRDefault="00C55375">
      <w:pPr>
        <w:rPr>
          <w:rFonts w:cs="Tahoma"/>
          <w:color w:val="000000" w:themeColor="text1"/>
          <w:sz w:val="18"/>
          <w:szCs w:val="18"/>
        </w:rPr>
      </w:pPr>
      <w:r>
        <w:rPr>
          <w:rFonts w:cs="Tahoma"/>
          <w:color w:val="000000" w:themeColor="text1"/>
          <w:sz w:val="18"/>
          <w:szCs w:val="18"/>
        </w:rPr>
        <w:br w:type="page"/>
      </w:r>
    </w:p>
    <w:p w14:paraId="6D6A9BC1" w14:textId="77777777"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u w:val="single"/>
        </w:rPr>
        <w:lastRenderedPageBreak/>
        <w:t>Zobowiązania finansowe</w:t>
      </w:r>
      <w:r w:rsidRPr="0068723D">
        <w:rPr>
          <w:rFonts w:cs="Tahoma"/>
          <w:color w:val="000000" w:themeColor="text1"/>
          <w:sz w:val="18"/>
          <w:szCs w:val="18"/>
        </w:rPr>
        <w:t>. Instrumenty finansowe po stronie zobowiązań stanowią:</w:t>
      </w:r>
    </w:p>
    <w:p w14:paraId="2DE621B1" w14:textId="77777777" w:rsidR="0053311A" w:rsidRPr="0068723D" w:rsidRDefault="0053311A" w:rsidP="00526DF1">
      <w:pPr>
        <w:numPr>
          <w:ilvl w:val="0"/>
          <w:numId w:val="49"/>
        </w:numPr>
        <w:suppressAutoHyphens/>
        <w:spacing w:before="120" w:after="160" w:line="259" w:lineRule="auto"/>
        <w:ind w:left="426" w:hanging="426"/>
        <w:contextualSpacing/>
        <w:jc w:val="both"/>
        <w:rPr>
          <w:rFonts w:cs="Tahoma"/>
          <w:color w:val="000000" w:themeColor="text1"/>
          <w:sz w:val="18"/>
          <w:szCs w:val="18"/>
        </w:rPr>
      </w:pPr>
      <w:r w:rsidRPr="0068723D">
        <w:rPr>
          <w:rFonts w:cs="Tahoma"/>
          <w:color w:val="000000" w:themeColor="text1"/>
          <w:sz w:val="18"/>
          <w:szCs w:val="18"/>
        </w:rPr>
        <w:t>Kredyty zaciągnięte</w:t>
      </w:r>
    </w:p>
    <w:p w14:paraId="70A75066" w14:textId="77777777" w:rsidR="0053311A" w:rsidRPr="0068723D" w:rsidRDefault="0053311A" w:rsidP="00526DF1">
      <w:pPr>
        <w:numPr>
          <w:ilvl w:val="0"/>
          <w:numId w:val="49"/>
        </w:numPr>
        <w:suppressAutoHyphens/>
        <w:spacing w:before="120" w:after="160" w:line="259" w:lineRule="auto"/>
        <w:ind w:left="426" w:hanging="426"/>
        <w:contextualSpacing/>
        <w:jc w:val="both"/>
        <w:rPr>
          <w:rFonts w:cs="Tahoma"/>
          <w:color w:val="000000" w:themeColor="text1"/>
          <w:sz w:val="18"/>
          <w:szCs w:val="18"/>
        </w:rPr>
      </w:pPr>
      <w:r w:rsidRPr="0068723D">
        <w:rPr>
          <w:rFonts w:cs="Tahoma"/>
          <w:color w:val="000000" w:themeColor="text1"/>
          <w:sz w:val="18"/>
          <w:szCs w:val="18"/>
        </w:rPr>
        <w:t>Depozyty</w:t>
      </w:r>
    </w:p>
    <w:p w14:paraId="5DC455BC" w14:textId="77777777" w:rsidR="0053311A" w:rsidRPr="0068723D" w:rsidRDefault="0053311A" w:rsidP="00526DF1">
      <w:pPr>
        <w:numPr>
          <w:ilvl w:val="0"/>
          <w:numId w:val="49"/>
        </w:numPr>
        <w:suppressAutoHyphens/>
        <w:spacing w:before="120" w:after="160" w:line="259" w:lineRule="auto"/>
        <w:ind w:left="426" w:hanging="426"/>
        <w:contextualSpacing/>
        <w:jc w:val="both"/>
        <w:rPr>
          <w:rFonts w:cs="Tahoma"/>
          <w:color w:val="000000" w:themeColor="text1"/>
          <w:sz w:val="18"/>
          <w:szCs w:val="18"/>
        </w:rPr>
      </w:pPr>
      <w:r w:rsidRPr="0068723D">
        <w:rPr>
          <w:rFonts w:cs="Tahoma"/>
          <w:color w:val="000000" w:themeColor="text1"/>
          <w:sz w:val="18"/>
          <w:szCs w:val="18"/>
        </w:rPr>
        <w:t>Emisje dłużnych papierów wartościowych</w:t>
      </w:r>
    </w:p>
    <w:p w14:paraId="5019F0BA" w14:textId="77777777" w:rsidR="0053311A" w:rsidRPr="0068723D" w:rsidRDefault="0053311A" w:rsidP="00526DF1">
      <w:pPr>
        <w:numPr>
          <w:ilvl w:val="0"/>
          <w:numId w:val="49"/>
        </w:numPr>
        <w:suppressAutoHyphens/>
        <w:spacing w:before="120" w:after="160" w:line="259" w:lineRule="auto"/>
        <w:ind w:left="426" w:hanging="426"/>
        <w:contextualSpacing/>
        <w:jc w:val="both"/>
        <w:rPr>
          <w:rFonts w:cs="Tahoma"/>
          <w:color w:val="000000" w:themeColor="text1"/>
          <w:sz w:val="18"/>
          <w:szCs w:val="18"/>
        </w:rPr>
      </w:pPr>
      <w:r w:rsidRPr="0068723D">
        <w:rPr>
          <w:rFonts w:cs="Tahoma"/>
          <w:color w:val="000000" w:themeColor="text1"/>
          <w:sz w:val="18"/>
          <w:szCs w:val="18"/>
        </w:rPr>
        <w:t>Zobowiązania podporządkowane</w:t>
      </w:r>
    </w:p>
    <w:p w14:paraId="0E34EAD6" w14:textId="77777777" w:rsidR="0053311A" w:rsidRPr="0068723D" w:rsidRDefault="0053311A" w:rsidP="0053311A">
      <w:pPr>
        <w:suppressAutoHyphens/>
        <w:spacing w:before="120"/>
        <w:jc w:val="both"/>
        <w:rPr>
          <w:rFonts w:cs="Tahoma"/>
          <w:color w:val="000000" w:themeColor="text1"/>
          <w:sz w:val="18"/>
          <w:szCs w:val="18"/>
        </w:rPr>
      </w:pPr>
    </w:p>
    <w:p w14:paraId="1F21D05D" w14:textId="68045409" w:rsidR="0053311A" w:rsidRPr="0068723D" w:rsidRDefault="007A1027" w:rsidP="0053311A">
      <w:pPr>
        <w:suppressAutoHyphens/>
        <w:jc w:val="both"/>
        <w:rPr>
          <w:rFonts w:cs="Tahoma"/>
          <w:color w:val="000000" w:themeColor="text1"/>
          <w:sz w:val="18"/>
          <w:szCs w:val="18"/>
        </w:rPr>
      </w:pPr>
      <w:r w:rsidRPr="007A1027">
        <w:rPr>
          <w:rFonts w:cs="Tahoma"/>
          <w:color w:val="000000" w:themeColor="text1"/>
          <w:sz w:val="18"/>
          <w:szCs w:val="18"/>
        </w:rPr>
        <w:t>Wartość godziwa dla powyższych zobowiązań finansowych powyżej 1 roku opiera się na zdyskontowanych przepływach pieniężnych przy zastosowaniu czynnika dyskontującego z uwzględnieniem oszacowania spreadu odzwierciedlającego spread kredytowy mBanku i marżę płynności. Dla</w:t>
      </w:r>
      <w:r w:rsidR="00AA6B25">
        <w:rPr>
          <w:rFonts w:cs="Tahoma"/>
          <w:color w:val="000000" w:themeColor="text1"/>
          <w:sz w:val="18"/>
          <w:szCs w:val="18"/>
        </w:rPr>
        <w:t xml:space="preserve"> </w:t>
      </w:r>
      <w:r w:rsidRPr="007A1027">
        <w:rPr>
          <w:rFonts w:cs="Tahoma"/>
          <w:color w:val="000000" w:themeColor="text1"/>
          <w:sz w:val="18"/>
          <w:szCs w:val="18"/>
        </w:rPr>
        <w:t>kredytów otrzymanych z</w:t>
      </w:r>
      <w:r w:rsidR="00B034B5">
        <w:rPr>
          <w:rFonts w:cs="Tahoma"/>
          <w:color w:val="000000" w:themeColor="text1"/>
          <w:sz w:val="18"/>
          <w:szCs w:val="18"/>
        </w:rPr>
        <w:t> </w:t>
      </w:r>
      <w:r w:rsidRPr="007A1027">
        <w:rPr>
          <w:rFonts w:cs="Tahoma"/>
          <w:color w:val="000000" w:themeColor="text1"/>
          <w:sz w:val="18"/>
          <w:szCs w:val="18"/>
        </w:rPr>
        <w:t>Europejskiego Banku Inwestycyjnego w EUR i CHF zastosowano krzywą rentowności EBI. W odniesieniu do emisji własnych w ramach programu EMTN zastosowano cenę rynkową z odpowiednich serwisów finansowych</w:t>
      </w:r>
      <w:r w:rsidR="0053311A" w:rsidRPr="0068723D">
        <w:rPr>
          <w:rFonts w:cs="Tahoma"/>
          <w:color w:val="000000" w:themeColor="text1"/>
          <w:sz w:val="18"/>
          <w:szCs w:val="18"/>
        </w:rPr>
        <w:t>.</w:t>
      </w:r>
    </w:p>
    <w:p w14:paraId="6F43313C" w14:textId="60194A59"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rPr>
        <w:t>W przypadku depozytów Grupa zastosowała krzywą zbudowaną w oparciu o kwotowania stóp rynku międzybankowego, a także kontraktów FRA i kontraktów IRS dla odpowiednich walut i terminów zapadalności. W przypadku wyceny zobowiązań podporządkowanych Grupa zastosowała krzywe oparte na</w:t>
      </w:r>
      <w:r w:rsidR="00B034B5">
        <w:rPr>
          <w:rFonts w:cs="Tahoma"/>
          <w:color w:val="000000" w:themeColor="text1"/>
          <w:sz w:val="18"/>
          <w:szCs w:val="18"/>
        </w:rPr>
        <w:t> </w:t>
      </w:r>
      <w:r w:rsidRPr="0068723D">
        <w:rPr>
          <w:rFonts w:cs="Tahoma"/>
          <w:color w:val="000000" w:themeColor="text1"/>
          <w:sz w:val="18"/>
          <w:szCs w:val="18"/>
        </w:rPr>
        <w:t>stawkach swapowych cross currency z uwzględnieniem pierwotnego spreadu na zobowiązaniach podporządkowanych oraz ich terminu zapadalności.</w:t>
      </w:r>
    </w:p>
    <w:p w14:paraId="7FC4C680" w14:textId="77777777"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rPr>
        <w:t xml:space="preserve">Z kolei dla listów zastawnych i obligacji emitowanych przez mBank Hipoteczny do wyceny na potrzeby ujawnień wykorzystano krzywe kontraktów swap oraz prognozowany poziom spreadu emisyjnego dla odpowiednich emisji. </w:t>
      </w:r>
    </w:p>
    <w:p w14:paraId="3B001882" w14:textId="511CC0AA"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rPr>
        <w:t>Grupa przyjęła, że wartość godziwa dla powyższych instrumentów o wymagalności poniżej 1 roku jest równa ich wartości księgowej.</w:t>
      </w:r>
    </w:p>
    <w:p w14:paraId="0DB8FE62" w14:textId="50393753" w:rsidR="0053311A" w:rsidRPr="0068723D" w:rsidRDefault="0053311A" w:rsidP="0053311A">
      <w:pPr>
        <w:suppressAutoHyphens/>
        <w:spacing w:before="120"/>
        <w:jc w:val="both"/>
        <w:rPr>
          <w:rFonts w:cs="Tahoma"/>
          <w:color w:val="000000" w:themeColor="text1"/>
          <w:sz w:val="18"/>
          <w:szCs w:val="18"/>
        </w:rPr>
      </w:pPr>
      <w:r w:rsidRPr="0068723D">
        <w:rPr>
          <w:rFonts w:cs="Tahoma"/>
          <w:color w:val="000000" w:themeColor="text1"/>
          <w:sz w:val="18"/>
          <w:szCs w:val="18"/>
        </w:rPr>
        <w:t>Na podstawie stosowanych przez Grupę metod ustalania wartości godziwej, aktywa i zobowiązania finansowe klasyfikuje się do następujących kategorii:</w:t>
      </w:r>
    </w:p>
    <w:p w14:paraId="0D03B033" w14:textId="77777777" w:rsidR="0053311A" w:rsidRPr="0068723D" w:rsidRDefault="0053311A" w:rsidP="00526DF1">
      <w:pPr>
        <w:numPr>
          <w:ilvl w:val="0"/>
          <w:numId w:val="56"/>
        </w:numPr>
        <w:shd w:val="clear" w:color="auto" w:fill="FFFFFF"/>
        <w:spacing w:before="120" w:after="120"/>
        <w:jc w:val="both"/>
        <w:rPr>
          <w:rFonts w:cs="Tahoma"/>
          <w:color w:val="000000" w:themeColor="text1"/>
          <w:sz w:val="18"/>
          <w:szCs w:val="18"/>
          <w:lang w:eastAsia="en-US"/>
        </w:rPr>
      </w:pPr>
      <w:r w:rsidRPr="0068723D">
        <w:rPr>
          <w:rFonts w:cs="Tahoma"/>
          <w:color w:val="000000" w:themeColor="text1"/>
          <w:sz w:val="18"/>
          <w:szCs w:val="18"/>
          <w:lang w:eastAsia="en-US"/>
        </w:rPr>
        <w:t>Poziom 1: ceny kwotowane na aktywnych rynkach dla tego samego instrumentu (bez modyfikacji);</w:t>
      </w:r>
    </w:p>
    <w:p w14:paraId="618B49A6" w14:textId="77777777" w:rsidR="0053311A" w:rsidRPr="0068723D" w:rsidRDefault="0053311A" w:rsidP="00526DF1">
      <w:pPr>
        <w:numPr>
          <w:ilvl w:val="0"/>
          <w:numId w:val="56"/>
        </w:numPr>
        <w:shd w:val="clear" w:color="auto" w:fill="FFFFFF"/>
        <w:spacing w:before="120" w:after="120"/>
        <w:jc w:val="both"/>
        <w:rPr>
          <w:rFonts w:cs="Tahoma"/>
          <w:color w:val="000000" w:themeColor="text1"/>
          <w:sz w:val="18"/>
          <w:szCs w:val="18"/>
          <w:lang w:eastAsia="en-US"/>
        </w:rPr>
      </w:pPr>
      <w:r w:rsidRPr="0068723D">
        <w:rPr>
          <w:rFonts w:cs="Tahoma"/>
          <w:color w:val="000000" w:themeColor="text1"/>
          <w:sz w:val="18"/>
          <w:szCs w:val="18"/>
          <w:lang w:eastAsia="en-US"/>
        </w:rPr>
        <w:t xml:space="preserve">Poziom 2: ceny kwotowane na aktywnych rynkach dla podobnych instrumentów lub inne metody wyceny, dla których wszystkie istotne dane wejściowe bazują na obserwowalnych danych rynkowych; </w:t>
      </w:r>
    </w:p>
    <w:p w14:paraId="37955D31" w14:textId="0A2D89C3" w:rsidR="0053311A" w:rsidRPr="0068723D" w:rsidRDefault="0053311A" w:rsidP="00526DF1">
      <w:pPr>
        <w:numPr>
          <w:ilvl w:val="0"/>
          <w:numId w:val="25"/>
        </w:numPr>
        <w:shd w:val="clear" w:color="auto" w:fill="FFFFFF"/>
        <w:spacing w:before="120" w:after="120"/>
        <w:jc w:val="both"/>
        <w:rPr>
          <w:rFonts w:cs="Tahoma"/>
          <w:color w:val="000000" w:themeColor="text1"/>
          <w:sz w:val="18"/>
          <w:szCs w:val="18"/>
          <w:lang w:eastAsia="en-US"/>
        </w:rPr>
      </w:pPr>
      <w:r w:rsidRPr="0068723D">
        <w:rPr>
          <w:rFonts w:cs="Tahoma"/>
          <w:color w:val="000000" w:themeColor="text1"/>
          <w:sz w:val="18"/>
          <w:szCs w:val="18"/>
          <w:lang w:eastAsia="en-US"/>
        </w:rPr>
        <w:t>Poziom 3: metody wyceny, dla których przynajmniej jedna istotna dana wejściowa nie bazuje na</w:t>
      </w:r>
      <w:r w:rsidR="00B034B5">
        <w:rPr>
          <w:rFonts w:cs="Tahoma"/>
          <w:color w:val="000000" w:themeColor="text1"/>
          <w:sz w:val="18"/>
          <w:szCs w:val="18"/>
          <w:lang w:eastAsia="en-US"/>
        </w:rPr>
        <w:t> </w:t>
      </w:r>
      <w:r w:rsidRPr="0068723D">
        <w:rPr>
          <w:rFonts w:cs="Tahoma"/>
          <w:color w:val="000000" w:themeColor="text1"/>
          <w:sz w:val="18"/>
          <w:szCs w:val="18"/>
          <w:lang w:eastAsia="en-US"/>
        </w:rPr>
        <w:t>obserwowalnych danych rynkowych.</w:t>
      </w:r>
    </w:p>
    <w:p w14:paraId="19C206A8" w14:textId="553F85B1" w:rsidR="00CD37FD" w:rsidRPr="0068723D" w:rsidRDefault="0053311A" w:rsidP="008D6556">
      <w:pPr>
        <w:suppressAutoHyphens/>
        <w:spacing w:before="120" w:after="120"/>
        <w:jc w:val="both"/>
        <w:rPr>
          <w:rFonts w:cs="Tahoma"/>
          <w:color w:val="000000" w:themeColor="text1"/>
          <w:sz w:val="18"/>
          <w:szCs w:val="18"/>
        </w:rPr>
      </w:pPr>
      <w:r w:rsidRPr="0068723D">
        <w:rPr>
          <w:rFonts w:cs="Tahoma"/>
          <w:color w:val="000000" w:themeColor="text1"/>
          <w:sz w:val="18"/>
          <w:szCs w:val="18"/>
        </w:rPr>
        <w:t>W tabeli poniżej przedstawiono hierarchię wartości godziwej dla aktywów i zobowiązań finansowych, wycenianych do wartości godziwej zgodnie z założeniami i metodami opisanymi powyżej, wyłącznie na</w:t>
      </w:r>
      <w:r w:rsidR="00B034B5">
        <w:rPr>
          <w:rFonts w:cs="Tahoma"/>
          <w:color w:val="000000" w:themeColor="text1"/>
          <w:sz w:val="18"/>
          <w:szCs w:val="18"/>
        </w:rPr>
        <w:t> </w:t>
      </w:r>
      <w:r w:rsidRPr="0068723D">
        <w:rPr>
          <w:rFonts w:cs="Tahoma"/>
          <w:color w:val="000000" w:themeColor="text1"/>
          <w:sz w:val="18"/>
          <w:szCs w:val="18"/>
        </w:rPr>
        <w:t>potrzeby ujawnień, wedłu</w:t>
      </w:r>
      <w:r w:rsidR="00E54C33" w:rsidRPr="0068723D">
        <w:rPr>
          <w:rFonts w:cs="Tahoma"/>
          <w:color w:val="000000" w:themeColor="text1"/>
          <w:sz w:val="18"/>
          <w:szCs w:val="18"/>
        </w:rPr>
        <w:t>g stanu na dzień 31 grudnia 2019 roku i na dzień 31 grudnia 2018</w:t>
      </w:r>
      <w:r w:rsidRPr="0068723D">
        <w:rPr>
          <w:rFonts w:cs="Tahoma"/>
          <w:color w:val="000000" w:themeColor="text1"/>
          <w:sz w:val="18"/>
          <w:szCs w:val="18"/>
        </w:rPr>
        <w:t xml:space="preserve"> roku.</w:t>
      </w:r>
      <w:r w:rsidR="00CD37FD" w:rsidRPr="0068723D">
        <w:rPr>
          <w:rFonts w:cs="Tahoma"/>
          <w:color w:val="000000" w:themeColor="text1"/>
          <w:sz w:val="18"/>
          <w:szCs w:val="18"/>
        </w:rPr>
        <w:t xml:space="preserve"> </w:t>
      </w:r>
    </w:p>
    <w:tbl>
      <w:tblPr>
        <w:tblW w:w="0" w:type="auto"/>
        <w:tblLayout w:type="fixed"/>
        <w:tblCellMar>
          <w:left w:w="28" w:type="dxa"/>
          <w:right w:w="28" w:type="dxa"/>
        </w:tblCellMar>
        <w:tblLook w:val="04A0" w:firstRow="1" w:lastRow="0" w:firstColumn="1" w:lastColumn="0" w:noHBand="0" w:noVBand="1"/>
      </w:tblPr>
      <w:tblGrid>
        <w:gridCol w:w="3909"/>
        <w:gridCol w:w="1418"/>
        <w:gridCol w:w="1418"/>
        <w:gridCol w:w="1418"/>
        <w:gridCol w:w="1418"/>
      </w:tblGrid>
      <w:tr w:rsidR="008D6556" w:rsidRPr="008D6556" w14:paraId="42A65379" w14:textId="77777777" w:rsidTr="00FE157F">
        <w:trPr>
          <w:trHeight w:val="284"/>
        </w:trPr>
        <w:tc>
          <w:tcPr>
            <w:tcW w:w="3909" w:type="dxa"/>
            <w:vMerge w:val="restart"/>
            <w:tcBorders>
              <w:top w:val="nil"/>
              <w:left w:val="nil"/>
              <w:bottom w:val="single" w:sz="4" w:space="0" w:color="FFFFFF"/>
              <w:right w:val="nil"/>
            </w:tcBorders>
            <w:shd w:val="clear" w:color="000000" w:fill="0077BD"/>
            <w:noWrap/>
            <w:vAlign w:val="center"/>
            <w:hideMark/>
          </w:tcPr>
          <w:p w14:paraId="46218255" w14:textId="73C772E6" w:rsidR="008D6556" w:rsidRPr="008D6556" w:rsidRDefault="008D6556" w:rsidP="008D6556">
            <w:pPr>
              <w:rPr>
                <w:rFonts w:cs="Calibri"/>
                <w:b/>
                <w:bCs/>
                <w:color w:val="FFFFFF"/>
                <w:sz w:val="13"/>
                <w:szCs w:val="13"/>
              </w:rPr>
            </w:pPr>
            <w:r>
              <w:rPr>
                <w:rFonts w:cs="Calibri"/>
                <w:b/>
                <w:bCs/>
                <w:color w:val="FFFFFF"/>
                <w:sz w:val="13"/>
                <w:szCs w:val="13"/>
              </w:rPr>
              <w:t>31.12.2019</w:t>
            </w:r>
          </w:p>
        </w:tc>
        <w:tc>
          <w:tcPr>
            <w:tcW w:w="1418" w:type="dxa"/>
            <w:vMerge w:val="restart"/>
            <w:tcBorders>
              <w:left w:val="single" w:sz="8" w:space="0" w:color="FFFFFF"/>
              <w:bottom w:val="single" w:sz="8" w:space="0" w:color="FFFFFF"/>
              <w:right w:val="single" w:sz="8" w:space="0" w:color="FFFFFF"/>
            </w:tcBorders>
            <w:shd w:val="clear" w:color="000000" w:fill="0077BD"/>
            <w:vAlign w:val="center"/>
            <w:hideMark/>
          </w:tcPr>
          <w:p w14:paraId="0E91D4B1" w14:textId="77777777" w:rsidR="008D6556" w:rsidRPr="008D6556" w:rsidRDefault="008D6556" w:rsidP="008D6556">
            <w:pPr>
              <w:rPr>
                <w:rFonts w:cs="Calibri"/>
                <w:b/>
                <w:bCs/>
                <w:color w:val="FFFFFF"/>
                <w:sz w:val="13"/>
                <w:szCs w:val="13"/>
              </w:rPr>
            </w:pPr>
            <w:r w:rsidRPr="008D6556">
              <w:rPr>
                <w:rFonts w:cs="Calibri"/>
                <w:b/>
                <w:bCs/>
                <w:color w:val="FFFFFF"/>
                <w:sz w:val="13"/>
                <w:szCs w:val="13"/>
              </w:rPr>
              <w:t>w tym:</w:t>
            </w:r>
          </w:p>
        </w:tc>
        <w:tc>
          <w:tcPr>
            <w:tcW w:w="1418" w:type="dxa"/>
            <w:tcBorders>
              <w:left w:val="nil"/>
              <w:bottom w:val="single" w:sz="8" w:space="0" w:color="FFFFFF"/>
              <w:right w:val="single" w:sz="8" w:space="0" w:color="FFFFFF"/>
            </w:tcBorders>
            <w:shd w:val="clear" w:color="000000" w:fill="0077BD"/>
            <w:vAlign w:val="center"/>
            <w:hideMark/>
          </w:tcPr>
          <w:p w14:paraId="0B994DAA"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1</w:t>
            </w:r>
          </w:p>
        </w:tc>
        <w:tc>
          <w:tcPr>
            <w:tcW w:w="1418" w:type="dxa"/>
            <w:tcBorders>
              <w:left w:val="nil"/>
              <w:bottom w:val="single" w:sz="8" w:space="0" w:color="FFFFFF"/>
              <w:right w:val="single" w:sz="8" w:space="0" w:color="FFFFFF"/>
            </w:tcBorders>
            <w:shd w:val="clear" w:color="000000" w:fill="0077BD"/>
            <w:vAlign w:val="center"/>
            <w:hideMark/>
          </w:tcPr>
          <w:p w14:paraId="1345318D"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2</w:t>
            </w:r>
          </w:p>
        </w:tc>
        <w:tc>
          <w:tcPr>
            <w:tcW w:w="1418" w:type="dxa"/>
            <w:tcBorders>
              <w:left w:val="nil"/>
              <w:bottom w:val="single" w:sz="8" w:space="0" w:color="FFFFFF"/>
              <w:right w:val="nil"/>
            </w:tcBorders>
            <w:shd w:val="clear" w:color="000000" w:fill="0077BD"/>
            <w:vAlign w:val="center"/>
            <w:hideMark/>
          </w:tcPr>
          <w:p w14:paraId="608AA9F0"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3</w:t>
            </w:r>
          </w:p>
        </w:tc>
      </w:tr>
      <w:tr w:rsidR="008D6556" w:rsidRPr="008D6556" w14:paraId="10E2F812" w14:textId="77777777" w:rsidTr="008D6556">
        <w:trPr>
          <w:trHeight w:val="284"/>
        </w:trPr>
        <w:tc>
          <w:tcPr>
            <w:tcW w:w="3909" w:type="dxa"/>
            <w:vMerge/>
            <w:tcBorders>
              <w:top w:val="nil"/>
              <w:left w:val="nil"/>
              <w:bottom w:val="single" w:sz="4" w:space="0" w:color="FFFFFF"/>
              <w:right w:val="nil"/>
            </w:tcBorders>
            <w:vAlign w:val="center"/>
            <w:hideMark/>
          </w:tcPr>
          <w:p w14:paraId="01DD2965" w14:textId="77777777" w:rsidR="008D6556" w:rsidRPr="008D6556" w:rsidRDefault="008D6556" w:rsidP="008D6556">
            <w:pPr>
              <w:rPr>
                <w:rFonts w:cs="Calibri"/>
                <w:b/>
                <w:bCs/>
                <w:color w:val="FFFFFF"/>
                <w:sz w:val="13"/>
                <w:szCs w:val="13"/>
              </w:rPr>
            </w:pPr>
          </w:p>
        </w:tc>
        <w:tc>
          <w:tcPr>
            <w:tcW w:w="1418" w:type="dxa"/>
            <w:vMerge/>
            <w:tcBorders>
              <w:top w:val="single" w:sz="8" w:space="0" w:color="FFFFFF"/>
              <w:left w:val="single" w:sz="8" w:space="0" w:color="FFFFFF"/>
              <w:bottom w:val="single" w:sz="4" w:space="0" w:color="FFFFFF"/>
              <w:right w:val="single" w:sz="8" w:space="0" w:color="FFFFFF"/>
            </w:tcBorders>
            <w:vAlign w:val="center"/>
            <w:hideMark/>
          </w:tcPr>
          <w:p w14:paraId="1C89B267" w14:textId="77777777" w:rsidR="008D6556" w:rsidRPr="008D6556" w:rsidRDefault="008D6556" w:rsidP="008D6556">
            <w:pPr>
              <w:rPr>
                <w:rFonts w:cs="Calibri"/>
                <w:b/>
                <w:bCs/>
                <w:color w:val="FFFFFF"/>
                <w:sz w:val="13"/>
                <w:szCs w:val="13"/>
              </w:rPr>
            </w:pPr>
          </w:p>
        </w:tc>
        <w:tc>
          <w:tcPr>
            <w:tcW w:w="1418" w:type="dxa"/>
            <w:tcBorders>
              <w:top w:val="single" w:sz="8" w:space="0" w:color="FFFFFF"/>
              <w:left w:val="nil"/>
              <w:bottom w:val="single" w:sz="4" w:space="0" w:color="FFFFFF"/>
              <w:right w:val="single" w:sz="8" w:space="0" w:color="FFFFFF"/>
            </w:tcBorders>
            <w:shd w:val="clear" w:color="000000" w:fill="0077BD"/>
            <w:hideMark/>
          </w:tcPr>
          <w:p w14:paraId="698DE16D"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Ceny kwotowane na aktyw</w:t>
            </w:r>
            <w:r>
              <w:rPr>
                <w:rFonts w:cs="Calibri"/>
                <w:b/>
                <w:bCs/>
                <w:color w:val="FFFFFF"/>
                <w:sz w:val="13"/>
                <w:szCs w:val="13"/>
              </w:rPr>
              <w:t>n</w:t>
            </w:r>
            <w:r w:rsidRPr="008D6556">
              <w:rPr>
                <w:rFonts w:cs="Calibri"/>
                <w:b/>
                <w:bCs/>
                <w:color w:val="FFFFFF"/>
                <w:sz w:val="13"/>
                <w:szCs w:val="13"/>
              </w:rPr>
              <w:t>ych rynkach</w:t>
            </w:r>
          </w:p>
        </w:tc>
        <w:tc>
          <w:tcPr>
            <w:tcW w:w="1418" w:type="dxa"/>
            <w:tcBorders>
              <w:top w:val="single" w:sz="8" w:space="0" w:color="FFFFFF"/>
              <w:left w:val="nil"/>
              <w:bottom w:val="single" w:sz="4" w:space="0" w:color="FFFFFF"/>
              <w:right w:val="single" w:sz="8" w:space="0" w:color="FFFFFF"/>
            </w:tcBorders>
            <w:shd w:val="clear" w:color="000000" w:fill="0077BD"/>
            <w:hideMark/>
          </w:tcPr>
          <w:p w14:paraId="030DF26F"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 xml:space="preserve">Techniki wyceny </w:t>
            </w:r>
            <w:r w:rsidRPr="008D6556">
              <w:rPr>
                <w:rFonts w:cs="Calibri"/>
                <w:b/>
                <w:bCs/>
                <w:color w:val="FFFFFF"/>
                <w:sz w:val="13"/>
                <w:szCs w:val="13"/>
              </w:rPr>
              <w:br/>
              <w:t xml:space="preserve">oparte na </w:t>
            </w:r>
            <w:r w:rsidRPr="008D6556">
              <w:rPr>
                <w:rFonts w:cs="Calibri"/>
                <w:b/>
                <w:bCs/>
                <w:color w:val="FFFFFF"/>
                <w:sz w:val="13"/>
                <w:szCs w:val="13"/>
              </w:rPr>
              <w:br/>
              <w:t xml:space="preserve">obserwowalnych </w:t>
            </w:r>
            <w:r w:rsidRPr="008D6556">
              <w:rPr>
                <w:rFonts w:cs="Calibri"/>
                <w:b/>
                <w:bCs/>
                <w:color w:val="FFFFFF"/>
                <w:sz w:val="13"/>
                <w:szCs w:val="13"/>
              </w:rPr>
              <w:br/>
              <w:t>danych rynkowych</w:t>
            </w:r>
          </w:p>
        </w:tc>
        <w:tc>
          <w:tcPr>
            <w:tcW w:w="1418" w:type="dxa"/>
            <w:tcBorders>
              <w:top w:val="single" w:sz="8" w:space="0" w:color="FFFFFF"/>
              <w:left w:val="nil"/>
              <w:bottom w:val="single" w:sz="4" w:space="0" w:color="FFFFFF"/>
              <w:right w:val="nil"/>
            </w:tcBorders>
            <w:shd w:val="clear" w:color="000000" w:fill="0077BD"/>
            <w:hideMark/>
          </w:tcPr>
          <w:p w14:paraId="491A4C03"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Inne techniki wyceny</w:t>
            </w:r>
          </w:p>
        </w:tc>
      </w:tr>
      <w:tr w:rsidR="008D6556" w:rsidRPr="0068723D" w14:paraId="49801988" w14:textId="77777777" w:rsidTr="008D6556">
        <w:trPr>
          <w:trHeight w:val="227"/>
        </w:trPr>
        <w:tc>
          <w:tcPr>
            <w:tcW w:w="6745" w:type="dxa"/>
            <w:gridSpan w:val="3"/>
            <w:tcBorders>
              <w:top w:val="nil"/>
              <w:left w:val="nil"/>
              <w:bottom w:val="single" w:sz="8" w:space="0" w:color="0077BD"/>
              <w:right w:val="single" w:sz="4" w:space="0" w:color="FFFFFF"/>
            </w:tcBorders>
            <w:shd w:val="clear" w:color="auto" w:fill="auto"/>
            <w:vAlign w:val="center"/>
            <w:hideMark/>
          </w:tcPr>
          <w:p w14:paraId="6E538102" w14:textId="77777777" w:rsidR="008D6556" w:rsidRPr="0068723D" w:rsidRDefault="008D6556" w:rsidP="008D6556">
            <w:pPr>
              <w:rPr>
                <w:rFonts w:cs="Calibri"/>
                <w:b/>
                <w:bCs/>
                <w:color w:val="000000" w:themeColor="text1"/>
                <w:sz w:val="13"/>
                <w:szCs w:val="13"/>
              </w:rPr>
            </w:pPr>
            <w:r w:rsidRPr="0068723D">
              <w:rPr>
                <w:rFonts w:cs="Calibri"/>
                <w:b/>
                <w:bCs/>
                <w:color w:val="000000" w:themeColor="text1"/>
                <w:sz w:val="13"/>
                <w:szCs w:val="13"/>
              </w:rPr>
              <w:t>WYCENY WYŁĄCZNIE NA POTRZEBY UJAWNIEŃ</w:t>
            </w:r>
          </w:p>
        </w:tc>
        <w:tc>
          <w:tcPr>
            <w:tcW w:w="1418" w:type="dxa"/>
            <w:tcBorders>
              <w:top w:val="nil"/>
              <w:left w:val="nil"/>
              <w:bottom w:val="single" w:sz="8" w:space="0" w:color="0077BD"/>
              <w:right w:val="single" w:sz="4" w:space="0" w:color="FFFFFF"/>
            </w:tcBorders>
            <w:shd w:val="clear" w:color="auto" w:fill="auto"/>
            <w:vAlign w:val="center"/>
          </w:tcPr>
          <w:p w14:paraId="14892BF4" w14:textId="77777777" w:rsidR="008D6556" w:rsidRPr="0068723D" w:rsidRDefault="008D6556" w:rsidP="008D6556">
            <w:pPr>
              <w:rPr>
                <w:rFonts w:cs="Calibri"/>
                <w:b/>
                <w:bCs/>
                <w:color w:val="000000" w:themeColor="text1"/>
                <w:sz w:val="13"/>
                <w:szCs w:val="13"/>
              </w:rPr>
            </w:pPr>
          </w:p>
        </w:tc>
        <w:tc>
          <w:tcPr>
            <w:tcW w:w="1418" w:type="dxa"/>
            <w:tcBorders>
              <w:top w:val="nil"/>
              <w:left w:val="nil"/>
              <w:bottom w:val="single" w:sz="8" w:space="0" w:color="0077BD"/>
              <w:right w:val="nil"/>
            </w:tcBorders>
            <w:shd w:val="clear" w:color="auto" w:fill="auto"/>
            <w:vAlign w:val="center"/>
          </w:tcPr>
          <w:p w14:paraId="6D67FDCA" w14:textId="77777777" w:rsidR="008D6556" w:rsidRPr="0068723D" w:rsidRDefault="008D6556" w:rsidP="008D6556">
            <w:pPr>
              <w:rPr>
                <w:rFonts w:cs="Calibri"/>
                <w:b/>
                <w:bCs/>
                <w:color w:val="000000" w:themeColor="text1"/>
                <w:sz w:val="13"/>
                <w:szCs w:val="13"/>
              </w:rPr>
            </w:pPr>
          </w:p>
        </w:tc>
      </w:tr>
      <w:tr w:rsidR="008D6556" w:rsidRPr="0068723D" w14:paraId="32250F4E" w14:textId="77777777" w:rsidTr="008D6556">
        <w:trPr>
          <w:trHeight w:val="227"/>
        </w:trPr>
        <w:tc>
          <w:tcPr>
            <w:tcW w:w="3909" w:type="dxa"/>
            <w:tcBorders>
              <w:top w:val="nil"/>
              <w:left w:val="nil"/>
              <w:bottom w:val="nil"/>
              <w:right w:val="single" w:sz="4" w:space="0" w:color="FFFFFF"/>
            </w:tcBorders>
            <w:shd w:val="clear" w:color="auto" w:fill="auto"/>
            <w:vAlign w:val="center"/>
            <w:hideMark/>
          </w:tcPr>
          <w:p w14:paraId="526046A7" w14:textId="77777777" w:rsidR="008D6556" w:rsidRPr="00630433" w:rsidRDefault="008D6556" w:rsidP="008D6556">
            <w:pPr>
              <w:rPr>
                <w:rFonts w:cs="Calibri"/>
                <w:b/>
                <w:bCs/>
                <w:color w:val="000000" w:themeColor="text1"/>
                <w:sz w:val="13"/>
                <w:szCs w:val="13"/>
              </w:rPr>
            </w:pPr>
            <w:r w:rsidRPr="00630433">
              <w:rPr>
                <w:rFonts w:cs="Calibri"/>
                <w:b/>
                <w:bCs/>
                <w:color w:val="000000" w:themeColor="text1"/>
                <w:sz w:val="13"/>
                <w:szCs w:val="13"/>
              </w:rPr>
              <w:t>Aktywa finansowe</w:t>
            </w:r>
          </w:p>
        </w:tc>
        <w:tc>
          <w:tcPr>
            <w:tcW w:w="1418" w:type="dxa"/>
            <w:tcBorders>
              <w:top w:val="nil"/>
              <w:left w:val="nil"/>
              <w:bottom w:val="nil"/>
              <w:right w:val="single" w:sz="4" w:space="0" w:color="FFFFFF"/>
            </w:tcBorders>
            <w:shd w:val="clear" w:color="auto" w:fill="auto"/>
            <w:noWrap/>
            <w:vAlign w:val="center"/>
          </w:tcPr>
          <w:p w14:paraId="5283631D" w14:textId="77777777" w:rsidR="008D6556" w:rsidRPr="0068723D" w:rsidRDefault="008D6556" w:rsidP="008D6556">
            <w:pPr>
              <w:rPr>
                <w:rFonts w:cs="Calibri"/>
                <w:color w:val="000000" w:themeColor="text1"/>
                <w:sz w:val="13"/>
                <w:szCs w:val="13"/>
              </w:rPr>
            </w:pPr>
          </w:p>
        </w:tc>
        <w:tc>
          <w:tcPr>
            <w:tcW w:w="1418" w:type="dxa"/>
            <w:tcBorders>
              <w:top w:val="nil"/>
              <w:left w:val="nil"/>
              <w:bottom w:val="nil"/>
              <w:right w:val="single" w:sz="4" w:space="0" w:color="FFFFFF"/>
            </w:tcBorders>
            <w:shd w:val="clear" w:color="auto" w:fill="auto"/>
            <w:vAlign w:val="center"/>
          </w:tcPr>
          <w:p w14:paraId="157E1F56" w14:textId="77777777" w:rsidR="008D6556" w:rsidRPr="0068723D" w:rsidRDefault="008D6556" w:rsidP="008D6556">
            <w:pPr>
              <w:rPr>
                <w:rFonts w:cs="Calibri"/>
                <w:b/>
                <w:bCs/>
                <w:color w:val="000000" w:themeColor="text1"/>
                <w:sz w:val="13"/>
                <w:szCs w:val="13"/>
              </w:rPr>
            </w:pPr>
          </w:p>
        </w:tc>
        <w:tc>
          <w:tcPr>
            <w:tcW w:w="1418" w:type="dxa"/>
            <w:tcBorders>
              <w:top w:val="nil"/>
              <w:left w:val="nil"/>
              <w:bottom w:val="nil"/>
              <w:right w:val="single" w:sz="4" w:space="0" w:color="FFFFFF"/>
            </w:tcBorders>
            <w:shd w:val="clear" w:color="auto" w:fill="auto"/>
            <w:vAlign w:val="center"/>
          </w:tcPr>
          <w:p w14:paraId="2284EAE1" w14:textId="77777777" w:rsidR="008D6556" w:rsidRPr="0068723D" w:rsidRDefault="008D6556" w:rsidP="008D6556">
            <w:pPr>
              <w:rPr>
                <w:rFonts w:cs="Calibri"/>
                <w:b/>
                <w:bCs/>
                <w:color w:val="000000" w:themeColor="text1"/>
                <w:sz w:val="13"/>
                <w:szCs w:val="13"/>
              </w:rPr>
            </w:pPr>
          </w:p>
        </w:tc>
        <w:tc>
          <w:tcPr>
            <w:tcW w:w="1418" w:type="dxa"/>
            <w:tcBorders>
              <w:top w:val="nil"/>
              <w:left w:val="nil"/>
              <w:bottom w:val="nil"/>
              <w:right w:val="nil"/>
            </w:tcBorders>
            <w:shd w:val="clear" w:color="auto" w:fill="auto"/>
            <w:vAlign w:val="center"/>
          </w:tcPr>
          <w:p w14:paraId="60337BE6" w14:textId="77777777" w:rsidR="008D6556" w:rsidRPr="0068723D" w:rsidRDefault="008D6556" w:rsidP="008D6556">
            <w:pPr>
              <w:rPr>
                <w:rFonts w:cs="Calibri"/>
                <w:b/>
                <w:bCs/>
                <w:color w:val="000000" w:themeColor="text1"/>
                <w:sz w:val="13"/>
                <w:szCs w:val="13"/>
              </w:rPr>
            </w:pPr>
          </w:p>
        </w:tc>
      </w:tr>
      <w:tr w:rsidR="008771B3" w:rsidRPr="0068723D" w14:paraId="02CEF926" w14:textId="77777777" w:rsidTr="00BD3DBA">
        <w:trPr>
          <w:trHeight w:val="227"/>
        </w:trPr>
        <w:tc>
          <w:tcPr>
            <w:tcW w:w="3909" w:type="dxa"/>
            <w:tcBorders>
              <w:top w:val="single" w:sz="8" w:space="0" w:color="0077BD"/>
              <w:left w:val="nil"/>
              <w:bottom w:val="single" w:sz="4" w:space="0" w:color="0077BD"/>
              <w:right w:val="single" w:sz="8" w:space="0" w:color="0077BD"/>
            </w:tcBorders>
            <w:shd w:val="clear" w:color="auto" w:fill="auto"/>
            <w:vAlign w:val="center"/>
            <w:hideMark/>
          </w:tcPr>
          <w:p w14:paraId="52C8FAA0"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Dłużne papiery wartościowe</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0343BD6C" w14:textId="401BBB67"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11 409 164</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58C67DEC" w14:textId="02F13F9B"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11 409 164</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51D9AE96" w14:textId="7C21C0F9"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8" w:space="0" w:color="0077BD"/>
              <w:left w:val="nil"/>
              <w:bottom w:val="single" w:sz="4" w:space="0" w:color="0077BD"/>
              <w:right w:val="nil"/>
            </w:tcBorders>
            <w:shd w:val="clear" w:color="auto" w:fill="auto"/>
            <w:noWrap/>
            <w:vAlign w:val="center"/>
          </w:tcPr>
          <w:p w14:paraId="270B97E5" w14:textId="35F4FBFB"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r>
      <w:tr w:rsidR="008771B3" w:rsidRPr="0068723D" w14:paraId="59F29C99" w14:textId="77777777" w:rsidTr="00BD3DBA">
        <w:trPr>
          <w:trHeight w:val="227"/>
        </w:trPr>
        <w:tc>
          <w:tcPr>
            <w:tcW w:w="3909" w:type="dxa"/>
            <w:tcBorders>
              <w:top w:val="nil"/>
              <w:left w:val="nil"/>
              <w:bottom w:val="nil"/>
              <w:right w:val="single" w:sz="8" w:space="0" w:color="0077BD"/>
            </w:tcBorders>
            <w:shd w:val="clear" w:color="auto" w:fill="auto"/>
            <w:vAlign w:val="center"/>
            <w:hideMark/>
          </w:tcPr>
          <w:p w14:paraId="5938C8D2"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Należności od banków</w:t>
            </w:r>
          </w:p>
        </w:tc>
        <w:tc>
          <w:tcPr>
            <w:tcW w:w="1418" w:type="dxa"/>
            <w:tcBorders>
              <w:top w:val="nil"/>
              <w:left w:val="single" w:sz="8" w:space="0" w:color="0077BD"/>
              <w:bottom w:val="nil"/>
              <w:right w:val="single" w:sz="8" w:space="0" w:color="0077BD"/>
            </w:tcBorders>
            <w:shd w:val="clear" w:color="auto" w:fill="auto"/>
            <w:noWrap/>
            <w:vAlign w:val="center"/>
          </w:tcPr>
          <w:p w14:paraId="727D0BF6" w14:textId="1273AFC4"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4 338 448</w:t>
            </w:r>
          </w:p>
        </w:tc>
        <w:tc>
          <w:tcPr>
            <w:tcW w:w="1418" w:type="dxa"/>
            <w:tcBorders>
              <w:top w:val="nil"/>
              <w:left w:val="nil"/>
              <w:bottom w:val="nil"/>
              <w:right w:val="single" w:sz="8" w:space="0" w:color="0077BD"/>
            </w:tcBorders>
            <w:shd w:val="clear" w:color="auto" w:fill="auto"/>
            <w:noWrap/>
            <w:vAlign w:val="center"/>
          </w:tcPr>
          <w:p w14:paraId="4240CDE2" w14:textId="7B2AB509"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nil"/>
              <w:right w:val="single" w:sz="8" w:space="0" w:color="0077BD"/>
            </w:tcBorders>
            <w:shd w:val="clear" w:color="auto" w:fill="auto"/>
            <w:noWrap/>
            <w:vAlign w:val="center"/>
          </w:tcPr>
          <w:p w14:paraId="4B273822" w14:textId="30701B5F"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nil"/>
              <w:right w:val="nil"/>
            </w:tcBorders>
            <w:shd w:val="clear" w:color="auto" w:fill="auto"/>
            <w:noWrap/>
            <w:vAlign w:val="center"/>
          </w:tcPr>
          <w:p w14:paraId="3AA152CF" w14:textId="57D6E427"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4 338 448</w:t>
            </w:r>
          </w:p>
        </w:tc>
      </w:tr>
      <w:tr w:rsidR="008771B3" w:rsidRPr="0068723D" w14:paraId="7527E483" w14:textId="77777777" w:rsidTr="00BD3DBA">
        <w:trPr>
          <w:trHeight w:val="227"/>
        </w:trPr>
        <w:tc>
          <w:tcPr>
            <w:tcW w:w="3909" w:type="dxa"/>
            <w:tcBorders>
              <w:top w:val="single" w:sz="4" w:space="0" w:color="0077BD"/>
              <w:left w:val="nil"/>
              <w:bottom w:val="single" w:sz="8" w:space="0" w:color="0077BD"/>
              <w:right w:val="single" w:sz="8" w:space="0" w:color="0077BD"/>
            </w:tcBorders>
            <w:shd w:val="clear" w:color="auto" w:fill="auto"/>
            <w:vAlign w:val="center"/>
            <w:hideMark/>
          </w:tcPr>
          <w:p w14:paraId="4B6E8BC6"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Kredyty i pożyczki udzielone klientom</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6AF4FDDF" w14:textId="69FB816F"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103 538 180</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53BC5723" w14:textId="70A17449"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7B67AEC1" w14:textId="7CF7031C"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4" w:space="0" w:color="0077BD"/>
              <w:left w:val="nil"/>
              <w:bottom w:val="single" w:sz="8" w:space="0" w:color="0077BD"/>
              <w:right w:val="nil"/>
            </w:tcBorders>
            <w:shd w:val="clear" w:color="auto" w:fill="auto"/>
            <w:noWrap/>
            <w:vAlign w:val="center"/>
          </w:tcPr>
          <w:p w14:paraId="53A82889" w14:textId="2B3F4D46"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103 538 180</w:t>
            </w:r>
          </w:p>
        </w:tc>
      </w:tr>
      <w:tr w:rsidR="008D6556" w:rsidRPr="0068723D" w14:paraId="6366E003" w14:textId="77777777" w:rsidTr="008D6556">
        <w:trPr>
          <w:trHeight w:val="227"/>
        </w:trPr>
        <w:tc>
          <w:tcPr>
            <w:tcW w:w="3909" w:type="dxa"/>
            <w:tcBorders>
              <w:top w:val="single" w:sz="8" w:space="0" w:color="0077BD"/>
              <w:left w:val="nil"/>
              <w:bottom w:val="single" w:sz="8" w:space="0" w:color="0077BD"/>
              <w:right w:val="nil"/>
            </w:tcBorders>
            <w:shd w:val="clear" w:color="auto" w:fill="auto"/>
            <w:vAlign w:val="center"/>
            <w:hideMark/>
          </w:tcPr>
          <w:p w14:paraId="31F0123F" w14:textId="77777777" w:rsidR="008D6556" w:rsidRPr="00630433" w:rsidRDefault="008D6556" w:rsidP="008D6556">
            <w:pPr>
              <w:rPr>
                <w:rFonts w:cs="Calibri"/>
                <w:b/>
                <w:bCs/>
                <w:color w:val="000000" w:themeColor="text1"/>
                <w:sz w:val="13"/>
                <w:szCs w:val="13"/>
              </w:rPr>
            </w:pPr>
            <w:r w:rsidRPr="00630433">
              <w:rPr>
                <w:rFonts w:cs="Calibri"/>
                <w:b/>
                <w:bCs/>
                <w:color w:val="000000" w:themeColor="text1"/>
                <w:sz w:val="13"/>
                <w:szCs w:val="13"/>
              </w:rPr>
              <w:t>Zobowiązania finansowe</w:t>
            </w:r>
          </w:p>
        </w:tc>
        <w:tc>
          <w:tcPr>
            <w:tcW w:w="1418" w:type="dxa"/>
            <w:tcBorders>
              <w:top w:val="single" w:sz="8" w:space="0" w:color="0077BD"/>
              <w:left w:val="nil"/>
              <w:bottom w:val="single" w:sz="8" w:space="0" w:color="0077BD"/>
              <w:right w:val="nil"/>
            </w:tcBorders>
            <w:shd w:val="clear" w:color="auto" w:fill="auto"/>
            <w:noWrap/>
            <w:vAlign w:val="center"/>
          </w:tcPr>
          <w:p w14:paraId="61F8C597" w14:textId="77777777"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1FC10F5E" w14:textId="77777777"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4C775700" w14:textId="77777777"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19516A47" w14:textId="77777777" w:rsidR="008D6556" w:rsidRPr="00630433" w:rsidRDefault="008D6556" w:rsidP="008D6556">
            <w:pPr>
              <w:rPr>
                <w:rFonts w:cs="Calibri"/>
                <w:b/>
                <w:bCs/>
                <w:color w:val="000000" w:themeColor="text1"/>
                <w:sz w:val="13"/>
                <w:szCs w:val="13"/>
              </w:rPr>
            </w:pPr>
          </w:p>
        </w:tc>
      </w:tr>
      <w:tr w:rsidR="008771B3" w:rsidRPr="0068723D" w14:paraId="16D72E17" w14:textId="77777777" w:rsidTr="00BD3DBA">
        <w:trPr>
          <w:trHeight w:val="227"/>
        </w:trPr>
        <w:tc>
          <w:tcPr>
            <w:tcW w:w="3909" w:type="dxa"/>
            <w:tcBorders>
              <w:top w:val="nil"/>
              <w:left w:val="nil"/>
              <w:bottom w:val="single" w:sz="4" w:space="0" w:color="0077BD"/>
              <w:right w:val="single" w:sz="8" w:space="0" w:color="0077BD"/>
            </w:tcBorders>
            <w:shd w:val="clear" w:color="auto" w:fill="auto"/>
            <w:vAlign w:val="center"/>
            <w:hideMark/>
          </w:tcPr>
          <w:p w14:paraId="7CACB218" w14:textId="76B4A84B" w:rsidR="008771B3" w:rsidRPr="00630433" w:rsidRDefault="00811E31" w:rsidP="008771B3">
            <w:pPr>
              <w:rPr>
                <w:rFonts w:cs="Calibri"/>
                <w:color w:val="000000" w:themeColor="text1"/>
                <w:sz w:val="13"/>
                <w:szCs w:val="13"/>
              </w:rPr>
            </w:pPr>
            <w:r>
              <w:rPr>
                <w:rFonts w:cs="Calibri"/>
                <w:color w:val="000000" w:themeColor="text1"/>
                <w:sz w:val="13"/>
                <w:szCs w:val="13"/>
              </w:rPr>
              <w:t>Zobowiązania wobec</w:t>
            </w:r>
            <w:r w:rsidR="008771B3" w:rsidRPr="00630433">
              <w:rPr>
                <w:rFonts w:cs="Calibri"/>
                <w:color w:val="000000" w:themeColor="text1"/>
                <w:sz w:val="13"/>
                <w:szCs w:val="13"/>
              </w:rPr>
              <w:t xml:space="preserve"> banków</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08394F37" w14:textId="78FE8875"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1 166 836</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19A09446" w14:textId="57C5EAC9"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40650A1C" w14:textId="5ECD0BA4"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189 885</w:t>
            </w:r>
          </w:p>
        </w:tc>
        <w:tc>
          <w:tcPr>
            <w:tcW w:w="1418" w:type="dxa"/>
            <w:tcBorders>
              <w:top w:val="single" w:sz="8" w:space="0" w:color="0077BD"/>
              <w:left w:val="nil"/>
              <w:bottom w:val="single" w:sz="4" w:space="0" w:color="0077BD"/>
              <w:right w:val="nil"/>
            </w:tcBorders>
            <w:shd w:val="clear" w:color="auto" w:fill="auto"/>
            <w:noWrap/>
            <w:vAlign w:val="center"/>
          </w:tcPr>
          <w:p w14:paraId="7F41B55A" w14:textId="7B447E9F"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976 951</w:t>
            </w:r>
          </w:p>
        </w:tc>
      </w:tr>
      <w:tr w:rsidR="008771B3" w:rsidRPr="0068723D" w14:paraId="35CCFD02" w14:textId="77777777" w:rsidTr="001039F3">
        <w:trPr>
          <w:trHeight w:val="227"/>
        </w:trPr>
        <w:tc>
          <w:tcPr>
            <w:tcW w:w="3909" w:type="dxa"/>
            <w:tcBorders>
              <w:top w:val="nil"/>
              <w:left w:val="nil"/>
              <w:bottom w:val="single" w:sz="4" w:space="0" w:color="0077BD"/>
              <w:right w:val="single" w:sz="8" w:space="0" w:color="0077BD"/>
            </w:tcBorders>
            <w:shd w:val="clear" w:color="auto" w:fill="auto"/>
            <w:vAlign w:val="center"/>
            <w:hideMark/>
          </w:tcPr>
          <w:p w14:paraId="580FED83"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Zobowiązania wobec klientów</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617AD87" w14:textId="0DBA971F"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116 661 251</w:t>
            </w:r>
          </w:p>
        </w:tc>
        <w:tc>
          <w:tcPr>
            <w:tcW w:w="1418" w:type="dxa"/>
            <w:tcBorders>
              <w:top w:val="nil"/>
              <w:left w:val="nil"/>
              <w:bottom w:val="single" w:sz="4" w:space="0" w:color="0077BD"/>
              <w:right w:val="single" w:sz="8" w:space="0" w:color="0077BD"/>
            </w:tcBorders>
            <w:shd w:val="clear" w:color="auto" w:fill="auto"/>
            <w:noWrap/>
            <w:vAlign w:val="center"/>
          </w:tcPr>
          <w:p w14:paraId="05690650" w14:textId="4A442F64"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noWrap/>
            <w:vAlign w:val="center"/>
          </w:tcPr>
          <w:p w14:paraId="2923DEB1" w14:textId="75B34074" w:rsidR="008771B3" w:rsidRPr="00630433" w:rsidRDefault="000A2ABE" w:rsidP="001039F3">
            <w:pPr>
              <w:jc w:val="right"/>
              <w:rPr>
                <w:rFonts w:cs="Calibri"/>
                <w:color w:val="000000" w:themeColor="text1"/>
                <w:sz w:val="13"/>
                <w:szCs w:val="13"/>
              </w:rPr>
            </w:pPr>
            <w:r>
              <w:rPr>
                <w:rFonts w:cs="Calibri"/>
                <w:color w:val="000000" w:themeColor="text1"/>
                <w:sz w:val="13"/>
                <w:szCs w:val="13"/>
              </w:rPr>
              <w:t>7 158 593</w:t>
            </w:r>
          </w:p>
        </w:tc>
        <w:tc>
          <w:tcPr>
            <w:tcW w:w="1418" w:type="dxa"/>
            <w:tcBorders>
              <w:top w:val="nil"/>
              <w:left w:val="nil"/>
              <w:bottom w:val="single" w:sz="4" w:space="0" w:color="0077BD"/>
              <w:right w:val="nil"/>
            </w:tcBorders>
            <w:shd w:val="clear" w:color="auto" w:fill="auto"/>
            <w:noWrap/>
            <w:vAlign w:val="center"/>
          </w:tcPr>
          <w:p w14:paraId="6022E58B" w14:textId="0160C44F" w:rsidR="008771B3" w:rsidRPr="00630433" w:rsidRDefault="001039F3" w:rsidP="000A2ABE">
            <w:pPr>
              <w:jc w:val="right"/>
              <w:rPr>
                <w:rFonts w:cs="Calibri"/>
                <w:color w:val="000000" w:themeColor="text1"/>
                <w:sz w:val="13"/>
                <w:szCs w:val="13"/>
              </w:rPr>
            </w:pPr>
            <w:r w:rsidRPr="00630433">
              <w:rPr>
                <w:rFonts w:cs="Calibri"/>
                <w:color w:val="000000" w:themeColor="text1"/>
                <w:sz w:val="13"/>
                <w:szCs w:val="13"/>
              </w:rPr>
              <w:t>10</w:t>
            </w:r>
            <w:r w:rsidR="000A2ABE">
              <w:rPr>
                <w:rFonts w:cs="Calibri"/>
                <w:color w:val="000000" w:themeColor="text1"/>
                <w:sz w:val="13"/>
                <w:szCs w:val="13"/>
              </w:rPr>
              <w:t>9 502 658</w:t>
            </w:r>
          </w:p>
        </w:tc>
      </w:tr>
      <w:tr w:rsidR="008771B3" w:rsidRPr="0068723D" w14:paraId="5611F4CF" w14:textId="77777777" w:rsidTr="00BD3DBA">
        <w:trPr>
          <w:trHeight w:val="340"/>
        </w:trPr>
        <w:tc>
          <w:tcPr>
            <w:tcW w:w="3909" w:type="dxa"/>
            <w:tcBorders>
              <w:top w:val="nil"/>
              <w:left w:val="nil"/>
              <w:bottom w:val="single" w:sz="4" w:space="0" w:color="0077BD"/>
              <w:right w:val="single" w:sz="8" w:space="0" w:color="0077BD"/>
            </w:tcBorders>
            <w:shd w:val="clear" w:color="auto" w:fill="auto"/>
            <w:vAlign w:val="center"/>
            <w:hideMark/>
          </w:tcPr>
          <w:p w14:paraId="141304B4"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Zobowiązania z tytułu emisji dłużnych papierów wartościowych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8A8321A" w14:textId="6288572E" w:rsidR="008771B3" w:rsidRPr="00630433" w:rsidRDefault="00842482" w:rsidP="00842482">
            <w:pPr>
              <w:jc w:val="right"/>
              <w:rPr>
                <w:rFonts w:cs="Calibri"/>
                <w:color w:val="000000" w:themeColor="text1"/>
                <w:sz w:val="13"/>
                <w:szCs w:val="13"/>
              </w:rPr>
            </w:pPr>
            <w:r w:rsidRPr="00630433">
              <w:rPr>
                <w:rFonts w:cs="Calibri"/>
                <w:color w:val="000000" w:themeColor="text1"/>
                <w:sz w:val="13"/>
                <w:szCs w:val="13"/>
              </w:rPr>
              <w:t>17 711</w:t>
            </w:r>
            <w:r w:rsidR="008771B3" w:rsidRPr="00630433">
              <w:rPr>
                <w:rFonts w:cs="Calibri"/>
                <w:color w:val="000000" w:themeColor="text1"/>
                <w:sz w:val="13"/>
                <w:szCs w:val="13"/>
              </w:rPr>
              <w:t xml:space="preserve"> </w:t>
            </w:r>
            <w:r w:rsidRPr="00630433">
              <w:rPr>
                <w:rFonts w:cs="Calibri"/>
                <w:color w:val="000000" w:themeColor="text1"/>
                <w:sz w:val="13"/>
                <w:szCs w:val="13"/>
              </w:rPr>
              <w:t>082</w:t>
            </w:r>
          </w:p>
        </w:tc>
        <w:tc>
          <w:tcPr>
            <w:tcW w:w="1418" w:type="dxa"/>
            <w:tcBorders>
              <w:top w:val="nil"/>
              <w:left w:val="nil"/>
              <w:bottom w:val="single" w:sz="4" w:space="0" w:color="0077BD"/>
              <w:right w:val="single" w:sz="8" w:space="0" w:color="0077BD"/>
            </w:tcBorders>
            <w:shd w:val="clear" w:color="auto" w:fill="auto"/>
            <w:noWrap/>
            <w:vAlign w:val="center"/>
          </w:tcPr>
          <w:p w14:paraId="2796D894" w14:textId="12B10A68" w:rsidR="008771B3" w:rsidRPr="00630433" w:rsidRDefault="009F4648" w:rsidP="009F4648">
            <w:pPr>
              <w:jc w:val="right"/>
              <w:rPr>
                <w:rFonts w:cs="Calibri"/>
                <w:color w:val="000000" w:themeColor="text1"/>
                <w:sz w:val="13"/>
                <w:szCs w:val="13"/>
              </w:rPr>
            </w:pPr>
            <w:r w:rsidRPr="00630433">
              <w:rPr>
                <w:rFonts w:cs="Calibri"/>
                <w:color w:val="000000" w:themeColor="text1"/>
                <w:sz w:val="13"/>
                <w:szCs w:val="13"/>
              </w:rPr>
              <w:t>8 461</w:t>
            </w:r>
            <w:r w:rsidR="009368FB" w:rsidRPr="00630433">
              <w:rPr>
                <w:rFonts w:cs="Calibri"/>
                <w:color w:val="000000" w:themeColor="text1"/>
                <w:sz w:val="13"/>
                <w:szCs w:val="13"/>
              </w:rPr>
              <w:t xml:space="preserve"> </w:t>
            </w:r>
            <w:r w:rsidRPr="00630433">
              <w:rPr>
                <w:rFonts w:cs="Calibri"/>
                <w:color w:val="000000" w:themeColor="text1"/>
                <w:sz w:val="13"/>
                <w:szCs w:val="13"/>
              </w:rPr>
              <w:t>410</w:t>
            </w:r>
          </w:p>
        </w:tc>
        <w:tc>
          <w:tcPr>
            <w:tcW w:w="1418" w:type="dxa"/>
            <w:tcBorders>
              <w:top w:val="nil"/>
              <w:left w:val="nil"/>
              <w:bottom w:val="single" w:sz="4" w:space="0" w:color="0077BD"/>
              <w:right w:val="single" w:sz="8" w:space="0" w:color="0077BD"/>
            </w:tcBorders>
            <w:shd w:val="clear" w:color="auto" w:fill="auto"/>
            <w:noWrap/>
            <w:vAlign w:val="center"/>
          </w:tcPr>
          <w:p w14:paraId="60FF6408" w14:textId="74C97E67"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tcPr>
          <w:p w14:paraId="40AD5E93" w14:textId="09F8A7A0" w:rsidR="008771B3" w:rsidRPr="00630433" w:rsidRDefault="009F4648" w:rsidP="009F4648">
            <w:pPr>
              <w:jc w:val="right"/>
              <w:rPr>
                <w:rFonts w:cs="Calibri"/>
                <w:color w:val="000000" w:themeColor="text1"/>
                <w:sz w:val="13"/>
                <w:szCs w:val="13"/>
              </w:rPr>
            </w:pPr>
            <w:r w:rsidRPr="00630433">
              <w:rPr>
                <w:rFonts w:cs="Calibri"/>
                <w:color w:val="000000" w:themeColor="text1"/>
                <w:sz w:val="13"/>
                <w:szCs w:val="13"/>
              </w:rPr>
              <w:t>9 249</w:t>
            </w:r>
            <w:r w:rsidR="009368FB" w:rsidRPr="00630433">
              <w:rPr>
                <w:rFonts w:cs="Calibri"/>
                <w:color w:val="000000" w:themeColor="text1"/>
                <w:sz w:val="13"/>
                <w:szCs w:val="13"/>
              </w:rPr>
              <w:t xml:space="preserve"> </w:t>
            </w:r>
            <w:r w:rsidRPr="00630433">
              <w:rPr>
                <w:rFonts w:cs="Calibri"/>
                <w:color w:val="000000" w:themeColor="text1"/>
                <w:sz w:val="13"/>
                <w:szCs w:val="13"/>
              </w:rPr>
              <w:t>672</w:t>
            </w:r>
          </w:p>
        </w:tc>
      </w:tr>
      <w:tr w:rsidR="008771B3" w:rsidRPr="0068723D" w14:paraId="1EBD774E" w14:textId="77777777" w:rsidTr="00BD3DBA">
        <w:trPr>
          <w:trHeight w:val="227"/>
        </w:trPr>
        <w:tc>
          <w:tcPr>
            <w:tcW w:w="3909" w:type="dxa"/>
            <w:tcBorders>
              <w:top w:val="nil"/>
              <w:left w:val="nil"/>
              <w:bottom w:val="single" w:sz="8" w:space="0" w:color="0077BD"/>
              <w:right w:val="single" w:sz="8" w:space="0" w:color="0077BD"/>
            </w:tcBorders>
            <w:shd w:val="clear" w:color="auto" w:fill="auto"/>
            <w:vAlign w:val="center"/>
            <w:hideMark/>
          </w:tcPr>
          <w:p w14:paraId="09E98703" w14:textId="77777777" w:rsidR="008771B3" w:rsidRPr="00630433" w:rsidRDefault="008771B3" w:rsidP="008771B3">
            <w:pPr>
              <w:rPr>
                <w:rFonts w:cs="Calibri"/>
                <w:color w:val="000000" w:themeColor="text1"/>
                <w:sz w:val="13"/>
                <w:szCs w:val="13"/>
              </w:rPr>
            </w:pPr>
            <w:r w:rsidRPr="00630433">
              <w:rPr>
                <w:rFonts w:cs="Calibri"/>
                <w:color w:val="000000" w:themeColor="text1"/>
                <w:sz w:val="13"/>
                <w:szCs w:val="13"/>
              </w:rPr>
              <w:t>Zobowiązania podporządkowane</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5EED4173" w14:textId="1F729172"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2 519 770</w:t>
            </w:r>
          </w:p>
        </w:tc>
        <w:tc>
          <w:tcPr>
            <w:tcW w:w="1418" w:type="dxa"/>
            <w:tcBorders>
              <w:top w:val="nil"/>
              <w:left w:val="nil"/>
              <w:bottom w:val="single" w:sz="8" w:space="0" w:color="0077BD"/>
              <w:right w:val="single" w:sz="8" w:space="0" w:color="0077BD"/>
            </w:tcBorders>
            <w:shd w:val="clear" w:color="auto" w:fill="auto"/>
            <w:noWrap/>
            <w:vAlign w:val="center"/>
          </w:tcPr>
          <w:p w14:paraId="4EF4BDEE" w14:textId="094295F6"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noWrap/>
            <w:vAlign w:val="center"/>
          </w:tcPr>
          <w:p w14:paraId="1E27358B" w14:textId="5A7FC626"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2 519 770</w:t>
            </w:r>
          </w:p>
        </w:tc>
        <w:tc>
          <w:tcPr>
            <w:tcW w:w="1418" w:type="dxa"/>
            <w:tcBorders>
              <w:top w:val="nil"/>
              <w:left w:val="nil"/>
              <w:bottom w:val="single" w:sz="8" w:space="0" w:color="0077BD"/>
              <w:right w:val="nil"/>
            </w:tcBorders>
            <w:shd w:val="clear" w:color="auto" w:fill="auto"/>
            <w:noWrap/>
            <w:vAlign w:val="center"/>
          </w:tcPr>
          <w:p w14:paraId="613DE66B" w14:textId="72E17A17" w:rsidR="008771B3" w:rsidRPr="00630433" w:rsidRDefault="008771B3" w:rsidP="008771B3">
            <w:pPr>
              <w:jc w:val="right"/>
              <w:rPr>
                <w:rFonts w:cs="Calibri"/>
                <w:color w:val="000000" w:themeColor="text1"/>
                <w:sz w:val="13"/>
                <w:szCs w:val="13"/>
              </w:rPr>
            </w:pPr>
            <w:r w:rsidRPr="00630433">
              <w:rPr>
                <w:rFonts w:cs="Calibri"/>
                <w:color w:val="000000" w:themeColor="text1"/>
                <w:sz w:val="13"/>
                <w:szCs w:val="13"/>
              </w:rPr>
              <w:t>-</w:t>
            </w:r>
          </w:p>
        </w:tc>
      </w:tr>
      <w:tr w:rsidR="005A2D12" w:rsidRPr="0068723D" w14:paraId="582B8D64" w14:textId="77777777" w:rsidTr="00BD3DBA">
        <w:trPr>
          <w:trHeight w:val="227"/>
        </w:trPr>
        <w:tc>
          <w:tcPr>
            <w:tcW w:w="3909" w:type="dxa"/>
            <w:tcBorders>
              <w:top w:val="single" w:sz="8" w:space="0" w:color="0077BD"/>
              <w:left w:val="nil"/>
              <w:bottom w:val="single" w:sz="4" w:space="0" w:color="0077BD"/>
              <w:right w:val="single" w:sz="8" w:space="0" w:color="0077BD"/>
            </w:tcBorders>
            <w:shd w:val="clear" w:color="auto" w:fill="auto"/>
            <w:vAlign w:val="center"/>
            <w:hideMark/>
          </w:tcPr>
          <w:p w14:paraId="25CDEEBD" w14:textId="77777777" w:rsidR="005A2D12" w:rsidRPr="00630433" w:rsidRDefault="005A2D12" w:rsidP="005A2D12">
            <w:pPr>
              <w:rPr>
                <w:rFonts w:cs="Calibri"/>
                <w:b/>
                <w:bCs/>
                <w:color w:val="000000" w:themeColor="text1"/>
                <w:sz w:val="13"/>
                <w:szCs w:val="13"/>
              </w:rPr>
            </w:pPr>
            <w:r w:rsidRPr="00630433">
              <w:rPr>
                <w:rFonts w:cs="Calibri"/>
                <w:b/>
                <w:bCs/>
                <w:color w:val="000000" w:themeColor="text1"/>
                <w:sz w:val="13"/>
                <w:szCs w:val="13"/>
              </w:rPr>
              <w:t>Aktywa finansowe razem</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684CA019" w14:textId="75432C90" w:rsidR="005A2D12" w:rsidRPr="00630433" w:rsidRDefault="005A2D12" w:rsidP="005A2D12">
            <w:pPr>
              <w:jc w:val="right"/>
              <w:rPr>
                <w:rFonts w:cs="Calibri"/>
                <w:b/>
                <w:bCs/>
                <w:color w:val="000000" w:themeColor="text1"/>
                <w:sz w:val="13"/>
                <w:szCs w:val="13"/>
              </w:rPr>
            </w:pPr>
            <w:r w:rsidRPr="00630433">
              <w:rPr>
                <w:rFonts w:cs="Calibri"/>
                <w:b/>
                <w:bCs/>
                <w:color w:val="000000" w:themeColor="text1"/>
                <w:sz w:val="13"/>
                <w:szCs w:val="13"/>
              </w:rPr>
              <w:t>119 285 792</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5EA6DE4F" w14:textId="2D1185A7" w:rsidR="005A2D12" w:rsidRPr="00630433" w:rsidRDefault="005A2D12" w:rsidP="005A2D12">
            <w:pPr>
              <w:jc w:val="right"/>
              <w:rPr>
                <w:rFonts w:cs="Calibri"/>
                <w:b/>
                <w:bCs/>
                <w:color w:val="000000" w:themeColor="text1"/>
                <w:sz w:val="13"/>
                <w:szCs w:val="13"/>
              </w:rPr>
            </w:pPr>
            <w:r w:rsidRPr="00630433">
              <w:rPr>
                <w:rFonts w:cs="Calibri"/>
                <w:b/>
                <w:bCs/>
                <w:color w:val="000000" w:themeColor="text1"/>
                <w:sz w:val="13"/>
                <w:szCs w:val="13"/>
              </w:rPr>
              <w:t>11 409 164</w:t>
            </w:r>
          </w:p>
        </w:tc>
        <w:tc>
          <w:tcPr>
            <w:tcW w:w="1418" w:type="dxa"/>
            <w:tcBorders>
              <w:top w:val="single" w:sz="8" w:space="0" w:color="0077BD"/>
              <w:left w:val="nil"/>
              <w:bottom w:val="single" w:sz="4" w:space="0" w:color="0077BD"/>
              <w:right w:val="single" w:sz="8" w:space="0" w:color="0077BD"/>
            </w:tcBorders>
            <w:shd w:val="clear" w:color="auto" w:fill="auto"/>
            <w:noWrap/>
            <w:vAlign w:val="center"/>
          </w:tcPr>
          <w:p w14:paraId="42AB66DF" w14:textId="14411C88" w:rsidR="005A2D12" w:rsidRPr="00630433" w:rsidRDefault="005A2D12" w:rsidP="005A2D12">
            <w:pPr>
              <w:jc w:val="right"/>
              <w:rPr>
                <w:rFonts w:cs="Calibri"/>
                <w:b/>
                <w:bCs/>
                <w:color w:val="000000" w:themeColor="text1"/>
                <w:sz w:val="13"/>
                <w:szCs w:val="13"/>
              </w:rPr>
            </w:pPr>
            <w:r w:rsidRPr="00630433">
              <w:rPr>
                <w:rFonts w:cs="Calibri"/>
                <w:b/>
                <w:bCs/>
                <w:color w:val="000000" w:themeColor="text1"/>
                <w:sz w:val="13"/>
                <w:szCs w:val="13"/>
              </w:rPr>
              <w:t>-</w:t>
            </w:r>
          </w:p>
        </w:tc>
        <w:tc>
          <w:tcPr>
            <w:tcW w:w="1418" w:type="dxa"/>
            <w:tcBorders>
              <w:top w:val="single" w:sz="8" w:space="0" w:color="0077BD"/>
              <w:left w:val="nil"/>
              <w:bottom w:val="single" w:sz="4" w:space="0" w:color="0077BD"/>
              <w:right w:val="nil"/>
            </w:tcBorders>
            <w:shd w:val="clear" w:color="auto" w:fill="auto"/>
            <w:noWrap/>
            <w:vAlign w:val="center"/>
          </w:tcPr>
          <w:p w14:paraId="4496619D" w14:textId="20F03E1D" w:rsidR="005A2D12" w:rsidRPr="00630433" w:rsidRDefault="005A2D12" w:rsidP="005A2D12">
            <w:pPr>
              <w:jc w:val="right"/>
              <w:rPr>
                <w:rFonts w:cs="Calibri"/>
                <w:b/>
                <w:bCs/>
                <w:color w:val="000000" w:themeColor="text1"/>
                <w:sz w:val="13"/>
                <w:szCs w:val="13"/>
              </w:rPr>
            </w:pPr>
            <w:r w:rsidRPr="00630433">
              <w:rPr>
                <w:rFonts w:cs="Calibri"/>
                <w:b/>
                <w:bCs/>
                <w:color w:val="000000" w:themeColor="text1"/>
                <w:sz w:val="13"/>
                <w:szCs w:val="13"/>
              </w:rPr>
              <w:t>107 876 628</w:t>
            </w:r>
          </w:p>
        </w:tc>
      </w:tr>
      <w:tr w:rsidR="005A2D12" w:rsidRPr="0068723D" w14:paraId="77E93102" w14:textId="77777777" w:rsidTr="00BD3DBA">
        <w:trPr>
          <w:trHeight w:val="227"/>
        </w:trPr>
        <w:tc>
          <w:tcPr>
            <w:tcW w:w="3909" w:type="dxa"/>
            <w:tcBorders>
              <w:top w:val="nil"/>
              <w:left w:val="nil"/>
              <w:bottom w:val="single" w:sz="8" w:space="0" w:color="0077BD"/>
              <w:right w:val="single" w:sz="8" w:space="0" w:color="0077BD"/>
            </w:tcBorders>
            <w:shd w:val="clear" w:color="auto" w:fill="auto"/>
            <w:vAlign w:val="center"/>
            <w:hideMark/>
          </w:tcPr>
          <w:p w14:paraId="19DC0880" w14:textId="77777777" w:rsidR="005A2D12" w:rsidRPr="00630433" w:rsidRDefault="005A2D12" w:rsidP="005A2D12">
            <w:pPr>
              <w:rPr>
                <w:rFonts w:cs="Calibri"/>
                <w:b/>
                <w:bCs/>
                <w:color w:val="000000" w:themeColor="text1"/>
                <w:sz w:val="13"/>
                <w:szCs w:val="13"/>
              </w:rPr>
            </w:pPr>
            <w:r w:rsidRPr="00630433">
              <w:rPr>
                <w:rFonts w:cs="Calibri"/>
                <w:b/>
                <w:bCs/>
                <w:color w:val="000000" w:themeColor="text1"/>
                <w:sz w:val="13"/>
                <w:szCs w:val="13"/>
              </w:rPr>
              <w:t>Zobowiązania finansowe razem</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293EE1CE" w14:textId="598FE054" w:rsidR="005A2D12" w:rsidRPr="00630433" w:rsidRDefault="008E5A59" w:rsidP="008E5A59">
            <w:pPr>
              <w:jc w:val="right"/>
              <w:rPr>
                <w:rFonts w:cs="Calibri"/>
                <w:b/>
                <w:bCs/>
                <w:color w:val="000000" w:themeColor="text1"/>
                <w:sz w:val="13"/>
                <w:szCs w:val="13"/>
              </w:rPr>
            </w:pPr>
            <w:r>
              <w:rPr>
                <w:rFonts w:cs="Calibri"/>
                <w:b/>
                <w:bCs/>
                <w:color w:val="000000" w:themeColor="text1"/>
                <w:sz w:val="13"/>
                <w:szCs w:val="13"/>
              </w:rPr>
              <w:t>138 058</w:t>
            </w:r>
            <w:r w:rsidR="005A2D12" w:rsidRPr="00630433">
              <w:rPr>
                <w:rFonts w:cs="Calibri"/>
                <w:b/>
                <w:bCs/>
                <w:color w:val="000000" w:themeColor="text1"/>
                <w:sz w:val="13"/>
                <w:szCs w:val="13"/>
              </w:rPr>
              <w:t xml:space="preserve"> </w:t>
            </w:r>
            <w:r>
              <w:rPr>
                <w:rFonts w:cs="Calibri"/>
                <w:b/>
                <w:bCs/>
                <w:color w:val="000000" w:themeColor="text1"/>
                <w:sz w:val="13"/>
                <w:szCs w:val="13"/>
              </w:rPr>
              <w:t>939</w:t>
            </w:r>
          </w:p>
        </w:tc>
        <w:tc>
          <w:tcPr>
            <w:tcW w:w="1418" w:type="dxa"/>
            <w:tcBorders>
              <w:top w:val="nil"/>
              <w:left w:val="nil"/>
              <w:bottom w:val="single" w:sz="8" w:space="0" w:color="0077BD"/>
              <w:right w:val="single" w:sz="8" w:space="0" w:color="0077BD"/>
            </w:tcBorders>
            <w:shd w:val="clear" w:color="auto" w:fill="auto"/>
            <w:noWrap/>
            <w:vAlign w:val="center"/>
          </w:tcPr>
          <w:p w14:paraId="6C69645D" w14:textId="53DA79DE" w:rsidR="005A2D12" w:rsidRPr="00630433" w:rsidRDefault="009368FB" w:rsidP="009F4648">
            <w:pPr>
              <w:jc w:val="right"/>
              <w:rPr>
                <w:rFonts w:cs="Calibri"/>
                <w:b/>
                <w:bCs/>
                <w:color w:val="000000" w:themeColor="text1"/>
                <w:sz w:val="13"/>
                <w:szCs w:val="13"/>
              </w:rPr>
            </w:pPr>
            <w:r w:rsidRPr="00630433">
              <w:rPr>
                <w:rFonts w:cs="Calibri"/>
                <w:b/>
                <w:bCs/>
                <w:color w:val="000000" w:themeColor="text1"/>
                <w:sz w:val="13"/>
                <w:szCs w:val="13"/>
              </w:rPr>
              <w:t>8</w:t>
            </w:r>
            <w:r w:rsidR="007E5713" w:rsidRPr="00630433">
              <w:rPr>
                <w:rFonts w:cs="Calibri"/>
                <w:b/>
                <w:bCs/>
                <w:color w:val="000000" w:themeColor="text1"/>
                <w:sz w:val="13"/>
                <w:szCs w:val="13"/>
              </w:rPr>
              <w:t xml:space="preserve"> </w:t>
            </w:r>
            <w:r w:rsidR="009F4648" w:rsidRPr="00630433">
              <w:rPr>
                <w:rFonts w:cs="Calibri"/>
                <w:b/>
                <w:bCs/>
                <w:color w:val="000000" w:themeColor="text1"/>
                <w:sz w:val="13"/>
                <w:szCs w:val="13"/>
              </w:rPr>
              <w:t>461</w:t>
            </w:r>
            <w:r w:rsidR="005A2D12" w:rsidRPr="00630433">
              <w:rPr>
                <w:rFonts w:cs="Calibri"/>
                <w:b/>
                <w:bCs/>
                <w:color w:val="000000" w:themeColor="text1"/>
                <w:sz w:val="13"/>
                <w:szCs w:val="13"/>
              </w:rPr>
              <w:t xml:space="preserve"> </w:t>
            </w:r>
            <w:r w:rsidR="009F4648" w:rsidRPr="00630433">
              <w:rPr>
                <w:rFonts w:cs="Calibri"/>
                <w:b/>
                <w:bCs/>
                <w:color w:val="000000" w:themeColor="text1"/>
                <w:sz w:val="13"/>
                <w:szCs w:val="13"/>
              </w:rPr>
              <w:t>410</w:t>
            </w:r>
          </w:p>
        </w:tc>
        <w:tc>
          <w:tcPr>
            <w:tcW w:w="1418" w:type="dxa"/>
            <w:tcBorders>
              <w:top w:val="nil"/>
              <w:left w:val="nil"/>
              <w:bottom w:val="single" w:sz="8" w:space="0" w:color="0077BD"/>
              <w:right w:val="single" w:sz="8" w:space="0" w:color="0077BD"/>
            </w:tcBorders>
            <w:shd w:val="clear" w:color="auto" w:fill="auto"/>
            <w:noWrap/>
            <w:vAlign w:val="center"/>
          </w:tcPr>
          <w:p w14:paraId="223C3D65" w14:textId="35461078" w:rsidR="005A2D12" w:rsidRPr="00630433" w:rsidRDefault="000A2ABE" w:rsidP="000A2ABE">
            <w:pPr>
              <w:jc w:val="right"/>
              <w:rPr>
                <w:rFonts w:cs="Calibri"/>
                <w:b/>
                <w:bCs/>
                <w:color w:val="000000" w:themeColor="text1"/>
                <w:sz w:val="13"/>
                <w:szCs w:val="13"/>
              </w:rPr>
            </w:pPr>
            <w:r>
              <w:rPr>
                <w:rFonts w:cs="Calibri"/>
                <w:b/>
                <w:bCs/>
                <w:color w:val="000000" w:themeColor="text1"/>
                <w:sz w:val="13"/>
                <w:szCs w:val="13"/>
              </w:rPr>
              <w:t>9</w:t>
            </w:r>
            <w:r w:rsidR="005A2D12" w:rsidRPr="00630433">
              <w:rPr>
                <w:rFonts w:cs="Calibri"/>
                <w:b/>
                <w:bCs/>
                <w:color w:val="000000" w:themeColor="text1"/>
                <w:sz w:val="13"/>
                <w:szCs w:val="13"/>
              </w:rPr>
              <w:t xml:space="preserve"> </w:t>
            </w:r>
            <w:r w:rsidR="001039F3" w:rsidRPr="00630433">
              <w:rPr>
                <w:rFonts w:cs="Calibri"/>
                <w:b/>
                <w:bCs/>
                <w:color w:val="000000" w:themeColor="text1"/>
                <w:sz w:val="13"/>
                <w:szCs w:val="13"/>
              </w:rPr>
              <w:t>8</w:t>
            </w:r>
            <w:r>
              <w:rPr>
                <w:rFonts w:cs="Calibri"/>
                <w:b/>
                <w:bCs/>
                <w:color w:val="000000" w:themeColor="text1"/>
                <w:sz w:val="13"/>
                <w:szCs w:val="13"/>
              </w:rPr>
              <w:t>6</w:t>
            </w:r>
            <w:r w:rsidR="001039F3" w:rsidRPr="00630433">
              <w:rPr>
                <w:rFonts w:cs="Calibri"/>
                <w:b/>
                <w:bCs/>
                <w:color w:val="000000" w:themeColor="text1"/>
                <w:sz w:val="13"/>
                <w:szCs w:val="13"/>
              </w:rPr>
              <w:t>8</w:t>
            </w:r>
            <w:r w:rsidR="005A2D12" w:rsidRPr="00630433">
              <w:rPr>
                <w:rFonts w:cs="Calibri"/>
                <w:b/>
                <w:bCs/>
                <w:color w:val="000000" w:themeColor="text1"/>
                <w:sz w:val="13"/>
                <w:szCs w:val="13"/>
              </w:rPr>
              <w:t xml:space="preserve"> </w:t>
            </w:r>
            <w:r>
              <w:rPr>
                <w:rFonts w:cs="Calibri"/>
                <w:b/>
                <w:bCs/>
                <w:color w:val="000000" w:themeColor="text1"/>
                <w:sz w:val="13"/>
                <w:szCs w:val="13"/>
              </w:rPr>
              <w:t>248</w:t>
            </w:r>
          </w:p>
        </w:tc>
        <w:tc>
          <w:tcPr>
            <w:tcW w:w="1418" w:type="dxa"/>
            <w:tcBorders>
              <w:top w:val="nil"/>
              <w:left w:val="nil"/>
              <w:bottom w:val="single" w:sz="8" w:space="0" w:color="0077BD"/>
              <w:right w:val="nil"/>
            </w:tcBorders>
            <w:shd w:val="clear" w:color="auto" w:fill="auto"/>
            <w:noWrap/>
            <w:vAlign w:val="center"/>
          </w:tcPr>
          <w:p w14:paraId="7C0C1E09" w14:textId="06CC4E41" w:rsidR="005A2D12" w:rsidRPr="00630433" w:rsidRDefault="009368FB" w:rsidP="000A2ABE">
            <w:pPr>
              <w:jc w:val="right"/>
              <w:rPr>
                <w:rFonts w:cs="Calibri"/>
                <w:b/>
                <w:bCs/>
                <w:color w:val="000000" w:themeColor="text1"/>
                <w:sz w:val="13"/>
                <w:szCs w:val="13"/>
              </w:rPr>
            </w:pPr>
            <w:r w:rsidRPr="00630433">
              <w:rPr>
                <w:rFonts w:cs="Calibri"/>
                <w:b/>
                <w:bCs/>
                <w:color w:val="000000" w:themeColor="text1"/>
                <w:sz w:val="13"/>
                <w:szCs w:val="13"/>
              </w:rPr>
              <w:t>1</w:t>
            </w:r>
            <w:r w:rsidR="000A2ABE">
              <w:rPr>
                <w:rFonts w:cs="Calibri"/>
                <w:b/>
                <w:bCs/>
                <w:color w:val="000000" w:themeColor="text1"/>
                <w:sz w:val="13"/>
                <w:szCs w:val="13"/>
              </w:rPr>
              <w:t>19 729</w:t>
            </w:r>
            <w:r w:rsidR="005A2D12" w:rsidRPr="00630433">
              <w:rPr>
                <w:rFonts w:cs="Calibri"/>
                <w:b/>
                <w:bCs/>
                <w:color w:val="000000" w:themeColor="text1"/>
                <w:sz w:val="13"/>
                <w:szCs w:val="13"/>
              </w:rPr>
              <w:t xml:space="preserve"> </w:t>
            </w:r>
            <w:r w:rsidR="000A2ABE">
              <w:rPr>
                <w:rFonts w:cs="Calibri"/>
                <w:b/>
                <w:bCs/>
                <w:color w:val="000000" w:themeColor="text1"/>
                <w:sz w:val="13"/>
                <w:szCs w:val="13"/>
              </w:rPr>
              <w:t>281</w:t>
            </w:r>
          </w:p>
        </w:tc>
      </w:tr>
    </w:tbl>
    <w:p w14:paraId="6F5420EC" w14:textId="1B9A191A" w:rsidR="000D2E92" w:rsidRDefault="000D2E92">
      <w:pPr>
        <w:rPr>
          <w:rFonts w:cs="Tahoma"/>
          <w:sz w:val="18"/>
          <w:szCs w:val="18"/>
        </w:rPr>
      </w:pPr>
    </w:p>
    <w:p w14:paraId="01C1C5D4" w14:textId="32805D99" w:rsidR="001B1DE6" w:rsidRDefault="001B1DE6">
      <w:pPr>
        <w:rPr>
          <w:rFonts w:cs="Tahoma"/>
          <w:sz w:val="18"/>
          <w:szCs w:val="18"/>
        </w:rPr>
      </w:pPr>
      <w:r>
        <w:rPr>
          <w:rFonts w:cs="Tahoma"/>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909"/>
        <w:gridCol w:w="1418"/>
        <w:gridCol w:w="1418"/>
        <w:gridCol w:w="1418"/>
        <w:gridCol w:w="1418"/>
      </w:tblGrid>
      <w:tr w:rsidR="008D6556" w:rsidRPr="008D6556" w14:paraId="7E3976FA" w14:textId="77777777" w:rsidTr="00341B9E">
        <w:trPr>
          <w:trHeight w:val="284"/>
        </w:trPr>
        <w:tc>
          <w:tcPr>
            <w:tcW w:w="3909" w:type="dxa"/>
            <w:vMerge w:val="restart"/>
            <w:tcBorders>
              <w:top w:val="nil"/>
              <w:left w:val="nil"/>
              <w:bottom w:val="single" w:sz="4" w:space="0" w:color="FFFFFF"/>
              <w:right w:val="nil"/>
            </w:tcBorders>
            <w:shd w:val="clear" w:color="000000" w:fill="0077BD"/>
            <w:noWrap/>
            <w:vAlign w:val="center"/>
            <w:hideMark/>
          </w:tcPr>
          <w:p w14:paraId="7B708170" w14:textId="77777777" w:rsidR="008D6556" w:rsidRPr="008D6556" w:rsidRDefault="008D6556" w:rsidP="008D6556">
            <w:pPr>
              <w:rPr>
                <w:rFonts w:cs="Calibri"/>
                <w:b/>
                <w:bCs/>
                <w:color w:val="FFFFFF"/>
                <w:sz w:val="13"/>
                <w:szCs w:val="13"/>
              </w:rPr>
            </w:pPr>
            <w:r w:rsidRPr="008D6556">
              <w:rPr>
                <w:rFonts w:cs="Calibri"/>
                <w:b/>
                <w:bCs/>
                <w:color w:val="FFFFFF"/>
                <w:sz w:val="13"/>
                <w:szCs w:val="13"/>
              </w:rPr>
              <w:lastRenderedPageBreak/>
              <w:t>31.12.2018</w:t>
            </w:r>
          </w:p>
        </w:tc>
        <w:tc>
          <w:tcPr>
            <w:tcW w:w="1418" w:type="dxa"/>
            <w:vMerge w:val="restart"/>
            <w:tcBorders>
              <w:left w:val="single" w:sz="8" w:space="0" w:color="FFFFFF"/>
              <w:bottom w:val="single" w:sz="8" w:space="0" w:color="FFFFFF"/>
              <w:right w:val="single" w:sz="8" w:space="0" w:color="FFFFFF"/>
            </w:tcBorders>
            <w:shd w:val="clear" w:color="000000" w:fill="0077BD"/>
            <w:vAlign w:val="center"/>
            <w:hideMark/>
          </w:tcPr>
          <w:p w14:paraId="26229808" w14:textId="77777777" w:rsidR="008D6556" w:rsidRPr="008D6556" w:rsidRDefault="008D6556" w:rsidP="008D6556">
            <w:pPr>
              <w:rPr>
                <w:rFonts w:cs="Calibri"/>
                <w:b/>
                <w:bCs/>
                <w:color w:val="FFFFFF"/>
                <w:sz w:val="13"/>
                <w:szCs w:val="13"/>
              </w:rPr>
            </w:pPr>
            <w:r w:rsidRPr="008D6556">
              <w:rPr>
                <w:rFonts w:cs="Calibri"/>
                <w:b/>
                <w:bCs/>
                <w:color w:val="FFFFFF"/>
                <w:sz w:val="13"/>
                <w:szCs w:val="13"/>
              </w:rPr>
              <w:t>w tym:</w:t>
            </w:r>
          </w:p>
        </w:tc>
        <w:tc>
          <w:tcPr>
            <w:tcW w:w="1418" w:type="dxa"/>
            <w:tcBorders>
              <w:left w:val="nil"/>
              <w:bottom w:val="single" w:sz="8" w:space="0" w:color="FFFFFF"/>
              <w:right w:val="single" w:sz="8" w:space="0" w:color="FFFFFF"/>
            </w:tcBorders>
            <w:shd w:val="clear" w:color="000000" w:fill="0077BD"/>
            <w:vAlign w:val="center"/>
            <w:hideMark/>
          </w:tcPr>
          <w:p w14:paraId="182F2594"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1</w:t>
            </w:r>
          </w:p>
        </w:tc>
        <w:tc>
          <w:tcPr>
            <w:tcW w:w="1418" w:type="dxa"/>
            <w:tcBorders>
              <w:left w:val="nil"/>
              <w:bottom w:val="single" w:sz="8" w:space="0" w:color="FFFFFF"/>
              <w:right w:val="single" w:sz="8" w:space="0" w:color="FFFFFF"/>
            </w:tcBorders>
            <w:shd w:val="clear" w:color="000000" w:fill="0077BD"/>
            <w:vAlign w:val="center"/>
            <w:hideMark/>
          </w:tcPr>
          <w:p w14:paraId="63C15ADB"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2</w:t>
            </w:r>
          </w:p>
        </w:tc>
        <w:tc>
          <w:tcPr>
            <w:tcW w:w="1418" w:type="dxa"/>
            <w:tcBorders>
              <w:left w:val="nil"/>
              <w:bottom w:val="single" w:sz="8" w:space="0" w:color="FFFFFF"/>
              <w:right w:val="nil"/>
            </w:tcBorders>
            <w:shd w:val="clear" w:color="000000" w:fill="0077BD"/>
            <w:vAlign w:val="center"/>
            <w:hideMark/>
          </w:tcPr>
          <w:p w14:paraId="0BC77754"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Poziom 3</w:t>
            </w:r>
          </w:p>
        </w:tc>
      </w:tr>
      <w:tr w:rsidR="008D6556" w:rsidRPr="008D6556" w14:paraId="5D3A2FBD" w14:textId="77777777" w:rsidTr="008D6556">
        <w:trPr>
          <w:trHeight w:val="284"/>
        </w:trPr>
        <w:tc>
          <w:tcPr>
            <w:tcW w:w="3909" w:type="dxa"/>
            <w:vMerge/>
            <w:tcBorders>
              <w:top w:val="nil"/>
              <w:left w:val="nil"/>
              <w:bottom w:val="single" w:sz="4" w:space="0" w:color="FFFFFF"/>
              <w:right w:val="nil"/>
            </w:tcBorders>
            <w:vAlign w:val="center"/>
            <w:hideMark/>
          </w:tcPr>
          <w:p w14:paraId="7D964E20" w14:textId="77777777" w:rsidR="008D6556" w:rsidRPr="008D6556" w:rsidRDefault="008D6556" w:rsidP="008D6556">
            <w:pPr>
              <w:rPr>
                <w:rFonts w:cs="Calibri"/>
                <w:b/>
                <w:bCs/>
                <w:color w:val="FFFFFF"/>
                <w:sz w:val="13"/>
                <w:szCs w:val="13"/>
              </w:rPr>
            </w:pPr>
          </w:p>
        </w:tc>
        <w:tc>
          <w:tcPr>
            <w:tcW w:w="1418" w:type="dxa"/>
            <w:vMerge/>
            <w:tcBorders>
              <w:top w:val="single" w:sz="8" w:space="0" w:color="FFFFFF"/>
              <w:left w:val="single" w:sz="8" w:space="0" w:color="FFFFFF"/>
              <w:bottom w:val="single" w:sz="4" w:space="0" w:color="FFFFFF"/>
              <w:right w:val="single" w:sz="8" w:space="0" w:color="FFFFFF"/>
            </w:tcBorders>
            <w:vAlign w:val="center"/>
            <w:hideMark/>
          </w:tcPr>
          <w:p w14:paraId="0A4024D4" w14:textId="77777777" w:rsidR="008D6556" w:rsidRPr="008D6556" w:rsidRDefault="008D6556" w:rsidP="008D6556">
            <w:pPr>
              <w:rPr>
                <w:rFonts w:cs="Calibri"/>
                <w:b/>
                <w:bCs/>
                <w:color w:val="FFFFFF"/>
                <w:sz w:val="13"/>
                <w:szCs w:val="13"/>
              </w:rPr>
            </w:pPr>
          </w:p>
        </w:tc>
        <w:tc>
          <w:tcPr>
            <w:tcW w:w="1418" w:type="dxa"/>
            <w:tcBorders>
              <w:top w:val="single" w:sz="8" w:space="0" w:color="FFFFFF"/>
              <w:left w:val="nil"/>
              <w:bottom w:val="single" w:sz="4" w:space="0" w:color="FFFFFF"/>
              <w:right w:val="single" w:sz="8" w:space="0" w:color="FFFFFF"/>
            </w:tcBorders>
            <w:shd w:val="clear" w:color="000000" w:fill="0077BD"/>
            <w:hideMark/>
          </w:tcPr>
          <w:p w14:paraId="59D18E97" w14:textId="4FEE2C27" w:rsidR="008D6556" w:rsidRPr="008D6556" w:rsidRDefault="008D6556" w:rsidP="008D6556">
            <w:pPr>
              <w:jc w:val="right"/>
              <w:rPr>
                <w:rFonts w:cs="Calibri"/>
                <w:b/>
                <w:bCs/>
                <w:color w:val="FFFFFF"/>
                <w:sz w:val="13"/>
                <w:szCs w:val="13"/>
              </w:rPr>
            </w:pPr>
            <w:r w:rsidRPr="008D6556">
              <w:rPr>
                <w:rFonts w:cs="Calibri"/>
                <w:b/>
                <w:bCs/>
                <w:color w:val="FFFFFF"/>
                <w:sz w:val="13"/>
                <w:szCs w:val="13"/>
              </w:rPr>
              <w:t>Ceny kwotowane na aktyw</w:t>
            </w:r>
            <w:r>
              <w:rPr>
                <w:rFonts w:cs="Calibri"/>
                <w:b/>
                <w:bCs/>
                <w:color w:val="FFFFFF"/>
                <w:sz w:val="13"/>
                <w:szCs w:val="13"/>
              </w:rPr>
              <w:t>n</w:t>
            </w:r>
            <w:r w:rsidRPr="008D6556">
              <w:rPr>
                <w:rFonts w:cs="Calibri"/>
                <w:b/>
                <w:bCs/>
                <w:color w:val="FFFFFF"/>
                <w:sz w:val="13"/>
                <w:szCs w:val="13"/>
              </w:rPr>
              <w:t>ych rynkach</w:t>
            </w:r>
          </w:p>
        </w:tc>
        <w:tc>
          <w:tcPr>
            <w:tcW w:w="1418" w:type="dxa"/>
            <w:tcBorders>
              <w:top w:val="single" w:sz="8" w:space="0" w:color="FFFFFF"/>
              <w:left w:val="nil"/>
              <w:bottom w:val="single" w:sz="4" w:space="0" w:color="FFFFFF"/>
              <w:right w:val="single" w:sz="8" w:space="0" w:color="FFFFFF"/>
            </w:tcBorders>
            <w:shd w:val="clear" w:color="000000" w:fill="0077BD"/>
            <w:hideMark/>
          </w:tcPr>
          <w:p w14:paraId="57580BD3"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 xml:space="preserve">Techniki wyceny </w:t>
            </w:r>
            <w:r w:rsidRPr="008D6556">
              <w:rPr>
                <w:rFonts w:cs="Calibri"/>
                <w:b/>
                <w:bCs/>
                <w:color w:val="FFFFFF"/>
                <w:sz w:val="13"/>
                <w:szCs w:val="13"/>
              </w:rPr>
              <w:br/>
              <w:t xml:space="preserve">oparte na </w:t>
            </w:r>
            <w:r w:rsidRPr="008D6556">
              <w:rPr>
                <w:rFonts w:cs="Calibri"/>
                <w:b/>
                <w:bCs/>
                <w:color w:val="FFFFFF"/>
                <w:sz w:val="13"/>
                <w:szCs w:val="13"/>
              </w:rPr>
              <w:br/>
              <w:t xml:space="preserve">obserwowalnych </w:t>
            </w:r>
            <w:r w:rsidRPr="008D6556">
              <w:rPr>
                <w:rFonts w:cs="Calibri"/>
                <w:b/>
                <w:bCs/>
                <w:color w:val="FFFFFF"/>
                <w:sz w:val="13"/>
                <w:szCs w:val="13"/>
              </w:rPr>
              <w:br/>
              <w:t>danych rynkowych</w:t>
            </w:r>
          </w:p>
        </w:tc>
        <w:tc>
          <w:tcPr>
            <w:tcW w:w="1418" w:type="dxa"/>
            <w:tcBorders>
              <w:top w:val="single" w:sz="8" w:space="0" w:color="FFFFFF"/>
              <w:left w:val="nil"/>
              <w:bottom w:val="single" w:sz="4" w:space="0" w:color="FFFFFF"/>
              <w:right w:val="nil"/>
            </w:tcBorders>
            <w:shd w:val="clear" w:color="000000" w:fill="0077BD"/>
            <w:hideMark/>
          </w:tcPr>
          <w:p w14:paraId="67CA76BD" w14:textId="77777777" w:rsidR="008D6556" w:rsidRPr="008D6556" w:rsidRDefault="008D6556" w:rsidP="008D6556">
            <w:pPr>
              <w:jc w:val="right"/>
              <w:rPr>
                <w:rFonts w:cs="Calibri"/>
                <w:b/>
                <w:bCs/>
                <w:color w:val="FFFFFF"/>
                <w:sz w:val="13"/>
                <w:szCs w:val="13"/>
              </w:rPr>
            </w:pPr>
            <w:r w:rsidRPr="008D6556">
              <w:rPr>
                <w:rFonts w:cs="Calibri"/>
                <w:b/>
                <w:bCs/>
                <w:color w:val="FFFFFF"/>
                <w:sz w:val="13"/>
                <w:szCs w:val="13"/>
              </w:rPr>
              <w:t>Inne techniki wyceny</w:t>
            </w:r>
          </w:p>
        </w:tc>
      </w:tr>
      <w:tr w:rsidR="008D6556" w:rsidRPr="0068723D" w14:paraId="56CF1B82" w14:textId="77777777" w:rsidTr="008D6556">
        <w:trPr>
          <w:trHeight w:val="227"/>
        </w:trPr>
        <w:tc>
          <w:tcPr>
            <w:tcW w:w="6745" w:type="dxa"/>
            <w:gridSpan w:val="3"/>
            <w:tcBorders>
              <w:top w:val="nil"/>
              <w:left w:val="nil"/>
              <w:bottom w:val="single" w:sz="8" w:space="0" w:color="0077BD"/>
              <w:right w:val="single" w:sz="4" w:space="0" w:color="FFFFFF"/>
            </w:tcBorders>
            <w:shd w:val="clear" w:color="auto" w:fill="auto"/>
            <w:vAlign w:val="center"/>
            <w:hideMark/>
          </w:tcPr>
          <w:p w14:paraId="0F2B24E1" w14:textId="7F99F237" w:rsidR="008D6556" w:rsidRPr="0068723D" w:rsidRDefault="008D6556" w:rsidP="008D6556">
            <w:pPr>
              <w:rPr>
                <w:rFonts w:cs="Calibri"/>
                <w:b/>
                <w:bCs/>
                <w:color w:val="000000" w:themeColor="text1"/>
                <w:sz w:val="13"/>
                <w:szCs w:val="13"/>
              </w:rPr>
            </w:pPr>
            <w:r w:rsidRPr="0068723D">
              <w:rPr>
                <w:rFonts w:cs="Calibri"/>
                <w:b/>
                <w:bCs/>
                <w:color w:val="000000" w:themeColor="text1"/>
                <w:sz w:val="13"/>
                <w:szCs w:val="13"/>
              </w:rPr>
              <w:t>WYCENY WYŁĄCZNIE NA POTRZEBY UJAWNIEŃ</w:t>
            </w:r>
          </w:p>
        </w:tc>
        <w:tc>
          <w:tcPr>
            <w:tcW w:w="1418" w:type="dxa"/>
            <w:tcBorders>
              <w:top w:val="nil"/>
              <w:left w:val="nil"/>
              <w:bottom w:val="single" w:sz="8" w:space="0" w:color="0077BD"/>
              <w:right w:val="single" w:sz="4" w:space="0" w:color="FFFFFF"/>
            </w:tcBorders>
            <w:shd w:val="clear" w:color="auto" w:fill="auto"/>
            <w:vAlign w:val="center"/>
          </w:tcPr>
          <w:p w14:paraId="05327F98" w14:textId="51104D2B" w:rsidR="008D6556" w:rsidRPr="0068723D" w:rsidRDefault="008D6556" w:rsidP="008D6556">
            <w:pPr>
              <w:rPr>
                <w:rFonts w:cs="Calibri"/>
                <w:b/>
                <w:bCs/>
                <w:color w:val="000000" w:themeColor="text1"/>
                <w:sz w:val="13"/>
                <w:szCs w:val="13"/>
              </w:rPr>
            </w:pPr>
          </w:p>
        </w:tc>
        <w:tc>
          <w:tcPr>
            <w:tcW w:w="1418" w:type="dxa"/>
            <w:tcBorders>
              <w:top w:val="nil"/>
              <w:left w:val="nil"/>
              <w:bottom w:val="single" w:sz="8" w:space="0" w:color="0077BD"/>
              <w:right w:val="nil"/>
            </w:tcBorders>
            <w:shd w:val="clear" w:color="auto" w:fill="auto"/>
            <w:vAlign w:val="center"/>
          </w:tcPr>
          <w:p w14:paraId="7D559201" w14:textId="5B045A7D" w:rsidR="008D6556" w:rsidRPr="0068723D" w:rsidRDefault="008D6556" w:rsidP="008D6556">
            <w:pPr>
              <w:rPr>
                <w:rFonts w:cs="Calibri"/>
                <w:b/>
                <w:bCs/>
                <w:color w:val="000000" w:themeColor="text1"/>
                <w:sz w:val="13"/>
                <w:szCs w:val="13"/>
              </w:rPr>
            </w:pPr>
          </w:p>
        </w:tc>
      </w:tr>
      <w:tr w:rsidR="008D6556" w:rsidRPr="0068723D" w14:paraId="2A287A94" w14:textId="77777777" w:rsidTr="008D6556">
        <w:trPr>
          <w:trHeight w:val="227"/>
        </w:trPr>
        <w:tc>
          <w:tcPr>
            <w:tcW w:w="3909" w:type="dxa"/>
            <w:tcBorders>
              <w:top w:val="nil"/>
              <w:left w:val="nil"/>
              <w:bottom w:val="nil"/>
              <w:right w:val="single" w:sz="4" w:space="0" w:color="FFFFFF"/>
            </w:tcBorders>
            <w:shd w:val="clear" w:color="auto" w:fill="auto"/>
            <w:vAlign w:val="center"/>
            <w:hideMark/>
          </w:tcPr>
          <w:p w14:paraId="625F40D6" w14:textId="77777777" w:rsidR="008D6556" w:rsidRPr="00630433" w:rsidRDefault="008D6556" w:rsidP="008D6556">
            <w:pPr>
              <w:rPr>
                <w:rFonts w:cs="Calibri"/>
                <w:b/>
                <w:bCs/>
                <w:color w:val="000000" w:themeColor="text1"/>
                <w:sz w:val="13"/>
                <w:szCs w:val="13"/>
              </w:rPr>
            </w:pPr>
            <w:r w:rsidRPr="00630433">
              <w:rPr>
                <w:rFonts w:cs="Calibri"/>
                <w:b/>
                <w:bCs/>
                <w:color w:val="000000" w:themeColor="text1"/>
                <w:sz w:val="13"/>
                <w:szCs w:val="13"/>
              </w:rPr>
              <w:t>Aktywa finansowe</w:t>
            </w:r>
          </w:p>
        </w:tc>
        <w:tc>
          <w:tcPr>
            <w:tcW w:w="1418" w:type="dxa"/>
            <w:tcBorders>
              <w:top w:val="nil"/>
              <w:left w:val="nil"/>
              <w:bottom w:val="nil"/>
              <w:right w:val="single" w:sz="4" w:space="0" w:color="FFFFFF"/>
            </w:tcBorders>
            <w:shd w:val="clear" w:color="auto" w:fill="auto"/>
            <w:noWrap/>
            <w:vAlign w:val="center"/>
          </w:tcPr>
          <w:p w14:paraId="7B47402F" w14:textId="18A05C5F" w:rsidR="008D6556" w:rsidRPr="0068723D" w:rsidRDefault="008D6556" w:rsidP="008D6556">
            <w:pPr>
              <w:rPr>
                <w:rFonts w:cs="Calibri"/>
                <w:color w:val="000000" w:themeColor="text1"/>
                <w:sz w:val="13"/>
                <w:szCs w:val="13"/>
              </w:rPr>
            </w:pPr>
          </w:p>
        </w:tc>
        <w:tc>
          <w:tcPr>
            <w:tcW w:w="1418" w:type="dxa"/>
            <w:tcBorders>
              <w:top w:val="nil"/>
              <w:left w:val="nil"/>
              <w:bottom w:val="nil"/>
              <w:right w:val="single" w:sz="4" w:space="0" w:color="FFFFFF"/>
            </w:tcBorders>
            <w:shd w:val="clear" w:color="auto" w:fill="auto"/>
            <w:vAlign w:val="center"/>
          </w:tcPr>
          <w:p w14:paraId="7776413C" w14:textId="76C25769" w:rsidR="008D6556" w:rsidRPr="0068723D" w:rsidRDefault="008D6556" w:rsidP="008D6556">
            <w:pPr>
              <w:rPr>
                <w:rFonts w:cs="Calibri"/>
                <w:b/>
                <w:bCs/>
                <w:color w:val="000000" w:themeColor="text1"/>
                <w:sz w:val="13"/>
                <w:szCs w:val="13"/>
              </w:rPr>
            </w:pPr>
          </w:p>
        </w:tc>
        <w:tc>
          <w:tcPr>
            <w:tcW w:w="1418" w:type="dxa"/>
            <w:tcBorders>
              <w:top w:val="nil"/>
              <w:left w:val="nil"/>
              <w:bottom w:val="nil"/>
              <w:right w:val="single" w:sz="4" w:space="0" w:color="FFFFFF"/>
            </w:tcBorders>
            <w:shd w:val="clear" w:color="auto" w:fill="auto"/>
            <w:vAlign w:val="center"/>
          </w:tcPr>
          <w:p w14:paraId="0EB185DF" w14:textId="2621B8FC" w:rsidR="008D6556" w:rsidRPr="0068723D" w:rsidRDefault="008D6556" w:rsidP="008D6556">
            <w:pPr>
              <w:rPr>
                <w:rFonts w:cs="Calibri"/>
                <w:b/>
                <w:bCs/>
                <w:color w:val="000000" w:themeColor="text1"/>
                <w:sz w:val="13"/>
                <w:szCs w:val="13"/>
              </w:rPr>
            </w:pPr>
          </w:p>
        </w:tc>
        <w:tc>
          <w:tcPr>
            <w:tcW w:w="1418" w:type="dxa"/>
            <w:tcBorders>
              <w:top w:val="nil"/>
              <w:left w:val="nil"/>
              <w:bottom w:val="nil"/>
              <w:right w:val="nil"/>
            </w:tcBorders>
            <w:shd w:val="clear" w:color="auto" w:fill="auto"/>
            <w:vAlign w:val="center"/>
          </w:tcPr>
          <w:p w14:paraId="4B698537" w14:textId="7F20BDE3" w:rsidR="008D6556" w:rsidRPr="0068723D" w:rsidRDefault="008D6556" w:rsidP="008D6556">
            <w:pPr>
              <w:rPr>
                <w:rFonts w:cs="Calibri"/>
                <w:b/>
                <w:bCs/>
                <w:color w:val="000000" w:themeColor="text1"/>
                <w:sz w:val="13"/>
                <w:szCs w:val="13"/>
              </w:rPr>
            </w:pPr>
          </w:p>
        </w:tc>
      </w:tr>
      <w:tr w:rsidR="008D6556" w:rsidRPr="0068723D" w14:paraId="64D869C3" w14:textId="77777777" w:rsidTr="008D6556">
        <w:trPr>
          <w:trHeight w:val="227"/>
        </w:trPr>
        <w:tc>
          <w:tcPr>
            <w:tcW w:w="3909" w:type="dxa"/>
            <w:tcBorders>
              <w:top w:val="single" w:sz="8" w:space="0" w:color="0077BD"/>
              <w:left w:val="nil"/>
              <w:bottom w:val="single" w:sz="4" w:space="0" w:color="0077BD"/>
              <w:right w:val="single" w:sz="8" w:space="0" w:color="0077BD"/>
            </w:tcBorders>
            <w:shd w:val="clear" w:color="auto" w:fill="auto"/>
            <w:vAlign w:val="center"/>
            <w:hideMark/>
          </w:tcPr>
          <w:p w14:paraId="6DF3534F"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Dłużne papiery wartościowe</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2ACFEBD8"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9 148 798</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059797E9"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9 148 798</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23AB8257"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8" w:space="0" w:color="0077BD"/>
              <w:left w:val="nil"/>
              <w:bottom w:val="single" w:sz="4" w:space="0" w:color="0077BD"/>
              <w:right w:val="nil"/>
            </w:tcBorders>
            <w:shd w:val="clear" w:color="auto" w:fill="auto"/>
            <w:noWrap/>
            <w:vAlign w:val="center"/>
            <w:hideMark/>
          </w:tcPr>
          <w:p w14:paraId="05B3FC08"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r>
      <w:tr w:rsidR="008D6556" w:rsidRPr="0068723D" w14:paraId="1C7D820E" w14:textId="77777777" w:rsidTr="008D6556">
        <w:trPr>
          <w:trHeight w:val="227"/>
        </w:trPr>
        <w:tc>
          <w:tcPr>
            <w:tcW w:w="3909" w:type="dxa"/>
            <w:tcBorders>
              <w:top w:val="nil"/>
              <w:left w:val="nil"/>
              <w:bottom w:val="nil"/>
              <w:right w:val="single" w:sz="8" w:space="0" w:color="0077BD"/>
            </w:tcBorders>
            <w:shd w:val="clear" w:color="auto" w:fill="auto"/>
            <w:vAlign w:val="center"/>
            <w:hideMark/>
          </w:tcPr>
          <w:p w14:paraId="5D5E5A25"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Należności od banków</w:t>
            </w:r>
          </w:p>
        </w:tc>
        <w:tc>
          <w:tcPr>
            <w:tcW w:w="1418" w:type="dxa"/>
            <w:tcBorders>
              <w:top w:val="nil"/>
              <w:left w:val="nil"/>
              <w:bottom w:val="nil"/>
              <w:right w:val="single" w:sz="8" w:space="0" w:color="0077BD"/>
            </w:tcBorders>
            <w:shd w:val="clear" w:color="auto" w:fill="auto"/>
            <w:noWrap/>
            <w:vAlign w:val="center"/>
            <w:hideMark/>
          </w:tcPr>
          <w:p w14:paraId="07B52466"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2 521 793</w:t>
            </w:r>
          </w:p>
        </w:tc>
        <w:tc>
          <w:tcPr>
            <w:tcW w:w="1418" w:type="dxa"/>
            <w:tcBorders>
              <w:top w:val="nil"/>
              <w:left w:val="nil"/>
              <w:bottom w:val="nil"/>
              <w:right w:val="single" w:sz="8" w:space="0" w:color="0077BD"/>
            </w:tcBorders>
            <w:shd w:val="clear" w:color="auto" w:fill="auto"/>
            <w:noWrap/>
            <w:vAlign w:val="center"/>
            <w:hideMark/>
          </w:tcPr>
          <w:p w14:paraId="4B420032"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nil"/>
              <w:right w:val="single" w:sz="8" w:space="0" w:color="0077BD"/>
            </w:tcBorders>
            <w:shd w:val="clear" w:color="auto" w:fill="auto"/>
            <w:noWrap/>
            <w:vAlign w:val="center"/>
            <w:hideMark/>
          </w:tcPr>
          <w:p w14:paraId="3E0E5F46"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nil"/>
              <w:right w:val="nil"/>
            </w:tcBorders>
            <w:shd w:val="clear" w:color="auto" w:fill="auto"/>
            <w:noWrap/>
            <w:vAlign w:val="center"/>
            <w:hideMark/>
          </w:tcPr>
          <w:p w14:paraId="4869C37E"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2 521 793</w:t>
            </w:r>
          </w:p>
        </w:tc>
      </w:tr>
      <w:tr w:rsidR="008D6556" w:rsidRPr="0068723D" w14:paraId="01DD0772" w14:textId="77777777" w:rsidTr="008D6556">
        <w:trPr>
          <w:trHeight w:val="227"/>
        </w:trPr>
        <w:tc>
          <w:tcPr>
            <w:tcW w:w="3909" w:type="dxa"/>
            <w:tcBorders>
              <w:top w:val="single" w:sz="4" w:space="0" w:color="0077BD"/>
              <w:left w:val="nil"/>
              <w:bottom w:val="single" w:sz="8" w:space="0" w:color="0077BD"/>
              <w:right w:val="single" w:sz="8" w:space="0" w:color="0077BD"/>
            </w:tcBorders>
            <w:shd w:val="clear" w:color="auto" w:fill="auto"/>
            <w:vAlign w:val="center"/>
            <w:hideMark/>
          </w:tcPr>
          <w:p w14:paraId="15F31F4A"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Kredyty i pożyczki udzielone klientom</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2B04294F"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91 924 443</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59B183DB"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0A1C3F54"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4" w:space="0" w:color="0077BD"/>
              <w:left w:val="nil"/>
              <w:bottom w:val="single" w:sz="8" w:space="0" w:color="0077BD"/>
              <w:right w:val="nil"/>
            </w:tcBorders>
            <w:shd w:val="clear" w:color="auto" w:fill="auto"/>
            <w:noWrap/>
            <w:vAlign w:val="center"/>
            <w:hideMark/>
          </w:tcPr>
          <w:p w14:paraId="78B63A07"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91 924 443</w:t>
            </w:r>
          </w:p>
        </w:tc>
      </w:tr>
      <w:tr w:rsidR="008D6556" w:rsidRPr="0068723D" w14:paraId="111A6DB0" w14:textId="77777777" w:rsidTr="008D6556">
        <w:trPr>
          <w:trHeight w:val="227"/>
        </w:trPr>
        <w:tc>
          <w:tcPr>
            <w:tcW w:w="3909" w:type="dxa"/>
            <w:tcBorders>
              <w:top w:val="single" w:sz="8" w:space="0" w:color="0077BD"/>
              <w:left w:val="nil"/>
              <w:bottom w:val="single" w:sz="8" w:space="0" w:color="0077BD"/>
              <w:right w:val="nil"/>
            </w:tcBorders>
            <w:shd w:val="clear" w:color="auto" w:fill="auto"/>
            <w:vAlign w:val="center"/>
            <w:hideMark/>
          </w:tcPr>
          <w:p w14:paraId="76E7D744" w14:textId="77777777" w:rsidR="008D6556" w:rsidRPr="00630433" w:rsidRDefault="008D6556" w:rsidP="008D6556">
            <w:pPr>
              <w:rPr>
                <w:rFonts w:cs="Calibri"/>
                <w:b/>
                <w:bCs/>
                <w:color w:val="000000" w:themeColor="text1"/>
                <w:sz w:val="13"/>
                <w:szCs w:val="13"/>
              </w:rPr>
            </w:pPr>
            <w:r w:rsidRPr="00630433">
              <w:rPr>
                <w:rFonts w:cs="Calibri"/>
                <w:b/>
                <w:bCs/>
                <w:color w:val="000000" w:themeColor="text1"/>
                <w:sz w:val="13"/>
                <w:szCs w:val="13"/>
              </w:rPr>
              <w:t>Zobowiązania finansowe</w:t>
            </w:r>
          </w:p>
        </w:tc>
        <w:tc>
          <w:tcPr>
            <w:tcW w:w="1418" w:type="dxa"/>
            <w:tcBorders>
              <w:top w:val="single" w:sz="8" w:space="0" w:color="0077BD"/>
              <w:left w:val="nil"/>
              <w:bottom w:val="single" w:sz="8" w:space="0" w:color="0077BD"/>
              <w:right w:val="nil"/>
            </w:tcBorders>
            <w:shd w:val="clear" w:color="auto" w:fill="auto"/>
            <w:noWrap/>
            <w:vAlign w:val="center"/>
          </w:tcPr>
          <w:p w14:paraId="373A53B3" w14:textId="6EEBB02C"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53A9C794" w14:textId="61755FDE"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335A5288" w14:textId="70B16B7C" w:rsidR="008D6556" w:rsidRPr="00630433" w:rsidRDefault="008D6556" w:rsidP="008D6556">
            <w:pPr>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auto" w:fill="auto"/>
            <w:noWrap/>
            <w:vAlign w:val="center"/>
          </w:tcPr>
          <w:p w14:paraId="2B1CF61D" w14:textId="796D49B4" w:rsidR="008D6556" w:rsidRPr="00630433" w:rsidRDefault="008D6556" w:rsidP="008D6556">
            <w:pPr>
              <w:rPr>
                <w:rFonts w:cs="Calibri"/>
                <w:b/>
                <w:bCs/>
                <w:color w:val="000000" w:themeColor="text1"/>
                <w:sz w:val="13"/>
                <w:szCs w:val="13"/>
              </w:rPr>
            </w:pPr>
          </w:p>
        </w:tc>
      </w:tr>
      <w:tr w:rsidR="00C00371" w:rsidRPr="0068723D" w14:paraId="54119A1B" w14:textId="77777777" w:rsidTr="00C00371">
        <w:trPr>
          <w:trHeight w:val="227"/>
        </w:trPr>
        <w:tc>
          <w:tcPr>
            <w:tcW w:w="3909" w:type="dxa"/>
            <w:tcBorders>
              <w:top w:val="nil"/>
              <w:left w:val="nil"/>
              <w:bottom w:val="single" w:sz="4" w:space="0" w:color="0077BD"/>
              <w:right w:val="single" w:sz="8" w:space="0" w:color="0077BD"/>
            </w:tcBorders>
            <w:shd w:val="clear" w:color="auto" w:fill="auto"/>
            <w:vAlign w:val="center"/>
            <w:hideMark/>
          </w:tcPr>
          <w:p w14:paraId="3DEEA06D" w14:textId="3D99EC5E" w:rsidR="00C00371" w:rsidRPr="00630433" w:rsidRDefault="00811E31" w:rsidP="00C00371">
            <w:pPr>
              <w:rPr>
                <w:rFonts w:cs="Calibri"/>
                <w:color w:val="000000" w:themeColor="text1"/>
                <w:sz w:val="13"/>
                <w:szCs w:val="13"/>
              </w:rPr>
            </w:pPr>
            <w:r>
              <w:rPr>
                <w:rFonts w:cs="Calibri"/>
                <w:color w:val="000000" w:themeColor="text1"/>
                <w:sz w:val="13"/>
                <w:szCs w:val="13"/>
              </w:rPr>
              <w:t>Zobowiązania wobec</w:t>
            </w:r>
            <w:r w:rsidR="00C00371" w:rsidRPr="00630433">
              <w:rPr>
                <w:rFonts w:cs="Calibri"/>
                <w:color w:val="000000" w:themeColor="text1"/>
                <w:sz w:val="13"/>
                <w:szCs w:val="13"/>
              </w:rPr>
              <w:t xml:space="preserve"> banków</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hideMark/>
          </w:tcPr>
          <w:p w14:paraId="068D44E0" w14:textId="7FED18B0" w:rsidR="00C00371" w:rsidRPr="00630433" w:rsidRDefault="00C00371" w:rsidP="00C00371">
            <w:pPr>
              <w:jc w:val="right"/>
              <w:rPr>
                <w:rFonts w:cs="Calibri"/>
                <w:color w:val="000000" w:themeColor="text1"/>
                <w:sz w:val="13"/>
                <w:szCs w:val="13"/>
              </w:rPr>
            </w:pPr>
            <w:r w:rsidRPr="00630433">
              <w:rPr>
                <w:rFonts w:cs="Calibri"/>
                <w:color w:val="000000" w:themeColor="text1"/>
                <w:sz w:val="13"/>
                <w:szCs w:val="13"/>
              </w:rPr>
              <w:t>3 107 261</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7497FF97" w14:textId="329744D0" w:rsidR="00C00371" w:rsidRPr="00630433" w:rsidRDefault="00C00371" w:rsidP="00C00371">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0635493B" w14:textId="218BFBBA" w:rsidR="00C00371" w:rsidRPr="00630433" w:rsidRDefault="00C00371" w:rsidP="00C00371">
            <w:pPr>
              <w:jc w:val="right"/>
              <w:rPr>
                <w:rFonts w:cs="Calibri"/>
                <w:color w:val="000000" w:themeColor="text1"/>
                <w:sz w:val="13"/>
                <w:szCs w:val="13"/>
              </w:rPr>
            </w:pPr>
            <w:r w:rsidRPr="00630433">
              <w:rPr>
                <w:rFonts w:cs="Calibri"/>
                <w:color w:val="000000" w:themeColor="text1"/>
                <w:sz w:val="13"/>
                <w:szCs w:val="13"/>
              </w:rPr>
              <w:t>474 235</w:t>
            </w:r>
          </w:p>
        </w:tc>
        <w:tc>
          <w:tcPr>
            <w:tcW w:w="1418" w:type="dxa"/>
            <w:tcBorders>
              <w:top w:val="single" w:sz="8" w:space="0" w:color="0077BD"/>
              <w:left w:val="nil"/>
              <w:bottom w:val="single" w:sz="4" w:space="0" w:color="0077BD"/>
              <w:right w:val="nil"/>
            </w:tcBorders>
            <w:shd w:val="clear" w:color="auto" w:fill="auto"/>
            <w:noWrap/>
            <w:vAlign w:val="center"/>
            <w:hideMark/>
          </w:tcPr>
          <w:p w14:paraId="45471C33" w14:textId="7445077A" w:rsidR="00C00371" w:rsidRPr="00630433" w:rsidRDefault="00C00371" w:rsidP="00C00371">
            <w:pPr>
              <w:jc w:val="right"/>
              <w:rPr>
                <w:rFonts w:cs="Calibri"/>
                <w:color w:val="000000" w:themeColor="text1"/>
                <w:sz w:val="13"/>
                <w:szCs w:val="13"/>
              </w:rPr>
            </w:pPr>
            <w:r w:rsidRPr="00630433">
              <w:rPr>
                <w:rFonts w:cs="Calibri"/>
                <w:color w:val="000000" w:themeColor="text1"/>
                <w:sz w:val="13"/>
                <w:szCs w:val="13"/>
              </w:rPr>
              <w:t>2 633 026</w:t>
            </w:r>
          </w:p>
        </w:tc>
      </w:tr>
      <w:tr w:rsidR="008D6556" w:rsidRPr="0068723D" w14:paraId="523829E8" w14:textId="77777777" w:rsidTr="008D6556">
        <w:trPr>
          <w:trHeight w:val="227"/>
        </w:trPr>
        <w:tc>
          <w:tcPr>
            <w:tcW w:w="3909" w:type="dxa"/>
            <w:tcBorders>
              <w:top w:val="nil"/>
              <w:left w:val="nil"/>
              <w:bottom w:val="single" w:sz="4" w:space="0" w:color="0077BD"/>
              <w:right w:val="single" w:sz="8" w:space="0" w:color="0077BD"/>
            </w:tcBorders>
            <w:shd w:val="clear" w:color="auto" w:fill="auto"/>
            <w:vAlign w:val="center"/>
            <w:hideMark/>
          </w:tcPr>
          <w:p w14:paraId="4251E5E2"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Zobowiązania wobec klientów</w:t>
            </w:r>
          </w:p>
        </w:tc>
        <w:tc>
          <w:tcPr>
            <w:tcW w:w="1418" w:type="dxa"/>
            <w:tcBorders>
              <w:top w:val="nil"/>
              <w:left w:val="nil"/>
              <w:bottom w:val="single" w:sz="4" w:space="0" w:color="0077BD"/>
              <w:right w:val="single" w:sz="8" w:space="0" w:color="0077BD"/>
            </w:tcBorders>
            <w:shd w:val="clear" w:color="auto" w:fill="auto"/>
            <w:noWrap/>
            <w:vAlign w:val="center"/>
            <w:hideMark/>
          </w:tcPr>
          <w:p w14:paraId="5AECF467"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101 932 151</w:t>
            </w:r>
          </w:p>
        </w:tc>
        <w:tc>
          <w:tcPr>
            <w:tcW w:w="1418" w:type="dxa"/>
            <w:tcBorders>
              <w:top w:val="nil"/>
              <w:left w:val="nil"/>
              <w:bottom w:val="single" w:sz="4" w:space="0" w:color="0077BD"/>
              <w:right w:val="single" w:sz="8" w:space="0" w:color="0077BD"/>
            </w:tcBorders>
            <w:shd w:val="clear" w:color="auto" w:fill="auto"/>
            <w:noWrap/>
            <w:vAlign w:val="center"/>
            <w:hideMark/>
          </w:tcPr>
          <w:p w14:paraId="4F69036F"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noWrap/>
            <w:vAlign w:val="center"/>
            <w:hideMark/>
          </w:tcPr>
          <w:p w14:paraId="0AB5A85F"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4 251 823</w:t>
            </w:r>
          </w:p>
        </w:tc>
        <w:tc>
          <w:tcPr>
            <w:tcW w:w="1418" w:type="dxa"/>
            <w:tcBorders>
              <w:top w:val="nil"/>
              <w:left w:val="nil"/>
              <w:bottom w:val="single" w:sz="4" w:space="0" w:color="0077BD"/>
              <w:right w:val="nil"/>
            </w:tcBorders>
            <w:shd w:val="clear" w:color="auto" w:fill="auto"/>
            <w:noWrap/>
            <w:vAlign w:val="center"/>
            <w:hideMark/>
          </w:tcPr>
          <w:p w14:paraId="7608FF54"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97 680 328</w:t>
            </w:r>
          </w:p>
        </w:tc>
      </w:tr>
      <w:tr w:rsidR="008D6556" w:rsidRPr="0068723D" w14:paraId="0CB3CAA1" w14:textId="77777777" w:rsidTr="008D6556">
        <w:trPr>
          <w:trHeight w:val="340"/>
        </w:trPr>
        <w:tc>
          <w:tcPr>
            <w:tcW w:w="3909" w:type="dxa"/>
            <w:tcBorders>
              <w:top w:val="nil"/>
              <w:left w:val="nil"/>
              <w:bottom w:val="single" w:sz="4" w:space="0" w:color="0077BD"/>
              <w:right w:val="single" w:sz="8" w:space="0" w:color="0077BD"/>
            </w:tcBorders>
            <w:shd w:val="clear" w:color="auto" w:fill="auto"/>
            <w:vAlign w:val="center"/>
            <w:hideMark/>
          </w:tcPr>
          <w:p w14:paraId="4FAC94CD"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Zobowiązania z tytułu emisji dłużnych papierów wartościowych</w:t>
            </w:r>
          </w:p>
        </w:tc>
        <w:tc>
          <w:tcPr>
            <w:tcW w:w="1418" w:type="dxa"/>
            <w:tcBorders>
              <w:top w:val="nil"/>
              <w:left w:val="nil"/>
              <w:bottom w:val="single" w:sz="4" w:space="0" w:color="0077BD"/>
              <w:right w:val="single" w:sz="8" w:space="0" w:color="0077BD"/>
            </w:tcBorders>
            <w:shd w:val="clear" w:color="auto" w:fill="auto"/>
            <w:noWrap/>
            <w:vAlign w:val="center"/>
            <w:hideMark/>
          </w:tcPr>
          <w:p w14:paraId="2AD56F6A"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18 236 156</w:t>
            </w:r>
          </w:p>
        </w:tc>
        <w:tc>
          <w:tcPr>
            <w:tcW w:w="1418" w:type="dxa"/>
            <w:tcBorders>
              <w:top w:val="nil"/>
              <w:left w:val="nil"/>
              <w:bottom w:val="single" w:sz="4" w:space="0" w:color="0077BD"/>
              <w:right w:val="single" w:sz="8" w:space="0" w:color="0077BD"/>
            </w:tcBorders>
            <w:shd w:val="clear" w:color="auto" w:fill="auto"/>
            <w:noWrap/>
            <w:vAlign w:val="center"/>
            <w:hideMark/>
          </w:tcPr>
          <w:p w14:paraId="59200169"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10 114 558</w:t>
            </w:r>
          </w:p>
        </w:tc>
        <w:tc>
          <w:tcPr>
            <w:tcW w:w="1418" w:type="dxa"/>
            <w:tcBorders>
              <w:top w:val="nil"/>
              <w:left w:val="nil"/>
              <w:bottom w:val="single" w:sz="4" w:space="0" w:color="0077BD"/>
              <w:right w:val="single" w:sz="8" w:space="0" w:color="0077BD"/>
            </w:tcBorders>
            <w:shd w:val="clear" w:color="auto" w:fill="auto"/>
            <w:noWrap/>
            <w:vAlign w:val="center"/>
            <w:hideMark/>
          </w:tcPr>
          <w:p w14:paraId="3BE2F30F"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0C935F18"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8 121 598</w:t>
            </w:r>
          </w:p>
        </w:tc>
      </w:tr>
      <w:tr w:rsidR="008D6556" w:rsidRPr="0068723D" w14:paraId="2AC31AC8" w14:textId="77777777" w:rsidTr="008D6556">
        <w:trPr>
          <w:trHeight w:val="227"/>
        </w:trPr>
        <w:tc>
          <w:tcPr>
            <w:tcW w:w="3909" w:type="dxa"/>
            <w:tcBorders>
              <w:top w:val="nil"/>
              <w:left w:val="nil"/>
              <w:bottom w:val="single" w:sz="8" w:space="0" w:color="0077BD"/>
              <w:right w:val="single" w:sz="8" w:space="0" w:color="0077BD"/>
            </w:tcBorders>
            <w:shd w:val="clear" w:color="auto" w:fill="auto"/>
            <w:vAlign w:val="center"/>
            <w:hideMark/>
          </w:tcPr>
          <w:p w14:paraId="68712AB9" w14:textId="77777777" w:rsidR="008D6556" w:rsidRPr="00630433" w:rsidRDefault="008D6556" w:rsidP="008D6556">
            <w:pPr>
              <w:rPr>
                <w:rFonts w:cs="Calibri"/>
                <w:color w:val="000000" w:themeColor="text1"/>
                <w:sz w:val="13"/>
                <w:szCs w:val="13"/>
              </w:rPr>
            </w:pPr>
            <w:r w:rsidRPr="00630433">
              <w:rPr>
                <w:rFonts w:cs="Calibri"/>
                <w:color w:val="000000" w:themeColor="text1"/>
                <w:sz w:val="13"/>
                <w:szCs w:val="13"/>
              </w:rPr>
              <w:t>Zobowiązania podporządkowane</w:t>
            </w:r>
          </w:p>
        </w:tc>
        <w:tc>
          <w:tcPr>
            <w:tcW w:w="1418" w:type="dxa"/>
            <w:tcBorders>
              <w:top w:val="nil"/>
              <w:left w:val="nil"/>
              <w:bottom w:val="single" w:sz="8" w:space="0" w:color="0077BD"/>
              <w:right w:val="single" w:sz="8" w:space="0" w:color="0077BD"/>
            </w:tcBorders>
            <w:shd w:val="clear" w:color="auto" w:fill="auto"/>
            <w:noWrap/>
            <w:vAlign w:val="center"/>
            <w:hideMark/>
          </w:tcPr>
          <w:p w14:paraId="5880E9CD"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2 492 101</w:t>
            </w:r>
          </w:p>
        </w:tc>
        <w:tc>
          <w:tcPr>
            <w:tcW w:w="1418" w:type="dxa"/>
            <w:tcBorders>
              <w:top w:val="nil"/>
              <w:left w:val="nil"/>
              <w:bottom w:val="single" w:sz="8" w:space="0" w:color="0077BD"/>
              <w:right w:val="single" w:sz="8" w:space="0" w:color="0077BD"/>
            </w:tcBorders>
            <w:shd w:val="clear" w:color="auto" w:fill="auto"/>
            <w:noWrap/>
            <w:vAlign w:val="center"/>
            <w:hideMark/>
          </w:tcPr>
          <w:p w14:paraId="64963B35"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noWrap/>
            <w:vAlign w:val="center"/>
            <w:hideMark/>
          </w:tcPr>
          <w:p w14:paraId="726A4302"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2 492 101</w:t>
            </w:r>
          </w:p>
        </w:tc>
        <w:tc>
          <w:tcPr>
            <w:tcW w:w="1418" w:type="dxa"/>
            <w:tcBorders>
              <w:top w:val="nil"/>
              <w:left w:val="nil"/>
              <w:bottom w:val="single" w:sz="8" w:space="0" w:color="0077BD"/>
              <w:right w:val="nil"/>
            </w:tcBorders>
            <w:shd w:val="clear" w:color="auto" w:fill="auto"/>
            <w:noWrap/>
            <w:vAlign w:val="center"/>
            <w:hideMark/>
          </w:tcPr>
          <w:p w14:paraId="71998D00" w14:textId="77777777" w:rsidR="008D6556" w:rsidRPr="00630433" w:rsidRDefault="008D6556" w:rsidP="008D6556">
            <w:pPr>
              <w:jc w:val="right"/>
              <w:rPr>
                <w:rFonts w:cs="Calibri"/>
                <w:color w:val="000000" w:themeColor="text1"/>
                <w:sz w:val="13"/>
                <w:szCs w:val="13"/>
              </w:rPr>
            </w:pPr>
            <w:r w:rsidRPr="00630433">
              <w:rPr>
                <w:rFonts w:cs="Calibri"/>
                <w:color w:val="000000" w:themeColor="text1"/>
                <w:sz w:val="13"/>
                <w:szCs w:val="13"/>
              </w:rPr>
              <w:t>-</w:t>
            </w:r>
          </w:p>
        </w:tc>
      </w:tr>
      <w:tr w:rsidR="008D6556" w:rsidRPr="0068723D" w14:paraId="3F2D0D88" w14:textId="77777777" w:rsidTr="008D6556">
        <w:trPr>
          <w:trHeight w:val="227"/>
        </w:trPr>
        <w:tc>
          <w:tcPr>
            <w:tcW w:w="3909" w:type="dxa"/>
            <w:tcBorders>
              <w:top w:val="single" w:sz="8" w:space="0" w:color="0077BD"/>
              <w:left w:val="nil"/>
              <w:bottom w:val="single" w:sz="4" w:space="0" w:color="0077BD"/>
              <w:right w:val="single" w:sz="8" w:space="0" w:color="0077BD"/>
            </w:tcBorders>
            <w:shd w:val="clear" w:color="auto" w:fill="auto"/>
            <w:vAlign w:val="center"/>
            <w:hideMark/>
          </w:tcPr>
          <w:p w14:paraId="55603FD4" w14:textId="77777777" w:rsidR="008D6556" w:rsidRPr="00630433" w:rsidRDefault="008D6556" w:rsidP="008D6556">
            <w:pPr>
              <w:rPr>
                <w:rFonts w:cs="Calibri"/>
                <w:b/>
                <w:bCs/>
                <w:color w:val="000000" w:themeColor="text1"/>
                <w:sz w:val="13"/>
                <w:szCs w:val="13"/>
              </w:rPr>
            </w:pPr>
            <w:r w:rsidRPr="00630433">
              <w:rPr>
                <w:rFonts w:cs="Calibri"/>
                <w:b/>
                <w:bCs/>
                <w:color w:val="000000" w:themeColor="text1"/>
                <w:sz w:val="13"/>
                <w:szCs w:val="13"/>
              </w:rPr>
              <w:t>Aktywa finansowe razem</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687D7989" w14:textId="77777777" w:rsidR="008D6556" w:rsidRPr="00630433" w:rsidRDefault="008D6556" w:rsidP="008D6556">
            <w:pPr>
              <w:jc w:val="right"/>
              <w:rPr>
                <w:rFonts w:cs="Calibri"/>
                <w:b/>
                <w:bCs/>
                <w:color w:val="000000" w:themeColor="text1"/>
                <w:sz w:val="13"/>
                <w:szCs w:val="13"/>
              </w:rPr>
            </w:pPr>
            <w:r w:rsidRPr="00630433">
              <w:rPr>
                <w:rFonts w:cs="Calibri"/>
                <w:b/>
                <w:bCs/>
                <w:color w:val="000000" w:themeColor="text1"/>
                <w:sz w:val="13"/>
                <w:szCs w:val="13"/>
              </w:rPr>
              <w:t>103 595 034</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30AC6E96" w14:textId="77777777" w:rsidR="008D6556" w:rsidRPr="00630433" w:rsidRDefault="008D6556" w:rsidP="008D6556">
            <w:pPr>
              <w:jc w:val="right"/>
              <w:rPr>
                <w:rFonts w:cs="Calibri"/>
                <w:b/>
                <w:bCs/>
                <w:color w:val="000000" w:themeColor="text1"/>
                <w:sz w:val="13"/>
                <w:szCs w:val="13"/>
              </w:rPr>
            </w:pPr>
            <w:r w:rsidRPr="00630433">
              <w:rPr>
                <w:rFonts w:cs="Calibri"/>
                <w:b/>
                <w:bCs/>
                <w:color w:val="000000" w:themeColor="text1"/>
                <w:sz w:val="13"/>
                <w:szCs w:val="13"/>
              </w:rPr>
              <w:t>9 148 798</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621B46F5" w14:textId="77777777" w:rsidR="008D6556" w:rsidRPr="00630433" w:rsidRDefault="008D6556" w:rsidP="008D6556">
            <w:pPr>
              <w:jc w:val="right"/>
              <w:rPr>
                <w:rFonts w:cs="Calibri"/>
                <w:b/>
                <w:bCs/>
                <w:color w:val="000000" w:themeColor="text1"/>
                <w:sz w:val="13"/>
                <w:szCs w:val="13"/>
              </w:rPr>
            </w:pPr>
            <w:r w:rsidRPr="00630433">
              <w:rPr>
                <w:rFonts w:cs="Calibri"/>
                <w:b/>
                <w:bCs/>
                <w:color w:val="000000" w:themeColor="text1"/>
                <w:sz w:val="13"/>
                <w:szCs w:val="13"/>
              </w:rPr>
              <w:t>-</w:t>
            </w:r>
          </w:p>
        </w:tc>
        <w:tc>
          <w:tcPr>
            <w:tcW w:w="1418" w:type="dxa"/>
            <w:tcBorders>
              <w:top w:val="single" w:sz="8" w:space="0" w:color="0077BD"/>
              <w:left w:val="nil"/>
              <w:bottom w:val="single" w:sz="4" w:space="0" w:color="0077BD"/>
              <w:right w:val="nil"/>
            </w:tcBorders>
            <w:shd w:val="clear" w:color="auto" w:fill="auto"/>
            <w:noWrap/>
            <w:vAlign w:val="center"/>
            <w:hideMark/>
          </w:tcPr>
          <w:p w14:paraId="4B7E165F" w14:textId="77777777" w:rsidR="008D6556" w:rsidRPr="00630433" w:rsidRDefault="008D6556" w:rsidP="008D6556">
            <w:pPr>
              <w:jc w:val="right"/>
              <w:rPr>
                <w:rFonts w:cs="Calibri"/>
                <w:b/>
                <w:bCs/>
                <w:color w:val="000000" w:themeColor="text1"/>
                <w:sz w:val="13"/>
                <w:szCs w:val="13"/>
              </w:rPr>
            </w:pPr>
            <w:r w:rsidRPr="00630433">
              <w:rPr>
                <w:rFonts w:cs="Calibri"/>
                <w:b/>
                <w:bCs/>
                <w:color w:val="000000" w:themeColor="text1"/>
                <w:sz w:val="13"/>
                <w:szCs w:val="13"/>
              </w:rPr>
              <w:t>94 446 236</w:t>
            </w:r>
          </w:p>
        </w:tc>
      </w:tr>
      <w:tr w:rsidR="00C00371" w:rsidRPr="0068723D" w14:paraId="706B40DE" w14:textId="77777777" w:rsidTr="00C00371">
        <w:trPr>
          <w:trHeight w:val="284"/>
        </w:trPr>
        <w:tc>
          <w:tcPr>
            <w:tcW w:w="3909" w:type="dxa"/>
            <w:tcBorders>
              <w:top w:val="nil"/>
              <w:left w:val="nil"/>
              <w:bottom w:val="single" w:sz="8" w:space="0" w:color="0077BD"/>
              <w:right w:val="single" w:sz="8" w:space="0" w:color="0077BD"/>
            </w:tcBorders>
            <w:shd w:val="clear" w:color="auto" w:fill="auto"/>
            <w:vAlign w:val="center"/>
            <w:hideMark/>
          </w:tcPr>
          <w:p w14:paraId="3E6CFE23" w14:textId="77777777" w:rsidR="00C00371" w:rsidRPr="00630433" w:rsidRDefault="00C00371" w:rsidP="00C00371">
            <w:pPr>
              <w:rPr>
                <w:rFonts w:cs="Calibri"/>
                <w:b/>
                <w:bCs/>
                <w:color w:val="000000" w:themeColor="text1"/>
                <w:sz w:val="13"/>
                <w:szCs w:val="13"/>
              </w:rPr>
            </w:pPr>
            <w:r w:rsidRPr="00630433">
              <w:rPr>
                <w:rFonts w:cs="Calibri"/>
                <w:b/>
                <w:bCs/>
                <w:color w:val="000000" w:themeColor="text1"/>
                <w:sz w:val="13"/>
                <w:szCs w:val="13"/>
              </w:rPr>
              <w:t>Zobowiązania finansowe razem</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hideMark/>
          </w:tcPr>
          <w:p w14:paraId="765E557C" w14:textId="2F60F63C" w:rsidR="00C00371" w:rsidRPr="00630433" w:rsidRDefault="00C00371" w:rsidP="00C00371">
            <w:pPr>
              <w:jc w:val="right"/>
              <w:rPr>
                <w:rFonts w:cs="Calibri"/>
                <w:b/>
                <w:bCs/>
                <w:color w:val="000000" w:themeColor="text1"/>
                <w:sz w:val="13"/>
                <w:szCs w:val="13"/>
              </w:rPr>
            </w:pPr>
            <w:r w:rsidRPr="00630433">
              <w:rPr>
                <w:rFonts w:cs="Calibri"/>
                <w:b/>
                <w:bCs/>
                <w:color w:val="000000" w:themeColor="text1"/>
                <w:sz w:val="13"/>
                <w:szCs w:val="13"/>
              </w:rPr>
              <w:t>125 767 669</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1C026EE9" w14:textId="7F3128C0" w:rsidR="00C00371" w:rsidRPr="00630433" w:rsidRDefault="00C00371" w:rsidP="00C00371">
            <w:pPr>
              <w:jc w:val="right"/>
              <w:rPr>
                <w:rFonts w:cs="Calibri"/>
                <w:b/>
                <w:bCs/>
                <w:color w:val="000000" w:themeColor="text1"/>
                <w:sz w:val="13"/>
                <w:szCs w:val="13"/>
              </w:rPr>
            </w:pPr>
            <w:r w:rsidRPr="00630433">
              <w:rPr>
                <w:rFonts w:cs="Calibri"/>
                <w:b/>
                <w:bCs/>
                <w:color w:val="000000" w:themeColor="text1"/>
                <w:sz w:val="13"/>
                <w:szCs w:val="13"/>
              </w:rPr>
              <w:t>10 114 558</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246593AC" w14:textId="2C5A9FC9" w:rsidR="00C00371" w:rsidRPr="00630433" w:rsidRDefault="00C00371" w:rsidP="00C00371">
            <w:pPr>
              <w:jc w:val="right"/>
              <w:rPr>
                <w:rFonts w:cs="Calibri"/>
                <w:b/>
                <w:bCs/>
                <w:color w:val="000000" w:themeColor="text1"/>
                <w:sz w:val="13"/>
                <w:szCs w:val="13"/>
              </w:rPr>
            </w:pPr>
            <w:r w:rsidRPr="00630433">
              <w:rPr>
                <w:rFonts w:cs="Calibri"/>
                <w:b/>
                <w:bCs/>
                <w:color w:val="000000" w:themeColor="text1"/>
                <w:sz w:val="13"/>
                <w:szCs w:val="13"/>
              </w:rPr>
              <w:t>7 218 159</w:t>
            </w:r>
          </w:p>
        </w:tc>
        <w:tc>
          <w:tcPr>
            <w:tcW w:w="1418" w:type="dxa"/>
            <w:tcBorders>
              <w:top w:val="single" w:sz="4" w:space="0" w:color="0077BD"/>
              <w:left w:val="nil"/>
              <w:bottom w:val="single" w:sz="8" w:space="0" w:color="0077BD"/>
              <w:right w:val="nil"/>
            </w:tcBorders>
            <w:shd w:val="clear" w:color="auto" w:fill="auto"/>
            <w:noWrap/>
            <w:vAlign w:val="center"/>
            <w:hideMark/>
          </w:tcPr>
          <w:p w14:paraId="67DEFBB5" w14:textId="351E245D" w:rsidR="00C00371" w:rsidRPr="00630433" w:rsidRDefault="00C00371" w:rsidP="00C00371">
            <w:pPr>
              <w:jc w:val="right"/>
              <w:rPr>
                <w:rFonts w:cs="Calibri"/>
                <w:b/>
                <w:bCs/>
                <w:color w:val="000000" w:themeColor="text1"/>
                <w:sz w:val="13"/>
                <w:szCs w:val="13"/>
              </w:rPr>
            </w:pPr>
            <w:r w:rsidRPr="00630433">
              <w:rPr>
                <w:rFonts w:cs="Calibri"/>
                <w:b/>
                <w:bCs/>
                <w:color w:val="000000" w:themeColor="text1"/>
                <w:sz w:val="13"/>
                <w:szCs w:val="13"/>
              </w:rPr>
              <w:t>108 434 952</w:t>
            </w:r>
          </w:p>
        </w:tc>
      </w:tr>
    </w:tbl>
    <w:p w14:paraId="13A58A00" w14:textId="77777777" w:rsidR="007F7303" w:rsidRPr="0068723D" w:rsidRDefault="007F7303" w:rsidP="007F7303">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1</w:t>
      </w:r>
    </w:p>
    <w:p w14:paraId="1EF54D32" w14:textId="1CCB25C8" w:rsidR="00290F61" w:rsidRPr="0068723D" w:rsidRDefault="00290F61" w:rsidP="007F7303">
      <w:pPr>
        <w:suppressAutoHyphens/>
        <w:spacing w:before="120"/>
        <w:jc w:val="both"/>
        <w:rPr>
          <w:rFonts w:cs="Tahoma"/>
          <w:color w:val="000000" w:themeColor="text1"/>
          <w:sz w:val="18"/>
          <w:szCs w:val="18"/>
        </w:rPr>
      </w:pPr>
      <w:r w:rsidRPr="0068723D">
        <w:rPr>
          <w:rFonts w:cs="Tahoma"/>
          <w:color w:val="000000" w:themeColor="text1"/>
          <w:sz w:val="18"/>
          <w:szCs w:val="18"/>
        </w:rPr>
        <w:t>Poziom 1 aktywów finansowych obejmuje wartość skarbowych papierów wartościowych oraz obligacji EBI, których wycena polega na bezpośrednim wykorzystaniu rynkowych bieżących cen tych instrumentów pochodzących z aktywnych i płynnych rynków finansowych.</w:t>
      </w:r>
    </w:p>
    <w:p w14:paraId="50ABD5C6" w14:textId="09902F96" w:rsidR="009D74CB" w:rsidRPr="0068723D" w:rsidRDefault="00E35CA8" w:rsidP="007F7303">
      <w:pPr>
        <w:suppressAutoHyphens/>
        <w:spacing w:before="120"/>
        <w:jc w:val="both"/>
        <w:rPr>
          <w:rFonts w:cs="Tahoma"/>
          <w:color w:val="000000" w:themeColor="text1"/>
          <w:sz w:val="18"/>
          <w:szCs w:val="18"/>
        </w:rPr>
      </w:pPr>
      <w:r w:rsidRPr="0068723D">
        <w:rPr>
          <w:rFonts w:cs="Tahoma"/>
          <w:color w:val="000000" w:themeColor="text1"/>
          <w:sz w:val="18"/>
          <w:szCs w:val="18"/>
        </w:rPr>
        <w:t xml:space="preserve">W </w:t>
      </w:r>
      <w:r w:rsidR="0071235C" w:rsidRPr="0068723D">
        <w:rPr>
          <w:rFonts w:cs="Tahoma"/>
          <w:color w:val="000000" w:themeColor="text1"/>
          <w:sz w:val="18"/>
          <w:szCs w:val="18"/>
        </w:rPr>
        <w:t xml:space="preserve">poziomie 1 </w:t>
      </w:r>
      <w:r w:rsidR="00290F61" w:rsidRPr="0068723D">
        <w:rPr>
          <w:rFonts w:cs="Tahoma"/>
          <w:color w:val="000000" w:themeColor="text1"/>
          <w:sz w:val="18"/>
          <w:szCs w:val="18"/>
        </w:rPr>
        <w:t xml:space="preserve">zobowiązań </w:t>
      </w:r>
      <w:r w:rsidR="0071235C" w:rsidRPr="0068723D">
        <w:rPr>
          <w:rFonts w:cs="Tahoma"/>
          <w:color w:val="000000" w:themeColor="text1"/>
          <w:sz w:val="18"/>
          <w:szCs w:val="18"/>
        </w:rPr>
        <w:t>Grupa</w:t>
      </w:r>
      <w:r w:rsidR="007F7303" w:rsidRPr="0068723D">
        <w:rPr>
          <w:rFonts w:cs="Tahoma"/>
          <w:color w:val="000000" w:themeColor="text1"/>
          <w:sz w:val="18"/>
          <w:szCs w:val="18"/>
        </w:rPr>
        <w:t xml:space="preserve"> </w:t>
      </w:r>
      <w:r w:rsidR="0071235C" w:rsidRPr="0068723D">
        <w:rPr>
          <w:rFonts w:cs="Tahoma"/>
          <w:color w:val="000000" w:themeColor="text1"/>
          <w:sz w:val="18"/>
          <w:szCs w:val="18"/>
        </w:rPr>
        <w:t xml:space="preserve">wykazała wartość godziwą obligacji wyemitowanych przez </w:t>
      </w:r>
      <w:r w:rsidR="00156737" w:rsidRPr="0068723D">
        <w:rPr>
          <w:rFonts w:cs="Tahoma"/>
          <w:color w:val="000000" w:themeColor="text1"/>
          <w:sz w:val="18"/>
          <w:szCs w:val="18"/>
        </w:rPr>
        <w:t xml:space="preserve">Bank oraz </w:t>
      </w:r>
      <w:r w:rsidR="0071235C" w:rsidRPr="0068723D">
        <w:rPr>
          <w:rFonts w:cs="Tahoma"/>
          <w:color w:val="000000" w:themeColor="text1"/>
          <w:sz w:val="18"/>
          <w:szCs w:val="18"/>
        </w:rPr>
        <w:t xml:space="preserve">spółkę </w:t>
      </w:r>
      <w:r w:rsidR="004E1F3C" w:rsidRPr="0068723D">
        <w:rPr>
          <w:rFonts w:cs="Tahoma"/>
          <w:color w:val="000000" w:themeColor="text1"/>
          <w:sz w:val="18"/>
          <w:szCs w:val="18"/>
        </w:rPr>
        <w:t xml:space="preserve">zależną od Banku </w:t>
      </w:r>
      <w:r w:rsidR="00121851" w:rsidRPr="0068723D">
        <w:rPr>
          <w:rFonts w:cs="Tahoma"/>
          <w:color w:val="000000" w:themeColor="text1"/>
          <w:sz w:val="18"/>
          <w:szCs w:val="18"/>
        </w:rPr>
        <w:t>m</w:t>
      </w:r>
      <w:r w:rsidR="0071235C" w:rsidRPr="0068723D">
        <w:rPr>
          <w:rFonts w:cs="Tahoma"/>
          <w:color w:val="000000" w:themeColor="text1"/>
          <w:sz w:val="18"/>
          <w:szCs w:val="18"/>
        </w:rPr>
        <w:t xml:space="preserve">Finance France </w:t>
      </w:r>
      <w:r w:rsidR="004776DA" w:rsidRPr="0068723D">
        <w:rPr>
          <w:rFonts w:cs="Tahoma"/>
          <w:color w:val="000000" w:themeColor="text1"/>
          <w:sz w:val="18"/>
          <w:szCs w:val="18"/>
        </w:rPr>
        <w:t>(Nota 28</w:t>
      </w:r>
      <w:r w:rsidR="004E1F3C" w:rsidRPr="0068723D">
        <w:rPr>
          <w:rFonts w:cs="Tahoma"/>
          <w:color w:val="000000" w:themeColor="text1"/>
          <w:sz w:val="18"/>
          <w:szCs w:val="18"/>
        </w:rPr>
        <w:t>)</w:t>
      </w:r>
      <w:r w:rsidR="007F7303" w:rsidRPr="0068723D">
        <w:rPr>
          <w:rFonts w:cs="Tahoma"/>
          <w:color w:val="000000" w:themeColor="text1"/>
          <w:sz w:val="18"/>
          <w:szCs w:val="18"/>
        </w:rPr>
        <w:t>.</w:t>
      </w:r>
      <w:r w:rsidR="0071235C" w:rsidRPr="0068723D">
        <w:rPr>
          <w:rFonts w:cs="Tahoma"/>
          <w:color w:val="000000" w:themeColor="text1"/>
          <w:sz w:val="18"/>
          <w:szCs w:val="18"/>
        </w:rPr>
        <w:t xml:space="preserve"> Dla wyemitowanych dłużnych papierów wartościowych Grupa zastosowała ceny bezpośrednio z rynku dla tych papierów</w:t>
      </w:r>
      <w:r w:rsidR="008C2472" w:rsidRPr="0068723D">
        <w:rPr>
          <w:rFonts w:cs="Tahoma"/>
          <w:color w:val="000000" w:themeColor="text1"/>
          <w:sz w:val="18"/>
          <w:szCs w:val="18"/>
        </w:rPr>
        <w:t>.</w:t>
      </w:r>
    </w:p>
    <w:p w14:paraId="6A79E339" w14:textId="77777777" w:rsidR="007F7303" w:rsidRPr="0068723D" w:rsidRDefault="007F7303" w:rsidP="007F7303">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2</w:t>
      </w:r>
    </w:p>
    <w:p w14:paraId="3E1C0A44" w14:textId="0D23FE18" w:rsidR="008F034D" w:rsidRPr="0068723D" w:rsidRDefault="008F034D" w:rsidP="008F034D">
      <w:pPr>
        <w:suppressAutoHyphens/>
        <w:spacing w:before="120"/>
        <w:jc w:val="both"/>
        <w:rPr>
          <w:rFonts w:cs="Tahoma"/>
          <w:color w:val="000000" w:themeColor="text1"/>
          <w:sz w:val="18"/>
          <w:szCs w:val="18"/>
        </w:rPr>
      </w:pPr>
      <w:r w:rsidRPr="0068723D">
        <w:rPr>
          <w:rFonts w:cs="Tahoma"/>
          <w:color w:val="000000" w:themeColor="text1"/>
          <w:sz w:val="18"/>
          <w:szCs w:val="18"/>
        </w:rPr>
        <w:t xml:space="preserve">Poziom 2 obejmuje wartość godziwą kredytów długoterminowych otrzymanych od banków, wartość godziwą depozytów długoterminowych złożonych przez klientów oraz wartość godziwą kredytów otrzymanych z EBI (Nota 28). Ponadto, w poziomie 2 Grupa wykazała zobowiązania podporządkowane. </w:t>
      </w:r>
    </w:p>
    <w:p w14:paraId="54C2B1A3" w14:textId="0FD8953D" w:rsidR="008F034D" w:rsidRPr="0068723D" w:rsidRDefault="008F034D" w:rsidP="008F034D">
      <w:pPr>
        <w:suppressAutoHyphens/>
        <w:spacing w:before="120"/>
        <w:jc w:val="both"/>
        <w:rPr>
          <w:rFonts w:cs="Tahoma"/>
          <w:color w:val="000000" w:themeColor="text1"/>
          <w:sz w:val="18"/>
          <w:szCs w:val="18"/>
        </w:rPr>
      </w:pPr>
      <w:r w:rsidRPr="0068723D">
        <w:rPr>
          <w:rFonts w:cs="Tahoma"/>
          <w:color w:val="000000" w:themeColor="text1"/>
          <w:sz w:val="18"/>
          <w:szCs w:val="18"/>
        </w:rPr>
        <w:t>Wartość godziwa dla ujętych w poziomie 2 zobowiązań finansowych powyżej 1 roku opiera się na</w:t>
      </w:r>
      <w:r w:rsidR="00B034B5">
        <w:rPr>
          <w:rFonts w:cs="Tahoma"/>
          <w:color w:val="000000" w:themeColor="text1"/>
          <w:sz w:val="18"/>
          <w:szCs w:val="18"/>
        </w:rPr>
        <w:t> </w:t>
      </w:r>
      <w:r w:rsidRPr="0068723D">
        <w:rPr>
          <w:rFonts w:cs="Tahoma"/>
          <w:color w:val="000000" w:themeColor="text1"/>
          <w:sz w:val="18"/>
          <w:szCs w:val="18"/>
        </w:rPr>
        <w:t>zdyskontowanych przepływach pieniężnych przy zastosowaniu czynnika dyskontującego. W</w:t>
      </w:r>
      <w:r w:rsidR="00B034B5">
        <w:rPr>
          <w:rFonts w:cs="Tahoma"/>
          <w:color w:val="000000" w:themeColor="text1"/>
          <w:sz w:val="18"/>
          <w:szCs w:val="18"/>
        </w:rPr>
        <w:t> </w:t>
      </w:r>
      <w:r w:rsidRPr="0068723D">
        <w:rPr>
          <w:rFonts w:cs="Tahoma"/>
          <w:color w:val="000000" w:themeColor="text1"/>
          <w:sz w:val="18"/>
          <w:szCs w:val="18"/>
        </w:rPr>
        <w:t>odniesieniu do kredytów otrzymanych z Europejskiego Banku Inwestycyjnego wykorzystano krzywą rentowności EBI oraz wartość marży, jaką Bank otrzymał w ostatniej zawartej transakcji. Na tej podstawie oszacowano następnie wartość spreadu dla zobowiązań Banku zaciągniętych w EBI w stosunku do</w:t>
      </w:r>
      <w:r w:rsidR="00B034B5">
        <w:rPr>
          <w:rFonts w:cs="Tahoma"/>
          <w:color w:val="000000" w:themeColor="text1"/>
          <w:sz w:val="18"/>
          <w:szCs w:val="18"/>
        </w:rPr>
        <w:t> </w:t>
      </w:r>
      <w:r w:rsidRPr="0068723D">
        <w:rPr>
          <w:rFonts w:cs="Tahoma"/>
          <w:color w:val="000000" w:themeColor="text1"/>
          <w:sz w:val="18"/>
          <w:szCs w:val="18"/>
        </w:rPr>
        <w:t>rynkowej krzywej swap. W</w:t>
      </w:r>
      <w:r w:rsidR="00343A7A" w:rsidRPr="0068723D">
        <w:rPr>
          <w:rFonts w:cs="Tahoma"/>
          <w:color w:val="000000" w:themeColor="text1"/>
          <w:sz w:val="18"/>
          <w:szCs w:val="18"/>
        </w:rPr>
        <w:t> </w:t>
      </w:r>
      <w:r w:rsidRPr="0068723D">
        <w:rPr>
          <w:rFonts w:cs="Tahoma"/>
          <w:color w:val="000000" w:themeColor="text1"/>
          <w:sz w:val="18"/>
          <w:szCs w:val="18"/>
        </w:rPr>
        <w:t>przypadku depozytów Bank zastosow</w:t>
      </w:r>
      <w:r w:rsidR="00516298" w:rsidRPr="0068723D">
        <w:rPr>
          <w:rFonts w:cs="Tahoma"/>
          <w:color w:val="000000" w:themeColor="text1"/>
          <w:sz w:val="18"/>
          <w:szCs w:val="18"/>
        </w:rPr>
        <w:t>ał krzywą zbudowaną w oparciu o</w:t>
      </w:r>
      <w:r w:rsidR="00B034B5">
        <w:rPr>
          <w:rFonts w:cs="Tahoma"/>
          <w:color w:val="000000" w:themeColor="text1"/>
          <w:sz w:val="18"/>
          <w:szCs w:val="18"/>
        </w:rPr>
        <w:t> </w:t>
      </w:r>
      <w:r w:rsidRPr="0068723D">
        <w:rPr>
          <w:rFonts w:cs="Tahoma"/>
          <w:color w:val="000000" w:themeColor="text1"/>
          <w:sz w:val="18"/>
          <w:szCs w:val="18"/>
        </w:rPr>
        <w:t>kwotowani</w:t>
      </w:r>
      <w:r w:rsidR="00516298" w:rsidRPr="0068723D">
        <w:rPr>
          <w:rFonts w:cs="Tahoma"/>
          <w:color w:val="000000" w:themeColor="text1"/>
          <w:sz w:val="18"/>
          <w:szCs w:val="18"/>
        </w:rPr>
        <w:t xml:space="preserve">a stóp rynku międzybankowego, a </w:t>
      </w:r>
      <w:r w:rsidRPr="0068723D">
        <w:rPr>
          <w:rFonts w:cs="Tahoma"/>
          <w:color w:val="000000" w:themeColor="text1"/>
          <w:sz w:val="18"/>
          <w:szCs w:val="18"/>
        </w:rPr>
        <w:t>także kontraktów FRA i kontraktów IRS dla odpowiednich walut i terminów zapadalności. W przypadku wyceny zobowiązań podporządkowanych Bank zastosował krzywe oparte na</w:t>
      </w:r>
      <w:r w:rsidR="00BD144C">
        <w:rPr>
          <w:rFonts w:cs="Tahoma"/>
          <w:color w:val="000000" w:themeColor="text1"/>
          <w:sz w:val="18"/>
          <w:szCs w:val="18"/>
        </w:rPr>
        <w:t> </w:t>
      </w:r>
      <w:r w:rsidRPr="0068723D">
        <w:rPr>
          <w:rFonts w:cs="Tahoma"/>
          <w:color w:val="000000" w:themeColor="text1"/>
          <w:sz w:val="18"/>
          <w:szCs w:val="18"/>
        </w:rPr>
        <w:t>stawkach swapowych cross currency z uwzględnieniem pierwotnego spreadu na</w:t>
      </w:r>
      <w:r w:rsidR="00B034B5">
        <w:rPr>
          <w:rFonts w:cs="Tahoma"/>
          <w:color w:val="000000" w:themeColor="text1"/>
          <w:sz w:val="18"/>
          <w:szCs w:val="18"/>
        </w:rPr>
        <w:t> </w:t>
      </w:r>
      <w:r w:rsidRPr="0068723D">
        <w:rPr>
          <w:rFonts w:cs="Tahoma"/>
          <w:color w:val="000000" w:themeColor="text1"/>
          <w:sz w:val="18"/>
          <w:szCs w:val="18"/>
        </w:rPr>
        <w:t>zobowiązaniach podporządkowanych oraz ich terminu zapadalności.</w:t>
      </w:r>
    </w:p>
    <w:p w14:paraId="4C259960" w14:textId="77777777" w:rsidR="008F034D" w:rsidRPr="0068723D" w:rsidRDefault="008F034D" w:rsidP="008F034D">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3</w:t>
      </w:r>
    </w:p>
    <w:p w14:paraId="5979C593" w14:textId="77777777" w:rsidR="008F034D" w:rsidRPr="0068723D" w:rsidRDefault="008F034D" w:rsidP="008F034D">
      <w:pPr>
        <w:suppressAutoHyphens/>
        <w:spacing w:before="120"/>
        <w:jc w:val="both"/>
        <w:rPr>
          <w:rFonts w:cs="Tahoma"/>
          <w:color w:val="000000" w:themeColor="text1"/>
          <w:sz w:val="18"/>
          <w:szCs w:val="18"/>
        </w:rPr>
      </w:pPr>
      <w:r w:rsidRPr="0068723D">
        <w:rPr>
          <w:rFonts w:cs="Tahoma"/>
          <w:color w:val="000000" w:themeColor="text1"/>
          <w:sz w:val="18"/>
          <w:szCs w:val="18"/>
        </w:rPr>
        <w:t>Poziom 3 obejmuje:</w:t>
      </w:r>
    </w:p>
    <w:p w14:paraId="671BEAEA" w14:textId="638A7036" w:rsidR="00BF7B86" w:rsidRPr="0068723D" w:rsidRDefault="00BF7B86" w:rsidP="00526DF1">
      <w:pPr>
        <w:numPr>
          <w:ilvl w:val="0"/>
          <w:numId w:val="66"/>
        </w:numPr>
        <w:suppressAutoHyphens/>
        <w:spacing w:before="120" w:after="120"/>
        <w:ind w:left="777" w:hanging="357"/>
        <w:jc w:val="both"/>
        <w:rPr>
          <w:rFonts w:cs="Tahoma"/>
          <w:color w:val="000000" w:themeColor="text1"/>
          <w:sz w:val="18"/>
          <w:szCs w:val="18"/>
        </w:rPr>
      </w:pPr>
      <w:r w:rsidRPr="0068723D">
        <w:rPr>
          <w:rFonts w:cs="Tahoma"/>
          <w:color w:val="000000" w:themeColor="text1"/>
          <w:sz w:val="18"/>
          <w:szCs w:val="18"/>
        </w:rPr>
        <w:t>wartość godziwą należności od banków oraz kredytów i pożyczek udzielonych klientom, wyliczoną w opisany wcześniej sposób wykorzystujący notowania mediany spreadów k</w:t>
      </w:r>
      <w:r w:rsidR="009C241A">
        <w:rPr>
          <w:rFonts w:cs="Tahoma"/>
          <w:color w:val="000000" w:themeColor="text1"/>
          <w:sz w:val="18"/>
          <w:szCs w:val="18"/>
        </w:rPr>
        <w:t>redytowych dla ratingów Moody’s;</w:t>
      </w:r>
      <w:r w:rsidRPr="0068723D">
        <w:rPr>
          <w:rFonts w:cs="Tahoma"/>
          <w:color w:val="000000" w:themeColor="text1"/>
          <w:sz w:val="18"/>
          <w:szCs w:val="18"/>
        </w:rPr>
        <w:t xml:space="preserve"> </w:t>
      </w:r>
    </w:p>
    <w:p w14:paraId="350FF7A3" w14:textId="3A4F21CC" w:rsidR="00BF7B86" w:rsidRPr="0068723D" w:rsidRDefault="00BF7B86" w:rsidP="00526DF1">
      <w:pPr>
        <w:numPr>
          <w:ilvl w:val="0"/>
          <w:numId w:val="66"/>
        </w:numPr>
        <w:suppressAutoHyphens/>
        <w:spacing w:before="120"/>
        <w:contextualSpacing/>
        <w:jc w:val="both"/>
        <w:rPr>
          <w:rFonts w:cs="Tahoma"/>
          <w:color w:val="000000" w:themeColor="text1"/>
          <w:sz w:val="18"/>
          <w:szCs w:val="18"/>
        </w:rPr>
      </w:pPr>
      <w:r w:rsidRPr="0068723D">
        <w:rPr>
          <w:rFonts w:cs="Tahoma"/>
          <w:color w:val="000000" w:themeColor="text1"/>
          <w:sz w:val="18"/>
          <w:szCs w:val="18"/>
        </w:rPr>
        <w:t>wartość godziwą listów zastawnych i obligacji emitowanych przez mBank Hipoteczny. Do wyceny Grupa zastosowała technikę estymacji przepływów odsetkowych w oparciu o model krzywej swapowej oraz dyskontowania przy użyciu stopy dyskontowej skorygowanej o wartość spreadu jaki jest możliwy do uzyskania w przypadku emisji w uzależnieniu od waluty oraz zapad</w:t>
      </w:r>
      <w:r w:rsidR="009C241A">
        <w:rPr>
          <w:rFonts w:cs="Tahoma"/>
          <w:color w:val="000000" w:themeColor="text1"/>
          <w:sz w:val="18"/>
          <w:szCs w:val="18"/>
        </w:rPr>
        <w:t>alności instrumentu finansowego;</w:t>
      </w:r>
      <w:r w:rsidRPr="0068723D">
        <w:rPr>
          <w:rFonts w:cs="Tahoma"/>
          <w:color w:val="000000" w:themeColor="text1"/>
          <w:sz w:val="18"/>
          <w:szCs w:val="18"/>
        </w:rPr>
        <w:t xml:space="preserve"> </w:t>
      </w:r>
    </w:p>
    <w:p w14:paraId="409BFFE2" w14:textId="679D435D" w:rsidR="00BF7B86" w:rsidRPr="0068723D" w:rsidRDefault="00BF7B86" w:rsidP="00526DF1">
      <w:pPr>
        <w:numPr>
          <w:ilvl w:val="0"/>
          <w:numId w:val="66"/>
        </w:numPr>
        <w:suppressAutoHyphens/>
        <w:spacing w:before="120" w:after="120"/>
        <w:ind w:left="777" w:hanging="357"/>
        <w:jc w:val="both"/>
        <w:rPr>
          <w:rFonts w:cs="Tahoma"/>
          <w:color w:val="000000" w:themeColor="text1"/>
          <w:sz w:val="18"/>
          <w:szCs w:val="18"/>
        </w:rPr>
      </w:pPr>
      <w:r w:rsidRPr="0068723D">
        <w:rPr>
          <w:rFonts w:cs="Tahoma"/>
          <w:color w:val="000000" w:themeColor="text1"/>
          <w:sz w:val="18"/>
          <w:szCs w:val="18"/>
        </w:rPr>
        <w:t>zobowiązania wobec banków oraz wobec klientów o terminie wymagalności do 1 roku, dla których Grupa przyjęła, że ich wartość godziwa jest równa wartości bilansowej</w:t>
      </w:r>
      <w:r w:rsidR="009C241A">
        <w:rPr>
          <w:rFonts w:cs="Tahoma"/>
          <w:color w:val="000000" w:themeColor="text1"/>
          <w:sz w:val="18"/>
          <w:szCs w:val="18"/>
        </w:rPr>
        <w:t>;</w:t>
      </w:r>
    </w:p>
    <w:p w14:paraId="18EF8B54" w14:textId="6628ACAC" w:rsidR="008F034D" w:rsidRDefault="00BF7B86" w:rsidP="00526DF1">
      <w:pPr>
        <w:numPr>
          <w:ilvl w:val="0"/>
          <w:numId w:val="66"/>
        </w:numPr>
        <w:suppressAutoHyphens/>
        <w:spacing w:before="120" w:after="120"/>
        <w:ind w:left="777" w:hanging="357"/>
        <w:jc w:val="both"/>
        <w:rPr>
          <w:rFonts w:cs="Tahoma"/>
          <w:color w:val="000000" w:themeColor="text1"/>
          <w:sz w:val="18"/>
          <w:szCs w:val="18"/>
        </w:rPr>
      </w:pPr>
      <w:r w:rsidRPr="0068723D">
        <w:rPr>
          <w:rFonts w:cs="Tahoma"/>
          <w:color w:val="000000" w:themeColor="text1"/>
          <w:sz w:val="18"/>
          <w:szCs w:val="18"/>
        </w:rPr>
        <w:t>wartość godziwą tych zobowiązań wobec banków oraz wobec klientów o terminie wymagalności powyżej 1 roku, w przypadku których w ich wycenie posłużono się metodami wyceny wykorzystującymi przynajmniej jedną istotną daną wejściową nie bazującą na obserwowalnych danych rynkowych.</w:t>
      </w:r>
    </w:p>
    <w:p w14:paraId="41752025" w14:textId="669E03A0" w:rsidR="00745BA3" w:rsidRDefault="00745BA3">
      <w:pPr>
        <w:rPr>
          <w:rFonts w:cs="Tahoma"/>
          <w:color w:val="000000" w:themeColor="text1"/>
          <w:sz w:val="18"/>
          <w:szCs w:val="18"/>
        </w:rPr>
      </w:pPr>
      <w:r>
        <w:rPr>
          <w:rFonts w:cs="Tahoma"/>
          <w:color w:val="000000" w:themeColor="text1"/>
          <w:sz w:val="18"/>
          <w:szCs w:val="18"/>
        </w:rPr>
        <w:br w:type="page"/>
      </w:r>
    </w:p>
    <w:p w14:paraId="38C0DC53" w14:textId="77777777" w:rsidR="008F034D" w:rsidRPr="0068723D" w:rsidRDefault="008F034D" w:rsidP="008F034D">
      <w:pPr>
        <w:suppressAutoHyphens/>
        <w:spacing w:before="120" w:after="120"/>
        <w:jc w:val="both"/>
        <w:rPr>
          <w:rFonts w:cs="Tahoma"/>
          <w:b/>
          <w:color w:val="000000" w:themeColor="text1"/>
          <w:sz w:val="18"/>
          <w:szCs w:val="18"/>
          <w:u w:val="single"/>
        </w:rPr>
      </w:pPr>
      <w:r w:rsidRPr="0068723D">
        <w:rPr>
          <w:rFonts w:cs="Tahoma"/>
          <w:b/>
          <w:color w:val="000000" w:themeColor="text1"/>
          <w:sz w:val="18"/>
          <w:szCs w:val="18"/>
          <w:u w:val="single"/>
        </w:rPr>
        <w:lastRenderedPageBreak/>
        <w:t>Pozycje wyceniane księgowo do wartości godziwej</w:t>
      </w:r>
    </w:p>
    <w:p w14:paraId="59D12894" w14:textId="40D9BC4B" w:rsidR="008F034D" w:rsidRPr="0068723D" w:rsidRDefault="008F034D" w:rsidP="008F034D">
      <w:pPr>
        <w:suppressAutoHyphens/>
        <w:spacing w:before="120" w:after="120"/>
        <w:jc w:val="both"/>
        <w:rPr>
          <w:rFonts w:cs="Tahoma"/>
          <w:color w:val="000000" w:themeColor="text1"/>
          <w:sz w:val="18"/>
          <w:szCs w:val="18"/>
        </w:rPr>
      </w:pPr>
      <w:r w:rsidRPr="0068723D">
        <w:rPr>
          <w:rFonts w:cs="Tahoma"/>
          <w:color w:val="000000" w:themeColor="text1"/>
          <w:sz w:val="18"/>
          <w:szCs w:val="18"/>
        </w:rPr>
        <w:t>W tabeli poniżej przedstawiono hierarchię wartości godziwej dla aktywów i zobowiązań finansowych, które zostały wykazane w sprawozdaniu z sytuacji finansowej Grupy według wartości godziwej.</w:t>
      </w: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E32D33" w:rsidRPr="005573B4" w14:paraId="548561AB" w14:textId="77777777" w:rsidTr="00613EAA">
        <w:trPr>
          <w:trHeight w:val="340"/>
        </w:trPr>
        <w:tc>
          <w:tcPr>
            <w:tcW w:w="3912" w:type="dxa"/>
            <w:vMerge w:val="restart"/>
            <w:tcBorders>
              <w:top w:val="nil"/>
              <w:left w:val="nil"/>
              <w:bottom w:val="single" w:sz="4" w:space="0" w:color="FFFFFF"/>
              <w:right w:val="nil"/>
            </w:tcBorders>
            <w:shd w:val="clear" w:color="000000" w:fill="0077BD"/>
            <w:noWrap/>
            <w:vAlign w:val="center"/>
            <w:hideMark/>
          </w:tcPr>
          <w:p w14:paraId="368FA02B" w14:textId="7D459498" w:rsidR="00E32D33" w:rsidRPr="005573B4" w:rsidRDefault="00E32D33" w:rsidP="00E32D33">
            <w:pPr>
              <w:rPr>
                <w:b/>
                <w:bCs/>
                <w:color w:val="FFFFFF"/>
                <w:sz w:val="12"/>
                <w:szCs w:val="12"/>
              </w:rPr>
            </w:pPr>
            <w:r>
              <w:rPr>
                <w:b/>
                <w:bCs/>
                <w:color w:val="FFFFFF"/>
                <w:sz w:val="12"/>
                <w:szCs w:val="12"/>
              </w:rPr>
              <w:t>31</w:t>
            </w:r>
            <w:r w:rsidRPr="005573B4">
              <w:rPr>
                <w:b/>
                <w:bCs/>
                <w:color w:val="FFFFFF"/>
                <w:sz w:val="12"/>
                <w:szCs w:val="12"/>
              </w:rPr>
              <w:t>.</w:t>
            </w:r>
            <w:r>
              <w:rPr>
                <w:b/>
                <w:bCs/>
                <w:color w:val="FFFFFF"/>
                <w:sz w:val="12"/>
                <w:szCs w:val="12"/>
              </w:rPr>
              <w:t>12</w:t>
            </w:r>
            <w:r w:rsidRPr="005573B4">
              <w:rPr>
                <w:b/>
                <w:bCs/>
                <w:color w:val="FFFFFF"/>
                <w:sz w:val="12"/>
                <w:szCs w:val="12"/>
              </w:rPr>
              <w:t>.2019</w:t>
            </w:r>
          </w:p>
        </w:tc>
        <w:tc>
          <w:tcPr>
            <w:tcW w:w="1418" w:type="dxa"/>
            <w:vMerge w:val="restart"/>
            <w:tcBorders>
              <w:top w:val="nil"/>
              <w:left w:val="single" w:sz="8" w:space="0" w:color="FFFFFF"/>
              <w:bottom w:val="nil"/>
              <w:right w:val="single" w:sz="8" w:space="0" w:color="FFFFFF"/>
            </w:tcBorders>
            <w:shd w:val="clear" w:color="000000" w:fill="0077BD"/>
            <w:vAlign w:val="center"/>
            <w:hideMark/>
          </w:tcPr>
          <w:p w14:paraId="3F00649B" w14:textId="77777777" w:rsidR="00E32D33" w:rsidRPr="005573B4" w:rsidRDefault="00E32D33" w:rsidP="009E7EB5">
            <w:pPr>
              <w:rPr>
                <w:b/>
                <w:bCs/>
                <w:color w:val="FFFFFF"/>
                <w:sz w:val="12"/>
                <w:szCs w:val="12"/>
              </w:rPr>
            </w:pPr>
            <w:r w:rsidRPr="005573B4">
              <w:rPr>
                <w:b/>
                <w:bCs/>
                <w:color w:val="FFFFFF"/>
                <w:sz w:val="12"/>
                <w:szCs w:val="12"/>
              </w:rPr>
              <w:t>w tym:</w:t>
            </w:r>
          </w:p>
        </w:tc>
        <w:tc>
          <w:tcPr>
            <w:tcW w:w="1418" w:type="dxa"/>
            <w:tcBorders>
              <w:top w:val="nil"/>
              <w:left w:val="nil"/>
              <w:bottom w:val="single" w:sz="8" w:space="0" w:color="FFFFFF"/>
              <w:right w:val="single" w:sz="8" w:space="0" w:color="FFFFFF"/>
            </w:tcBorders>
            <w:shd w:val="clear" w:color="000000" w:fill="0077BD"/>
            <w:vAlign w:val="center"/>
            <w:hideMark/>
          </w:tcPr>
          <w:p w14:paraId="0D205B57" w14:textId="77777777" w:rsidR="00E32D33" w:rsidRPr="005573B4" w:rsidRDefault="00E32D33" w:rsidP="009E7EB5">
            <w:pPr>
              <w:jc w:val="right"/>
              <w:rPr>
                <w:b/>
                <w:bCs/>
                <w:color w:val="FFFFFF"/>
                <w:sz w:val="12"/>
                <w:szCs w:val="12"/>
              </w:rPr>
            </w:pPr>
            <w:r w:rsidRPr="005573B4">
              <w:rPr>
                <w:b/>
                <w:bCs/>
                <w:color w:val="FFFFFF"/>
                <w:sz w:val="12"/>
                <w:szCs w:val="12"/>
              </w:rPr>
              <w:t>Poziom 1</w:t>
            </w:r>
          </w:p>
        </w:tc>
        <w:tc>
          <w:tcPr>
            <w:tcW w:w="1418" w:type="dxa"/>
            <w:tcBorders>
              <w:top w:val="nil"/>
              <w:left w:val="nil"/>
              <w:bottom w:val="single" w:sz="8" w:space="0" w:color="FFFFFF"/>
              <w:right w:val="single" w:sz="8" w:space="0" w:color="FFFFFF"/>
            </w:tcBorders>
            <w:shd w:val="clear" w:color="000000" w:fill="0077BD"/>
            <w:vAlign w:val="center"/>
            <w:hideMark/>
          </w:tcPr>
          <w:p w14:paraId="2D5CC198" w14:textId="77777777" w:rsidR="00E32D33" w:rsidRPr="005573B4" w:rsidRDefault="00E32D33" w:rsidP="009E7EB5">
            <w:pPr>
              <w:jc w:val="right"/>
              <w:rPr>
                <w:b/>
                <w:bCs/>
                <w:color w:val="FFFFFF"/>
                <w:sz w:val="12"/>
                <w:szCs w:val="12"/>
              </w:rPr>
            </w:pPr>
            <w:r w:rsidRPr="005573B4">
              <w:rPr>
                <w:b/>
                <w:bCs/>
                <w:color w:val="FFFFFF"/>
                <w:sz w:val="12"/>
                <w:szCs w:val="12"/>
              </w:rPr>
              <w:t>Poziom 2</w:t>
            </w:r>
          </w:p>
        </w:tc>
        <w:tc>
          <w:tcPr>
            <w:tcW w:w="1418" w:type="dxa"/>
            <w:tcBorders>
              <w:top w:val="nil"/>
              <w:left w:val="nil"/>
              <w:bottom w:val="single" w:sz="8" w:space="0" w:color="FFFFFF"/>
              <w:right w:val="nil"/>
            </w:tcBorders>
            <w:shd w:val="clear" w:color="000000" w:fill="0077BD"/>
            <w:vAlign w:val="center"/>
            <w:hideMark/>
          </w:tcPr>
          <w:p w14:paraId="5A7BA568" w14:textId="77777777" w:rsidR="00E32D33" w:rsidRPr="005573B4" w:rsidRDefault="00E32D33" w:rsidP="009E7EB5">
            <w:pPr>
              <w:jc w:val="right"/>
              <w:rPr>
                <w:b/>
                <w:bCs/>
                <w:color w:val="FFFFFF"/>
                <w:sz w:val="12"/>
                <w:szCs w:val="12"/>
              </w:rPr>
            </w:pPr>
            <w:r w:rsidRPr="005573B4">
              <w:rPr>
                <w:b/>
                <w:bCs/>
                <w:color w:val="FFFFFF"/>
                <w:sz w:val="12"/>
                <w:szCs w:val="12"/>
              </w:rPr>
              <w:t>Poziom 3</w:t>
            </w:r>
          </w:p>
        </w:tc>
      </w:tr>
      <w:tr w:rsidR="00E32D33" w:rsidRPr="005573B4" w14:paraId="6D1B09E1" w14:textId="77777777" w:rsidTr="00613EAA">
        <w:trPr>
          <w:trHeight w:val="624"/>
        </w:trPr>
        <w:tc>
          <w:tcPr>
            <w:tcW w:w="3912" w:type="dxa"/>
            <w:vMerge/>
            <w:tcBorders>
              <w:top w:val="nil"/>
              <w:left w:val="nil"/>
              <w:bottom w:val="single" w:sz="4" w:space="0" w:color="FFFFFF"/>
              <w:right w:val="nil"/>
            </w:tcBorders>
            <w:vAlign w:val="center"/>
            <w:hideMark/>
          </w:tcPr>
          <w:p w14:paraId="1C00C3A0" w14:textId="77777777" w:rsidR="00E32D33" w:rsidRPr="005573B4" w:rsidRDefault="00E32D33" w:rsidP="009E7EB5">
            <w:pPr>
              <w:rPr>
                <w:b/>
                <w:bCs/>
                <w:color w:val="FFFFFF"/>
                <w:sz w:val="12"/>
                <w:szCs w:val="12"/>
              </w:rPr>
            </w:pPr>
          </w:p>
        </w:tc>
        <w:tc>
          <w:tcPr>
            <w:tcW w:w="1418" w:type="dxa"/>
            <w:vMerge/>
            <w:tcBorders>
              <w:top w:val="nil"/>
              <w:left w:val="single" w:sz="8" w:space="0" w:color="FFFFFF"/>
              <w:bottom w:val="nil"/>
              <w:right w:val="single" w:sz="8" w:space="0" w:color="FFFFFF"/>
            </w:tcBorders>
            <w:vAlign w:val="center"/>
            <w:hideMark/>
          </w:tcPr>
          <w:p w14:paraId="645D972E" w14:textId="77777777" w:rsidR="00E32D33" w:rsidRPr="005573B4" w:rsidRDefault="00E32D33" w:rsidP="009E7EB5">
            <w:pPr>
              <w:rPr>
                <w:b/>
                <w:bCs/>
                <w:color w:val="FFFFFF"/>
                <w:sz w:val="12"/>
                <w:szCs w:val="12"/>
              </w:rPr>
            </w:pPr>
          </w:p>
        </w:tc>
        <w:tc>
          <w:tcPr>
            <w:tcW w:w="1418" w:type="dxa"/>
            <w:tcBorders>
              <w:top w:val="nil"/>
              <w:left w:val="nil"/>
              <w:bottom w:val="nil"/>
              <w:right w:val="single" w:sz="8" w:space="0" w:color="FFFFFF"/>
            </w:tcBorders>
            <w:shd w:val="clear" w:color="000000" w:fill="0077BD"/>
            <w:vAlign w:val="center"/>
            <w:hideMark/>
          </w:tcPr>
          <w:p w14:paraId="757DB98B" w14:textId="77777777" w:rsidR="00E32D33" w:rsidRPr="005573B4" w:rsidRDefault="00E32D33" w:rsidP="009E7EB5">
            <w:pPr>
              <w:jc w:val="right"/>
              <w:rPr>
                <w:b/>
                <w:bCs/>
                <w:color w:val="FFFFFF"/>
                <w:sz w:val="12"/>
                <w:szCs w:val="12"/>
              </w:rPr>
            </w:pPr>
            <w:r w:rsidRPr="005573B4">
              <w:rPr>
                <w:b/>
                <w:bCs/>
                <w:color w:val="FFFFFF"/>
                <w:sz w:val="12"/>
                <w:szCs w:val="12"/>
              </w:rPr>
              <w:t>Ceny kwotowane na aktywnych rynkach</w:t>
            </w:r>
          </w:p>
        </w:tc>
        <w:tc>
          <w:tcPr>
            <w:tcW w:w="1418" w:type="dxa"/>
            <w:tcBorders>
              <w:top w:val="nil"/>
              <w:left w:val="nil"/>
              <w:bottom w:val="nil"/>
              <w:right w:val="single" w:sz="8" w:space="0" w:color="FFFFFF"/>
            </w:tcBorders>
            <w:shd w:val="clear" w:color="000000" w:fill="0077BD"/>
            <w:vAlign w:val="center"/>
            <w:hideMark/>
          </w:tcPr>
          <w:p w14:paraId="7343F0AB" w14:textId="77777777" w:rsidR="00E32D33" w:rsidRPr="005573B4" w:rsidRDefault="00E32D33" w:rsidP="009E7EB5">
            <w:pPr>
              <w:jc w:val="right"/>
              <w:rPr>
                <w:b/>
                <w:bCs/>
                <w:color w:val="FFFFFF"/>
                <w:sz w:val="12"/>
                <w:szCs w:val="12"/>
              </w:rPr>
            </w:pPr>
            <w:r w:rsidRPr="005573B4">
              <w:rPr>
                <w:b/>
                <w:bCs/>
                <w:color w:val="FFFFFF"/>
                <w:sz w:val="12"/>
                <w:szCs w:val="12"/>
              </w:rPr>
              <w:t>Techniki wyceny oparte na obserwowalnych danych rynkowych</w:t>
            </w:r>
          </w:p>
        </w:tc>
        <w:tc>
          <w:tcPr>
            <w:tcW w:w="1418" w:type="dxa"/>
            <w:tcBorders>
              <w:top w:val="nil"/>
              <w:left w:val="nil"/>
              <w:bottom w:val="nil"/>
              <w:right w:val="nil"/>
            </w:tcBorders>
            <w:shd w:val="clear" w:color="000000" w:fill="0077BD"/>
            <w:vAlign w:val="center"/>
            <w:hideMark/>
          </w:tcPr>
          <w:p w14:paraId="1074D4F9" w14:textId="77777777" w:rsidR="00E32D33" w:rsidRPr="005573B4" w:rsidRDefault="00E32D33" w:rsidP="009E7EB5">
            <w:pPr>
              <w:jc w:val="right"/>
              <w:rPr>
                <w:b/>
                <w:bCs/>
                <w:color w:val="FFFFFF"/>
                <w:sz w:val="12"/>
                <w:szCs w:val="12"/>
              </w:rPr>
            </w:pPr>
            <w:r w:rsidRPr="005573B4">
              <w:rPr>
                <w:b/>
                <w:bCs/>
                <w:color w:val="FFFFFF"/>
                <w:sz w:val="12"/>
                <w:szCs w:val="12"/>
              </w:rPr>
              <w:t>Inne techniki wyceny</w:t>
            </w:r>
          </w:p>
        </w:tc>
      </w:tr>
      <w:tr w:rsidR="000D2E92" w:rsidRPr="0068723D" w14:paraId="5D2F829A" w14:textId="77777777" w:rsidTr="00EE203D">
        <w:trPr>
          <w:trHeight w:val="227"/>
        </w:trPr>
        <w:tc>
          <w:tcPr>
            <w:tcW w:w="3912" w:type="dxa"/>
            <w:tcBorders>
              <w:top w:val="nil"/>
              <w:left w:val="nil"/>
              <w:bottom w:val="single" w:sz="8" w:space="0" w:color="0077BD"/>
              <w:right w:val="nil"/>
            </w:tcBorders>
            <w:shd w:val="clear" w:color="000000" w:fill="FFFFFF"/>
            <w:vAlign w:val="center"/>
            <w:hideMark/>
          </w:tcPr>
          <w:p w14:paraId="4156EA22" w14:textId="77777777" w:rsidR="00E32D33" w:rsidRPr="000A474C" w:rsidRDefault="00E32D33" w:rsidP="009E7EB5">
            <w:pPr>
              <w:rPr>
                <w:b/>
                <w:bCs/>
                <w:color w:val="000000" w:themeColor="text1"/>
                <w:sz w:val="12"/>
                <w:szCs w:val="12"/>
              </w:rPr>
            </w:pPr>
            <w:r w:rsidRPr="000A474C">
              <w:rPr>
                <w:b/>
                <w:bCs/>
                <w:color w:val="000000" w:themeColor="text1"/>
                <w:sz w:val="12"/>
                <w:szCs w:val="12"/>
              </w:rPr>
              <w:t>Powtarzalne pomiary wartości godziwej</w:t>
            </w:r>
          </w:p>
        </w:tc>
        <w:tc>
          <w:tcPr>
            <w:tcW w:w="1418" w:type="dxa"/>
            <w:tcBorders>
              <w:top w:val="nil"/>
              <w:left w:val="nil"/>
              <w:bottom w:val="single" w:sz="8" w:space="0" w:color="0077BD"/>
              <w:right w:val="nil"/>
            </w:tcBorders>
            <w:shd w:val="clear" w:color="000000" w:fill="FFFFFF"/>
            <w:noWrap/>
            <w:vAlign w:val="center"/>
          </w:tcPr>
          <w:p w14:paraId="3E60FBAF" w14:textId="48D096A3" w:rsidR="00E32D33" w:rsidRPr="000A474C" w:rsidRDefault="00E32D33" w:rsidP="009E7EB5">
            <w:pPr>
              <w:rPr>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29A4408B" w14:textId="11A6D89C" w:rsidR="00E32D33" w:rsidRPr="000A474C" w:rsidRDefault="00E32D33"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1D4CD16A" w14:textId="79356D16" w:rsidR="00E32D33" w:rsidRPr="000A474C" w:rsidRDefault="00E32D33"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270A9CD6" w14:textId="6E34C34E" w:rsidR="00E32D33" w:rsidRPr="000A474C" w:rsidRDefault="00E32D33" w:rsidP="009E7EB5">
            <w:pPr>
              <w:rPr>
                <w:b/>
                <w:bCs/>
                <w:color w:val="000000" w:themeColor="text1"/>
                <w:sz w:val="12"/>
                <w:szCs w:val="12"/>
              </w:rPr>
            </w:pPr>
          </w:p>
        </w:tc>
      </w:tr>
      <w:tr w:rsidR="000D2E92" w:rsidRPr="0068723D" w14:paraId="7F0145B0" w14:textId="77777777" w:rsidTr="00EE203D">
        <w:trPr>
          <w:trHeight w:val="227"/>
        </w:trPr>
        <w:tc>
          <w:tcPr>
            <w:tcW w:w="3912" w:type="dxa"/>
            <w:tcBorders>
              <w:top w:val="nil"/>
              <w:left w:val="nil"/>
              <w:bottom w:val="nil"/>
              <w:right w:val="nil"/>
            </w:tcBorders>
            <w:shd w:val="clear" w:color="000000" w:fill="FFFFFF"/>
            <w:vAlign w:val="center"/>
            <w:hideMark/>
          </w:tcPr>
          <w:p w14:paraId="02B22504" w14:textId="77777777" w:rsidR="00E32D33" w:rsidRPr="000A474C" w:rsidRDefault="00E32D33" w:rsidP="009E7EB5">
            <w:pPr>
              <w:rPr>
                <w:b/>
                <w:bCs/>
                <w:color w:val="000000" w:themeColor="text1"/>
                <w:sz w:val="12"/>
                <w:szCs w:val="12"/>
              </w:rPr>
            </w:pPr>
            <w:r w:rsidRPr="000A474C">
              <w:rPr>
                <w:b/>
                <w:bCs/>
                <w:color w:val="000000" w:themeColor="text1"/>
                <w:sz w:val="12"/>
                <w:szCs w:val="12"/>
              </w:rPr>
              <w:t>Aktywa finansowe</w:t>
            </w:r>
          </w:p>
        </w:tc>
        <w:tc>
          <w:tcPr>
            <w:tcW w:w="1418" w:type="dxa"/>
            <w:tcBorders>
              <w:top w:val="nil"/>
              <w:left w:val="nil"/>
              <w:bottom w:val="nil"/>
              <w:right w:val="nil"/>
            </w:tcBorders>
            <w:shd w:val="clear" w:color="000000" w:fill="FFFFFF"/>
            <w:noWrap/>
            <w:vAlign w:val="center"/>
          </w:tcPr>
          <w:p w14:paraId="0742C07B" w14:textId="42AFCB61" w:rsidR="00E32D33" w:rsidRPr="000A474C" w:rsidRDefault="00E32D33" w:rsidP="009E7EB5">
            <w:pPr>
              <w:rPr>
                <w:color w:val="000000" w:themeColor="text1"/>
                <w:sz w:val="12"/>
                <w:szCs w:val="12"/>
              </w:rPr>
            </w:pPr>
          </w:p>
        </w:tc>
        <w:tc>
          <w:tcPr>
            <w:tcW w:w="1418" w:type="dxa"/>
            <w:tcBorders>
              <w:top w:val="nil"/>
              <w:left w:val="nil"/>
              <w:bottom w:val="nil"/>
              <w:right w:val="nil"/>
            </w:tcBorders>
            <w:shd w:val="clear" w:color="000000" w:fill="FFFFFF"/>
            <w:vAlign w:val="center"/>
          </w:tcPr>
          <w:p w14:paraId="26DEE0BD" w14:textId="48CB84BB" w:rsidR="00E32D33" w:rsidRPr="000A474C" w:rsidRDefault="00E32D33" w:rsidP="009E7EB5">
            <w:pPr>
              <w:rPr>
                <w:b/>
                <w:bCs/>
                <w:color w:val="000000" w:themeColor="text1"/>
                <w:sz w:val="12"/>
                <w:szCs w:val="12"/>
              </w:rPr>
            </w:pPr>
          </w:p>
        </w:tc>
        <w:tc>
          <w:tcPr>
            <w:tcW w:w="1418" w:type="dxa"/>
            <w:tcBorders>
              <w:top w:val="nil"/>
              <w:left w:val="nil"/>
              <w:bottom w:val="nil"/>
              <w:right w:val="nil"/>
            </w:tcBorders>
            <w:shd w:val="clear" w:color="000000" w:fill="FFFFFF"/>
            <w:vAlign w:val="center"/>
          </w:tcPr>
          <w:p w14:paraId="4F608A04" w14:textId="15E68D68" w:rsidR="00E32D33" w:rsidRPr="000A474C" w:rsidRDefault="00E32D33" w:rsidP="009E7EB5">
            <w:pPr>
              <w:rPr>
                <w:b/>
                <w:bCs/>
                <w:color w:val="000000" w:themeColor="text1"/>
                <w:sz w:val="12"/>
                <w:szCs w:val="12"/>
              </w:rPr>
            </w:pPr>
          </w:p>
        </w:tc>
        <w:tc>
          <w:tcPr>
            <w:tcW w:w="1418" w:type="dxa"/>
            <w:tcBorders>
              <w:top w:val="nil"/>
              <w:left w:val="nil"/>
              <w:bottom w:val="nil"/>
              <w:right w:val="nil"/>
            </w:tcBorders>
            <w:shd w:val="clear" w:color="000000" w:fill="FFFFFF"/>
            <w:vAlign w:val="center"/>
          </w:tcPr>
          <w:p w14:paraId="459BA477" w14:textId="052FCD60" w:rsidR="00E32D33" w:rsidRPr="000A474C" w:rsidRDefault="00E32D33" w:rsidP="009E7EB5">
            <w:pPr>
              <w:rPr>
                <w:b/>
                <w:bCs/>
                <w:color w:val="000000" w:themeColor="text1"/>
                <w:sz w:val="12"/>
                <w:szCs w:val="12"/>
              </w:rPr>
            </w:pPr>
          </w:p>
        </w:tc>
      </w:tr>
      <w:tr w:rsidR="00D957C5" w:rsidRPr="0068723D" w14:paraId="15D50BE0" w14:textId="77777777" w:rsidTr="00613EAA">
        <w:trPr>
          <w:trHeight w:val="340"/>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6EDB76AF" w14:textId="77777777" w:rsidR="00D957C5" w:rsidRPr="000A474C" w:rsidRDefault="00D957C5" w:rsidP="00D957C5">
            <w:pPr>
              <w:rPr>
                <w:b/>
                <w:bCs/>
                <w:color w:val="000000" w:themeColor="text1"/>
                <w:sz w:val="12"/>
                <w:szCs w:val="12"/>
              </w:rPr>
            </w:pPr>
            <w:r w:rsidRPr="000A474C">
              <w:rPr>
                <w:b/>
                <w:bCs/>
                <w:color w:val="000000" w:themeColor="text1"/>
                <w:sz w:val="12"/>
                <w:szCs w:val="12"/>
              </w:rPr>
              <w:t>Aktywa finansowe przeznaczone do obrotu oraz instrumenty pochodne zabezpieczające</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464FA40" w14:textId="439317C5"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2 866 034</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60E171FE" w14:textId="7D03A8DE"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1 330 541</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3DF0A25" w14:textId="107257B8"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959 776</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5E95045B" w14:textId="0D9BE61E"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575 717</w:t>
            </w:r>
          </w:p>
        </w:tc>
      </w:tr>
      <w:tr w:rsidR="00D957C5" w:rsidRPr="0068723D" w14:paraId="5605A64F" w14:textId="77777777" w:rsidTr="00B969D2">
        <w:trPr>
          <w:trHeight w:val="227"/>
        </w:trPr>
        <w:tc>
          <w:tcPr>
            <w:tcW w:w="3912" w:type="dxa"/>
            <w:tcBorders>
              <w:top w:val="nil"/>
              <w:left w:val="nil"/>
              <w:bottom w:val="single" w:sz="4" w:space="0" w:color="0077BD"/>
              <w:right w:val="single" w:sz="8" w:space="0" w:color="0077BD"/>
            </w:tcBorders>
            <w:shd w:val="clear" w:color="auto" w:fill="auto"/>
            <w:vAlign w:val="center"/>
            <w:hideMark/>
          </w:tcPr>
          <w:p w14:paraId="29354AAC" w14:textId="77777777" w:rsidR="00D957C5" w:rsidRPr="000A474C" w:rsidRDefault="00D957C5" w:rsidP="00D957C5">
            <w:pPr>
              <w:rPr>
                <w:color w:val="000000" w:themeColor="text1"/>
                <w:sz w:val="12"/>
                <w:szCs w:val="12"/>
              </w:rPr>
            </w:pPr>
            <w:r w:rsidRPr="000A474C">
              <w:rPr>
                <w:color w:val="000000" w:themeColor="text1"/>
                <w:sz w:val="12"/>
                <w:szCs w:val="12"/>
              </w:rPr>
              <w:t>Kredyty i pożyczki udzielone klientom</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C7E6818" w14:textId="30D7D02F" w:rsidR="00D957C5" w:rsidRPr="000A474C" w:rsidRDefault="00D957C5" w:rsidP="00D957C5">
            <w:pPr>
              <w:jc w:val="right"/>
              <w:rPr>
                <w:color w:val="000000" w:themeColor="text1"/>
                <w:sz w:val="12"/>
                <w:szCs w:val="12"/>
              </w:rPr>
            </w:pPr>
            <w:r w:rsidRPr="000A474C">
              <w:rPr>
                <w:rFonts w:cs="Calibri"/>
                <w:color w:val="000000" w:themeColor="text1"/>
                <w:sz w:val="12"/>
                <w:szCs w:val="12"/>
              </w:rPr>
              <w:t>172 689</w:t>
            </w:r>
          </w:p>
        </w:tc>
        <w:tc>
          <w:tcPr>
            <w:tcW w:w="1418" w:type="dxa"/>
            <w:tcBorders>
              <w:top w:val="nil"/>
              <w:left w:val="nil"/>
              <w:bottom w:val="single" w:sz="4" w:space="0" w:color="0077BD"/>
              <w:right w:val="nil"/>
            </w:tcBorders>
            <w:shd w:val="clear" w:color="auto" w:fill="auto"/>
            <w:noWrap/>
            <w:vAlign w:val="center"/>
          </w:tcPr>
          <w:p w14:paraId="186C6917" w14:textId="625A7942"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tcPr>
          <w:p w14:paraId="12086150" w14:textId="43EABF2E"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tcPr>
          <w:p w14:paraId="6689F840" w14:textId="1FB51843" w:rsidR="00D957C5" w:rsidRPr="000A474C" w:rsidRDefault="00D957C5" w:rsidP="00D957C5">
            <w:pPr>
              <w:jc w:val="right"/>
              <w:rPr>
                <w:color w:val="000000" w:themeColor="text1"/>
                <w:sz w:val="12"/>
                <w:szCs w:val="12"/>
              </w:rPr>
            </w:pPr>
            <w:r w:rsidRPr="000A474C">
              <w:rPr>
                <w:rFonts w:cs="Calibri"/>
                <w:color w:val="000000" w:themeColor="text1"/>
                <w:sz w:val="12"/>
                <w:szCs w:val="12"/>
              </w:rPr>
              <w:t>172 689</w:t>
            </w:r>
          </w:p>
        </w:tc>
      </w:tr>
      <w:tr w:rsidR="00D957C5" w:rsidRPr="0068723D" w14:paraId="2052B79A" w14:textId="77777777" w:rsidTr="001B5029">
        <w:trPr>
          <w:trHeight w:val="227"/>
        </w:trPr>
        <w:tc>
          <w:tcPr>
            <w:tcW w:w="3912" w:type="dxa"/>
            <w:tcBorders>
              <w:top w:val="single" w:sz="4" w:space="0" w:color="0077BD"/>
              <w:left w:val="nil"/>
              <w:bottom w:val="single" w:sz="8" w:space="0" w:color="0077BD"/>
              <w:right w:val="single" w:sz="8" w:space="0" w:color="0077BD"/>
            </w:tcBorders>
            <w:shd w:val="clear" w:color="auto" w:fill="auto"/>
            <w:vAlign w:val="center"/>
            <w:hideMark/>
          </w:tcPr>
          <w:p w14:paraId="31CA1697" w14:textId="77777777" w:rsidR="00D957C5" w:rsidRPr="000A474C" w:rsidRDefault="00D957C5" w:rsidP="00D957C5">
            <w:pPr>
              <w:rPr>
                <w:color w:val="000000" w:themeColor="text1"/>
                <w:sz w:val="12"/>
                <w:szCs w:val="12"/>
              </w:rPr>
            </w:pPr>
            <w:r w:rsidRPr="000A474C">
              <w:rPr>
                <w:color w:val="000000" w:themeColor="text1"/>
                <w:sz w:val="12"/>
                <w:szCs w:val="12"/>
              </w:rPr>
              <w:t>Dłużne papiery wartościowe</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30D17C4B" w14:textId="62E07B9B" w:rsidR="00D957C5" w:rsidRPr="000A474C" w:rsidRDefault="00D957C5" w:rsidP="00D957C5">
            <w:pPr>
              <w:jc w:val="right"/>
              <w:rPr>
                <w:color w:val="000000" w:themeColor="text1"/>
                <w:sz w:val="12"/>
                <w:szCs w:val="12"/>
              </w:rPr>
            </w:pPr>
            <w:r w:rsidRPr="000A474C">
              <w:rPr>
                <w:rFonts w:cs="Calibri"/>
                <w:color w:val="000000" w:themeColor="text1"/>
                <w:sz w:val="12"/>
                <w:szCs w:val="12"/>
              </w:rPr>
              <w:t>1 733 569</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6F9A1020" w14:textId="58F2E730" w:rsidR="00D957C5" w:rsidRPr="000A474C" w:rsidRDefault="00D957C5" w:rsidP="00D957C5">
            <w:pPr>
              <w:jc w:val="right"/>
              <w:rPr>
                <w:color w:val="000000" w:themeColor="text1"/>
                <w:sz w:val="12"/>
                <w:szCs w:val="12"/>
              </w:rPr>
            </w:pPr>
            <w:r w:rsidRPr="000A474C">
              <w:rPr>
                <w:rFonts w:cs="Calibri"/>
                <w:color w:val="000000" w:themeColor="text1"/>
                <w:sz w:val="12"/>
                <w:szCs w:val="12"/>
              </w:rPr>
              <w:t>1 330 541</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04699563" w14:textId="799BFC45"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single" w:sz="4" w:space="0" w:color="0077BD"/>
              <w:left w:val="nil"/>
              <w:bottom w:val="single" w:sz="8" w:space="0" w:color="0077BD"/>
              <w:right w:val="nil"/>
            </w:tcBorders>
            <w:shd w:val="clear" w:color="auto" w:fill="auto"/>
            <w:noWrap/>
            <w:vAlign w:val="center"/>
          </w:tcPr>
          <w:p w14:paraId="6194B0E2" w14:textId="7029C91E" w:rsidR="00D957C5" w:rsidRPr="000A474C" w:rsidRDefault="00D957C5" w:rsidP="00D957C5">
            <w:pPr>
              <w:jc w:val="right"/>
              <w:rPr>
                <w:color w:val="000000" w:themeColor="text1"/>
                <w:sz w:val="12"/>
                <w:szCs w:val="12"/>
              </w:rPr>
            </w:pPr>
            <w:r w:rsidRPr="000A474C">
              <w:rPr>
                <w:rFonts w:cs="Calibri"/>
                <w:color w:val="000000" w:themeColor="text1"/>
                <w:sz w:val="12"/>
                <w:szCs w:val="12"/>
              </w:rPr>
              <w:t>403 028</w:t>
            </w:r>
          </w:p>
        </w:tc>
      </w:tr>
      <w:tr w:rsidR="00D957C5" w:rsidRPr="0068723D" w14:paraId="447F1F10" w14:textId="77777777" w:rsidTr="001B5029">
        <w:trPr>
          <w:trHeight w:val="227"/>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205A5F32" w14:textId="77777777" w:rsidR="00D957C5" w:rsidRPr="000A474C" w:rsidRDefault="00D957C5" w:rsidP="00D957C5">
            <w:pPr>
              <w:rPr>
                <w:color w:val="000000" w:themeColor="text1"/>
                <w:sz w:val="12"/>
                <w:szCs w:val="12"/>
              </w:rPr>
            </w:pPr>
            <w:r w:rsidRPr="000A474C">
              <w:rPr>
                <w:color w:val="000000" w:themeColor="text1"/>
                <w:sz w:val="12"/>
                <w:szCs w:val="12"/>
              </w:rPr>
              <w:t>Pochodne instrumenty finansowe, w tym: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4602C93F" w14:textId="02089AF0" w:rsidR="00D957C5" w:rsidRPr="000A474C" w:rsidRDefault="00D957C5" w:rsidP="00D957C5">
            <w:pPr>
              <w:jc w:val="right"/>
              <w:rPr>
                <w:color w:val="000000" w:themeColor="text1"/>
                <w:sz w:val="12"/>
                <w:szCs w:val="12"/>
              </w:rPr>
            </w:pPr>
            <w:r w:rsidRPr="000A474C">
              <w:rPr>
                <w:rFonts w:cs="Calibri"/>
                <w:color w:val="000000" w:themeColor="text1"/>
                <w:sz w:val="12"/>
                <w:szCs w:val="12"/>
              </w:rPr>
              <w:t>959 776</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73EF45AF" w14:textId="1F2C9DF0"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3D513593" w14:textId="0DB3D53D" w:rsidR="00D957C5" w:rsidRPr="000A474C" w:rsidRDefault="00D957C5" w:rsidP="00D957C5">
            <w:pPr>
              <w:jc w:val="right"/>
              <w:rPr>
                <w:color w:val="000000" w:themeColor="text1"/>
                <w:sz w:val="12"/>
                <w:szCs w:val="12"/>
              </w:rPr>
            </w:pPr>
            <w:r w:rsidRPr="000A474C">
              <w:rPr>
                <w:rFonts w:cs="Calibri"/>
                <w:color w:val="000000" w:themeColor="text1"/>
                <w:sz w:val="12"/>
                <w:szCs w:val="12"/>
              </w:rPr>
              <w:t>959 776</w:t>
            </w:r>
          </w:p>
        </w:tc>
        <w:tc>
          <w:tcPr>
            <w:tcW w:w="1418" w:type="dxa"/>
            <w:tcBorders>
              <w:top w:val="single" w:sz="8" w:space="0" w:color="0077BD"/>
              <w:left w:val="nil"/>
              <w:bottom w:val="single" w:sz="8" w:space="0" w:color="0077BD"/>
              <w:right w:val="nil"/>
            </w:tcBorders>
            <w:shd w:val="clear" w:color="auto" w:fill="auto"/>
            <w:noWrap/>
            <w:vAlign w:val="center"/>
          </w:tcPr>
          <w:p w14:paraId="6F810A90" w14:textId="47082F7F"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r>
      <w:tr w:rsidR="00D957C5" w:rsidRPr="0068723D" w14:paraId="3DD2B180" w14:textId="77777777" w:rsidTr="00613EAA">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5BD78041" w14:textId="74F328FE" w:rsidR="00D957C5" w:rsidRPr="000A474C" w:rsidRDefault="00D957C5" w:rsidP="00D957C5">
            <w:pPr>
              <w:ind w:left="214"/>
              <w:rPr>
                <w:color w:val="000000" w:themeColor="text1"/>
                <w:sz w:val="12"/>
                <w:szCs w:val="12"/>
              </w:rPr>
            </w:pPr>
            <w:r w:rsidRPr="000A474C">
              <w:rPr>
                <w:color w:val="000000" w:themeColor="text1"/>
                <w:sz w:val="12"/>
                <w:szCs w:val="12"/>
              </w:rPr>
              <w:t>Pochodne instrumenty finansowe przeznaczone do obrotu</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560167A" w14:textId="2012E6AB" w:rsidR="00D957C5" w:rsidRPr="000A474C" w:rsidRDefault="00D957C5" w:rsidP="00D957C5">
            <w:pPr>
              <w:jc w:val="right"/>
              <w:rPr>
                <w:color w:val="000000" w:themeColor="text1"/>
                <w:sz w:val="12"/>
                <w:szCs w:val="12"/>
              </w:rPr>
            </w:pPr>
            <w:r w:rsidRPr="000A474C">
              <w:rPr>
                <w:rFonts w:cs="Calibri"/>
                <w:color w:val="000000" w:themeColor="text1"/>
                <w:sz w:val="12"/>
                <w:szCs w:val="12"/>
              </w:rPr>
              <w:t>1 016 808</w:t>
            </w:r>
          </w:p>
        </w:tc>
        <w:tc>
          <w:tcPr>
            <w:tcW w:w="1418" w:type="dxa"/>
            <w:tcBorders>
              <w:top w:val="nil"/>
              <w:left w:val="nil"/>
              <w:bottom w:val="single" w:sz="4" w:space="0" w:color="0077BD"/>
              <w:right w:val="single" w:sz="8" w:space="0" w:color="0077BD"/>
            </w:tcBorders>
            <w:shd w:val="clear" w:color="auto" w:fill="auto"/>
            <w:noWrap/>
            <w:vAlign w:val="center"/>
          </w:tcPr>
          <w:p w14:paraId="024B307F" w14:textId="1027E532"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19903A73" w14:textId="6590760B" w:rsidR="00D957C5" w:rsidRPr="000A474C" w:rsidRDefault="00D957C5" w:rsidP="00D957C5">
            <w:pPr>
              <w:jc w:val="right"/>
              <w:rPr>
                <w:color w:val="000000" w:themeColor="text1"/>
                <w:sz w:val="12"/>
                <w:szCs w:val="12"/>
              </w:rPr>
            </w:pPr>
            <w:r w:rsidRPr="000A474C">
              <w:rPr>
                <w:rFonts w:cs="Calibri"/>
                <w:color w:val="000000" w:themeColor="text1"/>
                <w:sz w:val="12"/>
                <w:szCs w:val="12"/>
              </w:rPr>
              <w:t>1 016 808</w:t>
            </w:r>
          </w:p>
        </w:tc>
        <w:tc>
          <w:tcPr>
            <w:tcW w:w="1418" w:type="dxa"/>
            <w:tcBorders>
              <w:top w:val="nil"/>
              <w:left w:val="nil"/>
              <w:bottom w:val="single" w:sz="4" w:space="0" w:color="0077BD"/>
              <w:right w:val="nil"/>
            </w:tcBorders>
            <w:shd w:val="clear" w:color="auto" w:fill="auto"/>
            <w:noWrap/>
            <w:vAlign w:val="center"/>
          </w:tcPr>
          <w:p w14:paraId="4D1F1E1A" w14:textId="720D7DC0"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r>
      <w:tr w:rsidR="00D957C5" w:rsidRPr="0068723D" w14:paraId="44D3D58D" w14:textId="77777777" w:rsidTr="00566437">
        <w:trPr>
          <w:trHeight w:val="227"/>
        </w:trPr>
        <w:tc>
          <w:tcPr>
            <w:tcW w:w="3912" w:type="dxa"/>
            <w:tcBorders>
              <w:top w:val="single" w:sz="4" w:space="0" w:color="0077BD"/>
              <w:left w:val="nil"/>
              <w:bottom w:val="single" w:sz="4" w:space="0" w:color="0077BD"/>
              <w:right w:val="single" w:sz="8" w:space="0" w:color="0077BD"/>
            </w:tcBorders>
            <w:shd w:val="clear" w:color="auto" w:fill="auto"/>
            <w:vAlign w:val="center"/>
            <w:hideMark/>
          </w:tcPr>
          <w:p w14:paraId="56F03E1C" w14:textId="77777777" w:rsidR="00D957C5" w:rsidRPr="000A474C" w:rsidRDefault="00D957C5" w:rsidP="00D957C5">
            <w:pPr>
              <w:ind w:leftChars="133" w:left="213" w:firstLine="1"/>
              <w:rPr>
                <w:color w:val="000000" w:themeColor="text1"/>
                <w:sz w:val="12"/>
                <w:szCs w:val="12"/>
              </w:rPr>
            </w:pPr>
            <w:r w:rsidRPr="000A474C">
              <w:rPr>
                <w:color w:val="000000" w:themeColor="text1"/>
                <w:sz w:val="12"/>
                <w:szCs w:val="12"/>
              </w:rPr>
              <w:t>Pochodne instrumenty zabezpieczające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98BA45E" w14:textId="0A9E3553" w:rsidR="00D957C5" w:rsidRPr="000A474C" w:rsidRDefault="00D957C5" w:rsidP="00D957C5">
            <w:pPr>
              <w:jc w:val="right"/>
              <w:rPr>
                <w:color w:val="000000" w:themeColor="text1"/>
                <w:sz w:val="12"/>
                <w:szCs w:val="12"/>
              </w:rPr>
            </w:pPr>
            <w:r w:rsidRPr="000A474C">
              <w:rPr>
                <w:rFonts w:cs="Calibri"/>
                <w:color w:val="000000" w:themeColor="text1"/>
                <w:sz w:val="12"/>
                <w:szCs w:val="12"/>
              </w:rPr>
              <w:t>504 219</w:t>
            </w:r>
          </w:p>
        </w:tc>
        <w:tc>
          <w:tcPr>
            <w:tcW w:w="1418" w:type="dxa"/>
            <w:tcBorders>
              <w:top w:val="nil"/>
              <w:left w:val="nil"/>
              <w:bottom w:val="single" w:sz="4" w:space="0" w:color="0077BD"/>
              <w:right w:val="single" w:sz="8" w:space="0" w:color="0077BD"/>
            </w:tcBorders>
            <w:shd w:val="clear" w:color="auto" w:fill="auto"/>
            <w:noWrap/>
            <w:vAlign w:val="center"/>
          </w:tcPr>
          <w:p w14:paraId="5D2D8F13" w14:textId="72706D51"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37D6BF71" w14:textId="5E1EB728" w:rsidR="00D957C5" w:rsidRPr="000A474C" w:rsidRDefault="00D957C5" w:rsidP="00D957C5">
            <w:pPr>
              <w:jc w:val="right"/>
              <w:rPr>
                <w:color w:val="000000" w:themeColor="text1"/>
                <w:sz w:val="12"/>
                <w:szCs w:val="12"/>
              </w:rPr>
            </w:pPr>
            <w:r w:rsidRPr="000A474C">
              <w:rPr>
                <w:rFonts w:cs="Calibri"/>
                <w:color w:val="000000" w:themeColor="text1"/>
                <w:sz w:val="12"/>
                <w:szCs w:val="12"/>
              </w:rPr>
              <w:t>504 219</w:t>
            </w:r>
          </w:p>
        </w:tc>
        <w:tc>
          <w:tcPr>
            <w:tcW w:w="1418" w:type="dxa"/>
            <w:tcBorders>
              <w:top w:val="nil"/>
              <w:left w:val="nil"/>
              <w:bottom w:val="single" w:sz="4" w:space="0" w:color="0077BD"/>
              <w:right w:val="nil"/>
            </w:tcBorders>
            <w:shd w:val="clear" w:color="auto" w:fill="auto"/>
            <w:noWrap/>
            <w:vAlign w:val="center"/>
          </w:tcPr>
          <w:p w14:paraId="447B2F56" w14:textId="5B6567C0"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r>
      <w:tr w:rsidR="00D957C5" w:rsidRPr="0068723D" w14:paraId="6D6735A5" w14:textId="77777777" w:rsidTr="00566437">
        <w:trPr>
          <w:trHeight w:val="227"/>
        </w:trPr>
        <w:tc>
          <w:tcPr>
            <w:tcW w:w="3912" w:type="dxa"/>
            <w:tcBorders>
              <w:top w:val="single" w:sz="4" w:space="0" w:color="0077BD"/>
              <w:left w:val="nil"/>
              <w:bottom w:val="single" w:sz="8" w:space="0" w:color="0077BD"/>
              <w:right w:val="single" w:sz="8" w:space="0" w:color="0077BD"/>
            </w:tcBorders>
            <w:shd w:val="clear" w:color="auto" w:fill="auto"/>
            <w:vAlign w:val="center"/>
          </w:tcPr>
          <w:p w14:paraId="0DB45DDD" w14:textId="77777777" w:rsidR="00D957C5" w:rsidRPr="000A474C" w:rsidRDefault="00D957C5" w:rsidP="00D957C5">
            <w:pPr>
              <w:ind w:leftChars="133" w:left="213" w:firstLine="1"/>
              <w:rPr>
                <w:color w:val="000000" w:themeColor="text1"/>
                <w:sz w:val="12"/>
                <w:szCs w:val="12"/>
              </w:rPr>
            </w:pPr>
            <w:r w:rsidRPr="000A474C">
              <w:rPr>
                <w:color w:val="000000" w:themeColor="text1"/>
                <w:sz w:val="12"/>
                <w:szCs w:val="12"/>
              </w:rPr>
              <w:t>Efekt kompensowania</w:t>
            </w:r>
          </w:p>
        </w:tc>
        <w:tc>
          <w:tcPr>
            <w:tcW w:w="1418" w:type="dxa"/>
            <w:tcBorders>
              <w:top w:val="nil"/>
              <w:left w:val="single" w:sz="8" w:space="0" w:color="0077BD"/>
              <w:bottom w:val="nil"/>
              <w:right w:val="single" w:sz="8" w:space="0" w:color="0077BD"/>
            </w:tcBorders>
            <w:shd w:val="clear" w:color="auto" w:fill="auto"/>
            <w:noWrap/>
            <w:vAlign w:val="center"/>
          </w:tcPr>
          <w:p w14:paraId="5B81A061" w14:textId="5C4A1201" w:rsidR="00D957C5" w:rsidRPr="000A474C" w:rsidRDefault="00D957C5" w:rsidP="00D957C5">
            <w:pPr>
              <w:jc w:val="right"/>
              <w:rPr>
                <w:color w:val="000000" w:themeColor="text1"/>
                <w:sz w:val="12"/>
                <w:szCs w:val="12"/>
              </w:rPr>
            </w:pPr>
            <w:r w:rsidRPr="000A474C">
              <w:rPr>
                <w:rFonts w:cs="Calibri"/>
                <w:color w:val="000000" w:themeColor="text1"/>
                <w:sz w:val="12"/>
                <w:szCs w:val="12"/>
              </w:rPr>
              <w:t>(561 251)</w:t>
            </w:r>
          </w:p>
        </w:tc>
        <w:tc>
          <w:tcPr>
            <w:tcW w:w="1418" w:type="dxa"/>
            <w:tcBorders>
              <w:top w:val="nil"/>
              <w:left w:val="nil"/>
              <w:bottom w:val="nil"/>
              <w:right w:val="single" w:sz="8" w:space="0" w:color="0077BD"/>
            </w:tcBorders>
            <w:shd w:val="clear" w:color="auto" w:fill="auto"/>
            <w:noWrap/>
            <w:vAlign w:val="center"/>
          </w:tcPr>
          <w:p w14:paraId="16F292D1" w14:textId="20A1A7BA"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nil"/>
              <w:bottom w:val="nil"/>
              <w:right w:val="single" w:sz="8" w:space="0" w:color="0077BD"/>
            </w:tcBorders>
            <w:shd w:val="clear" w:color="auto" w:fill="auto"/>
            <w:noWrap/>
            <w:vAlign w:val="center"/>
          </w:tcPr>
          <w:p w14:paraId="72F70CC7" w14:textId="74AC4B9B" w:rsidR="00D957C5" w:rsidRPr="000A474C" w:rsidRDefault="00D957C5" w:rsidP="00D957C5">
            <w:pPr>
              <w:jc w:val="right"/>
              <w:rPr>
                <w:color w:val="000000" w:themeColor="text1"/>
                <w:sz w:val="12"/>
                <w:szCs w:val="12"/>
              </w:rPr>
            </w:pPr>
            <w:r w:rsidRPr="000A474C">
              <w:rPr>
                <w:rFonts w:cs="Calibri"/>
                <w:color w:val="000000" w:themeColor="text1"/>
                <w:sz w:val="12"/>
                <w:szCs w:val="12"/>
              </w:rPr>
              <w:t>(561 251)</w:t>
            </w:r>
          </w:p>
        </w:tc>
        <w:tc>
          <w:tcPr>
            <w:tcW w:w="1418" w:type="dxa"/>
            <w:tcBorders>
              <w:top w:val="nil"/>
              <w:left w:val="nil"/>
              <w:bottom w:val="nil"/>
              <w:right w:val="nil"/>
            </w:tcBorders>
            <w:shd w:val="clear" w:color="auto" w:fill="auto"/>
            <w:noWrap/>
            <w:vAlign w:val="center"/>
          </w:tcPr>
          <w:p w14:paraId="0AB2189F" w14:textId="10DD6CA0"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r>
      <w:tr w:rsidR="00D957C5" w:rsidRPr="0068723D" w14:paraId="37DF400B" w14:textId="77777777" w:rsidTr="00613EAA">
        <w:trPr>
          <w:trHeight w:val="510"/>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2B81E963" w14:textId="77777777" w:rsidR="00D957C5" w:rsidRPr="000A474C" w:rsidRDefault="00D957C5" w:rsidP="00D957C5">
            <w:pPr>
              <w:rPr>
                <w:b/>
                <w:bCs/>
                <w:color w:val="000000" w:themeColor="text1"/>
                <w:sz w:val="12"/>
                <w:szCs w:val="12"/>
              </w:rPr>
            </w:pPr>
            <w:r w:rsidRPr="000A474C">
              <w:rPr>
                <w:b/>
                <w:bCs/>
                <w:color w:val="000000" w:themeColor="text1"/>
                <w:sz w:val="12"/>
                <w:szCs w:val="12"/>
              </w:rPr>
              <w:t>Aktywa finansowe nieprzeznaczone do obrotu wyceniane obowiązkowo w wartości godziwej przez wynik finansowy</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31E34AEA" w14:textId="199CFE95"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2 267 922</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7BDC593" w14:textId="36DF6668"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825</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6519F0C" w14:textId="33687A2D"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44F78EF" w14:textId="4A23D462"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2 267 097</w:t>
            </w:r>
          </w:p>
        </w:tc>
      </w:tr>
      <w:tr w:rsidR="00D957C5" w:rsidRPr="0068723D" w14:paraId="4D466571" w14:textId="77777777" w:rsidTr="00B969D2">
        <w:trPr>
          <w:trHeight w:val="227"/>
        </w:trPr>
        <w:tc>
          <w:tcPr>
            <w:tcW w:w="3912" w:type="dxa"/>
            <w:tcBorders>
              <w:top w:val="nil"/>
              <w:left w:val="nil"/>
              <w:bottom w:val="single" w:sz="4" w:space="0" w:color="0077BD"/>
              <w:right w:val="single" w:sz="8" w:space="0" w:color="0077BD"/>
            </w:tcBorders>
            <w:shd w:val="clear" w:color="auto" w:fill="auto"/>
            <w:vAlign w:val="center"/>
            <w:hideMark/>
          </w:tcPr>
          <w:p w14:paraId="0AA8A9F6" w14:textId="77777777" w:rsidR="00D957C5" w:rsidRPr="000A474C" w:rsidRDefault="00D957C5" w:rsidP="00D957C5">
            <w:pPr>
              <w:rPr>
                <w:color w:val="000000" w:themeColor="text1"/>
                <w:sz w:val="12"/>
                <w:szCs w:val="12"/>
              </w:rPr>
            </w:pPr>
            <w:r w:rsidRPr="000A474C">
              <w:rPr>
                <w:color w:val="000000" w:themeColor="text1"/>
                <w:sz w:val="12"/>
                <w:szCs w:val="12"/>
              </w:rPr>
              <w:t>Kredyty i pożyczki udzielone klientom</w:t>
            </w:r>
          </w:p>
        </w:tc>
        <w:tc>
          <w:tcPr>
            <w:tcW w:w="1418" w:type="dxa"/>
            <w:tcBorders>
              <w:top w:val="nil"/>
              <w:left w:val="single" w:sz="8" w:space="0" w:color="0077BD"/>
              <w:bottom w:val="single" w:sz="4" w:space="0" w:color="0077BD"/>
              <w:right w:val="nil"/>
            </w:tcBorders>
            <w:shd w:val="clear" w:color="auto" w:fill="auto"/>
            <w:noWrap/>
            <w:vAlign w:val="center"/>
          </w:tcPr>
          <w:p w14:paraId="038CEC2E" w14:textId="5B978ABE" w:rsidR="00D957C5" w:rsidRPr="000A474C" w:rsidRDefault="00D957C5" w:rsidP="00D957C5">
            <w:pPr>
              <w:jc w:val="right"/>
              <w:rPr>
                <w:color w:val="000000" w:themeColor="text1"/>
                <w:sz w:val="12"/>
                <w:szCs w:val="12"/>
              </w:rPr>
            </w:pPr>
            <w:r w:rsidRPr="000A474C">
              <w:rPr>
                <w:rFonts w:cs="Calibri"/>
                <w:color w:val="000000" w:themeColor="text1"/>
                <w:sz w:val="12"/>
                <w:szCs w:val="12"/>
              </w:rPr>
              <w:t>1 971 532</w:t>
            </w:r>
          </w:p>
        </w:tc>
        <w:tc>
          <w:tcPr>
            <w:tcW w:w="1418" w:type="dxa"/>
            <w:tcBorders>
              <w:top w:val="nil"/>
              <w:left w:val="single" w:sz="8" w:space="0" w:color="0077BD"/>
              <w:bottom w:val="single" w:sz="4" w:space="0" w:color="0077BD"/>
              <w:right w:val="nil"/>
            </w:tcBorders>
            <w:shd w:val="clear" w:color="auto" w:fill="auto"/>
            <w:noWrap/>
            <w:vAlign w:val="center"/>
          </w:tcPr>
          <w:p w14:paraId="504D61D3" w14:textId="5FB27E60"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tcPr>
          <w:p w14:paraId="43AEAF92" w14:textId="5DA72388"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tcPr>
          <w:p w14:paraId="1F925EAA" w14:textId="700AFF81" w:rsidR="00D957C5" w:rsidRPr="000A474C" w:rsidRDefault="00D957C5" w:rsidP="00D957C5">
            <w:pPr>
              <w:jc w:val="right"/>
              <w:rPr>
                <w:color w:val="000000" w:themeColor="text1"/>
                <w:sz w:val="12"/>
                <w:szCs w:val="12"/>
              </w:rPr>
            </w:pPr>
            <w:r w:rsidRPr="000A474C">
              <w:rPr>
                <w:rFonts w:cs="Calibri"/>
                <w:color w:val="000000" w:themeColor="text1"/>
                <w:sz w:val="12"/>
                <w:szCs w:val="12"/>
              </w:rPr>
              <w:t>1 971 532</w:t>
            </w:r>
          </w:p>
        </w:tc>
      </w:tr>
      <w:tr w:rsidR="00D957C5" w:rsidRPr="0068723D" w14:paraId="3E304EB7" w14:textId="77777777" w:rsidTr="00B969D2">
        <w:trPr>
          <w:trHeight w:val="227"/>
        </w:trPr>
        <w:tc>
          <w:tcPr>
            <w:tcW w:w="3912" w:type="dxa"/>
            <w:tcBorders>
              <w:top w:val="single" w:sz="4" w:space="0" w:color="0077BD"/>
              <w:left w:val="nil"/>
              <w:bottom w:val="single" w:sz="4" w:space="0" w:color="0077BD"/>
              <w:right w:val="single" w:sz="8" w:space="0" w:color="0077BD"/>
            </w:tcBorders>
            <w:shd w:val="clear" w:color="auto" w:fill="auto"/>
            <w:vAlign w:val="center"/>
            <w:hideMark/>
          </w:tcPr>
          <w:p w14:paraId="20AE770B" w14:textId="77777777" w:rsidR="00D957C5" w:rsidRPr="000A474C" w:rsidRDefault="00D957C5" w:rsidP="00D957C5">
            <w:pPr>
              <w:rPr>
                <w:color w:val="000000" w:themeColor="text1"/>
                <w:sz w:val="12"/>
                <w:szCs w:val="12"/>
              </w:rPr>
            </w:pPr>
            <w:r w:rsidRPr="000A474C">
              <w:rPr>
                <w:color w:val="000000" w:themeColor="text1"/>
                <w:sz w:val="12"/>
                <w:szCs w:val="12"/>
              </w:rPr>
              <w:t>Dłużne papiery wartościowe</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6019B66A" w14:textId="71138020" w:rsidR="00D957C5" w:rsidRPr="000A474C" w:rsidRDefault="00D957C5" w:rsidP="00D957C5">
            <w:pPr>
              <w:jc w:val="right"/>
              <w:rPr>
                <w:color w:val="000000" w:themeColor="text1"/>
                <w:sz w:val="12"/>
                <w:szCs w:val="12"/>
              </w:rPr>
            </w:pPr>
            <w:r w:rsidRPr="000A474C">
              <w:rPr>
                <w:rFonts w:cs="Calibri"/>
                <w:color w:val="000000" w:themeColor="text1"/>
                <w:sz w:val="12"/>
                <w:szCs w:val="12"/>
              </w:rPr>
              <w:t>133 774</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5577DD0B" w14:textId="142731FB"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7267D558" w14:textId="3EB52275"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single" w:sz="4" w:space="0" w:color="0077BD"/>
              <w:left w:val="nil"/>
              <w:bottom w:val="single" w:sz="4" w:space="0" w:color="0077BD"/>
              <w:right w:val="nil"/>
            </w:tcBorders>
            <w:shd w:val="clear" w:color="auto" w:fill="auto"/>
            <w:noWrap/>
            <w:vAlign w:val="center"/>
          </w:tcPr>
          <w:p w14:paraId="147095D2" w14:textId="45F7A5CA" w:rsidR="00D957C5" w:rsidRPr="000A474C" w:rsidRDefault="00D957C5" w:rsidP="00D957C5">
            <w:pPr>
              <w:jc w:val="right"/>
              <w:rPr>
                <w:color w:val="000000" w:themeColor="text1"/>
                <w:sz w:val="12"/>
                <w:szCs w:val="12"/>
              </w:rPr>
            </w:pPr>
            <w:r w:rsidRPr="000A474C">
              <w:rPr>
                <w:rFonts w:cs="Calibri"/>
                <w:color w:val="000000" w:themeColor="text1"/>
                <w:sz w:val="12"/>
                <w:szCs w:val="12"/>
              </w:rPr>
              <w:t>133 774</w:t>
            </w:r>
          </w:p>
        </w:tc>
      </w:tr>
      <w:tr w:rsidR="00D957C5" w:rsidRPr="0068723D" w14:paraId="0ED94B68" w14:textId="77777777" w:rsidTr="00B969D2">
        <w:trPr>
          <w:trHeight w:val="227"/>
        </w:trPr>
        <w:tc>
          <w:tcPr>
            <w:tcW w:w="3912" w:type="dxa"/>
            <w:tcBorders>
              <w:top w:val="single" w:sz="4" w:space="0" w:color="0077BD"/>
              <w:left w:val="nil"/>
              <w:bottom w:val="single" w:sz="8" w:space="0" w:color="0077BD"/>
              <w:right w:val="single" w:sz="8" w:space="0" w:color="0077BD"/>
            </w:tcBorders>
            <w:shd w:val="clear" w:color="auto" w:fill="auto"/>
            <w:vAlign w:val="center"/>
            <w:hideMark/>
          </w:tcPr>
          <w:p w14:paraId="5E488983" w14:textId="77777777" w:rsidR="00D957C5" w:rsidRPr="000A474C" w:rsidRDefault="00D957C5" w:rsidP="00D957C5">
            <w:pPr>
              <w:rPr>
                <w:color w:val="000000" w:themeColor="text1"/>
                <w:sz w:val="12"/>
                <w:szCs w:val="12"/>
              </w:rPr>
            </w:pPr>
            <w:r w:rsidRPr="000A474C">
              <w:rPr>
                <w:color w:val="000000" w:themeColor="text1"/>
                <w:sz w:val="12"/>
                <w:szCs w:val="12"/>
              </w:rPr>
              <w:t>Papiery kapitałowe</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tcPr>
          <w:p w14:paraId="1FD047ED" w14:textId="086BFBAF" w:rsidR="00D957C5" w:rsidRPr="000A474C" w:rsidRDefault="00D957C5" w:rsidP="00D957C5">
            <w:pPr>
              <w:jc w:val="right"/>
              <w:rPr>
                <w:color w:val="000000" w:themeColor="text1"/>
                <w:sz w:val="12"/>
                <w:szCs w:val="12"/>
              </w:rPr>
            </w:pPr>
            <w:r w:rsidRPr="000A474C">
              <w:rPr>
                <w:rFonts w:cs="Calibri"/>
                <w:color w:val="000000" w:themeColor="text1"/>
                <w:sz w:val="12"/>
                <w:szCs w:val="12"/>
              </w:rPr>
              <w:t>162 616</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146400B4" w14:textId="31A316A8" w:rsidR="00D957C5" w:rsidRPr="000A474C" w:rsidRDefault="00D957C5" w:rsidP="00D957C5">
            <w:pPr>
              <w:jc w:val="right"/>
              <w:rPr>
                <w:color w:val="000000" w:themeColor="text1"/>
                <w:sz w:val="12"/>
                <w:szCs w:val="12"/>
              </w:rPr>
            </w:pPr>
            <w:r w:rsidRPr="000A474C">
              <w:rPr>
                <w:rFonts w:cs="Calibri"/>
                <w:color w:val="000000" w:themeColor="text1"/>
                <w:sz w:val="12"/>
                <w:szCs w:val="12"/>
              </w:rPr>
              <w:t>825</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5B7BB64E" w14:textId="58A8F9B4" w:rsidR="00D957C5" w:rsidRPr="000A474C" w:rsidRDefault="00D957C5" w:rsidP="00D957C5">
            <w:pPr>
              <w:jc w:val="right"/>
              <w:rPr>
                <w:color w:val="000000" w:themeColor="text1"/>
                <w:sz w:val="12"/>
                <w:szCs w:val="12"/>
              </w:rPr>
            </w:pPr>
            <w:r w:rsidRPr="000A474C">
              <w:rPr>
                <w:rFonts w:cs="Calibri"/>
                <w:color w:val="000000" w:themeColor="text1"/>
                <w:sz w:val="12"/>
                <w:szCs w:val="12"/>
              </w:rPr>
              <w:t>-</w:t>
            </w:r>
          </w:p>
        </w:tc>
        <w:tc>
          <w:tcPr>
            <w:tcW w:w="1418" w:type="dxa"/>
            <w:tcBorders>
              <w:top w:val="single" w:sz="4" w:space="0" w:color="0077BD"/>
              <w:left w:val="nil"/>
              <w:bottom w:val="single" w:sz="8" w:space="0" w:color="0077BD"/>
              <w:right w:val="nil"/>
            </w:tcBorders>
            <w:shd w:val="clear" w:color="auto" w:fill="auto"/>
            <w:noWrap/>
            <w:vAlign w:val="center"/>
          </w:tcPr>
          <w:p w14:paraId="340DC207" w14:textId="658063F3" w:rsidR="00D957C5" w:rsidRPr="000A474C" w:rsidRDefault="00D957C5" w:rsidP="00D957C5">
            <w:pPr>
              <w:jc w:val="right"/>
              <w:rPr>
                <w:color w:val="000000" w:themeColor="text1"/>
                <w:sz w:val="12"/>
                <w:szCs w:val="12"/>
              </w:rPr>
            </w:pPr>
            <w:r w:rsidRPr="000A474C">
              <w:rPr>
                <w:rFonts w:cs="Calibri"/>
                <w:color w:val="000000" w:themeColor="text1"/>
                <w:sz w:val="12"/>
                <w:szCs w:val="12"/>
              </w:rPr>
              <w:t>161 791</w:t>
            </w:r>
          </w:p>
        </w:tc>
      </w:tr>
      <w:tr w:rsidR="001B4241" w:rsidRPr="0068723D" w14:paraId="4994E691" w14:textId="77777777" w:rsidTr="002B2138">
        <w:trPr>
          <w:trHeight w:val="340"/>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412E857C" w14:textId="77777777" w:rsidR="001B4241" w:rsidRPr="000A474C" w:rsidRDefault="001B4241" w:rsidP="001B4241">
            <w:pPr>
              <w:rPr>
                <w:b/>
                <w:bCs/>
                <w:color w:val="000000" w:themeColor="text1"/>
                <w:sz w:val="12"/>
                <w:szCs w:val="12"/>
              </w:rPr>
            </w:pPr>
            <w:r w:rsidRPr="000A474C">
              <w:rPr>
                <w:b/>
                <w:bCs/>
                <w:color w:val="000000" w:themeColor="text1"/>
                <w:sz w:val="12"/>
                <w:szCs w:val="12"/>
              </w:rPr>
              <w:t>Aktywa finansowe wyceniane w wartości godziwej przez pozostałe całkowite dochody</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30C3C26F" w14:textId="7AF7DF8E" w:rsidR="001B4241" w:rsidRPr="000A474C" w:rsidRDefault="001B4241" w:rsidP="001B4241">
            <w:pPr>
              <w:jc w:val="right"/>
              <w:rPr>
                <w:b/>
                <w:bCs/>
                <w:color w:val="000000" w:themeColor="text1"/>
                <w:sz w:val="12"/>
                <w:szCs w:val="12"/>
              </w:rPr>
            </w:pPr>
            <w:r w:rsidRPr="000A474C">
              <w:rPr>
                <w:rFonts w:cs="Calibri"/>
                <w:b/>
                <w:bCs/>
                <w:color w:val="000000" w:themeColor="text1"/>
                <w:sz w:val="12"/>
                <w:szCs w:val="12"/>
              </w:rPr>
              <w:t>22 773 921</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106F4BD" w14:textId="782A9F47" w:rsidR="001B4241" w:rsidRPr="000A474C" w:rsidRDefault="001B4241" w:rsidP="001B4241">
            <w:pPr>
              <w:jc w:val="right"/>
              <w:rPr>
                <w:b/>
                <w:bCs/>
                <w:color w:val="000000" w:themeColor="text1"/>
                <w:sz w:val="12"/>
                <w:szCs w:val="12"/>
              </w:rPr>
            </w:pPr>
            <w:r w:rsidRPr="000A474C">
              <w:rPr>
                <w:rFonts w:cs="Calibri"/>
                <w:b/>
                <w:bCs/>
                <w:color w:val="000000" w:themeColor="text1"/>
                <w:sz w:val="12"/>
                <w:szCs w:val="12"/>
              </w:rPr>
              <w:t>18 521 925</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62E7DD63" w14:textId="64AD2F36" w:rsidR="001B4241" w:rsidRPr="000A474C" w:rsidRDefault="001B4241" w:rsidP="001B4241">
            <w:pPr>
              <w:jc w:val="right"/>
              <w:rPr>
                <w:b/>
                <w:bCs/>
                <w:color w:val="000000" w:themeColor="text1"/>
                <w:sz w:val="12"/>
                <w:szCs w:val="12"/>
              </w:rPr>
            </w:pPr>
            <w:r w:rsidRPr="000A474C">
              <w:rPr>
                <w:rFonts w:cs="Calibri"/>
                <w:b/>
                <w:bCs/>
                <w:color w:val="000000" w:themeColor="text1"/>
                <w:sz w:val="12"/>
                <w:szCs w:val="12"/>
              </w:rPr>
              <w:t>3 219 627</w:t>
            </w:r>
          </w:p>
        </w:tc>
        <w:tc>
          <w:tcPr>
            <w:tcW w:w="1418" w:type="dxa"/>
            <w:tcBorders>
              <w:top w:val="single" w:sz="8" w:space="0" w:color="0077BD"/>
              <w:left w:val="nil"/>
              <w:bottom w:val="single" w:sz="8" w:space="0" w:color="0077BD"/>
              <w:right w:val="nil"/>
            </w:tcBorders>
            <w:shd w:val="clear" w:color="auto" w:fill="auto"/>
            <w:noWrap/>
            <w:vAlign w:val="center"/>
          </w:tcPr>
          <w:p w14:paraId="7424F9ED" w14:textId="0ABEB98B" w:rsidR="001B4241" w:rsidRPr="000A474C" w:rsidRDefault="001B4241" w:rsidP="001B4241">
            <w:pPr>
              <w:jc w:val="right"/>
              <w:rPr>
                <w:b/>
                <w:bCs/>
                <w:color w:val="000000" w:themeColor="text1"/>
                <w:sz w:val="12"/>
                <w:szCs w:val="12"/>
              </w:rPr>
            </w:pPr>
            <w:r w:rsidRPr="000A474C">
              <w:rPr>
                <w:rFonts w:cs="Calibri"/>
                <w:b/>
                <w:bCs/>
                <w:color w:val="000000" w:themeColor="text1"/>
                <w:sz w:val="12"/>
                <w:szCs w:val="12"/>
              </w:rPr>
              <w:t>1 032 369</w:t>
            </w:r>
          </w:p>
        </w:tc>
      </w:tr>
      <w:tr w:rsidR="00200F32" w:rsidRPr="0068723D" w14:paraId="5D174CCC" w14:textId="77777777" w:rsidTr="002B2138">
        <w:trPr>
          <w:trHeight w:val="227"/>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705E310C" w14:textId="77777777" w:rsidR="00200F32" w:rsidRPr="000A474C" w:rsidRDefault="00200F32" w:rsidP="00200F32">
            <w:pPr>
              <w:rPr>
                <w:color w:val="000000" w:themeColor="text1"/>
                <w:sz w:val="12"/>
                <w:szCs w:val="12"/>
              </w:rPr>
            </w:pPr>
            <w:r w:rsidRPr="000A474C">
              <w:rPr>
                <w:color w:val="000000" w:themeColor="text1"/>
                <w:sz w:val="12"/>
                <w:szCs w:val="12"/>
              </w:rPr>
              <w:t>Dłużne papiery wartościowe</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88C9A89" w14:textId="70E61F6B" w:rsidR="00200F32" w:rsidRPr="000A474C" w:rsidRDefault="00200F32" w:rsidP="00200F32">
            <w:pPr>
              <w:jc w:val="right"/>
              <w:rPr>
                <w:color w:val="000000" w:themeColor="text1"/>
                <w:sz w:val="12"/>
                <w:szCs w:val="12"/>
              </w:rPr>
            </w:pPr>
            <w:r w:rsidRPr="000A474C">
              <w:rPr>
                <w:rFonts w:cs="Calibri"/>
                <w:color w:val="000000" w:themeColor="text1"/>
                <w:sz w:val="12"/>
                <w:szCs w:val="12"/>
              </w:rPr>
              <w:t>22 773 921</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511594D" w14:textId="435BA4C4" w:rsidR="00200F32" w:rsidRPr="000A474C" w:rsidRDefault="00200F32" w:rsidP="00200F32">
            <w:pPr>
              <w:jc w:val="right"/>
              <w:rPr>
                <w:color w:val="000000" w:themeColor="text1"/>
                <w:sz w:val="12"/>
                <w:szCs w:val="12"/>
              </w:rPr>
            </w:pPr>
            <w:r w:rsidRPr="000A474C">
              <w:rPr>
                <w:rFonts w:cs="Calibri"/>
                <w:color w:val="000000" w:themeColor="text1"/>
                <w:sz w:val="12"/>
                <w:szCs w:val="12"/>
              </w:rPr>
              <w:t>18 521 925</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359BCF84" w14:textId="222B4FF8" w:rsidR="00200F32" w:rsidRPr="000A474C" w:rsidRDefault="00200F32" w:rsidP="00200F32">
            <w:pPr>
              <w:jc w:val="right"/>
              <w:rPr>
                <w:color w:val="000000" w:themeColor="text1"/>
                <w:sz w:val="12"/>
                <w:szCs w:val="12"/>
              </w:rPr>
            </w:pPr>
            <w:r w:rsidRPr="000A474C">
              <w:rPr>
                <w:rFonts w:cs="Calibri"/>
                <w:color w:val="000000" w:themeColor="text1"/>
                <w:sz w:val="12"/>
                <w:szCs w:val="12"/>
              </w:rPr>
              <w:t>3 219 627</w:t>
            </w:r>
          </w:p>
        </w:tc>
        <w:tc>
          <w:tcPr>
            <w:tcW w:w="1418" w:type="dxa"/>
            <w:tcBorders>
              <w:top w:val="single" w:sz="8" w:space="0" w:color="0077BD"/>
              <w:left w:val="nil"/>
              <w:bottom w:val="single" w:sz="8" w:space="0" w:color="0077BD"/>
              <w:right w:val="nil"/>
            </w:tcBorders>
            <w:shd w:val="clear" w:color="auto" w:fill="auto"/>
            <w:noWrap/>
            <w:vAlign w:val="center"/>
          </w:tcPr>
          <w:p w14:paraId="3574CE33" w14:textId="214B03BF" w:rsidR="00200F32" w:rsidRPr="000A474C" w:rsidRDefault="00200F32" w:rsidP="00200F32">
            <w:pPr>
              <w:jc w:val="right"/>
              <w:rPr>
                <w:color w:val="000000" w:themeColor="text1"/>
                <w:sz w:val="12"/>
                <w:szCs w:val="12"/>
              </w:rPr>
            </w:pPr>
            <w:r w:rsidRPr="000A474C">
              <w:rPr>
                <w:rFonts w:cs="Calibri"/>
                <w:color w:val="000000" w:themeColor="text1"/>
                <w:sz w:val="12"/>
                <w:szCs w:val="12"/>
              </w:rPr>
              <w:t>1 032 369</w:t>
            </w:r>
          </w:p>
        </w:tc>
      </w:tr>
      <w:tr w:rsidR="00200F32" w:rsidRPr="0068723D" w14:paraId="53933FDD" w14:textId="77777777" w:rsidTr="002B2138">
        <w:trPr>
          <w:trHeight w:val="227"/>
        </w:trPr>
        <w:tc>
          <w:tcPr>
            <w:tcW w:w="3912" w:type="dxa"/>
            <w:tcBorders>
              <w:top w:val="nil"/>
              <w:left w:val="nil"/>
              <w:bottom w:val="single" w:sz="8" w:space="0" w:color="0077BD"/>
              <w:right w:val="single" w:sz="8" w:space="0" w:color="0077BD"/>
            </w:tcBorders>
            <w:shd w:val="clear" w:color="auto" w:fill="auto"/>
            <w:vAlign w:val="center"/>
            <w:hideMark/>
          </w:tcPr>
          <w:p w14:paraId="61EA18E1" w14:textId="77777777" w:rsidR="00200F32" w:rsidRPr="000A474C" w:rsidRDefault="00200F32" w:rsidP="00200F32">
            <w:pPr>
              <w:rPr>
                <w:b/>
                <w:bCs/>
                <w:color w:val="000000" w:themeColor="text1"/>
                <w:sz w:val="12"/>
                <w:szCs w:val="12"/>
              </w:rPr>
            </w:pPr>
            <w:r w:rsidRPr="000A474C">
              <w:rPr>
                <w:b/>
                <w:bCs/>
                <w:color w:val="000000" w:themeColor="text1"/>
                <w:sz w:val="12"/>
                <w:szCs w:val="12"/>
              </w:rPr>
              <w:t>Aktywa finansowe,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CC969B8" w14:textId="4E14D332" w:rsidR="00200F32" w:rsidRPr="000A474C" w:rsidRDefault="00200F32" w:rsidP="00200F32">
            <w:pPr>
              <w:jc w:val="right"/>
              <w:rPr>
                <w:b/>
                <w:bCs/>
                <w:color w:val="000000" w:themeColor="text1"/>
                <w:sz w:val="12"/>
                <w:szCs w:val="12"/>
              </w:rPr>
            </w:pPr>
            <w:r w:rsidRPr="000A474C">
              <w:rPr>
                <w:rFonts w:cs="Calibri"/>
                <w:b/>
                <w:bCs/>
                <w:color w:val="000000" w:themeColor="text1"/>
                <w:sz w:val="12"/>
                <w:szCs w:val="12"/>
              </w:rPr>
              <w:t>27 907 877</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05E9ACF6" w14:textId="625E5C92" w:rsidR="00200F32" w:rsidRPr="000A474C" w:rsidRDefault="00200F32" w:rsidP="00200F32">
            <w:pPr>
              <w:jc w:val="right"/>
              <w:rPr>
                <w:b/>
                <w:bCs/>
                <w:color w:val="000000" w:themeColor="text1"/>
                <w:sz w:val="12"/>
                <w:szCs w:val="12"/>
              </w:rPr>
            </w:pPr>
            <w:r w:rsidRPr="000A474C">
              <w:rPr>
                <w:rFonts w:cs="Calibri"/>
                <w:b/>
                <w:bCs/>
                <w:color w:val="000000" w:themeColor="text1"/>
                <w:sz w:val="12"/>
                <w:szCs w:val="12"/>
              </w:rPr>
              <w:t>19 853 291</w:t>
            </w:r>
          </w:p>
        </w:tc>
        <w:tc>
          <w:tcPr>
            <w:tcW w:w="1418" w:type="dxa"/>
            <w:tcBorders>
              <w:top w:val="nil"/>
              <w:left w:val="nil"/>
              <w:bottom w:val="single" w:sz="8" w:space="0" w:color="0077BD"/>
              <w:right w:val="single" w:sz="8" w:space="0" w:color="0077BD"/>
            </w:tcBorders>
            <w:shd w:val="clear" w:color="auto" w:fill="auto"/>
            <w:noWrap/>
            <w:vAlign w:val="center"/>
          </w:tcPr>
          <w:p w14:paraId="709D093E" w14:textId="294A8D53" w:rsidR="00200F32" w:rsidRPr="000A474C" w:rsidRDefault="00200F32" w:rsidP="00200F32">
            <w:pPr>
              <w:jc w:val="right"/>
              <w:rPr>
                <w:b/>
                <w:bCs/>
                <w:color w:val="000000" w:themeColor="text1"/>
                <w:sz w:val="12"/>
                <w:szCs w:val="12"/>
              </w:rPr>
            </w:pPr>
            <w:r w:rsidRPr="000A474C">
              <w:rPr>
                <w:rFonts w:cs="Calibri"/>
                <w:b/>
                <w:bCs/>
                <w:color w:val="000000" w:themeColor="text1"/>
                <w:sz w:val="12"/>
                <w:szCs w:val="12"/>
              </w:rPr>
              <w:t>4 179 403</w:t>
            </w:r>
          </w:p>
        </w:tc>
        <w:tc>
          <w:tcPr>
            <w:tcW w:w="1418" w:type="dxa"/>
            <w:tcBorders>
              <w:top w:val="nil"/>
              <w:left w:val="nil"/>
              <w:bottom w:val="single" w:sz="8" w:space="0" w:color="0077BD"/>
              <w:right w:val="nil"/>
            </w:tcBorders>
            <w:shd w:val="clear" w:color="auto" w:fill="auto"/>
            <w:noWrap/>
            <w:vAlign w:val="center"/>
          </w:tcPr>
          <w:p w14:paraId="53789259" w14:textId="5A9B35CF" w:rsidR="00200F32" w:rsidRPr="000A474C" w:rsidRDefault="00200F32" w:rsidP="00200F32">
            <w:pPr>
              <w:jc w:val="right"/>
              <w:rPr>
                <w:b/>
                <w:bCs/>
                <w:color w:val="000000" w:themeColor="text1"/>
                <w:sz w:val="12"/>
                <w:szCs w:val="12"/>
              </w:rPr>
            </w:pPr>
            <w:r w:rsidRPr="000A474C">
              <w:rPr>
                <w:rFonts w:cs="Calibri"/>
                <w:b/>
                <w:bCs/>
                <w:color w:val="000000" w:themeColor="text1"/>
                <w:sz w:val="12"/>
                <w:szCs w:val="12"/>
              </w:rPr>
              <w:t>3 875 183</w:t>
            </w:r>
          </w:p>
        </w:tc>
      </w:tr>
      <w:tr w:rsidR="00D957C5" w:rsidRPr="0068723D" w14:paraId="477F6227" w14:textId="77777777" w:rsidTr="00613EAA">
        <w:trPr>
          <w:trHeight w:val="227"/>
        </w:trPr>
        <w:tc>
          <w:tcPr>
            <w:tcW w:w="3912" w:type="dxa"/>
            <w:tcBorders>
              <w:top w:val="nil"/>
              <w:left w:val="nil"/>
              <w:bottom w:val="single" w:sz="8" w:space="0" w:color="0077BD"/>
              <w:right w:val="nil"/>
            </w:tcBorders>
            <w:shd w:val="clear" w:color="000000" w:fill="FFFFFF"/>
            <w:vAlign w:val="center"/>
            <w:hideMark/>
          </w:tcPr>
          <w:p w14:paraId="5305F1D4" w14:textId="77777777" w:rsidR="00D957C5" w:rsidRPr="000A474C" w:rsidRDefault="00D957C5" w:rsidP="00D957C5">
            <w:pPr>
              <w:rPr>
                <w:b/>
                <w:bCs/>
                <w:color w:val="000000" w:themeColor="text1"/>
                <w:sz w:val="12"/>
                <w:szCs w:val="12"/>
              </w:rPr>
            </w:pPr>
            <w:r w:rsidRPr="000A474C">
              <w:rPr>
                <w:b/>
                <w:bCs/>
                <w:color w:val="000000" w:themeColor="text1"/>
                <w:sz w:val="12"/>
                <w:szCs w:val="12"/>
              </w:rPr>
              <w:t>Zobowiązania finansowe</w:t>
            </w:r>
          </w:p>
        </w:tc>
        <w:tc>
          <w:tcPr>
            <w:tcW w:w="1418" w:type="dxa"/>
            <w:tcBorders>
              <w:top w:val="nil"/>
              <w:left w:val="nil"/>
              <w:bottom w:val="single" w:sz="8" w:space="0" w:color="0077BD"/>
              <w:right w:val="nil"/>
            </w:tcBorders>
            <w:shd w:val="clear" w:color="000000" w:fill="FFFFFF"/>
            <w:noWrap/>
            <w:vAlign w:val="center"/>
          </w:tcPr>
          <w:p w14:paraId="261B251D" w14:textId="77777777" w:rsidR="00D957C5" w:rsidRPr="000A474C" w:rsidRDefault="00D957C5" w:rsidP="00D957C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7A6B8DDE" w14:textId="77777777" w:rsidR="00D957C5" w:rsidRPr="000A474C" w:rsidRDefault="00D957C5" w:rsidP="00D957C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0B2E70AB" w14:textId="77777777" w:rsidR="00D957C5" w:rsidRPr="000A474C" w:rsidRDefault="00D957C5" w:rsidP="00D957C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0FA4FCB5" w14:textId="77777777" w:rsidR="00D957C5" w:rsidRPr="000A474C" w:rsidRDefault="00D957C5" w:rsidP="00D957C5">
            <w:pPr>
              <w:rPr>
                <w:b/>
                <w:bCs/>
                <w:color w:val="000000" w:themeColor="text1"/>
                <w:sz w:val="12"/>
                <w:szCs w:val="12"/>
              </w:rPr>
            </w:pPr>
          </w:p>
        </w:tc>
      </w:tr>
      <w:tr w:rsidR="00D957C5" w:rsidRPr="0068723D" w14:paraId="65E5CCB4" w14:textId="77777777" w:rsidTr="00566437">
        <w:trPr>
          <w:trHeight w:val="227"/>
        </w:trPr>
        <w:tc>
          <w:tcPr>
            <w:tcW w:w="3912" w:type="dxa"/>
            <w:tcBorders>
              <w:top w:val="nil"/>
              <w:left w:val="nil"/>
              <w:bottom w:val="single" w:sz="8" w:space="0" w:color="0077BD"/>
              <w:right w:val="single" w:sz="8" w:space="0" w:color="0077BD"/>
            </w:tcBorders>
            <w:shd w:val="clear" w:color="auto" w:fill="auto"/>
            <w:vAlign w:val="center"/>
            <w:hideMark/>
          </w:tcPr>
          <w:p w14:paraId="7CE5470F" w14:textId="77777777" w:rsidR="00D957C5" w:rsidRPr="000A474C" w:rsidRDefault="00D957C5" w:rsidP="00D957C5">
            <w:pPr>
              <w:rPr>
                <w:bCs/>
                <w:color w:val="000000" w:themeColor="text1"/>
                <w:sz w:val="12"/>
                <w:szCs w:val="12"/>
              </w:rPr>
            </w:pPr>
            <w:r w:rsidRPr="000A474C">
              <w:rPr>
                <w:color w:val="000000" w:themeColor="text1"/>
                <w:sz w:val="12"/>
                <w:szCs w:val="12"/>
              </w:rPr>
              <w:t>Pochodne instrumenty finansowe, w tym: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02E402F0" w14:textId="4AF84A81" w:rsidR="00D957C5" w:rsidRPr="000A474C" w:rsidRDefault="00D957C5" w:rsidP="00D957C5">
            <w:pPr>
              <w:jc w:val="right"/>
              <w:rPr>
                <w:bCs/>
                <w:color w:val="000000" w:themeColor="text1"/>
                <w:sz w:val="12"/>
                <w:szCs w:val="12"/>
              </w:rPr>
            </w:pPr>
            <w:r w:rsidRPr="000A474C">
              <w:rPr>
                <w:rFonts w:cs="Calibri"/>
                <w:color w:val="000000" w:themeColor="text1"/>
                <w:sz w:val="12"/>
                <w:szCs w:val="12"/>
              </w:rPr>
              <w:t>948 764</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005167AA" w14:textId="324F077D"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E029A42" w14:textId="1CDF0AF9" w:rsidR="00D957C5" w:rsidRPr="000A474C" w:rsidRDefault="00D957C5" w:rsidP="00D957C5">
            <w:pPr>
              <w:jc w:val="right"/>
              <w:rPr>
                <w:bCs/>
                <w:color w:val="000000" w:themeColor="text1"/>
                <w:sz w:val="12"/>
                <w:szCs w:val="12"/>
              </w:rPr>
            </w:pPr>
            <w:r w:rsidRPr="000A474C">
              <w:rPr>
                <w:rFonts w:cs="Calibri"/>
                <w:color w:val="000000" w:themeColor="text1"/>
                <w:sz w:val="12"/>
                <w:szCs w:val="12"/>
              </w:rPr>
              <w:t>941 240</w:t>
            </w:r>
          </w:p>
        </w:tc>
        <w:tc>
          <w:tcPr>
            <w:tcW w:w="1418" w:type="dxa"/>
            <w:tcBorders>
              <w:top w:val="single" w:sz="8" w:space="0" w:color="0077BD"/>
              <w:left w:val="nil"/>
              <w:bottom w:val="single" w:sz="8" w:space="0" w:color="0077BD"/>
              <w:right w:val="nil"/>
            </w:tcBorders>
            <w:shd w:val="clear" w:color="auto" w:fill="auto"/>
            <w:noWrap/>
            <w:vAlign w:val="center"/>
          </w:tcPr>
          <w:p w14:paraId="54E4BAF9" w14:textId="33B4ADA7" w:rsidR="00D957C5" w:rsidRPr="000A474C" w:rsidRDefault="00D957C5" w:rsidP="00D957C5">
            <w:pPr>
              <w:jc w:val="right"/>
              <w:rPr>
                <w:bCs/>
                <w:color w:val="000000" w:themeColor="text1"/>
                <w:sz w:val="12"/>
                <w:szCs w:val="12"/>
              </w:rPr>
            </w:pPr>
            <w:r w:rsidRPr="000A474C">
              <w:rPr>
                <w:rFonts w:cs="Calibri"/>
                <w:color w:val="000000" w:themeColor="text1"/>
                <w:sz w:val="12"/>
                <w:szCs w:val="12"/>
              </w:rPr>
              <w:t>7 524</w:t>
            </w:r>
          </w:p>
        </w:tc>
      </w:tr>
      <w:tr w:rsidR="00D957C5" w:rsidRPr="0068723D" w14:paraId="767C8D7E" w14:textId="77777777" w:rsidTr="00566437">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3BEB04F6" w14:textId="77777777" w:rsidR="00D957C5" w:rsidRPr="000A474C" w:rsidRDefault="00D957C5" w:rsidP="00D957C5">
            <w:pPr>
              <w:ind w:left="214"/>
              <w:rPr>
                <w:color w:val="000000" w:themeColor="text1"/>
                <w:sz w:val="12"/>
                <w:szCs w:val="12"/>
              </w:rPr>
            </w:pPr>
            <w:r w:rsidRPr="000A474C">
              <w:rPr>
                <w:color w:val="000000" w:themeColor="text1"/>
                <w:sz w:val="12"/>
                <w:szCs w:val="12"/>
              </w:rPr>
              <w:t>Pochodne instrumenty finansowe przeznaczone do obrotu</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22A169A" w14:textId="3576A62D" w:rsidR="00D957C5" w:rsidRPr="000A474C" w:rsidRDefault="00D957C5" w:rsidP="00D957C5">
            <w:pPr>
              <w:jc w:val="right"/>
              <w:rPr>
                <w:bCs/>
                <w:color w:val="000000" w:themeColor="text1"/>
                <w:sz w:val="12"/>
                <w:szCs w:val="12"/>
              </w:rPr>
            </w:pPr>
            <w:r w:rsidRPr="000A474C">
              <w:rPr>
                <w:rFonts w:cs="Calibri"/>
                <w:color w:val="000000" w:themeColor="text1"/>
                <w:sz w:val="12"/>
                <w:szCs w:val="12"/>
              </w:rPr>
              <w:t>1 061 547</w:t>
            </w:r>
          </w:p>
        </w:tc>
        <w:tc>
          <w:tcPr>
            <w:tcW w:w="1418" w:type="dxa"/>
            <w:tcBorders>
              <w:top w:val="nil"/>
              <w:left w:val="nil"/>
              <w:bottom w:val="single" w:sz="4" w:space="0" w:color="0077BD"/>
              <w:right w:val="single" w:sz="8" w:space="0" w:color="0077BD"/>
            </w:tcBorders>
            <w:shd w:val="clear" w:color="auto" w:fill="auto"/>
            <w:noWrap/>
            <w:vAlign w:val="center"/>
          </w:tcPr>
          <w:p w14:paraId="63B1E57D" w14:textId="23D1E344"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3ABDDA8E" w14:textId="46087627" w:rsidR="00D957C5" w:rsidRPr="000A474C" w:rsidRDefault="00D957C5" w:rsidP="00D957C5">
            <w:pPr>
              <w:jc w:val="right"/>
              <w:rPr>
                <w:bCs/>
                <w:color w:val="000000" w:themeColor="text1"/>
                <w:sz w:val="12"/>
                <w:szCs w:val="12"/>
              </w:rPr>
            </w:pPr>
            <w:r w:rsidRPr="000A474C">
              <w:rPr>
                <w:rFonts w:cs="Calibri"/>
                <w:color w:val="000000" w:themeColor="text1"/>
                <w:sz w:val="12"/>
                <w:szCs w:val="12"/>
              </w:rPr>
              <w:t>1 061 547</w:t>
            </w:r>
          </w:p>
        </w:tc>
        <w:tc>
          <w:tcPr>
            <w:tcW w:w="1418" w:type="dxa"/>
            <w:tcBorders>
              <w:top w:val="nil"/>
              <w:left w:val="nil"/>
              <w:bottom w:val="single" w:sz="4" w:space="0" w:color="0077BD"/>
              <w:right w:val="nil"/>
            </w:tcBorders>
            <w:shd w:val="clear" w:color="auto" w:fill="auto"/>
            <w:noWrap/>
            <w:vAlign w:val="center"/>
          </w:tcPr>
          <w:p w14:paraId="207653E0" w14:textId="4DA996D3"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r>
      <w:tr w:rsidR="00D957C5" w:rsidRPr="0068723D" w14:paraId="7BE28D40" w14:textId="77777777" w:rsidTr="00566437">
        <w:trPr>
          <w:trHeight w:val="227"/>
        </w:trPr>
        <w:tc>
          <w:tcPr>
            <w:tcW w:w="3912" w:type="dxa"/>
            <w:tcBorders>
              <w:top w:val="single" w:sz="4" w:space="0" w:color="0077BD"/>
              <w:left w:val="nil"/>
              <w:bottom w:val="single" w:sz="4" w:space="0" w:color="0077BD"/>
              <w:right w:val="single" w:sz="8" w:space="0" w:color="0077BD"/>
            </w:tcBorders>
            <w:shd w:val="clear" w:color="auto" w:fill="auto"/>
            <w:vAlign w:val="center"/>
            <w:hideMark/>
          </w:tcPr>
          <w:p w14:paraId="234D01CD" w14:textId="77777777" w:rsidR="00D957C5" w:rsidRPr="000A474C" w:rsidRDefault="00D957C5" w:rsidP="00D957C5">
            <w:pPr>
              <w:ind w:left="214"/>
              <w:rPr>
                <w:color w:val="000000" w:themeColor="text1"/>
                <w:sz w:val="12"/>
                <w:szCs w:val="12"/>
              </w:rPr>
            </w:pPr>
            <w:r w:rsidRPr="000A474C">
              <w:rPr>
                <w:color w:val="000000" w:themeColor="text1"/>
                <w:sz w:val="12"/>
                <w:szCs w:val="12"/>
              </w:rPr>
              <w:t>Pochodne instrumenty zabezpieczające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C4AE605" w14:textId="7E0C02A0" w:rsidR="00D957C5" w:rsidRPr="000A474C" w:rsidRDefault="00D957C5" w:rsidP="00D957C5">
            <w:pPr>
              <w:jc w:val="right"/>
              <w:rPr>
                <w:bCs/>
                <w:color w:val="000000" w:themeColor="text1"/>
                <w:sz w:val="12"/>
                <w:szCs w:val="12"/>
              </w:rPr>
            </w:pPr>
            <w:r w:rsidRPr="000A474C">
              <w:rPr>
                <w:rFonts w:cs="Calibri"/>
                <w:color w:val="000000" w:themeColor="text1"/>
                <w:sz w:val="12"/>
                <w:szCs w:val="12"/>
              </w:rPr>
              <w:t>19 411</w:t>
            </w:r>
          </w:p>
        </w:tc>
        <w:tc>
          <w:tcPr>
            <w:tcW w:w="1418" w:type="dxa"/>
            <w:tcBorders>
              <w:top w:val="nil"/>
              <w:left w:val="nil"/>
              <w:bottom w:val="single" w:sz="4" w:space="0" w:color="0077BD"/>
              <w:right w:val="single" w:sz="8" w:space="0" w:color="0077BD"/>
            </w:tcBorders>
            <w:shd w:val="clear" w:color="auto" w:fill="auto"/>
            <w:noWrap/>
            <w:vAlign w:val="center"/>
          </w:tcPr>
          <w:p w14:paraId="406731C5" w14:textId="2DCDBC7F"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51ED383E" w14:textId="48C51E17" w:rsidR="00D957C5" w:rsidRPr="000A474C" w:rsidRDefault="00D957C5" w:rsidP="00D957C5">
            <w:pPr>
              <w:jc w:val="right"/>
              <w:rPr>
                <w:bCs/>
                <w:color w:val="000000" w:themeColor="text1"/>
                <w:sz w:val="12"/>
                <w:szCs w:val="12"/>
              </w:rPr>
            </w:pPr>
            <w:r w:rsidRPr="000A474C">
              <w:rPr>
                <w:rFonts w:cs="Calibri"/>
                <w:color w:val="000000" w:themeColor="text1"/>
                <w:sz w:val="12"/>
                <w:szCs w:val="12"/>
              </w:rPr>
              <w:t>11 887</w:t>
            </w:r>
          </w:p>
        </w:tc>
        <w:tc>
          <w:tcPr>
            <w:tcW w:w="1418" w:type="dxa"/>
            <w:tcBorders>
              <w:top w:val="nil"/>
              <w:left w:val="nil"/>
              <w:bottom w:val="single" w:sz="4" w:space="0" w:color="0077BD"/>
              <w:right w:val="nil"/>
            </w:tcBorders>
            <w:shd w:val="clear" w:color="auto" w:fill="auto"/>
            <w:noWrap/>
            <w:vAlign w:val="center"/>
          </w:tcPr>
          <w:p w14:paraId="14938F06" w14:textId="4D203CE9" w:rsidR="00D957C5" w:rsidRPr="000A474C" w:rsidRDefault="00D957C5" w:rsidP="00D957C5">
            <w:pPr>
              <w:jc w:val="right"/>
              <w:rPr>
                <w:bCs/>
                <w:color w:val="000000" w:themeColor="text1"/>
                <w:sz w:val="12"/>
                <w:szCs w:val="12"/>
              </w:rPr>
            </w:pPr>
            <w:r w:rsidRPr="000A474C">
              <w:rPr>
                <w:rFonts w:cs="Calibri"/>
                <w:color w:val="000000" w:themeColor="text1"/>
                <w:sz w:val="12"/>
                <w:szCs w:val="12"/>
              </w:rPr>
              <w:t>7 524</w:t>
            </w:r>
          </w:p>
        </w:tc>
      </w:tr>
      <w:tr w:rsidR="00D957C5" w:rsidRPr="0068723D" w14:paraId="306AF4A0" w14:textId="77777777" w:rsidTr="00566437">
        <w:trPr>
          <w:trHeight w:val="227"/>
        </w:trPr>
        <w:tc>
          <w:tcPr>
            <w:tcW w:w="3912" w:type="dxa"/>
            <w:tcBorders>
              <w:top w:val="single" w:sz="4" w:space="0" w:color="0077BD"/>
              <w:left w:val="nil"/>
              <w:bottom w:val="single" w:sz="8" w:space="0" w:color="0077BD"/>
              <w:right w:val="single" w:sz="8" w:space="0" w:color="0077BD"/>
            </w:tcBorders>
            <w:shd w:val="clear" w:color="auto" w:fill="auto"/>
            <w:vAlign w:val="center"/>
          </w:tcPr>
          <w:p w14:paraId="3D51D9AB" w14:textId="77777777" w:rsidR="00D957C5" w:rsidRPr="000A474C" w:rsidRDefault="00D957C5" w:rsidP="00D957C5">
            <w:pPr>
              <w:ind w:left="214"/>
              <w:rPr>
                <w:color w:val="000000" w:themeColor="text1"/>
                <w:sz w:val="12"/>
                <w:szCs w:val="12"/>
              </w:rPr>
            </w:pPr>
            <w:r w:rsidRPr="000A474C">
              <w:rPr>
                <w:color w:val="000000" w:themeColor="text1"/>
                <w:sz w:val="12"/>
                <w:szCs w:val="12"/>
              </w:rPr>
              <w:t>Efekt kompensowania</w:t>
            </w:r>
          </w:p>
        </w:tc>
        <w:tc>
          <w:tcPr>
            <w:tcW w:w="1418" w:type="dxa"/>
            <w:tcBorders>
              <w:top w:val="nil"/>
              <w:left w:val="single" w:sz="8" w:space="0" w:color="0077BD"/>
              <w:bottom w:val="nil"/>
              <w:right w:val="single" w:sz="8" w:space="0" w:color="0077BD"/>
            </w:tcBorders>
            <w:shd w:val="clear" w:color="auto" w:fill="auto"/>
            <w:noWrap/>
            <w:vAlign w:val="center"/>
          </w:tcPr>
          <w:p w14:paraId="0818540F" w14:textId="68CD8757" w:rsidR="00D957C5" w:rsidRPr="000A474C" w:rsidRDefault="00D957C5" w:rsidP="00D957C5">
            <w:pPr>
              <w:jc w:val="right"/>
              <w:rPr>
                <w:bCs/>
                <w:color w:val="000000" w:themeColor="text1"/>
                <w:sz w:val="12"/>
                <w:szCs w:val="12"/>
              </w:rPr>
            </w:pPr>
            <w:r w:rsidRPr="000A474C">
              <w:rPr>
                <w:rFonts w:cs="Calibri"/>
                <w:color w:val="000000" w:themeColor="text1"/>
                <w:sz w:val="12"/>
                <w:szCs w:val="12"/>
              </w:rPr>
              <w:t>(132 194)</w:t>
            </w:r>
          </w:p>
        </w:tc>
        <w:tc>
          <w:tcPr>
            <w:tcW w:w="1418" w:type="dxa"/>
            <w:tcBorders>
              <w:top w:val="nil"/>
              <w:left w:val="nil"/>
              <w:bottom w:val="nil"/>
              <w:right w:val="single" w:sz="8" w:space="0" w:color="0077BD"/>
            </w:tcBorders>
            <w:shd w:val="clear" w:color="auto" w:fill="auto"/>
            <w:noWrap/>
            <w:vAlign w:val="center"/>
          </w:tcPr>
          <w:p w14:paraId="285D7C3F" w14:textId="2FCE067F"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c>
          <w:tcPr>
            <w:tcW w:w="1418" w:type="dxa"/>
            <w:tcBorders>
              <w:top w:val="nil"/>
              <w:left w:val="nil"/>
              <w:bottom w:val="nil"/>
              <w:right w:val="single" w:sz="8" w:space="0" w:color="0077BD"/>
            </w:tcBorders>
            <w:shd w:val="clear" w:color="auto" w:fill="auto"/>
            <w:noWrap/>
            <w:vAlign w:val="center"/>
          </w:tcPr>
          <w:p w14:paraId="25744A97" w14:textId="0DDC1393" w:rsidR="00D957C5" w:rsidRPr="000A474C" w:rsidRDefault="00D957C5" w:rsidP="00D957C5">
            <w:pPr>
              <w:jc w:val="right"/>
              <w:rPr>
                <w:bCs/>
                <w:color w:val="000000" w:themeColor="text1"/>
                <w:sz w:val="12"/>
                <w:szCs w:val="12"/>
              </w:rPr>
            </w:pPr>
            <w:r w:rsidRPr="000A474C">
              <w:rPr>
                <w:rFonts w:cs="Calibri"/>
                <w:color w:val="000000" w:themeColor="text1"/>
                <w:sz w:val="12"/>
                <w:szCs w:val="12"/>
              </w:rPr>
              <w:t>(132 194)</w:t>
            </w:r>
          </w:p>
        </w:tc>
        <w:tc>
          <w:tcPr>
            <w:tcW w:w="1418" w:type="dxa"/>
            <w:tcBorders>
              <w:top w:val="nil"/>
              <w:left w:val="nil"/>
              <w:bottom w:val="nil"/>
              <w:right w:val="nil"/>
            </w:tcBorders>
            <w:shd w:val="clear" w:color="auto" w:fill="auto"/>
            <w:noWrap/>
            <w:vAlign w:val="center"/>
          </w:tcPr>
          <w:p w14:paraId="795E4431" w14:textId="4EE7B549" w:rsidR="00D957C5" w:rsidRPr="000A474C" w:rsidRDefault="00D957C5" w:rsidP="00D957C5">
            <w:pPr>
              <w:jc w:val="right"/>
              <w:rPr>
                <w:bCs/>
                <w:color w:val="000000" w:themeColor="text1"/>
                <w:sz w:val="12"/>
                <w:szCs w:val="12"/>
              </w:rPr>
            </w:pPr>
            <w:r w:rsidRPr="000A474C">
              <w:rPr>
                <w:rFonts w:cs="Calibri"/>
                <w:color w:val="000000" w:themeColor="text1"/>
                <w:sz w:val="12"/>
                <w:szCs w:val="12"/>
              </w:rPr>
              <w:t>-</w:t>
            </w:r>
          </w:p>
        </w:tc>
      </w:tr>
      <w:tr w:rsidR="00D957C5" w:rsidRPr="0068723D" w14:paraId="1DEF80F4" w14:textId="77777777" w:rsidTr="00566437">
        <w:trPr>
          <w:trHeight w:val="227"/>
        </w:trPr>
        <w:tc>
          <w:tcPr>
            <w:tcW w:w="3912" w:type="dxa"/>
            <w:tcBorders>
              <w:top w:val="single" w:sz="8" w:space="0" w:color="0077BD"/>
              <w:left w:val="nil"/>
              <w:bottom w:val="single" w:sz="8" w:space="0" w:color="0077BD"/>
              <w:right w:val="single" w:sz="8" w:space="0" w:color="0077BD"/>
            </w:tcBorders>
            <w:shd w:val="clear" w:color="auto" w:fill="auto"/>
            <w:vAlign w:val="center"/>
            <w:hideMark/>
          </w:tcPr>
          <w:p w14:paraId="12377C76" w14:textId="77777777" w:rsidR="00D957C5" w:rsidRPr="000A474C" w:rsidRDefault="00D957C5" w:rsidP="00D957C5">
            <w:pPr>
              <w:rPr>
                <w:b/>
                <w:bCs/>
                <w:color w:val="000000" w:themeColor="text1"/>
                <w:sz w:val="12"/>
                <w:szCs w:val="12"/>
              </w:rPr>
            </w:pPr>
            <w:r w:rsidRPr="000A474C">
              <w:rPr>
                <w:b/>
                <w:bCs/>
                <w:color w:val="000000" w:themeColor="text1"/>
                <w:sz w:val="12"/>
                <w:szCs w:val="12"/>
              </w:rPr>
              <w:t>Zobowiązania finansowe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5AE88A4" w14:textId="2A2284EB"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948 764</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3BCEA3F" w14:textId="0951E538"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17357AA" w14:textId="25D35183"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941 240</w:t>
            </w:r>
          </w:p>
        </w:tc>
        <w:tc>
          <w:tcPr>
            <w:tcW w:w="1418" w:type="dxa"/>
            <w:tcBorders>
              <w:top w:val="single" w:sz="8" w:space="0" w:color="0077BD"/>
              <w:left w:val="nil"/>
              <w:bottom w:val="single" w:sz="8" w:space="0" w:color="0077BD"/>
              <w:right w:val="nil"/>
            </w:tcBorders>
            <w:shd w:val="clear" w:color="auto" w:fill="auto"/>
            <w:noWrap/>
            <w:vAlign w:val="center"/>
          </w:tcPr>
          <w:p w14:paraId="00F6FA5D" w14:textId="36EAE2F6" w:rsidR="00D957C5" w:rsidRPr="000A474C" w:rsidRDefault="00D957C5" w:rsidP="00D957C5">
            <w:pPr>
              <w:jc w:val="right"/>
              <w:rPr>
                <w:b/>
                <w:bCs/>
                <w:color w:val="000000" w:themeColor="text1"/>
                <w:sz w:val="12"/>
                <w:szCs w:val="12"/>
              </w:rPr>
            </w:pPr>
            <w:r w:rsidRPr="000A474C">
              <w:rPr>
                <w:rFonts w:cs="Calibri"/>
                <w:b/>
                <w:bCs/>
                <w:color w:val="000000" w:themeColor="text1"/>
                <w:sz w:val="12"/>
                <w:szCs w:val="12"/>
              </w:rPr>
              <w:t>7 524</w:t>
            </w:r>
          </w:p>
        </w:tc>
      </w:tr>
    </w:tbl>
    <w:p w14:paraId="0940CED1" w14:textId="77777777" w:rsidR="00E32D33" w:rsidRPr="005B06EC" w:rsidRDefault="00E32D33" w:rsidP="00AC1CB6">
      <w:pPr>
        <w:suppressAutoHyphens/>
        <w:jc w:val="both"/>
        <w:rPr>
          <w:rFonts w:cs="Tahoma"/>
          <w:sz w:val="12"/>
          <w:szCs w:val="12"/>
        </w:rPr>
      </w:pPr>
    </w:p>
    <w:tbl>
      <w:tblPr>
        <w:tblW w:w="9639" w:type="dxa"/>
        <w:tblLayout w:type="fixed"/>
        <w:tblCellMar>
          <w:left w:w="57" w:type="dxa"/>
          <w:right w:w="57" w:type="dxa"/>
        </w:tblCellMar>
        <w:tblLook w:val="04A0" w:firstRow="1" w:lastRow="0" w:firstColumn="1" w:lastColumn="0" w:noHBand="0" w:noVBand="1"/>
      </w:tblPr>
      <w:tblGrid>
        <w:gridCol w:w="3935"/>
        <w:gridCol w:w="1426"/>
        <w:gridCol w:w="1426"/>
        <w:gridCol w:w="1426"/>
        <w:gridCol w:w="1426"/>
      </w:tblGrid>
      <w:tr w:rsidR="00E32D33" w:rsidRPr="00AC1CB6" w14:paraId="410ABBBA" w14:textId="77777777" w:rsidTr="000811A8">
        <w:trPr>
          <w:trHeight w:val="1247"/>
        </w:trPr>
        <w:tc>
          <w:tcPr>
            <w:tcW w:w="3935" w:type="dxa"/>
            <w:tcBorders>
              <w:top w:val="nil"/>
              <w:left w:val="nil"/>
              <w:bottom w:val="nil"/>
              <w:right w:val="single" w:sz="8" w:space="0" w:color="FFFFFF"/>
            </w:tcBorders>
            <w:shd w:val="clear" w:color="000000" w:fill="0077BD"/>
            <w:vAlign w:val="center"/>
            <w:hideMark/>
          </w:tcPr>
          <w:p w14:paraId="631FA592" w14:textId="37B9FCE5" w:rsidR="00E32D33" w:rsidRPr="00AC1CB6" w:rsidRDefault="00E32D33" w:rsidP="006D3452">
            <w:pPr>
              <w:rPr>
                <w:rFonts w:cs="Calibri"/>
                <w:b/>
                <w:bCs/>
                <w:color w:val="FFFFFF"/>
                <w:sz w:val="12"/>
                <w:szCs w:val="12"/>
              </w:rPr>
            </w:pPr>
            <w:r w:rsidRPr="00AC1CB6">
              <w:rPr>
                <w:rFonts w:cs="Calibri"/>
                <w:b/>
                <w:bCs/>
                <w:color w:val="FFFFFF"/>
                <w:sz w:val="12"/>
                <w:szCs w:val="12"/>
              </w:rPr>
              <w:t>Aktywa finansowe wycenione do wartości godziwej na poziomie 3 - zmiana stanu w 2019 roku</w:t>
            </w:r>
          </w:p>
        </w:tc>
        <w:tc>
          <w:tcPr>
            <w:tcW w:w="1426" w:type="dxa"/>
            <w:tcBorders>
              <w:top w:val="nil"/>
              <w:left w:val="nil"/>
              <w:bottom w:val="nil"/>
              <w:right w:val="single" w:sz="8" w:space="0" w:color="FFFFFF"/>
            </w:tcBorders>
            <w:shd w:val="clear" w:color="000000" w:fill="0077BD"/>
            <w:vAlign w:val="center"/>
            <w:hideMark/>
          </w:tcPr>
          <w:p w14:paraId="501FB8C4" w14:textId="77777777" w:rsidR="00E32D33" w:rsidRPr="00AC1CB6" w:rsidRDefault="00E32D33" w:rsidP="009E7EB5">
            <w:pPr>
              <w:jc w:val="center"/>
              <w:rPr>
                <w:rFonts w:cs="Calibri"/>
                <w:b/>
                <w:bCs/>
                <w:color w:val="FFFFFF"/>
                <w:sz w:val="12"/>
                <w:szCs w:val="12"/>
              </w:rPr>
            </w:pPr>
            <w:r w:rsidRPr="00AC1CB6">
              <w:rPr>
                <w:rFonts w:cs="Calibri"/>
                <w:b/>
                <w:bCs/>
                <w:color w:val="FFFFFF"/>
                <w:sz w:val="12"/>
                <w:szCs w:val="12"/>
              </w:rPr>
              <w:t>Dłużne papiery</w:t>
            </w:r>
            <w:r w:rsidRPr="00AC1CB6">
              <w:rPr>
                <w:rFonts w:cs="Calibri"/>
                <w:b/>
                <w:bCs/>
                <w:color w:val="FFFFFF"/>
                <w:sz w:val="12"/>
                <w:szCs w:val="12"/>
              </w:rPr>
              <w:br/>
              <w:t>przeznaczone do</w:t>
            </w:r>
            <w:r w:rsidRPr="00AC1CB6">
              <w:rPr>
                <w:rFonts w:cs="Calibri"/>
                <w:b/>
                <w:bCs/>
                <w:color w:val="FFFFFF"/>
                <w:sz w:val="12"/>
                <w:szCs w:val="12"/>
              </w:rPr>
              <w:br/>
              <w:t>obrotu</w:t>
            </w:r>
          </w:p>
        </w:tc>
        <w:tc>
          <w:tcPr>
            <w:tcW w:w="1426" w:type="dxa"/>
            <w:tcBorders>
              <w:top w:val="nil"/>
              <w:left w:val="nil"/>
              <w:bottom w:val="nil"/>
              <w:right w:val="single" w:sz="8" w:space="0" w:color="FFFFFF"/>
            </w:tcBorders>
            <w:shd w:val="clear" w:color="000000" w:fill="0077BD"/>
            <w:vAlign w:val="center"/>
            <w:hideMark/>
          </w:tcPr>
          <w:p w14:paraId="6C00122A" w14:textId="77777777" w:rsidR="00E32D33" w:rsidRPr="00AC1CB6" w:rsidRDefault="00E32D33" w:rsidP="009E7EB5">
            <w:pPr>
              <w:jc w:val="center"/>
              <w:rPr>
                <w:rFonts w:cs="Calibri"/>
                <w:b/>
                <w:bCs/>
                <w:color w:val="FFFFFF"/>
                <w:sz w:val="12"/>
                <w:szCs w:val="12"/>
              </w:rPr>
            </w:pPr>
            <w:r w:rsidRPr="00AC1CB6">
              <w:rPr>
                <w:rFonts w:cs="Calibri"/>
                <w:b/>
                <w:bCs/>
                <w:color w:val="FFFFFF"/>
                <w:sz w:val="12"/>
                <w:szCs w:val="12"/>
              </w:rPr>
              <w:t>Dłużne papiery wartościowe nieprzeznaczone do obrotu wyceniane obowiązkowo w wartości godziwej przez wynik finansowy</w:t>
            </w:r>
          </w:p>
        </w:tc>
        <w:tc>
          <w:tcPr>
            <w:tcW w:w="1426" w:type="dxa"/>
            <w:tcBorders>
              <w:top w:val="nil"/>
              <w:left w:val="nil"/>
              <w:bottom w:val="nil"/>
              <w:right w:val="single" w:sz="8" w:space="0" w:color="FFFFFF"/>
            </w:tcBorders>
            <w:shd w:val="clear" w:color="000000" w:fill="0077BD"/>
            <w:vAlign w:val="center"/>
            <w:hideMark/>
          </w:tcPr>
          <w:p w14:paraId="59C5C2BA" w14:textId="77777777" w:rsidR="00E32D33" w:rsidRPr="00AC1CB6" w:rsidRDefault="00E32D33" w:rsidP="009E7EB5">
            <w:pPr>
              <w:jc w:val="center"/>
              <w:rPr>
                <w:rFonts w:cs="Calibri"/>
                <w:b/>
                <w:bCs/>
                <w:color w:val="FFFFFF"/>
                <w:sz w:val="12"/>
                <w:szCs w:val="12"/>
              </w:rPr>
            </w:pPr>
            <w:r w:rsidRPr="00AC1CB6">
              <w:rPr>
                <w:rFonts w:cs="Calibri"/>
                <w:b/>
                <w:bCs/>
                <w:color w:val="FFFFFF"/>
                <w:sz w:val="12"/>
                <w:szCs w:val="12"/>
              </w:rPr>
              <w:t>Kapitałowe papiery wartościowe nieprzeznaczone do obrotu wyceniane obowiązkowo w wartości godziwej przez wynik finansowy</w:t>
            </w:r>
          </w:p>
        </w:tc>
        <w:tc>
          <w:tcPr>
            <w:tcW w:w="1426" w:type="dxa"/>
            <w:tcBorders>
              <w:top w:val="nil"/>
              <w:left w:val="nil"/>
              <w:bottom w:val="nil"/>
              <w:right w:val="nil"/>
            </w:tcBorders>
            <w:shd w:val="clear" w:color="000000" w:fill="0077BD"/>
            <w:vAlign w:val="center"/>
            <w:hideMark/>
          </w:tcPr>
          <w:p w14:paraId="12CC41F3" w14:textId="77777777" w:rsidR="00E32D33" w:rsidRPr="00AC1CB6" w:rsidRDefault="00E32D33" w:rsidP="009E7EB5">
            <w:pPr>
              <w:jc w:val="center"/>
              <w:rPr>
                <w:rFonts w:cs="Calibri"/>
                <w:b/>
                <w:bCs/>
                <w:color w:val="FFFFFF"/>
                <w:sz w:val="12"/>
                <w:szCs w:val="12"/>
              </w:rPr>
            </w:pPr>
            <w:r w:rsidRPr="00AC1CB6">
              <w:rPr>
                <w:rFonts w:cs="Calibri"/>
                <w:b/>
                <w:bCs/>
                <w:color w:val="FFFFFF"/>
                <w:sz w:val="12"/>
                <w:szCs w:val="12"/>
              </w:rPr>
              <w:t>Dłużne papiery wartościowe wyceniane w wartości godziwej przez pozostałe całkowite dochody</w:t>
            </w:r>
          </w:p>
        </w:tc>
      </w:tr>
      <w:tr w:rsidR="00E32D33" w:rsidRPr="0068723D" w14:paraId="4FEED71A" w14:textId="77777777" w:rsidTr="000811A8">
        <w:trPr>
          <w:trHeight w:val="227"/>
        </w:trPr>
        <w:tc>
          <w:tcPr>
            <w:tcW w:w="3935" w:type="dxa"/>
            <w:tcBorders>
              <w:top w:val="nil"/>
              <w:left w:val="nil"/>
              <w:bottom w:val="single" w:sz="8" w:space="0" w:color="0077BD"/>
              <w:right w:val="single" w:sz="8" w:space="0" w:color="0077BD"/>
            </w:tcBorders>
            <w:shd w:val="clear" w:color="auto" w:fill="auto"/>
            <w:vAlign w:val="center"/>
            <w:hideMark/>
          </w:tcPr>
          <w:p w14:paraId="53D0AE1A" w14:textId="77777777" w:rsidR="00E32D33" w:rsidRPr="000811A8" w:rsidRDefault="00E32D33" w:rsidP="009E7EB5">
            <w:pPr>
              <w:rPr>
                <w:rFonts w:cs="Calibri"/>
                <w:b/>
                <w:bCs/>
                <w:color w:val="000000" w:themeColor="text1"/>
                <w:sz w:val="12"/>
                <w:szCs w:val="12"/>
              </w:rPr>
            </w:pPr>
            <w:r w:rsidRPr="000811A8">
              <w:rPr>
                <w:rFonts w:cs="Calibri"/>
                <w:b/>
                <w:bCs/>
                <w:color w:val="000000" w:themeColor="text1"/>
                <w:sz w:val="12"/>
                <w:szCs w:val="12"/>
              </w:rPr>
              <w:t>Bilans otwarcia</w:t>
            </w:r>
          </w:p>
        </w:tc>
        <w:tc>
          <w:tcPr>
            <w:tcW w:w="1426" w:type="dxa"/>
            <w:tcBorders>
              <w:top w:val="nil"/>
              <w:left w:val="nil"/>
              <w:bottom w:val="single" w:sz="8" w:space="0" w:color="0077BD"/>
              <w:right w:val="single" w:sz="8" w:space="0" w:color="0077BD"/>
            </w:tcBorders>
            <w:shd w:val="clear" w:color="auto" w:fill="auto"/>
            <w:vAlign w:val="center"/>
            <w:hideMark/>
          </w:tcPr>
          <w:p w14:paraId="07B40BFE" w14:textId="178634AC" w:rsidR="00E32D33" w:rsidRPr="001B2E1C" w:rsidRDefault="003460DC" w:rsidP="003460DC">
            <w:pPr>
              <w:jc w:val="right"/>
              <w:rPr>
                <w:rFonts w:cs="Calibri"/>
                <w:b/>
                <w:bCs/>
                <w:color w:val="000000" w:themeColor="text1"/>
                <w:sz w:val="12"/>
                <w:szCs w:val="12"/>
              </w:rPr>
            </w:pPr>
            <w:r w:rsidRPr="001B2E1C">
              <w:rPr>
                <w:rFonts w:cs="Calibri"/>
                <w:b/>
                <w:bCs/>
                <w:color w:val="000000" w:themeColor="text1"/>
                <w:sz w:val="12"/>
                <w:szCs w:val="12"/>
              </w:rPr>
              <w:t>306</w:t>
            </w:r>
            <w:r w:rsidR="00E32D33" w:rsidRPr="001B2E1C">
              <w:rPr>
                <w:rFonts w:cs="Calibri"/>
                <w:b/>
                <w:bCs/>
                <w:color w:val="000000" w:themeColor="text1"/>
                <w:sz w:val="12"/>
                <w:szCs w:val="12"/>
              </w:rPr>
              <w:t xml:space="preserve"> </w:t>
            </w:r>
            <w:r w:rsidRPr="001B2E1C">
              <w:rPr>
                <w:rFonts w:cs="Calibri"/>
                <w:b/>
                <w:bCs/>
                <w:color w:val="000000" w:themeColor="text1"/>
                <w:sz w:val="12"/>
                <w:szCs w:val="12"/>
              </w:rPr>
              <w:t>763</w:t>
            </w:r>
          </w:p>
        </w:tc>
        <w:tc>
          <w:tcPr>
            <w:tcW w:w="1426" w:type="dxa"/>
            <w:tcBorders>
              <w:top w:val="nil"/>
              <w:left w:val="nil"/>
              <w:bottom w:val="single" w:sz="8" w:space="0" w:color="0077BD"/>
              <w:right w:val="single" w:sz="8" w:space="0" w:color="0077BD"/>
            </w:tcBorders>
            <w:shd w:val="clear" w:color="auto" w:fill="auto"/>
            <w:vAlign w:val="center"/>
            <w:hideMark/>
          </w:tcPr>
          <w:p w14:paraId="213CBC02" w14:textId="77777777" w:rsidR="00E32D33" w:rsidRPr="001B2E1C" w:rsidRDefault="00E32D33" w:rsidP="009E7EB5">
            <w:pPr>
              <w:jc w:val="right"/>
              <w:rPr>
                <w:rFonts w:cs="Calibri"/>
                <w:b/>
                <w:bCs/>
                <w:color w:val="000000" w:themeColor="text1"/>
                <w:sz w:val="12"/>
                <w:szCs w:val="12"/>
              </w:rPr>
            </w:pPr>
            <w:r w:rsidRPr="001B2E1C">
              <w:rPr>
                <w:rFonts w:cs="Calibri"/>
                <w:b/>
                <w:bCs/>
                <w:color w:val="000000" w:themeColor="text1"/>
                <w:sz w:val="12"/>
                <w:szCs w:val="12"/>
              </w:rPr>
              <w:t>58 130</w:t>
            </w:r>
          </w:p>
        </w:tc>
        <w:tc>
          <w:tcPr>
            <w:tcW w:w="1426" w:type="dxa"/>
            <w:tcBorders>
              <w:top w:val="nil"/>
              <w:left w:val="nil"/>
              <w:bottom w:val="single" w:sz="8" w:space="0" w:color="0077BD"/>
              <w:right w:val="single" w:sz="8" w:space="0" w:color="0077BD"/>
            </w:tcBorders>
            <w:shd w:val="clear" w:color="auto" w:fill="auto"/>
            <w:vAlign w:val="center"/>
            <w:hideMark/>
          </w:tcPr>
          <w:p w14:paraId="32055D10" w14:textId="77777777" w:rsidR="00E32D33" w:rsidRPr="001B2E1C" w:rsidRDefault="00E32D33" w:rsidP="009E7EB5">
            <w:pPr>
              <w:jc w:val="right"/>
              <w:rPr>
                <w:rFonts w:cs="Calibri"/>
                <w:b/>
                <w:bCs/>
                <w:color w:val="000000" w:themeColor="text1"/>
                <w:sz w:val="12"/>
                <w:szCs w:val="12"/>
              </w:rPr>
            </w:pPr>
            <w:r w:rsidRPr="001B2E1C">
              <w:rPr>
                <w:rFonts w:cs="Calibri"/>
                <w:b/>
                <w:bCs/>
                <w:color w:val="000000" w:themeColor="text1"/>
                <w:sz w:val="12"/>
                <w:szCs w:val="12"/>
              </w:rPr>
              <w:t>72 005</w:t>
            </w:r>
          </w:p>
        </w:tc>
        <w:tc>
          <w:tcPr>
            <w:tcW w:w="1426" w:type="dxa"/>
            <w:tcBorders>
              <w:top w:val="nil"/>
              <w:left w:val="nil"/>
              <w:bottom w:val="single" w:sz="8" w:space="0" w:color="0077BD"/>
              <w:right w:val="nil"/>
            </w:tcBorders>
            <w:shd w:val="clear" w:color="auto" w:fill="auto"/>
            <w:vAlign w:val="center"/>
            <w:hideMark/>
          </w:tcPr>
          <w:p w14:paraId="12CFFB78" w14:textId="77777777" w:rsidR="00E32D33" w:rsidRPr="001B2E1C" w:rsidRDefault="00E32D33" w:rsidP="009E7EB5">
            <w:pPr>
              <w:jc w:val="right"/>
              <w:rPr>
                <w:rFonts w:cs="Calibri"/>
                <w:b/>
                <w:bCs/>
                <w:color w:val="000000" w:themeColor="text1"/>
                <w:sz w:val="12"/>
                <w:szCs w:val="12"/>
              </w:rPr>
            </w:pPr>
            <w:r w:rsidRPr="001B2E1C">
              <w:rPr>
                <w:rFonts w:cs="Calibri"/>
                <w:b/>
                <w:bCs/>
                <w:color w:val="000000" w:themeColor="text1"/>
                <w:sz w:val="12"/>
                <w:szCs w:val="12"/>
              </w:rPr>
              <w:t>1 266 558</w:t>
            </w:r>
          </w:p>
        </w:tc>
      </w:tr>
      <w:tr w:rsidR="00E32D33" w:rsidRPr="0068723D" w14:paraId="7DABF387" w14:textId="77777777" w:rsidTr="000811A8">
        <w:trPr>
          <w:trHeight w:val="227"/>
        </w:trPr>
        <w:tc>
          <w:tcPr>
            <w:tcW w:w="3935" w:type="dxa"/>
            <w:tcBorders>
              <w:top w:val="nil"/>
              <w:left w:val="nil"/>
              <w:bottom w:val="single" w:sz="8" w:space="0" w:color="0077BD"/>
              <w:right w:val="single" w:sz="8" w:space="0" w:color="0077BD"/>
            </w:tcBorders>
            <w:shd w:val="clear" w:color="auto" w:fill="auto"/>
            <w:vAlign w:val="center"/>
            <w:hideMark/>
          </w:tcPr>
          <w:p w14:paraId="18BED63E" w14:textId="77777777" w:rsidR="00E32D33" w:rsidRPr="000811A8" w:rsidRDefault="00E32D33" w:rsidP="009E7EB5">
            <w:pPr>
              <w:rPr>
                <w:rFonts w:cs="Calibri"/>
                <w:b/>
                <w:bCs/>
                <w:color w:val="000000" w:themeColor="text1"/>
                <w:sz w:val="12"/>
                <w:szCs w:val="12"/>
              </w:rPr>
            </w:pPr>
            <w:r w:rsidRPr="000811A8">
              <w:rPr>
                <w:rFonts w:cs="Calibri"/>
                <w:b/>
                <w:bCs/>
                <w:color w:val="000000" w:themeColor="text1"/>
                <w:sz w:val="12"/>
                <w:szCs w:val="12"/>
              </w:rPr>
              <w:t>Łączne zyski lub straty za okres</w:t>
            </w:r>
          </w:p>
        </w:tc>
        <w:tc>
          <w:tcPr>
            <w:tcW w:w="1426" w:type="dxa"/>
            <w:tcBorders>
              <w:top w:val="nil"/>
              <w:left w:val="nil"/>
              <w:bottom w:val="single" w:sz="8" w:space="0" w:color="0077BD"/>
              <w:right w:val="single" w:sz="8" w:space="0" w:color="0077BD"/>
            </w:tcBorders>
            <w:shd w:val="clear" w:color="auto" w:fill="auto"/>
            <w:noWrap/>
            <w:vAlign w:val="center"/>
          </w:tcPr>
          <w:p w14:paraId="6C2DBB2C" w14:textId="22487126" w:rsidR="00E32D33" w:rsidRPr="001B2E1C" w:rsidRDefault="008C25D1" w:rsidP="009E7EB5">
            <w:pPr>
              <w:jc w:val="right"/>
              <w:rPr>
                <w:rFonts w:cs="Calibri"/>
                <w:b/>
                <w:bCs/>
                <w:color w:val="000000" w:themeColor="text1"/>
                <w:sz w:val="12"/>
                <w:szCs w:val="12"/>
              </w:rPr>
            </w:pPr>
            <w:r w:rsidRPr="001B2E1C">
              <w:rPr>
                <w:rFonts w:cs="Calibri"/>
                <w:b/>
                <w:bCs/>
                <w:color w:val="000000" w:themeColor="text1"/>
                <w:sz w:val="12"/>
                <w:szCs w:val="12"/>
              </w:rPr>
              <w:t>429</w:t>
            </w:r>
          </w:p>
        </w:tc>
        <w:tc>
          <w:tcPr>
            <w:tcW w:w="1426" w:type="dxa"/>
            <w:tcBorders>
              <w:top w:val="nil"/>
              <w:left w:val="nil"/>
              <w:bottom w:val="single" w:sz="8" w:space="0" w:color="0077BD"/>
              <w:right w:val="single" w:sz="8" w:space="0" w:color="0077BD"/>
            </w:tcBorders>
            <w:shd w:val="clear" w:color="auto" w:fill="auto"/>
            <w:noWrap/>
            <w:vAlign w:val="center"/>
          </w:tcPr>
          <w:p w14:paraId="31727F18" w14:textId="3759E44B" w:rsidR="00E32D33" w:rsidRPr="001B2E1C" w:rsidRDefault="008C25D1" w:rsidP="009E7EB5">
            <w:pPr>
              <w:jc w:val="right"/>
              <w:rPr>
                <w:rFonts w:cs="Calibri"/>
                <w:b/>
                <w:bCs/>
                <w:color w:val="000000" w:themeColor="text1"/>
                <w:sz w:val="12"/>
                <w:szCs w:val="12"/>
              </w:rPr>
            </w:pPr>
            <w:r w:rsidRPr="001B2E1C">
              <w:rPr>
                <w:rFonts w:cs="Calibri"/>
                <w:b/>
                <w:bCs/>
                <w:color w:val="000000" w:themeColor="text1"/>
                <w:sz w:val="12"/>
                <w:szCs w:val="12"/>
              </w:rPr>
              <w:t>75 644</w:t>
            </w:r>
          </w:p>
        </w:tc>
        <w:tc>
          <w:tcPr>
            <w:tcW w:w="1426" w:type="dxa"/>
            <w:tcBorders>
              <w:top w:val="nil"/>
              <w:left w:val="nil"/>
              <w:bottom w:val="single" w:sz="8" w:space="0" w:color="0077BD"/>
              <w:right w:val="single" w:sz="8" w:space="0" w:color="0077BD"/>
            </w:tcBorders>
            <w:shd w:val="clear" w:color="auto" w:fill="auto"/>
            <w:noWrap/>
            <w:vAlign w:val="center"/>
          </w:tcPr>
          <w:p w14:paraId="10829C28" w14:textId="25FC1214" w:rsidR="00E32D33" w:rsidRPr="001B2E1C" w:rsidRDefault="008C25D1" w:rsidP="009E7EB5">
            <w:pPr>
              <w:jc w:val="right"/>
              <w:rPr>
                <w:rFonts w:cs="Calibri"/>
                <w:b/>
                <w:bCs/>
                <w:color w:val="000000" w:themeColor="text1"/>
                <w:sz w:val="12"/>
                <w:szCs w:val="12"/>
              </w:rPr>
            </w:pPr>
            <w:r w:rsidRPr="001B2E1C">
              <w:rPr>
                <w:rFonts w:cs="Calibri"/>
                <w:b/>
                <w:bCs/>
                <w:color w:val="000000" w:themeColor="text1"/>
                <w:sz w:val="12"/>
                <w:szCs w:val="12"/>
              </w:rPr>
              <w:t>75 041</w:t>
            </w:r>
          </w:p>
        </w:tc>
        <w:tc>
          <w:tcPr>
            <w:tcW w:w="1426" w:type="dxa"/>
            <w:tcBorders>
              <w:top w:val="nil"/>
              <w:left w:val="nil"/>
              <w:bottom w:val="single" w:sz="8" w:space="0" w:color="0077BD"/>
              <w:right w:val="nil"/>
            </w:tcBorders>
            <w:shd w:val="clear" w:color="auto" w:fill="auto"/>
            <w:noWrap/>
            <w:vAlign w:val="center"/>
          </w:tcPr>
          <w:p w14:paraId="7DAD553D" w14:textId="2E4EF2B5" w:rsidR="00E32D33" w:rsidRPr="001B2E1C" w:rsidRDefault="00373B68" w:rsidP="009E7EB5">
            <w:pPr>
              <w:jc w:val="right"/>
              <w:rPr>
                <w:rFonts w:cs="Calibri"/>
                <w:b/>
                <w:bCs/>
                <w:color w:val="000000" w:themeColor="text1"/>
                <w:sz w:val="12"/>
                <w:szCs w:val="12"/>
              </w:rPr>
            </w:pPr>
            <w:r>
              <w:rPr>
                <w:rFonts w:cs="Calibri"/>
                <w:b/>
                <w:bCs/>
                <w:color w:val="000000" w:themeColor="text1"/>
                <w:sz w:val="12"/>
                <w:szCs w:val="12"/>
              </w:rPr>
              <w:t>(8 352</w:t>
            </w:r>
            <w:r w:rsidR="008C25D1" w:rsidRPr="001B2E1C">
              <w:rPr>
                <w:rFonts w:cs="Calibri"/>
                <w:b/>
                <w:bCs/>
                <w:color w:val="000000" w:themeColor="text1"/>
                <w:sz w:val="12"/>
                <w:szCs w:val="12"/>
              </w:rPr>
              <w:t>)</w:t>
            </w:r>
          </w:p>
        </w:tc>
      </w:tr>
      <w:tr w:rsidR="007702AD" w:rsidRPr="0068723D" w14:paraId="7D0893D7"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48AA7150" w14:textId="699533D8" w:rsidR="007702AD" w:rsidRPr="000811A8" w:rsidRDefault="007702AD" w:rsidP="007702AD">
            <w:pPr>
              <w:rPr>
                <w:rFonts w:cs="Calibri"/>
                <w:color w:val="000000" w:themeColor="text1"/>
                <w:sz w:val="12"/>
                <w:szCs w:val="12"/>
              </w:rPr>
            </w:pPr>
            <w:r w:rsidRPr="000811A8">
              <w:rPr>
                <w:rFonts w:cs="Calibri"/>
                <w:color w:val="000000" w:themeColor="text1"/>
                <w:sz w:val="12"/>
                <w:szCs w:val="12"/>
              </w:rPr>
              <w:t>Ujęte w rachunku zysków i strat:</w:t>
            </w:r>
          </w:p>
        </w:tc>
        <w:tc>
          <w:tcPr>
            <w:tcW w:w="1426" w:type="dxa"/>
            <w:tcBorders>
              <w:top w:val="nil"/>
              <w:left w:val="nil"/>
              <w:bottom w:val="single" w:sz="4" w:space="0" w:color="0077BD"/>
              <w:right w:val="nil"/>
            </w:tcBorders>
            <w:shd w:val="clear" w:color="auto" w:fill="auto"/>
            <w:noWrap/>
            <w:vAlign w:val="center"/>
          </w:tcPr>
          <w:p w14:paraId="4DC9D9DC" w14:textId="5E33229A"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429</w:t>
            </w:r>
          </w:p>
        </w:tc>
        <w:tc>
          <w:tcPr>
            <w:tcW w:w="1426" w:type="dxa"/>
            <w:tcBorders>
              <w:top w:val="nil"/>
              <w:left w:val="single" w:sz="8" w:space="0" w:color="0077BD"/>
              <w:bottom w:val="single" w:sz="4" w:space="0" w:color="0077BD"/>
              <w:right w:val="nil"/>
            </w:tcBorders>
            <w:shd w:val="clear" w:color="auto" w:fill="auto"/>
            <w:noWrap/>
            <w:vAlign w:val="center"/>
          </w:tcPr>
          <w:p w14:paraId="53B7B7EB" w14:textId="11AD7E8A"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75 644</w:t>
            </w:r>
          </w:p>
        </w:tc>
        <w:tc>
          <w:tcPr>
            <w:tcW w:w="1426" w:type="dxa"/>
            <w:tcBorders>
              <w:top w:val="nil"/>
              <w:left w:val="single" w:sz="8" w:space="0" w:color="0077BD"/>
              <w:bottom w:val="single" w:sz="4" w:space="0" w:color="0077BD"/>
              <w:right w:val="nil"/>
            </w:tcBorders>
            <w:shd w:val="clear" w:color="auto" w:fill="auto"/>
            <w:noWrap/>
            <w:vAlign w:val="center"/>
          </w:tcPr>
          <w:p w14:paraId="4A179AE5" w14:textId="02717988"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75 041</w:t>
            </w:r>
          </w:p>
        </w:tc>
        <w:tc>
          <w:tcPr>
            <w:tcW w:w="1426" w:type="dxa"/>
            <w:tcBorders>
              <w:top w:val="nil"/>
              <w:left w:val="single" w:sz="8" w:space="0" w:color="0077BD"/>
              <w:bottom w:val="single" w:sz="4" w:space="0" w:color="0077BD"/>
              <w:right w:val="nil"/>
            </w:tcBorders>
            <w:shd w:val="clear" w:color="auto" w:fill="auto"/>
            <w:noWrap/>
            <w:vAlign w:val="center"/>
          </w:tcPr>
          <w:p w14:paraId="069E2BF2" w14:textId="65054F63"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r>
      <w:tr w:rsidR="007702AD" w:rsidRPr="0068723D" w14:paraId="550D72C2"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4D1C9066" w14:textId="4C797629" w:rsidR="007702AD" w:rsidRPr="000811A8" w:rsidRDefault="007702AD" w:rsidP="007702AD">
            <w:pPr>
              <w:ind w:firstLineChars="100" w:firstLine="120"/>
              <w:rPr>
                <w:rFonts w:cs="Calibri"/>
                <w:i/>
                <w:iCs/>
                <w:color w:val="000000" w:themeColor="text1"/>
                <w:sz w:val="12"/>
                <w:szCs w:val="12"/>
              </w:rPr>
            </w:pPr>
            <w:r w:rsidRPr="000811A8">
              <w:rPr>
                <w:rFonts w:cs="Calibri"/>
                <w:i/>
                <w:iCs/>
                <w:color w:val="000000" w:themeColor="text1"/>
                <w:sz w:val="12"/>
                <w:szCs w:val="12"/>
              </w:rPr>
              <w:t>Wynik na działalności handlowej</w:t>
            </w:r>
          </w:p>
        </w:tc>
        <w:tc>
          <w:tcPr>
            <w:tcW w:w="1426" w:type="dxa"/>
            <w:tcBorders>
              <w:top w:val="nil"/>
              <w:left w:val="nil"/>
              <w:bottom w:val="single" w:sz="4" w:space="0" w:color="0077BD"/>
              <w:right w:val="single" w:sz="8" w:space="0" w:color="0077BD"/>
            </w:tcBorders>
            <w:shd w:val="clear" w:color="auto" w:fill="auto"/>
            <w:noWrap/>
            <w:vAlign w:val="center"/>
          </w:tcPr>
          <w:p w14:paraId="5BDC651B" w14:textId="4FFE3AC5"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429</w:t>
            </w:r>
          </w:p>
        </w:tc>
        <w:tc>
          <w:tcPr>
            <w:tcW w:w="1426" w:type="dxa"/>
            <w:tcBorders>
              <w:top w:val="nil"/>
              <w:left w:val="nil"/>
              <w:bottom w:val="single" w:sz="4" w:space="0" w:color="0077BD"/>
              <w:right w:val="single" w:sz="8" w:space="0" w:color="0077BD"/>
            </w:tcBorders>
            <w:shd w:val="clear" w:color="auto" w:fill="auto"/>
            <w:noWrap/>
            <w:vAlign w:val="center"/>
          </w:tcPr>
          <w:p w14:paraId="311FA4A9" w14:textId="155C9FA5"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320</w:t>
            </w:r>
          </w:p>
        </w:tc>
        <w:tc>
          <w:tcPr>
            <w:tcW w:w="1426" w:type="dxa"/>
            <w:tcBorders>
              <w:top w:val="nil"/>
              <w:left w:val="nil"/>
              <w:bottom w:val="single" w:sz="4" w:space="0" w:color="0077BD"/>
              <w:right w:val="single" w:sz="8" w:space="0" w:color="0077BD"/>
            </w:tcBorders>
            <w:shd w:val="clear" w:color="auto" w:fill="auto"/>
            <w:noWrap/>
            <w:vAlign w:val="center"/>
          </w:tcPr>
          <w:p w14:paraId="25FCB7CB" w14:textId="178B1C8A"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(8)</w:t>
            </w:r>
          </w:p>
        </w:tc>
        <w:tc>
          <w:tcPr>
            <w:tcW w:w="1426" w:type="dxa"/>
            <w:tcBorders>
              <w:top w:val="nil"/>
              <w:left w:val="nil"/>
              <w:bottom w:val="single" w:sz="4" w:space="0" w:color="0077BD"/>
              <w:right w:val="nil"/>
            </w:tcBorders>
            <w:shd w:val="clear" w:color="auto" w:fill="auto"/>
            <w:noWrap/>
            <w:vAlign w:val="center"/>
          </w:tcPr>
          <w:p w14:paraId="6B23BCC3" w14:textId="1E978B65"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w:t>
            </w:r>
          </w:p>
        </w:tc>
      </w:tr>
      <w:tr w:rsidR="007702AD" w:rsidRPr="0068723D" w14:paraId="46731DD6" w14:textId="77777777" w:rsidTr="000811A8">
        <w:trPr>
          <w:trHeight w:val="510"/>
        </w:trPr>
        <w:tc>
          <w:tcPr>
            <w:tcW w:w="3935" w:type="dxa"/>
            <w:tcBorders>
              <w:top w:val="nil"/>
              <w:left w:val="nil"/>
              <w:bottom w:val="single" w:sz="4" w:space="0" w:color="0077BD"/>
              <w:right w:val="single" w:sz="8" w:space="0" w:color="0077BD"/>
            </w:tcBorders>
            <w:shd w:val="clear" w:color="auto" w:fill="auto"/>
            <w:vAlign w:val="center"/>
            <w:hideMark/>
          </w:tcPr>
          <w:p w14:paraId="7FF8684B" w14:textId="06611167" w:rsidR="007702AD" w:rsidRPr="000811A8" w:rsidRDefault="007702AD" w:rsidP="007702AD">
            <w:pPr>
              <w:ind w:left="112" w:firstLineChars="6" w:firstLine="7"/>
              <w:rPr>
                <w:rFonts w:cs="Calibri"/>
                <w:i/>
                <w:iCs/>
                <w:color w:val="000000" w:themeColor="text1"/>
                <w:sz w:val="12"/>
                <w:szCs w:val="12"/>
              </w:rPr>
            </w:pPr>
            <w:r w:rsidRPr="000811A8">
              <w:rPr>
                <w:rFonts w:cs="Calibri"/>
                <w:i/>
                <w:iCs/>
                <w:color w:val="000000" w:themeColor="text1"/>
                <w:sz w:val="12"/>
                <w:szCs w:val="12"/>
              </w:rPr>
              <w:t>Zyski lub straty z tytułu aktywów finansowych nieprzeznaczonych do obrotu obowiązkowo wycenianych w wartości godziwej przez wynik finansowy</w:t>
            </w:r>
          </w:p>
        </w:tc>
        <w:tc>
          <w:tcPr>
            <w:tcW w:w="1426" w:type="dxa"/>
            <w:tcBorders>
              <w:top w:val="nil"/>
              <w:left w:val="nil"/>
              <w:bottom w:val="single" w:sz="4" w:space="0" w:color="0077BD"/>
              <w:right w:val="single" w:sz="8" w:space="0" w:color="0077BD"/>
            </w:tcBorders>
            <w:shd w:val="clear" w:color="auto" w:fill="auto"/>
            <w:noWrap/>
            <w:vAlign w:val="center"/>
          </w:tcPr>
          <w:p w14:paraId="77C6140E" w14:textId="400F06E5"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04FC6562" w14:textId="655FCAA9"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75 324</w:t>
            </w:r>
          </w:p>
        </w:tc>
        <w:tc>
          <w:tcPr>
            <w:tcW w:w="1426" w:type="dxa"/>
            <w:tcBorders>
              <w:top w:val="nil"/>
              <w:left w:val="nil"/>
              <w:bottom w:val="single" w:sz="4" w:space="0" w:color="0077BD"/>
              <w:right w:val="single" w:sz="8" w:space="0" w:color="0077BD"/>
            </w:tcBorders>
            <w:shd w:val="clear" w:color="auto" w:fill="auto"/>
            <w:noWrap/>
            <w:vAlign w:val="center"/>
          </w:tcPr>
          <w:p w14:paraId="61CA23A9" w14:textId="0DCD5E05"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75 326</w:t>
            </w:r>
          </w:p>
        </w:tc>
        <w:tc>
          <w:tcPr>
            <w:tcW w:w="1426" w:type="dxa"/>
            <w:tcBorders>
              <w:top w:val="nil"/>
              <w:left w:val="nil"/>
              <w:bottom w:val="single" w:sz="4" w:space="0" w:color="0077BD"/>
              <w:right w:val="nil"/>
            </w:tcBorders>
            <w:shd w:val="clear" w:color="auto" w:fill="auto"/>
            <w:noWrap/>
            <w:vAlign w:val="center"/>
          </w:tcPr>
          <w:p w14:paraId="22C6FA0A" w14:textId="0C6D23A2"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r>
      <w:tr w:rsidR="007702AD" w:rsidRPr="0068723D" w14:paraId="2180FAF4"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494C6A2A" w14:textId="79C9F1CB" w:rsidR="007702AD" w:rsidRPr="000811A8" w:rsidRDefault="007702AD" w:rsidP="007702AD">
            <w:pPr>
              <w:ind w:firstLineChars="100" w:firstLine="120"/>
              <w:rPr>
                <w:rFonts w:cs="Calibri"/>
                <w:i/>
                <w:iCs/>
                <w:color w:val="000000" w:themeColor="text1"/>
                <w:sz w:val="12"/>
                <w:szCs w:val="12"/>
              </w:rPr>
            </w:pPr>
            <w:r w:rsidRPr="000811A8">
              <w:rPr>
                <w:rFonts w:cs="Calibri"/>
                <w:i/>
                <w:iCs/>
                <w:color w:val="000000" w:themeColor="text1"/>
                <w:sz w:val="12"/>
                <w:szCs w:val="12"/>
              </w:rPr>
              <w:t>Wynik na inwestycjach w jednostki zależne i stowarzyszone</w:t>
            </w:r>
          </w:p>
        </w:tc>
        <w:tc>
          <w:tcPr>
            <w:tcW w:w="1426" w:type="dxa"/>
            <w:tcBorders>
              <w:top w:val="nil"/>
              <w:left w:val="nil"/>
              <w:bottom w:val="single" w:sz="4" w:space="0" w:color="0077BD"/>
              <w:right w:val="single" w:sz="8" w:space="0" w:color="0077BD"/>
            </w:tcBorders>
            <w:shd w:val="clear" w:color="auto" w:fill="auto"/>
            <w:noWrap/>
            <w:vAlign w:val="center"/>
          </w:tcPr>
          <w:p w14:paraId="1391BBC8" w14:textId="3489BB08"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58DD980F" w14:textId="4285D365"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481F5E53" w14:textId="6E491153"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(277)</w:t>
            </w:r>
          </w:p>
        </w:tc>
        <w:tc>
          <w:tcPr>
            <w:tcW w:w="1426" w:type="dxa"/>
            <w:tcBorders>
              <w:top w:val="nil"/>
              <w:left w:val="nil"/>
              <w:bottom w:val="single" w:sz="4" w:space="0" w:color="0077BD"/>
              <w:right w:val="nil"/>
            </w:tcBorders>
            <w:shd w:val="clear" w:color="auto" w:fill="auto"/>
            <w:noWrap/>
            <w:vAlign w:val="center"/>
          </w:tcPr>
          <w:p w14:paraId="76727F0D" w14:textId="062AECF5"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r>
      <w:tr w:rsidR="007702AD" w:rsidRPr="0068723D" w14:paraId="4D306819"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6C282566" w14:textId="726E0759" w:rsidR="007702AD" w:rsidRPr="000811A8" w:rsidRDefault="007702AD" w:rsidP="007702AD">
            <w:pPr>
              <w:rPr>
                <w:rFonts w:cs="Calibri"/>
                <w:color w:val="000000" w:themeColor="text1"/>
                <w:sz w:val="12"/>
                <w:szCs w:val="12"/>
              </w:rPr>
            </w:pPr>
            <w:r w:rsidRPr="000811A8">
              <w:rPr>
                <w:rFonts w:cs="Calibri"/>
                <w:color w:val="000000" w:themeColor="text1"/>
                <w:sz w:val="12"/>
                <w:szCs w:val="12"/>
              </w:rPr>
              <w:t>Ujęte w pozostałych całkowitych dochodach:</w:t>
            </w:r>
          </w:p>
        </w:tc>
        <w:tc>
          <w:tcPr>
            <w:tcW w:w="1426" w:type="dxa"/>
            <w:tcBorders>
              <w:top w:val="nil"/>
              <w:left w:val="nil"/>
              <w:bottom w:val="single" w:sz="4" w:space="0" w:color="0077BD"/>
              <w:right w:val="single" w:sz="8" w:space="0" w:color="0077BD"/>
            </w:tcBorders>
            <w:shd w:val="clear" w:color="auto" w:fill="auto"/>
            <w:noWrap/>
            <w:vAlign w:val="center"/>
          </w:tcPr>
          <w:p w14:paraId="5B2FB430" w14:textId="0215C0FB"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50207246" w14:textId="41BE9DE9"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07CCC34C" w14:textId="4881D164" w:rsidR="007702AD" w:rsidRPr="001B2E1C" w:rsidRDefault="008C25D1" w:rsidP="007702AD">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nil"/>
            </w:tcBorders>
            <w:shd w:val="clear" w:color="auto" w:fill="auto"/>
            <w:noWrap/>
            <w:vAlign w:val="center"/>
          </w:tcPr>
          <w:p w14:paraId="556CE23F" w14:textId="1725D63D" w:rsidR="007702AD" w:rsidRPr="001B2E1C" w:rsidRDefault="00373B68" w:rsidP="007702AD">
            <w:pPr>
              <w:jc w:val="right"/>
              <w:rPr>
                <w:rFonts w:cs="Calibri"/>
                <w:color w:val="000000" w:themeColor="text1"/>
                <w:sz w:val="12"/>
                <w:szCs w:val="12"/>
              </w:rPr>
            </w:pPr>
            <w:r>
              <w:rPr>
                <w:rFonts w:cs="Calibri"/>
                <w:color w:val="000000" w:themeColor="text1"/>
                <w:sz w:val="12"/>
                <w:szCs w:val="12"/>
              </w:rPr>
              <w:t>(8 352</w:t>
            </w:r>
            <w:r w:rsidR="008C25D1" w:rsidRPr="001B2E1C">
              <w:rPr>
                <w:rFonts w:cs="Calibri"/>
                <w:color w:val="000000" w:themeColor="text1"/>
                <w:sz w:val="12"/>
                <w:szCs w:val="12"/>
              </w:rPr>
              <w:t>)</w:t>
            </w:r>
          </w:p>
        </w:tc>
      </w:tr>
      <w:tr w:rsidR="007702AD" w:rsidRPr="0068723D" w14:paraId="36ABC55C" w14:textId="77777777" w:rsidTr="000811A8">
        <w:trPr>
          <w:trHeight w:val="340"/>
        </w:trPr>
        <w:tc>
          <w:tcPr>
            <w:tcW w:w="3935" w:type="dxa"/>
            <w:tcBorders>
              <w:top w:val="nil"/>
              <w:left w:val="nil"/>
              <w:bottom w:val="single" w:sz="4" w:space="0" w:color="0077BD"/>
              <w:right w:val="single" w:sz="8" w:space="0" w:color="0077BD"/>
            </w:tcBorders>
            <w:shd w:val="clear" w:color="auto" w:fill="auto"/>
            <w:vAlign w:val="center"/>
            <w:hideMark/>
          </w:tcPr>
          <w:p w14:paraId="55165F6C" w14:textId="26F70E1C" w:rsidR="007702AD" w:rsidRPr="000811A8" w:rsidRDefault="007702AD" w:rsidP="007702AD">
            <w:pPr>
              <w:ind w:left="112" w:firstLineChars="6" w:firstLine="7"/>
              <w:rPr>
                <w:rFonts w:cs="Calibri"/>
                <w:i/>
                <w:iCs/>
                <w:color w:val="000000" w:themeColor="text1"/>
                <w:sz w:val="12"/>
                <w:szCs w:val="12"/>
              </w:rPr>
            </w:pPr>
            <w:r w:rsidRPr="000811A8">
              <w:rPr>
                <w:rFonts w:cs="Calibri"/>
                <w:i/>
                <w:iCs/>
                <w:color w:val="000000" w:themeColor="text1"/>
                <w:sz w:val="12"/>
                <w:szCs w:val="12"/>
              </w:rPr>
              <w:t>Aktywa finansowe wyceniane w wartości godziwej przez pozostałe całkowite dochody</w:t>
            </w:r>
          </w:p>
        </w:tc>
        <w:tc>
          <w:tcPr>
            <w:tcW w:w="1426" w:type="dxa"/>
            <w:tcBorders>
              <w:top w:val="nil"/>
              <w:left w:val="nil"/>
              <w:bottom w:val="single" w:sz="4" w:space="0" w:color="0077BD"/>
              <w:right w:val="single" w:sz="8" w:space="0" w:color="0077BD"/>
            </w:tcBorders>
            <w:shd w:val="clear" w:color="auto" w:fill="auto"/>
            <w:noWrap/>
            <w:vAlign w:val="center"/>
          </w:tcPr>
          <w:p w14:paraId="565791FE" w14:textId="181FCF24"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78889C5B" w14:textId="3E8F394F"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2BE33C28" w14:textId="16577B93" w:rsidR="007702AD" w:rsidRPr="001B2E1C" w:rsidRDefault="008C25D1" w:rsidP="007702AD">
            <w:pPr>
              <w:jc w:val="right"/>
              <w:rPr>
                <w:rFonts w:cs="Calibri"/>
                <w:i/>
                <w:iCs/>
                <w:color w:val="000000" w:themeColor="text1"/>
                <w:sz w:val="12"/>
                <w:szCs w:val="12"/>
              </w:rPr>
            </w:pPr>
            <w:r w:rsidRPr="001B2E1C">
              <w:rPr>
                <w:rFonts w:cs="Calibri"/>
                <w:i/>
                <w:iCs/>
                <w:color w:val="000000" w:themeColor="text1"/>
                <w:sz w:val="12"/>
                <w:szCs w:val="12"/>
              </w:rPr>
              <w:t>-</w:t>
            </w:r>
          </w:p>
        </w:tc>
        <w:tc>
          <w:tcPr>
            <w:tcW w:w="1426" w:type="dxa"/>
            <w:tcBorders>
              <w:top w:val="nil"/>
              <w:left w:val="nil"/>
              <w:bottom w:val="single" w:sz="4" w:space="0" w:color="0077BD"/>
              <w:right w:val="nil"/>
            </w:tcBorders>
            <w:shd w:val="clear" w:color="auto" w:fill="auto"/>
            <w:noWrap/>
            <w:vAlign w:val="center"/>
          </w:tcPr>
          <w:p w14:paraId="47878FFD" w14:textId="5446C14B" w:rsidR="007702AD" w:rsidRPr="001B2E1C" w:rsidRDefault="00373B68" w:rsidP="007702AD">
            <w:pPr>
              <w:jc w:val="right"/>
              <w:rPr>
                <w:rFonts w:cs="Calibri"/>
                <w:i/>
                <w:iCs/>
                <w:color w:val="000000" w:themeColor="text1"/>
                <w:sz w:val="12"/>
                <w:szCs w:val="12"/>
              </w:rPr>
            </w:pPr>
            <w:r>
              <w:rPr>
                <w:rFonts w:cs="Calibri"/>
                <w:i/>
                <w:iCs/>
                <w:color w:val="000000" w:themeColor="text1"/>
                <w:sz w:val="12"/>
                <w:szCs w:val="12"/>
              </w:rPr>
              <w:t>(8 352</w:t>
            </w:r>
            <w:r w:rsidR="008C25D1" w:rsidRPr="001B2E1C">
              <w:rPr>
                <w:rFonts w:cs="Calibri"/>
                <w:i/>
                <w:iCs/>
                <w:color w:val="000000" w:themeColor="text1"/>
                <w:sz w:val="12"/>
                <w:szCs w:val="12"/>
              </w:rPr>
              <w:t>)</w:t>
            </w:r>
          </w:p>
        </w:tc>
      </w:tr>
      <w:tr w:rsidR="00CE436A" w:rsidRPr="0068723D" w14:paraId="39A23F1E"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76BF3C33" w14:textId="77777777" w:rsidR="00CE436A" w:rsidRPr="000811A8" w:rsidRDefault="00CE436A" w:rsidP="00CE436A">
            <w:pPr>
              <w:rPr>
                <w:rFonts w:cs="Calibri"/>
                <w:color w:val="000000" w:themeColor="text1"/>
                <w:sz w:val="12"/>
                <w:szCs w:val="12"/>
              </w:rPr>
            </w:pPr>
            <w:r w:rsidRPr="000811A8">
              <w:rPr>
                <w:rFonts w:cs="Calibri"/>
                <w:color w:val="000000" w:themeColor="text1"/>
                <w:sz w:val="12"/>
                <w:szCs w:val="12"/>
              </w:rPr>
              <w:t>Nabycie</w:t>
            </w:r>
          </w:p>
        </w:tc>
        <w:tc>
          <w:tcPr>
            <w:tcW w:w="142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175724E" w14:textId="384D2A14"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1 330 096</w:t>
            </w:r>
          </w:p>
        </w:tc>
        <w:tc>
          <w:tcPr>
            <w:tcW w:w="1426" w:type="dxa"/>
            <w:tcBorders>
              <w:top w:val="nil"/>
              <w:left w:val="nil"/>
              <w:bottom w:val="single" w:sz="4" w:space="0" w:color="0077BD"/>
              <w:right w:val="single" w:sz="8" w:space="0" w:color="0077BD"/>
            </w:tcBorders>
            <w:shd w:val="clear" w:color="auto" w:fill="auto"/>
            <w:noWrap/>
            <w:vAlign w:val="center"/>
          </w:tcPr>
          <w:p w14:paraId="31AEE4E4" w14:textId="64B7E12E"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1D8FCE68" w14:textId="1C918225"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11 055</w:t>
            </w:r>
          </w:p>
        </w:tc>
        <w:tc>
          <w:tcPr>
            <w:tcW w:w="1426" w:type="dxa"/>
            <w:tcBorders>
              <w:top w:val="single" w:sz="4" w:space="0" w:color="0077BD"/>
              <w:left w:val="single" w:sz="8" w:space="0" w:color="0077BD"/>
              <w:bottom w:val="single" w:sz="4" w:space="0" w:color="0077BD"/>
            </w:tcBorders>
            <w:shd w:val="clear" w:color="auto" w:fill="auto"/>
            <w:noWrap/>
            <w:vAlign w:val="center"/>
          </w:tcPr>
          <w:p w14:paraId="30EE1B83" w14:textId="0A4BB2DC"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1 098 460</w:t>
            </w:r>
          </w:p>
        </w:tc>
      </w:tr>
      <w:tr w:rsidR="00CE436A" w:rsidRPr="0068723D" w14:paraId="630E55AA"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205C232A" w14:textId="77777777" w:rsidR="00CE436A" w:rsidRPr="000811A8" w:rsidRDefault="00CE436A" w:rsidP="00CE436A">
            <w:pPr>
              <w:rPr>
                <w:rFonts w:cs="Calibri"/>
                <w:color w:val="000000" w:themeColor="text1"/>
                <w:sz w:val="12"/>
                <w:szCs w:val="12"/>
              </w:rPr>
            </w:pPr>
            <w:r w:rsidRPr="000811A8">
              <w:rPr>
                <w:rFonts w:cs="Calibri"/>
                <w:color w:val="000000" w:themeColor="text1"/>
                <w:sz w:val="12"/>
                <w:szCs w:val="12"/>
              </w:rPr>
              <w:t>Wykupy</w:t>
            </w:r>
          </w:p>
        </w:tc>
        <w:tc>
          <w:tcPr>
            <w:tcW w:w="1426" w:type="dxa"/>
            <w:tcBorders>
              <w:top w:val="nil"/>
              <w:left w:val="single" w:sz="8" w:space="0" w:color="0077BD"/>
              <w:bottom w:val="single" w:sz="4" w:space="0" w:color="0077BD"/>
              <w:right w:val="single" w:sz="8" w:space="0" w:color="0077BD"/>
            </w:tcBorders>
            <w:shd w:val="clear" w:color="auto" w:fill="auto"/>
            <w:noWrap/>
            <w:vAlign w:val="center"/>
          </w:tcPr>
          <w:p w14:paraId="09BDBDC1" w14:textId="03542274"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(233 141)</w:t>
            </w:r>
          </w:p>
        </w:tc>
        <w:tc>
          <w:tcPr>
            <w:tcW w:w="1426" w:type="dxa"/>
            <w:tcBorders>
              <w:top w:val="nil"/>
              <w:left w:val="nil"/>
              <w:bottom w:val="single" w:sz="4" w:space="0" w:color="0077BD"/>
              <w:right w:val="single" w:sz="8" w:space="0" w:color="0077BD"/>
            </w:tcBorders>
            <w:shd w:val="clear" w:color="auto" w:fill="auto"/>
            <w:noWrap/>
            <w:vAlign w:val="center"/>
          </w:tcPr>
          <w:p w14:paraId="4F255121" w14:textId="6F2A6528"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65A64BC8" w14:textId="60169200"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single" w:sz="4" w:space="0" w:color="0077BD"/>
              <w:left w:val="single" w:sz="8" w:space="0" w:color="0077BD"/>
              <w:bottom w:val="single" w:sz="4" w:space="0" w:color="0077BD"/>
            </w:tcBorders>
            <w:shd w:val="clear" w:color="auto" w:fill="auto"/>
            <w:noWrap/>
            <w:vAlign w:val="center"/>
          </w:tcPr>
          <w:p w14:paraId="37B62DF8" w14:textId="151957A6"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(274 629)</w:t>
            </w:r>
          </w:p>
        </w:tc>
      </w:tr>
      <w:tr w:rsidR="00CE436A" w:rsidRPr="0068723D" w14:paraId="0B50E67F" w14:textId="77777777" w:rsidTr="000811A8">
        <w:trPr>
          <w:trHeight w:val="227"/>
        </w:trPr>
        <w:tc>
          <w:tcPr>
            <w:tcW w:w="3935" w:type="dxa"/>
            <w:tcBorders>
              <w:top w:val="nil"/>
              <w:left w:val="nil"/>
              <w:bottom w:val="single" w:sz="4" w:space="0" w:color="0077BD"/>
              <w:right w:val="single" w:sz="8" w:space="0" w:color="0077BD"/>
            </w:tcBorders>
            <w:shd w:val="clear" w:color="auto" w:fill="auto"/>
            <w:vAlign w:val="center"/>
            <w:hideMark/>
          </w:tcPr>
          <w:p w14:paraId="37F93B0B" w14:textId="77777777" w:rsidR="00CE436A" w:rsidRPr="000811A8" w:rsidRDefault="00CE436A" w:rsidP="00CE436A">
            <w:pPr>
              <w:rPr>
                <w:rFonts w:cs="Calibri"/>
                <w:color w:val="000000" w:themeColor="text1"/>
                <w:sz w:val="12"/>
                <w:szCs w:val="12"/>
              </w:rPr>
            </w:pPr>
            <w:r w:rsidRPr="000811A8">
              <w:rPr>
                <w:rFonts w:cs="Calibri"/>
                <w:color w:val="000000" w:themeColor="text1"/>
                <w:sz w:val="12"/>
                <w:szCs w:val="12"/>
              </w:rPr>
              <w:t>Sprzedaże</w:t>
            </w:r>
          </w:p>
        </w:tc>
        <w:tc>
          <w:tcPr>
            <w:tcW w:w="1426" w:type="dxa"/>
            <w:tcBorders>
              <w:top w:val="nil"/>
              <w:left w:val="single" w:sz="8" w:space="0" w:color="0077BD"/>
              <w:bottom w:val="single" w:sz="4" w:space="0" w:color="0077BD"/>
              <w:right w:val="single" w:sz="8" w:space="0" w:color="0077BD"/>
            </w:tcBorders>
            <w:shd w:val="clear" w:color="auto" w:fill="auto"/>
            <w:noWrap/>
            <w:vAlign w:val="center"/>
          </w:tcPr>
          <w:p w14:paraId="6F5AD821" w14:textId="4DBA5FCE"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(3 246 823)</w:t>
            </w:r>
          </w:p>
        </w:tc>
        <w:tc>
          <w:tcPr>
            <w:tcW w:w="1426" w:type="dxa"/>
            <w:tcBorders>
              <w:top w:val="nil"/>
              <w:left w:val="nil"/>
              <w:bottom w:val="single" w:sz="4" w:space="0" w:color="0077BD"/>
              <w:right w:val="single" w:sz="8" w:space="0" w:color="0077BD"/>
            </w:tcBorders>
            <w:shd w:val="clear" w:color="auto" w:fill="auto"/>
            <w:noWrap/>
            <w:vAlign w:val="center"/>
          </w:tcPr>
          <w:p w14:paraId="0B22609A" w14:textId="1350A463"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4" w:space="0" w:color="0077BD"/>
              <w:right w:val="single" w:sz="8" w:space="0" w:color="0077BD"/>
            </w:tcBorders>
            <w:shd w:val="clear" w:color="auto" w:fill="auto"/>
            <w:noWrap/>
            <w:vAlign w:val="center"/>
          </w:tcPr>
          <w:p w14:paraId="40E0BC1A" w14:textId="64062EDB"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(10 891)</w:t>
            </w:r>
          </w:p>
        </w:tc>
        <w:tc>
          <w:tcPr>
            <w:tcW w:w="1426" w:type="dxa"/>
            <w:tcBorders>
              <w:top w:val="single" w:sz="4" w:space="0" w:color="0077BD"/>
              <w:left w:val="single" w:sz="8" w:space="0" w:color="0077BD"/>
              <w:bottom w:val="single" w:sz="4" w:space="0" w:color="0077BD"/>
            </w:tcBorders>
            <w:shd w:val="clear" w:color="auto" w:fill="auto"/>
            <w:noWrap/>
            <w:vAlign w:val="center"/>
          </w:tcPr>
          <w:p w14:paraId="089D0837" w14:textId="084437DA"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(1 838 078)</w:t>
            </w:r>
          </w:p>
        </w:tc>
      </w:tr>
      <w:tr w:rsidR="00CE436A" w:rsidRPr="0068723D" w14:paraId="554AEF8C" w14:textId="77777777" w:rsidTr="000811A8">
        <w:trPr>
          <w:trHeight w:val="227"/>
        </w:trPr>
        <w:tc>
          <w:tcPr>
            <w:tcW w:w="3935" w:type="dxa"/>
            <w:tcBorders>
              <w:top w:val="nil"/>
              <w:left w:val="nil"/>
              <w:bottom w:val="single" w:sz="8" w:space="0" w:color="0077BD"/>
              <w:right w:val="single" w:sz="8" w:space="0" w:color="0077BD"/>
            </w:tcBorders>
            <w:shd w:val="clear" w:color="auto" w:fill="auto"/>
            <w:vAlign w:val="center"/>
            <w:hideMark/>
          </w:tcPr>
          <w:p w14:paraId="39A758AC" w14:textId="77777777" w:rsidR="00CE436A" w:rsidRPr="000811A8" w:rsidRDefault="00CE436A" w:rsidP="00CE436A">
            <w:pPr>
              <w:rPr>
                <w:rFonts w:cs="Calibri"/>
                <w:color w:val="000000" w:themeColor="text1"/>
                <w:sz w:val="12"/>
                <w:szCs w:val="12"/>
              </w:rPr>
            </w:pPr>
            <w:r w:rsidRPr="000811A8">
              <w:rPr>
                <w:rFonts w:cs="Calibri"/>
                <w:color w:val="000000" w:themeColor="text1"/>
                <w:sz w:val="12"/>
                <w:szCs w:val="12"/>
              </w:rPr>
              <w:t>Emisje</w:t>
            </w:r>
          </w:p>
        </w:tc>
        <w:tc>
          <w:tcPr>
            <w:tcW w:w="1426" w:type="dxa"/>
            <w:tcBorders>
              <w:top w:val="nil"/>
              <w:left w:val="single" w:sz="8" w:space="0" w:color="0077BD"/>
              <w:bottom w:val="single" w:sz="4" w:space="0" w:color="0077BD"/>
              <w:right w:val="single" w:sz="8" w:space="0" w:color="0077BD"/>
            </w:tcBorders>
            <w:shd w:val="clear" w:color="auto" w:fill="auto"/>
            <w:noWrap/>
            <w:vAlign w:val="center"/>
          </w:tcPr>
          <w:p w14:paraId="6401A3B6" w14:textId="01FA4D5D"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2 245 704</w:t>
            </w:r>
          </w:p>
        </w:tc>
        <w:tc>
          <w:tcPr>
            <w:tcW w:w="1426" w:type="dxa"/>
            <w:tcBorders>
              <w:top w:val="nil"/>
              <w:left w:val="nil"/>
              <w:bottom w:val="single" w:sz="8" w:space="0" w:color="0077BD"/>
              <w:right w:val="single" w:sz="8" w:space="0" w:color="0077BD"/>
            </w:tcBorders>
            <w:shd w:val="clear" w:color="auto" w:fill="auto"/>
            <w:noWrap/>
            <w:vAlign w:val="center"/>
          </w:tcPr>
          <w:p w14:paraId="2DF2662B" w14:textId="55B83307"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w:t>
            </w:r>
          </w:p>
        </w:tc>
        <w:tc>
          <w:tcPr>
            <w:tcW w:w="1426" w:type="dxa"/>
            <w:tcBorders>
              <w:top w:val="nil"/>
              <w:left w:val="nil"/>
              <w:bottom w:val="single" w:sz="8" w:space="0" w:color="0077BD"/>
              <w:right w:val="single" w:sz="8" w:space="0" w:color="0077BD"/>
            </w:tcBorders>
            <w:shd w:val="clear" w:color="auto" w:fill="auto"/>
            <w:noWrap/>
            <w:vAlign w:val="center"/>
          </w:tcPr>
          <w:p w14:paraId="47464C6C" w14:textId="7F4D41AE" w:rsidR="00CE436A" w:rsidRPr="001B2E1C" w:rsidRDefault="001B2E1C" w:rsidP="00CE436A">
            <w:pPr>
              <w:jc w:val="right"/>
              <w:rPr>
                <w:rFonts w:cs="Calibri"/>
                <w:color w:val="000000" w:themeColor="text1"/>
                <w:sz w:val="12"/>
                <w:szCs w:val="12"/>
              </w:rPr>
            </w:pPr>
            <w:r w:rsidRPr="001B2E1C">
              <w:rPr>
                <w:rFonts w:cs="Calibri"/>
                <w:color w:val="000000" w:themeColor="text1"/>
                <w:sz w:val="12"/>
                <w:szCs w:val="12"/>
              </w:rPr>
              <w:t>14 581</w:t>
            </w:r>
            <w:r w:rsidR="00CE436A" w:rsidRPr="001B2E1C">
              <w:rPr>
                <w:rFonts w:cs="Calibri"/>
                <w:color w:val="000000" w:themeColor="text1"/>
                <w:sz w:val="12"/>
                <w:szCs w:val="12"/>
              </w:rPr>
              <w:t xml:space="preserve"> </w:t>
            </w:r>
          </w:p>
        </w:tc>
        <w:tc>
          <w:tcPr>
            <w:tcW w:w="1426" w:type="dxa"/>
            <w:tcBorders>
              <w:top w:val="single" w:sz="4" w:space="0" w:color="0077BD"/>
              <w:left w:val="single" w:sz="8" w:space="0" w:color="0077BD"/>
              <w:bottom w:val="single" w:sz="8" w:space="0" w:color="0077BD"/>
            </w:tcBorders>
            <w:shd w:val="clear" w:color="auto" w:fill="auto"/>
            <w:noWrap/>
            <w:vAlign w:val="center"/>
          </w:tcPr>
          <w:p w14:paraId="6EEEAC0A" w14:textId="3C1F50AE" w:rsidR="00CE436A" w:rsidRPr="001B2E1C" w:rsidRDefault="00CE436A" w:rsidP="00CE436A">
            <w:pPr>
              <w:jc w:val="right"/>
              <w:rPr>
                <w:rFonts w:cs="Calibri"/>
                <w:color w:val="000000" w:themeColor="text1"/>
                <w:sz w:val="12"/>
                <w:szCs w:val="12"/>
              </w:rPr>
            </w:pPr>
            <w:r w:rsidRPr="001B2E1C">
              <w:rPr>
                <w:rFonts w:cs="Calibri"/>
                <w:color w:val="000000" w:themeColor="text1"/>
                <w:sz w:val="12"/>
                <w:szCs w:val="12"/>
              </w:rPr>
              <w:t>788 410</w:t>
            </w:r>
          </w:p>
        </w:tc>
      </w:tr>
      <w:tr w:rsidR="00E32D33" w:rsidRPr="0068723D" w14:paraId="3A0CB81B" w14:textId="77777777" w:rsidTr="000811A8">
        <w:trPr>
          <w:trHeight w:val="227"/>
        </w:trPr>
        <w:tc>
          <w:tcPr>
            <w:tcW w:w="3935" w:type="dxa"/>
            <w:tcBorders>
              <w:top w:val="single" w:sz="8" w:space="0" w:color="0077BD"/>
              <w:left w:val="nil"/>
              <w:bottom w:val="single" w:sz="8" w:space="0" w:color="0077BD"/>
              <w:right w:val="single" w:sz="8" w:space="0" w:color="0077BD"/>
            </w:tcBorders>
            <w:shd w:val="clear" w:color="auto" w:fill="auto"/>
            <w:vAlign w:val="center"/>
            <w:hideMark/>
          </w:tcPr>
          <w:p w14:paraId="36D4A7B3" w14:textId="77777777" w:rsidR="00E32D33" w:rsidRPr="000811A8" w:rsidRDefault="00E32D33" w:rsidP="009E7EB5">
            <w:pPr>
              <w:rPr>
                <w:rFonts w:cs="Calibri"/>
                <w:b/>
                <w:bCs/>
                <w:color w:val="000000" w:themeColor="text1"/>
                <w:sz w:val="12"/>
                <w:szCs w:val="12"/>
              </w:rPr>
            </w:pPr>
            <w:r w:rsidRPr="000811A8">
              <w:rPr>
                <w:rFonts w:cs="Calibri"/>
                <w:b/>
                <w:bCs/>
                <w:color w:val="000000" w:themeColor="text1"/>
                <w:sz w:val="12"/>
                <w:szCs w:val="12"/>
              </w:rPr>
              <w:t>Bilans zamknięcia</w:t>
            </w:r>
          </w:p>
        </w:tc>
        <w:tc>
          <w:tcPr>
            <w:tcW w:w="1426" w:type="dxa"/>
            <w:tcBorders>
              <w:top w:val="single" w:sz="8" w:space="0" w:color="0077BD"/>
              <w:left w:val="nil"/>
              <w:bottom w:val="single" w:sz="8" w:space="0" w:color="0077BD"/>
              <w:right w:val="single" w:sz="8" w:space="0" w:color="0077BD"/>
            </w:tcBorders>
            <w:shd w:val="clear" w:color="auto" w:fill="auto"/>
            <w:noWrap/>
            <w:vAlign w:val="center"/>
          </w:tcPr>
          <w:p w14:paraId="17324FB4" w14:textId="6E274E56" w:rsidR="00E32D33" w:rsidRPr="001B2E1C" w:rsidRDefault="00CE436A" w:rsidP="009E7EB5">
            <w:pPr>
              <w:jc w:val="right"/>
              <w:rPr>
                <w:rFonts w:cs="Calibri"/>
                <w:b/>
                <w:bCs/>
                <w:color w:val="000000" w:themeColor="text1"/>
                <w:sz w:val="12"/>
                <w:szCs w:val="12"/>
              </w:rPr>
            </w:pPr>
            <w:r w:rsidRPr="001B2E1C">
              <w:rPr>
                <w:rFonts w:cs="Calibri"/>
                <w:b/>
                <w:bCs/>
                <w:color w:val="000000" w:themeColor="text1"/>
                <w:sz w:val="12"/>
                <w:szCs w:val="12"/>
              </w:rPr>
              <w:t>403 028</w:t>
            </w:r>
          </w:p>
        </w:tc>
        <w:tc>
          <w:tcPr>
            <w:tcW w:w="1426" w:type="dxa"/>
            <w:tcBorders>
              <w:top w:val="single" w:sz="8" w:space="0" w:color="0077BD"/>
              <w:left w:val="nil"/>
              <w:bottom w:val="single" w:sz="8" w:space="0" w:color="0077BD"/>
              <w:right w:val="single" w:sz="8" w:space="0" w:color="0077BD"/>
            </w:tcBorders>
            <w:shd w:val="clear" w:color="auto" w:fill="auto"/>
            <w:noWrap/>
            <w:vAlign w:val="center"/>
          </w:tcPr>
          <w:p w14:paraId="00285F6C" w14:textId="0459B7A9" w:rsidR="00E32D33" w:rsidRPr="001B2E1C" w:rsidRDefault="00CE436A" w:rsidP="009E7EB5">
            <w:pPr>
              <w:jc w:val="right"/>
              <w:rPr>
                <w:rFonts w:cs="Calibri"/>
                <w:b/>
                <w:bCs/>
                <w:color w:val="000000" w:themeColor="text1"/>
                <w:sz w:val="12"/>
                <w:szCs w:val="12"/>
              </w:rPr>
            </w:pPr>
            <w:r w:rsidRPr="001B2E1C">
              <w:rPr>
                <w:rFonts w:cs="Calibri"/>
                <w:b/>
                <w:bCs/>
                <w:color w:val="000000" w:themeColor="text1"/>
                <w:sz w:val="12"/>
                <w:szCs w:val="12"/>
              </w:rPr>
              <w:t>133 774</w:t>
            </w:r>
          </w:p>
        </w:tc>
        <w:tc>
          <w:tcPr>
            <w:tcW w:w="1426" w:type="dxa"/>
            <w:tcBorders>
              <w:top w:val="single" w:sz="8" w:space="0" w:color="0077BD"/>
              <w:left w:val="nil"/>
              <w:bottom w:val="single" w:sz="8" w:space="0" w:color="0077BD"/>
              <w:right w:val="single" w:sz="8" w:space="0" w:color="0077BD"/>
            </w:tcBorders>
            <w:shd w:val="clear" w:color="auto" w:fill="auto"/>
            <w:noWrap/>
            <w:vAlign w:val="center"/>
          </w:tcPr>
          <w:p w14:paraId="27E15A19" w14:textId="7B0C4A26" w:rsidR="00E32D33" w:rsidRPr="001B2E1C" w:rsidRDefault="00CE436A" w:rsidP="009E7EB5">
            <w:pPr>
              <w:jc w:val="right"/>
              <w:rPr>
                <w:rFonts w:cs="Calibri"/>
                <w:b/>
                <w:bCs/>
                <w:color w:val="000000" w:themeColor="text1"/>
                <w:sz w:val="12"/>
                <w:szCs w:val="12"/>
              </w:rPr>
            </w:pPr>
            <w:r w:rsidRPr="001B2E1C">
              <w:rPr>
                <w:rFonts w:cs="Calibri"/>
                <w:b/>
                <w:bCs/>
                <w:color w:val="000000" w:themeColor="text1"/>
                <w:sz w:val="12"/>
                <w:szCs w:val="12"/>
              </w:rPr>
              <w:t>161 791</w:t>
            </w:r>
          </w:p>
        </w:tc>
        <w:tc>
          <w:tcPr>
            <w:tcW w:w="1426" w:type="dxa"/>
            <w:tcBorders>
              <w:top w:val="single" w:sz="8" w:space="0" w:color="0077BD"/>
              <w:left w:val="nil"/>
              <w:bottom w:val="single" w:sz="8" w:space="0" w:color="0077BD"/>
              <w:right w:val="nil"/>
            </w:tcBorders>
            <w:shd w:val="clear" w:color="auto" w:fill="auto"/>
            <w:noWrap/>
            <w:vAlign w:val="center"/>
          </w:tcPr>
          <w:p w14:paraId="0B4A3CD7" w14:textId="49183B17" w:rsidR="00E32D33" w:rsidRPr="001B2E1C" w:rsidRDefault="009F6F32" w:rsidP="009F6F32">
            <w:pPr>
              <w:jc w:val="right"/>
              <w:rPr>
                <w:rFonts w:cs="Calibri"/>
                <w:b/>
                <w:bCs/>
                <w:color w:val="000000" w:themeColor="text1"/>
                <w:sz w:val="12"/>
                <w:szCs w:val="12"/>
              </w:rPr>
            </w:pPr>
            <w:r>
              <w:rPr>
                <w:rFonts w:cs="Calibri"/>
                <w:b/>
                <w:bCs/>
                <w:color w:val="000000" w:themeColor="text1"/>
                <w:sz w:val="12"/>
                <w:szCs w:val="12"/>
              </w:rPr>
              <w:t>1 032</w:t>
            </w:r>
            <w:r w:rsidR="008C25D1" w:rsidRPr="001B2E1C">
              <w:rPr>
                <w:rFonts w:cs="Calibri"/>
                <w:b/>
                <w:bCs/>
                <w:color w:val="000000" w:themeColor="text1"/>
                <w:sz w:val="12"/>
                <w:szCs w:val="12"/>
              </w:rPr>
              <w:t xml:space="preserve"> </w:t>
            </w:r>
            <w:r>
              <w:rPr>
                <w:rFonts w:cs="Calibri"/>
                <w:b/>
                <w:bCs/>
                <w:color w:val="000000" w:themeColor="text1"/>
                <w:sz w:val="12"/>
                <w:szCs w:val="12"/>
              </w:rPr>
              <w:t>369</w:t>
            </w:r>
          </w:p>
        </w:tc>
      </w:tr>
    </w:tbl>
    <w:p w14:paraId="17E6BB7E" w14:textId="77777777" w:rsidR="002E715D" w:rsidRDefault="002E715D">
      <w:pPr>
        <w:rPr>
          <w:rFonts w:cs="Tahoma"/>
          <w:color w:val="000000" w:themeColor="text1"/>
          <w:sz w:val="18"/>
          <w:szCs w:val="18"/>
        </w:rPr>
      </w:pPr>
      <w:r>
        <w:rPr>
          <w:rFonts w:cs="Tahoma"/>
          <w:color w:val="000000" w:themeColor="text1"/>
          <w:sz w:val="18"/>
          <w:szCs w:val="18"/>
        </w:rPr>
        <w:br w:type="page"/>
      </w:r>
    </w:p>
    <w:tbl>
      <w:tblPr>
        <w:tblW w:w="0" w:type="auto"/>
        <w:tblCellMar>
          <w:left w:w="28" w:type="dxa"/>
          <w:right w:w="28" w:type="dxa"/>
        </w:tblCellMar>
        <w:tblLook w:val="04A0" w:firstRow="1" w:lastRow="0" w:firstColumn="1" w:lastColumn="0" w:noHBand="0" w:noVBand="1"/>
      </w:tblPr>
      <w:tblGrid>
        <w:gridCol w:w="3909"/>
        <w:gridCol w:w="1418"/>
        <w:gridCol w:w="1418"/>
        <w:gridCol w:w="1418"/>
        <w:gridCol w:w="1418"/>
      </w:tblGrid>
      <w:tr w:rsidR="00194BC5" w:rsidRPr="005573B4" w14:paraId="04F272C6" w14:textId="77777777" w:rsidTr="00B567EF">
        <w:trPr>
          <w:trHeight w:val="284"/>
        </w:trPr>
        <w:tc>
          <w:tcPr>
            <w:tcW w:w="0" w:type="auto"/>
            <w:vMerge w:val="restart"/>
            <w:tcBorders>
              <w:top w:val="nil"/>
              <w:left w:val="nil"/>
              <w:bottom w:val="single" w:sz="4" w:space="0" w:color="FFFFFF"/>
              <w:right w:val="nil"/>
            </w:tcBorders>
            <w:shd w:val="clear" w:color="000000" w:fill="0077BD"/>
            <w:noWrap/>
            <w:vAlign w:val="center"/>
            <w:hideMark/>
          </w:tcPr>
          <w:p w14:paraId="5D173E20" w14:textId="77777777" w:rsidR="00194BC5" w:rsidRPr="005573B4" w:rsidRDefault="00194BC5" w:rsidP="009E7EB5">
            <w:pPr>
              <w:rPr>
                <w:b/>
                <w:bCs/>
                <w:color w:val="FFFFFF"/>
                <w:sz w:val="12"/>
                <w:szCs w:val="12"/>
              </w:rPr>
            </w:pPr>
            <w:r w:rsidRPr="005573B4">
              <w:rPr>
                <w:b/>
                <w:bCs/>
                <w:color w:val="FFFFFF"/>
                <w:sz w:val="12"/>
                <w:szCs w:val="12"/>
              </w:rPr>
              <w:lastRenderedPageBreak/>
              <w:t>31.12.2018</w:t>
            </w:r>
          </w:p>
        </w:tc>
        <w:tc>
          <w:tcPr>
            <w:tcW w:w="1418" w:type="dxa"/>
            <w:vMerge w:val="restart"/>
            <w:tcBorders>
              <w:top w:val="nil"/>
              <w:left w:val="single" w:sz="8" w:space="0" w:color="FFFFFF"/>
              <w:bottom w:val="nil"/>
              <w:right w:val="single" w:sz="8" w:space="0" w:color="FFFFFF"/>
            </w:tcBorders>
            <w:shd w:val="clear" w:color="000000" w:fill="0077BD"/>
            <w:vAlign w:val="center"/>
            <w:hideMark/>
          </w:tcPr>
          <w:p w14:paraId="5FB727CA" w14:textId="77777777" w:rsidR="00194BC5" w:rsidRPr="005573B4" w:rsidRDefault="00194BC5" w:rsidP="009E7EB5">
            <w:pPr>
              <w:rPr>
                <w:b/>
                <w:bCs/>
                <w:color w:val="FFFFFF"/>
                <w:sz w:val="12"/>
                <w:szCs w:val="12"/>
              </w:rPr>
            </w:pPr>
            <w:r w:rsidRPr="005573B4">
              <w:rPr>
                <w:b/>
                <w:bCs/>
                <w:color w:val="FFFFFF"/>
                <w:sz w:val="12"/>
                <w:szCs w:val="12"/>
              </w:rPr>
              <w:t>w tym:</w:t>
            </w:r>
          </w:p>
        </w:tc>
        <w:tc>
          <w:tcPr>
            <w:tcW w:w="1418" w:type="dxa"/>
            <w:tcBorders>
              <w:top w:val="nil"/>
              <w:left w:val="nil"/>
              <w:bottom w:val="single" w:sz="8" w:space="0" w:color="FFFFFF"/>
              <w:right w:val="single" w:sz="8" w:space="0" w:color="FFFFFF"/>
            </w:tcBorders>
            <w:shd w:val="clear" w:color="000000" w:fill="0077BD"/>
            <w:vAlign w:val="center"/>
            <w:hideMark/>
          </w:tcPr>
          <w:p w14:paraId="107E6C3E" w14:textId="77777777" w:rsidR="00194BC5" w:rsidRPr="005573B4" w:rsidRDefault="00194BC5" w:rsidP="009E7EB5">
            <w:pPr>
              <w:jc w:val="right"/>
              <w:rPr>
                <w:b/>
                <w:bCs/>
                <w:color w:val="FFFFFF"/>
                <w:sz w:val="12"/>
                <w:szCs w:val="12"/>
              </w:rPr>
            </w:pPr>
            <w:r w:rsidRPr="005573B4">
              <w:rPr>
                <w:b/>
                <w:bCs/>
                <w:color w:val="FFFFFF"/>
                <w:sz w:val="12"/>
                <w:szCs w:val="12"/>
              </w:rPr>
              <w:t>Poziom 1</w:t>
            </w:r>
          </w:p>
        </w:tc>
        <w:tc>
          <w:tcPr>
            <w:tcW w:w="1418" w:type="dxa"/>
            <w:tcBorders>
              <w:top w:val="nil"/>
              <w:left w:val="nil"/>
              <w:bottom w:val="single" w:sz="8" w:space="0" w:color="FFFFFF"/>
              <w:right w:val="single" w:sz="8" w:space="0" w:color="FFFFFF"/>
            </w:tcBorders>
            <w:shd w:val="clear" w:color="000000" w:fill="0077BD"/>
            <w:vAlign w:val="center"/>
            <w:hideMark/>
          </w:tcPr>
          <w:p w14:paraId="5D0B43AA" w14:textId="77777777" w:rsidR="00194BC5" w:rsidRPr="005573B4" w:rsidRDefault="00194BC5" w:rsidP="009E7EB5">
            <w:pPr>
              <w:jc w:val="right"/>
              <w:rPr>
                <w:b/>
                <w:bCs/>
                <w:color w:val="FFFFFF"/>
                <w:sz w:val="12"/>
                <w:szCs w:val="12"/>
              </w:rPr>
            </w:pPr>
            <w:r w:rsidRPr="005573B4">
              <w:rPr>
                <w:b/>
                <w:bCs/>
                <w:color w:val="FFFFFF"/>
                <w:sz w:val="12"/>
                <w:szCs w:val="12"/>
              </w:rPr>
              <w:t>Poziom 2</w:t>
            </w:r>
          </w:p>
        </w:tc>
        <w:tc>
          <w:tcPr>
            <w:tcW w:w="1418" w:type="dxa"/>
            <w:tcBorders>
              <w:top w:val="nil"/>
              <w:left w:val="nil"/>
              <w:bottom w:val="single" w:sz="8" w:space="0" w:color="FFFFFF"/>
              <w:right w:val="nil"/>
            </w:tcBorders>
            <w:shd w:val="clear" w:color="000000" w:fill="0077BD"/>
            <w:vAlign w:val="center"/>
            <w:hideMark/>
          </w:tcPr>
          <w:p w14:paraId="142FB2FE" w14:textId="77777777" w:rsidR="00194BC5" w:rsidRPr="005573B4" w:rsidRDefault="00194BC5" w:rsidP="009E7EB5">
            <w:pPr>
              <w:jc w:val="right"/>
              <w:rPr>
                <w:b/>
                <w:bCs/>
                <w:color w:val="FFFFFF"/>
                <w:sz w:val="12"/>
                <w:szCs w:val="12"/>
              </w:rPr>
            </w:pPr>
            <w:r w:rsidRPr="005573B4">
              <w:rPr>
                <w:b/>
                <w:bCs/>
                <w:color w:val="FFFFFF"/>
                <w:sz w:val="12"/>
                <w:szCs w:val="12"/>
              </w:rPr>
              <w:t>Poziom 3</w:t>
            </w:r>
          </w:p>
        </w:tc>
      </w:tr>
      <w:tr w:rsidR="00194BC5" w:rsidRPr="005573B4" w14:paraId="5BDA0A58" w14:textId="77777777" w:rsidTr="00B567EF">
        <w:trPr>
          <w:trHeight w:val="624"/>
        </w:trPr>
        <w:tc>
          <w:tcPr>
            <w:tcW w:w="0" w:type="auto"/>
            <w:vMerge/>
            <w:tcBorders>
              <w:top w:val="nil"/>
              <w:left w:val="nil"/>
              <w:bottom w:val="single" w:sz="4" w:space="0" w:color="FFFFFF"/>
              <w:right w:val="nil"/>
            </w:tcBorders>
            <w:vAlign w:val="center"/>
            <w:hideMark/>
          </w:tcPr>
          <w:p w14:paraId="6429C7C1" w14:textId="77777777" w:rsidR="00194BC5" w:rsidRPr="005573B4" w:rsidRDefault="00194BC5" w:rsidP="009E7EB5">
            <w:pPr>
              <w:rPr>
                <w:b/>
                <w:bCs/>
                <w:color w:val="FFFFFF"/>
                <w:sz w:val="12"/>
                <w:szCs w:val="12"/>
              </w:rPr>
            </w:pPr>
          </w:p>
        </w:tc>
        <w:tc>
          <w:tcPr>
            <w:tcW w:w="1418" w:type="dxa"/>
            <w:vMerge/>
            <w:tcBorders>
              <w:top w:val="nil"/>
              <w:left w:val="single" w:sz="8" w:space="0" w:color="FFFFFF"/>
              <w:bottom w:val="nil"/>
              <w:right w:val="single" w:sz="8" w:space="0" w:color="FFFFFF"/>
            </w:tcBorders>
            <w:vAlign w:val="center"/>
            <w:hideMark/>
          </w:tcPr>
          <w:p w14:paraId="31E12F4D" w14:textId="77777777" w:rsidR="00194BC5" w:rsidRPr="005573B4" w:rsidRDefault="00194BC5" w:rsidP="009E7EB5">
            <w:pPr>
              <w:rPr>
                <w:b/>
                <w:bCs/>
                <w:color w:val="FFFFFF"/>
                <w:sz w:val="12"/>
                <w:szCs w:val="12"/>
              </w:rPr>
            </w:pPr>
          </w:p>
        </w:tc>
        <w:tc>
          <w:tcPr>
            <w:tcW w:w="1418" w:type="dxa"/>
            <w:tcBorders>
              <w:top w:val="nil"/>
              <w:left w:val="nil"/>
              <w:bottom w:val="nil"/>
              <w:right w:val="single" w:sz="8" w:space="0" w:color="FFFFFF"/>
            </w:tcBorders>
            <w:shd w:val="clear" w:color="000000" w:fill="0077BD"/>
            <w:vAlign w:val="center"/>
            <w:hideMark/>
          </w:tcPr>
          <w:p w14:paraId="26E05DF0" w14:textId="77777777" w:rsidR="00194BC5" w:rsidRPr="005573B4" w:rsidRDefault="00194BC5" w:rsidP="009E7EB5">
            <w:pPr>
              <w:jc w:val="right"/>
              <w:rPr>
                <w:b/>
                <w:bCs/>
                <w:color w:val="FFFFFF"/>
                <w:sz w:val="12"/>
                <w:szCs w:val="12"/>
              </w:rPr>
            </w:pPr>
            <w:r w:rsidRPr="005573B4">
              <w:rPr>
                <w:b/>
                <w:bCs/>
                <w:color w:val="FFFFFF"/>
                <w:sz w:val="12"/>
                <w:szCs w:val="12"/>
              </w:rPr>
              <w:t>Ceny kwotowane na aktywnych rynkach</w:t>
            </w:r>
          </w:p>
        </w:tc>
        <w:tc>
          <w:tcPr>
            <w:tcW w:w="1418" w:type="dxa"/>
            <w:tcBorders>
              <w:top w:val="nil"/>
              <w:left w:val="nil"/>
              <w:bottom w:val="nil"/>
              <w:right w:val="single" w:sz="8" w:space="0" w:color="FFFFFF"/>
            </w:tcBorders>
            <w:shd w:val="clear" w:color="000000" w:fill="0077BD"/>
            <w:vAlign w:val="center"/>
            <w:hideMark/>
          </w:tcPr>
          <w:p w14:paraId="0880862D" w14:textId="77777777" w:rsidR="00194BC5" w:rsidRPr="005573B4" w:rsidRDefault="00194BC5" w:rsidP="009E7EB5">
            <w:pPr>
              <w:jc w:val="right"/>
              <w:rPr>
                <w:b/>
                <w:bCs/>
                <w:color w:val="FFFFFF"/>
                <w:sz w:val="12"/>
                <w:szCs w:val="12"/>
              </w:rPr>
            </w:pPr>
            <w:r w:rsidRPr="005573B4">
              <w:rPr>
                <w:b/>
                <w:bCs/>
                <w:color w:val="FFFFFF"/>
                <w:sz w:val="12"/>
                <w:szCs w:val="12"/>
              </w:rPr>
              <w:t>Techniki wyceny oparte na obserwowalnych danych rynkowych</w:t>
            </w:r>
          </w:p>
        </w:tc>
        <w:tc>
          <w:tcPr>
            <w:tcW w:w="1418" w:type="dxa"/>
            <w:tcBorders>
              <w:top w:val="nil"/>
              <w:left w:val="nil"/>
              <w:bottom w:val="nil"/>
              <w:right w:val="nil"/>
            </w:tcBorders>
            <w:shd w:val="clear" w:color="000000" w:fill="0077BD"/>
            <w:vAlign w:val="center"/>
            <w:hideMark/>
          </w:tcPr>
          <w:p w14:paraId="45A8127C" w14:textId="77777777" w:rsidR="00194BC5" w:rsidRPr="005573B4" w:rsidRDefault="00194BC5" w:rsidP="009E7EB5">
            <w:pPr>
              <w:jc w:val="right"/>
              <w:rPr>
                <w:b/>
                <w:bCs/>
                <w:color w:val="FFFFFF"/>
                <w:sz w:val="12"/>
                <w:szCs w:val="12"/>
              </w:rPr>
            </w:pPr>
            <w:r w:rsidRPr="005573B4">
              <w:rPr>
                <w:b/>
                <w:bCs/>
                <w:color w:val="FFFFFF"/>
                <w:sz w:val="12"/>
                <w:szCs w:val="12"/>
              </w:rPr>
              <w:t>Inne techniki wyceny</w:t>
            </w:r>
          </w:p>
        </w:tc>
      </w:tr>
      <w:tr w:rsidR="00194BC5" w:rsidRPr="0068723D" w14:paraId="7626AA66" w14:textId="77777777" w:rsidTr="00EE203D">
        <w:trPr>
          <w:trHeight w:val="227"/>
        </w:trPr>
        <w:tc>
          <w:tcPr>
            <w:tcW w:w="0" w:type="auto"/>
            <w:tcBorders>
              <w:top w:val="nil"/>
              <w:left w:val="nil"/>
              <w:bottom w:val="single" w:sz="8" w:space="0" w:color="0077BD"/>
              <w:right w:val="nil"/>
            </w:tcBorders>
            <w:shd w:val="clear" w:color="000000" w:fill="FFFFFF"/>
            <w:vAlign w:val="center"/>
            <w:hideMark/>
          </w:tcPr>
          <w:p w14:paraId="56CBB001" w14:textId="77777777" w:rsidR="00194BC5" w:rsidRPr="007830A3" w:rsidRDefault="00194BC5" w:rsidP="009E7EB5">
            <w:pPr>
              <w:rPr>
                <w:b/>
                <w:bCs/>
                <w:color w:val="000000" w:themeColor="text1"/>
                <w:sz w:val="12"/>
                <w:szCs w:val="12"/>
              </w:rPr>
            </w:pPr>
            <w:r w:rsidRPr="007830A3">
              <w:rPr>
                <w:b/>
                <w:bCs/>
                <w:color w:val="000000" w:themeColor="text1"/>
                <w:sz w:val="12"/>
                <w:szCs w:val="12"/>
              </w:rPr>
              <w:t>Powtarzalne pomiary wartości godziwej</w:t>
            </w:r>
          </w:p>
        </w:tc>
        <w:tc>
          <w:tcPr>
            <w:tcW w:w="1418" w:type="dxa"/>
            <w:tcBorders>
              <w:top w:val="nil"/>
              <w:left w:val="nil"/>
              <w:bottom w:val="single" w:sz="8" w:space="0" w:color="0077BD"/>
              <w:right w:val="nil"/>
            </w:tcBorders>
            <w:shd w:val="clear" w:color="000000" w:fill="FFFFFF"/>
            <w:noWrap/>
            <w:vAlign w:val="center"/>
          </w:tcPr>
          <w:p w14:paraId="5F2BEEA1" w14:textId="367F1ED9" w:rsidR="00194BC5" w:rsidRPr="007830A3" w:rsidRDefault="00194BC5" w:rsidP="009E7EB5">
            <w:pPr>
              <w:rPr>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336E6F48" w14:textId="463D3DF8" w:rsidR="00194BC5" w:rsidRPr="007830A3" w:rsidRDefault="00194BC5"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2EAFDA00" w14:textId="75CFF6D5" w:rsidR="00194BC5" w:rsidRPr="007830A3" w:rsidRDefault="00194BC5"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vAlign w:val="center"/>
          </w:tcPr>
          <w:p w14:paraId="2B4AF85C" w14:textId="2458981B" w:rsidR="00194BC5" w:rsidRPr="007830A3" w:rsidRDefault="00194BC5" w:rsidP="009E7EB5">
            <w:pPr>
              <w:rPr>
                <w:b/>
                <w:bCs/>
                <w:color w:val="000000" w:themeColor="text1"/>
                <w:sz w:val="12"/>
                <w:szCs w:val="12"/>
              </w:rPr>
            </w:pPr>
          </w:p>
        </w:tc>
      </w:tr>
      <w:tr w:rsidR="000D2E92" w:rsidRPr="0068723D" w14:paraId="34F79647" w14:textId="77777777" w:rsidTr="00EE203D">
        <w:trPr>
          <w:trHeight w:val="227"/>
        </w:trPr>
        <w:tc>
          <w:tcPr>
            <w:tcW w:w="0" w:type="auto"/>
            <w:tcBorders>
              <w:top w:val="nil"/>
              <w:left w:val="nil"/>
              <w:bottom w:val="nil"/>
              <w:right w:val="nil"/>
            </w:tcBorders>
            <w:shd w:val="clear" w:color="000000" w:fill="FFFFFF"/>
            <w:vAlign w:val="center"/>
            <w:hideMark/>
          </w:tcPr>
          <w:p w14:paraId="4464081C" w14:textId="77777777" w:rsidR="00194BC5" w:rsidRPr="007830A3" w:rsidRDefault="00194BC5" w:rsidP="009E7EB5">
            <w:pPr>
              <w:rPr>
                <w:b/>
                <w:bCs/>
                <w:color w:val="000000" w:themeColor="text1"/>
                <w:sz w:val="12"/>
                <w:szCs w:val="12"/>
              </w:rPr>
            </w:pPr>
            <w:r w:rsidRPr="007830A3">
              <w:rPr>
                <w:b/>
                <w:bCs/>
                <w:color w:val="000000" w:themeColor="text1"/>
                <w:sz w:val="12"/>
                <w:szCs w:val="12"/>
              </w:rPr>
              <w:t>Aktywa finansowe</w:t>
            </w:r>
          </w:p>
        </w:tc>
        <w:tc>
          <w:tcPr>
            <w:tcW w:w="1418" w:type="dxa"/>
            <w:tcBorders>
              <w:top w:val="nil"/>
              <w:left w:val="nil"/>
              <w:bottom w:val="nil"/>
              <w:right w:val="nil"/>
            </w:tcBorders>
            <w:shd w:val="clear" w:color="000000" w:fill="FFFFFF"/>
            <w:noWrap/>
            <w:vAlign w:val="center"/>
          </w:tcPr>
          <w:p w14:paraId="4C97FA28" w14:textId="687DFD72" w:rsidR="00194BC5" w:rsidRPr="007830A3" w:rsidRDefault="00194BC5" w:rsidP="009E7EB5">
            <w:pPr>
              <w:rPr>
                <w:color w:val="000000" w:themeColor="text1"/>
                <w:sz w:val="12"/>
                <w:szCs w:val="12"/>
              </w:rPr>
            </w:pPr>
          </w:p>
        </w:tc>
        <w:tc>
          <w:tcPr>
            <w:tcW w:w="1418" w:type="dxa"/>
            <w:tcBorders>
              <w:top w:val="nil"/>
              <w:left w:val="nil"/>
              <w:bottom w:val="nil"/>
              <w:right w:val="nil"/>
            </w:tcBorders>
            <w:shd w:val="clear" w:color="000000" w:fill="FFFFFF"/>
            <w:vAlign w:val="center"/>
          </w:tcPr>
          <w:p w14:paraId="7D649E27" w14:textId="12B5EE27" w:rsidR="00194BC5" w:rsidRPr="007830A3" w:rsidRDefault="00194BC5" w:rsidP="009E7EB5">
            <w:pPr>
              <w:rPr>
                <w:b/>
                <w:bCs/>
                <w:color w:val="000000" w:themeColor="text1"/>
                <w:sz w:val="12"/>
                <w:szCs w:val="12"/>
              </w:rPr>
            </w:pPr>
          </w:p>
        </w:tc>
        <w:tc>
          <w:tcPr>
            <w:tcW w:w="1418" w:type="dxa"/>
            <w:tcBorders>
              <w:top w:val="nil"/>
              <w:left w:val="nil"/>
              <w:bottom w:val="nil"/>
              <w:right w:val="nil"/>
            </w:tcBorders>
            <w:shd w:val="clear" w:color="000000" w:fill="FFFFFF"/>
            <w:vAlign w:val="center"/>
          </w:tcPr>
          <w:p w14:paraId="18144544" w14:textId="39768415" w:rsidR="00194BC5" w:rsidRPr="007830A3" w:rsidRDefault="00194BC5" w:rsidP="009E7EB5">
            <w:pPr>
              <w:rPr>
                <w:b/>
                <w:bCs/>
                <w:color w:val="000000" w:themeColor="text1"/>
                <w:sz w:val="12"/>
                <w:szCs w:val="12"/>
              </w:rPr>
            </w:pPr>
          </w:p>
        </w:tc>
        <w:tc>
          <w:tcPr>
            <w:tcW w:w="1418" w:type="dxa"/>
            <w:tcBorders>
              <w:top w:val="nil"/>
              <w:left w:val="nil"/>
              <w:bottom w:val="nil"/>
              <w:right w:val="nil"/>
            </w:tcBorders>
            <w:shd w:val="clear" w:color="000000" w:fill="FFFFFF"/>
            <w:vAlign w:val="center"/>
          </w:tcPr>
          <w:p w14:paraId="5CB2085C" w14:textId="45CF36CF" w:rsidR="00194BC5" w:rsidRPr="007830A3" w:rsidRDefault="00194BC5" w:rsidP="009E7EB5">
            <w:pPr>
              <w:rPr>
                <w:b/>
                <w:bCs/>
                <w:color w:val="000000" w:themeColor="text1"/>
                <w:sz w:val="12"/>
                <w:szCs w:val="12"/>
              </w:rPr>
            </w:pPr>
          </w:p>
        </w:tc>
      </w:tr>
      <w:tr w:rsidR="0048206A" w:rsidRPr="0068723D" w14:paraId="63DF687E" w14:textId="77777777" w:rsidTr="0048206A">
        <w:trPr>
          <w:trHeight w:val="340"/>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194CE801" w14:textId="77777777" w:rsidR="0048206A" w:rsidRPr="007830A3" w:rsidRDefault="0048206A" w:rsidP="0048206A">
            <w:pPr>
              <w:rPr>
                <w:b/>
                <w:bCs/>
                <w:color w:val="000000" w:themeColor="text1"/>
                <w:sz w:val="12"/>
                <w:szCs w:val="12"/>
              </w:rPr>
            </w:pPr>
            <w:r w:rsidRPr="007830A3">
              <w:rPr>
                <w:b/>
                <w:bCs/>
                <w:color w:val="000000" w:themeColor="text1"/>
                <w:sz w:val="12"/>
                <w:szCs w:val="12"/>
              </w:rPr>
              <w:t>Aktywa finansowe przeznaczone do obrotu oraz instrumenty pochodne zabezpieczające</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66D2968" w14:textId="5EBCBFC5"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2 134 741</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4DA59B8" w14:textId="02902D3D"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778 733</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7B0A0A4"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1 006 079</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E0F8147"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349 929</w:t>
            </w:r>
          </w:p>
        </w:tc>
      </w:tr>
      <w:tr w:rsidR="0048206A" w:rsidRPr="0068723D" w14:paraId="066F5EA5" w14:textId="77777777" w:rsidTr="00B969D2">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CB8929A" w14:textId="77777777" w:rsidR="0048206A" w:rsidRPr="007830A3" w:rsidRDefault="0048206A" w:rsidP="0048206A">
            <w:pPr>
              <w:rPr>
                <w:color w:val="000000" w:themeColor="text1"/>
                <w:sz w:val="12"/>
                <w:szCs w:val="12"/>
              </w:rPr>
            </w:pPr>
            <w:r w:rsidRPr="007830A3">
              <w:rPr>
                <w:color w:val="000000" w:themeColor="text1"/>
                <w:sz w:val="12"/>
                <w:szCs w:val="12"/>
              </w:rPr>
              <w:t>Kredyty i pożyczki udzielone klientom</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1FDCD5D8" w14:textId="34515296" w:rsidR="0048206A" w:rsidRPr="00544AF9" w:rsidRDefault="0048206A" w:rsidP="0048206A">
            <w:pPr>
              <w:jc w:val="right"/>
              <w:rPr>
                <w:color w:val="000000" w:themeColor="text1"/>
                <w:sz w:val="12"/>
                <w:szCs w:val="12"/>
              </w:rPr>
            </w:pPr>
            <w:r w:rsidRPr="00544AF9">
              <w:rPr>
                <w:rFonts w:cs="Calibri"/>
                <w:color w:val="000000" w:themeColor="text1"/>
                <w:sz w:val="12"/>
                <w:szCs w:val="12"/>
              </w:rPr>
              <w:t>43 166</w:t>
            </w:r>
          </w:p>
        </w:tc>
        <w:tc>
          <w:tcPr>
            <w:tcW w:w="1418" w:type="dxa"/>
            <w:tcBorders>
              <w:top w:val="nil"/>
              <w:left w:val="nil"/>
              <w:bottom w:val="single" w:sz="4" w:space="0" w:color="0077BD"/>
              <w:right w:val="nil"/>
            </w:tcBorders>
            <w:shd w:val="clear" w:color="auto" w:fill="auto"/>
            <w:noWrap/>
            <w:vAlign w:val="center"/>
            <w:hideMark/>
          </w:tcPr>
          <w:p w14:paraId="76048646" w14:textId="7C6966FC"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26A01E39"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67B42EAC" w14:textId="77777777" w:rsidR="0048206A" w:rsidRPr="00544AF9" w:rsidRDefault="0048206A" w:rsidP="0048206A">
            <w:pPr>
              <w:jc w:val="right"/>
              <w:rPr>
                <w:color w:val="000000" w:themeColor="text1"/>
                <w:sz w:val="12"/>
                <w:szCs w:val="12"/>
              </w:rPr>
            </w:pPr>
            <w:r w:rsidRPr="00544AF9">
              <w:rPr>
                <w:color w:val="000000" w:themeColor="text1"/>
                <w:sz w:val="12"/>
                <w:szCs w:val="12"/>
              </w:rPr>
              <w:t>43 166</w:t>
            </w:r>
          </w:p>
        </w:tc>
      </w:tr>
      <w:tr w:rsidR="0048206A" w:rsidRPr="0068723D" w14:paraId="0C3AA164" w14:textId="77777777" w:rsidTr="00B22687">
        <w:trPr>
          <w:trHeight w:val="227"/>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798E9177" w14:textId="77777777" w:rsidR="0048206A" w:rsidRPr="007830A3" w:rsidRDefault="0048206A" w:rsidP="0048206A">
            <w:pPr>
              <w:rPr>
                <w:color w:val="000000" w:themeColor="text1"/>
                <w:sz w:val="12"/>
                <w:szCs w:val="12"/>
              </w:rPr>
            </w:pPr>
            <w:r w:rsidRPr="007830A3">
              <w:rPr>
                <w:color w:val="000000" w:themeColor="text1"/>
                <w:sz w:val="12"/>
                <w:szCs w:val="12"/>
              </w:rPr>
              <w:t>Dłużne papiery wartościowe</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hideMark/>
          </w:tcPr>
          <w:p w14:paraId="6D6F84E7" w14:textId="1DEF0C42" w:rsidR="0048206A" w:rsidRPr="00544AF9" w:rsidRDefault="0048206A" w:rsidP="0048206A">
            <w:pPr>
              <w:jc w:val="right"/>
              <w:rPr>
                <w:color w:val="000000" w:themeColor="text1"/>
                <w:sz w:val="12"/>
                <w:szCs w:val="12"/>
              </w:rPr>
            </w:pPr>
            <w:r w:rsidRPr="00544AF9">
              <w:rPr>
                <w:rFonts w:cs="Calibri"/>
                <w:color w:val="000000" w:themeColor="text1"/>
                <w:sz w:val="12"/>
                <w:szCs w:val="12"/>
              </w:rPr>
              <w:t>1 085 496</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6A4A89BA" w14:textId="40D5D1F2" w:rsidR="0048206A" w:rsidRPr="00544AF9" w:rsidRDefault="0048206A" w:rsidP="0048206A">
            <w:pPr>
              <w:jc w:val="right"/>
              <w:rPr>
                <w:color w:val="000000" w:themeColor="text1"/>
                <w:sz w:val="12"/>
                <w:szCs w:val="12"/>
              </w:rPr>
            </w:pPr>
            <w:r w:rsidRPr="00544AF9">
              <w:rPr>
                <w:rFonts w:cs="Calibri"/>
                <w:color w:val="000000" w:themeColor="text1"/>
                <w:sz w:val="12"/>
                <w:szCs w:val="12"/>
              </w:rPr>
              <w:t>778 733</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48928F7E"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c>
          <w:tcPr>
            <w:tcW w:w="1418" w:type="dxa"/>
            <w:tcBorders>
              <w:top w:val="single" w:sz="4" w:space="0" w:color="0077BD"/>
              <w:left w:val="nil"/>
              <w:bottom w:val="single" w:sz="8" w:space="0" w:color="0077BD"/>
              <w:right w:val="nil"/>
            </w:tcBorders>
            <w:shd w:val="clear" w:color="auto" w:fill="auto"/>
            <w:noWrap/>
            <w:vAlign w:val="center"/>
            <w:hideMark/>
          </w:tcPr>
          <w:p w14:paraId="3997B655" w14:textId="77777777" w:rsidR="0048206A" w:rsidRPr="00544AF9" w:rsidRDefault="0048206A" w:rsidP="0048206A">
            <w:pPr>
              <w:jc w:val="right"/>
              <w:rPr>
                <w:color w:val="000000" w:themeColor="text1"/>
                <w:sz w:val="12"/>
                <w:szCs w:val="12"/>
              </w:rPr>
            </w:pPr>
            <w:r w:rsidRPr="00544AF9">
              <w:rPr>
                <w:color w:val="000000" w:themeColor="text1"/>
                <w:sz w:val="12"/>
                <w:szCs w:val="12"/>
              </w:rPr>
              <w:t>306 763</w:t>
            </w:r>
          </w:p>
        </w:tc>
      </w:tr>
      <w:tr w:rsidR="0048206A" w:rsidRPr="0068723D" w14:paraId="0912865E" w14:textId="77777777" w:rsidTr="00B22687">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404E29E2" w14:textId="77777777" w:rsidR="0048206A" w:rsidRPr="007830A3" w:rsidRDefault="0048206A" w:rsidP="0048206A">
            <w:pPr>
              <w:rPr>
                <w:color w:val="000000" w:themeColor="text1"/>
                <w:sz w:val="12"/>
                <w:szCs w:val="12"/>
              </w:rPr>
            </w:pPr>
            <w:r w:rsidRPr="007830A3">
              <w:rPr>
                <w:color w:val="000000" w:themeColor="text1"/>
                <w:sz w:val="12"/>
                <w:szCs w:val="12"/>
              </w:rPr>
              <w:t>Pochodne instrumenty finansowe, w tym: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11A9918E" w14:textId="78C25CAE" w:rsidR="0048206A" w:rsidRPr="00544AF9" w:rsidRDefault="0048206A" w:rsidP="0048206A">
            <w:pPr>
              <w:jc w:val="right"/>
              <w:rPr>
                <w:color w:val="000000" w:themeColor="text1"/>
                <w:sz w:val="12"/>
                <w:szCs w:val="12"/>
              </w:rPr>
            </w:pPr>
            <w:r w:rsidRPr="00544AF9">
              <w:rPr>
                <w:rFonts w:cs="Calibri"/>
                <w:color w:val="000000" w:themeColor="text1"/>
                <w:sz w:val="12"/>
                <w:szCs w:val="12"/>
              </w:rPr>
              <w:t>1 006 079</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3141AEE2" w14:textId="3442BE50"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3FDED3B7" w14:textId="77777777" w:rsidR="0048206A" w:rsidRPr="00544AF9" w:rsidRDefault="0048206A" w:rsidP="0048206A">
            <w:pPr>
              <w:jc w:val="right"/>
              <w:rPr>
                <w:color w:val="000000" w:themeColor="text1"/>
                <w:sz w:val="12"/>
                <w:szCs w:val="12"/>
              </w:rPr>
            </w:pPr>
            <w:r w:rsidRPr="00544AF9">
              <w:rPr>
                <w:color w:val="000000" w:themeColor="text1"/>
                <w:sz w:val="12"/>
                <w:szCs w:val="12"/>
              </w:rPr>
              <w:t>1 006 079</w:t>
            </w:r>
          </w:p>
        </w:tc>
        <w:tc>
          <w:tcPr>
            <w:tcW w:w="1418" w:type="dxa"/>
            <w:tcBorders>
              <w:top w:val="single" w:sz="8" w:space="0" w:color="0077BD"/>
              <w:left w:val="nil"/>
              <w:bottom w:val="single" w:sz="8" w:space="0" w:color="0077BD"/>
              <w:right w:val="nil"/>
            </w:tcBorders>
            <w:shd w:val="clear" w:color="auto" w:fill="auto"/>
            <w:noWrap/>
            <w:vAlign w:val="center"/>
            <w:hideMark/>
          </w:tcPr>
          <w:p w14:paraId="626CF57C"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r>
      <w:tr w:rsidR="0048206A" w:rsidRPr="0068723D" w14:paraId="4AC893E6" w14:textId="77777777" w:rsidTr="008067D0">
        <w:trPr>
          <w:trHeight w:val="284"/>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26B98257" w14:textId="77777777" w:rsidR="0048206A" w:rsidRPr="007830A3" w:rsidRDefault="0048206A" w:rsidP="0048206A">
            <w:pPr>
              <w:ind w:leftChars="133" w:left="213"/>
              <w:rPr>
                <w:color w:val="000000" w:themeColor="text1"/>
                <w:sz w:val="12"/>
                <w:szCs w:val="12"/>
              </w:rPr>
            </w:pPr>
            <w:r w:rsidRPr="007830A3">
              <w:rPr>
                <w:color w:val="000000" w:themeColor="text1"/>
                <w:sz w:val="12"/>
                <w:szCs w:val="12"/>
              </w:rPr>
              <w:t>Pochodne instrumenty finansowe przeznaczone do obrotu</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35CA144E" w14:textId="316A5554" w:rsidR="0048206A" w:rsidRPr="00544AF9" w:rsidRDefault="0048206A" w:rsidP="0048206A">
            <w:pPr>
              <w:jc w:val="right"/>
              <w:rPr>
                <w:color w:val="000000" w:themeColor="text1"/>
                <w:sz w:val="12"/>
                <w:szCs w:val="12"/>
              </w:rPr>
            </w:pPr>
            <w:r w:rsidRPr="00544AF9">
              <w:rPr>
                <w:rFonts w:cs="Calibri"/>
                <w:color w:val="000000" w:themeColor="text1"/>
                <w:sz w:val="12"/>
                <w:szCs w:val="12"/>
              </w:rPr>
              <w:t>997 486</w:t>
            </w:r>
          </w:p>
        </w:tc>
        <w:tc>
          <w:tcPr>
            <w:tcW w:w="1418" w:type="dxa"/>
            <w:tcBorders>
              <w:top w:val="nil"/>
              <w:left w:val="nil"/>
              <w:bottom w:val="single" w:sz="4" w:space="0" w:color="0077BD"/>
              <w:right w:val="single" w:sz="8" w:space="0" w:color="0077BD"/>
            </w:tcBorders>
            <w:shd w:val="clear" w:color="auto" w:fill="auto"/>
            <w:noWrap/>
            <w:vAlign w:val="center"/>
            <w:hideMark/>
          </w:tcPr>
          <w:p w14:paraId="2479BFDE" w14:textId="6E928BA1"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6DC25EB8" w14:textId="77777777" w:rsidR="0048206A" w:rsidRPr="00544AF9" w:rsidRDefault="0048206A" w:rsidP="0048206A">
            <w:pPr>
              <w:jc w:val="right"/>
              <w:rPr>
                <w:color w:val="000000" w:themeColor="text1"/>
                <w:sz w:val="12"/>
                <w:szCs w:val="12"/>
              </w:rPr>
            </w:pPr>
            <w:r w:rsidRPr="00544AF9">
              <w:rPr>
                <w:color w:val="000000" w:themeColor="text1"/>
                <w:sz w:val="12"/>
                <w:szCs w:val="12"/>
              </w:rPr>
              <w:t>997 486</w:t>
            </w:r>
          </w:p>
        </w:tc>
        <w:tc>
          <w:tcPr>
            <w:tcW w:w="1418" w:type="dxa"/>
            <w:tcBorders>
              <w:top w:val="single" w:sz="8" w:space="0" w:color="0077BD"/>
              <w:left w:val="nil"/>
              <w:bottom w:val="single" w:sz="4" w:space="0" w:color="0077BD"/>
              <w:right w:val="nil"/>
            </w:tcBorders>
            <w:shd w:val="clear" w:color="auto" w:fill="auto"/>
            <w:noWrap/>
            <w:vAlign w:val="center"/>
            <w:hideMark/>
          </w:tcPr>
          <w:p w14:paraId="54B8A617"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r>
      <w:tr w:rsidR="0048206A" w:rsidRPr="0068723D" w14:paraId="07DDAA28" w14:textId="77777777" w:rsidTr="008067D0">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0BDECCB4" w14:textId="77777777" w:rsidR="0048206A" w:rsidRPr="007830A3" w:rsidRDefault="0048206A" w:rsidP="0048206A">
            <w:pPr>
              <w:ind w:left="214" w:hanging="1"/>
              <w:rPr>
                <w:color w:val="000000" w:themeColor="text1"/>
                <w:sz w:val="12"/>
                <w:szCs w:val="12"/>
              </w:rPr>
            </w:pPr>
            <w:r w:rsidRPr="007830A3">
              <w:rPr>
                <w:color w:val="000000" w:themeColor="text1"/>
                <w:sz w:val="12"/>
                <w:szCs w:val="12"/>
              </w:rPr>
              <w:t>Pochodne instrumenty zabezpieczające</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7D5FC950" w14:textId="2FE168C2" w:rsidR="0048206A" w:rsidRPr="00544AF9" w:rsidRDefault="0048206A" w:rsidP="0048206A">
            <w:pPr>
              <w:jc w:val="right"/>
              <w:rPr>
                <w:color w:val="000000" w:themeColor="text1"/>
                <w:sz w:val="12"/>
                <w:szCs w:val="12"/>
              </w:rPr>
            </w:pPr>
            <w:r w:rsidRPr="00544AF9">
              <w:rPr>
                <w:rFonts w:cs="Calibri"/>
                <w:color w:val="000000" w:themeColor="text1"/>
                <w:sz w:val="12"/>
                <w:szCs w:val="12"/>
              </w:rPr>
              <w:t>372 317</w:t>
            </w:r>
          </w:p>
        </w:tc>
        <w:tc>
          <w:tcPr>
            <w:tcW w:w="1418" w:type="dxa"/>
            <w:tcBorders>
              <w:top w:val="nil"/>
              <w:left w:val="nil"/>
              <w:bottom w:val="single" w:sz="4" w:space="0" w:color="0077BD"/>
              <w:right w:val="single" w:sz="8" w:space="0" w:color="0077BD"/>
            </w:tcBorders>
            <w:shd w:val="clear" w:color="auto" w:fill="auto"/>
            <w:noWrap/>
            <w:vAlign w:val="center"/>
            <w:hideMark/>
          </w:tcPr>
          <w:p w14:paraId="5EBAFD8B" w14:textId="4991D674"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hideMark/>
          </w:tcPr>
          <w:p w14:paraId="469DA486" w14:textId="77777777" w:rsidR="0048206A" w:rsidRPr="00544AF9" w:rsidRDefault="0048206A" w:rsidP="0048206A">
            <w:pPr>
              <w:jc w:val="right"/>
              <w:rPr>
                <w:color w:val="000000" w:themeColor="text1"/>
                <w:sz w:val="12"/>
                <w:szCs w:val="12"/>
              </w:rPr>
            </w:pPr>
            <w:r w:rsidRPr="00544AF9">
              <w:rPr>
                <w:color w:val="000000" w:themeColor="text1"/>
                <w:sz w:val="12"/>
                <w:szCs w:val="12"/>
              </w:rPr>
              <w:t>372 317</w:t>
            </w:r>
          </w:p>
        </w:tc>
        <w:tc>
          <w:tcPr>
            <w:tcW w:w="1418" w:type="dxa"/>
            <w:tcBorders>
              <w:top w:val="nil"/>
              <w:left w:val="nil"/>
              <w:bottom w:val="single" w:sz="4" w:space="0" w:color="0077BD"/>
              <w:right w:val="nil"/>
            </w:tcBorders>
            <w:shd w:val="clear" w:color="auto" w:fill="auto"/>
            <w:noWrap/>
            <w:vAlign w:val="center"/>
            <w:hideMark/>
          </w:tcPr>
          <w:p w14:paraId="28BD7928"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r>
      <w:tr w:rsidR="0048206A" w:rsidRPr="0068723D" w14:paraId="159E5DCD" w14:textId="77777777" w:rsidTr="008067D0">
        <w:trPr>
          <w:trHeight w:val="227"/>
        </w:trPr>
        <w:tc>
          <w:tcPr>
            <w:tcW w:w="0" w:type="auto"/>
            <w:tcBorders>
              <w:top w:val="nil"/>
              <w:left w:val="nil"/>
              <w:bottom w:val="single" w:sz="4" w:space="0" w:color="0077BD"/>
              <w:right w:val="single" w:sz="8" w:space="0" w:color="0077BD"/>
            </w:tcBorders>
            <w:shd w:val="clear" w:color="auto" w:fill="auto"/>
            <w:vAlign w:val="center"/>
          </w:tcPr>
          <w:p w14:paraId="5DD583F7" w14:textId="77777777" w:rsidR="0048206A" w:rsidRPr="007830A3" w:rsidRDefault="0048206A" w:rsidP="0048206A">
            <w:pPr>
              <w:ind w:left="214" w:hanging="1"/>
              <w:rPr>
                <w:color w:val="000000" w:themeColor="text1"/>
                <w:sz w:val="12"/>
                <w:szCs w:val="12"/>
              </w:rPr>
            </w:pPr>
            <w:r w:rsidRPr="007830A3">
              <w:rPr>
                <w:color w:val="000000" w:themeColor="text1"/>
                <w:sz w:val="12"/>
                <w:szCs w:val="12"/>
              </w:rPr>
              <w:t>Efekt kompensowania</w:t>
            </w:r>
          </w:p>
        </w:tc>
        <w:tc>
          <w:tcPr>
            <w:tcW w:w="1418" w:type="dxa"/>
            <w:tcBorders>
              <w:top w:val="nil"/>
              <w:left w:val="single" w:sz="8" w:space="0" w:color="0077BD"/>
              <w:bottom w:val="nil"/>
              <w:right w:val="single" w:sz="8" w:space="0" w:color="0077BD"/>
            </w:tcBorders>
            <w:shd w:val="clear" w:color="auto" w:fill="auto"/>
            <w:noWrap/>
            <w:vAlign w:val="center"/>
          </w:tcPr>
          <w:p w14:paraId="633486DA" w14:textId="0C96CB07" w:rsidR="0048206A" w:rsidRPr="00544AF9" w:rsidRDefault="0048206A" w:rsidP="0048206A">
            <w:pPr>
              <w:jc w:val="right"/>
              <w:rPr>
                <w:color w:val="000000" w:themeColor="text1"/>
                <w:sz w:val="12"/>
                <w:szCs w:val="12"/>
              </w:rPr>
            </w:pPr>
            <w:r w:rsidRPr="00544AF9">
              <w:rPr>
                <w:rFonts w:cs="Calibri"/>
                <w:color w:val="000000" w:themeColor="text1"/>
                <w:sz w:val="12"/>
                <w:szCs w:val="12"/>
              </w:rPr>
              <w:t>(363 724)</w:t>
            </w:r>
          </w:p>
        </w:tc>
        <w:tc>
          <w:tcPr>
            <w:tcW w:w="1418" w:type="dxa"/>
            <w:tcBorders>
              <w:top w:val="nil"/>
              <w:left w:val="nil"/>
              <w:bottom w:val="nil"/>
              <w:right w:val="single" w:sz="8" w:space="0" w:color="0077BD"/>
            </w:tcBorders>
            <w:shd w:val="clear" w:color="auto" w:fill="auto"/>
            <w:noWrap/>
            <w:vAlign w:val="center"/>
          </w:tcPr>
          <w:p w14:paraId="71263727" w14:textId="26ED1C2D"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621ECAD4" w14:textId="77777777" w:rsidR="0048206A" w:rsidRPr="00544AF9" w:rsidRDefault="0048206A" w:rsidP="0048206A">
            <w:pPr>
              <w:jc w:val="right"/>
              <w:rPr>
                <w:color w:val="000000" w:themeColor="text1"/>
                <w:sz w:val="12"/>
                <w:szCs w:val="12"/>
              </w:rPr>
            </w:pPr>
            <w:r w:rsidRPr="00544AF9">
              <w:rPr>
                <w:color w:val="000000" w:themeColor="text1"/>
                <w:sz w:val="12"/>
                <w:szCs w:val="12"/>
              </w:rPr>
              <w:t>(363 724)</w:t>
            </w:r>
          </w:p>
        </w:tc>
        <w:tc>
          <w:tcPr>
            <w:tcW w:w="1418" w:type="dxa"/>
            <w:tcBorders>
              <w:top w:val="nil"/>
              <w:left w:val="nil"/>
              <w:bottom w:val="single" w:sz="4" w:space="0" w:color="0077BD"/>
              <w:right w:val="nil"/>
            </w:tcBorders>
            <w:shd w:val="clear" w:color="auto" w:fill="auto"/>
            <w:noWrap/>
            <w:vAlign w:val="center"/>
          </w:tcPr>
          <w:p w14:paraId="52580400"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r>
      <w:tr w:rsidR="0048206A" w:rsidRPr="0068723D" w14:paraId="1B16D38D" w14:textId="77777777" w:rsidTr="008067D0">
        <w:trPr>
          <w:trHeight w:val="510"/>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781473A" w14:textId="77777777" w:rsidR="0048206A" w:rsidRPr="007830A3" w:rsidRDefault="0048206A" w:rsidP="0048206A">
            <w:pPr>
              <w:rPr>
                <w:b/>
                <w:bCs/>
                <w:color w:val="000000" w:themeColor="text1"/>
                <w:sz w:val="12"/>
                <w:szCs w:val="12"/>
              </w:rPr>
            </w:pPr>
            <w:r w:rsidRPr="007830A3">
              <w:rPr>
                <w:b/>
                <w:bCs/>
                <w:color w:val="000000" w:themeColor="text1"/>
                <w:sz w:val="12"/>
                <w:szCs w:val="12"/>
              </w:rPr>
              <w:t>Aktywa finansowe nieprzeznaczone do obrotu wyceniane obowiązkowo w wartości godziwej przez wynik finansowy</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5968065" w14:textId="5A6884D1"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2 836 060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9C87423" w14:textId="2C435B0C"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770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4A1C4D90"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AD867E7"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2 835 290</w:t>
            </w:r>
          </w:p>
        </w:tc>
      </w:tr>
      <w:tr w:rsidR="0048206A" w:rsidRPr="0068723D" w14:paraId="36A26DD6" w14:textId="77777777" w:rsidTr="00B969D2">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5BE7867" w14:textId="77777777" w:rsidR="0048206A" w:rsidRPr="007830A3" w:rsidRDefault="0048206A" w:rsidP="0048206A">
            <w:pPr>
              <w:rPr>
                <w:color w:val="000000" w:themeColor="text1"/>
                <w:sz w:val="12"/>
                <w:szCs w:val="12"/>
              </w:rPr>
            </w:pPr>
            <w:r w:rsidRPr="007830A3">
              <w:rPr>
                <w:color w:val="000000" w:themeColor="text1"/>
                <w:sz w:val="12"/>
                <w:szCs w:val="12"/>
              </w:rPr>
              <w:t>Kredyty i pożyczki udzielone klientom</w:t>
            </w:r>
          </w:p>
        </w:tc>
        <w:tc>
          <w:tcPr>
            <w:tcW w:w="1418" w:type="dxa"/>
            <w:tcBorders>
              <w:top w:val="nil"/>
              <w:left w:val="single" w:sz="8" w:space="0" w:color="0077BD"/>
              <w:bottom w:val="single" w:sz="4" w:space="0" w:color="0077BD"/>
              <w:right w:val="nil"/>
            </w:tcBorders>
            <w:shd w:val="clear" w:color="auto" w:fill="auto"/>
            <w:noWrap/>
            <w:vAlign w:val="center"/>
            <w:hideMark/>
          </w:tcPr>
          <w:p w14:paraId="071DD965" w14:textId="7878E119" w:rsidR="0048206A" w:rsidRPr="00544AF9" w:rsidRDefault="0048206A" w:rsidP="0048206A">
            <w:pPr>
              <w:jc w:val="right"/>
              <w:rPr>
                <w:color w:val="000000" w:themeColor="text1"/>
                <w:sz w:val="12"/>
                <w:szCs w:val="12"/>
              </w:rPr>
            </w:pPr>
            <w:r w:rsidRPr="00544AF9">
              <w:rPr>
                <w:rFonts w:cs="Calibri"/>
                <w:color w:val="000000" w:themeColor="text1"/>
                <w:sz w:val="12"/>
                <w:szCs w:val="12"/>
              </w:rPr>
              <w:t>2 705 155</w:t>
            </w:r>
          </w:p>
        </w:tc>
        <w:tc>
          <w:tcPr>
            <w:tcW w:w="1418" w:type="dxa"/>
            <w:tcBorders>
              <w:top w:val="nil"/>
              <w:left w:val="single" w:sz="8" w:space="0" w:color="0077BD"/>
              <w:bottom w:val="single" w:sz="4" w:space="0" w:color="0077BD"/>
              <w:right w:val="nil"/>
            </w:tcBorders>
            <w:shd w:val="clear" w:color="auto" w:fill="auto"/>
            <w:noWrap/>
            <w:vAlign w:val="center"/>
            <w:hideMark/>
          </w:tcPr>
          <w:p w14:paraId="1F29A03B" w14:textId="1F5C1BFA"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1AF4B52D"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38D74C99" w14:textId="77777777" w:rsidR="0048206A" w:rsidRPr="00544AF9" w:rsidRDefault="0048206A" w:rsidP="0048206A">
            <w:pPr>
              <w:jc w:val="right"/>
              <w:rPr>
                <w:color w:val="000000" w:themeColor="text1"/>
                <w:sz w:val="12"/>
                <w:szCs w:val="12"/>
              </w:rPr>
            </w:pPr>
            <w:r w:rsidRPr="00544AF9">
              <w:rPr>
                <w:color w:val="000000" w:themeColor="text1"/>
                <w:sz w:val="12"/>
                <w:szCs w:val="12"/>
              </w:rPr>
              <w:t>2 705 155</w:t>
            </w:r>
          </w:p>
        </w:tc>
      </w:tr>
      <w:tr w:rsidR="0048206A" w:rsidRPr="0068723D" w14:paraId="7DD6D355" w14:textId="77777777" w:rsidTr="00B969D2">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05C85EF" w14:textId="77777777" w:rsidR="0048206A" w:rsidRPr="007830A3" w:rsidRDefault="0048206A" w:rsidP="0048206A">
            <w:pPr>
              <w:rPr>
                <w:color w:val="000000" w:themeColor="text1"/>
                <w:sz w:val="12"/>
                <w:szCs w:val="12"/>
              </w:rPr>
            </w:pPr>
            <w:r w:rsidRPr="007830A3">
              <w:rPr>
                <w:color w:val="000000" w:themeColor="text1"/>
                <w:sz w:val="12"/>
                <w:szCs w:val="12"/>
              </w:rPr>
              <w:t>Dłużne papiery wartościowe</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488AD779" w14:textId="3600E56D" w:rsidR="0048206A" w:rsidRPr="00544AF9" w:rsidRDefault="0048206A" w:rsidP="0048206A">
            <w:pPr>
              <w:jc w:val="right"/>
              <w:rPr>
                <w:color w:val="000000" w:themeColor="text1"/>
                <w:sz w:val="12"/>
                <w:szCs w:val="12"/>
              </w:rPr>
            </w:pPr>
            <w:r w:rsidRPr="00544AF9">
              <w:rPr>
                <w:rFonts w:cs="Calibri"/>
                <w:color w:val="000000" w:themeColor="text1"/>
                <w:sz w:val="12"/>
                <w:szCs w:val="12"/>
              </w:rPr>
              <w:t>58 130</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hideMark/>
          </w:tcPr>
          <w:p w14:paraId="117918E6" w14:textId="30DBC3E0" w:rsidR="0048206A" w:rsidRPr="00544AF9" w:rsidRDefault="0048206A" w:rsidP="0048206A">
            <w:pPr>
              <w:jc w:val="right"/>
              <w:rPr>
                <w:color w:val="000000" w:themeColor="text1"/>
                <w:sz w:val="12"/>
                <w:szCs w:val="12"/>
              </w:rPr>
            </w:pPr>
            <w:r w:rsidRPr="00544AF9">
              <w:rPr>
                <w:rFonts w:cs="Calibri"/>
                <w:color w:val="000000" w:themeColor="text1"/>
                <w:sz w:val="12"/>
                <w:szCs w:val="12"/>
              </w:rPr>
              <w:t>-</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6DBCDE28"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c>
          <w:tcPr>
            <w:tcW w:w="1418" w:type="dxa"/>
            <w:tcBorders>
              <w:top w:val="single" w:sz="4" w:space="0" w:color="0077BD"/>
              <w:left w:val="nil"/>
              <w:bottom w:val="single" w:sz="4" w:space="0" w:color="0077BD"/>
              <w:right w:val="nil"/>
            </w:tcBorders>
            <w:shd w:val="clear" w:color="auto" w:fill="auto"/>
            <w:noWrap/>
            <w:vAlign w:val="center"/>
            <w:hideMark/>
          </w:tcPr>
          <w:p w14:paraId="01A3A3FD" w14:textId="77777777" w:rsidR="0048206A" w:rsidRPr="00544AF9" w:rsidRDefault="0048206A" w:rsidP="0048206A">
            <w:pPr>
              <w:jc w:val="right"/>
              <w:rPr>
                <w:color w:val="000000" w:themeColor="text1"/>
                <w:sz w:val="12"/>
                <w:szCs w:val="12"/>
              </w:rPr>
            </w:pPr>
            <w:r w:rsidRPr="00544AF9">
              <w:rPr>
                <w:color w:val="000000" w:themeColor="text1"/>
                <w:sz w:val="12"/>
                <w:szCs w:val="12"/>
              </w:rPr>
              <w:t>58 130</w:t>
            </w:r>
          </w:p>
        </w:tc>
      </w:tr>
      <w:tr w:rsidR="0048206A" w:rsidRPr="0068723D" w14:paraId="7F6C4293" w14:textId="77777777" w:rsidTr="00B969D2">
        <w:trPr>
          <w:trHeight w:val="227"/>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35766D73" w14:textId="77777777" w:rsidR="0048206A" w:rsidRPr="007830A3" w:rsidRDefault="0048206A" w:rsidP="0048206A">
            <w:pPr>
              <w:rPr>
                <w:color w:val="000000" w:themeColor="text1"/>
                <w:sz w:val="12"/>
                <w:szCs w:val="12"/>
              </w:rPr>
            </w:pPr>
            <w:r w:rsidRPr="007830A3">
              <w:rPr>
                <w:color w:val="000000" w:themeColor="text1"/>
                <w:sz w:val="12"/>
                <w:szCs w:val="12"/>
              </w:rPr>
              <w:t>Papiery kapitałowe</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hideMark/>
          </w:tcPr>
          <w:p w14:paraId="1B51A6AD" w14:textId="744C0CB2" w:rsidR="0048206A" w:rsidRPr="00544AF9" w:rsidRDefault="0048206A" w:rsidP="0048206A">
            <w:pPr>
              <w:jc w:val="right"/>
              <w:rPr>
                <w:color w:val="000000" w:themeColor="text1"/>
                <w:sz w:val="12"/>
                <w:szCs w:val="12"/>
              </w:rPr>
            </w:pPr>
            <w:r w:rsidRPr="00544AF9">
              <w:rPr>
                <w:rFonts w:cs="Calibri"/>
                <w:color w:val="000000" w:themeColor="text1"/>
                <w:sz w:val="12"/>
                <w:szCs w:val="12"/>
              </w:rPr>
              <w:t>72 775</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267402C8" w14:textId="454677AC" w:rsidR="0048206A" w:rsidRPr="00544AF9" w:rsidRDefault="0048206A" w:rsidP="0048206A">
            <w:pPr>
              <w:jc w:val="right"/>
              <w:rPr>
                <w:color w:val="000000" w:themeColor="text1"/>
                <w:sz w:val="12"/>
                <w:szCs w:val="12"/>
              </w:rPr>
            </w:pPr>
            <w:r w:rsidRPr="00544AF9">
              <w:rPr>
                <w:rFonts w:cs="Calibri"/>
                <w:color w:val="000000" w:themeColor="text1"/>
                <w:sz w:val="12"/>
                <w:szCs w:val="12"/>
              </w:rPr>
              <w:t>770</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4B9B7485" w14:textId="77777777" w:rsidR="0048206A" w:rsidRPr="00544AF9" w:rsidRDefault="0048206A" w:rsidP="0048206A">
            <w:pPr>
              <w:jc w:val="right"/>
              <w:rPr>
                <w:color w:val="000000" w:themeColor="text1"/>
                <w:sz w:val="12"/>
                <w:szCs w:val="12"/>
              </w:rPr>
            </w:pPr>
            <w:r w:rsidRPr="00544AF9">
              <w:rPr>
                <w:color w:val="000000" w:themeColor="text1"/>
                <w:sz w:val="12"/>
                <w:szCs w:val="12"/>
              </w:rPr>
              <w:t>-</w:t>
            </w:r>
          </w:p>
        </w:tc>
        <w:tc>
          <w:tcPr>
            <w:tcW w:w="1418" w:type="dxa"/>
            <w:tcBorders>
              <w:top w:val="single" w:sz="4" w:space="0" w:color="0077BD"/>
              <w:left w:val="nil"/>
              <w:bottom w:val="single" w:sz="8" w:space="0" w:color="0077BD"/>
              <w:right w:val="nil"/>
            </w:tcBorders>
            <w:shd w:val="clear" w:color="auto" w:fill="auto"/>
            <w:noWrap/>
            <w:vAlign w:val="center"/>
            <w:hideMark/>
          </w:tcPr>
          <w:p w14:paraId="25D1DF32" w14:textId="77777777" w:rsidR="0048206A" w:rsidRPr="00544AF9" w:rsidRDefault="0048206A" w:rsidP="0048206A">
            <w:pPr>
              <w:jc w:val="right"/>
              <w:rPr>
                <w:color w:val="000000" w:themeColor="text1"/>
                <w:sz w:val="12"/>
                <w:szCs w:val="12"/>
              </w:rPr>
            </w:pPr>
            <w:r w:rsidRPr="00544AF9">
              <w:rPr>
                <w:color w:val="000000" w:themeColor="text1"/>
                <w:sz w:val="12"/>
                <w:szCs w:val="12"/>
              </w:rPr>
              <w:t>72 005</w:t>
            </w:r>
          </w:p>
        </w:tc>
      </w:tr>
      <w:tr w:rsidR="0048206A" w:rsidRPr="0068723D" w14:paraId="01BD5932" w14:textId="77777777" w:rsidTr="008067D0">
        <w:trPr>
          <w:trHeight w:val="340"/>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742F131" w14:textId="77777777" w:rsidR="0048206A" w:rsidRPr="007830A3" w:rsidRDefault="0048206A" w:rsidP="0048206A">
            <w:pPr>
              <w:rPr>
                <w:b/>
                <w:bCs/>
                <w:color w:val="000000" w:themeColor="text1"/>
                <w:sz w:val="12"/>
                <w:szCs w:val="12"/>
              </w:rPr>
            </w:pPr>
            <w:r w:rsidRPr="007830A3">
              <w:rPr>
                <w:b/>
                <w:bCs/>
                <w:color w:val="000000" w:themeColor="text1"/>
                <w:sz w:val="12"/>
                <w:szCs w:val="12"/>
              </w:rPr>
              <w:t>Aktywa finansowe wyceniane w wartości godziwej przez pozostałe całkowite dochody</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5E2BE54D" w14:textId="64AB8C5E"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24 338 284</w:t>
            </w:r>
          </w:p>
        </w:tc>
        <w:tc>
          <w:tcPr>
            <w:tcW w:w="1418" w:type="dxa"/>
            <w:tcBorders>
              <w:top w:val="nil"/>
              <w:left w:val="nil"/>
              <w:bottom w:val="single" w:sz="8" w:space="0" w:color="0077BD"/>
              <w:right w:val="single" w:sz="8" w:space="0" w:color="0077BD"/>
            </w:tcBorders>
            <w:shd w:val="clear" w:color="auto" w:fill="auto"/>
            <w:noWrap/>
            <w:vAlign w:val="center"/>
            <w:hideMark/>
          </w:tcPr>
          <w:p w14:paraId="5508A897" w14:textId="1D81A109"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22 481 825</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48389F18"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589 901</w:t>
            </w:r>
          </w:p>
        </w:tc>
        <w:tc>
          <w:tcPr>
            <w:tcW w:w="1418" w:type="dxa"/>
            <w:tcBorders>
              <w:top w:val="single" w:sz="8" w:space="0" w:color="0077BD"/>
              <w:left w:val="nil"/>
              <w:bottom w:val="single" w:sz="8" w:space="0" w:color="0077BD"/>
              <w:right w:val="nil"/>
            </w:tcBorders>
            <w:shd w:val="clear" w:color="auto" w:fill="auto"/>
            <w:noWrap/>
            <w:vAlign w:val="center"/>
            <w:hideMark/>
          </w:tcPr>
          <w:p w14:paraId="3F3C2752"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1 266 558</w:t>
            </w:r>
          </w:p>
        </w:tc>
      </w:tr>
      <w:tr w:rsidR="0048206A" w:rsidRPr="0068723D" w14:paraId="0F3C024C" w14:textId="77777777" w:rsidTr="008067D0">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581395ED" w14:textId="77777777" w:rsidR="0048206A" w:rsidRPr="007830A3" w:rsidRDefault="0048206A" w:rsidP="0048206A">
            <w:pPr>
              <w:rPr>
                <w:color w:val="000000" w:themeColor="text1"/>
                <w:sz w:val="12"/>
                <w:szCs w:val="12"/>
              </w:rPr>
            </w:pPr>
            <w:r w:rsidRPr="007830A3">
              <w:rPr>
                <w:color w:val="000000" w:themeColor="text1"/>
                <w:sz w:val="12"/>
                <w:szCs w:val="12"/>
              </w:rPr>
              <w:t>Dłużne papiery wartościowe</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026B78E0" w14:textId="03C149C7" w:rsidR="0048206A" w:rsidRPr="00544AF9" w:rsidRDefault="0048206A" w:rsidP="0048206A">
            <w:pPr>
              <w:jc w:val="right"/>
              <w:rPr>
                <w:color w:val="000000" w:themeColor="text1"/>
                <w:sz w:val="12"/>
                <w:szCs w:val="12"/>
              </w:rPr>
            </w:pPr>
            <w:r w:rsidRPr="00544AF9">
              <w:rPr>
                <w:rFonts w:cs="Calibri"/>
                <w:color w:val="000000" w:themeColor="text1"/>
                <w:sz w:val="12"/>
                <w:szCs w:val="12"/>
              </w:rPr>
              <w:t>24 338 284</w:t>
            </w:r>
          </w:p>
        </w:tc>
        <w:tc>
          <w:tcPr>
            <w:tcW w:w="1418" w:type="dxa"/>
            <w:tcBorders>
              <w:top w:val="nil"/>
              <w:left w:val="nil"/>
              <w:bottom w:val="single" w:sz="8" w:space="0" w:color="0077BD"/>
              <w:right w:val="single" w:sz="8" w:space="0" w:color="0077BD"/>
            </w:tcBorders>
            <w:shd w:val="clear" w:color="auto" w:fill="auto"/>
            <w:noWrap/>
            <w:vAlign w:val="center"/>
            <w:hideMark/>
          </w:tcPr>
          <w:p w14:paraId="7008D056" w14:textId="64C2E797" w:rsidR="0048206A" w:rsidRPr="00544AF9" w:rsidRDefault="0048206A" w:rsidP="0048206A">
            <w:pPr>
              <w:jc w:val="right"/>
              <w:rPr>
                <w:color w:val="000000" w:themeColor="text1"/>
                <w:sz w:val="12"/>
                <w:szCs w:val="12"/>
              </w:rPr>
            </w:pPr>
            <w:r w:rsidRPr="00544AF9">
              <w:rPr>
                <w:rFonts w:cs="Calibri"/>
                <w:color w:val="000000" w:themeColor="text1"/>
                <w:sz w:val="12"/>
                <w:szCs w:val="12"/>
              </w:rPr>
              <w:t>22 481 825</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1D2D5E78" w14:textId="77777777" w:rsidR="0048206A" w:rsidRPr="00544AF9" w:rsidRDefault="0048206A" w:rsidP="0048206A">
            <w:pPr>
              <w:jc w:val="right"/>
              <w:rPr>
                <w:color w:val="000000" w:themeColor="text1"/>
                <w:sz w:val="12"/>
                <w:szCs w:val="12"/>
              </w:rPr>
            </w:pPr>
            <w:r w:rsidRPr="00544AF9">
              <w:rPr>
                <w:color w:val="000000" w:themeColor="text1"/>
                <w:sz w:val="12"/>
                <w:szCs w:val="12"/>
              </w:rPr>
              <w:t>589 901</w:t>
            </w:r>
          </w:p>
        </w:tc>
        <w:tc>
          <w:tcPr>
            <w:tcW w:w="1418" w:type="dxa"/>
            <w:tcBorders>
              <w:top w:val="single" w:sz="8" w:space="0" w:color="0077BD"/>
              <w:left w:val="nil"/>
              <w:bottom w:val="single" w:sz="8" w:space="0" w:color="0077BD"/>
              <w:right w:val="nil"/>
            </w:tcBorders>
            <w:shd w:val="clear" w:color="auto" w:fill="auto"/>
            <w:noWrap/>
            <w:vAlign w:val="center"/>
            <w:hideMark/>
          </w:tcPr>
          <w:p w14:paraId="708DE94C" w14:textId="77777777" w:rsidR="0048206A" w:rsidRPr="00544AF9" w:rsidRDefault="0048206A" w:rsidP="0048206A">
            <w:pPr>
              <w:jc w:val="right"/>
              <w:rPr>
                <w:color w:val="000000" w:themeColor="text1"/>
                <w:sz w:val="12"/>
                <w:szCs w:val="12"/>
              </w:rPr>
            </w:pPr>
            <w:r w:rsidRPr="00544AF9">
              <w:rPr>
                <w:color w:val="000000" w:themeColor="text1"/>
                <w:sz w:val="12"/>
                <w:szCs w:val="12"/>
              </w:rPr>
              <w:t>1 266 558</w:t>
            </w:r>
          </w:p>
        </w:tc>
      </w:tr>
      <w:tr w:rsidR="0048206A" w:rsidRPr="0068723D" w14:paraId="6FDB9731" w14:textId="77777777" w:rsidTr="0048206A">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0C30D07D" w14:textId="77777777" w:rsidR="0048206A" w:rsidRPr="007830A3" w:rsidRDefault="0048206A" w:rsidP="0048206A">
            <w:pPr>
              <w:rPr>
                <w:b/>
                <w:bCs/>
                <w:color w:val="000000" w:themeColor="text1"/>
                <w:sz w:val="12"/>
                <w:szCs w:val="12"/>
              </w:rPr>
            </w:pPr>
            <w:r w:rsidRPr="007830A3">
              <w:rPr>
                <w:b/>
                <w:bCs/>
                <w:color w:val="000000" w:themeColor="text1"/>
                <w:sz w:val="12"/>
                <w:szCs w:val="12"/>
              </w:rPr>
              <w:t>Aktywa finansowe, razem</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47BB0BB3" w14:textId="1AF792F1"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29 309 085</w:t>
            </w:r>
          </w:p>
        </w:tc>
        <w:tc>
          <w:tcPr>
            <w:tcW w:w="1418" w:type="dxa"/>
            <w:tcBorders>
              <w:top w:val="nil"/>
              <w:left w:val="nil"/>
              <w:bottom w:val="single" w:sz="8" w:space="0" w:color="0077BD"/>
              <w:right w:val="single" w:sz="8" w:space="0" w:color="0077BD"/>
            </w:tcBorders>
            <w:shd w:val="clear" w:color="auto" w:fill="auto"/>
            <w:noWrap/>
            <w:vAlign w:val="center"/>
            <w:hideMark/>
          </w:tcPr>
          <w:p w14:paraId="6DBCA605" w14:textId="20B596C5" w:rsidR="0048206A" w:rsidRPr="00544AF9" w:rsidRDefault="0048206A" w:rsidP="0048206A">
            <w:pPr>
              <w:jc w:val="right"/>
              <w:rPr>
                <w:b/>
                <w:bCs/>
                <w:color w:val="000000" w:themeColor="text1"/>
                <w:sz w:val="12"/>
                <w:szCs w:val="12"/>
              </w:rPr>
            </w:pPr>
            <w:r w:rsidRPr="00544AF9">
              <w:rPr>
                <w:rFonts w:cs="Calibri"/>
                <w:b/>
                <w:bCs/>
                <w:color w:val="000000" w:themeColor="text1"/>
                <w:sz w:val="12"/>
                <w:szCs w:val="12"/>
              </w:rPr>
              <w:t>23 261 328</w:t>
            </w:r>
          </w:p>
        </w:tc>
        <w:tc>
          <w:tcPr>
            <w:tcW w:w="1418" w:type="dxa"/>
            <w:tcBorders>
              <w:top w:val="nil"/>
              <w:left w:val="nil"/>
              <w:bottom w:val="single" w:sz="8" w:space="0" w:color="0077BD"/>
              <w:right w:val="single" w:sz="8" w:space="0" w:color="0077BD"/>
            </w:tcBorders>
            <w:shd w:val="clear" w:color="auto" w:fill="auto"/>
            <w:noWrap/>
            <w:vAlign w:val="center"/>
            <w:hideMark/>
          </w:tcPr>
          <w:p w14:paraId="7939FF68"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1 595 980</w:t>
            </w:r>
          </w:p>
        </w:tc>
        <w:tc>
          <w:tcPr>
            <w:tcW w:w="1418" w:type="dxa"/>
            <w:tcBorders>
              <w:top w:val="nil"/>
              <w:left w:val="nil"/>
              <w:bottom w:val="single" w:sz="8" w:space="0" w:color="0077BD"/>
              <w:right w:val="nil"/>
            </w:tcBorders>
            <w:shd w:val="clear" w:color="auto" w:fill="auto"/>
            <w:noWrap/>
            <w:vAlign w:val="center"/>
            <w:hideMark/>
          </w:tcPr>
          <w:p w14:paraId="410820B5" w14:textId="77777777" w:rsidR="0048206A" w:rsidRPr="00544AF9" w:rsidRDefault="0048206A" w:rsidP="0048206A">
            <w:pPr>
              <w:jc w:val="right"/>
              <w:rPr>
                <w:b/>
                <w:bCs/>
                <w:color w:val="000000" w:themeColor="text1"/>
                <w:sz w:val="12"/>
                <w:szCs w:val="12"/>
              </w:rPr>
            </w:pPr>
            <w:r w:rsidRPr="00544AF9">
              <w:rPr>
                <w:b/>
                <w:bCs/>
                <w:color w:val="000000" w:themeColor="text1"/>
                <w:sz w:val="12"/>
                <w:szCs w:val="12"/>
              </w:rPr>
              <w:t>4 451 777</w:t>
            </w:r>
          </w:p>
        </w:tc>
      </w:tr>
      <w:tr w:rsidR="000D2E92" w:rsidRPr="0068723D" w14:paraId="1BB231E3" w14:textId="77777777" w:rsidTr="00EE203D">
        <w:trPr>
          <w:trHeight w:val="227"/>
        </w:trPr>
        <w:tc>
          <w:tcPr>
            <w:tcW w:w="0" w:type="auto"/>
            <w:tcBorders>
              <w:top w:val="nil"/>
              <w:left w:val="nil"/>
              <w:bottom w:val="single" w:sz="8" w:space="0" w:color="0077BD"/>
              <w:right w:val="nil"/>
            </w:tcBorders>
            <w:shd w:val="clear" w:color="000000" w:fill="FFFFFF"/>
            <w:vAlign w:val="center"/>
            <w:hideMark/>
          </w:tcPr>
          <w:p w14:paraId="56443207" w14:textId="77777777" w:rsidR="00194BC5" w:rsidRPr="007830A3" w:rsidRDefault="00194BC5" w:rsidP="009E7EB5">
            <w:pPr>
              <w:rPr>
                <w:b/>
                <w:bCs/>
                <w:color w:val="000000" w:themeColor="text1"/>
                <w:sz w:val="12"/>
                <w:szCs w:val="12"/>
              </w:rPr>
            </w:pPr>
            <w:r w:rsidRPr="007830A3">
              <w:rPr>
                <w:b/>
                <w:bCs/>
                <w:color w:val="000000" w:themeColor="text1"/>
                <w:sz w:val="12"/>
                <w:szCs w:val="12"/>
              </w:rPr>
              <w:t>Zobowiązania finansowe</w:t>
            </w:r>
          </w:p>
        </w:tc>
        <w:tc>
          <w:tcPr>
            <w:tcW w:w="1418" w:type="dxa"/>
            <w:tcBorders>
              <w:top w:val="nil"/>
              <w:left w:val="nil"/>
              <w:bottom w:val="single" w:sz="8" w:space="0" w:color="0077BD"/>
              <w:right w:val="nil"/>
            </w:tcBorders>
            <w:shd w:val="clear" w:color="000000" w:fill="FFFFFF"/>
            <w:noWrap/>
            <w:vAlign w:val="center"/>
          </w:tcPr>
          <w:p w14:paraId="114020DF" w14:textId="57F7A70E" w:rsidR="00194BC5" w:rsidRPr="00544AF9" w:rsidRDefault="00194BC5"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6439B4D2" w14:textId="148F4931" w:rsidR="00194BC5" w:rsidRPr="00544AF9" w:rsidRDefault="00194BC5"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14DAC3C5" w14:textId="56D716B7" w:rsidR="00194BC5" w:rsidRPr="00544AF9" w:rsidRDefault="00194BC5" w:rsidP="009E7EB5">
            <w:pPr>
              <w:rPr>
                <w:b/>
                <w:bCs/>
                <w:color w:val="000000" w:themeColor="text1"/>
                <w:sz w:val="12"/>
                <w:szCs w:val="12"/>
              </w:rPr>
            </w:pPr>
          </w:p>
        </w:tc>
        <w:tc>
          <w:tcPr>
            <w:tcW w:w="1418" w:type="dxa"/>
            <w:tcBorders>
              <w:top w:val="nil"/>
              <w:left w:val="nil"/>
              <w:bottom w:val="single" w:sz="8" w:space="0" w:color="0077BD"/>
              <w:right w:val="nil"/>
            </w:tcBorders>
            <w:shd w:val="clear" w:color="000000" w:fill="FFFFFF"/>
            <w:noWrap/>
            <w:vAlign w:val="center"/>
          </w:tcPr>
          <w:p w14:paraId="27950A20" w14:textId="567B64CE" w:rsidR="00194BC5" w:rsidRPr="007830A3" w:rsidRDefault="00194BC5" w:rsidP="009E7EB5">
            <w:pPr>
              <w:rPr>
                <w:b/>
                <w:bCs/>
                <w:color w:val="000000" w:themeColor="text1"/>
                <w:sz w:val="12"/>
                <w:szCs w:val="12"/>
              </w:rPr>
            </w:pPr>
          </w:p>
        </w:tc>
      </w:tr>
      <w:tr w:rsidR="000D2E92" w:rsidRPr="0068723D" w14:paraId="37CA6641" w14:textId="77777777" w:rsidTr="00B567EF">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1E309727" w14:textId="77777777" w:rsidR="00194BC5" w:rsidRPr="00544AF9" w:rsidRDefault="00194BC5" w:rsidP="009E7EB5">
            <w:pPr>
              <w:rPr>
                <w:color w:val="000000" w:themeColor="text1"/>
                <w:sz w:val="12"/>
                <w:szCs w:val="12"/>
              </w:rPr>
            </w:pPr>
            <w:r w:rsidRPr="00544AF9">
              <w:rPr>
                <w:color w:val="000000" w:themeColor="text1"/>
                <w:sz w:val="12"/>
                <w:szCs w:val="12"/>
              </w:rPr>
              <w:t xml:space="preserve">Pochodne instrumenty finansowe, w tym: </w:t>
            </w:r>
          </w:p>
        </w:tc>
        <w:tc>
          <w:tcPr>
            <w:tcW w:w="1418" w:type="dxa"/>
            <w:tcBorders>
              <w:top w:val="nil"/>
              <w:left w:val="nil"/>
              <w:bottom w:val="single" w:sz="8" w:space="0" w:color="0077BD"/>
              <w:right w:val="single" w:sz="8" w:space="0" w:color="0077BD"/>
            </w:tcBorders>
            <w:shd w:val="clear" w:color="auto" w:fill="auto"/>
            <w:noWrap/>
            <w:vAlign w:val="center"/>
            <w:hideMark/>
          </w:tcPr>
          <w:p w14:paraId="492363CC" w14:textId="77777777" w:rsidR="00194BC5" w:rsidRPr="00544AF9" w:rsidRDefault="00194BC5" w:rsidP="009E7EB5">
            <w:pPr>
              <w:jc w:val="right"/>
              <w:rPr>
                <w:color w:val="000000" w:themeColor="text1"/>
                <w:sz w:val="12"/>
                <w:szCs w:val="12"/>
              </w:rPr>
            </w:pPr>
            <w:r w:rsidRPr="00544AF9">
              <w:rPr>
                <w:color w:val="000000" w:themeColor="text1"/>
                <w:sz w:val="12"/>
                <w:szCs w:val="12"/>
              </w:rPr>
              <w:t>981 117</w:t>
            </w:r>
          </w:p>
        </w:tc>
        <w:tc>
          <w:tcPr>
            <w:tcW w:w="1418" w:type="dxa"/>
            <w:tcBorders>
              <w:top w:val="nil"/>
              <w:left w:val="nil"/>
              <w:bottom w:val="single" w:sz="8" w:space="0" w:color="0077BD"/>
              <w:right w:val="single" w:sz="8" w:space="0" w:color="0077BD"/>
            </w:tcBorders>
            <w:shd w:val="clear" w:color="auto" w:fill="auto"/>
            <w:noWrap/>
            <w:vAlign w:val="center"/>
            <w:hideMark/>
          </w:tcPr>
          <w:p w14:paraId="6DB85E86"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noWrap/>
            <w:vAlign w:val="center"/>
            <w:hideMark/>
          </w:tcPr>
          <w:p w14:paraId="550F3D94" w14:textId="77777777" w:rsidR="00194BC5" w:rsidRPr="00544AF9" w:rsidRDefault="00194BC5" w:rsidP="009E7EB5">
            <w:pPr>
              <w:jc w:val="right"/>
              <w:rPr>
                <w:color w:val="000000" w:themeColor="text1"/>
                <w:sz w:val="12"/>
                <w:szCs w:val="12"/>
              </w:rPr>
            </w:pPr>
            <w:r w:rsidRPr="00544AF9">
              <w:rPr>
                <w:color w:val="000000" w:themeColor="text1"/>
                <w:sz w:val="12"/>
                <w:szCs w:val="12"/>
              </w:rPr>
              <w:t>981 117</w:t>
            </w:r>
          </w:p>
        </w:tc>
        <w:tc>
          <w:tcPr>
            <w:tcW w:w="1418" w:type="dxa"/>
            <w:tcBorders>
              <w:top w:val="nil"/>
              <w:left w:val="nil"/>
              <w:bottom w:val="single" w:sz="8" w:space="0" w:color="0077BD"/>
              <w:right w:val="nil"/>
            </w:tcBorders>
            <w:shd w:val="clear" w:color="auto" w:fill="auto"/>
            <w:noWrap/>
            <w:vAlign w:val="center"/>
            <w:hideMark/>
          </w:tcPr>
          <w:p w14:paraId="44BA3D31"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r>
      <w:tr w:rsidR="000D2E92" w:rsidRPr="0068723D" w14:paraId="54FF7A33" w14:textId="77777777" w:rsidTr="00B567EF">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AC1A334" w14:textId="77777777" w:rsidR="00194BC5" w:rsidRPr="00544AF9" w:rsidRDefault="00194BC5" w:rsidP="009E7EB5">
            <w:pPr>
              <w:ind w:left="214"/>
              <w:rPr>
                <w:color w:val="000000" w:themeColor="text1"/>
                <w:sz w:val="12"/>
                <w:szCs w:val="12"/>
              </w:rPr>
            </w:pPr>
            <w:r w:rsidRPr="00544AF9">
              <w:rPr>
                <w:color w:val="000000" w:themeColor="text1"/>
                <w:sz w:val="12"/>
                <w:szCs w:val="12"/>
              </w:rPr>
              <w:t>Pochodne instrumenty finansowe przeznaczone do obrotu</w:t>
            </w:r>
          </w:p>
        </w:tc>
        <w:tc>
          <w:tcPr>
            <w:tcW w:w="1418" w:type="dxa"/>
            <w:tcBorders>
              <w:top w:val="nil"/>
              <w:left w:val="nil"/>
              <w:bottom w:val="single" w:sz="4" w:space="0" w:color="0077BD"/>
              <w:right w:val="single" w:sz="8" w:space="0" w:color="0077BD"/>
            </w:tcBorders>
            <w:shd w:val="clear" w:color="auto" w:fill="auto"/>
            <w:noWrap/>
            <w:vAlign w:val="center"/>
            <w:hideMark/>
          </w:tcPr>
          <w:p w14:paraId="219EE8B2" w14:textId="77777777" w:rsidR="00194BC5" w:rsidRPr="00544AF9" w:rsidRDefault="00194BC5" w:rsidP="009E7EB5">
            <w:pPr>
              <w:jc w:val="right"/>
              <w:rPr>
                <w:color w:val="000000" w:themeColor="text1"/>
                <w:sz w:val="12"/>
                <w:szCs w:val="12"/>
              </w:rPr>
            </w:pPr>
            <w:r w:rsidRPr="00544AF9">
              <w:rPr>
                <w:color w:val="000000" w:themeColor="text1"/>
                <w:sz w:val="12"/>
                <w:szCs w:val="12"/>
              </w:rPr>
              <w:t>1 070 142</w:t>
            </w:r>
          </w:p>
        </w:tc>
        <w:tc>
          <w:tcPr>
            <w:tcW w:w="1418" w:type="dxa"/>
            <w:tcBorders>
              <w:top w:val="nil"/>
              <w:left w:val="nil"/>
              <w:bottom w:val="single" w:sz="4" w:space="0" w:color="0077BD"/>
              <w:right w:val="single" w:sz="8" w:space="0" w:color="0077BD"/>
            </w:tcBorders>
            <w:shd w:val="clear" w:color="auto" w:fill="auto"/>
            <w:noWrap/>
            <w:vAlign w:val="center"/>
            <w:hideMark/>
          </w:tcPr>
          <w:p w14:paraId="6851B03B"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hideMark/>
          </w:tcPr>
          <w:p w14:paraId="20E2B0C9" w14:textId="77777777" w:rsidR="00194BC5" w:rsidRPr="00544AF9" w:rsidRDefault="00194BC5" w:rsidP="009E7EB5">
            <w:pPr>
              <w:jc w:val="right"/>
              <w:rPr>
                <w:color w:val="000000" w:themeColor="text1"/>
                <w:sz w:val="12"/>
                <w:szCs w:val="12"/>
              </w:rPr>
            </w:pPr>
            <w:r w:rsidRPr="00544AF9">
              <w:rPr>
                <w:color w:val="000000" w:themeColor="text1"/>
                <w:sz w:val="12"/>
                <w:szCs w:val="12"/>
              </w:rPr>
              <w:t>1 070 142</w:t>
            </w:r>
          </w:p>
        </w:tc>
        <w:tc>
          <w:tcPr>
            <w:tcW w:w="1418" w:type="dxa"/>
            <w:tcBorders>
              <w:top w:val="nil"/>
              <w:left w:val="nil"/>
              <w:bottom w:val="single" w:sz="4" w:space="0" w:color="0077BD"/>
              <w:right w:val="nil"/>
            </w:tcBorders>
            <w:shd w:val="clear" w:color="auto" w:fill="auto"/>
            <w:noWrap/>
            <w:vAlign w:val="center"/>
            <w:hideMark/>
          </w:tcPr>
          <w:p w14:paraId="33A4D155"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r>
      <w:tr w:rsidR="000D2E92" w:rsidRPr="0068723D" w14:paraId="1319119A" w14:textId="77777777" w:rsidTr="00B567EF">
        <w:trPr>
          <w:trHeight w:val="227"/>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67FFEBF0" w14:textId="77777777" w:rsidR="00194BC5" w:rsidRPr="00544AF9" w:rsidRDefault="00194BC5" w:rsidP="009E7EB5">
            <w:pPr>
              <w:ind w:left="214"/>
              <w:rPr>
                <w:color w:val="000000" w:themeColor="text1"/>
                <w:sz w:val="12"/>
                <w:szCs w:val="12"/>
              </w:rPr>
            </w:pPr>
            <w:r w:rsidRPr="00544AF9">
              <w:rPr>
                <w:color w:val="000000" w:themeColor="text1"/>
                <w:sz w:val="12"/>
                <w:szCs w:val="12"/>
              </w:rPr>
              <w:t>Pochodne instrumenty zabezpieczające</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600B483A" w14:textId="77777777" w:rsidR="00194BC5" w:rsidRPr="00544AF9" w:rsidRDefault="00194BC5" w:rsidP="009E7EB5">
            <w:pPr>
              <w:jc w:val="right"/>
              <w:rPr>
                <w:color w:val="000000" w:themeColor="text1"/>
                <w:sz w:val="12"/>
                <w:szCs w:val="12"/>
              </w:rPr>
            </w:pPr>
            <w:r w:rsidRPr="00544AF9">
              <w:rPr>
                <w:color w:val="000000" w:themeColor="text1"/>
                <w:sz w:val="12"/>
                <w:szCs w:val="12"/>
              </w:rPr>
              <w:t>10 660</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2BDEC472"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1C23080E" w14:textId="77777777" w:rsidR="00194BC5" w:rsidRPr="00544AF9" w:rsidRDefault="00194BC5" w:rsidP="009E7EB5">
            <w:pPr>
              <w:jc w:val="right"/>
              <w:rPr>
                <w:color w:val="000000" w:themeColor="text1"/>
                <w:sz w:val="12"/>
                <w:szCs w:val="12"/>
              </w:rPr>
            </w:pPr>
            <w:r w:rsidRPr="00544AF9">
              <w:rPr>
                <w:color w:val="000000" w:themeColor="text1"/>
                <w:sz w:val="12"/>
                <w:szCs w:val="12"/>
              </w:rPr>
              <w:t>10 660</w:t>
            </w:r>
          </w:p>
        </w:tc>
        <w:tc>
          <w:tcPr>
            <w:tcW w:w="1418" w:type="dxa"/>
            <w:tcBorders>
              <w:top w:val="single" w:sz="4" w:space="0" w:color="0077BD"/>
              <w:left w:val="nil"/>
              <w:bottom w:val="single" w:sz="4" w:space="0" w:color="0077BD"/>
              <w:right w:val="nil"/>
            </w:tcBorders>
            <w:shd w:val="clear" w:color="auto" w:fill="auto"/>
            <w:noWrap/>
            <w:vAlign w:val="center"/>
            <w:hideMark/>
          </w:tcPr>
          <w:p w14:paraId="06F8D53C"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r>
      <w:tr w:rsidR="000D2E92" w:rsidRPr="0068723D" w14:paraId="49085995" w14:textId="77777777" w:rsidTr="00B567EF">
        <w:trPr>
          <w:trHeight w:val="227"/>
        </w:trPr>
        <w:tc>
          <w:tcPr>
            <w:tcW w:w="0" w:type="auto"/>
            <w:tcBorders>
              <w:top w:val="single" w:sz="4" w:space="0" w:color="0077BD"/>
              <w:left w:val="nil"/>
              <w:bottom w:val="single" w:sz="8" w:space="0" w:color="0077BD"/>
              <w:right w:val="single" w:sz="8" w:space="0" w:color="0077BD"/>
            </w:tcBorders>
            <w:shd w:val="clear" w:color="auto" w:fill="auto"/>
            <w:vAlign w:val="center"/>
          </w:tcPr>
          <w:p w14:paraId="43C4FA44" w14:textId="77777777" w:rsidR="00194BC5" w:rsidRPr="00544AF9" w:rsidRDefault="00194BC5" w:rsidP="009E7EB5">
            <w:pPr>
              <w:ind w:left="214"/>
              <w:rPr>
                <w:color w:val="000000" w:themeColor="text1"/>
                <w:sz w:val="12"/>
                <w:szCs w:val="12"/>
              </w:rPr>
            </w:pPr>
            <w:r w:rsidRPr="00544AF9">
              <w:rPr>
                <w:color w:val="000000" w:themeColor="text1"/>
                <w:sz w:val="12"/>
                <w:szCs w:val="12"/>
              </w:rPr>
              <w:t>Efekt kompensowania</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76C1DAD1" w14:textId="77777777" w:rsidR="00194BC5" w:rsidRPr="00544AF9" w:rsidRDefault="00194BC5" w:rsidP="009E7EB5">
            <w:pPr>
              <w:jc w:val="right"/>
              <w:rPr>
                <w:color w:val="000000" w:themeColor="text1"/>
                <w:sz w:val="12"/>
                <w:szCs w:val="12"/>
              </w:rPr>
            </w:pPr>
            <w:r w:rsidRPr="00544AF9">
              <w:rPr>
                <w:color w:val="000000" w:themeColor="text1"/>
                <w:sz w:val="12"/>
                <w:szCs w:val="12"/>
              </w:rPr>
              <w:t>(99 685)</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05F47525"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0E3ED19B" w14:textId="77777777" w:rsidR="00194BC5" w:rsidRPr="00544AF9" w:rsidRDefault="00194BC5" w:rsidP="009E7EB5">
            <w:pPr>
              <w:jc w:val="right"/>
              <w:rPr>
                <w:color w:val="000000" w:themeColor="text1"/>
                <w:sz w:val="12"/>
                <w:szCs w:val="12"/>
              </w:rPr>
            </w:pPr>
            <w:r w:rsidRPr="00544AF9">
              <w:rPr>
                <w:color w:val="000000" w:themeColor="text1"/>
                <w:sz w:val="12"/>
                <w:szCs w:val="12"/>
              </w:rPr>
              <w:t>(99 685)</w:t>
            </w:r>
          </w:p>
        </w:tc>
        <w:tc>
          <w:tcPr>
            <w:tcW w:w="1418" w:type="dxa"/>
            <w:tcBorders>
              <w:top w:val="single" w:sz="4" w:space="0" w:color="0077BD"/>
              <w:left w:val="nil"/>
              <w:bottom w:val="single" w:sz="8" w:space="0" w:color="0077BD"/>
              <w:right w:val="nil"/>
            </w:tcBorders>
            <w:shd w:val="clear" w:color="auto" w:fill="auto"/>
            <w:noWrap/>
            <w:vAlign w:val="center"/>
          </w:tcPr>
          <w:p w14:paraId="1AFBCD86" w14:textId="77777777" w:rsidR="00194BC5" w:rsidRPr="00544AF9" w:rsidRDefault="00194BC5" w:rsidP="009E7EB5">
            <w:pPr>
              <w:jc w:val="right"/>
              <w:rPr>
                <w:color w:val="000000" w:themeColor="text1"/>
                <w:sz w:val="12"/>
                <w:szCs w:val="12"/>
              </w:rPr>
            </w:pPr>
            <w:r w:rsidRPr="00544AF9">
              <w:rPr>
                <w:color w:val="000000" w:themeColor="text1"/>
                <w:sz w:val="12"/>
                <w:szCs w:val="12"/>
              </w:rPr>
              <w:t>-</w:t>
            </w:r>
          </w:p>
        </w:tc>
      </w:tr>
      <w:tr w:rsidR="000D2E92" w:rsidRPr="0068723D" w14:paraId="78C97773" w14:textId="77777777" w:rsidTr="00B567EF">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6061830B" w14:textId="77777777" w:rsidR="00194BC5" w:rsidRPr="00544AF9" w:rsidRDefault="00194BC5" w:rsidP="009E7EB5">
            <w:pPr>
              <w:rPr>
                <w:b/>
                <w:bCs/>
                <w:color w:val="000000" w:themeColor="text1"/>
                <w:sz w:val="12"/>
                <w:szCs w:val="12"/>
              </w:rPr>
            </w:pPr>
            <w:r w:rsidRPr="00544AF9">
              <w:rPr>
                <w:b/>
                <w:bCs/>
                <w:color w:val="000000" w:themeColor="text1"/>
                <w:sz w:val="12"/>
                <w:szCs w:val="12"/>
              </w:rPr>
              <w:t>Zobowiązania finansowe razem</w:t>
            </w:r>
          </w:p>
        </w:tc>
        <w:tc>
          <w:tcPr>
            <w:tcW w:w="1418" w:type="dxa"/>
            <w:tcBorders>
              <w:top w:val="nil"/>
              <w:left w:val="nil"/>
              <w:bottom w:val="single" w:sz="8" w:space="0" w:color="0077BD"/>
              <w:right w:val="single" w:sz="8" w:space="0" w:color="0077BD"/>
            </w:tcBorders>
            <w:shd w:val="clear" w:color="auto" w:fill="auto"/>
            <w:noWrap/>
            <w:vAlign w:val="center"/>
            <w:hideMark/>
          </w:tcPr>
          <w:p w14:paraId="17ED15A4" w14:textId="77777777" w:rsidR="00194BC5" w:rsidRPr="00544AF9" w:rsidRDefault="00194BC5" w:rsidP="009E7EB5">
            <w:pPr>
              <w:jc w:val="right"/>
              <w:rPr>
                <w:b/>
                <w:bCs/>
                <w:color w:val="000000" w:themeColor="text1"/>
                <w:sz w:val="12"/>
                <w:szCs w:val="12"/>
              </w:rPr>
            </w:pPr>
            <w:r w:rsidRPr="00544AF9">
              <w:rPr>
                <w:b/>
                <w:bCs/>
                <w:color w:val="000000" w:themeColor="text1"/>
                <w:sz w:val="12"/>
                <w:szCs w:val="12"/>
              </w:rPr>
              <w:t>981 117</w:t>
            </w:r>
          </w:p>
        </w:tc>
        <w:tc>
          <w:tcPr>
            <w:tcW w:w="1418" w:type="dxa"/>
            <w:tcBorders>
              <w:top w:val="nil"/>
              <w:left w:val="nil"/>
              <w:bottom w:val="single" w:sz="8" w:space="0" w:color="0077BD"/>
              <w:right w:val="single" w:sz="8" w:space="0" w:color="0077BD"/>
            </w:tcBorders>
            <w:shd w:val="clear" w:color="auto" w:fill="auto"/>
            <w:noWrap/>
            <w:vAlign w:val="center"/>
            <w:hideMark/>
          </w:tcPr>
          <w:p w14:paraId="7D63E37B" w14:textId="77777777" w:rsidR="00194BC5" w:rsidRPr="00544AF9" w:rsidRDefault="00194BC5" w:rsidP="009E7EB5">
            <w:pPr>
              <w:jc w:val="right"/>
              <w:rPr>
                <w:b/>
                <w:bCs/>
                <w:color w:val="000000" w:themeColor="text1"/>
                <w:sz w:val="12"/>
                <w:szCs w:val="12"/>
              </w:rPr>
            </w:pPr>
            <w:r w:rsidRPr="00544AF9">
              <w:rPr>
                <w:b/>
                <w:bCs/>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noWrap/>
            <w:vAlign w:val="center"/>
            <w:hideMark/>
          </w:tcPr>
          <w:p w14:paraId="7C1ADAA5" w14:textId="77777777" w:rsidR="00194BC5" w:rsidRPr="00544AF9" w:rsidRDefault="00194BC5" w:rsidP="009E7EB5">
            <w:pPr>
              <w:jc w:val="right"/>
              <w:rPr>
                <w:b/>
                <w:bCs/>
                <w:color w:val="000000" w:themeColor="text1"/>
                <w:sz w:val="12"/>
                <w:szCs w:val="12"/>
              </w:rPr>
            </w:pPr>
            <w:r w:rsidRPr="00544AF9">
              <w:rPr>
                <w:b/>
                <w:bCs/>
                <w:color w:val="000000" w:themeColor="text1"/>
                <w:sz w:val="12"/>
                <w:szCs w:val="12"/>
              </w:rPr>
              <w:t>981 117</w:t>
            </w:r>
          </w:p>
        </w:tc>
        <w:tc>
          <w:tcPr>
            <w:tcW w:w="1418" w:type="dxa"/>
            <w:tcBorders>
              <w:top w:val="nil"/>
              <w:left w:val="nil"/>
              <w:bottom w:val="single" w:sz="8" w:space="0" w:color="0077BD"/>
              <w:right w:val="nil"/>
            </w:tcBorders>
            <w:shd w:val="clear" w:color="auto" w:fill="auto"/>
            <w:noWrap/>
            <w:vAlign w:val="center"/>
            <w:hideMark/>
          </w:tcPr>
          <w:p w14:paraId="2D42DA9D" w14:textId="77777777" w:rsidR="00194BC5" w:rsidRPr="00544AF9" w:rsidRDefault="00194BC5" w:rsidP="009E7EB5">
            <w:pPr>
              <w:jc w:val="right"/>
              <w:rPr>
                <w:b/>
                <w:bCs/>
                <w:color w:val="000000" w:themeColor="text1"/>
                <w:sz w:val="12"/>
                <w:szCs w:val="12"/>
              </w:rPr>
            </w:pPr>
            <w:r w:rsidRPr="00544AF9">
              <w:rPr>
                <w:b/>
                <w:bCs/>
                <w:color w:val="000000" w:themeColor="text1"/>
                <w:sz w:val="12"/>
                <w:szCs w:val="12"/>
              </w:rPr>
              <w:t>-</w:t>
            </w:r>
          </w:p>
        </w:tc>
      </w:tr>
    </w:tbl>
    <w:p w14:paraId="67A4A7A9" w14:textId="77777777" w:rsidR="00194BC5" w:rsidRPr="005B06EC" w:rsidRDefault="00194BC5" w:rsidP="006D3452">
      <w:pPr>
        <w:suppressAutoHyphens/>
        <w:jc w:val="both"/>
        <w:rPr>
          <w:sz w:val="12"/>
          <w:szCs w:val="12"/>
        </w:rPr>
      </w:pPr>
    </w:p>
    <w:tbl>
      <w:tblPr>
        <w:tblW w:w="0" w:type="auto"/>
        <w:tblLayout w:type="fixed"/>
        <w:tblCellMar>
          <w:left w:w="28" w:type="dxa"/>
          <w:right w:w="28" w:type="dxa"/>
        </w:tblCellMar>
        <w:tblLook w:val="04A0" w:firstRow="1" w:lastRow="0" w:firstColumn="1" w:lastColumn="0" w:noHBand="0" w:noVBand="1"/>
      </w:tblPr>
      <w:tblGrid>
        <w:gridCol w:w="2694"/>
        <w:gridCol w:w="1247"/>
        <w:gridCol w:w="1418"/>
        <w:gridCol w:w="1418"/>
        <w:gridCol w:w="1418"/>
        <w:gridCol w:w="1418"/>
      </w:tblGrid>
      <w:tr w:rsidR="006D3452" w:rsidRPr="00AC1CB6" w14:paraId="23FFE493" w14:textId="0E2463AE" w:rsidTr="006D3452">
        <w:trPr>
          <w:trHeight w:val="1247"/>
        </w:trPr>
        <w:tc>
          <w:tcPr>
            <w:tcW w:w="2694" w:type="dxa"/>
            <w:tcBorders>
              <w:top w:val="nil"/>
              <w:left w:val="nil"/>
              <w:bottom w:val="nil"/>
              <w:right w:val="single" w:sz="8" w:space="0" w:color="FFFFFF"/>
            </w:tcBorders>
            <w:shd w:val="clear" w:color="000000" w:fill="0077BD"/>
            <w:vAlign w:val="center"/>
            <w:hideMark/>
          </w:tcPr>
          <w:p w14:paraId="6A143AE5" w14:textId="54861AAB" w:rsidR="00194BC5" w:rsidRPr="00AC1CB6" w:rsidRDefault="00194BC5" w:rsidP="006D3452">
            <w:pPr>
              <w:rPr>
                <w:rFonts w:cs="Calibri"/>
                <w:b/>
                <w:bCs/>
                <w:color w:val="FFFFFF"/>
                <w:sz w:val="12"/>
                <w:szCs w:val="12"/>
              </w:rPr>
            </w:pPr>
            <w:r w:rsidRPr="00AC1CB6">
              <w:rPr>
                <w:rFonts w:cs="Calibri"/>
                <w:b/>
                <w:bCs/>
                <w:color w:val="FFFFFF"/>
                <w:sz w:val="12"/>
                <w:szCs w:val="12"/>
              </w:rPr>
              <w:t xml:space="preserve">Aktywa finansowe wycenione do wartości godziwej na poziomie 3 - zmiana stanu w </w:t>
            </w:r>
            <w:r w:rsidR="006D3452">
              <w:rPr>
                <w:rFonts w:cs="Calibri"/>
                <w:b/>
                <w:bCs/>
                <w:color w:val="FFFFFF"/>
                <w:sz w:val="12"/>
                <w:szCs w:val="12"/>
              </w:rPr>
              <w:t>2018</w:t>
            </w:r>
            <w:r w:rsidRPr="00AC1CB6">
              <w:rPr>
                <w:rFonts w:cs="Calibri"/>
                <w:b/>
                <w:bCs/>
                <w:color w:val="FFFFFF"/>
                <w:sz w:val="12"/>
                <w:szCs w:val="12"/>
              </w:rPr>
              <w:t xml:space="preserve"> roku</w:t>
            </w:r>
          </w:p>
        </w:tc>
        <w:tc>
          <w:tcPr>
            <w:tcW w:w="1247" w:type="dxa"/>
            <w:tcBorders>
              <w:top w:val="nil"/>
              <w:left w:val="nil"/>
              <w:bottom w:val="nil"/>
              <w:right w:val="single" w:sz="8" w:space="0" w:color="FFFFFF"/>
            </w:tcBorders>
            <w:shd w:val="clear" w:color="000000" w:fill="0077BD"/>
            <w:vAlign w:val="center"/>
            <w:hideMark/>
          </w:tcPr>
          <w:p w14:paraId="2524408E" w14:textId="77777777" w:rsidR="00194BC5" w:rsidRPr="00AC1CB6" w:rsidRDefault="00194BC5" w:rsidP="009E7EB5">
            <w:pPr>
              <w:jc w:val="center"/>
              <w:rPr>
                <w:rFonts w:cs="Calibri"/>
                <w:b/>
                <w:bCs/>
                <w:color w:val="FFFFFF"/>
                <w:sz w:val="12"/>
                <w:szCs w:val="12"/>
              </w:rPr>
            </w:pPr>
            <w:r w:rsidRPr="00AC1CB6">
              <w:rPr>
                <w:rFonts w:cs="Calibri"/>
                <w:b/>
                <w:bCs/>
                <w:color w:val="FFFFFF"/>
                <w:sz w:val="12"/>
                <w:szCs w:val="12"/>
              </w:rPr>
              <w:t>Dłużne papiery</w:t>
            </w:r>
            <w:r w:rsidRPr="00AC1CB6">
              <w:rPr>
                <w:rFonts w:cs="Calibri"/>
                <w:b/>
                <w:bCs/>
                <w:color w:val="FFFFFF"/>
                <w:sz w:val="12"/>
                <w:szCs w:val="12"/>
              </w:rPr>
              <w:br/>
              <w:t>przeznaczone do</w:t>
            </w:r>
            <w:r w:rsidRPr="00AC1CB6">
              <w:rPr>
                <w:rFonts w:cs="Calibri"/>
                <w:b/>
                <w:bCs/>
                <w:color w:val="FFFFFF"/>
                <w:sz w:val="12"/>
                <w:szCs w:val="12"/>
              </w:rPr>
              <w:br/>
              <w:t>obrotu</w:t>
            </w:r>
          </w:p>
        </w:tc>
        <w:tc>
          <w:tcPr>
            <w:tcW w:w="1418" w:type="dxa"/>
            <w:tcBorders>
              <w:top w:val="nil"/>
              <w:left w:val="nil"/>
              <w:bottom w:val="nil"/>
              <w:right w:val="single" w:sz="8" w:space="0" w:color="FFFFFF"/>
            </w:tcBorders>
            <w:shd w:val="clear" w:color="000000" w:fill="0077BD"/>
            <w:vAlign w:val="center"/>
            <w:hideMark/>
          </w:tcPr>
          <w:p w14:paraId="7ACD477F" w14:textId="77777777" w:rsidR="00194BC5" w:rsidRPr="00AC1CB6" w:rsidRDefault="00194BC5" w:rsidP="009E7EB5">
            <w:pPr>
              <w:jc w:val="center"/>
              <w:rPr>
                <w:rFonts w:cs="Calibri"/>
                <w:b/>
                <w:bCs/>
                <w:color w:val="FFFFFF"/>
                <w:sz w:val="12"/>
                <w:szCs w:val="12"/>
              </w:rPr>
            </w:pPr>
            <w:r w:rsidRPr="00AC1CB6">
              <w:rPr>
                <w:rFonts w:cs="Calibri"/>
                <w:b/>
                <w:bCs/>
                <w:color w:val="FFFFFF"/>
                <w:sz w:val="12"/>
                <w:szCs w:val="12"/>
              </w:rPr>
              <w:t>Dłużne papiery wartościowe nieprzeznaczone do obrotu wyceniane obowiązkowo w wartości godziwej przez wynik finansowy</w:t>
            </w:r>
          </w:p>
        </w:tc>
        <w:tc>
          <w:tcPr>
            <w:tcW w:w="1418" w:type="dxa"/>
            <w:tcBorders>
              <w:top w:val="nil"/>
              <w:left w:val="nil"/>
              <w:bottom w:val="nil"/>
              <w:right w:val="single" w:sz="8" w:space="0" w:color="FFFFFF"/>
            </w:tcBorders>
            <w:shd w:val="clear" w:color="000000" w:fill="0077BD"/>
            <w:vAlign w:val="center"/>
            <w:hideMark/>
          </w:tcPr>
          <w:p w14:paraId="303CD104" w14:textId="77777777" w:rsidR="00194BC5" w:rsidRPr="00AC1CB6" w:rsidRDefault="00194BC5" w:rsidP="009E7EB5">
            <w:pPr>
              <w:jc w:val="center"/>
              <w:rPr>
                <w:rFonts w:cs="Calibri"/>
                <w:b/>
                <w:bCs/>
                <w:color w:val="FFFFFF"/>
                <w:sz w:val="12"/>
                <w:szCs w:val="12"/>
              </w:rPr>
            </w:pPr>
            <w:r w:rsidRPr="00AC1CB6">
              <w:rPr>
                <w:rFonts w:cs="Calibri"/>
                <w:b/>
                <w:bCs/>
                <w:color w:val="FFFFFF"/>
                <w:sz w:val="12"/>
                <w:szCs w:val="12"/>
              </w:rPr>
              <w:t>Kapitałowe papiery wartościowe nieprzeznaczone do obrotu wyceniane obowiązkowo w wartości godziwej przez wynik finansowy</w:t>
            </w:r>
          </w:p>
        </w:tc>
        <w:tc>
          <w:tcPr>
            <w:tcW w:w="1418" w:type="dxa"/>
            <w:tcBorders>
              <w:top w:val="nil"/>
              <w:left w:val="nil"/>
              <w:right w:val="single" w:sz="8" w:space="0" w:color="FFFFFF"/>
            </w:tcBorders>
            <w:shd w:val="clear" w:color="000000" w:fill="0077BD"/>
            <w:vAlign w:val="center"/>
            <w:hideMark/>
          </w:tcPr>
          <w:p w14:paraId="282B664A" w14:textId="77777777" w:rsidR="00194BC5" w:rsidRPr="00AC1CB6" w:rsidRDefault="00194BC5" w:rsidP="009E7EB5">
            <w:pPr>
              <w:jc w:val="center"/>
              <w:rPr>
                <w:rFonts w:cs="Calibri"/>
                <w:b/>
                <w:bCs/>
                <w:color w:val="FFFFFF"/>
                <w:sz w:val="12"/>
                <w:szCs w:val="12"/>
              </w:rPr>
            </w:pPr>
            <w:r w:rsidRPr="00AC1CB6">
              <w:rPr>
                <w:rFonts w:cs="Calibri"/>
                <w:b/>
                <w:bCs/>
                <w:color w:val="FFFFFF"/>
                <w:sz w:val="12"/>
                <w:szCs w:val="12"/>
              </w:rPr>
              <w:t>Dłużne papiery wartościowe wyceniane w wartości godziwej przez pozostałe całkowite dochody</w:t>
            </w:r>
          </w:p>
        </w:tc>
        <w:tc>
          <w:tcPr>
            <w:tcW w:w="1418" w:type="dxa"/>
            <w:tcBorders>
              <w:top w:val="nil"/>
              <w:left w:val="single" w:sz="8" w:space="0" w:color="FFFFFF"/>
              <w:bottom w:val="nil"/>
              <w:right w:val="nil"/>
            </w:tcBorders>
            <w:shd w:val="clear" w:color="000000" w:fill="0077BD"/>
          </w:tcPr>
          <w:p w14:paraId="1B74CD5B" w14:textId="77777777" w:rsidR="006D3452" w:rsidRDefault="006D3452" w:rsidP="006D3452">
            <w:pPr>
              <w:jc w:val="center"/>
              <w:rPr>
                <w:rFonts w:cs="Calibri"/>
                <w:b/>
                <w:bCs/>
                <w:color w:val="FFFFFF"/>
                <w:sz w:val="12"/>
                <w:szCs w:val="12"/>
              </w:rPr>
            </w:pPr>
          </w:p>
          <w:p w14:paraId="2510D045" w14:textId="76CC6CBF" w:rsidR="00194BC5" w:rsidRPr="00AC1CB6" w:rsidRDefault="006D3452" w:rsidP="006D3452">
            <w:pPr>
              <w:jc w:val="center"/>
              <w:rPr>
                <w:rFonts w:cs="Calibri"/>
                <w:b/>
                <w:bCs/>
                <w:color w:val="FFFFFF"/>
                <w:sz w:val="12"/>
                <w:szCs w:val="12"/>
              </w:rPr>
            </w:pPr>
            <w:r w:rsidRPr="00AC1CB6">
              <w:rPr>
                <w:rFonts w:cs="Calibri"/>
                <w:b/>
                <w:bCs/>
                <w:color w:val="FFFFFF"/>
                <w:sz w:val="12"/>
                <w:szCs w:val="12"/>
              </w:rPr>
              <w:t xml:space="preserve">Kapitałowe papiery wartościowe wyceniane w wartości godziwej przez </w:t>
            </w:r>
            <w:r>
              <w:rPr>
                <w:rFonts w:cs="Calibri"/>
                <w:b/>
                <w:bCs/>
                <w:color w:val="FFFFFF"/>
                <w:sz w:val="12"/>
                <w:szCs w:val="12"/>
              </w:rPr>
              <w:t>pozostałe całkowite dochody</w:t>
            </w:r>
          </w:p>
        </w:tc>
      </w:tr>
      <w:tr w:rsidR="006D3452" w:rsidRPr="0068723D" w14:paraId="13E2AC4D" w14:textId="1112BA8A" w:rsidTr="006D3452">
        <w:trPr>
          <w:trHeight w:val="227"/>
        </w:trPr>
        <w:tc>
          <w:tcPr>
            <w:tcW w:w="2694" w:type="dxa"/>
            <w:tcBorders>
              <w:top w:val="nil"/>
              <w:left w:val="nil"/>
              <w:bottom w:val="single" w:sz="8" w:space="0" w:color="0077BD"/>
              <w:right w:val="single" w:sz="8" w:space="0" w:color="0077BD"/>
            </w:tcBorders>
            <w:shd w:val="clear" w:color="auto" w:fill="auto"/>
            <w:vAlign w:val="center"/>
            <w:hideMark/>
          </w:tcPr>
          <w:p w14:paraId="2AF09E04" w14:textId="77777777" w:rsidR="00194BC5" w:rsidRPr="00544AF9" w:rsidRDefault="00194BC5" w:rsidP="009E7EB5">
            <w:pPr>
              <w:rPr>
                <w:rFonts w:cs="Calibri"/>
                <w:b/>
                <w:bCs/>
                <w:color w:val="000000" w:themeColor="text1"/>
                <w:sz w:val="12"/>
                <w:szCs w:val="12"/>
              </w:rPr>
            </w:pPr>
            <w:r w:rsidRPr="00544AF9">
              <w:rPr>
                <w:rFonts w:cs="Calibri"/>
                <w:b/>
                <w:bCs/>
                <w:color w:val="000000" w:themeColor="text1"/>
                <w:sz w:val="12"/>
                <w:szCs w:val="12"/>
              </w:rPr>
              <w:t>Bilans otwarcia</w:t>
            </w:r>
          </w:p>
        </w:tc>
        <w:tc>
          <w:tcPr>
            <w:tcW w:w="1247" w:type="dxa"/>
            <w:tcBorders>
              <w:top w:val="nil"/>
              <w:left w:val="nil"/>
              <w:bottom w:val="single" w:sz="8" w:space="0" w:color="0077BD"/>
              <w:right w:val="single" w:sz="8" w:space="0" w:color="0077BD"/>
            </w:tcBorders>
            <w:shd w:val="clear" w:color="auto" w:fill="auto"/>
            <w:vAlign w:val="center"/>
          </w:tcPr>
          <w:p w14:paraId="6BEAC549" w14:textId="0EB6EA51" w:rsidR="00194BC5" w:rsidRPr="00544AF9" w:rsidRDefault="006D3452" w:rsidP="009E7EB5">
            <w:pPr>
              <w:jc w:val="right"/>
              <w:rPr>
                <w:rFonts w:cs="Calibri"/>
                <w:b/>
                <w:bCs/>
                <w:color w:val="000000" w:themeColor="text1"/>
                <w:sz w:val="12"/>
                <w:szCs w:val="12"/>
              </w:rPr>
            </w:pPr>
            <w:r w:rsidRPr="00544AF9">
              <w:rPr>
                <w:rFonts w:cs="Calibri"/>
                <w:b/>
                <w:bCs/>
                <w:color w:val="000000" w:themeColor="text1"/>
                <w:sz w:val="12"/>
                <w:szCs w:val="12"/>
              </w:rPr>
              <w:t>288 676</w:t>
            </w:r>
          </w:p>
        </w:tc>
        <w:tc>
          <w:tcPr>
            <w:tcW w:w="1418" w:type="dxa"/>
            <w:tcBorders>
              <w:top w:val="nil"/>
              <w:left w:val="nil"/>
              <w:bottom w:val="single" w:sz="8" w:space="0" w:color="0077BD"/>
              <w:right w:val="single" w:sz="8" w:space="0" w:color="0077BD"/>
            </w:tcBorders>
            <w:shd w:val="clear" w:color="auto" w:fill="auto"/>
            <w:vAlign w:val="center"/>
          </w:tcPr>
          <w:p w14:paraId="289F6673" w14:textId="1A47D54F" w:rsidR="00194BC5" w:rsidRPr="00544AF9" w:rsidRDefault="006D3452" w:rsidP="009E7EB5">
            <w:pPr>
              <w:jc w:val="right"/>
              <w:rPr>
                <w:rFonts w:cs="Calibri"/>
                <w:b/>
                <w:bCs/>
                <w:color w:val="000000" w:themeColor="text1"/>
                <w:sz w:val="12"/>
                <w:szCs w:val="12"/>
              </w:rPr>
            </w:pPr>
            <w:r w:rsidRPr="00544AF9">
              <w:rPr>
                <w:rFonts w:cs="Calibri"/>
                <w:b/>
                <w:bCs/>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vAlign w:val="center"/>
          </w:tcPr>
          <w:p w14:paraId="062A1708" w14:textId="50CEEDCC" w:rsidR="00194BC5" w:rsidRPr="00544AF9" w:rsidRDefault="006D3452" w:rsidP="009E7EB5">
            <w:pPr>
              <w:jc w:val="right"/>
              <w:rPr>
                <w:rFonts w:cs="Calibri"/>
                <w:b/>
                <w:bCs/>
                <w:color w:val="000000" w:themeColor="text1"/>
                <w:sz w:val="12"/>
                <w:szCs w:val="12"/>
              </w:rPr>
            </w:pPr>
            <w:r w:rsidRPr="00544AF9">
              <w:rPr>
                <w:rFonts w:cs="Calibri"/>
                <w:b/>
                <w:bCs/>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vAlign w:val="center"/>
          </w:tcPr>
          <w:p w14:paraId="17C24BCD" w14:textId="75FEDB6C" w:rsidR="00194BC5" w:rsidRPr="00544AF9" w:rsidRDefault="006D3452" w:rsidP="009E7EB5">
            <w:pPr>
              <w:jc w:val="right"/>
              <w:rPr>
                <w:rFonts w:cs="Calibri"/>
                <w:b/>
                <w:bCs/>
                <w:color w:val="000000" w:themeColor="text1"/>
                <w:sz w:val="12"/>
                <w:szCs w:val="12"/>
              </w:rPr>
            </w:pPr>
            <w:r w:rsidRPr="00544AF9">
              <w:rPr>
                <w:rFonts w:cs="Calibri"/>
                <w:b/>
                <w:bCs/>
                <w:color w:val="000000" w:themeColor="text1"/>
                <w:sz w:val="12"/>
                <w:szCs w:val="12"/>
              </w:rPr>
              <w:t>1 214 940</w:t>
            </w:r>
          </w:p>
        </w:tc>
        <w:tc>
          <w:tcPr>
            <w:tcW w:w="1418" w:type="dxa"/>
            <w:tcBorders>
              <w:top w:val="nil"/>
              <w:left w:val="single" w:sz="8" w:space="0" w:color="0077BD"/>
              <w:bottom w:val="single" w:sz="8" w:space="0" w:color="0077BD"/>
              <w:right w:val="nil"/>
            </w:tcBorders>
            <w:vAlign w:val="center"/>
          </w:tcPr>
          <w:p w14:paraId="168B00F3" w14:textId="04A74DE6" w:rsidR="00194BC5" w:rsidRPr="00544AF9" w:rsidRDefault="006D3452" w:rsidP="004F224C">
            <w:pPr>
              <w:jc w:val="right"/>
              <w:rPr>
                <w:rFonts w:cs="Calibri"/>
                <w:b/>
                <w:bCs/>
                <w:color w:val="000000" w:themeColor="text1"/>
                <w:sz w:val="12"/>
                <w:szCs w:val="12"/>
              </w:rPr>
            </w:pPr>
            <w:r w:rsidRPr="00544AF9">
              <w:rPr>
                <w:rFonts w:cs="Calibri"/>
                <w:b/>
                <w:bCs/>
                <w:color w:val="000000" w:themeColor="text1"/>
                <w:sz w:val="12"/>
                <w:szCs w:val="12"/>
              </w:rPr>
              <w:t>86 639</w:t>
            </w:r>
          </w:p>
        </w:tc>
      </w:tr>
      <w:tr w:rsidR="004F224C" w:rsidRPr="0068723D" w14:paraId="4E42009E" w14:textId="77777777" w:rsidTr="006D3452">
        <w:trPr>
          <w:trHeight w:val="227"/>
        </w:trPr>
        <w:tc>
          <w:tcPr>
            <w:tcW w:w="2694" w:type="dxa"/>
            <w:tcBorders>
              <w:top w:val="nil"/>
              <w:left w:val="nil"/>
              <w:bottom w:val="single" w:sz="8" w:space="0" w:color="0077BD"/>
              <w:right w:val="single" w:sz="8" w:space="0" w:color="0077BD"/>
            </w:tcBorders>
            <w:shd w:val="clear" w:color="auto" w:fill="auto"/>
            <w:vAlign w:val="center"/>
          </w:tcPr>
          <w:p w14:paraId="122AFC0E" w14:textId="1E96EB30" w:rsidR="004F224C" w:rsidRPr="00544AF9" w:rsidRDefault="004F224C" w:rsidP="009E7EB5">
            <w:pPr>
              <w:rPr>
                <w:rFonts w:cs="Calibri"/>
                <w:bCs/>
                <w:color w:val="000000" w:themeColor="text1"/>
                <w:sz w:val="12"/>
                <w:szCs w:val="12"/>
              </w:rPr>
            </w:pPr>
            <w:r w:rsidRPr="00544AF9">
              <w:rPr>
                <w:rFonts w:cs="Calibri"/>
                <w:bCs/>
                <w:color w:val="000000" w:themeColor="text1"/>
                <w:sz w:val="12"/>
                <w:szCs w:val="12"/>
              </w:rPr>
              <w:t>Przeniesienie między kategoriami aktywów w związku z wdrożeniem MSSF 9 na dzień 01.01.2018 r.</w:t>
            </w:r>
          </w:p>
        </w:tc>
        <w:tc>
          <w:tcPr>
            <w:tcW w:w="1247" w:type="dxa"/>
            <w:tcBorders>
              <w:top w:val="nil"/>
              <w:left w:val="nil"/>
              <w:bottom w:val="single" w:sz="8" w:space="0" w:color="0077BD"/>
              <w:right w:val="single" w:sz="8" w:space="0" w:color="0077BD"/>
            </w:tcBorders>
            <w:shd w:val="clear" w:color="auto" w:fill="auto"/>
            <w:noWrap/>
            <w:vAlign w:val="center"/>
          </w:tcPr>
          <w:p w14:paraId="16145F88" w14:textId="2B3C2E4D" w:rsidR="004F224C" w:rsidRPr="00544AF9" w:rsidRDefault="004F224C" w:rsidP="009E7EB5">
            <w:pPr>
              <w:jc w:val="right"/>
              <w:rPr>
                <w:rFonts w:cs="Calibri"/>
                <w:bCs/>
                <w:color w:val="000000" w:themeColor="text1"/>
                <w:sz w:val="12"/>
                <w:szCs w:val="12"/>
              </w:rPr>
            </w:pPr>
            <w:r w:rsidRPr="00544AF9">
              <w:rPr>
                <w:rFonts w:cs="Calibri"/>
                <w:bCs/>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noWrap/>
            <w:vAlign w:val="center"/>
          </w:tcPr>
          <w:p w14:paraId="26A1B1F5" w14:textId="1EC94A82" w:rsidR="004F224C" w:rsidRPr="00544AF9" w:rsidRDefault="004F224C" w:rsidP="009E7EB5">
            <w:pPr>
              <w:jc w:val="right"/>
              <w:rPr>
                <w:rFonts w:cs="Calibri"/>
                <w:bCs/>
                <w:color w:val="000000" w:themeColor="text1"/>
                <w:sz w:val="12"/>
                <w:szCs w:val="12"/>
              </w:rPr>
            </w:pPr>
            <w:r w:rsidRPr="00544AF9">
              <w:rPr>
                <w:rFonts w:cs="Calibri"/>
                <w:bCs/>
                <w:color w:val="000000" w:themeColor="text1"/>
                <w:sz w:val="12"/>
                <w:szCs w:val="12"/>
              </w:rPr>
              <w:t>46 538</w:t>
            </w:r>
          </w:p>
        </w:tc>
        <w:tc>
          <w:tcPr>
            <w:tcW w:w="1418" w:type="dxa"/>
            <w:tcBorders>
              <w:top w:val="nil"/>
              <w:left w:val="nil"/>
              <w:bottom w:val="single" w:sz="8" w:space="0" w:color="0077BD"/>
              <w:right w:val="single" w:sz="8" w:space="0" w:color="0077BD"/>
            </w:tcBorders>
            <w:shd w:val="clear" w:color="auto" w:fill="auto"/>
            <w:noWrap/>
            <w:vAlign w:val="center"/>
          </w:tcPr>
          <w:p w14:paraId="2434DDC5" w14:textId="3EC907FB" w:rsidR="004F224C" w:rsidRPr="00544AF9" w:rsidRDefault="004F224C" w:rsidP="009E7EB5">
            <w:pPr>
              <w:jc w:val="right"/>
              <w:rPr>
                <w:rFonts w:cs="Calibri"/>
                <w:bCs/>
                <w:color w:val="000000" w:themeColor="text1"/>
                <w:sz w:val="12"/>
                <w:szCs w:val="12"/>
              </w:rPr>
            </w:pPr>
            <w:r w:rsidRPr="00544AF9">
              <w:rPr>
                <w:rFonts w:cs="Calibri"/>
                <w:bCs/>
                <w:color w:val="000000" w:themeColor="text1"/>
                <w:sz w:val="12"/>
                <w:szCs w:val="12"/>
              </w:rPr>
              <w:t>40 101</w:t>
            </w:r>
          </w:p>
        </w:tc>
        <w:tc>
          <w:tcPr>
            <w:tcW w:w="1418" w:type="dxa"/>
            <w:tcBorders>
              <w:top w:val="nil"/>
              <w:left w:val="nil"/>
              <w:bottom w:val="single" w:sz="8" w:space="0" w:color="0077BD"/>
              <w:right w:val="single" w:sz="8" w:space="0" w:color="0077BD"/>
            </w:tcBorders>
            <w:shd w:val="clear" w:color="auto" w:fill="auto"/>
            <w:noWrap/>
            <w:vAlign w:val="center"/>
          </w:tcPr>
          <w:p w14:paraId="1B2C9946" w14:textId="4143F104" w:rsidR="004F224C" w:rsidRPr="00544AF9" w:rsidRDefault="004F224C" w:rsidP="009E7EB5">
            <w:pPr>
              <w:jc w:val="right"/>
              <w:rPr>
                <w:rFonts w:cs="Calibri"/>
                <w:bCs/>
                <w:color w:val="000000" w:themeColor="text1"/>
                <w:sz w:val="12"/>
                <w:szCs w:val="12"/>
              </w:rPr>
            </w:pPr>
            <w:r w:rsidRPr="00544AF9">
              <w:rPr>
                <w:rFonts w:cs="Calibri"/>
                <w:bCs/>
                <w:color w:val="000000" w:themeColor="text1"/>
                <w:sz w:val="12"/>
                <w:szCs w:val="12"/>
              </w:rPr>
              <w:t>-</w:t>
            </w:r>
          </w:p>
        </w:tc>
        <w:tc>
          <w:tcPr>
            <w:tcW w:w="1418" w:type="dxa"/>
            <w:tcBorders>
              <w:top w:val="nil"/>
              <w:left w:val="single" w:sz="8" w:space="0" w:color="0077BD"/>
              <w:bottom w:val="single" w:sz="8" w:space="0" w:color="0077BD"/>
              <w:right w:val="nil"/>
            </w:tcBorders>
            <w:vAlign w:val="center"/>
          </w:tcPr>
          <w:p w14:paraId="1900C994" w14:textId="445CD7B0" w:rsidR="004F224C" w:rsidRPr="00544AF9" w:rsidRDefault="004F224C" w:rsidP="004F224C">
            <w:pPr>
              <w:jc w:val="right"/>
              <w:rPr>
                <w:rFonts w:cs="Calibri"/>
                <w:bCs/>
                <w:color w:val="000000" w:themeColor="text1"/>
                <w:sz w:val="12"/>
                <w:szCs w:val="12"/>
              </w:rPr>
            </w:pPr>
            <w:r w:rsidRPr="00544AF9">
              <w:rPr>
                <w:rFonts w:cs="Calibri"/>
                <w:bCs/>
                <w:color w:val="000000" w:themeColor="text1"/>
                <w:sz w:val="12"/>
                <w:szCs w:val="12"/>
              </w:rPr>
              <w:t>(86 639)</w:t>
            </w:r>
          </w:p>
        </w:tc>
      </w:tr>
      <w:tr w:rsidR="004F224C" w:rsidRPr="0068723D" w14:paraId="61906AED" w14:textId="77777777" w:rsidTr="006D3452">
        <w:trPr>
          <w:trHeight w:val="227"/>
        </w:trPr>
        <w:tc>
          <w:tcPr>
            <w:tcW w:w="2694" w:type="dxa"/>
            <w:tcBorders>
              <w:top w:val="nil"/>
              <w:left w:val="nil"/>
              <w:bottom w:val="single" w:sz="8" w:space="0" w:color="0077BD"/>
              <w:right w:val="single" w:sz="8" w:space="0" w:color="0077BD"/>
            </w:tcBorders>
            <w:shd w:val="clear" w:color="auto" w:fill="auto"/>
            <w:vAlign w:val="center"/>
          </w:tcPr>
          <w:p w14:paraId="5DF2F77F" w14:textId="7C62E2A1" w:rsidR="004F224C" w:rsidRPr="00544AF9" w:rsidRDefault="004F224C" w:rsidP="009E7EB5">
            <w:pPr>
              <w:rPr>
                <w:rFonts w:cs="Calibri"/>
                <w:b/>
                <w:bCs/>
                <w:color w:val="000000" w:themeColor="text1"/>
                <w:sz w:val="12"/>
                <w:szCs w:val="12"/>
              </w:rPr>
            </w:pPr>
            <w:r w:rsidRPr="00544AF9">
              <w:rPr>
                <w:rFonts w:cs="Calibri"/>
                <w:b/>
                <w:bCs/>
                <w:color w:val="000000" w:themeColor="text1"/>
                <w:sz w:val="12"/>
                <w:szCs w:val="12"/>
              </w:rPr>
              <w:t>Skorygowany bilans otwarcia</w:t>
            </w:r>
          </w:p>
        </w:tc>
        <w:tc>
          <w:tcPr>
            <w:tcW w:w="1247" w:type="dxa"/>
            <w:tcBorders>
              <w:top w:val="nil"/>
              <w:left w:val="nil"/>
              <w:bottom w:val="single" w:sz="8" w:space="0" w:color="0077BD"/>
              <w:right w:val="single" w:sz="8" w:space="0" w:color="0077BD"/>
            </w:tcBorders>
            <w:shd w:val="clear" w:color="auto" w:fill="auto"/>
            <w:noWrap/>
            <w:vAlign w:val="center"/>
          </w:tcPr>
          <w:p w14:paraId="4D0DBA1F" w14:textId="38CB66D6" w:rsidR="004F224C"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288 676</w:t>
            </w:r>
          </w:p>
        </w:tc>
        <w:tc>
          <w:tcPr>
            <w:tcW w:w="1418" w:type="dxa"/>
            <w:tcBorders>
              <w:top w:val="nil"/>
              <w:left w:val="nil"/>
              <w:bottom w:val="single" w:sz="8" w:space="0" w:color="0077BD"/>
              <w:right w:val="single" w:sz="8" w:space="0" w:color="0077BD"/>
            </w:tcBorders>
            <w:shd w:val="clear" w:color="auto" w:fill="auto"/>
            <w:noWrap/>
            <w:vAlign w:val="center"/>
          </w:tcPr>
          <w:p w14:paraId="22AA2230" w14:textId="6E34E8CB" w:rsidR="004F224C"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46 538</w:t>
            </w:r>
          </w:p>
        </w:tc>
        <w:tc>
          <w:tcPr>
            <w:tcW w:w="1418" w:type="dxa"/>
            <w:tcBorders>
              <w:top w:val="nil"/>
              <w:left w:val="nil"/>
              <w:bottom w:val="single" w:sz="8" w:space="0" w:color="0077BD"/>
              <w:right w:val="single" w:sz="8" w:space="0" w:color="0077BD"/>
            </w:tcBorders>
            <w:shd w:val="clear" w:color="auto" w:fill="auto"/>
            <w:noWrap/>
            <w:vAlign w:val="center"/>
          </w:tcPr>
          <w:p w14:paraId="73EE46A1" w14:textId="7ED3B7C4" w:rsidR="004F224C"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40 101</w:t>
            </w:r>
          </w:p>
        </w:tc>
        <w:tc>
          <w:tcPr>
            <w:tcW w:w="1418" w:type="dxa"/>
            <w:tcBorders>
              <w:top w:val="nil"/>
              <w:left w:val="nil"/>
              <w:bottom w:val="single" w:sz="8" w:space="0" w:color="0077BD"/>
              <w:right w:val="single" w:sz="8" w:space="0" w:color="0077BD"/>
            </w:tcBorders>
            <w:shd w:val="clear" w:color="auto" w:fill="auto"/>
            <w:noWrap/>
            <w:vAlign w:val="center"/>
          </w:tcPr>
          <w:p w14:paraId="17187B5D" w14:textId="5F5AEF33" w:rsidR="004F224C"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1 214 940</w:t>
            </w:r>
          </w:p>
        </w:tc>
        <w:tc>
          <w:tcPr>
            <w:tcW w:w="1418" w:type="dxa"/>
            <w:tcBorders>
              <w:top w:val="nil"/>
              <w:left w:val="single" w:sz="8" w:space="0" w:color="0077BD"/>
              <w:bottom w:val="single" w:sz="8" w:space="0" w:color="0077BD"/>
              <w:right w:val="nil"/>
            </w:tcBorders>
            <w:vAlign w:val="center"/>
          </w:tcPr>
          <w:p w14:paraId="21414F6A" w14:textId="3E975437" w:rsidR="004F224C"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66DBFCF5" w14:textId="6DB02252" w:rsidTr="006D3452">
        <w:trPr>
          <w:trHeight w:val="227"/>
        </w:trPr>
        <w:tc>
          <w:tcPr>
            <w:tcW w:w="2694" w:type="dxa"/>
            <w:tcBorders>
              <w:top w:val="nil"/>
              <w:left w:val="nil"/>
              <w:bottom w:val="single" w:sz="8" w:space="0" w:color="0077BD"/>
              <w:right w:val="single" w:sz="8" w:space="0" w:color="0077BD"/>
            </w:tcBorders>
            <w:shd w:val="clear" w:color="auto" w:fill="auto"/>
            <w:vAlign w:val="center"/>
            <w:hideMark/>
          </w:tcPr>
          <w:p w14:paraId="79F8BB9E" w14:textId="77777777" w:rsidR="00194BC5" w:rsidRPr="00544AF9" w:rsidRDefault="00194BC5" w:rsidP="009E7EB5">
            <w:pPr>
              <w:rPr>
                <w:rFonts w:cs="Calibri"/>
                <w:b/>
                <w:bCs/>
                <w:color w:val="000000" w:themeColor="text1"/>
                <w:sz w:val="12"/>
                <w:szCs w:val="12"/>
              </w:rPr>
            </w:pPr>
            <w:r w:rsidRPr="00544AF9">
              <w:rPr>
                <w:rFonts w:cs="Calibri"/>
                <w:b/>
                <w:bCs/>
                <w:color w:val="000000" w:themeColor="text1"/>
                <w:sz w:val="12"/>
                <w:szCs w:val="12"/>
              </w:rPr>
              <w:t>Łączne zyski lub straty za okres</w:t>
            </w:r>
          </w:p>
        </w:tc>
        <w:tc>
          <w:tcPr>
            <w:tcW w:w="1247" w:type="dxa"/>
            <w:tcBorders>
              <w:top w:val="nil"/>
              <w:left w:val="nil"/>
              <w:bottom w:val="single" w:sz="8" w:space="0" w:color="0077BD"/>
              <w:right w:val="single" w:sz="8" w:space="0" w:color="0077BD"/>
            </w:tcBorders>
            <w:shd w:val="clear" w:color="auto" w:fill="auto"/>
            <w:noWrap/>
            <w:vAlign w:val="center"/>
          </w:tcPr>
          <w:p w14:paraId="56429EB3" w14:textId="4E868FE8" w:rsidR="00194BC5"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2 065</w:t>
            </w:r>
          </w:p>
        </w:tc>
        <w:tc>
          <w:tcPr>
            <w:tcW w:w="1418" w:type="dxa"/>
            <w:tcBorders>
              <w:top w:val="nil"/>
              <w:left w:val="nil"/>
              <w:bottom w:val="single" w:sz="8" w:space="0" w:color="0077BD"/>
              <w:right w:val="single" w:sz="8" w:space="0" w:color="0077BD"/>
            </w:tcBorders>
            <w:shd w:val="clear" w:color="auto" w:fill="auto"/>
            <w:noWrap/>
            <w:vAlign w:val="center"/>
          </w:tcPr>
          <w:p w14:paraId="54CF0E12" w14:textId="1B4B8D87" w:rsidR="00194BC5"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11 592</w:t>
            </w:r>
          </w:p>
        </w:tc>
        <w:tc>
          <w:tcPr>
            <w:tcW w:w="1418" w:type="dxa"/>
            <w:tcBorders>
              <w:top w:val="nil"/>
              <w:left w:val="nil"/>
              <w:bottom w:val="single" w:sz="8" w:space="0" w:color="0077BD"/>
              <w:right w:val="single" w:sz="8" w:space="0" w:color="0077BD"/>
            </w:tcBorders>
            <w:shd w:val="clear" w:color="auto" w:fill="auto"/>
            <w:noWrap/>
            <w:vAlign w:val="center"/>
          </w:tcPr>
          <w:p w14:paraId="265BA899" w14:textId="0FC98733" w:rsidR="00194BC5"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(7 388)</w:t>
            </w:r>
          </w:p>
        </w:tc>
        <w:tc>
          <w:tcPr>
            <w:tcW w:w="1418" w:type="dxa"/>
            <w:tcBorders>
              <w:top w:val="nil"/>
              <w:left w:val="nil"/>
              <w:bottom w:val="single" w:sz="8" w:space="0" w:color="0077BD"/>
              <w:right w:val="single" w:sz="8" w:space="0" w:color="0077BD"/>
            </w:tcBorders>
            <w:shd w:val="clear" w:color="auto" w:fill="auto"/>
            <w:noWrap/>
            <w:vAlign w:val="center"/>
          </w:tcPr>
          <w:p w14:paraId="255FCA2E" w14:textId="5C7B39A3" w:rsidR="00194BC5" w:rsidRPr="00544AF9" w:rsidRDefault="004F224C" w:rsidP="009E7EB5">
            <w:pPr>
              <w:jc w:val="right"/>
              <w:rPr>
                <w:rFonts w:cs="Calibri"/>
                <w:b/>
                <w:bCs/>
                <w:color w:val="000000" w:themeColor="text1"/>
                <w:sz w:val="12"/>
                <w:szCs w:val="12"/>
              </w:rPr>
            </w:pPr>
            <w:r w:rsidRPr="00544AF9">
              <w:rPr>
                <w:rFonts w:cs="Calibri"/>
                <w:b/>
                <w:bCs/>
                <w:color w:val="000000" w:themeColor="text1"/>
                <w:sz w:val="12"/>
                <w:szCs w:val="12"/>
              </w:rPr>
              <w:t>3 791</w:t>
            </w:r>
          </w:p>
        </w:tc>
        <w:tc>
          <w:tcPr>
            <w:tcW w:w="1418" w:type="dxa"/>
            <w:tcBorders>
              <w:top w:val="nil"/>
              <w:left w:val="single" w:sz="8" w:space="0" w:color="0077BD"/>
              <w:bottom w:val="single" w:sz="8" w:space="0" w:color="0077BD"/>
              <w:right w:val="nil"/>
            </w:tcBorders>
            <w:vAlign w:val="center"/>
          </w:tcPr>
          <w:p w14:paraId="19219EE6" w14:textId="7E5F1A9F"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77853CB8" w14:textId="39D9A1D1"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20843054"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Ujęte w rachunku zysków i strat:</w:t>
            </w:r>
          </w:p>
        </w:tc>
        <w:tc>
          <w:tcPr>
            <w:tcW w:w="1247" w:type="dxa"/>
            <w:tcBorders>
              <w:top w:val="nil"/>
              <w:left w:val="nil"/>
              <w:bottom w:val="single" w:sz="4" w:space="0" w:color="0077BD"/>
              <w:right w:val="nil"/>
            </w:tcBorders>
            <w:shd w:val="clear" w:color="auto" w:fill="auto"/>
            <w:noWrap/>
            <w:vAlign w:val="center"/>
          </w:tcPr>
          <w:p w14:paraId="0A3EBA85" w14:textId="243217AE" w:rsidR="00194BC5" w:rsidRPr="00544AF9" w:rsidRDefault="004F224C" w:rsidP="009E7EB5">
            <w:pPr>
              <w:jc w:val="right"/>
              <w:rPr>
                <w:rFonts w:cs="Calibri"/>
                <w:color w:val="000000" w:themeColor="text1"/>
                <w:sz w:val="12"/>
                <w:szCs w:val="12"/>
              </w:rPr>
            </w:pPr>
            <w:r w:rsidRPr="00544AF9">
              <w:rPr>
                <w:rFonts w:cs="Calibri"/>
                <w:color w:val="000000" w:themeColor="text1"/>
                <w:sz w:val="12"/>
                <w:szCs w:val="12"/>
              </w:rPr>
              <w:t>2 065</w:t>
            </w:r>
          </w:p>
        </w:tc>
        <w:tc>
          <w:tcPr>
            <w:tcW w:w="1418" w:type="dxa"/>
            <w:tcBorders>
              <w:top w:val="nil"/>
              <w:left w:val="single" w:sz="8" w:space="0" w:color="0077BD"/>
              <w:bottom w:val="single" w:sz="4" w:space="0" w:color="0077BD"/>
              <w:right w:val="nil"/>
            </w:tcBorders>
            <w:shd w:val="clear" w:color="auto" w:fill="auto"/>
            <w:noWrap/>
            <w:vAlign w:val="center"/>
          </w:tcPr>
          <w:p w14:paraId="2386360B" w14:textId="30C33EAF" w:rsidR="00194BC5" w:rsidRPr="00544AF9" w:rsidRDefault="004F224C" w:rsidP="009E7EB5">
            <w:pPr>
              <w:jc w:val="right"/>
              <w:rPr>
                <w:rFonts w:cs="Calibri"/>
                <w:color w:val="000000" w:themeColor="text1"/>
                <w:sz w:val="12"/>
                <w:szCs w:val="12"/>
              </w:rPr>
            </w:pPr>
            <w:r w:rsidRPr="00544AF9">
              <w:rPr>
                <w:rFonts w:cs="Calibri"/>
                <w:color w:val="000000" w:themeColor="text1"/>
                <w:sz w:val="12"/>
                <w:szCs w:val="12"/>
              </w:rPr>
              <w:t>11 592</w:t>
            </w:r>
          </w:p>
        </w:tc>
        <w:tc>
          <w:tcPr>
            <w:tcW w:w="1418" w:type="dxa"/>
            <w:tcBorders>
              <w:top w:val="nil"/>
              <w:left w:val="single" w:sz="8" w:space="0" w:color="0077BD"/>
              <w:bottom w:val="single" w:sz="4" w:space="0" w:color="0077BD"/>
              <w:right w:val="nil"/>
            </w:tcBorders>
            <w:shd w:val="clear" w:color="auto" w:fill="auto"/>
            <w:noWrap/>
            <w:vAlign w:val="center"/>
          </w:tcPr>
          <w:p w14:paraId="6ED40089" w14:textId="3CBBA282" w:rsidR="00194BC5" w:rsidRPr="00544AF9" w:rsidRDefault="004F224C" w:rsidP="009E7EB5">
            <w:pPr>
              <w:jc w:val="right"/>
              <w:rPr>
                <w:rFonts w:cs="Calibri"/>
                <w:color w:val="000000" w:themeColor="text1"/>
                <w:sz w:val="12"/>
                <w:szCs w:val="12"/>
              </w:rPr>
            </w:pPr>
            <w:r w:rsidRPr="00544AF9">
              <w:rPr>
                <w:rFonts w:cs="Calibri"/>
                <w:color w:val="000000" w:themeColor="text1"/>
                <w:sz w:val="12"/>
                <w:szCs w:val="12"/>
              </w:rPr>
              <w:t>(7 388)</w:t>
            </w:r>
          </w:p>
        </w:tc>
        <w:tc>
          <w:tcPr>
            <w:tcW w:w="1418" w:type="dxa"/>
            <w:tcBorders>
              <w:top w:val="nil"/>
              <w:left w:val="single" w:sz="8" w:space="0" w:color="0077BD"/>
              <w:bottom w:val="single" w:sz="4" w:space="0" w:color="0077BD"/>
              <w:right w:val="nil"/>
            </w:tcBorders>
            <w:shd w:val="clear" w:color="auto" w:fill="auto"/>
            <w:noWrap/>
            <w:vAlign w:val="center"/>
          </w:tcPr>
          <w:p w14:paraId="56257EFB" w14:textId="05563344" w:rsidR="00194BC5" w:rsidRPr="00544AF9" w:rsidRDefault="004F224C"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single" w:sz="8" w:space="0" w:color="0077BD"/>
              <w:bottom w:val="single" w:sz="4" w:space="0" w:color="0077BD"/>
              <w:right w:val="nil"/>
            </w:tcBorders>
            <w:vAlign w:val="center"/>
          </w:tcPr>
          <w:p w14:paraId="6D21949B" w14:textId="218D41FF"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13045FBC" w14:textId="3C4EFBAA"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4D77615E" w14:textId="6C2D110E" w:rsidR="00194BC5" w:rsidRPr="00544AF9" w:rsidRDefault="00194BC5" w:rsidP="009E7EB5">
            <w:pPr>
              <w:ind w:firstLineChars="100" w:firstLine="120"/>
              <w:rPr>
                <w:rFonts w:cs="Calibri"/>
                <w:i/>
                <w:iCs/>
                <w:color w:val="000000" w:themeColor="text1"/>
                <w:sz w:val="12"/>
                <w:szCs w:val="12"/>
              </w:rPr>
            </w:pPr>
            <w:r w:rsidRPr="00544AF9">
              <w:rPr>
                <w:rFonts w:cs="Calibri"/>
                <w:i/>
                <w:iCs/>
                <w:color w:val="000000" w:themeColor="text1"/>
                <w:sz w:val="12"/>
                <w:szCs w:val="12"/>
              </w:rPr>
              <w:t>Wynik na działalności handlowej</w:t>
            </w:r>
          </w:p>
        </w:tc>
        <w:tc>
          <w:tcPr>
            <w:tcW w:w="1247" w:type="dxa"/>
            <w:tcBorders>
              <w:top w:val="nil"/>
              <w:left w:val="nil"/>
              <w:bottom w:val="single" w:sz="4" w:space="0" w:color="0077BD"/>
              <w:right w:val="single" w:sz="8" w:space="0" w:color="0077BD"/>
            </w:tcBorders>
            <w:shd w:val="clear" w:color="auto" w:fill="auto"/>
            <w:noWrap/>
            <w:vAlign w:val="center"/>
          </w:tcPr>
          <w:p w14:paraId="77DF3D2B" w14:textId="23DA798F"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2 065</w:t>
            </w:r>
          </w:p>
        </w:tc>
        <w:tc>
          <w:tcPr>
            <w:tcW w:w="1418" w:type="dxa"/>
            <w:tcBorders>
              <w:top w:val="nil"/>
              <w:left w:val="nil"/>
              <w:bottom w:val="single" w:sz="4" w:space="0" w:color="0077BD"/>
              <w:right w:val="single" w:sz="8" w:space="0" w:color="0077BD"/>
            </w:tcBorders>
            <w:shd w:val="clear" w:color="auto" w:fill="auto"/>
            <w:noWrap/>
            <w:vAlign w:val="center"/>
          </w:tcPr>
          <w:p w14:paraId="4A3A9BA6" w14:textId="3DA2A681"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4 564</w:t>
            </w:r>
          </w:p>
        </w:tc>
        <w:tc>
          <w:tcPr>
            <w:tcW w:w="1418" w:type="dxa"/>
            <w:tcBorders>
              <w:top w:val="nil"/>
              <w:left w:val="nil"/>
              <w:bottom w:val="single" w:sz="4" w:space="0" w:color="0077BD"/>
              <w:right w:val="single" w:sz="8" w:space="0" w:color="0077BD"/>
            </w:tcBorders>
            <w:shd w:val="clear" w:color="auto" w:fill="auto"/>
            <w:noWrap/>
            <w:vAlign w:val="center"/>
          </w:tcPr>
          <w:p w14:paraId="4572010D" w14:textId="0F761C7F"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419F3015" w14:textId="412FFACB"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w:t>
            </w:r>
          </w:p>
        </w:tc>
        <w:tc>
          <w:tcPr>
            <w:tcW w:w="1418" w:type="dxa"/>
            <w:tcBorders>
              <w:top w:val="nil"/>
              <w:left w:val="single" w:sz="8" w:space="0" w:color="0077BD"/>
              <w:bottom w:val="single" w:sz="4" w:space="0" w:color="0077BD"/>
              <w:right w:val="nil"/>
            </w:tcBorders>
            <w:vAlign w:val="center"/>
          </w:tcPr>
          <w:p w14:paraId="3D197E40" w14:textId="43298D68"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3428AA7A" w14:textId="160D40C2" w:rsidTr="006D3452">
        <w:trPr>
          <w:trHeight w:val="510"/>
        </w:trPr>
        <w:tc>
          <w:tcPr>
            <w:tcW w:w="2694" w:type="dxa"/>
            <w:tcBorders>
              <w:top w:val="nil"/>
              <w:left w:val="nil"/>
              <w:bottom w:val="single" w:sz="4" w:space="0" w:color="0077BD"/>
              <w:right w:val="single" w:sz="8" w:space="0" w:color="0077BD"/>
            </w:tcBorders>
            <w:shd w:val="clear" w:color="auto" w:fill="auto"/>
            <w:vAlign w:val="center"/>
            <w:hideMark/>
          </w:tcPr>
          <w:p w14:paraId="29D97B6D" w14:textId="177B8C4F" w:rsidR="00194BC5" w:rsidRPr="00544AF9" w:rsidRDefault="00194BC5" w:rsidP="007702AD">
            <w:pPr>
              <w:ind w:left="112" w:firstLineChars="6" w:firstLine="7"/>
              <w:rPr>
                <w:rFonts w:cs="Calibri"/>
                <w:i/>
                <w:iCs/>
                <w:color w:val="000000" w:themeColor="text1"/>
                <w:sz w:val="12"/>
                <w:szCs w:val="12"/>
              </w:rPr>
            </w:pPr>
            <w:r w:rsidRPr="00544AF9">
              <w:rPr>
                <w:rFonts w:cs="Calibri"/>
                <w:i/>
                <w:iCs/>
                <w:color w:val="000000" w:themeColor="text1"/>
                <w:sz w:val="12"/>
                <w:szCs w:val="12"/>
              </w:rPr>
              <w:t>Zyski lub straty z tytułu aktywów finansowych nieprzeznaczonych do obrotu obowiązkowo wycenianych w wartości godziwej przez wynik finansowy</w:t>
            </w:r>
          </w:p>
        </w:tc>
        <w:tc>
          <w:tcPr>
            <w:tcW w:w="1247" w:type="dxa"/>
            <w:tcBorders>
              <w:top w:val="nil"/>
              <w:left w:val="nil"/>
              <w:bottom w:val="single" w:sz="4" w:space="0" w:color="0077BD"/>
              <w:right w:val="single" w:sz="8" w:space="0" w:color="0077BD"/>
            </w:tcBorders>
            <w:shd w:val="clear" w:color="auto" w:fill="auto"/>
            <w:noWrap/>
            <w:vAlign w:val="center"/>
          </w:tcPr>
          <w:p w14:paraId="1760CD0E" w14:textId="07FD3428" w:rsidR="00194BC5" w:rsidRPr="00544AF9" w:rsidRDefault="00551E6F"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77A75E5C" w14:textId="68B52299"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7 028</w:t>
            </w:r>
          </w:p>
        </w:tc>
        <w:tc>
          <w:tcPr>
            <w:tcW w:w="1418" w:type="dxa"/>
            <w:tcBorders>
              <w:top w:val="nil"/>
              <w:left w:val="nil"/>
              <w:bottom w:val="single" w:sz="4" w:space="0" w:color="0077BD"/>
              <w:right w:val="single" w:sz="8" w:space="0" w:color="0077BD"/>
            </w:tcBorders>
            <w:shd w:val="clear" w:color="auto" w:fill="auto"/>
            <w:noWrap/>
            <w:vAlign w:val="center"/>
          </w:tcPr>
          <w:p w14:paraId="6ADBEC2D" w14:textId="17C69D94" w:rsidR="00194BC5" w:rsidRPr="00544AF9" w:rsidRDefault="00551E6F"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120064D3" w14:textId="3997EF56" w:rsidR="00194BC5" w:rsidRPr="00544AF9" w:rsidRDefault="00551E6F"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single" w:sz="8" w:space="0" w:color="0077BD"/>
              <w:bottom w:val="single" w:sz="4" w:space="0" w:color="0077BD"/>
              <w:right w:val="nil"/>
            </w:tcBorders>
            <w:vAlign w:val="center"/>
          </w:tcPr>
          <w:p w14:paraId="157A0E59" w14:textId="48EDCA75"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489E9A6D" w14:textId="068524D5"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1720CA29" w14:textId="3A1B8FC7" w:rsidR="00194BC5" w:rsidRPr="00544AF9" w:rsidRDefault="00194BC5" w:rsidP="007702AD">
            <w:pPr>
              <w:ind w:left="112" w:firstLineChars="6" w:firstLine="7"/>
              <w:rPr>
                <w:rFonts w:cs="Calibri"/>
                <w:i/>
                <w:iCs/>
                <w:color w:val="000000" w:themeColor="text1"/>
                <w:sz w:val="12"/>
                <w:szCs w:val="12"/>
              </w:rPr>
            </w:pPr>
            <w:r w:rsidRPr="00544AF9">
              <w:rPr>
                <w:rFonts w:cs="Calibri"/>
                <w:i/>
                <w:iCs/>
                <w:color w:val="000000" w:themeColor="text1"/>
                <w:sz w:val="12"/>
                <w:szCs w:val="12"/>
              </w:rPr>
              <w:t>Wynik na inwestycjach w jednostki zależne i stowarzyszone</w:t>
            </w:r>
          </w:p>
        </w:tc>
        <w:tc>
          <w:tcPr>
            <w:tcW w:w="1247" w:type="dxa"/>
            <w:tcBorders>
              <w:top w:val="nil"/>
              <w:left w:val="nil"/>
              <w:bottom w:val="single" w:sz="4" w:space="0" w:color="0077BD"/>
              <w:right w:val="single" w:sz="8" w:space="0" w:color="0077BD"/>
            </w:tcBorders>
            <w:shd w:val="clear" w:color="auto" w:fill="auto"/>
            <w:noWrap/>
            <w:vAlign w:val="center"/>
          </w:tcPr>
          <w:p w14:paraId="5FF85771" w14:textId="3E12B268" w:rsidR="00194BC5" w:rsidRPr="00544AF9" w:rsidRDefault="00551E6F"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553F6E01" w14:textId="6E531E1D" w:rsidR="00194BC5" w:rsidRPr="00544AF9" w:rsidRDefault="00551E6F"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7D6C020A" w14:textId="7E848C98" w:rsidR="00194BC5" w:rsidRPr="00544AF9" w:rsidRDefault="00551E6F" w:rsidP="009E7EB5">
            <w:pPr>
              <w:jc w:val="right"/>
              <w:rPr>
                <w:rFonts w:cs="Calibri"/>
                <w:i/>
                <w:iCs/>
                <w:color w:val="000000" w:themeColor="text1"/>
                <w:sz w:val="12"/>
                <w:szCs w:val="12"/>
              </w:rPr>
            </w:pPr>
            <w:r w:rsidRPr="00544AF9">
              <w:rPr>
                <w:rFonts w:cs="Calibri"/>
                <w:i/>
                <w:iCs/>
                <w:color w:val="000000" w:themeColor="text1"/>
                <w:sz w:val="12"/>
                <w:szCs w:val="12"/>
              </w:rPr>
              <w:t>(7 388)</w:t>
            </w:r>
          </w:p>
        </w:tc>
        <w:tc>
          <w:tcPr>
            <w:tcW w:w="1418" w:type="dxa"/>
            <w:tcBorders>
              <w:top w:val="nil"/>
              <w:left w:val="nil"/>
              <w:bottom w:val="single" w:sz="4" w:space="0" w:color="0077BD"/>
              <w:right w:val="single" w:sz="8" w:space="0" w:color="0077BD"/>
            </w:tcBorders>
            <w:shd w:val="clear" w:color="auto" w:fill="auto"/>
            <w:noWrap/>
            <w:vAlign w:val="center"/>
          </w:tcPr>
          <w:p w14:paraId="33972621" w14:textId="05B732AE" w:rsidR="00194BC5" w:rsidRPr="00544AF9" w:rsidRDefault="00551E6F" w:rsidP="00551E6F">
            <w:pPr>
              <w:jc w:val="right"/>
              <w:rPr>
                <w:rFonts w:cs="Calibri"/>
                <w:bCs/>
                <w:color w:val="000000" w:themeColor="text1"/>
                <w:sz w:val="12"/>
                <w:szCs w:val="12"/>
              </w:rPr>
            </w:pPr>
            <w:r w:rsidRPr="00544AF9">
              <w:rPr>
                <w:rFonts w:cs="Calibri"/>
                <w:bCs/>
                <w:color w:val="000000" w:themeColor="text1"/>
                <w:sz w:val="12"/>
                <w:szCs w:val="12"/>
              </w:rPr>
              <w:t>-</w:t>
            </w:r>
          </w:p>
        </w:tc>
        <w:tc>
          <w:tcPr>
            <w:tcW w:w="1418" w:type="dxa"/>
            <w:tcBorders>
              <w:top w:val="nil"/>
              <w:left w:val="single" w:sz="8" w:space="0" w:color="0077BD"/>
              <w:bottom w:val="single" w:sz="4" w:space="0" w:color="0077BD"/>
              <w:right w:val="nil"/>
            </w:tcBorders>
            <w:vAlign w:val="center"/>
          </w:tcPr>
          <w:p w14:paraId="3CE2B135" w14:textId="657CD832"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54192F21" w14:textId="5FB51013"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07972AA8"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Ujęte w pozostałych całkowitych dochodach:</w:t>
            </w:r>
          </w:p>
        </w:tc>
        <w:tc>
          <w:tcPr>
            <w:tcW w:w="1247" w:type="dxa"/>
            <w:tcBorders>
              <w:top w:val="nil"/>
              <w:left w:val="nil"/>
              <w:bottom w:val="single" w:sz="4" w:space="0" w:color="0077BD"/>
              <w:right w:val="single" w:sz="8" w:space="0" w:color="0077BD"/>
            </w:tcBorders>
            <w:shd w:val="clear" w:color="auto" w:fill="auto"/>
            <w:noWrap/>
            <w:vAlign w:val="center"/>
          </w:tcPr>
          <w:p w14:paraId="4D4C2774" w14:textId="7AA265A5" w:rsidR="00194BC5" w:rsidRPr="00544AF9" w:rsidRDefault="00194EBD"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7D925E5C" w14:textId="43226599" w:rsidR="00194BC5" w:rsidRPr="00544AF9" w:rsidRDefault="00194EBD"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733AEBBA" w14:textId="19A085C3" w:rsidR="00194BC5" w:rsidRPr="00544AF9" w:rsidRDefault="00194EBD"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36722599" w14:textId="607B70C7" w:rsidR="00194BC5" w:rsidRPr="00544AF9" w:rsidRDefault="00194EBD" w:rsidP="009E7EB5">
            <w:pPr>
              <w:jc w:val="right"/>
              <w:rPr>
                <w:rFonts w:cs="Calibri"/>
                <w:color w:val="000000" w:themeColor="text1"/>
                <w:sz w:val="12"/>
                <w:szCs w:val="12"/>
              </w:rPr>
            </w:pPr>
            <w:r w:rsidRPr="00544AF9">
              <w:rPr>
                <w:rFonts w:cs="Calibri"/>
                <w:color w:val="000000" w:themeColor="text1"/>
                <w:sz w:val="12"/>
                <w:szCs w:val="12"/>
              </w:rPr>
              <w:t>3 791</w:t>
            </w:r>
          </w:p>
        </w:tc>
        <w:tc>
          <w:tcPr>
            <w:tcW w:w="1418" w:type="dxa"/>
            <w:tcBorders>
              <w:top w:val="nil"/>
              <w:left w:val="single" w:sz="8" w:space="0" w:color="0077BD"/>
              <w:bottom w:val="single" w:sz="4" w:space="0" w:color="0077BD"/>
              <w:right w:val="nil"/>
            </w:tcBorders>
            <w:vAlign w:val="center"/>
          </w:tcPr>
          <w:p w14:paraId="4036903B" w14:textId="017EF360"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223037A4" w14:textId="0847ED6C" w:rsidTr="006D3452">
        <w:trPr>
          <w:trHeight w:val="340"/>
        </w:trPr>
        <w:tc>
          <w:tcPr>
            <w:tcW w:w="2694" w:type="dxa"/>
            <w:tcBorders>
              <w:top w:val="nil"/>
              <w:left w:val="nil"/>
              <w:bottom w:val="single" w:sz="4" w:space="0" w:color="0077BD"/>
              <w:right w:val="single" w:sz="8" w:space="0" w:color="0077BD"/>
            </w:tcBorders>
            <w:shd w:val="clear" w:color="auto" w:fill="auto"/>
            <w:vAlign w:val="center"/>
            <w:hideMark/>
          </w:tcPr>
          <w:p w14:paraId="6531E8F1" w14:textId="5CD54171" w:rsidR="00194BC5" w:rsidRPr="00544AF9" w:rsidRDefault="00194BC5" w:rsidP="007702AD">
            <w:pPr>
              <w:ind w:left="112" w:firstLineChars="6" w:firstLine="7"/>
              <w:rPr>
                <w:rFonts w:cs="Calibri"/>
                <w:i/>
                <w:iCs/>
                <w:color w:val="000000" w:themeColor="text1"/>
                <w:sz w:val="12"/>
                <w:szCs w:val="12"/>
              </w:rPr>
            </w:pPr>
            <w:r w:rsidRPr="00544AF9">
              <w:rPr>
                <w:rFonts w:cs="Calibri"/>
                <w:i/>
                <w:iCs/>
                <w:color w:val="000000" w:themeColor="text1"/>
                <w:sz w:val="12"/>
                <w:szCs w:val="12"/>
              </w:rPr>
              <w:t>Aktywa finansowe wyceniane w wartości godziwej przez pozostałe całkowite dochody</w:t>
            </w:r>
          </w:p>
        </w:tc>
        <w:tc>
          <w:tcPr>
            <w:tcW w:w="1247" w:type="dxa"/>
            <w:tcBorders>
              <w:top w:val="nil"/>
              <w:left w:val="nil"/>
              <w:bottom w:val="single" w:sz="4" w:space="0" w:color="0077BD"/>
              <w:right w:val="single" w:sz="8" w:space="0" w:color="0077BD"/>
            </w:tcBorders>
            <w:shd w:val="clear" w:color="auto" w:fill="auto"/>
            <w:noWrap/>
            <w:vAlign w:val="center"/>
          </w:tcPr>
          <w:p w14:paraId="46C24B3A" w14:textId="0F447636" w:rsidR="00194BC5" w:rsidRPr="00544AF9" w:rsidRDefault="00194EBD" w:rsidP="009E7EB5">
            <w:pPr>
              <w:jc w:val="right"/>
              <w:rPr>
                <w:rFonts w:cs="Calibri"/>
                <w:i/>
                <w:iCs/>
                <w:color w:val="000000" w:themeColor="text1"/>
                <w:sz w:val="12"/>
                <w:szCs w:val="12"/>
              </w:rPr>
            </w:pPr>
            <w:r w:rsidRPr="00544AF9">
              <w:rPr>
                <w:rFonts w:cs="Calibri"/>
                <w:i/>
                <w:iCs/>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26CCDC91" w14:textId="5077B9CD" w:rsidR="00194BC5" w:rsidRPr="00544AF9" w:rsidRDefault="00194EBD" w:rsidP="009E7EB5">
            <w:pPr>
              <w:jc w:val="right"/>
              <w:rPr>
                <w:rFonts w:cs="Calibri"/>
                <w:i/>
                <w:iCs/>
                <w:color w:val="000000" w:themeColor="text1"/>
                <w:sz w:val="12"/>
                <w:szCs w:val="12"/>
              </w:rPr>
            </w:pPr>
            <w:r w:rsidRPr="00544AF9">
              <w:rPr>
                <w:rFonts w:cs="Calibri"/>
                <w:i/>
                <w:iCs/>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1C36811E" w14:textId="1C1FD28E" w:rsidR="00194BC5" w:rsidRPr="00544AF9" w:rsidRDefault="00194EBD" w:rsidP="009E7EB5">
            <w:pPr>
              <w:jc w:val="right"/>
              <w:rPr>
                <w:rFonts w:cs="Calibri"/>
                <w:i/>
                <w:iCs/>
                <w:color w:val="000000" w:themeColor="text1"/>
                <w:sz w:val="12"/>
                <w:szCs w:val="12"/>
              </w:rPr>
            </w:pPr>
            <w:r w:rsidRPr="00544AF9">
              <w:rPr>
                <w:rFonts w:cs="Calibri"/>
                <w:i/>
                <w:iCs/>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72041896" w14:textId="3E3841E3" w:rsidR="00194BC5" w:rsidRPr="00544AF9" w:rsidRDefault="00194EBD" w:rsidP="009E7EB5">
            <w:pPr>
              <w:jc w:val="right"/>
              <w:rPr>
                <w:rFonts w:cs="Calibri"/>
                <w:i/>
                <w:iCs/>
                <w:color w:val="000000" w:themeColor="text1"/>
                <w:sz w:val="12"/>
                <w:szCs w:val="12"/>
              </w:rPr>
            </w:pPr>
            <w:r w:rsidRPr="00544AF9">
              <w:rPr>
                <w:rFonts w:cs="Calibri"/>
                <w:i/>
                <w:iCs/>
                <w:color w:val="000000" w:themeColor="text1"/>
                <w:sz w:val="12"/>
                <w:szCs w:val="12"/>
              </w:rPr>
              <w:t>3 791</w:t>
            </w:r>
          </w:p>
        </w:tc>
        <w:tc>
          <w:tcPr>
            <w:tcW w:w="1418" w:type="dxa"/>
            <w:tcBorders>
              <w:top w:val="nil"/>
              <w:left w:val="single" w:sz="8" w:space="0" w:color="0077BD"/>
              <w:bottom w:val="single" w:sz="4" w:space="0" w:color="0077BD"/>
              <w:right w:val="nil"/>
            </w:tcBorders>
            <w:vAlign w:val="center"/>
          </w:tcPr>
          <w:p w14:paraId="4A6BEE5F" w14:textId="2C22AA58"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4C38D29F" w14:textId="29A49DD0"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2ED35FE0"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Nabycie</w:t>
            </w:r>
          </w:p>
        </w:tc>
        <w:tc>
          <w:tcPr>
            <w:tcW w:w="1247" w:type="dxa"/>
            <w:tcBorders>
              <w:top w:val="nil"/>
              <w:left w:val="nil"/>
              <w:bottom w:val="single" w:sz="4" w:space="0" w:color="0077BD"/>
              <w:right w:val="single" w:sz="8" w:space="0" w:color="0077BD"/>
            </w:tcBorders>
            <w:shd w:val="clear" w:color="auto" w:fill="auto"/>
            <w:noWrap/>
            <w:vAlign w:val="center"/>
          </w:tcPr>
          <w:p w14:paraId="7E11F148" w14:textId="0914D802" w:rsidR="00194BC5" w:rsidRPr="00544AF9" w:rsidRDefault="007830A3" w:rsidP="007830A3">
            <w:pPr>
              <w:jc w:val="right"/>
              <w:rPr>
                <w:rFonts w:cs="Calibri"/>
                <w:color w:val="000000" w:themeColor="text1"/>
                <w:sz w:val="12"/>
                <w:szCs w:val="12"/>
              </w:rPr>
            </w:pPr>
            <w:r w:rsidRPr="00544AF9">
              <w:rPr>
                <w:rFonts w:cs="Calibri"/>
                <w:color w:val="000000" w:themeColor="text1"/>
                <w:sz w:val="12"/>
                <w:szCs w:val="12"/>
              </w:rPr>
              <w:t>1 244</w:t>
            </w:r>
            <w:r w:rsidR="0048206A" w:rsidRPr="00544AF9">
              <w:rPr>
                <w:rFonts w:cs="Calibri"/>
                <w:color w:val="000000" w:themeColor="text1"/>
                <w:sz w:val="12"/>
                <w:szCs w:val="12"/>
              </w:rPr>
              <w:t xml:space="preserve"> </w:t>
            </w:r>
            <w:r w:rsidRPr="00544AF9">
              <w:rPr>
                <w:rFonts w:cs="Calibri"/>
                <w:color w:val="000000" w:themeColor="text1"/>
                <w:sz w:val="12"/>
                <w:szCs w:val="12"/>
              </w:rPr>
              <w:t>432</w:t>
            </w:r>
          </w:p>
        </w:tc>
        <w:tc>
          <w:tcPr>
            <w:tcW w:w="1418" w:type="dxa"/>
            <w:tcBorders>
              <w:top w:val="nil"/>
              <w:left w:val="nil"/>
              <w:bottom w:val="single" w:sz="4" w:space="0" w:color="0077BD"/>
              <w:right w:val="single" w:sz="8" w:space="0" w:color="0077BD"/>
            </w:tcBorders>
            <w:shd w:val="clear" w:color="auto" w:fill="auto"/>
            <w:noWrap/>
            <w:vAlign w:val="center"/>
          </w:tcPr>
          <w:p w14:paraId="1162605A" w14:textId="6D877197"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061726A7" w14:textId="0F1B7FF1"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42 454</w:t>
            </w:r>
          </w:p>
        </w:tc>
        <w:tc>
          <w:tcPr>
            <w:tcW w:w="1418" w:type="dxa"/>
            <w:tcBorders>
              <w:top w:val="nil"/>
              <w:left w:val="nil"/>
              <w:bottom w:val="single" w:sz="4" w:space="0" w:color="0077BD"/>
              <w:right w:val="single" w:sz="8" w:space="0" w:color="0077BD"/>
            </w:tcBorders>
            <w:shd w:val="clear" w:color="auto" w:fill="auto"/>
            <w:noWrap/>
            <w:vAlign w:val="center"/>
          </w:tcPr>
          <w:p w14:paraId="413292DC" w14:textId="666759FF"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1 629 915</w:t>
            </w:r>
          </w:p>
        </w:tc>
        <w:tc>
          <w:tcPr>
            <w:tcW w:w="1418" w:type="dxa"/>
            <w:tcBorders>
              <w:top w:val="nil"/>
              <w:left w:val="single" w:sz="8" w:space="0" w:color="0077BD"/>
              <w:bottom w:val="single" w:sz="4" w:space="0" w:color="0077BD"/>
              <w:right w:val="nil"/>
            </w:tcBorders>
            <w:vAlign w:val="center"/>
          </w:tcPr>
          <w:p w14:paraId="2B46EC3C" w14:textId="7E4B4AFD"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385D3B51" w14:textId="5AE19210"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3AF4E94A"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Wykupy</w:t>
            </w:r>
          </w:p>
        </w:tc>
        <w:tc>
          <w:tcPr>
            <w:tcW w:w="1247" w:type="dxa"/>
            <w:tcBorders>
              <w:top w:val="nil"/>
              <w:left w:val="nil"/>
              <w:bottom w:val="single" w:sz="4" w:space="0" w:color="0077BD"/>
              <w:right w:val="single" w:sz="8" w:space="0" w:color="0077BD"/>
            </w:tcBorders>
            <w:shd w:val="clear" w:color="auto" w:fill="auto"/>
            <w:noWrap/>
            <w:vAlign w:val="center"/>
          </w:tcPr>
          <w:p w14:paraId="60A69951" w14:textId="12BF71C7"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(439 375)</w:t>
            </w:r>
          </w:p>
        </w:tc>
        <w:tc>
          <w:tcPr>
            <w:tcW w:w="1418" w:type="dxa"/>
            <w:tcBorders>
              <w:top w:val="nil"/>
              <w:left w:val="nil"/>
              <w:bottom w:val="single" w:sz="4" w:space="0" w:color="0077BD"/>
              <w:right w:val="single" w:sz="8" w:space="0" w:color="0077BD"/>
            </w:tcBorders>
            <w:shd w:val="clear" w:color="auto" w:fill="auto"/>
            <w:noWrap/>
            <w:vAlign w:val="center"/>
          </w:tcPr>
          <w:p w14:paraId="7254A5AB" w14:textId="001D908A"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34648AE1" w14:textId="4DE9B622"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1030BA06" w14:textId="2E5B4EAC"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(251 779)</w:t>
            </w:r>
          </w:p>
        </w:tc>
        <w:tc>
          <w:tcPr>
            <w:tcW w:w="1418" w:type="dxa"/>
            <w:tcBorders>
              <w:top w:val="nil"/>
              <w:left w:val="single" w:sz="8" w:space="0" w:color="0077BD"/>
              <w:bottom w:val="single" w:sz="4" w:space="0" w:color="0077BD"/>
              <w:right w:val="nil"/>
            </w:tcBorders>
            <w:vAlign w:val="center"/>
          </w:tcPr>
          <w:p w14:paraId="1AAD489B" w14:textId="2988D70E"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71364C56" w14:textId="04C71F28" w:rsidTr="006D3452">
        <w:trPr>
          <w:trHeight w:val="227"/>
        </w:trPr>
        <w:tc>
          <w:tcPr>
            <w:tcW w:w="2694" w:type="dxa"/>
            <w:tcBorders>
              <w:top w:val="nil"/>
              <w:left w:val="nil"/>
              <w:bottom w:val="single" w:sz="4" w:space="0" w:color="0077BD"/>
              <w:right w:val="single" w:sz="8" w:space="0" w:color="0077BD"/>
            </w:tcBorders>
            <w:shd w:val="clear" w:color="auto" w:fill="auto"/>
            <w:vAlign w:val="center"/>
            <w:hideMark/>
          </w:tcPr>
          <w:p w14:paraId="6BB962AC"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Sprzedaże</w:t>
            </w:r>
          </w:p>
        </w:tc>
        <w:tc>
          <w:tcPr>
            <w:tcW w:w="1247" w:type="dxa"/>
            <w:tcBorders>
              <w:top w:val="nil"/>
              <w:left w:val="nil"/>
              <w:bottom w:val="single" w:sz="4" w:space="0" w:color="0077BD"/>
              <w:right w:val="single" w:sz="8" w:space="0" w:color="0077BD"/>
            </w:tcBorders>
            <w:shd w:val="clear" w:color="auto" w:fill="auto"/>
            <w:noWrap/>
            <w:vAlign w:val="center"/>
          </w:tcPr>
          <w:p w14:paraId="420B4EEE" w14:textId="785F6573"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(5 472 304)</w:t>
            </w:r>
          </w:p>
        </w:tc>
        <w:tc>
          <w:tcPr>
            <w:tcW w:w="1418" w:type="dxa"/>
            <w:tcBorders>
              <w:top w:val="nil"/>
              <w:left w:val="nil"/>
              <w:bottom w:val="single" w:sz="4" w:space="0" w:color="0077BD"/>
              <w:right w:val="single" w:sz="8" w:space="0" w:color="0077BD"/>
            </w:tcBorders>
            <w:shd w:val="clear" w:color="auto" w:fill="auto"/>
            <w:noWrap/>
            <w:vAlign w:val="center"/>
          </w:tcPr>
          <w:p w14:paraId="46DFD069" w14:textId="093EBA27"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4" w:space="0" w:color="0077BD"/>
              <w:right w:val="single" w:sz="8" w:space="0" w:color="0077BD"/>
            </w:tcBorders>
            <w:shd w:val="clear" w:color="auto" w:fill="auto"/>
            <w:noWrap/>
            <w:vAlign w:val="center"/>
          </w:tcPr>
          <w:p w14:paraId="134B1EB8" w14:textId="59FCAF9B"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(3 162)</w:t>
            </w:r>
          </w:p>
        </w:tc>
        <w:tc>
          <w:tcPr>
            <w:tcW w:w="1418" w:type="dxa"/>
            <w:tcBorders>
              <w:top w:val="nil"/>
              <w:left w:val="nil"/>
              <w:bottom w:val="single" w:sz="4" w:space="0" w:color="0077BD"/>
              <w:right w:val="single" w:sz="8" w:space="0" w:color="0077BD"/>
            </w:tcBorders>
            <w:shd w:val="clear" w:color="auto" w:fill="auto"/>
            <w:noWrap/>
            <w:vAlign w:val="center"/>
          </w:tcPr>
          <w:p w14:paraId="43E632C3" w14:textId="3FAB39F2" w:rsidR="00194BC5" w:rsidRPr="00544AF9" w:rsidRDefault="009C0B26" w:rsidP="009E7EB5">
            <w:pPr>
              <w:jc w:val="right"/>
              <w:rPr>
                <w:rFonts w:cs="Calibri"/>
                <w:color w:val="000000" w:themeColor="text1"/>
                <w:sz w:val="12"/>
                <w:szCs w:val="12"/>
              </w:rPr>
            </w:pPr>
            <w:r w:rsidRPr="00544AF9">
              <w:rPr>
                <w:rFonts w:cs="Calibri"/>
                <w:color w:val="000000" w:themeColor="text1"/>
                <w:sz w:val="12"/>
                <w:szCs w:val="12"/>
              </w:rPr>
              <w:t>(</w:t>
            </w:r>
            <w:r w:rsidR="001E07DE" w:rsidRPr="00544AF9">
              <w:rPr>
                <w:rFonts w:cs="Calibri"/>
                <w:color w:val="000000" w:themeColor="text1"/>
                <w:sz w:val="12"/>
                <w:szCs w:val="12"/>
              </w:rPr>
              <w:t>1 586</w:t>
            </w:r>
            <w:r w:rsidRPr="00544AF9">
              <w:rPr>
                <w:rFonts w:cs="Calibri"/>
                <w:color w:val="000000" w:themeColor="text1"/>
                <w:sz w:val="12"/>
                <w:szCs w:val="12"/>
              </w:rPr>
              <w:t> </w:t>
            </w:r>
            <w:r w:rsidR="001E07DE" w:rsidRPr="00544AF9">
              <w:rPr>
                <w:rFonts w:cs="Calibri"/>
                <w:color w:val="000000" w:themeColor="text1"/>
                <w:sz w:val="12"/>
                <w:szCs w:val="12"/>
              </w:rPr>
              <w:t>363</w:t>
            </w:r>
            <w:r w:rsidRPr="00544AF9">
              <w:rPr>
                <w:rFonts w:cs="Calibri"/>
                <w:color w:val="000000" w:themeColor="text1"/>
                <w:sz w:val="12"/>
                <w:szCs w:val="12"/>
              </w:rPr>
              <w:t>)</w:t>
            </w:r>
            <w:r w:rsidR="001E07DE" w:rsidRPr="00544AF9">
              <w:rPr>
                <w:rFonts w:cs="Calibri"/>
                <w:color w:val="000000" w:themeColor="text1"/>
                <w:sz w:val="12"/>
                <w:szCs w:val="12"/>
              </w:rPr>
              <w:t xml:space="preserve">  </w:t>
            </w:r>
          </w:p>
        </w:tc>
        <w:tc>
          <w:tcPr>
            <w:tcW w:w="1418" w:type="dxa"/>
            <w:tcBorders>
              <w:top w:val="nil"/>
              <w:left w:val="single" w:sz="8" w:space="0" w:color="0077BD"/>
              <w:bottom w:val="single" w:sz="4" w:space="0" w:color="0077BD"/>
              <w:right w:val="nil"/>
            </w:tcBorders>
            <w:vAlign w:val="center"/>
          </w:tcPr>
          <w:p w14:paraId="6602E186" w14:textId="01AEFEF2"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58F0E0D1" w14:textId="1792C107" w:rsidTr="006D3452">
        <w:trPr>
          <w:trHeight w:val="227"/>
        </w:trPr>
        <w:tc>
          <w:tcPr>
            <w:tcW w:w="2694" w:type="dxa"/>
            <w:tcBorders>
              <w:top w:val="nil"/>
              <w:left w:val="nil"/>
              <w:bottom w:val="single" w:sz="8" w:space="0" w:color="0077BD"/>
              <w:right w:val="single" w:sz="8" w:space="0" w:color="0077BD"/>
            </w:tcBorders>
            <w:shd w:val="clear" w:color="auto" w:fill="auto"/>
            <w:vAlign w:val="center"/>
            <w:hideMark/>
          </w:tcPr>
          <w:p w14:paraId="4B1B75DA" w14:textId="77777777" w:rsidR="00194BC5" w:rsidRPr="00544AF9" w:rsidRDefault="00194BC5" w:rsidP="009E7EB5">
            <w:pPr>
              <w:rPr>
                <w:rFonts w:cs="Calibri"/>
                <w:color w:val="000000" w:themeColor="text1"/>
                <w:sz w:val="12"/>
                <w:szCs w:val="12"/>
              </w:rPr>
            </w:pPr>
            <w:r w:rsidRPr="00544AF9">
              <w:rPr>
                <w:rFonts w:cs="Calibri"/>
                <w:color w:val="000000" w:themeColor="text1"/>
                <w:sz w:val="12"/>
                <w:szCs w:val="12"/>
              </w:rPr>
              <w:t>Emisje</w:t>
            </w:r>
          </w:p>
        </w:tc>
        <w:tc>
          <w:tcPr>
            <w:tcW w:w="1247" w:type="dxa"/>
            <w:tcBorders>
              <w:top w:val="nil"/>
              <w:left w:val="nil"/>
              <w:bottom w:val="single" w:sz="8" w:space="0" w:color="0077BD"/>
              <w:right w:val="single" w:sz="8" w:space="0" w:color="0077BD"/>
            </w:tcBorders>
            <w:shd w:val="clear" w:color="auto" w:fill="auto"/>
            <w:noWrap/>
            <w:vAlign w:val="center"/>
          </w:tcPr>
          <w:p w14:paraId="77851AB6" w14:textId="6C733E37" w:rsidR="00194BC5" w:rsidRPr="00544AF9" w:rsidRDefault="002953B4" w:rsidP="002953B4">
            <w:pPr>
              <w:jc w:val="right"/>
              <w:rPr>
                <w:rFonts w:cs="Calibri"/>
                <w:color w:val="000000" w:themeColor="text1"/>
                <w:sz w:val="12"/>
                <w:szCs w:val="12"/>
              </w:rPr>
            </w:pPr>
            <w:r w:rsidRPr="00544AF9">
              <w:rPr>
                <w:rFonts w:cs="Calibri"/>
                <w:color w:val="000000" w:themeColor="text1"/>
                <w:sz w:val="12"/>
                <w:szCs w:val="12"/>
              </w:rPr>
              <w:t>4 683 269</w:t>
            </w:r>
          </w:p>
        </w:tc>
        <w:tc>
          <w:tcPr>
            <w:tcW w:w="1418" w:type="dxa"/>
            <w:tcBorders>
              <w:top w:val="nil"/>
              <w:left w:val="nil"/>
              <w:bottom w:val="single" w:sz="8" w:space="0" w:color="0077BD"/>
              <w:right w:val="single" w:sz="8" w:space="0" w:color="0077BD"/>
            </w:tcBorders>
            <w:shd w:val="clear" w:color="auto" w:fill="auto"/>
            <w:noWrap/>
            <w:vAlign w:val="center"/>
          </w:tcPr>
          <w:p w14:paraId="485EB53F" w14:textId="4678309A" w:rsidR="00194BC5" w:rsidRPr="00544AF9" w:rsidRDefault="002953B4"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noWrap/>
            <w:vAlign w:val="center"/>
          </w:tcPr>
          <w:p w14:paraId="745C18E9" w14:textId="19FD149D" w:rsidR="00194BC5" w:rsidRPr="00544AF9" w:rsidRDefault="001E07DE" w:rsidP="009E7EB5">
            <w:pPr>
              <w:jc w:val="right"/>
              <w:rPr>
                <w:rFonts w:cs="Calibri"/>
                <w:color w:val="000000" w:themeColor="text1"/>
                <w:sz w:val="12"/>
                <w:szCs w:val="12"/>
              </w:rPr>
            </w:pPr>
            <w:r w:rsidRPr="00544AF9">
              <w:rPr>
                <w:rFonts w:cs="Calibri"/>
                <w:color w:val="000000" w:themeColor="text1"/>
                <w:sz w:val="12"/>
                <w:szCs w:val="12"/>
              </w:rPr>
              <w:t>-</w:t>
            </w:r>
          </w:p>
        </w:tc>
        <w:tc>
          <w:tcPr>
            <w:tcW w:w="1418" w:type="dxa"/>
            <w:tcBorders>
              <w:top w:val="nil"/>
              <w:left w:val="nil"/>
              <w:bottom w:val="single" w:sz="8" w:space="0" w:color="0077BD"/>
              <w:right w:val="single" w:sz="8" w:space="0" w:color="0077BD"/>
            </w:tcBorders>
            <w:shd w:val="clear" w:color="auto" w:fill="auto"/>
            <w:noWrap/>
            <w:vAlign w:val="center"/>
          </w:tcPr>
          <w:p w14:paraId="0C34997C" w14:textId="7CF27758" w:rsidR="00194BC5" w:rsidRPr="00544AF9" w:rsidRDefault="009C0B26" w:rsidP="009E7EB5">
            <w:pPr>
              <w:jc w:val="right"/>
              <w:rPr>
                <w:rFonts w:cs="Calibri"/>
                <w:color w:val="000000" w:themeColor="text1"/>
                <w:sz w:val="12"/>
                <w:szCs w:val="12"/>
              </w:rPr>
            </w:pPr>
            <w:r w:rsidRPr="00544AF9">
              <w:rPr>
                <w:rFonts w:cs="Calibri"/>
                <w:color w:val="000000" w:themeColor="text1"/>
                <w:sz w:val="12"/>
                <w:szCs w:val="12"/>
              </w:rPr>
              <w:t>256</w:t>
            </w:r>
            <w:r w:rsidR="001E07DE" w:rsidRPr="00544AF9">
              <w:rPr>
                <w:rFonts w:cs="Calibri"/>
                <w:color w:val="000000" w:themeColor="text1"/>
                <w:sz w:val="12"/>
                <w:szCs w:val="12"/>
              </w:rPr>
              <w:t xml:space="preserve"> 054</w:t>
            </w:r>
          </w:p>
        </w:tc>
        <w:tc>
          <w:tcPr>
            <w:tcW w:w="1418" w:type="dxa"/>
            <w:tcBorders>
              <w:top w:val="nil"/>
              <w:left w:val="single" w:sz="8" w:space="0" w:color="0077BD"/>
              <w:bottom w:val="single" w:sz="8" w:space="0" w:color="0077BD"/>
              <w:right w:val="nil"/>
            </w:tcBorders>
            <w:vAlign w:val="center"/>
          </w:tcPr>
          <w:p w14:paraId="7403D9DE" w14:textId="317728A3"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r w:rsidR="006D3452" w:rsidRPr="0068723D" w14:paraId="15849121" w14:textId="52CA1FEB" w:rsidTr="006D3452">
        <w:trPr>
          <w:trHeight w:val="227"/>
        </w:trPr>
        <w:tc>
          <w:tcPr>
            <w:tcW w:w="2694" w:type="dxa"/>
            <w:tcBorders>
              <w:top w:val="single" w:sz="8" w:space="0" w:color="0077BD"/>
              <w:left w:val="nil"/>
              <w:bottom w:val="single" w:sz="8" w:space="0" w:color="0077BD"/>
              <w:right w:val="single" w:sz="8" w:space="0" w:color="0077BD"/>
            </w:tcBorders>
            <w:shd w:val="clear" w:color="auto" w:fill="auto"/>
            <w:vAlign w:val="center"/>
            <w:hideMark/>
          </w:tcPr>
          <w:p w14:paraId="2BEDA9AA" w14:textId="77777777" w:rsidR="00194BC5" w:rsidRPr="00544AF9" w:rsidRDefault="00194BC5" w:rsidP="009E7EB5">
            <w:pPr>
              <w:rPr>
                <w:rFonts w:cs="Calibri"/>
                <w:b/>
                <w:bCs/>
                <w:color w:val="000000" w:themeColor="text1"/>
                <w:sz w:val="12"/>
                <w:szCs w:val="12"/>
              </w:rPr>
            </w:pPr>
            <w:r w:rsidRPr="00544AF9">
              <w:rPr>
                <w:rFonts w:cs="Calibri"/>
                <w:b/>
                <w:bCs/>
                <w:color w:val="000000" w:themeColor="text1"/>
                <w:sz w:val="12"/>
                <w:szCs w:val="12"/>
              </w:rPr>
              <w:t>Bilans zamknięcia</w:t>
            </w:r>
          </w:p>
        </w:tc>
        <w:tc>
          <w:tcPr>
            <w:tcW w:w="1247" w:type="dxa"/>
            <w:tcBorders>
              <w:top w:val="single" w:sz="8" w:space="0" w:color="0077BD"/>
              <w:left w:val="nil"/>
              <w:bottom w:val="single" w:sz="8" w:space="0" w:color="0077BD"/>
              <w:right w:val="single" w:sz="8" w:space="0" w:color="0077BD"/>
            </w:tcBorders>
            <w:shd w:val="clear" w:color="auto" w:fill="auto"/>
            <w:noWrap/>
            <w:vAlign w:val="center"/>
          </w:tcPr>
          <w:p w14:paraId="57929C46" w14:textId="44DF1659" w:rsidR="00194BC5" w:rsidRPr="00544AF9" w:rsidRDefault="007830A3" w:rsidP="007830A3">
            <w:pPr>
              <w:jc w:val="right"/>
              <w:rPr>
                <w:rFonts w:cs="Calibri"/>
                <w:b/>
                <w:bCs/>
                <w:color w:val="000000" w:themeColor="text1"/>
                <w:sz w:val="12"/>
                <w:szCs w:val="12"/>
              </w:rPr>
            </w:pPr>
            <w:r w:rsidRPr="00544AF9">
              <w:rPr>
                <w:rFonts w:cs="Calibri"/>
                <w:b/>
                <w:bCs/>
                <w:color w:val="000000" w:themeColor="text1"/>
                <w:sz w:val="12"/>
                <w:szCs w:val="12"/>
              </w:rPr>
              <w:t>306</w:t>
            </w:r>
            <w:r w:rsidR="002953B4" w:rsidRPr="00544AF9">
              <w:rPr>
                <w:rFonts w:cs="Calibri"/>
                <w:b/>
                <w:bCs/>
                <w:color w:val="000000" w:themeColor="text1"/>
                <w:sz w:val="12"/>
                <w:szCs w:val="12"/>
              </w:rPr>
              <w:t xml:space="preserve"> </w:t>
            </w:r>
            <w:r w:rsidRPr="00544AF9">
              <w:rPr>
                <w:rFonts w:cs="Calibri"/>
                <w:b/>
                <w:bCs/>
                <w:color w:val="000000" w:themeColor="text1"/>
                <w:sz w:val="12"/>
                <w:szCs w:val="12"/>
              </w:rPr>
              <w:t>763</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2E820824" w14:textId="12449EA9" w:rsidR="00194BC5" w:rsidRPr="00544AF9" w:rsidRDefault="002953B4" w:rsidP="009E7EB5">
            <w:pPr>
              <w:jc w:val="right"/>
              <w:rPr>
                <w:rFonts w:cs="Calibri"/>
                <w:b/>
                <w:bCs/>
                <w:color w:val="000000" w:themeColor="text1"/>
                <w:sz w:val="12"/>
                <w:szCs w:val="12"/>
              </w:rPr>
            </w:pPr>
            <w:r w:rsidRPr="00544AF9">
              <w:rPr>
                <w:rFonts w:cs="Calibri"/>
                <w:b/>
                <w:bCs/>
                <w:color w:val="000000" w:themeColor="text1"/>
                <w:sz w:val="12"/>
                <w:szCs w:val="12"/>
              </w:rPr>
              <w:t>58 130</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D7F1755" w14:textId="1D0C91D8" w:rsidR="00194BC5" w:rsidRPr="00544AF9" w:rsidRDefault="001E07DE" w:rsidP="009E7EB5">
            <w:pPr>
              <w:jc w:val="right"/>
              <w:rPr>
                <w:rFonts w:cs="Calibri"/>
                <w:b/>
                <w:bCs/>
                <w:color w:val="000000" w:themeColor="text1"/>
                <w:sz w:val="12"/>
                <w:szCs w:val="12"/>
              </w:rPr>
            </w:pPr>
            <w:r w:rsidRPr="00544AF9">
              <w:rPr>
                <w:rFonts w:cs="Calibri"/>
                <w:b/>
                <w:bCs/>
                <w:color w:val="000000" w:themeColor="text1"/>
                <w:sz w:val="12"/>
                <w:szCs w:val="12"/>
              </w:rPr>
              <w:t>72 005</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1FAEF1F2" w14:textId="4980D0BD" w:rsidR="00194BC5" w:rsidRPr="00544AF9" w:rsidRDefault="001E07DE" w:rsidP="009E7EB5">
            <w:pPr>
              <w:jc w:val="right"/>
              <w:rPr>
                <w:rFonts w:cs="Calibri"/>
                <w:b/>
                <w:bCs/>
                <w:color w:val="000000" w:themeColor="text1"/>
                <w:sz w:val="12"/>
                <w:szCs w:val="12"/>
              </w:rPr>
            </w:pPr>
            <w:r w:rsidRPr="00544AF9">
              <w:rPr>
                <w:rFonts w:cs="Calibri"/>
                <w:b/>
                <w:bCs/>
                <w:color w:val="000000" w:themeColor="text1"/>
                <w:sz w:val="12"/>
                <w:szCs w:val="12"/>
              </w:rPr>
              <w:t>1 266 558</w:t>
            </w:r>
          </w:p>
        </w:tc>
        <w:tc>
          <w:tcPr>
            <w:tcW w:w="1418" w:type="dxa"/>
            <w:tcBorders>
              <w:top w:val="single" w:sz="8" w:space="0" w:color="0077BD"/>
              <w:left w:val="single" w:sz="8" w:space="0" w:color="0077BD"/>
              <w:bottom w:val="single" w:sz="8" w:space="0" w:color="0077BD"/>
              <w:right w:val="nil"/>
            </w:tcBorders>
            <w:vAlign w:val="center"/>
          </w:tcPr>
          <w:p w14:paraId="2F376765" w14:textId="435EBAD3" w:rsidR="00194BC5" w:rsidRPr="00544AF9" w:rsidRDefault="004F224C" w:rsidP="004F224C">
            <w:pPr>
              <w:jc w:val="right"/>
              <w:rPr>
                <w:rFonts w:cs="Calibri"/>
                <w:b/>
                <w:bCs/>
                <w:color w:val="000000" w:themeColor="text1"/>
                <w:sz w:val="12"/>
                <w:szCs w:val="12"/>
              </w:rPr>
            </w:pPr>
            <w:r w:rsidRPr="00544AF9">
              <w:rPr>
                <w:rFonts w:cs="Calibri"/>
                <w:b/>
                <w:bCs/>
                <w:color w:val="000000" w:themeColor="text1"/>
                <w:sz w:val="12"/>
                <w:szCs w:val="12"/>
              </w:rPr>
              <w:t>-</w:t>
            </w:r>
          </w:p>
        </w:tc>
      </w:tr>
    </w:tbl>
    <w:p w14:paraId="0D05DD10" w14:textId="7191BC2C" w:rsidR="00E54C33" w:rsidRPr="0068723D" w:rsidRDefault="001E07DE" w:rsidP="00F61193">
      <w:pPr>
        <w:suppressAutoHyphens/>
        <w:spacing w:before="120"/>
        <w:jc w:val="both"/>
        <w:rPr>
          <w:rFonts w:cs="Tahoma"/>
          <w:color w:val="000000" w:themeColor="text1"/>
          <w:sz w:val="18"/>
          <w:szCs w:val="18"/>
        </w:rPr>
      </w:pPr>
      <w:r w:rsidRPr="0068723D">
        <w:rPr>
          <w:rFonts w:cs="Tahoma"/>
          <w:color w:val="000000" w:themeColor="text1"/>
          <w:sz w:val="18"/>
          <w:szCs w:val="18"/>
        </w:rPr>
        <w:t>W</w:t>
      </w:r>
      <w:r w:rsidR="001C71C6">
        <w:rPr>
          <w:rFonts w:cs="Tahoma"/>
          <w:color w:val="000000" w:themeColor="text1"/>
          <w:sz w:val="18"/>
          <w:szCs w:val="18"/>
        </w:rPr>
        <w:t xml:space="preserve"> 2019</w:t>
      </w:r>
      <w:r w:rsidR="00E54C33" w:rsidRPr="0068723D">
        <w:rPr>
          <w:rFonts w:cs="Tahoma"/>
          <w:color w:val="000000" w:themeColor="text1"/>
          <w:sz w:val="18"/>
          <w:szCs w:val="18"/>
        </w:rPr>
        <w:t xml:space="preserve"> roku </w:t>
      </w:r>
      <w:r w:rsidR="001C71C6">
        <w:rPr>
          <w:rFonts w:cs="Tahoma"/>
          <w:color w:val="000000" w:themeColor="text1"/>
          <w:sz w:val="18"/>
          <w:szCs w:val="18"/>
        </w:rPr>
        <w:t xml:space="preserve">ani w 2018 roku </w:t>
      </w:r>
      <w:r w:rsidR="00E54C33" w:rsidRPr="0068723D">
        <w:rPr>
          <w:rFonts w:cs="Tahoma"/>
          <w:color w:val="000000" w:themeColor="text1"/>
          <w:sz w:val="18"/>
          <w:szCs w:val="18"/>
        </w:rPr>
        <w:t>nie odnotowano przeniesień instrumentów finansowych pomiędzy poszczególnymi poziomami hierarchii wartości godziwej.</w:t>
      </w:r>
    </w:p>
    <w:p w14:paraId="29FBB052" w14:textId="2EA77798" w:rsidR="000B4740" w:rsidRPr="0068723D" w:rsidRDefault="009D4C70" w:rsidP="00F61193">
      <w:pPr>
        <w:suppressAutoHyphens/>
        <w:spacing w:before="120"/>
        <w:jc w:val="both"/>
        <w:rPr>
          <w:rFonts w:cs="Tahoma"/>
          <w:color w:val="000000" w:themeColor="text1"/>
          <w:sz w:val="18"/>
          <w:szCs w:val="18"/>
        </w:rPr>
      </w:pPr>
      <w:r w:rsidRPr="009D4C70">
        <w:rPr>
          <w:rFonts w:cs="Tahoma"/>
          <w:color w:val="000000" w:themeColor="text1"/>
          <w:sz w:val="18"/>
          <w:szCs w:val="18"/>
        </w:rPr>
        <w:t xml:space="preserve">W odniesieniu do instrumentów finansowych wycenianych w sposób powtarzalny do wartości godziwej, sklasyfikowanych na poziomie 1 i 2 hierarchii wartości godziwej, ewentualne przypadki, w których mogłoby </w:t>
      </w:r>
      <w:r w:rsidRPr="009D4C70">
        <w:rPr>
          <w:rFonts w:cs="Tahoma"/>
          <w:color w:val="000000" w:themeColor="text1"/>
          <w:sz w:val="18"/>
          <w:szCs w:val="18"/>
        </w:rPr>
        <w:lastRenderedPageBreak/>
        <w:t>nastąpić przeniesienie pomiędzy tymi poziomami są monitorowane przez Departament Zarządza</w:t>
      </w:r>
      <w:r>
        <w:rPr>
          <w:rFonts w:cs="Tahoma"/>
          <w:color w:val="000000" w:themeColor="text1"/>
          <w:sz w:val="18"/>
          <w:szCs w:val="18"/>
        </w:rPr>
        <w:t>nia Ryzykiem</w:t>
      </w:r>
      <w:r w:rsidRPr="009D4C70">
        <w:rPr>
          <w:rFonts w:cs="Tahoma"/>
          <w:color w:val="000000" w:themeColor="text1"/>
          <w:sz w:val="18"/>
          <w:szCs w:val="18"/>
        </w:rPr>
        <w:t xml:space="preserve"> Bilansu na podstawie wewnętrznych zasad</w:t>
      </w:r>
      <w:r w:rsidR="000B4740" w:rsidRPr="0068723D">
        <w:rPr>
          <w:rFonts w:cs="Tahoma"/>
          <w:color w:val="000000" w:themeColor="text1"/>
          <w:sz w:val="18"/>
          <w:szCs w:val="18"/>
        </w:rPr>
        <w:t>. W przypadku jeśli wystąpi brak ceny rynkowej, służącej do wyceny bezpośredniej, przez okres ponad 5 dni roboczych następuje zmiana sposobu wyceny tego instrumentu, czyli przejście z wyceny bezpośredniej na wycenę z modelu, o ile dostępna jest zatwierdzona metoda wyceny z modelu dla tego instrumentu. Powrót do metody wyceny bezpośredniej następuje po okresie co najmniej 10 dni roboczych, w których cena rynkowa była dostępna w sposób ciągły. W przypadku braku ceny rynkowej dla skarbowych papierów dłużnych powyższe terminy wynoszą odpowiednio 2 i 5 dni roboczych.</w:t>
      </w:r>
    </w:p>
    <w:p w14:paraId="75625640" w14:textId="77777777" w:rsidR="00660583" w:rsidRPr="0068723D" w:rsidRDefault="00660583" w:rsidP="00660583">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1</w:t>
      </w:r>
    </w:p>
    <w:p w14:paraId="5893CF28" w14:textId="25E81AAA" w:rsidR="00306805" w:rsidRPr="0068723D" w:rsidRDefault="007B09A5" w:rsidP="00110D8E">
      <w:pPr>
        <w:suppressAutoHyphens/>
        <w:spacing w:before="120"/>
        <w:jc w:val="both"/>
        <w:rPr>
          <w:rFonts w:cs="Tahoma"/>
          <w:color w:val="000000" w:themeColor="text1"/>
          <w:sz w:val="18"/>
          <w:szCs w:val="18"/>
        </w:rPr>
      </w:pPr>
      <w:r w:rsidRPr="0068723D">
        <w:rPr>
          <w:rFonts w:cs="Tahoma"/>
          <w:color w:val="000000" w:themeColor="text1"/>
          <w:sz w:val="18"/>
          <w:szCs w:val="18"/>
        </w:rPr>
        <w:t>Na dzień 31 grudnia 2019</w:t>
      </w:r>
      <w:r w:rsidR="00306805" w:rsidRPr="0068723D">
        <w:rPr>
          <w:rFonts w:cs="Tahoma"/>
          <w:color w:val="000000" w:themeColor="text1"/>
          <w:sz w:val="18"/>
          <w:szCs w:val="18"/>
        </w:rPr>
        <w:t xml:space="preserve"> roku na poziomie 1 hierarchii wartości Grupa wykazała wartość godziwą obligacji </w:t>
      </w:r>
      <w:r w:rsidR="00306805" w:rsidRPr="003C6A1C">
        <w:rPr>
          <w:rFonts w:cs="Tahoma"/>
          <w:color w:val="000000" w:themeColor="text1"/>
          <w:sz w:val="18"/>
          <w:szCs w:val="18"/>
        </w:rPr>
        <w:t xml:space="preserve">rządowych przeznaczonych do obrotu w kwocie </w:t>
      </w:r>
      <w:r w:rsidR="003C6A1C">
        <w:rPr>
          <w:rFonts w:cs="Tahoma"/>
          <w:color w:val="000000" w:themeColor="text1"/>
          <w:sz w:val="18"/>
          <w:szCs w:val="18"/>
        </w:rPr>
        <w:t>1 </w:t>
      </w:r>
      <w:r w:rsidR="003C6A1C" w:rsidRPr="003C6A1C">
        <w:rPr>
          <w:rFonts w:cs="Tahoma"/>
          <w:color w:val="000000" w:themeColor="text1"/>
          <w:sz w:val="18"/>
          <w:szCs w:val="18"/>
        </w:rPr>
        <w:t>330</w:t>
      </w:r>
      <w:r w:rsidR="00735809" w:rsidRPr="003C6A1C">
        <w:rPr>
          <w:rFonts w:cs="Tahoma"/>
          <w:color w:val="000000" w:themeColor="text1"/>
          <w:sz w:val="18"/>
          <w:szCs w:val="18"/>
        </w:rPr>
        <w:t> </w:t>
      </w:r>
      <w:r w:rsidR="003C6A1C" w:rsidRPr="003C6A1C">
        <w:rPr>
          <w:rFonts w:cs="Tahoma"/>
          <w:color w:val="000000" w:themeColor="text1"/>
          <w:sz w:val="18"/>
          <w:szCs w:val="18"/>
        </w:rPr>
        <w:t>541</w:t>
      </w:r>
      <w:r w:rsidR="0063710A" w:rsidRPr="003C6A1C">
        <w:rPr>
          <w:rFonts w:cs="Tahoma"/>
          <w:color w:val="000000" w:themeColor="text1"/>
          <w:sz w:val="18"/>
          <w:szCs w:val="18"/>
        </w:rPr>
        <w:t xml:space="preserve"> tys. zł (patrz Nota 20</w:t>
      </w:r>
      <w:r w:rsidR="00B17761" w:rsidRPr="003C6A1C">
        <w:rPr>
          <w:rFonts w:cs="Tahoma"/>
          <w:color w:val="000000" w:themeColor="text1"/>
          <w:sz w:val="18"/>
          <w:szCs w:val="18"/>
        </w:rPr>
        <w:t>) oraz wartość godziwą</w:t>
      </w:r>
      <w:r w:rsidR="00B17761" w:rsidRPr="0068723D">
        <w:rPr>
          <w:rFonts w:cs="Tahoma"/>
          <w:color w:val="000000" w:themeColor="text1"/>
          <w:sz w:val="18"/>
          <w:szCs w:val="18"/>
        </w:rPr>
        <w:t xml:space="preserve"> obligacji rządowych wycenianych w wartości godziwej przez pozostałe całkowite dochody</w:t>
      </w:r>
      <w:r w:rsidR="00CD69A7" w:rsidRPr="0068723D">
        <w:rPr>
          <w:rFonts w:cs="Tahoma"/>
          <w:color w:val="000000" w:themeColor="text1"/>
          <w:sz w:val="18"/>
          <w:szCs w:val="18"/>
        </w:rPr>
        <w:t xml:space="preserve"> w </w:t>
      </w:r>
      <w:r w:rsidR="002F2289" w:rsidRPr="0068723D">
        <w:rPr>
          <w:rFonts w:cs="Tahoma"/>
          <w:color w:val="000000" w:themeColor="text1"/>
          <w:sz w:val="18"/>
          <w:szCs w:val="18"/>
        </w:rPr>
        <w:t xml:space="preserve">kwocie </w:t>
      </w:r>
      <w:r w:rsidR="003C6A1C" w:rsidRPr="003C6A1C">
        <w:rPr>
          <w:rFonts w:cs="Tahoma"/>
          <w:color w:val="000000" w:themeColor="text1"/>
          <w:sz w:val="18"/>
          <w:szCs w:val="18"/>
        </w:rPr>
        <w:t>17</w:t>
      </w:r>
      <w:r w:rsidR="00306805" w:rsidRPr="003C6A1C">
        <w:rPr>
          <w:rFonts w:cs="Tahoma"/>
          <w:color w:val="000000" w:themeColor="text1"/>
          <w:sz w:val="18"/>
          <w:szCs w:val="18"/>
        </w:rPr>
        <w:t> </w:t>
      </w:r>
      <w:r w:rsidR="003C6A1C" w:rsidRPr="003C6A1C">
        <w:rPr>
          <w:rFonts w:cs="Tahoma"/>
          <w:color w:val="000000" w:themeColor="text1"/>
          <w:sz w:val="18"/>
          <w:szCs w:val="18"/>
        </w:rPr>
        <w:t>537</w:t>
      </w:r>
      <w:r w:rsidR="00306805" w:rsidRPr="003C6A1C">
        <w:rPr>
          <w:rFonts w:cs="Tahoma"/>
          <w:color w:val="000000" w:themeColor="text1"/>
          <w:sz w:val="18"/>
          <w:szCs w:val="18"/>
        </w:rPr>
        <w:t> </w:t>
      </w:r>
      <w:r w:rsidR="003C6A1C" w:rsidRPr="003C6A1C">
        <w:rPr>
          <w:rFonts w:cs="Tahoma"/>
          <w:color w:val="000000" w:themeColor="text1"/>
          <w:sz w:val="18"/>
          <w:szCs w:val="18"/>
        </w:rPr>
        <w:t>697</w:t>
      </w:r>
      <w:r w:rsidR="00306805" w:rsidRPr="003C6A1C">
        <w:rPr>
          <w:rFonts w:cs="Tahoma"/>
          <w:color w:val="000000" w:themeColor="text1"/>
          <w:sz w:val="18"/>
          <w:szCs w:val="18"/>
        </w:rPr>
        <w:t xml:space="preserve"> tys. zł </w:t>
      </w:r>
      <w:r w:rsidR="003C6A1C" w:rsidRPr="003C6A1C">
        <w:rPr>
          <w:rFonts w:cs="Tahoma"/>
          <w:color w:val="000000" w:themeColor="text1"/>
          <w:sz w:val="18"/>
          <w:szCs w:val="18"/>
        </w:rPr>
        <w:t>(31 grudnia 2018</w:t>
      </w:r>
      <w:r w:rsidR="00B22687">
        <w:rPr>
          <w:rFonts w:cs="Tahoma"/>
          <w:color w:val="000000" w:themeColor="text1"/>
          <w:sz w:val="18"/>
          <w:szCs w:val="18"/>
        </w:rPr>
        <w:t xml:space="preserve"> rok:</w:t>
      </w:r>
      <w:r w:rsidR="00306805" w:rsidRPr="003C6A1C">
        <w:rPr>
          <w:rFonts w:cs="Tahoma"/>
          <w:color w:val="000000" w:themeColor="text1"/>
          <w:sz w:val="18"/>
          <w:szCs w:val="18"/>
        </w:rPr>
        <w:t xml:space="preserve"> odpowiednio: </w:t>
      </w:r>
      <w:r w:rsidR="00544AF9">
        <w:rPr>
          <w:rFonts w:cs="Tahoma"/>
          <w:color w:val="000000" w:themeColor="text1"/>
          <w:sz w:val="18"/>
          <w:szCs w:val="18"/>
        </w:rPr>
        <w:t>77</w:t>
      </w:r>
      <w:r w:rsidRPr="003C6A1C">
        <w:rPr>
          <w:rFonts w:cs="Tahoma"/>
          <w:color w:val="000000" w:themeColor="text1"/>
          <w:sz w:val="18"/>
          <w:szCs w:val="18"/>
        </w:rPr>
        <w:t>8</w:t>
      </w:r>
      <w:r w:rsidR="00544AF9">
        <w:rPr>
          <w:rFonts w:cs="Tahoma"/>
          <w:color w:val="000000" w:themeColor="text1"/>
          <w:sz w:val="18"/>
          <w:szCs w:val="18"/>
        </w:rPr>
        <w:t xml:space="preserve"> 733 </w:t>
      </w:r>
      <w:r w:rsidR="00306805" w:rsidRPr="003C6A1C">
        <w:rPr>
          <w:rFonts w:cs="Tahoma"/>
          <w:color w:val="000000" w:themeColor="text1"/>
          <w:sz w:val="18"/>
          <w:szCs w:val="18"/>
        </w:rPr>
        <w:t xml:space="preserve">tys. zł i </w:t>
      </w:r>
      <w:r w:rsidRPr="003C6A1C">
        <w:rPr>
          <w:rFonts w:cs="Tahoma"/>
          <w:color w:val="000000" w:themeColor="text1"/>
          <w:sz w:val="18"/>
          <w:szCs w:val="18"/>
        </w:rPr>
        <w:t xml:space="preserve">21 251 235 </w:t>
      </w:r>
      <w:r w:rsidR="00306805" w:rsidRPr="003C6A1C">
        <w:rPr>
          <w:rFonts w:cs="Tahoma"/>
          <w:color w:val="000000" w:themeColor="text1"/>
          <w:sz w:val="18"/>
          <w:szCs w:val="18"/>
        </w:rPr>
        <w:t>tys. zł). Poziom 1</w:t>
      </w:r>
      <w:r w:rsidR="00306805" w:rsidRPr="0068723D">
        <w:rPr>
          <w:rFonts w:cs="Tahoma"/>
          <w:color w:val="000000" w:themeColor="text1"/>
          <w:sz w:val="18"/>
          <w:szCs w:val="18"/>
        </w:rPr>
        <w:t xml:space="preserve"> </w:t>
      </w:r>
      <w:r w:rsidR="00306805" w:rsidRPr="008D0363">
        <w:rPr>
          <w:rFonts w:cs="Tahoma"/>
          <w:color w:val="000000" w:themeColor="text1"/>
          <w:sz w:val="18"/>
          <w:szCs w:val="18"/>
        </w:rPr>
        <w:t xml:space="preserve">obejmuje wartość godziwą obligacji korporacyjnych w kwocie </w:t>
      </w:r>
      <w:r w:rsidR="008D7367">
        <w:rPr>
          <w:rFonts w:cs="Tahoma"/>
          <w:color w:val="000000" w:themeColor="text1"/>
          <w:sz w:val="18"/>
          <w:szCs w:val="18"/>
        </w:rPr>
        <w:t>984</w:t>
      </w:r>
      <w:r w:rsidR="002F2289" w:rsidRPr="008D0363">
        <w:rPr>
          <w:rFonts w:cs="Tahoma"/>
          <w:color w:val="000000" w:themeColor="text1"/>
          <w:sz w:val="18"/>
          <w:szCs w:val="18"/>
        </w:rPr>
        <w:t> </w:t>
      </w:r>
      <w:r w:rsidR="008D7367">
        <w:rPr>
          <w:rFonts w:cs="Tahoma"/>
          <w:color w:val="000000" w:themeColor="text1"/>
          <w:sz w:val="18"/>
          <w:szCs w:val="18"/>
        </w:rPr>
        <w:t>228</w:t>
      </w:r>
      <w:r w:rsidR="00B17761" w:rsidRPr="008D0363">
        <w:rPr>
          <w:rFonts w:cs="Tahoma"/>
          <w:color w:val="000000" w:themeColor="text1"/>
          <w:sz w:val="18"/>
          <w:szCs w:val="18"/>
        </w:rPr>
        <w:t xml:space="preserve"> tys. zł (31 grudnia 2</w:t>
      </w:r>
      <w:r w:rsidRPr="008D0363">
        <w:rPr>
          <w:rFonts w:cs="Tahoma"/>
          <w:color w:val="000000" w:themeColor="text1"/>
          <w:sz w:val="18"/>
          <w:szCs w:val="18"/>
        </w:rPr>
        <w:t>018</w:t>
      </w:r>
      <w:r w:rsidR="00B22687">
        <w:rPr>
          <w:rFonts w:cs="Tahoma"/>
          <w:color w:val="000000" w:themeColor="text1"/>
          <w:sz w:val="18"/>
          <w:szCs w:val="18"/>
        </w:rPr>
        <w:t xml:space="preserve"> rok </w:t>
      </w:r>
      <w:r w:rsidR="004A57C2" w:rsidRPr="008D0363">
        <w:rPr>
          <w:rFonts w:cs="Tahoma"/>
          <w:color w:val="000000" w:themeColor="text1"/>
          <w:sz w:val="18"/>
          <w:szCs w:val="18"/>
        </w:rPr>
        <w:t>–</w:t>
      </w:r>
      <w:r w:rsidR="004A57C2" w:rsidRPr="0068723D">
        <w:rPr>
          <w:rFonts w:cs="Tahoma"/>
          <w:color w:val="000000" w:themeColor="text1"/>
          <w:sz w:val="18"/>
          <w:szCs w:val="18"/>
        </w:rPr>
        <w:t xml:space="preserve"> </w:t>
      </w:r>
      <w:r w:rsidRPr="0068723D">
        <w:rPr>
          <w:rFonts w:cs="Tahoma"/>
          <w:color w:val="000000" w:themeColor="text1"/>
          <w:sz w:val="18"/>
          <w:szCs w:val="18"/>
        </w:rPr>
        <w:t xml:space="preserve">1 230 590 </w:t>
      </w:r>
      <w:r w:rsidR="004A57C2" w:rsidRPr="0068723D">
        <w:rPr>
          <w:rFonts w:cs="Tahoma"/>
          <w:color w:val="000000" w:themeColor="text1"/>
          <w:sz w:val="18"/>
          <w:szCs w:val="18"/>
        </w:rPr>
        <w:t>tys. zł</w:t>
      </w:r>
      <w:r w:rsidR="00306805" w:rsidRPr="0068723D">
        <w:rPr>
          <w:rFonts w:cs="Tahoma"/>
          <w:color w:val="000000" w:themeColor="text1"/>
          <w:sz w:val="18"/>
          <w:szCs w:val="18"/>
        </w:rPr>
        <w:t xml:space="preserve">). </w:t>
      </w:r>
    </w:p>
    <w:p w14:paraId="397F1FC0" w14:textId="4E887062" w:rsidR="00306805" w:rsidRPr="0068723D" w:rsidRDefault="007B09A5" w:rsidP="00306805">
      <w:pPr>
        <w:suppressAutoHyphens/>
        <w:spacing w:before="120"/>
        <w:jc w:val="both"/>
        <w:rPr>
          <w:rFonts w:cs="Tahoma"/>
          <w:color w:val="000000" w:themeColor="text1"/>
          <w:sz w:val="18"/>
          <w:szCs w:val="18"/>
        </w:rPr>
      </w:pPr>
      <w:r w:rsidRPr="0068723D">
        <w:rPr>
          <w:rFonts w:cs="Tahoma"/>
          <w:color w:val="000000" w:themeColor="text1"/>
          <w:sz w:val="18"/>
          <w:szCs w:val="18"/>
        </w:rPr>
        <w:t>Ponadto na dzień 31 grudnia 2019</w:t>
      </w:r>
      <w:r w:rsidR="00306805" w:rsidRPr="0068723D">
        <w:rPr>
          <w:rFonts w:cs="Tahoma"/>
          <w:color w:val="000000" w:themeColor="text1"/>
          <w:sz w:val="18"/>
          <w:szCs w:val="18"/>
        </w:rPr>
        <w:t xml:space="preserve"> roku poziom 1 obejmuje wartość akcji imiennych uprzywilejowanych </w:t>
      </w:r>
      <w:r w:rsidR="00306805" w:rsidRPr="006C27CB">
        <w:rPr>
          <w:rFonts w:cs="Tahoma"/>
          <w:color w:val="000000" w:themeColor="text1"/>
          <w:sz w:val="18"/>
          <w:szCs w:val="18"/>
        </w:rPr>
        <w:t>Giełdy Papierów Wartościowych w kwo</w:t>
      </w:r>
      <w:r w:rsidR="00C24C58" w:rsidRPr="006C27CB">
        <w:rPr>
          <w:rFonts w:cs="Tahoma"/>
          <w:color w:val="000000" w:themeColor="text1"/>
          <w:sz w:val="18"/>
          <w:szCs w:val="18"/>
        </w:rPr>
        <w:t xml:space="preserve">cie </w:t>
      </w:r>
      <w:r w:rsidR="006C27CB" w:rsidRPr="006C27CB">
        <w:rPr>
          <w:rFonts w:cs="Tahoma"/>
          <w:color w:val="000000" w:themeColor="text1"/>
          <w:sz w:val="18"/>
          <w:szCs w:val="18"/>
        </w:rPr>
        <w:t>825</w:t>
      </w:r>
      <w:r w:rsidR="00AB6AC6" w:rsidRPr="006C27CB">
        <w:rPr>
          <w:rFonts w:cs="Tahoma"/>
          <w:color w:val="000000" w:themeColor="text1"/>
          <w:sz w:val="18"/>
          <w:szCs w:val="18"/>
        </w:rPr>
        <w:t xml:space="preserve"> </w:t>
      </w:r>
      <w:r w:rsidRPr="006C27CB">
        <w:rPr>
          <w:rFonts w:cs="Tahoma"/>
          <w:color w:val="000000" w:themeColor="text1"/>
          <w:sz w:val="18"/>
          <w:szCs w:val="18"/>
        </w:rPr>
        <w:t>tys. zł (31 grudnia 2018 r</w:t>
      </w:r>
      <w:r w:rsidR="00B22687">
        <w:rPr>
          <w:rFonts w:cs="Tahoma"/>
          <w:color w:val="000000" w:themeColor="text1"/>
          <w:sz w:val="18"/>
          <w:szCs w:val="18"/>
        </w:rPr>
        <w:t>ok</w:t>
      </w:r>
      <w:r w:rsidRPr="006C27CB">
        <w:rPr>
          <w:rFonts w:cs="Tahoma"/>
          <w:color w:val="000000" w:themeColor="text1"/>
          <w:sz w:val="18"/>
          <w:szCs w:val="18"/>
        </w:rPr>
        <w:t>: 770</w:t>
      </w:r>
      <w:r w:rsidR="00306805" w:rsidRPr="006C27CB">
        <w:rPr>
          <w:rFonts w:cs="Tahoma"/>
          <w:color w:val="000000" w:themeColor="text1"/>
          <w:sz w:val="18"/>
          <w:szCs w:val="18"/>
        </w:rPr>
        <w:t xml:space="preserve"> tys. zł)</w:t>
      </w:r>
      <w:r w:rsidR="00794CA9" w:rsidRPr="006C27CB">
        <w:rPr>
          <w:rFonts w:cs="Tahoma"/>
          <w:color w:val="000000" w:themeColor="text1"/>
          <w:sz w:val="18"/>
          <w:szCs w:val="18"/>
        </w:rPr>
        <w:t>.</w:t>
      </w:r>
      <w:r w:rsidR="00306805" w:rsidRPr="0068723D">
        <w:rPr>
          <w:rFonts w:cs="Tahoma"/>
          <w:color w:val="000000" w:themeColor="text1"/>
          <w:sz w:val="18"/>
          <w:szCs w:val="18"/>
        </w:rPr>
        <w:t xml:space="preserve"> </w:t>
      </w:r>
    </w:p>
    <w:p w14:paraId="5CF1EA01" w14:textId="77777777" w:rsidR="00660583" w:rsidRPr="0068723D" w:rsidRDefault="00306805" w:rsidP="007739D0">
      <w:pPr>
        <w:suppressAutoHyphens/>
        <w:spacing w:before="120"/>
        <w:jc w:val="both"/>
        <w:rPr>
          <w:rFonts w:cs="Tahoma"/>
          <w:color w:val="000000" w:themeColor="text1"/>
          <w:sz w:val="18"/>
          <w:szCs w:val="18"/>
        </w:rPr>
      </w:pPr>
      <w:r w:rsidRPr="0068723D">
        <w:rPr>
          <w:rFonts w:cs="Tahoma"/>
          <w:color w:val="000000" w:themeColor="text1"/>
          <w:sz w:val="18"/>
          <w:szCs w:val="18"/>
        </w:rPr>
        <w:t>Instrumenty te zostały sklasyfikowane do poziomu 1, ponieważ ich wycena polega na bezpośrednim wykorzystaniu rynkowych bieżących cen tych instrumentów pochodzących z aktywnych i płynnych rynków finansowych.</w:t>
      </w:r>
    </w:p>
    <w:p w14:paraId="47AB1FB9" w14:textId="77777777" w:rsidR="00660583" w:rsidRPr="0068723D" w:rsidRDefault="00660583" w:rsidP="00660583">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2</w:t>
      </w:r>
    </w:p>
    <w:p w14:paraId="59E3E4B9" w14:textId="1CF09F02" w:rsidR="001F0C21" w:rsidRPr="0068723D" w:rsidRDefault="00C26A6A" w:rsidP="001F0C21">
      <w:pPr>
        <w:suppressAutoHyphens/>
        <w:spacing w:before="120"/>
        <w:jc w:val="both"/>
        <w:rPr>
          <w:rFonts w:cs="Tahoma"/>
          <w:color w:val="000000" w:themeColor="text1"/>
          <w:sz w:val="18"/>
          <w:szCs w:val="18"/>
        </w:rPr>
      </w:pPr>
      <w:r w:rsidRPr="0068723D">
        <w:rPr>
          <w:rFonts w:cs="Tahoma"/>
          <w:color w:val="000000" w:themeColor="text1"/>
          <w:sz w:val="18"/>
          <w:szCs w:val="18"/>
        </w:rPr>
        <w:t xml:space="preserve">Poziom 2 hierarchii obejmuje głównie wartość godziwą bonów pieniężnych emitowanych przez NBP </w:t>
      </w:r>
      <w:r w:rsidRPr="004121BE">
        <w:rPr>
          <w:rFonts w:cs="Tahoma"/>
          <w:color w:val="000000" w:themeColor="text1"/>
          <w:sz w:val="18"/>
          <w:szCs w:val="18"/>
        </w:rPr>
        <w:t xml:space="preserve">w kwocie </w:t>
      </w:r>
      <w:r w:rsidR="004121BE" w:rsidRPr="004121BE">
        <w:rPr>
          <w:rFonts w:cs="Tahoma"/>
          <w:color w:val="000000" w:themeColor="text1"/>
          <w:sz w:val="18"/>
          <w:szCs w:val="18"/>
        </w:rPr>
        <w:t>3 219</w:t>
      </w:r>
      <w:r w:rsidR="001F0C21" w:rsidRPr="004121BE">
        <w:rPr>
          <w:rFonts w:cs="Tahoma"/>
          <w:color w:val="000000" w:themeColor="text1"/>
          <w:sz w:val="18"/>
          <w:szCs w:val="18"/>
        </w:rPr>
        <w:t> </w:t>
      </w:r>
      <w:r w:rsidR="004121BE" w:rsidRPr="004121BE">
        <w:rPr>
          <w:rFonts w:cs="Tahoma"/>
          <w:color w:val="000000" w:themeColor="text1"/>
          <w:sz w:val="18"/>
          <w:szCs w:val="18"/>
        </w:rPr>
        <w:t>627</w:t>
      </w:r>
      <w:r w:rsidRPr="004121BE">
        <w:rPr>
          <w:rFonts w:cs="Tahoma"/>
          <w:color w:val="000000" w:themeColor="text1"/>
          <w:sz w:val="18"/>
          <w:szCs w:val="18"/>
        </w:rPr>
        <w:t xml:space="preserve"> ty</w:t>
      </w:r>
      <w:r w:rsidR="00B72D6E" w:rsidRPr="004121BE">
        <w:rPr>
          <w:rFonts w:cs="Tahoma"/>
          <w:color w:val="000000" w:themeColor="text1"/>
          <w:sz w:val="18"/>
          <w:szCs w:val="18"/>
        </w:rPr>
        <w:t>s. zł (31 grudnia 2018</w:t>
      </w:r>
      <w:r w:rsidRPr="004121BE">
        <w:rPr>
          <w:rFonts w:cs="Tahoma"/>
          <w:color w:val="000000" w:themeColor="text1"/>
          <w:sz w:val="18"/>
          <w:szCs w:val="18"/>
        </w:rPr>
        <w:t xml:space="preserve"> r</w:t>
      </w:r>
      <w:r w:rsidR="00E05E18">
        <w:rPr>
          <w:rFonts w:cs="Tahoma"/>
          <w:color w:val="000000" w:themeColor="text1"/>
          <w:sz w:val="18"/>
          <w:szCs w:val="18"/>
        </w:rPr>
        <w:t>ok</w:t>
      </w:r>
      <w:r w:rsidRPr="004121BE">
        <w:rPr>
          <w:rFonts w:cs="Tahoma"/>
          <w:color w:val="000000" w:themeColor="text1"/>
          <w:sz w:val="18"/>
          <w:szCs w:val="18"/>
        </w:rPr>
        <w:t xml:space="preserve">: </w:t>
      </w:r>
      <w:r w:rsidR="00B72D6E" w:rsidRPr="004121BE">
        <w:rPr>
          <w:rFonts w:cs="Tahoma"/>
          <w:color w:val="000000" w:themeColor="text1"/>
          <w:sz w:val="18"/>
          <w:szCs w:val="18"/>
        </w:rPr>
        <w:t xml:space="preserve">589 901 </w:t>
      </w:r>
      <w:r w:rsidRPr="004121BE">
        <w:rPr>
          <w:rFonts w:cs="Tahoma"/>
          <w:color w:val="000000" w:themeColor="text1"/>
          <w:sz w:val="18"/>
          <w:szCs w:val="18"/>
        </w:rPr>
        <w:t xml:space="preserve">tys. zł), </w:t>
      </w:r>
      <w:r w:rsidR="001F0C21" w:rsidRPr="004121BE">
        <w:rPr>
          <w:rFonts w:cs="Tahoma"/>
          <w:color w:val="000000" w:themeColor="text1"/>
          <w:sz w:val="18"/>
          <w:szCs w:val="18"/>
        </w:rPr>
        <w:t>których wycena oparta jest na modelu</w:t>
      </w:r>
      <w:r w:rsidR="001F0C21" w:rsidRPr="0068723D">
        <w:rPr>
          <w:rFonts w:cs="Tahoma"/>
          <w:color w:val="000000" w:themeColor="text1"/>
          <w:sz w:val="18"/>
          <w:szCs w:val="18"/>
        </w:rPr>
        <w:t xml:space="preserve"> NPV (dyskontowania przyszłych przepływów finansowych), który zasilany jest krzywymi stóp procentowych wyznaczonymi w drodze transformacji kwotowań pochodzących bezpośrednio z aktywnych i płynnych rynków finansowych.</w:t>
      </w:r>
    </w:p>
    <w:p w14:paraId="16CA682C" w14:textId="18FF51E1" w:rsidR="001F0C21" w:rsidRPr="0068723D" w:rsidRDefault="001F0C21" w:rsidP="001F0C21">
      <w:pPr>
        <w:suppressAutoHyphens/>
        <w:spacing w:before="120"/>
        <w:jc w:val="both"/>
        <w:rPr>
          <w:rFonts w:cs="Tahoma"/>
          <w:color w:val="000000" w:themeColor="text1"/>
          <w:sz w:val="18"/>
          <w:szCs w:val="18"/>
        </w:rPr>
      </w:pPr>
      <w:r w:rsidRPr="0068723D">
        <w:rPr>
          <w:rFonts w:cs="Tahoma"/>
          <w:color w:val="000000" w:themeColor="text1"/>
          <w:sz w:val="18"/>
          <w:szCs w:val="18"/>
        </w:rPr>
        <w:t>Ponadto do poziomu 2 Grupa zalicza wycenę pochodnych instrumentów finansowych, do wyceny których stosowane są modele, zgodne ze standardami i praktykami rynkowymi w tym zakresie, które są zasilane parametrami pochodzącymi bezpośrednio z rynków (np. kursami wymiany walut, zmiennościami implikowanymi opcji walutowych, wartościami indeksów i akcji giełdowych) lub parametrami będącymi transformacjami kwotowań pochodzących bezpośrednio z aktywnych i płynnych rynków finansowych (np. krzywe stóp procentowych).</w:t>
      </w:r>
    </w:p>
    <w:p w14:paraId="2A8C5682" w14:textId="3F86466D" w:rsidR="00660583" w:rsidRPr="0068723D" w:rsidRDefault="00B72D6E" w:rsidP="001F0C21">
      <w:pPr>
        <w:suppressAutoHyphens/>
        <w:spacing w:before="120"/>
        <w:jc w:val="both"/>
        <w:rPr>
          <w:rFonts w:cs="Tahoma"/>
          <w:color w:val="000000" w:themeColor="text1"/>
          <w:sz w:val="18"/>
          <w:szCs w:val="18"/>
        </w:rPr>
      </w:pPr>
      <w:r w:rsidRPr="0068723D">
        <w:rPr>
          <w:rFonts w:cs="Tahoma"/>
          <w:color w:val="000000" w:themeColor="text1"/>
          <w:sz w:val="18"/>
          <w:szCs w:val="18"/>
        </w:rPr>
        <w:t>Na dzień 31 grudnia 2019 roku i 31 grudnia 2018</w:t>
      </w:r>
      <w:r w:rsidR="001F0C21" w:rsidRPr="0068723D">
        <w:rPr>
          <w:rFonts w:cs="Tahoma"/>
          <w:color w:val="000000" w:themeColor="text1"/>
          <w:sz w:val="18"/>
          <w:szCs w:val="18"/>
        </w:rPr>
        <w:t xml:space="preserve"> roku poziom 2 obejmuje również wartość opcji na indeks WIG-20. </w:t>
      </w:r>
      <w:r w:rsidR="001F0C21" w:rsidRPr="0068723D">
        <w:rPr>
          <w:color w:val="000000" w:themeColor="text1"/>
          <w:sz w:val="18"/>
          <w:szCs w:val="18"/>
        </w:rPr>
        <w:t>Do wyceny opcji giełdowych na indeks WIG20 stosowany jest model wewnętrzny Banku (bazujący na modelu zmienności implikowanej) zasilany parametrami rynkowymi</w:t>
      </w:r>
      <w:r w:rsidR="00660583" w:rsidRPr="0068723D">
        <w:rPr>
          <w:color w:val="000000" w:themeColor="text1"/>
          <w:sz w:val="18"/>
          <w:szCs w:val="18"/>
        </w:rPr>
        <w:t>.</w:t>
      </w:r>
    </w:p>
    <w:p w14:paraId="64DF7E89" w14:textId="77777777" w:rsidR="00660583" w:rsidRPr="0068723D" w:rsidRDefault="00660583" w:rsidP="00660583">
      <w:pPr>
        <w:suppressAutoHyphens/>
        <w:spacing w:before="120"/>
        <w:jc w:val="both"/>
        <w:rPr>
          <w:rFonts w:cs="Tahoma"/>
          <w:b/>
          <w:color w:val="000000" w:themeColor="text1"/>
          <w:sz w:val="18"/>
          <w:szCs w:val="18"/>
          <w:u w:val="single"/>
        </w:rPr>
      </w:pPr>
      <w:r w:rsidRPr="0068723D">
        <w:rPr>
          <w:rFonts w:cs="Tahoma"/>
          <w:b/>
          <w:color w:val="000000" w:themeColor="text1"/>
          <w:sz w:val="18"/>
          <w:szCs w:val="18"/>
          <w:u w:val="single"/>
        </w:rPr>
        <w:t>Poziom 3</w:t>
      </w:r>
    </w:p>
    <w:p w14:paraId="3470E447" w14:textId="4BE48528" w:rsidR="005F5CF6" w:rsidRPr="0068723D" w:rsidRDefault="00714AB1" w:rsidP="005F5CF6">
      <w:pPr>
        <w:suppressAutoHyphens/>
        <w:spacing w:before="120"/>
        <w:jc w:val="both"/>
        <w:rPr>
          <w:rFonts w:cs="Tahoma"/>
          <w:color w:val="000000" w:themeColor="text1"/>
          <w:sz w:val="18"/>
          <w:szCs w:val="18"/>
        </w:rPr>
      </w:pPr>
      <w:r w:rsidRPr="0068723D">
        <w:rPr>
          <w:rFonts w:cs="Tahoma"/>
          <w:color w:val="000000" w:themeColor="text1"/>
          <w:sz w:val="18"/>
          <w:szCs w:val="18"/>
        </w:rPr>
        <w:t xml:space="preserve">Na poziomie 3 hierarchii wykazana jest wartość godziwa dłużnych komercyjnych papierów wartościowych emitowanych przez krajowe banki i przedsiębiorstwa (obligacje i certyfikaty depozytowe) w kwocie </w:t>
      </w:r>
      <w:r w:rsidR="008D7367">
        <w:rPr>
          <w:rFonts w:cs="Tahoma"/>
          <w:color w:val="000000" w:themeColor="text1"/>
          <w:sz w:val="18"/>
          <w:szCs w:val="18"/>
        </w:rPr>
        <w:t>1 532</w:t>
      </w:r>
      <w:r w:rsidRPr="00A22832">
        <w:rPr>
          <w:rFonts w:cs="Tahoma"/>
          <w:color w:val="000000" w:themeColor="text1"/>
          <w:sz w:val="18"/>
          <w:szCs w:val="18"/>
        </w:rPr>
        <w:t> </w:t>
      </w:r>
      <w:r w:rsidR="008D7367">
        <w:rPr>
          <w:rFonts w:cs="Tahoma"/>
          <w:color w:val="000000" w:themeColor="text1"/>
          <w:sz w:val="18"/>
          <w:szCs w:val="18"/>
        </w:rPr>
        <w:t>889</w:t>
      </w:r>
      <w:r w:rsidR="00CC0C59" w:rsidRPr="00A22832">
        <w:rPr>
          <w:rFonts w:cs="Tahoma"/>
          <w:color w:val="000000" w:themeColor="text1"/>
          <w:sz w:val="18"/>
          <w:szCs w:val="18"/>
        </w:rPr>
        <w:t xml:space="preserve"> tys. zł (31 grudnia 2018</w:t>
      </w:r>
      <w:r w:rsidR="00936FCD">
        <w:rPr>
          <w:rFonts w:cs="Tahoma"/>
          <w:color w:val="000000" w:themeColor="text1"/>
          <w:sz w:val="18"/>
          <w:szCs w:val="18"/>
        </w:rPr>
        <w:t xml:space="preserve"> rok</w:t>
      </w:r>
      <w:r w:rsidR="00E1308F" w:rsidRPr="00A22832">
        <w:rPr>
          <w:rFonts w:cs="Tahoma"/>
          <w:color w:val="000000" w:themeColor="text1"/>
          <w:sz w:val="18"/>
          <w:szCs w:val="18"/>
        </w:rPr>
        <w:t xml:space="preserve"> </w:t>
      </w:r>
      <w:r w:rsidR="00936FCD">
        <w:rPr>
          <w:rFonts w:cs="Tahoma"/>
          <w:color w:val="000000" w:themeColor="text1"/>
          <w:sz w:val="18"/>
          <w:szCs w:val="18"/>
        </w:rPr>
        <w:t xml:space="preserve">- </w:t>
      </w:r>
      <w:r w:rsidR="00CC0C59" w:rsidRPr="00A22832">
        <w:rPr>
          <w:rFonts w:cs="Tahoma"/>
          <w:color w:val="000000" w:themeColor="text1"/>
          <w:sz w:val="18"/>
          <w:szCs w:val="18"/>
        </w:rPr>
        <w:t xml:space="preserve">1 595 063 </w:t>
      </w:r>
      <w:r w:rsidRPr="00A22832">
        <w:rPr>
          <w:rFonts w:cs="Tahoma"/>
          <w:color w:val="000000" w:themeColor="text1"/>
          <w:sz w:val="18"/>
          <w:szCs w:val="18"/>
        </w:rPr>
        <w:t>tys. zł</w:t>
      </w:r>
      <w:r w:rsidR="00CC0C59" w:rsidRPr="00A22832">
        <w:rPr>
          <w:rFonts w:cs="Tahoma"/>
          <w:color w:val="000000" w:themeColor="text1"/>
          <w:sz w:val="18"/>
          <w:szCs w:val="18"/>
        </w:rPr>
        <w:t>),</w:t>
      </w:r>
      <w:r w:rsidR="00CC0C59" w:rsidRPr="00A22832">
        <w:rPr>
          <w:color w:val="000000" w:themeColor="text1"/>
        </w:rPr>
        <w:t xml:space="preserve"> </w:t>
      </w:r>
      <w:r w:rsidR="00CC0C59" w:rsidRPr="00A22832">
        <w:rPr>
          <w:rFonts w:cs="Tahoma"/>
          <w:color w:val="000000" w:themeColor="text1"/>
          <w:sz w:val="18"/>
          <w:szCs w:val="18"/>
        </w:rPr>
        <w:t xml:space="preserve">obejmującej </w:t>
      </w:r>
      <w:r w:rsidR="009D0568">
        <w:rPr>
          <w:rFonts w:cs="Tahoma"/>
          <w:color w:val="000000" w:themeColor="text1"/>
          <w:sz w:val="18"/>
          <w:szCs w:val="18"/>
        </w:rPr>
        <w:t xml:space="preserve">między innymi </w:t>
      </w:r>
      <w:r w:rsidR="00CC0C59" w:rsidRPr="00A22832">
        <w:rPr>
          <w:rFonts w:cs="Tahoma"/>
          <w:color w:val="000000" w:themeColor="text1"/>
          <w:sz w:val="18"/>
          <w:szCs w:val="18"/>
        </w:rPr>
        <w:t>wartość godziwą instrumentu</w:t>
      </w:r>
      <w:r w:rsidR="00CC0C59" w:rsidRPr="0068723D">
        <w:rPr>
          <w:rFonts w:cs="Tahoma"/>
          <w:color w:val="000000" w:themeColor="text1"/>
          <w:sz w:val="18"/>
          <w:szCs w:val="18"/>
        </w:rPr>
        <w:t xml:space="preserve"> dłużnego wycenionego w wartości godziwej przez wynik finansowy, powstałego z</w:t>
      </w:r>
      <w:r w:rsidR="00165571">
        <w:rPr>
          <w:rFonts w:cs="Tahoma"/>
          <w:color w:val="000000" w:themeColor="text1"/>
          <w:sz w:val="18"/>
          <w:szCs w:val="18"/>
        </w:rPr>
        <w:t> </w:t>
      </w:r>
      <w:r w:rsidR="00CC0C59" w:rsidRPr="0068723D">
        <w:rPr>
          <w:rFonts w:cs="Tahoma"/>
          <w:color w:val="000000" w:themeColor="text1"/>
          <w:sz w:val="18"/>
          <w:szCs w:val="18"/>
        </w:rPr>
        <w:t>przeklasyfikowania akcji uprzywilejowanych Visa Inc.</w:t>
      </w:r>
    </w:p>
    <w:p w14:paraId="20443C2F" w14:textId="02A4B820" w:rsidR="00714AB1" w:rsidRPr="0068723D" w:rsidRDefault="00714AB1" w:rsidP="00714AB1">
      <w:pPr>
        <w:suppressAutoHyphens/>
        <w:spacing w:before="120"/>
        <w:jc w:val="both"/>
        <w:rPr>
          <w:rFonts w:cs="Tahoma"/>
          <w:color w:val="000000" w:themeColor="text1"/>
          <w:sz w:val="18"/>
          <w:szCs w:val="18"/>
        </w:rPr>
      </w:pPr>
      <w:r w:rsidRPr="0068723D">
        <w:rPr>
          <w:rFonts w:cs="Tahoma"/>
          <w:color w:val="000000" w:themeColor="text1"/>
          <w:sz w:val="18"/>
          <w:szCs w:val="18"/>
        </w:rPr>
        <w:t>Poziom 3 obejmuje również wartość godziwą obligacji emitowanych przez jednostk</w:t>
      </w:r>
      <w:r w:rsidR="00695646" w:rsidRPr="0068723D">
        <w:rPr>
          <w:rFonts w:cs="Tahoma"/>
          <w:color w:val="000000" w:themeColor="text1"/>
          <w:sz w:val="18"/>
          <w:szCs w:val="18"/>
        </w:rPr>
        <w:t xml:space="preserve">i budżetu terenowego </w:t>
      </w:r>
      <w:r w:rsidR="00695646" w:rsidRPr="00A22832">
        <w:rPr>
          <w:rFonts w:cs="Tahoma"/>
          <w:color w:val="000000" w:themeColor="text1"/>
          <w:sz w:val="18"/>
          <w:szCs w:val="18"/>
        </w:rPr>
        <w:t>w kwocie 3</w:t>
      </w:r>
      <w:r w:rsidR="00BF25BC" w:rsidRPr="00A22832">
        <w:rPr>
          <w:rFonts w:cs="Tahoma"/>
          <w:color w:val="000000" w:themeColor="text1"/>
          <w:sz w:val="18"/>
          <w:szCs w:val="18"/>
        </w:rPr>
        <w:t>6</w:t>
      </w:r>
      <w:r w:rsidRPr="00A22832">
        <w:rPr>
          <w:rFonts w:cs="Tahoma"/>
          <w:color w:val="000000" w:themeColor="text1"/>
          <w:sz w:val="18"/>
          <w:szCs w:val="18"/>
        </w:rPr>
        <w:t> </w:t>
      </w:r>
      <w:r w:rsidR="00A22832" w:rsidRPr="00A22832">
        <w:rPr>
          <w:rFonts w:cs="Tahoma"/>
          <w:color w:val="000000" w:themeColor="text1"/>
          <w:sz w:val="18"/>
          <w:szCs w:val="18"/>
        </w:rPr>
        <w:t>282</w:t>
      </w:r>
      <w:r w:rsidR="00B56D27" w:rsidRPr="00A22832">
        <w:rPr>
          <w:rFonts w:cs="Tahoma"/>
          <w:color w:val="000000" w:themeColor="text1"/>
          <w:sz w:val="18"/>
          <w:szCs w:val="18"/>
        </w:rPr>
        <w:t xml:space="preserve"> tys. zł (31 grudnia 2018</w:t>
      </w:r>
      <w:r w:rsidR="00936FCD">
        <w:rPr>
          <w:rFonts w:cs="Tahoma"/>
          <w:color w:val="000000" w:themeColor="text1"/>
          <w:sz w:val="18"/>
          <w:szCs w:val="18"/>
        </w:rPr>
        <w:t xml:space="preserve"> rok</w:t>
      </w:r>
      <w:r w:rsidR="00695646" w:rsidRPr="00A22832">
        <w:rPr>
          <w:rFonts w:cs="Tahoma"/>
          <w:color w:val="000000" w:themeColor="text1"/>
          <w:sz w:val="18"/>
          <w:szCs w:val="18"/>
        </w:rPr>
        <w:t xml:space="preserve"> – </w:t>
      </w:r>
      <w:r w:rsidR="00B56D27" w:rsidRPr="00A22832">
        <w:rPr>
          <w:rFonts w:cs="Tahoma"/>
          <w:color w:val="000000" w:themeColor="text1"/>
          <w:sz w:val="18"/>
          <w:szCs w:val="18"/>
        </w:rPr>
        <w:t xml:space="preserve">36 388 </w:t>
      </w:r>
      <w:r w:rsidR="00695646" w:rsidRPr="00A22832">
        <w:rPr>
          <w:rFonts w:cs="Tahoma"/>
          <w:color w:val="000000" w:themeColor="text1"/>
          <w:sz w:val="18"/>
          <w:szCs w:val="18"/>
        </w:rPr>
        <w:t>ty</w:t>
      </w:r>
      <w:r w:rsidR="00DF673A" w:rsidRPr="00A22832">
        <w:rPr>
          <w:rFonts w:cs="Tahoma"/>
          <w:color w:val="000000" w:themeColor="text1"/>
          <w:sz w:val="18"/>
          <w:szCs w:val="18"/>
        </w:rPr>
        <w:t>s</w:t>
      </w:r>
      <w:r w:rsidR="00695646" w:rsidRPr="00A22832">
        <w:rPr>
          <w:rFonts w:cs="Tahoma"/>
          <w:color w:val="000000" w:themeColor="text1"/>
          <w:sz w:val="18"/>
          <w:szCs w:val="18"/>
        </w:rPr>
        <w:t>. zł</w:t>
      </w:r>
      <w:r w:rsidRPr="00A22832">
        <w:rPr>
          <w:rFonts w:cs="Tahoma"/>
          <w:color w:val="000000" w:themeColor="text1"/>
          <w:sz w:val="18"/>
          <w:szCs w:val="18"/>
        </w:rPr>
        <w:t>).</w:t>
      </w:r>
    </w:p>
    <w:p w14:paraId="59839357" w14:textId="1D3D3C64" w:rsidR="00923026" w:rsidRPr="0068723D" w:rsidRDefault="00573B6C" w:rsidP="0006633E">
      <w:pPr>
        <w:suppressAutoHyphens/>
        <w:spacing w:before="120" w:after="120"/>
        <w:jc w:val="both"/>
        <w:rPr>
          <w:rFonts w:cs="Tahoma"/>
          <w:color w:val="000000" w:themeColor="text1"/>
          <w:sz w:val="18"/>
          <w:szCs w:val="18"/>
        </w:rPr>
      </w:pPr>
      <w:r w:rsidRPr="00573B6C">
        <w:rPr>
          <w:rFonts w:cs="Tahoma"/>
          <w:color w:val="000000"/>
          <w:sz w:val="18"/>
          <w:szCs w:val="18"/>
        </w:rPr>
        <w:t xml:space="preserve">Wycena z modelu dla tych pozycji zakłada wycenę w oparciu o rynkową krzywą stóp procentowych skorygowaną o poziom spreadu kredytowego. Parametr spreadu kredytowego odzwierciedla ryzyko </w:t>
      </w:r>
      <w:r w:rsidRPr="009F2F81">
        <w:rPr>
          <w:rFonts w:cs="Tahoma"/>
          <w:color w:val="000000"/>
          <w:sz w:val="18"/>
          <w:szCs w:val="18"/>
        </w:rPr>
        <w:t>kredytowe emitenta papieru wartościowego i jest wyznaczany zgodnie z modelem wewnętrznym Banku. Model ten wykorzystuje parametry ryzyka kredytowego (np. PD, LGD) oraz informacje pozyskane z rynku (w tym spready implikowane z transakcji). Parametry PD i LGD nie są obserwowane na aktywnych rynkach i w związku z tym zostały wyznaczone na podstawie analiz statystycznych. Oba modele – wyceny instrumentów dłużnych oraz model spreadu kredytowego zostały zbudowane wewnętrznie w jednostkach</w:t>
      </w:r>
      <w:r w:rsidRPr="00573B6C">
        <w:rPr>
          <w:rFonts w:cs="Tahoma"/>
          <w:color w:val="000000"/>
          <w:sz w:val="18"/>
          <w:szCs w:val="18"/>
        </w:rPr>
        <w:t xml:space="preserve"> ryzyka, zostały zaakceptowane przez Komitet Ryzyka Modeli i podlegają okresowemu monitoringowi oraz walidacji przeprowadzanej przez jednostkę niezależną od jednostek odpowiedzialnych za budowę i</w:t>
      </w:r>
      <w:r>
        <w:rPr>
          <w:rFonts w:cs="Tahoma"/>
          <w:color w:val="000000"/>
          <w:sz w:val="18"/>
          <w:szCs w:val="18"/>
        </w:rPr>
        <w:t> </w:t>
      </w:r>
      <w:r w:rsidRPr="00573B6C">
        <w:rPr>
          <w:rFonts w:cs="Tahoma"/>
          <w:color w:val="000000"/>
          <w:sz w:val="18"/>
          <w:szCs w:val="18"/>
        </w:rPr>
        <w:t>utrzymanie modelu</w:t>
      </w:r>
      <w:r w:rsidR="00B56D27" w:rsidRPr="0068723D">
        <w:rPr>
          <w:rFonts w:cs="Tahoma"/>
          <w:color w:val="000000" w:themeColor="text1"/>
          <w:sz w:val="18"/>
          <w:szCs w:val="18"/>
        </w:rPr>
        <w:t>.</w:t>
      </w:r>
    </w:p>
    <w:p w14:paraId="105EAFA8" w14:textId="3296AE8F" w:rsidR="002E715D" w:rsidRDefault="002E715D">
      <w:pPr>
        <w:rPr>
          <w:rFonts w:cs="Tahoma"/>
          <w:color w:val="000000" w:themeColor="text1"/>
          <w:sz w:val="18"/>
          <w:szCs w:val="18"/>
        </w:rPr>
      </w:pPr>
      <w:r>
        <w:rPr>
          <w:rFonts w:cs="Tahoma"/>
          <w:color w:val="000000" w:themeColor="text1"/>
          <w:sz w:val="18"/>
          <w:szCs w:val="18"/>
        </w:rPr>
        <w:br w:type="page"/>
      </w:r>
    </w:p>
    <w:p w14:paraId="59B36848" w14:textId="7E9879FE" w:rsidR="009D0568" w:rsidRDefault="009D0568" w:rsidP="00F12E69">
      <w:pPr>
        <w:spacing w:after="120"/>
        <w:jc w:val="both"/>
        <w:rPr>
          <w:rFonts w:cs="Tahoma"/>
          <w:color w:val="000000" w:themeColor="text1"/>
          <w:sz w:val="18"/>
          <w:szCs w:val="18"/>
        </w:rPr>
      </w:pPr>
      <w:r>
        <w:rPr>
          <w:rFonts w:cs="Tahoma"/>
          <w:color w:val="000000" w:themeColor="text1"/>
          <w:sz w:val="18"/>
          <w:szCs w:val="18"/>
        </w:rPr>
        <w:lastRenderedPageBreak/>
        <w:t>W poniższej tabeli przedstawiono wpływ zmiany s</w:t>
      </w:r>
      <w:r w:rsidR="008768DC">
        <w:rPr>
          <w:rFonts w:cs="Tahoma"/>
          <w:color w:val="000000" w:themeColor="text1"/>
          <w:sz w:val="18"/>
          <w:szCs w:val="18"/>
        </w:rPr>
        <w:t>p</w:t>
      </w:r>
      <w:r>
        <w:rPr>
          <w:rFonts w:cs="Tahoma"/>
          <w:color w:val="000000" w:themeColor="text1"/>
          <w:sz w:val="18"/>
          <w:szCs w:val="18"/>
        </w:rPr>
        <w:t>readów kredytowych na wycenę papierów dłużnych zaklasyfikowanych do poziomu 3. Wielkość ta odzwierciedla zmianę ryzyka kredytowego w stosunku do</w:t>
      </w:r>
      <w:r w:rsidR="00BD144C">
        <w:rPr>
          <w:rFonts w:cs="Tahoma"/>
          <w:color w:val="000000" w:themeColor="text1"/>
          <w:sz w:val="18"/>
          <w:szCs w:val="18"/>
        </w:rPr>
        <w:t> </w:t>
      </w:r>
      <w:r>
        <w:rPr>
          <w:rFonts w:cs="Tahoma"/>
          <w:color w:val="000000" w:themeColor="text1"/>
          <w:sz w:val="18"/>
          <w:szCs w:val="18"/>
        </w:rPr>
        <w:t>dnia zakupu papierów przez Grupę.</w:t>
      </w:r>
    </w:p>
    <w:tbl>
      <w:tblPr>
        <w:tblW w:w="9498" w:type="dxa"/>
        <w:tblLayout w:type="fixed"/>
        <w:tblCellMar>
          <w:left w:w="28" w:type="dxa"/>
          <w:right w:w="28" w:type="dxa"/>
        </w:tblCellMar>
        <w:tblLook w:val="04A0" w:firstRow="1" w:lastRow="0" w:firstColumn="1" w:lastColumn="0" w:noHBand="0" w:noVBand="1"/>
      </w:tblPr>
      <w:tblGrid>
        <w:gridCol w:w="4962"/>
        <w:gridCol w:w="2268"/>
        <w:gridCol w:w="2268"/>
      </w:tblGrid>
      <w:tr w:rsidR="00477AA8" w:rsidRPr="00477AA8" w14:paraId="155CFC2C" w14:textId="77777777" w:rsidTr="009A3CDC">
        <w:trPr>
          <w:trHeight w:val="227"/>
        </w:trPr>
        <w:tc>
          <w:tcPr>
            <w:tcW w:w="4962" w:type="dxa"/>
            <w:vMerge w:val="restart"/>
            <w:tcBorders>
              <w:top w:val="nil"/>
              <w:left w:val="nil"/>
              <w:bottom w:val="single" w:sz="8" w:space="0" w:color="0077BD"/>
              <w:right w:val="nil"/>
            </w:tcBorders>
            <w:shd w:val="clear" w:color="000000" w:fill="0077BD"/>
            <w:vAlign w:val="center"/>
            <w:hideMark/>
          </w:tcPr>
          <w:p w14:paraId="3996AE84" w14:textId="77777777" w:rsidR="00477AA8" w:rsidRPr="00477AA8" w:rsidRDefault="00477AA8" w:rsidP="00477AA8">
            <w:pPr>
              <w:rPr>
                <w:rFonts w:cs="Calibri"/>
                <w:b/>
                <w:bCs/>
                <w:color w:val="FFFFFF"/>
                <w:sz w:val="13"/>
                <w:szCs w:val="13"/>
              </w:rPr>
            </w:pPr>
            <w:r w:rsidRPr="00477AA8">
              <w:rPr>
                <w:rFonts w:cs="Calibri"/>
                <w:b/>
                <w:bCs/>
                <w:color w:val="FFFFFF"/>
                <w:sz w:val="13"/>
                <w:szCs w:val="13"/>
              </w:rPr>
              <w:t>Emitent</w:t>
            </w:r>
          </w:p>
        </w:tc>
        <w:tc>
          <w:tcPr>
            <w:tcW w:w="4536" w:type="dxa"/>
            <w:gridSpan w:val="2"/>
            <w:tcBorders>
              <w:top w:val="nil"/>
              <w:left w:val="single" w:sz="8" w:space="0" w:color="FFFFFF"/>
              <w:bottom w:val="single" w:sz="6" w:space="0" w:color="FFFFFF"/>
              <w:right w:val="single" w:sz="8" w:space="0" w:color="FFFFFF"/>
            </w:tcBorders>
            <w:shd w:val="clear" w:color="000000" w:fill="0077BD"/>
            <w:vAlign w:val="center"/>
            <w:hideMark/>
          </w:tcPr>
          <w:p w14:paraId="64B1D59E" w14:textId="77777777" w:rsidR="00477AA8" w:rsidRPr="00477AA8" w:rsidRDefault="00477AA8" w:rsidP="00477AA8">
            <w:pPr>
              <w:jc w:val="center"/>
              <w:rPr>
                <w:rFonts w:cs="Calibri"/>
                <w:b/>
                <w:bCs/>
                <w:color w:val="FFFFFF"/>
                <w:sz w:val="13"/>
                <w:szCs w:val="13"/>
              </w:rPr>
            </w:pPr>
            <w:r w:rsidRPr="00477AA8">
              <w:rPr>
                <w:rFonts w:cs="Calibri"/>
                <w:b/>
                <w:bCs/>
                <w:color w:val="FFFFFF"/>
                <w:sz w:val="13"/>
                <w:szCs w:val="13"/>
              </w:rPr>
              <w:t>Zmiana wartości godziwej z tytułu ryzyka kredytowego</w:t>
            </w:r>
          </w:p>
        </w:tc>
      </w:tr>
      <w:tr w:rsidR="00477AA8" w:rsidRPr="00477AA8" w14:paraId="33DE3BA7" w14:textId="77777777" w:rsidTr="009A3CDC">
        <w:trPr>
          <w:trHeight w:val="227"/>
        </w:trPr>
        <w:tc>
          <w:tcPr>
            <w:tcW w:w="4962" w:type="dxa"/>
            <w:vMerge/>
            <w:tcBorders>
              <w:top w:val="nil"/>
              <w:left w:val="nil"/>
              <w:right w:val="nil"/>
            </w:tcBorders>
            <w:vAlign w:val="center"/>
            <w:hideMark/>
          </w:tcPr>
          <w:p w14:paraId="2B42DB6F" w14:textId="77777777" w:rsidR="00477AA8" w:rsidRPr="00477AA8" w:rsidRDefault="00477AA8" w:rsidP="00477AA8">
            <w:pPr>
              <w:rPr>
                <w:rFonts w:cs="Calibri"/>
                <w:b/>
                <w:bCs/>
                <w:color w:val="FFFFFF"/>
                <w:sz w:val="13"/>
                <w:szCs w:val="13"/>
              </w:rPr>
            </w:pPr>
          </w:p>
        </w:tc>
        <w:tc>
          <w:tcPr>
            <w:tcW w:w="2268" w:type="dxa"/>
            <w:tcBorders>
              <w:top w:val="single" w:sz="6" w:space="0" w:color="FFFFFF"/>
              <w:left w:val="single" w:sz="8" w:space="0" w:color="FFFFFF"/>
              <w:bottom w:val="nil"/>
              <w:right w:val="single" w:sz="8" w:space="0" w:color="FFFFFF"/>
            </w:tcBorders>
            <w:shd w:val="clear" w:color="000000" w:fill="0077BD"/>
            <w:vAlign w:val="center"/>
            <w:hideMark/>
          </w:tcPr>
          <w:p w14:paraId="3EE8F4AF" w14:textId="77777777" w:rsidR="00477AA8" w:rsidRPr="00477AA8" w:rsidRDefault="00477AA8" w:rsidP="00477AA8">
            <w:pPr>
              <w:jc w:val="right"/>
              <w:rPr>
                <w:rFonts w:cs="Calibri"/>
                <w:b/>
                <w:bCs/>
                <w:color w:val="FFFFFF"/>
                <w:sz w:val="13"/>
                <w:szCs w:val="13"/>
              </w:rPr>
            </w:pPr>
            <w:r w:rsidRPr="00477AA8">
              <w:rPr>
                <w:rFonts w:cs="Calibri"/>
                <w:b/>
                <w:bCs/>
                <w:color w:val="FFFFFF"/>
                <w:sz w:val="13"/>
                <w:szCs w:val="13"/>
              </w:rPr>
              <w:t>31.12.2019</w:t>
            </w:r>
          </w:p>
        </w:tc>
        <w:tc>
          <w:tcPr>
            <w:tcW w:w="2268" w:type="dxa"/>
            <w:tcBorders>
              <w:top w:val="single" w:sz="6" w:space="0" w:color="FFFFFF"/>
              <w:left w:val="nil"/>
              <w:bottom w:val="nil"/>
              <w:right w:val="nil"/>
            </w:tcBorders>
            <w:shd w:val="clear" w:color="000000" w:fill="0077BD"/>
            <w:vAlign w:val="center"/>
            <w:hideMark/>
          </w:tcPr>
          <w:p w14:paraId="09FFC2BB" w14:textId="77777777" w:rsidR="00477AA8" w:rsidRPr="00477AA8" w:rsidRDefault="00477AA8" w:rsidP="00477AA8">
            <w:pPr>
              <w:jc w:val="right"/>
              <w:rPr>
                <w:rFonts w:cs="Calibri"/>
                <w:b/>
                <w:bCs/>
                <w:color w:val="FFFFFF"/>
                <w:sz w:val="13"/>
                <w:szCs w:val="13"/>
              </w:rPr>
            </w:pPr>
            <w:r w:rsidRPr="00477AA8">
              <w:rPr>
                <w:rFonts w:cs="Calibri"/>
                <w:b/>
                <w:bCs/>
                <w:color w:val="FFFFFF"/>
                <w:sz w:val="13"/>
                <w:szCs w:val="13"/>
              </w:rPr>
              <w:t>31.12.2018</w:t>
            </w:r>
          </w:p>
        </w:tc>
      </w:tr>
      <w:tr w:rsidR="00477AA8" w:rsidRPr="0068723D" w14:paraId="322AF0E2" w14:textId="77777777" w:rsidTr="003361EE">
        <w:trPr>
          <w:trHeight w:val="227"/>
        </w:trPr>
        <w:tc>
          <w:tcPr>
            <w:tcW w:w="4962" w:type="dxa"/>
            <w:tcBorders>
              <w:left w:val="nil"/>
              <w:bottom w:val="single" w:sz="4" w:space="0" w:color="0077BD"/>
              <w:right w:val="single" w:sz="8" w:space="0" w:color="0077BD"/>
            </w:tcBorders>
            <w:shd w:val="clear" w:color="auto" w:fill="auto"/>
            <w:vAlign w:val="center"/>
            <w:hideMark/>
          </w:tcPr>
          <w:p w14:paraId="6FA34697" w14:textId="77777777" w:rsidR="00477AA8" w:rsidRPr="003801D5" w:rsidRDefault="00477AA8" w:rsidP="00477AA8">
            <w:pPr>
              <w:rPr>
                <w:rFonts w:cs="Calibri"/>
                <w:color w:val="000000" w:themeColor="text1"/>
                <w:sz w:val="13"/>
                <w:szCs w:val="13"/>
              </w:rPr>
            </w:pPr>
            <w:r w:rsidRPr="003801D5">
              <w:rPr>
                <w:rFonts w:cs="Calibri"/>
                <w:color w:val="000000" w:themeColor="text1"/>
                <w:sz w:val="13"/>
                <w:szCs w:val="13"/>
              </w:rPr>
              <w:t>Instytucje kredytowe</w:t>
            </w:r>
          </w:p>
        </w:tc>
        <w:tc>
          <w:tcPr>
            <w:tcW w:w="2268" w:type="dxa"/>
            <w:tcBorders>
              <w:top w:val="nil"/>
              <w:left w:val="nil"/>
              <w:bottom w:val="single" w:sz="4" w:space="0" w:color="0077BD"/>
              <w:right w:val="single" w:sz="8" w:space="0" w:color="0077BD"/>
            </w:tcBorders>
            <w:shd w:val="clear" w:color="auto" w:fill="auto"/>
            <w:vAlign w:val="center"/>
          </w:tcPr>
          <w:p w14:paraId="65D7EF49" w14:textId="43E96B44" w:rsidR="00477AA8" w:rsidRPr="003801D5" w:rsidRDefault="00721DAA" w:rsidP="00477AA8">
            <w:pPr>
              <w:jc w:val="right"/>
              <w:rPr>
                <w:rFonts w:cs="Calibri"/>
                <w:color w:val="000000" w:themeColor="text1"/>
                <w:sz w:val="13"/>
                <w:szCs w:val="13"/>
              </w:rPr>
            </w:pPr>
            <w:r>
              <w:rPr>
                <w:rFonts w:cs="Calibri"/>
                <w:color w:val="000000" w:themeColor="text1"/>
                <w:sz w:val="13"/>
                <w:szCs w:val="13"/>
              </w:rPr>
              <w:t>141</w:t>
            </w:r>
          </w:p>
        </w:tc>
        <w:tc>
          <w:tcPr>
            <w:tcW w:w="2268" w:type="dxa"/>
            <w:tcBorders>
              <w:top w:val="nil"/>
              <w:left w:val="nil"/>
              <w:bottom w:val="single" w:sz="4" w:space="0" w:color="0077BD"/>
              <w:right w:val="nil"/>
            </w:tcBorders>
            <w:shd w:val="clear" w:color="auto" w:fill="auto"/>
            <w:vAlign w:val="center"/>
            <w:hideMark/>
          </w:tcPr>
          <w:p w14:paraId="2803BB08" w14:textId="77777777" w:rsidR="00477AA8" w:rsidRPr="003801D5" w:rsidRDefault="00477AA8" w:rsidP="00477AA8">
            <w:pPr>
              <w:jc w:val="right"/>
              <w:rPr>
                <w:rFonts w:cs="Calibri"/>
                <w:color w:val="000000" w:themeColor="text1"/>
                <w:sz w:val="13"/>
                <w:szCs w:val="13"/>
              </w:rPr>
            </w:pPr>
            <w:r w:rsidRPr="003801D5">
              <w:rPr>
                <w:rFonts w:cs="Calibri"/>
                <w:color w:val="000000" w:themeColor="text1"/>
                <w:sz w:val="13"/>
                <w:szCs w:val="13"/>
              </w:rPr>
              <w:t>631</w:t>
            </w:r>
          </w:p>
        </w:tc>
      </w:tr>
      <w:tr w:rsidR="00477AA8" w:rsidRPr="0068723D" w14:paraId="5EFBB220" w14:textId="77777777" w:rsidTr="003361EE">
        <w:trPr>
          <w:trHeight w:val="227"/>
        </w:trPr>
        <w:tc>
          <w:tcPr>
            <w:tcW w:w="4962" w:type="dxa"/>
            <w:tcBorders>
              <w:top w:val="nil"/>
              <w:left w:val="nil"/>
              <w:bottom w:val="nil"/>
              <w:right w:val="single" w:sz="8" w:space="0" w:color="0077BD"/>
            </w:tcBorders>
            <w:shd w:val="clear" w:color="auto" w:fill="auto"/>
            <w:vAlign w:val="center"/>
            <w:hideMark/>
          </w:tcPr>
          <w:p w14:paraId="3467D2D0" w14:textId="77777777" w:rsidR="00477AA8" w:rsidRPr="003801D5" w:rsidRDefault="00477AA8" w:rsidP="00477AA8">
            <w:pPr>
              <w:rPr>
                <w:rFonts w:cs="Calibri"/>
                <w:color w:val="000000" w:themeColor="text1"/>
                <w:sz w:val="13"/>
                <w:szCs w:val="13"/>
              </w:rPr>
            </w:pPr>
            <w:r w:rsidRPr="003801D5">
              <w:rPr>
                <w:rFonts w:cs="Calibri"/>
                <w:color w:val="000000" w:themeColor="text1"/>
                <w:sz w:val="13"/>
                <w:szCs w:val="13"/>
              </w:rPr>
              <w:t>Przedsiębiorstwa niefinansowe</w:t>
            </w:r>
          </w:p>
        </w:tc>
        <w:tc>
          <w:tcPr>
            <w:tcW w:w="2268" w:type="dxa"/>
            <w:tcBorders>
              <w:top w:val="nil"/>
              <w:left w:val="nil"/>
              <w:bottom w:val="nil"/>
              <w:right w:val="single" w:sz="8" w:space="0" w:color="0077BD"/>
            </w:tcBorders>
            <w:shd w:val="clear" w:color="auto" w:fill="auto"/>
            <w:vAlign w:val="center"/>
          </w:tcPr>
          <w:p w14:paraId="0E0F3EB2" w14:textId="154E1199" w:rsidR="00477AA8" w:rsidRPr="003801D5" w:rsidRDefault="00721DAA" w:rsidP="00477AA8">
            <w:pPr>
              <w:jc w:val="right"/>
              <w:rPr>
                <w:rFonts w:cs="Calibri"/>
                <w:color w:val="000000" w:themeColor="text1"/>
                <w:sz w:val="13"/>
                <w:szCs w:val="13"/>
              </w:rPr>
            </w:pPr>
            <w:r>
              <w:rPr>
                <w:rFonts w:cs="Calibri"/>
                <w:color w:val="000000" w:themeColor="text1"/>
                <w:sz w:val="13"/>
                <w:szCs w:val="13"/>
              </w:rPr>
              <w:t>(664)</w:t>
            </w:r>
          </w:p>
        </w:tc>
        <w:tc>
          <w:tcPr>
            <w:tcW w:w="2268" w:type="dxa"/>
            <w:tcBorders>
              <w:top w:val="nil"/>
              <w:left w:val="nil"/>
              <w:bottom w:val="nil"/>
              <w:right w:val="nil"/>
            </w:tcBorders>
            <w:shd w:val="clear" w:color="auto" w:fill="auto"/>
            <w:vAlign w:val="center"/>
            <w:hideMark/>
          </w:tcPr>
          <w:p w14:paraId="79E4F0ED" w14:textId="77777777" w:rsidR="00477AA8" w:rsidRPr="003801D5" w:rsidRDefault="00477AA8" w:rsidP="00477AA8">
            <w:pPr>
              <w:jc w:val="right"/>
              <w:rPr>
                <w:rFonts w:cs="Calibri"/>
                <w:color w:val="000000" w:themeColor="text1"/>
                <w:sz w:val="13"/>
                <w:szCs w:val="13"/>
              </w:rPr>
            </w:pPr>
            <w:r w:rsidRPr="003801D5">
              <w:rPr>
                <w:rFonts w:cs="Calibri"/>
                <w:color w:val="000000" w:themeColor="text1"/>
                <w:sz w:val="13"/>
                <w:szCs w:val="13"/>
              </w:rPr>
              <w:t>(2 120)</w:t>
            </w:r>
          </w:p>
        </w:tc>
      </w:tr>
      <w:tr w:rsidR="00477AA8" w:rsidRPr="0068723D" w14:paraId="1FE37702" w14:textId="77777777" w:rsidTr="003361EE">
        <w:trPr>
          <w:trHeight w:val="227"/>
        </w:trPr>
        <w:tc>
          <w:tcPr>
            <w:tcW w:w="4962" w:type="dxa"/>
            <w:tcBorders>
              <w:top w:val="single" w:sz="8" w:space="0" w:color="0077BD"/>
              <w:left w:val="nil"/>
              <w:bottom w:val="single" w:sz="8" w:space="0" w:color="0077BD"/>
              <w:right w:val="single" w:sz="8" w:space="0" w:color="0077BD"/>
            </w:tcBorders>
            <w:shd w:val="clear" w:color="auto" w:fill="auto"/>
            <w:vAlign w:val="center"/>
            <w:hideMark/>
          </w:tcPr>
          <w:p w14:paraId="78ED638B" w14:textId="77777777" w:rsidR="00477AA8" w:rsidRPr="003801D5" w:rsidRDefault="00477AA8" w:rsidP="00477AA8">
            <w:pPr>
              <w:rPr>
                <w:rFonts w:cs="Calibri"/>
                <w:b/>
                <w:bCs/>
                <w:color w:val="000000" w:themeColor="text1"/>
                <w:sz w:val="13"/>
                <w:szCs w:val="13"/>
              </w:rPr>
            </w:pPr>
            <w:r w:rsidRPr="003801D5">
              <w:rPr>
                <w:rFonts w:cs="Calibri"/>
                <w:b/>
                <w:bCs/>
                <w:color w:val="000000" w:themeColor="text1"/>
                <w:sz w:val="13"/>
                <w:szCs w:val="13"/>
              </w:rPr>
              <w:t>Razem</w:t>
            </w:r>
          </w:p>
        </w:tc>
        <w:tc>
          <w:tcPr>
            <w:tcW w:w="2268" w:type="dxa"/>
            <w:tcBorders>
              <w:top w:val="single" w:sz="8" w:space="0" w:color="0077BD"/>
              <w:left w:val="nil"/>
              <w:bottom w:val="single" w:sz="8" w:space="0" w:color="0077BD"/>
              <w:right w:val="single" w:sz="8" w:space="0" w:color="0077BD"/>
            </w:tcBorders>
            <w:shd w:val="clear" w:color="auto" w:fill="auto"/>
            <w:vAlign w:val="center"/>
          </w:tcPr>
          <w:p w14:paraId="4610B73E" w14:textId="7FF2C41B" w:rsidR="00477AA8" w:rsidRPr="003801D5" w:rsidRDefault="00721DAA" w:rsidP="00477AA8">
            <w:pPr>
              <w:jc w:val="right"/>
              <w:rPr>
                <w:rFonts w:cs="Calibri"/>
                <w:b/>
                <w:bCs/>
                <w:color w:val="000000" w:themeColor="text1"/>
                <w:sz w:val="13"/>
                <w:szCs w:val="13"/>
              </w:rPr>
            </w:pPr>
            <w:r>
              <w:rPr>
                <w:rFonts w:cs="Calibri"/>
                <w:b/>
                <w:bCs/>
                <w:color w:val="000000" w:themeColor="text1"/>
                <w:sz w:val="13"/>
                <w:szCs w:val="13"/>
              </w:rPr>
              <w:t>(523)</w:t>
            </w:r>
          </w:p>
        </w:tc>
        <w:tc>
          <w:tcPr>
            <w:tcW w:w="2268" w:type="dxa"/>
            <w:tcBorders>
              <w:top w:val="single" w:sz="8" w:space="0" w:color="0077BD"/>
              <w:left w:val="nil"/>
              <w:bottom w:val="single" w:sz="8" w:space="0" w:color="0077BD"/>
              <w:right w:val="nil"/>
            </w:tcBorders>
            <w:shd w:val="clear" w:color="auto" w:fill="auto"/>
            <w:vAlign w:val="center"/>
            <w:hideMark/>
          </w:tcPr>
          <w:p w14:paraId="0A52A729" w14:textId="77777777" w:rsidR="00477AA8" w:rsidRPr="003801D5" w:rsidRDefault="00477AA8" w:rsidP="00477AA8">
            <w:pPr>
              <w:jc w:val="right"/>
              <w:rPr>
                <w:rFonts w:cs="Calibri"/>
                <w:b/>
                <w:bCs/>
                <w:color w:val="000000" w:themeColor="text1"/>
                <w:sz w:val="13"/>
                <w:szCs w:val="13"/>
              </w:rPr>
            </w:pPr>
            <w:r w:rsidRPr="003801D5">
              <w:rPr>
                <w:rFonts w:cs="Calibri"/>
                <w:b/>
                <w:bCs/>
                <w:color w:val="000000" w:themeColor="text1"/>
                <w:sz w:val="13"/>
                <w:szCs w:val="13"/>
              </w:rPr>
              <w:t>(1 489)</w:t>
            </w:r>
          </w:p>
        </w:tc>
      </w:tr>
    </w:tbl>
    <w:p w14:paraId="54EE3BD1" w14:textId="59380FB3" w:rsidR="00B56D27" w:rsidRPr="0068723D" w:rsidRDefault="00B56D27" w:rsidP="00B56D27">
      <w:pPr>
        <w:suppressAutoHyphens/>
        <w:spacing w:before="120"/>
        <w:jc w:val="both"/>
        <w:rPr>
          <w:rFonts w:cs="Tahoma"/>
          <w:color w:val="000000" w:themeColor="text1"/>
          <w:sz w:val="18"/>
          <w:szCs w:val="18"/>
        </w:rPr>
      </w:pPr>
      <w:r w:rsidRPr="0068723D">
        <w:rPr>
          <w:rFonts w:cs="Tahoma"/>
          <w:color w:val="000000" w:themeColor="text1"/>
          <w:sz w:val="18"/>
          <w:szCs w:val="18"/>
        </w:rPr>
        <w:t>Poziom 3 na dzień 31 grudnia 2019 roku obejmuje wartość kredytów i pożyczek udz</w:t>
      </w:r>
      <w:r w:rsidR="00E655C5">
        <w:rPr>
          <w:rFonts w:cs="Tahoma"/>
          <w:color w:val="000000" w:themeColor="text1"/>
          <w:sz w:val="18"/>
          <w:szCs w:val="18"/>
        </w:rPr>
        <w:t>ielonych klientom w kwocie 2 144</w:t>
      </w:r>
      <w:r w:rsidRPr="0068723D">
        <w:rPr>
          <w:rFonts w:cs="Tahoma"/>
          <w:color w:val="000000" w:themeColor="text1"/>
          <w:sz w:val="18"/>
          <w:szCs w:val="18"/>
        </w:rPr>
        <w:t> </w:t>
      </w:r>
      <w:r w:rsidR="00E655C5">
        <w:rPr>
          <w:rFonts w:cs="Tahoma"/>
          <w:color w:val="000000" w:themeColor="text1"/>
          <w:sz w:val="18"/>
          <w:szCs w:val="18"/>
        </w:rPr>
        <w:t>221</w:t>
      </w:r>
      <w:r w:rsidR="00D722A5">
        <w:rPr>
          <w:rFonts w:cs="Tahoma"/>
          <w:color w:val="000000" w:themeColor="text1"/>
          <w:sz w:val="18"/>
          <w:szCs w:val="18"/>
        </w:rPr>
        <w:t xml:space="preserve"> tys. zł (31 grudnia 2018 rok -</w:t>
      </w:r>
      <w:r w:rsidRPr="0068723D">
        <w:rPr>
          <w:rFonts w:cs="Tahoma"/>
          <w:color w:val="000000" w:themeColor="text1"/>
          <w:sz w:val="18"/>
          <w:szCs w:val="18"/>
        </w:rPr>
        <w:t xml:space="preserve"> 2 748 321 tys. zł).</w:t>
      </w:r>
    </w:p>
    <w:p w14:paraId="2DA17FA1" w14:textId="208EBC0D" w:rsidR="00573B6C" w:rsidRPr="00573B6C" w:rsidRDefault="00573B6C" w:rsidP="00573B6C">
      <w:pPr>
        <w:suppressAutoHyphens/>
        <w:spacing w:before="120"/>
        <w:jc w:val="both"/>
        <w:rPr>
          <w:rFonts w:cs="Tahoma"/>
          <w:color w:val="000000"/>
          <w:sz w:val="18"/>
          <w:szCs w:val="18"/>
        </w:rPr>
      </w:pPr>
      <w:r w:rsidRPr="00573B6C">
        <w:rPr>
          <w:rFonts w:cs="Tahoma"/>
          <w:color w:val="000000"/>
          <w:sz w:val="18"/>
          <w:szCs w:val="18"/>
        </w:rPr>
        <w:t xml:space="preserve">Wartość godziwa kredytów i pożyczek udzielonych klientom została wyliczona na podstawie zdyskontowanych oszacowanych przyszłych przepływów pieniężnych z tytułu ekspozycji kredytowej </w:t>
      </w:r>
      <w:r>
        <w:rPr>
          <w:rFonts w:cs="Tahoma"/>
          <w:color w:val="000000"/>
          <w:sz w:val="18"/>
          <w:szCs w:val="18"/>
        </w:rPr>
        <w:t>wyznaczonych z uwzględnieniem między</w:t>
      </w:r>
      <w:r w:rsidRPr="00573B6C">
        <w:rPr>
          <w:rFonts w:cs="Tahoma"/>
          <w:color w:val="000000"/>
          <w:sz w:val="18"/>
          <w:szCs w:val="18"/>
        </w:rPr>
        <w:t xml:space="preserve"> in</w:t>
      </w:r>
      <w:r>
        <w:rPr>
          <w:rFonts w:cs="Tahoma"/>
          <w:color w:val="000000"/>
          <w:sz w:val="18"/>
          <w:szCs w:val="18"/>
        </w:rPr>
        <w:t>nymi</w:t>
      </w:r>
      <w:r w:rsidRPr="00573B6C">
        <w:rPr>
          <w:rFonts w:cs="Tahoma"/>
          <w:color w:val="000000"/>
          <w:sz w:val="18"/>
          <w:szCs w:val="18"/>
        </w:rPr>
        <w:t>:</w:t>
      </w:r>
    </w:p>
    <w:p w14:paraId="27AA10AB" w14:textId="04B47203" w:rsidR="00573B6C" w:rsidRPr="00573B6C" w:rsidRDefault="00573B6C" w:rsidP="00573B6C">
      <w:pPr>
        <w:numPr>
          <w:ilvl w:val="0"/>
          <w:numId w:val="56"/>
        </w:numPr>
        <w:shd w:val="clear" w:color="auto" w:fill="FFFFFF"/>
        <w:spacing w:before="80" w:after="80"/>
        <w:jc w:val="both"/>
        <w:rPr>
          <w:rFonts w:cs="Tahoma"/>
          <w:color w:val="000000" w:themeColor="text1"/>
          <w:sz w:val="18"/>
          <w:szCs w:val="18"/>
          <w:lang w:eastAsia="en-US"/>
        </w:rPr>
      </w:pPr>
      <w:r w:rsidRPr="00573B6C">
        <w:rPr>
          <w:rFonts w:cs="Tahoma"/>
          <w:color w:val="000000" w:themeColor="text1"/>
          <w:sz w:val="18"/>
          <w:szCs w:val="18"/>
          <w:lang w:eastAsia="en-US"/>
        </w:rPr>
        <w:t>harmonogramu spłaty</w:t>
      </w:r>
      <w:r w:rsidR="003F590E">
        <w:rPr>
          <w:rFonts w:cs="Tahoma"/>
          <w:color w:val="000000" w:themeColor="text1"/>
          <w:sz w:val="18"/>
          <w:szCs w:val="18"/>
          <w:lang w:eastAsia="en-US"/>
        </w:rPr>
        <w:t>,</w:t>
      </w:r>
    </w:p>
    <w:p w14:paraId="424E270B" w14:textId="77777777" w:rsidR="00573B6C" w:rsidRPr="00573B6C" w:rsidRDefault="00573B6C" w:rsidP="00573B6C">
      <w:pPr>
        <w:numPr>
          <w:ilvl w:val="0"/>
          <w:numId w:val="25"/>
        </w:numPr>
        <w:suppressAutoHyphens/>
        <w:spacing w:before="80" w:after="80"/>
        <w:contextualSpacing/>
        <w:jc w:val="both"/>
        <w:rPr>
          <w:rFonts w:cs="Tahoma"/>
          <w:color w:val="000000"/>
          <w:sz w:val="18"/>
          <w:szCs w:val="18"/>
        </w:rPr>
      </w:pPr>
      <w:r w:rsidRPr="00573B6C">
        <w:rPr>
          <w:rFonts w:cs="Tahoma"/>
          <w:color w:val="000000"/>
          <w:sz w:val="18"/>
          <w:szCs w:val="18"/>
        </w:rPr>
        <w:t>wartości pieniądza w czasie, poprzez wykorzystanie w procesie prognozy przepływów odsetkowych projekcji oprocentowania aktywów wolnych od ryzyka,</w:t>
      </w:r>
    </w:p>
    <w:p w14:paraId="39645C8F" w14:textId="632CAB1F" w:rsidR="00573B6C" w:rsidRDefault="00573B6C" w:rsidP="00573B6C">
      <w:pPr>
        <w:numPr>
          <w:ilvl w:val="0"/>
          <w:numId w:val="25"/>
        </w:numPr>
        <w:suppressAutoHyphens/>
        <w:spacing w:before="80" w:after="80"/>
        <w:contextualSpacing/>
        <w:jc w:val="both"/>
        <w:rPr>
          <w:rFonts w:cs="Tahoma"/>
          <w:color w:val="000000"/>
          <w:sz w:val="18"/>
          <w:szCs w:val="18"/>
        </w:rPr>
      </w:pPr>
      <w:r w:rsidRPr="00573B6C">
        <w:rPr>
          <w:rFonts w:cs="Tahoma"/>
          <w:color w:val="000000"/>
          <w:sz w:val="18"/>
          <w:szCs w:val="18"/>
        </w:rPr>
        <w:t xml:space="preserve">niepewności przepływów w całym prognozowanym okresie życia ekspozycji, wynikającej z ryzyka kredytowego, poprzez modyfikację przepływów kontraktowych przy pomocy wieloletnich </w:t>
      </w:r>
      <w:r w:rsidR="00145675">
        <w:rPr>
          <w:rFonts w:cs="Tahoma"/>
          <w:color w:val="000000"/>
          <w:sz w:val="18"/>
          <w:szCs w:val="18"/>
        </w:rPr>
        <w:t>parametrów ryzyka kredytowego Lt PD i Lt</w:t>
      </w:r>
      <w:r w:rsidRPr="00573B6C">
        <w:rPr>
          <w:rFonts w:cs="Tahoma"/>
          <w:color w:val="000000"/>
          <w:sz w:val="18"/>
          <w:szCs w:val="18"/>
        </w:rPr>
        <w:t xml:space="preserve"> LGD,</w:t>
      </w:r>
    </w:p>
    <w:p w14:paraId="4F991763" w14:textId="39D767E3" w:rsidR="00340D2C" w:rsidRPr="00573B6C" w:rsidRDefault="00573B6C" w:rsidP="00573B6C">
      <w:pPr>
        <w:numPr>
          <w:ilvl w:val="0"/>
          <w:numId w:val="25"/>
        </w:numPr>
        <w:suppressAutoHyphens/>
        <w:spacing w:before="80" w:after="120"/>
        <w:contextualSpacing/>
        <w:jc w:val="both"/>
        <w:rPr>
          <w:rFonts w:cs="Tahoma"/>
          <w:color w:val="000000"/>
          <w:sz w:val="18"/>
          <w:szCs w:val="18"/>
        </w:rPr>
      </w:pPr>
      <w:r w:rsidRPr="00573B6C">
        <w:rPr>
          <w:rFonts w:cs="Tahoma"/>
          <w:color w:val="000000"/>
          <w:sz w:val="18"/>
          <w:szCs w:val="18"/>
        </w:rPr>
        <w:t>innych czynników, które byłyby brane pod uwagę przez potencjalnego nabywcę ekspozycji (narzutów kosztowych oraz oczekiwanej przez uczestników rynku marży zysku), kalibrując stopę dyskontową wykorzystywaną w procesie wyceny</w:t>
      </w:r>
      <w:r w:rsidR="00340D2C" w:rsidRPr="00573B6C">
        <w:rPr>
          <w:rFonts w:cs="Tahoma"/>
          <w:color w:val="000000" w:themeColor="text1"/>
          <w:sz w:val="18"/>
          <w:szCs w:val="18"/>
        </w:rPr>
        <w:t>.</w:t>
      </w:r>
    </w:p>
    <w:p w14:paraId="17B93D18" w14:textId="0A8898A4" w:rsidR="00573B6C" w:rsidRDefault="00573B6C" w:rsidP="003135F4">
      <w:pPr>
        <w:suppressAutoHyphens/>
        <w:contextualSpacing/>
        <w:jc w:val="both"/>
        <w:rPr>
          <w:rFonts w:cs="Tahoma"/>
          <w:color w:val="000000" w:themeColor="text1"/>
          <w:sz w:val="18"/>
          <w:szCs w:val="18"/>
        </w:rPr>
      </w:pPr>
    </w:p>
    <w:p w14:paraId="35548DBE" w14:textId="418BC415" w:rsidR="00573B6C" w:rsidRDefault="00573B6C" w:rsidP="00573B6C">
      <w:pPr>
        <w:suppressAutoHyphens/>
        <w:spacing w:before="120" w:after="120"/>
        <w:contextualSpacing/>
        <w:jc w:val="both"/>
        <w:rPr>
          <w:rFonts w:cs="Tahoma"/>
          <w:color w:val="000000" w:themeColor="text1"/>
          <w:sz w:val="18"/>
          <w:szCs w:val="18"/>
        </w:rPr>
      </w:pPr>
      <w:r w:rsidRPr="00573B6C">
        <w:rPr>
          <w:rFonts w:cs="Tahoma"/>
          <w:color w:val="000000"/>
          <w:sz w:val="18"/>
          <w:szCs w:val="18"/>
        </w:rPr>
        <w:t>Zgodnie z wymogiem MSSF 13 dla ekspozycji, dla których nie są dostępne kwotowania z aktywnego rynku, Bank kalibruje stopę dyskontową w oparciu o wartość godziwą na datę początkowego ujęcia (tj. o cenę „nabycia” ekspozycji). Marża kalibracyjna odzwierciedla wycenę kosztów związanych z utrzymywaniem ekspozycji w portfelu oraz rynkowe oczekiwania, co do marży zysku realizowanej na aktywach podobnych do wycenianej ekspozycji</w:t>
      </w:r>
      <w:r>
        <w:rPr>
          <w:rFonts w:cs="Tahoma"/>
          <w:color w:val="000000"/>
          <w:sz w:val="18"/>
          <w:szCs w:val="18"/>
        </w:rPr>
        <w:t>.</w:t>
      </w:r>
    </w:p>
    <w:p w14:paraId="54EEAEF0" w14:textId="2BF7C969" w:rsidR="00B111ED" w:rsidRPr="0068723D" w:rsidRDefault="000D7E1A" w:rsidP="00573B6C">
      <w:pPr>
        <w:suppressAutoHyphens/>
        <w:spacing w:before="240"/>
        <w:jc w:val="both"/>
        <w:rPr>
          <w:rFonts w:cs="Tahoma"/>
          <w:color w:val="000000" w:themeColor="text1"/>
          <w:sz w:val="18"/>
          <w:szCs w:val="18"/>
        </w:rPr>
      </w:pPr>
      <w:r w:rsidRPr="0068723D">
        <w:rPr>
          <w:rFonts w:cs="Tahoma"/>
          <w:color w:val="000000" w:themeColor="text1"/>
          <w:sz w:val="18"/>
          <w:szCs w:val="18"/>
        </w:rPr>
        <w:t xml:space="preserve">Ponadto poziom 3 obejmuje wartość godziwą kapitałowych papierów wartościowych w kwocie </w:t>
      </w:r>
      <w:r w:rsidR="00A22832" w:rsidRPr="00A22832">
        <w:rPr>
          <w:rFonts w:cs="Tahoma"/>
          <w:color w:val="000000" w:themeColor="text1"/>
          <w:sz w:val="18"/>
          <w:szCs w:val="18"/>
        </w:rPr>
        <w:t>161 791</w:t>
      </w:r>
      <w:r w:rsidR="00AC25CE">
        <w:rPr>
          <w:rFonts w:cs="Tahoma"/>
          <w:color w:val="000000" w:themeColor="text1"/>
          <w:sz w:val="18"/>
          <w:szCs w:val="18"/>
        </w:rPr>
        <w:t> tys. zł (31 grudnia 2018 roku</w:t>
      </w:r>
      <w:r w:rsidRPr="00A22832">
        <w:rPr>
          <w:rFonts w:cs="Tahoma"/>
          <w:color w:val="000000" w:themeColor="text1"/>
          <w:sz w:val="18"/>
          <w:szCs w:val="18"/>
        </w:rPr>
        <w:t>: 72 005 tys. zł). Kapitałowe papiery wartościowe wykazane w</w:t>
      </w:r>
      <w:r w:rsidR="00BD144C">
        <w:rPr>
          <w:rFonts w:cs="Tahoma"/>
          <w:color w:val="000000" w:themeColor="text1"/>
          <w:sz w:val="18"/>
          <w:szCs w:val="18"/>
        </w:rPr>
        <w:t> </w:t>
      </w:r>
      <w:r w:rsidRPr="00A22832">
        <w:rPr>
          <w:rFonts w:cs="Tahoma"/>
          <w:color w:val="000000" w:themeColor="text1"/>
          <w:sz w:val="18"/>
          <w:szCs w:val="18"/>
        </w:rPr>
        <w:t>poziomie</w:t>
      </w:r>
      <w:r w:rsidRPr="0068723D">
        <w:rPr>
          <w:rFonts w:cs="Tahoma"/>
          <w:color w:val="000000" w:themeColor="text1"/>
          <w:sz w:val="18"/>
          <w:szCs w:val="18"/>
        </w:rPr>
        <w:t xml:space="preserve"> 3 wyceniane są metodą mnożników rynkowych. Wycena metodą mnożników rynkowych polega na określeniu wartości kapitałów własnych wycenianej spółki poprzez zastosowanie relacji wartości rynkowych kapitałów własnych lub wartości całości zaangażowanych kapitałów (wartości spółki) porównywalnych spółek do wybranych wielkości ekonomiczno-finansowych</w:t>
      </w:r>
      <w:r w:rsidR="00E47885" w:rsidRPr="0068723D">
        <w:rPr>
          <w:rFonts w:cs="Tahoma"/>
          <w:color w:val="000000" w:themeColor="text1"/>
          <w:sz w:val="18"/>
          <w:szCs w:val="18"/>
        </w:rPr>
        <w:t>.</w:t>
      </w:r>
    </w:p>
    <w:p w14:paraId="06BE02C1" w14:textId="600D7E30" w:rsidR="00573B6C" w:rsidRPr="00EB7016" w:rsidRDefault="00573B6C" w:rsidP="008A4D3B">
      <w:pPr>
        <w:suppressAutoHyphens/>
        <w:spacing w:before="120"/>
        <w:jc w:val="both"/>
        <w:rPr>
          <w:rFonts w:cs="Tahoma"/>
          <w:color w:val="000000" w:themeColor="text1"/>
          <w:sz w:val="18"/>
          <w:szCs w:val="18"/>
        </w:rPr>
      </w:pPr>
      <w:r w:rsidRPr="00EB7016">
        <w:rPr>
          <w:rFonts w:cs="Tahoma"/>
          <w:color w:val="000000" w:themeColor="text1"/>
          <w:sz w:val="18"/>
          <w:szCs w:val="18"/>
        </w:rPr>
        <w:t xml:space="preserve">Poniższa tabela prezentuje wrażliwość wyceny do wartości godziwej na zmianę nieobserwowalnych parametrów stosowanych w modelach dla </w:t>
      </w:r>
      <w:r w:rsidR="009401B4">
        <w:rPr>
          <w:rFonts w:cs="Tahoma"/>
          <w:color w:val="000000" w:themeColor="text1"/>
          <w:sz w:val="18"/>
          <w:szCs w:val="18"/>
        </w:rPr>
        <w:t xml:space="preserve">dłużnych </w:t>
      </w:r>
      <w:r w:rsidRPr="00EB7016">
        <w:rPr>
          <w:rFonts w:cs="Tahoma"/>
          <w:color w:val="000000" w:themeColor="text1"/>
          <w:sz w:val="18"/>
          <w:szCs w:val="18"/>
        </w:rPr>
        <w:t>instrumentów finansowych wycenianych w wartości godziwej na poziomie 3</w:t>
      </w:r>
      <w:r w:rsidR="00EB7016">
        <w:rPr>
          <w:rFonts w:cs="Tahoma"/>
          <w:color w:val="000000" w:themeColor="text1"/>
          <w:sz w:val="18"/>
          <w:szCs w:val="18"/>
        </w:rPr>
        <w:t>.</w:t>
      </w:r>
    </w:p>
    <w:p w14:paraId="1217D507" w14:textId="775FDF21" w:rsidR="00573B6C" w:rsidRDefault="00573B6C" w:rsidP="00EB3F70">
      <w:pPr>
        <w:suppressAutoHyphens/>
        <w:jc w:val="both"/>
        <w:rPr>
          <w:rFonts w:cs="Tahoma"/>
          <w:color w:val="201C17"/>
          <w:sz w:val="18"/>
          <w:szCs w:val="18"/>
        </w:rPr>
      </w:pPr>
    </w:p>
    <w:tbl>
      <w:tblPr>
        <w:tblW w:w="0" w:type="auto"/>
        <w:tblCellMar>
          <w:left w:w="28" w:type="dxa"/>
          <w:right w:w="28" w:type="dxa"/>
        </w:tblCellMar>
        <w:tblLook w:val="04A0" w:firstRow="1" w:lastRow="0" w:firstColumn="1" w:lastColumn="0" w:noHBand="0" w:noVBand="1"/>
      </w:tblPr>
      <w:tblGrid>
        <w:gridCol w:w="2268"/>
        <w:gridCol w:w="1304"/>
        <w:gridCol w:w="1304"/>
        <w:gridCol w:w="1304"/>
        <w:gridCol w:w="3381"/>
      </w:tblGrid>
      <w:tr w:rsidR="00114014" w:rsidRPr="00EB7016" w14:paraId="35A084FC" w14:textId="77777777" w:rsidTr="00817B66">
        <w:trPr>
          <w:trHeight w:val="466"/>
        </w:trPr>
        <w:tc>
          <w:tcPr>
            <w:tcW w:w="2268" w:type="dxa"/>
            <w:vMerge w:val="restart"/>
            <w:tcBorders>
              <w:top w:val="nil"/>
              <w:left w:val="single" w:sz="8" w:space="0" w:color="0070C0"/>
              <w:right w:val="single" w:sz="8" w:space="0" w:color="FFFFFF"/>
            </w:tcBorders>
            <w:shd w:val="clear" w:color="auto" w:fill="0077BD"/>
            <w:tcMar>
              <w:top w:w="0" w:type="dxa"/>
              <w:left w:w="70" w:type="dxa"/>
              <w:bottom w:w="0" w:type="dxa"/>
              <w:right w:w="70" w:type="dxa"/>
            </w:tcMar>
            <w:vAlign w:val="center"/>
            <w:hideMark/>
          </w:tcPr>
          <w:p w14:paraId="69F20CD5"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Portfel</w:t>
            </w:r>
          </w:p>
        </w:tc>
        <w:tc>
          <w:tcPr>
            <w:tcW w:w="1304" w:type="dxa"/>
            <w:vMerge w:val="restart"/>
            <w:tcBorders>
              <w:top w:val="nil"/>
              <w:left w:val="nil"/>
              <w:right w:val="single" w:sz="8" w:space="0" w:color="FFFFFF"/>
            </w:tcBorders>
            <w:shd w:val="clear" w:color="auto" w:fill="0077BD"/>
            <w:tcMar>
              <w:top w:w="0" w:type="dxa"/>
              <w:left w:w="70" w:type="dxa"/>
              <w:bottom w:w="0" w:type="dxa"/>
              <w:right w:w="70" w:type="dxa"/>
            </w:tcMar>
            <w:vAlign w:val="center"/>
            <w:hideMark/>
          </w:tcPr>
          <w:p w14:paraId="05E33AEC"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Wartość godziwa</w:t>
            </w:r>
          </w:p>
          <w:p w14:paraId="795826A7"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31.12.2019</w:t>
            </w:r>
          </w:p>
        </w:tc>
        <w:tc>
          <w:tcPr>
            <w:tcW w:w="1304" w:type="dxa"/>
            <w:gridSpan w:val="2"/>
            <w:tcBorders>
              <w:top w:val="nil"/>
              <w:left w:val="nil"/>
              <w:bottom w:val="single" w:sz="6" w:space="0" w:color="FFFFFF" w:themeColor="background1"/>
              <w:right w:val="single" w:sz="8" w:space="0" w:color="FFFFFF"/>
            </w:tcBorders>
            <w:shd w:val="clear" w:color="auto" w:fill="0077BD"/>
            <w:tcMar>
              <w:top w:w="0" w:type="dxa"/>
              <w:left w:w="70" w:type="dxa"/>
              <w:bottom w:w="0" w:type="dxa"/>
              <w:right w:w="70" w:type="dxa"/>
            </w:tcMar>
            <w:vAlign w:val="center"/>
            <w:hideMark/>
          </w:tcPr>
          <w:p w14:paraId="45CFDA57"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Wrażliwość na zmianę parametru nieobserwowalnego</w:t>
            </w:r>
          </w:p>
        </w:tc>
        <w:tc>
          <w:tcPr>
            <w:tcW w:w="0" w:type="auto"/>
            <w:vMerge w:val="restart"/>
            <w:tcBorders>
              <w:top w:val="nil"/>
              <w:left w:val="nil"/>
              <w:right w:val="single" w:sz="8" w:space="0" w:color="0070C0"/>
            </w:tcBorders>
            <w:shd w:val="clear" w:color="auto" w:fill="0077BD"/>
            <w:tcMar>
              <w:top w:w="0" w:type="dxa"/>
              <w:left w:w="70" w:type="dxa"/>
              <w:bottom w:w="0" w:type="dxa"/>
              <w:right w:w="70" w:type="dxa"/>
            </w:tcMar>
            <w:vAlign w:val="center"/>
            <w:hideMark/>
          </w:tcPr>
          <w:p w14:paraId="51F8173E"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Opis</w:t>
            </w:r>
          </w:p>
        </w:tc>
      </w:tr>
      <w:tr w:rsidR="00114014" w:rsidRPr="00EB7016" w14:paraId="266053EA" w14:textId="77777777" w:rsidTr="00380AF3">
        <w:trPr>
          <w:trHeight w:val="230"/>
        </w:trPr>
        <w:tc>
          <w:tcPr>
            <w:tcW w:w="2268" w:type="dxa"/>
            <w:vMerge/>
            <w:tcBorders>
              <w:left w:val="single" w:sz="8" w:space="0" w:color="0070C0"/>
              <w:right w:val="single" w:sz="8" w:space="0" w:color="FFFFFF"/>
            </w:tcBorders>
            <w:shd w:val="clear" w:color="auto" w:fill="0077BD"/>
            <w:tcMar>
              <w:top w:w="0" w:type="dxa"/>
              <w:left w:w="70" w:type="dxa"/>
              <w:bottom w:w="0" w:type="dxa"/>
              <w:right w:w="70" w:type="dxa"/>
            </w:tcMar>
            <w:vAlign w:val="center"/>
          </w:tcPr>
          <w:p w14:paraId="6A1A7AC1" w14:textId="77777777" w:rsidR="00114014" w:rsidRPr="00EB7016" w:rsidRDefault="00114014" w:rsidP="00EB7016">
            <w:pPr>
              <w:spacing w:line="252" w:lineRule="auto"/>
              <w:jc w:val="center"/>
              <w:rPr>
                <w:b/>
                <w:bCs/>
                <w:color w:val="FFFFFF"/>
                <w:sz w:val="13"/>
                <w:szCs w:val="13"/>
              </w:rPr>
            </w:pPr>
          </w:p>
        </w:tc>
        <w:tc>
          <w:tcPr>
            <w:tcW w:w="1304" w:type="dxa"/>
            <w:vMerge/>
            <w:tcBorders>
              <w:left w:val="nil"/>
              <w:right w:val="single" w:sz="8" w:space="0" w:color="FFFFFF"/>
            </w:tcBorders>
            <w:shd w:val="clear" w:color="auto" w:fill="0077BD"/>
            <w:tcMar>
              <w:top w:w="0" w:type="dxa"/>
              <w:left w:w="70" w:type="dxa"/>
              <w:bottom w:w="0" w:type="dxa"/>
              <w:right w:w="70" w:type="dxa"/>
            </w:tcMar>
            <w:vAlign w:val="center"/>
          </w:tcPr>
          <w:p w14:paraId="14E43BB2" w14:textId="77777777" w:rsidR="00114014" w:rsidRPr="00EB7016" w:rsidRDefault="00114014" w:rsidP="00EB7016">
            <w:pPr>
              <w:spacing w:line="252" w:lineRule="auto"/>
              <w:jc w:val="center"/>
              <w:rPr>
                <w:b/>
                <w:bCs/>
                <w:color w:val="FFFFFF"/>
                <w:sz w:val="13"/>
                <w:szCs w:val="13"/>
              </w:rPr>
            </w:pPr>
          </w:p>
        </w:tc>
        <w:tc>
          <w:tcPr>
            <w:tcW w:w="1304" w:type="dxa"/>
            <w:tcBorders>
              <w:top w:val="single" w:sz="6" w:space="0" w:color="FFFFFF" w:themeColor="background1"/>
              <w:left w:val="nil"/>
              <w:right w:val="single" w:sz="8" w:space="0" w:color="FFFFFF"/>
            </w:tcBorders>
            <w:shd w:val="clear" w:color="auto" w:fill="0077BD"/>
            <w:tcMar>
              <w:top w:w="0" w:type="dxa"/>
              <w:left w:w="70" w:type="dxa"/>
              <w:bottom w:w="0" w:type="dxa"/>
              <w:right w:w="70" w:type="dxa"/>
            </w:tcMar>
            <w:vAlign w:val="center"/>
            <w:hideMark/>
          </w:tcPr>
          <w:p w14:paraId="12D2DFA1"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w:t>
            </w:r>
          </w:p>
        </w:tc>
        <w:tc>
          <w:tcPr>
            <w:tcW w:w="1304" w:type="dxa"/>
            <w:tcBorders>
              <w:top w:val="single" w:sz="6" w:space="0" w:color="FFFFFF" w:themeColor="background1"/>
              <w:left w:val="nil"/>
              <w:right w:val="single" w:sz="8" w:space="0" w:color="FFFFFF"/>
            </w:tcBorders>
            <w:shd w:val="clear" w:color="auto" w:fill="0077BD"/>
            <w:tcMar>
              <w:top w:w="0" w:type="dxa"/>
              <w:left w:w="70" w:type="dxa"/>
              <w:bottom w:w="0" w:type="dxa"/>
              <w:right w:w="70" w:type="dxa"/>
            </w:tcMar>
            <w:vAlign w:val="center"/>
            <w:hideMark/>
          </w:tcPr>
          <w:p w14:paraId="3ED9CD4C" w14:textId="77777777" w:rsidR="00114014" w:rsidRPr="00EB7016" w:rsidRDefault="00114014" w:rsidP="00EB7016">
            <w:pPr>
              <w:spacing w:line="252" w:lineRule="auto"/>
              <w:jc w:val="center"/>
              <w:rPr>
                <w:b/>
                <w:bCs/>
                <w:color w:val="FFFFFF"/>
                <w:sz w:val="13"/>
                <w:szCs w:val="13"/>
              </w:rPr>
            </w:pPr>
            <w:r w:rsidRPr="00EB7016">
              <w:rPr>
                <w:b/>
                <w:bCs/>
                <w:color w:val="FFFFFF"/>
                <w:sz w:val="13"/>
                <w:szCs w:val="13"/>
              </w:rPr>
              <w:t>(+)</w:t>
            </w:r>
          </w:p>
        </w:tc>
        <w:tc>
          <w:tcPr>
            <w:tcW w:w="0" w:type="auto"/>
            <w:vMerge/>
            <w:tcBorders>
              <w:left w:val="nil"/>
              <w:right w:val="single" w:sz="8" w:space="0" w:color="0070C0"/>
            </w:tcBorders>
            <w:shd w:val="clear" w:color="auto" w:fill="0077BD"/>
            <w:tcMar>
              <w:top w:w="0" w:type="dxa"/>
              <w:left w:w="70" w:type="dxa"/>
              <w:bottom w:w="0" w:type="dxa"/>
              <w:right w:w="70" w:type="dxa"/>
            </w:tcMar>
            <w:vAlign w:val="center"/>
          </w:tcPr>
          <w:p w14:paraId="44A5C416" w14:textId="77777777" w:rsidR="00114014" w:rsidRPr="00EB7016" w:rsidRDefault="00114014" w:rsidP="00EB7016">
            <w:pPr>
              <w:spacing w:line="252" w:lineRule="auto"/>
              <w:jc w:val="center"/>
              <w:rPr>
                <w:b/>
                <w:bCs/>
                <w:color w:val="FFFFFF"/>
                <w:sz w:val="13"/>
                <w:szCs w:val="13"/>
              </w:rPr>
            </w:pPr>
          </w:p>
        </w:tc>
      </w:tr>
      <w:tr w:rsidR="00114014" w:rsidRPr="00EB7016" w14:paraId="1939EA1B" w14:textId="77777777" w:rsidTr="00240C61">
        <w:trPr>
          <w:trHeight w:val="372"/>
        </w:trPr>
        <w:tc>
          <w:tcPr>
            <w:tcW w:w="2268" w:type="dxa"/>
            <w:tcBorders>
              <w:bottom w:val="single" w:sz="4" w:space="0" w:color="0070C0"/>
              <w:right w:val="single" w:sz="8" w:space="0" w:color="0070C0"/>
            </w:tcBorders>
            <w:vAlign w:val="center"/>
            <w:hideMark/>
          </w:tcPr>
          <w:p w14:paraId="40FDA8C0" w14:textId="77777777" w:rsidR="00114014" w:rsidRPr="00EB7016" w:rsidRDefault="00114014" w:rsidP="00EB7016">
            <w:pPr>
              <w:spacing w:line="252" w:lineRule="auto"/>
              <w:rPr>
                <w:sz w:val="13"/>
                <w:szCs w:val="13"/>
              </w:rPr>
            </w:pPr>
            <w:r w:rsidRPr="00EB7016">
              <w:rPr>
                <w:sz w:val="13"/>
                <w:szCs w:val="13"/>
              </w:rPr>
              <w:t>Obligacje korporacyjne wyceniane w wartości godziwej przez pozostałe całkowite dochody</w:t>
            </w:r>
          </w:p>
        </w:tc>
        <w:tc>
          <w:tcPr>
            <w:tcW w:w="1304" w:type="dxa"/>
            <w:tcBorders>
              <w:left w:val="nil"/>
              <w:bottom w:val="single" w:sz="4" w:space="0" w:color="0070C0"/>
              <w:right w:val="single" w:sz="8" w:space="0" w:color="0070C0"/>
            </w:tcBorders>
            <w:noWrap/>
            <w:tcMar>
              <w:top w:w="0" w:type="dxa"/>
              <w:left w:w="70" w:type="dxa"/>
              <w:bottom w:w="0" w:type="dxa"/>
              <w:right w:w="70" w:type="dxa"/>
            </w:tcMar>
            <w:vAlign w:val="center"/>
            <w:hideMark/>
          </w:tcPr>
          <w:p w14:paraId="5E3FA4BD" w14:textId="20BC2B28" w:rsidR="00114014" w:rsidRPr="00EB7016" w:rsidRDefault="002F2689" w:rsidP="002F2689">
            <w:pPr>
              <w:spacing w:line="252" w:lineRule="auto"/>
              <w:jc w:val="right"/>
              <w:rPr>
                <w:sz w:val="13"/>
                <w:szCs w:val="13"/>
              </w:rPr>
            </w:pPr>
            <w:r>
              <w:rPr>
                <w:sz w:val="13"/>
                <w:szCs w:val="13"/>
              </w:rPr>
              <w:t>1 032</w:t>
            </w:r>
            <w:r w:rsidR="00114014" w:rsidRPr="00EB7016">
              <w:rPr>
                <w:sz w:val="13"/>
                <w:szCs w:val="13"/>
              </w:rPr>
              <w:t xml:space="preserve"> </w:t>
            </w:r>
            <w:r>
              <w:rPr>
                <w:sz w:val="13"/>
                <w:szCs w:val="13"/>
              </w:rPr>
              <w:t>369</w:t>
            </w:r>
          </w:p>
        </w:tc>
        <w:tc>
          <w:tcPr>
            <w:tcW w:w="1304" w:type="dxa"/>
            <w:tcBorders>
              <w:left w:val="nil"/>
              <w:bottom w:val="single" w:sz="4" w:space="0" w:color="0070C0"/>
              <w:right w:val="single" w:sz="8" w:space="0" w:color="0070C0"/>
            </w:tcBorders>
            <w:vAlign w:val="center"/>
            <w:hideMark/>
          </w:tcPr>
          <w:p w14:paraId="4A9FE271" w14:textId="5F2F7994" w:rsidR="00114014" w:rsidRPr="00EB7016" w:rsidRDefault="00114014" w:rsidP="00114014">
            <w:pPr>
              <w:spacing w:line="252" w:lineRule="auto"/>
              <w:jc w:val="right"/>
              <w:rPr>
                <w:sz w:val="13"/>
                <w:szCs w:val="13"/>
              </w:rPr>
            </w:pPr>
            <w:r>
              <w:rPr>
                <w:sz w:val="13"/>
                <w:szCs w:val="13"/>
              </w:rPr>
              <w:t>(25</w:t>
            </w:r>
            <w:r w:rsidRPr="00EB7016">
              <w:rPr>
                <w:sz w:val="13"/>
                <w:szCs w:val="13"/>
              </w:rPr>
              <w:t xml:space="preserve"> </w:t>
            </w:r>
            <w:r>
              <w:rPr>
                <w:sz w:val="13"/>
                <w:szCs w:val="13"/>
              </w:rPr>
              <w:t>793</w:t>
            </w:r>
            <w:r w:rsidRPr="00EB7016">
              <w:rPr>
                <w:sz w:val="13"/>
                <w:szCs w:val="13"/>
              </w:rPr>
              <w:t>)</w:t>
            </w:r>
          </w:p>
        </w:tc>
        <w:tc>
          <w:tcPr>
            <w:tcW w:w="1304" w:type="dxa"/>
            <w:tcBorders>
              <w:left w:val="nil"/>
              <w:bottom w:val="single" w:sz="4" w:space="0" w:color="0070C0"/>
              <w:right w:val="single" w:sz="8" w:space="0" w:color="0070C0"/>
            </w:tcBorders>
            <w:noWrap/>
            <w:tcMar>
              <w:top w:w="0" w:type="dxa"/>
              <w:left w:w="70" w:type="dxa"/>
              <w:bottom w:w="0" w:type="dxa"/>
              <w:right w:w="70" w:type="dxa"/>
            </w:tcMar>
            <w:vAlign w:val="center"/>
            <w:hideMark/>
          </w:tcPr>
          <w:p w14:paraId="72BEE596" w14:textId="33FCDE87" w:rsidR="00114014" w:rsidRPr="00EB7016" w:rsidRDefault="00114014" w:rsidP="00114014">
            <w:pPr>
              <w:spacing w:line="252" w:lineRule="auto"/>
              <w:jc w:val="right"/>
              <w:rPr>
                <w:sz w:val="13"/>
                <w:szCs w:val="13"/>
              </w:rPr>
            </w:pPr>
            <w:r>
              <w:rPr>
                <w:sz w:val="13"/>
                <w:szCs w:val="13"/>
              </w:rPr>
              <w:t>25</w:t>
            </w:r>
            <w:r w:rsidRPr="00EB7016">
              <w:rPr>
                <w:sz w:val="13"/>
                <w:szCs w:val="13"/>
              </w:rPr>
              <w:t xml:space="preserve"> </w:t>
            </w:r>
            <w:r>
              <w:rPr>
                <w:sz w:val="13"/>
                <w:szCs w:val="13"/>
              </w:rPr>
              <w:t>793</w:t>
            </w:r>
          </w:p>
        </w:tc>
        <w:tc>
          <w:tcPr>
            <w:tcW w:w="0" w:type="auto"/>
            <w:vMerge w:val="restart"/>
            <w:tcBorders>
              <w:left w:val="nil"/>
              <w:bottom w:val="single" w:sz="8" w:space="0" w:color="0070C0"/>
              <w:right w:val="nil"/>
            </w:tcBorders>
            <w:tcMar>
              <w:top w:w="0" w:type="dxa"/>
              <w:left w:w="70" w:type="dxa"/>
              <w:bottom w:w="0" w:type="dxa"/>
              <w:right w:w="70" w:type="dxa"/>
            </w:tcMar>
            <w:vAlign w:val="center"/>
            <w:hideMark/>
          </w:tcPr>
          <w:p w14:paraId="207A91D9" w14:textId="77777777" w:rsidR="00114014" w:rsidRPr="00EB7016" w:rsidRDefault="00114014" w:rsidP="00EC26E8">
            <w:pPr>
              <w:spacing w:line="252" w:lineRule="auto"/>
              <w:jc w:val="both"/>
              <w:rPr>
                <w:sz w:val="13"/>
                <w:szCs w:val="13"/>
              </w:rPr>
            </w:pPr>
            <w:r w:rsidRPr="00EB7016">
              <w:rPr>
                <w:sz w:val="13"/>
                <w:szCs w:val="13"/>
              </w:rPr>
              <w:t>Parametrem nieobserwowalnym jest spread kredytowy. Wrażliwość policzona przy założeniu zmiany spreadu kredytowego o 100 bp. Przy wzroście wartości parametru Bank odnotowuje stratę (-), przy spadku spodziewany jest zysk (+).</w:t>
            </w:r>
          </w:p>
        </w:tc>
      </w:tr>
      <w:tr w:rsidR="00114014" w:rsidRPr="00EB7016" w14:paraId="5BDE98F7" w14:textId="77777777" w:rsidTr="00240C61">
        <w:trPr>
          <w:trHeight w:val="406"/>
        </w:trPr>
        <w:tc>
          <w:tcPr>
            <w:tcW w:w="2268" w:type="dxa"/>
            <w:tcBorders>
              <w:top w:val="single" w:sz="4" w:space="0" w:color="0070C0"/>
              <w:bottom w:val="single" w:sz="8" w:space="0" w:color="0070C0"/>
              <w:right w:val="single" w:sz="8" w:space="0" w:color="0070C0"/>
            </w:tcBorders>
            <w:vAlign w:val="center"/>
            <w:hideMark/>
          </w:tcPr>
          <w:p w14:paraId="152063E8" w14:textId="77777777" w:rsidR="00114014" w:rsidRPr="00EB7016" w:rsidRDefault="00114014" w:rsidP="00EB7016">
            <w:pPr>
              <w:spacing w:line="252" w:lineRule="auto"/>
              <w:rPr>
                <w:sz w:val="13"/>
                <w:szCs w:val="13"/>
              </w:rPr>
            </w:pPr>
            <w:r w:rsidRPr="00EB7016">
              <w:rPr>
                <w:sz w:val="13"/>
                <w:szCs w:val="13"/>
              </w:rPr>
              <w:t>Obligacje korporacyjne wyceniane w wartości godziwej przez wynik finansowy</w:t>
            </w:r>
          </w:p>
        </w:tc>
        <w:tc>
          <w:tcPr>
            <w:tcW w:w="1304" w:type="dxa"/>
            <w:tcBorders>
              <w:top w:val="single" w:sz="4" w:space="0" w:color="0070C0"/>
              <w:left w:val="nil"/>
              <w:bottom w:val="single" w:sz="8" w:space="0" w:color="0070C0"/>
              <w:right w:val="single" w:sz="8" w:space="0" w:color="0070C0"/>
            </w:tcBorders>
            <w:noWrap/>
            <w:tcMar>
              <w:top w:w="0" w:type="dxa"/>
              <w:left w:w="70" w:type="dxa"/>
              <w:bottom w:w="0" w:type="dxa"/>
              <w:right w:w="70" w:type="dxa"/>
            </w:tcMar>
            <w:vAlign w:val="center"/>
            <w:hideMark/>
          </w:tcPr>
          <w:p w14:paraId="16A57B1F" w14:textId="3A02FA28" w:rsidR="00114014" w:rsidRPr="00EB7016" w:rsidRDefault="00114014" w:rsidP="00114014">
            <w:pPr>
              <w:spacing w:line="252" w:lineRule="auto"/>
              <w:jc w:val="right"/>
              <w:rPr>
                <w:sz w:val="13"/>
                <w:szCs w:val="13"/>
              </w:rPr>
            </w:pPr>
            <w:r>
              <w:rPr>
                <w:sz w:val="13"/>
                <w:szCs w:val="13"/>
              </w:rPr>
              <w:t>403</w:t>
            </w:r>
            <w:r w:rsidRPr="00EB7016">
              <w:rPr>
                <w:sz w:val="13"/>
                <w:szCs w:val="13"/>
              </w:rPr>
              <w:t xml:space="preserve"> </w:t>
            </w:r>
            <w:r>
              <w:rPr>
                <w:sz w:val="13"/>
                <w:szCs w:val="13"/>
              </w:rPr>
              <w:t>028</w:t>
            </w:r>
          </w:p>
        </w:tc>
        <w:tc>
          <w:tcPr>
            <w:tcW w:w="1304" w:type="dxa"/>
            <w:tcBorders>
              <w:top w:val="single" w:sz="4" w:space="0" w:color="0070C0"/>
              <w:left w:val="nil"/>
              <w:bottom w:val="single" w:sz="8" w:space="0" w:color="0070C0"/>
              <w:right w:val="single" w:sz="8" w:space="0" w:color="0070C0"/>
            </w:tcBorders>
            <w:vAlign w:val="center"/>
            <w:hideMark/>
          </w:tcPr>
          <w:p w14:paraId="657124CF" w14:textId="61DB8443" w:rsidR="00114014" w:rsidRPr="00EB7016" w:rsidRDefault="00114014" w:rsidP="00114014">
            <w:pPr>
              <w:spacing w:line="252" w:lineRule="auto"/>
              <w:jc w:val="right"/>
              <w:rPr>
                <w:sz w:val="13"/>
                <w:szCs w:val="13"/>
              </w:rPr>
            </w:pPr>
            <w:r>
              <w:rPr>
                <w:sz w:val="13"/>
                <w:szCs w:val="13"/>
              </w:rPr>
              <w:t>(10</w:t>
            </w:r>
            <w:r w:rsidRPr="00EB7016">
              <w:rPr>
                <w:sz w:val="13"/>
                <w:szCs w:val="13"/>
              </w:rPr>
              <w:t xml:space="preserve"> </w:t>
            </w:r>
            <w:r>
              <w:rPr>
                <w:sz w:val="13"/>
                <w:szCs w:val="13"/>
              </w:rPr>
              <w:t>451</w:t>
            </w:r>
            <w:r w:rsidRPr="00EB7016">
              <w:rPr>
                <w:sz w:val="13"/>
                <w:szCs w:val="13"/>
              </w:rPr>
              <w:t>)</w:t>
            </w:r>
          </w:p>
        </w:tc>
        <w:tc>
          <w:tcPr>
            <w:tcW w:w="1304" w:type="dxa"/>
            <w:tcBorders>
              <w:top w:val="single" w:sz="4" w:space="0" w:color="0070C0"/>
              <w:left w:val="nil"/>
              <w:bottom w:val="single" w:sz="8" w:space="0" w:color="0070C0"/>
              <w:right w:val="single" w:sz="8" w:space="0" w:color="0070C0"/>
            </w:tcBorders>
            <w:noWrap/>
            <w:tcMar>
              <w:top w:w="0" w:type="dxa"/>
              <w:left w:w="70" w:type="dxa"/>
              <w:bottom w:w="0" w:type="dxa"/>
              <w:right w:w="70" w:type="dxa"/>
            </w:tcMar>
            <w:vAlign w:val="center"/>
            <w:hideMark/>
          </w:tcPr>
          <w:p w14:paraId="409DFD27" w14:textId="7D627B60" w:rsidR="00114014" w:rsidRPr="00EB7016" w:rsidRDefault="00114014" w:rsidP="00114014">
            <w:pPr>
              <w:spacing w:line="252" w:lineRule="auto"/>
              <w:jc w:val="right"/>
              <w:rPr>
                <w:sz w:val="13"/>
                <w:szCs w:val="13"/>
              </w:rPr>
            </w:pPr>
            <w:r>
              <w:rPr>
                <w:sz w:val="13"/>
                <w:szCs w:val="13"/>
              </w:rPr>
              <w:t>10</w:t>
            </w:r>
            <w:r w:rsidRPr="00EB7016">
              <w:rPr>
                <w:sz w:val="13"/>
                <w:szCs w:val="13"/>
              </w:rPr>
              <w:t xml:space="preserve"> </w:t>
            </w:r>
            <w:r>
              <w:rPr>
                <w:sz w:val="13"/>
                <w:szCs w:val="13"/>
              </w:rPr>
              <w:t>451</w:t>
            </w:r>
          </w:p>
        </w:tc>
        <w:tc>
          <w:tcPr>
            <w:tcW w:w="0" w:type="auto"/>
            <w:vMerge/>
            <w:tcBorders>
              <w:top w:val="nil"/>
              <w:left w:val="nil"/>
              <w:bottom w:val="single" w:sz="8" w:space="0" w:color="0070C0"/>
              <w:right w:val="nil"/>
            </w:tcBorders>
            <w:vAlign w:val="center"/>
            <w:hideMark/>
          </w:tcPr>
          <w:p w14:paraId="0805A6D9" w14:textId="77777777" w:rsidR="00114014" w:rsidRPr="00EB7016" w:rsidRDefault="00114014" w:rsidP="00EB7016">
            <w:pPr>
              <w:rPr>
                <w:rFonts w:eastAsia="Calibri" w:cs="Calibri"/>
                <w:sz w:val="13"/>
                <w:szCs w:val="13"/>
                <w:lang w:eastAsia="en-US"/>
              </w:rPr>
            </w:pPr>
          </w:p>
        </w:tc>
      </w:tr>
      <w:tr w:rsidR="00114014" w:rsidRPr="00EB7016" w14:paraId="5F65A49C" w14:textId="77777777" w:rsidTr="00240C61">
        <w:trPr>
          <w:trHeight w:val="546"/>
        </w:trPr>
        <w:tc>
          <w:tcPr>
            <w:tcW w:w="2268" w:type="dxa"/>
            <w:tcBorders>
              <w:top w:val="single" w:sz="8" w:space="0" w:color="0070C0"/>
              <w:bottom w:val="single" w:sz="4" w:space="0" w:color="0070C0"/>
              <w:right w:val="single" w:sz="8" w:space="0" w:color="0070C0"/>
            </w:tcBorders>
            <w:vAlign w:val="center"/>
            <w:hideMark/>
          </w:tcPr>
          <w:p w14:paraId="432252AD" w14:textId="77777777" w:rsidR="00114014" w:rsidRPr="00EB7016" w:rsidRDefault="00114014" w:rsidP="00EB7016">
            <w:pPr>
              <w:spacing w:line="252" w:lineRule="auto"/>
              <w:rPr>
                <w:sz w:val="13"/>
                <w:szCs w:val="13"/>
              </w:rPr>
            </w:pPr>
            <w:r w:rsidRPr="00EB7016">
              <w:rPr>
                <w:sz w:val="13"/>
                <w:szCs w:val="13"/>
              </w:rPr>
              <w:t>Kredyty i pożyczki udzielone klientom przeznaczone do obrotu</w:t>
            </w:r>
          </w:p>
        </w:tc>
        <w:tc>
          <w:tcPr>
            <w:tcW w:w="1304" w:type="dxa"/>
            <w:tcBorders>
              <w:top w:val="nil"/>
              <w:left w:val="nil"/>
              <w:bottom w:val="single" w:sz="4" w:space="0" w:color="0070C0"/>
              <w:right w:val="single" w:sz="8" w:space="0" w:color="0070C0"/>
            </w:tcBorders>
            <w:noWrap/>
            <w:tcMar>
              <w:top w:w="0" w:type="dxa"/>
              <w:left w:w="70" w:type="dxa"/>
              <w:bottom w:w="0" w:type="dxa"/>
              <w:right w:w="70" w:type="dxa"/>
            </w:tcMar>
            <w:vAlign w:val="center"/>
            <w:hideMark/>
          </w:tcPr>
          <w:p w14:paraId="16CA95A3" w14:textId="77777777" w:rsidR="00114014" w:rsidRPr="00EB7016" w:rsidRDefault="00114014" w:rsidP="00EB7016">
            <w:pPr>
              <w:spacing w:line="252" w:lineRule="auto"/>
              <w:jc w:val="right"/>
              <w:rPr>
                <w:sz w:val="13"/>
                <w:szCs w:val="13"/>
              </w:rPr>
            </w:pPr>
            <w:r w:rsidRPr="00EB7016">
              <w:rPr>
                <w:sz w:val="13"/>
                <w:szCs w:val="13"/>
              </w:rPr>
              <w:t>172 689</w:t>
            </w:r>
          </w:p>
        </w:tc>
        <w:tc>
          <w:tcPr>
            <w:tcW w:w="1304" w:type="dxa"/>
            <w:tcBorders>
              <w:top w:val="nil"/>
              <w:left w:val="nil"/>
              <w:bottom w:val="single" w:sz="4" w:space="0" w:color="0070C0"/>
              <w:right w:val="single" w:sz="8" w:space="0" w:color="0070C0"/>
            </w:tcBorders>
            <w:vAlign w:val="center"/>
            <w:hideMark/>
          </w:tcPr>
          <w:p w14:paraId="74DB3912" w14:textId="77777777" w:rsidR="00114014" w:rsidRPr="00EB7016" w:rsidRDefault="00114014" w:rsidP="00EB7016">
            <w:pPr>
              <w:spacing w:line="252" w:lineRule="auto"/>
              <w:jc w:val="right"/>
              <w:rPr>
                <w:sz w:val="13"/>
                <w:szCs w:val="13"/>
              </w:rPr>
            </w:pPr>
            <w:r w:rsidRPr="00EB7016">
              <w:rPr>
                <w:sz w:val="13"/>
                <w:szCs w:val="13"/>
              </w:rPr>
              <w:t>(130)</w:t>
            </w:r>
          </w:p>
        </w:tc>
        <w:tc>
          <w:tcPr>
            <w:tcW w:w="1304" w:type="dxa"/>
            <w:tcBorders>
              <w:top w:val="nil"/>
              <w:left w:val="nil"/>
              <w:bottom w:val="single" w:sz="4" w:space="0" w:color="0070C0"/>
              <w:right w:val="single" w:sz="8" w:space="0" w:color="0070C0"/>
            </w:tcBorders>
            <w:noWrap/>
            <w:tcMar>
              <w:top w:w="0" w:type="dxa"/>
              <w:left w:w="70" w:type="dxa"/>
              <w:bottom w:w="0" w:type="dxa"/>
              <w:right w:w="70" w:type="dxa"/>
            </w:tcMar>
            <w:vAlign w:val="center"/>
            <w:hideMark/>
          </w:tcPr>
          <w:p w14:paraId="192963D9" w14:textId="77777777" w:rsidR="00114014" w:rsidRPr="00EB7016" w:rsidRDefault="00114014" w:rsidP="00EB7016">
            <w:pPr>
              <w:spacing w:line="252" w:lineRule="auto"/>
              <w:jc w:val="right"/>
              <w:rPr>
                <w:sz w:val="13"/>
                <w:szCs w:val="13"/>
              </w:rPr>
            </w:pPr>
            <w:r w:rsidRPr="00EB7016">
              <w:rPr>
                <w:sz w:val="13"/>
                <w:szCs w:val="13"/>
              </w:rPr>
              <w:t>137</w:t>
            </w:r>
          </w:p>
        </w:tc>
        <w:tc>
          <w:tcPr>
            <w:tcW w:w="0" w:type="auto"/>
            <w:vMerge w:val="restart"/>
            <w:tcBorders>
              <w:top w:val="nil"/>
              <w:left w:val="nil"/>
              <w:bottom w:val="single" w:sz="8" w:space="0" w:color="0070C0"/>
              <w:right w:val="nil"/>
            </w:tcBorders>
            <w:tcMar>
              <w:top w:w="0" w:type="dxa"/>
              <w:left w:w="70" w:type="dxa"/>
              <w:bottom w:w="0" w:type="dxa"/>
              <w:right w:w="70" w:type="dxa"/>
            </w:tcMar>
            <w:vAlign w:val="center"/>
            <w:hideMark/>
          </w:tcPr>
          <w:p w14:paraId="63E83C7E" w14:textId="77777777" w:rsidR="00114014" w:rsidRPr="00EB7016" w:rsidRDefault="00114014" w:rsidP="00EC26E8">
            <w:pPr>
              <w:spacing w:line="252" w:lineRule="auto"/>
              <w:jc w:val="both"/>
              <w:rPr>
                <w:sz w:val="13"/>
                <w:szCs w:val="13"/>
              </w:rPr>
            </w:pPr>
            <w:r w:rsidRPr="00EB7016">
              <w:rPr>
                <w:sz w:val="13"/>
                <w:szCs w:val="13"/>
              </w:rPr>
              <w:t>Model wyceny wykorzystuje parametry ryzyka kredytowego (PD oraz LGD). Wrażliwość policzona przy założeniu zmiany PD i LGD +/- 10%. Przy wzroście wartości parametru Bank odnotowuje stratę, przy spadku spodziewany jest zysk.</w:t>
            </w:r>
          </w:p>
        </w:tc>
      </w:tr>
      <w:tr w:rsidR="00EC26E8" w:rsidRPr="00EB7016" w14:paraId="6E502986" w14:textId="77777777" w:rsidTr="00240C61">
        <w:trPr>
          <w:trHeight w:val="546"/>
        </w:trPr>
        <w:tc>
          <w:tcPr>
            <w:tcW w:w="2268" w:type="dxa"/>
            <w:tcBorders>
              <w:top w:val="single" w:sz="4" w:space="0" w:color="0070C0"/>
              <w:bottom w:val="single" w:sz="8" w:space="0" w:color="0070C0"/>
              <w:right w:val="single" w:sz="8" w:space="0" w:color="0070C0"/>
            </w:tcBorders>
            <w:vAlign w:val="center"/>
            <w:hideMark/>
          </w:tcPr>
          <w:p w14:paraId="254003D5" w14:textId="77777777" w:rsidR="00EC26E8" w:rsidRPr="00EB7016" w:rsidRDefault="00EC26E8" w:rsidP="00EB7016">
            <w:pPr>
              <w:spacing w:line="252" w:lineRule="auto"/>
              <w:rPr>
                <w:sz w:val="13"/>
                <w:szCs w:val="13"/>
              </w:rPr>
            </w:pPr>
            <w:r w:rsidRPr="00EB7016">
              <w:rPr>
                <w:sz w:val="13"/>
                <w:szCs w:val="13"/>
              </w:rPr>
              <w:t>Kredyty i pożyczki udzielone klientom obowiązkowo wyceniane w wartości godziwej przez wynik finansowy</w:t>
            </w:r>
          </w:p>
        </w:tc>
        <w:tc>
          <w:tcPr>
            <w:tcW w:w="1304" w:type="dxa"/>
            <w:tcBorders>
              <w:top w:val="single" w:sz="4" w:space="0" w:color="0070C0"/>
              <w:left w:val="nil"/>
              <w:bottom w:val="single" w:sz="8" w:space="0" w:color="0070C0"/>
              <w:right w:val="single" w:sz="8" w:space="0" w:color="0070C0"/>
            </w:tcBorders>
            <w:noWrap/>
            <w:tcMar>
              <w:top w:w="0" w:type="dxa"/>
              <w:left w:w="70" w:type="dxa"/>
              <w:bottom w:w="0" w:type="dxa"/>
              <w:right w:w="70" w:type="dxa"/>
            </w:tcMar>
            <w:vAlign w:val="center"/>
            <w:hideMark/>
          </w:tcPr>
          <w:p w14:paraId="23DFC824" w14:textId="572D05D7" w:rsidR="00EC26E8" w:rsidRPr="00EB7016" w:rsidRDefault="00EC26E8" w:rsidP="00114014">
            <w:pPr>
              <w:spacing w:line="252" w:lineRule="auto"/>
              <w:jc w:val="right"/>
              <w:rPr>
                <w:sz w:val="13"/>
                <w:szCs w:val="13"/>
              </w:rPr>
            </w:pPr>
            <w:r>
              <w:rPr>
                <w:sz w:val="13"/>
                <w:szCs w:val="13"/>
              </w:rPr>
              <w:t>1 971</w:t>
            </w:r>
            <w:r w:rsidRPr="00EB7016">
              <w:rPr>
                <w:sz w:val="13"/>
                <w:szCs w:val="13"/>
              </w:rPr>
              <w:t xml:space="preserve"> </w:t>
            </w:r>
            <w:r>
              <w:rPr>
                <w:sz w:val="13"/>
                <w:szCs w:val="13"/>
              </w:rPr>
              <w:t>532</w:t>
            </w:r>
          </w:p>
        </w:tc>
        <w:tc>
          <w:tcPr>
            <w:tcW w:w="1304" w:type="dxa"/>
            <w:tcBorders>
              <w:top w:val="single" w:sz="4" w:space="0" w:color="0070C0"/>
              <w:left w:val="nil"/>
              <w:bottom w:val="single" w:sz="8" w:space="0" w:color="0070C0"/>
              <w:right w:val="single" w:sz="8" w:space="0" w:color="0070C0"/>
            </w:tcBorders>
            <w:vAlign w:val="center"/>
            <w:hideMark/>
          </w:tcPr>
          <w:p w14:paraId="5B0DC4AC" w14:textId="174E8A6C" w:rsidR="00EC26E8" w:rsidRPr="00EB7016" w:rsidRDefault="00EC26E8" w:rsidP="00EB7016">
            <w:pPr>
              <w:spacing w:line="252" w:lineRule="auto"/>
              <w:jc w:val="right"/>
              <w:rPr>
                <w:bCs/>
                <w:sz w:val="13"/>
                <w:szCs w:val="13"/>
              </w:rPr>
            </w:pPr>
            <w:r w:rsidRPr="00EB7016">
              <w:rPr>
                <w:bCs/>
                <w:sz w:val="13"/>
                <w:szCs w:val="13"/>
              </w:rPr>
              <w:t>(29 063)</w:t>
            </w:r>
          </w:p>
        </w:tc>
        <w:tc>
          <w:tcPr>
            <w:tcW w:w="1304" w:type="dxa"/>
            <w:tcBorders>
              <w:top w:val="single" w:sz="4" w:space="0" w:color="0070C0"/>
              <w:left w:val="nil"/>
              <w:bottom w:val="single" w:sz="8" w:space="0" w:color="0070C0"/>
              <w:right w:val="single" w:sz="8" w:space="0" w:color="0070C0"/>
            </w:tcBorders>
            <w:noWrap/>
            <w:tcMar>
              <w:top w:w="0" w:type="dxa"/>
              <w:left w:w="70" w:type="dxa"/>
              <w:bottom w:w="0" w:type="dxa"/>
              <w:right w:w="70" w:type="dxa"/>
            </w:tcMar>
            <w:vAlign w:val="center"/>
            <w:hideMark/>
          </w:tcPr>
          <w:p w14:paraId="3A3EF225" w14:textId="77777777" w:rsidR="00EC26E8" w:rsidRPr="00EB7016" w:rsidRDefault="00EC26E8" w:rsidP="00EB7016">
            <w:pPr>
              <w:spacing w:line="252" w:lineRule="auto"/>
              <w:jc w:val="right"/>
              <w:rPr>
                <w:bCs/>
                <w:sz w:val="13"/>
                <w:szCs w:val="13"/>
              </w:rPr>
            </w:pPr>
            <w:r w:rsidRPr="00EB7016">
              <w:rPr>
                <w:bCs/>
                <w:sz w:val="13"/>
                <w:szCs w:val="13"/>
              </w:rPr>
              <w:t>28 962</w:t>
            </w:r>
          </w:p>
        </w:tc>
        <w:tc>
          <w:tcPr>
            <w:tcW w:w="0" w:type="auto"/>
            <w:vMerge/>
            <w:tcBorders>
              <w:top w:val="nil"/>
              <w:left w:val="nil"/>
              <w:bottom w:val="single" w:sz="8" w:space="0" w:color="0070C0"/>
              <w:right w:val="nil"/>
            </w:tcBorders>
            <w:vAlign w:val="center"/>
            <w:hideMark/>
          </w:tcPr>
          <w:p w14:paraId="1BDC525B" w14:textId="77777777" w:rsidR="00EC26E8" w:rsidRPr="00EB7016" w:rsidRDefault="00EC26E8" w:rsidP="00EB7016">
            <w:pPr>
              <w:rPr>
                <w:rFonts w:eastAsia="Calibri" w:cs="Calibri"/>
                <w:color w:val="000000"/>
                <w:sz w:val="13"/>
                <w:szCs w:val="13"/>
                <w:lang w:eastAsia="en-US"/>
              </w:rPr>
            </w:pPr>
          </w:p>
        </w:tc>
      </w:tr>
    </w:tbl>
    <w:p w14:paraId="21521319" w14:textId="04F8B013" w:rsidR="008A4D3B" w:rsidRDefault="008A4D3B" w:rsidP="00EB3F70">
      <w:pPr>
        <w:suppressAutoHyphens/>
        <w:jc w:val="both"/>
        <w:rPr>
          <w:rFonts w:cs="Tahoma"/>
          <w:color w:val="201C17"/>
          <w:sz w:val="18"/>
          <w:szCs w:val="18"/>
        </w:rPr>
      </w:pPr>
    </w:p>
    <w:p w14:paraId="53876EE4" w14:textId="77777777" w:rsidR="008A4D3B" w:rsidRDefault="008A4D3B">
      <w:pPr>
        <w:rPr>
          <w:rFonts w:cs="Tahoma"/>
          <w:color w:val="201C17"/>
          <w:sz w:val="18"/>
          <w:szCs w:val="18"/>
        </w:rPr>
      </w:pPr>
      <w:r>
        <w:rPr>
          <w:rFonts w:cs="Tahoma"/>
          <w:color w:val="201C17"/>
          <w:sz w:val="18"/>
          <w:szCs w:val="18"/>
        </w:rPr>
        <w:br w:type="page"/>
      </w:r>
    </w:p>
    <w:p w14:paraId="63BA04DA" w14:textId="77777777" w:rsidR="000C612E" w:rsidRPr="006B17A4" w:rsidRDefault="000C612E" w:rsidP="00526DF1">
      <w:pPr>
        <w:pStyle w:val="Nagwek2"/>
        <w:numPr>
          <w:ilvl w:val="0"/>
          <w:numId w:val="44"/>
        </w:numPr>
        <w:suppressAutoHyphens/>
        <w:spacing w:before="0"/>
        <w:ind w:left="425" w:hanging="425"/>
        <w:jc w:val="both"/>
        <w:rPr>
          <w:rFonts w:cs="Tahoma"/>
          <w:bCs w:val="0"/>
          <w:iCs w:val="0"/>
          <w:color w:val="E41E0A"/>
          <w:sz w:val="18"/>
          <w:szCs w:val="18"/>
        </w:rPr>
      </w:pPr>
      <w:bookmarkStart w:id="116" w:name="_Toc32999835"/>
      <w:r>
        <w:rPr>
          <w:rFonts w:cs="Tahoma"/>
          <w:bCs w:val="0"/>
          <w:iCs w:val="0"/>
          <w:color w:val="E41E0A"/>
          <w:sz w:val="18"/>
          <w:szCs w:val="18"/>
        </w:rPr>
        <w:lastRenderedPageBreak/>
        <w:t>Ważniejsze os</w:t>
      </w:r>
      <w:r w:rsidR="002106ED">
        <w:rPr>
          <w:rFonts w:cs="Tahoma"/>
          <w:bCs w:val="0"/>
          <w:iCs w:val="0"/>
          <w:color w:val="E41E0A"/>
          <w:sz w:val="18"/>
          <w:szCs w:val="18"/>
        </w:rPr>
        <w:t>zacowania i o</w:t>
      </w:r>
      <w:r>
        <w:rPr>
          <w:rFonts w:cs="Tahoma"/>
          <w:bCs w:val="0"/>
          <w:iCs w:val="0"/>
          <w:color w:val="E41E0A"/>
          <w:sz w:val="18"/>
          <w:szCs w:val="18"/>
        </w:rPr>
        <w:t>ceny dokonane w związku z zastosowaniem zasad rachunkowości</w:t>
      </w:r>
      <w:bookmarkEnd w:id="116"/>
    </w:p>
    <w:p w14:paraId="565AE644" w14:textId="4099E19C" w:rsidR="00E54C33" w:rsidRPr="0068723D" w:rsidRDefault="00E54C33" w:rsidP="00E54C33">
      <w:pPr>
        <w:autoSpaceDE w:val="0"/>
        <w:autoSpaceDN w:val="0"/>
        <w:adjustRightInd w:val="0"/>
        <w:spacing w:before="120"/>
        <w:jc w:val="both"/>
        <w:rPr>
          <w:rFonts w:cs="Tahoma"/>
          <w:color w:val="000000" w:themeColor="text1"/>
          <w:sz w:val="18"/>
          <w:szCs w:val="18"/>
        </w:rPr>
      </w:pPr>
      <w:r w:rsidRPr="0068723D">
        <w:rPr>
          <w:rFonts w:cs="Tahoma"/>
          <w:color w:val="000000" w:themeColor="text1"/>
          <w:sz w:val="18"/>
          <w:szCs w:val="18"/>
        </w:rPr>
        <w:t>Grupa dokonuje oszacowań i przyjmuje założenia, które mają wpływ na wartości aktywów i zobowiązań wykazywanych w następnym okresie. Szacunki i założenia, które podlegają ciągłej ocenie, oparte są</w:t>
      </w:r>
      <w:r w:rsidR="00B034B5">
        <w:rPr>
          <w:rFonts w:cs="Tahoma"/>
          <w:color w:val="000000" w:themeColor="text1"/>
          <w:sz w:val="18"/>
          <w:szCs w:val="18"/>
        </w:rPr>
        <w:t> </w:t>
      </w:r>
      <w:r w:rsidRPr="0068723D">
        <w:rPr>
          <w:rFonts w:cs="Tahoma"/>
          <w:color w:val="000000" w:themeColor="text1"/>
          <w:sz w:val="18"/>
          <w:szCs w:val="18"/>
        </w:rPr>
        <w:t xml:space="preserve">o doświadczenia historyczne i inne czynniki, w tym oczekiwania co do przyszłych zdarzeń, które w danej sytuacji wydają się uzasadnione. </w:t>
      </w:r>
    </w:p>
    <w:p w14:paraId="62C6CB8B" w14:textId="77777777" w:rsidR="00E54C33" w:rsidRPr="0068723D" w:rsidRDefault="00E54C33" w:rsidP="00E54C33">
      <w:pPr>
        <w:autoSpaceDE w:val="0"/>
        <w:autoSpaceDN w:val="0"/>
        <w:adjustRightInd w:val="0"/>
        <w:spacing w:before="120"/>
        <w:jc w:val="both"/>
        <w:rPr>
          <w:rFonts w:cs="Tahoma"/>
          <w:color w:val="000000" w:themeColor="text1"/>
          <w:sz w:val="18"/>
          <w:szCs w:val="18"/>
          <w:u w:val="single"/>
        </w:rPr>
      </w:pPr>
      <w:r w:rsidRPr="0068723D">
        <w:rPr>
          <w:rFonts w:cs="Tahoma"/>
          <w:color w:val="000000" w:themeColor="text1"/>
          <w:sz w:val="18"/>
          <w:szCs w:val="18"/>
          <w:u w:val="single"/>
        </w:rPr>
        <w:t>Utrata wartości kredytów i pożyczek</w:t>
      </w:r>
    </w:p>
    <w:p w14:paraId="7F7B816A" w14:textId="7DF8D4E1" w:rsidR="00E54C33" w:rsidRPr="0068723D" w:rsidRDefault="00E54C33" w:rsidP="00E54C33">
      <w:pPr>
        <w:autoSpaceDE w:val="0"/>
        <w:autoSpaceDN w:val="0"/>
        <w:adjustRightInd w:val="0"/>
        <w:spacing w:before="120"/>
        <w:jc w:val="both"/>
        <w:rPr>
          <w:rFonts w:cs="Tahoma"/>
          <w:color w:val="000000" w:themeColor="text1"/>
          <w:sz w:val="18"/>
          <w:szCs w:val="18"/>
        </w:rPr>
      </w:pPr>
      <w:r w:rsidRPr="0068723D">
        <w:rPr>
          <w:rFonts w:cs="Tahoma"/>
          <w:color w:val="000000" w:themeColor="text1"/>
          <w:sz w:val="18"/>
          <w:szCs w:val="18"/>
        </w:rPr>
        <w:t>Grupa przeprowadza przegląd swojego portfela kredytowego pod kątem utraty wartości przynajmniej raz na kwartał. Aby ustalić, czy należy wykazać utratę wartości w rachunku zysków i strat, Grupa ocenia czy istnieją jakiekolwiek dane wskazujące na możliwe do zmierzenia zmniejszenie szacowanych przyszłych przepływów pieniężnych dotyczących portfela kredytowego. Metodologia i założenia, na podstawie których określa się szacunkowe kwoty przepływów pieniężnych i okresy, w których one nastąpią, są poddawane regularnym przeglądom. Gdyby wartość bieżąca szacowanych przepływów pieniężnych (zdyskontowane odzyski z wpłat własnych z kapitału, zdyskontowane odzyski z odsetek, zdyskontowane odzyski z zobowiązań pozabilansowych i zdyskontowane odzyski z zabezpieczeń przypadających na należności bilansowe i pozabilansowe, ważone prawdopodobieństwem realizacji określonych sce</w:t>
      </w:r>
      <w:r w:rsidR="00145675">
        <w:rPr>
          <w:rFonts w:cs="Tahoma"/>
          <w:color w:val="000000" w:themeColor="text1"/>
          <w:sz w:val="18"/>
          <w:szCs w:val="18"/>
        </w:rPr>
        <w:t>nariuszy) dla portfela kredytów i pożyczek oraz</w:t>
      </w:r>
      <w:r w:rsidRPr="0068723D">
        <w:rPr>
          <w:rFonts w:cs="Tahoma"/>
          <w:color w:val="000000" w:themeColor="text1"/>
          <w:sz w:val="18"/>
          <w:szCs w:val="18"/>
        </w:rPr>
        <w:t xml:space="preserve"> zobowiązań pozabilansowych z rozpoznaną utratą wartości na dzień 31 grudnia 2019 roku uległa zmianie o +/- 10% to szacowana wielkość oczekiwanej straty kredytowej dla kredytów </w:t>
      </w:r>
      <w:r w:rsidRPr="00D3472E">
        <w:rPr>
          <w:rFonts w:cs="Tahoma"/>
          <w:color w:val="000000" w:themeColor="text1"/>
          <w:sz w:val="18"/>
          <w:szCs w:val="18"/>
        </w:rPr>
        <w:t xml:space="preserve">i pożyczek oraz zobowiązań pozabilansowych uległaby odpowiednio zmniejszeniu o </w:t>
      </w:r>
      <w:r w:rsidR="006F7CF3" w:rsidRPr="00D3472E">
        <w:rPr>
          <w:rFonts w:cs="Tahoma"/>
          <w:color w:val="000000" w:themeColor="text1"/>
          <w:sz w:val="18"/>
          <w:szCs w:val="18"/>
        </w:rPr>
        <w:t>49,7</w:t>
      </w:r>
      <w:r w:rsidR="00683796" w:rsidRPr="00D3472E">
        <w:rPr>
          <w:rFonts w:cs="Tahoma"/>
          <w:color w:val="000000" w:themeColor="text1"/>
          <w:sz w:val="18"/>
          <w:szCs w:val="18"/>
        </w:rPr>
        <w:t xml:space="preserve"> mln zł lub zwiększeniu o 59</w:t>
      </w:r>
      <w:r w:rsidRPr="00D3472E">
        <w:rPr>
          <w:rFonts w:cs="Tahoma"/>
          <w:color w:val="000000" w:themeColor="text1"/>
          <w:sz w:val="18"/>
          <w:szCs w:val="18"/>
        </w:rPr>
        <w:t>,</w:t>
      </w:r>
      <w:r w:rsidR="00683796" w:rsidRPr="00D3472E">
        <w:rPr>
          <w:rFonts w:cs="Tahoma"/>
          <w:color w:val="000000" w:themeColor="text1"/>
          <w:sz w:val="18"/>
          <w:szCs w:val="18"/>
        </w:rPr>
        <w:t>4</w:t>
      </w:r>
      <w:r w:rsidRPr="00D3472E">
        <w:rPr>
          <w:rFonts w:cs="Tahoma"/>
          <w:color w:val="000000" w:themeColor="text1"/>
          <w:sz w:val="18"/>
          <w:szCs w:val="18"/>
        </w:rPr>
        <w:t xml:space="preserve"> mln zł (na dzień 31 grudnia 2018 roku odpowiednio: 51,3 mln zł i 64,2 mln zł). Szacunek ten został przeprowadzony dla portfela kredytów i pożyczek oraz zobowiązań pozabilansowych,</w:t>
      </w:r>
      <w:r w:rsidRPr="0068723D">
        <w:rPr>
          <w:rFonts w:cs="Tahoma"/>
          <w:color w:val="000000" w:themeColor="text1"/>
          <w:sz w:val="18"/>
          <w:szCs w:val="18"/>
        </w:rPr>
        <w:t xml:space="preserve"> w przypadku których utrata wartości rozpoznawana jest w oparciu o indywidualną analizę przyszłych przepływów pieniężnych z tytułu spłat i odzysków zabezpieczeń - koszyk 3. Zasady wyznaczania odpisów aktualizujących oraz rezerw z tytułu utraty wartości ekspozycji kredytowych zostały opisane w </w:t>
      </w:r>
      <w:r w:rsidR="00B567EF" w:rsidRPr="0068723D">
        <w:rPr>
          <w:rFonts w:cs="Tahoma"/>
          <w:color w:val="000000" w:themeColor="text1"/>
          <w:sz w:val="18"/>
          <w:szCs w:val="18"/>
        </w:rPr>
        <w:t>Nocie 3.3</w:t>
      </w:r>
      <w:r w:rsidRPr="0068723D">
        <w:rPr>
          <w:rFonts w:cs="Tahoma"/>
          <w:color w:val="000000" w:themeColor="text1"/>
          <w:sz w:val="18"/>
          <w:szCs w:val="18"/>
        </w:rPr>
        <w:t>.6.</w:t>
      </w:r>
    </w:p>
    <w:p w14:paraId="4020AB41" w14:textId="77777777" w:rsidR="00E54C33" w:rsidRPr="0068723D" w:rsidRDefault="00E54C33" w:rsidP="00E54C33">
      <w:pPr>
        <w:autoSpaceDE w:val="0"/>
        <w:autoSpaceDN w:val="0"/>
        <w:adjustRightInd w:val="0"/>
        <w:spacing w:before="120"/>
        <w:jc w:val="both"/>
        <w:rPr>
          <w:rFonts w:eastAsia="Calibri"/>
          <w:color w:val="000000" w:themeColor="text1"/>
          <w:sz w:val="18"/>
          <w:szCs w:val="18"/>
          <w:u w:val="single"/>
          <w:lang w:eastAsia="en-US"/>
        </w:rPr>
      </w:pPr>
      <w:r w:rsidRPr="0068723D">
        <w:rPr>
          <w:rFonts w:eastAsia="Calibri"/>
          <w:color w:val="000000" w:themeColor="text1"/>
          <w:sz w:val="18"/>
          <w:szCs w:val="18"/>
          <w:u w:val="single"/>
          <w:lang w:eastAsia="en-US"/>
        </w:rPr>
        <w:t>Rezerwy na ryzyko prawne</w:t>
      </w:r>
    </w:p>
    <w:p w14:paraId="7E0C9D84" w14:textId="1042A227" w:rsidR="003847C2" w:rsidRDefault="003847C2" w:rsidP="003847C2">
      <w:pPr>
        <w:autoSpaceDE w:val="0"/>
        <w:autoSpaceDN w:val="0"/>
        <w:adjustRightInd w:val="0"/>
        <w:spacing w:before="120"/>
        <w:jc w:val="both"/>
        <w:rPr>
          <w:rFonts w:eastAsia="Calibri"/>
          <w:color w:val="000000" w:themeColor="text1"/>
          <w:sz w:val="18"/>
          <w:szCs w:val="18"/>
          <w:lang w:eastAsia="en-US"/>
        </w:rPr>
      </w:pPr>
      <w:r w:rsidRPr="003847C2">
        <w:rPr>
          <w:rFonts w:eastAsia="Calibri"/>
          <w:color w:val="000000" w:themeColor="text1"/>
          <w:sz w:val="18"/>
          <w:szCs w:val="18"/>
          <w:lang w:eastAsia="en-US"/>
        </w:rPr>
        <w:t>Rezerwy na postępowania sądowe tworzy się na każdy dzień sprawozdawczy biorąc pod uwagę wartość przedmiotu sporu i inne koszty oraz oszacowanie prawdopodobieństwa straty. Ostateczne zobowiązanie Grupy może jednak różnić się od ujętych rezerw, ponieważ ocenie prawdopodobieństwa straty w</w:t>
      </w:r>
      <w:r w:rsidR="00B813AF">
        <w:rPr>
          <w:rFonts w:eastAsia="Calibri"/>
          <w:color w:val="000000" w:themeColor="text1"/>
          <w:sz w:val="18"/>
          <w:szCs w:val="18"/>
          <w:lang w:eastAsia="en-US"/>
        </w:rPr>
        <w:t> </w:t>
      </w:r>
      <w:r w:rsidRPr="003847C2">
        <w:rPr>
          <w:rFonts w:eastAsia="Calibri"/>
          <w:color w:val="000000" w:themeColor="text1"/>
          <w:sz w:val="18"/>
          <w:szCs w:val="18"/>
          <w:lang w:eastAsia="en-US"/>
        </w:rPr>
        <w:t>postępowaniach sądowych i kwantyfikacji rezerw towarzyszy wysoki stopień osądu. Szacunki te mogą okazać się niedokładne na późniejszym etapie postępowania.</w:t>
      </w:r>
    </w:p>
    <w:p w14:paraId="4503D726" w14:textId="5E59AF98" w:rsidR="003847C2" w:rsidRPr="00FA7526" w:rsidRDefault="003847C2" w:rsidP="003847C2">
      <w:pPr>
        <w:autoSpaceDE w:val="0"/>
        <w:autoSpaceDN w:val="0"/>
        <w:adjustRightInd w:val="0"/>
        <w:spacing w:before="120"/>
        <w:jc w:val="both"/>
        <w:rPr>
          <w:rFonts w:eastAsia="Calibri"/>
          <w:color w:val="000000" w:themeColor="text1"/>
          <w:sz w:val="18"/>
          <w:szCs w:val="18"/>
          <w:lang w:eastAsia="en-US"/>
        </w:rPr>
      </w:pPr>
      <w:r w:rsidRPr="003847C2">
        <w:rPr>
          <w:rFonts w:eastAsia="Calibri"/>
          <w:color w:val="000000" w:themeColor="text1"/>
          <w:sz w:val="18"/>
          <w:szCs w:val="18"/>
          <w:lang w:eastAsia="en-US"/>
        </w:rPr>
        <w:t>Grupa uważnie obserwuje wyniki orzeczeń sądowych w postępowaniach sądowych dotyczących kredytów hipotecznych i mieszkaniowych we frankach szwajcarsk</w:t>
      </w:r>
      <w:r w:rsidR="00F80A98">
        <w:rPr>
          <w:rFonts w:eastAsia="Calibri"/>
          <w:color w:val="000000" w:themeColor="text1"/>
          <w:sz w:val="18"/>
          <w:szCs w:val="18"/>
          <w:lang w:eastAsia="en-US"/>
        </w:rPr>
        <w:t>ich, w tym wpływ orzeczenia Trybunału Sprawiedliwości Unii Europejskiej</w:t>
      </w:r>
      <w:r w:rsidRPr="003847C2">
        <w:rPr>
          <w:rFonts w:eastAsia="Calibri"/>
          <w:color w:val="000000" w:themeColor="text1"/>
          <w:sz w:val="18"/>
          <w:szCs w:val="18"/>
          <w:lang w:eastAsia="en-US"/>
        </w:rPr>
        <w:t xml:space="preserve"> </w:t>
      </w:r>
      <w:r w:rsidR="009959E7">
        <w:rPr>
          <w:rFonts w:eastAsia="Calibri"/>
          <w:color w:val="000000" w:themeColor="text1"/>
          <w:sz w:val="18"/>
          <w:szCs w:val="18"/>
          <w:lang w:eastAsia="en-US"/>
        </w:rPr>
        <w:t xml:space="preserve">(TSUE) </w:t>
      </w:r>
      <w:r w:rsidRPr="003847C2">
        <w:rPr>
          <w:rFonts w:eastAsia="Calibri"/>
          <w:color w:val="000000" w:themeColor="text1"/>
          <w:sz w:val="18"/>
          <w:szCs w:val="18"/>
          <w:lang w:eastAsia="en-US"/>
        </w:rPr>
        <w:t>opisanego w</w:t>
      </w:r>
      <w:r w:rsidR="00B813AF">
        <w:rPr>
          <w:rFonts w:eastAsia="Calibri"/>
          <w:color w:val="000000" w:themeColor="text1"/>
          <w:sz w:val="18"/>
          <w:szCs w:val="18"/>
          <w:lang w:eastAsia="en-US"/>
        </w:rPr>
        <w:t> Nocie 32</w:t>
      </w:r>
      <w:r w:rsidRPr="003847C2">
        <w:rPr>
          <w:rFonts w:eastAsia="Calibri"/>
          <w:color w:val="000000" w:themeColor="text1"/>
          <w:sz w:val="18"/>
          <w:szCs w:val="18"/>
          <w:lang w:eastAsia="en-US"/>
        </w:rPr>
        <w:t xml:space="preserve"> „Postępowania toczące się przed sądem, organem właściwym dla postępowania arbitrażowego lub organem administracji publicznej”. W IV kwartale 2019 r</w:t>
      </w:r>
      <w:r w:rsidR="00B813AF">
        <w:rPr>
          <w:rFonts w:eastAsia="Calibri"/>
          <w:color w:val="000000" w:themeColor="text1"/>
          <w:sz w:val="18"/>
          <w:szCs w:val="18"/>
          <w:lang w:eastAsia="en-US"/>
        </w:rPr>
        <w:t>oku</w:t>
      </w:r>
      <w:r w:rsidRPr="003847C2">
        <w:rPr>
          <w:rFonts w:eastAsia="Calibri"/>
          <w:color w:val="000000" w:themeColor="text1"/>
          <w:sz w:val="18"/>
          <w:szCs w:val="18"/>
          <w:lang w:eastAsia="en-US"/>
        </w:rPr>
        <w:t xml:space="preserve"> Grupa postanowiła zmienić metodologię kalkulacji rezerw na ryzyko prawne dotyczące indywidualnych spraw sądowych dotyczących klauzul indeksacyjnych w kredytach hipotecznych i</w:t>
      </w:r>
      <w:r w:rsidR="001F508C">
        <w:rPr>
          <w:rFonts w:eastAsia="Calibri"/>
          <w:color w:val="000000" w:themeColor="text1"/>
          <w:sz w:val="18"/>
          <w:szCs w:val="18"/>
          <w:lang w:eastAsia="en-US"/>
        </w:rPr>
        <w:t> </w:t>
      </w:r>
      <w:r w:rsidRPr="003847C2">
        <w:rPr>
          <w:rFonts w:eastAsia="Calibri"/>
          <w:color w:val="000000" w:themeColor="text1"/>
          <w:sz w:val="18"/>
          <w:szCs w:val="18"/>
          <w:lang w:eastAsia="en-US"/>
        </w:rPr>
        <w:t>mieszkaniowych we frankach szwajcarskich, w wyniku zaobserwowanego wzrostu całkowitej liczby indywidualnych spraw sądowych, jak również zmiany orzecznictwa w takich sprawach sądowych. Na dzień 31 grudnia 2019 r</w:t>
      </w:r>
      <w:r w:rsidR="00B813AF">
        <w:rPr>
          <w:rFonts w:eastAsia="Calibri"/>
          <w:color w:val="000000" w:themeColor="text1"/>
          <w:sz w:val="18"/>
          <w:szCs w:val="18"/>
          <w:lang w:eastAsia="en-US"/>
        </w:rPr>
        <w:t>oku</w:t>
      </w:r>
      <w:r w:rsidRPr="003847C2">
        <w:rPr>
          <w:rFonts w:eastAsia="Calibri"/>
          <w:color w:val="000000" w:themeColor="text1"/>
          <w:sz w:val="18"/>
          <w:szCs w:val="18"/>
          <w:lang w:eastAsia="en-US"/>
        </w:rPr>
        <w:t xml:space="preserve"> Grupa obliczyła rezerwy na</w:t>
      </w:r>
      <w:r w:rsidR="00B034B5">
        <w:rPr>
          <w:rFonts w:eastAsia="Calibri"/>
          <w:color w:val="000000" w:themeColor="text1"/>
          <w:sz w:val="18"/>
          <w:szCs w:val="18"/>
          <w:lang w:eastAsia="en-US"/>
        </w:rPr>
        <w:t> </w:t>
      </w:r>
      <w:r w:rsidRPr="003847C2">
        <w:rPr>
          <w:rFonts w:eastAsia="Calibri"/>
          <w:color w:val="000000" w:themeColor="text1"/>
          <w:sz w:val="18"/>
          <w:szCs w:val="18"/>
          <w:lang w:eastAsia="en-US"/>
        </w:rPr>
        <w:t xml:space="preserve">kredyty hipoteczne i mieszkaniowe we frankach szwajcarskich, stosując metodę „wartości oczekiwanej” dopuszczoną przez MSR 37 „Rezerwy, zobowiązania warunkowe i aktywa warunkowe”, w której zobowiązanie jest szacowane poprzez uwzględnienie wszystkich możliwych wyników oraz odpowiadających im prawdopodobieństw. Wysokość rezerw na indywidualne sprawy sądowe dotyczące klauzul indeksacyjnych </w:t>
      </w:r>
      <w:r w:rsidRPr="00FA7526">
        <w:rPr>
          <w:rFonts w:eastAsia="Calibri"/>
          <w:color w:val="000000" w:themeColor="text1"/>
          <w:sz w:val="18"/>
          <w:szCs w:val="18"/>
          <w:lang w:eastAsia="en-US"/>
        </w:rPr>
        <w:t>obliczona przy zastosowaniu</w:t>
      </w:r>
      <w:r w:rsidR="00B813AF" w:rsidRPr="00FA7526">
        <w:rPr>
          <w:rFonts w:eastAsia="Calibri"/>
          <w:color w:val="000000" w:themeColor="text1"/>
          <w:sz w:val="18"/>
          <w:szCs w:val="18"/>
          <w:lang w:eastAsia="en-US"/>
        </w:rPr>
        <w:t xml:space="preserve"> nowej metodologii wyniosła 417 </w:t>
      </w:r>
      <w:r w:rsidRPr="00FA7526">
        <w:rPr>
          <w:rFonts w:eastAsia="Calibri"/>
          <w:color w:val="000000" w:themeColor="text1"/>
          <w:sz w:val="18"/>
          <w:szCs w:val="18"/>
          <w:lang w:eastAsia="en-US"/>
        </w:rPr>
        <w:t>653 t</w:t>
      </w:r>
      <w:r w:rsidR="00B813AF" w:rsidRPr="00FA7526">
        <w:rPr>
          <w:rFonts w:eastAsia="Calibri"/>
          <w:color w:val="000000" w:themeColor="text1"/>
          <w:sz w:val="18"/>
          <w:szCs w:val="18"/>
          <w:lang w:eastAsia="en-US"/>
        </w:rPr>
        <w:t>ys. zł, co stanowi wzrost o 387 </w:t>
      </w:r>
      <w:r w:rsidRPr="00FA7526">
        <w:rPr>
          <w:rFonts w:eastAsia="Calibri"/>
          <w:color w:val="000000" w:themeColor="text1"/>
          <w:sz w:val="18"/>
          <w:szCs w:val="18"/>
          <w:lang w:eastAsia="en-US"/>
        </w:rPr>
        <w:t>088 tys. zł w porównaniu do stanu na dzień 31 grudnia 2018 r</w:t>
      </w:r>
      <w:r w:rsidR="00B813AF" w:rsidRPr="00FA7526">
        <w:rPr>
          <w:rFonts w:eastAsia="Calibri"/>
          <w:color w:val="000000" w:themeColor="text1"/>
          <w:sz w:val="18"/>
          <w:szCs w:val="18"/>
          <w:lang w:eastAsia="en-US"/>
        </w:rPr>
        <w:t>oku</w:t>
      </w:r>
      <w:r w:rsidRPr="00FA7526">
        <w:rPr>
          <w:rFonts w:eastAsia="Calibri"/>
          <w:color w:val="000000" w:themeColor="text1"/>
          <w:sz w:val="18"/>
          <w:szCs w:val="18"/>
          <w:lang w:eastAsia="en-US"/>
        </w:rPr>
        <w:t>.</w:t>
      </w:r>
    </w:p>
    <w:p w14:paraId="3F61B2EF" w14:textId="77777777" w:rsidR="003847C2" w:rsidRPr="00FA7526" w:rsidRDefault="003847C2" w:rsidP="003847C2">
      <w:pPr>
        <w:autoSpaceDE w:val="0"/>
        <w:autoSpaceDN w:val="0"/>
        <w:adjustRightInd w:val="0"/>
        <w:spacing w:before="120"/>
        <w:jc w:val="both"/>
        <w:rPr>
          <w:rFonts w:eastAsia="Calibri"/>
          <w:color w:val="000000" w:themeColor="text1"/>
          <w:sz w:val="18"/>
          <w:szCs w:val="18"/>
          <w:lang w:eastAsia="en-US"/>
        </w:rPr>
      </w:pPr>
      <w:r w:rsidRPr="00FA7526">
        <w:rPr>
          <w:rFonts w:eastAsia="Calibri"/>
          <w:color w:val="000000" w:themeColor="text1"/>
          <w:sz w:val="18"/>
          <w:szCs w:val="18"/>
          <w:lang w:eastAsia="en-US"/>
        </w:rPr>
        <w:t>Metodologia stosowana przez Bank jest uzależniona od wielu założeń, opierających się w znacznym stopniu na ocenie eksperckiej Banku, wśród których najważniejsze to: prognozowana populacja kredytobiorców, którzy złożą pozew przeciwko Bankowi, prawdopodobieństwo prawomocnego przegrania spraw, rozkład oczekiwanych wyroków, które zostaną wydane przez sądy oraz strata poniesiona przez Bank w przypadku przegrania sprawy w sądzie.</w:t>
      </w:r>
    </w:p>
    <w:p w14:paraId="6C29A37B" w14:textId="137B066E" w:rsidR="00E84CF4" w:rsidRPr="00FA7526" w:rsidRDefault="00E84CF4" w:rsidP="00E84CF4">
      <w:pPr>
        <w:autoSpaceDE w:val="0"/>
        <w:autoSpaceDN w:val="0"/>
        <w:adjustRightInd w:val="0"/>
        <w:spacing w:before="120"/>
        <w:jc w:val="both"/>
        <w:rPr>
          <w:rFonts w:eastAsia="Calibri"/>
          <w:sz w:val="18"/>
          <w:szCs w:val="18"/>
          <w:lang w:eastAsia="en-US"/>
        </w:rPr>
      </w:pPr>
      <w:r w:rsidRPr="00FA7526">
        <w:rPr>
          <w:rFonts w:eastAsia="Calibri"/>
          <w:sz w:val="18"/>
          <w:szCs w:val="18"/>
          <w:lang w:eastAsia="en-US"/>
        </w:rPr>
        <w:t>Populacja kredytobiorców, którzy złożą pozew przeciwko Bankowi, jest prognozowana na okres kolejnych 5 lat na podstawie historii spraw sądowych Banku w przeszłości i zakłada znaczny wzrost napływu nowych spraw. Bank zakłada, że zdecydowana większość prognozowanych spraw zostanie wniesiona do sądu w</w:t>
      </w:r>
      <w:r w:rsidR="001F508C">
        <w:rPr>
          <w:rFonts w:eastAsia="Calibri"/>
          <w:sz w:val="18"/>
          <w:szCs w:val="18"/>
          <w:lang w:eastAsia="en-US"/>
        </w:rPr>
        <w:t> </w:t>
      </w:r>
      <w:r w:rsidRPr="00FA7526">
        <w:rPr>
          <w:rFonts w:eastAsia="Calibri"/>
          <w:sz w:val="18"/>
          <w:szCs w:val="18"/>
          <w:lang w:eastAsia="en-US"/>
        </w:rPr>
        <w:t>ciągu pierwszych 3 lat. Gdyby prognozowana liczba nowy</w:t>
      </w:r>
      <w:r w:rsidR="00F80A98">
        <w:rPr>
          <w:rFonts w:eastAsia="Calibri"/>
          <w:sz w:val="18"/>
          <w:szCs w:val="18"/>
          <w:lang w:eastAsia="en-US"/>
        </w:rPr>
        <w:t>ch spraw zmieniła się o +/- 20%</w:t>
      </w:r>
      <w:r w:rsidRPr="00FA7526">
        <w:rPr>
          <w:rFonts w:eastAsia="Calibri"/>
          <w:sz w:val="18"/>
          <w:szCs w:val="18"/>
          <w:lang w:eastAsia="en-US"/>
        </w:rPr>
        <w:t xml:space="preserve"> to</w:t>
      </w:r>
      <w:r w:rsidR="00F80A98">
        <w:rPr>
          <w:rFonts w:eastAsia="Calibri"/>
          <w:sz w:val="18"/>
          <w:szCs w:val="18"/>
          <w:lang w:eastAsia="en-US"/>
        </w:rPr>
        <w:t>,</w:t>
      </w:r>
      <w:r w:rsidRPr="00FA7526">
        <w:rPr>
          <w:rFonts w:eastAsia="Calibri"/>
          <w:sz w:val="18"/>
          <w:szCs w:val="18"/>
          <w:lang w:eastAsia="en-US"/>
        </w:rPr>
        <w:t xml:space="preserve"> przy</w:t>
      </w:r>
      <w:r w:rsidR="001F508C">
        <w:rPr>
          <w:rFonts w:eastAsia="Calibri"/>
          <w:sz w:val="18"/>
          <w:szCs w:val="18"/>
          <w:lang w:eastAsia="en-US"/>
        </w:rPr>
        <w:t> </w:t>
      </w:r>
      <w:r w:rsidRPr="00FA7526">
        <w:rPr>
          <w:rFonts w:eastAsia="Calibri"/>
          <w:sz w:val="18"/>
          <w:szCs w:val="18"/>
          <w:lang w:eastAsia="en-US"/>
        </w:rPr>
        <w:t>wszystkich innych istotnych założeniach niezmienionych, kwota rezerwy zmieniłaby się o +/- 48,2</w:t>
      </w:r>
      <w:r w:rsidR="001F508C">
        <w:rPr>
          <w:rFonts w:eastAsia="Calibri"/>
          <w:sz w:val="18"/>
          <w:szCs w:val="18"/>
          <w:lang w:eastAsia="en-US"/>
        </w:rPr>
        <w:t> </w:t>
      </w:r>
      <w:r w:rsidRPr="00FA7526">
        <w:rPr>
          <w:rFonts w:eastAsia="Calibri"/>
          <w:sz w:val="18"/>
          <w:szCs w:val="18"/>
          <w:lang w:eastAsia="en-US"/>
        </w:rPr>
        <w:t>mln PLN.</w:t>
      </w:r>
    </w:p>
    <w:p w14:paraId="586CA25E" w14:textId="0FE5652C" w:rsidR="00E84CF4" w:rsidRPr="00FA7526" w:rsidRDefault="003847C2" w:rsidP="00E84CF4">
      <w:pPr>
        <w:autoSpaceDE w:val="0"/>
        <w:autoSpaceDN w:val="0"/>
        <w:adjustRightInd w:val="0"/>
        <w:spacing w:before="120"/>
        <w:jc w:val="both"/>
        <w:rPr>
          <w:rFonts w:eastAsia="Calibri"/>
          <w:sz w:val="18"/>
          <w:szCs w:val="18"/>
          <w:lang w:eastAsia="en-US"/>
        </w:rPr>
      </w:pPr>
      <w:r w:rsidRPr="00FA7526">
        <w:rPr>
          <w:rFonts w:eastAsia="Calibri"/>
          <w:color w:val="000000" w:themeColor="text1"/>
          <w:sz w:val="18"/>
          <w:szCs w:val="18"/>
          <w:lang w:eastAsia="en-US"/>
        </w:rPr>
        <w:t>Prawdopodobieństwo przegranej obliczono na podstawie dostę</w:t>
      </w:r>
      <w:r w:rsidR="00B813AF" w:rsidRPr="00FA7526">
        <w:rPr>
          <w:rFonts w:eastAsia="Calibri"/>
          <w:color w:val="000000" w:themeColor="text1"/>
          <w:sz w:val="18"/>
          <w:szCs w:val="18"/>
          <w:lang w:eastAsia="en-US"/>
        </w:rPr>
        <w:t>pnej na dzień 31 grudnia 2019 roku</w:t>
      </w:r>
      <w:r w:rsidRPr="00FA7526">
        <w:rPr>
          <w:rFonts w:eastAsia="Calibri"/>
          <w:color w:val="000000" w:themeColor="text1"/>
          <w:sz w:val="18"/>
          <w:szCs w:val="18"/>
          <w:lang w:eastAsia="en-US"/>
        </w:rPr>
        <w:t xml:space="preserve"> historii pozytywnych i negatywnych prawomocnych wyroków dotyczących Banku. Dotychczasowe prawomocne orzeczenia w indywidualnych postępowaniach dotyczących klauzul indeksacyjnych są w większości </w:t>
      </w:r>
      <w:r w:rsidRPr="00FA7526">
        <w:rPr>
          <w:rFonts w:eastAsia="Calibri"/>
          <w:color w:val="000000" w:themeColor="text1"/>
          <w:sz w:val="18"/>
          <w:szCs w:val="18"/>
          <w:lang w:eastAsia="en-US"/>
        </w:rPr>
        <w:lastRenderedPageBreak/>
        <w:t xml:space="preserve">przypadków korzystne dla Grupy. Ponieważ liczba prawomocnych wyroków nie jest statystycznie reprezentatywna (w sprawach dotyczących mBanku wydano zbyt mało prawomocnych wyroków), </w:t>
      </w:r>
      <w:r w:rsidR="00E84CF4" w:rsidRPr="00FA7526">
        <w:rPr>
          <w:rFonts w:eastAsia="Calibri"/>
          <w:sz w:val="18"/>
          <w:szCs w:val="18"/>
          <w:lang w:eastAsia="en-US"/>
        </w:rPr>
        <w:t xml:space="preserve">założenie prawdopodobieństwa przegranej uwzględnia także ekspercki osąd dotyczący przyszłych tendencji w decyzjach sądów. Gdyby zakładane prawdopodobieństwo przegranej zmieniło się o +/- 10%, to przy wszystkich innych istotnych założeniach niezmienionych, kwota rezerwy zmieniłaby się </w:t>
      </w:r>
      <w:r w:rsidR="00E84CF4" w:rsidRPr="00FA7526">
        <w:rPr>
          <w:rFonts w:eastAsia="Calibri"/>
          <w:sz w:val="18"/>
          <w:szCs w:val="18"/>
          <w:lang w:eastAsia="en-US"/>
        </w:rPr>
        <w:br/>
        <w:t>o +/- 41,8 mln PLN.</w:t>
      </w:r>
    </w:p>
    <w:p w14:paraId="5ACD445C" w14:textId="7C3990A2" w:rsidR="00E54C33" w:rsidRPr="00FA7526" w:rsidRDefault="003847C2" w:rsidP="003847C2">
      <w:pPr>
        <w:autoSpaceDE w:val="0"/>
        <w:autoSpaceDN w:val="0"/>
        <w:adjustRightInd w:val="0"/>
        <w:spacing w:before="120"/>
        <w:jc w:val="both"/>
        <w:rPr>
          <w:rFonts w:eastAsia="Calibri"/>
          <w:sz w:val="18"/>
          <w:szCs w:val="18"/>
          <w:lang w:eastAsia="en-US"/>
        </w:rPr>
      </w:pPr>
      <w:r w:rsidRPr="00FA7526">
        <w:rPr>
          <w:rFonts w:eastAsia="Calibri"/>
          <w:color w:val="000000" w:themeColor="text1"/>
          <w:sz w:val="18"/>
          <w:szCs w:val="18"/>
          <w:lang w:eastAsia="en-US"/>
        </w:rPr>
        <w:t xml:space="preserve">Metodologia uwzględnia również oczekiwany poziom strat w przypadku przegrania sprawy przez Bank. </w:t>
      </w:r>
      <w:r w:rsidR="00E84CF4" w:rsidRPr="00FA7526">
        <w:rPr>
          <w:rFonts w:eastAsia="Calibri"/>
          <w:sz w:val="18"/>
          <w:szCs w:val="18"/>
          <w:lang w:eastAsia="en-US"/>
        </w:rPr>
        <w:t>Prognozowany wskaźnik strat</w:t>
      </w:r>
      <w:r w:rsidRPr="00FA7526">
        <w:rPr>
          <w:rFonts w:eastAsia="Calibri"/>
          <w:color w:val="000000" w:themeColor="text1"/>
          <w:sz w:val="18"/>
          <w:szCs w:val="18"/>
          <w:lang w:eastAsia="en-US"/>
        </w:rPr>
        <w:t xml:space="preserve"> obliczono na podstawie prawdopodobieństwa wydania różnych wyroków. Ponieważ obecnie nadal nie ma jednolitej linii wyroków wydanych przez sądy w takich przypadkach, Bank wziął pod uwagę trzy możliwe scenariusze przegranej w postępowaniach sądowych: (i) częściowa nieskuteczność umowy; umowa kredytu nie jest nieważna, jednak zostaje wyeliminowany mechanizm indeksacji, co prowadzi do</w:t>
      </w:r>
      <w:r w:rsidR="00252982" w:rsidRPr="00FA7526">
        <w:rPr>
          <w:rFonts w:eastAsia="Calibri"/>
          <w:color w:val="000000" w:themeColor="text1"/>
          <w:sz w:val="18"/>
          <w:szCs w:val="18"/>
          <w:lang w:eastAsia="en-US"/>
        </w:rPr>
        <w:t> </w:t>
      </w:r>
      <w:r w:rsidRPr="00FA7526">
        <w:rPr>
          <w:rFonts w:eastAsia="Calibri"/>
          <w:color w:val="000000" w:themeColor="text1"/>
          <w:sz w:val="18"/>
          <w:szCs w:val="18"/>
          <w:lang w:eastAsia="en-US"/>
        </w:rPr>
        <w:t>przekształcenia kredytu indeksowanego do CHF w kredyt złotowy z</w:t>
      </w:r>
      <w:r w:rsidR="009A4739">
        <w:rPr>
          <w:rFonts w:eastAsia="Calibri"/>
          <w:color w:val="000000" w:themeColor="text1"/>
          <w:sz w:val="18"/>
          <w:szCs w:val="18"/>
          <w:lang w:eastAsia="en-US"/>
        </w:rPr>
        <w:t> </w:t>
      </w:r>
      <w:r w:rsidRPr="00FA7526">
        <w:rPr>
          <w:rFonts w:eastAsia="Calibri"/>
          <w:color w:val="000000" w:themeColor="text1"/>
          <w:sz w:val="18"/>
          <w:szCs w:val="18"/>
          <w:lang w:eastAsia="en-US"/>
        </w:rPr>
        <w:t>oprocentowaniem właściwym dla kr</w:t>
      </w:r>
      <w:r w:rsidR="00F80A98">
        <w:rPr>
          <w:rFonts w:eastAsia="Calibri"/>
          <w:color w:val="000000" w:themeColor="text1"/>
          <w:sz w:val="18"/>
          <w:szCs w:val="18"/>
          <w:lang w:eastAsia="en-US"/>
        </w:rPr>
        <w:t>edytu indeksowanego do</w:t>
      </w:r>
      <w:r w:rsidRPr="00FA7526">
        <w:rPr>
          <w:rFonts w:eastAsia="Calibri"/>
          <w:color w:val="000000" w:themeColor="text1"/>
          <w:sz w:val="18"/>
          <w:szCs w:val="18"/>
          <w:lang w:eastAsia="en-US"/>
        </w:rPr>
        <w:t xml:space="preserve"> CHF, (ii) nieważność umowy w całości, przyjmując, że norma kursowa określa główny przedmiot umowy kredytu, a więc jej usunięcie powodowałoby zbyt daleko idącą zmianę umowy i</w:t>
      </w:r>
      <w:r w:rsidR="00252982" w:rsidRPr="00FA7526">
        <w:rPr>
          <w:rFonts w:eastAsia="Calibri"/>
          <w:color w:val="000000" w:themeColor="text1"/>
          <w:sz w:val="18"/>
          <w:szCs w:val="18"/>
          <w:lang w:eastAsia="en-US"/>
        </w:rPr>
        <w:t> </w:t>
      </w:r>
      <w:r w:rsidRPr="00FA7526">
        <w:rPr>
          <w:rFonts w:eastAsia="Calibri"/>
          <w:color w:val="000000" w:themeColor="text1"/>
          <w:sz w:val="18"/>
          <w:szCs w:val="18"/>
          <w:lang w:eastAsia="en-US"/>
        </w:rPr>
        <w:t>(iii) umowa kredytu indeksowanego nie jest nieważna i</w:t>
      </w:r>
      <w:r w:rsidR="009A4739">
        <w:rPr>
          <w:rFonts w:eastAsia="Calibri"/>
          <w:color w:val="000000" w:themeColor="text1"/>
          <w:sz w:val="18"/>
          <w:szCs w:val="18"/>
          <w:lang w:eastAsia="en-US"/>
        </w:rPr>
        <w:t> </w:t>
      </w:r>
      <w:r w:rsidRPr="00FA7526">
        <w:rPr>
          <w:rFonts w:eastAsia="Calibri"/>
          <w:color w:val="000000" w:themeColor="text1"/>
          <w:sz w:val="18"/>
          <w:szCs w:val="18"/>
          <w:lang w:eastAsia="en-US"/>
        </w:rPr>
        <w:t>pozosta</w:t>
      </w:r>
      <w:r w:rsidR="00F80A98">
        <w:rPr>
          <w:rFonts w:eastAsia="Calibri"/>
          <w:color w:val="000000" w:themeColor="text1"/>
          <w:sz w:val="18"/>
          <w:szCs w:val="18"/>
          <w:lang w:eastAsia="en-US"/>
        </w:rPr>
        <w:t>je kredytem indeksowanym do CHF;</w:t>
      </w:r>
      <w:r w:rsidRPr="00FA7526">
        <w:rPr>
          <w:rFonts w:eastAsia="Calibri"/>
          <w:color w:val="000000" w:themeColor="text1"/>
          <w:sz w:val="18"/>
          <w:szCs w:val="18"/>
          <w:lang w:eastAsia="en-US"/>
        </w:rPr>
        <w:t xml:space="preserve"> powstałą w umowie lukę należy uzupełnić w drodze wykładni umowy o kurs średni NBP. Każdy z tych scenariuszy wiąże się z innym poziomem </w:t>
      </w:r>
      <w:r w:rsidR="00E84CF4" w:rsidRPr="00FA7526">
        <w:rPr>
          <w:rFonts w:eastAsia="Calibri"/>
          <w:sz w:val="18"/>
          <w:szCs w:val="18"/>
          <w:lang w:eastAsia="en-US"/>
        </w:rPr>
        <w:t>prognozowanych</w:t>
      </w:r>
      <w:r w:rsidR="00E84CF4" w:rsidRPr="00FA7526">
        <w:rPr>
          <w:rFonts w:eastAsia="Calibri"/>
          <w:color w:val="000000" w:themeColor="text1"/>
          <w:sz w:val="18"/>
          <w:szCs w:val="18"/>
          <w:lang w:eastAsia="en-US"/>
        </w:rPr>
        <w:t xml:space="preserve"> </w:t>
      </w:r>
      <w:r w:rsidRPr="00FA7526">
        <w:rPr>
          <w:rFonts w:eastAsia="Calibri"/>
          <w:color w:val="000000" w:themeColor="text1"/>
          <w:sz w:val="18"/>
          <w:szCs w:val="18"/>
          <w:lang w:eastAsia="en-US"/>
        </w:rPr>
        <w:t>strat dla Banku. Bank obliczył średni poziom straty ważony prawdopodobieństwem wystąpienia tego scenariusza w przypadku prawomocnej przegranej Banku. Prawdopodobieństwa zastosowanych przez Bank scenariuszy zostały oparte na ocenie Banku skonsultowanej z zewnętrznym doradcą prawnym. Gdyby</w:t>
      </w:r>
      <w:r w:rsidR="009959E7">
        <w:rPr>
          <w:rFonts w:eastAsia="Calibri"/>
          <w:color w:val="000000" w:themeColor="text1"/>
          <w:sz w:val="18"/>
          <w:szCs w:val="18"/>
          <w:lang w:eastAsia="en-US"/>
        </w:rPr>
        <w:t> </w:t>
      </w:r>
      <w:r w:rsidRPr="00FA7526">
        <w:rPr>
          <w:rFonts w:eastAsia="Calibri"/>
          <w:color w:val="000000" w:themeColor="text1"/>
          <w:sz w:val="18"/>
          <w:szCs w:val="18"/>
          <w:lang w:eastAsia="en-US"/>
        </w:rPr>
        <w:t>zakładana średnia ważona strata zmieniła się o</w:t>
      </w:r>
      <w:r w:rsidR="00252982" w:rsidRPr="00FA7526">
        <w:rPr>
          <w:rFonts w:eastAsia="Calibri"/>
          <w:color w:val="000000" w:themeColor="text1"/>
          <w:sz w:val="18"/>
          <w:szCs w:val="18"/>
          <w:lang w:eastAsia="en-US"/>
        </w:rPr>
        <w:t> </w:t>
      </w:r>
      <w:r w:rsidR="00F80A98">
        <w:rPr>
          <w:rFonts w:eastAsia="Calibri"/>
          <w:color w:val="000000" w:themeColor="text1"/>
          <w:sz w:val="18"/>
          <w:szCs w:val="18"/>
          <w:lang w:eastAsia="en-US"/>
        </w:rPr>
        <w:t>+/- 5%</w:t>
      </w:r>
      <w:r w:rsidRPr="00FA7526">
        <w:rPr>
          <w:rFonts w:eastAsia="Calibri"/>
          <w:color w:val="000000" w:themeColor="text1"/>
          <w:sz w:val="18"/>
          <w:szCs w:val="18"/>
          <w:lang w:eastAsia="en-US"/>
        </w:rPr>
        <w:t xml:space="preserve"> </w:t>
      </w:r>
      <w:r w:rsidR="00E84CF4" w:rsidRPr="00FA7526">
        <w:rPr>
          <w:rFonts w:eastAsia="Calibri"/>
          <w:color w:val="000000" w:themeColor="text1"/>
          <w:sz w:val="18"/>
          <w:szCs w:val="18"/>
          <w:lang w:eastAsia="en-US"/>
        </w:rPr>
        <w:t>to</w:t>
      </w:r>
      <w:r w:rsidR="00F80A98">
        <w:rPr>
          <w:rFonts w:eastAsia="Calibri"/>
          <w:color w:val="000000" w:themeColor="text1"/>
          <w:sz w:val="18"/>
          <w:szCs w:val="18"/>
          <w:lang w:eastAsia="en-US"/>
        </w:rPr>
        <w:t>,</w:t>
      </w:r>
      <w:r w:rsidR="00E84CF4" w:rsidRPr="00FA7526">
        <w:rPr>
          <w:rFonts w:eastAsia="Calibri"/>
          <w:color w:val="000000" w:themeColor="text1"/>
          <w:sz w:val="18"/>
          <w:szCs w:val="18"/>
          <w:lang w:eastAsia="en-US"/>
        </w:rPr>
        <w:t xml:space="preserve"> </w:t>
      </w:r>
      <w:r w:rsidR="00E84CF4" w:rsidRPr="00FA7526">
        <w:rPr>
          <w:rFonts w:eastAsia="Calibri"/>
          <w:sz w:val="18"/>
          <w:szCs w:val="18"/>
          <w:lang w:eastAsia="en-US"/>
        </w:rPr>
        <w:t>przy wszystkich innych istotnych założeniach niezmienionych, kwota rezerwy zmieniłaby się o +/- 20,9 mln PLN.</w:t>
      </w:r>
    </w:p>
    <w:p w14:paraId="03D9EBCD" w14:textId="77777777" w:rsidR="00E84CF4" w:rsidRPr="00335C9B" w:rsidRDefault="00E84CF4" w:rsidP="00E84CF4">
      <w:pPr>
        <w:autoSpaceDE w:val="0"/>
        <w:autoSpaceDN w:val="0"/>
        <w:adjustRightInd w:val="0"/>
        <w:spacing w:before="120"/>
        <w:jc w:val="both"/>
        <w:rPr>
          <w:rFonts w:eastAsia="Calibri"/>
          <w:sz w:val="18"/>
          <w:szCs w:val="18"/>
          <w:lang w:eastAsia="en-US"/>
        </w:rPr>
      </w:pPr>
      <w:r w:rsidRPr="00FA7526">
        <w:rPr>
          <w:rFonts w:eastAsia="Calibri"/>
          <w:sz w:val="18"/>
          <w:szCs w:val="18"/>
          <w:lang w:eastAsia="en-US"/>
        </w:rPr>
        <w:t>Metodologia zastosowana do obliczenia rezerwy oparta jest na parametrach, które są wysoce subiektywne i mają szeroki zakres możliwych wartości. Możliwe jest, że w przyszłości rezerwa będzie musiała zostać istotnie korygowana, szczególnie że ważne parametry wykorzystywane w obliczeniach są współzależne.</w:t>
      </w:r>
    </w:p>
    <w:p w14:paraId="7EE8404B" w14:textId="2F37593F" w:rsidR="00EB7FDF" w:rsidRPr="009D74F5" w:rsidRDefault="00EB7FDF" w:rsidP="00EB7FDF">
      <w:pPr>
        <w:autoSpaceDE w:val="0"/>
        <w:autoSpaceDN w:val="0"/>
        <w:adjustRightInd w:val="0"/>
        <w:spacing w:before="120" w:after="120"/>
        <w:jc w:val="both"/>
        <w:rPr>
          <w:rFonts w:cs="Tahoma"/>
          <w:color w:val="000000" w:themeColor="text1"/>
          <w:sz w:val="18"/>
          <w:szCs w:val="18"/>
          <w:u w:val="single"/>
        </w:rPr>
      </w:pPr>
      <w:r w:rsidRPr="009D74F5">
        <w:rPr>
          <w:rFonts w:cs="Tahoma"/>
          <w:color w:val="000000" w:themeColor="text1"/>
          <w:sz w:val="18"/>
          <w:szCs w:val="18"/>
          <w:u w:val="single"/>
        </w:rPr>
        <w:t>Przedterminowe spłaty kredytów detalicznych</w:t>
      </w:r>
    </w:p>
    <w:p w14:paraId="4EB36A68" w14:textId="77777777" w:rsidR="009D74F5" w:rsidRPr="009D74F5" w:rsidRDefault="009D74F5" w:rsidP="009D74F5">
      <w:pPr>
        <w:autoSpaceDE w:val="0"/>
        <w:autoSpaceDN w:val="0"/>
        <w:adjustRightInd w:val="0"/>
        <w:spacing w:before="120" w:after="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Wyrokiem z dnia 11 września 2019 roku w sprawie dotyczącej kredytu konsumenckiego spłaconego w całości przedterminowo TSUE orzekł, że „prawo konsumenta do obniżki całkowitego kosztu kredytu w przypadku wcześniejszej spłaty kredytu obejmuje wszystkie koszty, które zostały nałożone na konsumenta”. Interpretacja zawarta w wyroku stanowi odpowiedź na pytanie prejudycjalne w sprawie z udziałem kilku banków, w tym mBanku.</w:t>
      </w:r>
    </w:p>
    <w:p w14:paraId="5406088C" w14:textId="34C980C1" w:rsidR="009D74F5" w:rsidRPr="009D74F5" w:rsidRDefault="009D74F5" w:rsidP="009D74F5">
      <w:pPr>
        <w:autoSpaceDE w:val="0"/>
        <w:autoSpaceDN w:val="0"/>
        <w:adjustRightInd w:val="0"/>
        <w:spacing w:before="120" w:after="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Stanowisko TSUE dotyczy kredytów konsumenckich, których banki udzieliły od dnia 18 grudnia 2011 roku, na kwotę nie większą niż 255 550 zł albo równowartość tej kwoty w walucie innej niż waluta polska oraz</w:t>
      </w:r>
      <w:r w:rsidR="00E61B28">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kredytów hipotecznych udzielonych od dnia 22 lipca 2017 roku bez ograniczenia kwoty kredytu, które</w:t>
      </w:r>
      <w:r w:rsidR="00E61B28">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 xml:space="preserve">są spłacone w całości lub w części. </w:t>
      </w:r>
    </w:p>
    <w:p w14:paraId="0682CADD" w14:textId="4EA775FE" w:rsidR="009D74F5" w:rsidRPr="009D74F5" w:rsidRDefault="009D74F5" w:rsidP="009D74F5">
      <w:pPr>
        <w:autoSpaceDE w:val="0"/>
        <w:autoSpaceDN w:val="0"/>
        <w:adjustRightInd w:val="0"/>
        <w:spacing w:before="120" w:after="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W 2019 roku Grupa rozpoznała w pozostałych kosztach operacyjnych (Nota 14) kwotę 25,</w:t>
      </w:r>
      <w:r w:rsidR="009A4739">
        <w:rPr>
          <w:rFonts w:eastAsia="Calibri" w:cs="Tahoma"/>
          <w:color w:val="000000" w:themeColor="text1"/>
          <w:sz w:val="18"/>
          <w:szCs w:val="18"/>
          <w:lang w:eastAsia="en-US"/>
        </w:rPr>
        <w:t>0 mln PLN na</w:t>
      </w:r>
      <w:r w:rsidR="00E61B28">
        <w:rPr>
          <w:rFonts w:eastAsia="Calibri" w:cs="Tahoma"/>
          <w:color w:val="000000" w:themeColor="text1"/>
          <w:sz w:val="18"/>
          <w:szCs w:val="18"/>
          <w:lang w:eastAsia="en-US"/>
        </w:rPr>
        <w:t> </w:t>
      </w:r>
      <w:r w:rsidR="009A4739">
        <w:rPr>
          <w:rFonts w:eastAsia="Calibri" w:cs="Tahoma"/>
          <w:color w:val="000000" w:themeColor="text1"/>
          <w:sz w:val="18"/>
          <w:szCs w:val="18"/>
          <w:lang w:eastAsia="en-US"/>
        </w:rPr>
        <w:t>potencjalne zwroty</w:t>
      </w:r>
      <w:r w:rsidRPr="009D74F5">
        <w:rPr>
          <w:rFonts w:eastAsia="Calibri" w:cs="Tahoma"/>
          <w:color w:val="000000" w:themeColor="text1"/>
          <w:sz w:val="18"/>
          <w:szCs w:val="18"/>
          <w:lang w:eastAsia="en-US"/>
        </w:rPr>
        <w:t xml:space="preserve"> prowizji z tytułu wcześniejszych spłat kredytów dokonanych przed dniem wydania wyroku przez T</w:t>
      </w:r>
      <w:r w:rsidR="00AC25CE">
        <w:rPr>
          <w:rFonts w:eastAsia="Calibri" w:cs="Tahoma"/>
          <w:color w:val="000000" w:themeColor="text1"/>
          <w:sz w:val="18"/>
          <w:szCs w:val="18"/>
          <w:lang w:eastAsia="en-US"/>
        </w:rPr>
        <w:t>SUE. Na dzień 31 grudnia 2019 roku</w:t>
      </w:r>
      <w:r w:rsidRPr="009D74F5">
        <w:rPr>
          <w:rFonts w:eastAsia="Calibri" w:cs="Tahoma"/>
          <w:color w:val="000000" w:themeColor="text1"/>
          <w:sz w:val="18"/>
          <w:szCs w:val="18"/>
          <w:lang w:eastAsia="en-US"/>
        </w:rPr>
        <w:t xml:space="preserve"> rezerwa wykazana w ra</w:t>
      </w:r>
      <w:r>
        <w:rPr>
          <w:rFonts w:eastAsia="Calibri" w:cs="Tahoma"/>
          <w:color w:val="000000" w:themeColor="text1"/>
          <w:sz w:val="18"/>
          <w:szCs w:val="18"/>
          <w:lang w:eastAsia="en-US"/>
        </w:rPr>
        <w:t xml:space="preserve">mach </w:t>
      </w:r>
      <w:r w:rsidR="0080632F">
        <w:rPr>
          <w:rFonts w:eastAsia="Calibri" w:cs="Tahoma"/>
          <w:color w:val="000000" w:themeColor="text1"/>
          <w:sz w:val="18"/>
          <w:szCs w:val="18"/>
          <w:lang w:eastAsia="en-US"/>
        </w:rPr>
        <w:t>innych</w:t>
      </w:r>
      <w:r>
        <w:rPr>
          <w:rFonts w:eastAsia="Calibri" w:cs="Tahoma"/>
          <w:color w:val="000000" w:themeColor="text1"/>
          <w:sz w:val="18"/>
          <w:szCs w:val="18"/>
          <w:lang w:eastAsia="en-US"/>
        </w:rPr>
        <w:t xml:space="preserve"> rezerw (Nota 30</w:t>
      </w:r>
      <w:r w:rsidRPr="009D74F5">
        <w:rPr>
          <w:rFonts w:eastAsia="Calibri" w:cs="Tahoma"/>
          <w:color w:val="000000" w:themeColor="text1"/>
          <w:sz w:val="18"/>
          <w:szCs w:val="18"/>
          <w:lang w:eastAsia="en-US"/>
        </w:rPr>
        <w:t>) dotycząca tych kosztów wynosiła 16,5 mln zł.</w:t>
      </w:r>
    </w:p>
    <w:p w14:paraId="62AD3841" w14:textId="77777777" w:rsidR="009D74F5" w:rsidRPr="009D74F5" w:rsidRDefault="009D74F5" w:rsidP="009D74F5">
      <w:pPr>
        <w:autoSpaceDE w:val="0"/>
        <w:autoSpaceDN w:val="0"/>
        <w:adjustRightInd w:val="0"/>
        <w:spacing w:before="120" w:after="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W przypadku kredytów przedpłaconych po dacie wyroku prowizje, które są należne klientom, zostały ujęte jako zobowiązania wobec klientów w kwocie 20,7 mln zł.</w:t>
      </w:r>
    </w:p>
    <w:p w14:paraId="2A5409C1" w14:textId="60FC59F8" w:rsidR="009D74F5" w:rsidRPr="009D74F5" w:rsidRDefault="009D74F5" w:rsidP="009D74F5">
      <w:pPr>
        <w:autoSpaceDE w:val="0"/>
        <w:autoSpaceDN w:val="0"/>
        <w:adjustRightInd w:val="0"/>
        <w:spacing w:before="120" w:after="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Ponadto w związku z orzeczeniem TSUE Grupa zmieniła swoje szacunki dotyczące kwot i terminów przepływów pieniężnych związanych z kredytami udzielonymi przed datą wyroku TSUE, co do których oczekuje się, że zostaną spłacone przed terminem umownym. Skumulowany efekt zmiany szacunków został rozpoznany zgodnie z MSSF 9 poprzez pomniejszenie przychodów z tytułu odsetek o kwotę 48,0</w:t>
      </w:r>
      <w:r w:rsidR="00252982">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mln zł.</w:t>
      </w:r>
      <w:r w:rsidR="00B0392A">
        <w:rPr>
          <w:rFonts w:eastAsia="Calibri" w:cs="Tahoma"/>
          <w:color w:val="000000" w:themeColor="text1"/>
          <w:sz w:val="18"/>
          <w:szCs w:val="18"/>
          <w:lang w:eastAsia="en-US"/>
        </w:rPr>
        <w:t xml:space="preserve"> </w:t>
      </w:r>
      <w:r w:rsidR="00B0392A" w:rsidRPr="00B0392A">
        <w:rPr>
          <w:rFonts w:eastAsia="Calibri" w:cs="Tahoma"/>
          <w:color w:val="000000" w:themeColor="text1"/>
          <w:sz w:val="18"/>
          <w:szCs w:val="18"/>
          <w:lang w:eastAsia="en-US"/>
        </w:rPr>
        <w:t>Kwota została drugostronnie ujęta w pozycji Inne rezerwy (Nota 30).</w:t>
      </w:r>
    </w:p>
    <w:p w14:paraId="7506F96B" w14:textId="55689443" w:rsidR="009D74F5" w:rsidRPr="009D74F5" w:rsidRDefault="009D74F5" w:rsidP="009D74F5">
      <w:pPr>
        <w:autoSpaceDE w:val="0"/>
        <w:autoSpaceDN w:val="0"/>
        <w:adjustRightInd w:val="0"/>
        <w:spacing w:before="120"/>
        <w:jc w:val="both"/>
        <w:rPr>
          <w:rFonts w:eastAsia="Calibri" w:cs="Tahoma"/>
          <w:color w:val="000000" w:themeColor="text1"/>
          <w:sz w:val="18"/>
          <w:szCs w:val="18"/>
          <w:u w:val="single"/>
          <w:lang w:eastAsia="en-US"/>
        </w:rPr>
      </w:pPr>
      <w:r w:rsidRPr="009D74F5">
        <w:rPr>
          <w:rFonts w:eastAsia="Calibri" w:cs="Tahoma"/>
          <w:color w:val="000000" w:themeColor="text1"/>
          <w:sz w:val="18"/>
          <w:szCs w:val="18"/>
          <w:lang w:eastAsia="en-US"/>
        </w:rPr>
        <w:t>Całkowity negatywny wpływ przedterminowych spłat kredytów detalicznych na zysk brutto Grupy w</w:t>
      </w:r>
      <w:r w:rsidR="00E61B28">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2019</w:t>
      </w:r>
      <w:r w:rsidR="00E61B28">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roku wyniósł 93,7 mln zł, z czego 68,7 mln zł zmniejszyło przychody odsetkowe, a 25,0 mln zł zwiększyło pozostałe koszty operacyjne.</w:t>
      </w:r>
    </w:p>
    <w:p w14:paraId="24A30B10" w14:textId="4B07758B" w:rsidR="009D74F5" w:rsidRDefault="009D74F5" w:rsidP="009D74F5">
      <w:pPr>
        <w:autoSpaceDE w:val="0"/>
        <w:autoSpaceDN w:val="0"/>
        <w:adjustRightInd w:val="0"/>
        <w:spacing w:before="120"/>
        <w:jc w:val="both"/>
        <w:rPr>
          <w:rFonts w:eastAsia="Calibri" w:cs="Tahoma"/>
          <w:color w:val="000000" w:themeColor="text1"/>
          <w:sz w:val="18"/>
          <w:szCs w:val="18"/>
          <w:lang w:eastAsia="en-US"/>
        </w:rPr>
      </w:pPr>
      <w:r w:rsidRPr="009D74F5">
        <w:rPr>
          <w:rFonts w:eastAsia="Calibri" w:cs="Tahoma"/>
          <w:color w:val="000000" w:themeColor="text1"/>
          <w:sz w:val="18"/>
          <w:szCs w:val="18"/>
          <w:lang w:eastAsia="en-US"/>
        </w:rPr>
        <w:t>Powyższe szacunki obciążone są istotną niepewnością w zakresie liczby klientów, którzy zwrócą się do</w:t>
      </w:r>
      <w:r w:rsidR="00252982">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Banku o zwrot prowizji dotyczących wcześ</w:t>
      </w:r>
      <w:r w:rsidR="0080632F">
        <w:rPr>
          <w:rFonts w:eastAsia="Calibri" w:cs="Tahoma"/>
          <w:color w:val="000000" w:themeColor="text1"/>
          <w:sz w:val="18"/>
          <w:szCs w:val="18"/>
          <w:lang w:eastAsia="en-US"/>
        </w:rPr>
        <w:t>niejszych spłat dokonanych przed</w:t>
      </w:r>
      <w:r w:rsidRPr="009D74F5">
        <w:rPr>
          <w:rFonts w:eastAsia="Calibri" w:cs="Tahoma"/>
          <w:color w:val="000000" w:themeColor="text1"/>
          <w:sz w:val="18"/>
          <w:szCs w:val="18"/>
          <w:lang w:eastAsia="en-US"/>
        </w:rPr>
        <w:t xml:space="preserve"> wyrokiem TSUE, jak</w:t>
      </w:r>
      <w:r w:rsidR="009959E7">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i</w:t>
      </w:r>
      <w:r w:rsidR="00252982">
        <w:rPr>
          <w:rFonts w:eastAsia="Calibri" w:cs="Tahoma"/>
          <w:color w:val="000000" w:themeColor="text1"/>
          <w:sz w:val="18"/>
          <w:szCs w:val="18"/>
          <w:lang w:eastAsia="en-US"/>
        </w:rPr>
        <w:t> </w:t>
      </w:r>
      <w:r w:rsidRPr="009D74F5">
        <w:rPr>
          <w:rFonts w:eastAsia="Calibri" w:cs="Tahoma"/>
          <w:color w:val="000000" w:themeColor="text1"/>
          <w:sz w:val="18"/>
          <w:szCs w:val="18"/>
          <w:lang w:eastAsia="en-US"/>
        </w:rPr>
        <w:t>oczekiwanej stopy przedpłat kredytów w przyszłości.</w:t>
      </w:r>
    </w:p>
    <w:p w14:paraId="3327A8DD" w14:textId="77777777" w:rsidR="009D74F5" w:rsidRDefault="009D74F5">
      <w:pPr>
        <w:rPr>
          <w:rFonts w:eastAsia="Calibri" w:cs="Tahoma"/>
          <w:color w:val="000000" w:themeColor="text1"/>
          <w:sz w:val="18"/>
          <w:szCs w:val="18"/>
          <w:lang w:eastAsia="en-US"/>
        </w:rPr>
      </w:pPr>
      <w:r>
        <w:rPr>
          <w:rFonts w:eastAsia="Calibri" w:cs="Tahoma"/>
          <w:color w:val="000000" w:themeColor="text1"/>
          <w:sz w:val="18"/>
          <w:szCs w:val="18"/>
          <w:lang w:eastAsia="en-US"/>
        </w:rPr>
        <w:br w:type="page"/>
      </w:r>
    </w:p>
    <w:p w14:paraId="0FC47696" w14:textId="59BF8D78" w:rsidR="00E54C33" w:rsidRPr="0068723D" w:rsidRDefault="00E54C33" w:rsidP="00E54C33">
      <w:pPr>
        <w:autoSpaceDE w:val="0"/>
        <w:autoSpaceDN w:val="0"/>
        <w:adjustRightInd w:val="0"/>
        <w:spacing w:before="120"/>
        <w:jc w:val="both"/>
        <w:rPr>
          <w:rFonts w:cs="Tahoma"/>
          <w:color w:val="000000" w:themeColor="text1"/>
          <w:sz w:val="18"/>
          <w:szCs w:val="18"/>
          <w:u w:val="single"/>
        </w:rPr>
      </w:pPr>
      <w:r w:rsidRPr="0068723D">
        <w:rPr>
          <w:rFonts w:cs="Tahoma"/>
          <w:color w:val="000000" w:themeColor="text1"/>
          <w:sz w:val="18"/>
          <w:szCs w:val="18"/>
          <w:u w:val="single"/>
        </w:rPr>
        <w:lastRenderedPageBreak/>
        <w:t>Wartość godziwa instrumentów pochodnych i innych instrumentów finansowych</w:t>
      </w:r>
    </w:p>
    <w:p w14:paraId="7F0600F3" w14:textId="5BEA6316" w:rsidR="00E54C33" w:rsidRPr="0068723D" w:rsidRDefault="00E54C33" w:rsidP="00E54C33">
      <w:pPr>
        <w:autoSpaceDE w:val="0"/>
        <w:autoSpaceDN w:val="0"/>
        <w:adjustRightInd w:val="0"/>
        <w:spacing w:before="120"/>
        <w:jc w:val="both"/>
        <w:rPr>
          <w:rFonts w:cs="Tahoma"/>
          <w:color w:val="000000" w:themeColor="text1"/>
          <w:sz w:val="18"/>
          <w:szCs w:val="18"/>
        </w:rPr>
      </w:pPr>
      <w:r w:rsidRPr="0068723D">
        <w:rPr>
          <w:rFonts w:cs="Tahoma"/>
          <w:color w:val="000000" w:themeColor="text1"/>
          <w:sz w:val="18"/>
          <w:szCs w:val="18"/>
        </w:rPr>
        <w:t>Wartość godziwą instrumentów finansowych nie notowanych na aktywnych rynkach, ustala się stosując techniki wyceny. Wszystkie modele są zatwierdzane przed użyciem, a także kalibrowane w celu zapewnienia, że otrzymane wyniki odzwierciedlają faktyczne dane i porównywalne ceny rynkowe. W miarę możliwości w modelach wykorzystywane są wyłącznie dane możliwe do zaobserwowania, pochodzące z aktywnego rynku. Metody ustalania wartości godziwej instrumentów finansowych zostały opisane w Nocie 2.8.</w:t>
      </w:r>
    </w:p>
    <w:p w14:paraId="245F6DC7" w14:textId="77777777" w:rsidR="00E54C33" w:rsidRPr="0068723D" w:rsidRDefault="00E54C33" w:rsidP="00E54C33">
      <w:pPr>
        <w:autoSpaceDE w:val="0"/>
        <w:autoSpaceDN w:val="0"/>
        <w:adjustRightInd w:val="0"/>
        <w:spacing w:before="120"/>
        <w:jc w:val="both"/>
        <w:rPr>
          <w:rFonts w:cs="Tahoma"/>
          <w:color w:val="000000" w:themeColor="text1"/>
          <w:sz w:val="18"/>
          <w:szCs w:val="18"/>
          <w:u w:val="single"/>
        </w:rPr>
      </w:pPr>
      <w:r w:rsidRPr="0068723D">
        <w:rPr>
          <w:rFonts w:cs="Tahoma"/>
          <w:color w:val="000000" w:themeColor="text1"/>
          <w:sz w:val="18"/>
          <w:szCs w:val="18"/>
          <w:u w:val="single"/>
        </w:rPr>
        <w:t>Aktywa z tytułu odroczonego podatku dochodowego</w:t>
      </w:r>
    </w:p>
    <w:p w14:paraId="7C033CBD" w14:textId="77777777" w:rsidR="00E54C33" w:rsidRPr="0068723D" w:rsidRDefault="00E54C33" w:rsidP="00E54C33">
      <w:pPr>
        <w:autoSpaceDE w:val="0"/>
        <w:autoSpaceDN w:val="0"/>
        <w:adjustRightInd w:val="0"/>
        <w:spacing w:before="120"/>
        <w:jc w:val="both"/>
        <w:rPr>
          <w:rFonts w:cs="Tahoma"/>
          <w:color w:val="000000" w:themeColor="text1"/>
          <w:sz w:val="18"/>
          <w:szCs w:val="18"/>
        </w:rPr>
      </w:pPr>
      <w:r w:rsidRPr="0068723D">
        <w:rPr>
          <w:rFonts w:cs="Tahoma"/>
          <w:color w:val="000000" w:themeColor="text1"/>
          <w:sz w:val="18"/>
          <w:szCs w:val="18"/>
        </w:rPr>
        <w:t>Składnik aktywów z tytułu odroczonego podatku dochodowego wynikający ze straty podatkowej ujmuje się w zakresie, w którym jest prawdopodobne, że będzie zrealizowany przyszły zysk do opodatkowania, od którego można odpisać straty podatkowe. Oszacowanie jest wymagane do określenia kwoty aktywa z tytułu odroczonego podatku dochodowego, które może być rozpoznane w oparciu o prawdopodobny moment wystąpienia i poziom przyszłych zysków do opodatkowania.</w:t>
      </w:r>
    </w:p>
    <w:p w14:paraId="0B3F07EA" w14:textId="77777777" w:rsidR="00E54C33" w:rsidRPr="0068723D" w:rsidRDefault="00E54C33" w:rsidP="00E54C33">
      <w:pPr>
        <w:autoSpaceDE w:val="0"/>
        <w:autoSpaceDN w:val="0"/>
        <w:adjustRightInd w:val="0"/>
        <w:spacing w:before="120"/>
        <w:jc w:val="both"/>
        <w:rPr>
          <w:rFonts w:cs="Tahoma"/>
          <w:color w:val="000000" w:themeColor="text1"/>
          <w:sz w:val="18"/>
          <w:szCs w:val="18"/>
          <w:u w:val="single"/>
        </w:rPr>
      </w:pPr>
      <w:r w:rsidRPr="0068723D">
        <w:rPr>
          <w:rFonts w:cs="Tahoma"/>
          <w:color w:val="000000" w:themeColor="text1"/>
          <w:sz w:val="18"/>
          <w:szCs w:val="18"/>
          <w:u w:val="single"/>
        </w:rPr>
        <w:t>Przychody i koszty dotyczące sprzedaży produktów ubezpieczeniowych powiązanych z kredytami</w:t>
      </w:r>
    </w:p>
    <w:p w14:paraId="0C1F4872" w14:textId="77777777" w:rsidR="00E54C33" w:rsidRPr="0068723D" w:rsidRDefault="00E54C33" w:rsidP="00E54C33">
      <w:pPr>
        <w:spacing w:before="120"/>
        <w:jc w:val="both"/>
        <w:rPr>
          <w:rFonts w:cs="Tahoma"/>
          <w:color w:val="000000" w:themeColor="text1"/>
          <w:sz w:val="18"/>
          <w:szCs w:val="18"/>
        </w:rPr>
      </w:pPr>
      <w:r w:rsidRPr="0068723D">
        <w:rPr>
          <w:rFonts w:cs="Tahoma"/>
          <w:color w:val="000000" w:themeColor="text1"/>
          <w:sz w:val="18"/>
          <w:szCs w:val="18"/>
        </w:rPr>
        <w:t xml:space="preserve">Przychody z tytułu sprzedaży produktów ubezpieczeniowych powiązanych z kredytami ujmuje się częściowo w przychodach odsetkowych, a częściowo w przychodach prowizyjnych w oparciu o analizę relatywnej wartości godziwej każdego z tych produktów. </w:t>
      </w:r>
    </w:p>
    <w:p w14:paraId="272AE5E1" w14:textId="77777777" w:rsidR="00E54C33" w:rsidRPr="0068723D" w:rsidRDefault="00E54C33" w:rsidP="00E54C33">
      <w:pPr>
        <w:spacing w:before="120"/>
        <w:jc w:val="both"/>
        <w:rPr>
          <w:rFonts w:cs="Tahoma"/>
          <w:color w:val="000000" w:themeColor="text1"/>
          <w:sz w:val="18"/>
          <w:szCs w:val="18"/>
        </w:rPr>
      </w:pPr>
      <w:r w:rsidRPr="0068723D">
        <w:rPr>
          <w:rFonts w:cs="Tahoma"/>
          <w:color w:val="000000" w:themeColor="text1"/>
          <w:sz w:val="18"/>
          <w:szCs w:val="18"/>
        </w:rPr>
        <w:t xml:space="preserve">Wynagrodzenie ujmowane w przychodach z tytułu prowizji ujmowane jest częściowo jednorazowo, a częściowo jest liniowo rozkładane w czasie na podstawie analizy stopnia zaawansowania usługi. </w:t>
      </w:r>
    </w:p>
    <w:p w14:paraId="33C19F83" w14:textId="5FEF2CC4" w:rsidR="00E54C33" w:rsidRPr="0068723D" w:rsidRDefault="00E54C33" w:rsidP="00E54C33">
      <w:pPr>
        <w:autoSpaceDE w:val="0"/>
        <w:autoSpaceDN w:val="0"/>
        <w:adjustRightInd w:val="0"/>
        <w:spacing w:before="120"/>
        <w:jc w:val="both"/>
        <w:rPr>
          <w:rFonts w:cs="Tahoma"/>
          <w:color w:val="000000" w:themeColor="text1"/>
          <w:sz w:val="18"/>
          <w:szCs w:val="18"/>
        </w:rPr>
      </w:pPr>
      <w:r w:rsidRPr="0068723D">
        <w:rPr>
          <w:color w:val="000000" w:themeColor="text1"/>
          <w:sz w:val="18"/>
          <w:szCs w:val="18"/>
        </w:rPr>
        <w:t>Grupa uwzględnia obecnie jako przychód rozpoznawany jednorazowo mniej niż 10% przychodów z działalności bancassurance związanych z kredytami gotówkowymi i samochodowymi oraz od 0% do około 25% przychodów z działalności bancassurance związanych z kredytami hipotecznymi. Pozostała część przychodów rozpoznawana jest w czasie przez okres ekonomicznego życia odpowiednich kredytów. Koszty</w:t>
      </w:r>
      <w:r w:rsidR="00716D7A">
        <w:rPr>
          <w:color w:val="000000" w:themeColor="text1"/>
          <w:sz w:val="18"/>
          <w:szCs w:val="18"/>
        </w:rPr>
        <w:t> </w:t>
      </w:r>
      <w:r w:rsidRPr="0068723D">
        <w:rPr>
          <w:color w:val="000000" w:themeColor="text1"/>
          <w:sz w:val="18"/>
          <w:szCs w:val="18"/>
        </w:rPr>
        <w:t>bezpośrednio związane ze sprzedażą produktów ubezpieczeniowych rozliczane są w analogiczny sposób.</w:t>
      </w:r>
    </w:p>
    <w:p w14:paraId="261135F7" w14:textId="77777777" w:rsidR="00E54C33" w:rsidRPr="0068723D" w:rsidRDefault="00E54C33" w:rsidP="00E54C33">
      <w:pPr>
        <w:spacing w:before="120"/>
        <w:jc w:val="both"/>
        <w:rPr>
          <w:rFonts w:cs="Tahoma"/>
          <w:color w:val="000000" w:themeColor="text1"/>
          <w:sz w:val="18"/>
          <w:szCs w:val="18"/>
          <w:u w:val="single"/>
        </w:rPr>
      </w:pPr>
      <w:r w:rsidRPr="0068723D">
        <w:rPr>
          <w:rFonts w:cs="Tahoma"/>
          <w:color w:val="000000" w:themeColor="text1"/>
          <w:sz w:val="18"/>
          <w:szCs w:val="18"/>
          <w:u w:val="single"/>
        </w:rPr>
        <w:t>Zobowiązania z tytułu świadczeń pracowniczych po okresie zatrudnienia</w:t>
      </w:r>
    </w:p>
    <w:p w14:paraId="7D50023E" w14:textId="77777777" w:rsidR="00E54C33" w:rsidRPr="0068723D" w:rsidRDefault="00E54C33" w:rsidP="00E54C33">
      <w:pPr>
        <w:spacing w:before="120"/>
        <w:jc w:val="both"/>
        <w:rPr>
          <w:rFonts w:cs="Tahoma"/>
          <w:color w:val="000000" w:themeColor="text1"/>
          <w:sz w:val="18"/>
          <w:szCs w:val="18"/>
        </w:rPr>
      </w:pPr>
      <w:r w:rsidRPr="0068723D">
        <w:rPr>
          <w:rFonts w:cs="Tahoma"/>
          <w:color w:val="000000" w:themeColor="text1"/>
          <w:sz w:val="18"/>
          <w:szCs w:val="18"/>
        </w:rPr>
        <w:t>Koszty świadczeń pracowniczych po okresie zatrudnienia są określone przy użyciu metody wyceny aktuarialnej. Wycena aktuarialna wymaga dokonywania założeń dotyczących stóp dyskontowych, przyszłego wzrostu płac, wskaźnika śmiertelności i innych czynników. Ze względu na długoterminowy charakter tych zobowiązań takie szacunki są obarczone dużym stopniem niepewności.</w:t>
      </w:r>
    </w:p>
    <w:p w14:paraId="0173099A" w14:textId="6E99E015" w:rsidR="00E54C33" w:rsidRPr="0068723D" w:rsidRDefault="00B917EA" w:rsidP="00E54C33">
      <w:pPr>
        <w:spacing w:before="120"/>
        <w:jc w:val="both"/>
        <w:rPr>
          <w:rFonts w:cs="Tahoma"/>
          <w:color w:val="000000" w:themeColor="text1"/>
          <w:sz w:val="18"/>
          <w:szCs w:val="18"/>
          <w:u w:val="single"/>
        </w:rPr>
      </w:pPr>
      <w:r>
        <w:rPr>
          <w:rFonts w:cs="Tahoma"/>
          <w:color w:val="000000" w:themeColor="text1"/>
          <w:sz w:val="18"/>
          <w:szCs w:val="18"/>
          <w:u w:val="single"/>
        </w:rPr>
        <w:t>Leasing</w:t>
      </w:r>
    </w:p>
    <w:p w14:paraId="615C8169" w14:textId="7F967083" w:rsidR="00E64465" w:rsidRDefault="00E54C33" w:rsidP="00E54C33">
      <w:pPr>
        <w:suppressAutoHyphens/>
        <w:spacing w:before="60"/>
        <w:jc w:val="both"/>
        <w:rPr>
          <w:rFonts w:cs="Tahoma"/>
          <w:color w:val="000000" w:themeColor="text1"/>
          <w:sz w:val="18"/>
          <w:szCs w:val="18"/>
        </w:rPr>
      </w:pPr>
      <w:r w:rsidRPr="0068723D">
        <w:rPr>
          <w:rFonts w:cs="Tahoma"/>
          <w:color w:val="000000" w:themeColor="text1"/>
          <w:sz w:val="18"/>
          <w:szCs w:val="18"/>
        </w:rPr>
        <w:t>Grupa jako leasingodawca dokonuje osądu klasyfikując umowy leasingowe jako leasing finansowy bądź leasing operacyjny na podstawie analizy treści ekonomicznej transakcji opartej na profesjonalnym osądzie, czy zasadniczo wszystkie ryzyka i pożytki wynikające z tytułu posiadania przedmiotu leasingu zostały przeniesione, czy też nie</w:t>
      </w:r>
      <w:r w:rsidR="005C618F" w:rsidRPr="0068723D">
        <w:rPr>
          <w:rFonts w:cs="Tahoma"/>
          <w:color w:val="000000" w:themeColor="text1"/>
          <w:sz w:val="18"/>
          <w:szCs w:val="18"/>
        </w:rPr>
        <w:t>.</w:t>
      </w:r>
    </w:p>
    <w:p w14:paraId="496757DC" w14:textId="3AD87B3B" w:rsidR="00B917EA" w:rsidRDefault="00B917EA" w:rsidP="00E54C33">
      <w:pPr>
        <w:suppressAutoHyphens/>
        <w:spacing w:before="60"/>
        <w:jc w:val="both"/>
        <w:rPr>
          <w:rFonts w:cs="Tahoma"/>
          <w:color w:val="000000" w:themeColor="text1"/>
          <w:sz w:val="18"/>
          <w:szCs w:val="18"/>
        </w:rPr>
      </w:pPr>
      <w:r w:rsidRPr="00B917EA">
        <w:rPr>
          <w:rFonts w:cs="Tahoma"/>
          <w:color w:val="000000" w:themeColor="text1"/>
          <w:sz w:val="18"/>
          <w:szCs w:val="18"/>
        </w:rPr>
        <w:t>Osądy doty</w:t>
      </w:r>
      <w:r w:rsidR="00917366">
        <w:rPr>
          <w:rFonts w:cs="Tahoma"/>
          <w:color w:val="000000" w:themeColor="text1"/>
          <w:sz w:val="18"/>
          <w:szCs w:val="18"/>
        </w:rPr>
        <w:t>czące leasingu, gdzie Grupa</w:t>
      </w:r>
      <w:r w:rsidRPr="00B917EA">
        <w:rPr>
          <w:rFonts w:cs="Tahoma"/>
          <w:color w:val="000000" w:themeColor="text1"/>
          <w:sz w:val="18"/>
          <w:szCs w:val="18"/>
        </w:rPr>
        <w:t xml:space="preserve"> jest leasingobiorcą, w obszarach takich jak ustalenie okresu obowiązywania umów, ustalenie stopy procentowej stosowanej do dyskontowania przyszłych przepływów pieniężnych, ustalenie stawki amortyzacji praw do użytkowania</w:t>
      </w:r>
      <w:r w:rsidR="005B3980">
        <w:rPr>
          <w:rFonts w:cs="Tahoma"/>
          <w:color w:val="000000" w:themeColor="text1"/>
          <w:sz w:val="18"/>
          <w:szCs w:val="18"/>
        </w:rPr>
        <w:t>,</w:t>
      </w:r>
      <w:r w:rsidRPr="00B917EA">
        <w:rPr>
          <w:rFonts w:cs="Tahoma"/>
          <w:color w:val="000000" w:themeColor="text1"/>
          <w:sz w:val="18"/>
          <w:szCs w:val="18"/>
        </w:rPr>
        <w:t xml:space="preserve"> zostały przedstawione w nocie 2.29</w:t>
      </w:r>
      <w:r>
        <w:rPr>
          <w:rFonts w:cs="Tahoma"/>
          <w:color w:val="000000" w:themeColor="text1"/>
          <w:sz w:val="18"/>
          <w:szCs w:val="18"/>
        </w:rPr>
        <w:t>.</w:t>
      </w:r>
    </w:p>
    <w:p w14:paraId="61BA3569" w14:textId="0D532721" w:rsidR="00775DFD" w:rsidRDefault="00775DFD">
      <w:pPr>
        <w:rPr>
          <w:rFonts w:cs="Tahoma"/>
          <w:color w:val="000000" w:themeColor="text1"/>
          <w:sz w:val="18"/>
          <w:szCs w:val="18"/>
        </w:rPr>
      </w:pPr>
      <w:r>
        <w:rPr>
          <w:rFonts w:cs="Tahoma"/>
          <w:color w:val="000000" w:themeColor="text1"/>
          <w:sz w:val="18"/>
          <w:szCs w:val="18"/>
        </w:rPr>
        <w:br w:type="page"/>
      </w:r>
    </w:p>
    <w:p w14:paraId="32A47BBD" w14:textId="77777777" w:rsidR="000C612E" w:rsidRPr="006B17A4" w:rsidRDefault="00E93590" w:rsidP="00526DF1">
      <w:pPr>
        <w:pStyle w:val="Nagwek2"/>
        <w:numPr>
          <w:ilvl w:val="0"/>
          <w:numId w:val="44"/>
        </w:numPr>
        <w:suppressAutoHyphens/>
        <w:spacing w:before="0"/>
        <w:ind w:left="425" w:hanging="425"/>
        <w:jc w:val="both"/>
        <w:rPr>
          <w:rFonts w:cs="Tahoma"/>
          <w:bCs w:val="0"/>
          <w:iCs w:val="0"/>
          <w:color w:val="E41E0A"/>
          <w:sz w:val="18"/>
          <w:szCs w:val="18"/>
        </w:rPr>
      </w:pPr>
      <w:bookmarkStart w:id="117" w:name="_Toc32999836"/>
      <w:r>
        <w:rPr>
          <w:rFonts w:cs="Tahoma"/>
          <w:bCs w:val="0"/>
          <w:iCs w:val="0"/>
          <w:color w:val="E41E0A"/>
          <w:sz w:val="18"/>
          <w:szCs w:val="18"/>
        </w:rPr>
        <w:lastRenderedPageBreak/>
        <w:t>Segme</w:t>
      </w:r>
      <w:r w:rsidR="000C612E">
        <w:rPr>
          <w:rFonts w:cs="Tahoma"/>
          <w:bCs w:val="0"/>
          <w:iCs w:val="0"/>
          <w:color w:val="E41E0A"/>
          <w:sz w:val="18"/>
          <w:szCs w:val="18"/>
        </w:rPr>
        <w:t>nty działalności</w:t>
      </w:r>
      <w:bookmarkEnd w:id="117"/>
    </w:p>
    <w:p w14:paraId="548CAC08" w14:textId="77777777" w:rsidR="009C1A37" w:rsidRPr="0068723D" w:rsidRDefault="009C1A37" w:rsidP="009C1A37">
      <w:pPr>
        <w:spacing w:before="120"/>
        <w:jc w:val="both"/>
        <w:rPr>
          <w:rFonts w:cs="Tahoma"/>
          <w:color w:val="000000" w:themeColor="text1"/>
          <w:sz w:val="18"/>
          <w:szCs w:val="18"/>
        </w:rPr>
      </w:pPr>
      <w:r w:rsidRPr="0068723D">
        <w:rPr>
          <w:rFonts w:cs="Tahoma"/>
          <w:color w:val="000000" w:themeColor="text1"/>
          <w:sz w:val="18"/>
          <w:szCs w:val="18"/>
        </w:rPr>
        <w:t>Zgodnie z wymogiem MSSF 8 „podejścia zarządczego”, informacje o segmentach są przedstawiane na tej samej podstawie, co zastosowana do celów sprawozdawczości wewnętrznej dostarczanej Zarządowi Banku (główny organ odpowiedzialny za podejmowanie decyzji operacyjnych), którego zadaniem jest alokacja zasobów do segmentów działalności i przeprowadzanie oceny ich wyników.</w:t>
      </w:r>
    </w:p>
    <w:p w14:paraId="33B083A7" w14:textId="77777777" w:rsidR="009C1A37" w:rsidRPr="0068723D" w:rsidRDefault="009C1A37" w:rsidP="00775DFD">
      <w:pPr>
        <w:spacing w:before="60"/>
        <w:jc w:val="both"/>
        <w:rPr>
          <w:rFonts w:cs="Tahoma"/>
          <w:color w:val="000000" w:themeColor="text1"/>
          <w:sz w:val="18"/>
          <w:szCs w:val="18"/>
        </w:rPr>
      </w:pPr>
      <w:r w:rsidRPr="0068723D">
        <w:rPr>
          <w:rFonts w:cs="Tahoma"/>
          <w:color w:val="000000" w:themeColor="text1"/>
          <w:sz w:val="18"/>
          <w:szCs w:val="18"/>
        </w:rPr>
        <w:t>Segmenty wyodrębnione zostały z punktu widzenia określonych grup klientów oraz produktów według jednorodnych cech transakcji. Ten sposób podziału obszarów biznesu jest spójny ze sposobem zarządzania sprzedażą i oferowania klientowi kompleksowej oferty produktowej obejmującej zarówno tradycyjne produkty bankowe jak również bardziej złożone produkty o charakterze inwestycyjnym. Powiązanie sposobu prezentowania wyników z modelem zarządzania biznesem zapewnia koncentrację działań Banku na kreowaniu wartości dodanej w relacjach z klientami Banku oraz spółek Grupy i jest podstawowym podziałem służącym do sterowania i postrzegania biznesu przez Grupę.</w:t>
      </w:r>
    </w:p>
    <w:p w14:paraId="15B761DB" w14:textId="77777777" w:rsidR="009C1A37" w:rsidRPr="0068723D" w:rsidRDefault="009C1A37" w:rsidP="00775DFD">
      <w:pPr>
        <w:spacing w:before="60"/>
        <w:jc w:val="both"/>
        <w:rPr>
          <w:rFonts w:cs="Tahoma"/>
          <w:color w:val="000000" w:themeColor="text1"/>
          <w:sz w:val="18"/>
          <w:szCs w:val="18"/>
        </w:rPr>
      </w:pPr>
      <w:r w:rsidRPr="0068723D">
        <w:rPr>
          <w:rFonts w:cs="Tahoma"/>
          <w:color w:val="000000" w:themeColor="text1"/>
          <w:sz w:val="18"/>
          <w:szCs w:val="18"/>
        </w:rPr>
        <w:t>Działalność Grupy jest realizowana w ramach różnych segmentów biznesowych, które oferują określone produkty i usługi adresowane do konkretnych grup klientów i segmentów rynku. Grupa obecnie prowadzi swoją działalność w ramach następujących segmentów:</w:t>
      </w:r>
    </w:p>
    <w:p w14:paraId="3731CD46" w14:textId="1DC09F24" w:rsidR="009C1A37" w:rsidRPr="0068723D" w:rsidRDefault="009C1A37" w:rsidP="00775DFD">
      <w:pPr>
        <w:numPr>
          <w:ilvl w:val="0"/>
          <w:numId w:val="19"/>
        </w:numPr>
        <w:spacing w:after="60"/>
        <w:ind w:left="454"/>
        <w:jc w:val="both"/>
        <w:rPr>
          <w:color w:val="000000" w:themeColor="text1"/>
          <w:sz w:val="18"/>
          <w:szCs w:val="18"/>
        </w:rPr>
      </w:pPr>
      <w:r w:rsidRPr="0068723D">
        <w:rPr>
          <w:rFonts w:cs="Tahoma"/>
          <w:color w:val="000000" w:themeColor="text1"/>
          <w:sz w:val="18"/>
          <w:szCs w:val="18"/>
          <w:u w:val="single"/>
        </w:rPr>
        <w:t>Segment Bankowości Detalicznej</w:t>
      </w:r>
      <w:r w:rsidRPr="0068723D">
        <w:rPr>
          <w:rFonts w:cs="Tahoma"/>
          <w:color w:val="000000" w:themeColor="text1"/>
          <w:sz w:val="18"/>
          <w:szCs w:val="18"/>
        </w:rPr>
        <w:t>, który dzieli swoich klientów na klientów mBanku i klientów Private Banking, oferuje pełną gamę produktów i usług Banku oraz wyspecjalizowanych produktów kilku podmiotów zależnych zaliczanych do Segmentu Bankowości Detalicznej. Najistotniejszymi produktami w tym segmencie są rachunki bieżące i oszczędnościowe (w tym rachunki w walutach obcych), lokaty terminowe, produkty kredytowe (detaliczne kredyty hipoteczne oraz kredyty pozahipoteczne, takie jak kredyty na zakup samochodów, kredyty gotówkowe, kredyty w rachunku bieżącym, karty kredytowe i inne produkty kredytowe), karty debetowe, produkty ubezpieczeniowe, usługi maklerskie, doradztwo inwestycyjne, usługi zarządzania aktywami oraz usługi leasingowe oferowane zarówno klientom indywidualnym jak i mikroprzedsiębiorstwom. Wyniki Segmentu Bankowości Detalicznej obejmują wyniki oddziałów zagranicznych mBanku w Czechach i na Słowacji. Bankowość Detaliczna obejmuje wynik</w:t>
      </w:r>
      <w:r w:rsidR="007C6578">
        <w:rPr>
          <w:rFonts w:cs="Tahoma"/>
          <w:color w:val="000000" w:themeColor="text1"/>
          <w:sz w:val="18"/>
          <w:szCs w:val="18"/>
        </w:rPr>
        <w:t>i spółek</w:t>
      </w:r>
      <w:r w:rsidRPr="0068723D">
        <w:rPr>
          <w:rFonts w:cs="Tahoma"/>
          <w:color w:val="000000" w:themeColor="text1"/>
          <w:sz w:val="18"/>
          <w:szCs w:val="18"/>
        </w:rPr>
        <w:t xml:space="preserve"> mFinanse S.A.</w:t>
      </w:r>
      <w:r w:rsidR="007C6578">
        <w:rPr>
          <w:rFonts w:cs="Tahoma"/>
          <w:color w:val="000000" w:themeColor="text1"/>
          <w:sz w:val="18"/>
          <w:szCs w:val="18"/>
        </w:rPr>
        <w:t xml:space="preserve"> i</w:t>
      </w:r>
      <w:r w:rsidRPr="0068723D">
        <w:rPr>
          <w:rFonts w:cs="Tahoma"/>
          <w:color w:val="000000" w:themeColor="text1"/>
          <w:sz w:val="18"/>
          <w:szCs w:val="18"/>
        </w:rPr>
        <w:t xml:space="preserve"> </w:t>
      </w:r>
      <w:r w:rsidR="007C6578" w:rsidRPr="0068723D">
        <w:rPr>
          <w:rFonts w:cs="Tahoma"/>
          <w:color w:val="000000" w:themeColor="text1"/>
          <w:sz w:val="18"/>
          <w:szCs w:val="18"/>
        </w:rPr>
        <w:t xml:space="preserve">LeaseLink Sp. z o.o. </w:t>
      </w:r>
      <w:r w:rsidRPr="0068723D">
        <w:rPr>
          <w:rFonts w:cs="Tahoma"/>
          <w:color w:val="000000" w:themeColor="text1"/>
          <w:sz w:val="18"/>
          <w:szCs w:val="18"/>
        </w:rPr>
        <w:t xml:space="preserve">oraz wyniki segmentów detalicznych spółek mLeasing Sp. z o.o., Asekum </w:t>
      </w:r>
      <w:r w:rsidR="00343098">
        <w:rPr>
          <w:rFonts w:cs="Tahoma"/>
          <w:color w:val="000000" w:themeColor="text1"/>
          <w:sz w:val="18"/>
          <w:szCs w:val="18"/>
        </w:rPr>
        <w:t>Sp. z o.o.</w:t>
      </w:r>
      <w:r w:rsidRPr="0068723D">
        <w:rPr>
          <w:rFonts w:cs="Tahoma"/>
          <w:color w:val="000000" w:themeColor="text1"/>
          <w:sz w:val="18"/>
          <w:szCs w:val="18"/>
        </w:rPr>
        <w:t xml:space="preserve"> oraz</w:t>
      </w:r>
      <w:r w:rsidRPr="0068723D">
        <w:rPr>
          <w:color w:val="000000" w:themeColor="text1"/>
          <w:sz w:val="18"/>
          <w:szCs w:val="18"/>
        </w:rPr>
        <w:t xml:space="preserve"> mBank Hipoteczny S.A. </w:t>
      </w:r>
    </w:p>
    <w:p w14:paraId="771F9689" w14:textId="77777777" w:rsidR="009C1A37" w:rsidRPr="0068723D" w:rsidRDefault="009C1A37" w:rsidP="00775DFD">
      <w:pPr>
        <w:numPr>
          <w:ilvl w:val="0"/>
          <w:numId w:val="19"/>
        </w:numPr>
        <w:tabs>
          <w:tab w:val="clear" w:pos="567"/>
        </w:tabs>
        <w:suppressAutoHyphens/>
        <w:spacing w:before="60" w:after="60"/>
        <w:ind w:left="425" w:hanging="425"/>
        <w:jc w:val="both"/>
        <w:rPr>
          <w:rFonts w:cs="Tahoma"/>
          <w:color w:val="000000" w:themeColor="text1"/>
          <w:sz w:val="18"/>
          <w:szCs w:val="18"/>
          <w:u w:val="single"/>
        </w:rPr>
      </w:pPr>
      <w:r w:rsidRPr="0068723D">
        <w:rPr>
          <w:rFonts w:cs="Tahoma"/>
          <w:color w:val="000000" w:themeColor="text1"/>
          <w:sz w:val="18"/>
          <w:szCs w:val="18"/>
          <w:u w:val="single"/>
        </w:rPr>
        <w:t>Segment Korporacji i Rynków Finansowych</w:t>
      </w:r>
      <w:r w:rsidRPr="0068723D">
        <w:rPr>
          <w:rFonts w:cs="Tahoma"/>
          <w:color w:val="000000" w:themeColor="text1"/>
          <w:sz w:val="18"/>
          <w:szCs w:val="18"/>
        </w:rPr>
        <w:t xml:space="preserve"> podzielony na dwa podsegmenty:</w:t>
      </w:r>
    </w:p>
    <w:p w14:paraId="11DF0C32" w14:textId="36695217" w:rsidR="009C1A37" w:rsidRPr="0068723D" w:rsidRDefault="009C1A37" w:rsidP="00775DFD">
      <w:pPr>
        <w:numPr>
          <w:ilvl w:val="0"/>
          <w:numId w:val="19"/>
        </w:numPr>
        <w:spacing w:after="60"/>
        <w:jc w:val="both"/>
        <w:rPr>
          <w:color w:val="000000" w:themeColor="text1"/>
          <w:sz w:val="18"/>
          <w:szCs w:val="18"/>
        </w:rPr>
      </w:pPr>
      <w:r w:rsidRPr="0068723D">
        <w:rPr>
          <w:i/>
          <w:color w:val="000000" w:themeColor="text1"/>
          <w:sz w:val="18"/>
          <w:szCs w:val="18"/>
        </w:rPr>
        <w:t>Bankowość Korporacyjna i Inwestycyjna</w:t>
      </w:r>
      <w:r w:rsidRPr="0068723D">
        <w:rPr>
          <w:color w:val="000000" w:themeColor="text1"/>
          <w:sz w:val="18"/>
          <w:szCs w:val="18"/>
        </w:rPr>
        <w:t>, podsegment skupiający się na małych, średnich i dużych przedsiębiorstwach oraz podmiotach sektora finansów publicznych. Główne produkty oferowane tym klientom to produkty i usługi bankowości transakcyjnej, w tym rachunki bieżące, wielofunkcyjna bankowość internetowa, dostosowane do indywidualnych potrzeb usługi zarządzania płynnością finansową (ang. cash management) i operacje finansowania transakcji handlowych (ang. trade finance), lokaty terminowe, transakcje walutowe, kompleksowa oferta finansowania krótkoterminowego i kredytów inwestycyjnych, kredyty transgraniczne, produkty project finance, finansowanie strukturalne i finansowanie typu mezzanine, produkty bankowości inwestycyjnej, w tym opcje walutowe, kontrakty forward, instrumenty pochodne na stopę procentową, swapy</w:t>
      </w:r>
      <w:r w:rsidR="00AA4412">
        <w:rPr>
          <w:color w:val="000000" w:themeColor="text1"/>
          <w:sz w:val="18"/>
          <w:szCs w:val="18"/>
        </w:rPr>
        <w:t> </w:t>
      </w:r>
      <w:r w:rsidRPr="0068723D">
        <w:rPr>
          <w:color w:val="000000" w:themeColor="text1"/>
          <w:sz w:val="18"/>
          <w:szCs w:val="18"/>
        </w:rPr>
        <w:t>i opcje towarowe, strukturyzowane produkty depozytowe z wbudowanymi opcjami (oprocentowanie strukturyzowanych produktów depozytowych uzależnione jest bezpośrednio od</w:t>
      </w:r>
      <w:r w:rsidR="00AA4412">
        <w:rPr>
          <w:color w:val="000000" w:themeColor="text1"/>
          <w:sz w:val="18"/>
          <w:szCs w:val="18"/>
        </w:rPr>
        <w:t> </w:t>
      </w:r>
      <w:r w:rsidRPr="0068723D">
        <w:rPr>
          <w:color w:val="000000" w:themeColor="text1"/>
          <w:sz w:val="18"/>
          <w:szCs w:val="18"/>
        </w:rPr>
        <w:t>wyniku na określonych instrumentach finansowych, takich jak opcje walutowe, opcje na stopę procentową i opcje na akcje), organizowanie emisji akcji (IPO, SPO) oraz instrumentów dłużnych dla klientów korporacyjnych, obligacje i bony skarbowe, zadłuże</w:t>
      </w:r>
      <w:r w:rsidR="00413EB0">
        <w:rPr>
          <w:color w:val="000000" w:themeColor="text1"/>
          <w:sz w:val="18"/>
          <w:szCs w:val="18"/>
        </w:rPr>
        <w:t>nie pozarządowe, transakcje buy/</w:t>
      </w:r>
      <w:r w:rsidRPr="0068723D">
        <w:rPr>
          <w:color w:val="000000" w:themeColor="text1"/>
          <w:sz w:val="18"/>
          <w:szCs w:val="18"/>
        </w:rPr>
        <w:t>sell back i</w:t>
      </w:r>
      <w:r w:rsidR="00413EB0">
        <w:rPr>
          <w:color w:val="000000" w:themeColor="text1"/>
          <w:sz w:val="18"/>
          <w:szCs w:val="18"/>
        </w:rPr>
        <w:t> </w:t>
      </w:r>
      <w:r w:rsidRPr="0068723D">
        <w:rPr>
          <w:color w:val="000000" w:themeColor="text1"/>
          <w:sz w:val="18"/>
          <w:szCs w:val="18"/>
        </w:rPr>
        <w:t>sell</w:t>
      </w:r>
      <w:r w:rsidR="00413EB0">
        <w:rPr>
          <w:color w:val="000000" w:themeColor="text1"/>
          <w:sz w:val="18"/>
          <w:szCs w:val="18"/>
        </w:rPr>
        <w:t>/ </w:t>
      </w:r>
      <w:r w:rsidRPr="0068723D">
        <w:rPr>
          <w:color w:val="000000" w:themeColor="text1"/>
          <w:sz w:val="18"/>
          <w:szCs w:val="18"/>
        </w:rPr>
        <w:t>buy back oraz transakcje repo, jak również usługi leasingowe, faktoringowe i</w:t>
      </w:r>
      <w:r w:rsidR="00AA4412">
        <w:rPr>
          <w:color w:val="000000" w:themeColor="text1"/>
          <w:sz w:val="18"/>
          <w:szCs w:val="18"/>
        </w:rPr>
        <w:t> </w:t>
      </w:r>
      <w:r w:rsidRPr="0068723D">
        <w:rPr>
          <w:color w:val="000000" w:themeColor="text1"/>
          <w:sz w:val="18"/>
          <w:szCs w:val="18"/>
        </w:rPr>
        <w:t xml:space="preserve">maklerskie. Podsegment Bankowości Korporacyjnej i Inwestycyjnej obejmuje wyniki </w:t>
      </w:r>
      <w:bookmarkStart w:id="118" w:name="_DV_C113"/>
      <w:r w:rsidRPr="0068723D">
        <w:rPr>
          <w:color w:val="000000" w:themeColor="text1"/>
          <w:sz w:val="18"/>
          <w:szCs w:val="18"/>
        </w:rPr>
        <w:t>spółek: mFaktoring S.A., Garbary Sp. z o.o</w:t>
      </w:r>
      <w:bookmarkEnd w:id="118"/>
      <w:r w:rsidRPr="0068723D">
        <w:rPr>
          <w:color w:val="000000" w:themeColor="text1"/>
          <w:sz w:val="18"/>
          <w:szCs w:val="18"/>
        </w:rPr>
        <w:t xml:space="preserve">, Tele-Tech Investment Sp. z o.o. </w:t>
      </w:r>
      <w:r w:rsidRPr="0068723D">
        <w:rPr>
          <w:rFonts w:cs="Tahoma"/>
          <w:color w:val="000000" w:themeColor="text1"/>
          <w:sz w:val="18"/>
          <w:szCs w:val="18"/>
        </w:rPr>
        <w:t>oraz wyniki segmentów korporacyjnych spółek mLeasing Sp. z o.o., Asekum S</w:t>
      </w:r>
      <w:r w:rsidR="00B07514">
        <w:rPr>
          <w:rFonts w:cs="Tahoma"/>
          <w:color w:val="000000" w:themeColor="text1"/>
          <w:sz w:val="18"/>
          <w:szCs w:val="18"/>
        </w:rPr>
        <w:t xml:space="preserve">p. z o.o. </w:t>
      </w:r>
      <w:r w:rsidRPr="0068723D">
        <w:rPr>
          <w:rFonts w:cs="Tahoma"/>
          <w:color w:val="000000" w:themeColor="text1"/>
          <w:sz w:val="18"/>
          <w:szCs w:val="18"/>
        </w:rPr>
        <w:t>oraz</w:t>
      </w:r>
      <w:r w:rsidRPr="0068723D">
        <w:rPr>
          <w:color w:val="000000" w:themeColor="text1"/>
          <w:sz w:val="18"/>
          <w:szCs w:val="18"/>
        </w:rPr>
        <w:t xml:space="preserve"> mBank Hipoteczny S.A. </w:t>
      </w:r>
    </w:p>
    <w:p w14:paraId="34E3888C" w14:textId="5485048C" w:rsidR="00E549FD" w:rsidRDefault="009C1A37" w:rsidP="00775DFD">
      <w:pPr>
        <w:numPr>
          <w:ilvl w:val="0"/>
          <w:numId w:val="19"/>
        </w:numPr>
        <w:spacing w:after="60"/>
        <w:jc w:val="both"/>
        <w:rPr>
          <w:rFonts w:cs="Tahoma"/>
          <w:color w:val="000000" w:themeColor="text1"/>
          <w:sz w:val="18"/>
          <w:szCs w:val="18"/>
        </w:rPr>
      </w:pPr>
      <w:r w:rsidRPr="0068723D">
        <w:rPr>
          <w:i/>
          <w:color w:val="000000" w:themeColor="text1"/>
          <w:sz w:val="18"/>
          <w:szCs w:val="18"/>
        </w:rPr>
        <w:t xml:space="preserve">Rynki Finansowe, </w:t>
      </w:r>
      <w:r w:rsidRPr="0068723D">
        <w:rPr>
          <w:color w:val="000000" w:themeColor="text1"/>
          <w:sz w:val="18"/>
          <w:szCs w:val="18"/>
        </w:rPr>
        <w:t xml:space="preserve">podsegment, który obejmuje głównie działalność w zakresie operacji skarbowych (ang. treasury), rynków finansowych, zarządzania płynnością, ryzykiem stóp procentowych i walutowym Banku oraz jego portfelem handlowym i inwestycyjnym, a także organizowanie rynku dla instrumentów pieniężnych i pochodnych denominowanych w PLN. Bank prowadzi współpracę z wieloma bankami-korespondentami, a także nawiązuje relacje z innymi bankami oferując produkty takie jak konta bieżące, zadłużenie w rachunku bieżącym, kredyty udzielane samodzielnie i w ramach konsorcjum oraz kredyty ubezpieczane przez KUKE, mające na celu wspieranie polskiego eksportu. W ramach tego podsegmentu są wykazywane wyniki spółki mFinance France S.A. </w:t>
      </w:r>
      <w:r w:rsidRPr="0068723D">
        <w:rPr>
          <w:rFonts w:cs="Tahoma"/>
          <w:color w:val="000000" w:themeColor="text1"/>
          <w:sz w:val="18"/>
          <w:szCs w:val="18"/>
        </w:rPr>
        <w:t>oraz wyniki segmentów spółek mLeasing Sp. z o.o. i mBank Hipoteczny S.A. w zakresie działalności związanej z pozyskiwaniem finansowania.</w:t>
      </w:r>
    </w:p>
    <w:p w14:paraId="17FA270C" w14:textId="77777777" w:rsidR="009C1A37" w:rsidRPr="0068723D" w:rsidRDefault="009C1A37" w:rsidP="00775DFD">
      <w:pPr>
        <w:numPr>
          <w:ilvl w:val="1"/>
          <w:numId w:val="20"/>
        </w:numPr>
        <w:suppressAutoHyphens/>
        <w:spacing w:before="60"/>
        <w:ind w:left="425" w:hanging="425"/>
        <w:jc w:val="both"/>
        <w:rPr>
          <w:rFonts w:cs="Tahoma"/>
          <w:color w:val="000000" w:themeColor="text1"/>
          <w:sz w:val="18"/>
          <w:szCs w:val="18"/>
        </w:rPr>
      </w:pPr>
      <w:r w:rsidRPr="0068723D">
        <w:rPr>
          <w:rFonts w:cs="Tahoma"/>
          <w:color w:val="000000" w:themeColor="text1"/>
          <w:sz w:val="18"/>
          <w:szCs w:val="18"/>
        </w:rPr>
        <w:t>Działalność niesklasyfikowana w ramach Segmentu Bankowości Detalicznej oraz Segmentu Korporacji i Rynków Finansowych została wykazana w pozycji „</w:t>
      </w:r>
      <w:r w:rsidRPr="0068723D">
        <w:rPr>
          <w:rFonts w:cs="Tahoma"/>
          <w:color w:val="000000" w:themeColor="text1"/>
          <w:sz w:val="18"/>
          <w:szCs w:val="18"/>
          <w:u w:val="single"/>
        </w:rPr>
        <w:t>Pozostałe</w:t>
      </w:r>
      <w:r w:rsidRPr="0068723D">
        <w:rPr>
          <w:rFonts w:cs="Tahoma"/>
          <w:color w:val="000000" w:themeColor="text1"/>
          <w:sz w:val="18"/>
          <w:szCs w:val="18"/>
        </w:rPr>
        <w:t>”. Segment ten obejmuje również wyniki spółek mCentrum Operacji Sp. z o.o. w likwidacji, BDH Development Sp. z o.o., Future Tech Fundusz Inwestycyjny Zamknięty.</w:t>
      </w:r>
    </w:p>
    <w:p w14:paraId="72B8B612"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lastRenderedPageBreak/>
        <w:t xml:space="preserve">Poniżej przedstawiono zasady przyjęte przy dokonywaniu podziału działalności Grupy na segmenty. </w:t>
      </w:r>
    </w:p>
    <w:p w14:paraId="332DD204"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Transakcje pomiędzy segmentami działalności odbywają się na normalnych, komercyjnych warunkach.</w:t>
      </w:r>
    </w:p>
    <w:p w14:paraId="7FDEB87E"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 xml:space="preserve">Zaangażowania w spółki Grupy przydzielane do poszczególnych segmentów powodują transfer kosztów finansowania kapitału. Rozliczenia zaalokowanego kapitału oparte są o średni ważony koszt kapitału Grupy i wykazywane w przychodach operacyjnych. </w:t>
      </w:r>
    </w:p>
    <w:p w14:paraId="1E58C032"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 xml:space="preserve">Wewnętrzny transfer funduszy pomiędzy jednostkami Banku oparty jest o stawki transferowe bazujące na stopach rynkowych. Stawki transferowe są określane według tych samych zasad dla wszystkich jednostek organizacyjnych Banku, a ich zróżnicowanie wynika jedynie ze struktury walutowej i terminowej aktywów i zobowiązań. Rozliczenia wewnętrzne z tytułu wewnętrznej wyceny transferu funduszy są uwzględnione w wynikach każdego segmentu. </w:t>
      </w:r>
    </w:p>
    <w:p w14:paraId="4DD212E8"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Aktywa i zobowiązania segmentu obejmują aktywa i zobowiązania operacyjne, stanowiące większą część sprawozdania z sytuacji finansowej, nie obejmują natomiast pozycji takich jak podatki lub pożyczki.</w:t>
      </w:r>
    </w:p>
    <w:p w14:paraId="0F2C38D5"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Wydzielenia aktywów i zobowiązań segmentu oraz przychodów i kosztów dokonano na podstawie wewnętrznych informacji przygotowywanych w Banku dla potrzeb zarządczych. Poszczególnym obszarom biznesu zostały przypisane aktywa i pasywa poszczególnych segmentów klientów i związane z tymi aktywami i zobowiązaniami przychody i koszty. Wynik segmentu uwzględnia wszystkie możliwe do alokacji pozycje przychodów i kosztów.</w:t>
      </w:r>
    </w:p>
    <w:p w14:paraId="2E8D0218"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Działalność poszczególnych spółek Grupy została (uwzględniając korekty konsolidacyjne) w całości przypisana do odpowiednich segmentów.</w:t>
      </w:r>
    </w:p>
    <w:p w14:paraId="72962DD4" w14:textId="77777777"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Podstawowym podziałem jest podział na linie biznesowe. Dodatkowo działalność Grupy prezentowana jest w podziale geograficznym na Polskę i zagranicę ze względu na miejsce powstawania przychodów i kosztów. Segment zagraniczny obejmuje działalność oddziałów zagranicznych mBanku w Czechach i na Słowacji oraz działalność spółki zagranicznej mFinance France S.A. Działalność spółki mFinance France S.A., po wyeliminowaniu przychodów i kosztów oraz aktywów i zobowiązań związanych z emisją obligacji w ramach programu EMTN, zaprezentowana jest w segmencie Zagranica. Koszt programu EMTN oraz aktywa i zobowiązania z nim związane zaprezentowane są w segmencie Polska.</w:t>
      </w:r>
    </w:p>
    <w:p w14:paraId="7DD0238B" w14:textId="700C0F9E" w:rsidR="00756763" w:rsidRPr="0068723D" w:rsidRDefault="00756763" w:rsidP="00756763">
      <w:pPr>
        <w:suppressAutoHyphens/>
        <w:spacing w:before="120" w:after="120"/>
        <w:jc w:val="both"/>
        <w:rPr>
          <w:rFonts w:cs="Tahoma"/>
          <w:color w:val="000000" w:themeColor="text1"/>
          <w:sz w:val="18"/>
          <w:szCs w:val="18"/>
        </w:rPr>
      </w:pPr>
      <w:r w:rsidRPr="0068723D">
        <w:rPr>
          <w:rFonts w:cs="Tahoma"/>
          <w:color w:val="000000" w:themeColor="text1"/>
          <w:sz w:val="18"/>
          <w:szCs w:val="18"/>
        </w:rPr>
        <w:t>Sprawozdawczość według segmentów działalności Grupy mBanku S.A. za okres od 1 stycznia do 31 grudnia 2019 roku – dane dotyczące skonsolidowanego rachunku zysków i strat</w:t>
      </w:r>
    </w:p>
    <w:tbl>
      <w:tblPr>
        <w:tblW w:w="0" w:type="auto"/>
        <w:tblLayout w:type="fixed"/>
        <w:tblCellMar>
          <w:left w:w="28" w:type="dxa"/>
          <w:right w:w="28" w:type="dxa"/>
        </w:tblCellMar>
        <w:tblLook w:val="04A0" w:firstRow="1" w:lastRow="0" w:firstColumn="1" w:lastColumn="0" w:noHBand="0" w:noVBand="1"/>
      </w:tblPr>
      <w:tblGrid>
        <w:gridCol w:w="4593"/>
        <w:gridCol w:w="998"/>
        <w:gridCol w:w="998"/>
        <w:gridCol w:w="998"/>
        <w:gridCol w:w="998"/>
        <w:gridCol w:w="998"/>
      </w:tblGrid>
      <w:tr w:rsidR="00FC2F00" w:rsidRPr="00FC2F00" w14:paraId="6700DBEE" w14:textId="77777777" w:rsidTr="00923B73">
        <w:trPr>
          <w:trHeight w:val="284"/>
        </w:trPr>
        <w:tc>
          <w:tcPr>
            <w:tcW w:w="4593" w:type="dxa"/>
            <w:vMerge w:val="restart"/>
            <w:tcBorders>
              <w:top w:val="nil"/>
              <w:left w:val="nil"/>
              <w:bottom w:val="single" w:sz="8" w:space="0" w:color="FFFFFF"/>
              <w:right w:val="single" w:sz="8" w:space="0" w:color="FFFFFF"/>
            </w:tcBorders>
            <w:shd w:val="clear" w:color="000000" w:fill="0077BD"/>
            <w:vAlign w:val="center"/>
            <w:hideMark/>
          </w:tcPr>
          <w:p w14:paraId="003295EE" w14:textId="77777777" w:rsidR="00FC2F00" w:rsidRPr="00FC2F00" w:rsidRDefault="00FC2F00" w:rsidP="00FC2F00">
            <w:pPr>
              <w:rPr>
                <w:rFonts w:cs="Calibri"/>
                <w:b/>
                <w:bCs/>
                <w:color w:val="FFFFFF"/>
                <w:sz w:val="12"/>
                <w:szCs w:val="12"/>
              </w:rPr>
            </w:pPr>
            <w:r w:rsidRPr="00FC2F00">
              <w:rPr>
                <w:rFonts w:cs="Calibri"/>
                <w:b/>
                <w:bCs/>
                <w:color w:val="FFFFFF"/>
                <w:sz w:val="12"/>
                <w:szCs w:val="12"/>
              </w:rPr>
              <w:t> </w:t>
            </w:r>
          </w:p>
        </w:tc>
        <w:tc>
          <w:tcPr>
            <w:tcW w:w="998" w:type="dxa"/>
            <w:gridSpan w:val="2"/>
            <w:tcBorders>
              <w:top w:val="nil"/>
              <w:left w:val="nil"/>
              <w:bottom w:val="single" w:sz="4" w:space="0" w:color="FFFFFF"/>
              <w:right w:val="single" w:sz="8" w:space="0" w:color="FFFFFF"/>
            </w:tcBorders>
            <w:shd w:val="clear" w:color="000000" w:fill="0077BD"/>
            <w:vAlign w:val="center"/>
            <w:hideMark/>
          </w:tcPr>
          <w:p w14:paraId="2FAE895A"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Korporacje i Rynki Finansowe</w:t>
            </w:r>
          </w:p>
        </w:tc>
        <w:tc>
          <w:tcPr>
            <w:tcW w:w="998"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55D81CE2"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 xml:space="preserve">Bankowość Detaliczna </w:t>
            </w:r>
          </w:p>
        </w:tc>
        <w:tc>
          <w:tcPr>
            <w:tcW w:w="998"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5ED8F480"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Pozostałe</w:t>
            </w:r>
          </w:p>
        </w:tc>
        <w:tc>
          <w:tcPr>
            <w:tcW w:w="998" w:type="dxa"/>
            <w:vMerge w:val="restart"/>
            <w:tcBorders>
              <w:top w:val="nil"/>
              <w:left w:val="single" w:sz="8" w:space="0" w:color="FFFFFF"/>
              <w:bottom w:val="single" w:sz="8" w:space="0" w:color="FFFFFF"/>
              <w:right w:val="nil"/>
            </w:tcBorders>
            <w:shd w:val="clear" w:color="000000" w:fill="0077BD"/>
            <w:vAlign w:val="center"/>
            <w:hideMark/>
          </w:tcPr>
          <w:p w14:paraId="4428A9A4"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Razem Grupa</w:t>
            </w:r>
          </w:p>
        </w:tc>
      </w:tr>
      <w:tr w:rsidR="00FC2F00" w:rsidRPr="00FC2F00" w14:paraId="23373E6B" w14:textId="77777777" w:rsidTr="00923B73">
        <w:trPr>
          <w:trHeight w:val="624"/>
        </w:trPr>
        <w:tc>
          <w:tcPr>
            <w:tcW w:w="4593" w:type="dxa"/>
            <w:vMerge/>
            <w:tcBorders>
              <w:top w:val="nil"/>
              <w:left w:val="nil"/>
              <w:bottom w:val="single" w:sz="8" w:space="0" w:color="FFFFFF"/>
              <w:right w:val="single" w:sz="8" w:space="0" w:color="FFFFFF"/>
            </w:tcBorders>
            <w:vAlign w:val="center"/>
            <w:hideMark/>
          </w:tcPr>
          <w:p w14:paraId="2702341F" w14:textId="77777777" w:rsidR="00FC2F00" w:rsidRPr="00FC2F00" w:rsidRDefault="00FC2F00" w:rsidP="00FC2F00">
            <w:pPr>
              <w:rPr>
                <w:rFonts w:cs="Calibri"/>
                <w:b/>
                <w:bCs/>
                <w:color w:val="FFFFFF"/>
                <w:sz w:val="12"/>
                <w:szCs w:val="12"/>
              </w:rPr>
            </w:pPr>
          </w:p>
        </w:tc>
        <w:tc>
          <w:tcPr>
            <w:tcW w:w="998" w:type="dxa"/>
            <w:tcBorders>
              <w:top w:val="single" w:sz="4" w:space="0" w:color="FFFFFF"/>
              <w:left w:val="nil"/>
              <w:bottom w:val="single" w:sz="8" w:space="0" w:color="FFFFFF"/>
              <w:right w:val="single" w:sz="8" w:space="0" w:color="FFFFFF"/>
            </w:tcBorders>
            <w:shd w:val="clear" w:color="000000" w:fill="0077BD"/>
            <w:vAlign w:val="center"/>
            <w:hideMark/>
          </w:tcPr>
          <w:p w14:paraId="1A964A01"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Bankowość Korporacyjna i Inwestycyjna</w:t>
            </w:r>
          </w:p>
        </w:tc>
        <w:tc>
          <w:tcPr>
            <w:tcW w:w="998" w:type="dxa"/>
            <w:tcBorders>
              <w:top w:val="single" w:sz="4" w:space="0" w:color="FFFFFF"/>
              <w:left w:val="nil"/>
              <w:bottom w:val="single" w:sz="8" w:space="0" w:color="FFFFFF"/>
              <w:right w:val="single" w:sz="8" w:space="0" w:color="FFFFFF"/>
            </w:tcBorders>
            <w:shd w:val="clear" w:color="000000" w:fill="0077BD"/>
            <w:vAlign w:val="center"/>
            <w:hideMark/>
          </w:tcPr>
          <w:p w14:paraId="12A1B972" w14:textId="77777777" w:rsidR="00FC2F00" w:rsidRPr="00FC2F00" w:rsidRDefault="00FC2F00" w:rsidP="00FC2F00">
            <w:pPr>
              <w:jc w:val="center"/>
              <w:rPr>
                <w:rFonts w:cs="Calibri"/>
                <w:b/>
                <w:bCs/>
                <w:color w:val="FFFFFF"/>
                <w:sz w:val="12"/>
                <w:szCs w:val="12"/>
              </w:rPr>
            </w:pPr>
            <w:r w:rsidRPr="00FC2F00">
              <w:rPr>
                <w:rFonts w:cs="Calibri"/>
                <w:b/>
                <w:bCs/>
                <w:color w:val="FFFFFF"/>
                <w:sz w:val="12"/>
                <w:szCs w:val="12"/>
              </w:rPr>
              <w:t>Rynki Finansowe</w:t>
            </w:r>
          </w:p>
        </w:tc>
        <w:tc>
          <w:tcPr>
            <w:tcW w:w="998" w:type="dxa"/>
            <w:vMerge/>
            <w:tcBorders>
              <w:top w:val="nil"/>
              <w:left w:val="single" w:sz="8" w:space="0" w:color="FFFFFF"/>
              <w:bottom w:val="single" w:sz="8" w:space="0" w:color="FFFFFF"/>
              <w:right w:val="single" w:sz="8" w:space="0" w:color="FFFFFF"/>
            </w:tcBorders>
            <w:vAlign w:val="center"/>
            <w:hideMark/>
          </w:tcPr>
          <w:p w14:paraId="6153FCEA" w14:textId="77777777" w:rsidR="00FC2F00" w:rsidRPr="00FC2F00" w:rsidRDefault="00FC2F00" w:rsidP="00FC2F00">
            <w:pPr>
              <w:rPr>
                <w:rFonts w:cs="Calibri"/>
                <w:b/>
                <w:bCs/>
                <w:color w:val="FFFFFF"/>
                <w:sz w:val="12"/>
                <w:szCs w:val="12"/>
              </w:rPr>
            </w:pPr>
          </w:p>
        </w:tc>
        <w:tc>
          <w:tcPr>
            <w:tcW w:w="998" w:type="dxa"/>
            <w:vMerge/>
            <w:tcBorders>
              <w:top w:val="nil"/>
              <w:left w:val="single" w:sz="8" w:space="0" w:color="FFFFFF"/>
              <w:bottom w:val="single" w:sz="8" w:space="0" w:color="FFFFFF"/>
              <w:right w:val="single" w:sz="8" w:space="0" w:color="FFFFFF"/>
            </w:tcBorders>
            <w:vAlign w:val="center"/>
            <w:hideMark/>
          </w:tcPr>
          <w:p w14:paraId="6E1A872E" w14:textId="77777777" w:rsidR="00FC2F00" w:rsidRPr="00FC2F00" w:rsidRDefault="00FC2F00" w:rsidP="00FC2F00">
            <w:pPr>
              <w:rPr>
                <w:rFonts w:cs="Calibri"/>
                <w:b/>
                <w:bCs/>
                <w:color w:val="FFFFFF"/>
                <w:sz w:val="12"/>
                <w:szCs w:val="12"/>
              </w:rPr>
            </w:pPr>
          </w:p>
        </w:tc>
        <w:tc>
          <w:tcPr>
            <w:tcW w:w="998" w:type="dxa"/>
            <w:vMerge/>
            <w:tcBorders>
              <w:top w:val="nil"/>
              <w:left w:val="single" w:sz="8" w:space="0" w:color="FFFFFF"/>
              <w:bottom w:val="single" w:sz="8" w:space="0" w:color="FFFFFF"/>
              <w:right w:val="nil"/>
            </w:tcBorders>
            <w:vAlign w:val="center"/>
            <w:hideMark/>
          </w:tcPr>
          <w:p w14:paraId="0AC0D850" w14:textId="77777777" w:rsidR="00FC2F00" w:rsidRPr="00FC2F00" w:rsidRDefault="00FC2F00" w:rsidP="00FC2F00">
            <w:pPr>
              <w:rPr>
                <w:rFonts w:cs="Calibri"/>
                <w:b/>
                <w:bCs/>
                <w:color w:val="FFFFFF"/>
                <w:sz w:val="12"/>
                <w:szCs w:val="12"/>
              </w:rPr>
            </w:pPr>
          </w:p>
        </w:tc>
      </w:tr>
      <w:tr w:rsidR="0031397A" w:rsidRPr="0068723D" w14:paraId="3FDA5446" w14:textId="77777777" w:rsidTr="00923B73">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1962620B"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z tytułu odsetek</w:t>
            </w:r>
          </w:p>
        </w:tc>
        <w:tc>
          <w:tcPr>
            <w:tcW w:w="998" w:type="dxa"/>
            <w:tcBorders>
              <w:top w:val="single" w:sz="8" w:space="0" w:color="FFFFFF"/>
              <w:left w:val="single" w:sz="8" w:space="0" w:color="0070C0"/>
              <w:bottom w:val="single" w:sz="8" w:space="0" w:color="0070C0"/>
              <w:right w:val="single" w:sz="8" w:space="0" w:color="0070C0"/>
            </w:tcBorders>
            <w:shd w:val="clear" w:color="auto" w:fill="auto"/>
            <w:noWrap/>
            <w:vAlign w:val="center"/>
          </w:tcPr>
          <w:p w14:paraId="6E580B4C" w14:textId="07A1199A"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1 066 640</w:t>
            </w:r>
          </w:p>
        </w:tc>
        <w:tc>
          <w:tcPr>
            <w:tcW w:w="998" w:type="dxa"/>
            <w:tcBorders>
              <w:top w:val="single" w:sz="8" w:space="0" w:color="FFFFFF"/>
              <w:left w:val="nil"/>
              <w:bottom w:val="single" w:sz="8" w:space="0" w:color="0070C0"/>
              <w:right w:val="single" w:sz="8" w:space="0" w:color="0070C0"/>
            </w:tcBorders>
            <w:shd w:val="clear" w:color="auto" w:fill="auto"/>
            <w:noWrap/>
            <w:vAlign w:val="center"/>
          </w:tcPr>
          <w:p w14:paraId="42B65181" w14:textId="5C5578DC"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235 534</w:t>
            </w:r>
          </w:p>
        </w:tc>
        <w:tc>
          <w:tcPr>
            <w:tcW w:w="998" w:type="dxa"/>
            <w:tcBorders>
              <w:top w:val="single" w:sz="8" w:space="0" w:color="FFFFFF"/>
              <w:left w:val="nil"/>
              <w:bottom w:val="single" w:sz="8" w:space="0" w:color="0070C0"/>
              <w:right w:val="single" w:sz="8" w:space="0" w:color="0070C0"/>
            </w:tcBorders>
            <w:shd w:val="clear" w:color="auto" w:fill="auto"/>
            <w:noWrap/>
            <w:vAlign w:val="center"/>
          </w:tcPr>
          <w:p w14:paraId="6761951B" w14:textId="6A797923"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2 696 814</w:t>
            </w:r>
          </w:p>
        </w:tc>
        <w:tc>
          <w:tcPr>
            <w:tcW w:w="998" w:type="dxa"/>
            <w:tcBorders>
              <w:top w:val="single" w:sz="8" w:space="0" w:color="FFFFFF"/>
              <w:left w:val="nil"/>
              <w:bottom w:val="single" w:sz="8" w:space="0" w:color="0070C0"/>
              <w:right w:val="single" w:sz="8" w:space="0" w:color="0070C0"/>
            </w:tcBorders>
            <w:shd w:val="clear" w:color="auto" w:fill="auto"/>
            <w:noWrap/>
            <w:vAlign w:val="center"/>
          </w:tcPr>
          <w:p w14:paraId="25A22572" w14:textId="314CD77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3 784</w:t>
            </w:r>
          </w:p>
        </w:tc>
        <w:tc>
          <w:tcPr>
            <w:tcW w:w="998" w:type="dxa"/>
            <w:tcBorders>
              <w:top w:val="single" w:sz="8" w:space="0" w:color="FFFFFF"/>
              <w:left w:val="nil"/>
              <w:bottom w:val="single" w:sz="8" w:space="0" w:color="0070C0"/>
              <w:right w:val="nil"/>
            </w:tcBorders>
            <w:shd w:val="clear" w:color="auto" w:fill="auto"/>
            <w:noWrap/>
            <w:vAlign w:val="center"/>
          </w:tcPr>
          <w:p w14:paraId="58834AD3" w14:textId="7D50495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4 002 772</w:t>
            </w:r>
          </w:p>
        </w:tc>
      </w:tr>
      <w:tr w:rsidR="0031397A" w:rsidRPr="0068723D" w14:paraId="0FB16B21" w14:textId="77777777" w:rsidTr="00923B73">
        <w:trPr>
          <w:trHeight w:val="227"/>
        </w:trPr>
        <w:tc>
          <w:tcPr>
            <w:tcW w:w="4593" w:type="dxa"/>
            <w:tcBorders>
              <w:top w:val="nil"/>
              <w:left w:val="nil"/>
              <w:bottom w:val="single" w:sz="4" w:space="0" w:color="0070C0"/>
              <w:right w:val="single" w:sz="8" w:space="0" w:color="0070C0"/>
            </w:tcBorders>
            <w:shd w:val="clear" w:color="auto" w:fill="auto"/>
            <w:noWrap/>
            <w:vAlign w:val="center"/>
            <w:hideMark/>
          </w:tcPr>
          <w:p w14:paraId="35DFD02E"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 sprzedaż klientom zewnętrznym</w:t>
            </w:r>
          </w:p>
        </w:tc>
        <w:tc>
          <w:tcPr>
            <w:tcW w:w="998" w:type="dxa"/>
            <w:tcBorders>
              <w:top w:val="nil"/>
              <w:left w:val="single" w:sz="8" w:space="0" w:color="0070C0"/>
              <w:bottom w:val="single" w:sz="4" w:space="0" w:color="0070C0"/>
              <w:right w:val="single" w:sz="8" w:space="0" w:color="0070C0"/>
            </w:tcBorders>
            <w:shd w:val="clear" w:color="auto" w:fill="auto"/>
            <w:noWrap/>
            <w:vAlign w:val="center"/>
          </w:tcPr>
          <w:p w14:paraId="66424AE0" w14:textId="7588C30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1 078 555</w:t>
            </w:r>
          </w:p>
        </w:tc>
        <w:tc>
          <w:tcPr>
            <w:tcW w:w="998" w:type="dxa"/>
            <w:tcBorders>
              <w:top w:val="nil"/>
              <w:left w:val="nil"/>
              <w:bottom w:val="single" w:sz="4" w:space="0" w:color="0070C0"/>
              <w:right w:val="single" w:sz="8" w:space="0" w:color="0070C0"/>
            </w:tcBorders>
            <w:shd w:val="clear" w:color="auto" w:fill="auto"/>
            <w:noWrap/>
            <w:vAlign w:val="center"/>
          </w:tcPr>
          <w:p w14:paraId="183F6F3C" w14:textId="55BCA961"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731 266</w:t>
            </w:r>
          </w:p>
        </w:tc>
        <w:tc>
          <w:tcPr>
            <w:tcW w:w="998" w:type="dxa"/>
            <w:tcBorders>
              <w:top w:val="nil"/>
              <w:left w:val="nil"/>
              <w:bottom w:val="single" w:sz="4" w:space="0" w:color="0070C0"/>
              <w:right w:val="single" w:sz="8" w:space="0" w:color="0070C0"/>
            </w:tcBorders>
            <w:shd w:val="clear" w:color="auto" w:fill="auto"/>
            <w:noWrap/>
            <w:vAlign w:val="center"/>
          </w:tcPr>
          <w:p w14:paraId="549B0DF0" w14:textId="371E877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2 192 790</w:t>
            </w:r>
          </w:p>
        </w:tc>
        <w:tc>
          <w:tcPr>
            <w:tcW w:w="998" w:type="dxa"/>
            <w:tcBorders>
              <w:top w:val="nil"/>
              <w:left w:val="nil"/>
              <w:bottom w:val="single" w:sz="4" w:space="0" w:color="0070C0"/>
              <w:right w:val="single" w:sz="8" w:space="0" w:color="0070C0"/>
            </w:tcBorders>
            <w:shd w:val="clear" w:color="auto" w:fill="auto"/>
            <w:noWrap/>
            <w:vAlign w:val="center"/>
          </w:tcPr>
          <w:p w14:paraId="5B72926B" w14:textId="20DD0F5E"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161</w:t>
            </w:r>
          </w:p>
        </w:tc>
        <w:tc>
          <w:tcPr>
            <w:tcW w:w="998" w:type="dxa"/>
            <w:tcBorders>
              <w:top w:val="nil"/>
              <w:left w:val="nil"/>
              <w:bottom w:val="single" w:sz="4" w:space="0" w:color="0070C0"/>
              <w:right w:val="nil"/>
            </w:tcBorders>
            <w:shd w:val="clear" w:color="auto" w:fill="auto"/>
            <w:noWrap/>
            <w:vAlign w:val="center"/>
          </w:tcPr>
          <w:p w14:paraId="5567F1BB" w14:textId="21BB27E4"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4 002 772</w:t>
            </w:r>
          </w:p>
        </w:tc>
      </w:tr>
      <w:tr w:rsidR="0031397A" w:rsidRPr="0068723D" w14:paraId="09B65758" w14:textId="77777777" w:rsidTr="00923B73">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24677C73"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 sprzedaż innym segmentom</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311E08BE" w14:textId="3544F3A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(11 915)</w:t>
            </w:r>
          </w:p>
        </w:tc>
        <w:tc>
          <w:tcPr>
            <w:tcW w:w="998" w:type="dxa"/>
            <w:tcBorders>
              <w:top w:val="nil"/>
              <w:left w:val="nil"/>
              <w:bottom w:val="single" w:sz="8" w:space="0" w:color="0070C0"/>
              <w:right w:val="single" w:sz="8" w:space="0" w:color="0070C0"/>
            </w:tcBorders>
            <w:shd w:val="clear" w:color="auto" w:fill="auto"/>
            <w:noWrap/>
            <w:vAlign w:val="center"/>
          </w:tcPr>
          <w:p w14:paraId="68422701" w14:textId="31E2BA9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(495 732)</w:t>
            </w:r>
          </w:p>
        </w:tc>
        <w:tc>
          <w:tcPr>
            <w:tcW w:w="998" w:type="dxa"/>
            <w:tcBorders>
              <w:top w:val="nil"/>
              <w:left w:val="nil"/>
              <w:bottom w:val="single" w:sz="8" w:space="0" w:color="0070C0"/>
              <w:right w:val="single" w:sz="8" w:space="0" w:color="0070C0"/>
            </w:tcBorders>
            <w:shd w:val="clear" w:color="auto" w:fill="auto"/>
            <w:noWrap/>
            <w:vAlign w:val="center"/>
          </w:tcPr>
          <w:p w14:paraId="4CDF443A" w14:textId="3E919C13"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504 024</w:t>
            </w:r>
          </w:p>
        </w:tc>
        <w:tc>
          <w:tcPr>
            <w:tcW w:w="998" w:type="dxa"/>
            <w:tcBorders>
              <w:top w:val="nil"/>
              <w:left w:val="nil"/>
              <w:bottom w:val="single" w:sz="8" w:space="0" w:color="0070C0"/>
              <w:right w:val="single" w:sz="8" w:space="0" w:color="0070C0"/>
            </w:tcBorders>
            <w:shd w:val="clear" w:color="auto" w:fill="auto"/>
            <w:noWrap/>
            <w:vAlign w:val="center"/>
          </w:tcPr>
          <w:p w14:paraId="2C49505F" w14:textId="464D2D47"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3 623</w:t>
            </w:r>
          </w:p>
        </w:tc>
        <w:tc>
          <w:tcPr>
            <w:tcW w:w="998" w:type="dxa"/>
            <w:tcBorders>
              <w:top w:val="nil"/>
              <w:left w:val="nil"/>
              <w:bottom w:val="single" w:sz="8" w:space="0" w:color="0070C0"/>
              <w:right w:val="nil"/>
            </w:tcBorders>
            <w:shd w:val="clear" w:color="auto" w:fill="auto"/>
            <w:noWrap/>
            <w:vAlign w:val="center"/>
          </w:tcPr>
          <w:p w14:paraId="139D0430" w14:textId="2D80285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r>
      <w:tr w:rsidR="0031397A" w:rsidRPr="0068723D" w14:paraId="239F3950" w14:textId="77777777" w:rsidTr="00923B73">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33417D66"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z tytułu opłat i prowizji</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72746EE5" w14:textId="2748C0C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513 855</w:t>
            </w:r>
          </w:p>
        </w:tc>
        <w:tc>
          <w:tcPr>
            <w:tcW w:w="998" w:type="dxa"/>
            <w:tcBorders>
              <w:top w:val="nil"/>
              <w:left w:val="nil"/>
              <w:bottom w:val="single" w:sz="8" w:space="0" w:color="0070C0"/>
              <w:right w:val="single" w:sz="8" w:space="0" w:color="0070C0"/>
            </w:tcBorders>
            <w:shd w:val="clear" w:color="auto" w:fill="auto"/>
            <w:noWrap/>
            <w:vAlign w:val="center"/>
          </w:tcPr>
          <w:p w14:paraId="77CF33E9" w14:textId="24738FE5"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(16 349)</w:t>
            </w:r>
          </w:p>
        </w:tc>
        <w:tc>
          <w:tcPr>
            <w:tcW w:w="998" w:type="dxa"/>
            <w:tcBorders>
              <w:top w:val="nil"/>
              <w:left w:val="nil"/>
              <w:bottom w:val="single" w:sz="8" w:space="0" w:color="0070C0"/>
              <w:right w:val="single" w:sz="8" w:space="0" w:color="0070C0"/>
            </w:tcBorders>
            <w:shd w:val="clear" w:color="auto" w:fill="auto"/>
            <w:noWrap/>
            <w:vAlign w:val="center"/>
          </w:tcPr>
          <w:p w14:paraId="63076110" w14:textId="18B08F4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486 732</w:t>
            </w:r>
          </w:p>
        </w:tc>
        <w:tc>
          <w:tcPr>
            <w:tcW w:w="998" w:type="dxa"/>
            <w:tcBorders>
              <w:top w:val="nil"/>
              <w:left w:val="nil"/>
              <w:bottom w:val="single" w:sz="8" w:space="0" w:color="0070C0"/>
              <w:right w:val="single" w:sz="8" w:space="0" w:color="0070C0"/>
            </w:tcBorders>
            <w:shd w:val="clear" w:color="auto" w:fill="auto"/>
            <w:noWrap/>
            <w:vAlign w:val="center"/>
          </w:tcPr>
          <w:p w14:paraId="2D23808D" w14:textId="0787268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(19 635)</w:t>
            </w:r>
          </w:p>
        </w:tc>
        <w:tc>
          <w:tcPr>
            <w:tcW w:w="998" w:type="dxa"/>
            <w:tcBorders>
              <w:top w:val="nil"/>
              <w:left w:val="nil"/>
              <w:bottom w:val="single" w:sz="8" w:space="0" w:color="0070C0"/>
              <w:right w:val="nil"/>
            </w:tcBorders>
            <w:shd w:val="clear" w:color="auto" w:fill="auto"/>
            <w:noWrap/>
            <w:vAlign w:val="center"/>
          </w:tcPr>
          <w:p w14:paraId="46075D9D" w14:textId="7955F17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964 603</w:t>
            </w:r>
          </w:p>
        </w:tc>
      </w:tr>
      <w:tr w:rsidR="0031397A" w:rsidRPr="0068723D" w14:paraId="1A87E2F1" w14:textId="77777777" w:rsidTr="00923B73">
        <w:trPr>
          <w:trHeight w:val="227"/>
        </w:trPr>
        <w:tc>
          <w:tcPr>
            <w:tcW w:w="4593" w:type="dxa"/>
            <w:tcBorders>
              <w:top w:val="nil"/>
              <w:left w:val="nil"/>
              <w:bottom w:val="single" w:sz="4" w:space="0" w:color="0070C0"/>
              <w:right w:val="single" w:sz="8" w:space="0" w:color="0070C0"/>
            </w:tcBorders>
            <w:shd w:val="clear" w:color="auto" w:fill="auto"/>
            <w:noWrap/>
            <w:vAlign w:val="center"/>
            <w:hideMark/>
          </w:tcPr>
          <w:p w14:paraId="2E666D68"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Przychody z tytułu dywidend</w:t>
            </w:r>
          </w:p>
        </w:tc>
        <w:tc>
          <w:tcPr>
            <w:tcW w:w="998" w:type="dxa"/>
            <w:tcBorders>
              <w:top w:val="nil"/>
              <w:left w:val="single" w:sz="8" w:space="0" w:color="0070C0"/>
              <w:bottom w:val="single" w:sz="4" w:space="0" w:color="0070C0"/>
              <w:right w:val="single" w:sz="8" w:space="0" w:color="0070C0"/>
            </w:tcBorders>
            <w:shd w:val="clear" w:color="auto" w:fill="auto"/>
            <w:noWrap/>
            <w:vAlign w:val="center"/>
          </w:tcPr>
          <w:p w14:paraId="2A80033A" w14:textId="25D3AB1C"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nil"/>
              <w:left w:val="nil"/>
              <w:bottom w:val="single" w:sz="4" w:space="0" w:color="0070C0"/>
              <w:right w:val="single" w:sz="8" w:space="0" w:color="0070C0"/>
            </w:tcBorders>
            <w:shd w:val="clear" w:color="auto" w:fill="auto"/>
            <w:noWrap/>
            <w:vAlign w:val="center"/>
          </w:tcPr>
          <w:p w14:paraId="0C0896C0" w14:textId="00CB1991"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nil"/>
              <w:left w:val="nil"/>
              <w:bottom w:val="single" w:sz="4" w:space="0" w:color="0070C0"/>
              <w:right w:val="single" w:sz="8" w:space="0" w:color="0070C0"/>
            </w:tcBorders>
            <w:shd w:val="clear" w:color="auto" w:fill="auto"/>
            <w:noWrap/>
            <w:vAlign w:val="center"/>
          </w:tcPr>
          <w:p w14:paraId="408BEC96" w14:textId="48F7164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nil"/>
              <w:left w:val="nil"/>
              <w:bottom w:val="single" w:sz="4" w:space="0" w:color="0070C0"/>
              <w:right w:val="single" w:sz="8" w:space="0" w:color="0070C0"/>
            </w:tcBorders>
            <w:shd w:val="clear" w:color="auto" w:fill="auto"/>
            <w:noWrap/>
            <w:vAlign w:val="center"/>
          </w:tcPr>
          <w:p w14:paraId="5300101B" w14:textId="3D287DE4"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4 220</w:t>
            </w:r>
          </w:p>
        </w:tc>
        <w:tc>
          <w:tcPr>
            <w:tcW w:w="998" w:type="dxa"/>
            <w:tcBorders>
              <w:top w:val="nil"/>
              <w:left w:val="nil"/>
              <w:bottom w:val="single" w:sz="4" w:space="0" w:color="0070C0"/>
              <w:right w:val="nil"/>
            </w:tcBorders>
            <w:shd w:val="clear" w:color="auto" w:fill="auto"/>
            <w:noWrap/>
            <w:vAlign w:val="center"/>
          </w:tcPr>
          <w:p w14:paraId="4476BEF0" w14:textId="1EDDEDB7"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4 220</w:t>
            </w:r>
          </w:p>
        </w:tc>
      </w:tr>
      <w:tr w:rsidR="0031397A" w:rsidRPr="0068723D" w14:paraId="721D5D2F" w14:textId="77777777" w:rsidTr="00923B73">
        <w:trPr>
          <w:trHeight w:val="227"/>
        </w:trPr>
        <w:tc>
          <w:tcPr>
            <w:tcW w:w="4593" w:type="dxa"/>
            <w:tcBorders>
              <w:top w:val="single" w:sz="4" w:space="0" w:color="0070C0"/>
              <w:left w:val="nil"/>
              <w:bottom w:val="single" w:sz="4" w:space="0" w:color="0070C0"/>
              <w:right w:val="single" w:sz="8" w:space="0" w:color="0070C0"/>
            </w:tcBorders>
            <w:shd w:val="clear" w:color="auto" w:fill="auto"/>
            <w:noWrap/>
            <w:vAlign w:val="center"/>
            <w:hideMark/>
          </w:tcPr>
          <w:p w14:paraId="6A1A04A6"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na działalności handlowej</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33150FD" w14:textId="548B6131"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275 909</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15FCB6FB" w14:textId="1A347F94"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34 794</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1B047017" w14:textId="3A22A733"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141 271</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144CCF9D" w14:textId="4E569D1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(11 444)</w:t>
            </w:r>
          </w:p>
        </w:tc>
        <w:tc>
          <w:tcPr>
            <w:tcW w:w="998" w:type="dxa"/>
            <w:tcBorders>
              <w:top w:val="single" w:sz="4" w:space="0" w:color="0070C0"/>
              <w:left w:val="nil"/>
              <w:bottom w:val="single" w:sz="4" w:space="0" w:color="0070C0"/>
              <w:right w:val="nil"/>
            </w:tcBorders>
            <w:shd w:val="clear" w:color="auto" w:fill="auto"/>
            <w:noWrap/>
            <w:vAlign w:val="center"/>
          </w:tcPr>
          <w:p w14:paraId="61C588C8" w14:textId="17B300E4"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440 530</w:t>
            </w:r>
          </w:p>
        </w:tc>
      </w:tr>
      <w:tr w:rsidR="0031397A" w:rsidRPr="0068723D" w14:paraId="6246E45D" w14:textId="77777777" w:rsidTr="00923B73">
        <w:trPr>
          <w:trHeight w:val="397"/>
        </w:trPr>
        <w:tc>
          <w:tcPr>
            <w:tcW w:w="4593" w:type="dxa"/>
            <w:tcBorders>
              <w:top w:val="single" w:sz="4" w:space="0" w:color="0070C0"/>
              <w:left w:val="nil"/>
              <w:bottom w:val="single" w:sz="4" w:space="0" w:color="0070C0"/>
              <w:right w:val="single" w:sz="8" w:space="0" w:color="0070C0"/>
            </w:tcBorders>
            <w:shd w:val="clear" w:color="auto" w:fill="auto"/>
            <w:vAlign w:val="center"/>
            <w:hideMark/>
          </w:tcPr>
          <w:p w14:paraId="6B8CCFEE"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na aktywach finansowych nieprzeznaczonych do obrotu wycenianych obowiązkowo w wartości godziwej przez wyniki finansowy</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1411C10B" w14:textId="33C91A8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119</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082785E9" w14:textId="13321837"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6F48F6FC" w14:textId="040B397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21 383</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5D381C5A" w14:textId="1E53BBC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47 757</w:t>
            </w:r>
          </w:p>
        </w:tc>
        <w:tc>
          <w:tcPr>
            <w:tcW w:w="998" w:type="dxa"/>
            <w:tcBorders>
              <w:top w:val="single" w:sz="4" w:space="0" w:color="0070C0"/>
              <w:left w:val="nil"/>
              <w:bottom w:val="single" w:sz="4" w:space="0" w:color="0070C0"/>
              <w:right w:val="nil"/>
            </w:tcBorders>
            <w:shd w:val="clear" w:color="auto" w:fill="auto"/>
            <w:noWrap/>
            <w:vAlign w:val="center"/>
          </w:tcPr>
          <w:p w14:paraId="4CA49DCF" w14:textId="208F4235"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69 259</w:t>
            </w:r>
          </w:p>
        </w:tc>
      </w:tr>
      <w:tr w:rsidR="0031397A" w:rsidRPr="0068723D" w14:paraId="0C5C32FF" w14:textId="77777777" w:rsidTr="00923B73">
        <w:trPr>
          <w:trHeight w:val="510"/>
        </w:trPr>
        <w:tc>
          <w:tcPr>
            <w:tcW w:w="4593" w:type="dxa"/>
            <w:tcBorders>
              <w:top w:val="single" w:sz="4" w:space="0" w:color="0070C0"/>
              <w:left w:val="nil"/>
              <w:bottom w:val="single" w:sz="4" w:space="0" w:color="0070C0"/>
              <w:right w:val="single" w:sz="8" w:space="0" w:color="0070C0"/>
            </w:tcBorders>
            <w:shd w:val="clear" w:color="auto" w:fill="auto"/>
            <w:vAlign w:val="center"/>
            <w:hideMark/>
          </w:tcPr>
          <w:p w14:paraId="54B3BFA4"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na aktywach i zobowiązaniach finansowych niewycenianych w wartości godziwej przez wynik finansowy oraz inwestycjach w jednostki zależne i stowarzyszone</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ECBDA16" w14:textId="161DE79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1 348</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3D7A39DC" w14:textId="3197AFB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36 073</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150A8BC9" w14:textId="7C11AA3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(130)</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50A14FD9" w14:textId="6628BCB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(2 459)</w:t>
            </w:r>
          </w:p>
        </w:tc>
        <w:tc>
          <w:tcPr>
            <w:tcW w:w="998" w:type="dxa"/>
            <w:tcBorders>
              <w:top w:val="single" w:sz="4" w:space="0" w:color="0070C0"/>
              <w:left w:val="nil"/>
              <w:bottom w:val="single" w:sz="4" w:space="0" w:color="0070C0"/>
              <w:right w:val="nil"/>
            </w:tcBorders>
            <w:shd w:val="clear" w:color="auto" w:fill="auto"/>
            <w:noWrap/>
            <w:vAlign w:val="center"/>
          </w:tcPr>
          <w:p w14:paraId="578109A7" w14:textId="30EF10B2"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34 832</w:t>
            </w:r>
          </w:p>
        </w:tc>
      </w:tr>
      <w:tr w:rsidR="0031397A" w:rsidRPr="0068723D" w14:paraId="6AD728EC" w14:textId="77777777" w:rsidTr="00923B73">
        <w:trPr>
          <w:trHeight w:val="227"/>
        </w:trPr>
        <w:tc>
          <w:tcPr>
            <w:tcW w:w="4593" w:type="dxa"/>
            <w:tcBorders>
              <w:top w:val="single" w:sz="4" w:space="0" w:color="0070C0"/>
              <w:left w:val="nil"/>
              <w:bottom w:val="single" w:sz="4" w:space="0" w:color="0070C0"/>
              <w:right w:val="single" w:sz="8" w:space="0" w:color="0070C0"/>
            </w:tcBorders>
            <w:shd w:val="clear" w:color="auto" w:fill="auto"/>
            <w:noWrap/>
            <w:vAlign w:val="center"/>
            <w:hideMark/>
          </w:tcPr>
          <w:p w14:paraId="5D279ECA"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Pozostałe przychody operacyjne</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54039ABA" w14:textId="26EE22B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91 661</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2953A844" w14:textId="362AA22C"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90</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096AF240" w14:textId="2FA33707"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75 787</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66DC47E8" w14:textId="6EDC607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66 949</w:t>
            </w:r>
          </w:p>
        </w:tc>
        <w:tc>
          <w:tcPr>
            <w:tcW w:w="998" w:type="dxa"/>
            <w:tcBorders>
              <w:top w:val="single" w:sz="4" w:space="0" w:color="0070C0"/>
              <w:left w:val="nil"/>
              <w:bottom w:val="single" w:sz="4" w:space="0" w:color="0070C0"/>
              <w:right w:val="nil"/>
            </w:tcBorders>
            <w:shd w:val="clear" w:color="auto" w:fill="auto"/>
            <w:noWrap/>
            <w:vAlign w:val="center"/>
          </w:tcPr>
          <w:p w14:paraId="2BBF7423" w14:textId="6B84DF11"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234 487</w:t>
            </w:r>
          </w:p>
        </w:tc>
      </w:tr>
      <w:tr w:rsidR="0031397A" w:rsidRPr="0068723D" w14:paraId="3C3CFD47" w14:textId="77777777" w:rsidTr="00923B73">
        <w:trPr>
          <w:trHeight w:val="340"/>
        </w:trPr>
        <w:tc>
          <w:tcPr>
            <w:tcW w:w="4593" w:type="dxa"/>
            <w:tcBorders>
              <w:top w:val="single" w:sz="4" w:space="0" w:color="0070C0"/>
              <w:left w:val="nil"/>
              <w:bottom w:val="single" w:sz="4" w:space="0" w:color="0070C0"/>
              <w:right w:val="single" w:sz="8" w:space="0" w:color="0070C0"/>
            </w:tcBorders>
            <w:shd w:val="clear" w:color="auto" w:fill="auto"/>
            <w:vAlign w:val="center"/>
            <w:hideMark/>
          </w:tcPr>
          <w:p w14:paraId="5B49C724"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Utrata wartości lub odwrócenie utraty wartości z tytułu aktywów finansowych niewycenianych w wartości godziwej przez wynik finansowy</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38698F03" w14:textId="1EDC237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(282 268)</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44A04540" w14:textId="6ABC408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833</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538D75F3" w14:textId="713A8C0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(428 769)</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74F2D2FA" w14:textId="3AECB6B5"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(2 133)</w:t>
            </w:r>
          </w:p>
        </w:tc>
        <w:tc>
          <w:tcPr>
            <w:tcW w:w="998" w:type="dxa"/>
            <w:tcBorders>
              <w:top w:val="single" w:sz="4" w:space="0" w:color="0070C0"/>
              <w:left w:val="nil"/>
              <w:bottom w:val="single" w:sz="4" w:space="0" w:color="0070C0"/>
              <w:right w:val="nil"/>
            </w:tcBorders>
            <w:shd w:val="clear" w:color="auto" w:fill="auto"/>
            <w:noWrap/>
            <w:vAlign w:val="center"/>
          </w:tcPr>
          <w:p w14:paraId="2294A9A6" w14:textId="38F766F5"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(712 337)</w:t>
            </w:r>
          </w:p>
        </w:tc>
      </w:tr>
      <w:tr w:rsidR="0031397A" w:rsidRPr="0068723D" w14:paraId="78FED1CF" w14:textId="77777777" w:rsidTr="00923B73">
        <w:trPr>
          <w:trHeight w:val="397"/>
        </w:trPr>
        <w:tc>
          <w:tcPr>
            <w:tcW w:w="4593" w:type="dxa"/>
            <w:tcBorders>
              <w:top w:val="single" w:sz="4" w:space="0" w:color="0070C0"/>
              <w:left w:val="nil"/>
              <w:bottom w:val="single" w:sz="4" w:space="0" w:color="0070C0"/>
              <w:right w:val="single" w:sz="8" w:space="0" w:color="0070C0"/>
            </w:tcBorders>
            <w:shd w:val="clear" w:color="auto" w:fill="auto"/>
            <w:noWrap/>
            <w:vAlign w:val="center"/>
          </w:tcPr>
          <w:p w14:paraId="6042131C" w14:textId="4807CC05" w:rsidR="0031397A" w:rsidRPr="003801D5" w:rsidRDefault="0031397A" w:rsidP="0031397A">
            <w:pPr>
              <w:rPr>
                <w:rFonts w:cs="Calibri"/>
                <w:color w:val="000000" w:themeColor="text1"/>
                <w:sz w:val="12"/>
                <w:szCs w:val="12"/>
              </w:rPr>
            </w:pPr>
            <w:r w:rsidRPr="003801D5">
              <w:rPr>
                <w:rFonts w:cs="Calibri"/>
                <w:color w:val="000000" w:themeColor="text1"/>
                <w:sz w:val="12"/>
                <w:szCs w:val="12"/>
              </w:rPr>
              <w:t>Wynik z tytułu rezerw na ryzyko prawne związane z kredytami walutowymi</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61E4048B" w14:textId="5385C5D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038F3BE4" w14:textId="04E98F5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28F942D1" w14:textId="6ECB912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(387 786)</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7D850D1C" w14:textId="5E11F982"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w:t>
            </w:r>
          </w:p>
        </w:tc>
        <w:tc>
          <w:tcPr>
            <w:tcW w:w="998" w:type="dxa"/>
            <w:tcBorders>
              <w:top w:val="single" w:sz="4" w:space="0" w:color="0070C0"/>
              <w:left w:val="nil"/>
              <w:bottom w:val="single" w:sz="4" w:space="0" w:color="0070C0"/>
              <w:right w:val="nil"/>
            </w:tcBorders>
            <w:shd w:val="clear" w:color="auto" w:fill="auto"/>
            <w:noWrap/>
            <w:vAlign w:val="center"/>
          </w:tcPr>
          <w:p w14:paraId="7454EC6C" w14:textId="2E5A31F0"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(387 786)</w:t>
            </w:r>
          </w:p>
        </w:tc>
      </w:tr>
      <w:tr w:rsidR="0031397A" w:rsidRPr="0068723D" w14:paraId="5DD3D1A1" w14:textId="77777777" w:rsidTr="00923B73">
        <w:trPr>
          <w:trHeight w:val="227"/>
        </w:trPr>
        <w:tc>
          <w:tcPr>
            <w:tcW w:w="4593" w:type="dxa"/>
            <w:tcBorders>
              <w:top w:val="single" w:sz="4" w:space="0" w:color="0070C0"/>
              <w:left w:val="nil"/>
              <w:bottom w:val="single" w:sz="4" w:space="0" w:color="0070C0"/>
              <w:right w:val="single" w:sz="8" w:space="0" w:color="0070C0"/>
            </w:tcBorders>
            <w:shd w:val="clear" w:color="auto" w:fill="auto"/>
            <w:noWrap/>
            <w:vAlign w:val="center"/>
            <w:hideMark/>
          </w:tcPr>
          <w:p w14:paraId="0ACD5A92"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Ogólne koszty administracyjne</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3185B59" w14:textId="43F88DC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(688 171)</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587523AC" w14:textId="6B7D9AB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(87 982)</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20E65C20" w14:textId="12E00E7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(1 175 363)</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4068EB8D" w14:textId="4CC1BA90"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(2 141)</w:t>
            </w:r>
          </w:p>
        </w:tc>
        <w:tc>
          <w:tcPr>
            <w:tcW w:w="998" w:type="dxa"/>
            <w:tcBorders>
              <w:top w:val="single" w:sz="4" w:space="0" w:color="0070C0"/>
              <w:left w:val="nil"/>
              <w:bottom w:val="single" w:sz="4" w:space="0" w:color="0070C0"/>
              <w:right w:val="nil"/>
            </w:tcBorders>
            <w:shd w:val="clear" w:color="auto" w:fill="auto"/>
            <w:noWrap/>
            <w:vAlign w:val="center"/>
          </w:tcPr>
          <w:p w14:paraId="14215558" w14:textId="2136624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(1 953 657)</w:t>
            </w:r>
          </w:p>
        </w:tc>
      </w:tr>
      <w:tr w:rsidR="0031397A" w:rsidRPr="0068723D" w14:paraId="7BBB1B09" w14:textId="77777777" w:rsidTr="00923B73">
        <w:trPr>
          <w:trHeight w:val="227"/>
        </w:trPr>
        <w:tc>
          <w:tcPr>
            <w:tcW w:w="4593" w:type="dxa"/>
            <w:tcBorders>
              <w:top w:val="single" w:sz="4" w:space="0" w:color="0070C0"/>
              <w:left w:val="nil"/>
              <w:bottom w:val="single" w:sz="4" w:space="0" w:color="0070C0"/>
              <w:right w:val="single" w:sz="8" w:space="0" w:color="0070C0"/>
            </w:tcBorders>
            <w:shd w:val="clear" w:color="auto" w:fill="auto"/>
            <w:noWrap/>
            <w:vAlign w:val="center"/>
            <w:hideMark/>
          </w:tcPr>
          <w:p w14:paraId="221E0454"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Amortyzacja</w:t>
            </w:r>
          </w:p>
        </w:tc>
        <w:tc>
          <w:tcPr>
            <w:tcW w:w="99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7498C123" w14:textId="4EB47E0A"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(102 829)</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23364584" w14:textId="1F2E57CC"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(13 387)</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74159EB5" w14:textId="00776F03"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(262 863)</w:t>
            </w:r>
          </w:p>
        </w:tc>
        <w:tc>
          <w:tcPr>
            <w:tcW w:w="998" w:type="dxa"/>
            <w:tcBorders>
              <w:top w:val="single" w:sz="4" w:space="0" w:color="0070C0"/>
              <w:left w:val="nil"/>
              <w:bottom w:val="single" w:sz="4" w:space="0" w:color="0070C0"/>
              <w:right w:val="single" w:sz="8" w:space="0" w:color="0070C0"/>
            </w:tcBorders>
            <w:shd w:val="clear" w:color="auto" w:fill="auto"/>
            <w:noWrap/>
            <w:vAlign w:val="center"/>
          </w:tcPr>
          <w:p w14:paraId="7C768A13" w14:textId="404BEA12"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3 581</w:t>
            </w:r>
          </w:p>
        </w:tc>
        <w:tc>
          <w:tcPr>
            <w:tcW w:w="998" w:type="dxa"/>
            <w:tcBorders>
              <w:top w:val="single" w:sz="4" w:space="0" w:color="0070C0"/>
              <w:left w:val="nil"/>
              <w:bottom w:val="single" w:sz="4" w:space="0" w:color="0070C0"/>
              <w:right w:val="nil"/>
            </w:tcBorders>
            <w:shd w:val="clear" w:color="auto" w:fill="auto"/>
            <w:noWrap/>
            <w:vAlign w:val="center"/>
          </w:tcPr>
          <w:p w14:paraId="6A9BF2B6" w14:textId="5B9F6D1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(375 498)</w:t>
            </w:r>
          </w:p>
        </w:tc>
      </w:tr>
      <w:tr w:rsidR="0031397A" w:rsidRPr="0068723D" w14:paraId="62ED8E67" w14:textId="77777777" w:rsidTr="00923B73">
        <w:trPr>
          <w:trHeight w:val="227"/>
        </w:trPr>
        <w:tc>
          <w:tcPr>
            <w:tcW w:w="4593" w:type="dxa"/>
            <w:tcBorders>
              <w:top w:val="single" w:sz="4" w:space="0" w:color="0070C0"/>
              <w:left w:val="nil"/>
              <w:bottom w:val="single" w:sz="8" w:space="0" w:color="0070C0"/>
              <w:right w:val="single" w:sz="8" w:space="0" w:color="0070C0"/>
            </w:tcBorders>
            <w:shd w:val="clear" w:color="auto" w:fill="auto"/>
            <w:noWrap/>
            <w:vAlign w:val="center"/>
            <w:hideMark/>
          </w:tcPr>
          <w:p w14:paraId="54093030"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Pozostałe koszty operacyjne</w:t>
            </w:r>
          </w:p>
        </w:tc>
        <w:tc>
          <w:tcPr>
            <w:tcW w:w="998" w:type="dxa"/>
            <w:tcBorders>
              <w:top w:val="single" w:sz="4" w:space="0" w:color="0070C0"/>
              <w:left w:val="single" w:sz="8" w:space="0" w:color="0070C0"/>
              <w:bottom w:val="single" w:sz="8" w:space="0" w:color="0070C0"/>
              <w:right w:val="single" w:sz="8" w:space="0" w:color="0070C0"/>
            </w:tcBorders>
            <w:shd w:val="clear" w:color="auto" w:fill="auto"/>
            <w:noWrap/>
            <w:vAlign w:val="center"/>
          </w:tcPr>
          <w:p w14:paraId="7F8A8E74" w14:textId="741E570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(72 683)</w:t>
            </w:r>
          </w:p>
        </w:tc>
        <w:tc>
          <w:tcPr>
            <w:tcW w:w="998" w:type="dxa"/>
            <w:tcBorders>
              <w:top w:val="single" w:sz="4" w:space="0" w:color="0070C0"/>
              <w:left w:val="nil"/>
              <w:bottom w:val="single" w:sz="8" w:space="0" w:color="0070C0"/>
              <w:right w:val="single" w:sz="8" w:space="0" w:color="0070C0"/>
            </w:tcBorders>
            <w:shd w:val="clear" w:color="auto" w:fill="auto"/>
            <w:noWrap/>
            <w:vAlign w:val="center"/>
          </w:tcPr>
          <w:p w14:paraId="0188035D" w14:textId="0AF4BF27"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(957)</w:t>
            </w:r>
          </w:p>
        </w:tc>
        <w:tc>
          <w:tcPr>
            <w:tcW w:w="998" w:type="dxa"/>
            <w:tcBorders>
              <w:top w:val="single" w:sz="4" w:space="0" w:color="0070C0"/>
              <w:left w:val="nil"/>
              <w:bottom w:val="single" w:sz="8" w:space="0" w:color="0070C0"/>
              <w:right w:val="single" w:sz="8" w:space="0" w:color="0070C0"/>
            </w:tcBorders>
            <w:shd w:val="clear" w:color="auto" w:fill="auto"/>
            <w:noWrap/>
            <w:vAlign w:val="center"/>
          </w:tcPr>
          <w:p w14:paraId="59F5A6C7" w14:textId="006B8231"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(122 532)</w:t>
            </w:r>
          </w:p>
        </w:tc>
        <w:tc>
          <w:tcPr>
            <w:tcW w:w="998" w:type="dxa"/>
            <w:tcBorders>
              <w:top w:val="single" w:sz="4" w:space="0" w:color="0070C0"/>
              <w:left w:val="nil"/>
              <w:bottom w:val="single" w:sz="8" w:space="0" w:color="0070C0"/>
              <w:right w:val="single" w:sz="8" w:space="0" w:color="0070C0"/>
            </w:tcBorders>
            <w:shd w:val="clear" w:color="auto" w:fill="auto"/>
            <w:noWrap/>
            <w:vAlign w:val="center"/>
          </w:tcPr>
          <w:p w14:paraId="400C0FA3" w14:textId="1BBAEE1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(111 550)</w:t>
            </w:r>
          </w:p>
        </w:tc>
        <w:tc>
          <w:tcPr>
            <w:tcW w:w="998" w:type="dxa"/>
            <w:tcBorders>
              <w:top w:val="single" w:sz="4" w:space="0" w:color="0070C0"/>
              <w:left w:val="nil"/>
              <w:bottom w:val="single" w:sz="8" w:space="0" w:color="0070C0"/>
              <w:right w:val="nil"/>
            </w:tcBorders>
            <w:shd w:val="clear" w:color="auto" w:fill="auto"/>
            <w:noWrap/>
            <w:vAlign w:val="center"/>
          </w:tcPr>
          <w:p w14:paraId="29C0C25F" w14:textId="3E1A5E3D"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(307 722)</w:t>
            </w:r>
          </w:p>
        </w:tc>
      </w:tr>
      <w:tr w:rsidR="0031397A" w:rsidRPr="0068723D" w14:paraId="3E613ACA" w14:textId="77777777" w:rsidTr="00923B73">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4E7CE1BB" w14:textId="77777777" w:rsidR="0031397A" w:rsidRPr="003801D5" w:rsidRDefault="0031397A" w:rsidP="0031397A">
            <w:pPr>
              <w:rPr>
                <w:rFonts w:cs="Calibri"/>
                <w:b/>
                <w:bCs/>
                <w:color w:val="000000" w:themeColor="text1"/>
                <w:sz w:val="12"/>
                <w:szCs w:val="12"/>
              </w:rPr>
            </w:pPr>
            <w:r w:rsidRPr="003801D5">
              <w:rPr>
                <w:rFonts w:cs="Calibri"/>
                <w:b/>
                <w:bCs/>
                <w:color w:val="000000" w:themeColor="text1"/>
                <w:sz w:val="12"/>
                <w:szCs w:val="12"/>
              </w:rPr>
              <w:t>Wynik działalności operacyjnej</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27EC9462" w14:textId="0FA47F06"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803 581</w:t>
            </w:r>
          </w:p>
        </w:tc>
        <w:tc>
          <w:tcPr>
            <w:tcW w:w="998" w:type="dxa"/>
            <w:tcBorders>
              <w:top w:val="nil"/>
              <w:left w:val="nil"/>
              <w:bottom w:val="single" w:sz="8" w:space="0" w:color="0070C0"/>
              <w:right w:val="single" w:sz="8" w:space="0" w:color="0070C0"/>
            </w:tcBorders>
            <w:shd w:val="clear" w:color="auto" w:fill="auto"/>
            <w:noWrap/>
            <w:vAlign w:val="center"/>
          </w:tcPr>
          <w:p w14:paraId="3A053816" w14:textId="6EF687DB"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188 649</w:t>
            </w:r>
          </w:p>
        </w:tc>
        <w:tc>
          <w:tcPr>
            <w:tcW w:w="998" w:type="dxa"/>
            <w:tcBorders>
              <w:top w:val="nil"/>
              <w:left w:val="nil"/>
              <w:bottom w:val="single" w:sz="8" w:space="0" w:color="0070C0"/>
              <w:right w:val="single" w:sz="8" w:space="0" w:color="0070C0"/>
            </w:tcBorders>
            <w:shd w:val="clear" w:color="auto" w:fill="auto"/>
            <w:noWrap/>
            <w:vAlign w:val="center"/>
          </w:tcPr>
          <w:p w14:paraId="75457E94" w14:textId="1FE80F6B"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1 044 544</w:t>
            </w:r>
          </w:p>
        </w:tc>
        <w:tc>
          <w:tcPr>
            <w:tcW w:w="998" w:type="dxa"/>
            <w:tcBorders>
              <w:top w:val="nil"/>
              <w:left w:val="nil"/>
              <w:bottom w:val="single" w:sz="8" w:space="0" w:color="0070C0"/>
              <w:right w:val="single" w:sz="8" w:space="0" w:color="0070C0"/>
            </w:tcBorders>
            <w:shd w:val="clear" w:color="auto" w:fill="auto"/>
            <w:noWrap/>
            <w:vAlign w:val="center"/>
          </w:tcPr>
          <w:p w14:paraId="0615E4C3" w14:textId="4E4B3D5F"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(23 071)</w:t>
            </w:r>
          </w:p>
        </w:tc>
        <w:tc>
          <w:tcPr>
            <w:tcW w:w="998" w:type="dxa"/>
            <w:tcBorders>
              <w:top w:val="nil"/>
              <w:left w:val="nil"/>
              <w:bottom w:val="single" w:sz="8" w:space="0" w:color="0070C0"/>
              <w:right w:val="nil"/>
            </w:tcBorders>
            <w:shd w:val="clear" w:color="auto" w:fill="auto"/>
            <w:noWrap/>
            <w:vAlign w:val="center"/>
          </w:tcPr>
          <w:p w14:paraId="10F5BD06" w14:textId="017F2F4D"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2 013 703</w:t>
            </w:r>
          </w:p>
        </w:tc>
      </w:tr>
      <w:tr w:rsidR="0031397A" w:rsidRPr="0068723D" w14:paraId="7036776E" w14:textId="77777777" w:rsidTr="00923B73">
        <w:trPr>
          <w:trHeight w:val="227"/>
        </w:trPr>
        <w:tc>
          <w:tcPr>
            <w:tcW w:w="4593" w:type="dxa"/>
            <w:tcBorders>
              <w:top w:val="single" w:sz="8" w:space="0" w:color="0077BD"/>
              <w:left w:val="nil"/>
              <w:bottom w:val="single" w:sz="8" w:space="0" w:color="0077BD"/>
              <w:right w:val="single" w:sz="8" w:space="0" w:color="0077BD"/>
            </w:tcBorders>
            <w:shd w:val="clear" w:color="auto" w:fill="auto"/>
            <w:noWrap/>
            <w:vAlign w:val="center"/>
            <w:hideMark/>
          </w:tcPr>
          <w:p w14:paraId="33192649" w14:textId="77777777" w:rsidR="0031397A" w:rsidRPr="003801D5" w:rsidRDefault="0031397A" w:rsidP="0031397A">
            <w:pPr>
              <w:rPr>
                <w:rFonts w:cs="Calibri"/>
                <w:color w:val="000000" w:themeColor="text1"/>
                <w:sz w:val="12"/>
                <w:szCs w:val="12"/>
              </w:rPr>
            </w:pPr>
            <w:r w:rsidRPr="003801D5">
              <w:rPr>
                <w:rFonts w:cs="Calibri"/>
                <w:color w:val="000000" w:themeColor="text1"/>
                <w:sz w:val="12"/>
                <w:szCs w:val="12"/>
              </w:rPr>
              <w:t>Podatki od pozycji bilansowych Grupy</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66DE7C42" w14:textId="3115CB9B"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(174 489)</w:t>
            </w:r>
          </w:p>
        </w:tc>
        <w:tc>
          <w:tcPr>
            <w:tcW w:w="998" w:type="dxa"/>
            <w:tcBorders>
              <w:top w:val="nil"/>
              <w:left w:val="nil"/>
              <w:bottom w:val="single" w:sz="8" w:space="0" w:color="0070C0"/>
              <w:right w:val="single" w:sz="8" w:space="0" w:color="0070C0"/>
            </w:tcBorders>
            <w:shd w:val="clear" w:color="auto" w:fill="auto"/>
            <w:noWrap/>
            <w:vAlign w:val="center"/>
          </w:tcPr>
          <w:p w14:paraId="0051E398" w14:textId="650C1DF9"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(36 832)</w:t>
            </w:r>
          </w:p>
        </w:tc>
        <w:tc>
          <w:tcPr>
            <w:tcW w:w="998" w:type="dxa"/>
            <w:tcBorders>
              <w:top w:val="nil"/>
              <w:left w:val="nil"/>
              <w:bottom w:val="single" w:sz="8" w:space="0" w:color="0070C0"/>
              <w:right w:val="single" w:sz="8" w:space="0" w:color="0070C0"/>
            </w:tcBorders>
            <w:shd w:val="clear" w:color="auto" w:fill="auto"/>
            <w:noWrap/>
            <w:vAlign w:val="center"/>
          </w:tcPr>
          <w:p w14:paraId="6094FC1C" w14:textId="5F150BB8"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(240 318)</w:t>
            </w:r>
          </w:p>
        </w:tc>
        <w:tc>
          <w:tcPr>
            <w:tcW w:w="998" w:type="dxa"/>
            <w:tcBorders>
              <w:top w:val="nil"/>
              <w:left w:val="nil"/>
              <w:bottom w:val="single" w:sz="8" w:space="0" w:color="0070C0"/>
              <w:right w:val="single" w:sz="8" w:space="0" w:color="0070C0"/>
            </w:tcBorders>
            <w:shd w:val="clear" w:color="auto" w:fill="auto"/>
            <w:noWrap/>
            <w:vAlign w:val="center"/>
          </w:tcPr>
          <w:p w14:paraId="4E98995C" w14:textId="60EFCE4F"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(7 019)</w:t>
            </w:r>
          </w:p>
        </w:tc>
        <w:tc>
          <w:tcPr>
            <w:tcW w:w="998" w:type="dxa"/>
            <w:tcBorders>
              <w:top w:val="nil"/>
              <w:left w:val="nil"/>
              <w:bottom w:val="single" w:sz="8" w:space="0" w:color="0070C0"/>
              <w:right w:val="nil"/>
            </w:tcBorders>
            <w:shd w:val="clear" w:color="auto" w:fill="auto"/>
            <w:noWrap/>
            <w:vAlign w:val="center"/>
          </w:tcPr>
          <w:p w14:paraId="4F4048D2" w14:textId="7B1BB9D0" w:rsidR="0031397A" w:rsidRPr="003801D5" w:rsidRDefault="0031397A" w:rsidP="0031397A">
            <w:pPr>
              <w:jc w:val="right"/>
              <w:rPr>
                <w:rFonts w:cs="Calibri"/>
                <w:color w:val="000000" w:themeColor="text1"/>
                <w:sz w:val="12"/>
                <w:szCs w:val="12"/>
              </w:rPr>
            </w:pPr>
            <w:r w:rsidRPr="003801D5">
              <w:rPr>
                <w:rFonts w:cs="Calibri"/>
                <w:color w:val="000000" w:themeColor="text1"/>
                <w:sz w:val="12"/>
                <w:szCs w:val="12"/>
              </w:rPr>
              <w:t>(458 658)</w:t>
            </w:r>
          </w:p>
        </w:tc>
      </w:tr>
      <w:tr w:rsidR="0031397A" w:rsidRPr="0068723D" w14:paraId="50E63738" w14:textId="77777777" w:rsidTr="00B97300">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40C735D7" w14:textId="77777777" w:rsidR="0031397A" w:rsidRPr="003801D5" w:rsidRDefault="0031397A" w:rsidP="0031397A">
            <w:pPr>
              <w:rPr>
                <w:rFonts w:cs="Calibri"/>
                <w:b/>
                <w:bCs/>
                <w:color w:val="000000" w:themeColor="text1"/>
                <w:sz w:val="12"/>
                <w:szCs w:val="12"/>
              </w:rPr>
            </w:pPr>
            <w:r w:rsidRPr="003801D5">
              <w:rPr>
                <w:rFonts w:cs="Calibri"/>
                <w:b/>
                <w:bCs/>
                <w:color w:val="000000" w:themeColor="text1"/>
                <w:sz w:val="12"/>
                <w:szCs w:val="12"/>
              </w:rPr>
              <w:t>Wynik segmentu (brutto)</w:t>
            </w:r>
          </w:p>
        </w:tc>
        <w:tc>
          <w:tcPr>
            <w:tcW w:w="998" w:type="dxa"/>
            <w:tcBorders>
              <w:top w:val="single" w:sz="8" w:space="0" w:color="0070C0"/>
              <w:left w:val="single" w:sz="8" w:space="0" w:color="0070C0"/>
              <w:bottom w:val="single" w:sz="8" w:space="0" w:color="0070C0"/>
              <w:right w:val="single" w:sz="8" w:space="0" w:color="0070C0"/>
            </w:tcBorders>
            <w:shd w:val="clear" w:color="auto" w:fill="auto"/>
            <w:noWrap/>
            <w:vAlign w:val="center"/>
          </w:tcPr>
          <w:p w14:paraId="35694E00" w14:textId="500A66FC"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629 092</w:t>
            </w:r>
          </w:p>
        </w:tc>
        <w:tc>
          <w:tcPr>
            <w:tcW w:w="998" w:type="dxa"/>
            <w:tcBorders>
              <w:top w:val="single" w:sz="8" w:space="0" w:color="0070C0"/>
              <w:left w:val="nil"/>
              <w:bottom w:val="single" w:sz="8" w:space="0" w:color="0070C0"/>
              <w:right w:val="single" w:sz="8" w:space="0" w:color="0070C0"/>
            </w:tcBorders>
            <w:shd w:val="clear" w:color="auto" w:fill="auto"/>
            <w:noWrap/>
            <w:vAlign w:val="center"/>
          </w:tcPr>
          <w:p w14:paraId="23E22820" w14:textId="220DA691"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151 817</w:t>
            </w:r>
          </w:p>
        </w:tc>
        <w:tc>
          <w:tcPr>
            <w:tcW w:w="998" w:type="dxa"/>
            <w:tcBorders>
              <w:top w:val="single" w:sz="8" w:space="0" w:color="0070C0"/>
              <w:left w:val="nil"/>
              <w:bottom w:val="single" w:sz="8" w:space="0" w:color="0070C0"/>
              <w:right w:val="single" w:sz="8" w:space="0" w:color="0070C0"/>
            </w:tcBorders>
            <w:shd w:val="clear" w:color="auto" w:fill="auto"/>
            <w:noWrap/>
            <w:vAlign w:val="center"/>
          </w:tcPr>
          <w:p w14:paraId="362A0A19" w14:textId="3F2D9ED2"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804 226</w:t>
            </w:r>
          </w:p>
        </w:tc>
        <w:tc>
          <w:tcPr>
            <w:tcW w:w="998" w:type="dxa"/>
            <w:tcBorders>
              <w:top w:val="single" w:sz="8" w:space="0" w:color="0070C0"/>
              <w:left w:val="nil"/>
              <w:bottom w:val="single" w:sz="8" w:space="0" w:color="0070C0"/>
              <w:right w:val="single" w:sz="8" w:space="0" w:color="0070C0"/>
            </w:tcBorders>
            <w:shd w:val="clear" w:color="auto" w:fill="auto"/>
            <w:noWrap/>
            <w:vAlign w:val="center"/>
          </w:tcPr>
          <w:p w14:paraId="05D23CF3" w14:textId="380B2FEB"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(30 090)</w:t>
            </w:r>
          </w:p>
        </w:tc>
        <w:tc>
          <w:tcPr>
            <w:tcW w:w="998" w:type="dxa"/>
            <w:tcBorders>
              <w:top w:val="single" w:sz="8" w:space="0" w:color="0070C0"/>
              <w:left w:val="nil"/>
              <w:bottom w:val="single" w:sz="8" w:space="0" w:color="0070C0"/>
              <w:right w:val="nil"/>
            </w:tcBorders>
            <w:shd w:val="clear" w:color="auto" w:fill="auto"/>
            <w:noWrap/>
            <w:vAlign w:val="center"/>
          </w:tcPr>
          <w:p w14:paraId="6D78DDE9" w14:textId="26A4D2F8" w:rsidR="0031397A" w:rsidRPr="003801D5" w:rsidRDefault="0031397A" w:rsidP="0031397A">
            <w:pPr>
              <w:jc w:val="right"/>
              <w:rPr>
                <w:rFonts w:cs="Calibri"/>
                <w:b/>
                <w:bCs/>
                <w:color w:val="000000" w:themeColor="text1"/>
                <w:sz w:val="12"/>
                <w:szCs w:val="12"/>
              </w:rPr>
            </w:pPr>
            <w:r w:rsidRPr="003801D5">
              <w:rPr>
                <w:rFonts w:cs="Calibri"/>
                <w:b/>
                <w:bCs/>
                <w:color w:val="000000" w:themeColor="text1"/>
                <w:sz w:val="12"/>
                <w:szCs w:val="12"/>
              </w:rPr>
              <w:t>1 555 045</w:t>
            </w:r>
          </w:p>
        </w:tc>
      </w:tr>
      <w:tr w:rsidR="000D57A6" w:rsidRPr="0068723D" w14:paraId="6613CABF" w14:textId="77777777" w:rsidTr="00923B73">
        <w:trPr>
          <w:trHeight w:val="227"/>
        </w:trPr>
        <w:tc>
          <w:tcPr>
            <w:tcW w:w="4593" w:type="dxa"/>
            <w:tcBorders>
              <w:top w:val="nil"/>
              <w:left w:val="nil"/>
              <w:bottom w:val="single" w:sz="4" w:space="0" w:color="0070C0"/>
              <w:right w:val="single" w:sz="8" w:space="0" w:color="0070C0"/>
            </w:tcBorders>
            <w:shd w:val="clear" w:color="auto" w:fill="auto"/>
            <w:noWrap/>
            <w:vAlign w:val="center"/>
            <w:hideMark/>
          </w:tcPr>
          <w:p w14:paraId="2AE137B0" w14:textId="77777777" w:rsidR="000D57A6" w:rsidRPr="003801D5" w:rsidRDefault="000D57A6" w:rsidP="000D57A6">
            <w:pPr>
              <w:rPr>
                <w:rFonts w:cs="Calibri"/>
                <w:color w:val="000000" w:themeColor="text1"/>
                <w:sz w:val="12"/>
                <w:szCs w:val="12"/>
              </w:rPr>
            </w:pPr>
            <w:r w:rsidRPr="003801D5">
              <w:rPr>
                <w:rFonts w:cs="Calibri"/>
                <w:color w:val="000000" w:themeColor="text1"/>
                <w:sz w:val="12"/>
                <w:szCs w:val="12"/>
              </w:rPr>
              <w:t>Podatek dochodowy</w:t>
            </w:r>
          </w:p>
        </w:tc>
        <w:tc>
          <w:tcPr>
            <w:tcW w:w="998" w:type="dxa"/>
            <w:tcBorders>
              <w:top w:val="single" w:sz="8" w:space="0" w:color="0070C0"/>
              <w:left w:val="nil"/>
              <w:bottom w:val="single" w:sz="4" w:space="0" w:color="0070C0"/>
              <w:right w:val="single" w:sz="8" w:space="0" w:color="0070C0"/>
            </w:tcBorders>
            <w:shd w:val="thinDiagStripe" w:color="A4A5A5" w:fill="auto"/>
            <w:noWrap/>
            <w:vAlign w:val="center"/>
          </w:tcPr>
          <w:p w14:paraId="1D221456" w14:textId="5376758A" w:rsidR="000D57A6" w:rsidRPr="003801D5" w:rsidRDefault="000D57A6" w:rsidP="000D57A6">
            <w:pPr>
              <w:jc w:val="right"/>
              <w:rPr>
                <w:rFonts w:cs="Calibri"/>
                <w:color w:val="000000" w:themeColor="text1"/>
                <w:sz w:val="12"/>
                <w:szCs w:val="12"/>
              </w:rPr>
            </w:pPr>
          </w:p>
        </w:tc>
        <w:tc>
          <w:tcPr>
            <w:tcW w:w="998" w:type="dxa"/>
            <w:tcBorders>
              <w:top w:val="single" w:sz="8" w:space="0" w:color="0070C0"/>
              <w:left w:val="nil"/>
              <w:bottom w:val="single" w:sz="4" w:space="0" w:color="0070C0"/>
              <w:right w:val="single" w:sz="8" w:space="0" w:color="0070C0"/>
            </w:tcBorders>
            <w:shd w:val="thinDiagStripe" w:color="A4A5A5" w:fill="auto"/>
            <w:noWrap/>
            <w:vAlign w:val="center"/>
          </w:tcPr>
          <w:p w14:paraId="3F72DFF7" w14:textId="0F0BD1A6" w:rsidR="000D57A6" w:rsidRPr="003801D5" w:rsidRDefault="000D57A6" w:rsidP="000D57A6">
            <w:pPr>
              <w:jc w:val="right"/>
              <w:rPr>
                <w:rFonts w:cs="Calibri"/>
                <w:color w:val="000000" w:themeColor="text1"/>
                <w:sz w:val="12"/>
                <w:szCs w:val="12"/>
              </w:rPr>
            </w:pPr>
          </w:p>
        </w:tc>
        <w:tc>
          <w:tcPr>
            <w:tcW w:w="998" w:type="dxa"/>
            <w:tcBorders>
              <w:top w:val="single" w:sz="8" w:space="0" w:color="0070C0"/>
              <w:left w:val="nil"/>
              <w:bottom w:val="single" w:sz="4" w:space="0" w:color="0070C0"/>
              <w:right w:val="single" w:sz="8" w:space="0" w:color="0070C0"/>
            </w:tcBorders>
            <w:shd w:val="thinDiagStripe" w:color="A4A5A5" w:fill="auto"/>
            <w:noWrap/>
            <w:vAlign w:val="center"/>
          </w:tcPr>
          <w:p w14:paraId="3506CD77" w14:textId="134667E1" w:rsidR="000D57A6" w:rsidRPr="003801D5" w:rsidRDefault="000D57A6" w:rsidP="000D57A6">
            <w:pPr>
              <w:jc w:val="right"/>
              <w:rPr>
                <w:rFonts w:cs="Calibri"/>
                <w:color w:val="000000" w:themeColor="text1"/>
                <w:sz w:val="12"/>
                <w:szCs w:val="12"/>
              </w:rPr>
            </w:pPr>
          </w:p>
        </w:tc>
        <w:tc>
          <w:tcPr>
            <w:tcW w:w="998" w:type="dxa"/>
            <w:tcBorders>
              <w:top w:val="single" w:sz="8" w:space="0" w:color="0070C0"/>
              <w:left w:val="nil"/>
              <w:bottom w:val="single" w:sz="4" w:space="0" w:color="0070C0"/>
              <w:right w:val="single" w:sz="8" w:space="0" w:color="0070C0"/>
            </w:tcBorders>
            <w:shd w:val="thinDiagStripe" w:color="A4A5A5" w:fill="auto"/>
            <w:noWrap/>
            <w:vAlign w:val="center"/>
          </w:tcPr>
          <w:p w14:paraId="610513B0" w14:textId="1778E06D" w:rsidR="000D57A6" w:rsidRPr="003801D5" w:rsidRDefault="000D57A6" w:rsidP="000D57A6">
            <w:pPr>
              <w:jc w:val="right"/>
              <w:rPr>
                <w:rFonts w:cs="Calibri"/>
                <w:color w:val="000000" w:themeColor="text1"/>
                <w:sz w:val="12"/>
                <w:szCs w:val="12"/>
              </w:rPr>
            </w:pPr>
          </w:p>
        </w:tc>
        <w:tc>
          <w:tcPr>
            <w:tcW w:w="998" w:type="dxa"/>
            <w:tcBorders>
              <w:top w:val="single" w:sz="8" w:space="0" w:color="0070C0"/>
              <w:left w:val="single" w:sz="8" w:space="0" w:color="0070C0"/>
              <w:bottom w:val="single" w:sz="4" w:space="0" w:color="0070C0"/>
              <w:right w:val="nil"/>
            </w:tcBorders>
            <w:shd w:val="clear" w:color="auto" w:fill="auto"/>
            <w:noWrap/>
            <w:vAlign w:val="center"/>
          </w:tcPr>
          <w:p w14:paraId="1AD12F64" w14:textId="39870990" w:rsidR="000D57A6" w:rsidRPr="003801D5" w:rsidRDefault="000D57A6" w:rsidP="000D57A6">
            <w:pPr>
              <w:jc w:val="right"/>
              <w:rPr>
                <w:rFonts w:cs="Calibri"/>
                <w:color w:val="000000" w:themeColor="text1"/>
                <w:sz w:val="12"/>
                <w:szCs w:val="12"/>
              </w:rPr>
            </w:pPr>
            <w:r w:rsidRPr="003801D5">
              <w:rPr>
                <w:rFonts w:cs="Calibri"/>
                <w:color w:val="000000" w:themeColor="text1"/>
                <w:sz w:val="12"/>
                <w:szCs w:val="12"/>
              </w:rPr>
              <w:t>(544 793)</w:t>
            </w:r>
          </w:p>
        </w:tc>
      </w:tr>
      <w:tr w:rsidR="000D57A6" w:rsidRPr="0068723D" w14:paraId="4C2A5427" w14:textId="77777777" w:rsidTr="00923B73">
        <w:trPr>
          <w:trHeight w:val="227"/>
        </w:trPr>
        <w:tc>
          <w:tcPr>
            <w:tcW w:w="4593" w:type="dxa"/>
            <w:tcBorders>
              <w:top w:val="nil"/>
              <w:left w:val="nil"/>
              <w:bottom w:val="single" w:sz="4" w:space="0" w:color="0070C0"/>
              <w:right w:val="single" w:sz="8" w:space="0" w:color="0070C0"/>
            </w:tcBorders>
            <w:shd w:val="clear" w:color="auto" w:fill="auto"/>
            <w:noWrap/>
            <w:vAlign w:val="center"/>
            <w:hideMark/>
          </w:tcPr>
          <w:p w14:paraId="2055DCCD" w14:textId="77777777" w:rsidR="000D57A6" w:rsidRPr="003801D5" w:rsidRDefault="000D57A6" w:rsidP="000D57A6">
            <w:pPr>
              <w:rPr>
                <w:rFonts w:cs="Calibri"/>
                <w:color w:val="000000" w:themeColor="text1"/>
                <w:sz w:val="12"/>
                <w:szCs w:val="12"/>
              </w:rPr>
            </w:pPr>
            <w:r w:rsidRPr="003801D5">
              <w:rPr>
                <w:rFonts w:cs="Calibri"/>
                <w:color w:val="000000" w:themeColor="text1"/>
                <w:sz w:val="12"/>
                <w:szCs w:val="12"/>
              </w:rPr>
              <w:t>Zysk netto przypadający na akcjonariuszy mBanku S.A.</w:t>
            </w:r>
          </w:p>
        </w:tc>
        <w:tc>
          <w:tcPr>
            <w:tcW w:w="998" w:type="dxa"/>
            <w:tcBorders>
              <w:top w:val="single" w:sz="4" w:space="0" w:color="0070C0"/>
              <w:left w:val="nil"/>
              <w:bottom w:val="single" w:sz="4" w:space="0" w:color="0070C0"/>
              <w:right w:val="single" w:sz="8" w:space="0" w:color="0070C0"/>
            </w:tcBorders>
            <w:shd w:val="thinDiagStripe" w:color="A4A5A5" w:fill="auto"/>
            <w:noWrap/>
            <w:vAlign w:val="center"/>
          </w:tcPr>
          <w:p w14:paraId="19046F07" w14:textId="4CA5CFA2" w:rsidR="000D57A6" w:rsidRPr="003801D5" w:rsidRDefault="000D57A6" w:rsidP="000D57A6">
            <w:pPr>
              <w:jc w:val="right"/>
              <w:rPr>
                <w:rFonts w:cs="Calibri"/>
                <w:color w:val="000000" w:themeColor="text1"/>
                <w:sz w:val="12"/>
                <w:szCs w:val="12"/>
              </w:rPr>
            </w:pPr>
          </w:p>
        </w:tc>
        <w:tc>
          <w:tcPr>
            <w:tcW w:w="998" w:type="dxa"/>
            <w:tcBorders>
              <w:top w:val="single" w:sz="4" w:space="0" w:color="0070C0"/>
              <w:left w:val="nil"/>
              <w:bottom w:val="single" w:sz="4" w:space="0" w:color="0070C0"/>
              <w:right w:val="single" w:sz="8" w:space="0" w:color="0070C0"/>
            </w:tcBorders>
            <w:shd w:val="thinDiagStripe" w:color="A4A5A5" w:fill="auto"/>
            <w:noWrap/>
            <w:vAlign w:val="center"/>
          </w:tcPr>
          <w:p w14:paraId="5A242F1E" w14:textId="223B0119" w:rsidR="000D57A6" w:rsidRPr="003801D5" w:rsidRDefault="000D57A6" w:rsidP="000D57A6">
            <w:pPr>
              <w:jc w:val="right"/>
              <w:rPr>
                <w:rFonts w:cs="Calibri"/>
                <w:color w:val="000000" w:themeColor="text1"/>
                <w:sz w:val="12"/>
                <w:szCs w:val="12"/>
              </w:rPr>
            </w:pPr>
          </w:p>
        </w:tc>
        <w:tc>
          <w:tcPr>
            <w:tcW w:w="998" w:type="dxa"/>
            <w:tcBorders>
              <w:top w:val="single" w:sz="4" w:space="0" w:color="0070C0"/>
              <w:left w:val="nil"/>
              <w:bottom w:val="single" w:sz="4" w:space="0" w:color="0070C0"/>
              <w:right w:val="single" w:sz="8" w:space="0" w:color="0070C0"/>
            </w:tcBorders>
            <w:shd w:val="thinDiagStripe" w:color="A4A5A5" w:fill="auto"/>
            <w:noWrap/>
            <w:vAlign w:val="center"/>
          </w:tcPr>
          <w:p w14:paraId="393067FE" w14:textId="3AE9464E" w:rsidR="000D57A6" w:rsidRPr="003801D5" w:rsidRDefault="000D57A6" w:rsidP="000D57A6">
            <w:pPr>
              <w:jc w:val="right"/>
              <w:rPr>
                <w:rFonts w:cs="Calibri"/>
                <w:color w:val="000000" w:themeColor="text1"/>
                <w:sz w:val="12"/>
                <w:szCs w:val="12"/>
              </w:rPr>
            </w:pPr>
          </w:p>
        </w:tc>
        <w:tc>
          <w:tcPr>
            <w:tcW w:w="998" w:type="dxa"/>
            <w:tcBorders>
              <w:top w:val="single" w:sz="4" w:space="0" w:color="0070C0"/>
              <w:left w:val="nil"/>
              <w:bottom w:val="single" w:sz="4" w:space="0" w:color="0070C0"/>
              <w:right w:val="single" w:sz="8" w:space="0" w:color="0070C0"/>
            </w:tcBorders>
            <w:shd w:val="thinDiagStripe" w:color="A4A5A5" w:fill="auto"/>
            <w:noWrap/>
            <w:vAlign w:val="center"/>
          </w:tcPr>
          <w:p w14:paraId="111249CD" w14:textId="02881DBB" w:rsidR="000D57A6" w:rsidRPr="003801D5" w:rsidRDefault="000D57A6" w:rsidP="000D57A6">
            <w:pPr>
              <w:jc w:val="right"/>
              <w:rPr>
                <w:rFonts w:cs="Calibri"/>
                <w:color w:val="000000" w:themeColor="text1"/>
                <w:sz w:val="12"/>
                <w:szCs w:val="12"/>
              </w:rPr>
            </w:pPr>
          </w:p>
        </w:tc>
        <w:tc>
          <w:tcPr>
            <w:tcW w:w="998" w:type="dxa"/>
            <w:tcBorders>
              <w:top w:val="nil"/>
              <w:left w:val="single" w:sz="8" w:space="0" w:color="0070C0"/>
              <w:bottom w:val="single" w:sz="4" w:space="0" w:color="0070C0"/>
              <w:right w:val="nil"/>
            </w:tcBorders>
            <w:shd w:val="clear" w:color="auto" w:fill="auto"/>
            <w:noWrap/>
            <w:vAlign w:val="center"/>
          </w:tcPr>
          <w:p w14:paraId="05A5FEBD" w14:textId="0C869F60" w:rsidR="000D57A6" w:rsidRPr="003801D5" w:rsidRDefault="000D57A6" w:rsidP="000D57A6">
            <w:pPr>
              <w:jc w:val="right"/>
              <w:rPr>
                <w:rFonts w:cs="Calibri"/>
                <w:color w:val="000000" w:themeColor="text1"/>
                <w:sz w:val="12"/>
                <w:szCs w:val="12"/>
              </w:rPr>
            </w:pPr>
            <w:r w:rsidRPr="003801D5">
              <w:rPr>
                <w:rFonts w:cs="Calibri"/>
                <w:color w:val="000000" w:themeColor="text1"/>
                <w:sz w:val="12"/>
                <w:szCs w:val="12"/>
              </w:rPr>
              <w:t>1 010 350</w:t>
            </w:r>
          </w:p>
        </w:tc>
      </w:tr>
      <w:tr w:rsidR="000D57A6" w:rsidRPr="0068723D" w14:paraId="36468FFE" w14:textId="77777777" w:rsidTr="00923B73">
        <w:trPr>
          <w:trHeight w:val="227"/>
        </w:trPr>
        <w:tc>
          <w:tcPr>
            <w:tcW w:w="4593" w:type="dxa"/>
            <w:tcBorders>
              <w:top w:val="nil"/>
              <w:left w:val="nil"/>
              <w:bottom w:val="single" w:sz="8" w:space="0" w:color="0070C0"/>
              <w:right w:val="single" w:sz="8" w:space="0" w:color="0070C0"/>
            </w:tcBorders>
            <w:shd w:val="clear" w:color="auto" w:fill="auto"/>
            <w:noWrap/>
            <w:vAlign w:val="center"/>
            <w:hideMark/>
          </w:tcPr>
          <w:p w14:paraId="0EEB3E8D" w14:textId="77777777" w:rsidR="000D57A6" w:rsidRPr="003801D5" w:rsidRDefault="000D57A6" w:rsidP="000D57A6">
            <w:pPr>
              <w:rPr>
                <w:rFonts w:cs="Calibri"/>
                <w:color w:val="000000" w:themeColor="text1"/>
                <w:sz w:val="12"/>
                <w:szCs w:val="12"/>
              </w:rPr>
            </w:pPr>
            <w:r w:rsidRPr="003801D5">
              <w:rPr>
                <w:rFonts w:cs="Calibri"/>
                <w:color w:val="000000" w:themeColor="text1"/>
                <w:sz w:val="12"/>
                <w:szCs w:val="12"/>
              </w:rPr>
              <w:t>Zysk netto przypadający na udziały niekontrolujące</w:t>
            </w:r>
          </w:p>
        </w:tc>
        <w:tc>
          <w:tcPr>
            <w:tcW w:w="998" w:type="dxa"/>
            <w:tcBorders>
              <w:top w:val="single" w:sz="4" w:space="0" w:color="0070C0"/>
              <w:left w:val="nil"/>
              <w:bottom w:val="single" w:sz="8" w:space="0" w:color="0070C0"/>
              <w:right w:val="single" w:sz="8" w:space="0" w:color="0070C0"/>
            </w:tcBorders>
            <w:shd w:val="thinDiagStripe" w:color="A4A5A5" w:fill="auto"/>
            <w:noWrap/>
            <w:vAlign w:val="center"/>
          </w:tcPr>
          <w:p w14:paraId="71CB6DA7" w14:textId="123622D2" w:rsidR="000D57A6" w:rsidRPr="003801D5" w:rsidRDefault="000D57A6" w:rsidP="000D57A6">
            <w:pPr>
              <w:jc w:val="right"/>
              <w:rPr>
                <w:rFonts w:cs="Calibri"/>
                <w:b/>
                <w:bCs/>
                <w:color w:val="000000" w:themeColor="text1"/>
                <w:sz w:val="12"/>
                <w:szCs w:val="12"/>
              </w:rPr>
            </w:pPr>
          </w:p>
        </w:tc>
        <w:tc>
          <w:tcPr>
            <w:tcW w:w="998" w:type="dxa"/>
            <w:tcBorders>
              <w:top w:val="single" w:sz="4" w:space="0" w:color="0070C0"/>
              <w:left w:val="nil"/>
              <w:bottom w:val="single" w:sz="8" w:space="0" w:color="0070C0"/>
              <w:right w:val="single" w:sz="8" w:space="0" w:color="0070C0"/>
            </w:tcBorders>
            <w:shd w:val="thinDiagStripe" w:color="A4A5A5" w:fill="auto"/>
            <w:noWrap/>
            <w:vAlign w:val="center"/>
          </w:tcPr>
          <w:p w14:paraId="243A95FB" w14:textId="29BB5199" w:rsidR="000D57A6" w:rsidRPr="003801D5" w:rsidRDefault="000D57A6" w:rsidP="000D57A6">
            <w:pPr>
              <w:jc w:val="right"/>
              <w:rPr>
                <w:rFonts w:cs="Calibri"/>
                <w:b/>
                <w:bCs/>
                <w:color w:val="000000" w:themeColor="text1"/>
                <w:sz w:val="12"/>
                <w:szCs w:val="12"/>
              </w:rPr>
            </w:pPr>
          </w:p>
        </w:tc>
        <w:tc>
          <w:tcPr>
            <w:tcW w:w="998" w:type="dxa"/>
            <w:tcBorders>
              <w:top w:val="single" w:sz="4" w:space="0" w:color="0070C0"/>
              <w:left w:val="nil"/>
              <w:bottom w:val="single" w:sz="8" w:space="0" w:color="0070C0"/>
              <w:right w:val="single" w:sz="8" w:space="0" w:color="0070C0"/>
            </w:tcBorders>
            <w:shd w:val="thinDiagStripe" w:color="A4A5A5" w:fill="auto"/>
            <w:noWrap/>
            <w:vAlign w:val="center"/>
          </w:tcPr>
          <w:p w14:paraId="769890D4" w14:textId="0338810C" w:rsidR="000D57A6" w:rsidRPr="003801D5" w:rsidRDefault="000D57A6" w:rsidP="000D57A6">
            <w:pPr>
              <w:jc w:val="right"/>
              <w:rPr>
                <w:rFonts w:cs="Calibri"/>
                <w:b/>
                <w:bCs/>
                <w:color w:val="000000" w:themeColor="text1"/>
                <w:sz w:val="12"/>
                <w:szCs w:val="12"/>
              </w:rPr>
            </w:pPr>
          </w:p>
        </w:tc>
        <w:tc>
          <w:tcPr>
            <w:tcW w:w="998" w:type="dxa"/>
            <w:tcBorders>
              <w:top w:val="single" w:sz="4" w:space="0" w:color="0070C0"/>
              <w:left w:val="nil"/>
              <w:bottom w:val="single" w:sz="8" w:space="0" w:color="0070C0"/>
              <w:right w:val="single" w:sz="8" w:space="0" w:color="0070C0"/>
            </w:tcBorders>
            <w:shd w:val="thinDiagStripe" w:color="A4A5A5" w:fill="auto"/>
            <w:noWrap/>
            <w:vAlign w:val="center"/>
          </w:tcPr>
          <w:p w14:paraId="55F8FC44" w14:textId="101B527F" w:rsidR="000D57A6" w:rsidRPr="003801D5" w:rsidRDefault="000D57A6" w:rsidP="000D57A6">
            <w:pPr>
              <w:jc w:val="right"/>
              <w:rPr>
                <w:rFonts w:cs="Calibri"/>
                <w:b/>
                <w:bCs/>
                <w:color w:val="000000" w:themeColor="text1"/>
                <w:sz w:val="12"/>
                <w:szCs w:val="12"/>
              </w:rPr>
            </w:pPr>
          </w:p>
        </w:tc>
        <w:tc>
          <w:tcPr>
            <w:tcW w:w="998" w:type="dxa"/>
            <w:tcBorders>
              <w:top w:val="nil"/>
              <w:left w:val="single" w:sz="8" w:space="0" w:color="0070C0"/>
              <w:bottom w:val="single" w:sz="8" w:space="0" w:color="0070C0"/>
              <w:right w:val="nil"/>
            </w:tcBorders>
            <w:shd w:val="clear" w:color="auto" w:fill="auto"/>
            <w:noWrap/>
            <w:vAlign w:val="center"/>
          </w:tcPr>
          <w:p w14:paraId="4BF2A23B" w14:textId="239CD2FC" w:rsidR="000D57A6" w:rsidRPr="003801D5" w:rsidRDefault="000D57A6" w:rsidP="000D57A6">
            <w:pPr>
              <w:jc w:val="right"/>
              <w:rPr>
                <w:rFonts w:cs="Calibri"/>
                <w:color w:val="000000" w:themeColor="text1"/>
                <w:sz w:val="12"/>
                <w:szCs w:val="12"/>
              </w:rPr>
            </w:pPr>
            <w:r w:rsidRPr="003801D5">
              <w:rPr>
                <w:rFonts w:cs="Calibri"/>
                <w:color w:val="000000" w:themeColor="text1"/>
                <w:sz w:val="12"/>
                <w:szCs w:val="12"/>
              </w:rPr>
              <w:t>(98)</w:t>
            </w:r>
          </w:p>
        </w:tc>
      </w:tr>
    </w:tbl>
    <w:p w14:paraId="63B44DCE" w14:textId="41E8C351" w:rsidR="00756763" w:rsidRPr="0068723D" w:rsidRDefault="00756763" w:rsidP="00756763">
      <w:pPr>
        <w:suppressAutoHyphens/>
        <w:spacing w:before="120" w:after="120"/>
        <w:jc w:val="both"/>
        <w:rPr>
          <w:rFonts w:cs="Tahoma"/>
          <w:color w:val="000000" w:themeColor="text1"/>
          <w:sz w:val="18"/>
          <w:szCs w:val="18"/>
        </w:rPr>
      </w:pPr>
      <w:r w:rsidRPr="0068723D">
        <w:rPr>
          <w:rFonts w:cs="Tahoma"/>
          <w:color w:val="000000" w:themeColor="text1"/>
          <w:sz w:val="18"/>
          <w:szCs w:val="18"/>
        </w:rPr>
        <w:lastRenderedPageBreak/>
        <w:t>Sprawozdawczość według segmentów działalności Grupy mBanku S.A. – dane dotyczące skonsolidowanego sprawozdania z sytuacji finansowej</w:t>
      </w:r>
    </w:p>
    <w:tbl>
      <w:tblPr>
        <w:tblW w:w="9639" w:type="dxa"/>
        <w:tblLayout w:type="fixed"/>
        <w:tblCellMar>
          <w:left w:w="28" w:type="dxa"/>
          <w:right w:w="28" w:type="dxa"/>
        </w:tblCellMar>
        <w:tblLook w:val="04A0" w:firstRow="1" w:lastRow="0" w:firstColumn="1" w:lastColumn="0" w:noHBand="0" w:noVBand="1"/>
      </w:tblPr>
      <w:tblGrid>
        <w:gridCol w:w="4619"/>
        <w:gridCol w:w="1004"/>
        <w:gridCol w:w="1004"/>
        <w:gridCol w:w="1004"/>
        <w:gridCol w:w="1004"/>
        <w:gridCol w:w="1004"/>
      </w:tblGrid>
      <w:tr w:rsidR="00756763" w:rsidRPr="00756763" w14:paraId="714667A8" w14:textId="77777777" w:rsidTr="00CF7954">
        <w:trPr>
          <w:trHeight w:val="284"/>
        </w:trPr>
        <w:tc>
          <w:tcPr>
            <w:tcW w:w="4619" w:type="dxa"/>
            <w:vMerge w:val="restart"/>
            <w:tcBorders>
              <w:top w:val="nil"/>
              <w:left w:val="nil"/>
              <w:bottom w:val="single" w:sz="8" w:space="0" w:color="FFFFFF"/>
              <w:right w:val="single" w:sz="8" w:space="0" w:color="FFFFFF"/>
            </w:tcBorders>
            <w:shd w:val="clear" w:color="000000" w:fill="0077BD"/>
            <w:vAlign w:val="center"/>
            <w:hideMark/>
          </w:tcPr>
          <w:p w14:paraId="0F5861EB" w14:textId="55976481" w:rsidR="00756763" w:rsidRPr="00756763" w:rsidRDefault="00756763" w:rsidP="00756763">
            <w:pPr>
              <w:rPr>
                <w:rFonts w:cs="Calibri"/>
                <w:b/>
                <w:bCs/>
                <w:color w:val="FFFFFF"/>
                <w:sz w:val="12"/>
                <w:szCs w:val="12"/>
              </w:rPr>
            </w:pPr>
            <w:r>
              <w:rPr>
                <w:rFonts w:cs="Calibri"/>
                <w:b/>
                <w:bCs/>
                <w:color w:val="FFFFFF"/>
                <w:sz w:val="12"/>
                <w:szCs w:val="12"/>
              </w:rPr>
              <w:t>31.12.2019</w:t>
            </w:r>
          </w:p>
        </w:tc>
        <w:tc>
          <w:tcPr>
            <w:tcW w:w="2008" w:type="dxa"/>
            <w:gridSpan w:val="2"/>
            <w:tcBorders>
              <w:top w:val="nil"/>
              <w:left w:val="nil"/>
              <w:bottom w:val="single" w:sz="4" w:space="0" w:color="FFFFFF"/>
              <w:right w:val="single" w:sz="8" w:space="0" w:color="FFFFFF"/>
            </w:tcBorders>
            <w:shd w:val="clear" w:color="000000" w:fill="0077BD"/>
            <w:vAlign w:val="center"/>
            <w:hideMark/>
          </w:tcPr>
          <w:p w14:paraId="4CB136D5"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Korporacje i Rynki Finansowe</w:t>
            </w:r>
          </w:p>
        </w:tc>
        <w:tc>
          <w:tcPr>
            <w:tcW w:w="1004"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459167A4"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 xml:space="preserve">Bankowość Detaliczna </w:t>
            </w:r>
          </w:p>
        </w:tc>
        <w:tc>
          <w:tcPr>
            <w:tcW w:w="1004"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7641C562"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Pozostałe</w:t>
            </w:r>
          </w:p>
        </w:tc>
        <w:tc>
          <w:tcPr>
            <w:tcW w:w="1004" w:type="dxa"/>
            <w:vMerge w:val="restart"/>
            <w:tcBorders>
              <w:top w:val="nil"/>
              <w:left w:val="single" w:sz="8" w:space="0" w:color="FFFFFF"/>
              <w:bottom w:val="single" w:sz="8" w:space="0" w:color="0070C0"/>
              <w:right w:val="nil"/>
            </w:tcBorders>
            <w:shd w:val="clear" w:color="000000" w:fill="0077BD"/>
            <w:vAlign w:val="center"/>
            <w:hideMark/>
          </w:tcPr>
          <w:p w14:paraId="543E3364"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Razem Grupa</w:t>
            </w:r>
          </w:p>
        </w:tc>
      </w:tr>
      <w:tr w:rsidR="00756763" w:rsidRPr="00756763" w14:paraId="71552DFA" w14:textId="77777777" w:rsidTr="00CF7954">
        <w:trPr>
          <w:trHeight w:val="510"/>
        </w:trPr>
        <w:tc>
          <w:tcPr>
            <w:tcW w:w="4619" w:type="dxa"/>
            <w:vMerge/>
            <w:tcBorders>
              <w:top w:val="nil"/>
              <w:left w:val="nil"/>
              <w:right w:val="single" w:sz="8" w:space="0" w:color="FFFFFF"/>
            </w:tcBorders>
            <w:vAlign w:val="center"/>
            <w:hideMark/>
          </w:tcPr>
          <w:p w14:paraId="35037A30" w14:textId="77777777" w:rsidR="00756763" w:rsidRPr="00756763" w:rsidRDefault="00756763" w:rsidP="00756763">
            <w:pPr>
              <w:rPr>
                <w:rFonts w:cs="Calibri"/>
                <w:b/>
                <w:bCs/>
                <w:color w:val="FFFFFF"/>
                <w:sz w:val="12"/>
                <w:szCs w:val="12"/>
              </w:rPr>
            </w:pPr>
          </w:p>
        </w:tc>
        <w:tc>
          <w:tcPr>
            <w:tcW w:w="1004" w:type="dxa"/>
            <w:tcBorders>
              <w:top w:val="single" w:sz="4" w:space="0" w:color="FFFFFF"/>
              <w:left w:val="nil"/>
              <w:right w:val="single" w:sz="8" w:space="0" w:color="FFFFFF"/>
            </w:tcBorders>
            <w:shd w:val="clear" w:color="000000" w:fill="0077BD"/>
            <w:vAlign w:val="center"/>
            <w:hideMark/>
          </w:tcPr>
          <w:p w14:paraId="61735B7A"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Bankowość Korporacyjna i Inwestycyjna</w:t>
            </w:r>
          </w:p>
        </w:tc>
        <w:tc>
          <w:tcPr>
            <w:tcW w:w="1004" w:type="dxa"/>
            <w:tcBorders>
              <w:top w:val="single" w:sz="4" w:space="0" w:color="FFFFFF"/>
              <w:left w:val="nil"/>
              <w:right w:val="single" w:sz="8" w:space="0" w:color="FFFFFF"/>
            </w:tcBorders>
            <w:shd w:val="clear" w:color="000000" w:fill="0077BD"/>
            <w:vAlign w:val="center"/>
            <w:hideMark/>
          </w:tcPr>
          <w:p w14:paraId="21894192" w14:textId="77777777" w:rsidR="00756763" w:rsidRPr="00756763" w:rsidRDefault="00756763" w:rsidP="00756763">
            <w:pPr>
              <w:jc w:val="center"/>
              <w:rPr>
                <w:rFonts w:cs="Calibri"/>
                <w:b/>
                <w:bCs/>
                <w:color w:val="FFFFFF"/>
                <w:sz w:val="12"/>
                <w:szCs w:val="12"/>
              </w:rPr>
            </w:pPr>
            <w:r w:rsidRPr="00756763">
              <w:rPr>
                <w:rFonts w:cs="Calibri"/>
                <w:b/>
                <w:bCs/>
                <w:color w:val="FFFFFF"/>
                <w:sz w:val="12"/>
                <w:szCs w:val="12"/>
              </w:rPr>
              <w:t>Rynki Finansowe</w:t>
            </w:r>
          </w:p>
        </w:tc>
        <w:tc>
          <w:tcPr>
            <w:tcW w:w="1004" w:type="dxa"/>
            <w:vMerge/>
            <w:tcBorders>
              <w:top w:val="nil"/>
              <w:left w:val="single" w:sz="8" w:space="0" w:color="FFFFFF"/>
              <w:right w:val="single" w:sz="8" w:space="0" w:color="FFFFFF"/>
            </w:tcBorders>
            <w:vAlign w:val="center"/>
            <w:hideMark/>
          </w:tcPr>
          <w:p w14:paraId="29A5473F" w14:textId="77777777" w:rsidR="00756763" w:rsidRPr="00756763" w:rsidRDefault="00756763" w:rsidP="00756763">
            <w:pPr>
              <w:rPr>
                <w:rFonts w:cs="Calibri"/>
                <w:b/>
                <w:bCs/>
                <w:color w:val="FFFFFF"/>
                <w:sz w:val="12"/>
                <w:szCs w:val="12"/>
              </w:rPr>
            </w:pPr>
          </w:p>
        </w:tc>
        <w:tc>
          <w:tcPr>
            <w:tcW w:w="1004" w:type="dxa"/>
            <w:vMerge/>
            <w:tcBorders>
              <w:top w:val="nil"/>
              <w:left w:val="single" w:sz="8" w:space="0" w:color="FFFFFF"/>
              <w:right w:val="single" w:sz="8" w:space="0" w:color="FFFFFF"/>
            </w:tcBorders>
            <w:vAlign w:val="center"/>
            <w:hideMark/>
          </w:tcPr>
          <w:p w14:paraId="44AB011F" w14:textId="77777777" w:rsidR="00756763" w:rsidRPr="00756763" w:rsidRDefault="00756763" w:rsidP="00756763">
            <w:pPr>
              <w:rPr>
                <w:rFonts w:cs="Calibri"/>
                <w:b/>
                <w:bCs/>
                <w:color w:val="FFFFFF"/>
                <w:sz w:val="12"/>
                <w:szCs w:val="12"/>
              </w:rPr>
            </w:pPr>
          </w:p>
        </w:tc>
        <w:tc>
          <w:tcPr>
            <w:tcW w:w="1004" w:type="dxa"/>
            <w:vMerge/>
            <w:tcBorders>
              <w:top w:val="nil"/>
              <w:left w:val="single" w:sz="8" w:space="0" w:color="FFFFFF"/>
              <w:right w:val="nil"/>
            </w:tcBorders>
            <w:vAlign w:val="center"/>
            <w:hideMark/>
          </w:tcPr>
          <w:p w14:paraId="6F56D5CE" w14:textId="77777777" w:rsidR="00756763" w:rsidRPr="00756763" w:rsidRDefault="00756763" w:rsidP="00756763">
            <w:pPr>
              <w:rPr>
                <w:rFonts w:cs="Calibri"/>
                <w:b/>
                <w:bCs/>
                <w:color w:val="FFFFFF"/>
                <w:sz w:val="12"/>
                <w:szCs w:val="12"/>
              </w:rPr>
            </w:pPr>
          </w:p>
        </w:tc>
      </w:tr>
      <w:tr w:rsidR="0031397A" w:rsidRPr="009E0916" w14:paraId="326CA48C" w14:textId="77777777" w:rsidTr="00CF7954">
        <w:trPr>
          <w:trHeight w:val="227"/>
        </w:trPr>
        <w:tc>
          <w:tcPr>
            <w:tcW w:w="4619" w:type="dxa"/>
            <w:tcBorders>
              <w:left w:val="nil"/>
              <w:bottom w:val="single" w:sz="8" w:space="0" w:color="0070C0"/>
              <w:right w:val="single" w:sz="8" w:space="0" w:color="0070C0"/>
            </w:tcBorders>
            <w:shd w:val="clear" w:color="auto" w:fill="auto"/>
            <w:noWrap/>
            <w:vAlign w:val="center"/>
            <w:hideMark/>
          </w:tcPr>
          <w:p w14:paraId="6BD1D09F" w14:textId="77777777" w:rsidR="0031397A" w:rsidRPr="009E0916" w:rsidRDefault="0031397A" w:rsidP="0031397A">
            <w:pPr>
              <w:rPr>
                <w:rFonts w:cs="Calibri"/>
                <w:bCs/>
                <w:color w:val="000000" w:themeColor="text1"/>
                <w:sz w:val="12"/>
                <w:szCs w:val="12"/>
              </w:rPr>
            </w:pPr>
            <w:r w:rsidRPr="009E0916">
              <w:rPr>
                <w:rFonts w:cs="Calibri"/>
                <w:bCs/>
                <w:color w:val="000000" w:themeColor="text1"/>
                <w:sz w:val="12"/>
                <w:szCs w:val="12"/>
              </w:rPr>
              <w:t>Aktywa segmentu</w:t>
            </w:r>
          </w:p>
        </w:tc>
        <w:tc>
          <w:tcPr>
            <w:tcW w:w="1004" w:type="dxa"/>
            <w:tcBorders>
              <w:left w:val="single" w:sz="8" w:space="0" w:color="0070C0"/>
              <w:bottom w:val="single" w:sz="8" w:space="0" w:color="0070C0"/>
              <w:right w:val="single" w:sz="8" w:space="0" w:color="0070C0"/>
            </w:tcBorders>
            <w:shd w:val="clear" w:color="auto" w:fill="auto"/>
            <w:noWrap/>
            <w:vAlign w:val="center"/>
          </w:tcPr>
          <w:p w14:paraId="6B3D46E4" w14:textId="71FC1DAA"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44 805 002</w:t>
            </w:r>
          </w:p>
        </w:tc>
        <w:tc>
          <w:tcPr>
            <w:tcW w:w="1004" w:type="dxa"/>
            <w:tcBorders>
              <w:left w:val="nil"/>
              <w:bottom w:val="single" w:sz="8" w:space="0" w:color="0070C0"/>
              <w:right w:val="single" w:sz="8" w:space="0" w:color="0070C0"/>
            </w:tcBorders>
            <w:shd w:val="clear" w:color="auto" w:fill="auto"/>
            <w:noWrap/>
            <w:vAlign w:val="center"/>
          </w:tcPr>
          <w:p w14:paraId="28D57EA8" w14:textId="6ED147E4"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46 845 014</w:t>
            </w:r>
          </w:p>
        </w:tc>
        <w:tc>
          <w:tcPr>
            <w:tcW w:w="1004" w:type="dxa"/>
            <w:tcBorders>
              <w:left w:val="nil"/>
              <w:bottom w:val="single" w:sz="8" w:space="0" w:color="0070C0"/>
              <w:right w:val="single" w:sz="8" w:space="0" w:color="0070C0"/>
            </w:tcBorders>
            <w:shd w:val="clear" w:color="auto" w:fill="auto"/>
            <w:noWrap/>
            <w:vAlign w:val="center"/>
          </w:tcPr>
          <w:p w14:paraId="2168C72E" w14:textId="76CD33FB"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64 989 636</w:t>
            </w:r>
          </w:p>
        </w:tc>
        <w:tc>
          <w:tcPr>
            <w:tcW w:w="1004" w:type="dxa"/>
            <w:tcBorders>
              <w:left w:val="nil"/>
              <w:bottom w:val="single" w:sz="8" w:space="0" w:color="0070C0"/>
              <w:right w:val="single" w:sz="8" w:space="0" w:color="0070C0"/>
            </w:tcBorders>
            <w:shd w:val="clear" w:color="auto" w:fill="auto"/>
            <w:noWrap/>
            <w:vAlign w:val="center"/>
          </w:tcPr>
          <w:p w14:paraId="4BADE283" w14:textId="5012986C"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2 080 931</w:t>
            </w:r>
          </w:p>
        </w:tc>
        <w:tc>
          <w:tcPr>
            <w:tcW w:w="1004" w:type="dxa"/>
            <w:tcBorders>
              <w:left w:val="nil"/>
              <w:bottom w:val="single" w:sz="8" w:space="0" w:color="0070C0"/>
              <w:right w:val="nil"/>
            </w:tcBorders>
            <w:shd w:val="clear" w:color="auto" w:fill="auto"/>
            <w:noWrap/>
            <w:vAlign w:val="center"/>
          </w:tcPr>
          <w:p w14:paraId="68D79B45" w14:textId="44DD2669" w:rsidR="0031397A" w:rsidRPr="001B1DE6" w:rsidRDefault="0031397A" w:rsidP="0031397A">
            <w:pPr>
              <w:jc w:val="right"/>
              <w:rPr>
                <w:rFonts w:cs="Calibri"/>
                <w:b/>
                <w:bCs/>
                <w:color w:val="000000" w:themeColor="text1"/>
                <w:sz w:val="12"/>
                <w:szCs w:val="12"/>
              </w:rPr>
            </w:pPr>
            <w:r w:rsidRPr="001B1DE6">
              <w:rPr>
                <w:rFonts w:cs="Calibri"/>
                <w:b/>
                <w:bCs/>
                <w:color w:val="000000" w:themeColor="text1"/>
                <w:sz w:val="12"/>
                <w:szCs w:val="12"/>
              </w:rPr>
              <w:t>158 720 583</w:t>
            </w:r>
          </w:p>
        </w:tc>
      </w:tr>
      <w:tr w:rsidR="0031397A" w:rsidRPr="009E0916" w14:paraId="754092D5" w14:textId="77777777" w:rsidTr="00CF7954">
        <w:trPr>
          <w:trHeight w:val="227"/>
        </w:trPr>
        <w:tc>
          <w:tcPr>
            <w:tcW w:w="4619" w:type="dxa"/>
            <w:tcBorders>
              <w:top w:val="nil"/>
              <w:left w:val="nil"/>
              <w:bottom w:val="single" w:sz="8" w:space="0" w:color="0070C0"/>
              <w:right w:val="single" w:sz="8" w:space="0" w:color="0070C0"/>
            </w:tcBorders>
            <w:shd w:val="clear" w:color="auto" w:fill="auto"/>
            <w:vAlign w:val="center"/>
            <w:hideMark/>
          </w:tcPr>
          <w:p w14:paraId="0CF159B7" w14:textId="77777777" w:rsidR="0031397A" w:rsidRPr="009E0916" w:rsidRDefault="0031397A" w:rsidP="0031397A">
            <w:pPr>
              <w:rPr>
                <w:rFonts w:cs="Calibri"/>
                <w:bCs/>
                <w:color w:val="000000" w:themeColor="text1"/>
                <w:sz w:val="12"/>
                <w:szCs w:val="12"/>
              </w:rPr>
            </w:pPr>
            <w:r w:rsidRPr="009E0916">
              <w:rPr>
                <w:rFonts w:cs="Calibri"/>
                <w:bCs/>
                <w:color w:val="000000" w:themeColor="text1"/>
                <w:sz w:val="12"/>
                <w:szCs w:val="12"/>
              </w:rPr>
              <w:t>Zobowiązania segmentu</w:t>
            </w:r>
          </w:p>
        </w:tc>
        <w:tc>
          <w:tcPr>
            <w:tcW w:w="1004" w:type="dxa"/>
            <w:tcBorders>
              <w:top w:val="nil"/>
              <w:left w:val="single" w:sz="8" w:space="0" w:color="0070C0"/>
              <w:bottom w:val="single" w:sz="8" w:space="0" w:color="0070C0"/>
              <w:right w:val="single" w:sz="8" w:space="0" w:color="0070C0"/>
            </w:tcBorders>
            <w:shd w:val="clear" w:color="auto" w:fill="auto"/>
            <w:noWrap/>
            <w:vAlign w:val="center"/>
          </w:tcPr>
          <w:p w14:paraId="220B8691" w14:textId="63860AAA"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35 685 057</w:t>
            </w:r>
          </w:p>
        </w:tc>
        <w:tc>
          <w:tcPr>
            <w:tcW w:w="1004" w:type="dxa"/>
            <w:tcBorders>
              <w:top w:val="nil"/>
              <w:left w:val="nil"/>
              <w:bottom w:val="single" w:sz="8" w:space="0" w:color="0070C0"/>
              <w:right w:val="single" w:sz="8" w:space="0" w:color="0070C0"/>
            </w:tcBorders>
            <w:shd w:val="clear" w:color="auto" w:fill="auto"/>
            <w:noWrap/>
            <w:vAlign w:val="center"/>
          </w:tcPr>
          <w:p w14:paraId="2F362E49" w14:textId="3C0C91B2"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25 498 967</w:t>
            </w:r>
          </w:p>
        </w:tc>
        <w:tc>
          <w:tcPr>
            <w:tcW w:w="1004" w:type="dxa"/>
            <w:tcBorders>
              <w:top w:val="nil"/>
              <w:left w:val="nil"/>
              <w:bottom w:val="single" w:sz="8" w:space="0" w:color="0070C0"/>
              <w:right w:val="single" w:sz="8" w:space="0" w:color="0070C0"/>
            </w:tcBorders>
            <w:shd w:val="clear" w:color="auto" w:fill="auto"/>
            <w:noWrap/>
            <w:vAlign w:val="center"/>
          </w:tcPr>
          <w:p w14:paraId="4C9A768B" w14:textId="741C5895"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79 052 093</w:t>
            </w:r>
          </w:p>
        </w:tc>
        <w:tc>
          <w:tcPr>
            <w:tcW w:w="1004" w:type="dxa"/>
            <w:tcBorders>
              <w:top w:val="nil"/>
              <w:left w:val="nil"/>
              <w:bottom w:val="single" w:sz="8" w:space="0" w:color="0070C0"/>
              <w:right w:val="single" w:sz="8" w:space="0" w:color="0070C0"/>
            </w:tcBorders>
            <w:shd w:val="clear" w:color="auto" w:fill="auto"/>
            <w:noWrap/>
            <w:vAlign w:val="center"/>
          </w:tcPr>
          <w:p w14:paraId="5CC28C09" w14:textId="723EC60A" w:rsidR="0031397A" w:rsidRPr="009E0916" w:rsidRDefault="0031397A" w:rsidP="0031397A">
            <w:pPr>
              <w:jc w:val="right"/>
              <w:rPr>
                <w:rFonts w:cs="Calibri"/>
                <w:bCs/>
                <w:color w:val="000000" w:themeColor="text1"/>
                <w:sz w:val="12"/>
                <w:szCs w:val="12"/>
              </w:rPr>
            </w:pPr>
            <w:r w:rsidRPr="009E0916">
              <w:rPr>
                <w:rFonts w:cs="Calibri"/>
                <w:bCs/>
                <w:color w:val="000000" w:themeColor="text1"/>
                <w:sz w:val="12"/>
                <w:szCs w:val="12"/>
              </w:rPr>
              <w:t>2 331 161</w:t>
            </w:r>
          </w:p>
        </w:tc>
        <w:tc>
          <w:tcPr>
            <w:tcW w:w="1004" w:type="dxa"/>
            <w:tcBorders>
              <w:top w:val="nil"/>
              <w:left w:val="nil"/>
              <w:bottom w:val="single" w:sz="8" w:space="0" w:color="0070C0"/>
              <w:right w:val="nil"/>
            </w:tcBorders>
            <w:shd w:val="clear" w:color="auto" w:fill="auto"/>
            <w:noWrap/>
            <w:vAlign w:val="center"/>
          </w:tcPr>
          <w:p w14:paraId="2E83116F" w14:textId="5B72001C" w:rsidR="0031397A" w:rsidRPr="001B1DE6" w:rsidRDefault="0031397A" w:rsidP="0031397A">
            <w:pPr>
              <w:jc w:val="right"/>
              <w:rPr>
                <w:rFonts w:cs="Calibri"/>
                <w:b/>
                <w:bCs/>
                <w:color w:val="000000" w:themeColor="text1"/>
                <w:sz w:val="12"/>
                <w:szCs w:val="12"/>
              </w:rPr>
            </w:pPr>
            <w:r w:rsidRPr="001B1DE6">
              <w:rPr>
                <w:rFonts w:cs="Calibri"/>
                <w:b/>
                <w:bCs/>
                <w:color w:val="000000" w:themeColor="text1"/>
                <w:sz w:val="12"/>
                <w:szCs w:val="12"/>
              </w:rPr>
              <w:t>142 567 278</w:t>
            </w:r>
          </w:p>
        </w:tc>
      </w:tr>
      <w:tr w:rsidR="00CF7954" w:rsidRPr="009E0916" w14:paraId="5B32B8C4" w14:textId="77777777" w:rsidTr="00CF7954">
        <w:trPr>
          <w:trHeight w:val="227"/>
        </w:trPr>
        <w:tc>
          <w:tcPr>
            <w:tcW w:w="4619" w:type="dxa"/>
            <w:tcBorders>
              <w:top w:val="nil"/>
              <w:left w:val="nil"/>
              <w:bottom w:val="single" w:sz="8" w:space="0" w:color="0070C0"/>
              <w:right w:val="single" w:sz="8" w:space="0" w:color="0070C0"/>
            </w:tcBorders>
            <w:shd w:val="clear" w:color="auto" w:fill="auto"/>
            <w:vAlign w:val="center"/>
            <w:hideMark/>
          </w:tcPr>
          <w:p w14:paraId="494DE878" w14:textId="77777777" w:rsidR="00CF7954" w:rsidRPr="009E0916" w:rsidRDefault="00CF7954" w:rsidP="00CF7954">
            <w:pPr>
              <w:rPr>
                <w:rFonts w:cs="Calibri"/>
                <w:color w:val="000000" w:themeColor="text1"/>
                <w:sz w:val="12"/>
                <w:szCs w:val="12"/>
              </w:rPr>
            </w:pPr>
            <w:r w:rsidRPr="009E0916">
              <w:rPr>
                <w:rFonts w:cs="Calibri"/>
                <w:color w:val="000000" w:themeColor="text1"/>
                <w:sz w:val="12"/>
                <w:szCs w:val="12"/>
              </w:rPr>
              <w:t>Nakłady na środki trwałe i wartości niematerialne</w:t>
            </w:r>
          </w:p>
        </w:tc>
        <w:tc>
          <w:tcPr>
            <w:tcW w:w="1004" w:type="dxa"/>
            <w:tcBorders>
              <w:top w:val="single" w:sz="8" w:space="0" w:color="0070C0"/>
              <w:left w:val="single" w:sz="8" w:space="0" w:color="0070C0"/>
              <w:bottom w:val="single" w:sz="8" w:space="0" w:color="0070C0"/>
              <w:right w:val="single" w:sz="8" w:space="0" w:color="0070C0"/>
            </w:tcBorders>
            <w:shd w:val="clear" w:color="auto" w:fill="auto"/>
            <w:noWrap/>
            <w:vAlign w:val="center"/>
          </w:tcPr>
          <w:p w14:paraId="4CDC1D6F" w14:textId="0A83408D" w:rsidR="00CF7954" w:rsidRPr="00CF7954" w:rsidRDefault="00CF7954" w:rsidP="00CF7954">
            <w:pPr>
              <w:jc w:val="right"/>
              <w:rPr>
                <w:rFonts w:cs="Calibri"/>
                <w:color w:val="000000" w:themeColor="text1"/>
                <w:sz w:val="12"/>
                <w:szCs w:val="12"/>
              </w:rPr>
            </w:pPr>
            <w:r w:rsidRPr="00CF7954">
              <w:rPr>
                <w:rFonts w:cs="Calibri"/>
                <w:color w:val="000000"/>
                <w:sz w:val="12"/>
                <w:szCs w:val="12"/>
              </w:rPr>
              <w:t>251 106</w:t>
            </w:r>
          </w:p>
        </w:tc>
        <w:tc>
          <w:tcPr>
            <w:tcW w:w="1004" w:type="dxa"/>
            <w:tcBorders>
              <w:top w:val="single" w:sz="8" w:space="0" w:color="0070C0"/>
              <w:left w:val="nil"/>
              <w:bottom w:val="single" w:sz="8" w:space="0" w:color="0070C0"/>
              <w:right w:val="single" w:sz="8" w:space="0" w:color="0070C0"/>
            </w:tcBorders>
            <w:shd w:val="clear" w:color="auto" w:fill="auto"/>
            <w:noWrap/>
            <w:vAlign w:val="center"/>
          </w:tcPr>
          <w:p w14:paraId="3361FCFF" w14:textId="63288958" w:rsidR="00CF7954" w:rsidRPr="00CF7954" w:rsidRDefault="00CF7954" w:rsidP="00CF7954">
            <w:pPr>
              <w:jc w:val="right"/>
              <w:rPr>
                <w:rFonts w:cs="Calibri"/>
                <w:color w:val="000000" w:themeColor="text1"/>
                <w:sz w:val="12"/>
                <w:szCs w:val="12"/>
              </w:rPr>
            </w:pPr>
            <w:r w:rsidRPr="00CF7954">
              <w:rPr>
                <w:rFonts w:cs="Calibri"/>
                <w:color w:val="000000"/>
                <w:sz w:val="12"/>
                <w:szCs w:val="12"/>
              </w:rPr>
              <w:t>16 324</w:t>
            </w:r>
          </w:p>
        </w:tc>
        <w:tc>
          <w:tcPr>
            <w:tcW w:w="1004" w:type="dxa"/>
            <w:tcBorders>
              <w:top w:val="single" w:sz="8" w:space="0" w:color="0070C0"/>
              <w:left w:val="nil"/>
              <w:bottom w:val="single" w:sz="8" w:space="0" w:color="0070C0"/>
              <w:right w:val="single" w:sz="8" w:space="0" w:color="0070C0"/>
            </w:tcBorders>
            <w:shd w:val="clear" w:color="auto" w:fill="auto"/>
            <w:noWrap/>
            <w:vAlign w:val="center"/>
          </w:tcPr>
          <w:p w14:paraId="51339C07" w14:textId="52F4EA15" w:rsidR="00CF7954" w:rsidRPr="00CF7954" w:rsidRDefault="00CF7954" w:rsidP="00CF7954">
            <w:pPr>
              <w:jc w:val="right"/>
              <w:rPr>
                <w:rFonts w:cs="Calibri"/>
                <w:color w:val="000000" w:themeColor="text1"/>
                <w:sz w:val="12"/>
                <w:szCs w:val="12"/>
              </w:rPr>
            </w:pPr>
            <w:r w:rsidRPr="00CF7954">
              <w:rPr>
                <w:rFonts w:cs="Calibri"/>
                <w:color w:val="000000"/>
                <w:sz w:val="12"/>
                <w:szCs w:val="12"/>
              </w:rPr>
              <w:t>266 773</w:t>
            </w:r>
          </w:p>
        </w:tc>
        <w:tc>
          <w:tcPr>
            <w:tcW w:w="1004" w:type="dxa"/>
            <w:tcBorders>
              <w:top w:val="single" w:sz="8" w:space="0" w:color="0070C0"/>
              <w:left w:val="nil"/>
              <w:bottom w:val="single" w:sz="8" w:space="0" w:color="0070C0"/>
              <w:right w:val="single" w:sz="8" w:space="0" w:color="0070C0"/>
            </w:tcBorders>
            <w:shd w:val="clear" w:color="auto" w:fill="auto"/>
            <w:noWrap/>
            <w:vAlign w:val="center"/>
          </w:tcPr>
          <w:p w14:paraId="43F586C5" w14:textId="595D4430" w:rsidR="00CF7954" w:rsidRPr="00CF7954" w:rsidRDefault="00CF7954" w:rsidP="00CF7954">
            <w:pPr>
              <w:jc w:val="right"/>
              <w:rPr>
                <w:rFonts w:cs="Calibri"/>
                <w:color w:val="000000" w:themeColor="text1"/>
                <w:sz w:val="12"/>
                <w:szCs w:val="12"/>
              </w:rPr>
            </w:pPr>
            <w:r w:rsidRPr="00CF7954">
              <w:rPr>
                <w:rFonts w:cs="Calibri"/>
                <w:color w:val="000000"/>
                <w:sz w:val="12"/>
                <w:szCs w:val="12"/>
              </w:rPr>
              <w:t>2</w:t>
            </w:r>
          </w:p>
        </w:tc>
        <w:tc>
          <w:tcPr>
            <w:tcW w:w="1004" w:type="dxa"/>
            <w:tcBorders>
              <w:top w:val="single" w:sz="8" w:space="0" w:color="0070C0"/>
              <w:left w:val="nil"/>
              <w:bottom w:val="single" w:sz="8" w:space="0" w:color="0070C0"/>
              <w:right w:val="nil"/>
            </w:tcBorders>
            <w:shd w:val="clear" w:color="auto" w:fill="auto"/>
            <w:noWrap/>
            <w:vAlign w:val="center"/>
          </w:tcPr>
          <w:p w14:paraId="3D3FFF52" w14:textId="2C16BC7A" w:rsidR="00CF7954" w:rsidRPr="00CF7954" w:rsidRDefault="00CF7954" w:rsidP="00CF7954">
            <w:pPr>
              <w:jc w:val="right"/>
              <w:rPr>
                <w:rFonts w:cs="Calibri"/>
                <w:b/>
                <w:color w:val="000000" w:themeColor="text1"/>
                <w:sz w:val="12"/>
                <w:szCs w:val="12"/>
              </w:rPr>
            </w:pPr>
            <w:r w:rsidRPr="00CF7954">
              <w:rPr>
                <w:rFonts w:cs="Calibri"/>
                <w:b/>
                <w:color w:val="000000"/>
                <w:sz w:val="12"/>
                <w:szCs w:val="12"/>
              </w:rPr>
              <w:t>534 205</w:t>
            </w:r>
          </w:p>
        </w:tc>
      </w:tr>
    </w:tbl>
    <w:p w14:paraId="4711ABF9" w14:textId="02E956C3" w:rsidR="009C1A37" w:rsidRPr="0068723D" w:rsidRDefault="009C1A37" w:rsidP="009C1A37">
      <w:pPr>
        <w:suppressAutoHyphens/>
        <w:spacing w:before="120"/>
        <w:jc w:val="both"/>
        <w:rPr>
          <w:rFonts w:cs="Tahoma"/>
          <w:color w:val="000000" w:themeColor="text1"/>
          <w:sz w:val="18"/>
          <w:szCs w:val="18"/>
        </w:rPr>
      </w:pPr>
      <w:r w:rsidRPr="0068723D">
        <w:rPr>
          <w:rFonts w:cs="Tahoma"/>
          <w:color w:val="000000" w:themeColor="text1"/>
          <w:sz w:val="18"/>
          <w:szCs w:val="18"/>
        </w:rPr>
        <w:t>Sprawozdawczość według segmentów działalności Grupy mBanku S.A. za okres od 1 stycznia do 31 grudnia 2018 roku</w:t>
      </w:r>
    </w:p>
    <w:p w14:paraId="2D77AA55" w14:textId="75DF97F4" w:rsidR="009C1A37" w:rsidRPr="00B27780" w:rsidRDefault="009C1A37" w:rsidP="00D953ED">
      <w:pPr>
        <w:suppressAutoHyphens/>
        <w:jc w:val="both"/>
        <w:rPr>
          <w:noProof/>
        </w:rPr>
      </w:pPr>
    </w:p>
    <w:tbl>
      <w:tblPr>
        <w:tblW w:w="0" w:type="auto"/>
        <w:tblCellMar>
          <w:left w:w="28" w:type="dxa"/>
          <w:right w:w="28" w:type="dxa"/>
        </w:tblCellMar>
        <w:tblLook w:val="04A0" w:firstRow="1" w:lastRow="0" w:firstColumn="1" w:lastColumn="0" w:noHBand="0" w:noVBand="1"/>
      </w:tblPr>
      <w:tblGrid>
        <w:gridCol w:w="4582"/>
        <w:gridCol w:w="999"/>
        <w:gridCol w:w="1000"/>
        <w:gridCol w:w="1000"/>
        <w:gridCol w:w="1000"/>
        <w:gridCol w:w="1000"/>
      </w:tblGrid>
      <w:tr w:rsidR="00756763" w:rsidRPr="00674837" w14:paraId="50489E0C" w14:textId="77777777" w:rsidTr="00072821">
        <w:trPr>
          <w:trHeight w:val="284"/>
        </w:trPr>
        <w:tc>
          <w:tcPr>
            <w:tcW w:w="0" w:type="auto"/>
            <w:vMerge w:val="restart"/>
            <w:tcBorders>
              <w:top w:val="nil"/>
              <w:left w:val="nil"/>
              <w:bottom w:val="single" w:sz="8" w:space="0" w:color="FFFFFF"/>
              <w:right w:val="single" w:sz="8" w:space="0" w:color="FFFFFF"/>
            </w:tcBorders>
            <w:shd w:val="clear" w:color="000000" w:fill="0077BD"/>
            <w:vAlign w:val="center"/>
            <w:hideMark/>
          </w:tcPr>
          <w:p w14:paraId="525322D1" w14:textId="77777777" w:rsidR="00756763" w:rsidRPr="00674837" w:rsidRDefault="00756763" w:rsidP="00823E6B">
            <w:pPr>
              <w:rPr>
                <w:rFonts w:cs="Calibri"/>
                <w:b/>
                <w:bCs/>
                <w:color w:val="FFFFFF"/>
                <w:sz w:val="12"/>
                <w:szCs w:val="12"/>
              </w:rPr>
            </w:pPr>
            <w:r w:rsidRPr="00674837">
              <w:rPr>
                <w:rFonts w:cs="Calibri"/>
                <w:b/>
                <w:bCs/>
                <w:color w:val="FFFFFF"/>
                <w:sz w:val="12"/>
                <w:szCs w:val="12"/>
              </w:rPr>
              <w:t> </w:t>
            </w:r>
          </w:p>
        </w:tc>
        <w:tc>
          <w:tcPr>
            <w:tcW w:w="2007" w:type="dxa"/>
            <w:gridSpan w:val="2"/>
            <w:tcBorders>
              <w:top w:val="nil"/>
              <w:left w:val="nil"/>
              <w:bottom w:val="single" w:sz="4" w:space="0" w:color="FFFFFF"/>
              <w:right w:val="single" w:sz="8" w:space="0" w:color="FFFFFF"/>
            </w:tcBorders>
            <w:shd w:val="clear" w:color="000000" w:fill="0077BD"/>
            <w:vAlign w:val="center"/>
            <w:hideMark/>
          </w:tcPr>
          <w:p w14:paraId="5A6B98F2"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Korporacje i Rynki Finansowe</w:t>
            </w:r>
          </w:p>
        </w:tc>
        <w:tc>
          <w:tcPr>
            <w:tcW w:w="1004"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6CD760C4"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 xml:space="preserve">Bankowość Detaliczna </w:t>
            </w:r>
          </w:p>
        </w:tc>
        <w:tc>
          <w:tcPr>
            <w:tcW w:w="1004"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1DA82BC7"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Pozostałe</w:t>
            </w:r>
          </w:p>
        </w:tc>
        <w:tc>
          <w:tcPr>
            <w:tcW w:w="1004" w:type="dxa"/>
            <w:vMerge w:val="restart"/>
            <w:tcBorders>
              <w:top w:val="nil"/>
              <w:left w:val="single" w:sz="8" w:space="0" w:color="FFFFFF"/>
              <w:bottom w:val="single" w:sz="8" w:space="0" w:color="FFFFFF"/>
              <w:right w:val="nil"/>
            </w:tcBorders>
            <w:shd w:val="clear" w:color="000000" w:fill="0077BD"/>
            <w:vAlign w:val="center"/>
            <w:hideMark/>
          </w:tcPr>
          <w:p w14:paraId="57A42C69"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Razem Grupa</w:t>
            </w:r>
          </w:p>
        </w:tc>
      </w:tr>
      <w:tr w:rsidR="00756763" w:rsidRPr="00674837" w14:paraId="63CCABB2" w14:textId="77777777" w:rsidTr="00072821">
        <w:trPr>
          <w:trHeight w:val="624"/>
        </w:trPr>
        <w:tc>
          <w:tcPr>
            <w:tcW w:w="0" w:type="auto"/>
            <w:vMerge/>
            <w:tcBorders>
              <w:top w:val="nil"/>
              <w:left w:val="nil"/>
              <w:bottom w:val="single" w:sz="8" w:space="0" w:color="FFFFFF"/>
              <w:right w:val="single" w:sz="8" w:space="0" w:color="FFFFFF"/>
            </w:tcBorders>
            <w:vAlign w:val="center"/>
            <w:hideMark/>
          </w:tcPr>
          <w:p w14:paraId="0CE40D67" w14:textId="77777777" w:rsidR="00756763" w:rsidRPr="00674837" w:rsidRDefault="00756763" w:rsidP="00823E6B">
            <w:pPr>
              <w:rPr>
                <w:rFonts w:cs="Calibri"/>
                <w:b/>
                <w:bCs/>
                <w:color w:val="FFFFFF"/>
                <w:sz w:val="12"/>
                <w:szCs w:val="12"/>
              </w:rPr>
            </w:pPr>
          </w:p>
        </w:tc>
        <w:tc>
          <w:tcPr>
            <w:tcW w:w="1003" w:type="dxa"/>
            <w:tcBorders>
              <w:top w:val="single" w:sz="4" w:space="0" w:color="FFFFFF"/>
              <w:left w:val="nil"/>
              <w:bottom w:val="single" w:sz="8" w:space="0" w:color="FFFFFF"/>
              <w:right w:val="single" w:sz="8" w:space="0" w:color="FFFFFF"/>
            </w:tcBorders>
            <w:shd w:val="clear" w:color="000000" w:fill="0077BD"/>
            <w:vAlign w:val="center"/>
            <w:hideMark/>
          </w:tcPr>
          <w:p w14:paraId="23E2D022"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Bankowość Korporacyjna i Inwestycyjna</w:t>
            </w:r>
          </w:p>
        </w:tc>
        <w:tc>
          <w:tcPr>
            <w:tcW w:w="1004" w:type="dxa"/>
            <w:tcBorders>
              <w:top w:val="single" w:sz="4" w:space="0" w:color="FFFFFF"/>
              <w:left w:val="nil"/>
              <w:bottom w:val="single" w:sz="8" w:space="0" w:color="FFFFFF"/>
              <w:right w:val="single" w:sz="8" w:space="0" w:color="FFFFFF"/>
            </w:tcBorders>
            <w:shd w:val="clear" w:color="000000" w:fill="0077BD"/>
            <w:vAlign w:val="center"/>
            <w:hideMark/>
          </w:tcPr>
          <w:p w14:paraId="4F57662B" w14:textId="77777777" w:rsidR="00756763" w:rsidRPr="00674837" w:rsidRDefault="00756763" w:rsidP="00823E6B">
            <w:pPr>
              <w:jc w:val="center"/>
              <w:rPr>
                <w:rFonts w:cs="Calibri"/>
                <w:b/>
                <w:bCs/>
                <w:color w:val="FFFFFF"/>
                <w:sz w:val="12"/>
                <w:szCs w:val="12"/>
              </w:rPr>
            </w:pPr>
            <w:r w:rsidRPr="00674837">
              <w:rPr>
                <w:rFonts w:cs="Calibri"/>
                <w:b/>
                <w:bCs/>
                <w:color w:val="FFFFFF"/>
                <w:sz w:val="12"/>
                <w:szCs w:val="12"/>
              </w:rPr>
              <w:t>Rynki Finansowe</w:t>
            </w:r>
          </w:p>
        </w:tc>
        <w:tc>
          <w:tcPr>
            <w:tcW w:w="1004" w:type="dxa"/>
            <w:vMerge/>
            <w:tcBorders>
              <w:top w:val="nil"/>
              <w:left w:val="single" w:sz="8" w:space="0" w:color="FFFFFF"/>
              <w:bottom w:val="single" w:sz="8" w:space="0" w:color="FFFFFF"/>
              <w:right w:val="single" w:sz="8" w:space="0" w:color="FFFFFF"/>
            </w:tcBorders>
            <w:vAlign w:val="center"/>
            <w:hideMark/>
          </w:tcPr>
          <w:p w14:paraId="66F753D7" w14:textId="77777777" w:rsidR="00756763" w:rsidRPr="00674837" w:rsidRDefault="00756763" w:rsidP="00823E6B">
            <w:pPr>
              <w:rPr>
                <w:rFonts w:cs="Calibri"/>
                <w:b/>
                <w:bCs/>
                <w:color w:val="FFFFFF"/>
                <w:sz w:val="12"/>
                <w:szCs w:val="12"/>
              </w:rPr>
            </w:pPr>
          </w:p>
        </w:tc>
        <w:tc>
          <w:tcPr>
            <w:tcW w:w="1004" w:type="dxa"/>
            <w:vMerge/>
            <w:tcBorders>
              <w:top w:val="nil"/>
              <w:left w:val="single" w:sz="8" w:space="0" w:color="FFFFFF"/>
              <w:bottom w:val="single" w:sz="8" w:space="0" w:color="FFFFFF"/>
              <w:right w:val="single" w:sz="8" w:space="0" w:color="FFFFFF"/>
            </w:tcBorders>
            <w:vAlign w:val="center"/>
            <w:hideMark/>
          </w:tcPr>
          <w:p w14:paraId="39583F3D" w14:textId="77777777" w:rsidR="00756763" w:rsidRPr="00674837" w:rsidRDefault="00756763" w:rsidP="00823E6B">
            <w:pPr>
              <w:rPr>
                <w:rFonts w:cs="Calibri"/>
                <w:b/>
                <w:bCs/>
                <w:color w:val="FFFFFF"/>
                <w:sz w:val="12"/>
                <w:szCs w:val="12"/>
              </w:rPr>
            </w:pPr>
          </w:p>
        </w:tc>
        <w:tc>
          <w:tcPr>
            <w:tcW w:w="1004" w:type="dxa"/>
            <w:vMerge/>
            <w:tcBorders>
              <w:top w:val="nil"/>
              <w:left w:val="single" w:sz="8" w:space="0" w:color="FFFFFF"/>
              <w:bottom w:val="single" w:sz="8" w:space="0" w:color="FFFFFF"/>
              <w:right w:val="nil"/>
            </w:tcBorders>
            <w:vAlign w:val="center"/>
            <w:hideMark/>
          </w:tcPr>
          <w:p w14:paraId="097EE2BA" w14:textId="77777777" w:rsidR="00756763" w:rsidRPr="00674837" w:rsidRDefault="00756763" w:rsidP="00823E6B">
            <w:pPr>
              <w:rPr>
                <w:rFonts w:cs="Calibri"/>
                <w:b/>
                <w:bCs/>
                <w:color w:val="FFFFFF"/>
                <w:sz w:val="12"/>
                <w:szCs w:val="12"/>
              </w:rPr>
            </w:pPr>
          </w:p>
        </w:tc>
      </w:tr>
      <w:tr w:rsidR="00674837" w:rsidRPr="00674837" w14:paraId="5E06EAC6"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3DE3B95C"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Wynik z tytułu odsetek</w:t>
            </w:r>
          </w:p>
        </w:tc>
        <w:tc>
          <w:tcPr>
            <w:tcW w:w="1003" w:type="dxa"/>
            <w:tcBorders>
              <w:top w:val="single" w:sz="8" w:space="0" w:color="FFFFFF"/>
              <w:left w:val="single" w:sz="8" w:space="0" w:color="0070C0"/>
              <w:bottom w:val="single" w:sz="8" w:space="0" w:color="0070C0"/>
              <w:right w:val="single" w:sz="8" w:space="0" w:color="0070C0"/>
            </w:tcBorders>
            <w:shd w:val="clear" w:color="auto" w:fill="auto"/>
            <w:noWrap/>
            <w:vAlign w:val="center"/>
          </w:tcPr>
          <w:p w14:paraId="644AD543" w14:textId="08874D26"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922 829</w:t>
            </w:r>
          </w:p>
        </w:tc>
        <w:tc>
          <w:tcPr>
            <w:tcW w:w="1004" w:type="dxa"/>
            <w:tcBorders>
              <w:top w:val="single" w:sz="8" w:space="0" w:color="FFFFFF"/>
              <w:left w:val="nil"/>
              <w:bottom w:val="single" w:sz="8" w:space="0" w:color="0070C0"/>
              <w:right w:val="single" w:sz="8" w:space="0" w:color="0070C0"/>
            </w:tcBorders>
            <w:shd w:val="clear" w:color="auto" w:fill="auto"/>
            <w:noWrap/>
            <w:vAlign w:val="center"/>
          </w:tcPr>
          <w:p w14:paraId="25E45930" w14:textId="49A767CC"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253 535</w:t>
            </w:r>
          </w:p>
        </w:tc>
        <w:tc>
          <w:tcPr>
            <w:tcW w:w="1004" w:type="dxa"/>
            <w:tcBorders>
              <w:top w:val="single" w:sz="8" w:space="0" w:color="FFFFFF"/>
              <w:left w:val="nil"/>
              <w:bottom w:val="single" w:sz="8" w:space="0" w:color="0070C0"/>
              <w:right w:val="single" w:sz="8" w:space="0" w:color="0070C0"/>
            </w:tcBorders>
            <w:shd w:val="clear" w:color="auto" w:fill="auto"/>
            <w:noWrap/>
            <w:vAlign w:val="center"/>
          </w:tcPr>
          <w:p w14:paraId="443E44DA" w14:textId="3645D168"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2 310 513</w:t>
            </w:r>
          </w:p>
        </w:tc>
        <w:tc>
          <w:tcPr>
            <w:tcW w:w="1004" w:type="dxa"/>
            <w:tcBorders>
              <w:top w:val="single" w:sz="8" w:space="0" w:color="FFFFFF"/>
              <w:left w:val="nil"/>
              <w:bottom w:val="single" w:sz="8" w:space="0" w:color="0070C0"/>
              <w:right w:val="single" w:sz="8" w:space="0" w:color="0070C0"/>
            </w:tcBorders>
            <w:shd w:val="clear" w:color="auto" w:fill="auto"/>
            <w:noWrap/>
            <w:vAlign w:val="center"/>
          </w:tcPr>
          <w:p w14:paraId="23E444CD" w14:textId="2F7F4385"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9 597</w:t>
            </w:r>
          </w:p>
        </w:tc>
        <w:tc>
          <w:tcPr>
            <w:tcW w:w="1004" w:type="dxa"/>
            <w:tcBorders>
              <w:top w:val="single" w:sz="8" w:space="0" w:color="FFFFFF"/>
              <w:left w:val="nil"/>
              <w:bottom w:val="single" w:sz="8" w:space="0" w:color="0070C0"/>
              <w:right w:val="nil"/>
            </w:tcBorders>
            <w:shd w:val="clear" w:color="auto" w:fill="auto"/>
            <w:noWrap/>
            <w:vAlign w:val="center"/>
          </w:tcPr>
          <w:p w14:paraId="07302BA4" w14:textId="404E1CC2"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3 496 474</w:t>
            </w:r>
          </w:p>
        </w:tc>
      </w:tr>
      <w:tr w:rsidR="00674837" w:rsidRPr="00674837" w14:paraId="6F5AECB5" w14:textId="77777777" w:rsidTr="00072821">
        <w:trPr>
          <w:trHeight w:val="227"/>
        </w:trPr>
        <w:tc>
          <w:tcPr>
            <w:tcW w:w="0" w:type="auto"/>
            <w:tcBorders>
              <w:top w:val="nil"/>
              <w:left w:val="nil"/>
              <w:bottom w:val="single" w:sz="4" w:space="0" w:color="0070C0"/>
              <w:right w:val="single" w:sz="8" w:space="0" w:color="0070C0"/>
            </w:tcBorders>
            <w:shd w:val="clear" w:color="auto" w:fill="auto"/>
            <w:noWrap/>
            <w:vAlign w:val="center"/>
            <w:hideMark/>
          </w:tcPr>
          <w:p w14:paraId="4A69909C"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 sprzedaż klientom zewnętrznym</w:t>
            </w:r>
          </w:p>
        </w:tc>
        <w:tc>
          <w:tcPr>
            <w:tcW w:w="1003" w:type="dxa"/>
            <w:tcBorders>
              <w:top w:val="nil"/>
              <w:left w:val="single" w:sz="8" w:space="0" w:color="0070C0"/>
              <w:bottom w:val="single" w:sz="4" w:space="0" w:color="0070C0"/>
              <w:right w:val="single" w:sz="8" w:space="0" w:color="0070C0"/>
            </w:tcBorders>
            <w:shd w:val="clear" w:color="auto" w:fill="auto"/>
            <w:noWrap/>
            <w:vAlign w:val="center"/>
          </w:tcPr>
          <w:p w14:paraId="4EDD92FA" w14:textId="0FB21758"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931 528</w:t>
            </w:r>
          </w:p>
        </w:tc>
        <w:tc>
          <w:tcPr>
            <w:tcW w:w="1004" w:type="dxa"/>
            <w:tcBorders>
              <w:top w:val="nil"/>
              <w:left w:val="nil"/>
              <w:bottom w:val="single" w:sz="4" w:space="0" w:color="0070C0"/>
              <w:right w:val="single" w:sz="8" w:space="0" w:color="0070C0"/>
            </w:tcBorders>
            <w:shd w:val="clear" w:color="auto" w:fill="auto"/>
            <w:noWrap/>
            <w:vAlign w:val="center"/>
          </w:tcPr>
          <w:p w14:paraId="255C66A6" w14:textId="3E364EC7"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671 346</w:t>
            </w:r>
          </w:p>
        </w:tc>
        <w:tc>
          <w:tcPr>
            <w:tcW w:w="1004" w:type="dxa"/>
            <w:tcBorders>
              <w:top w:val="nil"/>
              <w:left w:val="nil"/>
              <w:bottom w:val="single" w:sz="4" w:space="0" w:color="0070C0"/>
              <w:right w:val="single" w:sz="8" w:space="0" w:color="0070C0"/>
            </w:tcBorders>
            <w:shd w:val="clear" w:color="auto" w:fill="auto"/>
            <w:noWrap/>
            <w:vAlign w:val="center"/>
          </w:tcPr>
          <w:p w14:paraId="64DAC25F" w14:textId="447910E5"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1 886 643</w:t>
            </w:r>
          </w:p>
        </w:tc>
        <w:tc>
          <w:tcPr>
            <w:tcW w:w="1004" w:type="dxa"/>
            <w:tcBorders>
              <w:top w:val="nil"/>
              <w:left w:val="nil"/>
              <w:bottom w:val="single" w:sz="4" w:space="0" w:color="0070C0"/>
              <w:right w:val="single" w:sz="8" w:space="0" w:color="0070C0"/>
            </w:tcBorders>
            <w:shd w:val="clear" w:color="auto" w:fill="auto"/>
            <w:noWrap/>
            <w:vAlign w:val="center"/>
          </w:tcPr>
          <w:p w14:paraId="375FAF12" w14:textId="7389EA8B"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6 957</w:t>
            </w:r>
          </w:p>
        </w:tc>
        <w:tc>
          <w:tcPr>
            <w:tcW w:w="1004" w:type="dxa"/>
            <w:tcBorders>
              <w:top w:val="nil"/>
              <w:left w:val="nil"/>
              <w:bottom w:val="single" w:sz="4" w:space="0" w:color="0070C0"/>
              <w:right w:val="nil"/>
            </w:tcBorders>
            <w:shd w:val="clear" w:color="auto" w:fill="auto"/>
            <w:noWrap/>
            <w:vAlign w:val="center"/>
          </w:tcPr>
          <w:p w14:paraId="6CCC2957" w14:textId="0CF7D009"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3 496 474</w:t>
            </w:r>
          </w:p>
        </w:tc>
      </w:tr>
      <w:tr w:rsidR="00674837" w:rsidRPr="00674837" w14:paraId="285BCA11"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0E37D092"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 sprzedaż innym segmentom</w:t>
            </w:r>
          </w:p>
        </w:tc>
        <w:tc>
          <w:tcPr>
            <w:tcW w:w="1003" w:type="dxa"/>
            <w:tcBorders>
              <w:top w:val="nil"/>
              <w:left w:val="single" w:sz="8" w:space="0" w:color="0070C0"/>
              <w:bottom w:val="single" w:sz="8" w:space="0" w:color="0070C0"/>
              <w:right w:val="single" w:sz="8" w:space="0" w:color="0070C0"/>
            </w:tcBorders>
            <w:shd w:val="clear" w:color="auto" w:fill="auto"/>
            <w:noWrap/>
            <w:vAlign w:val="center"/>
          </w:tcPr>
          <w:p w14:paraId="0E492B69" w14:textId="19F48E5D"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(8 699)</w:t>
            </w:r>
          </w:p>
        </w:tc>
        <w:tc>
          <w:tcPr>
            <w:tcW w:w="1004" w:type="dxa"/>
            <w:tcBorders>
              <w:top w:val="nil"/>
              <w:left w:val="nil"/>
              <w:bottom w:val="single" w:sz="8" w:space="0" w:color="0070C0"/>
              <w:right w:val="single" w:sz="8" w:space="0" w:color="0070C0"/>
            </w:tcBorders>
            <w:shd w:val="clear" w:color="auto" w:fill="auto"/>
            <w:noWrap/>
            <w:vAlign w:val="center"/>
          </w:tcPr>
          <w:p w14:paraId="281321BB" w14:textId="560635E3"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(417 811)</w:t>
            </w:r>
          </w:p>
        </w:tc>
        <w:tc>
          <w:tcPr>
            <w:tcW w:w="1004" w:type="dxa"/>
            <w:tcBorders>
              <w:top w:val="nil"/>
              <w:left w:val="nil"/>
              <w:bottom w:val="single" w:sz="8" w:space="0" w:color="0070C0"/>
              <w:right w:val="single" w:sz="8" w:space="0" w:color="0070C0"/>
            </w:tcBorders>
            <w:shd w:val="clear" w:color="auto" w:fill="auto"/>
            <w:noWrap/>
            <w:vAlign w:val="center"/>
          </w:tcPr>
          <w:p w14:paraId="0101BA76" w14:textId="474E36D5"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423 870</w:t>
            </w:r>
          </w:p>
        </w:tc>
        <w:tc>
          <w:tcPr>
            <w:tcW w:w="1004" w:type="dxa"/>
            <w:tcBorders>
              <w:top w:val="nil"/>
              <w:left w:val="nil"/>
              <w:bottom w:val="single" w:sz="8" w:space="0" w:color="0070C0"/>
              <w:right w:val="single" w:sz="8" w:space="0" w:color="0070C0"/>
            </w:tcBorders>
            <w:shd w:val="clear" w:color="auto" w:fill="auto"/>
            <w:noWrap/>
            <w:vAlign w:val="center"/>
          </w:tcPr>
          <w:p w14:paraId="3A5AE4D5" w14:textId="1E9A5C67"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2 640</w:t>
            </w:r>
          </w:p>
        </w:tc>
        <w:tc>
          <w:tcPr>
            <w:tcW w:w="1004" w:type="dxa"/>
            <w:tcBorders>
              <w:top w:val="nil"/>
              <w:left w:val="nil"/>
              <w:bottom w:val="single" w:sz="8" w:space="0" w:color="0070C0"/>
              <w:right w:val="nil"/>
            </w:tcBorders>
            <w:shd w:val="clear" w:color="auto" w:fill="auto"/>
            <w:noWrap/>
            <w:vAlign w:val="center"/>
          </w:tcPr>
          <w:p w14:paraId="4C09A069" w14:textId="22D798C9"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w:t>
            </w:r>
          </w:p>
        </w:tc>
      </w:tr>
      <w:tr w:rsidR="00674837" w:rsidRPr="00674837" w14:paraId="6507E678"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6463B38F"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Wynik z tytułu opłat i prowizji</w:t>
            </w:r>
          </w:p>
        </w:tc>
        <w:tc>
          <w:tcPr>
            <w:tcW w:w="1003" w:type="dxa"/>
            <w:tcBorders>
              <w:top w:val="nil"/>
              <w:left w:val="single" w:sz="8" w:space="0" w:color="0070C0"/>
              <w:bottom w:val="single" w:sz="8" w:space="0" w:color="0070C0"/>
              <w:right w:val="single" w:sz="8" w:space="0" w:color="0070C0"/>
            </w:tcBorders>
            <w:shd w:val="clear" w:color="auto" w:fill="auto"/>
            <w:noWrap/>
            <w:vAlign w:val="center"/>
          </w:tcPr>
          <w:p w14:paraId="5FEC566E" w14:textId="440D27CB"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456 746</w:t>
            </w:r>
          </w:p>
        </w:tc>
        <w:tc>
          <w:tcPr>
            <w:tcW w:w="1004" w:type="dxa"/>
            <w:tcBorders>
              <w:top w:val="nil"/>
              <w:left w:val="nil"/>
              <w:bottom w:val="single" w:sz="8" w:space="0" w:color="0070C0"/>
              <w:right w:val="single" w:sz="8" w:space="0" w:color="0070C0"/>
            </w:tcBorders>
            <w:shd w:val="clear" w:color="auto" w:fill="auto"/>
            <w:noWrap/>
            <w:vAlign w:val="center"/>
          </w:tcPr>
          <w:p w14:paraId="08BC9FDE" w14:textId="47BC693E"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(10 050)</w:t>
            </w:r>
          </w:p>
        </w:tc>
        <w:tc>
          <w:tcPr>
            <w:tcW w:w="1004" w:type="dxa"/>
            <w:tcBorders>
              <w:top w:val="nil"/>
              <w:left w:val="nil"/>
              <w:bottom w:val="single" w:sz="8" w:space="0" w:color="0070C0"/>
              <w:right w:val="single" w:sz="8" w:space="0" w:color="0070C0"/>
            </w:tcBorders>
            <w:shd w:val="clear" w:color="auto" w:fill="auto"/>
            <w:noWrap/>
            <w:vAlign w:val="center"/>
          </w:tcPr>
          <w:p w14:paraId="474DBC53" w14:textId="221E48D7"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538 818</w:t>
            </w:r>
          </w:p>
        </w:tc>
        <w:tc>
          <w:tcPr>
            <w:tcW w:w="1004" w:type="dxa"/>
            <w:tcBorders>
              <w:top w:val="nil"/>
              <w:left w:val="nil"/>
              <w:bottom w:val="single" w:sz="8" w:space="0" w:color="0070C0"/>
              <w:right w:val="single" w:sz="8" w:space="0" w:color="0070C0"/>
            </w:tcBorders>
            <w:shd w:val="clear" w:color="auto" w:fill="auto"/>
            <w:noWrap/>
            <w:vAlign w:val="center"/>
          </w:tcPr>
          <w:p w14:paraId="0C3E8A3B" w14:textId="7EDD275C"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(9 664)</w:t>
            </w:r>
          </w:p>
        </w:tc>
        <w:tc>
          <w:tcPr>
            <w:tcW w:w="1004" w:type="dxa"/>
            <w:tcBorders>
              <w:top w:val="nil"/>
              <w:left w:val="nil"/>
              <w:bottom w:val="single" w:sz="8" w:space="0" w:color="0070C0"/>
              <w:right w:val="nil"/>
            </w:tcBorders>
            <w:shd w:val="clear" w:color="auto" w:fill="auto"/>
            <w:noWrap/>
            <w:vAlign w:val="center"/>
          </w:tcPr>
          <w:p w14:paraId="5649B740" w14:textId="053BEAAA"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975 850</w:t>
            </w:r>
          </w:p>
        </w:tc>
      </w:tr>
      <w:tr w:rsidR="00674837" w:rsidRPr="00674837" w14:paraId="5F9BA9CC" w14:textId="77777777" w:rsidTr="00975C64">
        <w:trPr>
          <w:trHeight w:val="227"/>
        </w:trPr>
        <w:tc>
          <w:tcPr>
            <w:tcW w:w="0" w:type="auto"/>
            <w:tcBorders>
              <w:top w:val="nil"/>
              <w:left w:val="nil"/>
              <w:bottom w:val="single" w:sz="4" w:space="0" w:color="0070C0"/>
              <w:right w:val="single" w:sz="8" w:space="0" w:color="0070C0"/>
            </w:tcBorders>
            <w:shd w:val="clear" w:color="auto" w:fill="auto"/>
            <w:noWrap/>
            <w:vAlign w:val="center"/>
            <w:hideMark/>
          </w:tcPr>
          <w:p w14:paraId="7B2169B9"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Przychody z tytułu dywidend</w:t>
            </w:r>
          </w:p>
        </w:tc>
        <w:tc>
          <w:tcPr>
            <w:tcW w:w="1003" w:type="dxa"/>
            <w:tcBorders>
              <w:top w:val="nil"/>
              <w:left w:val="single" w:sz="8" w:space="0" w:color="0070C0"/>
              <w:bottom w:val="single" w:sz="4" w:space="0" w:color="0070C0"/>
              <w:right w:val="single" w:sz="8" w:space="0" w:color="0070C0"/>
            </w:tcBorders>
            <w:shd w:val="clear" w:color="auto" w:fill="auto"/>
            <w:noWrap/>
            <w:vAlign w:val="center"/>
          </w:tcPr>
          <w:p w14:paraId="4BE1E022" w14:textId="66A62125"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nil"/>
              <w:left w:val="nil"/>
              <w:bottom w:val="single" w:sz="4" w:space="0" w:color="0070C0"/>
              <w:right w:val="single" w:sz="8" w:space="0" w:color="0070C0"/>
            </w:tcBorders>
            <w:shd w:val="clear" w:color="auto" w:fill="auto"/>
            <w:noWrap/>
            <w:vAlign w:val="center"/>
          </w:tcPr>
          <w:p w14:paraId="336050FE" w14:textId="0E527AC9"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4</w:t>
            </w:r>
          </w:p>
        </w:tc>
        <w:tc>
          <w:tcPr>
            <w:tcW w:w="1004" w:type="dxa"/>
            <w:tcBorders>
              <w:top w:val="nil"/>
              <w:left w:val="nil"/>
              <w:bottom w:val="single" w:sz="4" w:space="0" w:color="0070C0"/>
              <w:right w:val="single" w:sz="8" w:space="0" w:color="0070C0"/>
            </w:tcBorders>
            <w:shd w:val="clear" w:color="auto" w:fill="auto"/>
            <w:noWrap/>
            <w:vAlign w:val="center"/>
          </w:tcPr>
          <w:p w14:paraId="110FF58C" w14:textId="0D3D2B8B"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nil"/>
              <w:left w:val="nil"/>
              <w:bottom w:val="single" w:sz="4" w:space="0" w:color="0070C0"/>
              <w:right w:val="single" w:sz="8" w:space="0" w:color="0070C0"/>
            </w:tcBorders>
            <w:shd w:val="clear" w:color="auto" w:fill="auto"/>
            <w:noWrap/>
            <w:vAlign w:val="center"/>
          </w:tcPr>
          <w:p w14:paraId="2C4BA419" w14:textId="7EBC21A6"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3 554</w:t>
            </w:r>
          </w:p>
        </w:tc>
        <w:tc>
          <w:tcPr>
            <w:tcW w:w="1004" w:type="dxa"/>
            <w:tcBorders>
              <w:top w:val="nil"/>
              <w:left w:val="nil"/>
              <w:bottom w:val="single" w:sz="4" w:space="0" w:color="0070C0"/>
              <w:right w:val="nil"/>
            </w:tcBorders>
            <w:shd w:val="clear" w:color="auto" w:fill="auto"/>
            <w:noWrap/>
            <w:vAlign w:val="center"/>
          </w:tcPr>
          <w:p w14:paraId="6CE31B4F" w14:textId="1263D950"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3 558</w:t>
            </w:r>
          </w:p>
        </w:tc>
      </w:tr>
      <w:tr w:rsidR="00674837" w:rsidRPr="00674837" w14:paraId="4A486B6A" w14:textId="77777777" w:rsidTr="00975C64">
        <w:trPr>
          <w:trHeight w:val="227"/>
        </w:trPr>
        <w:tc>
          <w:tcPr>
            <w:tcW w:w="0" w:type="auto"/>
            <w:tcBorders>
              <w:top w:val="single" w:sz="4" w:space="0" w:color="0070C0"/>
              <w:left w:val="nil"/>
              <w:bottom w:val="single" w:sz="4" w:space="0" w:color="0070C0"/>
              <w:right w:val="single" w:sz="8" w:space="0" w:color="0070C0"/>
            </w:tcBorders>
            <w:shd w:val="clear" w:color="auto" w:fill="auto"/>
            <w:noWrap/>
            <w:vAlign w:val="center"/>
            <w:hideMark/>
          </w:tcPr>
          <w:p w14:paraId="71CDD9F0"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Wynik na działalności handlowej</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12EBC6F" w14:textId="1B949D38"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252 755</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78FFA5B1" w14:textId="2F6027F0"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(32 091)</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0284806D" w14:textId="16E8FDAE"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127 263</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03F7DB0" w14:textId="0358A760"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(591)</w:t>
            </w:r>
          </w:p>
        </w:tc>
        <w:tc>
          <w:tcPr>
            <w:tcW w:w="1004" w:type="dxa"/>
            <w:tcBorders>
              <w:top w:val="single" w:sz="4" w:space="0" w:color="0070C0"/>
              <w:left w:val="nil"/>
              <w:bottom w:val="single" w:sz="4" w:space="0" w:color="0070C0"/>
              <w:right w:val="nil"/>
            </w:tcBorders>
            <w:shd w:val="clear" w:color="auto" w:fill="auto"/>
            <w:noWrap/>
            <w:vAlign w:val="center"/>
          </w:tcPr>
          <w:p w14:paraId="0EC5833D" w14:textId="7B19B2F6"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347 336</w:t>
            </w:r>
          </w:p>
        </w:tc>
      </w:tr>
      <w:tr w:rsidR="00674837" w:rsidRPr="00674837" w14:paraId="1CE38216" w14:textId="77777777" w:rsidTr="00975C64">
        <w:trPr>
          <w:trHeight w:val="340"/>
        </w:trPr>
        <w:tc>
          <w:tcPr>
            <w:tcW w:w="0" w:type="auto"/>
            <w:tcBorders>
              <w:top w:val="single" w:sz="4" w:space="0" w:color="0070C0"/>
              <w:left w:val="nil"/>
              <w:bottom w:val="single" w:sz="4" w:space="0" w:color="0070C0"/>
              <w:right w:val="single" w:sz="8" w:space="0" w:color="0070C0"/>
            </w:tcBorders>
            <w:shd w:val="clear" w:color="auto" w:fill="auto"/>
            <w:vAlign w:val="center"/>
            <w:hideMark/>
          </w:tcPr>
          <w:p w14:paraId="574D9A72"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Wynik na aktywach finansowych nieprzeznaczonych do obrotu wycenianych obowiązkowo w wartości godziwej przez wyniki finansowy</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572AF88E" w14:textId="23F38433"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(54 142)</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268E4411" w14:textId="502363AE"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AD609E8" w14:textId="78B3EB2A"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(112 711)</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4046D8EE" w14:textId="2951AC1C"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6 812</w:t>
            </w:r>
          </w:p>
        </w:tc>
        <w:tc>
          <w:tcPr>
            <w:tcW w:w="1004" w:type="dxa"/>
            <w:tcBorders>
              <w:top w:val="single" w:sz="4" w:space="0" w:color="0070C0"/>
              <w:left w:val="nil"/>
              <w:bottom w:val="single" w:sz="4" w:space="0" w:color="0070C0"/>
              <w:right w:val="nil"/>
            </w:tcBorders>
            <w:shd w:val="clear" w:color="auto" w:fill="auto"/>
            <w:noWrap/>
            <w:vAlign w:val="center"/>
          </w:tcPr>
          <w:p w14:paraId="78FCFF85" w14:textId="3D447FC5"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(160 041)</w:t>
            </w:r>
          </w:p>
        </w:tc>
      </w:tr>
      <w:tr w:rsidR="00674837" w:rsidRPr="00674837" w14:paraId="19C71284" w14:textId="77777777" w:rsidTr="00975C64">
        <w:trPr>
          <w:trHeight w:val="510"/>
        </w:trPr>
        <w:tc>
          <w:tcPr>
            <w:tcW w:w="0" w:type="auto"/>
            <w:tcBorders>
              <w:top w:val="single" w:sz="4" w:space="0" w:color="0070C0"/>
              <w:left w:val="nil"/>
              <w:bottom w:val="single" w:sz="4" w:space="0" w:color="0070C0"/>
              <w:right w:val="single" w:sz="8" w:space="0" w:color="0070C0"/>
            </w:tcBorders>
            <w:shd w:val="clear" w:color="auto" w:fill="auto"/>
            <w:vAlign w:val="center"/>
            <w:hideMark/>
          </w:tcPr>
          <w:p w14:paraId="5F0247B4" w14:textId="77777777" w:rsidR="00674837" w:rsidRPr="003801D5" w:rsidRDefault="00674837" w:rsidP="00674837">
            <w:pPr>
              <w:rPr>
                <w:rFonts w:cs="Calibri"/>
                <w:color w:val="000000" w:themeColor="text1"/>
                <w:sz w:val="12"/>
                <w:szCs w:val="12"/>
              </w:rPr>
            </w:pPr>
            <w:r w:rsidRPr="003801D5">
              <w:rPr>
                <w:rFonts w:cs="Calibri"/>
                <w:color w:val="000000" w:themeColor="text1"/>
                <w:sz w:val="12"/>
                <w:szCs w:val="12"/>
              </w:rPr>
              <w:t>Wynik na aktywach i zobowiązaniach finansowych niewycenianych w wartości godziwej przez wynik finansowy oraz inwestycjach w jednostki zależne i stowarzyszone</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7585A9B1" w14:textId="07E67AFE"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181</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23CBDB52" w14:textId="30090E42"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18 181</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5EA9A18B" w14:textId="6674C55A"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2CA739A6" w14:textId="28C4038F"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(3 867)</w:t>
            </w:r>
          </w:p>
        </w:tc>
        <w:tc>
          <w:tcPr>
            <w:tcW w:w="1004" w:type="dxa"/>
            <w:tcBorders>
              <w:top w:val="single" w:sz="4" w:space="0" w:color="0070C0"/>
              <w:left w:val="nil"/>
              <w:bottom w:val="single" w:sz="4" w:space="0" w:color="0070C0"/>
              <w:right w:val="nil"/>
            </w:tcBorders>
            <w:shd w:val="clear" w:color="auto" w:fill="auto"/>
            <w:noWrap/>
            <w:vAlign w:val="center"/>
          </w:tcPr>
          <w:p w14:paraId="265B5B37" w14:textId="02C95414" w:rsidR="00674837" w:rsidRPr="003801D5" w:rsidRDefault="00674837" w:rsidP="00674837">
            <w:pPr>
              <w:jc w:val="right"/>
              <w:rPr>
                <w:rFonts w:cs="Calibri"/>
                <w:color w:val="000000" w:themeColor="text1"/>
                <w:sz w:val="12"/>
                <w:szCs w:val="12"/>
              </w:rPr>
            </w:pPr>
            <w:r w:rsidRPr="003801D5">
              <w:rPr>
                <w:rFonts w:cs="Calibri"/>
                <w:color w:val="000000" w:themeColor="text1"/>
                <w:sz w:val="12"/>
                <w:szCs w:val="12"/>
              </w:rPr>
              <w:t>14 495</w:t>
            </w:r>
          </w:p>
        </w:tc>
      </w:tr>
      <w:tr w:rsidR="00072821" w:rsidRPr="00674837" w14:paraId="0E98AA62" w14:textId="77777777" w:rsidTr="00975C64">
        <w:trPr>
          <w:trHeight w:val="227"/>
        </w:trPr>
        <w:tc>
          <w:tcPr>
            <w:tcW w:w="0" w:type="auto"/>
            <w:tcBorders>
              <w:top w:val="single" w:sz="4" w:space="0" w:color="0070C0"/>
              <w:left w:val="nil"/>
              <w:bottom w:val="single" w:sz="4" w:space="0" w:color="0070C0"/>
              <w:right w:val="single" w:sz="8" w:space="0" w:color="0070C0"/>
            </w:tcBorders>
            <w:shd w:val="clear" w:color="auto" w:fill="auto"/>
            <w:noWrap/>
            <w:vAlign w:val="center"/>
            <w:hideMark/>
          </w:tcPr>
          <w:p w14:paraId="5656F2A7"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Pozostałe przychody operacyjne</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60A7C749" w14:textId="149A9EC5"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83 025</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1F951476" w14:textId="0AC9B2A4"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1 613</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53EBDA6" w14:textId="76D6E8D9"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307 025</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42FE476C" w14:textId="2DAFB5EC"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13 331</w:t>
            </w:r>
          </w:p>
        </w:tc>
        <w:tc>
          <w:tcPr>
            <w:tcW w:w="1004" w:type="dxa"/>
            <w:tcBorders>
              <w:top w:val="single" w:sz="4" w:space="0" w:color="0070C0"/>
              <w:left w:val="nil"/>
              <w:bottom w:val="single" w:sz="4" w:space="0" w:color="0070C0"/>
              <w:right w:val="nil"/>
            </w:tcBorders>
            <w:shd w:val="clear" w:color="auto" w:fill="auto"/>
            <w:noWrap/>
            <w:vAlign w:val="center"/>
          </w:tcPr>
          <w:p w14:paraId="3006C3F7" w14:textId="48E2DBF3"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404 994</w:t>
            </w:r>
          </w:p>
        </w:tc>
      </w:tr>
      <w:tr w:rsidR="00072821" w:rsidRPr="00674837" w14:paraId="76DC394D" w14:textId="77777777" w:rsidTr="00975C64">
        <w:trPr>
          <w:trHeight w:val="340"/>
        </w:trPr>
        <w:tc>
          <w:tcPr>
            <w:tcW w:w="0" w:type="auto"/>
            <w:tcBorders>
              <w:top w:val="single" w:sz="4" w:space="0" w:color="0070C0"/>
              <w:left w:val="nil"/>
              <w:bottom w:val="single" w:sz="4" w:space="0" w:color="0070C0"/>
              <w:right w:val="single" w:sz="8" w:space="0" w:color="0070C0"/>
            </w:tcBorders>
            <w:shd w:val="clear" w:color="auto" w:fill="auto"/>
            <w:vAlign w:val="center"/>
            <w:hideMark/>
          </w:tcPr>
          <w:p w14:paraId="11CD284D"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Utrata wartości lub odwrócenie utraty wartości z tytułu aktywów finansowych niewycenianych w wartości godziwej przez wynik finansowy</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68FDC61" w14:textId="421CE27A"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(183 907)</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580636E0" w14:textId="69293D0E"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161</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01740DB7" w14:textId="6E184103"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(343 399)</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5C3ECCE4" w14:textId="338304C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(428)</w:t>
            </w:r>
          </w:p>
        </w:tc>
        <w:tc>
          <w:tcPr>
            <w:tcW w:w="1004" w:type="dxa"/>
            <w:tcBorders>
              <w:top w:val="single" w:sz="4" w:space="0" w:color="0070C0"/>
              <w:left w:val="nil"/>
              <w:bottom w:val="single" w:sz="4" w:space="0" w:color="0070C0"/>
              <w:right w:val="nil"/>
            </w:tcBorders>
            <w:shd w:val="clear" w:color="auto" w:fill="auto"/>
            <w:noWrap/>
            <w:vAlign w:val="center"/>
          </w:tcPr>
          <w:p w14:paraId="7047357F" w14:textId="445A32E9"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(527 573)</w:t>
            </w:r>
          </w:p>
        </w:tc>
      </w:tr>
      <w:tr w:rsidR="00072821" w:rsidRPr="00674837" w14:paraId="14C9AB4A" w14:textId="77777777" w:rsidTr="00975C64">
        <w:trPr>
          <w:trHeight w:val="340"/>
        </w:trPr>
        <w:tc>
          <w:tcPr>
            <w:tcW w:w="0" w:type="auto"/>
            <w:tcBorders>
              <w:top w:val="single" w:sz="4" w:space="0" w:color="0070C0"/>
              <w:left w:val="nil"/>
              <w:bottom w:val="single" w:sz="4" w:space="0" w:color="0070C0"/>
              <w:right w:val="single" w:sz="8" w:space="0" w:color="0070C0"/>
            </w:tcBorders>
            <w:shd w:val="clear" w:color="auto" w:fill="auto"/>
            <w:noWrap/>
            <w:vAlign w:val="center"/>
          </w:tcPr>
          <w:p w14:paraId="0C7B5400" w14:textId="46C0282E" w:rsidR="00072821" w:rsidRPr="003801D5" w:rsidRDefault="00072821" w:rsidP="00072821">
            <w:pPr>
              <w:rPr>
                <w:rFonts w:cs="Calibri"/>
                <w:color w:val="000000" w:themeColor="text1"/>
                <w:sz w:val="12"/>
                <w:szCs w:val="12"/>
              </w:rPr>
            </w:pPr>
            <w:r w:rsidRPr="003801D5">
              <w:rPr>
                <w:rFonts w:cs="Calibri"/>
                <w:color w:val="000000" w:themeColor="text1"/>
                <w:sz w:val="12"/>
                <w:szCs w:val="12"/>
              </w:rPr>
              <w:t>Wynik z tytułu rezerw na ryzyko prawne związane z kredytami walutowymi</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72524B8E" w14:textId="535FE378"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5A297255" w14:textId="20A64FBB"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03140884" w14:textId="274D8A4F"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(20 349)</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2975711" w14:textId="64BFB637"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w:t>
            </w:r>
          </w:p>
        </w:tc>
        <w:tc>
          <w:tcPr>
            <w:tcW w:w="1004" w:type="dxa"/>
            <w:tcBorders>
              <w:top w:val="single" w:sz="4" w:space="0" w:color="0070C0"/>
              <w:left w:val="nil"/>
              <w:bottom w:val="single" w:sz="4" w:space="0" w:color="0070C0"/>
              <w:right w:val="nil"/>
            </w:tcBorders>
            <w:shd w:val="clear" w:color="auto" w:fill="auto"/>
            <w:noWrap/>
            <w:vAlign w:val="center"/>
          </w:tcPr>
          <w:p w14:paraId="72F3F9F9" w14:textId="29BE3AB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(20 349)</w:t>
            </w:r>
          </w:p>
        </w:tc>
      </w:tr>
      <w:tr w:rsidR="00072821" w:rsidRPr="00674837" w14:paraId="3A25576E" w14:textId="77777777" w:rsidTr="00975C64">
        <w:trPr>
          <w:trHeight w:val="227"/>
        </w:trPr>
        <w:tc>
          <w:tcPr>
            <w:tcW w:w="0" w:type="auto"/>
            <w:tcBorders>
              <w:top w:val="single" w:sz="4" w:space="0" w:color="0070C0"/>
              <w:left w:val="nil"/>
              <w:bottom w:val="single" w:sz="4" w:space="0" w:color="0070C0"/>
              <w:right w:val="single" w:sz="8" w:space="0" w:color="0070C0"/>
            </w:tcBorders>
            <w:shd w:val="clear" w:color="auto" w:fill="auto"/>
            <w:noWrap/>
            <w:vAlign w:val="center"/>
            <w:hideMark/>
          </w:tcPr>
          <w:p w14:paraId="798F3C06"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Ogólne koszty administracyjne</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6FEB888" w14:textId="01DE628F"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(647 635)</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74F9E0BE" w14:textId="4B77BBA6"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(98 438)</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12FC0BA" w14:textId="4B66B5E2"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(1 159 946)</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10016209" w14:textId="3E5C8322"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(5 321)</w:t>
            </w:r>
          </w:p>
        </w:tc>
        <w:tc>
          <w:tcPr>
            <w:tcW w:w="1004" w:type="dxa"/>
            <w:tcBorders>
              <w:top w:val="single" w:sz="4" w:space="0" w:color="0070C0"/>
              <w:left w:val="nil"/>
              <w:bottom w:val="single" w:sz="4" w:space="0" w:color="0070C0"/>
              <w:right w:val="nil"/>
            </w:tcBorders>
            <w:shd w:val="clear" w:color="auto" w:fill="auto"/>
            <w:noWrap/>
            <w:vAlign w:val="center"/>
          </w:tcPr>
          <w:p w14:paraId="201AAB2B" w14:textId="7E1F75A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(1 911 340)</w:t>
            </w:r>
          </w:p>
        </w:tc>
      </w:tr>
      <w:tr w:rsidR="00072821" w:rsidRPr="00674837" w14:paraId="58E76106" w14:textId="77777777" w:rsidTr="00975C64">
        <w:trPr>
          <w:trHeight w:val="227"/>
        </w:trPr>
        <w:tc>
          <w:tcPr>
            <w:tcW w:w="0" w:type="auto"/>
            <w:tcBorders>
              <w:top w:val="single" w:sz="4" w:space="0" w:color="0070C0"/>
              <w:left w:val="nil"/>
              <w:bottom w:val="single" w:sz="4" w:space="0" w:color="0070C0"/>
              <w:right w:val="single" w:sz="8" w:space="0" w:color="0070C0"/>
            </w:tcBorders>
            <w:shd w:val="clear" w:color="auto" w:fill="auto"/>
            <w:noWrap/>
            <w:vAlign w:val="center"/>
            <w:hideMark/>
          </w:tcPr>
          <w:p w14:paraId="4597E363"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Amortyzacja</w:t>
            </w:r>
          </w:p>
        </w:tc>
        <w:tc>
          <w:tcPr>
            <w:tcW w:w="1003"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6EFB314B" w14:textId="17F0B03B"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(81 123)</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359EEC67" w14:textId="07A57BF6"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(10 818)</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2CE00376" w14:textId="72914C8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(159 726)</w:t>
            </w:r>
          </w:p>
        </w:tc>
        <w:tc>
          <w:tcPr>
            <w:tcW w:w="1004" w:type="dxa"/>
            <w:tcBorders>
              <w:top w:val="single" w:sz="4" w:space="0" w:color="0070C0"/>
              <w:left w:val="nil"/>
              <w:bottom w:val="single" w:sz="4" w:space="0" w:color="0070C0"/>
              <w:right w:val="single" w:sz="8" w:space="0" w:color="0070C0"/>
            </w:tcBorders>
            <w:shd w:val="clear" w:color="auto" w:fill="auto"/>
            <w:noWrap/>
            <w:vAlign w:val="center"/>
          </w:tcPr>
          <w:p w14:paraId="28F189C1" w14:textId="4B30DD49"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(925)</w:t>
            </w:r>
          </w:p>
        </w:tc>
        <w:tc>
          <w:tcPr>
            <w:tcW w:w="1004" w:type="dxa"/>
            <w:tcBorders>
              <w:top w:val="single" w:sz="4" w:space="0" w:color="0070C0"/>
              <w:left w:val="nil"/>
              <w:bottom w:val="single" w:sz="4" w:space="0" w:color="0070C0"/>
              <w:right w:val="nil"/>
            </w:tcBorders>
            <w:shd w:val="clear" w:color="auto" w:fill="auto"/>
            <w:noWrap/>
            <w:vAlign w:val="center"/>
          </w:tcPr>
          <w:p w14:paraId="553E7A51" w14:textId="2CA60D1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(252 592)</w:t>
            </w:r>
          </w:p>
        </w:tc>
      </w:tr>
      <w:tr w:rsidR="00072821" w:rsidRPr="00674837" w14:paraId="0D2F10F7" w14:textId="77777777" w:rsidTr="00975C64">
        <w:trPr>
          <w:trHeight w:val="227"/>
        </w:trPr>
        <w:tc>
          <w:tcPr>
            <w:tcW w:w="0" w:type="auto"/>
            <w:tcBorders>
              <w:top w:val="single" w:sz="4" w:space="0" w:color="0070C0"/>
              <w:left w:val="nil"/>
              <w:bottom w:val="single" w:sz="8" w:space="0" w:color="0070C0"/>
              <w:right w:val="single" w:sz="8" w:space="0" w:color="0070C0"/>
            </w:tcBorders>
            <w:shd w:val="clear" w:color="auto" w:fill="auto"/>
            <w:noWrap/>
            <w:vAlign w:val="center"/>
            <w:hideMark/>
          </w:tcPr>
          <w:p w14:paraId="3F81F6BA"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Pozostałe koszty operacyjne</w:t>
            </w:r>
          </w:p>
        </w:tc>
        <w:tc>
          <w:tcPr>
            <w:tcW w:w="1003" w:type="dxa"/>
            <w:tcBorders>
              <w:top w:val="single" w:sz="4" w:space="0" w:color="0070C0"/>
              <w:left w:val="single" w:sz="8" w:space="0" w:color="0070C0"/>
              <w:bottom w:val="single" w:sz="8" w:space="0" w:color="0070C0"/>
              <w:right w:val="single" w:sz="8" w:space="0" w:color="0070C0"/>
            </w:tcBorders>
            <w:shd w:val="clear" w:color="auto" w:fill="auto"/>
            <w:noWrap/>
            <w:vAlign w:val="center"/>
          </w:tcPr>
          <w:p w14:paraId="77E30559" w14:textId="79500CF4"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(49 070)</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5B5127FC" w14:textId="0F0DED4C"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(2 157)</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5377C3BD" w14:textId="24552B71"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(98 280)</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349D17A8" w14:textId="727055AE"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(20 471)</w:t>
            </w:r>
          </w:p>
        </w:tc>
        <w:tc>
          <w:tcPr>
            <w:tcW w:w="1004" w:type="dxa"/>
            <w:tcBorders>
              <w:top w:val="single" w:sz="4" w:space="0" w:color="0070C0"/>
              <w:left w:val="nil"/>
              <w:bottom w:val="single" w:sz="8" w:space="0" w:color="0070C0"/>
              <w:right w:val="nil"/>
            </w:tcBorders>
            <w:shd w:val="clear" w:color="auto" w:fill="auto"/>
            <w:noWrap/>
            <w:vAlign w:val="center"/>
          </w:tcPr>
          <w:p w14:paraId="09A15463" w14:textId="5A93E6ED"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(169 978)</w:t>
            </w:r>
          </w:p>
        </w:tc>
      </w:tr>
      <w:tr w:rsidR="00072821" w:rsidRPr="00674837" w14:paraId="0D52E611"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61AA93A4" w14:textId="77777777" w:rsidR="00072821" w:rsidRPr="003801D5" w:rsidRDefault="00072821" w:rsidP="00072821">
            <w:pPr>
              <w:rPr>
                <w:rFonts w:cs="Calibri"/>
                <w:b/>
                <w:bCs/>
                <w:color w:val="000000" w:themeColor="text1"/>
                <w:sz w:val="12"/>
                <w:szCs w:val="12"/>
              </w:rPr>
            </w:pPr>
            <w:r w:rsidRPr="003801D5">
              <w:rPr>
                <w:rFonts w:cs="Calibri"/>
                <w:b/>
                <w:bCs/>
                <w:color w:val="000000" w:themeColor="text1"/>
                <w:sz w:val="12"/>
                <w:szCs w:val="12"/>
              </w:rPr>
              <w:t>Wynik działalności operacyjnej</w:t>
            </w:r>
          </w:p>
        </w:tc>
        <w:tc>
          <w:tcPr>
            <w:tcW w:w="1003" w:type="dxa"/>
            <w:tcBorders>
              <w:top w:val="nil"/>
              <w:left w:val="single" w:sz="8" w:space="0" w:color="0070C0"/>
              <w:bottom w:val="single" w:sz="8" w:space="0" w:color="0070C0"/>
              <w:right w:val="single" w:sz="8" w:space="0" w:color="0070C0"/>
            </w:tcBorders>
            <w:shd w:val="clear" w:color="auto" w:fill="auto"/>
            <w:noWrap/>
            <w:vAlign w:val="center"/>
          </w:tcPr>
          <w:p w14:paraId="67EEF875" w14:textId="770EEF88"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699 659</w:t>
            </w:r>
          </w:p>
        </w:tc>
        <w:tc>
          <w:tcPr>
            <w:tcW w:w="1004" w:type="dxa"/>
            <w:tcBorders>
              <w:top w:val="nil"/>
              <w:left w:val="nil"/>
              <w:bottom w:val="single" w:sz="8" w:space="0" w:color="0070C0"/>
              <w:right w:val="single" w:sz="8" w:space="0" w:color="0070C0"/>
            </w:tcBorders>
            <w:shd w:val="clear" w:color="auto" w:fill="auto"/>
            <w:noWrap/>
            <w:vAlign w:val="center"/>
          </w:tcPr>
          <w:p w14:paraId="55BE8056" w14:textId="130821A8"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119 940</w:t>
            </w:r>
          </w:p>
        </w:tc>
        <w:tc>
          <w:tcPr>
            <w:tcW w:w="1004" w:type="dxa"/>
            <w:tcBorders>
              <w:top w:val="nil"/>
              <w:left w:val="nil"/>
              <w:bottom w:val="single" w:sz="8" w:space="0" w:color="0070C0"/>
              <w:right w:val="single" w:sz="8" w:space="0" w:color="0070C0"/>
            </w:tcBorders>
            <w:shd w:val="clear" w:color="auto" w:fill="auto"/>
            <w:noWrap/>
            <w:vAlign w:val="center"/>
          </w:tcPr>
          <w:p w14:paraId="084E494C" w14:textId="39FFD737"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1 389 208</w:t>
            </w:r>
          </w:p>
        </w:tc>
        <w:tc>
          <w:tcPr>
            <w:tcW w:w="1004" w:type="dxa"/>
            <w:tcBorders>
              <w:top w:val="nil"/>
              <w:left w:val="nil"/>
              <w:bottom w:val="single" w:sz="8" w:space="0" w:color="0070C0"/>
              <w:right w:val="single" w:sz="8" w:space="0" w:color="0070C0"/>
            </w:tcBorders>
            <w:shd w:val="clear" w:color="auto" w:fill="auto"/>
            <w:noWrap/>
            <w:vAlign w:val="center"/>
          </w:tcPr>
          <w:p w14:paraId="3E5EAB39" w14:textId="26F020C3"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(7 973)</w:t>
            </w:r>
          </w:p>
        </w:tc>
        <w:tc>
          <w:tcPr>
            <w:tcW w:w="1004" w:type="dxa"/>
            <w:tcBorders>
              <w:top w:val="nil"/>
              <w:left w:val="nil"/>
              <w:bottom w:val="single" w:sz="8" w:space="0" w:color="0070C0"/>
              <w:right w:val="nil"/>
            </w:tcBorders>
            <w:shd w:val="clear" w:color="auto" w:fill="auto"/>
            <w:noWrap/>
            <w:vAlign w:val="center"/>
          </w:tcPr>
          <w:p w14:paraId="50DB6F8A" w14:textId="6525B320"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2 200 834</w:t>
            </w:r>
          </w:p>
        </w:tc>
      </w:tr>
      <w:tr w:rsidR="00072821" w:rsidRPr="00674837" w14:paraId="45DEF387" w14:textId="77777777" w:rsidTr="00377B85">
        <w:trPr>
          <w:trHeight w:val="227"/>
        </w:trPr>
        <w:tc>
          <w:tcPr>
            <w:tcW w:w="0" w:type="auto"/>
            <w:tcBorders>
              <w:top w:val="single" w:sz="8" w:space="0" w:color="0077BD"/>
              <w:left w:val="nil"/>
              <w:bottom w:val="single" w:sz="4" w:space="0" w:color="0070C0"/>
              <w:right w:val="single" w:sz="8" w:space="0" w:color="0077BD"/>
            </w:tcBorders>
            <w:shd w:val="clear" w:color="auto" w:fill="auto"/>
            <w:noWrap/>
            <w:vAlign w:val="center"/>
            <w:hideMark/>
          </w:tcPr>
          <w:p w14:paraId="4050C0FD"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Podatki od pozycji bilansowych Grupy</w:t>
            </w:r>
          </w:p>
        </w:tc>
        <w:tc>
          <w:tcPr>
            <w:tcW w:w="1003" w:type="dxa"/>
            <w:tcBorders>
              <w:top w:val="nil"/>
              <w:left w:val="single" w:sz="8" w:space="0" w:color="0070C0"/>
              <w:bottom w:val="single" w:sz="4" w:space="0" w:color="0070C0"/>
              <w:right w:val="single" w:sz="8" w:space="0" w:color="0070C0"/>
            </w:tcBorders>
            <w:shd w:val="clear" w:color="auto" w:fill="auto"/>
            <w:noWrap/>
            <w:vAlign w:val="center"/>
          </w:tcPr>
          <w:p w14:paraId="75088731" w14:textId="7255CE1B"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(153 919)</w:t>
            </w:r>
          </w:p>
        </w:tc>
        <w:tc>
          <w:tcPr>
            <w:tcW w:w="1004" w:type="dxa"/>
            <w:tcBorders>
              <w:top w:val="nil"/>
              <w:left w:val="nil"/>
              <w:bottom w:val="single" w:sz="4" w:space="0" w:color="0070C0"/>
              <w:right w:val="single" w:sz="8" w:space="0" w:color="0070C0"/>
            </w:tcBorders>
            <w:shd w:val="clear" w:color="auto" w:fill="auto"/>
            <w:noWrap/>
            <w:vAlign w:val="center"/>
          </w:tcPr>
          <w:p w14:paraId="63376879" w14:textId="60D0C8D5"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(36 533)</w:t>
            </w:r>
          </w:p>
        </w:tc>
        <w:tc>
          <w:tcPr>
            <w:tcW w:w="1004" w:type="dxa"/>
            <w:tcBorders>
              <w:top w:val="nil"/>
              <w:left w:val="nil"/>
              <w:bottom w:val="single" w:sz="4" w:space="0" w:color="0070C0"/>
              <w:right w:val="single" w:sz="8" w:space="0" w:color="0070C0"/>
            </w:tcBorders>
            <w:shd w:val="clear" w:color="auto" w:fill="auto"/>
            <w:noWrap/>
            <w:vAlign w:val="center"/>
          </w:tcPr>
          <w:p w14:paraId="5FAFC598" w14:textId="44B58A4A"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(205 899)</w:t>
            </w:r>
          </w:p>
        </w:tc>
        <w:tc>
          <w:tcPr>
            <w:tcW w:w="1004" w:type="dxa"/>
            <w:tcBorders>
              <w:top w:val="nil"/>
              <w:left w:val="nil"/>
              <w:bottom w:val="single" w:sz="4" w:space="0" w:color="0070C0"/>
              <w:right w:val="single" w:sz="8" w:space="0" w:color="0070C0"/>
            </w:tcBorders>
            <w:shd w:val="clear" w:color="auto" w:fill="auto"/>
            <w:noWrap/>
            <w:vAlign w:val="center"/>
          </w:tcPr>
          <w:p w14:paraId="753C37AD" w14:textId="03871CD7"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(19 074)</w:t>
            </w:r>
          </w:p>
        </w:tc>
        <w:tc>
          <w:tcPr>
            <w:tcW w:w="1004" w:type="dxa"/>
            <w:tcBorders>
              <w:top w:val="nil"/>
              <w:left w:val="nil"/>
              <w:bottom w:val="single" w:sz="4" w:space="0" w:color="0070C0"/>
              <w:right w:val="nil"/>
            </w:tcBorders>
            <w:shd w:val="clear" w:color="auto" w:fill="auto"/>
            <w:noWrap/>
            <w:vAlign w:val="center"/>
          </w:tcPr>
          <w:p w14:paraId="2230D16C" w14:textId="716A236B"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(415 425)</w:t>
            </w:r>
          </w:p>
        </w:tc>
      </w:tr>
      <w:tr w:rsidR="00072821" w:rsidRPr="003640BE" w14:paraId="7F954293" w14:textId="77777777" w:rsidTr="00377B85">
        <w:trPr>
          <w:trHeight w:val="340"/>
        </w:trPr>
        <w:tc>
          <w:tcPr>
            <w:tcW w:w="0" w:type="auto"/>
            <w:tcBorders>
              <w:top w:val="single" w:sz="4" w:space="0" w:color="0070C0"/>
              <w:left w:val="nil"/>
              <w:bottom w:val="single" w:sz="8" w:space="0" w:color="0070C0"/>
              <w:right w:val="single" w:sz="8" w:space="0" w:color="0070C0"/>
            </w:tcBorders>
            <w:shd w:val="clear" w:color="auto" w:fill="auto"/>
            <w:vAlign w:val="center"/>
            <w:hideMark/>
          </w:tcPr>
          <w:p w14:paraId="15314CF9" w14:textId="77777777" w:rsidR="00072821" w:rsidRPr="003640BE" w:rsidRDefault="00072821" w:rsidP="00072821">
            <w:pPr>
              <w:rPr>
                <w:rFonts w:cs="Calibri"/>
                <w:bCs/>
                <w:color w:val="000000" w:themeColor="text1"/>
                <w:sz w:val="12"/>
                <w:szCs w:val="12"/>
              </w:rPr>
            </w:pPr>
            <w:r w:rsidRPr="003640BE">
              <w:rPr>
                <w:rFonts w:cs="Calibri"/>
                <w:bCs/>
                <w:color w:val="000000" w:themeColor="text1"/>
                <w:sz w:val="12"/>
                <w:szCs w:val="12"/>
              </w:rPr>
              <w:t>Udział w zyskach (stratach) inwestycji wycenianych metodą praw własności</w:t>
            </w:r>
          </w:p>
        </w:tc>
        <w:tc>
          <w:tcPr>
            <w:tcW w:w="1003" w:type="dxa"/>
            <w:tcBorders>
              <w:top w:val="single" w:sz="4" w:space="0" w:color="0070C0"/>
              <w:left w:val="single" w:sz="8" w:space="0" w:color="0070C0"/>
              <w:bottom w:val="single" w:sz="8" w:space="0" w:color="0070C0"/>
              <w:right w:val="single" w:sz="8" w:space="0" w:color="0070C0"/>
            </w:tcBorders>
            <w:shd w:val="clear" w:color="auto" w:fill="auto"/>
            <w:noWrap/>
            <w:vAlign w:val="center"/>
          </w:tcPr>
          <w:p w14:paraId="1F62B883" w14:textId="0FDDAC5F" w:rsidR="00072821" w:rsidRPr="003640BE" w:rsidRDefault="00072821" w:rsidP="00072821">
            <w:pPr>
              <w:jc w:val="right"/>
              <w:rPr>
                <w:rFonts w:cs="Calibri"/>
                <w:bCs/>
                <w:color w:val="000000" w:themeColor="text1"/>
                <w:sz w:val="12"/>
                <w:szCs w:val="12"/>
              </w:rPr>
            </w:pPr>
            <w:r w:rsidRPr="003640BE">
              <w:rPr>
                <w:rFonts w:cs="Calibri"/>
                <w:color w:val="000000" w:themeColor="text1"/>
                <w:sz w:val="12"/>
                <w:szCs w:val="12"/>
              </w:rPr>
              <w:t>-</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294D3B14" w14:textId="462A6C96" w:rsidR="00072821" w:rsidRPr="003640BE" w:rsidRDefault="00072821" w:rsidP="00072821">
            <w:pPr>
              <w:jc w:val="right"/>
              <w:rPr>
                <w:rFonts w:cs="Calibri"/>
                <w:bCs/>
                <w:color w:val="000000" w:themeColor="text1"/>
                <w:sz w:val="12"/>
                <w:szCs w:val="12"/>
              </w:rPr>
            </w:pPr>
            <w:r w:rsidRPr="003640BE">
              <w:rPr>
                <w:rFonts w:cs="Calibri"/>
                <w:color w:val="000000" w:themeColor="text1"/>
                <w:sz w:val="12"/>
                <w:szCs w:val="12"/>
              </w:rPr>
              <w:t>-</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12E03EAB" w14:textId="6494998C" w:rsidR="00072821" w:rsidRPr="003640BE" w:rsidRDefault="00072821" w:rsidP="00072821">
            <w:pPr>
              <w:jc w:val="right"/>
              <w:rPr>
                <w:rFonts w:cs="Calibri"/>
                <w:bCs/>
                <w:color w:val="000000" w:themeColor="text1"/>
                <w:sz w:val="12"/>
                <w:szCs w:val="12"/>
              </w:rPr>
            </w:pPr>
            <w:r w:rsidRPr="003640BE">
              <w:rPr>
                <w:rFonts w:cs="Calibri"/>
                <w:color w:val="000000" w:themeColor="text1"/>
                <w:sz w:val="12"/>
                <w:szCs w:val="12"/>
              </w:rPr>
              <w:t>-</w:t>
            </w:r>
          </w:p>
        </w:tc>
        <w:tc>
          <w:tcPr>
            <w:tcW w:w="1004" w:type="dxa"/>
            <w:tcBorders>
              <w:top w:val="single" w:sz="4" w:space="0" w:color="0070C0"/>
              <w:left w:val="nil"/>
              <w:bottom w:val="single" w:sz="8" w:space="0" w:color="0070C0"/>
              <w:right w:val="single" w:sz="8" w:space="0" w:color="0070C0"/>
            </w:tcBorders>
            <w:shd w:val="clear" w:color="auto" w:fill="auto"/>
            <w:noWrap/>
            <w:vAlign w:val="center"/>
          </w:tcPr>
          <w:p w14:paraId="3FD0D5C7" w14:textId="33D36EA5" w:rsidR="00072821" w:rsidRPr="003640BE" w:rsidRDefault="00072821" w:rsidP="00072821">
            <w:pPr>
              <w:jc w:val="right"/>
              <w:rPr>
                <w:rFonts w:cs="Calibri"/>
                <w:bCs/>
                <w:color w:val="000000" w:themeColor="text1"/>
                <w:sz w:val="12"/>
                <w:szCs w:val="12"/>
              </w:rPr>
            </w:pPr>
            <w:r w:rsidRPr="003640BE">
              <w:rPr>
                <w:rFonts w:cs="Calibri"/>
                <w:color w:val="000000" w:themeColor="text1"/>
                <w:sz w:val="12"/>
                <w:szCs w:val="12"/>
              </w:rPr>
              <w:t>1 240</w:t>
            </w:r>
          </w:p>
        </w:tc>
        <w:tc>
          <w:tcPr>
            <w:tcW w:w="1004" w:type="dxa"/>
            <w:tcBorders>
              <w:top w:val="single" w:sz="4" w:space="0" w:color="0070C0"/>
              <w:left w:val="nil"/>
              <w:bottom w:val="single" w:sz="8" w:space="0" w:color="0070C0"/>
              <w:right w:val="nil"/>
            </w:tcBorders>
            <w:shd w:val="clear" w:color="auto" w:fill="auto"/>
            <w:noWrap/>
            <w:vAlign w:val="center"/>
          </w:tcPr>
          <w:p w14:paraId="49A5FAD9" w14:textId="5148812A" w:rsidR="00072821" w:rsidRPr="003640BE" w:rsidRDefault="00072821" w:rsidP="00072821">
            <w:pPr>
              <w:jc w:val="right"/>
              <w:rPr>
                <w:rFonts w:cs="Calibri"/>
                <w:bCs/>
                <w:color w:val="000000" w:themeColor="text1"/>
                <w:sz w:val="12"/>
                <w:szCs w:val="12"/>
              </w:rPr>
            </w:pPr>
            <w:r w:rsidRPr="003640BE">
              <w:rPr>
                <w:rFonts w:cs="Calibri"/>
                <w:color w:val="000000" w:themeColor="text1"/>
                <w:sz w:val="12"/>
                <w:szCs w:val="12"/>
              </w:rPr>
              <w:t>1 240</w:t>
            </w:r>
          </w:p>
        </w:tc>
      </w:tr>
      <w:tr w:rsidR="00072821" w:rsidRPr="00674837" w14:paraId="1940B2CA"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1C280940" w14:textId="77777777" w:rsidR="00072821" w:rsidRPr="003801D5" w:rsidRDefault="00072821" w:rsidP="00072821">
            <w:pPr>
              <w:rPr>
                <w:rFonts w:cs="Calibri"/>
                <w:b/>
                <w:bCs/>
                <w:color w:val="000000" w:themeColor="text1"/>
                <w:sz w:val="12"/>
                <w:szCs w:val="12"/>
              </w:rPr>
            </w:pPr>
            <w:r w:rsidRPr="003801D5">
              <w:rPr>
                <w:rFonts w:cs="Calibri"/>
                <w:b/>
                <w:bCs/>
                <w:color w:val="000000" w:themeColor="text1"/>
                <w:sz w:val="12"/>
                <w:szCs w:val="12"/>
              </w:rPr>
              <w:t>Wynik segmentu (brutto)</w:t>
            </w:r>
          </w:p>
        </w:tc>
        <w:tc>
          <w:tcPr>
            <w:tcW w:w="1003" w:type="dxa"/>
            <w:tcBorders>
              <w:top w:val="nil"/>
              <w:left w:val="single" w:sz="8" w:space="0" w:color="0070C0"/>
              <w:bottom w:val="single" w:sz="8" w:space="0" w:color="0070C0"/>
              <w:right w:val="single" w:sz="8" w:space="0" w:color="0070C0"/>
            </w:tcBorders>
            <w:shd w:val="clear" w:color="auto" w:fill="auto"/>
            <w:noWrap/>
            <w:vAlign w:val="center"/>
          </w:tcPr>
          <w:p w14:paraId="46F79BDD" w14:textId="658FFE33"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545 740</w:t>
            </w:r>
          </w:p>
        </w:tc>
        <w:tc>
          <w:tcPr>
            <w:tcW w:w="1004" w:type="dxa"/>
            <w:tcBorders>
              <w:top w:val="nil"/>
              <w:left w:val="nil"/>
              <w:bottom w:val="single" w:sz="8" w:space="0" w:color="0070C0"/>
              <w:right w:val="single" w:sz="8" w:space="0" w:color="0070C0"/>
            </w:tcBorders>
            <w:shd w:val="clear" w:color="auto" w:fill="auto"/>
            <w:noWrap/>
            <w:vAlign w:val="center"/>
          </w:tcPr>
          <w:p w14:paraId="24234F4B" w14:textId="6017D17A"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83 407</w:t>
            </w:r>
          </w:p>
        </w:tc>
        <w:tc>
          <w:tcPr>
            <w:tcW w:w="1004" w:type="dxa"/>
            <w:tcBorders>
              <w:top w:val="nil"/>
              <w:left w:val="nil"/>
              <w:bottom w:val="single" w:sz="8" w:space="0" w:color="0070C0"/>
              <w:right w:val="single" w:sz="8" w:space="0" w:color="0070C0"/>
            </w:tcBorders>
            <w:shd w:val="clear" w:color="auto" w:fill="auto"/>
            <w:noWrap/>
            <w:vAlign w:val="center"/>
          </w:tcPr>
          <w:p w14:paraId="79A5BA32" w14:textId="0CCC2531"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1 183 309</w:t>
            </w:r>
          </w:p>
        </w:tc>
        <w:tc>
          <w:tcPr>
            <w:tcW w:w="1004" w:type="dxa"/>
            <w:tcBorders>
              <w:top w:val="nil"/>
              <w:left w:val="nil"/>
              <w:bottom w:val="single" w:sz="8" w:space="0" w:color="0070C0"/>
              <w:right w:val="single" w:sz="8" w:space="0" w:color="0070C0"/>
            </w:tcBorders>
            <w:shd w:val="clear" w:color="auto" w:fill="auto"/>
            <w:noWrap/>
            <w:vAlign w:val="center"/>
          </w:tcPr>
          <w:p w14:paraId="65E51B14" w14:textId="0EBB838C"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(25 807)</w:t>
            </w:r>
          </w:p>
        </w:tc>
        <w:tc>
          <w:tcPr>
            <w:tcW w:w="1004" w:type="dxa"/>
            <w:tcBorders>
              <w:top w:val="nil"/>
              <w:left w:val="nil"/>
              <w:bottom w:val="single" w:sz="8" w:space="0" w:color="0070C0"/>
              <w:right w:val="nil"/>
            </w:tcBorders>
            <w:shd w:val="clear" w:color="auto" w:fill="auto"/>
            <w:noWrap/>
            <w:vAlign w:val="center"/>
          </w:tcPr>
          <w:p w14:paraId="214CC57B" w14:textId="4AB254EB" w:rsidR="00072821" w:rsidRPr="003801D5" w:rsidRDefault="00072821" w:rsidP="00072821">
            <w:pPr>
              <w:jc w:val="right"/>
              <w:rPr>
                <w:rFonts w:cs="Calibri"/>
                <w:b/>
                <w:bCs/>
                <w:color w:val="000000" w:themeColor="text1"/>
                <w:sz w:val="12"/>
                <w:szCs w:val="12"/>
              </w:rPr>
            </w:pPr>
            <w:r w:rsidRPr="003801D5">
              <w:rPr>
                <w:rFonts w:cs="Calibri"/>
                <w:b/>
                <w:bCs/>
                <w:color w:val="000000" w:themeColor="text1"/>
                <w:sz w:val="12"/>
                <w:szCs w:val="12"/>
              </w:rPr>
              <w:t>1 786 649</w:t>
            </w:r>
          </w:p>
        </w:tc>
      </w:tr>
      <w:tr w:rsidR="00072821" w:rsidRPr="00674837" w14:paraId="11BD0607" w14:textId="77777777" w:rsidTr="00072821">
        <w:trPr>
          <w:trHeight w:val="227"/>
        </w:trPr>
        <w:tc>
          <w:tcPr>
            <w:tcW w:w="0" w:type="auto"/>
            <w:tcBorders>
              <w:top w:val="nil"/>
              <w:left w:val="nil"/>
              <w:bottom w:val="single" w:sz="4" w:space="0" w:color="0070C0"/>
              <w:right w:val="single" w:sz="8" w:space="0" w:color="0070C0"/>
            </w:tcBorders>
            <w:shd w:val="clear" w:color="auto" w:fill="auto"/>
            <w:noWrap/>
            <w:vAlign w:val="center"/>
            <w:hideMark/>
          </w:tcPr>
          <w:p w14:paraId="62179E36"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Podatek dochodowy</w:t>
            </w:r>
          </w:p>
        </w:tc>
        <w:tc>
          <w:tcPr>
            <w:tcW w:w="1003" w:type="dxa"/>
            <w:tcBorders>
              <w:top w:val="single" w:sz="8" w:space="0" w:color="0070C0"/>
              <w:left w:val="nil"/>
              <w:bottom w:val="single" w:sz="4" w:space="0" w:color="0070C0"/>
              <w:right w:val="single" w:sz="8" w:space="0" w:color="0070C0"/>
            </w:tcBorders>
            <w:shd w:val="thinDiagStripe" w:color="A4A5A5" w:fill="auto"/>
            <w:noWrap/>
            <w:vAlign w:val="center"/>
          </w:tcPr>
          <w:p w14:paraId="3F1D6B9D" w14:textId="77777777" w:rsidR="00072821" w:rsidRPr="003801D5" w:rsidRDefault="00072821" w:rsidP="00072821">
            <w:pPr>
              <w:jc w:val="right"/>
              <w:rPr>
                <w:rFonts w:cs="Calibri"/>
                <w:color w:val="000000" w:themeColor="text1"/>
                <w:sz w:val="12"/>
                <w:szCs w:val="12"/>
              </w:rPr>
            </w:pPr>
          </w:p>
        </w:tc>
        <w:tc>
          <w:tcPr>
            <w:tcW w:w="1004" w:type="dxa"/>
            <w:tcBorders>
              <w:top w:val="single" w:sz="8" w:space="0" w:color="0070C0"/>
              <w:left w:val="nil"/>
              <w:bottom w:val="single" w:sz="4" w:space="0" w:color="0070C0"/>
              <w:right w:val="single" w:sz="8" w:space="0" w:color="0070C0"/>
            </w:tcBorders>
            <w:shd w:val="thinDiagStripe" w:color="A4A5A5" w:fill="auto"/>
            <w:noWrap/>
            <w:vAlign w:val="center"/>
          </w:tcPr>
          <w:p w14:paraId="66B63263" w14:textId="77777777" w:rsidR="00072821" w:rsidRPr="003801D5" w:rsidRDefault="00072821" w:rsidP="00072821">
            <w:pPr>
              <w:jc w:val="right"/>
              <w:rPr>
                <w:rFonts w:cs="Calibri"/>
                <w:color w:val="000000" w:themeColor="text1"/>
                <w:sz w:val="12"/>
                <w:szCs w:val="12"/>
              </w:rPr>
            </w:pPr>
          </w:p>
        </w:tc>
        <w:tc>
          <w:tcPr>
            <w:tcW w:w="1004" w:type="dxa"/>
            <w:tcBorders>
              <w:top w:val="single" w:sz="8" w:space="0" w:color="0070C0"/>
              <w:left w:val="nil"/>
              <w:bottom w:val="single" w:sz="4" w:space="0" w:color="0070C0"/>
              <w:right w:val="single" w:sz="8" w:space="0" w:color="0070C0"/>
            </w:tcBorders>
            <w:shd w:val="thinDiagStripe" w:color="A4A5A5" w:fill="auto"/>
            <w:noWrap/>
            <w:vAlign w:val="center"/>
          </w:tcPr>
          <w:p w14:paraId="76B7DD53" w14:textId="77777777" w:rsidR="00072821" w:rsidRPr="003801D5" w:rsidRDefault="00072821" w:rsidP="00072821">
            <w:pPr>
              <w:jc w:val="right"/>
              <w:rPr>
                <w:rFonts w:cs="Calibri"/>
                <w:color w:val="000000" w:themeColor="text1"/>
                <w:sz w:val="12"/>
                <w:szCs w:val="12"/>
              </w:rPr>
            </w:pPr>
          </w:p>
        </w:tc>
        <w:tc>
          <w:tcPr>
            <w:tcW w:w="1004" w:type="dxa"/>
            <w:tcBorders>
              <w:top w:val="single" w:sz="8" w:space="0" w:color="0070C0"/>
              <w:left w:val="nil"/>
              <w:bottom w:val="single" w:sz="4" w:space="0" w:color="0070C0"/>
              <w:right w:val="single" w:sz="8" w:space="0" w:color="0070C0"/>
            </w:tcBorders>
            <w:shd w:val="thinDiagStripe" w:color="A4A5A5" w:fill="auto"/>
            <w:noWrap/>
            <w:vAlign w:val="center"/>
          </w:tcPr>
          <w:p w14:paraId="06B29F6F" w14:textId="77777777" w:rsidR="00072821" w:rsidRPr="003801D5" w:rsidRDefault="00072821" w:rsidP="00072821">
            <w:pPr>
              <w:jc w:val="right"/>
              <w:rPr>
                <w:rFonts w:cs="Calibri"/>
                <w:color w:val="000000" w:themeColor="text1"/>
                <w:sz w:val="12"/>
                <w:szCs w:val="12"/>
              </w:rPr>
            </w:pPr>
          </w:p>
        </w:tc>
        <w:tc>
          <w:tcPr>
            <w:tcW w:w="1004" w:type="dxa"/>
            <w:tcBorders>
              <w:top w:val="single" w:sz="8" w:space="0" w:color="0070C0"/>
              <w:left w:val="single" w:sz="8" w:space="0" w:color="0070C0"/>
              <w:bottom w:val="single" w:sz="4" w:space="0" w:color="0070C0"/>
              <w:right w:val="nil"/>
            </w:tcBorders>
            <w:shd w:val="clear" w:color="auto" w:fill="auto"/>
            <w:noWrap/>
            <w:vAlign w:val="center"/>
          </w:tcPr>
          <w:p w14:paraId="0D9B168E" w14:textId="48E14F63"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(483 945)</w:t>
            </w:r>
          </w:p>
        </w:tc>
      </w:tr>
      <w:tr w:rsidR="00072821" w:rsidRPr="00674837" w14:paraId="7430B79D" w14:textId="77777777" w:rsidTr="00072821">
        <w:trPr>
          <w:trHeight w:val="227"/>
        </w:trPr>
        <w:tc>
          <w:tcPr>
            <w:tcW w:w="0" w:type="auto"/>
            <w:tcBorders>
              <w:top w:val="nil"/>
              <w:left w:val="nil"/>
              <w:bottom w:val="single" w:sz="4" w:space="0" w:color="0070C0"/>
              <w:right w:val="single" w:sz="8" w:space="0" w:color="0070C0"/>
            </w:tcBorders>
            <w:shd w:val="clear" w:color="auto" w:fill="auto"/>
            <w:noWrap/>
            <w:vAlign w:val="center"/>
            <w:hideMark/>
          </w:tcPr>
          <w:p w14:paraId="1B9CF61D"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Zysk netto przypadający na akcjonariuszy mBanku S.A.</w:t>
            </w:r>
          </w:p>
        </w:tc>
        <w:tc>
          <w:tcPr>
            <w:tcW w:w="1003" w:type="dxa"/>
            <w:tcBorders>
              <w:top w:val="single" w:sz="4" w:space="0" w:color="0070C0"/>
              <w:left w:val="nil"/>
              <w:bottom w:val="single" w:sz="4" w:space="0" w:color="0070C0"/>
              <w:right w:val="single" w:sz="8" w:space="0" w:color="0070C0"/>
            </w:tcBorders>
            <w:shd w:val="thinDiagStripe" w:color="A4A5A5" w:fill="auto"/>
            <w:noWrap/>
            <w:vAlign w:val="center"/>
          </w:tcPr>
          <w:p w14:paraId="6F9A7985" w14:textId="77777777" w:rsidR="00072821" w:rsidRPr="003801D5" w:rsidRDefault="00072821" w:rsidP="00072821">
            <w:pPr>
              <w:jc w:val="right"/>
              <w:rPr>
                <w:rFonts w:cs="Calibri"/>
                <w:color w:val="000000" w:themeColor="text1"/>
                <w:sz w:val="12"/>
                <w:szCs w:val="12"/>
              </w:rPr>
            </w:pPr>
          </w:p>
        </w:tc>
        <w:tc>
          <w:tcPr>
            <w:tcW w:w="1004" w:type="dxa"/>
            <w:tcBorders>
              <w:top w:val="single" w:sz="4" w:space="0" w:color="0070C0"/>
              <w:left w:val="nil"/>
              <w:bottom w:val="single" w:sz="4" w:space="0" w:color="0070C0"/>
              <w:right w:val="single" w:sz="8" w:space="0" w:color="0070C0"/>
            </w:tcBorders>
            <w:shd w:val="thinDiagStripe" w:color="A4A5A5" w:fill="auto"/>
            <w:noWrap/>
            <w:vAlign w:val="center"/>
          </w:tcPr>
          <w:p w14:paraId="1434CBFF" w14:textId="77777777" w:rsidR="00072821" w:rsidRPr="003801D5" w:rsidRDefault="00072821" w:rsidP="00072821">
            <w:pPr>
              <w:jc w:val="right"/>
              <w:rPr>
                <w:rFonts w:cs="Calibri"/>
                <w:color w:val="000000" w:themeColor="text1"/>
                <w:sz w:val="12"/>
                <w:szCs w:val="12"/>
              </w:rPr>
            </w:pPr>
          </w:p>
        </w:tc>
        <w:tc>
          <w:tcPr>
            <w:tcW w:w="1004" w:type="dxa"/>
            <w:tcBorders>
              <w:top w:val="single" w:sz="4" w:space="0" w:color="0070C0"/>
              <w:left w:val="nil"/>
              <w:bottom w:val="single" w:sz="4" w:space="0" w:color="0070C0"/>
              <w:right w:val="single" w:sz="8" w:space="0" w:color="0070C0"/>
            </w:tcBorders>
            <w:shd w:val="thinDiagStripe" w:color="A4A5A5" w:fill="auto"/>
            <w:noWrap/>
            <w:vAlign w:val="center"/>
          </w:tcPr>
          <w:p w14:paraId="48829FAC" w14:textId="77777777" w:rsidR="00072821" w:rsidRPr="003801D5" w:rsidRDefault="00072821" w:rsidP="00072821">
            <w:pPr>
              <w:jc w:val="right"/>
              <w:rPr>
                <w:rFonts w:cs="Calibri"/>
                <w:color w:val="000000" w:themeColor="text1"/>
                <w:sz w:val="12"/>
                <w:szCs w:val="12"/>
              </w:rPr>
            </w:pPr>
          </w:p>
        </w:tc>
        <w:tc>
          <w:tcPr>
            <w:tcW w:w="1004" w:type="dxa"/>
            <w:tcBorders>
              <w:top w:val="single" w:sz="4" w:space="0" w:color="0070C0"/>
              <w:left w:val="nil"/>
              <w:bottom w:val="single" w:sz="4" w:space="0" w:color="0070C0"/>
              <w:right w:val="single" w:sz="8" w:space="0" w:color="0070C0"/>
            </w:tcBorders>
            <w:shd w:val="thinDiagStripe" w:color="A4A5A5" w:fill="auto"/>
            <w:noWrap/>
            <w:vAlign w:val="center"/>
          </w:tcPr>
          <w:p w14:paraId="56345F80" w14:textId="77777777" w:rsidR="00072821" w:rsidRPr="003801D5" w:rsidRDefault="00072821" w:rsidP="00072821">
            <w:pPr>
              <w:jc w:val="right"/>
              <w:rPr>
                <w:rFonts w:cs="Calibri"/>
                <w:color w:val="000000" w:themeColor="text1"/>
                <w:sz w:val="12"/>
                <w:szCs w:val="12"/>
              </w:rPr>
            </w:pPr>
          </w:p>
        </w:tc>
        <w:tc>
          <w:tcPr>
            <w:tcW w:w="1004" w:type="dxa"/>
            <w:tcBorders>
              <w:top w:val="nil"/>
              <w:left w:val="single" w:sz="8" w:space="0" w:color="0070C0"/>
              <w:bottom w:val="single" w:sz="4" w:space="0" w:color="0070C0"/>
              <w:right w:val="nil"/>
            </w:tcBorders>
            <w:shd w:val="clear" w:color="auto" w:fill="auto"/>
            <w:noWrap/>
            <w:vAlign w:val="center"/>
          </w:tcPr>
          <w:p w14:paraId="32409F6C" w14:textId="06AF51F3"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1 302 786</w:t>
            </w:r>
          </w:p>
        </w:tc>
      </w:tr>
      <w:tr w:rsidR="00072821" w:rsidRPr="00674837" w14:paraId="4219A2DD" w14:textId="77777777" w:rsidTr="00072821">
        <w:trPr>
          <w:trHeight w:val="227"/>
        </w:trPr>
        <w:tc>
          <w:tcPr>
            <w:tcW w:w="0" w:type="auto"/>
            <w:tcBorders>
              <w:top w:val="nil"/>
              <w:left w:val="nil"/>
              <w:bottom w:val="single" w:sz="8" w:space="0" w:color="0070C0"/>
              <w:right w:val="single" w:sz="8" w:space="0" w:color="0070C0"/>
            </w:tcBorders>
            <w:shd w:val="clear" w:color="auto" w:fill="auto"/>
            <w:noWrap/>
            <w:vAlign w:val="center"/>
            <w:hideMark/>
          </w:tcPr>
          <w:p w14:paraId="0C0109E2" w14:textId="77777777" w:rsidR="00072821" w:rsidRPr="003801D5" w:rsidRDefault="00072821" w:rsidP="00072821">
            <w:pPr>
              <w:rPr>
                <w:rFonts w:cs="Calibri"/>
                <w:color w:val="000000" w:themeColor="text1"/>
                <w:sz w:val="12"/>
                <w:szCs w:val="12"/>
              </w:rPr>
            </w:pPr>
            <w:r w:rsidRPr="003801D5">
              <w:rPr>
                <w:rFonts w:cs="Calibri"/>
                <w:color w:val="000000" w:themeColor="text1"/>
                <w:sz w:val="12"/>
                <w:szCs w:val="12"/>
              </w:rPr>
              <w:t>Zysk netto przypadający na udziały niekontrolujące</w:t>
            </w:r>
          </w:p>
        </w:tc>
        <w:tc>
          <w:tcPr>
            <w:tcW w:w="1003" w:type="dxa"/>
            <w:tcBorders>
              <w:top w:val="single" w:sz="4" w:space="0" w:color="0070C0"/>
              <w:left w:val="nil"/>
              <w:bottom w:val="single" w:sz="8" w:space="0" w:color="0070C0"/>
              <w:right w:val="single" w:sz="8" w:space="0" w:color="0070C0"/>
            </w:tcBorders>
            <w:shd w:val="thinDiagStripe" w:color="A4A5A5" w:fill="auto"/>
            <w:noWrap/>
            <w:vAlign w:val="center"/>
          </w:tcPr>
          <w:p w14:paraId="1EE4E2B8" w14:textId="77777777" w:rsidR="00072821" w:rsidRPr="003801D5" w:rsidRDefault="00072821" w:rsidP="00072821">
            <w:pPr>
              <w:jc w:val="right"/>
              <w:rPr>
                <w:rFonts w:cs="Calibri"/>
                <w:b/>
                <w:bCs/>
                <w:color w:val="000000" w:themeColor="text1"/>
                <w:sz w:val="12"/>
                <w:szCs w:val="12"/>
              </w:rPr>
            </w:pPr>
          </w:p>
        </w:tc>
        <w:tc>
          <w:tcPr>
            <w:tcW w:w="1004" w:type="dxa"/>
            <w:tcBorders>
              <w:top w:val="single" w:sz="4" w:space="0" w:color="0070C0"/>
              <w:left w:val="nil"/>
              <w:bottom w:val="single" w:sz="8" w:space="0" w:color="0070C0"/>
              <w:right w:val="single" w:sz="8" w:space="0" w:color="0070C0"/>
            </w:tcBorders>
            <w:shd w:val="thinDiagStripe" w:color="A4A5A5" w:fill="auto"/>
            <w:noWrap/>
            <w:vAlign w:val="center"/>
          </w:tcPr>
          <w:p w14:paraId="4DDA687C" w14:textId="77777777" w:rsidR="00072821" w:rsidRPr="003801D5" w:rsidRDefault="00072821" w:rsidP="00072821">
            <w:pPr>
              <w:jc w:val="right"/>
              <w:rPr>
                <w:rFonts w:cs="Calibri"/>
                <w:b/>
                <w:bCs/>
                <w:color w:val="000000" w:themeColor="text1"/>
                <w:sz w:val="12"/>
                <w:szCs w:val="12"/>
              </w:rPr>
            </w:pPr>
          </w:p>
        </w:tc>
        <w:tc>
          <w:tcPr>
            <w:tcW w:w="1004" w:type="dxa"/>
            <w:tcBorders>
              <w:top w:val="single" w:sz="4" w:space="0" w:color="0070C0"/>
              <w:left w:val="nil"/>
              <w:bottom w:val="single" w:sz="8" w:space="0" w:color="0070C0"/>
              <w:right w:val="single" w:sz="8" w:space="0" w:color="0070C0"/>
            </w:tcBorders>
            <w:shd w:val="thinDiagStripe" w:color="A4A5A5" w:fill="auto"/>
            <w:noWrap/>
            <w:vAlign w:val="center"/>
          </w:tcPr>
          <w:p w14:paraId="4EE74D5D" w14:textId="77777777" w:rsidR="00072821" w:rsidRPr="003801D5" w:rsidRDefault="00072821" w:rsidP="00072821">
            <w:pPr>
              <w:jc w:val="right"/>
              <w:rPr>
                <w:rFonts w:cs="Calibri"/>
                <w:b/>
                <w:bCs/>
                <w:color w:val="000000" w:themeColor="text1"/>
                <w:sz w:val="12"/>
                <w:szCs w:val="12"/>
              </w:rPr>
            </w:pPr>
          </w:p>
        </w:tc>
        <w:tc>
          <w:tcPr>
            <w:tcW w:w="1004" w:type="dxa"/>
            <w:tcBorders>
              <w:top w:val="single" w:sz="4" w:space="0" w:color="0070C0"/>
              <w:left w:val="nil"/>
              <w:bottom w:val="single" w:sz="8" w:space="0" w:color="0070C0"/>
              <w:right w:val="single" w:sz="8" w:space="0" w:color="0070C0"/>
            </w:tcBorders>
            <w:shd w:val="thinDiagStripe" w:color="A4A5A5" w:fill="auto"/>
            <w:noWrap/>
            <w:vAlign w:val="center"/>
          </w:tcPr>
          <w:p w14:paraId="1A8FCD57" w14:textId="77777777" w:rsidR="00072821" w:rsidRPr="003801D5" w:rsidRDefault="00072821" w:rsidP="00072821">
            <w:pPr>
              <w:jc w:val="right"/>
              <w:rPr>
                <w:rFonts w:cs="Calibri"/>
                <w:b/>
                <w:bCs/>
                <w:color w:val="000000" w:themeColor="text1"/>
                <w:sz w:val="12"/>
                <w:szCs w:val="12"/>
              </w:rPr>
            </w:pPr>
          </w:p>
        </w:tc>
        <w:tc>
          <w:tcPr>
            <w:tcW w:w="1004" w:type="dxa"/>
            <w:tcBorders>
              <w:top w:val="nil"/>
              <w:left w:val="single" w:sz="8" w:space="0" w:color="0070C0"/>
              <w:bottom w:val="single" w:sz="8" w:space="0" w:color="0070C0"/>
              <w:right w:val="nil"/>
            </w:tcBorders>
            <w:shd w:val="clear" w:color="auto" w:fill="auto"/>
            <w:noWrap/>
            <w:vAlign w:val="center"/>
          </w:tcPr>
          <w:p w14:paraId="19C5534E" w14:textId="0EE7879C" w:rsidR="00072821" w:rsidRPr="003801D5" w:rsidRDefault="00072821" w:rsidP="00072821">
            <w:pPr>
              <w:jc w:val="right"/>
              <w:rPr>
                <w:rFonts w:cs="Calibri"/>
                <w:color w:val="000000" w:themeColor="text1"/>
                <w:sz w:val="12"/>
                <w:szCs w:val="12"/>
              </w:rPr>
            </w:pPr>
            <w:r w:rsidRPr="003801D5">
              <w:rPr>
                <w:rFonts w:cs="Calibri"/>
                <w:color w:val="000000" w:themeColor="text1"/>
                <w:sz w:val="12"/>
                <w:szCs w:val="12"/>
              </w:rPr>
              <w:t>(82)</w:t>
            </w:r>
          </w:p>
        </w:tc>
      </w:tr>
    </w:tbl>
    <w:p w14:paraId="4E423471" w14:textId="77777777" w:rsidR="00756763" w:rsidRPr="0068723D" w:rsidRDefault="00756763" w:rsidP="00756763">
      <w:pPr>
        <w:suppressAutoHyphens/>
        <w:spacing w:before="120" w:after="120"/>
        <w:jc w:val="both"/>
        <w:rPr>
          <w:rFonts w:cs="Tahoma"/>
          <w:color w:val="000000" w:themeColor="text1"/>
          <w:sz w:val="18"/>
          <w:szCs w:val="18"/>
        </w:rPr>
      </w:pPr>
      <w:r w:rsidRPr="0068723D">
        <w:rPr>
          <w:rFonts w:cs="Tahoma"/>
          <w:color w:val="000000" w:themeColor="text1"/>
          <w:sz w:val="18"/>
          <w:szCs w:val="18"/>
        </w:rPr>
        <w:t>Sprawozdawczość według segmentów działalności Grupy mBanku S.A. – dane dotyczące skonsolidowanego sprawozdania z sytuacji finansowej</w:t>
      </w:r>
    </w:p>
    <w:tbl>
      <w:tblPr>
        <w:tblW w:w="9639" w:type="dxa"/>
        <w:tblLayout w:type="fixed"/>
        <w:tblCellMar>
          <w:left w:w="28" w:type="dxa"/>
          <w:right w:w="28" w:type="dxa"/>
        </w:tblCellMar>
        <w:tblLook w:val="04A0" w:firstRow="1" w:lastRow="0" w:firstColumn="1" w:lastColumn="0" w:noHBand="0" w:noVBand="1"/>
      </w:tblPr>
      <w:tblGrid>
        <w:gridCol w:w="4619"/>
        <w:gridCol w:w="1004"/>
        <w:gridCol w:w="1004"/>
        <w:gridCol w:w="1004"/>
        <w:gridCol w:w="1004"/>
        <w:gridCol w:w="1004"/>
      </w:tblGrid>
      <w:tr w:rsidR="00756763" w:rsidRPr="00756763" w14:paraId="7ED63E3F" w14:textId="77777777" w:rsidTr="00377B85">
        <w:trPr>
          <w:trHeight w:val="284"/>
        </w:trPr>
        <w:tc>
          <w:tcPr>
            <w:tcW w:w="4593" w:type="dxa"/>
            <w:vMerge w:val="restart"/>
            <w:tcBorders>
              <w:top w:val="nil"/>
              <w:left w:val="nil"/>
              <w:bottom w:val="single" w:sz="8" w:space="0" w:color="FFFFFF"/>
              <w:right w:val="single" w:sz="8" w:space="0" w:color="FFFFFF"/>
            </w:tcBorders>
            <w:shd w:val="clear" w:color="000000" w:fill="0077BD"/>
            <w:vAlign w:val="center"/>
            <w:hideMark/>
          </w:tcPr>
          <w:p w14:paraId="3B10753F" w14:textId="2280BF8E" w:rsidR="00756763" w:rsidRPr="00756763" w:rsidRDefault="00756763" w:rsidP="00823E6B">
            <w:pPr>
              <w:rPr>
                <w:rFonts w:cs="Calibri"/>
                <w:b/>
                <w:bCs/>
                <w:color w:val="FFFFFF"/>
                <w:sz w:val="12"/>
                <w:szCs w:val="12"/>
              </w:rPr>
            </w:pPr>
            <w:r>
              <w:rPr>
                <w:rFonts w:cs="Calibri"/>
                <w:b/>
                <w:bCs/>
                <w:color w:val="FFFFFF"/>
                <w:sz w:val="12"/>
                <w:szCs w:val="12"/>
              </w:rPr>
              <w:t>31.12.2018</w:t>
            </w:r>
          </w:p>
        </w:tc>
        <w:tc>
          <w:tcPr>
            <w:tcW w:w="998" w:type="dxa"/>
            <w:gridSpan w:val="2"/>
            <w:tcBorders>
              <w:top w:val="nil"/>
              <w:left w:val="nil"/>
              <w:bottom w:val="single" w:sz="4" w:space="0" w:color="FFFFFF"/>
              <w:right w:val="single" w:sz="8" w:space="0" w:color="FFFFFF"/>
            </w:tcBorders>
            <w:shd w:val="clear" w:color="000000" w:fill="0077BD"/>
            <w:vAlign w:val="center"/>
            <w:hideMark/>
          </w:tcPr>
          <w:p w14:paraId="016ED3F9"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Korporacje i Rynki Finansowe</w:t>
            </w:r>
          </w:p>
        </w:tc>
        <w:tc>
          <w:tcPr>
            <w:tcW w:w="998"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13C6A205"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 xml:space="preserve">Bankowość Detaliczna </w:t>
            </w:r>
          </w:p>
        </w:tc>
        <w:tc>
          <w:tcPr>
            <w:tcW w:w="998" w:type="dxa"/>
            <w:vMerge w:val="restart"/>
            <w:tcBorders>
              <w:top w:val="nil"/>
              <w:left w:val="single" w:sz="8" w:space="0" w:color="FFFFFF"/>
              <w:bottom w:val="single" w:sz="8" w:space="0" w:color="FFFFFF"/>
              <w:right w:val="single" w:sz="8" w:space="0" w:color="FFFFFF"/>
            </w:tcBorders>
            <w:shd w:val="clear" w:color="000000" w:fill="0077BD"/>
            <w:vAlign w:val="center"/>
            <w:hideMark/>
          </w:tcPr>
          <w:p w14:paraId="464253E3"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Pozostałe</w:t>
            </w:r>
          </w:p>
        </w:tc>
        <w:tc>
          <w:tcPr>
            <w:tcW w:w="998" w:type="dxa"/>
            <w:vMerge w:val="restart"/>
            <w:tcBorders>
              <w:top w:val="nil"/>
              <w:left w:val="single" w:sz="8" w:space="0" w:color="FFFFFF"/>
              <w:bottom w:val="single" w:sz="8" w:space="0" w:color="FFFFFF"/>
              <w:right w:val="nil"/>
            </w:tcBorders>
            <w:shd w:val="clear" w:color="000000" w:fill="0077BD"/>
            <w:vAlign w:val="center"/>
            <w:hideMark/>
          </w:tcPr>
          <w:p w14:paraId="79990809"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Razem Grupa</w:t>
            </w:r>
          </w:p>
        </w:tc>
      </w:tr>
      <w:tr w:rsidR="00756763" w:rsidRPr="00756763" w14:paraId="309FD1C9" w14:textId="77777777" w:rsidTr="00377B85">
        <w:trPr>
          <w:trHeight w:val="510"/>
        </w:trPr>
        <w:tc>
          <w:tcPr>
            <w:tcW w:w="4593" w:type="dxa"/>
            <w:vMerge/>
            <w:tcBorders>
              <w:top w:val="nil"/>
              <w:left w:val="nil"/>
              <w:right w:val="single" w:sz="8" w:space="0" w:color="FFFFFF"/>
            </w:tcBorders>
            <w:vAlign w:val="center"/>
            <w:hideMark/>
          </w:tcPr>
          <w:p w14:paraId="7C1EF630" w14:textId="77777777" w:rsidR="00756763" w:rsidRPr="00756763" w:rsidRDefault="00756763" w:rsidP="00823E6B">
            <w:pPr>
              <w:rPr>
                <w:rFonts w:cs="Calibri"/>
                <w:b/>
                <w:bCs/>
                <w:color w:val="FFFFFF"/>
                <w:sz w:val="12"/>
                <w:szCs w:val="12"/>
              </w:rPr>
            </w:pPr>
          </w:p>
        </w:tc>
        <w:tc>
          <w:tcPr>
            <w:tcW w:w="998" w:type="dxa"/>
            <w:tcBorders>
              <w:top w:val="single" w:sz="4" w:space="0" w:color="FFFFFF"/>
              <w:left w:val="nil"/>
              <w:right w:val="single" w:sz="8" w:space="0" w:color="FFFFFF"/>
            </w:tcBorders>
            <w:shd w:val="clear" w:color="000000" w:fill="0077BD"/>
            <w:vAlign w:val="center"/>
            <w:hideMark/>
          </w:tcPr>
          <w:p w14:paraId="4AD780A7"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Bankowość Korporacyjna i Inwestycyjna</w:t>
            </w:r>
          </w:p>
        </w:tc>
        <w:tc>
          <w:tcPr>
            <w:tcW w:w="998" w:type="dxa"/>
            <w:tcBorders>
              <w:top w:val="single" w:sz="4" w:space="0" w:color="FFFFFF"/>
              <w:left w:val="nil"/>
              <w:right w:val="single" w:sz="8" w:space="0" w:color="FFFFFF"/>
            </w:tcBorders>
            <w:shd w:val="clear" w:color="000000" w:fill="0077BD"/>
            <w:vAlign w:val="center"/>
            <w:hideMark/>
          </w:tcPr>
          <w:p w14:paraId="486F7231" w14:textId="77777777" w:rsidR="00756763" w:rsidRPr="00756763" w:rsidRDefault="00756763" w:rsidP="00823E6B">
            <w:pPr>
              <w:jc w:val="center"/>
              <w:rPr>
                <w:rFonts w:cs="Calibri"/>
                <w:b/>
                <w:bCs/>
                <w:color w:val="FFFFFF"/>
                <w:sz w:val="12"/>
                <w:szCs w:val="12"/>
              </w:rPr>
            </w:pPr>
            <w:r w:rsidRPr="00756763">
              <w:rPr>
                <w:rFonts w:cs="Calibri"/>
                <w:b/>
                <w:bCs/>
                <w:color w:val="FFFFFF"/>
                <w:sz w:val="12"/>
                <w:szCs w:val="12"/>
              </w:rPr>
              <w:t>Rynki Finansowe</w:t>
            </w:r>
          </w:p>
        </w:tc>
        <w:tc>
          <w:tcPr>
            <w:tcW w:w="998" w:type="dxa"/>
            <w:vMerge/>
            <w:tcBorders>
              <w:top w:val="nil"/>
              <w:left w:val="single" w:sz="8" w:space="0" w:color="FFFFFF"/>
              <w:right w:val="single" w:sz="8" w:space="0" w:color="FFFFFF"/>
            </w:tcBorders>
            <w:vAlign w:val="center"/>
            <w:hideMark/>
          </w:tcPr>
          <w:p w14:paraId="767C8E60" w14:textId="77777777" w:rsidR="00756763" w:rsidRPr="00756763" w:rsidRDefault="00756763" w:rsidP="00823E6B">
            <w:pPr>
              <w:rPr>
                <w:rFonts w:cs="Calibri"/>
                <w:b/>
                <w:bCs/>
                <w:color w:val="FFFFFF"/>
                <w:sz w:val="12"/>
                <w:szCs w:val="12"/>
              </w:rPr>
            </w:pPr>
          </w:p>
        </w:tc>
        <w:tc>
          <w:tcPr>
            <w:tcW w:w="998" w:type="dxa"/>
            <w:vMerge/>
            <w:tcBorders>
              <w:top w:val="nil"/>
              <w:left w:val="single" w:sz="8" w:space="0" w:color="FFFFFF"/>
              <w:right w:val="single" w:sz="8" w:space="0" w:color="FFFFFF"/>
            </w:tcBorders>
            <w:vAlign w:val="center"/>
            <w:hideMark/>
          </w:tcPr>
          <w:p w14:paraId="236EEB25" w14:textId="77777777" w:rsidR="00756763" w:rsidRPr="00756763" w:rsidRDefault="00756763" w:rsidP="00823E6B">
            <w:pPr>
              <w:rPr>
                <w:rFonts w:cs="Calibri"/>
                <w:b/>
                <w:bCs/>
                <w:color w:val="FFFFFF"/>
                <w:sz w:val="12"/>
                <w:szCs w:val="12"/>
              </w:rPr>
            </w:pPr>
          </w:p>
        </w:tc>
        <w:tc>
          <w:tcPr>
            <w:tcW w:w="998" w:type="dxa"/>
            <w:vMerge/>
            <w:tcBorders>
              <w:top w:val="nil"/>
              <w:left w:val="single" w:sz="8" w:space="0" w:color="FFFFFF"/>
              <w:right w:val="nil"/>
            </w:tcBorders>
            <w:vAlign w:val="center"/>
            <w:hideMark/>
          </w:tcPr>
          <w:p w14:paraId="713F9E10" w14:textId="77777777" w:rsidR="00756763" w:rsidRPr="00756763" w:rsidRDefault="00756763" w:rsidP="00823E6B">
            <w:pPr>
              <w:rPr>
                <w:rFonts w:cs="Calibri"/>
                <w:b/>
                <w:bCs/>
                <w:color w:val="FFFFFF"/>
                <w:sz w:val="12"/>
                <w:szCs w:val="12"/>
              </w:rPr>
            </w:pPr>
          </w:p>
        </w:tc>
      </w:tr>
      <w:tr w:rsidR="00B64ECB" w:rsidRPr="00975C64" w14:paraId="5F8F7183" w14:textId="77777777" w:rsidTr="00377B85">
        <w:trPr>
          <w:trHeight w:val="227"/>
        </w:trPr>
        <w:tc>
          <w:tcPr>
            <w:tcW w:w="4593" w:type="dxa"/>
            <w:tcBorders>
              <w:left w:val="nil"/>
              <w:bottom w:val="single" w:sz="8" w:space="0" w:color="0070C0"/>
              <w:right w:val="single" w:sz="8" w:space="0" w:color="0070C0"/>
            </w:tcBorders>
            <w:shd w:val="clear" w:color="auto" w:fill="auto"/>
            <w:noWrap/>
            <w:vAlign w:val="center"/>
            <w:hideMark/>
          </w:tcPr>
          <w:p w14:paraId="7E3FDD2A" w14:textId="77777777" w:rsidR="00B64ECB" w:rsidRPr="00975C64" w:rsidRDefault="00B64ECB" w:rsidP="00B64ECB">
            <w:pPr>
              <w:rPr>
                <w:rFonts w:cs="Calibri"/>
                <w:bCs/>
                <w:color w:val="000000" w:themeColor="text1"/>
                <w:sz w:val="12"/>
                <w:szCs w:val="12"/>
              </w:rPr>
            </w:pPr>
            <w:r w:rsidRPr="00975C64">
              <w:rPr>
                <w:rFonts w:cs="Calibri"/>
                <w:bCs/>
                <w:color w:val="000000" w:themeColor="text1"/>
                <w:sz w:val="12"/>
                <w:szCs w:val="12"/>
              </w:rPr>
              <w:t>Aktywa segmentu</w:t>
            </w:r>
          </w:p>
        </w:tc>
        <w:tc>
          <w:tcPr>
            <w:tcW w:w="998" w:type="dxa"/>
            <w:tcBorders>
              <w:left w:val="single" w:sz="8" w:space="0" w:color="0070C0"/>
              <w:bottom w:val="single" w:sz="8" w:space="0" w:color="0070C0"/>
              <w:right w:val="single" w:sz="8" w:space="0" w:color="0070C0"/>
            </w:tcBorders>
            <w:shd w:val="clear" w:color="auto" w:fill="auto"/>
            <w:noWrap/>
            <w:vAlign w:val="center"/>
          </w:tcPr>
          <w:p w14:paraId="73148998" w14:textId="75D33A92"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42 262 523</w:t>
            </w:r>
          </w:p>
        </w:tc>
        <w:tc>
          <w:tcPr>
            <w:tcW w:w="998" w:type="dxa"/>
            <w:tcBorders>
              <w:left w:val="nil"/>
              <w:bottom w:val="single" w:sz="8" w:space="0" w:color="0070C0"/>
              <w:right w:val="single" w:sz="8" w:space="0" w:color="0070C0"/>
            </w:tcBorders>
            <w:shd w:val="clear" w:color="auto" w:fill="auto"/>
            <w:noWrap/>
            <w:vAlign w:val="center"/>
          </w:tcPr>
          <w:p w14:paraId="75EF7770" w14:textId="437AFCE8"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45 272 136</w:t>
            </w:r>
          </w:p>
        </w:tc>
        <w:tc>
          <w:tcPr>
            <w:tcW w:w="998" w:type="dxa"/>
            <w:tcBorders>
              <w:left w:val="nil"/>
              <w:bottom w:val="single" w:sz="8" w:space="0" w:color="0070C0"/>
              <w:right w:val="single" w:sz="8" w:space="0" w:color="0070C0"/>
            </w:tcBorders>
            <w:shd w:val="clear" w:color="auto" w:fill="auto"/>
            <w:noWrap/>
            <w:vAlign w:val="center"/>
          </w:tcPr>
          <w:p w14:paraId="7EC60130" w14:textId="60453283"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56 475 056</w:t>
            </w:r>
          </w:p>
        </w:tc>
        <w:tc>
          <w:tcPr>
            <w:tcW w:w="998" w:type="dxa"/>
            <w:tcBorders>
              <w:left w:val="nil"/>
              <w:bottom w:val="single" w:sz="8" w:space="0" w:color="0070C0"/>
              <w:right w:val="single" w:sz="8" w:space="0" w:color="0070C0"/>
            </w:tcBorders>
            <w:shd w:val="clear" w:color="auto" w:fill="auto"/>
            <w:noWrap/>
            <w:vAlign w:val="center"/>
          </w:tcPr>
          <w:p w14:paraId="0D28983C" w14:textId="59AFAA73"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1 770 843</w:t>
            </w:r>
          </w:p>
        </w:tc>
        <w:tc>
          <w:tcPr>
            <w:tcW w:w="998" w:type="dxa"/>
            <w:tcBorders>
              <w:left w:val="nil"/>
              <w:bottom w:val="single" w:sz="8" w:space="0" w:color="0070C0"/>
              <w:right w:val="nil"/>
            </w:tcBorders>
            <w:shd w:val="clear" w:color="auto" w:fill="auto"/>
            <w:noWrap/>
            <w:vAlign w:val="center"/>
          </w:tcPr>
          <w:p w14:paraId="6964EAC5" w14:textId="432AD5F8" w:rsidR="00B64ECB" w:rsidRPr="001B1DE6" w:rsidRDefault="00B64ECB" w:rsidP="00B64ECB">
            <w:pPr>
              <w:jc w:val="right"/>
              <w:rPr>
                <w:rFonts w:cs="Calibri"/>
                <w:b/>
                <w:bCs/>
                <w:color w:val="000000" w:themeColor="text1"/>
                <w:sz w:val="12"/>
                <w:szCs w:val="12"/>
              </w:rPr>
            </w:pPr>
            <w:r w:rsidRPr="001B1DE6">
              <w:rPr>
                <w:rFonts w:cs="Calibri"/>
                <w:b/>
                <w:bCs/>
                <w:color w:val="000000" w:themeColor="text1"/>
                <w:sz w:val="12"/>
                <w:szCs w:val="12"/>
              </w:rPr>
              <w:t>145 780 558</w:t>
            </w:r>
          </w:p>
        </w:tc>
      </w:tr>
      <w:tr w:rsidR="00B64ECB" w:rsidRPr="00975C64" w14:paraId="55EC7D67" w14:textId="77777777" w:rsidTr="00377B85">
        <w:trPr>
          <w:trHeight w:val="227"/>
        </w:trPr>
        <w:tc>
          <w:tcPr>
            <w:tcW w:w="4593" w:type="dxa"/>
            <w:tcBorders>
              <w:top w:val="nil"/>
              <w:left w:val="nil"/>
              <w:bottom w:val="single" w:sz="8" w:space="0" w:color="0070C0"/>
              <w:right w:val="single" w:sz="8" w:space="0" w:color="0070C0"/>
            </w:tcBorders>
            <w:shd w:val="clear" w:color="auto" w:fill="auto"/>
            <w:vAlign w:val="center"/>
            <w:hideMark/>
          </w:tcPr>
          <w:p w14:paraId="1D02A8A7" w14:textId="77777777" w:rsidR="00B64ECB" w:rsidRPr="00975C64" w:rsidRDefault="00B64ECB" w:rsidP="00B64ECB">
            <w:pPr>
              <w:rPr>
                <w:rFonts w:cs="Calibri"/>
                <w:bCs/>
                <w:color w:val="000000" w:themeColor="text1"/>
                <w:sz w:val="12"/>
                <w:szCs w:val="12"/>
              </w:rPr>
            </w:pPr>
            <w:r w:rsidRPr="00975C64">
              <w:rPr>
                <w:rFonts w:cs="Calibri"/>
                <w:bCs/>
                <w:color w:val="000000" w:themeColor="text1"/>
                <w:sz w:val="12"/>
                <w:szCs w:val="12"/>
              </w:rPr>
              <w:t>Zobowiązania segmentu</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0A0CBE07" w14:textId="5D5F5CEA"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32 620 034</w:t>
            </w:r>
          </w:p>
        </w:tc>
        <w:tc>
          <w:tcPr>
            <w:tcW w:w="998" w:type="dxa"/>
            <w:tcBorders>
              <w:top w:val="nil"/>
              <w:left w:val="nil"/>
              <w:bottom w:val="single" w:sz="8" w:space="0" w:color="0070C0"/>
              <w:right w:val="single" w:sz="8" w:space="0" w:color="0070C0"/>
            </w:tcBorders>
            <w:shd w:val="clear" w:color="auto" w:fill="auto"/>
            <w:noWrap/>
            <w:vAlign w:val="center"/>
          </w:tcPr>
          <w:p w14:paraId="25E2BE3A" w14:textId="1DC41A43" w:rsidR="00B64ECB" w:rsidRPr="00975C64" w:rsidRDefault="00773E2C" w:rsidP="00773E2C">
            <w:pPr>
              <w:jc w:val="right"/>
              <w:rPr>
                <w:rFonts w:cs="Calibri"/>
                <w:bCs/>
                <w:color w:val="000000" w:themeColor="text1"/>
                <w:sz w:val="12"/>
                <w:szCs w:val="12"/>
              </w:rPr>
            </w:pPr>
            <w:r>
              <w:rPr>
                <w:rFonts w:cs="Calibri"/>
                <w:bCs/>
                <w:color w:val="000000" w:themeColor="text1"/>
                <w:sz w:val="12"/>
                <w:szCs w:val="12"/>
              </w:rPr>
              <w:t>28 814</w:t>
            </w:r>
            <w:r w:rsidR="00B64ECB" w:rsidRPr="00975C64">
              <w:rPr>
                <w:rFonts w:cs="Calibri"/>
                <w:bCs/>
                <w:color w:val="000000" w:themeColor="text1"/>
                <w:sz w:val="12"/>
                <w:szCs w:val="12"/>
              </w:rPr>
              <w:t xml:space="preserve"> </w:t>
            </w:r>
            <w:r>
              <w:rPr>
                <w:rFonts w:cs="Calibri"/>
                <w:bCs/>
                <w:color w:val="000000" w:themeColor="text1"/>
                <w:sz w:val="12"/>
                <w:szCs w:val="12"/>
              </w:rPr>
              <w:t>237</w:t>
            </w:r>
          </w:p>
        </w:tc>
        <w:tc>
          <w:tcPr>
            <w:tcW w:w="998" w:type="dxa"/>
            <w:tcBorders>
              <w:top w:val="nil"/>
              <w:left w:val="nil"/>
              <w:bottom w:val="single" w:sz="8" w:space="0" w:color="0070C0"/>
              <w:right w:val="single" w:sz="8" w:space="0" w:color="0070C0"/>
            </w:tcBorders>
            <w:shd w:val="clear" w:color="auto" w:fill="auto"/>
            <w:noWrap/>
            <w:vAlign w:val="center"/>
          </w:tcPr>
          <w:p w14:paraId="06A88CF1" w14:textId="7521FD39" w:rsidR="00B64ECB" w:rsidRPr="00975C64" w:rsidRDefault="00B64ECB" w:rsidP="00B64ECB">
            <w:pPr>
              <w:jc w:val="right"/>
              <w:rPr>
                <w:rFonts w:cs="Calibri"/>
                <w:bCs/>
                <w:color w:val="000000" w:themeColor="text1"/>
                <w:sz w:val="12"/>
                <w:szCs w:val="12"/>
              </w:rPr>
            </w:pPr>
            <w:r w:rsidRPr="00975C64">
              <w:rPr>
                <w:rFonts w:cs="Calibri"/>
                <w:bCs/>
                <w:color w:val="000000" w:themeColor="text1"/>
                <w:sz w:val="12"/>
                <w:szCs w:val="12"/>
              </w:rPr>
              <w:t>67 336 104</w:t>
            </w:r>
          </w:p>
        </w:tc>
        <w:tc>
          <w:tcPr>
            <w:tcW w:w="998" w:type="dxa"/>
            <w:tcBorders>
              <w:top w:val="nil"/>
              <w:left w:val="nil"/>
              <w:bottom w:val="single" w:sz="8" w:space="0" w:color="0070C0"/>
              <w:right w:val="single" w:sz="8" w:space="0" w:color="0070C0"/>
            </w:tcBorders>
            <w:shd w:val="clear" w:color="auto" w:fill="auto"/>
            <w:noWrap/>
            <w:vAlign w:val="center"/>
          </w:tcPr>
          <w:p w14:paraId="0B33B32D" w14:textId="3F06DB95" w:rsidR="00B64ECB" w:rsidRPr="00975C64" w:rsidRDefault="00B64ECB" w:rsidP="00773E2C">
            <w:pPr>
              <w:jc w:val="right"/>
              <w:rPr>
                <w:rFonts w:cs="Calibri"/>
                <w:bCs/>
                <w:color w:val="000000" w:themeColor="text1"/>
                <w:sz w:val="12"/>
                <w:szCs w:val="12"/>
              </w:rPr>
            </w:pPr>
            <w:r w:rsidRPr="00975C64">
              <w:rPr>
                <w:rFonts w:cs="Calibri"/>
                <w:bCs/>
                <w:color w:val="000000" w:themeColor="text1"/>
                <w:sz w:val="12"/>
                <w:szCs w:val="12"/>
              </w:rPr>
              <w:t xml:space="preserve">1 </w:t>
            </w:r>
            <w:r w:rsidR="00773E2C">
              <w:rPr>
                <w:rFonts w:cs="Calibri"/>
                <w:bCs/>
                <w:color w:val="000000" w:themeColor="text1"/>
                <w:sz w:val="12"/>
                <w:szCs w:val="12"/>
              </w:rPr>
              <w:t>838</w:t>
            </w:r>
            <w:r w:rsidRPr="00975C64">
              <w:rPr>
                <w:rFonts w:cs="Calibri"/>
                <w:bCs/>
                <w:color w:val="000000" w:themeColor="text1"/>
                <w:sz w:val="12"/>
                <w:szCs w:val="12"/>
              </w:rPr>
              <w:t xml:space="preserve"> </w:t>
            </w:r>
            <w:r w:rsidR="00773E2C">
              <w:rPr>
                <w:rFonts w:cs="Calibri"/>
                <w:bCs/>
                <w:color w:val="000000" w:themeColor="text1"/>
                <w:sz w:val="12"/>
                <w:szCs w:val="12"/>
              </w:rPr>
              <w:t>976</w:t>
            </w:r>
          </w:p>
        </w:tc>
        <w:tc>
          <w:tcPr>
            <w:tcW w:w="998" w:type="dxa"/>
            <w:tcBorders>
              <w:top w:val="nil"/>
              <w:left w:val="nil"/>
              <w:bottom w:val="single" w:sz="8" w:space="0" w:color="0070C0"/>
              <w:right w:val="nil"/>
            </w:tcBorders>
            <w:shd w:val="clear" w:color="auto" w:fill="auto"/>
            <w:noWrap/>
            <w:vAlign w:val="center"/>
          </w:tcPr>
          <w:p w14:paraId="596D6C9C" w14:textId="74F7DA69" w:rsidR="00B64ECB" w:rsidRPr="001B1DE6" w:rsidRDefault="00B64ECB" w:rsidP="00B64ECB">
            <w:pPr>
              <w:jc w:val="right"/>
              <w:rPr>
                <w:rFonts w:cs="Calibri"/>
                <w:b/>
                <w:bCs/>
                <w:color w:val="000000" w:themeColor="text1"/>
                <w:sz w:val="12"/>
                <w:szCs w:val="12"/>
              </w:rPr>
            </w:pPr>
            <w:r w:rsidRPr="001B1DE6">
              <w:rPr>
                <w:rFonts w:cs="Calibri"/>
                <w:b/>
                <w:bCs/>
                <w:color w:val="000000" w:themeColor="text1"/>
                <w:sz w:val="12"/>
                <w:szCs w:val="12"/>
              </w:rPr>
              <w:t>130 609 351</w:t>
            </w:r>
          </w:p>
        </w:tc>
      </w:tr>
      <w:tr w:rsidR="00B64ECB" w:rsidRPr="0068723D" w14:paraId="1EF79FA7" w14:textId="77777777" w:rsidTr="00377B85">
        <w:trPr>
          <w:trHeight w:val="227"/>
        </w:trPr>
        <w:tc>
          <w:tcPr>
            <w:tcW w:w="4593" w:type="dxa"/>
            <w:tcBorders>
              <w:top w:val="nil"/>
              <w:left w:val="nil"/>
              <w:bottom w:val="single" w:sz="8" w:space="0" w:color="0070C0"/>
              <w:right w:val="single" w:sz="8" w:space="0" w:color="0070C0"/>
            </w:tcBorders>
            <w:shd w:val="clear" w:color="auto" w:fill="auto"/>
            <w:vAlign w:val="center"/>
            <w:hideMark/>
          </w:tcPr>
          <w:p w14:paraId="6C93C55C" w14:textId="77777777" w:rsidR="00B64ECB" w:rsidRPr="003801D5" w:rsidRDefault="00B64ECB" w:rsidP="00B64ECB">
            <w:pPr>
              <w:rPr>
                <w:rFonts w:cs="Calibri"/>
                <w:color w:val="000000" w:themeColor="text1"/>
                <w:sz w:val="12"/>
                <w:szCs w:val="12"/>
              </w:rPr>
            </w:pPr>
            <w:r w:rsidRPr="003801D5">
              <w:rPr>
                <w:rFonts w:cs="Calibri"/>
                <w:color w:val="000000" w:themeColor="text1"/>
                <w:sz w:val="12"/>
                <w:szCs w:val="12"/>
              </w:rPr>
              <w:t>Nakłady na środki trwałe i wartości niematerialne</w:t>
            </w:r>
          </w:p>
        </w:tc>
        <w:tc>
          <w:tcPr>
            <w:tcW w:w="998" w:type="dxa"/>
            <w:tcBorders>
              <w:top w:val="nil"/>
              <w:left w:val="single" w:sz="8" w:space="0" w:color="0070C0"/>
              <w:bottom w:val="single" w:sz="8" w:space="0" w:color="0070C0"/>
              <w:right w:val="single" w:sz="8" w:space="0" w:color="0070C0"/>
            </w:tcBorders>
            <w:shd w:val="clear" w:color="auto" w:fill="auto"/>
            <w:noWrap/>
            <w:vAlign w:val="center"/>
          </w:tcPr>
          <w:p w14:paraId="7C075EAB" w14:textId="6382D325" w:rsidR="00B64ECB" w:rsidRPr="003801D5" w:rsidRDefault="00B64ECB" w:rsidP="00B64ECB">
            <w:pPr>
              <w:jc w:val="right"/>
              <w:rPr>
                <w:rFonts w:cs="Calibri"/>
                <w:color w:val="000000" w:themeColor="text1"/>
                <w:sz w:val="12"/>
                <w:szCs w:val="12"/>
              </w:rPr>
            </w:pPr>
            <w:r w:rsidRPr="003801D5">
              <w:rPr>
                <w:rFonts w:cs="Calibri"/>
                <w:color w:val="000000" w:themeColor="text1"/>
                <w:sz w:val="12"/>
                <w:szCs w:val="12"/>
              </w:rPr>
              <w:t>228 759</w:t>
            </w:r>
          </w:p>
        </w:tc>
        <w:tc>
          <w:tcPr>
            <w:tcW w:w="998" w:type="dxa"/>
            <w:tcBorders>
              <w:top w:val="nil"/>
              <w:left w:val="nil"/>
              <w:bottom w:val="single" w:sz="8" w:space="0" w:color="0070C0"/>
              <w:right w:val="single" w:sz="8" w:space="0" w:color="0070C0"/>
            </w:tcBorders>
            <w:shd w:val="clear" w:color="auto" w:fill="auto"/>
            <w:noWrap/>
            <w:vAlign w:val="center"/>
          </w:tcPr>
          <w:p w14:paraId="41C7B6E3" w14:textId="2CEB2CF3" w:rsidR="00B64ECB" w:rsidRPr="003801D5" w:rsidRDefault="00B64ECB" w:rsidP="00B64ECB">
            <w:pPr>
              <w:jc w:val="right"/>
              <w:rPr>
                <w:rFonts w:cs="Calibri"/>
                <w:color w:val="000000" w:themeColor="text1"/>
                <w:sz w:val="12"/>
                <w:szCs w:val="12"/>
              </w:rPr>
            </w:pPr>
            <w:r w:rsidRPr="003801D5">
              <w:rPr>
                <w:rFonts w:cs="Calibri"/>
                <w:color w:val="000000" w:themeColor="text1"/>
                <w:sz w:val="12"/>
                <w:szCs w:val="12"/>
              </w:rPr>
              <w:t>16 396</w:t>
            </w:r>
          </w:p>
        </w:tc>
        <w:tc>
          <w:tcPr>
            <w:tcW w:w="998" w:type="dxa"/>
            <w:tcBorders>
              <w:top w:val="nil"/>
              <w:left w:val="nil"/>
              <w:bottom w:val="single" w:sz="8" w:space="0" w:color="0070C0"/>
              <w:right w:val="single" w:sz="8" w:space="0" w:color="0070C0"/>
            </w:tcBorders>
            <w:shd w:val="clear" w:color="auto" w:fill="auto"/>
            <w:noWrap/>
            <w:vAlign w:val="center"/>
          </w:tcPr>
          <w:p w14:paraId="25C00A8B" w14:textId="55283F71" w:rsidR="00B64ECB" w:rsidRPr="003801D5" w:rsidRDefault="00B64ECB" w:rsidP="00B64ECB">
            <w:pPr>
              <w:jc w:val="right"/>
              <w:rPr>
                <w:rFonts w:cs="Calibri"/>
                <w:color w:val="000000" w:themeColor="text1"/>
                <w:sz w:val="12"/>
                <w:szCs w:val="12"/>
              </w:rPr>
            </w:pPr>
            <w:r w:rsidRPr="003801D5">
              <w:rPr>
                <w:rFonts w:cs="Calibri"/>
                <w:color w:val="000000" w:themeColor="text1"/>
                <w:sz w:val="12"/>
                <w:szCs w:val="12"/>
              </w:rPr>
              <w:t>270 194</w:t>
            </w:r>
          </w:p>
        </w:tc>
        <w:tc>
          <w:tcPr>
            <w:tcW w:w="998" w:type="dxa"/>
            <w:tcBorders>
              <w:top w:val="nil"/>
              <w:left w:val="nil"/>
              <w:bottom w:val="single" w:sz="8" w:space="0" w:color="0070C0"/>
              <w:right w:val="single" w:sz="8" w:space="0" w:color="0070C0"/>
            </w:tcBorders>
            <w:shd w:val="clear" w:color="auto" w:fill="auto"/>
            <w:noWrap/>
            <w:vAlign w:val="center"/>
          </w:tcPr>
          <w:p w14:paraId="5361356F" w14:textId="0416B1BD" w:rsidR="00B64ECB" w:rsidRPr="003801D5" w:rsidRDefault="00B64ECB" w:rsidP="00B64ECB">
            <w:pPr>
              <w:jc w:val="right"/>
              <w:rPr>
                <w:rFonts w:cs="Calibri"/>
                <w:color w:val="000000" w:themeColor="text1"/>
                <w:sz w:val="12"/>
                <w:szCs w:val="12"/>
              </w:rPr>
            </w:pPr>
            <w:r w:rsidRPr="003801D5">
              <w:rPr>
                <w:rFonts w:cs="Calibri"/>
                <w:color w:val="000000" w:themeColor="text1"/>
                <w:sz w:val="12"/>
                <w:szCs w:val="12"/>
              </w:rPr>
              <w:t>17 001</w:t>
            </w:r>
          </w:p>
        </w:tc>
        <w:tc>
          <w:tcPr>
            <w:tcW w:w="998" w:type="dxa"/>
            <w:tcBorders>
              <w:top w:val="nil"/>
              <w:left w:val="nil"/>
              <w:bottom w:val="single" w:sz="8" w:space="0" w:color="0070C0"/>
              <w:right w:val="nil"/>
            </w:tcBorders>
            <w:shd w:val="clear" w:color="auto" w:fill="auto"/>
            <w:noWrap/>
            <w:vAlign w:val="center"/>
          </w:tcPr>
          <w:p w14:paraId="534BD357" w14:textId="75AD5169" w:rsidR="00B64ECB" w:rsidRPr="001B1DE6" w:rsidRDefault="00B64ECB" w:rsidP="00B64ECB">
            <w:pPr>
              <w:jc w:val="right"/>
              <w:rPr>
                <w:rFonts w:cs="Calibri"/>
                <w:b/>
                <w:color w:val="000000" w:themeColor="text1"/>
                <w:sz w:val="12"/>
                <w:szCs w:val="12"/>
              </w:rPr>
            </w:pPr>
            <w:r w:rsidRPr="001B1DE6">
              <w:rPr>
                <w:rFonts w:cs="Calibri"/>
                <w:b/>
                <w:color w:val="000000" w:themeColor="text1"/>
                <w:sz w:val="12"/>
                <w:szCs w:val="12"/>
              </w:rPr>
              <w:t>532 350</w:t>
            </w:r>
          </w:p>
        </w:tc>
      </w:tr>
    </w:tbl>
    <w:p w14:paraId="04731A75" w14:textId="4A1232B8" w:rsidR="009C1A37" w:rsidRPr="0068723D" w:rsidRDefault="009C1A37" w:rsidP="00D953ED">
      <w:pPr>
        <w:suppressAutoHyphens/>
        <w:jc w:val="both"/>
        <w:rPr>
          <w:noProof/>
          <w:color w:val="000000" w:themeColor="text1"/>
        </w:rPr>
      </w:pPr>
    </w:p>
    <w:p w14:paraId="3730A944" w14:textId="47C8D013" w:rsidR="00062FEF" w:rsidRDefault="00062FEF">
      <w:pPr>
        <w:rPr>
          <w:noProof/>
        </w:rPr>
      </w:pPr>
      <w:r>
        <w:rPr>
          <w:noProof/>
        </w:rPr>
        <w:br w:type="page"/>
      </w:r>
    </w:p>
    <w:p w14:paraId="4396308C" w14:textId="52F302B3" w:rsidR="009C1A37" w:rsidRPr="0068723D" w:rsidRDefault="009C1A37" w:rsidP="009C1A37">
      <w:pPr>
        <w:suppressAutoHyphens/>
        <w:jc w:val="both"/>
        <w:rPr>
          <w:noProof/>
          <w:color w:val="000000" w:themeColor="text1"/>
          <w:sz w:val="18"/>
          <w:szCs w:val="18"/>
        </w:rPr>
      </w:pPr>
      <w:r w:rsidRPr="0068723D">
        <w:rPr>
          <w:noProof/>
          <w:color w:val="000000" w:themeColor="text1"/>
          <w:sz w:val="18"/>
          <w:szCs w:val="18"/>
        </w:rPr>
        <w:lastRenderedPageBreak/>
        <w:t>Informacja dotycząca geograficznych obszarów działalności Grupy mBanku S.A. za okres 1 stycznia do 31 grudnia 2019 roku i za okres od 1 stycznia do 31 grudnia 2018 roku</w:t>
      </w:r>
    </w:p>
    <w:p w14:paraId="097C6BB8" w14:textId="0189E339" w:rsidR="009C1A37" w:rsidRPr="0068723D" w:rsidRDefault="009C1A37" w:rsidP="00D953ED">
      <w:pPr>
        <w:suppressAutoHyphens/>
        <w:jc w:val="both"/>
        <w:rPr>
          <w:noProof/>
          <w:color w:val="000000" w:themeColor="text1"/>
        </w:rPr>
      </w:pPr>
    </w:p>
    <w:tbl>
      <w:tblPr>
        <w:tblW w:w="9639" w:type="dxa"/>
        <w:jc w:val="center"/>
        <w:tblLayout w:type="fixed"/>
        <w:tblCellMar>
          <w:left w:w="28" w:type="dxa"/>
          <w:right w:w="28" w:type="dxa"/>
        </w:tblCellMar>
        <w:tblLook w:val="04A0" w:firstRow="1" w:lastRow="0" w:firstColumn="1" w:lastColumn="0" w:noHBand="0" w:noVBand="1"/>
      </w:tblPr>
      <w:tblGrid>
        <w:gridCol w:w="2835"/>
        <w:gridCol w:w="1134"/>
        <w:gridCol w:w="1134"/>
        <w:gridCol w:w="1134"/>
        <w:gridCol w:w="1134"/>
        <w:gridCol w:w="1134"/>
        <w:gridCol w:w="1134"/>
      </w:tblGrid>
      <w:tr w:rsidR="00850B4A" w:rsidRPr="007939C3" w14:paraId="7EAF577A" w14:textId="77777777" w:rsidTr="000D1A6B">
        <w:trPr>
          <w:trHeight w:val="360"/>
          <w:jc w:val="center"/>
        </w:trPr>
        <w:tc>
          <w:tcPr>
            <w:tcW w:w="2835" w:type="dxa"/>
            <w:vMerge w:val="restart"/>
            <w:tcBorders>
              <w:top w:val="single" w:sz="8" w:space="0" w:color="FFFFFF"/>
              <w:left w:val="nil"/>
              <w:bottom w:val="single" w:sz="8" w:space="0" w:color="FFFFFF"/>
              <w:right w:val="single" w:sz="8" w:space="0" w:color="FFFFFF"/>
            </w:tcBorders>
            <w:shd w:val="clear" w:color="000000" w:fill="0077BD"/>
            <w:vAlign w:val="bottom"/>
            <w:hideMark/>
          </w:tcPr>
          <w:p w14:paraId="3DED43DD" w14:textId="77777777" w:rsidR="00850B4A" w:rsidRPr="007939C3" w:rsidRDefault="00850B4A" w:rsidP="00823E6B">
            <w:pPr>
              <w:rPr>
                <w:b/>
                <w:bCs/>
                <w:color w:val="FFFFFF"/>
                <w:sz w:val="13"/>
                <w:szCs w:val="13"/>
              </w:rPr>
            </w:pPr>
            <w:r w:rsidRPr="007939C3">
              <w:rPr>
                <w:b/>
                <w:bCs/>
                <w:color w:val="FFFFFF"/>
                <w:sz w:val="13"/>
                <w:szCs w:val="13"/>
              </w:rPr>
              <w:t> </w:t>
            </w:r>
          </w:p>
        </w:tc>
        <w:tc>
          <w:tcPr>
            <w:tcW w:w="3402" w:type="dxa"/>
            <w:gridSpan w:val="3"/>
            <w:tcBorders>
              <w:top w:val="single" w:sz="8" w:space="0" w:color="FFFFFF"/>
              <w:left w:val="nil"/>
              <w:bottom w:val="single" w:sz="4" w:space="0" w:color="FFFFFF"/>
              <w:right w:val="nil"/>
            </w:tcBorders>
            <w:shd w:val="clear" w:color="000000" w:fill="0077BD"/>
            <w:noWrap/>
            <w:vAlign w:val="center"/>
            <w:hideMark/>
          </w:tcPr>
          <w:p w14:paraId="52514C0D" w14:textId="4941A1CA" w:rsidR="00850B4A" w:rsidRPr="007939C3" w:rsidRDefault="00850B4A" w:rsidP="00850B4A">
            <w:pPr>
              <w:jc w:val="center"/>
              <w:rPr>
                <w:b/>
                <w:bCs/>
                <w:color w:val="FFFFFF"/>
                <w:sz w:val="13"/>
                <w:szCs w:val="13"/>
              </w:rPr>
            </w:pPr>
            <w:r w:rsidRPr="007939C3">
              <w:rPr>
                <w:b/>
                <w:bCs/>
                <w:color w:val="FFFFFF"/>
                <w:sz w:val="13"/>
                <w:szCs w:val="13"/>
              </w:rPr>
              <w:t>od 1 stycznia do 31 grudnia 2019</w:t>
            </w:r>
          </w:p>
        </w:tc>
        <w:tc>
          <w:tcPr>
            <w:tcW w:w="3402" w:type="dxa"/>
            <w:gridSpan w:val="3"/>
            <w:tcBorders>
              <w:top w:val="single" w:sz="8" w:space="0" w:color="FFFFFF"/>
              <w:left w:val="single" w:sz="8" w:space="0" w:color="FFFFFF"/>
              <w:bottom w:val="single" w:sz="4" w:space="0" w:color="FFFFFF"/>
              <w:right w:val="nil"/>
            </w:tcBorders>
            <w:shd w:val="clear" w:color="000000" w:fill="0077BD"/>
            <w:noWrap/>
            <w:vAlign w:val="center"/>
            <w:hideMark/>
          </w:tcPr>
          <w:p w14:paraId="13DF759A" w14:textId="11EEA916" w:rsidR="00850B4A" w:rsidRPr="007939C3" w:rsidRDefault="00850B4A" w:rsidP="00850B4A">
            <w:pPr>
              <w:jc w:val="center"/>
              <w:rPr>
                <w:b/>
                <w:bCs/>
                <w:color w:val="FFFFFF"/>
                <w:sz w:val="13"/>
                <w:szCs w:val="13"/>
              </w:rPr>
            </w:pPr>
            <w:r w:rsidRPr="007939C3">
              <w:rPr>
                <w:b/>
                <w:bCs/>
                <w:color w:val="FFFFFF"/>
                <w:sz w:val="13"/>
                <w:szCs w:val="13"/>
              </w:rPr>
              <w:t>od 1 stycznia do 31 grudnia 2018</w:t>
            </w:r>
          </w:p>
        </w:tc>
      </w:tr>
      <w:tr w:rsidR="00850B4A" w:rsidRPr="007939C3" w14:paraId="6A354C9A" w14:textId="77777777" w:rsidTr="000D1A6B">
        <w:trPr>
          <w:trHeight w:val="360"/>
          <w:jc w:val="center"/>
        </w:trPr>
        <w:tc>
          <w:tcPr>
            <w:tcW w:w="2835" w:type="dxa"/>
            <w:vMerge/>
            <w:tcBorders>
              <w:top w:val="single" w:sz="8" w:space="0" w:color="FFFFFF"/>
              <w:left w:val="nil"/>
              <w:bottom w:val="single" w:sz="8" w:space="0" w:color="FFFFFF"/>
              <w:right w:val="single" w:sz="8" w:space="0" w:color="FFFFFF"/>
            </w:tcBorders>
            <w:vAlign w:val="center"/>
            <w:hideMark/>
          </w:tcPr>
          <w:p w14:paraId="27BBEEEA" w14:textId="77777777" w:rsidR="00850B4A" w:rsidRPr="007939C3" w:rsidRDefault="00850B4A" w:rsidP="00823E6B">
            <w:pPr>
              <w:rPr>
                <w:b/>
                <w:bCs/>
                <w:color w:val="FFFFFF"/>
                <w:sz w:val="13"/>
                <w:szCs w:val="13"/>
              </w:rPr>
            </w:pPr>
          </w:p>
        </w:tc>
        <w:tc>
          <w:tcPr>
            <w:tcW w:w="1134" w:type="dxa"/>
            <w:tcBorders>
              <w:top w:val="single" w:sz="4" w:space="0" w:color="FFFFFF"/>
              <w:left w:val="nil"/>
              <w:bottom w:val="nil"/>
              <w:right w:val="single" w:sz="8" w:space="0" w:color="FFFFFF"/>
            </w:tcBorders>
            <w:shd w:val="clear" w:color="000000" w:fill="0077BD"/>
            <w:noWrap/>
            <w:vAlign w:val="center"/>
            <w:hideMark/>
          </w:tcPr>
          <w:p w14:paraId="6FC949C4" w14:textId="77777777" w:rsidR="00850B4A" w:rsidRPr="007939C3" w:rsidRDefault="00850B4A" w:rsidP="00823E6B">
            <w:pPr>
              <w:jc w:val="center"/>
              <w:rPr>
                <w:b/>
                <w:bCs/>
                <w:color w:val="FFFFFF"/>
                <w:sz w:val="13"/>
                <w:szCs w:val="13"/>
              </w:rPr>
            </w:pPr>
            <w:r w:rsidRPr="007939C3">
              <w:rPr>
                <w:b/>
                <w:bCs/>
                <w:color w:val="FFFFFF"/>
                <w:sz w:val="13"/>
                <w:szCs w:val="13"/>
              </w:rPr>
              <w:t>Polska</w:t>
            </w:r>
          </w:p>
        </w:tc>
        <w:tc>
          <w:tcPr>
            <w:tcW w:w="1134" w:type="dxa"/>
            <w:tcBorders>
              <w:top w:val="single" w:sz="4" w:space="0" w:color="FFFFFF"/>
              <w:left w:val="nil"/>
              <w:bottom w:val="nil"/>
              <w:right w:val="single" w:sz="8" w:space="0" w:color="FFFFFF"/>
            </w:tcBorders>
            <w:shd w:val="clear" w:color="000000" w:fill="0077BD"/>
            <w:noWrap/>
            <w:vAlign w:val="center"/>
            <w:hideMark/>
          </w:tcPr>
          <w:p w14:paraId="181FDE57" w14:textId="77777777" w:rsidR="00850B4A" w:rsidRPr="007939C3" w:rsidRDefault="00850B4A" w:rsidP="00823E6B">
            <w:pPr>
              <w:jc w:val="center"/>
              <w:rPr>
                <w:b/>
                <w:bCs/>
                <w:color w:val="FFFFFF"/>
                <w:sz w:val="13"/>
                <w:szCs w:val="13"/>
              </w:rPr>
            </w:pPr>
            <w:r w:rsidRPr="007939C3">
              <w:rPr>
                <w:b/>
                <w:bCs/>
                <w:color w:val="FFFFFF"/>
                <w:sz w:val="13"/>
                <w:szCs w:val="13"/>
              </w:rPr>
              <w:t>Zagranica</w:t>
            </w:r>
          </w:p>
        </w:tc>
        <w:tc>
          <w:tcPr>
            <w:tcW w:w="1134" w:type="dxa"/>
            <w:tcBorders>
              <w:top w:val="single" w:sz="4" w:space="0" w:color="FFFFFF"/>
              <w:left w:val="nil"/>
              <w:bottom w:val="nil"/>
              <w:right w:val="nil"/>
            </w:tcBorders>
            <w:shd w:val="clear" w:color="000000" w:fill="0077BD"/>
            <w:noWrap/>
            <w:vAlign w:val="center"/>
            <w:hideMark/>
          </w:tcPr>
          <w:p w14:paraId="19A16615" w14:textId="77777777" w:rsidR="00850B4A" w:rsidRPr="007939C3" w:rsidRDefault="00850B4A" w:rsidP="00823E6B">
            <w:pPr>
              <w:jc w:val="center"/>
              <w:rPr>
                <w:b/>
                <w:bCs/>
                <w:color w:val="FFFFFF"/>
                <w:sz w:val="13"/>
                <w:szCs w:val="13"/>
              </w:rPr>
            </w:pPr>
            <w:r w:rsidRPr="007939C3">
              <w:rPr>
                <w:b/>
                <w:bCs/>
                <w:color w:val="FFFFFF"/>
                <w:sz w:val="13"/>
                <w:szCs w:val="13"/>
              </w:rPr>
              <w:t>Razem</w:t>
            </w:r>
          </w:p>
        </w:tc>
        <w:tc>
          <w:tcPr>
            <w:tcW w:w="1134" w:type="dxa"/>
            <w:tcBorders>
              <w:top w:val="single" w:sz="4" w:space="0" w:color="FFFFFF"/>
              <w:left w:val="single" w:sz="8" w:space="0" w:color="FFFFFF"/>
              <w:bottom w:val="nil"/>
              <w:right w:val="single" w:sz="8" w:space="0" w:color="FFFFFF"/>
            </w:tcBorders>
            <w:shd w:val="clear" w:color="000000" w:fill="0077BD"/>
            <w:noWrap/>
            <w:vAlign w:val="center"/>
            <w:hideMark/>
          </w:tcPr>
          <w:p w14:paraId="5FD5E920" w14:textId="77777777" w:rsidR="00850B4A" w:rsidRPr="007939C3" w:rsidRDefault="00850B4A" w:rsidP="00823E6B">
            <w:pPr>
              <w:jc w:val="center"/>
              <w:rPr>
                <w:b/>
                <w:bCs/>
                <w:color w:val="FFFFFF"/>
                <w:sz w:val="13"/>
                <w:szCs w:val="13"/>
              </w:rPr>
            </w:pPr>
            <w:r w:rsidRPr="007939C3">
              <w:rPr>
                <w:b/>
                <w:bCs/>
                <w:color w:val="FFFFFF"/>
                <w:sz w:val="13"/>
                <w:szCs w:val="13"/>
              </w:rPr>
              <w:t>Polska</w:t>
            </w:r>
          </w:p>
        </w:tc>
        <w:tc>
          <w:tcPr>
            <w:tcW w:w="1134" w:type="dxa"/>
            <w:tcBorders>
              <w:top w:val="single" w:sz="4" w:space="0" w:color="FFFFFF"/>
              <w:left w:val="nil"/>
              <w:bottom w:val="nil"/>
              <w:right w:val="single" w:sz="8" w:space="0" w:color="FFFFFF"/>
            </w:tcBorders>
            <w:shd w:val="clear" w:color="000000" w:fill="0077BD"/>
            <w:noWrap/>
            <w:vAlign w:val="center"/>
            <w:hideMark/>
          </w:tcPr>
          <w:p w14:paraId="2C5D64FD" w14:textId="77777777" w:rsidR="00850B4A" w:rsidRPr="007939C3" w:rsidRDefault="00850B4A" w:rsidP="00823E6B">
            <w:pPr>
              <w:jc w:val="center"/>
              <w:rPr>
                <w:b/>
                <w:bCs/>
                <w:color w:val="FFFFFF"/>
                <w:sz w:val="13"/>
                <w:szCs w:val="13"/>
              </w:rPr>
            </w:pPr>
            <w:r w:rsidRPr="007939C3">
              <w:rPr>
                <w:b/>
                <w:bCs/>
                <w:color w:val="FFFFFF"/>
                <w:sz w:val="13"/>
                <w:szCs w:val="13"/>
              </w:rPr>
              <w:t>Zagranica</w:t>
            </w:r>
          </w:p>
        </w:tc>
        <w:tc>
          <w:tcPr>
            <w:tcW w:w="1134" w:type="dxa"/>
            <w:tcBorders>
              <w:top w:val="single" w:sz="4" w:space="0" w:color="FFFFFF"/>
              <w:left w:val="nil"/>
              <w:bottom w:val="nil"/>
              <w:right w:val="nil"/>
            </w:tcBorders>
            <w:shd w:val="clear" w:color="000000" w:fill="0077BD"/>
            <w:noWrap/>
            <w:vAlign w:val="center"/>
            <w:hideMark/>
          </w:tcPr>
          <w:p w14:paraId="15F81B20" w14:textId="77777777" w:rsidR="00850B4A" w:rsidRPr="007939C3" w:rsidRDefault="00850B4A" w:rsidP="00823E6B">
            <w:pPr>
              <w:jc w:val="center"/>
              <w:rPr>
                <w:b/>
                <w:bCs/>
                <w:color w:val="FFFFFF"/>
                <w:sz w:val="13"/>
                <w:szCs w:val="13"/>
              </w:rPr>
            </w:pPr>
            <w:r w:rsidRPr="007939C3">
              <w:rPr>
                <w:b/>
                <w:bCs/>
                <w:color w:val="FFFFFF"/>
                <w:sz w:val="13"/>
                <w:szCs w:val="13"/>
              </w:rPr>
              <w:t>Razem</w:t>
            </w:r>
          </w:p>
        </w:tc>
      </w:tr>
      <w:tr w:rsidR="001F4F8E" w:rsidRPr="007939C3" w14:paraId="193EDED2" w14:textId="77777777" w:rsidTr="00377B85">
        <w:trPr>
          <w:trHeight w:val="284"/>
          <w:jc w:val="center"/>
        </w:trPr>
        <w:tc>
          <w:tcPr>
            <w:tcW w:w="2835" w:type="dxa"/>
            <w:tcBorders>
              <w:top w:val="nil"/>
              <w:left w:val="nil"/>
              <w:bottom w:val="single" w:sz="4" w:space="0" w:color="0077BD"/>
              <w:right w:val="single" w:sz="8" w:space="0" w:color="0077BD"/>
            </w:tcBorders>
            <w:shd w:val="clear" w:color="auto" w:fill="auto"/>
            <w:noWrap/>
            <w:vAlign w:val="center"/>
            <w:hideMark/>
          </w:tcPr>
          <w:p w14:paraId="19C88FB5" w14:textId="77777777" w:rsidR="001F4F8E" w:rsidRPr="00B9528E" w:rsidRDefault="001F4F8E" w:rsidP="001F4F8E">
            <w:pPr>
              <w:rPr>
                <w:bCs/>
                <w:color w:val="000000" w:themeColor="text1"/>
                <w:sz w:val="13"/>
                <w:szCs w:val="13"/>
              </w:rPr>
            </w:pPr>
            <w:r w:rsidRPr="00B9528E">
              <w:rPr>
                <w:bCs/>
                <w:color w:val="000000" w:themeColor="text1"/>
                <w:sz w:val="13"/>
                <w:szCs w:val="13"/>
              </w:rPr>
              <w:t>Wynik z tytułu odsetek</w:t>
            </w:r>
          </w:p>
        </w:tc>
        <w:tc>
          <w:tcPr>
            <w:tcW w:w="1134" w:type="dxa"/>
            <w:tcBorders>
              <w:top w:val="nil"/>
              <w:left w:val="nil"/>
              <w:bottom w:val="single" w:sz="4" w:space="0" w:color="0077BD"/>
              <w:right w:val="single" w:sz="8" w:space="0" w:color="0077BD"/>
            </w:tcBorders>
            <w:shd w:val="clear" w:color="auto" w:fill="auto"/>
            <w:noWrap/>
            <w:vAlign w:val="center"/>
          </w:tcPr>
          <w:p w14:paraId="3E3DCB7A" w14:textId="4263CB5A" w:rsidR="001F4F8E" w:rsidRPr="00B9528E" w:rsidRDefault="001F4F8E" w:rsidP="001F4F8E">
            <w:pPr>
              <w:jc w:val="right"/>
              <w:rPr>
                <w:color w:val="000000" w:themeColor="text1"/>
                <w:sz w:val="12"/>
                <w:szCs w:val="12"/>
              </w:rPr>
            </w:pPr>
            <w:r w:rsidRPr="00B9528E">
              <w:rPr>
                <w:rFonts w:cs="Calibri"/>
                <w:color w:val="000000" w:themeColor="text1"/>
                <w:sz w:val="12"/>
                <w:szCs w:val="12"/>
              </w:rPr>
              <w:t>3 746 395</w:t>
            </w:r>
          </w:p>
        </w:tc>
        <w:tc>
          <w:tcPr>
            <w:tcW w:w="1134" w:type="dxa"/>
            <w:tcBorders>
              <w:top w:val="nil"/>
              <w:left w:val="nil"/>
              <w:bottom w:val="single" w:sz="4" w:space="0" w:color="0077BD"/>
              <w:right w:val="single" w:sz="8" w:space="0" w:color="0077BD"/>
            </w:tcBorders>
            <w:shd w:val="clear" w:color="auto" w:fill="auto"/>
            <w:noWrap/>
            <w:vAlign w:val="center"/>
          </w:tcPr>
          <w:p w14:paraId="63B3CE0D" w14:textId="097D12FE" w:rsidR="001F4F8E" w:rsidRPr="00B9528E" w:rsidRDefault="001F4F8E" w:rsidP="001F4F8E">
            <w:pPr>
              <w:jc w:val="right"/>
              <w:rPr>
                <w:color w:val="000000" w:themeColor="text1"/>
                <w:sz w:val="12"/>
                <w:szCs w:val="12"/>
              </w:rPr>
            </w:pPr>
            <w:r w:rsidRPr="00B9528E">
              <w:rPr>
                <w:rFonts w:cs="Calibri"/>
                <w:color w:val="000000" w:themeColor="text1"/>
                <w:sz w:val="12"/>
                <w:szCs w:val="12"/>
              </w:rPr>
              <w:t>256 377</w:t>
            </w:r>
          </w:p>
        </w:tc>
        <w:tc>
          <w:tcPr>
            <w:tcW w:w="1134" w:type="dxa"/>
            <w:tcBorders>
              <w:top w:val="nil"/>
              <w:left w:val="nil"/>
              <w:bottom w:val="single" w:sz="4" w:space="0" w:color="0077BD"/>
              <w:right w:val="single" w:sz="8" w:space="0" w:color="0077BD"/>
            </w:tcBorders>
            <w:shd w:val="clear" w:color="auto" w:fill="auto"/>
            <w:noWrap/>
            <w:vAlign w:val="center"/>
          </w:tcPr>
          <w:p w14:paraId="03F4B48C" w14:textId="1AF8FAD6"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4 002 772</w:t>
            </w:r>
          </w:p>
        </w:tc>
        <w:tc>
          <w:tcPr>
            <w:tcW w:w="1134" w:type="dxa"/>
            <w:tcBorders>
              <w:top w:val="nil"/>
              <w:left w:val="single" w:sz="8" w:space="0" w:color="0077BD"/>
              <w:bottom w:val="single" w:sz="4" w:space="0" w:color="0077BD"/>
              <w:right w:val="single" w:sz="8" w:space="0" w:color="0077BD"/>
            </w:tcBorders>
            <w:shd w:val="clear" w:color="auto" w:fill="auto"/>
            <w:vAlign w:val="center"/>
          </w:tcPr>
          <w:p w14:paraId="5DBF20F2" w14:textId="1D6A6A71"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3 308 372 </w:t>
            </w:r>
          </w:p>
        </w:tc>
        <w:tc>
          <w:tcPr>
            <w:tcW w:w="1134" w:type="dxa"/>
            <w:tcBorders>
              <w:top w:val="nil"/>
              <w:left w:val="nil"/>
              <w:bottom w:val="single" w:sz="4" w:space="0" w:color="0077BD"/>
              <w:right w:val="single" w:sz="8" w:space="0" w:color="0077BD"/>
            </w:tcBorders>
            <w:shd w:val="clear" w:color="auto" w:fill="auto"/>
            <w:vAlign w:val="center"/>
          </w:tcPr>
          <w:p w14:paraId="085FC5B3" w14:textId="45FD7EBA"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188 102 </w:t>
            </w:r>
          </w:p>
        </w:tc>
        <w:tc>
          <w:tcPr>
            <w:tcW w:w="1134" w:type="dxa"/>
            <w:tcBorders>
              <w:top w:val="nil"/>
              <w:left w:val="nil"/>
              <w:bottom w:val="single" w:sz="4" w:space="0" w:color="0077BD"/>
              <w:right w:val="nil"/>
            </w:tcBorders>
            <w:shd w:val="clear" w:color="auto" w:fill="auto"/>
            <w:vAlign w:val="center"/>
          </w:tcPr>
          <w:p w14:paraId="5D301913" w14:textId="55680566"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3 496 474 </w:t>
            </w:r>
          </w:p>
        </w:tc>
      </w:tr>
      <w:tr w:rsidR="001F4F8E" w:rsidRPr="007939C3" w14:paraId="09E40C86" w14:textId="77777777" w:rsidTr="00377B85">
        <w:trPr>
          <w:trHeight w:val="284"/>
          <w:jc w:val="center"/>
        </w:trPr>
        <w:tc>
          <w:tcPr>
            <w:tcW w:w="2835" w:type="dxa"/>
            <w:tcBorders>
              <w:top w:val="single" w:sz="4" w:space="0" w:color="0077BD"/>
              <w:left w:val="nil"/>
              <w:bottom w:val="single" w:sz="4" w:space="0" w:color="0077BD"/>
              <w:right w:val="single" w:sz="8" w:space="0" w:color="0077BD"/>
            </w:tcBorders>
            <w:shd w:val="clear" w:color="auto" w:fill="auto"/>
            <w:noWrap/>
            <w:vAlign w:val="center"/>
            <w:hideMark/>
          </w:tcPr>
          <w:p w14:paraId="1BF6EDDE" w14:textId="77777777" w:rsidR="001F4F8E" w:rsidRPr="00B9528E" w:rsidRDefault="001F4F8E" w:rsidP="001F4F8E">
            <w:pPr>
              <w:rPr>
                <w:bCs/>
                <w:color w:val="000000" w:themeColor="text1"/>
                <w:sz w:val="13"/>
                <w:szCs w:val="13"/>
              </w:rPr>
            </w:pPr>
            <w:r w:rsidRPr="00B9528E">
              <w:rPr>
                <w:bCs/>
                <w:color w:val="000000" w:themeColor="text1"/>
                <w:sz w:val="13"/>
                <w:szCs w:val="13"/>
              </w:rPr>
              <w:t>Wynik z tytułu opłat i prowizji</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B100D60" w14:textId="1E4E3ED7" w:rsidR="001F4F8E" w:rsidRPr="00B9528E" w:rsidRDefault="001F4F8E" w:rsidP="001F4F8E">
            <w:pPr>
              <w:jc w:val="right"/>
              <w:rPr>
                <w:color w:val="000000" w:themeColor="text1"/>
                <w:sz w:val="12"/>
                <w:szCs w:val="12"/>
              </w:rPr>
            </w:pPr>
            <w:r w:rsidRPr="00B9528E">
              <w:rPr>
                <w:rFonts w:cs="Calibri"/>
                <w:color w:val="000000" w:themeColor="text1"/>
                <w:sz w:val="12"/>
                <w:szCs w:val="12"/>
              </w:rPr>
              <w:t>948 772</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1DE10C3" w14:textId="3ACD8A29" w:rsidR="001F4F8E" w:rsidRPr="00B9528E" w:rsidRDefault="001F4F8E" w:rsidP="001F4F8E">
            <w:pPr>
              <w:jc w:val="right"/>
              <w:rPr>
                <w:color w:val="000000" w:themeColor="text1"/>
                <w:sz w:val="12"/>
                <w:szCs w:val="12"/>
              </w:rPr>
            </w:pPr>
            <w:r w:rsidRPr="00B9528E">
              <w:rPr>
                <w:rFonts w:cs="Calibri"/>
                <w:color w:val="000000" w:themeColor="text1"/>
                <w:sz w:val="12"/>
                <w:szCs w:val="12"/>
              </w:rPr>
              <w:t>15 831</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1F35F078" w14:textId="5CBBAF91"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964 603</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7356E716" w14:textId="35FDCC79"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953 989 </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67EC195F" w14:textId="263CB3EC"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21 861 </w:t>
            </w:r>
          </w:p>
        </w:tc>
        <w:tc>
          <w:tcPr>
            <w:tcW w:w="1134" w:type="dxa"/>
            <w:tcBorders>
              <w:top w:val="single" w:sz="4" w:space="0" w:color="0077BD"/>
              <w:left w:val="nil"/>
              <w:bottom w:val="single" w:sz="4" w:space="0" w:color="0077BD"/>
              <w:right w:val="nil"/>
            </w:tcBorders>
            <w:shd w:val="clear" w:color="auto" w:fill="auto"/>
            <w:vAlign w:val="center"/>
          </w:tcPr>
          <w:p w14:paraId="67963E61" w14:textId="42000BFD"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975 850 </w:t>
            </w:r>
          </w:p>
        </w:tc>
      </w:tr>
      <w:tr w:rsidR="001F4F8E" w:rsidRPr="007939C3" w14:paraId="6AA1D060" w14:textId="77777777" w:rsidTr="00377B85">
        <w:trPr>
          <w:trHeight w:val="284"/>
          <w:jc w:val="center"/>
        </w:trPr>
        <w:tc>
          <w:tcPr>
            <w:tcW w:w="2835" w:type="dxa"/>
            <w:tcBorders>
              <w:top w:val="single" w:sz="4" w:space="0" w:color="0077BD"/>
              <w:left w:val="nil"/>
              <w:bottom w:val="single" w:sz="4" w:space="0" w:color="0077BD"/>
              <w:right w:val="single" w:sz="8" w:space="0" w:color="0077BD"/>
            </w:tcBorders>
            <w:shd w:val="clear" w:color="auto" w:fill="auto"/>
            <w:noWrap/>
            <w:vAlign w:val="center"/>
            <w:hideMark/>
          </w:tcPr>
          <w:p w14:paraId="0CC118C5" w14:textId="77777777" w:rsidR="001F4F8E" w:rsidRPr="00B9528E" w:rsidRDefault="001F4F8E" w:rsidP="001F4F8E">
            <w:pPr>
              <w:rPr>
                <w:bCs/>
                <w:color w:val="000000" w:themeColor="text1"/>
                <w:sz w:val="13"/>
                <w:szCs w:val="13"/>
              </w:rPr>
            </w:pPr>
            <w:r w:rsidRPr="00B9528E">
              <w:rPr>
                <w:bCs/>
                <w:color w:val="000000" w:themeColor="text1"/>
                <w:sz w:val="13"/>
                <w:szCs w:val="13"/>
              </w:rPr>
              <w:t>Przychody z tytułu dywidend</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6DFF7DC" w14:textId="7A3A0861" w:rsidR="001F4F8E" w:rsidRPr="00B9528E" w:rsidRDefault="001F4F8E" w:rsidP="001F4F8E">
            <w:pPr>
              <w:jc w:val="right"/>
              <w:rPr>
                <w:color w:val="000000" w:themeColor="text1"/>
                <w:sz w:val="12"/>
                <w:szCs w:val="12"/>
              </w:rPr>
            </w:pPr>
            <w:r w:rsidRPr="00B9528E">
              <w:rPr>
                <w:rFonts w:cs="Calibri"/>
                <w:color w:val="000000" w:themeColor="text1"/>
                <w:sz w:val="12"/>
                <w:szCs w:val="12"/>
              </w:rPr>
              <w:t>4 220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93498E6" w14:textId="1F606800"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1DA9190" w14:textId="274B46FD"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4 220</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90F0B45" w14:textId="29F934E6"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3 558 </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41301442" w14:textId="7C561151"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   </w:t>
            </w:r>
          </w:p>
        </w:tc>
        <w:tc>
          <w:tcPr>
            <w:tcW w:w="1134" w:type="dxa"/>
            <w:tcBorders>
              <w:top w:val="single" w:sz="4" w:space="0" w:color="0077BD"/>
              <w:left w:val="nil"/>
              <w:bottom w:val="single" w:sz="4" w:space="0" w:color="0077BD"/>
              <w:right w:val="nil"/>
            </w:tcBorders>
            <w:shd w:val="clear" w:color="auto" w:fill="auto"/>
            <w:vAlign w:val="center"/>
          </w:tcPr>
          <w:p w14:paraId="6C85F8AC" w14:textId="4ECB2BF3"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3 558 </w:t>
            </w:r>
          </w:p>
        </w:tc>
      </w:tr>
      <w:tr w:rsidR="001F4F8E" w:rsidRPr="007939C3" w14:paraId="1FA29D78" w14:textId="77777777" w:rsidTr="00377B85">
        <w:trPr>
          <w:trHeight w:val="284"/>
          <w:jc w:val="center"/>
        </w:trPr>
        <w:tc>
          <w:tcPr>
            <w:tcW w:w="2835" w:type="dxa"/>
            <w:tcBorders>
              <w:top w:val="single" w:sz="4" w:space="0" w:color="0077BD"/>
              <w:left w:val="nil"/>
              <w:bottom w:val="single" w:sz="4" w:space="0" w:color="0077BD"/>
              <w:right w:val="single" w:sz="8" w:space="0" w:color="0077BD"/>
            </w:tcBorders>
            <w:shd w:val="clear" w:color="auto" w:fill="auto"/>
            <w:noWrap/>
            <w:vAlign w:val="center"/>
            <w:hideMark/>
          </w:tcPr>
          <w:p w14:paraId="5CC3D04F" w14:textId="77777777" w:rsidR="001F4F8E" w:rsidRPr="00B9528E" w:rsidRDefault="001F4F8E" w:rsidP="001F4F8E">
            <w:pPr>
              <w:rPr>
                <w:bCs/>
                <w:color w:val="000000" w:themeColor="text1"/>
                <w:sz w:val="13"/>
                <w:szCs w:val="13"/>
              </w:rPr>
            </w:pPr>
            <w:r w:rsidRPr="00B9528E">
              <w:rPr>
                <w:bCs/>
                <w:color w:val="000000" w:themeColor="text1"/>
                <w:sz w:val="13"/>
                <w:szCs w:val="13"/>
              </w:rPr>
              <w:t>Wynik na działalności handlowej</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5F1B53F1" w14:textId="50829E18" w:rsidR="001F4F8E" w:rsidRPr="00B9528E" w:rsidRDefault="001F4F8E" w:rsidP="001F4F8E">
            <w:pPr>
              <w:jc w:val="right"/>
              <w:rPr>
                <w:color w:val="000000" w:themeColor="text1"/>
                <w:sz w:val="12"/>
                <w:szCs w:val="12"/>
              </w:rPr>
            </w:pPr>
            <w:r w:rsidRPr="00B9528E">
              <w:rPr>
                <w:rFonts w:cs="Calibri"/>
                <w:color w:val="000000" w:themeColor="text1"/>
                <w:sz w:val="12"/>
                <w:szCs w:val="12"/>
              </w:rPr>
              <w:t>430 589</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6703E4F" w14:textId="3DF7CD3E" w:rsidR="001F4F8E" w:rsidRPr="00B9528E" w:rsidRDefault="001F4F8E" w:rsidP="001F4F8E">
            <w:pPr>
              <w:jc w:val="right"/>
              <w:rPr>
                <w:color w:val="000000" w:themeColor="text1"/>
                <w:sz w:val="12"/>
                <w:szCs w:val="12"/>
              </w:rPr>
            </w:pPr>
            <w:r w:rsidRPr="00B9528E">
              <w:rPr>
                <w:rFonts w:cs="Calibri"/>
                <w:color w:val="000000" w:themeColor="text1"/>
                <w:sz w:val="12"/>
                <w:szCs w:val="12"/>
              </w:rPr>
              <w:t>9 941</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B133CE9" w14:textId="0DEF0E50"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440 530</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7C1472CF" w14:textId="4AAE3EB6"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338 557 </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378569EF" w14:textId="4F5C12AB"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8 779 </w:t>
            </w:r>
          </w:p>
        </w:tc>
        <w:tc>
          <w:tcPr>
            <w:tcW w:w="1134" w:type="dxa"/>
            <w:tcBorders>
              <w:top w:val="single" w:sz="4" w:space="0" w:color="0077BD"/>
              <w:left w:val="nil"/>
              <w:bottom w:val="single" w:sz="4" w:space="0" w:color="0077BD"/>
              <w:right w:val="nil"/>
            </w:tcBorders>
            <w:shd w:val="clear" w:color="auto" w:fill="auto"/>
            <w:vAlign w:val="center"/>
          </w:tcPr>
          <w:p w14:paraId="143DBDAF" w14:textId="0954F9D2"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347 336 </w:t>
            </w:r>
          </w:p>
        </w:tc>
      </w:tr>
      <w:tr w:rsidR="001F4F8E" w:rsidRPr="007939C3" w14:paraId="199E627A" w14:textId="77777777" w:rsidTr="00377B85">
        <w:trPr>
          <w:trHeight w:val="737"/>
          <w:jc w:val="center"/>
        </w:trPr>
        <w:tc>
          <w:tcPr>
            <w:tcW w:w="2835" w:type="dxa"/>
            <w:tcBorders>
              <w:top w:val="single" w:sz="4" w:space="0" w:color="0077BD"/>
              <w:left w:val="nil"/>
              <w:bottom w:val="single" w:sz="4" w:space="0" w:color="0077BD"/>
              <w:right w:val="single" w:sz="8" w:space="0" w:color="0070C0"/>
            </w:tcBorders>
            <w:shd w:val="clear" w:color="auto" w:fill="auto"/>
            <w:vAlign w:val="center"/>
            <w:hideMark/>
          </w:tcPr>
          <w:p w14:paraId="3C7FD597" w14:textId="77777777" w:rsidR="001F4F8E" w:rsidRPr="00B9528E" w:rsidRDefault="001F4F8E" w:rsidP="001F4F8E">
            <w:pPr>
              <w:rPr>
                <w:bCs/>
                <w:color w:val="000000" w:themeColor="text1"/>
                <w:sz w:val="13"/>
                <w:szCs w:val="13"/>
              </w:rPr>
            </w:pPr>
            <w:r w:rsidRPr="00B9528E">
              <w:rPr>
                <w:bCs/>
                <w:color w:val="000000" w:themeColor="text1"/>
                <w:sz w:val="13"/>
                <w:szCs w:val="13"/>
              </w:rPr>
              <w:t>Wynik na aktywach finansowych nieprzeznaczonych do obrotu wycenianych obowiązkowo w wartości godziwej przez wyniki finansowy</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F31E943" w14:textId="6689AB26" w:rsidR="001F4F8E" w:rsidRPr="00B9528E" w:rsidRDefault="001F4F8E" w:rsidP="001F4F8E">
            <w:pPr>
              <w:jc w:val="right"/>
              <w:rPr>
                <w:color w:val="000000" w:themeColor="text1"/>
                <w:sz w:val="12"/>
                <w:szCs w:val="12"/>
              </w:rPr>
            </w:pPr>
            <w:r w:rsidRPr="00B9528E">
              <w:rPr>
                <w:rFonts w:cs="Calibri"/>
                <w:color w:val="000000" w:themeColor="text1"/>
                <w:sz w:val="12"/>
                <w:szCs w:val="12"/>
              </w:rPr>
              <w:t>69 259</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8CE55EE" w14:textId="4A77B2A9"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EC353D7" w14:textId="2704C198"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69 259</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6744AC7" w14:textId="2CCB9116" w:rsidR="001F4F8E" w:rsidRPr="00B9528E" w:rsidRDefault="001F4F8E" w:rsidP="001F4F8E">
            <w:pPr>
              <w:jc w:val="right"/>
              <w:rPr>
                <w:color w:val="000000" w:themeColor="text1"/>
                <w:sz w:val="12"/>
                <w:szCs w:val="12"/>
              </w:rPr>
            </w:pPr>
            <w:r w:rsidRPr="00B9528E">
              <w:rPr>
                <w:rFonts w:cs="Calibri"/>
                <w:color w:val="000000" w:themeColor="text1"/>
                <w:sz w:val="12"/>
                <w:szCs w:val="12"/>
              </w:rPr>
              <w:t>(160 041)</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46658EE2" w14:textId="60889D3F"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   </w:t>
            </w:r>
          </w:p>
        </w:tc>
        <w:tc>
          <w:tcPr>
            <w:tcW w:w="1134" w:type="dxa"/>
            <w:tcBorders>
              <w:top w:val="single" w:sz="4" w:space="0" w:color="0077BD"/>
              <w:left w:val="nil"/>
              <w:bottom w:val="single" w:sz="4" w:space="0" w:color="0077BD"/>
              <w:right w:val="nil"/>
            </w:tcBorders>
            <w:shd w:val="clear" w:color="auto" w:fill="auto"/>
            <w:vAlign w:val="center"/>
          </w:tcPr>
          <w:p w14:paraId="41273EBB" w14:textId="05E03B6C"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(160 041)</w:t>
            </w:r>
          </w:p>
        </w:tc>
      </w:tr>
      <w:tr w:rsidR="001F4F8E" w:rsidRPr="007939C3" w14:paraId="24CC99C0" w14:textId="77777777" w:rsidTr="00377B85">
        <w:trPr>
          <w:trHeight w:val="907"/>
          <w:jc w:val="center"/>
        </w:trPr>
        <w:tc>
          <w:tcPr>
            <w:tcW w:w="2835" w:type="dxa"/>
            <w:tcBorders>
              <w:top w:val="single" w:sz="4" w:space="0" w:color="0077BD"/>
              <w:left w:val="nil"/>
              <w:bottom w:val="single" w:sz="4" w:space="0" w:color="0077BD"/>
              <w:right w:val="single" w:sz="8" w:space="0" w:color="0070C0"/>
            </w:tcBorders>
            <w:shd w:val="clear" w:color="auto" w:fill="auto"/>
            <w:vAlign w:val="center"/>
            <w:hideMark/>
          </w:tcPr>
          <w:p w14:paraId="6C34B44A" w14:textId="77777777" w:rsidR="001F4F8E" w:rsidRPr="00B9528E" w:rsidRDefault="001F4F8E" w:rsidP="001F4F8E">
            <w:pPr>
              <w:rPr>
                <w:bCs/>
                <w:color w:val="000000" w:themeColor="text1"/>
                <w:sz w:val="13"/>
                <w:szCs w:val="13"/>
              </w:rPr>
            </w:pPr>
            <w:r w:rsidRPr="00B9528E">
              <w:rPr>
                <w:bCs/>
                <w:color w:val="000000" w:themeColor="text1"/>
                <w:sz w:val="13"/>
                <w:szCs w:val="13"/>
              </w:rPr>
              <w:t>Wynik na aktywach i zobowiązaniach finansowych niewycenianych w wartości godziwej przez wynik finansowy oraz inwestycjach w jednostki zależne i stowarzyszone</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CF57025" w14:textId="6D0DDFC6" w:rsidR="001F4F8E" w:rsidRPr="00B9528E" w:rsidRDefault="001F4F8E" w:rsidP="001F4F8E">
            <w:pPr>
              <w:jc w:val="right"/>
              <w:rPr>
                <w:color w:val="000000" w:themeColor="text1"/>
                <w:sz w:val="12"/>
                <w:szCs w:val="12"/>
              </w:rPr>
            </w:pPr>
            <w:r w:rsidRPr="00B9528E">
              <w:rPr>
                <w:rFonts w:cs="Calibri"/>
                <w:color w:val="000000" w:themeColor="text1"/>
                <w:sz w:val="12"/>
                <w:szCs w:val="12"/>
              </w:rPr>
              <w:t>34 832</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EDC1F9F" w14:textId="484E9BBA"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DB5EAFB" w14:textId="7C83B656"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34 832</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7047F51" w14:textId="20C3DFD6"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14 495 </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629521FD" w14:textId="6A06EDA3"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   </w:t>
            </w:r>
          </w:p>
        </w:tc>
        <w:tc>
          <w:tcPr>
            <w:tcW w:w="1134" w:type="dxa"/>
            <w:tcBorders>
              <w:top w:val="single" w:sz="4" w:space="0" w:color="0077BD"/>
              <w:left w:val="nil"/>
              <w:bottom w:val="single" w:sz="4" w:space="0" w:color="0077BD"/>
              <w:right w:val="nil"/>
            </w:tcBorders>
            <w:shd w:val="clear" w:color="auto" w:fill="auto"/>
            <w:vAlign w:val="center"/>
          </w:tcPr>
          <w:p w14:paraId="0E45BF67" w14:textId="27C6A569"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14 495 </w:t>
            </w:r>
          </w:p>
        </w:tc>
      </w:tr>
      <w:tr w:rsidR="001F4F8E" w:rsidRPr="007939C3" w14:paraId="11B17BC3" w14:textId="77777777" w:rsidTr="00377B85">
        <w:trPr>
          <w:trHeight w:val="284"/>
          <w:jc w:val="center"/>
        </w:trPr>
        <w:tc>
          <w:tcPr>
            <w:tcW w:w="2835" w:type="dxa"/>
            <w:tcBorders>
              <w:top w:val="single" w:sz="4" w:space="0" w:color="0077BD"/>
              <w:left w:val="nil"/>
              <w:bottom w:val="single" w:sz="4" w:space="0" w:color="0077BD"/>
              <w:right w:val="single" w:sz="8" w:space="0" w:color="0070C0"/>
            </w:tcBorders>
            <w:shd w:val="clear" w:color="auto" w:fill="auto"/>
            <w:noWrap/>
            <w:vAlign w:val="center"/>
            <w:hideMark/>
          </w:tcPr>
          <w:p w14:paraId="58333197" w14:textId="77777777" w:rsidR="001F4F8E" w:rsidRPr="00B9528E" w:rsidRDefault="001F4F8E" w:rsidP="001F4F8E">
            <w:pPr>
              <w:rPr>
                <w:bCs/>
                <w:color w:val="000000" w:themeColor="text1"/>
                <w:sz w:val="13"/>
                <w:szCs w:val="13"/>
              </w:rPr>
            </w:pPr>
            <w:r w:rsidRPr="00B9528E">
              <w:rPr>
                <w:bCs/>
                <w:color w:val="000000" w:themeColor="text1"/>
                <w:sz w:val="13"/>
                <w:szCs w:val="13"/>
              </w:rPr>
              <w:t>Pozostałe przychody operacyjne</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F025BB3" w14:textId="0AB8FE86" w:rsidR="001F4F8E" w:rsidRPr="00B9528E" w:rsidRDefault="001F4F8E" w:rsidP="001F4F8E">
            <w:pPr>
              <w:jc w:val="right"/>
              <w:rPr>
                <w:color w:val="000000" w:themeColor="text1"/>
                <w:sz w:val="12"/>
                <w:szCs w:val="12"/>
              </w:rPr>
            </w:pPr>
            <w:r w:rsidRPr="00B9528E">
              <w:rPr>
                <w:rFonts w:cs="Calibri"/>
                <w:color w:val="000000" w:themeColor="text1"/>
                <w:sz w:val="12"/>
                <w:szCs w:val="12"/>
              </w:rPr>
              <w:t>229 078</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5884C6CE" w14:textId="760906E2" w:rsidR="001F4F8E" w:rsidRPr="00B9528E" w:rsidRDefault="001F4F8E" w:rsidP="001F4F8E">
            <w:pPr>
              <w:jc w:val="right"/>
              <w:rPr>
                <w:color w:val="000000" w:themeColor="text1"/>
                <w:sz w:val="12"/>
                <w:szCs w:val="12"/>
              </w:rPr>
            </w:pPr>
            <w:r w:rsidRPr="00B9528E">
              <w:rPr>
                <w:rFonts w:cs="Calibri"/>
                <w:color w:val="000000" w:themeColor="text1"/>
                <w:sz w:val="12"/>
                <w:szCs w:val="12"/>
              </w:rPr>
              <w:t>5 409</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8CBB270" w14:textId="63F70471"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234 487</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9895837" w14:textId="6251EDF3"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402 450 </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650A149D" w14:textId="0D981AA6"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2 544 </w:t>
            </w:r>
          </w:p>
        </w:tc>
        <w:tc>
          <w:tcPr>
            <w:tcW w:w="1134" w:type="dxa"/>
            <w:tcBorders>
              <w:top w:val="single" w:sz="4" w:space="0" w:color="0077BD"/>
              <w:left w:val="nil"/>
              <w:bottom w:val="single" w:sz="4" w:space="0" w:color="0077BD"/>
              <w:right w:val="nil"/>
            </w:tcBorders>
            <w:shd w:val="clear" w:color="auto" w:fill="auto"/>
            <w:vAlign w:val="center"/>
          </w:tcPr>
          <w:p w14:paraId="4EC5B4AF" w14:textId="31B8A23C"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404 994 </w:t>
            </w:r>
          </w:p>
        </w:tc>
      </w:tr>
      <w:tr w:rsidR="001F4F8E" w:rsidRPr="007939C3" w14:paraId="2D9AAEA4" w14:textId="77777777" w:rsidTr="00377B85">
        <w:trPr>
          <w:trHeight w:val="737"/>
          <w:jc w:val="center"/>
        </w:trPr>
        <w:tc>
          <w:tcPr>
            <w:tcW w:w="2835" w:type="dxa"/>
            <w:tcBorders>
              <w:top w:val="single" w:sz="4" w:space="0" w:color="0077BD"/>
              <w:left w:val="nil"/>
              <w:bottom w:val="single" w:sz="4" w:space="0" w:color="0077BD"/>
              <w:right w:val="single" w:sz="8" w:space="0" w:color="0070C0"/>
            </w:tcBorders>
            <w:shd w:val="clear" w:color="auto" w:fill="auto"/>
            <w:vAlign w:val="center"/>
            <w:hideMark/>
          </w:tcPr>
          <w:p w14:paraId="60E5A7AD" w14:textId="77777777" w:rsidR="001F4F8E" w:rsidRPr="00B9528E" w:rsidRDefault="001F4F8E" w:rsidP="001F4F8E">
            <w:pPr>
              <w:rPr>
                <w:bCs/>
                <w:color w:val="000000" w:themeColor="text1"/>
                <w:sz w:val="13"/>
                <w:szCs w:val="13"/>
              </w:rPr>
            </w:pPr>
            <w:r w:rsidRPr="00B9528E">
              <w:rPr>
                <w:bCs/>
                <w:color w:val="000000" w:themeColor="text1"/>
                <w:sz w:val="13"/>
                <w:szCs w:val="13"/>
              </w:rPr>
              <w:t>Utrata wartości lub odwrócenie utraty wartości z tytułu aktywów finansowych niewycenianych w wartości godziwej przez wynik finansowy</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55E8EC2" w14:textId="535A12BF" w:rsidR="001F4F8E" w:rsidRPr="00B9528E" w:rsidRDefault="001F4F8E" w:rsidP="001F4F8E">
            <w:pPr>
              <w:jc w:val="right"/>
              <w:rPr>
                <w:color w:val="000000" w:themeColor="text1"/>
                <w:sz w:val="12"/>
                <w:szCs w:val="12"/>
              </w:rPr>
            </w:pPr>
            <w:r w:rsidRPr="00B9528E">
              <w:rPr>
                <w:rFonts w:cs="Calibri"/>
                <w:color w:val="000000" w:themeColor="text1"/>
                <w:sz w:val="12"/>
                <w:szCs w:val="12"/>
              </w:rPr>
              <w:t>(706 028)</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7978C6E" w14:textId="418E12F6" w:rsidR="001F4F8E" w:rsidRPr="00B9528E" w:rsidRDefault="001F4F8E" w:rsidP="001F4F8E">
            <w:pPr>
              <w:jc w:val="right"/>
              <w:rPr>
                <w:color w:val="000000" w:themeColor="text1"/>
                <w:sz w:val="12"/>
                <w:szCs w:val="12"/>
              </w:rPr>
            </w:pPr>
            <w:r w:rsidRPr="00B9528E">
              <w:rPr>
                <w:rFonts w:cs="Calibri"/>
                <w:color w:val="000000" w:themeColor="text1"/>
                <w:sz w:val="12"/>
                <w:szCs w:val="12"/>
              </w:rPr>
              <w:t>(6 309)</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BF33DA4" w14:textId="16723EFE"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(712 337)</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D9082CA" w14:textId="691092DF" w:rsidR="001F4F8E" w:rsidRPr="00B9528E" w:rsidRDefault="001F4F8E" w:rsidP="001F4F8E">
            <w:pPr>
              <w:jc w:val="right"/>
              <w:rPr>
                <w:color w:val="000000" w:themeColor="text1"/>
                <w:sz w:val="12"/>
                <w:szCs w:val="12"/>
              </w:rPr>
            </w:pPr>
            <w:r w:rsidRPr="00B9528E">
              <w:rPr>
                <w:rFonts w:cs="Calibri"/>
                <w:color w:val="000000" w:themeColor="text1"/>
                <w:sz w:val="12"/>
                <w:szCs w:val="12"/>
              </w:rPr>
              <w:t>(507 719)</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7BF63A6C" w14:textId="06B76467" w:rsidR="001F4F8E" w:rsidRPr="00B9528E" w:rsidRDefault="001F4F8E" w:rsidP="001F4F8E">
            <w:pPr>
              <w:jc w:val="right"/>
              <w:rPr>
                <w:color w:val="000000" w:themeColor="text1"/>
                <w:sz w:val="12"/>
                <w:szCs w:val="12"/>
              </w:rPr>
            </w:pPr>
            <w:r w:rsidRPr="00B9528E">
              <w:rPr>
                <w:rFonts w:cs="Calibri"/>
                <w:color w:val="000000" w:themeColor="text1"/>
                <w:sz w:val="12"/>
                <w:szCs w:val="12"/>
              </w:rPr>
              <w:t>(19 854)</w:t>
            </w:r>
          </w:p>
        </w:tc>
        <w:tc>
          <w:tcPr>
            <w:tcW w:w="1134" w:type="dxa"/>
            <w:tcBorders>
              <w:top w:val="single" w:sz="4" w:space="0" w:color="0077BD"/>
              <w:left w:val="nil"/>
              <w:bottom w:val="single" w:sz="4" w:space="0" w:color="0077BD"/>
              <w:right w:val="nil"/>
            </w:tcBorders>
            <w:shd w:val="clear" w:color="auto" w:fill="auto"/>
            <w:vAlign w:val="center"/>
          </w:tcPr>
          <w:p w14:paraId="302C4688" w14:textId="549F12E1"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(527 573)</w:t>
            </w:r>
          </w:p>
        </w:tc>
      </w:tr>
      <w:tr w:rsidR="001F4F8E" w:rsidRPr="007939C3" w14:paraId="688F6AD4" w14:textId="77777777" w:rsidTr="00377B85">
        <w:trPr>
          <w:trHeight w:val="340"/>
          <w:jc w:val="center"/>
        </w:trPr>
        <w:tc>
          <w:tcPr>
            <w:tcW w:w="2835" w:type="dxa"/>
            <w:tcBorders>
              <w:top w:val="single" w:sz="4" w:space="0" w:color="0077BD"/>
              <w:left w:val="nil"/>
              <w:bottom w:val="single" w:sz="4" w:space="0" w:color="0077BD"/>
              <w:right w:val="single" w:sz="8" w:space="0" w:color="0070C0"/>
            </w:tcBorders>
            <w:shd w:val="clear" w:color="auto" w:fill="auto"/>
            <w:noWrap/>
            <w:vAlign w:val="center"/>
          </w:tcPr>
          <w:p w14:paraId="4FC8D1DF" w14:textId="6F059F88" w:rsidR="001F4F8E" w:rsidRPr="00B9528E" w:rsidRDefault="001F4F8E" w:rsidP="001F4F8E">
            <w:pPr>
              <w:rPr>
                <w:bCs/>
                <w:color w:val="000000" w:themeColor="text1"/>
                <w:sz w:val="13"/>
                <w:szCs w:val="13"/>
              </w:rPr>
            </w:pPr>
            <w:r w:rsidRPr="00B9528E">
              <w:rPr>
                <w:rFonts w:cs="Calibri"/>
                <w:color w:val="000000" w:themeColor="text1"/>
                <w:sz w:val="13"/>
                <w:szCs w:val="13"/>
              </w:rPr>
              <w:t>Wynik z tytułu rezerw na ryzyko prawne związane z kredytami walutowymi</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6284375" w14:textId="027A3E96" w:rsidR="001F4F8E" w:rsidRPr="00B9528E" w:rsidRDefault="001F4F8E" w:rsidP="001F4F8E">
            <w:pPr>
              <w:jc w:val="right"/>
              <w:rPr>
                <w:color w:val="000000" w:themeColor="text1"/>
                <w:sz w:val="12"/>
                <w:szCs w:val="12"/>
              </w:rPr>
            </w:pPr>
            <w:r w:rsidRPr="00B9528E">
              <w:rPr>
                <w:rFonts w:cs="Calibri"/>
                <w:color w:val="000000" w:themeColor="text1"/>
                <w:sz w:val="12"/>
                <w:szCs w:val="12"/>
              </w:rPr>
              <w:t>(387 786)</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1B0CB7A" w14:textId="26BFC474"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67AD757" w14:textId="37E744E1"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(387 786)</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11A42483" w14:textId="66BE37D1" w:rsidR="001F4F8E" w:rsidRPr="00B9528E" w:rsidRDefault="001F4F8E" w:rsidP="001F4F8E">
            <w:pPr>
              <w:jc w:val="right"/>
              <w:rPr>
                <w:color w:val="000000" w:themeColor="text1"/>
                <w:sz w:val="12"/>
                <w:szCs w:val="12"/>
              </w:rPr>
            </w:pPr>
            <w:r w:rsidRPr="00B9528E">
              <w:rPr>
                <w:rFonts w:cs="Calibri"/>
                <w:color w:val="000000" w:themeColor="text1"/>
                <w:sz w:val="12"/>
                <w:szCs w:val="12"/>
              </w:rPr>
              <w:t>(20 349)</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61196B63" w14:textId="48B80E9F" w:rsidR="001F4F8E" w:rsidRPr="00B9528E" w:rsidRDefault="001F4F8E" w:rsidP="001F4F8E">
            <w:pPr>
              <w:jc w:val="right"/>
              <w:rPr>
                <w:color w:val="000000" w:themeColor="text1"/>
                <w:sz w:val="12"/>
                <w:szCs w:val="12"/>
              </w:rPr>
            </w:pPr>
            <w:r w:rsidRPr="00B9528E">
              <w:rPr>
                <w:color w:val="000000" w:themeColor="text1"/>
                <w:sz w:val="12"/>
                <w:szCs w:val="12"/>
              </w:rPr>
              <w:t>-</w:t>
            </w:r>
          </w:p>
        </w:tc>
        <w:tc>
          <w:tcPr>
            <w:tcW w:w="1134" w:type="dxa"/>
            <w:tcBorders>
              <w:top w:val="single" w:sz="4" w:space="0" w:color="0077BD"/>
              <w:left w:val="nil"/>
              <w:bottom w:val="single" w:sz="4" w:space="0" w:color="0077BD"/>
              <w:right w:val="nil"/>
            </w:tcBorders>
            <w:shd w:val="clear" w:color="auto" w:fill="auto"/>
            <w:vAlign w:val="center"/>
          </w:tcPr>
          <w:p w14:paraId="27399ED7" w14:textId="33076F20"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(20 349)</w:t>
            </w:r>
          </w:p>
        </w:tc>
      </w:tr>
      <w:tr w:rsidR="001F4F8E" w:rsidRPr="007939C3" w14:paraId="70704EB0" w14:textId="77777777" w:rsidTr="00377B85">
        <w:trPr>
          <w:trHeight w:val="284"/>
          <w:jc w:val="center"/>
        </w:trPr>
        <w:tc>
          <w:tcPr>
            <w:tcW w:w="2835" w:type="dxa"/>
            <w:tcBorders>
              <w:top w:val="single" w:sz="4" w:space="0" w:color="0077BD"/>
              <w:left w:val="nil"/>
              <w:bottom w:val="single" w:sz="4" w:space="0" w:color="0077BD"/>
              <w:right w:val="single" w:sz="8" w:space="0" w:color="0070C0"/>
            </w:tcBorders>
            <w:shd w:val="clear" w:color="auto" w:fill="auto"/>
            <w:noWrap/>
            <w:vAlign w:val="center"/>
            <w:hideMark/>
          </w:tcPr>
          <w:p w14:paraId="222A9E40" w14:textId="77777777" w:rsidR="001F4F8E" w:rsidRPr="00B9528E" w:rsidRDefault="001F4F8E" w:rsidP="001F4F8E">
            <w:pPr>
              <w:rPr>
                <w:bCs/>
                <w:color w:val="000000" w:themeColor="text1"/>
                <w:sz w:val="13"/>
                <w:szCs w:val="13"/>
              </w:rPr>
            </w:pPr>
            <w:r w:rsidRPr="00B9528E">
              <w:rPr>
                <w:bCs/>
                <w:color w:val="000000" w:themeColor="text1"/>
                <w:sz w:val="13"/>
                <w:szCs w:val="13"/>
              </w:rPr>
              <w:t>Ogólne koszty administracyjne</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5805BA77" w14:textId="25E06651" w:rsidR="001F4F8E" w:rsidRPr="00B9528E" w:rsidRDefault="001F4F8E" w:rsidP="001F4F8E">
            <w:pPr>
              <w:jc w:val="right"/>
              <w:rPr>
                <w:color w:val="000000" w:themeColor="text1"/>
                <w:sz w:val="12"/>
                <w:szCs w:val="12"/>
              </w:rPr>
            </w:pPr>
            <w:r w:rsidRPr="00B9528E">
              <w:rPr>
                <w:rFonts w:cs="Calibri"/>
                <w:color w:val="000000" w:themeColor="text1"/>
                <w:sz w:val="12"/>
                <w:szCs w:val="12"/>
              </w:rPr>
              <w:t>(1 819 080)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ECF506D" w14:textId="2CC2098B" w:rsidR="001F4F8E" w:rsidRPr="00B9528E" w:rsidRDefault="001F4F8E" w:rsidP="001F4F8E">
            <w:pPr>
              <w:jc w:val="right"/>
              <w:rPr>
                <w:color w:val="000000" w:themeColor="text1"/>
                <w:sz w:val="12"/>
                <w:szCs w:val="12"/>
              </w:rPr>
            </w:pPr>
            <w:r w:rsidRPr="00B9528E">
              <w:rPr>
                <w:rFonts w:cs="Calibri"/>
                <w:color w:val="000000" w:themeColor="text1"/>
                <w:sz w:val="12"/>
                <w:szCs w:val="12"/>
              </w:rPr>
              <w:t>(134 577)</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24D66B4" w14:textId="3E4A44D4"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(1 953 657)</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E69B9AC" w14:textId="64637FB1" w:rsidR="001F4F8E" w:rsidRPr="00B9528E" w:rsidRDefault="001F4F8E" w:rsidP="001F4F8E">
            <w:pPr>
              <w:jc w:val="right"/>
              <w:rPr>
                <w:color w:val="000000" w:themeColor="text1"/>
                <w:sz w:val="12"/>
                <w:szCs w:val="12"/>
              </w:rPr>
            </w:pPr>
            <w:r w:rsidRPr="00B9528E">
              <w:rPr>
                <w:rFonts w:cs="Calibri"/>
                <w:color w:val="000000" w:themeColor="text1"/>
                <w:sz w:val="12"/>
                <w:szCs w:val="12"/>
              </w:rPr>
              <w:t>(1 779 253)</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0904AA65" w14:textId="00BCD3E1" w:rsidR="001F4F8E" w:rsidRPr="00B9528E" w:rsidRDefault="001F4F8E" w:rsidP="001F4F8E">
            <w:pPr>
              <w:jc w:val="right"/>
              <w:rPr>
                <w:color w:val="000000" w:themeColor="text1"/>
                <w:sz w:val="12"/>
                <w:szCs w:val="12"/>
              </w:rPr>
            </w:pPr>
            <w:r w:rsidRPr="00B9528E">
              <w:rPr>
                <w:rFonts w:cs="Calibri"/>
                <w:color w:val="000000" w:themeColor="text1"/>
                <w:sz w:val="12"/>
                <w:szCs w:val="12"/>
              </w:rPr>
              <w:t>(132 087)</w:t>
            </w:r>
          </w:p>
        </w:tc>
        <w:tc>
          <w:tcPr>
            <w:tcW w:w="1134" w:type="dxa"/>
            <w:tcBorders>
              <w:top w:val="single" w:sz="4" w:space="0" w:color="0077BD"/>
              <w:left w:val="nil"/>
              <w:bottom w:val="single" w:sz="4" w:space="0" w:color="0077BD"/>
              <w:right w:val="nil"/>
            </w:tcBorders>
            <w:shd w:val="clear" w:color="auto" w:fill="auto"/>
            <w:vAlign w:val="center"/>
          </w:tcPr>
          <w:p w14:paraId="13098CEE" w14:textId="0686B431"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(1 911 340)</w:t>
            </w:r>
          </w:p>
        </w:tc>
      </w:tr>
      <w:tr w:rsidR="001F4F8E" w:rsidRPr="007939C3" w14:paraId="618B1A83" w14:textId="77777777" w:rsidTr="00377B85">
        <w:trPr>
          <w:trHeight w:val="284"/>
          <w:jc w:val="center"/>
        </w:trPr>
        <w:tc>
          <w:tcPr>
            <w:tcW w:w="2835" w:type="dxa"/>
            <w:tcBorders>
              <w:top w:val="single" w:sz="4" w:space="0" w:color="0077BD"/>
              <w:left w:val="nil"/>
              <w:bottom w:val="single" w:sz="4" w:space="0" w:color="0077BD"/>
              <w:right w:val="single" w:sz="8" w:space="0" w:color="0070C0"/>
            </w:tcBorders>
            <w:shd w:val="clear" w:color="auto" w:fill="auto"/>
            <w:noWrap/>
            <w:vAlign w:val="center"/>
            <w:hideMark/>
          </w:tcPr>
          <w:p w14:paraId="1F87BA0A" w14:textId="77777777" w:rsidR="001F4F8E" w:rsidRPr="00B9528E" w:rsidRDefault="001F4F8E" w:rsidP="001F4F8E">
            <w:pPr>
              <w:rPr>
                <w:bCs/>
                <w:color w:val="000000" w:themeColor="text1"/>
                <w:sz w:val="13"/>
                <w:szCs w:val="13"/>
              </w:rPr>
            </w:pPr>
            <w:r w:rsidRPr="00B9528E">
              <w:rPr>
                <w:bCs/>
                <w:color w:val="000000" w:themeColor="text1"/>
                <w:sz w:val="13"/>
                <w:szCs w:val="13"/>
              </w:rPr>
              <w:t>Amortyzacja</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4F8CE1A" w14:textId="2AF4E45A" w:rsidR="001F4F8E" w:rsidRPr="00B9528E" w:rsidRDefault="001F4F8E" w:rsidP="001F4F8E">
            <w:pPr>
              <w:jc w:val="right"/>
              <w:rPr>
                <w:color w:val="000000" w:themeColor="text1"/>
                <w:sz w:val="12"/>
                <w:szCs w:val="12"/>
              </w:rPr>
            </w:pPr>
            <w:r w:rsidRPr="00B9528E">
              <w:rPr>
                <w:rFonts w:cs="Calibri"/>
                <w:color w:val="000000" w:themeColor="text1"/>
                <w:sz w:val="12"/>
                <w:szCs w:val="12"/>
              </w:rPr>
              <w:t>(362 370)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8078553" w14:textId="0FE915C8" w:rsidR="001F4F8E" w:rsidRPr="00B9528E" w:rsidRDefault="001F4F8E" w:rsidP="001F4F8E">
            <w:pPr>
              <w:jc w:val="right"/>
              <w:rPr>
                <w:color w:val="000000" w:themeColor="text1"/>
                <w:sz w:val="12"/>
                <w:szCs w:val="12"/>
              </w:rPr>
            </w:pPr>
            <w:r w:rsidRPr="00B9528E">
              <w:rPr>
                <w:rFonts w:cs="Calibri"/>
                <w:color w:val="000000" w:themeColor="text1"/>
                <w:sz w:val="12"/>
                <w:szCs w:val="12"/>
              </w:rPr>
              <w:t>(13 128)</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3929EBC" w14:textId="423F51BB"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(375 498)</w:t>
            </w:r>
          </w:p>
        </w:tc>
        <w:tc>
          <w:tcPr>
            <w:tcW w:w="113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AE08D7C" w14:textId="4CD91CD5" w:rsidR="001F4F8E" w:rsidRPr="00B9528E" w:rsidRDefault="001F4F8E" w:rsidP="001F4F8E">
            <w:pPr>
              <w:jc w:val="right"/>
              <w:rPr>
                <w:color w:val="000000" w:themeColor="text1"/>
                <w:sz w:val="12"/>
                <w:szCs w:val="12"/>
              </w:rPr>
            </w:pPr>
            <w:r w:rsidRPr="00B9528E">
              <w:rPr>
                <w:rFonts w:cs="Calibri"/>
                <w:color w:val="000000" w:themeColor="text1"/>
                <w:sz w:val="12"/>
                <w:szCs w:val="12"/>
              </w:rPr>
              <w:t>(247 951)</w:t>
            </w:r>
          </w:p>
        </w:tc>
        <w:tc>
          <w:tcPr>
            <w:tcW w:w="1134" w:type="dxa"/>
            <w:tcBorders>
              <w:top w:val="single" w:sz="4" w:space="0" w:color="0077BD"/>
              <w:left w:val="nil"/>
              <w:bottom w:val="single" w:sz="4" w:space="0" w:color="0077BD"/>
              <w:right w:val="single" w:sz="8" w:space="0" w:color="0077BD"/>
            </w:tcBorders>
            <w:shd w:val="clear" w:color="auto" w:fill="auto"/>
            <w:vAlign w:val="center"/>
          </w:tcPr>
          <w:p w14:paraId="63A072D6" w14:textId="48B9B572" w:rsidR="001F4F8E" w:rsidRPr="00B9528E" w:rsidRDefault="001F4F8E" w:rsidP="001F4F8E">
            <w:pPr>
              <w:jc w:val="right"/>
              <w:rPr>
                <w:color w:val="000000" w:themeColor="text1"/>
                <w:sz w:val="12"/>
                <w:szCs w:val="12"/>
              </w:rPr>
            </w:pPr>
            <w:r w:rsidRPr="00B9528E">
              <w:rPr>
                <w:rFonts w:cs="Calibri"/>
                <w:color w:val="000000" w:themeColor="text1"/>
                <w:sz w:val="12"/>
                <w:szCs w:val="12"/>
              </w:rPr>
              <w:t>(4 641)</w:t>
            </w:r>
          </w:p>
        </w:tc>
        <w:tc>
          <w:tcPr>
            <w:tcW w:w="1134" w:type="dxa"/>
            <w:tcBorders>
              <w:top w:val="single" w:sz="4" w:space="0" w:color="0077BD"/>
              <w:left w:val="nil"/>
              <w:bottom w:val="single" w:sz="4" w:space="0" w:color="0077BD"/>
              <w:right w:val="nil"/>
            </w:tcBorders>
            <w:shd w:val="clear" w:color="auto" w:fill="auto"/>
            <w:vAlign w:val="center"/>
          </w:tcPr>
          <w:p w14:paraId="1D625CB4" w14:textId="27DD465E"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(252 592)</w:t>
            </w:r>
          </w:p>
        </w:tc>
      </w:tr>
      <w:tr w:rsidR="001F4F8E" w:rsidRPr="007939C3" w14:paraId="4FEC2655" w14:textId="77777777" w:rsidTr="00377B85">
        <w:trPr>
          <w:trHeight w:val="284"/>
          <w:jc w:val="center"/>
        </w:trPr>
        <w:tc>
          <w:tcPr>
            <w:tcW w:w="2835" w:type="dxa"/>
            <w:tcBorders>
              <w:top w:val="single" w:sz="4" w:space="0" w:color="0077BD"/>
              <w:left w:val="nil"/>
              <w:bottom w:val="single" w:sz="8" w:space="0" w:color="0070C0"/>
              <w:right w:val="single" w:sz="8" w:space="0" w:color="0070C0"/>
            </w:tcBorders>
            <w:shd w:val="clear" w:color="auto" w:fill="auto"/>
            <w:noWrap/>
            <w:vAlign w:val="center"/>
            <w:hideMark/>
          </w:tcPr>
          <w:p w14:paraId="30850B7A" w14:textId="77777777" w:rsidR="001F4F8E" w:rsidRPr="00B9528E" w:rsidRDefault="001F4F8E" w:rsidP="001F4F8E">
            <w:pPr>
              <w:rPr>
                <w:bCs/>
                <w:color w:val="000000" w:themeColor="text1"/>
                <w:sz w:val="13"/>
                <w:szCs w:val="13"/>
              </w:rPr>
            </w:pPr>
            <w:r w:rsidRPr="00B9528E">
              <w:rPr>
                <w:bCs/>
                <w:color w:val="000000" w:themeColor="text1"/>
                <w:sz w:val="13"/>
                <w:szCs w:val="13"/>
              </w:rPr>
              <w:t>Pozostałe koszty operacyjne</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7B1612C5" w14:textId="7BF55F43" w:rsidR="001F4F8E" w:rsidRPr="00B9528E" w:rsidRDefault="001F4F8E" w:rsidP="001F4F8E">
            <w:pPr>
              <w:jc w:val="right"/>
              <w:rPr>
                <w:color w:val="000000" w:themeColor="text1"/>
                <w:sz w:val="12"/>
                <w:szCs w:val="12"/>
              </w:rPr>
            </w:pPr>
            <w:r w:rsidRPr="00B9528E">
              <w:rPr>
                <w:rFonts w:cs="Calibri"/>
                <w:color w:val="000000" w:themeColor="text1"/>
                <w:sz w:val="12"/>
                <w:szCs w:val="12"/>
              </w:rPr>
              <w:t>(303 212)</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18DB0C66" w14:textId="0F5483BB" w:rsidR="001F4F8E" w:rsidRPr="00B9528E" w:rsidRDefault="001F4F8E" w:rsidP="001F4F8E">
            <w:pPr>
              <w:jc w:val="right"/>
              <w:rPr>
                <w:color w:val="000000" w:themeColor="text1"/>
                <w:sz w:val="12"/>
                <w:szCs w:val="12"/>
              </w:rPr>
            </w:pPr>
            <w:r w:rsidRPr="00B9528E">
              <w:rPr>
                <w:rFonts w:cs="Calibri"/>
                <w:color w:val="000000" w:themeColor="text1"/>
                <w:sz w:val="12"/>
                <w:szCs w:val="12"/>
              </w:rPr>
              <w:t>(4 510)</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26777036" w14:textId="122F4F2C"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(307 722)</w:t>
            </w:r>
          </w:p>
        </w:tc>
        <w:tc>
          <w:tcPr>
            <w:tcW w:w="1134" w:type="dxa"/>
            <w:tcBorders>
              <w:top w:val="single" w:sz="4" w:space="0" w:color="0077BD"/>
              <w:left w:val="single" w:sz="8" w:space="0" w:color="0077BD"/>
              <w:bottom w:val="single" w:sz="8" w:space="0" w:color="0077BD"/>
              <w:right w:val="single" w:sz="8" w:space="0" w:color="0077BD"/>
            </w:tcBorders>
            <w:shd w:val="clear" w:color="auto" w:fill="auto"/>
            <w:vAlign w:val="center"/>
          </w:tcPr>
          <w:p w14:paraId="4F188236" w14:textId="073E61DE" w:rsidR="001F4F8E" w:rsidRPr="00B9528E" w:rsidRDefault="001F4F8E" w:rsidP="001F4F8E">
            <w:pPr>
              <w:jc w:val="right"/>
              <w:rPr>
                <w:color w:val="000000" w:themeColor="text1"/>
                <w:sz w:val="12"/>
                <w:szCs w:val="12"/>
              </w:rPr>
            </w:pPr>
            <w:r w:rsidRPr="00B9528E">
              <w:rPr>
                <w:rFonts w:cs="Calibri"/>
                <w:color w:val="000000" w:themeColor="text1"/>
                <w:sz w:val="12"/>
                <w:szCs w:val="12"/>
              </w:rPr>
              <w:t>(167 590)</w:t>
            </w:r>
          </w:p>
        </w:tc>
        <w:tc>
          <w:tcPr>
            <w:tcW w:w="1134" w:type="dxa"/>
            <w:tcBorders>
              <w:top w:val="single" w:sz="4" w:space="0" w:color="0077BD"/>
              <w:left w:val="nil"/>
              <w:bottom w:val="single" w:sz="8" w:space="0" w:color="0077BD"/>
              <w:right w:val="single" w:sz="8" w:space="0" w:color="0077BD"/>
            </w:tcBorders>
            <w:shd w:val="clear" w:color="auto" w:fill="auto"/>
            <w:vAlign w:val="center"/>
          </w:tcPr>
          <w:p w14:paraId="7A482D1A" w14:textId="2B7B7B28" w:rsidR="001F4F8E" w:rsidRPr="00B9528E" w:rsidRDefault="001F4F8E" w:rsidP="001F4F8E">
            <w:pPr>
              <w:jc w:val="right"/>
              <w:rPr>
                <w:color w:val="000000" w:themeColor="text1"/>
                <w:sz w:val="12"/>
                <w:szCs w:val="12"/>
              </w:rPr>
            </w:pPr>
            <w:r w:rsidRPr="00B9528E">
              <w:rPr>
                <w:rFonts w:cs="Calibri"/>
                <w:color w:val="000000" w:themeColor="text1"/>
                <w:sz w:val="12"/>
                <w:szCs w:val="12"/>
              </w:rPr>
              <w:t>(2 388)</w:t>
            </w:r>
          </w:p>
        </w:tc>
        <w:tc>
          <w:tcPr>
            <w:tcW w:w="1134" w:type="dxa"/>
            <w:tcBorders>
              <w:top w:val="single" w:sz="4" w:space="0" w:color="0077BD"/>
              <w:left w:val="nil"/>
              <w:bottom w:val="single" w:sz="8" w:space="0" w:color="0077BD"/>
              <w:right w:val="nil"/>
            </w:tcBorders>
            <w:shd w:val="clear" w:color="auto" w:fill="auto"/>
            <w:vAlign w:val="center"/>
          </w:tcPr>
          <w:p w14:paraId="3DF73655" w14:textId="0744AD43"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(169 978)</w:t>
            </w:r>
          </w:p>
        </w:tc>
      </w:tr>
      <w:tr w:rsidR="001F4F8E" w:rsidRPr="007939C3" w14:paraId="545ED2F6" w14:textId="77777777" w:rsidTr="00F0324E">
        <w:trPr>
          <w:trHeight w:val="284"/>
          <w:jc w:val="center"/>
        </w:trPr>
        <w:tc>
          <w:tcPr>
            <w:tcW w:w="2835" w:type="dxa"/>
            <w:tcBorders>
              <w:top w:val="nil"/>
              <w:left w:val="nil"/>
              <w:bottom w:val="single" w:sz="8" w:space="0" w:color="0070C0"/>
              <w:right w:val="single" w:sz="8" w:space="0" w:color="0070C0"/>
            </w:tcBorders>
            <w:shd w:val="clear" w:color="auto" w:fill="auto"/>
            <w:noWrap/>
            <w:vAlign w:val="center"/>
            <w:hideMark/>
          </w:tcPr>
          <w:p w14:paraId="31876159" w14:textId="77777777" w:rsidR="001F4F8E" w:rsidRPr="00B9528E" w:rsidRDefault="001F4F8E" w:rsidP="001F4F8E">
            <w:pPr>
              <w:rPr>
                <w:b/>
                <w:bCs/>
                <w:color w:val="000000" w:themeColor="text1"/>
                <w:sz w:val="13"/>
                <w:szCs w:val="13"/>
              </w:rPr>
            </w:pPr>
            <w:r w:rsidRPr="00B9528E">
              <w:rPr>
                <w:b/>
                <w:bCs/>
                <w:color w:val="000000" w:themeColor="text1"/>
                <w:sz w:val="13"/>
                <w:szCs w:val="13"/>
              </w:rPr>
              <w:t>Wynik działalności operacyjnej</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31AE5E56" w14:textId="7892E322" w:rsidR="001F4F8E" w:rsidRPr="00B9528E" w:rsidRDefault="001F4F8E" w:rsidP="001F4F8E">
            <w:pPr>
              <w:jc w:val="right"/>
              <w:rPr>
                <w:b/>
                <w:color w:val="000000" w:themeColor="text1"/>
                <w:sz w:val="12"/>
                <w:szCs w:val="12"/>
              </w:rPr>
            </w:pPr>
            <w:r w:rsidRPr="00B9528E">
              <w:rPr>
                <w:rFonts w:cs="Calibri"/>
                <w:b/>
                <w:color w:val="000000" w:themeColor="text1"/>
                <w:sz w:val="12"/>
                <w:szCs w:val="12"/>
              </w:rPr>
              <w:t>1 884 669</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0965DC44" w14:textId="362092C7" w:rsidR="001F4F8E" w:rsidRPr="00B9528E" w:rsidRDefault="001F4F8E" w:rsidP="001F4F8E">
            <w:pPr>
              <w:jc w:val="right"/>
              <w:rPr>
                <w:b/>
                <w:color w:val="000000" w:themeColor="text1"/>
                <w:sz w:val="12"/>
                <w:szCs w:val="12"/>
              </w:rPr>
            </w:pPr>
            <w:r w:rsidRPr="00B9528E">
              <w:rPr>
                <w:rFonts w:cs="Calibri"/>
                <w:b/>
                <w:color w:val="000000" w:themeColor="text1"/>
                <w:sz w:val="12"/>
                <w:szCs w:val="12"/>
              </w:rPr>
              <w:t>129 034</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23BFDA12" w14:textId="1AABA6D9" w:rsidR="001F4F8E" w:rsidRPr="00B9528E" w:rsidRDefault="001F4F8E" w:rsidP="001F4F8E">
            <w:pPr>
              <w:jc w:val="right"/>
              <w:rPr>
                <w:b/>
                <w:bCs/>
                <w:color w:val="000000" w:themeColor="text1"/>
                <w:sz w:val="12"/>
                <w:szCs w:val="12"/>
              </w:rPr>
            </w:pPr>
            <w:r w:rsidRPr="00B9528E">
              <w:rPr>
                <w:rFonts w:cs="Calibri"/>
                <w:b/>
                <w:bCs/>
                <w:color w:val="000000" w:themeColor="text1"/>
                <w:sz w:val="12"/>
                <w:szCs w:val="12"/>
              </w:rPr>
              <w:t>2 013 703</w:t>
            </w:r>
          </w:p>
        </w:tc>
        <w:tc>
          <w:tcPr>
            <w:tcW w:w="1134" w:type="dxa"/>
            <w:tcBorders>
              <w:top w:val="nil"/>
              <w:left w:val="single" w:sz="8" w:space="0" w:color="0077BD"/>
              <w:bottom w:val="single" w:sz="8" w:space="0" w:color="0077BD"/>
              <w:right w:val="single" w:sz="8" w:space="0" w:color="0077BD"/>
            </w:tcBorders>
            <w:shd w:val="clear" w:color="auto" w:fill="auto"/>
            <w:vAlign w:val="center"/>
          </w:tcPr>
          <w:p w14:paraId="121DB551" w14:textId="31CF61B2" w:rsidR="001F4F8E" w:rsidRPr="00B9528E" w:rsidRDefault="001F4F8E" w:rsidP="001F4F8E">
            <w:pPr>
              <w:jc w:val="right"/>
              <w:rPr>
                <w:b/>
                <w:color w:val="000000" w:themeColor="text1"/>
                <w:sz w:val="12"/>
                <w:szCs w:val="12"/>
              </w:rPr>
            </w:pPr>
            <w:r w:rsidRPr="00B9528E">
              <w:rPr>
                <w:rFonts w:cs="Calibri"/>
                <w:b/>
                <w:color w:val="000000" w:themeColor="text1"/>
                <w:sz w:val="12"/>
                <w:szCs w:val="12"/>
              </w:rPr>
              <w:t xml:space="preserve">2 138 518 </w:t>
            </w:r>
          </w:p>
        </w:tc>
        <w:tc>
          <w:tcPr>
            <w:tcW w:w="1134" w:type="dxa"/>
            <w:tcBorders>
              <w:top w:val="nil"/>
              <w:left w:val="nil"/>
              <w:bottom w:val="single" w:sz="8" w:space="0" w:color="0077BD"/>
              <w:right w:val="single" w:sz="8" w:space="0" w:color="0077BD"/>
            </w:tcBorders>
            <w:shd w:val="clear" w:color="auto" w:fill="auto"/>
            <w:vAlign w:val="center"/>
          </w:tcPr>
          <w:p w14:paraId="18C19090" w14:textId="20F17400" w:rsidR="001F4F8E" w:rsidRPr="00B9528E" w:rsidRDefault="001F4F8E" w:rsidP="001F4F8E">
            <w:pPr>
              <w:jc w:val="right"/>
              <w:rPr>
                <w:b/>
                <w:color w:val="000000" w:themeColor="text1"/>
                <w:sz w:val="12"/>
                <w:szCs w:val="12"/>
              </w:rPr>
            </w:pPr>
            <w:r w:rsidRPr="00B9528E">
              <w:rPr>
                <w:rFonts w:cs="Calibri"/>
                <w:b/>
                <w:color w:val="000000" w:themeColor="text1"/>
                <w:sz w:val="12"/>
                <w:szCs w:val="12"/>
              </w:rPr>
              <w:t xml:space="preserve">62 316 </w:t>
            </w:r>
          </w:p>
        </w:tc>
        <w:tc>
          <w:tcPr>
            <w:tcW w:w="1134" w:type="dxa"/>
            <w:tcBorders>
              <w:top w:val="nil"/>
              <w:left w:val="nil"/>
              <w:bottom w:val="single" w:sz="8" w:space="0" w:color="0077BD"/>
              <w:right w:val="nil"/>
            </w:tcBorders>
            <w:shd w:val="clear" w:color="auto" w:fill="auto"/>
            <w:vAlign w:val="center"/>
          </w:tcPr>
          <w:p w14:paraId="54D39743" w14:textId="0A1B36A5" w:rsidR="001F4F8E" w:rsidRPr="00B9528E" w:rsidRDefault="001F4F8E" w:rsidP="001F4F8E">
            <w:pPr>
              <w:jc w:val="right"/>
              <w:rPr>
                <w:b/>
                <w:bCs/>
                <w:color w:val="000000" w:themeColor="text1"/>
                <w:sz w:val="12"/>
                <w:szCs w:val="12"/>
              </w:rPr>
            </w:pPr>
            <w:r w:rsidRPr="00B9528E">
              <w:rPr>
                <w:rFonts w:cs="Calibri"/>
                <w:b/>
                <w:bCs/>
                <w:color w:val="000000" w:themeColor="text1"/>
                <w:sz w:val="12"/>
                <w:szCs w:val="12"/>
              </w:rPr>
              <w:t xml:space="preserve">2 200 834 </w:t>
            </w:r>
          </w:p>
        </w:tc>
      </w:tr>
      <w:tr w:rsidR="001F4F8E" w:rsidRPr="007939C3" w14:paraId="17BACAFC" w14:textId="77777777" w:rsidTr="00377B85">
        <w:trPr>
          <w:trHeight w:val="284"/>
          <w:jc w:val="center"/>
        </w:trPr>
        <w:tc>
          <w:tcPr>
            <w:tcW w:w="2835" w:type="dxa"/>
            <w:tcBorders>
              <w:top w:val="single" w:sz="8" w:space="0" w:color="0077BD"/>
              <w:left w:val="nil"/>
              <w:bottom w:val="single" w:sz="4" w:space="0" w:color="0077BD"/>
              <w:right w:val="single" w:sz="8" w:space="0" w:color="0077BD"/>
            </w:tcBorders>
            <w:shd w:val="clear" w:color="auto" w:fill="auto"/>
            <w:noWrap/>
            <w:vAlign w:val="center"/>
            <w:hideMark/>
          </w:tcPr>
          <w:p w14:paraId="54CFF73D" w14:textId="77777777" w:rsidR="001F4F8E" w:rsidRPr="00B9528E" w:rsidRDefault="001F4F8E" w:rsidP="001F4F8E">
            <w:pPr>
              <w:rPr>
                <w:bCs/>
                <w:color w:val="000000" w:themeColor="text1"/>
                <w:sz w:val="13"/>
                <w:szCs w:val="13"/>
              </w:rPr>
            </w:pPr>
            <w:r w:rsidRPr="00B9528E">
              <w:rPr>
                <w:bCs/>
                <w:color w:val="000000" w:themeColor="text1"/>
                <w:sz w:val="13"/>
                <w:szCs w:val="13"/>
              </w:rPr>
              <w:t>Podatki od pozycji bilansowych Grupy</w:t>
            </w:r>
          </w:p>
        </w:tc>
        <w:tc>
          <w:tcPr>
            <w:tcW w:w="1134" w:type="dxa"/>
            <w:tcBorders>
              <w:top w:val="nil"/>
              <w:left w:val="nil"/>
              <w:bottom w:val="single" w:sz="4" w:space="0" w:color="0077BD"/>
              <w:right w:val="single" w:sz="8" w:space="0" w:color="0077BD"/>
            </w:tcBorders>
            <w:shd w:val="clear" w:color="auto" w:fill="auto"/>
            <w:noWrap/>
            <w:vAlign w:val="center"/>
          </w:tcPr>
          <w:p w14:paraId="494CD120" w14:textId="462CA268" w:rsidR="001F4F8E" w:rsidRPr="00B9528E" w:rsidRDefault="001F4F8E" w:rsidP="001F4F8E">
            <w:pPr>
              <w:jc w:val="right"/>
              <w:rPr>
                <w:color w:val="000000" w:themeColor="text1"/>
                <w:sz w:val="12"/>
                <w:szCs w:val="12"/>
              </w:rPr>
            </w:pPr>
            <w:r w:rsidRPr="00B9528E">
              <w:rPr>
                <w:rFonts w:cs="Calibri"/>
                <w:color w:val="000000" w:themeColor="text1"/>
                <w:sz w:val="12"/>
                <w:szCs w:val="12"/>
              </w:rPr>
              <w:t>(432 114)</w:t>
            </w:r>
          </w:p>
        </w:tc>
        <w:tc>
          <w:tcPr>
            <w:tcW w:w="1134" w:type="dxa"/>
            <w:tcBorders>
              <w:top w:val="nil"/>
              <w:left w:val="nil"/>
              <w:bottom w:val="single" w:sz="4" w:space="0" w:color="0077BD"/>
              <w:right w:val="single" w:sz="8" w:space="0" w:color="0077BD"/>
            </w:tcBorders>
            <w:shd w:val="clear" w:color="auto" w:fill="auto"/>
            <w:noWrap/>
            <w:vAlign w:val="center"/>
          </w:tcPr>
          <w:p w14:paraId="22FF9D08" w14:textId="395F45E0" w:rsidR="001F4F8E" w:rsidRPr="00B9528E" w:rsidRDefault="001F4F8E" w:rsidP="001F4F8E">
            <w:pPr>
              <w:jc w:val="right"/>
              <w:rPr>
                <w:color w:val="000000" w:themeColor="text1"/>
                <w:sz w:val="12"/>
                <w:szCs w:val="12"/>
              </w:rPr>
            </w:pPr>
            <w:r w:rsidRPr="00B9528E">
              <w:rPr>
                <w:rFonts w:cs="Calibri"/>
                <w:color w:val="000000" w:themeColor="text1"/>
                <w:sz w:val="12"/>
                <w:szCs w:val="12"/>
              </w:rPr>
              <w:t>(26 544)</w:t>
            </w:r>
          </w:p>
        </w:tc>
        <w:tc>
          <w:tcPr>
            <w:tcW w:w="1134" w:type="dxa"/>
            <w:tcBorders>
              <w:top w:val="nil"/>
              <w:left w:val="nil"/>
              <w:bottom w:val="single" w:sz="4" w:space="0" w:color="0077BD"/>
              <w:right w:val="single" w:sz="8" w:space="0" w:color="0077BD"/>
            </w:tcBorders>
            <w:shd w:val="clear" w:color="auto" w:fill="auto"/>
            <w:noWrap/>
            <w:vAlign w:val="center"/>
          </w:tcPr>
          <w:p w14:paraId="4337FEAB" w14:textId="170870E7"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(458 658)</w:t>
            </w:r>
          </w:p>
        </w:tc>
        <w:tc>
          <w:tcPr>
            <w:tcW w:w="1134" w:type="dxa"/>
            <w:tcBorders>
              <w:top w:val="nil"/>
              <w:left w:val="single" w:sz="8" w:space="0" w:color="0077BD"/>
              <w:bottom w:val="single" w:sz="4" w:space="0" w:color="0077BD"/>
              <w:right w:val="single" w:sz="8" w:space="0" w:color="0077BD"/>
            </w:tcBorders>
            <w:shd w:val="clear" w:color="auto" w:fill="auto"/>
            <w:vAlign w:val="center"/>
          </w:tcPr>
          <w:p w14:paraId="5631B9E4" w14:textId="19EB00A0" w:rsidR="001F4F8E" w:rsidRPr="00B9528E" w:rsidRDefault="001F4F8E" w:rsidP="001F4F8E">
            <w:pPr>
              <w:jc w:val="right"/>
              <w:rPr>
                <w:color w:val="000000" w:themeColor="text1"/>
                <w:sz w:val="12"/>
                <w:szCs w:val="12"/>
              </w:rPr>
            </w:pPr>
            <w:r w:rsidRPr="00B9528E">
              <w:rPr>
                <w:rFonts w:cs="Calibri"/>
                <w:color w:val="000000" w:themeColor="text1"/>
                <w:sz w:val="12"/>
                <w:szCs w:val="12"/>
              </w:rPr>
              <w:t>(391 729)</w:t>
            </w:r>
          </w:p>
        </w:tc>
        <w:tc>
          <w:tcPr>
            <w:tcW w:w="1134" w:type="dxa"/>
            <w:tcBorders>
              <w:top w:val="nil"/>
              <w:left w:val="nil"/>
              <w:bottom w:val="single" w:sz="4" w:space="0" w:color="0077BD"/>
              <w:right w:val="single" w:sz="8" w:space="0" w:color="0077BD"/>
            </w:tcBorders>
            <w:shd w:val="clear" w:color="auto" w:fill="auto"/>
            <w:vAlign w:val="center"/>
          </w:tcPr>
          <w:p w14:paraId="4CB53C84" w14:textId="43FC7CCB" w:rsidR="001F4F8E" w:rsidRPr="00B9528E" w:rsidRDefault="001F4F8E" w:rsidP="001F4F8E">
            <w:pPr>
              <w:jc w:val="right"/>
              <w:rPr>
                <w:color w:val="000000" w:themeColor="text1"/>
                <w:sz w:val="12"/>
                <w:szCs w:val="12"/>
              </w:rPr>
            </w:pPr>
            <w:r w:rsidRPr="00B9528E">
              <w:rPr>
                <w:rFonts w:cs="Calibri"/>
                <w:color w:val="000000" w:themeColor="text1"/>
                <w:sz w:val="12"/>
                <w:szCs w:val="12"/>
              </w:rPr>
              <w:t>(23 696)</w:t>
            </w:r>
          </w:p>
        </w:tc>
        <w:tc>
          <w:tcPr>
            <w:tcW w:w="1134" w:type="dxa"/>
            <w:tcBorders>
              <w:top w:val="nil"/>
              <w:left w:val="nil"/>
              <w:bottom w:val="single" w:sz="4" w:space="0" w:color="0077BD"/>
              <w:right w:val="nil"/>
            </w:tcBorders>
            <w:shd w:val="clear" w:color="auto" w:fill="auto"/>
            <w:vAlign w:val="center"/>
          </w:tcPr>
          <w:p w14:paraId="5FDF61E0" w14:textId="646334B5"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(415 425)</w:t>
            </w:r>
          </w:p>
        </w:tc>
      </w:tr>
      <w:tr w:rsidR="001F4F8E" w:rsidRPr="007939C3" w14:paraId="6D42BC30" w14:textId="77777777" w:rsidTr="00377B85">
        <w:trPr>
          <w:trHeight w:val="340"/>
          <w:jc w:val="center"/>
        </w:trPr>
        <w:tc>
          <w:tcPr>
            <w:tcW w:w="2835" w:type="dxa"/>
            <w:tcBorders>
              <w:top w:val="single" w:sz="4" w:space="0" w:color="0077BD"/>
              <w:left w:val="nil"/>
              <w:bottom w:val="single" w:sz="8" w:space="0" w:color="0070C0"/>
              <w:right w:val="single" w:sz="8" w:space="0" w:color="0070C0"/>
            </w:tcBorders>
            <w:shd w:val="clear" w:color="auto" w:fill="auto"/>
            <w:vAlign w:val="center"/>
            <w:hideMark/>
          </w:tcPr>
          <w:p w14:paraId="7409DBA4" w14:textId="77777777" w:rsidR="001F4F8E" w:rsidRPr="00B9528E" w:rsidRDefault="001F4F8E" w:rsidP="001F4F8E">
            <w:pPr>
              <w:rPr>
                <w:bCs/>
                <w:color w:val="000000" w:themeColor="text1"/>
                <w:sz w:val="13"/>
                <w:szCs w:val="13"/>
              </w:rPr>
            </w:pPr>
            <w:r w:rsidRPr="00B9528E">
              <w:rPr>
                <w:bCs/>
                <w:color w:val="000000" w:themeColor="text1"/>
                <w:sz w:val="13"/>
                <w:szCs w:val="13"/>
              </w:rPr>
              <w:t>Udział w zyskach (stratach) jednostek wycenianych metodą praw własności</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393C2853" w14:textId="39E00F2E"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53E3DAD5" w14:textId="63B33991" w:rsidR="001F4F8E" w:rsidRPr="00B9528E" w:rsidRDefault="001F4F8E" w:rsidP="001F4F8E">
            <w:pPr>
              <w:jc w:val="right"/>
              <w:rPr>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674EFFAF" w14:textId="6DB4520E"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w:t>
            </w:r>
          </w:p>
        </w:tc>
        <w:tc>
          <w:tcPr>
            <w:tcW w:w="1134" w:type="dxa"/>
            <w:tcBorders>
              <w:top w:val="single" w:sz="4" w:space="0" w:color="0077BD"/>
              <w:left w:val="single" w:sz="8" w:space="0" w:color="787B7C"/>
              <w:bottom w:val="single" w:sz="8" w:space="0" w:color="787B7C"/>
              <w:right w:val="single" w:sz="8" w:space="0" w:color="787B7C"/>
            </w:tcBorders>
            <w:shd w:val="clear" w:color="auto" w:fill="auto"/>
            <w:vAlign w:val="center"/>
          </w:tcPr>
          <w:p w14:paraId="5CB3C266" w14:textId="63950578"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1 240 </w:t>
            </w:r>
          </w:p>
        </w:tc>
        <w:tc>
          <w:tcPr>
            <w:tcW w:w="1134" w:type="dxa"/>
            <w:tcBorders>
              <w:top w:val="single" w:sz="4" w:space="0" w:color="0077BD"/>
              <w:left w:val="single" w:sz="8" w:space="0" w:color="0077BD"/>
              <w:bottom w:val="single" w:sz="8" w:space="0" w:color="0077BD"/>
              <w:right w:val="single" w:sz="8" w:space="0" w:color="0077BD"/>
            </w:tcBorders>
            <w:shd w:val="clear" w:color="auto" w:fill="auto"/>
            <w:vAlign w:val="center"/>
          </w:tcPr>
          <w:p w14:paraId="7735BD7C" w14:textId="03AD3779" w:rsidR="001F4F8E" w:rsidRPr="00B9528E" w:rsidRDefault="001F4F8E" w:rsidP="001F4F8E">
            <w:pPr>
              <w:jc w:val="right"/>
              <w:rPr>
                <w:color w:val="000000" w:themeColor="text1"/>
                <w:sz w:val="12"/>
                <w:szCs w:val="12"/>
              </w:rPr>
            </w:pPr>
            <w:r w:rsidRPr="00B9528E">
              <w:rPr>
                <w:rFonts w:cs="Calibri"/>
                <w:color w:val="000000" w:themeColor="text1"/>
                <w:sz w:val="12"/>
                <w:szCs w:val="12"/>
              </w:rPr>
              <w:t xml:space="preserve">-   </w:t>
            </w:r>
          </w:p>
        </w:tc>
        <w:tc>
          <w:tcPr>
            <w:tcW w:w="1134" w:type="dxa"/>
            <w:tcBorders>
              <w:top w:val="single" w:sz="4" w:space="0" w:color="0077BD"/>
              <w:left w:val="nil"/>
              <w:bottom w:val="single" w:sz="8" w:space="0" w:color="0077BD"/>
              <w:right w:val="nil"/>
            </w:tcBorders>
            <w:shd w:val="clear" w:color="auto" w:fill="auto"/>
            <w:vAlign w:val="center"/>
          </w:tcPr>
          <w:p w14:paraId="63B3369B" w14:textId="13972364" w:rsidR="001F4F8E" w:rsidRPr="00B9528E" w:rsidRDefault="001F4F8E" w:rsidP="001F4F8E">
            <w:pPr>
              <w:jc w:val="right"/>
              <w:rPr>
                <w:b/>
                <w:bCs/>
                <w:color w:val="000000" w:themeColor="text1"/>
                <w:sz w:val="12"/>
                <w:szCs w:val="12"/>
              </w:rPr>
            </w:pPr>
            <w:r w:rsidRPr="00B9528E">
              <w:rPr>
                <w:rFonts w:cs="Calibri"/>
                <w:color w:val="000000" w:themeColor="text1"/>
                <w:sz w:val="12"/>
                <w:szCs w:val="12"/>
              </w:rPr>
              <w:t xml:space="preserve">1 240 </w:t>
            </w:r>
          </w:p>
        </w:tc>
      </w:tr>
      <w:tr w:rsidR="001F4F8E" w:rsidRPr="007939C3" w14:paraId="386F776F" w14:textId="77777777" w:rsidTr="000D1A6B">
        <w:trPr>
          <w:trHeight w:val="284"/>
          <w:jc w:val="center"/>
        </w:trPr>
        <w:tc>
          <w:tcPr>
            <w:tcW w:w="2835" w:type="dxa"/>
            <w:tcBorders>
              <w:top w:val="nil"/>
              <w:left w:val="nil"/>
              <w:bottom w:val="single" w:sz="8" w:space="0" w:color="0070C0"/>
              <w:right w:val="single" w:sz="8" w:space="0" w:color="0070C0"/>
            </w:tcBorders>
            <w:shd w:val="clear" w:color="auto" w:fill="auto"/>
            <w:noWrap/>
            <w:vAlign w:val="center"/>
            <w:hideMark/>
          </w:tcPr>
          <w:p w14:paraId="343A5C26" w14:textId="77777777" w:rsidR="001F4F8E" w:rsidRPr="00B9528E" w:rsidRDefault="001F4F8E" w:rsidP="001F4F8E">
            <w:pPr>
              <w:rPr>
                <w:b/>
                <w:bCs/>
                <w:color w:val="000000" w:themeColor="text1"/>
                <w:sz w:val="13"/>
                <w:szCs w:val="13"/>
              </w:rPr>
            </w:pPr>
            <w:r w:rsidRPr="00B9528E">
              <w:rPr>
                <w:b/>
                <w:bCs/>
                <w:color w:val="000000" w:themeColor="text1"/>
                <w:sz w:val="13"/>
                <w:szCs w:val="13"/>
              </w:rPr>
              <w:t>Wynik segmentu (brutto)</w:t>
            </w:r>
          </w:p>
        </w:tc>
        <w:tc>
          <w:tcPr>
            <w:tcW w:w="1134" w:type="dxa"/>
            <w:tcBorders>
              <w:top w:val="nil"/>
              <w:left w:val="nil"/>
              <w:bottom w:val="single" w:sz="8" w:space="0" w:color="0077BD"/>
              <w:right w:val="single" w:sz="8" w:space="0" w:color="0077BD"/>
            </w:tcBorders>
            <w:shd w:val="clear" w:color="auto" w:fill="auto"/>
            <w:noWrap/>
            <w:vAlign w:val="center"/>
          </w:tcPr>
          <w:p w14:paraId="3DEDE80F" w14:textId="39BCCFE2" w:rsidR="001F4F8E" w:rsidRPr="00B9528E" w:rsidRDefault="001F4F8E" w:rsidP="001F4F8E">
            <w:pPr>
              <w:jc w:val="right"/>
              <w:rPr>
                <w:b/>
                <w:color w:val="000000" w:themeColor="text1"/>
                <w:sz w:val="12"/>
                <w:szCs w:val="12"/>
              </w:rPr>
            </w:pPr>
            <w:r w:rsidRPr="00B9528E">
              <w:rPr>
                <w:rFonts w:cs="Calibri"/>
                <w:b/>
                <w:color w:val="000000" w:themeColor="text1"/>
                <w:sz w:val="12"/>
                <w:szCs w:val="12"/>
              </w:rPr>
              <w:t>1 452 555</w:t>
            </w:r>
          </w:p>
        </w:tc>
        <w:tc>
          <w:tcPr>
            <w:tcW w:w="1134" w:type="dxa"/>
            <w:tcBorders>
              <w:top w:val="nil"/>
              <w:left w:val="nil"/>
              <w:bottom w:val="single" w:sz="8" w:space="0" w:color="0077BD"/>
              <w:right w:val="single" w:sz="8" w:space="0" w:color="0077BD"/>
            </w:tcBorders>
            <w:shd w:val="clear" w:color="auto" w:fill="auto"/>
            <w:noWrap/>
            <w:vAlign w:val="center"/>
          </w:tcPr>
          <w:p w14:paraId="6AEC6183" w14:textId="1B7FE10D" w:rsidR="001F4F8E" w:rsidRPr="00B9528E" w:rsidRDefault="001F4F8E" w:rsidP="001F4F8E">
            <w:pPr>
              <w:jc w:val="right"/>
              <w:rPr>
                <w:b/>
                <w:color w:val="000000" w:themeColor="text1"/>
                <w:sz w:val="12"/>
                <w:szCs w:val="12"/>
              </w:rPr>
            </w:pPr>
            <w:r w:rsidRPr="00B9528E">
              <w:rPr>
                <w:rFonts w:cs="Calibri"/>
                <w:b/>
                <w:color w:val="000000" w:themeColor="text1"/>
                <w:sz w:val="12"/>
                <w:szCs w:val="12"/>
              </w:rPr>
              <w:t>102 490</w:t>
            </w:r>
          </w:p>
        </w:tc>
        <w:tc>
          <w:tcPr>
            <w:tcW w:w="1134" w:type="dxa"/>
            <w:tcBorders>
              <w:top w:val="nil"/>
              <w:left w:val="nil"/>
              <w:bottom w:val="single" w:sz="8" w:space="0" w:color="0077BD"/>
              <w:right w:val="single" w:sz="8" w:space="0" w:color="0077BD"/>
            </w:tcBorders>
            <w:shd w:val="clear" w:color="auto" w:fill="auto"/>
            <w:noWrap/>
            <w:vAlign w:val="center"/>
          </w:tcPr>
          <w:p w14:paraId="0965C52C" w14:textId="13E9824C" w:rsidR="001F4F8E" w:rsidRPr="00B9528E" w:rsidRDefault="001F4F8E" w:rsidP="001F4F8E">
            <w:pPr>
              <w:jc w:val="right"/>
              <w:rPr>
                <w:b/>
                <w:bCs/>
                <w:color w:val="000000" w:themeColor="text1"/>
                <w:sz w:val="12"/>
                <w:szCs w:val="12"/>
              </w:rPr>
            </w:pPr>
            <w:r w:rsidRPr="00B9528E">
              <w:rPr>
                <w:rFonts w:cs="Calibri"/>
                <w:b/>
                <w:bCs/>
                <w:color w:val="000000" w:themeColor="text1"/>
                <w:sz w:val="12"/>
                <w:szCs w:val="12"/>
              </w:rPr>
              <w:t>1 555 045</w:t>
            </w:r>
          </w:p>
        </w:tc>
        <w:tc>
          <w:tcPr>
            <w:tcW w:w="113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049CFB9" w14:textId="1C2EB880" w:rsidR="001F4F8E" w:rsidRPr="00B9528E" w:rsidRDefault="001F4F8E" w:rsidP="001F4F8E">
            <w:pPr>
              <w:jc w:val="right"/>
              <w:rPr>
                <w:b/>
                <w:color w:val="000000" w:themeColor="text1"/>
                <w:sz w:val="12"/>
                <w:szCs w:val="12"/>
              </w:rPr>
            </w:pPr>
            <w:r w:rsidRPr="00B9528E">
              <w:rPr>
                <w:rFonts w:cs="Calibri"/>
                <w:b/>
                <w:color w:val="000000" w:themeColor="text1"/>
                <w:sz w:val="12"/>
                <w:szCs w:val="12"/>
              </w:rPr>
              <w:t xml:space="preserve">1 748 029 </w:t>
            </w:r>
          </w:p>
        </w:tc>
        <w:tc>
          <w:tcPr>
            <w:tcW w:w="1134" w:type="dxa"/>
            <w:tcBorders>
              <w:top w:val="nil"/>
              <w:left w:val="nil"/>
              <w:bottom w:val="single" w:sz="8" w:space="0" w:color="0077BD"/>
              <w:right w:val="single" w:sz="8" w:space="0" w:color="0077BD"/>
            </w:tcBorders>
            <w:shd w:val="clear" w:color="auto" w:fill="auto"/>
            <w:vAlign w:val="center"/>
          </w:tcPr>
          <w:p w14:paraId="4AB2C286" w14:textId="7A91EF35" w:rsidR="001F4F8E" w:rsidRPr="00B9528E" w:rsidRDefault="001F4F8E" w:rsidP="001F4F8E">
            <w:pPr>
              <w:jc w:val="right"/>
              <w:rPr>
                <w:b/>
                <w:color w:val="000000" w:themeColor="text1"/>
                <w:sz w:val="12"/>
                <w:szCs w:val="12"/>
              </w:rPr>
            </w:pPr>
            <w:r w:rsidRPr="00B9528E">
              <w:rPr>
                <w:rFonts w:cs="Calibri"/>
                <w:b/>
                <w:color w:val="000000" w:themeColor="text1"/>
                <w:sz w:val="12"/>
                <w:szCs w:val="12"/>
              </w:rPr>
              <w:t xml:space="preserve">38 620 </w:t>
            </w:r>
          </w:p>
        </w:tc>
        <w:tc>
          <w:tcPr>
            <w:tcW w:w="1134" w:type="dxa"/>
            <w:tcBorders>
              <w:top w:val="nil"/>
              <w:left w:val="nil"/>
              <w:bottom w:val="single" w:sz="8" w:space="0" w:color="0077BD"/>
              <w:right w:val="nil"/>
            </w:tcBorders>
            <w:shd w:val="clear" w:color="auto" w:fill="auto"/>
            <w:vAlign w:val="center"/>
          </w:tcPr>
          <w:p w14:paraId="46DD721C" w14:textId="425CBFA6" w:rsidR="001F4F8E" w:rsidRPr="00B9528E" w:rsidRDefault="001F4F8E" w:rsidP="001F4F8E">
            <w:pPr>
              <w:jc w:val="right"/>
              <w:rPr>
                <w:b/>
                <w:bCs/>
                <w:color w:val="000000" w:themeColor="text1"/>
                <w:sz w:val="12"/>
                <w:szCs w:val="12"/>
              </w:rPr>
            </w:pPr>
            <w:r w:rsidRPr="00B9528E">
              <w:rPr>
                <w:rFonts w:cs="Calibri"/>
                <w:b/>
                <w:bCs/>
                <w:color w:val="000000" w:themeColor="text1"/>
                <w:sz w:val="12"/>
                <w:szCs w:val="12"/>
              </w:rPr>
              <w:t xml:space="preserve">1 786 649 </w:t>
            </w:r>
          </w:p>
        </w:tc>
      </w:tr>
      <w:tr w:rsidR="00B51945" w:rsidRPr="007939C3" w14:paraId="2AA69279" w14:textId="77777777" w:rsidTr="00F0324E">
        <w:trPr>
          <w:trHeight w:val="284"/>
          <w:jc w:val="center"/>
        </w:trPr>
        <w:tc>
          <w:tcPr>
            <w:tcW w:w="2835" w:type="dxa"/>
            <w:tcBorders>
              <w:top w:val="single" w:sz="8" w:space="0" w:color="0077BD"/>
              <w:left w:val="nil"/>
              <w:bottom w:val="nil"/>
              <w:right w:val="single" w:sz="8" w:space="0" w:color="0077BD"/>
            </w:tcBorders>
            <w:shd w:val="clear" w:color="auto" w:fill="auto"/>
            <w:noWrap/>
            <w:vAlign w:val="center"/>
            <w:hideMark/>
          </w:tcPr>
          <w:p w14:paraId="2745C04E" w14:textId="77777777" w:rsidR="00B51945" w:rsidRPr="00B9528E" w:rsidRDefault="00B51945" w:rsidP="00B51945">
            <w:pPr>
              <w:rPr>
                <w:color w:val="000000" w:themeColor="text1"/>
                <w:sz w:val="13"/>
                <w:szCs w:val="13"/>
              </w:rPr>
            </w:pPr>
            <w:r w:rsidRPr="00B9528E">
              <w:rPr>
                <w:color w:val="000000" w:themeColor="text1"/>
                <w:sz w:val="13"/>
                <w:szCs w:val="13"/>
              </w:rPr>
              <w:t>Podatek dochodowy</w:t>
            </w:r>
          </w:p>
        </w:tc>
        <w:tc>
          <w:tcPr>
            <w:tcW w:w="2268" w:type="dxa"/>
            <w:gridSpan w:val="2"/>
            <w:vMerge w:val="restart"/>
            <w:tcBorders>
              <w:top w:val="single" w:sz="8" w:space="0" w:color="0077BD"/>
              <w:left w:val="nil"/>
              <w:right w:val="single" w:sz="8" w:space="0" w:color="0077BD"/>
            </w:tcBorders>
            <w:shd w:val="thinDiagStripe" w:color="A4A5A5" w:fill="auto"/>
            <w:noWrap/>
            <w:vAlign w:val="center"/>
          </w:tcPr>
          <w:p w14:paraId="2BAFD583" w14:textId="2E4ECABD" w:rsidR="00B51945" w:rsidRPr="00B9528E" w:rsidRDefault="00B51945" w:rsidP="00B51945">
            <w:pPr>
              <w:jc w:val="right"/>
              <w:rPr>
                <w:i/>
                <w:iCs/>
                <w:color w:val="000000" w:themeColor="text1"/>
                <w:sz w:val="13"/>
                <w:szCs w:val="13"/>
              </w:rPr>
            </w:pPr>
          </w:p>
        </w:tc>
        <w:tc>
          <w:tcPr>
            <w:tcW w:w="1134" w:type="dxa"/>
            <w:tcBorders>
              <w:top w:val="single" w:sz="8" w:space="0" w:color="0077BD"/>
              <w:left w:val="nil"/>
              <w:bottom w:val="nil"/>
              <w:right w:val="single" w:sz="8" w:space="0" w:color="0077BD"/>
            </w:tcBorders>
            <w:shd w:val="clear" w:color="auto" w:fill="auto"/>
            <w:noWrap/>
            <w:vAlign w:val="center"/>
          </w:tcPr>
          <w:p w14:paraId="139ED829" w14:textId="2EB3E2D3" w:rsidR="00B51945" w:rsidRPr="00B9528E" w:rsidRDefault="00B51945" w:rsidP="00B51945">
            <w:pPr>
              <w:jc w:val="right"/>
              <w:rPr>
                <w:color w:val="000000" w:themeColor="text1"/>
                <w:sz w:val="12"/>
                <w:szCs w:val="12"/>
              </w:rPr>
            </w:pPr>
            <w:r w:rsidRPr="00B9528E">
              <w:rPr>
                <w:rFonts w:cs="Calibri"/>
                <w:color w:val="000000" w:themeColor="text1"/>
                <w:sz w:val="12"/>
                <w:szCs w:val="12"/>
              </w:rPr>
              <w:t>(544 793)</w:t>
            </w:r>
          </w:p>
        </w:tc>
        <w:tc>
          <w:tcPr>
            <w:tcW w:w="2268" w:type="dxa"/>
            <w:gridSpan w:val="2"/>
            <w:vMerge w:val="restart"/>
            <w:tcBorders>
              <w:top w:val="single" w:sz="8" w:space="0" w:color="0077BD"/>
              <w:left w:val="nil"/>
              <w:right w:val="single" w:sz="8" w:space="0" w:color="0077BD"/>
            </w:tcBorders>
            <w:shd w:val="thinDiagStripe" w:color="A4A5A5" w:fill="auto"/>
            <w:noWrap/>
            <w:vAlign w:val="center"/>
          </w:tcPr>
          <w:p w14:paraId="14B1417A" w14:textId="2E402D60" w:rsidR="00B51945" w:rsidRPr="00B9528E" w:rsidRDefault="00B51945" w:rsidP="00B51945">
            <w:pPr>
              <w:jc w:val="right"/>
              <w:rPr>
                <w:i/>
                <w:iCs/>
                <w:color w:val="000000" w:themeColor="text1"/>
                <w:sz w:val="13"/>
                <w:szCs w:val="13"/>
              </w:rPr>
            </w:pPr>
          </w:p>
        </w:tc>
        <w:tc>
          <w:tcPr>
            <w:tcW w:w="1134" w:type="dxa"/>
            <w:tcBorders>
              <w:top w:val="single" w:sz="8" w:space="0" w:color="0077BD"/>
              <w:left w:val="single" w:sz="8" w:space="0" w:color="0077BD"/>
              <w:bottom w:val="nil"/>
              <w:right w:val="nil"/>
            </w:tcBorders>
            <w:shd w:val="clear" w:color="auto" w:fill="auto"/>
            <w:vAlign w:val="center"/>
          </w:tcPr>
          <w:p w14:paraId="6F299E30" w14:textId="62D6C306" w:rsidR="00B51945" w:rsidRPr="00B9528E" w:rsidRDefault="00B51945" w:rsidP="00B51945">
            <w:pPr>
              <w:jc w:val="right"/>
              <w:rPr>
                <w:color w:val="000000" w:themeColor="text1"/>
                <w:sz w:val="12"/>
                <w:szCs w:val="12"/>
              </w:rPr>
            </w:pPr>
            <w:r w:rsidRPr="00B9528E">
              <w:rPr>
                <w:rFonts w:cs="Calibri"/>
                <w:color w:val="000000" w:themeColor="text1"/>
                <w:sz w:val="12"/>
                <w:szCs w:val="12"/>
              </w:rPr>
              <w:t>(483 945)</w:t>
            </w:r>
          </w:p>
        </w:tc>
      </w:tr>
      <w:tr w:rsidR="00B51945" w:rsidRPr="007939C3" w14:paraId="73C91401" w14:textId="77777777" w:rsidTr="007939C3">
        <w:trPr>
          <w:trHeight w:val="340"/>
          <w:jc w:val="center"/>
        </w:trPr>
        <w:tc>
          <w:tcPr>
            <w:tcW w:w="2835" w:type="dxa"/>
            <w:tcBorders>
              <w:top w:val="single" w:sz="4" w:space="0" w:color="0077BD"/>
              <w:left w:val="nil"/>
              <w:bottom w:val="single" w:sz="4" w:space="0" w:color="0077BD"/>
              <w:right w:val="single" w:sz="8" w:space="0" w:color="0077BD"/>
            </w:tcBorders>
            <w:shd w:val="clear" w:color="auto" w:fill="auto"/>
            <w:noWrap/>
            <w:vAlign w:val="center"/>
            <w:hideMark/>
          </w:tcPr>
          <w:p w14:paraId="534DE953" w14:textId="77777777" w:rsidR="00B51945" w:rsidRPr="00B9528E" w:rsidRDefault="00B51945" w:rsidP="00B51945">
            <w:pPr>
              <w:rPr>
                <w:color w:val="000000" w:themeColor="text1"/>
                <w:sz w:val="13"/>
                <w:szCs w:val="13"/>
              </w:rPr>
            </w:pPr>
            <w:r w:rsidRPr="00B9528E">
              <w:rPr>
                <w:color w:val="000000" w:themeColor="text1"/>
                <w:sz w:val="13"/>
                <w:szCs w:val="13"/>
              </w:rPr>
              <w:t>Zysk netto przypadający na akcjonariuszy mBanku S.A.</w:t>
            </w:r>
          </w:p>
        </w:tc>
        <w:tc>
          <w:tcPr>
            <w:tcW w:w="2268" w:type="dxa"/>
            <w:gridSpan w:val="2"/>
            <w:vMerge/>
            <w:tcBorders>
              <w:left w:val="nil"/>
              <w:right w:val="single" w:sz="8" w:space="0" w:color="0077BD"/>
            </w:tcBorders>
            <w:shd w:val="thinDiagStripe" w:color="A4A5A5" w:fill="auto"/>
            <w:noWrap/>
            <w:vAlign w:val="center"/>
          </w:tcPr>
          <w:p w14:paraId="770D8797" w14:textId="50654FA6" w:rsidR="00B51945" w:rsidRPr="00B9528E" w:rsidRDefault="00B51945" w:rsidP="00B51945">
            <w:pPr>
              <w:jc w:val="right"/>
              <w:rPr>
                <w:i/>
                <w:iCs/>
                <w:color w:val="000000" w:themeColor="text1"/>
                <w:sz w:val="13"/>
                <w:szCs w:val="13"/>
              </w:rPr>
            </w:pPr>
          </w:p>
        </w:tc>
        <w:tc>
          <w:tcPr>
            <w:tcW w:w="113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D17AB9B" w14:textId="461184B4" w:rsidR="00B51945" w:rsidRPr="00B9528E" w:rsidRDefault="00B51945" w:rsidP="00B51945">
            <w:pPr>
              <w:jc w:val="right"/>
              <w:rPr>
                <w:color w:val="000000" w:themeColor="text1"/>
                <w:sz w:val="12"/>
                <w:szCs w:val="12"/>
              </w:rPr>
            </w:pPr>
            <w:r w:rsidRPr="00B9528E">
              <w:rPr>
                <w:rFonts w:cs="Calibri"/>
                <w:color w:val="000000" w:themeColor="text1"/>
                <w:sz w:val="12"/>
                <w:szCs w:val="12"/>
              </w:rPr>
              <w:t>1 010 350</w:t>
            </w:r>
          </w:p>
        </w:tc>
        <w:tc>
          <w:tcPr>
            <w:tcW w:w="2268" w:type="dxa"/>
            <w:gridSpan w:val="2"/>
            <w:vMerge/>
            <w:tcBorders>
              <w:left w:val="nil"/>
              <w:right w:val="single" w:sz="8" w:space="0" w:color="0077BD"/>
            </w:tcBorders>
            <w:shd w:val="thinDiagStripe" w:color="A4A5A5" w:fill="auto"/>
            <w:noWrap/>
            <w:vAlign w:val="center"/>
          </w:tcPr>
          <w:p w14:paraId="7BFF1C2D" w14:textId="41D0F354" w:rsidR="00B51945" w:rsidRPr="00B9528E" w:rsidRDefault="00B51945" w:rsidP="00B51945">
            <w:pPr>
              <w:jc w:val="right"/>
              <w:rPr>
                <w:i/>
                <w:iCs/>
                <w:color w:val="000000" w:themeColor="text1"/>
                <w:sz w:val="13"/>
                <w:szCs w:val="13"/>
              </w:rPr>
            </w:pP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04E8D892" w14:textId="199A4503" w:rsidR="00B51945" w:rsidRPr="00B9528E" w:rsidRDefault="00B51945" w:rsidP="00B51945">
            <w:pPr>
              <w:jc w:val="right"/>
              <w:rPr>
                <w:color w:val="000000" w:themeColor="text1"/>
                <w:sz w:val="12"/>
                <w:szCs w:val="12"/>
              </w:rPr>
            </w:pPr>
            <w:r w:rsidRPr="00B9528E">
              <w:rPr>
                <w:rFonts w:cs="Calibri"/>
                <w:color w:val="000000" w:themeColor="text1"/>
                <w:sz w:val="12"/>
                <w:szCs w:val="12"/>
              </w:rPr>
              <w:t xml:space="preserve">1 302 786 </w:t>
            </w:r>
          </w:p>
        </w:tc>
      </w:tr>
      <w:tr w:rsidR="00B51945" w:rsidRPr="007939C3" w14:paraId="35AE97BC" w14:textId="77777777" w:rsidTr="00F0324E">
        <w:trPr>
          <w:trHeight w:val="340"/>
          <w:jc w:val="center"/>
        </w:trPr>
        <w:tc>
          <w:tcPr>
            <w:tcW w:w="2835" w:type="dxa"/>
            <w:tcBorders>
              <w:top w:val="nil"/>
              <w:left w:val="nil"/>
              <w:bottom w:val="single" w:sz="8" w:space="0" w:color="0077BD"/>
              <w:right w:val="single" w:sz="8" w:space="0" w:color="0077BD"/>
            </w:tcBorders>
            <w:shd w:val="clear" w:color="auto" w:fill="auto"/>
            <w:noWrap/>
            <w:vAlign w:val="center"/>
            <w:hideMark/>
          </w:tcPr>
          <w:p w14:paraId="041168B2" w14:textId="77777777" w:rsidR="00B51945" w:rsidRPr="00B9528E" w:rsidRDefault="00B51945" w:rsidP="00B51945">
            <w:pPr>
              <w:rPr>
                <w:color w:val="000000" w:themeColor="text1"/>
                <w:sz w:val="13"/>
                <w:szCs w:val="13"/>
              </w:rPr>
            </w:pPr>
            <w:r w:rsidRPr="00B9528E">
              <w:rPr>
                <w:color w:val="000000" w:themeColor="text1"/>
                <w:sz w:val="13"/>
                <w:szCs w:val="13"/>
              </w:rPr>
              <w:t>Zysk netto przypadający na udziały niekontrolujące</w:t>
            </w:r>
          </w:p>
        </w:tc>
        <w:tc>
          <w:tcPr>
            <w:tcW w:w="2268" w:type="dxa"/>
            <w:gridSpan w:val="2"/>
            <w:vMerge/>
            <w:tcBorders>
              <w:left w:val="nil"/>
              <w:bottom w:val="single" w:sz="8" w:space="0" w:color="0077BD"/>
              <w:right w:val="single" w:sz="8" w:space="0" w:color="0077BD"/>
            </w:tcBorders>
            <w:shd w:val="thinDiagStripe" w:color="A4A5A5" w:fill="auto"/>
            <w:noWrap/>
            <w:vAlign w:val="center"/>
          </w:tcPr>
          <w:p w14:paraId="7582AE31" w14:textId="6E1E4C27" w:rsidR="00B51945" w:rsidRPr="00B9528E" w:rsidRDefault="00B51945" w:rsidP="00B51945">
            <w:pPr>
              <w:jc w:val="right"/>
              <w:rPr>
                <w:i/>
                <w:iCs/>
                <w:color w:val="000000" w:themeColor="text1"/>
                <w:sz w:val="13"/>
                <w:szCs w:val="13"/>
              </w:rPr>
            </w:pPr>
          </w:p>
        </w:tc>
        <w:tc>
          <w:tcPr>
            <w:tcW w:w="1134" w:type="dxa"/>
            <w:tcBorders>
              <w:top w:val="nil"/>
              <w:left w:val="nil"/>
              <w:bottom w:val="single" w:sz="8" w:space="0" w:color="0077BD"/>
              <w:right w:val="single" w:sz="8" w:space="0" w:color="0077BD"/>
            </w:tcBorders>
            <w:shd w:val="clear" w:color="auto" w:fill="auto"/>
            <w:noWrap/>
            <w:vAlign w:val="center"/>
          </w:tcPr>
          <w:p w14:paraId="31619725" w14:textId="291CD53E" w:rsidR="00B51945" w:rsidRPr="00B9528E" w:rsidRDefault="00B51945" w:rsidP="00B51945">
            <w:pPr>
              <w:jc w:val="right"/>
              <w:rPr>
                <w:color w:val="000000" w:themeColor="text1"/>
                <w:sz w:val="12"/>
                <w:szCs w:val="12"/>
              </w:rPr>
            </w:pPr>
            <w:r w:rsidRPr="00B9528E">
              <w:rPr>
                <w:rFonts w:cs="Calibri"/>
                <w:color w:val="000000" w:themeColor="text1"/>
                <w:sz w:val="12"/>
                <w:szCs w:val="12"/>
              </w:rPr>
              <w:t>(98)</w:t>
            </w:r>
          </w:p>
        </w:tc>
        <w:tc>
          <w:tcPr>
            <w:tcW w:w="2268" w:type="dxa"/>
            <w:gridSpan w:val="2"/>
            <w:vMerge/>
            <w:tcBorders>
              <w:left w:val="nil"/>
              <w:bottom w:val="single" w:sz="8" w:space="0" w:color="0077BD"/>
              <w:right w:val="single" w:sz="8" w:space="0" w:color="0077BD"/>
            </w:tcBorders>
            <w:shd w:val="thinDiagStripe" w:color="A4A5A5" w:fill="auto"/>
            <w:noWrap/>
            <w:vAlign w:val="center"/>
          </w:tcPr>
          <w:p w14:paraId="26941F31" w14:textId="75FE0048" w:rsidR="00B51945" w:rsidRPr="00B9528E" w:rsidRDefault="00B51945" w:rsidP="00B51945">
            <w:pPr>
              <w:jc w:val="right"/>
              <w:rPr>
                <w:i/>
                <w:iCs/>
                <w:color w:val="000000" w:themeColor="text1"/>
                <w:sz w:val="13"/>
                <w:szCs w:val="13"/>
              </w:rPr>
            </w:pPr>
          </w:p>
        </w:tc>
        <w:tc>
          <w:tcPr>
            <w:tcW w:w="1134" w:type="dxa"/>
            <w:tcBorders>
              <w:top w:val="nil"/>
              <w:left w:val="single" w:sz="8" w:space="0" w:color="0077BD"/>
              <w:bottom w:val="single" w:sz="8" w:space="0" w:color="0077BD"/>
              <w:right w:val="nil"/>
            </w:tcBorders>
            <w:shd w:val="clear" w:color="auto" w:fill="auto"/>
            <w:vAlign w:val="center"/>
          </w:tcPr>
          <w:p w14:paraId="1B7D6C40" w14:textId="7595B132" w:rsidR="00B51945" w:rsidRPr="00B9528E" w:rsidRDefault="00B51945" w:rsidP="00B51945">
            <w:pPr>
              <w:jc w:val="right"/>
              <w:rPr>
                <w:color w:val="000000" w:themeColor="text1"/>
                <w:sz w:val="12"/>
                <w:szCs w:val="12"/>
              </w:rPr>
            </w:pPr>
            <w:r w:rsidRPr="00B9528E">
              <w:rPr>
                <w:rFonts w:cs="Calibri"/>
                <w:color w:val="000000" w:themeColor="text1"/>
                <w:sz w:val="12"/>
                <w:szCs w:val="12"/>
              </w:rPr>
              <w:t xml:space="preserve">                     (82)</w:t>
            </w:r>
          </w:p>
        </w:tc>
      </w:tr>
    </w:tbl>
    <w:p w14:paraId="5512EC6D" w14:textId="351E1C98" w:rsidR="00823E6B" w:rsidRPr="0068723D" w:rsidRDefault="00823E6B" w:rsidP="00823E6B">
      <w:pPr>
        <w:suppressAutoHyphens/>
        <w:spacing w:before="120" w:after="120"/>
        <w:jc w:val="both"/>
        <w:rPr>
          <w:rFonts w:cs="Tahoma"/>
          <w:color w:val="000000" w:themeColor="text1"/>
          <w:sz w:val="18"/>
          <w:szCs w:val="18"/>
        </w:rPr>
      </w:pPr>
      <w:r w:rsidRPr="0068723D">
        <w:rPr>
          <w:rFonts w:cs="Tahoma"/>
          <w:color w:val="000000" w:themeColor="text1"/>
          <w:sz w:val="18"/>
          <w:szCs w:val="18"/>
        </w:rPr>
        <w:t>Sprawozdawczość według segmentów geograficznych Grupy mBanku S.A. – dane dotyczące skonsolidowanego sprawozdania z sytuacji finansowej</w:t>
      </w:r>
    </w:p>
    <w:tbl>
      <w:tblPr>
        <w:tblW w:w="9639" w:type="dxa"/>
        <w:tblLayout w:type="fixed"/>
        <w:tblCellMar>
          <w:left w:w="28" w:type="dxa"/>
          <w:right w:w="28" w:type="dxa"/>
        </w:tblCellMar>
        <w:tblLook w:val="04A0" w:firstRow="1" w:lastRow="0" w:firstColumn="1" w:lastColumn="0" w:noHBand="0" w:noVBand="1"/>
      </w:tblPr>
      <w:tblGrid>
        <w:gridCol w:w="2835"/>
        <w:gridCol w:w="1134"/>
        <w:gridCol w:w="1134"/>
        <w:gridCol w:w="1134"/>
        <w:gridCol w:w="1134"/>
        <w:gridCol w:w="1134"/>
        <w:gridCol w:w="1134"/>
      </w:tblGrid>
      <w:tr w:rsidR="00823E6B" w:rsidRPr="004B15E0" w14:paraId="7E6BFEA5" w14:textId="77777777" w:rsidTr="000D1A6B">
        <w:trPr>
          <w:trHeight w:val="284"/>
        </w:trPr>
        <w:tc>
          <w:tcPr>
            <w:tcW w:w="2835" w:type="dxa"/>
            <w:vMerge w:val="restart"/>
            <w:tcBorders>
              <w:top w:val="single" w:sz="8" w:space="0" w:color="FFFFFF"/>
              <w:left w:val="nil"/>
              <w:bottom w:val="single" w:sz="8" w:space="0" w:color="FFFFFF"/>
              <w:right w:val="single" w:sz="8" w:space="0" w:color="FFFFFF"/>
            </w:tcBorders>
            <w:shd w:val="clear" w:color="000000" w:fill="0077BD"/>
            <w:vAlign w:val="bottom"/>
            <w:hideMark/>
          </w:tcPr>
          <w:p w14:paraId="68720709" w14:textId="0E37FED8" w:rsidR="00823E6B" w:rsidRPr="004B15E0" w:rsidRDefault="00823E6B" w:rsidP="00823E6B">
            <w:pPr>
              <w:rPr>
                <w:b/>
                <w:bCs/>
                <w:color w:val="FFFFFF"/>
                <w:sz w:val="13"/>
                <w:szCs w:val="13"/>
              </w:rPr>
            </w:pPr>
          </w:p>
        </w:tc>
        <w:tc>
          <w:tcPr>
            <w:tcW w:w="3402" w:type="dxa"/>
            <w:gridSpan w:val="3"/>
            <w:tcBorders>
              <w:top w:val="single" w:sz="8" w:space="0" w:color="FFFFFF"/>
              <w:left w:val="nil"/>
              <w:bottom w:val="single" w:sz="4" w:space="0" w:color="FFFFFF"/>
              <w:right w:val="nil"/>
            </w:tcBorders>
            <w:shd w:val="clear" w:color="000000" w:fill="0077BD"/>
            <w:noWrap/>
            <w:vAlign w:val="center"/>
            <w:hideMark/>
          </w:tcPr>
          <w:p w14:paraId="7984C54D" w14:textId="2249CAD8" w:rsidR="00823E6B" w:rsidRPr="004B15E0" w:rsidRDefault="00823E6B" w:rsidP="00823E6B">
            <w:pPr>
              <w:jc w:val="center"/>
              <w:rPr>
                <w:b/>
                <w:bCs/>
                <w:color w:val="FFFFFF"/>
                <w:sz w:val="13"/>
                <w:szCs w:val="13"/>
              </w:rPr>
            </w:pPr>
            <w:r>
              <w:rPr>
                <w:b/>
                <w:bCs/>
                <w:color w:val="FFFFFF"/>
                <w:sz w:val="13"/>
                <w:szCs w:val="13"/>
              </w:rPr>
              <w:t>31.12.</w:t>
            </w:r>
            <w:r w:rsidRPr="004B15E0">
              <w:rPr>
                <w:b/>
                <w:bCs/>
                <w:color w:val="FFFFFF"/>
                <w:sz w:val="13"/>
                <w:szCs w:val="13"/>
              </w:rPr>
              <w:t>2019</w:t>
            </w:r>
          </w:p>
        </w:tc>
        <w:tc>
          <w:tcPr>
            <w:tcW w:w="3402" w:type="dxa"/>
            <w:gridSpan w:val="3"/>
            <w:tcBorders>
              <w:top w:val="single" w:sz="8" w:space="0" w:color="FFFFFF"/>
              <w:left w:val="single" w:sz="8" w:space="0" w:color="FFFFFF"/>
              <w:bottom w:val="single" w:sz="4" w:space="0" w:color="FFFFFF"/>
              <w:right w:val="nil"/>
            </w:tcBorders>
            <w:shd w:val="clear" w:color="000000" w:fill="0077BD"/>
            <w:noWrap/>
            <w:vAlign w:val="center"/>
            <w:hideMark/>
          </w:tcPr>
          <w:p w14:paraId="759208E4" w14:textId="77777777" w:rsidR="00823E6B" w:rsidRPr="004B15E0" w:rsidRDefault="00823E6B" w:rsidP="00823E6B">
            <w:pPr>
              <w:jc w:val="center"/>
              <w:rPr>
                <w:b/>
                <w:bCs/>
                <w:color w:val="FFFFFF"/>
                <w:sz w:val="13"/>
                <w:szCs w:val="13"/>
              </w:rPr>
            </w:pPr>
            <w:r w:rsidRPr="004B15E0">
              <w:rPr>
                <w:b/>
                <w:bCs/>
                <w:color w:val="FFFFFF"/>
                <w:sz w:val="13"/>
                <w:szCs w:val="13"/>
              </w:rPr>
              <w:t>3</w:t>
            </w:r>
            <w:r>
              <w:rPr>
                <w:b/>
                <w:bCs/>
                <w:color w:val="FFFFFF"/>
                <w:sz w:val="13"/>
                <w:szCs w:val="13"/>
              </w:rPr>
              <w:t>1.12.</w:t>
            </w:r>
            <w:r w:rsidRPr="004B15E0">
              <w:rPr>
                <w:b/>
                <w:bCs/>
                <w:color w:val="FFFFFF"/>
                <w:sz w:val="13"/>
                <w:szCs w:val="13"/>
              </w:rPr>
              <w:t>2018</w:t>
            </w:r>
          </w:p>
        </w:tc>
      </w:tr>
      <w:tr w:rsidR="00823E6B" w:rsidRPr="004B15E0" w14:paraId="1949C087" w14:textId="77777777" w:rsidTr="003801D5">
        <w:trPr>
          <w:trHeight w:val="284"/>
        </w:trPr>
        <w:tc>
          <w:tcPr>
            <w:tcW w:w="2835" w:type="dxa"/>
            <w:vMerge/>
            <w:tcBorders>
              <w:top w:val="single" w:sz="8" w:space="0" w:color="FFFFFF"/>
              <w:left w:val="nil"/>
              <w:right w:val="single" w:sz="8" w:space="0" w:color="FFFFFF"/>
            </w:tcBorders>
            <w:vAlign w:val="center"/>
            <w:hideMark/>
          </w:tcPr>
          <w:p w14:paraId="10150ED5" w14:textId="77777777" w:rsidR="00823E6B" w:rsidRPr="004B15E0" w:rsidRDefault="00823E6B" w:rsidP="00823E6B">
            <w:pPr>
              <w:rPr>
                <w:b/>
                <w:bCs/>
                <w:color w:val="FFFFFF"/>
                <w:sz w:val="13"/>
                <w:szCs w:val="13"/>
              </w:rPr>
            </w:pPr>
          </w:p>
        </w:tc>
        <w:tc>
          <w:tcPr>
            <w:tcW w:w="1134" w:type="dxa"/>
            <w:tcBorders>
              <w:top w:val="single" w:sz="4" w:space="0" w:color="FFFFFF"/>
              <w:left w:val="nil"/>
              <w:right w:val="single" w:sz="8" w:space="0" w:color="FFFFFF"/>
            </w:tcBorders>
            <w:shd w:val="clear" w:color="000000" w:fill="0077BD"/>
            <w:noWrap/>
            <w:vAlign w:val="center"/>
            <w:hideMark/>
          </w:tcPr>
          <w:p w14:paraId="12E6C3D8" w14:textId="77777777" w:rsidR="00823E6B" w:rsidRPr="004B15E0" w:rsidRDefault="00823E6B" w:rsidP="00823E6B">
            <w:pPr>
              <w:jc w:val="center"/>
              <w:rPr>
                <w:b/>
                <w:bCs/>
                <w:color w:val="FFFFFF"/>
                <w:sz w:val="13"/>
                <w:szCs w:val="13"/>
              </w:rPr>
            </w:pPr>
            <w:r w:rsidRPr="004B15E0">
              <w:rPr>
                <w:b/>
                <w:bCs/>
                <w:color w:val="FFFFFF"/>
                <w:sz w:val="13"/>
                <w:szCs w:val="13"/>
              </w:rPr>
              <w:t>Polska</w:t>
            </w:r>
          </w:p>
        </w:tc>
        <w:tc>
          <w:tcPr>
            <w:tcW w:w="1134" w:type="dxa"/>
            <w:tcBorders>
              <w:top w:val="single" w:sz="4" w:space="0" w:color="FFFFFF"/>
              <w:left w:val="nil"/>
              <w:right w:val="single" w:sz="8" w:space="0" w:color="FFFFFF"/>
            </w:tcBorders>
            <w:shd w:val="clear" w:color="000000" w:fill="0077BD"/>
            <w:noWrap/>
            <w:vAlign w:val="center"/>
            <w:hideMark/>
          </w:tcPr>
          <w:p w14:paraId="39F3ED5E" w14:textId="77777777" w:rsidR="00823E6B" w:rsidRPr="004B15E0" w:rsidRDefault="00823E6B" w:rsidP="00823E6B">
            <w:pPr>
              <w:jc w:val="center"/>
              <w:rPr>
                <w:b/>
                <w:bCs/>
                <w:color w:val="FFFFFF"/>
                <w:sz w:val="13"/>
                <w:szCs w:val="13"/>
              </w:rPr>
            </w:pPr>
            <w:r w:rsidRPr="004B15E0">
              <w:rPr>
                <w:b/>
                <w:bCs/>
                <w:color w:val="FFFFFF"/>
                <w:sz w:val="13"/>
                <w:szCs w:val="13"/>
              </w:rPr>
              <w:t>Zagranica</w:t>
            </w:r>
          </w:p>
        </w:tc>
        <w:tc>
          <w:tcPr>
            <w:tcW w:w="1134" w:type="dxa"/>
            <w:tcBorders>
              <w:top w:val="single" w:sz="4" w:space="0" w:color="FFFFFF"/>
              <w:left w:val="nil"/>
              <w:right w:val="nil"/>
            </w:tcBorders>
            <w:shd w:val="clear" w:color="000000" w:fill="0077BD"/>
            <w:noWrap/>
            <w:vAlign w:val="center"/>
            <w:hideMark/>
          </w:tcPr>
          <w:p w14:paraId="5DE5F5F4" w14:textId="77777777" w:rsidR="00823E6B" w:rsidRPr="004B15E0" w:rsidRDefault="00823E6B" w:rsidP="00823E6B">
            <w:pPr>
              <w:jc w:val="center"/>
              <w:rPr>
                <w:b/>
                <w:bCs/>
                <w:color w:val="FFFFFF"/>
                <w:sz w:val="13"/>
                <w:szCs w:val="13"/>
              </w:rPr>
            </w:pPr>
            <w:r w:rsidRPr="004B15E0">
              <w:rPr>
                <w:b/>
                <w:bCs/>
                <w:color w:val="FFFFFF"/>
                <w:sz w:val="13"/>
                <w:szCs w:val="13"/>
              </w:rPr>
              <w:t>Razem</w:t>
            </w:r>
          </w:p>
        </w:tc>
        <w:tc>
          <w:tcPr>
            <w:tcW w:w="1134" w:type="dxa"/>
            <w:tcBorders>
              <w:top w:val="single" w:sz="4" w:space="0" w:color="FFFFFF"/>
              <w:left w:val="single" w:sz="8" w:space="0" w:color="FFFFFF"/>
              <w:right w:val="single" w:sz="8" w:space="0" w:color="FFFFFF"/>
            </w:tcBorders>
            <w:shd w:val="clear" w:color="000000" w:fill="0077BD"/>
            <w:noWrap/>
            <w:vAlign w:val="center"/>
            <w:hideMark/>
          </w:tcPr>
          <w:p w14:paraId="5A19846E" w14:textId="77777777" w:rsidR="00823E6B" w:rsidRPr="004B15E0" w:rsidRDefault="00823E6B" w:rsidP="00823E6B">
            <w:pPr>
              <w:jc w:val="center"/>
              <w:rPr>
                <w:b/>
                <w:bCs/>
                <w:color w:val="FFFFFF"/>
                <w:sz w:val="13"/>
                <w:szCs w:val="13"/>
              </w:rPr>
            </w:pPr>
            <w:r w:rsidRPr="004B15E0">
              <w:rPr>
                <w:b/>
                <w:bCs/>
                <w:color w:val="FFFFFF"/>
                <w:sz w:val="13"/>
                <w:szCs w:val="13"/>
              </w:rPr>
              <w:t>Polska</w:t>
            </w:r>
          </w:p>
        </w:tc>
        <w:tc>
          <w:tcPr>
            <w:tcW w:w="1134" w:type="dxa"/>
            <w:tcBorders>
              <w:top w:val="single" w:sz="4" w:space="0" w:color="FFFFFF"/>
              <w:left w:val="nil"/>
              <w:right w:val="single" w:sz="8" w:space="0" w:color="FFFFFF"/>
            </w:tcBorders>
            <w:shd w:val="clear" w:color="000000" w:fill="0077BD"/>
            <w:noWrap/>
            <w:vAlign w:val="center"/>
            <w:hideMark/>
          </w:tcPr>
          <w:p w14:paraId="1FFA544B" w14:textId="77777777" w:rsidR="00823E6B" w:rsidRPr="004B15E0" w:rsidRDefault="00823E6B" w:rsidP="00823E6B">
            <w:pPr>
              <w:jc w:val="center"/>
              <w:rPr>
                <w:b/>
                <w:bCs/>
                <w:color w:val="FFFFFF"/>
                <w:sz w:val="13"/>
                <w:szCs w:val="13"/>
              </w:rPr>
            </w:pPr>
            <w:r w:rsidRPr="004B15E0">
              <w:rPr>
                <w:b/>
                <w:bCs/>
                <w:color w:val="FFFFFF"/>
                <w:sz w:val="13"/>
                <w:szCs w:val="13"/>
              </w:rPr>
              <w:t>Zagranica</w:t>
            </w:r>
          </w:p>
        </w:tc>
        <w:tc>
          <w:tcPr>
            <w:tcW w:w="1134" w:type="dxa"/>
            <w:tcBorders>
              <w:top w:val="single" w:sz="4" w:space="0" w:color="FFFFFF"/>
              <w:left w:val="nil"/>
              <w:right w:val="nil"/>
            </w:tcBorders>
            <w:shd w:val="clear" w:color="000000" w:fill="0077BD"/>
            <w:noWrap/>
            <w:vAlign w:val="center"/>
            <w:hideMark/>
          </w:tcPr>
          <w:p w14:paraId="61807D0A" w14:textId="77777777" w:rsidR="00823E6B" w:rsidRPr="004B15E0" w:rsidRDefault="00823E6B" w:rsidP="00823E6B">
            <w:pPr>
              <w:jc w:val="center"/>
              <w:rPr>
                <w:b/>
                <w:bCs/>
                <w:color w:val="FFFFFF"/>
                <w:sz w:val="13"/>
                <w:szCs w:val="13"/>
              </w:rPr>
            </w:pPr>
            <w:r w:rsidRPr="004B15E0">
              <w:rPr>
                <w:b/>
                <w:bCs/>
                <w:color w:val="FFFFFF"/>
                <w:sz w:val="13"/>
                <w:szCs w:val="13"/>
              </w:rPr>
              <w:t>Razem</w:t>
            </w:r>
          </w:p>
        </w:tc>
      </w:tr>
      <w:tr w:rsidR="001F4F8E" w:rsidRPr="0068723D" w14:paraId="5B28B3A6" w14:textId="77777777" w:rsidTr="003801D5">
        <w:trPr>
          <w:trHeight w:val="300"/>
        </w:trPr>
        <w:tc>
          <w:tcPr>
            <w:tcW w:w="2835" w:type="dxa"/>
            <w:tcBorders>
              <w:left w:val="nil"/>
              <w:bottom w:val="single" w:sz="8" w:space="0" w:color="0077BD"/>
              <w:right w:val="single" w:sz="8" w:space="0" w:color="0077BD"/>
            </w:tcBorders>
            <w:shd w:val="clear" w:color="auto" w:fill="auto"/>
            <w:noWrap/>
            <w:vAlign w:val="center"/>
            <w:hideMark/>
          </w:tcPr>
          <w:p w14:paraId="3D6BB0FE" w14:textId="77777777" w:rsidR="001F4F8E" w:rsidRPr="00B9528E" w:rsidRDefault="001F4F8E" w:rsidP="001F4F8E">
            <w:pPr>
              <w:rPr>
                <w:b/>
                <w:bCs/>
                <w:color w:val="000000" w:themeColor="text1"/>
                <w:sz w:val="13"/>
                <w:szCs w:val="13"/>
              </w:rPr>
            </w:pPr>
            <w:r w:rsidRPr="00B9528E">
              <w:rPr>
                <w:b/>
                <w:bCs/>
                <w:color w:val="000000" w:themeColor="text1"/>
                <w:sz w:val="13"/>
                <w:szCs w:val="13"/>
              </w:rPr>
              <w:t>Aktywa segmentu, w tym:</w:t>
            </w:r>
          </w:p>
        </w:tc>
        <w:tc>
          <w:tcPr>
            <w:tcW w:w="1134" w:type="dxa"/>
            <w:tcBorders>
              <w:left w:val="nil"/>
              <w:bottom w:val="single" w:sz="8" w:space="0" w:color="0077BD"/>
              <w:right w:val="single" w:sz="8" w:space="0" w:color="0077BD"/>
            </w:tcBorders>
            <w:shd w:val="clear" w:color="auto" w:fill="auto"/>
            <w:noWrap/>
            <w:vAlign w:val="center"/>
          </w:tcPr>
          <w:p w14:paraId="6771D1B8" w14:textId="39B94ABB" w:rsidR="001F4F8E" w:rsidRPr="00714884" w:rsidRDefault="001F4F8E" w:rsidP="001F4F8E">
            <w:pPr>
              <w:jc w:val="right"/>
              <w:rPr>
                <w:color w:val="000000" w:themeColor="text1"/>
                <w:sz w:val="12"/>
                <w:szCs w:val="12"/>
              </w:rPr>
            </w:pPr>
            <w:r w:rsidRPr="00714884">
              <w:rPr>
                <w:rFonts w:cs="Calibri"/>
                <w:color w:val="000000" w:themeColor="text1"/>
                <w:sz w:val="12"/>
                <w:szCs w:val="12"/>
              </w:rPr>
              <w:t>149 957 094</w:t>
            </w:r>
          </w:p>
        </w:tc>
        <w:tc>
          <w:tcPr>
            <w:tcW w:w="1134" w:type="dxa"/>
            <w:tcBorders>
              <w:left w:val="nil"/>
              <w:bottom w:val="single" w:sz="8" w:space="0" w:color="0077BD"/>
              <w:right w:val="single" w:sz="8" w:space="0" w:color="0077BD"/>
            </w:tcBorders>
            <w:shd w:val="clear" w:color="auto" w:fill="auto"/>
            <w:noWrap/>
            <w:vAlign w:val="center"/>
          </w:tcPr>
          <w:p w14:paraId="14876AB2" w14:textId="1474C945" w:rsidR="001F4F8E" w:rsidRPr="00714884" w:rsidRDefault="001F4F8E" w:rsidP="001F4F8E">
            <w:pPr>
              <w:jc w:val="right"/>
              <w:rPr>
                <w:color w:val="000000" w:themeColor="text1"/>
                <w:sz w:val="12"/>
                <w:szCs w:val="12"/>
              </w:rPr>
            </w:pPr>
            <w:r w:rsidRPr="00714884">
              <w:rPr>
                <w:rFonts w:cs="Calibri"/>
                <w:color w:val="000000" w:themeColor="text1"/>
                <w:sz w:val="12"/>
                <w:szCs w:val="12"/>
              </w:rPr>
              <w:t>8 763 489</w:t>
            </w:r>
          </w:p>
        </w:tc>
        <w:tc>
          <w:tcPr>
            <w:tcW w:w="1134" w:type="dxa"/>
            <w:tcBorders>
              <w:left w:val="nil"/>
              <w:bottom w:val="single" w:sz="8" w:space="0" w:color="0077BD"/>
              <w:right w:val="single" w:sz="8" w:space="0" w:color="0077BD"/>
            </w:tcBorders>
            <w:shd w:val="clear" w:color="auto" w:fill="auto"/>
            <w:noWrap/>
            <w:vAlign w:val="center"/>
          </w:tcPr>
          <w:p w14:paraId="2A14E2E4" w14:textId="5F5A0DAB" w:rsidR="001F4F8E" w:rsidRPr="00714884" w:rsidRDefault="001F4F8E" w:rsidP="001F4F8E">
            <w:pPr>
              <w:jc w:val="right"/>
              <w:rPr>
                <w:b/>
                <w:bCs/>
                <w:color w:val="000000" w:themeColor="text1"/>
                <w:sz w:val="12"/>
                <w:szCs w:val="12"/>
              </w:rPr>
            </w:pPr>
            <w:r w:rsidRPr="00714884">
              <w:rPr>
                <w:rFonts w:cs="Calibri"/>
                <w:b/>
                <w:bCs/>
                <w:color w:val="000000" w:themeColor="text1"/>
                <w:sz w:val="12"/>
                <w:szCs w:val="12"/>
              </w:rPr>
              <w:t>158 720 583</w:t>
            </w:r>
          </w:p>
        </w:tc>
        <w:tc>
          <w:tcPr>
            <w:tcW w:w="1134" w:type="dxa"/>
            <w:tcBorders>
              <w:left w:val="nil"/>
              <w:bottom w:val="single" w:sz="8" w:space="0" w:color="0077BD"/>
              <w:right w:val="single" w:sz="8" w:space="0" w:color="0077BD"/>
            </w:tcBorders>
            <w:shd w:val="clear" w:color="auto" w:fill="auto"/>
            <w:noWrap/>
            <w:vAlign w:val="center"/>
          </w:tcPr>
          <w:p w14:paraId="7E510F74" w14:textId="14A402DC" w:rsidR="001F4F8E" w:rsidRPr="00714884" w:rsidRDefault="00712678" w:rsidP="00712678">
            <w:pPr>
              <w:jc w:val="right"/>
              <w:rPr>
                <w:color w:val="000000" w:themeColor="text1"/>
                <w:sz w:val="12"/>
                <w:szCs w:val="12"/>
              </w:rPr>
            </w:pPr>
            <w:r w:rsidRPr="00714884">
              <w:rPr>
                <w:color w:val="000000" w:themeColor="text1"/>
                <w:sz w:val="12"/>
                <w:szCs w:val="12"/>
              </w:rPr>
              <w:t>138 370</w:t>
            </w:r>
            <w:r w:rsidR="001F4F8E" w:rsidRPr="00714884">
              <w:rPr>
                <w:color w:val="000000" w:themeColor="text1"/>
                <w:sz w:val="12"/>
                <w:szCs w:val="12"/>
              </w:rPr>
              <w:t xml:space="preserve"> </w:t>
            </w:r>
            <w:r w:rsidRPr="00714884">
              <w:rPr>
                <w:color w:val="000000" w:themeColor="text1"/>
                <w:sz w:val="12"/>
                <w:szCs w:val="12"/>
              </w:rPr>
              <w:t>344</w:t>
            </w:r>
          </w:p>
        </w:tc>
        <w:tc>
          <w:tcPr>
            <w:tcW w:w="1134" w:type="dxa"/>
            <w:tcBorders>
              <w:left w:val="nil"/>
              <w:bottom w:val="single" w:sz="8" w:space="0" w:color="0077BD"/>
              <w:right w:val="single" w:sz="8" w:space="0" w:color="0077BD"/>
            </w:tcBorders>
            <w:shd w:val="clear" w:color="auto" w:fill="auto"/>
            <w:noWrap/>
            <w:vAlign w:val="center"/>
          </w:tcPr>
          <w:p w14:paraId="06CAD20D" w14:textId="77777777" w:rsidR="001F4F8E" w:rsidRPr="00714884" w:rsidRDefault="001F4F8E" w:rsidP="001F4F8E">
            <w:pPr>
              <w:jc w:val="right"/>
              <w:rPr>
                <w:color w:val="000000" w:themeColor="text1"/>
                <w:sz w:val="12"/>
                <w:szCs w:val="12"/>
              </w:rPr>
            </w:pPr>
            <w:r w:rsidRPr="00714884">
              <w:rPr>
                <w:color w:val="000000" w:themeColor="text1"/>
                <w:sz w:val="12"/>
                <w:szCs w:val="12"/>
              </w:rPr>
              <w:t>7 410 214</w:t>
            </w:r>
          </w:p>
        </w:tc>
        <w:tc>
          <w:tcPr>
            <w:tcW w:w="1134" w:type="dxa"/>
            <w:tcBorders>
              <w:left w:val="nil"/>
              <w:bottom w:val="single" w:sz="8" w:space="0" w:color="0077BD"/>
              <w:right w:val="nil"/>
            </w:tcBorders>
            <w:shd w:val="clear" w:color="auto" w:fill="auto"/>
            <w:noWrap/>
            <w:vAlign w:val="center"/>
          </w:tcPr>
          <w:p w14:paraId="2DE8E868" w14:textId="6B5F631C" w:rsidR="001F4F8E" w:rsidRPr="00714884" w:rsidRDefault="00712678" w:rsidP="00712678">
            <w:pPr>
              <w:jc w:val="right"/>
              <w:rPr>
                <w:b/>
                <w:bCs/>
                <w:color w:val="000000" w:themeColor="text1"/>
                <w:sz w:val="12"/>
                <w:szCs w:val="12"/>
              </w:rPr>
            </w:pPr>
            <w:r w:rsidRPr="00714884">
              <w:rPr>
                <w:b/>
                <w:bCs/>
                <w:color w:val="000000" w:themeColor="text1"/>
                <w:sz w:val="12"/>
                <w:szCs w:val="12"/>
              </w:rPr>
              <w:t>145 780</w:t>
            </w:r>
            <w:r w:rsidR="001F4F8E" w:rsidRPr="00714884">
              <w:rPr>
                <w:b/>
                <w:bCs/>
                <w:color w:val="000000" w:themeColor="text1"/>
                <w:sz w:val="12"/>
                <w:szCs w:val="12"/>
              </w:rPr>
              <w:t xml:space="preserve"> </w:t>
            </w:r>
            <w:r w:rsidRPr="00714884">
              <w:rPr>
                <w:b/>
                <w:bCs/>
                <w:color w:val="000000" w:themeColor="text1"/>
                <w:sz w:val="12"/>
                <w:szCs w:val="12"/>
              </w:rPr>
              <w:t>558</w:t>
            </w:r>
          </w:p>
        </w:tc>
      </w:tr>
      <w:tr w:rsidR="001F4F8E" w:rsidRPr="0068723D" w14:paraId="299FD423" w14:textId="77777777" w:rsidTr="00F0324E">
        <w:trPr>
          <w:trHeight w:val="300"/>
        </w:trPr>
        <w:tc>
          <w:tcPr>
            <w:tcW w:w="2835" w:type="dxa"/>
            <w:tcBorders>
              <w:top w:val="single" w:sz="8" w:space="0" w:color="0077BD"/>
              <w:left w:val="nil"/>
              <w:bottom w:val="single" w:sz="4" w:space="0" w:color="0077BD"/>
              <w:right w:val="single" w:sz="8" w:space="0" w:color="0077BD"/>
            </w:tcBorders>
            <w:shd w:val="clear" w:color="auto" w:fill="auto"/>
            <w:noWrap/>
            <w:vAlign w:val="center"/>
            <w:hideMark/>
          </w:tcPr>
          <w:p w14:paraId="4380C74A" w14:textId="77777777" w:rsidR="001F4F8E" w:rsidRPr="00B9528E" w:rsidRDefault="001F4F8E" w:rsidP="001F4F8E">
            <w:pPr>
              <w:rPr>
                <w:color w:val="000000" w:themeColor="text1"/>
                <w:sz w:val="13"/>
                <w:szCs w:val="13"/>
              </w:rPr>
            </w:pPr>
            <w:r w:rsidRPr="00B9528E">
              <w:rPr>
                <w:color w:val="000000" w:themeColor="text1"/>
                <w:sz w:val="13"/>
                <w:szCs w:val="13"/>
              </w:rPr>
              <w:t xml:space="preserve"> - aktywa trwałe</w:t>
            </w:r>
          </w:p>
        </w:tc>
        <w:tc>
          <w:tcPr>
            <w:tcW w:w="1134" w:type="dxa"/>
            <w:tcBorders>
              <w:top w:val="nil"/>
              <w:left w:val="nil"/>
              <w:bottom w:val="single" w:sz="4" w:space="0" w:color="0077BD"/>
              <w:right w:val="single" w:sz="8" w:space="0" w:color="0077BD"/>
            </w:tcBorders>
            <w:shd w:val="clear" w:color="auto" w:fill="auto"/>
            <w:noWrap/>
            <w:vAlign w:val="center"/>
          </w:tcPr>
          <w:p w14:paraId="3E6A2F82" w14:textId="0F17BF8D" w:rsidR="001F4F8E" w:rsidRPr="00714884" w:rsidRDefault="006B63A1" w:rsidP="006B63A1">
            <w:pPr>
              <w:jc w:val="right"/>
              <w:rPr>
                <w:color w:val="000000" w:themeColor="text1"/>
                <w:sz w:val="12"/>
                <w:szCs w:val="12"/>
              </w:rPr>
            </w:pPr>
            <w:r w:rsidRPr="00714884">
              <w:rPr>
                <w:rFonts w:cs="Calibri"/>
                <w:color w:val="000000" w:themeColor="text1"/>
                <w:sz w:val="12"/>
                <w:szCs w:val="12"/>
              </w:rPr>
              <w:t>2 18</w:t>
            </w:r>
            <w:r w:rsidR="001F4F8E" w:rsidRPr="00714884">
              <w:rPr>
                <w:rFonts w:cs="Calibri"/>
                <w:color w:val="000000" w:themeColor="text1"/>
                <w:sz w:val="12"/>
                <w:szCs w:val="12"/>
              </w:rPr>
              <w:t xml:space="preserve">8 </w:t>
            </w:r>
            <w:r w:rsidRPr="00714884">
              <w:rPr>
                <w:rFonts w:cs="Calibri"/>
                <w:color w:val="000000" w:themeColor="text1"/>
                <w:sz w:val="12"/>
                <w:szCs w:val="12"/>
              </w:rPr>
              <w:t>996</w:t>
            </w:r>
          </w:p>
        </w:tc>
        <w:tc>
          <w:tcPr>
            <w:tcW w:w="1134" w:type="dxa"/>
            <w:tcBorders>
              <w:top w:val="nil"/>
              <w:left w:val="nil"/>
              <w:bottom w:val="single" w:sz="4" w:space="0" w:color="0077BD"/>
              <w:right w:val="single" w:sz="8" w:space="0" w:color="0077BD"/>
            </w:tcBorders>
            <w:shd w:val="clear" w:color="auto" w:fill="auto"/>
            <w:noWrap/>
            <w:vAlign w:val="center"/>
          </w:tcPr>
          <w:p w14:paraId="0AAD6EF6" w14:textId="3BD908BF" w:rsidR="001F4F8E" w:rsidRPr="00714884" w:rsidRDefault="001F4F8E" w:rsidP="001F4F8E">
            <w:pPr>
              <w:jc w:val="right"/>
              <w:rPr>
                <w:color w:val="000000" w:themeColor="text1"/>
                <w:sz w:val="12"/>
                <w:szCs w:val="12"/>
              </w:rPr>
            </w:pPr>
            <w:r w:rsidRPr="00714884">
              <w:rPr>
                <w:rFonts w:cs="Calibri"/>
                <w:color w:val="000000" w:themeColor="text1"/>
                <w:sz w:val="12"/>
                <w:szCs w:val="12"/>
              </w:rPr>
              <w:t>39 492</w:t>
            </w:r>
          </w:p>
        </w:tc>
        <w:tc>
          <w:tcPr>
            <w:tcW w:w="1134" w:type="dxa"/>
            <w:tcBorders>
              <w:top w:val="nil"/>
              <w:left w:val="nil"/>
              <w:bottom w:val="single" w:sz="4" w:space="0" w:color="0077BD"/>
              <w:right w:val="single" w:sz="8" w:space="0" w:color="0077BD"/>
            </w:tcBorders>
            <w:shd w:val="clear" w:color="auto" w:fill="auto"/>
            <w:noWrap/>
            <w:vAlign w:val="center"/>
          </w:tcPr>
          <w:p w14:paraId="3A8699F3" w14:textId="5248F587" w:rsidR="001F4F8E" w:rsidRPr="00714884" w:rsidRDefault="006B63A1" w:rsidP="006B63A1">
            <w:pPr>
              <w:jc w:val="right"/>
              <w:rPr>
                <w:color w:val="000000" w:themeColor="text1"/>
                <w:sz w:val="12"/>
                <w:szCs w:val="12"/>
              </w:rPr>
            </w:pPr>
            <w:r w:rsidRPr="00714884">
              <w:rPr>
                <w:rFonts w:cs="Calibri"/>
                <w:color w:val="000000" w:themeColor="text1"/>
                <w:sz w:val="12"/>
                <w:szCs w:val="12"/>
              </w:rPr>
              <w:t>2 228</w:t>
            </w:r>
            <w:r w:rsidR="001F4F8E" w:rsidRPr="00714884">
              <w:rPr>
                <w:rFonts w:cs="Calibri"/>
                <w:color w:val="000000" w:themeColor="text1"/>
                <w:sz w:val="12"/>
                <w:szCs w:val="12"/>
              </w:rPr>
              <w:t xml:space="preserve"> </w:t>
            </w:r>
            <w:r w:rsidRPr="00714884">
              <w:rPr>
                <w:rFonts w:cs="Calibri"/>
                <w:color w:val="000000" w:themeColor="text1"/>
                <w:sz w:val="12"/>
                <w:szCs w:val="12"/>
              </w:rPr>
              <w:t>488</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58CCDD29" w14:textId="77777777" w:rsidR="001F4F8E" w:rsidRPr="00714884" w:rsidRDefault="001F4F8E" w:rsidP="001F4F8E">
            <w:pPr>
              <w:jc w:val="right"/>
              <w:rPr>
                <w:color w:val="000000" w:themeColor="text1"/>
                <w:sz w:val="12"/>
                <w:szCs w:val="12"/>
              </w:rPr>
            </w:pPr>
            <w:r w:rsidRPr="00714884">
              <w:rPr>
                <w:color w:val="000000" w:themeColor="text1"/>
                <w:sz w:val="12"/>
                <w:szCs w:val="12"/>
              </w:rPr>
              <w:t>1 541 714</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464D5E96" w14:textId="77777777" w:rsidR="001F4F8E" w:rsidRPr="00714884" w:rsidRDefault="001F4F8E" w:rsidP="001F4F8E">
            <w:pPr>
              <w:jc w:val="right"/>
              <w:rPr>
                <w:color w:val="000000" w:themeColor="text1"/>
                <w:sz w:val="12"/>
                <w:szCs w:val="12"/>
              </w:rPr>
            </w:pPr>
            <w:r w:rsidRPr="00714884">
              <w:rPr>
                <w:color w:val="000000" w:themeColor="text1"/>
                <w:sz w:val="12"/>
                <w:szCs w:val="12"/>
              </w:rPr>
              <w:t>19 487</w:t>
            </w:r>
          </w:p>
        </w:tc>
        <w:tc>
          <w:tcPr>
            <w:tcW w:w="1134" w:type="dxa"/>
            <w:tcBorders>
              <w:top w:val="single" w:sz="8" w:space="0" w:color="0077BD"/>
              <w:left w:val="nil"/>
              <w:bottom w:val="single" w:sz="4" w:space="0" w:color="0077BD"/>
              <w:right w:val="nil"/>
            </w:tcBorders>
            <w:shd w:val="clear" w:color="auto" w:fill="auto"/>
            <w:noWrap/>
            <w:vAlign w:val="center"/>
          </w:tcPr>
          <w:p w14:paraId="21328187" w14:textId="77777777" w:rsidR="001F4F8E" w:rsidRPr="00714884" w:rsidRDefault="001F4F8E" w:rsidP="001F4F8E">
            <w:pPr>
              <w:jc w:val="right"/>
              <w:rPr>
                <w:color w:val="000000" w:themeColor="text1"/>
                <w:sz w:val="12"/>
                <w:szCs w:val="12"/>
              </w:rPr>
            </w:pPr>
            <w:r w:rsidRPr="00714884">
              <w:rPr>
                <w:color w:val="000000" w:themeColor="text1"/>
                <w:sz w:val="12"/>
                <w:szCs w:val="12"/>
              </w:rPr>
              <w:t>1 561 201</w:t>
            </w:r>
          </w:p>
        </w:tc>
      </w:tr>
      <w:tr w:rsidR="001F4F8E" w:rsidRPr="0068723D" w14:paraId="47275D65" w14:textId="77777777" w:rsidTr="00F0324E">
        <w:trPr>
          <w:trHeight w:val="300"/>
        </w:trPr>
        <w:tc>
          <w:tcPr>
            <w:tcW w:w="2835" w:type="dxa"/>
            <w:tcBorders>
              <w:top w:val="single" w:sz="4" w:space="0" w:color="0077BD"/>
              <w:left w:val="nil"/>
              <w:bottom w:val="single" w:sz="8" w:space="0" w:color="0077BD"/>
              <w:right w:val="single" w:sz="8" w:space="0" w:color="0077BD"/>
            </w:tcBorders>
            <w:shd w:val="clear" w:color="auto" w:fill="auto"/>
            <w:noWrap/>
            <w:vAlign w:val="center"/>
            <w:hideMark/>
          </w:tcPr>
          <w:p w14:paraId="739A101D" w14:textId="77777777" w:rsidR="001F4F8E" w:rsidRPr="00B9528E" w:rsidRDefault="001F4F8E" w:rsidP="001F4F8E">
            <w:pPr>
              <w:rPr>
                <w:color w:val="000000" w:themeColor="text1"/>
                <w:sz w:val="13"/>
                <w:szCs w:val="13"/>
              </w:rPr>
            </w:pPr>
            <w:r w:rsidRPr="00B9528E">
              <w:rPr>
                <w:color w:val="000000" w:themeColor="text1"/>
                <w:sz w:val="13"/>
                <w:szCs w:val="13"/>
              </w:rPr>
              <w:t xml:space="preserve"> - aktywa z tytułu podatku odroczonego</w:t>
            </w:r>
          </w:p>
        </w:tc>
        <w:tc>
          <w:tcPr>
            <w:tcW w:w="1134" w:type="dxa"/>
            <w:tcBorders>
              <w:top w:val="nil"/>
              <w:left w:val="nil"/>
              <w:bottom w:val="single" w:sz="8" w:space="0" w:color="0077BD"/>
              <w:right w:val="single" w:sz="8" w:space="0" w:color="0077BD"/>
            </w:tcBorders>
            <w:shd w:val="clear" w:color="auto" w:fill="auto"/>
            <w:noWrap/>
            <w:vAlign w:val="center"/>
          </w:tcPr>
          <w:p w14:paraId="78691AB9" w14:textId="4E46E3F4" w:rsidR="001F4F8E" w:rsidRPr="00714884" w:rsidRDefault="001F4F8E" w:rsidP="001F4F8E">
            <w:pPr>
              <w:jc w:val="right"/>
              <w:rPr>
                <w:color w:val="000000" w:themeColor="text1"/>
                <w:sz w:val="12"/>
                <w:szCs w:val="12"/>
              </w:rPr>
            </w:pPr>
            <w:r w:rsidRPr="00714884">
              <w:rPr>
                <w:rFonts w:cs="Calibri"/>
                <w:color w:val="000000" w:themeColor="text1"/>
                <w:sz w:val="12"/>
                <w:szCs w:val="12"/>
              </w:rPr>
              <w:t>935 335</w:t>
            </w:r>
          </w:p>
        </w:tc>
        <w:tc>
          <w:tcPr>
            <w:tcW w:w="1134" w:type="dxa"/>
            <w:tcBorders>
              <w:top w:val="nil"/>
              <w:left w:val="nil"/>
              <w:bottom w:val="single" w:sz="8" w:space="0" w:color="0077BD"/>
              <w:right w:val="single" w:sz="8" w:space="0" w:color="0077BD"/>
            </w:tcBorders>
            <w:shd w:val="clear" w:color="auto" w:fill="auto"/>
            <w:noWrap/>
            <w:vAlign w:val="center"/>
          </w:tcPr>
          <w:p w14:paraId="73332483" w14:textId="10A3E408" w:rsidR="001F4F8E" w:rsidRPr="00714884" w:rsidRDefault="001F4F8E" w:rsidP="001F4F8E">
            <w:pPr>
              <w:jc w:val="right"/>
              <w:rPr>
                <w:color w:val="000000" w:themeColor="text1"/>
                <w:sz w:val="12"/>
                <w:szCs w:val="12"/>
              </w:rPr>
            </w:pPr>
            <w:r w:rsidRPr="00714884">
              <w:rPr>
                <w:rFonts w:cs="Calibri"/>
                <w:color w:val="000000" w:themeColor="text1"/>
                <w:sz w:val="12"/>
                <w:szCs w:val="12"/>
              </w:rPr>
              <w:t>2 377</w:t>
            </w:r>
          </w:p>
        </w:tc>
        <w:tc>
          <w:tcPr>
            <w:tcW w:w="1134" w:type="dxa"/>
            <w:tcBorders>
              <w:top w:val="nil"/>
              <w:left w:val="nil"/>
              <w:bottom w:val="single" w:sz="8" w:space="0" w:color="0077BD"/>
              <w:right w:val="single" w:sz="8" w:space="0" w:color="0077BD"/>
            </w:tcBorders>
            <w:shd w:val="clear" w:color="auto" w:fill="auto"/>
            <w:noWrap/>
            <w:vAlign w:val="center"/>
          </w:tcPr>
          <w:p w14:paraId="0C0CB8CB" w14:textId="7A6FB8F5" w:rsidR="001F4F8E" w:rsidRPr="00714884" w:rsidRDefault="001F4F8E" w:rsidP="001F4F8E">
            <w:pPr>
              <w:jc w:val="right"/>
              <w:rPr>
                <w:color w:val="000000" w:themeColor="text1"/>
                <w:sz w:val="12"/>
                <w:szCs w:val="12"/>
              </w:rPr>
            </w:pPr>
            <w:r w:rsidRPr="00714884">
              <w:rPr>
                <w:rFonts w:cs="Calibri"/>
                <w:color w:val="000000" w:themeColor="text1"/>
                <w:sz w:val="12"/>
                <w:szCs w:val="12"/>
              </w:rPr>
              <w:t>937 712</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5F19F951" w14:textId="77777777" w:rsidR="001F4F8E" w:rsidRPr="00714884" w:rsidRDefault="001F4F8E" w:rsidP="001F4F8E">
            <w:pPr>
              <w:jc w:val="right"/>
              <w:rPr>
                <w:color w:val="000000" w:themeColor="text1"/>
                <w:sz w:val="12"/>
                <w:szCs w:val="12"/>
              </w:rPr>
            </w:pPr>
            <w:r w:rsidRPr="00714884">
              <w:rPr>
                <w:color w:val="000000" w:themeColor="text1"/>
                <w:sz w:val="12"/>
                <w:szCs w:val="12"/>
              </w:rPr>
              <w:t>957 159</w:t>
            </w:r>
          </w:p>
        </w:tc>
        <w:tc>
          <w:tcPr>
            <w:tcW w:w="1134" w:type="dxa"/>
            <w:tcBorders>
              <w:top w:val="single" w:sz="4" w:space="0" w:color="0077BD"/>
              <w:left w:val="nil"/>
              <w:bottom w:val="single" w:sz="8" w:space="0" w:color="0077BD"/>
              <w:right w:val="single" w:sz="8" w:space="0" w:color="0077BD"/>
            </w:tcBorders>
            <w:shd w:val="clear" w:color="auto" w:fill="auto"/>
            <w:noWrap/>
            <w:vAlign w:val="center"/>
          </w:tcPr>
          <w:p w14:paraId="027E93C3" w14:textId="77777777" w:rsidR="001F4F8E" w:rsidRPr="00714884" w:rsidRDefault="001F4F8E" w:rsidP="001F4F8E">
            <w:pPr>
              <w:jc w:val="right"/>
              <w:rPr>
                <w:color w:val="000000" w:themeColor="text1"/>
                <w:sz w:val="12"/>
                <w:szCs w:val="12"/>
              </w:rPr>
            </w:pPr>
            <w:r w:rsidRPr="00714884">
              <w:rPr>
                <w:color w:val="000000" w:themeColor="text1"/>
                <w:sz w:val="12"/>
                <w:szCs w:val="12"/>
              </w:rPr>
              <w:t>1 917</w:t>
            </w:r>
          </w:p>
        </w:tc>
        <w:tc>
          <w:tcPr>
            <w:tcW w:w="1134" w:type="dxa"/>
            <w:tcBorders>
              <w:top w:val="single" w:sz="4" w:space="0" w:color="0077BD"/>
              <w:left w:val="nil"/>
              <w:bottom w:val="single" w:sz="8" w:space="0" w:color="0077BD"/>
              <w:right w:val="nil"/>
            </w:tcBorders>
            <w:shd w:val="clear" w:color="auto" w:fill="auto"/>
            <w:noWrap/>
            <w:vAlign w:val="center"/>
          </w:tcPr>
          <w:p w14:paraId="4CF75291" w14:textId="77777777" w:rsidR="001F4F8E" w:rsidRPr="00714884" w:rsidRDefault="001F4F8E" w:rsidP="001F4F8E">
            <w:pPr>
              <w:jc w:val="right"/>
              <w:rPr>
                <w:color w:val="000000" w:themeColor="text1"/>
                <w:sz w:val="12"/>
                <w:szCs w:val="12"/>
              </w:rPr>
            </w:pPr>
            <w:r w:rsidRPr="00714884">
              <w:rPr>
                <w:color w:val="000000" w:themeColor="text1"/>
                <w:sz w:val="12"/>
                <w:szCs w:val="12"/>
              </w:rPr>
              <w:t>959 076</w:t>
            </w:r>
          </w:p>
        </w:tc>
      </w:tr>
      <w:tr w:rsidR="001F4F8E" w:rsidRPr="0068723D" w14:paraId="53CB7DDE" w14:textId="77777777" w:rsidTr="000D1A6B">
        <w:trPr>
          <w:trHeight w:val="300"/>
        </w:trPr>
        <w:tc>
          <w:tcPr>
            <w:tcW w:w="2835" w:type="dxa"/>
            <w:tcBorders>
              <w:top w:val="nil"/>
              <w:left w:val="nil"/>
              <w:bottom w:val="single" w:sz="8" w:space="0" w:color="0077BD"/>
              <w:right w:val="single" w:sz="8" w:space="0" w:color="0077BD"/>
            </w:tcBorders>
            <w:shd w:val="clear" w:color="auto" w:fill="auto"/>
            <w:vAlign w:val="center"/>
            <w:hideMark/>
          </w:tcPr>
          <w:p w14:paraId="4C36B891" w14:textId="77777777" w:rsidR="001F4F8E" w:rsidRPr="00B9528E" w:rsidRDefault="001F4F8E" w:rsidP="001F4F8E">
            <w:pPr>
              <w:rPr>
                <w:b/>
                <w:bCs/>
                <w:color w:val="000000" w:themeColor="text1"/>
                <w:sz w:val="13"/>
                <w:szCs w:val="13"/>
              </w:rPr>
            </w:pPr>
            <w:r w:rsidRPr="00B9528E">
              <w:rPr>
                <w:b/>
                <w:bCs/>
                <w:color w:val="000000" w:themeColor="text1"/>
                <w:sz w:val="13"/>
                <w:szCs w:val="13"/>
              </w:rPr>
              <w:t>Zobowiązania segmentu</w:t>
            </w:r>
          </w:p>
        </w:tc>
        <w:tc>
          <w:tcPr>
            <w:tcW w:w="1134" w:type="dxa"/>
            <w:tcBorders>
              <w:top w:val="nil"/>
              <w:left w:val="nil"/>
              <w:bottom w:val="single" w:sz="8" w:space="0" w:color="0077BD"/>
              <w:right w:val="single" w:sz="8" w:space="0" w:color="0077BD"/>
            </w:tcBorders>
            <w:shd w:val="clear" w:color="auto" w:fill="auto"/>
            <w:vAlign w:val="center"/>
          </w:tcPr>
          <w:p w14:paraId="6A537A73" w14:textId="2B1775BB" w:rsidR="001F4F8E" w:rsidRPr="00714884" w:rsidRDefault="001F4F8E" w:rsidP="001F4F8E">
            <w:pPr>
              <w:jc w:val="right"/>
              <w:rPr>
                <w:color w:val="000000" w:themeColor="text1"/>
                <w:sz w:val="12"/>
                <w:szCs w:val="12"/>
              </w:rPr>
            </w:pPr>
            <w:r w:rsidRPr="00714884">
              <w:rPr>
                <w:rFonts w:cs="Calibri"/>
                <w:color w:val="000000" w:themeColor="text1"/>
                <w:sz w:val="12"/>
                <w:szCs w:val="12"/>
              </w:rPr>
              <w:t>131 757 088</w:t>
            </w:r>
          </w:p>
        </w:tc>
        <w:tc>
          <w:tcPr>
            <w:tcW w:w="1134" w:type="dxa"/>
            <w:tcBorders>
              <w:top w:val="nil"/>
              <w:left w:val="nil"/>
              <w:bottom w:val="single" w:sz="8" w:space="0" w:color="0077BD"/>
              <w:right w:val="single" w:sz="8" w:space="0" w:color="0077BD"/>
            </w:tcBorders>
            <w:shd w:val="clear" w:color="auto" w:fill="auto"/>
            <w:vAlign w:val="center"/>
          </w:tcPr>
          <w:p w14:paraId="1F8D7D93" w14:textId="3E0C61F9" w:rsidR="001F4F8E" w:rsidRPr="00714884" w:rsidRDefault="001F4F8E" w:rsidP="001F4F8E">
            <w:pPr>
              <w:jc w:val="right"/>
              <w:rPr>
                <w:color w:val="000000" w:themeColor="text1"/>
                <w:sz w:val="12"/>
                <w:szCs w:val="12"/>
              </w:rPr>
            </w:pPr>
            <w:r w:rsidRPr="00714884">
              <w:rPr>
                <w:rFonts w:cs="Calibri"/>
                <w:color w:val="000000" w:themeColor="text1"/>
                <w:sz w:val="12"/>
                <w:szCs w:val="12"/>
              </w:rPr>
              <w:t>10 810 190</w:t>
            </w:r>
          </w:p>
        </w:tc>
        <w:tc>
          <w:tcPr>
            <w:tcW w:w="1134" w:type="dxa"/>
            <w:tcBorders>
              <w:top w:val="nil"/>
              <w:left w:val="nil"/>
              <w:bottom w:val="single" w:sz="8" w:space="0" w:color="0077BD"/>
              <w:right w:val="single" w:sz="8" w:space="0" w:color="0077BD"/>
            </w:tcBorders>
            <w:shd w:val="clear" w:color="auto" w:fill="auto"/>
            <w:vAlign w:val="center"/>
          </w:tcPr>
          <w:p w14:paraId="1217242E" w14:textId="7C175B87" w:rsidR="001F4F8E" w:rsidRPr="00714884" w:rsidRDefault="001F4F8E" w:rsidP="001F4F8E">
            <w:pPr>
              <w:jc w:val="right"/>
              <w:rPr>
                <w:b/>
                <w:bCs/>
                <w:color w:val="000000" w:themeColor="text1"/>
                <w:sz w:val="12"/>
                <w:szCs w:val="12"/>
              </w:rPr>
            </w:pPr>
            <w:r w:rsidRPr="00714884">
              <w:rPr>
                <w:rFonts w:cs="Calibri"/>
                <w:b/>
                <w:bCs/>
                <w:color w:val="000000" w:themeColor="text1"/>
                <w:sz w:val="12"/>
                <w:szCs w:val="12"/>
              </w:rPr>
              <w:t>142 567 278</w:t>
            </w:r>
          </w:p>
        </w:tc>
        <w:tc>
          <w:tcPr>
            <w:tcW w:w="1134" w:type="dxa"/>
            <w:tcBorders>
              <w:top w:val="nil"/>
              <w:left w:val="nil"/>
              <w:bottom w:val="single" w:sz="8" w:space="0" w:color="0077BD"/>
              <w:right w:val="single" w:sz="8" w:space="0" w:color="0077BD"/>
            </w:tcBorders>
            <w:shd w:val="clear" w:color="auto" w:fill="auto"/>
            <w:vAlign w:val="center"/>
          </w:tcPr>
          <w:p w14:paraId="1CD3BFE5" w14:textId="07728DB8" w:rsidR="001F4F8E" w:rsidRPr="00714884" w:rsidRDefault="00712678" w:rsidP="00712678">
            <w:pPr>
              <w:jc w:val="right"/>
              <w:rPr>
                <w:color w:val="000000" w:themeColor="text1"/>
                <w:sz w:val="12"/>
                <w:szCs w:val="12"/>
              </w:rPr>
            </w:pPr>
            <w:r w:rsidRPr="00714884">
              <w:rPr>
                <w:color w:val="000000" w:themeColor="text1"/>
                <w:sz w:val="12"/>
                <w:szCs w:val="12"/>
              </w:rPr>
              <w:t>120 383</w:t>
            </w:r>
            <w:r w:rsidR="001F4F8E" w:rsidRPr="00714884">
              <w:rPr>
                <w:color w:val="000000" w:themeColor="text1"/>
                <w:sz w:val="12"/>
                <w:szCs w:val="12"/>
              </w:rPr>
              <w:t xml:space="preserve"> </w:t>
            </w:r>
            <w:r w:rsidRPr="00714884">
              <w:rPr>
                <w:color w:val="000000" w:themeColor="text1"/>
                <w:sz w:val="12"/>
                <w:szCs w:val="12"/>
              </w:rPr>
              <w:t>897</w:t>
            </w:r>
          </w:p>
        </w:tc>
        <w:tc>
          <w:tcPr>
            <w:tcW w:w="1134" w:type="dxa"/>
            <w:tcBorders>
              <w:top w:val="nil"/>
              <w:left w:val="nil"/>
              <w:bottom w:val="single" w:sz="8" w:space="0" w:color="0077BD"/>
              <w:right w:val="single" w:sz="8" w:space="0" w:color="0077BD"/>
            </w:tcBorders>
            <w:shd w:val="clear" w:color="auto" w:fill="auto"/>
            <w:vAlign w:val="center"/>
          </w:tcPr>
          <w:p w14:paraId="02757D1A" w14:textId="77777777" w:rsidR="001F4F8E" w:rsidRPr="00714884" w:rsidRDefault="001F4F8E" w:rsidP="001F4F8E">
            <w:pPr>
              <w:jc w:val="right"/>
              <w:rPr>
                <w:color w:val="000000" w:themeColor="text1"/>
                <w:sz w:val="12"/>
                <w:szCs w:val="12"/>
              </w:rPr>
            </w:pPr>
            <w:r w:rsidRPr="00714884">
              <w:rPr>
                <w:color w:val="000000" w:themeColor="text1"/>
                <w:sz w:val="12"/>
                <w:szCs w:val="12"/>
              </w:rPr>
              <w:t>10 225 454</w:t>
            </w:r>
          </w:p>
        </w:tc>
        <w:tc>
          <w:tcPr>
            <w:tcW w:w="1134" w:type="dxa"/>
            <w:tcBorders>
              <w:top w:val="nil"/>
              <w:left w:val="nil"/>
              <w:bottom w:val="single" w:sz="8" w:space="0" w:color="0077BD"/>
              <w:right w:val="nil"/>
            </w:tcBorders>
            <w:shd w:val="clear" w:color="auto" w:fill="auto"/>
            <w:vAlign w:val="center"/>
          </w:tcPr>
          <w:p w14:paraId="704CF7CE" w14:textId="31571D41" w:rsidR="001F4F8E" w:rsidRPr="00714884" w:rsidRDefault="00712678" w:rsidP="00712678">
            <w:pPr>
              <w:jc w:val="right"/>
              <w:rPr>
                <w:b/>
                <w:bCs/>
                <w:color w:val="000000" w:themeColor="text1"/>
                <w:sz w:val="12"/>
                <w:szCs w:val="12"/>
              </w:rPr>
            </w:pPr>
            <w:r w:rsidRPr="00714884">
              <w:rPr>
                <w:b/>
                <w:bCs/>
                <w:color w:val="000000" w:themeColor="text1"/>
                <w:sz w:val="12"/>
                <w:szCs w:val="12"/>
              </w:rPr>
              <w:t>130 609</w:t>
            </w:r>
            <w:r w:rsidR="001F4F8E" w:rsidRPr="00714884">
              <w:rPr>
                <w:b/>
                <w:bCs/>
                <w:color w:val="000000" w:themeColor="text1"/>
                <w:sz w:val="12"/>
                <w:szCs w:val="12"/>
              </w:rPr>
              <w:t xml:space="preserve"> </w:t>
            </w:r>
            <w:r w:rsidRPr="00714884">
              <w:rPr>
                <w:b/>
                <w:bCs/>
                <w:color w:val="000000" w:themeColor="text1"/>
                <w:sz w:val="12"/>
                <w:szCs w:val="12"/>
              </w:rPr>
              <w:t>351</w:t>
            </w:r>
          </w:p>
        </w:tc>
      </w:tr>
    </w:tbl>
    <w:p w14:paraId="3707E4B2" w14:textId="71C9F3B5" w:rsidR="009C1A37" w:rsidRDefault="009C1A37" w:rsidP="00D953ED">
      <w:pPr>
        <w:suppressAutoHyphens/>
        <w:jc w:val="both"/>
        <w:rPr>
          <w:noProof/>
        </w:rPr>
      </w:pPr>
    </w:p>
    <w:p w14:paraId="5A864FC1" w14:textId="7E4C3525" w:rsidR="009C1A37" w:rsidRDefault="009C1A37" w:rsidP="00D953ED">
      <w:pPr>
        <w:suppressAutoHyphens/>
        <w:jc w:val="both"/>
        <w:rPr>
          <w:noProof/>
        </w:rPr>
      </w:pPr>
    </w:p>
    <w:p w14:paraId="4C9FD705" w14:textId="2B9D2F87" w:rsidR="009C1A37" w:rsidRDefault="009C1A37">
      <w:pPr>
        <w:rPr>
          <w:noProof/>
        </w:rPr>
      </w:pPr>
      <w:r>
        <w:rPr>
          <w:noProof/>
        </w:rPr>
        <w:br w:type="page"/>
      </w:r>
    </w:p>
    <w:p w14:paraId="715CFEB8" w14:textId="77777777" w:rsidR="003F6F61" w:rsidRPr="006B17A4" w:rsidRDefault="003F6F61"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19" w:name="_Toc32999837"/>
      <w:r>
        <w:rPr>
          <w:rFonts w:cs="Tahoma"/>
          <w:bCs w:val="0"/>
          <w:iCs w:val="0"/>
          <w:color w:val="E41E0A"/>
          <w:sz w:val="18"/>
          <w:szCs w:val="18"/>
        </w:rPr>
        <w:lastRenderedPageBreak/>
        <w:t>Wynik z tytułu odsetek</w:t>
      </w:r>
      <w:bookmarkEnd w:id="119"/>
    </w:p>
    <w:p w14:paraId="17A4C558" w14:textId="77777777" w:rsidR="00FE230C" w:rsidRDefault="00FE230C" w:rsidP="003F6F61"/>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CF7BDE" w14:paraId="3799D644" w14:textId="77777777" w:rsidTr="00FF51AC">
        <w:trPr>
          <w:trHeight w:val="284"/>
        </w:trPr>
        <w:tc>
          <w:tcPr>
            <w:tcW w:w="6747" w:type="dxa"/>
            <w:vMerge w:val="restart"/>
            <w:tcBorders>
              <w:top w:val="nil"/>
              <w:left w:val="nil"/>
              <w:right w:val="single" w:sz="8" w:space="0" w:color="FFFFFF"/>
            </w:tcBorders>
            <w:shd w:val="clear" w:color="000000" w:fill="0077BD"/>
            <w:vAlign w:val="center"/>
            <w:hideMark/>
          </w:tcPr>
          <w:p w14:paraId="731E7499" w14:textId="3A948426" w:rsidR="00631017" w:rsidRPr="00CF7BDE" w:rsidRDefault="00631017" w:rsidP="00CF7BDE">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726C1621" w14:textId="77777777" w:rsidR="00631017" w:rsidRPr="00CF7BDE" w:rsidRDefault="00631017" w:rsidP="00CF7BDE">
            <w:pPr>
              <w:jc w:val="right"/>
              <w:rPr>
                <w:rFonts w:cs="Calibri"/>
                <w:b/>
                <w:bCs/>
                <w:color w:val="FFFFFF"/>
                <w:sz w:val="13"/>
                <w:szCs w:val="13"/>
              </w:rPr>
            </w:pPr>
            <w:r w:rsidRPr="00CF7BDE">
              <w:rPr>
                <w:rFonts w:cs="Calibri"/>
                <w:b/>
                <w:bCs/>
                <w:color w:val="FFFFFF"/>
                <w:sz w:val="13"/>
                <w:szCs w:val="13"/>
              </w:rPr>
              <w:t>Rok kończący się 31 grudnia</w:t>
            </w:r>
          </w:p>
        </w:tc>
      </w:tr>
      <w:tr w:rsidR="00631017" w:rsidRPr="00CF7BDE" w14:paraId="392E583C" w14:textId="77777777" w:rsidTr="00FF51AC">
        <w:trPr>
          <w:trHeight w:val="284"/>
        </w:trPr>
        <w:tc>
          <w:tcPr>
            <w:tcW w:w="6747" w:type="dxa"/>
            <w:vMerge/>
            <w:tcBorders>
              <w:left w:val="nil"/>
              <w:right w:val="single" w:sz="8" w:space="0" w:color="FFFFFF"/>
            </w:tcBorders>
            <w:shd w:val="clear" w:color="000000" w:fill="0077BD"/>
            <w:vAlign w:val="center"/>
            <w:hideMark/>
          </w:tcPr>
          <w:p w14:paraId="23BDC64C" w14:textId="4459093F" w:rsidR="00631017" w:rsidRPr="00CF7BDE" w:rsidRDefault="00631017" w:rsidP="00CF7BDE">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426D120C" w14:textId="77777777" w:rsidR="00631017" w:rsidRPr="00CF7BDE" w:rsidRDefault="00631017" w:rsidP="00CF7BDE">
            <w:pPr>
              <w:jc w:val="right"/>
              <w:rPr>
                <w:rFonts w:cs="Calibri"/>
                <w:b/>
                <w:bCs/>
                <w:color w:val="FFFFFF"/>
                <w:sz w:val="13"/>
                <w:szCs w:val="13"/>
              </w:rPr>
            </w:pPr>
            <w:r w:rsidRPr="00CF7BDE">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6D5A384A" w14:textId="77777777" w:rsidR="00631017" w:rsidRPr="00CF7BDE" w:rsidRDefault="00631017" w:rsidP="00CF7BDE">
            <w:pPr>
              <w:jc w:val="right"/>
              <w:rPr>
                <w:rFonts w:cs="Calibri"/>
                <w:b/>
                <w:bCs/>
                <w:color w:val="FFFFFF"/>
                <w:sz w:val="13"/>
                <w:szCs w:val="13"/>
              </w:rPr>
            </w:pPr>
            <w:r w:rsidRPr="00CF7BDE">
              <w:rPr>
                <w:rFonts w:cs="Calibri"/>
                <w:b/>
                <w:bCs/>
                <w:color w:val="FFFFFF"/>
                <w:sz w:val="13"/>
                <w:szCs w:val="13"/>
              </w:rPr>
              <w:t>2018</w:t>
            </w:r>
          </w:p>
        </w:tc>
      </w:tr>
      <w:tr w:rsidR="00B27780" w:rsidRPr="0068723D" w14:paraId="1CA6E299" w14:textId="77777777" w:rsidTr="00FF51AC">
        <w:trPr>
          <w:trHeight w:val="284"/>
        </w:trPr>
        <w:tc>
          <w:tcPr>
            <w:tcW w:w="6747" w:type="dxa"/>
            <w:tcBorders>
              <w:left w:val="nil"/>
              <w:bottom w:val="single" w:sz="8" w:space="0" w:color="0077BD"/>
              <w:right w:val="nil"/>
            </w:tcBorders>
            <w:shd w:val="clear" w:color="000000" w:fill="FFFFFF"/>
            <w:vAlign w:val="center"/>
            <w:hideMark/>
          </w:tcPr>
          <w:p w14:paraId="41FBB842" w14:textId="77777777" w:rsidR="00CF7BDE" w:rsidRPr="0068723D" w:rsidRDefault="00CF7BDE" w:rsidP="00CF7BDE">
            <w:pPr>
              <w:rPr>
                <w:rFonts w:cs="Calibri"/>
                <w:b/>
                <w:bCs/>
                <w:color w:val="000000" w:themeColor="text1"/>
                <w:sz w:val="13"/>
                <w:szCs w:val="13"/>
              </w:rPr>
            </w:pPr>
            <w:r w:rsidRPr="0068723D">
              <w:rPr>
                <w:rFonts w:cs="Calibri"/>
                <w:b/>
                <w:bCs/>
                <w:color w:val="000000" w:themeColor="text1"/>
                <w:sz w:val="13"/>
                <w:szCs w:val="13"/>
              </w:rPr>
              <w:t>Przychody z tytułu odsetek</w:t>
            </w:r>
          </w:p>
        </w:tc>
        <w:tc>
          <w:tcPr>
            <w:tcW w:w="1418" w:type="dxa"/>
            <w:tcBorders>
              <w:left w:val="nil"/>
              <w:bottom w:val="single" w:sz="8" w:space="0" w:color="0077BD"/>
              <w:right w:val="nil"/>
            </w:tcBorders>
            <w:shd w:val="clear" w:color="000000" w:fill="FFFFFF"/>
            <w:noWrap/>
            <w:vAlign w:val="center"/>
            <w:hideMark/>
          </w:tcPr>
          <w:p w14:paraId="70D89A3C" w14:textId="0915E33C" w:rsidR="00CF7BDE" w:rsidRPr="0068723D" w:rsidRDefault="00CF7BDE" w:rsidP="00CF7BDE">
            <w:pPr>
              <w:rPr>
                <w:rFonts w:cs="Calibri"/>
                <w:b/>
                <w:bCs/>
                <w:color w:val="000000" w:themeColor="text1"/>
                <w:sz w:val="13"/>
                <w:szCs w:val="13"/>
              </w:rPr>
            </w:pPr>
          </w:p>
        </w:tc>
        <w:tc>
          <w:tcPr>
            <w:tcW w:w="1418" w:type="dxa"/>
            <w:tcBorders>
              <w:left w:val="nil"/>
              <w:bottom w:val="single" w:sz="8" w:space="0" w:color="0077BD"/>
              <w:right w:val="nil"/>
            </w:tcBorders>
            <w:shd w:val="clear" w:color="000000" w:fill="FFFFFF"/>
            <w:noWrap/>
            <w:vAlign w:val="center"/>
          </w:tcPr>
          <w:p w14:paraId="40A1DCF8" w14:textId="416D783F" w:rsidR="00CF7BDE" w:rsidRPr="0068723D" w:rsidRDefault="00CF7BDE" w:rsidP="00CF7BDE">
            <w:pPr>
              <w:rPr>
                <w:rFonts w:cs="Calibri"/>
                <w:b/>
                <w:bCs/>
                <w:color w:val="000000" w:themeColor="text1"/>
                <w:sz w:val="13"/>
                <w:szCs w:val="13"/>
              </w:rPr>
            </w:pPr>
          </w:p>
        </w:tc>
      </w:tr>
      <w:tr w:rsidR="00C508CA" w:rsidRPr="0068723D" w14:paraId="70B19A23"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494FCC84" w14:textId="77777777" w:rsidR="00C508CA" w:rsidRPr="0068723D" w:rsidRDefault="00C508CA" w:rsidP="00C508CA">
            <w:pPr>
              <w:rPr>
                <w:rFonts w:cs="Calibri"/>
                <w:b/>
                <w:bCs/>
                <w:color w:val="000000" w:themeColor="text1"/>
                <w:sz w:val="13"/>
                <w:szCs w:val="13"/>
              </w:rPr>
            </w:pPr>
            <w:r w:rsidRPr="0068723D">
              <w:rPr>
                <w:rFonts w:cs="Calibri"/>
                <w:b/>
                <w:bCs/>
                <w:color w:val="000000" w:themeColor="text1"/>
                <w:sz w:val="13"/>
                <w:szCs w:val="13"/>
              </w:rPr>
              <w:t>Przychody z tytułu odsetek obliczone przy zastosowaniu metody efektywnej stopy procentowej</w:t>
            </w:r>
          </w:p>
        </w:tc>
        <w:tc>
          <w:tcPr>
            <w:tcW w:w="1418" w:type="dxa"/>
            <w:tcBorders>
              <w:top w:val="nil"/>
              <w:left w:val="single" w:sz="8" w:space="0" w:color="0077BD"/>
              <w:bottom w:val="single" w:sz="4" w:space="0" w:color="0077BD"/>
              <w:right w:val="nil"/>
            </w:tcBorders>
            <w:shd w:val="clear" w:color="auto" w:fill="auto"/>
            <w:noWrap/>
            <w:vAlign w:val="center"/>
          </w:tcPr>
          <w:p w14:paraId="1565C1FE" w14:textId="153F5BD9"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4 523 483</w:t>
            </w:r>
          </w:p>
        </w:tc>
        <w:tc>
          <w:tcPr>
            <w:tcW w:w="1418" w:type="dxa"/>
            <w:tcBorders>
              <w:top w:val="nil"/>
              <w:left w:val="single" w:sz="8" w:space="0" w:color="0077BD"/>
              <w:bottom w:val="single" w:sz="4" w:space="0" w:color="0077BD"/>
              <w:right w:val="nil"/>
            </w:tcBorders>
            <w:shd w:val="clear" w:color="auto" w:fill="auto"/>
            <w:noWrap/>
            <w:vAlign w:val="center"/>
            <w:hideMark/>
          </w:tcPr>
          <w:p w14:paraId="7BCFDF2C" w14:textId="77777777"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3 868 051</w:t>
            </w:r>
          </w:p>
        </w:tc>
      </w:tr>
      <w:tr w:rsidR="00C508CA" w:rsidRPr="0068723D" w14:paraId="298B43D1"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87313FE"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Przychody odsetkowe od aktywów finansowych wycenianych w zamortyzowanym koszcie, w tym:</w:t>
            </w:r>
          </w:p>
        </w:tc>
        <w:tc>
          <w:tcPr>
            <w:tcW w:w="1418" w:type="dxa"/>
            <w:tcBorders>
              <w:top w:val="nil"/>
              <w:left w:val="single" w:sz="8" w:space="0" w:color="0077BD"/>
              <w:bottom w:val="single" w:sz="4" w:space="0" w:color="0077BD"/>
              <w:right w:val="nil"/>
            </w:tcBorders>
            <w:shd w:val="clear" w:color="auto" w:fill="auto"/>
            <w:noWrap/>
            <w:vAlign w:val="center"/>
          </w:tcPr>
          <w:p w14:paraId="21D2EB0A" w14:textId="3AB3576B"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4 050 646</w:t>
            </w:r>
          </w:p>
        </w:tc>
        <w:tc>
          <w:tcPr>
            <w:tcW w:w="1418" w:type="dxa"/>
            <w:tcBorders>
              <w:top w:val="nil"/>
              <w:left w:val="single" w:sz="8" w:space="0" w:color="0077BD"/>
              <w:bottom w:val="single" w:sz="4" w:space="0" w:color="0077BD"/>
              <w:right w:val="nil"/>
            </w:tcBorders>
            <w:shd w:val="clear" w:color="auto" w:fill="auto"/>
            <w:noWrap/>
            <w:vAlign w:val="center"/>
            <w:hideMark/>
          </w:tcPr>
          <w:p w14:paraId="338FAA76"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3 379 450</w:t>
            </w:r>
          </w:p>
        </w:tc>
      </w:tr>
      <w:tr w:rsidR="00C508CA" w:rsidRPr="0068723D" w14:paraId="5D6DB985"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EB55F52"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Kredyty i pożyczki</w:t>
            </w:r>
          </w:p>
        </w:tc>
        <w:tc>
          <w:tcPr>
            <w:tcW w:w="1418" w:type="dxa"/>
            <w:tcBorders>
              <w:top w:val="nil"/>
              <w:left w:val="single" w:sz="8" w:space="0" w:color="0077BD"/>
              <w:bottom w:val="single" w:sz="4" w:space="0" w:color="0077BD"/>
              <w:right w:val="nil"/>
            </w:tcBorders>
            <w:shd w:val="clear" w:color="auto" w:fill="auto"/>
            <w:noWrap/>
            <w:vAlign w:val="center"/>
          </w:tcPr>
          <w:p w14:paraId="6F16C80B" w14:textId="0D2D7792"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3 761 757</w:t>
            </w:r>
          </w:p>
        </w:tc>
        <w:tc>
          <w:tcPr>
            <w:tcW w:w="1418" w:type="dxa"/>
            <w:tcBorders>
              <w:top w:val="nil"/>
              <w:left w:val="single" w:sz="8" w:space="0" w:color="0077BD"/>
              <w:bottom w:val="single" w:sz="4" w:space="0" w:color="0077BD"/>
              <w:right w:val="nil"/>
            </w:tcBorders>
            <w:shd w:val="clear" w:color="auto" w:fill="auto"/>
            <w:noWrap/>
            <w:vAlign w:val="center"/>
            <w:hideMark/>
          </w:tcPr>
          <w:p w14:paraId="5805467B"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3 116 363</w:t>
            </w:r>
          </w:p>
        </w:tc>
      </w:tr>
      <w:tr w:rsidR="00C508CA" w:rsidRPr="0068723D" w14:paraId="3837E2DB"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572FF2D"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37B455B6" w14:textId="2450CB65"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232 177</w:t>
            </w:r>
          </w:p>
        </w:tc>
        <w:tc>
          <w:tcPr>
            <w:tcW w:w="1418" w:type="dxa"/>
            <w:tcBorders>
              <w:top w:val="nil"/>
              <w:left w:val="single" w:sz="8" w:space="0" w:color="0077BD"/>
              <w:bottom w:val="single" w:sz="4" w:space="0" w:color="0077BD"/>
              <w:right w:val="nil"/>
            </w:tcBorders>
            <w:shd w:val="clear" w:color="auto" w:fill="auto"/>
            <w:noWrap/>
            <w:vAlign w:val="center"/>
            <w:hideMark/>
          </w:tcPr>
          <w:p w14:paraId="1C490455"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203 518</w:t>
            </w:r>
          </w:p>
        </w:tc>
      </w:tr>
      <w:tr w:rsidR="00C508CA" w:rsidRPr="0068723D" w14:paraId="3F25869C"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306CB51"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Środki pieniężne i lokaty krótkoterminowe</w:t>
            </w:r>
          </w:p>
        </w:tc>
        <w:tc>
          <w:tcPr>
            <w:tcW w:w="1418" w:type="dxa"/>
            <w:tcBorders>
              <w:top w:val="nil"/>
              <w:left w:val="single" w:sz="8" w:space="0" w:color="0077BD"/>
              <w:bottom w:val="single" w:sz="4" w:space="0" w:color="0077BD"/>
              <w:right w:val="nil"/>
            </w:tcBorders>
            <w:shd w:val="clear" w:color="auto" w:fill="auto"/>
            <w:noWrap/>
            <w:vAlign w:val="center"/>
          </w:tcPr>
          <w:p w14:paraId="46B2C182" w14:textId="4A97B3BD"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56 204</w:t>
            </w:r>
          </w:p>
        </w:tc>
        <w:tc>
          <w:tcPr>
            <w:tcW w:w="1418" w:type="dxa"/>
            <w:tcBorders>
              <w:top w:val="nil"/>
              <w:left w:val="single" w:sz="8" w:space="0" w:color="0077BD"/>
              <w:bottom w:val="single" w:sz="4" w:space="0" w:color="0077BD"/>
              <w:right w:val="nil"/>
            </w:tcBorders>
            <w:shd w:val="clear" w:color="auto" w:fill="auto"/>
            <w:noWrap/>
            <w:vAlign w:val="center"/>
            <w:hideMark/>
          </w:tcPr>
          <w:p w14:paraId="52B68552"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55 687</w:t>
            </w:r>
          </w:p>
        </w:tc>
      </w:tr>
      <w:tr w:rsidR="00C508CA" w:rsidRPr="0068723D" w14:paraId="733F35B2"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DA9F720"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Pozostałe</w:t>
            </w:r>
          </w:p>
        </w:tc>
        <w:tc>
          <w:tcPr>
            <w:tcW w:w="1418" w:type="dxa"/>
            <w:tcBorders>
              <w:top w:val="nil"/>
              <w:left w:val="single" w:sz="8" w:space="0" w:color="0077BD"/>
              <w:bottom w:val="single" w:sz="4" w:space="0" w:color="0077BD"/>
              <w:right w:val="nil"/>
            </w:tcBorders>
            <w:shd w:val="clear" w:color="auto" w:fill="auto"/>
            <w:noWrap/>
            <w:vAlign w:val="center"/>
          </w:tcPr>
          <w:p w14:paraId="1C7A420C" w14:textId="38D72F8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508</w:t>
            </w:r>
          </w:p>
        </w:tc>
        <w:tc>
          <w:tcPr>
            <w:tcW w:w="1418" w:type="dxa"/>
            <w:tcBorders>
              <w:top w:val="nil"/>
              <w:left w:val="single" w:sz="8" w:space="0" w:color="0077BD"/>
              <w:bottom w:val="single" w:sz="4" w:space="0" w:color="0077BD"/>
              <w:right w:val="nil"/>
            </w:tcBorders>
            <w:shd w:val="clear" w:color="auto" w:fill="auto"/>
            <w:noWrap/>
            <w:vAlign w:val="center"/>
            <w:hideMark/>
          </w:tcPr>
          <w:p w14:paraId="19447B69"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3 882</w:t>
            </w:r>
          </w:p>
        </w:tc>
      </w:tr>
      <w:tr w:rsidR="00C508CA" w:rsidRPr="0068723D" w14:paraId="7D9E38EF"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5AFBE39A"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Przychody odsetkowe od aktywów finansowych wycenianych w wartości godziwej przez pozostałe całkowite dochody</w:t>
            </w:r>
          </w:p>
        </w:tc>
        <w:tc>
          <w:tcPr>
            <w:tcW w:w="1418" w:type="dxa"/>
            <w:tcBorders>
              <w:top w:val="nil"/>
              <w:left w:val="single" w:sz="8" w:space="0" w:color="0077BD"/>
              <w:bottom w:val="single" w:sz="4" w:space="0" w:color="0077BD"/>
              <w:right w:val="nil"/>
            </w:tcBorders>
            <w:shd w:val="clear" w:color="auto" w:fill="auto"/>
            <w:noWrap/>
            <w:vAlign w:val="center"/>
          </w:tcPr>
          <w:p w14:paraId="0C576131" w14:textId="32472E0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472 837</w:t>
            </w:r>
          </w:p>
        </w:tc>
        <w:tc>
          <w:tcPr>
            <w:tcW w:w="1418" w:type="dxa"/>
            <w:tcBorders>
              <w:top w:val="nil"/>
              <w:left w:val="single" w:sz="8" w:space="0" w:color="0077BD"/>
              <w:bottom w:val="single" w:sz="4" w:space="0" w:color="0077BD"/>
              <w:right w:val="nil"/>
            </w:tcBorders>
            <w:shd w:val="clear" w:color="auto" w:fill="auto"/>
            <w:noWrap/>
            <w:vAlign w:val="center"/>
            <w:hideMark/>
          </w:tcPr>
          <w:p w14:paraId="0F384AE7"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488 601</w:t>
            </w:r>
          </w:p>
        </w:tc>
      </w:tr>
      <w:tr w:rsidR="00C508CA" w:rsidRPr="0068723D" w14:paraId="56C8289C"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9FB31CB"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74B21415" w14:textId="6FBD902B"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472 837</w:t>
            </w:r>
          </w:p>
        </w:tc>
        <w:tc>
          <w:tcPr>
            <w:tcW w:w="1418" w:type="dxa"/>
            <w:tcBorders>
              <w:top w:val="nil"/>
              <w:left w:val="single" w:sz="8" w:space="0" w:color="0077BD"/>
              <w:bottom w:val="single" w:sz="4" w:space="0" w:color="0077BD"/>
              <w:right w:val="nil"/>
            </w:tcBorders>
            <w:shd w:val="clear" w:color="auto" w:fill="auto"/>
            <w:noWrap/>
            <w:vAlign w:val="center"/>
            <w:hideMark/>
          </w:tcPr>
          <w:p w14:paraId="6EB95393"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488 601</w:t>
            </w:r>
          </w:p>
        </w:tc>
      </w:tr>
      <w:tr w:rsidR="00C508CA" w:rsidRPr="0068723D" w14:paraId="33A70A8F"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7F62A52E" w14:textId="77777777" w:rsidR="00C508CA" w:rsidRPr="0068723D" w:rsidRDefault="00C508CA" w:rsidP="00C508CA">
            <w:pPr>
              <w:rPr>
                <w:rFonts w:cs="Calibri"/>
                <w:b/>
                <w:bCs/>
                <w:color w:val="000000" w:themeColor="text1"/>
                <w:sz w:val="13"/>
                <w:szCs w:val="13"/>
              </w:rPr>
            </w:pPr>
            <w:r w:rsidRPr="0068723D">
              <w:rPr>
                <w:rFonts w:cs="Calibri"/>
                <w:b/>
                <w:bCs/>
                <w:color w:val="000000" w:themeColor="text1"/>
                <w:sz w:val="13"/>
                <w:szCs w:val="13"/>
              </w:rPr>
              <w:t>Przychody o charakterze zbliżonym do odsetek od aktywów finansowych wycenianych w wartości godziwej przez wynik finansowy, w tym:</w:t>
            </w:r>
          </w:p>
        </w:tc>
        <w:tc>
          <w:tcPr>
            <w:tcW w:w="1418" w:type="dxa"/>
            <w:tcBorders>
              <w:top w:val="nil"/>
              <w:left w:val="single" w:sz="8" w:space="0" w:color="0077BD"/>
              <w:bottom w:val="single" w:sz="4" w:space="0" w:color="0077BD"/>
              <w:right w:val="nil"/>
            </w:tcBorders>
            <w:shd w:val="clear" w:color="auto" w:fill="auto"/>
            <w:noWrap/>
            <w:vAlign w:val="center"/>
          </w:tcPr>
          <w:p w14:paraId="0667DD7C" w14:textId="0A3FA856"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548 181</w:t>
            </w:r>
          </w:p>
        </w:tc>
        <w:tc>
          <w:tcPr>
            <w:tcW w:w="1418" w:type="dxa"/>
            <w:tcBorders>
              <w:top w:val="nil"/>
              <w:left w:val="single" w:sz="8" w:space="0" w:color="0077BD"/>
              <w:bottom w:val="single" w:sz="4" w:space="0" w:color="0077BD"/>
              <w:right w:val="nil"/>
            </w:tcBorders>
            <w:shd w:val="clear" w:color="auto" w:fill="auto"/>
            <w:noWrap/>
            <w:vAlign w:val="center"/>
            <w:hideMark/>
          </w:tcPr>
          <w:p w14:paraId="59A8969E" w14:textId="77777777"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650 139</w:t>
            </w:r>
          </w:p>
        </w:tc>
      </w:tr>
      <w:tr w:rsidR="00C508CA" w:rsidRPr="0068723D" w14:paraId="5386DBB2"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A4CDDA7"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Aktywa finansowe przeznaczone do obrotu</w:t>
            </w:r>
          </w:p>
        </w:tc>
        <w:tc>
          <w:tcPr>
            <w:tcW w:w="1418" w:type="dxa"/>
            <w:tcBorders>
              <w:top w:val="nil"/>
              <w:left w:val="single" w:sz="8" w:space="0" w:color="0077BD"/>
              <w:bottom w:val="single" w:sz="4" w:space="0" w:color="0077BD"/>
              <w:right w:val="nil"/>
            </w:tcBorders>
            <w:shd w:val="clear" w:color="auto" w:fill="auto"/>
            <w:noWrap/>
            <w:vAlign w:val="center"/>
          </w:tcPr>
          <w:p w14:paraId="61E01101" w14:textId="4729B19A"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52 996</w:t>
            </w:r>
          </w:p>
        </w:tc>
        <w:tc>
          <w:tcPr>
            <w:tcW w:w="1418" w:type="dxa"/>
            <w:tcBorders>
              <w:top w:val="nil"/>
              <w:left w:val="single" w:sz="8" w:space="0" w:color="0077BD"/>
              <w:bottom w:val="single" w:sz="4" w:space="0" w:color="0077BD"/>
              <w:right w:val="nil"/>
            </w:tcBorders>
            <w:shd w:val="clear" w:color="auto" w:fill="auto"/>
            <w:noWrap/>
            <w:vAlign w:val="center"/>
            <w:hideMark/>
          </w:tcPr>
          <w:p w14:paraId="6BF93C30"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73 693</w:t>
            </w:r>
          </w:p>
        </w:tc>
      </w:tr>
      <w:tr w:rsidR="00C508CA" w:rsidRPr="0068723D" w14:paraId="5417A394"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7A728FB"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Kredyty i pożyczki</w:t>
            </w:r>
          </w:p>
        </w:tc>
        <w:tc>
          <w:tcPr>
            <w:tcW w:w="1418" w:type="dxa"/>
            <w:tcBorders>
              <w:top w:val="nil"/>
              <w:left w:val="single" w:sz="8" w:space="0" w:color="0077BD"/>
              <w:bottom w:val="single" w:sz="4" w:space="0" w:color="0077BD"/>
              <w:right w:val="nil"/>
            </w:tcBorders>
            <w:shd w:val="clear" w:color="auto" w:fill="auto"/>
            <w:noWrap/>
            <w:vAlign w:val="center"/>
          </w:tcPr>
          <w:p w14:paraId="62DC25E9" w14:textId="258F29ED"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4 434</w:t>
            </w:r>
          </w:p>
        </w:tc>
        <w:tc>
          <w:tcPr>
            <w:tcW w:w="1418" w:type="dxa"/>
            <w:tcBorders>
              <w:top w:val="nil"/>
              <w:left w:val="single" w:sz="8" w:space="0" w:color="0077BD"/>
              <w:bottom w:val="single" w:sz="4" w:space="0" w:color="0077BD"/>
              <w:right w:val="nil"/>
            </w:tcBorders>
            <w:shd w:val="clear" w:color="auto" w:fill="auto"/>
            <w:noWrap/>
            <w:vAlign w:val="center"/>
            <w:hideMark/>
          </w:tcPr>
          <w:p w14:paraId="32A737E2"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1 324</w:t>
            </w:r>
          </w:p>
        </w:tc>
      </w:tr>
      <w:tr w:rsidR="00C508CA" w:rsidRPr="0068723D" w14:paraId="707FE5CE"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9EB53BC"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43F82D83" w14:textId="00483FCB"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48 562</w:t>
            </w:r>
          </w:p>
        </w:tc>
        <w:tc>
          <w:tcPr>
            <w:tcW w:w="1418" w:type="dxa"/>
            <w:tcBorders>
              <w:top w:val="nil"/>
              <w:left w:val="single" w:sz="8" w:space="0" w:color="0077BD"/>
              <w:bottom w:val="single" w:sz="4" w:space="0" w:color="0077BD"/>
              <w:right w:val="nil"/>
            </w:tcBorders>
            <w:shd w:val="clear" w:color="auto" w:fill="auto"/>
            <w:noWrap/>
            <w:vAlign w:val="center"/>
            <w:hideMark/>
          </w:tcPr>
          <w:p w14:paraId="22F6C8BE"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72 369</w:t>
            </w:r>
          </w:p>
        </w:tc>
      </w:tr>
      <w:tr w:rsidR="00C508CA" w:rsidRPr="0068723D" w14:paraId="209BEB33"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75A0064B"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Aktywa finansowe nieprzeznaczone do obrotu obowiązkowo wyceniane w wartości godziwej przez wynik finansowy, w tym:</w:t>
            </w:r>
          </w:p>
        </w:tc>
        <w:tc>
          <w:tcPr>
            <w:tcW w:w="1418" w:type="dxa"/>
            <w:tcBorders>
              <w:top w:val="nil"/>
              <w:left w:val="single" w:sz="8" w:space="0" w:color="0077BD"/>
              <w:bottom w:val="single" w:sz="4" w:space="0" w:color="0077BD"/>
              <w:right w:val="nil"/>
            </w:tcBorders>
            <w:shd w:val="clear" w:color="auto" w:fill="auto"/>
            <w:noWrap/>
            <w:vAlign w:val="center"/>
          </w:tcPr>
          <w:p w14:paraId="171E7232" w14:textId="6EC4084A"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187 712</w:t>
            </w:r>
          </w:p>
        </w:tc>
        <w:tc>
          <w:tcPr>
            <w:tcW w:w="1418" w:type="dxa"/>
            <w:tcBorders>
              <w:top w:val="nil"/>
              <w:left w:val="single" w:sz="8" w:space="0" w:color="0077BD"/>
              <w:bottom w:val="single" w:sz="4" w:space="0" w:color="0077BD"/>
              <w:right w:val="nil"/>
            </w:tcBorders>
            <w:shd w:val="clear" w:color="auto" w:fill="auto"/>
            <w:noWrap/>
            <w:vAlign w:val="center"/>
            <w:hideMark/>
          </w:tcPr>
          <w:p w14:paraId="060FA0E3"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271 239</w:t>
            </w:r>
          </w:p>
        </w:tc>
      </w:tr>
      <w:tr w:rsidR="00C508CA" w:rsidRPr="0068723D" w14:paraId="2989C749"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89AC8FD" w14:textId="77777777" w:rsidR="00C508CA" w:rsidRPr="0068723D" w:rsidRDefault="00C508CA" w:rsidP="00C508CA">
            <w:pPr>
              <w:ind w:firstLineChars="100" w:firstLine="130"/>
              <w:rPr>
                <w:rFonts w:cs="Calibri"/>
                <w:i/>
                <w:iCs/>
                <w:color w:val="000000" w:themeColor="text1"/>
                <w:sz w:val="13"/>
                <w:szCs w:val="13"/>
              </w:rPr>
            </w:pPr>
            <w:r w:rsidRPr="0068723D">
              <w:rPr>
                <w:rFonts w:cs="Calibri"/>
                <w:i/>
                <w:iCs/>
                <w:color w:val="000000" w:themeColor="text1"/>
                <w:sz w:val="13"/>
                <w:szCs w:val="13"/>
              </w:rPr>
              <w:t>- Kredyty i pożyczki</w:t>
            </w:r>
          </w:p>
        </w:tc>
        <w:tc>
          <w:tcPr>
            <w:tcW w:w="1418" w:type="dxa"/>
            <w:tcBorders>
              <w:top w:val="nil"/>
              <w:left w:val="single" w:sz="8" w:space="0" w:color="0077BD"/>
              <w:bottom w:val="single" w:sz="4" w:space="0" w:color="0077BD"/>
              <w:right w:val="nil"/>
            </w:tcBorders>
            <w:shd w:val="clear" w:color="auto" w:fill="auto"/>
            <w:noWrap/>
            <w:vAlign w:val="center"/>
          </w:tcPr>
          <w:p w14:paraId="051D5400" w14:textId="717EEBE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187 712</w:t>
            </w:r>
          </w:p>
        </w:tc>
        <w:tc>
          <w:tcPr>
            <w:tcW w:w="1418" w:type="dxa"/>
            <w:tcBorders>
              <w:top w:val="nil"/>
              <w:left w:val="single" w:sz="8" w:space="0" w:color="0077BD"/>
              <w:bottom w:val="single" w:sz="4" w:space="0" w:color="0077BD"/>
              <w:right w:val="nil"/>
            </w:tcBorders>
            <w:shd w:val="clear" w:color="auto" w:fill="auto"/>
            <w:noWrap/>
            <w:vAlign w:val="center"/>
            <w:hideMark/>
          </w:tcPr>
          <w:p w14:paraId="512C3F6B" w14:textId="77777777" w:rsidR="00C508CA" w:rsidRPr="0068723D" w:rsidRDefault="00C508CA" w:rsidP="00C508CA">
            <w:pPr>
              <w:jc w:val="right"/>
              <w:rPr>
                <w:rFonts w:cs="Calibri"/>
                <w:i/>
                <w:iCs/>
                <w:color w:val="000000" w:themeColor="text1"/>
                <w:sz w:val="13"/>
                <w:szCs w:val="13"/>
              </w:rPr>
            </w:pPr>
            <w:r w:rsidRPr="0068723D">
              <w:rPr>
                <w:rFonts w:cs="Calibri"/>
                <w:i/>
                <w:iCs/>
                <w:color w:val="000000" w:themeColor="text1"/>
                <w:sz w:val="13"/>
                <w:szCs w:val="13"/>
              </w:rPr>
              <w:t>271 239</w:t>
            </w:r>
          </w:p>
        </w:tc>
      </w:tr>
      <w:tr w:rsidR="00C508CA" w:rsidRPr="0068723D" w14:paraId="126685A5"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7312389"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Przychody odsetkowe na instrumentach pochodnych zaklasyfikowanych do księgi bankowej</w:t>
            </w:r>
          </w:p>
        </w:tc>
        <w:tc>
          <w:tcPr>
            <w:tcW w:w="1418" w:type="dxa"/>
            <w:tcBorders>
              <w:top w:val="nil"/>
              <w:left w:val="single" w:sz="8" w:space="0" w:color="0077BD"/>
              <w:bottom w:val="single" w:sz="4" w:space="0" w:color="0077BD"/>
              <w:right w:val="nil"/>
            </w:tcBorders>
            <w:shd w:val="clear" w:color="auto" w:fill="auto"/>
            <w:noWrap/>
            <w:vAlign w:val="center"/>
          </w:tcPr>
          <w:p w14:paraId="032CFA44" w14:textId="3008F641" w:rsidR="00C508CA" w:rsidRPr="00232565" w:rsidRDefault="00C508CA" w:rsidP="00C508CA">
            <w:pPr>
              <w:jc w:val="right"/>
              <w:rPr>
                <w:rFonts w:cs="Calibri"/>
                <w:color w:val="000000" w:themeColor="text1"/>
                <w:sz w:val="13"/>
                <w:szCs w:val="13"/>
              </w:rPr>
            </w:pPr>
            <w:r w:rsidRPr="00232565">
              <w:rPr>
                <w:rFonts w:cs="Calibri"/>
                <w:iCs/>
                <w:color w:val="000000" w:themeColor="text1"/>
                <w:sz w:val="13"/>
                <w:szCs w:val="13"/>
              </w:rPr>
              <w:t>181 834</w:t>
            </w:r>
          </w:p>
        </w:tc>
        <w:tc>
          <w:tcPr>
            <w:tcW w:w="1418" w:type="dxa"/>
            <w:tcBorders>
              <w:top w:val="nil"/>
              <w:left w:val="single" w:sz="8" w:space="0" w:color="0077BD"/>
              <w:bottom w:val="single" w:sz="4" w:space="0" w:color="0077BD"/>
              <w:right w:val="nil"/>
            </w:tcBorders>
            <w:shd w:val="clear" w:color="auto" w:fill="auto"/>
            <w:noWrap/>
            <w:vAlign w:val="center"/>
            <w:hideMark/>
          </w:tcPr>
          <w:p w14:paraId="6F89BEB8"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180 409</w:t>
            </w:r>
          </w:p>
        </w:tc>
      </w:tr>
      <w:tr w:rsidR="00C508CA" w:rsidRPr="0068723D" w14:paraId="7841C660"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0221CB9C"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Przychody odsetkowe na instrumentach pochodnych w ramach rachunkowości zabezpieczeń wartości godziwej</w:t>
            </w:r>
          </w:p>
        </w:tc>
        <w:tc>
          <w:tcPr>
            <w:tcW w:w="1418" w:type="dxa"/>
            <w:tcBorders>
              <w:top w:val="nil"/>
              <w:left w:val="single" w:sz="8" w:space="0" w:color="0077BD"/>
              <w:bottom w:val="single" w:sz="4" w:space="0" w:color="0077BD"/>
              <w:right w:val="nil"/>
            </w:tcBorders>
            <w:shd w:val="clear" w:color="auto" w:fill="auto"/>
            <w:noWrap/>
            <w:vAlign w:val="center"/>
          </w:tcPr>
          <w:p w14:paraId="658CC9C8" w14:textId="62DBE7E3" w:rsidR="00C508CA" w:rsidRPr="00232565" w:rsidRDefault="00C508CA" w:rsidP="00C508CA">
            <w:pPr>
              <w:jc w:val="right"/>
              <w:rPr>
                <w:rFonts w:cs="Calibri"/>
                <w:color w:val="000000" w:themeColor="text1"/>
                <w:sz w:val="13"/>
                <w:szCs w:val="13"/>
              </w:rPr>
            </w:pPr>
            <w:r w:rsidRPr="00232565">
              <w:rPr>
                <w:rFonts w:cs="Calibri"/>
                <w:iCs/>
                <w:color w:val="000000" w:themeColor="text1"/>
                <w:sz w:val="13"/>
                <w:szCs w:val="13"/>
              </w:rPr>
              <w:t>75 135</w:t>
            </w:r>
          </w:p>
        </w:tc>
        <w:tc>
          <w:tcPr>
            <w:tcW w:w="1418" w:type="dxa"/>
            <w:tcBorders>
              <w:top w:val="nil"/>
              <w:left w:val="single" w:sz="8" w:space="0" w:color="0077BD"/>
              <w:bottom w:val="single" w:sz="4" w:space="0" w:color="0077BD"/>
              <w:right w:val="nil"/>
            </w:tcBorders>
            <w:shd w:val="clear" w:color="auto" w:fill="auto"/>
            <w:noWrap/>
            <w:vAlign w:val="center"/>
            <w:hideMark/>
          </w:tcPr>
          <w:p w14:paraId="6525DAA5"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84 441</w:t>
            </w:r>
          </w:p>
        </w:tc>
      </w:tr>
      <w:tr w:rsidR="00C508CA" w:rsidRPr="0068723D" w14:paraId="332DCDB7"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0E645A4C" w14:textId="77777777" w:rsidR="00C508CA" w:rsidRPr="0068723D" w:rsidRDefault="00C508CA" w:rsidP="00C508CA">
            <w:pPr>
              <w:rPr>
                <w:rFonts w:cs="Calibri"/>
                <w:color w:val="000000" w:themeColor="text1"/>
                <w:sz w:val="13"/>
                <w:szCs w:val="13"/>
              </w:rPr>
            </w:pPr>
            <w:r w:rsidRPr="0068723D">
              <w:rPr>
                <w:rFonts w:cs="Calibri"/>
                <w:color w:val="000000" w:themeColor="text1"/>
                <w:sz w:val="13"/>
                <w:szCs w:val="13"/>
              </w:rPr>
              <w:t>Przychody odsetkowe na instrumentach pochodnych w ramach rachunkowości zabezpieczeń przepływów pieniężnych</w:t>
            </w:r>
          </w:p>
        </w:tc>
        <w:tc>
          <w:tcPr>
            <w:tcW w:w="1418" w:type="dxa"/>
            <w:tcBorders>
              <w:top w:val="nil"/>
              <w:left w:val="single" w:sz="8" w:space="0" w:color="0077BD"/>
              <w:bottom w:val="single" w:sz="4" w:space="0" w:color="0077BD"/>
              <w:right w:val="nil"/>
            </w:tcBorders>
            <w:shd w:val="clear" w:color="auto" w:fill="auto"/>
            <w:noWrap/>
            <w:vAlign w:val="center"/>
          </w:tcPr>
          <w:p w14:paraId="3AE8CE2E" w14:textId="295BEC39" w:rsidR="00C508CA" w:rsidRPr="00232565" w:rsidRDefault="00C508CA" w:rsidP="00C508CA">
            <w:pPr>
              <w:jc w:val="right"/>
              <w:rPr>
                <w:rFonts w:cs="Calibri"/>
                <w:color w:val="000000" w:themeColor="text1"/>
                <w:sz w:val="13"/>
                <w:szCs w:val="13"/>
              </w:rPr>
            </w:pPr>
            <w:r w:rsidRPr="00232565">
              <w:rPr>
                <w:rFonts w:cs="Calibri"/>
                <w:iCs/>
                <w:color w:val="000000" w:themeColor="text1"/>
                <w:sz w:val="13"/>
                <w:szCs w:val="13"/>
              </w:rPr>
              <w:t>50 504</w:t>
            </w:r>
          </w:p>
        </w:tc>
        <w:tc>
          <w:tcPr>
            <w:tcW w:w="1418" w:type="dxa"/>
            <w:tcBorders>
              <w:top w:val="nil"/>
              <w:left w:val="single" w:sz="8" w:space="0" w:color="0077BD"/>
              <w:bottom w:val="single" w:sz="4" w:space="0" w:color="0077BD"/>
              <w:right w:val="nil"/>
            </w:tcBorders>
            <w:shd w:val="clear" w:color="auto" w:fill="auto"/>
            <w:noWrap/>
            <w:vAlign w:val="center"/>
            <w:hideMark/>
          </w:tcPr>
          <w:p w14:paraId="103A99E0" w14:textId="77777777" w:rsidR="00C508CA" w:rsidRPr="0068723D" w:rsidRDefault="00C508CA" w:rsidP="00C508CA">
            <w:pPr>
              <w:jc w:val="right"/>
              <w:rPr>
                <w:rFonts w:cs="Calibri"/>
                <w:color w:val="000000" w:themeColor="text1"/>
                <w:sz w:val="13"/>
                <w:szCs w:val="13"/>
              </w:rPr>
            </w:pPr>
            <w:r w:rsidRPr="0068723D">
              <w:rPr>
                <w:rFonts w:cs="Calibri"/>
                <w:color w:val="000000" w:themeColor="text1"/>
                <w:sz w:val="13"/>
                <w:szCs w:val="13"/>
              </w:rPr>
              <w:t>40 357</w:t>
            </w:r>
          </w:p>
        </w:tc>
      </w:tr>
      <w:tr w:rsidR="00C508CA" w:rsidRPr="0068723D" w14:paraId="41E475C5" w14:textId="77777777" w:rsidTr="00CA5E84">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F39A6D0" w14:textId="77777777" w:rsidR="00C508CA" w:rsidRPr="0068723D" w:rsidRDefault="00C508CA" w:rsidP="00C508CA">
            <w:pPr>
              <w:rPr>
                <w:rFonts w:cs="Calibri"/>
                <w:b/>
                <w:bCs/>
                <w:color w:val="000000" w:themeColor="text1"/>
                <w:sz w:val="13"/>
                <w:szCs w:val="13"/>
              </w:rPr>
            </w:pPr>
            <w:r w:rsidRPr="0068723D">
              <w:rPr>
                <w:rFonts w:cs="Calibri"/>
                <w:b/>
                <w:bCs/>
                <w:color w:val="000000" w:themeColor="text1"/>
                <w:sz w:val="13"/>
                <w:szCs w:val="13"/>
              </w:rPr>
              <w:t>Przychody z tytułu odsetek,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1C188C0" w14:textId="46820ABE"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5 071 664</w:t>
            </w:r>
          </w:p>
        </w:tc>
        <w:tc>
          <w:tcPr>
            <w:tcW w:w="1418" w:type="dxa"/>
            <w:tcBorders>
              <w:top w:val="single" w:sz="8" w:space="0" w:color="0077BD"/>
              <w:left w:val="nil"/>
              <w:bottom w:val="single" w:sz="8" w:space="0" w:color="0077BD"/>
              <w:right w:val="nil"/>
            </w:tcBorders>
            <w:shd w:val="clear" w:color="auto" w:fill="auto"/>
            <w:vAlign w:val="center"/>
            <w:hideMark/>
          </w:tcPr>
          <w:p w14:paraId="58A80C15" w14:textId="77777777" w:rsidR="00C508CA" w:rsidRPr="0068723D" w:rsidRDefault="00C508CA" w:rsidP="00C508CA">
            <w:pPr>
              <w:jc w:val="right"/>
              <w:rPr>
                <w:rFonts w:cs="Calibri"/>
                <w:b/>
                <w:bCs/>
                <w:color w:val="000000" w:themeColor="text1"/>
                <w:sz w:val="13"/>
                <w:szCs w:val="13"/>
              </w:rPr>
            </w:pPr>
            <w:r w:rsidRPr="0068723D">
              <w:rPr>
                <w:rFonts w:cs="Calibri"/>
                <w:b/>
                <w:bCs/>
                <w:color w:val="000000" w:themeColor="text1"/>
                <w:sz w:val="13"/>
                <w:szCs w:val="13"/>
              </w:rPr>
              <w:t>4 518 190</w:t>
            </w:r>
          </w:p>
        </w:tc>
      </w:tr>
    </w:tbl>
    <w:p w14:paraId="7B36A38F" w14:textId="0BD00FEC" w:rsidR="00967872" w:rsidRPr="0068723D" w:rsidRDefault="00967872" w:rsidP="00685F47">
      <w:pPr>
        <w:jc w:val="both"/>
        <w:rPr>
          <w:rFonts w:cs="Tahoma"/>
          <w:color w:val="000000" w:themeColor="text1"/>
          <w:sz w:val="18"/>
          <w:szCs w:val="18"/>
          <w:lang w:eastAsia="en-GB"/>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EE31DF" w14:paraId="702A22B7" w14:textId="77777777" w:rsidTr="00FF51AC">
        <w:trPr>
          <w:trHeight w:val="284"/>
        </w:trPr>
        <w:tc>
          <w:tcPr>
            <w:tcW w:w="6747" w:type="dxa"/>
            <w:vMerge w:val="restart"/>
            <w:tcBorders>
              <w:top w:val="nil"/>
              <w:left w:val="nil"/>
              <w:right w:val="single" w:sz="8" w:space="0" w:color="FFFFFF"/>
            </w:tcBorders>
            <w:shd w:val="clear" w:color="000000" w:fill="0077BD"/>
            <w:vAlign w:val="center"/>
            <w:hideMark/>
          </w:tcPr>
          <w:p w14:paraId="0F6D97B9" w14:textId="3283C6D2" w:rsidR="00631017" w:rsidRDefault="00631017" w:rsidP="00631017">
            <w:pPr>
              <w:jc w:val="right"/>
              <w:rPr>
                <w:rFonts w:cs="Calibri"/>
                <w:b/>
                <w:bCs/>
                <w:color w:val="FFFFFF"/>
                <w:sz w:val="13"/>
                <w:szCs w:val="13"/>
              </w:rPr>
            </w:pPr>
          </w:p>
          <w:p w14:paraId="3FB25B17" w14:textId="6136D3F0" w:rsidR="00967872" w:rsidRPr="00EE31DF" w:rsidRDefault="00967872" w:rsidP="00631017">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385D58F3" w14:textId="77777777" w:rsidR="00631017" w:rsidRPr="00EE31DF" w:rsidRDefault="00631017" w:rsidP="00EE31DF">
            <w:pPr>
              <w:jc w:val="right"/>
              <w:rPr>
                <w:rFonts w:cs="Calibri"/>
                <w:b/>
                <w:bCs/>
                <w:color w:val="FFFFFF"/>
                <w:sz w:val="13"/>
                <w:szCs w:val="13"/>
              </w:rPr>
            </w:pPr>
            <w:r w:rsidRPr="00EE31DF">
              <w:rPr>
                <w:rFonts w:cs="Calibri"/>
                <w:b/>
                <w:bCs/>
                <w:color w:val="FFFFFF"/>
                <w:sz w:val="13"/>
                <w:szCs w:val="13"/>
              </w:rPr>
              <w:t>Rok kończący się 31 grudnia</w:t>
            </w:r>
          </w:p>
        </w:tc>
      </w:tr>
      <w:tr w:rsidR="00631017" w:rsidRPr="00EE31DF" w14:paraId="3B08AD24" w14:textId="77777777" w:rsidTr="00FF51AC">
        <w:trPr>
          <w:trHeight w:val="284"/>
        </w:trPr>
        <w:tc>
          <w:tcPr>
            <w:tcW w:w="6747" w:type="dxa"/>
            <w:vMerge/>
            <w:tcBorders>
              <w:left w:val="nil"/>
              <w:right w:val="single" w:sz="8" w:space="0" w:color="FFFFFF"/>
            </w:tcBorders>
            <w:shd w:val="clear" w:color="000000" w:fill="0077BD"/>
            <w:vAlign w:val="center"/>
            <w:hideMark/>
          </w:tcPr>
          <w:p w14:paraId="1B82A86A" w14:textId="23914943" w:rsidR="00631017" w:rsidRPr="00EE31DF" w:rsidRDefault="00631017" w:rsidP="00EE31DF">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7E83AD91" w14:textId="77777777" w:rsidR="00631017" w:rsidRPr="00EE31DF" w:rsidRDefault="00631017" w:rsidP="00EE31DF">
            <w:pPr>
              <w:jc w:val="right"/>
              <w:rPr>
                <w:rFonts w:cs="Calibri"/>
                <w:b/>
                <w:bCs/>
                <w:color w:val="FFFFFF"/>
                <w:sz w:val="13"/>
                <w:szCs w:val="13"/>
              </w:rPr>
            </w:pPr>
            <w:r w:rsidRPr="00EE31DF">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1CA68352" w14:textId="77777777" w:rsidR="00631017" w:rsidRPr="00EE31DF" w:rsidRDefault="00631017" w:rsidP="00EE31DF">
            <w:pPr>
              <w:jc w:val="right"/>
              <w:rPr>
                <w:rFonts w:cs="Calibri"/>
                <w:b/>
                <w:bCs/>
                <w:color w:val="FFFFFF"/>
                <w:sz w:val="13"/>
                <w:szCs w:val="13"/>
              </w:rPr>
            </w:pPr>
            <w:r w:rsidRPr="00EE31DF">
              <w:rPr>
                <w:rFonts w:cs="Calibri"/>
                <w:b/>
                <w:bCs/>
                <w:color w:val="FFFFFF"/>
                <w:sz w:val="13"/>
                <w:szCs w:val="13"/>
              </w:rPr>
              <w:t>2018</w:t>
            </w:r>
          </w:p>
        </w:tc>
      </w:tr>
      <w:tr w:rsidR="00B27780" w:rsidRPr="0068723D" w14:paraId="691404B8" w14:textId="77777777" w:rsidTr="00B333D8">
        <w:trPr>
          <w:trHeight w:val="284"/>
        </w:trPr>
        <w:tc>
          <w:tcPr>
            <w:tcW w:w="6747" w:type="dxa"/>
            <w:tcBorders>
              <w:left w:val="nil"/>
              <w:bottom w:val="single" w:sz="8" w:space="0" w:color="0077BD"/>
              <w:right w:val="nil"/>
            </w:tcBorders>
            <w:shd w:val="clear" w:color="000000" w:fill="FFFFFF"/>
            <w:vAlign w:val="center"/>
            <w:hideMark/>
          </w:tcPr>
          <w:p w14:paraId="56E71B70" w14:textId="77777777" w:rsidR="00EE31DF" w:rsidRPr="0068723D" w:rsidRDefault="00EE31DF" w:rsidP="00EE31DF">
            <w:pPr>
              <w:rPr>
                <w:rFonts w:cs="Calibri"/>
                <w:b/>
                <w:bCs/>
                <w:color w:val="000000" w:themeColor="text1"/>
                <w:sz w:val="13"/>
                <w:szCs w:val="13"/>
              </w:rPr>
            </w:pPr>
            <w:r w:rsidRPr="0068723D">
              <w:rPr>
                <w:rFonts w:cs="Calibri"/>
                <w:b/>
                <w:bCs/>
                <w:color w:val="000000" w:themeColor="text1"/>
                <w:sz w:val="13"/>
                <w:szCs w:val="13"/>
              </w:rPr>
              <w:t>Koszty odsetek</w:t>
            </w:r>
          </w:p>
        </w:tc>
        <w:tc>
          <w:tcPr>
            <w:tcW w:w="1418" w:type="dxa"/>
            <w:tcBorders>
              <w:left w:val="nil"/>
              <w:bottom w:val="single" w:sz="8" w:space="0" w:color="0077BD"/>
              <w:right w:val="nil"/>
            </w:tcBorders>
            <w:shd w:val="clear" w:color="000000" w:fill="FFFFFF"/>
            <w:noWrap/>
            <w:vAlign w:val="center"/>
          </w:tcPr>
          <w:p w14:paraId="7B147DF6" w14:textId="656F0A10" w:rsidR="00EE31DF" w:rsidRPr="0068723D" w:rsidRDefault="00EE31DF" w:rsidP="00EE31DF">
            <w:pPr>
              <w:rPr>
                <w:rFonts w:cs="Calibri"/>
                <w:b/>
                <w:bCs/>
                <w:color w:val="000000" w:themeColor="text1"/>
                <w:sz w:val="13"/>
                <w:szCs w:val="13"/>
              </w:rPr>
            </w:pPr>
          </w:p>
        </w:tc>
        <w:tc>
          <w:tcPr>
            <w:tcW w:w="1418" w:type="dxa"/>
            <w:tcBorders>
              <w:left w:val="nil"/>
              <w:bottom w:val="single" w:sz="8" w:space="0" w:color="0077BD"/>
              <w:right w:val="nil"/>
            </w:tcBorders>
            <w:shd w:val="clear" w:color="000000" w:fill="FFFFFF"/>
            <w:noWrap/>
            <w:vAlign w:val="center"/>
          </w:tcPr>
          <w:p w14:paraId="5C31443F" w14:textId="02F3FE4A" w:rsidR="00EE31DF" w:rsidRPr="0068723D" w:rsidRDefault="00EE31DF" w:rsidP="00EE31DF">
            <w:pPr>
              <w:rPr>
                <w:rFonts w:cs="Calibri"/>
                <w:b/>
                <w:bCs/>
                <w:color w:val="000000" w:themeColor="text1"/>
                <w:sz w:val="13"/>
                <w:szCs w:val="13"/>
              </w:rPr>
            </w:pPr>
          </w:p>
        </w:tc>
      </w:tr>
      <w:tr w:rsidR="00B27780" w:rsidRPr="0068723D" w14:paraId="66BAC03A" w14:textId="77777777" w:rsidTr="00540208">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84E0B87" w14:textId="77777777" w:rsidR="00EE31DF" w:rsidRPr="0068723D" w:rsidRDefault="00EE31DF" w:rsidP="00EE31DF">
            <w:pPr>
              <w:rPr>
                <w:rFonts w:cs="Calibri"/>
                <w:color w:val="000000" w:themeColor="text1"/>
                <w:sz w:val="13"/>
                <w:szCs w:val="13"/>
              </w:rPr>
            </w:pPr>
            <w:r w:rsidRPr="0068723D">
              <w:rPr>
                <w:rFonts w:cs="Calibri"/>
                <w:color w:val="000000" w:themeColor="text1"/>
                <w:sz w:val="13"/>
                <w:szCs w:val="13"/>
              </w:rPr>
              <w:t>Koszty odsetkowe od zobowiązań finansowych wycenianych w zamortyzowanym koszcie, w tym:</w:t>
            </w:r>
          </w:p>
        </w:tc>
        <w:tc>
          <w:tcPr>
            <w:tcW w:w="1418" w:type="dxa"/>
            <w:tcBorders>
              <w:top w:val="nil"/>
              <w:left w:val="nil"/>
              <w:bottom w:val="single" w:sz="4" w:space="0" w:color="0077BD"/>
              <w:right w:val="nil"/>
            </w:tcBorders>
            <w:shd w:val="clear" w:color="auto" w:fill="auto"/>
            <w:noWrap/>
            <w:vAlign w:val="center"/>
          </w:tcPr>
          <w:p w14:paraId="651D239D" w14:textId="729BBA01" w:rsidR="00EE31DF" w:rsidRPr="0068723D" w:rsidRDefault="00DF4AA6" w:rsidP="00EE31DF">
            <w:pPr>
              <w:jc w:val="right"/>
              <w:rPr>
                <w:rFonts w:cs="Calibri"/>
                <w:color w:val="000000" w:themeColor="text1"/>
                <w:sz w:val="13"/>
                <w:szCs w:val="13"/>
              </w:rPr>
            </w:pPr>
            <w:r w:rsidRPr="0068723D">
              <w:rPr>
                <w:rFonts w:cs="Calibri"/>
                <w:color w:val="000000" w:themeColor="text1"/>
                <w:sz w:val="13"/>
                <w:szCs w:val="13"/>
              </w:rPr>
              <w:t>(1 057 925)</w:t>
            </w:r>
          </w:p>
        </w:tc>
        <w:tc>
          <w:tcPr>
            <w:tcW w:w="1418" w:type="dxa"/>
            <w:tcBorders>
              <w:top w:val="nil"/>
              <w:left w:val="single" w:sz="8" w:space="0" w:color="0077BD"/>
              <w:bottom w:val="single" w:sz="4" w:space="0" w:color="0077BD"/>
              <w:right w:val="nil"/>
            </w:tcBorders>
            <w:shd w:val="clear" w:color="auto" w:fill="auto"/>
            <w:noWrap/>
            <w:vAlign w:val="center"/>
            <w:hideMark/>
          </w:tcPr>
          <w:p w14:paraId="29EC3BB1" w14:textId="77777777" w:rsidR="00EE31DF" w:rsidRPr="0068723D" w:rsidRDefault="00EE31DF" w:rsidP="00EE31DF">
            <w:pPr>
              <w:jc w:val="right"/>
              <w:rPr>
                <w:rFonts w:cs="Calibri"/>
                <w:color w:val="000000" w:themeColor="text1"/>
                <w:sz w:val="13"/>
                <w:szCs w:val="13"/>
              </w:rPr>
            </w:pPr>
            <w:r w:rsidRPr="0068723D">
              <w:rPr>
                <w:rFonts w:cs="Calibri"/>
                <w:color w:val="000000" w:themeColor="text1"/>
                <w:sz w:val="13"/>
                <w:szCs w:val="13"/>
              </w:rPr>
              <w:t>(1 007 267)</w:t>
            </w:r>
          </w:p>
        </w:tc>
      </w:tr>
      <w:tr w:rsidR="00DF4AA6" w:rsidRPr="0068723D" w14:paraId="57A77CBB"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56D637D" w14:textId="77777777" w:rsidR="00DF4AA6" w:rsidRPr="0068723D" w:rsidRDefault="00DF4AA6" w:rsidP="00DF4AA6">
            <w:pPr>
              <w:rPr>
                <w:rFonts w:cs="Calibri"/>
                <w:i/>
                <w:iCs/>
                <w:color w:val="000000" w:themeColor="text1"/>
                <w:sz w:val="13"/>
                <w:szCs w:val="13"/>
              </w:rPr>
            </w:pPr>
            <w:r w:rsidRPr="0068723D">
              <w:rPr>
                <w:rFonts w:cs="Calibri"/>
                <w:i/>
                <w:iCs/>
                <w:color w:val="000000" w:themeColor="text1"/>
                <w:sz w:val="13"/>
                <w:szCs w:val="13"/>
              </w:rPr>
              <w:t xml:space="preserve"> - Depozyty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08E73E5" w14:textId="198CE1A1"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(661 228)</w:t>
            </w:r>
          </w:p>
        </w:tc>
        <w:tc>
          <w:tcPr>
            <w:tcW w:w="1418" w:type="dxa"/>
            <w:tcBorders>
              <w:top w:val="nil"/>
              <w:left w:val="single" w:sz="8" w:space="0" w:color="0077BD"/>
              <w:bottom w:val="single" w:sz="4" w:space="0" w:color="0077BD"/>
              <w:right w:val="nil"/>
            </w:tcBorders>
            <w:shd w:val="clear" w:color="auto" w:fill="auto"/>
            <w:noWrap/>
            <w:vAlign w:val="center"/>
            <w:hideMark/>
          </w:tcPr>
          <w:p w14:paraId="24010EF4" w14:textId="77777777"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(576 285)</w:t>
            </w:r>
          </w:p>
        </w:tc>
      </w:tr>
      <w:tr w:rsidR="00DF4AA6" w:rsidRPr="0068723D" w14:paraId="1E3B9FAB"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F6906D2" w14:textId="77777777" w:rsidR="00DF4AA6" w:rsidRPr="0068723D" w:rsidRDefault="00DF4AA6" w:rsidP="00DF4AA6">
            <w:pPr>
              <w:rPr>
                <w:rFonts w:cs="Calibri"/>
                <w:i/>
                <w:iCs/>
                <w:color w:val="000000" w:themeColor="text1"/>
                <w:sz w:val="13"/>
                <w:szCs w:val="13"/>
              </w:rPr>
            </w:pPr>
            <w:r w:rsidRPr="0068723D">
              <w:rPr>
                <w:rFonts w:cs="Calibri"/>
                <w:i/>
                <w:iCs/>
                <w:color w:val="000000" w:themeColor="text1"/>
                <w:sz w:val="13"/>
                <w:szCs w:val="13"/>
              </w:rPr>
              <w:t xml:space="preserve"> - Otrzymane kredyty</w:t>
            </w:r>
          </w:p>
        </w:tc>
        <w:tc>
          <w:tcPr>
            <w:tcW w:w="1418" w:type="dxa"/>
            <w:tcBorders>
              <w:top w:val="nil"/>
              <w:left w:val="single" w:sz="8" w:space="0" w:color="0077BD"/>
              <w:bottom w:val="single" w:sz="4" w:space="0" w:color="0077BD"/>
              <w:right w:val="nil"/>
            </w:tcBorders>
            <w:shd w:val="clear" w:color="auto" w:fill="auto"/>
            <w:noWrap/>
            <w:vAlign w:val="center"/>
          </w:tcPr>
          <w:p w14:paraId="0B378DEB" w14:textId="621C48B1"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(13 615)</w:t>
            </w:r>
          </w:p>
        </w:tc>
        <w:tc>
          <w:tcPr>
            <w:tcW w:w="1418" w:type="dxa"/>
            <w:tcBorders>
              <w:top w:val="nil"/>
              <w:left w:val="single" w:sz="8" w:space="0" w:color="0077BD"/>
              <w:bottom w:val="single" w:sz="4" w:space="0" w:color="0077BD"/>
              <w:right w:val="nil"/>
            </w:tcBorders>
            <w:shd w:val="clear" w:color="auto" w:fill="auto"/>
            <w:noWrap/>
            <w:vAlign w:val="center"/>
            <w:hideMark/>
          </w:tcPr>
          <w:p w14:paraId="6D4C2BDD" w14:textId="77777777"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(29 243)</w:t>
            </w:r>
          </w:p>
        </w:tc>
      </w:tr>
      <w:tr w:rsidR="00DF4AA6" w:rsidRPr="0068723D" w14:paraId="33B4C818"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06929A0" w14:textId="77777777" w:rsidR="00DF4AA6" w:rsidRPr="0068723D" w:rsidRDefault="00DF4AA6" w:rsidP="00DF4AA6">
            <w:pPr>
              <w:rPr>
                <w:rFonts w:cs="Calibri"/>
                <w:i/>
                <w:iCs/>
                <w:color w:val="000000" w:themeColor="text1"/>
                <w:sz w:val="13"/>
                <w:szCs w:val="13"/>
              </w:rPr>
            </w:pPr>
            <w:r w:rsidRPr="0068723D">
              <w:rPr>
                <w:rFonts w:cs="Calibri"/>
                <w:i/>
                <w:iCs/>
                <w:color w:val="000000" w:themeColor="text1"/>
                <w:sz w:val="13"/>
                <w:szCs w:val="13"/>
              </w:rPr>
              <w:t xml:space="preserve"> - Wyemitowane 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0D6EDC69" w14:textId="72CB9570"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(294 266)</w:t>
            </w:r>
          </w:p>
        </w:tc>
        <w:tc>
          <w:tcPr>
            <w:tcW w:w="1418" w:type="dxa"/>
            <w:tcBorders>
              <w:top w:val="nil"/>
              <w:left w:val="single" w:sz="8" w:space="0" w:color="0077BD"/>
              <w:bottom w:val="single" w:sz="4" w:space="0" w:color="0077BD"/>
              <w:right w:val="nil"/>
            </w:tcBorders>
            <w:shd w:val="clear" w:color="auto" w:fill="auto"/>
            <w:noWrap/>
            <w:vAlign w:val="center"/>
            <w:hideMark/>
          </w:tcPr>
          <w:p w14:paraId="710A503A" w14:textId="77777777"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(318 870)</w:t>
            </w:r>
          </w:p>
        </w:tc>
      </w:tr>
      <w:tr w:rsidR="00DF4AA6" w:rsidRPr="0068723D" w14:paraId="4E2E71D4"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96D007C" w14:textId="77777777" w:rsidR="00DF4AA6" w:rsidRPr="0068723D" w:rsidRDefault="00DF4AA6" w:rsidP="00DF4AA6">
            <w:pPr>
              <w:rPr>
                <w:rFonts w:cs="Calibri"/>
                <w:i/>
                <w:iCs/>
                <w:color w:val="000000" w:themeColor="text1"/>
                <w:sz w:val="13"/>
                <w:szCs w:val="13"/>
              </w:rPr>
            </w:pPr>
            <w:r w:rsidRPr="0068723D">
              <w:rPr>
                <w:rFonts w:cs="Calibri"/>
                <w:i/>
                <w:iCs/>
                <w:color w:val="000000" w:themeColor="text1"/>
                <w:sz w:val="13"/>
                <w:szCs w:val="13"/>
              </w:rPr>
              <w:t xml:space="preserve"> - Zobowiązania podporządkowane</w:t>
            </w:r>
          </w:p>
        </w:tc>
        <w:tc>
          <w:tcPr>
            <w:tcW w:w="1418" w:type="dxa"/>
            <w:tcBorders>
              <w:top w:val="nil"/>
              <w:left w:val="single" w:sz="8" w:space="0" w:color="0077BD"/>
              <w:bottom w:val="single" w:sz="4" w:space="0" w:color="0077BD"/>
              <w:right w:val="nil"/>
            </w:tcBorders>
            <w:shd w:val="clear" w:color="auto" w:fill="auto"/>
            <w:noWrap/>
            <w:vAlign w:val="center"/>
          </w:tcPr>
          <w:p w14:paraId="25B85EA1" w14:textId="764552B7"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(76 167)</w:t>
            </w:r>
          </w:p>
        </w:tc>
        <w:tc>
          <w:tcPr>
            <w:tcW w:w="1418" w:type="dxa"/>
            <w:tcBorders>
              <w:top w:val="nil"/>
              <w:left w:val="single" w:sz="8" w:space="0" w:color="0077BD"/>
              <w:bottom w:val="single" w:sz="4" w:space="0" w:color="0077BD"/>
              <w:right w:val="nil"/>
            </w:tcBorders>
            <w:shd w:val="clear" w:color="auto" w:fill="auto"/>
            <w:noWrap/>
            <w:vAlign w:val="center"/>
            <w:hideMark/>
          </w:tcPr>
          <w:p w14:paraId="2D130834" w14:textId="77777777" w:rsidR="00DF4AA6" w:rsidRPr="0068723D" w:rsidRDefault="00DF4AA6" w:rsidP="00DF4AA6">
            <w:pPr>
              <w:jc w:val="right"/>
              <w:rPr>
                <w:rFonts w:cs="Calibri"/>
                <w:i/>
                <w:iCs/>
                <w:color w:val="000000" w:themeColor="text1"/>
                <w:sz w:val="13"/>
                <w:szCs w:val="13"/>
              </w:rPr>
            </w:pPr>
            <w:r w:rsidRPr="0068723D">
              <w:rPr>
                <w:rFonts w:cs="Calibri"/>
                <w:i/>
                <w:iCs/>
                <w:color w:val="000000" w:themeColor="text1"/>
                <w:sz w:val="13"/>
                <w:szCs w:val="13"/>
              </w:rPr>
              <w:t>(75 300)</w:t>
            </w:r>
          </w:p>
        </w:tc>
      </w:tr>
      <w:tr w:rsidR="00B27780" w:rsidRPr="0068723D" w14:paraId="60466AE5" w14:textId="77777777" w:rsidTr="00540208">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6D1C208" w14:textId="28AD9F75" w:rsidR="00EE31DF" w:rsidRPr="0068723D" w:rsidRDefault="00506428" w:rsidP="00EE31DF">
            <w:pPr>
              <w:rPr>
                <w:rFonts w:cs="Calibri"/>
                <w:i/>
                <w:iCs/>
                <w:color w:val="000000" w:themeColor="text1"/>
                <w:sz w:val="13"/>
                <w:szCs w:val="13"/>
              </w:rPr>
            </w:pPr>
            <w:r w:rsidRPr="0068723D">
              <w:rPr>
                <w:rFonts w:cs="Calibri"/>
                <w:i/>
                <w:iCs/>
                <w:color w:val="000000" w:themeColor="text1"/>
                <w:sz w:val="13"/>
                <w:szCs w:val="13"/>
              </w:rPr>
              <w:t xml:space="preserve"> - Zobowiązania z tytułu</w:t>
            </w:r>
            <w:r w:rsidR="00EE31DF" w:rsidRPr="0068723D">
              <w:rPr>
                <w:rFonts w:cs="Calibri"/>
                <w:i/>
                <w:iCs/>
                <w:color w:val="000000" w:themeColor="text1"/>
                <w:sz w:val="13"/>
                <w:szCs w:val="13"/>
              </w:rPr>
              <w:t xml:space="preserve"> leasingu</w:t>
            </w:r>
          </w:p>
        </w:tc>
        <w:tc>
          <w:tcPr>
            <w:tcW w:w="1418" w:type="dxa"/>
            <w:tcBorders>
              <w:top w:val="nil"/>
              <w:left w:val="nil"/>
              <w:bottom w:val="single" w:sz="4" w:space="0" w:color="0077BD"/>
              <w:right w:val="nil"/>
            </w:tcBorders>
            <w:shd w:val="clear" w:color="auto" w:fill="auto"/>
            <w:noWrap/>
            <w:vAlign w:val="center"/>
          </w:tcPr>
          <w:p w14:paraId="180D9BF4" w14:textId="4BFB268A" w:rsidR="00EE31DF" w:rsidRPr="0068723D" w:rsidRDefault="00CD3D05" w:rsidP="00EE31DF">
            <w:pPr>
              <w:jc w:val="right"/>
              <w:rPr>
                <w:rFonts w:cs="Calibri"/>
                <w:i/>
                <w:iCs/>
                <w:color w:val="000000" w:themeColor="text1"/>
                <w:sz w:val="13"/>
                <w:szCs w:val="13"/>
              </w:rPr>
            </w:pPr>
            <w:r w:rsidRPr="0068723D">
              <w:rPr>
                <w:rFonts w:cs="Calibri"/>
                <w:i/>
                <w:iCs/>
                <w:color w:val="000000" w:themeColor="text1"/>
                <w:sz w:val="13"/>
                <w:szCs w:val="13"/>
              </w:rPr>
              <w:t>(2 959)</w:t>
            </w:r>
          </w:p>
        </w:tc>
        <w:tc>
          <w:tcPr>
            <w:tcW w:w="1418" w:type="dxa"/>
            <w:tcBorders>
              <w:top w:val="nil"/>
              <w:left w:val="single" w:sz="8" w:space="0" w:color="0077BD"/>
              <w:bottom w:val="single" w:sz="4" w:space="0" w:color="0077BD"/>
              <w:right w:val="nil"/>
            </w:tcBorders>
            <w:shd w:val="clear" w:color="auto" w:fill="auto"/>
            <w:noWrap/>
            <w:vAlign w:val="center"/>
            <w:hideMark/>
          </w:tcPr>
          <w:p w14:paraId="5D249A75" w14:textId="2BD5BEF6" w:rsidR="00EE31DF" w:rsidRPr="0068723D" w:rsidRDefault="00707912" w:rsidP="00EE31DF">
            <w:pPr>
              <w:jc w:val="right"/>
              <w:rPr>
                <w:rFonts w:cs="Calibri"/>
                <w:i/>
                <w:iCs/>
                <w:color w:val="000000" w:themeColor="text1"/>
                <w:sz w:val="13"/>
                <w:szCs w:val="13"/>
              </w:rPr>
            </w:pPr>
            <w:r w:rsidRPr="0068723D">
              <w:rPr>
                <w:rFonts w:cs="Calibri"/>
                <w:i/>
                <w:iCs/>
                <w:color w:val="000000" w:themeColor="text1"/>
                <w:sz w:val="13"/>
                <w:szCs w:val="13"/>
              </w:rPr>
              <w:t>nd</w:t>
            </w:r>
          </w:p>
        </w:tc>
      </w:tr>
      <w:tr w:rsidR="00B27780" w:rsidRPr="0068723D" w14:paraId="47CBCC9C" w14:textId="77777777" w:rsidTr="00540208">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87FBEB8" w14:textId="77777777" w:rsidR="00EE31DF" w:rsidRPr="0068723D" w:rsidRDefault="00EE31DF" w:rsidP="00EE31DF">
            <w:pPr>
              <w:rPr>
                <w:rFonts w:cs="Calibri"/>
                <w:i/>
                <w:iCs/>
                <w:color w:val="000000" w:themeColor="text1"/>
                <w:sz w:val="13"/>
                <w:szCs w:val="13"/>
              </w:rPr>
            </w:pPr>
            <w:r w:rsidRPr="0068723D">
              <w:rPr>
                <w:rFonts w:cs="Calibri"/>
                <w:i/>
                <w:iCs/>
                <w:color w:val="000000" w:themeColor="text1"/>
                <w:sz w:val="13"/>
                <w:szCs w:val="13"/>
              </w:rPr>
              <w:t xml:space="preserve"> - Inne zobowiązania finansowe</w:t>
            </w:r>
          </w:p>
        </w:tc>
        <w:tc>
          <w:tcPr>
            <w:tcW w:w="1418" w:type="dxa"/>
            <w:tcBorders>
              <w:top w:val="nil"/>
              <w:left w:val="nil"/>
              <w:bottom w:val="single" w:sz="4" w:space="0" w:color="0077BD"/>
              <w:right w:val="nil"/>
            </w:tcBorders>
            <w:shd w:val="clear" w:color="auto" w:fill="auto"/>
            <w:noWrap/>
            <w:vAlign w:val="center"/>
          </w:tcPr>
          <w:p w14:paraId="27C43F0F" w14:textId="18E69E71" w:rsidR="00EE31DF" w:rsidRPr="0068723D" w:rsidRDefault="00CD3D05" w:rsidP="00EE31DF">
            <w:pPr>
              <w:jc w:val="right"/>
              <w:rPr>
                <w:rFonts w:cs="Calibri"/>
                <w:i/>
                <w:iCs/>
                <w:color w:val="000000" w:themeColor="text1"/>
                <w:sz w:val="13"/>
                <w:szCs w:val="13"/>
              </w:rPr>
            </w:pPr>
            <w:r w:rsidRPr="0068723D">
              <w:rPr>
                <w:rFonts w:cs="Calibri"/>
                <w:i/>
                <w:iCs/>
                <w:color w:val="000000" w:themeColor="text1"/>
                <w:sz w:val="13"/>
                <w:szCs w:val="13"/>
              </w:rPr>
              <w:t>(9 690)</w:t>
            </w:r>
          </w:p>
        </w:tc>
        <w:tc>
          <w:tcPr>
            <w:tcW w:w="1418" w:type="dxa"/>
            <w:tcBorders>
              <w:top w:val="nil"/>
              <w:left w:val="single" w:sz="8" w:space="0" w:color="0077BD"/>
              <w:bottom w:val="single" w:sz="4" w:space="0" w:color="0077BD"/>
              <w:right w:val="nil"/>
            </w:tcBorders>
            <w:shd w:val="clear" w:color="auto" w:fill="auto"/>
            <w:noWrap/>
            <w:vAlign w:val="center"/>
            <w:hideMark/>
          </w:tcPr>
          <w:p w14:paraId="2EB3EE5A" w14:textId="77777777" w:rsidR="00EE31DF" w:rsidRPr="0068723D" w:rsidRDefault="00EE31DF" w:rsidP="00EE31DF">
            <w:pPr>
              <w:jc w:val="right"/>
              <w:rPr>
                <w:rFonts w:cs="Calibri"/>
                <w:i/>
                <w:iCs/>
                <w:color w:val="000000" w:themeColor="text1"/>
                <w:sz w:val="13"/>
                <w:szCs w:val="13"/>
              </w:rPr>
            </w:pPr>
            <w:r w:rsidRPr="0068723D">
              <w:rPr>
                <w:rFonts w:cs="Calibri"/>
                <w:i/>
                <w:iCs/>
                <w:color w:val="000000" w:themeColor="text1"/>
                <w:sz w:val="13"/>
                <w:szCs w:val="13"/>
              </w:rPr>
              <w:t>(7 569)</w:t>
            </w:r>
          </w:p>
        </w:tc>
      </w:tr>
      <w:tr w:rsidR="00B27780" w:rsidRPr="0068723D" w14:paraId="4D02BE24" w14:textId="77777777" w:rsidTr="00540208">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88F4131" w14:textId="77777777" w:rsidR="00EE31DF" w:rsidRPr="0068723D" w:rsidRDefault="00EE31DF" w:rsidP="00EE31DF">
            <w:pPr>
              <w:rPr>
                <w:rFonts w:cs="Calibri"/>
                <w:color w:val="000000" w:themeColor="text1"/>
                <w:sz w:val="13"/>
                <w:szCs w:val="13"/>
              </w:rPr>
            </w:pPr>
            <w:r w:rsidRPr="0068723D">
              <w:rPr>
                <w:rFonts w:cs="Calibri"/>
                <w:color w:val="000000" w:themeColor="text1"/>
                <w:sz w:val="13"/>
                <w:szCs w:val="13"/>
              </w:rPr>
              <w:t xml:space="preserve">Pozostałe </w:t>
            </w:r>
          </w:p>
        </w:tc>
        <w:tc>
          <w:tcPr>
            <w:tcW w:w="1418" w:type="dxa"/>
            <w:tcBorders>
              <w:top w:val="nil"/>
              <w:left w:val="nil"/>
              <w:bottom w:val="single" w:sz="4" w:space="0" w:color="0077BD"/>
              <w:right w:val="nil"/>
            </w:tcBorders>
            <w:shd w:val="clear" w:color="auto" w:fill="auto"/>
            <w:noWrap/>
            <w:vAlign w:val="center"/>
          </w:tcPr>
          <w:p w14:paraId="7AC49A43" w14:textId="0EFA4369" w:rsidR="00EE31DF" w:rsidRPr="0068723D" w:rsidRDefault="00CD3D05" w:rsidP="00EE31DF">
            <w:pPr>
              <w:jc w:val="right"/>
              <w:rPr>
                <w:rFonts w:cs="Calibri"/>
                <w:color w:val="000000" w:themeColor="text1"/>
                <w:sz w:val="13"/>
                <w:szCs w:val="13"/>
              </w:rPr>
            </w:pPr>
            <w:r w:rsidRPr="0068723D">
              <w:rPr>
                <w:rFonts w:cs="Calibri"/>
                <w:color w:val="000000" w:themeColor="text1"/>
                <w:sz w:val="13"/>
                <w:szCs w:val="13"/>
              </w:rPr>
              <w:t>(10 967)</w:t>
            </w:r>
          </w:p>
        </w:tc>
        <w:tc>
          <w:tcPr>
            <w:tcW w:w="1418" w:type="dxa"/>
            <w:tcBorders>
              <w:top w:val="nil"/>
              <w:left w:val="single" w:sz="8" w:space="0" w:color="0077BD"/>
              <w:bottom w:val="single" w:sz="4" w:space="0" w:color="0077BD"/>
              <w:right w:val="nil"/>
            </w:tcBorders>
            <w:shd w:val="clear" w:color="auto" w:fill="auto"/>
            <w:noWrap/>
            <w:vAlign w:val="center"/>
            <w:hideMark/>
          </w:tcPr>
          <w:p w14:paraId="635EF5A6" w14:textId="77777777" w:rsidR="00EE31DF" w:rsidRPr="0068723D" w:rsidRDefault="00EE31DF" w:rsidP="00EE31DF">
            <w:pPr>
              <w:jc w:val="right"/>
              <w:rPr>
                <w:rFonts w:cs="Calibri"/>
                <w:color w:val="000000" w:themeColor="text1"/>
                <w:sz w:val="13"/>
                <w:szCs w:val="13"/>
              </w:rPr>
            </w:pPr>
            <w:r w:rsidRPr="0068723D">
              <w:rPr>
                <w:rFonts w:cs="Calibri"/>
                <w:color w:val="000000" w:themeColor="text1"/>
                <w:sz w:val="13"/>
                <w:szCs w:val="13"/>
              </w:rPr>
              <w:t>(14 449)</w:t>
            </w:r>
          </w:p>
        </w:tc>
      </w:tr>
      <w:tr w:rsidR="00B27780" w:rsidRPr="0068723D" w14:paraId="4C70E4FA" w14:textId="77777777" w:rsidTr="00540208">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0B94069" w14:textId="77777777" w:rsidR="00EE31DF" w:rsidRPr="0068723D" w:rsidRDefault="00EE31DF" w:rsidP="00EE31DF">
            <w:pPr>
              <w:rPr>
                <w:rFonts w:cs="Calibri"/>
                <w:b/>
                <w:bCs/>
                <w:color w:val="000000" w:themeColor="text1"/>
                <w:sz w:val="13"/>
                <w:szCs w:val="13"/>
              </w:rPr>
            </w:pPr>
            <w:r w:rsidRPr="0068723D">
              <w:rPr>
                <w:rFonts w:cs="Calibri"/>
                <w:b/>
                <w:bCs/>
                <w:color w:val="000000" w:themeColor="text1"/>
                <w:sz w:val="13"/>
                <w:szCs w:val="13"/>
              </w:rPr>
              <w:t>Koszty odsetek, razem</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5DE8B53D" w14:textId="5499BD46" w:rsidR="00EE31DF" w:rsidRPr="0068723D" w:rsidRDefault="00CD3D05" w:rsidP="00EE31DF">
            <w:pPr>
              <w:jc w:val="right"/>
              <w:rPr>
                <w:rFonts w:cs="Calibri"/>
                <w:b/>
                <w:bCs/>
                <w:color w:val="000000" w:themeColor="text1"/>
                <w:sz w:val="13"/>
                <w:szCs w:val="13"/>
              </w:rPr>
            </w:pPr>
            <w:r w:rsidRPr="0068723D">
              <w:rPr>
                <w:rFonts w:cs="Calibri"/>
                <w:b/>
                <w:bCs/>
                <w:color w:val="000000" w:themeColor="text1"/>
                <w:sz w:val="13"/>
                <w:szCs w:val="13"/>
              </w:rPr>
              <w:t>(1 068 892)</w:t>
            </w:r>
          </w:p>
        </w:tc>
        <w:tc>
          <w:tcPr>
            <w:tcW w:w="1418" w:type="dxa"/>
            <w:tcBorders>
              <w:top w:val="single" w:sz="8" w:space="0" w:color="0077BD"/>
              <w:left w:val="nil"/>
              <w:bottom w:val="single" w:sz="8" w:space="0" w:color="0077BD"/>
              <w:right w:val="nil"/>
            </w:tcBorders>
            <w:shd w:val="clear" w:color="auto" w:fill="auto"/>
            <w:vAlign w:val="center"/>
            <w:hideMark/>
          </w:tcPr>
          <w:p w14:paraId="437DCEBC" w14:textId="77777777" w:rsidR="00EE31DF" w:rsidRPr="0068723D" w:rsidRDefault="00EE31DF" w:rsidP="00EE31DF">
            <w:pPr>
              <w:jc w:val="right"/>
              <w:rPr>
                <w:rFonts w:cs="Calibri"/>
                <w:b/>
                <w:bCs/>
                <w:color w:val="000000" w:themeColor="text1"/>
                <w:sz w:val="13"/>
                <w:szCs w:val="13"/>
              </w:rPr>
            </w:pPr>
            <w:r w:rsidRPr="0068723D">
              <w:rPr>
                <w:rFonts w:cs="Calibri"/>
                <w:b/>
                <w:bCs/>
                <w:color w:val="000000" w:themeColor="text1"/>
                <w:sz w:val="13"/>
                <w:szCs w:val="13"/>
              </w:rPr>
              <w:t>(1 021 716)</w:t>
            </w:r>
          </w:p>
        </w:tc>
      </w:tr>
    </w:tbl>
    <w:p w14:paraId="56D82268" w14:textId="746675A6" w:rsidR="00685F47" w:rsidRDefault="00685F47" w:rsidP="00685F47">
      <w:pPr>
        <w:spacing w:before="120"/>
        <w:jc w:val="both"/>
        <w:rPr>
          <w:rFonts w:cs="Tahoma"/>
          <w:color w:val="000000" w:themeColor="text1"/>
          <w:sz w:val="18"/>
          <w:szCs w:val="18"/>
          <w:lang w:eastAsia="en-GB"/>
        </w:rPr>
      </w:pPr>
      <w:r w:rsidRPr="001239F1">
        <w:rPr>
          <w:rFonts w:cs="Tahoma"/>
          <w:color w:val="000000" w:themeColor="text1"/>
          <w:sz w:val="18"/>
          <w:szCs w:val="18"/>
          <w:lang w:eastAsia="en-GB"/>
        </w:rPr>
        <w:t>Przychody z tytułu odsetek związane z aktywami finansowymi, które utraciły wartość, wyniosły 139 074 tys. zł (za okr</w:t>
      </w:r>
      <w:r w:rsidR="00114A7B">
        <w:rPr>
          <w:rFonts w:cs="Tahoma"/>
          <w:color w:val="000000" w:themeColor="text1"/>
          <w:sz w:val="18"/>
          <w:szCs w:val="18"/>
          <w:lang w:eastAsia="en-GB"/>
        </w:rPr>
        <w:t>es zakończony 31 grudnia 2018 roku</w:t>
      </w:r>
      <w:r w:rsidRPr="001239F1">
        <w:rPr>
          <w:rFonts w:cs="Tahoma"/>
          <w:color w:val="000000" w:themeColor="text1"/>
          <w:sz w:val="18"/>
          <w:szCs w:val="18"/>
          <w:lang w:eastAsia="en-GB"/>
        </w:rPr>
        <w:t>: 110 512 tys. zł).</w:t>
      </w:r>
    </w:p>
    <w:p w14:paraId="32D0948B" w14:textId="769664D8" w:rsidR="00AF23CE" w:rsidRPr="0068723D" w:rsidRDefault="00AF23CE" w:rsidP="00685F47">
      <w:pPr>
        <w:spacing w:before="120"/>
        <w:jc w:val="both"/>
        <w:rPr>
          <w:rFonts w:cs="Tahoma"/>
          <w:color w:val="000000" w:themeColor="text1"/>
          <w:sz w:val="18"/>
          <w:szCs w:val="18"/>
          <w:lang w:eastAsia="en-GB"/>
        </w:rPr>
      </w:pPr>
      <w:r>
        <w:rPr>
          <w:rFonts w:cs="Tahoma"/>
          <w:color w:val="000000" w:themeColor="text1"/>
          <w:sz w:val="18"/>
          <w:szCs w:val="18"/>
          <w:lang w:eastAsia="en-GB"/>
        </w:rPr>
        <w:t>Przychody odsetkowe od aktywów finansowych wycenianych w zamortyzowanym koszcie obejmują odsetki</w:t>
      </w:r>
      <w:r w:rsidR="007E4F46">
        <w:rPr>
          <w:rFonts w:cs="Tahoma"/>
          <w:color w:val="000000" w:themeColor="text1"/>
          <w:sz w:val="18"/>
          <w:szCs w:val="18"/>
          <w:lang w:eastAsia="en-GB"/>
        </w:rPr>
        <w:t> </w:t>
      </w:r>
      <w:r>
        <w:rPr>
          <w:rFonts w:cs="Tahoma"/>
          <w:color w:val="000000" w:themeColor="text1"/>
          <w:sz w:val="18"/>
          <w:szCs w:val="18"/>
          <w:lang w:eastAsia="en-GB"/>
        </w:rPr>
        <w:t>z działalności leasingowej w kwocie 414 221 tys. zł</w:t>
      </w:r>
      <w:r w:rsidR="007E4F46">
        <w:rPr>
          <w:rFonts w:cs="Tahoma"/>
          <w:color w:val="000000" w:themeColor="text1"/>
          <w:sz w:val="18"/>
          <w:szCs w:val="18"/>
          <w:lang w:eastAsia="en-GB"/>
        </w:rPr>
        <w:t xml:space="preserve"> (</w:t>
      </w:r>
      <w:r w:rsidR="007E4F46" w:rsidRPr="001239F1">
        <w:rPr>
          <w:rFonts w:cs="Tahoma"/>
          <w:color w:val="000000" w:themeColor="text1"/>
          <w:sz w:val="18"/>
          <w:szCs w:val="18"/>
          <w:lang w:eastAsia="en-GB"/>
        </w:rPr>
        <w:t>za okres zakończony 31 gr</w:t>
      </w:r>
      <w:r w:rsidR="00114A7B">
        <w:rPr>
          <w:rFonts w:cs="Tahoma"/>
          <w:color w:val="000000" w:themeColor="text1"/>
          <w:sz w:val="18"/>
          <w:szCs w:val="18"/>
          <w:lang w:eastAsia="en-GB"/>
        </w:rPr>
        <w:t>udnia 2018 roku</w:t>
      </w:r>
      <w:r w:rsidR="007E4F46" w:rsidRPr="001239F1">
        <w:rPr>
          <w:rFonts w:cs="Tahoma"/>
          <w:color w:val="000000" w:themeColor="text1"/>
          <w:sz w:val="18"/>
          <w:szCs w:val="18"/>
          <w:lang w:eastAsia="en-GB"/>
        </w:rPr>
        <w:t>:</w:t>
      </w:r>
      <w:r w:rsidR="007E4F46">
        <w:rPr>
          <w:rFonts w:cs="Tahoma"/>
          <w:color w:val="000000" w:themeColor="text1"/>
          <w:sz w:val="18"/>
          <w:szCs w:val="18"/>
          <w:lang w:eastAsia="en-GB"/>
        </w:rPr>
        <w:t xml:space="preserve"> 348 341 tys. zł)</w:t>
      </w:r>
      <w:r>
        <w:rPr>
          <w:rFonts w:cs="Tahoma"/>
          <w:color w:val="000000" w:themeColor="text1"/>
          <w:sz w:val="18"/>
          <w:szCs w:val="18"/>
          <w:lang w:eastAsia="en-GB"/>
        </w:rPr>
        <w:t>.</w:t>
      </w:r>
    </w:p>
    <w:p w14:paraId="7604550F" w14:textId="06133825" w:rsidR="001B43A4" w:rsidRDefault="00685F47" w:rsidP="00685F47">
      <w:pPr>
        <w:spacing w:before="120" w:after="120"/>
        <w:jc w:val="both"/>
        <w:rPr>
          <w:rFonts w:cs="Tahoma"/>
          <w:color w:val="201C17"/>
          <w:sz w:val="18"/>
          <w:szCs w:val="18"/>
          <w:lang w:eastAsia="en-GB"/>
        </w:rPr>
      </w:pPr>
      <w:r w:rsidRPr="00794C5B">
        <w:rPr>
          <w:rFonts w:cs="Tahoma"/>
          <w:color w:val="000000" w:themeColor="text1"/>
          <w:sz w:val="18"/>
          <w:szCs w:val="18"/>
          <w:lang w:eastAsia="en-GB"/>
        </w:rPr>
        <w:t>Na przychody z tytułu odsetek w 2019 roku wpływ miało ujęcie skumulowanego efektu zmiany szacunków kwot i terminów przepływów pieniężnych związanych z kredytami, co do których oczekuje się, że zostaną spłacone przed terminem umownym. Kwestia została szerzej opisana w Nocie 4 „Ważniejsze oszacowania i oceny dokonane w związku z zastosowaniem zasad rachunkowości”</w:t>
      </w:r>
      <w:r w:rsidR="007621A6">
        <w:rPr>
          <w:rFonts w:cs="Tahoma"/>
          <w:color w:val="000000" w:themeColor="text1"/>
          <w:sz w:val="18"/>
          <w:szCs w:val="18"/>
          <w:lang w:eastAsia="en-GB"/>
        </w:rPr>
        <w:t>.</w:t>
      </w:r>
    </w:p>
    <w:p w14:paraId="7E2E6586" w14:textId="77777777" w:rsidR="001B43A4" w:rsidRDefault="001B43A4">
      <w:pPr>
        <w:rPr>
          <w:rFonts w:cs="Tahoma"/>
          <w:color w:val="201C17"/>
          <w:sz w:val="18"/>
          <w:szCs w:val="18"/>
          <w:lang w:eastAsia="en-GB"/>
        </w:rPr>
      </w:pPr>
      <w:r>
        <w:rPr>
          <w:rFonts w:cs="Tahoma"/>
          <w:color w:val="201C17"/>
          <w:sz w:val="18"/>
          <w:szCs w:val="18"/>
          <w:lang w:eastAsia="en-GB"/>
        </w:rPr>
        <w:br w:type="page"/>
      </w:r>
    </w:p>
    <w:p w14:paraId="0179D898" w14:textId="21742DC3" w:rsidR="003F6F61" w:rsidRPr="0068723D" w:rsidRDefault="003F6F61" w:rsidP="003F6F61">
      <w:pPr>
        <w:spacing w:before="240" w:after="120"/>
        <w:rPr>
          <w:rFonts w:cs="Tahoma"/>
          <w:color w:val="000000" w:themeColor="text1"/>
          <w:sz w:val="18"/>
          <w:szCs w:val="18"/>
          <w:lang w:eastAsia="en-GB"/>
        </w:rPr>
      </w:pPr>
      <w:r w:rsidRPr="0068723D">
        <w:rPr>
          <w:rFonts w:cs="Tahoma"/>
          <w:color w:val="000000" w:themeColor="text1"/>
          <w:sz w:val="18"/>
          <w:szCs w:val="18"/>
          <w:lang w:eastAsia="en-GB"/>
        </w:rPr>
        <w:lastRenderedPageBreak/>
        <w:t>Wynik z tytułu odsetek w podziale na poszczególne sektory przedstawia się następująco:</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C01E96" w14:paraId="53CB1822" w14:textId="77777777" w:rsidTr="00FF51AC">
        <w:trPr>
          <w:trHeight w:val="284"/>
        </w:trPr>
        <w:tc>
          <w:tcPr>
            <w:tcW w:w="6747" w:type="dxa"/>
            <w:vMerge w:val="restart"/>
            <w:tcBorders>
              <w:top w:val="nil"/>
              <w:left w:val="nil"/>
              <w:right w:val="single" w:sz="8" w:space="0" w:color="FFFFFF"/>
            </w:tcBorders>
            <w:shd w:val="clear" w:color="000000" w:fill="0077BD"/>
            <w:vAlign w:val="center"/>
            <w:hideMark/>
          </w:tcPr>
          <w:p w14:paraId="7BA4763D" w14:textId="541822B8" w:rsidR="00631017" w:rsidRPr="00C01E96" w:rsidRDefault="00631017" w:rsidP="00C01E96">
            <w:pPr>
              <w:jc w:val="right"/>
              <w:rPr>
                <w:rFonts w:cs="Calibri"/>
                <w:b/>
                <w:bCs/>
                <w:color w:val="FFFFFF"/>
                <w:sz w:val="13"/>
                <w:szCs w:val="13"/>
              </w:rPr>
            </w:pPr>
          </w:p>
          <w:p w14:paraId="47C6257A" w14:textId="6A3496CE" w:rsidR="00631017" w:rsidRPr="00C01E96" w:rsidRDefault="00631017" w:rsidP="00C01E96">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1798964F" w14:textId="77777777" w:rsidR="00631017" w:rsidRPr="00C01E96" w:rsidRDefault="00631017" w:rsidP="00C01E96">
            <w:pPr>
              <w:jc w:val="center"/>
              <w:rPr>
                <w:rFonts w:cs="Calibri"/>
                <w:b/>
                <w:bCs/>
                <w:color w:val="FFFFFF"/>
                <w:sz w:val="13"/>
                <w:szCs w:val="13"/>
              </w:rPr>
            </w:pPr>
            <w:r w:rsidRPr="00C01E96">
              <w:rPr>
                <w:rFonts w:cs="Calibri"/>
                <w:b/>
                <w:bCs/>
                <w:color w:val="FFFFFF"/>
                <w:sz w:val="13"/>
                <w:szCs w:val="13"/>
              </w:rPr>
              <w:t>Rok kończący się 31 grudnia</w:t>
            </w:r>
          </w:p>
        </w:tc>
      </w:tr>
      <w:tr w:rsidR="00631017" w:rsidRPr="00C01E96" w14:paraId="11534809" w14:textId="77777777" w:rsidTr="00FF51AC">
        <w:trPr>
          <w:trHeight w:val="284"/>
        </w:trPr>
        <w:tc>
          <w:tcPr>
            <w:tcW w:w="6747" w:type="dxa"/>
            <w:vMerge/>
            <w:tcBorders>
              <w:left w:val="nil"/>
              <w:right w:val="single" w:sz="8" w:space="0" w:color="FFFFFF"/>
            </w:tcBorders>
            <w:shd w:val="clear" w:color="000000" w:fill="0077BD"/>
            <w:vAlign w:val="center"/>
            <w:hideMark/>
          </w:tcPr>
          <w:p w14:paraId="3169BC79" w14:textId="7A7BD4ED" w:rsidR="00631017" w:rsidRPr="00C01E96" w:rsidRDefault="00631017" w:rsidP="00C01E96">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40704BEB" w14:textId="77777777" w:rsidR="00631017" w:rsidRPr="00C01E96" w:rsidRDefault="00631017" w:rsidP="00C01E96">
            <w:pPr>
              <w:jc w:val="right"/>
              <w:rPr>
                <w:rFonts w:cs="Calibri"/>
                <w:b/>
                <w:bCs/>
                <w:color w:val="FFFFFF"/>
                <w:sz w:val="13"/>
                <w:szCs w:val="13"/>
              </w:rPr>
            </w:pPr>
            <w:r w:rsidRPr="00C01E96">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F1D47AB" w14:textId="77777777" w:rsidR="00631017" w:rsidRPr="00C01E96" w:rsidRDefault="00631017" w:rsidP="00C01E96">
            <w:pPr>
              <w:jc w:val="right"/>
              <w:rPr>
                <w:rFonts w:cs="Calibri"/>
                <w:b/>
                <w:bCs/>
                <w:color w:val="FFFFFF"/>
                <w:sz w:val="13"/>
                <w:szCs w:val="13"/>
              </w:rPr>
            </w:pPr>
            <w:r w:rsidRPr="00C01E96">
              <w:rPr>
                <w:rFonts w:cs="Calibri"/>
                <w:b/>
                <w:bCs/>
                <w:color w:val="FFFFFF"/>
                <w:sz w:val="13"/>
                <w:szCs w:val="13"/>
              </w:rPr>
              <w:t>2018</w:t>
            </w:r>
          </w:p>
        </w:tc>
      </w:tr>
      <w:tr w:rsidR="002A4975" w:rsidRPr="0068723D" w14:paraId="7F9113A9" w14:textId="77777777" w:rsidTr="001B43A4">
        <w:trPr>
          <w:trHeight w:val="284"/>
        </w:trPr>
        <w:tc>
          <w:tcPr>
            <w:tcW w:w="6747" w:type="dxa"/>
            <w:tcBorders>
              <w:left w:val="nil"/>
              <w:bottom w:val="single" w:sz="8" w:space="0" w:color="0077BD"/>
              <w:right w:val="nil"/>
            </w:tcBorders>
            <w:shd w:val="clear" w:color="000000" w:fill="FFFFFF"/>
            <w:vAlign w:val="center"/>
            <w:hideMark/>
          </w:tcPr>
          <w:p w14:paraId="42FF3DBD" w14:textId="77777777" w:rsidR="00C01E96" w:rsidRPr="0068723D" w:rsidRDefault="00C01E96" w:rsidP="00C01E96">
            <w:pPr>
              <w:rPr>
                <w:rFonts w:cs="Calibri"/>
                <w:b/>
                <w:bCs/>
                <w:color w:val="000000" w:themeColor="text1"/>
                <w:sz w:val="13"/>
                <w:szCs w:val="13"/>
              </w:rPr>
            </w:pPr>
            <w:r w:rsidRPr="0068723D">
              <w:rPr>
                <w:rFonts w:cs="Calibri"/>
                <w:b/>
                <w:bCs/>
                <w:color w:val="000000" w:themeColor="text1"/>
                <w:sz w:val="13"/>
                <w:szCs w:val="13"/>
              </w:rPr>
              <w:t>Przychody z tytułu odsetek</w:t>
            </w:r>
          </w:p>
        </w:tc>
        <w:tc>
          <w:tcPr>
            <w:tcW w:w="1418" w:type="dxa"/>
            <w:tcBorders>
              <w:left w:val="nil"/>
              <w:bottom w:val="single" w:sz="8" w:space="0" w:color="0077BD"/>
              <w:right w:val="nil"/>
            </w:tcBorders>
            <w:shd w:val="clear" w:color="000000" w:fill="FFFFFF"/>
            <w:noWrap/>
            <w:vAlign w:val="center"/>
          </w:tcPr>
          <w:p w14:paraId="54F0458A" w14:textId="01DD755E" w:rsidR="00C01E96" w:rsidRPr="0068723D" w:rsidRDefault="00C01E96" w:rsidP="00C01E96">
            <w:pPr>
              <w:rPr>
                <w:rFonts w:cs="Calibri"/>
                <w:b/>
                <w:bCs/>
                <w:color w:val="000000" w:themeColor="text1"/>
                <w:sz w:val="13"/>
                <w:szCs w:val="13"/>
              </w:rPr>
            </w:pPr>
          </w:p>
        </w:tc>
        <w:tc>
          <w:tcPr>
            <w:tcW w:w="1418" w:type="dxa"/>
            <w:tcBorders>
              <w:left w:val="nil"/>
              <w:bottom w:val="single" w:sz="8" w:space="0" w:color="0077BD"/>
              <w:right w:val="nil"/>
            </w:tcBorders>
            <w:shd w:val="clear" w:color="000000" w:fill="FFFFFF"/>
            <w:noWrap/>
            <w:vAlign w:val="center"/>
          </w:tcPr>
          <w:p w14:paraId="20A89CB8" w14:textId="71C085E4" w:rsidR="00C01E96" w:rsidRPr="0068723D" w:rsidRDefault="00C01E96" w:rsidP="00C01E96">
            <w:pPr>
              <w:rPr>
                <w:rFonts w:cs="Calibri"/>
                <w:b/>
                <w:bCs/>
                <w:color w:val="000000" w:themeColor="text1"/>
                <w:sz w:val="13"/>
                <w:szCs w:val="13"/>
              </w:rPr>
            </w:pPr>
          </w:p>
        </w:tc>
      </w:tr>
      <w:tr w:rsidR="00F34223" w:rsidRPr="0068723D" w14:paraId="2E48CA9C" w14:textId="77777777" w:rsidTr="0080079D">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7BAC2BE8"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Od sektora bankowego</w:t>
            </w:r>
          </w:p>
        </w:tc>
        <w:tc>
          <w:tcPr>
            <w:tcW w:w="1418" w:type="dxa"/>
            <w:tcBorders>
              <w:top w:val="nil"/>
              <w:left w:val="single" w:sz="8" w:space="0" w:color="0077BD"/>
              <w:bottom w:val="single" w:sz="4" w:space="0" w:color="0077BD"/>
              <w:right w:val="nil"/>
            </w:tcBorders>
            <w:shd w:val="clear" w:color="auto" w:fill="auto"/>
            <w:noWrap/>
            <w:vAlign w:val="center"/>
          </w:tcPr>
          <w:p w14:paraId="171D6AAE" w14:textId="76F460E6" w:rsidR="00F34223" w:rsidRPr="00F34223" w:rsidRDefault="00F34223" w:rsidP="00F34223">
            <w:pPr>
              <w:jc w:val="right"/>
              <w:rPr>
                <w:rFonts w:cs="Calibri"/>
                <w:color w:val="000000" w:themeColor="text1"/>
                <w:sz w:val="13"/>
                <w:szCs w:val="13"/>
              </w:rPr>
            </w:pPr>
            <w:r w:rsidRPr="00F34223">
              <w:rPr>
                <w:rFonts w:cs="Calibri"/>
                <w:sz w:val="13"/>
                <w:szCs w:val="13"/>
              </w:rPr>
              <w:t>380 416</w:t>
            </w:r>
          </w:p>
        </w:tc>
        <w:tc>
          <w:tcPr>
            <w:tcW w:w="1418" w:type="dxa"/>
            <w:tcBorders>
              <w:top w:val="nil"/>
              <w:left w:val="single" w:sz="8" w:space="0" w:color="0077BD"/>
              <w:bottom w:val="single" w:sz="4" w:space="0" w:color="0077BD"/>
              <w:right w:val="nil"/>
            </w:tcBorders>
            <w:shd w:val="clear" w:color="auto" w:fill="auto"/>
            <w:noWrap/>
            <w:vAlign w:val="center"/>
            <w:hideMark/>
          </w:tcPr>
          <w:p w14:paraId="5E925160"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421 394</w:t>
            </w:r>
          </w:p>
        </w:tc>
      </w:tr>
      <w:tr w:rsidR="00F34223" w:rsidRPr="0068723D" w14:paraId="3E20D117"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9918A61"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Od pozostałych podmiotów, w tym:</w:t>
            </w:r>
          </w:p>
        </w:tc>
        <w:tc>
          <w:tcPr>
            <w:tcW w:w="1418" w:type="dxa"/>
            <w:tcBorders>
              <w:top w:val="nil"/>
              <w:left w:val="single" w:sz="8" w:space="0" w:color="0077BD"/>
              <w:bottom w:val="single" w:sz="4" w:space="0" w:color="0077BD"/>
              <w:right w:val="nil"/>
            </w:tcBorders>
            <w:shd w:val="clear" w:color="auto" w:fill="auto"/>
            <w:noWrap/>
            <w:vAlign w:val="center"/>
          </w:tcPr>
          <w:p w14:paraId="1F767E90" w14:textId="183653DD" w:rsidR="00F34223" w:rsidRPr="00F34223" w:rsidRDefault="00F34223" w:rsidP="00F34223">
            <w:pPr>
              <w:jc w:val="right"/>
              <w:rPr>
                <w:rFonts w:cs="Calibri"/>
                <w:color w:val="000000" w:themeColor="text1"/>
                <w:sz w:val="13"/>
                <w:szCs w:val="13"/>
              </w:rPr>
            </w:pPr>
            <w:r w:rsidRPr="00F34223">
              <w:rPr>
                <w:rFonts w:cs="Calibri"/>
                <w:sz w:val="13"/>
                <w:szCs w:val="13"/>
              </w:rPr>
              <w:t>4 691 248</w:t>
            </w:r>
          </w:p>
        </w:tc>
        <w:tc>
          <w:tcPr>
            <w:tcW w:w="1418" w:type="dxa"/>
            <w:tcBorders>
              <w:top w:val="nil"/>
              <w:left w:val="single" w:sz="8" w:space="0" w:color="0077BD"/>
              <w:bottom w:val="single" w:sz="4" w:space="0" w:color="0077BD"/>
              <w:right w:val="nil"/>
            </w:tcBorders>
            <w:shd w:val="clear" w:color="auto" w:fill="auto"/>
            <w:noWrap/>
            <w:vAlign w:val="center"/>
            <w:hideMark/>
          </w:tcPr>
          <w:p w14:paraId="1FE20D31"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4 096 796</w:t>
            </w:r>
          </w:p>
        </w:tc>
      </w:tr>
      <w:tr w:rsidR="00F34223" w:rsidRPr="0068723D" w14:paraId="49DCF9C3"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C02335B"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klientów indywidualnych</w:t>
            </w:r>
          </w:p>
        </w:tc>
        <w:tc>
          <w:tcPr>
            <w:tcW w:w="1418" w:type="dxa"/>
            <w:tcBorders>
              <w:top w:val="nil"/>
              <w:left w:val="single" w:sz="8" w:space="0" w:color="0077BD"/>
              <w:bottom w:val="single" w:sz="4" w:space="0" w:color="0077BD"/>
              <w:right w:val="nil"/>
            </w:tcBorders>
            <w:shd w:val="clear" w:color="auto" w:fill="auto"/>
            <w:noWrap/>
            <w:vAlign w:val="center"/>
          </w:tcPr>
          <w:p w14:paraId="4B78CEEC" w14:textId="773C05F2" w:rsidR="00F34223" w:rsidRPr="00F34223" w:rsidRDefault="00F34223" w:rsidP="00F34223">
            <w:pPr>
              <w:jc w:val="right"/>
              <w:rPr>
                <w:rFonts w:cs="Calibri"/>
                <w:color w:val="000000" w:themeColor="text1"/>
                <w:sz w:val="13"/>
                <w:szCs w:val="13"/>
              </w:rPr>
            </w:pPr>
            <w:r w:rsidRPr="00F34223">
              <w:rPr>
                <w:rFonts w:cs="Calibri"/>
                <w:sz w:val="13"/>
                <w:szCs w:val="13"/>
              </w:rPr>
              <w:t>2 322 835</w:t>
            </w:r>
          </w:p>
        </w:tc>
        <w:tc>
          <w:tcPr>
            <w:tcW w:w="1418" w:type="dxa"/>
            <w:tcBorders>
              <w:top w:val="nil"/>
              <w:left w:val="single" w:sz="8" w:space="0" w:color="0077BD"/>
              <w:bottom w:val="single" w:sz="4" w:space="0" w:color="0077BD"/>
              <w:right w:val="nil"/>
            </w:tcBorders>
            <w:shd w:val="clear" w:color="auto" w:fill="auto"/>
            <w:noWrap/>
            <w:vAlign w:val="center"/>
            <w:hideMark/>
          </w:tcPr>
          <w:p w14:paraId="74A71BA8"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1 995 135</w:t>
            </w:r>
          </w:p>
        </w:tc>
      </w:tr>
      <w:tr w:rsidR="00F34223" w:rsidRPr="0068723D" w14:paraId="48973CE9"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D667FE3"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klientów korporacyjnych</w:t>
            </w:r>
          </w:p>
        </w:tc>
        <w:tc>
          <w:tcPr>
            <w:tcW w:w="1418" w:type="dxa"/>
            <w:tcBorders>
              <w:top w:val="nil"/>
              <w:left w:val="single" w:sz="8" w:space="0" w:color="0077BD"/>
              <w:bottom w:val="single" w:sz="4" w:space="0" w:color="0077BD"/>
              <w:right w:val="nil"/>
            </w:tcBorders>
            <w:shd w:val="clear" w:color="auto" w:fill="auto"/>
            <w:noWrap/>
            <w:vAlign w:val="center"/>
          </w:tcPr>
          <w:p w14:paraId="2044FD56" w14:textId="54BD0BC0" w:rsidR="00F34223" w:rsidRPr="00F34223" w:rsidRDefault="00F34223" w:rsidP="00F34223">
            <w:pPr>
              <w:jc w:val="right"/>
              <w:rPr>
                <w:rFonts w:cs="Calibri"/>
                <w:color w:val="000000" w:themeColor="text1"/>
                <w:sz w:val="13"/>
                <w:szCs w:val="13"/>
              </w:rPr>
            </w:pPr>
            <w:r w:rsidRPr="00F34223">
              <w:rPr>
                <w:rFonts w:cs="Calibri"/>
                <w:sz w:val="13"/>
                <w:szCs w:val="13"/>
              </w:rPr>
              <w:t>1 733 943</w:t>
            </w:r>
          </w:p>
        </w:tc>
        <w:tc>
          <w:tcPr>
            <w:tcW w:w="1418" w:type="dxa"/>
            <w:tcBorders>
              <w:top w:val="nil"/>
              <w:left w:val="single" w:sz="8" w:space="0" w:color="0077BD"/>
              <w:bottom w:val="single" w:sz="4" w:space="0" w:color="0077BD"/>
              <w:right w:val="nil"/>
            </w:tcBorders>
            <w:shd w:val="clear" w:color="auto" w:fill="auto"/>
            <w:noWrap/>
            <w:vAlign w:val="center"/>
            <w:hideMark/>
          </w:tcPr>
          <w:p w14:paraId="11B785DD"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1 461 832</w:t>
            </w:r>
          </w:p>
        </w:tc>
      </w:tr>
      <w:tr w:rsidR="00F34223" w:rsidRPr="0068723D" w14:paraId="3DDF807E"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D089760"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sektora budżetowego</w:t>
            </w:r>
          </w:p>
        </w:tc>
        <w:tc>
          <w:tcPr>
            <w:tcW w:w="1418" w:type="dxa"/>
            <w:tcBorders>
              <w:top w:val="nil"/>
              <w:left w:val="single" w:sz="8" w:space="0" w:color="0077BD"/>
              <w:bottom w:val="single" w:sz="4" w:space="0" w:color="0077BD"/>
              <w:right w:val="nil"/>
            </w:tcBorders>
            <w:shd w:val="clear" w:color="auto" w:fill="auto"/>
            <w:noWrap/>
            <w:vAlign w:val="center"/>
          </w:tcPr>
          <w:p w14:paraId="7DA42AD1" w14:textId="7378A1E2" w:rsidR="00F34223" w:rsidRPr="00F34223" w:rsidRDefault="00F34223" w:rsidP="00F34223">
            <w:pPr>
              <w:jc w:val="right"/>
              <w:rPr>
                <w:rFonts w:cs="Calibri"/>
                <w:color w:val="000000" w:themeColor="text1"/>
                <w:sz w:val="13"/>
                <w:szCs w:val="13"/>
              </w:rPr>
            </w:pPr>
            <w:r w:rsidRPr="00F34223">
              <w:rPr>
                <w:rFonts w:cs="Calibri"/>
                <w:sz w:val="13"/>
                <w:szCs w:val="13"/>
              </w:rPr>
              <w:t>634 470</w:t>
            </w:r>
          </w:p>
        </w:tc>
        <w:tc>
          <w:tcPr>
            <w:tcW w:w="1418" w:type="dxa"/>
            <w:tcBorders>
              <w:top w:val="nil"/>
              <w:left w:val="single" w:sz="8" w:space="0" w:color="0077BD"/>
              <w:bottom w:val="single" w:sz="4" w:space="0" w:color="0077BD"/>
              <w:right w:val="nil"/>
            </w:tcBorders>
            <w:shd w:val="clear" w:color="auto" w:fill="auto"/>
            <w:noWrap/>
            <w:vAlign w:val="center"/>
            <w:hideMark/>
          </w:tcPr>
          <w:p w14:paraId="1E0B9854"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639 829</w:t>
            </w:r>
          </w:p>
        </w:tc>
      </w:tr>
      <w:tr w:rsidR="00F34223" w:rsidRPr="0068723D" w14:paraId="1B49CDB0" w14:textId="77777777" w:rsidTr="0080079D">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2514188" w14:textId="77777777" w:rsidR="00F34223" w:rsidRPr="0068723D" w:rsidRDefault="00F34223" w:rsidP="00F34223">
            <w:pPr>
              <w:rPr>
                <w:rFonts w:cs="Calibri"/>
                <w:b/>
                <w:bCs/>
                <w:color w:val="000000" w:themeColor="text1"/>
                <w:sz w:val="13"/>
                <w:szCs w:val="13"/>
              </w:rPr>
            </w:pPr>
            <w:r w:rsidRPr="0068723D">
              <w:rPr>
                <w:rFonts w:cs="Calibri"/>
                <w:b/>
                <w:bCs/>
                <w:color w:val="000000" w:themeColor="text1"/>
                <w:sz w:val="13"/>
                <w:szCs w:val="13"/>
              </w:rPr>
              <w:t>Przychody z tytułu odsetek,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24BDD7E" w14:textId="75E752D6" w:rsidR="00F34223" w:rsidRPr="00F34223" w:rsidRDefault="00F34223" w:rsidP="00F34223">
            <w:pPr>
              <w:jc w:val="right"/>
              <w:rPr>
                <w:rFonts w:cs="Calibri"/>
                <w:b/>
                <w:bCs/>
                <w:color w:val="000000" w:themeColor="text1"/>
                <w:sz w:val="13"/>
                <w:szCs w:val="13"/>
              </w:rPr>
            </w:pPr>
            <w:r w:rsidRPr="00F34223">
              <w:rPr>
                <w:rFonts w:cs="Calibri"/>
                <w:b/>
                <w:bCs/>
                <w:sz w:val="13"/>
                <w:szCs w:val="13"/>
              </w:rPr>
              <w:t>5 071 664</w:t>
            </w:r>
          </w:p>
        </w:tc>
        <w:tc>
          <w:tcPr>
            <w:tcW w:w="1418" w:type="dxa"/>
            <w:tcBorders>
              <w:top w:val="single" w:sz="8" w:space="0" w:color="0077BD"/>
              <w:left w:val="nil"/>
              <w:bottom w:val="single" w:sz="8" w:space="0" w:color="0077BD"/>
              <w:right w:val="nil"/>
            </w:tcBorders>
            <w:shd w:val="clear" w:color="auto" w:fill="auto"/>
            <w:vAlign w:val="center"/>
            <w:hideMark/>
          </w:tcPr>
          <w:p w14:paraId="737CF181" w14:textId="77777777" w:rsidR="00F34223" w:rsidRPr="0068723D" w:rsidRDefault="00F34223" w:rsidP="00F34223">
            <w:pPr>
              <w:jc w:val="right"/>
              <w:rPr>
                <w:rFonts w:cs="Calibri"/>
                <w:b/>
                <w:bCs/>
                <w:color w:val="000000" w:themeColor="text1"/>
                <w:sz w:val="13"/>
                <w:szCs w:val="13"/>
              </w:rPr>
            </w:pPr>
            <w:r w:rsidRPr="0068723D">
              <w:rPr>
                <w:rFonts w:cs="Calibri"/>
                <w:b/>
                <w:bCs/>
                <w:color w:val="000000" w:themeColor="text1"/>
                <w:sz w:val="13"/>
                <w:szCs w:val="13"/>
              </w:rPr>
              <w:t>4 518 190</w:t>
            </w:r>
          </w:p>
        </w:tc>
      </w:tr>
      <w:tr w:rsidR="002A4975" w:rsidRPr="0068723D" w14:paraId="7CA7F127" w14:textId="77777777" w:rsidTr="00B333D8">
        <w:trPr>
          <w:trHeight w:val="20"/>
        </w:trPr>
        <w:tc>
          <w:tcPr>
            <w:tcW w:w="6747" w:type="dxa"/>
            <w:tcBorders>
              <w:top w:val="nil"/>
              <w:left w:val="nil"/>
              <w:bottom w:val="single" w:sz="8" w:space="0" w:color="0077BD"/>
              <w:right w:val="nil"/>
            </w:tcBorders>
            <w:shd w:val="clear" w:color="000000" w:fill="FFFFFF"/>
            <w:vAlign w:val="center"/>
            <w:hideMark/>
          </w:tcPr>
          <w:p w14:paraId="79649B19" w14:textId="77777777" w:rsidR="00C01E96" w:rsidRPr="0068723D" w:rsidRDefault="00C01E96" w:rsidP="00C01E96">
            <w:pPr>
              <w:rPr>
                <w:rFonts w:cs="Calibri"/>
                <w:b/>
                <w:bCs/>
                <w:color w:val="000000" w:themeColor="text1"/>
                <w:sz w:val="13"/>
                <w:szCs w:val="13"/>
              </w:rPr>
            </w:pPr>
            <w:r w:rsidRPr="0068723D">
              <w:rPr>
                <w:rFonts w:cs="Calibri"/>
                <w:b/>
                <w:bCs/>
                <w:color w:val="000000" w:themeColor="text1"/>
                <w:sz w:val="13"/>
                <w:szCs w:val="13"/>
              </w:rPr>
              <w:t> </w:t>
            </w:r>
          </w:p>
        </w:tc>
        <w:tc>
          <w:tcPr>
            <w:tcW w:w="1418" w:type="dxa"/>
            <w:tcBorders>
              <w:top w:val="nil"/>
              <w:left w:val="nil"/>
              <w:bottom w:val="single" w:sz="8" w:space="0" w:color="0077BD"/>
              <w:right w:val="nil"/>
            </w:tcBorders>
            <w:shd w:val="clear" w:color="000000" w:fill="FFFFFF"/>
            <w:noWrap/>
            <w:vAlign w:val="center"/>
          </w:tcPr>
          <w:p w14:paraId="239EF6D5" w14:textId="340B06AD" w:rsidR="00C01E96" w:rsidRPr="0068723D" w:rsidRDefault="00C01E96" w:rsidP="00C01E96">
            <w:pPr>
              <w:rPr>
                <w:rFonts w:cs="Calibri"/>
                <w:b/>
                <w:bCs/>
                <w:color w:val="000000" w:themeColor="text1"/>
                <w:sz w:val="13"/>
                <w:szCs w:val="13"/>
              </w:rPr>
            </w:pPr>
          </w:p>
        </w:tc>
        <w:tc>
          <w:tcPr>
            <w:tcW w:w="1418" w:type="dxa"/>
            <w:tcBorders>
              <w:top w:val="nil"/>
              <w:left w:val="nil"/>
              <w:bottom w:val="single" w:sz="8" w:space="0" w:color="0077BD"/>
              <w:right w:val="nil"/>
            </w:tcBorders>
            <w:shd w:val="clear" w:color="000000" w:fill="FFFFFF"/>
            <w:noWrap/>
            <w:vAlign w:val="center"/>
          </w:tcPr>
          <w:p w14:paraId="247020D2" w14:textId="00A3143A" w:rsidR="00C01E96" w:rsidRPr="0068723D" w:rsidRDefault="00C01E96" w:rsidP="00C01E96">
            <w:pPr>
              <w:rPr>
                <w:rFonts w:cs="Calibri"/>
                <w:b/>
                <w:bCs/>
                <w:color w:val="000000" w:themeColor="text1"/>
                <w:sz w:val="13"/>
                <w:szCs w:val="13"/>
              </w:rPr>
            </w:pPr>
          </w:p>
        </w:tc>
      </w:tr>
      <w:tr w:rsidR="002A4975" w:rsidRPr="0068723D" w14:paraId="7C97BCBB" w14:textId="77777777" w:rsidTr="00B333D8">
        <w:trPr>
          <w:trHeight w:val="284"/>
        </w:trPr>
        <w:tc>
          <w:tcPr>
            <w:tcW w:w="6747" w:type="dxa"/>
            <w:tcBorders>
              <w:top w:val="nil"/>
              <w:left w:val="nil"/>
              <w:bottom w:val="single" w:sz="8" w:space="0" w:color="0077BD"/>
              <w:right w:val="nil"/>
            </w:tcBorders>
            <w:shd w:val="clear" w:color="000000" w:fill="FFFFFF"/>
            <w:vAlign w:val="center"/>
            <w:hideMark/>
          </w:tcPr>
          <w:p w14:paraId="51DB4F57" w14:textId="77777777" w:rsidR="00C01E96" w:rsidRPr="0068723D" w:rsidRDefault="00C01E96" w:rsidP="00C01E96">
            <w:pPr>
              <w:rPr>
                <w:rFonts w:cs="Calibri"/>
                <w:b/>
                <w:bCs/>
                <w:color w:val="000000" w:themeColor="text1"/>
                <w:sz w:val="13"/>
                <w:szCs w:val="13"/>
              </w:rPr>
            </w:pPr>
            <w:r w:rsidRPr="0068723D">
              <w:rPr>
                <w:rFonts w:cs="Calibri"/>
                <w:b/>
                <w:bCs/>
                <w:color w:val="000000" w:themeColor="text1"/>
                <w:sz w:val="13"/>
                <w:szCs w:val="13"/>
              </w:rPr>
              <w:t>Koszty odsetek</w:t>
            </w:r>
          </w:p>
        </w:tc>
        <w:tc>
          <w:tcPr>
            <w:tcW w:w="1418" w:type="dxa"/>
            <w:tcBorders>
              <w:top w:val="nil"/>
              <w:left w:val="nil"/>
              <w:bottom w:val="single" w:sz="8" w:space="0" w:color="0077BD"/>
              <w:right w:val="nil"/>
            </w:tcBorders>
            <w:shd w:val="clear" w:color="000000" w:fill="FFFFFF"/>
            <w:noWrap/>
            <w:vAlign w:val="center"/>
          </w:tcPr>
          <w:p w14:paraId="657FA547" w14:textId="260BDB83" w:rsidR="00C01E96" w:rsidRPr="0068723D" w:rsidRDefault="00C01E96" w:rsidP="00C01E96">
            <w:pPr>
              <w:rPr>
                <w:rFonts w:cs="Calibri"/>
                <w:b/>
                <w:bCs/>
                <w:color w:val="000000" w:themeColor="text1"/>
                <w:sz w:val="13"/>
                <w:szCs w:val="13"/>
              </w:rPr>
            </w:pPr>
          </w:p>
        </w:tc>
        <w:tc>
          <w:tcPr>
            <w:tcW w:w="1418" w:type="dxa"/>
            <w:tcBorders>
              <w:top w:val="nil"/>
              <w:left w:val="nil"/>
              <w:bottom w:val="single" w:sz="8" w:space="0" w:color="0077BD"/>
              <w:right w:val="nil"/>
            </w:tcBorders>
            <w:shd w:val="clear" w:color="000000" w:fill="FFFFFF"/>
            <w:noWrap/>
            <w:vAlign w:val="center"/>
          </w:tcPr>
          <w:p w14:paraId="6CF48B7A" w14:textId="0B4BA973" w:rsidR="00C01E96" w:rsidRPr="0068723D" w:rsidRDefault="00C01E96" w:rsidP="00C01E96">
            <w:pPr>
              <w:rPr>
                <w:rFonts w:cs="Calibri"/>
                <w:b/>
                <w:bCs/>
                <w:color w:val="000000" w:themeColor="text1"/>
                <w:sz w:val="13"/>
                <w:szCs w:val="13"/>
              </w:rPr>
            </w:pPr>
          </w:p>
        </w:tc>
      </w:tr>
      <w:tr w:rsidR="00F34223" w:rsidRPr="0068723D" w14:paraId="645EB20D" w14:textId="77777777" w:rsidTr="0080079D">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6430440C"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Od sektora bankowego</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2AAF72C7" w14:textId="3A01DED1" w:rsidR="00F34223" w:rsidRPr="00F34223" w:rsidRDefault="00F34223" w:rsidP="00F34223">
            <w:pPr>
              <w:jc w:val="right"/>
              <w:rPr>
                <w:rFonts w:cs="Calibri"/>
                <w:color w:val="000000" w:themeColor="text1"/>
                <w:sz w:val="13"/>
                <w:szCs w:val="13"/>
              </w:rPr>
            </w:pPr>
            <w:r w:rsidRPr="00F34223">
              <w:rPr>
                <w:rFonts w:cs="Calibri"/>
                <w:sz w:val="13"/>
                <w:szCs w:val="13"/>
              </w:rPr>
              <w:t>(57 906)</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27D2FDC8"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(62 337)</w:t>
            </w:r>
          </w:p>
        </w:tc>
      </w:tr>
      <w:tr w:rsidR="00F34223" w:rsidRPr="0068723D" w14:paraId="035179E4"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FE1991B"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Od pozostałych podmiotów, w tym:</w:t>
            </w:r>
          </w:p>
        </w:tc>
        <w:tc>
          <w:tcPr>
            <w:tcW w:w="1418" w:type="dxa"/>
            <w:tcBorders>
              <w:top w:val="nil"/>
              <w:left w:val="single" w:sz="8" w:space="0" w:color="0077BD"/>
              <w:bottom w:val="single" w:sz="4" w:space="0" w:color="0077BD"/>
              <w:right w:val="nil"/>
            </w:tcBorders>
            <w:shd w:val="clear" w:color="auto" w:fill="auto"/>
            <w:noWrap/>
            <w:vAlign w:val="center"/>
          </w:tcPr>
          <w:p w14:paraId="2CBB685E" w14:textId="74CDD4C2" w:rsidR="00F34223" w:rsidRPr="00F34223" w:rsidRDefault="00F34223" w:rsidP="00F34223">
            <w:pPr>
              <w:jc w:val="right"/>
              <w:rPr>
                <w:rFonts w:cs="Calibri"/>
                <w:color w:val="000000" w:themeColor="text1"/>
                <w:sz w:val="13"/>
                <w:szCs w:val="13"/>
              </w:rPr>
            </w:pPr>
            <w:r w:rsidRPr="00F34223">
              <w:rPr>
                <w:rFonts w:cs="Calibri"/>
                <w:sz w:val="13"/>
                <w:szCs w:val="13"/>
              </w:rPr>
              <w:t>(640 553)</w:t>
            </w:r>
          </w:p>
        </w:tc>
        <w:tc>
          <w:tcPr>
            <w:tcW w:w="1418" w:type="dxa"/>
            <w:tcBorders>
              <w:top w:val="nil"/>
              <w:left w:val="single" w:sz="8" w:space="0" w:color="0077BD"/>
              <w:bottom w:val="single" w:sz="4" w:space="0" w:color="0077BD"/>
              <w:right w:val="nil"/>
            </w:tcBorders>
            <w:shd w:val="clear" w:color="auto" w:fill="auto"/>
            <w:noWrap/>
            <w:vAlign w:val="center"/>
            <w:hideMark/>
          </w:tcPr>
          <w:p w14:paraId="2C9FA389"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(565 209)</w:t>
            </w:r>
          </w:p>
        </w:tc>
      </w:tr>
      <w:tr w:rsidR="00F34223" w:rsidRPr="0068723D" w14:paraId="11B23525"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7BDDF5D"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klientów indywidualnych</w:t>
            </w:r>
          </w:p>
        </w:tc>
        <w:tc>
          <w:tcPr>
            <w:tcW w:w="1418" w:type="dxa"/>
            <w:tcBorders>
              <w:top w:val="nil"/>
              <w:left w:val="single" w:sz="8" w:space="0" w:color="0077BD"/>
              <w:bottom w:val="single" w:sz="4" w:space="0" w:color="0077BD"/>
              <w:right w:val="nil"/>
            </w:tcBorders>
            <w:shd w:val="clear" w:color="auto" w:fill="auto"/>
            <w:noWrap/>
            <w:vAlign w:val="center"/>
          </w:tcPr>
          <w:p w14:paraId="7A2EF42F" w14:textId="176818B4" w:rsidR="00F34223" w:rsidRPr="00F34223" w:rsidRDefault="00F34223" w:rsidP="00F34223">
            <w:pPr>
              <w:jc w:val="right"/>
              <w:rPr>
                <w:rFonts w:cs="Calibri"/>
                <w:color w:val="000000" w:themeColor="text1"/>
                <w:sz w:val="13"/>
                <w:szCs w:val="13"/>
              </w:rPr>
            </w:pPr>
            <w:r w:rsidRPr="00F34223">
              <w:rPr>
                <w:rFonts w:cs="Calibri"/>
                <w:sz w:val="13"/>
                <w:szCs w:val="13"/>
              </w:rPr>
              <w:t>(333 100)</w:t>
            </w:r>
          </w:p>
        </w:tc>
        <w:tc>
          <w:tcPr>
            <w:tcW w:w="1418" w:type="dxa"/>
            <w:tcBorders>
              <w:top w:val="nil"/>
              <w:left w:val="single" w:sz="8" w:space="0" w:color="0077BD"/>
              <w:bottom w:val="single" w:sz="4" w:space="0" w:color="0077BD"/>
              <w:right w:val="nil"/>
            </w:tcBorders>
            <w:shd w:val="clear" w:color="auto" w:fill="auto"/>
            <w:noWrap/>
            <w:vAlign w:val="center"/>
            <w:hideMark/>
          </w:tcPr>
          <w:p w14:paraId="765ABA83"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(284 255)</w:t>
            </w:r>
          </w:p>
        </w:tc>
      </w:tr>
      <w:tr w:rsidR="00F34223" w:rsidRPr="0068723D" w14:paraId="2722B946"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CAD8229"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klientów korporacyjnych</w:t>
            </w:r>
          </w:p>
        </w:tc>
        <w:tc>
          <w:tcPr>
            <w:tcW w:w="1418" w:type="dxa"/>
            <w:tcBorders>
              <w:top w:val="nil"/>
              <w:left w:val="single" w:sz="8" w:space="0" w:color="0077BD"/>
              <w:bottom w:val="single" w:sz="4" w:space="0" w:color="0077BD"/>
              <w:right w:val="nil"/>
            </w:tcBorders>
            <w:shd w:val="clear" w:color="auto" w:fill="auto"/>
            <w:noWrap/>
            <w:vAlign w:val="center"/>
          </w:tcPr>
          <w:p w14:paraId="2767682A" w14:textId="0F887F8B" w:rsidR="00F34223" w:rsidRPr="00F34223" w:rsidRDefault="00F34223" w:rsidP="00F34223">
            <w:pPr>
              <w:jc w:val="right"/>
              <w:rPr>
                <w:rFonts w:cs="Calibri"/>
                <w:color w:val="000000" w:themeColor="text1"/>
                <w:sz w:val="13"/>
                <w:szCs w:val="13"/>
              </w:rPr>
            </w:pPr>
            <w:r w:rsidRPr="00F34223">
              <w:rPr>
                <w:rFonts w:cs="Calibri"/>
                <w:sz w:val="13"/>
                <w:szCs w:val="13"/>
              </w:rPr>
              <w:t>(266 132)</w:t>
            </w:r>
          </w:p>
        </w:tc>
        <w:tc>
          <w:tcPr>
            <w:tcW w:w="1418" w:type="dxa"/>
            <w:tcBorders>
              <w:top w:val="nil"/>
              <w:left w:val="single" w:sz="8" w:space="0" w:color="0077BD"/>
              <w:bottom w:val="single" w:sz="4" w:space="0" w:color="0077BD"/>
              <w:right w:val="nil"/>
            </w:tcBorders>
            <w:shd w:val="clear" w:color="auto" w:fill="auto"/>
            <w:noWrap/>
            <w:vAlign w:val="center"/>
            <w:hideMark/>
          </w:tcPr>
          <w:p w14:paraId="4513E41B"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(241 688)</w:t>
            </w:r>
          </w:p>
        </w:tc>
      </w:tr>
      <w:tr w:rsidR="00F34223" w:rsidRPr="0068723D" w14:paraId="02FB7461" w14:textId="77777777" w:rsidTr="0080079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A2A879F" w14:textId="77777777" w:rsidR="00F34223" w:rsidRPr="0068723D" w:rsidRDefault="00F34223" w:rsidP="00F34223">
            <w:pPr>
              <w:rPr>
                <w:rFonts w:cs="Calibri"/>
                <w:color w:val="000000" w:themeColor="text1"/>
                <w:sz w:val="13"/>
                <w:szCs w:val="13"/>
              </w:rPr>
            </w:pPr>
            <w:r w:rsidRPr="0068723D">
              <w:rPr>
                <w:rFonts w:cs="Calibri"/>
                <w:color w:val="000000" w:themeColor="text1"/>
                <w:sz w:val="13"/>
                <w:szCs w:val="13"/>
              </w:rPr>
              <w:t xml:space="preserve"> - od sektora budżetowego</w:t>
            </w:r>
          </w:p>
        </w:tc>
        <w:tc>
          <w:tcPr>
            <w:tcW w:w="1418" w:type="dxa"/>
            <w:tcBorders>
              <w:top w:val="nil"/>
              <w:left w:val="single" w:sz="8" w:space="0" w:color="0077BD"/>
              <w:bottom w:val="single" w:sz="4" w:space="0" w:color="0077BD"/>
              <w:right w:val="nil"/>
            </w:tcBorders>
            <w:shd w:val="clear" w:color="auto" w:fill="auto"/>
            <w:noWrap/>
            <w:vAlign w:val="center"/>
          </w:tcPr>
          <w:p w14:paraId="4CA1CCC2" w14:textId="0291BC49" w:rsidR="00F34223" w:rsidRPr="00F34223" w:rsidRDefault="00F34223" w:rsidP="00F34223">
            <w:pPr>
              <w:jc w:val="right"/>
              <w:rPr>
                <w:rFonts w:cs="Calibri"/>
                <w:color w:val="000000" w:themeColor="text1"/>
                <w:sz w:val="13"/>
                <w:szCs w:val="13"/>
              </w:rPr>
            </w:pPr>
            <w:r w:rsidRPr="00F34223">
              <w:rPr>
                <w:rFonts w:cs="Calibri"/>
                <w:sz w:val="13"/>
                <w:szCs w:val="13"/>
              </w:rPr>
              <w:t>(41 321)</w:t>
            </w:r>
          </w:p>
        </w:tc>
        <w:tc>
          <w:tcPr>
            <w:tcW w:w="1418" w:type="dxa"/>
            <w:tcBorders>
              <w:top w:val="nil"/>
              <w:left w:val="single" w:sz="8" w:space="0" w:color="0077BD"/>
              <w:bottom w:val="single" w:sz="4" w:space="0" w:color="0077BD"/>
              <w:right w:val="nil"/>
            </w:tcBorders>
            <w:shd w:val="clear" w:color="auto" w:fill="auto"/>
            <w:noWrap/>
            <w:vAlign w:val="center"/>
            <w:hideMark/>
          </w:tcPr>
          <w:p w14:paraId="7638FAD3" w14:textId="77777777" w:rsidR="00F34223" w:rsidRPr="0068723D" w:rsidRDefault="00F34223" w:rsidP="00F34223">
            <w:pPr>
              <w:jc w:val="right"/>
              <w:rPr>
                <w:rFonts w:cs="Calibri"/>
                <w:color w:val="000000" w:themeColor="text1"/>
                <w:sz w:val="13"/>
                <w:szCs w:val="13"/>
              </w:rPr>
            </w:pPr>
            <w:r w:rsidRPr="0068723D">
              <w:rPr>
                <w:rFonts w:cs="Calibri"/>
                <w:color w:val="000000" w:themeColor="text1"/>
                <w:sz w:val="13"/>
                <w:szCs w:val="13"/>
              </w:rPr>
              <w:t>(39 266)</w:t>
            </w:r>
          </w:p>
        </w:tc>
      </w:tr>
      <w:tr w:rsidR="00F34223" w:rsidRPr="0068723D" w14:paraId="0C75D58E" w14:textId="77777777" w:rsidTr="0080079D">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3AC6D4E" w14:textId="77777777" w:rsidR="00F34223" w:rsidRPr="0068723D" w:rsidRDefault="00F34223" w:rsidP="00F34223">
            <w:pPr>
              <w:rPr>
                <w:rFonts w:cs="Calibri"/>
                <w:b/>
                <w:bCs/>
                <w:color w:val="000000" w:themeColor="text1"/>
                <w:sz w:val="13"/>
                <w:szCs w:val="13"/>
              </w:rPr>
            </w:pPr>
            <w:r w:rsidRPr="0068723D">
              <w:rPr>
                <w:rFonts w:cs="Calibri"/>
                <w:b/>
                <w:bCs/>
                <w:color w:val="000000" w:themeColor="text1"/>
                <w:sz w:val="13"/>
                <w:szCs w:val="13"/>
              </w:rPr>
              <w:t>Zobowiązania z tytułu emisji dłużnych papierów wartościowych</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8EA086E" w14:textId="2BF0E642" w:rsidR="00F34223" w:rsidRPr="00F34223" w:rsidRDefault="00F34223" w:rsidP="00F34223">
            <w:pPr>
              <w:jc w:val="right"/>
              <w:rPr>
                <w:rFonts w:cs="Calibri"/>
                <w:b/>
                <w:bCs/>
                <w:color w:val="000000" w:themeColor="text1"/>
                <w:sz w:val="13"/>
                <w:szCs w:val="13"/>
              </w:rPr>
            </w:pPr>
            <w:r w:rsidRPr="00F34223">
              <w:rPr>
                <w:rFonts w:cs="Calibri"/>
                <w:b/>
                <w:bCs/>
                <w:sz w:val="13"/>
                <w:szCs w:val="13"/>
              </w:rPr>
              <w:t>(294 266)</w:t>
            </w:r>
          </w:p>
        </w:tc>
        <w:tc>
          <w:tcPr>
            <w:tcW w:w="1418" w:type="dxa"/>
            <w:tcBorders>
              <w:top w:val="single" w:sz="8" w:space="0" w:color="0077BD"/>
              <w:left w:val="nil"/>
              <w:bottom w:val="single" w:sz="8" w:space="0" w:color="0077BD"/>
              <w:right w:val="nil"/>
            </w:tcBorders>
            <w:shd w:val="clear" w:color="auto" w:fill="auto"/>
            <w:vAlign w:val="center"/>
            <w:hideMark/>
          </w:tcPr>
          <w:p w14:paraId="15522C2F" w14:textId="77777777" w:rsidR="00F34223" w:rsidRPr="0068723D" w:rsidRDefault="00F34223" w:rsidP="00F34223">
            <w:pPr>
              <w:jc w:val="right"/>
              <w:rPr>
                <w:rFonts w:cs="Calibri"/>
                <w:b/>
                <w:bCs/>
                <w:color w:val="000000" w:themeColor="text1"/>
                <w:sz w:val="13"/>
                <w:szCs w:val="13"/>
              </w:rPr>
            </w:pPr>
            <w:r w:rsidRPr="0068723D">
              <w:rPr>
                <w:rFonts w:cs="Calibri"/>
                <w:b/>
                <w:bCs/>
                <w:color w:val="000000" w:themeColor="text1"/>
                <w:sz w:val="13"/>
                <w:szCs w:val="13"/>
              </w:rPr>
              <w:t>(318 870)</w:t>
            </w:r>
          </w:p>
        </w:tc>
      </w:tr>
      <w:tr w:rsidR="00F34223" w:rsidRPr="0068723D" w14:paraId="3FB50E70" w14:textId="77777777" w:rsidTr="0080079D">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1F8E6A4D" w14:textId="77777777" w:rsidR="00F34223" w:rsidRPr="0068723D" w:rsidRDefault="00F34223" w:rsidP="00F34223">
            <w:pPr>
              <w:rPr>
                <w:rFonts w:cs="Calibri"/>
                <w:b/>
                <w:bCs/>
                <w:color w:val="000000" w:themeColor="text1"/>
                <w:sz w:val="13"/>
                <w:szCs w:val="13"/>
              </w:rPr>
            </w:pPr>
            <w:r w:rsidRPr="0068723D">
              <w:rPr>
                <w:rFonts w:cs="Calibri"/>
                <w:b/>
                <w:bCs/>
                <w:color w:val="000000" w:themeColor="text1"/>
                <w:sz w:val="13"/>
                <w:szCs w:val="13"/>
              </w:rPr>
              <w:t>Zobowiązania podporządkowane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3590CAEA" w14:textId="53BE2C1F" w:rsidR="00F34223" w:rsidRPr="00F34223" w:rsidRDefault="00F34223" w:rsidP="00F34223">
            <w:pPr>
              <w:jc w:val="right"/>
              <w:rPr>
                <w:rFonts w:cs="Calibri"/>
                <w:b/>
                <w:bCs/>
                <w:color w:val="000000" w:themeColor="text1"/>
                <w:sz w:val="13"/>
                <w:szCs w:val="13"/>
              </w:rPr>
            </w:pPr>
            <w:r w:rsidRPr="00F34223">
              <w:rPr>
                <w:rFonts w:cs="Calibri"/>
                <w:b/>
                <w:bCs/>
                <w:sz w:val="13"/>
                <w:szCs w:val="13"/>
              </w:rPr>
              <w:t>(76 167)</w:t>
            </w:r>
          </w:p>
        </w:tc>
        <w:tc>
          <w:tcPr>
            <w:tcW w:w="1418" w:type="dxa"/>
            <w:tcBorders>
              <w:top w:val="nil"/>
              <w:left w:val="nil"/>
              <w:bottom w:val="single" w:sz="8" w:space="0" w:color="0077BD"/>
              <w:right w:val="nil"/>
            </w:tcBorders>
            <w:shd w:val="clear" w:color="auto" w:fill="auto"/>
            <w:vAlign w:val="center"/>
            <w:hideMark/>
          </w:tcPr>
          <w:p w14:paraId="0EC53CAA" w14:textId="77777777" w:rsidR="00F34223" w:rsidRPr="0068723D" w:rsidRDefault="00F34223" w:rsidP="00F34223">
            <w:pPr>
              <w:jc w:val="right"/>
              <w:rPr>
                <w:rFonts w:cs="Calibri"/>
                <w:b/>
                <w:bCs/>
                <w:color w:val="000000" w:themeColor="text1"/>
                <w:sz w:val="13"/>
                <w:szCs w:val="13"/>
              </w:rPr>
            </w:pPr>
            <w:r w:rsidRPr="0068723D">
              <w:rPr>
                <w:rFonts w:cs="Calibri"/>
                <w:b/>
                <w:bCs/>
                <w:color w:val="000000" w:themeColor="text1"/>
                <w:sz w:val="13"/>
                <w:szCs w:val="13"/>
              </w:rPr>
              <w:t>(75 300)</w:t>
            </w:r>
          </w:p>
        </w:tc>
      </w:tr>
      <w:tr w:rsidR="00F34223" w:rsidRPr="0068723D" w14:paraId="2CA9022F" w14:textId="77777777" w:rsidTr="0080079D">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1FF7BFDF" w14:textId="77777777" w:rsidR="00F34223" w:rsidRPr="0068723D" w:rsidRDefault="00F34223" w:rsidP="00F34223">
            <w:pPr>
              <w:rPr>
                <w:rFonts w:cs="Calibri"/>
                <w:b/>
                <w:bCs/>
                <w:color w:val="000000" w:themeColor="text1"/>
                <w:sz w:val="13"/>
                <w:szCs w:val="13"/>
              </w:rPr>
            </w:pPr>
            <w:r w:rsidRPr="0068723D">
              <w:rPr>
                <w:rFonts w:cs="Calibri"/>
                <w:b/>
                <w:bCs/>
                <w:color w:val="000000" w:themeColor="text1"/>
                <w:sz w:val="13"/>
                <w:szCs w:val="13"/>
              </w:rPr>
              <w:t>Koszty odsetek, razem</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7E88980A" w14:textId="41AF904E" w:rsidR="00F34223" w:rsidRPr="00F34223" w:rsidRDefault="00F34223" w:rsidP="00F34223">
            <w:pPr>
              <w:jc w:val="right"/>
              <w:rPr>
                <w:rFonts w:cs="Calibri"/>
                <w:b/>
                <w:bCs/>
                <w:color w:val="000000" w:themeColor="text1"/>
                <w:sz w:val="13"/>
                <w:szCs w:val="13"/>
              </w:rPr>
            </w:pPr>
            <w:r w:rsidRPr="00F34223">
              <w:rPr>
                <w:rFonts w:cs="Calibri"/>
                <w:b/>
                <w:bCs/>
                <w:sz w:val="13"/>
                <w:szCs w:val="13"/>
              </w:rPr>
              <w:t>(1 068 892)</w:t>
            </w:r>
          </w:p>
        </w:tc>
        <w:tc>
          <w:tcPr>
            <w:tcW w:w="1418" w:type="dxa"/>
            <w:tcBorders>
              <w:top w:val="nil"/>
              <w:left w:val="nil"/>
              <w:bottom w:val="single" w:sz="8" w:space="0" w:color="0077BD"/>
              <w:right w:val="nil"/>
            </w:tcBorders>
            <w:shd w:val="clear" w:color="auto" w:fill="auto"/>
            <w:vAlign w:val="center"/>
            <w:hideMark/>
          </w:tcPr>
          <w:p w14:paraId="593DA327" w14:textId="77777777" w:rsidR="00F34223" w:rsidRPr="0068723D" w:rsidRDefault="00F34223" w:rsidP="00F34223">
            <w:pPr>
              <w:jc w:val="right"/>
              <w:rPr>
                <w:rFonts w:cs="Calibri"/>
                <w:b/>
                <w:bCs/>
                <w:color w:val="000000" w:themeColor="text1"/>
                <w:sz w:val="13"/>
                <w:szCs w:val="13"/>
              </w:rPr>
            </w:pPr>
            <w:r w:rsidRPr="0068723D">
              <w:rPr>
                <w:rFonts w:cs="Calibri"/>
                <w:b/>
                <w:bCs/>
                <w:color w:val="000000" w:themeColor="text1"/>
                <w:sz w:val="13"/>
                <w:szCs w:val="13"/>
              </w:rPr>
              <w:t>(1 021 716)</w:t>
            </w:r>
          </w:p>
        </w:tc>
      </w:tr>
    </w:tbl>
    <w:p w14:paraId="68F473CD" w14:textId="77777777" w:rsidR="004829D1" w:rsidRDefault="004829D1" w:rsidP="003F6F61">
      <w:pPr>
        <w:rPr>
          <w:rFonts w:cs="Tahoma"/>
          <w:color w:val="201C17"/>
          <w:sz w:val="18"/>
          <w:szCs w:val="18"/>
        </w:rPr>
      </w:pPr>
    </w:p>
    <w:p w14:paraId="050B6EE5" w14:textId="77777777" w:rsidR="003F6F61" w:rsidRDefault="003F6F61"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20" w:name="_Toc32999838"/>
      <w:r>
        <w:rPr>
          <w:rFonts w:cs="Tahoma"/>
          <w:bCs w:val="0"/>
          <w:iCs w:val="0"/>
          <w:color w:val="E41E0A"/>
          <w:sz w:val="18"/>
          <w:szCs w:val="18"/>
        </w:rPr>
        <w:t>Wynik z tytułu opłat i prowizji</w:t>
      </w:r>
      <w:bookmarkEnd w:id="120"/>
    </w:p>
    <w:p w14:paraId="22A9FE7E" w14:textId="77777777" w:rsidR="003F6F61" w:rsidRPr="00DB29D1" w:rsidRDefault="003F6F61" w:rsidP="00DB29D1"/>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B27780" w14:paraId="6AE068EF" w14:textId="77777777" w:rsidTr="00671813">
        <w:trPr>
          <w:trHeight w:val="284"/>
        </w:trPr>
        <w:tc>
          <w:tcPr>
            <w:tcW w:w="6747" w:type="dxa"/>
            <w:vMerge w:val="restart"/>
            <w:tcBorders>
              <w:top w:val="nil"/>
              <w:left w:val="nil"/>
              <w:right w:val="single" w:sz="8" w:space="0" w:color="FFFFFF"/>
            </w:tcBorders>
            <w:shd w:val="clear" w:color="000000" w:fill="0077BD"/>
            <w:vAlign w:val="center"/>
            <w:hideMark/>
          </w:tcPr>
          <w:p w14:paraId="1E03255E" w14:textId="78C82DF5" w:rsidR="00631017" w:rsidRPr="00B27780" w:rsidRDefault="00631017" w:rsidP="00B27780">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79BD367E" w14:textId="77777777" w:rsidR="00631017" w:rsidRPr="00B27780" w:rsidRDefault="00631017" w:rsidP="00B27780">
            <w:pPr>
              <w:jc w:val="right"/>
              <w:rPr>
                <w:rFonts w:cs="Calibri"/>
                <w:b/>
                <w:bCs/>
                <w:color w:val="FFFFFF"/>
                <w:sz w:val="13"/>
                <w:szCs w:val="13"/>
              </w:rPr>
            </w:pPr>
            <w:r w:rsidRPr="00B27780">
              <w:rPr>
                <w:rFonts w:cs="Calibri"/>
                <w:b/>
                <w:bCs/>
                <w:color w:val="FFFFFF"/>
                <w:sz w:val="13"/>
                <w:szCs w:val="13"/>
              </w:rPr>
              <w:t>Rok kończący się 31 grudnia</w:t>
            </w:r>
          </w:p>
        </w:tc>
      </w:tr>
      <w:tr w:rsidR="00631017" w:rsidRPr="00B27780" w14:paraId="5B143FD3" w14:textId="77777777" w:rsidTr="00671813">
        <w:trPr>
          <w:trHeight w:val="284"/>
        </w:trPr>
        <w:tc>
          <w:tcPr>
            <w:tcW w:w="6747" w:type="dxa"/>
            <w:vMerge/>
            <w:tcBorders>
              <w:left w:val="nil"/>
              <w:right w:val="single" w:sz="8" w:space="0" w:color="FFFFFF"/>
            </w:tcBorders>
            <w:shd w:val="clear" w:color="000000" w:fill="0077BD"/>
            <w:vAlign w:val="center"/>
            <w:hideMark/>
          </w:tcPr>
          <w:p w14:paraId="3E26834C" w14:textId="16239086" w:rsidR="00631017" w:rsidRPr="00B27780" w:rsidRDefault="00631017" w:rsidP="00B27780">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6687D8CB" w14:textId="77777777" w:rsidR="00631017" w:rsidRPr="00B27780" w:rsidRDefault="00631017" w:rsidP="00B27780">
            <w:pPr>
              <w:jc w:val="right"/>
              <w:rPr>
                <w:rFonts w:cs="Calibri"/>
                <w:b/>
                <w:bCs/>
                <w:color w:val="FFFFFF"/>
                <w:sz w:val="13"/>
                <w:szCs w:val="13"/>
              </w:rPr>
            </w:pPr>
            <w:r w:rsidRPr="00B27780">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0494C9F4" w14:textId="77777777" w:rsidR="00631017" w:rsidRPr="00B27780" w:rsidRDefault="00631017" w:rsidP="00B27780">
            <w:pPr>
              <w:jc w:val="right"/>
              <w:rPr>
                <w:rFonts w:cs="Calibri"/>
                <w:b/>
                <w:bCs/>
                <w:color w:val="FFFFFF"/>
                <w:sz w:val="13"/>
                <w:szCs w:val="13"/>
              </w:rPr>
            </w:pPr>
            <w:r w:rsidRPr="00B27780">
              <w:rPr>
                <w:rFonts w:cs="Calibri"/>
                <w:b/>
                <w:bCs/>
                <w:color w:val="FFFFFF"/>
                <w:sz w:val="13"/>
                <w:szCs w:val="13"/>
              </w:rPr>
              <w:t>2018</w:t>
            </w:r>
          </w:p>
        </w:tc>
      </w:tr>
      <w:tr w:rsidR="001B43A4" w:rsidRPr="0068723D" w14:paraId="7226C06F" w14:textId="77777777" w:rsidTr="001B43A4">
        <w:trPr>
          <w:trHeight w:val="284"/>
        </w:trPr>
        <w:tc>
          <w:tcPr>
            <w:tcW w:w="6747" w:type="dxa"/>
            <w:tcBorders>
              <w:left w:val="nil"/>
              <w:bottom w:val="single" w:sz="8" w:space="0" w:color="0077BD"/>
              <w:right w:val="nil"/>
            </w:tcBorders>
            <w:shd w:val="clear" w:color="000000" w:fill="FFFFFF"/>
            <w:vAlign w:val="center"/>
            <w:hideMark/>
          </w:tcPr>
          <w:p w14:paraId="32E1659C" w14:textId="77777777" w:rsidR="00B27780" w:rsidRPr="0068723D" w:rsidRDefault="00B27780" w:rsidP="00B27780">
            <w:pPr>
              <w:rPr>
                <w:rFonts w:cs="Calibri"/>
                <w:b/>
                <w:bCs/>
                <w:color w:val="000000" w:themeColor="text1"/>
                <w:sz w:val="13"/>
                <w:szCs w:val="13"/>
              </w:rPr>
            </w:pPr>
            <w:r w:rsidRPr="0068723D">
              <w:rPr>
                <w:rFonts w:cs="Calibri"/>
                <w:b/>
                <w:bCs/>
                <w:color w:val="000000" w:themeColor="text1"/>
                <w:sz w:val="13"/>
                <w:szCs w:val="13"/>
              </w:rPr>
              <w:t>Przychody z tytułu opłat i prowizji</w:t>
            </w:r>
          </w:p>
        </w:tc>
        <w:tc>
          <w:tcPr>
            <w:tcW w:w="1418" w:type="dxa"/>
            <w:tcBorders>
              <w:left w:val="nil"/>
              <w:bottom w:val="single" w:sz="8" w:space="0" w:color="0077BD"/>
              <w:right w:val="nil"/>
            </w:tcBorders>
            <w:shd w:val="clear" w:color="000000" w:fill="FFFFFF"/>
            <w:noWrap/>
            <w:vAlign w:val="center"/>
          </w:tcPr>
          <w:p w14:paraId="0C03D0FD" w14:textId="7EEEB42A" w:rsidR="00B27780" w:rsidRPr="0068723D" w:rsidRDefault="00B27780" w:rsidP="00B27780">
            <w:pPr>
              <w:rPr>
                <w:rFonts w:cs="Calibri"/>
                <w:b/>
                <w:bCs/>
                <w:color w:val="000000" w:themeColor="text1"/>
                <w:sz w:val="13"/>
                <w:szCs w:val="13"/>
              </w:rPr>
            </w:pPr>
          </w:p>
        </w:tc>
        <w:tc>
          <w:tcPr>
            <w:tcW w:w="1418" w:type="dxa"/>
            <w:tcBorders>
              <w:left w:val="nil"/>
              <w:bottom w:val="single" w:sz="8" w:space="0" w:color="0077BD"/>
              <w:right w:val="nil"/>
            </w:tcBorders>
            <w:shd w:val="clear" w:color="000000" w:fill="FFFFFF"/>
            <w:noWrap/>
            <w:vAlign w:val="center"/>
          </w:tcPr>
          <w:p w14:paraId="0975400C" w14:textId="0AABE14B" w:rsidR="00B27780" w:rsidRPr="0068723D" w:rsidRDefault="00B27780" w:rsidP="00B27780">
            <w:pPr>
              <w:rPr>
                <w:rFonts w:cs="Calibri"/>
                <w:b/>
                <w:bCs/>
                <w:color w:val="000000" w:themeColor="text1"/>
                <w:sz w:val="13"/>
                <w:szCs w:val="13"/>
              </w:rPr>
            </w:pPr>
          </w:p>
        </w:tc>
      </w:tr>
      <w:tr w:rsidR="00100E69" w:rsidRPr="0068723D" w14:paraId="70799524"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3B14561"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za obsługę kart płatniczych</w:t>
            </w:r>
          </w:p>
        </w:tc>
        <w:tc>
          <w:tcPr>
            <w:tcW w:w="1418" w:type="dxa"/>
            <w:tcBorders>
              <w:top w:val="nil"/>
              <w:left w:val="single" w:sz="8" w:space="0" w:color="0077BD"/>
              <w:bottom w:val="single" w:sz="4" w:space="0" w:color="0077BD"/>
              <w:right w:val="nil"/>
            </w:tcBorders>
            <w:shd w:val="clear" w:color="auto" w:fill="auto"/>
            <w:noWrap/>
            <w:vAlign w:val="center"/>
          </w:tcPr>
          <w:p w14:paraId="52BF792C" w14:textId="50F36D5C"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435 878</w:t>
            </w:r>
          </w:p>
        </w:tc>
        <w:tc>
          <w:tcPr>
            <w:tcW w:w="1418" w:type="dxa"/>
            <w:tcBorders>
              <w:top w:val="nil"/>
              <w:left w:val="single" w:sz="8" w:space="0" w:color="0077BD"/>
              <w:bottom w:val="single" w:sz="4" w:space="0" w:color="0077BD"/>
              <w:right w:val="nil"/>
            </w:tcBorders>
            <w:shd w:val="clear" w:color="auto" w:fill="auto"/>
            <w:noWrap/>
            <w:vAlign w:val="center"/>
            <w:hideMark/>
          </w:tcPr>
          <w:p w14:paraId="16986C25"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389 950</w:t>
            </w:r>
          </w:p>
        </w:tc>
      </w:tr>
      <w:tr w:rsidR="00100E69" w:rsidRPr="0068723D" w14:paraId="3EBCA8B4"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35B6DC8"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Opłaty i prowizje z tytułu działalności kredytowej</w:t>
            </w:r>
          </w:p>
        </w:tc>
        <w:tc>
          <w:tcPr>
            <w:tcW w:w="1418" w:type="dxa"/>
            <w:tcBorders>
              <w:top w:val="nil"/>
              <w:left w:val="single" w:sz="8" w:space="0" w:color="0077BD"/>
              <w:bottom w:val="single" w:sz="4" w:space="0" w:color="0077BD"/>
              <w:right w:val="nil"/>
            </w:tcBorders>
            <w:shd w:val="clear" w:color="auto" w:fill="auto"/>
            <w:noWrap/>
            <w:vAlign w:val="center"/>
          </w:tcPr>
          <w:p w14:paraId="658F541E" w14:textId="25B74A0D"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417 888</w:t>
            </w:r>
          </w:p>
        </w:tc>
        <w:tc>
          <w:tcPr>
            <w:tcW w:w="1418" w:type="dxa"/>
            <w:tcBorders>
              <w:top w:val="nil"/>
              <w:left w:val="single" w:sz="8" w:space="0" w:color="0077BD"/>
              <w:bottom w:val="single" w:sz="4" w:space="0" w:color="0077BD"/>
              <w:right w:val="nil"/>
            </w:tcBorders>
            <w:shd w:val="clear" w:color="auto" w:fill="auto"/>
            <w:noWrap/>
            <w:vAlign w:val="center"/>
            <w:hideMark/>
          </w:tcPr>
          <w:p w14:paraId="469AE128" w14:textId="15D69A7A"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370 554</w:t>
            </w:r>
          </w:p>
        </w:tc>
      </w:tr>
      <w:tr w:rsidR="00D03285" w:rsidRPr="0068723D" w14:paraId="52A41CBB" w14:textId="77777777" w:rsidTr="00D03285">
        <w:trPr>
          <w:trHeight w:val="284"/>
        </w:trPr>
        <w:tc>
          <w:tcPr>
            <w:tcW w:w="6747" w:type="dxa"/>
            <w:tcBorders>
              <w:top w:val="nil"/>
              <w:left w:val="nil"/>
              <w:bottom w:val="single" w:sz="4" w:space="0" w:color="0077BD"/>
              <w:right w:val="single" w:sz="8" w:space="0" w:color="0077BD"/>
            </w:tcBorders>
            <w:shd w:val="clear" w:color="auto" w:fill="auto"/>
            <w:vAlign w:val="center"/>
          </w:tcPr>
          <w:p w14:paraId="51B05DFA" w14:textId="56A17CCD" w:rsidR="00D03285" w:rsidRPr="0068723D" w:rsidRDefault="00D03285" w:rsidP="00D03285">
            <w:pPr>
              <w:rPr>
                <w:rFonts w:cs="Calibri"/>
                <w:color w:val="000000" w:themeColor="text1"/>
                <w:sz w:val="13"/>
                <w:szCs w:val="13"/>
              </w:rPr>
            </w:pPr>
            <w:r w:rsidRPr="0068723D">
              <w:rPr>
                <w:rFonts w:cs="Calibri"/>
                <w:color w:val="000000" w:themeColor="text1"/>
                <w:sz w:val="13"/>
                <w:szCs w:val="13"/>
              </w:rPr>
              <w:t>Prowizje za prowadzenie rachunków</w:t>
            </w:r>
          </w:p>
        </w:tc>
        <w:tc>
          <w:tcPr>
            <w:tcW w:w="1418" w:type="dxa"/>
            <w:tcBorders>
              <w:top w:val="nil"/>
              <w:left w:val="single" w:sz="8" w:space="0" w:color="0077BD"/>
              <w:bottom w:val="single" w:sz="4" w:space="0" w:color="0077BD"/>
              <w:right w:val="nil"/>
            </w:tcBorders>
            <w:shd w:val="clear" w:color="auto" w:fill="auto"/>
            <w:noWrap/>
            <w:vAlign w:val="center"/>
          </w:tcPr>
          <w:p w14:paraId="76122EC9" w14:textId="7D0CA9B8" w:rsidR="00D03285" w:rsidRPr="0068723D" w:rsidRDefault="00D03285" w:rsidP="00D03285">
            <w:pPr>
              <w:jc w:val="right"/>
              <w:rPr>
                <w:rFonts w:cs="Calibri"/>
                <w:color w:val="000000" w:themeColor="text1"/>
                <w:sz w:val="13"/>
                <w:szCs w:val="13"/>
              </w:rPr>
            </w:pPr>
            <w:r w:rsidRPr="0068723D">
              <w:rPr>
                <w:rFonts w:cs="Calibri"/>
                <w:color w:val="000000" w:themeColor="text1"/>
                <w:sz w:val="13"/>
                <w:szCs w:val="13"/>
              </w:rPr>
              <w:t>210 930</w:t>
            </w:r>
          </w:p>
        </w:tc>
        <w:tc>
          <w:tcPr>
            <w:tcW w:w="1418" w:type="dxa"/>
            <w:tcBorders>
              <w:top w:val="nil"/>
              <w:left w:val="single" w:sz="8" w:space="0" w:color="0077BD"/>
              <w:bottom w:val="single" w:sz="4" w:space="0" w:color="0077BD"/>
              <w:right w:val="nil"/>
            </w:tcBorders>
            <w:shd w:val="clear" w:color="auto" w:fill="auto"/>
            <w:noWrap/>
            <w:vAlign w:val="center"/>
          </w:tcPr>
          <w:p w14:paraId="3299D599" w14:textId="69D8005C" w:rsidR="00D03285" w:rsidRPr="0068723D" w:rsidRDefault="00D03285" w:rsidP="00D03285">
            <w:pPr>
              <w:jc w:val="right"/>
              <w:rPr>
                <w:rFonts w:cs="Calibri"/>
                <w:color w:val="000000" w:themeColor="text1"/>
                <w:sz w:val="13"/>
                <w:szCs w:val="13"/>
              </w:rPr>
            </w:pPr>
            <w:r w:rsidRPr="0068723D">
              <w:rPr>
                <w:rFonts w:cs="Calibri"/>
                <w:color w:val="000000" w:themeColor="text1"/>
                <w:sz w:val="13"/>
                <w:szCs w:val="13"/>
              </w:rPr>
              <w:t>207 941</w:t>
            </w:r>
          </w:p>
        </w:tc>
      </w:tr>
      <w:tr w:rsidR="00D03285" w:rsidRPr="0068723D" w14:paraId="7E1C6540" w14:textId="77777777" w:rsidTr="00D03285">
        <w:trPr>
          <w:trHeight w:val="284"/>
        </w:trPr>
        <w:tc>
          <w:tcPr>
            <w:tcW w:w="6747" w:type="dxa"/>
            <w:tcBorders>
              <w:top w:val="nil"/>
              <w:left w:val="nil"/>
              <w:bottom w:val="single" w:sz="4" w:space="0" w:color="0077BD"/>
              <w:right w:val="single" w:sz="8" w:space="0" w:color="0077BD"/>
            </w:tcBorders>
            <w:shd w:val="clear" w:color="auto" w:fill="auto"/>
            <w:vAlign w:val="center"/>
          </w:tcPr>
          <w:p w14:paraId="7CEF1D14" w14:textId="0C3DB864" w:rsidR="00D03285" w:rsidRPr="0068723D" w:rsidRDefault="00D03285" w:rsidP="00D03285">
            <w:pPr>
              <w:rPr>
                <w:rFonts w:cs="Calibri"/>
                <w:color w:val="000000" w:themeColor="text1"/>
                <w:sz w:val="13"/>
                <w:szCs w:val="13"/>
              </w:rPr>
            </w:pPr>
            <w:r w:rsidRPr="0068723D">
              <w:rPr>
                <w:rFonts w:cs="Calibri"/>
                <w:color w:val="000000" w:themeColor="text1"/>
                <w:sz w:val="13"/>
                <w:szCs w:val="13"/>
              </w:rPr>
              <w:t>Prowizje za realizację przelewów</w:t>
            </w:r>
          </w:p>
        </w:tc>
        <w:tc>
          <w:tcPr>
            <w:tcW w:w="1418" w:type="dxa"/>
            <w:tcBorders>
              <w:top w:val="nil"/>
              <w:left w:val="single" w:sz="8" w:space="0" w:color="0077BD"/>
              <w:bottom w:val="single" w:sz="4" w:space="0" w:color="0077BD"/>
              <w:right w:val="nil"/>
            </w:tcBorders>
            <w:shd w:val="clear" w:color="auto" w:fill="auto"/>
            <w:noWrap/>
            <w:vAlign w:val="center"/>
          </w:tcPr>
          <w:p w14:paraId="7C3B7EB9" w14:textId="1E92C7D4" w:rsidR="00D03285" w:rsidRPr="0068723D" w:rsidRDefault="00D03285" w:rsidP="00D03285">
            <w:pPr>
              <w:jc w:val="right"/>
              <w:rPr>
                <w:rFonts w:cs="Calibri"/>
                <w:color w:val="000000" w:themeColor="text1"/>
                <w:sz w:val="13"/>
                <w:szCs w:val="13"/>
              </w:rPr>
            </w:pPr>
            <w:r w:rsidRPr="0068723D">
              <w:rPr>
                <w:rFonts w:cs="Calibri"/>
                <w:color w:val="000000" w:themeColor="text1"/>
                <w:sz w:val="13"/>
                <w:szCs w:val="13"/>
              </w:rPr>
              <w:t>145 841</w:t>
            </w:r>
          </w:p>
        </w:tc>
        <w:tc>
          <w:tcPr>
            <w:tcW w:w="1418" w:type="dxa"/>
            <w:tcBorders>
              <w:top w:val="nil"/>
              <w:left w:val="single" w:sz="8" w:space="0" w:color="0077BD"/>
              <w:bottom w:val="single" w:sz="4" w:space="0" w:color="0077BD"/>
              <w:right w:val="nil"/>
            </w:tcBorders>
            <w:shd w:val="clear" w:color="auto" w:fill="auto"/>
            <w:noWrap/>
            <w:vAlign w:val="center"/>
          </w:tcPr>
          <w:p w14:paraId="11798628" w14:textId="0008D3E8" w:rsidR="00D03285" w:rsidRPr="0068723D" w:rsidRDefault="00D03285" w:rsidP="00D03285">
            <w:pPr>
              <w:jc w:val="right"/>
              <w:rPr>
                <w:rFonts w:cs="Calibri"/>
                <w:color w:val="000000" w:themeColor="text1"/>
                <w:sz w:val="13"/>
                <w:szCs w:val="13"/>
              </w:rPr>
            </w:pPr>
            <w:r w:rsidRPr="0068723D">
              <w:rPr>
                <w:rFonts w:cs="Calibri"/>
                <w:color w:val="000000" w:themeColor="text1"/>
                <w:sz w:val="13"/>
                <w:szCs w:val="13"/>
              </w:rPr>
              <w:t>133 297</w:t>
            </w:r>
          </w:p>
        </w:tc>
      </w:tr>
      <w:tr w:rsidR="00100E69" w:rsidRPr="0068723D" w14:paraId="29DC8775"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66A0CDD1"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za pośrednictwo w sprzedaży produktów ubezpieczeniowych zewnętrznych podmiotów finansowych</w:t>
            </w:r>
          </w:p>
        </w:tc>
        <w:tc>
          <w:tcPr>
            <w:tcW w:w="1418" w:type="dxa"/>
            <w:tcBorders>
              <w:top w:val="nil"/>
              <w:left w:val="single" w:sz="8" w:space="0" w:color="0077BD"/>
              <w:bottom w:val="single" w:sz="4" w:space="0" w:color="0077BD"/>
              <w:right w:val="nil"/>
            </w:tcBorders>
            <w:shd w:val="clear" w:color="auto" w:fill="auto"/>
            <w:noWrap/>
            <w:vAlign w:val="center"/>
          </w:tcPr>
          <w:p w14:paraId="4204AF41" w14:textId="03A09038"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100 424</w:t>
            </w:r>
          </w:p>
        </w:tc>
        <w:tc>
          <w:tcPr>
            <w:tcW w:w="1418" w:type="dxa"/>
            <w:tcBorders>
              <w:top w:val="nil"/>
              <w:left w:val="single" w:sz="8" w:space="0" w:color="0077BD"/>
              <w:bottom w:val="single" w:sz="4" w:space="0" w:color="0077BD"/>
              <w:right w:val="nil"/>
            </w:tcBorders>
            <w:shd w:val="clear" w:color="auto" w:fill="auto"/>
            <w:noWrap/>
            <w:vAlign w:val="center"/>
            <w:hideMark/>
          </w:tcPr>
          <w:p w14:paraId="48C432C5"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100 639</w:t>
            </w:r>
          </w:p>
        </w:tc>
      </w:tr>
      <w:tr w:rsidR="00100E69" w:rsidRPr="0068723D" w14:paraId="7D537502"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C456FD2"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 tytułu działalności maklerskiej i za organizację emisji</w:t>
            </w:r>
          </w:p>
        </w:tc>
        <w:tc>
          <w:tcPr>
            <w:tcW w:w="1418" w:type="dxa"/>
            <w:tcBorders>
              <w:top w:val="nil"/>
              <w:left w:val="single" w:sz="8" w:space="0" w:color="0077BD"/>
              <w:bottom w:val="single" w:sz="4" w:space="0" w:color="0077BD"/>
              <w:right w:val="nil"/>
            </w:tcBorders>
            <w:shd w:val="clear" w:color="auto" w:fill="auto"/>
            <w:noWrap/>
            <w:vAlign w:val="center"/>
          </w:tcPr>
          <w:p w14:paraId="5EDF765F" w14:textId="41C9705D"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86 996</w:t>
            </w:r>
          </w:p>
        </w:tc>
        <w:tc>
          <w:tcPr>
            <w:tcW w:w="1418" w:type="dxa"/>
            <w:tcBorders>
              <w:top w:val="nil"/>
              <w:left w:val="single" w:sz="8" w:space="0" w:color="0077BD"/>
              <w:bottom w:val="single" w:sz="4" w:space="0" w:color="0077BD"/>
              <w:right w:val="nil"/>
            </w:tcBorders>
            <w:shd w:val="clear" w:color="auto" w:fill="auto"/>
            <w:noWrap/>
            <w:vAlign w:val="center"/>
            <w:hideMark/>
          </w:tcPr>
          <w:p w14:paraId="3DCD055C"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104 494</w:t>
            </w:r>
          </w:p>
        </w:tc>
      </w:tr>
      <w:tr w:rsidR="00100E69" w:rsidRPr="0068723D" w14:paraId="69FB0549"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F9CDE24"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 tytułu udzielonych gwarancji oraz operacji dokumentowych</w:t>
            </w:r>
          </w:p>
        </w:tc>
        <w:tc>
          <w:tcPr>
            <w:tcW w:w="1418" w:type="dxa"/>
            <w:tcBorders>
              <w:top w:val="nil"/>
              <w:left w:val="single" w:sz="8" w:space="0" w:color="0077BD"/>
              <w:bottom w:val="single" w:sz="4" w:space="0" w:color="0077BD"/>
              <w:right w:val="nil"/>
            </w:tcBorders>
            <w:shd w:val="clear" w:color="auto" w:fill="auto"/>
            <w:noWrap/>
            <w:vAlign w:val="center"/>
          </w:tcPr>
          <w:p w14:paraId="70030D60" w14:textId="5A4A09D1"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93 017</w:t>
            </w:r>
          </w:p>
        </w:tc>
        <w:tc>
          <w:tcPr>
            <w:tcW w:w="1418" w:type="dxa"/>
            <w:tcBorders>
              <w:top w:val="nil"/>
              <w:left w:val="single" w:sz="8" w:space="0" w:color="0077BD"/>
              <w:bottom w:val="single" w:sz="4" w:space="0" w:color="0077BD"/>
              <w:right w:val="nil"/>
            </w:tcBorders>
            <w:shd w:val="clear" w:color="auto" w:fill="auto"/>
            <w:noWrap/>
            <w:vAlign w:val="center"/>
            <w:hideMark/>
          </w:tcPr>
          <w:p w14:paraId="40251748"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84 727</w:t>
            </w:r>
          </w:p>
        </w:tc>
      </w:tr>
      <w:tr w:rsidR="00100E69" w:rsidRPr="0068723D" w14:paraId="16FDC0E1"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E06C372"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za pośrednictwo w sprzedaży innych produktów zewnętrznych podmiotów finansowych</w:t>
            </w:r>
          </w:p>
        </w:tc>
        <w:tc>
          <w:tcPr>
            <w:tcW w:w="1418" w:type="dxa"/>
            <w:tcBorders>
              <w:top w:val="nil"/>
              <w:left w:val="single" w:sz="8" w:space="0" w:color="0077BD"/>
              <w:bottom w:val="single" w:sz="4" w:space="0" w:color="0077BD"/>
              <w:right w:val="nil"/>
            </w:tcBorders>
            <w:shd w:val="clear" w:color="auto" w:fill="auto"/>
            <w:noWrap/>
            <w:vAlign w:val="center"/>
          </w:tcPr>
          <w:p w14:paraId="4484C4E8" w14:textId="65677735"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82 151</w:t>
            </w:r>
          </w:p>
        </w:tc>
        <w:tc>
          <w:tcPr>
            <w:tcW w:w="1418" w:type="dxa"/>
            <w:tcBorders>
              <w:top w:val="nil"/>
              <w:left w:val="single" w:sz="8" w:space="0" w:color="0077BD"/>
              <w:bottom w:val="single" w:sz="4" w:space="0" w:color="0077BD"/>
              <w:right w:val="nil"/>
            </w:tcBorders>
            <w:shd w:val="clear" w:color="auto" w:fill="auto"/>
            <w:noWrap/>
            <w:vAlign w:val="center"/>
            <w:hideMark/>
          </w:tcPr>
          <w:p w14:paraId="3482BF9D"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103 189</w:t>
            </w:r>
          </w:p>
        </w:tc>
      </w:tr>
      <w:tr w:rsidR="00100E69" w:rsidRPr="0068723D" w14:paraId="622EB1D0"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FDD3F39"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 działalności powierniczej</w:t>
            </w:r>
          </w:p>
        </w:tc>
        <w:tc>
          <w:tcPr>
            <w:tcW w:w="1418" w:type="dxa"/>
            <w:tcBorders>
              <w:top w:val="nil"/>
              <w:left w:val="single" w:sz="8" w:space="0" w:color="0077BD"/>
              <w:bottom w:val="single" w:sz="4" w:space="0" w:color="0077BD"/>
              <w:right w:val="nil"/>
            </w:tcBorders>
            <w:shd w:val="clear" w:color="auto" w:fill="auto"/>
            <w:noWrap/>
            <w:vAlign w:val="center"/>
          </w:tcPr>
          <w:p w14:paraId="05CF2C20" w14:textId="4D5515C1"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28 027</w:t>
            </w:r>
          </w:p>
        </w:tc>
        <w:tc>
          <w:tcPr>
            <w:tcW w:w="1418" w:type="dxa"/>
            <w:tcBorders>
              <w:top w:val="nil"/>
              <w:left w:val="single" w:sz="8" w:space="0" w:color="0077BD"/>
              <w:bottom w:val="single" w:sz="4" w:space="0" w:color="0077BD"/>
              <w:right w:val="nil"/>
            </w:tcBorders>
            <w:shd w:val="clear" w:color="auto" w:fill="auto"/>
            <w:noWrap/>
            <w:vAlign w:val="center"/>
            <w:hideMark/>
          </w:tcPr>
          <w:p w14:paraId="77DC86DD"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26 478</w:t>
            </w:r>
          </w:p>
        </w:tc>
      </w:tr>
      <w:tr w:rsidR="00100E69" w:rsidRPr="0068723D" w14:paraId="6E905C96"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4685733"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Opłaty związane z zarządzaniem portfelem oraz pozostałe opłaty związane z zarządzaniem</w:t>
            </w:r>
          </w:p>
        </w:tc>
        <w:tc>
          <w:tcPr>
            <w:tcW w:w="1418" w:type="dxa"/>
            <w:tcBorders>
              <w:top w:val="nil"/>
              <w:left w:val="single" w:sz="8" w:space="0" w:color="0077BD"/>
              <w:bottom w:val="single" w:sz="4" w:space="0" w:color="0077BD"/>
              <w:right w:val="nil"/>
            </w:tcBorders>
            <w:shd w:val="clear" w:color="auto" w:fill="auto"/>
            <w:noWrap/>
            <w:vAlign w:val="center"/>
          </w:tcPr>
          <w:p w14:paraId="21E602D1" w14:textId="54305D5C"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14 161</w:t>
            </w:r>
          </w:p>
        </w:tc>
        <w:tc>
          <w:tcPr>
            <w:tcW w:w="1418" w:type="dxa"/>
            <w:tcBorders>
              <w:top w:val="nil"/>
              <w:left w:val="single" w:sz="8" w:space="0" w:color="0077BD"/>
              <w:bottom w:val="single" w:sz="4" w:space="0" w:color="0077BD"/>
              <w:right w:val="nil"/>
            </w:tcBorders>
            <w:shd w:val="clear" w:color="auto" w:fill="auto"/>
            <w:noWrap/>
            <w:vAlign w:val="center"/>
            <w:hideMark/>
          </w:tcPr>
          <w:p w14:paraId="1006C3C0"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11 594</w:t>
            </w:r>
          </w:p>
        </w:tc>
      </w:tr>
      <w:tr w:rsidR="00100E69" w:rsidRPr="0068723D" w14:paraId="3C9E5DD3"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33CDD68"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Prowizje z tytułu obsługi gotówkowej</w:t>
            </w:r>
          </w:p>
        </w:tc>
        <w:tc>
          <w:tcPr>
            <w:tcW w:w="1418" w:type="dxa"/>
            <w:tcBorders>
              <w:top w:val="nil"/>
              <w:left w:val="single" w:sz="8" w:space="0" w:color="0077BD"/>
              <w:bottom w:val="single" w:sz="4" w:space="0" w:color="0077BD"/>
              <w:right w:val="nil"/>
            </w:tcBorders>
            <w:shd w:val="clear" w:color="auto" w:fill="auto"/>
            <w:noWrap/>
            <w:vAlign w:val="center"/>
          </w:tcPr>
          <w:p w14:paraId="41069C73" w14:textId="5E7A80DD"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48 570</w:t>
            </w:r>
          </w:p>
        </w:tc>
        <w:tc>
          <w:tcPr>
            <w:tcW w:w="1418" w:type="dxa"/>
            <w:tcBorders>
              <w:top w:val="nil"/>
              <w:left w:val="single" w:sz="8" w:space="0" w:color="0077BD"/>
              <w:bottom w:val="single" w:sz="4" w:space="0" w:color="0077BD"/>
              <w:right w:val="nil"/>
            </w:tcBorders>
            <w:shd w:val="clear" w:color="auto" w:fill="auto"/>
            <w:noWrap/>
            <w:vAlign w:val="center"/>
            <w:hideMark/>
          </w:tcPr>
          <w:p w14:paraId="35ACAE10"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54 788</w:t>
            </w:r>
          </w:p>
        </w:tc>
      </w:tr>
      <w:tr w:rsidR="00100E69" w:rsidRPr="0068723D" w14:paraId="539D05D9"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2824278" w14:textId="77777777" w:rsidR="00100E69" w:rsidRPr="0068723D" w:rsidRDefault="00100E69" w:rsidP="00100E69">
            <w:pPr>
              <w:rPr>
                <w:rFonts w:cs="Calibri"/>
                <w:color w:val="000000" w:themeColor="text1"/>
                <w:sz w:val="13"/>
                <w:szCs w:val="13"/>
              </w:rPr>
            </w:pPr>
            <w:r w:rsidRPr="0068723D">
              <w:rPr>
                <w:rFonts w:cs="Calibri"/>
                <w:color w:val="000000" w:themeColor="text1"/>
                <w:sz w:val="13"/>
                <w:szCs w:val="13"/>
              </w:rPr>
              <w:t>Pozostałe</w:t>
            </w:r>
          </w:p>
        </w:tc>
        <w:tc>
          <w:tcPr>
            <w:tcW w:w="1418" w:type="dxa"/>
            <w:tcBorders>
              <w:top w:val="nil"/>
              <w:left w:val="single" w:sz="8" w:space="0" w:color="0077BD"/>
              <w:bottom w:val="single" w:sz="4" w:space="0" w:color="0077BD"/>
              <w:right w:val="nil"/>
            </w:tcBorders>
            <w:shd w:val="clear" w:color="auto" w:fill="auto"/>
            <w:noWrap/>
            <w:vAlign w:val="center"/>
          </w:tcPr>
          <w:p w14:paraId="7A3CAEC3" w14:textId="1CAE9473"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40 759</w:t>
            </w:r>
          </w:p>
        </w:tc>
        <w:tc>
          <w:tcPr>
            <w:tcW w:w="1418" w:type="dxa"/>
            <w:tcBorders>
              <w:top w:val="nil"/>
              <w:left w:val="single" w:sz="8" w:space="0" w:color="0077BD"/>
              <w:bottom w:val="single" w:sz="4" w:space="0" w:color="0077BD"/>
              <w:right w:val="nil"/>
            </w:tcBorders>
            <w:shd w:val="clear" w:color="auto" w:fill="auto"/>
            <w:noWrap/>
            <w:vAlign w:val="center"/>
            <w:hideMark/>
          </w:tcPr>
          <w:p w14:paraId="05095F63" w14:textId="77777777" w:rsidR="00100E69" w:rsidRPr="0068723D" w:rsidRDefault="00100E69" w:rsidP="00100E69">
            <w:pPr>
              <w:jc w:val="right"/>
              <w:rPr>
                <w:rFonts w:cs="Calibri"/>
                <w:color w:val="000000" w:themeColor="text1"/>
                <w:sz w:val="13"/>
                <w:szCs w:val="13"/>
              </w:rPr>
            </w:pPr>
            <w:r w:rsidRPr="0068723D">
              <w:rPr>
                <w:rFonts w:cs="Calibri"/>
                <w:color w:val="000000" w:themeColor="text1"/>
                <w:sz w:val="13"/>
                <w:szCs w:val="13"/>
              </w:rPr>
              <w:t>42 690</w:t>
            </w:r>
          </w:p>
        </w:tc>
      </w:tr>
      <w:tr w:rsidR="00100E69" w:rsidRPr="0068723D" w14:paraId="2AE2E57B" w14:textId="77777777" w:rsidTr="00CA5E84">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9F6281A" w14:textId="77777777" w:rsidR="00100E69" w:rsidRPr="0068723D" w:rsidRDefault="00100E69" w:rsidP="00100E69">
            <w:pPr>
              <w:rPr>
                <w:rFonts w:cs="Calibri"/>
                <w:b/>
                <w:bCs/>
                <w:color w:val="000000" w:themeColor="text1"/>
                <w:sz w:val="13"/>
                <w:szCs w:val="13"/>
              </w:rPr>
            </w:pPr>
            <w:r w:rsidRPr="0068723D">
              <w:rPr>
                <w:rFonts w:cs="Calibri"/>
                <w:b/>
                <w:bCs/>
                <w:color w:val="000000" w:themeColor="text1"/>
                <w:sz w:val="13"/>
                <w:szCs w:val="13"/>
              </w:rPr>
              <w:t>Przychody z tytułu opłat i prowizji,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36D5839" w14:textId="7081C469" w:rsidR="00100E69" w:rsidRPr="0068723D" w:rsidRDefault="00100E69" w:rsidP="00100E69">
            <w:pPr>
              <w:jc w:val="right"/>
              <w:rPr>
                <w:rFonts w:cs="Calibri"/>
                <w:b/>
                <w:bCs/>
                <w:color w:val="000000" w:themeColor="text1"/>
                <w:sz w:val="13"/>
                <w:szCs w:val="13"/>
              </w:rPr>
            </w:pPr>
            <w:r w:rsidRPr="0068723D">
              <w:rPr>
                <w:rFonts w:cs="Calibri"/>
                <w:b/>
                <w:bCs/>
                <w:color w:val="000000" w:themeColor="text1"/>
                <w:sz w:val="13"/>
                <w:szCs w:val="13"/>
              </w:rPr>
              <w:t>1 704 642</w:t>
            </w:r>
          </w:p>
        </w:tc>
        <w:tc>
          <w:tcPr>
            <w:tcW w:w="1418" w:type="dxa"/>
            <w:tcBorders>
              <w:top w:val="single" w:sz="8" w:space="0" w:color="0077BD"/>
              <w:left w:val="nil"/>
              <w:bottom w:val="single" w:sz="8" w:space="0" w:color="0077BD"/>
              <w:right w:val="nil"/>
            </w:tcBorders>
            <w:shd w:val="clear" w:color="auto" w:fill="auto"/>
            <w:vAlign w:val="center"/>
            <w:hideMark/>
          </w:tcPr>
          <w:p w14:paraId="14DE2FF7" w14:textId="3F35CA5B" w:rsidR="00100E69" w:rsidRPr="0068723D" w:rsidRDefault="00100E69" w:rsidP="00100E69">
            <w:pPr>
              <w:jc w:val="right"/>
              <w:rPr>
                <w:rFonts w:cs="Calibri"/>
                <w:b/>
                <w:bCs/>
                <w:color w:val="000000" w:themeColor="text1"/>
                <w:sz w:val="13"/>
                <w:szCs w:val="13"/>
              </w:rPr>
            </w:pPr>
            <w:r w:rsidRPr="0068723D">
              <w:rPr>
                <w:rFonts w:cs="Calibri"/>
                <w:b/>
                <w:bCs/>
                <w:color w:val="000000" w:themeColor="text1"/>
                <w:sz w:val="13"/>
                <w:szCs w:val="13"/>
              </w:rPr>
              <w:t>1 630 341</w:t>
            </w:r>
          </w:p>
        </w:tc>
      </w:tr>
    </w:tbl>
    <w:p w14:paraId="0F90D5AD" w14:textId="7958CB09" w:rsidR="00A57779" w:rsidRDefault="00DD625D" w:rsidP="00661BE4">
      <w:pPr>
        <w:spacing w:before="120"/>
        <w:jc w:val="both"/>
        <w:rPr>
          <w:rFonts w:cs="Tahoma"/>
          <w:sz w:val="18"/>
          <w:szCs w:val="18"/>
          <w:lang w:eastAsia="en-GB"/>
        </w:rPr>
      </w:pPr>
      <w:r w:rsidRPr="00DD625D">
        <w:rPr>
          <w:rFonts w:cs="Tahoma"/>
          <w:sz w:val="18"/>
          <w:szCs w:val="18"/>
          <w:lang w:eastAsia="en-GB"/>
        </w:rPr>
        <w:t>W odniesieniu do leasingów finansowych, przychody ze zmiennych opłat leasingowych nieuwzględnionych w wycenie inwestycji leasingow</w:t>
      </w:r>
      <w:r w:rsidR="00135D91">
        <w:rPr>
          <w:rFonts w:cs="Tahoma"/>
          <w:sz w:val="18"/>
          <w:szCs w:val="18"/>
          <w:lang w:eastAsia="en-GB"/>
        </w:rPr>
        <w:t>ej netto w 2019 roku wyniosły 3 </w:t>
      </w:r>
      <w:r w:rsidRPr="00DD625D">
        <w:rPr>
          <w:rFonts w:cs="Tahoma"/>
          <w:sz w:val="18"/>
          <w:szCs w:val="18"/>
          <w:lang w:eastAsia="en-GB"/>
        </w:rPr>
        <w:t>003 tys. zł. W odniesieniu do leasingów operacyjnych, przychody ze zmiennych opłat leasingowych, które nie są zależne o</w:t>
      </w:r>
      <w:r w:rsidR="00135D91">
        <w:rPr>
          <w:rFonts w:cs="Tahoma"/>
          <w:sz w:val="18"/>
          <w:szCs w:val="18"/>
          <w:lang w:eastAsia="en-GB"/>
        </w:rPr>
        <w:t>d indeksu lub stopy, wyniosły 2 </w:t>
      </w:r>
      <w:r w:rsidRPr="00DD625D">
        <w:rPr>
          <w:rFonts w:cs="Tahoma"/>
          <w:sz w:val="18"/>
          <w:szCs w:val="18"/>
          <w:lang w:eastAsia="en-GB"/>
        </w:rPr>
        <w:t>663 tys. zł.</w:t>
      </w:r>
    </w:p>
    <w:p w14:paraId="5B413F73" w14:textId="159D8325" w:rsidR="00671813" w:rsidRDefault="00671813">
      <w:pPr>
        <w:rPr>
          <w:rFonts w:cs="Tahoma"/>
          <w:sz w:val="18"/>
          <w:szCs w:val="18"/>
          <w:lang w:eastAsia="en-GB"/>
        </w:rPr>
      </w:pPr>
      <w:r>
        <w:rPr>
          <w:rFonts w:cs="Tahoma"/>
          <w:sz w:val="18"/>
          <w:szCs w:val="18"/>
          <w:lang w:eastAsia="en-GB"/>
        </w:rPr>
        <w:br w:type="page"/>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A57779" w14:paraId="65623EA6" w14:textId="77777777" w:rsidTr="00671813">
        <w:trPr>
          <w:trHeight w:val="284"/>
        </w:trPr>
        <w:tc>
          <w:tcPr>
            <w:tcW w:w="6747" w:type="dxa"/>
            <w:vMerge w:val="restart"/>
            <w:tcBorders>
              <w:top w:val="nil"/>
              <w:left w:val="nil"/>
              <w:right w:val="single" w:sz="8" w:space="0" w:color="FFFFFF"/>
            </w:tcBorders>
            <w:shd w:val="clear" w:color="000000" w:fill="0077BD"/>
            <w:vAlign w:val="center"/>
            <w:hideMark/>
          </w:tcPr>
          <w:p w14:paraId="432FB40D" w14:textId="5C58A61A" w:rsidR="00631017" w:rsidRPr="00A57779" w:rsidRDefault="00631017" w:rsidP="00A57779">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181B2B8B"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Rok kończący się 31 grudnia</w:t>
            </w:r>
          </w:p>
        </w:tc>
      </w:tr>
      <w:tr w:rsidR="00631017" w:rsidRPr="00A57779" w14:paraId="454E2796" w14:textId="77777777" w:rsidTr="00671813">
        <w:trPr>
          <w:trHeight w:val="284"/>
        </w:trPr>
        <w:tc>
          <w:tcPr>
            <w:tcW w:w="6747" w:type="dxa"/>
            <w:vMerge/>
            <w:tcBorders>
              <w:left w:val="nil"/>
              <w:right w:val="single" w:sz="8" w:space="0" w:color="FFFFFF"/>
            </w:tcBorders>
            <w:shd w:val="clear" w:color="000000" w:fill="0077BD"/>
            <w:vAlign w:val="center"/>
            <w:hideMark/>
          </w:tcPr>
          <w:p w14:paraId="050A4744" w14:textId="537A2220" w:rsidR="00631017" w:rsidRPr="00A57779" w:rsidRDefault="00631017" w:rsidP="00A57779">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765CB0D3"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5CF88689"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2018</w:t>
            </w:r>
          </w:p>
        </w:tc>
      </w:tr>
      <w:tr w:rsidR="00454B96" w:rsidRPr="0068723D" w14:paraId="47E40723" w14:textId="77777777" w:rsidTr="00671813">
        <w:trPr>
          <w:trHeight w:val="284"/>
        </w:trPr>
        <w:tc>
          <w:tcPr>
            <w:tcW w:w="6747" w:type="dxa"/>
            <w:tcBorders>
              <w:left w:val="nil"/>
              <w:bottom w:val="single" w:sz="8" w:space="0" w:color="0077BD"/>
              <w:right w:val="nil"/>
            </w:tcBorders>
            <w:shd w:val="clear" w:color="000000" w:fill="FFFFFF"/>
            <w:vAlign w:val="center"/>
            <w:hideMark/>
          </w:tcPr>
          <w:p w14:paraId="62517BF5" w14:textId="77777777" w:rsidR="00A57779" w:rsidRPr="0068723D" w:rsidRDefault="00A57779" w:rsidP="00A57779">
            <w:pPr>
              <w:rPr>
                <w:rFonts w:cs="Calibri"/>
                <w:b/>
                <w:bCs/>
                <w:color w:val="000000" w:themeColor="text1"/>
                <w:sz w:val="13"/>
                <w:szCs w:val="13"/>
              </w:rPr>
            </w:pPr>
            <w:r w:rsidRPr="0068723D">
              <w:rPr>
                <w:rFonts w:cs="Calibri"/>
                <w:b/>
                <w:bCs/>
                <w:color w:val="000000" w:themeColor="text1"/>
                <w:sz w:val="13"/>
                <w:szCs w:val="13"/>
              </w:rPr>
              <w:t>Koszty z tytułu opłat i prowizji</w:t>
            </w:r>
          </w:p>
        </w:tc>
        <w:tc>
          <w:tcPr>
            <w:tcW w:w="1418" w:type="dxa"/>
            <w:tcBorders>
              <w:left w:val="nil"/>
              <w:bottom w:val="single" w:sz="8" w:space="0" w:color="0077BD"/>
              <w:right w:val="nil"/>
            </w:tcBorders>
            <w:shd w:val="clear" w:color="000000" w:fill="FFFFFF"/>
            <w:noWrap/>
            <w:vAlign w:val="center"/>
          </w:tcPr>
          <w:p w14:paraId="6B0D575E" w14:textId="38FEE085" w:rsidR="00A57779" w:rsidRPr="0068723D" w:rsidRDefault="00A57779" w:rsidP="00A57779">
            <w:pPr>
              <w:rPr>
                <w:rFonts w:cs="Calibri"/>
                <w:b/>
                <w:bCs/>
                <w:color w:val="000000" w:themeColor="text1"/>
                <w:sz w:val="13"/>
                <w:szCs w:val="13"/>
              </w:rPr>
            </w:pPr>
          </w:p>
        </w:tc>
        <w:tc>
          <w:tcPr>
            <w:tcW w:w="1418" w:type="dxa"/>
            <w:tcBorders>
              <w:left w:val="nil"/>
              <w:bottom w:val="single" w:sz="8" w:space="0" w:color="0077BD"/>
              <w:right w:val="nil"/>
            </w:tcBorders>
            <w:shd w:val="clear" w:color="000000" w:fill="FFFFFF"/>
            <w:noWrap/>
            <w:vAlign w:val="center"/>
          </w:tcPr>
          <w:p w14:paraId="79DDAA87" w14:textId="05C03005" w:rsidR="00A57779" w:rsidRPr="0068723D" w:rsidRDefault="00A57779" w:rsidP="00A57779">
            <w:pPr>
              <w:rPr>
                <w:rFonts w:cs="Calibri"/>
                <w:b/>
                <w:bCs/>
                <w:color w:val="000000" w:themeColor="text1"/>
                <w:sz w:val="13"/>
                <w:szCs w:val="13"/>
              </w:rPr>
            </w:pPr>
          </w:p>
        </w:tc>
      </w:tr>
      <w:tr w:rsidR="0040057C" w:rsidRPr="0068723D" w14:paraId="29F5C50B"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1F29A91"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obsługi i ubezpieczenia kart płatniczych</w:t>
            </w:r>
          </w:p>
        </w:tc>
        <w:tc>
          <w:tcPr>
            <w:tcW w:w="1418" w:type="dxa"/>
            <w:tcBorders>
              <w:top w:val="nil"/>
              <w:left w:val="single" w:sz="8" w:space="0" w:color="0077BD"/>
              <w:bottom w:val="single" w:sz="4" w:space="0" w:color="0077BD"/>
              <w:right w:val="nil"/>
            </w:tcBorders>
            <w:shd w:val="clear" w:color="auto" w:fill="auto"/>
            <w:noWrap/>
            <w:vAlign w:val="center"/>
          </w:tcPr>
          <w:p w14:paraId="23205FC7" w14:textId="0AED0FB2"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(241 198)</w:t>
            </w:r>
          </w:p>
        </w:tc>
        <w:tc>
          <w:tcPr>
            <w:tcW w:w="1418" w:type="dxa"/>
            <w:tcBorders>
              <w:top w:val="nil"/>
              <w:left w:val="single" w:sz="8" w:space="0" w:color="0077BD"/>
              <w:bottom w:val="single" w:sz="4" w:space="0" w:color="0077BD"/>
              <w:right w:val="nil"/>
            </w:tcBorders>
            <w:shd w:val="clear" w:color="auto" w:fill="auto"/>
            <w:noWrap/>
            <w:vAlign w:val="center"/>
            <w:hideMark/>
          </w:tcPr>
          <w:p w14:paraId="2C072A7D"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(213 566)</w:t>
            </w:r>
          </w:p>
        </w:tc>
      </w:tr>
      <w:tr w:rsidR="0040057C" w:rsidRPr="0068723D" w14:paraId="08F75B5C"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4950359"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prowizji płacone na rzecz podmiotów zewnętrznych za sprzedaż produktów Banku</w:t>
            </w:r>
          </w:p>
        </w:tc>
        <w:tc>
          <w:tcPr>
            <w:tcW w:w="1418" w:type="dxa"/>
            <w:tcBorders>
              <w:top w:val="nil"/>
              <w:left w:val="single" w:sz="8" w:space="0" w:color="0077BD"/>
              <w:bottom w:val="single" w:sz="4" w:space="0" w:color="0077BD"/>
              <w:right w:val="nil"/>
            </w:tcBorders>
            <w:shd w:val="clear" w:color="auto" w:fill="auto"/>
            <w:noWrap/>
            <w:vAlign w:val="center"/>
          </w:tcPr>
          <w:p w14:paraId="73AE4AB1" w14:textId="19584350"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(190 636)</w:t>
            </w:r>
          </w:p>
        </w:tc>
        <w:tc>
          <w:tcPr>
            <w:tcW w:w="1418" w:type="dxa"/>
            <w:tcBorders>
              <w:top w:val="nil"/>
              <w:left w:val="single" w:sz="8" w:space="0" w:color="0077BD"/>
              <w:bottom w:val="single" w:sz="4" w:space="0" w:color="0077BD"/>
              <w:right w:val="nil"/>
            </w:tcBorders>
            <w:shd w:val="clear" w:color="auto" w:fill="auto"/>
            <w:noWrap/>
            <w:vAlign w:val="center"/>
            <w:hideMark/>
          </w:tcPr>
          <w:p w14:paraId="00744E95"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(141 527)</w:t>
            </w:r>
          </w:p>
        </w:tc>
      </w:tr>
      <w:tr w:rsidR="0040057C" w:rsidRPr="0068723D" w14:paraId="5A30586D" w14:textId="77777777" w:rsidTr="00CA5E84">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147898DD"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prowizji za pośrednictwo w sprzedaży produktów ubezpieczeniowych zewnętrznych podmiotów finansowych</w:t>
            </w:r>
          </w:p>
        </w:tc>
        <w:tc>
          <w:tcPr>
            <w:tcW w:w="1418" w:type="dxa"/>
            <w:tcBorders>
              <w:top w:val="nil"/>
              <w:left w:val="single" w:sz="8" w:space="0" w:color="0077BD"/>
              <w:bottom w:val="single" w:sz="4" w:space="0" w:color="0077BD"/>
              <w:right w:val="nil"/>
            </w:tcBorders>
            <w:shd w:val="clear" w:color="auto" w:fill="auto"/>
            <w:noWrap/>
            <w:vAlign w:val="center"/>
          </w:tcPr>
          <w:p w14:paraId="718D1D5A" w14:textId="2D7B0296"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(8 635)</w:t>
            </w:r>
          </w:p>
        </w:tc>
        <w:tc>
          <w:tcPr>
            <w:tcW w:w="1418" w:type="dxa"/>
            <w:tcBorders>
              <w:top w:val="nil"/>
              <w:left w:val="single" w:sz="8" w:space="0" w:color="0077BD"/>
              <w:bottom w:val="single" w:sz="4" w:space="0" w:color="0077BD"/>
              <w:right w:val="nil"/>
            </w:tcBorders>
            <w:shd w:val="clear" w:color="auto" w:fill="auto"/>
            <w:noWrap/>
            <w:vAlign w:val="center"/>
            <w:hideMark/>
          </w:tcPr>
          <w:p w14:paraId="4DABFDB1"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(5 147)</w:t>
            </w:r>
          </w:p>
        </w:tc>
      </w:tr>
      <w:tr w:rsidR="0040057C" w:rsidRPr="0068723D" w14:paraId="5B747250"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tcPr>
          <w:p w14:paraId="4C0FCB43" w14:textId="261D5C4B"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sprzedaży produktów zewnętrznych podmiotów finansowych</w:t>
            </w:r>
          </w:p>
        </w:tc>
        <w:tc>
          <w:tcPr>
            <w:tcW w:w="1418" w:type="dxa"/>
            <w:tcBorders>
              <w:top w:val="nil"/>
              <w:left w:val="single" w:sz="8" w:space="0" w:color="0077BD"/>
              <w:bottom w:val="single" w:sz="4" w:space="0" w:color="0077BD"/>
              <w:right w:val="nil"/>
            </w:tcBorders>
            <w:shd w:val="clear" w:color="auto" w:fill="auto"/>
            <w:noWrap/>
            <w:vAlign w:val="center"/>
          </w:tcPr>
          <w:p w14:paraId="14F5995E" w14:textId="631EFE38"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(21 520)</w:t>
            </w:r>
          </w:p>
        </w:tc>
        <w:tc>
          <w:tcPr>
            <w:tcW w:w="1418" w:type="dxa"/>
            <w:tcBorders>
              <w:top w:val="nil"/>
              <w:left w:val="single" w:sz="8" w:space="0" w:color="0077BD"/>
              <w:bottom w:val="single" w:sz="4" w:space="0" w:color="0077BD"/>
              <w:right w:val="nil"/>
            </w:tcBorders>
            <w:shd w:val="clear" w:color="auto" w:fill="auto"/>
            <w:noWrap/>
            <w:vAlign w:val="center"/>
          </w:tcPr>
          <w:p w14:paraId="2D095E53" w14:textId="28CD570B" w:rsidR="0040057C" w:rsidRPr="00252982" w:rsidRDefault="004267F6" w:rsidP="0040057C">
            <w:pPr>
              <w:jc w:val="right"/>
              <w:rPr>
                <w:rFonts w:cs="Calibri"/>
                <w:color w:val="000000" w:themeColor="text1"/>
                <w:sz w:val="13"/>
                <w:szCs w:val="13"/>
              </w:rPr>
            </w:pPr>
            <w:r w:rsidRPr="00252982">
              <w:rPr>
                <w:rFonts w:cs="Calibri"/>
                <w:color w:val="000000" w:themeColor="text1"/>
                <w:sz w:val="13"/>
                <w:szCs w:val="13"/>
              </w:rPr>
              <w:t>(18 987</w:t>
            </w:r>
            <w:r w:rsidR="009D528B" w:rsidRPr="00252982">
              <w:rPr>
                <w:rFonts w:cs="Calibri"/>
                <w:color w:val="000000" w:themeColor="text1"/>
                <w:sz w:val="13"/>
                <w:szCs w:val="13"/>
              </w:rPr>
              <w:t>)</w:t>
            </w:r>
          </w:p>
        </w:tc>
      </w:tr>
      <w:tr w:rsidR="0040057C" w:rsidRPr="0068723D" w14:paraId="0DD9205E"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BBD215F"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Uiszczone opłaty maklerskie</w:t>
            </w:r>
          </w:p>
        </w:tc>
        <w:tc>
          <w:tcPr>
            <w:tcW w:w="1418" w:type="dxa"/>
            <w:tcBorders>
              <w:top w:val="nil"/>
              <w:left w:val="single" w:sz="8" w:space="0" w:color="0077BD"/>
              <w:bottom w:val="single" w:sz="4" w:space="0" w:color="0077BD"/>
              <w:right w:val="nil"/>
            </w:tcBorders>
            <w:shd w:val="clear" w:color="auto" w:fill="auto"/>
            <w:noWrap/>
            <w:vAlign w:val="center"/>
          </w:tcPr>
          <w:p w14:paraId="71B5EFD5" w14:textId="5413A01E"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(28 846)</w:t>
            </w:r>
          </w:p>
        </w:tc>
        <w:tc>
          <w:tcPr>
            <w:tcW w:w="1418" w:type="dxa"/>
            <w:tcBorders>
              <w:top w:val="nil"/>
              <w:left w:val="single" w:sz="8" w:space="0" w:color="0077BD"/>
              <w:bottom w:val="single" w:sz="4" w:space="0" w:color="0077BD"/>
              <w:right w:val="nil"/>
            </w:tcBorders>
            <w:shd w:val="clear" w:color="auto" w:fill="auto"/>
            <w:noWrap/>
            <w:vAlign w:val="center"/>
            <w:hideMark/>
          </w:tcPr>
          <w:p w14:paraId="6BBEB2AA"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(26 772)</w:t>
            </w:r>
          </w:p>
        </w:tc>
      </w:tr>
      <w:tr w:rsidR="0040057C" w:rsidRPr="0068723D" w14:paraId="1AF6931A"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DBB6C52"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z tytułu obsługi gotówkowej</w:t>
            </w:r>
          </w:p>
        </w:tc>
        <w:tc>
          <w:tcPr>
            <w:tcW w:w="1418" w:type="dxa"/>
            <w:tcBorders>
              <w:top w:val="nil"/>
              <w:left w:val="single" w:sz="8" w:space="0" w:color="0077BD"/>
              <w:bottom w:val="single" w:sz="4" w:space="0" w:color="0077BD"/>
              <w:right w:val="nil"/>
            </w:tcBorders>
            <w:shd w:val="clear" w:color="auto" w:fill="auto"/>
            <w:noWrap/>
            <w:vAlign w:val="center"/>
          </w:tcPr>
          <w:p w14:paraId="7A376C23" w14:textId="677E54C2"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(41 944)</w:t>
            </w:r>
          </w:p>
        </w:tc>
        <w:tc>
          <w:tcPr>
            <w:tcW w:w="1418" w:type="dxa"/>
            <w:tcBorders>
              <w:top w:val="nil"/>
              <w:left w:val="single" w:sz="8" w:space="0" w:color="0077BD"/>
              <w:bottom w:val="single" w:sz="4" w:space="0" w:color="0077BD"/>
              <w:right w:val="nil"/>
            </w:tcBorders>
            <w:shd w:val="clear" w:color="auto" w:fill="auto"/>
            <w:noWrap/>
            <w:vAlign w:val="center"/>
            <w:hideMark/>
          </w:tcPr>
          <w:p w14:paraId="3B3C7F90"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(50 060)</w:t>
            </w:r>
          </w:p>
        </w:tc>
      </w:tr>
      <w:tr w:rsidR="0040057C" w:rsidRPr="0068723D" w14:paraId="64BD6B98"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076137B"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Koszty opłat na rzecz NBP i KIR</w:t>
            </w:r>
          </w:p>
        </w:tc>
        <w:tc>
          <w:tcPr>
            <w:tcW w:w="1418" w:type="dxa"/>
            <w:tcBorders>
              <w:top w:val="nil"/>
              <w:left w:val="single" w:sz="8" w:space="0" w:color="0077BD"/>
              <w:bottom w:val="single" w:sz="4" w:space="0" w:color="0077BD"/>
              <w:right w:val="nil"/>
            </w:tcBorders>
            <w:shd w:val="clear" w:color="auto" w:fill="auto"/>
            <w:noWrap/>
            <w:vAlign w:val="center"/>
          </w:tcPr>
          <w:p w14:paraId="4CD610A7" w14:textId="653C1D56"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(14 706)</w:t>
            </w:r>
          </w:p>
        </w:tc>
        <w:tc>
          <w:tcPr>
            <w:tcW w:w="1418" w:type="dxa"/>
            <w:tcBorders>
              <w:top w:val="nil"/>
              <w:left w:val="single" w:sz="8" w:space="0" w:color="0077BD"/>
              <w:bottom w:val="single" w:sz="4" w:space="0" w:color="0077BD"/>
              <w:right w:val="nil"/>
            </w:tcBorders>
            <w:shd w:val="clear" w:color="auto" w:fill="auto"/>
            <w:noWrap/>
            <w:vAlign w:val="center"/>
            <w:hideMark/>
          </w:tcPr>
          <w:p w14:paraId="4B49AEA2" w14:textId="7777777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(13 456)</w:t>
            </w:r>
          </w:p>
        </w:tc>
      </w:tr>
      <w:tr w:rsidR="0040057C" w:rsidRPr="0068723D" w14:paraId="0CB40428"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1D591E4" w14:textId="77777777" w:rsidR="0040057C" w:rsidRPr="0068723D" w:rsidRDefault="0040057C" w:rsidP="0040057C">
            <w:pPr>
              <w:rPr>
                <w:rFonts w:cs="Calibri"/>
                <w:color w:val="000000" w:themeColor="text1"/>
                <w:sz w:val="13"/>
                <w:szCs w:val="13"/>
              </w:rPr>
            </w:pPr>
            <w:r w:rsidRPr="0068723D">
              <w:rPr>
                <w:rFonts w:cs="Calibri"/>
                <w:color w:val="000000" w:themeColor="text1"/>
                <w:sz w:val="13"/>
                <w:szCs w:val="13"/>
              </w:rPr>
              <w:t>Uiszczone pozostałe opłaty</w:t>
            </w:r>
          </w:p>
        </w:tc>
        <w:tc>
          <w:tcPr>
            <w:tcW w:w="1418" w:type="dxa"/>
            <w:tcBorders>
              <w:top w:val="nil"/>
              <w:left w:val="single" w:sz="8" w:space="0" w:color="0077BD"/>
              <w:bottom w:val="single" w:sz="4" w:space="0" w:color="0077BD"/>
              <w:right w:val="nil"/>
            </w:tcBorders>
            <w:shd w:val="clear" w:color="auto" w:fill="auto"/>
            <w:noWrap/>
            <w:vAlign w:val="center"/>
          </w:tcPr>
          <w:p w14:paraId="094AB258" w14:textId="49384117" w:rsidR="0040057C" w:rsidRPr="00252982" w:rsidRDefault="0040057C" w:rsidP="0040057C">
            <w:pPr>
              <w:jc w:val="right"/>
              <w:rPr>
                <w:rFonts w:cs="Calibri"/>
                <w:color w:val="000000" w:themeColor="text1"/>
                <w:sz w:val="13"/>
                <w:szCs w:val="13"/>
              </w:rPr>
            </w:pPr>
            <w:r w:rsidRPr="00252982">
              <w:rPr>
                <w:rFonts w:cs="Calibri"/>
                <w:color w:val="000000" w:themeColor="text1"/>
                <w:sz w:val="13"/>
                <w:szCs w:val="13"/>
              </w:rPr>
              <w:t>(192 554)</w:t>
            </w:r>
          </w:p>
        </w:tc>
        <w:tc>
          <w:tcPr>
            <w:tcW w:w="1418" w:type="dxa"/>
            <w:tcBorders>
              <w:top w:val="nil"/>
              <w:left w:val="single" w:sz="8" w:space="0" w:color="0077BD"/>
              <w:bottom w:val="single" w:sz="4" w:space="0" w:color="0077BD"/>
              <w:right w:val="nil"/>
            </w:tcBorders>
            <w:shd w:val="clear" w:color="auto" w:fill="auto"/>
            <w:noWrap/>
            <w:vAlign w:val="center"/>
            <w:hideMark/>
          </w:tcPr>
          <w:p w14:paraId="11A89DA2" w14:textId="124F2DE3" w:rsidR="0040057C" w:rsidRPr="00252982" w:rsidRDefault="004267F6" w:rsidP="004267F6">
            <w:pPr>
              <w:jc w:val="right"/>
              <w:rPr>
                <w:rFonts w:cs="Calibri"/>
                <w:color w:val="000000" w:themeColor="text1"/>
                <w:sz w:val="13"/>
                <w:szCs w:val="13"/>
              </w:rPr>
            </w:pPr>
            <w:r w:rsidRPr="00252982">
              <w:rPr>
                <w:rFonts w:cs="Calibri"/>
                <w:color w:val="000000" w:themeColor="text1"/>
                <w:sz w:val="13"/>
                <w:szCs w:val="13"/>
              </w:rPr>
              <w:t>(184</w:t>
            </w:r>
            <w:r w:rsidR="0040057C" w:rsidRPr="00252982">
              <w:rPr>
                <w:rFonts w:cs="Calibri"/>
                <w:color w:val="000000" w:themeColor="text1"/>
                <w:sz w:val="13"/>
                <w:szCs w:val="13"/>
              </w:rPr>
              <w:t xml:space="preserve"> </w:t>
            </w:r>
            <w:r w:rsidRPr="00252982">
              <w:rPr>
                <w:rFonts w:cs="Calibri"/>
                <w:color w:val="000000" w:themeColor="text1"/>
                <w:sz w:val="13"/>
                <w:szCs w:val="13"/>
              </w:rPr>
              <w:t>976</w:t>
            </w:r>
            <w:r w:rsidR="0040057C" w:rsidRPr="00252982">
              <w:rPr>
                <w:rFonts w:cs="Calibri"/>
                <w:color w:val="000000" w:themeColor="text1"/>
                <w:sz w:val="13"/>
                <w:szCs w:val="13"/>
              </w:rPr>
              <w:t>)</w:t>
            </w:r>
          </w:p>
        </w:tc>
      </w:tr>
      <w:tr w:rsidR="0040057C" w:rsidRPr="0068723D" w14:paraId="2A0B1356" w14:textId="77777777" w:rsidTr="0040057C">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1101DC3" w14:textId="77777777" w:rsidR="0040057C" w:rsidRPr="0068723D" w:rsidRDefault="0040057C" w:rsidP="0040057C">
            <w:pPr>
              <w:rPr>
                <w:rFonts w:cs="Calibri"/>
                <w:b/>
                <w:bCs/>
                <w:color w:val="000000" w:themeColor="text1"/>
                <w:sz w:val="13"/>
                <w:szCs w:val="13"/>
              </w:rPr>
            </w:pPr>
            <w:r w:rsidRPr="0068723D">
              <w:rPr>
                <w:rFonts w:cs="Calibri"/>
                <w:b/>
                <w:bCs/>
                <w:color w:val="000000" w:themeColor="text1"/>
                <w:sz w:val="13"/>
                <w:szCs w:val="13"/>
              </w:rPr>
              <w:t>Koszty z tytułu opłat i prowizji,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252BAA1" w14:textId="5EEBBAC9" w:rsidR="0040057C" w:rsidRPr="00252982" w:rsidRDefault="0040057C" w:rsidP="0040057C">
            <w:pPr>
              <w:jc w:val="right"/>
              <w:rPr>
                <w:rFonts w:cs="Calibri"/>
                <w:b/>
                <w:bCs/>
                <w:color w:val="000000" w:themeColor="text1"/>
                <w:sz w:val="13"/>
                <w:szCs w:val="13"/>
              </w:rPr>
            </w:pPr>
            <w:r w:rsidRPr="00252982">
              <w:rPr>
                <w:rFonts w:cs="Calibri"/>
                <w:b/>
                <w:bCs/>
                <w:color w:val="000000" w:themeColor="text1"/>
                <w:sz w:val="13"/>
                <w:szCs w:val="13"/>
              </w:rPr>
              <w:t>(740 039)</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ACE5E7A" w14:textId="592AC49E" w:rsidR="0040057C" w:rsidRPr="00252982" w:rsidRDefault="0040057C" w:rsidP="0040057C">
            <w:pPr>
              <w:jc w:val="right"/>
              <w:rPr>
                <w:rFonts w:cs="Calibri"/>
                <w:b/>
                <w:bCs/>
                <w:color w:val="000000" w:themeColor="text1"/>
                <w:sz w:val="13"/>
                <w:szCs w:val="13"/>
              </w:rPr>
            </w:pPr>
            <w:r w:rsidRPr="00252982">
              <w:rPr>
                <w:rFonts w:cs="Calibri"/>
                <w:b/>
                <w:bCs/>
                <w:color w:val="000000" w:themeColor="text1"/>
                <w:sz w:val="13"/>
                <w:szCs w:val="13"/>
              </w:rPr>
              <w:t>(654 491)</w:t>
            </w:r>
          </w:p>
        </w:tc>
      </w:tr>
    </w:tbl>
    <w:p w14:paraId="3D20A26E" w14:textId="77777777" w:rsidR="00A57779" w:rsidRPr="00B27780" w:rsidRDefault="00A57779" w:rsidP="00A57779">
      <w:pPr>
        <w:jc w:val="both"/>
        <w:rPr>
          <w:rFonts w:cs="Tahoma"/>
          <w:sz w:val="18"/>
          <w:szCs w:val="18"/>
          <w:lang w:eastAsia="en-GB"/>
        </w:rPr>
      </w:pPr>
    </w:p>
    <w:p w14:paraId="0067ED8C" w14:textId="77777777" w:rsidR="0019529A" w:rsidRDefault="0019529A"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21" w:name="_Toc32999839"/>
      <w:r>
        <w:rPr>
          <w:rFonts w:cs="Tahoma"/>
          <w:bCs w:val="0"/>
          <w:iCs w:val="0"/>
          <w:color w:val="E41E0A"/>
          <w:sz w:val="18"/>
          <w:szCs w:val="18"/>
        </w:rPr>
        <w:t>Przychody z dywidend</w:t>
      </w:r>
      <w:bookmarkEnd w:id="121"/>
    </w:p>
    <w:p w14:paraId="2E10BAD3" w14:textId="0017A3AE" w:rsidR="0019529A" w:rsidRDefault="0019529A" w:rsidP="003F6F61">
      <w:pPr>
        <w:rPr>
          <w:rFonts w:cs="Tahoma"/>
          <w:color w:val="201C17"/>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A57779" w14:paraId="4DA6CFBF" w14:textId="77777777" w:rsidTr="00671813">
        <w:trPr>
          <w:trHeight w:val="284"/>
        </w:trPr>
        <w:tc>
          <w:tcPr>
            <w:tcW w:w="6747" w:type="dxa"/>
            <w:vMerge w:val="restart"/>
            <w:tcBorders>
              <w:top w:val="nil"/>
              <w:left w:val="nil"/>
              <w:right w:val="single" w:sz="8" w:space="0" w:color="FFFFFF"/>
            </w:tcBorders>
            <w:shd w:val="clear" w:color="000000" w:fill="0077BD"/>
            <w:vAlign w:val="center"/>
            <w:hideMark/>
          </w:tcPr>
          <w:p w14:paraId="1CA8B56A" w14:textId="0E3894CF" w:rsidR="00631017" w:rsidRPr="00A57779" w:rsidRDefault="00631017" w:rsidP="00A57779">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0F44636C"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Rok kończący się 31 grudnia</w:t>
            </w:r>
          </w:p>
        </w:tc>
      </w:tr>
      <w:tr w:rsidR="00631017" w:rsidRPr="00A57779" w14:paraId="57546235" w14:textId="77777777" w:rsidTr="00671813">
        <w:trPr>
          <w:trHeight w:val="284"/>
        </w:trPr>
        <w:tc>
          <w:tcPr>
            <w:tcW w:w="6747" w:type="dxa"/>
            <w:vMerge/>
            <w:tcBorders>
              <w:left w:val="nil"/>
              <w:right w:val="single" w:sz="8" w:space="0" w:color="FFFFFF"/>
            </w:tcBorders>
            <w:shd w:val="clear" w:color="000000" w:fill="0077BD"/>
            <w:vAlign w:val="center"/>
            <w:hideMark/>
          </w:tcPr>
          <w:p w14:paraId="137C9DFE" w14:textId="715B6A0C" w:rsidR="00631017" w:rsidRPr="00A57779" w:rsidRDefault="00631017" w:rsidP="00A57779">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2EC5D751"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76E2012F" w14:textId="77777777" w:rsidR="00631017" w:rsidRPr="00A57779" w:rsidRDefault="00631017" w:rsidP="00A57779">
            <w:pPr>
              <w:jc w:val="right"/>
              <w:rPr>
                <w:rFonts w:cs="Calibri"/>
                <w:b/>
                <w:bCs/>
                <w:color w:val="FFFFFF"/>
                <w:sz w:val="13"/>
                <w:szCs w:val="13"/>
              </w:rPr>
            </w:pPr>
            <w:r w:rsidRPr="00A57779">
              <w:rPr>
                <w:rFonts w:cs="Calibri"/>
                <w:b/>
                <w:bCs/>
                <w:color w:val="FFFFFF"/>
                <w:sz w:val="13"/>
                <w:szCs w:val="13"/>
              </w:rPr>
              <w:t>2018</w:t>
            </w:r>
          </w:p>
        </w:tc>
      </w:tr>
      <w:tr w:rsidR="00454B96" w:rsidRPr="0068723D" w14:paraId="24467D2E" w14:textId="77777777" w:rsidTr="00671813">
        <w:trPr>
          <w:trHeight w:val="284"/>
        </w:trPr>
        <w:tc>
          <w:tcPr>
            <w:tcW w:w="6747" w:type="dxa"/>
            <w:tcBorders>
              <w:left w:val="nil"/>
              <w:bottom w:val="single" w:sz="4" w:space="0" w:color="0077BD"/>
              <w:right w:val="single" w:sz="8" w:space="0" w:color="0077BD"/>
            </w:tcBorders>
            <w:shd w:val="clear" w:color="auto" w:fill="auto"/>
            <w:vAlign w:val="center"/>
            <w:hideMark/>
          </w:tcPr>
          <w:p w14:paraId="5B486817" w14:textId="77777777" w:rsidR="00A57779" w:rsidRPr="0068723D" w:rsidRDefault="00A57779" w:rsidP="00A57779">
            <w:pPr>
              <w:rPr>
                <w:rFonts w:cs="Calibri"/>
                <w:color w:val="000000" w:themeColor="text1"/>
                <w:sz w:val="13"/>
                <w:szCs w:val="13"/>
              </w:rPr>
            </w:pPr>
            <w:r w:rsidRPr="0068723D">
              <w:rPr>
                <w:rFonts w:cs="Calibri"/>
                <w:color w:val="000000" w:themeColor="text1"/>
                <w:sz w:val="13"/>
                <w:szCs w:val="13"/>
              </w:rPr>
              <w:t>Papiery wartościowe przeznaczone do obrotu</w:t>
            </w:r>
          </w:p>
        </w:tc>
        <w:tc>
          <w:tcPr>
            <w:tcW w:w="1418" w:type="dxa"/>
            <w:tcBorders>
              <w:left w:val="nil"/>
              <w:bottom w:val="single" w:sz="4" w:space="0" w:color="0077BD"/>
              <w:right w:val="nil"/>
            </w:tcBorders>
            <w:shd w:val="clear" w:color="auto" w:fill="auto"/>
            <w:vAlign w:val="center"/>
          </w:tcPr>
          <w:p w14:paraId="03CE1639" w14:textId="000F058A" w:rsidR="00A57779" w:rsidRPr="00252982" w:rsidRDefault="00900CB0" w:rsidP="00A57779">
            <w:pPr>
              <w:jc w:val="right"/>
              <w:rPr>
                <w:rFonts w:cs="Calibri"/>
                <w:color w:val="000000" w:themeColor="text1"/>
                <w:sz w:val="13"/>
                <w:szCs w:val="13"/>
              </w:rPr>
            </w:pPr>
            <w:r w:rsidRPr="00252982">
              <w:rPr>
                <w:rFonts w:cs="Calibri"/>
                <w:color w:val="000000" w:themeColor="text1"/>
                <w:sz w:val="13"/>
                <w:szCs w:val="13"/>
              </w:rPr>
              <w:t>-</w:t>
            </w:r>
          </w:p>
        </w:tc>
        <w:tc>
          <w:tcPr>
            <w:tcW w:w="1418" w:type="dxa"/>
            <w:tcBorders>
              <w:left w:val="single" w:sz="8" w:space="0" w:color="0077BD"/>
              <w:bottom w:val="single" w:sz="4" w:space="0" w:color="0077BD"/>
              <w:right w:val="nil"/>
            </w:tcBorders>
            <w:shd w:val="clear" w:color="auto" w:fill="auto"/>
            <w:noWrap/>
            <w:vAlign w:val="center"/>
            <w:hideMark/>
          </w:tcPr>
          <w:p w14:paraId="14373059" w14:textId="77777777" w:rsidR="00A57779" w:rsidRPr="00252982" w:rsidRDefault="00A57779" w:rsidP="00A57779">
            <w:pPr>
              <w:jc w:val="right"/>
              <w:rPr>
                <w:rFonts w:cs="Calibri"/>
                <w:color w:val="000000" w:themeColor="text1"/>
                <w:sz w:val="13"/>
                <w:szCs w:val="13"/>
              </w:rPr>
            </w:pPr>
            <w:r w:rsidRPr="00252982">
              <w:rPr>
                <w:rFonts w:cs="Calibri"/>
                <w:color w:val="000000" w:themeColor="text1"/>
                <w:sz w:val="13"/>
                <w:szCs w:val="13"/>
              </w:rPr>
              <w:t>4</w:t>
            </w:r>
          </w:p>
        </w:tc>
      </w:tr>
      <w:tr w:rsidR="00454B96" w:rsidRPr="0068723D" w14:paraId="676F6C82" w14:textId="77777777" w:rsidTr="00C96B95">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47BA806E" w14:textId="2F7867E6" w:rsidR="00A57779" w:rsidRPr="0068723D" w:rsidRDefault="00A57779" w:rsidP="00A57779">
            <w:pPr>
              <w:rPr>
                <w:rFonts w:cs="Calibri"/>
                <w:color w:val="000000" w:themeColor="text1"/>
                <w:sz w:val="13"/>
                <w:szCs w:val="13"/>
              </w:rPr>
            </w:pPr>
            <w:r w:rsidRPr="0068723D">
              <w:rPr>
                <w:rFonts w:cs="Calibri"/>
                <w:color w:val="000000" w:themeColor="text1"/>
                <w:sz w:val="13"/>
                <w:szCs w:val="13"/>
              </w:rPr>
              <w:t>Aktywa</w:t>
            </w:r>
            <w:r w:rsidR="00C96B95">
              <w:rPr>
                <w:rFonts w:cs="Calibri"/>
                <w:color w:val="000000" w:themeColor="text1"/>
                <w:sz w:val="13"/>
                <w:szCs w:val="13"/>
              </w:rPr>
              <w:t xml:space="preserve"> finansowe </w:t>
            </w:r>
            <w:r w:rsidR="00C96B95" w:rsidRPr="00C96B95">
              <w:rPr>
                <w:rFonts w:cs="Calibri"/>
                <w:color w:val="000000" w:themeColor="text1"/>
                <w:sz w:val="13"/>
                <w:szCs w:val="13"/>
              </w:rPr>
              <w:t>nieprzeznaczone do obrotu obowiązkowo wyceniane w wartości godziwej przez wynik finansowy</w:t>
            </w:r>
          </w:p>
        </w:tc>
        <w:tc>
          <w:tcPr>
            <w:tcW w:w="1418" w:type="dxa"/>
            <w:tcBorders>
              <w:top w:val="nil"/>
              <w:left w:val="nil"/>
              <w:bottom w:val="single" w:sz="4" w:space="0" w:color="0077BD"/>
              <w:right w:val="nil"/>
            </w:tcBorders>
            <w:shd w:val="clear" w:color="auto" w:fill="auto"/>
            <w:vAlign w:val="center"/>
          </w:tcPr>
          <w:p w14:paraId="58DDE469" w14:textId="3737B836" w:rsidR="00A57779" w:rsidRPr="00252982" w:rsidRDefault="00900CB0" w:rsidP="00A57779">
            <w:pPr>
              <w:jc w:val="right"/>
              <w:rPr>
                <w:rFonts w:cs="Calibri"/>
                <w:color w:val="000000" w:themeColor="text1"/>
                <w:sz w:val="13"/>
                <w:szCs w:val="13"/>
              </w:rPr>
            </w:pPr>
            <w:r w:rsidRPr="00252982">
              <w:rPr>
                <w:rFonts w:cs="Calibri"/>
                <w:color w:val="000000" w:themeColor="text1"/>
                <w:sz w:val="13"/>
                <w:szCs w:val="13"/>
              </w:rPr>
              <w:t>4 220</w:t>
            </w:r>
          </w:p>
        </w:tc>
        <w:tc>
          <w:tcPr>
            <w:tcW w:w="1418" w:type="dxa"/>
            <w:tcBorders>
              <w:top w:val="nil"/>
              <w:left w:val="single" w:sz="8" w:space="0" w:color="0077BD"/>
              <w:bottom w:val="single" w:sz="4" w:space="0" w:color="0077BD"/>
              <w:right w:val="nil"/>
            </w:tcBorders>
            <w:shd w:val="clear" w:color="auto" w:fill="auto"/>
            <w:noWrap/>
            <w:vAlign w:val="center"/>
            <w:hideMark/>
          </w:tcPr>
          <w:p w14:paraId="539071ED" w14:textId="77777777" w:rsidR="00A57779" w:rsidRPr="00252982" w:rsidRDefault="00A57779" w:rsidP="00A57779">
            <w:pPr>
              <w:jc w:val="right"/>
              <w:rPr>
                <w:rFonts w:cs="Calibri"/>
                <w:color w:val="000000" w:themeColor="text1"/>
                <w:sz w:val="13"/>
                <w:szCs w:val="13"/>
              </w:rPr>
            </w:pPr>
            <w:r w:rsidRPr="00252982">
              <w:rPr>
                <w:rFonts w:cs="Calibri"/>
                <w:color w:val="000000" w:themeColor="text1"/>
                <w:sz w:val="13"/>
                <w:szCs w:val="13"/>
              </w:rPr>
              <w:t>3 554</w:t>
            </w:r>
          </w:p>
        </w:tc>
      </w:tr>
      <w:tr w:rsidR="00454B96" w:rsidRPr="0068723D" w14:paraId="2CDCCE91" w14:textId="77777777" w:rsidTr="00540208">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6150DF6" w14:textId="77777777" w:rsidR="00A57779" w:rsidRPr="0068723D" w:rsidRDefault="00A57779" w:rsidP="00A57779">
            <w:pPr>
              <w:rPr>
                <w:rFonts w:cs="Calibri"/>
                <w:b/>
                <w:bCs/>
                <w:color w:val="000000" w:themeColor="text1"/>
                <w:sz w:val="13"/>
                <w:szCs w:val="13"/>
              </w:rPr>
            </w:pPr>
            <w:r w:rsidRPr="0068723D">
              <w:rPr>
                <w:rFonts w:cs="Calibri"/>
                <w:b/>
                <w:bCs/>
                <w:color w:val="000000" w:themeColor="text1"/>
                <w:sz w:val="13"/>
                <w:szCs w:val="13"/>
              </w:rPr>
              <w:t>Przychody z tytułu dywidend, razem</w:t>
            </w:r>
          </w:p>
        </w:tc>
        <w:tc>
          <w:tcPr>
            <w:tcW w:w="1418" w:type="dxa"/>
            <w:tcBorders>
              <w:top w:val="single" w:sz="8" w:space="0" w:color="0077BD"/>
              <w:left w:val="nil"/>
              <w:bottom w:val="single" w:sz="8" w:space="0" w:color="0077BD"/>
              <w:right w:val="nil"/>
            </w:tcBorders>
            <w:shd w:val="clear" w:color="auto" w:fill="auto"/>
            <w:vAlign w:val="center"/>
          </w:tcPr>
          <w:p w14:paraId="70C552AF" w14:textId="7DB9E60D" w:rsidR="00A57779" w:rsidRPr="00252982" w:rsidRDefault="00900CB0" w:rsidP="00A57779">
            <w:pPr>
              <w:jc w:val="right"/>
              <w:rPr>
                <w:rFonts w:cs="Calibri"/>
                <w:b/>
                <w:bCs/>
                <w:color w:val="000000" w:themeColor="text1"/>
                <w:sz w:val="13"/>
                <w:szCs w:val="13"/>
              </w:rPr>
            </w:pPr>
            <w:r w:rsidRPr="00252982">
              <w:rPr>
                <w:rFonts w:cs="Calibri"/>
                <w:b/>
                <w:bCs/>
                <w:color w:val="000000" w:themeColor="text1"/>
                <w:sz w:val="13"/>
                <w:szCs w:val="13"/>
              </w:rPr>
              <w:t>4 220</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5D01E5E1" w14:textId="77777777" w:rsidR="00A57779" w:rsidRPr="00252982" w:rsidRDefault="00A57779" w:rsidP="00A57779">
            <w:pPr>
              <w:jc w:val="right"/>
              <w:rPr>
                <w:rFonts w:cs="Calibri"/>
                <w:b/>
                <w:bCs/>
                <w:color w:val="000000" w:themeColor="text1"/>
                <w:sz w:val="13"/>
                <w:szCs w:val="13"/>
              </w:rPr>
            </w:pPr>
            <w:r w:rsidRPr="00252982">
              <w:rPr>
                <w:rFonts w:cs="Calibri"/>
                <w:b/>
                <w:bCs/>
                <w:color w:val="000000" w:themeColor="text1"/>
                <w:sz w:val="13"/>
                <w:szCs w:val="13"/>
              </w:rPr>
              <w:t>3 558</w:t>
            </w:r>
          </w:p>
        </w:tc>
      </w:tr>
    </w:tbl>
    <w:p w14:paraId="5B66880B" w14:textId="77777777" w:rsidR="00C476A2" w:rsidRDefault="00C476A2" w:rsidP="003F6F61">
      <w:pPr>
        <w:rPr>
          <w:rFonts w:cs="Tahoma"/>
          <w:color w:val="201C17"/>
          <w:sz w:val="18"/>
          <w:szCs w:val="18"/>
        </w:rPr>
      </w:pPr>
    </w:p>
    <w:p w14:paraId="03DD924C" w14:textId="429B8779" w:rsidR="0019529A" w:rsidRDefault="0019529A"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22" w:name="_Toc32999840"/>
      <w:r>
        <w:rPr>
          <w:rFonts w:cs="Tahoma"/>
          <w:bCs w:val="0"/>
          <w:iCs w:val="0"/>
          <w:color w:val="E41E0A"/>
          <w:sz w:val="18"/>
          <w:szCs w:val="18"/>
        </w:rPr>
        <w:t>Wynik na działalności handlowej</w:t>
      </w:r>
      <w:bookmarkEnd w:id="122"/>
    </w:p>
    <w:p w14:paraId="63A906F2" w14:textId="77777777" w:rsidR="002A4975" w:rsidRPr="002A4975" w:rsidRDefault="002A4975" w:rsidP="002A4975"/>
    <w:tbl>
      <w:tblPr>
        <w:tblW w:w="0" w:type="auto"/>
        <w:tblCellMar>
          <w:left w:w="28" w:type="dxa"/>
          <w:right w:w="28" w:type="dxa"/>
        </w:tblCellMar>
        <w:tblLook w:val="04A0" w:firstRow="1" w:lastRow="0" w:firstColumn="1" w:lastColumn="0" w:noHBand="0" w:noVBand="1"/>
      </w:tblPr>
      <w:tblGrid>
        <w:gridCol w:w="6745"/>
        <w:gridCol w:w="1418"/>
        <w:gridCol w:w="1418"/>
      </w:tblGrid>
      <w:tr w:rsidR="00631017" w:rsidRPr="002A4975" w14:paraId="3AB9DAE4" w14:textId="77777777" w:rsidTr="00671813">
        <w:trPr>
          <w:trHeight w:val="284"/>
        </w:trPr>
        <w:tc>
          <w:tcPr>
            <w:tcW w:w="6745" w:type="dxa"/>
            <w:vMerge w:val="restart"/>
            <w:tcBorders>
              <w:top w:val="nil"/>
              <w:left w:val="nil"/>
              <w:right w:val="single" w:sz="8" w:space="0" w:color="FFFFFF"/>
            </w:tcBorders>
            <w:shd w:val="clear" w:color="000000" w:fill="0077BD"/>
            <w:vAlign w:val="center"/>
            <w:hideMark/>
          </w:tcPr>
          <w:p w14:paraId="2FB54B75" w14:textId="7E241D8A" w:rsidR="00631017" w:rsidRPr="002A4975" w:rsidRDefault="00631017" w:rsidP="002A4975">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591CA384" w14:textId="77777777" w:rsidR="00631017" w:rsidRPr="002A4975" w:rsidRDefault="00631017" w:rsidP="002A4975">
            <w:pPr>
              <w:jc w:val="right"/>
              <w:rPr>
                <w:rFonts w:cs="Calibri"/>
                <w:b/>
                <w:bCs/>
                <w:color w:val="FFFFFF"/>
                <w:sz w:val="13"/>
                <w:szCs w:val="13"/>
              </w:rPr>
            </w:pPr>
            <w:r w:rsidRPr="002A4975">
              <w:rPr>
                <w:rFonts w:cs="Calibri"/>
                <w:b/>
                <w:bCs/>
                <w:color w:val="FFFFFF"/>
                <w:sz w:val="13"/>
                <w:szCs w:val="13"/>
              </w:rPr>
              <w:t>Rok kończący się 31 grudnia</w:t>
            </w:r>
          </w:p>
        </w:tc>
      </w:tr>
      <w:tr w:rsidR="00631017" w:rsidRPr="002A4975" w14:paraId="18BF87C3" w14:textId="77777777" w:rsidTr="00020DE3">
        <w:trPr>
          <w:trHeight w:val="284"/>
        </w:trPr>
        <w:tc>
          <w:tcPr>
            <w:tcW w:w="6745" w:type="dxa"/>
            <w:vMerge/>
            <w:tcBorders>
              <w:left w:val="nil"/>
              <w:right w:val="single" w:sz="8" w:space="0" w:color="FFFFFF"/>
            </w:tcBorders>
            <w:shd w:val="clear" w:color="000000" w:fill="0077BD"/>
            <w:vAlign w:val="center"/>
            <w:hideMark/>
          </w:tcPr>
          <w:p w14:paraId="070F31CD" w14:textId="50BDA75C" w:rsidR="00631017" w:rsidRPr="002A4975" w:rsidRDefault="00631017" w:rsidP="002A4975">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6CF63832" w14:textId="77777777" w:rsidR="00631017" w:rsidRPr="002A4975" w:rsidRDefault="00631017" w:rsidP="002A4975">
            <w:pPr>
              <w:jc w:val="right"/>
              <w:rPr>
                <w:rFonts w:cs="Calibri"/>
                <w:b/>
                <w:bCs/>
                <w:color w:val="FFFFFF"/>
                <w:sz w:val="13"/>
                <w:szCs w:val="13"/>
              </w:rPr>
            </w:pPr>
            <w:r w:rsidRPr="002A4975">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3CD6D53E" w14:textId="77777777" w:rsidR="00631017" w:rsidRPr="002A4975" w:rsidRDefault="00631017" w:rsidP="002A4975">
            <w:pPr>
              <w:jc w:val="right"/>
              <w:rPr>
                <w:rFonts w:cs="Calibri"/>
                <w:b/>
                <w:bCs/>
                <w:color w:val="FFFFFF"/>
                <w:sz w:val="13"/>
                <w:szCs w:val="13"/>
              </w:rPr>
            </w:pPr>
            <w:r w:rsidRPr="002A4975">
              <w:rPr>
                <w:rFonts w:cs="Calibri"/>
                <w:b/>
                <w:bCs/>
                <w:color w:val="FFFFFF"/>
                <w:sz w:val="13"/>
                <w:szCs w:val="13"/>
              </w:rPr>
              <w:t>2018</w:t>
            </w:r>
          </w:p>
        </w:tc>
      </w:tr>
      <w:tr w:rsidR="00E8168B" w:rsidRPr="0068723D" w14:paraId="4993866E" w14:textId="77777777" w:rsidTr="00020DE3">
        <w:trPr>
          <w:trHeight w:val="284"/>
        </w:trPr>
        <w:tc>
          <w:tcPr>
            <w:tcW w:w="6745" w:type="dxa"/>
            <w:tcBorders>
              <w:left w:val="nil"/>
              <w:bottom w:val="single" w:sz="8" w:space="0" w:color="0077BD"/>
              <w:right w:val="single" w:sz="8" w:space="0" w:color="0077BD"/>
            </w:tcBorders>
            <w:shd w:val="clear" w:color="auto" w:fill="auto"/>
            <w:vAlign w:val="center"/>
            <w:hideMark/>
          </w:tcPr>
          <w:p w14:paraId="06C80E53" w14:textId="77777777" w:rsidR="00E8168B" w:rsidRPr="0068723D" w:rsidRDefault="00E8168B" w:rsidP="00E8168B">
            <w:pPr>
              <w:rPr>
                <w:rFonts w:cs="Calibri"/>
                <w:b/>
                <w:bCs/>
                <w:color w:val="000000" w:themeColor="text1"/>
                <w:sz w:val="13"/>
                <w:szCs w:val="13"/>
              </w:rPr>
            </w:pPr>
            <w:r w:rsidRPr="0068723D">
              <w:rPr>
                <w:rFonts w:cs="Calibri"/>
                <w:b/>
                <w:bCs/>
                <w:color w:val="000000" w:themeColor="text1"/>
                <w:sz w:val="13"/>
                <w:szCs w:val="13"/>
              </w:rPr>
              <w:t>Wynik z pozycji wymiany</w:t>
            </w:r>
          </w:p>
        </w:tc>
        <w:tc>
          <w:tcPr>
            <w:tcW w:w="1418" w:type="dxa"/>
            <w:tcBorders>
              <w:left w:val="single" w:sz="8" w:space="0" w:color="0077BD"/>
              <w:bottom w:val="single" w:sz="8" w:space="0" w:color="0077BD"/>
              <w:right w:val="nil"/>
            </w:tcBorders>
            <w:shd w:val="clear" w:color="auto" w:fill="auto"/>
            <w:vAlign w:val="center"/>
          </w:tcPr>
          <w:p w14:paraId="43DA2865" w14:textId="5F004828"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381 547</w:t>
            </w:r>
          </w:p>
        </w:tc>
        <w:tc>
          <w:tcPr>
            <w:tcW w:w="1418" w:type="dxa"/>
            <w:tcBorders>
              <w:left w:val="single" w:sz="8" w:space="0" w:color="0077BD"/>
              <w:bottom w:val="single" w:sz="8" w:space="0" w:color="0077BD"/>
              <w:right w:val="nil"/>
            </w:tcBorders>
            <w:shd w:val="clear" w:color="auto" w:fill="auto"/>
            <w:vAlign w:val="center"/>
            <w:hideMark/>
          </w:tcPr>
          <w:p w14:paraId="234C84E8" w14:textId="77777777"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323 472</w:t>
            </w:r>
          </w:p>
        </w:tc>
      </w:tr>
      <w:tr w:rsidR="00E8168B" w:rsidRPr="0068723D" w14:paraId="42F5D571" w14:textId="77777777" w:rsidTr="00CA5E84">
        <w:trPr>
          <w:trHeight w:val="284"/>
        </w:trPr>
        <w:tc>
          <w:tcPr>
            <w:tcW w:w="6745" w:type="dxa"/>
            <w:tcBorders>
              <w:top w:val="single" w:sz="4" w:space="0" w:color="0077BD"/>
              <w:left w:val="nil"/>
              <w:bottom w:val="single" w:sz="4" w:space="0" w:color="0077BD"/>
              <w:right w:val="single" w:sz="8" w:space="0" w:color="0077BD"/>
            </w:tcBorders>
            <w:shd w:val="clear" w:color="auto" w:fill="auto"/>
            <w:vAlign w:val="center"/>
            <w:hideMark/>
          </w:tcPr>
          <w:p w14:paraId="3B99151C"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Różnice kursowe netto z przeliczenia</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7ACBA344" w14:textId="28DCFF06"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347 956</w:t>
            </w:r>
          </w:p>
        </w:tc>
        <w:tc>
          <w:tcPr>
            <w:tcW w:w="1418" w:type="dxa"/>
            <w:tcBorders>
              <w:top w:val="single" w:sz="4" w:space="0" w:color="0077BD"/>
              <w:left w:val="single" w:sz="8" w:space="0" w:color="0077BD"/>
              <w:bottom w:val="single" w:sz="4" w:space="0" w:color="0077BD"/>
              <w:right w:val="nil"/>
            </w:tcBorders>
            <w:shd w:val="clear" w:color="auto" w:fill="auto"/>
            <w:vAlign w:val="center"/>
            <w:hideMark/>
          </w:tcPr>
          <w:p w14:paraId="71436E92"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388 092</w:t>
            </w:r>
          </w:p>
        </w:tc>
      </w:tr>
      <w:tr w:rsidR="00E8168B" w:rsidRPr="0068723D" w14:paraId="6FA0D967"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6C0A3A5F"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Zyski z transakcji minus straty</w:t>
            </w:r>
          </w:p>
        </w:tc>
        <w:tc>
          <w:tcPr>
            <w:tcW w:w="1418" w:type="dxa"/>
            <w:tcBorders>
              <w:top w:val="nil"/>
              <w:left w:val="single" w:sz="8" w:space="0" w:color="0077BD"/>
              <w:bottom w:val="single" w:sz="4" w:space="0" w:color="0077BD"/>
              <w:right w:val="nil"/>
            </w:tcBorders>
            <w:shd w:val="clear" w:color="auto" w:fill="auto"/>
            <w:vAlign w:val="center"/>
          </w:tcPr>
          <w:p w14:paraId="5F6E450C" w14:textId="41305083"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33 591</w:t>
            </w:r>
          </w:p>
        </w:tc>
        <w:tc>
          <w:tcPr>
            <w:tcW w:w="1418" w:type="dxa"/>
            <w:tcBorders>
              <w:top w:val="nil"/>
              <w:left w:val="single" w:sz="8" w:space="0" w:color="0077BD"/>
              <w:bottom w:val="single" w:sz="4" w:space="0" w:color="0077BD"/>
              <w:right w:val="nil"/>
            </w:tcBorders>
            <w:shd w:val="clear" w:color="auto" w:fill="auto"/>
            <w:vAlign w:val="center"/>
            <w:hideMark/>
          </w:tcPr>
          <w:p w14:paraId="245BC4FD"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(64 620)</w:t>
            </w:r>
          </w:p>
        </w:tc>
      </w:tr>
      <w:tr w:rsidR="00E8168B" w:rsidRPr="0068723D" w14:paraId="503E83E5" w14:textId="77777777" w:rsidTr="00CA5E84">
        <w:trPr>
          <w:trHeight w:val="284"/>
        </w:trPr>
        <w:tc>
          <w:tcPr>
            <w:tcW w:w="6745" w:type="dxa"/>
            <w:tcBorders>
              <w:top w:val="single" w:sz="8" w:space="0" w:color="0077BD"/>
              <w:left w:val="nil"/>
              <w:bottom w:val="single" w:sz="8" w:space="0" w:color="0077BD"/>
              <w:right w:val="single" w:sz="8" w:space="0" w:color="0077BD"/>
            </w:tcBorders>
            <w:shd w:val="clear" w:color="auto" w:fill="auto"/>
            <w:vAlign w:val="center"/>
            <w:hideMark/>
          </w:tcPr>
          <w:p w14:paraId="08C126CD" w14:textId="77777777" w:rsidR="00E8168B" w:rsidRPr="0068723D" w:rsidRDefault="00E8168B" w:rsidP="00E8168B">
            <w:pPr>
              <w:rPr>
                <w:rFonts w:cs="Calibri"/>
                <w:b/>
                <w:bCs/>
                <w:color w:val="000000" w:themeColor="text1"/>
                <w:sz w:val="13"/>
                <w:szCs w:val="13"/>
              </w:rPr>
            </w:pPr>
            <w:r w:rsidRPr="0068723D">
              <w:rPr>
                <w:rFonts w:cs="Calibri"/>
                <w:b/>
                <w:bCs/>
                <w:color w:val="000000" w:themeColor="text1"/>
                <w:sz w:val="13"/>
                <w:szCs w:val="13"/>
              </w:rPr>
              <w:t>Zyski lub straty z tytułu aktywów oraz zobowiązań finansowych przeznaczonych do obrotu</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74FA4CFA" w14:textId="758D886E"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50 788</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4168101A" w14:textId="77777777"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30 571</w:t>
            </w:r>
          </w:p>
        </w:tc>
      </w:tr>
      <w:tr w:rsidR="00E8168B" w:rsidRPr="0068723D" w14:paraId="452DC835" w14:textId="77777777" w:rsidTr="00CA5E84">
        <w:trPr>
          <w:trHeight w:val="284"/>
        </w:trPr>
        <w:tc>
          <w:tcPr>
            <w:tcW w:w="6745" w:type="dxa"/>
            <w:tcBorders>
              <w:top w:val="single" w:sz="4" w:space="0" w:color="0077BD"/>
              <w:left w:val="nil"/>
              <w:bottom w:val="single" w:sz="4" w:space="0" w:color="0077BD"/>
              <w:right w:val="single" w:sz="8" w:space="0" w:color="0077BD"/>
            </w:tcBorders>
            <w:shd w:val="clear" w:color="auto" w:fill="auto"/>
            <w:vAlign w:val="center"/>
            <w:hideMark/>
          </w:tcPr>
          <w:p w14:paraId="0956C8DA"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Instrumenty pochodne, w tym:</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616412CF" w14:textId="51B7D1CE"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16 903</w:t>
            </w:r>
          </w:p>
        </w:tc>
        <w:tc>
          <w:tcPr>
            <w:tcW w:w="1418" w:type="dxa"/>
            <w:tcBorders>
              <w:top w:val="single" w:sz="4" w:space="0" w:color="0077BD"/>
              <w:left w:val="single" w:sz="8" w:space="0" w:color="0077BD"/>
              <w:bottom w:val="single" w:sz="4" w:space="0" w:color="0077BD"/>
              <w:right w:val="nil"/>
            </w:tcBorders>
            <w:shd w:val="clear" w:color="auto" w:fill="auto"/>
            <w:vAlign w:val="center"/>
            <w:hideMark/>
          </w:tcPr>
          <w:p w14:paraId="57327134"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27 699</w:t>
            </w:r>
          </w:p>
        </w:tc>
      </w:tr>
      <w:tr w:rsidR="00E8168B" w:rsidRPr="0068723D" w14:paraId="5E810810"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08667DD0" w14:textId="77777777" w:rsidR="00E8168B" w:rsidRPr="0068723D" w:rsidRDefault="00E8168B" w:rsidP="00E8168B">
            <w:pPr>
              <w:ind w:firstLineChars="100" w:firstLine="130"/>
              <w:rPr>
                <w:rFonts w:cs="Calibri"/>
                <w:i/>
                <w:iCs/>
                <w:color w:val="000000" w:themeColor="text1"/>
                <w:sz w:val="13"/>
                <w:szCs w:val="13"/>
              </w:rPr>
            </w:pPr>
            <w:r w:rsidRPr="0068723D">
              <w:rPr>
                <w:rFonts w:cs="Calibri"/>
                <w:i/>
                <w:iCs/>
                <w:color w:val="000000" w:themeColor="text1"/>
                <w:sz w:val="13"/>
                <w:szCs w:val="13"/>
              </w:rPr>
              <w:t>- Instrumenty odsetkowe</w:t>
            </w:r>
          </w:p>
        </w:tc>
        <w:tc>
          <w:tcPr>
            <w:tcW w:w="1418" w:type="dxa"/>
            <w:tcBorders>
              <w:top w:val="nil"/>
              <w:left w:val="single" w:sz="8" w:space="0" w:color="0077BD"/>
              <w:bottom w:val="single" w:sz="4" w:space="0" w:color="0077BD"/>
              <w:right w:val="nil"/>
            </w:tcBorders>
            <w:shd w:val="clear" w:color="auto" w:fill="auto"/>
            <w:vAlign w:val="center"/>
          </w:tcPr>
          <w:p w14:paraId="5EF53EE5" w14:textId="13F8B0C4" w:rsidR="00E8168B" w:rsidRPr="00252982" w:rsidRDefault="00E8168B" w:rsidP="00E8168B">
            <w:pPr>
              <w:jc w:val="right"/>
              <w:rPr>
                <w:rFonts w:cs="Calibri"/>
                <w:i/>
                <w:iCs/>
                <w:color w:val="000000" w:themeColor="text1"/>
                <w:sz w:val="13"/>
                <w:szCs w:val="13"/>
              </w:rPr>
            </w:pPr>
            <w:r w:rsidRPr="00252982">
              <w:rPr>
                <w:rFonts w:cs="Calibri"/>
                <w:i/>
                <w:iCs/>
                <w:color w:val="000000" w:themeColor="text1"/>
                <w:sz w:val="13"/>
                <w:szCs w:val="13"/>
              </w:rPr>
              <w:t>9 013</w:t>
            </w:r>
          </w:p>
        </w:tc>
        <w:tc>
          <w:tcPr>
            <w:tcW w:w="1418" w:type="dxa"/>
            <w:tcBorders>
              <w:top w:val="nil"/>
              <w:left w:val="single" w:sz="8" w:space="0" w:color="0077BD"/>
              <w:bottom w:val="single" w:sz="4" w:space="0" w:color="0077BD"/>
              <w:right w:val="nil"/>
            </w:tcBorders>
            <w:shd w:val="clear" w:color="auto" w:fill="auto"/>
            <w:vAlign w:val="center"/>
            <w:hideMark/>
          </w:tcPr>
          <w:p w14:paraId="017AC916" w14:textId="77777777" w:rsidR="00E8168B" w:rsidRPr="00252982" w:rsidRDefault="00E8168B" w:rsidP="00E8168B">
            <w:pPr>
              <w:jc w:val="right"/>
              <w:rPr>
                <w:rFonts w:cs="Calibri"/>
                <w:i/>
                <w:iCs/>
                <w:color w:val="000000" w:themeColor="text1"/>
                <w:sz w:val="13"/>
                <w:szCs w:val="13"/>
              </w:rPr>
            </w:pPr>
            <w:r w:rsidRPr="00252982">
              <w:rPr>
                <w:rFonts w:cs="Calibri"/>
                <w:i/>
                <w:iCs/>
                <w:color w:val="000000" w:themeColor="text1"/>
                <w:sz w:val="13"/>
                <w:szCs w:val="13"/>
              </w:rPr>
              <w:t>18 732</w:t>
            </w:r>
          </w:p>
        </w:tc>
      </w:tr>
      <w:tr w:rsidR="00E8168B" w:rsidRPr="0068723D" w14:paraId="61B2E7A6"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171F3B10" w14:textId="77777777" w:rsidR="00E8168B" w:rsidRPr="0068723D" w:rsidRDefault="00E8168B" w:rsidP="00E8168B">
            <w:pPr>
              <w:ind w:firstLineChars="100" w:firstLine="130"/>
              <w:rPr>
                <w:rFonts w:cs="Calibri"/>
                <w:i/>
                <w:iCs/>
                <w:color w:val="000000" w:themeColor="text1"/>
                <w:sz w:val="13"/>
                <w:szCs w:val="13"/>
              </w:rPr>
            </w:pPr>
            <w:r w:rsidRPr="0068723D">
              <w:rPr>
                <w:rFonts w:cs="Calibri"/>
                <w:i/>
                <w:iCs/>
                <w:color w:val="000000" w:themeColor="text1"/>
                <w:sz w:val="13"/>
                <w:szCs w:val="13"/>
              </w:rPr>
              <w:t>- Instrumenty na ryzyko rynkowe</w:t>
            </w:r>
          </w:p>
        </w:tc>
        <w:tc>
          <w:tcPr>
            <w:tcW w:w="1418" w:type="dxa"/>
            <w:tcBorders>
              <w:top w:val="nil"/>
              <w:left w:val="single" w:sz="8" w:space="0" w:color="0077BD"/>
              <w:bottom w:val="single" w:sz="4" w:space="0" w:color="0077BD"/>
              <w:right w:val="nil"/>
            </w:tcBorders>
            <w:shd w:val="clear" w:color="auto" w:fill="auto"/>
            <w:vAlign w:val="center"/>
          </w:tcPr>
          <w:p w14:paraId="24298D4F" w14:textId="46A21C61" w:rsidR="00E8168B" w:rsidRPr="00252982" w:rsidRDefault="00E8168B" w:rsidP="00E8168B">
            <w:pPr>
              <w:jc w:val="right"/>
              <w:rPr>
                <w:rFonts w:cs="Calibri"/>
                <w:i/>
                <w:iCs/>
                <w:color w:val="000000" w:themeColor="text1"/>
                <w:sz w:val="13"/>
                <w:szCs w:val="13"/>
              </w:rPr>
            </w:pPr>
            <w:r w:rsidRPr="00252982">
              <w:rPr>
                <w:rFonts w:cs="Calibri"/>
                <w:i/>
                <w:iCs/>
                <w:color w:val="000000" w:themeColor="text1"/>
                <w:sz w:val="13"/>
                <w:szCs w:val="13"/>
              </w:rPr>
              <w:t>7 890</w:t>
            </w:r>
          </w:p>
        </w:tc>
        <w:tc>
          <w:tcPr>
            <w:tcW w:w="1418" w:type="dxa"/>
            <w:tcBorders>
              <w:top w:val="nil"/>
              <w:left w:val="single" w:sz="8" w:space="0" w:color="0077BD"/>
              <w:bottom w:val="single" w:sz="4" w:space="0" w:color="0077BD"/>
              <w:right w:val="nil"/>
            </w:tcBorders>
            <w:shd w:val="clear" w:color="auto" w:fill="auto"/>
            <w:vAlign w:val="center"/>
            <w:hideMark/>
          </w:tcPr>
          <w:p w14:paraId="691EE7E3" w14:textId="77777777" w:rsidR="00E8168B" w:rsidRPr="00252982" w:rsidRDefault="00E8168B" w:rsidP="00E8168B">
            <w:pPr>
              <w:jc w:val="right"/>
              <w:rPr>
                <w:rFonts w:cs="Calibri"/>
                <w:i/>
                <w:iCs/>
                <w:color w:val="000000" w:themeColor="text1"/>
                <w:sz w:val="13"/>
                <w:szCs w:val="13"/>
              </w:rPr>
            </w:pPr>
            <w:r w:rsidRPr="00252982">
              <w:rPr>
                <w:rFonts w:cs="Calibri"/>
                <w:i/>
                <w:iCs/>
                <w:color w:val="000000" w:themeColor="text1"/>
                <w:sz w:val="13"/>
                <w:szCs w:val="13"/>
              </w:rPr>
              <w:t>8 967</w:t>
            </w:r>
          </w:p>
        </w:tc>
      </w:tr>
      <w:tr w:rsidR="00E8168B" w:rsidRPr="0068723D" w14:paraId="6F7DC1D1"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276DB2A2"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Instrumenty kapitałowe</w:t>
            </w:r>
          </w:p>
        </w:tc>
        <w:tc>
          <w:tcPr>
            <w:tcW w:w="1418" w:type="dxa"/>
            <w:tcBorders>
              <w:top w:val="nil"/>
              <w:left w:val="single" w:sz="8" w:space="0" w:color="0077BD"/>
              <w:bottom w:val="single" w:sz="4" w:space="0" w:color="0077BD"/>
              <w:right w:val="nil"/>
            </w:tcBorders>
            <w:shd w:val="clear" w:color="auto" w:fill="auto"/>
            <w:vAlign w:val="center"/>
          </w:tcPr>
          <w:p w14:paraId="366AB6D6" w14:textId="54279286"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36F4FC3F"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(823)</w:t>
            </w:r>
          </w:p>
        </w:tc>
      </w:tr>
      <w:tr w:rsidR="00E8168B" w:rsidRPr="0068723D" w14:paraId="20B124A4"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46817353"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Dłużne papiery wartościowe</w:t>
            </w:r>
          </w:p>
        </w:tc>
        <w:tc>
          <w:tcPr>
            <w:tcW w:w="1418" w:type="dxa"/>
            <w:tcBorders>
              <w:top w:val="nil"/>
              <w:left w:val="single" w:sz="8" w:space="0" w:color="0077BD"/>
              <w:bottom w:val="single" w:sz="4" w:space="0" w:color="0077BD"/>
              <w:right w:val="nil"/>
            </w:tcBorders>
            <w:shd w:val="clear" w:color="auto" w:fill="auto"/>
            <w:vAlign w:val="center"/>
          </w:tcPr>
          <w:p w14:paraId="6F320F7E" w14:textId="0D2CFDFE"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34 026</w:t>
            </w:r>
          </w:p>
        </w:tc>
        <w:tc>
          <w:tcPr>
            <w:tcW w:w="1418" w:type="dxa"/>
            <w:tcBorders>
              <w:top w:val="nil"/>
              <w:left w:val="single" w:sz="8" w:space="0" w:color="0077BD"/>
              <w:bottom w:val="single" w:sz="4" w:space="0" w:color="0077BD"/>
              <w:right w:val="nil"/>
            </w:tcBorders>
            <w:shd w:val="clear" w:color="auto" w:fill="auto"/>
            <w:vAlign w:val="center"/>
            <w:hideMark/>
          </w:tcPr>
          <w:p w14:paraId="6E893487"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3 558</w:t>
            </w:r>
          </w:p>
        </w:tc>
      </w:tr>
      <w:tr w:rsidR="00E8168B" w:rsidRPr="0068723D" w14:paraId="646A0CE6"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46D77C52"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Kredyty i pożyczki</w:t>
            </w:r>
          </w:p>
        </w:tc>
        <w:tc>
          <w:tcPr>
            <w:tcW w:w="1418" w:type="dxa"/>
            <w:tcBorders>
              <w:top w:val="nil"/>
              <w:left w:val="single" w:sz="8" w:space="0" w:color="0077BD"/>
              <w:bottom w:val="single" w:sz="4" w:space="0" w:color="0077BD"/>
              <w:right w:val="nil"/>
            </w:tcBorders>
            <w:shd w:val="clear" w:color="auto" w:fill="auto"/>
            <w:vAlign w:val="center"/>
          </w:tcPr>
          <w:p w14:paraId="53C94056" w14:textId="1218AE8D"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(141)</w:t>
            </w:r>
          </w:p>
        </w:tc>
        <w:tc>
          <w:tcPr>
            <w:tcW w:w="1418" w:type="dxa"/>
            <w:tcBorders>
              <w:top w:val="nil"/>
              <w:left w:val="single" w:sz="8" w:space="0" w:color="0077BD"/>
              <w:bottom w:val="single" w:sz="4" w:space="0" w:color="0077BD"/>
              <w:right w:val="nil"/>
            </w:tcBorders>
            <w:shd w:val="clear" w:color="auto" w:fill="auto"/>
            <w:vAlign w:val="center"/>
            <w:hideMark/>
          </w:tcPr>
          <w:p w14:paraId="6AB60851"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137</w:t>
            </w:r>
          </w:p>
        </w:tc>
      </w:tr>
      <w:tr w:rsidR="00E8168B" w:rsidRPr="0068723D" w14:paraId="36B02F3E" w14:textId="77777777" w:rsidTr="00CA5E84">
        <w:trPr>
          <w:trHeight w:val="284"/>
        </w:trPr>
        <w:tc>
          <w:tcPr>
            <w:tcW w:w="6745" w:type="dxa"/>
            <w:tcBorders>
              <w:top w:val="single" w:sz="8" w:space="0" w:color="0077BD"/>
              <w:left w:val="nil"/>
              <w:bottom w:val="single" w:sz="8" w:space="0" w:color="0077BD"/>
              <w:right w:val="single" w:sz="8" w:space="0" w:color="0077BD"/>
            </w:tcBorders>
            <w:shd w:val="clear" w:color="auto" w:fill="auto"/>
            <w:vAlign w:val="center"/>
            <w:hideMark/>
          </w:tcPr>
          <w:p w14:paraId="4B4B6677" w14:textId="77777777" w:rsidR="00E8168B" w:rsidRPr="0068723D" w:rsidRDefault="00E8168B" w:rsidP="00E8168B">
            <w:pPr>
              <w:rPr>
                <w:rFonts w:cs="Calibri"/>
                <w:b/>
                <w:bCs/>
                <w:color w:val="000000" w:themeColor="text1"/>
                <w:sz w:val="13"/>
                <w:szCs w:val="13"/>
              </w:rPr>
            </w:pPr>
            <w:r w:rsidRPr="0068723D">
              <w:rPr>
                <w:rFonts w:cs="Calibri"/>
                <w:b/>
                <w:bCs/>
                <w:color w:val="000000" w:themeColor="text1"/>
                <w:sz w:val="13"/>
                <w:szCs w:val="13"/>
              </w:rPr>
              <w:t>Zyski lub straty z rachunkowości zabezpieczeń</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26A6BD99" w14:textId="3C97DD00"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8 195</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65C44C4E" w14:textId="77777777"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(6 707)</w:t>
            </w:r>
          </w:p>
        </w:tc>
      </w:tr>
      <w:tr w:rsidR="00E8168B" w:rsidRPr="0068723D" w14:paraId="5BA56015" w14:textId="77777777" w:rsidTr="00CA5E84">
        <w:trPr>
          <w:trHeight w:val="284"/>
        </w:trPr>
        <w:tc>
          <w:tcPr>
            <w:tcW w:w="6745" w:type="dxa"/>
            <w:tcBorders>
              <w:top w:val="single" w:sz="4" w:space="0" w:color="0077BD"/>
              <w:left w:val="nil"/>
              <w:bottom w:val="single" w:sz="4" w:space="0" w:color="0077BD"/>
              <w:right w:val="single" w:sz="8" w:space="0" w:color="0077BD"/>
            </w:tcBorders>
            <w:shd w:val="clear" w:color="auto" w:fill="auto"/>
            <w:vAlign w:val="center"/>
            <w:hideMark/>
          </w:tcPr>
          <w:p w14:paraId="20112E60"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Wynik z wyceny pozycji zabezpieczanych</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4E2CCBFA" w14:textId="29062038"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(80 277)</w:t>
            </w:r>
          </w:p>
        </w:tc>
        <w:tc>
          <w:tcPr>
            <w:tcW w:w="1418" w:type="dxa"/>
            <w:tcBorders>
              <w:top w:val="single" w:sz="4" w:space="0" w:color="0077BD"/>
              <w:left w:val="single" w:sz="8" w:space="0" w:color="0077BD"/>
              <w:bottom w:val="single" w:sz="4" w:space="0" w:color="0077BD"/>
              <w:right w:val="nil"/>
            </w:tcBorders>
            <w:shd w:val="clear" w:color="auto" w:fill="auto"/>
            <w:vAlign w:val="center"/>
            <w:hideMark/>
          </w:tcPr>
          <w:p w14:paraId="279A0B04"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(76 367)</w:t>
            </w:r>
          </w:p>
        </w:tc>
      </w:tr>
      <w:tr w:rsidR="00E8168B" w:rsidRPr="0068723D" w14:paraId="2F9C1C02"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7263F857"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Wynik z wyceny instrumentów zabezpieczających wartość godziwą</w:t>
            </w:r>
          </w:p>
        </w:tc>
        <w:tc>
          <w:tcPr>
            <w:tcW w:w="1418" w:type="dxa"/>
            <w:tcBorders>
              <w:top w:val="nil"/>
              <w:left w:val="single" w:sz="8" w:space="0" w:color="0077BD"/>
              <w:bottom w:val="single" w:sz="4" w:space="0" w:color="0077BD"/>
              <w:right w:val="nil"/>
            </w:tcBorders>
            <w:shd w:val="clear" w:color="auto" w:fill="auto"/>
            <w:vAlign w:val="center"/>
          </w:tcPr>
          <w:p w14:paraId="003B2555" w14:textId="6B0EC84D"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90 700</w:t>
            </w:r>
          </w:p>
        </w:tc>
        <w:tc>
          <w:tcPr>
            <w:tcW w:w="1418" w:type="dxa"/>
            <w:tcBorders>
              <w:top w:val="nil"/>
              <w:left w:val="single" w:sz="8" w:space="0" w:color="0077BD"/>
              <w:bottom w:val="single" w:sz="4" w:space="0" w:color="0077BD"/>
              <w:right w:val="nil"/>
            </w:tcBorders>
            <w:shd w:val="clear" w:color="auto" w:fill="auto"/>
            <w:vAlign w:val="center"/>
            <w:hideMark/>
          </w:tcPr>
          <w:p w14:paraId="7813EDF1"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66 268</w:t>
            </w:r>
          </w:p>
        </w:tc>
      </w:tr>
      <w:tr w:rsidR="00E8168B" w:rsidRPr="0068723D" w14:paraId="64747976" w14:textId="77777777" w:rsidTr="00CA5E84">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12EB3858" w14:textId="77777777" w:rsidR="00E8168B" w:rsidRPr="0068723D" w:rsidRDefault="00E8168B" w:rsidP="00E8168B">
            <w:pPr>
              <w:rPr>
                <w:rFonts w:cs="Calibri"/>
                <w:color w:val="000000" w:themeColor="text1"/>
                <w:sz w:val="13"/>
                <w:szCs w:val="13"/>
              </w:rPr>
            </w:pPr>
            <w:r w:rsidRPr="0068723D">
              <w:rPr>
                <w:rFonts w:cs="Calibri"/>
                <w:color w:val="000000" w:themeColor="text1"/>
                <w:sz w:val="13"/>
                <w:szCs w:val="13"/>
              </w:rPr>
              <w:t>Nieefektywna część rachunkowości zabezpieczeń przepływów pieniężnych</w:t>
            </w:r>
          </w:p>
        </w:tc>
        <w:tc>
          <w:tcPr>
            <w:tcW w:w="1418" w:type="dxa"/>
            <w:tcBorders>
              <w:top w:val="nil"/>
              <w:left w:val="single" w:sz="8" w:space="0" w:color="0077BD"/>
              <w:bottom w:val="single" w:sz="4" w:space="0" w:color="0077BD"/>
              <w:right w:val="nil"/>
            </w:tcBorders>
            <w:shd w:val="clear" w:color="auto" w:fill="auto"/>
            <w:vAlign w:val="center"/>
          </w:tcPr>
          <w:p w14:paraId="64DD439C" w14:textId="7EDF5829" w:rsidR="00E8168B" w:rsidRPr="00252982" w:rsidRDefault="00BE6938" w:rsidP="002550B8">
            <w:pPr>
              <w:jc w:val="right"/>
              <w:rPr>
                <w:rFonts w:cs="Calibri"/>
                <w:color w:val="000000" w:themeColor="text1"/>
                <w:sz w:val="13"/>
                <w:szCs w:val="13"/>
              </w:rPr>
            </w:pPr>
            <w:r>
              <w:rPr>
                <w:rFonts w:cs="Calibri"/>
                <w:color w:val="000000" w:themeColor="text1"/>
                <w:sz w:val="13"/>
                <w:szCs w:val="13"/>
              </w:rPr>
              <w:t>(2 228</w:t>
            </w:r>
            <w:r w:rsidR="00E8168B" w:rsidRPr="00252982">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1777A7FE" w14:textId="77777777" w:rsidR="00E8168B" w:rsidRPr="00252982" w:rsidRDefault="00E8168B" w:rsidP="00E8168B">
            <w:pPr>
              <w:jc w:val="right"/>
              <w:rPr>
                <w:rFonts w:cs="Calibri"/>
                <w:color w:val="000000" w:themeColor="text1"/>
                <w:sz w:val="13"/>
                <w:szCs w:val="13"/>
              </w:rPr>
            </w:pPr>
            <w:r w:rsidRPr="00252982">
              <w:rPr>
                <w:rFonts w:cs="Calibri"/>
                <w:color w:val="000000" w:themeColor="text1"/>
                <w:sz w:val="13"/>
                <w:szCs w:val="13"/>
              </w:rPr>
              <w:t>3 392</w:t>
            </w:r>
          </w:p>
        </w:tc>
      </w:tr>
      <w:tr w:rsidR="00E8168B" w:rsidRPr="0068723D" w14:paraId="67CA4736" w14:textId="77777777" w:rsidTr="00CA5E84">
        <w:trPr>
          <w:trHeight w:val="284"/>
        </w:trPr>
        <w:tc>
          <w:tcPr>
            <w:tcW w:w="6745" w:type="dxa"/>
            <w:tcBorders>
              <w:top w:val="single" w:sz="8" w:space="0" w:color="0077BD"/>
              <w:left w:val="nil"/>
              <w:bottom w:val="single" w:sz="8" w:space="0" w:color="0077BD"/>
              <w:right w:val="single" w:sz="8" w:space="0" w:color="0077BD"/>
            </w:tcBorders>
            <w:shd w:val="clear" w:color="auto" w:fill="auto"/>
            <w:vAlign w:val="center"/>
            <w:hideMark/>
          </w:tcPr>
          <w:p w14:paraId="63649AED" w14:textId="77777777" w:rsidR="00E8168B" w:rsidRPr="0068723D" w:rsidRDefault="00E8168B" w:rsidP="00E8168B">
            <w:pPr>
              <w:rPr>
                <w:rFonts w:cs="Calibri"/>
                <w:b/>
                <w:bCs/>
                <w:color w:val="000000" w:themeColor="text1"/>
                <w:sz w:val="13"/>
                <w:szCs w:val="13"/>
              </w:rPr>
            </w:pPr>
            <w:r w:rsidRPr="0068723D">
              <w:rPr>
                <w:rFonts w:cs="Calibri"/>
                <w:b/>
                <w:bCs/>
                <w:color w:val="000000" w:themeColor="text1"/>
                <w:sz w:val="13"/>
                <w:szCs w:val="13"/>
              </w:rPr>
              <w:t>Wynik na działalności handlowej, razem</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259867FE" w14:textId="4649EADA"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440 530</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62DA3258" w14:textId="77777777" w:rsidR="00E8168B" w:rsidRPr="00252982" w:rsidRDefault="00E8168B" w:rsidP="00E8168B">
            <w:pPr>
              <w:jc w:val="right"/>
              <w:rPr>
                <w:rFonts w:cs="Calibri"/>
                <w:b/>
                <w:bCs/>
                <w:color w:val="000000" w:themeColor="text1"/>
                <w:sz w:val="13"/>
                <w:szCs w:val="13"/>
              </w:rPr>
            </w:pPr>
            <w:r w:rsidRPr="00252982">
              <w:rPr>
                <w:rFonts w:cs="Calibri"/>
                <w:b/>
                <w:bCs/>
                <w:color w:val="000000" w:themeColor="text1"/>
                <w:sz w:val="13"/>
                <w:szCs w:val="13"/>
              </w:rPr>
              <w:t>347 336</w:t>
            </w:r>
          </w:p>
        </w:tc>
      </w:tr>
    </w:tbl>
    <w:p w14:paraId="68FF1BE6" w14:textId="1803E46C" w:rsidR="002A4975" w:rsidRPr="0068723D" w:rsidRDefault="002A4975" w:rsidP="002A4975">
      <w:pPr>
        <w:suppressAutoHyphens/>
        <w:spacing w:before="120"/>
        <w:jc w:val="both"/>
        <w:rPr>
          <w:rFonts w:cs="Tahoma"/>
          <w:color w:val="000000" w:themeColor="text1"/>
          <w:sz w:val="18"/>
          <w:szCs w:val="18"/>
        </w:rPr>
      </w:pPr>
      <w:r w:rsidRPr="0068723D">
        <w:rPr>
          <w:rFonts w:cs="Tahoma"/>
          <w:color w:val="000000" w:themeColor="text1"/>
          <w:sz w:val="18"/>
          <w:szCs w:val="18"/>
        </w:rPr>
        <w:t>Wynik z pozycji wymiany obejmuje zyski i straty z transakcji spot i kontraktów terminowych, opcji, kontraktów typu futures i przeliczonych aktywów i zobowiązań wyrażonych w walutach obcych. Wynik</w:t>
      </w:r>
      <w:r w:rsidR="00BD144C">
        <w:rPr>
          <w:rFonts w:cs="Tahoma"/>
          <w:color w:val="000000" w:themeColor="text1"/>
          <w:sz w:val="18"/>
          <w:szCs w:val="18"/>
        </w:rPr>
        <w:t> </w:t>
      </w:r>
      <w:r w:rsidRPr="0068723D">
        <w:rPr>
          <w:rFonts w:cs="Tahoma"/>
          <w:color w:val="000000" w:themeColor="text1"/>
          <w:sz w:val="18"/>
          <w:szCs w:val="18"/>
        </w:rPr>
        <w:t xml:space="preserve">z operacji pochodnymi instrumentami odsetkowymi obejmuje wynik z kontraktów swap dla stóp procentowych, opcji i innych instrumentów pochodnych. Wynik z operacji instrumentami na ryzyko rynkowe obejmuje wynik z kontraktów futures na obligacje, na indeks, opcji na papiery wartościowe, indeksy giełdowe i kontrakty futures, wynik z transakcji terminowych na papiery wartościowe oraz wynik z kontraktów futures towarowy i swap towarowy. Wynik z operacji instrumentami kapitałowymi obejmuje wycenę oraz wynik z tytułu obrotu kapitałowymi papierami wartościowymi przeznaczonymi do obrotu. </w:t>
      </w:r>
    </w:p>
    <w:p w14:paraId="413C0783" w14:textId="056E9CC9" w:rsidR="004F0ED8" w:rsidRPr="0068723D" w:rsidRDefault="002A4975" w:rsidP="00C3181F">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lastRenderedPageBreak/>
        <w:t>Grupa stosuje rachunkowość zabezpieczeń wartości godziwej oraz rachunkowość zabezpieczeń przepływów pieniężnych. Szczegółowe informacje na ten temat zostały zawarte w Nocie 20 „Aktywa finansowe przeznaczone do obrotu oraz instrumenty pochodne zabezpieczające”.</w:t>
      </w:r>
    </w:p>
    <w:p w14:paraId="7F817F2B" w14:textId="77777777" w:rsidR="00AC3897" w:rsidRPr="001B43A4" w:rsidRDefault="00AC3897" w:rsidP="00AC3897">
      <w:pPr>
        <w:pStyle w:val="DefaultText"/>
        <w:tabs>
          <w:tab w:val="left" w:pos="0"/>
        </w:tabs>
        <w:suppressAutoHyphens/>
        <w:spacing w:before="0" w:after="0"/>
        <w:rPr>
          <w:rFonts w:ascii="Verdana" w:hAnsi="Verdana" w:cs="Tahoma"/>
          <w:bCs/>
          <w:sz w:val="18"/>
          <w:szCs w:val="18"/>
          <w:lang w:val="pl-PL"/>
        </w:rPr>
      </w:pPr>
    </w:p>
    <w:p w14:paraId="6993BA33" w14:textId="14138D31" w:rsidR="00D854D1" w:rsidRDefault="00D854D1" w:rsidP="00526DF1">
      <w:pPr>
        <w:pStyle w:val="Nagwek2"/>
        <w:numPr>
          <w:ilvl w:val="0"/>
          <w:numId w:val="44"/>
        </w:numPr>
        <w:tabs>
          <w:tab w:val="num" w:pos="4046"/>
        </w:tabs>
        <w:suppressAutoHyphens/>
        <w:spacing w:before="0" w:after="0"/>
        <w:ind w:left="425" w:hanging="425"/>
        <w:jc w:val="both"/>
        <w:rPr>
          <w:rFonts w:cs="Tahoma"/>
          <w:bCs w:val="0"/>
          <w:iCs w:val="0"/>
          <w:color w:val="E41E0A"/>
          <w:sz w:val="18"/>
          <w:szCs w:val="18"/>
        </w:rPr>
      </w:pPr>
      <w:bookmarkStart w:id="123" w:name="_Toc530995167"/>
      <w:bookmarkStart w:id="124" w:name="_Toc32999841"/>
      <w:r w:rsidRPr="0029341E">
        <w:rPr>
          <w:rFonts w:cs="Tahoma"/>
          <w:bCs w:val="0"/>
          <w:iCs w:val="0"/>
          <w:color w:val="E41E0A"/>
          <w:sz w:val="18"/>
          <w:szCs w:val="18"/>
        </w:rPr>
        <w:t>Zyski lub straty z tytułu aktywów finansowych nieprzeznaczonych do obrotu obowiązkowo wycenianych w wartości godziwej przez wynik finansowy</w:t>
      </w:r>
      <w:bookmarkEnd w:id="123"/>
      <w:bookmarkEnd w:id="124"/>
    </w:p>
    <w:p w14:paraId="4D1C5057" w14:textId="77777777" w:rsidR="00165E96" w:rsidRPr="00165E96" w:rsidRDefault="00165E96" w:rsidP="00165E96"/>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165E96" w14:paraId="38DA2248" w14:textId="77777777" w:rsidTr="00671813">
        <w:trPr>
          <w:trHeight w:val="284"/>
        </w:trPr>
        <w:tc>
          <w:tcPr>
            <w:tcW w:w="6747" w:type="dxa"/>
            <w:vMerge w:val="restart"/>
            <w:tcBorders>
              <w:top w:val="nil"/>
              <w:left w:val="nil"/>
              <w:right w:val="single" w:sz="8" w:space="0" w:color="FFFFFF"/>
            </w:tcBorders>
            <w:shd w:val="clear" w:color="000000" w:fill="0077BD"/>
            <w:vAlign w:val="center"/>
            <w:hideMark/>
          </w:tcPr>
          <w:p w14:paraId="55C3ED19" w14:textId="45313B37" w:rsidR="00631017" w:rsidRPr="00165E96" w:rsidRDefault="00631017" w:rsidP="00165E96">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586BC10E" w14:textId="77777777" w:rsidR="00631017" w:rsidRPr="00165E96" w:rsidRDefault="00631017" w:rsidP="00165E96">
            <w:pPr>
              <w:jc w:val="right"/>
              <w:rPr>
                <w:rFonts w:cs="Calibri"/>
                <w:b/>
                <w:bCs/>
                <w:color w:val="FFFFFF"/>
                <w:sz w:val="13"/>
                <w:szCs w:val="13"/>
              </w:rPr>
            </w:pPr>
            <w:r w:rsidRPr="00165E96">
              <w:rPr>
                <w:rFonts w:cs="Calibri"/>
                <w:b/>
                <w:bCs/>
                <w:color w:val="FFFFFF"/>
                <w:sz w:val="13"/>
                <w:szCs w:val="13"/>
              </w:rPr>
              <w:t>Rok kończący się 31 grudnia</w:t>
            </w:r>
          </w:p>
        </w:tc>
      </w:tr>
      <w:tr w:rsidR="00631017" w:rsidRPr="00165E96" w14:paraId="4AD1C798" w14:textId="77777777" w:rsidTr="00197876">
        <w:trPr>
          <w:trHeight w:val="284"/>
        </w:trPr>
        <w:tc>
          <w:tcPr>
            <w:tcW w:w="6747" w:type="dxa"/>
            <w:vMerge/>
            <w:tcBorders>
              <w:left w:val="nil"/>
              <w:right w:val="single" w:sz="8" w:space="0" w:color="FFFFFF"/>
            </w:tcBorders>
            <w:shd w:val="clear" w:color="000000" w:fill="0077BD"/>
            <w:vAlign w:val="center"/>
            <w:hideMark/>
          </w:tcPr>
          <w:p w14:paraId="23620916" w14:textId="65A0934A" w:rsidR="00631017" w:rsidRPr="00165E96" w:rsidRDefault="00631017" w:rsidP="00165E96">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03035E2C" w14:textId="77777777" w:rsidR="00631017" w:rsidRPr="00165E96" w:rsidRDefault="00631017" w:rsidP="00165E96">
            <w:pPr>
              <w:jc w:val="right"/>
              <w:rPr>
                <w:rFonts w:cs="Calibri"/>
                <w:b/>
                <w:bCs/>
                <w:color w:val="FFFFFF"/>
                <w:sz w:val="13"/>
                <w:szCs w:val="13"/>
              </w:rPr>
            </w:pPr>
            <w:r w:rsidRPr="00165E96">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334074E8" w14:textId="77777777" w:rsidR="00631017" w:rsidRPr="00165E96" w:rsidRDefault="00631017" w:rsidP="00165E96">
            <w:pPr>
              <w:jc w:val="right"/>
              <w:rPr>
                <w:rFonts w:cs="Calibri"/>
                <w:b/>
                <w:bCs/>
                <w:color w:val="FFFFFF"/>
                <w:sz w:val="13"/>
                <w:szCs w:val="13"/>
              </w:rPr>
            </w:pPr>
            <w:r w:rsidRPr="00165E96">
              <w:rPr>
                <w:rFonts w:cs="Calibri"/>
                <w:b/>
                <w:bCs/>
                <w:color w:val="FFFFFF"/>
                <w:sz w:val="13"/>
                <w:szCs w:val="13"/>
              </w:rPr>
              <w:t>2018</w:t>
            </w:r>
          </w:p>
        </w:tc>
      </w:tr>
      <w:tr w:rsidR="003E02D0" w:rsidRPr="0068723D" w14:paraId="74374276" w14:textId="77777777" w:rsidTr="00197876">
        <w:trPr>
          <w:trHeight w:val="284"/>
        </w:trPr>
        <w:tc>
          <w:tcPr>
            <w:tcW w:w="6747" w:type="dxa"/>
            <w:tcBorders>
              <w:left w:val="nil"/>
              <w:bottom w:val="single" w:sz="4" w:space="0" w:color="0077BD"/>
              <w:right w:val="single" w:sz="8" w:space="0" w:color="0077BD"/>
            </w:tcBorders>
            <w:shd w:val="clear" w:color="auto" w:fill="auto"/>
            <w:vAlign w:val="center"/>
            <w:hideMark/>
          </w:tcPr>
          <w:p w14:paraId="027F340D" w14:textId="77777777" w:rsidR="003E02D0" w:rsidRPr="0068723D" w:rsidRDefault="003E02D0" w:rsidP="003E02D0">
            <w:pPr>
              <w:rPr>
                <w:rFonts w:cs="Calibri"/>
                <w:color w:val="000000" w:themeColor="text1"/>
                <w:sz w:val="13"/>
                <w:szCs w:val="13"/>
              </w:rPr>
            </w:pPr>
            <w:r w:rsidRPr="0068723D">
              <w:rPr>
                <w:rFonts w:cs="Calibri"/>
                <w:color w:val="000000" w:themeColor="text1"/>
                <w:sz w:val="13"/>
                <w:szCs w:val="13"/>
              </w:rPr>
              <w:t>Instrumenty kapitałowe</w:t>
            </w:r>
          </w:p>
        </w:tc>
        <w:tc>
          <w:tcPr>
            <w:tcW w:w="1418" w:type="dxa"/>
            <w:tcBorders>
              <w:left w:val="single" w:sz="8" w:space="0" w:color="0077BD"/>
              <w:bottom w:val="single" w:sz="4" w:space="0" w:color="0077BD"/>
              <w:right w:val="nil"/>
            </w:tcBorders>
            <w:shd w:val="clear" w:color="auto" w:fill="auto"/>
            <w:vAlign w:val="center"/>
          </w:tcPr>
          <w:p w14:paraId="64FC8507" w14:textId="3F7538AB" w:rsidR="003E02D0" w:rsidRPr="0068723D" w:rsidRDefault="003E02D0" w:rsidP="003E02D0">
            <w:pPr>
              <w:jc w:val="right"/>
              <w:rPr>
                <w:rFonts w:cs="Calibri"/>
                <w:color w:val="000000" w:themeColor="text1"/>
                <w:sz w:val="13"/>
                <w:szCs w:val="13"/>
              </w:rPr>
            </w:pPr>
            <w:bookmarkStart w:id="125" w:name="RANGE!C6:C9"/>
            <w:r w:rsidRPr="0068723D">
              <w:rPr>
                <w:rFonts w:cs="Calibri"/>
                <w:color w:val="000000" w:themeColor="text1"/>
                <w:sz w:val="13"/>
                <w:szCs w:val="13"/>
              </w:rPr>
              <w:t>75 382</w:t>
            </w:r>
            <w:bookmarkEnd w:id="125"/>
          </w:p>
        </w:tc>
        <w:tc>
          <w:tcPr>
            <w:tcW w:w="1418" w:type="dxa"/>
            <w:tcBorders>
              <w:left w:val="single" w:sz="8" w:space="0" w:color="0077BD"/>
              <w:bottom w:val="single" w:sz="4" w:space="0" w:color="0077BD"/>
              <w:right w:val="nil"/>
            </w:tcBorders>
            <w:shd w:val="clear" w:color="auto" w:fill="auto"/>
            <w:vAlign w:val="center"/>
            <w:hideMark/>
          </w:tcPr>
          <w:p w14:paraId="46884120" w14:textId="77777777" w:rsidR="003E02D0" w:rsidRPr="0068723D" w:rsidRDefault="003E02D0" w:rsidP="003E02D0">
            <w:pPr>
              <w:jc w:val="right"/>
              <w:rPr>
                <w:rFonts w:cs="Calibri"/>
                <w:color w:val="000000" w:themeColor="text1"/>
                <w:sz w:val="13"/>
                <w:szCs w:val="13"/>
              </w:rPr>
            </w:pPr>
            <w:r w:rsidRPr="0068723D">
              <w:rPr>
                <w:rFonts w:cs="Calibri"/>
                <w:color w:val="000000" w:themeColor="text1"/>
                <w:sz w:val="13"/>
                <w:szCs w:val="13"/>
              </w:rPr>
              <w:t>(217)</w:t>
            </w:r>
          </w:p>
        </w:tc>
      </w:tr>
      <w:tr w:rsidR="003E02D0" w:rsidRPr="0068723D" w14:paraId="4C1C46A2"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6FDA0E8" w14:textId="77777777" w:rsidR="003E02D0" w:rsidRPr="0068723D" w:rsidRDefault="003E02D0" w:rsidP="003E02D0">
            <w:pPr>
              <w:rPr>
                <w:rFonts w:cs="Calibri"/>
                <w:color w:val="000000" w:themeColor="text1"/>
                <w:sz w:val="13"/>
                <w:szCs w:val="13"/>
              </w:rPr>
            </w:pPr>
            <w:r w:rsidRPr="0068723D">
              <w:rPr>
                <w:rFonts w:cs="Calibri"/>
                <w:color w:val="000000" w:themeColor="text1"/>
                <w:sz w:val="13"/>
                <w:szCs w:val="13"/>
              </w:rPr>
              <w:t>Dłużne papiery wartościowe</w:t>
            </w:r>
          </w:p>
        </w:tc>
        <w:tc>
          <w:tcPr>
            <w:tcW w:w="1418" w:type="dxa"/>
            <w:tcBorders>
              <w:top w:val="nil"/>
              <w:left w:val="single" w:sz="8" w:space="0" w:color="0077BD"/>
              <w:bottom w:val="single" w:sz="4" w:space="0" w:color="0077BD"/>
              <w:right w:val="nil"/>
            </w:tcBorders>
            <w:shd w:val="clear" w:color="auto" w:fill="auto"/>
            <w:vAlign w:val="center"/>
          </w:tcPr>
          <w:p w14:paraId="4B129775" w14:textId="0F0BE046" w:rsidR="003E02D0" w:rsidRPr="0068723D" w:rsidRDefault="003E02D0" w:rsidP="003E02D0">
            <w:pPr>
              <w:jc w:val="right"/>
              <w:rPr>
                <w:rFonts w:cs="Calibri"/>
                <w:color w:val="000000" w:themeColor="text1"/>
                <w:sz w:val="13"/>
                <w:szCs w:val="13"/>
              </w:rPr>
            </w:pPr>
            <w:r w:rsidRPr="0068723D">
              <w:rPr>
                <w:rFonts w:cs="Calibri"/>
                <w:color w:val="000000" w:themeColor="text1"/>
                <w:sz w:val="13"/>
                <w:szCs w:val="13"/>
              </w:rPr>
              <w:t>75 324</w:t>
            </w:r>
          </w:p>
        </w:tc>
        <w:tc>
          <w:tcPr>
            <w:tcW w:w="1418" w:type="dxa"/>
            <w:tcBorders>
              <w:top w:val="nil"/>
              <w:left w:val="single" w:sz="8" w:space="0" w:color="0077BD"/>
              <w:bottom w:val="single" w:sz="4" w:space="0" w:color="0077BD"/>
              <w:right w:val="nil"/>
            </w:tcBorders>
            <w:shd w:val="clear" w:color="auto" w:fill="auto"/>
            <w:vAlign w:val="center"/>
            <w:hideMark/>
          </w:tcPr>
          <w:p w14:paraId="23493FAB" w14:textId="77777777" w:rsidR="003E02D0" w:rsidRPr="0068723D" w:rsidRDefault="003E02D0" w:rsidP="003E02D0">
            <w:pPr>
              <w:jc w:val="right"/>
              <w:rPr>
                <w:rFonts w:cs="Calibri"/>
                <w:color w:val="000000" w:themeColor="text1"/>
                <w:sz w:val="13"/>
                <w:szCs w:val="13"/>
              </w:rPr>
            </w:pPr>
            <w:r w:rsidRPr="0068723D">
              <w:rPr>
                <w:rFonts w:cs="Calibri"/>
                <w:color w:val="000000" w:themeColor="text1"/>
                <w:sz w:val="13"/>
                <w:szCs w:val="13"/>
              </w:rPr>
              <w:t>7 028</w:t>
            </w:r>
          </w:p>
        </w:tc>
      </w:tr>
      <w:tr w:rsidR="003E02D0" w:rsidRPr="0068723D" w14:paraId="1F6B5972"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3CE8193" w14:textId="77777777" w:rsidR="003E02D0" w:rsidRPr="0068723D" w:rsidRDefault="003E02D0" w:rsidP="003E02D0">
            <w:pPr>
              <w:rPr>
                <w:rFonts w:cs="Calibri"/>
                <w:color w:val="000000" w:themeColor="text1"/>
                <w:sz w:val="13"/>
                <w:szCs w:val="13"/>
              </w:rPr>
            </w:pPr>
            <w:r w:rsidRPr="0068723D">
              <w:rPr>
                <w:rFonts w:cs="Calibri"/>
                <w:color w:val="000000" w:themeColor="text1"/>
                <w:sz w:val="13"/>
                <w:szCs w:val="13"/>
              </w:rPr>
              <w:t>Kredyty i pożyczki</w:t>
            </w:r>
          </w:p>
        </w:tc>
        <w:tc>
          <w:tcPr>
            <w:tcW w:w="1418" w:type="dxa"/>
            <w:tcBorders>
              <w:top w:val="nil"/>
              <w:left w:val="single" w:sz="8" w:space="0" w:color="0077BD"/>
              <w:bottom w:val="single" w:sz="4" w:space="0" w:color="0077BD"/>
              <w:right w:val="nil"/>
            </w:tcBorders>
            <w:shd w:val="clear" w:color="auto" w:fill="auto"/>
            <w:vAlign w:val="center"/>
          </w:tcPr>
          <w:p w14:paraId="544DE49B" w14:textId="55A7A356" w:rsidR="003E02D0" w:rsidRPr="0068723D" w:rsidRDefault="003E02D0" w:rsidP="003E02D0">
            <w:pPr>
              <w:jc w:val="right"/>
              <w:rPr>
                <w:rFonts w:cs="Calibri"/>
                <w:color w:val="000000" w:themeColor="text1"/>
                <w:sz w:val="13"/>
                <w:szCs w:val="13"/>
              </w:rPr>
            </w:pPr>
            <w:r w:rsidRPr="0068723D">
              <w:rPr>
                <w:rFonts w:cs="Calibri"/>
                <w:color w:val="000000" w:themeColor="text1"/>
                <w:sz w:val="13"/>
                <w:szCs w:val="13"/>
              </w:rPr>
              <w:t>(81 447)</w:t>
            </w:r>
          </w:p>
        </w:tc>
        <w:tc>
          <w:tcPr>
            <w:tcW w:w="1418" w:type="dxa"/>
            <w:tcBorders>
              <w:top w:val="nil"/>
              <w:left w:val="single" w:sz="8" w:space="0" w:color="0077BD"/>
              <w:bottom w:val="single" w:sz="4" w:space="0" w:color="0077BD"/>
              <w:right w:val="nil"/>
            </w:tcBorders>
            <w:shd w:val="clear" w:color="auto" w:fill="auto"/>
            <w:vAlign w:val="center"/>
            <w:hideMark/>
          </w:tcPr>
          <w:p w14:paraId="4B47E00E" w14:textId="77777777" w:rsidR="003E02D0" w:rsidRPr="0068723D" w:rsidRDefault="003E02D0" w:rsidP="003E02D0">
            <w:pPr>
              <w:jc w:val="right"/>
              <w:rPr>
                <w:rFonts w:cs="Calibri"/>
                <w:color w:val="000000" w:themeColor="text1"/>
                <w:sz w:val="13"/>
                <w:szCs w:val="13"/>
              </w:rPr>
            </w:pPr>
            <w:r w:rsidRPr="0068723D">
              <w:rPr>
                <w:rFonts w:cs="Calibri"/>
                <w:color w:val="000000" w:themeColor="text1"/>
                <w:sz w:val="13"/>
                <w:szCs w:val="13"/>
              </w:rPr>
              <w:t>(166 852)</w:t>
            </w:r>
          </w:p>
        </w:tc>
      </w:tr>
      <w:tr w:rsidR="003E02D0" w:rsidRPr="0068723D" w14:paraId="42198E4A" w14:textId="77777777" w:rsidTr="00CA5E84">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4533484" w14:textId="77777777" w:rsidR="003E02D0" w:rsidRPr="0068723D" w:rsidRDefault="003E02D0" w:rsidP="003E02D0">
            <w:pPr>
              <w:rPr>
                <w:rFonts w:cs="Calibri"/>
                <w:b/>
                <w:bCs/>
                <w:color w:val="000000" w:themeColor="text1"/>
                <w:sz w:val="13"/>
                <w:szCs w:val="13"/>
              </w:rPr>
            </w:pPr>
            <w:r w:rsidRPr="0068723D">
              <w:rPr>
                <w:rFonts w:cs="Calibri"/>
                <w:b/>
                <w:bCs/>
                <w:color w:val="000000" w:themeColor="text1"/>
                <w:sz w:val="13"/>
                <w:szCs w:val="13"/>
              </w:rPr>
              <w:t>Zyski lub straty z tytułu aktywów finansowych nieprzeznaczonych do obrotu obowiązkowo wycenianych w wartości godziwej przez wynik finansowy, razem</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37129E72" w14:textId="1B320624" w:rsidR="003E02D0" w:rsidRPr="0068723D" w:rsidRDefault="003E02D0" w:rsidP="003E02D0">
            <w:pPr>
              <w:jc w:val="right"/>
              <w:rPr>
                <w:rFonts w:cs="Calibri"/>
                <w:b/>
                <w:bCs/>
                <w:color w:val="000000" w:themeColor="text1"/>
                <w:sz w:val="13"/>
                <w:szCs w:val="13"/>
              </w:rPr>
            </w:pPr>
            <w:r w:rsidRPr="0068723D">
              <w:rPr>
                <w:rFonts w:cs="Calibri"/>
                <w:b/>
                <w:bCs/>
                <w:color w:val="000000" w:themeColor="text1"/>
                <w:sz w:val="13"/>
                <w:szCs w:val="13"/>
              </w:rPr>
              <w:t>69 259</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605543DE" w14:textId="77777777" w:rsidR="003E02D0" w:rsidRPr="0068723D" w:rsidRDefault="003E02D0" w:rsidP="003E02D0">
            <w:pPr>
              <w:jc w:val="right"/>
              <w:rPr>
                <w:rFonts w:cs="Calibri"/>
                <w:b/>
                <w:bCs/>
                <w:color w:val="000000" w:themeColor="text1"/>
                <w:sz w:val="13"/>
                <w:szCs w:val="13"/>
              </w:rPr>
            </w:pPr>
            <w:r w:rsidRPr="0068723D">
              <w:rPr>
                <w:rFonts w:cs="Calibri"/>
                <w:b/>
                <w:bCs/>
                <w:color w:val="000000" w:themeColor="text1"/>
                <w:sz w:val="13"/>
                <w:szCs w:val="13"/>
              </w:rPr>
              <w:t>(160 041)</w:t>
            </w:r>
          </w:p>
        </w:tc>
      </w:tr>
    </w:tbl>
    <w:p w14:paraId="4EDF309D" w14:textId="62622B22" w:rsidR="00AF168D" w:rsidRPr="0068723D" w:rsidRDefault="00AF168D" w:rsidP="00AF168D">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 xml:space="preserve">W pozycji zysków z tytułu instrumentów kapitałowych nieprzeznaczonych do obrotu obowiązkowo wycenianych w wartości godziwej przez wynik finansowy Grupa ujęła zysk w kwocie 45 058 tys. zł wynikający z aktualizacji wyceny spółki Polski Standard Płatności Sp. z o.o., dokonanej w związku z rozpoczęciem strategicznej współpracy z Mastercard. </w:t>
      </w:r>
    </w:p>
    <w:p w14:paraId="697624F9" w14:textId="2B9E3C80" w:rsidR="00AF168D" w:rsidRPr="0068723D" w:rsidRDefault="00AF168D" w:rsidP="00AF168D">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Kwota 75 324 tys. zł zysków z dłużnych papierów wartościowych dotyczy wyceny akcji uprzywilejowanych VISA (prezentowanych jako dłużne papiery wartościowe, ponieważ nie spełniają one definicji instrumentu kapitałowego), z tego 48 369 tys. zł Grupa ujęła w związku z weryfikacją wartości akcji i zmianą podejścia do uwzględnianych w modelu wyceny poziomów dyskonta.</w:t>
      </w:r>
    </w:p>
    <w:p w14:paraId="56D385E5" w14:textId="77777777" w:rsidR="00AF168D" w:rsidRPr="0068723D" w:rsidRDefault="00AF168D" w:rsidP="00DB29D1">
      <w:pPr>
        <w:pStyle w:val="DefaultText"/>
        <w:tabs>
          <w:tab w:val="left" w:pos="0"/>
        </w:tabs>
        <w:suppressAutoHyphens/>
        <w:spacing w:before="0" w:after="0"/>
        <w:rPr>
          <w:rFonts w:ascii="Verdana" w:hAnsi="Verdana" w:cs="Tahoma"/>
          <w:bCs/>
          <w:color w:val="000000" w:themeColor="text1"/>
          <w:sz w:val="18"/>
          <w:szCs w:val="18"/>
          <w:lang w:val="pl-PL"/>
        </w:rPr>
      </w:pPr>
    </w:p>
    <w:p w14:paraId="1D04A452" w14:textId="510F1DFB" w:rsidR="00D854D1" w:rsidRDefault="00D854D1" w:rsidP="00526DF1">
      <w:pPr>
        <w:pStyle w:val="Nagwek2"/>
        <w:numPr>
          <w:ilvl w:val="0"/>
          <w:numId w:val="44"/>
        </w:numPr>
        <w:tabs>
          <w:tab w:val="num" w:pos="4046"/>
        </w:tabs>
        <w:suppressAutoHyphens/>
        <w:spacing w:before="0" w:after="0"/>
        <w:ind w:left="425" w:hanging="425"/>
        <w:jc w:val="both"/>
        <w:rPr>
          <w:rFonts w:cs="Tahoma"/>
          <w:bCs w:val="0"/>
          <w:iCs w:val="0"/>
          <w:color w:val="E41E0A"/>
          <w:sz w:val="18"/>
          <w:szCs w:val="18"/>
        </w:rPr>
      </w:pPr>
      <w:bookmarkStart w:id="126" w:name="_Toc32999842"/>
      <w:r w:rsidRPr="00D854D1">
        <w:rPr>
          <w:rFonts w:cs="Tahoma"/>
          <w:bCs w:val="0"/>
          <w:iCs w:val="0"/>
          <w:color w:val="E41E0A"/>
          <w:sz w:val="18"/>
          <w:szCs w:val="18"/>
        </w:rPr>
        <w:t>Wynik na aktywach oraz zobowiązaniach finansowych niewycenianych w wartości godziwej przez wynik finansowy oraz inwestycjach w jednostki zależne i stowarzyszone</w:t>
      </w:r>
      <w:bookmarkEnd w:id="126"/>
    </w:p>
    <w:p w14:paraId="4BFE0917" w14:textId="1E2BD468" w:rsidR="00B50D0A" w:rsidRDefault="00B50D0A" w:rsidP="00B50D0A"/>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B50D0A" w14:paraId="0E2C919F" w14:textId="77777777" w:rsidTr="00671813">
        <w:trPr>
          <w:trHeight w:val="284"/>
        </w:trPr>
        <w:tc>
          <w:tcPr>
            <w:tcW w:w="6747" w:type="dxa"/>
            <w:vMerge w:val="restart"/>
            <w:tcBorders>
              <w:top w:val="nil"/>
              <w:left w:val="nil"/>
              <w:right w:val="single" w:sz="8" w:space="0" w:color="FFFFFF"/>
            </w:tcBorders>
            <w:shd w:val="clear" w:color="000000" w:fill="0077BD"/>
            <w:vAlign w:val="center"/>
            <w:hideMark/>
          </w:tcPr>
          <w:p w14:paraId="18EFA78B" w14:textId="45BA9F0A" w:rsidR="00631017" w:rsidRPr="00B50D0A" w:rsidRDefault="00631017" w:rsidP="00B50D0A">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3CFB4255"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Rok kończący się 31 grudnia</w:t>
            </w:r>
          </w:p>
        </w:tc>
      </w:tr>
      <w:tr w:rsidR="00631017" w:rsidRPr="00B50D0A" w14:paraId="237A9559" w14:textId="77777777" w:rsidTr="00671813">
        <w:trPr>
          <w:trHeight w:val="284"/>
        </w:trPr>
        <w:tc>
          <w:tcPr>
            <w:tcW w:w="6747" w:type="dxa"/>
            <w:vMerge/>
            <w:tcBorders>
              <w:left w:val="nil"/>
              <w:right w:val="single" w:sz="8" w:space="0" w:color="FFFFFF"/>
            </w:tcBorders>
            <w:shd w:val="clear" w:color="000000" w:fill="0077BD"/>
            <w:vAlign w:val="center"/>
            <w:hideMark/>
          </w:tcPr>
          <w:p w14:paraId="5EDB32F6" w14:textId="233F28C4" w:rsidR="00631017" w:rsidRPr="00B50D0A" w:rsidRDefault="00631017" w:rsidP="00B50D0A">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1A3EFC08"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7D5791A0"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2018</w:t>
            </w:r>
          </w:p>
        </w:tc>
      </w:tr>
      <w:tr w:rsidR="00B3423B" w:rsidRPr="0068723D" w14:paraId="31CC1DEC" w14:textId="77777777" w:rsidTr="00CA5E84">
        <w:trPr>
          <w:trHeight w:val="397"/>
        </w:trPr>
        <w:tc>
          <w:tcPr>
            <w:tcW w:w="6747" w:type="dxa"/>
            <w:tcBorders>
              <w:left w:val="nil"/>
              <w:bottom w:val="single" w:sz="4" w:space="0" w:color="0077BD"/>
              <w:right w:val="single" w:sz="8" w:space="0" w:color="0077BD"/>
            </w:tcBorders>
            <w:shd w:val="clear" w:color="auto" w:fill="auto"/>
            <w:vAlign w:val="center"/>
            <w:hideMark/>
          </w:tcPr>
          <w:p w14:paraId="30C0324D" w14:textId="77777777" w:rsidR="00B3423B" w:rsidRPr="0068723D" w:rsidRDefault="00B3423B" w:rsidP="00B3423B">
            <w:pPr>
              <w:rPr>
                <w:rFonts w:cs="Calibri"/>
                <w:color w:val="000000" w:themeColor="text1"/>
                <w:sz w:val="13"/>
                <w:szCs w:val="13"/>
              </w:rPr>
            </w:pPr>
            <w:r w:rsidRPr="0068723D">
              <w:rPr>
                <w:rFonts w:cs="Calibri"/>
                <w:color w:val="000000" w:themeColor="text1"/>
                <w:sz w:val="13"/>
                <w:szCs w:val="13"/>
              </w:rPr>
              <w:t>Wynik ze sprzedaży dłużnych papierów wartościowych wycenianych w wartości godziwej przez pozostałe całkowite dochody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8568BF0" w14:textId="2B71AC31"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34 995</w:t>
            </w:r>
          </w:p>
        </w:tc>
        <w:tc>
          <w:tcPr>
            <w:tcW w:w="1418" w:type="dxa"/>
            <w:tcBorders>
              <w:left w:val="single" w:sz="8" w:space="0" w:color="0077BD"/>
              <w:bottom w:val="single" w:sz="4" w:space="0" w:color="0077BD"/>
              <w:right w:val="nil"/>
            </w:tcBorders>
            <w:shd w:val="clear" w:color="auto" w:fill="auto"/>
            <w:noWrap/>
            <w:vAlign w:val="center"/>
            <w:hideMark/>
          </w:tcPr>
          <w:p w14:paraId="0B435979" w14:textId="77777777"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16 465</w:t>
            </w:r>
          </w:p>
        </w:tc>
      </w:tr>
      <w:tr w:rsidR="00B3423B" w:rsidRPr="0068723D" w14:paraId="078EDD71"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EA4AB97" w14:textId="77777777" w:rsidR="00B3423B" w:rsidRPr="0068723D" w:rsidRDefault="00B3423B" w:rsidP="00B3423B">
            <w:pPr>
              <w:rPr>
                <w:rFonts w:cs="Calibri"/>
                <w:color w:val="000000" w:themeColor="text1"/>
                <w:sz w:val="13"/>
                <w:szCs w:val="13"/>
              </w:rPr>
            </w:pPr>
            <w:r w:rsidRPr="0068723D">
              <w:rPr>
                <w:rFonts w:cs="Calibri"/>
                <w:color w:val="000000" w:themeColor="text1"/>
                <w:sz w:val="13"/>
                <w:szCs w:val="13"/>
              </w:rPr>
              <w:t>Wynik ze sprzedaży inwestycji w jednostki zależne i stowarzyszone</w:t>
            </w:r>
          </w:p>
        </w:tc>
        <w:tc>
          <w:tcPr>
            <w:tcW w:w="1418" w:type="dxa"/>
            <w:tcBorders>
              <w:top w:val="nil"/>
              <w:left w:val="single" w:sz="8" w:space="0" w:color="0077BD"/>
              <w:bottom w:val="single" w:sz="4" w:space="0" w:color="0077BD"/>
              <w:right w:val="nil"/>
            </w:tcBorders>
            <w:shd w:val="clear" w:color="auto" w:fill="auto"/>
            <w:noWrap/>
            <w:vAlign w:val="center"/>
          </w:tcPr>
          <w:p w14:paraId="0E57BD4A" w14:textId="42E7A686"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(277)</w:t>
            </w:r>
          </w:p>
        </w:tc>
        <w:tc>
          <w:tcPr>
            <w:tcW w:w="1418" w:type="dxa"/>
            <w:tcBorders>
              <w:top w:val="nil"/>
              <w:left w:val="single" w:sz="8" w:space="0" w:color="0077BD"/>
              <w:bottom w:val="single" w:sz="4" w:space="0" w:color="0077BD"/>
              <w:right w:val="nil"/>
            </w:tcBorders>
            <w:shd w:val="clear" w:color="auto" w:fill="auto"/>
            <w:noWrap/>
            <w:vAlign w:val="center"/>
            <w:hideMark/>
          </w:tcPr>
          <w:p w14:paraId="5705760E" w14:textId="77777777"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(4 034)</w:t>
            </w:r>
          </w:p>
        </w:tc>
      </w:tr>
      <w:tr w:rsidR="00B3423B" w:rsidRPr="0068723D" w14:paraId="6108B9CF"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ED1F02D" w14:textId="77777777" w:rsidR="00B3423B" w:rsidRPr="0068723D" w:rsidRDefault="00B3423B" w:rsidP="00B3423B">
            <w:pPr>
              <w:rPr>
                <w:rFonts w:cs="Calibri"/>
                <w:color w:val="000000" w:themeColor="text1"/>
                <w:sz w:val="13"/>
                <w:szCs w:val="13"/>
              </w:rPr>
            </w:pPr>
            <w:r w:rsidRPr="0068723D">
              <w:rPr>
                <w:rFonts w:cs="Calibri"/>
                <w:color w:val="000000" w:themeColor="text1"/>
                <w:sz w:val="13"/>
                <w:szCs w:val="13"/>
              </w:rPr>
              <w:t>Wynik z tytułu usunięcia z bilansu, w tym:</w:t>
            </w:r>
          </w:p>
        </w:tc>
        <w:tc>
          <w:tcPr>
            <w:tcW w:w="1418" w:type="dxa"/>
            <w:tcBorders>
              <w:top w:val="nil"/>
              <w:left w:val="single" w:sz="8" w:space="0" w:color="0077BD"/>
              <w:bottom w:val="single" w:sz="4" w:space="0" w:color="0077BD"/>
              <w:right w:val="nil"/>
            </w:tcBorders>
            <w:shd w:val="clear" w:color="auto" w:fill="auto"/>
            <w:noWrap/>
            <w:vAlign w:val="center"/>
          </w:tcPr>
          <w:p w14:paraId="26F7A3B3" w14:textId="4BEC2A89"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114</w:t>
            </w:r>
          </w:p>
        </w:tc>
        <w:tc>
          <w:tcPr>
            <w:tcW w:w="1418" w:type="dxa"/>
            <w:tcBorders>
              <w:top w:val="nil"/>
              <w:left w:val="single" w:sz="8" w:space="0" w:color="0077BD"/>
              <w:bottom w:val="single" w:sz="4" w:space="0" w:color="0077BD"/>
              <w:right w:val="nil"/>
            </w:tcBorders>
            <w:shd w:val="clear" w:color="auto" w:fill="auto"/>
            <w:noWrap/>
            <w:vAlign w:val="center"/>
            <w:hideMark/>
          </w:tcPr>
          <w:p w14:paraId="054FCA18" w14:textId="77777777" w:rsidR="00B3423B" w:rsidRPr="0068723D" w:rsidRDefault="00B3423B" w:rsidP="00B3423B">
            <w:pPr>
              <w:jc w:val="right"/>
              <w:rPr>
                <w:rFonts w:cs="Calibri"/>
                <w:color w:val="000000" w:themeColor="text1"/>
                <w:sz w:val="13"/>
                <w:szCs w:val="13"/>
              </w:rPr>
            </w:pPr>
            <w:r w:rsidRPr="0068723D">
              <w:rPr>
                <w:rFonts w:cs="Calibri"/>
                <w:color w:val="000000" w:themeColor="text1"/>
                <w:sz w:val="13"/>
                <w:szCs w:val="13"/>
              </w:rPr>
              <w:t>2 064</w:t>
            </w:r>
          </w:p>
        </w:tc>
      </w:tr>
      <w:tr w:rsidR="00B3423B" w:rsidRPr="0068723D" w14:paraId="2BB4534F" w14:textId="77777777" w:rsidTr="00CA5E8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03873F2" w14:textId="77777777" w:rsidR="00B3423B" w:rsidRPr="0068723D" w:rsidRDefault="00B3423B" w:rsidP="00B3423B">
            <w:pPr>
              <w:rPr>
                <w:rFonts w:cs="Calibri"/>
                <w:i/>
                <w:iCs/>
                <w:color w:val="000000" w:themeColor="text1"/>
                <w:sz w:val="13"/>
                <w:szCs w:val="13"/>
              </w:rPr>
            </w:pPr>
            <w:r w:rsidRPr="0068723D">
              <w:rPr>
                <w:rFonts w:cs="Calibri"/>
                <w:i/>
                <w:iCs/>
                <w:color w:val="000000" w:themeColor="text1"/>
                <w:sz w:val="13"/>
                <w:szCs w:val="13"/>
              </w:rPr>
              <w:t>- Aktywów finansowych wycenianych w zamortyzowanym koszcie</w:t>
            </w:r>
          </w:p>
        </w:tc>
        <w:tc>
          <w:tcPr>
            <w:tcW w:w="1418" w:type="dxa"/>
            <w:tcBorders>
              <w:top w:val="nil"/>
              <w:left w:val="single" w:sz="8" w:space="0" w:color="0077BD"/>
              <w:bottom w:val="single" w:sz="4" w:space="0" w:color="0077BD"/>
              <w:right w:val="nil"/>
            </w:tcBorders>
            <w:shd w:val="clear" w:color="auto" w:fill="auto"/>
            <w:noWrap/>
            <w:vAlign w:val="center"/>
          </w:tcPr>
          <w:p w14:paraId="10C4C2D0" w14:textId="3E28AB07" w:rsidR="00B3423B" w:rsidRPr="0068723D" w:rsidRDefault="00B3423B" w:rsidP="00B3423B">
            <w:pPr>
              <w:jc w:val="right"/>
              <w:rPr>
                <w:rFonts w:cs="Calibri"/>
                <w:i/>
                <w:iCs/>
                <w:color w:val="000000" w:themeColor="text1"/>
                <w:sz w:val="13"/>
                <w:szCs w:val="13"/>
              </w:rPr>
            </w:pPr>
            <w:r w:rsidRPr="0068723D">
              <w:rPr>
                <w:rFonts w:cs="Calibri"/>
                <w:i/>
                <w:iCs/>
                <w:color w:val="000000" w:themeColor="text1"/>
                <w:sz w:val="13"/>
                <w:szCs w:val="13"/>
              </w:rPr>
              <w:t>114</w:t>
            </w:r>
          </w:p>
        </w:tc>
        <w:tc>
          <w:tcPr>
            <w:tcW w:w="1418" w:type="dxa"/>
            <w:tcBorders>
              <w:top w:val="nil"/>
              <w:left w:val="single" w:sz="8" w:space="0" w:color="0077BD"/>
              <w:bottom w:val="single" w:sz="4" w:space="0" w:color="0077BD"/>
              <w:right w:val="nil"/>
            </w:tcBorders>
            <w:shd w:val="clear" w:color="auto" w:fill="auto"/>
            <w:noWrap/>
            <w:vAlign w:val="center"/>
            <w:hideMark/>
          </w:tcPr>
          <w:p w14:paraId="67726C5E" w14:textId="77777777" w:rsidR="00B3423B" w:rsidRPr="0068723D" w:rsidRDefault="00B3423B" w:rsidP="00B3423B">
            <w:pPr>
              <w:jc w:val="right"/>
              <w:rPr>
                <w:rFonts w:cs="Calibri"/>
                <w:i/>
                <w:iCs/>
                <w:color w:val="000000" w:themeColor="text1"/>
                <w:sz w:val="13"/>
                <w:szCs w:val="13"/>
              </w:rPr>
            </w:pPr>
            <w:r w:rsidRPr="0068723D">
              <w:rPr>
                <w:rFonts w:cs="Calibri"/>
                <w:i/>
                <w:iCs/>
                <w:color w:val="000000" w:themeColor="text1"/>
                <w:sz w:val="13"/>
                <w:szCs w:val="13"/>
              </w:rPr>
              <w:t>2 064</w:t>
            </w:r>
          </w:p>
        </w:tc>
      </w:tr>
      <w:tr w:rsidR="00B3423B" w:rsidRPr="0068723D" w14:paraId="7199002F" w14:textId="77777777" w:rsidTr="00CA5E84">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41CC95A" w14:textId="5A502F03" w:rsidR="00B3423B" w:rsidRPr="0068723D" w:rsidRDefault="00B3423B" w:rsidP="00671032">
            <w:pPr>
              <w:rPr>
                <w:rFonts w:cs="Calibri"/>
                <w:b/>
                <w:bCs/>
                <w:color w:val="000000" w:themeColor="text1"/>
                <w:sz w:val="13"/>
                <w:szCs w:val="13"/>
              </w:rPr>
            </w:pPr>
            <w:r w:rsidRPr="0068723D">
              <w:rPr>
                <w:rFonts w:cs="Calibri"/>
                <w:b/>
                <w:bCs/>
                <w:color w:val="000000" w:themeColor="text1"/>
                <w:sz w:val="13"/>
                <w:szCs w:val="13"/>
              </w:rPr>
              <w:t xml:space="preserve">Wynik na aktywach oraz zobowiązaniach finansowych niewycenianych w wartości godziwej przez wynik finansowy oraz inwestycjach w jednostki zależne </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F6550BE" w14:textId="3935FC8B" w:rsidR="00B3423B" w:rsidRPr="0068723D" w:rsidRDefault="00B3423B" w:rsidP="00B3423B">
            <w:pPr>
              <w:jc w:val="right"/>
              <w:rPr>
                <w:rFonts w:cs="Calibri"/>
                <w:b/>
                <w:bCs/>
                <w:color w:val="000000" w:themeColor="text1"/>
                <w:sz w:val="13"/>
                <w:szCs w:val="13"/>
              </w:rPr>
            </w:pPr>
            <w:r w:rsidRPr="0068723D">
              <w:rPr>
                <w:rFonts w:cs="Calibri"/>
                <w:b/>
                <w:bCs/>
                <w:color w:val="000000" w:themeColor="text1"/>
                <w:sz w:val="13"/>
                <w:szCs w:val="13"/>
              </w:rPr>
              <w:t>34 832</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7CD77B10" w14:textId="77777777" w:rsidR="00B3423B" w:rsidRPr="0068723D" w:rsidRDefault="00B3423B" w:rsidP="00B3423B">
            <w:pPr>
              <w:jc w:val="right"/>
              <w:rPr>
                <w:rFonts w:cs="Calibri"/>
                <w:b/>
                <w:bCs/>
                <w:color w:val="000000" w:themeColor="text1"/>
                <w:sz w:val="13"/>
                <w:szCs w:val="13"/>
              </w:rPr>
            </w:pPr>
            <w:r w:rsidRPr="0068723D">
              <w:rPr>
                <w:rFonts w:cs="Calibri"/>
                <w:b/>
                <w:bCs/>
                <w:color w:val="000000" w:themeColor="text1"/>
                <w:sz w:val="13"/>
                <w:szCs w:val="13"/>
              </w:rPr>
              <w:t>14 495</w:t>
            </w:r>
          </w:p>
        </w:tc>
      </w:tr>
    </w:tbl>
    <w:p w14:paraId="6EC0E90C" w14:textId="77777777" w:rsidR="00862F50" w:rsidRPr="0068723D" w:rsidRDefault="00862F50" w:rsidP="005154BD">
      <w:pPr>
        <w:spacing w:before="120" w:after="120"/>
        <w:jc w:val="both"/>
        <w:rPr>
          <w:b/>
          <w:color w:val="000000" w:themeColor="text1"/>
          <w:sz w:val="18"/>
          <w:szCs w:val="18"/>
        </w:rPr>
      </w:pPr>
      <w:r w:rsidRPr="0068723D">
        <w:rPr>
          <w:b/>
          <w:color w:val="000000" w:themeColor="text1"/>
          <w:sz w:val="18"/>
          <w:szCs w:val="18"/>
        </w:rPr>
        <w:t>Zyski lub straty z tytułu usunięcia z bilansu aktywów i zobowiązań finansowych niewycenianych w wartości godziwej przez wynik finansowy według instrumentów</w:t>
      </w:r>
    </w:p>
    <w:tbl>
      <w:tblPr>
        <w:tblW w:w="9582" w:type="dxa"/>
        <w:tblLayout w:type="fixed"/>
        <w:tblCellMar>
          <w:left w:w="28" w:type="dxa"/>
          <w:right w:w="28" w:type="dxa"/>
        </w:tblCellMar>
        <w:tblLook w:val="04A0" w:firstRow="1" w:lastRow="0" w:firstColumn="1" w:lastColumn="0" w:noHBand="0" w:noVBand="1"/>
      </w:tblPr>
      <w:tblGrid>
        <w:gridCol w:w="4111"/>
        <w:gridCol w:w="1403"/>
        <w:gridCol w:w="1290"/>
        <w:gridCol w:w="1422"/>
        <w:gridCol w:w="1356"/>
      </w:tblGrid>
      <w:tr w:rsidR="00631017" w:rsidRPr="00B50D0A" w14:paraId="24EFB052" w14:textId="77777777" w:rsidTr="00671813">
        <w:trPr>
          <w:trHeight w:val="360"/>
        </w:trPr>
        <w:tc>
          <w:tcPr>
            <w:tcW w:w="4111" w:type="dxa"/>
            <w:vMerge w:val="restart"/>
            <w:tcBorders>
              <w:top w:val="nil"/>
              <w:left w:val="nil"/>
              <w:right w:val="single" w:sz="8" w:space="0" w:color="FFFFFF"/>
            </w:tcBorders>
            <w:shd w:val="clear" w:color="000000" w:fill="0077BD"/>
            <w:vAlign w:val="center"/>
          </w:tcPr>
          <w:p w14:paraId="707490FB" w14:textId="1166F434" w:rsidR="00631017" w:rsidRPr="00B50D0A" w:rsidRDefault="00631017" w:rsidP="00B50D0A">
            <w:pPr>
              <w:rPr>
                <w:rFonts w:cs="Calibri"/>
                <w:b/>
                <w:bCs/>
                <w:color w:val="FFFFFF"/>
                <w:sz w:val="13"/>
                <w:szCs w:val="13"/>
              </w:rPr>
            </w:pPr>
          </w:p>
        </w:tc>
        <w:tc>
          <w:tcPr>
            <w:tcW w:w="2693" w:type="dxa"/>
            <w:gridSpan w:val="2"/>
            <w:tcBorders>
              <w:top w:val="nil"/>
              <w:left w:val="nil"/>
              <w:bottom w:val="single" w:sz="6" w:space="0" w:color="FFFFFF"/>
              <w:right w:val="single" w:sz="8" w:space="0" w:color="FFFFFF"/>
            </w:tcBorders>
            <w:shd w:val="clear" w:color="000000" w:fill="0077BD"/>
            <w:noWrap/>
            <w:vAlign w:val="center"/>
            <w:hideMark/>
          </w:tcPr>
          <w:p w14:paraId="42EAD4BC"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Rok kończący się 31 grudnia 2019</w:t>
            </w:r>
          </w:p>
        </w:tc>
        <w:tc>
          <w:tcPr>
            <w:tcW w:w="2778" w:type="dxa"/>
            <w:gridSpan w:val="2"/>
            <w:tcBorders>
              <w:top w:val="nil"/>
              <w:left w:val="nil"/>
              <w:bottom w:val="single" w:sz="6" w:space="0" w:color="FFFFFF"/>
              <w:right w:val="nil"/>
            </w:tcBorders>
            <w:shd w:val="clear" w:color="000000" w:fill="0077BD"/>
            <w:noWrap/>
            <w:vAlign w:val="center"/>
            <w:hideMark/>
          </w:tcPr>
          <w:p w14:paraId="45F00B56"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Rok kończący się 31 grudnia 2018</w:t>
            </w:r>
          </w:p>
        </w:tc>
      </w:tr>
      <w:tr w:rsidR="00631017" w:rsidRPr="00B50D0A" w14:paraId="758307EF" w14:textId="77777777" w:rsidTr="00671813">
        <w:trPr>
          <w:trHeight w:val="360"/>
        </w:trPr>
        <w:tc>
          <w:tcPr>
            <w:tcW w:w="4111" w:type="dxa"/>
            <w:vMerge/>
            <w:tcBorders>
              <w:left w:val="nil"/>
              <w:right w:val="single" w:sz="8" w:space="0" w:color="FFFFFF"/>
            </w:tcBorders>
            <w:shd w:val="clear" w:color="000000" w:fill="0077BD"/>
            <w:vAlign w:val="center"/>
            <w:hideMark/>
          </w:tcPr>
          <w:p w14:paraId="1A4BF79C" w14:textId="5275C48C" w:rsidR="00631017" w:rsidRPr="00B50D0A" w:rsidRDefault="00631017" w:rsidP="00B50D0A">
            <w:pPr>
              <w:rPr>
                <w:rFonts w:cs="Calibri"/>
                <w:b/>
                <w:bCs/>
                <w:color w:val="FFFFFF"/>
                <w:sz w:val="13"/>
                <w:szCs w:val="13"/>
              </w:rPr>
            </w:pPr>
          </w:p>
        </w:tc>
        <w:tc>
          <w:tcPr>
            <w:tcW w:w="1403" w:type="dxa"/>
            <w:tcBorders>
              <w:top w:val="single" w:sz="6" w:space="0" w:color="FFFFFF"/>
              <w:left w:val="nil"/>
              <w:right w:val="single" w:sz="8" w:space="0" w:color="FFFFFF"/>
            </w:tcBorders>
            <w:shd w:val="clear" w:color="000000" w:fill="0077BD"/>
            <w:vAlign w:val="center"/>
            <w:hideMark/>
          </w:tcPr>
          <w:p w14:paraId="6F66C987"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Zyski</w:t>
            </w:r>
          </w:p>
        </w:tc>
        <w:tc>
          <w:tcPr>
            <w:tcW w:w="1290" w:type="dxa"/>
            <w:tcBorders>
              <w:top w:val="single" w:sz="6" w:space="0" w:color="FFFFFF"/>
              <w:left w:val="nil"/>
              <w:right w:val="single" w:sz="8" w:space="0" w:color="FFFFFF"/>
            </w:tcBorders>
            <w:shd w:val="clear" w:color="000000" w:fill="0077BD"/>
            <w:vAlign w:val="center"/>
            <w:hideMark/>
          </w:tcPr>
          <w:p w14:paraId="554E202D"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Straty</w:t>
            </w:r>
          </w:p>
        </w:tc>
        <w:tc>
          <w:tcPr>
            <w:tcW w:w="1422" w:type="dxa"/>
            <w:tcBorders>
              <w:top w:val="single" w:sz="6" w:space="0" w:color="FFFFFF"/>
              <w:left w:val="nil"/>
              <w:right w:val="single" w:sz="8" w:space="0" w:color="FFFFFF"/>
            </w:tcBorders>
            <w:shd w:val="clear" w:color="000000" w:fill="0077BD"/>
            <w:vAlign w:val="center"/>
            <w:hideMark/>
          </w:tcPr>
          <w:p w14:paraId="313539FC"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Zyski</w:t>
            </w:r>
          </w:p>
        </w:tc>
        <w:tc>
          <w:tcPr>
            <w:tcW w:w="1356" w:type="dxa"/>
            <w:tcBorders>
              <w:top w:val="single" w:sz="6" w:space="0" w:color="FFFFFF"/>
              <w:left w:val="nil"/>
              <w:right w:val="nil"/>
            </w:tcBorders>
            <w:shd w:val="clear" w:color="000000" w:fill="0077BD"/>
            <w:vAlign w:val="center"/>
            <w:hideMark/>
          </w:tcPr>
          <w:p w14:paraId="61FE5801"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Straty</w:t>
            </w:r>
          </w:p>
        </w:tc>
      </w:tr>
      <w:tr w:rsidR="00B3423B" w:rsidRPr="0068723D" w14:paraId="481FDCF2" w14:textId="77777777" w:rsidTr="00CA5E84">
        <w:trPr>
          <w:trHeight w:val="360"/>
        </w:trPr>
        <w:tc>
          <w:tcPr>
            <w:tcW w:w="4111" w:type="dxa"/>
            <w:tcBorders>
              <w:top w:val="nil"/>
              <w:left w:val="nil"/>
              <w:bottom w:val="single" w:sz="8" w:space="0" w:color="0077BD"/>
              <w:right w:val="single" w:sz="8" w:space="0" w:color="0077BD"/>
            </w:tcBorders>
            <w:shd w:val="clear" w:color="auto" w:fill="auto"/>
            <w:vAlign w:val="center"/>
            <w:hideMark/>
          </w:tcPr>
          <w:p w14:paraId="6FBB0FED" w14:textId="77777777" w:rsidR="00B3423B" w:rsidRPr="00DE36CC" w:rsidRDefault="00B3423B" w:rsidP="00B3423B">
            <w:pPr>
              <w:rPr>
                <w:rFonts w:cs="Calibri"/>
                <w:color w:val="000000" w:themeColor="text1"/>
                <w:sz w:val="13"/>
                <w:szCs w:val="13"/>
              </w:rPr>
            </w:pPr>
            <w:r w:rsidRPr="00DE36CC">
              <w:rPr>
                <w:rFonts w:cs="Calibri"/>
                <w:color w:val="000000" w:themeColor="text1"/>
                <w:sz w:val="13"/>
                <w:szCs w:val="13"/>
              </w:rPr>
              <w:t>Kredyty i pożyczki</w:t>
            </w:r>
          </w:p>
        </w:tc>
        <w:tc>
          <w:tcPr>
            <w:tcW w:w="1403" w:type="dxa"/>
            <w:tcBorders>
              <w:top w:val="single" w:sz="4" w:space="0" w:color="0077BD"/>
              <w:left w:val="single" w:sz="8" w:space="0" w:color="0077BD"/>
              <w:bottom w:val="single" w:sz="4" w:space="0" w:color="0077BD"/>
              <w:right w:val="nil"/>
            </w:tcBorders>
            <w:shd w:val="clear" w:color="auto" w:fill="auto"/>
            <w:noWrap/>
            <w:vAlign w:val="center"/>
          </w:tcPr>
          <w:p w14:paraId="765EED68" w14:textId="37C707CE" w:rsidR="00B3423B" w:rsidRPr="00DE36CC" w:rsidRDefault="003101DD" w:rsidP="003101DD">
            <w:pPr>
              <w:jc w:val="right"/>
              <w:rPr>
                <w:rFonts w:cs="Calibri"/>
                <w:color w:val="000000" w:themeColor="text1"/>
                <w:sz w:val="13"/>
                <w:szCs w:val="13"/>
              </w:rPr>
            </w:pPr>
            <w:r w:rsidRPr="00DE36CC">
              <w:rPr>
                <w:rFonts w:cs="Calibri"/>
                <w:color w:val="000000" w:themeColor="text1"/>
                <w:sz w:val="13"/>
                <w:szCs w:val="13"/>
              </w:rPr>
              <w:t>2</w:t>
            </w:r>
            <w:r w:rsidR="00B3423B" w:rsidRPr="00DE36CC">
              <w:rPr>
                <w:rFonts w:cs="Calibri"/>
                <w:color w:val="000000" w:themeColor="text1"/>
                <w:sz w:val="13"/>
                <w:szCs w:val="13"/>
              </w:rPr>
              <w:t xml:space="preserve">9 </w:t>
            </w:r>
            <w:r w:rsidRPr="00DE36CC">
              <w:rPr>
                <w:rFonts w:cs="Calibri"/>
                <w:color w:val="000000" w:themeColor="text1"/>
                <w:sz w:val="13"/>
                <w:szCs w:val="13"/>
              </w:rPr>
              <w:t>069</w:t>
            </w:r>
          </w:p>
        </w:tc>
        <w:tc>
          <w:tcPr>
            <w:tcW w:w="1290" w:type="dxa"/>
            <w:tcBorders>
              <w:top w:val="single" w:sz="4" w:space="0" w:color="0077BD"/>
              <w:left w:val="single" w:sz="8" w:space="0" w:color="0077BD"/>
              <w:bottom w:val="single" w:sz="4" w:space="0" w:color="0077BD"/>
              <w:right w:val="nil"/>
            </w:tcBorders>
            <w:shd w:val="clear" w:color="auto" w:fill="auto"/>
            <w:noWrap/>
            <w:vAlign w:val="center"/>
          </w:tcPr>
          <w:p w14:paraId="32C6A7CB" w14:textId="20BE3494" w:rsidR="00B3423B" w:rsidRPr="00DE36CC" w:rsidRDefault="00B3423B" w:rsidP="003101DD">
            <w:pPr>
              <w:jc w:val="right"/>
              <w:rPr>
                <w:rFonts w:cs="Calibri"/>
                <w:color w:val="000000" w:themeColor="text1"/>
                <w:sz w:val="13"/>
                <w:szCs w:val="13"/>
              </w:rPr>
            </w:pPr>
            <w:r w:rsidRPr="00DE36CC">
              <w:rPr>
                <w:rFonts w:cs="Calibri"/>
                <w:color w:val="000000" w:themeColor="text1"/>
                <w:sz w:val="13"/>
                <w:szCs w:val="13"/>
              </w:rPr>
              <w:t>(</w:t>
            </w:r>
            <w:r w:rsidR="003101DD" w:rsidRPr="00DE36CC">
              <w:rPr>
                <w:rFonts w:cs="Calibri"/>
                <w:color w:val="000000" w:themeColor="text1"/>
                <w:sz w:val="13"/>
                <w:szCs w:val="13"/>
              </w:rPr>
              <w:t>28</w:t>
            </w:r>
            <w:r w:rsidRPr="00DE36CC">
              <w:rPr>
                <w:rFonts w:cs="Calibri"/>
                <w:color w:val="000000" w:themeColor="text1"/>
                <w:sz w:val="13"/>
                <w:szCs w:val="13"/>
              </w:rPr>
              <w:t xml:space="preserve"> </w:t>
            </w:r>
            <w:r w:rsidR="003101DD" w:rsidRPr="00DE36CC">
              <w:rPr>
                <w:rFonts w:cs="Calibri"/>
                <w:color w:val="000000" w:themeColor="text1"/>
                <w:sz w:val="13"/>
                <w:szCs w:val="13"/>
              </w:rPr>
              <w:t>955</w:t>
            </w:r>
            <w:r w:rsidRPr="00DE36CC">
              <w:rPr>
                <w:rFonts w:cs="Calibri"/>
                <w:color w:val="000000" w:themeColor="text1"/>
                <w:sz w:val="13"/>
                <w:szCs w:val="13"/>
              </w:rPr>
              <w:t>)</w:t>
            </w:r>
          </w:p>
        </w:tc>
        <w:tc>
          <w:tcPr>
            <w:tcW w:w="1422" w:type="dxa"/>
            <w:tcBorders>
              <w:top w:val="nil"/>
              <w:left w:val="single" w:sz="8" w:space="0" w:color="0077BD"/>
              <w:bottom w:val="single" w:sz="8" w:space="0" w:color="0077BD"/>
              <w:right w:val="nil"/>
            </w:tcBorders>
            <w:shd w:val="clear" w:color="auto" w:fill="auto"/>
            <w:noWrap/>
            <w:vAlign w:val="center"/>
            <w:hideMark/>
          </w:tcPr>
          <w:p w14:paraId="0A1FD7B6" w14:textId="77777777" w:rsidR="00B3423B" w:rsidRPr="00DE36CC" w:rsidRDefault="00B3423B" w:rsidP="00B3423B">
            <w:pPr>
              <w:jc w:val="right"/>
              <w:rPr>
                <w:rFonts w:cs="Calibri"/>
                <w:color w:val="000000" w:themeColor="text1"/>
                <w:sz w:val="13"/>
                <w:szCs w:val="13"/>
              </w:rPr>
            </w:pPr>
            <w:r w:rsidRPr="00DE36CC">
              <w:rPr>
                <w:rFonts w:cs="Calibri"/>
                <w:color w:val="000000" w:themeColor="text1"/>
                <w:sz w:val="13"/>
                <w:szCs w:val="13"/>
              </w:rPr>
              <w:t>7 266</w:t>
            </w:r>
          </w:p>
        </w:tc>
        <w:tc>
          <w:tcPr>
            <w:tcW w:w="1356" w:type="dxa"/>
            <w:tcBorders>
              <w:top w:val="nil"/>
              <w:left w:val="single" w:sz="8" w:space="0" w:color="0077BD"/>
              <w:bottom w:val="single" w:sz="8" w:space="0" w:color="0077BD"/>
              <w:right w:val="nil"/>
            </w:tcBorders>
            <w:shd w:val="clear" w:color="auto" w:fill="auto"/>
            <w:noWrap/>
            <w:vAlign w:val="center"/>
            <w:hideMark/>
          </w:tcPr>
          <w:p w14:paraId="02A3271B" w14:textId="77777777" w:rsidR="00B3423B" w:rsidRPr="00DE36CC" w:rsidRDefault="00B3423B" w:rsidP="00B3423B">
            <w:pPr>
              <w:jc w:val="right"/>
              <w:rPr>
                <w:rFonts w:cs="Calibri"/>
                <w:color w:val="000000" w:themeColor="text1"/>
                <w:sz w:val="13"/>
                <w:szCs w:val="13"/>
              </w:rPr>
            </w:pPr>
            <w:r w:rsidRPr="00DE36CC">
              <w:rPr>
                <w:rFonts w:cs="Calibri"/>
                <w:color w:val="000000" w:themeColor="text1"/>
                <w:sz w:val="13"/>
                <w:szCs w:val="13"/>
              </w:rPr>
              <w:t>(5 202)</w:t>
            </w:r>
          </w:p>
        </w:tc>
      </w:tr>
      <w:tr w:rsidR="00B3423B" w:rsidRPr="0068723D" w14:paraId="021782D4" w14:textId="77777777" w:rsidTr="00CA5E84">
        <w:trPr>
          <w:trHeight w:val="567"/>
        </w:trPr>
        <w:tc>
          <w:tcPr>
            <w:tcW w:w="4111" w:type="dxa"/>
            <w:tcBorders>
              <w:top w:val="single" w:sz="8" w:space="0" w:color="0077BD"/>
              <w:left w:val="nil"/>
              <w:bottom w:val="single" w:sz="8" w:space="0" w:color="0077BD"/>
              <w:right w:val="single" w:sz="8" w:space="0" w:color="0077BD"/>
            </w:tcBorders>
            <w:shd w:val="clear" w:color="auto" w:fill="auto"/>
            <w:vAlign w:val="center"/>
            <w:hideMark/>
          </w:tcPr>
          <w:p w14:paraId="5008B51C" w14:textId="77777777" w:rsidR="00B3423B" w:rsidRPr="00DE36CC" w:rsidRDefault="00B3423B" w:rsidP="00B3423B">
            <w:pPr>
              <w:rPr>
                <w:rFonts w:cs="Calibri"/>
                <w:b/>
                <w:bCs/>
                <w:color w:val="000000" w:themeColor="text1"/>
                <w:sz w:val="13"/>
                <w:szCs w:val="13"/>
              </w:rPr>
            </w:pPr>
            <w:r w:rsidRPr="00DE36CC">
              <w:rPr>
                <w:rFonts w:cs="Calibri"/>
                <w:b/>
                <w:bCs/>
                <w:color w:val="000000" w:themeColor="text1"/>
                <w:sz w:val="13"/>
                <w:szCs w:val="13"/>
              </w:rPr>
              <w:t>Zyski lub straty z tytułu usunięcia z bilansu aktywów i zobowiązań finansowych niewycenianych w wartości godziwej przez wynik finansowy</w:t>
            </w:r>
          </w:p>
        </w:tc>
        <w:tc>
          <w:tcPr>
            <w:tcW w:w="1403" w:type="dxa"/>
            <w:tcBorders>
              <w:top w:val="single" w:sz="8" w:space="0" w:color="0077BD"/>
              <w:left w:val="single" w:sz="8" w:space="0" w:color="0077BD"/>
              <w:bottom w:val="single" w:sz="8" w:space="0" w:color="0077BD"/>
              <w:right w:val="nil"/>
            </w:tcBorders>
            <w:shd w:val="clear" w:color="auto" w:fill="auto"/>
            <w:noWrap/>
            <w:vAlign w:val="center"/>
            <w:hideMark/>
          </w:tcPr>
          <w:p w14:paraId="7918DACB" w14:textId="2930C2FE" w:rsidR="00B3423B" w:rsidRPr="00DE36CC" w:rsidRDefault="003101DD" w:rsidP="003101DD">
            <w:pPr>
              <w:jc w:val="right"/>
              <w:rPr>
                <w:rFonts w:cs="Calibri"/>
                <w:b/>
                <w:bCs/>
                <w:color w:val="000000" w:themeColor="text1"/>
                <w:sz w:val="13"/>
                <w:szCs w:val="13"/>
              </w:rPr>
            </w:pPr>
            <w:r w:rsidRPr="00DE36CC">
              <w:rPr>
                <w:rFonts w:cs="Calibri"/>
                <w:b/>
                <w:bCs/>
                <w:color w:val="000000" w:themeColor="text1"/>
                <w:sz w:val="13"/>
                <w:szCs w:val="13"/>
              </w:rPr>
              <w:t>2</w:t>
            </w:r>
            <w:r w:rsidR="00B3423B" w:rsidRPr="00DE36CC">
              <w:rPr>
                <w:rFonts w:cs="Calibri"/>
                <w:b/>
                <w:bCs/>
                <w:color w:val="000000" w:themeColor="text1"/>
                <w:sz w:val="13"/>
                <w:szCs w:val="13"/>
              </w:rPr>
              <w:t xml:space="preserve">9 </w:t>
            </w:r>
            <w:r w:rsidRPr="00DE36CC">
              <w:rPr>
                <w:rFonts w:cs="Calibri"/>
                <w:b/>
                <w:bCs/>
                <w:color w:val="000000" w:themeColor="text1"/>
                <w:sz w:val="13"/>
                <w:szCs w:val="13"/>
              </w:rPr>
              <w:t>069</w:t>
            </w:r>
          </w:p>
        </w:tc>
        <w:tc>
          <w:tcPr>
            <w:tcW w:w="1290" w:type="dxa"/>
            <w:tcBorders>
              <w:top w:val="single" w:sz="8" w:space="0" w:color="0077BD"/>
              <w:left w:val="single" w:sz="8" w:space="0" w:color="0077BD"/>
              <w:bottom w:val="single" w:sz="8" w:space="0" w:color="0077BD"/>
              <w:right w:val="nil"/>
            </w:tcBorders>
            <w:shd w:val="clear" w:color="auto" w:fill="auto"/>
            <w:noWrap/>
            <w:vAlign w:val="center"/>
            <w:hideMark/>
          </w:tcPr>
          <w:p w14:paraId="498EA5F7" w14:textId="12F1B6BF" w:rsidR="00B3423B" w:rsidRPr="00DE36CC" w:rsidRDefault="00B3423B" w:rsidP="003101DD">
            <w:pPr>
              <w:jc w:val="right"/>
              <w:rPr>
                <w:rFonts w:cs="Calibri"/>
                <w:b/>
                <w:bCs/>
                <w:color w:val="000000" w:themeColor="text1"/>
                <w:sz w:val="13"/>
                <w:szCs w:val="13"/>
              </w:rPr>
            </w:pPr>
            <w:r w:rsidRPr="00DE36CC">
              <w:rPr>
                <w:rFonts w:cs="Calibri"/>
                <w:b/>
                <w:bCs/>
                <w:color w:val="000000" w:themeColor="text1"/>
                <w:sz w:val="13"/>
                <w:szCs w:val="13"/>
              </w:rPr>
              <w:t>(</w:t>
            </w:r>
            <w:r w:rsidR="003101DD" w:rsidRPr="00DE36CC">
              <w:rPr>
                <w:rFonts w:cs="Calibri"/>
                <w:b/>
                <w:bCs/>
                <w:color w:val="000000" w:themeColor="text1"/>
                <w:sz w:val="13"/>
                <w:szCs w:val="13"/>
              </w:rPr>
              <w:t>28</w:t>
            </w:r>
            <w:r w:rsidRPr="00DE36CC">
              <w:rPr>
                <w:rFonts w:cs="Calibri"/>
                <w:b/>
                <w:bCs/>
                <w:color w:val="000000" w:themeColor="text1"/>
                <w:sz w:val="13"/>
                <w:szCs w:val="13"/>
              </w:rPr>
              <w:t xml:space="preserve"> </w:t>
            </w:r>
            <w:r w:rsidR="003101DD" w:rsidRPr="00DE36CC">
              <w:rPr>
                <w:rFonts w:cs="Calibri"/>
                <w:b/>
                <w:bCs/>
                <w:color w:val="000000" w:themeColor="text1"/>
                <w:sz w:val="13"/>
                <w:szCs w:val="13"/>
              </w:rPr>
              <w:t>955</w:t>
            </w:r>
            <w:r w:rsidRPr="00DE36CC">
              <w:rPr>
                <w:rFonts w:cs="Calibri"/>
                <w:b/>
                <w:bCs/>
                <w:color w:val="000000" w:themeColor="text1"/>
                <w:sz w:val="13"/>
                <w:szCs w:val="13"/>
              </w:rPr>
              <w:t>)</w:t>
            </w:r>
          </w:p>
        </w:tc>
        <w:tc>
          <w:tcPr>
            <w:tcW w:w="1422" w:type="dxa"/>
            <w:tcBorders>
              <w:top w:val="single" w:sz="8" w:space="0" w:color="0077BD"/>
              <w:left w:val="single" w:sz="8" w:space="0" w:color="0077BD"/>
              <w:bottom w:val="single" w:sz="8" w:space="0" w:color="0077BD"/>
              <w:right w:val="nil"/>
            </w:tcBorders>
            <w:shd w:val="clear" w:color="auto" w:fill="auto"/>
            <w:noWrap/>
            <w:vAlign w:val="center"/>
            <w:hideMark/>
          </w:tcPr>
          <w:p w14:paraId="0081D744" w14:textId="77777777" w:rsidR="00B3423B" w:rsidRPr="00DE36CC" w:rsidRDefault="00B3423B" w:rsidP="00B3423B">
            <w:pPr>
              <w:jc w:val="right"/>
              <w:rPr>
                <w:rFonts w:cs="Calibri"/>
                <w:b/>
                <w:bCs/>
                <w:color w:val="000000" w:themeColor="text1"/>
                <w:sz w:val="13"/>
                <w:szCs w:val="13"/>
              </w:rPr>
            </w:pPr>
            <w:r w:rsidRPr="00DE36CC">
              <w:rPr>
                <w:rFonts w:cs="Calibri"/>
                <w:b/>
                <w:bCs/>
                <w:color w:val="000000" w:themeColor="text1"/>
                <w:sz w:val="13"/>
                <w:szCs w:val="13"/>
              </w:rPr>
              <w:t>7 266</w:t>
            </w:r>
          </w:p>
        </w:tc>
        <w:tc>
          <w:tcPr>
            <w:tcW w:w="1356" w:type="dxa"/>
            <w:tcBorders>
              <w:top w:val="single" w:sz="8" w:space="0" w:color="0077BD"/>
              <w:left w:val="single" w:sz="8" w:space="0" w:color="0077BD"/>
              <w:bottom w:val="single" w:sz="8" w:space="0" w:color="0077BD"/>
              <w:right w:val="nil"/>
            </w:tcBorders>
            <w:shd w:val="clear" w:color="auto" w:fill="auto"/>
            <w:noWrap/>
            <w:vAlign w:val="center"/>
            <w:hideMark/>
          </w:tcPr>
          <w:p w14:paraId="102BF9B6" w14:textId="77777777" w:rsidR="00B3423B" w:rsidRPr="00DE36CC" w:rsidRDefault="00B3423B" w:rsidP="00B3423B">
            <w:pPr>
              <w:jc w:val="right"/>
              <w:rPr>
                <w:rFonts w:cs="Calibri"/>
                <w:b/>
                <w:bCs/>
                <w:color w:val="000000" w:themeColor="text1"/>
                <w:sz w:val="13"/>
                <w:szCs w:val="13"/>
              </w:rPr>
            </w:pPr>
            <w:r w:rsidRPr="00DE36CC">
              <w:rPr>
                <w:rFonts w:cs="Calibri"/>
                <w:b/>
                <w:bCs/>
                <w:color w:val="000000" w:themeColor="text1"/>
                <w:sz w:val="13"/>
                <w:szCs w:val="13"/>
              </w:rPr>
              <w:t>(5 202)</w:t>
            </w:r>
          </w:p>
        </w:tc>
      </w:tr>
    </w:tbl>
    <w:p w14:paraId="3FB43669" w14:textId="4A96B1C7" w:rsidR="00C13494" w:rsidRPr="0068723D" w:rsidRDefault="00C13494" w:rsidP="001508F5">
      <w:pPr>
        <w:pStyle w:val="DefaultText"/>
        <w:tabs>
          <w:tab w:val="left" w:pos="0"/>
        </w:tabs>
        <w:suppressAutoHyphens/>
        <w:spacing w:before="0" w:after="0"/>
        <w:rPr>
          <w:rFonts w:ascii="Verdana" w:hAnsi="Verdana" w:cs="Tahoma"/>
          <w:bCs/>
          <w:color w:val="000000" w:themeColor="text1"/>
          <w:sz w:val="18"/>
          <w:szCs w:val="18"/>
          <w:lang w:val="pl-PL"/>
        </w:rPr>
      </w:pPr>
    </w:p>
    <w:p w14:paraId="122EF4CA" w14:textId="77777777" w:rsidR="00C13494" w:rsidRDefault="00C13494">
      <w:pPr>
        <w:rPr>
          <w:rFonts w:cs="Tahoma"/>
          <w:bCs/>
          <w:color w:val="201C17"/>
          <w:sz w:val="18"/>
          <w:szCs w:val="18"/>
          <w:lang w:eastAsia="en-US"/>
        </w:rPr>
      </w:pPr>
      <w:r>
        <w:rPr>
          <w:rFonts w:cs="Tahoma"/>
          <w:bCs/>
          <w:color w:val="201C17"/>
          <w:sz w:val="18"/>
          <w:szCs w:val="18"/>
        </w:rPr>
        <w:br w:type="page"/>
      </w:r>
    </w:p>
    <w:p w14:paraId="36F8F845" w14:textId="77777777" w:rsidR="00D0011F" w:rsidRDefault="00D0011F"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27" w:name="_Toc32999843"/>
      <w:r>
        <w:rPr>
          <w:rFonts w:cs="Tahoma"/>
          <w:bCs w:val="0"/>
          <w:iCs w:val="0"/>
          <w:color w:val="E41E0A"/>
          <w:sz w:val="18"/>
          <w:szCs w:val="18"/>
        </w:rPr>
        <w:lastRenderedPageBreak/>
        <w:t>Pozostałe przychody operacyjne</w:t>
      </w:r>
      <w:bookmarkEnd w:id="127"/>
    </w:p>
    <w:p w14:paraId="08593414" w14:textId="77777777" w:rsidR="00D0011F" w:rsidRDefault="00D0011F" w:rsidP="00DB29D1">
      <w:pPr>
        <w:pStyle w:val="DefaultText"/>
        <w:tabs>
          <w:tab w:val="left" w:pos="0"/>
        </w:tabs>
        <w:suppressAutoHyphens/>
        <w:spacing w:before="0" w:after="0"/>
        <w:rPr>
          <w:rFonts w:ascii="Verdana" w:hAnsi="Verdana" w:cs="Tahoma"/>
          <w:bCs/>
          <w:color w:val="201C17"/>
          <w:sz w:val="18"/>
          <w:szCs w:val="18"/>
          <w:lang w:val="pl-PL"/>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31017" w:rsidRPr="00B50D0A" w14:paraId="285A7AD5" w14:textId="77777777" w:rsidTr="00671813">
        <w:trPr>
          <w:trHeight w:val="284"/>
        </w:trPr>
        <w:tc>
          <w:tcPr>
            <w:tcW w:w="6747" w:type="dxa"/>
            <w:vMerge w:val="restart"/>
            <w:tcBorders>
              <w:top w:val="nil"/>
              <w:left w:val="nil"/>
              <w:right w:val="single" w:sz="8" w:space="0" w:color="FFFFFF"/>
            </w:tcBorders>
            <w:shd w:val="clear" w:color="000000" w:fill="0077BD"/>
            <w:vAlign w:val="center"/>
          </w:tcPr>
          <w:p w14:paraId="32800E78" w14:textId="43CC2456" w:rsidR="00631017" w:rsidRPr="00B50D0A" w:rsidRDefault="00631017" w:rsidP="00B50D0A">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75B7D45A"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Rok kończący się 31 grudnia</w:t>
            </w:r>
          </w:p>
        </w:tc>
      </w:tr>
      <w:tr w:rsidR="00631017" w:rsidRPr="00B50D0A" w14:paraId="09888FFE" w14:textId="77777777" w:rsidTr="00671813">
        <w:trPr>
          <w:trHeight w:val="284"/>
        </w:trPr>
        <w:tc>
          <w:tcPr>
            <w:tcW w:w="6747" w:type="dxa"/>
            <w:vMerge/>
            <w:tcBorders>
              <w:left w:val="nil"/>
              <w:right w:val="single" w:sz="8" w:space="0" w:color="FFFFFF"/>
            </w:tcBorders>
            <w:shd w:val="clear" w:color="000000" w:fill="0077BD"/>
            <w:vAlign w:val="center"/>
            <w:hideMark/>
          </w:tcPr>
          <w:p w14:paraId="3226F3DA" w14:textId="55305F5F" w:rsidR="00631017" w:rsidRPr="00B50D0A" w:rsidRDefault="00631017" w:rsidP="00B50D0A">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1B65CE0F"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B9EE373" w14:textId="77777777" w:rsidR="00631017" w:rsidRPr="00B50D0A" w:rsidRDefault="00631017" w:rsidP="00B50D0A">
            <w:pPr>
              <w:jc w:val="right"/>
              <w:rPr>
                <w:rFonts w:cs="Calibri"/>
                <w:b/>
                <w:bCs/>
                <w:color w:val="FFFFFF"/>
                <w:sz w:val="13"/>
                <w:szCs w:val="13"/>
              </w:rPr>
            </w:pPr>
            <w:r w:rsidRPr="00B50D0A">
              <w:rPr>
                <w:rFonts w:cs="Calibri"/>
                <w:b/>
                <w:bCs/>
                <w:color w:val="FFFFFF"/>
                <w:sz w:val="13"/>
                <w:szCs w:val="13"/>
              </w:rPr>
              <w:t>2018</w:t>
            </w:r>
          </w:p>
        </w:tc>
      </w:tr>
      <w:tr w:rsidR="005154BD" w:rsidRPr="0068723D" w14:paraId="3668894C" w14:textId="77777777" w:rsidTr="00CA5E84">
        <w:trPr>
          <w:trHeight w:val="397"/>
        </w:trPr>
        <w:tc>
          <w:tcPr>
            <w:tcW w:w="6747" w:type="dxa"/>
            <w:tcBorders>
              <w:left w:val="nil"/>
              <w:bottom w:val="single" w:sz="4" w:space="0" w:color="0070C0"/>
              <w:right w:val="single" w:sz="8" w:space="0" w:color="0070C0"/>
            </w:tcBorders>
            <w:shd w:val="clear" w:color="auto" w:fill="auto"/>
            <w:vAlign w:val="center"/>
            <w:hideMark/>
          </w:tcPr>
          <w:p w14:paraId="5708B540" w14:textId="77777777" w:rsidR="005154BD" w:rsidRPr="00252982" w:rsidRDefault="005154BD" w:rsidP="005154BD">
            <w:pPr>
              <w:rPr>
                <w:rFonts w:cs="Calibri"/>
                <w:color w:val="000000" w:themeColor="text1"/>
                <w:sz w:val="13"/>
                <w:szCs w:val="13"/>
              </w:rPr>
            </w:pPr>
            <w:bookmarkStart w:id="128" w:name="RANGE!B5:B15"/>
            <w:r w:rsidRPr="00252982">
              <w:rPr>
                <w:rFonts w:cs="Calibri"/>
                <w:color w:val="000000" w:themeColor="text1"/>
                <w:sz w:val="13"/>
                <w:szCs w:val="13"/>
              </w:rPr>
              <w:t>Przychody z tytułu sprzedaży lub likwidacji środków trwałych, wartości niematerialnych, aktywów do zbycia oraz zapasów</w:t>
            </w:r>
            <w:bookmarkEnd w:id="128"/>
          </w:p>
        </w:tc>
        <w:tc>
          <w:tcPr>
            <w:tcW w:w="141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041E3803" w14:textId="2D1F3F80"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131 947</w:t>
            </w:r>
          </w:p>
        </w:tc>
        <w:tc>
          <w:tcPr>
            <w:tcW w:w="1418" w:type="dxa"/>
            <w:tcBorders>
              <w:left w:val="nil"/>
              <w:bottom w:val="single" w:sz="4" w:space="0" w:color="0070C0"/>
              <w:right w:val="nil"/>
            </w:tcBorders>
            <w:shd w:val="clear" w:color="auto" w:fill="auto"/>
            <w:noWrap/>
            <w:vAlign w:val="center"/>
            <w:hideMark/>
          </w:tcPr>
          <w:p w14:paraId="165783D0"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68 363</w:t>
            </w:r>
          </w:p>
        </w:tc>
      </w:tr>
      <w:tr w:rsidR="005154BD" w:rsidRPr="0068723D" w14:paraId="70D2E8B1"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6367EE11"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Przychody ze sprzedaży usług</w:t>
            </w:r>
          </w:p>
        </w:tc>
        <w:tc>
          <w:tcPr>
            <w:tcW w:w="1418" w:type="dxa"/>
            <w:tcBorders>
              <w:top w:val="nil"/>
              <w:left w:val="single" w:sz="8" w:space="0" w:color="0070C0"/>
              <w:bottom w:val="single" w:sz="4" w:space="0" w:color="0070C0"/>
              <w:right w:val="single" w:sz="8" w:space="0" w:color="0070C0"/>
            </w:tcBorders>
            <w:shd w:val="clear" w:color="auto" w:fill="auto"/>
            <w:noWrap/>
            <w:vAlign w:val="center"/>
          </w:tcPr>
          <w:p w14:paraId="2524EAA1" w14:textId="22D3D8FC"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10 577</w:t>
            </w:r>
          </w:p>
        </w:tc>
        <w:tc>
          <w:tcPr>
            <w:tcW w:w="1418" w:type="dxa"/>
            <w:tcBorders>
              <w:top w:val="nil"/>
              <w:left w:val="nil"/>
              <w:bottom w:val="single" w:sz="4" w:space="0" w:color="0070C0"/>
              <w:right w:val="nil"/>
            </w:tcBorders>
            <w:shd w:val="clear" w:color="auto" w:fill="auto"/>
            <w:noWrap/>
            <w:vAlign w:val="center"/>
            <w:hideMark/>
          </w:tcPr>
          <w:p w14:paraId="1449DDE9"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21 980</w:t>
            </w:r>
          </w:p>
        </w:tc>
      </w:tr>
      <w:tr w:rsidR="005154BD" w:rsidRPr="0068723D" w14:paraId="6B2AE0FA"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1C187DF2"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Przychody netto z tytułu leasingu operacyjnego</w:t>
            </w:r>
          </w:p>
        </w:tc>
        <w:tc>
          <w:tcPr>
            <w:tcW w:w="1418" w:type="dxa"/>
            <w:tcBorders>
              <w:top w:val="nil"/>
              <w:left w:val="single" w:sz="8" w:space="0" w:color="0070C0"/>
              <w:bottom w:val="single" w:sz="4" w:space="0" w:color="0070C0"/>
              <w:right w:val="single" w:sz="8" w:space="0" w:color="0070C0"/>
            </w:tcBorders>
            <w:shd w:val="clear" w:color="auto" w:fill="auto"/>
            <w:noWrap/>
            <w:vAlign w:val="center"/>
          </w:tcPr>
          <w:p w14:paraId="72A464E2" w14:textId="627D37F8"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2 030</w:t>
            </w:r>
          </w:p>
        </w:tc>
        <w:tc>
          <w:tcPr>
            <w:tcW w:w="1418" w:type="dxa"/>
            <w:tcBorders>
              <w:top w:val="nil"/>
              <w:left w:val="nil"/>
              <w:bottom w:val="single" w:sz="4" w:space="0" w:color="0070C0"/>
              <w:right w:val="nil"/>
            </w:tcBorders>
            <w:shd w:val="clear" w:color="auto" w:fill="auto"/>
            <w:noWrap/>
            <w:vAlign w:val="center"/>
            <w:hideMark/>
          </w:tcPr>
          <w:p w14:paraId="27BF263E"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2 215</w:t>
            </w:r>
          </w:p>
        </w:tc>
      </w:tr>
      <w:tr w:rsidR="00156944" w:rsidRPr="0068723D" w14:paraId="72D13DCC" w14:textId="77777777" w:rsidTr="007B2A96">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6705C975" w14:textId="77777777" w:rsidR="00156944" w:rsidRPr="00252982" w:rsidRDefault="00156944" w:rsidP="00156944">
            <w:pPr>
              <w:rPr>
                <w:rFonts w:cs="Calibri"/>
                <w:color w:val="000000" w:themeColor="text1"/>
                <w:sz w:val="13"/>
                <w:szCs w:val="13"/>
              </w:rPr>
            </w:pPr>
            <w:r w:rsidRPr="00252982">
              <w:rPr>
                <w:rFonts w:cs="Calibri"/>
                <w:color w:val="000000" w:themeColor="text1"/>
                <w:sz w:val="13"/>
                <w:szCs w:val="13"/>
              </w:rPr>
              <w:t>Przychody z tytułu rozwiązania rezerw na przyszłe zobowiązania</w:t>
            </w:r>
          </w:p>
        </w:tc>
        <w:tc>
          <w:tcPr>
            <w:tcW w:w="1418" w:type="dxa"/>
            <w:tcBorders>
              <w:top w:val="single" w:sz="4" w:space="0" w:color="0070C0"/>
              <w:left w:val="single" w:sz="8" w:space="0" w:color="0070C0"/>
              <w:bottom w:val="single" w:sz="4" w:space="0" w:color="0070C0"/>
              <w:right w:val="single" w:sz="8" w:space="0" w:color="0070C0"/>
            </w:tcBorders>
            <w:shd w:val="clear" w:color="auto" w:fill="auto"/>
            <w:noWrap/>
            <w:vAlign w:val="center"/>
          </w:tcPr>
          <w:p w14:paraId="640E8A68" w14:textId="6C92F354" w:rsidR="00156944" w:rsidRPr="00252982" w:rsidRDefault="00156944" w:rsidP="00156944">
            <w:pPr>
              <w:jc w:val="right"/>
              <w:rPr>
                <w:rFonts w:cs="Calibri"/>
                <w:color w:val="000000" w:themeColor="text1"/>
                <w:sz w:val="13"/>
                <w:szCs w:val="13"/>
              </w:rPr>
            </w:pPr>
            <w:r w:rsidRPr="00252982">
              <w:rPr>
                <w:rFonts w:cs="Calibri"/>
                <w:color w:val="000000" w:themeColor="text1"/>
                <w:sz w:val="13"/>
                <w:szCs w:val="13"/>
              </w:rPr>
              <w:t>11 162</w:t>
            </w:r>
          </w:p>
        </w:tc>
        <w:tc>
          <w:tcPr>
            <w:tcW w:w="1418" w:type="dxa"/>
            <w:tcBorders>
              <w:top w:val="single" w:sz="4" w:space="0" w:color="0070C0"/>
              <w:left w:val="nil"/>
              <w:bottom w:val="single" w:sz="4" w:space="0" w:color="0070C0"/>
              <w:right w:val="nil"/>
            </w:tcBorders>
            <w:shd w:val="clear" w:color="auto" w:fill="auto"/>
            <w:noWrap/>
            <w:vAlign w:val="center"/>
            <w:hideMark/>
          </w:tcPr>
          <w:p w14:paraId="1CE0B01E" w14:textId="45695CAA" w:rsidR="00156944" w:rsidRPr="00252982" w:rsidRDefault="00156944" w:rsidP="00156944">
            <w:pPr>
              <w:jc w:val="right"/>
              <w:rPr>
                <w:rFonts w:cs="Calibri"/>
                <w:color w:val="000000" w:themeColor="text1"/>
                <w:sz w:val="13"/>
                <w:szCs w:val="13"/>
              </w:rPr>
            </w:pPr>
            <w:r w:rsidRPr="00252982">
              <w:rPr>
                <w:rFonts w:cs="Calibri"/>
                <w:color w:val="000000" w:themeColor="text1"/>
                <w:sz w:val="13"/>
                <w:szCs w:val="13"/>
              </w:rPr>
              <w:t>4 717</w:t>
            </w:r>
          </w:p>
        </w:tc>
      </w:tr>
      <w:tr w:rsidR="005154BD" w:rsidRPr="0068723D" w14:paraId="77D9E81F"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603C9F36"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Przychody z tytułu odzyskanych należności przedawnionych, umorzonych i nieściągalnych</w:t>
            </w:r>
          </w:p>
        </w:tc>
        <w:tc>
          <w:tcPr>
            <w:tcW w:w="1418" w:type="dxa"/>
            <w:tcBorders>
              <w:top w:val="nil"/>
              <w:left w:val="single" w:sz="8" w:space="0" w:color="0070C0"/>
              <w:bottom w:val="single" w:sz="4" w:space="0" w:color="0070C0"/>
              <w:right w:val="single" w:sz="8" w:space="0" w:color="0070C0"/>
            </w:tcBorders>
            <w:shd w:val="clear" w:color="auto" w:fill="auto"/>
            <w:noWrap/>
            <w:vAlign w:val="center"/>
          </w:tcPr>
          <w:p w14:paraId="10B4CE3C" w14:textId="39795452"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5 264</w:t>
            </w:r>
          </w:p>
        </w:tc>
        <w:tc>
          <w:tcPr>
            <w:tcW w:w="1418" w:type="dxa"/>
            <w:tcBorders>
              <w:top w:val="nil"/>
              <w:left w:val="nil"/>
              <w:bottom w:val="single" w:sz="4" w:space="0" w:color="0070C0"/>
              <w:right w:val="nil"/>
            </w:tcBorders>
            <w:shd w:val="clear" w:color="auto" w:fill="auto"/>
            <w:noWrap/>
            <w:vAlign w:val="center"/>
            <w:hideMark/>
          </w:tcPr>
          <w:p w14:paraId="035891B1"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448</w:t>
            </w:r>
          </w:p>
        </w:tc>
      </w:tr>
      <w:tr w:rsidR="005154BD" w:rsidRPr="0068723D" w14:paraId="00C5CCAE"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7DAAEFA2"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Otrzymane odszkodowania, kary i grzywny</w:t>
            </w:r>
          </w:p>
        </w:tc>
        <w:tc>
          <w:tcPr>
            <w:tcW w:w="1418" w:type="dxa"/>
            <w:tcBorders>
              <w:top w:val="nil"/>
              <w:left w:val="single" w:sz="8" w:space="0" w:color="0070C0"/>
              <w:bottom w:val="single" w:sz="4" w:space="0" w:color="0070C0"/>
              <w:right w:val="single" w:sz="8" w:space="0" w:color="0070C0"/>
            </w:tcBorders>
            <w:shd w:val="clear" w:color="auto" w:fill="auto"/>
            <w:noWrap/>
            <w:vAlign w:val="center"/>
          </w:tcPr>
          <w:p w14:paraId="21B81C27" w14:textId="7EA4B09E"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718</w:t>
            </w:r>
          </w:p>
        </w:tc>
        <w:tc>
          <w:tcPr>
            <w:tcW w:w="1418" w:type="dxa"/>
            <w:tcBorders>
              <w:top w:val="nil"/>
              <w:left w:val="nil"/>
              <w:bottom w:val="single" w:sz="4" w:space="0" w:color="0070C0"/>
              <w:right w:val="nil"/>
            </w:tcBorders>
            <w:shd w:val="clear" w:color="auto" w:fill="auto"/>
            <w:noWrap/>
            <w:vAlign w:val="center"/>
            <w:hideMark/>
          </w:tcPr>
          <w:p w14:paraId="2F1CD937"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333</w:t>
            </w:r>
          </w:p>
        </w:tc>
      </w:tr>
      <w:tr w:rsidR="005154BD" w:rsidRPr="0068723D" w14:paraId="0FAE9968"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tcPr>
          <w:p w14:paraId="40B8342D" w14:textId="512C70E9" w:rsidR="005154BD" w:rsidRPr="00252982" w:rsidRDefault="005154BD" w:rsidP="005154BD">
            <w:pPr>
              <w:rPr>
                <w:rFonts w:cs="Calibri"/>
                <w:color w:val="000000" w:themeColor="text1"/>
                <w:sz w:val="13"/>
                <w:szCs w:val="13"/>
              </w:rPr>
            </w:pPr>
            <w:r w:rsidRPr="00252982">
              <w:rPr>
                <w:rFonts w:cs="Calibri"/>
                <w:color w:val="000000" w:themeColor="text1"/>
                <w:sz w:val="13"/>
                <w:szCs w:val="13"/>
              </w:rPr>
              <w:t>Rozwiązanie odpisu z tytułu utraty wartości rzeczowych aktywów trwałych i wartości niematerialnych</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75B67BA9" w14:textId="0F188DA5"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5 657</w:t>
            </w:r>
          </w:p>
        </w:tc>
        <w:tc>
          <w:tcPr>
            <w:tcW w:w="1418" w:type="dxa"/>
            <w:tcBorders>
              <w:top w:val="nil"/>
              <w:left w:val="nil"/>
              <w:bottom w:val="single" w:sz="4" w:space="0" w:color="0070C0"/>
              <w:right w:val="nil"/>
            </w:tcBorders>
            <w:shd w:val="clear" w:color="auto" w:fill="auto"/>
            <w:vAlign w:val="center"/>
          </w:tcPr>
          <w:p w14:paraId="74B2F003" w14:textId="10DCAF8B"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w:t>
            </w:r>
          </w:p>
        </w:tc>
      </w:tr>
      <w:tr w:rsidR="005154BD" w:rsidRPr="0068723D" w14:paraId="105B8402"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4BF595E7"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Przychody netto ze sprzedaży zorganizowanej części przedsiębiorstwa spółki mFinanse S.A.</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7849576" w14:textId="3BFEAA50"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26 600</w:t>
            </w:r>
          </w:p>
        </w:tc>
        <w:tc>
          <w:tcPr>
            <w:tcW w:w="1418" w:type="dxa"/>
            <w:tcBorders>
              <w:top w:val="nil"/>
              <w:left w:val="nil"/>
              <w:bottom w:val="single" w:sz="4" w:space="0" w:color="0070C0"/>
              <w:right w:val="nil"/>
            </w:tcBorders>
            <w:shd w:val="clear" w:color="auto" w:fill="auto"/>
            <w:vAlign w:val="center"/>
            <w:hideMark/>
          </w:tcPr>
          <w:p w14:paraId="2466A1D7"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255 536</w:t>
            </w:r>
          </w:p>
        </w:tc>
      </w:tr>
      <w:tr w:rsidR="005154BD" w:rsidRPr="0068723D" w14:paraId="111C8C66"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21E3FE78" w14:textId="77777777" w:rsidR="005154BD" w:rsidRPr="00252982" w:rsidRDefault="005154BD" w:rsidP="005154BD">
            <w:pPr>
              <w:rPr>
                <w:rFonts w:cs="Calibri"/>
                <w:color w:val="000000" w:themeColor="text1"/>
                <w:sz w:val="13"/>
                <w:szCs w:val="13"/>
              </w:rPr>
            </w:pPr>
            <w:r w:rsidRPr="00252982">
              <w:rPr>
                <w:rFonts w:cs="Calibri"/>
                <w:color w:val="000000" w:themeColor="text1"/>
                <w:sz w:val="13"/>
                <w:szCs w:val="13"/>
              </w:rPr>
              <w:t>Pozostałe</w:t>
            </w:r>
          </w:p>
        </w:tc>
        <w:tc>
          <w:tcPr>
            <w:tcW w:w="1418" w:type="dxa"/>
            <w:tcBorders>
              <w:top w:val="nil"/>
              <w:left w:val="single" w:sz="8" w:space="0" w:color="0070C0"/>
              <w:bottom w:val="single" w:sz="4" w:space="0" w:color="0070C0"/>
              <w:right w:val="single" w:sz="8" w:space="0" w:color="0070C0"/>
            </w:tcBorders>
            <w:shd w:val="clear" w:color="auto" w:fill="auto"/>
            <w:noWrap/>
            <w:vAlign w:val="center"/>
          </w:tcPr>
          <w:p w14:paraId="42A60ED8" w14:textId="33D8A1D2"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40 532</w:t>
            </w:r>
          </w:p>
        </w:tc>
        <w:tc>
          <w:tcPr>
            <w:tcW w:w="1418" w:type="dxa"/>
            <w:tcBorders>
              <w:top w:val="nil"/>
              <w:left w:val="nil"/>
              <w:bottom w:val="single" w:sz="8" w:space="0" w:color="0070C0"/>
              <w:right w:val="nil"/>
            </w:tcBorders>
            <w:shd w:val="clear" w:color="auto" w:fill="auto"/>
            <w:noWrap/>
            <w:vAlign w:val="center"/>
            <w:hideMark/>
          </w:tcPr>
          <w:p w14:paraId="779458B8" w14:textId="77777777" w:rsidR="005154BD" w:rsidRPr="00252982" w:rsidRDefault="005154BD" w:rsidP="005154BD">
            <w:pPr>
              <w:jc w:val="right"/>
              <w:rPr>
                <w:rFonts w:cs="Calibri"/>
                <w:color w:val="000000" w:themeColor="text1"/>
                <w:sz w:val="13"/>
                <w:szCs w:val="13"/>
              </w:rPr>
            </w:pPr>
            <w:r w:rsidRPr="00252982">
              <w:rPr>
                <w:rFonts w:cs="Calibri"/>
                <w:color w:val="000000" w:themeColor="text1"/>
                <w:sz w:val="13"/>
                <w:szCs w:val="13"/>
              </w:rPr>
              <w:t>51 402</w:t>
            </w:r>
          </w:p>
        </w:tc>
      </w:tr>
      <w:tr w:rsidR="005154BD" w:rsidRPr="0068723D" w14:paraId="16AF1C58"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0F42DAC8" w14:textId="77777777" w:rsidR="005154BD" w:rsidRPr="00252982" w:rsidRDefault="005154BD" w:rsidP="005154BD">
            <w:pPr>
              <w:rPr>
                <w:rFonts w:cs="Calibri"/>
                <w:b/>
                <w:bCs/>
                <w:color w:val="000000" w:themeColor="text1"/>
                <w:sz w:val="13"/>
                <w:szCs w:val="13"/>
              </w:rPr>
            </w:pPr>
            <w:r w:rsidRPr="00252982">
              <w:rPr>
                <w:rFonts w:cs="Calibri"/>
                <w:b/>
                <w:bCs/>
                <w:color w:val="000000" w:themeColor="text1"/>
                <w:sz w:val="13"/>
                <w:szCs w:val="13"/>
              </w:rPr>
              <w:t>Pozostałe przychody operacyjne, razem</w:t>
            </w:r>
          </w:p>
        </w:tc>
        <w:tc>
          <w:tcPr>
            <w:tcW w:w="1418" w:type="dxa"/>
            <w:tcBorders>
              <w:top w:val="single" w:sz="8" w:space="0" w:color="0070C0"/>
              <w:left w:val="single" w:sz="8" w:space="0" w:color="0070C0"/>
              <w:bottom w:val="single" w:sz="8" w:space="0" w:color="0070C0"/>
              <w:right w:val="single" w:sz="8" w:space="0" w:color="0070C0"/>
            </w:tcBorders>
            <w:shd w:val="clear" w:color="auto" w:fill="auto"/>
            <w:noWrap/>
            <w:vAlign w:val="center"/>
          </w:tcPr>
          <w:p w14:paraId="12CFE734" w14:textId="53B551DD" w:rsidR="005154BD" w:rsidRPr="00252982" w:rsidRDefault="00156944" w:rsidP="00156944">
            <w:pPr>
              <w:jc w:val="right"/>
              <w:rPr>
                <w:rFonts w:cs="Calibri"/>
                <w:b/>
                <w:bCs/>
                <w:color w:val="000000" w:themeColor="text1"/>
                <w:sz w:val="13"/>
                <w:szCs w:val="13"/>
              </w:rPr>
            </w:pPr>
            <w:r w:rsidRPr="00252982">
              <w:rPr>
                <w:rFonts w:cs="Calibri"/>
                <w:b/>
                <w:bCs/>
                <w:color w:val="000000" w:themeColor="text1"/>
                <w:sz w:val="13"/>
                <w:szCs w:val="13"/>
              </w:rPr>
              <w:t>234</w:t>
            </w:r>
            <w:r w:rsidR="005154BD" w:rsidRPr="00252982">
              <w:rPr>
                <w:rFonts w:cs="Calibri"/>
                <w:b/>
                <w:bCs/>
                <w:color w:val="000000" w:themeColor="text1"/>
                <w:sz w:val="13"/>
                <w:szCs w:val="13"/>
              </w:rPr>
              <w:t xml:space="preserve"> </w:t>
            </w:r>
            <w:r w:rsidRPr="00252982">
              <w:rPr>
                <w:rFonts w:cs="Calibri"/>
                <w:b/>
                <w:bCs/>
                <w:color w:val="000000" w:themeColor="text1"/>
                <w:sz w:val="13"/>
                <w:szCs w:val="13"/>
              </w:rPr>
              <w:t>487</w:t>
            </w:r>
          </w:p>
        </w:tc>
        <w:tc>
          <w:tcPr>
            <w:tcW w:w="1418" w:type="dxa"/>
            <w:tcBorders>
              <w:top w:val="nil"/>
              <w:left w:val="nil"/>
              <w:bottom w:val="single" w:sz="8" w:space="0" w:color="0070C0"/>
              <w:right w:val="nil"/>
            </w:tcBorders>
            <w:shd w:val="clear" w:color="auto" w:fill="auto"/>
            <w:noWrap/>
            <w:vAlign w:val="center"/>
            <w:hideMark/>
          </w:tcPr>
          <w:p w14:paraId="4CE56060" w14:textId="23BD49E3" w:rsidR="005154BD" w:rsidRPr="00252982" w:rsidRDefault="005154BD" w:rsidP="00156944">
            <w:pPr>
              <w:jc w:val="right"/>
              <w:rPr>
                <w:rFonts w:cs="Calibri"/>
                <w:b/>
                <w:bCs/>
                <w:color w:val="000000" w:themeColor="text1"/>
                <w:sz w:val="13"/>
                <w:szCs w:val="13"/>
              </w:rPr>
            </w:pPr>
            <w:r w:rsidRPr="00252982">
              <w:rPr>
                <w:rFonts w:cs="Calibri"/>
                <w:b/>
                <w:bCs/>
                <w:color w:val="000000" w:themeColor="text1"/>
                <w:sz w:val="13"/>
                <w:szCs w:val="13"/>
              </w:rPr>
              <w:t>4</w:t>
            </w:r>
            <w:r w:rsidR="00156944" w:rsidRPr="00252982">
              <w:rPr>
                <w:rFonts w:cs="Calibri"/>
                <w:b/>
                <w:bCs/>
                <w:color w:val="000000" w:themeColor="text1"/>
                <w:sz w:val="13"/>
                <w:szCs w:val="13"/>
              </w:rPr>
              <w:t>04</w:t>
            </w:r>
            <w:r w:rsidRPr="00252982">
              <w:rPr>
                <w:rFonts w:cs="Calibri"/>
                <w:b/>
                <w:bCs/>
                <w:color w:val="000000" w:themeColor="text1"/>
                <w:sz w:val="13"/>
                <w:szCs w:val="13"/>
              </w:rPr>
              <w:t xml:space="preserve"> </w:t>
            </w:r>
            <w:r w:rsidR="00156944" w:rsidRPr="00252982">
              <w:rPr>
                <w:rFonts w:cs="Calibri"/>
                <w:b/>
                <w:bCs/>
                <w:color w:val="000000" w:themeColor="text1"/>
                <w:sz w:val="13"/>
                <w:szCs w:val="13"/>
              </w:rPr>
              <w:t>994</w:t>
            </w:r>
          </w:p>
        </w:tc>
      </w:tr>
    </w:tbl>
    <w:p w14:paraId="2DB31C65" w14:textId="032240FD" w:rsidR="00C3181F" w:rsidRDefault="00E74B00" w:rsidP="00C3181F">
      <w:pPr>
        <w:spacing w:before="120"/>
        <w:jc w:val="both"/>
        <w:rPr>
          <w:rFonts w:cs="Tahoma"/>
          <w:color w:val="000000" w:themeColor="text1"/>
          <w:sz w:val="18"/>
          <w:szCs w:val="18"/>
        </w:rPr>
      </w:pPr>
      <w:r w:rsidRPr="0068723D">
        <w:rPr>
          <w:rFonts w:cs="Tahoma"/>
          <w:color w:val="000000" w:themeColor="text1"/>
          <w:sz w:val="18"/>
          <w:szCs w:val="18"/>
        </w:rPr>
        <w:t>P</w:t>
      </w:r>
      <w:r w:rsidR="00C3181F" w:rsidRPr="0068723D">
        <w:rPr>
          <w:rFonts w:cs="Tahoma"/>
          <w:color w:val="000000" w:themeColor="text1"/>
          <w:sz w:val="18"/>
          <w:szCs w:val="18"/>
        </w:rPr>
        <w:t xml:space="preserve">rzychody z tytułu sprzedaży lub likwidacji środków trwałych, wartości niematerialnych, aktywów do zbycia oraz zapasów obejmują głównie przychody spółki </w:t>
      </w:r>
      <w:r w:rsidR="00AC4ACE">
        <w:rPr>
          <w:rFonts w:cs="Tahoma"/>
          <w:color w:val="000000" w:themeColor="text1"/>
          <w:sz w:val="18"/>
          <w:szCs w:val="18"/>
        </w:rPr>
        <w:t xml:space="preserve">mLeasing Sp. z o.o. </w:t>
      </w:r>
      <w:r w:rsidR="00AC4ACE" w:rsidRPr="00742E2D">
        <w:rPr>
          <w:color w:val="000000" w:themeColor="text1"/>
          <w:sz w:val="18"/>
          <w:szCs w:val="18"/>
        </w:rPr>
        <w:t>z tytułu sprzedaży przedmiotów leasingu</w:t>
      </w:r>
      <w:r w:rsidR="00AC4ACE">
        <w:rPr>
          <w:color w:val="000000" w:themeColor="text1"/>
          <w:sz w:val="18"/>
          <w:szCs w:val="18"/>
        </w:rPr>
        <w:t xml:space="preserve"> </w:t>
      </w:r>
      <w:r w:rsidR="00AC4ACE">
        <w:rPr>
          <w:rFonts w:cs="Tahoma"/>
          <w:color w:val="000000" w:themeColor="text1"/>
          <w:sz w:val="18"/>
          <w:szCs w:val="18"/>
        </w:rPr>
        <w:t xml:space="preserve">i spółki </w:t>
      </w:r>
      <w:r w:rsidRPr="0068723D">
        <w:rPr>
          <w:rFonts w:cs="Tahoma"/>
          <w:color w:val="000000" w:themeColor="text1"/>
          <w:sz w:val="18"/>
          <w:szCs w:val="18"/>
        </w:rPr>
        <w:t>BDH Development Sp. z o.o.</w:t>
      </w:r>
      <w:r w:rsidR="00C3181F" w:rsidRPr="0068723D">
        <w:rPr>
          <w:rFonts w:cs="Tahoma"/>
          <w:color w:val="000000" w:themeColor="text1"/>
          <w:sz w:val="18"/>
          <w:szCs w:val="18"/>
        </w:rPr>
        <w:t xml:space="preserve"> uzyskane z działalności deweloperskiej.</w:t>
      </w:r>
    </w:p>
    <w:p w14:paraId="6ED904E4" w14:textId="26B3FE7C" w:rsidR="007D485A" w:rsidRPr="003E33E4" w:rsidRDefault="007D485A" w:rsidP="003E33E4">
      <w:pPr>
        <w:spacing w:before="120"/>
        <w:jc w:val="both"/>
        <w:rPr>
          <w:rFonts w:cs="Tahoma"/>
          <w:color w:val="000000" w:themeColor="text1"/>
          <w:sz w:val="18"/>
          <w:szCs w:val="18"/>
        </w:rPr>
      </w:pPr>
      <w:r w:rsidRPr="003E33E4">
        <w:rPr>
          <w:rFonts w:cs="Tahoma"/>
          <w:color w:val="000000" w:themeColor="text1"/>
          <w:sz w:val="18"/>
          <w:szCs w:val="18"/>
        </w:rPr>
        <w:t xml:space="preserve">Przychody netto ze sprzedaży zorganizowanej części przedsiębiorstwa spółki mFinanse S.A. dotyczą transakcji </w:t>
      </w:r>
      <w:r w:rsidR="003E33E4" w:rsidRPr="003E33E4">
        <w:rPr>
          <w:rFonts w:cs="Tahoma"/>
          <w:color w:val="000000" w:themeColor="text1"/>
          <w:sz w:val="18"/>
          <w:szCs w:val="18"/>
        </w:rPr>
        <w:t>sprzedaży w 2018 roku przez m</w:t>
      </w:r>
      <w:r w:rsidR="003E33E4" w:rsidRPr="003E33E4">
        <w:rPr>
          <w:rFonts w:cs="Tahoma"/>
          <w:color w:val="000000" w:themeColor="text1"/>
          <w:spacing w:val="-2"/>
          <w:sz w:val="18"/>
          <w:szCs w:val="18"/>
        </w:rPr>
        <w:t>Bank</w:t>
      </w:r>
      <w:r w:rsidR="003E33E4">
        <w:rPr>
          <w:rFonts w:cs="Tahoma"/>
          <w:color w:val="000000" w:themeColor="text1"/>
          <w:spacing w:val="-2"/>
          <w:sz w:val="18"/>
          <w:szCs w:val="18"/>
        </w:rPr>
        <w:t xml:space="preserve"> S.A. </w:t>
      </w:r>
      <w:r w:rsidR="003E33E4" w:rsidRPr="003E33E4">
        <w:rPr>
          <w:rFonts w:cs="Tahoma"/>
          <w:color w:val="000000" w:themeColor="text1"/>
          <w:spacing w:val="-2"/>
          <w:sz w:val="18"/>
          <w:szCs w:val="18"/>
        </w:rPr>
        <w:t xml:space="preserve">100% akcji w spółce Latona S.A. na rzecz Phoebe IVS z siedzibą w Danii, a następnie sprzedaży przez mFinanse </w:t>
      </w:r>
      <w:r w:rsidR="003E33E4">
        <w:rPr>
          <w:rFonts w:cs="Tahoma"/>
          <w:color w:val="000000" w:themeColor="text1"/>
          <w:spacing w:val="-2"/>
          <w:sz w:val="18"/>
          <w:szCs w:val="18"/>
        </w:rPr>
        <w:t xml:space="preserve">S.A. </w:t>
      </w:r>
      <w:r w:rsidR="003E33E4" w:rsidRPr="003E33E4">
        <w:rPr>
          <w:rFonts w:cs="Tahoma"/>
          <w:color w:val="000000" w:themeColor="text1"/>
          <w:spacing w:val="-2"/>
          <w:sz w:val="18"/>
          <w:szCs w:val="18"/>
        </w:rPr>
        <w:t>zorganizowanej części przedsiębiorstwa mFinanse na rzecz spółki Latona S.A.</w:t>
      </w:r>
      <w:r w:rsidR="003E33E4">
        <w:rPr>
          <w:rFonts w:cs="Tahoma"/>
          <w:color w:val="000000" w:themeColor="text1"/>
          <w:sz w:val="18"/>
          <w:szCs w:val="18"/>
        </w:rPr>
        <w:t xml:space="preserve"> </w:t>
      </w:r>
      <w:r w:rsidRPr="003E33E4">
        <w:rPr>
          <w:rFonts w:cs="Tahoma"/>
          <w:color w:val="000000" w:themeColor="text1"/>
          <w:spacing w:val="-2"/>
          <w:sz w:val="18"/>
          <w:szCs w:val="18"/>
        </w:rPr>
        <w:t>Zorganizowana część przedsiębiorstwa stanowiła wydzieloną działalność, w ramach której na podstawie umów agencyjnych mFinanse wykonywała jako agent ubezpieczeniowy czynności pośrednictwa ubezpieczeniowego w zakresie grupowych umów ubezpieczenia.</w:t>
      </w:r>
    </w:p>
    <w:p w14:paraId="2B593976" w14:textId="0A19C784" w:rsidR="00C527B1" w:rsidRDefault="00C527B1" w:rsidP="00C3181F">
      <w:pPr>
        <w:spacing w:before="120"/>
        <w:jc w:val="both"/>
        <w:rPr>
          <w:rFonts w:cs="Tahoma"/>
          <w:color w:val="000000" w:themeColor="text1"/>
          <w:sz w:val="18"/>
          <w:szCs w:val="18"/>
        </w:rPr>
      </w:pPr>
      <w:r w:rsidRPr="004806B0">
        <w:rPr>
          <w:rFonts w:cs="Tahoma"/>
          <w:color w:val="000000"/>
          <w:spacing w:val="-2"/>
          <w:sz w:val="18"/>
          <w:szCs w:val="18"/>
        </w:rPr>
        <w:t>Maksymalne łączne wynagrodzenie z tytu</w:t>
      </w:r>
      <w:r w:rsidR="001C4C16">
        <w:rPr>
          <w:rFonts w:cs="Tahoma"/>
          <w:color w:val="000000"/>
          <w:spacing w:val="-2"/>
          <w:sz w:val="18"/>
          <w:szCs w:val="18"/>
        </w:rPr>
        <w:t>łu transakcji wyniesie około 434,9</w:t>
      </w:r>
      <w:r w:rsidRPr="004806B0">
        <w:rPr>
          <w:rFonts w:cs="Tahoma"/>
          <w:color w:val="000000"/>
          <w:spacing w:val="-2"/>
          <w:sz w:val="18"/>
          <w:szCs w:val="18"/>
        </w:rPr>
        <w:t xml:space="preserve"> mln zł. W efekcie transakcji, do 31 grudnia 2019 roku Grupa mBanku rozpoznała</w:t>
      </w:r>
      <w:r w:rsidR="0054132D">
        <w:rPr>
          <w:rFonts w:cs="Tahoma"/>
          <w:color w:val="000000"/>
          <w:spacing w:val="-2"/>
          <w:sz w:val="18"/>
          <w:szCs w:val="18"/>
        </w:rPr>
        <w:t xml:space="preserve"> zysk brutto w wysokości 282,</w:t>
      </w:r>
      <w:r w:rsidR="001C4C16">
        <w:rPr>
          <w:rFonts w:cs="Tahoma"/>
          <w:color w:val="000000"/>
          <w:spacing w:val="-2"/>
          <w:sz w:val="18"/>
          <w:szCs w:val="18"/>
        </w:rPr>
        <w:t>1 mln</w:t>
      </w:r>
      <w:r w:rsidRPr="004806B0">
        <w:rPr>
          <w:rFonts w:cs="Tahoma"/>
          <w:color w:val="000000"/>
          <w:spacing w:val="-2"/>
          <w:sz w:val="18"/>
          <w:szCs w:val="18"/>
        </w:rPr>
        <w:t xml:space="preserve"> zł. Przepływy pieniężne z tytułu tej transakcji w sprawozdaniu z przepływów pieniężnych zostały zaprezentowane w pozycji „Inne wpływy inwestycyjne”. Ze względu na charakter transakcji, rozpoznanie części wynagrodzenia w przyszłości będzie uzależnione od wyników sprzedanej części biznesu. Skutkiem tego może być rozpoznanie dodatkowego zysku brutto w maksymalnej kwocie do 1</w:t>
      </w:r>
      <w:r w:rsidR="005A7A51" w:rsidRPr="004806B0">
        <w:rPr>
          <w:rFonts w:cs="Tahoma"/>
          <w:color w:val="000000"/>
          <w:spacing w:val="-2"/>
          <w:sz w:val="18"/>
          <w:szCs w:val="18"/>
        </w:rPr>
        <w:t>19,8</w:t>
      </w:r>
      <w:r w:rsidRPr="004806B0">
        <w:rPr>
          <w:rFonts w:cs="Tahoma"/>
          <w:color w:val="000000"/>
          <w:spacing w:val="-2"/>
          <w:sz w:val="18"/>
          <w:szCs w:val="18"/>
        </w:rPr>
        <w:t xml:space="preserve"> mln zł w okresie około 4 lat od</w:t>
      </w:r>
      <w:r w:rsidR="00C001C6">
        <w:rPr>
          <w:rFonts w:cs="Tahoma"/>
          <w:color w:val="000000"/>
          <w:spacing w:val="-2"/>
          <w:sz w:val="18"/>
          <w:szCs w:val="18"/>
        </w:rPr>
        <w:t> </w:t>
      </w:r>
      <w:r w:rsidRPr="004806B0">
        <w:rPr>
          <w:rFonts w:cs="Tahoma"/>
          <w:color w:val="000000"/>
          <w:spacing w:val="-2"/>
          <w:sz w:val="18"/>
          <w:szCs w:val="18"/>
        </w:rPr>
        <w:t>końca 2019 roku.</w:t>
      </w:r>
    </w:p>
    <w:p w14:paraId="4B5511D4" w14:textId="6E64C7FD" w:rsidR="00C3181F" w:rsidRPr="0068723D" w:rsidRDefault="00C3181F" w:rsidP="00C3181F">
      <w:pPr>
        <w:spacing w:before="120"/>
        <w:jc w:val="both"/>
        <w:rPr>
          <w:rFonts w:cs="Tahoma"/>
          <w:color w:val="000000" w:themeColor="text1"/>
          <w:sz w:val="18"/>
          <w:szCs w:val="18"/>
        </w:rPr>
      </w:pPr>
      <w:r w:rsidRPr="0068723D">
        <w:rPr>
          <w:rFonts w:cs="Tahoma"/>
          <w:color w:val="000000" w:themeColor="text1"/>
          <w:sz w:val="18"/>
          <w:szCs w:val="18"/>
        </w:rPr>
        <w:t>Przychody ze sprzedaży usług dotyczą usług niebankowych.</w:t>
      </w:r>
    </w:p>
    <w:p w14:paraId="1999C244" w14:textId="77777777" w:rsidR="00C3181F" w:rsidRPr="0068723D" w:rsidRDefault="00C3181F" w:rsidP="00C3181F">
      <w:pPr>
        <w:spacing w:before="120"/>
        <w:jc w:val="both"/>
        <w:rPr>
          <w:rFonts w:cs="Tahoma"/>
          <w:color w:val="000000" w:themeColor="text1"/>
          <w:sz w:val="18"/>
          <w:szCs w:val="18"/>
        </w:rPr>
      </w:pPr>
      <w:r w:rsidRPr="0068723D">
        <w:rPr>
          <w:rFonts w:cs="Tahoma"/>
          <w:color w:val="000000" w:themeColor="text1"/>
          <w:sz w:val="18"/>
          <w:szCs w:val="18"/>
        </w:rPr>
        <w:t>Na kwotę przychodów netto z tytułu leasingu operacyjnego składają się przychody z tytułu leasingu operacyjnego oraz towarzyszące im koszty amortyzacji środków trwałych oddanych przez Grupę w leasing operacyjny, poniesione w celu uzyskania tych przychodów.</w:t>
      </w:r>
    </w:p>
    <w:p w14:paraId="7BE44BAB" w14:textId="75BD7352" w:rsidR="00D0011F" w:rsidRPr="0068723D" w:rsidRDefault="00C3181F" w:rsidP="00AF41FE">
      <w:pPr>
        <w:spacing w:before="120" w:after="120"/>
        <w:jc w:val="both"/>
        <w:rPr>
          <w:rFonts w:cs="Tahoma"/>
          <w:color w:val="000000" w:themeColor="text1"/>
          <w:sz w:val="18"/>
          <w:szCs w:val="18"/>
        </w:rPr>
      </w:pPr>
      <w:r w:rsidRPr="0068723D">
        <w:rPr>
          <w:rFonts w:cs="Tahoma"/>
          <w:color w:val="000000" w:themeColor="text1"/>
          <w:sz w:val="18"/>
          <w:szCs w:val="18"/>
        </w:rPr>
        <w:t>Poniżej przedstawiono przychody netto z tytu</w:t>
      </w:r>
      <w:r w:rsidR="00E74B00" w:rsidRPr="0068723D">
        <w:rPr>
          <w:rFonts w:cs="Tahoma"/>
          <w:color w:val="000000" w:themeColor="text1"/>
          <w:sz w:val="18"/>
          <w:szCs w:val="18"/>
        </w:rPr>
        <w:t xml:space="preserve">łu leasingu operacyjnego </w:t>
      </w:r>
      <w:r w:rsidR="00022837" w:rsidRPr="00022837">
        <w:rPr>
          <w:rFonts w:cs="Tahoma"/>
          <w:color w:val="000000" w:themeColor="text1"/>
          <w:sz w:val="18"/>
          <w:szCs w:val="18"/>
        </w:rPr>
        <w:t xml:space="preserve">oraz subleasingu aktywów z tytułu praw do użytkowania </w:t>
      </w:r>
      <w:r w:rsidR="00E74B00" w:rsidRPr="0068723D">
        <w:rPr>
          <w:rFonts w:cs="Tahoma"/>
          <w:color w:val="000000" w:themeColor="text1"/>
          <w:sz w:val="18"/>
          <w:szCs w:val="18"/>
        </w:rPr>
        <w:t>za 2019 rok i za 2018</w:t>
      </w:r>
      <w:r w:rsidRPr="0068723D">
        <w:rPr>
          <w:rFonts w:cs="Tahoma"/>
          <w:color w:val="000000" w:themeColor="text1"/>
          <w:sz w:val="18"/>
          <w:szCs w:val="18"/>
        </w:rPr>
        <w:t xml:space="preserve"> rok.</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2027E6" w14:paraId="7554823C" w14:textId="77777777" w:rsidTr="008465B0">
        <w:trPr>
          <w:trHeight w:val="284"/>
        </w:trPr>
        <w:tc>
          <w:tcPr>
            <w:tcW w:w="6747" w:type="dxa"/>
            <w:vMerge w:val="restart"/>
            <w:tcBorders>
              <w:top w:val="nil"/>
              <w:left w:val="nil"/>
              <w:right w:val="single" w:sz="8" w:space="0" w:color="FFFFFF"/>
            </w:tcBorders>
            <w:shd w:val="clear" w:color="000000" w:fill="0077BD"/>
            <w:vAlign w:val="center"/>
          </w:tcPr>
          <w:p w14:paraId="65E5A6D2" w14:textId="660BBA6B" w:rsidR="009870A7" w:rsidRPr="002027E6" w:rsidRDefault="009870A7" w:rsidP="002027E6">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363DA0F4" w14:textId="77777777" w:rsidR="009870A7" w:rsidRPr="002027E6" w:rsidRDefault="009870A7" w:rsidP="002027E6">
            <w:pPr>
              <w:jc w:val="right"/>
              <w:rPr>
                <w:rFonts w:cs="Calibri"/>
                <w:b/>
                <w:bCs/>
                <w:color w:val="FFFFFF"/>
                <w:sz w:val="13"/>
                <w:szCs w:val="13"/>
              </w:rPr>
            </w:pPr>
            <w:r w:rsidRPr="002027E6">
              <w:rPr>
                <w:rFonts w:cs="Calibri"/>
                <w:b/>
                <w:bCs/>
                <w:color w:val="FFFFFF"/>
                <w:sz w:val="13"/>
                <w:szCs w:val="13"/>
              </w:rPr>
              <w:t>Rok kończący się 31 grudnia</w:t>
            </w:r>
          </w:p>
        </w:tc>
      </w:tr>
      <w:tr w:rsidR="009870A7" w:rsidRPr="002027E6" w14:paraId="29D44F87" w14:textId="77777777" w:rsidTr="008465B0">
        <w:trPr>
          <w:trHeight w:val="284"/>
        </w:trPr>
        <w:tc>
          <w:tcPr>
            <w:tcW w:w="6747" w:type="dxa"/>
            <w:vMerge/>
            <w:tcBorders>
              <w:left w:val="nil"/>
              <w:right w:val="single" w:sz="8" w:space="0" w:color="FFFFFF"/>
            </w:tcBorders>
            <w:shd w:val="clear" w:color="000000" w:fill="0077BD"/>
            <w:vAlign w:val="center"/>
            <w:hideMark/>
          </w:tcPr>
          <w:p w14:paraId="46153095" w14:textId="12024C8D" w:rsidR="009870A7" w:rsidRPr="002027E6" w:rsidRDefault="009870A7" w:rsidP="002027E6">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35F5967A" w14:textId="77777777" w:rsidR="009870A7" w:rsidRPr="002027E6" w:rsidRDefault="009870A7" w:rsidP="002027E6">
            <w:pPr>
              <w:jc w:val="right"/>
              <w:rPr>
                <w:rFonts w:cs="Calibri"/>
                <w:b/>
                <w:bCs/>
                <w:color w:val="FFFFFF"/>
                <w:sz w:val="13"/>
                <w:szCs w:val="13"/>
              </w:rPr>
            </w:pPr>
            <w:r w:rsidRPr="002027E6">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99A91B3" w14:textId="77777777" w:rsidR="009870A7" w:rsidRPr="002027E6" w:rsidRDefault="009870A7" w:rsidP="002027E6">
            <w:pPr>
              <w:jc w:val="right"/>
              <w:rPr>
                <w:rFonts w:cs="Calibri"/>
                <w:b/>
                <w:bCs/>
                <w:color w:val="FFFFFF"/>
                <w:sz w:val="13"/>
                <w:szCs w:val="13"/>
              </w:rPr>
            </w:pPr>
            <w:r w:rsidRPr="002027E6">
              <w:rPr>
                <w:rFonts w:cs="Calibri"/>
                <w:b/>
                <w:bCs/>
                <w:color w:val="FFFFFF"/>
                <w:sz w:val="13"/>
                <w:szCs w:val="13"/>
              </w:rPr>
              <w:t>2018</w:t>
            </w:r>
          </w:p>
        </w:tc>
      </w:tr>
      <w:tr w:rsidR="00454B96" w:rsidRPr="0068723D" w14:paraId="1EE5E605" w14:textId="77777777" w:rsidTr="00AC10FF">
        <w:trPr>
          <w:trHeight w:val="340"/>
        </w:trPr>
        <w:tc>
          <w:tcPr>
            <w:tcW w:w="6747" w:type="dxa"/>
            <w:tcBorders>
              <w:top w:val="nil"/>
              <w:left w:val="nil"/>
              <w:bottom w:val="single" w:sz="8" w:space="0" w:color="0070C0"/>
            </w:tcBorders>
            <w:shd w:val="clear" w:color="000000" w:fill="FFFFFF"/>
            <w:vAlign w:val="center"/>
            <w:hideMark/>
          </w:tcPr>
          <w:p w14:paraId="50FBBD2B" w14:textId="799EB85C" w:rsidR="002027E6" w:rsidRPr="0068723D" w:rsidRDefault="002027E6" w:rsidP="002027E6">
            <w:pPr>
              <w:rPr>
                <w:rFonts w:cs="Calibri"/>
                <w:b/>
                <w:bCs/>
                <w:color w:val="000000" w:themeColor="text1"/>
                <w:sz w:val="13"/>
                <w:szCs w:val="13"/>
              </w:rPr>
            </w:pPr>
            <w:r w:rsidRPr="0068723D">
              <w:rPr>
                <w:rFonts w:cs="Calibri"/>
                <w:b/>
                <w:bCs/>
                <w:color w:val="000000" w:themeColor="text1"/>
                <w:sz w:val="13"/>
                <w:szCs w:val="13"/>
              </w:rPr>
              <w:t>Przychody netto z tytułu leasingu operacyjnego</w:t>
            </w:r>
            <w:r w:rsidR="002008E4">
              <w:rPr>
                <w:rFonts w:cs="Calibri"/>
                <w:b/>
                <w:bCs/>
                <w:color w:val="000000" w:themeColor="text1"/>
                <w:sz w:val="13"/>
                <w:szCs w:val="13"/>
              </w:rPr>
              <w:t xml:space="preserve"> oraz subleasingu aktywów z tytułu praw do użytkowania</w:t>
            </w:r>
            <w:r w:rsidRPr="0068723D">
              <w:rPr>
                <w:rFonts w:cs="Calibri"/>
                <w:b/>
                <w:bCs/>
                <w:color w:val="000000" w:themeColor="text1"/>
                <w:sz w:val="13"/>
                <w:szCs w:val="13"/>
              </w:rPr>
              <w:t>, w tym:</w:t>
            </w:r>
          </w:p>
        </w:tc>
        <w:tc>
          <w:tcPr>
            <w:tcW w:w="1418" w:type="dxa"/>
            <w:tcBorders>
              <w:top w:val="nil"/>
              <w:bottom w:val="single" w:sz="8" w:space="0" w:color="0070C0"/>
            </w:tcBorders>
            <w:shd w:val="clear" w:color="000000" w:fill="FFFFFF"/>
            <w:noWrap/>
            <w:vAlign w:val="center"/>
            <w:hideMark/>
          </w:tcPr>
          <w:p w14:paraId="6494ED44" w14:textId="49704408" w:rsidR="002027E6" w:rsidRPr="0068723D" w:rsidRDefault="002027E6" w:rsidP="00F1640F">
            <w:pPr>
              <w:jc w:val="right"/>
              <w:rPr>
                <w:rFonts w:cs="Calibri"/>
                <w:color w:val="000000" w:themeColor="text1"/>
                <w:sz w:val="13"/>
                <w:szCs w:val="13"/>
              </w:rPr>
            </w:pPr>
          </w:p>
        </w:tc>
        <w:tc>
          <w:tcPr>
            <w:tcW w:w="1418" w:type="dxa"/>
            <w:tcBorders>
              <w:top w:val="nil"/>
              <w:left w:val="nil"/>
              <w:bottom w:val="single" w:sz="8" w:space="0" w:color="0070C0"/>
              <w:right w:val="nil"/>
            </w:tcBorders>
            <w:shd w:val="clear" w:color="000000" w:fill="FFFFFF"/>
            <w:noWrap/>
            <w:vAlign w:val="center"/>
            <w:hideMark/>
          </w:tcPr>
          <w:p w14:paraId="405F30F4" w14:textId="53CAA80A" w:rsidR="002027E6" w:rsidRPr="0068723D" w:rsidRDefault="002027E6" w:rsidP="00F1640F">
            <w:pPr>
              <w:jc w:val="right"/>
              <w:rPr>
                <w:rFonts w:cs="Calibri"/>
                <w:color w:val="000000" w:themeColor="text1"/>
                <w:sz w:val="13"/>
                <w:szCs w:val="13"/>
              </w:rPr>
            </w:pPr>
          </w:p>
        </w:tc>
      </w:tr>
      <w:tr w:rsidR="00454B96" w:rsidRPr="0068723D" w14:paraId="668798CF" w14:textId="77777777" w:rsidTr="00540208">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74B61E70" w14:textId="77777777" w:rsidR="002027E6" w:rsidRPr="0068723D" w:rsidRDefault="002027E6" w:rsidP="002027E6">
            <w:pPr>
              <w:rPr>
                <w:rFonts w:cs="Calibri"/>
                <w:color w:val="000000" w:themeColor="text1"/>
                <w:sz w:val="13"/>
                <w:szCs w:val="13"/>
              </w:rPr>
            </w:pPr>
            <w:r w:rsidRPr="0068723D">
              <w:rPr>
                <w:rFonts w:cs="Calibri"/>
                <w:color w:val="000000" w:themeColor="text1"/>
                <w:sz w:val="13"/>
                <w:szCs w:val="13"/>
              </w:rPr>
              <w:t>- Przychody z tytułu leasingu operacyjnego</w:t>
            </w:r>
          </w:p>
        </w:tc>
        <w:tc>
          <w:tcPr>
            <w:tcW w:w="1418" w:type="dxa"/>
            <w:tcBorders>
              <w:top w:val="nil"/>
              <w:left w:val="nil"/>
              <w:bottom w:val="single" w:sz="4" w:space="0" w:color="0070C0"/>
              <w:right w:val="single" w:sz="8" w:space="0" w:color="0070C0"/>
            </w:tcBorders>
            <w:shd w:val="clear" w:color="auto" w:fill="auto"/>
            <w:noWrap/>
            <w:vAlign w:val="center"/>
          </w:tcPr>
          <w:p w14:paraId="09BA999D" w14:textId="67DFA7DB" w:rsidR="002027E6" w:rsidRPr="0068723D" w:rsidRDefault="00657161" w:rsidP="00AD396C">
            <w:pPr>
              <w:jc w:val="right"/>
              <w:rPr>
                <w:rFonts w:cs="Calibri"/>
                <w:color w:val="000000" w:themeColor="text1"/>
                <w:sz w:val="13"/>
                <w:szCs w:val="13"/>
              </w:rPr>
            </w:pPr>
            <w:r w:rsidRPr="0068723D">
              <w:rPr>
                <w:rFonts w:cs="Calibri"/>
                <w:color w:val="000000" w:themeColor="text1"/>
                <w:sz w:val="13"/>
                <w:szCs w:val="13"/>
              </w:rPr>
              <w:t xml:space="preserve">42 </w:t>
            </w:r>
            <w:r w:rsidR="00AD396C">
              <w:rPr>
                <w:rFonts w:cs="Calibri"/>
                <w:color w:val="000000" w:themeColor="text1"/>
                <w:sz w:val="13"/>
                <w:szCs w:val="13"/>
              </w:rPr>
              <w:t>697</w:t>
            </w:r>
          </w:p>
        </w:tc>
        <w:tc>
          <w:tcPr>
            <w:tcW w:w="1418" w:type="dxa"/>
            <w:tcBorders>
              <w:top w:val="nil"/>
              <w:left w:val="nil"/>
              <w:bottom w:val="single" w:sz="4" w:space="0" w:color="0070C0"/>
              <w:right w:val="nil"/>
            </w:tcBorders>
            <w:shd w:val="clear" w:color="auto" w:fill="auto"/>
            <w:noWrap/>
            <w:vAlign w:val="center"/>
            <w:hideMark/>
          </w:tcPr>
          <w:p w14:paraId="56A3D74D" w14:textId="77777777" w:rsidR="002027E6" w:rsidRPr="0068723D" w:rsidRDefault="002027E6" w:rsidP="002027E6">
            <w:pPr>
              <w:jc w:val="right"/>
              <w:rPr>
                <w:rFonts w:cs="Calibri"/>
                <w:color w:val="000000" w:themeColor="text1"/>
                <w:sz w:val="13"/>
                <w:szCs w:val="13"/>
              </w:rPr>
            </w:pPr>
            <w:r w:rsidRPr="0068723D">
              <w:rPr>
                <w:rFonts w:cs="Calibri"/>
                <w:color w:val="000000" w:themeColor="text1"/>
                <w:sz w:val="13"/>
                <w:szCs w:val="13"/>
              </w:rPr>
              <w:t>48 949</w:t>
            </w:r>
          </w:p>
        </w:tc>
      </w:tr>
      <w:tr w:rsidR="002008E4" w:rsidRPr="0068723D" w14:paraId="487ACA4A" w14:textId="77777777" w:rsidTr="002008E4">
        <w:trPr>
          <w:trHeight w:val="284"/>
        </w:trPr>
        <w:tc>
          <w:tcPr>
            <w:tcW w:w="6747" w:type="dxa"/>
            <w:tcBorders>
              <w:top w:val="nil"/>
              <w:left w:val="nil"/>
              <w:bottom w:val="single" w:sz="4" w:space="0" w:color="0070C0"/>
              <w:right w:val="single" w:sz="8" w:space="0" w:color="0070C0"/>
            </w:tcBorders>
            <w:shd w:val="clear" w:color="auto" w:fill="auto"/>
            <w:vAlign w:val="center"/>
          </w:tcPr>
          <w:p w14:paraId="3B1245E6" w14:textId="5B6E0AB2" w:rsidR="002008E4" w:rsidRPr="0068723D" w:rsidRDefault="002008E4" w:rsidP="002027E6">
            <w:pPr>
              <w:rPr>
                <w:rFonts w:cs="Calibri"/>
                <w:color w:val="000000" w:themeColor="text1"/>
                <w:sz w:val="13"/>
                <w:szCs w:val="13"/>
              </w:rPr>
            </w:pPr>
            <w:r>
              <w:rPr>
                <w:rFonts w:cs="Calibri"/>
                <w:color w:val="000000" w:themeColor="text1"/>
                <w:sz w:val="13"/>
                <w:szCs w:val="13"/>
              </w:rPr>
              <w:t>- Przychody z subleasingu aktywów z tytułu praw do użytkowania</w:t>
            </w:r>
          </w:p>
        </w:tc>
        <w:tc>
          <w:tcPr>
            <w:tcW w:w="1418" w:type="dxa"/>
            <w:tcBorders>
              <w:top w:val="nil"/>
              <w:left w:val="nil"/>
              <w:bottom w:val="single" w:sz="4" w:space="0" w:color="0070C0"/>
              <w:right w:val="single" w:sz="8" w:space="0" w:color="0070C0"/>
            </w:tcBorders>
            <w:shd w:val="clear" w:color="auto" w:fill="auto"/>
            <w:noWrap/>
            <w:vAlign w:val="center"/>
          </w:tcPr>
          <w:p w14:paraId="47104FD0" w14:textId="4D4A4454" w:rsidR="002008E4" w:rsidRPr="0068723D" w:rsidRDefault="002008E4" w:rsidP="002027E6">
            <w:pPr>
              <w:jc w:val="right"/>
              <w:rPr>
                <w:rFonts w:cs="Calibri"/>
                <w:color w:val="000000" w:themeColor="text1"/>
                <w:sz w:val="13"/>
                <w:szCs w:val="13"/>
              </w:rPr>
            </w:pPr>
            <w:r>
              <w:rPr>
                <w:rFonts w:cs="Calibri"/>
                <w:color w:val="000000" w:themeColor="text1"/>
                <w:sz w:val="13"/>
                <w:szCs w:val="13"/>
              </w:rPr>
              <w:t>7 298</w:t>
            </w:r>
          </w:p>
        </w:tc>
        <w:tc>
          <w:tcPr>
            <w:tcW w:w="1418" w:type="dxa"/>
            <w:tcBorders>
              <w:top w:val="nil"/>
              <w:left w:val="nil"/>
              <w:bottom w:val="single" w:sz="4" w:space="0" w:color="0070C0"/>
              <w:right w:val="nil"/>
            </w:tcBorders>
            <w:shd w:val="clear" w:color="auto" w:fill="auto"/>
            <w:noWrap/>
            <w:vAlign w:val="center"/>
          </w:tcPr>
          <w:p w14:paraId="57D2AE6F" w14:textId="05F4FA9B" w:rsidR="002008E4" w:rsidRPr="0068723D" w:rsidRDefault="002008E4" w:rsidP="002027E6">
            <w:pPr>
              <w:jc w:val="right"/>
              <w:rPr>
                <w:rFonts w:cs="Calibri"/>
                <w:color w:val="000000" w:themeColor="text1"/>
                <w:sz w:val="13"/>
                <w:szCs w:val="13"/>
              </w:rPr>
            </w:pPr>
            <w:r>
              <w:rPr>
                <w:rFonts w:cs="Calibri"/>
                <w:color w:val="000000" w:themeColor="text1"/>
                <w:sz w:val="13"/>
                <w:szCs w:val="13"/>
              </w:rPr>
              <w:t>nd</w:t>
            </w:r>
          </w:p>
        </w:tc>
      </w:tr>
      <w:tr w:rsidR="00454B96" w:rsidRPr="0068723D" w14:paraId="16FC738E" w14:textId="77777777" w:rsidTr="00AC10FF">
        <w:trPr>
          <w:trHeight w:val="340"/>
        </w:trPr>
        <w:tc>
          <w:tcPr>
            <w:tcW w:w="6747" w:type="dxa"/>
            <w:tcBorders>
              <w:top w:val="single" w:sz="4" w:space="0" w:color="0070C0"/>
              <w:left w:val="nil"/>
              <w:bottom w:val="single" w:sz="8" w:space="0" w:color="0070C0"/>
              <w:right w:val="single" w:sz="8" w:space="0" w:color="0070C0"/>
            </w:tcBorders>
            <w:shd w:val="clear" w:color="auto" w:fill="auto"/>
            <w:vAlign w:val="center"/>
            <w:hideMark/>
          </w:tcPr>
          <w:p w14:paraId="7AFE365B" w14:textId="02F8D52D" w:rsidR="002027E6" w:rsidRPr="0068723D" w:rsidRDefault="002027E6" w:rsidP="003524B2">
            <w:pPr>
              <w:ind w:left="112" w:hanging="112"/>
              <w:rPr>
                <w:rFonts w:cs="Calibri"/>
                <w:color w:val="000000" w:themeColor="text1"/>
                <w:sz w:val="13"/>
                <w:szCs w:val="13"/>
              </w:rPr>
            </w:pPr>
            <w:r w:rsidRPr="0068723D">
              <w:rPr>
                <w:rFonts w:cs="Calibri"/>
                <w:color w:val="000000" w:themeColor="text1"/>
                <w:sz w:val="13"/>
                <w:szCs w:val="13"/>
              </w:rPr>
              <w:t>- Koszty amortyzacji środków trwałych oddanych w leasing operacyjny</w:t>
            </w:r>
            <w:r w:rsidR="002008E4">
              <w:rPr>
                <w:rFonts w:cs="Calibri"/>
                <w:color w:val="000000" w:themeColor="text1"/>
                <w:sz w:val="13"/>
                <w:szCs w:val="13"/>
              </w:rPr>
              <w:t xml:space="preserve"> oraz aktywów z tytułu praw do użytkowania w subleasingu</w:t>
            </w:r>
          </w:p>
        </w:tc>
        <w:tc>
          <w:tcPr>
            <w:tcW w:w="1418" w:type="dxa"/>
            <w:tcBorders>
              <w:top w:val="single" w:sz="4" w:space="0" w:color="0070C0"/>
              <w:left w:val="nil"/>
              <w:bottom w:val="single" w:sz="8" w:space="0" w:color="0070C0"/>
              <w:right w:val="single" w:sz="8" w:space="0" w:color="0070C0"/>
            </w:tcBorders>
            <w:shd w:val="clear" w:color="auto" w:fill="auto"/>
            <w:noWrap/>
            <w:vAlign w:val="center"/>
          </w:tcPr>
          <w:p w14:paraId="05783640" w14:textId="6E7B7353" w:rsidR="002027E6" w:rsidRPr="0068723D" w:rsidRDefault="002008E4" w:rsidP="002008E4">
            <w:pPr>
              <w:jc w:val="right"/>
              <w:rPr>
                <w:rFonts w:cs="Calibri"/>
                <w:color w:val="000000" w:themeColor="text1"/>
                <w:sz w:val="13"/>
                <w:szCs w:val="13"/>
              </w:rPr>
            </w:pPr>
            <w:r>
              <w:rPr>
                <w:rFonts w:cs="Calibri"/>
                <w:color w:val="000000" w:themeColor="text1"/>
                <w:sz w:val="13"/>
                <w:szCs w:val="13"/>
              </w:rPr>
              <w:t>(47 965)</w:t>
            </w:r>
          </w:p>
        </w:tc>
        <w:tc>
          <w:tcPr>
            <w:tcW w:w="1418" w:type="dxa"/>
            <w:tcBorders>
              <w:top w:val="single" w:sz="4" w:space="0" w:color="0070C0"/>
              <w:left w:val="nil"/>
              <w:bottom w:val="single" w:sz="8" w:space="0" w:color="0070C0"/>
              <w:right w:val="nil"/>
            </w:tcBorders>
            <w:shd w:val="clear" w:color="auto" w:fill="auto"/>
            <w:noWrap/>
            <w:vAlign w:val="center"/>
            <w:hideMark/>
          </w:tcPr>
          <w:p w14:paraId="6FC5EC05" w14:textId="77777777" w:rsidR="002027E6" w:rsidRPr="0068723D" w:rsidRDefault="002027E6" w:rsidP="002027E6">
            <w:pPr>
              <w:jc w:val="right"/>
              <w:rPr>
                <w:rFonts w:cs="Calibri"/>
                <w:color w:val="000000" w:themeColor="text1"/>
                <w:sz w:val="13"/>
                <w:szCs w:val="13"/>
              </w:rPr>
            </w:pPr>
            <w:r w:rsidRPr="0068723D">
              <w:rPr>
                <w:rFonts w:cs="Calibri"/>
                <w:color w:val="000000" w:themeColor="text1"/>
                <w:sz w:val="13"/>
                <w:szCs w:val="13"/>
              </w:rPr>
              <w:t>(46 734)</w:t>
            </w:r>
          </w:p>
        </w:tc>
      </w:tr>
      <w:tr w:rsidR="00454B96" w:rsidRPr="0068723D" w14:paraId="0F1AE13C" w14:textId="77777777" w:rsidTr="00540208">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6DE9CC40" w14:textId="77777777" w:rsidR="002027E6" w:rsidRPr="0068723D" w:rsidRDefault="002027E6" w:rsidP="002027E6">
            <w:pPr>
              <w:rPr>
                <w:rFonts w:cs="Calibri"/>
                <w:b/>
                <w:bCs/>
                <w:color w:val="000000" w:themeColor="text1"/>
                <w:sz w:val="13"/>
                <w:szCs w:val="13"/>
              </w:rPr>
            </w:pPr>
            <w:r w:rsidRPr="0068723D">
              <w:rPr>
                <w:rFonts w:cs="Calibri"/>
                <w:b/>
                <w:bCs/>
                <w:color w:val="000000" w:themeColor="text1"/>
                <w:sz w:val="13"/>
                <w:szCs w:val="13"/>
              </w:rPr>
              <w:t>Przychody netto z tytułu leasingu operacyjnego razem</w:t>
            </w:r>
          </w:p>
        </w:tc>
        <w:tc>
          <w:tcPr>
            <w:tcW w:w="1418" w:type="dxa"/>
            <w:tcBorders>
              <w:top w:val="nil"/>
              <w:left w:val="nil"/>
              <w:bottom w:val="single" w:sz="8" w:space="0" w:color="0070C0"/>
              <w:right w:val="single" w:sz="8" w:space="0" w:color="0070C0"/>
            </w:tcBorders>
            <w:shd w:val="clear" w:color="auto" w:fill="auto"/>
            <w:noWrap/>
            <w:vAlign w:val="center"/>
          </w:tcPr>
          <w:p w14:paraId="3D4D9FE6" w14:textId="40135B6D" w:rsidR="002027E6" w:rsidRPr="0068723D" w:rsidRDefault="00657161" w:rsidP="002027E6">
            <w:pPr>
              <w:jc w:val="right"/>
              <w:rPr>
                <w:rFonts w:cs="Calibri"/>
                <w:b/>
                <w:bCs/>
                <w:color w:val="000000" w:themeColor="text1"/>
                <w:sz w:val="13"/>
                <w:szCs w:val="13"/>
              </w:rPr>
            </w:pPr>
            <w:r w:rsidRPr="0068723D">
              <w:rPr>
                <w:rFonts w:cs="Calibri"/>
                <w:b/>
                <w:bCs/>
                <w:color w:val="000000" w:themeColor="text1"/>
                <w:sz w:val="13"/>
                <w:szCs w:val="13"/>
              </w:rPr>
              <w:t>2 030</w:t>
            </w:r>
          </w:p>
        </w:tc>
        <w:tc>
          <w:tcPr>
            <w:tcW w:w="1418" w:type="dxa"/>
            <w:tcBorders>
              <w:top w:val="nil"/>
              <w:left w:val="nil"/>
              <w:bottom w:val="single" w:sz="8" w:space="0" w:color="0070C0"/>
              <w:right w:val="nil"/>
            </w:tcBorders>
            <w:shd w:val="clear" w:color="auto" w:fill="auto"/>
            <w:noWrap/>
            <w:vAlign w:val="center"/>
            <w:hideMark/>
          </w:tcPr>
          <w:p w14:paraId="65FBFCB7" w14:textId="77777777" w:rsidR="002027E6" w:rsidRPr="0068723D" w:rsidRDefault="002027E6" w:rsidP="002027E6">
            <w:pPr>
              <w:jc w:val="right"/>
              <w:rPr>
                <w:rFonts w:cs="Calibri"/>
                <w:b/>
                <w:bCs/>
                <w:color w:val="000000" w:themeColor="text1"/>
                <w:sz w:val="13"/>
                <w:szCs w:val="13"/>
              </w:rPr>
            </w:pPr>
            <w:r w:rsidRPr="0068723D">
              <w:rPr>
                <w:rFonts w:cs="Calibri"/>
                <w:b/>
                <w:bCs/>
                <w:color w:val="000000" w:themeColor="text1"/>
                <w:sz w:val="13"/>
                <w:szCs w:val="13"/>
              </w:rPr>
              <w:t>2 215</w:t>
            </w:r>
          </w:p>
        </w:tc>
      </w:tr>
    </w:tbl>
    <w:p w14:paraId="443F58BE" w14:textId="4CACC6EC" w:rsidR="004F532A" w:rsidRDefault="004F532A" w:rsidP="00BF7A0D">
      <w:pPr>
        <w:jc w:val="both"/>
        <w:rPr>
          <w:rFonts w:cs="Tahoma"/>
          <w:color w:val="201C17"/>
          <w:sz w:val="18"/>
          <w:szCs w:val="18"/>
        </w:rPr>
      </w:pPr>
    </w:p>
    <w:p w14:paraId="1B582880" w14:textId="77777777" w:rsidR="004F532A" w:rsidRDefault="004F532A">
      <w:pPr>
        <w:rPr>
          <w:rFonts w:cs="Tahoma"/>
          <w:color w:val="201C17"/>
          <w:sz w:val="18"/>
          <w:szCs w:val="18"/>
        </w:rPr>
      </w:pPr>
      <w:r>
        <w:rPr>
          <w:rFonts w:cs="Tahoma"/>
          <w:color w:val="201C17"/>
          <w:sz w:val="18"/>
          <w:szCs w:val="18"/>
        </w:rPr>
        <w:br w:type="page"/>
      </w:r>
    </w:p>
    <w:p w14:paraId="694A6370" w14:textId="77777777" w:rsidR="00D0011F" w:rsidRDefault="00D0011F"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29" w:name="_Toc32999844"/>
      <w:r>
        <w:rPr>
          <w:rFonts w:cs="Tahoma"/>
          <w:bCs w:val="0"/>
          <w:iCs w:val="0"/>
          <w:color w:val="E41E0A"/>
          <w:sz w:val="18"/>
          <w:szCs w:val="18"/>
        </w:rPr>
        <w:lastRenderedPageBreak/>
        <w:t>Ogólne koszty administracyjne</w:t>
      </w:r>
      <w:bookmarkEnd w:id="129"/>
    </w:p>
    <w:p w14:paraId="65D5AF2E" w14:textId="77777777" w:rsidR="005F692A" w:rsidRDefault="005F692A" w:rsidP="005F692A"/>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FB24BF" w14:paraId="650A99E0" w14:textId="77777777" w:rsidTr="008465B0">
        <w:trPr>
          <w:trHeight w:val="284"/>
        </w:trPr>
        <w:tc>
          <w:tcPr>
            <w:tcW w:w="6747" w:type="dxa"/>
            <w:vMerge w:val="restart"/>
            <w:tcBorders>
              <w:top w:val="nil"/>
              <w:left w:val="nil"/>
              <w:right w:val="single" w:sz="8" w:space="0" w:color="FFFFFF"/>
            </w:tcBorders>
            <w:shd w:val="clear" w:color="000000" w:fill="0077BD"/>
            <w:vAlign w:val="center"/>
          </w:tcPr>
          <w:p w14:paraId="2A3F5AF4" w14:textId="054FB9F8" w:rsidR="009870A7" w:rsidRPr="00FB24BF" w:rsidRDefault="009870A7" w:rsidP="00FB24BF">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5B91021B" w14:textId="77777777" w:rsidR="009870A7" w:rsidRPr="00FB24BF" w:rsidRDefault="009870A7" w:rsidP="00FB24BF">
            <w:pPr>
              <w:jc w:val="right"/>
              <w:rPr>
                <w:rFonts w:cs="Calibri"/>
                <w:b/>
                <w:bCs/>
                <w:color w:val="FFFFFF"/>
                <w:sz w:val="13"/>
                <w:szCs w:val="13"/>
              </w:rPr>
            </w:pPr>
            <w:r w:rsidRPr="00FB24BF">
              <w:rPr>
                <w:rFonts w:cs="Calibri"/>
                <w:b/>
                <w:bCs/>
                <w:color w:val="FFFFFF"/>
                <w:sz w:val="13"/>
                <w:szCs w:val="13"/>
              </w:rPr>
              <w:t>Rok kończący się 31 grudnia</w:t>
            </w:r>
          </w:p>
        </w:tc>
      </w:tr>
      <w:tr w:rsidR="009870A7" w:rsidRPr="00FB24BF" w14:paraId="3D9BA7CF" w14:textId="77777777" w:rsidTr="008465B0">
        <w:trPr>
          <w:trHeight w:val="284"/>
        </w:trPr>
        <w:tc>
          <w:tcPr>
            <w:tcW w:w="6747" w:type="dxa"/>
            <w:vMerge/>
            <w:tcBorders>
              <w:left w:val="nil"/>
              <w:right w:val="single" w:sz="8" w:space="0" w:color="FFFFFF"/>
            </w:tcBorders>
            <w:shd w:val="clear" w:color="000000" w:fill="0077BD"/>
            <w:vAlign w:val="center"/>
            <w:hideMark/>
          </w:tcPr>
          <w:p w14:paraId="62BE1EEF" w14:textId="35252B48" w:rsidR="009870A7" w:rsidRPr="00FB24BF" w:rsidRDefault="009870A7" w:rsidP="00FB24BF">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32B59AA1" w14:textId="77777777" w:rsidR="009870A7" w:rsidRPr="00FB24BF" w:rsidRDefault="009870A7" w:rsidP="00FB24BF">
            <w:pPr>
              <w:jc w:val="right"/>
              <w:rPr>
                <w:rFonts w:cs="Calibri"/>
                <w:b/>
                <w:bCs/>
                <w:color w:val="FFFFFF"/>
                <w:sz w:val="13"/>
                <w:szCs w:val="13"/>
              </w:rPr>
            </w:pPr>
            <w:r w:rsidRPr="00FB24BF">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7BF9EA3A" w14:textId="77777777" w:rsidR="009870A7" w:rsidRPr="00FB24BF" w:rsidRDefault="009870A7" w:rsidP="00FB24BF">
            <w:pPr>
              <w:jc w:val="right"/>
              <w:rPr>
                <w:rFonts w:cs="Calibri"/>
                <w:b/>
                <w:bCs/>
                <w:color w:val="FFFFFF"/>
                <w:sz w:val="13"/>
                <w:szCs w:val="13"/>
              </w:rPr>
            </w:pPr>
            <w:r w:rsidRPr="00FB24BF">
              <w:rPr>
                <w:rFonts w:cs="Calibri"/>
                <w:b/>
                <w:bCs/>
                <w:color w:val="FFFFFF"/>
                <w:sz w:val="13"/>
                <w:szCs w:val="13"/>
              </w:rPr>
              <w:t>2018</w:t>
            </w:r>
          </w:p>
        </w:tc>
      </w:tr>
      <w:tr w:rsidR="0037323B" w:rsidRPr="0068723D" w14:paraId="3DCABDCC"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17818A0B"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Koszty pracownicze</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5F99734E" w14:textId="2D5B518B" w:rsidR="0037323B" w:rsidRPr="006E2860" w:rsidRDefault="0037323B" w:rsidP="0037323B">
            <w:pPr>
              <w:jc w:val="right"/>
              <w:rPr>
                <w:rFonts w:cs="Calibri"/>
                <w:color w:val="000000" w:themeColor="text1"/>
                <w:sz w:val="13"/>
                <w:szCs w:val="13"/>
              </w:rPr>
            </w:pPr>
            <w:bookmarkStart w:id="130" w:name="RANGE!C5:C16"/>
            <w:r w:rsidRPr="006E2860">
              <w:rPr>
                <w:rFonts w:cs="Calibri"/>
                <w:color w:val="000000" w:themeColor="text1"/>
                <w:sz w:val="13"/>
                <w:szCs w:val="13"/>
              </w:rPr>
              <w:t>(1 019 340)</w:t>
            </w:r>
            <w:bookmarkEnd w:id="130"/>
          </w:p>
        </w:tc>
        <w:tc>
          <w:tcPr>
            <w:tcW w:w="1418" w:type="dxa"/>
            <w:tcBorders>
              <w:top w:val="nil"/>
              <w:left w:val="nil"/>
              <w:bottom w:val="single" w:sz="4" w:space="0" w:color="0070C0"/>
              <w:right w:val="nil"/>
            </w:tcBorders>
            <w:shd w:val="clear" w:color="auto" w:fill="auto"/>
            <w:vAlign w:val="center"/>
            <w:hideMark/>
          </w:tcPr>
          <w:p w14:paraId="1CE950BA"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(952 291)</w:t>
            </w:r>
          </w:p>
        </w:tc>
      </w:tr>
      <w:tr w:rsidR="0037323B" w:rsidRPr="0068723D" w14:paraId="60299639"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25E006DD"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Koszty rzeczowe, w tym:</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E741844" w14:textId="2354162B"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(639 101)</w:t>
            </w:r>
          </w:p>
        </w:tc>
        <w:tc>
          <w:tcPr>
            <w:tcW w:w="1418" w:type="dxa"/>
            <w:tcBorders>
              <w:top w:val="nil"/>
              <w:left w:val="nil"/>
              <w:bottom w:val="single" w:sz="4" w:space="0" w:color="0070C0"/>
              <w:right w:val="nil"/>
            </w:tcBorders>
            <w:shd w:val="clear" w:color="auto" w:fill="auto"/>
            <w:vAlign w:val="center"/>
            <w:hideMark/>
          </w:tcPr>
          <w:p w14:paraId="66D3A338"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(744 903)</w:t>
            </w:r>
          </w:p>
        </w:tc>
      </w:tr>
      <w:tr w:rsidR="0037323B" w:rsidRPr="0068723D" w14:paraId="60C5E4CB"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367504B7"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 koszty administracji i obsługi nieruchomości</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4242AB8F" w14:textId="6BE32CD6"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(254 211)</w:t>
            </w:r>
          </w:p>
        </w:tc>
        <w:tc>
          <w:tcPr>
            <w:tcW w:w="1418" w:type="dxa"/>
            <w:tcBorders>
              <w:top w:val="nil"/>
              <w:left w:val="nil"/>
              <w:bottom w:val="single" w:sz="4" w:space="0" w:color="0070C0"/>
              <w:right w:val="nil"/>
            </w:tcBorders>
            <w:shd w:val="clear" w:color="auto" w:fill="auto"/>
            <w:vAlign w:val="center"/>
            <w:hideMark/>
          </w:tcPr>
          <w:p w14:paraId="12BC66F1"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(366 005)</w:t>
            </w:r>
          </w:p>
        </w:tc>
      </w:tr>
      <w:tr w:rsidR="0037323B" w:rsidRPr="0068723D" w14:paraId="495BFBD3"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22E73742"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 xml:space="preserve">- koszty IT </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B3FADF4" w14:textId="053BF6F2"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(163 419)</w:t>
            </w:r>
          </w:p>
        </w:tc>
        <w:tc>
          <w:tcPr>
            <w:tcW w:w="1418" w:type="dxa"/>
            <w:tcBorders>
              <w:top w:val="nil"/>
              <w:left w:val="nil"/>
              <w:bottom w:val="single" w:sz="4" w:space="0" w:color="0070C0"/>
              <w:right w:val="nil"/>
            </w:tcBorders>
            <w:shd w:val="clear" w:color="auto" w:fill="auto"/>
            <w:vAlign w:val="center"/>
            <w:hideMark/>
          </w:tcPr>
          <w:p w14:paraId="75012E59"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(164 335)</w:t>
            </w:r>
          </w:p>
        </w:tc>
      </w:tr>
      <w:tr w:rsidR="0037323B" w:rsidRPr="0068723D" w14:paraId="750A0E42"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68D8B247"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 koszty marketingu</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5C3C4BD2" w14:textId="687D5649"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(141 802)</w:t>
            </w:r>
          </w:p>
        </w:tc>
        <w:tc>
          <w:tcPr>
            <w:tcW w:w="1418" w:type="dxa"/>
            <w:tcBorders>
              <w:top w:val="nil"/>
              <w:left w:val="nil"/>
              <w:bottom w:val="single" w:sz="4" w:space="0" w:color="0070C0"/>
              <w:right w:val="nil"/>
            </w:tcBorders>
            <w:shd w:val="clear" w:color="auto" w:fill="auto"/>
            <w:vAlign w:val="center"/>
            <w:hideMark/>
          </w:tcPr>
          <w:p w14:paraId="1035A510"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(135 282)</w:t>
            </w:r>
          </w:p>
        </w:tc>
      </w:tr>
      <w:tr w:rsidR="0037323B" w:rsidRPr="0068723D" w14:paraId="637D7B8F"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1DD1E3B4"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 koszty usług konsultingowych</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8192F42" w14:textId="2B642D73"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(67 030)</w:t>
            </w:r>
          </w:p>
        </w:tc>
        <w:tc>
          <w:tcPr>
            <w:tcW w:w="1418" w:type="dxa"/>
            <w:tcBorders>
              <w:top w:val="nil"/>
              <w:left w:val="nil"/>
              <w:bottom w:val="single" w:sz="4" w:space="0" w:color="0070C0"/>
              <w:right w:val="nil"/>
            </w:tcBorders>
            <w:shd w:val="clear" w:color="auto" w:fill="auto"/>
            <w:vAlign w:val="center"/>
            <w:hideMark/>
          </w:tcPr>
          <w:p w14:paraId="1936B9AA"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(68 606)</w:t>
            </w:r>
          </w:p>
        </w:tc>
      </w:tr>
      <w:tr w:rsidR="0037323B" w:rsidRPr="0068723D" w14:paraId="12140068"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5FF9FDC1"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 pozostałe koszty rzeczowe</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488C908" w14:textId="3D306314"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(12 639)</w:t>
            </w:r>
          </w:p>
        </w:tc>
        <w:tc>
          <w:tcPr>
            <w:tcW w:w="1418" w:type="dxa"/>
            <w:tcBorders>
              <w:top w:val="nil"/>
              <w:left w:val="nil"/>
              <w:bottom w:val="single" w:sz="4" w:space="0" w:color="0070C0"/>
              <w:right w:val="nil"/>
            </w:tcBorders>
            <w:shd w:val="clear" w:color="auto" w:fill="auto"/>
            <w:vAlign w:val="center"/>
            <w:hideMark/>
          </w:tcPr>
          <w:p w14:paraId="5E94EB4E"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(10 675)</w:t>
            </w:r>
          </w:p>
        </w:tc>
      </w:tr>
      <w:tr w:rsidR="0037323B" w:rsidRPr="0068723D" w14:paraId="604B93D3"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24604CEE"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Podatki i opłaty</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D741450" w14:textId="0455C8FE"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(31 226)</w:t>
            </w:r>
          </w:p>
        </w:tc>
        <w:tc>
          <w:tcPr>
            <w:tcW w:w="1418" w:type="dxa"/>
            <w:tcBorders>
              <w:top w:val="nil"/>
              <w:left w:val="nil"/>
              <w:bottom w:val="single" w:sz="4" w:space="0" w:color="0070C0"/>
              <w:right w:val="nil"/>
            </w:tcBorders>
            <w:shd w:val="clear" w:color="auto" w:fill="auto"/>
            <w:vAlign w:val="center"/>
            <w:hideMark/>
          </w:tcPr>
          <w:p w14:paraId="093C1057"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(25 971)</w:t>
            </w:r>
          </w:p>
        </w:tc>
      </w:tr>
      <w:tr w:rsidR="0037323B" w:rsidRPr="0068723D" w14:paraId="1D71A70E"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4E72E4A9"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Składka i wpłaty na Bankowy Fundusz Gwarancyjny</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8BB0D86" w14:textId="6A0C59C4"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(255 710)</w:t>
            </w:r>
          </w:p>
        </w:tc>
        <w:tc>
          <w:tcPr>
            <w:tcW w:w="1418" w:type="dxa"/>
            <w:tcBorders>
              <w:top w:val="nil"/>
              <w:left w:val="nil"/>
              <w:bottom w:val="single" w:sz="4" w:space="0" w:color="0070C0"/>
              <w:right w:val="nil"/>
            </w:tcBorders>
            <w:shd w:val="clear" w:color="auto" w:fill="auto"/>
            <w:vAlign w:val="center"/>
            <w:hideMark/>
          </w:tcPr>
          <w:p w14:paraId="2B029743"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(180 434)</w:t>
            </w:r>
          </w:p>
        </w:tc>
      </w:tr>
      <w:tr w:rsidR="0037323B" w:rsidRPr="0068723D" w14:paraId="5007C574"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36B392B8" w14:textId="77777777" w:rsidR="0037323B" w:rsidRPr="006E2860" w:rsidRDefault="0037323B" w:rsidP="0037323B">
            <w:pPr>
              <w:rPr>
                <w:rFonts w:cs="Calibri"/>
                <w:color w:val="000000" w:themeColor="text1"/>
                <w:sz w:val="13"/>
                <w:szCs w:val="13"/>
              </w:rPr>
            </w:pPr>
            <w:r w:rsidRPr="006E2860">
              <w:rPr>
                <w:rFonts w:cs="Calibri"/>
                <w:color w:val="000000" w:themeColor="text1"/>
                <w:sz w:val="13"/>
                <w:szCs w:val="13"/>
              </w:rPr>
              <w:t>Odpisy na Zakładowy Fundusz Świadczeń Socjalnych</w:t>
            </w:r>
          </w:p>
        </w:tc>
        <w:tc>
          <w:tcPr>
            <w:tcW w:w="1418" w:type="dxa"/>
            <w:tcBorders>
              <w:top w:val="nil"/>
              <w:left w:val="single" w:sz="8" w:space="0" w:color="0070C0"/>
              <w:bottom w:val="single" w:sz="8" w:space="0" w:color="0070C0"/>
              <w:right w:val="single" w:sz="8" w:space="0" w:color="0070C0"/>
            </w:tcBorders>
            <w:shd w:val="clear" w:color="auto" w:fill="auto"/>
            <w:vAlign w:val="center"/>
          </w:tcPr>
          <w:p w14:paraId="22106201" w14:textId="76DC9575"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(8 280)</w:t>
            </w:r>
          </w:p>
        </w:tc>
        <w:tc>
          <w:tcPr>
            <w:tcW w:w="1418" w:type="dxa"/>
            <w:tcBorders>
              <w:top w:val="nil"/>
              <w:left w:val="nil"/>
              <w:bottom w:val="single" w:sz="8" w:space="0" w:color="0070C0"/>
              <w:right w:val="nil"/>
            </w:tcBorders>
            <w:shd w:val="clear" w:color="auto" w:fill="auto"/>
            <w:vAlign w:val="center"/>
            <w:hideMark/>
          </w:tcPr>
          <w:p w14:paraId="698C8CF0" w14:textId="77777777" w:rsidR="0037323B" w:rsidRPr="006E2860" w:rsidRDefault="0037323B" w:rsidP="0037323B">
            <w:pPr>
              <w:jc w:val="right"/>
              <w:rPr>
                <w:rFonts w:cs="Calibri"/>
                <w:color w:val="000000" w:themeColor="text1"/>
                <w:sz w:val="13"/>
                <w:szCs w:val="13"/>
              </w:rPr>
            </w:pPr>
            <w:r w:rsidRPr="006E2860">
              <w:rPr>
                <w:rFonts w:cs="Calibri"/>
                <w:color w:val="000000" w:themeColor="text1"/>
                <w:sz w:val="13"/>
                <w:szCs w:val="13"/>
              </w:rPr>
              <w:t>(7 741)</w:t>
            </w:r>
          </w:p>
        </w:tc>
      </w:tr>
      <w:tr w:rsidR="0037323B" w:rsidRPr="0068723D" w14:paraId="4A68A4DB"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552ECD0E" w14:textId="77777777" w:rsidR="0037323B" w:rsidRPr="006E2860" w:rsidRDefault="0037323B" w:rsidP="0037323B">
            <w:pPr>
              <w:rPr>
                <w:rFonts w:cs="Calibri"/>
                <w:b/>
                <w:bCs/>
                <w:color w:val="000000" w:themeColor="text1"/>
                <w:sz w:val="13"/>
                <w:szCs w:val="13"/>
              </w:rPr>
            </w:pPr>
            <w:r w:rsidRPr="006E2860">
              <w:rPr>
                <w:rFonts w:cs="Calibri"/>
                <w:b/>
                <w:bCs/>
                <w:color w:val="000000" w:themeColor="text1"/>
                <w:sz w:val="13"/>
                <w:szCs w:val="13"/>
              </w:rPr>
              <w:t>Ogólne koszty administracyjne, razem</w:t>
            </w:r>
          </w:p>
        </w:tc>
        <w:tc>
          <w:tcPr>
            <w:tcW w:w="1418" w:type="dxa"/>
            <w:tcBorders>
              <w:top w:val="nil"/>
              <w:left w:val="single" w:sz="8" w:space="0" w:color="0070C0"/>
              <w:bottom w:val="single" w:sz="8" w:space="0" w:color="0070C0"/>
              <w:right w:val="single" w:sz="8" w:space="0" w:color="0070C0"/>
            </w:tcBorders>
            <w:shd w:val="clear" w:color="auto" w:fill="auto"/>
            <w:noWrap/>
            <w:vAlign w:val="center"/>
          </w:tcPr>
          <w:p w14:paraId="7F7D6AB9" w14:textId="075EA0DE" w:rsidR="0037323B" w:rsidRPr="006E2860" w:rsidRDefault="0037323B" w:rsidP="0037323B">
            <w:pPr>
              <w:jc w:val="right"/>
              <w:rPr>
                <w:rFonts w:cs="Calibri"/>
                <w:b/>
                <w:bCs/>
                <w:color w:val="000000" w:themeColor="text1"/>
                <w:sz w:val="13"/>
                <w:szCs w:val="13"/>
              </w:rPr>
            </w:pPr>
            <w:r w:rsidRPr="006E2860">
              <w:rPr>
                <w:rFonts w:cs="Calibri"/>
                <w:b/>
                <w:bCs/>
                <w:color w:val="000000" w:themeColor="text1"/>
                <w:sz w:val="13"/>
                <w:szCs w:val="13"/>
              </w:rPr>
              <w:t>(1 953 657)</w:t>
            </w:r>
          </w:p>
        </w:tc>
        <w:tc>
          <w:tcPr>
            <w:tcW w:w="1418" w:type="dxa"/>
            <w:tcBorders>
              <w:top w:val="nil"/>
              <w:left w:val="nil"/>
              <w:bottom w:val="single" w:sz="8" w:space="0" w:color="0070C0"/>
              <w:right w:val="nil"/>
            </w:tcBorders>
            <w:shd w:val="clear" w:color="auto" w:fill="auto"/>
            <w:noWrap/>
            <w:vAlign w:val="center"/>
            <w:hideMark/>
          </w:tcPr>
          <w:p w14:paraId="097436D8" w14:textId="77777777" w:rsidR="0037323B" w:rsidRPr="006E2860" w:rsidRDefault="0037323B" w:rsidP="0037323B">
            <w:pPr>
              <w:jc w:val="right"/>
              <w:rPr>
                <w:rFonts w:cs="Calibri"/>
                <w:b/>
                <w:bCs/>
                <w:color w:val="000000" w:themeColor="text1"/>
                <w:sz w:val="13"/>
                <w:szCs w:val="13"/>
              </w:rPr>
            </w:pPr>
            <w:r w:rsidRPr="006E2860">
              <w:rPr>
                <w:rFonts w:cs="Calibri"/>
                <w:b/>
                <w:bCs/>
                <w:color w:val="000000" w:themeColor="text1"/>
                <w:sz w:val="13"/>
                <w:szCs w:val="13"/>
              </w:rPr>
              <w:t>(1 911 340)</w:t>
            </w:r>
          </w:p>
        </w:tc>
      </w:tr>
    </w:tbl>
    <w:p w14:paraId="1B7F4B9E" w14:textId="6CE8ACF8" w:rsidR="001E0934" w:rsidRPr="0068723D" w:rsidRDefault="003876D8" w:rsidP="001E0934">
      <w:pPr>
        <w:spacing w:before="120"/>
        <w:jc w:val="both"/>
        <w:rPr>
          <w:rFonts w:cs="Tahoma"/>
          <w:color w:val="000000" w:themeColor="text1"/>
          <w:sz w:val="18"/>
          <w:szCs w:val="18"/>
        </w:rPr>
      </w:pPr>
      <w:r w:rsidRPr="0068723D">
        <w:rPr>
          <w:rFonts w:cs="Tahoma"/>
          <w:color w:val="000000" w:themeColor="text1"/>
          <w:sz w:val="18"/>
          <w:szCs w:val="18"/>
        </w:rPr>
        <w:t xml:space="preserve">W 2019 roku pozycja „Koszty rzeczowe” obejmuje koszty związane z krótkoterminowymi umowami </w:t>
      </w:r>
      <w:r w:rsidRPr="0054132D">
        <w:rPr>
          <w:rFonts w:cs="Tahoma"/>
          <w:color w:val="000000" w:themeColor="text1"/>
          <w:sz w:val="18"/>
          <w:szCs w:val="18"/>
        </w:rPr>
        <w:t xml:space="preserve">leasingowymi w kwocie </w:t>
      </w:r>
      <w:r w:rsidR="001072F9">
        <w:rPr>
          <w:rFonts w:cs="Tahoma"/>
          <w:color w:val="000000" w:themeColor="text1"/>
          <w:sz w:val="18"/>
          <w:szCs w:val="18"/>
        </w:rPr>
        <w:t>2 690</w:t>
      </w:r>
      <w:r w:rsidRPr="0054132D">
        <w:rPr>
          <w:rFonts w:cs="Tahoma"/>
          <w:color w:val="000000" w:themeColor="text1"/>
          <w:sz w:val="18"/>
          <w:szCs w:val="18"/>
        </w:rPr>
        <w:t xml:space="preserve"> tys. zł, koszty związane z umowami leasingowymi aktywów o niskiej wartości, które nie są umowam</w:t>
      </w:r>
      <w:r w:rsidR="001072F9">
        <w:rPr>
          <w:rFonts w:cs="Tahoma"/>
          <w:color w:val="000000" w:themeColor="text1"/>
          <w:sz w:val="18"/>
          <w:szCs w:val="18"/>
        </w:rPr>
        <w:t>i krótkoterminowymi w kwocie 3</w:t>
      </w:r>
      <w:r w:rsidR="0054132D" w:rsidRPr="0054132D">
        <w:rPr>
          <w:rFonts w:cs="Tahoma"/>
          <w:color w:val="000000" w:themeColor="text1"/>
          <w:sz w:val="18"/>
          <w:szCs w:val="18"/>
        </w:rPr>
        <w:t> </w:t>
      </w:r>
      <w:r w:rsidR="001072F9">
        <w:rPr>
          <w:rFonts w:cs="Tahoma"/>
          <w:color w:val="000000" w:themeColor="text1"/>
          <w:sz w:val="18"/>
          <w:szCs w:val="18"/>
        </w:rPr>
        <w:t>011</w:t>
      </w:r>
      <w:r w:rsidRPr="0054132D">
        <w:rPr>
          <w:rFonts w:cs="Tahoma"/>
          <w:color w:val="000000" w:themeColor="text1"/>
          <w:sz w:val="18"/>
          <w:szCs w:val="18"/>
        </w:rPr>
        <w:t xml:space="preserve"> tys. zł oraz koszty związane ze</w:t>
      </w:r>
      <w:r w:rsidR="00C77EEC">
        <w:rPr>
          <w:rFonts w:cs="Tahoma"/>
          <w:color w:val="000000" w:themeColor="text1"/>
          <w:sz w:val="18"/>
          <w:szCs w:val="18"/>
        </w:rPr>
        <w:t> </w:t>
      </w:r>
      <w:r w:rsidRPr="0054132D">
        <w:rPr>
          <w:rFonts w:cs="Tahoma"/>
          <w:color w:val="000000" w:themeColor="text1"/>
          <w:sz w:val="18"/>
          <w:szCs w:val="18"/>
        </w:rPr>
        <w:t xml:space="preserve">zmiennymi elementami zobowiązań leasingowych nie ujęte w zobowiązaniu leasingowym (ujęte w ogólnych kosztach administracyjnych w kwocie </w:t>
      </w:r>
      <w:r w:rsidR="0054132D" w:rsidRPr="0054132D">
        <w:rPr>
          <w:rFonts w:cs="Tahoma"/>
          <w:color w:val="000000" w:themeColor="text1"/>
          <w:sz w:val="18"/>
          <w:szCs w:val="18"/>
        </w:rPr>
        <w:t>3 130</w:t>
      </w:r>
      <w:r w:rsidRPr="0054132D">
        <w:rPr>
          <w:rFonts w:cs="Tahoma"/>
          <w:color w:val="000000" w:themeColor="text1"/>
          <w:sz w:val="18"/>
          <w:szCs w:val="18"/>
        </w:rPr>
        <w:t xml:space="preserve"> tys. zł)</w:t>
      </w:r>
      <w:r w:rsidR="001E0934" w:rsidRPr="0054132D">
        <w:rPr>
          <w:rFonts w:cs="Tahoma"/>
          <w:color w:val="000000" w:themeColor="text1"/>
          <w:sz w:val="18"/>
          <w:szCs w:val="18"/>
        </w:rPr>
        <w:t>.</w:t>
      </w:r>
    </w:p>
    <w:p w14:paraId="7D84B4B3" w14:textId="77777777" w:rsidR="001E0934" w:rsidRPr="0068723D" w:rsidRDefault="001E0934" w:rsidP="001E0934">
      <w:pPr>
        <w:spacing w:before="120"/>
        <w:jc w:val="both"/>
        <w:rPr>
          <w:rFonts w:cs="Tahoma"/>
          <w:color w:val="000000" w:themeColor="text1"/>
          <w:sz w:val="18"/>
          <w:szCs w:val="18"/>
        </w:rPr>
      </w:pPr>
      <w:r w:rsidRPr="0068723D">
        <w:rPr>
          <w:rFonts w:cs="Tahoma"/>
          <w:color w:val="000000" w:themeColor="text1"/>
          <w:sz w:val="18"/>
          <w:szCs w:val="18"/>
        </w:rPr>
        <w:t>W 2018 roku pozycja „Koszty rzeczowe” obejmuje koszt rat leasingu operacyjnego środków trwałych (głównie nieruchomości) w wysokości 27 997 tys. zł.</w:t>
      </w:r>
    </w:p>
    <w:p w14:paraId="4C6F188D" w14:textId="38BDFB06" w:rsidR="00766E58" w:rsidRPr="0068723D" w:rsidRDefault="00766E58" w:rsidP="00AF41FE">
      <w:pPr>
        <w:suppressAutoHyphens/>
        <w:spacing w:before="120" w:after="120"/>
        <w:jc w:val="both"/>
        <w:rPr>
          <w:rFonts w:cs="Tahoma"/>
          <w:color w:val="000000" w:themeColor="text1"/>
          <w:sz w:val="18"/>
          <w:szCs w:val="18"/>
        </w:rPr>
      </w:pPr>
      <w:r w:rsidRPr="0068723D">
        <w:rPr>
          <w:rFonts w:cs="Tahoma"/>
          <w:color w:val="000000" w:themeColor="text1"/>
          <w:sz w:val="18"/>
          <w:szCs w:val="18"/>
        </w:rPr>
        <w:t>Poniżej przedstawiono koszt</w:t>
      </w:r>
      <w:r w:rsidR="00302017" w:rsidRPr="0068723D">
        <w:rPr>
          <w:rFonts w:cs="Tahoma"/>
          <w:color w:val="000000" w:themeColor="text1"/>
          <w:sz w:val="18"/>
          <w:szCs w:val="18"/>
        </w:rPr>
        <w:t>y pracownicze poniesione za 2019 rok i 2018</w:t>
      </w:r>
      <w:r w:rsidRPr="0068723D">
        <w:rPr>
          <w:rFonts w:cs="Tahoma"/>
          <w:color w:val="000000" w:themeColor="text1"/>
          <w:sz w:val="18"/>
          <w:szCs w:val="18"/>
        </w:rPr>
        <w:t xml:space="preserve"> rok.</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A04B99" w14:paraId="76F16818" w14:textId="77777777" w:rsidTr="003037CE">
        <w:trPr>
          <w:trHeight w:val="284"/>
        </w:trPr>
        <w:tc>
          <w:tcPr>
            <w:tcW w:w="6747" w:type="dxa"/>
            <w:vMerge w:val="restart"/>
            <w:tcBorders>
              <w:top w:val="nil"/>
              <w:left w:val="nil"/>
              <w:right w:val="single" w:sz="8" w:space="0" w:color="FFFFFF"/>
            </w:tcBorders>
            <w:shd w:val="clear" w:color="000000" w:fill="0077BD"/>
            <w:vAlign w:val="center"/>
          </w:tcPr>
          <w:p w14:paraId="788600E1" w14:textId="6876A86B" w:rsidR="009870A7" w:rsidRPr="00A04B99" w:rsidRDefault="009870A7" w:rsidP="00A04B99">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47DCA6A2"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Rok kończący się 31 grudnia</w:t>
            </w:r>
          </w:p>
        </w:tc>
      </w:tr>
      <w:tr w:rsidR="009870A7" w:rsidRPr="00A04B99" w14:paraId="3ADBAF83" w14:textId="77777777" w:rsidTr="003037CE">
        <w:trPr>
          <w:trHeight w:val="284"/>
        </w:trPr>
        <w:tc>
          <w:tcPr>
            <w:tcW w:w="6747" w:type="dxa"/>
            <w:vMerge/>
            <w:tcBorders>
              <w:left w:val="nil"/>
              <w:right w:val="single" w:sz="8" w:space="0" w:color="FFFFFF"/>
            </w:tcBorders>
            <w:shd w:val="clear" w:color="000000" w:fill="0077BD"/>
            <w:vAlign w:val="center"/>
            <w:hideMark/>
          </w:tcPr>
          <w:p w14:paraId="2633595B" w14:textId="59616C62" w:rsidR="009870A7" w:rsidRPr="00A04B99" w:rsidRDefault="009870A7" w:rsidP="00A04B99">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1AF7BC9F"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D0BDAF5"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2018</w:t>
            </w:r>
          </w:p>
        </w:tc>
      </w:tr>
      <w:tr w:rsidR="00AD47E8" w:rsidRPr="0068723D" w14:paraId="720A3BD7"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18E90B82"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Koszty wynagrodzeń</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3F6B48AD" w14:textId="2529C365" w:rsidR="00AD47E8" w:rsidRPr="00135D91" w:rsidRDefault="00AD47E8" w:rsidP="00AD47E8">
            <w:pPr>
              <w:jc w:val="right"/>
              <w:rPr>
                <w:rFonts w:cs="Calibri"/>
                <w:color w:val="000000" w:themeColor="text1"/>
                <w:sz w:val="13"/>
                <w:szCs w:val="13"/>
              </w:rPr>
            </w:pPr>
            <w:bookmarkStart w:id="131" w:name="RANGE!C5:C12"/>
            <w:r w:rsidRPr="00135D91">
              <w:rPr>
                <w:rFonts w:cs="Calibri"/>
                <w:color w:val="000000" w:themeColor="text1"/>
                <w:sz w:val="13"/>
                <w:szCs w:val="13"/>
              </w:rPr>
              <w:t>(825 389)</w:t>
            </w:r>
            <w:bookmarkEnd w:id="131"/>
          </w:p>
        </w:tc>
        <w:tc>
          <w:tcPr>
            <w:tcW w:w="1418" w:type="dxa"/>
            <w:tcBorders>
              <w:top w:val="nil"/>
              <w:left w:val="nil"/>
              <w:bottom w:val="single" w:sz="4" w:space="0" w:color="0070C0"/>
              <w:right w:val="nil"/>
            </w:tcBorders>
            <w:shd w:val="clear" w:color="auto" w:fill="auto"/>
            <w:vAlign w:val="center"/>
            <w:hideMark/>
          </w:tcPr>
          <w:p w14:paraId="11CFF582"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(776 676)</w:t>
            </w:r>
          </w:p>
        </w:tc>
      </w:tr>
      <w:tr w:rsidR="00AD47E8" w:rsidRPr="0068723D" w14:paraId="361EF66E"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0DA6891D"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Koszty ubezpieczeń społecznych</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48E6E77D" w14:textId="4E39AF5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(136 657)</w:t>
            </w:r>
          </w:p>
        </w:tc>
        <w:tc>
          <w:tcPr>
            <w:tcW w:w="1418" w:type="dxa"/>
            <w:tcBorders>
              <w:top w:val="nil"/>
              <w:left w:val="nil"/>
              <w:bottom w:val="single" w:sz="4" w:space="0" w:color="0070C0"/>
              <w:right w:val="nil"/>
            </w:tcBorders>
            <w:shd w:val="clear" w:color="auto" w:fill="auto"/>
            <w:vAlign w:val="center"/>
            <w:hideMark/>
          </w:tcPr>
          <w:p w14:paraId="5D4B8AF6"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(126 303)</w:t>
            </w:r>
          </w:p>
        </w:tc>
      </w:tr>
      <w:tr w:rsidR="00AD47E8" w:rsidRPr="0068723D" w14:paraId="0B100FE1"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5CE0A57D"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Koszty świadczeń pracowniczych po okresie zatrudnienia</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313989D9" w14:textId="1608788C"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(16)</w:t>
            </w:r>
          </w:p>
        </w:tc>
        <w:tc>
          <w:tcPr>
            <w:tcW w:w="1418" w:type="dxa"/>
            <w:tcBorders>
              <w:top w:val="nil"/>
              <w:left w:val="nil"/>
              <w:bottom w:val="single" w:sz="4" w:space="0" w:color="0070C0"/>
              <w:right w:val="nil"/>
            </w:tcBorders>
            <w:shd w:val="clear" w:color="auto" w:fill="auto"/>
            <w:vAlign w:val="center"/>
            <w:hideMark/>
          </w:tcPr>
          <w:p w14:paraId="076A10B8"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(26)</w:t>
            </w:r>
          </w:p>
        </w:tc>
      </w:tr>
      <w:tr w:rsidR="00AD47E8" w:rsidRPr="0068723D" w14:paraId="0AA942EB"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023DE496"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Wynagrodzenie dotyczące płatności w formie akcji, w tym:</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B770AAA" w14:textId="5E0541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(10 702)</w:t>
            </w:r>
          </w:p>
        </w:tc>
        <w:tc>
          <w:tcPr>
            <w:tcW w:w="1418" w:type="dxa"/>
            <w:tcBorders>
              <w:top w:val="nil"/>
              <w:left w:val="nil"/>
              <w:bottom w:val="single" w:sz="4" w:space="0" w:color="0070C0"/>
              <w:right w:val="nil"/>
            </w:tcBorders>
            <w:shd w:val="clear" w:color="auto" w:fill="auto"/>
            <w:vAlign w:val="center"/>
            <w:hideMark/>
          </w:tcPr>
          <w:p w14:paraId="40E0C9C4"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(10 703)</w:t>
            </w:r>
          </w:p>
        </w:tc>
      </w:tr>
      <w:tr w:rsidR="00AD47E8" w:rsidRPr="0068723D" w14:paraId="6A2D11A9"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1A78D544"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 płatności w formie akcji rozliczane w opcjach na akcje mBanku S.A.</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89A4568" w14:textId="0AAD4B53"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(9 947)</w:t>
            </w:r>
          </w:p>
        </w:tc>
        <w:tc>
          <w:tcPr>
            <w:tcW w:w="1418" w:type="dxa"/>
            <w:tcBorders>
              <w:top w:val="nil"/>
              <w:left w:val="nil"/>
              <w:bottom w:val="single" w:sz="4" w:space="0" w:color="0070C0"/>
              <w:right w:val="nil"/>
            </w:tcBorders>
            <w:shd w:val="clear" w:color="auto" w:fill="auto"/>
            <w:vAlign w:val="center"/>
            <w:hideMark/>
          </w:tcPr>
          <w:p w14:paraId="416566FF"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(10 224)</w:t>
            </w:r>
          </w:p>
        </w:tc>
      </w:tr>
      <w:tr w:rsidR="00AD47E8" w:rsidRPr="0068723D" w14:paraId="053D6A48" w14:textId="77777777" w:rsidTr="00CA5E84">
        <w:trPr>
          <w:trHeight w:val="284"/>
        </w:trPr>
        <w:tc>
          <w:tcPr>
            <w:tcW w:w="6747" w:type="dxa"/>
            <w:tcBorders>
              <w:top w:val="nil"/>
              <w:left w:val="nil"/>
              <w:bottom w:val="single" w:sz="4" w:space="0" w:color="0070C0"/>
              <w:right w:val="single" w:sz="8" w:space="0" w:color="0070C0"/>
            </w:tcBorders>
            <w:shd w:val="clear" w:color="auto" w:fill="auto"/>
            <w:vAlign w:val="center"/>
            <w:hideMark/>
          </w:tcPr>
          <w:p w14:paraId="5E0B761B"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 płatności w formie akcji rozliczane w środkach pieniężnych</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78BED15B" w14:textId="352F6181"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(755)</w:t>
            </w:r>
          </w:p>
        </w:tc>
        <w:tc>
          <w:tcPr>
            <w:tcW w:w="1418" w:type="dxa"/>
            <w:tcBorders>
              <w:top w:val="nil"/>
              <w:left w:val="nil"/>
              <w:bottom w:val="single" w:sz="4" w:space="0" w:color="0070C0"/>
              <w:right w:val="nil"/>
            </w:tcBorders>
            <w:shd w:val="clear" w:color="auto" w:fill="auto"/>
            <w:vAlign w:val="center"/>
            <w:hideMark/>
          </w:tcPr>
          <w:p w14:paraId="4B72914F"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(479)</w:t>
            </w:r>
          </w:p>
        </w:tc>
      </w:tr>
      <w:tr w:rsidR="00AD47E8" w:rsidRPr="0068723D" w14:paraId="651F373D"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2022F2D2" w14:textId="77777777" w:rsidR="00AD47E8" w:rsidRPr="00135D91" w:rsidRDefault="00AD47E8" w:rsidP="00AD47E8">
            <w:pPr>
              <w:rPr>
                <w:rFonts w:cs="Calibri"/>
                <w:color w:val="000000" w:themeColor="text1"/>
                <w:sz w:val="13"/>
                <w:szCs w:val="13"/>
              </w:rPr>
            </w:pPr>
            <w:r w:rsidRPr="00135D91">
              <w:rPr>
                <w:rFonts w:cs="Calibri"/>
                <w:color w:val="000000" w:themeColor="text1"/>
                <w:sz w:val="13"/>
                <w:szCs w:val="13"/>
              </w:rPr>
              <w:t>Pozostałe świadczenia na rzecz pracowników</w:t>
            </w:r>
          </w:p>
        </w:tc>
        <w:tc>
          <w:tcPr>
            <w:tcW w:w="1418" w:type="dxa"/>
            <w:tcBorders>
              <w:top w:val="nil"/>
              <w:left w:val="single" w:sz="8" w:space="0" w:color="0070C0"/>
              <w:bottom w:val="single" w:sz="8" w:space="0" w:color="0070C0"/>
              <w:right w:val="single" w:sz="8" w:space="0" w:color="0070C0"/>
            </w:tcBorders>
            <w:shd w:val="clear" w:color="auto" w:fill="auto"/>
            <w:vAlign w:val="center"/>
          </w:tcPr>
          <w:p w14:paraId="77CA31A3" w14:textId="75BC6E19"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(46 576)</w:t>
            </w:r>
          </w:p>
        </w:tc>
        <w:tc>
          <w:tcPr>
            <w:tcW w:w="1418" w:type="dxa"/>
            <w:tcBorders>
              <w:top w:val="nil"/>
              <w:left w:val="nil"/>
              <w:bottom w:val="single" w:sz="8" w:space="0" w:color="0070C0"/>
              <w:right w:val="nil"/>
            </w:tcBorders>
            <w:shd w:val="clear" w:color="auto" w:fill="auto"/>
            <w:vAlign w:val="center"/>
            <w:hideMark/>
          </w:tcPr>
          <w:p w14:paraId="22DF21C5" w14:textId="77777777" w:rsidR="00AD47E8" w:rsidRPr="00135D91" w:rsidRDefault="00AD47E8" w:rsidP="00AD47E8">
            <w:pPr>
              <w:jc w:val="right"/>
              <w:rPr>
                <w:rFonts w:cs="Calibri"/>
                <w:color w:val="000000" w:themeColor="text1"/>
                <w:sz w:val="13"/>
                <w:szCs w:val="13"/>
              </w:rPr>
            </w:pPr>
            <w:r w:rsidRPr="00135D91">
              <w:rPr>
                <w:rFonts w:cs="Calibri"/>
                <w:color w:val="000000" w:themeColor="text1"/>
                <w:sz w:val="13"/>
                <w:szCs w:val="13"/>
              </w:rPr>
              <w:t>(38 583)</w:t>
            </w:r>
          </w:p>
        </w:tc>
      </w:tr>
      <w:tr w:rsidR="00AD47E8" w:rsidRPr="0068723D" w14:paraId="767E3073" w14:textId="77777777" w:rsidTr="00CA5E84">
        <w:trPr>
          <w:trHeight w:val="284"/>
        </w:trPr>
        <w:tc>
          <w:tcPr>
            <w:tcW w:w="6747" w:type="dxa"/>
            <w:tcBorders>
              <w:top w:val="nil"/>
              <w:left w:val="nil"/>
              <w:bottom w:val="single" w:sz="8" w:space="0" w:color="0070C0"/>
              <w:right w:val="single" w:sz="8" w:space="0" w:color="0070C0"/>
            </w:tcBorders>
            <w:shd w:val="clear" w:color="auto" w:fill="auto"/>
            <w:vAlign w:val="center"/>
            <w:hideMark/>
          </w:tcPr>
          <w:p w14:paraId="79971398" w14:textId="77777777" w:rsidR="00AD47E8" w:rsidRPr="00135D91" w:rsidRDefault="00AD47E8" w:rsidP="00AD47E8">
            <w:pPr>
              <w:rPr>
                <w:rFonts w:cs="Calibri"/>
                <w:b/>
                <w:bCs/>
                <w:color w:val="000000" w:themeColor="text1"/>
                <w:sz w:val="13"/>
                <w:szCs w:val="13"/>
              </w:rPr>
            </w:pPr>
            <w:r w:rsidRPr="00135D91">
              <w:rPr>
                <w:rFonts w:cs="Calibri"/>
                <w:b/>
                <w:bCs/>
                <w:color w:val="000000" w:themeColor="text1"/>
                <w:sz w:val="13"/>
                <w:szCs w:val="13"/>
              </w:rPr>
              <w:t>Koszty pracownicze, razem</w:t>
            </w:r>
          </w:p>
        </w:tc>
        <w:tc>
          <w:tcPr>
            <w:tcW w:w="1418" w:type="dxa"/>
            <w:tcBorders>
              <w:top w:val="nil"/>
              <w:left w:val="single" w:sz="8" w:space="0" w:color="0070C0"/>
              <w:bottom w:val="single" w:sz="8" w:space="0" w:color="0070C0"/>
              <w:right w:val="single" w:sz="8" w:space="0" w:color="0070C0"/>
            </w:tcBorders>
            <w:shd w:val="clear" w:color="auto" w:fill="auto"/>
            <w:noWrap/>
            <w:vAlign w:val="center"/>
          </w:tcPr>
          <w:p w14:paraId="33D7B8C3" w14:textId="58D8A5EC" w:rsidR="00AD47E8" w:rsidRPr="00135D91" w:rsidRDefault="00AD47E8" w:rsidP="00AD47E8">
            <w:pPr>
              <w:jc w:val="right"/>
              <w:rPr>
                <w:rFonts w:cs="Calibri"/>
                <w:b/>
                <w:bCs/>
                <w:color w:val="000000" w:themeColor="text1"/>
                <w:sz w:val="13"/>
                <w:szCs w:val="13"/>
              </w:rPr>
            </w:pPr>
            <w:r w:rsidRPr="00135D91">
              <w:rPr>
                <w:rFonts w:cs="Calibri"/>
                <w:b/>
                <w:bCs/>
                <w:color w:val="000000" w:themeColor="text1"/>
                <w:sz w:val="13"/>
                <w:szCs w:val="13"/>
              </w:rPr>
              <w:t>(1 019 340)</w:t>
            </w:r>
          </w:p>
        </w:tc>
        <w:tc>
          <w:tcPr>
            <w:tcW w:w="1418" w:type="dxa"/>
            <w:tcBorders>
              <w:top w:val="nil"/>
              <w:left w:val="nil"/>
              <w:bottom w:val="single" w:sz="8" w:space="0" w:color="0070C0"/>
              <w:right w:val="nil"/>
            </w:tcBorders>
            <w:shd w:val="clear" w:color="auto" w:fill="auto"/>
            <w:noWrap/>
            <w:vAlign w:val="center"/>
            <w:hideMark/>
          </w:tcPr>
          <w:p w14:paraId="75D7E522" w14:textId="77777777" w:rsidR="00AD47E8" w:rsidRPr="00135D91" w:rsidRDefault="00AD47E8" w:rsidP="00AD47E8">
            <w:pPr>
              <w:jc w:val="right"/>
              <w:rPr>
                <w:rFonts w:cs="Calibri"/>
                <w:b/>
                <w:bCs/>
                <w:color w:val="000000" w:themeColor="text1"/>
                <w:sz w:val="13"/>
                <w:szCs w:val="13"/>
              </w:rPr>
            </w:pPr>
            <w:r w:rsidRPr="00135D91">
              <w:rPr>
                <w:rFonts w:cs="Calibri"/>
                <w:b/>
                <w:bCs/>
                <w:color w:val="000000" w:themeColor="text1"/>
                <w:sz w:val="13"/>
                <w:szCs w:val="13"/>
              </w:rPr>
              <w:t>(952 291)</w:t>
            </w:r>
          </w:p>
        </w:tc>
      </w:tr>
    </w:tbl>
    <w:p w14:paraId="73FCA310" w14:textId="280BC421" w:rsidR="00F01C7A" w:rsidRPr="0068723D" w:rsidRDefault="00F01C7A" w:rsidP="00F01C7A">
      <w:pPr>
        <w:suppressAutoHyphens/>
        <w:spacing w:before="120"/>
        <w:jc w:val="both"/>
        <w:rPr>
          <w:color w:val="000000" w:themeColor="text1"/>
          <w:sz w:val="18"/>
          <w:szCs w:val="18"/>
        </w:rPr>
      </w:pPr>
      <w:r w:rsidRPr="0068723D">
        <w:rPr>
          <w:color w:val="000000" w:themeColor="text1"/>
          <w:sz w:val="18"/>
          <w:szCs w:val="18"/>
        </w:rPr>
        <w:t xml:space="preserve">Płatności w formie akcji rozliczane w środkach pieniężnych dotyczą kosztów </w:t>
      </w:r>
      <w:r w:rsidR="00B35FA5" w:rsidRPr="0068723D">
        <w:rPr>
          <w:color w:val="000000" w:themeColor="text1"/>
          <w:sz w:val="18"/>
          <w:szCs w:val="18"/>
        </w:rPr>
        <w:t>programów motywacyjnych funkcjonujących w spółkach Grupy.</w:t>
      </w:r>
      <w:r w:rsidRPr="0068723D">
        <w:rPr>
          <w:color w:val="000000" w:themeColor="text1"/>
          <w:sz w:val="18"/>
          <w:szCs w:val="18"/>
        </w:rPr>
        <w:t xml:space="preserve"> Szczegółowe informacje na temat programów motywacyjnych, których dotyczą płatności w formie </w:t>
      </w:r>
      <w:r w:rsidR="002D2D3D" w:rsidRPr="0068723D">
        <w:rPr>
          <w:color w:val="000000" w:themeColor="text1"/>
          <w:sz w:val="18"/>
          <w:szCs w:val="18"/>
        </w:rPr>
        <w:t>akcji, znajdują się w</w:t>
      </w:r>
      <w:r w:rsidR="00302017" w:rsidRPr="0068723D">
        <w:rPr>
          <w:color w:val="000000" w:themeColor="text1"/>
          <w:sz w:val="18"/>
          <w:szCs w:val="18"/>
        </w:rPr>
        <w:t xml:space="preserve"> </w:t>
      </w:r>
      <w:r w:rsidR="003037CE" w:rsidRPr="0068723D">
        <w:rPr>
          <w:color w:val="000000" w:themeColor="text1"/>
          <w:sz w:val="18"/>
          <w:szCs w:val="18"/>
        </w:rPr>
        <w:t>Nocie 41</w:t>
      </w:r>
      <w:r w:rsidRPr="0068723D">
        <w:rPr>
          <w:color w:val="000000" w:themeColor="text1"/>
          <w:sz w:val="18"/>
          <w:szCs w:val="18"/>
        </w:rPr>
        <w:t xml:space="preserve"> „Programy motywacyjne oparte na akcjach”.</w:t>
      </w:r>
    </w:p>
    <w:p w14:paraId="409E483F" w14:textId="5E00A6E7" w:rsidR="004F532A" w:rsidRDefault="004F532A">
      <w:pPr>
        <w:rPr>
          <w:color w:val="000000" w:themeColor="text1"/>
          <w:sz w:val="18"/>
          <w:szCs w:val="18"/>
        </w:rPr>
      </w:pPr>
      <w:r>
        <w:rPr>
          <w:color w:val="000000" w:themeColor="text1"/>
          <w:sz w:val="18"/>
          <w:szCs w:val="18"/>
        </w:rPr>
        <w:br w:type="page"/>
      </w:r>
    </w:p>
    <w:p w14:paraId="395B54F0" w14:textId="77777777" w:rsidR="001A5205" w:rsidRDefault="001A5205"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32" w:name="_Toc32999845"/>
      <w:r>
        <w:rPr>
          <w:rFonts w:cs="Tahoma"/>
          <w:bCs w:val="0"/>
          <w:iCs w:val="0"/>
          <w:color w:val="E41E0A"/>
          <w:sz w:val="18"/>
          <w:szCs w:val="18"/>
        </w:rPr>
        <w:lastRenderedPageBreak/>
        <w:t>Pozostałe koszty operacyjne</w:t>
      </w:r>
      <w:bookmarkEnd w:id="132"/>
    </w:p>
    <w:p w14:paraId="1C099622" w14:textId="2D905C4E" w:rsidR="00894AFB" w:rsidRDefault="00894AFB" w:rsidP="00A04B99">
      <w:pPr>
        <w:suppressAutoHyphens/>
        <w:jc w:val="both"/>
        <w:rPr>
          <w:rFonts w:cs="Tahoma"/>
          <w:color w:val="201C17"/>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A04B99" w14:paraId="286E0A05" w14:textId="77777777" w:rsidTr="003037CE">
        <w:trPr>
          <w:trHeight w:val="284"/>
        </w:trPr>
        <w:tc>
          <w:tcPr>
            <w:tcW w:w="6747" w:type="dxa"/>
            <w:vMerge w:val="restart"/>
            <w:tcBorders>
              <w:top w:val="nil"/>
              <w:left w:val="nil"/>
              <w:right w:val="single" w:sz="8" w:space="0" w:color="FFFFFF"/>
            </w:tcBorders>
            <w:shd w:val="clear" w:color="000000" w:fill="0077BD"/>
            <w:vAlign w:val="center"/>
          </w:tcPr>
          <w:p w14:paraId="21F31223" w14:textId="0C6246D7" w:rsidR="009870A7" w:rsidRPr="00A04B99" w:rsidRDefault="009870A7" w:rsidP="00A04B99">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050B955F"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Rok kończący się 31 grudnia</w:t>
            </w:r>
          </w:p>
        </w:tc>
      </w:tr>
      <w:tr w:rsidR="009870A7" w:rsidRPr="00A04B99" w14:paraId="58B7BAEE" w14:textId="77777777" w:rsidTr="003037CE">
        <w:trPr>
          <w:trHeight w:val="284"/>
        </w:trPr>
        <w:tc>
          <w:tcPr>
            <w:tcW w:w="6747" w:type="dxa"/>
            <w:vMerge/>
            <w:tcBorders>
              <w:left w:val="nil"/>
              <w:right w:val="single" w:sz="8" w:space="0" w:color="FFFFFF"/>
            </w:tcBorders>
            <w:shd w:val="clear" w:color="000000" w:fill="0077BD"/>
            <w:vAlign w:val="center"/>
            <w:hideMark/>
          </w:tcPr>
          <w:p w14:paraId="2083379D" w14:textId="41AEE463" w:rsidR="009870A7" w:rsidRPr="00A04B99" w:rsidRDefault="009870A7" w:rsidP="00A04B99">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64F934AF"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476715AF"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2018</w:t>
            </w:r>
          </w:p>
        </w:tc>
      </w:tr>
      <w:tr w:rsidR="008D3D71" w:rsidRPr="0068723D" w14:paraId="6ACE7056" w14:textId="77777777" w:rsidTr="0075574A">
        <w:trPr>
          <w:trHeight w:val="397"/>
        </w:trPr>
        <w:tc>
          <w:tcPr>
            <w:tcW w:w="6747" w:type="dxa"/>
            <w:tcBorders>
              <w:top w:val="nil"/>
              <w:left w:val="nil"/>
              <w:bottom w:val="single" w:sz="4" w:space="0" w:color="0070C0"/>
              <w:right w:val="single" w:sz="8" w:space="0" w:color="0070C0"/>
            </w:tcBorders>
            <w:shd w:val="clear" w:color="auto" w:fill="auto"/>
            <w:vAlign w:val="center"/>
            <w:hideMark/>
          </w:tcPr>
          <w:p w14:paraId="1B8B2CEE" w14:textId="1798AF9D" w:rsidR="008D3D71" w:rsidRPr="00135D91" w:rsidRDefault="008D3D71" w:rsidP="008D3D71">
            <w:pPr>
              <w:rPr>
                <w:rFonts w:cs="Calibri"/>
                <w:color w:val="000000" w:themeColor="text1"/>
                <w:sz w:val="13"/>
                <w:szCs w:val="13"/>
              </w:rPr>
            </w:pPr>
            <w:r w:rsidRPr="00135D91">
              <w:rPr>
                <w:rFonts w:cs="Calibri"/>
                <w:color w:val="000000" w:themeColor="text1"/>
                <w:sz w:val="13"/>
                <w:szCs w:val="13"/>
              </w:rPr>
              <w:t xml:space="preserve">Koszty z tytułu sprzedaży lub likwidacji środków trwałych, wartości niematerialnych, </w:t>
            </w:r>
            <w:r w:rsidRPr="00135D91">
              <w:rPr>
                <w:rFonts w:cs="Calibri"/>
                <w:color w:val="000000" w:themeColor="text1"/>
                <w:sz w:val="13"/>
                <w:szCs w:val="13"/>
              </w:rPr>
              <w:br/>
              <w:t>aktywów do zbycia oraz zapasów</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45477297" w14:textId="4579998C"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(115 961)</w:t>
            </w:r>
          </w:p>
        </w:tc>
        <w:tc>
          <w:tcPr>
            <w:tcW w:w="1418" w:type="dxa"/>
            <w:tcBorders>
              <w:top w:val="nil"/>
              <w:left w:val="nil"/>
              <w:bottom w:val="single" w:sz="4" w:space="0" w:color="0070C0"/>
              <w:right w:val="nil"/>
            </w:tcBorders>
            <w:shd w:val="clear" w:color="auto" w:fill="auto"/>
            <w:vAlign w:val="center"/>
            <w:hideMark/>
          </w:tcPr>
          <w:p w14:paraId="6103D34F"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(42 497)</w:t>
            </w:r>
          </w:p>
        </w:tc>
      </w:tr>
      <w:tr w:rsidR="008D3D71" w:rsidRPr="0068723D" w14:paraId="7E7F2D63"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0CB89000"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Odpisy z tytułu rezerw na przyszłe zobowiązania</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1F79141D" w14:textId="20EE3CC9" w:rsidR="008D3D71" w:rsidRPr="00135D91" w:rsidRDefault="009D6A78" w:rsidP="009D6A78">
            <w:pPr>
              <w:jc w:val="right"/>
              <w:rPr>
                <w:rFonts w:cs="Calibri"/>
                <w:color w:val="000000" w:themeColor="text1"/>
                <w:sz w:val="13"/>
                <w:szCs w:val="13"/>
              </w:rPr>
            </w:pPr>
            <w:r w:rsidRPr="00135D91">
              <w:rPr>
                <w:rFonts w:cs="Calibri"/>
                <w:color w:val="000000" w:themeColor="text1"/>
                <w:sz w:val="13"/>
                <w:szCs w:val="13"/>
              </w:rPr>
              <w:t>(51</w:t>
            </w:r>
            <w:r w:rsidR="008D3D71" w:rsidRPr="00135D91">
              <w:rPr>
                <w:rFonts w:cs="Calibri"/>
                <w:color w:val="000000" w:themeColor="text1"/>
                <w:sz w:val="13"/>
                <w:szCs w:val="13"/>
              </w:rPr>
              <w:t xml:space="preserve"> </w:t>
            </w:r>
            <w:r w:rsidRPr="00135D91">
              <w:rPr>
                <w:rFonts w:cs="Calibri"/>
                <w:color w:val="000000" w:themeColor="text1"/>
                <w:sz w:val="13"/>
                <w:szCs w:val="13"/>
              </w:rPr>
              <w:t>647</w:t>
            </w:r>
            <w:r w:rsidR="008D3D71" w:rsidRPr="00135D91">
              <w:rPr>
                <w:rFonts w:cs="Calibri"/>
                <w:color w:val="000000" w:themeColor="text1"/>
                <w:sz w:val="13"/>
                <w:szCs w:val="13"/>
              </w:rPr>
              <w:t>)</w:t>
            </w:r>
          </w:p>
        </w:tc>
        <w:tc>
          <w:tcPr>
            <w:tcW w:w="1418" w:type="dxa"/>
            <w:tcBorders>
              <w:top w:val="nil"/>
              <w:left w:val="nil"/>
              <w:bottom w:val="single" w:sz="4" w:space="0" w:color="0070C0"/>
              <w:right w:val="nil"/>
            </w:tcBorders>
            <w:shd w:val="clear" w:color="auto" w:fill="auto"/>
            <w:vAlign w:val="center"/>
            <w:hideMark/>
          </w:tcPr>
          <w:p w14:paraId="03055449" w14:textId="157B1E92" w:rsidR="008D3D71" w:rsidRPr="00135D91" w:rsidRDefault="008D3D71" w:rsidP="009D6A78">
            <w:pPr>
              <w:jc w:val="right"/>
              <w:rPr>
                <w:rFonts w:cs="Calibri"/>
                <w:color w:val="000000" w:themeColor="text1"/>
                <w:sz w:val="13"/>
                <w:szCs w:val="13"/>
              </w:rPr>
            </w:pPr>
            <w:r w:rsidRPr="00135D91">
              <w:rPr>
                <w:rFonts w:cs="Calibri"/>
                <w:color w:val="000000" w:themeColor="text1"/>
                <w:sz w:val="13"/>
                <w:szCs w:val="13"/>
              </w:rPr>
              <w:t>(</w:t>
            </w:r>
            <w:r w:rsidR="009D6A78" w:rsidRPr="00135D91">
              <w:rPr>
                <w:rFonts w:cs="Calibri"/>
                <w:color w:val="000000" w:themeColor="text1"/>
                <w:sz w:val="13"/>
                <w:szCs w:val="13"/>
              </w:rPr>
              <w:t>27</w:t>
            </w:r>
            <w:r w:rsidRPr="00135D91">
              <w:rPr>
                <w:rFonts w:cs="Calibri"/>
                <w:color w:val="000000" w:themeColor="text1"/>
                <w:sz w:val="13"/>
                <w:szCs w:val="13"/>
              </w:rPr>
              <w:t xml:space="preserve"> </w:t>
            </w:r>
            <w:r w:rsidR="009D6A78" w:rsidRPr="00135D91">
              <w:rPr>
                <w:rFonts w:cs="Calibri"/>
                <w:color w:val="000000" w:themeColor="text1"/>
                <w:sz w:val="13"/>
                <w:szCs w:val="13"/>
              </w:rPr>
              <w:t>166</w:t>
            </w:r>
            <w:r w:rsidRPr="00135D91">
              <w:rPr>
                <w:rFonts w:cs="Calibri"/>
                <w:color w:val="000000" w:themeColor="text1"/>
                <w:sz w:val="13"/>
                <w:szCs w:val="13"/>
              </w:rPr>
              <w:t>)</w:t>
            </w:r>
          </w:p>
        </w:tc>
      </w:tr>
      <w:tr w:rsidR="008D3D71" w:rsidRPr="0068723D" w14:paraId="009267A6"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6FFD29FF" w14:textId="37700F78" w:rsidR="008D3D71" w:rsidRPr="00135D91" w:rsidRDefault="008D3D71" w:rsidP="008D3D71">
            <w:pPr>
              <w:rPr>
                <w:rFonts w:cs="Calibri"/>
                <w:color w:val="000000" w:themeColor="text1"/>
                <w:sz w:val="13"/>
                <w:szCs w:val="13"/>
              </w:rPr>
            </w:pPr>
            <w:r w:rsidRPr="00135D91">
              <w:rPr>
                <w:rFonts w:cs="Calibri"/>
                <w:color w:val="000000" w:themeColor="text1"/>
                <w:sz w:val="13"/>
                <w:szCs w:val="13"/>
              </w:rPr>
              <w:t>Koszty z tytułu utworzonych rezerw na pozostałe należności (poza kredytowymi)</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5E41164B" w14:textId="76631DAB"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(1 196)</w:t>
            </w:r>
          </w:p>
        </w:tc>
        <w:tc>
          <w:tcPr>
            <w:tcW w:w="1418" w:type="dxa"/>
            <w:tcBorders>
              <w:top w:val="nil"/>
              <w:left w:val="nil"/>
              <w:bottom w:val="single" w:sz="4" w:space="0" w:color="0070C0"/>
              <w:right w:val="nil"/>
            </w:tcBorders>
            <w:shd w:val="clear" w:color="auto" w:fill="auto"/>
            <w:vAlign w:val="center"/>
            <w:hideMark/>
          </w:tcPr>
          <w:p w14:paraId="0201226D"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(1 686)</w:t>
            </w:r>
          </w:p>
        </w:tc>
      </w:tr>
      <w:tr w:rsidR="008D3D71" w:rsidRPr="0068723D" w14:paraId="7BBAAF64"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0B9EF9B1"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Przekazane darowizny</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6CDDB01E" w14:textId="5376293F"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(6 009)</w:t>
            </w:r>
          </w:p>
        </w:tc>
        <w:tc>
          <w:tcPr>
            <w:tcW w:w="1418" w:type="dxa"/>
            <w:tcBorders>
              <w:top w:val="nil"/>
              <w:left w:val="nil"/>
              <w:bottom w:val="single" w:sz="4" w:space="0" w:color="0070C0"/>
              <w:right w:val="nil"/>
            </w:tcBorders>
            <w:shd w:val="clear" w:color="auto" w:fill="auto"/>
            <w:vAlign w:val="center"/>
            <w:hideMark/>
          </w:tcPr>
          <w:p w14:paraId="0FBA5E27"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(14 539)</w:t>
            </w:r>
          </w:p>
        </w:tc>
      </w:tr>
      <w:tr w:rsidR="008D3D71" w:rsidRPr="0068723D" w14:paraId="797F7C55"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43E79C7E"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Koszty sprzedaży usług</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76B6FB5" w14:textId="7719471A"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(602)</w:t>
            </w:r>
          </w:p>
        </w:tc>
        <w:tc>
          <w:tcPr>
            <w:tcW w:w="1418" w:type="dxa"/>
            <w:tcBorders>
              <w:top w:val="nil"/>
              <w:left w:val="nil"/>
              <w:bottom w:val="single" w:sz="4" w:space="0" w:color="0070C0"/>
              <w:right w:val="nil"/>
            </w:tcBorders>
            <w:shd w:val="clear" w:color="auto" w:fill="auto"/>
            <w:vAlign w:val="center"/>
            <w:hideMark/>
          </w:tcPr>
          <w:p w14:paraId="5FA935BD"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(391)</w:t>
            </w:r>
          </w:p>
        </w:tc>
      </w:tr>
      <w:tr w:rsidR="008D3D71" w:rsidRPr="0068723D" w14:paraId="44EC5DE5"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58D613FB"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Zapłacone odszkodowania, kary i grzywny</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7C95854" w14:textId="146E65F4"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(4 246)</w:t>
            </w:r>
          </w:p>
        </w:tc>
        <w:tc>
          <w:tcPr>
            <w:tcW w:w="1418" w:type="dxa"/>
            <w:tcBorders>
              <w:top w:val="nil"/>
              <w:left w:val="nil"/>
              <w:bottom w:val="single" w:sz="4" w:space="0" w:color="0070C0"/>
              <w:right w:val="nil"/>
            </w:tcBorders>
            <w:shd w:val="clear" w:color="auto" w:fill="auto"/>
            <w:vAlign w:val="center"/>
            <w:hideMark/>
          </w:tcPr>
          <w:p w14:paraId="724E67AD"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(2 197)</w:t>
            </w:r>
          </w:p>
        </w:tc>
      </w:tr>
      <w:tr w:rsidR="008D3D71" w:rsidRPr="0068723D" w14:paraId="45235B5F" w14:textId="77777777" w:rsidTr="0075574A">
        <w:trPr>
          <w:trHeight w:val="255"/>
        </w:trPr>
        <w:tc>
          <w:tcPr>
            <w:tcW w:w="6747" w:type="dxa"/>
            <w:tcBorders>
              <w:top w:val="nil"/>
              <w:left w:val="nil"/>
              <w:bottom w:val="single" w:sz="4" w:space="0" w:color="0070C0"/>
              <w:right w:val="single" w:sz="8" w:space="0" w:color="0070C0"/>
            </w:tcBorders>
            <w:shd w:val="clear" w:color="auto" w:fill="auto"/>
            <w:vAlign w:val="center"/>
            <w:hideMark/>
          </w:tcPr>
          <w:p w14:paraId="3ADAF262"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Koszty z tytułu spisanych należności i zobowiązań przedawnionych, umorzonych i nieściągalnych</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7C916B6B" w14:textId="6A49F93C"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(9)</w:t>
            </w:r>
          </w:p>
        </w:tc>
        <w:tc>
          <w:tcPr>
            <w:tcW w:w="1418" w:type="dxa"/>
            <w:tcBorders>
              <w:top w:val="nil"/>
              <w:left w:val="nil"/>
              <w:bottom w:val="single" w:sz="4" w:space="0" w:color="0070C0"/>
              <w:right w:val="nil"/>
            </w:tcBorders>
            <w:shd w:val="clear" w:color="auto" w:fill="auto"/>
            <w:vAlign w:val="center"/>
            <w:hideMark/>
          </w:tcPr>
          <w:p w14:paraId="71D2F58F"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(138)</w:t>
            </w:r>
          </w:p>
        </w:tc>
      </w:tr>
      <w:tr w:rsidR="008D3D71" w:rsidRPr="0068723D" w14:paraId="68BACC22" w14:textId="77777777" w:rsidTr="0075574A">
        <w:trPr>
          <w:trHeight w:val="397"/>
        </w:trPr>
        <w:tc>
          <w:tcPr>
            <w:tcW w:w="6747" w:type="dxa"/>
            <w:tcBorders>
              <w:top w:val="nil"/>
              <w:left w:val="nil"/>
              <w:bottom w:val="single" w:sz="4" w:space="0" w:color="0070C0"/>
              <w:right w:val="single" w:sz="8" w:space="0" w:color="0070C0"/>
            </w:tcBorders>
            <w:shd w:val="clear" w:color="auto" w:fill="auto"/>
            <w:vAlign w:val="center"/>
            <w:hideMark/>
          </w:tcPr>
          <w:p w14:paraId="12052BF7" w14:textId="3929370D" w:rsidR="008D3D71" w:rsidRPr="00135D91" w:rsidRDefault="008D3D71" w:rsidP="008D3D71">
            <w:pPr>
              <w:rPr>
                <w:rFonts w:cs="Calibri"/>
                <w:color w:val="000000" w:themeColor="text1"/>
                <w:sz w:val="13"/>
                <w:szCs w:val="13"/>
              </w:rPr>
            </w:pPr>
            <w:r w:rsidRPr="00135D91">
              <w:rPr>
                <w:rFonts w:cs="Calibri"/>
                <w:color w:val="000000" w:themeColor="text1"/>
                <w:sz w:val="13"/>
                <w:szCs w:val="13"/>
              </w:rPr>
              <w:t>Koszty tworzenia odpisów z tytułu utraty wartości rzeczowych aktywów trwałych oraz wartości niematerialnych</w:t>
            </w:r>
            <w:r w:rsidRPr="00135D91">
              <w:rPr>
                <w:color w:val="000000" w:themeColor="text1"/>
              </w:rPr>
              <w:t xml:space="preserve"> </w:t>
            </w:r>
            <w:r w:rsidRPr="00135D91">
              <w:rPr>
                <w:rFonts w:cs="Calibri"/>
                <w:color w:val="000000" w:themeColor="text1"/>
                <w:sz w:val="13"/>
                <w:szCs w:val="13"/>
              </w:rPr>
              <w:t xml:space="preserve">wynikające z umów leasingu finansowego oraz najmu </w:t>
            </w:r>
          </w:p>
        </w:tc>
        <w:tc>
          <w:tcPr>
            <w:tcW w:w="1418" w:type="dxa"/>
            <w:tcBorders>
              <w:top w:val="single" w:sz="4" w:space="0" w:color="0070C0"/>
              <w:left w:val="single" w:sz="8" w:space="0" w:color="0070C0"/>
              <w:bottom w:val="single" w:sz="4" w:space="0" w:color="0070C0"/>
              <w:right w:val="single" w:sz="8" w:space="0" w:color="0070C0"/>
            </w:tcBorders>
            <w:shd w:val="clear" w:color="auto" w:fill="auto"/>
            <w:vAlign w:val="center"/>
          </w:tcPr>
          <w:p w14:paraId="6B744D96" w14:textId="3B5EE7BF"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(337)</w:t>
            </w:r>
          </w:p>
        </w:tc>
        <w:tc>
          <w:tcPr>
            <w:tcW w:w="1418" w:type="dxa"/>
            <w:tcBorders>
              <w:top w:val="nil"/>
              <w:left w:val="nil"/>
              <w:bottom w:val="single" w:sz="4" w:space="0" w:color="0070C0"/>
              <w:right w:val="nil"/>
            </w:tcBorders>
            <w:shd w:val="clear" w:color="auto" w:fill="auto"/>
            <w:vAlign w:val="center"/>
            <w:hideMark/>
          </w:tcPr>
          <w:p w14:paraId="67D16FCC"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w:t>
            </w:r>
          </w:p>
        </w:tc>
      </w:tr>
      <w:tr w:rsidR="008D3D71" w:rsidRPr="0068723D" w14:paraId="72120906" w14:textId="77777777" w:rsidTr="0075574A">
        <w:trPr>
          <w:trHeight w:val="255"/>
        </w:trPr>
        <w:tc>
          <w:tcPr>
            <w:tcW w:w="6747" w:type="dxa"/>
            <w:tcBorders>
              <w:top w:val="nil"/>
              <w:left w:val="nil"/>
              <w:bottom w:val="nil"/>
              <w:right w:val="single" w:sz="8" w:space="0" w:color="0070C0"/>
            </w:tcBorders>
            <w:shd w:val="clear" w:color="auto" w:fill="auto"/>
            <w:vAlign w:val="center"/>
            <w:hideMark/>
          </w:tcPr>
          <w:p w14:paraId="61362B30"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Koszty windykacji należności</w:t>
            </w:r>
          </w:p>
        </w:tc>
        <w:tc>
          <w:tcPr>
            <w:tcW w:w="1418" w:type="dxa"/>
            <w:tcBorders>
              <w:top w:val="nil"/>
              <w:left w:val="single" w:sz="8" w:space="0" w:color="0070C0"/>
              <w:bottom w:val="nil"/>
              <w:right w:val="single" w:sz="8" w:space="0" w:color="0070C0"/>
            </w:tcBorders>
            <w:shd w:val="clear" w:color="auto" w:fill="auto"/>
            <w:vAlign w:val="center"/>
          </w:tcPr>
          <w:p w14:paraId="7623AD6C" w14:textId="42ED53E4"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(41 829)</w:t>
            </w:r>
          </w:p>
        </w:tc>
        <w:tc>
          <w:tcPr>
            <w:tcW w:w="1418" w:type="dxa"/>
            <w:tcBorders>
              <w:top w:val="nil"/>
              <w:left w:val="nil"/>
              <w:bottom w:val="nil"/>
              <w:right w:val="nil"/>
            </w:tcBorders>
            <w:shd w:val="clear" w:color="auto" w:fill="auto"/>
            <w:vAlign w:val="center"/>
            <w:hideMark/>
          </w:tcPr>
          <w:p w14:paraId="51C0F208"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(36 941)</w:t>
            </w:r>
          </w:p>
        </w:tc>
      </w:tr>
      <w:tr w:rsidR="008D3D71" w:rsidRPr="0068723D" w14:paraId="487FB373" w14:textId="77777777" w:rsidTr="0075574A">
        <w:trPr>
          <w:trHeight w:val="255"/>
        </w:trPr>
        <w:tc>
          <w:tcPr>
            <w:tcW w:w="6747" w:type="dxa"/>
            <w:tcBorders>
              <w:top w:val="single" w:sz="4" w:space="0" w:color="0070C0"/>
              <w:left w:val="nil"/>
              <w:bottom w:val="single" w:sz="8" w:space="0" w:color="0070C0"/>
              <w:right w:val="single" w:sz="8" w:space="0" w:color="0070C0"/>
            </w:tcBorders>
            <w:shd w:val="clear" w:color="auto" w:fill="auto"/>
            <w:vAlign w:val="center"/>
            <w:hideMark/>
          </w:tcPr>
          <w:p w14:paraId="38F12F81" w14:textId="77777777" w:rsidR="008D3D71" w:rsidRPr="00135D91" w:rsidRDefault="008D3D71" w:rsidP="008D3D71">
            <w:pPr>
              <w:rPr>
                <w:rFonts w:cs="Calibri"/>
                <w:color w:val="000000" w:themeColor="text1"/>
                <w:sz w:val="13"/>
                <w:szCs w:val="13"/>
              </w:rPr>
            </w:pPr>
            <w:r w:rsidRPr="00135D91">
              <w:rPr>
                <w:rFonts w:cs="Calibri"/>
                <w:color w:val="000000" w:themeColor="text1"/>
                <w:sz w:val="13"/>
                <w:szCs w:val="13"/>
              </w:rPr>
              <w:t>Pozostałe koszty operacyjne</w:t>
            </w:r>
          </w:p>
        </w:tc>
        <w:tc>
          <w:tcPr>
            <w:tcW w:w="1418" w:type="dxa"/>
            <w:tcBorders>
              <w:top w:val="single" w:sz="4" w:space="0" w:color="0070C0"/>
              <w:left w:val="single" w:sz="8" w:space="0" w:color="0070C0"/>
              <w:bottom w:val="single" w:sz="8" w:space="0" w:color="0070C0"/>
              <w:right w:val="single" w:sz="8" w:space="0" w:color="0070C0"/>
            </w:tcBorders>
            <w:shd w:val="clear" w:color="auto" w:fill="auto"/>
            <w:vAlign w:val="center"/>
          </w:tcPr>
          <w:p w14:paraId="17B83950" w14:textId="25B832F0"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(85 886)</w:t>
            </w:r>
          </w:p>
        </w:tc>
        <w:tc>
          <w:tcPr>
            <w:tcW w:w="1418" w:type="dxa"/>
            <w:tcBorders>
              <w:top w:val="single" w:sz="4" w:space="0" w:color="0070C0"/>
              <w:left w:val="nil"/>
              <w:bottom w:val="single" w:sz="8" w:space="0" w:color="0070C0"/>
              <w:right w:val="nil"/>
            </w:tcBorders>
            <w:shd w:val="clear" w:color="auto" w:fill="auto"/>
            <w:vAlign w:val="center"/>
            <w:hideMark/>
          </w:tcPr>
          <w:p w14:paraId="117B768D" w14:textId="77777777" w:rsidR="008D3D71" w:rsidRPr="00135D91" w:rsidRDefault="008D3D71" w:rsidP="008D3D71">
            <w:pPr>
              <w:jc w:val="right"/>
              <w:rPr>
                <w:rFonts w:cs="Calibri"/>
                <w:color w:val="000000" w:themeColor="text1"/>
                <w:sz w:val="13"/>
                <w:szCs w:val="13"/>
              </w:rPr>
            </w:pPr>
            <w:r w:rsidRPr="00135D91">
              <w:rPr>
                <w:rFonts w:cs="Calibri"/>
                <w:color w:val="000000" w:themeColor="text1"/>
                <w:sz w:val="13"/>
                <w:szCs w:val="13"/>
              </w:rPr>
              <w:t>(44 423)</w:t>
            </w:r>
          </w:p>
        </w:tc>
      </w:tr>
      <w:tr w:rsidR="008D3D71" w:rsidRPr="0068723D" w14:paraId="6BA3A186" w14:textId="77777777" w:rsidTr="0075574A">
        <w:trPr>
          <w:trHeight w:val="255"/>
        </w:trPr>
        <w:tc>
          <w:tcPr>
            <w:tcW w:w="6747" w:type="dxa"/>
            <w:tcBorders>
              <w:top w:val="nil"/>
              <w:left w:val="nil"/>
              <w:bottom w:val="single" w:sz="8" w:space="0" w:color="0070C0"/>
              <w:right w:val="single" w:sz="8" w:space="0" w:color="0070C0"/>
            </w:tcBorders>
            <w:shd w:val="clear" w:color="auto" w:fill="auto"/>
            <w:vAlign w:val="center"/>
            <w:hideMark/>
          </w:tcPr>
          <w:p w14:paraId="66140D67" w14:textId="77777777" w:rsidR="008D3D71" w:rsidRPr="00135D91" w:rsidRDefault="008D3D71" w:rsidP="008D3D71">
            <w:pPr>
              <w:rPr>
                <w:rFonts w:cs="Calibri"/>
                <w:b/>
                <w:bCs/>
                <w:color w:val="000000" w:themeColor="text1"/>
                <w:sz w:val="13"/>
                <w:szCs w:val="13"/>
              </w:rPr>
            </w:pPr>
            <w:r w:rsidRPr="00135D91">
              <w:rPr>
                <w:rFonts w:cs="Calibri"/>
                <w:b/>
                <w:bCs/>
                <w:color w:val="000000" w:themeColor="text1"/>
                <w:sz w:val="13"/>
                <w:szCs w:val="13"/>
              </w:rPr>
              <w:t>Pozostałe koszty operacyjne, razem</w:t>
            </w:r>
          </w:p>
        </w:tc>
        <w:tc>
          <w:tcPr>
            <w:tcW w:w="1418" w:type="dxa"/>
            <w:tcBorders>
              <w:top w:val="nil"/>
              <w:left w:val="single" w:sz="8" w:space="0" w:color="0070C0"/>
              <w:bottom w:val="single" w:sz="8" w:space="0" w:color="0070C0"/>
              <w:right w:val="single" w:sz="8" w:space="0" w:color="0070C0"/>
            </w:tcBorders>
            <w:shd w:val="clear" w:color="auto" w:fill="auto"/>
            <w:noWrap/>
            <w:vAlign w:val="center"/>
          </w:tcPr>
          <w:p w14:paraId="2A532553" w14:textId="5DCA12DC" w:rsidR="008D3D71" w:rsidRPr="00135D91" w:rsidRDefault="002E4E0F" w:rsidP="002E4E0F">
            <w:pPr>
              <w:jc w:val="right"/>
              <w:rPr>
                <w:rFonts w:cs="Calibri"/>
                <w:b/>
                <w:bCs/>
                <w:color w:val="000000" w:themeColor="text1"/>
                <w:sz w:val="13"/>
                <w:szCs w:val="13"/>
              </w:rPr>
            </w:pPr>
            <w:r w:rsidRPr="00135D91">
              <w:rPr>
                <w:rFonts w:cs="Calibri"/>
                <w:b/>
                <w:bCs/>
                <w:color w:val="000000" w:themeColor="text1"/>
                <w:sz w:val="13"/>
                <w:szCs w:val="13"/>
              </w:rPr>
              <w:t>(307</w:t>
            </w:r>
            <w:r w:rsidR="008D3D71" w:rsidRPr="00135D91">
              <w:rPr>
                <w:rFonts w:cs="Calibri"/>
                <w:b/>
                <w:bCs/>
                <w:color w:val="000000" w:themeColor="text1"/>
                <w:sz w:val="13"/>
                <w:szCs w:val="13"/>
              </w:rPr>
              <w:t xml:space="preserve"> </w:t>
            </w:r>
            <w:r w:rsidRPr="00135D91">
              <w:rPr>
                <w:rFonts w:cs="Calibri"/>
                <w:b/>
                <w:bCs/>
                <w:color w:val="000000" w:themeColor="text1"/>
                <w:sz w:val="13"/>
                <w:szCs w:val="13"/>
              </w:rPr>
              <w:t>722</w:t>
            </w:r>
            <w:r w:rsidR="008D3D71" w:rsidRPr="00135D91">
              <w:rPr>
                <w:rFonts w:cs="Calibri"/>
                <w:b/>
                <w:bCs/>
                <w:color w:val="000000" w:themeColor="text1"/>
                <w:sz w:val="13"/>
                <w:szCs w:val="13"/>
              </w:rPr>
              <w:t>)</w:t>
            </w:r>
          </w:p>
        </w:tc>
        <w:tc>
          <w:tcPr>
            <w:tcW w:w="1418" w:type="dxa"/>
            <w:tcBorders>
              <w:top w:val="nil"/>
              <w:left w:val="nil"/>
              <w:bottom w:val="single" w:sz="8" w:space="0" w:color="0070C0"/>
              <w:right w:val="nil"/>
            </w:tcBorders>
            <w:shd w:val="clear" w:color="auto" w:fill="auto"/>
            <w:noWrap/>
            <w:vAlign w:val="center"/>
            <w:hideMark/>
          </w:tcPr>
          <w:p w14:paraId="52CBB320" w14:textId="09BD7228" w:rsidR="008D3D71" w:rsidRPr="00135D91" w:rsidRDefault="008D3D71" w:rsidP="002E4E0F">
            <w:pPr>
              <w:jc w:val="right"/>
              <w:rPr>
                <w:rFonts w:cs="Calibri"/>
                <w:b/>
                <w:bCs/>
                <w:color w:val="000000" w:themeColor="text1"/>
                <w:sz w:val="13"/>
                <w:szCs w:val="13"/>
              </w:rPr>
            </w:pPr>
            <w:r w:rsidRPr="00135D91">
              <w:rPr>
                <w:rFonts w:cs="Calibri"/>
                <w:b/>
                <w:bCs/>
                <w:color w:val="000000" w:themeColor="text1"/>
                <w:sz w:val="13"/>
                <w:szCs w:val="13"/>
              </w:rPr>
              <w:t>(</w:t>
            </w:r>
            <w:r w:rsidR="002E4E0F" w:rsidRPr="00135D91">
              <w:rPr>
                <w:rFonts w:cs="Calibri"/>
                <w:b/>
                <w:bCs/>
                <w:color w:val="000000" w:themeColor="text1"/>
                <w:sz w:val="13"/>
                <w:szCs w:val="13"/>
              </w:rPr>
              <w:t>169</w:t>
            </w:r>
            <w:r w:rsidRPr="00135D91">
              <w:rPr>
                <w:rFonts w:cs="Calibri"/>
                <w:b/>
                <w:bCs/>
                <w:color w:val="000000" w:themeColor="text1"/>
                <w:sz w:val="13"/>
                <w:szCs w:val="13"/>
              </w:rPr>
              <w:t xml:space="preserve"> </w:t>
            </w:r>
            <w:r w:rsidR="002E4E0F" w:rsidRPr="00135D91">
              <w:rPr>
                <w:rFonts w:cs="Calibri"/>
                <w:b/>
                <w:bCs/>
                <w:color w:val="000000" w:themeColor="text1"/>
                <w:sz w:val="13"/>
                <w:szCs w:val="13"/>
              </w:rPr>
              <w:t>978</w:t>
            </w:r>
            <w:r w:rsidRPr="00135D91">
              <w:rPr>
                <w:rFonts w:cs="Calibri"/>
                <w:b/>
                <w:bCs/>
                <w:color w:val="000000" w:themeColor="text1"/>
                <w:sz w:val="13"/>
                <w:szCs w:val="13"/>
              </w:rPr>
              <w:t>)</w:t>
            </w:r>
          </w:p>
        </w:tc>
      </w:tr>
    </w:tbl>
    <w:p w14:paraId="05A25844" w14:textId="0B2C24DB" w:rsidR="00967872" w:rsidRPr="0068723D" w:rsidRDefault="00967872" w:rsidP="00967872">
      <w:pPr>
        <w:spacing w:before="120"/>
        <w:jc w:val="both"/>
        <w:rPr>
          <w:rFonts w:cs="Tahoma"/>
          <w:color w:val="000000" w:themeColor="text1"/>
          <w:sz w:val="18"/>
          <w:szCs w:val="18"/>
          <w:lang w:eastAsia="en-GB"/>
        </w:rPr>
      </w:pPr>
      <w:r w:rsidRPr="00FD36AC">
        <w:rPr>
          <w:rFonts w:cs="Tahoma"/>
          <w:color w:val="000000" w:themeColor="text1"/>
          <w:sz w:val="18"/>
          <w:szCs w:val="18"/>
          <w:lang w:eastAsia="en-GB"/>
        </w:rPr>
        <w:t>W pozycji „Odpisy z tytułu rezerw na przyszłe zobowiązania”</w:t>
      </w:r>
      <w:r w:rsidRPr="00FD36AC">
        <w:rPr>
          <w:color w:val="000000" w:themeColor="text1"/>
          <w:sz w:val="18"/>
          <w:szCs w:val="18"/>
        </w:rPr>
        <w:t xml:space="preserve"> </w:t>
      </w:r>
      <w:r w:rsidRPr="00FD36AC">
        <w:rPr>
          <w:rFonts w:cs="Tahoma"/>
          <w:color w:val="000000" w:themeColor="text1"/>
          <w:sz w:val="18"/>
          <w:szCs w:val="18"/>
          <w:lang w:eastAsia="en-GB"/>
        </w:rPr>
        <w:t>w 2019 roku Grupa ujęła rezerwy na koszty potencjalnych</w:t>
      </w:r>
      <w:r w:rsidR="00FD0F49">
        <w:rPr>
          <w:rFonts w:cs="Tahoma"/>
          <w:color w:val="000000" w:themeColor="text1"/>
          <w:sz w:val="18"/>
          <w:szCs w:val="18"/>
          <w:lang w:eastAsia="en-GB"/>
        </w:rPr>
        <w:t xml:space="preserve"> zwrotów prowizji w wysokości 25</w:t>
      </w:r>
      <w:r w:rsidRPr="00FD36AC">
        <w:rPr>
          <w:rFonts w:cs="Tahoma"/>
          <w:color w:val="000000" w:themeColor="text1"/>
          <w:sz w:val="18"/>
          <w:szCs w:val="18"/>
          <w:lang w:eastAsia="en-GB"/>
        </w:rPr>
        <w:t> </w:t>
      </w:r>
      <w:r w:rsidR="00FD0F49">
        <w:rPr>
          <w:rFonts w:cs="Tahoma"/>
          <w:color w:val="000000" w:themeColor="text1"/>
          <w:sz w:val="18"/>
          <w:szCs w:val="18"/>
          <w:lang w:eastAsia="en-GB"/>
        </w:rPr>
        <w:t>048</w:t>
      </w:r>
      <w:r w:rsidRPr="00FD36AC">
        <w:rPr>
          <w:rFonts w:cs="Tahoma"/>
          <w:color w:val="000000" w:themeColor="text1"/>
          <w:sz w:val="18"/>
          <w:szCs w:val="18"/>
          <w:lang w:eastAsia="en-GB"/>
        </w:rPr>
        <w:t xml:space="preserve"> tys. zł w związku z przedterminowymi spłatami kredytów detalicznych. Kwestia została szerzej opisana w Nocie 4 „Ważniejsze oszacowania i oceny dokonane w związku z zastosowaniem zasad rachunkowości”.</w:t>
      </w:r>
    </w:p>
    <w:p w14:paraId="5EECBDFA" w14:textId="4A76AF49" w:rsidR="00A04B99" w:rsidRPr="0068723D" w:rsidRDefault="00A04B99" w:rsidP="00A04B99">
      <w:pPr>
        <w:spacing w:before="80"/>
        <w:jc w:val="both"/>
        <w:rPr>
          <w:color w:val="000000" w:themeColor="text1"/>
          <w:sz w:val="18"/>
          <w:szCs w:val="18"/>
        </w:rPr>
      </w:pPr>
      <w:r w:rsidRPr="0068723D">
        <w:rPr>
          <w:color w:val="000000" w:themeColor="text1"/>
          <w:sz w:val="18"/>
          <w:szCs w:val="18"/>
        </w:rPr>
        <w:t xml:space="preserve">W 2019 roku pozycja „Pozostałe koszty operacyjne” obejmuje koszty w kwocie </w:t>
      </w:r>
      <w:r w:rsidR="0071192F" w:rsidRPr="0068723D">
        <w:rPr>
          <w:color w:val="000000" w:themeColor="text1"/>
          <w:sz w:val="18"/>
          <w:szCs w:val="18"/>
        </w:rPr>
        <w:t>26</w:t>
      </w:r>
      <w:r w:rsidRPr="0068723D">
        <w:rPr>
          <w:color w:val="000000" w:themeColor="text1"/>
          <w:sz w:val="18"/>
          <w:szCs w:val="18"/>
        </w:rPr>
        <w:t> </w:t>
      </w:r>
      <w:r w:rsidR="0071192F" w:rsidRPr="0068723D">
        <w:rPr>
          <w:color w:val="000000" w:themeColor="text1"/>
          <w:sz w:val="18"/>
          <w:szCs w:val="18"/>
        </w:rPr>
        <w:t>283</w:t>
      </w:r>
      <w:r w:rsidRPr="0068723D">
        <w:rPr>
          <w:color w:val="000000" w:themeColor="text1"/>
          <w:sz w:val="18"/>
          <w:szCs w:val="18"/>
        </w:rPr>
        <w:t xml:space="preserve"> tys. zł, ujęte w rezultacie decyzji Banku o wyborze alternatywnej metody opodatkowania podatkiem dochodowym odsetek wypłacanych przez Bank w związku z obligacjami wyemitowanymi przed 1 stycznia 2019 roku na</w:t>
      </w:r>
      <w:r w:rsidR="00C77EEC">
        <w:rPr>
          <w:color w:val="000000" w:themeColor="text1"/>
          <w:sz w:val="18"/>
          <w:szCs w:val="18"/>
        </w:rPr>
        <w:t> </w:t>
      </w:r>
      <w:r w:rsidRPr="0068723D">
        <w:rPr>
          <w:color w:val="000000" w:themeColor="text1"/>
          <w:sz w:val="18"/>
          <w:szCs w:val="18"/>
        </w:rPr>
        <w:t>zagranicznych rynkach publicznych w ramach programu EMTN.</w:t>
      </w:r>
    </w:p>
    <w:p w14:paraId="1FE29B50" w14:textId="1E0D1CB7" w:rsidR="001A5205" w:rsidRPr="0068723D" w:rsidRDefault="00A04B99" w:rsidP="005263CD">
      <w:pPr>
        <w:spacing w:before="120"/>
        <w:jc w:val="both"/>
        <w:rPr>
          <w:color w:val="000000" w:themeColor="text1"/>
          <w:sz w:val="18"/>
          <w:szCs w:val="18"/>
        </w:rPr>
      </w:pPr>
      <w:r w:rsidRPr="0068723D">
        <w:rPr>
          <w:color w:val="000000" w:themeColor="text1"/>
          <w:sz w:val="18"/>
          <w:szCs w:val="18"/>
        </w:rPr>
        <w:t>K</w:t>
      </w:r>
      <w:r w:rsidR="00894AFB" w:rsidRPr="0068723D">
        <w:rPr>
          <w:color w:val="000000" w:themeColor="text1"/>
          <w:sz w:val="18"/>
          <w:szCs w:val="18"/>
        </w:rPr>
        <w:t xml:space="preserve">oszty z tytułu sprzedaży lub likwidacji środków trwałych, wartości niematerialnych, aktywów do zbycia </w:t>
      </w:r>
      <w:r w:rsidR="00894AFB" w:rsidRPr="00742E2D">
        <w:rPr>
          <w:color w:val="000000" w:themeColor="text1"/>
          <w:sz w:val="18"/>
          <w:szCs w:val="18"/>
        </w:rPr>
        <w:t xml:space="preserve">oraz zapasów obejmują głównie </w:t>
      </w:r>
      <w:r w:rsidRPr="00742E2D">
        <w:rPr>
          <w:color w:val="000000" w:themeColor="text1"/>
          <w:sz w:val="18"/>
          <w:szCs w:val="18"/>
        </w:rPr>
        <w:t xml:space="preserve">koszty </w:t>
      </w:r>
      <w:r w:rsidR="001940F0" w:rsidRPr="00742E2D">
        <w:rPr>
          <w:color w:val="000000" w:themeColor="text1"/>
          <w:sz w:val="18"/>
          <w:szCs w:val="18"/>
        </w:rPr>
        <w:t>spółki mLeasing Sp. z o.o. z tytułu sprzedaży przedmiotów leasingu</w:t>
      </w:r>
      <w:r w:rsidR="001940F0">
        <w:rPr>
          <w:color w:val="000000" w:themeColor="text1"/>
          <w:sz w:val="18"/>
          <w:szCs w:val="18"/>
        </w:rPr>
        <w:t xml:space="preserve"> oraz </w:t>
      </w:r>
      <w:r w:rsidRPr="0068723D">
        <w:rPr>
          <w:color w:val="000000" w:themeColor="text1"/>
          <w:sz w:val="18"/>
          <w:szCs w:val="18"/>
        </w:rPr>
        <w:t>spółki</w:t>
      </w:r>
      <w:r w:rsidRPr="0068723D">
        <w:rPr>
          <w:rFonts w:cs="Tahoma"/>
          <w:color w:val="000000" w:themeColor="text1"/>
          <w:sz w:val="18"/>
          <w:szCs w:val="18"/>
        </w:rPr>
        <w:t xml:space="preserve"> BDH Development Sp. z o.o. uzyskane z działalności deweloperskiej.</w:t>
      </w:r>
    </w:p>
    <w:p w14:paraId="19742D36" w14:textId="3DF8AB96" w:rsidR="001A5205" w:rsidRDefault="001A5205" w:rsidP="00894AFB">
      <w:pPr>
        <w:spacing w:before="120"/>
        <w:jc w:val="both"/>
        <w:rPr>
          <w:color w:val="000000" w:themeColor="text1"/>
          <w:sz w:val="18"/>
          <w:szCs w:val="18"/>
        </w:rPr>
      </w:pPr>
      <w:r w:rsidRPr="0068723D">
        <w:rPr>
          <w:color w:val="000000" w:themeColor="text1"/>
          <w:sz w:val="18"/>
          <w:szCs w:val="18"/>
        </w:rPr>
        <w:t>Koszty sprzedaży usług dotyczą usług niebankowych.</w:t>
      </w:r>
    </w:p>
    <w:p w14:paraId="07DB7429" w14:textId="77777777" w:rsidR="004F532A" w:rsidRPr="0068723D" w:rsidRDefault="004F532A" w:rsidP="004F532A">
      <w:pPr>
        <w:jc w:val="both"/>
        <w:rPr>
          <w:color w:val="000000" w:themeColor="text1"/>
          <w:sz w:val="18"/>
          <w:szCs w:val="18"/>
        </w:rPr>
      </w:pPr>
    </w:p>
    <w:p w14:paraId="7382B9EF" w14:textId="77777777" w:rsidR="00F43B20" w:rsidRPr="00F43B20" w:rsidRDefault="00F43B20" w:rsidP="004F532A">
      <w:pPr>
        <w:pStyle w:val="Nagwek2"/>
        <w:numPr>
          <w:ilvl w:val="0"/>
          <w:numId w:val="44"/>
        </w:numPr>
        <w:suppressAutoHyphens/>
        <w:spacing w:before="0" w:after="120"/>
        <w:ind w:left="425" w:hanging="425"/>
        <w:jc w:val="both"/>
        <w:rPr>
          <w:rFonts w:cs="Tahoma"/>
          <w:bCs w:val="0"/>
          <w:iCs w:val="0"/>
          <w:color w:val="E41E0A"/>
          <w:sz w:val="18"/>
          <w:szCs w:val="18"/>
        </w:rPr>
      </w:pPr>
      <w:bookmarkStart w:id="133" w:name="_Toc32999846"/>
      <w:r w:rsidRPr="00F43B20">
        <w:rPr>
          <w:rFonts w:cs="Tahoma"/>
          <w:bCs w:val="0"/>
          <w:iCs w:val="0"/>
          <w:color w:val="E41E0A"/>
          <w:sz w:val="18"/>
          <w:szCs w:val="18"/>
        </w:rPr>
        <w:t>Utrata wartości lub odwrócenie utraty wartości z tytułu aktywów finansowych niewycenianych w wartości godziwej przez wynik finansowy</w:t>
      </w:r>
      <w:bookmarkEnd w:id="133"/>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A04B99" w14:paraId="420F46C1" w14:textId="77777777" w:rsidTr="007462B7">
        <w:trPr>
          <w:trHeight w:val="284"/>
        </w:trPr>
        <w:tc>
          <w:tcPr>
            <w:tcW w:w="6747" w:type="dxa"/>
            <w:vMerge w:val="restart"/>
            <w:tcBorders>
              <w:top w:val="nil"/>
              <w:left w:val="nil"/>
              <w:right w:val="single" w:sz="8" w:space="0" w:color="FFFFFF"/>
            </w:tcBorders>
            <w:shd w:val="clear" w:color="000000" w:fill="0077BD"/>
            <w:vAlign w:val="center"/>
          </w:tcPr>
          <w:p w14:paraId="3F84CB45" w14:textId="461EE444" w:rsidR="009870A7" w:rsidRPr="00A04B99" w:rsidRDefault="009870A7" w:rsidP="00A04B99">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6476F12D"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Rok kończący się 31 grudnia</w:t>
            </w:r>
          </w:p>
        </w:tc>
      </w:tr>
      <w:tr w:rsidR="009870A7" w:rsidRPr="00A04B99" w14:paraId="7E20E031" w14:textId="77777777" w:rsidTr="007462B7">
        <w:trPr>
          <w:trHeight w:val="284"/>
        </w:trPr>
        <w:tc>
          <w:tcPr>
            <w:tcW w:w="6747" w:type="dxa"/>
            <w:vMerge/>
            <w:tcBorders>
              <w:left w:val="nil"/>
              <w:right w:val="single" w:sz="8" w:space="0" w:color="FFFFFF"/>
            </w:tcBorders>
            <w:shd w:val="clear" w:color="000000" w:fill="0077BD"/>
            <w:vAlign w:val="center"/>
            <w:hideMark/>
          </w:tcPr>
          <w:p w14:paraId="5F1A3A2B" w14:textId="3EA9E180" w:rsidR="009870A7" w:rsidRPr="00A04B99" w:rsidRDefault="009870A7" w:rsidP="00A04B99">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0C367E95"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1A2D061" w14:textId="77777777" w:rsidR="009870A7" w:rsidRPr="00A04B99" w:rsidRDefault="009870A7" w:rsidP="00A04B99">
            <w:pPr>
              <w:jc w:val="right"/>
              <w:rPr>
                <w:rFonts w:cs="Calibri"/>
                <w:b/>
                <w:bCs/>
                <w:color w:val="FFFFFF"/>
                <w:sz w:val="13"/>
                <w:szCs w:val="13"/>
              </w:rPr>
            </w:pPr>
            <w:r w:rsidRPr="00A04B99">
              <w:rPr>
                <w:rFonts w:cs="Calibri"/>
                <w:b/>
                <w:bCs/>
                <w:color w:val="FFFFFF"/>
                <w:sz w:val="13"/>
                <w:szCs w:val="13"/>
              </w:rPr>
              <w:t>2018</w:t>
            </w:r>
          </w:p>
        </w:tc>
      </w:tr>
      <w:tr w:rsidR="00454B96" w:rsidRPr="0068723D" w14:paraId="7DC0A0D1" w14:textId="77777777" w:rsidTr="004F532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4E45B887" w14:textId="77777777" w:rsidR="00A04B99" w:rsidRPr="00135D91" w:rsidRDefault="00A04B99" w:rsidP="00A04B99">
            <w:pPr>
              <w:rPr>
                <w:rFonts w:cs="Calibri"/>
                <w:b/>
                <w:bCs/>
                <w:color w:val="000000" w:themeColor="text1"/>
                <w:sz w:val="13"/>
                <w:szCs w:val="13"/>
              </w:rPr>
            </w:pPr>
            <w:r w:rsidRPr="00135D91">
              <w:rPr>
                <w:rFonts w:cs="Calibri"/>
                <w:b/>
                <w:bCs/>
                <w:color w:val="000000" w:themeColor="text1"/>
                <w:sz w:val="13"/>
                <w:szCs w:val="13"/>
              </w:rPr>
              <w:t>Aktywa finansowe wyceniane w zamortyzowanym koszcie, w tym:</w:t>
            </w:r>
          </w:p>
        </w:tc>
        <w:tc>
          <w:tcPr>
            <w:tcW w:w="1418" w:type="dxa"/>
            <w:tcBorders>
              <w:top w:val="nil"/>
              <w:left w:val="nil"/>
              <w:bottom w:val="single" w:sz="8" w:space="0" w:color="0077BD"/>
              <w:right w:val="nil"/>
            </w:tcBorders>
            <w:shd w:val="clear" w:color="auto" w:fill="auto"/>
            <w:vAlign w:val="center"/>
          </w:tcPr>
          <w:p w14:paraId="63C4EF47" w14:textId="15A01824" w:rsidR="00A04B99" w:rsidRPr="00135D91" w:rsidRDefault="007C5C75" w:rsidP="00A04B99">
            <w:pPr>
              <w:jc w:val="right"/>
              <w:rPr>
                <w:rFonts w:cs="Calibri"/>
                <w:b/>
                <w:bCs/>
                <w:color w:val="000000" w:themeColor="text1"/>
                <w:sz w:val="13"/>
                <w:szCs w:val="13"/>
              </w:rPr>
            </w:pPr>
            <w:r w:rsidRPr="00135D91">
              <w:rPr>
                <w:rFonts w:cs="Calibri"/>
                <w:b/>
                <w:bCs/>
                <w:color w:val="000000" w:themeColor="text1"/>
                <w:sz w:val="13"/>
                <w:szCs w:val="13"/>
              </w:rPr>
              <w:t>(670 273)</w:t>
            </w:r>
          </w:p>
        </w:tc>
        <w:tc>
          <w:tcPr>
            <w:tcW w:w="1418" w:type="dxa"/>
            <w:tcBorders>
              <w:top w:val="nil"/>
              <w:left w:val="single" w:sz="8" w:space="0" w:color="0077BD"/>
              <w:bottom w:val="single" w:sz="8" w:space="0" w:color="0077BD"/>
              <w:right w:val="nil"/>
            </w:tcBorders>
            <w:shd w:val="clear" w:color="auto" w:fill="auto"/>
            <w:vAlign w:val="center"/>
            <w:hideMark/>
          </w:tcPr>
          <w:p w14:paraId="151C67A3" w14:textId="77777777" w:rsidR="00A04B99" w:rsidRPr="00135D91" w:rsidRDefault="00A04B99" w:rsidP="00A04B99">
            <w:pPr>
              <w:jc w:val="right"/>
              <w:rPr>
                <w:rFonts w:cs="Calibri"/>
                <w:b/>
                <w:bCs/>
                <w:color w:val="000000" w:themeColor="text1"/>
                <w:sz w:val="13"/>
                <w:szCs w:val="13"/>
              </w:rPr>
            </w:pPr>
            <w:r w:rsidRPr="00135D91">
              <w:rPr>
                <w:rFonts w:cs="Calibri"/>
                <w:b/>
                <w:bCs/>
                <w:color w:val="000000" w:themeColor="text1"/>
                <w:sz w:val="13"/>
                <w:szCs w:val="13"/>
              </w:rPr>
              <w:t>(537 931)</w:t>
            </w:r>
          </w:p>
        </w:tc>
      </w:tr>
      <w:tr w:rsidR="00454B96" w:rsidRPr="0068723D" w14:paraId="7687CF41" w14:textId="77777777" w:rsidTr="004F532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61E67280" w14:textId="77777777" w:rsidR="00A04B99" w:rsidRPr="00135D91" w:rsidRDefault="00A04B99" w:rsidP="00A04B99">
            <w:pPr>
              <w:ind w:firstLineChars="100" w:firstLine="130"/>
              <w:rPr>
                <w:rFonts w:cs="Calibri"/>
                <w:color w:val="000000" w:themeColor="text1"/>
                <w:sz w:val="13"/>
                <w:szCs w:val="13"/>
              </w:rPr>
            </w:pPr>
            <w:r w:rsidRPr="00135D91">
              <w:rPr>
                <w:rFonts w:cs="Calibri"/>
                <w:color w:val="000000" w:themeColor="text1"/>
                <w:sz w:val="13"/>
                <w:szCs w:val="13"/>
              </w:rPr>
              <w:t>- Dłużne papiery wartościowe</w:t>
            </w:r>
          </w:p>
        </w:tc>
        <w:tc>
          <w:tcPr>
            <w:tcW w:w="1418" w:type="dxa"/>
            <w:tcBorders>
              <w:top w:val="nil"/>
              <w:left w:val="nil"/>
              <w:bottom w:val="single" w:sz="8" w:space="0" w:color="0077BD"/>
              <w:right w:val="nil"/>
            </w:tcBorders>
            <w:shd w:val="clear" w:color="auto" w:fill="auto"/>
            <w:vAlign w:val="center"/>
          </w:tcPr>
          <w:p w14:paraId="60C38D03" w14:textId="7F5E187C" w:rsidR="00A04B99" w:rsidRPr="00135D91" w:rsidRDefault="008B076A" w:rsidP="00A04B99">
            <w:pPr>
              <w:jc w:val="right"/>
              <w:rPr>
                <w:rFonts w:cs="Calibri"/>
                <w:color w:val="000000" w:themeColor="text1"/>
                <w:sz w:val="13"/>
                <w:szCs w:val="13"/>
              </w:rPr>
            </w:pPr>
            <w:r w:rsidRPr="00135D91">
              <w:rPr>
                <w:rFonts w:cs="Calibri"/>
                <w:color w:val="000000" w:themeColor="text1"/>
                <w:sz w:val="13"/>
                <w:szCs w:val="13"/>
              </w:rPr>
              <w:t>8</w:t>
            </w:r>
          </w:p>
        </w:tc>
        <w:tc>
          <w:tcPr>
            <w:tcW w:w="1418" w:type="dxa"/>
            <w:tcBorders>
              <w:top w:val="nil"/>
              <w:left w:val="single" w:sz="8" w:space="0" w:color="0077BD"/>
              <w:bottom w:val="single" w:sz="8" w:space="0" w:color="0077BD"/>
              <w:right w:val="nil"/>
            </w:tcBorders>
            <w:shd w:val="clear" w:color="auto" w:fill="auto"/>
            <w:vAlign w:val="center"/>
            <w:hideMark/>
          </w:tcPr>
          <w:p w14:paraId="4905973D" w14:textId="77777777" w:rsidR="00A04B99" w:rsidRPr="00135D91" w:rsidRDefault="00A04B99" w:rsidP="00A04B99">
            <w:pPr>
              <w:jc w:val="right"/>
              <w:rPr>
                <w:rFonts w:cs="Calibri"/>
                <w:color w:val="000000" w:themeColor="text1"/>
                <w:sz w:val="13"/>
                <w:szCs w:val="13"/>
              </w:rPr>
            </w:pPr>
            <w:r w:rsidRPr="00135D91">
              <w:rPr>
                <w:rFonts w:cs="Calibri"/>
                <w:color w:val="000000" w:themeColor="text1"/>
                <w:sz w:val="13"/>
                <w:szCs w:val="13"/>
              </w:rPr>
              <w:t>(52)</w:t>
            </w:r>
          </w:p>
        </w:tc>
      </w:tr>
      <w:tr w:rsidR="00454B96" w:rsidRPr="0068723D" w14:paraId="4FDE19BA"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326F77C" w14:textId="77777777" w:rsidR="00A04B99" w:rsidRPr="00135D91" w:rsidRDefault="00A04B99" w:rsidP="00A04B99">
            <w:pPr>
              <w:ind w:firstLineChars="200" w:firstLine="260"/>
              <w:rPr>
                <w:rFonts w:cs="Calibri"/>
                <w:i/>
                <w:iCs/>
                <w:color w:val="000000" w:themeColor="text1"/>
                <w:sz w:val="13"/>
                <w:szCs w:val="13"/>
              </w:rPr>
            </w:pPr>
            <w:r w:rsidRPr="00135D91">
              <w:rPr>
                <w:rFonts w:cs="Calibri"/>
                <w:i/>
                <w:iCs/>
                <w:color w:val="000000" w:themeColor="text1"/>
                <w:sz w:val="13"/>
                <w:szCs w:val="13"/>
              </w:rPr>
              <w:t>Koszyk 1</w:t>
            </w:r>
          </w:p>
        </w:tc>
        <w:tc>
          <w:tcPr>
            <w:tcW w:w="1418" w:type="dxa"/>
            <w:tcBorders>
              <w:top w:val="nil"/>
              <w:left w:val="nil"/>
              <w:bottom w:val="single" w:sz="4" w:space="0" w:color="0077BD"/>
              <w:right w:val="nil"/>
            </w:tcBorders>
            <w:shd w:val="clear" w:color="auto" w:fill="auto"/>
            <w:vAlign w:val="center"/>
          </w:tcPr>
          <w:p w14:paraId="18F12817" w14:textId="3FD66F00" w:rsidR="00A04B99" w:rsidRPr="00135D91" w:rsidRDefault="008B076A" w:rsidP="00A04B99">
            <w:pPr>
              <w:jc w:val="right"/>
              <w:rPr>
                <w:rFonts w:cs="Calibri"/>
                <w:i/>
                <w:iCs/>
                <w:color w:val="000000" w:themeColor="text1"/>
                <w:sz w:val="13"/>
                <w:szCs w:val="13"/>
              </w:rPr>
            </w:pPr>
            <w:r w:rsidRPr="00135D91">
              <w:rPr>
                <w:rFonts w:cs="Calibri"/>
                <w:i/>
                <w:iCs/>
                <w:color w:val="000000" w:themeColor="text1"/>
                <w:sz w:val="13"/>
                <w:szCs w:val="13"/>
              </w:rPr>
              <w:t>8</w:t>
            </w:r>
          </w:p>
        </w:tc>
        <w:tc>
          <w:tcPr>
            <w:tcW w:w="1418" w:type="dxa"/>
            <w:tcBorders>
              <w:top w:val="nil"/>
              <w:left w:val="single" w:sz="8" w:space="0" w:color="0077BD"/>
              <w:bottom w:val="single" w:sz="4" w:space="0" w:color="0077BD"/>
              <w:right w:val="nil"/>
            </w:tcBorders>
            <w:shd w:val="clear" w:color="auto" w:fill="auto"/>
            <w:vAlign w:val="center"/>
            <w:hideMark/>
          </w:tcPr>
          <w:p w14:paraId="769BBE3D" w14:textId="77777777" w:rsidR="00A04B99" w:rsidRPr="00135D91" w:rsidRDefault="00A04B99" w:rsidP="00A04B99">
            <w:pPr>
              <w:jc w:val="right"/>
              <w:rPr>
                <w:rFonts w:cs="Calibri"/>
                <w:i/>
                <w:iCs/>
                <w:color w:val="000000" w:themeColor="text1"/>
                <w:sz w:val="13"/>
                <w:szCs w:val="13"/>
              </w:rPr>
            </w:pPr>
            <w:r w:rsidRPr="00135D91">
              <w:rPr>
                <w:rFonts w:cs="Calibri"/>
                <w:i/>
                <w:iCs/>
                <w:color w:val="000000" w:themeColor="text1"/>
                <w:sz w:val="13"/>
                <w:szCs w:val="13"/>
              </w:rPr>
              <w:t>(52)</w:t>
            </w:r>
          </w:p>
        </w:tc>
      </w:tr>
      <w:tr w:rsidR="008B076A" w:rsidRPr="0068723D" w14:paraId="7FEA414A" w14:textId="77777777" w:rsidTr="004F532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030D663" w14:textId="77777777" w:rsidR="008B076A" w:rsidRPr="00135D91" w:rsidRDefault="008B076A" w:rsidP="008B076A">
            <w:pPr>
              <w:ind w:firstLineChars="100" w:firstLine="130"/>
              <w:rPr>
                <w:rFonts w:cs="Calibri"/>
                <w:color w:val="000000" w:themeColor="text1"/>
                <w:sz w:val="13"/>
                <w:szCs w:val="13"/>
              </w:rPr>
            </w:pPr>
            <w:r w:rsidRPr="00135D91">
              <w:rPr>
                <w:rFonts w:cs="Calibri"/>
                <w:color w:val="000000" w:themeColor="text1"/>
                <w:sz w:val="13"/>
                <w:szCs w:val="13"/>
              </w:rPr>
              <w:t>- Kredyty i pożyczki</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7C9D61BD" w14:textId="4515504D" w:rsidR="008B076A" w:rsidRPr="00135D91" w:rsidRDefault="008B076A" w:rsidP="008B076A">
            <w:pPr>
              <w:jc w:val="right"/>
              <w:rPr>
                <w:rFonts w:cs="Calibri"/>
                <w:color w:val="000000" w:themeColor="text1"/>
                <w:sz w:val="13"/>
                <w:szCs w:val="13"/>
              </w:rPr>
            </w:pPr>
            <w:r w:rsidRPr="00135D91">
              <w:rPr>
                <w:rFonts w:cs="Calibri"/>
                <w:color w:val="000000" w:themeColor="text1"/>
                <w:sz w:val="13"/>
                <w:szCs w:val="13"/>
              </w:rPr>
              <w:t>(670 281)</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3CBB7E54" w14:textId="77777777" w:rsidR="008B076A" w:rsidRPr="00135D91" w:rsidRDefault="008B076A" w:rsidP="008B076A">
            <w:pPr>
              <w:jc w:val="right"/>
              <w:rPr>
                <w:rFonts w:cs="Calibri"/>
                <w:color w:val="000000" w:themeColor="text1"/>
                <w:sz w:val="13"/>
                <w:szCs w:val="13"/>
              </w:rPr>
            </w:pPr>
            <w:r w:rsidRPr="00135D91">
              <w:rPr>
                <w:rFonts w:cs="Calibri"/>
                <w:color w:val="000000" w:themeColor="text1"/>
                <w:sz w:val="13"/>
                <w:szCs w:val="13"/>
              </w:rPr>
              <w:t>(537 879)</w:t>
            </w:r>
          </w:p>
        </w:tc>
      </w:tr>
      <w:tr w:rsidR="008B076A" w:rsidRPr="0068723D" w14:paraId="13041FDE"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8D7BFD9" w14:textId="77777777" w:rsidR="008B076A" w:rsidRPr="00135D91" w:rsidRDefault="008B076A" w:rsidP="008B076A">
            <w:pPr>
              <w:ind w:firstLineChars="200" w:firstLine="260"/>
              <w:rPr>
                <w:rFonts w:cs="Calibri"/>
                <w:i/>
                <w:iCs/>
                <w:color w:val="000000" w:themeColor="text1"/>
                <w:sz w:val="13"/>
                <w:szCs w:val="13"/>
              </w:rPr>
            </w:pPr>
            <w:r w:rsidRPr="00135D91">
              <w:rPr>
                <w:rFonts w:cs="Calibri"/>
                <w:i/>
                <w:iCs/>
                <w:color w:val="000000" w:themeColor="text1"/>
                <w:sz w:val="13"/>
                <w:szCs w:val="13"/>
              </w:rPr>
              <w:t>Koszyk 1</w:t>
            </w:r>
          </w:p>
        </w:tc>
        <w:tc>
          <w:tcPr>
            <w:tcW w:w="1418" w:type="dxa"/>
            <w:tcBorders>
              <w:top w:val="nil"/>
              <w:left w:val="single" w:sz="8" w:space="0" w:color="0077BD"/>
              <w:bottom w:val="single" w:sz="4" w:space="0" w:color="0077BD"/>
              <w:right w:val="nil"/>
            </w:tcBorders>
            <w:shd w:val="clear" w:color="auto" w:fill="auto"/>
            <w:vAlign w:val="center"/>
          </w:tcPr>
          <w:p w14:paraId="67E7CD5C" w14:textId="5DB6802C"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(89 505)</w:t>
            </w:r>
          </w:p>
        </w:tc>
        <w:tc>
          <w:tcPr>
            <w:tcW w:w="1418" w:type="dxa"/>
            <w:tcBorders>
              <w:top w:val="nil"/>
              <w:left w:val="single" w:sz="8" w:space="0" w:color="0077BD"/>
              <w:bottom w:val="single" w:sz="4" w:space="0" w:color="0077BD"/>
              <w:right w:val="nil"/>
            </w:tcBorders>
            <w:shd w:val="clear" w:color="auto" w:fill="auto"/>
            <w:vAlign w:val="center"/>
            <w:hideMark/>
          </w:tcPr>
          <w:p w14:paraId="42BE20FB" w14:textId="77777777"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(64 034)</w:t>
            </w:r>
          </w:p>
        </w:tc>
      </w:tr>
      <w:tr w:rsidR="008B076A" w:rsidRPr="0068723D" w14:paraId="4DD1CA23"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0474398" w14:textId="77777777" w:rsidR="008B076A" w:rsidRPr="00135D91" w:rsidRDefault="008B076A" w:rsidP="008B076A">
            <w:pPr>
              <w:ind w:firstLineChars="200" w:firstLine="260"/>
              <w:rPr>
                <w:rFonts w:cs="Calibri"/>
                <w:i/>
                <w:iCs/>
                <w:color w:val="000000" w:themeColor="text1"/>
                <w:sz w:val="13"/>
                <w:szCs w:val="13"/>
              </w:rPr>
            </w:pPr>
            <w:r w:rsidRPr="00135D91">
              <w:rPr>
                <w:rFonts w:cs="Calibri"/>
                <w:i/>
                <w:iCs/>
                <w:color w:val="000000" w:themeColor="text1"/>
                <w:sz w:val="13"/>
                <w:szCs w:val="13"/>
              </w:rPr>
              <w:t>Koszyk 2</w:t>
            </w:r>
          </w:p>
        </w:tc>
        <w:tc>
          <w:tcPr>
            <w:tcW w:w="1418" w:type="dxa"/>
            <w:tcBorders>
              <w:top w:val="nil"/>
              <w:left w:val="single" w:sz="8" w:space="0" w:color="0077BD"/>
              <w:bottom w:val="single" w:sz="4" w:space="0" w:color="0077BD"/>
              <w:right w:val="nil"/>
            </w:tcBorders>
            <w:shd w:val="clear" w:color="auto" w:fill="auto"/>
            <w:vAlign w:val="center"/>
          </w:tcPr>
          <w:p w14:paraId="68F8DDAE" w14:textId="3D600EE5"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(37 722)</w:t>
            </w:r>
          </w:p>
        </w:tc>
        <w:tc>
          <w:tcPr>
            <w:tcW w:w="1418" w:type="dxa"/>
            <w:tcBorders>
              <w:top w:val="nil"/>
              <w:left w:val="single" w:sz="8" w:space="0" w:color="0077BD"/>
              <w:bottom w:val="single" w:sz="4" w:space="0" w:color="0077BD"/>
              <w:right w:val="nil"/>
            </w:tcBorders>
            <w:shd w:val="clear" w:color="auto" w:fill="auto"/>
            <w:vAlign w:val="center"/>
            <w:hideMark/>
          </w:tcPr>
          <w:p w14:paraId="2E5D56A5" w14:textId="77777777"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(41 355)</w:t>
            </w:r>
          </w:p>
        </w:tc>
      </w:tr>
      <w:tr w:rsidR="008B076A" w:rsidRPr="0068723D" w14:paraId="4CF23B57"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4448486" w14:textId="77777777" w:rsidR="008B076A" w:rsidRPr="00135D91" w:rsidRDefault="008B076A" w:rsidP="008B076A">
            <w:pPr>
              <w:ind w:firstLineChars="200" w:firstLine="260"/>
              <w:rPr>
                <w:rFonts w:cs="Calibri"/>
                <w:i/>
                <w:iCs/>
                <w:color w:val="000000" w:themeColor="text1"/>
                <w:sz w:val="13"/>
                <w:szCs w:val="13"/>
              </w:rPr>
            </w:pPr>
            <w:r w:rsidRPr="00135D91">
              <w:rPr>
                <w:rFonts w:cs="Calibri"/>
                <w:i/>
                <w:iCs/>
                <w:color w:val="000000" w:themeColor="text1"/>
                <w:sz w:val="13"/>
                <w:szCs w:val="13"/>
              </w:rPr>
              <w:t>Koszyk 3</w:t>
            </w:r>
          </w:p>
        </w:tc>
        <w:tc>
          <w:tcPr>
            <w:tcW w:w="1418" w:type="dxa"/>
            <w:tcBorders>
              <w:top w:val="nil"/>
              <w:left w:val="single" w:sz="8" w:space="0" w:color="0077BD"/>
              <w:bottom w:val="single" w:sz="4" w:space="0" w:color="0077BD"/>
              <w:right w:val="nil"/>
            </w:tcBorders>
            <w:shd w:val="clear" w:color="auto" w:fill="auto"/>
            <w:vAlign w:val="center"/>
          </w:tcPr>
          <w:p w14:paraId="539CBA0E" w14:textId="29284B26"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(549 106)</w:t>
            </w:r>
          </w:p>
        </w:tc>
        <w:tc>
          <w:tcPr>
            <w:tcW w:w="1418" w:type="dxa"/>
            <w:tcBorders>
              <w:top w:val="nil"/>
              <w:left w:val="single" w:sz="8" w:space="0" w:color="0077BD"/>
              <w:bottom w:val="single" w:sz="4" w:space="0" w:color="0077BD"/>
              <w:right w:val="nil"/>
            </w:tcBorders>
            <w:shd w:val="clear" w:color="auto" w:fill="auto"/>
            <w:vAlign w:val="center"/>
            <w:hideMark/>
          </w:tcPr>
          <w:p w14:paraId="3E9A9FD3" w14:textId="77777777"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(441 675)</w:t>
            </w:r>
          </w:p>
        </w:tc>
      </w:tr>
      <w:tr w:rsidR="008B076A" w:rsidRPr="0068723D" w14:paraId="5984E3D3" w14:textId="77777777" w:rsidTr="004F532A">
        <w:trPr>
          <w:trHeight w:val="255"/>
        </w:trPr>
        <w:tc>
          <w:tcPr>
            <w:tcW w:w="6747" w:type="dxa"/>
            <w:tcBorders>
              <w:top w:val="nil"/>
              <w:left w:val="nil"/>
              <w:bottom w:val="nil"/>
              <w:right w:val="single" w:sz="8" w:space="0" w:color="0077BD"/>
            </w:tcBorders>
            <w:shd w:val="clear" w:color="auto" w:fill="auto"/>
            <w:vAlign w:val="center"/>
            <w:hideMark/>
          </w:tcPr>
          <w:p w14:paraId="03DB62B5" w14:textId="77777777" w:rsidR="008B076A" w:rsidRPr="00135D91" w:rsidRDefault="008B076A" w:rsidP="008B076A">
            <w:pPr>
              <w:ind w:firstLineChars="200" w:firstLine="260"/>
              <w:rPr>
                <w:rFonts w:cs="Calibri"/>
                <w:i/>
                <w:iCs/>
                <w:color w:val="000000" w:themeColor="text1"/>
                <w:sz w:val="13"/>
                <w:szCs w:val="13"/>
              </w:rPr>
            </w:pPr>
            <w:r w:rsidRPr="00135D91">
              <w:rPr>
                <w:rFonts w:cs="Calibri"/>
                <w:i/>
                <w:iCs/>
                <w:color w:val="000000" w:themeColor="text1"/>
                <w:sz w:val="13"/>
                <w:szCs w:val="13"/>
              </w:rPr>
              <w:t>POCI</w:t>
            </w:r>
          </w:p>
        </w:tc>
        <w:tc>
          <w:tcPr>
            <w:tcW w:w="1418" w:type="dxa"/>
            <w:tcBorders>
              <w:top w:val="nil"/>
              <w:left w:val="single" w:sz="8" w:space="0" w:color="0077BD"/>
              <w:bottom w:val="nil"/>
              <w:right w:val="nil"/>
            </w:tcBorders>
            <w:shd w:val="clear" w:color="auto" w:fill="auto"/>
            <w:vAlign w:val="center"/>
          </w:tcPr>
          <w:p w14:paraId="12667506" w14:textId="09D7B01F"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6 052</w:t>
            </w:r>
          </w:p>
        </w:tc>
        <w:tc>
          <w:tcPr>
            <w:tcW w:w="1418" w:type="dxa"/>
            <w:tcBorders>
              <w:top w:val="nil"/>
              <w:left w:val="single" w:sz="8" w:space="0" w:color="0077BD"/>
              <w:bottom w:val="nil"/>
              <w:right w:val="nil"/>
            </w:tcBorders>
            <w:shd w:val="clear" w:color="auto" w:fill="auto"/>
            <w:vAlign w:val="center"/>
            <w:hideMark/>
          </w:tcPr>
          <w:p w14:paraId="7FA434A7" w14:textId="77777777" w:rsidR="008B076A" w:rsidRPr="00135D91" w:rsidRDefault="008B076A" w:rsidP="008B076A">
            <w:pPr>
              <w:jc w:val="right"/>
              <w:rPr>
                <w:rFonts w:cs="Calibri"/>
                <w:i/>
                <w:iCs/>
                <w:color w:val="000000" w:themeColor="text1"/>
                <w:sz w:val="13"/>
                <w:szCs w:val="13"/>
              </w:rPr>
            </w:pPr>
            <w:r w:rsidRPr="00135D91">
              <w:rPr>
                <w:rFonts w:cs="Calibri"/>
                <w:i/>
                <w:iCs/>
                <w:color w:val="000000" w:themeColor="text1"/>
                <w:sz w:val="13"/>
                <w:szCs w:val="13"/>
              </w:rPr>
              <w:t>9 185</w:t>
            </w:r>
          </w:p>
        </w:tc>
      </w:tr>
      <w:tr w:rsidR="008B076A" w:rsidRPr="0068723D" w14:paraId="77F50345" w14:textId="77777777" w:rsidTr="004F532A">
        <w:trPr>
          <w:trHeight w:val="340"/>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A250AEA" w14:textId="77777777" w:rsidR="008B076A" w:rsidRPr="00135D91" w:rsidRDefault="008B076A" w:rsidP="008B076A">
            <w:pPr>
              <w:rPr>
                <w:rFonts w:cs="Calibri"/>
                <w:b/>
                <w:bCs/>
                <w:color w:val="000000" w:themeColor="text1"/>
                <w:sz w:val="13"/>
                <w:szCs w:val="13"/>
              </w:rPr>
            </w:pPr>
            <w:r w:rsidRPr="00135D91">
              <w:rPr>
                <w:rFonts w:cs="Calibri"/>
                <w:b/>
                <w:bCs/>
                <w:color w:val="000000" w:themeColor="text1"/>
                <w:sz w:val="13"/>
                <w:szCs w:val="13"/>
              </w:rPr>
              <w:t>Aktywa finansowe wyceniane w wartości godziwej przez pozostałe całkowite dochody, w tym:</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5A20971C" w14:textId="328C5B65" w:rsidR="008B076A" w:rsidRPr="00135D91" w:rsidRDefault="008B076A" w:rsidP="008B076A">
            <w:pPr>
              <w:jc w:val="right"/>
              <w:rPr>
                <w:rFonts w:cs="Calibri"/>
                <w:b/>
                <w:bCs/>
                <w:color w:val="000000" w:themeColor="text1"/>
                <w:sz w:val="13"/>
                <w:szCs w:val="13"/>
              </w:rPr>
            </w:pPr>
            <w:r w:rsidRPr="00135D91">
              <w:rPr>
                <w:rFonts w:cs="Calibri"/>
                <w:b/>
                <w:bCs/>
                <w:color w:val="000000" w:themeColor="text1"/>
                <w:sz w:val="13"/>
                <w:szCs w:val="13"/>
              </w:rPr>
              <w:t>171</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2F5200CA" w14:textId="77777777" w:rsidR="008B076A" w:rsidRPr="00135D91" w:rsidRDefault="008B076A" w:rsidP="008B076A">
            <w:pPr>
              <w:jc w:val="right"/>
              <w:rPr>
                <w:rFonts w:cs="Calibri"/>
                <w:b/>
                <w:bCs/>
                <w:color w:val="000000" w:themeColor="text1"/>
                <w:sz w:val="13"/>
                <w:szCs w:val="13"/>
              </w:rPr>
            </w:pPr>
            <w:r w:rsidRPr="00135D91">
              <w:rPr>
                <w:rFonts w:cs="Calibri"/>
                <w:b/>
                <w:bCs/>
                <w:color w:val="000000" w:themeColor="text1"/>
                <w:sz w:val="13"/>
                <w:szCs w:val="13"/>
              </w:rPr>
              <w:t>95</w:t>
            </w:r>
          </w:p>
        </w:tc>
      </w:tr>
      <w:tr w:rsidR="00DC11B9" w:rsidRPr="0068723D" w14:paraId="6F166CD5" w14:textId="77777777" w:rsidTr="004F532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26428CE0" w14:textId="77777777" w:rsidR="00DC11B9" w:rsidRPr="00135D91" w:rsidRDefault="00DC11B9" w:rsidP="00DC11B9">
            <w:pPr>
              <w:ind w:firstLineChars="100" w:firstLine="130"/>
              <w:rPr>
                <w:rFonts w:cs="Calibri"/>
                <w:color w:val="000000" w:themeColor="text1"/>
                <w:sz w:val="13"/>
                <w:szCs w:val="13"/>
              </w:rPr>
            </w:pPr>
            <w:r w:rsidRPr="00135D91">
              <w:rPr>
                <w:rFonts w:cs="Calibri"/>
                <w:color w:val="000000" w:themeColor="text1"/>
                <w:sz w:val="13"/>
                <w:szCs w:val="13"/>
              </w:rPr>
              <w:t>- Dłużne papiery wartościowe</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62234291" w14:textId="6CDC1120" w:rsidR="00DC11B9" w:rsidRPr="00135D91" w:rsidRDefault="00DC11B9" w:rsidP="00DC11B9">
            <w:pPr>
              <w:jc w:val="right"/>
              <w:rPr>
                <w:rFonts w:cs="Calibri"/>
                <w:color w:val="000000" w:themeColor="text1"/>
                <w:sz w:val="13"/>
                <w:szCs w:val="13"/>
              </w:rPr>
            </w:pPr>
            <w:r w:rsidRPr="00135D91">
              <w:rPr>
                <w:rFonts w:cs="Calibri"/>
                <w:color w:val="000000" w:themeColor="text1"/>
                <w:sz w:val="13"/>
                <w:szCs w:val="13"/>
              </w:rPr>
              <w:t>171</w:t>
            </w:r>
          </w:p>
        </w:tc>
        <w:tc>
          <w:tcPr>
            <w:tcW w:w="1418" w:type="dxa"/>
            <w:tcBorders>
              <w:top w:val="nil"/>
              <w:left w:val="single" w:sz="8" w:space="0" w:color="0077BD"/>
              <w:bottom w:val="single" w:sz="8" w:space="0" w:color="0077BD"/>
              <w:right w:val="nil"/>
            </w:tcBorders>
            <w:shd w:val="clear" w:color="auto" w:fill="auto"/>
            <w:vAlign w:val="center"/>
            <w:hideMark/>
          </w:tcPr>
          <w:p w14:paraId="7DBDA2AB" w14:textId="77777777" w:rsidR="00DC11B9" w:rsidRPr="00135D91" w:rsidRDefault="00DC11B9" w:rsidP="00DC11B9">
            <w:pPr>
              <w:jc w:val="right"/>
              <w:rPr>
                <w:rFonts w:cs="Calibri"/>
                <w:color w:val="000000" w:themeColor="text1"/>
                <w:sz w:val="13"/>
                <w:szCs w:val="13"/>
              </w:rPr>
            </w:pPr>
            <w:r w:rsidRPr="00135D91">
              <w:rPr>
                <w:rFonts w:cs="Calibri"/>
                <w:color w:val="000000" w:themeColor="text1"/>
                <w:sz w:val="13"/>
                <w:szCs w:val="13"/>
              </w:rPr>
              <w:t>95</w:t>
            </w:r>
          </w:p>
        </w:tc>
      </w:tr>
      <w:tr w:rsidR="00DC11B9" w:rsidRPr="0068723D" w14:paraId="6140DD22"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A5A2B2D"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Koszyk 1</w:t>
            </w:r>
          </w:p>
        </w:tc>
        <w:tc>
          <w:tcPr>
            <w:tcW w:w="1418" w:type="dxa"/>
            <w:tcBorders>
              <w:top w:val="nil"/>
              <w:left w:val="single" w:sz="8" w:space="0" w:color="0077BD"/>
              <w:bottom w:val="single" w:sz="4" w:space="0" w:color="0077BD"/>
              <w:right w:val="nil"/>
            </w:tcBorders>
            <w:shd w:val="clear" w:color="auto" w:fill="auto"/>
            <w:vAlign w:val="center"/>
          </w:tcPr>
          <w:p w14:paraId="00374AAC" w14:textId="5189EAD1"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927</w:t>
            </w:r>
          </w:p>
        </w:tc>
        <w:tc>
          <w:tcPr>
            <w:tcW w:w="1418" w:type="dxa"/>
            <w:tcBorders>
              <w:top w:val="nil"/>
              <w:left w:val="single" w:sz="8" w:space="0" w:color="0077BD"/>
              <w:bottom w:val="single" w:sz="4" w:space="0" w:color="0077BD"/>
              <w:right w:val="nil"/>
            </w:tcBorders>
            <w:shd w:val="clear" w:color="auto" w:fill="auto"/>
            <w:vAlign w:val="center"/>
            <w:hideMark/>
          </w:tcPr>
          <w:p w14:paraId="64385C7C"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408</w:t>
            </w:r>
          </w:p>
        </w:tc>
      </w:tr>
      <w:tr w:rsidR="00DC11B9" w:rsidRPr="0068723D" w14:paraId="744DBB05"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07052A5"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Koszyk 2</w:t>
            </w:r>
          </w:p>
        </w:tc>
        <w:tc>
          <w:tcPr>
            <w:tcW w:w="1418" w:type="dxa"/>
            <w:tcBorders>
              <w:top w:val="nil"/>
              <w:left w:val="single" w:sz="8" w:space="0" w:color="0077BD"/>
              <w:bottom w:val="single" w:sz="4" w:space="0" w:color="0077BD"/>
              <w:right w:val="nil"/>
            </w:tcBorders>
            <w:shd w:val="clear" w:color="auto" w:fill="auto"/>
            <w:vAlign w:val="center"/>
          </w:tcPr>
          <w:p w14:paraId="401F4FFE" w14:textId="330226DF"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(756)</w:t>
            </w:r>
          </w:p>
        </w:tc>
        <w:tc>
          <w:tcPr>
            <w:tcW w:w="1418" w:type="dxa"/>
            <w:tcBorders>
              <w:top w:val="nil"/>
              <w:left w:val="single" w:sz="8" w:space="0" w:color="0077BD"/>
              <w:bottom w:val="single" w:sz="4" w:space="0" w:color="0077BD"/>
              <w:right w:val="nil"/>
            </w:tcBorders>
            <w:shd w:val="clear" w:color="auto" w:fill="auto"/>
            <w:vAlign w:val="center"/>
            <w:hideMark/>
          </w:tcPr>
          <w:p w14:paraId="0C4CAB21"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(313)</w:t>
            </w:r>
          </w:p>
        </w:tc>
      </w:tr>
      <w:tr w:rsidR="00DC11B9" w:rsidRPr="0068723D" w14:paraId="5FADF183" w14:textId="77777777" w:rsidTr="004F532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4F95EA3" w14:textId="77777777" w:rsidR="00DC11B9" w:rsidRPr="00135D91" w:rsidRDefault="00DC11B9" w:rsidP="00DC11B9">
            <w:pPr>
              <w:rPr>
                <w:rFonts w:cs="Calibri"/>
                <w:b/>
                <w:bCs/>
                <w:color w:val="000000" w:themeColor="text1"/>
                <w:sz w:val="13"/>
                <w:szCs w:val="13"/>
              </w:rPr>
            </w:pPr>
            <w:r w:rsidRPr="00135D91">
              <w:rPr>
                <w:rFonts w:cs="Calibri"/>
                <w:b/>
                <w:bCs/>
                <w:color w:val="000000" w:themeColor="text1"/>
                <w:sz w:val="13"/>
                <w:szCs w:val="13"/>
              </w:rPr>
              <w:t>Udzielone zobowiązania i gwarancje</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7DB0646F" w14:textId="1D7A2B66" w:rsidR="00DC11B9" w:rsidRPr="00135D91" w:rsidRDefault="00DC11B9" w:rsidP="00DC11B9">
            <w:pPr>
              <w:jc w:val="right"/>
              <w:rPr>
                <w:rFonts w:cs="Calibri"/>
                <w:b/>
                <w:bCs/>
                <w:color w:val="000000" w:themeColor="text1"/>
                <w:sz w:val="13"/>
                <w:szCs w:val="13"/>
              </w:rPr>
            </w:pPr>
            <w:r w:rsidRPr="00135D91">
              <w:rPr>
                <w:rFonts w:cs="Calibri"/>
                <w:b/>
                <w:bCs/>
                <w:color w:val="000000" w:themeColor="text1"/>
                <w:sz w:val="13"/>
                <w:szCs w:val="13"/>
              </w:rPr>
              <w:t>(42 235)</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7309F2A1" w14:textId="77777777" w:rsidR="00DC11B9" w:rsidRPr="00135D91" w:rsidRDefault="00DC11B9" w:rsidP="00DC11B9">
            <w:pPr>
              <w:jc w:val="right"/>
              <w:rPr>
                <w:rFonts w:cs="Calibri"/>
                <w:b/>
                <w:bCs/>
                <w:color w:val="000000" w:themeColor="text1"/>
                <w:sz w:val="13"/>
                <w:szCs w:val="13"/>
              </w:rPr>
            </w:pPr>
            <w:r w:rsidRPr="00135D91">
              <w:rPr>
                <w:rFonts w:cs="Calibri"/>
                <w:b/>
                <w:bCs/>
                <w:color w:val="000000" w:themeColor="text1"/>
                <w:sz w:val="13"/>
                <w:szCs w:val="13"/>
              </w:rPr>
              <w:t>10 263</w:t>
            </w:r>
          </w:p>
        </w:tc>
      </w:tr>
      <w:tr w:rsidR="00DC11B9" w:rsidRPr="0068723D" w14:paraId="5A89E46C"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F172581"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Koszyk 1</w:t>
            </w:r>
          </w:p>
        </w:tc>
        <w:tc>
          <w:tcPr>
            <w:tcW w:w="1418" w:type="dxa"/>
            <w:tcBorders>
              <w:top w:val="nil"/>
              <w:left w:val="single" w:sz="8" w:space="0" w:color="0077BD"/>
              <w:bottom w:val="single" w:sz="4" w:space="0" w:color="0077BD"/>
              <w:right w:val="nil"/>
            </w:tcBorders>
            <w:shd w:val="clear" w:color="auto" w:fill="auto"/>
            <w:vAlign w:val="center"/>
          </w:tcPr>
          <w:p w14:paraId="26068375" w14:textId="72DFA472"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(5 104)</w:t>
            </w:r>
          </w:p>
        </w:tc>
        <w:tc>
          <w:tcPr>
            <w:tcW w:w="1418" w:type="dxa"/>
            <w:tcBorders>
              <w:top w:val="nil"/>
              <w:left w:val="single" w:sz="8" w:space="0" w:color="0077BD"/>
              <w:bottom w:val="single" w:sz="4" w:space="0" w:color="0077BD"/>
              <w:right w:val="nil"/>
            </w:tcBorders>
            <w:shd w:val="clear" w:color="auto" w:fill="auto"/>
            <w:vAlign w:val="center"/>
            <w:hideMark/>
          </w:tcPr>
          <w:p w14:paraId="62EDDED1"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(753)</w:t>
            </w:r>
          </w:p>
        </w:tc>
      </w:tr>
      <w:tr w:rsidR="00DC11B9" w:rsidRPr="0068723D" w14:paraId="6B35A655"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70CDDAB"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Koszyk 2</w:t>
            </w:r>
          </w:p>
        </w:tc>
        <w:tc>
          <w:tcPr>
            <w:tcW w:w="1418" w:type="dxa"/>
            <w:tcBorders>
              <w:top w:val="nil"/>
              <w:left w:val="single" w:sz="8" w:space="0" w:color="0077BD"/>
              <w:bottom w:val="single" w:sz="4" w:space="0" w:color="0077BD"/>
              <w:right w:val="nil"/>
            </w:tcBorders>
            <w:shd w:val="clear" w:color="auto" w:fill="auto"/>
            <w:vAlign w:val="center"/>
          </w:tcPr>
          <w:p w14:paraId="43A0F28A" w14:textId="08B492B1"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(5 114)</w:t>
            </w:r>
          </w:p>
        </w:tc>
        <w:tc>
          <w:tcPr>
            <w:tcW w:w="1418" w:type="dxa"/>
            <w:tcBorders>
              <w:top w:val="nil"/>
              <w:left w:val="single" w:sz="8" w:space="0" w:color="0077BD"/>
              <w:bottom w:val="single" w:sz="4" w:space="0" w:color="0077BD"/>
              <w:right w:val="nil"/>
            </w:tcBorders>
            <w:shd w:val="clear" w:color="auto" w:fill="auto"/>
            <w:vAlign w:val="center"/>
            <w:hideMark/>
          </w:tcPr>
          <w:p w14:paraId="10857712"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(3 596)</w:t>
            </w:r>
          </w:p>
        </w:tc>
      </w:tr>
      <w:tr w:rsidR="00DC11B9" w:rsidRPr="0068723D" w14:paraId="0247840F"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43AFEF2"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Koszyk 3</w:t>
            </w:r>
          </w:p>
        </w:tc>
        <w:tc>
          <w:tcPr>
            <w:tcW w:w="1418" w:type="dxa"/>
            <w:tcBorders>
              <w:top w:val="nil"/>
              <w:left w:val="single" w:sz="8" w:space="0" w:color="0077BD"/>
              <w:bottom w:val="single" w:sz="4" w:space="0" w:color="0077BD"/>
              <w:right w:val="nil"/>
            </w:tcBorders>
            <w:shd w:val="clear" w:color="auto" w:fill="auto"/>
            <w:vAlign w:val="center"/>
          </w:tcPr>
          <w:p w14:paraId="66534B53" w14:textId="126C4BB9"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(28 227)</w:t>
            </w:r>
          </w:p>
        </w:tc>
        <w:tc>
          <w:tcPr>
            <w:tcW w:w="1418" w:type="dxa"/>
            <w:tcBorders>
              <w:top w:val="nil"/>
              <w:left w:val="single" w:sz="8" w:space="0" w:color="0077BD"/>
              <w:bottom w:val="single" w:sz="4" w:space="0" w:color="0077BD"/>
              <w:right w:val="nil"/>
            </w:tcBorders>
            <w:shd w:val="clear" w:color="auto" w:fill="auto"/>
            <w:vAlign w:val="center"/>
            <w:hideMark/>
          </w:tcPr>
          <w:p w14:paraId="247D9EF3"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14 379</w:t>
            </w:r>
          </w:p>
        </w:tc>
      </w:tr>
      <w:tr w:rsidR="00DC11B9" w:rsidRPr="0068723D" w14:paraId="514F0006" w14:textId="77777777" w:rsidTr="004F532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CA1D445" w14:textId="77777777" w:rsidR="00DC11B9" w:rsidRPr="00135D91" w:rsidRDefault="00DC11B9" w:rsidP="00DC11B9">
            <w:pPr>
              <w:ind w:firstLineChars="200" w:firstLine="260"/>
              <w:rPr>
                <w:rFonts w:cs="Calibri"/>
                <w:i/>
                <w:iCs/>
                <w:color w:val="000000" w:themeColor="text1"/>
                <w:sz w:val="13"/>
                <w:szCs w:val="13"/>
              </w:rPr>
            </w:pPr>
            <w:r w:rsidRPr="00135D91">
              <w:rPr>
                <w:rFonts w:cs="Calibri"/>
                <w:i/>
                <w:iCs/>
                <w:color w:val="000000" w:themeColor="text1"/>
                <w:sz w:val="13"/>
                <w:szCs w:val="13"/>
              </w:rPr>
              <w:t>POCI</w:t>
            </w:r>
          </w:p>
        </w:tc>
        <w:tc>
          <w:tcPr>
            <w:tcW w:w="1418" w:type="dxa"/>
            <w:tcBorders>
              <w:top w:val="nil"/>
              <w:left w:val="single" w:sz="8" w:space="0" w:color="0077BD"/>
              <w:bottom w:val="single" w:sz="4" w:space="0" w:color="0077BD"/>
              <w:right w:val="nil"/>
            </w:tcBorders>
            <w:shd w:val="clear" w:color="auto" w:fill="auto"/>
            <w:vAlign w:val="center"/>
          </w:tcPr>
          <w:p w14:paraId="375923FA" w14:textId="5FA1AD41"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(3 790)</w:t>
            </w:r>
          </w:p>
        </w:tc>
        <w:tc>
          <w:tcPr>
            <w:tcW w:w="1418" w:type="dxa"/>
            <w:tcBorders>
              <w:top w:val="nil"/>
              <w:left w:val="single" w:sz="8" w:space="0" w:color="0077BD"/>
              <w:bottom w:val="single" w:sz="4" w:space="0" w:color="0077BD"/>
              <w:right w:val="nil"/>
            </w:tcBorders>
            <w:shd w:val="clear" w:color="auto" w:fill="auto"/>
            <w:vAlign w:val="center"/>
            <w:hideMark/>
          </w:tcPr>
          <w:p w14:paraId="71C5EE2C" w14:textId="77777777" w:rsidR="00DC11B9" w:rsidRPr="00135D91" w:rsidRDefault="00DC11B9" w:rsidP="00DC11B9">
            <w:pPr>
              <w:jc w:val="right"/>
              <w:rPr>
                <w:rFonts w:cs="Calibri"/>
                <w:i/>
                <w:iCs/>
                <w:color w:val="000000" w:themeColor="text1"/>
                <w:sz w:val="13"/>
                <w:szCs w:val="13"/>
              </w:rPr>
            </w:pPr>
            <w:r w:rsidRPr="00135D91">
              <w:rPr>
                <w:rFonts w:cs="Calibri"/>
                <w:i/>
                <w:iCs/>
                <w:color w:val="000000" w:themeColor="text1"/>
                <w:sz w:val="13"/>
                <w:szCs w:val="13"/>
              </w:rPr>
              <w:t>233</w:t>
            </w:r>
          </w:p>
        </w:tc>
      </w:tr>
      <w:tr w:rsidR="00DC11B9" w:rsidRPr="0068723D" w14:paraId="506DD38D" w14:textId="77777777" w:rsidTr="004F532A">
        <w:trPr>
          <w:trHeight w:val="340"/>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EC0D1B3" w14:textId="77777777" w:rsidR="00DC11B9" w:rsidRPr="00135D91" w:rsidRDefault="00DC11B9" w:rsidP="00DC11B9">
            <w:pPr>
              <w:rPr>
                <w:rFonts w:cs="Calibri"/>
                <w:b/>
                <w:bCs/>
                <w:color w:val="000000" w:themeColor="text1"/>
                <w:sz w:val="13"/>
                <w:szCs w:val="13"/>
              </w:rPr>
            </w:pPr>
            <w:r w:rsidRPr="00135D91">
              <w:rPr>
                <w:rFonts w:cs="Calibri"/>
                <w:b/>
                <w:bCs/>
                <w:color w:val="000000" w:themeColor="text1"/>
                <w:sz w:val="13"/>
                <w:szCs w:val="13"/>
              </w:rPr>
              <w:t>Odpisy z tytułu utraty wartości aktywów finansowych niewycenianych w wartości godziwej przez wynik finansowy</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2639B2F8" w14:textId="58808787" w:rsidR="00DC11B9" w:rsidRPr="00135D91" w:rsidRDefault="00DC11B9" w:rsidP="00DC11B9">
            <w:pPr>
              <w:jc w:val="right"/>
              <w:rPr>
                <w:rFonts w:cs="Calibri"/>
                <w:b/>
                <w:bCs/>
                <w:color w:val="000000" w:themeColor="text1"/>
                <w:sz w:val="13"/>
                <w:szCs w:val="13"/>
              </w:rPr>
            </w:pPr>
            <w:r w:rsidRPr="00135D91">
              <w:rPr>
                <w:rFonts w:cs="Calibri"/>
                <w:b/>
                <w:bCs/>
                <w:color w:val="000000" w:themeColor="text1"/>
                <w:sz w:val="13"/>
                <w:szCs w:val="13"/>
              </w:rPr>
              <w:t>(712 337)</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E93A000" w14:textId="77777777" w:rsidR="00DC11B9" w:rsidRPr="00135D91" w:rsidRDefault="00DC11B9" w:rsidP="00DC11B9">
            <w:pPr>
              <w:jc w:val="right"/>
              <w:rPr>
                <w:rFonts w:cs="Calibri"/>
                <w:b/>
                <w:bCs/>
                <w:color w:val="000000" w:themeColor="text1"/>
                <w:sz w:val="13"/>
                <w:szCs w:val="13"/>
              </w:rPr>
            </w:pPr>
            <w:r w:rsidRPr="00135D91">
              <w:rPr>
                <w:rFonts w:cs="Calibri"/>
                <w:b/>
                <w:bCs/>
                <w:color w:val="000000" w:themeColor="text1"/>
                <w:sz w:val="13"/>
                <w:szCs w:val="13"/>
              </w:rPr>
              <w:t>(527 573)</w:t>
            </w:r>
          </w:p>
        </w:tc>
      </w:tr>
    </w:tbl>
    <w:p w14:paraId="1DB48A26" w14:textId="5C68ABBB" w:rsidR="0075574A" w:rsidRDefault="0075574A" w:rsidP="0075574A"/>
    <w:p w14:paraId="3690F99A" w14:textId="77777777" w:rsidR="0075574A" w:rsidRDefault="0075574A">
      <w:r>
        <w:br w:type="page"/>
      </w:r>
    </w:p>
    <w:p w14:paraId="2AF687E3" w14:textId="3D0C58B9" w:rsidR="001A5205" w:rsidRDefault="001A5205"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34" w:name="_Toc32999847"/>
      <w:r>
        <w:rPr>
          <w:rFonts w:cs="Tahoma"/>
          <w:bCs w:val="0"/>
          <w:iCs w:val="0"/>
          <w:color w:val="E41E0A"/>
          <w:sz w:val="18"/>
          <w:szCs w:val="18"/>
        </w:rPr>
        <w:lastRenderedPageBreak/>
        <w:t>Podatek dochodowy</w:t>
      </w:r>
      <w:bookmarkEnd w:id="134"/>
    </w:p>
    <w:p w14:paraId="62E16E73" w14:textId="5F872AA8" w:rsidR="001A5205" w:rsidRDefault="001A5205" w:rsidP="000C4057">
      <w:pPr>
        <w:rPr>
          <w:noProof/>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0C4057" w14:paraId="0C10EF98" w14:textId="77777777" w:rsidTr="00550691">
        <w:trPr>
          <w:trHeight w:val="284"/>
        </w:trPr>
        <w:tc>
          <w:tcPr>
            <w:tcW w:w="6747" w:type="dxa"/>
            <w:vMerge w:val="restart"/>
            <w:tcBorders>
              <w:top w:val="nil"/>
              <w:left w:val="nil"/>
              <w:right w:val="single" w:sz="8" w:space="0" w:color="FFFFFF"/>
            </w:tcBorders>
            <w:shd w:val="clear" w:color="000000" w:fill="0077BD"/>
            <w:vAlign w:val="center"/>
          </w:tcPr>
          <w:p w14:paraId="46684784" w14:textId="4E1C37A5" w:rsidR="009870A7" w:rsidRPr="000C4057" w:rsidRDefault="009870A7" w:rsidP="000C4057">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298C727D" w14:textId="77777777" w:rsidR="009870A7" w:rsidRPr="000C4057" w:rsidRDefault="009870A7" w:rsidP="000C4057">
            <w:pPr>
              <w:jc w:val="right"/>
              <w:rPr>
                <w:rFonts w:cs="Calibri"/>
                <w:b/>
                <w:bCs/>
                <w:color w:val="FFFFFF"/>
                <w:sz w:val="13"/>
                <w:szCs w:val="13"/>
              </w:rPr>
            </w:pPr>
            <w:r w:rsidRPr="000C4057">
              <w:rPr>
                <w:rFonts w:cs="Calibri"/>
                <w:b/>
                <w:bCs/>
                <w:color w:val="FFFFFF"/>
                <w:sz w:val="13"/>
                <w:szCs w:val="13"/>
              </w:rPr>
              <w:t>Rok kończący się 31 grudnia</w:t>
            </w:r>
          </w:p>
        </w:tc>
      </w:tr>
      <w:tr w:rsidR="009870A7" w:rsidRPr="000C4057" w14:paraId="6F97A952" w14:textId="77777777" w:rsidTr="00550691">
        <w:trPr>
          <w:trHeight w:val="284"/>
        </w:trPr>
        <w:tc>
          <w:tcPr>
            <w:tcW w:w="6747" w:type="dxa"/>
            <w:vMerge/>
            <w:tcBorders>
              <w:left w:val="nil"/>
              <w:right w:val="single" w:sz="8" w:space="0" w:color="FFFFFF"/>
            </w:tcBorders>
            <w:shd w:val="clear" w:color="000000" w:fill="0077BD"/>
            <w:vAlign w:val="center"/>
            <w:hideMark/>
          </w:tcPr>
          <w:p w14:paraId="00C446F5" w14:textId="0F4E3EDF" w:rsidR="009870A7" w:rsidRPr="000C4057" w:rsidRDefault="009870A7" w:rsidP="000C4057">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04E2C2FB" w14:textId="77777777" w:rsidR="009870A7" w:rsidRPr="000C4057" w:rsidRDefault="009870A7" w:rsidP="000C4057">
            <w:pPr>
              <w:jc w:val="right"/>
              <w:rPr>
                <w:rFonts w:cs="Calibri"/>
                <w:b/>
                <w:bCs/>
                <w:color w:val="FFFFFF"/>
                <w:sz w:val="13"/>
                <w:szCs w:val="13"/>
              </w:rPr>
            </w:pPr>
            <w:r w:rsidRPr="000C4057">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0A5EBD7A" w14:textId="77777777" w:rsidR="009870A7" w:rsidRPr="000C4057" w:rsidRDefault="009870A7" w:rsidP="000C4057">
            <w:pPr>
              <w:jc w:val="right"/>
              <w:rPr>
                <w:rFonts w:cs="Calibri"/>
                <w:b/>
                <w:bCs/>
                <w:color w:val="FFFFFF"/>
                <w:sz w:val="13"/>
                <w:szCs w:val="13"/>
              </w:rPr>
            </w:pPr>
            <w:r w:rsidRPr="000C4057">
              <w:rPr>
                <w:rFonts w:cs="Calibri"/>
                <w:b/>
                <w:bCs/>
                <w:color w:val="FFFFFF"/>
                <w:sz w:val="13"/>
                <w:szCs w:val="13"/>
              </w:rPr>
              <w:t>2018</w:t>
            </w:r>
          </w:p>
        </w:tc>
      </w:tr>
      <w:tr w:rsidR="004F7324" w:rsidRPr="0068723D" w14:paraId="424F2518"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847B1F9"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Podatek dochodowy bieżący</w:t>
            </w:r>
          </w:p>
        </w:tc>
        <w:tc>
          <w:tcPr>
            <w:tcW w:w="1418" w:type="dxa"/>
            <w:tcBorders>
              <w:top w:val="nil"/>
              <w:left w:val="nil"/>
              <w:bottom w:val="single" w:sz="4" w:space="0" w:color="0077BD"/>
              <w:right w:val="single" w:sz="8" w:space="0" w:color="0077BD"/>
            </w:tcBorders>
            <w:shd w:val="clear" w:color="auto" w:fill="auto"/>
            <w:noWrap/>
            <w:vAlign w:val="center"/>
          </w:tcPr>
          <w:p w14:paraId="61835AD2" w14:textId="3462D921" w:rsidR="004F7324" w:rsidRPr="00135D91" w:rsidRDefault="004F7324" w:rsidP="004F7324">
            <w:pPr>
              <w:jc w:val="right"/>
              <w:rPr>
                <w:rFonts w:cs="Calibri"/>
                <w:color w:val="000000" w:themeColor="text1"/>
                <w:sz w:val="13"/>
                <w:szCs w:val="13"/>
              </w:rPr>
            </w:pPr>
            <w:r w:rsidRPr="00135D91">
              <w:rPr>
                <w:color w:val="000000" w:themeColor="text1"/>
                <w:sz w:val="13"/>
                <w:szCs w:val="13"/>
              </w:rPr>
              <w:t>(532 719)</w:t>
            </w:r>
          </w:p>
        </w:tc>
        <w:tc>
          <w:tcPr>
            <w:tcW w:w="1418" w:type="dxa"/>
            <w:tcBorders>
              <w:top w:val="nil"/>
              <w:left w:val="nil"/>
              <w:bottom w:val="single" w:sz="4" w:space="0" w:color="0077BD"/>
              <w:right w:val="nil"/>
            </w:tcBorders>
            <w:shd w:val="clear" w:color="auto" w:fill="auto"/>
            <w:noWrap/>
            <w:vAlign w:val="center"/>
            <w:hideMark/>
          </w:tcPr>
          <w:p w14:paraId="0740216E" w14:textId="77777777" w:rsidR="004F7324" w:rsidRPr="00135D91" w:rsidRDefault="004F7324" w:rsidP="004F7324">
            <w:pPr>
              <w:jc w:val="right"/>
              <w:rPr>
                <w:rFonts w:cs="Calibri"/>
                <w:color w:val="000000" w:themeColor="text1"/>
                <w:sz w:val="13"/>
                <w:szCs w:val="13"/>
              </w:rPr>
            </w:pPr>
            <w:r w:rsidRPr="00135D91">
              <w:rPr>
                <w:rFonts w:cs="Calibri"/>
                <w:color w:val="000000" w:themeColor="text1"/>
                <w:sz w:val="13"/>
                <w:szCs w:val="13"/>
              </w:rPr>
              <w:t>(767 217)</w:t>
            </w:r>
          </w:p>
        </w:tc>
      </w:tr>
      <w:tr w:rsidR="004F7324" w:rsidRPr="0068723D" w14:paraId="5A4913EB"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714EE308" w14:textId="4B9BED05" w:rsidR="004F7324" w:rsidRPr="00135D91" w:rsidRDefault="004F7324" w:rsidP="004F7324">
            <w:pPr>
              <w:rPr>
                <w:rFonts w:cs="Calibri"/>
                <w:color w:val="000000" w:themeColor="text1"/>
                <w:sz w:val="13"/>
                <w:szCs w:val="13"/>
              </w:rPr>
            </w:pPr>
            <w:r w:rsidRPr="00135D91">
              <w:rPr>
                <w:rFonts w:cs="Calibri"/>
                <w:color w:val="000000" w:themeColor="text1"/>
                <w:sz w:val="13"/>
                <w:szCs w:val="13"/>
              </w:rPr>
              <w:t>Podatek dochodowy odroczony</w:t>
            </w:r>
            <w:r w:rsidR="003A4C18" w:rsidRPr="00135D91">
              <w:rPr>
                <w:rFonts w:cs="Calibri"/>
                <w:color w:val="000000" w:themeColor="text1"/>
                <w:sz w:val="13"/>
                <w:szCs w:val="13"/>
              </w:rPr>
              <w:t xml:space="preserve"> (Nota 31)</w:t>
            </w:r>
          </w:p>
        </w:tc>
        <w:tc>
          <w:tcPr>
            <w:tcW w:w="1418" w:type="dxa"/>
            <w:tcBorders>
              <w:top w:val="nil"/>
              <w:left w:val="nil"/>
              <w:bottom w:val="single" w:sz="8" w:space="0" w:color="0077BD"/>
              <w:right w:val="single" w:sz="8" w:space="0" w:color="0077BD"/>
            </w:tcBorders>
            <w:shd w:val="clear" w:color="auto" w:fill="auto"/>
            <w:noWrap/>
            <w:vAlign w:val="center"/>
          </w:tcPr>
          <w:p w14:paraId="7A689786" w14:textId="4F3087E0" w:rsidR="004F7324" w:rsidRPr="00135D91" w:rsidRDefault="004F7324" w:rsidP="004F7324">
            <w:pPr>
              <w:jc w:val="right"/>
              <w:rPr>
                <w:rFonts w:cs="Calibri"/>
                <w:color w:val="000000" w:themeColor="text1"/>
                <w:sz w:val="13"/>
                <w:szCs w:val="13"/>
              </w:rPr>
            </w:pPr>
            <w:r w:rsidRPr="00135D91">
              <w:rPr>
                <w:color w:val="000000" w:themeColor="text1"/>
                <w:sz w:val="13"/>
                <w:szCs w:val="13"/>
              </w:rPr>
              <w:t>(12 074)</w:t>
            </w:r>
          </w:p>
        </w:tc>
        <w:tc>
          <w:tcPr>
            <w:tcW w:w="1418" w:type="dxa"/>
            <w:tcBorders>
              <w:top w:val="nil"/>
              <w:left w:val="nil"/>
              <w:bottom w:val="single" w:sz="8" w:space="0" w:color="0077BD"/>
              <w:right w:val="nil"/>
            </w:tcBorders>
            <w:shd w:val="clear" w:color="auto" w:fill="auto"/>
            <w:noWrap/>
            <w:vAlign w:val="center"/>
            <w:hideMark/>
          </w:tcPr>
          <w:p w14:paraId="1989E5FE" w14:textId="77777777" w:rsidR="004F7324" w:rsidRPr="00135D91" w:rsidRDefault="004F7324" w:rsidP="004F7324">
            <w:pPr>
              <w:jc w:val="right"/>
              <w:rPr>
                <w:rFonts w:cs="Calibri"/>
                <w:color w:val="000000" w:themeColor="text1"/>
                <w:sz w:val="13"/>
                <w:szCs w:val="13"/>
              </w:rPr>
            </w:pPr>
            <w:r w:rsidRPr="00135D91">
              <w:rPr>
                <w:rFonts w:cs="Calibri"/>
                <w:color w:val="000000" w:themeColor="text1"/>
                <w:sz w:val="13"/>
                <w:szCs w:val="13"/>
              </w:rPr>
              <w:t>283 272</w:t>
            </w:r>
          </w:p>
        </w:tc>
      </w:tr>
      <w:tr w:rsidR="004F7324" w:rsidRPr="0068723D" w14:paraId="6DBB58F3"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408E059F" w14:textId="77777777" w:rsidR="004F7324" w:rsidRPr="00135D91" w:rsidRDefault="004F7324" w:rsidP="004F7324">
            <w:pPr>
              <w:rPr>
                <w:rFonts w:cs="Calibri"/>
                <w:b/>
                <w:bCs/>
                <w:color w:val="000000" w:themeColor="text1"/>
                <w:sz w:val="13"/>
                <w:szCs w:val="13"/>
              </w:rPr>
            </w:pPr>
            <w:r w:rsidRPr="00135D91">
              <w:rPr>
                <w:rFonts w:cs="Calibri"/>
                <w:b/>
                <w:bCs/>
                <w:color w:val="000000" w:themeColor="text1"/>
                <w:sz w:val="13"/>
                <w:szCs w:val="13"/>
              </w:rPr>
              <w:t>Podatek dochodowy, razem</w:t>
            </w:r>
          </w:p>
        </w:tc>
        <w:tc>
          <w:tcPr>
            <w:tcW w:w="1418" w:type="dxa"/>
            <w:tcBorders>
              <w:top w:val="nil"/>
              <w:left w:val="nil"/>
              <w:bottom w:val="single" w:sz="8" w:space="0" w:color="0077BD"/>
              <w:right w:val="single" w:sz="8" w:space="0" w:color="0077BD"/>
            </w:tcBorders>
            <w:shd w:val="clear" w:color="auto" w:fill="auto"/>
            <w:vAlign w:val="center"/>
            <w:hideMark/>
          </w:tcPr>
          <w:p w14:paraId="237A8A24" w14:textId="1A5399BD" w:rsidR="004F7324" w:rsidRPr="00135D91" w:rsidRDefault="004F7324" w:rsidP="004F7324">
            <w:pPr>
              <w:jc w:val="right"/>
              <w:rPr>
                <w:rFonts w:cs="Calibri"/>
                <w:b/>
                <w:bCs/>
                <w:color w:val="000000" w:themeColor="text1"/>
                <w:sz w:val="13"/>
                <w:szCs w:val="13"/>
              </w:rPr>
            </w:pPr>
            <w:r w:rsidRPr="00135D91">
              <w:rPr>
                <w:b/>
                <w:color w:val="000000" w:themeColor="text1"/>
                <w:sz w:val="13"/>
                <w:szCs w:val="13"/>
              </w:rPr>
              <w:t>(544 793)</w:t>
            </w:r>
          </w:p>
        </w:tc>
        <w:tc>
          <w:tcPr>
            <w:tcW w:w="1418" w:type="dxa"/>
            <w:tcBorders>
              <w:top w:val="nil"/>
              <w:left w:val="nil"/>
              <w:bottom w:val="single" w:sz="8" w:space="0" w:color="0077BD"/>
              <w:right w:val="nil"/>
            </w:tcBorders>
            <w:shd w:val="clear" w:color="auto" w:fill="auto"/>
            <w:vAlign w:val="center"/>
            <w:hideMark/>
          </w:tcPr>
          <w:p w14:paraId="2F1257B4" w14:textId="77777777" w:rsidR="004F7324" w:rsidRPr="00135D91" w:rsidRDefault="004F7324" w:rsidP="004F7324">
            <w:pPr>
              <w:jc w:val="right"/>
              <w:rPr>
                <w:rFonts w:cs="Calibri"/>
                <w:b/>
                <w:bCs/>
                <w:color w:val="000000" w:themeColor="text1"/>
                <w:sz w:val="13"/>
                <w:szCs w:val="13"/>
              </w:rPr>
            </w:pPr>
            <w:r w:rsidRPr="00135D91">
              <w:rPr>
                <w:rFonts w:cs="Calibri"/>
                <w:b/>
                <w:bCs/>
                <w:color w:val="000000" w:themeColor="text1"/>
                <w:sz w:val="13"/>
                <w:szCs w:val="13"/>
              </w:rPr>
              <w:t>(483 945)</w:t>
            </w:r>
          </w:p>
        </w:tc>
      </w:tr>
      <w:tr w:rsidR="00454B96" w:rsidRPr="0075574A" w14:paraId="0EB0F101" w14:textId="77777777" w:rsidTr="009512FD">
        <w:trPr>
          <w:trHeight w:val="20"/>
        </w:trPr>
        <w:tc>
          <w:tcPr>
            <w:tcW w:w="6747" w:type="dxa"/>
            <w:tcBorders>
              <w:top w:val="nil"/>
              <w:left w:val="nil"/>
              <w:bottom w:val="nil"/>
              <w:right w:val="nil"/>
            </w:tcBorders>
            <w:shd w:val="clear" w:color="000000" w:fill="FFFFFF"/>
            <w:vAlign w:val="center"/>
          </w:tcPr>
          <w:p w14:paraId="475043D5" w14:textId="71D6BEE8" w:rsidR="000C4057" w:rsidRPr="00135D91" w:rsidRDefault="000C4057" w:rsidP="000C4057">
            <w:pPr>
              <w:rPr>
                <w:rFonts w:cs="Calibri"/>
                <w:b/>
                <w:bCs/>
                <w:color w:val="000000" w:themeColor="text1"/>
                <w:sz w:val="8"/>
                <w:szCs w:val="8"/>
              </w:rPr>
            </w:pPr>
          </w:p>
        </w:tc>
        <w:tc>
          <w:tcPr>
            <w:tcW w:w="1418" w:type="dxa"/>
            <w:tcBorders>
              <w:top w:val="nil"/>
              <w:left w:val="nil"/>
              <w:bottom w:val="nil"/>
              <w:right w:val="nil"/>
            </w:tcBorders>
            <w:shd w:val="clear" w:color="000000" w:fill="FFFFFF"/>
            <w:vAlign w:val="center"/>
          </w:tcPr>
          <w:p w14:paraId="6D472F66" w14:textId="01A21330" w:rsidR="000C4057" w:rsidRPr="00135D91" w:rsidRDefault="000C4057" w:rsidP="000C4057">
            <w:pPr>
              <w:jc w:val="right"/>
              <w:rPr>
                <w:rFonts w:cs="Calibri"/>
                <w:color w:val="000000" w:themeColor="text1"/>
                <w:sz w:val="8"/>
                <w:szCs w:val="8"/>
              </w:rPr>
            </w:pPr>
          </w:p>
        </w:tc>
        <w:tc>
          <w:tcPr>
            <w:tcW w:w="1418" w:type="dxa"/>
            <w:tcBorders>
              <w:top w:val="nil"/>
              <w:left w:val="nil"/>
              <w:bottom w:val="nil"/>
              <w:right w:val="nil"/>
            </w:tcBorders>
            <w:shd w:val="clear" w:color="000000" w:fill="FFFFFF"/>
            <w:vAlign w:val="center"/>
          </w:tcPr>
          <w:p w14:paraId="5EF240E8" w14:textId="0AF20478" w:rsidR="000C4057" w:rsidRPr="00135D91" w:rsidRDefault="000C4057" w:rsidP="000C4057">
            <w:pPr>
              <w:jc w:val="right"/>
              <w:rPr>
                <w:rFonts w:cs="Calibri"/>
                <w:color w:val="000000" w:themeColor="text1"/>
                <w:sz w:val="8"/>
                <w:szCs w:val="8"/>
              </w:rPr>
            </w:pPr>
          </w:p>
        </w:tc>
      </w:tr>
      <w:tr w:rsidR="004F7324" w:rsidRPr="0068723D" w14:paraId="09CC1FFF" w14:textId="77777777" w:rsidTr="007557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51A7C58" w14:textId="77777777" w:rsidR="004F7324" w:rsidRPr="00135D91" w:rsidRDefault="004F7324" w:rsidP="004F7324">
            <w:pPr>
              <w:rPr>
                <w:rFonts w:cs="Calibri"/>
                <w:b/>
                <w:bCs/>
                <w:color w:val="000000" w:themeColor="text1"/>
                <w:sz w:val="13"/>
                <w:szCs w:val="13"/>
              </w:rPr>
            </w:pPr>
            <w:r w:rsidRPr="00135D91">
              <w:rPr>
                <w:rFonts w:cs="Calibri"/>
                <w:b/>
                <w:bCs/>
                <w:color w:val="000000" w:themeColor="text1"/>
                <w:sz w:val="13"/>
                <w:szCs w:val="13"/>
              </w:rPr>
              <w:t>Zysk przed opodatkowaniem</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542112A9" w14:textId="4260CEFC" w:rsidR="004F7324" w:rsidRPr="00135D91" w:rsidRDefault="004F7324" w:rsidP="004F7324">
            <w:pPr>
              <w:jc w:val="right"/>
              <w:rPr>
                <w:rFonts w:cs="Calibri"/>
                <w:b/>
                <w:bCs/>
                <w:color w:val="000000" w:themeColor="text1"/>
                <w:sz w:val="13"/>
                <w:szCs w:val="13"/>
              </w:rPr>
            </w:pPr>
            <w:r w:rsidRPr="00135D91">
              <w:rPr>
                <w:b/>
                <w:color w:val="000000" w:themeColor="text1"/>
                <w:sz w:val="13"/>
                <w:szCs w:val="13"/>
              </w:rPr>
              <w:t>1 555 045</w:t>
            </w:r>
          </w:p>
        </w:tc>
        <w:tc>
          <w:tcPr>
            <w:tcW w:w="1418" w:type="dxa"/>
            <w:tcBorders>
              <w:top w:val="single" w:sz="8" w:space="0" w:color="0077BD"/>
              <w:left w:val="nil"/>
              <w:bottom w:val="single" w:sz="8" w:space="0" w:color="0077BD"/>
              <w:right w:val="nil"/>
            </w:tcBorders>
            <w:shd w:val="clear" w:color="auto" w:fill="auto"/>
            <w:vAlign w:val="center"/>
            <w:hideMark/>
          </w:tcPr>
          <w:p w14:paraId="13D5BD4E" w14:textId="5B9B9FC0" w:rsidR="004F7324" w:rsidRPr="00135D91" w:rsidRDefault="00C67B6A" w:rsidP="00C67B6A">
            <w:pPr>
              <w:jc w:val="right"/>
              <w:rPr>
                <w:rFonts w:cs="Calibri"/>
                <w:b/>
                <w:bCs/>
                <w:color w:val="000000" w:themeColor="text1"/>
                <w:sz w:val="13"/>
                <w:szCs w:val="13"/>
              </w:rPr>
            </w:pPr>
            <w:r w:rsidRPr="00135D91">
              <w:rPr>
                <w:rFonts w:cs="Calibri"/>
                <w:b/>
                <w:bCs/>
                <w:color w:val="000000" w:themeColor="text1"/>
                <w:sz w:val="13"/>
                <w:szCs w:val="13"/>
              </w:rPr>
              <w:t>1 786</w:t>
            </w:r>
            <w:r w:rsidR="004F7324" w:rsidRPr="00135D91">
              <w:rPr>
                <w:rFonts w:cs="Calibri"/>
                <w:b/>
                <w:bCs/>
                <w:color w:val="000000" w:themeColor="text1"/>
                <w:sz w:val="13"/>
                <w:szCs w:val="13"/>
              </w:rPr>
              <w:t xml:space="preserve"> </w:t>
            </w:r>
            <w:r w:rsidRPr="00135D91">
              <w:rPr>
                <w:rFonts w:cs="Calibri"/>
                <w:b/>
                <w:bCs/>
                <w:color w:val="000000" w:themeColor="text1"/>
                <w:sz w:val="13"/>
                <w:szCs w:val="13"/>
              </w:rPr>
              <w:t>649</w:t>
            </w:r>
          </w:p>
        </w:tc>
      </w:tr>
      <w:tr w:rsidR="004F7324" w:rsidRPr="0068723D" w14:paraId="5BECB2D8"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6F43820"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Podatek zgodnie ze stawką obowiązującą w Polsce w danym roku podatkowym (19%)</w:t>
            </w:r>
          </w:p>
        </w:tc>
        <w:tc>
          <w:tcPr>
            <w:tcW w:w="1418" w:type="dxa"/>
            <w:tcBorders>
              <w:top w:val="nil"/>
              <w:left w:val="nil"/>
              <w:bottom w:val="single" w:sz="4" w:space="0" w:color="0077BD"/>
              <w:right w:val="single" w:sz="8" w:space="0" w:color="0077BD"/>
            </w:tcBorders>
            <w:shd w:val="clear" w:color="auto" w:fill="auto"/>
            <w:noWrap/>
            <w:vAlign w:val="center"/>
          </w:tcPr>
          <w:p w14:paraId="121A1033" w14:textId="16F174BD" w:rsidR="004F7324" w:rsidRPr="00135D91" w:rsidRDefault="004F7324" w:rsidP="004F7324">
            <w:pPr>
              <w:jc w:val="right"/>
              <w:rPr>
                <w:rFonts w:cs="Calibri"/>
                <w:color w:val="000000" w:themeColor="text1"/>
                <w:sz w:val="13"/>
                <w:szCs w:val="13"/>
              </w:rPr>
            </w:pPr>
            <w:r w:rsidRPr="00135D91">
              <w:rPr>
                <w:color w:val="000000" w:themeColor="text1"/>
                <w:sz w:val="13"/>
                <w:szCs w:val="13"/>
              </w:rPr>
              <w:t>(295 459)</w:t>
            </w:r>
          </w:p>
        </w:tc>
        <w:tc>
          <w:tcPr>
            <w:tcW w:w="1418" w:type="dxa"/>
            <w:tcBorders>
              <w:top w:val="nil"/>
              <w:left w:val="nil"/>
              <w:bottom w:val="single" w:sz="4" w:space="0" w:color="0077BD"/>
              <w:right w:val="nil"/>
            </w:tcBorders>
            <w:shd w:val="clear" w:color="auto" w:fill="auto"/>
            <w:noWrap/>
            <w:vAlign w:val="center"/>
            <w:hideMark/>
          </w:tcPr>
          <w:p w14:paraId="0CEC2FA6" w14:textId="6AAB53AD" w:rsidR="004F7324" w:rsidRPr="00135D91" w:rsidRDefault="00C67B6A" w:rsidP="00C67B6A">
            <w:pPr>
              <w:jc w:val="right"/>
              <w:rPr>
                <w:rFonts w:cs="Calibri"/>
                <w:color w:val="000000" w:themeColor="text1"/>
                <w:sz w:val="13"/>
                <w:szCs w:val="13"/>
              </w:rPr>
            </w:pPr>
            <w:r w:rsidRPr="00135D91">
              <w:rPr>
                <w:rFonts w:cs="Calibri"/>
                <w:color w:val="000000" w:themeColor="text1"/>
                <w:sz w:val="13"/>
                <w:szCs w:val="13"/>
              </w:rPr>
              <w:t>(339</w:t>
            </w:r>
            <w:r w:rsidR="004F7324" w:rsidRPr="00135D91">
              <w:rPr>
                <w:rFonts w:cs="Calibri"/>
                <w:color w:val="000000" w:themeColor="text1"/>
                <w:sz w:val="13"/>
                <w:szCs w:val="13"/>
              </w:rPr>
              <w:t xml:space="preserve"> </w:t>
            </w:r>
            <w:r w:rsidRPr="00135D91">
              <w:rPr>
                <w:rFonts w:cs="Calibri"/>
                <w:color w:val="000000" w:themeColor="text1"/>
                <w:sz w:val="13"/>
                <w:szCs w:val="13"/>
              </w:rPr>
              <w:t>463</w:t>
            </w:r>
            <w:r w:rsidR="004F7324" w:rsidRPr="00135D91">
              <w:rPr>
                <w:rFonts w:cs="Calibri"/>
                <w:color w:val="000000" w:themeColor="text1"/>
                <w:sz w:val="13"/>
                <w:szCs w:val="13"/>
              </w:rPr>
              <w:t>)</w:t>
            </w:r>
          </w:p>
        </w:tc>
      </w:tr>
      <w:tr w:rsidR="004F7324" w:rsidRPr="0068723D" w14:paraId="0BCA6277"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295E382"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Wpływ różnych stawek opodatkowania obowiązujących w innych krajach</w:t>
            </w:r>
          </w:p>
        </w:tc>
        <w:tc>
          <w:tcPr>
            <w:tcW w:w="1418" w:type="dxa"/>
            <w:tcBorders>
              <w:top w:val="nil"/>
              <w:left w:val="nil"/>
              <w:bottom w:val="single" w:sz="4" w:space="0" w:color="0077BD"/>
              <w:right w:val="single" w:sz="8" w:space="0" w:color="0077BD"/>
            </w:tcBorders>
            <w:shd w:val="clear" w:color="auto" w:fill="auto"/>
            <w:noWrap/>
            <w:vAlign w:val="center"/>
          </w:tcPr>
          <w:p w14:paraId="6B45C04D" w14:textId="48182C4F" w:rsidR="004F7324" w:rsidRPr="00135D91" w:rsidRDefault="004F7324" w:rsidP="004F7324">
            <w:pPr>
              <w:jc w:val="right"/>
              <w:rPr>
                <w:rFonts w:cs="Calibri"/>
                <w:color w:val="000000" w:themeColor="text1"/>
                <w:sz w:val="13"/>
                <w:szCs w:val="13"/>
              </w:rPr>
            </w:pPr>
            <w:r w:rsidRPr="00135D91">
              <w:rPr>
                <w:color w:val="000000" w:themeColor="text1"/>
                <w:sz w:val="13"/>
                <w:szCs w:val="13"/>
              </w:rPr>
              <w:t>(165)</w:t>
            </w:r>
          </w:p>
        </w:tc>
        <w:tc>
          <w:tcPr>
            <w:tcW w:w="1418" w:type="dxa"/>
            <w:tcBorders>
              <w:top w:val="nil"/>
              <w:left w:val="nil"/>
              <w:bottom w:val="single" w:sz="4" w:space="0" w:color="0077BD"/>
              <w:right w:val="nil"/>
            </w:tcBorders>
            <w:shd w:val="clear" w:color="auto" w:fill="auto"/>
            <w:noWrap/>
            <w:vAlign w:val="center"/>
            <w:hideMark/>
          </w:tcPr>
          <w:p w14:paraId="6DEF2E26" w14:textId="77777777" w:rsidR="004F7324" w:rsidRPr="00135D91" w:rsidRDefault="004F7324" w:rsidP="004F7324">
            <w:pPr>
              <w:jc w:val="right"/>
              <w:rPr>
                <w:rFonts w:cs="Calibri"/>
                <w:color w:val="000000" w:themeColor="text1"/>
                <w:sz w:val="13"/>
                <w:szCs w:val="13"/>
              </w:rPr>
            </w:pPr>
            <w:r w:rsidRPr="00135D91">
              <w:rPr>
                <w:rFonts w:cs="Calibri"/>
                <w:color w:val="000000" w:themeColor="text1"/>
                <w:sz w:val="13"/>
                <w:szCs w:val="13"/>
              </w:rPr>
              <w:t>163</w:t>
            </w:r>
          </w:p>
        </w:tc>
      </w:tr>
      <w:tr w:rsidR="004F7324" w:rsidRPr="0068723D" w14:paraId="7A7A1539"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E30300A"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Dochody nie podlegające opodatkowaniu</w:t>
            </w:r>
          </w:p>
        </w:tc>
        <w:tc>
          <w:tcPr>
            <w:tcW w:w="1418" w:type="dxa"/>
            <w:tcBorders>
              <w:top w:val="nil"/>
              <w:left w:val="nil"/>
              <w:bottom w:val="single" w:sz="4" w:space="0" w:color="0077BD"/>
              <w:right w:val="single" w:sz="8" w:space="0" w:color="0077BD"/>
            </w:tcBorders>
            <w:shd w:val="clear" w:color="auto" w:fill="auto"/>
            <w:noWrap/>
            <w:vAlign w:val="center"/>
          </w:tcPr>
          <w:p w14:paraId="49AFF468" w14:textId="6268AEA2" w:rsidR="004F7324" w:rsidRPr="00135D91" w:rsidRDefault="004F7324" w:rsidP="004F7324">
            <w:pPr>
              <w:jc w:val="right"/>
              <w:rPr>
                <w:rFonts w:cs="Calibri"/>
                <w:color w:val="000000" w:themeColor="text1"/>
                <w:sz w:val="13"/>
                <w:szCs w:val="13"/>
              </w:rPr>
            </w:pPr>
            <w:r w:rsidRPr="00135D91">
              <w:rPr>
                <w:color w:val="000000" w:themeColor="text1"/>
                <w:sz w:val="13"/>
                <w:szCs w:val="13"/>
              </w:rPr>
              <w:t>4 396</w:t>
            </w:r>
          </w:p>
        </w:tc>
        <w:tc>
          <w:tcPr>
            <w:tcW w:w="1418" w:type="dxa"/>
            <w:tcBorders>
              <w:top w:val="nil"/>
              <w:left w:val="nil"/>
              <w:bottom w:val="single" w:sz="4" w:space="0" w:color="0077BD"/>
              <w:right w:val="nil"/>
            </w:tcBorders>
            <w:shd w:val="clear" w:color="auto" w:fill="auto"/>
            <w:noWrap/>
            <w:vAlign w:val="center"/>
            <w:hideMark/>
          </w:tcPr>
          <w:p w14:paraId="7E400E86" w14:textId="77777777" w:rsidR="004F7324" w:rsidRPr="00135D91" w:rsidRDefault="004F7324" w:rsidP="004F7324">
            <w:pPr>
              <w:jc w:val="right"/>
              <w:rPr>
                <w:rFonts w:cs="Calibri"/>
                <w:color w:val="000000" w:themeColor="text1"/>
                <w:sz w:val="13"/>
                <w:szCs w:val="13"/>
              </w:rPr>
            </w:pPr>
            <w:r w:rsidRPr="00135D91">
              <w:rPr>
                <w:rFonts w:cs="Calibri"/>
                <w:color w:val="000000" w:themeColor="text1"/>
                <w:sz w:val="13"/>
                <w:szCs w:val="13"/>
              </w:rPr>
              <w:t>4 915</w:t>
            </w:r>
          </w:p>
        </w:tc>
      </w:tr>
      <w:tr w:rsidR="004F7324" w:rsidRPr="0068723D" w14:paraId="3BDE27DD"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88D374D"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Koszty nie stanowiące kosztów uzyskania przychodów*</w:t>
            </w:r>
          </w:p>
        </w:tc>
        <w:tc>
          <w:tcPr>
            <w:tcW w:w="1418" w:type="dxa"/>
            <w:tcBorders>
              <w:top w:val="nil"/>
              <w:left w:val="nil"/>
              <w:bottom w:val="single" w:sz="4" w:space="0" w:color="0077BD"/>
              <w:right w:val="single" w:sz="8" w:space="0" w:color="0077BD"/>
            </w:tcBorders>
            <w:shd w:val="clear" w:color="auto" w:fill="auto"/>
            <w:noWrap/>
            <w:vAlign w:val="center"/>
          </w:tcPr>
          <w:p w14:paraId="1C8F47BC" w14:textId="6500782E" w:rsidR="004F7324" w:rsidRPr="00135D91" w:rsidRDefault="004F7324" w:rsidP="004F7324">
            <w:pPr>
              <w:jc w:val="right"/>
              <w:rPr>
                <w:rFonts w:cs="Calibri"/>
                <w:color w:val="000000" w:themeColor="text1"/>
                <w:sz w:val="13"/>
                <w:szCs w:val="13"/>
              </w:rPr>
            </w:pPr>
            <w:r w:rsidRPr="00135D91">
              <w:rPr>
                <w:color w:val="000000" w:themeColor="text1"/>
                <w:sz w:val="13"/>
                <w:szCs w:val="13"/>
              </w:rPr>
              <w:t>(252 684)</w:t>
            </w:r>
          </w:p>
        </w:tc>
        <w:tc>
          <w:tcPr>
            <w:tcW w:w="1418" w:type="dxa"/>
            <w:tcBorders>
              <w:top w:val="nil"/>
              <w:left w:val="nil"/>
              <w:bottom w:val="single" w:sz="4" w:space="0" w:color="0077BD"/>
              <w:right w:val="nil"/>
            </w:tcBorders>
            <w:shd w:val="clear" w:color="auto" w:fill="auto"/>
            <w:noWrap/>
            <w:vAlign w:val="center"/>
            <w:hideMark/>
          </w:tcPr>
          <w:p w14:paraId="3FBFCB11" w14:textId="58CFD03C" w:rsidR="004F7324" w:rsidRPr="00135D91" w:rsidRDefault="00C67B6A" w:rsidP="00C67B6A">
            <w:pPr>
              <w:jc w:val="right"/>
              <w:rPr>
                <w:rFonts w:cs="Calibri"/>
                <w:color w:val="000000" w:themeColor="text1"/>
                <w:sz w:val="13"/>
                <w:szCs w:val="13"/>
              </w:rPr>
            </w:pPr>
            <w:r w:rsidRPr="00135D91">
              <w:rPr>
                <w:rFonts w:cs="Calibri"/>
                <w:color w:val="000000" w:themeColor="text1"/>
                <w:sz w:val="13"/>
                <w:szCs w:val="13"/>
              </w:rPr>
              <w:t>(149</w:t>
            </w:r>
            <w:r w:rsidR="004F7324" w:rsidRPr="00135D91">
              <w:rPr>
                <w:rFonts w:cs="Calibri"/>
                <w:color w:val="000000" w:themeColor="text1"/>
                <w:sz w:val="13"/>
                <w:szCs w:val="13"/>
              </w:rPr>
              <w:t xml:space="preserve"> </w:t>
            </w:r>
            <w:r w:rsidRPr="00135D91">
              <w:rPr>
                <w:rFonts w:cs="Calibri"/>
                <w:color w:val="000000" w:themeColor="text1"/>
                <w:sz w:val="13"/>
                <w:szCs w:val="13"/>
              </w:rPr>
              <w:t>399</w:t>
            </w:r>
            <w:r w:rsidR="004F7324" w:rsidRPr="00135D91">
              <w:rPr>
                <w:rFonts w:cs="Calibri"/>
                <w:color w:val="000000" w:themeColor="text1"/>
                <w:sz w:val="13"/>
                <w:szCs w:val="13"/>
              </w:rPr>
              <w:t>)</w:t>
            </w:r>
          </w:p>
        </w:tc>
      </w:tr>
      <w:tr w:rsidR="004F7324" w:rsidRPr="0068723D" w14:paraId="5FF51AFC"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4AC1736" w14:textId="77777777" w:rsidR="004F7324" w:rsidRPr="00135D91" w:rsidRDefault="004F7324" w:rsidP="004F7324">
            <w:pPr>
              <w:rPr>
                <w:rFonts w:cs="Calibri"/>
                <w:color w:val="000000" w:themeColor="text1"/>
                <w:sz w:val="13"/>
                <w:szCs w:val="13"/>
              </w:rPr>
            </w:pPr>
            <w:r w:rsidRPr="00135D91">
              <w:rPr>
                <w:rFonts w:cs="Calibri"/>
                <w:color w:val="000000" w:themeColor="text1"/>
                <w:sz w:val="13"/>
                <w:szCs w:val="13"/>
              </w:rPr>
              <w:t>Inne pozycje wpływające na wysokość obciążenia podatkowego</w:t>
            </w:r>
          </w:p>
        </w:tc>
        <w:tc>
          <w:tcPr>
            <w:tcW w:w="1418" w:type="dxa"/>
            <w:tcBorders>
              <w:top w:val="nil"/>
              <w:left w:val="nil"/>
              <w:bottom w:val="single" w:sz="4" w:space="0" w:color="0077BD"/>
              <w:right w:val="single" w:sz="8" w:space="0" w:color="0077BD"/>
            </w:tcBorders>
            <w:shd w:val="clear" w:color="auto" w:fill="auto"/>
            <w:noWrap/>
            <w:vAlign w:val="center"/>
          </w:tcPr>
          <w:p w14:paraId="690348DC" w14:textId="5E0F7C2A" w:rsidR="004F7324" w:rsidRPr="00135D91" w:rsidRDefault="004F7324" w:rsidP="004F7324">
            <w:pPr>
              <w:jc w:val="right"/>
              <w:rPr>
                <w:rFonts w:cs="Calibri"/>
                <w:color w:val="000000" w:themeColor="text1"/>
                <w:sz w:val="13"/>
                <w:szCs w:val="13"/>
              </w:rPr>
            </w:pPr>
            <w:r w:rsidRPr="00135D91">
              <w:rPr>
                <w:color w:val="000000" w:themeColor="text1"/>
                <w:sz w:val="13"/>
                <w:szCs w:val="13"/>
              </w:rPr>
              <w:t>(1 325)</w:t>
            </w:r>
          </w:p>
        </w:tc>
        <w:tc>
          <w:tcPr>
            <w:tcW w:w="1418" w:type="dxa"/>
            <w:tcBorders>
              <w:top w:val="nil"/>
              <w:left w:val="nil"/>
              <w:bottom w:val="single" w:sz="4" w:space="0" w:color="0077BD"/>
              <w:right w:val="nil"/>
            </w:tcBorders>
            <w:shd w:val="clear" w:color="auto" w:fill="auto"/>
            <w:noWrap/>
            <w:vAlign w:val="center"/>
            <w:hideMark/>
          </w:tcPr>
          <w:p w14:paraId="3E0EFC62" w14:textId="77777777" w:rsidR="004F7324" w:rsidRPr="00135D91" w:rsidRDefault="004F7324" w:rsidP="004F7324">
            <w:pPr>
              <w:jc w:val="right"/>
              <w:rPr>
                <w:rFonts w:cs="Calibri"/>
                <w:color w:val="000000" w:themeColor="text1"/>
                <w:sz w:val="13"/>
                <w:szCs w:val="13"/>
              </w:rPr>
            </w:pPr>
            <w:r w:rsidRPr="00135D91">
              <w:rPr>
                <w:rFonts w:cs="Calibri"/>
                <w:color w:val="000000" w:themeColor="text1"/>
                <w:sz w:val="13"/>
                <w:szCs w:val="13"/>
              </w:rPr>
              <w:t>6 816</w:t>
            </w:r>
          </w:p>
        </w:tc>
      </w:tr>
      <w:tr w:rsidR="00454B96" w:rsidRPr="0068723D" w14:paraId="3F6805AE"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605D21B1" w14:textId="77777777" w:rsidR="000C4057" w:rsidRPr="00135D91" w:rsidRDefault="000C4057" w:rsidP="000C4057">
            <w:pPr>
              <w:rPr>
                <w:rFonts w:cs="Calibri"/>
                <w:color w:val="000000" w:themeColor="text1"/>
                <w:sz w:val="13"/>
                <w:szCs w:val="13"/>
              </w:rPr>
            </w:pPr>
            <w:r w:rsidRPr="00135D91">
              <w:rPr>
                <w:rFonts w:cs="Calibri"/>
                <w:color w:val="000000" w:themeColor="text1"/>
                <w:sz w:val="13"/>
                <w:szCs w:val="13"/>
              </w:rPr>
              <w:t>Nieaktywowane straty podatkowe</w:t>
            </w:r>
          </w:p>
        </w:tc>
        <w:tc>
          <w:tcPr>
            <w:tcW w:w="1418" w:type="dxa"/>
            <w:tcBorders>
              <w:top w:val="nil"/>
              <w:left w:val="nil"/>
              <w:bottom w:val="single" w:sz="8" w:space="0" w:color="0077BD"/>
              <w:right w:val="single" w:sz="8" w:space="0" w:color="0077BD"/>
            </w:tcBorders>
            <w:shd w:val="clear" w:color="auto" w:fill="auto"/>
            <w:vAlign w:val="center"/>
          </w:tcPr>
          <w:p w14:paraId="6FE27BB5" w14:textId="6F653453" w:rsidR="000C4057" w:rsidRPr="00135D91" w:rsidRDefault="004F7324" w:rsidP="000C4057">
            <w:pPr>
              <w:jc w:val="right"/>
              <w:rPr>
                <w:rFonts w:cs="Calibri"/>
                <w:color w:val="000000" w:themeColor="text1"/>
                <w:sz w:val="13"/>
                <w:szCs w:val="13"/>
              </w:rPr>
            </w:pPr>
            <w:r w:rsidRPr="00135D91">
              <w:rPr>
                <w:rFonts w:cs="Calibri"/>
                <w:color w:val="000000" w:themeColor="text1"/>
                <w:sz w:val="13"/>
                <w:szCs w:val="13"/>
              </w:rPr>
              <w:t>444</w:t>
            </w:r>
          </w:p>
        </w:tc>
        <w:tc>
          <w:tcPr>
            <w:tcW w:w="1418" w:type="dxa"/>
            <w:tcBorders>
              <w:top w:val="nil"/>
              <w:left w:val="nil"/>
              <w:bottom w:val="single" w:sz="8" w:space="0" w:color="0077BD"/>
              <w:right w:val="nil"/>
            </w:tcBorders>
            <w:shd w:val="clear" w:color="auto" w:fill="auto"/>
            <w:vAlign w:val="center"/>
            <w:hideMark/>
          </w:tcPr>
          <w:p w14:paraId="5EB0CAFC" w14:textId="77777777" w:rsidR="000C4057" w:rsidRPr="00135D91" w:rsidRDefault="000C4057" w:rsidP="000C4057">
            <w:pPr>
              <w:jc w:val="right"/>
              <w:rPr>
                <w:rFonts w:cs="Calibri"/>
                <w:color w:val="000000" w:themeColor="text1"/>
                <w:sz w:val="13"/>
                <w:szCs w:val="13"/>
              </w:rPr>
            </w:pPr>
            <w:r w:rsidRPr="00135D91">
              <w:rPr>
                <w:rFonts w:cs="Calibri"/>
                <w:color w:val="000000" w:themeColor="text1"/>
                <w:sz w:val="13"/>
                <w:szCs w:val="13"/>
              </w:rPr>
              <w:t>(6 977)</w:t>
            </w:r>
          </w:p>
        </w:tc>
      </w:tr>
      <w:tr w:rsidR="00454B96" w:rsidRPr="0068723D" w14:paraId="4EA34E84"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14AEBFC7" w14:textId="77777777" w:rsidR="000C4057" w:rsidRPr="00135D91" w:rsidRDefault="000C4057" w:rsidP="000C4057">
            <w:pPr>
              <w:rPr>
                <w:rFonts w:cs="Calibri"/>
                <w:b/>
                <w:bCs/>
                <w:color w:val="000000" w:themeColor="text1"/>
                <w:sz w:val="13"/>
                <w:szCs w:val="13"/>
              </w:rPr>
            </w:pPr>
            <w:r w:rsidRPr="00135D91">
              <w:rPr>
                <w:rFonts w:cs="Calibri"/>
                <w:b/>
                <w:bCs/>
                <w:color w:val="000000" w:themeColor="text1"/>
                <w:sz w:val="13"/>
                <w:szCs w:val="13"/>
              </w:rPr>
              <w:t>Obciążenie podatkowe, razem</w:t>
            </w:r>
          </w:p>
        </w:tc>
        <w:tc>
          <w:tcPr>
            <w:tcW w:w="1418" w:type="dxa"/>
            <w:tcBorders>
              <w:top w:val="nil"/>
              <w:left w:val="nil"/>
              <w:bottom w:val="single" w:sz="8" w:space="0" w:color="0077BD"/>
              <w:right w:val="single" w:sz="8" w:space="0" w:color="0077BD"/>
            </w:tcBorders>
            <w:shd w:val="clear" w:color="auto" w:fill="auto"/>
            <w:vAlign w:val="center"/>
            <w:hideMark/>
          </w:tcPr>
          <w:p w14:paraId="0EFFE76C" w14:textId="61629A0E" w:rsidR="000C4057" w:rsidRPr="00135D91" w:rsidRDefault="004F7324" w:rsidP="000C4057">
            <w:pPr>
              <w:jc w:val="right"/>
              <w:rPr>
                <w:rFonts w:cs="Calibri"/>
                <w:b/>
                <w:bCs/>
                <w:color w:val="000000" w:themeColor="text1"/>
                <w:sz w:val="13"/>
                <w:szCs w:val="13"/>
              </w:rPr>
            </w:pPr>
            <w:r w:rsidRPr="00135D91">
              <w:rPr>
                <w:rFonts w:cs="Calibri"/>
                <w:b/>
                <w:bCs/>
                <w:color w:val="000000" w:themeColor="text1"/>
                <w:sz w:val="13"/>
                <w:szCs w:val="13"/>
              </w:rPr>
              <w:t>(544 793)</w:t>
            </w:r>
          </w:p>
        </w:tc>
        <w:tc>
          <w:tcPr>
            <w:tcW w:w="1418" w:type="dxa"/>
            <w:tcBorders>
              <w:top w:val="nil"/>
              <w:left w:val="nil"/>
              <w:bottom w:val="single" w:sz="8" w:space="0" w:color="0077BD"/>
              <w:right w:val="nil"/>
            </w:tcBorders>
            <w:shd w:val="clear" w:color="auto" w:fill="auto"/>
            <w:vAlign w:val="center"/>
            <w:hideMark/>
          </w:tcPr>
          <w:p w14:paraId="0A5DE192" w14:textId="77777777" w:rsidR="000C4057" w:rsidRPr="00135D91" w:rsidRDefault="000C4057" w:rsidP="000C4057">
            <w:pPr>
              <w:jc w:val="right"/>
              <w:rPr>
                <w:rFonts w:cs="Calibri"/>
                <w:b/>
                <w:bCs/>
                <w:color w:val="000000" w:themeColor="text1"/>
                <w:sz w:val="13"/>
                <w:szCs w:val="13"/>
              </w:rPr>
            </w:pPr>
            <w:r w:rsidRPr="00135D91">
              <w:rPr>
                <w:rFonts w:cs="Calibri"/>
                <w:b/>
                <w:bCs/>
                <w:color w:val="000000" w:themeColor="text1"/>
                <w:sz w:val="13"/>
                <w:szCs w:val="13"/>
              </w:rPr>
              <w:t>(483 945)</w:t>
            </w:r>
          </w:p>
        </w:tc>
      </w:tr>
      <w:tr w:rsidR="00454B96" w:rsidRPr="0075574A" w14:paraId="52D450B4" w14:textId="77777777" w:rsidTr="009512FD">
        <w:trPr>
          <w:trHeight w:val="20"/>
        </w:trPr>
        <w:tc>
          <w:tcPr>
            <w:tcW w:w="6747" w:type="dxa"/>
            <w:tcBorders>
              <w:top w:val="nil"/>
              <w:left w:val="nil"/>
              <w:bottom w:val="nil"/>
              <w:right w:val="nil"/>
            </w:tcBorders>
            <w:shd w:val="clear" w:color="000000" w:fill="FFFFFF"/>
            <w:vAlign w:val="center"/>
          </w:tcPr>
          <w:p w14:paraId="6A080BCC" w14:textId="6E2909B7" w:rsidR="000C4057" w:rsidRPr="00135D91" w:rsidRDefault="000C4057" w:rsidP="000C4057">
            <w:pPr>
              <w:rPr>
                <w:rFonts w:cs="Calibri"/>
                <w:color w:val="000000" w:themeColor="text1"/>
                <w:sz w:val="8"/>
                <w:szCs w:val="8"/>
              </w:rPr>
            </w:pPr>
          </w:p>
        </w:tc>
        <w:tc>
          <w:tcPr>
            <w:tcW w:w="1418" w:type="dxa"/>
            <w:tcBorders>
              <w:top w:val="nil"/>
              <w:left w:val="nil"/>
              <w:bottom w:val="nil"/>
              <w:right w:val="nil"/>
            </w:tcBorders>
            <w:shd w:val="clear" w:color="000000" w:fill="FFFFFF"/>
            <w:noWrap/>
            <w:vAlign w:val="center"/>
          </w:tcPr>
          <w:p w14:paraId="51B975E3" w14:textId="09A7C555" w:rsidR="000C4057" w:rsidRPr="00135D91" w:rsidRDefault="000C4057" w:rsidP="000C4057">
            <w:pPr>
              <w:jc w:val="right"/>
              <w:rPr>
                <w:rFonts w:cs="Calibri"/>
                <w:color w:val="000000" w:themeColor="text1"/>
                <w:sz w:val="8"/>
                <w:szCs w:val="8"/>
              </w:rPr>
            </w:pPr>
          </w:p>
        </w:tc>
        <w:tc>
          <w:tcPr>
            <w:tcW w:w="1418" w:type="dxa"/>
            <w:tcBorders>
              <w:top w:val="nil"/>
              <w:left w:val="nil"/>
              <w:bottom w:val="nil"/>
              <w:right w:val="nil"/>
            </w:tcBorders>
            <w:shd w:val="clear" w:color="000000" w:fill="FFFFFF"/>
            <w:noWrap/>
            <w:vAlign w:val="center"/>
          </w:tcPr>
          <w:p w14:paraId="52EC6B11" w14:textId="146F3743" w:rsidR="000C4057" w:rsidRPr="00135D91" w:rsidRDefault="000C4057" w:rsidP="000C4057">
            <w:pPr>
              <w:jc w:val="right"/>
              <w:rPr>
                <w:rFonts w:cs="Calibri"/>
                <w:color w:val="000000" w:themeColor="text1"/>
                <w:sz w:val="8"/>
                <w:szCs w:val="8"/>
              </w:rPr>
            </w:pPr>
          </w:p>
        </w:tc>
      </w:tr>
      <w:tr w:rsidR="00454B96" w:rsidRPr="0068723D" w14:paraId="33E88087" w14:textId="77777777" w:rsidTr="0075574A">
        <w:trPr>
          <w:trHeight w:val="255"/>
        </w:trPr>
        <w:tc>
          <w:tcPr>
            <w:tcW w:w="6747" w:type="dxa"/>
            <w:tcBorders>
              <w:top w:val="single" w:sz="8" w:space="0" w:color="0077BD"/>
              <w:left w:val="nil"/>
              <w:bottom w:val="single" w:sz="8" w:space="0" w:color="0077BD"/>
              <w:right w:val="nil"/>
            </w:tcBorders>
            <w:shd w:val="clear" w:color="000000" w:fill="FFFFFF"/>
            <w:vAlign w:val="center"/>
            <w:hideMark/>
          </w:tcPr>
          <w:p w14:paraId="3628E7F3" w14:textId="77777777" w:rsidR="000C4057" w:rsidRPr="00135D91" w:rsidRDefault="000C4057" w:rsidP="000C4057">
            <w:pPr>
              <w:rPr>
                <w:rFonts w:cs="Calibri"/>
                <w:b/>
                <w:bCs/>
                <w:color w:val="000000" w:themeColor="text1"/>
                <w:sz w:val="13"/>
                <w:szCs w:val="13"/>
              </w:rPr>
            </w:pPr>
            <w:r w:rsidRPr="00135D91">
              <w:rPr>
                <w:rFonts w:cs="Calibri"/>
                <w:b/>
                <w:bCs/>
                <w:color w:val="000000" w:themeColor="text1"/>
                <w:sz w:val="13"/>
                <w:szCs w:val="13"/>
              </w:rPr>
              <w:t>Kalkulacja efektywnej stopy podatkowej</w:t>
            </w:r>
          </w:p>
        </w:tc>
        <w:tc>
          <w:tcPr>
            <w:tcW w:w="1418" w:type="dxa"/>
            <w:tcBorders>
              <w:top w:val="single" w:sz="8" w:space="0" w:color="0077BD"/>
              <w:left w:val="nil"/>
              <w:bottom w:val="single" w:sz="8" w:space="0" w:color="0077BD"/>
              <w:right w:val="nil"/>
            </w:tcBorders>
            <w:shd w:val="clear" w:color="000000" w:fill="FFFFFF"/>
            <w:noWrap/>
            <w:vAlign w:val="center"/>
          </w:tcPr>
          <w:p w14:paraId="5A5737F5" w14:textId="5340D4B4" w:rsidR="000C4057" w:rsidRPr="00135D91" w:rsidRDefault="000C4057" w:rsidP="000C4057">
            <w:pPr>
              <w:jc w:val="right"/>
              <w:rPr>
                <w:rFonts w:cs="Calibri"/>
                <w:b/>
                <w:bCs/>
                <w:color w:val="000000" w:themeColor="text1"/>
                <w:sz w:val="13"/>
                <w:szCs w:val="13"/>
              </w:rPr>
            </w:pPr>
          </w:p>
        </w:tc>
        <w:tc>
          <w:tcPr>
            <w:tcW w:w="1418" w:type="dxa"/>
            <w:tcBorders>
              <w:top w:val="single" w:sz="8" w:space="0" w:color="0077BD"/>
              <w:left w:val="nil"/>
              <w:bottom w:val="single" w:sz="8" w:space="0" w:color="0077BD"/>
              <w:right w:val="nil"/>
            </w:tcBorders>
            <w:shd w:val="clear" w:color="000000" w:fill="FFFFFF"/>
            <w:noWrap/>
            <w:vAlign w:val="center"/>
          </w:tcPr>
          <w:p w14:paraId="5F0A944F" w14:textId="060A468A" w:rsidR="000C4057" w:rsidRPr="00135D91" w:rsidRDefault="000C4057" w:rsidP="000C4057">
            <w:pPr>
              <w:jc w:val="right"/>
              <w:rPr>
                <w:rFonts w:cs="Calibri"/>
                <w:b/>
                <w:bCs/>
                <w:color w:val="000000" w:themeColor="text1"/>
                <w:sz w:val="13"/>
                <w:szCs w:val="13"/>
              </w:rPr>
            </w:pPr>
          </w:p>
        </w:tc>
      </w:tr>
      <w:tr w:rsidR="00454B96" w:rsidRPr="0068723D" w14:paraId="72C87445"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9978F1C" w14:textId="77777777" w:rsidR="000C4057" w:rsidRPr="00135D91" w:rsidRDefault="000C4057" w:rsidP="000C4057">
            <w:pPr>
              <w:rPr>
                <w:rFonts w:cs="Calibri"/>
                <w:color w:val="000000" w:themeColor="text1"/>
                <w:sz w:val="13"/>
                <w:szCs w:val="13"/>
              </w:rPr>
            </w:pPr>
            <w:r w:rsidRPr="00135D91">
              <w:rPr>
                <w:rFonts w:cs="Calibri"/>
                <w:color w:val="000000" w:themeColor="text1"/>
                <w:sz w:val="13"/>
                <w:szCs w:val="13"/>
              </w:rPr>
              <w:t>Zysk (strata) brutto</w:t>
            </w:r>
          </w:p>
        </w:tc>
        <w:tc>
          <w:tcPr>
            <w:tcW w:w="1418" w:type="dxa"/>
            <w:tcBorders>
              <w:top w:val="nil"/>
              <w:left w:val="nil"/>
              <w:bottom w:val="single" w:sz="4" w:space="0" w:color="0077BD"/>
              <w:right w:val="single" w:sz="8" w:space="0" w:color="0077BD"/>
            </w:tcBorders>
            <w:shd w:val="clear" w:color="auto" w:fill="auto"/>
            <w:noWrap/>
            <w:vAlign w:val="center"/>
            <w:hideMark/>
          </w:tcPr>
          <w:p w14:paraId="465A1DBB" w14:textId="6A97043F" w:rsidR="000C4057" w:rsidRPr="00135D91" w:rsidRDefault="004F7324" w:rsidP="000C4057">
            <w:pPr>
              <w:jc w:val="right"/>
              <w:rPr>
                <w:rFonts w:cs="Calibri"/>
                <w:color w:val="000000" w:themeColor="text1"/>
                <w:sz w:val="13"/>
                <w:szCs w:val="13"/>
              </w:rPr>
            </w:pPr>
            <w:r w:rsidRPr="00135D91">
              <w:rPr>
                <w:rFonts w:cs="Calibri"/>
                <w:color w:val="000000" w:themeColor="text1"/>
                <w:sz w:val="13"/>
                <w:szCs w:val="13"/>
              </w:rPr>
              <w:t>1 555 045</w:t>
            </w:r>
          </w:p>
        </w:tc>
        <w:tc>
          <w:tcPr>
            <w:tcW w:w="1418" w:type="dxa"/>
            <w:tcBorders>
              <w:top w:val="nil"/>
              <w:left w:val="nil"/>
              <w:bottom w:val="single" w:sz="4" w:space="0" w:color="0077BD"/>
              <w:right w:val="nil"/>
            </w:tcBorders>
            <w:shd w:val="clear" w:color="auto" w:fill="auto"/>
            <w:noWrap/>
            <w:vAlign w:val="center"/>
            <w:hideMark/>
          </w:tcPr>
          <w:p w14:paraId="0A3372D1" w14:textId="28F79834" w:rsidR="000C4057" w:rsidRPr="00135D91" w:rsidRDefault="00C67B6A" w:rsidP="00C67B6A">
            <w:pPr>
              <w:jc w:val="right"/>
              <w:rPr>
                <w:rFonts w:cs="Calibri"/>
                <w:color w:val="000000" w:themeColor="text1"/>
                <w:sz w:val="13"/>
                <w:szCs w:val="13"/>
              </w:rPr>
            </w:pPr>
            <w:r w:rsidRPr="00135D91">
              <w:rPr>
                <w:rFonts w:cs="Calibri"/>
                <w:color w:val="000000" w:themeColor="text1"/>
                <w:sz w:val="13"/>
                <w:szCs w:val="13"/>
              </w:rPr>
              <w:t>1 786</w:t>
            </w:r>
            <w:r w:rsidR="000C4057" w:rsidRPr="00135D91">
              <w:rPr>
                <w:rFonts w:cs="Calibri"/>
                <w:color w:val="000000" w:themeColor="text1"/>
                <w:sz w:val="13"/>
                <w:szCs w:val="13"/>
              </w:rPr>
              <w:t xml:space="preserve"> </w:t>
            </w:r>
            <w:r w:rsidRPr="00135D91">
              <w:rPr>
                <w:rFonts w:cs="Calibri"/>
                <w:color w:val="000000" w:themeColor="text1"/>
                <w:sz w:val="13"/>
                <w:szCs w:val="13"/>
              </w:rPr>
              <w:t>649</w:t>
            </w:r>
          </w:p>
        </w:tc>
      </w:tr>
      <w:tr w:rsidR="00454B96" w:rsidRPr="0068723D" w14:paraId="6046CBA9"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0F216BB0" w14:textId="77777777" w:rsidR="000C4057" w:rsidRPr="00135D91" w:rsidRDefault="000C4057" w:rsidP="000C4057">
            <w:pPr>
              <w:rPr>
                <w:rFonts w:cs="Calibri"/>
                <w:color w:val="000000" w:themeColor="text1"/>
                <w:sz w:val="13"/>
                <w:szCs w:val="13"/>
              </w:rPr>
            </w:pPr>
            <w:r w:rsidRPr="00135D91">
              <w:rPr>
                <w:rFonts w:cs="Calibri"/>
                <w:color w:val="000000" w:themeColor="text1"/>
                <w:sz w:val="13"/>
                <w:szCs w:val="13"/>
              </w:rPr>
              <w:t>Podatek dochodowy</w:t>
            </w:r>
          </w:p>
        </w:tc>
        <w:tc>
          <w:tcPr>
            <w:tcW w:w="1418" w:type="dxa"/>
            <w:tcBorders>
              <w:top w:val="nil"/>
              <w:left w:val="nil"/>
              <w:bottom w:val="single" w:sz="8" w:space="0" w:color="0077BD"/>
              <w:right w:val="single" w:sz="8" w:space="0" w:color="0077BD"/>
            </w:tcBorders>
            <w:shd w:val="clear" w:color="auto" w:fill="auto"/>
            <w:noWrap/>
            <w:vAlign w:val="center"/>
            <w:hideMark/>
          </w:tcPr>
          <w:p w14:paraId="102CF2B7" w14:textId="4AB9E535" w:rsidR="000C4057" w:rsidRPr="00135D91" w:rsidRDefault="004F7324" w:rsidP="000C4057">
            <w:pPr>
              <w:jc w:val="right"/>
              <w:rPr>
                <w:rFonts w:cs="Calibri"/>
                <w:color w:val="000000" w:themeColor="text1"/>
                <w:sz w:val="13"/>
                <w:szCs w:val="13"/>
              </w:rPr>
            </w:pPr>
            <w:r w:rsidRPr="00135D91">
              <w:rPr>
                <w:rFonts w:cs="Calibri"/>
                <w:color w:val="000000" w:themeColor="text1"/>
                <w:sz w:val="13"/>
                <w:szCs w:val="13"/>
              </w:rPr>
              <w:t>(544 793)</w:t>
            </w:r>
          </w:p>
        </w:tc>
        <w:tc>
          <w:tcPr>
            <w:tcW w:w="1418" w:type="dxa"/>
            <w:tcBorders>
              <w:top w:val="nil"/>
              <w:left w:val="nil"/>
              <w:bottom w:val="single" w:sz="8" w:space="0" w:color="0077BD"/>
              <w:right w:val="nil"/>
            </w:tcBorders>
            <w:shd w:val="clear" w:color="auto" w:fill="auto"/>
            <w:noWrap/>
            <w:vAlign w:val="center"/>
            <w:hideMark/>
          </w:tcPr>
          <w:p w14:paraId="27681DAA" w14:textId="77777777" w:rsidR="000C4057" w:rsidRPr="00135D91" w:rsidRDefault="000C4057" w:rsidP="000C4057">
            <w:pPr>
              <w:jc w:val="right"/>
              <w:rPr>
                <w:rFonts w:cs="Calibri"/>
                <w:color w:val="000000" w:themeColor="text1"/>
                <w:sz w:val="13"/>
                <w:szCs w:val="13"/>
              </w:rPr>
            </w:pPr>
            <w:r w:rsidRPr="00135D91">
              <w:rPr>
                <w:rFonts w:cs="Calibri"/>
                <w:color w:val="000000" w:themeColor="text1"/>
                <w:sz w:val="13"/>
                <w:szCs w:val="13"/>
              </w:rPr>
              <w:t>(483 945)</w:t>
            </w:r>
          </w:p>
        </w:tc>
      </w:tr>
      <w:tr w:rsidR="00454B96" w:rsidRPr="0068723D" w14:paraId="1A91D55E"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1700087C" w14:textId="77777777" w:rsidR="000C4057" w:rsidRPr="00135D91" w:rsidRDefault="000C4057" w:rsidP="000C4057">
            <w:pPr>
              <w:rPr>
                <w:rFonts w:cs="Calibri"/>
                <w:b/>
                <w:bCs/>
                <w:color w:val="000000" w:themeColor="text1"/>
                <w:sz w:val="13"/>
                <w:szCs w:val="13"/>
              </w:rPr>
            </w:pPr>
            <w:r w:rsidRPr="00135D91">
              <w:rPr>
                <w:rFonts w:cs="Calibri"/>
                <w:b/>
                <w:bCs/>
                <w:color w:val="000000" w:themeColor="text1"/>
                <w:sz w:val="13"/>
                <w:szCs w:val="13"/>
              </w:rPr>
              <w:t>Efektywna stopa podatkowa</w:t>
            </w:r>
          </w:p>
        </w:tc>
        <w:tc>
          <w:tcPr>
            <w:tcW w:w="1418" w:type="dxa"/>
            <w:tcBorders>
              <w:top w:val="nil"/>
              <w:left w:val="nil"/>
              <w:bottom w:val="single" w:sz="8" w:space="0" w:color="0077BD"/>
              <w:right w:val="nil"/>
            </w:tcBorders>
            <w:shd w:val="clear" w:color="auto" w:fill="auto"/>
            <w:noWrap/>
            <w:vAlign w:val="center"/>
            <w:hideMark/>
          </w:tcPr>
          <w:p w14:paraId="77523AB6" w14:textId="4D3BE289" w:rsidR="000C4057" w:rsidRPr="00135D91" w:rsidRDefault="004F7324" w:rsidP="000C4057">
            <w:pPr>
              <w:jc w:val="right"/>
              <w:rPr>
                <w:rFonts w:cs="Calibri"/>
                <w:b/>
                <w:bCs/>
                <w:color w:val="000000" w:themeColor="text1"/>
                <w:sz w:val="13"/>
                <w:szCs w:val="13"/>
              </w:rPr>
            </w:pPr>
            <w:r w:rsidRPr="00135D91">
              <w:rPr>
                <w:rFonts w:cs="Calibri"/>
                <w:b/>
                <w:bCs/>
                <w:color w:val="000000" w:themeColor="text1"/>
                <w:sz w:val="13"/>
                <w:szCs w:val="13"/>
              </w:rPr>
              <w:t>35,03%</w:t>
            </w:r>
          </w:p>
        </w:tc>
        <w:tc>
          <w:tcPr>
            <w:tcW w:w="1418" w:type="dxa"/>
            <w:tcBorders>
              <w:top w:val="nil"/>
              <w:left w:val="single" w:sz="8" w:space="0" w:color="0077BD"/>
              <w:bottom w:val="single" w:sz="8" w:space="0" w:color="0077BD"/>
              <w:right w:val="nil"/>
            </w:tcBorders>
            <w:shd w:val="clear" w:color="auto" w:fill="auto"/>
            <w:noWrap/>
            <w:vAlign w:val="center"/>
            <w:hideMark/>
          </w:tcPr>
          <w:p w14:paraId="28A344C4" w14:textId="40B45F1B" w:rsidR="000C4057" w:rsidRPr="00135D91" w:rsidRDefault="00C67B6A" w:rsidP="00C67B6A">
            <w:pPr>
              <w:jc w:val="right"/>
              <w:rPr>
                <w:rFonts w:cs="Calibri"/>
                <w:b/>
                <w:bCs/>
                <w:color w:val="000000" w:themeColor="text1"/>
                <w:sz w:val="13"/>
                <w:szCs w:val="13"/>
              </w:rPr>
            </w:pPr>
            <w:r w:rsidRPr="00135D91">
              <w:rPr>
                <w:rFonts w:cs="Calibri"/>
                <w:b/>
                <w:bCs/>
                <w:color w:val="000000" w:themeColor="text1"/>
                <w:sz w:val="13"/>
                <w:szCs w:val="13"/>
              </w:rPr>
              <w:t>27</w:t>
            </w:r>
            <w:r w:rsidR="000C4057" w:rsidRPr="00135D91">
              <w:rPr>
                <w:rFonts w:cs="Calibri"/>
                <w:b/>
                <w:bCs/>
                <w:color w:val="000000" w:themeColor="text1"/>
                <w:sz w:val="13"/>
                <w:szCs w:val="13"/>
              </w:rPr>
              <w:t>,</w:t>
            </w:r>
            <w:r w:rsidR="006E2860" w:rsidRPr="00135D91">
              <w:rPr>
                <w:rFonts w:cs="Calibri"/>
                <w:b/>
                <w:bCs/>
                <w:color w:val="000000" w:themeColor="text1"/>
                <w:sz w:val="13"/>
                <w:szCs w:val="13"/>
              </w:rPr>
              <w:t>09</w:t>
            </w:r>
            <w:r w:rsidR="000C4057" w:rsidRPr="00135D91">
              <w:rPr>
                <w:rFonts w:cs="Calibri"/>
                <w:b/>
                <w:bCs/>
                <w:color w:val="000000" w:themeColor="text1"/>
                <w:sz w:val="13"/>
                <w:szCs w:val="13"/>
              </w:rPr>
              <w:t>%</w:t>
            </w:r>
          </w:p>
        </w:tc>
      </w:tr>
    </w:tbl>
    <w:p w14:paraId="7D572876" w14:textId="344BB156" w:rsidR="002B072B" w:rsidRPr="004F7324" w:rsidRDefault="009B4B00" w:rsidP="0015310D">
      <w:pPr>
        <w:spacing w:before="120"/>
        <w:jc w:val="both"/>
        <w:rPr>
          <w:color w:val="000000" w:themeColor="text1"/>
          <w:szCs w:val="16"/>
        </w:rPr>
      </w:pPr>
      <w:r>
        <w:rPr>
          <w:color w:val="000000" w:themeColor="text1"/>
          <w:szCs w:val="16"/>
        </w:rPr>
        <w:t>* Pozycja zawiera wpływ między innymi</w:t>
      </w:r>
      <w:r w:rsidR="004F7324" w:rsidRPr="004F7324">
        <w:rPr>
          <w:color w:val="000000" w:themeColor="text1"/>
          <w:szCs w:val="16"/>
        </w:rPr>
        <w:t xml:space="preserve"> wpływ podatku od niektórych instytucji podatkowych regulowanego przez ustawę z dnia 15 stycznia 2016 r. o podatku od niektórych instytucji finansowych (Dz. U. z 2016 r. poz. 68), zawiązanych rezerw na</w:t>
      </w:r>
      <w:r w:rsidR="00E549FD">
        <w:rPr>
          <w:color w:val="000000" w:themeColor="text1"/>
          <w:szCs w:val="16"/>
        </w:rPr>
        <w:t> </w:t>
      </w:r>
      <w:r w:rsidR="004F7324" w:rsidRPr="004F7324">
        <w:rPr>
          <w:color w:val="000000" w:themeColor="text1"/>
          <w:szCs w:val="16"/>
        </w:rPr>
        <w:t xml:space="preserve">ryzyko prawne związanych z portfelem kredytów hipotecznych i mieszkaniowych w CHF oraz innych wydatków niestanowiących kosztów uzyskania przychodów zgodnie z art. 16 ust.1 ustawy o podatku dochodowym od osób prawnych z dnia 15 lutego 1992 r. (Dz. U. </w:t>
      </w:r>
      <w:r w:rsidR="0053051B">
        <w:rPr>
          <w:color w:val="000000" w:themeColor="text1"/>
          <w:szCs w:val="16"/>
        </w:rPr>
        <w:t>z 2019 r.</w:t>
      </w:r>
      <w:r w:rsidR="004F7324" w:rsidRPr="004F7324">
        <w:rPr>
          <w:color w:val="000000" w:themeColor="text1"/>
          <w:szCs w:val="16"/>
        </w:rPr>
        <w:t xml:space="preserve"> poz.86</w:t>
      </w:r>
      <w:r w:rsidR="0053051B">
        <w:rPr>
          <w:color w:val="000000" w:themeColor="text1"/>
          <w:szCs w:val="16"/>
        </w:rPr>
        <w:t>5</w:t>
      </w:r>
      <w:r w:rsidR="00122150">
        <w:rPr>
          <w:color w:val="000000" w:themeColor="text1"/>
          <w:szCs w:val="16"/>
        </w:rPr>
        <w:t>)</w:t>
      </w:r>
      <w:r w:rsidR="00D978ED" w:rsidRPr="004F7324">
        <w:rPr>
          <w:color w:val="000000" w:themeColor="text1"/>
          <w:szCs w:val="16"/>
        </w:rPr>
        <w:t>.</w:t>
      </w:r>
    </w:p>
    <w:p w14:paraId="3FC7168C" w14:textId="6D5AA273" w:rsidR="00986D58" w:rsidRDefault="00986D58" w:rsidP="00986D58">
      <w:pPr>
        <w:spacing w:before="120" w:after="120"/>
        <w:jc w:val="both"/>
        <w:rPr>
          <w:rFonts w:cs="Tahoma"/>
          <w:color w:val="000000" w:themeColor="text1"/>
          <w:sz w:val="18"/>
          <w:szCs w:val="18"/>
        </w:rPr>
      </w:pPr>
      <w:r>
        <w:rPr>
          <w:rFonts w:cs="Tahoma"/>
          <w:color w:val="000000" w:themeColor="text1"/>
          <w:sz w:val="18"/>
          <w:szCs w:val="18"/>
        </w:rPr>
        <w:t>Poniżej przedstawiono podatek bieżący w podziale na kraje działalności.</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6D58" w:rsidRPr="000C4057" w14:paraId="0BF7180A" w14:textId="77777777" w:rsidTr="00FD33F8">
        <w:trPr>
          <w:trHeight w:val="284"/>
        </w:trPr>
        <w:tc>
          <w:tcPr>
            <w:tcW w:w="6747" w:type="dxa"/>
            <w:vMerge w:val="restart"/>
            <w:tcBorders>
              <w:top w:val="nil"/>
              <w:left w:val="nil"/>
              <w:right w:val="single" w:sz="8" w:space="0" w:color="FFFFFF"/>
            </w:tcBorders>
            <w:shd w:val="clear" w:color="000000" w:fill="0077BD"/>
            <w:vAlign w:val="center"/>
          </w:tcPr>
          <w:p w14:paraId="46B8BF23" w14:textId="77777777" w:rsidR="00986D58" w:rsidRPr="000C4057" w:rsidRDefault="00986D58" w:rsidP="00FD33F8">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3889726A" w14:textId="77777777" w:rsidR="00986D58" w:rsidRPr="000C4057" w:rsidRDefault="00986D58" w:rsidP="00FD33F8">
            <w:pPr>
              <w:jc w:val="right"/>
              <w:rPr>
                <w:rFonts w:cs="Calibri"/>
                <w:b/>
                <w:bCs/>
                <w:color w:val="FFFFFF"/>
                <w:sz w:val="13"/>
                <w:szCs w:val="13"/>
              </w:rPr>
            </w:pPr>
            <w:r w:rsidRPr="000C4057">
              <w:rPr>
                <w:rFonts w:cs="Calibri"/>
                <w:b/>
                <w:bCs/>
                <w:color w:val="FFFFFF"/>
                <w:sz w:val="13"/>
                <w:szCs w:val="13"/>
              </w:rPr>
              <w:t>Rok kończący się 31 grudnia</w:t>
            </w:r>
          </w:p>
        </w:tc>
      </w:tr>
      <w:tr w:rsidR="00986D58" w:rsidRPr="000C4057" w14:paraId="3327BCE2" w14:textId="77777777" w:rsidTr="00FD33F8">
        <w:trPr>
          <w:trHeight w:val="284"/>
        </w:trPr>
        <w:tc>
          <w:tcPr>
            <w:tcW w:w="6747" w:type="dxa"/>
            <w:vMerge/>
            <w:tcBorders>
              <w:left w:val="nil"/>
              <w:right w:val="single" w:sz="8" w:space="0" w:color="FFFFFF"/>
            </w:tcBorders>
            <w:shd w:val="clear" w:color="000000" w:fill="0077BD"/>
            <w:vAlign w:val="center"/>
            <w:hideMark/>
          </w:tcPr>
          <w:p w14:paraId="2161EEB5" w14:textId="77777777" w:rsidR="00986D58" w:rsidRPr="000C4057" w:rsidRDefault="00986D58" w:rsidP="00FD33F8">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450F5CA3" w14:textId="77777777" w:rsidR="00986D58" w:rsidRPr="000C4057" w:rsidRDefault="00986D58" w:rsidP="00FD33F8">
            <w:pPr>
              <w:jc w:val="right"/>
              <w:rPr>
                <w:rFonts w:cs="Calibri"/>
                <w:b/>
                <w:bCs/>
                <w:color w:val="FFFFFF"/>
                <w:sz w:val="13"/>
                <w:szCs w:val="13"/>
              </w:rPr>
            </w:pPr>
            <w:r w:rsidRPr="000C4057">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7961AC9B" w14:textId="77777777" w:rsidR="00986D58" w:rsidRPr="000C4057" w:rsidRDefault="00986D58" w:rsidP="00FD33F8">
            <w:pPr>
              <w:jc w:val="right"/>
              <w:rPr>
                <w:rFonts w:cs="Calibri"/>
                <w:b/>
                <w:bCs/>
                <w:color w:val="FFFFFF"/>
                <w:sz w:val="13"/>
                <w:szCs w:val="13"/>
              </w:rPr>
            </w:pPr>
            <w:r w:rsidRPr="000C4057">
              <w:rPr>
                <w:rFonts w:cs="Calibri"/>
                <w:b/>
                <w:bCs/>
                <w:color w:val="FFFFFF"/>
                <w:sz w:val="13"/>
                <w:szCs w:val="13"/>
              </w:rPr>
              <w:t>2018</w:t>
            </w:r>
          </w:p>
        </w:tc>
      </w:tr>
      <w:tr w:rsidR="00986D58" w:rsidRPr="0068723D" w14:paraId="6B768702"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685E646" w14:textId="7B31365B" w:rsidR="00986D58" w:rsidRPr="0068723D" w:rsidRDefault="00986D58" w:rsidP="00FD33F8">
            <w:pPr>
              <w:rPr>
                <w:rFonts w:cs="Calibri"/>
                <w:color w:val="000000" w:themeColor="text1"/>
                <w:sz w:val="13"/>
                <w:szCs w:val="13"/>
              </w:rPr>
            </w:pPr>
            <w:r>
              <w:rPr>
                <w:rFonts w:cs="Calibri"/>
                <w:color w:val="000000" w:themeColor="text1"/>
                <w:sz w:val="13"/>
                <w:szCs w:val="13"/>
              </w:rPr>
              <w:t>Polska</w:t>
            </w:r>
          </w:p>
        </w:tc>
        <w:tc>
          <w:tcPr>
            <w:tcW w:w="1418" w:type="dxa"/>
            <w:tcBorders>
              <w:top w:val="nil"/>
              <w:left w:val="nil"/>
              <w:bottom w:val="single" w:sz="4" w:space="0" w:color="0077BD"/>
              <w:right w:val="single" w:sz="8" w:space="0" w:color="0077BD"/>
            </w:tcBorders>
            <w:shd w:val="clear" w:color="auto" w:fill="auto"/>
            <w:noWrap/>
            <w:vAlign w:val="center"/>
          </w:tcPr>
          <w:p w14:paraId="29DFB970" w14:textId="0A5F2548" w:rsidR="00986D58" w:rsidRPr="004F7324" w:rsidRDefault="00986D58" w:rsidP="00FD33F8">
            <w:pPr>
              <w:jc w:val="right"/>
              <w:rPr>
                <w:rFonts w:cs="Calibri"/>
                <w:color w:val="000000" w:themeColor="text1"/>
                <w:sz w:val="13"/>
                <w:szCs w:val="13"/>
              </w:rPr>
            </w:pPr>
            <w:r>
              <w:rPr>
                <w:sz w:val="13"/>
                <w:szCs w:val="13"/>
              </w:rPr>
              <w:t>(505 556</w:t>
            </w:r>
            <w:r w:rsidRPr="004F7324">
              <w:rPr>
                <w:sz w:val="13"/>
                <w:szCs w:val="13"/>
              </w:rPr>
              <w:t>)</w:t>
            </w:r>
          </w:p>
        </w:tc>
        <w:tc>
          <w:tcPr>
            <w:tcW w:w="1418" w:type="dxa"/>
            <w:tcBorders>
              <w:top w:val="nil"/>
              <w:left w:val="nil"/>
              <w:bottom w:val="single" w:sz="4" w:space="0" w:color="0077BD"/>
              <w:right w:val="nil"/>
            </w:tcBorders>
            <w:shd w:val="clear" w:color="auto" w:fill="auto"/>
            <w:noWrap/>
            <w:vAlign w:val="center"/>
            <w:hideMark/>
          </w:tcPr>
          <w:p w14:paraId="06D9C566" w14:textId="2489450D" w:rsidR="00986D58" w:rsidRPr="0068723D" w:rsidRDefault="00986D58" w:rsidP="00986D58">
            <w:pPr>
              <w:jc w:val="right"/>
              <w:rPr>
                <w:rFonts w:cs="Calibri"/>
                <w:color w:val="000000" w:themeColor="text1"/>
                <w:sz w:val="13"/>
                <w:szCs w:val="13"/>
              </w:rPr>
            </w:pPr>
            <w:r>
              <w:rPr>
                <w:rFonts w:cs="Calibri"/>
                <w:color w:val="000000" w:themeColor="text1"/>
                <w:sz w:val="13"/>
                <w:szCs w:val="13"/>
              </w:rPr>
              <w:t>(751</w:t>
            </w:r>
            <w:r w:rsidRPr="0068723D">
              <w:rPr>
                <w:rFonts w:cs="Calibri"/>
                <w:color w:val="000000" w:themeColor="text1"/>
                <w:sz w:val="13"/>
                <w:szCs w:val="13"/>
              </w:rPr>
              <w:t xml:space="preserve"> </w:t>
            </w:r>
            <w:r>
              <w:rPr>
                <w:rFonts w:cs="Calibri"/>
                <w:color w:val="000000" w:themeColor="text1"/>
                <w:sz w:val="13"/>
                <w:szCs w:val="13"/>
              </w:rPr>
              <w:t>946</w:t>
            </w:r>
            <w:r w:rsidRPr="0068723D">
              <w:rPr>
                <w:rFonts w:cs="Calibri"/>
                <w:color w:val="000000" w:themeColor="text1"/>
                <w:sz w:val="13"/>
                <w:szCs w:val="13"/>
              </w:rPr>
              <w:t>)</w:t>
            </w:r>
          </w:p>
        </w:tc>
      </w:tr>
      <w:tr w:rsidR="00986D58" w:rsidRPr="0068723D" w14:paraId="71ACCB84"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3D265754" w14:textId="676E860C" w:rsidR="00986D58" w:rsidRPr="0068723D" w:rsidRDefault="00986D58" w:rsidP="00FD33F8">
            <w:pPr>
              <w:rPr>
                <w:rFonts w:cs="Calibri"/>
                <w:color w:val="000000" w:themeColor="text1"/>
                <w:sz w:val="13"/>
                <w:szCs w:val="13"/>
              </w:rPr>
            </w:pPr>
            <w:r>
              <w:rPr>
                <w:rFonts w:cs="Calibri"/>
                <w:color w:val="000000" w:themeColor="text1"/>
                <w:sz w:val="13"/>
                <w:szCs w:val="13"/>
              </w:rPr>
              <w:t>Czechy</w:t>
            </w:r>
          </w:p>
        </w:tc>
        <w:tc>
          <w:tcPr>
            <w:tcW w:w="1418" w:type="dxa"/>
            <w:tcBorders>
              <w:top w:val="nil"/>
              <w:left w:val="nil"/>
              <w:bottom w:val="single" w:sz="8" w:space="0" w:color="0077BD"/>
              <w:right w:val="single" w:sz="8" w:space="0" w:color="0077BD"/>
            </w:tcBorders>
            <w:shd w:val="clear" w:color="auto" w:fill="auto"/>
            <w:noWrap/>
            <w:vAlign w:val="center"/>
          </w:tcPr>
          <w:p w14:paraId="02F1183F" w14:textId="009B0CFD" w:rsidR="00986D58" w:rsidRPr="004F7324" w:rsidRDefault="00986D58" w:rsidP="00FD33F8">
            <w:pPr>
              <w:jc w:val="right"/>
              <w:rPr>
                <w:rFonts w:cs="Calibri"/>
                <w:color w:val="000000" w:themeColor="text1"/>
                <w:sz w:val="13"/>
                <w:szCs w:val="13"/>
              </w:rPr>
            </w:pPr>
            <w:r>
              <w:rPr>
                <w:sz w:val="13"/>
                <w:szCs w:val="13"/>
              </w:rPr>
              <w:t>(27 163</w:t>
            </w:r>
            <w:r w:rsidRPr="004F7324">
              <w:rPr>
                <w:sz w:val="13"/>
                <w:szCs w:val="13"/>
              </w:rPr>
              <w:t>)</w:t>
            </w:r>
          </w:p>
        </w:tc>
        <w:tc>
          <w:tcPr>
            <w:tcW w:w="1418" w:type="dxa"/>
            <w:tcBorders>
              <w:top w:val="nil"/>
              <w:left w:val="nil"/>
              <w:bottom w:val="single" w:sz="8" w:space="0" w:color="0077BD"/>
              <w:right w:val="nil"/>
            </w:tcBorders>
            <w:shd w:val="clear" w:color="auto" w:fill="auto"/>
            <w:noWrap/>
            <w:vAlign w:val="center"/>
            <w:hideMark/>
          </w:tcPr>
          <w:p w14:paraId="763BDD7C" w14:textId="0135B077" w:rsidR="00986D58" w:rsidRPr="0068723D" w:rsidRDefault="00986D58" w:rsidP="00986D58">
            <w:pPr>
              <w:jc w:val="right"/>
              <w:rPr>
                <w:rFonts w:cs="Calibri"/>
                <w:color w:val="000000" w:themeColor="text1"/>
                <w:sz w:val="13"/>
                <w:szCs w:val="13"/>
              </w:rPr>
            </w:pPr>
            <w:r>
              <w:rPr>
                <w:rFonts w:cs="Calibri"/>
                <w:color w:val="000000" w:themeColor="text1"/>
                <w:sz w:val="13"/>
                <w:szCs w:val="13"/>
              </w:rPr>
              <w:t>(15 271)</w:t>
            </w:r>
          </w:p>
        </w:tc>
      </w:tr>
      <w:tr w:rsidR="00986D58" w:rsidRPr="0068723D" w14:paraId="4D99C6D7"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0D088642" w14:textId="77777777" w:rsidR="00986D58" w:rsidRPr="0068723D" w:rsidRDefault="00986D58" w:rsidP="00FD33F8">
            <w:pPr>
              <w:rPr>
                <w:rFonts w:cs="Calibri"/>
                <w:b/>
                <w:bCs/>
                <w:color w:val="000000" w:themeColor="text1"/>
                <w:sz w:val="13"/>
                <w:szCs w:val="13"/>
              </w:rPr>
            </w:pPr>
            <w:r w:rsidRPr="0068723D">
              <w:rPr>
                <w:rFonts w:cs="Calibri"/>
                <w:b/>
                <w:bCs/>
                <w:color w:val="000000" w:themeColor="text1"/>
                <w:sz w:val="13"/>
                <w:szCs w:val="13"/>
              </w:rPr>
              <w:t>Podatek dochodowy, razem</w:t>
            </w:r>
          </w:p>
        </w:tc>
        <w:tc>
          <w:tcPr>
            <w:tcW w:w="1418" w:type="dxa"/>
            <w:tcBorders>
              <w:top w:val="nil"/>
              <w:left w:val="nil"/>
              <w:bottom w:val="single" w:sz="8" w:space="0" w:color="0077BD"/>
              <w:right w:val="single" w:sz="8" w:space="0" w:color="0077BD"/>
            </w:tcBorders>
            <w:shd w:val="clear" w:color="auto" w:fill="auto"/>
            <w:vAlign w:val="center"/>
            <w:hideMark/>
          </w:tcPr>
          <w:p w14:paraId="1B135CD5" w14:textId="160FC4FF" w:rsidR="00986D58" w:rsidRPr="00986D58" w:rsidRDefault="00986D58" w:rsidP="00986D58">
            <w:pPr>
              <w:jc w:val="right"/>
              <w:rPr>
                <w:rFonts w:cs="Calibri"/>
                <w:b/>
                <w:bCs/>
                <w:color w:val="000000" w:themeColor="text1"/>
                <w:sz w:val="13"/>
                <w:szCs w:val="13"/>
              </w:rPr>
            </w:pPr>
            <w:r w:rsidRPr="00986D58">
              <w:rPr>
                <w:b/>
                <w:sz w:val="13"/>
                <w:szCs w:val="13"/>
              </w:rPr>
              <w:t>(532 719)</w:t>
            </w:r>
          </w:p>
        </w:tc>
        <w:tc>
          <w:tcPr>
            <w:tcW w:w="1418" w:type="dxa"/>
            <w:tcBorders>
              <w:top w:val="nil"/>
              <w:left w:val="nil"/>
              <w:bottom w:val="single" w:sz="8" w:space="0" w:color="0077BD"/>
              <w:right w:val="nil"/>
            </w:tcBorders>
            <w:shd w:val="clear" w:color="auto" w:fill="auto"/>
            <w:vAlign w:val="center"/>
            <w:hideMark/>
          </w:tcPr>
          <w:p w14:paraId="50DD1C76" w14:textId="53C33A1E" w:rsidR="00986D58" w:rsidRPr="00986D58" w:rsidRDefault="00986D58" w:rsidP="00986D58">
            <w:pPr>
              <w:jc w:val="right"/>
              <w:rPr>
                <w:rFonts w:cs="Calibri"/>
                <w:b/>
                <w:bCs/>
                <w:color w:val="000000" w:themeColor="text1"/>
                <w:sz w:val="13"/>
                <w:szCs w:val="13"/>
              </w:rPr>
            </w:pPr>
            <w:r w:rsidRPr="00986D58">
              <w:rPr>
                <w:rFonts w:cs="Calibri"/>
                <w:b/>
                <w:bCs/>
                <w:color w:val="000000" w:themeColor="text1"/>
                <w:sz w:val="13"/>
                <w:szCs w:val="13"/>
              </w:rPr>
              <w:t>(767 217)</w:t>
            </w:r>
          </w:p>
        </w:tc>
      </w:tr>
    </w:tbl>
    <w:p w14:paraId="13B82C48" w14:textId="04A4C285" w:rsidR="00C21CF6" w:rsidRPr="0068723D" w:rsidRDefault="00C21CF6" w:rsidP="00C21CF6">
      <w:pPr>
        <w:spacing w:before="120"/>
        <w:jc w:val="both"/>
        <w:rPr>
          <w:rFonts w:cs="Tahoma"/>
          <w:color w:val="000000" w:themeColor="text1"/>
          <w:sz w:val="18"/>
          <w:szCs w:val="18"/>
        </w:rPr>
      </w:pPr>
      <w:r w:rsidRPr="0068723D">
        <w:rPr>
          <w:rFonts w:cs="Tahoma"/>
          <w:color w:val="000000" w:themeColor="text1"/>
          <w:sz w:val="18"/>
          <w:szCs w:val="18"/>
        </w:rPr>
        <w:t>Informacje na temat podatku dochodowego odro</w:t>
      </w:r>
      <w:r w:rsidR="007D66E9" w:rsidRPr="0068723D">
        <w:rPr>
          <w:rFonts w:cs="Tahoma"/>
          <w:color w:val="000000" w:themeColor="text1"/>
          <w:sz w:val="18"/>
          <w:szCs w:val="18"/>
        </w:rPr>
        <w:t xml:space="preserve">czonego przedstawiono w </w:t>
      </w:r>
      <w:r w:rsidR="00550691" w:rsidRPr="0068723D">
        <w:rPr>
          <w:rFonts w:cs="Tahoma"/>
          <w:color w:val="000000" w:themeColor="text1"/>
          <w:sz w:val="18"/>
          <w:szCs w:val="18"/>
        </w:rPr>
        <w:t>Nocie 31</w:t>
      </w:r>
      <w:r w:rsidRPr="0068723D">
        <w:rPr>
          <w:rFonts w:cs="Tahoma"/>
          <w:color w:val="000000" w:themeColor="text1"/>
          <w:sz w:val="18"/>
          <w:szCs w:val="18"/>
        </w:rPr>
        <w:t>. Podatek dochodowy od dochodów Grupy przed opodatkowaniem różni się od jego teoretycznej wysokości, która powstałaby przy zastosowaniu podstawowej stawki opodatkowania jednostki dominującej tak jak to przedstawiono powyżej.</w:t>
      </w:r>
    </w:p>
    <w:p w14:paraId="1B8791E9" w14:textId="77777777" w:rsidR="00E23116" w:rsidRDefault="00E23116" w:rsidP="00E23116">
      <w:pPr>
        <w:jc w:val="both"/>
        <w:rPr>
          <w:rFonts w:cs="Tahoma"/>
          <w:color w:val="201C17"/>
          <w:sz w:val="18"/>
          <w:szCs w:val="18"/>
        </w:rPr>
      </w:pPr>
    </w:p>
    <w:p w14:paraId="3AF5639F" w14:textId="77777777" w:rsidR="00E23116" w:rsidRDefault="00E23116"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35" w:name="_Toc32999848"/>
      <w:r>
        <w:rPr>
          <w:rFonts w:cs="Tahoma"/>
          <w:bCs w:val="0"/>
          <w:iCs w:val="0"/>
          <w:color w:val="E41E0A"/>
          <w:sz w:val="18"/>
          <w:szCs w:val="18"/>
        </w:rPr>
        <w:t>Zysk na jedną akcję</w:t>
      </w:r>
      <w:bookmarkEnd w:id="135"/>
    </w:p>
    <w:p w14:paraId="3BF4AD76" w14:textId="4F3C814E" w:rsidR="00E23116" w:rsidRPr="0068723D" w:rsidRDefault="00E23116" w:rsidP="0075574A">
      <w:pPr>
        <w:pStyle w:val="NormalnyWeb"/>
        <w:spacing w:before="120" w:after="120"/>
        <w:jc w:val="both"/>
        <w:rPr>
          <w:rFonts w:cs="Tahoma"/>
          <w:color w:val="000000" w:themeColor="text1"/>
          <w:sz w:val="18"/>
          <w:szCs w:val="18"/>
          <w:u w:val="single"/>
        </w:rPr>
      </w:pPr>
      <w:r w:rsidRPr="0068723D">
        <w:rPr>
          <w:rFonts w:cs="Tahoma"/>
          <w:color w:val="000000" w:themeColor="text1"/>
          <w:sz w:val="18"/>
          <w:szCs w:val="18"/>
          <w:u w:val="single"/>
        </w:rPr>
        <w:t>Zysk na jedną akcję za 12 miesięcy</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C96CCA" w14:paraId="0D6A582E" w14:textId="77777777" w:rsidTr="00756A5A">
        <w:trPr>
          <w:trHeight w:val="284"/>
        </w:trPr>
        <w:tc>
          <w:tcPr>
            <w:tcW w:w="6747" w:type="dxa"/>
            <w:vMerge w:val="restart"/>
            <w:tcBorders>
              <w:top w:val="nil"/>
              <w:left w:val="nil"/>
              <w:right w:val="single" w:sz="8" w:space="0" w:color="FFFFFF"/>
            </w:tcBorders>
            <w:shd w:val="clear" w:color="000000" w:fill="0077BD"/>
            <w:vAlign w:val="center"/>
          </w:tcPr>
          <w:p w14:paraId="59261198" w14:textId="4EE7C649" w:rsidR="009870A7" w:rsidRPr="00C96CCA" w:rsidRDefault="009870A7" w:rsidP="00C96CCA">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247DE942" w14:textId="77777777" w:rsidR="009870A7" w:rsidRPr="00C96CCA" w:rsidRDefault="009870A7" w:rsidP="00C96CCA">
            <w:pPr>
              <w:jc w:val="right"/>
              <w:rPr>
                <w:rFonts w:cs="Calibri"/>
                <w:b/>
                <w:bCs/>
                <w:color w:val="FFFFFF"/>
                <w:sz w:val="13"/>
                <w:szCs w:val="13"/>
              </w:rPr>
            </w:pPr>
            <w:r w:rsidRPr="00C96CCA">
              <w:rPr>
                <w:rFonts w:cs="Calibri"/>
                <w:b/>
                <w:bCs/>
                <w:color w:val="FFFFFF"/>
                <w:sz w:val="13"/>
                <w:szCs w:val="13"/>
              </w:rPr>
              <w:t>Rok kończący się 31 grudnia</w:t>
            </w:r>
          </w:p>
        </w:tc>
      </w:tr>
      <w:tr w:rsidR="009870A7" w:rsidRPr="00C96CCA" w14:paraId="0F599BEF" w14:textId="77777777" w:rsidTr="00756A5A">
        <w:trPr>
          <w:trHeight w:val="284"/>
        </w:trPr>
        <w:tc>
          <w:tcPr>
            <w:tcW w:w="6747" w:type="dxa"/>
            <w:vMerge/>
            <w:tcBorders>
              <w:left w:val="nil"/>
              <w:right w:val="single" w:sz="8" w:space="0" w:color="FFFFFF"/>
            </w:tcBorders>
            <w:shd w:val="clear" w:color="000000" w:fill="0077BD"/>
            <w:vAlign w:val="center"/>
            <w:hideMark/>
          </w:tcPr>
          <w:p w14:paraId="43C58FF6" w14:textId="5FE0B2DA" w:rsidR="009870A7" w:rsidRPr="00C96CCA" w:rsidRDefault="009870A7" w:rsidP="00C96CCA">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0D30B380" w14:textId="77777777" w:rsidR="009870A7" w:rsidRPr="00C96CCA" w:rsidRDefault="009870A7" w:rsidP="00C96CCA">
            <w:pPr>
              <w:jc w:val="right"/>
              <w:rPr>
                <w:rFonts w:cs="Calibri"/>
                <w:b/>
                <w:bCs/>
                <w:color w:val="FFFFFF"/>
                <w:sz w:val="13"/>
                <w:szCs w:val="13"/>
              </w:rPr>
            </w:pPr>
            <w:r w:rsidRPr="00C96CCA">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2062F4E4" w14:textId="77777777" w:rsidR="009870A7" w:rsidRPr="00C96CCA" w:rsidRDefault="009870A7" w:rsidP="00C96CCA">
            <w:pPr>
              <w:jc w:val="right"/>
              <w:rPr>
                <w:rFonts w:cs="Calibri"/>
                <w:b/>
                <w:bCs/>
                <w:color w:val="FFFFFF"/>
                <w:sz w:val="13"/>
                <w:szCs w:val="13"/>
              </w:rPr>
            </w:pPr>
            <w:r w:rsidRPr="00C96CCA">
              <w:rPr>
                <w:rFonts w:cs="Calibri"/>
                <w:b/>
                <w:bCs/>
                <w:color w:val="FFFFFF"/>
                <w:sz w:val="13"/>
                <w:szCs w:val="13"/>
              </w:rPr>
              <w:t>2018</w:t>
            </w:r>
          </w:p>
        </w:tc>
      </w:tr>
      <w:tr w:rsidR="00454B96" w:rsidRPr="0068723D" w14:paraId="4777AA72" w14:textId="77777777" w:rsidTr="0075574A">
        <w:trPr>
          <w:trHeight w:val="255"/>
        </w:trPr>
        <w:tc>
          <w:tcPr>
            <w:tcW w:w="6747" w:type="dxa"/>
            <w:tcBorders>
              <w:top w:val="nil"/>
              <w:left w:val="nil"/>
              <w:bottom w:val="single" w:sz="8" w:space="0" w:color="0077BD"/>
              <w:right w:val="nil"/>
            </w:tcBorders>
            <w:shd w:val="clear" w:color="auto" w:fill="auto"/>
            <w:vAlign w:val="center"/>
            <w:hideMark/>
          </w:tcPr>
          <w:p w14:paraId="7BBFCFC6" w14:textId="77777777" w:rsidR="00C96CCA" w:rsidRPr="0068723D" w:rsidRDefault="00C96CCA" w:rsidP="00C96CCA">
            <w:pPr>
              <w:rPr>
                <w:rFonts w:cs="Calibri"/>
                <w:b/>
                <w:bCs/>
                <w:color w:val="000000" w:themeColor="text1"/>
                <w:sz w:val="13"/>
                <w:szCs w:val="13"/>
              </w:rPr>
            </w:pPr>
            <w:r w:rsidRPr="0068723D">
              <w:rPr>
                <w:rFonts w:cs="Calibri"/>
                <w:b/>
                <w:bCs/>
                <w:color w:val="000000" w:themeColor="text1"/>
                <w:sz w:val="13"/>
                <w:szCs w:val="13"/>
              </w:rPr>
              <w:t>Podstawowy:</w:t>
            </w:r>
          </w:p>
        </w:tc>
        <w:tc>
          <w:tcPr>
            <w:tcW w:w="1418" w:type="dxa"/>
            <w:tcBorders>
              <w:top w:val="nil"/>
              <w:left w:val="nil"/>
              <w:bottom w:val="single" w:sz="8" w:space="0" w:color="0077BD"/>
              <w:right w:val="nil"/>
            </w:tcBorders>
            <w:shd w:val="clear" w:color="auto" w:fill="auto"/>
            <w:noWrap/>
            <w:vAlign w:val="bottom"/>
            <w:hideMark/>
          </w:tcPr>
          <w:p w14:paraId="0892E8BA" w14:textId="77777777" w:rsidR="00C96CCA" w:rsidRPr="0068723D" w:rsidRDefault="00C96CCA" w:rsidP="00C96CCA">
            <w:pPr>
              <w:rPr>
                <w:rFonts w:cs="Calibri"/>
                <w:b/>
                <w:bCs/>
                <w:color w:val="000000" w:themeColor="text1"/>
                <w:sz w:val="13"/>
                <w:szCs w:val="13"/>
              </w:rPr>
            </w:pPr>
          </w:p>
        </w:tc>
        <w:tc>
          <w:tcPr>
            <w:tcW w:w="1418" w:type="dxa"/>
            <w:tcBorders>
              <w:top w:val="nil"/>
              <w:left w:val="nil"/>
              <w:bottom w:val="single" w:sz="8" w:space="0" w:color="0077BD"/>
              <w:right w:val="nil"/>
            </w:tcBorders>
            <w:shd w:val="clear" w:color="auto" w:fill="auto"/>
            <w:noWrap/>
            <w:vAlign w:val="bottom"/>
            <w:hideMark/>
          </w:tcPr>
          <w:p w14:paraId="06F6DC8C" w14:textId="77777777" w:rsidR="00C96CCA" w:rsidRPr="0068723D" w:rsidRDefault="00C96CCA" w:rsidP="00C96CCA">
            <w:pPr>
              <w:jc w:val="right"/>
              <w:rPr>
                <w:color w:val="000000" w:themeColor="text1"/>
                <w:sz w:val="13"/>
                <w:szCs w:val="13"/>
              </w:rPr>
            </w:pPr>
          </w:p>
        </w:tc>
      </w:tr>
      <w:tr w:rsidR="000570E5" w:rsidRPr="0068723D" w14:paraId="2EE6C93F" w14:textId="77777777" w:rsidTr="0075574A">
        <w:trPr>
          <w:trHeight w:val="255"/>
        </w:trPr>
        <w:tc>
          <w:tcPr>
            <w:tcW w:w="6747" w:type="dxa"/>
            <w:tcBorders>
              <w:top w:val="single" w:sz="8" w:space="0" w:color="0077BD"/>
              <w:left w:val="nil"/>
              <w:bottom w:val="single" w:sz="4" w:space="0" w:color="0077BD"/>
              <w:right w:val="single" w:sz="8" w:space="0" w:color="0077BD"/>
            </w:tcBorders>
            <w:shd w:val="clear" w:color="auto" w:fill="auto"/>
            <w:vAlign w:val="center"/>
            <w:hideMark/>
          </w:tcPr>
          <w:p w14:paraId="54D2AB1C"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Zysk netto przypadający na akcjonariuszy mBanku S.A.</w:t>
            </w:r>
          </w:p>
        </w:tc>
        <w:tc>
          <w:tcPr>
            <w:tcW w:w="1418" w:type="dxa"/>
            <w:tcBorders>
              <w:top w:val="single" w:sz="8" w:space="0" w:color="0077BD"/>
              <w:left w:val="single" w:sz="8" w:space="0" w:color="0077BD"/>
              <w:bottom w:val="single" w:sz="4" w:space="0" w:color="0077BD"/>
              <w:right w:val="single" w:sz="8" w:space="0" w:color="0077BD"/>
            </w:tcBorders>
            <w:shd w:val="clear" w:color="auto" w:fill="auto"/>
            <w:vAlign w:val="center"/>
          </w:tcPr>
          <w:p w14:paraId="30FB26E4" w14:textId="208EE475"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1 010 350</w:t>
            </w:r>
          </w:p>
        </w:tc>
        <w:tc>
          <w:tcPr>
            <w:tcW w:w="1418" w:type="dxa"/>
            <w:tcBorders>
              <w:top w:val="single" w:sz="8" w:space="0" w:color="0077BD"/>
              <w:left w:val="nil"/>
              <w:bottom w:val="single" w:sz="4" w:space="0" w:color="0077BD"/>
              <w:right w:val="nil"/>
            </w:tcBorders>
            <w:shd w:val="clear" w:color="auto" w:fill="auto"/>
            <w:vAlign w:val="center"/>
            <w:hideMark/>
          </w:tcPr>
          <w:p w14:paraId="2E0FCAE0" w14:textId="576AA3FD" w:rsidR="000570E5" w:rsidRPr="0068723D" w:rsidRDefault="00064628" w:rsidP="00064628">
            <w:pPr>
              <w:jc w:val="right"/>
              <w:rPr>
                <w:rFonts w:cs="Calibri"/>
                <w:color w:val="000000" w:themeColor="text1"/>
                <w:sz w:val="13"/>
                <w:szCs w:val="13"/>
              </w:rPr>
            </w:pPr>
            <w:r>
              <w:rPr>
                <w:rFonts w:cs="Calibri"/>
                <w:color w:val="000000" w:themeColor="text1"/>
                <w:sz w:val="13"/>
                <w:szCs w:val="13"/>
              </w:rPr>
              <w:t>1 302</w:t>
            </w:r>
            <w:r w:rsidR="000570E5" w:rsidRPr="0068723D">
              <w:rPr>
                <w:rFonts w:cs="Calibri"/>
                <w:color w:val="000000" w:themeColor="text1"/>
                <w:sz w:val="13"/>
                <w:szCs w:val="13"/>
              </w:rPr>
              <w:t xml:space="preserve"> </w:t>
            </w:r>
            <w:r>
              <w:rPr>
                <w:rFonts w:cs="Calibri"/>
                <w:color w:val="000000" w:themeColor="text1"/>
                <w:sz w:val="13"/>
                <w:szCs w:val="13"/>
              </w:rPr>
              <w:t>786</w:t>
            </w:r>
          </w:p>
        </w:tc>
      </w:tr>
      <w:tr w:rsidR="000570E5" w:rsidRPr="0068723D" w14:paraId="5266630B" w14:textId="77777777" w:rsidTr="0075574A">
        <w:trPr>
          <w:trHeight w:val="255"/>
        </w:trPr>
        <w:tc>
          <w:tcPr>
            <w:tcW w:w="6747" w:type="dxa"/>
            <w:tcBorders>
              <w:top w:val="nil"/>
              <w:left w:val="nil"/>
              <w:bottom w:val="nil"/>
              <w:right w:val="single" w:sz="8" w:space="0" w:color="0077BD"/>
            </w:tcBorders>
            <w:shd w:val="clear" w:color="auto" w:fill="auto"/>
            <w:vAlign w:val="center"/>
            <w:hideMark/>
          </w:tcPr>
          <w:p w14:paraId="66C32F81"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Średnia ważona liczba akcji zwykłych</w:t>
            </w:r>
          </w:p>
        </w:tc>
        <w:tc>
          <w:tcPr>
            <w:tcW w:w="1418" w:type="dxa"/>
            <w:tcBorders>
              <w:top w:val="nil"/>
              <w:left w:val="single" w:sz="8" w:space="0" w:color="0077BD"/>
              <w:bottom w:val="nil"/>
              <w:right w:val="single" w:sz="8" w:space="0" w:color="0077BD"/>
            </w:tcBorders>
            <w:shd w:val="clear" w:color="auto" w:fill="auto"/>
            <w:vAlign w:val="center"/>
          </w:tcPr>
          <w:p w14:paraId="69025BDA" w14:textId="24DF2962"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42 340 263</w:t>
            </w:r>
          </w:p>
        </w:tc>
        <w:tc>
          <w:tcPr>
            <w:tcW w:w="1418" w:type="dxa"/>
            <w:tcBorders>
              <w:top w:val="nil"/>
              <w:left w:val="nil"/>
              <w:bottom w:val="nil"/>
              <w:right w:val="nil"/>
            </w:tcBorders>
            <w:shd w:val="clear" w:color="auto" w:fill="auto"/>
            <w:vAlign w:val="center"/>
            <w:hideMark/>
          </w:tcPr>
          <w:p w14:paraId="1A8A9AEE" w14:textId="77777777"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42 318 253</w:t>
            </w:r>
          </w:p>
        </w:tc>
      </w:tr>
      <w:tr w:rsidR="000570E5" w:rsidRPr="0068723D" w14:paraId="203BA8BB" w14:textId="77777777" w:rsidTr="007557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CF27AE2" w14:textId="77777777" w:rsidR="000570E5" w:rsidRPr="0068723D" w:rsidRDefault="000570E5" w:rsidP="000570E5">
            <w:pPr>
              <w:rPr>
                <w:rFonts w:cs="Calibri"/>
                <w:b/>
                <w:bCs/>
                <w:color w:val="000000" w:themeColor="text1"/>
                <w:sz w:val="13"/>
                <w:szCs w:val="13"/>
              </w:rPr>
            </w:pPr>
            <w:r w:rsidRPr="0068723D">
              <w:rPr>
                <w:rFonts w:cs="Calibri"/>
                <w:b/>
                <w:bCs/>
                <w:color w:val="000000" w:themeColor="text1"/>
                <w:sz w:val="13"/>
                <w:szCs w:val="13"/>
              </w:rPr>
              <w:t>Podstawowy zysk netto na akcję (wyrażony w złotych na jedną akcję)</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3D60FA6E" w14:textId="20435604" w:rsidR="000570E5" w:rsidRPr="0068723D" w:rsidRDefault="000570E5" w:rsidP="000570E5">
            <w:pPr>
              <w:jc w:val="right"/>
              <w:rPr>
                <w:rFonts w:cs="Calibri"/>
                <w:b/>
                <w:bCs/>
                <w:color w:val="000000" w:themeColor="text1"/>
                <w:sz w:val="13"/>
                <w:szCs w:val="13"/>
              </w:rPr>
            </w:pPr>
            <w:r w:rsidRPr="0068723D">
              <w:rPr>
                <w:rFonts w:cs="Calibri"/>
                <w:b/>
                <w:bCs/>
                <w:color w:val="000000" w:themeColor="text1"/>
                <w:sz w:val="13"/>
                <w:szCs w:val="13"/>
              </w:rPr>
              <w:t>23,86</w:t>
            </w:r>
          </w:p>
        </w:tc>
        <w:tc>
          <w:tcPr>
            <w:tcW w:w="1418" w:type="dxa"/>
            <w:tcBorders>
              <w:top w:val="single" w:sz="8" w:space="0" w:color="0077BD"/>
              <w:left w:val="nil"/>
              <w:bottom w:val="single" w:sz="8" w:space="0" w:color="0077BD"/>
              <w:right w:val="nil"/>
            </w:tcBorders>
            <w:shd w:val="clear" w:color="auto" w:fill="auto"/>
            <w:noWrap/>
            <w:vAlign w:val="center"/>
            <w:hideMark/>
          </w:tcPr>
          <w:p w14:paraId="4C742EFE" w14:textId="4DD4A587" w:rsidR="000570E5" w:rsidRPr="0068723D" w:rsidRDefault="00064628" w:rsidP="00064628">
            <w:pPr>
              <w:jc w:val="right"/>
              <w:rPr>
                <w:rFonts w:cs="Calibri"/>
                <w:b/>
                <w:bCs/>
                <w:color w:val="000000" w:themeColor="text1"/>
                <w:sz w:val="13"/>
                <w:szCs w:val="13"/>
              </w:rPr>
            </w:pPr>
            <w:r>
              <w:rPr>
                <w:rFonts w:cs="Calibri"/>
                <w:b/>
                <w:bCs/>
                <w:color w:val="000000" w:themeColor="text1"/>
                <w:sz w:val="13"/>
                <w:szCs w:val="13"/>
              </w:rPr>
              <w:t>30</w:t>
            </w:r>
            <w:r w:rsidR="000570E5" w:rsidRPr="0068723D">
              <w:rPr>
                <w:rFonts w:cs="Calibri"/>
                <w:b/>
                <w:bCs/>
                <w:color w:val="000000" w:themeColor="text1"/>
                <w:sz w:val="13"/>
                <w:szCs w:val="13"/>
              </w:rPr>
              <w:t>,</w:t>
            </w:r>
            <w:r>
              <w:rPr>
                <w:rFonts w:cs="Calibri"/>
                <w:b/>
                <w:bCs/>
                <w:color w:val="000000" w:themeColor="text1"/>
                <w:sz w:val="13"/>
                <w:szCs w:val="13"/>
              </w:rPr>
              <w:t>79</w:t>
            </w:r>
          </w:p>
        </w:tc>
      </w:tr>
      <w:tr w:rsidR="000570E5" w:rsidRPr="0068723D" w14:paraId="32CE70CF" w14:textId="77777777" w:rsidTr="0075574A">
        <w:trPr>
          <w:trHeight w:val="255"/>
        </w:trPr>
        <w:tc>
          <w:tcPr>
            <w:tcW w:w="6747" w:type="dxa"/>
            <w:tcBorders>
              <w:top w:val="nil"/>
              <w:left w:val="nil"/>
              <w:bottom w:val="nil"/>
              <w:right w:val="nil"/>
            </w:tcBorders>
            <w:shd w:val="clear" w:color="auto" w:fill="auto"/>
            <w:vAlign w:val="center"/>
            <w:hideMark/>
          </w:tcPr>
          <w:p w14:paraId="2BC4DB56" w14:textId="77777777" w:rsidR="000570E5" w:rsidRPr="0068723D" w:rsidRDefault="000570E5" w:rsidP="000570E5">
            <w:pPr>
              <w:rPr>
                <w:rFonts w:cs="Calibri"/>
                <w:b/>
                <w:bCs/>
                <w:color w:val="000000" w:themeColor="text1"/>
                <w:sz w:val="13"/>
                <w:szCs w:val="13"/>
              </w:rPr>
            </w:pPr>
            <w:r w:rsidRPr="0068723D">
              <w:rPr>
                <w:rFonts w:cs="Calibri"/>
                <w:b/>
                <w:bCs/>
                <w:color w:val="000000" w:themeColor="text1"/>
                <w:sz w:val="13"/>
                <w:szCs w:val="13"/>
              </w:rPr>
              <w:t>Rozwodniony:</w:t>
            </w:r>
          </w:p>
        </w:tc>
        <w:tc>
          <w:tcPr>
            <w:tcW w:w="1418" w:type="dxa"/>
            <w:tcBorders>
              <w:top w:val="nil"/>
              <w:left w:val="nil"/>
              <w:bottom w:val="nil"/>
              <w:right w:val="nil"/>
            </w:tcBorders>
            <w:shd w:val="clear" w:color="auto" w:fill="auto"/>
            <w:vAlign w:val="bottom"/>
          </w:tcPr>
          <w:p w14:paraId="3A1F3E12" w14:textId="082E3BF2" w:rsidR="000570E5" w:rsidRPr="0068723D" w:rsidRDefault="000570E5" w:rsidP="000570E5">
            <w:pPr>
              <w:jc w:val="right"/>
              <w:rPr>
                <w:rFonts w:cs="Calibri"/>
                <w:color w:val="000000" w:themeColor="text1"/>
                <w:sz w:val="13"/>
                <w:szCs w:val="13"/>
              </w:rPr>
            </w:pPr>
          </w:p>
        </w:tc>
        <w:tc>
          <w:tcPr>
            <w:tcW w:w="1418" w:type="dxa"/>
            <w:tcBorders>
              <w:top w:val="nil"/>
              <w:left w:val="nil"/>
              <w:bottom w:val="nil"/>
              <w:right w:val="nil"/>
            </w:tcBorders>
            <w:shd w:val="clear" w:color="auto" w:fill="auto"/>
            <w:vAlign w:val="bottom"/>
            <w:hideMark/>
          </w:tcPr>
          <w:p w14:paraId="5B9D0B7C" w14:textId="77777777" w:rsidR="000570E5" w:rsidRPr="0068723D" w:rsidRDefault="000570E5" w:rsidP="000570E5">
            <w:pPr>
              <w:jc w:val="right"/>
              <w:rPr>
                <w:rFonts w:cs="Calibri"/>
                <w:color w:val="000000" w:themeColor="text1"/>
                <w:sz w:val="13"/>
                <w:szCs w:val="13"/>
              </w:rPr>
            </w:pPr>
          </w:p>
        </w:tc>
      </w:tr>
      <w:tr w:rsidR="000570E5" w:rsidRPr="0068723D" w14:paraId="2173296A" w14:textId="77777777" w:rsidTr="0075574A">
        <w:trPr>
          <w:trHeight w:val="340"/>
        </w:trPr>
        <w:tc>
          <w:tcPr>
            <w:tcW w:w="6747" w:type="dxa"/>
            <w:tcBorders>
              <w:top w:val="single" w:sz="8" w:space="0" w:color="0077BD"/>
              <w:left w:val="nil"/>
              <w:bottom w:val="single" w:sz="4" w:space="0" w:color="0077BD"/>
              <w:right w:val="single" w:sz="8" w:space="0" w:color="0077BD"/>
            </w:tcBorders>
            <w:shd w:val="clear" w:color="auto" w:fill="auto"/>
            <w:vAlign w:val="center"/>
            <w:hideMark/>
          </w:tcPr>
          <w:p w14:paraId="34CA8A18"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Zysk netto przypadający na akcjonariuszy mBanku S.A., zastosowany przy ustalaniu rozwodnionego zysku na akcję</w:t>
            </w:r>
          </w:p>
        </w:tc>
        <w:tc>
          <w:tcPr>
            <w:tcW w:w="1418" w:type="dxa"/>
            <w:tcBorders>
              <w:top w:val="single" w:sz="8" w:space="0" w:color="0077BD"/>
              <w:left w:val="single" w:sz="8" w:space="0" w:color="0077BD"/>
              <w:bottom w:val="single" w:sz="4" w:space="0" w:color="0077BD"/>
              <w:right w:val="single" w:sz="8" w:space="0" w:color="0077BD"/>
            </w:tcBorders>
            <w:shd w:val="clear" w:color="auto" w:fill="auto"/>
            <w:vAlign w:val="center"/>
          </w:tcPr>
          <w:p w14:paraId="59208CD7" w14:textId="5247A0E2"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1 010 350</w:t>
            </w:r>
          </w:p>
        </w:tc>
        <w:tc>
          <w:tcPr>
            <w:tcW w:w="1418" w:type="dxa"/>
            <w:tcBorders>
              <w:top w:val="single" w:sz="8" w:space="0" w:color="0077BD"/>
              <w:left w:val="nil"/>
              <w:bottom w:val="single" w:sz="4" w:space="0" w:color="0077BD"/>
              <w:right w:val="nil"/>
            </w:tcBorders>
            <w:shd w:val="clear" w:color="auto" w:fill="auto"/>
            <w:vAlign w:val="center"/>
            <w:hideMark/>
          </w:tcPr>
          <w:p w14:paraId="50C7F0F1" w14:textId="139E6177" w:rsidR="000570E5" w:rsidRPr="0068723D" w:rsidRDefault="005936DA" w:rsidP="005936DA">
            <w:pPr>
              <w:jc w:val="right"/>
              <w:rPr>
                <w:rFonts w:cs="Calibri"/>
                <w:color w:val="000000" w:themeColor="text1"/>
                <w:sz w:val="13"/>
                <w:szCs w:val="13"/>
              </w:rPr>
            </w:pPr>
            <w:r>
              <w:rPr>
                <w:rFonts w:cs="Calibri"/>
                <w:color w:val="000000" w:themeColor="text1"/>
                <w:sz w:val="13"/>
                <w:szCs w:val="13"/>
              </w:rPr>
              <w:t>1 302</w:t>
            </w:r>
            <w:r w:rsidR="000570E5" w:rsidRPr="0068723D">
              <w:rPr>
                <w:rFonts w:cs="Calibri"/>
                <w:color w:val="000000" w:themeColor="text1"/>
                <w:sz w:val="13"/>
                <w:szCs w:val="13"/>
              </w:rPr>
              <w:t xml:space="preserve"> </w:t>
            </w:r>
            <w:r>
              <w:rPr>
                <w:rFonts w:cs="Calibri"/>
                <w:color w:val="000000" w:themeColor="text1"/>
                <w:sz w:val="13"/>
                <w:szCs w:val="13"/>
              </w:rPr>
              <w:t>786</w:t>
            </w:r>
          </w:p>
        </w:tc>
      </w:tr>
      <w:tr w:rsidR="000570E5" w:rsidRPr="0068723D" w14:paraId="75A76A4C"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A089582"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Średnia ważona liczba akcji zwykłych</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165C7971" w14:textId="20F3D83E"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42 340 263</w:t>
            </w:r>
          </w:p>
        </w:tc>
        <w:tc>
          <w:tcPr>
            <w:tcW w:w="1418" w:type="dxa"/>
            <w:tcBorders>
              <w:top w:val="nil"/>
              <w:left w:val="nil"/>
              <w:bottom w:val="single" w:sz="4" w:space="0" w:color="0077BD"/>
              <w:right w:val="nil"/>
            </w:tcBorders>
            <w:shd w:val="clear" w:color="auto" w:fill="auto"/>
            <w:vAlign w:val="center"/>
            <w:hideMark/>
          </w:tcPr>
          <w:p w14:paraId="74AB9606" w14:textId="77777777"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42 318 253</w:t>
            </w:r>
          </w:p>
        </w:tc>
      </w:tr>
      <w:tr w:rsidR="000570E5" w:rsidRPr="0068723D" w14:paraId="75223126"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2A5EB35"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Korekty na:</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23D2500" w14:textId="59A3EBF1" w:rsidR="000570E5" w:rsidRPr="0068723D" w:rsidRDefault="000570E5" w:rsidP="000570E5">
            <w:pPr>
              <w:jc w:val="right"/>
              <w:rPr>
                <w:rFonts w:cs="Calibri"/>
                <w:color w:val="000000" w:themeColor="text1"/>
                <w:sz w:val="13"/>
                <w:szCs w:val="13"/>
              </w:rPr>
            </w:pPr>
          </w:p>
        </w:tc>
        <w:tc>
          <w:tcPr>
            <w:tcW w:w="1418" w:type="dxa"/>
            <w:tcBorders>
              <w:top w:val="nil"/>
              <w:left w:val="nil"/>
              <w:bottom w:val="single" w:sz="4" w:space="0" w:color="0077BD"/>
              <w:right w:val="nil"/>
            </w:tcBorders>
            <w:shd w:val="clear" w:color="auto" w:fill="auto"/>
            <w:vAlign w:val="center"/>
          </w:tcPr>
          <w:p w14:paraId="1EC13530" w14:textId="44502F21" w:rsidR="000570E5" w:rsidRPr="0068723D" w:rsidRDefault="000570E5" w:rsidP="000570E5">
            <w:pPr>
              <w:jc w:val="right"/>
              <w:rPr>
                <w:rFonts w:cs="Calibri"/>
                <w:color w:val="000000" w:themeColor="text1"/>
                <w:sz w:val="13"/>
                <w:szCs w:val="13"/>
              </w:rPr>
            </w:pPr>
          </w:p>
        </w:tc>
      </w:tr>
      <w:tr w:rsidR="000570E5" w:rsidRPr="0068723D" w14:paraId="02F49A3D"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BC48048"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 opcje na akcje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C7A1F32" w14:textId="469EADA9"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18 266</w:t>
            </w:r>
          </w:p>
        </w:tc>
        <w:tc>
          <w:tcPr>
            <w:tcW w:w="1418" w:type="dxa"/>
            <w:tcBorders>
              <w:top w:val="nil"/>
              <w:left w:val="nil"/>
              <w:bottom w:val="single" w:sz="4" w:space="0" w:color="0077BD"/>
              <w:right w:val="nil"/>
            </w:tcBorders>
            <w:shd w:val="clear" w:color="auto" w:fill="auto"/>
            <w:vAlign w:val="center"/>
            <w:hideMark/>
          </w:tcPr>
          <w:p w14:paraId="740BC795" w14:textId="77777777"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25 522</w:t>
            </w:r>
          </w:p>
        </w:tc>
      </w:tr>
      <w:tr w:rsidR="000570E5" w:rsidRPr="0068723D" w14:paraId="474E095F"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7CCDDA6B" w14:textId="77777777" w:rsidR="000570E5" w:rsidRPr="0068723D" w:rsidRDefault="000570E5" w:rsidP="000570E5">
            <w:pPr>
              <w:rPr>
                <w:rFonts w:cs="Calibri"/>
                <w:color w:val="000000" w:themeColor="text1"/>
                <w:sz w:val="13"/>
                <w:szCs w:val="13"/>
              </w:rPr>
            </w:pPr>
            <w:r w:rsidRPr="0068723D">
              <w:rPr>
                <w:rFonts w:cs="Calibri"/>
                <w:color w:val="000000" w:themeColor="text1"/>
                <w:sz w:val="13"/>
                <w:szCs w:val="13"/>
              </w:rPr>
              <w:t>Ważona średnia liczba akcji zwykłych dla potrzeb rozwodnionego zysku na akcję</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004126ED" w14:textId="5078FC1E"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42 358 529</w:t>
            </w:r>
          </w:p>
        </w:tc>
        <w:tc>
          <w:tcPr>
            <w:tcW w:w="1418" w:type="dxa"/>
            <w:tcBorders>
              <w:top w:val="nil"/>
              <w:left w:val="nil"/>
              <w:bottom w:val="single" w:sz="8" w:space="0" w:color="0077BD"/>
              <w:right w:val="nil"/>
            </w:tcBorders>
            <w:shd w:val="clear" w:color="auto" w:fill="auto"/>
            <w:vAlign w:val="center"/>
            <w:hideMark/>
          </w:tcPr>
          <w:p w14:paraId="5E7EF370" w14:textId="77777777" w:rsidR="000570E5" w:rsidRPr="0068723D" w:rsidRDefault="000570E5" w:rsidP="000570E5">
            <w:pPr>
              <w:jc w:val="right"/>
              <w:rPr>
                <w:rFonts w:cs="Calibri"/>
                <w:color w:val="000000" w:themeColor="text1"/>
                <w:sz w:val="13"/>
                <w:szCs w:val="13"/>
              </w:rPr>
            </w:pPr>
            <w:r w:rsidRPr="0068723D">
              <w:rPr>
                <w:rFonts w:cs="Calibri"/>
                <w:color w:val="000000" w:themeColor="text1"/>
                <w:sz w:val="13"/>
                <w:szCs w:val="13"/>
              </w:rPr>
              <w:t>42 343 775</w:t>
            </w:r>
          </w:p>
        </w:tc>
      </w:tr>
      <w:tr w:rsidR="000570E5" w:rsidRPr="0068723D" w14:paraId="4686F9AB"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17CA6924" w14:textId="77777777" w:rsidR="000570E5" w:rsidRPr="0068723D" w:rsidRDefault="000570E5" w:rsidP="000570E5">
            <w:pPr>
              <w:rPr>
                <w:rFonts w:cs="Calibri"/>
                <w:b/>
                <w:bCs/>
                <w:color w:val="000000" w:themeColor="text1"/>
                <w:sz w:val="13"/>
                <w:szCs w:val="13"/>
              </w:rPr>
            </w:pPr>
            <w:r w:rsidRPr="0068723D">
              <w:rPr>
                <w:rFonts w:cs="Calibri"/>
                <w:b/>
                <w:bCs/>
                <w:color w:val="000000" w:themeColor="text1"/>
                <w:sz w:val="13"/>
                <w:szCs w:val="13"/>
              </w:rPr>
              <w:t>Rozwodniony zysk netto na akcję (wyrażony w złotych na jedną akcję)</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4B304592" w14:textId="4C6CEEED" w:rsidR="000570E5" w:rsidRPr="0068723D" w:rsidRDefault="000570E5" w:rsidP="000570E5">
            <w:pPr>
              <w:jc w:val="right"/>
              <w:rPr>
                <w:rFonts w:cs="Calibri"/>
                <w:b/>
                <w:bCs/>
                <w:color w:val="000000" w:themeColor="text1"/>
                <w:sz w:val="13"/>
                <w:szCs w:val="13"/>
              </w:rPr>
            </w:pPr>
            <w:r w:rsidRPr="0068723D">
              <w:rPr>
                <w:rFonts w:cs="Calibri"/>
                <w:b/>
                <w:bCs/>
                <w:color w:val="000000" w:themeColor="text1"/>
                <w:sz w:val="13"/>
                <w:szCs w:val="13"/>
              </w:rPr>
              <w:t>23,85</w:t>
            </w:r>
          </w:p>
        </w:tc>
        <w:tc>
          <w:tcPr>
            <w:tcW w:w="1418" w:type="dxa"/>
            <w:tcBorders>
              <w:top w:val="nil"/>
              <w:left w:val="nil"/>
              <w:bottom w:val="single" w:sz="8" w:space="0" w:color="0077BD"/>
              <w:right w:val="nil"/>
            </w:tcBorders>
            <w:shd w:val="clear" w:color="auto" w:fill="auto"/>
            <w:noWrap/>
            <w:vAlign w:val="center"/>
            <w:hideMark/>
          </w:tcPr>
          <w:p w14:paraId="15E9D46C" w14:textId="1D530892" w:rsidR="000570E5" w:rsidRPr="0068723D" w:rsidRDefault="005936DA" w:rsidP="005936DA">
            <w:pPr>
              <w:jc w:val="right"/>
              <w:rPr>
                <w:rFonts w:cs="Calibri"/>
                <w:b/>
                <w:bCs/>
                <w:color w:val="000000" w:themeColor="text1"/>
                <w:sz w:val="13"/>
                <w:szCs w:val="13"/>
              </w:rPr>
            </w:pPr>
            <w:r>
              <w:rPr>
                <w:rFonts w:cs="Calibri"/>
                <w:b/>
                <w:bCs/>
                <w:color w:val="000000" w:themeColor="text1"/>
                <w:sz w:val="13"/>
                <w:szCs w:val="13"/>
              </w:rPr>
              <w:t>30</w:t>
            </w:r>
            <w:r w:rsidR="000570E5" w:rsidRPr="0068723D">
              <w:rPr>
                <w:rFonts w:cs="Calibri"/>
                <w:b/>
                <w:bCs/>
                <w:color w:val="000000" w:themeColor="text1"/>
                <w:sz w:val="13"/>
                <w:szCs w:val="13"/>
              </w:rPr>
              <w:t>,</w:t>
            </w:r>
            <w:r>
              <w:rPr>
                <w:rFonts w:cs="Calibri"/>
                <w:b/>
                <w:bCs/>
                <w:color w:val="000000" w:themeColor="text1"/>
                <w:sz w:val="13"/>
                <w:szCs w:val="13"/>
              </w:rPr>
              <w:t>77</w:t>
            </w:r>
          </w:p>
        </w:tc>
      </w:tr>
    </w:tbl>
    <w:p w14:paraId="7E4EBB1B" w14:textId="158C0403" w:rsidR="00E23116" w:rsidRPr="0068723D" w:rsidRDefault="00E23116" w:rsidP="00D557A4">
      <w:pPr>
        <w:pStyle w:val="DefaultText"/>
        <w:suppressAutoHyphens/>
        <w:spacing w:before="120" w:after="0"/>
        <w:rPr>
          <w:rFonts w:ascii="Verdana" w:hAnsi="Verdana" w:cs="Tahoma"/>
          <w:color w:val="000000" w:themeColor="text1"/>
          <w:sz w:val="18"/>
          <w:szCs w:val="18"/>
          <w:lang w:val="pl-PL"/>
        </w:rPr>
      </w:pPr>
      <w:r w:rsidRPr="0068723D">
        <w:rPr>
          <w:rFonts w:ascii="Verdana" w:hAnsi="Verdana" w:cs="Tahoma"/>
          <w:color w:val="000000" w:themeColor="text1"/>
          <w:sz w:val="18"/>
          <w:szCs w:val="18"/>
          <w:lang w:val="pl-PL"/>
        </w:rPr>
        <w:lastRenderedPageBreak/>
        <w:t>Zgodnie z MSR 33 Bank sporządza kalku</w:t>
      </w:r>
      <w:r w:rsidR="00867D5C" w:rsidRPr="0068723D">
        <w:rPr>
          <w:rFonts w:ascii="Verdana" w:hAnsi="Verdana" w:cs="Tahoma"/>
          <w:color w:val="000000" w:themeColor="text1"/>
          <w:sz w:val="18"/>
          <w:szCs w:val="18"/>
          <w:lang w:val="pl-PL"/>
        </w:rPr>
        <w:t>lację</w:t>
      </w:r>
      <w:r w:rsidRPr="0068723D">
        <w:rPr>
          <w:rFonts w:ascii="Verdana" w:hAnsi="Verdana" w:cs="Tahoma"/>
          <w:color w:val="000000" w:themeColor="text1"/>
          <w:sz w:val="18"/>
          <w:szCs w:val="18"/>
          <w:lang w:val="pl-PL"/>
        </w:rPr>
        <w:t xml:space="preserve"> rozwodnionego zysku na jedną akcję, uwzg</w:t>
      </w:r>
      <w:r w:rsidR="00262EBB" w:rsidRPr="0068723D">
        <w:rPr>
          <w:rFonts w:ascii="Verdana" w:hAnsi="Verdana" w:cs="Tahoma"/>
          <w:color w:val="000000" w:themeColor="text1"/>
          <w:sz w:val="18"/>
          <w:szCs w:val="18"/>
          <w:lang w:val="pl-PL"/>
        </w:rPr>
        <w:t>lędniając akcje emitowa</w:t>
      </w:r>
      <w:r w:rsidRPr="0068723D">
        <w:rPr>
          <w:rFonts w:ascii="Verdana" w:hAnsi="Verdana" w:cs="Tahoma"/>
          <w:color w:val="000000" w:themeColor="text1"/>
          <w:sz w:val="18"/>
          <w:szCs w:val="18"/>
          <w:lang w:val="pl-PL"/>
        </w:rPr>
        <w:t>ne warunkowo w ramach programów mo</w:t>
      </w:r>
      <w:r w:rsidR="009E1DD1" w:rsidRPr="0068723D">
        <w:rPr>
          <w:rFonts w:ascii="Verdana" w:hAnsi="Verdana" w:cs="Tahoma"/>
          <w:color w:val="000000" w:themeColor="text1"/>
          <w:sz w:val="18"/>
          <w:szCs w:val="18"/>
          <w:lang w:val="pl-PL"/>
        </w:rPr>
        <w:t xml:space="preserve">tywacyjnych opisanych w </w:t>
      </w:r>
      <w:r w:rsidR="00550691" w:rsidRPr="0068723D">
        <w:rPr>
          <w:rFonts w:ascii="Verdana" w:hAnsi="Verdana"/>
          <w:color w:val="000000" w:themeColor="text1"/>
          <w:sz w:val="18"/>
          <w:szCs w:val="18"/>
          <w:lang w:val="pl-PL"/>
        </w:rPr>
        <w:t>Nocie 41</w:t>
      </w:r>
      <w:r w:rsidR="00703A14" w:rsidRPr="0068723D">
        <w:rPr>
          <w:rFonts w:ascii="Verdana" w:hAnsi="Verdana"/>
          <w:color w:val="000000" w:themeColor="text1"/>
          <w:sz w:val="18"/>
          <w:szCs w:val="18"/>
          <w:lang w:val="pl-PL"/>
        </w:rPr>
        <w:t xml:space="preserve"> „Programy motywacyjne oparte na akcjach” niniejszego sprawozdania finansowego.</w:t>
      </w:r>
      <w:r w:rsidR="00703A14" w:rsidRPr="0068723D">
        <w:rPr>
          <w:rFonts w:ascii="Verdana" w:hAnsi="Verdana" w:cs="Tahoma"/>
          <w:color w:val="000000" w:themeColor="text1"/>
          <w:sz w:val="18"/>
          <w:szCs w:val="18"/>
          <w:lang w:val="pl-PL"/>
        </w:rPr>
        <w:t xml:space="preserve"> W </w:t>
      </w:r>
      <w:r w:rsidRPr="0068723D">
        <w:rPr>
          <w:rFonts w:ascii="Verdana" w:hAnsi="Verdana" w:cs="Tahoma"/>
          <w:color w:val="000000" w:themeColor="text1"/>
          <w:sz w:val="18"/>
          <w:szCs w:val="18"/>
          <w:lang w:val="pl-PL"/>
        </w:rPr>
        <w:t>kalkulacjach nie uwzględniono tych elementów programów motywacyjnych, które miały działanie antyrozwadniające w prezentowanych okresach sprawozdawczych, a które w przyszłości potencjalnie mogą wpłynąć na rozwodnienie zysku na</w:t>
      </w:r>
      <w:r w:rsidR="00B9528E">
        <w:rPr>
          <w:rFonts w:ascii="Verdana" w:hAnsi="Verdana" w:cs="Tahoma"/>
          <w:color w:val="000000" w:themeColor="text1"/>
          <w:sz w:val="18"/>
          <w:szCs w:val="18"/>
          <w:lang w:val="pl-PL"/>
        </w:rPr>
        <w:t> </w:t>
      </w:r>
      <w:r w:rsidRPr="0068723D">
        <w:rPr>
          <w:rFonts w:ascii="Verdana" w:hAnsi="Verdana" w:cs="Tahoma"/>
          <w:color w:val="000000" w:themeColor="text1"/>
          <w:sz w:val="18"/>
          <w:szCs w:val="18"/>
          <w:lang w:val="pl-PL"/>
        </w:rPr>
        <w:t>akcję.</w:t>
      </w:r>
      <w:r w:rsidR="00A628E4" w:rsidRPr="0068723D">
        <w:rPr>
          <w:rFonts w:ascii="Verdana" w:hAnsi="Verdana" w:cs="Tahoma"/>
          <w:color w:val="000000" w:themeColor="text1"/>
          <w:sz w:val="18"/>
          <w:szCs w:val="18"/>
          <w:lang w:val="pl-PL"/>
        </w:rPr>
        <w:t xml:space="preserve"> </w:t>
      </w:r>
    </w:p>
    <w:p w14:paraId="2D6D00C8" w14:textId="77777777" w:rsidR="00E23116" w:rsidRPr="0068723D" w:rsidRDefault="00E23116" w:rsidP="00D557A4">
      <w:pPr>
        <w:pStyle w:val="NormalnyWeb"/>
        <w:spacing w:before="120"/>
        <w:jc w:val="both"/>
        <w:rPr>
          <w:rFonts w:cs="Tahoma"/>
          <w:color w:val="000000" w:themeColor="text1"/>
          <w:sz w:val="18"/>
          <w:szCs w:val="18"/>
        </w:rPr>
      </w:pPr>
      <w:r w:rsidRPr="0068723D">
        <w:rPr>
          <w:rFonts w:cs="Tahoma"/>
          <w:color w:val="000000" w:themeColor="text1"/>
          <w:sz w:val="18"/>
          <w:szCs w:val="18"/>
        </w:rPr>
        <w:t xml:space="preserve">Podstawowy zysk na akcję wylicza się jako iloraz zysku przypadającego na akcjonariuszy Banku oraz średniej ważonej liczby akcji zwykłych w trakcie roku. </w:t>
      </w:r>
    </w:p>
    <w:p w14:paraId="49C3C9CE" w14:textId="41056EFD" w:rsidR="00E23116" w:rsidRPr="0068723D" w:rsidRDefault="00E23116" w:rsidP="001427CF">
      <w:pPr>
        <w:spacing w:before="120" w:after="120"/>
        <w:jc w:val="both"/>
        <w:rPr>
          <w:rFonts w:cs="Tahoma"/>
          <w:color w:val="000000" w:themeColor="text1"/>
          <w:sz w:val="18"/>
          <w:szCs w:val="18"/>
        </w:rPr>
      </w:pPr>
      <w:r w:rsidRPr="0068723D">
        <w:rPr>
          <w:rFonts w:cs="Tahoma"/>
          <w:color w:val="000000" w:themeColor="text1"/>
          <w:sz w:val="18"/>
          <w:szCs w:val="18"/>
        </w:rPr>
        <w:t>Rozwodniony zysk na akcję wylicza się w oparciu o stosunek zysku przypadającego na akcjonariuszy Banku do średniej ważonej liczby akcji zwykłych skorygowanych w taki sposób, jak gdyby nastąpiła zamiana na</w:t>
      </w:r>
      <w:r w:rsidR="00C77EEC">
        <w:rPr>
          <w:rFonts w:cs="Tahoma"/>
          <w:color w:val="000000" w:themeColor="text1"/>
          <w:sz w:val="18"/>
          <w:szCs w:val="18"/>
        </w:rPr>
        <w:t> </w:t>
      </w:r>
      <w:r w:rsidRPr="0068723D">
        <w:rPr>
          <w:rFonts w:cs="Tahoma"/>
          <w:color w:val="000000" w:themeColor="text1"/>
          <w:sz w:val="18"/>
          <w:szCs w:val="18"/>
        </w:rPr>
        <w:t>akcje wszystkich powodujących rozwodnienie potencjalnych akcji zwykłych. Bank posiada jedną kategorię powodującą rozwodnienie potencjalnych akcji zwykłych: opcje na akcje. Akcje rozwadniające wylicza się jako liczbę akcji, które zostałyby wyemitowane gdyby nastąpiła realizacja wszystkich opcji na</w:t>
      </w:r>
      <w:r w:rsidR="00C77EEC">
        <w:rPr>
          <w:rFonts w:cs="Tahoma"/>
          <w:color w:val="000000" w:themeColor="text1"/>
          <w:sz w:val="18"/>
          <w:szCs w:val="18"/>
        </w:rPr>
        <w:t> </w:t>
      </w:r>
      <w:r w:rsidRPr="0068723D">
        <w:rPr>
          <w:rFonts w:cs="Tahoma"/>
          <w:color w:val="000000" w:themeColor="text1"/>
          <w:sz w:val="18"/>
          <w:szCs w:val="18"/>
        </w:rPr>
        <w:t>akcje po cenie rynkowej ustalonej jako średnioroczna cena zamknięcia akcji Banku.</w:t>
      </w:r>
    </w:p>
    <w:p w14:paraId="62D59A45" w14:textId="77777777" w:rsidR="00E23116" w:rsidRDefault="00BB650B"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36" w:name="_Toc32999849"/>
      <w:r>
        <w:rPr>
          <w:rFonts w:cs="Tahoma"/>
          <w:bCs w:val="0"/>
          <w:iCs w:val="0"/>
          <w:color w:val="E41E0A"/>
          <w:sz w:val="18"/>
          <w:szCs w:val="18"/>
        </w:rPr>
        <w:t>Pozostałe</w:t>
      </w:r>
      <w:r w:rsidR="00E23116">
        <w:rPr>
          <w:rFonts w:cs="Tahoma"/>
          <w:bCs w:val="0"/>
          <w:iCs w:val="0"/>
          <w:color w:val="E41E0A"/>
          <w:sz w:val="18"/>
          <w:szCs w:val="18"/>
        </w:rPr>
        <w:t xml:space="preserve"> całkowite</w:t>
      </w:r>
      <w:r>
        <w:rPr>
          <w:rFonts w:cs="Tahoma"/>
          <w:bCs w:val="0"/>
          <w:iCs w:val="0"/>
          <w:color w:val="E41E0A"/>
          <w:sz w:val="18"/>
          <w:szCs w:val="18"/>
        </w:rPr>
        <w:t xml:space="preserve"> dochody</w:t>
      </w:r>
      <w:bookmarkEnd w:id="136"/>
    </w:p>
    <w:p w14:paraId="40FCA4B4" w14:textId="4157BB4C" w:rsidR="00F43B20" w:rsidRDefault="00F43B20" w:rsidP="00FF4F24">
      <w:pPr>
        <w:jc w:val="both"/>
        <w:rPr>
          <w:noProof/>
        </w:rPr>
      </w:pPr>
    </w:p>
    <w:tbl>
      <w:tblPr>
        <w:tblW w:w="0" w:type="auto"/>
        <w:tblCellMar>
          <w:left w:w="28" w:type="dxa"/>
          <w:right w:w="28" w:type="dxa"/>
        </w:tblCellMar>
        <w:tblLook w:val="04A0" w:firstRow="1" w:lastRow="0" w:firstColumn="1" w:lastColumn="0" w:noHBand="0" w:noVBand="1"/>
      </w:tblPr>
      <w:tblGrid>
        <w:gridCol w:w="3808"/>
        <w:gridCol w:w="1012"/>
        <w:gridCol w:w="992"/>
        <w:gridCol w:w="893"/>
        <w:gridCol w:w="950"/>
        <w:gridCol w:w="992"/>
        <w:gridCol w:w="934"/>
      </w:tblGrid>
      <w:tr w:rsidR="00FF4F24" w:rsidRPr="00FF4F24" w14:paraId="6D1E5406" w14:textId="77777777" w:rsidTr="0075574A">
        <w:trPr>
          <w:trHeight w:val="284"/>
        </w:trPr>
        <w:tc>
          <w:tcPr>
            <w:tcW w:w="3808" w:type="dxa"/>
            <w:vMerge w:val="restart"/>
            <w:tcBorders>
              <w:top w:val="nil"/>
              <w:left w:val="nil"/>
              <w:bottom w:val="single" w:sz="8" w:space="0" w:color="0077BD"/>
              <w:right w:val="nil"/>
            </w:tcBorders>
            <w:shd w:val="clear" w:color="000000" w:fill="0077BD"/>
            <w:vAlign w:val="center"/>
            <w:hideMark/>
          </w:tcPr>
          <w:p w14:paraId="12F6C5D7" w14:textId="77777777" w:rsidR="00FF4F24" w:rsidRPr="00FF4F24" w:rsidRDefault="00FF4F24" w:rsidP="00FF4F24">
            <w:pPr>
              <w:rPr>
                <w:rFonts w:cs="Calibri"/>
                <w:b/>
                <w:bCs/>
                <w:color w:val="FFFFFF"/>
                <w:sz w:val="13"/>
                <w:szCs w:val="13"/>
              </w:rPr>
            </w:pPr>
            <w:r w:rsidRPr="00FF4F24">
              <w:rPr>
                <w:rFonts w:cs="Calibri"/>
                <w:b/>
                <w:bCs/>
                <w:color w:val="FFFFFF"/>
                <w:sz w:val="13"/>
                <w:szCs w:val="13"/>
              </w:rPr>
              <w:t>Ujawnienia efektu podatkowego dotyczącego poszczególnych elementów pozostałych dochodów całkowitych</w:t>
            </w:r>
          </w:p>
        </w:tc>
        <w:tc>
          <w:tcPr>
            <w:tcW w:w="2897" w:type="dxa"/>
            <w:gridSpan w:val="3"/>
            <w:tcBorders>
              <w:top w:val="nil"/>
              <w:left w:val="single" w:sz="8" w:space="0" w:color="FFFFFF"/>
              <w:bottom w:val="single" w:sz="6" w:space="0" w:color="FFFFFF"/>
              <w:right w:val="single" w:sz="8" w:space="0" w:color="FFFFFF"/>
            </w:tcBorders>
            <w:shd w:val="clear" w:color="000000" w:fill="0077BD"/>
            <w:vAlign w:val="center"/>
            <w:hideMark/>
          </w:tcPr>
          <w:p w14:paraId="20107D42" w14:textId="77777777" w:rsidR="00FF4F24" w:rsidRPr="00FF4F24" w:rsidRDefault="00FF4F24" w:rsidP="00FF4F24">
            <w:pPr>
              <w:jc w:val="right"/>
              <w:rPr>
                <w:rFonts w:cs="Calibri"/>
                <w:b/>
                <w:bCs/>
                <w:color w:val="FFFFFF"/>
                <w:sz w:val="13"/>
                <w:szCs w:val="13"/>
              </w:rPr>
            </w:pPr>
            <w:r w:rsidRPr="00FF4F24">
              <w:rPr>
                <w:rFonts w:cs="Calibri"/>
                <w:b/>
                <w:bCs/>
                <w:color w:val="FFFFFF"/>
                <w:sz w:val="13"/>
                <w:szCs w:val="13"/>
              </w:rPr>
              <w:t>Rok kończący się 31 grudnia 2019 r.</w:t>
            </w:r>
          </w:p>
        </w:tc>
        <w:tc>
          <w:tcPr>
            <w:tcW w:w="2876" w:type="dxa"/>
            <w:gridSpan w:val="3"/>
            <w:tcBorders>
              <w:top w:val="nil"/>
              <w:left w:val="nil"/>
              <w:bottom w:val="single" w:sz="6" w:space="0" w:color="FFFFFF"/>
              <w:right w:val="nil"/>
            </w:tcBorders>
            <w:shd w:val="clear" w:color="000000" w:fill="0077BD"/>
            <w:vAlign w:val="center"/>
            <w:hideMark/>
          </w:tcPr>
          <w:p w14:paraId="33A21C24" w14:textId="77777777" w:rsidR="00FF4F24" w:rsidRPr="00FF4F24" w:rsidRDefault="00FF4F24" w:rsidP="00FF4F24">
            <w:pPr>
              <w:jc w:val="right"/>
              <w:rPr>
                <w:rFonts w:cs="Calibri"/>
                <w:b/>
                <w:bCs/>
                <w:color w:val="FFFFFF"/>
                <w:sz w:val="13"/>
                <w:szCs w:val="13"/>
              </w:rPr>
            </w:pPr>
            <w:r w:rsidRPr="00FF4F24">
              <w:rPr>
                <w:rFonts w:cs="Calibri"/>
                <w:b/>
                <w:bCs/>
                <w:color w:val="FFFFFF"/>
                <w:sz w:val="13"/>
                <w:szCs w:val="13"/>
              </w:rPr>
              <w:t>Rok kończący się 31 grudnia 2018 r.</w:t>
            </w:r>
          </w:p>
        </w:tc>
      </w:tr>
      <w:tr w:rsidR="00FF4F24" w:rsidRPr="00FF4F24" w14:paraId="7EDB0F14" w14:textId="77777777" w:rsidTr="0075574A">
        <w:trPr>
          <w:trHeight w:val="340"/>
        </w:trPr>
        <w:tc>
          <w:tcPr>
            <w:tcW w:w="3808" w:type="dxa"/>
            <w:vMerge/>
            <w:tcBorders>
              <w:top w:val="nil"/>
              <w:left w:val="nil"/>
              <w:right w:val="nil"/>
            </w:tcBorders>
            <w:vAlign w:val="center"/>
            <w:hideMark/>
          </w:tcPr>
          <w:p w14:paraId="3F8A628D" w14:textId="77777777" w:rsidR="00FF4F24" w:rsidRPr="00FF4F24" w:rsidRDefault="00FF4F24" w:rsidP="00FF4F24">
            <w:pPr>
              <w:rPr>
                <w:rFonts w:cs="Calibri"/>
                <w:b/>
                <w:bCs/>
                <w:color w:val="FFFFFF"/>
                <w:sz w:val="13"/>
                <w:szCs w:val="13"/>
              </w:rPr>
            </w:pPr>
          </w:p>
        </w:tc>
        <w:tc>
          <w:tcPr>
            <w:tcW w:w="1012" w:type="dxa"/>
            <w:tcBorders>
              <w:top w:val="single" w:sz="6" w:space="0" w:color="FFFFFF"/>
              <w:left w:val="single" w:sz="8" w:space="0" w:color="FFFFFF"/>
              <w:right w:val="single" w:sz="8" w:space="0" w:color="FFFFFF"/>
            </w:tcBorders>
            <w:shd w:val="clear" w:color="000000" w:fill="0077BD"/>
            <w:vAlign w:val="center"/>
            <w:hideMark/>
          </w:tcPr>
          <w:p w14:paraId="3AF3A0E7"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Kwota brutto</w:t>
            </w:r>
          </w:p>
        </w:tc>
        <w:tc>
          <w:tcPr>
            <w:tcW w:w="992" w:type="dxa"/>
            <w:tcBorders>
              <w:top w:val="single" w:sz="6" w:space="0" w:color="FFFFFF"/>
              <w:left w:val="nil"/>
              <w:right w:val="single" w:sz="8" w:space="0" w:color="FFFFFF"/>
            </w:tcBorders>
            <w:shd w:val="clear" w:color="000000" w:fill="0077BD"/>
            <w:vAlign w:val="center"/>
            <w:hideMark/>
          </w:tcPr>
          <w:p w14:paraId="2F70840D"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Podatek</w:t>
            </w:r>
            <w:r w:rsidRPr="00FF4F24">
              <w:rPr>
                <w:rFonts w:cs="Calibri"/>
                <w:b/>
                <w:bCs/>
                <w:color w:val="FFFFFF"/>
                <w:sz w:val="13"/>
                <w:szCs w:val="13"/>
              </w:rPr>
              <w:br/>
              <w:t>dochodowy</w:t>
            </w:r>
          </w:p>
        </w:tc>
        <w:tc>
          <w:tcPr>
            <w:tcW w:w="893" w:type="dxa"/>
            <w:tcBorders>
              <w:top w:val="single" w:sz="6" w:space="0" w:color="FFFFFF"/>
              <w:left w:val="nil"/>
              <w:right w:val="single" w:sz="8" w:space="0" w:color="FFFFFF"/>
            </w:tcBorders>
            <w:shd w:val="clear" w:color="000000" w:fill="0077BD"/>
            <w:vAlign w:val="center"/>
            <w:hideMark/>
          </w:tcPr>
          <w:p w14:paraId="0A86C12A"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Kwota</w:t>
            </w:r>
            <w:r w:rsidRPr="00FF4F24">
              <w:rPr>
                <w:rFonts w:cs="Calibri"/>
                <w:b/>
                <w:bCs/>
                <w:color w:val="FFFFFF"/>
                <w:sz w:val="13"/>
                <w:szCs w:val="13"/>
              </w:rPr>
              <w:br/>
              <w:t>netto</w:t>
            </w:r>
          </w:p>
        </w:tc>
        <w:tc>
          <w:tcPr>
            <w:tcW w:w="950" w:type="dxa"/>
            <w:tcBorders>
              <w:top w:val="single" w:sz="6" w:space="0" w:color="FFFFFF"/>
              <w:left w:val="nil"/>
              <w:right w:val="single" w:sz="8" w:space="0" w:color="FFFFFF"/>
            </w:tcBorders>
            <w:shd w:val="clear" w:color="000000" w:fill="0077BD"/>
            <w:vAlign w:val="center"/>
            <w:hideMark/>
          </w:tcPr>
          <w:p w14:paraId="6EAD24F2"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Kwota brutto</w:t>
            </w:r>
          </w:p>
        </w:tc>
        <w:tc>
          <w:tcPr>
            <w:tcW w:w="992" w:type="dxa"/>
            <w:tcBorders>
              <w:top w:val="single" w:sz="6" w:space="0" w:color="FFFFFF"/>
              <w:left w:val="nil"/>
              <w:right w:val="single" w:sz="8" w:space="0" w:color="FFFFFF"/>
            </w:tcBorders>
            <w:shd w:val="clear" w:color="000000" w:fill="0077BD"/>
            <w:vAlign w:val="center"/>
            <w:hideMark/>
          </w:tcPr>
          <w:p w14:paraId="036F5D11"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Podatek</w:t>
            </w:r>
            <w:r w:rsidRPr="00FF4F24">
              <w:rPr>
                <w:rFonts w:cs="Calibri"/>
                <w:b/>
                <w:bCs/>
                <w:color w:val="FFFFFF"/>
                <w:sz w:val="13"/>
                <w:szCs w:val="13"/>
              </w:rPr>
              <w:br/>
              <w:t>dochodowy</w:t>
            </w:r>
          </w:p>
        </w:tc>
        <w:tc>
          <w:tcPr>
            <w:tcW w:w="934" w:type="dxa"/>
            <w:tcBorders>
              <w:top w:val="single" w:sz="6" w:space="0" w:color="FFFFFF"/>
              <w:left w:val="nil"/>
              <w:right w:val="nil"/>
            </w:tcBorders>
            <w:shd w:val="clear" w:color="000000" w:fill="0077BD"/>
            <w:vAlign w:val="center"/>
            <w:hideMark/>
          </w:tcPr>
          <w:p w14:paraId="6252001C" w14:textId="77777777" w:rsidR="00FF4F24" w:rsidRPr="00FF4F24" w:rsidRDefault="00FF4F24" w:rsidP="00FF4F24">
            <w:pPr>
              <w:jc w:val="center"/>
              <w:rPr>
                <w:rFonts w:cs="Calibri"/>
                <w:b/>
                <w:bCs/>
                <w:color w:val="FFFFFF"/>
                <w:sz w:val="13"/>
                <w:szCs w:val="13"/>
              </w:rPr>
            </w:pPr>
            <w:r w:rsidRPr="00FF4F24">
              <w:rPr>
                <w:rFonts w:cs="Calibri"/>
                <w:b/>
                <w:bCs/>
                <w:color w:val="FFFFFF"/>
                <w:sz w:val="13"/>
                <w:szCs w:val="13"/>
              </w:rPr>
              <w:t>Kwota</w:t>
            </w:r>
            <w:r w:rsidRPr="00FF4F24">
              <w:rPr>
                <w:rFonts w:cs="Calibri"/>
                <w:b/>
                <w:bCs/>
                <w:color w:val="FFFFFF"/>
                <w:sz w:val="13"/>
                <w:szCs w:val="13"/>
              </w:rPr>
              <w:br/>
              <w:t>netto</w:t>
            </w:r>
          </w:p>
        </w:tc>
      </w:tr>
      <w:tr w:rsidR="00A42982" w:rsidRPr="0068723D" w14:paraId="73F0682C" w14:textId="77777777" w:rsidTr="00001341">
        <w:trPr>
          <w:trHeight w:val="340"/>
        </w:trPr>
        <w:tc>
          <w:tcPr>
            <w:tcW w:w="3808" w:type="dxa"/>
            <w:tcBorders>
              <w:left w:val="nil"/>
              <w:bottom w:val="single" w:sz="8" w:space="0" w:color="0077BD"/>
              <w:right w:val="single" w:sz="8" w:space="0" w:color="0077BD"/>
            </w:tcBorders>
            <w:shd w:val="clear" w:color="auto" w:fill="auto"/>
            <w:vAlign w:val="center"/>
            <w:hideMark/>
          </w:tcPr>
          <w:p w14:paraId="34DE7B76" w14:textId="77777777" w:rsidR="00A42982" w:rsidRPr="0068723D" w:rsidRDefault="00A42982" w:rsidP="00A42982">
            <w:pPr>
              <w:rPr>
                <w:rFonts w:cs="Calibri"/>
                <w:b/>
                <w:bCs/>
                <w:color w:val="000000" w:themeColor="text1"/>
                <w:sz w:val="13"/>
                <w:szCs w:val="13"/>
              </w:rPr>
            </w:pPr>
            <w:r w:rsidRPr="0068723D">
              <w:rPr>
                <w:rFonts w:cs="Calibri"/>
                <w:b/>
                <w:bCs/>
                <w:color w:val="000000" w:themeColor="text1"/>
                <w:sz w:val="13"/>
                <w:szCs w:val="13"/>
              </w:rPr>
              <w:t>Pozycje, które mogą być przeklasyfikowane do rachunku zysków i strat</w:t>
            </w:r>
          </w:p>
        </w:tc>
        <w:tc>
          <w:tcPr>
            <w:tcW w:w="1012" w:type="dxa"/>
            <w:tcBorders>
              <w:left w:val="single" w:sz="8" w:space="0" w:color="0077BD"/>
              <w:bottom w:val="single" w:sz="8" w:space="0" w:color="0077BD"/>
              <w:right w:val="single" w:sz="4" w:space="0" w:color="0077BD"/>
            </w:tcBorders>
            <w:shd w:val="clear" w:color="auto" w:fill="auto"/>
            <w:noWrap/>
            <w:vAlign w:val="center"/>
            <w:hideMark/>
          </w:tcPr>
          <w:p w14:paraId="563327D2" w14:textId="2CA4F7E1" w:rsidR="00A42982" w:rsidRPr="0068723D" w:rsidRDefault="00A42982" w:rsidP="00A42982">
            <w:pPr>
              <w:jc w:val="right"/>
              <w:rPr>
                <w:rFonts w:cs="Calibri"/>
                <w:b/>
                <w:bCs/>
                <w:color w:val="000000" w:themeColor="text1"/>
                <w:sz w:val="13"/>
                <w:szCs w:val="13"/>
              </w:rPr>
            </w:pPr>
            <w:bookmarkStart w:id="137" w:name="RANGE!C6:E15"/>
            <w:r w:rsidRPr="0068723D">
              <w:rPr>
                <w:rFonts w:cs="Calibri"/>
                <w:b/>
                <w:bCs/>
                <w:color w:val="000000" w:themeColor="text1"/>
                <w:sz w:val="13"/>
                <w:szCs w:val="13"/>
              </w:rPr>
              <w:t>(25 269)</w:t>
            </w:r>
            <w:bookmarkEnd w:id="137"/>
          </w:p>
        </w:tc>
        <w:tc>
          <w:tcPr>
            <w:tcW w:w="992" w:type="dxa"/>
            <w:tcBorders>
              <w:left w:val="nil"/>
              <w:bottom w:val="single" w:sz="8" w:space="0" w:color="0077BD"/>
              <w:right w:val="single" w:sz="4" w:space="0" w:color="0077BD"/>
            </w:tcBorders>
            <w:shd w:val="clear" w:color="auto" w:fill="auto"/>
            <w:noWrap/>
            <w:vAlign w:val="center"/>
            <w:hideMark/>
          </w:tcPr>
          <w:p w14:paraId="038B87D9" w14:textId="0219221C"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(10 857)</w:t>
            </w:r>
          </w:p>
        </w:tc>
        <w:tc>
          <w:tcPr>
            <w:tcW w:w="893" w:type="dxa"/>
            <w:tcBorders>
              <w:left w:val="nil"/>
              <w:bottom w:val="single" w:sz="8" w:space="0" w:color="0077BD"/>
              <w:right w:val="nil"/>
            </w:tcBorders>
            <w:shd w:val="clear" w:color="auto" w:fill="auto"/>
            <w:noWrap/>
            <w:vAlign w:val="center"/>
            <w:hideMark/>
          </w:tcPr>
          <w:p w14:paraId="1AE73A2B" w14:textId="04BAADDF"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(36 126)</w:t>
            </w:r>
          </w:p>
        </w:tc>
        <w:tc>
          <w:tcPr>
            <w:tcW w:w="950" w:type="dxa"/>
            <w:tcBorders>
              <w:left w:val="single" w:sz="8" w:space="0" w:color="0077BD"/>
              <w:bottom w:val="single" w:sz="8" w:space="0" w:color="0077BD"/>
              <w:right w:val="single" w:sz="6" w:space="0" w:color="0077BD"/>
            </w:tcBorders>
            <w:shd w:val="clear" w:color="auto" w:fill="auto"/>
            <w:noWrap/>
            <w:vAlign w:val="center"/>
            <w:hideMark/>
          </w:tcPr>
          <w:p w14:paraId="33AF4F26"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141 211</w:t>
            </w:r>
          </w:p>
        </w:tc>
        <w:tc>
          <w:tcPr>
            <w:tcW w:w="992" w:type="dxa"/>
            <w:tcBorders>
              <w:left w:val="single" w:sz="6" w:space="0" w:color="0077BD"/>
              <w:bottom w:val="single" w:sz="8" w:space="0" w:color="0077BD"/>
              <w:right w:val="single" w:sz="4" w:space="0" w:color="0077BD"/>
            </w:tcBorders>
            <w:shd w:val="clear" w:color="auto" w:fill="auto"/>
            <w:noWrap/>
            <w:vAlign w:val="center"/>
            <w:hideMark/>
          </w:tcPr>
          <w:p w14:paraId="677C423D"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(29 297)</w:t>
            </w:r>
          </w:p>
        </w:tc>
        <w:tc>
          <w:tcPr>
            <w:tcW w:w="934" w:type="dxa"/>
            <w:tcBorders>
              <w:left w:val="nil"/>
              <w:bottom w:val="single" w:sz="8" w:space="0" w:color="0077BD"/>
              <w:right w:val="nil"/>
            </w:tcBorders>
            <w:shd w:val="clear" w:color="auto" w:fill="auto"/>
            <w:noWrap/>
            <w:vAlign w:val="center"/>
            <w:hideMark/>
          </w:tcPr>
          <w:p w14:paraId="25060B68"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111 914</w:t>
            </w:r>
          </w:p>
        </w:tc>
      </w:tr>
      <w:tr w:rsidR="00A42982" w:rsidRPr="0068723D" w14:paraId="4D365640" w14:textId="77777777" w:rsidTr="0075574A">
        <w:trPr>
          <w:trHeight w:val="255"/>
        </w:trPr>
        <w:tc>
          <w:tcPr>
            <w:tcW w:w="3808" w:type="dxa"/>
            <w:tcBorders>
              <w:top w:val="nil"/>
              <w:left w:val="nil"/>
              <w:bottom w:val="single" w:sz="4" w:space="0" w:color="0077BD"/>
              <w:right w:val="single" w:sz="8" w:space="0" w:color="0077BD"/>
            </w:tcBorders>
            <w:shd w:val="clear" w:color="auto" w:fill="auto"/>
            <w:vAlign w:val="center"/>
            <w:hideMark/>
          </w:tcPr>
          <w:p w14:paraId="68D9668E" w14:textId="77777777" w:rsidR="00A42982" w:rsidRPr="0068723D" w:rsidRDefault="00A42982" w:rsidP="00A42982">
            <w:pPr>
              <w:rPr>
                <w:rFonts w:cs="Calibri"/>
                <w:color w:val="000000" w:themeColor="text1"/>
                <w:sz w:val="13"/>
                <w:szCs w:val="13"/>
              </w:rPr>
            </w:pPr>
            <w:r w:rsidRPr="0068723D">
              <w:rPr>
                <w:rFonts w:cs="Calibri"/>
                <w:color w:val="000000" w:themeColor="text1"/>
                <w:sz w:val="13"/>
                <w:szCs w:val="13"/>
              </w:rPr>
              <w:t>Różnice kursowe z przeliczenia jednostek zagranicznych</w:t>
            </w:r>
          </w:p>
        </w:tc>
        <w:tc>
          <w:tcPr>
            <w:tcW w:w="1012" w:type="dxa"/>
            <w:tcBorders>
              <w:top w:val="nil"/>
              <w:left w:val="single" w:sz="8" w:space="0" w:color="0077BD"/>
              <w:bottom w:val="single" w:sz="4" w:space="0" w:color="0077BD"/>
              <w:right w:val="single" w:sz="4" w:space="0" w:color="0077BD"/>
            </w:tcBorders>
            <w:shd w:val="clear" w:color="auto" w:fill="auto"/>
            <w:noWrap/>
            <w:vAlign w:val="center"/>
          </w:tcPr>
          <w:p w14:paraId="7740381D" w14:textId="08ACEB34"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32</w:t>
            </w:r>
          </w:p>
        </w:tc>
        <w:tc>
          <w:tcPr>
            <w:tcW w:w="992" w:type="dxa"/>
            <w:tcBorders>
              <w:top w:val="nil"/>
              <w:left w:val="nil"/>
              <w:bottom w:val="single" w:sz="4" w:space="0" w:color="0077BD"/>
              <w:right w:val="single" w:sz="4" w:space="0" w:color="0077BD"/>
            </w:tcBorders>
            <w:shd w:val="clear" w:color="auto" w:fill="auto"/>
            <w:noWrap/>
            <w:vAlign w:val="center"/>
          </w:tcPr>
          <w:p w14:paraId="75B5AB44" w14:textId="6CC7DD4A"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w:t>
            </w:r>
          </w:p>
        </w:tc>
        <w:tc>
          <w:tcPr>
            <w:tcW w:w="893" w:type="dxa"/>
            <w:tcBorders>
              <w:top w:val="nil"/>
              <w:left w:val="nil"/>
              <w:bottom w:val="single" w:sz="4" w:space="0" w:color="0077BD"/>
              <w:right w:val="nil"/>
            </w:tcBorders>
            <w:shd w:val="clear" w:color="auto" w:fill="auto"/>
            <w:noWrap/>
            <w:vAlign w:val="center"/>
            <w:hideMark/>
          </w:tcPr>
          <w:p w14:paraId="55783DEC" w14:textId="5E0B57DC"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32</w:t>
            </w:r>
          </w:p>
        </w:tc>
        <w:tc>
          <w:tcPr>
            <w:tcW w:w="950" w:type="dxa"/>
            <w:tcBorders>
              <w:top w:val="nil"/>
              <w:left w:val="single" w:sz="8" w:space="0" w:color="0077BD"/>
              <w:bottom w:val="single" w:sz="4" w:space="0" w:color="0077BD"/>
              <w:right w:val="single" w:sz="4" w:space="0" w:color="0077BD"/>
            </w:tcBorders>
            <w:shd w:val="clear" w:color="auto" w:fill="auto"/>
            <w:noWrap/>
            <w:vAlign w:val="center"/>
            <w:hideMark/>
          </w:tcPr>
          <w:p w14:paraId="00EC6812"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60</w:t>
            </w:r>
          </w:p>
        </w:tc>
        <w:tc>
          <w:tcPr>
            <w:tcW w:w="992" w:type="dxa"/>
            <w:tcBorders>
              <w:top w:val="nil"/>
              <w:left w:val="nil"/>
              <w:bottom w:val="single" w:sz="4" w:space="0" w:color="0077BD"/>
              <w:right w:val="single" w:sz="4" w:space="0" w:color="0077BD"/>
            </w:tcBorders>
            <w:shd w:val="clear" w:color="auto" w:fill="auto"/>
            <w:noWrap/>
            <w:vAlign w:val="center"/>
            <w:hideMark/>
          </w:tcPr>
          <w:p w14:paraId="08612C25"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w:t>
            </w:r>
          </w:p>
        </w:tc>
        <w:tc>
          <w:tcPr>
            <w:tcW w:w="934" w:type="dxa"/>
            <w:tcBorders>
              <w:top w:val="nil"/>
              <w:left w:val="nil"/>
              <w:bottom w:val="single" w:sz="4" w:space="0" w:color="0077BD"/>
              <w:right w:val="nil"/>
            </w:tcBorders>
            <w:shd w:val="clear" w:color="auto" w:fill="auto"/>
            <w:noWrap/>
            <w:vAlign w:val="center"/>
            <w:hideMark/>
          </w:tcPr>
          <w:p w14:paraId="12E7445D"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60</w:t>
            </w:r>
          </w:p>
        </w:tc>
      </w:tr>
      <w:tr w:rsidR="00A42982" w:rsidRPr="0068723D" w14:paraId="45600FC6" w14:textId="77777777" w:rsidTr="0075574A">
        <w:trPr>
          <w:trHeight w:val="255"/>
        </w:trPr>
        <w:tc>
          <w:tcPr>
            <w:tcW w:w="3808" w:type="dxa"/>
            <w:tcBorders>
              <w:top w:val="nil"/>
              <w:left w:val="nil"/>
              <w:bottom w:val="single" w:sz="4" w:space="0" w:color="0077BD"/>
              <w:right w:val="single" w:sz="8" w:space="0" w:color="0077BD"/>
            </w:tcBorders>
            <w:shd w:val="clear" w:color="auto" w:fill="auto"/>
            <w:vAlign w:val="center"/>
            <w:hideMark/>
          </w:tcPr>
          <w:p w14:paraId="3897A8C2" w14:textId="77777777" w:rsidR="00A42982" w:rsidRPr="0068723D" w:rsidRDefault="00A42982" w:rsidP="00A42982">
            <w:pPr>
              <w:rPr>
                <w:rFonts w:cs="Calibri"/>
                <w:color w:val="000000" w:themeColor="text1"/>
                <w:sz w:val="13"/>
                <w:szCs w:val="13"/>
              </w:rPr>
            </w:pPr>
            <w:r w:rsidRPr="0068723D">
              <w:rPr>
                <w:rFonts w:cs="Calibri"/>
                <w:color w:val="000000" w:themeColor="text1"/>
                <w:sz w:val="13"/>
                <w:szCs w:val="13"/>
              </w:rPr>
              <w:t>Zabezpieczenia przepływów pieniężnych</w:t>
            </w:r>
          </w:p>
        </w:tc>
        <w:tc>
          <w:tcPr>
            <w:tcW w:w="1012" w:type="dxa"/>
            <w:tcBorders>
              <w:top w:val="nil"/>
              <w:left w:val="single" w:sz="8" w:space="0" w:color="0077BD"/>
              <w:bottom w:val="single" w:sz="4" w:space="0" w:color="0077BD"/>
              <w:right w:val="single" w:sz="4" w:space="0" w:color="0077BD"/>
            </w:tcBorders>
            <w:shd w:val="clear" w:color="auto" w:fill="auto"/>
            <w:noWrap/>
            <w:vAlign w:val="center"/>
          </w:tcPr>
          <w:p w14:paraId="2D31F1FF" w14:textId="74368E1A"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43 825</w:t>
            </w:r>
          </w:p>
        </w:tc>
        <w:tc>
          <w:tcPr>
            <w:tcW w:w="992" w:type="dxa"/>
            <w:tcBorders>
              <w:top w:val="nil"/>
              <w:left w:val="nil"/>
              <w:bottom w:val="single" w:sz="4" w:space="0" w:color="0077BD"/>
              <w:right w:val="single" w:sz="4" w:space="0" w:color="0077BD"/>
            </w:tcBorders>
            <w:shd w:val="clear" w:color="auto" w:fill="auto"/>
            <w:noWrap/>
            <w:vAlign w:val="center"/>
          </w:tcPr>
          <w:p w14:paraId="701D7D1B" w14:textId="6BF66CF6"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(8 326)</w:t>
            </w:r>
          </w:p>
        </w:tc>
        <w:tc>
          <w:tcPr>
            <w:tcW w:w="893" w:type="dxa"/>
            <w:tcBorders>
              <w:top w:val="nil"/>
              <w:left w:val="nil"/>
              <w:bottom w:val="single" w:sz="4" w:space="0" w:color="0077BD"/>
              <w:right w:val="nil"/>
            </w:tcBorders>
            <w:shd w:val="clear" w:color="auto" w:fill="auto"/>
            <w:noWrap/>
            <w:vAlign w:val="center"/>
            <w:hideMark/>
          </w:tcPr>
          <w:p w14:paraId="36555ADD" w14:textId="2498FD96"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35 499</w:t>
            </w:r>
          </w:p>
        </w:tc>
        <w:tc>
          <w:tcPr>
            <w:tcW w:w="950" w:type="dxa"/>
            <w:tcBorders>
              <w:top w:val="nil"/>
              <w:left w:val="single" w:sz="8" w:space="0" w:color="0077BD"/>
              <w:bottom w:val="single" w:sz="4" w:space="0" w:color="0077BD"/>
              <w:right w:val="single" w:sz="4" w:space="0" w:color="0077BD"/>
            </w:tcBorders>
            <w:shd w:val="clear" w:color="auto" w:fill="auto"/>
            <w:noWrap/>
            <w:vAlign w:val="center"/>
            <w:hideMark/>
          </w:tcPr>
          <w:p w14:paraId="038B930D"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109 681</w:t>
            </w:r>
          </w:p>
        </w:tc>
        <w:tc>
          <w:tcPr>
            <w:tcW w:w="992" w:type="dxa"/>
            <w:tcBorders>
              <w:top w:val="nil"/>
              <w:left w:val="nil"/>
              <w:bottom w:val="single" w:sz="4" w:space="0" w:color="0077BD"/>
              <w:right w:val="single" w:sz="4" w:space="0" w:color="0077BD"/>
            </w:tcBorders>
            <w:shd w:val="clear" w:color="auto" w:fill="auto"/>
            <w:noWrap/>
            <w:vAlign w:val="center"/>
            <w:hideMark/>
          </w:tcPr>
          <w:p w14:paraId="1C950722"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(20 840)</w:t>
            </w:r>
          </w:p>
        </w:tc>
        <w:tc>
          <w:tcPr>
            <w:tcW w:w="934" w:type="dxa"/>
            <w:tcBorders>
              <w:top w:val="nil"/>
              <w:left w:val="nil"/>
              <w:bottom w:val="single" w:sz="4" w:space="0" w:color="0077BD"/>
              <w:right w:val="nil"/>
            </w:tcBorders>
            <w:shd w:val="clear" w:color="auto" w:fill="auto"/>
            <w:noWrap/>
            <w:vAlign w:val="center"/>
            <w:hideMark/>
          </w:tcPr>
          <w:p w14:paraId="1C3F59AD"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88 841</w:t>
            </w:r>
          </w:p>
        </w:tc>
      </w:tr>
      <w:tr w:rsidR="00A42982" w:rsidRPr="0068723D" w14:paraId="7555F441" w14:textId="77777777" w:rsidTr="00A42982">
        <w:trPr>
          <w:trHeight w:val="498"/>
        </w:trPr>
        <w:tc>
          <w:tcPr>
            <w:tcW w:w="3808" w:type="dxa"/>
            <w:tcBorders>
              <w:top w:val="nil"/>
              <w:left w:val="nil"/>
              <w:bottom w:val="single" w:sz="4" w:space="0" w:color="0077BD"/>
              <w:right w:val="single" w:sz="8" w:space="0" w:color="0077BD"/>
            </w:tcBorders>
            <w:shd w:val="clear" w:color="auto" w:fill="auto"/>
            <w:vAlign w:val="center"/>
            <w:hideMark/>
          </w:tcPr>
          <w:p w14:paraId="1149F52D" w14:textId="3381DF63" w:rsidR="00A42982" w:rsidRPr="0068723D" w:rsidRDefault="00A42982" w:rsidP="0075574A">
            <w:pPr>
              <w:rPr>
                <w:rFonts w:cs="Calibri"/>
                <w:color w:val="000000" w:themeColor="text1"/>
                <w:sz w:val="13"/>
                <w:szCs w:val="13"/>
              </w:rPr>
            </w:pPr>
            <w:r w:rsidRPr="0068723D">
              <w:rPr>
                <w:rFonts w:cs="Calibri"/>
                <w:color w:val="000000" w:themeColor="text1"/>
                <w:sz w:val="13"/>
                <w:szCs w:val="13"/>
              </w:rPr>
              <w:t>Wycena dłużnych instrumentów finansowych wycenianych w wartości godziwej przez pozostałe całkowite dochody</w:t>
            </w:r>
          </w:p>
        </w:tc>
        <w:tc>
          <w:tcPr>
            <w:tcW w:w="1012" w:type="dxa"/>
            <w:tcBorders>
              <w:top w:val="nil"/>
              <w:left w:val="single" w:sz="8" w:space="0" w:color="0077BD"/>
              <w:bottom w:val="single" w:sz="8" w:space="0" w:color="0077BD"/>
              <w:right w:val="single" w:sz="4" w:space="0" w:color="0077BD"/>
            </w:tcBorders>
            <w:shd w:val="clear" w:color="auto" w:fill="auto"/>
            <w:noWrap/>
            <w:vAlign w:val="center"/>
          </w:tcPr>
          <w:p w14:paraId="5D4F7572" w14:textId="1C4537DD"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(69 126)</w:t>
            </w:r>
          </w:p>
        </w:tc>
        <w:tc>
          <w:tcPr>
            <w:tcW w:w="992" w:type="dxa"/>
            <w:tcBorders>
              <w:top w:val="nil"/>
              <w:left w:val="nil"/>
              <w:bottom w:val="single" w:sz="8" w:space="0" w:color="0077BD"/>
              <w:right w:val="single" w:sz="4" w:space="0" w:color="0077BD"/>
            </w:tcBorders>
            <w:shd w:val="clear" w:color="auto" w:fill="auto"/>
            <w:noWrap/>
            <w:vAlign w:val="center"/>
          </w:tcPr>
          <w:p w14:paraId="4C5975CC" w14:textId="267CE0FE"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(2 531)</w:t>
            </w:r>
          </w:p>
        </w:tc>
        <w:tc>
          <w:tcPr>
            <w:tcW w:w="893" w:type="dxa"/>
            <w:tcBorders>
              <w:top w:val="nil"/>
              <w:left w:val="nil"/>
              <w:bottom w:val="single" w:sz="8" w:space="0" w:color="0077BD"/>
              <w:right w:val="nil"/>
            </w:tcBorders>
            <w:shd w:val="clear" w:color="auto" w:fill="auto"/>
            <w:noWrap/>
            <w:vAlign w:val="center"/>
            <w:hideMark/>
          </w:tcPr>
          <w:p w14:paraId="1F08F5B8" w14:textId="13BDF776"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(71 657)</w:t>
            </w:r>
          </w:p>
        </w:tc>
        <w:tc>
          <w:tcPr>
            <w:tcW w:w="950" w:type="dxa"/>
            <w:tcBorders>
              <w:top w:val="nil"/>
              <w:left w:val="single" w:sz="8" w:space="0" w:color="0077BD"/>
              <w:bottom w:val="single" w:sz="8" w:space="0" w:color="0077BD"/>
              <w:right w:val="single" w:sz="4" w:space="0" w:color="0077BD"/>
            </w:tcBorders>
            <w:shd w:val="clear" w:color="auto" w:fill="auto"/>
            <w:noWrap/>
            <w:vAlign w:val="center"/>
            <w:hideMark/>
          </w:tcPr>
          <w:p w14:paraId="35C748D2"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31 470</w:t>
            </w:r>
          </w:p>
        </w:tc>
        <w:tc>
          <w:tcPr>
            <w:tcW w:w="992" w:type="dxa"/>
            <w:tcBorders>
              <w:top w:val="nil"/>
              <w:left w:val="nil"/>
              <w:bottom w:val="single" w:sz="8" w:space="0" w:color="0077BD"/>
              <w:right w:val="single" w:sz="4" w:space="0" w:color="0077BD"/>
            </w:tcBorders>
            <w:shd w:val="clear" w:color="auto" w:fill="auto"/>
            <w:noWrap/>
            <w:vAlign w:val="center"/>
            <w:hideMark/>
          </w:tcPr>
          <w:p w14:paraId="394163E0"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(8 457)</w:t>
            </w:r>
          </w:p>
        </w:tc>
        <w:tc>
          <w:tcPr>
            <w:tcW w:w="934" w:type="dxa"/>
            <w:tcBorders>
              <w:top w:val="nil"/>
              <w:left w:val="nil"/>
              <w:bottom w:val="single" w:sz="8" w:space="0" w:color="0077BD"/>
              <w:right w:val="nil"/>
            </w:tcBorders>
            <w:shd w:val="clear" w:color="auto" w:fill="auto"/>
            <w:noWrap/>
            <w:vAlign w:val="center"/>
            <w:hideMark/>
          </w:tcPr>
          <w:p w14:paraId="1CA15C13"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23 013</w:t>
            </w:r>
          </w:p>
        </w:tc>
      </w:tr>
      <w:tr w:rsidR="00A42982" w:rsidRPr="0068723D" w14:paraId="0BC20566" w14:textId="77777777" w:rsidTr="00001341">
        <w:trPr>
          <w:trHeight w:val="340"/>
        </w:trPr>
        <w:tc>
          <w:tcPr>
            <w:tcW w:w="3808" w:type="dxa"/>
            <w:tcBorders>
              <w:top w:val="single" w:sz="8" w:space="0" w:color="0077BD"/>
              <w:left w:val="nil"/>
              <w:bottom w:val="single" w:sz="8" w:space="0" w:color="0077BD"/>
              <w:right w:val="single" w:sz="8" w:space="0" w:color="0077BD"/>
            </w:tcBorders>
            <w:shd w:val="clear" w:color="auto" w:fill="auto"/>
            <w:vAlign w:val="center"/>
            <w:hideMark/>
          </w:tcPr>
          <w:p w14:paraId="10BF450E" w14:textId="77777777" w:rsidR="00A42982" w:rsidRPr="0068723D" w:rsidRDefault="00A42982" w:rsidP="00A42982">
            <w:pPr>
              <w:rPr>
                <w:rFonts w:cs="Calibri"/>
                <w:b/>
                <w:bCs/>
                <w:color w:val="000000" w:themeColor="text1"/>
                <w:sz w:val="13"/>
                <w:szCs w:val="13"/>
              </w:rPr>
            </w:pPr>
            <w:r w:rsidRPr="0068723D">
              <w:rPr>
                <w:rFonts w:cs="Calibri"/>
                <w:b/>
                <w:bCs/>
                <w:color w:val="000000" w:themeColor="text1"/>
                <w:sz w:val="13"/>
                <w:szCs w:val="13"/>
              </w:rPr>
              <w:t>Pozycje, które nie zostaną przeklasyfikowane do rachunku zysków i strat</w:t>
            </w:r>
          </w:p>
        </w:tc>
        <w:tc>
          <w:tcPr>
            <w:tcW w:w="1012" w:type="dxa"/>
            <w:tcBorders>
              <w:top w:val="single" w:sz="8" w:space="0" w:color="0077BD"/>
              <w:left w:val="single" w:sz="8" w:space="0" w:color="0077BD"/>
              <w:bottom w:val="single" w:sz="8" w:space="0" w:color="0077BD"/>
              <w:right w:val="single" w:sz="4" w:space="0" w:color="0077BD"/>
            </w:tcBorders>
            <w:shd w:val="clear" w:color="auto" w:fill="auto"/>
            <w:noWrap/>
            <w:vAlign w:val="center"/>
            <w:hideMark/>
          </w:tcPr>
          <w:p w14:paraId="14C8E25C" w14:textId="2E064703"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(2 483)</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79A0A6B4" w14:textId="25586623"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481</w:t>
            </w:r>
          </w:p>
        </w:tc>
        <w:tc>
          <w:tcPr>
            <w:tcW w:w="893" w:type="dxa"/>
            <w:tcBorders>
              <w:top w:val="single" w:sz="8" w:space="0" w:color="0077BD"/>
              <w:left w:val="nil"/>
              <w:bottom w:val="single" w:sz="8" w:space="0" w:color="0077BD"/>
              <w:right w:val="nil"/>
            </w:tcBorders>
            <w:shd w:val="clear" w:color="auto" w:fill="auto"/>
            <w:noWrap/>
            <w:vAlign w:val="center"/>
            <w:hideMark/>
          </w:tcPr>
          <w:p w14:paraId="23284BF1" w14:textId="4CD04BBA"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(2 002)</w:t>
            </w:r>
          </w:p>
        </w:tc>
        <w:tc>
          <w:tcPr>
            <w:tcW w:w="950" w:type="dxa"/>
            <w:tcBorders>
              <w:top w:val="single" w:sz="8" w:space="0" w:color="0077BD"/>
              <w:left w:val="single" w:sz="8" w:space="0" w:color="0077BD"/>
              <w:bottom w:val="single" w:sz="8" w:space="0" w:color="0077BD"/>
              <w:right w:val="single" w:sz="6" w:space="0" w:color="0077BD"/>
            </w:tcBorders>
            <w:shd w:val="clear" w:color="auto" w:fill="auto"/>
            <w:noWrap/>
            <w:vAlign w:val="center"/>
            <w:hideMark/>
          </w:tcPr>
          <w:p w14:paraId="5BF61C77"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(3 135)</w:t>
            </w:r>
          </w:p>
        </w:tc>
        <w:tc>
          <w:tcPr>
            <w:tcW w:w="992" w:type="dxa"/>
            <w:tcBorders>
              <w:top w:val="single" w:sz="8" w:space="0" w:color="0077BD"/>
              <w:left w:val="single" w:sz="6" w:space="0" w:color="0077BD"/>
              <w:bottom w:val="single" w:sz="8" w:space="0" w:color="0077BD"/>
              <w:right w:val="single" w:sz="4" w:space="0" w:color="0077BD"/>
            </w:tcBorders>
            <w:shd w:val="clear" w:color="auto" w:fill="auto"/>
            <w:noWrap/>
            <w:vAlign w:val="center"/>
            <w:hideMark/>
          </w:tcPr>
          <w:p w14:paraId="0BAED8C0"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587</w:t>
            </w:r>
          </w:p>
        </w:tc>
        <w:tc>
          <w:tcPr>
            <w:tcW w:w="934" w:type="dxa"/>
            <w:tcBorders>
              <w:top w:val="single" w:sz="8" w:space="0" w:color="0077BD"/>
              <w:left w:val="single" w:sz="4" w:space="0" w:color="0077BD"/>
              <w:bottom w:val="single" w:sz="8" w:space="0" w:color="0077BD"/>
              <w:right w:val="nil"/>
            </w:tcBorders>
            <w:shd w:val="clear" w:color="auto" w:fill="auto"/>
            <w:noWrap/>
            <w:vAlign w:val="center"/>
            <w:hideMark/>
          </w:tcPr>
          <w:p w14:paraId="4DBDF738"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(2 548)</w:t>
            </w:r>
          </w:p>
        </w:tc>
      </w:tr>
      <w:tr w:rsidR="00A42982" w:rsidRPr="0068723D" w14:paraId="52C57407" w14:textId="77777777" w:rsidTr="00001341">
        <w:trPr>
          <w:trHeight w:val="340"/>
        </w:trPr>
        <w:tc>
          <w:tcPr>
            <w:tcW w:w="3808" w:type="dxa"/>
            <w:tcBorders>
              <w:top w:val="single" w:sz="4" w:space="0" w:color="0077BD"/>
              <w:left w:val="nil"/>
              <w:bottom w:val="single" w:sz="4" w:space="0" w:color="0077BD"/>
              <w:right w:val="single" w:sz="8" w:space="0" w:color="0077BD"/>
            </w:tcBorders>
            <w:shd w:val="clear" w:color="auto" w:fill="auto"/>
            <w:vAlign w:val="center"/>
            <w:hideMark/>
          </w:tcPr>
          <w:p w14:paraId="2D55DCAB" w14:textId="77777777" w:rsidR="00A42982" w:rsidRPr="0068723D" w:rsidRDefault="00A42982" w:rsidP="00A42982">
            <w:pPr>
              <w:rPr>
                <w:rFonts w:cs="Calibri"/>
                <w:color w:val="000000" w:themeColor="text1"/>
                <w:sz w:val="13"/>
                <w:szCs w:val="13"/>
              </w:rPr>
            </w:pPr>
            <w:r w:rsidRPr="0068723D">
              <w:rPr>
                <w:rFonts w:cs="Calibri"/>
                <w:color w:val="000000" w:themeColor="text1"/>
                <w:sz w:val="13"/>
                <w:szCs w:val="13"/>
              </w:rPr>
              <w:t>Zyski i straty aktuarialne dotyczące świadczeń pracowniczych po okresie zatrudnienia</w:t>
            </w:r>
          </w:p>
        </w:tc>
        <w:tc>
          <w:tcPr>
            <w:tcW w:w="1012" w:type="dxa"/>
            <w:tcBorders>
              <w:top w:val="single" w:sz="4" w:space="0" w:color="0077BD"/>
              <w:left w:val="single" w:sz="8" w:space="0" w:color="0077BD"/>
              <w:bottom w:val="single" w:sz="4" w:space="0" w:color="0077BD"/>
              <w:right w:val="single" w:sz="4" w:space="0" w:color="0077BD"/>
            </w:tcBorders>
            <w:shd w:val="clear" w:color="auto" w:fill="auto"/>
            <w:noWrap/>
            <w:vAlign w:val="center"/>
          </w:tcPr>
          <w:p w14:paraId="51FF51F4" w14:textId="6DF60332"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(2 483)</w:t>
            </w:r>
          </w:p>
        </w:tc>
        <w:tc>
          <w:tcPr>
            <w:tcW w:w="992" w:type="dxa"/>
            <w:tcBorders>
              <w:top w:val="single" w:sz="4" w:space="0" w:color="0077BD"/>
              <w:left w:val="nil"/>
              <w:bottom w:val="single" w:sz="4" w:space="0" w:color="0077BD"/>
              <w:right w:val="single" w:sz="4" w:space="0" w:color="0077BD"/>
            </w:tcBorders>
            <w:shd w:val="clear" w:color="auto" w:fill="auto"/>
            <w:noWrap/>
            <w:vAlign w:val="center"/>
          </w:tcPr>
          <w:p w14:paraId="4AF7E292" w14:textId="11E59332"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481</w:t>
            </w:r>
          </w:p>
        </w:tc>
        <w:tc>
          <w:tcPr>
            <w:tcW w:w="893" w:type="dxa"/>
            <w:tcBorders>
              <w:top w:val="single" w:sz="4" w:space="0" w:color="0077BD"/>
              <w:left w:val="nil"/>
              <w:bottom w:val="single" w:sz="4" w:space="0" w:color="0077BD"/>
              <w:right w:val="nil"/>
            </w:tcBorders>
            <w:shd w:val="clear" w:color="auto" w:fill="auto"/>
            <w:noWrap/>
            <w:vAlign w:val="center"/>
            <w:hideMark/>
          </w:tcPr>
          <w:p w14:paraId="22BBC838" w14:textId="2B8AFA98"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(2 002)</w:t>
            </w:r>
          </w:p>
        </w:tc>
        <w:tc>
          <w:tcPr>
            <w:tcW w:w="950" w:type="dxa"/>
            <w:tcBorders>
              <w:top w:val="single" w:sz="4" w:space="0" w:color="0077BD"/>
              <w:left w:val="single" w:sz="8" w:space="0" w:color="0077BD"/>
              <w:bottom w:val="single" w:sz="4" w:space="0" w:color="0077BD"/>
              <w:right w:val="single" w:sz="4" w:space="0" w:color="0077BD"/>
            </w:tcBorders>
            <w:shd w:val="clear" w:color="auto" w:fill="auto"/>
            <w:noWrap/>
            <w:vAlign w:val="center"/>
            <w:hideMark/>
          </w:tcPr>
          <w:p w14:paraId="18FCC345"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(3 135)</w:t>
            </w:r>
          </w:p>
        </w:tc>
        <w:tc>
          <w:tcPr>
            <w:tcW w:w="992" w:type="dxa"/>
            <w:tcBorders>
              <w:top w:val="single" w:sz="4" w:space="0" w:color="0077BD"/>
              <w:left w:val="nil"/>
              <w:bottom w:val="single" w:sz="4" w:space="0" w:color="0077BD"/>
              <w:right w:val="single" w:sz="4" w:space="0" w:color="0077BD"/>
            </w:tcBorders>
            <w:shd w:val="clear" w:color="auto" w:fill="auto"/>
            <w:noWrap/>
            <w:vAlign w:val="center"/>
            <w:hideMark/>
          </w:tcPr>
          <w:p w14:paraId="33DBE703"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587</w:t>
            </w:r>
          </w:p>
        </w:tc>
        <w:tc>
          <w:tcPr>
            <w:tcW w:w="934" w:type="dxa"/>
            <w:tcBorders>
              <w:top w:val="single" w:sz="4" w:space="0" w:color="0077BD"/>
              <w:left w:val="nil"/>
              <w:bottom w:val="single" w:sz="4" w:space="0" w:color="0077BD"/>
              <w:right w:val="nil"/>
            </w:tcBorders>
            <w:shd w:val="clear" w:color="auto" w:fill="auto"/>
            <w:noWrap/>
            <w:vAlign w:val="center"/>
            <w:hideMark/>
          </w:tcPr>
          <w:p w14:paraId="163A39BB" w14:textId="77777777" w:rsidR="00A42982" w:rsidRPr="0068723D" w:rsidRDefault="00A42982" w:rsidP="00A42982">
            <w:pPr>
              <w:jc w:val="right"/>
              <w:rPr>
                <w:rFonts w:cs="Calibri"/>
                <w:color w:val="000000" w:themeColor="text1"/>
                <w:sz w:val="13"/>
                <w:szCs w:val="13"/>
              </w:rPr>
            </w:pPr>
            <w:r w:rsidRPr="0068723D">
              <w:rPr>
                <w:rFonts w:cs="Calibri"/>
                <w:color w:val="000000" w:themeColor="text1"/>
                <w:sz w:val="13"/>
                <w:szCs w:val="13"/>
              </w:rPr>
              <w:t>(2 548)</w:t>
            </w:r>
          </w:p>
        </w:tc>
      </w:tr>
      <w:tr w:rsidR="00A42982" w:rsidRPr="0068723D" w14:paraId="4254E1C5" w14:textId="77777777" w:rsidTr="0075574A">
        <w:trPr>
          <w:trHeight w:val="255"/>
        </w:trPr>
        <w:tc>
          <w:tcPr>
            <w:tcW w:w="3808" w:type="dxa"/>
            <w:tcBorders>
              <w:top w:val="single" w:sz="8" w:space="0" w:color="0077BD"/>
              <w:left w:val="nil"/>
              <w:bottom w:val="single" w:sz="8" w:space="0" w:color="0077BD"/>
              <w:right w:val="single" w:sz="8" w:space="0" w:color="0077BD"/>
            </w:tcBorders>
            <w:shd w:val="clear" w:color="auto" w:fill="auto"/>
            <w:vAlign w:val="center"/>
            <w:hideMark/>
          </w:tcPr>
          <w:p w14:paraId="4507CDCE" w14:textId="77777777" w:rsidR="00A42982" w:rsidRPr="0068723D" w:rsidRDefault="00A42982" w:rsidP="00A42982">
            <w:pPr>
              <w:rPr>
                <w:rFonts w:cs="Calibri"/>
                <w:b/>
                <w:bCs/>
                <w:color w:val="000000" w:themeColor="text1"/>
                <w:sz w:val="13"/>
                <w:szCs w:val="13"/>
              </w:rPr>
            </w:pPr>
            <w:r w:rsidRPr="0068723D">
              <w:rPr>
                <w:rFonts w:cs="Calibri"/>
                <w:b/>
                <w:bCs/>
                <w:color w:val="000000" w:themeColor="text1"/>
                <w:sz w:val="13"/>
                <w:szCs w:val="13"/>
              </w:rPr>
              <w:t>Dochody całkowite netto, razem</w:t>
            </w:r>
          </w:p>
        </w:tc>
        <w:tc>
          <w:tcPr>
            <w:tcW w:w="1012" w:type="dxa"/>
            <w:tcBorders>
              <w:top w:val="single" w:sz="8" w:space="0" w:color="0077BD"/>
              <w:left w:val="single" w:sz="8" w:space="0" w:color="0077BD"/>
              <w:bottom w:val="single" w:sz="8" w:space="0" w:color="0077BD"/>
              <w:right w:val="single" w:sz="4" w:space="0" w:color="0077BD"/>
            </w:tcBorders>
            <w:shd w:val="clear" w:color="auto" w:fill="auto"/>
            <w:noWrap/>
            <w:vAlign w:val="center"/>
            <w:hideMark/>
          </w:tcPr>
          <w:p w14:paraId="576F29BB" w14:textId="08BC5641"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(27 752)</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5EA0D93A" w14:textId="594C4C2A"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(10 376)</w:t>
            </w:r>
          </w:p>
        </w:tc>
        <w:tc>
          <w:tcPr>
            <w:tcW w:w="893" w:type="dxa"/>
            <w:tcBorders>
              <w:top w:val="single" w:sz="8" w:space="0" w:color="0077BD"/>
              <w:left w:val="nil"/>
              <w:bottom w:val="single" w:sz="8" w:space="0" w:color="0077BD"/>
              <w:right w:val="single" w:sz="8" w:space="0" w:color="0077BD"/>
            </w:tcBorders>
            <w:shd w:val="clear" w:color="auto" w:fill="auto"/>
            <w:noWrap/>
            <w:vAlign w:val="center"/>
            <w:hideMark/>
          </w:tcPr>
          <w:p w14:paraId="5BBA6E4B" w14:textId="6D52F014"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(38 128)</w:t>
            </w:r>
          </w:p>
        </w:tc>
        <w:tc>
          <w:tcPr>
            <w:tcW w:w="950" w:type="dxa"/>
            <w:tcBorders>
              <w:top w:val="single" w:sz="8" w:space="0" w:color="0077BD"/>
              <w:left w:val="nil"/>
              <w:bottom w:val="single" w:sz="8" w:space="0" w:color="0077BD"/>
              <w:right w:val="single" w:sz="4" w:space="0" w:color="0077BD"/>
            </w:tcBorders>
            <w:shd w:val="clear" w:color="auto" w:fill="auto"/>
            <w:noWrap/>
            <w:vAlign w:val="center"/>
            <w:hideMark/>
          </w:tcPr>
          <w:p w14:paraId="1A26267D"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138 076</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449F4AD3"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(28 710)</w:t>
            </w:r>
          </w:p>
        </w:tc>
        <w:tc>
          <w:tcPr>
            <w:tcW w:w="934" w:type="dxa"/>
            <w:tcBorders>
              <w:top w:val="single" w:sz="8" w:space="0" w:color="0077BD"/>
              <w:left w:val="nil"/>
              <w:bottom w:val="single" w:sz="8" w:space="0" w:color="0077BD"/>
              <w:right w:val="nil"/>
            </w:tcBorders>
            <w:shd w:val="clear" w:color="auto" w:fill="auto"/>
            <w:noWrap/>
            <w:vAlign w:val="center"/>
            <w:hideMark/>
          </w:tcPr>
          <w:p w14:paraId="2E064A15" w14:textId="77777777" w:rsidR="00A42982" w:rsidRPr="0068723D" w:rsidRDefault="00A42982" w:rsidP="00A42982">
            <w:pPr>
              <w:jc w:val="right"/>
              <w:rPr>
                <w:rFonts w:cs="Calibri"/>
                <w:b/>
                <w:bCs/>
                <w:color w:val="000000" w:themeColor="text1"/>
                <w:sz w:val="13"/>
                <w:szCs w:val="13"/>
              </w:rPr>
            </w:pPr>
            <w:r w:rsidRPr="0068723D">
              <w:rPr>
                <w:rFonts w:cs="Calibri"/>
                <w:b/>
                <w:bCs/>
                <w:color w:val="000000" w:themeColor="text1"/>
                <w:sz w:val="13"/>
                <w:szCs w:val="13"/>
              </w:rPr>
              <w:t>109 366</w:t>
            </w:r>
          </w:p>
        </w:tc>
      </w:tr>
    </w:tbl>
    <w:p w14:paraId="677D3152" w14:textId="6C7EA949" w:rsidR="00E23116" w:rsidRPr="0068723D" w:rsidRDefault="00E23116" w:rsidP="00E23116">
      <w:pPr>
        <w:pStyle w:val="Tekstpodstawowy"/>
        <w:spacing w:before="120"/>
        <w:jc w:val="both"/>
        <w:rPr>
          <w:iCs/>
          <w:color w:val="000000" w:themeColor="text1"/>
          <w:sz w:val="18"/>
          <w:szCs w:val="18"/>
        </w:rPr>
      </w:pPr>
      <w:r w:rsidRPr="0068723D">
        <w:rPr>
          <w:iCs/>
          <w:color w:val="000000" w:themeColor="text1"/>
          <w:sz w:val="18"/>
          <w:szCs w:val="18"/>
        </w:rPr>
        <w:t xml:space="preserve">Poniżej przedstawiono szczegółowe informacje dotyczące pozostałych całkowitych </w:t>
      </w:r>
      <w:r w:rsidR="007D39C9" w:rsidRPr="0068723D">
        <w:rPr>
          <w:iCs/>
          <w:color w:val="000000" w:themeColor="text1"/>
          <w:sz w:val="18"/>
          <w:szCs w:val="18"/>
        </w:rPr>
        <w:t xml:space="preserve">dochodów </w:t>
      </w:r>
      <w:r w:rsidR="00FF4F24" w:rsidRPr="0068723D">
        <w:rPr>
          <w:iCs/>
          <w:color w:val="000000" w:themeColor="text1"/>
          <w:sz w:val="18"/>
          <w:szCs w:val="18"/>
        </w:rPr>
        <w:t>netto za lata 2019</w:t>
      </w:r>
      <w:r w:rsidR="00CD0C0C" w:rsidRPr="0068723D">
        <w:rPr>
          <w:iCs/>
          <w:color w:val="000000" w:themeColor="text1"/>
          <w:sz w:val="18"/>
          <w:szCs w:val="18"/>
        </w:rPr>
        <w:t xml:space="preserve"> i </w:t>
      </w:r>
      <w:r w:rsidRPr="0068723D">
        <w:rPr>
          <w:iCs/>
          <w:color w:val="000000" w:themeColor="text1"/>
          <w:sz w:val="18"/>
          <w:szCs w:val="18"/>
        </w:rPr>
        <w:t>201</w:t>
      </w:r>
      <w:r w:rsidR="00FF4F24" w:rsidRPr="0068723D">
        <w:rPr>
          <w:iCs/>
          <w:color w:val="000000" w:themeColor="text1"/>
          <w:sz w:val="18"/>
          <w:szCs w:val="18"/>
        </w:rPr>
        <w:t>8</w:t>
      </w:r>
      <w:r w:rsidR="00AE4FEF" w:rsidRPr="0068723D">
        <w:rPr>
          <w:iCs/>
          <w:color w:val="000000" w:themeColor="text1"/>
          <w:sz w:val="18"/>
          <w:szCs w:val="18"/>
        </w:rPr>
        <w:t>.</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870A7" w:rsidRPr="00055D53" w14:paraId="53A50024" w14:textId="77777777" w:rsidTr="00756A5A">
        <w:trPr>
          <w:trHeight w:val="284"/>
        </w:trPr>
        <w:tc>
          <w:tcPr>
            <w:tcW w:w="6747" w:type="dxa"/>
            <w:vMerge w:val="restart"/>
            <w:tcBorders>
              <w:top w:val="nil"/>
              <w:left w:val="nil"/>
              <w:right w:val="single" w:sz="8" w:space="0" w:color="FFFFFF"/>
            </w:tcBorders>
            <w:shd w:val="clear" w:color="000000" w:fill="0077BD"/>
            <w:vAlign w:val="center"/>
          </w:tcPr>
          <w:p w14:paraId="4672ABF2" w14:textId="2F76819C" w:rsidR="009870A7" w:rsidRPr="00055D53" w:rsidRDefault="009870A7" w:rsidP="00055D53">
            <w:pPr>
              <w:jc w:val="right"/>
              <w:rPr>
                <w:rFonts w:cs="Calibri"/>
                <w:b/>
                <w:bCs/>
                <w:color w:val="FFFFFF"/>
                <w:sz w:val="13"/>
                <w:szCs w:val="13"/>
              </w:rPr>
            </w:pPr>
          </w:p>
        </w:tc>
        <w:tc>
          <w:tcPr>
            <w:tcW w:w="2836" w:type="dxa"/>
            <w:gridSpan w:val="2"/>
            <w:tcBorders>
              <w:top w:val="nil"/>
              <w:left w:val="nil"/>
              <w:bottom w:val="single" w:sz="6" w:space="0" w:color="FFFFFF"/>
              <w:right w:val="nil"/>
            </w:tcBorders>
            <w:shd w:val="clear" w:color="000000" w:fill="0077BD"/>
            <w:vAlign w:val="center"/>
            <w:hideMark/>
          </w:tcPr>
          <w:p w14:paraId="383B3D22" w14:textId="77777777" w:rsidR="009870A7" w:rsidRPr="00055D53" w:rsidRDefault="009870A7" w:rsidP="00055D53">
            <w:pPr>
              <w:jc w:val="right"/>
              <w:rPr>
                <w:rFonts w:cs="Calibri"/>
                <w:b/>
                <w:bCs/>
                <w:color w:val="FFFFFF"/>
                <w:sz w:val="13"/>
                <w:szCs w:val="13"/>
              </w:rPr>
            </w:pPr>
            <w:r w:rsidRPr="00055D53">
              <w:rPr>
                <w:rFonts w:cs="Calibri"/>
                <w:b/>
                <w:bCs/>
                <w:color w:val="FFFFFF"/>
                <w:sz w:val="13"/>
                <w:szCs w:val="13"/>
              </w:rPr>
              <w:t>Rok kończący się 31 grudnia</w:t>
            </w:r>
          </w:p>
        </w:tc>
      </w:tr>
      <w:tr w:rsidR="009870A7" w:rsidRPr="00055D53" w14:paraId="15E0847F" w14:textId="77777777" w:rsidTr="00756A5A">
        <w:trPr>
          <w:trHeight w:val="284"/>
        </w:trPr>
        <w:tc>
          <w:tcPr>
            <w:tcW w:w="6747" w:type="dxa"/>
            <w:vMerge/>
            <w:tcBorders>
              <w:left w:val="nil"/>
              <w:right w:val="single" w:sz="8" w:space="0" w:color="FFFFFF"/>
            </w:tcBorders>
            <w:shd w:val="clear" w:color="000000" w:fill="0077BD"/>
            <w:vAlign w:val="center"/>
            <w:hideMark/>
          </w:tcPr>
          <w:p w14:paraId="7C034728" w14:textId="272BFD71" w:rsidR="009870A7" w:rsidRPr="00055D53" w:rsidRDefault="009870A7" w:rsidP="00055D53">
            <w:pPr>
              <w:jc w:val="right"/>
              <w:rPr>
                <w:rFonts w:cs="Calibri"/>
                <w:b/>
                <w:bCs/>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24CDC0D2" w14:textId="77777777" w:rsidR="009870A7" w:rsidRPr="00055D53" w:rsidRDefault="009870A7" w:rsidP="00055D53">
            <w:pPr>
              <w:jc w:val="right"/>
              <w:rPr>
                <w:rFonts w:cs="Calibri"/>
                <w:b/>
                <w:bCs/>
                <w:color w:val="FFFFFF"/>
                <w:sz w:val="13"/>
                <w:szCs w:val="13"/>
              </w:rPr>
            </w:pPr>
            <w:r w:rsidRPr="00055D53">
              <w:rPr>
                <w:rFonts w:cs="Calibri"/>
                <w:b/>
                <w:bCs/>
                <w:color w:val="FFFFFF"/>
                <w:sz w:val="13"/>
                <w:szCs w:val="13"/>
              </w:rPr>
              <w:t>2019</w:t>
            </w:r>
          </w:p>
        </w:tc>
        <w:tc>
          <w:tcPr>
            <w:tcW w:w="1418" w:type="dxa"/>
            <w:tcBorders>
              <w:top w:val="single" w:sz="6" w:space="0" w:color="FFFFFF"/>
              <w:left w:val="nil"/>
              <w:right w:val="nil"/>
            </w:tcBorders>
            <w:shd w:val="clear" w:color="000000" w:fill="0077BD"/>
            <w:vAlign w:val="center"/>
            <w:hideMark/>
          </w:tcPr>
          <w:p w14:paraId="046AF25D" w14:textId="77777777" w:rsidR="009870A7" w:rsidRPr="00055D53" w:rsidRDefault="009870A7" w:rsidP="00055D53">
            <w:pPr>
              <w:jc w:val="right"/>
              <w:rPr>
                <w:rFonts w:cs="Calibri"/>
                <w:b/>
                <w:bCs/>
                <w:color w:val="FFFFFF"/>
                <w:sz w:val="13"/>
                <w:szCs w:val="13"/>
              </w:rPr>
            </w:pPr>
            <w:r w:rsidRPr="00055D53">
              <w:rPr>
                <w:rFonts w:cs="Calibri"/>
                <w:b/>
                <w:bCs/>
                <w:color w:val="FFFFFF"/>
                <w:sz w:val="13"/>
                <w:szCs w:val="13"/>
              </w:rPr>
              <w:t>2018</w:t>
            </w:r>
          </w:p>
        </w:tc>
      </w:tr>
      <w:tr w:rsidR="00454B96" w:rsidRPr="0068723D" w14:paraId="5FDB2939" w14:textId="77777777" w:rsidTr="0075574A">
        <w:trPr>
          <w:trHeight w:val="255"/>
        </w:trPr>
        <w:tc>
          <w:tcPr>
            <w:tcW w:w="6747" w:type="dxa"/>
            <w:tcBorders>
              <w:left w:val="nil"/>
              <w:bottom w:val="single" w:sz="8" w:space="0" w:color="0077BD"/>
              <w:right w:val="single" w:sz="8" w:space="0" w:color="0077BD"/>
            </w:tcBorders>
            <w:shd w:val="clear" w:color="auto" w:fill="auto"/>
            <w:vAlign w:val="center"/>
            <w:hideMark/>
          </w:tcPr>
          <w:p w14:paraId="6147C424"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Pozycje, które mogą być przeklasyfikowane do rachunku zysków i strat</w:t>
            </w:r>
          </w:p>
        </w:tc>
        <w:tc>
          <w:tcPr>
            <w:tcW w:w="1418" w:type="dxa"/>
            <w:tcBorders>
              <w:left w:val="single" w:sz="8" w:space="0" w:color="0070C0"/>
              <w:bottom w:val="single" w:sz="8" w:space="0" w:color="0077BD"/>
              <w:right w:val="single" w:sz="8" w:space="0" w:color="0070C0"/>
            </w:tcBorders>
            <w:shd w:val="clear" w:color="auto" w:fill="auto"/>
            <w:vAlign w:val="center"/>
          </w:tcPr>
          <w:p w14:paraId="193C8846" w14:textId="1FCE7057" w:rsidR="00055D53" w:rsidRPr="0068723D" w:rsidRDefault="00B47291" w:rsidP="00055D53">
            <w:pPr>
              <w:jc w:val="right"/>
              <w:rPr>
                <w:rFonts w:cs="Calibri"/>
                <w:b/>
                <w:bCs/>
                <w:color w:val="000000" w:themeColor="text1"/>
                <w:sz w:val="13"/>
                <w:szCs w:val="13"/>
              </w:rPr>
            </w:pPr>
            <w:r>
              <w:rPr>
                <w:rFonts w:cs="Calibri"/>
                <w:b/>
                <w:bCs/>
                <w:color w:val="000000" w:themeColor="text1"/>
                <w:sz w:val="13"/>
                <w:szCs w:val="13"/>
              </w:rPr>
              <w:t>(36 126)</w:t>
            </w:r>
          </w:p>
        </w:tc>
        <w:tc>
          <w:tcPr>
            <w:tcW w:w="1418" w:type="dxa"/>
            <w:tcBorders>
              <w:left w:val="nil"/>
              <w:bottom w:val="single" w:sz="8" w:space="0" w:color="0077BD"/>
              <w:right w:val="nil"/>
            </w:tcBorders>
            <w:shd w:val="clear" w:color="auto" w:fill="auto"/>
            <w:vAlign w:val="center"/>
            <w:hideMark/>
          </w:tcPr>
          <w:p w14:paraId="4244AE2F"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111 914</w:t>
            </w:r>
          </w:p>
        </w:tc>
      </w:tr>
      <w:tr w:rsidR="00454B96" w:rsidRPr="0068723D" w14:paraId="3E4A1D37" w14:textId="77777777" w:rsidTr="007557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75C95BFA"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Różnice kursowe z przeliczenia jednostek zagranicznych</w:t>
            </w:r>
          </w:p>
        </w:tc>
        <w:tc>
          <w:tcPr>
            <w:tcW w:w="1418" w:type="dxa"/>
            <w:tcBorders>
              <w:top w:val="nil"/>
              <w:left w:val="single" w:sz="8" w:space="0" w:color="0070C0"/>
              <w:bottom w:val="single" w:sz="8" w:space="0" w:color="0077BD"/>
              <w:right w:val="single" w:sz="8" w:space="0" w:color="0070C0"/>
            </w:tcBorders>
            <w:shd w:val="clear" w:color="auto" w:fill="auto"/>
            <w:vAlign w:val="center"/>
          </w:tcPr>
          <w:p w14:paraId="48DA71B8" w14:textId="49460500" w:rsidR="00055D53" w:rsidRPr="0068723D" w:rsidRDefault="00782E2A" w:rsidP="00055D53">
            <w:pPr>
              <w:jc w:val="right"/>
              <w:rPr>
                <w:rFonts w:cs="Calibri"/>
                <w:b/>
                <w:bCs/>
                <w:color w:val="000000" w:themeColor="text1"/>
                <w:sz w:val="13"/>
                <w:szCs w:val="13"/>
              </w:rPr>
            </w:pPr>
            <w:r>
              <w:rPr>
                <w:rFonts w:cs="Calibri"/>
                <w:b/>
                <w:bCs/>
                <w:color w:val="000000" w:themeColor="text1"/>
                <w:sz w:val="13"/>
                <w:szCs w:val="13"/>
              </w:rPr>
              <w:t>32</w:t>
            </w:r>
          </w:p>
        </w:tc>
        <w:tc>
          <w:tcPr>
            <w:tcW w:w="1418" w:type="dxa"/>
            <w:tcBorders>
              <w:top w:val="nil"/>
              <w:left w:val="nil"/>
              <w:bottom w:val="single" w:sz="8" w:space="0" w:color="0077BD"/>
              <w:right w:val="nil"/>
            </w:tcBorders>
            <w:shd w:val="clear" w:color="auto" w:fill="auto"/>
            <w:vAlign w:val="center"/>
            <w:hideMark/>
          </w:tcPr>
          <w:p w14:paraId="7F4968E5"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60</w:t>
            </w:r>
          </w:p>
        </w:tc>
      </w:tr>
      <w:tr w:rsidR="00454B96" w:rsidRPr="0068723D" w14:paraId="7ACE3560" w14:textId="77777777" w:rsidTr="00E732B3">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3C4FA2EB" w14:textId="12175712" w:rsidR="00055D53" w:rsidRPr="0068723D" w:rsidRDefault="00055D53" w:rsidP="00DC28C3">
            <w:pPr>
              <w:rPr>
                <w:rFonts w:cs="Calibri"/>
                <w:color w:val="000000" w:themeColor="text1"/>
                <w:sz w:val="13"/>
                <w:szCs w:val="13"/>
              </w:rPr>
            </w:pPr>
            <w:r w:rsidRPr="0068723D">
              <w:rPr>
                <w:rFonts w:cs="Calibri"/>
                <w:color w:val="000000" w:themeColor="text1"/>
                <w:sz w:val="13"/>
                <w:szCs w:val="13"/>
              </w:rPr>
              <w:t>Zyski lub straty z tytułu różnic kursowych z przeliczenia jednostek zagranicznych odnoszone na kapitał własny</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5629E657" w14:textId="796536E2" w:rsidR="00055D53" w:rsidRPr="0068723D" w:rsidRDefault="00782E2A" w:rsidP="00055D53">
            <w:pPr>
              <w:jc w:val="right"/>
              <w:rPr>
                <w:rFonts w:cs="Calibri"/>
                <w:color w:val="000000" w:themeColor="text1"/>
                <w:sz w:val="13"/>
                <w:szCs w:val="13"/>
              </w:rPr>
            </w:pPr>
            <w:r>
              <w:rPr>
                <w:rFonts w:cs="Calibri"/>
                <w:color w:val="000000" w:themeColor="text1"/>
                <w:sz w:val="13"/>
                <w:szCs w:val="13"/>
              </w:rPr>
              <w:t>32</w:t>
            </w:r>
          </w:p>
        </w:tc>
        <w:tc>
          <w:tcPr>
            <w:tcW w:w="1418" w:type="dxa"/>
            <w:tcBorders>
              <w:top w:val="nil"/>
              <w:left w:val="nil"/>
              <w:bottom w:val="single" w:sz="4" w:space="0" w:color="0070C0"/>
              <w:right w:val="nil"/>
            </w:tcBorders>
            <w:shd w:val="clear" w:color="auto" w:fill="auto"/>
            <w:vAlign w:val="center"/>
            <w:hideMark/>
          </w:tcPr>
          <w:p w14:paraId="207670B3" w14:textId="77777777" w:rsidR="00055D53" w:rsidRPr="0068723D" w:rsidRDefault="00055D53" w:rsidP="00055D53">
            <w:pPr>
              <w:jc w:val="right"/>
              <w:rPr>
                <w:rFonts w:cs="Calibri"/>
                <w:color w:val="000000" w:themeColor="text1"/>
                <w:sz w:val="13"/>
                <w:szCs w:val="13"/>
              </w:rPr>
            </w:pPr>
            <w:r w:rsidRPr="0068723D">
              <w:rPr>
                <w:rFonts w:cs="Calibri"/>
                <w:color w:val="000000" w:themeColor="text1"/>
                <w:sz w:val="13"/>
                <w:szCs w:val="13"/>
              </w:rPr>
              <w:t>60</w:t>
            </w:r>
          </w:p>
        </w:tc>
      </w:tr>
      <w:tr w:rsidR="00454B96" w:rsidRPr="0068723D" w14:paraId="0E168060"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3E2A679"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zyski (dodatnie różnice kursowe) ujęte w roku obrotowym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391960E0" w14:textId="212C9553" w:rsidR="00055D53" w:rsidRPr="0068723D" w:rsidRDefault="00782E2A" w:rsidP="00055D53">
            <w:pPr>
              <w:jc w:val="right"/>
              <w:rPr>
                <w:rFonts w:cs="Calibri"/>
                <w:i/>
                <w:iCs/>
                <w:color w:val="000000" w:themeColor="text1"/>
                <w:sz w:val="13"/>
                <w:szCs w:val="13"/>
              </w:rPr>
            </w:pPr>
            <w:r>
              <w:rPr>
                <w:rFonts w:cs="Calibri"/>
                <w:i/>
                <w:iCs/>
                <w:color w:val="000000" w:themeColor="text1"/>
                <w:sz w:val="13"/>
                <w:szCs w:val="13"/>
              </w:rPr>
              <w:t>1 870</w:t>
            </w:r>
          </w:p>
        </w:tc>
        <w:tc>
          <w:tcPr>
            <w:tcW w:w="1418" w:type="dxa"/>
            <w:tcBorders>
              <w:top w:val="nil"/>
              <w:left w:val="nil"/>
              <w:bottom w:val="single" w:sz="4" w:space="0" w:color="0070C0"/>
              <w:right w:val="nil"/>
            </w:tcBorders>
            <w:shd w:val="clear" w:color="auto" w:fill="auto"/>
            <w:vAlign w:val="center"/>
            <w:hideMark/>
          </w:tcPr>
          <w:p w14:paraId="1DA640F4"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117</w:t>
            </w:r>
          </w:p>
        </w:tc>
      </w:tr>
      <w:tr w:rsidR="00454B96" w:rsidRPr="0068723D" w14:paraId="47342CBD"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0478B0A"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straty (ujemne różnice kursowe) ujęte w roku obrotowym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3ADBFE6" w14:textId="10B74808" w:rsidR="00055D53" w:rsidRPr="0068723D" w:rsidRDefault="00782E2A" w:rsidP="00055D53">
            <w:pPr>
              <w:jc w:val="right"/>
              <w:rPr>
                <w:rFonts w:cs="Calibri"/>
                <w:i/>
                <w:iCs/>
                <w:color w:val="000000" w:themeColor="text1"/>
                <w:sz w:val="13"/>
                <w:szCs w:val="13"/>
              </w:rPr>
            </w:pPr>
            <w:r>
              <w:rPr>
                <w:rFonts w:cs="Calibri"/>
                <w:i/>
                <w:iCs/>
                <w:color w:val="000000" w:themeColor="text1"/>
                <w:sz w:val="13"/>
                <w:szCs w:val="13"/>
              </w:rPr>
              <w:t>(1 838)</w:t>
            </w:r>
          </w:p>
        </w:tc>
        <w:tc>
          <w:tcPr>
            <w:tcW w:w="1418" w:type="dxa"/>
            <w:tcBorders>
              <w:top w:val="nil"/>
              <w:left w:val="nil"/>
              <w:bottom w:val="single" w:sz="4" w:space="0" w:color="0070C0"/>
              <w:right w:val="nil"/>
            </w:tcBorders>
            <w:shd w:val="clear" w:color="auto" w:fill="auto"/>
            <w:vAlign w:val="center"/>
            <w:hideMark/>
          </w:tcPr>
          <w:p w14:paraId="5BA7960C"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(57)</w:t>
            </w:r>
          </w:p>
        </w:tc>
      </w:tr>
      <w:tr w:rsidR="00454B96" w:rsidRPr="0068723D" w14:paraId="6D181B65" w14:textId="77777777" w:rsidTr="007557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F6457D9"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Zabezpieczenia przepływów pieniężnych [efektywna część]</w:t>
            </w:r>
          </w:p>
        </w:tc>
        <w:tc>
          <w:tcPr>
            <w:tcW w:w="1418" w:type="dxa"/>
            <w:tcBorders>
              <w:top w:val="single" w:sz="8" w:space="0" w:color="0077BD"/>
              <w:left w:val="single" w:sz="8" w:space="0" w:color="0070C0"/>
              <w:bottom w:val="single" w:sz="8" w:space="0" w:color="0077BD"/>
              <w:right w:val="single" w:sz="8" w:space="0" w:color="0070C0"/>
            </w:tcBorders>
            <w:shd w:val="clear" w:color="auto" w:fill="auto"/>
            <w:vAlign w:val="center"/>
          </w:tcPr>
          <w:p w14:paraId="778B0F52" w14:textId="28DB6FA4" w:rsidR="00055D53" w:rsidRPr="0068723D" w:rsidRDefault="00782E2A" w:rsidP="00055D53">
            <w:pPr>
              <w:jc w:val="right"/>
              <w:rPr>
                <w:rFonts w:cs="Calibri"/>
                <w:b/>
                <w:bCs/>
                <w:color w:val="000000" w:themeColor="text1"/>
                <w:sz w:val="13"/>
                <w:szCs w:val="13"/>
              </w:rPr>
            </w:pPr>
            <w:r>
              <w:rPr>
                <w:rFonts w:cs="Calibri"/>
                <w:b/>
                <w:bCs/>
                <w:color w:val="000000" w:themeColor="text1"/>
                <w:sz w:val="13"/>
                <w:szCs w:val="13"/>
              </w:rPr>
              <w:t>35 499</w:t>
            </w:r>
          </w:p>
        </w:tc>
        <w:tc>
          <w:tcPr>
            <w:tcW w:w="1418" w:type="dxa"/>
            <w:tcBorders>
              <w:top w:val="single" w:sz="8" w:space="0" w:color="0077BD"/>
              <w:left w:val="nil"/>
              <w:bottom w:val="single" w:sz="8" w:space="0" w:color="0077BD"/>
              <w:right w:val="nil"/>
            </w:tcBorders>
            <w:shd w:val="clear" w:color="auto" w:fill="auto"/>
            <w:vAlign w:val="center"/>
            <w:hideMark/>
          </w:tcPr>
          <w:p w14:paraId="2CD7C7C8"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88 841</w:t>
            </w:r>
          </w:p>
        </w:tc>
      </w:tr>
      <w:tr w:rsidR="00454B96" w:rsidRPr="0068723D" w14:paraId="5F37C1D4"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0DFE66E" w14:textId="7BD0F574" w:rsidR="00055D53" w:rsidRPr="0068723D" w:rsidRDefault="00055D53" w:rsidP="00DC28C3">
            <w:pPr>
              <w:rPr>
                <w:rFonts w:cs="Calibri"/>
                <w:color w:val="000000" w:themeColor="text1"/>
                <w:sz w:val="13"/>
                <w:szCs w:val="13"/>
              </w:rPr>
            </w:pPr>
            <w:r w:rsidRPr="0068723D">
              <w:rPr>
                <w:rFonts w:cs="Calibri"/>
                <w:color w:val="000000" w:themeColor="text1"/>
                <w:sz w:val="13"/>
                <w:szCs w:val="13"/>
              </w:rPr>
              <w:t>Zyski lub straty z tytułu wyceny odnoszone na kapitał własny</w:t>
            </w:r>
          </w:p>
        </w:tc>
        <w:tc>
          <w:tcPr>
            <w:tcW w:w="1418" w:type="dxa"/>
            <w:tcBorders>
              <w:top w:val="single" w:sz="4" w:space="0" w:color="0070C0"/>
              <w:left w:val="single" w:sz="8" w:space="0" w:color="0070C0"/>
              <w:bottom w:val="single" w:sz="4" w:space="0" w:color="0070C0"/>
              <w:right w:val="single" w:sz="8" w:space="0" w:color="0070C0"/>
            </w:tcBorders>
            <w:shd w:val="clear" w:color="auto" w:fill="auto"/>
            <w:vAlign w:val="center"/>
          </w:tcPr>
          <w:p w14:paraId="3897E3CD" w14:textId="2BEB9274" w:rsidR="00055D53" w:rsidRPr="0068723D" w:rsidRDefault="008C39FB" w:rsidP="008C39FB">
            <w:pPr>
              <w:jc w:val="right"/>
              <w:rPr>
                <w:rFonts w:cs="Calibri"/>
                <w:color w:val="000000" w:themeColor="text1"/>
                <w:sz w:val="13"/>
                <w:szCs w:val="13"/>
              </w:rPr>
            </w:pPr>
            <w:r>
              <w:rPr>
                <w:rFonts w:cs="Calibri"/>
                <w:color w:val="000000" w:themeColor="text1"/>
                <w:sz w:val="13"/>
                <w:szCs w:val="13"/>
              </w:rPr>
              <w:t>75</w:t>
            </w:r>
            <w:r w:rsidR="00782E2A">
              <w:rPr>
                <w:rFonts w:cs="Calibri"/>
                <w:color w:val="000000" w:themeColor="text1"/>
                <w:sz w:val="13"/>
                <w:szCs w:val="13"/>
              </w:rPr>
              <w:t xml:space="preserve"> </w:t>
            </w:r>
            <w:r>
              <w:rPr>
                <w:rFonts w:cs="Calibri"/>
                <w:color w:val="000000" w:themeColor="text1"/>
                <w:sz w:val="13"/>
                <w:szCs w:val="13"/>
              </w:rPr>
              <w:t>289</w:t>
            </w:r>
          </w:p>
        </w:tc>
        <w:tc>
          <w:tcPr>
            <w:tcW w:w="1418" w:type="dxa"/>
            <w:tcBorders>
              <w:top w:val="single" w:sz="4" w:space="0" w:color="0070C0"/>
              <w:left w:val="nil"/>
              <w:bottom w:val="single" w:sz="4" w:space="0" w:color="0070C0"/>
              <w:right w:val="nil"/>
            </w:tcBorders>
            <w:shd w:val="clear" w:color="auto" w:fill="auto"/>
            <w:vAlign w:val="center"/>
            <w:hideMark/>
          </w:tcPr>
          <w:p w14:paraId="360B0125" w14:textId="22567E44" w:rsidR="00055D53" w:rsidRPr="0068723D" w:rsidRDefault="00CC4BA7" w:rsidP="00055D53">
            <w:pPr>
              <w:jc w:val="right"/>
              <w:rPr>
                <w:rFonts w:cs="Calibri"/>
                <w:color w:val="000000" w:themeColor="text1"/>
                <w:sz w:val="13"/>
                <w:szCs w:val="13"/>
              </w:rPr>
            </w:pPr>
            <w:r>
              <w:rPr>
                <w:rFonts w:cs="Calibri"/>
                <w:color w:val="000000" w:themeColor="text1"/>
                <w:sz w:val="13"/>
                <w:szCs w:val="13"/>
              </w:rPr>
              <w:t>121 530</w:t>
            </w:r>
          </w:p>
        </w:tc>
      </w:tr>
      <w:tr w:rsidR="00454B96" w:rsidRPr="0068723D" w14:paraId="5142B723"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913D69A"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zyski ujęte w roku obrotowym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091CC411" w14:textId="1BE1627A" w:rsidR="00055D53" w:rsidRPr="0068723D" w:rsidRDefault="00783325" w:rsidP="00783325">
            <w:pPr>
              <w:jc w:val="right"/>
              <w:rPr>
                <w:rFonts w:cs="Calibri"/>
                <w:i/>
                <w:iCs/>
                <w:color w:val="000000" w:themeColor="text1"/>
                <w:sz w:val="13"/>
                <w:szCs w:val="13"/>
              </w:rPr>
            </w:pPr>
            <w:r>
              <w:rPr>
                <w:rFonts w:cs="Calibri"/>
                <w:i/>
                <w:iCs/>
                <w:color w:val="000000" w:themeColor="text1"/>
                <w:sz w:val="13"/>
                <w:szCs w:val="13"/>
              </w:rPr>
              <w:t>79</w:t>
            </w:r>
            <w:r w:rsidR="00782E2A">
              <w:rPr>
                <w:rFonts w:cs="Calibri"/>
                <w:i/>
                <w:iCs/>
                <w:color w:val="000000" w:themeColor="text1"/>
                <w:sz w:val="13"/>
                <w:szCs w:val="13"/>
              </w:rPr>
              <w:t xml:space="preserve"> </w:t>
            </w:r>
            <w:r>
              <w:rPr>
                <w:rFonts w:cs="Calibri"/>
                <w:i/>
                <w:iCs/>
                <w:color w:val="000000" w:themeColor="text1"/>
                <w:sz w:val="13"/>
                <w:szCs w:val="13"/>
              </w:rPr>
              <w:t>415</w:t>
            </w:r>
          </w:p>
        </w:tc>
        <w:tc>
          <w:tcPr>
            <w:tcW w:w="1418" w:type="dxa"/>
            <w:tcBorders>
              <w:top w:val="nil"/>
              <w:left w:val="nil"/>
              <w:bottom w:val="single" w:sz="4" w:space="0" w:color="0070C0"/>
              <w:right w:val="nil"/>
            </w:tcBorders>
            <w:shd w:val="clear" w:color="auto" w:fill="auto"/>
            <w:vAlign w:val="center"/>
            <w:hideMark/>
          </w:tcPr>
          <w:p w14:paraId="2F9A65DE" w14:textId="7953E741" w:rsidR="00055D53" w:rsidRPr="0068723D" w:rsidRDefault="00D026D8" w:rsidP="00D026D8">
            <w:pPr>
              <w:jc w:val="right"/>
              <w:rPr>
                <w:rFonts w:cs="Calibri"/>
                <w:i/>
                <w:iCs/>
                <w:color w:val="000000" w:themeColor="text1"/>
                <w:sz w:val="13"/>
                <w:szCs w:val="13"/>
              </w:rPr>
            </w:pPr>
            <w:r>
              <w:rPr>
                <w:rFonts w:cs="Calibri"/>
                <w:i/>
                <w:iCs/>
                <w:color w:val="000000" w:themeColor="text1"/>
                <w:sz w:val="13"/>
                <w:szCs w:val="13"/>
              </w:rPr>
              <w:t>121</w:t>
            </w:r>
            <w:r w:rsidR="00055D53" w:rsidRPr="0068723D">
              <w:rPr>
                <w:rFonts w:cs="Calibri"/>
                <w:i/>
                <w:iCs/>
                <w:color w:val="000000" w:themeColor="text1"/>
                <w:sz w:val="13"/>
                <w:szCs w:val="13"/>
              </w:rPr>
              <w:t xml:space="preserve"> </w:t>
            </w:r>
            <w:r>
              <w:rPr>
                <w:rFonts w:cs="Calibri"/>
                <w:i/>
                <w:iCs/>
                <w:color w:val="000000" w:themeColor="text1"/>
                <w:sz w:val="13"/>
                <w:szCs w:val="13"/>
              </w:rPr>
              <w:t>530</w:t>
            </w:r>
          </w:p>
        </w:tc>
      </w:tr>
      <w:tr w:rsidR="00454B96" w:rsidRPr="0068723D" w14:paraId="554993D3"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7788A1E"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straty ujęte w roku obrotowym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3657508E" w14:textId="49ACA9AB" w:rsidR="00055D53" w:rsidRPr="0068723D" w:rsidRDefault="00783325" w:rsidP="00783325">
            <w:pPr>
              <w:jc w:val="right"/>
              <w:rPr>
                <w:rFonts w:cs="Calibri"/>
                <w:i/>
                <w:iCs/>
                <w:color w:val="000000" w:themeColor="text1"/>
                <w:sz w:val="13"/>
                <w:szCs w:val="13"/>
              </w:rPr>
            </w:pPr>
            <w:r>
              <w:rPr>
                <w:rFonts w:cs="Calibri"/>
                <w:i/>
                <w:iCs/>
                <w:color w:val="000000" w:themeColor="text1"/>
                <w:sz w:val="13"/>
                <w:szCs w:val="13"/>
              </w:rPr>
              <w:t>(4</w:t>
            </w:r>
            <w:r w:rsidR="00782E2A">
              <w:rPr>
                <w:rFonts w:cs="Calibri"/>
                <w:i/>
                <w:iCs/>
                <w:color w:val="000000" w:themeColor="text1"/>
                <w:sz w:val="13"/>
                <w:szCs w:val="13"/>
              </w:rPr>
              <w:t> </w:t>
            </w:r>
            <w:r>
              <w:rPr>
                <w:rFonts w:cs="Calibri"/>
                <w:i/>
                <w:iCs/>
                <w:color w:val="000000" w:themeColor="text1"/>
                <w:sz w:val="13"/>
                <w:szCs w:val="13"/>
              </w:rPr>
              <w:t>126</w:t>
            </w:r>
            <w:r w:rsidR="00782E2A">
              <w:rPr>
                <w:rFonts w:cs="Calibri"/>
                <w:i/>
                <w:iCs/>
                <w:color w:val="000000" w:themeColor="text1"/>
                <w:sz w:val="13"/>
                <w:szCs w:val="13"/>
              </w:rPr>
              <w:t>)</w:t>
            </w:r>
          </w:p>
        </w:tc>
        <w:tc>
          <w:tcPr>
            <w:tcW w:w="1418" w:type="dxa"/>
            <w:tcBorders>
              <w:top w:val="nil"/>
              <w:left w:val="nil"/>
              <w:bottom w:val="single" w:sz="4" w:space="0" w:color="0070C0"/>
              <w:right w:val="nil"/>
            </w:tcBorders>
            <w:shd w:val="clear" w:color="auto" w:fill="auto"/>
            <w:vAlign w:val="center"/>
            <w:hideMark/>
          </w:tcPr>
          <w:p w14:paraId="4EBA1F24"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w:t>
            </w:r>
          </w:p>
        </w:tc>
      </w:tr>
      <w:tr w:rsidR="00437E0F" w:rsidRPr="00437E0F" w14:paraId="2C4FF39E"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tcPr>
          <w:p w14:paraId="036C6DBC" w14:textId="49C16F4B" w:rsidR="00437E0F" w:rsidRPr="00437E0F" w:rsidRDefault="00437E0F" w:rsidP="00437E0F">
            <w:pPr>
              <w:rPr>
                <w:rFonts w:cs="Calibri"/>
                <w:iCs/>
                <w:color w:val="000000" w:themeColor="text1"/>
                <w:sz w:val="13"/>
                <w:szCs w:val="13"/>
              </w:rPr>
            </w:pPr>
            <w:r w:rsidRPr="00437E0F">
              <w:rPr>
                <w:rFonts w:cs="Calibri"/>
                <w:iCs/>
                <w:color w:val="000000" w:themeColor="text1"/>
                <w:sz w:val="13"/>
                <w:szCs w:val="13"/>
              </w:rPr>
              <w:t>Przeniesione do rachunku zysków i strat</w:t>
            </w:r>
            <w:r w:rsidR="00E1609E">
              <w:rPr>
                <w:rFonts w:cs="Calibri"/>
                <w:iCs/>
                <w:color w:val="000000" w:themeColor="text1"/>
                <w:sz w:val="13"/>
                <w:szCs w:val="13"/>
              </w:rPr>
              <w:t xml:space="preserve">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71BA8189" w14:textId="3BE6A136" w:rsidR="00437E0F" w:rsidRPr="00437E0F" w:rsidRDefault="00437E0F" w:rsidP="00055D53">
            <w:pPr>
              <w:jc w:val="right"/>
              <w:rPr>
                <w:rFonts w:cs="Calibri"/>
                <w:iCs/>
                <w:color w:val="000000" w:themeColor="text1"/>
                <w:sz w:val="13"/>
                <w:szCs w:val="13"/>
              </w:rPr>
            </w:pPr>
            <w:r>
              <w:rPr>
                <w:rFonts w:cs="Calibri"/>
                <w:iCs/>
                <w:color w:val="000000" w:themeColor="text1"/>
                <w:sz w:val="13"/>
                <w:szCs w:val="13"/>
              </w:rPr>
              <w:t>(39 790)</w:t>
            </w:r>
          </w:p>
        </w:tc>
        <w:tc>
          <w:tcPr>
            <w:tcW w:w="1418" w:type="dxa"/>
            <w:tcBorders>
              <w:top w:val="nil"/>
              <w:left w:val="nil"/>
              <w:bottom w:val="single" w:sz="4" w:space="0" w:color="0070C0"/>
              <w:right w:val="nil"/>
            </w:tcBorders>
            <w:shd w:val="clear" w:color="auto" w:fill="auto"/>
            <w:vAlign w:val="center"/>
          </w:tcPr>
          <w:p w14:paraId="1B086679" w14:textId="3F2A6E88" w:rsidR="00437E0F" w:rsidRPr="00437E0F" w:rsidRDefault="00CC4BA7" w:rsidP="00055D53">
            <w:pPr>
              <w:jc w:val="right"/>
              <w:rPr>
                <w:rFonts w:cs="Calibri"/>
                <w:iCs/>
                <w:color w:val="000000" w:themeColor="text1"/>
                <w:sz w:val="13"/>
                <w:szCs w:val="13"/>
              </w:rPr>
            </w:pPr>
            <w:r>
              <w:rPr>
                <w:rFonts w:cs="Calibri"/>
                <w:iCs/>
                <w:color w:val="000000" w:themeColor="text1"/>
                <w:sz w:val="13"/>
                <w:szCs w:val="13"/>
              </w:rPr>
              <w:t>(32 689)</w:t>
            </w:r>
          </w:p>
        </w:tc>
      </w:tr>
      <w:tr w:rsidR="00454B96" w:rsidRPr="0068723D" w14:paraId="0EEC353C" w14:textId="77777777" w:rsidTr="00E732B3">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1766286"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Wycena dłużnych instrumentów finansowych wycenianych w wartości godziwej przez pozostałe całkowite dochody</w:t>
            </w:r>
          </w:p>
        </w:tc>
        <w:tc>
          <w:tcPr>
            <w:tcW w:w="1418" w:type="dxa"/>
            <w:tcBorders>
              <w:top w:val="single" w:sz="8" w:space="0" w:color="0077BD"/>
              <w:left w:val="single" w:sz="8" w:space="0" w:color="0070C0"/>
              <w:bottom w:val="single" w:sz="8" w:space="0" w:color="0077BD"/>
              <w:right w:val="single" w:sz="8" w:space="0" w:color="0070C0"/>
            </w:tcBorders>
            <w:shd w:val="clear" w:color="auto" w:fill="auto"/>
            <w:vAlign w:val="center"/>
          </w:tcPr>
          <w:p w14:paraId="15AE9855" w14:textId="4F989602" w:rsidR="00055D53" w:rsidRPr="0068723D" w:rsidRDefault="00B47291" w:rsidP="00B47291">
            <w:pPr>
              <w:jc w:val="right"/>
              <w:rPr>
                <w:rFonts w:cs="Calibri"/>
                <w:b/>
                <w:bCs/>
                <w:color w:val="000000" w:themeColor="text1"/>
                <w:sz w:val="13"/>
                <w:szCs w:val="13"/>
              </w:rPr>
            </w:pPr>
            <w:r>
              <w:rPr>
                <w:rFonts w:cs="Calibri"/>
                <w:b/>
                <w:bCs/>
                <w:color w:val="000000" w:themeColor="text1"/>
                <w:sz w:val="13"/>
                <w:szCs w:val="13"/>
              </w:rPr>
              <w:t>(71</w:t>
            </w:r>
            <w:r w:rsidR="00782E2A">
              <w:rPr>
                <w:rFonts w:cs="Calibri"/>
                <w:b/>
                <w:bCs/>
                <w:color w:val="000000" w:themeColor="text1"/>
                <w:sz w:val="13"/>
                <w:szCs w:val="13"/>
              </w:rPr>
              <w:t> </w:t>
            </w:r>
            <w:r>
              <w:rPr>
                <w:rFonts w:cs="Calibri"/>
                <w:b/>
                <w:bCs/>
                <w:color w:val="000000" w:themeColor="text1"/>
                <w:sz w:val="13"/>
                <w:szCs w:val="13"/>
              </w:rPr>
              <w:t>657</w:t>
            </w:r>
            <w:r w:rsidR="00782E2A">
              <w:rPr>
                <w:rFonts w:cs="Calibri"/>
                <w:b/>
                <w:bCs/>
                <w:color w:val="000000" w:themeColor="text1"/>
                <w:sz w:val="13"/>
                <w:szCs w:val="13"/>
              </w:rPr>
              <w:t>)</w:t>
            </w:r>
          </w:p>
        </w:tc>
        <w:tc>
          <w:tcPr>
            <w:tcW w:w="1418" w:type="dxa"/>
            <w:tcBorders>
              <w:top w:val="single" w:sz="8" w:space="0" w:color="0077BD"/>
              <w:left w:val="nil"/>
              <w:bottom w:val="single" w:sz="8" w:space="0" w:color="0077BD"/>
              <w:right w:val="nil"/>
            </w:tcBorders>
            <w:shd w:val="clear" w:color="auto" w:fill="auto"/>
            <w:vAlign w:val="center"/>
            <w:hideMark/>
          </w:tcPr>
          <w:p w14:paraId="6616ACB3"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23 013</w:t>
            </w:r>
          </w:p>
        </w:tc>
      </w:tr>
      <w:tr w:rsidR="00454B96" w:rsidRPr="0068723D" w14:paraId="73FDCDD2"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6C2E8FC" w14:textId="00549EAB" w:rsidR="00055D53" w:rsidRPr="0068723D" w:rsidRDefault="00055D53" w:rsidP="00055D53">
            <w:pPr>
              <w:rPr>
                <w:rFonts w:cs="Calibri"/>
                <w:color w:val="000000" w:themeColor="text1"/>
                <w:sz w:val="13"/>
                <w:szCs w:val="13"/>
              </w:rPr>
            </w:pPr>
            <w:r w:rsidRPr="0068723D">
              <w:rPr>
                <w:rFonts w:cs="Calibri"/>
                <w:color w:val="000000" w:themeColor="text1"/>
                <w:sz w:val="13"/>
                <w:szCs w:val="13"/>
              </w:rPr>
              <w:t>Zyski lub straty z tytułu wyceny odnoszone na kapitał własny</w:t>
            </w:r>
          </w:p>
        </w:tc>
        <w:tc>
          <w:tcPr>
            <w:tcW w:w="1418" w:type="dxa"/>
            <w:tcBorders>
              <w:top w:val="single" w:sz="4" w:space="0" w:color="0070C0"/>
              <w:left w:val="single" w:sz="8" w:space="0" w:color="0070C0"/>
              <w:bottom w:val="nil"/>
              <w:right w:val="single" w:sz="8" w:space="0" w:color="0070C0"/>
            </w:tcBorders>
            <w:shd w:val="clear" w:color="auto" w:fill="auto"/>
            <w:vAlign w:val="center"/>
          </w:tcPr>
          <w:p w14:paraId="4E70C923" w14:textId="5908066F" w:rsidR="00055D53" w:rsidRPr="0068723D" w:rsidRDefault="00A94364" w:rsidP="00B47291">
            <w:pPr>
              <w:jc w:val="right"/>
              <w:rPr>
                <w:rFonts w:cs="Calibri"/>
                <w:color w:val="000000" w:themeColor="text1"/>
                <w:sz w:val="13"/>
                <w:szCs w:val="13"/>
              </w:rPr>
            </w:pPr>
            <w:r>
              <w:rPr>
                <w:rFonts w:cs="Calibri"/>
                <w:color w:val="000000" w:themeColor="text1"/>
                <w:sz w:val="13"/>
                <w:szCs w:val="13"/>
              </w:rPr>
              <w:t>(4</w:t>
            </w:r>
            <w:r w:rsidR="00B47291">
              <w:rPr>
                <w:rFonts w:cs="Calibri"/>
                <w:color w:val="000000" w:themeColor="text1"/>
                <w:sz w:val="13"/>
                <w:szCs w:val="13"/>
              </w:rPr>
              <w:t>3</w:t>
            </w:r>
            <w:r>
              <w:rPr>
                <w:rFonts w:cs="Calibri"/>
                <w:color w:val="000000" w:themeColor="text1"/>
                <w:sz w:val="13"/>
                <w:szCs w:val="13"/>
              </w:rPr>
              <w:t xml:space="preserve"> </w:t>
            </w:r>
            <w:r w:rsidR="00B47291">
              <w:rPr>
                <w:rFonts w:cs="Calibri"/>
                <w:color w:val="000000" w:themeColor="text1"/>
                <w:sz w:val="13"/>
                <w:szCs w:val="13"/>
              </w:rPr>
              <w:t>31</w:t>
            </w:r>
            <w:r>
              <w:rPr>
                <w:rFonts w:cs="Calibri"/>
                <w:color w:val="000000" w:themeColor="text1"/>
                <w:sz w:val="13"/>
                <w:szCs w:val="13"/>
              </w:rPr>
              <w:t>1)</w:t>
            </w:r>
          </w:p>
        </w:tc>
        <w:tc>
          <w:tcPr>
            <w:tcW w:w="1418" w:type="dxa"/>
            <w:tcBorders>
              <w:top w:val="single" w:sz="4" w:space="0" w:color="0070C0"/>
              <w:left w:val="nil"/>
              <w:bottom w:val="nil"/>
              <w:right w:val="nil"/>
            </w:tcBorders>
            <w:shd w:val="clear" w:color="auto" w:fill="auto"/>
            <w:vAlign w:val="center"/>
            <w:hideMark/>
          </w:tcPr>
          <w:p w14:paraId="57E12964" w14:textId="77777777" w:rsidR="00055D53" w:rsidRPr="0068723D" w:rsidRDefault="00055D53" w:rsidP="00055D53">
            <w:pPr>
              <w:jc w:val="right"/>
              <w:rPr>
                <w:rFonts w:cs="Calibri"/>
                <w:color w:val="000000" w:themeColor="text1"/>
                <w:sz w:val="13"/>
                <w:szCs w:val="13"/>
              </w:rPr>
            </w:pPr>
            <w:r w:rsidRPr="0068723D">
              <w:rPr>
                <w:rFonts w:cs="Calibri"/>
                <w:color w:val="000000" w:themeColor="text1"/>
                <w:sz w:val="13"/>
                <w:szCs w:val="13"/>
              </w:rPr>
              <w:t>36 350</w:t>
            </w:r>
          </w:p>
        </w:tc>
      </w:tr>
      <w:tr w:rsidR="00454B96" w:rsidRPr="0068723D" w14:paraId="4C632E85"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ACDF217"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zyski na instrumentach dłużnych ujęte w roku obrotowym (netto)</w:t>
            </w:r>
          </w:p>
        </w:tc>
        <w:tc>
          <w:tcPr>
            <w:tcW w:w="1418" w:type="dxa"/>
            <w:tcBorders>
              <w:top w:val="single" w:sz="4" w:space="0" w:color="0070C0"/>
              <w:left w:val="single" w:sz="8" w:space="0" w:color="0070C0"/>
              <w:bottom w:val="single" w:sz="4" w:space="0" w:color="0070C0"/>
              <w:right w:val="single" w:sz="8" w:space="0" w:color="0070C0"/>
            </w:tcBorders>
            <w:shd w:val="clear" w:color="auto" w:fill="auto"/>
            <w:vAlign w:val="center"/>
          </w:tcPr>
          <w:p w14:paraId="79CD3F7B" w14:textId="7DC0CEF2" w:rsidR="00055D53" w:rsidRPr="0068723D" w:rsidRDefault="00B47291" w:rsidP="00055D53">
            <w:pPr>
              <w:jc w:val="right"/>
              <w:rPr>
                <w:rFonts w:cs="Calibri"/>
                <w:i/>
                <w:iCs/>
                <w:color w:val="000000" w:themeColor="text1"/>
                <w:sz w:val="13"/>
                <w:szCs w:val="13"/>
              </w:rPr>
            </w:pPr>
            <w:r>
              <w:rPr>
                <w:rFonts w:cs="Calibri"/>
                <w:i/>
                <w:iCs/>
                <w:color w:val="000000" w:themeColor="text1"/>
                <w:sz w:val="13"/>
                <w:szCs w:val="13"/>
              </w:rPr>
              <w:t>53 769</w:t>
            </w:r>
          </w:p>
        </w:tc>
        <w:tc>
          <w:tcPr>
            <w:tcW w:w="1418" w:type="dxa"/>
            <w:tcBorders>
              <w:top w:val="single" w:sz="4" w:space="0" w:color="0070C0"/>
              <w:left w:val="nil"/>
              <w:bottom w:val="single" w:sz="4" w:space="0" w:color="0070C0"/>
              <w:right w:val="nil"/>
            </w:tcBorders>
            <w:shd w:val="clear" w:color="auto" w:fill="auto"/>
            <w:vAlign w:val="center"/>
            <w:hideMark/>
          </w:tcPr>
          <w:p w14:paraId="52095DE0"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62 966</w:t>
            </w:r>
          </w:p>
        </w:tc>
      </w:tr>
      <w:tr w:rsidR="00454B96" w:rsidRPr="0068723D" w14:paraId="39F4208F"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3FC7D7C"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Niezrealizowane straty na instrumentach dłużnych ujęte w roku obrotowym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5866B75E" w14:textId="4A11A9D1" w:rsidR="00055D53" w:rsidRPr="0068723D" w:rsidRDefault="00B47291" w:rsidP="00B47291">
            <w:pPr>
              <w:jc w:val="right"/>
              <w:rPr>
                <w:rFonts w:cs="Calibri"/>
                <w:i/>
                <w:iCs/>
                <w:color w:val="000000" w:themeColor="text1"/>
                <w:sz w:val="13"/>
                <w:szCs w:val="13"/>
              </w:rPr>
            </w:pPr>
            <w:r>
              <w:rPr>
                <w:rFonts w:cs="Calibri"/>
                <w:i/>
                <w:iCs/>
                <w:color w:val="000000" w:themeColor="text1"/>
                <w:sz w:val="13"/>
                <w:szCs w:val="13"/>
              </w:rPr>
              <w:t>(97</w:t>
            </w:r>
            <w:r w:rsidR="00A94364">
              <w:rPr>
                <w:rFonts w:cs="Calibri"/>
                <w:i/>
                <w:iCs/>
                <w:color w:val="000000" w:themeColor="text1"/>
                <w:sz w:val="13"/>
                <w:szCs w:val="13"/>
              </w:rPr>
              <w:t> </w:t>
            </w:r>
            <w:r>
              <w:rPr>
                <w:rFonts w:cs="Calibri"/>
                <w:i/>
                <w:iCs/>
                <w:color w:val="000000" w:themeColor="text1"/>
                <w:sz w:val="13"/>
                <w:szCs w:val="13"/>
              </w:rPr>
              <w:t>080</w:t>
            </w:r>
            <w:r w:rsidR="00A94364">
              <w:rPr>
                <w:rFonts w:cs="Calibri"/>
                <w:i/>
                <w:iCs/>
                <w:color w:val="000000" w:themeColor="text1"/>
                <w:sz w:val="13"/>
                <w:szCs w:val="13"/>
              </w:rPr>
              <w:t>)</w:t>
            </w:r>
          </w:p>
        </w:tc>
        <w:tc>
          <w:tcPr>
            <w:tcW w:w="1418" w:type="dxa"/>
            <w:tcBorders>
              <w:top w:val="nil"/>
              <w:left w:val="nil"/>
              <w:bottom w:val="single" w:sz="4" w:space="0" w:color="0070C0"/>
              <w:right w:val="nil"/>
            </w:tcBorders>
            <w:shd w:val="clear" w:color="auto" w:fill="auto"/>
            <w:vAlign w:val="center"/>
            <w:hideMark/>
          </w:tcPr>
          <w:p w14:paraId="77956943"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(26 616)</w:t>
            </w:r>
          </w:p>
        </w:tc>
      </w:tr>
      <w:tr w:rsidR="00454B96" w:rsidRPr="0068723D" w14:paraId="44541A95"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591D31B" w14:textId="37C802EF" w:rsidR="00055D53" w:rsidRPr="0068723D" w:rsidRDefault="00055D53" w:rsidP="00055D53">
            <w:pPr>
              <w:rPr>
                <w:rFonts w:cs="Calibri"/>
                <w:color w:val="000000" w:themeColor="text1"/>
                <w:sz w:val="13"/>
                <w:szCs w:val="13"/>
              </w:rPr>
            </w:pPr>
            <w:r w:rsidRPr="0068723D">
              <w:rPr>
                <w:rFonts w:cs="Calibri"/>
                <w:color w:val="000000" w:themeColor="text1"/>
                <w:sz w:val="13"/>
                <w:szCs w:val="13"/>
              </w:rPr>
              <w:t>Przeniesione do rachunku zysków i strat</w:t>
            </w:r>
            <w:r w:rsidR="00E1609E">
              <w:rPr>
                <w:rFonts w:cs="Calibri"/>
                <w:color w:val="000000" w:themeColor="text1"/>
                <w:sz w:val="13"/>
                <w:szCs w:val="13"/>
              </w:rPr>
              <w:t xml:space="preserve"> (netto)</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265CA5C0" w14:textId="3908EF6D" w:rsidR="00055D53" w:rsidRPr="0068723D" w:rsidRDefault="00B47291" w:rsidP="00B47291">
            <w:pPr>
              <w:jc w:val="right"/>
              <w:rPr>
                <w:rFonts w:cs="Calibri"/>
                <w:color w:val="000000" w:themeColor="text1"/>
                <w:sz w:val="13"/>
                <w:szCs w:val="13"/>
              </w:rPr>
            </w:pPr>
            <w:r>
              <w:rPr>
                <w:rFonts w:cs="Calibri"/>
                <w:color w:val="000000" w:themeColor="text1"/>
                <w:sz w:val="13"/>
                <w:szCs w:val="13"/>
              </w:rPr>
              <w:t>(</w:t>
            </w:r>
            <w:r w:rsidR="00A94364">
              <w:rPr>
                <w:rFonts w:cs="Calibri"/>
                <w:color w:val="000000" w:themeColor="text1"/>
                <w:sz w:val="13"/>
                <w:szCs w:val="13"/>
              </w:rPr>
              <w:t>2</w:t>
            </w:r>
            <w:r>
              <w:rPr>
                <w:rFonts w:cs="Calibri"/>
                <w:color w:val="000000" w:themeColor="text1"/>
                <w:sz w:val="13"/>
                <w:szCs w:val="13"/>
              </w:rPr>
              <w:t>8 346)</w:t>
            </w:r>
          </w:p>
        </w:tc>
        <w:tc>
          <w:tcPr>
            <w:tcW w:w="1418" w:type="dxa"/>
            <w:tcBorders>
              <w:top w:val="nil"/>
              <w:left w:val="nil"/>
              <w:bottom w:val="single" w:sz="4" w:space="0" w:color="0070C0"/>
              <w:right w:val="nil"/>
            </w:tcBorders>
            <w:shd w:val="clear" w:color="auto" w:fill="auto"/>
            <w:vAlign w:val="center"/>
            <w:hideMark/>
          </w:tcPr>
          <w:p w14:paraId="4B4F82A7" w14:textId="77777777" w:rsidR="00055D53" w:rsidRPr="0068723D" w:rsidRDefault="00055D53" w:rsidP="00055D53">
            <w:pPr>
              <w:jc w:val="right"/>
              <w:rPr>
                <w:rFonts w:cs="Calibri"/>
                <w:i/>
                <w:iCs/>
                <w:color w:val="000000" w:themeColor="text1"/>
                <w:sz w:val="13"/>
                <w:szCs w:val="13"/>
              </w:rPr>
            </w:pPr>
            <w:r w:rsidRPr="00A94364">
              <w:rPr>
                <w:rFonts w:cs="Calibri"/>
                <w:iCs/>
                <w:color w:val="000000" w:themeColor="text1"/>
                <w:sz w:val="13"/>
                <w:szCs w:val="13"/>
              </w:rPr>
              <w:t>(13 337</w:t>
            </w:r>
            <w:r w:rsidRPr="0068723D">
              <w:rPr>
                <w:rFonts w:cs="Calibri"/>
                <w:i/>
                <w:iCs/>
                <w:color w:val="000000" w:themeColor="text1"/>
                <w:sz w:val="13"/>
                <w:szCs w:val="13"/>
              </w:rPr>
              <w:t>)</w:t>
            </w:r>
          </w:p>
        </w:tc>
      </w:tr>
      <w:tr w:rsidR="00454B96" w:rsidRPr="0068723D" w14:paraId="448FC45F" w14:textId="77777777" w:rsidTr="007557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BDE4982"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Pozycje, które nie zostaną przeklasyfikowane do rachunku zysków i strat</w:t>
            </w:r>
          </w:p>
        </w:tc>
        <w:tc>
          <w:tcPr>
            <w:tcW w:w="1418" w:type="dxa"/>
            <w:tcBorders>
              <w:top w:val="single" w:sz="8" w:space="0" w:color="0077BD"/>
              <w:left w:val="single" w:sz="8" w:space="0" w:color="0070C0"/>
              <w:bottom w:val="single" w:sz="8" w:space="0" w:color="0077BD"/>
              <w:right w:val="single" w:sz="8" w:space="0" w:color="0070C0"/>
            </w:tcBorders>
            <w:shd w:val="clear" w:color="auto" w:fill="auto"/>
            <w:vAlign w:val="center"/>
          </w:tcPr>
          <w:p w14:paraId="49B6E9BA" w14:textId="7CF744DA" w:rsidR="00055D53" w:rsidRPr="0068723D" w:rsidRDefault="00A94364" w:rsidP="00055D53">
            <w:pPr>
              <w:jc w:val="right"/>
              <w:rPr>
                <w:rFonts w:cs="Calibri"/>
                <w:b/>
                <w:bCs/>
                <w:color w:val="000000" w:themeColor="text1"/>
                <w:sz w:val="13"/>
                <w:szCs w:val="13"/>
              </w:rPr>
            </w:pPr>
            <w:r>
              <w:rPr>
                <w:rFonts w:cs="Calibri"/>
                <w:b/>
                <w:bCs/>
                <w:color w:val="000000" w:themeColor="text1"/>
                <w:sz w:val="13"/>
                <w:szCs w:val="13"/>
              </w:rPr>
              <w:t>(2 002)</w:t>
            </w:r>
          </w:p>
        </w:tc>
        <w:tc>
          <w:tcPr>
            <w:tcW w:w="1418" w:type="dxa"/>
            <w:tcBorders>
              <w:top w:val="single" w:sz="8" w:space="0" w:color="0077BD"/>
              <w:left w:val="nil"/>
              <w:bottom w:val="single" w:sz="8" w:space="0" w:color="0077BD"/>
              <w:right w:val="nil"/>
            </w:tcBorders>
            <w:shd w:val="clear" w:color="auto" w:fill="auto"/>
            <w:vAlign w:val="center"/>
            <w:hideMark/>
          </w:tcPr>
          <w:p w14:paraId="093154D2"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(2 548)</w:t>
            </w:r>
          </w:p>
        </w:tc>
      </w:tr>
      <w:tr w:rsidR="00454B96" w:rsidRPr="0068723D" w14:paraId="42A20430" w14:textId="77777777" w:rsidTr="0075574A">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5A6D404F" w14:textId="77777777" w:rsidR="00055D53" w:rsidRPr="0068723D" w:rsidRDefault="00055D53" w:rsidP="00055D53">
            <w:pPr>
              <w:rPr>
                <w:rFonts w:cs="Calibri"/>
                <w:color w:val="000000" w:themeColor="text1"/>
                <w:sz w:val="13"/>
                <w:szCs w:val="13"/>
              </w:rPr>
            </w:pPr>
            <w:r w:rsidRPr="0068723D">
              <w:rPr>
                <w:rFonts w:cs="Calibri"/>
                <w:color w:val="000000" w:themeColor="text1"/>
                <w:sz w:val="13"/>
                <w:szCs w:val="13"/>
              </w:rPr>
              <w:t xml:space="preserve">Zyski i straty aktuarialne dotyczące świadczeń pracowniczych po okresie zatrudnienia </w:t>
            </w:r>
          </w:p>
        </w:tc>
        <w:tc>
          <w:tcPr>
            <w:tcW w:w="1418" w:type="dxa"/>
            <w:tcBorders>
              <w:top w:val="single" w:sz="4" w:space="0" w:color="0070C0"/>
              <w:left w:val="single" w:sz="8" w:space="0" w:color="0070C0"/>
              <w:bottom w:val="nil"/>
              <w:right w:val="single" w:sz="8" w:space="0" w:color="0070C0"/>
            </w:tcBorders>
            <w:shd w:val="clear" w:color="auto" w:fill="auto"/>
            <w:vAlign w:val="center"/>
          </w:tcPr>
          <w:p w14:paraId="2C4901B3" w14:textId="71B9618B" w:rsidR="00055D53" w:rsidRPr="0068723D" w:rsidRDefault="00A94364" w:rsidP="00055D53">
            <w:pPr>
              <w:jc w:val="right"/>
              <w:rPr>
                <w:rFonts w:cs="Calibri"/>
                <w:color w:val="000000" w:themeColor="text1"/>
                <w:sz w:val="13"/>
                <w:szCs w:val="13"/>
              </w:rPr>
            </w:pPr>
            <w:r>
              <w:rPr>
                <w:rFonts w:cs="Calibri"/>
                <w:color w:val="000000" w:themeColor="text1"/>
                <w:sz w:val="13"/>
                <w:szCs w:val="13"/>
              </w:rPr>
              <w:t>(2 002)</w:t>
            </w:r>
          </w:p>
        </w:tc>
        <w:tc>
          <w:tcPr>
            <w:tcW w:w="1418" w:type="dxa"/>
            <w:tcBorders>
              <w:top w:val="single" w:sz="4" w:space="0" w:color="0070C0"/>
              <w:left w:val="nil"/>
              <w:bottom w:val="nil"/>
              <w:right w:val="nil"/>
            </w:tcBorders>
            <w:shd w:val="clear" w:color="auto" w:fill="auto"/>
            <w:vAlign w:val="center"/>
            <w:hideMark/>
          </w:tcPr>
          <w:p w14:paraId="07D2F231" w14:textId="77777777" w:rsidR="00055D53" w:rsidRPr="0068723D" w:rsidRDefault="00055D53" w:rsidP="00055D53">
            <w:pPr>
              <w:jc w:val="right"/>
              <w:rPr>
                <w:rFonts w:cs="Calibri"/>
                <w:color w:val="000000" w:themeColor="text1"/>
                <w:sz w:val="13"/>
                <w:szCs w:val="13"/>
              </w:rPr>
            </w:pPr>
            <w:r w:rsidRPr="0068723D">
              <w:rPr>
                <w:rFonts w:cs="Calibri"/>
                <w:color w:val="000000" w:themeColor="text1"/>
                <w:sz w:val="13"/>
                <w:szCs w:val="13"/>
              </w:rPr>
              <w:t>(2 548)</w:t>
            </w:r>
          </w:p>
        </w:tc>
      </w:tr>
      <w:tr w:rsidR="00454B96" w:rsidRPr="0068723D" w14:paraId="4BA48918"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C877CBA"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Zyski aktuarialne</w:t>
            </w:r>
          </w:p>
        </w:tc>
        <w:tc>
          <w:tcPr>
            <w:tcW w:w="1418" w:type="dxa"/>
            <w:tcBorders>
              <w:top w:val="single" w:sz="4" w:space="0" w:color="0070C0"/>
              <w:left w:val="single" w:sz="8" w:space="0" w:color="0070C0"/>
              <w:bottom w:val="single" w:sz="4" w:space="0" w:color="0070C0"/>
              <w:right w:val="single" w:sz="8" w:space="0" w:color="0070C0"/>
            </w:tcBorders>
            <w:shd w:val="clear" w:color="auto" w:fill="auto"/>
            <w:vAlign w:val="center"/>
          </w:tcPr>
          <w:p w14:paraId="54C8DCDC" w14:textId="2C158352" w:rsidR="00055D53" w:rsidRPr="0068723D" w:rsidRDefault="00A94364" w:rsidP="00055D53">
            <w:pPr>
              <w:jc w:val="right"/>
              <w:rPr>
                <w:rFonts w:cs="Calibri"/>
                <w:i/>
                <w:iCs/>
                <w:color w:val="000000" w:themeColor="text1"/>
                <w:sz w:val="13"/>
                <w:szCs w:val="13"/>
              </w:rPr>
            </w:pPr>
            <w:r>
              <w:rPr>
                <w:rFonts w:cs="Calibri"/>
                <w:i/>
                <w:iCs/>
                <w:color w:val="000000" w:themeColor="text1"/>
                <w:sz w:val="13"/>
                <w:szCs w:val="13"/>
              </w:rPr>
              <w:t>29</w:t>
            </w:r>
          </w:p>
        </w:tc>
        <w:tc>
          <w:tcPr>
            <w:tcW w:w="1418" w:type="dxa"/>
            <w:tcBorders>
              <w:top w:val="single" w:sz="4" w:space="0" w:color="0070C0"/>
              <w:left w:val="nil"/>
              <w:bottom w:val="single" w:sz="4" w:space="0" w:color="0070C0"/>
              <w:right w:val="nil"/>
            </w:tcBorders>
            <w:shd w:val="clear" w:color="auto" w:fill="auto"/>
            <w:vAlign w:val="center"/>
            <w:hideMark/>
          </w:tcPr>
          <w:p w14:paraId="38CDD657"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w:t>
            </w:r>
          </w:p>
        </w:tc>
      </w:tr>
      <w:tr w:rsidR="00454B96" w:rsidRPr="0068723D" w14:paraId="4BBFA6D9" w14:textId="77777777" w:rsidTr="007557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22C2E1F" w14:textId="77777777" w:rsidR="00055D53" w:rsidRPr="0068723D" w:rsidRDefault="00055D53" w:rsidP="00055D53">
            <w:pPr>
              <w:ind w:firstLineChars="100" w:firstLine="130"/>
              <w:rPr>
                <w:rFonts w:cs="Calibri"/>
                <w:i/>
                <w:iCs/>
                <w:color w:val="000000" w:themeColor="text1"/>
                <w:sz w:val="13"/>
                <w:szCs w:val="13"/>
              </w:rPr>
            </w:pPr>
            <w:r w:rsidRPr="0068723D">
              <w:rPr>
                <w:rFonts w:cs="Calibri"/>
                <w:i/>
                <w:iCs/>
                <w:color w:val="000000" w:themeColor="text1"/>
                <w:sz w:val="13"/>
                <w:szCs w:val="13"/>
              </w:rPr>
              <w:t>Straty aktuarialne</w:t>
            </w:r>
          </w:p>
        </w:tc>
        <w:tc>
          <w:tcPr>
            <w:tcW w:w="1418" w:type="dxa"/>
            <w:tcBorders>
              <w:top w:val="nil"/>
              <w:left w:val="single" w:sz="8" w:space="0" w:color="0070C0"/>
              <w:bottom w:val="single" w:sz="4" w:space="0" w:color="0070C0"/>
              <w:right w:val="single" w:sz="8" w:space="0" w:color="0070C0"/>
            </w:tcBorders>
            <w:shd w:val="clear" w:color="auto" w:fill="auto"/>
            <w:vAlign w:val="center"/>
          </w:tcPr>
          <w:p w14:paraId="73F20AEA" w14:textId="747D10A6" w:rsidR="00055D53" w:rsidRPr="0068723D" w:rsidRDefault="00A94364" w:rsidP="00055D53">
            <w:pPr>
              <w:jc w:val="right"/>
              <w:rPr>
                <w:rFonts w:cs="Calibri"/>
                <w:i/>
                <w:iCs/>
                <w:color w:val="000000" w:themeColor="text1"/>
                <w:sz w:val="13"/>
                <w:szCs w:val="13"/>
              </w:rPr>
            </w:pPr>
            <w:r>
              <w:rPr>
                <w:rFonts w:cs="Calibri"/>
                <w:i/>
                <w:iCs/>
                <w:color w:val="000000" w:themeColor="text1"/>
                <w:sz w:val="13"/>
                <w:szCs w:val="13"/>
              </w:rPr>
              <w:t>(2 031)</w:t>
            </w:r>
          </w:p>
        </w:tc>
        <w:tc>
          <w:tcPr>
            <w:tcW w:w="1418" w:type="dxa"/>
            <w:tcBorders>
              <w:top w:val="nil"/>
              <w:left w:val="nil"/>
              <w:bottom w:val="single" w:sz="4" w:space="0" w:color="0070C0"/>
              <w:right w:val="nil"/>
            </w:tcBorders>
            <w:shd w:val="clear" w:color="auto" w:fill="auto"/>
            <w:vAlign w:val="center"/>
            <w:hideMark/>
          </w:tcPr>
          <w:p w14:paraId="2799A0EF" w14:textId="77777777" w:rsidR="00055D53" w:rsidRPr="0068723D" w:rsidRDefault="00055D53" w:rsidP="00055D53">
            <w:pPr>
              <w:jc w:val="right"/>
              <w:rPr>
                <w:rFonts w:cs="Calibri"/>
                <w:i/>
                <w:iCs/>
                <w:color w:val="000000" w:themeColor="text1"/>
                <w:sz w:val="13"/>
                <w:szCs w:val="13"/>
              </w:rPr>
            </w:pPr>
            <w:r w:rsidRPr="0068723D">
              <w:rPr>
                <w:rFonts w:cs="Calibri"/>
                <w:i/>
                <w:iCs/>
                <w:color w:val="000000" w:themeColor="text1"/>
                <w:sz w:val="13"/>
                <w:szCs w:val="13"/>
              </w:rPr>
              <w:t>(2 548)</w:t>
            </w:r>
          </w:p>
        </w:tc>
      </w:tr>
      <w:tr w:rsidR="00454B96" w:rsidRPr="0068723D" w14:paraId="6EB4BB9E" w14:textId="77777777" w:rsidTr="007557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EAA17F1" w14:textId="77777777" w:rsidR="00055D53" w:rsidRPr="0068723D" w:rsidRDefault="00055D53" w:rsidP="00055D53">
            <w:pPr>
              <w:rPr>
                <w:rFonts w:cs="Calibri"/>
                <w:b/>
                <w:bCs/>
                <w:color w:val="000000" w:themeColor="text1"/>
                <w:sz w:val="13"/>
                <w:szCs w:val="13"/>
              </w:rPr>
            </w:pPr>
            <w:r w:rsidRPr="0068723D">
              <w:rPr>
                <w:rFonts w:cs="Calibri"/>
                <w:b/>
                <w:bCs/>
                <w:color w:val="000000" w:themeColor="text1"/>
                <w:sz w:val="13"/>
                <w:szCs w:val="13"/>
              </w:rPr>
              <w:t>Pozostałe całkowite dochody ogółem za dany rok (netto)</w:t>
            </w:r>
          </w:p>
        </w:tc>
        <w:tc>
          <w:tcPr>
            <w:tcW w:w="1418" w:type="dxa"/>
            <w:tcBorders>
              <w:top w:val="single" w:sz="8" w:space="0" w:color="0077BD"/>
              <w:left w:val="single" w:sz="8" w:space="0" w:color="0070C0"/>
              <w:bottom w:val="single" w:sz="8" w:space="0" w:color="0077BD"/>
              <w:right w:val="single" w:sz="8" w:space="0" w:color="0070C0"/>
            </w:tcBorders>
            <w:shd w:val="clear" w:color="auto" w:fill="auto"/>
            <w:vAlign w:val="center"/>
          </w:tcPr>
          <w:p w14:paraId="0E657469" w14:textId="01F66A3F" w:rsidR="00055D53" w:rsidRPr="0068723D" w:rsidRDefault="00B47291" w:rsidP="00B47291">
            <w:pPr>
              <w:jc w:val="right"/>
              <w:rPr>
                <w:rFonts w:cs="Calibri"/>
                <w:b/>
                <w:bCs/>
                <w:color w:val="000000" w:themeColor="text1"/>
                <w:sz w:val="13"/>
                <w:szCs w:val="13"/>
              </w:rPr>
            </w:pPr>
            <w:r>
              <w:rPr>
                <w:rFonts w:cs="Calibri"/>
                <w:b/>
                <w:bCs/>
                <w:color w:val="000000" w:themeColor="text1"/>
                <w:sz w:val="13"/>
                <w:szCs w:val="13"/>
              </w:rPr>
              <w:t>(</w:t>
            </w:r>
            <w:r w:rsidR="00A94364">
              <w:rPr>
                <w:rFonts w:cs="Calibri"/>
                <w:b/>
                <w:bCs/>
                <w:color w:val="000000" w:themeColor="text1"/>
                <w:sz w:val="13"/>
                <w:szCs w:val="13"/>
              </w:rPr>
              <w:t>3</w:t>
            </w:r>
            <w:r>
              <w:rPr>
                <w:rFonts w:cs="Calibri"/>
                <w:b/>
                <w:bCs/>
                <w:color w:val="000000" w:themeColor="text1"/>
                <w:sz w:val="13"/>
                <w:szCs w:val="13"/>
              </w:rPr>
              <w:t>8 128)</w:t>
            </w:r>
          </w:p>
        </w:tc>
        <w:tc>
          <w:tcPr>
            <w:tcW w:w="1418" w:type="dxa"/>
            <w:tcBorders>
              <w:top w:val="single" w:sz="8" w:space="0" w:color="0077BD"/>
              <w:left w:val="nil"/>
              <w:bottom w:val="single" w:sz="8" w:space="0" w:color="0077BD"/>
              <w:right w:val="nil"/>
            </w:tcBorders>
            <w:shd w:val="clear" w:color="auto" w:fill="auto"/>
            <w:vAlign w:val="center"/>
            <w:hideMark/>
          </w:tcPr>
          <w:p w14:paraId="652F9D5C" w14:textId="77777777" w:rsidR="00055D53" w:rsidRPr="0068723D" w:rsidRDefault="00055D53" w:rsidP="00055D53">
            <w:pPr>
              <w:jc w:val="right"/>
              <w:rPr>
                <w:rFonts w:cs="Calibri"/>
                <w:b/>
                <w:bCs/>
                <w:color w:val="000000" w:themeColor="text1"/>
                <w:sz w:val="13"/>
                <w:szCs w:val="13"/>
              </w:rPr>
            </w:pPr>
            <w:r w:rsidRPr="0068723D">
              <w:rPr>
                <w:rFonts w:cs="Calibri"/>
                <w:b/>
                <w:bCs/>
                <w:color w:val="000000" w:themeColor="text1"/>
                <w:sz w:val="13"/>
                <w:szCs w:val="13"/>
              </w:rPr>
              <w:t>109 366</w:t>
            </w:r>
          </w:p>
        </w:tc>
      </w:tr>
    </w:tbl>
    <w:p w14:paraId="4B06F4EF" w14:textId="052374CC" w:rsidR="006B3DED" w:rsidRPr="0068723D" w:rsidRDefault="006B3DED" w:rsidP="006B3DED">
      <w:pPr>
        <w:pStyle w:val="Tekstpodstawowy"/>
        <w:spacing w:before="120" w:after="0"/>
        <w:jc w:val="both"/>
        <w:rPr>
          <w:noProof/>
          <w:color w:val="000000" w:themeColor="text1"/>
        </w:rPr>
      </w:pPr>
      <w:r w:rsidRPr="00C33BF9">
        <w:rPr>
          <w:noProof/>
          <w:color w:val="000000" w:themeColor="text1"/>
          <w:sz w:val="18"/>
          <w:szCs w:val="18"/>
        </w:rPr>
        <w:lastRenderedPageBreak/>
        <w:t>W 2018 roku niezrealizowane zyski na instrumentach dłużnych ujęte w roku obrotowym w kwocie 62 966 tys. zł dotyczą głównie dodatniej wyceny dłużnych papierów wartościowych księgi bankowej, spowodowanej spadkiem stóp procentowych w ostatnim kwartale 2018 roku, będącej pochodną spadków stóp na rynkach globalnych.</w:t>
      </w:r>
    </w:p>
    <w:p w14:paraId="7E229466" w14:textId="656AD027" w:rsidR="00BC2997" w:rsidRDefault="00BC2997" w:rsidP="00BC2997">
      <w:pPr>
        <w:jc w:val="both"/>
        <w:rPr>
          <w:noProof/>
          <w:color w:val="000000" w:themeColor="text1"/>
          <w:sz w:val="18"/>
          <w:szCs w:val="18"/>
        </w:rPr>
      </w:pPr>
    </w:p>
    <w:p w14:paraId="6E84C9B3" w14:textId="77777777" w:rsidR="00CD7DEF" w:rsidRDefault="00CD7DEF" w:rsidP="00EA340B">
      <w:pPr>
        <w:pStyle w:val="Nagwek2"/>
        <w:numPr>
          <w:ilvl w:val="0"/>
          <w:numId w:val="44"/>
        </w:numPr>
        <w:suppressAutoHyphens/>
        <w:spacing w:before="0" w:after="120"/>
        <w:ind w:left="425" w:hanging="425"/>
        <w:jc w:val="both"/>
        <w:rPr>
          <w:rFonts w:cs="Tahoma"/>
          <w:bCs w:val="0"/>
          <w:iCs w:val="0"/>
          <w:color w:val="E41E0A"/>
          <w:sz w:val="18"/>
          <w:szCs w:val="18"/>
        </w:rPr>
      </w:pPr>
      <w:bookmarkStart w:id="138" w:name="_Toc32999850"/>
      <w:r>
        <w:rPr>
          <w:rFonts w:cs="Tahoma"/>
          <w:bCs w:val="0"/>
          <w:iCs w:val="0"/>
          <w:color w:val="E41E0A"/>
          <w:sz w:val="18"/>
          <w:szCs w:val="18"/>
        </w:rPr>
        <w:t>Kasa, operacje z bankiem centralnym</w:t>
      </w:r>
      <w:bookmarkEnd w:id="138"/>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AA6BAF" w:rsidRPr="00AA6BAF" w14:paraId="40AE189A" w14:textId="77777777" w:rsidTr="000570E5">
        <w:trPr>
          <w:trHeight w:val="284"/>
        </w:trPr>
        <w:tc>
          <w:tcPr>
            <w:tcW w:w="6747" w:type="dxa"/>
            <w:tcBorders>
              <w:top w:val="single" w:sz="8" w:space="0" w:color="FFFFFF"/>
              <w:left w:val="nil"/>
              <w:bottom w:val="nil"/>
              <w:right w:val="single" w:sz="8" w:space="0" w:color="FFFFFF"/>
            </w:tcBorders>
            <w:shd w:val="clear" w:color="000000" w:fill="0077BD"/>
            <w:vAlign w:val="center"/>
            <w:hideMark/>
          </w:tcPr>
          <w:p w14:paraId="7C3AED60" w14:textId="77777777" w:rsidR="00AA6BAF" w:rsidRPr="00AA6BAF" w:rsidRDefault="00AA6BAF" w:rsidP="00AA6BAF">
            <w:pPr>
              <w:rPr>
                <w:rFonts w:cs="Calibri"/>
                <w:b/>
                <w:bCs/>
                <w:color w:val="FFFFFF"/>
                <w:sz w:val="13"/>
                <w:szCs w:val="13"/>
              </w:rPr>
            </w:pPr>
            <w:r w:rsidRPr="00AA6BAF">
              <w:rPr>
                <w:rFonts w:cs="Calibri"/>
                <w:b/>
                <w:bCs/>
                <w:color w:val="FFFFFF"/>
                <w:sz w:val="13"/>
                <w:szCs w:val="13"/>
              </w:rPr>
              <w:t> </w:t>
            </w:r>
          </w:p>
        </w:tc>
        <w:tc>
          <w:tcPr>
            <w:tcW w:w="1418" w:type="dxa"/>
            <w:tcBorders>
              <w:top w:val="single" w:sz="8" w:space="0" w:color="FFFFFF"/>
              <w:left w:val="nil"/>
              <w:bottom w:val="nil"/>
              <w:right w:val="nil"/>
            </w:tcBorders>
            <w:shd w:val="clear" w:color="000000" w:fill="0077BD"/>
            <w:noWrap/>
            <w:vAlign w:val="center"/>
            <w:hideMark/>
          </w:tcPr>
          <w:p w14:paraId="7BB17541" w14:textId="77777777" w:rsidR="00AA6BAF" w:rsidRPr="00AA6BAF" w:rsidRDefault="00AA6BAF" w:rsidP="00AA6BAF">
            <w:pPr>
              <w:jc w:val="right"/>
              <w:rPr>
                <w:rFonts w:cs="Calibri"/>
                <w:b/>
                <w:bCs/>
                <w:color w:val="FFFFFF"/>
                <w:sz w:val="13"/>
                <w:szCs w:val="13"/>
              </w:rPr>
            </w:pPr>
            <w:r w:rsidRPr="00AA6BAF">
              <w:rPr>
                <w:rFonts w:cs="Calibri"/>
                <w:b/>
                <w:bCs/>
                <w:color w:val="FFFFFF"/>
                <w:sz w:val="13"/>
                <w:szCs w:val="13"/>
              </w:rPr>
              <w:t>31.12.2019</w:t>
            </w:r>
          </w:p>
        </w:tc>
        <w:tc>
          <w:tcPr>
            <w:tcW w:w="1418" w:type="dxa"/>
            <w:tcBorders>
              <w:top w:val="single" w:sz="8" w:space="0" w:color="FFFFFF"/>
              <w:left w:val="single" w:sz="8" w:space="0" w:color="FFFFFF"/>
              <w:bottom w:val="nil"/>
              <w:right w:val="nil"/>
            </w:tcBorders>
            <w:shd w:val="clear" w:color="000000" w:fill="0077BD"/>
            <w:noWrap/>
            <w:vAlign w:val="center"/>
            <w:hideMark/>
          </w:tcPr>
          <w:p w14:paraId="61EC48B4" w14:textId="77777777" w:rsidR="00AA6BAF" w:rsidRPr="00AA6BAF" w:rsidRDefault="00AA6BAF" w:rsidP="00AA6BAF">
            <w:pPr>
              <w:jc w:val="right"/>
              <w:rPr>
                <w:rFonts w:cs="Calibri"/>
                <w:b/>
                <w:bCs/>
                <w:color w:val="FFFFFF"/>
                <w:sz w:val="13"/>
                <w:szCs w:val="13"/>
              </w:rPr>
            </w:pPr>
            <w:r w:rsidRPr="00AA6BAF">
              <w:rPr>
                <w:rFonts w:cs="Calibri"/>
                <w:b/>
                <w:bCs/>
                <w:color w:val="FFFFFF"/>
                <w:sz w:val="13"/>
                <w:szCs w:val="13"/>
              </w:rPr>
              <w:t>31.12.2018</w:t>
            </w:r>
          </w:p>
        </w:tc>
      </w:tr>
      <w:tr w:rsidR="000570E5" w:rsidRPr="00454B96" w14:paraId="219FCF63" w14:textId="77777777" w:rsidTr="000D3BB8">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71F2A568" w14:textId="77777777" w:rsidR="000570E5" w:rsidRPr="00454B96" w:rsidRDefault="000570E5" w:rsidP="000570E5">
            <w:pPr>
              <w:rPr>
                <w:rFonts w:cs="Calibri"/>
                <w:sz w:val="13"/>
                <w:szCs w:val="13"/>
              </w:rPr>
            </w:pPr>
            <w:r w:rsidRPr="00454B96">
              <w:rPr>
                <w:rFonts w:cs="Calibri"/>
                <w:sz w:val="13"/>
                <w:szCs w:val="13"/>
              </w:rPr>
              <w:t>Gotówka w kasie</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04C08258" w14:textId="0753AA42" w:rsidR="000570E5" w:rsidRPr="000570E5" w:rsidRDefault="000570E5" w:rsidP="000570E5">
            <w:pPr>
              <w:jc w:val="right"/>
              <w:rPr>
                <w:rFonts w:cs="Calibri"/>
                <w:sz w:val="13"/>
                <w:szCs w:val="13"/>
              </w:rPr>
            </w:pPr>
            <w:r w:rsidRPr="000570E5">
              <w:rPr>
                <w:rFonts w:cs="Calibri"/>
                <w:sz w:val="13"/>
                <w:szCs w:val="13"/>
              </w:rPr>
              <w:t>1 271 472</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68550B4F" w14:textId="77777777" w:rsidR="000570E5" w:rsidRPr="00454B96" w:rsidRDefault="000570E5" w:rsidP="000570E5">
            <w:pPr>
              <w:jc w:val="right"/>
              <w:rPr>
                <w:rFonts w:cs="Calibri"/>
                <w:sz w:val="13"/>
                <w:szCs w:val="13"/>
              </w:rPr>
            </w:pPr>
            <w:r w:rsidRPr="00454B96">
              <w:rPr>
                <w:rFonts w:cs="Calibri"/>
                <w:sz w:val="13"/>
                <w:szCs w:val="13"/>
              </w:rPr>
              <w:t>1 724 452</w:t>
            </w:r>
          </w:p>
        </w:tc>
      </w:tr>
      <w:tr w:rsidR="000570E5" w:rsidRPr="00454B96" w14:paraId="7A98B02F"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AE3BBD8" w14:textId="77777777" w:rsidR="000570E5" w:rsidRPr="00454B96" w:rsidRDefault="000570E5" w:rsidP="000570E5">
            <w:pPr>
              <w:rPr>
                <w:rFonts w:cs="Calibri"/>
                <w:sz w:val="13"/>
                <w:szCs w:val="13"/>
              </w:rPr>
            </w:pPr>
            <w:r w:rsidRPr="00454B96">
              <w:rPr>
                <w:rFonts w:cs="Calibri"/>
                <w:sz w:val="13"/>
                <w:szCs w:val="13"/>
              </w:rPr>
              <w:t>Środki w bankach centralnych</w:t>
            </w:r>
          </w:p>
        </w:tc>
        <w:tc>
          <w:tcPr>
            <w:tcW w:w="1418" w:type="dxa"/>
            <w:tcBorders>
              <w:top w:val="nil"/>
              <w:left w:val="single" w:sz="8" w:space="0" w:color="0077BD"/>
              <w:bottom w:val="single" w:sz="4" w:space="0" w:color="0077BD"/>
              <w:right w:val="nil"/>
            </w:tcBorders>
            <w:shd w:val="clear" w:color="auto" w:fill="auto"/>
            <w:noWrap/>
            <w:vAlign w:val="center"/>
          </w:tcPr>
          <w:p w14:paraId="5DAA0DC1" w14:textId="2FB7479F" w:rsidR="000570E5" w:rsidRPr="000570E5" w:rsidRDefault="000570E5" w:rsidP="000570E5">
            <w:pPr>
              <w:jc w:val="right"/>
              <w:rPr>
                <w:rFonts w:cs="Calibri"/>
                <w:sz w:val="13"/>
                <w:szCs w:val="13"/>
              </w:rPr>
            </w:pPr>
            <w:r w:rsidRPr="000570E5">
              <w:rPr>
                <w:rFonts w:cs="Calibri"/>
                <w:sz w:val="13"/>
                <w:szCs w:val="13"/>
              </w:rPr>
              <w:t>6 625 538</w:t>
            </w:r>
          </w:p>
        </w:tc>
        <w:tc>
          <w:tcPr>
            <w:tcW w:w="1418" w:type="dxa"/>
            <w:tcBorders>
              <w:top w:val="nil"/>
              <w:left w:val="single" w:sz="8" w:space="0" w:color="0077BD"/>
              <w:bottom w:val="single" w:sz="4" w:space="0" w:color="0077BD"/>
              <w:right w:val="nil"/>
            </w:tcBorders>
            <w:shd w:val="clear" w:color="auto" w:fill="auto"/>
            <w:noWrap/>
            <w:vAlign w:val="center"/>
            <w:hideMark/>
          </w:tcPr>
          <w:p w14:paraId="5FDE9F78" w14:textId="77777777" w:rsidR="000570E5" w:rsidRPr="00454B96" w:rsidRDefault="000570E5" w:rsidP="000570E5">
            <w:pPr>
              <w:jc w:val="right"/>
              <w:rPr>
                <w:rFonts w:cs="Calibri"/>
                <w:sz w:val="13"/>
                <w:szCs w:val="13"/>
              </w:rPr>
            </w:pPr>
            <w:r w:rsidRPr="00454B96">
              <w:rPr>
                <w:rFonts w:cs="Calibri"/>
                <w:sz w:val="13"/>
                <w:szCs w:val="13"/>
              </w:rPr>
              <w:t>7 474 812</w:t>
            </w:r>
          </w:p>
        </w:tc>
      </w:tr>
      <w:tr w:rsidR="00454B96" w:rsidRPr="00454B96" w14:paraId="5E54984C" w14:textId="77777777" w:rsidTr="000D3BB8">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0F1C14F" w14:textId="77777777" w:rsidR="00AA6BAF" w:rsidRPr="00454B96" w:rsidRDefault="00AA6BAF" w:rsidP="00AA6BAF">
            <w:pPr>
              <w:rPr>
                <w:rFonts w:cs="Calibri"/>
                <w:b/>
                <w:bCs/>
                <w:sz w:val="13"/>
                <w:szCs w:val="13"/>
              </w:rPr>
            </w:pPr>
            <w:r w:rsidRPr="00454B96">
              <w:rPr>
                <w:rFonts w:cs="Calibri"/>
                <w:b/>
                <w:bCs/>
                <w:sz w:val="13"/>
                <w:szCs w:val="13"/>
              </w:rPr>
              <w:t>Kasa, operacje z bankiem centralnym, razem</w:t>
            </w:r>
          </w:p>
        </w:tc>
        <w:tc>
          <w:tcPr>
            <w:tcW w:w="1418" w:type="dxa"/>
            <w:tcBorders>
              <w:top w:val="single" w:sz="8" w:space="0" w:color="0077BD"/>
              <w:left w:val="nil"/>
              <w:bottom w:val="single" w:sz="8" w:space="0" w:color="0077BD"/>
              <w:right w:val="nil"/>
            </w:tcBorders>
            <w:shd w:val="clear" w:color="auto" w:fill="auto"/>
            <w:noWrap/>
            <w:vAlign w:val="center"/>
          </w:tcPr>
          <w:p w14:paraId="3591E36B" w14:textId="44FFFC59" w:rsidR="00AA6BAF" w:rsidRPr="00454B96" w:rsidRDefault="000570E5" w:rsidP="00AA6BAF">
            <w:pPr>
              <w:jc w:val="right"/>
              <w:rPr>
                <w:rFonts w:cs="Calibri"/>
                <w:b/>
                <w:bCs/>
                <w:sz w:val="13"/>
                <w:szCs w:val="13"/>
              </w:rPr>
            </w:pPr>
            <w:r>
              <w:rPr>
                <w:rFonts w:cs="Calibri"/>
                <w:b/>
                <w:bCs/>
                <w:sz w:val="13"/>
                <w:szCs w:val="13"/>
              </w:rPr>
              <w:t>7 897 010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8CE530B" w14:textId="77777777" w:rsidR="00AA6BAF" w:rsidRPr="00454B96" w:rsidRDefault="00AA6BAF" w:rsidP="00AA6BAF">
            <w:pPr>
              <w:jc w:val="right"/>
              <w:rPr>
                <w:rFonts w:cs="Calibri"/>
                <w:b/>
                <w:bCs/>
                <w:sz w:val="13"/>
                <w:szCs w:val="13"/>
              </w:rPr>
            </w:pPr>
            <w:r w:rsidRPr="00454B96">
              <w:rPr>
                <w:rFonts w:cs="Calibri"/>
                <w:b/>
                <w:bCs/>
                <w:sz w:val="13"/>
                <w:szCs w:val="13"/>
              </w:rPr>
              <w:t>9 199 264</w:t>
            </w:r>
          </w:p>
        </w:tc>
      </w:tr>
    </w:tbl>
    <w:p w14:paraId="137334F8" w14:textId="66A7C36D" w:rsidR="00CD7DEF" w:rsidRPr="00454B96" w:rsidRDefault="00CD7DEF" w:rsidP="00205AB5">
      <w:pPr>
        <w:pStyle w:val="Lista2"/>
        <w:suppressAutoHyphens/>
        <w:spacing w:before="120" w:after="240"/>
        <w:ind w:left="0" w:firstLine="0"/>
        <w:jc w:val="both"/>
        <w:rPr>
          <w:rFonts w:cs="Tahoma"/>
          <w:sz w:val="18"/>
          <w:szCs w:val="18"/>
        </w:rPr>
      </w:pPr>
      <w:r w:rsidRPr="00454B96">
        <w:rPr>
          <w:rFonts w:cs="Tahoma"/>
          <w:sz w:val="18"/>
          <w:szCs w:val="18"/>
        </w:rPr>
        <w:t xml:space="preserve">Na podstawie Ustawy z dnia 29 sierpnia 1997 r. o Narodowym Banku Polskim, </w:t>
      </w:r>
      <w:r w:rsidR="00D61B6C" w:rsidRPr="00454B96">
        <w:rPr>
          <w:rFonts w:cs="Tahoma"/>
          <w:sz w:val="18"/>
          <w:szCs w:val="18"/>
        </w:rPr>
        <w:t>mBank</w:t>
      </w:r>
      <w:r w:rsidR="002D44D6" w:rsidRPr="00454B96">
        <w:rPr>
          <w:rFonts w:cs="Tahoma"/>
          <w:sz w:val="18"/>
          <w:szCs w:val="18"/>
        </w:rPr>
        <w:t xml:space="preserve"> S.A.</w:t>
      </w:r>
      <w:r w:rsidR="00D61B6C" w:rsidRPr="00454B96">
        <w:rPr>
          <w:rFonts w:cs="Tahoma"/>
          <w:sz w:val="18"/>
          <w:szCs w:val="18"/>
        </w:rPr>
        <w:t xml:space="preserve"> </w:t>
      </w:r>
      <w:r w:rsidR="00DB7157" w:rsidRPr="00454B96">
        <w:rPr>
          <w:rFonts w:cs="Tahoma"/>
          <w:sz w:val="18"/>
          <w:szCs w:val="18"/>
        </w:rPr>
        <w:t>utrzymuje</w:t>
      </w:r>
      <w:r w:rsidRPr="00454B96">
        <w:rPr>
          <w:rFonts w:cs="Tahoma"/>
          <w:sz w:val="18"/>
          <w:szCs w:val="18"/>
        </w:rPr>
        <w:t xml:space="preserve"> rezerwę obowiązkową. Średnia arytmetyczna dziennych stanów środków </w:t>
      </w:r>
      <w:r w:rsidR="00D61B6C" w:rsidRPr="00454B96">
        <w:rPr>
          <w:rFonts w:cs="Tahoma"/>
          <w:sz w:val="18"/>
          <w:szCs w:val="18"/>
        </w:rPr>
        <w:t>rezerwy obowiązkowej, którą</w:t>
      </w:r>
      <w:r w:rsidR="00C77EEC">
        <w:rPr>
          <w:rFonts w:cs="Tahoma"/>
          <w:sz w:val="18"/>
          <w:szCs w:val="18"/>
        </w:rPr>
        <w:t> </w:t>
      </w:r>
      <w:r w:rsidR="00D61B6C" w:rsidRPr="00454B96">
        <w:rPr>
          <w:rFonts w:cs="Tahoma"/>
          <w:sz w:val="18"/>
          <w:szCs w:val="18"/>
        </w:rPr>
        <w:t xml:space="preserve">mBank </w:t>
      </w:r>
      <w:r w:rsidR="002D44D6" w:rsidRPr="00454B96">
        <w:rPr>
          <w:rFonts w:cs="Tahoma"/>
          <w:sz w:val="18"/>
          <w:szCs w:val="18"/>
        </w:rPr>
        <w:t>S.A</w:t>
      </w:r>
      <w:r w:rsidR="00DB7157" w:rsidRPr="00454B96">
        <w:rPr>
          <w:rFonts w:cs="Tahoma"/>
          <w:sz w:val="18"/>
          <w:szCs w:val="18"/>
        </w:rPr>
        <w:t>. zobligowany był</w:t>
      </w:r>
      <w:r w:rsidRPr="00454B96">
        <w:rPr>
          <w:rFonts w:cs="Tahoma"/>
          <w:sz w:val="18"/>
          <w:szCs w:val="18"/>
        </w:rPr>
        <w:t xml:space="preserve"> utrzymać w danym okresie na rachunkach bieżących w NBP, wynosiła:</w:t>
      </w:r>
    </w:p>
    <w:p w14:paraId="37EF5AE2" w14:textId="43E43CA8" w:rsidR="008914CD" w:rsidRPr="00DC3F47" w:rsidRDefault="00DC3F47" w:rsidP="00526DF1">
      <w:pPr>
        <w:pStyle w:val="Lista2"/>
        <w:numPr>
          <w:ilvl w:val="0"/>
          <w:numId w:val="21"/>
        </w:numPr>
        <w:tabs>
          <w:tab w:val="clear" w:pos="907"/>
          <w:tab w:val="num" w:pos="426"/>
        </w:tabs>
        <w:suppressAutoHyphens/>
        <w:spacing w:before="60"/>
        <w:ind w:hanging="907"/>
        <w:contextualSpacing w:val="0"/>
        <w:jc w:val="both"/>
        <w:rPr>
          <w:rFonts w:cs="Tahoma"/>
          <w:sz w:val="18"/>
          <w:szCs w:val="18"/>
        </w:rPr>
      </w:pPr>
      <w:r w:rsidRPr="00DC3F47">
        <w:rPr>
          <w:rFonts w:cs="Tahoma"/>
          <w:sz w:val="18"/>
          <w:szCs w:val="18"/>
        </w:rPr>
        <w:t>3 562 715</w:t>
      </w:r>
      <w:r w:rsidR="008914CD" w:rsidRPr="00DC3F47">
        <w:rPr>
          <w:rFonts w:cs="Tahoma"/>
          <w:sz w:val="18"/>
          <w:szCs w:val="18"/>
        </w:rPr>
        <w:t xml:space="preserve"> tys. </w:t>
      </w:r>
      <w:r w:rsidR="0096205A" w:rsidRPr="00DC3F47">
        <w:rPr>
          <w:rFonts w:cs="Tahoma"/>
          <w:sz w:val="18"/>
          <w:szCs w:val="18"/>
        </w:rPr>
        <w:t>zł dla okresu od 31 grudnia 2019 roku do 30 stycznia 2020</w:t>
      </w:r>
      <w:r w:rsidR="008914CD" w:rsidRPr="00DC3F47">
        <w:rPr>
          <w:rFonts w:cs="Tahoma"/>
          <w:sz w:val="18"/>
          <w:szCs w:val="18"/>
        </w:rPr>
        <w:t xml:space="preserve"> roku,</w:t>
      </w:r>
    </w:p>
    <w:p w14:paraId="43732051" w14:textId="562A282C" w:rsidR="0096205A" w:rsidRPr="00454B96" w:rsidRDefault="0096205A" w:rsidP="00526DF1">
      <w:pPr>
        <w:pStyle w:val="Lista2"/>
        <w:numPr>
          <w:ilvl w:val="0"/>
          <w:numId w:val="21"/>
        </w:numPr>
        <w:tabs>
          <w:tab w:val="clear" w:pos="907"/>
          <w:tab w:val="num" w:pos="426"/>
        </w:tabs>
        <w:suppressAutoHyphens/>
        <w:spacing w:before="60"/>
        <w:ind w:hanging="907"/>
        <w:contextualSpacing w:val="0"/>
        <w:jc w:val="both"/>
        <w:rPr>
          <w:rFonts w:cs="Tahoma"/>
          <w:sz w:val="18"/>
          <w:szCs w:val="18"/>
        </w:rPr>
      </w:pPr>
      <w:r w:rsidRPr="00454B96">
        <w:rPr>
          <w:rFonts w:cs="Tahoma"/>
          <w:sz w:val="18"/>
          <w:szCs w:val="18"/>
        </w:rPr>
        <w:t>3 129 048 tys. zł dla okresu od 31 grudnia 201</w:t>
      </w:r>
      <w:r w:rsidR="00425E0D">
        <w:rPr>
          <w:rFonts w:cs="Tahoma"/>
          <w:sz w:val="18"/>
          <w:szCs w:val="18"/>
        </w:rPr>
        <w:t>8 roku do 30 stycznia 2019 roku.</w:t>
      </w:r>
    </w:p>
    <w:p w14:paraId="5C97A2CD" w14:textId="23F03816" w:rsidR="00CD7DEF" w:rsidRPr="00454B96" w:rsidRDefault="0096205A" w:rsidP="002F0C3F">
      <w:pPr>
        <w:spacing w:before="120"/>
        <w:jc w:val="both"/>
        <w:rPr>
          <w:rFonts w:cs="Tahoma"/>
          <w:sz w:val="18"/>
          <w:szCs w:val="18"/>
        </w:rPr>
      </w:pPr>
      <w:r w:rsidRPr="00454B96">
        <w:rPr>
          <w:rFonts w:cs="Tahoma"/>
          <w:sz w:val="18"/>
          <w:szCs w:val="18"/>
        </w:rPr>
        <w:t>Na dzień 31 grudnia 2019</w:t>
      </w:r>
      <w:r w:rsidR="00CD7DEF" w:rsidRPr="00454B96">
        <w:rPr>
          <w:rFonts w:cs="Tahoma"/>
          <w:sz w:val="18"/>
          <w:szCs w:val="18"/>
        </w:rPr>
        <w:t xml:space="preserve"> roku środki rezerwy obowiązkowej w banku centralnym oprocentowane były </w:t>
      </w:r>
      <w:r w:rsidR="00CD7DEF" w:rsidRPr="00CD4E1C">
        <w:rPr>
          <w:rFonts w:cs="Tahoma"/>
          <w:sz w:val="18"/>
          <w:szCs w:val="18"/>
        </w:rPr>
        <w:t xml:space="preserve">stawką </w:t>
      </w:r>
      <w:r w:rsidR="008914CD" w:rsidRPr="00CD4E1C">
        <w:rPr>
          <w:rFonts w:cs="Tahoma"/>
          <w:sz w:val="18"/>
          <w:szCs w:val="18"/>
        </w:rPr>
        <w:t>0</w:t>
      </w:r>
      <w:r w:rsidR="002E520A" w:rsidRPr="00CD4E1C">
        <w:rPr>
          <w:rFonts w:cs="Tahoma"/>
          <w:sz w:val="18"/>
          <w:szCs w:val="18"/>
        </w:rPr>
        <w:t>,</w:t>
      </w:r>
      <w:r w:rsidR="008914CD" w:rsidRPr="00CD4E1C">
        <w:rPr>
          <w:rFonts w:cs="Tahoma"/>
          <w:sz w:val="18"/>
          <w:szCs w:val="18"/>
        </w:rPr>
        <w:t>50</w:t>
      </w:r>
      <w:r w:rsidR="00CD7DEF" w:rsidRPr="00CD4E1C">
        <w:rPr>
          <w:rFonts w:cs="Tahoma"/>
          <w:sz w:val="18"/>
          <w:szCs w:val="18"/>
        </w:rPr>
        <w:t>% (31 grudnia 201</w:t>
      </w:r>
      <w:r w:rsidRPr="00CD4E1C">
        <w:rPr>
          <w:rFonts w:cs="Tahoma"/>
          <w:sz w:val="18"/>
          <w:szCs w:val="18"/>
        </w:rPr>
        <w:t>8</w:t>
      </w:r>
      <w:r w:rsidR="00CD7DEF" w:rsidRPr="00CD4E1C">
        <w:rPr>
          <w:rFonts w:cs="Tahoma"/>
          <w:sz w:val="18"/>
          <w:szCs w:val="18"/>
        </w:rPr>
        <w:t xml:space="preserve"> - </w:t>
      </w:r>
      <w:r w:rsidRPr="00CD4E1C">
        <w:rPr>
          <w:rFonts w:cs="Tahoma"/>
          <w:sz w:val="18"/>
          <w:szCs w:val="18"/>
        </w:rPr>
        <w:t>0</w:t>
      </w:r>
      <w:r w:rsidR="00CD7DEF" w:rsidRPr="00CD4E1C">
        <w:rPr>
          <w:rFonts w:cs="Tahoma"/>
          <w:sz w:val="18"/>
          <w:szCs w:val="18"/>
        </w:rPr>
        <w:t>,</w:t>
      </w:r>
      <w:r w:rsidRPr="00CD4E1C">
        <w:rPr>
          <w:rFonts w:cs="Tahoma"/>
          <w:sz w:val="18"/>
          <w:szCs w:val="18"/>
        </w:rPr>
        <w:t>50</w:t>
      </w:r>
      <w:r w:rsidR="00CD7DEF" w:rsidRPr="00CD4E1C">
        <w:rPr>
          <w:rFonts w:cs="Tahoma"/>
          <w:sz w:val="18"/>
          <w:szCs w:val="18"/>
        </w:rPr>
        <w:t>%).</w:t>
      </w:r>
    </w:p>
    <w:p w14:paraId="404D7F32" w14:textId="77777777" w:rsidR="00E2734E" w:rsidRPr="00454B96" w:rsidRDefault="00E2734E" w:rsidP="007E328F">
      <w:pPr>
        <w:jc w:val="both"/>
        <w:rPr>
          <w:rFonts w:cs="Tahoma"/>
          <w:sz w:val="18"/>
          <w:szCs w:val="18"/>
        </w:rPr>
      </w:pPr>
    </w:p>
    <w:p w14:paraId="73FA26FE" w14:textId="6E71C931" w:rsidR="00BF0B94" w:rsidRPr="00BF0B94" w:rsidRDefault="00BF0B94"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39" w:name="_Toc32999851"/>
      <w:r w:rsidRPr="00BF0B94">
        <w:rPr>
          <w:rFonts w:cs="Tahoma"/>
          <w:bCs w:val="0"/>
          <w:iCs w:val="0"/>
          <w:color w:val="E41E0A"/>
          <w:sz w:val="18"/>
          <w:szCs w:val="18"/>
        </w:rPr>
        <w:t xml:space="preserve">Aktywa </w:t>
      </w:r>
      <w:r w:rsidR="00842CC9">
        <w:rPr>
          <w:rFonts w:cs="Tahoma"/>
          <w:bCs w:val="0"/>
          <w:iCs w:val="0"/>
          <w:color w:val="E41E0A"/>
          <w:sz w:val="18"/>
          <w:szCs w:val="18"/>
        </w:rPr>
        <w:t xml:space="preserve">i zobowiązania </w:t>
      </w:r>
      <w:r w:rsidRPr="00BF0B94">
        <w:rPr>
          <w:rFonts w:cs="Tahoma"/>
          <w:bCs w:val="0"/>
          <w:iCs w:val="0"/>
          <w:color w:val="E41E0A"/>
          <w:sz w:val="18"/>
          <w:szCs w:val="18"/>
        </w:rPr>
        <w:t>finansowe przeznaczone do obrotu oraz pochodne instrumenty zabezpieczające</w:t>
      </w:r>
      <w:bookmarkEnd w:id="139"/>
    </w:p>
    <w:p w14:paraId="0738669E" w14:textId="3A45108B" w:rsidR="00911E6A" w:rsidRPr="0068723D" w:rsidRDefault="00AF41FE" w:rsidP="00EA340B">
      <w:pPr>
        <w:spacing w:before="120" w:after="120"/>
        <w:jc w:val="both"/>
        <w:rPr>
          <w:b/>
          <w:color w:val="000000" w:themeColor="text1"/>
          <w:sz w:val="18"/>
          <w:szCs w:val="18"/>
        </w:rPr>
      </w:pPr>
      <w:r w:rsidRPr="0068723D">
        <w:rPr>
          <w:b/>
          <w:color w:val="000000" w:themeColor="text1"/>
          <w:sz w:val="18"/>
          <w:szCs w:val="18"/>
        </w:rPr>
        <w:t>A</w:t>
      </w:r>
      <w:r w:rsidR="00911E6A" w:rsidRPr="0068723D">
        <w:rPr>
          <w:b/>
          <w:color w:val="000000" w:themeColor="text1"/>
          <w:sz w:val="18"/>
          <w:szCs w:val="18"/>
        </w:rPr>
        <w:t>ktywa finansowe przeznaczone do obrotu oraz pochodne instrumenty zabezpieczające</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895BA9" w:rsidRPr="00895BA9" w14:paraId="217C1927" w14:textId="77777777" w:rsidTr="00E732B3">
        <w:trPr>
          <w:trHeight w:val="284"/>
        </w:trPr>
        <w:tc>
          <w:tcPr>
            <w:tcW w:w="6747" w:type="dxa"/>
            <w:tcBorders>
              <w:top w:val="single" w:sz="8" w:space="0" w:color="FFFFFF"/>
              <w:left w:val="nil"/>
              <w:bottom w:val="nil"/>
              <w:right w:val="single" w:sz="8" w:space="0" w:color="FFFFFF"/>
            </w:tcBorders>
            <w:shd w:val="clear" w:color="000000" w:fill="0077BD"/>
            <w:vAlign w:val="center"/>
            <w:hideMark/>
          </w:tcPr>
          <w:p w14:paraId="1B2A9122" w14:textId="77777777" w:rsidR="00895BA9" w:rsidRPr="00895BA9" w:rsidRDefault="00895BA9" w:rsidP="00895BA9">
            <w:pPr>
              <w:rPr>
                <w:rFonts w:cs="Calibri"/>
                <w:b/>
                <w:bCs/>
                <w:color w:val="FFFFFF"/>
                <w:sz w:val="13"/>
                <w:szCs w:val="13"/>
              </w:rPr>
            </w:pPr>
            <w:r w:rsidRPr="00895BA9">
              <w:rPr>
                <w:rFonts w:cs="Calibri"/>
                <w:b/>
                <w:bCs/>
                <w:color w:val="FFFFFF"/>
                <w:sz w:val="13"/>
                <w:szCs w:val="13"/>
              </w:rPr>
              <w:t> </w:t>
            </w:r>
          </w:p>
        </w:tc>
        <w:tc>
          <w:tcPr>
            <w:tcW w:w="1418" w:type="dxa"/>
            <w:tcBorders>
              <w:top w:val="single" w:sz="8" w:space="0" w:color="FFFFFF"/>
              <w:left w:val="nil"/>
              <w:bottom w:val="nil"/>
              <w:right w:val="nil"/>
            </w:tcBorders>
            <w:shd w:val="clear" w:color="000000" w:fill="0077BD"/>
            <w:noWrap/>
            <w:vAlign w:val="center"/>
            <w:hideMark/>
          </w:tcPr>
          <w:p w14:paraId="4B0E8D82" w14:textId="77777777" w:rsidR="00895BA9" w:rsidRPr="00895BA9" w:rsidRDefault="00895BA9" w:rsidP="00895BA9">
            <w:pPr>
              <w:jc w:val="right"/>
              <w:rPr>
                <w:rFonts w:cs="Calibri"/>
                <w:b/>
                <w:bCs/>
                <w:color w:val="FFFFFF"/>
                <w:sz w:val="13"/>
                <w:szCs w:val="13"/>
              </w:rPr>
            </w:pPr>
            <w:r w:rsidRPr="00895BA9">
              <w:rPr>
                <w:rFonts w:cs="Calibri"/>
                <w:b/>
                <w:bCs/>
                <w:color w:val="FFFFFF"/>
                <w:sz w:val="13"/>
                <w:szCs w:val="13"/>
              </w:rPr>
              <w:t>31.12.2019</w:t>
            </w:r>
          </w:p>
        </w:tc>
        <w:tc>
          <w:tcPr>
            <w:tcW w:w="1418" w:type="dxa"/>
            <w:tcBorders>
              <w:top w:val="single" w:sz="8" w:space="0" w:color="FFFFFF"/>
              <w:left w:val="single" w:sz="8" w:space="0" w:color="FFFFFF"/>
              <w:bottom w:val="nil"/>
              <w:right w:val="nil"/>
            </w:tcBorders>
            <w:shd w:val="clear" w:color="000000" w:fill="0077BD"/>
            <w:noWrap/>
            <w:vAlign w:val="center"/>
            <w:hideMark/>
          </w:tcPr>
          <w:p w14:paraId="08578AFF" w14:textId="77777777" w:rsidR="00895BA9" w:rsidRPr="00895BA9" w:rsidRDefault="00895BA9" w:rsidP="00895BA9">
            <w:pPr>
              <w:jc w:val="right"/>
              <w:rPr>
                <w:rFonts w:cs="Calibri"/>
                <w:b/>
                <w:bCs/>
                <w:color w:val="FFFFFF"/>
                <w:sz w:val="13"/>
                <w:szCs w:val="13"/>
              </w:rPr>
            </w:pPr>
            <w:r w:rsidRPr="00895BA9">
              <w:rPr>
                <w:rFonts w:cs="Calibri"/>
                <w:b/>
                <w:bCs/>
                <w:color w:val="FFFFFF"/>
                <w:sz w:val="13"/>
                <w:szCs w:val="13"/>
              </w:rPr>
              <w:t>31.12.2018</w:t>
            </w:r>
          </w:p>
        </w:tc>
      </w:tr>
      <w:tr w:rsidR="00FF0446" w:rsidRPr="0068723D" w14:paraId="2AEC3F95" w14:textId="77777777" w:rsidTr="000D3BB8">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30DDAFB5" w14:textId="77777777" w:rsidR="00FF0446" w:rsidRPr="0068723D" w:rsidRDefault="00FF0446" w:rsidP="00FF0446">
            <w:pPr>
              <w:rPr>
                <w:rFonts w:cs="Calibri"/>
                <w:b/>
                <w:bCs/>
                <w:color w:val="000000" w:themeColor="text1"/>
                <w:sz w:val="13"/>
                <w:szCs w:val="13"/>
              </w:rPr>
            </w:pPr>
            <w:r w:rsidRPr="0068723D">
              <w:rPr>
                <w:rFonts w:cs="Calibri"/>
                <w:b/>
                <w:bCs/>
                <w:color w:val="000000" w:themeColor="text1"/>
                <w:sz w:val="13"/>
                <w:szCs w:val="13"/>
              </w:rPr>
              <w:t>Instrumenty pochodne</w:t>
            </w:r>
          </w:p>
        </w:tc>
        <w:tc>
          <w:tcPr>
            <w:tcW w:w="1418" w:type="dxa"/>
            <w:tcBorders>
              <w:top w:val="nil"/>
              <w:left w:val="single" w:sz="8" w:space="0" w:color="0077BD"/>
              <w:bottom w:val="single" w:sz="8" w:space="0" w:color="0077BD"/>
              <w:right w:val="nil"/>
            </w:tcBorders>
            <w:shd w:val="clear" w:color="auto" w:fill="auto"/>
            <w:noWrap/>
            <w:vAlign w:val="center"/>
          </w:tcPr>
          <w:p w14:paraId="43AA719E" w14:textId="7214DE7E"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959 776</w:t>
            </w:r>
          </w:p>
        </w:tc>
        <w:tc>
          <w:tcPr>
            <w:tcW w:w="1418" w:type="dxa"/>
            <w:tcBorders>
              <w:top w:val="nil"/>
              <w:left w:val="single" w:sz="8" w:space="0" w:color="0077BD"/>
              <w:bottom w:val="single" w:sz="8" w:space="0" w:color="0077BD"/>
              <w:right w:val="nil"/>
            </w:tcBorders>
            <w:shd w:val="clear" w:color="auto" w:fill="auto"/>
            <w:noWrap/>
            <w:vAlign w:val="center"/>
            <w:hideMark/>
          </w:tcPr>
          <w:p w14:paraId="7CD5A372" w14:textId="77777777"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1 006 079</w:t>
            </w:r>
          </w:p>
        </w:tc>
      </w:tr>
      <w:tr w:rsidR="00FF0446" w:rsidRPr="0068723D" w14:paraId="72CC5BAF"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44FF1A6"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Pochodne instrumenty finansowe przeznaczone do obrotu zaklasyfikowane do księgi bankowej</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9F641D3" w14:textId="25A872C6"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138 882</w:t>
            </w:r>
          </w:p>
        </w:tc>
        <w:tc>
          <w:tcPr>
            <w:tcW w:w="1418" w:type="dxa"/>
            <w:tcBorders>
              <w:top w:val="nil"/>
              <w:left w:val="nil"/>
              <w:bottom w:val="single" w:sz="4" w:space="0" w:color="0077BD"/>
              <w:right w:val="nil"/>
            </w:tcBorders>
            <w:shd w:val="clear" w:color="auto" w:fill="auto"/>
            <w:noWrap/>
            <w:vAlign w:val="center"/>
            <w:hideMark/>
          </w:tcPr>
          <w:p w14:paraId="0748114D" w14:textId="7777777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81 480</w:t>
            </w:r>
          </w:p>
        </w:tc>
      </w:tr>
      <w:tr w:rsidR="00FF0446" w:rsidRPr="0068723D" w14:paraId="3C6C29C9"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4E648EE"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Pochodne instrumenty finansowe przeznaczone do obrotu zaklasyfikowane do księgi handlowej</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1888BC8" w14:textId="4A47D81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877 926</w:t>
            </w:r>
          </w:p>
        </w:tc>
        <w:tc>
          <w:tcPr>
            <w:tcW w:w="1418" w:type="dxa"/>
            <w:tcBorders>
              <w:top w:val="nil"/>
              <w:left w:val="nil"/>
              <w:bottom w:val="single" w:sz="4" w:space="0" w:color="0077BD"/>
              <w:right w:val="nil"/>
            </w:tcBorders>
            <w:shd w:val="clear" w:color="auto" w:fill="auto"/>
            <w:noWrap/>
            <w:vAlign w:val="center"/>
            <w:hideMark/>
          </w:tcPr>
          <w:p w14:paraId="5E674FC5" w14:textId="7777777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916 006</w:t>
            </w:r>
          </w:p>
        </w:tc>
      </w:tr>
      <w:tr w:rsidR="00FF0446" w:rsidRPr="0068723D" w14:paraId="44FDA8BB"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C8BC91B"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Pochodne instrumenty finansowe zabezpieczające wartość godziwą</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9AED66B" w14:textId="4139D31B"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230 937</w:t>
            </w:r>
          </w:p>
        </w:tc>
        <w:tc>
          <w:tcPr>
            <w:tcW w:w="1418" w:type="dxa"/>
            <w:tcBorders>
              <w:top w:val="nil"/>
              <w:left w:val="nil"/>
              <w:bottom w:val="single" w:sz="4" w:space="0" w:color="0077BD"/>
              <w:right w:val="nil"/>
            </w:tcBorders>
            <w:shd w:val="clear" w:color="auto" w:fill="auto"/>
            <w:noWrap/>
            <w:vAlign w:val="center"/>
            <w:hideMark/>
          </w:tcPr>
          <w:p w14:paraId="036496E6" w14:textId="7777777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175 649</w:t>
            </w:r>
          </w:p>
        </w:tc>
      </w:tr>
      <w:tr w:rsidR="00FF0446" w:rsidRPr="0068723D" w14:paraId="4CEA28C1"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23EEA18"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Pochodne instrumenty finansowe zabezpieczające przepływy pieniężne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2A78497" w14:textId="62648A19"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273 282</w:t>
            </w:r>
          </w:p>
        </w:tc>
        <w:tc>
          <w:tcPr>
            <w:tcW w:w="1418" w:type="dxa"/>
            <w:tcBorders>
              <w:top w:val="nil"/>
              <w:left w:val="nil"/>
              <w:bottom w:val="single" w:sz="4" w:space="0" w:color="0077BD"/>
              <w:right w:val="nil"/>
            </w:tcBorders>
            <w:shd w:val="clear" w:color="auto" w:fill="auto"/>
            <w:noWrap/>
            <w:vAlign w:val="center"/>
            <w:hideMark/>
          </w:tcPr>
          <w:p w14:paraId="7F9687F1" w14:textId="7777777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196 668</w:t>
            </w:r>
          </w:p>
        </w:tc>
      </w:tr>
      <w:tr w:rsidR="00FF0446" w:rsidRPr="0068723D" w14:paraId="35D18B78" w14:textId="77777777" w:rsidTr="000D3BB8">
        <w:trPr>
          <w:trHeight w:val="255"/>
        </w:trPr>
        <w:tc>
          <w:tcPr>
            <w:tcW w:w="6747" w:type="dxa"/>
            <w:tcBorders>
              <w:top w:val="nil"/>
              <w:left w:val="nil"/>
              <w:bottom w:val="nil"/>
              <w:right w:val="single" w:sz="8" w:space="0" w:color="0077BD"/>
            </w:tcBorders>
            <w:shd w:val="clear" w:color="auto" w:fill="auto"/>
            <w:vAlign w:val="center"/>
            <w:hideMark/>
          </w:tcPr>
          <w:p w14:paraId="4E2A45DC"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Efekt kompensowania</w:t>
            </w:r>
          </w:p>
        </w:tc>
        <w:tc>
          <w:tcPr>
            <w:tcW w:w="1418" w:type="dxa"/>
            <w:tcBorders>
              <w:top w:val="nil"/>
              <w:left w:val="single" w:sz="8" w:space="0" w:color="0077BD"/>
              <w:bottom w:val="nil"/>
              <w:right w:val="single" w:sz="8" w:space="0" w:color="0077BD"/>
            </w:tcBorders>
            <w:shd w:val="clear" w:color="auto" w:fill="auto"/>
            <w:noWrap/>
            <w:vAlign w:val="center"/>
          </w:tcPr>
          <w:p w14:paraId="46C6E948" w14:textId="4612D260"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(561 251)</w:t>
            </w:r>
          </w:p>
        </w:tc>
        <w:tc>
          <w:tcPr>
            <w:tcW w:w="1418" w:type="dxa"/>
            <w:tcBorders>
              <w:top w:val="nil"/>
              <w:left w:val="nil"/>
              <w:bottom w:val="nil"/>
              <w:right w:val="nil"/>
            </w:tcBorders>
            <w:shd w:val="clear" w:color="auto" w:fill="auto"/>
            <w:noWrap/>
            <w:vAlign w:val="center"/>
            <w:hideMark/>
          </w:tcPr>
          <w:p w14:paraId="57F03942" w14:textId="7777777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(363 724)</w:t>
            </w:r>
          </w:p>
        </w:tc>
      </w:tr>
      <w:tr w:rsidR="00FF0446" w:rsidRPr="0068723D" w14:paraId="19E16103" w14:textId="77777777" w:rsidTr="000D3BB8">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9CF0C8E" w14:textId="77777777" w:rsidR="00FF0446" w:rsidRPr="0068723D" w:rsidRDefault="00FF0446" w:rsidP="00FF0446">
            <w:pPr>
              <w:rPr>
                <w:rFonts w:cs="Calibri"/>
                <w:b/>
                <w:bCs/>
                <w:color w:val="000000" w:themeColor="text1"/>
                <w:sz w:val="13"/>
                <w:szCs w:val="13"/>
              </w:rPr>
            </w:pPr>
            <w:r w:rsidRPr="0068723D">
              <w:rPr>
                <w:rFonts w:cs="Calibri"/>
                <w:b/>
                <w:bCs/>
                <w:color w:val="000000" w:themeColor="text1"/>
                <w:sz w:val="13"/>
                <w:szCs w:val="13"/>
              </w:rPr>
              <w:t>Dłużne papiery wartościowe</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72186A4" w14:textId="57154933"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1 733 569</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C37205C" w14:textId="71AB2B7E"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1 085 496</w:t>
            </w:r>
          </w:p>
        </w:tc>
      </w:tr>
      <w:tr w:rsidR="00FF0446" w:rsidRPr="0068723D" w14:paraId="0F7AA105"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33170C0"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Sektor instytucji rządowych i samorządowych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ABF4A80" w14:textId="7B0089AE"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1 330 541</w:t>
            </w:r>
          </w:p>
        </w:tc>
        <w:tc>
          <w:tcPr>
            <w:tcW w:w="1418" w:type="dxa"/>
            <w:tcBorders>
              <w:top w:val="nil"/>
              <w:left w:val="single" w:sz="8" w:space="0" w:color="0077BD"/>
              <w:bottom w:val="single" w:sz="4" w:space="0" w:color="0077BD"/>
              <w:right w:val="nil"/>
            </w:tcBorders>
            <w:shd w:val="clear" w:color="auto" w:fill="auto"/>
            <w:noWrap/>
            <w:vAlign w:val="center"/>
            <w:hideMark/>
          </w:tcPr>
          <w:p w14:paraId="6799B9D2" w14:textId="7B104907"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778 733</w:t>
            </w:r>
          </w:p>
        </w:tc>
      </w:tr>
      <w:tr w:rsidR="00FF0446" w:rsidRPr="0068723D" w14:paraId="50169999"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E7FF203" w14:textId="77777777" w:rsidR="00FF0446" w:rsidRPr="0068723D" w:rsidRDefault="00FF0446" w:rsidP="00FF0446">
            <w:pPr>
              <w:ind w:firstLineChars="200" w:firstLine="260"/>
              <w:rPr>
                <w:rFonts w:cs="Calibri"/>
                <w:i/>
                <w:iCs/>
                <w:color w:val="000000" w:themeColor="text1"/>
                <w:sz w:val="13"/>
                <w:szCs w:val="13"/>
              </w:rPr>
            </w:pPr>
            <w:r w:rsidRPr="0068723D">
              <w:rPr>
                <w:rFonts w:cs="Calibri"/>
                <w:i/>
                <w:iCs/>
                <w:color w:val="000000" w:themeColor="text1"/>
                <w:sz w:val="13"/>
                <w:szCs w:val="13"/>
              </w:rPr>
              <w:t>zastawione papiery wartościowe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D745BF2" w14:textId="4C9A9D14" w:rsidR="00FF0446" w:rsidRPr="0068723D" w:rsidRDefault="007C3554" w:rsidP="00FF0446">
            <w:pPr>
              <w:jc w:val="right"/>
              <w:rPr>
                <w:rFonts w:cs="Calibri"/>
                <w:i/>
                <w:iCs/>
                <w:color w:val="000000" w:themeColor="text1"/>
                <w:sz w:val="13"/>
                <w:szCs w:val="13"/>
              </w:rPr>
            </w:pPr>
            <w:r w:rsidRPr="0068723D">
              <w:rPr>
                <w:rFonts w:cs="Calibri"/>
                <w:i/>
                <w:iCs/>
                <w:color w:val="000000" w:themeColor="text1"/>
                <w:sz w:val="13"/>
                <w:szCs w:val="13"/>
              </w:rPr>
              <w:t>162 038</w:t>
            </w:r>
          </w:p>
        </w:tc>
        <w:tc>
          <w:tcPr>
            <w:tcW w:w="1418" w:type="dxa"/>
            <w:tcBorders>
              <w:top w:val="nil"/>
              <w:left w:val="single" w:sz="8" w:space="0" w:color="0077BD"/>
              <w:bottom w:val="single" w:sz="4" w:space="0" w:color="0077BD"/>
              <w:right w:val="nil"/>
            </w:tcBorders>
            <w:shd w:val="clear" w:color="auto" w:fill="auto"/>
            <w:noWrap/>
            <w:vAlign w:val="center"/>
            <w:hideMark/>
          </w:tcPr>
          <w:p w14:paraId="33F81A52" w14:textId="1FD45411" w:rsidR="00FF0446" w:rsidRPr="0068723D" w:rsidRDefault="00FF0446" w:rsidP="00FF0446">
            <w:pPr>
              <w:jc w:val="right"/>
              <w:rPr>
                <w:rFonts w:cs="Calibri"/>
                <w:i/>
                <w:iCs/>
                <w:color w:val="000000" w:themeColor="text1"/>
                <w:sz w:val="13"/>
                <w:szCs w:val="13"/>
              </w:rPr>
            </w:pPr>
            <w:r w:rsidRPr="0068723D">
              <w:rPr>
                <w:rFonts w:cs="Calibri"/>
                <w:i/>
                <w:iCs/>
                <w:color w:val="000000" w:themeColor="text1"/>
                <w:sz w:val="13"/>
                <w:szCs w:val="13"/>
              </w:rPr>
              <w:t>538 345</w:t>
            </w:r>
          </w:p>
        </w:tc>
      </w:tr>
      <w:tr w:rsidR="00FF0446" w:rsidRPr="0068723D" w14:paraId="14E4D4B3"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E0F6C4F"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Instytucje kredytowe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0BAD17E" w14:textId="74638FAB"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170 953</w:t>
            </w:r>
          </w:p>
        </w:tc>
        <w:tc>
          <w:tcPr>
            <w:tcW w:w="1418" w:type="dxa"/>
            <w:tcBorders>
              <w:top w:val="nil"/>
              <w:left w:val="single" w:sz="8" w:space="0" w:color="0077BD"/>
              <w:bottom w:val="single" w:sz="4" w:space="0" w:color="0077BD"/>
              <w:right w:val="nil"/>
            </w:tcBorders>
            <w:shd w:val="clear" w:color="auto" w:fill="auto"/>
            <w:noWrap/>
            <w:vAlign w:val="center"/>
            <w:hideMark/>
          </w:tcPr>
          <w:p w14:paraId="1A038A7E" w14:textId="21AC2DD9"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166 305</w:t>
            </w:r>
          </w:p>
        </w:tc>
      </w:tr>
      <w:tr w:rsidR="00FF0446" w:rsidRPr="0068723D" w14:paraId="23F56121"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9C09C9A"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Inne instytucje finansowe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D44794D" w14:textId="2A8B8F0E"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122 429</w:t>
            </w:r>
          </w:p>
        </w:tc>
        <w:tc>
          <w:tcPr>
            <w:tcW w:w="1418" w:type="dxa"/>
            <w:tcBorders>
              <w:top w:val="nil"/>
              <w:left w:val="single" w:sz="8" w:space="0" w:color="0077BD"/>
              <w:bottom w:val="single" w:sz="4" w:space="0" w:color="0077BD"/>
              <w:right w:val="nil"/>
            </w:tcBorders>
            <w:shd w:val="clear" w:color="auto" w:fill="auto"/>
            <w:noWrap/>
            <w:vAlign w:val="center"/>
            <w:hideMark/>
          </w:tcPr>
          <w:p w14:paraId="26EE6DC2" w14:textId="5232AA61"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72 626</w:t>
            </w:r>
          </w:p>
        </w:tc>
      </w:tr>
      <w:tr w:rsidR="00FF0446" w:rsidRPr="0068723D" w14:paraId="2D93659A"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79BE491"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Przedsiębiorstwa niefinansowe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29C3D48" w14:textId="46FBD058"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109 646</w:t>
            </w:r>
          </w:p>
        </w:tc>
        <w:tc>
          <w:tcPr>
            <w:tcW w:w="1418" w:type="dxa"/>
            <w:tcBorders>
              <w:top w:val="nil"/>
              <w:left w:val="single" w:sz="8" w:space="0" w:color="0077BD"/>
              <w:bottom w:val="single" w:sz="4" w:space="0" w:color="0077BD"/>
              <w:right w:val="nil"/>
            </w:tcBorders>
            <w:shd w:val="clear" w:color="auto" w:fill="auto"/>
            <w:noWrap/>
            <w:vAlign w:val="center"/>
            <w:hideMark/>
          </w:tcPr>
          <w:p w14:paraId="4EE7CC3F" w14:textId="4B2C6B61"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67 832</w:t>
            </w:r>
          </w:p>
        </w:tc>
      </w:tr>
      <w:tr w:rsidR="00FF0446" w:rsidRPr="0068723D" w14:paraId="64D36403" w14:textId="77777777" w:rsidTr="000D3BB8">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AADA130" w14:textId="77777777" w:rsidR="00FF0446" w:rsidRPr="0068723D" w:rsidRDefault="00FF0446" w:rsidP="00FF0446">
            <w:pPr>
              <w:rPr>
                <w:rFonts w:cs="Calibri"/>
                <w:b/>
                <w:bCs/>
                <w:color w:val="000000" w:themeColor="text1"/>
                <w:sz w:val="13"/>
                <w:szCs w:val="13"/>
              </w:rPr>
            </w:pPr>
            <w:r w:rsidRPr="0068723D">
              <w:rPr>
                <w:rFonts w:cs="Calibri"/>
                <w:b/>
                <w:bCs/>
                <w:color w:val="000000" w:themeColor="text1"/>
                <w:sz w:val="13"/>
                <w:szCs w:val="13"/>
              </w:rPr>
              <w:t>Kredyty i pożyczki</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420D528E" w14:textId="4574AC04"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172 689</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424DA32" w14:textId="299C9610"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43 166</w:t>
            </w:r>
          </w:p>
        </w:tc>
      </w:tr>
      <w:tr w:rsidR="00FF0446" w:rsidRPr="0068723D" w14:paraId="2CE34B8E"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9B2F25E" w14:textId="77777777" w:rsidR="00FF0446" w:rsidRPr="0068723D" w:rsidRDefault="00FF0446" w:rsidP="00FF0446">
            <w:pPr>
              <w:rPr>
                <w:rFonts w:cs="Calibri"/>
                <w:color w:val="000000" w:themeColor="text1"/>
                <w:sz w:val="13"/>
                <w:szCs w:val="13"/>
              </w:rPr>
            </w:pPr>
            <w:r w:rsidRPr="0068723D">
              <w:rPr>
                <w:rFonts w:cs="Calibri"/>
                <w:color w:val="000000" w:themeColor="text1"/>
                <w:sz w:val="13"/>
                <w:szCs w:val="13"/>
              </w:rPr>
              <w:t>- Klienci korporacyjni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108C409" w14:textId="6D36A6D4"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172 689</w:t>
            </w:r>
          </w:p>
        </w:tc>
        <w:tc>
          <w:tcPr>
            <w:tcW w:w="1418" w:type="dxa"/>
            <w:tcBorders>
              <w:top w:val="nil"/>
              <w:left w:val="single" w:sz="8" w:space="0" w:color="0077BD"/>
              <w:bottom w:val="single" w:sz="4" w:space="0" w:color="0077BD"/>
              <w:right w:val="nil"/>
            </w:tcBorders>
            <w:shd w:val="clear" w:color="auto" w:fill="auto"/>
            <w:noWrap/>
            <w:vAlign w:val="center"/>
            <w:hideMark/>
          </w:tcPr>
          <w:p w14:paraId="68555679" w14:textId="6F7133DE" w:rsidR="00FF0446" w:rsidRPr="0068723D" w:rsidRDefault="00FF0446" w:rsidP="00FF0446">
            <w:pPr>
              <w:jc w:val="right"/>
              <w:rPr>
                <w:rFonts w:cs="Calibri"/>
                <w:color w:val="000000" w:themeColor="text1"/>
                <w:sz w:val="13"/>
                <w:szCs w:val="13"/>
              </w:rPr>
            </w:pPr>
            <w:r w:rsidRPr="0068723D">
              <w:rPr>
                <w:rFonts w:cs="Calibri"/>
                <w:color w:val="000000" w:themeColor="text1"/>
                <w:sz w:val="13"/>
                <w:szCs w:val="13"/>
              </w:rPr>
              <w:t>43 166</w:t>
            </w:r>
          </w:p>
        </w:tc>
      </w:tr>
      <w:tr w:rsidR="00FF0446" w:rsidRPr="0068723D" w14:paraId="3BA2FBCF" w14:textId="77777777" w:rsidTr="00CA5E84">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57E37B0" w14:textId="77777777" w:rsidR="00FF0446" w:rsidRPr="0068723D" w:rsidRDefault="00FF0446" w:rsidP="00FF0446">
            <w:pPr>
              <w:rPr>
                <w:rFonts w:cs="Calibri"/>
                <w:b/>
                <w:bCs/>
                <w:color w:val="000000" w:themeColor="text1"/>
                <w:sz w:val="13"/>
                <w:szCs w:val="13"/>
              </w:rPr>
            </w:pPr>
            <w:r w:rsidRPr="0068723D">
              <w:rPr>
                <w:rFonts w:cs="Calibri"/>
                <w:b/>
                <w:bCs/>
                <w:color w:val="000000" w:themeColor="text1"/>
                <w:sz w:val="13"/>
                <w:szCs w:val="13"/>
              </w:rPr>
              <w:t>Aktywa finansowe przeznaczone do obrotu oraz pochodne instrumenty zabezpieczające,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362B51C6" w14:textId="12749870"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2 866 034</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6ECF5EB" w14:textId="7DAEE3EB" w:rsidR="00FF0446" w:rsidRPr="0068723D" w:rsidRDefault="00FF0446" w:rsidP="00FF0446">
            <w:pPr>
              <w:jc w:val="right"/>
              <w:rPr>
                <w:rFonts w:cs="Calibri"/>
                <w:b/>
                <w:bCs/>
                <w:color w:val="000000" w:themeColor="text1"/>
                <w:sz w:val="13"/>
                <w:szCs w:val="13"/>
              </w:rPr>
            </w:pPr>
            <w:r w:rsidRPr="0068723D">
              <w:rPr>
                <w:rFonts w:cs="Calibri"/>
                <w:b/>
                <w:bCs/>
                <w:color w:val="000000" w:themeColor="text1"/>
                <w:sz w:val="13"/>
                <w:szCs w:val="13"/>
              </w:rPr>
              <w:t>2 134 741</w:t>
            </w:r>
          </w:p>
        </w:tc>
      </w:tr>
    </w:tbl>
    <w:p w14:paraId="1C3B542D" w14:textId="00C0786A" w:rsidR="00731505" w:rsidRDefault="00B244D7" w:rsidP="00B244D7">
      <w:pPr>
        <w:spacing w:before="120"/>
        <w:jc w:val="both"/>
        <w:rPr>
          <w:rFonts w:cs="Tahoma"/>
          <w:color w:val="000000" w:themeColor="text1"/>
          <w:sz w:val="18"/>
          <w:szCs w:val="18"/>
        </w:rPr>
      </w:pPr>
      <w:r w:rsidRPr="0068723D">
        <w:rPr>
          <w:rFonts w:cs="Tahoma"/>
          <w:color w:val="000000" w:themeColor="text1"/>
          <w:sz w:val="18"/>
          <w:szCs w:val="18"/>
        </w:rPr>
        <w:t>Dłużne papiery wartościowe przeznaczone do obrotu obejmują papiery wartościowe stanowiące poręczenie umów odkupu zawarty</w:t>
      </w:r>
      <w:r w:rsidR="00413EB0">
        <w:rPr>
          <w:rFonts w:cs="Tahoma"/>
          <w:color w:val="000000" w:themeColor="text1"/>
          <w:sz w:val="18"/>
          <w:szCs w:val="18"/>
        </w:rPr>
        <w:t>ch z klientami (transakcje sell/</w:t>
      </w:r>
      <w:r w:rsidRPr="0068723D">
        <w:rPr>
          <w:rFonts w:cs="Tahoma"/>
          <w:color w:val="000000" w:themeColor="text1"/>
          <w:sz w:val="18"/>
          <w:szCs w:val="18"/>
        </w:rPr>
        <w:t xml:space="preserve">buy back), których wartość rynkowa na dzień </w:t>
      </w:r>
      <w:r w:rsidR="00895BA9" w:rsidRPr="0068723D">
        <w:rPr>
          <w:rFonts w:cs="Tahoma"/>
          <w:color w:val="000000" w:themeColor="text1"/>
          <w:sz w:val="18"/>
          <w:szCs w:val="18"/>
        </w:rPr>
        <w:t>31 grudnia 2019</w:t>
      </w:r>
      <w:r w:rsidRPr="0068723D">
        <w:rPr>
          <w:rFonts w:cs="Tahoma"/>
          <w:color w:val="000000" w:themeColor="text1"/>
          <w:sz w:val="18"/>
          <w:szCs w:val="18"/>
        </w:rPr>
        <w:t xml:space="preserve"> roku wynosiła </w:t>
      </w:r>
      <w:r w:rsidR="00070500">
        <w:rPr>
          <w:rFonts w:cs="Tahoma"/>
          <w:color w:val="000000" w:themeColor="text1"/>
          <w:sz w:val="18"/>
          <w:szCs w:val="18"/>
        </w:rPr>
        <w:t>162</w:t>
      </w:r>
      <w:r w:rsidR="003E1E73" w:rsidRPr="0068723D">
        <w:rPr>
          <w:rFonts w:cs="Tahoma"/>
          <w:color w:val="000000" w:themeColor="text1"/>
          <w:sz w:val="18"/>
          <w:szCs w:val="18"/>
        </w:rPr>
        <w:t> </w:t>
      </w:r>
      <w:r w:rsidR="00B40F1F" w:rsidRPr="0068723D">
        <w:rPr>
          <w:rFonts w:cs="Tahoma"/>
          <w:color w:val="000000" w:themeColor="text1"/>
          <w:sz w:val="18"/>
          <w:szCs w:val="18"/>
        </w:rPr>
        <w:t>038</w:t>
      </w:r>
      <w:r w:rsidR="00895BA9" w:rsidRPr="0068723D">
        <w:rPr>
          <w:rFonts w:cs="Tahoma"/>
          <w:color w:val="000000" w:themeColor="text1"/>
          <w:sz w:val="18"/>
          <w:szCs w:val="18"/>
        </w:rPr>
        <w:t xml:space="preserve"> tys. zł (31 grudnia 2018 r.</w:t>
      </w:r>
      <w:r w:rsidR="00425E0D">
        <w:rPr>
          <w:rFonts w:cs="Tahoma"/>
          <w:color w:val="000000" w:themeColor="text1"/>
          <w:sz w:val="18"/>
          <w:szCs w:val="18"/>
        </w:rPr>
        <w:t>:</w:t>
      </w:r>
      <w:r w:rsidR="00895BA9" w:rsidRPr="0068723D">
        <w:rPr>
          <w:rFonts w:cs="Tahoma"/>
          <w:color w:val="000000" w:themeColor="text1"/>
          <w:sz w:val="18"/>
          <w:szCs w:val="18"/>
        </w:rPr>
        <w:t xml:space="preserve"> 538</w:t>
      </w:r>
      <w:r w:rsidRPr="0068723D">
        <w:rPr>
          <w:rFonts w:cs="Tahoma"/>
          <w:color w:val="000000" w:themeColor="text1"/>
          <w:sz w:val="18"/>
          <w:szCs w:val="18"/>
        </w:rPr>
        <w:t> </w:t>
      </w:r>
      <w:r w:rsidR="00895BA9" w:rsidRPr="0068723D">
        <w:rPr>
          <w:rFonts w:cs="Tahoma"/>
          <w:color w:val="000000" w:themeColor="text1"/>
          <w:sz w:val="18"/>
          <w:szCs w:val="18"/>
        </w:rPr>
        <w:t>345</w:t>
      </w:r>
      <w:r w:rsidRPr="0068723D">
        <w:rPr>
          <w:rFonts w:cs="Tahoma"/>
          <w:color w:val="000000" w:themeColor="text1"/>
          <w:sz w:val="18"/>
          <w:szCs w:val="18"/>
        </w:rPr>
        <w:t xml:space="preserve"> tys. zł).</w:t>
      </w:r>
    </w:p>
    <w:p w14:paraId="70EA3032" w14:textId="528E0D98" w:rsidR="00D7253D" w:rsidRPr="0068723D" w:rsidRDefault="00D7253D" w:rsidP="002F0C3F">
      <w:pPr>
        <w:spacing w:before="120" w:after="120"/>
        <w:jc w:val="both"/>
        <w:rPr>
          <w:rFonts w:cs="Tahoma"/>
          <w:b/>
          <w:color w:val="000000" w:themeColor="text1"/>
          <w:sz w:val="18"/>
          <w:szCs w:val="18"/>
        </w:rPr>
      </w:pPr>
      <w:r w:rsidRPr="0068723D">
        <w:rPr>
          <w:rFonts w:cs="Tahoma"/>
          <w:b/>
          <w:color w:val="000000" w:themeColor="text1"/>
          <w:sz w:val="18"/>
          <w:szCs w:val="18"/>
        </w:rPr>
        <w:t>Zobowiązania finansowe przeznaczone do obrotu oraz pochodne instrumenty zabezpieczające</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F00F5E" w:rsidRPr="00F00F5E" w14:paraId="1D22B57A" w14:textId="77777777" w:rsidTr="00102675">
        <w:trPr>
          <w:trHeight w:val="284"/>
        </w:trPr>
        <w:tc>
          <w:tcPr>
            <w:tcW w:w="6747" w:type="dxa"/>
            <w:tcBorders>
              <w:left w:val="nil"/>
              <w:bottom w:val="nil"/>
              <w:right w:val="single" w:sz="8" w:space="0" w:color="FFFFFF"/>
            </w:tcBorders>
            <w:shd w:val="clear" w:color="000000" w:fill="0077BD"/>
            <w:vAlign w:val="center"/>
            <w:hideMark/>
          </w:tcPr>
          <w:p w14:paraId="37BA4F63" w14:textId="77777777" w:rsidR="00F00F5E" w:rsidRPr="00F00F5E" w:rsidRDefault="00F00F5E" w:rsidP="00F00F5E">
            <w:pPr>
              <w:rPr>
                <w:rFonts w:cs="Calibri"/>
                <w:b/>
                <w:bCs/>
                <w:color w:val="FFFFFF"/>
                <w:sz w:val="13"/>
                <w:szCs w:val="13"/>
              </w:rPr>
            </w:pPr>
            <w:r w:rsidRPr="00F00F5E">
              <w:rPr>
                <w:rFonts w:cs="Calibri"/>
                <w:b/>
                <w:bCs/>
                <w:color w:val="FFFFFF"/>
                <w:sz w:val="13"/>
                <w:szCs w:val="13"/>
              </w:rPr>
              <w:t> </w:t>
            </w:r>
          </w:p>
        </w:tc>
        <w:tc>
          <w:tcPr>
            <w:tcW w:w="1418" w:type="dxa"/>
            <w:tcBorders>
              <w:top w:val="nil"/>
              <w:left w:val="nil"/>
              <w:bottom w:val="nil"/>
              <w:right w:val="nil"/>
            </w:tcBorders>
            <w:shd w:val="clear" w:color="000000" w:fill="0077BD"/>
            <w:noWrap/>
            <w:vAlign w:val="center"/>
            <w:hideMark/>
          </w:tcPr>
          <w:p w14:paraId="01845CBD" w14:textId="77777777" w:rsidR="00F00F5E" w:rsidRPr="00F00F5E" w:rsidRDefault="00F00F5E" w:rsidP="00F00F5E">
            <w:pPr>
              <w:jc w:val="right"/>
              <w:rPr>
                <w:rFonts w:cs="Calibri"/>
                <w:b/>
                <w:bCs/>
                <w:color w:val="FFFFFF"/>
                <w:sz w:val="13"/>
                <w:szCs w:val="13"/>
              </w:rPr>
            </w:pPr>
            <w:r w:rsidRPr="00F00F5E">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4DE674FC" w14:textId="77777777" w:rsidR="00F00F5E" w:rsidRPr="00F00F5E" w:rsidRDefault="00F00F5E" w:rsidP="00F00F5E">
            <w:pPr>
              <w:jc w:val="right"/>
              <w:rPr>
                <w:rFonts w:cs="Calibri"/>
                <w:b/>
                <w:bCs/>
                <w:color w:val="FFFFFF"/>
                <w:sz w:val="13"/>
                <w:szCs w:val="13"/>
              </w:rPr>
            </w:pPr>
            <w:r w:rsidRPr="00F00F5E">
              <w:rPr>
                <w:rFonts w:cs="Calibri"/>
                <w:b/>
                <w:bCs/>
                <w:color w:val="FFFFFF"/>
                <w:sz w:val="13"/>
                <w:szCs w:val="13"/>
              </w:rPr>
              <w:t>31.12.2018</w:t>
            </w:r>
          </w:p>
        </w:tc>
      </w:tr>
      <w:tr w:rsidR="00B40F1F" w:rsidRPr="0068723D" w14:paraId="661930DF" w14:textId="77777777" w:rsidTr="000D3BB8">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5798C4AA"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Instrumenty pochodne, w tym:</w:t>
            </w:r>
          </w:p>
        </w:tc>
        <w:tc>
          <w:tcPr>
            <w:tcW w:w="1418" w:type="dxa"/>
            <w:tcBorders>
              <w:top w:val="nil"/>
              <w:left w:val="single" w:sz="8" w:space="0" w:color="0077BD"/>
              <w:bottom w:val="single" w:sz="8" w:space="0" w:color="0077BD"/>
              <w:right w:val="nil"/>
            </w:tcBorders>
            <w:shd w:val="clear" w:color="auto" w:fill="auto"/>
            <w:noWrap/>
            <w:vAlign w:val="center"/>
          </w:tcPr>
          <w:p w14:paraId="1ABD8234" w14:textId="21F318C9"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948 764</w:t>
            </w:r>
          </w:p>
        </w:tc>
        <w:tc>
          <w:tcPr>
            <w:tcW w:w="1418" w:type="dxa"/>
            <w:tcBorders>
              <w:top w:val="nil"/>
              <w:left w:val="single" w:sz="8" w:space="0" w:color="0077BD"/>
              <w:bottom w:val="single" w:sz="8" w:space="0" w:color="0077BD"/>
              <w:right w:val="nil"/>
            </w:tcBorders>
            <w:shd w:val="clear" w:color="auto" w:fill="auto"/>
            <w:noWrap/>
            <w:vAlign w:val="center"/>
            <w:hideMark/>
          </w:tcPr>
          <w:p w14:paraId="7338D390"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981 117</w:t>
            </w:r>
          </w:p>
        </w:tc>
      </w:tr>
      <w:tr w:rsidR="00B40F1F" w:rsidRPr="0068723D" w14:paraId="0A74DB59"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F74DB10"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 Pochodne instrumenty finansowe przeznaczone do obrotu zaklasyfikowane do księgi bankowej</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104DEE9" w14:textId="060A95AA"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104 161</w:t>
            </w:r>
          </w:p>
        </w:tc>
        <w:tc>
          <w:tcPr>
            <w:tcW w:w="1418" w:type="dxa"/>
            <w:tcBorders>
              <w:top w:val="nil"/>
              <w:left w:val="nil"/>
              <w:bottom w:val="single" w:sz="4" w:space="0" w:color="0077BD"/>
              <w:right w:val="nil"/>
            </w:tcBorders>
            <w:shd w:val="clear" w:color="auto" w:fill="auto"/>
            <w:noWrap/>
            <w:vAlign w:val="center"/>
            <w:hideMark/>
          </w:tcPr>
          <w:p w14:paraId="62E87246"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74 986</w:t>
            </w:r>
          </w:p>
        </w:tc>
      </w:tr>
      <w:tr w:rsidR="00B40F1F" w:rsidRPr="0068723D" w14:paraId="692D9F70"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00F98BC"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 Pochodne instrumenty finansowe przeznaczone do obrotu zaklasyfikowane do księgi handlowej</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1632F00" w14:textId="5F1C488A"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957 386</w:t>
            </w:r>
          </w:p>
        </w:tc>
        <w:tc>
          <w:tcPr>
            <w:tcW w:w="1418" w:type="dxa"/>
            <w:tcBorders>
              <w:top w:val="nil"/>
              <w:left w:val="nil"/>
              <w:bottom w:val="single" w:sz="4" w:space="0" w:color="0077BD"/>
              <w:right w:val="nil"/>
            </w:tcBorders>
            <w:shd w:val="clear" w:color="auto" w:fill="auto"/>
            <w:noWrap/>
            <w:vAlign w:val="center"/>
            <w:hideMark/>
          </w:tcPr>
          <w:p w14:paraId="450EF083"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995 156</w:t>
            </w:r>
          </w:p>
        </w:tc>
      </w:tr>
      <w:tr w:rsidR="00B40F1F" w:rsidRPr="0068723D" w14:paraId="2ECFEA77"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64A8154"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 Pochodne instrumenty finansowe zabezpieczające wartość godziwą</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3502DBC" w14:textId="5B17AF4C"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6 451</w:t>
            </w:r>
          </w:p>
        </w:tc>
        <w:tc>
          <w:tcPr>
            <w:tcW w:w="1418" w:type="dxa"/>
            <w:tcBorders>
              <w:top w:val="nil"/>
              <w:left w:val="nil"/>
              <w:bottom w:val="single" w:sz="4" w:space="0" w:color="0077BD"/>
              <w:right w:val="nil"/>
            </w:tcBorders>
            <w:shd w:val="clear" w:color="auto" w:fill="auto"/>
            <w:noWrap/>
            <w:vAlign w:val="center"/>
            <w:hideMark/>
          </w:tcPr>
          <w:p w14:paraId="75F7644E"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10 660</w:t>
            </w:r>
          </w:p>
        </w:tc>
      </w:tr>
      <w:tr w:rsidR="00B40F1F" w:rsidRPr="0068723D" w14:paraId="50E8D4E5"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962A0E2"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 Pochodne instrumenty finansowe zabezpieczające przepływy pieniężne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7C2ED25" w14:textId="36ACD64B"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12 960</w:t>
            </w:r>
          </w:p>
        </w:tc>
        <w:tc>
          <w:tcPr>
            <w:tcW w:w="1418" w:type="dxa"/>
            <w:tcBorders>
              <w:top w:val="nil"/>
              <w:left w:val="nil"/>
              <w:bottom w:val="single" w:sz="4" w:space="0" w:color="0077BD"/>
              <w:right w:val="nil"/>
            </w:tcBorders>
            <w:shd w:val="clear" w:color="auto" w:fill="auto"/>
            <w:noWrap/>
            <w:vAlign w:val="center"/>
            <w:hideMark/>
          </w:tcPr>
          <w:p w14:paraId="6C1085C5"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w:t>
            </w:r>
          </w:p>
        </w:tc>
      </w:tr>
      <w:tr w:rsidR="00B40F1F" w:rsidRPr="0068723D" w14:paraId="70D880B5" w14:textId="77777777" w:rsidTr="000D3BB8">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F3C38A0" w14:textId="77777777" w:rsidR="00B40F1F" w:rsidRPr="0068723D" w:rsidRDefault="00B40F1F" w:rsidP="00B40F1F">
            <w:pPr>
              <w:rPr>
                <w:rFonts w:cs="Calibri"/>
                <w:color w:val="000000" w:themeColor="text1"/>
                <w:sz w:val="13"/>
                <w:szCs w:val="13"/>
              </w:rPr>
            </w:pPr>
            <w:r w:rsidRPr="0068723D">
              <w:rPr>
                <w:rFonts w:cs="Calibri"/>
                <w:color w:val="000000" w:themeColor="text1"/>
                <w:sz w:val="13"/>
                <w:szCs w:val="13"/>
              </w:rPr>
              <w:t>- Efekt kompensowania</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4550707" w14:textId="1FA5D35D"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(132 194)</w:t>
            </w:r>
          </w:p>
        </w:tc>
        <w:tc>
          <w:tcPr>
            <w:tcW w:w="1418" w:type="dxa"/>
            <w:tcBorders>
              <w:top w:val="nil"/>
              <w:left w:val="nil"/>
              <w:bottom w:val="single" w:sz="4" w:space="0" w:color="0077BD"/>
              <w:right w:val="nil"/>
            </w:tcBorders>
            <w:shd w:val="clear" w:color="auto" w:fill="auto"/>
            <w:noWrap/>
            <w:vAlign w:val="center"/>
            <w:hideMark/>
          </w:tcPr>
          <w:p w14:paraId="1CFB542A" w14:textId="77777777" w:rsidR="00B40F1F" w:rsidRPr="0068723D" w:rsidRDefault="00B40F1F" w:rsidP="00B40F1F">
            <w:pPr>
              <w:jc w:val="right"/>
              <w:rPr>
                <w:rFonts w:cs="Calibri"/>
                <w:color w:val="000000" w:themeColor="text1"/>
                <w:sz w:val="13"/>
                <w:szCs w:val="13"/>
              </w:rPr>
            </w:pPr>
            <w:r w:rsidRPr="0068723D">
              <w:rPr>
                <w:rFonts w:cs="Calibri"/>
                <w:color w:val="000000" w:themeColor="text1"/>
                <w:sz w:val="13"/>
                <w:szCs w:val="13"/>
              </w:rPr>
              <w:t>(99 685)</w:t>
            </w:r>
          </w:p>
        </w:tc>
      </w:tr>
      <w:tr w:rsidR="00454B96" w:rsidRPr="0068723D" w14:paraId="34800A6F" w14:textId="77777777" w:rsidTr="00102675">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3F07979" w14:textId="77777777" w:rsidR="00F00F5E" w:rsidRPr="0068723D" w:rsidRDefault="00F00F5E" w:rsidP="00F00F5E">
            <w:pPr>
              <w:rPr>
                <w:rFonts w:cs="Calibri"/>
                <w:b/>
                <w:bCs/>
                <w:color w:val="000000" w:themeColor="text1"/>
                <w:sz w:val="13"/>
                <w:szCs w:val="13"/>
              </w:rPr>
            </w:pPr>
            <w:r w:rsidRPr="0068723D">
              <w:rPr>
                <w:rFonts w:cs="Calibri"/>
                <w:b/>
                <w:bCs/>
                <w:color w:val="000000" w:themeColor="text1"/>
                <w:sz w:val="13"/>
                <w:szCs w:val="13"/>
              </w:rPr>
              <w:t>Zobowiązania finansowe przeznaczone do obrotu oraz pochodne instrumenty zabezpieczające, razem</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4B7105C7" w14:textId="5B7BE700" w:rsidR="00F00F5E" w:rsidRPr="0068723D" w:rsidRDefault="00B40F1F" w:rsidP="00F00F5E">
            <w:pPr>
              <w:jc w:val="right"/>
              <w:rPr>
                <w:rFonts w:cs="Calibri"/>
                <w:b/>
                <w:bCs/>
                <w:color w:val="000000" w:themeColor="text1"/>
                <w:sz w:val="13"/>
                <w:szCs w:val="13"/>
              </w:rPr>
            </w:pPr>
            <w:r w:rsidRPr="0068723D">
              <w:rPr>
                <w:rFonts w:cs="Calibri"/>
                <w:b/>
                <w:bCs/>
                <w:color w:val="000000" w:themeColor="text1"/>
                <w:sz w:val="13"/>
                <w:szCs w:val="13"/>
              </w:rPr>
              <w:t>948 764</w:t>
            </w:r>
          </w:p>
        </w:tc>
        <w:tc>
          <w:tcPr>
            <w:tcW w:w="1418" w:type="dxa"/>
            <w:tcBorders>
              <w:top w:val="single" w:sz="8" w:space="0" w:color="0077BD"/>
              <w:left w:val="nil"/>
              <w:bottom w:val="single" w:sz="8" w:space="0" w:color="0077BD"/>
              <w:right w:val="nil"/>
            </w:tcBorders>
            <w:shd w:val="clear" w:color="auto" w:fill="auto"/>
            <w:noWrap/>
            <w:vAlign w:val="center"/>
            <w:hideMark/>
          </w:tcPr>
          <w:p w14:paraId="49F76F92" w14:textId="77777777" w:rsidR="00F00F5E" w:rsidRPr="0068723D" w:rsidRDefault="00F00F5E" w:rsidP="00F00F5E">
            <w:pPr>
              <w:jc w:val="right"/>
              <w:rPr>
                <w:rFonts w:cs="Calibri"/>
                <w:b/>
                <w:bCs/>
                <w:color w:val="000000" w:themeColor="text1"/>
                <w:sz w:val="13"/>
                <w:szCs w:val="13"/>
              </w:rPr>
            </w:pPr>
            <w:r w:rsidRPr="0068723D">
              <w:rPr>
                <w:rFonts w:cs="Calibri"/>
                <w:b/>
                <w:bCs/>
                <w:color w:val="000000" w:themeColor="text1"/>
                <w:sz w:val="13"/>
                <w:szCs w:val="13"/>
              </w:rPr>
              <w:t>981 117</w:t>
            </w:r>
          </w:p>
        </w:tc>
      </w:tr>
    </w:tbl>
    <w:p w14:paraId="0A1CF9DA" w14:textId="77777777" w:rsidR="000D3BB8" w:rsidRDefault="000D3BB8">
      <w:pPr>
        <w:rPr>
          <w:b/>
          <w:color w:val="E41E0A"/>
          <w:sz w:val="18"/>
          <w:szCs w:val="18"/>
        </w:rPr>
      </w:pPr>
      <w:r>
        <w:rPr>
          <w:b/>
          <w:color w:val="E41E0A"/>
          <w:sz w:val="18"/>
          <w:szCs w:val="18"/>
        </w:rPr>
        <w:br w:type="page"/>
      </w:r>
    </w:p>
    <w:p w14:paraId="65980A53" w14:textId="77777777" w:rsidR="00BF0B94" w:rsidRPr="000971E5" w:rsidRDefault="00BF0B94" w:rsidP="00BF0B94">
      <w:pPr>
        <w:rPr>
          <w:b/>
          <w:color w:val="E41E0A"/>
          <w:sz w:val="18"/>
          <w:szCs w:val="18"/>
        </w:rPr>
      </w:pPr>
      <w:r w:rsidRPr="000971E5">
        <w:rPr>
          <w:b/>
          <w:color w:val="E41E0A"/>
          <w:sz w:val="18"/>
          <w:szCs w:val="18"/>
        </w:rPr>
        <w:lastRenderedPageBreak/>
        <w:t>Pochodne instrumenty finansowe</w:t>
      </w:r>
    </w:p>
    <w:p w14:paraId="14D0F549" w14:textId="77777777" w:rsidR="00BF0B94" w:rsidRPr="0068723D" w:rsidRDefault="00BF0B94" w:rsidP="00BF0B94">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color w:val="000000" w:themeColor="text1"/>
          <w:sz w:val="18"/>
          <w:szCs w:val="18"/>
          <w:lang w:val="pl-PL"/>
        </w:rPr>
        <w:t xml:space="preserve">Grupa posiada następujące rodzaje instrumentów pochodnych: </w:t>
      </w:r>
    </w:p>
    <w:p w14:paraId="3714947B" w14:textId="77777777" w:rsidR="004E606E" w:rsidRPr="0068723D"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b/>
          <w:bCs/>
          <w:color w:val="000000" w:themeColor="text1"/>
          <w:sz w:val="18"/>
          <w:szCs w:val="18"/>
          <w:lang w:val="pl-PL"/>
        </w:rPr>
        <w:t>Walutowe transakcje terminowe</w:t>
      </w:r>
      <w:r w:rsidRPr="0068723D">
        <w:rPr>
          <w:rFonts w:ascii="Verdana" w:hAnsi="Verdana" w:cs="Tahoma"/>
          <w:color w:val="000000" w:themeColor="text1"/>
          <w:sz w:val="18"/>
          <w:szCs w:val="18"/>
          <w:lang w:val="pl-PL"/>
        </w:rPr>
        <w:t xml:space="preserve"> to zobowiązania do kupna walut obcych i lokalnych, obejmujące nie zrealizowane transakcje spot. </w:t>
      </w:r>
      <w:r w:rsidRPr="0068723D">
        <w:rPr>
          <w:rFonts w:ascii="Verdana" w:hAnsi="Verdana" w:cs="Tahoma"/>
          <w:b/>
          <w:bCs/>
          <w:color w:val="000000" w:themeColor="text1"/>
          <w:sz w:val="18"/>
          <w:szCs w:val="18"/>
          <w:lang w:val="pl-PL"/>
        </w:rPr>
        <w:t>Kontrakty typu futures dla walut i stóp procentowych</w:t>
      </w:r>
      <w:r w:rsidRPr="0068723D">
        <w:rPr>
          <w:rFonts w:ascii="Verdana" w:hAnsi="Verdana" w:cs="Tahoma"/>
          <w:color w:val="000000" w:themeColor="text1"/>
          <w:sz w:val="18"/>
          <w:szCs w:val="18"/>
          <w:lang w:val="pl-PL"/>
        </w:rPr>
        <w:t xml:space="preserve"> to zobowiązania w formie umowy do otrzymania lub zapłacenia określonej wartości netto, zależnie od zmian kursów wymiany walut lub stóp procentowych, bądź do kupna lub sprzedaży waluty obcej lub instrumentu finansowego w ustalonym terminie w przyszłości po ustalonej cenie, określonej na zorganizowanym rynku finansowym. Z uwagi na fakt, że kontrakty futures są zabezpieczone środkami pieniężnymi lub papierami wartościowymi wycenianymi według wartości godziwej, zaś zmiany wartości nominalnej tych kontraktów rozliczane są codziennie w odniesieniu do notowań giełdowych, ryzyko kredytowe jest nieznaczne.</w:t>
      </w:r>
    </w:p>
    <w:p w14:paraId="2B90F0CD" w14:textId="77777777" w:rsidR="004E606E" w:rsidRPr="0068723D"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b/>
          <w:bCs/>
          <w:color w:val="000000" w:themeColor="text1"/>
          <w:sz w:val="18"/>
          <w:szCs w:val="18"/>
          <w:lang w:val="pl-PL"/>
        </w:rPr>
        <w:t>Kontrakty FRA</w:t>
      </w:r>
      <w:r w:rsidRPr="0068723D">
        <w:rPr>
          <w:rFonts w:ascii="Verdana" w:hAnsi="Verdana" w:cs="Tahoma"/>
          <w:color w:val="000000" w:themeColor="text1"/>
          <w:sz w:val="18"/>
          <w:szCs w:val="18"/>
          <w:lang w:val="pl-PL"/>
        </w:rPr>
        <w:t xml:space="preserve"> to kontrakty analogiczne do futures, tyle że negocjowane indywidualnie i wymagające gotówkowego rozliczenia w określonym terminie w przyszłości różnicy pomiędzy określoną w umowie stopą procentową a aktualną stopą rynkową, na bazie teoretycznej kwoty kapitału. </w:t>
      </w:r>
    </w:p>
    <w:p w14:paraId="7272B233" w14:textId="6AEC49E3" w:rsidR="004E606E" w:rsidRPr="0068723D"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b/>
          <w:bCs/>
          <w:color w:val="000000" w:themeColor="text1"/>
          <w:sz w:val="18"/>
          <w:szCs w:val="18"/>
          <w:lang w:val="pl-PL"/>
        </w:rPr>
        <w:t>Walutowe i procentowe kontrakty swap</w:t>
      </w:r>
      <w:r w:rsidRPr="0068723D">
        <w:rPr>
          <w:rFonts w:ascii="Verdana" w:hAnsi="Verdana" w:cs="Tahoma"/>
          <w:color w:val="000000" w:themeColor="text1"/>
          <w:sz w:val="18"/>
          <w:szCs w:val="18"/>
          <w:lang w:val="pl-PL"/>
        </w:rPr>
        <w:t xml:space="preserve"> to zobowiązania do zamiany jednego strumienia przepływów pieniężnych na inny. Rezultatem takiej transakcji jest zamiana walut lub stóp procentowych (na przykład, oprocentowania stałego na zmienne) lub połączenia wszystkich tych czynników (na przykład, międzywalutowe kontrakty swap stóp procentowych). Z wyjątkiem określonych walutowych kontraktów swap, nie następuje w przypadku tych transakcji zamiana kapitału. Ryzyko kredytowe Grupy stanowi potencjalny koszt zastąpienia kontraktów swap, jeżeli strony nie wywiążą się ze swoich zobowiązań. Ryzyko to jest monitorowane na bieżąco przez odniesienie do aktualnej wartości godziwej, proporcji wartości nominalnej kontraktów oraz płynności rynkowej. W celu kontrolowania poziomu podejmowanego ryzyka kredytowego Grupa ocenia strony umowy przy pomocy tych samych metod, które stosuje się</w:t>
      </w:r>
      <w:r w:rsidR="00C61899">
        <w:rPr>
          <w:rFonts w:ascii="Verdana" w:hAnsi="Verdana" w:cs="Tahoma"/>
          <w:color w:val="000000" w:themeColor="text1"/>
          <w:sz w:val="18"/>
          <w:szCs w:val="18"/>
          <w:lang w:val="pl-PL"/>
        </w:rPr>
        <w:t> </w:t>
      </w:r>
      <w:r w:rsidRPr="0068723D">
        <w:rPr>
          <w:rFonts w:ascii="Verdana" w:hAnsi="Verdana" w:cs="Tahoma"/>
          <w:color w:val="000000" w:themeColor="text1"/>
          <w:sz w:val="18"/>
          <w:szCs w:val="18"/>
          <w:lang w:val="pl-PL"/>
        </w:rPr>
        <w:t xml:space="preserve">w działalności kredytowej. </w:t>
      </w:r>
    </w:p>
    <w:p w14:paraId="3016B863" w14:textId="508DADFF" w:rsidR="004E606E" w:rsidRPr="0068723D"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color w:val="000000" w:themeColor="text1"/>
          <w:sz w:val="18"/>
          <w:szCs w:val="18"/>
          <w:lang w:val="pl-PL"/>
        </w:rPr>
        <w:t xml:space="preserve">Grupa stosuje rachunkowość zabezpieczeń wartości godziwej </w:t>
      </w:r>
      <w:r w:rsidR="000934A8">
        <w:rPr>
          <w:rFonts w:ascii="Verdana" w:hAnsi="Verdana" w:cs="Tahoma"/>
          <w:color w:val="000000" w:themeColor="text1"/>
          <w:sz w:val="18"/>
          <w:szCs w:val="18"/>
          <w:lang w:val="pl-PL"/>
        </w:rPr>
        <w:t>oraz</w:t>
      </w:r>
      <w:r w:rsidRPr="0068723D">
        <w:rPr>
          <w:rFonts w:ascii="Verdana" w:hAnsi="Verdana" w:cs="Tahoma"/>
          <w:color w:val="000000" w:themeColor="text1"/>
          <w:sz w:val="18"/>
          <w:szCs w:val="18"/>
          <w:lang w:val="pl-PL"/>
        </w:rPr>
        <w:t xml:space="preserve"> rachunkowość zabezpieczeń przepływów</w:t>
      </w:r>
      <w:r w:rsidR="009A318D">
        <w:rPr>
          <w:rFonts w:ascii="Verdana" w:hAnsi="Verdana" w:cs="Tahoma"/>
          <w:color w:val="000000" w:themeColor="text1"/>
          <w:sz w:val="18"/>
          <w:szCs w:val="18"/>
          <w:lang w:val="pl-PL"/>
        </w:rPr>
        <w:t xml:space="preserve"> pieniężnych</w:t>
      </w:r>
      <w:r w:rsidRPr="0068723D">
        <w:rPr>
          <w:rFonts w:ascii="Verdana" w:hAnsi="Verdana" w:cs="Tahoma"/>
          <w:color w:val="000000" w:themeColor="text1"/>
          <w:sz w:val="18"/>
          <w:szCs w:val="18"/>
          <w:lang w:val="pl-PL"/>
        </w:rPr>
        <w:t>.</w:t>
      </w:r>
      <w:r w:rsidR="000934A8">
        <w:rPr>
          <w:rFonts w:ascii="Verdana" w:hAnsi="Verdana" w:cs="Tahoma"/>
          <w:color w:val="000000" w:themeColor="text1"/>
          <w:sz w:val="18"/>
          <w:szCs w:val="18"/>
          <w:lang w:val="pl-PL"/>
        </w:rPr>
        <w:t xml:space="preserve"> </w:t>
      </w:r>
      <w:r w:rsidRPr="0068723D">
        <w:rPr>
          <w:rFonts w:ascii="Verdana" w:hAnsi="Verdana" w:cs="Tahoma"/>
          <w:color w:val="000000" w:themeColor="text1"/>
          <w:sz w:val="18"/>
          <w:szCs w:val="18"/>
          <w:lang w:val="pl-PL"/>
        </w:rPr>
        <w:t>Szczegółowe informacje dotyczące rachunkowości zabezpieczeń zostały zaprezentowane w</w:t>
      </w:r>
      <w:r w:rsidR="009A318D">
        <w:rPr>
          <w:rFonts w:ascii="Verdana" w:hAnsi="Verdana" w:cs="Tahoma"/>
          <w:color w:val="000000" w:themeColor="text1"/>
          <w:sz w:val="18"/>
          <w:szCs w:val="18"/>
          <w:lang w:val="pl-PL"/>
        </w:rPr>
        <w:t> </w:t>
      </w:r>
      <w:r w:rsidRPr="0068723D">
        <w:rPr>
          <w:rFonts w:ascii="Verdana" w:hAnsi="Verdana" w:cs="Tahoma"/>
          <w:color w:val="000000" w:themeColor="text1"/>
          <w:sz w:val="18"/>
          <w:szCs w:val="18"/>
          <w:lang w:val="pl-PL"/>
        </w:rPr>
        <w:t>niniejszej nocie poniżej.</w:t>
      </w:r>
    </w:p>
    <w:p w14:paraId="72AC7837" w14:textId="5AFC83FC" w:rsidR="00135D91"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b/>
          <w:bCs/>
          <w:color w:val="000000" w:themeColor="text1"/>
          <w:sz w:val="18"/>
          <w:szCs w:val="18"/>
          <w:lang w:val="pl-PL"/>
        </w:rPr>
        <w:t>Opcje walutowe i na stopy procentowe</w:t>
      </w:r>
      <w:r w:rsidRPr="0068723D">
        <w:rPr>
          <w:rFonts w:ascii="Verdana" w:hAnsi="Verdana" w:cs="Tahoma"/>
          <w:color w:val="000000" w:themeColor="text1"/>
          <w:sz w:val="18"/>
          <w:szCs w:val="18"/>
          <w:lang w:val="pl-PL"/>
        </w:rPr>
        <w:t xml:space="preserve"> to umowy, na mocy których sprzedający przyznaje kupującemu prawo, ale nie obowiązek, nabycia (opcja kupna) lub sprzedaży (opcja sprzedaży) w ustalonym dniu, do</w:t>
      </w:r>
      <w:r w:rsidR="00C77EEC">
        <w:rPr>
          <w:rFonts w:ascii="Verdana" w:hAnsi="Verdana" w:cs="Tahoma"/>
          <w:color w:val="000000" w:themeColor="text1"/>
          <w:sz w:val="18"/>
          <w:szCs w:val="18"/>
          <w:lang w:val="pl-PL"/>
        </w:rPr>
        <w:t> </w:t>
      </w:r>
      <w:r w:rsidRPr="0068723D">
        <w:rPr>
          <w:rFonts w:ascii="Verdana" w:hAnsi="Verdana" w:cs="Tahoma"/>
          <w:color w:val="000000" w:themeColor="text1"/>
          <w:sz w:val="18"/>
          <w:szCs w:val="18"/>
          <w:lang w:val="pl-PL"/>
        </w:rPr>
        <w:t xml:space="preserve">ustalonego dnia lub też w ustalonym okresie – konkretnej ilości waluty obcej lub instrumentu finansowego po z góry ustalonej cenie. W zamian za powzięcie ryzyka walutowego lub ryzyka zmiany stóp procentowych, sprzedający otrzymuje od kupującego premię. Opcje mogą być opcjami znajdującymi się w obrocie giełdowym lub negocjowanymi pomiędzy Grupą a klientem (w transakcji pozagiełdowej). Grupa jest narażona na ryzyko kredytowe z tytułu zakupionych opcji tylko i wyłącznie do wysokości ich wartości bilansowej, którą stanowi ich wartość godziwa. </w:t>
      </w:r>
    </w:p>
    <w:p w14:paraId="5D8CD668" w14:textId="77777777" w:rsidR="004E606E" w:rsidRPr="0068723D" w:rsidRDefault="004E606E" w:rsidP="004E606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b/>
          <w:color w:val="000000" w:themeColor="text1"/>
          <w:sz w:val="18"/>
          <w:szCs w:val="18"/>
          <w:lang w:val="pl-PL"/>
        </w:rPr>
        <w:t>Transakcje na ryzyko rynkowe</w:t>
      </w:r>
      <w:r w:rsidRPr="0068723D">
        <w:rPr>
          <w:rFonts w:ascii="Verdana" w:hAnsi="Verdana" w:cs="Tahoma"/>
          <w:color w:val="000000" w:themeColor="text1"/>
          <w:sz w:val="18"/>
          <w:szCs w:val="18"/>
          <w:lang w:val="pl-PL"/>
        </w:rPr>
        <w:t xml:space="preserve"> obejmują kontrakty futures i opcje na towary oraz opcje na akcje i indeksy giełdowe.</w:t>
      </w:r>
    </w:p>
    <w:p w14:paraId="7EC51798" w14:textId="3A1A4D32" w:rsidR="00B630C3" w:rsidRDefault="004E606E" w:rsidP="004E606E">
      <w:pPr>
        <w:pStyle w:val="Lista2"/>
        <w:suppressAutoHyphens/>
        <w:spacing w:before="120"/>
        <w:ind w:left="0" w:firstLine="0"/>
        <w:jc w:val="both"/>
        <w:rPr>
          <w:rFonts w:cs="Tahoma"/>
          <w:color w:val="000000" w:themeColor="text1"/>
          <w:sz w:val="18"/>
          <w:szCs w:val="18"/>
        </w:rPr>
      </w:pPr>
      <w:r w:rsidRPr="0068723D">
        <w:rPr>
          <w:rFonts w:cs="Tahoma"/>
          <w:color w:val="000000" w:themeColor="text1"/>
          <w:sz w:val="18"/>
          <w:szCs w:val="18"/>
        </w:rPr>
        <w:t>Nominalne wartości niektórych rodzajów instrumentów finansowych stanowią podstawę do ich porównania z instrumentami ujmowanymi w sprawozdaniu z sytuacji finansowej, ale niekoniecznie wskazują, jaka będzie wartość przyszłych przepływów pieniężnych, bądź jaka jest bieżąca wartość godziwa instrumentów. Z tego względu nie pokazują, jaki jest stopień narażenia Grupy na ryzyko kredytowe lub ryzyko zmiany cen. Instrumenty pochodne mogą mieć wycenę dodatnią (aktywa) lub ujemną (zobowiązania) w zależności od wahań rynkowych stóp procentowych lub kursów wymiany walut. Łączna wartość godziwa pochodnych instrumentów finansowych może podlegać znacznym wahaniom.</w:t>
      </w:r>
    </w:p>
    <w:p w14:paraId="1E103F2D" w14:textId="77777777" w:rsidR="00B630C3" w:rsidRDefault="00B630C3">
      <w:pPr>
        <w:rPr>
          <w:rFonts w:cs="Tahoma"/>
          <w:color w:val="000000" w:themeColor="text1"/>
          <w:sz w:val="18"/>
          <w:szCs w:val="18"/>
        </w:rPr>
      </w:pPr>
      <w:r>
        <w:rPr>
          <w:rFonts w:cs="Tahoma"/>
          <w:color w:val="000000" w:themeColor="text1"/>
          <w:sz w:val="18"/>
          <w:szCs w:val="18"/>
        </w:rPr>
        <w:br w:type="page"/>
      </w:r>
    </w:p>
    <w:p w14:paraId="196701CB" w14:textId="38C04EA0" w:rsidR="00BF0B94" w:rsidRPr="0068723D" w:rsidRDefault="00BF0B94" w:rsidP="00BF0B94">
      <w:pPr>
        <w:spacing w:before="120"/>
        <w:jc w:val="both"/>
        <w:rPr>
          <w:color w:val="000000" w:themeColor="text1"/>
          <w:sz w:val="18"/>
          <w:szCs w:val="18"/>
        </w:rPr>
      </w:pPr>
      <w:r w:rsidRPr="0068723D">
        <w:rPr>
          <w:rFonts w:cs="Tahoma"/>
          <w:color w:val="000000" w:themeColor="text1"/>
          <w:sz w:val="18"/>
          <w:szCs w:val="18"/>
        </w:rPr>
        <w:lastRenderedPageBreak/>
        <w:t>Wartości godziwe posiadanych instrumentów pochodnych przedstawiono w p</w:t>
      </w:r>
      <w:r w:rsidR="007F2E4F">
        <w:rPr>
          <w:rFonts w:cs="Tahoma"/>
          <w:color w:val="000000" w:themeColor="text1"/>
          <w:sz w:val="18"/>
          <w:szCs w:val="18"/>
        </w:rPr>
        <w:t>oniższej tabeli.</w:t>
      </w:r>
    </w:p>
    <w:p w14:paraId="44AC837A" w14:textId="755A1AA1" w:rsidR="00BF0B94" w:rsidRPr="0068723D" w:rsidRDefault="00BF0B94" w:rsidP="00AB09FA">
      <w:pPr>
        <w:jc w:val="both"/>
        <w:rPr>
          <w:color w:val="000000" w:themeColor="text1"/>
          <w:sz w:val="18"/>
          <w:szCs w:val="18"/>
        </w:rPr>
      </w:pPr>
    </w:p>
    <w:tbl>
      <w:tblPr>
        <w:tblW w:w="0" w:type="auto"/>
        <w:tblCellMar>
          <w:left w:w="28" w:type="dxa"/>
          <w:right w:w="28" w:type="dxa"/>
        </w:tblCellMar>
        <w:tblLook w:val="04A0" w:firstRow="1" w:lastRow="0" w:firstColumn="1" w:lastColumn="0" w:noHBand="0" w:noVBand="1"/>
      </w:tblPr>
      <w:tblGrid>
        <w:gridCol w:w="4365"/>
        <w:gridCol w:w="1304"/>
        <w:gridCol w:w="1304"/>
        <w:gridCol w:w="1304"/>
        <w:gridCol w:w="1304"/>
      </w:tblGrid>
      <w:tr w:rsidR="00AB09FA" w:rsidRPr="00AB09FA" w14:paraId="6B6947EB" w14:textId="77777777" w:rsidTr="00B9528E">
        <w:trPr>
          <w:trHeight w:val="284"/>
        </w:trPr>
        <w:tc>
          <w:tcPr>
            <w:tcW w:w="4365" w:type="dxa"/>
            <w:vMerge w:val="restart"/>
            <w:tcBorders>
              <w:top w:val="nil"/>
              <w:left w:val="nil"/>
              <w:bottom w:val="single" w:sz="8" w:space="0" w:color="0077BD"/>
              <w:right w:val="single" w:sz="8" w:space="0" w:color="FFFFFF"/>
            </w:tcBorders>
            <w:shd w:val="clear" w:color="000000" w:fill="0077BD"/>
            <w:vAlign w:val="center"/>
            <w:hideMark/>
          </w:tcPr>
          <w:p w14:paraId="44C97402" w14:textId="53C7566C" w:rsidR="00AB09FA" w:rsidRPr="00AB09FA" w:rsidRDefault="00AB09FA" w:rsidP="007A72B1">
            <w:pPr>
              <w:rPr>
                <w:rFonts w:cs="Calibri"/>
                <w:b/>
                <w:bCs/>
                <w:color w:val="FFFFFF"/>
                <w:sz w:val="13"/>
                <w:szCs w:val="13"/>
              </w:rPr>
            </w:pPr>
            <w:r>
              <w:rPr>
                <w:rFonts w:cs="Calibri"/>
                <w:b/>
                <w:bCs/>
                <w:color w:val="FFFFFF"/>
                <w:sz w:val="13"/>
                <w:szCs w:val="13"/>
              </w:rPr>
              <w:t>31.12.2019</w:t>
            </w:r>
          </w:p>
        </w:tc>
        <w:tc>
          <w:tcPr>
            <w:tcW w:w="2608" w:type="dxa"/>
            <w:gridSpan w:val="2"/>
            <w:tcBorders>
              <w:top w:val="nil"/>
              <w:left w:val="single" w:sz="8" w:space="0" w:color="FFFFFF"/>
              <w:bottom w:val="single" w:sz="6" w:space="0" w:color="FFFFFF"/>
              <w:right w:val="single" w:sz="8" w:space="0" w:color="FFFFFF"/>
            </w:tcBorders>
            <w:shd w:val="clear" w:color="000000" w:fill="0077BD"/>
            <w:vAlign w:val="center"/>
            <w:hideMark/>
          </w:tcPr>
          <w:p w14:paraId="7F745256"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Wartość kontraktu</w:t>
            </w:r>
          </w:p>
        </w:tc>
        <w:tc>
          <w:tcPr>
            <w:tcW w:w="2608" w:type="dxa"/>
            <w:gridSpan w:val="2"/>
            <w:tcBorders>
              <w:top w:val="nil"/>
              <w:left w:val="nil"/>
              <w:bottom w:val="single" w:sz="6" w:space="0" w:color="FFFFFF"/>
              <w:right w:val="nil"/>
            </w:tcBorders>
            <w:shd w:val="clear" w:color="000000" w:fill="0077BD"/>
            <w:vAlign w:val="center"/>
            <w:hideMark/>
          </w:tcPr>
          <w:p w14:paraId="2C87A8F3"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Wartość godziwa</w:t>
            </w:r>
          </w:p>
        </w:tc>
      </w:tr>
      <w:tr w:rsidR="00AB09FA" w:rsidRPr="00AB09FA" w14:paraId="4B417D43" w14:textId="77777777" w:rsidTr="00B9528E">
        <w:trPr>
          <w:trHeight w:val="284"/>
        </w:trPr>
        <w:tc>
          <w:tcPr>
            <w:tcW w:w="4365" w:type="dxa"/>
            <w:vMerge/>
            <w:tcBorders>
              <w:top w:val="nil"/>
              <w:left w:val="nil"/>
              <w:right w:val="single" w:sz="8" w:space="0" w:color="FFFFFF"/>
            </w:tcBorders>
            <w:vAlign w:val="center"/>
            <w:hideMark/>
          </w:tcPr>
          <w:p w14:paraId="40F8F3D0" w14:textId="77777777" w:rsidR="00AB09FA" w:rsidRPr="00AB09FA" w:rsidRDefault="00AB09FA" w:rsidP="007A72B1">
            <w:pPr>
              <w:rPr>
                <w:rFonts w:cs="Calibri"/>
                <w:b/>
                <w:bCs/>
                <w:color w:val="FFFFFF"/>
                <w:sz w:val="13"/>
                <w:szCs w:val="13"/>
              </w:rPr>
            </w:pPr>
          </w:p>
        </w:tc>
        <w:tc>
          <w:tcPr>
            <w:tcW w:w="1304" w:type="dxa"/>
            <w:tcBorders>
              <w:top w:val="single" w:sz="6" w:space="0" w:color="FFFFFF"/>
              <w:left w:val="single" w:sz="8" w:space="0" w:color="FFFFFF"/>
              <w:right w:val="single" w:sz="8" w:space="0" w:color="FFFFFF"/>
            </w:tcBorders>
            <w:shd w:val="clear" w:color="000000" w:fill="0077BD"/>
            <w:vAlign w:val="center"/>
            <w:hideMark/>
          </w:tcPr>
          <w:p w14:paraId="29AE4CB4"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Kupno</w:t>
            </w:r>
          </w:p>
        </w:tc>
        <w:tc>
          <w:tcPr>
            <w:tcW w:w="1304" w:type="dxa"/>
            <w:tcBorders>
              <w:top w:val="single" w:sz="6" w:space="0" w:color="FFFFFF"/>
              <w:left w:val="nil"/>
              <w:right w:val="single" w:sz="8" w:space="0" w:color="FFFFFF"/>
            </w:tcBorders>
            <w:shd w:val="clear" w:color="000000" w:fill="0077BD"/>
            <w:vAlign w:val="center"/>
            <w:hideMark/>
          </w:tcPr>
          <w:p w14:paraId="1EC15C93"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Sprzedaż</w:t>
            </w:r>
          </w:p>
        </w:tc>
        <w:tc>
          <w:tcPr>
            <w:tcW w:w="1304" w:type="dxa"/>
            <w:tcBorders>
              <w:top w:val="single" w:sz="6" w:space="0" w:color="FFFFFF"/>
              <w:left w:val="nil"/>
              <w:right w:val="single" w:sz="8" w:space="0" w:color="FFFFFF"/>
            </w:tcBorders>
            <w:shd w:val="clear" w:color="000000" w:fill="0077BD"/>
            <w:vAlign w:val="center"/>
            <w:hideMark/>
          </w:tcPr>
          <w:p w14:paraId="7B093C4E"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Aktywa</w:t>
            </w:r>
          </w:p>
        </w:tc>
        <w:tc>
          <w:tcPr>
            <w:tcW w:w="1304" w:type="dxa"/>
            <w:tcBorders>
              <w:top w:val="single" w:sz="6" w:space="0" w:color="FFFFFF"/>
              <w:left w:val="nil"/>
              <w:right w:val="nil"/>
            </w:tcBorders>
            <w:shd w:val="clear" w:color="000000" w:fill="0077BD"/>
            <w:vAlign w:val="center"/>
            <w:hideMark/>
          </w:tcPr>
          <w:p w14:paraId="2C5B726D" w14:textId="77777777" w:rsidR="00AB09FA" w:rsidRPr="00AB09FA" w:rsidRDefault="00AB09FA" w:rsidP="007A72B1">
            <w:pPr>
              <w:jc w:val="center"/>
              <w:rPr>
                <w:rFonts w:cs="Calibri"/>
                <w:b/>
                <w:bCs/>
                <w:color w:val="FFFFFF"/>
                <w:sz w:val="13"/>
                <w:szCs w:val="13"/>
              </w:rPr>
            </w:pPr>
            <w:r w:rsidRPr="00AB09FA">
              <w:rPr>
                <w:rFonts w:cs="Calibri"/>
                <w:b/>
                <w:bCs/>
                <w:color w:val="FFFFFF"/>
                <w:sz w:val="13"/>
                <w:szCs w:val="13"/>
              </w:rPr>
              <w:t>Zobowiązania</w:t>
            </w:r>
          </w:p>
        </w:tc>
      </w:tr>
      <w:tr w:rsidR="00AB09FA" w:rsidRPr="0068723D" w14:paraId="029EA9FB" w14:textId="77777777" w:rsidTr="00E732B3">
        <w:trPr>
          <w:trHeight w:val="255"/>
        </w:trPr>
        <w:tc>
          <w:tcPr>
            <w:tcW w:w="4365" w:type="dxa"/>
            <w:tcBorders>
              <w:top w:val="nil"/>
              <w:left w:val="nil"/>
              <w:bottom w:val="single" w:sz="8" w:space="0" w:color="0077BD"/>
              <w:right w:val="nil"/>
            </w:tcBorders>
            <w:shd w:val="clear" w:color="000000" w:fill="FFFFFF"/>
            <w:vAlign w:val="center"/>
            <w:hideMark/>
          </w:tcPr>
          <w:p w14:paraId="2A6F5FFD" w14:textId="77777777" w:rsidR="00AB09FA" w:rsidRPr="00073677" w:rsidRDefault="00AB09FA" w:rsidP="007A72B1">
            <w:pPr>
              <w:rPr>
                <w:rFonts w:cs="Calibri"/>
                <w:b/>
                <w:bCs/>
                <w:color w:val="000000" w:themeColor="text1"/>
                <w:sz w:val="13"/>
                <w:szCs w:val="13"/>
              </w:rPr>
            </w:pPr>
            <w:r w:rsidRPr="00073677">
              <w:rPr>
                <w:rFonts w:cs="Calibri"/>
                <w:b/>
                <w:bCs/>
                <w:color w:val="000000" w:themeColor="text1"/>
                <w:sz w:val="13"/>
                <w:szCs w:val="13"/>
              </w:rPr>
              <w:t>Instrumenty pochodne przeznaczone do obrotu</w:t>
            </w:r>
          </w:p>
        </w:tc>
        <w:tc>
          <w:tcPr>
            <w:tcW w:w="1304" w:type="dxa"/>
            <w:tcBorders>
              <w:top w:val="nil"/>
              <w:left w:val="nil"/>
              <w:bottom w:val="single" w:sz="8" w:space="0" w:color="0077BD"/>
              <w:right w:val="nil"/>
            </w:tcBorders>
            <w:shd w:val="clear" w:color="000000" w:fill="FFFFFF"/>
            <w:noWrap/>
            <w:vAlign w:val="center"/>
          </w:tcPr>
          <w:p w14:paraId="0DC22EED" w14:textId="77777777" w:rsidR="00AB09FA" w:rsidRPr="00073677" w:rsidRDefault="00AB09FA" w:rsidP="007A72B1">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6D8EEE8C" w14:textId="77777777" w:rsidR="00AB09FA" w:rsidRPr="00073677" w:rsidRDefault="00AB09FA" w:rsidP="007A72B1">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1F625065" w14:textId="77777777" w:rsidR="00AB09FA" w:rsidRPr="00073677" w:rsidRDefault="00AB09FA" w:rsidP="007A72B1">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19B2FCF3" w14:textId="77777777" w:rsidR="00AB09FA" w:rsidRPr="00073677" w:rsidRDefault="00AB09FA" w:rsidP="007A72B1">
            <w:pPr>
              <w:jc w:val="right"/>
              <w:rPr>
                <w:rFonts w:cs="Calibri"/>
                <w:b/>
                <w:bCs/>
                <w:color w:val="000000" w:themeColor="text1"/>
                <w:sz w:val="13"/>
                <w:szCs w:val="13"/>
              </w:rPr>
            </w:pPr>
          </w:p>
        </w:tc>
      </w:tr>
      <w:tr w:rsidR="00AB09FA" w:rsidRPr="0068723D" w14:paraId="3A45DACE" w14:textId="77777777" w:rsidTr="00E732B3">
        <w:trPr>
          <w:trHeight w:val="255"/>
        </w:trPr>
        <w:tc>
          <w:tcPr>
            <w:tcW w:w="4365" w:type="dxa"/>
            <w:tcBorders>
              <w:top w:val="nil"/>
              <w:left w:val="nil"/>
              <w:bottom w:val="single" w:sz="4" w:space="0" w:color="0077BD"/>
              <w:right w:val="nil"/>
            </w:tcBorders>
            <w:shd w:val="clear" w:color="000000" w:fill="FFFFFF"/>
            <w:vAlign w:val="center"/>
            <w:hideMark/>
          </w:tcPr>
          <w:p w14:paraId="1BEBC266" w14:textId="77777777" w:rsidR="00AB09FA" w:rsidRPr="00073677" w:rsidRDefault="00AB09FA" w:rsidP="007A72B1">
            <w:pPr>
              <w:rPr>
                <w:rFonts w:cs="Calibri"/>
                <w:b/>
                <w:bCs/>
                <w:color w:val="000000" w:themeColor="text1"/>
                <w:sz w:val="13"/>
                <w:szCs w:val="13"/>
              </w:rPr>
            </w:pPr>
            <w:r w:rsidRPr="00073677">
              <w:rPr>
                <w:rFonts w:cs="Calibri"/>
                <w:b/>
                <w:bCs/>
                <w:color w:val="000000" w:themeColor="text1"/>
                <w:sz w:val="13"/>
                <w:szCs w:val="13"/>
              </w:rPr>
              <w:t>Walutowe instrumenty pochodne</w:t>
            </w:r>
          </w:p>
        </w:tc>
        <w:tc>
          <w:tcPr>
            <w:tcW w:w="1304" w:type="dxa"/>
            <w:tcBorders>
              <w:top w:val="nil"/>
              <w:left w:val="nil"/>
              <w:bottom w:val="single" w:sz="4" w:space="0" w:color="0077BD"/>
              <w:right w:val="nil"/>
            </w:tcBorders>
            <w:shd w:val="clear" w:color="000000" w:fill="FFFFFF"/>
            <w:vAlign w:val="center"/>
          </w:tcPr>
          <w:p w14:paraId="3E8D9015" w14:textId="77777777" w:rsidR="00AB09FA" w:rsidRPr="00073677" w:rsidRDefault="00AB09FA" w:rsidP="007A72B1">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57DD5BFB" w14:textId="77777777" w:rsidR="00AB09FA" w:rsidRPr="00073677" w:rsidRDefault="00AB09FA" w:rsidP="007A72B1">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621E8AAB" w14:textId="77777777" w:rsidR="00AB09FA" w:rsidRPr="00073677" w:rsidRDefault="00AB09FA" w:rsidP="007A72B1">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48BA9DD5" w14:textId="77777777" w:rsidR="00AB09FA" w:rsidRPr="00073677" w:rsidRDefault="00AB09FA" w:rsidP="007A72B1">
            <w:pPr>
              <w:jc w:val="right"/>
              <w:rPr>
                <w:rFonts w:cs="Calibri"/>
                <w:color w:val="000000" w:themeColor="text1"/>
                <w:sz w:val="13"/>
                <w:szCs w:val="13"/>
              </w:rPr>
            </w:pPr>
          </w:p>
        </w:tc>
      </w:tr>
      <w:tr w:rsidR="00E549FD" w:rsidRPr="0068723D" w14:paraId="1CE7C5AA" w14:textId="77777777" w:rsidTr="00CA5E84">
        <w:trPr>
          <w:trHeight w:val="255"/>
        </w:trPr>
        <w:tc>
          <w:tcPr>
            <w:tcW w:w="4365" w:type="dxa"/>
            <w:tcBorders>
              <w:top w:val="single" w:sz="8" w:space="0" w:color="0077BD"/>
              <w:left w:val="nil"/>
              <w:bottom w:val="single" w:sz="4" w:space="0" w:color="0077BD"/>
              <w:right w:val="single" w:sz="8" w:space="0" w:color="0077BD"/>
            </w:tcBorders>
            <w:shd w:val="clear" w:color="auto" w:fill="auto"/>
            <w:vAlign w:val="center"/>
            <w:hideMark/>
          </w:tcPr>
          <w:p w14:paraId="24E7F64A" w14:textId="77777777" w:rsidR="00E549FD" w:rsidRPr="00073677" w:rsidRDefault="00E549FD" w:rsidP="00E549FD">
            <w:pPr>
              <w:rPr>
                <w:rFonts w:cs="Calibri"/>
                <w:color w:val="000000" w:themeColor="text1"/>
                <w:sz w:val="13"/>
                <w:szCs w:val="13"/>
              </w:rPr>
            </w:pPr>
            <w:r w:rsidRPr="00073677">
              <w:rPr>
                <w:rFonts w:cs="Calibri"/>
                <w:color w:val="000000" w:themeColor="text1"/>
                <w:sz w:val="13"/>
                <w:szCs w:val="13"/>
              </w:rPr>
              <w:t>- Walutowe transakcje terminowe (FX forward)</w:t>
            </w:r>
          </w:p>
        </w:tc>
        <w:tc>
          <w:tcPr>
            <w:tcW w:w="1304" w:type="dxa"/>
            <w:tcBorders>
              <w:top w:val="single" w:sz="8" w:space="0" w:color="0077BD"/>
              <w:left w:val="single" w:sz="8" w:space="0" w:color="0077BD"/>
              <w:bottom w:val="single" w:sz="4" w:space="0" w:color="0077BD"/>
              <w:right w:val="single" w:sz="8" w:space="0" w:color="0077BD"/>
            </w:tcBorders>
            <w:shd w:val="clear" w:color="auto" w:fill="auto"/>
            <w:vAlign w:val="center"/>
          </w:tcPr>
          <w:p w14:paraId="71E04C79" w14:textId="2226019D" w:rsidR="00E549FD" w:rsidRPr="00B97300" w:rsidRDefault="00E549FD" w:rsidP="00E549FD">
            <w:pPr>
              <w:jc w:val="right"/>
              <w:rPr>
                <w:rFonts w:cs="Calibri"/>
                <w:color w:val="000000" w:themeColor="text1"/>
                <w:sz w:val="13"/>
                <w:szCs w:val="13"/>
              </w:rPr>
            </w:pPr>
            <w:r w:rsidRPr="00B97300">
              <w:rPr>
                <w:color w:val="000000" w:themeColor="text1"/>
                <w:sz w:val="13"/>
                <w:szCs w:val="13"/>
              </w:rPr>
              <w:t>16 797 817</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44E2A4C2" w14:textId="7902C585" w:rsidR="00E549FD" w:rsidRPr="00B97300" w:rsidRDefault="00E549FD" w:rsidP="00E549FD">
            <w:pPr>
              <w:jc w:val="right"/>
              <w:rPr>
                <w:rFonts w:cs="Calibri"/>
                <w:color w:val="000000" w:themeColor="text1"/>
                <w:sz w:val="13"/>
                <w:szCs w:val="13"/>
              </w:rPr>
            </w:pPr>
            <w:r w:rsidRPr="00B97300">
              <w:rPr>
                <w:color w:val="000000" w:themeColor="text1"/>
                <w:sz w:val="13"/>
                <w:szCs w:val="13"/>
              </w:rPr>
              <w:t>17 079 476</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45D78868" w14:textId="63E63907" w:rsidR="00E549FD" w:rsidRPr="00B97300" w:rsidRDefault="00E549FD" w:rsidP="00E549FD">
            <w:pPr>
              <w:jc w:val="right"/>
              <w:rPr>
                <w:rFonts w:cs="Calibri"/>
                <w:color w:val="000000" w:themeColor="text1"/>
                <w:sz w:val="13"/>
                <w:szCs w:val="13"/>
              </w:rPr>
            </w:pPr>
            <w:r w:rsidRPr="00B97300">
              <w:rPr>
                <w:color w:val="000000" w:themeColor="text1"/>
                <w:sz w:val="13"/>
                <w:szCs w:val="13"/>
              </w:rPr>
              <w:t>44 518</w:t>
            </w:r>
          </w:p>
        </w:tc>
        <w:tc>
          <w:tcPr>
            <w:tcW w:w="1304" w:type="dxa"/>
            <w:tcBorders>
              <w:top w:val="single" w:sz="8" w:space="0" w:color="0077BD"/>
              <w:left w:val="nil"/>
              <w:bottom w:val="single" w:sz="4" w:space="0" w:color="0077BD"/>
              <w:right w:val="nil"/>
            </w:tcBorders>
            <w:shd w:val="clear" w:color="auto" w:fill="auto"/>
            <w:vAlign w:val="center"/>
          </w:tcPr>
          <w:p w14:paraId="7898E721" w14:textId="7245A0AE" w:rsidR="00E549FD" w:rsidRPr="00B97300" w:rsidRDefault="00E549FD" w:rsidP="00E549FD">
            <w:pPr>
              <w:jc w:val="right"/>
              <w:rPr>
                <w:rFonts w:cs="Calibri"/>
                <w:color w:val="000000" w:themeColor="text1"/>
                <w:sz w:val="13"/>
                <w:szCs w:val="13"/>
              </w:rPr>
            </w:pPr>
            <w:r w:rsidRPr="00B97300">
              <w:rPr>
                <w:color w:val="000000" w:themeColor="text1"/>
                <w:sz w:val="13"/>
                <w:szCs w:val="13"/>
              </w:rPr>
              <w:t>184 798</w:t>
            </w:r>
          </w:p>
        </w:tc>
      </w:tr>
      <w:tr w:rsidR="00E549FD" w:rsidRPr="0068723D" w14:paraId="680800DE" w14:textId="77777777" w:rsidTr="00CA5E84">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0296DB29" w14:textId="77777777" w:rsidR="00E549FD" w:rsidRPr="00073677" w:rsidRDefault="00E549FD" w:rsidP="00E549FD">
            <w:pPr>
              <w:rPr>
                <w:rFonts w:cs="Calibri"/>
                <w:color w:val="000000" w:themeColor="text1"/>
                <w:sz w:val="13"/>
                <w:szCs w:val="13"/>
              </w:rPr>
            </w:pPr>
            <w:r w:rsidRPr="00073677">
              <w:rPr>
                <w:rFonts w:cs="Calibri"/>
                <w:color w:val="000000" w:themeColor="text1"/>
                <w:sz w:val="13"/>
                <w:szCs w:val="13"/>
              </w:rPr>
              <w:t>- Kontrakty FX swap</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7062638C" w14:textId="41CC1F35" w:rsidR="00E549FD" w:rsidRPr="00B97300" w:rsidRDefault="00E549FD" w:rsidP="00E549FD">
            <w:pPr>
              <w:jc w:val="right"/>
              <w:rPr>
                <w:rFonts w:cs="Calibri"/>
                <w:color w:val="000000" w:themeColor="text1"/>
                <w:sz w:val="13"/>
                <w:szCs w:val="13"/>
              </w:rPr>
            </w:pPr>
            <w:r w:rsidRPr="00B97300">
              <w:rPr>
                <w:color w:val="000000" w:themeColor="text1"/>
                <w:sz w:val="13"/>
                <w:szCs w:val="13"/>
              </w:rPr>
              <w:t>12 503 301</w:t>
            </w:r>
          </w:p>
        </w:tc>
        <w:tc>
          <w:tcPr>
            <w:tcW w:w="1304" w:type="dxa"/>
            <w:tcBorders>
              <w:top w:val="nil"/>
              <w:left w:val="nil"/>
              <w:bottom w:val="single" w:sz="4" w:space="0" w:color="0077BD"/>
              <w:right w:val="single" w:sz="8" w:space="0" w:color="0077BD"/>
            </w:tcBorders>
            <w:shd w:val="clear" w:color="auto" w:fill="auto"/>
            <w:vAlign w:val="center"/>
          </w:tcPr>
          <w:p w14:paraId="0991DFC9" w14:textId="051B3E11" w:rsidR="00E549FD" w:rsidRPr="00B97300" w:rsidRDefault="00E549FD" w:rsidP="00E549FD">
            <w:pPr>
              <w:jc w:val="right"/>
              <w:rPr>
                <w:rFonts w:cs="Calibri"/>
                <w:color w:val="000000" w:themeColor="text1"/>
                <w:sz w:val="13"/>
                <w:szCs w:val="13"/>
              </w:rPr>
            </w:pPr>
            <w:r w:rsidRPr="00B97300">
              <w:rPr>
                <w:color w:val="000000" w:themeColor="text1"/>
                <w:sz w:val="13"/>
                <w:szCs w:val="13"/>
              </w:rPr>
              <w:t>12 342 221</w:t>
            </w:r>
          </w:p>
        </w:tc>
        <w:tc>
          <w:tcPr>
            <w:tcW w:w="1304" w:type="dxa"/>
            <w:tcBorders>
              <w:top w:val="nil"/>
              <w:left w:val="nil"/>
              <w:bottom w:val="single" w:sz="4" w:space="0" w:color="0077BD"/>
              <w:right w:val="single" w:sz="8" w:space="0" w:color="0077BD"/>
            </w:tcBorders>
            <w:shd w:val="clear" w:color="auto" w:fill="auto"/>
            <w:vAlign w:val="center"/>
          </w:tcPr>
          <w:p w14:paraId="3C42D80B" w14:textId="1483E5B9" w:rsidR="00E549FD" w:rsidRPr="00B97300" w:rsidRDefault="00E549FD" w:rsidP="00E549FD">
            <w:pPr>
              <w:jc w:val="right"/>
              <w:rPr>
                <w:rFonts w:cs="Calibri"/>
                <w:color w:val="000000" w:themeColor="text1"/>
                <w:sz w:val="13"/>
                <w:szCs w:val="13"/>
              </w:rPr>
            </w:pPr>
            <w:r w:rsidRPr="00B97300">
              <w:rPr>
                <w:color w:val="000000" w:themeColor="text1"/>
                <w:sz w:val="13"/>
                <w:szCs w:val="13"/>
              </w:rPr>
              <w:t>133 030</w:t>
            </w:r>
          </w:p>
        </w:tc>
        <w:tc>
          <w:tcPr>
            <w:tcW w:w="1304" w:type="dxa"/>
            <w:tcBorders>
              <w:top w:val="nil"/>
              <w:left w:val="nil"/>
              <w:bottom w:val="single" w:sz="4" w:space="0" w:color="0077BD"/>
              <w:right w:val="nil"/>
            </w:tcBorders>
            <w:shd w:val="clear" w:color="auto" w:fill="auto"/>
            <w:vAlign w:val="center"/>
          </w:tcPr>
          <w:p w14:paraId="6B66F669" w14:textId="4F61610A" w:rsidR="00E549FD" w:rsidRPr="00B97300" w:rsidRDefault="00E549FD" w:rsidP="00E549FD">
            <w:pPr>
              <w:jc w:val="right"/>
              <w:rPr>
                <w:rFonts w:cs="Calibri"/>
                <w:color w:val="000000" w:themeColor="text1"/>
                <w:sz w:val="13"/>
                <w:szCs w:val="13"/>
              </w:rPr>
            </w:pPr>
            <w:r w:rsidRPr="00B97300">
              <w:rPr>
                <w:color w:val="000000" w:themeColor="text1"/>
                <w:sz w:val="13"/>
                <w:szCs w:val="13"/>
              </w:rPr>
              <w:t>51 519</w:t>
            </w:r>
          </w:p>
        </w:tc>
      </w:tr>
      <w:tr w:rsidR="00E549FD" w:rsidRPr="0068723D" w14:paraId="45606338" w14:textId="77777777" w:rsidTr="00CA5E84">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1616460D" w14:textId="77777777" w:rsidR="00E549FD" w:rsidRPr="00073677" w:rsidRDefault="00E549FD" w:rsidP="00E549FD">
            <w:pPr>
              <w:rPr>
                <w:rFonts w:cs="Calibri"/>
                <w:color w:val="000000" w:themeColor="text1"/>
                <w:sz w:val="13"/>
                <w:szCs w:val="13"/>
              </w:rPr>
            </w:pPr>
            <w:r w:rsidRPr="00073677">
              <w:rPr>
                <w:rFonts w:cs="Calibri"/>
                <w:color w:val="000000" w:themeColor="text1"/>
                <w:sz w:val="13"/>
                <w:szCs w:val="13"/>
              </w:rPr>
              <w:t>- Kontrakty CIRS</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6F8A2ECC" w14:textId="2A2B643F" w:rsidR="00E549FD" w:rsidRPr="00B97300" w:rsidRDefault="00E549FD" w:rsidP="00E549FD">
            <w:pPr>
              <w:jc w:val="right"/>
              <w:rPr>
                <w:rFonts w:cs="Calibri"/>
                <w:color w:val="000000" w:themeColor="text1"/>
                <w:sz w:val="13"/>
                <w:szCs w:val="13"/>
              </w:rPr>
            </w:pPr>
            <w:r w:rsidRPr="00B97300">
              <w:rPr>
                <w:color w:val="000000" w:themeColor="text1"/>
                <w:sz w:val="13"/>
                <w:szCs w:val="13"/>
              </w:rPr>
              <w:t>11 659 765</w:t>
            </w:r>
          </w:p>
        </w:tc>
        <w:tc>
          <w:tcPr>
            <w:tcW w:w="1304" w:type="dxa"/>
            <w:tcBorders>
              <w:top w:val="nil"/>
              <w:left w:val="nil"/>
              <w:bottom w:val="single" w:sz="4" w:space="0" w:color="0077BD"/>
              <w:right w:val="single" w:sz="8" w:space="0" w:color="0077BD"/>
            </w:tcBorders>
            <w:shd w:val="clear" w:color="auto" w:fill="auto"/>
            <w:vAlign w:val="center"/>
          </w:tcPr>
          <w:p w14:paraId="23322C4A" w14:textId="00122F0B" w:rsidR="00E549FD" w:rsidRPr="00B97300" w:rsidRDefault="00E549FD" w:rsidP="00E549FD">
            <w:pPr>
              <w:jc w:val="right"/>
              <w:rPr>
                <w:rFonts w:cs="Calibri"/>
                <w:color w:val="000000" w:themeColor="text1"/>
                <w:sz w:val="13"/>
                <w:szCs w:val="13"/>
              </w:rPr>
            </w:pPr>
            <w:r w:rsidRPr="00B97300">
              <w:rPr>
                <w:color w:val="000000" w:themeColor="text1"/>
                <w:sz w:val="13"/>
                <w:szCs w:val="13"/>
              </w:rPr>
              <w:t>11 697 787</w:t>
            </w:r>
          </w:p>
        </w:tc>
        <w:tc>
          <w:tcPr>
            <w:tcW w:w="1304" w:type="dxa"/>
            <w:tcBorders>
              <w:top w:val="nil"/>
              <w:left w:val="nil"/>
              <w:bottom w:val="single" w:sz="4" w:space="0" w:color="0077BD"/>
              <w:right w:val="single" w:sz="8" w:space="0" w:color="0077BD"/>
            </w:tcBorders>
            <w:shd w:val="clear" w:color="auto" w:fill="auto"/>
            <w:vAlign w:val="center"/>
          </w:tcPr>
          <w:p w14:paraId="56D9E72D" w14:textId="1B1AFFEE" w:rsidR="00E549FD" w:rsidRPr="00B97300" w:rsidRDefault="00E549FD" w:rsidP="00E549FD">
            <w:pPr>
              <w:jc w:val="right"/>
              <w:rPr>
                <w:rFonts w:cs="Calibri"/>
                <w:color w:val="000000" w:themeColor="text1"/>
                <w:sz w:val="13"/>
                <w:szCs w:val="13"/>
              </w:rPr>
            </w:pPr>
            <w:r w:rsidRPr="00B97300">
              <w:rPr>
                <w:color w:val="000000" w:themeColor="text1"/>
                <w:sz w:val="13"/>
                <w:szCs w:val="13"/>
              </w:rPr>
              <w:t>36 749</w:t>
            </w:r>
          </w:p>
        </w:tc>
        <w:tc>
          <w:tcPr>
            <w:tcW w:w="1304" w:type="dxa"/>
            <w:tcBorders>
              <w:top w:val="nil"/>
              <w:left w:val="nil"/>
              <w:bottom w:val="single" w:sz="4" w:space="0" w:color="0077BD"/>
              <w:right w:val="nil"/>
            </w:tcBorders>
            <w:shd w:val="clear" w:color="auto" w:fill="auto"/>
            <w:vAlign w:val="center"/>
          </w:tcPr>
          <w:p w14:paraId="00869074" w14:textId="205390E1" w:rsidR="00E549FD" w:rsidRPr="00B97300" w:rsidRDefault="00E549FD" w:rsidP="00E549FD">
            <w:pPr>
              <w:jc w:val="right"/>
              <w:rPr>
                <w:rFonts w:cs="Calibri"/>
                <w:color w:val="000000" w:themeColor="text1"/>
                <w:sz w:val="13"/>
                <w:szCs w:val="13"/>
              </w:rPr>
            </w:pPr>
            <w:r w:rsidRPr="00B97300">
              <w:rPr>
                <w:color w:val="000000" w:themeColor="text1"/>
                <w:sz w:val="13"/>
                <w:szCs w:val="13"/>
              </w:rPr>
              <w:t>51 859</w:t>
            </w:r>
          </w:p>
        </w:tc>
      </w:tr>
      <w:tr w:rsidR="00E549FD" w:rsidRPr="0068723D" w14:paraId="0B6C0744" w14:textId="77777777" w:rsidTr="00CA5E84">
        <w:trPr>
          <w:trHeight w:val="340"/>
        </w:trPr>
        <w:tc>
          <w:tcPr>
            <w:tcW w:w="4365" w:type="dxa"/>
            <w:tcBorders>
              <w:top w:val="nil"/>
              <w:left w:val="nil"/>
              <w:bottom w:val="single" w:sz="8" w:space="0" w:color="0077BD"/>
              <w:right w:val="single" w:sz="8" w:space="0" w:color="0077BD"/>
            </w:tcBorders>
            <w:shd w:val="clear" w:color="auto" w:fill="auto"/>
            <w:vAlign w:val="center"/>
            <w:hideMark/>
          </w:tcPr>
          <w:p w14:paraId="1DCB3436" w14:textId="77777777" w:rsidR="00E549FD" w:rsidRPr="00073677" w:rsidRDefault="00E549FD" w:rsidP="007F2E4F">
            <w:pPr>
              <w:ind w:left="110" w:hanging="110"/>
              <w:rPr>
                <w:rFonts w:cs="Calibri"/>
                <w:color w:val="000000" w:themeColor="text1"/>
                <w:sz w:val="13"/>
                <w:szCs w:val="13"/>
              </w:rPr>
            </w:pPr>
            <w:r w:rsidRPr="00073677">
              <w:rPr>
                <w:rFonts w:cs="Calibri"/>
                <w:color w:val="000000" w:themeColor="text1"/>
                <w:sz w:val="13"/>
                <w:szCs w:val="13"/>
              </w:rPr>
              <w:t>- Opcje walutowe kupione lub sprzedane w obrocie pozagiełdowym</w:t>
            </w:r>
          </w:p>
        </w:tc>
        <w:tc>
          <w:tcPr>
            <w:tcW w:w="1304" w:type="dxa"/>
            <w:tcBorders>
              <w:top w:val="nil"/>
              <w:left w:val="single" w:sz="8" w:space="0" w:color="0077BD"/>
              <w:bottom w:val="single" w:sz="8" w:space="0" w:color="0077BD"/>
              <w:right w:val="single" w:sz="8" w:space="0" w:color="0077BD"/>
            </w:tcBorders>
            <w:shd w:val="clear" w:color="auto" w:fill="auto"/>
            <w:vAlign w:val="center"/>
          </w:tcPr>
          <w:p w14:paraId="179ECAE5" w14:textId="657A53B7" w:rsidR="00E549FD" w:rsidRPr="00B97300" w:rsidRDefault="00E549FD" w:rsidP="00E549FD">
            <w:pPr>
              <w:jc w:val="right"/>
              <w:rPr>
                <w:rFonts w:cs="Calibri"/>
                <w:color w:val="000000" w:themeColor="text1"/>
                <w:sz w:val="13"/>
                <w:szCs w:val="13"/>
              </w:rPr>
            </w:pPr>
            <w:r w:rsidRPr="00B97300">
              <w:rPr>
                <w:color w:val="000000" w:themeColor="text1"/>
                <w:sz w:val="13"/>
                <w:szCs w:val="13"/>
              </w:rPr>
              <w:t>4 018 320</w:t>
            </w:r>
          </w:p>
        </w:tc>
        <w:tc>
          <w:tcPr>
            <w:tcW w:w="1304" w:type="dxa"/>
            <w:tcBorders>
              <w:top w:val="nil"/>
              <w:left w:val="nil"/>
              <w:bottom w:val="single" w:sz="8" w:space="0" w:color="0077BD"/>
              <w:right w:val="single" w:sz="8" w:space="0" w:color="0077BD"/>
            </w:tcBorders>
            <w:shd w:val="clear" w:color="auto" w:fill="auto"/>
            <w:vAlign w:val="center"/>
          </w:tcPr>
          <w:p w14:paraId="41DA6D69" w14:textId="5E4DDEFE" w:rsidR="00E549FD" w:rsidRPr="00B97300" w:rsidRDefault="00E549FD" w:rsidP="00E549FD">
            <w:pPr>
              <w:jc w:val="right"/>
              <w:rPr>
                <w:rFonts w:cs="Calibri"/>
                <w:color w:val="000000" w:themeColor="text1"/>
                <w:sz w:val="13"/>
                <w:szCs w:val="13"/>
              </w:rPr>
            </w:pPr>
            <w:r w:rsidRPr="00B97300">
              <w:rPr>
                <w:color w:val="000000" w:themeColor="text1"/>
                <w:sz w:val="13"/>
                <w:szCs w:val="13"/>
              </w:rPr>
              <w:t>4 324 731</w:t>
            </w:r>
          </w:p>
        </w:tc>
        <w:tc>
          <w:tcPr>
            <w:tcW w:w="1304" w:type="dxa"/>
            <w:tcBorders>
              <w:top w:val="nil"/>
              <w:left w:val="nil"/>
              <w:bottom w:val="single" w:sz="8" w:space="0" w:color="0077BD"/>
              <w:right w:val="single" w:sz="8" w:space="0" w:color="0077BD"/>
            </w:tcBorders>
            <w:shd w:val="clear" w:color="auto" w:fill="auto"/>
            <w:vAlign w:val="center"/>
          </w:tcPr>
          <w:p w14:paraId="73A43427" w14:textId="363B6FDD" w:rsidR="00E549FD" w:rsidRPr="00B97300" w:rsidRDefault="00E549FD" w:rsidP="00E549FD">
            <w:pPr>
              <w:jc w:val="right"/>
              <w:rPr>
                <w:rFonts w:cs="Calibri"/>
                <w:color w:val="000000" w:themeColor="text1"/>
                <w:sz w:val="13"/>
                <w:szCs w:val="13"/>
              </w:rPr>
            </w:pPr>
            <w:r w:rsidRPr="00B97300">
              <w:rPr>
                <w:color w:val="000000" w:themeColor="text1"/>
                <w:sz w:val="13"/>
                <w:szCs w:val="13"/>
              </w:rPr>
              <w:t>30 626</w:t>
            </w:r>
          </w:p>
        </w:tc>
        <w:tc>
          <w:tcPr>
            <w:tcW w:w="1304" w:type="dxa"/>
            <w:tcBorders>
              <w:top w:val="nil"/>
              <w:left w:val="nil"/>
              <w:bottom w:val="single" w:sz="8" w:space="0" w:color="0077BD"/>
              <w:right w:val="nil"/>
            </w:tcBorders>
            <w:shd w:val="clear" w:color="auto" w:fill="auto"/>
            <w:vAlign w:val="center"/>
          </w:tcPr>
          <w:p w14:paraId="7D71A24B" w14:textId="10BC8422" w:rsidR="00E549FD" w:rsidRPr="00B97300" w:rsidRDefault="00E549FD" w:rsidP="00E549FD">
            <w:pPr>
              <w:jc w:val="right"/>
              <w:rPr>
                <w:rFonts w:cs="Calibri"/>
                <w:color w:val="000000" w:themeColor="text1"/>
                <w:sz w:val="13"/>
                <w:szCs w:val="13"/>
              </w:rPr>
            </w:pPr>
            <w:r w:rsidRPr="00B97300">
              <w:rPr>
                <w:color w:val="000000" w:themeColor="text1"/>
                <w:sz w:val="13"/>
                <w:szCs w:val="13"/>
              </w:rPr>
              <w:t>56 647</w:t>
            </w:r>
          </w:p>
        </w:tc>
      </w:tr>
      <w:tr w:rsidR="00E549FD" w:rsidRPr="0068723D" w14:paraId="5E11E405" w14:textId="77777777" w:rsidTr="00CA5E84">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4A5F8475" w14:textId="77777777" w:rsidR="00E549FD" w:rsidRPr="00073677" w:rsidRDefault="00E549FD" w:rsidP="00E549FD">
            <w:pPr>
              <w:rPr>
                <w:rFonts w:cs="Calibri"/>
                <w:b/>
                <w:bCs/>
                <w:color w:val="000000" w:themeColor="text1"/>
                <w:sz w:val="13"/>
                <w:szCs w:val="13"/>
              </w:rPr>
            </w:pPr>
            <w:r w:rsidRPr="00073677">
              <w:rPr>
                <w:rFonts w:cs="Calibri"/>
                <w:b/>
                <w:bCs/>
                <w:color w:val="000000" w:themeColor="text1"/>
                <w:sz w:val="13"/>
                <w:szCs w:val="13"/>
              </w:rPr>
              <w:t>Razem instrumenty pochodne z transakcji pozagiełdowych</w:t>
            </w:r>
          </w:p>
        </w:tc>
        <w:tc>
          <w:tcPr>
            <w:tcW w:w="1304" w:type="dxa"/>
            <w:tcBorders>
              <w:top w:val="nil"/>
              <w:left w:val="single" w:sz="8" w:space="0" w:color="0077BD"/>
              <w:bottom w:val="single" w:sz="8" w:space="0" w:color="0077BD"/>
              <w:right w:val="single" w:sz="8" w:space="0" w:color="0077BD"/>
            </w:tcBorders>
            <w:shd w:val="clear" w:color="auto" w:fill="auto"/>
            <w:vAlign w:val="center"/>
          </w:tcPr>
          <w:p w14:paraId="4D6964A7" w14:textId="62AA34C5"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44 979 203</w:t>
            </w:r>
          </w:p>
        </w:tc>
        <w:tc>
          <w:tcPr>
            <w:tcW w:w="1304" w:type="dxa"/>
            <w:tcBorders>
              <w:top w:val="nil"/>
              <w:left w:val="nil"/>
              <w:bottom w:val="single" w:sz="8" w:space="0" w:color="0077BD"/>
              <w:right w:val="single" w:sz="8" w:space="0" w:color="0077BD"/>
            </w:tcBorders>
            <w:shd w:val="clear" w:color="auto" w:fill="auto"/>
            <w:vAlign w:val="center"/>
          </w:tcPr>
          <w:p w14:paraId="5F4746F0" w14:textId="34D78272"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45 444 215</w:t>
            </w:r>
          </w:p>
        </w:tc>
        <w:tc>
          <w:tcPr>
            <w:tcW w:w="1304" w:type="dxa"/>
            <w:tcBorders>
              <w:top w:val="nil"/>
              <w:left w:val="nil"/>
              <w:bottom w:val="single" w:sz="8" w:space="0" w:color="0077BD"/>
              <w:right w:val="single" w:sz="8" w:space="0" w:color="0077BD"/>
            </w:tcBorders>
            <w:shd w:val="clear" w:color="auto" w:fill="auto"/>
            <w:vAlign w:val="center"/>
          </w:tcPr>
          <w:p w14:paraId="4C795115" w14:textId="7D742AB6"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244 923</w:t>
            </w:r>
          </w:p>
        </w:tc>
        <w:tc>
          <w:tcPr>
            <w:tcW w:w="1304" w:type="dxa"/>
            <w:tcBorders>
              <w:top w:val="nil"/>
              <w:left w:val="nil"/>
              <w:bottom w:val="single" w:sz="8" w:space="0" w:color="0077BD"/>
              <w:right w:val="nil"/>
            </w:tcBorders>
            <w:shd w:val="clear" w:color="auto" w:fill="auto"/>
            <w:vAlign w:val="center"/>
          </w:tcPr>
          <w:p w14:paraId="6528820C" w14:textId="0C8F00F4"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344 823</w:t>
            </w:r>
          </w:p>
        </w:tc>
      </w:tr>
      <w:tr w:rsidR="00E549FD" w:rsidRPr="0068723D" w14:paraId="056264D9" w14:textId="77777777" w:rsidTr="0002753C">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6F656F9A" w14:textId="77777777" w:rsidR="00E549FD" w:rsidRPr="00073677" w:rsidRDefault="00E549FD" w:rsidP="00E549FD">
            <w:pPr>
              <w:rPr>
                <w:rFonts w:cs="Calibri"/>
                <w:color w:val="000000" w:themeColor="text1"/>
                <w:sz w:val="13"/>
                <w:szCs w:val="13"/>
              </w:rPr>
            </w:pPr>
            <w:r w:rsidRPr="00073677">
              <w:rPr>
                <w:rFonts w:cs="Calibri"/>
                <w:color w:val="000000" w:themeColor="text1"/>
                <w:sz w:val="13"/>
                <w:szCs w:val="13"/>
              </w:rPr>
              <w:t>- Walutowe kontrakty futures</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21775458" w14:textId="3B788305" w:rsidR="00E549FD" w:rsidRPr="00B97300" w:rsidRDefault="00E549FD" w:rsidP="00E549FD">
            <w:pPr>
              <w:jc w:val="right"/>
              <w:rPr>
                <w:rFonts w:cs="Calibri"/>
                <w:color w:val="000000" w:themeColor="text1"/>
                <w:sz w:val="13"/>
                <w:szCs w:val="13"/>
              </w:rPr>
            </w:pPr>
            <w:r w:rsidRPr="00B97300">
              <w:rPr>
                <w:color w:val="000000" w:themeColor="text1"/>
                <w:sz w:val="13"/>
                <w:szCs w:val="13"/>
              </w:rPr>
              <w:t>282 677</w:t>
            </w:r>
          </w:p>
        </w:tc>
        <w:tc>
          <w:tcPr>
            <w:tcW w:w="1304" w:type="dxa"/>
            <w:tcBorders>
              <w:top w:val="nil"/>
              <w:left w:val="nil"/>
              <w:bottom w:val="single" w:sz="4" w:space="0" w:color="0077BD"/>
              <w:right w:val="single" w:sz="8" w:space="0" w:color="0077BD"/>
            </w:tcBorders>
            <w:shd w:val="clear" w:color="auto" w:fill="auto"/>
            <w:vAlign w:val="center"/>
          </w:tcPr>
          <w:p w14:paraId="79EB6EEF" w14:textId="5967C29E" w:rsidR="00E549FD" w:rsidRPr="00B97300" w:rsidRDefault="00E549FD" w:rsidP="00E549FD">
            <w:pPr>
              <w:jc w:val="right"/>
              <w:rPr>
                <w:rFonts w:cs="Calibri"/>
                <w:color w:val="000000" w:themeColor="text1"/>
                <w:sz w:val="13"/>
                <w:szCs w:val="13"/>
              </w:rPr>
            </w:pPr>
            <w:r w:rsidRPr="00B97300">
              <w:rPr>
                <w:color w:val="000000" w:themeColor="text1"/>
                <w:sz w:val="13"/>
                <w:szCs w:val="13"/>
              </w:rPr>
              <w:t>283 586</w:t>
            </w:r>
          </w:p>
        </w:tc>
        <w:tc>
          <w:tcPr>
            <w:tcW w:w="1304" w:type="dxa"/>
            <w:tcBorders>
              <w:top w:val="nil"/>
              <w:left w:val="nil"/>
              <w:bottom w:val="single" w:sz="4" w:space="0" w:color="0077BD"/>
              <w:right w:val="single" w:sz="8" w:space="0" w:color="0077BD"/>
            </w:tcBorders>
            <w:shd w:val="clear" w:color="auto" w:fill="auto"/>
            <w:vAlign w:val="center"/>
          </w:tcPr>
          <w:p w14:paraId="580BC527" w14:textId="71242FA7" w:rsidR="00E549FD" w:rsidRPr="00B97300" w:rsidRDefault="00E549FD" w:rsidP="00E549FD">
            <w:pPr>
              <w:jc w:val="right"/>
              <w:rPr>
                <w:rFonts w:cs="Calibri"/>
                <w:color w:val="000000" w:themeColor="text1"/>
                <w:sz w:val="13"/>
                <w:szCs w:val="13"/>
              </w:rPr>
            </w:pPr>
            <w:r w:rsidRPr="00B97300">
              <w:rPr>
                <w:color w:val="000000" w:themeColor="text1"/>
                <w:sz w:val="13"/>
                <w:szCs w:val="13"/>
              </w:rPr>
              <w:t>-</w:t>
            </w:r>
          </w:p>
        </w:tc>
        <w:tc>
          <w:tcPr>
            <w:tcW w:w="1304" w:type="dxa"/>
            <w:tcBorders>
              <w:top w:val="nil"/>
              <w:left w:val="nil"/>
              <w:bottom w:val="single" w:sz="4" w:space="0" w:color="0077BD"/>
              <w:right w:val="nil"/>
            </w:tcBorders>
            <w:shd w:val="clear" w:color="auto" w:fill="auto"/>
            <w:vAlign w:val="center"/>
          </w:tcPr>
          <w:p w14:paraId="56974C99" w14:textId="38B0E0C3" w:rsidR="00E549FD" w:rsidRPr="00B97300" w:rsidRDefault="00E549FD" w:rsidP="00E549FD">
            <w:pPr>
              <w:jc w:val="right"/>
              <w:rPr>
                <w:rFonts w:cs="Calibri"/>
                <w:color w:val="000000" w:themeColor="text1"/>
                <w:sz w:val="13"/>
                <w:szCs w:val="13"/>
              </w:rPr>
            </w:pPr>
            <w:r w:rsidRPr="00B97300">
              <w:rPr>
                <w:color w:val="000000" w:themeColor="text1"/>
                <w:sz w:val="13"/>
                <w:szCs w:val="13"/>
              </w:rPr>
              <w:t>-</w:t>
            </w:r>
          </w:p>
        </w:tc>
      </w:tr>
      <w:tr w:rsidR="00E549FD" w:rsidRPr="0068723D" w14:paraId="0467155C" w14:textId="77777777" w:rsidTr="007058A7">
        <w:trPr>
          <w:trHeight w:val="255"/>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2C97819A" w14:textId="77777777" w:rsidR="00E549FD" w:rsidRPr="00073677" w:rsidRDefault="00E549FD" w:rsidP="00E549FD">
            <w:pPr>
              <w:rPr>
                <w:rFonts w:cs="Calibri"/>
                <w:b/>
                <w:bCs/>
                <w:color w:val="000000" w:themeColor="text1"/>
                <w:sz w:val="13"/>
                <w:szCs w:val="13"/>
              </w:rPr>
            </w:pPr>
            <w:r w:rsidRPr="00073677">
              <w:rPr>
                <w:rFonts w:cs="Calibri"/>
                <w:b/>
                <w:bCs/>
                <w:color w:val="000000" w:themeColor="text1"/>
                <w:sz w:val="13"/>
                <w:szCs w:val="13"/>
              </w:rPr>
              <w:t>Razem walutowe instrumenty pochodne</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B53CC82" w14:textId="70F1DCC0"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45 261 880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68D96FB7" w14:textId="0CCE3C53"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45 727 801</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789FAD2C" w14:textId="42306AFB"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244 923</w:t>
            </w:r>
          </w:p>
        </w:tc>
        <w:tc>
          <w:tcPr>
            <w:tcW w:w="1304" w:type="dxa"/>
            <w:tcBorders>
              <w:top w:val="single" w:sz="8" w:space="0" w:color="0077BD"/>
              <w:left w:val="nil"/>
              <w:bottom w:val="single" w:sz="8" w:space="0" w:color="0077BD"/>
              <w:right w:val="nil"/>
            </w:tcBorders>
            <w:shd w:val="clear" w:color="auto" w:fill="auto"/>
            <w:vAlign w:val="center"/>
          </w:tcPr>
          <w:p w14:paraId="20C36E31" w14:textId="454C989F" w:rsidR="00E549FD" w:rsidRPr="00B97300" w:rsidRDefault="00E549FD" w:rsidP="00E549FD">
            <w:pPr>
              <w:jc w:val="right"/>
              <w:rPr>
                <w:rFonts w:cs="Calibri"/>
                <w:b/>
                <w:bCs/>
                <w:color w:val="000000" w:themeColor="text1"/>
                <w:sz w:val="13"/>
                <w:szCs w:val="13"/>
              </w:rPr>
            </w:pPr>
            <w:r w:rsidRPr="00B97300">
              <w:rPr>
                <w:b/>
                <w:bCs/>
                <w:color w:val="000000" w:themeColor="text1"/>
                <w:sz w:val="13"/>
                <w:szCs w:val="13"/>
              </w:rPr>
              <w:t>344 823</w:t>
            </w:r>
          </w:p>
        </w:tc>
      </w:tr>
      <w:tr w:rsidR="00AB09FA" w:rsidRPr="0068723D" w14:paraId="20F8FE02" w14:textId="77777777" w:rsidTr="00E732B3">
        <w:trPr>
          <w:trHeight w:val="255"/>
        </w:trPr>
        <w:tc>
          <w:tcPr>
            <w:tcW w:w="4365" w:type="dxa"/>
            <w:tcBorders>
              <w:top w:val="single" w:sz="8" w:space="0" w:color="0077BD"/>
              <w:left w:val="nil"/>
              <w:bottom w:val="single" w:sz="8" w:space="0" w:color="0077BD"/>
              <w:right w:val="nil"/>
            </w:tcBorders>
            <w:shd w:val="clear" w:color="000000" w:fill="FFFFFF"/>
            <w:vAlign w:val="center"/>
            <w:hideMark/>
          </w:tcPr>
          <w:p w14:paraId="01AB2FCF" w14:textId="77777777" w:rsidR="00AB09FA" w:rsidRPr="00073677" w:rsidRDefault="00AB09FA" w:rsidP="007A72B1">
            <w:pPr>
              <w:rPr>
                <w:rFonts w:cs="Calibri"/>
                <w:b/>
                <w:bCs/>
                <w:color w:val="000000" w:themeColor="text1"/>
                <w:sz w:val="13"/>
                <w:szCs w:val="13"/>
              </w:rPr>
            </w:pPr>
            <w:r w:rsidRPr="00073677">
              <w:rPr>
                <w:rFonts w:cs="Calibri"/>
                <w:b/>
                <w:bCs/>
                <w:color w:val="000000" w:themeColor="text1"/>
                <w:sz w:val="13"/>
                <w:szCs w:val="13"/>
              </w:rPr>
              <w:t>Pochodne na stopę procentową</w:t>
            </w:r>
          </w:p>
        </w:tc>
        <w:tc>
          <w:tcPr>
            <w:tcW w:w="1304" w:type="dxa"/>
            <w:tcBorders>
              <w:top w:val="single" w:sz="8" w:space="0" w:color="0077BD"/>
              <w:left w:val="nil"/>
              <w:bottom w:val="single" w:sz="8" w:space="0" w:color="0077BD"/>
              <w:right w:val="nil"/>
            </w:tcBorders>
            <w:shd w:val="clear" w:color="000000" w:fill="FFFFFF"/>
            <w:noWrap/>
            <w:vAlign w:val="center"/>
          </w:tcPr>
          <w:p w14:paraId="1F55D352" w14:textId="4EAF5D68" w:rsidR="00AB09FA" w:rsidRPr="00073677"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3A98B055" w14:textId="71F7E8EA" w:rsidR="00AB09FA" w:rsidRPr="00073677"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0EB1788F" w14:textId="0195FC2D" w:rsidR="00AB09FA" w:rsidRPr="00073677"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496ACAF5" w14:textId="65BC3DA6" w:rsidR="00AB09FA" w:rsidRPr="00073677" w:rsidRDefault="00AB09FA" w:rsidP="007A72B1">
            <w:pPr>
              <w:jc w:val="right"/>
              <w:rPr>
                <w:rFonts w:cs="Calibri"/>
                <w:b/>
                <w:bCs/>
                <w:color w:val="000000" w:themeColor="text1"/>
                <w:sz w:val="13"/>
                <w:szCs w:val="13"/>
              </w:rPr>
            </w:pPr>
          </w:p>
        </w:tc>
      </w:tr>
      <w:tr w:rsidR="00175DB0" w:rsidRPr="0068723D" w14:paraId="16BE165B" w14:textId="77777777" w:rsidTr="00CA5E84">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0B3566E0" w14:textId="77777777" w:rsidR="00175DB0" w:rsidRPr="00073677" w:rsidRDefault="00175DB0" w:rsidP="00175DB0">
            <w:pPr>
              <w:rPr>
                <w:rFonts w:cs="Calibri"/>
                <w:color w:val="000000" w:themeColor="text1"/>
                <w:sz w:val="13"/>
                <w:szCs w:val="13"/>
              </w:rPr>
            </w:pPr>
            <w:r w:rsidRPr="00073677">
              <w:rPr>
                <w:rFonts w:cs="Calibri"/>
                <w:color w:val="000000" w:themeColor="text1"/>
                <w:sz w:val="13"/>
                <w:szCs w:val="13"/>
              </w:rPr>
              <w:t>- Kontrakty IRS, OIS</w:t>
            </w:r>
          </w:p>
        </w:tc>
        <w:tc>
          <w:tcPr>
            <w:tcW w:w="1304" w:type="dxa"/>
            <w:tcBorders>
              <w:top w:val="single" w:sz="8" w:space="0" w:color="0077BD"/>
              <w:left w:val="single" w:sz="8" w:space="0" w:color="0077BD"/>
              <w:bottom w:val="single" w:sz="4" w:space="0" w:color="0077BD"/>
              <w:right w:val="single" w:sz="8" w:space="0" w:color="0077BD"/>
            </w:tcBorders>
            <w:shd w:val="clear" w:color="auto" w:fill="auto"/>
            <w:vAlign w:val="center"/>
          </w:tcPr>
          <w:p w14:paraId="1AB8522E" w14:textId="1C7A2750"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213 857 628</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2C356808" w14:textId="71766A76" w:rsidR="00175DB0" w:rsidRPr="00B97300" w:rsidRDefault="004C5B27" w:rsidP="00252C1A">
            <w:pPr>
              <w:jc w:val="right"/>
              <w:rPr>
                <w:rFonts w:cs="Calibri"/>
                <w:color w:val="000000" w:themeColor="text1"/>
                <w:sz w:val="13"/>
                <w:szCs w:val="13"/>
              </w:rPr>
            </w:pPr>
            <w:r w:rsidRPr="00B97300">
              <w:rPr>
                <w:rFonts w:cs="Calibri"/>
                <w:color w:val="000000" w:themeColor="text1"/>
                <w:sz w:val="13"/>
                <w:szCs w:val="13"/>
              </w:rPr>
              <w:t>213 857 62</w:t>
            </w:r>
            <w:r w:rsidR="00252C1A">
              <w:rPr>
                <w:rFonts w:cs="Calibri"/>
                <w:color w:val="000000" w:themeColor="text1"/>
                <w:sz w:val="13"/>
                <w:szCs w:val="13"/>
              </w:rPr>
              <w:t>9</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17E4D306" w14:textId="2ABF79BD"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658 860</w:t>
            </w:r>
          </w:p>
        </w:tc>
        <w:tc>
          <w:tcPr>
            <w:tcW w:w="1304" w:type="dxa"/>
            <w:tcBorders>
              <w:top w:val="single" w:sz="8" w:space="0" w:color="0077BD"/>
              <w:left w:val="nil"/>
              <w:bottom w:val="single" w:sz="4" w:space="0" w:color="0077BD"/>
              <w:right w:val="nil"/>
            </w:tcBorders>
            <w:shd w:val="clear" w:color="auto" w:fill="auto"/>
            <w:vAlign w:val="center"/>
          </w:tcPr>
          <w:p w14:paraId="40805809" w14:textId="4881A618"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607 837</w:t>
            </w:r>
          </w:p>
        </w:tc>
      </w:tr>
      <w:tr w:rsidR="00175DB0" w:rsidRPr="0068723D" w14:paraId="5DCA7D16" w14:textId="77777777" w:rsidTr="00CA5E84">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156C66AB" w14:textId="77777777" w:rsidR="00175DB0" w:rsidRPr="00073677" w:rsidRDefault="00175DB0" w:rsidP="00175DB0">
            <w:pPr>
              <w:rPr>
                <w:rFonts w:cs="Calibri"/>
                <w:color w:val="000000" w:themeColor="text1"/>
                <w:sz w:val="13"/>
                <w:szCs w:val="13"/>
              </w:rPr>
            </w:pPr>
            <w:r w:rsidRPr="00073677">
              <w:rPr>
                <w:rFonts w:cs="Calibri"/>
                <w:color w:val="000000" w:themeColor="text1"/>
                <w:sz w:val="13"/>
                <w:szCs w:val="13"/>
              </w:rPr>
              <w:t>- Kontrakty FRA</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7AAB7E24" w14:textId="62AE451C"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7 150 000</w:t>
            </w:r>
          </w:p>
        </w:tc>
        <w:tc>
          <w:tcPr>
            <w:tcW w:w="1304" w:type="dxa"/>
            <w:tcBorders>
              <w:top w:val="nil"/>
              <w:left w:val="nil"/>
              <w:bottom w:val="single" w:sz="4" w:space="0" w:color="0077BD"/>
              <w:right w:val="single" w:sz="8" w:space="0" w:color="0077BD"/>
            </w:tcBorders>
            <w:shd w:val="clear" w:color="auto" w:fill="auto"/>
            <w:vAlign w:val="center"/>
          </w:tcPr>
          <w:p w14:paraId="20132AFC" w14:textId="169AEFF7"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5 725 850</w:t>
            </w:r>
          </w:p>
        </w:tc>
        <w:tc>
          <w:tcPr>
            <w:tcW w:w="1304" w:type="dxa"/>
            <w:tcBorders>
              <w:top w:val="nil"/>
              <w:left w:val="nil"/>
              <w:bottom w:val="single" w:sz="4" w:space="0" w:color="0077BD"/>
              <w:right w:val="single" w:sz="8" w:space="0" w:color="0077BD"/>
            </w:tcBorders>
            <w:shd w:val="clear" w:color="auto" w:fill="auto"/>
            <w:vAlign w:val="center"/>
          </w:tcPr>
          <w:p w14:paraId="1A64BB6C" w14:textId="4F55D136"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42</w:t>
            </w:r>
          </w:p>
        </w:tc>
        <w:tc>
          <w:tcPr>
            <w:tcW w:w="1304" w:type="dxa"/>
            <w:tcBorders>
              <w:top w:val="nil"/>
              <w:left w:val="nil"/>
              <w:bottom w:val="single" w:sz="4" w:space="0" w:color="0077BD"/>
              <w:right w:val="nil"/>
            </w:tcBorders>
            <w:shd w:val="clear" w:color="auto" w:fill="auto"/>
            <w:vAlign w:val="center"/>
          </w:tcPr>
          <w:p w14:paraId="2576E8B7" w14:textId="234A9360"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24</w:t>
            </w:r>
          </w:p>
        </w:tc>
      </w:tr>
      <w:tr w:rsidR="00175DB0" w:rsidRPr="0068723D" w14:paraId="1C32EABB" w14:textId="77777777" w:rsidTr="0002753C">
        <w:trPr>
          <w:trHeight w:val="340"/>
        </w:trPr>
        <w:tc>
          <w:tcPr>
            <w:tcW w:w="4365" w:type="dxa"/>
            <w:tcBorders>
              <w:top w:val="nil"/>
              <w:left w:val="nil"/>
              <w:bottom w:val="single" w:sz="8" w:space="0" w:color="0077BD"/>
              <w:right w:val="single" w:sz="8" w:space="0" w:color="0077BD"/>
            </w:tcBorders>
            <w:shd w:val="clear" w:color="auto" w:fill="auto"/>
            <w:vAlign w:val="center"/>
            <w:hideMark/>
          </w:tcPr>
          <w:p w14:paraId="3C2D8F35" w14:textId="77777777" w:rsidR="00175DB0" w:rsidRPr="00073677" w:rsidRDefault="00175DB0" w:rsidP="007F2E4F">
            <w:pPr>
              <w:ind w:left="110" w:hanging="110"/>
              <w:rPr>
                <w:rFonts w:cs="Calibri"/>
                <w:color w:val="000000" w:themeColor="text1"/>
                <w:sz w:val="13"/>
                <w:szCs w:val="13"/>
              </w:rPr>
            </w:pPr>
            <w:r w:rsidRPr="00073677">
              <w:rPr>
                <w:rFonts w:cs="Calibri"/>
                <w:color w:val="000000" w:themeColor="text1"/>
                <w:sz w:val="13"/>
                <w:szCs w:val="13"/>
              </w:rPr>
              <w:t>- Opcje na stopę procentową kupione lub sprzedane w obrocie pozagiełdowym</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3ADBB268" w14:textId="6C51FFF5"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422 692</w:t>
            </w:r>
          </w:p>
        </w:tc>
        <w:tc>
          <w:tcPr>
            <w:tcW w:w="1304" w:type="dxa"/>
            <w:tcBorders>
              <w:top w:val="nil"/>
              <w:left w:val="nil"/>
              <w:bottom w:val="single" w:sz="4" w:space="0" w:color="0077BD"/>
              <w:right w:val="single" w:sz="8" w:space="0" w:color="0077BD"/>
            </w:tcBorders>
            <w:shd w:val="clear" w:color="auto" w:fill="auto"/>
            <w:vAlign w:val="center"/>
          </w:tcPr>
          <w:p w14:paraId="19580491" w14:textId="31579301"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414 647</w:t>
            </w:r>
          </w:p>
        </w:tc>
        <w:tc>
          <w:tcPr>
            <w:tcW w:w="1304" w:type="dxa"/>
            <w:tcBorders>
              <w:top w:val="nil"/>
              <w:left w:val="nil"/>
              <w:bottom w:val="single" w:sz="4" w:space="0" w:color="0077BD"/>
              <w:right w:val="single" w:sz="8" w:space="0" w:color="0077BD"/>
            </w:tcBorders>
            <w:shd w:val="clear" w:color="auto" w:fill="auto"/>
            <w:vAlign w:val="center"/>
          </w:tcPr>
          <w:p w14:paraId="60B3FEC6" w14:textId="6F9E217B"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108</w:t>
            </w:r>
          </w:p>
        </w:tc>
        <w:tc>
          <w:tcPr>
            <w:tcW w:w="1304" w:type="dxa"/>
            <w:tcBorders>
              <w:top w:val="nil"/>
              <w:left w:val="nil"/>
              <w:bottom w:val="single" w:sz="4" w:space="0" w:color="0077BD"/>
              <w:right w:val="nil"/>
            </w:tcBorders>
            <w:shd w:val="clear" w:color="auto" w:fill="auto"/>
            <w:vAlign w:val="center"/>
          </w:tcPr>
          <w:p w14:paraId="7441D26F" w14:textId="20199926" w:rsidR="00175DB0" w:rsidRPr="00B97300" w:rsidRDefault="00175DB0" w:rsidP="00175DB0">
            <w:pPr>
              <w:jc w:val="right"/>
              <w:rPr>
                <w:rFonts w:cs="Calibri"/>
                <w:color w:val="000000" w:themeColor="text1"/>
                <w:sz w:val="13"/>
                <w:szCs w:val="13"/>
              </w:rPr>
            </w:pPr>
            <w:r w:rsidRPr="00B97300">
              <w:rPr>
                <w:rFonts w:cs="Calibri"/>
                <w:color w:val="000000" w:themeColor="text1"/>
                <w:sz w:val="13"/>
                <w:szCs w:val="13"/>
              </w:rPr>
              <w:t>230</w:t>
            </w:r>
          </w:p>
        </w:tc>
      </w:tr>
      <w:tr w:rsidR="00175DB0" w:rsidRPr="0068723D" w14:paraId="08580073" w14:textId="77777777" w:rsidTr="0002753C">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67F52505" w14:textId="77777777" w:rsidR="00175DB0" w:rsidRPr="00073677" w:rsidRDefault="00175DB0" w:rsidP="00175DB0">
            <w:pPr>
              <w:rPr>
                <w:rFonts w:cs="Calibri"/>
                <w:b/>
                <w:bCs/>
                <w:color w:val="000000" w:themeColor="text1"/>
                <w:sz w:val="13"/>
                <w:szCs w:val="13"/>
              </w:rPr>
            </w:pPr>
            <w:r w:rsidRPr="00073677">
              <w:rPr>
                <w:rFonts w:cs="Calibri"/>
                <w:b/>
                <w:bCs/>
                <w:color w:val="000000" w:themeColor="text1"/>
                <w:sz w:val="13"/>
                <w:szCs w:val="13"/>
              </w:rPr>
              <w:t>Razem instrumenty pochodne na stopę procentową</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29A1AFD" w14:textId="45ED5547" w:rsidR="00175DB0" w:rsidRPr="00B97300" w:rsidRDefault="00175DB0" w:rsidP="00175DB0">
            <w:pPr>
              <w:jc w:val="right"/>
              <w:rPr>
                <w:rFonts w:cs="Calibri"/>
                <w:b/>
                <w:bCs/>
                <w:color w:val="000000" w:themeColor="text1"/>
                <w:sz w:val="13"/>
                <w:szCs w:val="13"/>
              </w:rPr>
            </w:pPr>
            <w:r w:rsidRPr="00B97300">
              <w:rPr>
                <w:rFonts w:cs="Calibri"/>
                <w:b/>
                <w:bCs/>
                <w:color w:val="000000" w:themeColor="text1"/>
                <w:sz w:val="13"/>
                <w:szCs w:val="13"/>
              </w:rPr>
              <w:t>221 430 320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2D0A4483" w14:textId="4154C911" w:rsidR="00175DB0" w:rsidRPr="00B97300" w:rsidRDefault="00DB1B73" w:rsidP="00175DB0">
            <w:pPr>
              <w:jc w:val="right"/>
              <w:rPr>
                <w:rFonts w:cs="Calibri"/>
                <w:b/>
                <w:bCs/>
                <w:color w:val="000000" w:themeColor="text1"/>
                <w:sz w:val="13"/>
                <w:szCs w:val="13"/>
              </w:rPr>
            </w:pPr>
            <w:r w:rsidRPr="00B97300">
              <w:rPr>
                <w:rFonts w:cs="Calibri"/>
                <w:b/>
                <w:bCs/>
                <w:color w:val="000000" w:themeColor="text1"/>
                <w:sz w:val="13"/>
                <w:szCs w:val="13"/>
              </w:rPr>
              <w:t>219 998 126</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7DF31EF1" w14:textId="1365BC4F" w:rsidR="00175DB0" w:rsidRPr="00B97300" w:rsidRDefault="00175DB0" w:rsidP="00175DB0">
            <w:pPr>
              <w:jc w:val="right"/>
              <w:rPr>
                <w:rFonts w:cs="Calibri"/>
                <w:b/>
                <w:bCs/>
                <w:color w:val="000000" w:themeColor="text1"/>
                <w:sz w:val="13"/>
                <w:szCs w:val="13"/>
              </w:rPr>
            </w:pPr>
            <w:r w:rsidRPr="00B97300">
              <w:rPr>
                <w:rFonts w:cs="Calibri"/>
                <w:b/>
                <w:bCs/>
                <w:color w:val="000000" w:themeColor="text1"/>
                <w:sz w:val="13"/>
                <w:szCs w:val="13"/>
              </w:rPr>
              <w:t>659 010</w:t>
            </w:r>
          </w:p>
        </w:tc>
        <w:tc>
          <w:tcPr>
            <w:tcW w:w="1304" w:type="dxa"/>
            <w:tcBorders>
              <w:top w:val="single" w:sz="8" w:space="0" w:color="0077BD"/>
              <w:left w:val="nil"/>
              <w:bottom w:val="single" w:sz="8" w:space="0" w:color="0077BD"/>
              <w:right w:val="nil"/>
            </w:tcBorders>
            <w:shd w:val="clear" w:color="auto" w:fill="auto"/>
            <w:vAlign w:val="center"/>
          </w:tcPr>
          <w:p w14:paraId="72F6FD15" w14:textId="309C7FBD" w:rsidR="00175DB0" w:rsidRPr="00B97300" w:rsidRDefault="00175DB0" w:rsidP="00175DB0">
            <w:pPr>
              <w:jc w:val="right"/>
              <w:rPr>
                <w:rFonts w:cs="Calibri"/>
                <w:b/>
                <w:bCs/>
                <w:color w:val="000000" w:themeColor="text1"/>
                <w:sz w:val="13"/>
                <w:szCs w:val="13"/>
              </w:rPr>
            </w:pPr>
            <w:r w:rsidRPr="00B97300">
              <w:rPr>
                <w:rFonts w:cs="Calibri"/>
                <w:b/>
                <w:bCs/>
                <w:color w:val="000000" w:themeColor="text1"/>
                <w:sz w:val="13"/>
                <w:szCs w:val="13"/>
              </w:rPr>
              <w:t>608 091</w:t>
            </w:r>
          </w:p>
        </w:tc>
      </w:tr>
      <w:tr w:rsidR="007058A7" w:rsidRPr="0068723D" w14:paraId="6041FA0F" w14:textId="77777777" w:rsidTr="00CA5E84">
        <w:trPr>
          <w:trHeight w:val="255"/>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3315EBF5" w14:textId="77777777" w:rsidR="007058A7" w:rsidRPr="00073677" w:rsidRDefault="007058A7" w:rsidP="007058A7">
            <w:pPr>
              <w:rPr>
                <w:rFonts w:cs="Calibri"/>
                <w:b/>
                <w:bCs/>
                <w:color w:val="000000" w:themeColor="text1"/>
                <w:sz w:val="13"/>
                <w:szCs w:val="13"/>
              </w:rPr>
            </w:pPr>
            <w:r w:rsidRPr="00073677">
              <w:rPr>
                <w:rFonts w:cs="Calibri"/>
                <w:b/>
                <w:bCs/>
                <w:color w:val="000000" w:themeColor="text1"/>
                <w:sz w:val="13"/>
                <w:szCs w:val="13"/>
              </w:rPr>
              <w:t>Transakcje na ryzyko rynkowe</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B09E7F9" w14:textId="18C9283E" w:rsidR="007058A7" w:rsidRPr="00BC267C" w:rsidRDefault="007058A7" w:rsidP="007058A7">
            <w:pPr>
              <w:jc w:val="right"/>
              <w:rPr>
                <w:rFonts w:cs="Calibri"/>
                <w:b/>
                <w:color w:val="000000" w:themeColor="text1"/>
                <w:sz w:val="13"/>
                <w:szCs w:val="13"/>
              </w:rPr>
            </w:pPr>
            <w:r w:rsidRPr="00BC267C">
              <w:rPr>
                <w:rFonts w:cs="Calibri"/>
                <w:b/>
                <w:color w:val="000000" w:themeColor="text1"/>
                <w:sz w:val="13"/>
                <w:szCs w:val="13"/>
              </w:rPr>
              <w:t>2 611 910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761530B8" w14:textId="781999ED" w:rsidR="007058A7" w:rsidRPr="00BC267C" w:rsidRDefault="007058A7" w:rsidP="007058A7">
            <w:pPr>
              <w:jc w:val="right"/>
              <w:rPr>
                <w:rFonts w:cs="Calibri"/>
                <w:b/>
                <w:color w:val="000000" w:themeColor="text1"/>
                <w:sz w:val="13"/>
                <w:szCs w:val="13"/>
              </w:rPr>
            </w:pPr>
            <w:r w:rsidRPr="00BC267C">
              <w:rPr>
                <w:rFonts w:cs="Calibri"/>
                <w:b/>
                <w:color w:val="000000" w:themeColor="text1"/>
                <w:sz w:val="13"/>
                <w:szCs w:val="13"/>
              </w:rPr>
              <w:t>2 860 643</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25FAE706" w14:textId="09331D46" w:rsidR="007058A7" w:rsidRPr="00BC267C" w:rsidRDefault="007058A7" w:rsidP="007058A7">
            <w:pPr>
              <w:jc w:val="right"/>
              <w:rPr>
                <w:rFonts w:cs="Calibri"/>
                <w:b/>
                <w:color w:val="000000" w:themeColor="text1"/>
                <w:sz w:val="13"/>
                <w:szCs w:val="13"/>
              </w:rPr>
            </w:pPr>
            <w:r w:rsidRPr="00BC267C">
              <w:rPr>
                <w:rFonts w:cs="Calibri"/>
                <w:b/>
                <w:color w:val="000000" w:themeColor="text1"/>
                <w:sz w:val="13"/>
                <w:szCs w:val="13"/>
              </w:rPr>
              <w:t>112 875</w:t>
            </w:r>
          </w:p>
        </w:tc>
        <w:tc>
          <w:tcPr>
            <w:tcW w:w="1304" w:type="dxa"/>
            <w:tcBorders>
              <w:top w:val="single" w:sz="8" w:space="0" w:color="0077BD"/>
              <w:left w:val="nil"/>
              <w:bottom w:val="single" w:sz="8" w:space="0" w:color="0077BD"/>
              <w:right w:val="nil"/>
            </w:tcBorders>
            <w:shd w:val="clear" w:color="auto" w:fill="auto"/>
            <w:vAlign w:val="center"/>
          </w:tcPr>
          <w:p w14:paraId="257DA57A" w14:textId="08F6C9CB" w:rsidR="007058A7" w:rsidRPr="00BC267C" w:rsidRDefault="007058A7" w:rsidP="007058A7">
            <w:pPr>
              <w:jc w:val="right"/>
              <w:rPr>
                <w:rFonts w:cs="Calibri"/>
                <w:b/>
                <w:color w:val="000000" w:themeColor="text1"/>
                <w:sz w:val="13"/>
                <w:szCs w:val="13"/>
              </w:rPr>
            </w:pPr>
            <w:r w:rsidRPr="00BC267C">
              <w:rPr>
                <w:rFonts w:cs="Calibri"/>
                <w:b/>
                <w:color w:val="000000" w:themeColor="text1"/>
                <w:sz w:val="13"/>
                <w:szCs w:val="13"/>
              </w:rPr>
              <w:t>108 633</w:t>
            </w:r>
          </w:p>
        </w:tc>
      </w:tr>
      <w:tr w:rsidR="00870E52" w:rsidRPr="0068723D" w14:paraId="40442D66" w14:textId="77777777" w:rsidTr="00CA5E84">
        <w:trPr>
          <w:trHeight w:val="340"/>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5E22E8E4" w14:textId="77777777" w:rsidR="00870E52" w:rsidRPr="00073677" w:rsidRDefault="00870E52" w:rsidP="00870E52">
            <w:pPr>
              <w:rPr>
                <w:rFonts w:cs="Calibri"/>
                <w:b/>
                <w:bCs/>
                <w:color w:val="000000" w:themeColor="text1"/>
                <w:sz w:val="13"/>
                <w:szCs w:val="13"/>
              </w:rPr>
            </w:pPr>
            <w:r w:rsidRPr="00073677">
              <w:rPr>
                <w:rFonts w:cs="Calibri"/>
                <w:b/>
                <w:bCs/>
                <w:color w:val="000000" w:themeColor="text1"/>
                <w:sz w:val="13"/>
                <w:szCs w:val="13"/>
              </w:rPr>
              <w:t>Razem pochodne aktywa/zobowiązania przeznaczone do obrotu</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C4D4BB1" w14:textId="4945F011" w:rsidR="00870E52" w:rsidRPr="00B97300" w:rsidRDefault="00870E52" w:rsidP="00870E52">
            <w:pPr>
              <w:jc w:val="right"/>
              <w:rPr>
                <w:rFonts w:cs="Calibri"/>
                <w:b/>
                <w:bCs/>
                <w:color w:val="000000" w:themeColor="text1"/>
                <w:sz w:val="13"/>
                <w:szCs w:val="13"/>
              </w:rPr>
            </w:pPr>
            <w:r w:rsidRPr="00B97300">
              <w:rPr>
                <w:rFonts w:cs="Calibri"/>
                <w:b/>
                <w:bCs/>
                <w:color w:val="000000" w:themeColor="text1"/>
                <w:sz w:val="13"/>
                <w:szCs w:val="13"/>
              </w:rPr>
              <w:t>269 304 110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3C5DAF7A" w14:textId="768D3345" w:rsidR="00870E52" w:rsidRPr="00B97300" w:rsidRDefault="00DB1B73" w:rsidP="00DB1B73">
            <w:pPr>
              <w:jc w:val="right"/>
              <w:rPr>
                <w:rFonts w:cs="Calibri"/>
                <w:b/>
                <w:bCs/>
                <w:color w:val="000000" w:themeColor="text1"/>
                <w:sz w:val="13"/>
                <w:szCs w:val="13"/>
              </w:rPr>
            </w:pPr>
            <w:r w:rsidRPr="00B97300">
              <w:rPr>
                <w:rFonts w:cs="Calibri"/>
                <w:b/>
                <w:bCs/>
                <w:color w:val="000000" w:themeColor="text1"/>
                <w:sz w:val="13"/>
                <w:szCs w:val="13"/>
              </w:rPr>
              <w:t>268 586</w:t>
            </w:r>
            <w:r w:rsidR="00870E52" w:rsidRPr="00B97300">
              <w:rPr>
                <w:rFonts w:cs="Calibri"/>
                <w:b/>
                <w:bCs/>
                <w:color w:val="000000" w:themeColor="text1"/>
                <w:sz w:val="13"/>
                <w:szCs w:val="13"/>
              </w:rPr>
              <w:t xml:space="preserve"> </w:t>
            </w:r>
            <w:r w:rsidRPr="00B97300">
              <w:rPr>
                <w:rFonts w:cs="Calibri"/>
                <w:b/>
                <w:bCs/>
                <w:color w:val="000000" w:themeColor="text1"/>
                <w:sz w:val="13"/>
                <w:szCs w:val="13"/>
              </w:rPr>
              <w:t>570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71219DA1" w14:textId="3D30E3AC" w:rsidR="00870E52" w:rsidRPr="00B97300" w:rsidRDefault="00870E52" w:rsidP="00870E52">
            <w:pPr>
              <w:jc w:val="right"/>
              <w:rPr>
                <w:rFonts w:cs="Calibri"/>
                <w:b/>
                <w:bCs/>
                <w:color w:val="000000" w:themeColor="text1"/>
                <w:sz w:val="13"/>
                <w:szCs w:val="13"/>
              </w:rPr>
            </w:pPr>
            <w:r w:rsidRPr="00B97300">
              <w:rPr>
                <w:rFonts w:cs="Calibri"/>
                <w:b/>
                <w:bCs/>
                <w:color w:val="000000" w:themeColor="text1"/>
                <w:sz w:val="13"/>
                <w:szCs w:val="13"/>
              </w:rPr>
              <w:t>1 016 808</w:t>
            </w:r>
          </w:p>
        </w:tc>
        <w:tc>
          <w:tcPr>
            <w:tcW w:w="1304" w:type="dxa"/>
            <w:tcBorders>
              <w:top w:val="single" w:sz="8" w:space="0" w:color="0077BD"/>
              <w:left w:val="nil"/>
              <w:bottom w:val="single" w:sz="8" w:space="0" w:color="0077BD"/>
              <w:right w:val="nil"/>
            </w:tcBorders>
            <w:shd w:val="clear" w:color="auto" w:fill="auto"/>
            <w:vAlign w:val="center"/>
          </w:tcPr>
          <w:p w14:paraId="31A9202D" w14:textId="315F5968" w:rsidR="00870E52" w:rsidRPr="00B97300" w:rsidRDefault="00870E52" w:rsidP="00870E52">
            <w:pPr>
              <w:jc w:val="right"/>
              <w:rPr>
                <w:rFonts w:cs="Calibri"/>
                <w:b/>
                <w:bCs/>
                <w:color w:val="000000" w:themeColor="text1"/>
                <w:sz w:val="13"/>
                <w:szCs w:val="13"/>
              </w:rPr>
            </w:pPr>
            <w:r w:rsidRPr="00B97300">
              <w:rPr>
                <w:rFonts w:cs="Calibri"/>
                <w:b/>
                <w:bCs/>
                <w:color w:val="000000" w:themeColor="text1"/>
                <w:sz w:val="13"/>
                <w:szCs w:val="13"/>
              </w:rPr>
              <w:t>1 061 547</w:t>
            </w:r>
          </w:p>
        </w:tc>
      </w:tr>
      <w:tr w:rsidR="00AB09FA" w:rsidRPr="0068723D" w14:paraId="15676ED8" w14:textId="77777777" w:rsidTr="00E732B3">
        <w:trPr>
          <w:trHeight w:val="20"/>
        </w:trPr>
        <w:tc>
          <w:tcPr>
            <w:tcW w:w="4365" w:type="dxa"/>
            <w:tcBorders>
              <w:top w:val="nil"/>
              <w:left w:val="nil"/>
              <w:bottom w:val="single" w:sz="4" w:space="0" w:color="0066CC"/>
              <w:right w:val="nil"/>
            </w:tcBorders>
            <w:shd w:val="clear" w:color="000000" w:fill="FFFFFF"/>
            <w:vAlign w:val="center"/>
            <w:hideMark/>
          </w:tcPr>
          <w:p w14:paraId="128E6DBC" w14:textId="77777777" w:rsidR="00AB09FA" w:rsidRPr="00073677" w:rsidRDefault="00AB09FA" w:rsidP="007A72B1">
            <w:pPr>
              <w:rPr>
                <w:rFonts w:cs="Calibri"/>
                <w:color w:val="000000" w:themeColor="text1"/>
                <w:sz w:val="13"/>
                <w:szCs w:val="13"/>
              </w:rPr>
            </w:pPr>
            <w:r w:rsidRPr="00073677">
              <w:rPr>
                <w:rFonts w:cs="Calibri"/>
                <w:color w:val="000000" w:themeColor="text1"/>
                <w:sz w:val="13"/>
                <w:szCs w:val="13"/>
              </w:rPr>
              <w:t> </w:t>
            </w:r>
          </w:p>
        </w:tc>
        <w:tc>
          <w:tcPr>
            <w:tcW w:w="1304" w:type="dxa"/>
            <w:tcBorders>
              <w:top w:val="single" w:sz="4" w:space="0" w:color="0066CC"/>
              <w:left w:val="nil"/>
              <w:bottom w:val="single" w:sz="4" w:space="0" w:color="0066CC"/>
              <w:right w:val="nil"/>
            </w:tcBorders>
            <w:shd w:val="clear" w:color="000000" w:fill="FFFFFF"/>
            <w:vAlign w:val="center"/>
          </w:tcPr>
          <w:p w14:paraId="7D148A4D" w14:textId="3C338721" w:rsidR="00AB09FA" w:rsidRPr="00B97300" w:rsidRDefault="00AB09FA" w:rsidP="007A72B1">
            <w:pPr>
              <w:jc w:val="right"/>
              <w:rPr>
                <w:rFonts w:cs="Calibri"/>
                <w:color w:val="000000" w:themeColor="text1"/>
                <w:sz w:val="13"/>
                <w:szCs w:val="13"/>
              </w:rPr>
            </w:pPr>
          </w:p>
        </w:tc>
        <w:tc>
          <w:tcPr>
            <w:tcW w:w="1304" w:type="dxa"/>
            <w:tcBorders>
              <w:top w:val="single" w:sz="4" w:space="0" w:color="0066CC"/>
              <w:left w:val="nil"/>
              <w:bottom w:val="single" w:sz="4" w:space="0" w:color="0066CC"/>
              <w:right w:val="nil"/>
            </w:tcBorders>
            <w:shd w:val="clear" w:color="000000" w:fill="FFFFFF"/>
            <w:vAlign w:val="center"/>
          </w:tcPr>
          <w:p w14:paraId="180AB758" w14:textId="722623AD" w:rsidR="00AB09FA" w:rsidRPr="00B97300" w:rsidRDefault="00AB09FA" w:rsidP="007A72B1">
            <w:pPr>
              <w:jc w:val="right"/>
              <w:rPr>
                <w:rFonts w:cs="Calibri"/>
                <w:color w:val="000000" w:themeColor="text1"/>
                <w:sz w:val="13"/>
                <w:szCs w:val="13"/>
              </w:rPr>
            </w:pPr>
          </w:p>
        </w:tc>
        <w:tc>
          <w:tcPr>
            <w:tcW w:w="1304" w:type="dxa"/>
            <w:tcBorders>
              <w:top w:val="single" w:sz="4" w:space="0" w:color="0066CC"/>
              <w:left w:val="nil"/>
              <w:bottom w:val="single" w:sz="4" w:space="0" w:color="0066CC"/>
              <w:right w:val="nil"/>
            </w:tcBorders>
            <w:shd w:val="clear" w:color="000000" w:fill="FFFFFF"/>
            <w:vAlign w:val="center"/>
          </w:tcPr>
          <w:p w14:paraId="6E2858BF" w14:textId="3E87932E" w:rsidR="00AB09FA" w:rsidRPr="00B97300" w:rsidRDefault="00AB09FA" w:rsidP="007A72B1">
            <w:pPr>
              <w:jc w:val="right"/>
              <w:rPr>
                <w:rFonts w:cs="Calibri"/>
                <w:color w:val="000000" w:themeColor="text1"/>
                <w:sz w:val="13"/>
                <w:szCs w:val="13"/>
              </w:rPr>
            </w:pPr>
          </w:p>
        </w:tc>
        <w:tc>
          <w:tcPr>
            <w:tcW w:w="1304" w:type="dxa"/>
            <w:tcBorders>
              <w:top w:val="single" w:sz="4" w:space="0" w:color="0066CC"/>
              <w:left w:val="nil"/>
              <w:bottom w:val="single" w:sz="4" w:space="0" w:color="0066CC"/>
              <w:right w:val="nil"/>
            </w:tcBorders>
            <w:shd w:val="clear" w:color="000000" w:fill="FFFFFF"/>
            <w:vAlign w:val="center"/>
          </w:tcPr>
          <w:p w14:paraId="1CE196EB" w14:textId="0AAD89AE" w:rsidR="00AB09FA" w:rsidRPr="00B97300" w:rsidRDefault="00AB09FA" w:rsidP="007A72B1">
            <w:pPr>
              <w:jc w:val="right"/>
              <w:rPr>
                <w:rFonts w:cs="Calibri"/>
                <w:color w:val="000000" w:themeColor="text1"/>
                <w:sz w:val="13"/>
                <w:szCs w:val="13"/>
              </w:rPr>
            </w:pPr>
          </w:p>
        </w:tc>
      </w:tr>
      <w:tr w:rsidR="00AB09FA" w:rsidRPr="0068723D" w14:paraId="2355A1CC" w14:textId="77777777" w:rsidTr="00102675">
        <w:trPr>
          <w:trHeight w:val="255"/>
        </w:trPr>
        <w:tc>
          <w:tcPr>
            <w:tcW w:w="4365" w:type="dxa"/>
            <w:tcBorders>
              <w:top w:val="single" w:sz="8" w:space="0" w:color="0077BD"/>
              <w:left w:val="nil"/>
              <w:bottom w:val="single" w:sz="8" w:space="0" w:color="0077BD"/>
              <w:right w:val="nil"/>
            </w:tcBorders>
            <w:shd w:val="clear" w:color="000000" w:fill="FFFFFF"/>
            <w:vAlign w:val="center"/>
            <w:hideMark/>
          </w:tcPr>
          <w:p w14:paraId="3C141429" w14:textId="77777777" w:rsidR="00AB09FA" w:rsidRPr="00073677" w:rsidRDefault="00AB09FA" w:rsidP="007A72B1">
            <w:pPr>
              <w:rPr>
                <w:rFonts w:cs="Calibri"/>
                <w:b/>
                <w:bCs/>
                <w:color w:val="000000" w:themeColor="text1"/>
                <w:sz w:val="13"/>
                <w:szCs w:val="13"/>
              </w:rPr>
            </w:pPr>
            <w:r w:rsidRPr="00073677">
              <w:rPr>
                <w:rFonts w:cs="Calibri"/>
                <w:b/>
                <w:bCs/>
                <w:color w:val="000000" w:themeColor="text1"/>
                <w:sz w:val="13"/>
                <w:szCs w:val="13"/>
              </w:rPr>
              <w:t>Instrumenty pochodne zabezpieczające</w:t>
            </w:r>
          </w:p>
        </w:tc>
        <w:tc>
          <w:tcPr>
            <w:tcW w:w="1304" w:type="dxa"/>
            <w:tcBorders>
              <w:top w:val="single" w:sz="8" w:space="0" w:color="0077BD"/>
              <w:left w:val="nil"/>
              <w:bottom w:val="single" w:sz="8" w:space="0" w:color="0077BD"/>
              <w:right w:val="nil"/>
            </w:tcBorders>
            <w:shd w:val="clear" w:color="000000" w:fill="FFFFFF"/>
            <w:noWrap/>
            <w:vAlign w:val="center"/>
          </w:tcPr>
          <w:p w14:paraId="69562B81" w14:textId="52660C15" w:rsidR="00AB09FA" w:rsidRPr="00B97300"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29CFE010" w14:textId="2346137B" w:rsidR="00AB09FA" w:rsidRPr="00B97300"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26D38461" w14:textId="1B082A28" w:rsidR="00AB09FA" w:rsidRPr="00B97300" w:rsidRDefault="00AB09FA" w:rsidP="007A72B1">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nil"/>
            </w:tcBorders>
            <w:shd w:val="clear" w:color="000000" w:fill="FFFFFF"/>
            <w:noWrap/>
            <w:vAlign w:val="center"/>
          </w:tcPr>
          <w:p w14:paraId="1B8A4A6B" w14:textId="1FD3CA64" w:rsidR="00AB09FA" w:rsidRPr="00B97300" w:rsidRDefault="00AB09FA" w:rsidP="007A72B1">
            <w:pPr>
              <w:jc w:val="right"/>
              <w:rPr>
                <w:rFonts w:cs="Calibri"/>
                <w:b/>
                <w:bCs/>
                <w:color w:val="000000" w:themeColor="text1"/>
                <w:sz w:val="13"/>
                <w:szCs w:val="13"/>
              </w:rPr>
            </w:pPr>
          </w:p>
        </w:tc>
      </w:tr>
      <w:tr w:rsidR="009E039E" w:rsidRPr="0068723D" w14:paraId="5A5C29F9" w14:textId="77777777" w:rsidTr="004845D1">
        <w:trPr>
          <w:trHeight w:val="340"/>
        </w:trPr>
        <w:tc>
          <w:tcPr>
            <w:tcW w:w="4365" w:type="dxa"/>
            <w:tcBorders>
              <w:top w:val="nil"/>
              <w:left w:val="nil"/>
              <w:bottom w:val="single" w:sz="4" w:space="0" w:color="0077BD"/>
              <w:right w:val="single" w:sz="8" w:space="0" w:color="0077BD"/>
            </w:tcBorders>
            <w:shd w:val="clear" w:color="auto" w:fill="auto"/>
            <w:vAlign w:val="center"/>
            <w:hideMark/>
          </w:tcPr>
          <w:p w14:paraId="272CC80F" w14:textId="77777777" w:rsidR="009E039E" w:rsidRPr="00073677" w:rsidRDefault="009E039E" w:rsidP="009E039E">
            <w:pPr>
              <w:rPr>
                <w:rFonts w:cs="Calibri"/>
                <w:color w:val="000000" w:themeColor="text1"/>
                <w:sz w:val="13"/>
                <w:szCs w:val="13"/>
              </w:rPr>
            </w:pPr>
            <w:r w:rsidRPr="00073677">
              <w:rPr>
                <w:rFonts w:cs="Calibri"/>
                <w:color w:val="000000" w:themeColor="text1"/>
                <w:sz w:val="13"/>
                <w:szCs w:val="13"/>
              </w:rPr>
              <w:t>Instrumenty pochodne wyznaczone jako zabezpieczenie wartości godziwej</w:t>
            </w:r>
          </w:p>
        </w:tc>
        <w:tc>
          <w:tcPr>
            <w:tcW w:w="1304" w:type="dxa"/>
            <w:tcBorders>
              <w:top w:val="single" w:sz="8" w:space="0" w:color="0077BD"/>
              <w:left w:val="single" w:sz="8" w:space="0" w:color="0077BD"/>
              <w:bottom w:val="single" w:sz="4" w:space="0" w:color="0077BD"/>
              <w:right w:val="single" w:sz="8" w:space="0" w:color="0077BD"/>
            </w:tcBorders>
            <w:shd w:val="clear" w:color="auto" w:fill="auto"/>
            <w:vAlign w:val="center"/>
          </w:tcPr>
          <w:p w14:paraId="7C039CB8" w14:textId="75C2050B"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12 505 040</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31A044AB" w14:textId="5A60A598" w:rsidR="009E039E" w:rsidRPr="00B97300" w:rsidRDefault="00DB1B73" w:rsidP="00DB1B73">
            <w:pPr>
              <w:jc w:val="right"/>
              <w:rPr>
                <w:rFonts w:cs="Calibri"/>
                <w:color w:val="000000" w:themeColor="text1"/>
                <w:sz w:val="13"/>
                <w:szCs w:val="13"/>
              </w:rPr>
            </w:pPr>
            <w:r w:rsidRPr="00B97300">
              <w:rPr>
                <w:rFonts w:cs="Calibri"/>
                <w:color w:val="000000" w:themeColor="text1"/>
                <w:sz w:val="13"/>
                <w:szCs w:val="13"/>
              </w:rPr>
              <w:t>12 505</w:t>
            </w:r>
            <w:r w:rsidR="009E039E" w:rsidRPr="00B97300">
              <w:rPr>
                <w:rFonts w:cs="Calibri"/>
                <w:color w:val="000000" w:themeColor="text1"/>
                <w:sz w:val="13"/>
                <w:szCs w:val="13"/>
              </w:rPr>
              <w:t xml:space="preserve"> </w:t>
            </w:r>
            <w:r w:rsidRPr="00B97300">
              <w:rPr>
                <w:rFonts w:cs="Calibri"/>
                <w:color w:val="000000" w:themeColor="text1"/>
                <w:sz w:val="13"/>
                <w:szCs w:val="13"/>
              </w:rPr>
              <w:t>040</w:t>
            </w:r>
          </w:p>
        </w:tc>
        <w:tc>
          <w:tcPr>
            <w:tcW w:w="1304" w:type="dxa"/>
            <w:tcBorders>
              <w:top w:val="single" w:sz="8" w:space="0" w:color="0077BD"/>
              <w:left w:val="nil"/>
              <w:bottom w:val="single" w:sz="4" w:space="0" w:color="0077BD"/>
              <w:right w:val="single" w:sz="8" w:space="0" w:color="0077BD"/>
            </w:tcBorders>
            <w:shd w:val="clear" w:color="auto" w:fill="auto"/>
            <w:vAlign w:val="center"/>
          </w:tcPr>
          <w:p w14:paraId="6C77177B" w14:textId="6334C25A"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230 937</w:t>
            </w:r>
          </w:p>
        </w:tc>
        <w:tc>
          <w:tcPr>
            <w:tcW w:w="1304" w:type="dxa"/>
            <w:tcBorders>
              <w:top w:val="single" w:sz="8" w:space="0" w:color="0077BD"/>
              <w:left w:val="nil"/>
              <w:bottom w:val="single" w:sz="4" w:space="0" w:color="0077BD"/>
              <w:right w:val="nil"/>
            </w:tcBorders>
            <w:shd w:val="clear" w:color="auto" w:fill="auto"/>
            <w:vAlign w:val="center"/>
          </w:tcPr>
          <w:p w14:paraId="2FCCAED7" w14:textId="73421C3F"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6 451</w:t>
            </w:r>
          </w:p>
        </w:tc>
      </w:tr>
      <w:tr w:rsidR="009E039E" w:rsidRPr="0068723D" w14:paraId="23A9EB79" w14:textId="77777777" w:rsidTr="004845D1">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6EA88D73" w14:textId="77777777" w:rsidR="009E039E" w:rsidRPr="00073677" w:rsidRDefault="009E039E" w:rsidP="009E039E">
            <w:pPr>
              <w:rPr>
                <w:rFonts w:cs="Calibri"/>
                <w:color w:val="000000" w:themeColor="text1"/>
                <w:sz w:val="13"/>
                <w:szCs w:val="13"/>
              </w:rPr>
            </w:pPr>
            <w:r w:rsidRPr="00073677">
              <w:rPr>
                <w:rFonts w:cs="Calibri"/>
                <w:color w:val="000000" w:themeColor="text1"/>
                <w:sz w:val="13"/>
                <w:szCs w:val="13"/>
              </w:rPr>
              <w:t>- Kontrakty IRS</w:t>
            </w:r>
          </w:p>
        </w:tc>
        <w:tc>
          <w:tcPr>
            <w:tcW w:w="130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34769BD" w14:textId="38771486"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12 505 040</w:t>
            </w:r>
          </w:p>
        </w:tc>
        <w:tc>
          <w:tcPr>
            <w:tcW w:w="1304" w:type="dxa"/>
            <w:tcBorders>
              <w:top w:val="single" w:sz="4" w:space="0" w:color="0077BD"/>
              <w:left w:val="nil"/>
              <w:bottom w:val="single" w:sz="4" w:space="0" w:color="0077BD"/>
              <w:right w:val="single" w:sz="8" w:space="0" w:color="0077BD"/>
            </w:tcBorders>
            <w:shd w:val="clear" w:color="auto" w:fill="auto"/>
            <w:vAlign w:val="center"/>
          </w:tcPr>
          <w:p w14:paraId="75B06654" w14:textId="6B4CDD25" w:rsidR="009E039E" w:rsidRPr="00B97300" w:rsidRDefault="00DB1B73" w:rsidP="00DB1B73">
            <w:pPr>
              <w:jc w:val="right"/>
              <w:rPr>
                <w:rFonts w:cs="Calibri"/>
                <w:color w:val="000000" w:themeColor="text1"/>
                <w:sz w:val="13"/>
                <w:szCs w:val="13"/>
              </w:rPr>
            </w:pPr>
            <w:r w:rsidRPr="00B97300">
              <w:rPr>
                <w:rFonts w:cs="Calibri"/>
                <w:color w:val="000000" w:themeColor="text1"/>
                <w:sz w:val="13"/>
                <w:szCs w:val="13"/>
              </w:rPr>
              <w:t>12 505</w:t>
            </w:r>
            <w:r w:rsidR="009E039E" w:rsidRPr="00B97300">
              <w:rPr>
                <w:rFonts w:cs="Calibri"/>
                <w:color w:val="000000" w:themeColor="text1"/>
                <w:sz w:val="13"/>
                <w:szCs w:val="13"/>
              </w:rPr>
              <w:t xml:space="preserve"> </w:t>
            </w:r>
            <w:r w:rsidRPr="00B97300">
              <w:rPr>
                <w:rFonts w:cs="Calibri"/>
                <w:color w:val="000000" w:themeColor="text1"/>
                <w:sz w:val="13"/>
                <w:szCs w:val="13"/>
              </w:rPr>
              <w:t>040</w:t>
            </w:r>
          </w:p>
        </w:tc>
        <w:tc>
          <w:tcPr>
            <w:tcW w:w="1304" w:type="dxa"/>
            <w:tcBorders>
              <w:top w:val="single" w:sz="4" w:space="0" w:color="0077BD"/>
              <w:left w:val="nil"/>
              <w:bottom w:val="single" w:sz="4" w:space="0" w:color="0077BD"/>
              <w:right w:val="single" w:sz="8" w:space="0" w:color="0077BD"/>
            </w:tcBorders>
            <w:shd w:val="clear" w:color="auto" w:fill="auto"/>
            <w:vAlign w:val="center"/>
          </w:tcPr>
          <w:p w14:paraId="0B528939" w14:textId="676318EB"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230 937</w:t>
            </w:r>
          </w:p>
        </w:tc>
        <w:tc>
          <w:tcPr>
            <w:tcW w:w="1304" w:type="dxa"/>
            <w:tcBorders>
              <w:top w:val="single" w:sz="4" w:space="0" w:color="0077BD"/>
              <w:left w:val="nil"/>
              <w:bottom w:val="single" w:sz="4" w:space="0" w:color="0077BD"/>
              <w:right w:val="nil"/>
            </w:tcBorders>
            <w:shd w:val="clear" w:color="auto" w:fill="auto"/>
            <w:vAlign w:val="center"/>
          </w:tcPr>
          <w:p w14:paraId="786707FA" w14:textId="5BFE69A2" w:rsidR="009E039E" w:rsidRPr="00B97300" w:rsidRDefault="009E039E" w:rsidP="009E039E">
            <w:pPr>
              <w:jc w:val="right"/>
              <w:rPr>
                <w:rFonts w:cs="Calibri"/>
                <w:color w:val="000000" w:themeColor="text1"/>
                <w:sz w:val="13"/>
                <w:szCs w:val="13"/>
              </w:rPr>
            </w:pPr>
            <w:r w:rsidRPr="00B97300">
              <w:rPr>
                <w:rFonts w:cs="Calibri"/>
                <w:color w:val="000000" w:themeColor="text1"/>
                <w:sz w:val="13"/>
                <w:szCs w:val="13"/>
              </w:rPr>
              <w:t>6 451</w:t>
            </w:r>
          </w:p>
        </w:tc>
      </w:tr>
      <w:tr w:rsidR="00730BDB" w:rsidRPr="0068723D" w14:paraId="0837E78E" w14:textId="77777777" w:rsidTr="0002753C">
        <w:trPr>
          <w:trHeight w:val="340"/>
        </w:trPr>
        <w:tc>
          <w:tcPr>
            <w:tcW w:w="4365" w:type="dxa"/>
            <w:tcBorders>
              <w:top w:val="nil"/>
              <w:left w:val="nil"/>
              <w:bottom w:val="single" w:sz="4" w:space="0" w:color="0077BD"/>
              <w:right w:val="single" w:sz="8" w:space="0" w:color="0077BD"/>
            </w:tcBorders>
            <w:shd w:val="clear" w:color="auto" w:fill="auto"/>
            <w:vAlign w:val="center"/>
            <w:hideMark/>
          </w:tcPr>
          <w:p w14:paraId="1814D3A2" w14:textId="77777777" w:rsidR="00730BDB" w:rsidRPr="00073677" w:rsidRDefault="00730BDB" w:rsidP="00730BDB">
            <w:pPr>
              <w:rPr>
                <w:rFonts w:cs="Calibri"/>
                <w:color w:val="000000" w:themeColor="text1"/>
                <w:sz w:val="13"/>
                <w:szCs w:val="13"/>
              </w:rPr>
            </w:pPr>
            <w:r w:rsidRPr="00073677">
              <w:rPr>
                <w:rFonts w:cs="Calibri"/>
                <w:color w:val="000000" w:themeColor="text1"/>
                <w:sz w:val="13"/>
                <w:szCs w:val="13"/>
              </w:rPr>
              <w:t>Instrumenty pochodne wyznaczone jako zabezpieczenie przepływów pieniężnych</w:t>
            </w:r>
          </w:p>
        </w:tc>
        <w:tc>
          <w:tcPr>
            <w:tcW w:w="130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7207B0B9" w14:textId="4837FD21" w:rsidR="00730BDB" w:rsidRPr="00B97300" w:rsidRDefault="00730BDB" w:rsidP="00730BDB">
            <w:pPr>
              <w:jc w:val="right"/>
              <w:rPr>
                <w:rFonts w:cs="Calibri"/>
                <w:color w:val="000000" w:themeColor="text1"/>
                <w:sz w:val="13"/>
                <w:szCs w:val="13"/>
              </w:rPr>
            </w:pPr>
            <w:r w:rsidRPr="00B97300">
              <w:rPr>
                <w:color w:val="000000" w:themeColor="text1"/>
                <w:sz w:val="13"/>
                <w:szCs w:val="13"/>
              </w:rPr>
              <w:t>16 642 550</w:t>
            </w:r>
          </w:p>
        </w:tc>
        <w:tc>
          <w:tcPr>
            <w:tcW w:w="1304" w:type="dxa"/>
            <w:tcBorders>
              <w:top w:val="single" w:sz="4" w:space="0" w:color="0077BD"/>
              <w:left w:val="nil"/>
              <w:bottom w:val="single" w:sz="4" w:space="0" w:color="0077BD"/>
              <w:right w:val="single" w:sz="8" w:space="0" w:color="0077BD"/>
            </w:tcBorders>
            <w:shd w:val="clear" w:color="auto" w:fill="auto"/>
            <w:vAlign w:val="center"/>
          </w:tcPr>
          <w:p w14:paraId="2C139A9D" w14:textId="63726471" w:rsidR="00730BDB" w:rsidRPr="00B97300" w:rsidRDefault="00730BDB" w:rsidP="00730BDB">
            <w:pPr>
              <w:jc w:val="right"/>
              <w:rPr>
                <w:rFonts w:cs="Calibri"/>
                <w:color w:val="000000" w:themeColor="text1"/>
                <w:sz w:val="13"/>
                <w:szCs w:val="13"/>
              </w:rPr>
            </w:pPr>
            <w:r w:rsidRPr="00B97300">
              <w:rPr>
                <w:color w:val="000000" w:themeColor="text1"/>
                <w:sz w:val="13"/>
                <w:szCs w:val="13"/>
              </w:rPr>
              <w:t>16 643 930</w:t>
            </w:r>
          </w:p>
        </w:tc>
        <w:tc>
          <w:tcPr>
            <w:tcW w:w="1304" w:type="dxa"/>
            <w:tcBorders>
              <w:top w:val="single" w:sz="4" w:space="0" w:color="0077BD"/>
              <w:left w:val="nil"/>
              <w:bottom w:val="single" w:sz="4" w:space="0" w:color="0077BD"/>
              <w:right w:val="single" w:sz="8" w:space="0" w:color="0077BD"/>
            </w:tcBorders>
            <w:shd w:val="clear" w:color="auto" w:fill="auto"/>
            <w:vAlign w:val="center"/>
          </w:tcPr>
          <w:p w14:paraId="071F3C66" w14:textId="0846469F" w:rsidR="00730BDB" w:rsidRPr="00B97300" w:rsidRDefault="00730BDB" w:rsidP="00730BDB">
            <w:pPr>
              <w:jc w:val="right"/>
              <w:rPr>
                <w:rFonts w:cs="Calibri"/>
                <w:color w:val="000000" w:themeColor="text1"/>
                <w:sz w:val="13"/>
                <w:szCs w:val="13"/>
              </w:rPr>
            </w:pPr>
            <w:r w:rsidRPr="00B97300">
              <w:rPr>
                <w:color w:val="000000" w:themeColor="text1"/>
                <w:sz w:val="13"/>
                <w:szCs w:val="13"/>
              </w:rPr>
              <w:t>273 282</w:t>
            </w:r>
          </w:p>
        </w:tc>
        <w:tc>
          <w:tcPr>
            <w:tcW w:w="1304" w:type="dxa"/>
            <w:tcBorders>
              <w:top w:val="single" w:sz="4" w:space="0" w:color="0077BD"/>
              <w:left w:val="nil"/>
              <w:bottom w:val="single" w:sz="4" w:space="0" w:color="0077BD"/>
              <w:right w:val="nil"/>
            </w:tcBorders>
            <w:shd w:val="clear" w:color="auto" w:fill="auto"/>
            <w:vAlign w:val="center"/>
          </w:tcPr>
          <w:p w14:paraId="545CD3D8" w14:textId="7D5A012D" w:rsidR="00730BDB" w:rsidRPr="00B97300" w:rsidRDefault="00730BDB" w:rsidP="00730BDB">
            <w:pPr>
              <w:jc w:val="right"/>
              <w:rPr>
                <w:rFonts w:cs="Calibri"/>
                <w:color w:val="000000" w:themeColor="text1"/>
                <w:sz w:val="13"/>
                <w:szCs w:val="13"/>
              </w:rPr>
            </w:pPr>
            <w:r w:rsidRPr="00B97300">
              <w:rPr>
                <w:color w:val="000000" w:themeColor="text1"/>
                <w:sz w:val="13"/>
                <w:szCs w:val="13"/>
              </w:rPr>
              <w:t>12 960</w:t>
            </w:r>
          </w:p>
        </w:tc>
      </w:tr>
      <w:tr w:rsidR="00730BDB" w:rsidRPr="0068723D" w14:paraId="39AD97F4" w14:textId="77777777" w:rsidTr="00CA5E84">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63BADD25" w14:textId="77777777" w:rsidR="00730BDB" w:rsidRPr="00073677" w:rsidRDefault="00730BDB" w:rsidP="00730BDB">
            <w:pPr>
              <w:rPr>
                <w:rFonts w:cs="Calibri"/>
                <w:color w:val="000000" w:themeColor="text1"/>
                <w:sz w:val="13"/>
                <w:szCs w:val="13"/>
              </w:rPr>
            </w:pPr>
            <w:r w:rsidRPr="00073677">
              <w:rPr>
                <w:rFonts w:cs="Calibri"/>
                <w:color w:val="000000" w:themeColor="text1"/>
                <w:sz w:val="13"/>
                <w:szCs w:val="13"/>
              </w:rPr>
              <w:t>- Kontrakty IRS</w:t>
            </w:r>
          </w:p>
        </w:tc>
        <w:tc>
          <w:tcPr>
            <w:tcW w:w="1304" w:type="dxa"/>
            <w:tcBorders>
              <w:top w:val="nil"/>
              <w:left w:val="single" w:sz="8" w:space="0" w:color="0077BD"/>
              <w:bottom w:val="single" w:sz="4" w:space="0" w:color="0077BD"/>
              <w:right w:val="single" w:sz="8" w:space="0" w:color="0077BD"/>
            </w:tcBorders>
            <w:shd w:val="clear" w:color="auto" w:fill="auto"/>
            <w:vAlign w:val="center"/>
          </w:tcPr>
          <w:p w14:paraId="12C2B4E1" w14:textId="7A829DA4" w:rsidR="00730BDB" w:rsidRPr="00B97300" w:rsidRDefault="00730BDB" w:rsidP="00730BDB">
            <w:pPr>
              <w:jc w:val="right"/>
              <w:rPr>
                <w:rFonts w:cs="Calibri"/>
                <w:color w:val="000000" w:themeColor="text1"/>
                <w:sz w:val="13"/>
                <w:szCs w:val="13"/>
              </w:rPr>
            </w:pPr>
            <w:r w:rsidRPr="00B97300">
              <w:rPr>
                <w:color w:val="000000" w:themeColor="text1"/>
                <w:sz w:val="13"/>
                <w:szCs w:val="13"/>
              </w:rPr>
              <w:t>15 365 000</w:t>
            </w:r>
          </w:p>
        </w:tc>
        <w:tc>
          <w:tcPr>
            <w:tcW w:w="1304" w:type="dxa"/>
            <w:tcBorders>
              <w:top w:val="nil"/>
              <w:left w:val="nil"/>
              <w:bottom w:val="single" w:sz="4" w:space="0" w:color="0077BD"/>
              <w:right w:val="single" w:sz="8" w:space="0" w:color="0077BD"/>
            </w:tcBorders>
            <w:shd w:val="clear" w:color="auto" w:fill="auto"/>
            <w:vAlign w:val="center"/>
          </w:tcPr>
          <w:p w14:paraId="52A1C672" w14:textId="4E025764" w:rsidR="00730BDB" w:rsidRPr="00B97300" w:rsidRDefault="00730BDB" w:rsidP="00730BDB">
            <w:pPr>
              <w:jc w:val="right"/>
              <w:rPr>
                <w:rFonts w:cs="Calibri"/>
                <w:color w:val="000000" w:themeColor="text1"/>
                <w:sz w:val="13"/>
                <w:szCs w:val="13"/>
              </w:rPr>
            </w:pPr>
            <w:r w:rsidRPr="00B97300">
              <w:rPr>
                <w:color w:val="000000" w:themeColor="text1"/>
                <w:sz w:val="13"/>
                <w:szCs w:val="13"/>
              </w:rPr>
              <w:t>15 365 000</w:t>
            </w:r>
          </w:p>
        </w:tc>
        <w:tc>
          <w:tcPr>
            <w:tcW w:w="1304" w:type="dxa"/>
            <w:tcBorders>
              <w:top w:val="nil"/>
              <w:left w:val="nil"/>
              <w:bottom w:val="single" w:sz="4" w:space="0" w:color="0077BD"/>
              <w:right w:val="single" w:sz="8" w:space="0" w:color="0077BD"/>
            </w:tcBorders>
            <w:shd w:val="clear" w:color="auto" w:fill="auto"/>
            <w:vAlign w:val="center"/>
          </w:tcPr>
          <w:p w14:paraId="2346F1C9" w14:textId="7A867EF6" w:rsidR="00730BDB" w:rsidRPr="00B97300" w:rsidRDefault="00730BDB" w:rsidP="00730BDB">
            <w:pPr>
              <w:jc w:val="right"/>
              <w:rPr>
                <w:rFonts w:cs="Calibri"/>
                <w:color w:val="000000" w:themeColor="text1"/>
                <w:sz w:val="13"/>
                <w:szCs w:val="13"/>
              </w:rPr>
            </w:pPr>
            <w:r w:rsidRPr="00B97300">
              <w:rPr>
                <w:color w:val="000000" w:themeColor="text1"/>
                <w:sz w:val="13"/>
                <w:szCs w:val="13"/>
              </w:rPr>
              <w:t>273 282</w:t>
            </w:r>
          </w:p>
        </w:tc>
        <w:tc>
          <w:tcPr>
            <w:tcW w:w="1304" w:type="dxa"/>
            <w:tcBorders>
              <w:top w:val="nil"/>
              <w:left w:val="nil"/>
              <w:bottom w:val="single" w:sz="4" w:space="0" w:color="0077BD"/>
              <w:right w:val="nil"/>
            </w:tcBorders>
            <w:shd w:val="clear" w:color="auto" w:fill="auto"/>
            <w:vAlign w:val="center"/>
          </w:tcPr>
          <w:p w14:paraId="73B674D9" w14:textId="615704AF" w:rsidR="00730BDB" w:rsidRPr="00B97300" w:rsidRDefault="00730BDB" w:rsidP="00730BDB">
            <w:pPr>
              <w:jc w:val="right"/>
              <w:rPr>
                <w:rFonts w:cs="Calibri"/>
                <w:color w:val="000000" w:themeColor="text1"/>
                <w:sz w:val="13"/>
                <w:szCs w:val="13"/>
              </w:rPr>
            </w:pPr>
            <w:r w:rsidRPr="00B97300">
              <w:rPr>
                <w:color w:val="000000" w:themeColor="text1"/>
                <w:sz w:val="13"/>
                <w:szCs w:val="13"/>
              </w:rPr>
              <w:t>5 436</w:t>
            </w:r>
          </w:p>
        </w:tc>
      </w:tr>
      <w:tr w:rsidR="00730BDB" w:rsidRPr="0068723D" w14:paraId="0EB7F9D1" w14:textId="77777777" w:rsidTr="00C44F2E">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53AB2D80" w14:textId="45ABCF64" w:rsidR="00730BDB" w:rsidRPr="00073677" w:rsidRDefault="00730BDB" w:rsidP="00730BDB">
            <w:pPr>
              <w:rPr>
                <w:rFonts w:cs="Calibri"/>
                <w:color w:val="000000" w:themeColor="text1"/>
                <w:sz w:val="13"/>
                <w:szCs w:val="13"/>
              </w:rPr>
            </w:pPr>
            <w:r w:rsidRPr="00073677">
              <w:rPr>
                <w:rFonts w:cs="Calibri"/>
                <w:color w:val="000000" w:themeColor="text1"/>
                <w:sz w:val="13"/>
                <w:szCs w:val="13"/>
              </w:rPr>
              <w:t>- Kontrakty CIRS</w:t>
            </w:r>
          </w:p>
        </w:tc>
        <w:tc>
          <w:tcPr>
            <w:tcW w:w="1304" w:type="dxa"/>
            <w:tcBorders>
              <w:top w:val="nil"/>
              <w:left w:val="single" w:sz="8" w:space="0" w:color="0077BD"/>
              <w:bottom w:val="single" w:sz="8" w:space="0" w:color="0077BD"/>
              <w:right w:val="single" w:sz="8" w:space="0" w:color="0077BD"/>
            </w:tcBorders>
            <w:shd w:val="clear" w:color="auto" w:fill="auto"/>
            <w:vAlign w:val="center"/>
          </w:tcPr>
          <w:p w14:paraId="68FD7ABD" w14:textId="6F5ABD2A" w:rsidR="00730BDB" w:rsidRPr="00B97300" w:rsidRDefault="00730BDB" w:rsidP="00730BDB">
            <w:pPr>
              <w:jc w:val="right"/>
              <w:rPr>
                <w:rFonts w:cs="Calibri"/>
                <w:color w:val="000000" w:themeColor="text1"/>
                <w:sz w:val="13"/>
                <w:szCs w:val="13"/>
              </w:rPr>
            </w:pPr>
            <w:r w:rsidRPr="00B97300">
              <w:rPr>
                <w:color w:val="000000" w:themeColor="text1"/>
                <w:sz w:val="13"/>
                <w:szCs w:val="13"/>
              </w:rPr>
              <w:t>1 277 550</w:t>
            </w:r>
          </w:p>
        </w:tc>
        <w:tc>
          <w:tcPr>
            <w:tcW w:w="1304" w:type="dxa"/>
            <w:tcBorders>
              <w:top w:val="nil"/>
              <w:left w:val="nil"/>
              <w:bottom w:val="single" w:sz="8" w:space="0" w:color="0077BD"/>
              <w:right w:val="single" w:sz="8" w:space="0" w:color="0077BD"/>
            </w:tcBorders>
            <w:shd w:val="clear" w:color="auto" w:fill="auto"/>
            <w:vAlign w:val="center"/>
          </w:tcPr>
          <w:p w14:paraId="5F5A8C6F" w14:textId="3B861600" w:rsidR="00730BDB" w:rsidRPr="00B97300" w:rsidRDefault="00730BDB" w:rsidP="00730BDB">
            <w:pPr>
              <w:jc w:val="right"/>
              <w:rPr>
                <w:rFonts w:cs="Calibri"/>
                <w:color w:val="000000" w:themeColor="text1"/>
                <w:sz w:val="13"/>
                <w:szCs w:val="13"/>
              </w:rPr>
            </w:pPr>
            <w:r w:rsidRPr="00B97300">
              <w:rPr>
                <w:color w:val="000000" w:themeColor="text1"/>
                <w:sz w:val="13"/>
                <w:szCs w:val="13"/>
              </w:rPr>
              <w:t>1 278 930</w:t>
            </w:r>
          </w:p>
        </w:tc>
        <w:tc>
          <w:tcPr>
            <w:tcW w:w="1304" w:type="dxa"/>
            <w:tcBorders>
              <w:top w:val="nil"/>
              <w:left w:val="nil"/>
              <w:bottom w:val="single" w:sz="8" w:space="0" w:color="0077BD"/>
              <w:right w:val="single" w:sz="8" w:space="0" w:color="0077BD"/>
            </w:tcBorders>
            <w:shd w:val="clear" w:color="auto" w:fill="auto"/>
            <w:vAlign w:val="center"/>
          </w:tcPr>
          <w:p w14:paraId="2FCA6E1E" w14:textId="78A4E687" w:rsidR="00730BDB" w:rsidRPr="00B97300" w:rsidRDefault="00730BDB" w:rsidP="00730BDB">
            <w:pPr>
              <w:jc w:val="right"/>
              <w:rPr>
                <w:rFonts w:cs="Calibri"/>
                <w:color w:val="000000" w:themeColor="text1"/>
                <w:sz w:val="13"/>
                <w:szCs w:val="13"/>
              </w:rPr>
            </w:pPr>
            <w:r w:rsidRPr="00B97300">
              <w:rPr>
                <w:color w:val="000000" w:themeColor="text1"/>
                <w:sz w:val="13"/>
                <w:szCs w:val="13"/>
              </w:rPr>
              <w:t>-</w:t>
            </w:r>
          </w:p>
        </w:tc>
        <w:tc>
          <w:tcPr>
            <w:tcW w:w="1304" w:type="dxa"/>
            <w:tcBorders>
              <w:top w:val="nil"/>
              <w:left w:val="nil"/>
              <w:bottom w:val="single" w:sz="8" w:space="0" w:color="0077BD"/>
              <w:right w:val="nil"/>
            </w:tcBorders>
            <w:shd w:val="clear" w:color="auto" w:fill="auto"/>
            <w:vAlign w:val="center"/>
          </w:tcPr>
          <w:p w14:paraId="03EF4F0B" w14:textId="7656A5E0" w:rsidR="00730BDB" w:rsidRPr="00B97300" w:rsidRDefault="00730BDB" w:rsidP="00730BDB">
            <w:pPr>
              <w:jc w:val="right"/>
              <w:rPr>
                <w:rFonts w:cs="Calibri"/>
                <w:color w:val="000000" w:themeColor="text1"/>
                <w:sz w:val="13"/>
                <w:szCs w:val="13"/>
              </w:rPr>
            </w:pPr>
            <w:r w:rsidRPr="00B97300">
              <w:rPr>
                <w:color w:val="000000" w:themeColor="text1"/>
                <w:sz w:val="13"/>
                <w:szCs w:val="13"/>
              </w:rPr>
              <w:t>7 524</w:t>
            </w:r>
          </w:p>
        </w:tc>
      </w:tr>
      <w:tr w:rsidR="009E039E" w:rsidRPr="0068723D" w14:paraId="559CA99A" w14:textId="77777777" w:rsidTr="004845D1">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42F78FD5" w14:textId="77777777" w:rsidR="009E039E" w:rsidRPr="00073677" w:rsidRDefault="009E039E" w:rsidP="009E039E">
            <w:pPr>
              <w:rPr>
                <w:rFonts w:cs="Calibri"/>
                <w:b/>
                <w:bCs/>
                <w:color w:val="000000" w:themeColor="text1"/>
                <w:sz w:val="13"/>
                <w:szCs w:val="13"/>
              </w:rPr>
            </w:pPr>
            <w:r w:rsidRPr="00073677">
              <w:rPr>
                <w:rFonts w:cs="Calibri"/>
                <w:b/>
                <w:bCs/>
                <w:color w:val="000000" w:themeColor="text1"/>
                <w:sz w:val="13"/>
                <w:szCs w:val="13"/>
              </w:rPr>
              <w:t>Razem instrumenty pochodne zabezpieczające</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E55AE1B" w14:textId="79D8D659" w:rsidR="009E039E" w:rsidRPr="00B97300" w:rsidRDefault="009E039E" w:rsidP="009E039E">
            <w:pPr>
              <w:jc w:val="right"/>
              <w:rPr>
                <w:rFonts w:cs="Calibri"/>
                <w:b/>
                <w:bCs/>
                <w:color w:val="000000" w:themeColor="text1"/>
                <w:sz w:val="13"/>
                <w:szCs w:val="13"/>
              </w:rPr>
            </w:pPr>
            <w:r w:rsidRPr="00B97300">
              <w:rPr>
                <w:rFonts w:cs="Calibri"/>
                <w:b/>
                <w:bCs/>
                <w:color w:val="000000" w:themeColor="text1"/>
                <w:sz w:val="13"/>
                <w:szCs w:val="13"/>
              </w:rPr>
              <w:t>29 147 590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2804FF7A" w14:textId="08C23F17" w:rsidR="009E039E" w:rsidRPr="00B97300" w:rsidRDefault="00DB1B73" w:rsidP="00DB1B73">
            <w:pPr>
              <w:jc w:val="right"/>
              <w:rPr>
                <w:rFonts w:cs="Calibri"/>
                <w:b/>
                <w:bCs/>
                <w:color w:val="000000" w:themeColor="text1"/>
                <w:sz w:val="13"/>
                <w:szCs w:val="13"/>
              </w:rPr>
            </w:pPr>
            <w:r w:rsidRPr="00B97300">
              <w:rPr>
                <w:rFonts w:cs="Calibri"/>
                <w:b/>
                <w:bCs/>
                <w:color w:val="000000" w:themeColor="text1"/>
                <w:sz w:val="13"/>
                <w:szCs w:val="13"/>
              </w:rPr>
              <w:t>29 148</w:t>
            </w:r>
            <w:r w:rsidR="009E039E" w:rsidRPr="00B97300">
              <w:rPr>
                <w:rFonts w:cs="Calibri"/>
                <w:b/>
                <w:bCs/>
                <w:color w:val="000000" w:themeColor="text1"/>
                <w:sz w:val="13"/>
                <w:szCs w:val="13"/>
              </w:rPr>
              <w:t xml:space="preserve"> </w:t>
            </w:r>
            <w:r w:rsidRPr="00B97300">
              <w:rPr>
                <w:rFonts w:cs="Calibri"/>
                <w:b/>
                <w:bCs/>
                <w:color w:val="000000" w:themeColor="text1"/>
                <w:sz w:val="13"/>
                <w:szCs w:val="13"/>
              </w:rPr>
              <w:t>970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62C9B19A" w14:textId="01F0B066" w:rsidR="009E039E" w:rsidRPr="00B97300" w:rsidRDefault="009E039E" w:rsidP="009E039E">
            <w:pPr>
              <w:jc w:val="right"/>
              <w:rPr>
                <w:rFonts w:cs="Calibri"/>
                <w:b/>
                <w:bCs/>
                <w:color w:val="000000" w:themeColor="text1"/>
                <w:sz w:val="13"/>
                <w:szCs w:val="13"/>
              </w:rPr>
            </w:pPr>
            <w:r w:rsidRPr="00B97300">
              <w:rPr>
                <w:rFonts w:cs="Calibri"/>
                <w:b/>
                <w:bCs/>
                <w:color w:val="000000" w:themeColor="text1"/>
                <w:sz w:val="13"/>
                <w:szCs w:val="13"/>
              </w:rPr>
              <w:t>504 219</w:t>
            </w:r>
          </w:p>
        </w:tc>
        <w:tc>
          <w:tcPr>
            <w:tcW w:w="1304" w:type="dxa"/>
            <w:tcBorders>
              <w:top w:val="single" w:sz="8" w:space="0" w:color="0077BD"/>
              <w:left w:val="nil"/>
              <w:bottom w:val="single" w:sz="8" w:space="0" w:color="0077BD"/>
              <w:right w:val="nil"/>
            </w:tcBorders>
            <w:shd w:val="clear" w:color="auto" w:fill="auto"/>
            <w:vAlign w:val="center"/>
          </w:tcPr>
          <w:p w14:paraId="6EAF4951" w14:textId="2278BC46" w:rsidR="009E039E" w:rsidRPr="00B97300" w:rsidRDefault="009E039E" w:rsidP="009E039E">
            <w:pPr>
              <w:jc w:val="right"/>
              <w:rPr>
                <w:rFonts w:cs="Calibri"/>
                <w:b/>
                <w:bCs/>
                <w:color w:val="000000" w:themeColor="text1"/>
                <w:sz w:val="13"/>
                <w:szCs w:val="13"/>
              </w:rPr>
            </w:pPr>
            <w:r w:rsidRPr="00B97300">
              <w:rPr>
                <w:rFonts w:cs="Calibri"/>
                <w:b/>
                <w:bCs/>
                <w:color w:val="000000" w:themeColor="text1"/>
                <w:sz w:val="13"/>
                <w:szCs w:val="13"/>
              </w:rPr>
              <w:t>19 411</w:t>
            </w:r>
          </w:p>
        </w:tc>
      </w:tr>
      <w:tr w:rsidR="007058A7" w:rsidRPr="0068723D" w14:paraId="7F6DB261" w14:textId="77777777" w:rsidTr="00070500">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7623587A" w14:textId="77777777" w:rsidR="007058A7" w:rsidRPr="00073677" w:rsidRDefault="007058A7" w:rsidP="007058A7">
            <w:pPr>
              <w:rPr>
                <w:rFonts w:cs="Calibri"/>
                <w:b/>
                <w:bCs/>
                <w:color w:val="000000" w:themeColor="text1"/>
                <w:sz w:val="13"/>
                <w:szCs w:val="13"/>
              </w:rPr>
            </w:pPr>
            <w:r w:rsidRPr="00073677">
              <w:rPr>
                <w:rFonts w:cs="Calibri"/>
                <w:b/>
                <w:bCs/>
                <w:color w:val="000000" w:themeColor="text1"/>
                <w:sz w:val="13"/>
                <w:szCs w:val="13"/>
              </w:rPr>
              <w:t>Efekt kompensowania</w:t>
            </w:r>
          </w:p>
        </w:tc>
        <w:tc>
          <w:tcPr>
            <w:tcW w:w="1304" w:type="dxa"/>
            <w:tcBorders>
              <w:top w:val="single" w:sz="8" w:space="0" w:color="0077BD"/>
              <w:left w:val="single" w:sz="8" w:space="0" w:color="0077BD"/>
              <w:bottom w:val="single" w:sz="8" w:space="0" w:color="0077BD"/>
              <w:right w:val="single" w:sz="8" w:space="0" w:color="0077BD"/>
            </w:tcBorders>
            <w:shd w:val="thinDiagStripe" w:color="auto" w:fill="auto"/>
            <w:vAlign w:val="center"/>
          </w:tcPr>
          <w:p w14:paraId="450630DD" w14:textId="11A284F7" w:rsidR="007058A7" w:rsidRPr="00B97300" w:rsidRDefault="007058A7" w:rsidP="007058A7">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single" w:sz="8" w:space="0" w:color="0077BD"/>
            </w:tcBorders>
            <w:shd w:val="thinDiagStripe" w:color="auto" w:fill="auto"/>
            <w:vAlign w:val="center"/>
          </w:tcPr>
          <w:p w14:paraId="198D6188" w14:textId="154BA26A" w:rsidR="007058A7" w:rsidRPr="00B97300" w:rsidRDefault="007058A7" w:rsidP="007058A7">
            <w:pPr>
              <w:jc w:val="right"/>
              <w:rPr>
                <w:rFonts w:cs="Calibri"/>
                <w:b/>
                <w:bCs/>
                <w:color w:val="000000" w:themeColor="text1"/>
                <w:sz w:val="13"/>
                <w:szCs w:val="13"/>
              </w:rPr>
            </w:pPr>
          </w:p>
        </w:tc>
        <w:tc>
          <w:tcPr>
            <w:tcW w:w="1304" w:type="dxa"/>
            <w:tcBorders>
              <w:top w:val="single" w:sz="4" w:space="0" w:color="0077BD"/>
              <w:left w:val="nil"/>
              <w:bottom w:val="single" w:sz="4" w:space="0" w:color="0077BD"/>
              <w:right w:val="single" w:sz="8" w:space="0" w:color="0077BD"/>
            </w:tcBorders>
            <w:shd w:val="clear" w:color="auto" w:fill="auto"/>
            <w:vAlign w:val="center"/>
          </w:tcPr>
          <w:p w14:paraId="5FE370AD" w14:textId="5E0091EF" w:rsidR="007058A7" w:rsidRPr="00B97300" w:rsidRDefault="007058A7" w:rsidP="007058A7">
            <w:pPr>
              <w:jc w:val="right"/>
              <w:rPr>
                <w:rFonts w:cs="Calibri"/>
                <w:b/>
                <w:bCs/>
                <w:color w:val="000000" w:themeColor="text1"/>
                <w:sz w:val="13"/>
                <w:szCs w:val="13"/>
              </w:rPr>
            </w:pPr>
            <w:r w:rsidRPr="00B97300">
              <w:rPr>
                <w:rFonts w:cs="Calibri"/>
                <w:b/>
                <w:bCs/>
                <w:color w:val="000000" w:themeColor="text1"/>
                <w:sz w:val="13"/>
                <w:szCs w:val="13"/>
              </w:rPr>
              <w:t>(561 251)</w:t>
            </w:r>
          </w:p>
        </w:tc>
        <w:tc>
          <w:tcPr>
            <w:tcW w:w="1304" w:type="dxa"/>
            <w:tcBorders>
              <w:top w:val="single" w:sz="4" w:space="0" w:color="0077BD"/>
              <w:left w:val="nil"/>
              <w:bottom w:val="single" w:sz="4" w:space="0" w:color="0077BD"/>
              <w:right w:val="nil"/>
            </w:tcBorders>
            <w:shd w:val="clear" w:color="auto" w:fill="auto"/>
            <w:vAlign w:val="center"/>
          </w:tcPr>
          <w:p w14:paraId="3366879F" w14:textId="56EB6B98" w:rsidR="007058A7" w:rsidRPr="00B97300" w:rsidRDefault="007058A7" w:rsidP="007058A7">
            <w:pPr>
              <w:jc w:val="right"/>
              <w:rPr>
                <w:rFonts w:cs="Calibri"/>
                <w:b/>
                <w:bCs/>
                <w:color w:val="000000" w:themeColor="text1"/>
                <w:sz w:val="13"/>
                <w:szCs w:val="13"/>
              </w:rPr>
            </w:pPr>
            <w:r w:rsidRPr="00B97300">
              <w:rPr>
                <w:rFonts w:cs="Calibri"/>
                <w:b/>
                <w:bCs/>
                <w:color w:val="000000" w:themeColor="text1"/>
                <w:sz w:val="13"/>
                <w:szCs w:val="13"/>
              </w:rPr>
              <w:t>(132 194)</w:t>
            </w:r>
          </w:p>
        </w:tc>
      </w:tr>
      <w:tr w:rsidR="00730BDB" w:rsidRPr="0068723D" w14:paraId="026FB9D6" w14:textId="77777777" w:rsidTr="00070500">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2E61285A" w14:textId="6FCC6221" w:rsidR="00730BDB" w:rsidRPr="00073677" w:rsidRDefault="00073677" w:rsidP="00730BDB">
            <w:pPr>
              <w:rPr>
                <w:rFonts w:cs="Calibri"/>
                <w:b/>
                <w:bCs/>
                <w:color w:val="000000" w:themeColor="text1"/>
                <w:sz w:val="13"/>
                <w:szCs w:val="13"/>
              </w:rPr>
            </w:pPr>
            <w:r>
              <w:rPr>
                <w:rFonts w:cs="Calibri"/>
                <w:b/>
                <w:bCs/>
                <w:color w:val="000000" w:themeColor="text1"/>
                <w:sz w:val="13"/>
                <w:szCs w:val="13"/>
              </w:rPr>
              <w:t>Razem</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055DAF0" w14:textId="114BD379" w:rsidR="00730BDB" w:rsidRPr="00B97300" w:rsidRDefault="00730BDB" w:rsidP="00730BDB">
            <w:pPr>
              <w:jc w:val="right"/>
              <w:rPr>
                <w:rFonts w:cs="Calibri"/>
                <w:b/>
                <w:bCs/>
                <w:color w:val="000000" w:themeColor="text1"/>
                <w:sz w:val="13"/>
                <w:szCs w:val="13"/>
              </w:rPr>
            </w:pPr>
            <w:r w:rsidRPr="00B97300">
              <w:rPr>
                <w:b/>
                <w:bCs/>
                <w:color w:val="000000" w:themeColor="text1"/>
                <w:sz w:val="13"/>
                <w:szCs w:val="13"/>
              </w:rPr>
              <w:t>298 451 700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58BD05A6" w14:textId="079D04B6" w:rsidR="00730BDB" w:rsidRPr="00B97300" w:rsidRDefault="00730BDB" w:rsidP="00730BDB">
            <w:pPr>
              <w:jc w:val="right"/>
              <w:rPr>
                <w:rFonts w:cs="Calibri"/>
                <w:b/>
                <w:bCs/>
                <w:color w:val="000000" w:themeColor="text1"/>
                <w:sz w:val="13"/>
                <w:szCs w:val="13"/>
              </w:rPr>
            </w:pPr>
            <w:r w:rsidRPr="00B97300">
              <w:rPr>
                <w:b/>
                <w:bCs/>
                <w:color w:val="000000" w:themeColor="text1"/>
                <w:sz w:val="13"/>
                <w:szCs w:val="13"/>
              </w:rPr>
              <w:t>297 735 540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668E90B0" w14:textId="4BB57C8D" w:rsidR="00730BDB" w:rsidRPr="00B97300" w:rsidRDefault="00730BDB" w:rsidP="00730BDB">
            <w:pPr>
              <w:jc w:val="right"/>
              <w:rPr>
                <w:rFonts w:cs="Calibri"/>
                <w:b/>
                <w:bCs/>
                <w:color w:val="000000" w:themeColor="text1"/>
                <w:sz w:val="13"/>
                <w:szCs w:val="13"/>
              </w:rPr>
            </w:pPr>
            <w:r w:rsidRPr="00B97300">
              <w:rPr>
                <w:b/>
                <w:bCs/>
                <w:color w:val="000000" w:themeColor="text1"/>
                <w:sz w:val="13"/>
                <w:szCs w:val="13"/>
              </w:rPr>
              <w:t>959 776</w:t>
            </w:r>
          </w:p>
        </w:tc>
        <w:tc>
          <w:tcPr>
            <w:tcW w:w="1304" w:type="dxa"/>
            <w:tcBorders>
              <w:top w:val="single" w:sz="8" w:space="0" w:color="0077BD"/>
              <w:left w:val="nil"/>
              <w:bottom w:val="single" w:sz="8" w:space="0" w:color="0077BD"/>
              <w:right w:val="nil"/>
            </w:tcBorders>
            <w:shd w:val="clear" w:color="auto" w:fill="auto"/>
            <w:vAlign w:val="center"/>
          </w:tcPr>
          <w:p w14:paraId="0651928C" w14:textId="7537D106" w:rsidR="00730BDB" w:rsidRPr="00B97300" w:rsidRDefault="00730BDB" w:rsidP="00730BDB">
            <w:pPr>
              <w:jc w:val="right"/>
              <w:rPr>
                <w:rFonts w:cs="Calibri"/>
                <w:b/>
                <w:bCs/>
                <w:color w:val="000000" w:themeColor="text1"/>
                <w:sz w:val="13"/>
                <w:szCs w:val="13"/>
              </w:rPr>
            </w:pPr>
            <w:r w:rsidRPr="00B97300">
              <w:rPr>
                <w:b/>
                <w:bCs/>
                <w:color w:val="000000" w:themeColor="text1"/>
                <w:sz w:val="13"/>
                <w:szCs w:val="13"/>
              </w:rPr>
              <w:t>948 764</w:t>
            </w:r>
          </w:p>
        </w:tc>
      </w:tr>
      <w:tr w:rsidR="00AB09FA" w:rsidRPr="0068723D" w14:paraId="0D5319FC" w14:textId="77777777" w:rsidTr="00102675">
        <w:trPr>
          <w:trHeight w:val="20"/>
        </w:trPr>
        <w:tc>
          <w:tcPr>
            <w:tcW w:w="4365" w:type="dxa"/>
            <w:tcBorders>
              <w:top w:val="nil"/>
              <w:left w:val="nil"/>
              <w:bottom w:val="nil"/>
              <w:right w:val="nil"/>
            </w:tcBorders>
            <w:shd w:val="clear" w:color="000000" w:fill="FFFFFF"/>
            <w:vAlign w:val="center"/>
          </w:tcPr>
          <w:p w14:paraId="13390A55" w14:textId="6CB025BD" w:rsidR="00AB09FA" w:rsidRPr="00073677" w:rsidRDefault="00AB09FA" w:rsidP="007A72B1">
            <w:pPr>
              <w:rPr>
                <w:rFonts w:cs="Calibri"/>
                <w:color w:val="000000" w:themeColor="text1"/>
                <w:sz w:val="13"/>
                <w:szCs w:val="13"/>
              </w:rPr>
            </w:pPr>
          </w:p>
        </w:tc>
        <w:tc>
          <w:tcPr>
            <w:tcW w:w="1304" w:type="dxa"/>
            <w:tcBorders>
              <w:top w:val="nil"/>
              <w:left w:val="nil"/>
              <w:bottom w:val="nil"/>
              <w:right w:val="nil"/>
            </w:tcBorders>
            <w:shd w:val="clear" w:color="000000" w:fill="FFFFFF"/>
            <w:noWrap/>
            <w:vAlign w:val="center"/>
          </w:tcPr>
          <w:p w14:paraId="0E4E0C37" w14:textId="16B3EE8B" w:rsidR="00AB09FA" w:rsidRPr="00B97300" w:rsidRDefault="00AB09FA" w:rsidP="007A72B1">
            <w:pPr>
              <w:jc w:val="right"/>
              <w:rPr>
                <w:rFonts w:cs="Calibri"/>
                <w:color w:val="000000" w:themeColor="text1"/>
                <w:sz w:val="13"/>
                <w:szCs w:val="13"/>
              </w:rPr>
            </w:pPr>
          </w:p>
        </w:tc>
        <w:tc>
          <w:tcPr>
            <w:tcW w:w="1304" w:type="dxa"/>
            <w:tcBorders>
              <w:top w:val="nil"/>
              <w:left w:val="nil"/>
              <w:bottom w:val="nil"/>
              <w:right w:val="nil"/>
            </w:tcBorders>
            <w:shd w:val="clear" w:color="000000" w:fill="FFFFFF"/>
            <w:noWrap/>
            <w:vAlign w:val="center"/>
          </w:tcPr>
          <w:p w14:paraId="63376056" w14:textId="54B09E40" w:rsidR="00AB09FA" w:rsidRPr="00B97300" w:rsidRDefault="00AB09FA" w:rsidP="007A72B1">
            <w:pPr>
              <w:jc w:val="right"/>
              <w:rPr>
                <w:rFonts w:cs="Calibri"/>
                <w:color w:val="000000" w:themeColor="text1"/>
                <w:sz w:val="13"/>
                <w:szCs w:val="13"/>
              </w:rPr>
            </w:pPr>
          </w:p>
        </w:tc>
        <w:tc>
          <w:tcPr>
            <w:tcW w:w="1304" w:type="dxa"/>
            <w:tcBorders>
              <w:top w:val="nil"/>
              <w:left w:val="nil"/>
              <w:bottom w:val="nil"/>
              <w:right w:val="nil"/>
            </w:tcBorders>
            <w:shd w:val="clear" w:color="000000" w:fill="FFFFFF"/>
            <w:noWrap/>
            <w:vAlign w:val="center"/>
          </w:tcPr>
          <w:p w14:paraId="5E77B296" w14:textId="2CB5C76E" w:rsidR="00AB09FA" w:rsidRPr="00B97300" w:rsidRDefault="00AB09FA" w:rsidP="007A72B1">
            <w:pPr>
              <w:jc w:val="right"/>
              <w:rPr>
                <w:rFonts w:cs="Calibri"/>
                <w:color w:val="000000" w:themeColor="text1"/>
                <w:sz w:val="13"/>
                <w:szCs w:val="13"/>
              </w:rPr>
            </w:pPr>
          </w:p>
        </w:tc>
        <w:tc>
          <w:tcPr>
            <w:tcW w:w="1304" w:type="dxa"/>
            <w:tcBorders>
              <w:top w:val="nil"/>
              <w:left w:val="nil"/>
              <w:bottom w:val="nil"/>
              <w:right w:val="nil"/>
            </w:tcBorders>
            <w:shd w:val="clear" w:color="000000" w:fill="FFFFFF"/>
            <w:noWrap/>
            <w:vAlign w:val="center"/>
          </w:tcPr>
          <w:p w14:paraId="310AFB2F" w14:textId="4FC75286" w:rsidR="00AB09FA" w:rsidRPr="00B97300" w:rsidRDefault="00AB09FA" w:rsidP="007A72B1">
            <w:pPr>
              <w:jc w:val="right"/>
              <w:rPr>
                <w:rFonts w:cs="Calibri"/>
                <w:color w:val="000000" w:themeColor="text1"/>
                <w:sz w:val="13"/>
                <w:szCs w:val="13"/>
              </w:rPr>
            </w:pPr>
          </w:p>
        </w:tc>
      </w:tr>
      <w:tr w:rsidR="00730BDB" w:rsidRPr="00730BDB" w14:paraId="298A305F" w14:textId="77777777" w:rsidTr="0002753C">
        <w:trPr>
          <w:trHeight w:val="255"/>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48189F34" w14:textId="77777777" w:rsidR="00730BDB" w:rsidRPr="00073677" w:rsidRDefault="00730BDB" w:rsidP="00730BDB">
            <w:pPr>
              <w:rPr>
                <w:rFonts w:cs="Calibri"/>
                <w:bCs/>
                <w:color w:val="000000" w:themeColor="text1"/>
                <w:sz w:val="13"/>
                <w:szCs w:val="13"/>
              </w:rPr>
            </w:pPr>
            <w:r w:rsidRPr="00073677">
              <w:rPr>
                <w:rFonts w:cs="Calibri"/>
                <w:bCs/>
                <w:color w:val="000000" w:themeColor="text1"/>
                <w:sz w:val="13"/>
                <w:szCs w:val="13"/>
              </w:rPr>
              <w:t>Krótkoterminowe (do 1 roku)</w:t>
            </w:r>
          </w:p>
        </w:tc>
        <w:tc>
          <w:tcPr>
            <w:tcW w:w="130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3A072BE" w14:textId="5CD1DE6A"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100 535 135</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6D5ECF98" w14:textId="7A4E663D"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99 691 990</w:t>
            </w:r>
          </w:p>
        </w:tc>
        <w:tc>
          <w:tcPr>
            <w:tcW w:w="1304" w:type="dxa"/>
            <w:tcBorders>
              <w:top w:val="single" w:sz="8" w:space="0" w:color="0077BD"/>
              <w:left w:val="nil"/>
              <w:bottom w:val="single" w:sz="8" w:space="0" w:color="0077BD"/>
              <w:right w:val="single" w:sz="8" w:space="0" w:color="0077BD"/>
            </w:tcBorders>
            <w:shd w:val="clear" w:color="auto" w:fill="auto"/>
            <w:vAlign w:val="center"/>
          </w:tcPr>
          <w:p w14:paraId="694EDBB3" w14:textId="2CB53B48"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243 638</w:t>
            </w:r>
          </w:p>
        </w:tc>
        <w:tc>
          <w:tcPr>
            <w:tcW w:w="1304" w:type="dxa"/>
            <w:tcBorders>
              <w:top w:val="single" w:sz="8" w:space="0" w:color="0077BD"/>
              <w:left w:val="nil"/>
              <w:bottom w:val="single" w:sz="8" w:space="0" w:color="0077BD"/>
              <w:right w:val="nil"/>
            </w:tcBorders>
            <w:shd w:val="clear" w:color="auto" w:fill="auto"/>
            <w:vAlign w:val="center"/>
          </w:tcPr>
          <w:p w14:paraId="114F4802" w14:textId="3FAFFC38"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597 022</w:t>
            </w:r>
          </w:p>
        </w:tc>
      </w:tr>
      <w:tr w:rsidR="00730BDB" w:rsidRPr="00730BDB" w14:paraId="35D5063C" w14:textId="77777777" w:rsidTr="0002753C">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356E7678" w14:textId="77777777" w:rsidR="00730BDB" w:rsidRPr="00073677" w:rsidRDefault="00730BDB" w:rsidP="00730BDB">
            <w:pPr>
              <w:rPr>
                <w:rFonts w:cs="Calibri"/>
                <w:bCs/>
                <w:color w:val="000000" w:themeColor="text1"/>
                <w:sz w:val="13"/>
                <w:szCs w:val="13"/>
              </w:rPr>
            </w:pPr>
            <w:r w:rsidRPr="00073677">
              <w:rPr>
                <w:rFonts w:cs="Calibri"/>
                <w:bCs/>
                <w:color w:val="000000" w:themeColor="text1"/>
                <w:sz w:val="13"/>
                <w:szCs w:val="13"/>
              </w:rPr>
              <w:t>Długoterminowe (powyżej 1 roku)</w:t>
            </w:r>
          </w:p>
        </w:tc>
        <w:tc>
          <w:tcPr>
            <w:tcW w:w="1304" w:type="dxa"/>
            <w:tcBorders>
              <w:top w:val="nil"/>
              <w:left w:val="single" w:sz="8" w:space="0" w:color="0077BD"/>
              <w:bottom w:val="single" w:sz="8" w:space="0" w:color="0077BD"/>
              <w:right w:val="single" w:sz="8" w:space="0" w:color="0077BD"/>
            </w:tcBorders>
            <w:shd w:val="clear" w:color="auto" w:fill="auto"/>
            <w:vAlign w:val="center"/>
          </w:tcPr>
          <w:p w14:paraId="69C397C8" w14:textId="5D6BB99F"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197 916 565</w:t>
            </w:r>
          </w:p>
        </w:tc>
        <w:tc>
          <w:tcPr>
            <w:tcW w:w="1304" w:type="dxa"/>
            <w:tcBorders>
              <w:top w:val="nil"/>
              <w:left w:val="nil"/>
              <w:bottom w:val="single" w:sz="8" w:space="0" w:color="0077BD"/>
              <w:right w:val="single" w:sz="8" w:space="0" w:color="0077BD"/>
            </w:tcBorders>
            <w:shd w:val="clear" w:color="auto" w:fill="auto"/>
            <w:vAlign w:val="center"/>
          </w:tcPr>
          <w:p w14:paraId="0FA2CAB8" w14:textId="08BCFB55"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198 043 550</w:t>
            </w:r>
          </w:p>
        </w:tc>
        <w:tc>
          <w:tcPr>
            <w:tcW w:w="1304" w:type="dxa"/>
            <w:tcBorders>
              <w:top w:val="nil"/>
              <w:left w:val="nil"/>
              <w:bottom w:val="single" w:sz="8" w:space="0" w:color="0077BD"/>
              <w:right w:val="single" w:sz="8" w:space="0" w:color="0077BD"/>
            </w:tcBorders>
            <w:shd w:val="clear" w:color="auto" w:fill="auto"/>
            <w:vAlign w:val="center"/>
          </w:tcPr>
          <w:p w14:paraId="7347C05E" w14:textId="550294F0"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716 138</w:t>
            </w:r>
          </w:p>
        </w:tc>
        <w:tc>
          <w:tcPr>
            <w:tcW w:w="1304" w:type="dxa"/>
            <w:tcBorders>
              <w:top w:val="nil"/>
              <w:left w:val="nil"/>
              <w:bottom w:val="single" w:sz="8" w:space="0" w:color="0077BD"/>
              <w:right w:val="nil"/>
            </w:tcBorders>
            <w:shd w:val="clear" w:color="auto" w:fill="auto"/>
            <w:vAlign w:val="center"/>
          </w:tcPr>
          <w:p w14:paraId="22ABD9F3" w14:textId="5F18A9B5" w:rsidR="00730BDB" w:rsidRPr="00B97300" w:rsidRDefault="00730BDB" w:rsidP="00730BDB">
            <w:pPr>
              <w:jc w:val="right"/>
              <w:rPr>
                <w:rFonts w:cs="Calibri"/>
                <w:bCs/>
                <w:color w:val="000000" w:themeColor="text1"/>
                <w:sz w:val="13"/>
                <w:szCs w:val="13"/>
              </w:rPr>
            </w:pPr>
            <w:r w:rsidRPr="00B97300">
              <w:rPr>
                <w:bCs/>
                <w:color w:val="000000" w:themeColor="text1"/>
                <w:sz w:val="13"/>
                <w:szCs w:val="13"/>
              </w:rPr>
              <w:t>351 742</w:t>
            </w:r>
          </w:p>
        </w:tc>
      </w:tr>
    </w:tbl>
    <w:p w14:paraId="4DCD9AE3" w14:textId="03D353EB" w:rsidR="007058A7" w:rsidRPr="0068723D" w:rsidRDefault="007058A7" w:rsidP="00AB09FA">
      <w:pPr>
        <w:jc w:val="both"/>
        <w:rPr>
          <w:color w:val="000000" w:themeColor="text1"/>
          <w:sz w:val="18"/>
          <w:szCs w:val="18"/>
        </w:rPr>
      </w:pPr>
    </w:p>
    <w:p w14:paraId="5D471A50" w14:textId="77777777" w:rsidR="007058A7" w:rsidRDefault="007058A7">
      <w:pPr>
        <w:rPr>
          <w:sz w:val="18"/>
          <w:szCs w:val="18"/>
        </w:rPr>
      </w:pPr>
      <w:r>
        <w:rPr>
          <w:sz w:val="18"/>
          <w:szCs w:val="18"/>
        </w:rPr>
        <w:br w:type="page"/>
      </w:r>
    </w:p>
    <w:tbl>
      <w:tblPr>
        <w:tblW w:w="0" w:type="auto"/>
        <w:tblCellMar>
          <w:left w:w="28" w:type="dxa"/>
          <w:right w:w="28" w:type="dxa"/>
        </w:tblCellMar>
        <w:tblLook w:val="04A0" w:firstRow="1" w:lastRow="0" w:firstColumn="1" w:lastColumn="0" w:noHBand="0" w:noVBand="1"/>
      </w:tblPr>
      <w:tblGrid>
        <w:gridCol w:w="4365"/>
        <w:gridCol w:w="1304"/>
        <w:gridCol w:w="1304"/>
        <w:gridCol w:w="1304"/>
        <w:gridCol w:w="1304"/>
      </w:tblGrid>
      <w:tr w:rsidR="00AB09FA" w:rsidRPr="00AB09FA" w14:paraId="1272DE49" w14:textId="77777777" w:rsidTr="00E732B3">
        <w:trPr>
          <w:trHeight w:val="284"/>
        </w:trPr>
        <w:tc>
          <w:tcPr>
            <w:tcW w:w="4365" w:type="dxa"/>
            <w:vMerge w:val="restart"/>
            <w:tcBorders>
              <w:top w:val="nil"/>
              <w:left w:val="nil"/>
              <w:bottom w:val="single" w:sz="8" w:space="0" w:color="0077BD"/>
              <w:right w:val="single" w:sz="8" w:space="0" w:color="FFFFFF"/>
            </w:tcBorders>
            <w:shd w:val="clear" w:color="000000" w:fill="0077BD"/>
            <w:vAlign w:val="center"/>
            <w:hideMark/>
          </w:tcPr>
          <w:p w14:paraId="04845E71" w14:textId="77777777" w:rsidR="00AB09FA" w:rsidRPr="00AB09FA" w:rsidRDefault="00AB09FA" w:rsidP="00AB09FA">
            <w:pPr>
              <w:rPr>
                <w:rFonts w:cs="Calibri"/>
                <w:b/>
                <w:bCs/>
                <w:color w:val="FFFFFF"/>
                <w:sz w:val="13"/>
                <w:szCs w:val="13"/>
              </w:rPr>
            </w:pPr>
            <w:r w:rsidRPr="00AB09FA">
              <w:rPr>
                <w:rFonts w:cs="Calibri"/>
                <w:b/>
                <w:bCs/>
                <w:color w:val="FFFFFF"/>
                <w:sz w:val="13"/>
                <w:szCs w:val="13"/>
              </w:rPr>
              <w:lastRenderedPageBreak/>
              <w:t>31.12.2018</w:t>
            </w:r>
          </w:p>
        </w:tc>
        <w:tc>
          <w:tcPr>
            <w:tcW w:w="2608" w:type="dxa"/>
            <w:gridSpan w:val="2"/>
            <w:tcBorders>
              <w:top w:val="nil"/>
              <w:left w:val="single" w:sz="8" w:space="0" w:color="FFFFFF"/>
              <w:bottom w:val="single" w:sz="8" w:space="0" w:color="FFFFFF"/>
              <w:right w:val="single" w:sz="8" w:space="0" w:color="FFFFFF"/>
            </w:tcBorders>
            <w:shd w:val="clear" w:color="000000" w:fill="0077BD"/>
            <w:vAlign w:val="center"/>
            <w:hideMark/>
          </w:tcPr>
          <w:p w14:paraId="6527B92A"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Wartość kontraktu</w:t>
            </w:r>
          </w:p>
        </w:tc>
        <w:tc>
          <w:tcPr>
            <w:tcW w:w="2608" w:type="dxa"/>
            <w:gridSpan w:val="2"/>
            <w:tcBorders>
              <w:top w:val="nil"/>
              <w:left w:val="nil"/>
              <w:bottom w:val="single" w:sz="8" w:space="0" w:color="FFFFFF"/>
              <w:right w:val="nil"/>
            </w:tcBorders>
            <w:shd w:val="clear" w:color="000000" w:fill="0077BD"/>
            <w:vAlign w:val="center"/>
            <w:hideMark/>
          </w:tcPr>
          <w:p w14:paraId="3FF76F3A"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Wartość godziwa</w:t>
            </w:r>
          </w:p>
        </w:tc>
      </w:tr>
      <w:tr w:rsidR="00AB09FA" w:rsidRPr="00AB09FA" w14:paraId="2ACCC4C6" w14:textId="77777777" w:rsidTr="00E732B3">
        <w:trPr>
          <w:trHeight w:val="284"/>
        </w:trPr>
        <w:tc>
          <w:tcPr>
            <w:tcW w:w="4365" w:type="dxa"/>
            <w:vMerge/>
            <w:tcBorders>
              <w:top w:val="nil"/>
              <w:left w:val="nil"/>
              <w:right w:val="single" w:sz="8" w:space="0" w:color="FFFFFF"/>
            </w:tcBorders>
            <w:vAlign w:val="center"/>
            <w:hideMark/>
          </w:tcPr>
          <w:p w14:paraId="5BC664AB" w14:textId="77777777" w:rsidR="00AB09FA" w:rsidRPr="00AB09FA" w:rsidRDefault="00AB09FA" w:rsidP="00AB09FA">
            <w:pPr>
              <w:rPr>
                <w:rFonts w:cs="Calibri"/>
                <w:b/>
                <w:bCs/>
                <w:color w:val="FFFFFF"/>
                <w:sz w:val="13"/>
                <w:szCs w:val="13"/>
              </w:rPr>
            </w:pPr>
          </w:p>
        </w:tc>
        <w:tc>
          <w:tcPr>
            <w:tcW w:w="1304" w:type="dxa"/>
            <w:tcBorders>
              <w:top w:val="nil"/>
              <w:left w:val="single" w:sz="8" w:space="0" w:color="FFFFFF"/>
              <w:right w:val="single" w:sz="8" w:space="0" w:color="FFFFFF"/>
            </w:tcBorders>
            <w:shd w:val="clear" w:color="000000" w:fill="0077BD"/>
            <w:vAlign w:val="center"/>
            <w:hideMark/>
          </w:tcPr>
          <w:p w14:paraId="6510DF44"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Kupno</w:t>
            </w:r>
          </w:p>
        </w:tc>
        <w:tc>
          <w:tcPr>
            <w:tcW w:w="1304" w:type="dxa"/>
            <w:tcBorders>
              <w:top w:val="nil"/>
              <w:left w:val="nil"/>
              <w:right w:val="single" w:sz="8" w:space="0" w:color="FFFFFF"/>
            </w:tcBorders>
            <w:shd w:val="clear" w:color="000000" w:fill="0077BD"/>
            <w:vAlign w:val="center"/>
            <w:hideMark/>
          </w:tcPr>
          <w:p w14:paraId="53522A2A"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Sprzedaż</w:t>
            </w:r>
          </w:p>
        </w:tc>
        <w:tc>
          <w:tcPr>
            <w:tcW w:w="1304" w:type="dxa"/>
            <w:tcBorders>
              <w:top w:val="nil"/>
              <w:left w:val="nil"/>
              <w:right w:val="single" w:sz="8" w:space="0" w:color="FFFFFF"/>
            </w:tcBorders>
            <w:shd w:val="clear" w:color="000000" w:fill="0077BD"/>
            <w:vAlign w:val="center"/>
            <w:hideMark/>
          </w:tcPr>
          <w:p w14:paraId="12286DC5"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Aktywa</w:t>
            </w:r>
          </w:p>
        </w:tc>
        <w:tc>
          <w:tcPr>
            <w:tcW w:w="1304" w:type="dxa"/>
            <w:tcBorders>
              <w:top w:val="nil"/>
              <w:left w:val="nil"/>
              <w:right w:val="nil"/>
            </w:tcBorders>
            <w:shd w:val="clear" w:color="000000" w:fill="0077BD"/>
            <w:vAlign w:val="center"/>
            <w:hideMark/>
          </w:tcPr>
          <w:p w14:paraId="3407D03F" w14:textId="77777777" w:rsidR="00AB09FA" w:rsidRPr="00AB09FA" w:rsidRDefault="00AB09FA" w:rsidP="00AB09FA">
            <w:pPr>
              <w:jc w:val="center"/>
              <w:rPr>
                <w:rFonts w:cs="Calibri"/>
                <w:b/>
                <w:bCs/>
                <w:color w:val="FFFFFF"/>
                <w:sz w:val="13"/>
                <w:szCs w:val="13"/>
              </w:rPr>
            </w:pPr>
            <w:r w:rsidRPr="00AB09FA">
              <w:rPr>
                <w:rFonts w:cs="Calibri"/>
                <w:b/>
                <w:bCs/>
                <w:color w:val="FFFFFF"/>
                <w:sz w:val="13"/>
                <w:szCs w:val="13"/>
              </w:rPr>
              <w:t>Zobowiązania</w:t>
            </w:r>
          </w:p>
        </w:tc>
      </w:tr>
      <w:tr w:rsidR="00B63F40" w:rsidRPr="0068723D" w14:paraId="477356E5" w14:textId="77777777" w:rsidTr="00102675">
        <w:trPr>
          <w:trHeight w:val="255"/>
        </w:trPr>
        <w:tc>
          <w:tcPr>
            <w:tcW w:w="4365" w:type="dxa"/>
            <w:tcBorders>
              <w:top w:val="nil"/>
              <w:left w:val="nil"/>
              <w:bottom w:val="single" w:sz="8" w:space="0" w:color="0077BD"/>
              <w:right w:val="nil"/>
            </w:tcBorders>
            <w:shd w:val="clear" w:color="000000" w:fill="FFFFFF"/>
            <w:vAlign w:val="center"/>
            <w:hideMark/>
          </w:tcPr>
          <w:p w14:paraId="0CA5A923"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Instrumenty pochodne przeznaczone do obrotu</w:t>
            </w:r>
          </w:p>
        </w:tc>
        <w:tc>
          <w:tcPr>
            <w:tcW w:w="1304" w:type="dxa"/>
            <w:tcBorders>
              <w:top w:val="nil"/>
              <w:left w:val="nil"/>
              <w:bottom w:val="single" w:sz="8" w:space="0" w:color="0077BD"/>
              <w:right w:val="nil"/>
            </w:tcBorders>
            <w:shd w:val="clear" w:color="000000" w:fill="FFFFFF"/>
            <w:noWrap/>
            <w:vAlign w:val="center"/>
          </w:tcPr>
          <w:p w14:paraId="4A5668F3" w14:textId="4A9E02EB" w:rsidR="00AB09FA" w:rsidRPr="002B40C0" w:rsidRDefault="00AB09FA" w:rsidP="00AB09FA">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700505D2" w14:textId="3BC9DFDD" w:rsidR="00AB09FA" w:rsidRPr="002B40C0" w:rsidRDefault="00AB09FA" w:rsidP="00AB09FA">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0BBD3770" w14:textId="02456895" w:rsidR="00AB09FA" w:rsidRPr="002B40C0" w:rsidRDefault="00AB09FA" w:rsidP="00AB09FA">
            <w:pPr>
              <w:jc w:val="right"/>
              <w:rPr>
                <w:rFonts w:cs="Calibri"/>
                <w:b/>
                <w:bCs/>
                <w:color w:val="000000" w:themeColor="text1"/>
                <w:sz w:val="13"/>
                <w:szCs w:val="13"/>
              </w:rPr>
            </w:pPr>
          </w:p>
        </w:tc>
        <w:tc>
          <w:tcPr>
            <w:tcW w:w="1304" w:type="dxa"/>
            <w:tcBorders>
              <w:top w:val="nil"/>
              <w:left w:val="nil"/>
              <w:bottom w:val="single" w:sz="8" w:space="0" w:color="0077BD"/>
              <w:right w:val="nil"/>
            </w:tcBorders>
            <w:shd w:val="clear" w:color="000000" w:fill="FFFFFF"/>
            <w:noWrap/>
            <w:vAlign w:val="center"/>
          </w:tcPr>
          <w:p w14:paraId="750477C2" w14:textId="1EDF9435" w:rsidR="00AB09FA" w:rsidRPr="002B40C0" w:rsidRDefault="00AB09FA" w:rsidP="00AB09FA">
            <w:pPr>
              <w:jc w:val="right"/>
              <w:rPr>
                <w:rFonts w:cs="Calibri"/>
                <w:b/>
                <w:bCs/>
                <w:color w:val="000000" w:themeColor="text1"/>
                <w:sz w:val="13"/>
                <w:szCs w:val="13"/>
              </w:rPr>
            </w:pPr>
          </w:p>
        </w:tc>
      </w:tr>
      <w:tr w:rsidR="00B63F40" w:rsidRPr="0068723D" w14:paraId="0C5DD721" w14:textId="77777777" w:rsidTr="00102675">
        <w:trPr>
          <w:trHeight w:val="255"/>
        </w:trPr>
        <w:tc>
          <w:tcPr>
            <w:tcW w:w="4365" w:type="dxa"/>
            <w:tcBorders>
              <w:top w:val="nil"/>
              <w:left w:val="nil"/>
              <w:bottom w:val="single" w:sz="4" w:space="0" w:color="0077BD"/>
              <w:right w:val="nil"/>
            </w:tcBorders>
            <w:shd w:val="clear" w:color="000000" w:fill="FFFFFF"/>
            <w:vAlign w:val="center"/>
            <w:hideMark/>
          </w:tcPr>
          <w:p w14:paraId="2ED96E20"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Walutowe instrumenty pochodne</w:t>
            </w:r>
          </w:p>
        </w:tc>
        <w:tc>
          <w:tcPr>
            <w:tcW w:w="1304" w:type="dxa"/>
            <w:tcBorders>
              <w:top w:val="nil"/>
              <w:left w:val="nil"/>
              <w:bottom w:val="single" w:sz="4" w:space="0" w:color="0077BD"/>
              <w:right w:val="nil"/>
            </w:tcBorders>
            <w:shd w:val="clear" w:color="000000" w:fill="FFFFFF"/>
            <w:vAlign w:val="center"/>
          </w:tcPr>
          <w:p w14:paraId="6662A0C8" w14:textId="3533E073" w:rsidR="00AB09FA" w:rsidRPr="002B40C0" w:rsidRDefault="00AB09FA" w:rsidP="00AB09FA">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70BF0CB8" w14:textId="4845B4BF" w:rsidR="00AB09FA" w:rsidRPr="002B40C0" w:rsidRDefault="00AB09FA" w:rsidP="00AB09FA">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6C57D68B" w14:textId="5B32D5EC" w:rsidR="00AB09FA" w:rsidRPr="002B40C0" w:rsidRDefault="00AB09FA" w:rsidP="00AB09FA">
            <w:pPr>
              <w:jc w:val="right"/>
              <w:rPr>
                <w:rFonts w:cs="Calibri"/>
                <w:color w:val="000000" w:themeColor="text1"/>
                <w:sz w:val="13"/>
                <w:szCs w:val="13"/>
              </w:rPr>
            </w:pPr>
          </w:p>
        </w:tc>
        <w:tc>
          <w:tcPr>
            <w:tcW w:w="1304" w:type="dxa"/>
            <w:tcBorders>
              <w:top w:val="nil"/>
              <w:left w:val="nil"/>
              <w:bottom w:val="single" w:sz="4" w:space="0" w:color="0077BD"/>
              <w:right w:val="nil"/>
            </w:tcBorders>
            <w:shd w:val="clear" w:color="000000" w:fill="FFFFFF"/>
            <w:vAlign w:val="center"/>
          </w:tcPr>
          <w:p w14:paraId="00CE7B53" w14:textId="2AE2D5DA" w:rsidR="00AB09FA" w:rsidRPr="002B40C0" w:rsidRDefault="00AB09FA" w:rsidP="00AB09FA">
            <w:pPr>
              <w:jc w:val="right"/>
              <w:rPr>
                <w:rFonts w:cs="Calibri"/>
                <w:color w:val="000000" w:themeColor="text1"/>
                <w:sz w:val="13"/>
                <w:szCs w:val="13"/>
              </w:rPr>
            </w:pPr>
          </w:p>
        </w:tc>
      </w:tr>
      <w:tr w:rsidR="00B63F40" w:rsidRPr="0068723D" w14:paraId="5F35CB52" w14:textId="77777777" w:rsidTr="00102675">
        <w:trPr>
          <w:trHeight w:val="255"/>
        </w:trPr>
        <w:tc>
          <w:tcPr>
            <w:tcW w:w="4365" w:type="dxa"/>
            <w:tcBorders>
              <w:top w:val="single" w:sz="8" w:space="0" w:color="0077BD"/>
              <w:left w:val="nil"/>
              <w:bottom w:val="single" w:sz="4" w:space="0" w:color="0077BD"/>
              <w:right w:val="single" w:sz="8" w:space="0" w:color="0077BD"/>
            </w:tcBorders>
            <w:shd w:val="clear" w:color="auto" w:fill="auto"/>
            <w:vAlign w:val="center"/>
            <w:hideMark/>
          </w:tcPr>
          <w:p w14:paraId="0712B468"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Walutowe transakcje terminowe (FX forward)</w:t>
            </w:r>
          </w:p>
        </w:tc>
        <w:tc>
          <w:tcPr>
            <w:tcW w:w="1304" w:type="dxa"/>
            <w:tcBorders>
              <w:top w:val="single" w:sz="8" w:space="0" w:color="0077BD"/>
              <w:left w:val="nil"/>
              <w:bottom w:val="single" w:sz="4" w:space="0" w:color="0077BD"/>
              <w:right w:val="single" w:sz="8" w:space="0" w:color="0077BD"/>
            </w:tcBorders>
            <w:shd w:val="clear" w:color="auto" w:fill="auto"/>
            <w:vAlign w:val="center"/>
            <w:hideMark/>
          </w:tcPr>
          <w:p w14:paraId="739FA739"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16 612 859</w:t>
            </w:r>
          </w:p>
        </w:tc>
        <w:tc>
          <w:tcPr>
            <w:tcW w:w="1304" w:type="dxa"/>
            <w:tcBorders>
              <w:top w:val="single" w:sz="8" w:space="0" w:color="0077BD"/>
              <w:left w:val="nil"/>
              <w:bottom w:val="single" w:sz="4" w:space="0" w:color="0077BD"/>
              <w:right w:val="single" w:sz="8" w:space="0" w:color="0077BD"/>
            </w:tcBorders>
            <w:shd w:val="clear" w:color="auto" w:fill="auto"/>
            <w:vAlign w:val="center"/>
            <w:hideMark/>
          </w:tcPr>
          <w:p w14:paraId="4EDF290F"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16 730 475</w:t>
            </w:r>
          </w:p>
        </w:tc>
        <w:tc>
          <w:tcPr>
            <w:tcW w:w="1304" w:type="dxa"/>
            <w:tcBorders>
              <w:top w:val="single" w:sz="8" w:space="0" w:color="0077BD"/>
              <w:left w:val="nil"/>
              <w:bottom w:val="single" w:sz="4" w:space="0" w:color="0077BD"/>
              <w:right w:val="single" w:sz="8" w:space="0" w:color="0077BD"/>
            </w:tcBorders>
            <w:shd w:val="clear" w:color="auto" w:fill="auto"/>
            <w:vAlign w:val="center"/>
            <w:hideMark/>
          </w:tcPr>
          <w:p w14:paraId="62370388"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48 959</w:t>
            </w:r>
          </w:p>
        </w:tc>
        <w:tc>
          <w:tcPr>
            <w:tcW w:w="1304" w:type="dxa"/>
            <w:tcBorders>
              <w:top w:val="single" w:sz="8" w:space="0" w:color="0077BD"/>
              <w:left w:val="nil"/>
              <w:bottom w:val="single" w:sz="4" w:space="0" w:color="0077BD"/>
              <w:right w:val="nil"/>
            </w:tcBorders>
            <w:shd w:val="clear" w:color="auto" w:fill="auto"/>
            <w:vAlign w:val="center"/>
            <w:hideMark/>
          </w:tcPr>
          <w:p w14:paraId="738F6580"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83 547</w:t>
            </w:r>
          </w:p>
        </w:tc>
      </w:tr>
      <w:tr w:rsidR="00B63F40" w:rsidRPr="0068723D" w14:paraId="68B639B7"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2DC5F151"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FX swap</w:t>
            </w:r>
          </w:p>
        </w:tc>
        <w:tc>
          <w:tcPr>
            <w:tcW w:w="1304" w:type="dxa"/>
            <w:tcBorders>
              <w:top w:val="nil"/>
              <w:left w:val="nil"/>
              <w:bottom w:val="single" w:sz="4" w:space="0" w:color="0077BD"/>
              <w:right w:val="single" w:sz="8" w:space="0" w:color="0077BD"/>
            </w:tcBorders>
            <w:shd w:val="clear" w:color="auto" w:fill="auto"/>
            <w:vAlign w:val="center"/>
            <w:hideMark/>
          </w:tcPr>
          <w:p w14:paraId="1DC772D1"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12 618 508</w:t>
            </w:r>
          </w:p>
        </w:tc>
        <w:tc>
          <w:tcPr>
            <w:tcW w:w="1304" w:type="dxa"/>
            <w:tcBorders>
              <w:top w:val="nil"/>
              <w:left w:val="nil"/>
              <w:bottom w:val="single" w:sz="4" w:space="0" w:color="0077BD"/>
              <w:right w:val="single" w:sz="8" w:space="0" w:color="0077BD"/>
            </w:tcBorders>
            <w:shd w:val="clear" w:color="auto" w:fill="auto"/>
            <w:vAlign w:val="center"/>
            <w:hideMark/>
          </w:tcPr>
          <w:p w14:paraId="078C6CDC"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12 664 389</w:t>
            </w:r>
          </w:p>
        </w:tc>
        <w:tc>
          <w:tcPr>
            <w:tcW w:w="1304" w:type="dxa"/>
            <w:tcBorders>
              <w:top w:val="nil"/>
              <w:left w:val="nil"/>
              <w:bottom w:val="single" w:sz="4" w:space="0" w:color="0077BD"/>
              <w:right w:val="single" w:sz="8" w:space="0" w:color="0077BD"/>
            </w:tcBorders>
            <w:shd w:val="clear" w:color="auto" w:fill="auto"/>
            <w:vAlign w:val="center"/>
            <w:hideMark/>
          </w:tcPr>
          <w:p w14:paraId="3138D87D"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43 967</w:t>
            </w:r>
          </w:p>
        </w:tc>
        <w:tc>
          <w:tcPr>
            <w:tcW w:w="1304" w:type="dxa"/>
            <w:tcBorders>
              <w:top w:val="nil"/>
              <w:left w:val="nil"/>
              <w:bottom w:val="single" w:sz="4" w:space="0" w:color="0077BD"/>
              <w:right w:val="nil"/>
            </w:tcBorders>
            <w:shd w:val="clear" w:color="auto" w:fill="auto"/>
            <w:vAlign w:val="center"/>
            <w:hideMark/>
          </w:tcPr>
          <w:p w14:paraId="6CD5FF76"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39 092</w:t>
            </w:r>
          </w:p>
        </w:tc>
      </w:tr>
      <w:tr w:rsidR="00B63F40" w:rsidRPr="0068723D" w14:paraId="531E3F9E"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31D11865"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CIRS</w:t>
            </w:r>
          </w:p>
        </w:tc>
        <w:tc>
          <w:tcPr>
            <w:tcW w:w="1304" w:type="dxa"/>
            <w:tcBorders>
              <w:top w:val="nil"/>
              <w:left w:val="nil"/>
              <w:bottom w:val="single" w:sz="4" w:space="0" w:color="0077BD"/>
              <w:right w:val="single" w:sz="8" w:space="0" w:color="0077BD"/>
            </w:tcBorders>
            <w:shd w:val="clear" w:color="auto" w:fill="auto"/>
            <w:vAlign w:val="center"/>
            <w:hideMark/>
          </w:tcPr>
          <w:p w14:paraId="3DA19848"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14 303 665</w:t>
            </w:r>
          </w:p>
        </w:tc>
        <w:tc>
          <w:tcPr>
            <w:tcW w:w="1304" w:type="dxa"/>
            <w:tcBorders>
              <w:top w:val="nil"/>
              <w:left w:val="nil"/>
              <w:bottom w:val="single" w:sz="4" w:space="0" w:color="0077BD"/>
              <w:right w:val="single" w:sz="8" w:space="0" w:color="0077BD"/>
            </w:tcBorders>
            <w:shd w:val="clear" w:color="auto" w:fill="auto"/>
            <w:vAlign w:val="center"/>
            <w:hideMark/>
          </w:tcPr>
          <w:p w14:paraId="7B5BE7D5"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14 385 388</w:t>
            </w:r>
          </w:p>
        </w:tc>
        <w:tc>
          <w:tcPr>
            <w:tcW w:w="1304" w:type="dxa"/>
            <w:tcBorders>
              <w:top w:val="nil"/>
              <w:left w:val="nil"/>
              <w:bottom w:val="single" w:sz="4" w:space="0" w:color="0077BD"/>
              <w:right w:val="single" w:sz="8" w:space="0" w:color="0077BD"/>
            </w:tcBorders>
            <w:shd w:val="clear" w:color="auto" w:fill="auto"/>
            <w:vAlign w:val="center"/>
            <w:hideMark/>
          </w:tcPr>
          <w:p w14:paraId="0FD9C2E1"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19 317</w:t>
            </w:r>
          </w:p>
        </w:tc>
        <w:tc>
          <w:tcPr>
            <w:tcW w:w="1304" w:type="dxa"/>
            <w:tcBorders>
              <w:top w:val="nil"/>
              <w:left w:val="nil"/>
              <w:bottom w:val="single" w:sz="4" w:space="0" w:color="0077BD"/>
              <w:right w:val="nil"/>
            </w:tcBorders>
            <w:shd w:val="clear" w:color="auto" w:fill="auto"/>
            <w:vAlign w:val="center"/>
            <w:hideMark/>
          </w:tcPr>
          <w:p w14:paraId="3015E5D1"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76 435</w:t>
            </w:r>
          </w:p>
        </w:tc>
      </w:tr>
      <w:tr w:rsidR="00B63F40" w:rsidRPr="0068723D" w14:paraId="3EBBC558" w14:textId="77777777" w:rsidTr="00102675">
        <w:trPr>
          <w:trHeight w:val="340"/>
        </w:trPr>
        <w:tc>
          <w:tcPr>
            <w:tcW w:w="4365" w:type="dxa"/>
            <w:tcBorders>
              <w:top w:val="nil"/>
              <w:left w:val="nil"/>
              <w:bottom w:val="single" w:sz="8" w:space="0" w:color="0077BD"/>
              <w:right w:val="single" w:sz="8" w:space="0" w:color="0077BD"/>
            </w:tcBorders>
            <w:shd w:val="clear" w:color="auto" w:fill="auto"/>
            <w:vAlign w:val="center"/>
            <w:hideMark/>
          </w:tcPr>
          <w:p w14:paraId="4A7B6F2F" w14:textId="77777777" w:rsidR="00AB09FA" w:rsidRPr="002B40C0" w:rsidRDefault="00AB09FA" w:rsidP="000F27E5">
            <w:pPr>
              <w:ind w:left="110" w:hanging="110"/>
              <w:rPr>
                <w:rFonts w:cs="Calibri"/>
                <w:color w:val="000000" w:themeColor="text1"/>
                <w:sz w:val="13"/>
                <w:szCs w:val="13"/>
              </w:rPr>
            </w:pPr>
            <w:r w:rsidRPr="002B40C0">
              <w:rPr>
                <w:rFonts w:cs="Calibri"/>
                <w:color w:val="000000" w:themeColor="text1"/>
                <w:sz w:val="13"/>
                <w:szCs w:val="13"/>
              </w:rPr>
              <w:t>- Opcje walutowe kupione lub sprzedane w obrocie pozagiełdowym</w:t>
            </w:r>
          </w:p>
        </w:tc>
        <w:tc>
          <w:tcPr>
            <w:tcW w:w="1304" w:type="dxa"/>
            <w:tcBorders>
              <w:top w:val="nil"/>
              <w:left w:val="nil"/>
              <w:bottom w:val="single" w:sz="8" w:space="0" w:color="0077BD"/>
              <w:right w:val="single" w:sz="8" w:space="0" w:color="0077BD"/>
            </w:tcBorders>
            <w:shd w:val="clear" w:color="auto" w:fill="auto"/>
            <w:vAlign w:val="center"/>
            <w:hideMark/>
          </w:tcPr>
          <w:p w14:paraId="7C652F4B"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2 682 292</w:t>
            </w:r>
          </w:p>
        </w:tc>
        <w:tc>
          <w:tcPr>
            <w:tcW w:w="1304" w:type="dxa"/>
            <w:tcBorders>
              <w:top w:val="nil"/>
              <w:left w:val="nil"/>
              <w:bottom w:val="single" w:sz="8" w:space="0" w:color="0077BD"/>
              <w:right w:val="single" w:sz="8" w:space="0" w:color="0077BD"/>
            </w:tcBorders>
            <w:shd w:val="clear" w:color="auto" w:fill="auto"/>
            <w:vAlign w:val="center"/>
            <w:hideMark/>
          </w:tcPr>
          <w:p w14:paraId="50D44C8D"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2 653 710</w:t>
            </w:r>
          </w:p>
        </w:tc>
        <w:tc>
          <w:tcPr>
            <w:tcW w:w="1304" w:type="dxa"/>
            <w:tcBorders>
              <w:top w:val="nil"/>
              <w:left w:val="nil"/>
              <w:bottom w:val="single" w:sz="8" w:space="0" w:color="0077BD"/>
              <w:right w:val="single" w:sz="8" w:space="0" w:color="0077BD"/>
            </w:tcBorders>
            <w:shd w:val="clear" w:color="auto" w:fill="auto"/>
            <w:vAlign w:val="center"/>
            <w:hideMark/>
          </w:tcPr>
          <w:p w14:paraId="7B89A43F"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28 815</w:t>
            </w:r>
          </w:p>
        </w:tc>
        <w:tc>
          <w:tcPr>
            <w:tcW w:w="1304" w:type="dxa"/>
            <w:tcBorders>
              <w:top w:val="nil"/>
              <w:left w:val="nil"/>
              <w:bottom w:val="single" w:sz="8" w:space="0" w:color="0077BD"/>
              <w:right w:val="nil"/>
            </w:tcBorders>
            <w:shd w:val="clear" w:color="auto" w:fill="auto"/>
            <w:vAlign w:val="center"/>
            <w:hideMark/>
          </w:tcPr>
          <w:p w14:paraId="6A6EFBB9"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36 688</w:t>
            </w:r>
          </w:p>
        </w:tc>
      </w:tr>
      <w:tr w:rsidR="00B63F40" w:rsidRPr="0068723D" w14:paraId="619FC25D" w14:textId="77777777" w:rsidTr="0010267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448E9257"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Razem instrumenty pochodne z transakcji pozagiełdowych</w:t>
            </w:r>
          </w:p>
        </w:tc>
        <w:tc>
          <w:tcPr>
            <w:tcW w:w="1304" w:type="dxa"/>
            <w:tcBorders>
              <w:top w:val="nil"/>
              <w:left w:val="nil"/>
              <w:bottom w:val="single" w:sz="8" w:space="0" w:color="0077BD"/>
              <w:right w:val="single" w:sz="8" w:space="0" w:color="0077BD"/>
            </w:tcBorders>
            <w:shd w:val="clear" w:color="auto" w:fill="auto"/>
            <w:vAlign w:val="center"/>
            <w:hideMark/>
          </w:tcPr>
          <w:p w14:paraId="2C90F77D"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46 217 324</w:t>
            </w:r>
          </w:p>
        </w:tc>
        <w:tc>
          <w:tcPr>
            <w:tcW w:w="1304" w:type="dxa"/>
            <w:tcBorders>
              <w:top w:val="nil"/>
              <w:left w:val="nil"/>
              <w:bottom w:val="single" w:sz="8" w:space="0" w:color="0077BD"/>
              <w:right w:val="single" w:sz="8" w:space="0" w:color="0077BD"/>
            </w:tcBorders>
            <w:shd w:val="clear" w:color="auto" w:fill="auto"/>
            <w:vAlign w:val="center"/>
            <w:hideMark/>
          </w:tcPr>
          <w:p w14:paraId="50732EC1"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46 433 962</w:t>
            </w:r>
          </w:p>
        </w:tc>
        <w:tc>
          <w:tcPr>
            <w:tcW w:w="1304" w:type="dxa"/>
            <w:tcBorders>
              <w:top w:val="nil"/>
              <w:left w:val="nil"/>
              <w:bottom w:val="single" w:sz="8" w:space="0" w:color="0077BD"/>
              <w:right w:val="single" w:sz="8" w:space="0" w:color="0077BD"/>
            </w:tcBorders>
            <w:shd w:val="clear" w:color="auto" w:fill="auto"/>
            <w:vAlign w:val="center"/>
            <w:hideMark/>
          </w:tcPr>
          <w:p w14:paraId="6DD592BA"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141 058</w:t>
            </w:r>
          </w:p>
        </w:tc>
        <w:tc>
          <w:tcPr>
            <w:tcW w:w="1304" w:type="dxa"/>
            <w:tcBorders>
              <w:top w:val="nil"/>
              <w:left w:val="nil"/>
              <w:bottom w:val="single" w:sz="8" w:space="0" w:color="0077BD"/>
              <w:right w:val="nil"/>
            </w:tcBorders>
            <w:shd w:val="clear" w:color="auto" w:fill="auto"/>
            <w:vAlign w:val="center"/>
            <w:hideMark/>
          </w:tcPr>
          <w:p w14:paraId="356AEA00"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235 762</w:t>
            </w:r>
          </w:p>
        </w:tc>
      </w:tr>
      <w:tr w:rsidR="00B63F40" w:rsidRPr="0068723D" w14:paraId="2A31FBBA"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48F044BF"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Walutowe kontrakty futures</w:t>
            </w:r>
          </w:p>
        </w:tc>
        <w:tc>
          <w:tcPr>
            <w:tcW w:w="1304" w:type="dxa"/>
            <w:tcBorders>
              <w:top w:val="nil"/>
              <w:left w:val="nil"/>
              <w:bottom w:val="single" w:sz="4" w:space="0" w:color="0077BD"/>
              <w:right w:val="single" w:sz="8" w:space="0" w:color="0077BD"/>
            </w:tcBorders>
            <w:shd w:val="clear" w:color="auto" w:fill="auto"/>
            <w:vAlign w:val="center"/>
            <w:hideMark/>
          </w:tcPr>
          <w:p w14:paraId="448A40DB"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214 746</w:t>
            </w:r>
          </w:p>
        </w:tc>
        <w:tc>
          <w:tcPr>
            <w:tcW w:w="1304" w:type="dxa"/>
            <w:tcBorders>
              <w:top w:val="nil"/>
              <w:left w:val="nil"/>
              <w:bottom w:val="single" w:sz="4" w:space="0" w:color="0077BD"/>
              <w:right w:val="single" w:sz="8" w:space="0" w:color="0077BD"/>
            </w:tcBorders>
            <w:shd w:val="clear" w:color="auto" w:fill="auto"/>
            <w:vAlign w:val="center"/>
            <w:hideMark/>
          </w:tcPr>
          <w:p w14:paraId="06E6F9DD"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214 838</w:t>
            </w:r>
          </w:p>
        </w:tc>
        <w:tc>
          <w:tcPr>
            <w:tcW w:w="1304" w:type="dxa"/>
            <w:tcBorders>
              <w:top w:val="nil"/>
              <w:left w:val="nil"/>
              <w:bottom w:val="single" w:sz="4" w:space="0" w:color="0077BD"/>
              <w:right w:val="single" w:sz="8" w:space="0" w:color="0077BD"/>
            </w:tcBorders>
            <w:shd w:val="clear" w:color="auto" w:fill="auto"/>
            <w:vAlign w:val="center"/>
            <w:hideMark/>
          </w:tcPr>
          <w:p w14:paraId="660C40C4"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(2 028)</w:t>
            </w:r>
          </w:p>
        </w:tc>
        <w:tc>
          <w:tcPr>
            <w:tcW w:w="1304" w:type="dxa"/>
            <w:tcBorders>
              <w:top w:val="nil"/>
              <w:left w:val="nil"/>
              <w:bottom w:val="single" w:sz="4" w:space="0" w:color="0077BD"/>
              <w:right w:val="nil"/>
            </w:tcBorders>
            <w:shd w:val="clear" w:color="auto" w:fill="auto"/>
            <w:vAlign w:val="center"/>
            <w:hideMark/>
          </w:tcPr>
          <w:p w14:paraId="7F1D82DB"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w:t>
            </w:r>
          </w:p>
        </w:tc>
      </w:tr>
      <w:tr w:rsidR="00B63F40" w:rsidRPr="0068723D" w14:paraId="36673409" w14:textId="77777777" w:rsidTr="0010267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66514791"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Razem walutowe instrumenty pochodne</w:t>
            </w:r>
          </w:p>
        </w:tc>
        <w:tc>
          <w:tcPr>
            <w:tcW w:w="1304" w:type="dxa"/>
            <w:tcBorders>
              <w:top w:val="nil"/>
              <w:left w:val="nil"/>
              <w:bottom w:val="single" w:sz="8" w:space="0" w:color="0077BD"/>
              <w:right w:val="single" w:sz="8" w:space="0" w:color="0077BD"/>
            </w:tcBorders>
            <w:shd w:val="clear" w:color="auto" w:fill="auto"/>
            <w:vAlign w:val="center"/>
            <w:hideMark/>
          </w:tcPr>
          <w:p w14:paraId="57337459"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46 432 070</w:t>
            </w:r>
          </w:p>
        </w:tc>
        <w:tc>
          <w:tcPr>
            <w:tcW w:w="1304" w:type="dxa"/>
            <w:tcBorders>
              <w:top w:val="nil"/>
              <w:left w:val="nil"/>
              <w:bottom w:val="single" w:sz="8" w:space="0" w:color="0077BD"/>
              <w:right w:val="single" w:sz="8" w:space="0" w:color="0077BD"/>
            </w:tcBorders>
            <w:shd w:val="clear" w:color="auto" w:fill="auto"/>
            <w:vAlign w:val="center"/>
            <w:hideMark/>
          </w:tcPr>
          <w:p w14:paraId="6C034FAC"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46 648 800</w:t>
            </w:r>
          </w:p>
        </w:tc>
        <w:tc>
          <w:tcPr>
            <w:tcW w:w="1304" w:type="dxa"/>
            <w:tcBorders>
              <w:top w:val="nil"/>
              <w:left w:val="nil"/>
              <w:bottom w:val="single" w:sz="8" w:space="0" w:color="0077BD"/>
              <w:right w:val="single" w:sz="8" w:space="0" w:color="0077BD"/>
            </w:tcBorders>
            <w:shd w:val="clear" w:color="auto" w:fill="auto"/>
            <w:vAlign w:val="center"/>
            <w:hideMark/>
          </w:tcPr>
          <w:p w14:paraId="5614756A"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139 030</w:t>
            </w:r>
          </w:p>
        </w:tc>
        <w:tc>
          <w:tcPr>
            <w:tcW w:w="1304" w:type="dxa"/>
            <w:tcBorders>
              <w:top w:val="nil"/>
              <w:left w:val="nil"/>
              <w:bottom w:val="single" w:sz="8" w:space="0" w:color="0077BD"/>
              <w:right w:val="nil"/>
            </w:tcBorders>
            <w:shd w:val="clear" w:color="auto" w:fill="auto"/>
            <w:vAlign w:val="center"/>
            <w:hideMark/>
          </w:tcPr>
          <w:p w14:paraId="69E94E21"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235 762</w:t>
            </w:r>
          </w:p>
        </w:tc>
      </w:tr>
      <w:tr w:rsidR="00B63F40" w:rsidRPr="0068723D" w14:paraId="3F2D8C78" w14:textId="77777777" w:rsidTr="00102675">
        <w:trPr>
          <w:trHeight w:val="255"/>
        </w:trPr>
        <w:tc>
          <w:tcPr>
            <w:tcW w:w="4365" w:type="dxa"/>
            <w:tcBorders>
              <w:top w:val="single" w:sz="8" w:space="0" w:color="0077BD"/>
              <w:left w:val="nil"/>
              <w:bottom w:val="single" w:sz="8" w:space="0" w:color="0077BD"/>
              <w:right w:val="nil"/>
            </w:tcBorders>
            <w:shd w:val="clear" w:color="000000" w:fill="FFFFFF"/>
            <w:vAlign w:val="center"/>
            <w:hideMark/>
          </w:tcPr>
          <w:p w14:paraId="1E4457E6"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Pochodne na stopę procentową</w:t>
            </w:r>
          </w:p>
        </w:tc>
        <w:tc>
          <w:tcPr>
            <w:tcW w:w="1304" w:type="dxa"/>
            <w:tcBorders>
              <w:top w:val="single" w:sz="8" w:space="0" w:color="0077BD"/>
              <w:left w:val="nil"/>
              <w:bottom w:val="single" w:sz="8" w:space="0" w:color="0077BD"/>
              <w:right w:val="nil"/>
            </w:tcBorders>
            <w:shd w:val="clear" w:color="000000" w:fill="FFFFFF"/>
            <w:noWrap/>
            <w:vAlign w:val="center"/>
            <w:hideMark/>
          </w:tcPr>
          <w:p w14:paraId="3EECC309"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1C02F7C1"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38E76588"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202ED1A6"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r>
      <w:tr w:rsidR="00B63F40" w:rsidRPr="0068723D" w14:paraId="187433E0"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5172B627"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IRS, OIS</w:t>
            </w:r>
          </w:p>
        </w:tc>
        <w:tc>
          <w:tcPr>
            <w:tcW w:w="1304" w:type="dxa"/>
            <w:tcBorders>
              <w:top w:val="nil"/>
              <w:left w:val="nil"/>
              <w:bottom w:val="single" w:sz="4" w:space="0" w:color="0077BD"/>
              <w:right w:val="single" w:sz="8" w:space="0" w:color="0077BD"/>
            </w:tcBorders>
            <w:shd w:val="clear" w:color="auto" w:fill="auto"/>
            <w:vAlign w:val="center"/>
            <w:hideMark/>
          </w:tcPr>
          <w:p w14:paraId="38C2D8D9"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180 292 858</w:t>
            </w:r>
          </w:p>
        </w:tc>
        <w:tc>
          <w:tcPr>
            <w:tcW w:w="1304" w:type="dxa"/>
            <w:tcBorders>
              <w:top w:val="nil"/>
              <w:left w:val="nil"/>
              <w:bottom w:val="single" w:sz="4" w:space="0" w:color="0077BD"/>
              <w:right w:val="single" w:sz="8" w:space="0" w:color="0077BD"/>
            </w:tcBorders>
            <w:shd w:val="clear" w:color="auto" w:fill="auto"/>
            <w:vAlign w:val="center"/>
            <w:hideMark/>
          </w:tcPr>
          <w:p w14:paraId="2605DF24"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180 292 858</w:t>
            </w:r>
          </w:p>
        </w:tc>
        <w:tc>
          <w:tcPr>
            <w:tcW w:w="1304" w:type="dxa"/>
            <w:tcBorders>
              <w:top w:val="nil"/>
              <w:left w:val="nil"/>
              <w:bottom w:val="single" w:sz="4" w:space="0" w:color="0077BD"/>
              <w:right w:val="single" w:sz="8" w:space="0" w:color="0077BD"/>
            </w:tcBorders>
            <w:shd w:val="clear" w:color="auto" w:fill="auto"/>
            <w:vAlign w:val="center"/>
            <w:hideMark/>
          </w:tcPr>
          <w:p w14:paraId="4A4E278B"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695 672</w:t>
            </w:r>
          </w:p>
        </w:tc>
        <w:tc>
          <w:tcPr>
            <w:tcW w:w="1304" w:type="dxa"/>
            <w:tcBorders>
              <w:top w:val="nil"/>
              <w:left w:val="nil"/>
              <w:bottom w:val="single" w:sz="4" w:space="0" w:color="0077BD"/>
              <w:right w:val="nil"/>
            </w:tcBorders>
            <w:shd w:val="clear" w:color="auto" w:fill="auto"/>
            <w:vAlign w:val="center"/>
            <w:hideMark/>
          </w:tcPr>
          <w:p w14:paraId="334FD391"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663 013</w:t>
            </w:r>
          </w:p>
        </w:tc>
      </w:tr>
      <w:tr w:rsidR="00B63F40" w:rsidRPr="0068723D" w14:paraId="10D78863"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3CF6D5D1"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FRA</w:t>
            </w:r>
          </w:p>
        </w:tc>
        <w:tc>
          <w:tcPr>
            <w:tcW w:w="1304" w:type="dxa"/>
            <w:tcBorders>
              <w:top w:val="nil"/>
              <w:left w:val="nil"/>
              <w:bottom w:val="single" w:sz="4" w:space="0" w:color="0077BD"/>
              <w:right w:val="single" w:sz="8" w:space="0" w:color="0077BD"/>
            </w:tcBorders>
            <w:shd w:val="clear" w:color="auto" w:fill="auto"/>
            <w:vAlign w:val="center"/>
            <w:hideMark/>
          </w:tcPr>
          <w:p w14:paraId="64758AAA"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3 950 000</w:t>
            </w:r>
          </w:p>
        </w:tc>
        <w:tc>
          <w:tcPr>
            <w:tcW w:w="1304" w:type="dxa"/>
            <w:tcBorders>
              <w:top w:val="nil"/>
              <w:left w:val="nil"/>
              <w:bottom w:val="single" w:sz="4" w:space="0" w:color="0077BD"/>
              <w:right w:val="single" w:sz="8" w:space="0" w:color="0077BD"/>
            </w:tcBorders>
            <w:shd w:val="clear" w:color="auto" w:fill="auto"/>
            <w:vAlign w:val="center"/>
            <w:hideMark/>
          </w:tcPr>
          <w:p w14:paraId="0C559080"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4 160 000</w:t>
            </w:r>
          </w:p>
        </w:tc>
        <w:tc>
          <w:tcPr>
            <w:tcW w:w="1304" w:type="dxa"/>
            <w:tcBorders>
              <w:top w:val="nil"/>
              <w:left w:val="nil"/>
              <w:bottom w:val="single" w:sz="4" w:space="0" w:color="0077BD"/>
              <w:right w:val="single" w:sz="8" w:space="0" w:color="0077BD"/>
            </w:tcBorders>
            <w:shd w:val="clear" w:color="auto" w:fill="auto"/>
            <w:vAlign w:val="center"/>
            <w:hideMark/>
          </w:tcPr>
          <w:p w14:paraId="499531D3"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94</w:t>
            </w:r>
          </w:p>
        </w:tc>
        <w:tc>
          <w:tcPr>
            <w:tcW w:w="1304" w:type="dxa"/>
            <w:tcBorders>
              <w:top w:val="nil"/>
              <w:left w:val="nil"/>
              <w:bottom w:val="single" w:sz="4" w:space="0" w:color="0077BD"/>
              <w:right w:val="nil"/>
            </w:tcBorders>
            <w:shd w:val="clear" w:color="auto" w:fill="auto"/>
            <w:vAlign w:val="center"/>
            <w:hideMark/>
          </w:tcPr>
          <w:p w14:paraId="7BA555BF"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62</w:t>
            </w:r>
          </w:p>
        </w:tc>
      </w:tr>
      <w:tr w:rsidR="00B63F40" w:rsidRPr="0068723D" w14:paraId="54A099F6" w14:textId="77777777" w:rsidTr="00102675">
        <w:trPr>
          <w:trHeight w:val="340"/>
        </w:trPr>
        <w:tc>
          <w:tcPr>
            <w:tcW w:w="4365" w:type="dxa"/>
            <w:tcBorders>
              <w:top w:val="nil"/>
              <w:left w:val="nil"/>
              <w:bottom w:val="single" w:sz="4" w:space="0" w:color="0077BD"/>
              <w:right w:val="single" w:sz="8" w:space="0" w:color="0077BD"/>
            </w:tcBorders>
            <w:shd w:val="clear" w:color="auto" w:fill="auto"/>
            <w:vAlign w:val="center"/>
            <w:hideMark/>
          </w:tcPr>
          <w:p w14:paraId="3797E527" w14:textId="77777777" w:rsidR="00AB09FA" w:rsidRPr="002B40C0" w:rsidRDefault="00AB09FA" w:rsidP="000F27E5">
            <w:pPr>
              <w:ind w:left="110" w:hanging="110"/>
              <w:rPr>
                <w:rFonts w:cs="Calibri"/>
                <w:color w:val="000000" w:themeColor="text1"/>
                <w:sz w:val="13"/>
                <w:szCs w:val="13"/>
              </w:rPr>
            </w:pPr>
            <w:r w:rsidRPr="002B40C0">
              <w:rPr>
                <w:rFonts w:cs="Calibri"/>
                <w:color w:val="000000" w:themeColor="text1"/>
                <w:sz w:val="13"/>
                <w:szCs w:val="13"/>
              </w:rPr>
              <w:t>- Opcje na stopę procentową kupione lub sprzedane w obrocie pozagiełdowym</w:t>
            </w:r>
          </w:p>
        </w:tc>
        <w:tc>
          <w:tcPr>
            <w:tcW w:w="1304" w:type="dxa"/>
            <w:tcBorders>
              <w:top w:val="nil"/>
              <w:left w:val="nil"/>
              <w:bottom w:val="single" w:sz="4" w:space="0" w:color="0077BD"/>
              <w:right w:val="single" w:sz="8" w:space="0" w:color="0077BD"/>
            </w:tcBorders>
            <w:shd w:val="clear" w:color="auto" w:fill="auto"/>
            <w:vAlign w:val="center"/>
            <w:hideMark/>
          </w:tcPr>
          <w:p w14:paraId="593EE2EE"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442 582</w:t>
            </w:r>
          </w:p>
        </w:tc>
        <w:tc>
          <w:tcPr>
            <w:tcW w:w="1304" w:type="dxa"/>
            <w:tcBorders>
              <w:top w:val="nil"/>
              <w:left w:val="nil"/>
              <w:bottom w:val="single" w:sz="4" w:space="0" w:color="0077BD"/>
              <w:right w:val="single" w:sz="8" w:space="0" w:color="0077BD"/>
            </w:tcBorders>
            <w:shd w:val="clear" w:color="auto" w:fill="auto"/>
            <w:vAlign w:val="center"/>
            <w:hideMark/>
          </w:tcPr>
          <w:p w14:paraId="5C94B587"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627 381</w:t>
            </w:r>
          </w:p>
        </w:tc>
        <w:tc>
          <w:tcPr>
            <w:tcW w:w="1304" w:type="dxa"/>
            <w:tcBorders>
              <w:top w:val="nil"/>
              <w:left w:val="nil"/>
              <w:bottom w:val="single" w:sz="4" w:space="0" w:color="0077BD"/>
              <w:right w:val="single" w:sz="8" w:space="0" w:color="0077BD"/>
            </w:tcBorders>
            <w:shd w:val="clear" w:color="auto" w:fill="auto"/>
            <w:vAlign w:val="center"/>
            <w:hideMark/>
          </w:tcPr>
          <w:p w14:paraId="5004D98E"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430</w:t>
            </w:r>
          </w:p>
        </w:tc>
        <w:tc>
          <w:tcPr>
            <w:tcW w:w="1304" w:type="dxa"/>
            <w:tcBorders>
              <w:top w:val="nil"/>
              <w:left w:val="nil"/>
              <w:bottom w:val="single" w:sz="4" w:space="0" w:color="0077BD"/>
              <w:right w:val="nil"/>
            </w:tcBorders>
            <w:shd w:val="clear" w:color="auto" w:fill="auto"/>
            <w:vAlign w:val="center"/>
            <w:hideMark/>
          </w:tcPr>
          <w:p w14:paraId="651AEA6F"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602</w:t>
            </w:r>
          </w:p>
        </w:tc>
      </w:tr>
      <w:tr w:rsidR="00B63F40" w:rsidRPr="0068723D" w14:paraId="260EC8AE" w14:textId="77777777" w:rsidTr="0010267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7A138CAA"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Razem instrumenty pochodne na stopę procentową</w:t>
            </w:r>
          </w:p>
        </w:tc>
        <w:tc>
          <w:tcPr>
            <w:tcW w:w="1304" w:type="dxa"/>
            <w:tcBorders>
              <w:top w:val="nil"/>
              <w:left w:val="nil"/>
              <w:bottom w:val="single" w:sz="8" w:space="0" w:color="0077BD"/>
              <w:right w:val="single" w:sz="8" w:space="0" w:color="0077BD"/>
            </w:tcBorders>
            <w:shd w:val="clear" w:color="auto" w:fill="auto"/>
            <w:vAlign w:val="center"/>
            <w:hideMark/>
          </w:tcPr>
          <w:p w14:paraId="5B0841CE"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184 685 440</w:t>
            </w:r>
          </w:p>
        </w:tc>
        <w:tc>
          <w:tcPr>
            <w:tcW w:w="1304" w:type="dxa"/>
            <w:tcBorders>
              <w:top w:val="nil"/>
              <w:left w:val="nil"/>
              <w:bottom w:val="single" w:sz="8" w:space="0" w:color="0077BD"/>
              <w:right w:val="single" w:sz="8" w:space="0" w:color="0077BD"/>
            </w:tcBorders>
            <w:shd w:val="clear" w:color="auto" w:fill="auto"/>
            <w:vAlign w:val="center"/>
            <w:hideMark/>
          </w:tcPr>
          <w:p w14:paraId="66D152FA"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185 080 239</w:t>
            </w:r>
          </w:p>
        </w:tc>
        <w:tc>
          <w:tcPr>
            <w:tcW w:w="1304" w:type="dxa"/>
            <w:tcBorders>
              <w:top w:val="nil"/>
              <w:left w:val="nil"/>
              <w:bottom w:val="single" w:sz="8" w:space="0" w:color="0077BD"/>
              <w:right w:val="single" w:sz="8" w:space="0" w:color="0077BD"/>
            </w:tcBorders>
            <w:shd w:val="clear" w:color="auto" w:fill="auto"/>
            <w:vAlign w:val="center"/>
            <w:hideMark/>
          </w:tcPr>
          <w:p w14:paraId="0769242E"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696 196</w:t>
            </w:r>
          </w:p>
        </w:tc>
        <w:tc>
          <w:tcPr>
            <w:tcW w:w="1304" w:type="dxa"/>
            <w:tcBorders>
              <w:top w:val="nil"/>
              <w:left w:val="nil"/>
              <w:bottom w:val="single" w:sz="8" w:space="0" w:color="0077BD"/>
              <w:right w:val="nil"/>
            </w:tcBorders>
            <w:shd w:val="clear" w:color="auto" w:fill="auto"/>
            <w:vAlign w:val="center"/>
            <w:hideMark/>
          </w:tcPr>
          <w:p w14:paraId="679DA6A4"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663 677</w:t>
            </w:r>
          </w:p>
        </w:tc>
      </w:tr>
      <w:tr w:rsidR="00B63F40" w:rsidRPr="0068723D" w14:paraId="7D505B13" w14:textId="77777777" w:rsidTr="00102675">
        <w:trPr>
          <w:trHeight w:val="255"/>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43522193"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Transakcje na ryzyko rynkowe</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40DECCEF" w14:textId="77777777" w:rsidR="00AB09FA" w:rsidRPr="00A57416" w:rsidRDefault="00AB09FA" w:rsidP="00AB09FA">
            <w:pPr>
              <w:jc w:val="right"/>
              <w:rPr>
                <w:rFonts w:cs="Calibri"/>
                <w:b/>
                <w:color w:val="000000" w:themeColor="text1"/>
                <w:sz w:val="13"/>
                <w:szCs w:val="13"/>
              </w:rPr>
            </w:pPr>
            <w:r w:rsidRPr="00A57416">
              <w:rPr>
                <w:rFonts w:cs="Calibri"/>
                <w:b/>
                <w:color w:val="000000" w:themeColor="text1"/>
                <w:sz w:val="13"/>
                <w:szCs w:val="13"/>
              </w:rPr>
              <w:t>1 616 088</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3E68C012" w14:textId="77777777" w:rsidR="00AB09FA" w:rsidRPr="00A57416" w:rsidRDefault="00AB09FA" w:rsidP="00AB09FA">
            <w:pPr>
              <w:jc w:val="right"/>
              <w:rPr>
                <w:rFonts w:cs="Calibri"/>
                <w:b/>
                <w:color w:val="000000" w:themeColor="text1"/>
                <w:sz w:val="13"/>
                <w:szCs w:val="13"/>
              </w:rPr>
            </w:pPr>
            <w:r w:rsidRPr="00A57416">
              <w:rPr>
                <w:rFonts w:cs="Calibri"/>
                <w:b/>
                <w:color w:val="000000" w:themeColor="text1"/>
                <w:sz w:val="13"/>
                <w:szCs w:val="13"/>
              </w:rPr>
              <w:t>2 669 503</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539D44CF" w14:textId="77777777" w:rsidR="00AB09FA" w:rsidRPr="00A57416" w:rsidRDefault="00AB09FA" w:rsidP="00AB09FA">
            <w:pPr>
              <w:jc w:val="right"/>
              <w:rPr>
                <w:rFonts w:cs="Calibri"/>
                <w:b/>
                <w:color w:val="000000" w:themeColor="text1"/>
                <w:sz w:val="13"/>
                <w:szCs w:val="13"/>
              </w:rPr>
            </w:pPr>
            <w:r w:rsidRPr="00A57416">
              <w:rPr>
                <w:rFonts w:cs="Calibri"/>
                <w:b/>
                <w:color w:val="000000" w:themeColor="text1"/>
                <w:sz w:val="13"/>
                <w:szCs w:val="13"/>
              </w:rPr>
              <w:t>162 260</w:t>
            </w:r>
          </w:p>
        </w:tc>
        <w:tc>
          <w:tcPr>
            <w:tcW w:w="1304" w:type="dxa"/>
            <w:tcBorders>
              <w:top w:val="single" w:sz="8" w:space="0" w:color="0077BD"/>
              <w:left w:val="nil"/>
              <w:bottom w:val="single" w:sz="8" w:space="0" w:color="0077BD"/>
              <w:right w:val="nil"/>
            </w:tcBorders>
            <w:shd w:val="clear" w:color="auto" w:fill="auto"/>
            <w:vAlign w:val="center"/>
            <w:hideMark/>
          </w:tcPr>
          <w:p w14:paraId="5365A3F9" w14:textId="77777777" w:rsidR="00AB09FA" w:rsidRPr="00A57416" w:rsidRDefault="00AB09FA" w:rsidP="00AB09FA">
            <w:pPr>
              <w:jc w:val="right"/>
              <w:rPr>
                <w:rFonts w:cs="Calibri"/>
                <w:b/>
                <w:color w:val="000000" w:themeColor="text1"/>
                <w:sz w:val="13"/>
                <w:szCs w:val="13"/>
              </w:rPr>
            </w:pPr>
            <w:r w:rsidRPr="00A57416">
              <w:rPr>
                <w:rFonts w:cs="Calibri"/>
                <w:b/>
                <w:color w:val="000000" w:themeColor="text1"/>
                <w:sz w:val="13"/>
                <w:szCs w:val="13"/>
              </w:rPr>
              <w:t>170 703</w:t>
            </w:r>
          </w:p>
        </w:tc>
      </w:tr>
      <w:tr w:rsidR="00B63F40" w:rsidRPr="0068723D" w14:paraId="1381B50B" w14:textId="77777777" w:rsidTr="00102675">
        <w:trPr>
          <w:trHeight w:val="340"/>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33DFCEEE"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Razem pochodne aktywa/zobowiązania przeznaczone do obrotu</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2C12544F"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232 733 598</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563917FD"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234 398 542</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675A3513"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997 486</w:t>
            </w:r>
          </w:p>
        </w:tc>
        <w:tc>
          <w:tcPr>
            <w:tcW w:w="1304" w:type="dxa"/>
            <w:tcBorders>
              <w:top w:val="single" w:sz="8" w:space="0" w:color="0077BD"/>
              <w:left w:val="nil"/>
              <w:bottom w:val="single" w:sz="8" w:space="0" w:color="0077BD"/>
              <w:right w:val="nil"/>
            </w:tcBorders>
            <w:shd w:val="clear" w:color="auto" w:fill="auto"/>
            <w:vAlign w:val="center"/>
            <w:hideMark/>
          </w:tcPr>
          <w:p w14:paraId="0AB316E3"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1 070 142</w:t>
            </w:r>
          </w:p>
        </w:tc>
      </w:tr>
      <w:tr w:rsidR="00B63F40" w:rsidRPr="0068723D" w14:paraId="47D9EB21" w14:textId="77777777" w:rsidTr="00E732B3">
        <w:trPr>
          <w:trHeight w:val="20"/>
        </w:trPr>
        <w:tc>
          <w:tcPr>
            <w:tcW w:w="4365" w:type="dxa"/>
            <w:tcBorders>
              <w:top w:val="nil"/>
              <w:left w:val="nil"/>
              <w:bottom w:val="single" w:sz="4" w:space="0" w:color="0066CC"/>
              <w:right w:val="nil"/>
            </w:tcBorders>
            <w:shd w:val="clear" w:color="000000" w:fill="FFFFFF"/>
            <w:vAlign w:val="center"/>
            <w:hideMark/>
          </w:tcPr>
          <w:p w14:paraId="720B31C6"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w:t>
            </w:r>
          </w:p>
        </w:tc>
        <w:tc>
          <w:tcPr>
            <w:tcW w:w="1304" w:type="dxa"/>
            <w:tcBorders>
              <w:top w:val="single" w:sz="4" w:space="0" w:color="0066CC"/>
              <w:left w:val="nil"/>
              <w:bottom w:val="single" w:sz="4" w:space="0" w:color="0066CC"/>
              <w:right w:val="nil"/>
            </w:tcBorders>
            <w:shd w:val="clear" w:color="000000" w:fill="FFFFFF"/>
            <w:vAlign w:val="center"/>
            <w:hideMark/>
          </w:tcPr>
          <w:p w14:paraId="32815D69"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single" w:sz="4" w:space="0" w:color="0066CC"/>
              <w:left w:val="nil"/>
              <w:bottom w:val="single" w:sz="4" w:space="0" w:color="0066CC"/>
              <w:right w:val="nil"/>
            </w:tcBorders>
            <w:shd w:val="clear" w:color="000000" w:fill="FFFFFF"/>
            <w:vAlign w:val="center"/>
            <w:hideMark/>
          </w:tcPr>
          <w:p w14:paraId="27E94EF3"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single" w:sz="4" w:space="0" w:color="0066CC"/>
              <w:left w:val="nil"/>
              <w:bottom w:val="single" w:sz="4" w:space="0" w:color="0066CC"/>
              <w:right w:val="nil"/>
            </w:tcBorders>
            <w:shd w:val="clear" w:color="000000" w:fill="FFFFFF"/>
            <w:vAlign w:val="center"/>
            <w:hideMark/>
          </w:tcPr>
          <w:p w14:paraId="3C8696E5"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single" w:sz="4" w:space="0" w:color="0066CC"/>
              <w:left w:val="nil"/>
              <w:bottom w:val="single" w:sz="4" w:space="0" w:color="0066CC"/>
              <w:right w:val="nil"/>
            </w:tcBorders>
            <w:shd w:val="clear" w:color="000000" w:fill="FFFFFF"/>
            <w:vAlign w:val="center"/>
            <w:hideMark/>
          </w:tcPr>
          <w:p w14:paraId="1257A822"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r>
      <w:tr w:rsidR="00B63F40" w:rsidRPr="0068723D" w14:paraId="2F9427BA" w14:textId="77777777" w:rsidTr="00102675">
        <w:trPr>
          <w:trHeight w:val="255"/>
        </w:trPr>
        <w:tc>
          <w:tcPr>
            <w:tcW w:w="4365" w:type="dxa"/>
            <w:tcBorders>
              <w:top w:val="single" w:sz="8" w:space="0" w:color="0077BD"/>
              <w:left w:val="nil"/>
              <w:bottom w:val="single" w:sz="8" w:space="0" w:color="0077BD"/>
              <w:right w:val="nil"/>
            </w:tcBorders>
            <w:shd w:val="clear" w:color="000000" w:fill="FFFFFF"/>
            <w:vAlign w:val="center"/>
            <w:hideMark/>
          </w:tcPr>
          <w:p w14:paraId="0E1E3578"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Instrumenty pochodne zabezpieczające</w:t>
            </w:r>
          </w:p>
        </w:tc>
        <w:tc>
          <w:tcPr>
            <w:tcW w:w="1304" w:type="dxa"/>
            <w:tcBorders>
              <w:top w:val="single" w:sz="8" w:space="0" w:color="0077BD"/>
              <w:left w:val="nil"/>
              <w:bottom w:val="single" w:sz="8" w:space="0" w:color="0077BD"/>
              <w:right w:val="nil"/>
            </w:tcBorders>
            <w:shd w:val="clear" w:color="000000" w:fill="FFFFFF"/>
            <w:noWrap/>
            <w:vAlign w:val="center"/>
            <w:hideMark/>
          </w:tcPr>
          <w:p w14:paraId="37F60653"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745D6DCC"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3F4A2E89"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c>
          <w:tcPr>
            <w:tcW w:w="1304" w:type="dxa"/>
            <w:tcBorders>
              <w:top w:val="single" w:sz="8" w:space="0" w:color="0077BD"/>
              <w:left w:val="nil"/>
              <w:bottom w:val="single" w:sz="8" w:space="0" w:color="0077BD"/>
              <w:right w:val="nil"/>
            </w:tcBorders>
            <w:shd w:val="clear" w:color="000000" w:fill="FFFFFF"/>
            <w:noWrap/>
            <w:vAlign w:val="center"/>
            <w:hideMark/>
          </w:tcPr>
          <w:p w14:paraId="1BE80853"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 </w:t>
            </w:r>
          </w:p>
        </w:tc>
      </w:tr>
      <w:tr w:rsidR="00B63F40" w:rsidRPr="0068723D" w14:paraId="3CC574E4" w14:textId="77777777" w:rsidTr="00102675">
        <w:trPr>
          <w:trHeight w:val="340"/>
        </w:trPr>
        <w:tc>
          <w:tcPr>
            <w:tcW w:w="4365" w:type="dxa"/>
            <w:tcBorders>
              <w:top w:val="nil"/>
              <w:left w:val="nil"/>
              <w:bottom w:val="single" w:sz="4" w:space="0" w:color="0077BD"/>
              <w:right w:val="single" w:sz="8" w:space="0" w:color="0077BD"/>
            </w:tcBorders>
            <w:shd w:val="clear" w:color="auto" w:fill="auto"/>
            <w:vAlign w:val="center"/>
            <w:hideMark/>
          </w:tcPr>
          <w:p w14:paraId="61C4E0A9"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Instrumenty pochodne wyznaczone jako zabezpieczenie wartości godziwej</w:t>
            </w:r>
          </w:p>
        </w:tc>
        <w:tc>
          <w:tcPr>
            <w:tcW w:w="1304" w:type="dxa"/>
            <w:tcBorders>
              <w:top w:val="nil"/>
              <w:left w:val="nil"/>
              <w:bottom w:val="single" w:sz="4" w:space="0" w:color="0077BD"/>
              <w:right w:val="single" w:sz="8" w:space="0" w:color="0077BD"/>
            </w:tcBorders>
            <w:shd w:val="clear" w:color="auto" w:fill="auto"/>
            <w:vAlign w:val="center"/>
            <w:hideMark/>
          </w:tcPr>
          <w:p w14:paraId="58EBA848"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13 615 516</w:t>
            </w:r>
          </w:p>
        </w:tc>
        <w:tc>
          <w:tcPr>
            <w:tcW w:w="1304" w:type="dxa"/>
            <w:tcBorders>
              <w:top w:val="nil"/>
              <w:left w:val="nil"/>
              <w:bottom w:val="single" w:sz="4" w:space="0" w:color="0077BD"/>
              <w:right w:val="single" w:sz="8" w:space="0" w:color="0077BD"/>
            </w:tcBorders>
            <w:shd w:val="clear" w:color="auto" w:fill="auto"/>
            <w:vAlign w:val="center"/>
            <w:hideMark/>
          </w:tcPr>
          <w:p w14:paraId="63A3B9C8"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13 615 516</w:t>
            </w:r>
          </w:p>
        </w:tc>
        <w:tc>
          <w:tcPr>
            <w:tcW w:w="1304" w:type="dxa"/>
            <w:tcBorders>
              <w:top w:val="nil"/>
              <w:left w:val="nil"/>
              <w:bottom w:val="single" w:sz="4" w:space="0" w:color="0077BD"/>
              <w:right w:val="single" w:sz="8" w:space="0" w:color="0077BD"/>
            </w:tcBorders>
            <w:shd w:val="clear" w:color="auto" w:fill="auto"/>
            <w:vAlign w:val="center"/>
            <w:hideMark/>
          </w:tcPr>
          <w:p w14:paraId="1B1B0F84"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175 649</w:t>
            </w:r>
          </w:p>
        </w:tc>
        <w:tc>
          <w:tcPr>
            <w:tcW w:w="1304" w:type="dxa"/>
            <w:tcBorders>
              <w:top w:val="nil"/>
              <w:left w:val="nil"/>
              <w:bottom w:val="single" w:sz="4" w:space="0" w:color="0077BD"/>
              <w:right w:val="nil"/>
            </w:tcBorders>
            <w:shd w:val="clear" w:color="auto" w:fill="auto"/>
            <w:vAlign w:val="center"/>
            <w:hideMark/>
          </w:tcPr>
          <w:p w14:paraId="782EF6F8"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10 660</w:t>
            </w:r>
          </w:p>
        </w:tc>
      </w:tr>
      <w:tr w:rsidR="00B63F40" w:rsidRPr="0068723D" w14:paraId="07A045F0"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3CE5DB7F"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IRS</w:t>
            </w:r>
          </w:p>
        </w:tc>
        <w:tc>
          <w:tcPr>
            <w:tcW w:w="1304" w:type="dxa"/>
            <w:tcBorders>
              <w:top w:val="nil"/>
              <w:left w:val="nil"/>
              <w:bottom w:val="single" w:sz="4" w:space="0" w:color="0077BD"/>
              <w:right w:val="single" w:sz="8" w:space="0" w:color="0077BD"/>
            </w:tcBorders>
            <w:shd w:val="clear" w:color="auto" w:fill="auto"/>
            <w:vAlign w:val="center"/>
            <w:hideMark/>
          </w:tcPr>
          <w:p w14:paraId="59227BC4"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13 615 516</w:t>
            </w:r>
          </w:p>
        </w:tc>
        <w:tc>
          <w:tcPr>
            <w:tcW w:w="1304" w:type="dxa"/>
            <w:tcBorders>
              <w:top w:val="nil"/>
              <w:left w:val="nil"/>
              <w:bottom w:val="single" w:sz="4" w:space="0" w:color="0077BD"/>
              <w:right w:val="single" w:sz="8" w:space="0" w:color="0077BD"/>
            </w:tcBorders>
            <w:shd w:val="clear" w:color="auto" w:fill="auto"/>
            <w:vAlign w:val="center"/>
            <w:hideMark/>
          </w:tcPr>
          <w:p w14:paraId="1AF2E5DF"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13 615 516</w:t>
            </w:r>
          </w:p>
        </w:tc>
        <w:tc>
          <w:tcPr>
            <w:tcW w:w="1304" w:type="dxa"/>
            <w:tcBorders>
              <w:top w:val="nil"/>
              <w:left w:val="nil"/>
              <w:bottom w:val="single" w:sz="4" w:space="0" w:color="0077BD"/>
              <w:right w:val="single" w:sz="8" w:space="0" w:color="0077BD"/>
            </w:tcBorders>
            <w:shd w:val="clear" w:color="auto" w:fill="auto"/>
            <w:vAlign w:val="center"/>
            <w:hideMark/>
          </w:tcPr>
          <w:p w14:paraId="7369636A"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175 649</w:t>
            </w:r>
          </w:p>
        </w:tc>
        <w:tc>
          <w:tcPr>
            <w:tcW w:w="1304" w:type="dxa"/>
            <w:tcBorders>
              <w:top w:val="nil"/>
              <w:left w:val="nil"/>
              <w:bottom w:val="single" w:sz="4" w:space="0" w:color="0077BD"/>
              <w:right w:val="nil"/>
            </w:tcBorders>
            <w:shd w:val="clear" w:color="auto" w:fill="auto"/>
            <w:vAlign w:val="center"/>
            <w:hideMark/>
          </w:tcPr>
          <w:p w14:paraId="2D17DDAF"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10 660</w:t>
            </w:r>
          </w:p>
        </w:tc>
      </w:tr>
      <w:tr w:rsidR="00B63F40" w:rsidRPr="0068723D" w14:paraId="4DB1C0EF" w14:textId="77777777" w:rsidTr="00102675">
        <w:trPr>
          <w:trHeight w:val="340"/>
        </w:trPr>
        <w:tc>
          <w:tcPr>
            <w:tcW w:w="4365" w:type="dxa"/>
            <w:tcBorders>
              <w:top w:val="nil"/>
              <w:left w:val="nil"/>
              <w:bottom w:val="single" w:sz="4" w:space="0" w:color="0077BD"/>
              <w:right w:val="single" w:sz="8" w:space="0" w:color="0077BD"/>
            </w:tcBorders>
            <w:shd w:val="clear" w:color="auto" w:fill="auto"/>
            <w:vAlign w:val="center"/>
            <w:hideMark/>
          </w:tcPr>
          <w:p w14:paraId="27EE247F"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Instrumenty pochodne wyznaczone jako zabezpieczenie przepływów pieniężnych</w:t>
            </w:r>
          </w:p>
        </w:tc>
        <w:tc>
          <w:tcPr>
            <w:tcW w:w="1304" w:type="dxa"/>
            <w:tcBorders>
              <w:top w:val="nil"/>
              <w:left w:val="nil"/>
              <w:bottom w:val="single" w:sz="4" w:space="0" w:color="0077BD"/>
              <w:right w:val="single" w:sz="8" w:space="0" w:color="0077BD"/>
            </w:tcBorders>
            <w:shd w:val="clear" w:color="auto" w:fill="auto"/>
            <w:vAlign w:val="center"/>
            <w:hideMark/>
          </w:tcPr>
          <w:p w14:paraId="75FAD89A"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11 530 000</w:t>
            </w:r>
          </w:p>
        </w:tc>
        <w:tc>
          <w:tcPr>
            <w:tcW w:w="1304" w:type="dxa"/>
            <w:tcBorders>
              <w:top w:val="nil"/>
              <w:left w:val="nil"/>
              <w:bottom w:val="single" w:sz="4" w:space="0" w:color="0077BD"/>
              <w:right w:val="single" w:sz="8" w:space="0" w:color="0077BD"/>
            </w:tcBorders>
            <w:shd w:val="clear" w:color="auto" w:fill="auto"/>
            <w:vAlign w:val="center"/>
            <w:hideMark/>
          </w:tcPr>
          <w:p w14:paraId="33547C30"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11 530 000</w:t>
            </w:r>
          </w:p>
        </w:tc>
        <w:tc>
          <w:tcPr>
            <w:tcW w:w="1304" w:type="dxa"/>
            <w:tcBorders>
              <w:top w:val="nil"/>
              <w:left w:val="nil"/>
              <w:bottom w:val="single" w:sz="4" w:space="0" w:color="0077BD"/>
              <w:right w:val="single" w:sz="8" w:space="0" w:color="0077BD"/>
            </w:tcBorders>
            <w:shd w:val="clear" w:color="auto" w:fill="auto"/>
            <w:vAlign w:val="center"/>
            <w:hideMark/>
          </w:tcPr>
          <w:p w14:paraId="4B2D1B2C"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196 668</w:t>
            </w:r>
          </w:p>
        </w:tc>
        <w:tc>
          <w:tcPr>
            <w:tcW w:w="1304" w:type="dxa"/>
            <w:tcBorders>
              <w:top w:val="nil"/>
              <w:left w:val="nil"/>
              <w:bottom w:val="single" w:sz="4" w:space="0" w:color="0077BD"/>
              <w:right w:val="nil"/>
            </w:tcBorders>
            <w:shd w:val="clear" w:color="auto" w:fill="auto"/>
            <w:vAlign w:val="center"/>
            <w:hideMark/>
          </w:tcPr>
          <w:p w14:paraId="1C7849BE"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w:t>
            </w:r>
          </w:p>
        </w:tc>
      </w:tr>
      <w:tr w:rsidR="00B63F40" w:rsidRPr="0068723D" w14:paraId="6497FD90" w14:textId="77777777" w:rsidTr="00102675">
        <w:trPr>
          <w:trHeight w:val="255"/>
        </w:trPr>
        <w:tc>
          <w:tcPr>
            <w:tcW w:w="4365" w:type="dxa"/>
            <w:tcBorders>
              <w:top w:val="nil"/>
              <w:left w:val="nil"/>
              <w:bottom w:val="single" w:sz="4" w:space="0" w:color="0077BD"/>
              <w:right w:val="single" w:sz="8" w:space="0" w:color="0077BD"/>
            </w:tcBorders>
            <w:shd w:val="clear" w:color="auto" w:fill="auto"/>
            <w:vAlign w:val="center"/>
            <w:hideMark/>
          </w:tcPr>
          <w:p w14:paraId="37437288"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Kontrakty IRS</w:t>
            </w:r>
          </w:p>
        </w:tc>
        <w:tc>
          <w:tcPr>
            <w:tcW w:w="1304" w:type="dxa"/>
            <w:tcBorders>
              <w:top w:val="nil"/>
              <w:left w:val="nil"/>
              <w:bottom w:val="single" w:sz="4" w:space="0" w:color="0077BD"/>
              <w:right w:val="single" w:sz="8" w:space="0" w:color="0077BD"/>
            </w:tcBorders>
            <w:shd w:val="clear" w:color="auto" w:fill="auto"/>
            <w:vAlign w:val="center"/>
            <w:hideMark/>
          </w:tcPr>
          <w:p w14:paraId="318D9FDA"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11 530 000</w:t>
            </w:r>
          </w:p>
        </w:tc>
        <w:tc>
          <w:tcPr>
            <w:tcW w:w="1304" w:type="dxa"/>
            <w:tcBorders>
              <w:top w:val="nil"/>
              <w:left w:val="nil"/>
              <w:bottom w:val="single" w:sz="4" w:space="0" w:color="0077BD"/>
              <w:right w:val="single" w:sz="8" w:space="0" w:color="0077BD"/>
            </w:tcBorders>
            <w:shd w:val="clear" w:color="auto" w:fill="auto"/>
            <w:vAlign w:val="center"/>
            <w:hideMark/>
          </w:tcPr>
          <w:p w14:paraId="213A3CDF" w14:textId="77777777" w:rsidR="00AB09FA" w:rsidRPr="00135D91" w:rsidRDefault="00AB09FA" w:rsidP="00AB09FA">
            <w:pPr>
              <w:jc w:val="right"/>
              <w:rPr>
                <w:rFonts w:cs="Calibri"/>
                <w:color w:val="000000" w:themeColor="text1"/>
                <w:sz w:val="13"/>
                <w:szCs w:val="13"/>
              </w:rPr>
            </w:pPr>
            <w:r w:rsidRPr="00135D91">
              <w:rPr>
                <w:rFonts w:cs="Calibri"/>
                <w:color w:val="000000" w:themeColor="text1"/>
                <w:sz w:val="13"/>
                <w:szCs w:val="13"/>
              </w:rPr>
              <w:t>11 530 000</w:t>
            </w:r>
          </w:p>
        </w:tc>
        <w:tc>
          <w:tcPr>
            <w:tcW w:w="1304" w:type="dxa"/>
            <w:tcBorders>
              <w:top w:val="nil"/>
              <w:left w:val="nil"/>
              <w:bottom w:val="single" w:sz="4" w:space="0" w:color="0077BD"/>
              <w:right w:val="single" w:sz="8" w:space="0" w:color="0077BD"/>
            </w:tcBorders>
            <w:shd w:val="clear" w:color="auto" w:fill="auto"/>
            <w:vAlign w:val="center"/>
            <w:hideMark/>
          </w:tcPr>
          <w:p w14:paraId="523E0636"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196 668</w:t>
            </w:r>
          </w:p>
        </w:tc>
        <w:tc>
          <w:tcPr>
            <w:tcW w:w="1304" w:type="dxa"/>
            <w:tcBorders>
              <w:top w:val="nil"/>
              <w:left w:val="nil"/>
              <w:bottom w:val="single" w:sz="4" w:space="0" w:color="0077BD"/>
              <w:right w:val="nil"/>
            </w:tcBorders>
            <w:shd w:val="clear" w:color="auto" w:fill="auto"/>
            <w:vAlign w:val="center"/>
            <w:hideMark/>
          </w:tcPr>
          <w:p w14:paraId="30811F3C"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w:t>
            </w:r>
          </w:p>
        </w:tc>
      </w:tr>
      <w:tr w:rsidR="00B63F40" w:rsidRPr="0068723D" w14:paraId="1911656B" w14:textId="77777777" w:rsidTr="000529E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336093B0"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Razem instrumenty pochodne zabezpieczające</w:t>
            </w:r>
          </w:p>
        </w:tc>
        <w:tc>
          <w:tcPr>
            <w:tcW w:w="1304" w:type="dxa"/>
            <w:tcBorders>
              <w:top w:val="nil"/>
              <w:left w:val="nil"/>
              <w:bottom w:val="single" w:sz="8" w:space="0" w:color="0077BD"/>
              <w:right w:val="single" w:sz="8" w:space="0" w:color="0077BD"/>
            </w:tcBorders>
            <w:shd w:val="clear" w:color="auto" w:fill="auto"/>
            <w:vAlign w:val="center"/>
            <w:hideMark/>
          </w:tcPr>
          <w:p w14:paraId="1B0EA340"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25 145 516</w:t>
            </w:r>
          </w:p>
        </w:tc>
        <w:tc>
          <w:tcPr>
            <w:tcW w:w="1304" w:type="dxa"/>
            <w:tcBorders>
              <w:top w:val="nil"/>
              <w:left w:val="nil"/>
              <w:bottom w:val="single" w:sz="8" w:space="0" w:color="0077BD"/>
              <w:right w:val="single" w:sz="8" w:space="0" w:color="0077BD"/>
            </w:tcBorders>
            <w:shd w:val="clear" w:color="auto" w:fill="auto"/>
            <w:vAlign w:val="center"/>
            <w:hideMark/>
          </w:tcPr>
          <w:p w14:paraId="1B999FB3"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25 145 516</w:t>
            </w:r>
          </w:p>
        </w:tc>
        <w:tc>
          <w:tcPr>
            <w:tcW w:w="1304" w:type="dxa"/>
            <w:tcBorders>
              <w:top w:val="nil"/>
              <w:left w:val="nil"/>
              <w:bottom w:val="single" w:sz="8" w:space="0" w:color="0077BD"/>
              <w:right w:val="single" w:sz="8" w:space="0" w:color="0077BD"/>
            </w:tcBorders>
            <w:shd w:val="clear" w:color="auto" w:fill="auto"/>
            <w:vAlign w:val="center"/>
            <w:hideMark/>
          </w:tcPr>
          <w:p w14:paraId="6F905A82"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372 317</w:t>
            </w:r>
          </w:p>
        </w:tc>
        <w:tc>
          <w:tcPr>
            <w:tcW w:w="1304" w:type="dxa"/>
            <w:tcBorders>
              <w:top w:val="nil"/>
              <w:left w:val="nil"/>
              <w:bottom w:val="single" w:sz="8" w:space="0" w:color="0077BD"/>
              <w:right w:val="nil"/>
            </w:tcBorders>
            <w:shd w:val="clear" w:color="auto" w:fill="auto"/>
            <w:vAlign w:val="center"/>
            <w:hideMark/>
          </w:tcPr>
          <w:p w14:paraId="0FED2E2E"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10 660</w:t>
            </w:r>
          </w:p>
        </w:tc>
      </w:tr>
      <w:tr w:rsidR="00B63F40" w:rsidRPr="0068723D" w14:paraId="181B5AD1" w14:textId="77777777" w:rsidTr="000529E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4B6C7105" w14:textId="77777777" w:rsidR="00AB09FA" w:rsidRPr="002B40C0" w:rsidRDefault="00AB09FA" w:rsidP="00AB09FA">
            <w:pPr>
              <w:rPr>
                <w:rFonts w:cs="Calibri"/>
                <w:b/>
                <w:bCs/>
                <w:color w:val="000000" w:themeColor="text1"/>
                <w:sz w:val="13"/>
                <w:szCs w:val="13"/>
              </w:rPr>
            </w:pPr>
            <w:r w:rsidRPr="002B40C0">
              <w:rPr>
                <w:rFonts w:cs="Calibri"/>
                <w:b/>
                <w:bCs/>
                <w:color w:val="000000" w:themeColor="text1"/>
                <w:sz w:val="13"/>
                <w:szCs w:val="13"/>
              </w:rPr>
              <w:t>Efekt kompensowania</w:t>
            </w:r>
          </w:p>
        </w:tc>
        <w:tc>
          <w:tcPr>
            <w:tcW w:w="1304" w:type="dxa"/>
            <w:tcBorders>
              <w:top w:val="single" w:sz="8" w:space="0" w:color="0077BD"/>
              <w:left w:val="nil"/>
              <w:bottom w:val="single" w:sz="8" w:space="0" w:color="0077BD"/>
              <w:right w:val="single" w:sz="8" w:space="0" w:color="0077BD"/>
            </w:tcBorders>
            <w:shd w:val="thinDiagStripe" w:color="auto" w:fill="auto"/>
            <w:vAlign w:val="center"/>
          </w:tcPr>
          <w:p w14:paraId="1A389AAB" w14:textId="5D5D77A7" w:rsidR="00AB09FA" w:rsidRPr="002B40C0" w:rsidRDefault="00AB09FA" w:rsidP="00AB09FA">
            <w:pPr>
              <w:jc w:val="right"/>
              <w:rPr>
                <w:rFonts w:cs="Calibri"/>
                <w:b/>
                <w:bCs/>
                <w:color w:val="000000" w:themeColor="text1"/>
                <w:sz w:val="13"/>
                <w:szCs w:val="13"/>
              </w:rPr>
            </w:pPr>
          </w:p>
        </w:tc>
        <w:tc>
          <w:tcPr>
            <w:tcW w:w="1304" w:type="dxa"/>
            <w:tcBorders>
              <w:top w:val="single" w:sz="8" w:space="0" w:color="0077BD"/>
              <w:left w:val="nil"/>
              <w:bottom w:val="single" w:sz="8" w:space="0" w:color="0077BD"/>
              <w:right w:val="single" w:sz="8" w:space="0" w:color="0077BD"/>
            </w:tcBorders>
            <w:shd w:val="thinDiagStripe" w:color="auto" w:fill="auto"/>
            <w:vAlign w:val="center"/>
          </w:tcPr>
          <w:p w14:paraId="08926166" w14:textId="2349B2CF" w:rsidR="00AB09FA" w:rsidRPr="002B40C0" w:rsidRDefault="00AB09FA" w:rsidP="00AB09FA">
            <w:pPr>
              <w:jc w:val="right"/>
              <w:rPr>
                <w:rFonts w:cs="Calibri"/>
                <w:b/>
                <w:bCs/>
                <w:color w:val="000000" w:themeColor="text1"/>
                <w:sz w:val="13"/>
                <w:szCs w:val="13"/>
              </w:rPr>
            </w:pPr>
          </w:p>
        </w:tc>
        <w:tc>
          <w:tcPr>
            <w:tcW w:w="1304" w:type="dxa"/>
            <w:tcBorders>
              <w:top w:val="single" w:sz="4" w:space="0" w:color="0077BD"/>
              <w:left w:val="nil"/>
              <w:bottom w:val="single" w:sz="4" w:space="0" w:color="0077BD"/>
              <w:right w:val="single" w:sz="8" w:space="0" w:color="0077BD"/>
            </w:tcBorders>
            <w:shd w:val="clear" w:color="auto" w:fill="auto"/>
            <w:vAlign w:val="center"/>
            <w:hideMark/>
          </w:tcPr>
          <w:p w14:paraId="72AF4045"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(363 724)</w:t>
            </w:r>
          </w:p>
        </w:tc>
        <w:tc>
          <w:tcPr>
            <w:tcW w:w="1304" w:type="dxa"/>
            <w:tcBorders>
              <w:top w:val="single" w:sz="4" w:space="0" w:color="0077BD"/>
              <w:left w:val="nil"/>
              <w:bottom w:val="single" w:sz="4" w:space="0" w:color="0077BD"/>
              <w:right w:val="nil"/>
            </w:tcBorders>
            <w:shd w:val="clear" w:color="auto" w:fill="auto"/>
            <w:vAlign w:val="center"/>
            <w:hideMark/>
          </w:tcPr>
          <w:p w14:paraId="48419C70"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(99 685)</w:t>
            </w:r>
          </w:p>
        </w:tc>
      </w:tr>
      <w:tr w:rsidR="00B63F40" w:rsidRPr="0068723D" w14:paraId="7305CCF6" w14:textId="77777777" w:rsidTr="000529E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6C77CD81" w14:textId="1240C318" w:rsidR="00AB09FA" w:rsidRPr="002B40C0" w:rsidRDefault="00134EB7" w:rsidP="00AB09FA">
            <w:pPr>
              <w:rPr>
                <w:rFonts w:cs="Calibri"/>
                <w:b/>
                <w:bCs/>
                <w:color w:val="000000" w:themeColor="text1"/>
                <w:sz w:val="13"/>
                <w:szCs w:val="13"/>
              </w:rPr>
            </w:pPr>
            <w:r w:rsidRPr="002B40C0">
              <w:rPr>
                <w:rFonts w:cs="Calibri"/>
                <w:b/>
                <w:bCs/>
                <w:color w:val="000000" w:themeColor="text1"/>
                <w:sz w:val="13"/>
                <w:szCs w:val="13"/>
              </w:rPr>
              <w:t>Razem</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4B13B5F0"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257 879 114</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4E379D91"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259 544 058</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46A4944C"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1 006 079</w:t>
            </w:r>
          </w:p>
        </w:tc>
        <w:tc>
          <w:tcPr>
            <w:tcW w:w="1304" w:type="dxa"/>
            <w:tcBorders>
              <w:top w:val="single" w:sz="8" w:space="0" w:color="0077BD"/>
              <w:left w:val="nil"/>
              <w:bottom w:val="single" w:sz="8" w:space="0" w:color="0077BD"/>
              <w:right w:val="nil"/>
            </w:tcBorders>
            <w:shd w:val="clear" w:color="auto" w:fill="auto"/>
            <w:vAlign w:val="center"/>
            <w:hideMark/>
          </w:tcPr>
          <w:p w14:paraId="32DA1288" w14:textId="77777777" w:rsidR="00AB09FA" w:rsidRPr="002B40C0" w:rsidRDefault="00AB09FA" w:rsidP="00AB09FA">
            <w:pPr>
              <w:jc w:val="right"/>
              <w:rPr>
                <w:rFonts w:cs="Calibri"/>
                <w:b/>
                <w:bCs/>
                <w:color w:val="000000" w:themeColor="text1"/>
                <w:sz w:val="13"/>
                <w:szCs w:val="13"/>
              </w:rPr>
            </w:pPr>
            <w:r w:rsidRPr="002B40C0">
              <w:rPr>
                <w:rFonts w:cs="Calibri"/>
                <w:b/>
                <w:bCs/>
                <w:color w:val="000000" w:themeColor="text1"/>
                <w:sz w:val="13"/>
                <w:szCs w:val="13"/>
              </w:rPr>
              <w:t>981 117</w:t>
            </w:r>
          </w:p>
        </w:tc>
      </w:tr>
      <w:tr w:rsidR="00B63F40" w:rsidRPr="0068723D" w14:paraId="226FED45" w14:textId="77777777" w:rsidTr="00E732B3">
        <w:trPr>
          <w:trHeight w:val="20"/>
        </w:trPr>
        <w:tc>
          <w:tcPr>
            <w:tcW w:w="4365" w:type="dxa"/>
            <w:tcBorders>
              <w:top w:val="nil"/>
              <w:left w:val="nil"/>
              <w:bottom w:val="nil"/>
              <w:right w:val="nil"/>
            </w:tcBorders>
            <w:shd w:val="clear" w:color="000000" w:fill="FFFFFF"/>
            <w:vAlign w:val="center"/>
            <w:hideMark/>
          </w:tcPr>
          <w:p w14:paraId="31C30C74" w14:textId="77777777" w:rsidR="00AB09FA" w:rsidRPr="002B40C0" w:rsidRDefault="00AB09FA" w:rsidP="00AB09FA">
            <w:pPr>
              <w:rPr>
                <w:rFonts w:cs="Calibri"/>
                <w:color w:val="000000" w:themeColor="text1"/>
                <w:sz w:val="13"/>
                <w:szCs w:val="13"/>
              </w:rPr>
            </w:pPr>
            <w:r w:rsidRPr="002B40C0">
              <w:rPr>
                <w:rFonts w:cs="Calibri"/>
                <w:color w:val="000000" w:themeColor="text1"/>
                <w:sz w:val="13"/>
                <w:szCs w:val="13"/>
              </w:rPr>
              <w:t> </w:t>
            </w:r>
          </w:p>
        </w:tc>
        <w:tc>
          <w:tcPr>
            <w:tcW w:w="1304" w:type="dxa"/>
            <w:tcBorders>
              <w:top w:val="nil"/>
              <w:left w:val="nil"/>
              <w:bottom w:val="nil"/>
              <w:right w:val="nil"/>
            </w:tcBorders>
            <w:shd w:val="clear" w:color="000000" w:fill="FFFFFF"/>
            <w:noWrap/>
            <w:vAlign w:val="center"/>
            <w:hideMark/>
          </w:tcPr>
          <w:p w14:paraId="22C17E95"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nil"/>
              <w:left w:val="nil"/>
              <w:bottom w:val="nil"/>
              <w:right w:val="nil"/>
            </w:tcBorders>
            <w:shd w:val="clear" w:color="000000" w:fill="FFFFFF"/>
            <w:noWrap/>
            <w:vAlign w:val="center"/>
            <w:hideMark/>
          </w:tcPr>
          <w:p w14:paraId="7421D5B2"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nil"/>
              <w:left w:val="nil"/>
              <w:bottom w:val="nil"/>
              <w:right w:val="nil"/>
            </w:tcBorders>
            <w:shd w:val="clear" w:color="000000" w:fill="FFFFFF"/>
            <w:noWrap/>
            <w:vAlign w:val="center"/>
            <w:hideMark/>
          </w:tcPr>
          <w:p w14:paraId="510FF703"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c>
          <w:tcPr>
            <w:tcW w:w="1304" w:type="dxa"/>
            <w:tcBorders>
              <w:top w:val="nil"/>
              <w:left w:val="nil"/>
              <w:bottom w:val="nil"/>
              <w:right w:val="nil"/>
            </w:tcBorders>
            <w:shd w:val="clear" w:color="000000" w:fill="FFFFFF"/>
            <w:noWrap/>
            <w:vAlign w:val="center"/>
            <w:hideMark/>
          </w:tcPr>
          <w:p w14:paraId="6C8416EA" w14:textId="77777777" w:rsidR="00AB09FA" w:rsidRPr="002B40C0" w:rsidRDefault="00AB09FA" w:rsidP="00AB09FA">
            <w:pPr>
              <w:jc w:val="right"/>
              <w:rPr>
                <w:rFonts w:cs="Calibri"/>
                <w:color w:val="000000" w:themeColor="text1"/>
                <w:sz w:val="13"/>
                <w:szCs w:val="13"/>
              </w:rPr>
            </w:pPr>
            <w:r w:rsidRPr="002B40C0">
              <w:rPr>
                <w:rFonts w:cs="Calibri"/>
                <w:color w:val="000000" w:themeColor="text1"/>
                <w:sz w:val="13"/>
                <w:szCs w:val="13"/>
              </w:rPr>
              <w:t> </w:t>
            </w:r>
          </w:p>
        </w:tc>
      </w:tr>
      <w:tr w:rsidR="00B63F40" w:rsidRPr="00730BDB" w14:paraId="4942E45D" w14:textId="77777777" w:rsidTr="00102675">
        <w:trPr>
          <w:trHeight w:val="255"/>
        </w:trPr>
        <w:tc>
          <w:tcPr>
            <w:tcW w:w="4365" w:type="dxa"/>
            <w:tcBorders>
              <w:top w:val="single" w:sz="8" w:space="0" w:color="0077BD"/>
              <w:left w:val="nil"/>
              <w:bottom w:val="single" w:sz="8" w:space="0" w:color="0077BD"/>
              <w:right w:val="single" w:sz="8" w:space="0" w:color="0077BD"/>
            </w:tcBorders>
            <w:shd w:val="clear" w:color="auto" w:fill="auto"/>
            <w:vAlign w:val="center"/>
            <w:hideMark/>
          </w:tcPr>
          <w:p w14:paraId="3AEE3706" w14:textId="77777777" w:rsidR="00AB09FA" w:rsidRPr="002B40C0" w:rsidRDefault="00AB09FA" w:rsidP="00AB09FA">
            <w:pPr>
              <w:rPr>
                <w:rFonts w:cs="Calibri"/>
                <w:bCs/>
                <w:color w:val="000000" w:themeColor="text1"/>
                <w:sz w:val="13"/>
                <w:szCs w:val="13"/>
              </w:rPr>
            </w:pPr>
            <w:r w:rsidRPr="002B40C0">
              <w:rPr>
                <w:rFonts w:cs="Calibri"/>
                <w:bCs/>
                <w:color w:val="000000" w:themeColor="text1"/>
                <w:sz w:val="13"/>
                <w:szCs w:val="13"/>
              </w:rPr>
              <w:t>Krótkoterminowe (do 1 roku)</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5FC1BB8B"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80 901 241</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26449F96"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81 921 038</w:t>
            </w:r>
          </w:p>
        </w:tc>
        <w:tc>
          <w:tcPr>
            <w:tcW w:w="1304" w:type="dxa"/>
            <w:tcBorders>
              <w:top w:val="single" w:sz="8" w:space="0" w:color="0077BD"/>
              <w:left w:val="nil"/>
              <w:bottom w:val="single" w:sz="8" w:space="0" w:color="0077BD"/>
              <w:right w:val="single" w:sz="8" w:space="0" w:color="0077BD"/>
            </w:tcBorders>
            <w:shd w:val="clear" w:color="auto" w:fill="auto"/>
            <w:vAlign w:val="center"/>
            <w:hideMark/>
          </w:tcPr>
          <w:p w14:paraId="31AAFA09"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88 402</w:t>
            </w:r>
          </w:p>
        </w:tc>
        <w:tc>
          <w:tcPr>
            <w:tcW w:w="1304" w:type="dxa"/>
            <w:tcBorders>
              <w:top w:val="single" w:sz="8" w:space="0" w:color="0077BD"/>
              <w:left w:val="nil"/>
              <w:bottom w:val="single" w:sz="8" w:space="0" w:color="0077BD"/>
              <w:right w:val="nil"/>
            </w:tcBorders>
            <w:shd w:val="clear" w:color="auto" w:fill="auto"/>
            <w:vAlign w:val="center"/>
            <w:hideMark/>
          </w:tcPr>
          <w:p w14:paraId="0746FC1F"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320 223</w:t>
            </w:r>
          </w:p>
        </w:tc>
      </w:tr>
      <w:tr w:rsidR="00B63F40" w:rsidRPr="00730BDB" w14:paraId="264497D3" w14:textId="77777777" w:rsidTr="00102675">
        <w:trPr>
          <w:trHeight w:val="255"/>
        </w:trPr>
        <w:tc>
          <w:tcPr>
            <w:tcW w:w="4365" w:type="dxa"/>
            <w:tcBorders>
              <w:top w:val="nil"/>
              <w:left w:val="nil"/>
              <w:bottom w:val="single" w:sz="8" w:space="0" w:color="0077BD"/>
              <w:right w:val="single" w:sz="8" w:space="0" w:color="0077BD"/>
            </w:tcBorders>
            <w:shd w:val="clear" w:color="auto" w:fill="auto"/>
            <w:vAlign w:val="center"/>
            <w:hideMark/>
          </w:tcPr>
          <w:p w14:paraId="263F98FB" w14:textId="77777777" w:rsidR="00AB09FA" w:rsidRPr="002B40C0" w:rsidRDefault="00AB09FA" w:rsidP="00AB09FA">
            <w:pPr>
              <w:rPr>
                <w:rFonts w:cs="Calibri"/>
                <w:bCs/>
                <w:color w:val="000000" w:themeColor="text1"/>
                <w:sz w:val="13"/>
                <w:szCs w:val="13"/>
              </w:rPr>
            </w:pPr>
            <w:r w:rsidRPr="002B40C0">
              <w:rPr>
                <w:rFonts w:cs="Calibri"/>
                <w:bCs/>
                <w:color w:val="000000" w:themeColor="text1"/>
                <w:sz w:val="13"/>
                <w:szCs w:val="13"/>
              </w:rPr>
              <w:t>Długoterminowe (powyżej 1 roku)</w:t>
            </w:r>
          </w:p>
        </w:tc>
        <w:tc>
          <w:tcPr>
            <w:tcW w:w="1304" w:type="dxa"/>
            <w:tcBorders>
              <w:top w:val="nil"/>
              <w:left w:val="nil"/>
              <w:bottom w:val="single" w:sz="8" w:space="0" w:color="0077BD"/>
              <w:right w:val="single" w:sz="8" w:space="0" w:color="0077BD"/>
            </w:tcBorders>
            <w:shd w:val="clear" w:color="auto" w:fill="auto"/>
            <w:vAlign w:val="center"/>
            <w:hideMark/>
          </w:tcPr>
          <w:p w14:paraId="70DC9CD0"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176 977 873</w:t>
            </w:r>
          </w:p>
        </w:tc>
        <w:tc>
          <w:tcPr>
            <w:tcW w:w="1304" w:type="dxa"/>
            <w:tcBorders>
              <w:top w:val="nil"/>
              <w:left w:val="nil"/>
              <w:bottom w:val="single" w:sz="8" w:space="0" w:color="0077BD"/>
              <w:right w:val="single" w:sz="8" w:space="0" w:color="0077BD"/>
            </w:tcBorders>
            <w:shd w:val="clear" w:color="auto" w:fill="auto"/>
            <w:vAlign w:val="center"/>
            <w:hideMark/>
          </w:tcPr>
          <w:p w14:paraId="5A78CA47"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177 623 020</w:t>
            </w:r>
          </w:p>
        </w:tc>
        <w:tc>
          <w:tcPr>
            <w:tcW w:w="1304" w:type="dxa"/>
            <w:tcBorders>
              <w:top w:val="nil"/>
              <w:left w:val="nil"/>
              <w:bottom w:val="single" w:sz="8" w:space="0" w:color="0077BD"/>
              <w:right w:val="single" w:sz="8" w:space="0" w:color="0077BD"/>
            </w:tcBorders>
            <w:shd w:val="clear" w:color="auto" w:fill="auto"/>
            <w:vAlign w:val="center"/>
            <w:hideMark/>
          </w:tcPr>
          <w:p w14:paraId="66F4E33A"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917 677</w:t>
            </w:r>
          </w:p>
        </w:tc>
        <w:tc>
          <w:tcPr>
            <w:tcW w:w="1304" w:type="dxa"/>
            <w:tcBorders>
              <w:top w:val="nil"/>
              <w:left w:val="nil"/>
              <w:bottom w:val="single" w:sz="8" w:space="0" w:color="0077BD"/>
              <w:right w:val="nil"/>
            </w:tcBorders>
            <w:shd w:val="clear" w:color="auto" w:fill="auto"/>
            <w:vAlign w:val="center"/>
            <w:hideMark/>
          </w:tcPr>
          <w:p w14:paraId="5BBE1550" w14:textId="77777777" w:rsidR="00AB09FA" w:rsidRPr="002B40C0" w:rsidRDefault="00AB09FA" w:rsidP="00AB09FA">
            <w:pPr>
              <w:jc w:val="right"/>
              <w:rPr>
                <w:rFonts w:cs="Calibri"/>
                <w:bCs/>
                <w:color w:val="000000" w:themeColor="text1"/>
                <w:sz w:val="13"/>
                <w:szCs w:val="13"/>
              </w:rPr>
            </w:pPr>
            <w:r w:rsidRPr="002B40C0">
              <w:rPr>
                <w:rFonts w:cs="Calibri"/>
                <w:bCs/>
                <w:color w:val="000000" w:themeColor="text1"/>
                <w:sz w:val="13"/>
                <w:szCs w:val="13"/>
              </w:rPr>
              <w:t>660 894</w:t>
            </w:r>
          </w:p>
        </w:tc>
      </w:tr>
    </w:tbl>
    <w:p w14:paraId="0B1955DD" w14:textId="1A36519E" w:rsidR="00236BB7" w:rsidRPr="0068723D" w:rsidRDefault="00236BB7" w:rsidP="002A1B2E">
      <w:pPr>
        <w:spacing w:before="120"/>
        <w:jc w:val="both"/>
        <w:rPr>
          <w:rFonts w:cs="Tahoma"/>
          <w:color w:val="000000" w:themeColor="text1"/>
          <w:sz w:val="18"/>
          <w:szCs w:val="18"/>
        </w:rPr>
      </w:pPr>
      <w:r w:rsidRPr="0068723D">
        <w:rPr>
          <w:rFonts w:cs="Tahoma"/>
          <w:color w:val="000000" w:themeColor="text1"/>
          <w:sz w:val="18"/>
          <w:szCs w:val="18"/>
        </w:rPr>
        <w:t xml:space="preserve">Efekt kompensacji poza wyceną transakcji pochodnych obejmuje </w:t>
      </w:r>
      <w:r w:rsidR="00FC62E4" w:rsidRPr="0068723D">
        <w:rPr>
          <w:rFonts w:cs="Tahoma"/>
          <w:color w:val="000000" w:themeColor="text1"/>
          <w:sz w:val="18"/>
          <w:szCs w:val="18"/>
        </w:rPr>
        <w:t>4</w:t>
      </w:r>
      <w:r w:rsidR="00F14E54" w:rsidRPr="0068723D">
        <w:rPr>
          <w:rFonts w:cs="Tahoma"/>
          <w:color w:val="000000" w:themeColor="text1"/>
          <w:sz w:val="18"/>
          <w:szCs w:val="18"/>
        </w:rPr>
        <w:t> </w:t>
      </w:r>
      <w:r w:rsidR="00FC62E4" w:rsidRPr="0068723D">
        <w:rPr>
          <w:rFonts w:cs="Tahoma"/>
          <w:color w:val="000000" w:themeColor="text1"/>
          <w:sz w:val="18"/>
          <w:szCs w:val="18"/>
        </w:rPr>
        <w:t>503</w:t>
      </w:r>
      <w:r w:rsidRPr="0068723D">
        <w:rPr>
          <w:rFonts w:cs="Tahoma"/>
          <w:color w:val="000000" w:themeColor="text1"/>
          <w:sz w:val="18"/>
          <w:szCs w:val="18"/>
        </w:rPr>
        <w:t xml:space="preserve"> tys. zł zabezpieczeń złożonych oraz </w:t>
      </w:r>
      <w:r w:rsidR="00552A00" w:rsidRPr="0068723D">
        <w:rPr>
          <w:rFonts w:cs="Tahoma"/>
          <w:color w:val="000000" w:themeColor="text1"/>
          <w:sz w:val="18"/>
          <w:szCs w:val="18"/>
        </w:rPr>
        <w:t>364</w:t>
      </w:r>
      <w:r w:rsidR="00F14E54" w:rsidRPr="0068723D">
        <w:rPr>
          <w:rFonts w:cs="Tahoma"/>
          <w:color w:val="000000" w:themeColor="text1"/>
          <w:sz w:val="18"/>
          <w:szCs w:val="18"/>
        </w:rPr>
        <w:t> </w:t>
      </w:r>
      <w:r w:rsidR="00552A00" w:rsidRPr="0068723D">
        <w:rPr>
          <w:rFonts w:cs="Tahoma"/>
          <w:color w:val="000000" w:themeColor="text1"/>
          <w:sz w:val="18"/>
          <w:szCs w:val="18"/>
        </w:rPr>
        <w:t>947</w:t>
      </w:r>
      <w:r w:rsidRPr="0068723D">
        <w:rPr>
          <w:rFonts w:cs="Tahoma"/>
          <w:color w:val="000000" w:themeColor="text1"/>
          <w:sz w:val="18"/>
          <w:szCs w:val="18"/>
        </w:rPr>
        <w:t xml:space="preserve"> tys. zł zabezpieczeń otrzymanych w związku z zawartymi transakcjami na instrumentach pochodnych p</w:t>
      </w:r>
      <w:r w:rsidR="00396729" w:rsidRPr="0068723D">
        <w:rPr>
          <w:rFonts w:cs="Tahoma"/>
          <w:color w:val="000000" w:themeColor="text1"/>
          <w:sz w:val="18"/>
          <w:szCs w:val="18"/>
        </w:rPr>
        <w:t>odlegającymi kompensacji (w 2018 roku odpowiednio: 7</w:t>
      </w:r>
      <w:r w:rsidRPr="0068723D">
        <w:rPr>
          <w:rFonts w:cs="Tahoma"/>
          <w:color w:val="000000" w:themeColor="text1"/>
          <w:sz w:val="18"/>
          <w:szCs w:val="18"/>
        </w:rPr>
        <w:t> </w:t>
      </w:r>
      <w:r w:rsidR="00396729" w:rsidRPr="0068723D">
        <w:rPr>
          <w:rFonts w:cs="Tahoma"/>
          <w:color w:val="000000" w:themeColor="text1"/>
          <w:sz w:val="18"/>
          <w:szCs w:val="18"/>
        </w:rPr>
        <w:t>210</w:t>
      </w:r>
      <w:r w:rsidRPr="0068723D">
        <w:rPr>
          <w:rFonts w:cs="Tahoma"/>
          <w:color w:val="000000" w:themeColor="text1"/>
          <w:sz w:val="18"/>
          <w:szCs w:val="18"/>
        </w:rPr>
        <w:t xml:space="preserve"> t</w:t>
      </w:r>
      <w:r w:rsidR="00396729" w:rsidRPr="0068723D">
        <w:rPr>
          <w:rFonts w:cs="Tahoma"/>
          <w:color w:val="000000" w:themeColor="text1"/>
          <w:sz w:val="18"/>
          <w:szCs w:val="18"/>
        </w:rPr>
        <w:t>ys. zł i 246</w:t>
      </w:r>
      <w:r w:rsidRPr="0068723D">
        <w:rPr>
          <w:rFonts w:cs="Tahoma"/>
          <w:color w:val="000000" w:themeColor="text1"/>
          <w:sz w:val="18"/>
          <w:szCs w:val="18"/>
        </w:rPr>
        <w:t> </w:t>
      </w:r>
      <w:r w:rsidR="00396729" w:rsidRPr="0068723D">
        <w:rPr>
          <w:rFonts w:cs="Tahoma"/>
          <w:color w:val="000000" w:themeColor="text1"/>
          <w:sz w:val="18"/>
          <w:szCs w:val="18"/>
        </w:rPr>
        <w:t>348</w:t>
      </w:r>
      <w:r w:rsidRPr="0068723D">
        <w:rPr>
          <w:rFonts w:cs="Tahoma"/>
          <w:color w:val="000000" w:themeColor="text1"/>
          <w:sz w:val="18"/>
          <w:szCs w:val="18"/>
        </w:rPr>
        <w:t xml:space="preserve"> tys. zł).</w:t>
      </w:r>
    </w:p>
    <w:p w14:paraId="50160E7B" w14:textId="77777777" w:rsidR="00FB18C2" w:rsidRPr="0068723D" w:rsidRDefault="00FB18C2" w:rsidP="002A1B2E">
      <w:pPr>
        <w:pStyle w:val="DefaultText"/>
        <w:tabs>
          <w:tab w:val="left" w:pos="0"/>
        </w:tabs>
        <w:suppressAutoHyphens/>
        <w:spacing w:before="120" w:after="0"/>
        <w:rPr>
          <w:rFonts w:ascii="Verdana" w:hAnsi="Verdana" w:cs="Tahoma"/>
          <w:color w:val="000000" w:themeColor="text1"/>
          <w:sz w:val="18"/>
          <w:szCs w:val="18"/>
          <w:lang w:val="pl-PL"/>
        </w:rPr>
      </w:pPr>
      <w:r w:rsidRPr="0068723D">
        <w:rPr>
          <w:rFonts w:ascii="Verdana" w:hAnsi="Verdana" w:cs="Tahoma"/>
          <w:color w:val="000000" w:themeColor="text1"/>
          <w:sz w:val="18"/>
          <w:szCs w:val="18"/>
          <w:lang w:val="pl-PL"/>
        </w:rPr>
        <w:t>W obu prezentowanych okresach transakcje na ryzyko rynkowe obejmują wartość godziwą opcji na indeks giełdowy, akcje i inne papiery kapitałowe, kontraktów futures na towary, kontraktów swap na towary.</w:t>
      </w:r>
    </w:p>
    <w:p w14:paraId="38A0CC26" w14:textId="626A8935" w:rsidR="00FB18C2" w:rsidRPr="0068723D" w:rsidRDefault="00FB18C2" w:rsidP="002A1B2E">
      <w:pPr>
        <w:spacing w:before="120"/>
        <w:jc w:val="both"/>
        <w:rPr>
          <w:rFonts w:cs="Tahoma"/>
          <w:color w:val="000000" w:themeColor="text1"/>
          <w:sz w:val="18"/>
          <w:szCs w:val="18"/>
        </w:rPr>
      </w:pPr>
      <w:r w:rsidRPr="0068723D">
        <w:rPr>
          <w:rFonts w:cs="Tahoma"/>
          <w:color w:val="000000" w:themeColor="text1"/>
          <w:sz w:val="18"/>
          <w:szCs w:val="18"/>
        </w:rPr>
        <w:t>Na dzień 31 grudnia 201</w:t>
      </w:r>
      <w:r w:rsidR="00396729" w:rsidRPr="0068723D">
        <w:rPr>
          <w:rFonts w:cs="Tahoma"/>
          <w:color w:val="000000" w:themeColor="text1"/>
          <w:sz w:val="18"/>
          <w:szCs w:val="18"/>
        </w:rPr>
        <w:t>9</w:t>
      </w:r>
      <w:r w:rsidRPr="0068723D">
        <w:rPr>
          <w:rFonts w:cs="Tahoma"/>
          <w:color w:val="000000" w:themeColor="text1"/>
          <w:sz w:val="18"/>
          <w:szCs w:val="18"/>
        </w:rPr>
        <w:t xml:space="preserve"> roku i 31 grudnia 201</w:t>
      </w:r>
      <w:r w:rsidR="00396729" w:rsidRPr="0068723D">
        <w:rPr>
          <w:rFonts w:cs="Tahoma"/>
          <w:color w:val="000000" w:themeColor="text1"/>
          <w:sz w:val="18"/>
          <w:szCs w:val="18"/>
        </w:rPr>
        <w:t>8</w:t>
      </w:r>
      <w:r w:rsidRPr="0068723D">
        <w:rPr>
          <w:rFonts w:cs="Tahoma"/>
          <w:color w:val="000000" w:themeColor="text1"/>
          <w:sz w:val="18"/>
          <w:szCs w:val="18"/>
        </w:rPr>
        <w:t xml:space="preserve"> roku Grupa nie posiadała żadnych aktywów i zobowiązań finansowych wyznaczonych przy początkowym ujęciu jako wyceniane w wartości godziwej przez rachunek zysków i strat.</w:t>
      </w:r>
    </w:p>
    <w:p w14:paraId="2C1EA97F" w14:textId="7AD43F01" w:rsidR="00C149AF" w:rsidRPr="0084622D" w:rsidRDefault="00C149AF">
      <w:pPr>
        <w:rPr>
          <w:rFonts w:cs="Tahoma"/>
          <w:sz w:val="18"/>
          <w:szCs w:val="18"/>
        </w:rPr>
      </w:pPr>
      <w:r w:rsidRPr="0084622D">
        <w:rPr>
          <w:rFonts w:cs="Tahoma"/>
          <w:sz w:val="18"/>
          <w:szCs w:val="18"/>
        </w:rPr>
        <w:br w:type="page"/>
      </w:r>
    </w:p>
    <w:p w14:paraId="16F35ACA" w14:textId="42F30D49" w:rsidR="0023102E" w:rsidRPr="000971E5" w:rsidRDefault="0023102E" w:rsidP="0023102E">
      <w:pPr>
        <w:jc w:val="both"/>
        <w:rPr>
          <w:b/>
          <w:color w:val="E41E0A"/>
          <w:sz w:val="18"/>
          <w:szCs w:val="18"/>
        </w:rPr>
      </w:pPr>
      <w:r w:rsidRPr="000971E5">
        <w:rPr>
          <w:b/>
          <w:color w:val="E41E0A"/>
          <w:sz w:val="18"/>
          <w:szCs w:val="18"/>
        </w:rPr>
        <w:lastRenderedPageBreak/>
        <w:t>Jakość kredytowa aktywów finansowych przeznaczonych do obrotu oraz pochodnych instrumentów finansowych według poziomów wewnętrznego systemu ratingowego</w:t>
      </w:r>
    </w:p>
    <w:p w14:paraId="678EE0DB" w14:textId="77777777" w:rsidR="0023102E" w:rsidRDefault="0023102E" w:rsidP="00FB18C2">
      <w:pPr>
        <w:jc w:val="both"/>
        <w:rPr>
          <w:rFonts w:cs="Tahoma"/>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3856"/>
        <w:gridCol w:w="1418"/>
        <w:gridCol w:w="1418"/>
        <w:gridCol w:w="1418"/>
        <w:gridCol w:w="1418"/>
      </w:tblGrid>
      <w:tr w:rsidR="00C149AF" w:rsidRPr="00250DB8" w14:paraId="7A4A346E" w14:textId="77777777" w:rsidTr="007B7C3E">
        <w:trPr>
          <w:trHeight w:val="284"/>
        </w:trPr>
        <w:tc>
          <w:tcPr>
            <w:tcW w:w="3856" w:type="dxa"/>
            <w:vMerge w:val="restart"/>
            <w:tcBorders>
              <w:top w:val="nil"/>
              <w:left w:val="single" w:sz="8" w:space="0" w:color="FFFFFF"/>
              <w:right w:val="single" w:sz="8" w:space="0" w:color="FFFFFF"/>
            </w:tcBorders>
            <w:shd w:val="clear" w:color="000000" w:fill="0077BD"/>
            <w:vAlign w:val="center"/>
            <w:hideMark/>
          </w:tcPr>
          <w:p w14:paraId="18C12BB9" w14:textId="1A977BD4" w:rsidR="00C149AF" w:rsidRPr="00250DB8" w:rsidRDefault="00C149AF" w:rsidP="00250DB8">
            <w:pPr>
              <w:jc w:val="center"/>
              <w:rPr>
                <w:rFonts w:cs="Calibri"/>
                <w:b/>
                <w:bCs/>
                <w:color w:val="FFFFFF"/>
                <w:sz w:val="13"/>
                <w:szCs w:val="13"/>
              </w:rPr>
            </w:pPr>
            <w:r w:rsidRPr="00250DB8">
              <w:rPr>
                <w:rFonts w:cs="Calibri"/>
                <w:b/>
                <w:bCs/>
                <w:color w:val="FFFFFF"/>
                <w:sz w:val="13"/>
                <w:szCs w:val="13"/>
              </w:rPr>
              <w:t>Pod-portfel</w:t>
            </w:r>
          </w:p>
        </w:tc>
        <w:tc>
          <w:tcPr>
            <w:tcW w:w="2836" w:type="dxa"/>
            <w:gridSpan w:val="2"/>
            <w:tcBorders>
              <w:top w:val="nil"/>
              <w:left w:val="nil"/>
              <w:bottom w:val="single" w:sz="6" w:space="0" w:color="FFFFFF"/>
              <w:right w:val="nil"/>
            </w:tcBorders>
            <w:shd w:val="clear" w:color="000000" w:fill="0077BD"/>
            <w:vAlign w:val="center"/>
            <w:hideMark/>
          </w:tcPr>
          <w:p w14:paraId="45B708D6"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31.12.2019</w:t>
            </w:r>
          </w:p>
        </w:tc>
        <w:tc>
          <w:tcPr>
            <w:tcW w:w="2836" w:type="dxa"/>
            <w:gridSpan w:val="2"/>
            <w:tcBorders>
              <w:top w:val="nil"/>
              <w:left w:val="single" w:sz="8" w:space="0" w:color="FFFFFF"/>
              <w:bottom w:val="single" w:sz="6" w:space="0" w:color="FFFFFF"/>
              <w:right w:val="nil"/>
            </w:tcBorders>
            <w:shd w:val="clear" w:color="000000" w:fill="0077BD"/>
            <w:vAlign w:val="center"/>
            <w:hideMark/>
          </w:tcPr>
          <w:p w14:paraId="19DACF2A"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31.12.2018</w:t>
            </w:r>
          </w:p>
        </w:tc>
      </w:tr>
      <w:tr w:rsidR="00C149AF" w:rsidRPr="00250DB8" w14:paraId="685637C6" w14:textId="77777777" w:rsidTr="007B7C3E">
        <w:trPr>
          <w:trHeight w:val="510"/>
        </w:trPr>
        <w:tc>
          <w:tcPr>
            <w:tcW w:w="3856" w:type="dxa"/>
            <w:vMerge/>
            <w:tcBorders>
              <w:left w:val="single" w:sz="8" w:space="0" w:color="FFFFFF"/>
              <w:bottom w:val="nil"/>
              <w:right w:val="single" w:sz="8" w:space="0" w:color="FFFFFF"/>
            </w:tcBorders>
            <w:shd w:val="clear" w:color="000000" w:fill="0077BD"/>
            <w:vAlign w:val="center"/>
            <w:hideMark/>
          </w:tcPr>
          <w:p w14:paraId="0BCA4651" w14:textId="5B0998BF" w:rsidR="00C149AF" w:rsidRPr="00250DB8" w:rsidRDefault="00C149AF" w:rsidP="00250DB8">
            <w:pPr>
              <w:jc w:val="center"/>
              <w:rPr>
                <w:rFonts w:cs="Calibri"/>
                <w:b/>
                <w:bCs/>
                <w:color w:val="FFFFFF"/>
                <w:sz w:val="13"/>
                <w:szCs w:val="13"/>
              </w:rPr>
            </w:pPr>
          </w:p>
        </w:tc>
        <w:tc>
          <w:tcPr>
            <w:tcW w:w="1418" w:type="dxa"/>
            <w:tcBorders>
              <w:top w:val="single" w:sz="6" w:space="0" w:color="FFFFFF"/>
              <w:left w:val="nil"/>
              <w:bottom w:val="nil"/>
              <w:right w:val="nil"/>
            </w:tcBorders>
            <w:shd w:val="clear" w:color="000000" w:fill="0077BD"/>
            <w:vAlign w:val="center"/>
            <w:hideMark/>
          </w:tcPr>
          <w:p w14:paraId="69F849B2"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Pochodne instrumenty finansowe</w:t>
            </w:r>
          </w:p>
        </w:tc>
        <w:tc>
          <w:tcPr>
            <w:tcW w:w="1418" w:type="dxa"/>
            <w:tcBorders>
              <w:top w:val="single" w:sz="6" w:space="0" w:color="FFFFFF"/>
              <w:left w:val="single" w:sz="8" w:space="0" w:color="FFFFFF"/>
              <w:bottom w:val="nil"/>
              <w:right w:val="nil"/>
            </w:tcBorders>
            <w:shd w:val="clear" w:color="000000" w:fill="0077BD"/>
            <w:vAlign w:val="center"/>
            <w:hideMark/>
          </w:tcPr>
          <w:p w14:paraId="75301B4F"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Kredyty i pożyczki udzielone klientom</w:t>
            </w:r>
          </w:p>
        </w:tc>
        <w:tc>
          <w:tcPr>
            <w:tcW w:w="1418" w:type="dxa"/>
            <w:tcBorders>
              <w:top w:val="single" w:sz="6" w:space="0" w:color="FFFFFF"/>
              <w:left w:val="single" w:sz="8" w:space="0" w:color="FFFFFF"/>
              <w:bottom w:val="nil"/>
              <w:right w:val="nil"/>
            </w:tcBorders>
            <w:shd w:val="clear" w:color="000000" w:fill="0077BD"/>
            <w:vAlign w:val="center"/>
            <w:hideMark/>
          </w:tcPr>
          <w:p w14:paraId="5194AA3F"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Pochodne instrumenty finansowe</w:t>
            </w:r>
          </w:p>
        </w:tc>
        <w:tc>
          <w:tcPr>
            <w:tcW w:w="1418" w:type="dxa"/>
            <w:tcBorders>
              <w:top w:val="single" w:sz="6" w:space="0" w:color="FFFFFF"/>
              <w:left w:val="single" w:sz="8" w:space="0" w:color="FFFFFF"/>
              <w:bottom w:val="nil"/>
              <w:right w:val="nil"/>
            </w:tcBorders>
            <w:shd w:val="clear" w:color="000000" w:fill="0077BD"/>
            <w:vAlign w:val="center"/>
            <w:hideMark/>
          </w:tcPr>
          <w:p w14:paraId="4F54192A" w14:textId="77777777" w:rsidR="00C149AF" w:rsidRPr="00250DB8" w:rsidRDefault="00C149AF" w:rsidP="00250DB8">
            <w:pPr>
              <w:jc w:val="center"/>
              <w:rPr>
                <w:rFonts w:cs="Calibri"/>
                <w:b/>
                <w:bCs/>
                <w:color w:val="FFFFFF"/>
                <w:sz w:val="13"/>
                <w:szCs w:val="13"/>
              </w:rPr>
            </w:pPr>
            <w:r w:rsidRPr="00250DB8">
              <w:rPr>
                <w:rFonts w:cs="Calibri"/>
                <w:b/>
                <w:bCs/>
                <w:color w:val="FFFFFF"/>
                <w:sz w:val="13"/>
                <w:szCs w:val="13"/>
              </w:rPr>
              <w:t>Kredyty i pożyczki udzielone klientom</w:t>
            </w:r>
          </w:p>
        </w:tc>
      </w:tr>
      <w:tr w:rsidR="005536C5" w:rsidRPr="0068723D" w14:paraId="1EECBFE7"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4EA686C3"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1</w:t>
            </w:r>
          </w:p>
        </w:tc>
        <w:tc>
          <w:tcPr>
            <w:tcW w:w="1418" w:type="dxa"/>
            <w:tcBorders>
              <w:top w:val="nil"/>
              <w:left w:val="single" w:sz="8" w:space="0" w:color="0077BD"/>
              <w:bottom w:val="single" w:sz="4" w:space="0" w:color="0077BD"/>
              <w:right w:val="nil"/>
            </w:tcBorders>
            <w:shd w:val="clear" w:color="auto" w:fill="auto"/>
            <w:vAlign w:val="center"/>
          </w:tcPr>
          <w:p w14:paraId="658CCCE4" w14:textId="10CD92B1" w:rsidR="005536C5" w:rsidRPr="005536C5" w:rsidRDefault="005536C5" w:rsidP="005536C5">
            <w:pPr>
              <w:jc w:val="right"/>
              <w:rPr>
                <w:rFonts w:cs="Calibri"/>
                <w:color w:val="000000" w:themeColor="text1"/>
                <w:sz w:val="13"/>
                <w:szCs w:val="13"/>
              </w:rPr>
            </w:pPr>
            <w:r w:rsidRPr="005536C5">
              <w:rPr>
                <w:rFonts w:cs="Calibri"/>
                <w:color w:val="000000"/>
                <w:sz w:val="13"/>
                <w:szCs w:val="13"/>
              </w:rPr>
              <w:t>801 848</w:t>
            </w:r>
          </w:p>
        </w:tc>
        <w:tc>
          <w:tcPr>
            <w:tcW w:w="1418" w:type="dxa"/>
            <w:tcBorders>
              <w:top w:val="nil"/>
              <w:left w:val="single" w:sz="8" w:space="0" w:color="0077BD"/>
              <w:bottom w:val="single" w:sz="4" w:space="0" w:color="0077BD"/>
              <w:right w:val="nil"/>
            </w:tcBorders>
            <w:shd w:val="clear" w:color="auto" w:fill="auto"/>
            <w:vAlign w:val="center"/>
            <w:hideMark/>
          </w:tcPr>
          <w:p w14:paraId="659D2FCD"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5A3FB7AB"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718 194</w:t>
            </w:r>
          </w:p>
        </w:tc>
        <w:tc>
          <w:tcPr>
            <w:tcW w:w="1418" w:type="dxa"/>
            <w:tcBorders>
              <w:top w:val="nil"/>
              <w:left w:val="single" w:sz="8" w:space="0" w:color="0077BD"/>
              <w:bottom w:val="single" w:sz="4" w:space="0" w:color="0077BD"/>
              <w:right w:val="nil"/>
            </w:tcBorders>
            <w:shd w:val="clear" w:color="auto" w:fill="auto"/>
            <w:vAlign w:val="center"/>
            <w:hideMark/>
          </w:tcPr>
          <w:p w14:paraId="5976000C"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5D452834"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7B8AB7D6"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2</w:t>
            </w:r>
          </w:p>
        </w:tc>
        <w:tc>
          <w:tcPr>
            <w:tcW w:w="1418" w:type="dxa"/>
            <w:tcBorders>
              <w:top w:val="nil"/>
              <w:left w:val="single" w:sz="8" w:space="0" w:color="0077BD"/>
              <w:bottom w:val="single" w:sz="4" w:space="0" w:color="0077BD"/>
              <w:right w:val="nil"/>
            </w:tcBorders>
            <w:shd w:val="clear" w:color="auto" w:fill="auto"/>
            <w:vAlign w:val="center"/>
          </w:tcPr>
          <w:p w14:paraId="13BB926B" w14:textId="39814401" w:rsidR="005536C5" w:rsidRPr="005536C5" w:rsidRDefault="005536C5" w:rsidP="005536C5">
            <w:pPr>
              <w:jc w:val="right"/>
              <w:rPr>
                <w:rFonts w:cs="Calibri"/>
                <w:color w:val="000000" w:themeColor="text1"/>
                <w:sz w:val="13"/>
                <w:szCs w:val="13"/>
              </w:rPr>
            </w:pPr>
            <w:r w:rsidRPr="005536C5">
              <w:rPr>
                <w:rFonts w:cs="Calibri"/>
                <w:color w:val="000000"/>
                <w:sz w:val="13"/>
                <w:szCs w:val="13"/>
              </w:rPr>
              <w:t>286 591</w:t>
            </w:r>
          </w:p>
        </w:tc>
        <w:tc>
          <w:tcPr>
            <w:tcW w:w="1418" w:type="dxa"/>
            <w:tcBorders>
              <w:top w:val="nil"/>
              <w:left w:val="single" w:sz="8" w:space="0" w:color="0077BD"/>
              <w:bottom w:val="single" w:sz="4" w:space="0" w:color="0077BD"/>
              <w:right w:val="nil"/>
            </w:tcBorders>
            <w:shd w:val="clear" w:color="auto" w:fill="auto"/>
            <w:vAlign w:val="center"/>
            <w:hideMark/>
          </w:tcPr>
          <w:p w14:paraId="1DECC826" w14:textId="779BC806" w:rsidR="005536C5" w:rsidRPr="00B005E4" w:rsidRDefault="00A21221" w:rsidP="005536C5">
            <w:pPr>
              <w:jc w:val="right"/>
              <w:rPr>
                <w:rFonts w:cs="Calibri"/>
                <w:color w:val="000000" w:themeColor="text1"/>
                <w:sz w:val="13"/>
                <w:szCs w:val="13"/>
              </w:rPr>
            </w:pPr>
            <w:r>
              <w:rPr>
                <w:rFonts w:cs="Calibri"/>
                <w:color w:val="000000" w:themeColor="text1"/>
                <w:sz w:val="13"/>
                <w:szCs w:val="13"/>
              </w:rPr>
              <w:t>85 408</w:t>
            </w:r>
          </w:p>
        </w:tc>
        <w:tc>
          <w:tcPr>
            <w:tcW w:w="1418" w:type="dxa"/>
            <w:tcBorders>
              <w:top w:val="nil"/>
              <w:left w:val="single" w:sz="8" w:space="0" w:color="0077BD"/>
              <w:bottom w:val="single" w:sz="4" w:space="0" w:color="0077BD"/>
              <w:right w:val="nil"/>
            </w:tcBorders>
            <w:shd w:val="clear" w:color="auto" w:fill="auto"/>
            <w:vAlign w:val="center"/>
            <w:hideMark/>
          </w:tcPr>
          <w:p w14:paraId="1FC712E7"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313 999</w:t>
            </w:r>
          </w:p>
        </w:tc>
        <w:tc>
          <w:tcPr>
            <w:tcW w:w="1418" w:type="dxa"/>
            <w:tcBorders>
              <w:top w:val="nil"/>
              <w:left w:val="single" w:sz="8" w:space="0" w:color="0077BD"/>
              <w:bottom w:val="single" w:sz="4" w:space="0" w:color="0077BD"/>
              <w:right w:val="nil"/>
            </w:tcBorders>
            <w:shd w:val="clear" w:color="auto" w:fill="auto"/>
            <w:vAlign w:val="center"/>
            <w:hideMark/>
          </w:tcPr>
          <w:p w14:paraId="332CEB21"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56AE318B"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41243D37"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3</w:t>
            </w:r>
          </w:p>
        </w:tc>
        <w:tc>
          <w:tcPr>
            <w:tcW w:w="1418" w:type="dxa"/>
            <w:tcBorders>
              <w:top w:val="nil"/>
              <w:left w:val="single" w:sz="8" w:space="0" w:color="0077BD"/>
              <w:bottom w:val="single" w:sz="4" w:space="0" w:color="0077BD"/>
              <w:right w:val="nil"/>
            </w:tcBorders>
            <w:shd w:val="clear" w:color="auto" w:fill="auto"/>
            <w:vAlign w:val="center"/>
          </w:tcPr>
          <w:p w14:paraId="264D3728" w14:textId="2F1A9A94" w:rsidR="005536C5" w:rsidRPr="005536C5" w:rsidRDefault="005536C5" w:rsidP="005536C5">
            <w:pPr>
              <w:jc w:val="right"/>
              <w:rPr>
                <w:rFonts w:cs="Calibri"/>
                <w:color w:val="000000" w:themeColor="text1"/>
                <w:sz w:val="13"/>
                <w:szCs w:val="13"/>
              </w:rPr>
            </w:pPr>
            <w:r w:rsidRPr="005536C5">
              <w:rPr>
                <w:rFonts w:cs="Calibri"/>
                <w:color w:val="000000"/>
                <w:sz w:val="13"/>
                <w:szCs w:val="13"/>
              </w:rPr>
              <w:t>316 716</w:t>
            </w:r>
          </w:p>
        </w:tc>
        <w:tc>
          <w:tcPr>
            <w:tcW w:w="1418" w:type="dxa"/>
            <w:tcBorders>
              <w:top w:val="nil"/>
              <w:left w:val="single" w:sz="8" w:space="0" w:color="0077BD"/>
              <w:bottom w:val="single" w:sz="4" w:space="0" w:color="0077BD"/>
              <w:right w:val="nil"/>
            </w:tcBorders>
            <w:shd w:val="clear" w:color="auto" w:fill="auto"/>
            <w:vAlign w:val="center"/>
            <w:hideMark/>
          </w:tcPr>
          <w:p w14:paraId="7B49BAA4" w14:textId="0FA4FB3F"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38 423</w:t>
            </w:r>
          </w:p>
        </w:tc>
        <w:tc>
          <w:tcPr>
            <w:tcW w:w="1418" w:type="dxa"/>
            <w:tcBorders>
              <w:top w:val="nil"/>
              <w:left w:val="single" w:sz="8" w:space="0" w:color="0077BD"/>
              <w:bottom w:val="single" w:sz="4" w:space="0" w:color="0077BD"/>
              <w:right w:val="nil"/>
            </w:tcBorders>
            <w:shd w:val="clear" w:color="auto" w:fill="auto"/>
            <w:vAlign w:val="center"/>
            <w:hideMark/>
          </w:tcPr>
          <w:p w14:paraId="568A1FDC"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256 684</w:t>
            </w:r>
          </w:p>
        </w:tc>
        <w:tc>
          <w:tcPr>
            <w:tcW w:w="1418" w:type="dxa"/>
            <w:tcBorders>
              <w:top w:val="nil"/>
              <w:left w:val="single" w:sz="8" w:space="0" w:color="0077BD"/>
              <w:bottom w:val="single" w:sz="4" w:space="0" w:color="0077BD"/>
              <w:right w:val="nil"/>
            </w:tcBorders>
            <w:shd w:val="clear" w:color="auto" w:fill="auto"/>
            <w:vAlign w:val="center"/>
            <w:hideMark/>
          </w:tcPr>
          <w:p w14:paraId="0BF5258C"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43 166</w:t>
            </w:r>
          </w:p>
        </w:tc>
      </w:tr>
      <w:tr w:rsidR="005536C5" w:rsidRPr="0068723D" w14:paraId="40AA5D2D"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73AF787C"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4</w:t>
            </w:r>
          </w:p>
        </w:tc>
        <w:tc>
          <w:tcPr>
            <w:tcW w:w="1418" w:type="dxa"/>
            <w:tcBorders>
              <w:top w:val="nil"/>
              <w:left w:val="single" w:sz="8" w:space="0" w:color="0077BD"/>
              <w:bottom w:val="single" w:sz="4" w:space="0" w:color="0077BD"/>
              <w:right w:val="nil"/>
            </w:tcBorders>
            <w:shd w:val="clear" w:color="auto" w:fill="auto"/>
            <w:vAlign w:val="center"/>
          </w:tcPr>
          <w:p w14:paraId="2DAE28D4" w14:textId="2AA8ECCB" w:rsidR="005536C5" w:rsidRPr="005536C5" w:rsidRDefault="005536C5" w:rsidP="005536C5">
            <w:pPr>
              <w:jc w:val="right"/>
              <w:rPr>
                <w:rFonts w:cs="Calibri"/>
                <w:color w:val="000000" w:themeColor="text1"/>
                <w:sz w:val="13"/>
                <w:szCs w:val="13"/>
              </w:rPr>
            </w:pPr>
            <w:r w:rsidRPr="005536C5">
              <w:rPr>
                <w:rFonts w:cs="Calibri"/>
                <w:color w:val="000000"/>
                <w:sz w:val="13"/>
                <w:szCs w:val="13"/>
              </w:rPr>
              <w:t>39 797</w:t>
            </w:r>
          </w:p>
        </w:tc>
        <w:tc>
          <w:tcPr>
            <w:tcW w:w="1418" w:type="dxa"/>
            <w:tcBorders>
              <w:top w:val="nil"/>
              <w:left w:val="single" w:sz="8" w:space="0" w:color="0077BD"/>
              <w:bottom w:val="single" w:sz="4" w:space="0" w:color="0077BD"/>
              <w:right w:val="nil"/>
            </w:tcBorders>
            <w:shd w:val="clear" w:color="auto" w:fill="auto"/>
            <w:vAlign w:val="center"/>
            <w:hideMark/>
          </w:tcPr>
          <w:p w14:paraId="0D61298E" w14:textId="3A02EC1C" w:rsidR="005536C5" w:rsidRPr="00B005E4" w:rsidRDefault="00A21221" w:rsidP="005536C5">
            <w:pPr>
              <w:jc w:val="right"/>
              <w:rPr>
                <w:rFonts w:cs="Calibri"/>
                <w:color w:val="000000" w:themeColor="text1"/>
                <w:sz w:val="13"/>
                <w:szCs w:val="13"/>
              </w:rPr>
            </w:pPr>
            <w:r>
              <w:rPr>
                <w:rFonts w:cs="Calibri"/>
                <w:color w:val="000000" w:themeColor="text1"/>
                <w:sz w:val="13"/>
                <w:szCs w:val="13"/>
              </w:rPr>
              <w:t>48 858</w:t>
            </w:r>
          </w:p>
        </w:tc>
        <w:tc>
          <w:tcPr>
            <w:tcW w:w="1418" w:type="dxa"/>
            <w:tcBorders>
              <w:top w:val="nil"/>
              <w:left w:val="single" w:sz="8" w:space="0" w:color="0077BD"/>
              <w:bottom w:val="single" w:sz="4" w:space="0" w:color="0077BD"/>
              <w:right w:val="nil"/>
            </w:tcBorders>
            <w:shd w:val="clear" w:color="auto" w:fill="auto"/>
            <w:vAlign w:val="center"/>
            <w:hideMark/>
          </w:tcPr>
          <w:p w14:paraId="6383EC93"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60 931</w:t>
            </w:r>
          </w:p>
        </w:tc>
        <w:tc>
          <w:tcPr>
            <w:tcW w:w="1418" w:type="dxa"/>
            <w:tcBorders>
              <w:top w:val="nil"/>
              <w:left w:val="single" w:sz="8" w:space="0" w:color="0077BD"/>
              <w:bottom w:val="single" w:sz="4" w:space="0" w:color="0077BD"/>
              <w:right w:val="nil"/>
            </w:tcBorders>
            <w:shd w:val="clear" w:color="auto" w:fill="auto"/>
            <w:vAlign w:val="center"/>
            <w:hideMark/>
          </w:tcPr>
          <w:p w14:paraId="5717A1E3"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033216CE"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62C56DC6"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5</w:t>
            </w:r>
          </w:p>
        </w:tc>
        <w:tc>
          <w:tcPr>
            <w:tcW w:w="1418" w:type="dxa"/>
            <w:tcBorders>
              <w:top w:val="nil"/>
              <w:left w:val="single" w:sz="8" w:space="0" w:color="0077BD"/>
              <w:bottom w:val="single" w:sz="4" w:space="0" w:color="0077BD"/>
              <w:right w:val="nil"/>
            </w:tcBorders>
            <w:shd w:val="clear" w:color="auto" w:fill="auto"/>
            <w:vAlign w:val="center"/>
          </w:tcPr>
          <w:p w14:paraId="4B112A62" w14:textId="2D90F719" w:rsidR="005536C5" w:rsidRPr="005536C5" w:rsidRDefault="005536C5" w:rsidP="005536C5">
            <w:pPr>
              <w:jc w:val="right"/>
              <w:rPr>
                <w:rFonts w:cs="Calibri"/>
                <w:color w:val="000000" w:themeColor="text1"/>
                <w:sz w:val="13"/>
                <w:szCs w:val="13"/>
              </w:rPr>
            </w:pPr>
            <w:r w:rsidRPr="005536C5">
              <w:rPr>
                <w:rFonts w:cs="Calibri"/>
                <w:color w:val="000000"/>
                <w:sz w:val="13"/>
                <w:szCs w:val="13"/>
              </w:rPr>
              <w:t>11 136</w:t>
            </w:r>
          </w:p>
        </w:tc>
        <w:tc>
          <w:tcPr>
            <w:tcW w:w="1418" w:type="dxa"/>
            <w:tcBorders>
              <w:top w:val="nil"/>
              <w:left w:val="single" w:sz="8" w:space="0" w:color="0077BD"/>
              <w:bottom w:val="single" w:sz="4" w:space="0" w:color="0077BD"/>
              <w:right w:val="nil"/>
            </w:tcBorders>
            <w:shd w:val="clear" w:color="auto" w:fill="auto"/>
            <w:vAlign w:val="center"/>
            <w:hideMark/>
          </w:tcPr>
          <w:p w14:paraId="6C93C931"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7C9A4399"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10 158</w:t>
            </w:r>
          </w:p>
        </w:tc>
        <w:tc>
          <w:tcPr>
            <w:tcW w:w="1418" w:type="dxa"/>
            <w:tcBorders>
              <w:top w:val="nil"/>
              <w:left w:val="single" w:sz="8" w:space="0" w:color="0077BD"/>
              <w:bottom w:val="single" w:sz="4" w:space="0" w:color="0077BD"/>
              <w:right w:val="nil"/>
            </w:tcBorders>
            <w:shd w:val="clear" w:color="auto" w:fill="auto"/>
            <w:vAlign w:val="center"/>
            <w:hideMark/>
          </w:tcPr>
          <w:p w14:paraId="45204CE0"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2A85BB12"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33A17FC1"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6</w:t>
            </w:r>
          </w:p>
        </w:tc>
        <w:tc>
          <w:tcPr>
            <w:tcW w:w="1418" w:type="dxa"/>
            <w:tcBorders>
              <w:top w:val="nil"/>
              <w:left w:val="single" w:sz="8" w:space="0" w:color="0077BD"/>
              <w:bottom w:val="single" w:sz="4" w:space="0" w:color="0077BD"/>
              <w:right w:val="nil"/>
            </w:tcBorders>
            <w:shd w:val="clear" w:color="auto" w:fill="auto"/>
            <w:vAlign w:val="center"/>
            <w:hideMark/>
          </w:tcPr>
          <w:p w14:paraId="55AEDB51" w14:textId="7942A0F4" w:rsidR="005536C5" w:rsidRPr="005536C5" w:rsidRDefault="005536C5" w:rsidP="005536C5">
            <w:pPr>
              <w:jc w:val="right"/>
              <w:rPr>
                <w:rFonts w:cs="Calibri"/>
                <w:color w:val="000000" w:themeColor="text1"/>
                <w:sz w:val="13"/>
                <w:szCs w:val="13"/>
              </w:rPr>
            </w:pPr>
            <w:r w:rsidRPr="005536C5">
              <w:rPr>
                <w:rFonts w:cs="Calibri"/>
                <w:color w:val="000000"/>
                <w:sz w:val="13"/>
                <w:szCs w:val="13"/>
              </w:rPr>
              <w:t>121</w:t>
            </w:r>
          </w:p>
        </w:tc>
        <w:tc>
          <w:tcPr>
            <w:tcW w:w="1418" w:type="dxa"/>
            <w:tcBorders>
              <w:top w:val="nil"/>
              <w:left w:val="single" w:sz="8" w:space="0" w:color="0077BD"/>
              <w:bottom w:val="single" w:sz="4" w:space="0" w:color="0077BD"/>
              <w:right w:val="nil"/>
            </w:tcBorders>
            <w:shd w:val="clear" w:color="auto" w:fill="auto"/>
            <w:vAlign w:val="center"/>
            <w:hideMark/>
          </w:tcPr>
          <w:p w14:paraId="302098DB"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6D94C8A5"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7FE25FE4"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2AF064CF"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67666426"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7</w:t>
            </w:r>
          </w:p>
        </w:tc>
        <w:tc>
          <w:tcPr>
            <w:tcW w:w="1418" w:type="dxa"/>
            <w:tcBorders>
              <w:top w:val="nil"/>
              <w:left w:val="single" w:sz="8" w:space="0" w:color="0077BD"/>
              <w:bottom w:val="single" w:sz="4" w:space="0" w:color="0077BD"/>
              <w:right w:val="nil"/>
            </w:tcBorders>
            <w:shd w:val="clear" w:color="auto" w:fill="auto"/>
            <w:vAlign w:val="center"/>
            <w:hideMark/>
          </w:tcPr>
          <w:p w14:paraId="5E1CF200" w14:textId="19242C81" w:rsidR="005536C5" w:rsidRPr="005536C5" w:rsidRDefault="005536C5" w:rsidP="005536C5">
            <w:pPr>
              <w:jc w:val="right"/>
              <w:rPr>
                <w:rFonts w:cs="Calibri"/>
                <w:color w:val="000000" w:themeColor="text1"/>
                <w:sz w:val="13"/>
                <w:szCs w:val="13"/>
              </w:rPr>
            </w:pPr>
            <w:r w:rsidRPr="005536C5">
              <w:rPr>
                <w:rFonts w:cs="Calibri"/>
                <w:color w:val="000000"/>
                <w:sz w:val="13"/>
                <w:szCs w:val="13"/>
              </w:rPr>
              <w:t>1 183</w:t>
            </w:r>
          </w:p>
        </w:tc>
        <w:tc>
          <w:tcPr>
            <w:tcW w:w="1418" w:type="dxa"/>
            <w:tcBorders>
              <w:top w:val="nil"/>
              <w:left w:val="single" w:sz="8" w:space="0" w:color="0077BD"/>
              <w:bottom w:val="single" w:sz="4" w:space="0" w:color="0077BD"/>
              <w:right w:val="nil"/>
            </w:tcBorders>
            <w:shd w:val="clear" w:color="auto" w:fill="auto"/>
            <w:vAlign w:val="center"/>
            <w:hideMark/>
          </w:tcPr>
          <w:p w14:paraId="177CCEEE"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2A1B4DA4"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747E437F"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1FE0D305"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635834D6"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8</w:t>
            </w:r>
          </w:p>
        </w:tc>
        <w:tc>
          <w:tcPr>
            <w:tcW w:w="1418" w:type="dxa"/>
            <w:tcBorders>
              <w:top w:val="nil"/>
              <w:left w:val="single" w:sz="8" w:space="0" w:color="0077BD"/>
              <w:bottom w:val="single" w:sz="4" w:space="0" w:color="0077BD"/>
              <w:right w:val="nil"/>
            </w:tcBorders>
            <w:shd w:val="clear" w:color="auto" w:fill="auto"/>
            <w:vAlign w:val="center"/>
          </w:tcPr>
          <w:p w14:paraId="49EFD533" w14:textId="1BCBFDF9" w:rsidR="005536C5" w:rsidRPr="005536C5" w:rsidRDefault="005536C5" w:rsidP="005536C5">
            <w:pPr>
              <w:jc w:val="right"/>
              <w:rPr>
                <w:rFonts w:cs="Calibri"/>
                <w:color w:val="000000" w:themeColor="text1"/>
                <w:sz w:val="13"/>
                <w:szCs w:val="13"/>
              </w:rPr>
            </w:pPr>
            <w:r w:rsidRPr="005536C5">
              <w:rPr>
                <w:rFonts w:cs="Calibri"/>
                <w:color w:val="000000"/>
                <w:sz w:val="13"/>
                <w:szCs w:val="13"/>
              </w:rPr>
              <w:t>63 388</w:t>
            </w:r>
          </w:p>
        </w:tc>
        <w:tc>
          <w:tcPr>
            <w:tcW w:w="1418" w:type="dxa"/>
            <w:tcBorders>
              <w:top w:val="nil"/>
              <w:left w:val="single" w:sz="8" w:space="0" w:color="0077BD"/>
              <w:bottom w:val="single" w:sz="4" w:space="0" w:color="0077BD"/>
              <w:right w:val="nil"/>
            </w:tcBorders>
            <w:shd w:val="clear" w:color="auto" w:fill="auto"/>
            <w:vAlign w:val="center"/>
            <w:hideMark/>
          </w:tcPr>
          <w:p w14:paraId="10D2EF1B"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072B8FAA"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9 556</w:t>
            </w:r>
          </w:p>
        </w:tc>
        <w:tc>
          <w:tcPr>
            <w:tcW w:w="1418" w:type="dxa"/>
            <w:tcBorders>
              <w:top w:val="nil"/>
              <w:left w:val="single" w:sz="8" w:space="0" w:color="0077BD"/>
              <w:bottom w:val="single" w:sz="4" w:space="0" w:color="0077BD"/>
              <w:right w:val="nil"/>
            </w:tcBorders>
            <w:shd w:val="clear" w:color="auto" w:fill="auto"/>
            <w:vAlign w:val="center"/>
            <w:hideMark/>
          </w:tcPr>
          <w:p w14:paraId="2D3330B8"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118CF16A" w14:textId="77777777" w:rsidTr="00566437">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0F0C27EF"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default</w:t>
            </w:r>
          </w:p>
        </w:tc>
        <w:tc>
          <w:tcPr>
            <w:tcW w:w="1418" w:type="dxa"/>
            <w:tcBorders>
              <w:top w:val="nil"/>
              <w:left w:val="single" w:sz="8" w:space="0" w:color="0077BD"/>
              <w:bottom w:val="single" w:sz="4" w:space="0" w:color="0077BD"/>
              <w:right w:val="nil"/>
            </w:tcBorders>
            <w:shd w:val="clear" w:color="auto" w:fill="auto"/>
            <w:vAlign w:val="center"/>
          </w:tcPr>
          <w:p w14:paraId="6064A961" w14:textId="7BDAFA44" w:rsidR="005536C5" w:rsidRPr="005536C5" w:rsidRDefault="005536C5" w:rsidP="005536C5">
            <w:pPr>
              <w:jc w:val="right"/>
              <w:rPr>
                <w:rFonts w:cs="Calibri"/>
                <w:color w:val="000000" w:themeColor="text1"/>
                <w:sz w:val="13"/>
                <w:szCs w:val="13"/>
              </w:rPr>
            </w:pPr>
            <w:r w:rsidRPr="005536C5">
              <w:rPr>
                <w:rFonts w:cs="Calibri"/>
                <w:color w:val="000000"/>
                <w:sz w:val="13"/>
                <w:szCs w:val="13"/>
              </w:rPr>
              <w:t>247</w:t>
            </w:r>
          </w:p>
        </w:tc>
        <w:tc>
          <w:tcPr>
            <w:tcW w:w="1418" w:type="dxa"/>
            <w:tcBorders>
              <w:top w:val="nil"/>
              <w:left w:val="single" w:sz="8" w:space="0" w:color="0077BD"/>
              <w:bottom w:val="single" w:sz="4" w:space="0" w:color="0077BD"/>
              <w:right w:val="nil"/>
            </w:tcBorders>
            <w:shd w:val="clear" w:color="auto" w:fill="auto"/>
            <w:vAlign w:val="center"/>
            <w:hideMark/>
          </w:tcPr>
          <w:p w14:paraId="10C2D8DD"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vAlign w:val="center"/>
            <w:hideMark/>
          </w:tcPr>
          <w:p w14:paraId="1E065BF9"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281</w:t>
            </w:r>
          </w:p>
        </w:tc>
        <w:tc>
          <w:tcPr>
            <w:tcW w:w="1418" w:type="dxa"/>
            <w:tcBorders>
              <w:top w:val="nil"/>
              <w:left w:val="single" w:sz="8" w:space="0" w:color="0077BD"/>
              <w:bottom w:val="single" w:sz="4" w:space="0" w:color="0077BD"/>
              <w:right w:val="nil"/>
            </w:tcBorders>
            <w:shd w:val="clear" w:color="auto" w:fill="auto"/>
            <w:vAlign w:val="center"/>
            <w:hideMark/>
          </w:tcPr>
          <w:p w14:paraId="75031015"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w:t>
            </w:r>
          </w:p>
        </w:tc>
      </w:tr>
      <w:tr w:rsidR="005536C5" w:rsidRPr="0068723D" w14:paraId="0034D0F0" w14:textId="77777777" w:rsidTr="00566437">
        <w:trPr>
          <w:trHeight w:val="284"/>
        </w:trPr>
        <w:tc>
          <w:tcPr>
            <w:tcW w:w="3856" w:type="dxa"/>
            <w:tcBorders>
              <w:top w:val="nil"/>
              <w:left w:val="nil"/>
              <w:bottom w:val="nil"/>
              <w:right w:val="single" w:sz="8" w:space="0" w:color="0077BD"/>
            </w:tcBorders>
            <w:shd w:val="clear" w:color="auto" w:fill="auto"/>
            <w:vAlign w:val="center"/>
            <w:hideMark/>
          </w:tcPr>
          <w:p w14:paraId="671625AE" w14:textId="77777777" w:rsidR="005536C5" w:rsidRPr="00B005E4" w:rsidRDefault="005536C5" w:rsidP="005536C5">
            <w:pPr>
              <w:jc w:val="center"/>
              <w:rPr>
                <w:rFonts w:cs="Calibri"/>
                <w:color w:val="000000" w:themeColor="text1"/>
                <w:sz w:val="13"/>
                <w:szCs w:val="13"/>
              </w:rPr>
            </w:pPr>
            <w:r w:rsidRPr="00B005E4">
              <w:rPr>
                <w:rFonts w:cs="Calibri"/>
                <w:color w:val="000000" w:themeColor="text1"/>
                <w:sz w:val="13"/>
                <w:szCs w:val="13"/>
              </w:rPr>
              <w:t>Efekt kompensowania</w:t>
            </w:r>
          </w:p>
        </w:tc>
        <w:tc>
          <w:tcPr>
            <w:tcW w:w="1418" w:type="dxa"/>
            <w:tcBorders>
              <w:top w:val="nil"/>
              <w:left w:val="single" w:sz="8" w:space="0" w:color="0077BD"/>
              <w:bottom w:val="nil"/>
              <w:right w:val="nil"/>
            </w:tcBorders>
            <w:shd w:val="clear" w:color="auto" w:fill="auto"/>
            <w:vAlign w:val="center"/>
          </w:tcPr>
          <w:p w14:paraId="57B06A90" w14:textId="1AC0077B" w:rsidR="005536C5" w:rsidRPr="005536C5" w:rsidRDefault="005536C5" w:rsidP="005536C5">
            <w:pPr>
              <w:jc w:val="right"/>
              <w:rPr>
                <w:rFonts w:cs="Calibri"/>
                <w:color w:val="000000" w:themeColor="text1"/>
                <w:sz w:val="13"/>
                <w:szCs w:val="13"/>
              </w:rPr>
            </w:pPr>
            <w:r w:rsidRPr="005536C5">
              <w:rPr>
                <w:rFonts w:cs="Calibri"/>
                <w:color w:val="000000"/>
                <w:sz w:val="13"/>
                <w:szCs w:val="13"/>
              </w:rPr>
              <w:t>(561 251)</w:t>
            </w:r>
          </w:p>
        </w:tc>
        <w:tc>
          <w:tcPr>
            <w:tcW w:w="1418" w:type="dxa"/>
            <w:tcBorders>
              <w:top w:val="nil"/>
              <w:left w:val="single" w:sz="8" w:space="0" w:color="0077BD"/>
              <w:bottom w:val="single" w:sz="4" w:space="0" w:color="0077BD"/>
              <w:right w:val="nil"/>
            </w:tcBorders>
            <w:shd w:val="thinDiagStripe" w:color="000000" w:fill="auto"/>
            <w:vAlign w:val="center"/>
            <w:hideMark/>
          </w:tcPr>
          <w:p w14:paraId="25F4F4CD" w14:textId="657AEC0A" w:rsidR="005536C5" w:rsidRPr="00B005E4" w:rsidRDefault="005536C5" w:rsidP="005536C5">
            <w:pPr>
              <w:jc w:val="right"/>
              <w:rPr>
                <w:rFonts w:cs="Calibri"/>
                <w:color w:val="000000" w:themeColor="text1"/>
                <w:sz w:val="13"/>
                <w:szCs w:val="13"/>
              </w:rPr>
            </w:pPr>
          </w:p>
        </w:tc>
        <w:tc>
          <w:tcPr>
            <w:tcW w:w="1418" w:type="dxa"/>
            <w:tcBorders>
              <w:top w:val="nil"/>
              <w:left w:val="single" w:sz="8" w:space="0" w:color="0077BD"/>
              <w:bottom w:val="nil"/>
              <w:right w:val="nil"/>
            </w:tcBorders>
            <w:shd w:val="clear" w:color="auto" w:fill="auto"/>
            <w:vAlign w:val="center"/>
            <w:hideMark/>
          </w:tcPr>
          <w:p w14:paraId="416011D2" w14:textId="77777777" w:rsidR="005536C5" w:rsidRPr="00B005E4" w:rsidRDefault="005536C5" w:rsidP="005536C5">
            <w:pPr>
              <w:jc w:val="right"/>
              <w:rPr>
                <w:rFonts w:cs="Calibri"/>
                <w:color w:val="000000" w:themeColor="text1"/>
                <w:sz w:val="13"/>
                <w:szCs w:val="13"/>
              </w:rPr>
            </w:pPr>
            <w:r w:rsidRPr="00B005E4">
              <w:rPr>
                <w:rFonts w:cs="Calibri"/>
                <w:color w:val="000000" w:themeColor="text1"/>
                <w:sz w:val="13"/>
                <w:szCs w:val="13"/>
              </w:rPr>
              <w:t>(363 724)</w:t>
            </w:r>
          </w:p>
        </w:tc>
        <w:tc>
          <w:tcPr>
            <w:tcW w:w="1418" w:type="dxa"/>
            <w:tcBorders>
              <w:top w:val="nil"/>
              <w:left w:val="single" w:sz="8" w:space="0" w:color="0077BD"/>
              <w:bottom w:val="single" w:sz="4" w:space="0" w:color="0077BD"/>
              <w:right w:val="nil"/>
            </w:tcBorders>
            <w:shd w:val="thinDiagStripe" w:color="000000" w:fill="auto"/>
            <w:vAlign w:val="center"/>
          </w:tcPr>
          <w:p w14:paraId="1D988BB8" w14:textId="678349AB" w:rsidR="005536C5" w:rsidRPr="00B005E4" w:rsidRDefault="005536C5" w:rsidP="005536C5">
            <w:pPr>
              <w:jc w:val="right"/>
              <w:rPr>
                <w:rFonts w:cs="Calibri"/>
                <w:color w:val="000000" w:themeColor="text1"/>
                <w:sz w:val="13"/>
                <w:szCs w:val="13"/>
              </w:rPr>
            </w:pPr>
          </w:p>
        </w:tc>
      </w:tr>
      <w:tr w:rsidR="005536C5" w:rsidRPr="0068723D" w14:paraId="2C30B679" w14:textId="77777777" w:rsidTr="00566437">
        <w:trPr>
          <w:trHeight w:val="284"/>
        </w:trPr>
        <w:tc>
          <w:tcPr>
            <w:tcW w:w="3856" w:type="dxa"/>
            <w:tcBorders>
              <w:top w:val="single" w:sz="8" w:space="0" w:color="0077BD"/>
              <w:left w:val="nil"/>
              <w:bottom w:val="single" w:sz="8" w:space="0" w:color="0077BD"/>
              <w:right w:val="single" w:sz="8" w:space="0" w:color="0077BD"/>
            </w:tcBorders>
            <w:shd w:val="clear" w:color="auto" w:fill="auto"/>
            <w:vAlign w:val="center"/>
            <w:hideMark/>
          </w:tcPr>
          <w:p w14:paraId="0540386B" w14:textId="77777777" w:rsidR="005536C5" w:rsidRPr="00B005E4" w:rsidRDefault="005536C5" w:rsidP="005536C5">
            <w:pPr>
              <w:rPr>
                <w:rFonts w:cs="Calibri"/>
                <w:b/>
                <w:bCs/>
                <w:color w:val="000000" w:themeColor="text1"/>
                <w:sz w:val="13"/>
                <w:szCs w:val="13"/>
              </w:rPr>
            </w:pPr>
            <w:r w:rsidRPr="00B005E4">
              <w:rPr>
                <w:rFonts w:cs="Calibri"/>
                <w:b/>
                <w:bCs/>
                <w:color w:val="000000" w:themeColor="text1"/>
                <w:sz w:val="13"/>
                <w:szCs w:val="13"/>
              </w:rPr>
              <w:t>Wartość bilansowa</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BC12150" w14:textId="53EBA810" w:rsidR="005536C5" w:rsidRPr="005536C5" w:rsidRDefault="005536C5" w:rsidP="005536C5">
            <w:pPr>
              <w:jc w:val="right"/>
              <w:rPr>
                <w:rFonts w:cs="Calibri"/>
                <w:b/>
                <w:bCs/>
                <w:color w:val="000000" w:themeColor="text1"/>
                <w:sz w:val="13"/>
                <w:szCs w:val="13"/>
              </w:rPr>
            </w:pPr>
            <w:r w:rsidRPr="005536C5">
              <w:rPr>
                <w:rFonts w:cs="Calibri"/>
                <w:b/>
                <w:bCs/>
                <w:color w:val="000000"/>
                <w:sz w:val="13"/>
                <w:szCs w:val="13"/>
              </w:rPr>
              <w:t>959 776</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B27C402" w14:textId="12067C63" w:rsidR="005536C5" w:rsidRPr="00B005E4" w:rsidRDefault="00A21221" w:rsidP="00A21221">
            <w:pPr>
              <w:jc w:val="right"/>
              <w:rPr>
                <w:rFonts w:cs="Calibri"/>
                <w:b/>
                <w:bCs/>
                <w:color w:val="000000" w:themeColor="text1"/>
                <w:sz w:val="13"/>
                <w:szCs w:val="13"/>
              </w:rPr>
            </w:pPr>
            <w:r>
              <w:rPr>
                <w:rFonts w:cs="Calibri"/>
                <w:b/>
                <w:bCs/>
                <w:color w:val="000000" w:themeColor="text1"/>
                <w:sz w:val="13"/>
                <w:szCs w:val="13"/>
              </w:rPr>
              <w:t>172</w:t>
            </w:r>
            <w:r w:rsidR="005536C5" w:rsidRPr="00B005E4">
              <w:rPr>
                <w:rFonts w:cs="Calibri"/>
                <w:b/>
                <w:bCs/>
                <w:color w:val="000000" w:themeColor="text1"/>
                <w:sz w:val="13"/>
                <w:szCs w:val="13"/>
              </w:rPr>
              <w:t xml:space="preserve"> </w:t>
            </w:r>
            <w:r>
              <w:rPr>
                <w:rFonts w:cs="Calibri"/>
                <w:b/>
                <w:bCs/>
                <w:color w:val="000000" w:themeColor="text1"/>
                <w:sz w:val="13"/>
                <w:szCs w:val="13"/>
              </w:rPr>
              <w:t>689</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F972808" w14:textId="77777777" w:rsidR="005536C5" w:rsidRPr="00B005E4" w:rsidRDefault="005536C5" w:rsidP="005536C5">
            <w:pPr>
              <w:jc w:val="right"/>
              <w:rPr>
                <w:rFonts w:cs="Calibri"/>
                <w:b/>
                <w:bCs/>
                <w:color w:val="000000" w:themeColor="text1"/>
                <w:sz w:val="13"/>
                <w:szCs w:val="13"/>
              </w:rPr>
            </w:pPr>
            <w:r w:rsidRPr="00B005E4">
              <w:rPr>
                <w:rFonts w:cs="Calibri"/>
                <w:b/>
                <w:bCs/>
                <w:color w:val="000000" w:themeColor="text1"/>
                <w:sz w:val="13"/>
                <w:szCs w:val="13"/>
              </w:rPr>
              <w:t>1 006 079</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34E76594" w14:textId="77777777" w:rsidR="005536C5" w:rsidRPr="00B005E4" w:rsidRDefault="005536C5" w:rsidP="005536C5">
            <w:pPr>
              <w:jc w:val="right"/>
              <w:rPr>
                <w:rFonts w:cs="Calibri"/>
                <w:b/>
                <w:bCs/>
                <w:color w:val="000000" w:themeColor="text1"/>
                <w:sz w:val="13"/>
                <w:szCs w:val="13"/>
              </w:rPr>
            </w:pPr>
            <w:r w:rsidRPr="00B005E4">
              <w:rPr>
                <w:rFonts w:cs="Calibri"/>
                <w:b/>
                <w:bCs/>
                <w:color w:val="000000" w:themeColor="text1"/>
                <w:sz w:val="13"/>
                <w:szCs w:val="13"/>
              </w:rPr>
              <w:t>43 166</w:t>
            </w:r>
          </w:p>
        </w:tc>
      </w:tr>
    </w:tbl>
    <w:p w14:paraId="6F552F36" w14:textId="4FB4D1F0" w:rsidR="0023102E" w:rsidRDefault="0023102E" w:rsidP="00FB18C2">
      <w:pPr>
        <w:jc w:val="both"/>
        <w:rPr>
          <w:rFonts w:cs="Tahoma"/>
          <w:color w:val="201C17"/>
          <w:sz w:val="18"/>
          <w:szCs w:val="18"/>
        </w:rPr>
      </w:pPr>
    </w:p>
    <w:tbl>
      <w:tblPr>
        <w:tblW w:w="0" w:type="auto"/>
        <w:tblCellMar>
          <w:left w:w="70" w:type="dxa"/>
          <w:right w:w="70" w:type="dxa"/>
        </w:tblCellMar>
        <w:tblLook w:val="04A0" w:firstRow="1" w:lastRow="0" w:firstColumn="1" w:lastColumn="0" w:noHBand="0" w:noVBand="1"/>
      </w:tblPr>
      <w:tblGrid>
        <w:gridCol w:w="3856"/>
        <w:gridCol w:w="2835"/>
        <w:gridCol w:w="2835"/>
      </w:tblGrid>
      <w:tr w:rsidR="00477746" w:rsidRPr="00477746" w14:paraId="0F460889" w14:textId="77777777" w:rsidTr="00477746">
        <w:trPr>
          <w:trHeight w:val="284"/>
        </w:trPr>
        <w:tc>
          <w:tcPr>
            <w:tcW w:w="3856" w:type="dxa"/>
            <w:vMerge w:val="restart"/>
            <w:tcBorders>
              <w:top w:val="nil"/>
              <w:left w:val="single" w:sz="8" w:space="0" w:color="FFFFFF"/>
              <w:bottom w:val="nil"/>
              <w:right w:val="single" w:sz="8" w:space="0" w:color="FFFFFF"/>
            </w:tcBorders>
            <w:shd w:val="clear" w:color="000000" w:fill="0077BD"/>
            <w:vAlign w:val="center"/>
            <w:hideMark/>
          </w:tcPr>
          <w:p w14:paraId="1914D751" w14:textId="77777777" w:rsidR="00477746" w:rsidRPr="00477746" w:rsidRDefault="00477746" w:rsidP="00477746">
            <w:pPr>
              <w:jc w:val="center"/>
              <w:rPr>
                <w:rFonts w:cs="Calibri"/>
                <w:b/>
                <w:bCs/>
                <w:color w:val="FFFFFF"/>
                <w:sz w:val="13"/>
                <w:szCs w:val="13"/>
              </w:rPr>
            </w:pPr>
            <w:r w:rsidRPr="00477746">
              <w:rPr>
                <w:rFonts w:cs="Calibri"/>
                <w:b/>
                <w:bCs/>
                <w:color w:val="FFFFFF"/>
                <w:sz w:val="13"/>
                <w:szCs w:val="13"/>
              </w:rPr>
              <w:t>Rating</w:t>
            </w:r>
          </w:p>
        </w:tc>
        <w:tc>
          <w:tcPr>
            <w:tcW w:w="2835" w:type="dxa"/>
            <w:tcBorders>
              <w:top w:val="nil"/>
              <w:left w:val="nil"/>
              <w:bottom w:val="nil"/>
              <w:right w:val="nil"/>
            </w:tcBorders>
            <w:shd w:val="clear" w:color="000000" w:fill="0077BD"/>
            <w:vAlign w:val="center"/>
            <w:hideMark/>
          </w:tcPr>
          <w:p w14:paraId="4F94FE0A" w14:textId="77777777" w:rsidR="00477746" w:rsidRPr="00477746" w:rsidRDefault="00477746" w:rsidP="00477746">
            <w:pPr>
              <w:jc w:val="center"/>
              <w:rPr>
                <w:rFonts w:cs="Calibri"/>
                <w:b/>
                <w:bCs/>
                <w:color w:val="FFFFFF"/>
                <w:sz w:val="13"/>
                <w:szCs w:val="13"/>
              </w:rPr>
            </w:pPr>
            <w:r w:rsidRPr="00477746">
              <w:rPr>
                <w:rFonts w:cs="Calibri"/>
                <w:b/>
                <w:bCs/>
                <w:color w:val="FFFFFF"/>
                <w:sz w:val="13"/>
                <w:szCs w:val="13"/>
              </w:rPr>
              <w:t>31.12.2019</w:t>
            </w:r>
          </w:p>
        </w:tc>
        <w:tc>
          <w:tcPr>
            <w:tcW w:w="2835" w:type="dxa"/>
            <w:tcBorders>
              <w:top w:val="nil"/>
              <w:left w:val="single" w:sz="8" w:space="0" w:color="FFFFFF"/>
              <w:bottom w:val="nil"/>
              <w:right w:val="nil"/>
            </w:tcBorders>
            <w:shd w:val="clear" w:color="000000" w:fill="0077BD"/>
            <w:vAlign w:val="center"/>
            <w:hideMark/>
          </w:tcPr>
          <w:p w14:paraId="21E2A7A4" w14:textId="77777777" w:rsidR="00477746" w:rsidRPr="00477746" w:rsidRDefault="00477746" w:rsidP="00477746">
            <w:pPr>
              <w:jc w:val="center"/>
              <w:rPr>
                <w:rFonts w:cs="Calibri"/>
                <w:b/>
                <w:bCs/>
                <w:color w:val="FFFFFF"/>
                <w:sz w:val="13"/>
                <w:szCs w:val="13"/>
              </w:rPr>
            </w:pPr>
            <w:r w:rsidRPr="00477746">
              <w:rPr>
                <w:rFonts w:cs="Calibri"/>
                <w:b/>
                <w:bCs/>
                <w:color w:val="FFFFFF"/>
                <w:sz w:val="13"/>
                <w:szCs w:val="13"/>
              </w:rPr>
              <w:t>31.12.2018</w:t>
            </w:r>
          </w:p>
        </w:tc>
      </w:tr>
      <w:tr w:rsidR="00477746" w:rsidRPr="00477746" w14:paraId="1A0EF0D4" w14:textId="77777777" w:rsidTr="00477746">
        <w:trPr>
          <w:trHeight w:val="284"/>
        </w:trPr>
        <w:tc>
          <w:tcPr>
            <w:tcW w:w="3856" w:type="dxa"/>
            <w:vMerge/>
            <w:tcBorders>
              <w:top w:val="nil"/>
              <w:left w:val="single" w:sz="8" w:space="0" w:color="FFFFFF"/>
              <w:bottom w:val="nil"/>
              <w:right w:val="single" w:sz="8" w:space="0" w:color="FFFFFF"/>
            </w:tcBorders>
            <w:vAlign w:val="center"/>
            <w:hideMark/>
          </w:tcPr>
          <w:p w14:paraId="0CC22DF7" w14:textId="77777777" w:rsidR="00477746" w:rsidRPr="00477746" w:rsidRDefault="00477746" w:rsidP="00477746">
            <w:pPr>
              <w:rPr>
                <w:rFonts w:cs="Calibri"/>
                <w:b/>
                <w:bCs/>
                <w:color w:val="FFFFFF"/>
                <w:sz w:val="13"/>
                <w:szCs w:val="13"/>
              </w:rPr>
            </w:pPr>
          </w:p>
        </w:tc>
        <w:tc>
          <w:tcPr>
            <w:tcW w:w="2835" w:type="dxa"/>
            <w:tcBorders>
              <w:top w:val="single" w:sz="8" w:space="0" w:color="FFFFFF"/>
              <w:left w:val="nil"/>
              <w:bottom w:val="nil"/>
              <w:right w:val="nil"/>
            </w:tcBorders>
            <w:shd w:val="clear" w:color="000000" w:fill="0077BD"/>
            <w:vAlign w:val="center"/>
            <w:hideMark/>
          </w:tcPr>
          <w:p w14:paraId="106A0711" w14:textId="77777777" w:rsidR="00477746" w:rsidRPr="00477746" w:rsidRDefault="00477746" w:rsidP="00477746">
            <w:pPr>
              <w:jc w:val="center"/>
              <w:rPr>
                <w:rFonts w:cs="Calibri"/>
                <w:b/>
                <w:bCs/>
                <w:color w:val="FFFFFF"/>
                <w:sz w:val="13"/>
                <w:szCs w:val="13"/>
              </w:rPr>
            </w:pPr>
            <w:r w:rsidRPr="00477746">
              <w:rPr>
                <w:rFonts w:cs="Calibri"/>
                <w:b/>
                <w:bCs/>
                <w:color w:val="FFFFFF"/>
                <w:sz w:val="13"/>
                <w:szCs w:val="13"/>
              </w:rPr>
              <w:t xml:space="preserve">Dłużne papiery wartościowe </w:t>
            </w:r>
          </w:p>
        </w:tc>
        <w:tc>
          <w:tcPr>
            <w:tcW w:w="2835" w:type="dxa"/>
            <w:tcBorders>
              <w:top w:val="single" w:sz="8" w:space="0" w:color="FFFFFF"/>
              <w:left w:val="single" w:sz="8" w:space="0" w:color="FFFFFF"/>
              <w:bottom w:val="nil"/>
              <w:right w:val="nil"/>
            </w:tcBorders>
            <w:shd w:val="clear" w:color="000000" w:fill="0077BD"/>
            <w:vAlign w:val="center"/>
            <w:hideMark/>
          </w:tcPr>
          <w:p w14:paraId="4E9DE2B4" w14:textId="77777777" w:rsidR="00477746" w:rsidRPr="00477746" w:rsidRDefault="00477746" w:rsidP="00477746">
            <w:pPr>
              <w:jc w:val="center"/>
              <w:rPr>
                <w:rFonts w:cs="Calibri"/>
                <w:b/>
                <w:bCs/>
                <w:color w:val="FFFFFF"/>
                <w:sz w:val="13"/>
                <w:szCs w:val="13"/>
              </w:rPr>
            </w:pPr>
            <w:r w:rsidRPr="00477746">
              <w:rPr>
                <w:rFonts w:cs="Calibri"/>
                <w:b/>
                <w:bCs/>
                <w:color w:val="FFFFFF"/>
                <w:sz w:val="13"/>
                <w:szCs w:val="13"/>
              </w:rPr>
              <w:t xml:space="preserve">Dłużne papiery wartościowe </w:t>
            </w:r>
          </w:p>
        </w:tc>
      </w:tr>
      <w:tr w:rsidR="00EB06F8" w:rsidRPr="0068723D" w14:paraId="72FF1A93" w14:textId="77777777" w:rsidTr="00C624E1">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4A39BBE6" w14:textId="77777777" w:rsidR="00EB06F8" w:rsidRPr="002A1B2E" w:rsidRDefault="00EB06F8" w:rsidP="00EB06F8">
            <w:pPr>
              <w:jc w:val="center"/>
              <w:rPr>
                <w:rFonts w:cs="Calibri"/>
                <w:color w:val="000000" w:themeColor="text1"/>
                <w:sz w:val="13"/>
                <w:szCs w:val="13"/>
              </w:rPr>
            </w:pPr>
            <w:r w:rsidRPr="002A1B2E">
              <w:rPr>
                <w:rFonts w:cs="Calibri"/>
                <w:color w:val="000000" w:themeColor="text1"/>
                <w:sz w:val="13"/>
                <w:szCs w:val="13"/>
              </w:rPr>
              <w:t>1,0 - 1,2</w:t>
            </w:r>
          </w:p>
        </w:tc>
        <w:tc>
          <w:tcPr>
            <w:tcW w:w="2835" w:type="dxa"/>
            <w:tcBorders>
              <w:top w:val="nil"/>
              <w:left w:val="single" w:sz="8" w:space="0" w:color="0077BD"/>
              <w:bottom w:val="single" w:sz="4" w:space="0" w:color="0077BD"/>
              <w:right w:val="nil"/>
            </w:tcBorders>
            <w:shd w:val="clear" w:color="auto" w:fill="auto"/>
            <w:vAlign w:val="center"/>
            <w:hideMark/>
          </w:tcPr>
          <w:p w14:paraId="23EA39F4" w14:textId="26B7A34F"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1 330 541</w:t>
            </w:r>
          </w:p>
        </w:tc>
        <w:tc>
          <w:tcPr>
            <w:tcW w:w="2835" w:type="dxa"/>
            <w:tcBorders>
              <w:top w:val="nil"/>
              <w:left w:val="single" w:sz="8" w:space="0" w:color="0077BD"/>
              <w:bottom w:val="single" w:sz="4" w:space="0" w:color="0077BD"/>
              <w:right w:val="nil"/>
            </w:tcBorders>
            <w:shd w:val="clear" w:color="auto" w:fill="auto"/>
            <w:vAlign w:val="center"/>
            <w:hideMark/>
          </w:tcPr>
          <w:p w14:paraId="6BBDFF7C" w14:textId="44F52227"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778 733</w:t>
            </w:r>
          </w:p>
        </w:tc>
      </w:tr>
      <w:tr w:rsidR="00EB06F8" w:rsidRPr="0068723D" w14:paraId="0B188EEC" w14:textId="77777777" w:rsidTr="00C624E1">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3FAB7436" w14:textId="77777777" w:rsidR="00EB06F8" w:rsidRPr="002A1B2E" w:rsidRDefault="00EB06F8" w:rsidP="00EB06F8">
            <w:pPr>
              <w:jc w:val="center"/>
              <w:rPr>
                <w:rFonts w:cs="Calibri"/>
                <w:color w:val="000000" w:themeColor="text1"/>
                <w:sz w:val="13"/>
                <w:szCs w:val="13"/>
              </w:rPr>
            </w:pPr>
            <w:r w:rsidRPr="002A1B2E">
              <w:rPr>
                <w:rFonts w:cs="Calibri"/>
                <w:color w:val="000000" w:themeColor="text1"/>
                <w:sz w:val="13"/>
                <w:szCs w:val="13"/>
              </w:rPr>
              <w:t>1,4 - 1,6</w:t>
            </w:r>
          </w:p>
        </w:tc>
        <w:tc>
          <w:tcPr>
            <w:tcW w:w="2835" w:type="dxa"/>
            <w:tcBorders>
              <w:top w:val="nil"/>
              <w:left w:val="single" w:sz="8" w:space="0" w:color="0077BD"/>
              <w:bottom w:val="single" w:sz="4" w:space="0" w:color="0077BD"/>
              <w:right w:val="nil"/>
            </w:tcBorders>
            <w:shd w:val="clear" w:color="auto" w:fill="auto"/>
            <w:vAlign w:val="center"/>
            <w:hideMark/>
          </w:tcPr>
          <w:p w14:paraId="2F960A5E" w14:textId="2F1C4038"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21 854</w:t>
            </w:r>
          </w:p>
        </w:tc>
        <w:tc>
          <w:tcPr>
            <w:tcW w:w="2835" w:type="dxa"/>
            <w:tcBorders>
              <w:top w:val="nil"/>
              <w:left w:val="single" w:sz="8" w:space="0" w:color="0077BD"/>
              <w:bottom w:val="single" w:sz="4" w:space="0" w:color="0077BD"/>
              <w:right w:val="nil"/>
            </w:tcBorders>
            <w:shd w:val="clear" w:color="auto" w:fill="auto"/>
            <w:vAlign w:val="center"/>
            <w:hideMark/>
          </w:tcPr>
          <w:p w14:paraId="2A188E51" w14:textId="77777777"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w:t>
            </w:r>
          </w:p>
        </w:tc>
      </w:tr>
      <w:tr w:rsidR="00EB06F8" w:rsidRPr="0068723D" w14:paraId="7CB419CF" w14:textId="77777777" w:rsidTr="00C624E1">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482FB0E0" w14:textId="77777777" w:rsidR="00EB06F8" w:rsidRPr="002A1B2E" w:rsidRDefault="00EB06F8" w:rsidP="00EB06F8">
            <w:pPr>
              <w:jc w:val="center"/>
              <w:rPr>
                <w:rFonts w:cs="Calibri"/>
                <w:color w:val="000000" w:themeColor="text1"/>
                <w:sz w:val="13"/>
                <w:szCs w:val="13"/>
              </w:rPr>
            </w:pPr>
            <w:r w:rsidRPr="002A1B2E">
              <w:rPr>
                <w:rFonts w:cs="Calibri"/>
                <w:color w:val="000000" w:themeColor="text1"/>
                <w:sz w:val="13"/>
                <w:szCs w:val="13"/>
              </w:rPr>
              <w:t>1,8 - 2,0</w:t>
            </w:r>
          </w:p>
        </w:tc>
        <w:tc>
          <w:tcPr>
            <w:tcW w:w="2835" w:type="dxa"/>
            <w:tcBorders>
              <w:top w:val="nil"/>
              <w:left w:val="single" w:sz="8" w:space="0" w:color="0077BD"/>
              <w:bottom w:val="single" w:sz="4" w:space="0" w:color="0077BD"/>
              <w:right w:val="nil"/>
            </w:tcBorders>
            <w:shd w:val="clear" w:color="auto" w:fill="auto"/>
            <w:vAlign w:val="center"/>
          </w:tcPr>
          <w:p w14:paraId="68A1639B" w14:textId="69D86574"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91 569</w:t>
            </w:r>
          </w:p>
        </w:tc>
        <w:tc>
          <w:tcPr>
            <w:tcW w:w="2835" w:type="dxa"/>
            <w:tcBorders>
              <w:top w:val="nil"/>
              <w:left w:val="single" w:sz="8" w:space="0" w:color="0077BD"/>
              <w:bottom w:val="single" w:sz="4" w:space="0" w:color="0077BD"/>
              <w:right w:val="nil"/>
            </w:tcBorders>
            <w:shd w:val="clear" w:color="auto" w:fill="auto"/>
            <w:vAlign w:val="center"/>
            <w:hideMark/>
          </w:tcPr>
          <w:p w14:paraId="1277102C" w14:textId="77777777"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83 232</w:t>
            </w:r>
          </w:p>
        </w:tc>
      </w:tr>
      <w:tr w:rsidR="00EB06F8" w:rsidRPr="0068723D" w14:paraId="0E58B1EB" w14:textId="77777777" w:rsidTr="00C624E1">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244F1263" w14:textId="77777777" w:rsidR="00EB06F8" w:rsidRPr="002A1B2E" w:rsidRDefault="00EB06F8" w:rsidP="00EB06F8">
            <w:pPr>
              <w:jc w:val="center"/>
              <w:rPr>
                <w:rFonts w:cs="Calibri"/>
                <w:color w:val="000000" w:themeColor="text1"/>
                <w:sz w:val="13"/>
                <w:szCs w:val="13"/>
              </w:rPr>
            </w:pPr>
            <w:r w:rsidRPr="002A1B2E">
              <w:rPr>
                <w:rFonts w:cs="Calibri"/>
                <w:color w:val="000000" w:themeColor="text1"/>
                <w:sz w:val="13"/>
                <w:szCs w:val="13"/>
              </w:rPr>
              <w:t>2,2 - 2,8</w:t>
            </w:r>
          </w:p>
        </w:tc>
        <w:tc>
          <w:tcPr>
            <w:tcW w:w="2835" w:type="dxa"/>
            <w:tcBorders>
              <w:top w:val="nil"/>
              <w:left w:val="single" w:sz="8" w:space="0" w:color="0077BD"/>
              <w:bottom w:val="single" w:sz="4" w:space="0" w:color="0077BD"/>
              <w:right w:val="nil"/>
            </w:tcBorders>
            <w:shd w:val="clear" w:color="auto" w:fill="auto"/>
            <w:vAlign w:val="center"/>
          </w:tcPr>
          <w:p w14:paraId="088120EE" w14:textId="14674E91" w:rsidR="00EB06F8" w:rsidRPr="002A1B2E" w:rsidRDefault="000E71C0" w:rsidP="000E71C0">
            <w:pPr>
              <w:jc w:val="right"/>
              <w:rPr>
                <w:rFonts w:cs="Calibri"/>
                <w:color w:val="000000" w:themeColor="text1"/>
                <w:sz w:val="13"/>
                <w:szCs w:val="13"/>
              </w:rPr>
            </w:pPr>
            <w:r>
              <w:rPr>
                <w:rFonts w:cs="Calibri"/>
                <w:color w:val="000000" w:themeColor="text1"/>
                <w:sz w:val="13"/>
                <w:szCs w:val="13"/>
              </w:rPr>
              <w:t>15</w:t>
            </w:r>
            <w:r w:rsidR="00EB06F8" w:rsidRPr="002A1B2E">
              <w:rPr>
                <w:rFonts w:cs="Calibri"/>
                <w:color w:val="000000" w:themeColor="text1"/>
                <w:sz w:val="13"/>
                <w:szCs w:val="13"/>
              </w:rPr>
              <w:t xml:space="preserve">1 </w:t>
            </w:r>
            <w:r>
              <w:rPr>
                <w:rFonts w:cs="Calibri"/>
                <w:color w:val="000000" w:themeColor="text1"/>
                <w:sz w:val="13"/>
                <w:szCs w:val="13"/>
              </w:rPr>
              <w:t>336</w:t>
            </w:r>
          </w:p>
        </w:tc>
        <w:tc>
          <w:tcPr>
            <w:tcW w:w="2835" w:type="dxa"/>
            <w:tcBorders>
              <w:top w:val="nil"/>
              <w:left w:val="single" w:sz="8" w:space="0" w:color="0077BD"/>
              <w:bottom w:val="single" w:sz="4" w:space="0" w:color="0077BD"/>
              <w:right w:val="nil"/>
            </w:tcBorders>
            <w:shd w:val="clear" w:color="auto" w:fill="auto"/>
            <w:vAlign w:val="center"/>
            <w:hideMark/>
          </w:tcPr>
          <w:p w14:paraId="5CD91071" w14:textId="77777777"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176 169</w:t>
            </w:r>
          </w:p>
        </w:tc>
      </w:tr>
      <w:tr w:rsidR="00EB06F8" w:rsidRPr="0068723D" w14:paraId="1088B9F5" w14:textId="77777777" w:rsidTr="00C624E1">
        <w:trPr>
          <w:trHeight w:val="284"/>
        </w:trPr>
        <w:tc>
          <w:tcPr>
            <w:tcW w:w="3856" w:type="dxa"/>
            <w:tcBorders>
              <w:top w:val="nil"/>
              <w:left w:val="nil"/>
              <w:bottom w:val="single" w:sz="4" w:space="0" w:color="0077BD"/>
              <w:right w:val="single" w:sz="8" w:space="0" w:color="0077BD"/>
            </w:tcBorders>
            <w:shd w:val="clear" w:color="auto" w:fill="auto"/>
            <w:vAlign w:val="center"/>
            <w:hideMark/>
          </w:tcPr>
          <w:p w14:paraId="7BAE494D" w14:textId="77777777" w:rsidR="00EB06F8" w:rsidRPr="002A1B2E" w:rsidRDefault="00EB06F8" w:rsidP="00EB06F8">
            <w:pPr>
              <w:jc w:val="center"/>
              <w:rPr>
                <w:rFonts w:cs="Calibri"/>
                <w:color w:val="000000" w:themeColor="text1"/>
                <w:sz w:val="13"/>
                <w:szCs w:val="13"/>
              </w:rPr>
            </w:pPr>
            <w:r w:rsidRPr="002A1B2E">
              <w:rPr>
                <w:rFonts w:cs="Calibri"/>
                <w:color w:val="000000" w:themeColor="text1"/>
                <w:sz w:val="13"/>
                <w:szCs w:val="13"/>
              </w:rPr>
              <w:t>3,0 - 3,8</w:t>
            </w:r>
          </w:p>
        </w:tc>
        <w:tc>
          <w:tcPr>
            <w:tcW w:w="2835" w:type="dxa"/>
            <w:tcBorders>
              <w:top w:val="nil"/>
              <w:left w:val="single" w:sz="8" w:space="0" w:color="0077BD"/>
              <w:bottom w:val="single" w:sz="4" w:space="0" w:color="0077BD"/>
              <w:right w:val="nil"/>
            </w:tcBorders>
            <w:shd w:val="clear" w:color="auto" w:fill="auto"/>
            <w:vAlign w:val="center"/>
          </w:tcPr>
          <w:p w14:paraId="683F135E" w14:textId="2F44D2DC"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138 269</w:t>
            </w:r>
          </w:p>
        </w:tc>
        <w:tc>
          <w:tcPr>
            <w:tcW w:w="2835" w:type="dxa"/>
            <w:tcBorders>
              <w:top w:val="nil"/>
              <w:left w:val="single" w:sz="8" w:space="0" w:color="0077BD"/>
              <w:bottom w:val="single" w:sz="4" w:space="0" w:color="0077BD"/>
              <w:right w:val="nil"/>
            </w:tcBorders>
            <w:shd w:val="clear" w:color="auto" w:fill="auto"/>
            <w:vAlign w:val="center"/>
            <w:hideMark/>
          </w:tcPr>
          <w:p w14:paraId="56D6FBDA" w14:textId="77777777" w:rsidR="00EB06F8" w:rsidRPr="002A1B2E" w:rsidRDefault="00EB06F8" w:rsidP="00EB06F8">
            <w:pPr>
              <w:jc w:val="right"/>
              <w:rPr>
                <w:rFonts w:cs="Calibri"/>
                <w:color w:val="000000" w:themeColor="text1"/>
                <w:sz w:val="13"/>
                <w:szCs w:val="13"/>
              </w:rPr>
            </w:pPr>
            <w:r w:rsidRPr="002A1B2E">
              <w:rPr>
                <w:rFonts w:cs="Calibri"/>
                <w:color w:val="000000" w:themeColor="text1"/>
                <w:sz w:val="13"/>
                <w:szCs w:val="13"/>
              </w:rPr>
              <w:t>47 362</w:t>
            </w:r>
          </w:p>
        </w:tc>
      </w:tr>
      <w:tr w:rsidR="00EB06F8" w:rsidRPr="0068723D" w14:paraId="2D3CA921" w14:textId="77777777" w:rsidTr="00C624E1">
        <w:trPr>
          <w:trHeight w:val="284"/>
        </w:trPr>
        <w:tc>
          <w:tcPr>
            <w:tcW w:w="3856" w:type="dxa"/>
            <w:tcBorders>
              <w:top w:val="single" w:sz="8" w:space="0" w:color="0077BD"/>
              <w:left w:val="nil"/>
              <w:bottom w:val="single" w:sz="8" w:space="0" w:color="0077BD"/>
              <w:right w:val="single" w:sz="8" w:space="0" w:color="0077BD"/>
            </w:tcBorders>
            <w:shd w:val="clear" w:color="auto" w:fill="auto"/>
            <w:vAlign w:val="center"/>
            <w:hideMark/>
          </w:tcPr>
          <w:p w14:paraId="471A7E9F" w14:textId="77777777" w:rsidR="00EB06F8" w:rsidRPr="002A1B2E" w:rsidRDefault="00EB06F8" w:rsidP="00EB06F8">
            <w:pPr>
              <w:rPr>
                <w:rFonts w:cs="Calibri"/>
                <w:b/>
                <w:bCs/>
                <w:color w:val="000000" w:themeColor="text1"/>
                <w:sz w:val="13"/>
                <w:szCs w:val="13"/>
              </w:rPr>
            </w:pPr>
            <w:r w:rsidRPr="002A1B2E">
              <w:rPr>
                <w:rFonts w:cs="Calibri"/>
                <w:b/>
                <w:bCs/>
                <w:color w:val="000000" w:themeColor="text1"/>
                <w:sz w:val="13"/>
                <w:szCs w:val="13"/>
              </w:rPr>
              <w:t>Razem</w:t>
            </w:r>
          </w:p>
        </w:tc>
        <w:tc>
          <w:tcPr>
            <w:tcW w:w="2835" w:type="dxa"/>
            <w:tcBorders>
              <w:top w:val="single" w:sz="8" w:space="0" w:color="0077BD"/>
              <w:left w:val="single" w:sz="8" w:space="0" w:color="0077BD"/>
              <w:bottom w:val="single" w:sz="8" w:space="0" w:color="0077BD"/>
              <w:right w:val="nil"/>
            </w:tcBorders>
            <w:shd w:val="clear" w:color="auto" w:fill="auto"/>
            <w:vAlign w:val="center"/>
            <w:hideMark/>
          </w:tcPr>
          <w:p w14:paraId="5E78868E" w14:textId="3B501C1C" w:rsidR="00EB06F8" w:rsidRPr="002A1B2E" w:rsidRDefault="00EB06F8" w:rsidP="00EB06F8">
            <w:pPr>
              <w:jc w:val="right"/>
              <w:rPr>
                <w:rFonts w:cs="Calibri"/>
                <w:b/>
                <w:bCs/>
                <w:color w:val="000000" w:themeColor="text1"/>
                <w:sz w:val="13"/>
                <w:szCs w:val="13"/>
              </w:rPr>
            </w:pPr>
            <w:r w:rsidRPr="002A1B2E">
              <w:rPr>
                <w:rFonts w:cs="Calibri"/>
                <w:b/>
                <w:bCs/>
                <w:color w:val="000000" w:themeColor="text1"/>
                <w:sz w:val="13"/>
                <w:szCs w:val="13"/>
              </w:rPr>
              <w:t>1 733 569</w:t>
            </w:r>
          </w:p>
        </w:tc>
        <w:tc>
          <w:tcPr>
            <w:tcW w:w="2835" w:type="dxa"/>
            <w:tcBorders>
              <w:top w:val="single" w:sz="8" w:space="0" w:color="0077BD"/>
              <w:left w:val="single" w:sz="8" w:space="0" w:color="0077BD"/>
              <w:bottom w:val="single" w:sz="8" w:space="0" w:color="0077BD"/>
              <w:right w:val="nil"/>
            </w:tcBorders>
            <w:shd w:val="clear" w:color="auto" w:fill="auto"/>
            <w:vAlign w:val="center"/>
            <w:hideMark/>
          </w:tcPr>
          <w:p w14:paraId="50CEEBE6" w14:textId="4E0A0374" w:rsidR="00EB06F8" w:rsidRPr="002A1B2E" w:rsidRDefault="00EB06F8" w:rsidP="00EB06F8">
            <w:pPr>
              <w:jc w:val="right"/>
              <w:rPr>
                <w:rFonts w:cs="Calibri"/>
                <w:b/>
                <w:bCs/>
                <w:color w:val="000000" w:themeColor="text1"/>
                <w:sz w:val="13"/>
                <w:szCs w:val="13"/>
              </w:rPr>
            </w:pPr>
            <w:r w:rsidRPr="002A1B2E">
              <w:rPr>
                <w:rFonts w:cs="Calibri"/>
                <w:b/>
                <w:bCs/>
                <w:color w:val="000000" w:themeColor="text1"/>
                <w:sz w:val="13"/>
                <w:szCs w:val="13"/>
              </w:rPr>
              <w:t>1 085 496</w:t>
            </w:r>
          </w:p>
        </w:tc>
      </w:tr>
    </w:tbl>
    <w:p w14:paraId="05ADA2D2" w14:textId="77777777" w:rsidR="0023102E" w:rsidRDefault="0023102E" w:rsidP="00FB18C2">
      <w:pPr>
        <w:jc w:val="both"/>
        <w:rPr>
          <w:rFonts w:cs="Tahoma"/>
          <w:color w:val="201C17"/>
          <w:sz w:val="18"/>
          <w:szCs w:val="18"/>
        </w:rPr>
      </w:pPr>
    </w:p>
    <w:p w14:paraId="4358151E" w14:textId="77777777" w:rsidR="00685A47" w:rsidRPr="000971E5" w:rsidRDefault="00685A47" w:rsidP="00685A47">
      <w:pPr>
        <w:rPr>
          <w:b/>
          <w:color w:val="E41E0A"/>
          <w:sz w:val="18"/>
          <w:szCs w:val="18"/>
        </w:rPr>
      </w:pPr>
      <w:r w:rsidRPr="000971E5">
        <w:rPr>
          <w:b/>
          <w:color w:val="E41E0A"/>
          <w:sz w:val="18"/>
          <w:szCs w:val="18"/>
        </w:rPr>
        <w:t>Rachunkowość zabezpieczeń</w:t>
      </w:r>
    </w:p>
    <w:p w14:paraId="3166972E" w14:textId="77777777" w:rsidR="00596EBE" w:rsidRPr="00596EBE" w:rsidRDefault="00596EBE" w:rsidP="00596EBE">
      <w:pPr>
        <w:tabs>
          <w:tab w:val="left" w:pos="0"/>
        </w:tabs>
        <w:suppressAutoHyphens/>
        <w:spacing w:before="120"/>
        <w:jc w:val="both"/>
        <w:rPr>
          <w:rFonts w:cs="Tahoma"/>
          <w:bCs/>
          <w:color w:val="000000"/>
          <w:sz w:val="18"/>
          <w:szCs w:val="18"/>
          <w:lang w:eastAsia="en-US"/>
        </w:rPr>
      </w:pPr>
      <w:r w:rsidRPr="00596EBE">
        <w:rPr>
          <w:rFonts w:cs="Tahoma"/>
          <w:bCs/>
          <w:color w:val="000000"/>
          <w:sz w:val="18"/>
          <w:szCs w:val="18"/>
          <w:lang w:eastAsia="en-US"/>
        </w:rPr>
        <w:t>Zgodnie z postanowieniami MSSF 9, Grupa wyłącznie w dniu wdrożenia MSSF 9 miała możliwość podjęcia decyzji stanowiącej element polityki rachunkowości o kontynuowaniu stosowania wymogów rachunkowości zabezpieczeń zgodnie z MSR 39 zamiast wymogów wskazanych w MSSF 9.</w:t>
      </w:r>
    </w:p>
    <w:p w14:paraId="47C29AC0" w14:textId="77777777" w:rsidR="00596EBE" w:rsidRPr="00596EBE" w:rsidRDefault="00596EBE" w:rsidP="00596EBE">
      <w:pPr>
        <w:tabs>
          <w:tab w:val="left" w:pos="0"/>
        </w:tabs>
        <w:suppressAutoHyphens/>
        <w:spacing w:before="120"/>
        <w:jc w:val="both"/>
        <w:rPr>
          <w:rFonts w:cs="Tahoma"/>
          <w:bCs/>
          <w:color w:val="000000"/>
          <w:sz w:val="18"/>
          <w:szCs w:val="18"/>
          <w:lang w:eastAsia="en-US"/>
        </w:rPr>
      </w:pPr>
      <w:r w:rsidRPr="00596EBE">
        <w:rPr>
          <w:rFonts w:cs="Tahoma"/>
          <w:bCs/>
          <w:color w:val="000000"/>
          <w:sz w:val="18"/>
          <w:szCs w:val="18"/>
          <w:lang w:eastAsia="en-US"/>
        </w:rPr>
        <w:t>MSSF 9 wymaga aby Grupa zapewniła spójność stosownych powiązań zabezpieczających ze strategią zarządzania ryzykiem stosowaną przez Grupę oraz jej celami. MSSF 9 wprowadza nowe postanowienia w zakresie, między innymi, oceny efektywności powiązania zabezpieczającego oraz mechanizmu przywracania równowagi powiązania zabezpieczającego (ponownego bilansowania powiązania zabezpieczającego), jak również znosi możliwość zaprzestania stosowania rachunkowości zabezpieczeń w wyniku subiektywnej decyzji Grupy (tzn. przy braku przesłanek do zaprzestania stosowania rachunkowości zabezpieczeń, określonych w Standardzie).</w:t>
      </w:r>
    </w:p>
    <w:p w14:paraId="0FB785D4" w14:textId="77777777" w:rsidR="00596EBE" w:rsidRPr="00596EBE" w:rsidRDefault="00596EBE" w:rsidP="00596EBE">
      <w:pPr>
        <w:tabs>
          <w:tab w:val="left" w:pos="0"/>
        </w:tabs>
        <w:suppressAutoHyphens/>
        <w:spacing w:before="120"/>
        <w:jc w:val="both"/>
        <w:rPr>
          <w:rFonts w:cs="Tahoma"/>
          <w:bCs/>
          <w:color w:val="000000"/>
          <w:sz w:val="18"/>
          <w:szCs w:val="18"/>
          <w:lang w:eastAsia="en-US"/>
        </w:rPr>
      </w:pPr>
      <w:r w:rsidRPr="00596EBE">
        <w:rPr>
          <w:rFonts w:cs="Tahoma"/>
          <w:bCs/>
          <w:color w:val="000000"/>
          <w:sz w:val="18"/>
          <w:szCs w:val="18"/>
          <w:lang w:eastAsia="en-US"/>
        </w:rPr>
        <w:t>Grupa podjęła decyzję o kontunuowaniu od 1 stycznia 2018 roku stosowania wymogów rachunkowości zabezpieczeń zgodnie z MSR 39.</w:t>
      </w:r>
    </w:p>
    <w:p w14:paraId="0E95D3D6" w14:textId="77777777" w:rsidR="00596EBE" w:rsidRPr="00596EBE" w:rsidRDefault="00596EBE" w:rsidP="00596EBE">
      <w:pPr>
        <w:tabs>
          <w:tab w:val="left" w:pos="0"/>
        </w:tabs>
        <w:suppressAutoHyphens/>
        <w:spacing w:before="72" w:after="72"/>
        <w:jc w:val="both"/>
        <w:rPr>
          <w:rFonts w:cs="Tahoma"/>
          <w:bCs/>
          <w:color w:val="000000"/>
          <w:sz w:val="18"/>
          <w:szCs w:val="18"/>
          <w:lang w:eastAsia="en-US"/>
        </w:rPr>
      </w:pPr>
      <w:r w:rsidRPr="00596EBE">
        <w:rPr>
          <w:rFonts w:cs="Tahoma"/>
          <w:bCs/>
          <w:color w:val="000000"/>
          <w:sz w:val="18"/>
          <w:szCs w:val="18"/>
          <w:lang w:eastAsia="en-US"/>
        </w:rPr>
        <w:t xml:space="preserve">Grupa wyznacza wskaźnik zabezpieczenia na podstawie wartości nominalnych pozycji zabezpieczanej i instrumentu zabezpieczającego i wynosi on 1:1 (za wyjątkiem listów zastawnych wyemitowanych przez mBank Hipoteczny na poziomie relacji zabezpieczającej Grupy mBanku, dla której wskaźnik zabezpieczenia został wyznaczony na bazie miary wrażliwości stopy procentowej). </w:t>
      </w:r>
    </w:p>
    <w:p w14:paraId="24EC669A" w14:textId="77B84357" w:rsidR="00596EBE" w:rsidRPr="00596EBE" w:rsidRDefault="00596EBE" w:rsidP="00596EBE">
      <w:pPr>
        <w:tabs>
          <w:tab w:val="left" w:pos="0"/>
        </w:tabs>
        <w:suppressAutoHyphens/>
        <w:spacing w:before="72" w:after="72"/>
        <w:jc w:val="both"/>
        <w:rPr>
          <w:rFonts w:cs="Tahoma"/>
          <w:bCs/>
          <w:color w:val="000000"/>
          <w:sz w:val="18"/>
          <w:szCs w:val="18"/>
          <w:lang w:eastAsia="en-US"/>
        </w:rPr>
      </w:pPr>
      <w:r w:rsidRPr="00596EBE">
        <w:rPr>
          <w:rFonts w:cs="Tahoma"/>
          <w:bCs/>
          <w:color w:val="000000"/>
          <w:sz w:val="18"/>
          <w:szCs w:val="18"/>
          <w:lang w:eastAsia="en-US"/>
        </w:rPr>
        <w:t>Źródła nieefektywności dla powiązań zabezpieczających, dla których nieefektywność się pojawia, to</w:t>
      </w:r>
      <w:r>
        <w:rPr>
          <w:rFonts w:cs="Tahoma"/>
          <w:bCs/>
          <w:color w:val="000000"/>
          <w:sz w:val="18"/>
          <w:szCs w:val="18"/>
          <w:lang w:eastAsia="en-US"/>
        </w:rPr>
        <w:t> </w:t>
      </w:r>
      <w:r w:rsidRPr="00596EBE">
        <w:rPr>
          <w:rFonts w:cs="Tahoma"/>
          <w:bCs/>
          <w:color w:val="000000"/>
          <w:sz w:val="18"/>
          <w:szCs w:val="18"/>
          <w:lang w:eastAsia="en-US"/>
        </w:rPr>
        <w:t>niedopasowanie terminów przepływów pieniężnych oraz terminów przeszacowania, niedopasowanie bazy (np. inny WIBOR), niedopasowanie nominałów w przypadku, gdy wskaźnik zabezpieczenia jest inny niż 1:1, niedopasowanie z tytułu korekty CVA/DVA, która jest uwzględniona w wycenie instrumentu zabezpieczającego, a nie ma jej w wycenie pozycji zabezpieczanej oraz niedopasowanie z tytułu początkowej wyceny instrumentów pochodnych, jeśli do relacji zabezpieczającej został wzięty instrument pochodny zawarty przed ustanowieniem relacji.</w:t>
      </w:r>
    </w:p>
    <w:p w14:paraId="24EC7030" w14:textId="77777777" w:rsidR="00B005E4" w:rsidRDefault="00B005E4">
      <w:pPr>
        <w:rPr>
          <w:rFonts w:cs="Tahoma"/>
          <w:bCs/>
          <w:color w:val="000000" w:themeColor="text1"/>
          <w:sz w:val="18"/>
          <w:szCs w:val="18"/>
          <w:lang w:eastAsia="en-US"/>
        </w:rPr>
      </w:pPr>
      <w:r>
        <w:rPr>
          <w:rFonts w:cs="Tahoma"/>
          <w:bCs/>
          <w:color w:val="000000" w:themeColor="text1"/>
          <w:sz w:val="18"/>
          <w:szCs w:val="18"/>
        </w:rPr>
        <w:br w:type="page"/>
      </w:r>
    </w:p>
    <w:p w14:paraId="1F8A6036" w14:textId="77777777" w:rsidR="007642EA" w:rsidRPr="0068723D" w:rsidRDefault="007642EA" w:rsidP="009C402F">
      <w:pPr>
        <w:tabs>
          <w:tab w:val="left" w:pos="0"/>
        </w:tabs>
        <w:suppressAutoHyphens/>
        <w:spacing w:before="120" w:after="120"/>
        <w:jc w:val="both"/>
        <w:rPr>
          <w:rFonts w:cs="Tahoma"/>
          <w:b/>
          <w:bCs/>
          <w:i/>
          <w:color w:val="000000" w:themeColor="text1"/>
          <w:sz w:val="18"/>
          <w:szCs w:val="18"/>
          <w:lang w:eastAsia="en-US"/>
        </w:rPr>
      </w:pPr>
      <w:r w:rsidRPr="0068723D">
        <w:rPr>
          <w:rFonts w:cs="Tahoma"/>
          <w:b/>
          <w:bCs/>
          <w:i/>
          <w:color w:val="000000" w:themeColor="text1"/>
          <w:sz w:val="18"/>
          <w:szCs w:val="18"/>
          <w:lang w:eastAsia="en-US"/>
        </w:rPr>
        <w:lastRenderedPageBreak/>
        <w:t>Rachunkowość zabezpieczeń wartości godziwej</w:t>
      </w:r>
    </w:p>
    <w:p w14:paraId="7B41DB9A" w14:textId="77777777" w:rsidR="007A72B1" w:rsidRPr="0068723D" w:rsidRDefault="007A72B1" w:rsidP="007A72B1">
      <w:pPr>
        <w:tabs>
          <w:tab w:val="left" w:pos="0"/>
        </w:tabs>
        <w:suppressAutoHyphens/>
        <w:spacing w:before="120"/>
        <w:jc w:val="both"/>
        <w:rPr>
          <w:rFonts w:cs="Tahoma"/>
          <w:bCs/>
          <w:color w:val="000000" w:themeColor="text1"/>
          <w:sz w:val="18"/>
          <w:szCs w:val="18"/>
          <w:lang w:eastAsia="en-US"/>
        </w:rPr>
      </w:pPr>
      <w:r w:rsidRPr="0068723D">
        <w:rPr>
          <w:rFonts w:cs="Tahoma"/>
          <w:bCs/>
          <w:color w:val="000000" w:themeColor="text1"/>
          <w:sz w:val="18"/>
          <w:szCs w:val="18"/>
          <w:lang w:eastAsia="en-US"/>
        </w:rPr>
        <w:t>Grupa stosuje rachunkowość zabezpieczeń wartości godziwej, w ramach której jedynym rodzajem zabezpieczanego ryzyka jest ryzyko zmiany stóp procentowych.</w:t>
      </w:r>
    </w:p>
    <w:p w14:paraId="16145492" w14:textId="265CEB1C" w:rsidR="007642EA" w:rsidRPr="0068723D" w:rsidRDefault="007A72B1" w:rsidP="007A72B1">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Na koniec każdego miesiąca Grupa dokonuje oceny efektywności stosowanego zabezpieczenia analizując zmiany wartości godziwej instrumentu zabezpieczanego oraz instrumentu zabezpieczającego z tytułu zabezpieczanego ryzyka w celu potwierdzenia, że relacje zabezpieczające są efektywne zgodnie z polityką ra</w:t>
      </w:r>
      <w:r w:rsidR="003E6DC4">
        <w:rPr>
          <w:rFonts w:ascii="Verdana" w:hAnsi="Verdana" w:cs="Tahoma"/>
          <w:bCs/>
          <w:color w:val="000000" w:themeColor="text1"/>
          <w:sz w:val="18"/>
          <w:szCs w:val="18"/>
          <w:lang w:val="pl-PL"/>
        </w:rPr>
        <w:t>chunkowości opisaną w Nocie 2.13</w:t>
      </w:r>
      <w:r w:rsidR="007642EA" w:rsidRPr="0068723D">
        <w:rPr>
          <w:rFonts w:ascii="Verdana" w:hAnsi="Verdana" w:cs="Tahoma"/>
          <w:bCs/>
          <w:color w:val="000000" w:themeColor="text1"/>
          <w:sz w:val="18"/>
          <w:szCs w:val="18"/>
          <w:lang w:val="pl-PL"/>
        </w:rPr>
        <w:t>.</w:t>
      </w:r>
    </w:p>
    <w:p w14:paraId="24FD331E" w14:textId="1B5C9AF1" w:rsidR="007642EA" w:rsidRPr="0068723D" w:rsidRDefault="007642EA" w:rsidP="007642EA">
      <w:pPr>
        <w:pStyle w:val="DefaultText"/>
        <w:tabs>
          <w:tab w:val="left" w:pos="0"/>
        </w:tabs>
        <w:suppressAutoHyphens/>
        <w:spacing w:before="120" w:after="0"/>
        <w:rPr>
          <w:rFonts w:ascii="Verdana" w:hAnsi="Verdana" w:cs="Tahoma"/>
          <w:bCs/>
          <w:color w:val="000000" w:themeColor="text1"/>
          <w:sz w:val="18"/>
          <w:szCs w:val="18"/>
          <w:u w:val="single"/>
          <w:lang w:val="pl-PL"/>
        </w:rPr>
      </w:pPr>
      <w:r w:rsidRPr="0068723D">
        <w:rPr>
          <w:rFonts w:ascii="Verdana" w:hAnsi="Verdana" w:cs="Tahoma"/>
          <w:bCs/>
          <w:color w:val="000000" w:themeColor="text1"/>
          <w:sz w:val="18"/>
          <w:szCs w:val="18"/>
          <w:u w:val="single"/>
          <w:lang w:val="pl-PL"/>
        </w:rPr>
        <w:t>Opis relacji zabezpieczającej</w:t>
      </w:r>
    </w:p>
    <w:p w14:paraId="03F75B60" w14:textId="77777777" w:rsidR="007A72B1" w:rsidRPr="0068723D" w:rsidRDefault="007A72B1" w:rsidP="007A72B1">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Grupa zabezpiecza ryzyko zmiany wartości godziwej:</w:t>
      </w:r>
    </w:p>
    <w:p w14:paraId="43791E4F" w14:textId="77777777" w:rsidR="007A72B1" w:rsidRPr="0068723D" w:rsidRDefault="007A72B1" w:rsidP="00526DF1">
      <w:pPr>
        <w:pStyle w:val="DefaultText"/>
        <w:numPr>
          <w:ilvl w:val="0"/>
          <w:numId w:val="22"/>
        </w:numPr>
        <w:tabs>
          <w:tab w:val="left" w:pos="0"/>
        </w:tabs>
        <w:suppressAutoHyphens/>
        <w:spacing w:before="0" w:after="0"/>
        <w:ind w:left="714" w:hanging="357"/>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euroobligacji o stałym oprocentowaniu, wyemitowanych przez mFinance France (mFF), podmiot zależny od mBanku. Zabezpieczane ryzyko wynika ze zmian stóp procentowych,</w:t>
      </w:r>
    </w:p>
    <w:p w14:paraId="188C8B87" w14:textId="77777777" w:rsidR="007A72B1" w:rsidRPr="0068723D" w:rsidRDefault="007A72B1" w:rsidP="00526DF1">
      <w:pPr>
        <w:pStyle w:val="Akapitzlist"/>
        <w:numPr>
          <w:ilvl w:val="0"/>
          <w:numId w:val="22"/>
        </w:numPr>
        <w:jc w:val="both"/>
        <w:rPr>
          <w:rFonts w:cs="Tahoma"/>
          <w:bCs/>
          <w:color w:val="000000" w:themeColor="text1"/>
          <w:sz w:val="18"/>
          <w:szCs w:val="18"/>
          <w:lang w:eastAsia="en-US"/>
        </w:rPr>
      </w:pPr>
      <w:r w:rsidRPr="0068723D">
        <w:rPr>
          <w:rFonts w:cs="Tahoma"/>
          <w:bCs/>
          <w:color w:val="000000" w:themeColor="text1"/>
          <w:sz w:val="18"/>
          <w:szCs w:val="18"/>
          <w:lang w:eastAsia="en-US"/>
        </w:rPr>
        <w:t xml:space="preserve">listów zastawnych wyemitowanych przez mBank Hipoteczny (mBH), podmiot zależny od mBanku. </w:t>
      </w:r>
      <w:r w:rsidRPr="0068723D">
        <w:rPr>
          <w:rFonts w:cs="Tahoma"/>
          <w:bCs/>
          <w:color w:val="000000" w:themeColor="text1"/>
          <w:sz w:val="18"/>
          <w:szCs w:val="18"/>
        </w:rPr>
        <w:t>Zabezpieczane ryzyko wynika ze zmian stóp procentowych</w:t>
      </w:r>
      <w:r w:rsidRPr="0068723D">
        <w:rPr>
          <w:rFonts w:cs="Tahoma"/>
          <w:bCs/>
          <w:color w:val="000000" w:themeColor="text1"/>
          <w:sz w:val="18"/>
          <w:szCs w:val="18"/>
          <w:lang w:eastAsia="en-US"/>
        </w:rPr>
        <w:t>,</w:t>
      </w:r>
    </w:p>
    <w:p w14:paraId="62D170D0" w14:textId="77777777" w:rsidR="007A72B1" w:rsidRPr="0068723D" w:rsidRDefault="007A72B1" w:rsidP="00526DF1">
      <w:pPr>
        <w:pStyle w:val="Akapitzlist"/>
        <w:numPr>
          <w:ilvl w:val="0"/>
          <w:numId w:val="22"/>
        </w:numPr>
        <w:jc w:val="both"/>
        <w:rPr>
          <w:rFonts w:cs="Tahoma"/>
          <w:bCs/>
          <w:color w:val="000000" w:themeColor="text1"/>
          <w:sz w:val="18"/>
          <w:szCs w:val="18"/>
          <w:lang w:eastAsia="en-US"/>
        </w:rPr>
      </w:pPr>
      <w:r w:rsidRPr="0068723D">
        <w:rPr>
          <w:rFonts w:cs="Tahoma"/>
          <w:bCs/>
          <w:color w:val="000000" w:themeColor="text1"/>
          <w:sz w:val="18"/>
          <w:szCs w:val="18"/>
          <w:lang w:eastAsia="en-US"/>
        </w:rPr>
        <w:t xml:space="preserve">kredytów otrzymanych przez mBank z Europejskiego Banku Inwestycyjnego. </w:t>
      </w:r>
      <w:r w:rsidRPr="0068723D">
        <w:rPr>
          <w:rFonts w:cs="Tahoma"/>
          <w:bCs/>
          <w:color w:val="000000" w:themeColor="text1"/>
          <w:sz w:val="18"/>
          <w:szCs w:val="18"/>
        </w:rPr>
        <w:t>Zabezpieczane ryzyko wynika ze zmian stóp procentowych</w:t>
      </w:r>
      <w:r w:rsidRPr="0068723D">
        <w:rPr>
          <w:rFonts w:cs="Tahoma"/>
          <w:bCs/>
          <w:color w:val="000000" w:themeColor="text1"/>
          <w:sz w:val="18"/>
          <w:szCs w:val="18"/>
          <w:lang w:eastAsia="en-US"/>
        </w:rPr>
        <w:t>,</w:t>
      </w:r>
    </w:p>
    <w:p w14:paraId="17E1D34D" w14:textId="5A78275B" w:rsidR="007A72B1" w:rsidRDefault="007A72B1" w:rsidP="00526DF1">
      <w:pPr>
        <w:pStyle w:val="Akapitzlist"/>
        <w:numPr>
          <w:ilvl w:val="0"/>
          <w:numId w:val="22"/>
        </w:numPr>
        <w:jc w:val="both"/>
        <w:rPr>
          <w:rFonts w:cs="Tahoma"/>
          <w:bCs/>
          <w:color w:val="000000" w:themeColor="text1"/>
          <w:sz w:val="18"/>
          <w:szCs w:val="18"/>
          <w:lang w:eastAsia="en-US"/>
        </w:rPr>
      </w:pPr>
      <w:r w:rsidRPr="0068723D">
        <w:rPr>
          <w:rFonts w:cs="Tahoma"/>
          <w:bCs/>
          <w:color w:val="000000" w:themeColor="text1"/>
          <w:sz w:val="18"/>
          <w:szCs w:val="18"/>
          <w:lang w:eastAsia="en-US"/>
        </w:rPr>
        <w:t xml:space="preserve">obligacji o stałym oprocentowaniu, wyemitowanych przez mBank. </w:t>
      </w:r>
      <w:r w:rsidRPr="0068723D">
        <w:rPr>
          <w:rFonts w:cs="Tahoma"/>
          <w:bCs/>
          <w:color w:val="000000" w:themeColor="text1"/>
          <w:sz w:val="18"/>
          <w:szCs w:val="18"/>
        </w:rPr>
        <w:t>Zabezpieczane ryzyko wy</w:t>
      </w:r>
      <w:r w:rsidR="00596EBE">
        <w:rPr>
          <w:rFonts w:cs="Tahoma"/>
          <w:bCs/>
          <w:color w:val="000000" w:themeColor="text1"/>
          <w:sz w:val="18"/>
          <w:szCs w:val="18"/>
        </w:rPr>
        <w:t>nika ze zmian stóp procentowych,</w:t>
      </w:r>
    </w:p>
    <w:p w14:paraId="4E8AAE57" w14:textId="03B742FB" w:rsidR="00596EBE" w:rsidRPr="0068723D" w:rsidRDefault="00596EBE" w:rsidP="00596EBE">
      <w:pPr>
        <w:pStyle w:val="Akapitzlist"/>
        <w:numPr>
          <w:ilvl w:val="0"/>
          <w:numId w:val="22"/>
        </w:numPr>
        <w:jc w:val="both"/>
        <w:rPr>
          <w:rFonts w:cs="Tahoma"/>
          <w:bCs/>
          <w:color w:val="000000" w:themeColor="text1"/>
          <w:sz w:val="18"/>
          <w:szCs w:val="18"/>
          <w:lang w:eastAsia="en-US"/>
        </w:rPr>
      </w:pPr>
      <w:r w:rsidRPr="00596EBE">
        <w:rPr>
          <w:rFonts w:cs="Tahoma"/>
          <w:bCs/>
          <w:color w:val="000000" w:themeColor="text1"/>
          <w:sz w:val="18"/>
          <w:szCs w:val="18"/>
          <w:lang w:eastAsia="en-US"/>
        </w:rPr>
        <w:t>części portfela kredytów hipotecznych na stałą stopę procentową udzielonych przez oddział zagraniczny mBanku w Czechach. Zabezpieczane ryzyko wynika ze zmian stóp procentowych</w:t>
      </w:r>
      <w:r>
        <w:rPr>
          <w:rFonts w:cs="Tahoma"/>
          <w:bCs/>
          <w:color w:val="000000" w:themeColor="text1"/>
          <w:sz w:val="18"/>
          <w:szCs w:val="18"/>
          <w:lang w:eastAsia="en-US"/>
        </w:rPr>
        <w:t>.</w:t>
      </w:r>
    </w:p>
    <w:p w14:paraId="4D73EE7D" w14:textId="77777777" w:rsidR="007A72B1" w:rsidRPr="0068723D" w:rsidRDefault="007A72B1" w:rsidP="007A72B1">
      <w:pPr>
        <w:pStyle w:val="DefaultText"/>
        <w:tabs>
          <w:tab w:val="left" w:pos="0"/>
        </w:tabs>
        <w:suppressAutoHyphens/>
        <w:spacing w:before="240" w:after="0"/>
        <w:rPr>
          <w:rFonts w:ascii="Verdana" w:hAnsi="Verdana" w:cs="Tahoma"/>
          <w:bCs/>
          <w:color w:val="000000" w:themeColor="text1"/>
          <w:sz w:val="18"/>
          <w:szCs w:val="18"/>
          <w:u w:val="single"/>
          <w:lang w:val="pl-PL"/>
        </w:rPr>
      </w:pPr>
      <w:r w:rsidRPr="0068723D">
        <w:rPr>
          <w:rFonts w:ascii="Verdana" w:hAnsi="Verdana" w:cs="Tahoma"/>
          <w:bCs/>
          <w:color w:val="000000" w:themeColor="text1"/>
          <w:sz w:val="18"/>
          <w:szCs w:val="18"/>
          <w:u w:val="single"/>
          <w:lang w:val="pl-PL"/>
        </w:rPr>
        <w:t>Pozycje zabezpieczane</w:t>
      </w:r>
    </w:p>
    <w:p w14:paraId="7391101E" w14:textId="77777777" w:rsidR="007A72B1" w:rsidRPr="0068723D" w:rsidRDefault="007A72B1" w:rsidP="007A72B1">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Pozycjami zabezpieczanymi są:</w:t>
      </w:r>
    </w:p>
    <w:p w14:paraId="1F243F85" w14:textId="77777777" w:rsidR="007A72B1" w:rsidRPr="0068723D" w:rsidRDefault="007A72B1" w:rsidP="00526DF1">
      <w:pPr>
        <w:pStyle w:val="DefaultText"/>
        <w:numPr>
          <w:ilvl w:val="0"/>
          <w:numId w:val="23"/>
        </w:numPr>
        <w:tabs>
          <w:tab w:val="left" w:pos="0"/>
        </w:tabs>
        <w:suppressAutoHyphens/>
        <w:spacing w:before="0" w:after="0"/>
        <w:ind w:left="714" w:hanging="357"/>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dwie transze euroobligacji wyemitowanych przez mFF o wartości nominalnej 1 000 000 tys. EUR, o stałym oprocentowaniu,</w:t>
      </w:r>
    </w:p>
    <w:p w14:paraId="4CA58517" w14:textId="77777777" w:rsidR="007A72B1" w:rsidRPr="0068723D" w:rsidRDefault="007A72B1" w:rsidP="00526DF1">
      <w:pPr>
        <w:pStyle w:val="DefaultText"/>
        <w:numPr>
          <w:ilvl w:val="0"/>
          <w:numId w:val="23"/>
        </w:numPr>
        <w:tabs>
          <w:tab w:val="left" w:pos="0"/>
        </w:tabs>
        <w:suppressAutoHyphens/>
        <w:spacing w:before="0" w:after="0"/>
        <w:ind w:left="714" w:hanging="357"/>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jedna transza euroobligacji wyemitowanych przez mFF o wartości nominalnej 200 000 tys. CHF, o stałym oprocentowaniu,</w:t>
      </w:r>
    </w:p>
    <w:p w14:paraId="04EFB0E8" w14:textId="77777777" w:rsidR="007A72B1" w:rsidRPr="008A02CD" w:rsidRDefault="007A72B1" w:rsidP="00526DF1">
      <w:pPr>
        <w:pStyle w:val="DefaultText"/>
        <w:numPr>
          <w:ilvl w:val="0"/>
          <w:numId w:val="23"/>
        </w:numPr>
        <w:tabs>
          <w:tab w:val="left" w:pos="0"/>
        </w:tabs>
        <w:suppressAutoHyphens/>
        <w:spacing w:before="0" w:after="0"/>
        <w:ind w:left="714" w:hanging="357"/>
        <w:rPr>
          <w:rFonts w:ascii="Verdana" w:hAnsi="Verdana" w:cs="Tahoma"/>
          <w:bCs/>
          <w:color w:val="000000" w:themeColor="text1"/>
          <w:sz w:val="18"/>
          <w:szCs w:val="18"/>
          <w:u w:val="single"/>
          <w:lang w:val="pl-PL"/>
        </w:rPr>
      </w:pPr>
      <w:r w:rsidRPr="008A02CD">
        <w:rPr>
          <w:rFonts w:ascii="Verdana" w:hAnsi="Verdana" w:cs="Tahoma"/>
          <w:bCs/>
          <w:color w:val="000000" w:themeColor="text1"/>
          <w:sz w:val="18"/>
          <w:szCs w:val="18"/>
          <w:lang w:val="pl-PL"/>
        </w:rPr>
        <w:t>listy zastawne wyemitowane przez mBH o wartości nominalnej 576 900 tys. EUR, o stałym oprocentowaniu,</w:t>
      </w:r>
    </w:p>
    <w:p w14:paraId="7A6256D2" w14:textId="77777777" w:rsidR="007A72B1" w:rsidRPr="0068723D" w:rsidRDefault="007A72B1" w:rsidP="00526DF1">
      <w:pPr>
        <w:pStyle w:val="DefaultText"/>
        <w:numPr>
          <w:ilvl w:val="0"/>
          <w:numId w:val="23"/>
        </w:numPr>
        <w:tabs>
          <w:tab w:val="left" w:pos="0"/>
        </w:tabs>
        <w:suppressAutoHyphens/>
        <w:spacing w:before="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kredyty otrzymane przez mBank z Europejskiego Banku Inwestycyjnego o wartości nominalnej odpowiednio 100 000 tys. EUR, 113 110 tys. CHF, 175 560 tys. CHF i 138 388 tys. CHF, o stałym oprocentowaniu,</w:t>
      </w:r>
    </w:p>
    <w:p w14:paraId="29A9AC61" w14:textId="5E72A6C0" w:rsidR="007A72B1" w:rsidRPr="0068723D" w:rsidRDefault="007A72B1" w:rsidP="00526DF1">
      <w:pPr>
        <w:pStyle w:val="DefaultText"/>
        <w:numPr>
          <w:ilvl w:val="0"/>
          <w:numId w:val="23"/>
        </w:numPr>
        <w:tabs>
          <w:tab w:val="left" w:pos="0"/>
        </w:tabs>
        <w:suppressAutoHyphens/>
        <w:spacing w:before="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obligacje wyemitowane przez mBank S.A. o wartości nominalnej 305 000 tys. CHF, o stałym oprocentowaniu,</w:t>
      </w:r>
    </w:p>
    <w:p w14:paraId="76191299" w14:textId="272E3204" w:rsidR="007642EA" w:rsidRDefault="007A72B1" w:rsidP="00526DF1">
      <w:pPr>
        <w:pStyle w:val="DefaultText"/>
        <w:numPr>
          <w:ilvl w:val="0"/>
          <w:numId w:val="23"/>
        </w:numPr>
        <w:tabs>
          <w:tab w:val="left" w:pos="0"/>
        </w:tabs>
        <w:suppressAutoHyphens/>
        <w:spacing w:before="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obligacje wyemitowane przez mBank S.A. o wartości nominalnej 500 000 ty</w:t>
      </w:r>
      <w:r w:rsidR="00E22F0B">
        <w:rPr>
          <w:rFonts w:ascii="Verdana" w:hAnsi="Verdana" w:cs="Tahoma"/>
          <w:bCs/>
          <w:color w:val="000000" w:themeColor="text1"/>
          <w:sz w:val="18"/>
          <w:szCs w:val="18"/>
          <w:lang w:val="pl-PL"/>
        </w:rPr>
        <w:t>s. EUR, o stałym oprocentowaniu,</w:t>
      </w:r>
    </w:p>
    <w:p w14:paraId="32417D86" w14:textId="7AAF8167" w:rsidR="00E22F0B" w:rsidRPr="0068723D" w:rsidRDefault="00E22F0B" w:rsidP="00E22F0B">
      <w:pPr>
        <w:pStyle w:val="DefaultText"/>
        <w:numPr>
          <w:ilvl w:val="0"/>
          <w:numId w:val="23"/>
        </w:numPr>
        <w:tabs>
          <w:tab w:val="left" w:pos="0"/>
        </w:tabs>
        <w:suppressAutoHyphens/>
        <w:spacing w:before="0" w:after="0"/>
        <w:rPr>
          <w:rFonts w:ascii="Verdana" w:hAnsi="Verdana" w:cs="Tahoma"/>
          <w:bCs/>
          <w:color w:val="000000" w:themeColor="text1"/>
          <w:sz w:val="18"/>
          <w:szCs w:val="18"/>
          <w:lang w:val="pl-PL"/>
        </w:rPr>
      </w:pPr>
      <w:r w:rsidRPr="00E22F0B">
        <w:rPr>
          <w:rFonts w:ascii="Verdana" w:hAnsi="Verdana" w:cs="Tahoma"/>
          <w:bCs/>
          <w:color w:val="000000" w:themeColor="text1"/>
          <w:sz w:val="18"/>
          <w:szCs w:val="18"/>
          <w:lang w:val="pl-PL"/>
        </w:rPr>
        <w:t>część portfela kredytów hipotecznych na stałą stopę procentową, denominowanych w CZK, udzielonych przez oddział zagraniczny mBanku w Czechach</w:t>
      </w:r>
      <w:r w:rsidR="002C476A">
        <w:rPr>
          <w:rFonts w:ascii="Verdana" w:hAnsi="Verdana" w:cs="Tahoma"/>
          <w:bCs/>
          <w:color w:val="000000" w:themeColor="text1"/>
          <w:sz w:val="18"/>
          <w:szCs w:val="18"/>
          <w:lang w:val="pl-PL"/>
        </w:rPr>
        <w:t>.</w:t>
      </w:r>
    </w:p>
    <w:p w14:paraId="2A88C4E7" w14:textId="77777777" w:rsidR="007642EA" w:rsidRPr="0068723D" w:rsidRDefault="007642EA" w:rsidP="007642EA">
      <w:pPr>
        <w:pStyle w:val="DefaultText"/>
        <w:tabs>
          <w:tab w:val="left" w:pos="0"/>
        </w:tabs>
        <w:suppressAutoHyphens/>
        <w:spacing w:before="0" w:after="0"/>
        <w:rPr>
          <w:rFonts w:ascii="Verdana" w:hAnsi="Verdana" w:cs="Tahoma"/>
          <w:bCs/>
          <w:color w:val="000000" w:themeColor="text1"/>
          <w:sz w:val="18"/>
          <w:szCs w:val="18"/>
          <w:u w:val="single"/>
          <w:lang w:val="pl-PL"/>
        </w:rPr>
      </w:pPr>
    </w:p>
    <w:p w14:paraId="5BF69521" w14:textId="77777777" w:rsidR="007642EA" w:rsidRPr="0068723D" w:rsidRDefault="007642EA" w:rsidP="007642EA">
      <w:pPr>
        <w:pStyle w:val="DefaultText"/>
        <w:tabs>
          <w:tab w:val="left" w:pos="0"/>
        </w:tabs>
        <w:suppressAutoHyphens/>
        <w:spacing w:before="0" w:after="0"/>
        <w:rPr>
          <w:rFonts w:ascii="Verdana" w:hAnsi="Verdana" w:cs="Tahoma"/>
          <w:bCs/>
          <w:color w:val="000000" w:themeColor="text1"/>
          <w:sz w:val="18"/>
          <w:szCs w:val="18"/>
          <w:u w:val="single"/>
          <w:lang w:val="pl-PL"/>
        </w:rPr>
      </w:pPr>
      <w:r w:rsidRPr="0068723D">
        <w:rPr>
          <w:rFonts w:ascii="Verdana" w:hAnsi="Verdana" w:cs="Tahoma"/>
          <w:bCs/>
          <w:color w:val="000000" w:themeColor="text1"/>
          <w:sz w:val="18"/>
          <w:szCs w:val="18"/>
          <w:u w:val="single"/>
          <w:lang w:val="pl-PL"/>
        </w:rPr>
        <w:t>Instrumenty zabezpieczające</w:t>
      </w:r>
    </w:p>
    <w:p w14:paraId="1DC3EA35" w14:textId="5FE03D23" w:rsidR="007642EA" w:rsidRDefault="007642EA" w:rsidP="007642EA">
      <w:pPr>
        <w:pStyle w:val="DefaultText"/>
        <w:tabs>
          <w:tab w:val="left" w:pos="0"/>
        </w:tabs>
        <w:suppressAutoHyphens/>
        <w:spacing w:before="120" w:after="0"/>
        <w:rPr>
          <w:rFonts w:ascii="Verdana" w:hAnsi="Verdana" w:cs="Tahoma"/>
          <w:bCs/>
          <w:color w:val="000000" w:themeColor="text1"/>
          <w:sz w:val="18"/>
          <w:szCs w:val="18"/>
          <w:lang w:val="pl-PL"/>
        </w:rPr>
      </w:pPr>
      <w:r w:rsidRPr="0068723D">
        <w:rPr>
          <w:rFonts w:ascii="Verdana" w:hAnsi="Verdana" w:cs="Tahoma"/>
          <w:bCs/>
          <w:color w:val="000000" w:themeColor="text1"/>
          <w:sz w:val="18"/>
          <w:szCs w:val="18"/>
          <w:lang w:val="pl-PL"/>
        </w:rPr>
        <w:t>Instrumentami zabezpieczającymi są transakcje Interest Rate Swap, zamieniające stałą stopę procentową na zmienną.</w:t>
      </w:r>
    </w:p>
    <w:p w14:paraId="136AAB71" w14:textId="77777777" w:rsidR="002C476A" w:rsidRPr="002C476A" w:rsidRDefault="002C476A" w:rsidP="002C476A">
      <w:pPr>
        <w:tabs>
          <w:tab w:val="left" w:pos="0"/>
        </w:tabs>
        <w:suppressAutoHyphens/>
        <w:spacing w:before="120"/>
        <w:jc w:val="both"/>
        <w:rPr>
          <w:rFonts w:cs="Tahoma"/>
          <w:bCs/>
          <w:color w:val="000000"/>
          <w:sz w:val="18"/>
          <w:szCs w:val="18"/>
          <w:u w:val="single"/>
          <w:lang w:eastAsia="en-US"/>
        </w:rPr>
      </w:pPr>
      <w:r w:rsidRPr="002C476A">
        <w:rPr>
          <w:rFonts w:cs="Tahoma"/>
          <w:bCs/>
          <w:color w:val="000000"/>
          <w:sz w:val="18"/>
          <w:szCs w:val="18"/>
          <w:u w:val="single"/>
          <w:lang w:eastAsia="en-US"/>
        </w:rPr>
        <w:t>Prezentacja wyniku na transakcjach zabezpieczanych i zabezpieczających</w:t>
      </w:r>
    </w:p>
    <w:p w14:paraId="7E3FBE27" w14:textId="3D698A48" w:rsidR="002C476A" w:rsidRPr="002C476A" w:rsidRDefault="002C476A" w:rsidP="002C476A">
      <w:pPr>
        <w:spacing w:before="120"/>
        <w:jc w:val="both"/>
        <w:rPr>
          <w:rFonts w:cs="Tahoma"/>
          <w:bCs/>
          <w:sz w:val="18"/>
          <w:szCs w:val="18"/>
        </w:rPr>
      </w:pPr>
      <w:r w:rsidRPr="002C476A">
        <w:rPr>
          <w:rFonts w:cs="Tahoma"/>
          <w:bCs/>
          <w:sz w:val="18"/>
          <w:szCs w:val="18"/>
        </w:rPr>
        <w:t xml:space="preserve">Korekta do wartości godziwej zabezpieczanych aktywów i zobowiązań oraz wyceny instrumentów zabezpieczających ujmowana jest w rachunku zysków i strat w wyniku na działalności handlowej </w:t>
      </w:r>
      <w:r w:rsidRPr="002C476A">
        <w:rPr>
          <w:sz w:val="18"/>
          <w:szCs w:val="18"/>
        </w:rPr>
        <w:t>za</w:t>
      </w:r>
      <w:r w:rsidR="00C77EEC">
        <w:rPr>
          <w:sz w:val="18"/>
          <w:szCs w:val="18"/>
        </w:rPr>
        <w:t> </w:t>
      </w:r>
      <w:r w:rsidRPr="002C476A">
        <w:rPr>
          <w:sz w:val="18"/>
          <w:szCs w:val="18"/>
        </w:rPr>
        <w:t xml:space="preserve">wyjątkiem przychodów i kosztów odsetkowych elementu odsetkowego wyceny z tytułu instrumentów zabezpieczających, które prezentowane są w pozycji </w:t>
      </w:r>
      <w:r w:rsidRPr="002C476A">
        <w:rPr>
          <w:rFonts w:cs="Tahoma"/>
          <w:bCs/>
          <w:sz w:val="18"/>
          <w:szCs w:val="18"/>
        </w:rPr>
        <w:t>Przychody/koszty odsetkowe na instrumentach pochodnych w ramach rachunkowości zabezpieczeń</w:t>
      </w:r>
      <w:r w:rsidRPr="002C476A">
        <w:t xml:space="preserve"> </w:t>
      </w:r>
      <w:r w:rsidRPr="002C476A">
        <w:rPr>
          <w:rFonts w:cs="Tahoma"/>
          <w:bCs/>
          <w:sz w:val="18"/>
          <w:szCs w:val="18"/>
        </w:rPr>
        <w:t>wartości godziwej.</w:t>
      </w:r>
    </w:p>
    <w:p w14:paraId="3896521D" w14:textId="090FF083" w:rsidR="002C476A" w:rsidRDefault="002C476A">
      <w:pPr>
        <w:rPr>
          <w:rFonts w:cs="Tahoma"/>
          <w:bCs/>
          <w:color w:val="000000" w:themeColor="text1"/>
          <w:sz w:val="18"/>
          <w:szCs w:val="18"/>
          <w:lang w:eastAsia="en-US"/>
        </w:rPr>
      </w:pPr>
      <w:r>
        <w:rPr>
          <w:rFonts w:cs="Tahoma"/>
          <w:bCs/>
          <w:color w:val="000000" w:themeColor="text1"/>
          <w:sz w:val="18"/>
          <w:szCs w:val="18"/>
        </w:rPr>
        <w:br w:type="page"/>
      </w:r>
    </w:p>
    <w:p w14:paraId="1924D121" w14:textId="7CB890A9" w:rsidR="002C476A" w:rsidRPr="002C476A" w:rsidRDefault="00F12856" w:rsidP="002C476A">
      <w:pPr>
        <w:tabs>
          <w:tab w:val="left" w:pos="0"/>
        </w:tabs>
        <w:suppressAutoHyphens/>
        <w:spacing w:before="120" w:after="120"/>
        <w:jc w:val="both"/>
        <w:rPr>
          <w:rFonts w:cs="Tahoma"/>
          <w:b/>
          <w:bCs/>
          <w:sz w:val="18"/>
          <w:szCs w:val="18"/>
          <w:lang w:eastAsia="en-US"/>
        </w:rPr>
      </w:pPr>
      <w:r>
        <w:rPr>
          <w:rFonts w:cs="Tahoma"/>
          <w:b/>
          <w:bCs/>
          <w:sz w:val="18"/>
          <w:szCs w:val="18"/>
          <w:lang w:eastAsia="en-US"/>
        </w:rPr>
        <w:lastRenderedPageBreak/>
        <w:t>Pozycje zabezpieczane</w:t>
      </w:r>
      <w:r w:rsidR="002C476A" w:rsidRPr="002C476A">
        <w:rPr>
          <w:rFonts w:cs="Tahoma"/>
          <w:b/>
          <w:bCs/>
          <w:sz w:val="18"/>
          <w:szCs w:val="18"/>
          <w:lang w:eastAsia="en-US"/>
        </w:rPr>
        <w:t xml:space="preserve"> - zabezpieczenie wartości godziwej</w:t>
      </w:r>
    </w:p>
    <w:tbl>
      <w:tblPr>
        <w:tblW w:w="0" w:type="auto"/>
        <w:tblCellMar>
          <w:left w:w="28" w:type="dxa"/>
          <w:right w:w="28" w:type="dxa"/>
        </w:tblCellMar>
        <w:tblLook w:val="04A0" w:firstRow="1" w:lastRow="0" w:firstColumn="1" w:lastColumn="0" w:noHBand="0" w:noVBand="1"/>
      </w:tblPr>
      <w:tblGrid>
        <w:gridCol w:w="2360"/>
        <w:gridCol w:w="1418"/>
        <w:gridCol w:w="1418"/>
        <w:gridCol w:w="2967"/>
        <w:gridCol w:w="1418"/>
      </w:tblGrid>
      <w:tr w:rsidR="002C476A" w:rsidRPr="002C476A" w14:paraId="278AD6C4" w14:textId="77777777" w:rsidTr="00AF5F22">
        <w:trPr>
          <w:trHeight w:val="1041"/>
        </w:trPr>
        <w:tc>
          <w:tcPr>
            <w:tcW w:w="0" w:type="auto"/>
            <w:tcBorders>
              <w:top w:val="nil"/>
              <w:left w:val="nil"/>
              <w:right w:val="single" w:sz="6" w:space="0" w:color="FFFFFF" w:themeColor="background1"/>
            </w:tcBorders>
            <w:shd w:val="clear" w:color="000000" w:fill="0077BD"/>
            <w:vAlign w:val="center"/>
            <w:hideMark/>
          </w:tcPr>
          <w:p w14:paraId="6D1C0246" w14:textId="77777777" w:rsidR="002C476A" w:rsidRPr="002C476A" w:rsidRDefault="002C476A" w:rsidP="002C476A">
            <w:pPr>
              <w:rPr>
                <w:rFonts w:cs="Calibri"/>
                <w:b/>
                <w:bCs/>
                <w:color w:val="FFFFFF"/>
                <w:sz w:val="12"/>
                <w:szCs w:val="12"/>
              </w:rPr>
            </w:pPr>
            <w:r w:rsidRPr="002C476A">
              <w:rPr>
                <w:rFonts w:cs="Calibri"/>
                <w:b/>
                <w:bCs/>
                <w:color w:val="FFFFFF"/>
                <w:sz w:val="12"/>
                <w:szCs w:val="12"/>
              </w:rPr>
              <w:t>31.12.2019</w:t>
            </w:r>
          </w:p>
        </w:tc>
        <w:tc>
          <w:tcPr>
            <w:tcW w:w="1418" w:type="dxa"/>
            <w:tcBorders>
              <w:top w:val="nil"/>
              <w:left w:val="single" w:sz="6" w:space="0" w:color="FFFFFF" w:themeColor="background1"/>
              <w:right w:val="single" w:sz="6" w:space="0" w:color="FFFFFF" w:themeColor="background1"/>
            </w:tcBorders>
            <w:shd w:val="clear" w:color="000000" w:fill="0077BD"/>
            <w:vAlign w:val="center"/>
            <w:hideMark/>
          </w:tcPr>
          <w:p w14:paraId="669025B9" w14:textId="77777777" w:rsidR="002C476A" w:rsidRPr="002C476A" w:rsidRDefault="002C476A" w:rsidP="002C476A">
            <w:pPr>
              <w:jc w:val="right"/>
              <w:rPr>
                <w:rFonts w:cs="Calibri"/>
                <w:b/>
                <w:bCs/>
                <w:color w:val="FFFFFF"/>
                <w:sz w:val="12"/>
                <w:szCs w:val="12"/>
              </w:rPr>
            </w:pPr>
            <w:r w:rsidRPr="002C476A">
              <w:rPr>
                <w:rFonts w:cs="Calibri"/>
                <w:b/>
                <w:bCs/>
                <w:color w:val="FFFFFF"/>
                <w:sz w:val="12"/>
                <w:szCs w:val="12"/>
              </w:rPr>
              <w:t>Wartość bilansowa pozycji zabezpieczanych</w:t>
            </w:r>
          </w:p>
        </w:tc>
        <w:tc>
          <w:tcPr>
            <w:tcW w:w="1418" w:type="dxa"/>
            <w:tcBorders>
              <w:top w:val="nil"/>
              <w:left w:val="single" w:sz="6" w:space="0" w:color="FFFFFF" w:themeColor="background1"/>
              <w:right w:val="single" w:sz="6" w:space="0" w:color="FFFFFF" w:themeColor="background1"/>
            </w:tcBorders>
            <w:shd w:val="clear" w:color="000000" w:fill="0077BD"/>
            <w:vAlign w:val="center"/>
            <w:hideMark/>
          </w:tcPr>
          <w:p w14:paraId="4304126F" w14:textId="77777777" w:rsidR="002C476A" w:rsidRPr="002C476A" w:rsidRDefault="002C476A" w:rsidP="002C476A">
            <w:pPr>
              <w:jc w:val="right"/>
              <w:rPr>
                <w:rFonts w:cs="Calibri"/>
                <w:b/>
                <w:bCs/>
                <w:color w:val="FFFFFF"/>
                <w:sz w:val="12"/>
                <w:szCs w:val="12"/>
              </w:rPr>
            </w:pPr>
            <w:r w:rsidRPr="002C476A">
              <w:rPr>
                <w:rFonts w:cs="Calibri"/>
                <w:b/>
                <w:bCs/>
                <w:color w:val="FFFFFF"/>
                <w:sz w:val="12"/>
                <w:szCs w:val="12"/>
              </w:rPr>
              <w:t>Skumulowana kwota korekty zabezpieczenia wartości godziwej pozycji zabezpieczanej zawarta w wartości bilansowej pozycji zabezpieczanej</w:t>
            </w:r>
          </w:p>
        </w:tc>
        <w:tc>
          <w:tcPr>
            <w:tcW w:w="0" w:type="auto"/>
            <w:tcBorders>
              <w:top w:val="nil"/>
              <w:left w:val="single" w:sz="6" w:space="0" w:color="FFFFFF" w:themeColor="background1"/>
              <w:right w:val="single" w:sz="6" w:space="0" w:color="FFFFFF" w:themeColor="background1"/>
            </w:tcBorders>
            <w:shd w:val="clear" w:color="000000" w:fill="0077BD"/>
            <w:vAlign w:val="center"/>
            <w:hideMark/>
          </w:tcPr>
          <w:p w14:paraId="0E43F934" w14:textId="77777777" w:rsidR="002C476A" w:rsidRPr="002C476A" w:rsidRDefault="002C476A" w:rsidP="003F416B">
            <w:pPr>
              <w:jc w:val="center"/>
              <w:rPr>
                <w:rFonts w:cs="Calibri"/>
                <w:b/>
                <w:bCs/>
                <w:color w:val="FFFFFF"/>
                <w:sz w:val="12"/>
                <w:szCs w:val="12"/>
              </w:rPr>
            </w:pPr>
            <w:r w:rsidRPr="002C476A">
              <w:rPr>
                <w:rFonts w:cs="Calibri"/>
                <w:b/>
                <w:bCs/>
                <w:color w:val="FFFFFF"/>
                <w:sz w:val="12"/>
                <w:szCs w:val="12"/>
              </w:rPr>
              <w:t>Pozycja w bilansie która zawiera pozycję zabezpieczaną</w:t>
            </w:r>
          </w:p>
        </w:tc>
        <w:tc>
          <w:tcPr>
            <w:tcW w:w="1418" w:type="dxa"/>
            <w:tcBorders>
              <w:top w:val="nil"/>
              <w:left w:val="single" w:sz="6" w:space="0" w:color="FFFFFF" w:themeColor="background1"/>
              <w:right w:val="nil"/>
            </w:tcBorders>
            <w:shd w:val="clear" w:color="000000" w:fill="0077BD"/>
            <w:vAlign w:val="center"/>
            <w:hideMark/>
          </w:tcPr>
          <w:p w14:paraId="60BC014D" w14:textId="7CD5F5DC" w:rsidR="002C476A" w:rsidRPr="002C476A" w:rsidRDefault="002C476A" w:rsidP="002C476A">
            <w:pPr>
              <w:jc w:val="right"/>
              <w:rPr>
                <w:rFonts w:cs="Calibri"/>
                <w:b/>
                <w:bCs/>
                <w:color w:val="FFFFFF"/>
                <w:sz w:val="12"/>
                <w:szCs w:val="12"/>
              </w:rPr>
            </w:pPr>
            <w:r w:rsidRPr="002C476A">
              <w:rPr>
                <w:rFonts w:cs="Calibri"/>
                <w:b/>
                <w:bCs/>
                <w:color w:val="FFFFFF"/>
                <w:sz w:val="12"/>
                <w:szCs w:val="12"/>
              </w:rPr>
              <w:t xml:space="preserve">Zmiana wartości godziwej pozycji zabezpieczanej stosowanej jako podstawa ujęcia nieefektywności zabezpieczenia </w:t>
            </w:r>
            <w:r w:rsidR="003F416B">
              <w:rPr>
                <w:rFonts w:cs="Calibri"/>
                <w:b/>
                <w:bCs/>
                <w:color w:val="FFFFFF"/>
                <w:sz w:val="12"/>
                <w:szCs w:val="12"/>
              </w:rPr>
              <w:br/>
            </w:r>
            <w:r w:rsidRPr="002C476A">
              <w:rPr>
                <w:rFonts w:cs="Calibri"/>
                <w:b/>
                <w:bCs/>
                <w:color w:val="FFFFFF"/>
                <w:sz w:val="12"/>
                <w:szCs w:val="12"/>
              </w:rPr>
              <w:t>w danym okresie</w:t>
            </w:r>
          </w:p>
        </w:tc>
      </w:tr>
      <w:tr w:rsidR="002C476A" w:rsidRPr="002C476A" w14:paraId="7E221392" w14:textId="77777777" w:rsidTr="00AF5F22">
        <w:trPr>
          <w:trHeight w:val="295"/>
        </w:trPr>
        <w:tc>
          <w:tcPr>
            <w:tcW w:w="0" w:type="auto"/>
            <w:tcBorders>
              <w:top w:val="nil"/>
              <w:left w:val="nil"/>
              <w:bottom w:val="single" w:sz="4" w:space="0" w:color="0077BD"/>
              <w:right w:val="single" w:sz="6" w:space="0" w:color="0077BD"/>
            </w:tcBorders>
            <w:shd w:val="clear" w:color="000000" w:fill="FFFFFF"/>
            <w:vAlign w:val="center"/>
            <w:hideMark/>
          </w:tcPr>
          <w:p w14:paraId="145DF758" w14:textId="51224DA7" w:rsidR="002C476A" w:rsidRPr="002C476A" w:rsidRDefault="002C476A" w:rsidP="002C476A">
            <w:pPr>
              <w:rPr>
                <w:rFonts w:cs="Calibri"/>
                <w:color w:val="000000"/>
                <w:sz w:val="12"/>
                <w:szCs w:val="12"/>
              </w:rPr>
            </w:pPr>
            <w:r w:rsidRPr="002C476A">
              <w:rPr>
                <w:rFonts w:cs="Calibri"/>
                <w:color w:val="000000"/>
                <w:sz w:val="12"/>
                <w:szCs w:val="12"/>
              </w:rPr>
              <w:t xml:space="preserve">Kredyty hipoteczne denominowane </w:t>
            </w:r>
            <w:r w:rsidR="003F416B">
              <w:rPr>
                <w:rFonts w:cs="Calibri"/>
                <w:color w:val="000000"/>
                <w:sz w:val="12"/>
                <w:szCs w:val="12"/>
              </w:rPr>
              <w:br/>
            </w:r>
            <w:r w:rsidRPr="002C476A">
              <w:rPr>
                <w:rFonts w:cs="Calibri"/>
                <w:color w:val="000000"/>
                <w:sz w:val="12"/>
                <w:szCs w:val="12"/>
              </w:rPr>
              <w:t>w CZK na stałą stopę procentową</w:t>
            </w:r>
          </w:p>
        </w:tc>
        <w:tc>
          <w:tcPr>
            <w:tcW w:w="1418" w:type="dxa"/>
            <w:tcBorders>
              <w:top w:val="nil"/>
              <w:left w:val="single" w:sz="6" w:space="0" w:color="0077BD"/>
              <w:bottom w:val="single" w:sz="4" w:space="0" w:color="0077BD"/>
              <w:right w:val="single" w:sz="6" w:space="0" w:color="0077BD"/>
            </w:tcBorders>
            <w:shd w:val="clear" w:color="auto" w:fill="auto"/>
            <w:vAlign w:val="center"/>
            <w:hideMark/>
          </w:tcPr>
          <w:p w14:paraId="73E6B226" w14:textId="77777777" w:rsidR="002C476A" w:rsidRPr="002C476A" w:rsidRDefault="002C476A" w:rsidP="002C476A">
            <w:pPr>
              <w:jc w:val="right"/>
              <w:rPr>
                <w:rFonts w:cs="Calibri"/>
                <w:color w:val="000000"/>
                <w:sz w:val="12"/>
                <w:szCs w:val="12"/>
              </w:rPr>
            </w:pPr>
            <w:r w:rsidRPr="002C476A">
              <w:rPr>
                <w:rFonts w:cs="Calibri"/>
                <w:color w:val="000000"/>
                <w:sz w:val="12"/>
                <w:szCs w:val="12"/>
              </w:rPr>
              <w:t>23 981</w:t>
            </w:r>
          </w:p>
        </w:tc>
        <w:tc>
          <w:tcPr>
            <w:tcW w:w="1418" w:type="dxa"/>
            <w:tcBorders>
              <w:top w:val="nil"/>
              <w:left w:val="single" w:sz="6" w:space="0" w:color="0077BD"/>
              <w:bottom w:val="single" w:sz="4" w:space="0" w:color="0077BD"/>
              <w:right w:val="single" w:sz="6" w:space="0" w:color="0077BD"/>
            </w:tcBorders>
            <w:shd w:val="clear" w:color="000000" w:fill="FFFFFF"/>
            <w:vAlign w:val="center"/>
            <w:hideMark/>
          </w:tcPr>
          <w:p w14:paraId="744D4B12" w14:textId="77777777" w:rsidR="002C476A" w:rsidRPr="002C476A" w:rsidRDefault="002C476A" w:rsidP="002C476A">
            <w:pPr>
              <w:jc w:val="right"/>
              <w:rPr>
                <w:rFonts w:cs="Calibri"/>
                <w:color w:val="000000"/>
                <w:sz w:val="12"/>
                <w:szCs w:val="12"/>
              </w:rPr>
            </w:pPr>
            <w:r w:rsidRPr="002C476A">
              <w:rPr>
                <w:rFonts w:cs="Calibri"/>
                <w:color w:val="000000"/>
                <w:sz w:val="12"/>
                <w:szCs w:val="12"/>
              </w:rPr>
              <w:t>(136)</w:t>
            </w:r>
          </w:p>
        </w:tc>
        <w:tc>
          <w:tcPr>
            <w:tcW w:w="0" w:type="auto"/>
            <w:tcBorders>
              <w:top w:val="nil"/>
              <w:left w:val="single" w:sz="6" w:space="0" w:color="0077BD"/>
              <w:bottom w:val="single" w:sz="4" w:space="0" w:color="0077BD"/>
              <w:right w:val="single" w:sz="6" w:space="0" w:color="0077BD"/>
            </w:tcBorders>
            <w:shd w:val="clear" w:color="000000" w:fill="FFFFFF"/>
            <w:vAlign w:val="center"/>
            <w:hideMark/>
          </w:tcPr>
          <w:p w14:paraId="5445E7B3" w14:textId="77777777" w:rsidR="002C476A" w:rsidRPr="002C476A" w:rsidRDefault="002C476A" w:rsidP="003F416B">
            <w:pPr>
              <w:rPr>
                <w:rFonts w:cs="Calibri"/>
                <w:color w:val="000000"/>
                <w:sz w:val="12"/>
                <w:szCs w:val="12"/>
              </w:rPr>
            </w:pPr>
            <w:r w:rsidRPr="002C476A">
              <w:rPr>
                <w:rFonts w:cs="Calibri"/>
                <w:color w:val="000000"/>
                <w:sz w:val="12"/>
                <w:szCs w:val="12"/>
              </w:rPr>
              <w:t>Aktywa finansowe wycenione według zamortyzowanego kosztu - Kredyty i pożyczki udzielone klientom </w:t>
            </w:r>
          </w:p>
        </w:tc>
        <w:tc>
          <w:tcPr>
            <w:tcW w:w="1418" w:type="dxa"/>
            <w:tcBorders>
              <w:top w:val="nil"/>
              <w:left w:val="single" w:sz="6" w:space="0" w:color="0077BD"/>
              <w:bottom w:val="single" w:sz="4" w:space="0" w:color="0077BD"/>
              <w:right w:val="nil"/>
            </w:tcBorders>
            <w:shd w:val="clear" w:color="auto" w:fill="auto"/>
            <w:vAlign w:val="center"/>
            <w:hideMark/>
          </w:tcPr>
          <w:p w14:paraId="18D6A91A" w14:textId="77777777" w:rsidR="002C476A" w:rsidRPr="002C476A" w:rsidRDefault="002C476A" w:rsidP="002C476A">
            <w:pPr>
              <w:jc w:val="right"/>
              <w:rPr>
                <w:rFonts w:cs="Calibri"/>
                <w:color w:val="000000"/>
                <w:sz w:val="12"/>
                <w:szCs w:val="12"/>
              </w:rPr>
            </w:pPr>
            <w:r w:rsidRPr="002C476A">
              <w:rPr>
                <w:rFonts w:cs="Calibri"/>
                <w:color w:val="000000"/>
                <w:sz w:val="12"/>
                <w:szCs w:val="12"/>
              </w:rPr>
              <w:t>(136)</w:t>
            </w:r>
          </w:p>
        </w:tc>
      </w:tr>
      <w:tr w:rsidR="002C476A" w:rsidRPr="002C476A" w14:paraId="1370683F" w14:textId="77777777" w:rsidTr="00AF5F22">
        <w:trPr>
          <w:trHeight w:val="510"/>
        </w:trPr>
        <w:tc>
          <w:tcPr>
            <w:tcW w:w="0" w:type="auto"/>
            <w:tcBorders>
              <w:top w:val="single" w:sz="4" w:space="0" w:color="0077BD"/>
              <w:left w:val="nil"/>
              <w:bottom w:val="single" w:sz="4" w:space="0" w:color="0077BD"/>
              <w:right w:val="single" w:sz="6" w:space="0" w:color="0077BD"/>
            </w:tcBorders>
            <w:shd w:val="clear" w:color="000000" w:fill="FFFFFF"/>
            <w:vAlign w:val="center"/>
          </w:tcPr>
          <w:p w14:paraId="7C55D307" w14:textId="77777777" w:rsidR="002C476A" w:rsidRPr="002C476A" w:rsidRDefault="002C476A" w:rsidP="002C476A">
            <w:pPr>
              <w:rPr>
                <w:rFonts w:cs="Calibri"/>
                <w:color w:val="000000"/>
                <w:sz w:val="12"/>
                <w:szCs w:val="12"/>
              </w:rPr>
            </w:pPr>
            <w:r w:rsidRPr="002C476A">
              <w:rPr>
                <w:rFonts w:cs="Calibri"/>
                <w:color w:val="000000"/>
                <w:sz w:val="12"/>
                <w:szCs w:val="12"/>
              </w:rPr>
              <w:t>Euroobligacje wyemitowane przez mFF o stałym oprocentowaniu</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038DB1A7" w14:textId="77777777" w:rsidR="002C476A" w:rsidRPr="002C476A" w:rsidRDefault="002C476A" w:rsidP="002C476A">
            <w:pPr>
              <w:jc w:val="right"/>
              <w:rPr>
                <w:rFonts w:cs="Calibri"/>
                <w:color w:val="000000"/>
                <w:sz w:val="12"/>
                <w:szCs w:val="12"/>
              </w:rPr>
            </w:pPr>
            <w:r w:rsidRPr="002C476A">
              <w:rPr>
                <w:rFonts w:cs="Calibri"/>
                <w:color w:val="000000"/>
                <w:sz w:val="12"/>
                <w:szCs w:val="12"/>
              </w:rPr>
              <w:t>(5 097 329)</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6DE4FBC1" w14:textId="77777777" w:rsidR="002C476A" w:rsidRPr="002C476A" w:rsidRDefault="002C476A" w:rsidP="002C476A">
            <w:pPr>
              <w:jc w:val="right"/>
              <w:rPr>
                <w:rFonts w:cs="Calibri"/>
                <w:color w:val="000000"/>
                <w:sz w:val="12"/>
                <w:szCs w:val="12"/>
              </w:rPr>
            </w:pPr>
            <w:r w:rsidRPr="002C476A">
              <w:rPr>
                <w:rFonts w:cs="Calibri"/>
                <w:color w:val="000000"/>
                <w:sz w:val="12"/>
                <w:szCs w:val="12"/>
              </w:rPr>
              <w:t>(44 953)</w:t>
            </w:r>
          </w:p>
        </w:tc>
        <w:tc>
          <w:tcPr>
            <w:tcW w:w="0" w:type="auto"/>
            <w:tcBorders>
              <w:top w:val="single" w:sz="4" w:space="0" w:color="0077BD"/>
              <w:left w:val="single" w:sz="6" w:space="0" w:color="0077BD"/>
              <w:bottom w:val="single" w:sz="4" w:space="0" w:color="0077BD"/>
              <w:right w:val="single" w:sz="6" w:space="0" w:color="0077BD"/>
            </w:tcBorders>
            <w:shd w:val="clear" w:color="000000" w:fill="FFFFFF"/>
            <w:vAlign w:val="center"/>
          </w:tcPr>
          <w:p w14:paraId="049AFBC6" w14:textId="77777777" w:rsidR="002C476A" w:rsidRPr="002C476A" w:rsidRDefault="002C476A" w:rsidP="003F416B">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single" w:sz="4" w:space="0" w:color="0077BD"/>
              <w:left w:val="single" w:sz="6" w:space="0" w:color="0077BD"/>
              <w:bottom w:val="single" w:sz="4" w:space="0" w:color="0077BD"/>
              <w:right w:val="nil"/>
            </w:tcBorders>
            <w:shd w:val="clear" w:color="auto" w:fill="auto"/>
            <w:vAlign w:val="center"/>
          </w:tcPr>
          <w:p w14:paraId="48B99AB2" w14:textId="77777777" w:rsidR="002C476A" w:rsidRPr="002C476A" w:rsidRDefault="002C476A" w:rsidP="002C476A">
            <w:pPr>
              <w:jc w:val="right"/>
              <w:rPr>
                <w:rFonts w:cs="Calibri"/>
                <w:color w:val="000000"/>
                <w:sz w:val="12"/>
                <w:szCs w:val="12"/>
              </w:rPr>
            </w:pPr>
            <w:r w:rsidRPr="002C476A">
              <w:rPr>
                <w:rFonts w:cs="Calibri"/>
                <w:color w:val="000000"/>
                <w:sz w:val="12"/>
                <w:szCs w:val="12"/>
              </w:rPr>
              <w:t>2 251</w:t>
            </w:r>
          </w:p>
        </w:tc>
      </w:tr>
      <w:tr w:rsidR="002C476A" w:rsidRPr="002C476A" w14:paraId="0625BB54" w14:textId="77777777" w:rsidTr="00AF5F22">
        <w:trPr>
          <w:trHeight w:val="510"/>
        </w:trPr>
        <w:tc>
          <w:tcPr>
            <w:tcW w:w="0" w:type="auto"/>
            <w:tcBorders>
              <w:top w:val="single" w:sz="4" w:space="0" w:color="0077BD"/>
              <w:left w:val="nil"/>
              <w:bottom w:val="single" w:sz="4" w:space="0" w:color="0077BD"/>
              <w:right w:val="single" w:sz="6" w:space="0" w:color="0077BD"/>
            </w:tcBorders>
            <w:shd w:val="clear" w:color="000000" w:fill="FFFFFF"/>
            <w:vAlign w:val="center"/>
          </w:tcPr>
          <w:p w14:paraId="5A5BFA99" w14:textId="1CB46756" w:rsidR="002C476A" w:rsidRPr="002C476A" w:rsidRDefault="002C476A" w:rsidP="002C476A">
            <w:pPr>
              <w:rPr>
                <w:rFonts w:cs="Calibri"/>
                <w:color w:val="000000"/>
                <w:sz w:val="12"/>
                <w:szCs w:val="12"/>
              </w:rPr>
            </w:pPr>
            <w:r w:rsidRPr="002C476A">
              <w:rPr>
                <w:rFonts w:cs="Calibri"/>
                <w:color w:val="000000"/>
                <w:sz w:val="12"/>
                <w:szCs w:val="12"/>
              </w:rPr>
              <w:t xml:space="preserve">Obligacje wyemitowane przez </w:t>
            </w:r>
            <w:r w:rsidR="003F416B">
              <w:rPr>
                <w:rFonts w:cs="Calibri"/>
                <w:color w:val="000000"/>
                <w:sz w:val="12"/>
                <w:szCs w:val="12"/>
              </w:rPr>
              <w:br/>
            </w:r>
            <w:r w:rsidRPr="002C476A">
              <w:rPr>
                <w:rFonts w:cs="Calibri"/>
                <w:color w:val="000000"/>
                <w:sz w:val="12"/>
                <w:szCs w:val="12"/>
              </w:rPr>
              <w:t>mBank S.A. o stałym oprocentowaniu</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15A9A4E3" w14:textId="77777777" w:rsidR="002C476A" w:rsidRPr="002C476A" w:rsidRDefault="002C476A" w:rsidP="002C476A">
            <w:pPr>
              <w:jc w:val="right"/>
              <w:rPr>
                <w:rFonts w:cs="Calibri"/>
                <w:color w:val="000000"/>
                <w:sz w:val="12"/>
                <w:szCs w:val="12"/>
              </w:rPr>
            </w:pPr>
            <w:r w:rsidRPr="002C476A">
              <w:rPr>
                <w:rFonts w:cs="Calibri"/>
                <w:color w:val="000000"/>
                <w:sz w:val="12"/>
                <w:szCs w:val="12"/>
              </w:rPr>
              <w:t>(3 361 997)</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2827621F" w14:textId="6CB3E828" w:rsidR="002C476A" w:rsidRPr="002C476A" w:rsidRDefault="002C476A" w:rsidP="00A1161E">
            <w:pPr>
              <w:jc w:val="right"/>
              <w:rPr>
                <w:rFonts w:cs="Calibri"/>
                <w:color w:val="000000"/>
                <w:sz w:val="12"/>
                <w:szCs w:val="12"/>
              </w:rPr>
            </w:pPr>
            <w:r w:rsidRPr="002C476A">
              <w:rPr>
                <w:rFonts w:cs="Calibri"/>
                <w:color w:val="000000"/>
                <w:sz w:val="12"/>
                <w:szCs w:val="12"/>
              </w:rPr>
              <w:t>(33 37</w:t>
            </w:r>
            <w:r w:rsidR="00A1161E">
              <w:rPr>
                <w:rFonts w:cs="Calibri"/>
                <w:color w:val="000000"/>
                <w:sz w:val="12"/>
                <w:szCs w:val="12"/>
              </w:rPr>
              <w:t>3</w:t>
            </w:r>
            <w:r w:rsidRPr="002C476A">
              <w:rPr>
                <w:rFonts w:cs="Calibri"/>
                <w:color w:val="000000"/>
                <w:sz w:val="12"/>
                <w:szCs w:val="12"/>
              </w:rPr>
              <w:t>)</w:t>
            </w:r>
          </w:p>
        </w:tc>
        <w:tc>
          <w:tcPr>
            <w:tcW w:w="0" w:type="auto"/>
            <w:tcBorders>
              <w:top w:val="single" w:sz="4" w:space="0" w:color="0077BD"/>
              <w:left w:val="single" w:sz="6" w:space="0" w:color="0077BD"/>
              <w:bottom w:val="single" w:sz="4" w:space="0" w:color="0077BD"/>
              <w:right w:val="single" w:sz="6" w:space="0" w:color="0077BD"/>
            </w:tcBorders>
            <w:shd w:val="clear" w:color="000000" w:fill="FFFFFF"/>
            <w:vAlign w:val="center"/>
          </w:tcPr>
          <w:p w14:paraId="09EC07F2" w14:textId="77777777" w:rsidR="002C476A" w:rsidRPr="002C476A" w:rsidRDefault="002C476A" w:rsidP="003F416B">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single" w:sz="4" w:space="0" w:color="0077BD"/>
              <w:left w:val="single" w:sz="6" w:space="0" w:color="0077BD"/>
              <w:bottom w:val="single" w:sz="4" w:space="0" w:color="0077BD"/>
              <w:right w:val="nil"/>
            </w:tcBorders>
            <w:shd w:val="clear" w:color="auto" w:fill="auto"/>
            <w:vAlign w:val="center"/>
          </w:tcPr>
          <w:p w14:paraId="3EF989BC" w14:textId="77777777" w:rsidR="002C476A" w:rsidRPr="002C476A" w:rsidRDefault="002C476A" w:rsidP="002C476A">
            <w:pPr>
              <w:jc w:val="right"/>
              <w:rPr>
                <w:rFonts w:cs="Calibri"/>
                <w:color w:val="000000"/>
                <w:sz w:val="12"/>
                <w:szCs w:val="12"/>
              </w:rPr>
            </w:pPr>
            <w:r w:rsidRPr="002C476A">
              <w:rPr>
                <w:rFonts w:cs="Calibri"/>
                <w:color w:val="000000"/>
                <w:sz w:val="12"/>
                <w:szCs w:val="12"/>
              </w:rPr>
              <w:t>(15 068)</w:t>
            </w:r>
          </w:p>
        </w:tc>
      </w:tr>
      <w:tr w:rsidR="002C476A" w:rsidRPr="002C476A" w14:paraId="7C3D8E7A" w14:textId="77777777" w:rsidTr="00AF5F22">
        <w:trPr>
          <w:trHeight w:val="510"/>
        </w:trPr>
        <w:tc>
          <w:tcPr>
            <w:tcW w:w="0" w:type="auto"/>
            <w:tcBorders>
              <w:top w:val="single" w:sz="4" w:space="0" w:color="0077BD"/>
              <w:left w:val="nil"/>
              <w:bottom w:val="single" w:sz="4" w:space="0" w:color="0077BD"/>
              <w:right w:val="single" w:sz="6" w:space="0" w:color="0077BD"/>
            </w:tcBorders>
            <w:shd w:val="clear" w:color="000000" w:fill="FFFFFF"/>
            <w:vAlign w:val="center"/>
          </w:tcPr>
          <w:p w14:paraId="70904AAC" w14:textId="77777777" w:rsidR="002C476A" w:rsidRPr="002C476A" w:rsidRDefault="002C476A" w:rsidP="002C476A">
            <w:pPr>
              <w:rPr>
                <w:rFonts w:cs="Calibri"/>
                <w:color w:val="000000"/>
                <w:sz w:val="12"/>
                <w:szCs w:val="12"/>
              </w:rPr>
            </w:pPr>
            <w:r w:rsidRPr="002C476A">
              <w:rPr>
                <w:rFonts w:cs="Calibri"/>
                <w:color w:val="000000"/>
                <w:sz w:val="12"/>
                <w:szCs w:val="12"/>
              </w:rPr>
              <w:t>Kredyty otrzymane przez mBank z Europejskiego Banku Inwestycyjnego o stałym oprocentowaniu</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6A8D9B6C" w14:textId="77777777" w:rsidR="002C476A" w:rsidRPr="002C476A" w:rsidRDefault="002C476A" w:rsidP="002C476A">
            <w:pPr>
              <w:jc w:val="right"/>
              <w:rPr>
                <w:rFonts w:cs="Calibri"/>
                <w:color w:val="000000"/>
                <w:sz w:val="12"/>
                <w:szCs w:val="12"/>
              </w:rPr>
            </w:pPr>
            <w:r w:rsidRPr="002C476A">
              <w:rPr>
                <w:rFonts w:cs="Calibri"/>
                <w:color w:val="000000"/>
                <w:sz w:val="12"/>
                <w:szCs w:val="12"/>
              </w:rPr>
              <w:t>(2 128 603)</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559070A6" w14:textId="77777777" w:rsidR="002C476A" w:rsidRPr="002C476A" w:rsidRDefault="002C476A" w:rsidP="002C476A">
            <w:pPr>
              <w:jc w:val="right"/>
              <w:rPr>
                <w:rFonts w:cs="Calibri"/>
                <w:color w:val="000000"/>
                <w:sz w:val="12"/>
                <w:szCs w:val="12"/>
              </w:rPr>
            </w:pPr>
            <w:r w:rsidRPr="002C476A">
              <w:rPr>
                <w:rFonts w:cs="Calibri"/>
                <w:color w:val="000000"/>
                <w:sz w:val="12"/>
                <w:szCs w:val="12"/>
              </w:rPr>
              <w:t>(25 753)</w:t>
            </w:r>
          </w:p>
        </w:tc>
        <w:tc>
          <w:tcPr>
            <w:tcW w:w="0" w:type="auto"/>
            <w:tcBorders>
              <w:top w:val="single" w:sz="4" w:space="0" w:color="0077BD"/>
              <w:left w:val="single" w:sz="6" w:space="0" w:color="0077BD"/>
              <w:bottom w:val="single" w:sz="4" w:space="0" w:color="0077BD"/>
              <w:right w:val="single" w:sz="6" w:space="0" w:color="0077BD"/>
            </w:tcBorders>
            <w:shd w:val="clear" w:color="000000" w:fill="FFFFFF"/>
            <w:vAlign w:val="center"/>
          </w:tcPr>
          <w:p w14:paraId="213E7828" w14:textId="77777777" w:rsidR="002C476A" w:rsidRPr="002C476A" w:rsidRDefault="002C476A" w:rsidP="003F416B">
            <w:pPr>
              <w:rPr>
                <w:rFonts w:cs="Calibri"/>
                <w:color w:val="000000"/>
                <w:sz w:val="12"/>
                <w:szCs w:val="12"/>
              </w:rPr>
            </w:pPr>
            <w:r w:rsidRPr="002C476A">
              <w:rPr>
                <w:rFonts w:cs="Calibri"/>
                <w:color w:val="000000"/>
                <w:sz w:val="12"/>
                <w:szCs w:val="12"/>
              </w:rPr>
              <w:t>Zobowiązania finansowe wyceniane w zamortyzowanym koszcie – zobowiązania wobec klientów – kredyty otrzymane</w:t>
            </w:r>
          </w:p>
        </w:tc>
        <w:tc>
          <w:tcPr>
            <w:tcW w:w="1418" w:type="dxa"/>
            <w:tcBorders>
              <w:top w:val="single" w:sz="4" w:space="0" w:color="0077BD"/>
              <w:left w:val="single" w:sz="6" w:space="0" w:color="0077BD"/>
              <w:bottom w:val="single" w:sz="4" w:space="0" w:color="0077BD"/>
              <w:right w:val="nil"/>
            </w:tcBorders>
            <w:shd w:val="clear" w:color="auto" w:fill="auto"/>
            <w:vAlign w:val="center"/>
          </w:tcPr>
          <w:p w14:paraId="749466ED" w14:textId="77777777" w:rsidR="002C476A" w:rsidRPr="002C476A" w:rsidRDefault="002C476A" w:rsidP="002C476A">
            <w:pPr>
              <w:jc w:val="right"/>
              <w:rPr>
                <w:rFonts w:cs="Calibri"/>
                <w:color w:val="000000"/>
                <w:sz w:val="12"/>
                <w:szCs w:val="12"/>
              </w:rPr>
            </w:pPr>
            <w:r w:rsidRPr="002C476A">
              <w:rPr>
                <w:rFonts w:cs="Calibri"/>
                <w:color w:val="000000"/>
                <w:sz w:val="12"/>
                <w:szCs w:val="12"/>
              </w:rPr>
              <w:t>(21 590)</w:t>
            </w:r>
          </w:p>
        </w:tc>
      </w:tr>
      <w:tr w:rsidR="002C476A" w:rsidRPr="002C476A" w14:paraId="34347142" w14:textId="77777777" w:rsidTr="00AF5F22">
        <w:trPr>
          <w:trHeight w:val="510"/>
        </w:trPr>
        <w:tc>
          <w:tcPr>
            <w:tcW w:w="0" w:type="auto"/>
            <w:tcBorders>
              <w:top w:val="single" w:sz="4" w:space="0" w:color="0077BD"/>
              <w:left w:val="nil"/>
              <w:bottom w:val="single" w:sz="8" w:space="0" w:color="0077BD"/>
              <w:right w:val="single" w:sz="6" w:space="0" w:color="0077BD"/>
            </w:tcBorders>
            <w:shd w:val="clear" w:color="000000" w:fill="FFFFFF"/>
            <w:vAlign w:val="center"/>
          </w:tcPr>
          <w:p w14:paraId="608FCC3D" w14:textId="77777777" w:rsidR="002C476A" w:rsidRPr="002C476A" w:rsidRDefault="002C476A" w:rsidP="002C476A">
            <w:pPr>
              <w:rPr>
                <w:rFonts w:cs="Calibri"/>
                <w:color w:val="000000"/>
                <w:sz w:val="12"/>
                <w:szCs w:val="12"/>
              </w:rPr>
            </w:pPr>
            <w:r w:rsidRPr="002C476A">
              <w:rPr>
                <w:rFonts w:cs="Calibri"/>
                <w:color w:val="000000"/>
                <w:sz w:val="12"/>
                <w:szCs w:val="12"/>
              </w:rPr>
              <w:t>Listy zastawne wyemitowane przez mBH o stałym oprocentowaniu</w:t>
            </w:r>
          </w:p>
        </w:tc>
        <w:tc>
          <w:tcPr>
            <w:tcW w:w="1418" w:type="dxa"/>
            <w:tcBorders>
              <w:top w:val="single" w:sz="4" w:space="0" w:color="0077BD"/>
              <w:left w:val="single" w:sz="6" w:space="0" w:color="0077BD"/>
              <w:bottom w:val="single" w:sz="8" w:space="0" w:color="0077BD"/>
              <w:right w:val="single" w:sz="6" w:space="0" w:color="0077BD"/>
            </w:tcBorders>
            <w:shd w:val="clear" w:color="auto" w:fill="auto"/>
            <w:vAlign w:val="center"/>
          </w:tcPr>
          <w:p w14:paraId="079B2BFC" w14:textId="77777777" w:rsidR="002C476A" w:rsidRPr="002C476A" w:rsidRDefault="002C476A" w:rsidP="002C476A">
            <w:pPr>
              <w:jc w:val="right"/>
              <w:rPr>
                <w:rFonts w:cs="Calibri"/>
                <w:color w:val="000000"/>
                <w:sz w:val="12"/>
                <w:szCs w:val="12"/>
              </w:rPr>
            </w:pPr>
            <w:r w:rsidRPr="002C476A">
              <w:rPr>
                <w:rFonts w:cs="Calibri"/>
                <w:color w:val="000000"/>
                <w:sz w:val="12"/>
                <w:szCs w:val="12"/>
              </w:rPr>
              <w:t>(2 567 861)</w:t>
            </w:r>
          </w:p>
        </w:tc>
        <w:tc>
          <w:tcPr>
            <w:tcW w:w="1418" w:type="dxa"/>
            <w:tcBorders>
              <w:top w:val="single" w:sz="4" w:space="0" w:color="0077BD"/>
              <w:left w:val="single" w:sz="6" w:space="0" w:color="0077BD"/>
              <w:bottom w:val="single" w:sz="8" w:space="0" w:color="0077BD"/>
              <w:right w:val="single" w:sz="6" w:space="0" w:color="0077BD"/>
            </w:tcBorders>
            <w:shd w:val="clear" w:color="auto" w:fill="auto"/>
            <w:vAlign w:val="center"/>
          </w:tcPr>
          <w:p w14:paraId="66F324A2" w14:textId="77777777" w:rsidR="002C476A" w:rsidRPr="002C476A" w:rsidRDefault="002C476A" w:rsidP="002C476A">
            <w:pPr>
              <w:jc w:val="right"/>
              <w:rPr>
                <w:rFonts w:cs="Calibri"/>
                <w:color w:val="000000"/>
                <w:sz w:val="12"/>
                <w:szCs w:val="12"/>
              </w:rPr>
            </w:pPr>
            <w:r w:rsidRPr="002C476A">
              <w:rPr>
                <w:rFonts w:cs="Calibri"/>
                <w:color w:val="000000"/>
                <w:sz w:val="12"/>
                <w:szCs w:val="12"/>
              </w:rPr>
              <w:t>(97 283)</w:t>
            </w:r>
          </w:p>
        </w:tc>
        <w:tc>
          <w:tcPr>
            <w:tcW w:w="0" w:type="auto"/>
            <w:tcBorders>
              <w:top w:val="single" w:sz="4" w:space="0" w:color="0077BD"/>
              <w:left w:val="single" w:sz="6" w:space="0" w:color="0077BD"/>
              <w:bottom w:val="single" w:sz="8" w:space="0" w:color="0077BD"/>
              <w:right w:val="single" w:sz="6" w:space="0" w:color="0077BD"/>
            </w:tcBorders>
            <w:shd w:val="clear" w:color="000000" w:fill="FFFFFF"/>
            <w:vAlign w:val="center"/>
          </w:tcPr>
          <w:p w14:paraId="18D13CA3" w14:textId="77777777" w:rsidR="002C476A" w:rsidRPr="002C476A" w:rsidRDefault="002C476A" w:rsidP="003F416B">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single" w:sz="4" w:space="0" w:color="0077BD"/>
              <w:left w:val="single" w:sz="6" w:space="0" w:color="0077BD"/>
              <w:bottom w:val="single" w:sz="8" w:space="0" w:color="0077BD"/>
              <w:right w:val="nil"/>
            </w:tcBorders>
            <w:shd w:val="clear" w:color="auto" w:fill="auto"/>
            <w:vAlign w:val="center"/>
          </w:tcPr>
          <w:p w14:paraId="2E0FEE44" w14:textId="77777777" w:rsidR="002C476A" w:rsidRPr="002C476A" w:rsidRDefault="002C476A" w:rsidP="002C476A">
            <w:pPr>
              <w:jc w:val="right"/>
              <w:rPr>
                <w:rFonts w:cs="Calibri"/>
                <w:color w:val="000000"/>
                <w:sz w:val="12"/>
                <w:szCs w:val="12"/>
              </w:rPr>
            </w:pPr>
            <w:r w:rsidRPr="002C476A">
              <w:rPr>
                <w:rFonts w:cs="Calibri"/>
                <w:color w:val="000000"/>
                <w:sz w:val="12"/>
                <w:szCs w:val="12"/>
              </w:rPr>
              <w:t>(45 734)</w:t>
            </w:r>
          </w:p>
        </w:tc>
      </w:tr>
      <w:tr w:rsidR="00F12856" w:rsidRPr="002C476A" w14:paraId="65126675" w14:textId="77777777" w:rsidTr="00AF5F22">
        <w:trPr>
          <w:trHeight w:val="240"/>
        </w:trPr>
        <w:tc>
          <w:tcPr>
            <w:tcW w:w="1418" w:type="dxa"/>
            <w:gridSpan w:val="4"/>
            <w:tcBorders>
              <w:top w:val="single" w:sz="8" w:space="0" w:color="0077BD"/>
              <w:left w:val="nil"/>
              <w:bottom w:val="single" w:sz="8" w:space="0" w:color="0077BD"/>
              <w:right w:val="single" w:sz="6" w:space="0" w:color="2E74B5"/>
            </w:tcBorders>
            <w:shd w:val="clear" w:color="000000" w:fill="FFFFFF"/>
            <w:noWrap/>
            <w:vAlign w:val="center"/>
            <w:hideMark/>
          </w:tcPr>
          <w:p w14:paraId="759D8DE6" w14:textId="7D623900" w:rsidR="00F12856" w:rsidRPr="002C476A" w:rsidRDefault="00F12856" w:rsidP="00F12856">
            <w:pPr>
              <w:rPr>
                <w:rFonts w:cs="Calibri"/>
                <w:b/>
                <w:bCs/>
                <w:color w:val="000000"/>
                <w:sz w:val="12"/>
                <w:szCs w:val="12"/>
              </w:rPr>
            </w:pPr>
            <w:r>
              <w:rPr>
                <w:rFonts w:cs="Calibri"/>
                <w:b/>
                <w:bCs/>
                <w:color w:val="000000"/>
                <w:sz w:val="12"/>
                <w:szCs w:val="12"/>
              </w:rPr>
              <w:t>RAZEM</w:t>
            </w:r>
          </w:p>
        </w:tc>
        <w:tc>
          <w:tcPr>
            <w:tcW w:w="1418" w:type="dxa"/>
            <w:tcBorders>
              <w:top w:val="single" w:sz="8" w:space="0" w:color="0077BD"/>
              <w:left w:val="single" w:sz="6" w:space="0" w:color="2E74B5"/>
              <w:bottom w:val="single" w:sz="8" w:space="0" w:color="0077BD"/>
              <w:right w:val="nil"/>
            </w:tcBorders>
            <w:shd w:val="clear" w:color="000000" w:fill="FFFFFF"/>
            <w:noWrap/>
            <w:vAlign w:val="center"/>
            <w:hideMark/>
          </w:tcPr>
          <w:p w14:paraId="3859B8C6" w14:textId="77777777" w:rsidR="00F12856" w:rsidRPr="002C476A" w:rsidRDefault="00F12856" w:rsidP="002C476A">
            <w:pPr>
              <w:jc w:val="right"/>
              <w:rPr>
                <w:rFonts w:cs="Calibri"/>
                <w:b/>
                <w:bCs/>
                <w:color w:val="000000"/>
                <w:sz w:val="12"/>
                <w:szCs w:val="12"/>
              </w:rPr>
            </w:pPr>
            <w:r w:rsidRPr="002C476A">
              <w:rPr>
                <w:rFonts w:cs="Calibri"/>
                <w:b/>
                <w:bCs/>
                <w:color w:val="000000"/>
                <w:sz w:val="12"/>
                <w:szCs w:val="12"/>
              </w:rPr>
              <w:t> (80 277)</w:t>
            </w:r>
          </w:p>
        </w:tc>
      </w:tr>
    </w:tbl>
    <w:p w14:paraId="39396AB1" w14:textId="430416AE" w:rsidR="002C476A" w:rsidRDefault="002C476A" w:rsidP="00DE1A6E">
      <w:pPr>
        <w:pStyle w:val="DefaultText"/>
        <w:tabs>
          <w:tab w:val="left" w:pos="0"/>
        </w:tabs>
        <w:suppressAutoHyphens/>
        <w:spacing w:before="0" w:after="0"/>
        <w:rPr>
          <w:rFonts w:ascii="Verdana" w:hAnsi="Verdana" w:cs="Tahoma"/>
          <w:bCs/>
          <w:color w:val="000000" w:themeColor="text1"/>
          <w:sz w:val="18"/>
          <w:szCs w:val="18"/>
          <w:lang w:val="pl-PL"/>
        </w:rPr>
      </w:pPr>
    </w:p>
    <w:tbl>
      <w:tblPr>
        <w:tblW w:w="0" w:type="auto"/>
        <w:tblCellMar>
          <w:left w:w="28" w:type="dxa"/>
          <w:right w:w="28" w:type="dxa"/>
        </w:tblCellMar>
        <w:tblLook w:val="04A0" w:firstRow="1" w:lastRow="0" w:firstColumn="1" w:lastColumn="0" w:noHBand="0" w:noVBand="1"/>
      </w:tblPr>
      <w:tblGrid>
        <w:gridCol w:w="2370"/>
        <w:gridCol w:w="1418"/>
        <w:gridCol w:w="1418"/>
        <w:gridCol w:w="2957"/>
        <w:gridCol w:w="1418"/>
      </w:tblGrid>
      <w:tr w:rsidR="00DE1A6E" w:rsidRPr="002C476A" w14:paraId="782E7327" w14:textId="77777777" w:rsidTr="00AF5F22">
        <w:trPr>
          <w:trHeight w:val="1041"/>
        </w:trPr>
        <w:tc>
          <w:tcPr>
            <w:tcW w:w="0" w:type="auto"/>
            <w:tcBorders>
              <w:top w:val="nil"/>
              <w:left w:val="nil"/>
              <w:right w:val="single" w:sz="6" w:space="0" w:color="FFFFFF" w:themeColor="background1"/>
            </w:tcBorders>
            <w:shd w:val="clear" w:color="000000" w:fill="0077BD"/>
            <w:vAlign w:val="center"/>
            <w:hideMark/>
          </w:tcPr>
          <w:p w14:paraId="475DBC3D" w14:textId="609241AB" w:rsidR="00DE1A6E" w:rsidRPr="002C476A" w:rsidRDefault="00DE1A6E" w:rsidP="002C6DA9">
            <w:pPr>
              <w:rPr>
                <w:rFonts w:cs="Calibri"/>
                <w:b/>
                <w:bCs/>
                <w:color w:val="FFFFFF"/>
                <w:sz w:val="12"/>
                <w:szCs w:val="12"/>
              </w:rPr>
            </w:pPr>
            <w:r>
              <w:rPr>
                <w:rFonts w:cs="Calibri"/>
                <w:b/>
                <w:bCs/>
                <w:color w:val="FFFFFF"/>
                <w:sz w:val="12"/>
                <w:szCs w:val="12"/>
              </w:rPr>
              <w:t>31.12.2018</w:t>
            </w:r>
          </w:p>
        </w:tc>
        <w:tc>
          <w:tcPr>
            <w:tcW w:w="1418" w:type="dxa"/>
            <w:tcBorders>
              <w:top w:val="nil"/>
              <w:left w:val="single" w:sz="6" w:space="0" w:color="FFFFFF" w:themeColor="background1"/>
              <w:right w:val="single" w:sz="6" w:space="0" w:color="FFFFFF" w:themeColor="background1"/>
            </w:tcBorders>
            <w:shd w:val="clear" w:color="000000" w:fill="0077BD"/>
            <w:vAlign w:val="center"/>
            <w:hideMark/>
          </w:tcPr>
          <w:p w14:paraId="720B4128" w14:textId="77777777" w:rsidR="00DE1A6E" w:rsidRPr="002C476A" w:rsidRDefault="00DE1A6E" w:rsidP="002C6DA9">
            <w:pPr>
              <w:jc w:val="right"/>
              <w:rPr>
                <w:rFonts w:cs="Calibri"/>
                <w:b/>
                <w:bCs/>
                <w:color w:val="FFFFFF"/>
                <w:sz w:val="12"/>
                <w:szCs w:val="12"/>
              </w:rPr>
            </w:pPr>
            <w:r w:rsidRPr="002C476A">
              <w:rPr>
                <w:rFonts w:cs="Calibri"/>
                <w:b/>
                <w:bCs/>
                <w:color w:val="FFFFFF"/>
                <w:sz w:val="12"/>
                <w:szCs w:val="12"/>
              </w:rPr>
              <w:t>Wartość bilansowa pozycji zabezpieczanych</w:t>
            </w:r>
          </w:p>
        </w:tc>
        <w:tc>
          <w:tcPr>
            <w:tcW w:w="1418" w:type="dxa"/>
            <w:tcBorders>
              <w:top w:val="nil"/>
              <w:left w:val="single" w:sz="6" w:space="0" w:color="FFFFFF" w:themeColor="background1"/>
              <w:right w:val="single" w:sz="6" w:space="0" w:color="FFFFFF" w:themeColor="background1"/>
            </w:tcBorders>
            <w:shd w:val="clear" w:color="000000" w:fill="0077BD"/>
            <w:vAlign w:val="center"/>
            <w:hideMark/>
          </w:tcPr>
          <w:p w14:paraId="34CF82EF" w14:textId="77777777" w:rsidR="00DE1A6E" w:rsidRPr="002C476A" w:rsidRDefault="00DE1A6E" w:rsidP="002C6DA9">
            <w:pPr>
              <w:jc w:val="right"/>
              <w:rPr>
                <w:rFonts w:cs="Calibri"/>
                <w:b/>
                <w:bCs/>
                <w:color w:val="FFFFFF"/>
                <w:sz w:val="12"/>
                <w:szCs w:val="12"/>
              </w:rPr>
            </w:pPr>
            <w:r w:rsidRPr="002C476A">
              <w:rPr>
                <w:rFonts w:cs="Calibri"/>
                <w:b/>
                <w:bCs/>
                <w:color w:val="FFFFFF"/>
                <w:sz w:val="12"/>
                <w:szCs w:val="12"/>
              </w:rPr>
              <w:t>Skumulowana kwota korekty zabezpieczenia wartości godziwej pozycji zabezpieczanej zawarta w wartości bilansowej pozycji zabezpieczanej</w:t>
            </w:r>
          </w:p>
        </w:tc>
        <w:tc>
          <w:tcPr>
            <w:tcW w:w="0" w:type="auto"/>
            <w:tcBorders>
              <w:top w:val="nil"/>
              <w:left w:val="single" w:sz="6" w:space="0" w:color="FFFFFF" w:themeColor="background1"/>
              <w:right w:val="single" w:sz="6" w:space="0" w:color="FFFFFF" w:themeColor="background1"/>
            </w:tcBorders>
            <w:shd w:val="clear" w:color="000000" w:fill="0077BD"/>
            <w:vAlign w:val="center"/>
            <w:hideMark/>
          </w:tcPr>
          <w:p w14:paraId="17DED7C7" w14:textId="77777777" w:rsidR="00DE1A6E" w:rsidRPr="002C476A" w:rsidRDefault="00DE1A6E" w:rsidP="002C6DA9">
            <w:pPr>
              <w:jc w:val="center"/>
              <w:rPr>
                <w:rFonts w:cs="Calibri"/>
                <w:b/>
                <w:bCs/>
                <w:color w:val="FFFFFF"/>
                <w:sz w:val="12"/>
                <w:szCs w:val="12"/>
              </w:rPr>
            </w:pPr>
            <w:r w:rsidRPr="002C476A">
              <w:rPr>
                <w:rFonts w:cs="Calibri"/>
                <w:b/>
                <w:bCs/>
                <w:color w:val="FFFFFF"/>
                <w:sz w:val="12"/>
                <w:szCs w:val="12"/>
              </w:rPr>
              <w:t>Pozycja w bilansie która zawiera pozycję zabezpieczaną</w:t>
            </w:r>
          </w:p>
        </w:tc>
        <w:tc>
          <w:tcPr>
            <w:tcW w:w="1418" w:type="dxa"/>
            <w:tcBorders>
              <w:top w:val="nil"/>
              <w:left w:val="single" w:sz="6" w:space="0" w:color="FFFFFF" w:themeColor="background1"/>
              <w:right w:val="nil"/>
            </w:tcBorders>
            <w:shd w:val="clear" w:color="000000" w:fill="0077BD"/>
            <w:vAlign w:val="center"/>
            <w:hideMark/>
          </w:tcPr>
          <w:p w14:paraId="5B08B5AC" w14:textId="77777777" w:rsidR="00DE1A6E" w:rsidRPr="002C476A" w:rsidRDefault="00DE1A6E" w:rsidP="002C6DA9">
            <w:pPr>
              <w:jc w:val="right"/>
              <w:rPr>
                <w:rFonts w:cs="Calibri"/>
                <w:b/>
                <w:bCs/>
                <w:color w:val="FFFFFF"/>
                <w:sz w:val="12"/>
                <w:szCs w:val="12"/>
              </w:rPr>
            </w:pPr>
            <w:r w:rsidRPr="002C476A">
              <w:rPr>
                <w:rFonts w:cs="Calibri"/>
                <w:b/>
                <w:bCs/>
                <w:color w:val="FFFFFF"/>
                <w:sz w:val="12"/>
                <w:szCs w:val="12"/>
              </w:rPr>
              <w:t xml:space="preserve">Zmiana wartości godziwej pozycji zabezpieczanej stosowanej jako podstawa ujęcia nieefektywności zabezpieczenia </w:t>
            </w:r>
            <w:r>
              <w:rPr>
                <w:rFonts w:cs="Calibri"/>
                <w:b/>
                <w:bCs/>
                <w:color w:val="FFFFFF"/>
                <w:sz w:val="12"/>
                <w:szCs w:val="12"/>
              </w:rPr>
              <w:br/>
            </w:r>
            <w:r w:rsidRPr="002C476A">
              <w:rPr>
                <w:rFonts w:cs="Calibri"/>
                <w:b/>
                <w:bCs/>
                <w:color w:val="FFFFFF"/>
                <w:sz w:val="12"/>
                <w:szCs w:val="12"/>
              </w:rPr>
              <w:t>w danym okresie</w:t>
            </w:r>
          </w:p>
        </w:tc>
      </w:tr>
      <w:tr w:rsidR="00D22FFC" w:rsidRPr="002C476A" w14:paraId="68DC14EF" w14:textId="77777777" w:rsidTr="00AF5F22">
        <w:trPr>
          <w:trHeight w:val="510"/>
        </w:trPr>
        <w:tc>
          <w:tcPr>
            <w:tcW w:w="0" w:type="auto"/>
            <w:tcBorders>
              <w:top w:val="single" w:sz="4" w:space="0" w:color="2E74B5"/>
              <w:left w:val="nil"/>
              <w:bottom w:val="single" w:sz="4" w:space="0" w:color="0077BD"/>
              <w:right w:val="single" w:sz="6" w:space="0" w:color="0077BD"/>
            </w:tcBorders>
            <w:shd w:val="clear" w:color="000000" w:fill="FFFFFF"/>
            <w:vAlign w:val="center"/>
          </w:tcPr>
          <w:p w14:paraId="42D989EA" w14:textId="77777777" w:rsidR="00D22FFC" w:rsidRPr="002C476A" w:rsidRDefault="00D22FFC" w:rsidP="00D22FFC">
            <w:pPr>
              <w:rPr>
                <w:rFonts w:cs="Calibri"/>
                <w:color w:val="000000"/>
                <w:sz w:val="12"/>
                <w:szCs w:val="12"/>
              </w:rPr>
            </w:pPr>
            <w:r w:rsidRPr="002C476A">
              <w:rPr>
                <w:rFonts w:cs="Calibri"/>
                <w:color w:val="000000"/>
                <w:sz w:val="12"/>
                <w:szCs w:val="12"/>
              </w:rPr>
              <w:t>Euroobligacje wyemitowane przez mFF o stałym oprocentowaniu</w:t>
            </w:r>
          </w:p>
        </w:tc>
        <w:tc>
          <w:tcPr>
            <w:tcW w:w="1418" w:type="dxa"/>
            <w:tcBorders>
              <w:top w:val="nil"/>
              <w:left w:val="single" w:sz="6" w:space="0" w:color="0077BD"/>
              <w:bottom w:val="single" w:sz="4" w:space="0" w:color="0077BD"/>
              <w:right w:val="single" w:sz="6" w:space="0" w:color="0077BD"/>
            </w:tcBorders>
            <w:shd w:val="clear" w:color="000000" w:fill="FFFFFF"/>
            <w:vAlign w:val="center"/>
          </w:tcPr>
          <w:p w14:paraId="2E8CA582" w14:textId="019E1403" w:rsidR="00D22FFC" w:rsidRPr="00D22FFC" w:rsidRDefault="00D22FFC" w:rsidP="00D22FFC">
            <w:pPr>
              <w:jc w:val="right"/>
              <w:rPr>
                <w:rFonts w:cs="Calibri"/>
                <w:color w:val="000000"/>
                <w:sz w:val="12"/>
                <w:szCs w:val="12"/>
              </w:rPr>
            </w:pPr>
            <w:r w:rsidRPr="00D22FFC">
              <w:rPr>
                <w:rFonts w:cs="Calibri"/>
                <w:color w:val="000000"/>
                <w:sz w:val="12"/>
                <w:szCs w:val="12"/>
              </w:rPr>
              <w:t>(7 302 746)</w:t>
            </w:r>
          </w:p>
        </w:tc>
        <w:tc>
          <w:tcPr>
            <w:tcW w:w="1418" w:type="dxa"/>
            <w:tcBorders>
              <w:top w:val="nil"/>
              <w:left w:val="single" w:sz="6" w:space="0" w:color="0077BD"/>
              <w:bottom w:val="single" w:sz="4" w:space="0" w:color="0077BD"/>
              <w:right w:val="single" w:sz="6" w:space="0" w:color="0077BD"/>
            </w:tcBorders>
            <w:shd w:val="clear" w:color="000000" w:fill="FFFFFF"/>
            <w:vAlign w:val="center"/>
          </w:tcPr>
          <w:p w14:paraId="64B63B59" w14:textId="6EDBC3A6" w:rsidR="00D22FFC" w:rsidRPr="00D22FFC" w:rsidRDefault="00D22FFC" w:rsidP="00D22FFC">
            <w:pPr>
              <w:jc w:val="right"/>
              <w:rPr>
                <w:rFonts w:cs="Calibri"/>
                <w:color w:val="000000"/>
                <w:sz w:val="12"/>
                <w:szCs w:val="12"/>
              </w:rPr>
            </w:pPr>
            <w:r w:rsidRPr="00D22FFC">
              <w:rPr>
                <w:rFonts w:cs="Calibri"/>
                <w:color w:val="000000"/>
                <w:sz w:val="12"/>
                <w:szCs w:val="12"/>
              </w:rPr>
              <w:t>(47 204)</w:t>
            </w:r>
          </w:p>
        </w:tc>
        <w:tc>
          <w:tcPr>
            <w:tcW w:w="0" w:type="auto"/>
            <w:tcBorders>
              <w:top w:val="single" w:sz="4" w:space="0" w:color="2E74B5"/>
              <w:left w:val="single" w:sz="6" w:space="0" w:color="0077BD"/>
              <w:bottom w:val="single" w:sz="4" w:space="0" w:color="0077BD"/>
              <w:right w:val="single" w:sz="6" w:space="0" w:color="0077BD"/>
            </w:tcBorders>
            <w:shd w:val="clear" w:color="000000" w:fill="FFFFFF"/>
            <w:vAlign w:val="center"/>
          </w:tcPr>
          <w:p w14:paraId="3E0FBE57" w14:textId="77777777" w:rsidR="00D22FFC" w:rsidRPr="002C476A" w:rsidRDefault="00D22FFC" w:rsidP="00D22FFC">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nil"/>
              <w:left w:val="single" w:sz="6" w:space="0" w:color="0077BD"/>
              <w:bottom w:val="single" w:sz="4" w:space="0" w:color="0077BD"/>
              <w:right w:val="nil"/>
            </w:tcBorders>
            <w:shd w:val="clear" w:color="auto" w:fill="auto"/>
            <w:vAlign w:val="center"/>
          </w:tcPr>
          <w:p w14:paraId="7D05F6DA" w14:textId="51A84651" w:rsidR="00D22FFC" w:rsidRPr="00D22FFC" w:rsidRDefault="00D22FFC" w:rsidP="00D22FFC">
            <w:pPr>
              <w:jc w:val="right"/>
              <w:rPr>
                <w:rFonts w:cs="Calibri"/>
                <w:color w:val="000000"/>
                <w:sz w:val="12"/>
                <w:szCs w:val="12"/>
              </w:rPr>
            </w:pPr>
            <w:r w:rsidRPr="00D22FFC">
              <w:rPr>
                <w:rFonts w:cs="Calibri"/>
                <w:color w:val="000000"/>
                <w:sz w:val="12"/>
                <w:szCs w:val="12"/>
              </w:rPr>
              <w:t>(6 227)</w:t>
            </w:r>
          </w:p>
        </w:tc>
      </w:tr>
      <w:tr w:rsidR="00D22FFC" w:rsidRPr="002C476A" w14:paraId="1C1917CB" w14:textId="77777777" w:rsidTr="00AF5F22">
        <w:trPr>
          <w:trHeight w:val="510"/>
        </w:trPr>
        <w:tc>
          <w:tcPr>
            <w:tcW w:w="0" w:type="auto"/>
            <w:tcBorders>
              <w:top w:val="single" w:sz="4" w:space="0" w:color="0077BD"/>
              <w:left w:val="nil"/>
              <w:bottom w:val="single" w:sz="4" w:space="0" w:color="0077BD"/>
              <w:right w:val="single" w:sz="6" w:space="0" w:color="0077BD"/>
            </w:tcBorders>
            <w:shd w:val="clear" w:color="000000" w:fill="FFFFFF"/>
            <w:vAlign w:val="center"/>
          </w:tcPr>
          <w:p w14:paraId="5E1C0BE2" w14:textId="77777777" w:rsidR="00D22FFC" w:rsidRPr="002C476A" w:rsidRDefault="00D22FFC" w:rsidP="00D22FFC">
            <w:pPr>
              <w:rPr>
                <w:rFonts w:cs="Calibri"/>
                <w:color w:val="000000"/>
                <w:sz w:val="12"/>
                <w:szCs w:val="12"/>
              </w:rPr>
            </w:pPr>
            <w:r w:rsidRPr="002C476A">
              <w:rPr>
                <w:rFonts w:cs="Calibri"/>
                <w:color w:val="000000"/>
                <w:sz w:val="12"/>
                <w:szCs w:val="12"/>
              </w:rPr>
              <w:t xml:space="preserve">Obligacje wyemitowane przez </w:t>
            </w:r>
            <w:r>
              <w:rPr>
                <w:rFonts w:cs="Calibri"/>
                <w:color w:val="000000"/>
                <w:sz w:val="12"/>
                <w:szCs w:val="12"/>
              </w:rPr>
              <w:br/>
            </w:r>
            <w:r w:rsidRPr="002C476A">
              <w:rPr>
                <w:rFonts w:cs="Calibri"/>
                <w:color w:val="000000"/>
                <w:sz w:val="12"/>
                <w:szCs w:val="12"/>
              </w:rPr>
              <w:t>mBank S.A. o stałym oprocentowaniu</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7500CEFD" w14:textId="4901A7C1" w:rsidR="00D22FFC" w:rsidRPr="00D22FFC" w:rsidRDefault="00D22FFC" w:rsidP="00D22FFC">
            <w:pPr>
              <w:jc w:val="right"/>
              <w:rPr>
                <w:rFonts w:cs="Calibri"/>
                <w:color w:val="000000"/>
                <w:sz w:val="12"/>
                <w:szCs w:val="12"/>
              </w:rPr>
            </w:pPr>
            <w:r w:rsidRPr="00D22FFC">
              <w:rPr>
                <w:rFonts w:cs="Calibri"/>
                <w:color w:val="000000"/>
                <w:sz w:val="12"/>
                <w:szCs w:val="12"/>
              </w:rPr>
              <w:t>(2 857 724)</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3B11C3B6" w14:textId="5DF6445A" w:rsidR="00D22FFC" w:rsidRPr="00D22FFC" w:rsidRDefault="00D22FFC" w:rsidP="00D22FFC">
            <w:pPr>
              <w:jc w:val="right"/>
              <w:rPr>
                <w:rFonts w:cs="Calibri"/>
                <w:color w:val="000000"/>
                <w:sz w:val="12"/>
                <w:szCs w:val="12"/>
              </w:rPr>
            </w:pPr>
            <w:r w:rsidRPr="00D22FFC">
              <w:rPr>
                <w:rFonts w:cs="Calibri"/>
                <w:color w:val="000000"/>
                <w:sz w:val="12"/>
                <w:szCs w:val="12"/>
              </w:rPr>
              <w:t>(18 305)</w:t>
            </w:r>
          </w:p>
        </w:tc>
        <w:tc>
          <w:tcPr>
            <w:tcW w:w="0" w:type="auto"/>
            <w:tcBorders>
              <w:top w:val="single" w:sz="4" w:space="0" w:color="0077BD"/>
              <w:left w:val="single" w:sz="6" w:space="0" w:color="0077BD"/>
              <w:bottom w:val="single" w:sz="4" w:space="0" w:color="0077BD"/>
              <w:right w:val="single" w:sz="6" w:space="0" w:color="0077BD"/>
            </w:tcBorders>
            <w:shd w:val="clear" w:color="000000" w:fill="FFFFFF"/>
            <w:vAlign w:val="center"/>
          </w:tcPr>
          <w:p w14:paraId="338DE413" w14:textId="77777777" w:rsidR="00D22FFC" w:rsidRPr="002C476A" w:rsidRDefault="00D22FFC" w:rsidP="00D22FFC">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single" w:sz="4" w:space="0" w:color="0077BD"/>
              <w:left w:val="single" w:sz="6" w:space="0" w:color="0077BD"/>
              <w:bottom w:val="single" w:sz="4" w:space="0" w:color="0077BD"/>
              <w:right w:val="nil"/>
            </w:tcBorders>
            <w:shd w:val="clear" w:color="auto" w:fill="auto"/>
            <w:vAlign w:val="center"/>
          </w:tcPr>
          <w:p w14:paraId="65738744" w14:textId="39EDB3BD" w:rsidR="00D22FFC" w:rsidRPr="00D22FFC" w:rsidRDefault="00D22FFC" w:rsidP="00D22FFC">
            <w:pPr>
              <w:jc w:val="right"/>
              <w:rPr>
                <w:rFonts w:cs="Calibri"/>
                <w:color w:val="000000"/>
                <w:sz w:val="12"/>
                <w:szCs w:val="12"/>
              </w:rPr>
            </w:pPr>
            <w:r w:rsidRPr="00D22FFC">
              <w:rPr>
                <w:rFonts w:cs="Calibri"/>
                <w:color w:val="000000"/>
                <w:sz w:val="12"/>
                <w:szCs w:val="12"/>
              </w:rPr>
              <w:t>(18 305)</w:t>
            </w:r>
          </w:p>
        </w:tc>
      </w:tr>
      <w:tr w:rsidR="00D22FFC" w:rsidRPr="002C476A" w14:paraId="2D6C9774" w14:textId="77777777" w:rsidTr="00AF5F22">
        <w:trPr>
          <w:trHeight w:val="510"/>
        </w:trPr>
        <w:tc>
          <w:tcPr>
            <w:tcW w:w="0" w:type="auto"/>
            <w:tcBorders>
              <w:top w:val="single" w:sz="4" w:space="0" w:color="0077BD"/>
              <w:left w:val="nil"/>
              <w:bottom w:val="single" w:sz="4" w:space="0" w:color="0077BD"/>
              <w:right w:val="single" w:sz="6" w:space="0" w:color="0077BD"/>
            </w:tcBorders>
            <w:shd w:val="clear" w:color="000000" w:fill="FFFFFF"/>
            <w:vAlign w:val="center"/>
          </w:tcPr>
          <w:p w14:paraId="09B2834B" w14:textId="77777777" w:rsidR="00D22FFC" w:rsidRPr="002C476A" w:rsidRDefault="00D22FFC" w:rsidP="00D22FFC">
            <w:pPr>
              <w:rPr>
                <w:rFonts w:cs="Calibri"/>
                <w:color w:val="000000"/>
                <w:sz w:val="12"/>
                <w:szCs w:val="12"/>
              </w:rPr>
            </w:pPr>
            <w:r w:rsidRPr="002C476A">
              <w:rPr>
                <w:rFonts w:cs="Calibri"/>
                <w:color w:val="000000"/>
                <w:sz w:val="12"/>
                <w:szCs w:val="12"/>
              </w:rPr>
              <w:t>Kredyty otrzymane przez mBank z Europejskiego Banku Inwestycyjnego o stałym oprocentowaniu</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20637EBC" w14:textId="4F1ACEE2" w:rsidR="00D22FFC" w:rsidRPr="00D22FFC" w:rsidRDefault="00D22FFC" w:rsidP="00D22FFC">
            <w:pPr>
              <w:jc w:val="right"/>
              <w:rPr>
                <w:rFonts w:cs="Calibri"/>
                <w:color w:val="000000"/>
                <w:sz w:val="12"/>
                <w:szCs w:val="12"/>
              </w:rPr>
            </w:pPr>
            <w:r w:rsidRPr="00D22FFC">
              <w:rPr>
                <w:rFonts w:cs="Calibri"/>
                <w:color w:val="000000"/>
                <w:sz w:val="12"/>
                <w:szCs w:val="12"/>
              </w:rPr>
              <w:t>(1 537 999)</w:t>
            </w:r>
          </w:p>
        </w:tc>
        <w:tc>
          <w:tcPr>
            <w:tcW w:w="1418" w:type="dxa"/>
            <w:tcBorders>
              <w:top w:val="single" w:sz="4" w:space="0" w:color="0077BD"/>
              <w:left w:val="single" w:sz="6" w:space="0" w:color="0077BD"/>
              <w:bottom w:val="single" w:sz="4" w:space="0" w:color="0077BD"/>
              <w:right w:val="single" w:sz="6" w:space="0" w:color="0077BD"/>
            </w:tcBorders>
            <w:shd w:val="clear" w:color="000000" w:fill="FFFFFF"/>
            <w:vAlign w:val="center"/>
          </w:tcPr>
          <w:p w14:paraId="2401A566" w14:textId="2514AF98" w:rsidR="00D22FFC" w:rsidRPr="00D22FFC" w:rsidRDefault="00D22FFC" w:rsidP="00A0094F">
            <w:pPr>
              <w:jc w:val="right"/>
              <w:rPr>
                <w:rFonts w:cs="Calibri"/>
                <w:color w:val="000000"/>
                <w:sz w:val="12"/>
                <w:szCs w:val="12"/>
              </w:rPr>
            </w:pPr>
            <w:r w:rsidRPr="00D22FFC">
              <w:rPr>
                <w:rFonts w:cs="Calibri"/>
                <w:color w:val="000000"/>
                <w:sz w:val="12"/>
                <w:szCs w:val="12"/>
              </w:rPr>
              <w:t>(4 16</w:t>
            </w:r>
            <w:r w:rsidR="00A0094F">
              <w:rPr>
                <w:rFonts w:cs="Calibri"/>
                <w:color w:val="000000"/>
                <w:sz w:val="12"/>
                <w:szCs w:val="12"/>
              </w:rPr>
              <w:t>3</w:t>
            </w:r>
            <w:r w:rsidRPr="00D22FFC">
              <w:rPr>
                <w:rFonts w:cs="Calibri"/>
                <w:color w:val="000000"/>
                <w:sz w:val="12"/>
                <w:szCs w:val="12"/>
              </w:rPr>
              <w:t>)</w:t>
            </w:r>
          </w:p>
        </w:tc>
        <w:tc>
          <w:tcPr>
            <w:tcW w:w="0" w:type="auto"/>
            <w:tcBorders>
              <w:top w:val="single" w:sz="4" w:space="0" w:color="0077BD"/>
              <w:left w:val="single" w:sz="6" w:space="0" w:color="0077BD"/>
              <w:bottom w:val="single" w:sz="4" w:space="0" w:color="0077BD"/>
              <w:right w:val="single" w:sz="6" w:space="0" w:color="0077BD"/>
            </w:tcBorders>
            <w:shd w:val="clear" w:color="000000" w:fill="FFFFFF"/>
            <w:vAlign w:val="center"/>
          </w:tcPr>
          <w:p w14:paraId="6E330F3F" w14:textId="77777777" w:rsidR="00D22FFC" w:rsidRPr="002C476A" w:rsidRDefault="00D22FFC" w:rsidP="00D22FFC">
            <w:pPr>
              <w:rPr>
                <w:rFonts w:cs="Calibri"/>
                <w:color w:val="000000"/>
                <w:sz w:val="12"/>
                <w:szCs w:val="12"/>
              </w:rPr>
            </w:pPr>
            <w:r w:rsidRPr="002C476A">
              <w:rPr>
                <w:rFonts w:cs="Calibri"/>
                <w:color w:val="000000"/>
                <w:sz w:val="12"/>
                <w:szCs w:val="12"/>
              </w:rPr>
              <w:t>Zobowiązania finansowe wyceniane w zamortyzowanym koszcie – zobowiązania wobec klientów – kredyty otrzymane</w:t>
            </w:r>
          </w:p>
        </w:tc>
        <w:tc>
          <w:tcPr>
            <w:tcW w:w="1418" w:type="dxa"/>
            <w:tcBorders>
              <w:top w:val="single" w:sz="4" w:space="0" w:color="0077BD"/>
              <w:left w:val="single" w:sz="6" w:space="0" w:color="0077BD"/>
              <w:bottom w:val="single" w:sz="4" w:space="0" w:color="0077BD"/>
              <w:right w:val="nil"/>
            </w:tcBorders>
            <w:shd w:val="clear" w:color="auto" w:fill="auto"/>
            <w:vAlign w:val="center"/>
          </w:tcPr>
          <w:p w14:paraId="37DCD1E2" w14:textId="1CC9F723" w:rsidR="00D22FFC" w:rsidRPr="00D22FFC" w:rsidRDefault="00D22FFC" w:rsidP="00D22FFC">
            <w:pPr>
              <w:jc w:val="right"/>
              <w:rPr>
                <w:rFonts w:cs="Calibri"/>
                <w:color w:val="000000"/>
                <w:sz w:val="12"/>
                <w:szCs w:val="12"/>
              </w:rPr>
            </w:pPr>
            <w:r w:rsidRPr="00D22FFC">
              <w:rPr>
                <w:rFonts w:cs="Calibri"/>
                <w:color w:val="000000"/>
                <w:sz w:val="12"/>
                <w:szCs w:val="12"/>
              </w:rPr>
              <w:t>(18 095)</w:t>
            </w:r>
          </w:p>
        </w:tc>
      </w:tr>
      <w:tr w:rsidR="00D22FFC" w:rsidRPr="002C476A" w14:paraId="1410D822" w14:textId="77777777" w:rsidTr="00AF5F22">
        <w:trPr>
          <w:trHeight w:val="510"/>
        </w:trPr>
        <w:tc>
          <w:tcPr>
            <w:tcW w:w="0" w:type="auto"/>
            <w:tcBorders>
              <w:top w:val="single" w:sz="4" w:space="0" w:color="0077BD"/>
              <w:left w:val="nil"/>
              <w:bottom w:val="single" w:sz="8" w:space="0" w:color="0077BD"/>
              <w:right w:val="single" w:sz="6" w:space="0" w:color="0077BD"/>
            </w:tcBorders>
            <w:shd w:val="clear" w:color="000000" w:fill="FFFFFF"/>
            <w:vAlign w:val="center"/>
          </w:tcPr>
          <w:p w14:paraId="39FB1A81" w14:textId="77777777" w:rsidR="00D22FFC" w:rsidRPr="002C476A" w:rsidRDefault="00D22FFC" w:rsidP="00D22FFC">
            <w:pPr>
              <w:rPr>
                <w:rFonts w:cs="Calibri"/>
                <w:color w:val="000000"/>
                <w:sz w:val="12"/>
                <w:szCs w:val="12"/>
              </w:rPr>
            </w:pPr>
            <w:r w:rsidRPr="002C476A">
              <w:rPr>
                <w:rFonts w:cs="Calibri"/>
                <w:color w:val="000000"/>
                <w:sz w:val="12"/>
                <w:szCs w:val="12"/>
              </w:rPr>
              <w:t>Listy zastawne wyemitowane przez mBH o stałym oprocentowaniu</w:t>
            </w:r>
          </w:p>
        </w:tc>
        <w:tc>
          <w:tcPr>
            <w:tcW w:w="1418" w:type="dxa"/>
            <w:tcBorders>
              <w:top w:val="single" w:sz="4" w:space="0" w:color="0077BD"/>
              <w:left w:val="single" w:sz="6" w:space="0" w:color="0077BD"/>
              <w:bottom w:val="single" w:sz="8" w:space="0" w:color="0077BD"/>
              <w:right w:val="single" w:sz="6" w:space="0" w:color="0077BD"/>
            </w:tcBorders>
            <w:shd w:val="clear" w:color="000000" w:fill="FFFFFF"/>
            <w:vAlign w:val="center"/>
          </w:tcPr>
          <w:p w14:paraId="713486C6" w14:textId="04974FA8" w:rsidR="00D22FFC" w:rsidRPr="00D22FFC" w:rsidRDefault="00D22FFC" w:rsidP="00D22FFC">
            <w:pPr>
              <w:jc w:val="right"/>
              <w:rPr>
                <w:rFonts w:cs="Calibri"/>
                <w:color w:val="000000"/>
                <w:sz w:val="12"/>
                <w:szCs w:val="12"/>
              </w:rPr>
            </w:pPr>
            <w:r w:rsidRPr="00D22FFC">
              <w:rPr>
                <w:rFonts w:cs="Calibri"/>
                <w:color w:val="000000"/>
                <w:sz w:val="12"/>
                <w:szCs w:val="12"/>
              </w:rPr>
              <w:t>(2 491 064)</w:t>
            </w:r>
          </w:p>
        </w:tc>
        <w:tc>
          <w:tcPr>
            <w:tcW w:w="1418" w:type="dxa"/>
            <w:tcBorders>
              <w:top w:val="single" w:sz="4" w:space="0" w:color="0077BD"/>
              <w:left w:val="single" w:sz="6" w:space="0" w:color="0077BD"/>
              <w:bottom w:val="single" w:sz="8" w:space="0" w:color="0077BD"/>
              <w:right w:val="single" w:sz="6" w:space="0" w:color="0077BD"/>
            </w:tcBorders>
            <w:shd w:val="clear" w:color="000000" w:fill="FFFFFF"/>
            <w:vAlign w:val="center"/>
          </w:tcPr>
          <w:p w14:paraId="072357D0" w14:textId="10AAC950" w:rsidR="00D22FFC" w:rsidRPr="00D22FFC" w:rsidRDefault="00D22FFC" w:rsidP="00D22FFC">
            <w:pPr>
              <w:jc w:val="right"/>
              <w:rPr>
                <w:rFonts w:cs="Calibri"/>
                <w:color w:val="000000"/>
                <w:sz w:val="12"/>
                <w:szCs w:val="12"/>
              </w:rPr>
            </w:pPr>
            <w:r w:rsidRPr="00D22FFC">
              <w:rPr>
                <w:rFonts w:cs="Calibri"/>
                <w:color w:val="000000"/>
                <w:sz w:val="12"/>
                <w:szCs w:val="12"/>
              </w:rPr>
              <w:t>(51 549)</w:t>
            </w:r>
          </w:p>
        </w:tc>
        <w:tc>
          <w:tcPr>
            <w:tcW w:w="0" w:type="auto"/>
            <w:tcBorders>
              <w:top w:val="single" w:sz="4" w:space="0" w:color="0077BD"/>
              <w:left w:val="single" w:sz="6" w:space="0" w:color="0077BD"/>
              <w:bottom w:val="single" w:sz="8" w:space="0" w:color="0077BD"/>
              <w:right w:val="single" w:sz="6" w:space="0" w:color="0077BD"/>
            </w:tcBorders>
            <w:shd w:val="clear" w:color="000000" w:fill="FFFFFF"/>
            <w:vAlign w:val="center"/>
          </w:tcPr>
          <w:p w14:paraId="71EC8008" w14:textId="77777777" w:rsidR="00D22FFC" w:rsidRPr="002C476A" w:rsidRDefault="00D22FFC" w:rsidP="00D22FFC">
            <w:pPr>
              <w:rPr>
                <w:rFonts w:cs="Calibri"/>
                <w:color w:val="000000"/>
                <w:sz w:val="12"/>
                <w:szCs w:val="12"/>
              </w:rPr>
            </w:pPr>
            <w:r w:rsidRPr="002C476A">
              <w:rPr>
                <w:rFonts w:cs="Calibri"/>
                <w:color w:val="000000"/>
                <w:sz w:val="12"/>
                <w:szCs w:val="12"/>
              </w:rPr>
              <w:t>Zobowiązania finansowe wyceniane w zamortyzowanym koszcie – zobowiązania z tytułu emisji dłużnych papierów wartościowych</w:t>
            </w:r>
          </w:p>
        </w:tc>
        <w:tc>
          <w:tcPr>
            <w:tcW w:w="1418" w:type="dxa"/>
            <w:tcBorders>
              <w:top w:val="single" w:sz="4" w:space="0" w:color="0077BD"/>
              <w:left w:val="single" w:sz="6" w:space="0" w:color="0077BD"/>
              <w:bottom w:val="single" w:sz="8" w:space="0" w:color="0077BD"/>
              <w:right w:val="nil"/>
            </w:tcBorders>
            <w:shd w:val="clear" w:color="auto" w:fill="auto"/>
            <w:vAlign w:val="center"/>
          </w:tcPr>
          <w:p w14:paraId="18F898F6" w14:textId="1D4FD5FD" w:rsidR="00D22FFC" w:rsidRPr="00D22FFC" w:rsidRDefault="00D22FFC" w:rsidP="00D22FFC">
            <w:pPr>
              <w:jc w:val="right"/>
              <w:rPr>
                <w:rFonts w:cs="Calibri"/>
                <w:color w:val="000000"/>
                <w:sz w:val="12"/>
                <w:szCs w:val="12"/>
              </w:rPr>
            </w:pPr>
            <w:r w:rsidRPr="00D22FFC">
              <w:rPr>
                <w:rFonts w:cs="Calibri"/>
                <w:color w:val="000000"/>
                <w:sz w:val="12"/>
                <w:szCs w:val="12"/>
              </w:rPr>
              <w:t>(33 740)</w:t>
            </w:r>
          </w:p>
        </w:tc>
      </w:tr>
      <w:tr w:rsidR="00DE1A6E" w:rsidRPr="002C476A" w14:paraId="2241D12F" w14:textId="77777777" w:rsidTr="00AF5F22">
        <w:trPr>
          <w:trHeight w:val="240"/>
        </w:trPr>
        <w:tc>
          <w:tcPr>
            <w:tcW w:w="1418" w:type="dxa"/>
            <w:gridSpan w:val="4"/>
            <w:tcBorders>
              <w:top w:val="single" w:sz="8" w:space="0" w:color="0077BD"/>
              <w:left w:val="nil"/>
              <w:bottom w:val="single" w:sz="8" w:space="0" w:color="0077BD"/>
              <w:right w:val="single" w:sz="6" w:space="0" w:color="2E74B5"/>
            </w:tcBorders>
            <w:shd w:val="clear" w:color="000000" w:fill="FFFFFF"/>
            <w:noWrap/>
            <w:vAlign w:val="center"/>
            <w:hideMark/>
          </w:tcPr>
          <w:p w14:paraId="65403DC2" w14:textId="77777777" w:rsidR="00DE1A6E" w:rsidRPr="002C476A" w:rsidRDefault="00DE1A6E" w:rsidP="002C6DA9">
            <w:pPr>
              <w:rPr>
                <w:rFonts w:cs="Calibri"/>
                <w:b/>
                <w:bCs/>
                <w:color w:val="000000"/>
                <w:sz w:val="12"/>
                <w:szCs w:val="12"/>
              </w:rPr>
            </w:pPr>
            <w:r>
              <w:rPr>
                <w:rFonts w:cs="Calibri"/>
                <w:b/>
                <w:bCs/>
                <w:color w:val="000000"/>
                <w:sz w:val="12"/>
                <w:szCs w:val="12"/>
              </w:rPr>
              <w:t>RAZEM</w:t>
            </w:r>
          </w:p>
        </w:tc>
        <w:tc>
          <w:tcPr>
            <w:tcW w:w="1418" w:type="dxa"/>
            <w:tcBorders>
              <w:top w:val="single" w:sz="8" w:space="0" w:color="0077BD"/>
              <w:left w:val="single" w:sz="6" w:space="0" w:color="2E74B5"/>
              <w:bottom w:val="single" w:sz="8" w:space="0" w:color="0077BD"/>
              <w:right w:val="nil"/>
            </w:tcBorders>
            <w:shd w:val="clear" w:color="000000" w:fill="FFFFFF"/>
            <w:noWrap/>
            <w:vAlign w:val="center"/>
            <w:hideMark/>
          </w:tcPr>
          <w:p w14:paraId="6C8E1829" w14:textId="6F3F88F3" w:rsidR="00DE1A6E" w:rsidRPr="002C476A" w:rsidRDefault="00D22FFC" w:rsidP="00D22FFC">
            <w:pPr>
              <w:jc w:val="right"/>
              <w:rPr>
                <w:rFonts w:cs="Calibri"/>
                <w:b/>
                <w:bCs/>
                <w:color w:val="000000"/>
                <w:sz w:val="12"/>
                <w:szCs w:val="12"/>
              </w:rPr>
            </w:pPr>
            <w:r>
              <w:rPr>
                <w:rFonts w:cs="Calibri"/>
                <w:b/>
                <w:bCs/>
                <w:color w:val="000000"/>
                <w:sz w:val="12"/>
                <w:szCs w:val="12"/>
              </w:rPr>
              <w:t>(76</w:t>
            </w:r>
            <w:r w:rsidR="00DE1A6E" w:rsidRPr="002C476A">
              <w:rPr>
                <w:rFonts w:cs="Calibri"/>
                <w:b/>
                <w:bCs/>
                <w:color w:val="000000"/>
                <w:sz w:val="12"/>
                <w:szCs w:val="12"/>
              </w:rPr>
              <w:t xml:space="preserve"> </w:t>
            </w:r>
            <w:r>
              <w:rPr>
                <w:rFonts w:cs="Calibri"/>
                <w:b/>
                <w:bCs/>
                <w:color w:val="000000"/>
                <w:sz w:val="12"/>
                <w:szCs w:val="12"/>
              </w:rPr>
              <w:t>36</w:t>
            </w:r>
            <w:r w:rsidR="00DE1A6E" w:rsidRPr="002C476A">
              <w:rPr>
                <w:rFonts w:cs="Calibri"/>
                <w:b/>
                <w:bCs/>
                <w:color w:val="000000"/>
                <w:sz w:val="12"/>
                <w:szCs w:val="12"/>
              </w:rPr>
              <w:t>7)</w:t>
            </w:r>
          </w:p>
        </w:tc>
      </w:tr>
    </w:tbl>
    <w:p w14:paraId="2CA4E85E" w14:textId="77777777" w:rsidR="004C20EA" w:rsidRPr="0068723D" w:rsidRDefault="004C20EA" w:rsidP="001D679E">
      <w:pPr>
        <w:tabs>
          <w:tab w:val="left" w:pos="0"/>
        </w:tabs>
        <w:suppressAutoHyphens/>
        <w:spacing w:before="120" w:after="120"/>
        <w:jc w:val="both"/>
        <w:rPr>
          <w:rFonts w:cs="Tahoma"/>
          <w:b/>
          <w:bCs/>
          <w:color w:val="000000" w:themeColor="text1"/>
          <w:sz w:val="18"/>
          <w:szCs w:val="18"/>
          <w:lang w:eastAsia="en-US"/>
        </w:rPr>
      </w:pPr>
      <w:r w:rsidRPr="0068723D">
        <w:rPr>
          <w:rFonts w:cs="Tahoma"/>
          <w:b/>
          <w:bCs/>
          <w:color w:val="000000" w:themeColor="text1"/>
          <w:sz w:val="18"/>
          <w:szCs w:val="18"/>
          <w:lang w:eastAsia="en-US"/>
        </w:rPr>
        <w:t>Wartości nominalne instrumentów pochodnych zabezpieczających - zabezpieczenie wartości godziwej</w:t>
      </w:r>
    </w:p>
    <w:tbl>
      <w:tblPr>
        <w:tblW w:w="9639" w:type="dxa"/>
        <w:tblLayout w:type="fixed"/>
        <w:tblCellMar>
          <w:left w:w="28" w:type="dxa"/>
          <w:right w:w="28" w:type="dxa"/>
        </w:tblCellMar>
        <w:tblLook w:val="04A0" w:firstRow="1" w:lastRow="0" w:firstColumn="1" w:lastColumn="0" w:noHBand="0" w:noVBand="1"/>
      </w:tblPr>
      <w:tblGrid>
        <w:gridCol w:w="2755"/>
        <w:gridCol w:w="1148"/>
        <w:gridCol w:w="1148"/>
        <w:gridCol w:w="1147"/>
        <w:gridCol w:w="1147"/>
        <w:gridCol w:w="1147"/>
        <w:gridCol w:w="1147"/>
      </w:tblGrid>
      <w:tr w:rsidR="007A72B1" w:rsidRPr="007A72B1" w14:paraId="403959BC" w14:textId="77777777" w:rsidTr="00742320">
        <w:trPr>
          <w:trHeight w:val="454"/>
        </w:trPr>
        <w:tc>
          <w:tcPr>
            <w:tcW w:w="2755" w:type="dxa"/>
            <w:tcBorders>
              <w:left w:val="nil"/>
              <w:right w:val="nil"/>
            </w:tcBorders>
            <w:shd w:val="clear" w:color="000000" w:fill="0077BD"/>
            <w:vAlign w:val="center"/>
            <w:hideMark/>
          </w:tcPr>
          <w:p w14:paraId="2F21BE9D" w14:textId="34AC1E33" w:rsidR="007A72B1" w:rsidRPr="007A72B1" w:rsidRDefault="007A72B1" w:rsidP="007A72B1">
            <w:pPr>
              <w:rPr>
                <w:rFonts w:cs="Calibri"/>
                <w:b/>
                <w:bCs/>
                <w:color w:val="FFFFFF"/>
                <w:sz w:val="13"/>
                <w:szCs w:val="13"/>
              </w:rPr>
            </w:pPr>
          </w:p>
        </w:tc>
        <w:tc>
          <w:tcPr>
            <w:tcW w:w="1148" w:type="dxa"/>
            <w:tcBorders>
              <w:left w:val="single" w:sz="8" w:space="0" w:color="FFFFFF"/>
              <w:right w:val="single" w:sz="8" w:space="0" w:color="FFFFFF"/>
            </w:tcBorders>
            <w:shd w:val="clear" w:color="000000" w:fill="0077BD"/>
            <w:vAlign w:val="center"/>
            <w:hideMark/>
          </w:tcPr>
          <w:p w14:paraId="3C9A4A8D" w14:textId="77777777" w:rsidR="007A72B1" w:rsidRPr="007A72B1" w:rsidRDefault="007A72B1" w:rsidP="007A72B1">
            <w:pPr>
              <w:jc w:val="center"/>
              <w:rPr>
                <w:rFonts w:cs="Calibri"/>
                <w:b/>
                <w:bCs/>
                <w:color w:val="FFFFFF"/>
                <w:sz w:val="13"/>
                <w:szCs w:val="13"/>
              </w:rPr>
            </w:pPr>
            <w:r w:rsidRPr="007A72B1">
              <w:rPr>
                <w:rFonts w:cs="Calibri"/>
                <w:b/>
                <w:bCs/>
                <w:color w:val="FFFFFF"/>
                <w:sz w:val="13"/>
                <w:szCs w:val="13"/>
              </w:rPr>
              <w:t>do 1 miesiąca</w:t>
            </w:r>
          </w:p>
        </w:tc>
        <w:tc>
          <w:tcPr>
            <w:tcW w:w="1148" w:type="dxa"/>
            <w:tcBorders>
              <w:left w:val="nil"/>
              <w:right w:val="single" w:sz="8" w:space="0" w:color="FFFFFF"/>
            </w:tcBorders>
            <w:shd w:val="clear" w:color="000000" w:fill="0077BD"/>
            <w:vAlign w:val="center"/>
            <w:hideMark/>
          </w:tcPr>
          <w:p w14:paraId="062AE1F0" w14:textId="77777777" w:rsidR="007A72B1" w:rsidRPr="007A72B1" w:rsidRDefault="007A72B1" w:rsidP="007A72B1">
            <w:pPr>
              <w:jc w:val="center"/>
              <w:rPr>
                <w:rFonts w:cs="Calibri"/>
                <w:b/>
                <w:bCs/>
                <w:color w:val="FFFFFF"/>
                <w:sz w:val="13"/>
                <w:szCs w:val="13"/>
              </w:rPr>
            </w:pPr>
            <w:r w:rsidRPr="007A72B1">
              <w:rPr>
                <w:rFonts w:cs="Calibri"/>
                <w:b/>
                <w:bCs/>
                <w:color w:val="FFFFFF"/>
                <w:sz w:val="13"/>
                <w:szCs w:val="13"/>
              </w:rPr>
              <w:t>od 1 do 3 miesięcy</w:t>
            </w:r>
          </w:p>
        </w:tc>
        <w:tc>
          <w:tcPr>
            <w:tcW w:w="1147" w:type="dxa"/>
            <w:tcBorders>
              <w:left w:val="nil"/>
              <w:right w:val="single" w:sz="8" w:space="0" w:color="FFFFFF"/>
            </w:tcBorders>
            <w:shd w:val="clear" w:color="000000" w:fill="0077BD"/>
            <w:vAlign w:val="center"/>
            <w:hideMark/>
          </w:tcPr>
          <w:p w14:paraId="362A5814" w14:textId="77777777" w:rsidR="007A72B1" w:rsidRPr="007A72B1" w:rsidRDefault="007A72B1" w:rsidP="007A72B1">
            <w:pPr>
              <w:jc w:val="center"/>
              <w:rPr>
                <w:rFonts w:cs="Calibri"/>
                <w:b/>
                <w:bCs/>
                <w:color w:val="FFFFFF"/>
                <w:sz w:val="13"/>
                <w:szCs w:val="13"/>
              </w:rPr>
            </w:pPr>
            <w:r w:rsidRPr="007A72B1">
              <w:rPr>
                <w:rFonts w:cs="Calibri"/>
                <w:b/>
                <w:bCs/>
                <w:color w:val="FFFFFF"/>
                <w:sz w:val="13"/>
                <w:szCs w:val="13"/>
              </w:rPr>
              <w:t>od 3 miesięcy do 1 roku</w:t>
            </w:r>
          </w:p>
        </w:tc>
        <w:tc>
          <w:tcPr>
            <w:tcW w:w="1147" w:type="dxa"/>
            <w:tcBorders>
              <w:left w:val="nil"/>
              <w:right w:val="single" w:sz="8" w:space="0" w:color="FFFFFF"/>
            </w:tcBorders>
            <w:shd w:val="clear" w:color="000000" w:fill="0077BD"/>
            <w:vAlign w:val="center"/>
            <w:hideMark/>
          </w:tcPr>
          <w:p w14:paraId="1181D155" w14:textId="5CE0F5E5" w:rsidR="007A72B1" w:rsidRPr="007A72B1" w:rsidRDefault="007A72B1" w:rsidP="007A72B1">
            <w:pPr>
              <w:jc w:val="center"/>
              <w:rPr>
                <w:rFonts w:cs="Calibri"/>
                <w:b/>
                <w:bCs/>
                <w:color w:val="FFFFFF"/>
                <w:sz w:val="13"/>
                <w:szCs w:val="13"/>
              </w:rPr>
            </w:pPr>
            <w:r w:rsidRPr="007A72B1">
              <w:rPr>
                <w:rFonts w:cs="Calibri"/>
                <w:b/>
                <w:bCs/>
                <w:color w:val="FFFFFF"/>
                <w:sz w:val="13"/>
                <w:szCs w:val="13"/>
              </w:rPr>
              <w:t xml:space="preserve">od 1 roku </w:t>
            </w:r>
            <w:r w:rsidR="00DD59E7">
              <w:rPr>
                <w:rFonts w:cs="Calibri"/>
                <w:b/>
                <w:bCs/>
                <w:color w:val="FFFFFF"/>
                <w:sz w:val="13"/>
                <w:szCs w:val="13"/>
              </w:rPr>
              <w:br/>
            </w:r>
            <w:r w:rsidRPr="007A72B1">
              <w:rPr>
                <w:rFonts w:cs="Calibri"/>
                <w:b/>
                <w:bCs/>
                <w:color w:val="FFFFFF"/>
                <w:sz w:val="13"/>
                <w:szCs w:val="13"/>
              </w:rPr>
              <w:t>do 5 lat</w:t>
            </w:r>
          </w:p>
        </w:tc>
        <w:tc>
          <w:tcPr>
            <w:tcW w:w="1147" w:type="dxa"/>
            <w:tcBorders>
              <w:left w:val="nil"/>
              <w:right w:val="single" w:sz="8" w:space="0" w:color="FFFFFF"/>
            </w:tcBorders>
            <w:shd w:val="clear" w:color="000000" w:fill="0077BD"/>
            <w:vAlign w:val="center"/>
            <w:hideMark/>
          </w:tcPr>
          <w:p w14:paraId="3C486A18" w14:textId="77777777" w:rsidR="007A72B1" w:rsidRPr="007A72B1" w:rsidRDefault="007A72B1" w:rsidP="007A72B1">
            <w:pPr>
              <w:jc w:val="center"/>
              <w:rPr>
                <w:rFonts w:cs="Calibri"/>
                <w:b/>
                <w:bCs/>
                <w:color w:val="FFFFFF"/>
                <w:sz w:val="13"/>
                <w:szCs w:val="13"/>
              </w:rPr>
            </w:pPr>
            <w:r w:rsidRPr="007A72B1">
              <w:rPr>
                <w:rFonts w:cs="Calibri"/>
                <w:b/>
                <w:bCs/>
                <w:color w:val="FFFFFF"/>
                <w:sz w:val="13"/>
                <w:szCs w:val="13"/>
              </w:rPr>
              <w:t>powyżej 5 lat</w:t>
            </w:r>
          </w:p>
        </w:tc>
        <w:tc>
          <w:tcPr>
            <w:tcW w:w="1147" w:type="dxa"/>
            <w:tcBorders>
              <w:left w:val="nil"/>
              <w:right w:val="nil"/>
            </w:tcBorders>
            <w:shd w:val="clear" w:color="000000" w:fill="0077BD"/>
            <w:vAlign w:val="center"/>
            <w:hideMark/>
          </w:tcPr>
          <w:p w14:paraId="411AE7BF" w14:textId="77777777" w:rsidR="007A72B1" w:rsidRPr="007A72B1" w:rsidRDefault="007A72B1" w:rsidP="007A72B1">
            <w:pPr>
              <w:jc w:val="center"/>
              <w:rPr>
                <w:rFonts w:cs="Calibri"/>
                <w:b/>
                <w:bCs/>
                <w:color w:val="FFFFFF"/>
                <w:sz w:val="13"/>
                <w:szCs w:val="13"/>
              </w:rPr>
            </w:pPr>
            <w:r w:rsidRPr="007A72B1">
              <w:rPr>
                <w:rFonts w:cs="Calibri"/>
                <w:b/>
                <w:bCs/>
                <w:color w:val="FFFFFF"/>
                <w:sz w:val="13"/>
                <w:szCs w:val="13"/>
              </w:rPr>
              <w:t>Razem</w:t>
            </w:r>
          </w:p>
        </w:tc>
      </w:tr>
      <w:tr w:rsidR="00437E6D" w:rsidRPr="00BB7C9E" w14:paraId="1276541D" w14:textId="77777777" w:rsidTr="00880377">
        <w:trPr>
          <w:trHeight w:val="339"/>
        </w:trPr>
        <w:tc>
          <w:tcPr>
            <w:tcW w:w="2755" w:type="dxa"/>
            <w:tcBorders>
              <w:left w:val="nil"/>
              <w:bottom w:val="single" w:sz="4" w:space="0" w:color="0077BD"/>
              <w:right w:val="single" w:sz="8" w:space="0" w:color="0077BD"/>
            </w:tcBorders>
            <w:shd w:val="clear" w:color="auto" w:fill="auto"/>
            <w:vAlign w:val="center"/>
            <w:hideMark/>
          </w:tcPr>
          <w:p w14:paraId="733468D8" w14:textId="1D361D08" w:rsidR="00437E6D" w:rsidRPr="001F775B" w:rsidRDefault="00437E6D" w:rsidP="00437E6D">
            <w:pPr>
              <w:rPr>
                <w:rFonts w:cs="Calibri"/>
                <w:b/>
                <w:bCs/>
                <w:color w:val="000000" w:themeColor="text1"/>
                <w:sz w:val="13"/>
                <w:szCs w:val="13"/>
              </w:rPr>
            </w:pPr>
            <w:r w:rsidRPr="001F775B">
              <w:rPr>
                <w:rFonts w:cs="Calibri"/>
                <w:b/>
                <w:bCs/>
                <w:color w:val="000000" w:themeColor="text1"/>
                <w:sz w:val="13"/>
                <w:szCs w:val="13"/>
              </w:rPr>
              <w:t>31.12.2019</w:t>
            </w:r>
          </w:p>
        </w:tc>
        <w:tc>
          <w:tcPr>
            <w:tcW w:w="1148" w:type="dxa"/>
            <w:tcBorders>
              <w:left w:val="nil"/>
              <w:bottom w:val="single" w:sz="4" w:space="0" w:color="0077BD"/>
              <w:right w:val="single" w:sz="8" w:space="0" w:color="0077BD"/>
            </w:tcBorders>
            <w:shd w:val="clear" w:color="auto" w:fill="auto"/>
            <w:noWrap/>
            <w:vAlign w:val="center"/>
            <w:hideMark/>
          </w:tcPr>
          <w:p w14:paraId="3CA727B8" w14:textId="77777777" w:rsidR="00437E6D" w:rsidRPr="001F775B" w:rsidRDefault="00437E6D" w:rsidP="00437E6D">
            <w:pPr>
              <w:jc w:val="right"/>
              <w:rPr>
                <w:rFonts w:cs="Calibri"/>
                <w:color w:val="000000" w:themeColor="text1"/>
                <w:sz w:val="13"/>
                <w:szCs w:val="13"/>
              </w:rPr>
            </w:pPr>
            <w:r w:rsidRPr="001F775B">
              <w:rPr>
                <w:rFonts w:cs="Calibri"/>
                <w:color w:val="000000" w:themeColor="text1"/>
                <w:sz w:val="13"/>
                <w:szCs w:val="13"/>
              </w:rPr>
              <w:t>-</w:t>
            </w:r>
          </w:p>
        </w:tc>
        <w:tc>
          <w:tcPr>
            <w:tcW w:w="1148" w:type="dxa"/>
            <w:tcBorders>
              <w:left w:val="nil"/>
              <w:bottom w:val="single" w:sz="4" w:space="0" w:color="0077BD"/>
              <w:right w:val="single" w:sz="8" w:space="0" w:color="0077BD"/>
            </w:tcBorders>
            <w:shd w:val="clear" w:color="auto" w:fill="auto"/>
            <w:noWrap/>
            <w:vAlign w:val="center"/>
            <w:hideMark/>
          </w:tcPr>
          <w:p w14:paraId="73ABA46B" w14:textId="77777777" w:rsidR="00437E6D" w:rsidRPr="001F775B" w:rsidRDefault="00437E6D" w:rsidP="00437E6D">
            <w:pPr>
              <w:jc w:val="right"/>
              <w:rPr>
                <w:rFonts w:cs="Calibri"/>
                <w:color w:val="000000" w:themeColor="text1"/>
                <w:sz w:val="13"/>
                <w:szCs w:val="13"/>
              </w:rPr>
            </w:pPr>
            <w:r w:rsidRPr="001F775B">
              <w:rPr>
                <w:rFonts w:cs="Calibri"/>
                <w:color w:val="000000" w:themeColor="text1"/>
                <w:sz w:val="13"/>
                <w:szCs w:val="13"/>
              </w:rPr>
              <w:t>-</w:t>
            </w:r>
          </w:p>
        </w:tc>
        <w:tc>
          <w:tcPr>
            <w:tcW w:w="1147" w:type="dxa"/>
            <w:tcBorders>
              <w:left w:val="nil"/>
              <w:bottom w:val="single" w:sz="4" w:space="0" w:color="0077BD"/>
              <w:right w:val="single" w:sz="8" w:space="0" w:color="0077BD"/>
            </w:tcBorders>
            <w:shd w:val="clear" w:color="auto" w:fill="auto"/>
            <w:noWrap/>
            <w:vAlign w:val="center"/>
          </w:tcPr>
          <w:p w14:paraId="1ACF9043" w14:textId="0A639532" w:rsidR="00437E6D" w:rsidRPr="001F775B" w:rsidRDefault="00990F9C" w:rsidP="00437E6D">
            <w:pPr>
              <w:jc w:val="right"/>
              <w:rPr>
                <w:rFonts w:cs="Calibri"/>
                <w:color w:val="000000" w:themeColor="text1"/>
                <w:sz w:val="13"/>
                <w:szCs w:val="13"/>
              </w:rPr>
            </w:pPr>
            <w:r>
              <w:rPr>
                <w:sz w:val="13"/>
                <w:szCs w:val="16"/>
              </w:rPr>
              <w:t>2 12</w:t>
            </w:r>
            <w:r w:rsidR="00437E6D" w:rsidRPr="001F775B">
              <w:rPr>
                <w:sz w:val="13"/>
                <w:szCs w:val="16"/>
              </w:rPr>
              <w:t>9 250</w:t>
            </w:r>
          </w:p>
        </w:tc>
        <w:tc>
          <w:tcPr>
            <w:tcW w:w="1147" w:type="dxa"/>
            <w:tcBorders>
              <w:left w:val="nil"/>
              <w:bottom w:val="single" w:sz="4" w:space="0" w:color="0077BD"/>
              <w:right w:val="single" w:sz="8" w:space="0" w:color="0077BD"/>
            </w:tcBorders>
            <w:shd w:val="clear" w:color="auto" w:fill="auto"/>
            <w:noWrap/>
            <w:vAlign w:val="center"/>
          </w:tcPr>
          <w:p w14:paraId="27DE29B1" w14:textId="02596929" w:rsidR="00437E6D" w:rsidRPr="001F775B" w:rsidRDefault="00437E6D" w:rsidP="00437E6D">
            <w:pPr>
              <w:jc w:val="right"/>
              <w:rPr>
                <w:rFonts w:cs="Calibri"/>
                <w:color w:val="000000" w:themeColor="text1"/>
                <w:sz w:val="13"/>
                <w:szCs w:val="13"/>
              </w:rPr>
            </w:pPr>
            <w:r>
              <w:rPr>
                <w:sz w:val="13"/>
                <w:szCs w:val="16"/>
              </w:rPr>
              <w:t>7 219 211</w:t>
            </w:r>
          </w:p>
        </w:tc>
        <w:tc>
          <w:tcPr>
            <w:tcW w:w="1147" w:type="dxa"/>
            <w:tcBorders>
              <w:left w:val="nil"/>
              <w:bottom w:val="single" w:sz="4" w:space="0" w:color="0077BD"/>
              <w:right w:val="single" w:sz="8" w:space="0" w:color="0077BD"/>
            </w:tcBorders>
            <w:shd w:val="clear" w:color="auto" w:fill="auto"/>
            <w:noWrap/>
            <w:vAlign w:val="center"/>
          </w:tcPr>
          <w:p w14:paraId="10F22C7E" w14:textId="6D578738" w:rsidR="00437E6D" w:rsidRPr="001F775B" w:rsidRDefault="00437E6D" w:rsidP="00437E6D">
            <w:pPr>
              <w:jc w:val="right"/>
              <w:rPr>
                <w:rFonts w:cs="Calibri"/>
                <w:color w:val="000000" w:themeColor="text1"/>
                <w:sz w:val="13"/>
                <w:szCs w:val="13"/>
              </w:rPr>
            </w:pPr>
            <w:r>
              <w:rPr>
                <w:sz w:val="13"/>
                <w:szCs w:val="16"/>
              </w:rPr>
              <w:t>3 156 579</w:t>
            </w:r>
          </w:p>
        </w:tc>
        <w:tc>
          <w:tcPr>
            <w:tcW w:w="1147" w:type="dxa"/>
            <w:tcBorders>
              <w:left w:val="nil"/>
              <w:bottom w:val="single" w:sz="4" w:space="0" w:color="0077BD"/>
              <w:right w:val="nil"/>
            </w:tcBorders>
            <w:shd w:val="clear" w:color="auto" w:fill="auto"/>
            <w:noWrap/>
            <w:vAlign w:val="center"/>
          </w:tcPr>
          <w:p w14:paraId="35A1924D" w14:textId="2F900CF0" w:rsidR="00437E6D" w:rsidRPr="00BB7C9E" w:rsidRDefault="00437E6D" w:rsidP="00437E6D">
            <w:pPr>
              <w:jc w:val="right"/>
              <w:rPr>
                <w:rFonts w:cs="Calibri"/>
                <w:b/>
                <w:bCs/>
                <w:color w:val="000000" w:themeColor="text1"/>
                <w:sz w:val="13"/>
                <w:szCs w:val="13"/>
              </w:rPr>
            </w:pPr>
            <w:r>
              <w:rPr>
                <w:b/>
                <w:bCs/>
                <w:sz w:val="13"/>
                <w:szCs w:val="16"/>
              </w:rPr>
              <w:t>12 505 040</w:t>
            </w:r>
          </w:p>
        </w:tc>
      </w:tr>
      <w:tr w:rsidR="007A72B1" w:rsidRPr="00BB7C9E" w14:paraId="2BE41F1C" w14:textId="77777777" w:rsidTr="00437E6D">
        <w:trPr>
          <w:trHeight w:val="339"/>
        </w:trPr>
        <w:tc>
          <w:tcPr>
            <w:tcW w:w="2755" w:type="dxa"/>
            <w:tcBorders>
              <w:top w:val="single" w:sz="4" w:space="0" w:color="0077BD"/>
              <w:left w:val="nil"/>
              <w:bottom w:val="single" w:sz="4" w:space="0" w:color="0077BD"/>
              <w:right w:val="single" w:sz="8" w:space="0" w:color="0077BD"/>
            </w:tcBorders>
            <w:shd w:val="clear" w:color="auto" w:fill="auto"/>
            <w:vAlign w:val="center"/>
            <w:hideMark/>
          </w:tcPr>
          <w:p w14:paraId="61B40B01" w14:textId="65CAD808" w:rsidR="007A72B1" w:rsidRPr="00BB7C9E" w:rsidRDefault="00105922" w:rsidP="007A72B1">
            <w:pPr>
              <w:rPr>
                <w:rFonts w:cs="Calibri"/>
                <w:b/>
                <w:bCs/>
                <w:color w:val="000000" w:themeColor="text1"/>
                <w:sz w:val="13"/>
                <w:szCs w:val="13"/>
              </w:rPr>
            </w:pPr>
            <w:r w:rsidRPr="00BB7C9E">
              <w:rPr>
                <w:rFonts w:cs="Calibri"/>
                <w:b/>
                <w:bCs/>
                <w:color w:val="000000" w:themeColor="text1"/>
                <w:sz w:val="13"/>
                <w:szCs w:val="13"/>
              </w:rPr>
              <w:t>31.12.2018</w:t>
            </w:r>
          </w:p>
        </w:tc>
        <w:tc>
          <w:tcPr>
            <w:tcW w:w="1148" w:type="dxa"/>
            <w:tcBorders>
              <w:top w:val="single" w:sz="4" w:space="0" w:color="0077BD"/>
              <w:left w:val="nil"/>
              <w:bottom w:val="single" w:sz="4" w:space="0" w:color="0077BD"/>
              <w:right w:val="single" w:sz="8" w:space="0" w:color="0077BD"/>
            </w:tcBorders>
            <w:shd w:val="clear" w:color="auto" w:fill="auto"/>
            <w:noWrap/>
            <w:vAlign w:val="center"/>
            <w:hideMark/>
          </w:tcPr>
          <w:p w14:paraId="531713F5" w14:textId="77777777" w:rsidR="007A72B1" w:rsidRPr="00BB7C9E" w:rsidRDefault="007A72B1" w:rsidP="007A72B1">
            <w:pPr>
              <w:jc w:val="right"/>
              <w:rPr>
                <w:rFonts w:cs="Calibri"/>
                <w:color w:val="000000" w:themeColor="text1"/>
                <w:sz w:val="13"/>
                <w:szCs w:val="13"/>
              </w:rPr>
            </w:pPr>
            <w:r w:rsidRPr="00BB7C9E">
              <w:rPr>
                <w:rFonts w:cs="Calibri"/>
                <w:color w:val="000000" w:themeColor="text1"/>
                <w:sz w:val="13"/>
                <w:szCs w:val="13"/>
              </w:rPr>
              <w:t>-</w:t>
            </w:r>
          </w:p>
        </w:tc>
        <w:tc>
          <w:tcPr>
            <w:tcW w:w="1148" w:type="dxa"/>
            <w:tcBorders>
              <w:top w:val="single" w:sz="4" w:space="0" w:color="0077BD"/>
              <w:left w:val="nil"/>
              <w:bottom w:val="single" w:sz="4" w:space="0" w:color="0077BD"/>
              <w:right w:val="single" w:sz="8" w:space="0" w:color="0077BD"/>
            </w:tcBorders>
            <w:shd w:val="clear" w:color="auto" w:fill="auto"/>
            <w:noWrap/>
            <w:vAlign w:val="center"/>
            <w:hideMark/>
          </w:tcPr>
          <w:p w14:paraId="37657BBD" w14:textId="77777777" w:rsidR="007A72B1" w:rsidRPr="00BB7C9E" w:rsidRDefault="007A72B1" w:rsidP="007A72B1">
            <w:pPr>
              <w:jc w:val="right"/>
              <w:rPr>
                <w:rFonts w:cs="Calibri"/>
                <w:color w:val="000000" w:themeColor="text1"/>
                <w:sz w:val="13"/>
                <w:szCs w:val="13"/>
              </w:rPr>
            </w:pPr>
            <w:r w:rsidRPr="00BB7C9E">
              <w:rPr>
                <w:rFonts w:cs="Calibri"/>
                <w:color w:val="000000" w:themeColor="text1"/>
                <w:sz w:val="13"/>
                <w:szCs w:val="13"/>
              </w:rPr>
              <w:t>-</w:t>
            </w:r>
          </w:p>
        </w:tc>
        <w:tc>
          <w:tcPr>
            <w:tcW w:w="1147" w:type="dxa"/>
            <w:tcBorders>
              <w:top w:val="single" w:sz="4" w:space="0" w:color="0077BD"/>
              <w:left w:val="nil"/>
              <w:bottom w:val="single" w:sz="4" w:space="0" w:color="0077BD"/>
              <w:right w:val="single" w:sz="8" w:space="0" w:color="0077BD"/>
            </w:tcBorders>
            <w:shd w:val="clear" w:color="auto" w:fill="auto"/>
            <w:noWrap/>
            <w:vAlign w:val="center"/>
            <w:hideMark/>
          </w:tcPr>
          <w:p w14:paraId="4B48E46A" w14:textId="77777777" w:rsidR="007A72B1" w:rsidRPr="00BB7C9E" w:rsidRDefault="007A72B1" w:rsidP="007A72B1">
            <w:pPr>
              <w:jc w:val="right"/>
              <w:rPr>
                <w:rFonts w:cs="Calibri"/>
                <w:color w:val="000000" w:themeColor="text1"/>
                <w:sz w:val="13"/>
                <w:szCs w:val="13"/>
              </w:rPr>
            </w:pPr>
            <w:r w:rsidRPr="00BB7C9E">
              <w:rPr>
                <w:rFonts w:cs="Calibri"/>
                <w:color w:val="000000" w:themeColor="text1"/>
                <w:sz w:val="13"/>
                <w:szCs w:val="13"/>
              </w:rPr>
              <w:t>2 150 000</w:t>
            </w:r>
          </w:p>
        </w:tc>
        <w:tc>
          <w:tcPr>
            <w:tcW w:w="1147" w:type="dxa"/>
            <w:tcBorders>
              <w:top w:val="single" w:sz="4" w:space="0" w:color="0077BD"/>
              <w:left w:val="nil"/>
              <w:bottom w:val="single" w:sz="4" w:space="0" w:color="0077BD"/>
              <w:right w:val="single" w:sz="8" w:space="0" w:color="0077BD"/>
            </w:tcBorders>
            <w:shd w:val="clear" w:color="auto" w:fill="auto"/>
            <w:noWrap/>
            <w:vAlign w:val="center"/>
            <w:hideMark/>
          </w:tcPr>
          <w:p w14:paraId="466F9FC8" w14:textId="77777777" w:rsidR="007A72B1" w:rsidRPr="00BB7C9E" w:rsidRDefault="007A72B1" w:rsidP="007A72B1">
            <w:pPr>
              <w:jc w:val="right"/>
              <w:rPr>
                <w:rFonts w:cs="Calibri"/>
                <w:color w:val="000000" w:themeColor="text1"/>
                <w:sz w:val="13"/>
                <w:szCs w:val="13"/>
              </w:rPr>
            </w:pPr>
            <w:r w:rsidRPr="00BB7C9E">
              <w:rPr>
                <w:rFonts w:cs="Calibri"/>
                <w:color w:val="000000" w:themeColor="text1"/>
                <w:sz w:val="13"/>
                <w:szCs w:val="13"/>
              </w:rPr>
              <w:t>8 330 308</w:t>
            </w:r>
          </w:p>
        </w:tc>
        <w:tc>
          <w:tcPr>
            <w:tcW w:w="1147" w:type="dxa"/>
            <w:tcBorders>
              <w:top w:val="single" w:sz="4" w:space="0" w:color="0077BD"/>
              <w:left w:val="nil"/>
              <w:bottom w:val="single" w:sz="4" w:space="0" w:color="0077BD"/>
              <w:right w:val="single" w:sz="8" w:space="0" w:color="0077BD"/>
            </w:tcBorders>
            <w:shd w:val="clear" w:color="auto" w:fill="auto"/>
            <w:noWrap/>
            <w:vAlign w:val="center"/>
            <w:hideMark/>
          </w:tcPr>
          <w:p w14:paraId="43519D5D" w14:textId="77777777" w:rsidR="007A72B1" w:rsidRPr="00BB7C9E" w:rsidRDefault="007A72B1" w:rsidP="007A72B1">
            <w:pPr>
              <w:jc w:val="right"/>
              <w:rPr>
                <w:rFonts w:cs="Calibri"/>
                <w:color w:val="000000" w:themeColor="text1"/>
                <w:sz w:val="13"/>
                <w:szCs w:val="13"/>
              </w:rPr>
            </w:pPr>
            <w:r w:rsidRPr="00BB7C9E">
              <w:rPr>
                <w:rFonts w:cs="Calibri"/>
                <w:color w:val="000000" w:themeColor="text1"/>
                <w:sz w:val="13"/>
                <w:szCs w:val="13"/>
              </w:rPr>
              <w:t>3 135 208</w:t>
            </w:r>
          </w:p>
        </w:tc>
        <w:tc>
          <w:tcPr>
            <w:tcW w:w="1147" w:type="dxa"/>
            <w:tcBorders>
              <w:top w:val="single" w:sz="4" w:space="0" w:color="0077BD"/>
              <w:left w:val="nil"/>
              <w:bottom w:val="single" w:sz="4" w:space="0" w:color="0077BD"/>
              <w:right w:val="nil"/>
            </w:tcBorders>
            <w:shd w:val="clear" w:color="auto" w:fill="auto"/>
            <w:noWrap/>
            <w:vAlign w:val="center"/>
            <w:hideMark/>
          </w:tcPr>
          <w:p w14:paraId="2D0ECD3B" w14:textId="77777777" w:rsidR="007A72B1" w:rsidRPr="00BB7C9E" w:rsidRDefault="007A72B1" w:rsidP="007A72B1">
            <w:pPr>
              <w:jc w:val="right"/>
              <w:rPr>
                <w:rFonts w:cs="Calibri"/>
                <w:b/>
                <w:bCs/>
                <w:color w:val="000000" w:themeColor="text1"/>
                <w:sz w:val="13"/>
                <w:szCs w:val="13"/>
              </w:rPr>
            </w:pPr>
            <w:r w:rsidRPr="00BB7C9E">
              <w:rPr>
                <w:rFonts w:cs="Calibri"/>
                <w:b/>
                <w:bCs/>
                <w:color w:val="000000" w:themeColor="text1"/>
                <w:sz w:val="13"/>
                <w:szCs w:val="13"/>
              </w:rPr>
              <w:t>13 615 516</w:t>
            </w:r>
          </w:p>
        </w:tc>
      </w:tr>
    </w:tbl>
    <w:p w14:paraId="2B5384CC" w14:textId="77777777" w:rsidR="007642EA" w:rsidRPr="00BB7C9E" w:rsidRDefault="007642EA" w:rsidP="001D679E">
      <w:pPr>
        <w:tabs>
          <w:tab w:val="left" w:pos="0"/>
        </w:tabs>
        <w:suppressAutoHyphens/>
        <w:spacing w:before="120" w:after="120"/>
        <w:jc w:val="both"/>
        <w:rPr>
          <w:rFonts w:cs="Tahoma"/>
          <w:b/>
          <w:bCs/>
          <w:color w:val="000000" w:themeColor="text1"/>
          <w:sz w:val="18"/>
          <w:szCs w:val="18"/>
          <w:lang w:eastAsia="en-US"/>
        </w:rPr>
      </w:pPr>
      <w:r w:rsidRPr="00BB7C9E">
        <w:rPr>
          <w:rFonts w:cs="Tahoma"/>
          <w:b/>
          <w:bCs/>
          <w:color w:val="000000" w:themeColor="text1"/>
          <w:sz w:val="18"/>
          <w:szCs w:val="18"/>
          <w:lang w:eastAsia="en-US"/>
        </w:rPr>
        <w:t>Łączny wynik na rachunkowości zabezpieczeń wartości godziwej ujęty w rachunku zysków i strat</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444511" w:rsidRPr="003F5867" w14:paraId="1E11AED9" w14:textId="77777777" w:rsidTr="00444511">
        <w:trPr>
          <w:trHeight w:val="454"/>
        </w:trPr>
        <w:tc>
          <w:tcPr>
            <w:tcW w:w="6747" w:type="dxa"/>
            <w:tcBorders>
              <w:top w:val="nil"/>
              <w:left w:val="nil"/>
              <w:right w:val="single" w:sz="8" w:space="0" w:color="FFFFFF"/>
            </w:tcBorders>
            <w:shd w:val="clear" w:color="000000" w:fill="0077BD"/>
            <w:noWrap/>
            <w:vAlign w:val="center"/>
          </w:tcPr>
          <w:p w14:paraId="2700A189" w14:textId="5E19984D" w:rsidR="00444511" w:rsidRPr="003F5867" w:rsidRDefault="00444511" w:rsidP="00444511">
            <w:pPr>
              <w:jc w:val="right"/>
              <w:rPr>
                <w:rFonts w:cs="Calibri"/>
                <w:color w:val="99CCFF"/>
                <w:sz w:val="13"/>
                <w:szCs w:val="13"/>
              </w:rPr>
            </w:pPr>
            <w:r>
              <w:rPr>
                <w:rFonts w:cs="Calibri"/>
                <w:b/>
                <w:color w:val="FFFFFF" w:themeColor="background1"/>
                <w:sz w:val="13"/>
                <w:szCs w:val="13"/>
              </w:rPr>
              <w:t xml:space="preserve">Za </w:t>
            </w:r>
            <w:r w:rsidRPr="00F86041">
              <w:rPr>
                <w:rFonts w:cs="Calibri"/>
                <w:b/>
                <w:color w:val="FFFFFF" w:themeColor="background1"/>
                <w:sz w:val="13"/>
                <w:szCs w:val="13"/>
              </w:rPr>
              <w:t>okres</w:t>
            </w:r>
          </w:p>
        </w:tc>
        <w:tc>
          <w:tcPr>
            <w:tcW w:w="1418" w:type="dxa"/>
            <w:tcBorders>
              <w:top w:val="nil"/>
              <w:left w:val="nil"/>
              <w:right w:val="single" w:sz="8" w:space="0" w:color="FFFFFF"/>
            </w:tcBorders>
            <w:shd w:val="clear" w:color="000000" w:fill="0077BD"/>
            <w:vAlign w:val="center"/>
            <w:hideMark/>
          </w:tcPr>
          <w:p w14:paraId="7E58CB19" w14:textId="42467E02" w:rsidR="00444511" w:rsidRPr="003F5867" w:rsidRDefault="00444511" w:rsidP="00444511">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2019</w:t>
            </w:r>
            <w:r>
              <w:rPr>
                <w:rFonts w:cs="Calibri"/>
                <w:b/>
                <w:bCs/>
                <w:color w:val="FFFFFF"/>
                <w:sz w:val="13"/>
                <w:szCs w:val="13"/>
              </w:rPr>
              <w:br/>
              <w:t>do 31.12.2019</w:t>
            </w:r>
          </w:p>
        </w:tc>
        <w:tc>
          <w:tcPr>
            <w:tcW w:w="1418" w:type="dxa"/>
            <w:tcBorders>
              <w:top w:val="nil"/>
              <w:left w:val="nil"/>
              <w:right w:val="single" w:sz="8" w:space="0" w:color="FFFFFF"/>
            </w:tcBorders>
            <w:shd w:val="clear" w:color="000000" w:fill="0077BD"/>
            <w:vAlign w:val="center"/>
          </w:tcPr>
          <w:p w14:paraId="5E41D192" w14:textId="79E93CF7" w:rsidR="00444511" w:rsidRPr="003F5867" w:rsidRDefault="00444511" w:rsidP="00444511">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w:t>
            </w:r>
            <w:r>
              <w:rPr>
                <w:rFonts w:cs="Calibri"/>
                <w:b/>
                <w:bCs/>
                <w:color w:val="FFFFFF"/>
                <w:sz w:val="13"/>
                <w:szCs w:val="13"/>
              </w:rPr>
              <w:t>8</w:t>
            </w:r>
            <w:r>
              <w:rPr>
                <w:rFonts w:cs="Calibri"/>
                <w:b/>
                <w:bCs/>
                <w:color w:val="FFFFFF"/>
                <w:sz w:val="13"/>
                <w:szCs w:val="13"/>
              </w:rPr>
              <w:br/>
              <w:t>do 31.12.2018</w:t>
            </w:r>
          </w:p>
        </w:tc>
      </w:tr>
      <w:tr w:rsidR="00513704" w:rsidRPr="00BB7C9E" w14:paraId="32C3AC21" w14:textId="77777777" w:rsidTr="00B60729">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3411EA9B" w14:textId="77777777" w:rsidR="00513704" w:rsidRPr="00BB7C9E" w:rsidRDefault="00513704" w:rsidP="00513704">
            <w:pPr>
              <w:rPr>
                <w:rFonts w:cs="Calibri"/>
                <w:color w:val="000000" w:themeColor="text1"/>
                <w:sz w:val="13"/>
                <w:szCs w:val="13"/>
              </w:rPr>
            </w:pPr>
            <w:r w:rsidRPr="00BB7C9E">
              <w:rPr>
                <w:rFonts w:cs="Calibri"/>
                <w:color w:val="000000" w:themeColor="text1"/>
                <w:sz w:val="13"/>
                <w:szCs w:val="13"/>
              </w:rPr>
              <w:t>Przychody odsetkowe na instrumentach pochodnych w ramach rachunkowości zabezpieczeń wartości godziwej (Nota 6)</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E620B96" w14:textId="76DA68DD"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75 135</w:t>
            </w:r>
          </w:p>
        </w:tc>
        <w:tc>
          <w:tcPr>
            <w:tcW w:w="1418" w:type="dxa"/>
            <w:tcBorders>
              <w:top w:val="nil"/>
              <w:left w:val="nil"/>
              <w:bottom w:val="single" w:sz="4" w:space="0" w:color="0077BD"/>
              <w:right w:val="nil"/>
            </w:tcBorders>
            <w:shd w:val="clear" w:color="auto" w:fill="auto"/>
            <w:vAlign w:val="center"/>
            <w:hideMark/>
          </w:tcPr>
          <w:p w14:paraId="026333B7" w14:textId="77777777"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84 441</w:t>
            </w:r>
          </w:p>
        </w:tc>
      </w:tr>
      <w:tr w:rsidR="00513704" w:rsidRPr="00BB7C9E" w14:paraId="2327389D" w14:textId="77777777" w:rsidTr="00B6072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7AF2DC2" w14:textId="77777777" w:rsidR="00513704" w:rsidRPr="00BB7C9E" w:rsidRDefault="00513704" w:rsidP="00513704">
            <w:pPr>
              <w:rPr>
                <w:rFonts w:cs="Calibri"/>
                <w:color w:val="000000" w:themeColor="text1"/>
                <w:sz w:val="13"/>
                <w:szCs w:val="13"/>
              </w:rPr>
            </w:pPr>
            <w:r w:rsidRPr="00BB7C9E">
              <w:rPr>
                <w:rFonts w:cs="Calibri"/>
                <w:color w:val="000000" w:themeColor="text1"/>
                <w:sz w:val="13"/>
                <w:szCs w:val="13"/>
              </w:rPr>
              <w:t>Wynik z wyceny pozycji zabezpieczanych (Nota 9)</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67B25B2" w14:textId="33F5DCBF"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(80 277)</w:t>
            </w:r>
          </w:p>
        </w:tc>
        <w:tc>
          <w:tcPr>
            <w:tcW w:w="1418" w:type="dxa"/>
            <w:tcBorders>
              <w:top w:val="nil"/>
              <w:left w:val="nil"/>
              <w:bottom w:val="single" w:sz="4" w:space="0" w:color="0077BD"/>
              <w:right w:val="nil"/>
            </w:tcBorders>
            <w:shd w:val="clear" w:color="auto" w:fill="auto"/>
            <w:vAlign w:val="center"/>
            <w:hideMark/>
          </w:tcPr>
          <w:p w14:paraId="2D61FCAD" w14:textId="77777777"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(76 367)</w:t>
            </w:r>
          </w:p>
        </w:tc>
      </w:tr>
      <w:tr w:rsidR="00513704" w:rsidRPr="00BB7C9E" w14:paraId="510EDBF9" w14:textId="77777777" w:rsidTr="00B6072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2B3A89E" w14:textId="77777777" w:rsidR="00513704" w:rsidRPr="00BB7C9E" w:rsidRDefault="00513704" w:rsidP="00513704">
            <w:pPr>
              <w:rPr>
                <w:rFonts w:cs="Calibri"/>
                <w:color w:val="000000" w:themeColor="text1"/>
                <w:sz w:val="13"/>
                <w:szCs w:val="13"/>
              </w:rPr>
            </w:pPr>
            <w:r w:rsidRPr="00BB7C9E">
              <w:rPr>
                <w:rFonts w:cs="Calibri"/>
                <w:color w:val="000000" w:themeColor="text1"/>
                <w:sz w:val="13"/>
                <w:szCs w:val="13"/>
              </w:rPr>
              <w:t>Wynik z wyceny instrumentów zabezpieczających wartość godziwą (Nota 9)</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3158771D" w14:textId="7A226BF7"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90 700</w:t>
            </w:r>
          </w:p>
        </w:tc>
        <w:tc>
          <w:tcPr>
            <w:tcW w:w="1418" w:type="dxa"/>
            <w:tcBorders>
              <w:top w:val="nil"/>
              <w:left w:val="nil"/>
              <w:bottom w:val="single" w:sz="8" w:space="0" w:color="0077BD"/>
              <w:right w:val="nil"/>
            </w:tcBorders>
            <w:shd w:val="clear" w:color="auto" w:fill="auto"/>
            <w:vAlign w:val="center"/>
            <w:hideMark/>
          </w:tcPr>
          <w:p w14:paraId="29DE527A" w14:textId="77777777" w:rsidR="00513704" w:rsidRPr="00BB7C9E" w:rsidRDefault="00513704" w:rsidP="00513704">
            <w:pPr>
              <w:jc w:val="right"/>
              <w:rPr>
                <w:rFonts w:cs="Calibri"/>
                <w:color w:val="000000" w:themeColor="text1"/>
                <w:sz w:val="13"/>
                <w:szCs w:val="13"/>
              </w:rPr>
            </w:pPr>
            <w:r w:rsidRPr="00BB7C9E">
              <w:rPr>
                <w:rFonts w:cs="Calibri"/>
                <w:color w:val="000000" w:themeColor="text1"/>
                <w:sz w:val="13"/>
                <w:szCs w:val="13"/>
              </w:rPr>
              <w:t>66 268</w:t>
            </w:r>
          </w:p>
        </w:tc>
      </w:tr>
      <w:tr w:rsidR="00513704" w:rsidRPr="00BB7C9E" w14:paraId="2871E378" w14:textId="77777777" w:rsidTr="00B60729">
        <w:trPr>
          <w:trHeight w:val="397"/>
        </w:trPr>
        <w:tc>
          <w:tcPr>
            <w:tcW w:w="6747" w:type="dxa"/>
            <w:tcBorders>
              <w:top w:val="nil"/>
              <w:left w:val="nil"/>
              <w:bottom w:val="single" w:sz="8" w:space="0" w:color="0077BD"/>
              <w:right w:val="single" w:sz="8" w:space="0" w:color="0077BD"/>
            </w:tcBorders>
            <w:shd w:val="clear" w:color="auto" w:fill="auto"/>
            <w:vAlign w:val="center"/>
            <w:hideMark/>
          </w:tcPr>
          <w:p w14:paraId="4219CE80" w14:textId="77777777" w:rsidR="00513704" w:rsidRPr="00BB7C9E" w:rsidRDefault="00513704" w:rsidP="00513704">
            <w:pPr>
              <w:rPr>
                <w:rFonts w:cs="Calibri"/>
                <w:b/>
                <w:bCs/>
                <w:color w:val="000000" w:themeColor="text1"/>
                <w:sz w:val="13"/>
                <w:szCs w:val="13"/>
              </w:rPr>
            </w:pPr>
            <w:r w:rsidRPr="00BB7C9E">
              <w:rPr>
                <w:rFonts w:cs="Calibri"/>
                <w:b/>
                <w:bCs/>
                <w:color w:val="000000" w:themeColor="text1"/>
                <w:sz w:val="13"/>
                <w:szCs w:val="13"/>
              </w:rPr>
              <w:t>Łączny wynik na rachunkowości zabezpieczeń wartości godziwej ujęty w rachunku zysków i strat</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7313E5AE" w14:textId="1594E81B" w:rsidR="00513704" w:rsidRPr="00BB7C9E" w:rsidRDefault="00513704" w:rsidP="00513704">
            <w:pPr>
              <w:jc w:val="right"/>
              <w:rPr>
                <w:rFonts w:cs="Calibri"/>
                <w:b/>
                <w:bCs/>
                <w:color w:val="000000" w:themeColor="text1"/>
                <w:sz w:val="13"/>
                <w:szCs w:val="13"/>
              </w:rPr>
            </w:pPr>
            <w:r w:rsidRPr="00BB7C9E">
              <w:rPr>
                <w:rFonts w:cs="Calibri"/>
                <w:b/>
                <w:bCs/>
                <w:color w:val="000000" w:themeColor="text1"/>
                <w:sz w:val="13"/>
                <w:szCs w:val="13"/>
              </w:rPr>
              <w:t>85 558</w:t>
            </w:r>
          </w:p>
        </w:tc>
        <w:tc>
          <w:tcPr>
            <w:tcW w:w="1418" w:type="dxa"/>
            <w:tcBorders>
              <w:top w:val="nil"/>
              <w:left w:val="nil"/>
              <w:bottom w:val="single" w:sz="8" w:space="0" w:color="0077BD"/>
              <w:right w:val="nil"/>
            </w:tcBorders>
            <w:shd w:val="clear" w:color="auto" w:fill="auto"/>
            <w:vAlign w:val="center"/>
            <w:hideMark/>
          </w:tcPr>
          <w:p w14:paraId="5D5F349A" w14:textId="77777777" w:rsidR="00513704" w:rsidRPr="00BB7C9E" w:rsidRDefault="00513704" w:rsidP="00513704">
            <w:pPr>
              <w:jc w:val="right"/>
              <w:rPr>
                <w:rFonts w:cs="Calibri"/>
                <w:b/>
                <w:bCs/>
                <w:color w:val="000000" w:themeColor="text1"/>
                <w:sz w:val="13"/>
                <w:szCs w:val="13"/>
              </w:rPr>
            </w:pPr>
            <w:r w:rsidRPr="00BB7C9E">
              <w:rPr>
                <w:rFonts w:cs="Calibri"/>
                <w:b/>
                <w:bCs/>
                <w:color w:val="000000" w:themeColor="text1"/>
                <w:sz w:val="13"/>
                <w:szCs w:val="13"/>
              </w:rPr>
              <w:t>74 342</w:t>
            </w:r>
          </w:p>
        </w:tc>
      </w:tr>
    </w:tbl>
    <w:p w14:paraId="3FE5A249" w14:textId="77777777" w:rsidR="001D679E" w:rsidRDefault="001D679E">
      <w:pPr>
        <w:rPr>
          <w:rFonts w:cs="Tahoma"/>
          <w:b/>
          <w:bCs/>
          <w:i/>
          <w:color w:val="000000" w:themeColor="text1"/>
          <w:sz w:val="18"/>
          <w:szCs w:val="18"/>
          <w:lang w:eastAsia="en-US"/>
        </w:rPr>
      </w:pPr>
      <w:r>
        <w:rPr>
          <w:rFonts w:cs="Tahoma"/>
          <w:b/>
          <w:bCs/>
          <w:i/>
          <w:color w:val="000000" w:themeColor="text1"/>
          <w:sz w:val="18"/>
          <w:szCs w:val="18"/>
          <w:lang w:eastAsia="en-US"/>
        </w:rPr>
        <w:br w:type="page"/>
      </w:r>
    </w:p>
    <w:p w14:paraId="7147C3F2" w14:textId="5EDC2E35" w:rsidR="007642EA" w:rsidRPr="00BB7C9E" w:rsidRDefault="007642EA" w:rsidP="001170DF">
      <w:pPr>
        <w:tabs>
          <w:tab w:val="left" w:pos="0"/>
        </w:tabs>
        <w:suppressAutoHyphens/>
        <w:spacing w:after="120"/>
        <w:jc w:val="both"/>
        <w:rPr>
          <w:rFonts w:cs="Tahoma"/>
          <w:b/>
          <w:bCs/>
          <w:i/>
          <w:color w:val="000000" w:themeColor="text1"/>
          <w:sz w:val="18"/>
          <w:szCs w:val="18"/>
          <w:lang w:eastAsia="en-US"/>
        </w:rPr>
      </w:pPr>
      <w:r w:rsidRPr="00BB7C9E">
        <w:rPr>
          <w:rFonts w:cs="Tahoma"/>
          <w:b/>
          <w:bCs/>
          <w:i/>
          <w:color w:val="000000" w:themeColor="text1"/>
          <w:sz w:val="18"/>
          <w:szCs w:val="18"/>
          <w:lang w:eastAsia="en-US"/>
        </w:rPr>
        <w:lastRenderedPageBreak/>
        <w:t>Rachunkowość zabezpieczeń przepływów pieniężnych</w:t>
      </w:r>
    </w:p>
    <w:p w14:paraId="3222A2EC" w14:textId="6F4D725D" w:rsidR="001170DF" w:rsidRPr="001170DF" w:rsidRDefault="001170DF" w:rsidP="00A30EFA">
      <w:pPr>
        <w:numPr>
          <w:ilvl w:val="0"/>
          <w:numId w:val="78"/>
        </w:numPr>
        <w:tabs>
          <w:tab w:val="left" w:pos="0"/>
        </w:tabs>
        <w:suppressAutoHyphens/>
        <w:spacing w:before="120"/>
        <w:ind w:left="426" w:hanging="437"/>
        <w:contextualSpacing/>
        <w:jc w:val="both"/>
        <w:rPr>
          <w:rFonts w:cs="Tahoma"/>
          <w:bCs/>
          <w:color w:val="000000"/>
          <w:sz w:val="18"/>
          <w:szCs w:val="18"/>
          <w:lang w:eastAsia="en-US"/>
        </w:rPr>
      </w:pPr>
      <w:r w:rsidRPr="001170DF">
        <w:rPr>
          <w:rFonts w:cs="Tahoma"/>
          <w:bCs/>
          <w:color w:val="000000"/>
          <w:sz w:val="18"/>
          <w:szCs w:val="18"/>
          <w:lang w:eastAsia="en-US"/>
        </w:rPr>
        <w:t>rachunkowość zabezpieczeń przepływów pieniężnych części portfela kredytów na zmienną stopę procentową, indeksowaną do stopy rynkowej</w:t>
      </w:r>
      <w:r w:rsidR="004F5184">
        <w:rPr>
          <w:rFonts w:cs="Tahoma"/>
          <w:bCs/>
          <w:color w:val="000000"/>
          <w:sz w:val="18"/>
          <w:szCs w:val="18"/>
          <w:lang w:eastAsia="en-US"/>
        </w:rPr>
        <w:t>,</w:t>
      </w:r>
      <w:r w:rsidRPr="001170DF">
        <w:rPr>
          <w:rFonts w:cs="Tahoma"/>
          <w:bCs/>
          <w:color w:val="000000"/>
          <w:sz w:val="18"/>
          <w:szCs w:val="18"/>
          <w:lang w:eastAsia="en-US"/>
        </w:rPr>
        <w:t xml:space="preserve"> udzielonych przez Bank</w:t>
      </w:r>
    </w:p>
    <w:p w14:paraId="2645D0DA" w14:textId="7A6BC8A9" w:rsidR="00927F6C" w:rsidRPr="00BB7C9E" w:rsidRDefault="00927F6C" w:rsidP="00927F6C">
      <w:pPr>
        <w:tabs>
          <w:tab w:val="left" w:pos="0"/>
        </w:tabs>
        <w:suppressAutoHyphens/>
        <w:spacing w:before="120"/>
        <w:jc w:val="both"/>
        <w:rPr>
          <w:rFonts w:cs="Tahoma"/>
          <w:bCs/>
          <w:color w:val="000000" w:themeColor="text1"/>
          <w:sz w:val="18"/>
          <w:szCs w:val="18"/>
          <w:lang w:eastAsia="en-US"/>
        </w:rPr>
      </w:pPr>
      <w:r w:rsidRPr="00BB7C9E">
        <w:rPr>
          <w:rFonts w:cs="Tahoma"/>
          <w:bCs/>
          <w:color w:val="000000" w:themeColor="text1"/>
          <w:sz w:val="18"/>
          <w:szCs w:val="18"/>
          <w:lang w:eastAsia="en-US"/>
        </w:rPr>
        <w:t xml:space="preserve">Grupa stosuje rachunkowość zabezpieczeń przepływów pieniężnych części portfela kredytów na zmienną stopę procentową, indeksowaną do stopy rynkowej, udzielonych przez Bank. Instrumentem </w:t>
      </w:r>
      <w:r w:rsidRPr="001A7E4F">
        <w:rPr>
          <w:rFonts w:cs="Tahoma"/>
          <w:bCs/>
          <w:color w:val="000000" w:themeColor="text1"/>
          <w:sz w:val="18"/>
          <w:szCs w:val="18"/>
          <w:lang w:eastAsia="en-US"/>
        </w:rPr>
        <w:t xml:space="preserve">zabezpieczającym jest Interest Rate Swap </w:t>
      </w:r>
      <w:r w:rsidR="0035766C">
        <w:rPr>
          <w:rFonts w:cs="Tahoma"/>
          <w:bCs/>
          <w:color w:val="000000" w:themeColor="text1"/>
          <w:sz w:val="18"/>
          <w:szCs w:val="18"/>
          <w:lang w:eastAsia="en-US"/>
        </w:rPr>
        <w:t xml:space="preserve">(IRS) </w:t>
      </w:r>
      <w:r w:rsidRPr="001A7E4F">
        <w:rPr>
          <w:rFonts w:cs="Tahoma"/>
          <w:bCs/>
          <w:color w:val="000000" w:themeColor="text1"/>
          <w:sz w:val="18"/>
          <w:szCs w:val="18"/>
          <w:lang w:eastAsia="en-US"/>
        </w:rPr>
        <w:t>zamieniający stopę zmienną na stałą. Zabezpieczanym ryzykiem w ramach stosowanej przez Grupę rachunkowości zabezpieczeń</w:t>
      </w:r>
      <w:r w:rsidRPr="00BB7C9E">
        <w:rPr>
          <w:rFonts w:cs="Tahoma"/>
          <w:bCs/>
          <w:color w:val="000000" w:themeColor="text1"/>
          <w:sz w:val="18"/>
          <w:szCs w:val="18"/>
          <w:lang w:eastAsia="en-US"/>
        </w:rPr>
        <w:t xml:space="preserve"> przepływów pieniężnych jest ryzyko stopy procentowej. Nieefektywna część zysków lub strat związanych z instrumentem zabezpieczającym zaprezentowana jest w pozycji „Zyski lub straty z rachunkowości zabezpieczeń” w Nocie 9. Część zysków lub strat związanych z instrumentem zabezpieczającym, która stanowi efektywne zabezpieczenie, zaprezentowana jest w Sprawozdaniu z całkowitych dochodów w pozycji „Zabezpieczenia przepływów pieniężnych (netto)”.</w:t>
      </w:r>
    </w:p>
    <w:p w14:paraId="69351139" w14:textId="7C2553BE" w:rsidR="007642EA" w:rsidRDefault="00927F6C" w:rsidP="00927F6C">
      <w:pPr>
        <w:tabs>
          <w:tab w:val="left" w:pos="0"/>
        </w:tabs>
        <w:suppressAutoHyphens/>
        <w:spacing w:before="120"/>
        <w:jc w:val="both"/>
        <w:rPr>
          <w:rFonts w:cs="Tahoma"/>
          <w:bCs/>
          <w:color w:val="000000" w:themeColor="text1"/>
          <w:sz w:val="18"/>
          <w:szCs w:val="18"/>
          <w:lang w:eastAsia="en-US"/>
        </w:rPr>
      </w:pPr>
      <w:r w:rsidRPr="00BB7C9E">
        <w:rPr>
          <w:rFonts w:cs="Tahoma"/>
          <w:bCs/>
          <w:color w:val="000000" w:themeColor="text1"/>
          <w:sz w:val="18"/>
          <w:szCs w:val="18"/>
          <w:lang w:eastAsia="en-US"/>
        </w:rPr>
        <w:t>Okres, w którym oczekuje się wystąpienia przepływów pieniężnych oraz kiedy należy oczekiwać wywarcia przez nie wpływu na wyniki, to okres od stycznia 2020 roku do sierpnia 2029 roku.</w:t>
      </w:r>
    </w:p>
    <w:p w14:paraId="31B76C00" w14:textId="4A892FBB" w:rsidR="001170DF" w:rsidRPr="001170DF" w:rsidRDefault="001170DF" w:rsidP="001170DF">
      <w:pPr>
        <w:tabs>
          <w:tab w:val="left" w:pos="0"/>
        </w:tabs>
        <w:suppressAutoHyphens/>
        <w:spacing w:before="120" w:after="120"/>
        <w:jc w:val="both"/>
        <w:rPr>
          <w:rFonts w:cs="Tahoma"/>
          <w:b/>
          <w:bCs/>
          <w:sz w:val="18"/>
          <w:szCs w:val="18"/>
          <w:lang w:eastAsia="en-US"/>
        </w:rPr>
      </w:pPr>
      <w:r w:rsidRPr="001170DF">
        <w:rPr>
          <w:rFonts w:cs="Tahoma"/>
          <w:b/>
          <w:bCs/>
          <w:sz w:val="18"/>
          <w:szCs w:val="18"/>
          <w:lang w:eastAsia="en-US"/>
        </w:rPr>
        <w:t>Pozycje zabezpieczane - zabezpieczenie przepływów pieniężnych</w:t>
      </w:r>
    </w:p>
    <w:tbl>
      <w:tblPr>
        <w:tblW w:w="9498" w:type="dxa"/>
        <w:tblLayout w:type="fixed"/>
        <w:tblCellMar>
          <w:left w:w="28" w:type="dxa"/>
          <w:right w:w="28" w:type="dxa"/>
        </w:tblCellMar>
        <w:tblLook w:val="04A0" w:firstRow="1" w:lastRow="0" w:firstColumn="1" w:lastColumn="0" w:noHBand="0" w:noVBand="1"/>
      </w:tblPr>
      <w:tblGrid>
        <w:gridCol w:w="2694"/>
        <w:gridCol w:w="1134"/>
        <w:gridCol w:w="1134"/>
        <w:gridCol w:w="1134"/>
        <w:gridCol w:w="1134"/>
        <w:gridCol w:w="1134"/>
        <w:gridCol w:w="1134"/>
      </w:tblGrid>
      <w:tr w:rsidR="00171A56" w:rsidRPr="001170DF" w14:paraId="4AA5BF52" w14:textId="77777777" w:rsidTr="00B1674C">
        <w:trPr>
          <w:trHeight w:val="408"/>
        </w:trPr>
        <w:tc>
          <w:tcPr>
            <w:tcW w:w="2694" w:type="dxa"/>
            <w:vMerge w:val="restart"/>
            <w:tcBorders>
              <w:top w:val="nil"/>
              <w:left w:val="nil"/>
              <w:right w:val="single" w:sz="8" w:space="0" w:color="FFFFFF"/>
            </w:tcBorders>
            <w:shd w:val="clear" w:color="000000" w:fill="0077BD"/>
            <w:vAlign w:val="center"/>
            <w:hideMark/>
          </w:tcPr>
          <w:p w14:paraId="29813D0E" w14:textId="77777777" w:rsidR="00171A56" w:rsidRPr="001170DF" w:rsidRDefault="00171A56" w:rsidP="001170DF">
            <w:pPr>
              <w:rPr>
                <w:rFonts w:cs="Calibri"/>
                <w:b/>
                <w:bCs/>
                <w:color w:val="FFFFFF"/>
                <w:sz w:val="13"/>
                <w:szCs w:val="13"/>
              </w:rPr>
            </w:pPr>
          </w:p>
        </w:tc>
        <w:tc>
          <w:tcPr>
            <w:tcW w:w="2268" w:type="dxa"/>
            <w:gridSpan w:val="2"/>
            <w:tcBorders>
              <w:top w:val="nil"/>
              <w:left w:val="nil"/>
              <w:bottom w:val="single" w:sz="6" w:space="0" w:color="FFFFFF"/>
              <w:right w:val="single" w:sz="8" w:space="0" w:color="FFFFFF"/>
            </w:tcBorders>
            <w:shd w:val="clear" w:color="000000" w:fill="0077BD"/>
            <w:vAlign w:val="center"/>
            <w:hideMark/>
          </w:tcPr>
          <w:p w14:paraId="5E0FF87B" w14:textId="77777777" w:rsidR="00171A56" w:rsidRPr="001170DF" w:rsidRDefault="00171A56" w:rsidP="001170DF">
            <w:pPr>
              <w:jc w:val="center"/>
              <w:rPr>
                <w:rFonts w:cs="Calibri"/>
                <w:b/>
                <w:bCs/>
                <w:color w:val="FFFFFF"/>
                <w:sz w:val="13"/>
                <w:szCs w:val="13"/>
              </w:rPr>
            </w:pPr>
            <w:r w:rsidRPr="001170DF">
              <w:rPr>
                <w:rFonts w:cs="Calibri"/>
                <w:b/>
                <w:bCs/>
                <w:color w:val="FFFFFF"/>
                <w:sz w:val="13"/>
                <w:szCs w:val="13"/>
              </w:rPr>
              <w:t>Wartość nominalna pozycji zabezpieczanych</w:t>
            </w:r>
          </w:p>
        </w:tc>
        <w:tc>
          <w:tcPr>
            <w:tcW w:w="2268" w:type="dxa"/>
            <w:gridSpan w:val="2"/>
            <w:tcBorders>
              <w:top w:val="nil"/>
              <w:left w:val="nil"/>
              <w:bottom w:val="single" w:sz="6" w:space="0" w:color="FFFFFF"/>
              <w:right w:val="single" w:sz="8" w:space="0" w:color="FFFFFF"/>
            </w:tcBorders>
            <w:shd w:val="clear" w:color="000000" w:fill="0077BD"/>
            <w:vAlign w:val="center"/>
          </w:tcPr>
          <w:p w14:paraId="25BC81F1" w14:textId="77777777" w:rsidR="00171A56" w:rsidRPr="001170DF" w:rsidRDefault="00171A56" w:rsidP="001170DF">
            <w:pPr>
              <w:jc w:val="center"/>
              <w:rPr>
                <w:rFonts w:cs="Calibri"/>
                <w:b/>
                <w:bCs/>
                <w:color w:val="FFFFFF"/>
                <w:sz w:val="13"/>
                <w:szCs w:val="13"/>
              </w:rPr>
            </w:pPr>
            <w:r w:rsidRPr="001170DF">
              <w:rPr>
                <w:b/>
                <w:bCs/>
                <w:color w:val="FFFFFF"/>
                <w:sz w:val="13"/>
                <w:szCs w:val="16"/>
              </w:rPr>
              <w:t>Zmiana wartości pozycji zabezpieczanej stosowanej jako podstawa ujęcia nieefektywności zabezpieczenia w danym okresie</w:t>
            </w:r>
          </w:p>
        </w:tc>
        <w:tc>
          <w:tcPr>
            <w:tcW w:w="2268" w:type="dxa"/>
            <w:gridSpan w:val="2"/>
            <w:tcBorders>
              <w:top w:val="nil"/>
              <w:left w:val="nil"/>
              <w:bottom w:val="single" w:sz="6" w:space="0" w:color="FFFFFF"/>
              <w:right w:val="single" w:sz="8" w:space="0" w:color="FFFFFF"/>
            </w:tcBorders>
            <w:shd w:val="clear" w:color="000000" w:fill="0077BD"/>
            <w:vAlign w:val="center"/>
          </w:tcPr>
          <w:p w14:paraId="4BD1CCAC" w14:textId="77777777" w:rsidR="00171A56" w:rsidRPr="001170DF" w:rsidRDefault="00171A56" w:rsidP="001170DF">
            <w:pPr>
              <w:jc w:val="center"/>
              <w:rPr>
                <w:b/>
                <w:bCs/>
                <w:color w:val="FFFFFF"/>
                <w:sz w:val="13"/>
                <w:szCs w:val="16"/>
              </w:rPr>
            </w:pPr>
            <w:r w:rsidRPr="001170DF">
              <w:rPr>
                <w:b/>
                <w:bCs/>
                <w:color w:val="FFFFFF"/>
                <w:sz w:val="13"/>
                <w:szCs w:val="16"/>
              </w:rPr>
              <w:t>Saldo rezerwy z tytułu zabezpieczenia przepływów pieniężnych dla kontynuowanych zabezpieczeń</w:t>
            </w:r>
          </w:p>
        </w:tc>
      </w:tr>
      <w:tr w:rsidR="00171A56" w:rsidRPr="001170DF" w14:paraId="74058437" w14:textId="77777777" w:rsidTr="004A6A6C">
        <w:trPr>
          <w:trHeight w:val="408"/>
        </w:trPr>
        <w:tc>
          <w:tcPr>
            <w:tcW w:w="2694" w:type="dxa"/>
            <w:vMerge/>
            <w:tcBorders>
              <w:left w:val="nil"/>
              <w:right w:val="single" w:sz="8" w:space="0" w:color="FFFFFF"/>
            </w:tcBorders>
            <w:shd w:val="clear" w:color="000000" w:fill="0077BD"/>
            <w:vAlign w:val="center"/>
          </w:tcPr>
          <w:p w14:paraId="53A988A6" w14:textId="77777777" w:rsidR="00171A56" w:rsidRPr="001170DF" w:rsidRDefault="00171A56" w:rsidP="001170DF">
            <w:pPr>
              <w:rPr>
                <w:rFonts w:cs="Calibri"/>
                <w:b/>
                <w:bCs/>
                <w:color w:val="FFFFFF"/>
                <w:sz w:val="13"/>
                <w:szCs w:val="13"/>
              </w:rPr>
            </w:pPr>
          </w:p>
        </w:tc>
        <w:tc>
          <w:tcPr>
            <w:tcW w:w="1134" w:type="dxa"/>
            <w:tcBorders>
              <w:top w:val="single" w:sz="6" w:space="0" w:color="FFFFFF"/>
              <w:left w:val="nil"/>
              <w:right w:val="single" w:sz="8" w:space="0" w:color="FFFFFF"/>
            </w:tcBorders>
            <w:shd w:val="clear" w:color="000000" w:fill="0077BD"/>
            <w:vAlign w:val="center"/>
          </w:tcPr>
          <w:p w14:paraId="29EC3CAC" w14:textId="77777777" w:rsidR="00171A56" w:rsidRPr="001170DF" w:rsidRDefault="00171A56" w:rsidP="001170DF">
            <w:pPr>
              <w:jc w:val="right"/>
              <w:rPr>
                <w:rFonts w:cs="Calibri"/>
                <w:b/>
                <w:bCs/>
                <w:color w:val="FFFFFF"/>
                <w:sz w:val="13"/>
                <w:szCs w:val="13"/>
              </w:rPr>
            </w:pPr>
            <w:r w:rsidRPr="001170DF">
              <w:rPr>
                <w:rFonts w:cs="Calibri"/>
                <w:b/>
                <w:bCs/>
                <w:color w:val="FFFFFF"/>
                <w:sz w:val="13"/>
                <w:szCs w:val="13"/>
              </w:rPr>
              <w:t>31.12.2019</w:t>
            </w:r>
          </w:p>
        </w:tc>
        <w:tc>
          <w:tcPr>
            <w:tcW w:w="1134" w:type="dxa"/>
            <w:tcBorders>
              <w:top w:val="single" w:sz="6" w:space="0" w:color="FFFFFF"/>
              <w:left w:val="nil"/>
              <w:right w:val="single" w:sz="6" w:space="0" w:color="FFFFFF"/>
            </w:tcBorders>
            <w:shd w:val="clear" w:color="000000" w:fill="0077BD"/>
            <w:vAlign w:val="center"/>
          </w:tcPr>
          <w:p w14:paraId="66E04954" w14:textId="77777777" w:rsidR="00171A56" w:rsidRPr="001170DF" w:rsidRDefault="00171A56" w:rsidP="001170DF">
            <w:pPr>
              <w:jc w:val="right"/>
              <w:rPr>
                <w:rFonts w:cs="Calibri"/>
                <w:b/>
                <w:bCs/>
                <w:color w:val="FFFFFF"/>
                <w:sz w:val="13"/>
                <w:szCs w:val="13"/>
              </w:rPr>
            </w:pPr>
            <w:r w:rsidRPr="001170DF">
              <w:rPr>
                <w:rFonts w:cs="Calibri"/>
                <w:b/>
                <w:bCs/>
                <w:color w:val="FFFFFF"/>
                <w:sz w:val="13"/>
                <w:szCs w:val="13"/>
              </w:rPr>
              <w:t>31.12.2018</w:t>
            </w:r>
          </w:p>
        </w:tc>
        <w:tc>
          <w:tcPr>
            <w:tcW w:w="1134" w:type="dxa"/>
            <w:tcBorders>
              <w:top w:val="single" w:sz="6" w:space="0" w:color="FFFFFF"/>
              <w:left w:val="single" w:sz="6" w:space="0" w:color="FFFFFF"/>
              <w:right w:val="single" w:sz="6" w:space="0" w:color="FFFFFF"/>
            </w:tcBorders>
            <w:shd w:val="clear" w:color="000000" w:fill="0077BD"/>
            <w:vAlign w:val="center"/>
          </w:tcPr>
          <w:p w14:paraId="456A1A38" w14:textId="77777777" w:rsidR="00171A56" w:rsidRPr="001170DF" w:rsidRDefault="00171A56" w:rsidP="001170DF">
            <w:pPr>
              <w:jc w:val="right"/>
              <w:rPr>
                <w:rFonts w:cs="Calibri"/>
                <w:b/>
                <w:bCs/>
                <w:color w:val="FFFFFF"/>
                <w:sz w:val="13"/>
                <w:szCs w:val="13"/>
              </w:rPr>
            </w:pPr>
            <w:r w:rsidRPr="001170DF">
              <w:rPr>
                <w:rFonts w:cs="Calibri"/>
                <w:b/>
                <w:bCs/>
                <w:color w:val="FFFFFF"/>
                <w:sz w:val="13"/>
                <w:szCs w:val="13"/>
              </w:rPr>
              <w:t>31.12.2019</w:t>
            </w:r>
          </w:p>
        </w:tc>
        <w:tc>
          <w:tcPr>
            <w:tcW w:w="1134" w:type="dxa"/>
            <w:tcBorders>
              <w:top w:val="single" w:sz="6" w:space="0" w:color="FFFFFF"/>
              <w:left w:val="single" w:sz="6" w:space="0" w:color="FFFFFF"/>
              <w:right w:val="single" w:sz="8" w:space="0" w:color="FFFFFF"/>
            </w:tcBorders>
            <w:shd w:val="clear" w:color="000000" w:fill="0077BD"/>
            <w:vAlign w:val="center"/>
          </w:tcPr>
          <w:p w14:paraId="5562E287" w14:textId="588BAFDD" w:rsidR="00171A56" w:rsidRPr="001170DF" w:rsidRDefault="00171A56" w:rsidP="004A6A6C">
            <w:pPr>
              <w:jc w:val="center"/>
              <w:rPr>
                <w:rFonts w:cs="Calibri"/>
                <w:b/>
                <w:bCs/>
                <w:color w:val="FFFFFF"/>
                <w:sz w:val="13"/>
                <w:szCs w:val="13"/>
              </w:rPr>
            </w:pPr>
            <w:r w:rsidRPr="001170DF">
              <w:rPr>
                <w:rFonts w:cs="Calibri"/>
                <w:b/>
                <w:bCs/>
                <w:color w:val="FFFFFF"/>
                <w:sz w:val="13"/>
                <w:szCs w:val="13"/>
              </w:rPr>
              <w:t>31.12.2018</w:t>
            </w:r>
          </w:p>
        </w:tc>
        <w:tc>
          <w:tcPr>
            <w:tcW w:w="1134" w:type="dxa"/>
            <w:tcBorders>
              <w:top w:val="single" w:sz="6" w:space="0" w:color="FFFFFF"/>
              <w:left w:val="nil"/>
              <w:right w:val="single" w:sz="8" w:space="0" w:color="FFFFFF"/>
            </w:tcBorders>
            <w:shd w:val="clear" w:color="000000" w:fill="0077BD"/>
            <w:vAlign w:val="center"/>
          </w:tcPr>
          <w:p w14:paraId="4D994223" w14:textId="77777777" w:rsidR="00171A56" w:rsidRPr="001170DF" w:rsidRDefault="00171A56" w:rsidP="001170DF">
            <w:pPr>
              <w:jc w:val="right"/>
              <w:rPr>
                <w:rFonts w:cs="Calibri"/>
                <w:b/>
                <w:bCs/>
                <w:color w:val="FFFFFF"/>
                <w:sz w:val="13"/>
                <w:szCs w:val="13"/>
              </w:rPr>
            </w:pPr>
            <w:r w:rsidRPr="001170DF">
              <w:rPr>
                <w:rFonts w:cs="Calibri"/>
                <w:b/>
                <w:bCs/>
                <w:color w:val="FFFFFF"/>
                <w:sz w:val="13"/>
                <w:szCs w:val="13"/>
              </w:rPr>
              <w:t>31.12.2019</w:t>
            </w:r>
          </w:p>
        </w:tc>
        <w:tc>
          <w:tcPr>
            <w:tcW w:w="1134" w:type="dxa"/>
            <w:tcBorders>
              <w:top w:val="single" w:sz="6" w:space="0" w:color="FFFFFF"/>
              <w:left w:val="single" w:sz="8" w:space="0" w:color="FFFFFF"/>
              <w:right w:val="single" w:sz="8" w:space="0" w:color="FFFFFF"/>
            </w:tcBorders>
            <w:shd w:val="clear" w:color="000000" w:fill="0077BD"/>
            <w:vAlign w:val="center"/>
          </w:tcPr>
          <w:p w14:paraId="0B8B248A" w14:textId="77777777" w:rsidR="00171A56" w:rsidRPr="001170DF" w:rsidRDefault="00171A56" w:rsidP="001170DF">
            <w:pPr>
              <w:jc w:val="right"/>
              <w:rPr>
                <w:rFonts w:cs="Calibri"/>
                <w:b/>
                <w:bCs/>
                <w:color w:val="FFFFFF"/>
                <w:sz w:val="13"/>
                <w:szCs w:val="13"/>
              </w:rPr>
            </w:pPr>
            <w:r w:rsidRPr="001170DF">
              <w:rPr>
                <w:rFonts w:cs="Calibri"/>
                <w:b/>
                <w:bCs/>
                <w:color w:val="FFFFFF"/>
                <w:sz w:val="13"/>
                <w:szCs w:val="13"/>
              </w:rPr>
              <w:t>31.12.2018</w:t>
            </w:r>
          </w:p>
        </w:tc>
      </w:tr>
      <w:tr w:rsidR="001170DF" w:rsidRPr="001170DF" w14:paraId="51CC0622" w14:textId="77777777" w:rsidTr="00742320">
        <w:trPr>
          <w:trHeight w:val="510"/>
        </w:trPr>
        <w:tc>
          <w:tcPr>
            <w:tcW w:w="2694" w:type="dxa"/>
            <w:tcBorders>
              <w:left w:val="nil"/>
              <w:bottom w:val="single" w:sz="4" w:space="0" w:color="0077BD"/>
              <w:right w:val="single" w:sz="8" w:space="0" w:color="0077BD"/>
            </w:tcBorders>
            <w:shd w:val="clear" w:color="auto" w:fill="auto"/>
            <w:vAlign w:val="center"/>
            <w:hideMark/>
          </w:tcPr>
          <w:p w14:paraId="12AE3A21" w14:textId="35A63BDD" w:rsidR="001170DF" w:rsidRPr="001170DF" w:rsidRDefault="001170DF" w:rsidP="001170DF">
            <w:pPr>
              <w:rPr>
                <w:rFonts w:cs="Calibri"/>
                <w:bCs/>
                <w:sz w:val="13"/>
                <w:szCs w:val="13"/>
              </w:rPr>
            </w:pPr>
            <w:r w:rsidRPr="001170DF">
              <w:rPr>
                <w:rFonts w:cs="Calibri"/>
                <w:color w:val="000000"/>
                <w:sz w:val="13"/>
                <w:szCs w:val="13"/>
              </w:rPr>
              <w:t>Kredyt</w:t>
            </w:r>
            <w:r>
              <w:rPr>
                <w:rFonts w:cs="Calibri"/>
                <w:color w:val="000000"/>
                <w:sz w:val="13"/>
                <w:szCs w:val="13"/>
              </w:rPr>
              <w:t>y i pożyczki udzielone klientom</w:t>
            </w:r>
            <w:r w:rsidRPr="001170DF">
              <w:rPr>
                <w:rFonts w:cs="Calibri"/>
                <w:bCs/>
                <w:sz w:val="13"/>
                <w:szCs w:val="13"/>
              </w:rPr>
              <w:t xml:space="preserve"> - kredyty na zmienną stopę procentową, indeksowaną do stopy rynkowej</w:t>
            </w:r>
          </w:p>
        </w:tc>
        <w:tc>
          <w:tcPr>
            <w:tcW w:w="1134" w:type="dxa"/>
            <w:tcBorders>
              <w:left w:val="single" w:sz="8" w:space="0" w:color="0077BD"/>
              <w:bottom w:val="single" w:sz="4" w:space="0" w:color="0077BD"/>
              <w:right w:val="single" w:sz="8" w:space="0" w:color="0077BD"/>
            </w:tcBorders>
            <w:shd w:val="clear" w:color="auto" w:fill="auto"/>
            <w:noWrap/>
            <w:vAlign w:val="center"/>
          </w:tcPr>
          <w:p w14:paraId="40F8B91D" w14:textId="77777777" w:rsidR="001170DF" w:rsidRPr="001170DF" w:rsidRDefault="001170DF" w:rsidP="001170DF">
            <w:pPr>
              <w:jc w:val="right"/>
              <w:rPr>
                <w:rFonts w:cs="Calibri"/>
                <w:sz w:val="13"/>
                <w:szCs w:val="13"/>
              </w:rPr>
            </w:pPr>
            <w:r w:rsidRPr="001170DF">
              <w:rPr>
                <w:rFonts w:cs="Calibri"/>
                <w:sz w:val="13"/>
                <w:szCs w:val="13"/>
              </w:rPr>
              <w:t>15 365 000</w:t>
            </w:r>
          </w:p>
        </w:tc>
        <w:tc>
          <w:tcPr>
            <w:tcW w:w="1134" w:type="dxa"/>
            <w:tcBorders>
              <w:left w:val="single" w:sz="8" w:space="0" w:color="0077BD"/>
              <w:bottom w:val="single" w:sz="4" w:space="0" w:color="0077BD"/>
              <w:right w:val="single" w:sz="8" w:space="0" w:color="0077BD"/>
            </w:tcBorders>
            <w:shd w:val="clear" w:color="auto" w:fill="auto"/>
            <w:vAlign w:val="center"/>
          </w:tcPr>
          <w:p w14:paraId="20E25F0F" w14:textId="77777777" w:rsidR="001170DF" w:rsidRPr="001170DF" w:rsidRDefault="001170DF" w:rsidP="001170DF">
            <w:pPr>
              <w:jc w:val="right"/>
              <w:rPr>
                <w:rFonts w:cs="Calibri"/>
                <w:color w:val="000000"/>
                <w:sz w:val="13"/>
                <w:szCs w:val="13"/>
              </w:rPr>
            </w:pPr>
            <w:r w:rsidRPr="001170DF">
              <w:rPr>
                <w:rFonts w:cs="Calibri"/>
                <w:color w:val="000000"/>
                <w:sz w:val="13"/>
                <w:szCs w:val="13"/>
              </w:rPr>
              <w:t>11 530 000</w:t>
            </w:r>
          </w:p>
        </w:tc>
        <w:tc>
          <w:tcPr>
            <w:tcW w:w="1134" w:type="dxa"/>
            <w:tcBorders>
              <w:left w:val="single" w:sz="8" w:space="0" w:color="0077BD"/>
              <w:bottom w:val="single" w:sz="4" w:space="0" w:color="0077BD"/>
              <w:right w:val="single" w:sz="8" w:space="0" w:color="0077BD"/>
            </w:tcBorders>
            <w:shd w:val="clear" w:color="auto" w:fill="auto"/>
            <w:vAlign w:val="center"/>
          </w:tcPr>
          <w:p w14:paraId="27658DE7" w14:textId="77777777" w:rsidR="001170DF" w:rsidRPr="001170DF" w:rsidRDefault="001170DF" w:rsidP="001170DF">
            <w:pPr>
              <w:jc w:val="right"/>
              <w:rPr>
                <w:rFonts w:cs="Calibri"/>
                <w:sz w:val="13"/>
                <w:szCs w:val="13"/>
              </w:rPr>
            </w:pPr>
            <w:r w:rsidRPr="001170DF">
              <w:rPr>
                <w:rFonts w:cs="Calibri"/>
                <w:sz w:val="13"/>
                <w:szCs w:val="13"/>
              </w:rPr>
              <w:t>161 352</w:t>
            </w:r>
          </w:p>
        </w:tc>
        <w:tc>
          <w:tcPr>
            <w:tcW w:w="1134" w:type="dxa"/>
            <w:tcBorders>
              <w:left w:val="single" w:sz="8" w:space="0" w:color="0077BD"/>
              <w:bottom w:val="single" w:sz="4" w:space="0" w:color="0077BD"/>
              <w:right w:val="single" w:sz="8" w:space="0" w:color="0077BD"/>
            </w:tcBorders>
            <w:shd w:val="clear" w:color="auto" w:fill="auto"/>
            <w:vAlign w:val="center"/>
          </w:tcPr>
          <w:p w14:paraId="7E01AD62" w14:textId="77777777" w:rsidR="001170DF" w:rsidRPr="001170DF" w:rsidRDefault="001170DF" w:rsidP="001170DF">
            <w:pPr>
              <w:jc w:val="right"/>
              <w:rPr>
                <w:rFonts w:cs="Calibri"/>
                <w:sz w:val="13"/>
                <w:szCs w:val="13"/>
              </w:rPr>
            </w:pPr>
            <w:r w:rsidRPr="001170DF">
              <w:rPr>
                <w:rFonts w:cs="Calibri"/>
                <w:sz w:val="13"/>
                <w:szCs w:val="13"/>
              </w:rPr>
              <w:t>111 872</w:t>
            </w:r>
          </w:p>
        </w:tc>
        <w:tc>
          <w:tcPr>
            <w:tcW w:w="1134" w:type="dxa"/>
            <w:tcBorders>
              <w:left w:val="single" w:sz="8" w:space="0" w:color="0077BD"/>
              <w:bottom w:val="single" w:sz="4" w:space="0" w:color="0077BD"/>
              <w:right w:val="single" w:sz="8" w:space="0" w:color="0077BD"/>
            </w:tcBorders>
            <w:shd w:val="clear" w:color="auto" w:fill="auto"/>
            <w:vAlign w:val="center"/>
          </w:tcPr>
          <w:p w14:paraId="216579F8" w14:textId="77777777" w:rsidR="001170DF" w:rsidRPr="001170DF" w:rsidRDefault="001170DF" w:rsidP="001170DF">
            <w:pPr>
              <w:jc w:val="right"/>
              <w:rPr>
                <w:rFonts w:cs="Calibri"/>
                <w:sz w:val="13"/>
                <w:szCs w:val="13"/>
              </w:rPr>
            </w:pPr>
            <w:r w:rsidRPr="001170DF">
              <w:rPr>
                <w:rFonts w:cs="Calibri"/>
                <w:sz w:val="13"/>
                <w:szCs w:val="13"/>
              </w:rPr>
              <w:t>122 150</w:t>
            </w:r>
          </w:p>
        </w:tc>
        <w:tc>
          <w:tcPr>
            <w:tcW w:w="1134" w:type="dxa"/>
            <w:tcBorders>
              <w:left w:val="single" w:sz="8" w:space="0" w:color="0077BD"/>
              <w:bottom w:val="single" w:sz="4" w:space="0" w:color="0077BD"/>
            </w:tcBorders>
            <w:shd w:val="clear" w:color="auto" w:fill="auto"/>
            <w:noWrap/>
            <w:vAlign w:val="center"/>
          </w:tcPr>
          <w:p w14:paraId="4D04F230" w14:textId="77777777" w:rsidR="001170DF" w:rsidRPr="001170DF" w:rsidRDefault="001170DF" w:rsidP="001170DF">
            <w:pPr>
              <w:jc w:val="right"/>
              <w:rPr>
                <w:rFonts w:cs="Calibri"/>
                <w:sz w:val="13"/>
                <w:szCs w:val="13"/>
              </w:rPr>
            </w:pPr>
            <w:r w:rsidRPr="001170DF">
              <w:rPr>
                <w:rFonts w:cs="Calibri"/>
                <w:sz w:val="13"/>
                <w:szCs w:val="13"/>
              </w:rPr>
              <w:t>83 643</w:t>
            </w:r>
          </w:p>
        </w:tc>
      </w:tr>
    </w:tbl>
    <w:p w14:paraId="00227E93" w14:textId="6A5FE569" w:rsidR="004C20EA" w:rsidRDefault="004C20EA" w:rsidP="00445AD0">
      <w:pPr>
        <w:tabs>
          <w:tab w:val="left" w:pos="0"/>
        </w:tabs>
        <w:suppressAutoHyphens/>
        <w:spacing w:before="120" w:after="120"/>
        <w:jc w:val="both"/>
        <w:rPr>
          <w:rFonts w:cs="Tahoma"/>
          <w:b/>
          <w:bCs/>
          <w:color w:val="000000" w:themeColor="text1"/>
          <w:sz w:val="18"/>
          <w:szCs w:val="18"/>
          <w:lang w:eastAsia="en-US"/>
        </w:rPr>
      </w:pPr>
      <w:r w:rsidRPr="00BB7C9E">
        <w:rPr>
          <w:rFonts w:cs="Tahoma"/>
          <w:b/>
          <w:bCs/>
          <w:color w:val="000000" w:themeColor="text1"/>
          <w:sz w:val="18"/>
          <w:szCs w:val="18"/>
          <w:lang w:eastAsia="en-US"/>
        </w:rPr>
        <w:t>Wartości nominalne instrumentów pochodnych zabezpieczających - zabezpieczenia przepływów pieniężnych</w:t>
      </w:r>
    </w:p>
    <w:tbl>
      <w:tblPr>
        <w:tblW w:w="0" w:type="auto"/>
        <w:tblLayout w:type="fixed"/>
        <w:tblCellMar>
          <w:left w:w="28" w:type="dxa"/>
          <w:right w:w="28" w:type="dxa"/>
        </w:tblCellMar>
        <w:tblLook w:val="04A0" w:firstRow="1" w:lastRow="0" w:firstColumn="1" w:lastColumn="0" w:noHBand="0" w:noVBand="1"/>
      </w:tblPr>
      <w:tblGrid>
        <w:gridCol w:w="2722"/>
        <w:gridCol w:w="1134"/>
        <w:gridCol w:w="1134"/>
        <w:gridCol w:w="1134"/>
        <w:gridCol w:w="1134"/>
        <w:gridCol w:w="1134"/>
        <w:gridCol w:w="1134"/>
      </w:tblGrid>
      <w:tr w:rsidR="003C4872" w:rsidRPr="00CA3961" w14:paraId="26A14D32" w14:textId="77777777" w:rsidTr="002C6DA9">
        <w:trPr>
          <w:trHeight w:val="408"/>
        </w:trPr>
        <w:tc>
          <w:tcPr>
            <w:tcW w:w="2722" w:type="dxa"/>
            <w:tcBorders>
              <w:top w:val="nil"/>
              <w:left w:val="nil"/>
              <w:bottom w:val="nil"/>
              <w:right w:val="single" w:sz="8" w:space="0" w:color="FFFFFF"/>
            </w:tcBorders>
            <w:shd w:val="clear" w:color="000000" w:fill="0077BD"/>
            <w:vAlign w:val="center"/>
            <w:hideMark/>
          </w:tcPr>
          <w:p w14:paraId="64E4E256" w14:textId="77777777" w:rsidR="003C4872" w:rsidRPr="00CA3961" w:rsidRDefault="003C4872" w:rsidP="002C6DA9">
            <w:pPr>
              <w:rPr>
                <w:rFonts w:cs="Calibri"/>
                <w:b/>
                <w:bCs/>
                <w:color w:val="FFFFFF"/>
                <w:sz w:val="13"/>
                <w:szCs w:val="13"/>
              </w:rPr>
            </w:pPr>
            <w:r w:rsidRPr="00CA3961">
              <w:rPr>
                <w:rFonts w:cs="Calibri"/>
                <w:b/>
                <w:bCs/>
                <w:color w:val="FFFFFF"/>
                <w:sz w:val="13"/>
                <w:szCs w:val="13"/>
              </w:rPr>
              <w:t>31.12.2019</w:t>
            </w:r>
          </w:p>
        </w:tc>
        <w:tc>
          <w:tcPr>
            <w:tcW w:w="1134" w:type="dxa"/>
            <w:tcBorders>
              <w:top w:val="nil"/>
              <w:left w:val="nil"/>
              <w:bottom w:val="nil"/>
              <w:right w:val="single" w:sz="8" w:space="0" w:color="FFFFFF"/>
            </w:tcBorders>
            <w:shd w:val="clear" w:color="000000" w:fill="0077BD"/>
            <w:vAlign w:val="center"/>
            <w:hideMark/>
          </w:tcPr>
          <w:p w14:paraId="3BCBF042" w14:textId="77777777" w:rsidR="003C4872" w:rsidRPr="00CA3961" w:rsidRDefault="003C4872" w:rsidP="002C6DA9">
            <w:pPr>
              <w:jc w:val="center"/>
              <w:rPr>
                <w:rFonts w:cs="Calibri"/>
                <w:b/>
                <w:bCs/>
                <w:color w:val="FFFFFF"/>
                <w:sz w:val="13"/>
                <w:szCs w:val="13"/>
              </w:rPr>
            </w:pPr>
            <w:r w:rsidRPr="00CA3961">
              <w:rPr>
                <w:rFonts w:cs="Calibri"/>
                <w:b/>
                <w:bCs/>
                <w:color w:val="FFFFFF"/>
                <w:sz w:val="13"/>
                <w:szCs w:val="13"/>
              </w:rPr>
              <w:t>do 1 miesiąca</w:t>
            </w:r>
          </w:p>
        </w:tc>
        <w:tc>
          <w:tcPr>
            <w:tcW w:w="1134" w:type="dxa"/>
            <w:tcBorders>
              <w:top w:val="nil"/>
              <w:left w:val="nil"/>
              <w:bottom w:val="nil"/>
              <w:right w:val="single" w:sz="8" w:space="0" w:color="FFFFFF"/>
            </w:tcBorders>
            <w:shd w:val="clear" w:color="000000" w:fill="0077BD"/>
            <w:vAlign w:val="center"/>
            <w:hideMark/>
          </w:tcPr>
          <w:p w14:paraId="19CCE6DA" w14:textId="77777777" w:rsidR="003C4872" w:rsidRPr="00CA3961" w:rsidRDefault="003C4872" w:rsidP="002C6DA9">
            <w:pPr>
              <w:jc w:val="center"/>
              <w:rPr>
                <w:rFonts w:cs="Calibri"/>
                <w:b/>
                <w:bCs/>
                <w:color w:val="FFFFFF"/>
                <w:sz w:val="13"/>
                <w:szCs w:val="13"/>
              </w:rPr>
            </w:pPr>
            <w:r w:rsidRPr="00CA3961">
              <w:rPr>
                <w:rFonts w:cs="Calibri"/>
                <w:b/>
                <w:bCs/>
                <w:color w:val="FFFFFF"/>
                <w:sz w:val="13"/>
                <w:szCs w:val="13"/>
              </w:rPr>
              <w:t>od 1 do 3 miesięcy</w:t>
            </w:r>
          </w:p>
        </w:tc>
        <w:tc>
          <w:tcPr>
            <w:tcW w:w="1134" w:type="dxa"/>
            <w:tcBorders>
              <w:top w:val="nil"/>
              <w:left w:val="nil"/>
              <w:bottom w:val="nil"/>
              <w:right w:val="single" w:sz="8" w:space="0" w:color="FFFFFF"/>
            </w:tcBorders>
            <w:shd w:val="clear" w:color="000000" w:fill="0077BD"/>
            <w:vAlign w:val="center"/>
            <w:hideMark/>
          </w:tcPr>
          <w:p w14:paraId="64C0E89F" w14:textId="77777777" w:rsidR="003C4872" w:rsidRPr="00CA3961" w:rsidRDefault="003C4872" w:rsidP="002C6DA9">
            <w:pPr>
              <w:jc w:val="center"/>
              <w:rPr>
                <w:rFonts w:cs="Calibri"/>
                <w:b/>
                <w:bCs/>
                <w:color w:val="FFFFFF"/>
                <w:sz w:val="13"/>
                <w:szCs w:val="13"/>
              </w:rPr>
            </w:pPr>
            <w:r w:rsidRPr="00CA3961">
              <w:rPr>
                <w:rFonts w:cs="Calibri"/>
                <w:b/>
                <w:bCs/>
                <w:color w:val="FFFFFF"/>
                <w:sz w:val="13"/>
                <w:szCs w:val="13"/>
              </w:rPr>
              <w:t xml:space="preserve">od 3 miesięcy </w:t>
            </w:r>
            <w:r w:rsidRPr="00CA3961">
              <w:rPr>
                <w:rFonts w:cs="Calibri"/>
                <w:b/>
                <w:bCs/>
                <w:color w:val="FFFFFF"/>
                <w:sz w:val="13"/>
                <w:szCs w:val="13"/>
              </w:rPr>
              <w:br/>
              <w:t>do 1 roku</w:t>
            </w:r>
          </w:p>
        </w:tc>
        <w:tc>
          <w:tcPr>
            <w:tcW w:w="1134" w:type="dxa"/>
            <w:tcBorders>
              <w:top w:val="nil"/>
              <w:left w:val="nil"/>
              <w:bottom w:val="nil"/>
              <w:right w:val="single" w:sz="8" w:space="0" w:color="FFFFFF"/>
            </w:tcBorders>
            <w:shd w:val="clear" w:color="000000" w:fill="0077BD"/>
            <w:vAlign w:val="center"/>
            <w:hideMark/>
          </w:tcPr>
          <w:p w14:paraId="57A91B24" w14:textId="77777777" w:rsidR="003C4872" w:rsidRPr="00CA3961" w:rsidRDefault="003C4872" w:rsidP="002C6DA9">
            <w:pPr>
              <w:jc w:val="center"/>
              <w:rPr>
                <w:rFonts w:cs="Calibri"/>
                <w:b/>
                <w:bCs/>
                <w:color w:val="FFFFFF"/>
                <w:sz w:val="13"/>
                <w:szCs w:val="13"/>
              </w:rPr>
            </w:pPr>
            <w:r w:rsidRPr="00CA3961">
              <w:rPr>
                <w:rFonts w:cs="Calibri"/>
                <w:b/>
                <w:bCs/>
                <w:color w:val="FFFFFF"/>
                <w:sz w:val="13"/>
                <w:szCs w:val="13"/>
              </w:rPr>
              <w:t>od 1 roku do 5 lat</w:t>
            </w:r>
          </w:p>
        </w:tc>
        <w:tc>
          <w:tcPr>
            <w:tcW w:w="1134" w:type="dxa"/>
            <w:tcBorders>
              <w:top w:val="nil"/>
              <w:left w:val="nil"/>
              <w:bottom w:val="nil"/>
              <w:right w:val="single" w:sz="8" w:space="0" w:color="FFFFFF"/>
            </w:tcBorders>
            <w:shd w:val="clear" w:color="000000" w:fill="0077BD"/>
            <w:vAlign w:val="center"/>
            <w:hideMark/>
          </w:tcPr>
          <w:p w14:paraId="0D8305D4" w14:textId="77777777" w:rsidR="003C4872" w:rsidRPr="00CA3961" w:rsidRDefault="003C4872" w:rsidP="002C6DA9">
            <w:pPr>
              <w:jc w:val="center"/>
              <w:rPr>
                <w:rFonts w:cs="Calibri"/>
                <w:b/>
                <w:bCs/>
                <w:color w:val="FFFFFF"/>
                <w:sz w:val="13"/>
                <w:szCs w:val="13"/>
              </w:rPr>
            </w:pPr>
            <w:r w:rsidRPr="00CA3961">
              <w:rPr>
                <w:rFonts w:cs="Calibri"/>
                <w:b/>
                <w:bCs/>
                <w:color w:val="FFFFFF"/>
                <w:sz w:val="13"/>
                <w:szCs w:val="13"/>
              </w:rPr>
              <w:t>powyżej 5 lat</w:t>
            </w:r>
          </w:p>
        </w:tc>
        <w:tc>
          <w:tcPr>
            <w:tcW w:w="1134" w:type="dxa"/>
            <w:tcBorders>
              <w:top w:val="nil"/>
              <w:left w:val="nil"/>
              <w:bottom w:val="nil"/>
              <w:right w:val="nil"/>
            </w:tcBorders>
            <w:shd w:val="clear" w:color="000000" w:fill="0077BD"/>
            <w:vAlign w:val="center"/>
            <w:hideMark/>
          </w:tcPr>
          <w:p w14:paraId="76835002" w14:textId="77777777" w:rsidR="003C4872" w:rsidRPr="00CA3961" w:rsidRDefault="003C4872" w:rsidP="002C6DA9">
            <w:pPr>
              <w:jc w:val="right"/>
              <w:rPr>
                <w:rFonts w:cs="Calibri"/>
                <w:b/>
                <w:bCs/>
                <w:color w:val="FFFFFF"/>
                <w:sz w:val="13"/>
                <w:szCs w:val="13"/>
              </w:rPr>
            </w:pPr>
            <w:r w:rsidRPr="00CA3961">
              <w:rPr>
                <w:rFonts w:cs="Calibri"/>
                <w:b/>
                <w:bCs/>
                <w:color w:val="FFFFFF"/>
                <w:sz w:val="13"/>
                <w:szCs w:val="13"/>
              </w:rPr>
              <w:t>Razem</w:t>
            </w:r>
          </w:p>
        </w:tc>
      </w:tr>
      <w:tr w:rsidR="003C4872" w:rsidRPr="00BB7C9E" w14:paraId="51F43C92" w14:textId="77777777" w:rsidTr="002C6DA9">
        <w:trPr>
          <w:trHeight w:val="300"/>
        </w:trPr>
        <w:tc>
          <w:tcPr>
            <w:tcW w:w="9526" w:type="dxa"/>
            <w:gridSpan w:val="7"/>
            <w:tcBorders>
              <w:top w:val="nil"/>
              <w:left w:val="nil"/>
              <w:bottom w:val="single" w:sz="8" w:space="0" w:color="2E74B5"/>
              <w:right w:val="nil"/>
            </w:tcBorders>
            <w:shd w:val="clear" w:color="000000" w:fill="FFFFFF"/>
            <w:noWrap/>
            <w:vAlign w:val="center"/>
            <w:hideMark/>
          </w:tcPr>
          <w:p w14:paraId="151B435E" w14:textId="77777777" w:rsidR="003C4872" w:rsidRPr="00BB7C9E" w:rsidRDefault="003C4872" w:rsidP="002C6DA9">
            <w:pPr>
              <w:jc w:val="center"/>
              <w:rPr>
                <w:rFonts w:cs="Calibri"/>
                <w:b/>
                <w:bCs/>
                <w:color w:val="000000" w:themeColor="text1"/>
                <w:sz w:val="13"/>
                <w:szCs w:val="13"/>
              </w:rPr>
            </w:pPr>
            <w:r w:rsidRPr="00BB7C9E">
              <w:rPr>
                <w:rFonts w:cs="Calibri"/>
                <w:b/>
                <w:bCs/>
                <w:color w:val="000000" w:themeColor="text1"/>
                <w:sz w:val="13"/>
                <w:szCs w:val="13"/>
              </w:rPr>
              <w:t>RYZYKO STOPY PROCENTOWEJ</w:t>
            </w:r>
          </w:p>
        </w:tc>
      </w:tr>
      <w:tr w:rsidR="003C4872" w:rsidRPr="00BB7C9E" w14:paraId="0E9093B8" w14:textId="77777777" w:rsidTr="002C6DA9">
        <w:trPr>
          <w:trHeight w:val="397"/>
        </w:trPr>
        <w:tc>
          <w:tcPr>
            <w:tcW w:w="9526" w:type="dxa"/>
            <w:gridSpan w:val="7"/>
            <w:tcBorders>
              <w:top w:val="single" w:sz="8" w:space="0" w:color="2E74B5"/>
              <w:left w:val="nil"/>
              <w:bottom w:val="single" w:sz="8" w:space="0" w:color="2E74B5"/>
              <w:right w:val="nil"/>
            </w:tcBorders>
            <w:shd w:val="clear" w:color="000000" w:fill="FFFFFF"/>
            <w:vAlign w:val="center"/>
            <w:hideMark/>
          </w:tcPr>
          <w:p w14:paraId="21C49B8F" w14:textId="77777777" w:rsidR="003C4872" w:rsidRPr="00BB7C9E" w:rsidRDefault="003C4872" w:rsidP="002C6DA9">
            <w:pPr>
              <w:jc w:val="center"/>
              <w:rPr>
                <w:rFonts w:cs="Calibri"/>
                <w:b/>
                <w:bCs/>
                <w:color w:val="000000" w:themeColor="text1"/>
                <w:sz w:val="13"/>
                <w:szCs w:val="13"/>
              </w:rPr>
            </w:pPr>
            <w:r w:rsidRPr="00BB7C9E">
              <w:rPr>
                <w:rFonts w:cs="Calibri"/>
                <w:b/>
                <w:bCs/>
                <w:color w:val="000000" w:themeColor="text1"/>
                <w:sz w:val="13"/>
                <w:szCs w:val="13"/>
              </w:rPr>
              <w:t>Transakcje zamiany stóp procentowych (IRS) zabezpieczające przepływy pieniężne wynikające z udzielonych kredytów o zmiennym oprocentowaniu denominowanych w PLN</w:t>
            </w:r>
          </w:p>
        </w:tc>
      </w:tr>
      <w:tr w:rsidR="003C4872" w:rsidRPr="00BB7C9E" w14:paraId="118D3BC1" w14:textId="77777777" w:rsidTr="00171A56">
        <w:trPr>
          <w:trHeight w:val="288"/>
        </w:trPr>
        <w:tc>
          <w:tcPr>
            <w:tcW w:w="2722" w:type="dxa"/>
            <w:tcBorders>
              <w:top w:val="single" w:sz="4" w:space="0" w:color="0077BD"/>
              <w:left w:val="nil"/>
              <w:bottom w:val="single" w:sz="4" w:space="0" w:color="0077BD"/>
              <w:right w:val="single" w:sz="8" w:space="0" w:color="0077BD"/>
            </w:tcBorders>
            <w:shd w:val="clear" w:color="auto" w:fill="auto"/>
            <w:vAlign w:val="center"/>
            <w:hideMark/>
          </w:tcPr>
          <w:p w14:paraId="5B7FBA5B" w14:textId="77777777" w:rsidR="003C4872" w:rsidRPr="00BB7C9E" w:rsidRDefault="003C4872" w:rsidP="003C4872">
            <w:pPr>
              <w:rPr>
                <w:rFonts w:cs="Calibri"/>
                <w:b/>
                <w:bCs/>
                <w:color w:val="000000" w:themeColor="text1"/>
                <w:sz w:val="13"/>
                <w:szCs w:val="13"/>
              </w:rPr>
            </w:pPr>
            <w:r w:rsidRPr="00BB7C9E">
              <w:rPr>
                <w:rFonts w:cs="Calibri"/>
                <w:b/>
                <w:bCs/>
                <w:color w:val="000000" w:themeColor="text1"/>
                <w:sz w:val="13"/>
                <w:szCs w:val="13"/>
              </w:rPr>
              <w:t>Wartość nominalna (tys. PLN)</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E1D1DF5" w14:textId="70EDB04F" w:rsidR="003C4872" w:rsidRPr="00CD7CBB" w:rsidRDefault="003C4872" w:rsidP="003C4872">
            <w:pPr>
              <w:jc w:val="right"/>
              <w:rPr>
                <w:rFonts w:cs="Calibri"/>
                <w:color w:val="000000" w:themeColor="text1"/>
                <w:sz w:val="13"/>
                <w:szCs w:val="13"/>
              </w:rPr>
            </w:pPr>
            <w:r>
              <w:rPr>
                <w:rFonts w:cs="Calibri"/>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E13253B" w14:textId="14B429D8" w:rsidR="003C4872" w:rsidRPr="00CD7CBB" w:rsidRDefault="003C4872" w:rsidP="003C4872">
            <w:pPr>
              <w:jc w:val="right"/>
              <w:rPr>
                <w:rFonts w:cs="Calibri"/>
                <w:color w:val="000000" w:themeColor="text1"/>
                <w:sz w:val="13"/>
                <w:szCs w:val="13"/>
              </w:rPr>
            </w:pPr>
            <w:r>
              <w:rPr>
                <w:rFonts w:cs="Calibri"/>
                <w:sz w:val="13"/>
                <w:szCs w:val="13"/>
              </w:rPr>
              <w:t>200 000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F88317C" w14:textId="05B594C1" w:rsidR="003C4872" w:rsidRPr="00CD7CBB" w:rsidRDefault="003C4872" w:rsidP="003C4872">
            <w:pPr>
              <w:jc w:val="right"/>
              <w:rPr>
                <w:rFonts w:cs="Calibri"/>
                <w:color w:val="000000" w:themeColor="text1"/>
                <w:sz w:val="13"/>
                <w:szCs w:val="13"/>
              </w:rPr>
            </w:pPr>
            <w:r>
              <w:rPr>
                <w:rFonts w:cs="Calibri"/>
                <w:sz w:val="13"/>
                <w:szCs w:val="13"/>
              </w:rPr>
              <w:t>3 590 000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6DF2ED9" w14:textId="1C6F4C81" w:rsidR="003C4872" w:rsidRPr="00CD7CBB" w:rsidRDefault="003C4872" w:rsidP="003C4872">
            <w:pPr>
              <w:jc w:val="right"/>
              <w:rPr>
                <w:rFonts w:cs="Calibri"/>
                <w:color w:val="000000" w:themeColor="text1"/>
                <w:sz w:val="13"/>
                <w:szCs w:val="13"/>
              </w:rPr>
            </w:pPr>
            <w:r>
              <w:rPr>
                <w:rFonts w:cs="Calibri"/>
                <w:sz w:val="13"/>
                <w:szCs w:val="13"/>
              </w:rPr>
              <w:t>11 375 000</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2B151BA4" w14:textId="6C0EF0E2" w:rsidR="003C4872" w:rsidRPr="00CD7CBB" w:rsidRDefault="003C4872" w:rsidP="003C4872">
            <w:pPr>
              <w:jc w:val="right"/>
              <w:rPr>
                <w:rFonts w:cs="Calibri"/>
                <w:color w:val="000000" w:themeColor="text1"/>
                <w:sz w:val="13"/>
                <w:szCs w:val="13"/>
              </w:rPr>
            </w:pPr>
            <w:r>
              <w:rPr>
                <w:rFonts w:cs="Calibri"/>
                <w:sz w:val="13"/>
                <w:szCs w:val="13"/>
              </w:rPr>
              <w:t>200 000</w:t>
            </w:r>
          </w:p>
        </w:tc>
        <w:tc>
          <w:tcPr>
            <w:tcW w:w="1134" w:type="dxa"/>
            <w:tcBorders>
              <w:top w:val="single" w:sz="4" w:space="0" w:color="0077BD"/>
              <w:left w:val="nil"/>
              <w:bottom w:val="single" w:sz="4" w:space="0" w:color="0077BD"/>
              <w:right w:val="nil"/>
            </w:tcBorders>
            <w:shd w:val="clear" w:color="auto" w:fill="auto"/>
            <w:noWrap/>
            <w:vAlign w:val="center"/>
            <w:hideMark/>
          </w:tcPr>
          <w:p w14:paraId="63D23021" w14:textId="5D87E8E5" w:rsidR="003C4872" w:rsidRPr="00CD7CBB" w:rsidRDefault="003C4872" w:rsidP="003C4872">
            <w:pPr>
              <w:jc w:val="right"/>
              <w:rPr>
                <w:rFonts w:cs="Calibri"/>
                <w:b/>
                <w:bCs/>
                <w:color w:val="000000" w:themeColor="text1"/>
                <w:sz w:val="13"/>
                <w:szCs w:val="13"/>
              </w:rPr>
            </w:pPr>
            <w:r>
              <w:rPr>
                <w:rFonts w:cs="Calibri"/>
                <w:b/>
                <w:bCs/>
                <w:sz w:val="13"/>
                <w:szCs w:val="13"/>
              </w:rPr>
              <w:t>15 365 000</w:t>
            </w:r>
          </w:p>
        </w:tc>
      </w:tr>
      <w:tr w:rsidR="003C4872" w:rsidRPr="00BB7C9E" w14:paraId="02AF5EF5" w14:textId="77777777" w:rsidTr="00171A56">
        <w:trPr>
          <w:trHeight w:val="288"/>
        </w:trPr>
        <w:tc>
          <w:tcPr>
            <w:tcW w:w="2722" w:type="dxa"/>
            <w:tcBorders>
              <w:top w:val="nil"/>
              <w:left w:val="nil"/>
              <w:bottom w:val="single" w:sz="4" w:space="0" w:color="0077BD"/>
              <w:right w:val="single" w:sz="8" w:space="0" w:color="0077BD"/>
            </w:tcBorders>
            <w:shd w:val="clear" w:color="auto" w:fill="auto"/>
            <w:vAlign w:val="center"/>
            <w:hideMark/>
          </w:tcPr>
          <w:p w14:paraId="723A25D0" w14:textId="77777777" w:rsidR="003C4872" w:rsidRPr="00BB7C9E" w:rsidRDefault="003C4872" w:rsidP="003C4872">
            <w:pPr>
              <w:rPr>
                <w:rFonts w:cs="Calibri"/>
                <w:b/>
                <w:bCs/>
                <w:color w:val="000000" w:themeColor="text1"/>
                <w:sz w:val="13"/>
                <w:szCs w:val="13"/>
              </w:rPr>
            </w:pPr>
            <w:r w:rsidRPr="00BB7C9E">
              <w:rPr>
                <w:rFonts w:cs="Calibri"/>
                <w:b/>
                <w:bCs/>
                <w:color w:val="000000" w:themeColor="text1"/>
                <w:sz w:val="13"/>
                <w:szCs w:val="13"/>
              </w:rPr>
              <w:t>Średnie oprocentowanie nogi stałej</w:t>
            </w:r>
          </w:p>
        </w:tc>
        <w:tc>
          <w:tcPr>
            <w:tcW w:w="1134" w:type="dxa"/>
            <w:tcBorders>
              <w:top w:val="nil"/>
              <w:left w:val="nil"/>
              <w:bottom w:val="single" w:sz="4" w:space="0" w:color="0077BD"/>
              <w:right w:val="single" w:sz="8" w:space="0" w:color="0077BD"/>
            </w:tcBorders>
            <w:shd w:val="clear" w:color="auto" w:fill="auto"/>
            <w:noWrap/>
            <w:vAlign w:val="center"/>
          </w:tcPr>
          <w:p w14:paraId="3BC9A070" w14:textId="41FE7833" w:rsidR="003C4872" w:rsidRPr="00CD7CBB" w:rsidRDefault="003C4872" w:rsidP="003C4872">
            <w:pPr>
              <w:jc w:val="right"/>
              <w:rPr>
                <w:rFonts w:cs="Calibri"/>
                <w:color w:val="000000" w:themeColor="text1"/>
                <w:sz w:val="13"/>
                <w:szCs w:val="13"/>
              </w:rPr>
            </w:pPr>
            <w:r>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411CB68A" w14:textId="5A5622A7" w:rsidR="003C4872" w:rsidRPr="00CD7CBB" w:rsidRDefault="003C4872" w:rsidP="003C4872">
            <w:pPr>
              <w:jc w:val="right"/>
              <w:rPr>
                <w:rFonts w:cs="Calibri"/>
                <w:color w:val="000000" w:themeColor="text1"/>
                <w:sz w:val="13"/>
                <w:szCs w:val="13"/>
              </w:rPr>
            </w:pPr>
            <w:r>
              <w:rPr>
                <w:rFonts w:cs="Calibri"/>
                <w:sz w:val="13"/>
                <w:szCs w:val="13"/>
              </w:rPr>
              <w:t>1,865%</w:t>
            </w:r>
          </w:p>
        </w:tc>
        <w:tc>
          <w:tcPr>
            <w:tcW w:w="1134" w:type="dxa"/>
            <w:tcBorders>
              <w:top w:val="nil"/>
              <w:left w:val="nil"/>
              <w:bottom w:val="single" w:sz="4" w:space="0" w:color="0077BD"/>
              <w:right w:val="single" w:sz="8" w:space="0" w:color="0077BD"/>
            </w:tcBorders>
            <w:shd w:val="clear" w:color="auto" w:fill="auto"/>
            <w:noWrap/>
            <w:vAlign w:val="center"/>
          </w:tcPr>
          <w:p w14:paraId="05939B69" w14:textId="357C509D" w:rsidR="003C4872" w:rsidRPr="00CD7CBB" w:rsidRDefault="003C4872" w:rsidP="003C4872">
            <w:pPr>
              <w:jc w:val="right"/>
              <w:rPr>
                <w:rFonts w:cs="Calibri"/>
                <w:color w:val="000000" w:themeColor="text1"/>
                <w:sz w:val="13"/>
                <w:szCs w:val="13"/>
              </w:rPr>
            </w:pPr>
            <w:r>
              <w:rPr>
                <w:rFonts w:cs="Calibri"/>
                <w:sz w:val="13"/>
                <w:szCs w:val="13"/>
              </w:rPr>
              <w:t>1,967%</w:t>
            </w:r>
          </w:p>
        </w:tc>
        <w:tc>
          <w:tcPr>
            <w:tcW w:w="1134" w:type="dxa"/>
            <w:tcBorders>
              <w:top w:val="nil"/>
              <w:left w:val="nil"/>
              <w:bottom w:val="single" w:sz="4" w:space="0" w:color="0077BD"/>
              <w:right w:val="single" w:sz="8" w:space="0" w:color="0077BD"/>
            </w:tcBorders>
            <w:shd w:val="clear" w:color="auto" w:fill="auto"/>
            <w:noWrap/>
            <w:vAlign w:val="center"/>
          </w:tcPr>
          <w:p w14:paraId="0ABDC55E" w14:textId="7D2D58BE" w:rsidR="003C4872" w:rsidRPr="00CD7CBB" w:rsidRDefault="003C4872" w:rsidP="003C4872">
            <w:pPr>
              <w:jc w:val="right"/>
              <w:rPr>
                <w:rFonts w:cs="Calibri"/>
                <w:color w:val="000000" w:themeColor="text1"/>
                <w:sz w:val="13"/>
                <w:szCs w:val="13"/>
              </w:rPr>
            </w:pPr>
            <w:r>
              <w:rPr>
                <w:rFonts w:cs="Calibri"/>
                <w:sz w:val="13"/>
                <w:szCs w:val="13"/>
              </w:rPr>
              <w:t>2,095%</w:t>
            </w:r>
          </w:p>
        </w:tc>
        <w:tc>
          <w:tcPr>
            <w:tcW w:w="1134" w:type="dxa"/>
            <w:tcBorders>
              <w:top w:val="nil"/>
              <w:left w:val="nil"/>
              <w:bottom w:val="single" w:sz="4" w:space="0" w:color="0077BD"/>
              <w:right w:val="single" w:sz="8" w:space="0" w:color="0077BD"/>
            </w:tcBorders>
            <w:shd w:val="clear" w:color="auto" w:fill="auto"/>
            <w:noWrap/>
            <w:vAlign w:val="center"/>
            <w:hideMark/>
          </w:tcPr>
          <w:p w14:paraId="2D495FCC" w14:textId="0D665BF5" w:rsidR="003C4872" w:rsidRPr="00CD7CBB" w:rsidRDefault="003C4872" w:rsidP="003C4872">
            <w:pPr>
              <w:jc w:val="right"/>
              <w:rPr>
                <w:rFonts w:cs="Calibri"/>
                <w:color w:val="000000" w:themeColor="text1"/>
                <w:sz w:val="13"/>
                <w:szCs w:val="13"/>
              </w:rPr>
            </w:pPr>
            <w:r>
              <w:rPr>
                <w:rFonts w:cs="Calibri"/>
                <w:sz w:val="13"/>
                <w:szCs w:val="13"/>
              </w:rPr>
              <w:t>1,928%</w:t>
            </w:r>
          </w:p>
        </w:tc>
        <w:tc>
          <w:tcPr>
            <w:tcW w:w="1134" w:type="dxa"/>
            <w:tcBorders>
              <w:top w:val="single" w:sz="4" w:space="0" w:color="0077BD"/>
              <w:left w:val="nil"/>
              <w:bottom w:val="single" w:sz="4" w:space="0" w:color="0077BD"/>
              <w:right w:val="nil"/>
            </w:tcBorders>
            <w:shd w:val="thinDiagStripe" w:color="auto" w:fill="auto"/>
            <w:noWrap/>
            <w:vAlign w:val="center"/>
            <w:hideMark/>
          </w:tcPr>
          <w:p w14:paraId="72ECD4DF" w14:textId="370F7E73" w:rsidR="003C4872" w:rsidRPr="00CD7CBB" w:rsidRDefault="003C4872" w:rsidP="003C4872">
            <w:pPr>
              <w:jc w:val="right"/>
              <w:rPr>
                <w:rFonts w:cs="Calibri"/>
                <w:b/>
                <w:bCs/>
                <w:color w:val="000000" w:themeColor="text1"/>
                <w:sz w:val="13"/>
                <w:szCs w:val="13"/>
              </w:rPr>
            </w:pPr>
          </w:p>
        </w:tc>
      </w:tr>
    </w:tbl>
    <w:p w14:paraId="3AB0D2FB" w14:textId="613ECD29" w:rsidR="003C4872" w:rsidRPr="002F636B" w:rsidRDefault="003C4872" w:rsidP="002F636B">
      <w:pPr>
        <w:tabs>
          <w:tab w:val="left" w:pos="0"/>
        </w:tabs>
        <w:suppressAutoHyphens/>
        <w:jc w:val="both"/>
        <w:rPr>
          <w:rFonts w:cs="Tahoma"/>
          <w:b/>
          <w:bCs/>
          <w:color w:val="000000" w:themeColor="text1"/>
          <w:sz w:val="12"/>
          <w:szCs w:val="12"/>
          <w:lang w:eastAsia="en-US"/>
        </w:rPr>
      </w:pPr>
    </w:p>
    <w:tbl>
      <w:tblPr>
        <w:tblW w:w="0" w:type="auto"/>
        <w:tblLayout w:type="fixed"/>
        <w:tblCellMar>
          <w:left w:w="28" w:type="dxa"/>
          <w:right w:w="28" w:type="dxa"/>
        </w:tblCellMar>
        <w:tblLook w:val="04A0" w:firstRow="1" w:lastRow="0" w:firstColumn="1" w:lastColumn="0" w:noHBand="0" w:noVBand="1"/>
      </w:tblPr>
      <w:tblGrid>
        <w:gridCol w:w="2722"/>
        <w:gridCol w:w="1134"/>
        <w:gridCol w:w="1134"/>
        <w:gridCol w:w="1134"/>
        <w:gridCol w:w="1134"/>
        <w:gridCol w:w="1134"/>
        <w:gridCol w:w="1134"/>
      </w:tblGrid>
      <w:tr w:rsidR="002F636B" w:rsidRPr="00CA3961" w14:paraId="056E0327" w14:textId="77777777" w:rsidTr="002C6DA9">
        <w:trPr>
          <w:trHeight w:val="408"/>
        </w:trPr>
        <w:tc>
          <w:tcPr>
            <w:tcW w:w="2722" w:type="dxa"/>
            <w:tcBorders>
              <w:top w:val="nil"/>
              <w:left w:val="nil"/>
              <w:bottom w:val="nil"/>
              <w:right w:val="single" w:sz="8" w:space="0" w:color="FFFFFF"/>
            </w:tcBorders>
            <w:shd w:val="clear" w:color="000000" w:fill="0077BD"/>
            <w:vAlign w:val="center"/>
            <w:hideMark/>
          </w:tcPr>
          <w:p w14:paraId="0E9658D0" w14:textId="4531B9C2" w:rsidR="002F636B" w:rsidRPr="00CA3961" w:rsidRDefault="002F636B" w:rsidP="002C6DA9">
            <w:pPr>
              <w:rPr>
                <w:rFonts w:cs="Calibri"/>
                <w:b/>
                <w:bCs/>
                <w:color w:val="FFFFFF"/>
                <w:sz w:val="13"/>
                <w:szCs w:val="13"/>
              </w:rPr>
            </w:pPr>
            <w:r>
              <w:rPr>
                <w:rFonts w:cs="Calibri"/>
                <w:b/>
                <w:bCs/>
                <w:color w:val="FFFFFF"/>
                <w:sz w:val="13"/>
                <w:szCs w:val="13"/>
              </w:rPr>
              <w:t>31.12.2018</w:t>
            </w:r>
          </w:p>
        </w:tc>
        <w:tc>
          <w:tcPr>
            <w:tcW w:w="1134" w:type="dxa"/>
            <w:tcBorders>
              <w:top w:val="nil"/>
              <w:left w:val="nil"/>
              <w:bottom w:val="nil"/>
              <w:right w:val="single" w:sz="8" w:space="0" w:color="FFFFFF"/>
            </w:tcBorders>
            <w:shd w:val="clear" w:color="000000" w:fill="0077BD"/>
            <w:vAlign w:val="center"/>
            <w:hideMark/>
          </w:tcPr>
          <w:p w14:paraId="38D9D4A4" w14:textId="77777777" w:rsidR="002F636B" w:rsidRPr="00CA3961" w:rsidRDefault="002F636B" w:rsidP="002C6DA9">
            <w:pPr>
              <w:jc w:val="center"/>
              <w:rPr>
                <w:rFonts w:cs="Calibri"/>
                <w:b/>
                <w:bCs/>
                <w:color w:val="FFFFFF"/>
                <w:sz w:val="13"/>
                <w:szCs w:val="13"/>
              </w:rPr>
            </w:pPr>
            <w:r w:rsidRPr="00CA3961">
              <w:rPr>
                <w:rFonts w:cs="Calibri"/>
                <w:b/>
                <w:bCs/>
                <w:color w:val="FFFFFF"/>
                <w:sz w:val="13"/>
                <w:szCs w:val="13"/>
              </w:rPr>
              <w:t>do 1 miesiąca</w:t>
            </w:r>
          </w:p>
        </w:tc>
        <w:tc>
          <w:tcPr>
            <w:tcW w:w="1134" w:type="dxa"/>
            <w:tcBorders>
              <w:top w:val="nil"/>
              <w:left w:val="nil"/>
              <w:bottom w:val="nil"/>
              <w:right w:val="single" w:sz="8" w:space="0" w:color="FFFFFF"/>
            </w:tcBorders>
            <w:shd w:val="clear" w:color="000000" w:fill="0077BD"/>
            <w:vAlign w:val="center"/>
            <w:hideMark/>
          </w:tcPr>
          <w:p w14:paraId="17BF7072" w14:textId="77777777" w:rsidR="002F636B" w:rsidRPr="00CA3961" w:rsidRDefault="002F636B" w:rsidP="002C6DA9">
            <w:pPr>
              <w:jc w:val="center"/>
              <w:rPr>
                <w:rFonts w:cs="Calibri"/>
                <w:b/>
                <w:bCs/>
                <w:color w:val="FFFFFF"/>
                <w:sz w:val="13"/>
                <w:szCs w:val="13"/>
              </w:rPr>
            </w:pPr>
            <w:r w:rsidRPr="00CA3961">
              <w:rPr>
                <w:rFonts w:cs="Calibri"/>
                <w:b/>
                <w:bCs/>
                <w:color w:val="FFFFFF"/>
                <w:sz w:val="13"/>
                <w:szCs w:val="13"/>
              </w:rPr>
              <w:t>od 1 do 3 miesięcy</w:t>
            </w:r>
          </w:p>
        </w:tc>
        <w:tc>
          <w:tcPr>
            <w:tcW w:w="1134" w:type="dxa"/>
            <w:tcBorders>
              <w:top w:val="nil"/>
              <w:left w:val="nil"/>
              <w:bottom w:val="nil"/>
              <w:right w:val="single" w:sz="8" w:space="0" w:color="FFFFFF"/>
            </w:tcBorders>
            <w:shd w:val="clear" w:color="000000" w:fill="0077BD"/>
            <w:vAlign w:val="center"/>
            <w:hideMark/>
          </w:tcPr>
          <w:p w14:paraId="2649893A" w14:textId="77777777" w:rsidR="002F636B" w:rsidRPr="00CA3961" w:rsidRDefault="002F636B" w:rsidP="002C6DA9">
            <w:pPr>
              <w:jc w:val="center"/>
              <w:rPr>
                <w:rFonts w:cs="Calibri"/>
                <w:b/>
                <w:bCs/>
                <w:color w:val="FFFFFF"/>
                <w:sz w:val="13"/>
                <w:szCs w:val="13"/>
              </w:rPr>
            </w:pPr>
            <w:r w:rsidRPr="00CA3961">
              <w:rPr>
                <w:rFonts w:cs="Calibri"/>
                <w:b/>
                <w:bCs/>
                <w:color w:val="FFFFFF"/>
                <w:sz w:val="13"/>
                <w:szCs w:val="13"/>
              </w:rPr>
              <w:t xml:space="preserve">od 3 miesięcy </w:t>
            </w:r>
            <w:r w:rsidRPr="00CA3961">
              <w:rPr>
                <w:rFonts w:cs="Calibri"/>
                <w:b/>
                <w:bCs/>
                <w:color w:val="FFFFFF"/>
                <w:sz w:val="13"/>
                <w:szCs w:val="13"/>
              </w:rPr>
              <w:br/>
              <w:t>do 1 roku</w:t>
            </w:r>
          </w:p>
        </w:tc>
        <w:tc>
          <w:tcPr>
            <w:tcW w:w="1134" w:type="dxa"/>
            <w:tcBorders>
              <w:top w:val="nil"/>
              <w:left w:val="nil"/>
              <w:bottom w:val="nil"/>
              <w:right w:val="single" w:sz="8" w:space="0" w:color="FFFFFF"/>
            </w:tcBorders>
            <w:shd w:val="clear" w:color="000000" w:fill="0077BD"/>
            <w:vAlign w:val="center"/>
            <w:hideMark/>
          </w:tcPr>
          <w:p w14:paraId="6E22384E" w14:textId="77777777" w:rsidR="002F636B" w:rsidRPr="00CA3961" w:rsidRDefault="002F636B" w:rsidP="002C6DA9">
            <w:pPr>
              <w:jc w:val="center"/>
              <w:rPr>
                <w:rFonts w:cs="Calibri"/>
                <w:b/>
                <w:bCs/>
                <w:color w:val="FFFFFF"/>
                <w:sz w:val="13"/>
                <w:szCs w:val="13"/>
              </w:rPr>
            </w:pPr>
            <w:r w:rsidRPr="00CA3961">
              <w:rPr>
                <w:rFonts w:cs="Calibri"/>
                <w:b/>
                <w:bCs/>
                <w:color w:val="FFFFFF"/>
                <w:sz w:val="13"/>
                <w:szCs w:val="13"/>
              </w:rPr>
              <w:t>od 1 roku do 5 lat</w:t>
            </w:r>
          </w:p>
        </w:tc>
        <w:tc>
          <w:tcPr>
            <w:tcW w:w="1134" w:type="dxa"/>
            <w:tcBorders>
              <w:top w:val="nil"/>
              <w:left w:val="nil"/>
              <w:bottom w:val="nil"/>
              <w:right w:val="single" w:sz="8" w:space="0" w:color="FFFFFF"/>
            </w:tcBorders>
            <w:shd w:val="clear" w:color="000000" w:fill="0077BD"/>
            <w:vAlign w:val="center"/>
            <w:hideMark/>
          </w:tcPr>
          <w:p w14:paraId="31D6F80E" w14:textId="77777777" w:rsidR="002F636B" w:rsidRPr="00CA3961" w:rsidRDefault="002F636B" w:rsidP="002C6DA9">
            <w:pPr>
              <w:jc w:val="center"/>
              <w:rPr>
                <w:rFonts w:cs="Calibri"/>
                <w:b/>
                <w:bCs/>
                <w:color w:val="FFFFFF"/>
                <w:sz w:val="13"/>
                <w:szCs w:val="13"/>
              </w:rPr>
            </w:pPr>
            <w:r w:rsidRPr="00CA3961">
              <w:rPr>
                <w:rFonts w:cs="Calibri"/>
                <w:b/>
                <w:bCs/>
                <w:color w:val="FFFFFF"/>
                <w:sz w:val="13"/>
                <w:szCs w:val="13"/>
              </w:rPr>
              <w:t>powyżej 5 lat</w:t>
            </w:r>
          </w:p>
        </w:tc>
        <w:tc>
          <w:tcPr>
            <w:tcW w:w="1134" w:type="dxa"/>
            <w:tcBorders>
              <w:top w:val="nil"/>
              <w:left w:val="nil"/>
              <w:bottom w:val="nil"/>
              <w:right w:val="nil"/>
            </w:tcBorders>
            <w:shd w:val="clear" w:color="000000" w:fill="0077BD"/>
            <w:vAlign w:val="center"/>
            <w:hideMark/>
          </w:tcPr>
          <w:p w14:paraId="1EF70455" w14:textId="77777777" w:rsidR="002F636B" w:rsidRPr="00CA3961" w:rsidRDefault="002F636B" w:rsidP="002C6DA9">
            <w:pPr>
              <w:jc w:val="right"/>
              <w:rPr>
                <w:rFonts w:cs="Calibri"/>
                <w:b/>
                <w:bCs/>
                <w:color w:val="FFFFFF"/>
                <w:sz w:val="13"/>
                <w:szCs w:val="13"/>
              </w:rPr>
            </w:pPr>
            <w:r w:rsidRPr="00CA3961">
              <w:rPr>
                <w:rFonts w:cs="Calibri"/>
                <w:b/>
                <w:bCs/>
                <w:color w:val="FFFFFF"/>
                <w:sz w:val="13"/>
                <w:szCs w:val="13"/>
              </w:rPr>
              <w:t>Razem</w:t>
            </w:r>
          </w:p>
        </w:tc>
      </w:tr>
      <w:tr w:rsidR="002F636B" w:rsidRPr="00BB7C9E" w14:paraId="6CA50862" w14:textId="77777777" w:rsidTr="002C6DA9">
        <w:trPr>
          <w:trHeight w:val="300"/>
        </w:trPr>
        <w:tc>
          <w:tcPr>
            <w:tcW w:w="9526" w:type="dxa"/>
            <w:gridSpan w:val="7"/>
            <w:tcBorders>
              <w:top w:val="nil"/>
              <w:left w:val="nil"/>
              <w:bottom w:val="single" w:sz="8" w:space="0" w:color="2E74B5"/>
              <w:right w:val="nil"/>
            </w:tcBorders>
            <w:shd w:val="clear" w:color="000000" w:fill="FFFFFF"/>
            <w:noWrap/>
            <w:vAlign w:val="center"/>
            <w:hideMark/>
          </w:tcPr>
          <w:p w14:paraId="687BB393" w14:textId="77777777" w:rsidR="002F636B" w:rsidRPr="00BB7C9E" w:rsidRDefault="002F636B" w:rsidP="002C6DA9">
            <w:pPr>
              <w:jc w:val="center"/>
              <w:rPr>
                <w:rFonts w:cs="Calibri"/>
                <w:b/>
                <w:bCs/>
                <w:color w:val="000000" w:themeColor="text1"/>
                <w:sz w:val="13"/>
                <w:szCs w:val="13"/>
              </w:rPr>
            </w:pPr>
            <w:r w:rsidRPr="00BB7C9E">
              <w:rPr>
                <w:rFonts w:cs="Calibri"/>
                <w:b/>
                <w:bCs/>
                <w:color w:val="000000" w:themeColor="text1"/>
                <w:sz w:val="13"/>
                <w:szCs w:val="13"/>
              </w:rPr>
              <w:t>RYZYKO STOPY PROCENTOWEJ</w:t>
            </w:r>
          </w:p>
        </w:tc>
      </w:tr>
      <w:tr w:rsidR="002F636B" w:rsidRPr="00BB7C9E" w14:paraId="2B061EB9" w14:textId="77777777" w:rsidTr="002C6DA9">
        <w:trPr>
          <w:trHeight w:val="397"/>
        </w:trPr>
        <w:tc>
          <w:tcPr>
            <w:tcW w:w="9526" w:type="dxa"/>
            <w:gridSpan w:val="7"/>
            <w:tcBorders>
              <w:top w:val="single" w:sz="8" w:space="0" w:color="2E74B5"/>
              <w:left w:val="nil"/>
              <w:bottom w:val="single" w:sz="8" w:space="0" w:color="2E74B5"/>
              <w:right w:val="nil"/>
            </w:tcBorders>
            <w:shd w:val="clear" w:color="000000" w:fill="FFFFFF"/>
            <w:vAlign w:val="center"/>
            <w:hideMark/>
          </w:tcPr>
          <w:p w14:paraId="123F8CB8" w14:textId="77777777" w:rsidR="002F636B" w:rsidRPr="00BB7C9E" w:rsidRDefault="002F636B" w:rsidP="002C6DA9">
            <w:pPr>
              <w:jc w:val="center"/>
              <w:rPr>
                <w:rFonts w:cs="Calibri"/>
                <w:b/>
                <w:bCs/>
                <w:color w:val="000000" w:themeColor="text1"/>
                <w:sz w:val="13"/>
                <w:szCs w:val="13"/>
              </w:rPr>
            </w:pPr>
            <w:r w:rsidRPr="00BB7C9E">
              <w:rPr>
                <w:rFonts w:cs="Calibri"/>
                <w:b/>
                <w:bCs/>
                <w:color w:val="000000" w:themeColor="text1"/>
                <w:sz w:val="13"/>
                <w:szCs w:val="13"/>
              </w:rPr>
              <w:t>Transakcje zamiany stóp procentowych (IRS) zabezpieczające przepływy pieniężne wynikające z udzielonych kredytów o zmiennym oprocentowaniu denominowanych w PLN</w:t>
            </w:r>
          </w:p>
        </w:tc>
      </w:tr>
      <w:tr w:rsidR="002F636B" w:rsidRPr="00BB7C9E" w14:paraId="783EC3F9" w14:textId="77777777" w:rsidTr="00171A56">
        <w:trPr>
          <w:trHeight w:val="288"/>
        </w:trPr>
        <w:tc>
          <w:tcPr>
            <w:tcW w:w="2722" w:type="dxa"/>
            <w:tcBorders>
              <w:top w:val="single" w:sz="4" w:space="0" w:color="0077BD"/>
              <w:left w:val="nil"/>
              <w:bottom w:val="single" w:sz="4" w:space="0" w:color="0077BD"/>
              <w:right w:val="single" w:sz="8" w:space="0" w:color="0077BD"/>
            </w:tcBorders>
            <w:shd w:val="clear" w:color="auto" w:fill="auto"/>
            <w:vAlign w:val="center"/>
            <w:hideMark/>
          </w:tcPr>
          <w:p w14:paraId="24D57BAC" w14:textId="77777777" w:rsidR="002F636B" w:rsidRPr="00BB7C9E" w:rsidRDefault="002F636B" w:rsidP="002F636B">
            <w:pPr>
              <w:rPr>
                <w:rFonts w:cs="Calibri"/>
                <w:b/>
                <w:bCs/>
                <w:color w:val="000000" w:themeColor="text1"/>
                <w:sz w:val="13"/>
                <w:szCs w:val="13"/>
              </w:rPr>
            </w:pPr>
            <w:r w:rsidRPr="00BB7C9E">
              <w:rPr>
                <w:rFonts w:cs="Calibri"/>
                <w:b/>
                <w:bCs/>
                <w:color w:val="000000" w:themeColor="text1"/>
                <w:sz w:val="13"/>
                <w:szCs w:val="13"/>
              </w:rPr>
              <w:t>Wartość nominalna (tys. PLN)</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CF62E82" w14:textId="2456AA92"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150 000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B62ED77" w14:textId="75D92DB8"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750 000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1D3CEFEF" w14:textId="70698DF2"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300 000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5CD677C" w14:textId="2F7214C9"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10 330 000</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7407DAB5" w14:textId="4003B4B0"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nil"/>
              <w:bottom w:val="single" w:sz="4" w:space="0" w:color="0077BD"/>
              <w:right w:val="nil"/>
            </w:tcBorders>
            <w:shd w:val="clear" w:color="auto" w:fill="auto"/>
            <w:noWrap/>
            <w:vAlign w:val="center"/>
            <w:hideMark/>
          </w:tcPr>
          <w:p w14:paraId="6C5E49B6" w14:textId="17087D52" w:rsidR="002F636B" w:rsidRPr="00CD7CBB" w:rsidRDefault="002F636B" w:rsidP="002F636B">
            <w:pPr>
              <w:jc w:val="right"/>
              <w:rPr>
                <w:rFonts w:cs="Calibri"/>
                <w:b/>
                <w:bCs/>
                <w:color w:val="000000" w:themeColor="text1"/>
                <w:sz w:val="13"/>
                <w:szCs w:val="13"/>
              </w:rPr>
            </w:pPr>
            <w:r w:rsidRPr="00BB7C9E">
              <w:rPr>
                <w:rFonts w:cs="Calibri"/>
                <w:b/>
                <w:bCs/>
                <w:color w:val="000000" w:themeColor="text1"/>
                <w:sz w:val="13"/>
                <w:szCs w:val="13"/>
              </w:rPr>
              <w:t>11 530 000</w:t>
            </w:r>
          </w:p>
        </w:tc>
      </w:tr>
      <w:tr w:rsidR="002F636B" w:rsidRPr="00BB7C9E" w14:paraId="192C47E3" w14:textId="77777777" w:rsidTr="00171A56">
        <w:trPr>
          <w:trHeight w:val="288"/>
        </w:trPr>
        <w:tc>
          <w:tcPr>
            <w:tcW w:w="2722" w:type="dxa"/>
            <w:tcBorders>
              <w:top w:val="nil"/>
              <w:left w:val="nil"/>
              <w:bottom w:val="single" w:sz="4" w:space="0" w:color="0077BD"/>
              <w:right w:val="single" w:sz="8" w:space="0" w:color="0077BD"/>
            </w:tcBorders>
            <w:shd w:val="clear" w:color="auto" w:fill="auto"/>
            <w:vAlign w:val="center"/>
            <w:hideMark/>
          </w:tcPr>
          <w:p w14:paraId="1AF12736" w14:textId="77777777" w:rsidR="002F636B" w:rsidRPr="00BB7C9E" w:rsidRDefault="002F636B" w:rsidP="002F636B">
            <w:pPr>
              <w:rPr>
                <w:rFonts w:cs="Calibri"/>
                <w:b/>
                <w:bCs/>
                <w:color w:val="000000" w:themeColor="text1"/>
                <w:sz w:val="13"/>
                <w:szCs w:val="13"/>
              </w:rPr>
            </w:pPr>
            <w:r w:rsidRPr="00BB7C9E">
              <w:rPr>
                <w:rFonts w:cs="Calibri"/>
                <w:b/>
                <w:bCs/>
                <w:color w:val="000000" w:themeColor="text1"/>
                <w:sz w:val="13"/>
                <w:szCs w:val="13"/>
              </w:rPr>
              <w:t>Średnie oprocentowanie nogi stałej</w:t>
            </w:r>
          </w:p>
        </w:tc>
        <w:tc>
          <w:tcPr>
            <w:tcW w:w="1134" w:type="dxa"/>
            <w:tcBorders>
              <w:top w:val="nil"/>
              <w:left w:val="nil"/>
              <w:bottom w:val="single" w:sz="4" w:space="0" w:color="0077BD"/>
              <w:right w:val="single" w:sz="8" w:space="0" w:color="0077BD"/>
            </w:tcBorders>
            <w:shd w:val="clear" w:color="auto" w:fill="auto"/>
            <w:noWrap/>
            <w:vAlign w:val="center"/>
          </w:tcPr>
          <w:p w14:paraId="307A10EB" w14:textId="459DB106"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1,965%</w:t>
            </w:r>
          </w:p>
        </w:tc>
        <w:tc>
          <w:tcPr>
            <w:tcW w:w="1134" w:type="dxa"/>
            <w:tcBorders>
              <w:top w:val="nil"/>
              <w:left w:val="nil"/>
              <w:bottom w:val="single" w:sz="4" w:space="0" w:color="0077BD"/>
              <w:right w:val="single" w:sz="8" w:space="0" w:color="0077BD"/>
            </w:tcBorders>
            <w:shd w:val="clear" w:color="auto" w:fill="auto"/>
            <w:noWrap/>
            <w:vAlign w:val="center"/>
          </w:tcPr>
          <w:p w14:paraId="55E7DA17" w14:textId="1A4EC9EB"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1,822%</w:t>
            </w:r>
          </w:p>
        </w:tc>
        <w:tc>
          <w:tcPr>
            <w:tcW w:w="1134" w:type="dxa"/>
            <w:tcBorders>
              <w:top w:val="nil"/>
              <w:left w:val="nil"/>
              <w:bottom w:val="single" w:sz="4" w:space="0" w:color="0077BD"/>
              <w:right w:val="single" w:sz="8" w:space="0" w:color="0077BD"/>
            </w:tcBorders>
            <w:shd w:val="clear" w:color="auto" w:fill="auto"/>
            <w:noWrap/>
            <w:vAlign w:val="center"/>
          </w:tcPr>
          <w:p w14:paraId="3AA69293" w14:textId="6219436C"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2,013%</w:t>
            </w:r>
          </w:p>
        </w:tc>
        <w:tc>
          <w:tcPr>
            <w:tcW w:w="1134" w:type="dxa"/>
            <w:tcBorders>
              <w:top w:val="nil"/>
              <w:left w:val="nil"/>
              <w:bottom w:val="single" w:sz="4" w:space="0" w:color="0077BD"/>
              <w:right w:val="single" w:sz="8" w:space="0" w:color="0077BD"/>
            </w:tcBorders>
            <w:shd w:val="clear" w:color="auto" w:fill="auto"/>
            <w:noWrap/>
            <w:vAlign w:val="center"/>
          </w:tcPr>
          <w:p w14:paraId="2351F2A9" w14:textId="72A52C5E"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2,189%</w:t>
            </w:r>
          </w:p>
        </w:tc>
        <w:tc>
          <w:tcPr>
            <w:tcW w:w="1134" w:type="dxa"/>
            <w:tcBorders>
              <w:top w:val="nil"/>
              <w:left w:val="nil"/>
              <w:bottom w:val="single" w:sz="4" w:space="0" w:color="0077BD"/>
              <w:right w:val="single" w:sz="8" w:space="0" w:color="0077BD"/>
            </w:tcBorders>
            <w:shd w:val="clear" w:color="auto" w:fill="auto"/>
            <w:noWrap/>
            <w:vAlign w:val="center"/>
            <w:hideMark/>
          </w:tcPr>
          <w:p w14:paraId="19D70E65" w14:textId="3E788573" w:rsidR="002F636B" w:rsidRPr="00CD7CBB" w:rsidRDefault="002F636B" w:rsidP="002F636B">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nil"/>
              <w:bottom w:val="single" w:sz="4" w:space="0" w:color="0077BD"/>
              <w:right w:val="nil"/>
            </w:tcBorders>
            <w:shd w:val="thinDiagStripe" w:color="auto" w:fill="auto"/>
            <w:noWrap/>
            <w:vAlign w:val="center"/>
            <w:hideMark/>
          </w:tcPr>
          <w:p w14:paraId="6A4FF9BA" w14:textId="5262331F" w:rsidR="002F636B" w:rsidRPr="00CD7CBB" w:rsidRDefault="002F636B" w:rsidP="002F636B">
            <w:pPr>
              <w:jc w:val="right"/>
              <w:rPr>
                <w:rFonts w:cs="Calibri"/>
                <w:b/>
                <w:bCs/>
                <w:color w:val="000000" w:themeColor="text1"/>
                <w:sz w:val="13"/>
                <w:szCs w:val="13"/>
              </w:rPr>
            </w:pPr>
          </w:p>
        </w:tc>
      </w:tr>
    </w:tbl>
    <w:p w14:paraId="4BC4CE5D" w14:textId="3B760186" w:rsidR="001B4157" w:rsidRPr="001B4157" w:rsidRDefault="001B4157" w:rsidP="001B4157">
      <w:pPr>
        <w:spacing w:before="120"/>
        <w:jc w:val="both"/>
        <w:rPr>
          <w:rFonts w:cs="Tahoma"/>
          <w:bCs/>
          <w:color w:val="000000" w:themeColor="text1"/>
          <w:sz w:val="18"/>
          <w:szCs w:val="18"/>
        </w:rPr>
      </w:pPr>
      <w:r w:rsidRPr="001B4157">
        <w:rPr>
          <w:rFonts w:cs="Tahoma"/>
          <w:bCs/>
          <w:color w:val="000000" w:themeColor="text1"/>
          <w:sz w:val="18"/>
          <w:szCs w:val="18"/>
          <w:lang w:eastAsia="en-US"/>
        </w:rPr>
        <w:t>Wartość godziwa (równa wartości księgowej) instrumentów pochodnych zabezpieczających została zap</w:t>
      </w:r>
      <w:r w:rsidR="0014074A">
        <w:rPr>
          <w:rFonts w:cs="Tahoma"/>
          <w:bCs/>
          <w:color w:val="000000" w:themeColor="text1"/>
          <w:sz w:val="18"/>
          <w:szCs w:val="18"/>
          <w:lang w:eastAsia="en-US"/>
        </w:rPr>
        <w:t>rezentowana wyżej w niniejszej N</w:t>
      </w:r>
      <w:r w:rsidRPr="001B4157">
        <w:rPr>
          <w:rFonts w:cs="Tahoma"/>
          <w:bCs/>
          <w:color w:val="000000" w:themeColor="text1"/>
          <w:sz w:val="18"/>
          <w:szCs w:val="18"/>
          <w:lang w:eastAsia="en-US"/>
        </w:rPr>
        <w:t>ocie.</w:t>
      </w:r>
    </w:p>
    <w:p w14:paraId="385D3C1D" w14:textId="5255589E" w:rsidR="003C4872" w:rsidRDefault="001B4157" w:rsidP="00C3120B">
      <w:pPr>
        <w:tabs>
          <w:tab w:val="left" w:pos="0"/>
        </w:tabs>
        <w:suppressAutoHyphens/>
        <w:spacing w:before="120" w:after="120"/>
        <w:jc w:val="both"/>
        <w:rPr>
          <w:rFonts w:cs="Tahoma"/>
          <w:bCs/>
          <w:color w:val="000000" w:themeColor="text1"/>
          <w:sz w:val="18"/>
          <w:szCs w:val="18"/>
          <w:lang w:eastAsia="en-US"/>
        </w:rPr>
      </w:pPr>
      <w:r w:rsidRPr="001B4157">
        <w:rPr>
          <w:rFonts w:cs="Tahoma"/>
          <w:bCs/>
          <w:color w:val="000000" w:themeColor="text1"/>
          <w:sz w:val="18"/>
          <w:szCs w:val="18"/>
          <w:lang w:eastAsia="en-US"/>
        </w:rPr>
        <w:t>Poniżej podany został harmonogram pr</w:t>
      </w:r>
      <w:r w:rsidR="00B505B9">
        <w:rPr>
          <w:rFonts w:cs="Tahoma"/>
          <w:bCs/>
          <w:color w:val="000000" w:themeColor="text1"/>
          <w:sz w:val="18"/>
          <w:szCs w:val="18"/>
          <w:lang w:eastAsia="en-US"/>
        </w:rPr>
        <w:t>ezentujący okresy, w jakich Grupa</w:t>
      </w:r>
      <w:r w:rsidRPr="001B4157">
        <w:rPr>
          <w:rFonts w:cs="Tahoma"/>
          <w:bCs/>
          <w:color w:val="000000" w:themeColor="text1"/>
          <w:sz w:val="18"/>
          <w:szCs w:val="18"/>
          <w:lang w:eastAsia="en-US"/>
        </w:rPr>
        <w:t xml:space="preserve"> spodziewał</w:t>
      </w:r>
      <w:r w:rsidR="00B505B9">
        <w:rPr>
          <w:rFonts w:cs="Tahoma"/>
          <w:bCs/>
          <w:color w:val="000000" w:themeColor="text1"/>
          <w:sz w:val="18"/>
          <w:szCs w:val="18"/>
          <w:lang w:eastAsia="en-US"/>
        </w:rPr>
        <w:t>a</w:t>
      </w:r>
      <w:r w:rsidRPr="001B4157">
        <w:rPr>
          <w:rFonts w:cs="Tahoma"/>
          <w:bCs/>
          <w:color w:val="000000" w:themeColor="text1"/>
          <w:sz w:val="18"/>
          <w:szCs w:val="18"/>
          <w:lang w:eastAsia="en-US"/>
        </w:rPr>
        <w:t xml:space="preserve"> się przepływów z kredytów zabezpieczonych w ramach rachunkowości zabezpieczeń przepływów pieniężnych i ich wpływu na rachunek zysków i strat.</w:t>
      </w:r>
    </w:p>
    <w:tbl>
      <w:tblPr>
        <w:tblW w:w="9639" w:type="dxa"/>
        <w:tblLayout w:type="fixed"/>
        <w:tblCellMar>
          <w:left w:w="28" w:type="dxa"/>
          <w:right w:w="28" w:type="dxa"/>
        </w:tblCellMar>
        <w:tblLook w:val="04A0" w:firstRow="1" w:lastRow="0" w:firstColumn="1" w:lastColumn="0" w:noHBand="0" w:noVBand="1"/>
      </w:tblPr>
      <w:tblGrid>
        <w:gridCol w:w="2409"/>
        <w:gridCol w:w="2410"/>
        <w:gridCol w:w="2410"/>
        <w:gridCol w:w="2410"/>
      </w:tblGrid>
      <w:tr w:rsidR="00C3120B" w:rsidRPr="00CC4C08" w14:paraId="2367C1CE" w14:textId="77777777" w:rsidTr="00C3120B">
        <w:trPr>
          <w:trHeight w:val="284"/>
        </w:trPr>
        <w:tc>
          <w:tcPr>
            <w:tcW w:w="2409" w:type="dxa"/>
            <w:tcBorders>
              <w:top w:val="nil"/>
              <w:left w:val="nil"/>
              <w:bottom w:val="nil"/>
              <w:right w:val="nil"/>
            </w:tcBorders>
            <w:shd w:val="clear" w:color="000000" w:fill="0077BD"/>
            <w:vAlign w:val="center"/>
            <w:hideMark/>
          </w:tcPr>
          <w:p w14:paraId="6DA93C57" w14:textId="77777777" w:rsidR="00C3120B" w:rsidRPr="00CC4C08" w:rsidRDefault="00C3120B" w:rsidP="002C6DA9">
            <w:pPr>
              <w:rPr>
                <w:rFonts w:cs="Calibri"/>
                <w:b/>
                <w:bCs/>
                <w:color w:val="FFFFFF"/>
                <w:sz w:val="13"/>
                <w:szCs w:val="13"/>
              </w:rPr>
            </w:pPr>
          </w:p>
        </w:tc>
        <w:tc>
          <w:tcPr>
            <w:tcW w:w="2410" w:type="dxa"/>
            <w:tcBorders>
              <w:top w:val="nil"/>
              <w:left w:val="single" w:sz="8" w:space="0" w:color="FFFFFF"/>
              <w:bottom w:val="nil"/>
              <w:right w:val="single" w:sz="8" w:space="0" w:color="FFFFFF"/>
            </w:tcBorders>
            <w:shd w:val="clear" w:color="000000" w:fill="0077BD"/>
            <w:vAlign w:val="center"/>
            <w:hideMark/>
          </w:tcPr>
          <w:p w14:paraId="107CC481" w14:textId="77777777" w:rsidR="00C3120B" w:rsidRPr="00CC4C08" w:rsidRDefault="00C3120B" w:rsidP="002C6DA9">
            <w:pPr>
              <w:jc w:val="center"/>
              <w:rPr>
                <w:rFonts w:cs="Calibri"/>
                <w:b/>
                <w:bCs/>
                <w:color w:val="FFFFFF"/>
                <w:sz w:val="13"/>
                <w:szCs w:val="13"/>
              </w:rPr>
            </w:pPr>
            <w:r w:rsidRPr="00CC4C08">
              <w:rPr>
                <w:rFonts w:cs="Calibri"/>
                <w:b/>
                <w:bCs/>
                <w:color w:val="FFFFFF"/>
                <w:sz w:val="13"/>
                <w:szCs w:val="13"/>
              </w:rPr>
              <w:t>okres do 3 miesięcy</w:t>
            </w:r>
          </w:p>
        </w:tc>
        <w:tc>
          <w:tcPr>
            <w:tcW w:w="2410" w:type="dxa"/>
            <w:tcBorders>
              <w:top w:val="nil"/>
              <w:left w:val="nil"/>
              <w:bottom w:val="nil"/>
              <w:right w:val="single" w:sz="8" w:space="0" w:color="FFFFFF"/>
            </w:tcBorders>
            <w:shd w:val="clear" w:color="000000" w:fill="0077BD"/>
            <w:vAlign w:val="center"/>
            <w:hideMark/>
          </w:tcPr>
          <w:p w14:paraId="1D8B35BF" w14:textId="77777777" w:rsidR="00C3120B" w:rsidRPr="00CC4C08" w:rsidRDefault="00C3120B" w:rsidP="002C6DA9">
            <w:pPr>
              <w:jc w:val="center"/>
              <w:rPr>
                <w:rFonts w:cs="Calibri"/>
                <w:b/>
                <w:bCs/>
                <w:color w:val="FFFFFF"/>
                <w:sz w:val="13"/>
                <w:szCs w:val="13"/>
              </w:rPr>
            </w:pPr>
            <w:r w:rsidRPr="00CC4C08">
              <w:rPr>
                <w:rFonts w:cs="Calibri"/>
                <w:b/>
                <w:bCs/>
                <w:color w:val="FFFFFF"/>
                <w:sz w:val="13"/>
                <w:szCs w:val="13"/>
              </w:rPr>
              <w:t>okres od 3 miesięcy do 1 roku</w:t>
            </w:r>
          </w:p>
        </w:tc>
        <w:tc>
          <w:tcPr>
            <w:tcW w:w="2410" w:type="dxa"/>
            <w:tcBorders>
              <w:top w:val="nil"/>
              <w:left w:val="nil"/>
              <w:bottom w:val="nil"/>
              <w:right w:val="nil"/>
            </w:tcBorders>
            <w:shd w:val="clear" w:color="000000" w:fill="0077BD"/>
            <w:vAlign w:val="center"/>
            <w:hideMark/>
          </w:tcPr>
          <w:p w14:paraId="0099B2AA" w14:textId="77777777" w:rsidR="00C3120B" w:rsidRPr="00CC4C08" w:rsidRDefault="00C3120B" w:rsidP="002C6DA9">
            <w:pPr>
              <w:jc w:val="center"/>
              <w:rPr>
                <w:rFonts w:cs="Calibri"/>
                <w:b/>
                <w:bCs/>
                <w:color w:val="FFFFFF"/>
                <w:sz w:val="13"/>
                <w:szCs w:val="13"/>
              </w:rPr>
            </w:pPr>
            <w:r w:rsidRPr="00CC4C08">
              <w:rPr>
                <w:rFonts w:cs="Calibri"/>
                <w:b/>
                <w:bCs/>
                <w:color w:val="FFFFFF"/>
                <w:sz w:val="13"/>
                <w:szCs w:val="13"/>
              </w:rPr>
              <w:t>okres od 1 roku do 5 lat</w:t>
            </w:r>
          </w:p>
        </w:tc>
      </w:tr>
      <w:tr w:rsidR="00C3120B" w:rsidRPr="00BB7C9E" w14:paraId="7C7CD460" w14:textId="77777777" w:rsidTr="00C3120B">
        <w:trPr>
          <w:trHeight w:val="284"/>
        </w:trPr>
        <w:tc>
          <w:tcPr>
            <w:tcW w:w="2409" w:type="dxa"/>
            <w:tcBorders>
              <w:top w:val="nil"/>
              <w:left w:val="nil"/>
              <w:bottom w:val="single" w:sz="4" w:space="0" w:color="0077BD"/>
              <w:right w:val="single" w:sz="4" w:space="0" w:color="0077BD"/>
            </w:tcBorders>
            <w:shd w:val="clear" w:color="auto" w:fill="auto"/>
            <w:vAlign w:val="center"/>
            <w:hideMark/>
          </w:tcPr>
          <w:p w14:paraId="5E82CF75" w14:textId="77777777" w:rsidR="00C3120B" w:rsidRPr="00BB7C9E" w:rsidRDefault="00C3120B" w:rsidP="002C6DA9">
            <w:pPr>
              <w:rPr>
                <w:rFonts w:cs="Calibri"/>
                <w:b/>
                <w:bCs/>
                <w:color w:val="000000" w:themeColor="text1"/>
                <w:sz w:val="13"/>
                <w:szCs w:val="13"/>
              </w:rPr>
            </w:pPr>
            <w:r w:rsidRPr="00BB7C9E">
              <w:rPr>
                <w:rFonts w:cs="Calibri"/>
                <w:b/>
                <w:bCs/>
                <w:color w:val="000000" w:themeColor="text1"/>
                <w:sz w:val="13"/>
                <w:szCs w:val="13"/>
              </w:rPr>
              <w:t>31.12.2019</w:t>
            </w:r>
          </w:p>
        </w:tc>
        <w:tc>
          <w:tcPr>
            <w:tcW w:w="2410" w:type="dxa"/>
            <w:tcBorders>
              <w:top w:val="nil"/>
              <w:left w:val="nil"/>
              <w:bottom w:val="single" w:sz="4" w:space="0" w:color="0077BD"/>
              <w:right w:val="single" w:sz="4" w:space="0" w:color="0077BD"/>
            </w:tcBorders>
            <w:shd w:val="clear" w:color="auto" w:fill="auto"/>
            <w:vAlign w:val="center"/>
          </w:tcPr>
          <w:p w14:paraId="5B5D95C1" w14:textId="77777777" w:rsidR="00C3120B" w:rsidRPr="00BB7C9E" w:rsidRDefault="00C3120B" w:rsidP="002C6DA9">
            <w:pPr>
              <w:jc w:val="right"/>
              <w:rPr>
                <w:rFonts w:cs="Calibri"/>
                <w:bCs/>
                <w:color w:val="000000" w:themeColor="text1"/>
                <w:sz w:val="13"/>
                <w:szCs w:val="13"/>
              </w:rPr>
            </w:pPr>
            <w:r w:rsidRPr="00BB7C9E">
              <w:rPr>
                <w:rFonts w:cs="Calibri"/>
                <w:bCs/>
                <w:color w:val="000000" w:themeColor="text1"/>
                <w:sz w:val="13"/>
                <w:szCs w:val="13"/>
              </w:rPr>
              <w:t>65 461</w:t>
            </w:r>
          </w:p>
        </w:tc>
        <w:tc>
          <w:tcPr>
            <w:tcW w:w="2410" w:type="dxa"/>
            <w:tcBorders>
              <w:top w:val="nil"/>
              <w:left w:val="nil"/>
              <w:bottom w:val="single" w:sz="4" w:space="0" w:color="0077BD"/>
              <w:right w:val="single" w:sz="4" w:space="0" w:color="0077BD"/>
            </w:tcBorders>
            <w:shd w:val="clear" w:color="auto" w:fill="auto"/>
            <w:vAlign w:val="center"/>
          </w:tcPr>
          <w:p w14:paraId="3046F1F8" w14:textId="77777777" w:rsidR="00C3120B" w:rsidRPr="00BB7C9E" w:rsidRDefault="00C3120B" w:rsidP="002C6DA9">
            <w:pPr>
              <w:jc w:val="right"/>
              <w:rPr>
                <w:rFonts w:cs="Calibri"/>
                <w:bCs/>
                <w:color w:val="000000" w:themeColor="text1"/>
                <w:sz w:val="13"/>
                <w:szCs w:val="13"/>
              </w:rPr>
            </w:pPr>
            <w:r w:rsidRPr="00BB7C9E">
              <w:rPr>
                <w:rFonts w:cs="Calibri"/>
                <w:bCs/>
                <w:color w:val="000000" w:themeColor="text1"/>
                <w:sz w:val="13"/>
                <w:szCs w:val="13"/>
              </w:rPr>
              <w:t>161 170</w:t>
            </w:r>
          </w:p>
        </w:tc>
        <w:tc>
          <w:tcPr>
            <w:tcW w:w="2410" w:type="dxa"/>
            <w:tcBorders>
              <w:top w:val="nil"/>
              <w:left w:val="nil"/>
              <w:bottom w:val="single" w:sz="4" w:space="0" w:color="0077BD"/>
              <w:right w:val="nil"/>
            </w:tcBorders>
            <w:shd w:val="clear" w:color="auto" w:fill="auto"/>
            <w:vAlign w:val="center"/>
          </w:tcPr>
          <w:p w14:paraId="2CBD7D4E" w14:textId="77777777" w:rsidR="00C3120B" w:rsidRPr="00BB7C9E" w:rsidRDefault="00C3120B" w:rsidP="002C6DA9">
            <w:pPr>
              <w:jc w:val="right"/>
              <w:rPr>
                <w:rFonts w:cs="Calibri"/>
                <w:bCs/>
                <w:color w:val="000000" w:themeColor="text1"/>
                <w:sz w:val="13"/>
                <w:szCs w:val="13"/>
              </w:rPr>
            </w:pPr>
            <w:r w:rsidRPr="00BB7C9E">
              <w:rPr>
                <w:rFonts w:cs="Calibri"/>
                <w:bCs/>
                <w:color w:val="000000" w:themeColor="text1"/>
                <w:sz w:val="13"/>
                <w:szCs w:val="13"/>
              </w:rPr>
              <w:t>439 290</w:t>
            </w:r>
          </w:p>
        </w:tc>
      </w:tr>
      <w:tr w:rsidR="00C3120B" w:rsidRPr="00BB7C9E" w14:paraId="5C530752" w14:textId="77777777" w:rsidTr="00C3120B">
        <w:trPr>
          <w:trHeight w:val="284"/>
        </w:trPr>
        <w:tc>
          <w:tcPr>
            <w:tcW w:w="2409" w:type="dxa"/>
            <w:tcBorders>
              <w:top w:val="nil"/>
              <w:left w:val="nil"/>
              <w:bottom w:val="single" w:sz="4" w:space="0" w:color="0077BD"/>
              <w:right w:val="single" w:sz="4" w:space="0" w:color="0077BD"/>
            </w:tcBorders>
            <w:shd w:val="clear" w:color="auto" w:fill="auto"/>
            <w:vAlign w:val="center"/>
            <w:hideMark/>
          </w:tcPr>
          <w:p w14:paraId="5BEC6C2C" w14:textId="77777777" w:rsidR="00C3120B" w:rsidRPr="00BB7C9E" w:rsidRDefault="00C3120B" w:rsidP="002C6DA9">
            <w:pPr>
              <w:rPr>
                <w:rFonts w:cs="Calibri"/>
                <w:b/>
                <w:bCs/>
                <w:color w:val="000000" w:themeColor="text1"/>
                <w:sz w:val="13"/>
                <w:szCs w:val="13"/>
              </w:rPr>
            </w:pPr>
            <w:r w:rsidRPr="00BB7C9E">
              <w:rPr>
                <w:rFonts w:cs="Calibri"/>
                <w:b/>
                <w:bCs/>
                <w:color w:val="000000" w:themeColor="text1"/>
                <w:sz w:val="13"/>
                <w:szCs w:val="13"/>
              </w:rPr>
              <w:t>31.12.2018</w:t>
            </w:r>
          </w:p>
        </w:tc>
        <w:tc>
          <w:tcPr>
            <w:tcW w:w="2410" w:type="dxa"/>
            <w:tcBorders>
              <w:top w:val="nil"/>
              <w:left w:val="nil"/>
              <w:bottom w:val="single" w:sz="4" w:space="0" w:color="0077BD"/>
              <w:right w:val="single" w:sz="4" w:space="0" w:color="0077BD"/>
            </w:tcBorders>
            <w:shd w:val="clear" w:color="auto" w:fill="auto"/>
            <w:vAlign w:val="center"/>
            <w:hideMark/>
          </w:tcPr>
          <w:p w14:paraId="17FEB339" w14:textId="77777777" w:rsidR="00C3120B" w:rsidRPr="00BB7C9E" w:rsidRDefault="00C3120B" w:rsidP="002C6DA9">
            <w:pPr>
              <w:jc w:val="right"/>
              <w:rPr>
                <w:rFonts w:cs="Calibri"/>
                <w:color w:val="000000" w:themeColor="text1"/>
                <w:sz w:val="13"/>
                <w:szCs w:val="13"/>
              </w:rPr>
            </w:pPr>
            <w:r w:rsidRPr="00BB7C9E">
              <w:rPr>
                <w:rFonts w:cs="Calibri"/>
                <w:color w:val="000000" w:themeColor="text1"/>
                <w:sz w:val="13"/>
                <w:szCs w:val="13"/>
              </w:rPr>
              <w:t>47 130</w:t>
            </w:r>
          </w:p>
        </w:tc>
        <w:tc>
          <w:tcPr>
            <w:tcW w:w="2410" w:type="dxa"/>
            <w:tcBorders>
              <w:top w:val="nil"/>
              <w:left w:val="nil"/>
              <w:bottom w:val="single" w:sz="4" w:space="0" w:color="0077BD"/>
              <w:right w:val="single" w:sz="4" w:space="0" w:color="0077BD"/>
            </w:tcBorders>
            <w:shd w:val="clear" w:color="auto" w:fill="auto"/>
            <w:noWrap/>
            <w:vAlign w:val="center"/>
            <w:hideMark/>
          </w:tcPr>
          <w:p w14:paraId="212E4004" w14:textId="77777777" w:rsidR="00C3120B" w:rsidRPr="00BB7C9E" w:rsidRDefault="00C3120B" w:rsidP="002C6DA9">
            <w:pPr>
              <w:jc w:val="right"/>
              <w:rPr>
                <w:rFonts w:cs="Calibri"/>
                <w:color w:val="000000" w:themeColor="text1"/>
                <w:sz w:val="13"/>
                <w:szCs w:val="13"/>
              </w:rPr>
            </w:pPr>
            <w:r w:rsidRPr="00BB7C9E">
              <w:rPr>
                <w:rFonts w:cs="Calibri"/>
                <w:color w:val="000000" w:themeColor="text1"/>
                <w:sz w:val="13"/>
                <w:szCs w:val="13"/>
              </w:rPr>
              <w:t>136 956</w:t>
            </w:r>
          </w:p>
        </w:tc>
        <w:tc>
          <w:tcPr>
            <w:tcW w:w="2410" w:type="dxa"/>
            <w:tcBorders>
              <w:top w:val="nil"/>
              <w:left w:val="nil"/>
              <w:bottom w:val="single" w:sz="4" w:space="0" w:color="0077BD"/>
              <w:right w:val="nil"/>
            </w:tcBorders>
            <w:shd w:val="clear" w:color="auto" w:fill="auto"/>
            <w:noWrap/>
            <w:vAlign w:val="center"/>
            <w:hideMark/>
          </w:tcPr>
          <w:p w14:paraId="065A96AC" w14:textId="77777777" w:rsidR="00C3120B" w:rsidRPr="00BB7C9E" w:rsidRDefault="00C3120B" w:rsidP="002C6DA9">
            <w:pPr>
              <w:jc w:val="right"/>
              <w:rPr>
                <w:rFonts w:cs="Calibri"/>
                <w:color w:val="000000" w:themeColor="text1"/>
                <w:sz w:val="13"/>
                <w:szCs w:val="13"/>
              </w:rPr>
            </w:pPr>
            <w:r w:rsidRPr="00BB7C9E">
              <w:rPr>
                <w:rFonts w:cs="Calibri"/>
                <w:color w:val="000000" w:themeColor="text1"/>
                <w:sz w:val="13"/>
                <w:szCs w:val="13"/>
              </w:rPr>
              <w:t>401 142</w:t>
            </w:r>
          </w:p>
        </w:tc>
      </w:tr>
    </w:tbl>
    <w:p w14:paraId="2C695641" w14:textId="00FA93C6" w:rsidR="00DD236F" w:rsidRDefault="00DD236F" w:rsidP="00DD236F">
      <w:pPr>
        <w:tabs>
          <w:tab w:val="left" w:pos="0"/>
        </w:tabs>
        <w:suppressAutoHyphens/>
        <w:spacing w:before="240"/>
        <w:ind w:left="709"/>
        <w:contextualSpacing/>
        <w:jc w:val="both"/>
        <w:rPr>
          <w:rFonts w:cs="Tahoma"/>
          <w:bCs/>
          <w:color w:val="000000"/>
          <w:sz w:val="18"/>
          <w:szCs w:val="18"/>
          <w:lang w:eastAsia="en-US"/>
        </w:rPr>
      </w:pPr>
    </w:p>
    <w:p w14:paraId="2803D159" w14:textId="77777777" w:rsidR="00DD236F" w:rsidRDefault="00DD236F">
      <w:pPr>
        <w:rPr>
          <w:rFonts w:cs="Tahoma"/>
          <w:bCs/>
          <w:color w:val="000000"/>
          <w:sz w:val="18"/>
          <w:szCs w:val="18"/>
          <w:lang w:eastAsia="en-US"/>
        </w:rPr>
      </w:pPr>
      <w:r>
        <w:rPr>
          <w:rFonts w:cs="Tahoma"/>
          <w:bCs/>
          <w:color w:val="000000"/>
          <w:sz w:val="18"/>
          <w:szCs w:val="18"/>
          <w:lang w:eastAsia="en-US"/>
        </w:rPr>
        <w:br w:type="page"/>
      </w:r>
    </w:p>
    <w:p w14:paraId="21636CC3" w14:textId="00C8A4DD" w:rsidR="00DD236F" w:rsidRPr="00DD236F" w:rsidRDefault="00DD236F" w:rsidP="00A30EFA">
      <w:pPr>
        <w:numPr>
          <w:ilvl w:val="0"/>
          <w:numId w:val="78"/>
        </w:numPr>
        <w:tabs>
          <w:tab w:val="left" w:pos="0"/>
        </w:tabs>
        <w:suppressAutoHyphens/>
        <w:spacing w:before="240"/>
        <w:ind w:left="426" w:hanging="437"/>
        <w:contextualSpacing/>
        <w:jc w:val="both"/>
        <w:rPr>
          <w:rFonts w:cs="Tahoma"/>
          <w:bCs/>
          <w:color w:val="000000"/>
          <w:sz w:val="18"/>
          <w:szCs w:val="18"/>
          <w:lang w:eastAsia="en-US"/>
        </w:rPr>
      </w:pPr>
      <w:r w:rsidRPr="00DD236F">
        <w:rPr>
          <w:rFonts w:cs="Tahoma"/>
          <w:bCs/>
          <w:sz w:val="18"/>
          <w:szCs w:val="18"/>
          <w:lang w:eastAsia="en-US"/>
        </w:rPr>
        <w:lastRenderedPageBreak/>
        <w:t>rachunkowość zabezpieczeń przepływów pieniężnych portfela kredytów hipotecznych oraz listów zastawnych emitowanych przez mBank Hipoteczny</w:t>
      </w:r>
    </w:p>
    <w:p w14:paraId="7E50302E" w14:textId="2843412B" w:rsidR="00DD236F" w:rsidRPr="00DD236F" w:rsidRDefault="00DD236F" w:rsidP="00DD236F">
      <w:pPr>
        <w:tabs>
          <w:tab w:val="left" w:pos="0"/>
        </w:tabs>
        <w:suppressAutoHyphens/>
        <w:spacing w:before="120" w:after="120"/>
        <w:ind w:left="-11"/>
        <w:jc w:val="both"/>
        <w:rPr>
          <w:rFonts w:cs="Tahoma"/>
          <w:bCs/>
          <w:sz w:val="18"/>
          <w:szCs w:val="18"/>
          <w:lang w:eastAsia="en-US"/>
        </w:rPr>
      </w:pPr>
      <w:r w:rsidRPr="00DD236F">
        <w:rPr>
          <w:rFonts w:cs="Tahoma"/>
          <w:bCs/>
          <w:sz w:val="18"/>
          <w:szCs w:val="18"/>
          <w:lang w:eastAsia="en-US"/>
        </w:rPr>
        <w:t xml:space="preserve">Grupa rozpoczęła stosowanie rachunkowości zabezpieczeń w zakresie przepływów pieniężnych portfela kredytów hipotecznych w PLN oraz listów zastawnych w listopadzie 2019 roku. Celem strategii zabezpieczającej jest eliminacja ryzyka zmienności przepływów pieniężnych generowanych przez kredyty hipoteczne w PLN z tytułu zmian referencyjnych stóp procentowych oraz </w:t>
      </w:r>
      <w:r w:rsidR="00512030">
        <w:rPr>
          <w:rFonts w:cs="Tahoma"/>
          <w:bCs/>
          <w:sz w:val="18"/>
          <w:szCs w:val="18"/>
          <w:lang w:eastAsia="en-US"/>
        </w:rPr>
        <w:t xml:space="preserve">przez </w:t>
      </w:r>
      <w:r w:rsidRPr="00DD236F">
        <w:rPr>
          <w:rFonts w:cs="Tahoma"/>
          <w:bCs/>
          <w:sz w:val="18"/>
          <w:szCs w:val="18"/>
          <w:lang w:eastAsia="en-US"/>
        </w:rPr>
        <w:t>listy zastawne denominowane w</w:t>
      </w:r>
      <w:r>
        <w:rPr>
          <w:rFonts w:cs="Tahoma"/>
          <w:bCs/>
          <w:sz w:val="18"/>
          <w:szCs w:val="18"/>
          <w:lang w:eastAsia="en-US"/>
        </w:rPr>
        <w:t> </w:t>
      </w:r>
      <w:r w:rsidRPr="00DD236F">
        <w:rPr>
          <w:rFonts w:cs="Tahoma"/>
          <w:bCs/>
          <w:sz w:val="18"/>
          <w:szCs w:val="18"/>
          <w:lang w:eastAsia="en-US"/>
        </w:rPr>
        <w:t xml:space="preserve">walucie wymienialnej z tytułu zmian kursu walutowego z wykorzystaniem walutowych transakcji swapów stóp procentowych (CIRS). </w:t>
      </w:r>
    </w:p>
    <w:p w14:paraId="65554F84" w14:textId="77777777" w:rsidR="00DD236F" w:rsidRPr="00DD236F" w:rsidRDefault="00DD236F" w:rsidP="00DD236F">
      <w:pPr>
        <w:tabs>
          <w:tab w:val="left" w:pos="0"/>
        </w:tabs>
        <w:suppressAutoHyphens/>
        <w:spacing w:before="120" w:after="120"/>
        <w:jc w:val="both"/>
        <w:rPr>
          <w:rFonts w:cs="Tahoma"/>
          <w:bCs/>
          <w:sz w:val="18"/>
          <w:szCs w:val="18"/>
          <w:lang w:eastAsia="en-US"/>
        </w:rPr>
      </w:pPr>
      <w:r w:rsidRPr="00DD236F">
        <w:rPr>
          <w:rFonts w:cs="Tahoma"/>
          <w:bCs/>
          <w:sz w:val="18"/>
          <w:szCs w:val="18"/>
          <w:lang w:eastAsia="en-US"/>
        </w:rPr>
        <w:t>W ramach rachunkowości zabezpieczeń Grupa desygnuje pozycję zabezpieczaną składająca się z:</w:t>
      </w:r>
    </w:p>
    <w:p w14:paraId="14D87012" w14:textId="605BA995" w:rsidR="00DD236F" w:rsidRDefault="00DD236F" w:rsidP="00DD236F">
      <w:pPr>
        <w:numPr>
          <w:ilvl w:val="0"/>
          <w:numId w:val="79"/>
        </w:numPr>
        <w:tabs>
          <w:tab w:val="left" w:pos="0"/>
        </w:tabs>
        <w:suppressAutoHyphens/>
        <w:spacing w:before="120" w:after="120"/>
        <w:ind w:left="426" w:hanging="426"/>
        <w:contextualSpacing/>
        <w:jc w:val="both"/>
        <w:rPr>
          <w:rFonts w:cs="Tahoma"/>
          <w:bCs/>
          <w:sz w:val="18"/>
          <w:szCs w:val="18"/>
          <w:lang w:eastAsia="en-US"/>
        </w:rPr>
      </w:pPr>
      <w:r w:rsidRPr="00DD236F">
        <w:rPr>
          <w:rFonts w:cs="Tahoma"/>
          <w:bCs/>
          <w:sz w:val="18"/>
          <w:szCs w:val="18"/>
          <w:lang w:eastAsia="en-US"/>
        </w:rPr>
        <w:t xml:space="preserve">części portfela kredytów mieszkaniowych dla klientów detalicznych, wpisanych do rejestru zabezpieczenia hipotecznych listów zastawnych, denominowanych w PLN o oprocentowaniu </w:t>
      </w:r>
      <w:r w:rsidR="00512030">
        <w:rPr>
          <w:rFonts w:cs="Tahoma"/>
          <w:bCs/>
          <w:sz w:val="18"/>
          <w:szCs w:val="18"/>
          <w:lang w:eastAsia="en-US"/>
        </w:rPr>
        <w:t>indeksowanym do stawki 3M WIBOR;</w:t>
      </w:r>
      <w:r w:rsidRPr="00DD236F">
        <w:rPr>
          <w:rFonts w:cs="Tahoma"/>
          <w:bCs/>
          <w:sz w:val="18"/>
          <w:szCs w:val="18"/>
          <w:lang w:eastAsia="en-US"/>
        </w:rPr>
        <w:t xml:space="preserve"> marża kredytowa jest wyłączona z zabezpieczenia;</w:t>
      </w:r>
    </w:p>
    <w:p w14:paraId="5FB3F42A" w14:textId="77777777" w:rsidR="00DD236F" w:rsidRPr="00DD236F" w:rsidRDefault="00DD236F" w:rsidP="00DD236F">
      <w:pPr>
        <w:tabs>
          <w:tab w:val="left" w:pos="0"/>
        </w:tabs>
        <w:suppressAutoHyphens/>
        <w:spacing w:before="120" w:after="120"/>
        <w:ind w:left="426"/>
        <w:contextualSpacing/>
        <w:jc w:val="both"/>
        <w:rPr>
          <w:rFonts w:cs="Tahoma"/>
          <w:bCs/>
          <w:sz w:val="8"/>
          <w:szCs w:val="8"/>
          <w:lang w:eastAsia="en-US"/>
        </w:rPr>
      </w:pPr>
    </w:p>
    <w:p w14:paraId="4E501258" w14:textId="1B55826C" w:rsidR="00DD236F" w:rsidRDefault="00DD236F" w:rsidP="00DD236F">
      <w:pPr>
        <w:numPr>
          <w:ilvl w:val="0"/>
          <w:numId w:val="79"/>
        </w:numPr>
        <w:tabs>
          <w:tab w:val="left" w:pos="0"/>
        </w:tabs>
        <w:suppressAutoHyphens/>
        <w:spacing w:before="120" w:after="120"/>
        <w:ind w:left="426" w:hanging="426"/>
        <w:contextualSpacing/>
        <w:jc w:val="both"/>
        <w:rPr>
          <w:rFonts w:cs="Tahoma"/>
          <w:bCs/>
          <w:sz w:val="18"/>
          <w:szCs w:val="18"/>
          <w:lang w:eastAsia="en-US"/>
        </w:rPr>
      </w:pPr>
      <w:r w:rsidRPr="00DD236F">
        <w:rPr>
          <w:rFonts w:cs="Tahoma"/>
          <w:bCs/>
          <w:sz w:val="18"/>
          <w:szCs w:val="18"/>
          <w:lang w:eastAsia="en-US"/>
        </w:rPr>
        <w:t xml:space="preserve">wyemitowanych przez </w:t>
      </w:r>
      <w:r w:rsidR="00512030">
        <w:rPr>
          <w:rFonts w:cs="Tahoma"/>
          <w:bCs/>
          <w:sz w:val="18"/>
          <w:szCs w:val="18"/>
          <w:lang w:eastAsia="en-US"/>
        </w:rPr>
        <w:t>m</w:t>
      </w:r>
      <w:r w:rsidRPr="00DD236F">
        <w:rPr>
          <w:rFonts w:cs="Tahoma"/>
          <w:bCs/>
          <w:sz w:val="18"/>
          <w:szCs w:val="18"/>
          <w:lang w:eastAsia="en-US"/>
        </w:rPr>
        <w:t>Bank</w:t>
      </w:r>
      <w:r w:rsidR="00512030">
        <w:rPr>
          <w:rFonts w:cs="Tahoma"/>
          <w:bCs/>
          <w:sz w:val="18"/>
          <w:szCs w:val="18"/>
          <w:lang w:eastAsia="en-US"/>
        </w:rPr>
        <w:t xml:space="preserve"> Hipoteczny</w:t>
      </w:r>
      <w:r w:rsidRPr="00DD236F">
        <w:rPr>
          <w:rFonts w:cs="Tahoma"/>
          <w:bCs/>
          <w:sz w:val="18"/>
          <w:szCs w:val="18"/>
          <w:lang w:eastAsia="en-US"/>
        </w:rPr>
        <w:t xml:space="preserve"> listów zastawnych denominowanych w EUR o stałym oprocentowaniu.</w:t>
      </w:r>
    </w:p>
    <w:p w14:paraId="5ECB4C11" w14:textId="77777777" w:rsidR="00DD236F" w:rsidRPr="00DD236F" w:rsidRDefault="00DD236F" w:rsidP="00DD236F">
      <w:pPr>
        <w:tabs>
          <w:tab w:val="left" w:pos="0"/>
        </w:tabs>
        <w:suppressAutoHyphens/>
        <w:spacing w:before="120" w:after="120"/>
        <w:ind w:left="426"/>
        <w:contextualSpacing/>
        <w:jc w:val="both"/>
        <w:rPr>
          <w:rFonts w:cs="Tahoma"/>
          <w:bCs/>
          <w:sz w:val="12"/>
          <w:szCs w:val="12"/>
          <w:lang w:eastAsia="en-US"/>
        </w:rPr>
      </w:pPr>
    </w:p>
    <w:p w14:paraId="70DC8F76" w14:textId="32D6A9C7" w:rsidR="00DD236F" w:rsidRPr="00DD236F" w:rsidRDefault="00DD236F" w:rsidP="00DD236F">
      <w:pPr>
        <w:tabs>
          <w:tab w:val="left" w:pos="0"/>
        </w:tabs>
        <w:suppressAutoHyphens/>
        <w:spacing w:before="120" w:after="120"/>
        <w:jc w:val="both"/>
        <w:rPr>
          <w:rFonts w:cs="Tahoma"/>
          <w:bCs/>
          <w:sz w:val="18"/>
          <w:szCs w:val="18"/>
          <w:lang w:eastAsia="en-US"/>
        </w:rPr>
      </w:pPr>
      <w:r w:rsidRPr="00DD236F">
        <w:rPr>
          <w:rFonts w:cs="Tahoma"/>
          <w:bCs/>
          <w:sz w:val="18"/>
          <w:szCs w:val="18"/>
          <w:lang w:eastAsia="en-US"/>
        </w:rPr>
        <w:t>Jako instrumenty zabezpieczające Grupa stosuje transakcje pochodne CIRS, w których jako strona transakcji płaci zmienne przepływy odsetkowe w PLN powiększone o marżę, a otrzymuje przepływy odsetkowe o stałej stopie w walucie EUR oraz następuje wymiana nominałów na początku i na końcu transakcji. Jako transakcje zawarte przez bank hipoteczny transa</w:t>
      </w:r>
      <w:r w:rsidR="00661782">
        <w:rPr>
          <w:rFonts w:cs="Tahoma"/>
          <w:bCs/>
          <w:sz w:val="18"/>
          <w:szCs w:val="18"/>
          <w:lang w:eastAsia="en-US"/>
        </w:rPr>
        <w:t>kcje CIRS podlegają wpisowi do r</w:t>
      </w:r>
      <w:r w:rsidRPr="00DD236F">
        <w:rPr>
          <w:rFonts w:cs="Tahoma"/>
          <w:bCs/>
          <w:sz w:val="18"/>
          <w:szCs w:val="18"/>
          <w:lang w:eastAsia="en-US"/>
        </w:rPr>
        <w:t xml:space="preserve">ejestru zabezpieczenia listów zastawnych. Ponadto w przypadku ogłoszenia przez sąd upadłości banku hipotecznego nie zostaną </w:t>
      </w:r>
      <w:r w:rsidR="002545EE">
        <w:rPr>
          <w:rFonts w:cs="Tahoma"/>
          <w:bCs/>
          <w:sz w:val="18"/>
          <w:szCs w:val="18"/>
          <w:lang w:eastAsia="en-US"/>
        </w:rPr>
        <w:t xml:space="preserve">one </w:t>
      </w:r>
      <w:r w:rsidRPr="00DD236F">
        <w:rPr>
          <w:rFonts w:cs="Tahoma"/>
          <w:bCs/>
          <w:sz w:val="18"/>
          <w:szCs w:val="18"/>
          <w:lang w:eastAsia="en-US"/>
        </w:rPr>
        <w:t xml:space="preserve">natychmiast zakończone, </w:t>
      </w:r>
      <w:r w:rsidR="002545EE">
        <w:rPr>
          <w:rFonts w:cs="Tahoma"/>
          <w:bCs/>
          <w:sz w:val="18"/>
          <w:szCs w:val="18"/>
          <w:lang w:eastAsia="en-US"/>
        </w:rPr>
        <w:t xml:space="preserve">lecz </w:t>
      </w:r>
      <w:r w:rsidRPr="00DD236F">
        <w:rPr>
          <w:rFonts w:cs="Tahoma"/>
          <w:bCs/>
          <w:sz w:val="18"/>
          <w:szCs w:val="18"/>
          <w:lang w:eastAsia="en-US"/>
        </w:rPr>
        <w:t xml:space="preserve">będą trwały do końca pierwotnego terminu zapadalności na warunkach określonych w dniu zawarcia transakcji (nie będą podlegały wydłużeniu poza pierwotny termin zapadalności). </w:t>
      </w:r>
    </w:p>
    <w:p w14:paraId="5878855F" w14:textId="6830D5C5" w:rsidR="00DD236F" w:rsidRPr="00DD236F" w:rsidRDefault="002545EE" w:rsidP="00DD236F">
      <w:pPr>
        <w:tabs>
          <w:tab w:val="left" w:pos="0"/>
        </w:tabs>
        <w:suppressAutoHyphens/>
        <w:spacing w:before="120" w:after="120"/>
        <w:jc w:val="both"/>
        <w:rPr>
          <w:rFonts w:cs="Tahoma"/>
          <w:bCs/>
          <w:sz w:val="18"/>
          <w:szCs w:val="18"/>
          <w:lang w:eastAsia="en-US"/>
        </w:rPr>
      </w:pPr>
      <w:r>
        <w:rPr>
          <w:rFonts w:cs="Tahoma"/>
          <w:bCs/>
          <w:sz w:val="18"/>
          <w:szCs w:val="18"/>
          <w:lang w:eastAsia="en-US"/>
        </w:rPr>
        <w:t>Zgodnie z przyjętą metodologią</w:t>
      </w:r>
      <w:r w:rsidR="00DD236F" w:rsidRPr="00DD236F">
        <w:rPr>
          <w:rFonts w:cs="Tahoma"/>
          <w:bCs/>
          <w:sz w:val="18"/>
          <w:szCs w:val="18"/>
          <w:lang w:eastAsia="en-US"/>
        </w:rPr>
        <w:t xml:space="preserve"> Grupa zabezpiecza ryzyko stopy procentowej i ryzyko walutowe w ramach jednego powiązania ekonomicznego pomiędzy zawartymi transakcjami CIRS a częścią portfela kredytowego w PLN oraz finansującymi je listami zastawnymi w EUR. Dla celów rachunkowości zabezpieczeń przepływów pieniężnych Grupa zawiązuje równocześnie dwie relacje zabezpieczające:</w:t>
      </w:r>
    </w:p>
    <w:p w14:paraId="22A16FBF" w14:textId="2A6A4BF7" w:rsidR="00DD236F" w:rsidRDefault="00DD236F" w:rsidP="00DD236F">
      <w:pPr>
        <w:numPr>
          <w:ilvl w:val="0"/>
          <w:numId w:val="79"/>
        </w:numPr>
        <w:tabs>
          <w:tab w:val="left" w:pos="0"/>
        </w:tabs>
        <w:suppressAutoHyphens/>
        <w:spacing w:before="120" w:after="120"/>
        <w:ind w:left="426" w:hanging="426"/>
        <w:contextualSpacing/>
        <w:jc w:val="both"/>
        <w:rPr>
          <w:rFonts w:cs="Tahoma"/>
          <w:bCs/>
          <w:sz w:val="18"/>
          <w:szCs w:val="18"/>
          <w:lang w:eastAsia="en-US"/>
        </w:rPr>
      </w:pPr>
      <w:r w:rsidRPr="00DD236F">
        <w:rPr>
          <w:rFonts w:cs="Tahoma"/>
          <w:bCs/>
          <w:sz w:val="18"/>
          <w:szCs w:val="18"/>
          <w:lang w:eastAsia="en-US"/>
        </w:rPr>
        <w:t>poprzez dekompozycję części rzeczywistej transakcji CIRS zabezpieczającej portfel kredytów w PLN o</w:t>
      </w:r>
      <w:r>
        <w:rPr>
          <w:rFonts w:cs="Tahoma"/>
          <w:bCs/>
          <w:sz w:val="18"/>
          <w:szCs w:val="18"/>
          <w:lang w:eastAsia="en-US"/>
        </w:rPr>
        <w:t> </w:t>
      </w:r>
      <w:r w:rsidRPr="00DD236F">
        <w:rPr>
          <w:rFonts w:cs="Tahoma"/>
          <w:bCs/>
          <w:sz w:val="18"/>
          <w:szCs w:val="18"/>
          <w:lang w:eastAsia="en-US"/>
        </w:rPr>
        <w:t xml:space="preserve">zmiennym oprocentowaniu (zabezpieczenie przed ryzykiem stopy procentowej) oraz </w:t>
      </w:r>
    </w:p>
    <w:p w14:paraId="23586657" w14:textId="77777777" w:rsidR="00DD236F" w:rsidRPr="00DD236F" w:rsidRDefault="00DD236F" w:rsidP="00DD236F">
      <w:pPr>
        <w:tabs>
          <w:tab w:val="left" w:pos="0"/>
        </w:tabs>
        <w:suppressAutoHyphens/>
        <w:spacing w:before="120" w:after="120"/>
        <w:ind w:left="426"/>
        <w:contextualSpacing/>
        <w:jc w:val="both"/>
        <w:rPr>
          <w:rFonts w:cs="Tahoma"/>
          <w:bCs/>
          <w:sz w:val="8"/>
          <w:szCs w:val="8"/>
          <w:lang w:eastAsia="en-US"/>
        </w:rPr>
      </w:pPr>
    </w:p>
    <w:p w14:paraId="4CD0784B" w14:textId="369EE6B3" w:rsidR="00DD236F" w:rsidRPr="002545EE" w:rsidRDefault="00DD236F" w:rsidP="00ED255F">
      <w:pPr>
        <w:numPr>
          <w:ilvl w:val="0"/>
          <w:numId w:val="79"/>
        </w:numPr>
        <w:tabs>
          <w:tab w:val="left" w:pos="0"/>
        </w:tabs>
        <w:suppressAutoHyphens/>
        <w:spacing w:before="120" w:after="120"/>
        <w:ind w:left="426" w:hanging="426"/>
        <w:contextualSpacing/>
        <w:jc w:val="both"/>
        <w:rPr>
          <w:rFonts w:cs="Tahoma"/>
          <w:bCs/>
          <w:sz w:val="18"/>
          <w:szCs w:val="18"/>
          <w:lang w:eastAsia="en-US"/>
        </w:rPr>
      </w:pPr>
      <w:r w:rsidRPr="002545EE">
        <w:rPr>
          <w:rFonts w:cs="Tahoma"/>
          <w:bCs/>
          <w:sz w:val="18"/>
          <w:szCs w:val="18"/>
          <w:lang w:eastAsia="en-US"/>
        </w:rPr>
        <w:t>poprzez dekompozycję części rzeczywistej transakcji CIRS zabezpieczającej zobowiązanie w EUR (zabezpieczenie przed ryzykiem walutowym).</w:t>
      </w:r>
    </w:p>
    <w:p w14:paraId="590CBDBD" w14:textId="77777777" w:rsidR="00DD236F" w:rsidRPr="00DD236F" w:rsidRDefault="00DD236F" w:rsidP="00DD236F">
      <w:pPr>
        <w:tabs>
          <w:tab w:val="left" w:pos="0"/>
        </w:tabs>
        <w:suppressAutoHyphens/>
        <w:spacing w:before="120" w:after="120"/>
        <w:ind w:left="426"/>
        <w:contextualSpacing/>
        <w:jc w:val="both"/>
        <w:rPr>
          <w:rFonts w:cs="Tahoma"/>
          <w:bCs/>
          <w:sz w:val="12"/>
          <w:szCs w:val="12"/>
          <w:lang w:eastAsia="en-US"/>
        </w:rPr>
      </w:pPr>
    </w:p>
    <w:p w14:paraId="74A3A711" w14:textId="77777777" w:rsidR="00DD236F" w:rsidRPr="00DD236F" w:rsidRDefault="00DD236F" w:rsidP="00DD236F">
      <w:pPr>
        <w:tabs>
          <w:tab w:val="left" w:pos="0"/>
        </w:tabs>
        <w:suppressAutoHyphens/>
        <w:spacing w:before="120" w:after="120"/>
        <w:jc w:val="both"/>
        <w:rPr>
          <w:rFonts w:cs="Tahoma"/>
          <w:bCs/>
          <w:sz w:val="18"/>
          <w:szCs w:val="18"/>
          <w:lang w:eastAsia="en-US"/>
        </w:rPr>
      </w:pPr>
      <w:r w:rsidRPr="00DD236F">
        <w:rPr>
          <w:rFonts w:cs="Tahoma"/>
          <w:bCs/>
          <w:sz w:val="18"/>
          <w:szCs w:val="18"/>
          <w:lang w:eastAsia="en-US"/>
        </w:rPr>
        <w:t>Dla celów kalkulacji zmian wartości godziwej przyszłych przepływów pieniężnych pozycji będących przedmiotem zabezpieczenia, Grupa stosuje metodę „derywatu hipotetycznego”, która zakłada możliwość odzwierciedlenia pozycji zabezpieczanej i charakterystyki zabezpieczanego ryzyka w postaci instrumentu pochodnego. Zasady wyceny są analogiczne jak zasady wyceny instrumentów pochodnych stopy procentowej.</w:t>
      </w:r>
    </w:p>
    <w:p w14:paraId="4C174C50" w14:textId="3AF03968" w:rsidR="00DD236F" w:rsidRPr="00DD236F" w:rsidRDefault="00DD236F" w:rsidP="00DD236F">
      <w:pPr>
        <w:tabs>
          <w:tab w:val="left" w:pos="0"/>
        </w:tabs>
        <w:suppressAutoHyphens/>
        <w:spacing w:before="120" w:after="120"/>
        <w:jc w:val="both"/>
        <w:rPr>
          <w:rFonts w:cs="Tahoma"/>
          <w:b/>
          <w:bCs/>
          <w:sz w:val="18"/>
          <w:szCs w:val="18"/>
          <w:lang w:eastAsia="en-US"/>
        </w:rPr>
      </w:pPr>
      <w:r w:rsidRPr="00DD236F">
        <w:rPr>
          <w:rFonts w:cs="Tahoma"/>
          <w:b/>
          <w:bCs/>
          <w:sz w:val="18"/>
          <w:szCs w:val="18"/>
          <w:lang w:eastAsia="en-US"/>
        </w:rPr>
        <w:t>Pozycje zabezpieczane - zabezpieczenie przepływów pieniężnych</w:t>
      </w:r>
    </w:p>
    <w:tbl>
      <w:tblPr>
        <w:tblW w:w="9498" w:type="dxa"/>
        <w:tblCellMar>
          <w:left w:w="28" w:type="dxa"/>
          <w:right w:w="28" w:type="dxa"/>
        </w:tblCellMar>
        <w:tblLook w:val="04A0" w:firstRow="1" w:lastRow="0" w:firstColumn="1" w:lastColumn="0" w:noHBand="0" w:noVBand="1"/>
      </w:tblPr>
      <w:tblGrid>
        <w:gridCol w:w="2694"/>
        <w:gridCol w:w="2126"/>
        <w:gridCol w:w="2268"/>
        <w:gridCol w:w="2410"/>
      </w:tblGrid>
      <w:tr w:rsidR="00DD236F" w:rsidRPr="00DD236F" w14:paraId="15B458EB" w14:textId="77777777" w:rsidTr="002C6DA9">
        <w:trPr>
          <w:trHeight w:val="510"/>
        </w:trPr>
        <w:tc>
          <w:tcPr>
            <w:tcW w:w="2694" w:type="dxa"/>
            <w:tcBorders>
              <w:top w:val="nil"/>
              <w:left w:val="nil"/>
              <w:right w:val="single" w:sz="8" w:space="0" w:color="FFFFFF"/>
            </w:tcBorders>
            <w:shd w:val="clear" w:color="000000" w:fill="0077BD"/>
            <w:vAlign w:val="center"/>
            <w:hideMark/>
          </w:tcPr>
          <w:p w14:paraId="14C81165" w14:textId="77777777" w:rsidR="00DD236F" w:rsidRPr="00DD236F" w:rsidRDefault="00DD236F" w:rsidP="00DD236F">
            <w:pPr>
              <w:rPr>
                <w:rFonts w:cs="Calibri"/>
                <w:b/>
                <w:bCs/>
                <w:color w:val="FFFFFF"/>
                <w:sz w:val="13"/>
                <w:szCs w:val="13"/>
              </w:rPr>
            </w:pPr>
            <w:r w:rsidRPr="00DD236F">
              <w:rPr>
                <w:rFonts w:cs="Calibri"/>
                <w:b/>
                <w:bCs/>
                <w:color w:val="FFFFFF"/>
                <w:sz w:val="13"/>
                <w:szCs w:val="13"/>
              </w:rPr>
              <w:t>31.12.2019</w:t>
            </w:r>
          </w:p>
        </w:tc>
        <w:tc>
          <w:tcPr>
            <w:tcW w:w="2126" w:type="dxa"/>
            <w:tcBorders>
              <w:top w:val="nil"/>
              <w:left w:val="nil"/>
              <w:right w:val="single" w:sz="8" w:space="0" w:color="FFFFFF"/>
            </w:tcBorders>
            <w:shd w:val="clear" w:color="000000" w:fill="0077BD"/>
            <w:vAlign w:val="center"/>
            <w:hideMark/>
          </w:tcPr>
          <w:p w14:paraId="5A500530" w14:textId="77777777" w:rsidR="00DD236F" w:rsidRPr="00DD236F" w:rsidRDefault="00DD236F" w:rsidP="00DD236F">
            <w:pPr>
              <w:jc w:val="center"/>
              <w:rPr>
                <w:rFonts w:cs="Calibri"/>
                <w:b/>
                <w:bCs/>
                <w:color w:val="FFFFFF"/>
                <w:sz w:val="13"/>
                <w:szCs w:val="13"/>
              </w:rPr>
            </w:pPr>
            <w:r w:rsidRPr="00DD236F">
              <w:rPr>
                <w:rFonts w:cs="Calibri"/>
                <w:b/>
                <w:bCs/>
                <w:color w:val="FFFFFF"/>
                <w:sz w:val="13"/>
                <w:szCs w:val="13"/>
              </w:rPr>
              <w:t>Wartość nominalna pozycji zabezpieczanych</w:t>
            </w:r>
          </w:p>
        </w:tc>
        <w:tc>
          <w:tcPr>
            <w:tcW w:w="2268" w:type="dxa"/>
            <w:tcBorders>
              <w:top w:val="nil"/>
              <w:left w:val="nil"/>
              <w:right w:val="single" w:sz="8" w:space="0" w:color="FFFFFF"/>
            </w:tcBorders>
            <w:shd w:val="clear" w:color="000000" w:fill="0077BD"/>
            <w:vAlign w:val="center"/>
            <w:hideMark/>
          </w:tcPr>
          <w:p w14:paraId="4AE3F6CD" w14:textId="2BEC09B7" w:rsidR="00DD236F" w:rsidRPr="00DD236F" w:rsidRDefault="00DD236F" w:rsidP="00DD236F">
            <w:pPr>
              <w:jc w:val="center"/>
              <w:rPr>
                <w:rFonts w:cs="Calibri"/>
                <w:b/>
                <w:bCs/>
                <w:color w:val="FFFFFF"/>
                <w:sz w:val="13"/>
                <w:szCs w:val="13"/>
              </w:rPr>
            </w:pPr>
            <w:r w:rsidRPr="00DD236F">
              <w:rPr>
                <w:rFonts w:cs="Calibri"/>
                <w:b/>
                <w:bCs/>
                <w:color w:val="FFFFFF"/>
                <w:sz w:val="13"/>
                <w:szCs w:val="13"/>
              </w:rPr>
              <w:t xml:space="preserve">Pozycja w sprawozdaniu </w:t>
            </w:r>
            <w:r>
              <w:rPr>
                <w:rFonts w:cs="Calibri"/>
                <w:b/>
                <w:bCs/>
                <w:color w:val="FFFFFF"/>
                <w:sz w:val="13"/>
                <w:szCs w:val="13"/>
              </w:rPr>
              <w:br/>
            </w:r>
            <w:r w:rsidRPr="00DD236F">
              <w:rPr>
                <w:rFonts w:cs="Calibri"/>
                <w:b/>
                <w:bCs/>
                <w:color w:val="FFFFFF"/>
                <w:sz w:val="13"/>
                <w:szCs w:val="13"/>
              </w:rPr>
              <w:t>z sytuacji finansowej</w:t>
            </w:r>
          </w:p>
        </w:tc>
        <w:tc>
          <w:tcPr>
            <w:tcW w:w="2410" w:type="dxa"/>
            <w:tcBorders>
              <w:top w:val="nil"/>
              <w:left w:val="nil"/>
              <w:right w:val="single" w:sz="8" w:space="0" w:color="FFFFFF"/>
            </w:tcBorders>
            <w:shd w:val="clear" w:color="000000" w:fill="0077BD"/>
            <w:vAlign w:val="center"/>
            <w:hideMark/>
          </w:tcPr>
          <w:p w14:paraId="267FF3AF" w14:textId="77777777" w:rsidR="00DD236F" w:rsidRPr="00DD236F" w:rsidRDefault="00DD236F" w:rsidP="00DD236F">
            <w:pPr>
              <w:jc w:val="center"/>
              <w:rPr>
                <w:rFonts w:cs="Calibri"/>
                <w:b/>
                <w:bCs/>
                <w:color w:val="FFFFFF"/>
                <w:sz w:val="13"/>
                <w:szCs w:val="13"/>
              </w:rPr>
            </w:pPr>
            <w:r w:rsidRPr="00DD236F">
              <w:rPr>
                <w:b/>
                <w:bCs/>
                <w:color w:val="FFFFFF"/>
                <w:sz w:val="13"/>
                <w:szCs w:val="16"/>
              </w:rPr>
              <w:t>Zmiana wartości godziwej pozycji zabezpieczanych od desygnacji</w:t>
            </w:r>
          </w:p>
        </w:tc>
      </w:tr>
      <w:tr w:rsidR="00DD236F" w:rsidRPr="00F01216" w14:paraId="1DC84703" w14:textId="77777777" w:rsidTr="00DD236F">
        <w:trPr>
          <w:trHeight w:val="340"/>
        </w:trPr>
        <w:tc>
          <w:tcPr>
            <w:tcW w:w="2694" w:type="dxa"/>
            <w:tcBorders>
              <w:left w:val="nil"/>
              <w:bottom w:val="single" w:sz="4" w:space="0" w:color="0077BD"/>
              <w:right w:val="single" w:sz="8" w:space="0" w:color="0077BD"/>
            </w:tcBorders>
            <w:shd w:val="clear" w:color="auto" w:fill="auto"/>
            <w:vAlign w:val="center"/>
            <w:hideMark/>
          </w:tcPr>
          <w:p w14:paraId="42C3E8C4" w14:textId="77777777" w:rsidR="00DD236F" w:rsidRPr="00F01216" w:rsidRDefault="00DD236F" w:rsidP="00DD236F">
            <w:pPr>
              <w:rPr>
                <w:rFonts w:cs="Calibri"/>
                <w:bCs/>
                <w:color w:val="000000" w:themeColor="text1"/>
                <w:sz w:val="13"/>
                <w:szCs w:val="13"/>
              </w:rPr>
            </w:pPr>
            <w:r w:rsidRPr="00F01216">
              <w:rPr>
                <w:rFonts w:cs="Calibri"/>
                <w:bCs/>
                <w:color w:val="000000" w:themeColor="text1"/>
                <w:sz w:val="13"/>
                <w:szCs w:val="13"/>
              </w:rPr>
              <w:t>kredyty w PLN o zmiennym oprocentowaniu</w:t>
            </w:r>
          </w:p>
        </w:tc>
        <w:tc>
          <w:tcPr>
            <w:tcW w:w="2126" w:type="dxa"/>
            <w:tcBorders>
              <w:left w:val="nil"/>
              <w:bottom w:val="single" w:sz="4" w:space="0" w:color="0077BD"/>
              <w:right w:val="single" w:sz="8" w:space="0" w:color="0077BD"/>
            </w:tcBorders>
            <w:shd w:val="clear" w:color="auto" w:fill="auto"/>
            <w:noWrap/>
            <w:vAlign w:val="center"/>
          </w:tcPr>
          <w:p w14:paraId="70C58649" w14:textId="77777777" w:rsidR="00DD236F" w:rsidRPr="00F01216" w:rsidRDefault="00DD236F" w:rsidP="00DD236F">
            <w:pPr>
              <w:jc w:val="right"/>
              <w:rPr>
                <w:rFonts w:cs="Calibri"/>
                <w:color w:val="000000" w:themeColor="text1"/>
                <w:sz w:val="13"/>
                <w:szCs w:val="13"/>
              </w:rPr>
            </w:pPr>
            <w:r w:rsidRPr="00F01216">
              <w:rPr>
                <w:rFonts w:cs="Calibri"/>
                <w:color w:val="000000" w:themeColor="text1"/>
                <w:sz w:val="13"/>
                <w:szCs w:val="13"/>
              </w:rPr>
              <w:t>1 278 930</w:t>
            </w:r>
          </w:p>
        </w:tc>
        <w:tc>
          <w:tcPr>
            <w:tcW w:w="2268" w:type="dxa"/>
            <w:tcBorders>
              <w:left w:val="nil"/>
              <w:bottom w:val="single" w:sz="4" w:space="0" w:color="0077BD"/>
              <w:right w:val="single" w:sz="8" w:space="0" w:color="0077BD"/>
            </w:tcBorders>
            <w:shd w:val="clear" w:color="auto" w:fill="auto"/>
            <w:noWrap/>
            <w:vAlign w:val="center"/>
          </w:tcPr>
          <w:p w14:paraId="64BD8B9D" w14:textId="77777777" w:rsidR="00DD236F" w:rsidRPr="00F01216" w:rsidRDefault="00DD236F" w:rsidP="00DD236F">
            <w:pPr>
              <w:rPr>
                <w:rFonts w:cs="Calibri"/>
                <w:color w:val="000000" w:themeColor="text1"/>
                <w:sz w:val="13"/>
                <w:szCs w:val="13"/>
              </w:rPr>
            </w:pPr>
            <w:r w:rsidRPr="00F01216">
              <w:rPr>
                <w:rFonts w:cs="Calibri"/>
                <w:color w:val="000000" w:themeColor="text1"/>
                <w:sz w:val="13"/>
                <w:szCs w:val="13"/>
              </w:rPr>
              <w:t>Kredyty i pożyczki udzielone klientom </w:t>
            </w:r>
          </w:p>
        </w:tc>
        <w:tc>
          <w:tcPr>
            <w:tcW w:w="2410" w:type="dxa"/>
            <w:vMerge w:val="restart"/>
            <w:tcBorders>
              <w:left w:val="nil"/>
            </w:tcBorders>
            <w:shd w:val="clear" w:color="auto" w:fill="auto"/>
            <w:noWrap/>
            <w:vAlign w:val="center"/>
          </w:tcPr>
          <w:p w14:paraId="56A1F1DB" w14:textId="77777777" w:rsidR="00DD236F" w:rsidRPr="00F01216" w:rsidRDefault="00DD236F" w:rsidP="00DD236F">
            <w:pPr>
              <w:jc w:val="right"/>
              <w:rPr>
                <w:rFonts w:cs="Calibri"/>
                <w:color w:val="000000" w:themeColor="text1"/>
                <w:sz w:val="13"/>
                <w:szCs w:val="13"/>
              </w:rPr>
            </w:pPr>
            <w:r w:rsidRPr="00F01216">
              <w:rPr>
                <w:rFonts w:cs="Calibri"/>
                <w:color w:val="000000" w:themeColor="text1"/>
                <w:sz w:val="13"/>
                <w:szCs w:val="13"/>
              </w:rPr>
              <w:t>5 227</w:t>
            </w:r>
          </w:p>
        </w:tc>
      </w:tr>
      <w:tr w:rsidR="00DD236F" w:rsidRPr="00F01216" w14:paraId="5A5C0A30" w14:textId="77777777" w:rsidTr="00DD236F">
        <w:trPr>
          <w:trHeight w:val="397"/>
        </w:trPr>
        <w:tc>
          <w:tcPr>
            <w:tcW w:w="2694" w:type="dxa"/>
            <w:tcBorders>
              <w:top w:val="single" w:sz="4" w:space="0" w:color="0077BD"/>
              <w:left w:val="nil"/>
              <w:bottom w:val="single" w:sz="6" w:space="0" w:color="0077BD"/>
              <w:right w:val="single" w:sz="8" w:space="0" w:color="0077BD"/>
            </w:tcBorders>
            <w:shd w:val="clear" w:color="auto" w:fill="auto"/>
            <w:vAlign w:val="center"/>
            <w:hideMark/>
          </w:tcPr>
          <w:p w14:paraId="2758F983" w14:textId="77777777" w:rsidR="00DD236F" w:rsidRPr="00F01216" w:rsidRDefault="00DD236F" w:rsidP="00DD236F">
            <w:pPr>
              <w:rPr>
                <w:rFonts w:cs="Calibri"/>
                <w:bCs/>
                <w:color w:val="000000" w:themeColor="text1"/>
                <w:sz w:val="13"/>
                <w:szCs w:val="13"/>
              </w:rPr>
            </w:pPr>
            <w:r w:rsidRPr="00F01216">
              <w:rPr>
                <w:rFonts w:cs="Calibri"/>
                <w:bCs/>
                <w:color w:val="000000" w:themeColor="text1"/>
                <w:sz w:val="13"/>
                <w:szCs w:val="13"/>
              </w:rPr>
              <w:t>listy zastawne wyemitowane w walucie wymienialnej o stałym oprocentowaniu</w:t>
            </w:r>
          </w:p>
        </w:tc>
        <w:tc>
          <w:tcPr>
            <w:tcW w:w="2126" w:type="dxa"/>
            <w:tcBorders>
              <w:top w:val="single" w:sz="4" w:space="0" w:color="0077BD"/>
              <w:left w:val="nil"/>
              <w:bottom w:val="single" w:sz="6" w:space="0" w:color="0077BD"/>
              <w:right w:val="single" w:sz="8" w:space="0" w:color="0077BD"/>
            </w:tcBorders>
            <w:shd w:val="clear" w:color="auto" w:fill="auto"/>
            <w:noWrap/>
            <w:vAlign w:val="center"/>
          </w:tcPr>
          <w:p w14:paraId="1B68CBA4" w14:textId="77777777" w:rsidR="00DD236F" w:rsidRPr="00F01216" w:rsidRDefault="00DD236F" w:rsidP="00DD236F">
            <w:pPr>
              <w:jc w:val="right"/>
              <w:rPr>
                <w:rFonts w:cs="Calibri"/>
                <w:color w:val="000000" w:themeColor="text1"/>
                <w:sz w:val="13"/>
                <w:szCs w:val="13"/>
              </w:rPr>
            </w:pPr>
            <w:r w:rsidRPr="00F01216">
              <w:rPr>
                <w:rFonts w:cs="Calibri"/>
                <w:color w:val="000000" w:themeColor="text1"/>
                <w:sz w:val="13"/>
                <w:szCs w:val="13"/>
              </w:rPr>
              <w:t>1 277 550</w:t>
            </w:r>
          </w:p>
        </w:tc>
        <w:tc>
          <w:tcPr>
            <w:tcW w:w="2268" w:type="dxa"/>
            <w:tcBorders>
              <w:top w:val="single" w:sz="4" w:space="0" w:color="0077BD"/>
              <w:left w:val="nil"/>
              <w:bottom w:val="single" w:sz="6" w:space="0" w:color="0077BD"/>
              <w:right w:val="single" w:sz="8" w:space="0" w:color="0077BD"/>
            </w:tcBorders>
            <w:shd w:val="clear" w:color="auto" w:fill="auto"/>
            <w:noWrap/>
            <w:vAlign w:val="center"/>
          </w:tcPr>
          <w:p w14:paraId="1E591D22" w14:textId="77777777" w:rsidR="00DD236F" w:rsidRPr="00F01216" w:rsidRDefault="00DD236F" w:rsidP="00DD236F">
            <w:pPr>
              <w:rPr>
                <w:rFonts w:cs="Calibri"/>
                <w:color w:val="000000" w:themeColor="text1"/>
                <w:sz w:val="13"/>
                <w:szCs w:val="13"/>
              </w:rPr>
            </w:pPr>
            <w:r w:rsidRPr="00F01216">
              <w:rPr>
                <w:rFonts w:cs="Calibri"/>
                <w:color w:val="000000" w:themeColor="text1"/>
                <w:sz w:val="13"/>
                <w:szCs w:val="13"/>
              </w:rPr>
              <w:t>Zobowiązania z tytułu emisji dłużnych papierów wartościowych</w:t>
            </w:r>
          </w:p>
        </w:tc>
        <w:tc>
          <w:tcPr>
            <w:tcW w:w="2410" w:type="dxa"/>
            <w:vMerge/>
            <w:tcBorders>
              <w:left w:val="nil"/>
              <w:bottom w:val="single" w:sz="6" w:space="0" w:color="0077BD"/>
            </w:tcBorders>
            <w:shd w:val="clear" w:color="auto" w:fill="FFFF00"/>
            <w:noWrap/>
            <w:vAlign w:val="center"/>
          </w:tcPr>
          <w:p w14:paraId="5BBF70ED" w14:textId="77777777" w:rsidR="00DD236F" w:rsidRPr="00F01216" w:rsidRDefault="00DD236F" w:rsidP="00DD236F">
            <w:pPr>
              <w:jc w:val="right"/>
              <w:rPr>
                <w:rFonts w:cs="Calibri"/>
                <w:color w:val="000000" w:themeColor="text1"/>
                <w:sz w:val="13"/>
                <w:szCs w:val="13"/>
              </w:rPr>
            </w:pPr>
          </w:p>
        </w:tc>
      </w:tr>
    </w:tbl>
    <w:p w14:paraId="47F8E53A" w14:textId="06EB57C0" w:rsidR="00AF2D5C" w:rsidRPr="00F01216" w:rsidRDefault="00AF2D5C" w:rsidP="00AF2D5C">
      <w:pPr>
        <w:tabs>
          <w:tab w:val="left" w:pos="0"/>
        </w:tabs>
        <w:suppressAutoHyphens/>
        <w:spacing w:before="120" w:after="120"/>
        <w:jc w:val="both"/>
        <w:rPr>
          <w:rFonts w:cs="Tahoma"/>
          <w:b/>
          <w:bCs/>
          <w:color w:val="000000" w:themeColor="text1"/>
          <w:sz w:val="18"/>
          <w:szCs w:val="18"/>
          <w:lang w:eastAsia="en-US"/>
        </w:rPr>
      </w:pPr>
      <w:r w:rsidRPr="00F01216">
        <w:rPr>
          <w:rFonts w:cs="Tahoma"/>
          <w:b/>
          <w:bCs/>
          <w:color w:val="000000" w:themeColor="text1"/>
          <w:sz w:val="18"/>
          <w:szCs w:val="18"/>
          <w:lang w:eastAsia="en-US"/>
        </w:rPr>
        <w:t>Pozycje zabezpieczające - zabezpieczenie przepływów pieniężnych</w:t>
      </w:r>
    </w:p>
    <w:tbl>
      <w:tblPr>
        <w:tblW w:w="9498" w:type="dxa"/>
        <w:tblCellMar>
          <w:left w:w="28" w:type="dxa"/>
          <w:right w:w="28" w:type="dxa"/>
        </w:tblCellMar>
        <w:tblLook w:val="04A0" w:firstRow="1" w:lastRow="0" w:firstColumn="1" w:lastColumn="0" w:noHBand="0" w:noVBand="1"/>
      </w:tblPr>
      <w:tblGrid>
        <w:gridCol w:w="2694"/>
        <w:gridCol w:w="2126"/>
        <w:gridCol w:w="2268"/>
        <w:gridCol w:w="2410"/>
      </w:tblGrid>
      <w:tr w:rsidR="00AF2D5C" w:rsidRPr="00DD236F" w14:paraId="79393E53" w14:textId="77777777" w:rsidTr="002C6DA9">
        <w:trPr>
          <w:trHeight w:val="510"/>
        </w:trPr>
        <w:tc>
          <w:tcPr>
            <w:tcW w:w="2694" w:type="dxa"/>
            <w:tcBorders>
              <w:top w:val="nil"/>
              <w:left w:val="nil"/>
              <w:right w:val="single" w:sz="8" w:space="0" w:color="FFFFFF"/>
            </w:tcBorders>
            <w:shd w:val="clear" w:color="000000" w:fill="0077BD"/>
            <w:vAlign w:val="center"/>
            <w:hideMark/>
          </w:tcPr>
          <w:p w14:paraId="732FF8C7" w14:textId="77777777" w:rsidR="00AF2D5C" w:rsidRPr="00DD236F" w:rsidRDefault="00AF2D5C" w:rsidP="002C6DA9">
            <w:pPr>
              <w:rPr>
                <w:rFonts w:cs="Calibri"/>
                <w:b/>
                <w:bCs/>
                <w:color w:val="FFFFFF"/>
                <w:sz w:val="13"/>
                <w:szCs w:val="13"/>
              </w:rPr>
            </w:pPr>
            <w:r w:rsidRPr="00DD236F">
              <w:rPr>
                <w:rFonts w:cs="Calibri"/>
                <w:b/>
                <w:bCs/>
                <w:color w:val="FFFFFF"/>
                <w:sz w:val="13"/>
                <w:szCs w:val="13"/>
              </w:rPr>
              <w:t>31.12.2019</w:t>
            </w:r>
          </w:p>
        </w:tc>
        <w:tc>
          <w:tcPr>
            <w:tcW w:w="2126" w:type="dxa"/>
            <w:tcBorders>
              <w:top w:val="nil"/>
              <w:left w:val="nil"/>
              <w:right w:val="single" w:sz="8" w:space="0" w:color="FFFFFF"/>
            </w:tcBorders>
            <w:shd w:val="clear" w:color="000000" w:fill="0077BD"/>
            <w:vAlign w:val="center"/>
            <w:hideMark/>
          </w:tcPr>
          <w:p w14:paraId="1267E0FC" w14:textId="3FE4A267" w:rsidR="00AF2D5C" w:rsidRPr="00DD236F" w:rsidRDefault="00AF2D5C" w:rsidP="002C6DA9">
            <w:pPr>
              <w:jc w:val="center"/>
              <w:rPr>
                <w:rFonts w:cs="Calibri"/>
                <w:b/>
                <w:bCs/>
                <w:color w:val="FFFFFF"/>
                <w:sz w:val="13"/>
                <w:szCs w:val="13"/>
              </w:rPr>
            </w:pPr>
            <w:r w:rsidRPr="00DD236F">
              <w:rPr>
                <w:rFonts w:cs="Calibri"/>
                <w:b/>
                <w:bCs/>
                <w:color w:val="FFFFFF"/>
                <w:sz w:val="13"/>
                <w:szCs w:val="13"/>
              </w:rPr>
              <w:t>Wartość nomi</w:t>
            </w:r>
            <w:r w:rsidR="002545EE">
              <w:rPr>
                <w:rFonts w:cs="Calibri"/>
                <w:b/>
                <w:bCs/>
                <w:color w:val="FFFFFF"/>
                <w:sz w:val="13"/>
                <w:szCs w:val="13"/>
              </w:rPr>
              <w:t>nalna pozycji zabezpieczających</w:t>
            </w:r>
          </w:p>
        </w:tc>
        <w:tc>
          <w:tcPr>
            <w:tcW w:w="2268" w:type="dxa"/>
            <w:tcBorders>
              <w:top w:val="nil"/>
              <w:left w:val="nil"/>
              <w:right w:val="single" w:sz="8" w:space="0" w:color="FFFFFF"/>
            </w:tcBorders>
            <w:shd w:val="clear" w:color="000000" w:fill="0077BD"/>
            <w:vAlign w:val="center"/>
            <w:hideMark/>
          </w:tcPr>
          <w:p w14:paraId="362ECC3C" w14:textId="77777777" w:rsidR="00AF2D5C" w:rsidRPr="00DD236F" w:rsidRDefault="00AF2D5C" w:rsidP="002C6DA9">
            <w:pPr>
              <w:jc w:val="center"/>
              <w:rPr>
                <w:rFonts w:cs="Calibri"/>
                <w:b/>
                <w:bCs/>
                <w:color w:val="FFFFFF"/>
                <w:sz w:val="13"/>
                <w:szCs w:val="13"/>
              </w:rPr>
            </w:pPr>
            <w:r w:rsidRPr="00DD236F">
              <w:rPr>
                <w:rFonts w:cs="Calibri"/>
                <w:b/>
                <w:bCs/>
                <w:color w:val="FFFFFF"/>
                <w:sz w:val="13"/>
                <w:szCs w:val="13"/>
              </w:rPr>
              <w:t xml:space="preserve">Pozycja w sprawozdaniu </w:t>
            </w:r>
            <w:r>
              <w:rPr>
                <w:rFonts w:cs="Calibri"/>
                <w:b/>
                <w:bCs/>
                <w:color w:val="FFFFFF"/>
                <w:sz w:val="13"/>
                <w:szCs w:val="13"/>
              </w:rPr>
              <w:br/>
            </w:r>
            <w:r w:rsidRPr="00DD236F">
              <w:rPr>
                <w:rFonts w:cs="Calibri"/>
                <w:b/>
                <w:bCs/>
                <w:color w:val="FFFFFF"/>
                <w:sz w:val="13"/>
                <w:szCs w:val="13"/>
              </w:rPr>
              <w:t>z sytuacji finansowej</w:t>
            </w:r>
          </w:p>
        </w:tc>
        <w:tc>
          <w:tcPr>
            <w:tcW w:w="2410" w:type="dxa"/>
            <w:tcBorders>
              <w:top w:val="nil"/>
              <w:left w:val="nil"/>
              <w:right w:val="single" w:sz="8" w:space="0" w:color="FFFFFF"/>
            </w:tcBorders>
            <w:shd w:val="clear" w:color="000000" w:fill="0077BD"/>
            <w:vAlign w:val="center"/>
            <w:hideMark/>
          </w:tcPr>
          <w:p w14:paraId="3C5DE57A" w14:textId="0E77E7FB" w:rsidR="00AF2D5C" w:rsidRPr="00DD236F" w:rsidRDefault="00AF2D5C" w:rsidP="002C6DA9">
            <w:pPr>
              <w:jc w:val="center"/>
              <w:rPr>
                <w:rFonts w:cs="Calibri"/>
                <w:b/>
                <w:bCs/>
                <w:color w:val="FFFFFF"/>
                <w:sz w:val="13"/>
                <w:szCs w:val="13"/>
              </w:rPr>
            </w:pPr>
            <w:r w:rsidRPr="00DD236F">
              <w:rPr>
                <w:b/>
                <w:bCs/>
                <w:color w:val="FFFFFF"/>
                <w:sz w:val="13"/>
                <w:szCs w:val="16"/>
              </w:rPr>
              <w:t xml:space="preserve">Zmiana wartości </w:t>
            </w:r>
            <w:r w:rsidR="002545EE">
              <w:rPr>
                <w:b/>
                <w:bCs/>
                <w:color w:val="FFFFFF"/>
                <w:sz w:val="13"/>
                <w:szCs w:val="16"/>
              </w:rPr>
              <w:t>godziwej pozycji zabezpieczających</w:t>
            </w:r>
            <w:r w:rsidRPr="00DD236F">
              <w:rPr>
                <w:b/>
                <w:bCs/>
                <w:color w:val="FFFFFF"/>
                <w:sz w:val="13"/>
                <w:szCs w:val="16"/>
              </w:rPr>
              <w:t xml:space="preserve"> od desygnacji</w:t>
            </w:r>
          </w:p>
        </w:tc>
      </w:tr>
      <w:tr w:rsidR="00E73D73" w:rsidRPr="00F01216" w14:paraId="005725B7" w14:textId="77777777" w:rsidTr="002C6DA9">
        <w:trPr>
          <w:trHeight w:val="340"/>
        </w:trPr>
        <w:tc>
          <w:tcPr>
            <w:tcW w:w="2694" w:type="dxa"/>
            <w:tcBorders>
              <w:left w:val="nil"/>
              <w:bottom w:val="single" w:sz="4" w:space="0" w:color="0077BD"/>
              <w:right w:val="single" w:sz="8" w:space="0" w:color="0077BD"/>
            </w:tcBorders>
            <w:shd w:val="clear" w:color="auto" w:fill="auto"/>
            <w:vAlign w:val="center"/>
            <w:hideMark/>
          </w:tcPr>
          <w:p w14:paraId="24190185" w14:textId="7BBD2E89" w:rsidR="00E73D73" w:rsidRPr="00F01216" w:rsidRDefault="00E73D73" w:rsidP="002C6DA9">
            <w:pPr>
              <w:rPr>
                <w:rFonts w:cs="Calibri"/>
                <w:bCs/>
                <w:color w:val="000000" w:themeColor="text1"/>
                <w:sz w:val="13"/>
                <w:szCs w:val="13"/>
              </w:rPr>
            </w:pPr>
            <w:r w:rsidRPr="00F01216">
              <w:rPr>
                <w:rFonts w:cs="Calibri"/>
                <w:bCs/>
                <w:color w:val="000000" w:themeColor="text1"/>
                <w:sz w:val="13"/>
                <w:szCs w:val="13"/>
              </w:rPr>
              <w:t>CIRS noga stała EUR</w:t>
            </w:r>
          </w:p>
        </w:tc>
        <w:tc>
          <w:tcPr>
            <w:tcW w:w="2126" w:type="dxa"/>
            <w:tcBorders>
              <w:left w:val="nil"/>
              <w:bottom w:val="single" w:sz="4" w:space="0" w:color="0077BD"/>
              <w:right w:val="single" w:sz="8" w:space="0" w:color="0077BD"/>
            </w:tcBorders>
            <w:shd w:val="clear" w:color="auto" w:fill="auto"/>
            <w:noWrap/>
            <w:vAlign w:val="center"/>
          </w:tcPr>
          <w:p w14:paraId="6E5C1F75" w14:textId="381B6DFB" w:rsidR="00E73D73" w:rsidRPr="00F01216" w:rsidRDefault="00E73D73" w:rsidP="00E73D73">
            <w:pPr>
              <w:jc w:val="right"/>
              <w:rPr>
                <w:rFonts w:cs="Calibri"/>
                <w:color w:val="000000" w:themeColor="text1"/>
                <w:sz w:val="13"/>
                <w:szCs w:val="13"/>
              </w:rPr>
            </w:pPr>
            <w:r w:rsidRPr="00F01216">
              <w:rPr>
                <w:rFonts w:cs="Calibri"/>
                <w:color w:val="000000" w:themeColor="text1"/>
                <w:sz w:val="13"/>
                <w:szCs w:val="13"/>
              </w:rPr>
              <w:t>1 277 550</w:t>
            </w:r>
          </w:p>
        </w:tc>
        <w:tc>
          <w:tcPr>
            <w:tcW w:w="2268" w:type="dxa"/>
            <w:vMerge w:val="restart"/>
            <w:tcBorders>
              <w:left w:val="nil"/>
              <w:right w:val="single" w:sz="8" w:space="0" w:color="0077BD"/>
            </w:tcBorders>
            <w:shd w:val="clear" w:color="auto" w:fill="auto"/>
            <w:noWrap/>
            <w:vAlign w:val="center"/>
          </w:tcPr>
          <w:p w14:paraId="5F2FCB08" w14:textId="33AA43A1" w:rsidR="00E73D73" w:rsidRPr="00F01216" w:rsidRDefault="00E73D73" w:rsidP="002C6DA9">
            <w:pPr>
              <w:rPr>
                <w:rFonts w:cs="Calibri"/>
                <w:color w:val="000000" w:themeColor="text1"/>
                <w:sz w:val="13"/>
                <w:szCs w:val="13"/>
              </w:rPr>
            </w:pPr>
            <w:r w:rsidRPr="00F01216">
              <w:rPr>
                <w:rFonts w:cs="Calibri"/>
                <w:color w:val="000000" w:themeColor="text1"/>
                <w:sz w:val="13"/>
                <w:szCs w:val="13"/>
              </w:rPr>
              <w:t>Inne pozycje kapitału własnego</w:t>
            </w:r>
          </w:p>
        </w:tc>
        <w:tc>
          <w:tcPr>
            <w:tcW w:w="2410" w:type="dxa"/>
            <w:vMerge w:val="restart"/>
            <w:tcBorders>
              <w:left w:val="nil"/>
            </w:tcBorders>
            <w:shd w:val="clear" w:color="auto" w:fill="auto"/>
            <w:noWrap/>
            <w:vAlign w:val="center"/>
          </w:tcPr>
          <w:p w14:paraId="478CD1BD" w14:textId="061F089F" w:rsidR="00E73D73" w:rsidRPr="00F01216" w:rsidRDefault="00E73D73" w:rsidP="00E73D73">
            <w:pPr>
              <w:jc w:val="right"/>
              <w:rPr>
                <w:rFonts w:cs="Calibri"/>
                <w:color w:val="000000" w:themeColor="text1"/>
                <w:sz w:val="13"/>
                <w:szCs w:val="13"/>
              </w:rPr>
            </w:pPr>
            <w:r w:rsidRPr="00F01216">
              <w:rPr>
                <w:rFonts w:cs="Calibri"/>
                <w:color w:val="000000" w:themeColor="text1"/>
                <w:sz w:val="13"/>
                <w:szCs w:val="13"/>
              </w:rPr>
              <w:t>(5 094)</w:t>
            </w:r>
          </w:p>
        </w:tc>
      </w:tr>
      <w:tr w:rsidR="00E73D73" w:rsidRPr="00F01216" w14:paraId="47A49544" w14:textId="77777777" w:rsidTr="002C6DA9">
        <w:trPr>
          <w:trHeight w:val="397"/>
        </w:trPr>
        <w:tc>
          <w:tcPr>
            <w:tcW w:w="2694" w:type="dxa"/>
            <w:tcBorders>
              <w:top w:val="single" w:sz="4" w:space="0" w:color="0077BD"/>
              <w:left w:val="nil"/>
              <w:bottom w:val="single" w:sz="6" w:space="0" w:color="0077BD"/>
              <w:right w:val="single" w:sz="8" w:space="0" w:color="0077BD"/>
            </w:tcBorders>
            <w:shd w:val="clear" w:color="auto" w:fill="auto"/>
            <w:vAlign w:val="center"/>
            <w:hideMark/>
          </w:tcPr>
          <w:p w14:paraId="2A4EA018" w14:textId="57DE5148" w:rsidR="00E73D73" w:rsidRPr="00F01216" w:rsidRDefault="00E73D73" w:rsidP="002C6DA9">
            <w:pPr>
              <w:rPr>
                <w:rFonts w:cs="Calibri"/>
                <w:bCs/>
                <w:color w:val="000000" w:themeColor="text1"/>
                <w:sz w:val="13"/>
                <w:szCs w:val="13"/>
              </w:rPr>
            </w:pPr>
            <w:r w:rsidRPr="00F01216">
              <w:rPr>
                <w:rFonts w:cs="Calibri"/>
                <w:bCs/>
                <w:color w:val="000000" w:themeColor="text1"/>
                <w:sz w:val="13"/>
                <w:szCs w:val="13"/>
              </w:rPr>
              <w:t>CIRS noga zmienna PLN</w:t>
            </w:r>
          </w:p>
        </w:tc>
        <w:tc>
          <w:tcPr>
            <w:tcW w:w="2126" w:type="dxa"/>
            <w:tcBorders>
              <w:top w:val="single" w:sz="4" w:space="0" w:color="0077BD"/>
              <w:left w:val="nil"/>
              <w:bottom w:val="single" w:sz="6" w:space="0" w:color="0077BD"/>
              <w:right w:val="single" w:sz="8" w:space="0" w:color="0077BD"/>
            </w:tcBorders>
            <w:shd w:val="clear" w:color="auto" w:fill="auto"/>
            <w:noWrap/>
            <w:vAlign w:val="center"/>
          </w:tcPr>
          <w:p w14:paraId="25607E8E" w14:textId="30FBB0B7" w:rsidR="00E73D73" w:rsidRPr="00F01216" w:rsidRDefault="00E73D73" w:rsidP="00E73D73">
            <w:pPr>
              <w:jc w:val="right"/>
              <w:rPr>
                <w:rFonts w:cs="Calibri"/>
                <w:color w:val="000000" w:themeColor="text1"/>
                <w:sz w:val="13"/>
                <w:szCs w:val="13"/>
              </w:rPr>
            </w:pPr>
            <w:r w:rsidRPr="00F01216">
              <w:rPr>
                <w:rFonts w:cs="Calibri"/>
                <w:color w:val="000000" w:themeColor="text1"/>
                <w:sz w:val="13"/>
                <w:szCs w:val="13"/>
              </w:rPr>
              <w:t>1 278 930</w:t>
            </w:r>
          </w:p>
        </w:tc>
        <w:tc>
          <w:tcPr>
            <w:tcW w:w="2268" w:type="dxa"/>
            <w:vMerge/>
            <w:tcBorders>
              <w:left w:val="nil"/>
              <w:bottom w:val="single" w:sz="6" w:space="0" w:color="0077BD"/>
              <w:right w:val="single" w:sz="8" w:space="0" w:color="0077BD"/>
            </w:tcBorders>
            <w:shd w:val="clear" w:color="auto" w:fill="auto"/>
            <w:noWrap/>
            <w:vAlign w:val="center"/>
          </w:tcPr>
          <w:p w14:paraId="01E3DA8B" w14:textId="54DB4567" w:rsidR="00E73D73" w:rsidRPr="00F01216" w:rsidRDefault="00E73D73" w:rsidP="002C6DA9">
            <w:pPr>
              <w:rPr>
                <w:rFonts w:cs="Calibri"/>
                <w:color w:val="000000" w:themeColor="text1"/>
                <w:sz w:val="13"/>
                <w:szCs w:val="13"/>
              </w:rPr>
            </w:pPr>
          </w:p>
        </w:tc>
        <w:tc>
          <w:tcPr>
            <w:tcW w:w="2410" w:type="dxa"/>
            <w:vMerge/>
            <w:tcBorders>
              <w:left w:val="nil"/>
              <w:bottom w:val="single" w:sz="6" w:space="0" w:color="0077BD"/>
            </w:tcBorders>
            <w:shd w:val="clear" w:color="auto" w:fill="FFFF00"/>
            <w:noWrap/>
            <w:vAlign w:val="center"/>
          </w:tcPr>
          <w:p w14:paraId="1D43A884" w14:textId="77777777" w:rsidR="00E73D73" w:rsidRPr="00F01216" w:rsidRDefault="00E73D73" w:rsidP="002C6DA9">
            <w:pPr>
              <w:jc w:val="right"/>
              <w:rPr>
                <w:rFonts w:cs="Calibri"/>
                <w:color w:val="000000" w:themeColor="text1"/>
                <w:sz w:val="13"/>
                <w:szCs w:val="13"/>
              </w:rPr>
            </w:pPr>
          </w:p>
        </w:tc>
      </w:tr>
    </w:tbl>
    <w:p w14:paraId="581F8C4D" w14:textId="77777777" w:rsidR="00E73D73" w:rsidRPr="00F01216" w:rsidRDefault="00E73D73">
      <w:pPr>
        <w:rPr>
          <w:rFonts w:cs="Tahoma"/>
          <w:b/>
          <w:bCs/>
          <w:color w:val="000000" w:themeColor="text1"/>
          <w:sz w:val="18"/>
          <w:szCs w:val="18"/>
          <w:lang w:eastAsia="en-US"/>
        </w:rPr>
      </w:pPr>
      <w:r w:rsidRPr="00F01216">
        <w:rPr>
          <w:rFonts w:cs="Tahoma"/>
          <w:b/>
          <w:bCs/>
          <w:color w:val="000000" w:themeColor="text1"/>
          <w:sz w:val="18"/>
          <w:szCs w:val="18"/>
          <w:lang w:eastAsia="en-US"/>
        </w:rPr>
        <w:br w:type="page"/>
      </w:r>
    </w:p>
    <w:p w14:paraId="3160713D" w14:textId="77777777" w:rsidR="00F32086" w:rsidRPr="00F32086" w:rsidRDefault="00F32086" w:rsidP="00F32086">
      <w:pPr>
        <w:tabs>
          <w:tab w:val="left" w:pos="0"/>
        </w:tabs>
        <w:suppressAutoHyphens/>
        <w:spacing w:before="120" w:after="120"/>
        <w:jc w:val="both"/>
        <w:rPr>
          <w:rFonts w:cs="Tahoma"/>
          <w:b/>
          <w:bCs/>
          <w:color w:val="000000"/>
          <w:sz w:val="18"/>
          <w:szCs w:val="18"/>
          <w:lang w:eastAsia="en-US"/>
        </w:rPr>
      </w:pPr>
      <w:r w:rsidRPr="00F32086">
        <w:rPr>
          <w:rFonts w:cs="Tahoma"/>
          <w:b/>
          <w:bCs/>
          <w:color w:val="000000"/>
          <w:sz w:val="18"/>
          <w:szCs w:val="18"/>
          <w:lang w:eastAsia="en-US"/>
        </w:rPr>
        <w:lastRenderedPageBreak/>
        <w:t>Wartości nominalne instrumentów pochodnych zabezpieczających - zabezpieczenia przepływów pieniężnych</w:t>
      </w:r>
    </w:p>
    <w:tbl>
      <w:tblPr>
        <w:tblW w:w="0" w:type="auto"/>
        <w:tblLayout w:type="fixed"/>
        <w:tblCellMar>
          <w:left w:w="28" w:type="dxa"/>
          <w:right w:w="28" w:type="dxa"/>
        </w:tblCellMar>
        <w:tblLook w:val="04A0" w:firstRow="1" w:lastRow="0" w:firstColumn="1" w:lastColumn="0" w:noHBand="0" w:noVBand="1"/>
      </w:tblPr>
      <w:tblGrid>
        <w:gridCol w:w="2722"/>
        <w:gridCol w:w="1134"/>
        <w:gridCol w:w="1134"/>
        <w:gridCol w:w="1134"/>
        <w:gridCol w:w="1134"/>
        <w:gridCol w:w="1134"/>
        <w:gridCol w:w="1134"/>
      </w:tblGrid>
      <w:tr w:rsidR="00CA3961" w:rsidRPr="00CA3961" w14:paraId="256EC2E1" w14:textId="77777777" w:rsidTr="00CA3961">
        <w:trPr>
          <w:trHeight w:val="408"/>
        </w:trPr>
        <w:tc>
          <w:tcPr>
            <w:tcW w:w="2722" w:type="dxa"/>
            <w:tcBorders>
              <w:top w:val="nil"/>
              <w:left w:val="nil"/>
              <w:bottom w:val="nil"/>
              <w:right w:val="single" w:sz="8" w:space="0" w:color="FFFFFF"/>
            </w:tcBorders>
            <w:shd w:val="clear" w:color="000000" w:fill="0077BD"/>
            <w:vAlign w:val="center"/>
            <w:hideMark/>
          </w:tcPr>
          <w:p w14:paraId="333813AB" w14:textId="77777777" w:rsidR="00CA3961" w:rsidRPr="00CA3961" w:rsidRDefault="00CA3961" w:rsidP="00CA3961">
            <w:pPr>
              <w:rPr>
                <w:rFonts w:cs="Calibri"/>
                <w:b/>
                <w:bCs/>
                <w:color w:val="FFFFFF"/>
                <w:sz w:val="13"/>
                <w:szCs w:val="13"/>
              </w:rPr>
            </w:pPr>
            <w:r w:rsidRPr="00CA3961">
              <w:rPr>
                <w:rFonts w:cs="Calibri"/>
                <w:b/>
                <w:bCs/>
                <w:color w:val="FFFFFF"/>
                <w:sz w:val="13"/>
                <w:szCs w:val="13"/>
              </w:rPr>
              <w:t>31.12.2019</w:t>
            </w:r>
          </w:p>
        </w:tc>
        <w:tc>
          <w:tcPr>
            <w:tcW w:w="1134" w:type="dxa"/>
            <w:tcBorders>
              <w:top w:val="nil"/>
              <w:left w:val="nil"/>
              <w:bottom w:val="nil"/>
              <w:right w:val="single" w:sz="8" w:space="0" w:color="FFFFFF"/>
            </w:tcBorders>
            <w:shd w:val="clear" w:color="000000" w:fill="0077BD"/>
            <w:vAlign w:val="center"/>
            <w:hideMark/>
          </w:tcPr>
          <w:p w14:paraId="09574AEF" w14:textId="77777777" w:rsidR="00CA3961" w:rsidRPr="00CA3961" w:rsidRDefault="00CA3961" w:rsidP="00CA3961">
            <w:pPr>
              <w:jc w:val="center"/>
              <w:rPr>
                <w:rFonts w:cs="Calibri"/>
                <w:b/>
                <w:bCs/>
                <w:color w:val="FFFFFF"/>
                <w:sz w:val="13"/>
                <w:szCs w:val="13"/>
              </w:rPr>
            </w:pPr>
            <w:r w:rsidRPr="00CA3961">
              <w:rPr>
                <w:rFonts w:cs="Calibri"/>
                <w:b/>
                <w:bCs/>
                <w:color w:val="FFFFFF"/>
                <w:sz w:val="13"/>
                <w:szCs w:val="13"/>
              </w:rPr>
              <w:t>do 1 miesiąca</w:t>
            </w:r>
          </w:p>
        </w:tc>
        <w:tc>
          <w:tcPr>
            <w:tcW w:w="1134" w:type="dxa"/>
            <w:tcBorders>
              <w:top w:val="nil"/>
              <w:left w:val="nil"/>
              <w:bottom w:val="nil"/>
              <w:right w:val="single" w:sz="8" w:space="0" w:color="FFFFFF"/>
            </w:tcBorders>
            <w:shd w:val="clear" w:color="000000" w:fill="0077BD"/>
            <w:vAlign w:val="center"/>
            <w:hideMark/>
          </w:tcPr>
          <w:p w14:paraId="74E2750F" w14:textId="77777777" w:rsidR="00CA3961" w:rsidRPr="00CA3961" w:rsidRDefault="00CA3961" w:rsidP="00CA3961">
            <w:pPr>
              <w:jc w:val="center"/>
              <w:rPr>
                <w:rFonts w:cs="Calibri"/>
                <w:b/>
                <w:bCs/>
                <w:color w:val="FFFFFF"/>
                <w:sz w:val="13"/>
                <w:szCs w:val="13"/>
              </w:rPr>
            </w:pPr>
            <w:r w:rsidRPr="00CA3961">
              <w:rPr>
                <w:rFonts w:cs="Calibri"/>
                <w:b/>
                <w:bCs/>
                <w:color w:val="FFFFFF"/>
                <w:sz w:val="13"/>
                <w:szCs w:val="13"/>
              </w:rPr>
              <w:t>od 1 do 3 miesięcy</w:t>
            </w:r>
          </w:p>
        </w:tc>
        <w:tc>
          <w:tcPr>
            <w:tcW w:w="1134" w:type="dxa"/>
            <w:tcBorders>
              <w:top w:val="nil"/>
              <w:left w:val="nil"/>
              <w:bottom w:val="nil"/>
              <w:right w:val="single" w:sz="8" w:space="0" w:color="FFFFFF"/>
            </w:tcBorders>
            <w:shd w:val="clear" w:color="000000" w:fill="0077BD"/>
            <w:vAlign w:val="center"/>
            <w:hideMark/>
          </w:tcPr>
          <w:p w14:paraId="2EB1B02B" w14:textId="77777777" w:rsidR="00CA3961" w:rsidRPr="00CA3961" w:rsidRDefault="00CA3961" w:rsidP="00CA3961">
            <w:pPr>
              <w:jc w:val="center"/>
              <w:rPr>
                <w:rFonts w:cs="Calibri"/>
                <w:b/>
                <w:bCs/>
                <w:color w:val="FFFFFF"/>
                <w:sz w:val="13"/>
                <w:szCs w:val="13"/>
              </w:rPr>
            </w:pPr>
            <w:r w:rsidRPr="00CA3961">
              <w:rPr>
                <w:rFonts w:cs="Calibri"/>
                <w:b/>
                <w:bCs/>
                <w:color w:val="FFFFFF"/>
                <w:sz w:val="13"/>
                <w:szCs w:val="13"/>
              </w:rPr>
              <w:t xml:space="preserve">od 3 miesięcy </w:t>
            </w:r>
            <w:r w:rsidRPr="00CA3961">
              <w:rPr>
                <w:rFonts w:cs="Calibri"/>
                <w:b/>
                <w:bCs/>
                <w:color w:val="FFFFFF"/>
                <w:sz w:val="13"/>
                <w:szCs w:val="13"/>
              </w:rPr>
              <w:br/>
              <w:t>do 1 roku</w:t>
            </w:r>
          </w:p>
        </w:tc>
        <w:tc>
          <w:tcPr>
            <w:tcW w:w="1134" w:type="dxa"/>
            <w:tcBorders>
              <w:top w:val="nil"/>
              <w:left w:val="nil"/>
              <w:bottom w:val="nil"/>
              <w:right w:val="single" w:sz="8" w:space="0" w:color="FFFFFF"/>
            </w:tcBorders>
            <w:shd w:val="clear" w:color="000000" w:fill="0077BD"/>
            <w:vAlign w:val="center"/>
            <w:hideMark/>
          </w:tcPr>
          <w:p w14:paraId="71C034DD" w14:textId="77777777" w:rsidR="00CA3961" w:rsidRPr="00CA3961" w:rsidRDefault="00CA3961" w:rsidP="00CA3961">
            <w:pPr>
              <w:jc w:val="center"/>
              <w:rPr>
                <w:rFonts w:cs="Calibri"/>
                <w:b/>
                <w:bCs/>
                <w:color w:val="FFFFFF"/>
                <w:sz w:val="13"/>
                <w:szCs w:val="13"/>
              </w:rPr>
            </w:pPr>
            <w:r w:rsidRPr="00CA3961">
              <w:rPr>
                <w:rFonts w:cs="Calibri"/>
                <w:b/>
                <w:bCs/>
                <w:color w:val="FFFFFF"/>
                <w:sz w:val="13"/>
                <w:szCs w:val="13"/>
              </w:rPr>
              <w:t>od 1 roku do 5 lat</w:t>
            </w:r>
          </w:p>
        </w:tc>
        <w:tc>
          <w:tcPr>
            <w:tcW w:w="1134" w:type="dxa"/>
            <w:tcBorders>
              <w:top w:val="nil"/>
              <w:left w:val="nil"/>
              <w:bottom w:val="nil"/>
              <w:right w:val="single" w:sz="8" w:space="0" w:color="FFFFFF"/>
            </w:tcBorders>
            <w:shd w:val="clear" w:color="000000" w:fill="0077BD"/>
            <w:vAlign w:val="center"/>
            <w:hideMark/>
          </w:tcPr>
          <w:p w14:paraId="75B8FAEB" w14:textId="77777777" w:rsidR="00CA3961" w:rsidRPr="00CA3961" w:rsidRDefault="00CA3961" w:rsidP="00CA3961">
            <w:pPr>
              <w:jc w:val="center"/>
              <w:rPr>
                <w:rFonts w:cs="Calibri"/>
                <w:b/>
                <w:bCs/>
                <w:color w:val="FFFFFF"/>
                <w:sz w:val="13"/>
                <w:szCs w:val="13"/>
              </w:rPr>
            </w:pPr>
            <w:r w:rsidRPr="00CA3961">
              <w:rPr>
                <w:rFonts w:cs="Calibri"/>
                <w:b/>
                <w:bCs/>
                <w:color w:val="FFFFFF"/>
                <w:sz w:val="13"/>
                <w:szCs w:val="13"/>
              </w:rPr>
              <w:t>powyżej 5 lat</w:t>
            </w:r>
          </w:p>
        </w:tc>
        <w:tc>
          <w:tcPr>
            <w:tcW w:w="1134" w:type="dxa"/>
            <w:tcBorders>
              <w:top w:val="nil"/>
              <w:left w:val="nil"/>
              <w:bottom w:val="nil"/>
              <w:right w:val="nil"/>
            </w:tcBorders>
            <w:shd w:val="clear" w:color="000000" w:fill="0077BD"/>
            <w:vAlign w:val="center"/>
            <w:hideMark/>
          </w:tcPr>
          <w:p w14:paraId="547EF44B" w14:textId="77777777" w:rsidR="00CA3961" w:rsidRPr="00CA3961" w:rsidRDefault="00CA3961" w:rsidP="00CA3961">
            <w:pPr>
              <w:jc w:val="right"/>
              <w:rPr>
                <w:rFonts w:cs="Calibri"/>
                <w:b/>
                <w:bCs/>
                <w:color w:val="FFFFFF"/>
                <w:sz w:val="13"/>
                <w:szCs w:val="13"/>
              </w:rPr>
            </w:pPr>
            <w:r w:rsidRPr="00CA3961">
              <w:rPr>
                <w:rFonts w:cs="Calibri"/>
                <w:b/>
                <w:bCs/>
                <w:color w:val="FFFFFF"/>
                <w:sz w:val="13"/>
                <w:szCs w:val="13"/>
              </w:rPr>
              <w:t>Razem</w:t>
            </w:r>
          </w:p>
        </w:tc>
      </w:tr>
      <w:tr w:rsidR="00575FD2" w:rsidRPr="00BB7C9E" w14:paraId="49E9B3C7" w14:textId="77777777" w:rsidTr="00CA3961">
        <w:trPr>
          <w:trHeight w:val="300"/>
        </w:trPr>
        <w:tc>
          <w:tcPr>
            <w:tcW w:w="9526" w:type="dxa"/>
            <w:gridSpan w:val="7"/>
            <w:tcBorders>
              <w:top w:val="nil"/>
              <w:left w:val="nil"/>
              <w:bottom w:val="single" w:sz="8" w:space="0" w:color="2E74B5"/>
              <w:right w:val="nil"/>
            </w:tcBorders>
            <w:shd w:val="clear" w:color="000000" w:fill="FFFFFF"/>
            <w:noWrap/>
            <w:vAlign w:val="center"/>
            <w:hideMark/>
          </w:tcPr>
          <w:p w14:paraId="2536FF37" w14:textId="77777777" w:rsidR="00CA3961" w:rsidRPr="00BB7C9E" w:rsidRDefault="00CA3961" w:rsidP="00CA3961">
            <w:pPr>
              <w:jc w:val="center"/>
              <w:rPr>
                <w:rFonts w:cs="Calibri"/>
                <w:b/>
                <w:bCs/>
                <w:color w:val="000000" w:themeColor="text1"/>
                <w:sz w:val="13"/>
                <w:szCs w:val="13"/>
              </w:rPr>
            </w:pPr>
            <w:r w:rsidRPr="00BB7C9E">
              <w:rPr>
                <w:rFonts w:cs="Calibri"/>
                <w:b/>
                <w:bCs/>
                <w:color w:val="000000" w:themeColor="text1"/>
                <w:sz w:val="13"/>
                <w:szCs w:val="13"/>
              </w:rPr>
              <w:t>RYZYKO STOPY PROCENTOWEJ</w:t>
            </w:r>
          </w:p>
        </w:tc>
      </w:tr>
      <w:tr w:rsidR="00575FD2" w:rsidRPr="00BB7C9E" w14:paraId="6C186408" w14:textId="77777777" w:rsidTr="00CA3961">
        <w:trPr>
          <w:trHeight w:val="397"/>
        </w:trPr>
        <w:tc>
          <w:tcPr>
            <w:tcW w:w="9526" w:type="dxa"/>
            <w:gridSpan w:val="7"/>
            <w:tcBorders>
              <w:top w:val="single" w:sz="8" w:space="0" w:color="2E74B5"/>
              <w:left w:val="nil"/>
              <w:bottom w:val="single" w:sz="8" w:space="0" w:color="2E74B5"/>
              <w:right w:val="nil"/>
            </w:tcBorders>
            <w:shd w:val="clear" w:color="000000" w:fill="FFFFFF"/>
            <w:vAlign w:val="center"/>
            <w:hideMark/>
          </w:tcPr>
          <w:p w14:paraId="25A2A81F" w14:textId="77777777" w:rsidR="00CA3961" w:rsidRPr="00BB7C9E" w:rsidRDefault="00CA3961" w:rsidP="00CA3961">
            <w:pPr>
              <w:jc w:val="center"/>
              <w:rPr>
                <w:rFonts w:cs="Calibri"/>
                <w:b/>
                <w:bCs/>
                <w:color w:val="000000" w:themeColor="text1"/>
                <w:sz w:val="13"/>
                <w:szCs w:val="13"/>
              </w:rPr>
            </w:pPr>
            <w:r w:rsidRPr="00BB7C9E">
              <w:rPr>
                <w:rFonts w:cs="Calibri"/>
                <w:b/>
                <w:bCs/>
                <w:color w:val="000000" w:themeColor="text1"/>
                <w:sz w:val="13"/>
                <w:szCs w:val="13"/>
              </w:rPr>
              <w:t>Transakcje zamiany stóp procentowych (IRS) zabezpieczające przepływy pieniężne wynikające z udzielonych kredytów o zmiennym oprocentowaniu denominowanych w PLN</w:t>
            </w:r>
          </w:p>
        </w:tc>
      </w:tr>
      <w:tr w:rsidR="00575FD2" w:rsidRPr="00BB7C9E" w14:paraId="6E3B559B" w14:textId="77777777" w:rsidTr="00F32086">
        <w:trPr>
          <w:trHeight w:val="288"/>
        </w:trPr>
        <w:tc>
          <w:tcPr>
            <w:tcW w:w="2722" w:type="dxa"/>
            <w:tcBorders>
              <w:top w:val="single" w:sz="4" w:space="0" w:color="0077BD"/>
              <w:left w:val="nil"/>
              <w:bottom w:val="single" w:sz="4" w:space="0" w:color="0077BD"/>
              <w:right w:val="single" w:sz="8" w:space="0" w:color="0077BD"/>
            </w:tcBorders>
            <w:shd w:val="clear" w:color="auto" w:fill="auto"/>
            <w:vAlign w:val="center"/>
            <w:hideMark/>
          </w:tcPr>
          <w:p w14:paraId="7EC27EA3" w14:textId="77777777" w:rsidR="00CA3961" w:rsidRPr="00BB7C9E" w:rsidRDefault="00CA3961" w:rsidP="00CA3961">
            <w:pPr>
              <w:rPr>
                <w:rFonts w:cs="Calibri"/>
                <w:b/>
                <w:bCs/>
                <w:color w:val="000000" w:themeColor="text1"/>
                <w:sz w:val="13"/>
                <w:szCs w:val="13"/>
              </w:rPr>
            </w:pPr>
            <w:r w:rsidRPr="00BB7C9E">
              <w:rPr>
                <w:rFonts w:cs="Calibri"/>
                <w:b/>
                <w:bCs/>
                <w:color w:val="000000" w:themeColor="text1"/>
                <w:sz w:val="13"/>
                <w:szCs w:val="13"/>
              </w:rPr>
              <w:t>Wartość nominalna (tys. PLN)</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6813D9C" w14:textId="6E4793FA"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7255008" w14:textId="1F8D2B39"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5D7C0BE3" w14:textId="553ADF43"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AE0DA27" w14:textId="76AEE7F0"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1F1E1071" w14:textId="7F432893"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1 278 930</w:t>
            </w:r>
          </w:p>
        </w:tc>
        <w:tc>
          <w:tcPr>
            <w:tcW w:w="1134" w:type="dxa"/>
            <w:tcBorders>
              <w:top w:val="single" w:sz="4" w:space="0" w:color="0077BD"/>
              <w:left w:val="nil"/>
              <w:bottom w:val="single" w:sz="4" w:space="0" w:color="0077BD"/>
              <w:right w:val="nil"/>
            </w:tcBorders>
            <w:shd w:val="clear" w:color="auto" w:fill="auto"/>
            <w:noWrap/>
            <w:vAlign w:val="center"/>
            <w:hideMark/>
          </w:tcPr>
          <w:p w14:paraId="5F6985B5" w14:textId="0975325C" w:rsidR="00CA3961" w:rsidRPr="00CD7CBB" w:rsidRDefault="00CD7CBB" w:rsidP="00CA3961">
            <w:pPr>
              <w:jc w:val="right"/>
              <w:rPr>
                <w:rFonts w:cs="Calibri"/>
                <w:b/>
                <w:bCs/>
                <w:color w:val="000000" w:themeColor="text1"/>
                <w:sz w:val="13"/>
                <w:szCs w:val="13"/>
              </w:rPr>
            </w:pPr>
            <w:r>
              <w:rPr>
                <w:rFonts w:cs="Calibri"/>
                <w:b/>
                <w:bCs/>
                <w:color w:val="000000" w:themeColor="text1"/>
                <w:sz w:val="13"/>
                <w:szCs w:val="13"/>
              </w:rPr>
              <w:t>1 278 930</w:t>
            </w:r>
          </w:p>
        </w:tc>
      </w:tr>
      <w:tr w:rsidR="00575FD2" w:rsidRPr="00BB7C9E" w14:paraId="5FEFE55C" w14:textId="77777777" w:rsidTr="00F32086">
        <w:trPr>
          <w:trHeight w:val="288"/>
        </w:trPr>
        <w:tc>
          <w:tcPr>
            <w:tcW w:w="2722" w:type="dxa"/>
            <w:tcBorders>
              <w:top w:val="nil"/>
              <w:left w:val="nil"/>
              <w:bottom w:val="single" w:sz="4" w:space="0" w:color="0077BD"/>
              <w:right w:val="single" w:sz="8" w:space="0" w:color="0077BD"/>
            </w:tcBorders>
            <w:shd w:val="clear" w:color="auto" w:fill="auto"/>
            <w:vAlign w:val="center"/>
            <w:hideMark/>
          </w:tcPr>
          <w:p w14:paraId="755007E0" w14:textId="77777777" w:rsidR="00CA3961" w:rsidRPr="00BB7C9E" w:rsidRDefault="00CA3961" w:rsidP="00CA3961">
            <w:pPr>
              <w:rPr>
                <w:rFonts w:cs="Calibri"/>
                <w:b/>
                <w:bCs/>
                <w:color w:val="000000" w:themeColor="text1"/>
                <w:sz w:val="13"/>
                <w:szCs w:val="13"/>
              </w:rPr>
            </w:pPr>
            <w:r w:rsidRPr="00BB7C9E">
              <w:rPr>
                <w:rFonts w:cs="Calibri"/>
                <w:b/>
                <w:bCs/>
                <w:color w:val="000000" w:themeColor="text1"/>
                <w:sz w:val="13"/>
                <w:szCs w:val="13"/>
              </w:rPr>
              <w:t>Średnie oprocentowanie nogi stałej</w:t>
            </w:r>
          </w:p>
        </w:tc>
        <w:tc>
          <w:tcPr>
            <w:tcW w:w="1134" w:type="dxa"/>
            <w:tcBorders>
              <w:top w:val="nil"/>
              <w:left w:val="nil"/>
              <w:bottom w:val="single" w:sz="4" w:space="0" w:color="0077BD"/>
              <w:right w:val="single" w:sz="8" w:space="0" w:color="0077BD"/>
            </w:tcBorders>
            <w:shd w:val="clear" w:color="auto" w:fill="auto"/>
            <w:noWrap/>
            <w:vAlign w:val="center"/>
          </w:tcPr>
          <w:p w14:paraId="1A4B2439" w14:textId="2DB7EF11" w:rsidR="00CA3961" w:rsidRPr="003E4EFD" w:rsidRDefault="002C6DA9"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4FB95E52" w14:textId="5533EE1E" w:rsidR="00CA3961" w:rsidRPr="003E4EFD" w:rsidRDefault="002C6DA9"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156451CC" w14:textId="32B2D5B1" w:rsidR="00CA3961" w:rsidRPr="003E4EFD" w:rsidRDefault="002C6DA9"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44A2C910" w14:textId="608B6A3D" w:rsidR="00CA3961" w:rsidRPr="003E4EFD" w:rsidRDefault="002C6DA9" w:rsidP="00CA3961">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34084F5E" w14:textId="60950F11" w:rsidR="00CA3961" w:rsidRPr="003E4EFD" w:rsidRDefault="00CD7CBB" w:rsidP="00CA3961">
            <w:pPr>
              <w:jc w:val="right"/>
              <w:rPr>
                <w:rFonts w:cs="Calibri"/>
                <w:color w:val="000000" w:themeColor="text1"/>
                <w:sz w:val="13"/>
                <w:szCs w:val="13"/>
              </w:rPr>
            </w:pPr>
            <w:r w:rsidRPr="003E4EFD">
              <w:rPr>
                <w:rFonts w:cs="Calibri"/>
                <w:color w:val="000000" w:themeColor="text1"/>
                <w:sz w:val="13"/>
                <w:szCs w:val="13"/>
              </w:rPr>
              <w:t>2,4199%</w:t>
            </w:r>
          </w:p>
        </w:tc>
        <w:tc>
          <w:tcPr>
            <w:tcW w:w="1134" w:type="dxa"/>
            <w:tcBorders>
              <w:top w:val="nil"/>
              <w:left w:val="nil"/>
              <w:bottom w:val="single" w:sz="4" w:space="0" w:color="0077BD"/>
              <w:right w:val="nil"/>
            </w:tcBorders>
            <w:shd w:val="clear" w:color="auto" w:fill="auto"/>
            <w:noWrap/>
            <w:vAlign w:val="center"/>
            <w:hideMark/>
          </w:tcPr>
          <w:p w14:paraId="3DD999D9" w14:textId="72E24794" w:rsidR="00CA3961" w:rsidRPr="00CD7CBB" w:rsidRDefault="00CD7CBB" w:rsidP="00CA3961">
            <w:pPr>
              <w:jc w:val="right"/>
              <w:rPr>
                <w:rFonts w:cs="Calibri"/>
                <w:b/>
                <w:bCs/>
                <w:color w:val="000000" w:themeColor="text1"/>
                <w:sz w:val="13"/>
                <w:szCs w:val="13"/>
              </w:rPr>
            </w:pPr>
            <w:r>
              <w:rPr>
                <w:rFonts w:cs="Calibri"/>
                <w:b/>
                <w:bCs/>
                <w:color w:val="000000" w:themeColor="text1"/>
                <w:sz w:val="13"/>
                <w:szCs w:val="13"/>
              </w:rPr>
              <w:t>2,4199%</w:t>
            </w:r>
          </w:p>
        </w:tc>
      </w:tr>
      <w:tr w:rsidR="0035766C" w:rsidRPr="00BB7C9E" w14:paraId="4C17D010" w14:textId="77777777" w:rsidTr="0035766C">
        <w:trPr>
          <w:trHeight w:val="300"/>
        </w:trPr>
        <w:tc>
          <w:tcPr>
            <w:tcW w:w="9526" w:type="dxa"/>
            <w:gridSpan w:val="7"/>
            <w:tcBorders>
              <w:top w:val="nil"/>
              <w:left w:val="nil"/>
              <w:bottom w:val="single" w:sz="8" w:space="0" w:color="2E74B5"/>
              <w:right w:val="nil"/>
            </w:tcBorders>
            <w:shd w:val="clear" w:color="000000" w:fill="FFFFFF"/>
            <w:noWrap/>
            <w:vAlign w:val="center"/>
            <w:hideMark/>
          </w:tcPr>
          <w:p w14:paraId="59AFE602" w14:textId="1812CB06" w:rsidR="0035766C" w:rsidRPr="00BB7C9E" w:rsidRDefault="0035766C" w:rsidP="0035766C">
            <w:pPr>
              <w:jc w:val="center"/>
              <w:rPr>
                <w:rFonts w:cs="Calibri"/>
                <w:b/>
                <w:bCs/>
                <w:color w:val="000000" w:themeColor="text1"/>
                <w:sz w:val="13"/>
                <w:szCs w:val="13"/>
              </w:rPr>
            </w:pPr>
            <w:r w:rsidRPr="00BB7C9E">
              <w:rPr>
                <w:rFonts w:cs="Calibri"/>
                <w:b/>
                <w:bCs/>
                <w:color w:val="000000" w:themeColor="text1"/>
                <w:sz w:val="13"/>
                <w:szCs w:val="13"/>
              </w:rPr>
              <w:t xml:space="preserve">RYZYKO </w:t>
            </w:r>
            <w:r>
              <w:rPr>
                <w:rFonts w:cs="Calibri"/>
                <w:b/>
                <w:bCs/>
                <w:color w:val="000000" w:themeColor="text1"/>
                <w:sz w:val="13"/>
                <w:szCs w:val="13"/>
              </w:rPr>
              <w:t>WALUTOWE</w:t>
            </w:r>
          </w:p>
        </w:tc>
      </w:tr>
      <w:tr w:rsidR="0035766C" w:rsidRPr="00BB7C9E" w14:paraId="38E12D98" w14:textId="77777777" w:rsidTr="0035766C">
        <w:trPr>
          <w:trHeight w:val="397"/>
        </w:trPr>
        <w:tc>
          <w:tcPr>
            <w:tcW w:w="9526" w:type="dxa"/>
            <w:gridSpan w:val="7"/>
            <w:tcBorders>
              <w:top w:val="single" w:sz="8" w:space="0" w:color="2E74B5"/>
              <w:left w:val="nil"/>
              <w:bottom w:val="single" w:sz="8" w:space="0" w:color="2E74B5"/>
              <w:right w:val="nil"/>
            </w:tcBorders>
            <w:shd w:val="clear" w:color="000000" w:fill="FFFFFF"/>
            <w:vAlign w:val="center"/>
            <w:hideMark/>
          </w:tcPr>
          <w:p w14:paraId="4895E0E3" w14:textId="111A3EC5" w:rsidR="0035766C" w:rsidRPr="00BB7C9E" w:rsidRDefault="0035766C" w:rsidP="0035766C">
            <w:pPr>
              <w:jc w:val="center"/>
              <w:rPr>
                <w:rFonts w:cs="Calibri"/>
                <w:b/>
                <w:bCs/>
                <w:color w:val="000000" w:themeColor="text1"/>
                <w:sz w:val="13"/>
                <w:szCs w:val="13"/>
              </w:rPr>
            </w:pPr>
            <w:r w:rsidRPr="0035766C">
              <w:rPr>
                <w:rFonts w:cs="Calibri"/>
                <w:b/>
                <w:bCs/>
                <w:color w:val="000000" w:themeColor="text1"/>
                <w:sz w:val="13"/>
                <w:szCs w:val="13"/>
              </w:rPr>
              <w:t>Transakcje swapów walutowych (CIRS) zabezpieczające przepływy pieniężne wynikające z wyemitowanych listów zastawnych</w:t>
            </w:r>
          </w:p>
        </w:tc>
      </w:tr>
      <w:tr w:rsidR="0035766C" w:rsidRPr="00BB7C9E" w14:paraId="22769691" w14:textId="77777777" w:rsidTr="0078306D">
        <w:trPr>
          <w:trHeight w:val="288"/>
        </w:trPr>
        <w:tc>
          <w:tcPr>
            <w:tcW w:w="2722" w:type="dxa"/>
            <w:tcBorders>
              <w:top w:val="single" w:sz="4" w:space="0" w:color="0077BD"/>
              <w:left w:val="nil"/>
              <w:bottom w:val="single" w:sz="4" w:space="0" w:color="0077BD"/>
              <w:right w:val="single" w:sz="8" w:space="0" w:color="0077BD"/>
            </w:tcBorders>
            <w:shd w:val="clear" w:color="auto" w:fill="auto"/>
            <w:vAlign w:val="center"/>
            <w:hideMark/>
          </w:tcPr>
          <w:p w14:paraId="319F04D9" w14:textId="77777777" w:rsidR="0035766C" w:rsidRPr="00BB7C9E" w:rsidRDefault="0035766C" w:rsidP="0035766C">
            <w:pPr>
              <w:rPr>
                <w:rFonts w:cs="Calibri"/>
                <w:b/>
                <w:bCs/>
                <w:color w:val="000000" w:themeColor="text1"/>
                <w:sz w:val="13"/>
                <w:szCs w:val="13"/>
              </w:rPr>
            </w:pPr>
            <w:r w:rsidRPr="00BB7C9E">
              <w:rPr>
                <w:rFonts w:cs="Calibri"/>
                <w:b/>
                <w:bCs/>
                <w:color w:val="000000" w:themeColor="text1"/>
                <w:sz w:val="13"/>
                <w:szCs w:val="13"/>
              </w:rPr>
              <w:t>Wartość nominalna (tys. PLN)</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C89D080" w14:textId="48F73E61"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E1085E9" w14:textId="590C74BF"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AEDF318" w14:textId="6905F57D"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0593A315" w14:textId="1705CB6D"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0BE41B6C" w14:textId="1E0984A0"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1 277 550</w:t>
            </w:r>
          </w:p>
        </w:tc>
        <w:tc>
          <w:tcPr>
            <w:tcW w:w="1134" w:type="dxa"/>
            <w:tcBorders>
              <w:top w:val="single" w:sz="4" w:space="0" w:color="0077BD"/>
              <w:left w:val="nil"/>
              <w:bottom w:val="single" w:sz="4" w:space="0" w:color="0077BD"/>
              <w:right w:val="nil"/>
            </w:tcBorders>
            <w:shd w:val="clear" w:color="auto" w:fill="auto"/>
            <w:noWrap/>
            <w:vAlign w:val="center"/>
            <w:hideMark/>
          </w:tcPr>
          <w:p w14:paraId="48FCB9F4" w14:textId="248E9543" w:rsidR="0035766C" w:rsidRPr="00BB7C9E" w:rsidRDefault="0078306D" w:rsidP="0035766C">
            <w:pPr>
              <w:jc w:val="right"/>
              <w:rPr>
                <w:rFonts w:cs="Calibri"/>
                <w:b/>
                <w:bCs/>
                <w:color w:val="000000" w:themeColor="text1"/>
                <w:sz w:val="13"/>
                <w:szCs w:val="13"/>
              </w:rPr>
            </w:pPr>
            <w:r>
              <w:rPr>
                <w:rFonts w:cs="Calibri"/>
                <w:b/>
                <w:bCs/>
                <w:color w:val="000000" w:themeColor="text1"/>
                <w:sz w:val="13"/>
                <w:szCs w:val="13"/>
              </w:rPr>
              <w:t>1 277 550</w:t>
            </w:r>
          </w:p>
        </w:tc>
      </w:tr>
      <w:tr w:rsidR="0035766C" w:rsidRPr="00BB7C9E" w14:paraId="34C906D7" w14:textId="77777777" w:rsidTr="0078306D">
        <w:trPr>
          <w:trHeight w:val="288"/>
        </w:trPr>
        <w:tc>
          <w:tcPr>
            <w:tcW w:w="2722" w:type="dxa"/>
            <w:tcBorders>
              <w:top w:val="nil"/>
              <w:left w:val="nil"/>
              <w:bottom w:val="single" w:sz="4" w:space="0" w:color="0077BD"/>
              <w:right w:val="single" w:sz="8" w:space="0" w:color="0077BD"/>
            </w:tcBorders>
            <w:shd w:val="clear" w:color="auto" w:fill="auto"/>
            <w:vAlign w:val="center"/>
            <w:hideMark/>
          </w:tcPr>
          <w:p w14:paraId="3A7AF2BF" w14:textId="77777777" w:rsidR="0035766C" w:rsidRPr="00BB7C9E" w:rsidRDefault="0035766C" w:rsidP="0035766C">
            <w:pPr>
              <w:rPr>
                <w:rFonts w:cs="Calibri"/>
                <w:b/>
                <w:bCs/>
                <w:color w:val="000000" w:themeColor="text1"/>
                <w:sz w:val="13"/>
                <w:szCs w:val="13"/>
              </w:rPr>
            </w:pPr>
            <w:r w:rsidRPr="00BB7C9E">
              <w:rPr>
                <w:rFonts w:cs="Calibri"/>
                <w:b/>
                <w:bCs/>
                <w:color w:val="000000" w:themeColor="text1"/>
                <w:sz w:val="13"/>
                <w:szCs w:val="13"/>
              </w:rPr>
              <w:t>Średnie oprocentowanie nogi stałej</w:t>
            </w:r>
          </w:p>
        </w:tc>
        <w:tc>
          <w:tcPr>
            <w:tcW w:w="1134" w:type="dxa"/>
            <w:tcBorders>
              <w:top w:val="nil"/>
              <w:left w:val="nil"/>
              <w:bottom w:val="single" w:sz="4" w:space="0" w:color="0077BD"/>
              <w:right w:val="single" w:sz="8" w:space="0" w:color="0077BD"/>
            </w:tcBorders>
            <w:shd w:val="clear" w:color="auto" w:fill="auto"/>
            <w:noWrap/>
            <w:vAlign w:val="center"/>
          </w:tcPr>
          <w:p w14:paraId="19BF5A76" w14:textId="489146F9" w:rsidR="0035766C" w:rsidRPr="003E4EFD" w:rsidRDefault="00A3460A"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5CFE28DF" w14:textId="187EAEFF" w:rsidR="0035766C" w:rsidRPr="003E4EFD" w:rsidRDefault="00A3460A"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1D72E235" w14:textId="13AB1F0F" w:rsidR="0035766C" w:rsidRPr="003E4EFD" w:rsidRDefault="00A3460A"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tcPr>
          <w:p w14:paraId="5B5CD402" w14:textId="35A5CE01" w:rsidR="0035766C" w:rsidRPr="003E4EFD" w:rsidRDefault="00A3460A" w:rsidP="0035766C">
            <w:pPr>
              <w:jc w:val="right"/>
              <w:rPr>
                <w:rFonts w:cs="Calibri"/>
                <w:color w:val="000000" w:themeColor="text1"/>
                <w:sz w:val="13"/>
                <w:szCs w:val="13"/>
              </w:rPr>
            </w:pPr>
            <w:r w:rsidRPr="003E4EFD">
              <w:rPr>
                <w:rFonts w:cs="Calibri"/>
                <w:color w:val="000000" w:themeColor="text1"/>
                <w:sz w:val="13"/>
                <w:szCs w:val="13"/>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133E38E1" w14:textId="3347FFBE" w:rsidR="0035766C" w:rsidRPr="003E4EFD" w:rsidRDefault="0078306D" w:rsidP="0035766C">
            <w:pPr>
              <w:jc w:val="right"/>
              <w:rPr>
                <w:rFonts w:cs="Calibri"/>
                <w:color w:val="000000" w:themeColor="text1"/>
                <w:sz w:val="13"/>
                <w:szCs w:val="13"/>
              </w:rPr>
            </w:pPr>
            <w:r w:rsidRPr="003E4EFD">
              <w:rPr>
                <w:rFonts w:cs="Calibri"/>
                <w:color w:val="000000" w:themeColor="text1"/>
                <w:sz w:val="13"/>
                <w:szCs w:val="13"/>
              </w:rPr>
              <w:t>0,24</w:t>
            </w:r>
            <w:r w:rsidR="00D6252C" w:rsidRPr="003E4EFD">
              <w:rPr>
                <w:rFonts w:cs="Calibri"/>
                <w:color w:val="000000" w:themeColor="text1"/>
                <w:sz w:val="13"/>
                <w:szCs w:val="13"/>
              </w:rPr>
              <w:t>2</w:t>
            </w:r>
            <w:r w:rsidRPr="003E4EFD">
              <w:rPr>
                <w:rFonts w:cs="Calibri"/>
                <w:color w:val="000000" w:themeColor="text1"/>
                <w:sz w:val="13"/>
                <w:szCs w:val="13"/>
              </w:rPr>
              <w:t>%</w:t>
            </w:r>
          </w:p>
        </w:tc>
        <w:tc>
          <w:tcPr>
            <w:tcW w:w="1134" w:type="dxa"/>
            <w:tcBorders>
              <w:top w:val="nil"/>
              <w:left w:val="nil"/>
              <w:bottom w:val="single" w:sz="4" w:space="0" w:color="0077BD"/>
              <w:right w:val="nil"/>
            </w:tcBorders>
            <w:shd w:val="clear" w:color="auto" w:fill="auto"/>
            <w:noWrap/>
            <w:vAlign w:val="center"/>
            <w:hideMark/>
          </w:tcPr>
          <w:p w14:paraId="5518D5A5" w14:textId="7BB68590" w:rsidR="0035766C" w:rsidRPr="00BB7C9E" w:rsidRDefault="00D44301" w:rsidP="0035766C">
            <w:pPr>
              <w:jc w:val="right"/>
              <w:rPr>
                <w:rFonts w:cs="Calibri"/>
                <w:b/>
                <w:bCs/>
                <w:color w:val="000000" w:themeColor="text1"/>
                <w:sz w:val="13"/>
                <w:szCs w:val="13"/>
              </w:rPr>
            </w:pPr>
            <w:r>
              <w:rPr>
                <w:rFonts w:cs="Calibri"/>
                <w:b/>
                <w:bCs/>
                <w:color w:val="000000" w:themeColor="text1"/>
                <w:sz w:val="13"/>
                <w:szCs w:val="13"/>
              </w:rPr>
              <w:t>0,242%</w:t>
            </w:r>
          </w:p>
        </w:tc>
      </w:tr>
    </w:tbl>
    <w:p w14:paraId="2FFCF888" w14:textId="77777777" w:rsidR="00F32086" w:rsidRPr="006F1146" w:rsidRDefault="00F32086" w:rsidP="00F32086">
      <w:pPr>
        <w:spacing w:before="120"/>
        <w:jc w:val="both"/>
        <w:rPr>
          <w:rFonts w:cs="Tahoma"/>
          <w:bCs/>
          <w:color w:val="000000" w:themeColor="text1"/>
          <w:sz w:val="18"/>
          <w:szCs w:val="18"/>
        </w:rPr>
      </w:pPr>
      <w:r w:rsidRPr="006F1146">
        <w:rPr>
          <w:rFonts w:cs="Tahoma"/>
          <w:bCs/>
          <w:color w:val="000000" w:themeColor="text1"/>
          <w:sz w:val="18"/>
          <w:szCs w:val="18"/>
          <w:lang w:eastAsia="en-US"/>
        </w:rPr>
        <w:t>Wartość godziwa (równa wartości księgowej) instrumentów pochodnych zabezpieczających została zaprezentowana wyżej w niniejszej nocie.</w:t>
      </w:r>
    </w:p>
    <w:p w14:paraId="16D74217" w14:textId="5048A34B" w:rsidR="00F32086" w:rsidRPr="006F1146" w:rsidRDefault="00F32086" w:rsidP="00F32086">
      <w:pPr>
        <w:tabs>
          <w:tab w:val="left" w:pos="0"/>
        </w:tabs>
        <w:suppressAutoHyphens/>
        <w:spacing w:before="120"/>
        <w:jc w:val="both"/>
        <w:rPr>
          <w:rFonts w:cs="Tahoma"/>
          <w:bCs/>
          <w:color w:val="000000" w:themeColor="text1"/>
          <w:sz w:val="18"/>
          <w:szCs w:val="18"/>
          <w:lang w:eastAsia="en-US"/>
        </w:rPr>
      </w:pPr>
      <w:r w:rsidRPr="006F1146">
        <w:rPr>
          <w:rFonts w:cs="Tahoma"/>
          <w:bCs/>
          <w:color w:val="000000" w:themeColor="text1"/>
          <w:sz w:val="18"/>
          <w:szCs w:val="18"/>
          <w:lang w:eastAsia="en-US"/>
        </w:rPr>
        <w:t>W przypadku zawiązanych relacji okres, w którym oczekuje się wystąpienia przepływów pieniężnych oraz kiedy należy oczekiwać wywarcia przez nie wpływu na wyniki</w:t>
      </w:r>
      <w:r w:rsidR="005447E4">
        <w:rPr>
          <w:rFonts w:cs="Tahoma"/>
          <w:bCs/>
          <w:color w:val="000000" w:themeColor="text1"/>
          <w:sz w:val="18"/>
          <w:szCs w:val="18"/>
          <w:lang w:eastAsia="en-US"/>
        </w:rPr>
        <w:t>,</w:t>
      </w:r>
      <w:r w:rsidRPr="006F1146">
        <w:rPr>
          <w:rFonts w:cs="Tahoma"/>
          <w:bCs/>
          <w:color w:val="000000" w:themeColor="text1"/>
          <w:sz w:val="18"/>
          <w:szCs w:val="18"/>
          <w:lang w:eastAsia="en-US"/>
        </w:rPr>
        <w:t xml:space="preserve"> to okres od listopada 2019 roku do września 2025 roku.</w:t>
      </w:r>
    </w:p>
    <w:p w14:paraId="5B0F272C" w14:textId="41DB48DE" w:rsidR="00F32086" w:rsidRPr="006F1146" w:rsidRDefault="00F32086" w:rsidP="00F32086">
      <w:pPr>
        <w:tabs>
          <w:tab w:val="left" w:pos="0"/>
        </w:tabs>
        <w:suppressAutoHyphens/>
        <w:spacing w:before="120"/>
        <w:jc w:val="both"/>
        <w:rPr>
          <w:rFonts w:cs="Tahoma"/>
          <w:bCs/>
          <w:color w:val="000000" w:themeColor="text1"/>
          <w:sz w:val="18"/>
          <w:szCs w:val="18"/>
          <w:lang w:eastAsia="en-US"/>
        </w:rPr>
      </w:pPr>
      <w:r w:rsidRPr="006F1146">
        <w:rPr>
          <w:rFonts w:cs="Tahoma"/>
          <w:bCs/>
          <w:color w:val="000000" w:themeColor="text1"/>
          <w:sz w:val="18"/>
          <w:szCs w:val="18"/>
          <w:lang w:eastAsia="en-US"/>
        </w:rPr>
        <w:t>Testy efektywności obejmują wycenę transakcji zabezpieczających po pomniejszeniu o wartość odsetek naliczonych oraz różnice kursowe od nominału transakcji zabezpieczających. Efektywność zabezpieczenia jest weryfikowana poprzez zastosowanie prospektywnych i retrospektywnych testów efektywności. Testy</w:t>
      </w:r>
      <w:r w:rsidR="00FE1513">
        <w:rPr>
          <w:rFonts w:cs="Tahoma"/>
          <w:bCs/>
          <w:color w:val="000000" w:themeColor="text1"/>
          <w:sz w:val="18"/>
          <w:szCs w:val="18"/>
          <w:lang w:eastAsia="en-US"/>
        </w:rPr>
        <w:t> </w:t>
      </w:r>
      <w:r w:rsidRPr="006F1146">
        <w:rPr>
          <w:rFonts w:cs="Tahoma"/>
          <w:bCs/>
          <w:color w:val="000000" w:themeColor="text1"/>
          <w:sz w:val="18"/>
          <w:szCs w:val="18"/>
          <w:lang w:eastAsia="en-US"/>
        </w:rPr>
        <w:t>wykonywane są z częstotliwością miesięczną.</w:t>
      </w:r>
    </w:p>
    <w:p w14:paraId="6F5EB360" w14:textId="77777777" w:rsidR="00F32086" w:rsidRPr="006F1146" w:rsidRDefault="00F32086" w:rsidP="00F32086">
      <w:pPr>
        <w:tabs>
          <w:tab w:val="left" w:pos="0"/>
        </w:tabs>
        <w:suppressAutoHyphens/>
        <w:spacing w:before="120"/>
        <w:jc w:val="both"/>
        <w:rPr>
          <w:rFonts w:cs="Tahoma"/>
          <w:bCs/>
          <w:color w:val="000000" w:themeColor="text1"/>
          <w:sz w:val="18"/>
          <w:szCs w:val="18"/>
          <w:lang w:eastAsia="en-US"/>
        </w:rPr>
      </w:pPr>
      <w:r w:rsidRPr="006F1146">
        <w:rPr>
          <w:rFonts w:cs="Tahoma"/>
          <w:bCs/>
          <w:color w:val="000000" w:themeColor="text1"/>
          <w:sz w:val="18"/>
          <w:szCs w:val="18"/>
          <w:lang w:eastAsia="en-US"/>
        </w:rPr>
        <w:t xml:space="preserve">Głównymi źródłami nieefektywności zabezpieczenia mogą być: </w:t>
      </w:r>
    </w:p>
    <w:p w14:paraId="4BDCDA81" w14:textId="77777777" w:rsidR="00F32086" w:rsidRPr="006F1146" w:rsidRDefault="00F32086" w:rsidP="00F32086">
      <w:pPr>
        <w:pStyle w:val="Akapitzlist"/>
        <w:numPr>
          <w:ilvl w:val="0"/>
          <w:numId w:val="80"/>
        </w:numPr>
        <w:tabs>
          <w:tab w:val="left" w:pos="0"/>
        </w:tabs>
        <w:suppressAutoHyphens/>
        <w:spacing w:before="120"/>
        <w:ind w:left="426" w:hanging="426"/>
        <w:jc w:val="both"/>
        <w:rPr>
          <w:rFonts w:cs="Tahoma"/>
          <w:bCs/>
          <w:color w:val="000000" w:themeColor="text1"/>
          <w:sz w:val="18"/>
          <w:szCs w:val="18"/>
          <w:lang w:eastAsia="en-US"/>
        </w:rPr>
      </w:pPr>
      <w:r w:rsidRPr="006F1146">
        <w:rPr>
          <w:rFonts w:cs="Tahoma"/>
          <w:bCs/>
          <w:color w:val="000000" w:themeColor="text1"/>
          <w:sz w:val="18"/>
          <w:szCs w:val="18"/>
          <w:lang w:eastAsia="en-US"/>
        </w:rPr>
        <w:t>uwzględnienie korekty CVA/DVA jedynie po stronie instrumentu zabezpieczającego,</w:t>
      </w:r>
    </w:p>
    <w:p w14:paraId="1F145566" w14:textId="0C9D86CC" w:rsidR="00F32086" w:rsidRPr="006F1146" w:rsidRDefault="00F32086" w:rsidP="00F32086">
      <w:pPr>
        <w:pStyle w:val="Akapitzlist"/>
        <w:tabs>
          <w:tab w:val="left" w:pos="0"/>
        </w:tabs>
        <w:suppressAutoHyphens/>
        <w:spacing w:before="120"/>
        <w:ind w:left="426"/>
        <w:jc w:val="both"/>
        <w:rPr>
          <w:rFonts w:cs="Tahoma"/>
          <w:bCs/>
          <w:color w:val="000000" w:themeColor="text1"/>
          <w:sz w:val="8"/>
          <w:szCs w:val="8"/>
          <w:lang w:eastAsia="en-US"/>
        </w:rPr>
      </w:pPr>
    </w:p>
    <w:p w14:paraId="6A1CF6B4" w14:textId="4B0353CE" w:rsidR="00F32086" w:rsidRPr="006F1146" w:rsidRDefault="00F32086" w:rsidP="00F32086">
      <w:pPr>
        <w:pStyle w:val="Akapitzlist"/>
        <w:numPr>
          <w:ilvl w:val="0"/>
          <w:numId w:val="80"/>
        </w:numPr>
        <w:suppressAutoHyphens/>
        <w:spacing w:before="120"/>
        <w:ind w:left="426" w:hanging="426"/>
        <w:jc w:val="both"/>
        <w:rPr>
          <w:rFonts w:cs="Tahoma"/>
          <w:bCs/>
          <w:color w:val="000000" w:themeColor="text1"/>
          <w:sz w:val="18"/>
          <w:szCs w:val="18"/>
          <w:lang w:eastAsia="en-US"/>
        </w:rPr>
      </w:pPr>
      <w:r w:rsidRPr="006F1146">
        <w:rPr>
          <w:rFonts w:cs="Tahoma"/>
          <w:bCs/>
          <w:color w:val="000000" w:themeColor="text1"/>
          <w:sz w:val="18"/>
          <w:szCs w:val="18"/>
          <w:lang w:eastAsia="en-US"/>
        </w:rPr>
        <w:t>występujące minimalne różnice w zakresie sposobu konstrukcji oraz podstawowych parametrów transakcji zabezpieczających oraz pozycji zabezpieczanych.</w:t>
      </w:r>
    </w:p>
    <w:p w14:paraId="3C714581" w14:textId="6FA2EAC1" w:rsidR="00F32086" w:rsidRPr="006F1146" w:rsidRDefault="00F32086" w:rsidP="00F32086">
      <w:pPr>
        <w:tabs>
          <w:tab w:val="left" w:pos="0"/>
        </w:tabs>
        <w:suppressAutoHyphens/>
        <w:spacing w:before="120"/>
        <w:jc w:val="both"/>
        <w:rPr>
          <w:rFonts w:cs="Tahoma"/>
          <w:bCs/>
          <w:color w:val="000000" w:themeColor="text1"/>
          <w:sz w:val="18"/>
          <w:szCs w:val="18"/>
          <w:lang w:eastAsia="en-US"/>
        </w:rPr>
      </w:pPr>
      <w:r w:rsidRPr="006F1146">
        <w:rPr>
          <w:rFonts w:cs="Tahoma"/>
          <w:bCs/>
          <w:color w:val="000000" w:themeColor="text1"/>
          <w:sz w:val="18"/>
          <w:szCs w:val="18"/>
          <w:lang w:eastAsia="en-US"/>
        </w:rPr>
        <w:t>Zmiany wartości godziwej pochodnego instrumentu zabezpieczającego wyznaczonego jako zabezpieczenie przepływów pieniężnych ujmowane są bezpośrednio w innych dochodach całkowitych w części stanowiącej efektywną część zabezpieczenia. Część nieefektywną zabezpieczenia ujmuje się w rachunku zysków i strat w pozycji „Wynik na instrumentach finansowych wycenianych do wartości godziwej” lub „Wynik z pozycji wymiany”. Ponadto kwoty odniesione bezpośrednio na inne dochody całkowite przenoszone są do rachunku zysków i strat odpowiednio do pozycji „Wynik z tytułu odsetek” oraz „Wynik z pozycji wymiany”, w</w:t>
      </w:r>
      <w:r w:rsidR="00FE1513">
        <w:rPr>
          <w:rFonts w:cs="Tahoma"/>
          <w:bCs/>
          <w:color w:val="000000" w:themeColor="text1"/>
          <w:sz w:val="18"/>
          <w:szCs w:val="18"/>
          <w:lang w:eastAsia="en-US"/>
        </w:rPr>
        <w:t> </w:t>
      </w:r>
      <w:r w:rsidRPr="006F1146">
        <w:rPr>
          <w:rFonts w:cs="Tahoma"/>
          <w:bCs/>
          <w:color w:val="000000" w:themeColor="text1"/>
          <w:sz w:val="18"/>
          <w:szCs w:val="18"/>
          <w:lang w:eastAsia="en-US"/>
        </w:rPr>
        <w:t>tym</w:t>
      </w:r>
      <w:r w:rsidR="00FE1513">
        <w:rPr>
          <w:rFonts w:cs="Tahoma"/>
          <w:bCs/>
          <w:color w:val="000000" w:themeColor="text1"/>
          <w:sz w:val="18"/>
          <w:szCs w:val="18"/>
          <w:lang w:eastAsia="en-US"/>
        </w:rPr>
        <w:t> </w:t>
      </w:r>
      <w:r w:rsidRPr="006F1146">
        <w:rPr>
          <w:rFonts w:cs="Tahoma"/>
          <w:bCs/>
          <w:color w:val="000000" w:themeColor="text1"/>
          <w:sz w:val="18"/>
          <w:szCs w:val="18"/>
          <w:lang w:eastAsia="en-US"/>
        </w:rPr>
        <w:t>samym okresie lub okresach, w których wpływ zabezpieczanej transakcji jest odnoszony do</w:t>
      </w:r>
      <w:r w:rsidR="00FE1513">
        <w:rPr>
          <w:rFonts w:cs="Tahoma"/>
          <w:bCs/>
          <w:color w:val="000000" w:themeColor="text1"/>
          <w:sz w:val="18"/>
          <w:szCs w:val="18"/>
          <w:lang w:eastAsia="en-US"/>
        </w:rPr>
        <w:t> </w:t>
      </w:r>
      <w:r w:rsidRPr="006F1146">
        <w:rPr>
          <w:rFonts w:cs="Tahoma"/>
          <w:bCs/>
          <w:color w:val="000000" w:themeColor="text1"/>
          <w:sz w:val="18"/>
          <w:szCs w:val="18"/>
          <w:lang w:eastAsia="en-US"/>
        </w:rPr>
        <w:t>rachunku zysków i strat.</w:t>
      </w:r>
    </w:p>
    <w:p w14:paraId="1AA243BC" w14:textId="0A767310" w:rsidR="007642EA" w:rsidRPr="00BB7C9E" w:rsidRDefault="007642EA" w:rsidP="00F32086">
      <w:pPr>
        <w:tabs>
          <w:tab w:val="left" w:pos="0"/>
        </w:tabs>
        <w:suppressAutoHyphens/>
        <w:spacing w:before="120" w:after="120"/>
        <w:jc w:val="both"/>
        <w:rPr>
          <w:rFonts w:cs="Tahoma"/>
          <w:bCs/>
          <w:color w:val="000000" w:themeColor="text1"/>
          <w:sz w:val="18"/>
          <w:szCs w:val="18"/>
          <w:lang w:eastAsia="en-US"/>
        </w:rPr>
      </w:pPr>
      <w:r w:rsidRPr="006F1146">
        <w:rPr>
          <w:rFonts w:cs="Tahoma"/>
          <w:bCs/>
          <w:color w:val="000000" w:themeColor="text1"/>
          <w:sz w:val="18"/>
          <w:szCs w:val="18"/>
          <w:lang w:eastAsia="en-US"/>
        </w:rPr>
        <w:t xml:space="preserve">W poniższej nocie zaprezentowano pozostałe całkowite dochody z tytułu zabezpieczenia przepływów pieniężnych </w:t>
      </w:r>
      <w:r w:rsidR="007754E8" w:rsidRPr="006F1146">
        <w:rPr>
          <w:rFonts w:cs="Tahoma"/>
          <w:bCs/>
          <w:color w:val="000000" w:themeColor="text1"/>
          <w:sz w:val="18"/>
          <w:szCs w:val="18"/>
          <w:lang w:eastAsia="en-US"/>
        </w:rPr>
        <w:t>w okresie od 1 stycznia do 31 grudnia 2019 roku i od 1 stycznia do 31 grudnia 2018 roku</w:t>
      </w:r>
      <w:r w:rsidRPr="00BB7C9E">
        <w:rPr>
          <w:rFonts w:cs="Tahoma"/>
          <w:bCs/>
          <w:color w:val="000000" w:themeColor="text1"/>
          <w:sz w:val="18"/>
          <w:szCs w:val="18"/>
          <w:lang w:eastAsia="en-US"/>
        </w:rPr>
        <w:t>.</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F86041" w:rsidRPr="003D2B44" w14:paraId="20442290" w14:textId="77777777" w:rsidTr="00F86041">
        <w:trPr>
          <w:trHeight w:val="454"/>
        </w:trPr>
        <w:tc>
          <w:tcPr>
            <w:tcW w:w="6747" w:type="dxa"/>
            <w:tcBorders>
              <w:top w:val="nil"/>
              <w:left w:val="nil"/>
              <w:right w:val="single" w:sz="8" w:space="0" w:color="FFFFFF"/>
            </w:tcBorders>
            <w:shd w:val="clear" w:color="000000" w:fill="0077BD"/>
            <w:noWrap/>
            <w:vAlign w:val="center"/>
            <w:hideMark/>
          </w:tcPr>
          <w:p w14:paraId="68F27E0F" w14:textId="2DCD8A0C" w:rsidR="00F86041" w:rsidRPr="00F86041" w:rsidRDefault="00F86041" w:rsidP="00F86041">
            <w:pPr>
              <w:jc w:val="right"/>
              <w:rPr>
                <w:rFonts w:cs="Calibri"/>
                <w:b/>
                <w:color w:val="99CCFF"/>
                <w:sz w:val="13"/>
                <w:szCs w:val="13"/>
              </w:rPr>
            </w:pPr>
            <w:r>
              <w:rPr>
                <w:rFonts w:cs="Calibri"/>
                <w:b/>
                <w:color w:val="FFFFFF" w:themeColor="background1"/>
                <w:sz w:val="13"/>
                <w:szCs w:val="13"/>
              </w:rPr>
              <w:t xml:space="preserve">Za </w:t>
            </w:r>
            <w:r w:rsidRPr="00F86041">
              <w:rPr>
                <w:rFonts w:cs="Calibri"/>
                <w:b/>
                <w:color w:val="FFFFFF" w:themeColor="background1"/>
                <w:sz w:val="13"/>
                <w:szCs w:val="13"/>
              </w:rPr>
              <w:t>okres</w:t>
            </w:r>
          </w:p>
        </w:tc>
        <w:tc>
          <w:tcPr>
            <w:tcW w:w="1418" w:type="dxa"/>
            <w:tcBorders>
              <w:top w:val="nil"/>
              <w:left w:val="nil"/>
              <w:right w:val="single" w:sz="8" w:space="0" w:color="FFFFFF"/>
            </w:tcBorders>
            <w:shd w:val="clear" w:color="000000" w:fill="0077BD"/>
            <w:vAlign w:val="center"/>
            <w:hideMark/>
          </w:tcPr>
          <w:p w14:paraId="09D4FD43" w14:textId="19C3022C" w:rsidR="00F86041" w:rsidRPr="003D2B44" w:rsidRDefault="00F86041" w:rsidP="003D2B44">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2019</w:t>
            </w:r>
            <w:r>
              <w:rPr>
                <w:rFonts w:cs="Calibri"/>
                <w:b/>
                <w:bCs/>
                <w:color w:val="FFFFFF"/>
                <w:sz w:val="13"/>
                <w:szCs w:val="13"/>
              </w:rPr>
              <w:br/>
              <w:t>do 31.12.2019</w:t>
            </w:r>
          </w:p>
        </w:tc>
        <w:tc>
          <w:tcPr>
            <w:tcW w:w="1418" w:type="dxa"/>
            <w:tcBorders>
              <w:top w:val="nil"/>
              <w:left w:val="nil"/>
              <w:right w:val="single" w:sz="8" w:space="0" w:color="FFFFFF"/>
            </w:tcBorders>
            <w:shd w:val="clear" w:color="000000" w:fill="0077BD"/>
            <w:vAlign w:val="center"/>
          </w:tcPr>
          <w:p w14:paraId="39DAF70B" w14:textId="400AFA2B" w:rsidR="00F86041" w:rsidRPr="003D2B44" w:rsidRDefault="00F86041" w:rsidP="00F86041">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w:t>
            </w:r>
            <w:r>
              <w:rPr>
                <w:rFonts w:cs="Calibri"/>
                <w:b/>
                <w:bCs/>
                <w:color w:val="FFFFFF"/>
                <w:sz w:val="13"/>
                <w:szCs w:val="13"/>
              </w:rPr>
              <w:t>8</w:t>
            </w:r>
            <w:r>
              <w:rPr>
                <w:rFonts w:cs="Calibri"/>
                <w:b/>
                <w:bCs/>
                <w:color w:val="FFFFFF"/>
                <w:sz w:val="13"/>
                <w:szCs w:val="13"/>
              </w:rPr>
              <w:br/>
              <w:t>do 31.12.2018</w:t>
            </w:r>
          </w:p>
        </w:tc>
      </w:tr>
      <w:tr w:rsidR="000674FC" w:rsidRPr="00BB7C9E" w14:paraId="1BD7812A" w14:textId="77777777" w:rsidTr="00F32086">
        <w:trPr>
          <w:trHeight w:val="397"/>
        </w:trPr>
        <w:tc>
          <w:tcPr>
            <w:tcW w:w="6747" w:type="dxa"/>
            <w:tcBorders>
              <w:top w:val="nil"/>
              <w:left w:val="nil"/>
              <w:bottom w:val="single" w:sz="8" w:space="0" w:color="0077BD"/>
              <w:right w:val="single" w:sz="8" w:space="0" w:color="0077BD"/>
            </w:tcBorders>
            <w:shd w:val="clear" w:color="auto" w:fill="auto"/>
            <w:vAlign w:val="center"/>
            <w:hideMark/>
          </w:tcPr>
          <w:p w14:paraId="78095153" w14:textId="77777777" w:rsidR="000674FC" w:rsidRPr="00F01216" w:rsidRDefault="000674FC" w:rsidP="000674FC">
            <w:pPr>
              <w:rPr>
                <w:rFonts w:cs="Calibri"/>
                <w:b/>
                <w:bCs/>
                <w:color w:val="000000" w:themeColor="text1"/>
                <w:sz w:val="13"/>
                <w:szCs w:val="13"/>
              </w:rPr>
            </w:pPr>
            <w:r w:rsidRPr="00F01216">
              <w:rPr>
                <w:rFonts w:cs="Calibri"/>
                <w:b/>
                <w:bCs/>
                <w:color w:val="000000" w:themeColor="text1"/>
                <w:sz w:val="13"/>
                <w:szCs w:val="13"/>
              </w:rPr>
              <w:t>Pozostałe dochody całkowite brutto z tytułu zabezpieczenia przepływów pieniężnych na początek okresu</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1881C54E" w14:textId="02EC3158" w:rsidR="000674FC" w:rsidRPr="00F01216" w:rsidRDefault="000674FC" w:rsidP="000674FC">
            <w:pPr>
              <w:jc w:val="right"/>
              <w:rPr>
                <w:rFonts w:cs="Calibri"/>
                <w:b/>
                <w:bCs/>
                <w:color w:val="000000" w:themeColor="text1"/>
                <w:sz w:val="13"/>
                <w:szCs w:val="13"/>
              </w:rPr>
            </w:pPr>
            <w:r w:rsidRPr="00F01216">
              <w:rPr>
                <w:rFonts w:cs="Calibri"/>
                <w:b/>
                <w:bCs/>
                <w:color w:val="000000" w:themeColor="text1"/>
                <w:sz w:val="13"/>
                <w:szCs w:val="13"/>
              </w:rPr>
              <w:t>103 263</w:t>
            </w:r>
          </w:p>
        </w:tc>
        <w:tc>
          <w:tcPr>
            <w:tcW w:w="1418" w:type="dxa"/>
            <w:tcBorders>
              <w:top w:val="nil"/>
              <w:left w:val="nil"/>
              <w:bottom w:val="single" w:sz="8" w:space="0" w:color="0077BD"/>
              <w:right w:val="nil"/>
            </w:tcBorders>
            <w:shd w:val="clear" w:color="auto" w:fill="auto"/>
            <w:vAlign w:val="center"/>
            <w:hideMark/>
          </w:tcPr>
          <w:p w14:paraId="457B0765" w14:textId="77777777" w:rsidR="000674FC" w:rsidRPr="00F01216" w:rsidRDefault="000674FC" w:rsidP="000674FC">
            <w:pPr>
              <w:jc w:val="right"/>
              <w:rPr>
                <w:rFonts w:cs="Calibri"/>
                <w:b/>
                <w:bCs/>
                <w:color w:val="000000" w:themeColor="text1"/>
                <w:sz w:val="13"/>
                <w:szCs w:val="13"/>
              </w:rPr>
            </w:pPr>
            <w:r w:rsidRPr="00F01216">
              <w:rPr>
                <w:rFonts w:cs="Calibri"/>
                <w:b/>
                <w:bCs/>
                <w:color w:val="000000" w:themeColor="text1"/>
                <w:sz w:val="13"/>
                <w:szCs w:val="13"/>
              </w:rPr>
              <w:t>(6 418)</w:t>
            </w:r>
          </w:p>
        </w:tc>
      </w:tr>
      <w:tr w:rsidR="00F32086" w:rsidRPr="00F32086" w14:paraId="546A2A70" w14:textId="77777777" w:rsidTr="00F32086">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3582E912" w14:textId="08B1127C" w:rsidR="00F32086" w:rsidRPr="00F01216" w:rsidRDefault="00F32086" w:rsidP="00F32086">
            <w:pPr>
              <w:rPr>
                <w:rFonts w:cs="Calibri"/>
                <w:color w:val="000000" w:themeColor="text1"/>
                <w:sz w:val="13"/>
                <w:szCs w:val="13"/>
              </w:rPr>
            </w:pPr>
            <w:r w:rsidRPr="00F01216">
              <w:rPr>
                <w:rFonts w:cs="Calibri"/>
                <w:color w:val="000000" w:themeColor="text1"/>
                <w:sz w:val="13"/>
                <w:szCs w:val="13"/>
              </w:rPr>
              <w:t>Zyski lub straty wynikające z zabezpieczenia, ujęte w pozostałych całkowitych dochodach w ciągu okresu sprawozdawczego (brutto)</w:t>
            </w:r>
          </w:p>
        </w:tc>
        <w:tc>
          <w:tcPr>
            <w:tcW w:w="1418" w:type="dxa"/>
            <w:tcBorders>
              <w:top w:val="nil"/>
              <w:left w:val="nil"/>
              <w:bottom w:val="single" w:sz="4" w:space="0" w:color="0077BD"/>
              <w:right w:val="single" w:sz="8" w:space="0" w:color="0077BD"/>
            </w:tcBorders>
            <w:shd w:val="clear" w:color="auto" w:fill="auto"/>
            <w:vAlign w:val="center"/>
          </w:tcPr>
          <w:p w14:paraId="7A3435F2" w14:textId="71C8AC3D" w:rsidR="00F32086" w:rsidRPr="00F01216" w:rsidRDefault="00F32086" w:rsidP="00F32086">
            <w:pPr>
              <w:jc w:val="right"/>
              <w:rPr>
                <w:rFonts w:cs="Calibri"/>
                <w:color w:val="000000" w:themeColor="text1"/>
                <w:sz w:val="13"/>
                <w:szCs w:val="13"/>
              </w:rPr>
            </w:pPr>
            <w:r w:rsidRPr="00F01216">
              <w:rPr>
                <w:rFonts w:cs="Calibri"/>
                <w:color w:val="000000" w:themeColor="text1"/>
                <w:sz w:val="13"/>
                <w:szCs w:val="13"/>
              </w:rPr>
              <w:t>92 949</w:t>
            </w:r>
          </w:p>
        </w:tc>
        <w:tc>
          <w:tcPr>
            <w:tcW w:w="1418" w:type="dxa"/>
            <w:tcBorders>
              <w:top w:val="nil"/>
              <w:left w:val="nil"/>
              <w:bottom w:val="single" w:sz="4" w:space="0" w:color="0077BD"/>
              <w:right w:val="nil"/>
            </w:tcBorders>
            <w:shd w:val="clear" w:color="auto" w:fill="auto"/>
            <w:vAlign w:val="center"/>
            <w:hideMark/>
          </w:tcPr>
          <w:p w14:paraId="40068006" w14:textId="0C28AB9F" w:rsidR="00F32086" w:rsidRPr="00F01216" w:rsidRDefault="00F32086" w:rsidP="00F32086">
            <w:pPr>
              <w:jc w:val="right"/>
              <w:rPr>
                <w:rFonts w:cs="Calibri"/>
                <w:color w:val="000000" w:themeColor="text1"/>
                <w:sz w:val="13"/>
                <w:szCs w:val="13"/>
              </w:rPr>
            </w:pPr>
            <w:r w:rsidRPr="00F01216">
              <w:rPr>
                <w:rFonts w:cs="Calibri"/>
                <w:color w:val="000000" w:themeColor="text1"/>
                <w:sz w:val="13"/>
                <w:szCs w:val="13"/>
              </w:rPr>
              <w:t>150 038</w:t>
            </w:r>
          </w:p>
        </w:tc>
      </w:tr>
      <w:tr w:rsidR="00F32086" w:rsidRPr="00F32086" w14:paraId="51024B82" w14:textId="77777777" w:rsidTr="00F3208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7EAF6BD" w14:textId="16BE4200" w:rsidR="00F32086" w:rsidRPr="00F01216" w:rsidRDefault="00F32086" w:rsidP="00F32086">
            <w:pPr>
              <w:rPr>
                <w:rFonts w:cs="Calibri"/>
                <w:bCs/>
                <w:color w:val="000000" w:themeColor="text1"/>
                <w:sz w:val="13"/>
                <w:szCs w:val="13"/>
              </w:rPr>
            </w:pPr>
            <w:r w:rsidRPr="00F01216">
              <w:rPr>
                <w:rFonts w:cs="Calibri"/>
                <w:color w:val="000000" w:themeColor="text1"/>
                <w:sz w:val="13"/>
                <w:szCs w:val="13"/>
              </w:rPr>
              <w:t>Kwota przeniesiona w okresie z innych dochodów całkowitych do rachunku zysków i strat:</w:t>
            </w:r>
          </w:p>
        </w:tc>
        <w:tc>
          <w:tcPr>
            <w:tcW w:w="1418" w:type="dxa"/>
            <w:tcBorders>
              <w:top w:val="nil"/>
              <w:left w:val="nil"/>
              <w:bottom w:val="single" w:sz="4" w:space="0" w:color="0077BD"/>
              <w:right w:val="single" w:sz="8" w:space="0" w:color="0077BD"/>
            </w:tcBorders>
            <w:shd w:val="clear" w:color="auto" w:fill="auto"/>
            <w:vAlign w:val="center"/>
          </w:tcPr>
          <w:p w14:paraId="5C08614A" w14:textId="0DB9FF7F" w:rsidR="00F32086" w:rsidRPr="00F01216" w:rsidRDefault="00F32086" w:rsidP="00F32086">
            <w:pPr>
              <w:jc w:val="right"/>
              <w:rPr>
                <w:rFonts w:cs="Calibri"/>
                <w:bCs/>
                <w:color w:val="000000" w:themeColor="text1"/>
                <w:sz w:val="13"/>
                <w:szCs w:val="13"/>
              </w:rPr>
            </w:pPr>
            <w:r w:rsidRPr="00F01216">
              <w:rPr>
                <w:rFonts w:cs="Calibri"/>
                <w:color w:val="000000" w:themeColor="text1"/>
                <w:sz w:val="13"/>
                <w:szCs w:val="13"/>
              </w:rPr>
              <w:t>(49 124)</w:t>
            </w:r>
          </w:p>
        </w:tc>
        <w:tc>
          <w:tcPr>
            <w:tcW w:w="1418" w:type="dxa"/>
            <w:tcBorders>
              <w:top w:val="nil"/>
              <w:left w:val="nil"/>
              <w:bottom w:val="single" w:sz="4" w:space="0" w:color="0077BD"/>
              <w:right w:val="nil"/>
            </w:tcBorders>
            <w:shd w:val="clear" w:color="auto" w:fill="auto"/>
            <w:vAlign w:val="center"/>
            <w:hideMark/>
          </w:tcPr>
          <w:p w14:paraId="4889294D" w14:textId="03972BC6" w:rsidR="00F32086" w:rsidRPr="00F01216" w:rsidRDefault="00F32086" w:rsidP="00F32086">
            <w:pPr>
              <w:jc w:val="right"/>
              <w:rPr>
                <w:rFonts w:cs="Calibri"/>
                <w:bCs/>
                <w:color w:val="000000" w:themeColor="text1"/>
                <w:sz w:val="13"/>
                <w:szCs w:val="13"/>
              </w:rPr>
            </w:pPr>
            <w:r w:rsidRPr="00F01216">
              <w:rPr>
                <w:rFonts w:cs="Calibri"/>
                <w:color w:val="000000" w:themeColor="text1"/>
                <w:sz w:val="13"/>
                <w:szCs w:val="13"/>
              </w:rPr>
              <w:t>(40 357)</w:t>
            </w:r>
          </w:p>
        </w:tc>
      </w:tr>
      <w:tr w:rsidR="00F32086" w:rsidRPr="00F32086" w14:paraId="1F1BB9CC" w14:textId="77777777" w:rsidTr="00F3208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017A094" w14:textId="61C8CEB9" w:rsidR="00F32086" w:rsidRPr="00F01216" w:rsidRDefault="00F32086" w:rsidP="00F32086">
            <w:pPr>
              <w:rPr>
                <w:rFonts w:cs="Calibri"/>
                <w:color w:val="000000" w:themeColor="text1"/>
                <w:sz w:val="13"/>
                <w:szCs w:val="13"/>
              </w:rPr>
            </w:pPr>
            <w:r w:rsidRPr="00F01216">
              <w:rPr>
                <w:rFonts w:cs="Calibri"/>
                <w:i/>
                <w:color w:val="000000" w:themeColor="text1"/>
                <w:sz w:val="13"/>
                <w:szCs w:val="13"/>
              </w:rPr>
              <w:t>- wynik z tytułu odsetek</w:t>
            </w:r>
          </w:p>
        </w:tc>
        <w:tc>
          <w:tcPr>
            <w:tcW w:w="1418" w:type="dxa"/>
            <w:tcBorders>
              <w:top w:val="nil"/>
              <w:left w:val="nil"/>
              <w:bottom w:val="single" w:sz="4" w:space="0" w:color="0077BD"/>
              <w:right w:val="single" w:sz="8" w:space="0" w:color="0077BD"/>
            </w:tcBorders>
            <w:shd w:val="clear" w:color="auto" w:fill="auto"/>
            <w:vAlign w:val="center"/>
          </w:tcPr>
          <w:p w14:paraId="05782C41" w14:textId="441C1830" w:rsidR="00F32086" w:rsidRPr="00F01216" w:rsidRDefault="00F32086" w:rsidP="00F32086">
            <w:pPr>
              <w:jc w:val="right"/>
              <w:rPr>
                <w:rFonts w:cs="Calibri"/>
                <w:color w:val="000000" w:themeColor="text1"/>
                <w:sz w:val="13"/>
                <w:szCs w:val="13"/>
              </w:rPr>
            </w:pPr>
            <w:r w:rsidRPr="00F01216">
              <w:rPr>
                <w:rFonts w:cs="Calibri"/>
                <w:i/>
                <w:color w:val="000000" w:themeColor="text1"/>
                <w:sz w:val="13"/>
                <w:szCs w:val="13"/>
              </w:rPr>
              <w:t>(50 504)</w:t>
            </w:r>
          </w:p>
        </w:tc>
        <w:tc>
          <w:tcPr>
            <w:tcW w:w="1418" w:type="dxa"/>
            <w:tcBorders>
              <w:top w:val="nil"/>
              <w:left w:val="nil"/>
              <w:bottom w:val="single" w:sz="4" w:space="0" w:color="0077BD"/>
              <w:right w:val="nil"/>
            </w:tcBorders>
            <w:shd w:val="clear" w:color="auto" w:fill="auto"/>
            <w:vAlign w:val="center"/>
            <w:hideMark/>
          </w:tcPr>
          <w:p w14:paraId="6E466EF6" w14:textId="0A3B72CE" w:rsidR="00F32086" w:rsidRPr="00F01216" w:rsidRDefault="00F32086" w:rsidP="00F32086">
            <w:pPr>
              <w:jc w:val="right"/>
              <w:rPr>
                <w:rFonts w:cs="Calibri"/>
                <w:color w:val="000000" w:themeColor="text1"/>
                <w:sz w:val="13"/>
                <w:szCs w:val="13"/>
              </w:rPr>
            </w:pPr>
            <w:r w:rsidRPr="00F01216">
              <w:rPr>
                <w:rFonts w:cs="Calibri"/>
                <w:i/>
                <w:color w:val="000000" w:themeColor="text1"/>
                <w:sz w:val="13"/>
                <w:szCs w:val="13"/>
              </w:rPr>
              <w:t>(40 357)</w:t>
            </w:r>
          </w:p>
        </w:tc>
      </w:tr>
      <w:tr w:rsidR="00F32086" w:rsidRPr="00F32086" w14:paraId="3E96B029" w14:textId="77777777" w:rsidTr="00F3208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5B38647" w14:textId="39EA45AD" w:rsidR="00F32086" w:rsidRPr="00F01216" w:rsidRDefault="00F32086" w:rsidP="00F32086">
            <w:pPr>
              <w:rPr>
                <w:rFonts w:cs="Calibri"/>
                <w:bCs/>
                <w:color w:val="000000" w:themeColor="text1"/>
                <w:sz w:val="13"/>
                <w:szCs w:val="13"/>
              </w:rPr>
            </w:pPr>
            <w:r w:rsidRPr="00F01216">
              <w:rPr>
                <w:rFonts w:cs="Calibri"/>
                <w:i/>
                <w:color w:val="000000" w:themeColor="text1"/>
                <w:sz w:val="13"/>
                <w:szCs w:val="13"/>
              </w:rPr>
              <w:t>- wynik z pozycji wymiany</w:t>
            </w:r>
          </w:p>
        </w:tc>
        <w:tc>
          <w:tcPr>
            <w:tcW w:w="1418" w:type="dxa"/>
            <w:tcBorders>
              <w:top w:val="nil"/>
              <w:left w:val="nil"/>
              <w:bottom w:val="single" w:sz="4" w:space="0" w:color="0077BD"/>
              <w:right w:val="single" w:sz="8" w:space="0" w:color="0077BD"/>
            </w:tcBorders>
            <w:shd w:val="clear" w:color="auto" w:fill="auto"/>
            <w:vAlign w:val="center"/>
          </w:tcPr>
          <w:p w14:paraId="533309FD" w14:textId="6CE22A0D" w:rsidR="00F32086" w:rsidRPr="00F01216" w:rsidRDefault="00F32086" w:rsidP="00F32086">
            <w:pPr>
              <w:jc w:val="right"/>
              <w:rPr>
                <w:rFonts w:cs="Calibri"/>
                <w:bCs/>
                <w:color w:val="000000" w:themeColor="text1"/>
                <w:sz w:val="13"/>
                <w:szCs w:val="13"/>
              </w:rPr>
            </w:pPr>
            <w:r w:rsidRPr="00F01216">
              <w:rPr>
                <w:rFonts w:cs="Calibri"/>
                <w:i/>
                <w:color w:val="000000" w:themeColor="text1"/>
                <w:sz w:val="13"/>
                <w:szCs w:val="13"/>
              </w:rPr>
              <w:t>1 380</w:t>
            </w:r>
          </w:p>
        </w:tc>
        <w:tc>
          <w:tcPr>
            <w:tcW w:w="1418" w:type="dxa"/>
            <w:tcBorders>
              <w:top w:val="nil"/>
              <w:left w:val="nil"/>
              <w:bottom w:val="single" w:sz="4" w:space="0" w:color="0077BD"/>
              <w:right w:val="nil"/>
            </w:tcBorders>
            <w:shd w:val="clear" w:color="auto" w:fill="auto"/>
            <w:vAlign w:val="center"/>
            <w:hideMark/>
          </w:tcPr>
          <w:p w14:paraId="68131197" w14:textId="6F201378" w:rsidR="00F32086" w:rsidRPr="00F01216" w:rsidRDefault="00F32086" w:rsidP="00F32086">
            <w:pPr>
              <w:jc w:val="right"/>
              <w:rPr>
                <w:rFonts w:cs="Calibri"/>
                <w:bCs/>
                <w:color w:val="000000" w:themeColor="text1"/>
                <w:sz w:val="13"/>
                <w:szCs w:val="13"/>
              </w:rPr>
            </w:pPr>
            <w:r w:rsidRPr="00F01216">
              <w:rPr>
                <w:rFonts w:cs="Calibri"/>
                <w:color w:val="000000" w:themeColor="text1"/>
                <w:sz w:val="13"/>
                <w:szCs w:val="13"/>
              </w:rPr>
              <w:t>-</w:t>
            </w:r>
          </w:p>
        </w:tc>
      </w:tr>
      <w:tr w:rsidR="00F32086" w:rsidRPr="00BB7C9E" w14:paraId="430AE5CA" w14:textId="77777777" w:rsidTr="00F32086">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5F0FAB9" w14:textId="203DA6BC" w:rsidR="00F32086" w:rsidRPr="00F01216" w:rsidRDefault="00F32086" w:rsidP="00F32086">
            <w:pPr>
              <w:rPr>
                <w:rFonts w:cs="Calibri"/>
                <w:color w:val="000000" w:themeColor="text1"/>
                <w:sz w:val="13"/>
                <w:szCs w:val="13"/>
              </w:rPr>
            </w:pPr>
            <w:r w:rsidRPr="00F01216">
              <w:rPr>
                <w:rFonts w:cs="Calibri"/>
                <w:b/>
                <w:bCs/>
                <w:color w:val="000000" w:themeColor="text1"/>
                <w:sz w:val="13"/>
                <w:szCs w:val="13"/>
              </w:rPr>
              <w:t>Skumulowane pozostałe dochody całkowite brutto na koniec okresu sprawozdawczego</w:t>
            </w:r>
          </w:p>
        </w:tc>
        <w:tc>
          <w:tcPr>
            <w:tcW w:w="1418" w:type="dxa"/>
            <w:tcBorders>
              <w:top w:val="single" w:sz="8" w:space="0" w:color="0077BD"/>
              <w:left w:val="nil"/>
              <w:bottom w:val="single" w:sz="8" w:space="0" w:color="0077BD"/>
              <w:right w:val="nil"/>
            </w:tcBorders>
            <w:shd w:val="clear" w:color="auto" w:fill="auto"/>
            <w:vAlign w:val="center"/>
          </w:tcPr>
          <w:p w14:paraId="78CF5F46" w14:textId="2507D5EE" w:rsidR="00F32086" w:rsidRPr="00F01216" w:rsidRDefault="00F32086" w:rsidP="00F32086">
            <w:pPr>
              <w:jc w:val="right"/>
              <w:rPr>
                <w:rFonts w:cs="Calibri"/>
                <w:color w:val="000000" w:themeColor="text1"/>
                <w:sz w:val="13"/>
                <w:szCs w:val="13"/>
              </w:rPr>
            </w:pPr>
            <w:r w:rsidRPr="00F01216">
              <w:rPr>
                <w:rFonts w:cs="Calibri"/>
                <w:b/>
                <w:bCs/>
                <w:color w:val="000000" w:themeColor="text1"/>
                <w:sz w:val="13"/>
                <w:szCs w:val="13"/>
              </w:rPr>
              <w:t>147 088</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4686F8FD" w14:textId="74F13591" w:rsidR="00F32086" w:rsidRPr="00F01216" w:rsidRDefault="00F32086" w:rsidP="00F32086">
            <w:pPr>
              <w:jc w:val="right"/>
              <w:rPr>
                <w:rFonts w:cs="Calibri"/>
                <w:color w:val="000000" w:themeColor="text1"/>
                <w:sz w:val="13"/>
                <w:szCs w:val="13"/>
              </w:rPr>
            </w:pPr>
            <w:r w:rsidRPr="00F01216">
              <w:rPr>
                <w:rFonts w:cs="Calibri"/>
                <w:b/>
                <w:bCs/>
                <w:color w:val="000000" w:themeColor="text1"/>
                <w:sz w:val="13"/>
                <w:szCs w:val="13"/>
              </w:rPr>
              <w:t>103 263</w:t>
            </w:r>
          </w:p>
        </w:tc>
      </w:tr>
      <w:tr w:rsidR="00F32086" w:rsidRPr="00BB7C9E" w14:paraId="0ACCB1E6" w14:textId="77777777" w:rsidTr="005A6D85">
        <w:trPr>
          <w:trHeight w:val="397"/>
        </w:trPr>
        <w:tc>
          <w:tcPr>
            <w:tcW w:w="6747" w:type="dxa"/>
            <w:tcBorders>
              <w:top w:val="nil"/>
              <w:left w:val="nil"/>
              <w:bottom w:val="single" w:sz="8" w:space="0" w:color="0077BD"/>
              <w:right w:val="single" w:sz="8" w:space="0" w:color="0077BD"/>
            </w:tcBorders>
            <w:shd w:val="clear" w:color="auto" w:fill="auto"/>
            <w:vAlign w:val="center"/>
            <w:hideMark/>
          </w:tcPr>
          <w:p w14:paraId="141E5518" w14:textId="3C06A914" w:rsidR="00F32086" w:rsidRPr="00F01216" w:rsidRDefault="00F32086" w:rsidP="00F32086">
            <w:pPr>
              <w:rPr>
                <w:rFonts w:cs="Calibri"/>
                <w:color w:val="000000" w:themeColor="text1"/>
                <w:sz w:val="13"/>
                <w:szCs w:val="13"/>
              </w:rPr>
            </w:pPr>
            <w:r w:rsidRPr="00F01216">
              <w:rPr>
                <w:rFonts w:cs="Calibri"/>
                <w:color w:val="000000" w:themeColor="text1"/>
                <w:sz w:val="13"/>
                <w:szCs w:val="13"/>
              </w:rPr>
              <w:t>Podatek odroczony z tytułu skumulowanych pozostałych dochodów całkowitych na koniec okresu sprawozdawczego</w:t>
            </w:r>
          </w:p>
        </w:tc>
        <w:tc>
          <w:tcPr>
            <w:tcW w:w="1418" w:type="dxa"/>
            <w:tcBorders>
              <w:top w:val="nil"/>
              <w:left w:val="nil"/>
              <w:bottom w:val="single" w:sz="8" w:space="0" w:color="0077BD"/>
              <w:right w:val="nil"/>
            </w:tcBorders>
            <w:shd w:val="clear" w:color="auto" w:fill="auto"/>
            <w:vAlign w:val="center"/>
          </w:tcPr>
          <w:p w14:paraId="6AB343F8" w14:textId="0B79401E" w:rsidR="00F32086" w:rsidRPr="00F01216" w:rsidRDefault="00F32086" w:rsidP="00F32086">
            <w:pPr>
              <w:jc w:val="right"/>
              <w:rPr>
                <w:rFonts w:cs="Calibri"/>
                <w:color w:val="000000" w:themeColor="text1"/>
                <w:sz w:val="13"/>
                <w:szCs w:val="13"/>
              </w:rPr>
            </w:pPr>
            <w:r w:rsidRPr="00F01216">
              <w:rPr>
                <w:rFonts w:cs="Calibri"/>
                <w:color w:val="000000" w:themeColor="text1"/>
                <w:sz w:val="13"/>
                <w:szCs w:val="13"/>
              </w:rPr>
              <w:t>(27 946)</w:t>
            </w:r>
          </w:p>
        </w:tc>
        <w:tc>
          <w:tcPr>
            <w:tcW w:w="1418" w:type="dxa"/>
            <w:tcBorders>
              <w:top w:val="nil"/>
              <w:left w:val="single" w:sz="8" w:space="0" w:color="0077BD"/>
              <w:bottom w:val="single" w:sz="8" w:space="0" w:color="0077BD"/>
              <w:right w:val="nil"/>
            </w:tcBorders>
            <w:shd w:val="clear" w:color="auto" w:fill="auto"/>
            <w:vAlign w:val="center"/>
            <w:hideMark/>
          </w:tcPr>
          <w:p w14:paraId="7A438185" w14:textId="4408C0BF" w:rsidR="00F32086" w:rsidRPr="00F01216" w:rsidRDefault="00F32086" w:rsidP="00F32086">
            <w:pPr>
              <w:jc w:val="right"/>
              <w:rPr>
                <w:rFonts w:cs="Calibri"/>
                <w:color w:val="000000" w:themeColor="text1"/>
                <w:sz w:val="13"/>
                <w:szCs w:val="13"/>
              </w:rPr>
            </w:pPr>
            <w:r w:rsidRPr="00F01216">
              <w:rPr>
                <w:rFonts w:cs="Calibri"/>
                <w:color w:val="000000" w:themeColor="text1"/>
                <w:sz w:val="13"/>
                <w:szCs w:val="13"/>
              </w:rPr>
              <w:t>(19 620)</w:t>
            </w:r>
          </w:p>
        </w:tc>
      </w:tr>
      <w:tr w:rsidR="00F32086" w:rsidRPr="00BB7C9E" w14:paraId="2AF5914A" w14:textId="77777777" w:rsidTr="005A6D85">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9D16B4A" w14:textId="6E10D794" w:rsidR="00F32086" w:rsidRPr="00F01216" w:rsidRDefault="00F32086" w:rsidP="00F32086">
            <w:pPr>
              <w:rPr>
                <w:rFonts w:cs="Calibri"/>
                <w:b/>
                <w:bCs/>
                <w:color w:val="000000" w:themeColor="text1"/>
                <w:sz w:val="13"/>
                <w:szCs w:val="13"/>
              </w:rPr>
            </w:pPr>
            <w:r w:rsidRPr="00F01216">
              <w:rPr>
                <w:rFonts w:cs="Calibri"/>
                <w:b/>
                <w:bCs/>
                <w:color w:val="000000" w:themeColor="text1"/>
                <w:sz w:val="13"/>
                <w:szCs w:val="13"/>
              </w:rPr>
              <w:t>Skumulowane pozostałe dochody całkowite netto na koniec okresu sprawozdawczego</w:t>
            </w:r>
          </w:p>
        </w:tc>
        <w:tc>
          <w:tcPr>
            <w:tcW w:w="1418" w:type="dxa"/>
            <w:tcBorders>
              <w:top w:val="single" w:sz="8" w:space="0" w:color="0077BD"/>
              <w:left w:val="nil"/>
              <w:bottom w:val="single" w:sz="8" w:space="0" w:color="0077BD"/>
              <w:right w:val="nil"/>
            </w:tcBorders>
            <w:shd w:val="clear" w:color="auto" w:fill="auto"/>
            <w:vAlign w:val="center"/>
          </w:tcPr>
          <w:p w14:paraId="220DF291" w14:textId="40AA2407" w:rsidR="00F32086" w:rsidRPr="00F01216" w:rsidRDefault="00F32086" w:rsidP="00F32086">
            <w:pPr>
              <w:jc w:val="right"/>
              <w:rPr>
                <w:rFonts w:cs="Calibri"/>
                <w:b/>
                <w:bCs/>
                <w:color w:val="000000" w:themeColor="text1"/>
                <w:sz w:val="13"/>
                <w:szCs w:val="13"/>
              </w:rPr>
            </w:pPr>
            <w:r w:rsidRPr="00F01216">
              <w:rPr>
                <w:rFonts w:cs="Calibri"/>
                <w:b/>
                <w:bCs/>
                <w:color w:val="000000" w:themeColor="text1"/>
                <w:sz w:val="13"/>
                <w:szCs w:val="13"/>
              </w:rPr>
              <w:t>119 142</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C1F61BF" w14:textId="3E92E678" w:rsidR="00F32086" w:rsidRPr="00F01216" w:rsidRDefault="00F32086" w:rsidP="00F32086">
            <w:pPr>
              <w:jc w:val="right"/>
              <w:rPr>
                <w:rFonts w:cs="Calibri"/>
                <w:b/>
                <w:bCs/>
                <w:color w:val="000000" w:themeColor="text1"/>
                <w:sz w:val="13"/>
                <w:szCs w:val="13"/>
              </w:rPr>
            </w:pPr>
            <w:r w:rsidRPr="00F01216">
              <w:rPr>
                <w:rFonts w:cs="Calibri"/>
                <w:b/>
                <w:bCs/>
                <w:color w:val="000000" w:themeColor="text1"/>
                <w:sz w:val="13"/>
                <w:szCs w:val="13"/>
              </w:rPr>
              <w:t>83 643</w:t>
            </w:r>
          </w:p>
        </w:tc>
      </w:tr>
      <w:tr w:rsidR="00975FDE" w:rsidRPr="00BB7C9E" w14:paraId="79A26E6F" w14:textId="77777777" w:rsidTr="005A6D85">
        <w:trPr>
          <w:trHeight w:val="284"/>
        </w:trPr>
        <w:tc>
          <w:tcPr>
            <w:tcW w:w="6747" w:type="dxa"/>
            <w:tcBorders>
              <w:top w:val="single" w:sz="8" w:space="0" w:color="0077BD"/>
              <w:left w:val="nil"/>
              <w:bottom w:val="single" w:sz="4" w:space="0" w:color="0077BD"/>
              <w:right w:val="single" w:sz="8" w:space="0" w:color="0077BD"/>
            </w:tcBorders>
            <w:shd w:val="clear" w:color="auto" w:fill="auto"/>
            <w:vAlign w:val="center"/>
          </w:tcPr>
          <w:p w14:paraId="7FAE6AC8" w14:textId="6EF25F81" w:rsidR="00975FDE" w:rsidRPr="00F01216" w:rsidRDefault="00975FDE" w:rsidP="00975FDE">
            <w:pPr>
              <w:rPr>
                <w:rFonts w:cs="Calibri"/>
                <w:b/>
                <w:bCs/>
                <w:color w:val="000000" w:themeColor="text1"/>
                <w:sz w:val="13"/>
                <w:szCs w:val="13"/>
              </w:rPr>
            </w:pPr>
            <w:r w:rsidRPr="00F01216">
              <w:rPr>
                <w:rFonts w:cs="Calibri"/>
                <w:color w:val="000000" w:themeColor="text1"/>
                <w:sz w:val="13"/>
                <w:szCs w:val="13"/>
              </w:rPr>
              <w:t>Wpływ w okresie sprawozdawczym na pozostałe dochody całkowite (brutto)</w:t>
            </w:r>
          </w:p>
        </w:tc>
        <w:tc>
          <w:tcPr>
            <w:tcW w:w="1418" w:type="dxa"/>
            <w:tcBorders>
              <w:top w:val="single" w:sz="8" w:space="0" w:color="0077BD"/>
              <w:left w:val="nil"/>
              <w:bottom w:val="single" w:sz="4" w:space="0" w:color="0077BD"/>
              <w:right w:val="nil"/>
            </w:tcBorders>
            <w:shd w:val="clear" w:color="auto" w:fill="auto"/>
            <w:vAlign w:val="center"/>
          </w:tcPr>
          <w:p w14:paraId="61437D08" w14:textId="67DB571F" w:rsidR="00975FDE" w:rsidRPr="00F01216" w:rsidRDefault="00975FDE" w:rsidP="00975FDE">
            <w:pPr>
              <w:jc w:val="right"/>
              <w:rPr>
                <w:rFonts w:cs="Calibri"/>
                <w:b/>
                <w:bCs/>
                <w:color w:val="000000" w:themeColor="text1"/>
                <w:sz w:val="13"/>
                <w:szCs w:val="13"/>
              </w:rPr>
            </w:pPr>
            <w:r w:rsidRPr="00F01216">
              <w:rPr>
                <w:rFonts w:cs="Calibri"/>
                <w:color w:val="000000" w:themeColor="text1"/>
                <w:sz w:val="13"/>
                <w:szCs w:val="13"/>
              </w:rPr>
              <w:t>43 825</w:t>
            </w:r>
          </w:p>
        </w:tc>
        <w:tc>
          <w:tcPr>
            <w:tcW w:w="1418" w:type="dxa"/>
            <w:tcBorders>
              <w:top w:val="single" w:sz="8" w:space="0" w:color="0077BD"/>
              <w:left w:val="single" w:sz="8" w:space="0" w:color="0077BD"/>
              <w:bottom w:val="single" w:sz="4" w:space="0" w:color="0077BD"/>
              <w:right w:val="nil"/>
            </w:tcBorders>
            <w:shd w:val="clear" w:color="auto" w:fill="auto"/>
            <w:vAlign w:val="center"/>
          </w:tcPr>
          <w:p w14:paraId="752077D7" w14:textId="64AA3E70" w:rsidR="00975FDE" w:rsidRPr="00F01216" w:rsidRDefault="00975FDE" w:rsidP="00975FDE">
            <w:pPr>
              <w:jc w:val="right"/>
              <w:rPr>
                <w:rFonts w:cs="Calibri"/>
                <w:b/>
                <w:bCs/>
                <w:color w:val="000000" w:themeColor="text1"/>
                <w:sz w:val="13"/>
                <w:szCs w:val="13"/>
              </w:rPr>
            </w:pPr>
            <w:r w:rsidRPr="00F01216">
              <w:rPr>
                <w:rFonts w:cs="Calibri"/>
                <w:color w:val="000000" w:themeColor="text1"/>
                <w:sz w:val="13"/>
                <w:szCs w:val="13"/>
              </w:rPr>
              <w:t>109 681</w:t>
            </w:r>
          </w:p>
        </w:tc>
      </w:tr>
      <w:tr w:rsidR="00975FDE" w:rsidRPr="00BB7C9E" w14:paraId="4DDFCE73" w14:textId="77777777" w:rsidTr="002C6DA9">
        <w:trPr>
          <w:trHeight w:val="284"/>
        </w:trPr>
        <w:tc>
          <w:tcPr>
            <w:tcW w:w="6747" w:type="dxa"/>
            <w:tcBorders>
              <w:top w:val="nil"/>
              <w:left w:val="nil"/>
              <w:bottom w:val="single" w:sz="4" w:space="0" w:color="0077BD"/>
              <w:right w:val="single" w:sz="8" w:space="0" w:color="0077BD"/>
            </w:tcBorders>
            <w:shd w:val="clear" w:color="auto" w:fill="auto"/>
            <w:vAlign w:val="center"/>
          </w:tcPr>
          <w:p w14:paraId="0B0B2499" w14:textId="6346D7FD" w:rsidR="00975FDE" w:rsidRPr="00F01216" w:rsidRDefault="00975FDE" w:rsidP="00975FDE">
            <w:pPr>
              <w:rPr>
                <w:rFonts w:cs="Calibri"/>
                <w:b/>
                <w:bCs/>
                <w:color w:val="000000" w:themeColor="text1"/>
                <w:sz w:val="13"/>
                <w:szCs w:val="13"/>
              </w:rPr>
            </w:pPr>
            <w:r w:rsidRPr="00F01216">
              <w:rPr>
                <w:rFonts w:cs="Calibri"/>
                <w:color w:val="000000" w:themeColor="text1"/>
                <w:sz w:val="13"/>
                <w:szCs w:val="13"/>
              </w:rPr>
              <w:t>Podatek odroczony z tytułu zabezpieczenia przepływów pieniężnych</w:t>
            </w:r>
          </w:p>
        </w:tc>
        <w:tc>
          <w:tcPr>
            <w:tcW w:w="1418" w:type="dxa"/>
            <w:tcBorders>
              <w:top w:val="nil"/>
              <w:left w:val="nil"/>
              <w:bottom w:val="single" w:sz="4" w:space="0" w:color="0077BD"/>
              <w:right w:val="single" w:sz="8" w:space="0" w:color="0077BD"/>
            </w:tcBorders>
            <w:shd w:val="clear" w:color="auto" w:fill="auto"/>
            <w:vAlign w:val="center"/>
          </w:tcPr>
          <w:p w14:paraId="4587BAAD" w14:textId="722A4A64" w:rsidR="00975FDE" w:rsidRPr="00F01216" w:rsidRDefault="00975FDE" w:rsidP="00975FDE">
            <w:pPr>
              <w:jc w:val="right"/>
              <w:rPr>
                <w:rFonts w:cs="Calibri"/>
                <w:b/>
                <w:bCs/>
                <w:color w:val="000000" w:themeColor="text1"/>
                <w:sz w:val="13"/>
                <w:szCs w:val="13"/>
              </w:rPr>
            </w:pPr>
            <w:r w:rsidRPr="00F01216">
              <w:rPr>
                <w:rFonts w:cs="Calibri"/>
                <w:color w:val="000000" w:themeColor="text1"/>
                <w:sz w:val="13"/>
                <w:szCs w:val="13"/>
              </w:rPr>
              <w:t>(8 326)</w:t>
            </w:r>
          </w:p>
        </w:tc>
        <w:tc>
          <w:tcPr>
            <w:tcW w:w="1418" w:type="dxa"/>
            <w:tcBorders>
              <w:top w:val="nil"/>
              <w:left w:val="nil"/>
              <w:bottom w:val="single" w:sz="4" w:space="0" w:color="0077BD"/>
              <w:right w:val="nil"/>
            </w:tcBorders>
            <w:shd w:val="clear" w:color="auto" w:fill="auto"/>
            <w:vAlign w:val="center"/>
          </w:tcPr>
          <w:p w14:paraId="0311686D" w14:textId="5B74DA42" w:rsidR="00975FDE" w:rsidRPr="00F01216" w:rsidRDefault="00975FDE" w:rsidP="00975FDE">
            <w:pPr>
              <w:jc w:val="right"/>
              <w:rPr>
                <w:rFonts w:cs="Calibri"/>
                <w:b/>
                <w:bCs/>
                <w:color w:val="000000" w:themeColor="text1"/>
                <w:sz w:val="13"/>
                <w:szCs w:val="13"/>
              </w:rPr>
            </w:pPr>
            <w:r w:rsidRPr="00F01216">
              <w:rPr>
                <w:rFonts w:cs="Calibri"/>
                <w:color w:val="000000" w:themeColor="text1"/>
                <w:sz w:val="13"/>
                <w:szCs w:val="13"/>
              </w:rPr>
              <w:t>(20 840)</w:t>
            </w:r>
          </w:p>
        </w:tc>
      </w:tr>
      <w:tr w:rsidR="00975FDE" w:rsidRPr="00BB7C9E" w14:paraId="49F6100C" w14:textId="77777777" w:rsidTr="002C6DA9">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tcPr>
          <w:p w14:paraId="58BE028A" w14:textId="2FD8F621" w:rsidR="00975FDE" w:rsidRPr="00F01216" w:rsidRDefault="00975FDE" w:rsidP="00975FDE">
            <w:pPr>
              <w:rPr>
                <w:rFonts w:cs="Calibri"/>
                <w:b/>
                <w:bCs/>
                <w:color w:val="000000" w:themeColor="text1"/>
                <w:sz w:val="13"/>
                <w:szCs w:val="13"/>
              </w:rPr>
            </w:pPr>
            <w:r w:rsidRPr="00F01216">
              <w:rPr>
                <w:rFonts w:cs="Calibri"/>
                <w:b/>
                <w:bCs/>
                <w:color w:val="000000" w:themeColor="text1"/>
                <w:sz w:val="13"/>
                <w:szCs w:val="13"/>
              </w:rPr>
              <w:t>Wpływ w okresie sprawozdawczym na pozostałe dochody całkowite (netto)</w:t>
            </w:r>
          </w:p>
        </w:tc>
        <w:tc>
          <w:tcPr>
            <w:tcW w:w="1418" w:type="dxa"/>
            <w:tcBorders>
              <w:top w:val="single" w:sz="8" w:space="0" w:color="0077BD"/>
              <w:left w:val="nil"/>
              <w:bottom w:val="single" w:sz="8" w:space="0" w:color="0077BD"/>
              <w:right w:val="nil"/>
            </w:tcBorders>
            <w:shd w:val="clear" w:color="auto" w:fill="auto"/>
            <w:vAlign w:val="center"/>
          </w:tcPr>
          <w:p w14:paraId="0C745981" w14:textId="2CE6009A" w:rsidR="00975FDE" w:rsidRPr="00F01216" w:rsidRDefault="00975FDE" w:rsidP="00975FDE">
            <w:pPr>
              <w:jc w:val="right"/>
              <w:rPr>
                <w:rFonts w:cs="Calibri"/>
                <w:b/>
                <w:bCs/>
                <w:color w:val="000000" w:themeColor="text1"/>
                <w:sz w:val="13"/>
                <w:szCs w:val="13"/>
              </w:rPr>
            </w:pPr>
            <w:r w:rsidRPr="00F01216">
              <w:rPr>
                <w:rFonts w:cs="Calibri"/>
                <w:b/>
                <w:bCs/>
                <w:color w:val="000000" w:themeColor="text1"/>
                <w:sz w:val="13"/>
                <w:szCs w:val="13"/>
              </w:rPr>
              <w:t>35 499</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669A5685" w14:textId="0EB1D9A2" w:rsidR="00975FDE" w:rsidRPr="00F01216" w:rsidRDefault="00975FDE" w:rsidP="00975FDE">
            <w:pPr>
              <w:jc w:val="right"/>
              <w:rPr>
                <w:rFonts w:cs="Calibri"/>
                <w:b/>
                <w:bCs/>
                <w:color w:val="000000" w:themeColor="text1"/>
                <w:sz w:val="13"/>
                <w:szCs w:val="13"/>
              </w:rPr>
            </w:pPr>
            <w:r w:rsidRPr="00F01216">
              <w:rPr>
                <w:rFonts w:cs="Calibri"/>
                <w:b/>
                <w:bCs/>
                <w:color w:val="000000" w:themeColor="text1"/>
                <w:sz w:val="13"/>
                <w:szCs w:val="13"/>
              </w:rPr>
              <w:t>88 841</w:t>
            </w:r>
          </w:p>
        </w:tc>
      </w:tr>
    </w:tbl>
    <w:p w14:paraId="3EA1AA1E" w14:textId="77777777" w:rsidR="003D53BB" w:rsidRDefault="003D53BB">
      <w:pPr>
        <w:rPr>
          <w:rFonts w:cs="Tahoma"/>
          <w:bCs/>
          <w:color w:val="201C17"/>
          <w:sz w:val="18"/>
          <w:szCs w:val="18"/>
        </w:rPr>
      </w:pPr>
      <w:r>
        <w:rPr>
          <w:rFonts w:cs="Tahoma"/>
          <w:bCs/>
          <w:color w:val="201C17"/>
          <w:sz w:val="18"/>
          <w:szCs w:val="18"/>
        </w:rPr>
        <w:br w:type="page"/>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2C2436" w:rsidRPr="00A93CB7" w14:paraId="7DDFC2B7" w14:textId="77777777" w:rsidTr="002C2436">
        <w:trPr>
          <w:trHeight w:val="454"/>
        </w:trPr>
        <w:tc>
          <w:tcPr>
            <w:tcW w:w="6747" w:type="dxa"/>
            <w:tcBorders>
              <w:top w:val="nil"/>
              <w:left w:val="nil"/>
              <w:right w:val="single" w:sz="8" w:space="0" w:color="FFFFFF"/>
            </w:tcBorders>
            <w:shd w:val="clear" w:color="000000" w:fill="0077BD"/>
            <w:noWrap/>
            <w:vAlign w:val="center"/>
            <w:hideMark/>
          </w:tcPr>
          <w:p w14:paraId="049863A5" w14:textId="2FB65125" w:rsidR="002C2436" w:rsidRPr="00A93CB7" w:rsidRDefault="002C2436" w:rsidP="002C2436">
            <w:pPr>
              <w:jc w:val="right"/>
              <w:rPr>
                <w:rFonts w:cs="Calibri"/>
                <w:color w:val="99CCFF"/>
                <w:sz w:val="13"/>
                <w:szCs w:val="13"/>
              </w:rPr>
            </w:pPr>
            <w:r>
              <w:rPr>
                <w:rFonts w:cs="Calibri"/>
                <w:b/>
                <w:color w:val="FFFFFF" w:themeColor="background1"/>
                <w:sz w:val="13"/>
                <w:szCs w:val="13"/>
              </w:rPr>
              <w:lastRenderedPageBreak/>
              <w:t xml:space="preserve">Za </w:t>
            </w:r>
            <w:r w:rsidRPr="00F86041">
              <w:rPr>
                <w:rFonts w:cs="Calibri"/>
                <w:b/>
                <w:color w:val="FFFFFF" w:themeColor="background1"/>
                <w:sz w:val="13"/>
                <w:szCs w:val="13"/>
              </w:rPr>
              <w:t>okres</w:t>
            </w:r>
          </w:p>
        </w:tc>
        <w:tc>
          <w:tcPr>
            <w:tcW w:w="1418" w:type="dxa"/>
            <w:tcBorders>
              <w:top w:val="nil"/>
              <w:left w:val="nil"/>
              <w:right w:val="single" w:sz="8" w:space="0" w:color="FFFFFF"/>
            </w:tcBorders>
            <w:shd w:val="clear" w:color="000000" w:fill="0077BD"/>
            <w:vAlign w:val="center"/>
          </w:tcPr>
          <w:p w14:paraId="5666C96E" w14:textId="2CF90A43" w:rsidR="002C2436" w:rsidRPr="00A93CB7" w:rsidRDefault="002C2436" w:rsidP="002C2436">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2019</w:t>
            </w:r>
            <w:r>
              <w:rPr>
                <w:rFonts w:cs="Calibri"/>
                <w:b/>
                <w:bCs/>
                <w:color w:val="FFFFFF"/>
                <w:sz w:val="13"/>
                <w:szCs w:val="13"/>
              </w:rPr>
              <w:br/>
              <w:t>do 31.12.2019</w:t>
            </w:r>
          </w:p>
        </w:tc>
        <w:tc>
          <w:tcPr>
            <w:tcW w:w="1418" w:type="dxa"/>
            <w:tcBorders>
              <w:top w:val="nil"/>
              <w:left w:val="nil"/>
              <w:right w:val="single" w:sz="8" w:space="0" w:color="FFFFFF"/>
            </w:tcBorders>
            <w:shd w:val="clear" w:color="000000" w:fill="0077BD"/>
            <w:vAlign w:val="center"/>
          </w:tcPr>
          <w:p w14:paraId="653358BA" w14:textId="690B7BFD" w:rsidR="002C2436" w:rsidRPr="00A93CB7" w:rsidRDefault="002C2436" w:rsidP="002C2436">
            <w:pPr>
              <w:jc w:val="right"/>
              <w:rPr>
                <w:rFonts w:cs="Calibri"/>
                <w:b/>
                <w:bCs/>
                <w:color w:val="FFFFFF"/>
                <w:sz w:val="13"/>
                <w:szCs w:val="13"/>
              </w:rPr>
            </w:pPr>
            <w:r>
              <w:rPr>
                <w:rFonts w:cs="Calibri"/>
                <w:b/>
                <w:bCs/>
                <w:color w:val="FFFFFF"/>
                <w:sz w:val="13"/>
                <w:szCs w:val="13"/>
              </w:rPr>
              <w:t>od 01.01.</w:t>
            </w:r>
            <w:r w:rsidRPr="003D2B44">
              <w:rPr>
                <w:rFonts w:cs="Calibri"/>
                <w:b/>
                <w:bCs/>
                <w:color w:val="FFFFFF"/>
                <w:sz w:val="13"/>
                <w:szCs w:val="13"/>
              </w:rPr>
              <w:t>201</w:t>
            </w:r>
            <w:r>
              <w:rPr>
                <w:rFonts w:cs="Calibri"/>
                <w:b/>
                <w:bCs/>
                <w:color w:val="FFFFFF"/>
                <w:sz w:val="13"/>
                <w:szCs w:val="13"/>
              </w:rPr>
              <w:t>8</w:t>
            </w:r>
            <w:r>
              <w:rPr>
                <w:rFonts w:cs="Calibri"/>
                <w:b/>
                <w:bCs/>
                <w:color w:val="FFFFFF"/>
                <w:sz w:val="13"/>
                <w:szCs w:val="13"/>
              </w:rPr>
              <w:br/>
              <w:t>do 31.12.2018</w:t>
            </w:r>
          </w:p>
        </w:tc>
      </w:tr>
      <w:tr w:rsidR="00A93CB7" w:rsidRPr="00BB7C9E" w14:paraId="24B7E68D" w14:textId="77777777" w:rsidTr="00F86041">
        <w:trPr>
          <w:trHeight w:val="284"/>
        </w:trPr>
        <w:tc>
          <w:tcPr>
            <w:tcW w:w="9583" w:type="dxa"/>
            <w:gridSpan w:val="3"/>
            <w:tcBorders>
              <w:top w:val="single" w:sz="8" w:space="0" w:color="0077BD"/>
              <w:left w:val="nil"/>
              <w:bottom w:val="single" w:sz="8" w:space="0" w:color="0077BD"/>
              <w:right w:val="nil"/>
            </w:tcBorders>
            <w:shd w:val="clear" w:color="auto" w:fill="auto"/>
            <w:vAlign w:val="center"/>
            <w:hideMark/>
          </w:tcPr>
          <w:p w14:paraId="41ACFECD" w14:textId="77777777" w:rsidR="00A93CB7" w:rsidRPr="00F01216" w:rsidRDefault="00A93CB7" w:rsidP="00A93CB7">
            <w:pPr>
              <w:rPr>
                <w:rFonts w:cs="Calibri"/>
                <w:b/>
                <w:bCs/>
                <w:color w:val="000000" w:themeColor="text1"/>
                <w:sz w:val="13"/>
                <w:szCs w:val="13"/>
              </w:rPr>
            </w:pPr>
            <w:r w:rsidRPr="00F01216">
              <w:rPr>
                <w:rFonts w:cs="Calibri"/>
                <w:b/>
                <w:bCs/>
                <w:color w:val="000000" w:themeColor="text1"/>
                <w:sz w:val="13"/>
                <w:szCs w:val="13"/>
              </w:rPr>
              <w:t>Zyski/straty odniesione na dochody całkowite brutto w okresie sprawozdawczym, w tym:</w:t>
            </w:r>
          </w:p>
        </w:tc>
      </w:tr>
      <w:tr w:rsidR="00304B62" w:rsidRPr="00BB7C9E" w14:paraId="2FD3F01F" w14:textId="77777777" w:rsidTr="00B6072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E146E2A" w14:textId="7F156370" w:rsidR="00304B62" w:rsidRPr="00F01216" w:rsidRDefault="00D01157" w:rsidP="00304B62">
            <w:pPr>
              <w:rPr>
                <w:rFonts w:cs="Calibri"/>
                <w:color w:val="000000" w:themeColor="text1"/>
                <w:sz w:val="13"/>
                <w:szCs w:val="13"/>
              </w:rPr>
            </w:pPr>
            <w:r w:rsidRPr="00F01216">
              <w:rPr>
                <w:rFonts w:cs="Calibri"/>
                <w:color w:val="000000" w:themeColor="text1"/>
                <w:sz w:val="13"/>
                <w:szCs w:val="13"/>
              </w:rPr>
              <w:t>N</w:t>
            </w:r>
            <w:r w:rsidR="00304B62" w:rsidRPr="00F01216">
              <w:rPr>
                <w:rFonts w:cs="Calibri"/>
                <w:color w:val="000000" w:themeColor="text1"/>
                <w:sz w:val="13"/>
                <w:szCs w:val="13"/>
              </w:rPr>
              <w:t xml:space="preserve">iezrealizowane zyski/straty ujęte w pozostałych dochodach całkowitych brutto </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0D30AEA" w14:textId="5EDDC938" w:rsidR="00304B62" w:rsidRPr="00F01216" w:rsidRDefault="00304B62" w:rsidP="00304B62">
            <w:pPr>
              <w:jc w:val="right"/>
              <w:rPr>
                <w:rFonts w:cs="Calibri"/>
                <w:color w:val="000000" w:themeColor="text1"/>
                <w:sz w:val="13"/>
                <w:szCs w:val="13"/>
              </w:rPr>
            </w:pPr>
            <w:r w:rsidRPr="00F01216">
              <w:rPr>
                <w:rFonts w:cs="Calibri"/>
                <w:color w:val="000000" w:themeColor="text1"/>
                <w:sz w:val="13"/>
                <w:szCs w:val="13"/>
              </w:rPr>
              <w:t>43 825</w:t>
            </w:r>
          </w:p>
        </w:tc>
        <w:tc>
          <w:tcPr>
            <w:tcW w:w="1418" w:type="dxa"/>
            <w:tcBorders>
              <w:top w:val="nil"/>
              <w:left w:val="nil"/>
              <w:bottom w:val="single" w:sz="4" w:space="0" w:color="0077BD"/>
              <w:right w:val="nil"/>
            </w:tcBorders>
            <w:shd w:val="clear" w:color="auto" w:fill="auto"/>
            <w:vAlign w:val="center"/>
            <w:hideMark/>
          </w:tcPr>
          <w:p w14:paraId="2B567BB1" w14:textId="77777777" w:rsidR="00304B62" w:rsidRPr="00F01216" w:rsidRDefault="00304B62" w:rsidP="00304B62">
            <w:pPr>
              <w:jc w:val="right"/>
              <w:rPr>
                <w:rFonts w:cs="Calibri"/>
                <w:color w:val="000000" w:themeColor="text1"/>
                <w:sz w:val="13"/>
                <w:szCs w:val="13"/>
              </w:rPr>
            </w:pPr>
            <w:r w:rsidRPr="00F01216">
              <w:rPr>
                <w:rFonts w:cs="Calibri"/>
                <w:color w:val="000000" w:themeColor="text1"/>
                <w:sz w:val="13"/>
                <w:szCs w:val="13"/>
              </w:rPr>
              <w:t>109 681</w:t>
            </w:r>
          </w:p>
        </w:tc>
      </w:tr>
      <w:tr w:rsidR="00D01157" w:rsidRPr="00BB7C9E" w14:paraId="1DE9D56B" w14:textId="77777777" w:rsidTr="00B60729">
        <w:trPr>
          <w:trHeight w:val="284"/>
        </w:trPr>
        <w:tc>
          <w:tcPr>
            <w:tcW w:w="6747" w:type="dxa"/>
            <w:tcBorders>
              <w:top w:val="nil"/>
              <w:left w:val="nil"/>
              <w:bottom w:val="single" w:sz="4" w:space="0" w:color="0077BD"/>
              <w:right w:val="single" w:sz="8" w:space="0" w:color="0077BD"/>
            </w:tcBorders>
            <w:shd w:val="clear" w:color="auto" w:fill="auto"/>
            <w:vAlign w:val="center"/>
          </w:tcPr>
          <w:p w14:paraId="0D9F58B9" w14:textId="7186738C" w:rsidR="00D01157" w:rsidRPr="00F01216" w:rsidRDefault="00D01157" w:rsidP="00D01157">
            <w:pPr>
              <w:rPr>
                <w:rFonts w:cs="Calibri"/>
                <w:color w:val="000000" w:themeColor="text1"/>
                <w:sz w:val="13"/>
                <w:szCs w:val="13"/>
              </w:rPr>
            </w:pPr>
            <w:r w:rsidRPr="00F01216">
              <w:rPr>
                <w:rFonts w:cs="Calibri"/>
                <w:color w:val="000000" w:themeColor="text1"/>
                <w:sz w:val="13"/>
                <w:szCs w:val="13"/>
              </w:rPr>
              <w:t>Wynik na rachunkowości zabezpieczeń przepływów pieniężnych ujęty w rachunku zysków i strat</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51B65F5" w14:textId="64B69A7F" w:rsidR="00D01157" w:rsidRPr="00F01216" w:rsidRDefault="00410369" w:rsidP="00D01157">
            <w:pPr>
              <w:jc w:val="right"/>
              <w:rPr>
                <w:rFonts w:cs="Calibri"/>
                <w:color w:val="000000" w:themeColor="text1"/>
                <w:sz w:val="13"/>
                <w:szCs w:val="13"/>
              </w:rPr>
            </w:pPr>
            <w:r w:rsidRPr="00F01216">
              <w:rPr>
                <w:rFonts w:cs="Calibri"/>
                <w:color w:val="000000" w:themeColor="text1"/>
                <w:sz w:val="13"/>
                <w:szCs w:val="13"/>
              </w:rPr>
              <w:t>46 896</w:t>
            </w:r>
          </w:p>
        </w:tc>
        <w:tc>
          <w:tcPr>
            <w:tcW w:w="1418" w:type="dxa"/>
            <w:tcBorders>
              <w:top w:val="nil"/>
              <w:left w:val="nil"/>
              <w:bottom w:val="single" w:sz="4" w:space="0" w:color="0077BD"/>
              <w:right w:val="nil"/>
            </w:tcBorders>
            <w:shd w:val="clear" w:color="auto" w:fill="auto"/>
            <w:vAlign w:val="center"/>
          </w:tcPr>
          <w:p w14:paraId="77233D0B" w14:textId="3939E8EA" w:rsidR="00D01157" w:rsidRPr="00F01216" w:rsidRDefault="00410369" w:rsidP="00D01157">
            <w:pPr>
              <w:jc w:val="right"/>
              <w:rPr>
                <w:rFonts w:cs="Calibri"/>
                <w:color w:val="000000" w:themeColor="text1"/>
                <w:sz w:val="13"/>
                <w:szCs w:val="13"/>
              </w:rPr>
            </w:pPr>
            <w:r w:rsidRPr="00F01216">
              <w:rPr>
                <w:rFonts w:cs="Calibri"/>
                <w:color w:val="000000" w:themeColor="text1"/>
                <w:sz w:val="13"/>
                <w:szCs w:val="13"/>
              </w:rPr>
              <w:t>43 749</w:t>
            </w:r>
          </w:p>
        </w:tc>
      </w:tr>
      <w:tr w:rsidR="00D01157" w:rsidRPr="00D01157" w14:paraId="1CF2BC33" w14:textId="77777777" w:rsidTr="00D01157">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70AF9F4A" w14:textId="4AC140CD" w:rsidR="00D01157" w:rsidRPr="00F01216" w:rsidRDefault="00D01157" w:rsidP="00D01157">
            <w:pPr>
              <w:ind w:left="110" w:hanging="110"/>
              <w:rPr>
                <w:rFonts w:cs="Calibri"/>
                <w:i/>
                <w:color w:val="000000" w:themeColor="text1"/>
                <w:sz w:val="13"/>
                <w:szCs w:val="13"/>
              </w:rPr>
            </w:pPr>
            <w:r w:rsidRPr="00F01216">
              <w:rPr>
                <w:rFonts w:cs="Calibri"/>
                <w:i/>
                <w:color w:val="000000" w:themeColor="text1"/>
                <w:sz w:val="13"/>
                <w:szCs w:val="13"/>
              </w:rPr>
              <w:t xml:space="preserve"> - kwota ujęta w okresie sprawozdawczym w przychodach z tytułu odsetek w rachunku zysków i strat (Nota 6)</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1C7EC568" w14:textId="7D7D5F47" w:rsidR="00D01157" w:rsidRPr="00F01216" w:rsidRDefault="00D01157" w:rsidP="00D01157">
            <w:pPr>
              <w:jc w:val="right"/>
              <w:rPr>
                <w:rFonts w:cs="Calibri"/>
                <w:i/>
                <w:color w:val="000000" w:themeColor="text1"/>
                <w:sz w:val="13"/>
                <w:szCs w:val="13"/>
              </w:rPr>
            </w:pPr>
            <w:r w:rsidRPr="00F01216">
              <w:rPr>
                <w:rFonts w:cs="Calibri"/>
                <w:i/>
                <w:color w:val="000000" w:themeColor="text1"/>
                <w:sz w:val="13"/>
                <w:szCs w:val="13"/>
              </w:rPr>
              <w:t>50 504</w:t>
            </w:r>
          </w:p>
        </w:tc>
        <w:tc>
          <w:tcPr>
            <w:tcW w:w="1418" w:type="dxa"/>
            <w:tcBorders>
              <w:top w:val="nil"/>
              <w:left w:val="nil"/>
              <w:bottom w:val="single" w:sz="4" w:space="0" w:color="0077BD"/>
              <w:right w:val="nil"/>
            </w:tcBorders>
            <w:shd w:val="clear" w:color="auto" w:fill="auto"/>
            <w:vAlign w:val="center"/>
            <w:hideMark/>
          </w:tcPr>
          <w:p w14:paraId="4667F36F" w14:textId="77777777" w:rsidR="00D01157" w:rsidRPr="00F01216" w:rsidRDefault="00D01157" w:rsidP="00D01157">
            <w:pPr>
              <w:jc w:val="right"/>
              <w:rPr>
                <w:rFonts w:cs="Calibri"/>
                <w:i/>
                <w:color w:val="000000" w:themeColor="text1"/>
                <w:sz w:val="13"/>
                <w:szCs w:val="13"/>
              </w:rPr>
            </w:pPr>
            <w:r w:rsidRPr="00F01216">
              <w:rPr>
                <w:rFonts w:cs="Calibri"/>
                <w:i/>
                <w:color w:val="000000" w:themeColor="text1"/>
                <w:sz w:val="13"/>
                <w:szCs w:val="13"/>
              </w:rPr>
              <w:t>40 357</w:t>
            </w:r>
          </w:p>
        </w:tc>
      </w:tr>
      <w:tr w:rsidR="00D01157" w:rsidRPr="00D01157" w14:paraId="1E4ECE8F" w14:textId="77777777" w:rsidTr="00D01157">
        <w:trPr>
          <w:trHeight w:val="340"/>
        </w:trPr>
        <w:tc>
          <w:tcPr>
            <w:tcW w:w="6747" w:type="dxa"/>
            <w:tcBorders>
              <w:top w:val="nil"/>
              <w:left w:val="nil"/>
              <w:bottom w:val="single" w:sz="4" w:space="0" w:color="0077BD"/>
              <w:right w:val="single" w:sz="8" w:space="0" w:color="0077BD"/>
            </w:tcBorders>
            <w:shd w:val="clear" w:color="auto" w:fill="auto"/>
            <w:vAlign w:val="center"/>
          </w:tcPr>
          <w:p w14:paraId="3B18D5F9" w14:textId="4DC59A06" w:rsidR="00D01157" w:rsidRPr="00F01216" w:rsidRDefault="00D01157" w:rsidP="00D01157">
            <w:pPr>
              <w:ind w:left="115" w:hanging="115"/>
              <w:rPr>
                <w:rFonts w:cs="Calibri"/>
                <w:i/>
                <w:color w:val="000000" w:themeColor="text1"/>
                <w:sz w:val="13"/>
                <w:szCs w:val="13"/>
              </w:rPr>
            </w:pPr>
            <w:r w:rsidRPr="00F01216">
              <w:rPr>
                <w:rFonts w:cs="Calibri"/>
                <w:i/>
                <w:color w:val="000000" w:themeColor="text1"/>
                <w:sz w:val="13"/>
                <w:szCs w:val="13"/>
              </w:rPr>
              <w:t xml:space="preserve"> - nieefektywna część zabezpieczenia ujęta w rachunku zysków i strat w wyniku na pozostałej działalności handlowej (Nota 9)</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42D58261" w14:textId="106F7683" w:rsidR="00D01157" w:rsidRPr="00F01216" w:rsidRDefault="00D01157" w:rsidP="003D6AA8">
            <w:pPr>
              <w:jc w:val="right"/>
              <w:rPr>
                <w:rFonts w:cs="Calibri"/>
                <w:i/>
                <w:color w:val="000000" w:themeColor="text1"/>
                <w:sz w:val="13"/>
                <w:szCs w:val="13"/>
              </w:rPr>
            </w:pPr>
            <w:r w:rsidRPr="00F01216">
              <w:rPr>
                <w:rFonts w:cs="Calibri"/>
                <w:i/>
                <w:color w:val="000000" w:themeColor="text1"/>
                <w:sz w:val="13"/>
                <w:szCs w:val="13"/>
              </w:rPr>
              <w:t>(</w:t>
            </w:r>
            <w:r w:rsidR="003D6AA8">
              <w:rPr>
                <w:rFonts w:cs="Calibri"/>
                <w:i/>
                <w:color w:val="000000" w:themeColor="text1"/>
                <w:sz w:val="13"/>
                <w:szCs w:val="13"/>
              </w:rPr>
              <w:t>2 228</w:t>
            </w:r>
            <w:r w:rsidRPr="00F01216">
              <w:rPr>
                <w:rFonts w:cs="Calibri"/>
                <w:i/>
                <w:color w:val="000000" w:themeColor="text1"/>
                <w:sz w:val="13"/>
                <w:szCs w:val="13"/>
              </w:rPr>
              <w:t>)</w:t>
            </w:r>
          </w:p>
        </w:tc>
        <w:tc>
          <w:tcPr>
            <w:tcW w:w="1418" w:type="dxa"/>
            <w:tcBorders>
              <w:top w:val="nil"/>
              <w:left w:val="nil"/>
              <w:bottom w:val="single" w:sz="4" w:space="0" w:color="0077BD"/>
              <w:right w:val="nil"/>
            </w:tcBorders>
            <w:shd w:val="clear" w:color="auto" w:fill="auto"/>
            <w:vAlign w:val="center"/>
          </w:tcPr>
          <w:p w14:paraId="13F7A3AD" w14:textId="6C722091" w:rsidR="00D01157" w:rsidRPr="00F01216" w:rsidRDefault="00D01157" w:rsidP="00D01157">
            <w:pPr>
              <w:jc w:val="right"/>
              <w:rPr>
                <w:rFonts w:cs="Calibri"/>
                <w:i/>
                <w:color w:val="000000" w:themeColor="text1"/>
                <w:sz w:val="13"/>
                <w:szCs w:val="13"/>
              </w:rPr>
            </w:pPr>
            <w:r w:rsidRPr="00F01216">
              <w:rPr>
                <w:rFonts w:cs="Calibri"/>
                <w:i/>
                <w:color w:val="000000" w:themeColor="text1"/>
                <w:sz w:val="13"/>
                <w:szCs w:val="13"/>
              </w:rPr>
              <w:t>3 392</w:t>
            </w:r>
          </w:p>
        </w:tc>
      </w:tr>
      <w:tr w:rsidR="00D01157" w:rsidRPr="00D01157" w14:paraId="629AFAC3" w14:textId="77777777" w:rsidTr="00D01157">
        <w:trPr>
          <w:trHeight w:val="284"/>
        </w:trPr>
        <w:tc>
          <w:tcPr>
            <w:tcW w:w="6747" w:type="dxa"/>
            <w:tcBorders>
              <w:top w:val="nil"/>
              <w:left w:val="nil"/>
              <w:bottom w:val="single" w:sz="4" w:space="0" w:color="0077BD"/>
              <w:right w:val="single" w:sz="8" w:space="0" w:color="0077BD"/>
            </w:tcBorders>
            <w:shd w:val="clear" w:color="auto" w:fill="auto"/>
            <w:vAlign w:val="center"/>
          </w:tcPr>
          <w:p w14:paraId="0F2E2F6D" w14:textId="41DE066C" w:rsidR="00D01157" w:rsidRPr="00F01216" w:rsidRDefault="00D01157" w:rsidP="00D01157">
            <w:pPr>
              <w:rPr>
                <w:rFonts w:cs="Calibri"/>
                <w:i/>
                <w:color w:val="000000" w:themeColor="text1"/>
                <w:sz w:val="13"/>
                <w:szCs w:val="13"/>
              </w:rPr>
            </w:pPr>
            <w:r w:rsidRPr="00F01216">
              <w:rPr>
                <w:rFonts w:cs="Calibri"/>
                <w:i/>
                <w:color w:val="000000" w:themeColor="text1"/>
                <w:sz w:val="13"/>
                <w:szCs w:val="13"/>
              </w:rPr>
              <w:t xml:space="preserve"> - wynik z pozycji wymiany</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9DE25BC" w14:textId="3D67FF52" w:rsidR="00D01157" w:rsidRPr="00F01216" w:rsidRDefault="00D01157" w:rsidP="00D01157">
            <w:pPr>
              <w:jc w:val="right"/>
              <w:rPr>
                <w:rFonts w:cs="Calibri"/>
                <w:i/>
                <w:color w:val="000000" w:themeColor="text1"/>
                <w:sz w:val="13"/>
                <w:szCs w:val="13"/>
              </w:rPr>
            </w:pPr>
            <w:r w:rsidRPr="00F01216">
              <w:rPr>
                <w:rFonts w:cs="Calibri"/>
                <w:i/>
                <w:color w:val="000000" w:themeColor="text1"/>
                <w:sz w:val="13"/>
                <w:szCs w:val="13"/>
              </w:rPr>
              <w:t>(1 380)</w:t>
            </w:r>
          </w:p>
        </w:tc>
        <w:tc>
          <w:tcPr>
            <w:tcW w:w="1418" w:type="dxa"/>
            <w:tcBorders>
              <w:top w:val="nil"/>
              <w:left w:val="nil"/>
              <w:bottom w:val="single" w:sz="4" w:space="0" w:color="0077BD"/>
              <w:right w:val="nil"/>
            </w:tcBorders>
            <w:shd w:val="clear" w:color="auto" w:fill="auto"/>
            <w:vAlign w:val="center"/>
          </w:tcPr>
          <w:p w14:paraId="5A5AA5E4" w14:textId="1A65907D" w:rsidR="00D01157" w:rsidRPr="00F01216" w:rsidRDefault="00D01157" w:rsidP="00D01157">
            <w:pPr>
              <w:jc w:val="right"/>
              <w:rPr>
                <w:rFonts w:cs="Calibri"/>
                <w:i/>
                <w:color w:val="000000" w:themeColor="text1"/>
                <w:sz w:val="13"/>
                <w:szCs w:val="13"/>
              </w:rPr>
            </w:pPr>
            <w:r w:rsidRPr="00F01216">
              <w:rPr>
                <w:rFonts w:cs="Calibri"/>
                <w:i/>
                <w:color w:val="000000" w:themeColor="text1"/>
                <w:sz w:val="13"/>
                <w:szCs w:val="13"/>
              </w:rPr>
              <w:t>-</w:t>
            </w:r>
          </w:p>
        </w:tc>
      </w:tr>
      <w:tr w:rsidR="00D01157" w:rsidRPr="00BB7C9E" w14:paraId="7B86C066" w14:textId="77777777" w:rsidTr="00B6072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4D32C96" w14:textId="77777777" w:rsidR="00D01157" w:rsidRPr="00F01216" w:rsidRDefault="00D01157" w:rsidP="00D01157">
            <w:pPr>
              <w:rPr>
                <w:rFonts w:cs="Calibri"/>
                <w:b/>
                <w:bCs/>
                <w:color w:val="000000" w:themeColor="text1"/>
                <w:sz w:val="13"/>
                <w:szCs w:val="13"/>
              </w:rPr>
            </w:pPr>
            <w:r w:rsidRPr="00F01216">
              <w:rPr>
                <w:rFonts w:cs="Calibri"/>
                <w:b/>
                <w:bCs/>
                <w:color w:val="000000" w:themeColor="text1"/>
                <w:sz w:val="13"/>
                <w:szCs w:val="13"/>
              </w:rPr>
              <w:t>Wpływ w okresie sprawozdawczym na dochody całkowite brutto</w:t>
            </w:r>
          </w:p>
        </w:tc>
        <w:tc>
          <w:tcPr>
            <w:tcW w:w="1418" w:type="dxa"/>
            <w:tcBorders>
              <w:top w:val="nil"/>
              <w:left w:val="single" w:sz="8" w:space="0" w:color="0077BD"/>
              <w:bottom w:val="single" w:sz="8" w:space="0" w:color="0077BD"/>
              <w:right w:val="nil"/>
            </w:tcBorders>
            <w:shd w:val="clear" w:color="auto" w:fill="auto"/>
            <w:vAlign w:val="center"/>
          </w:tcPr>
          <w:p w14:paraId="6462690E" w14:textId="46263160" w:rsidR="00D01157" w:rsidRPr="00F01216" w:rsidRDefault="00DE05EC" w:rsidP="00DE05EC">
            <w:pPr>
              <w:jc w:val="right"/>
              <w:rPr>
                <w:rFonts w:cs="Calibri"/>
                <w:b/>
                <w:bCs/>
                <w:color w:val="000000" w:themeColor="text1"/>
                <w:sz w:val="13"/>
                <w:szCs w:val="13"/>
              </w:rPr>
            </w:pPr>
            <w:r>
              <w:rPr>
                <w:rFonts w:cs="Calibri"/>
                <w:b/>
                <w:bCs/>
                <w:color w:val="000000" w:themeColor="text1"/>
                <w:sz w:val="13"/>
                <w:szCs w:val="13"/>
              </w:rPr>
              <w:t>90</w:t>
            </w:r>
            <w:r w:rsidR="00D01157" w:rsidRPr="00F01216">
              <w:rPr>
                <w:rFonts w:cs="Calibri"/>
                <w:b/>
                <w:bCs/>
                <w:color w:val="000000" w:themeColor="text1"/>
                <w:sz w:val="13"/>
                <w:szCs w:val="13"/>
              </w:rPr>
              <w:t xml:space="preserve"> </w:t>
            </w:r>
            <w:r>
              <w:rPr>
                <w:rFonts w:cs="Calibri"/>
                <w:b/>
                <w:bCs/>
                <w:color w:val="000000" w:themeColor="text1"/>
                <w:sz w:val="13"/>
                <w:szCs w:val="13"/>
              </w:rPr>
              <w:t>721</w:t>
            </w:r>
          </w:p>
        </w:tc>
        <w:tc>
          <w:tcPr>
            <w:tcW w:w="1418" w:type="dxa"/>
            <w:tcBorders>
              <w:top w:val="nil"/>
              <w:left w:val="single" w:sz="8" w:space="0" w:color="0077BD"/>
              <w:bottom w:val="single" w:sz="8" w:space="0" w:color="0077BD"/>
              <w:right w:val="nil"/>
            </w:tcBorders>
            <w:shd w:val="clear" w:color="auto" w:fill="auto"/>
            <w:vAlign w:val="center"/>
            <w:hideMark/>
          </w:tcPr>
          <w:p w14:paraId="2E6533F3" w14:textId="77777777" w:rsidR="00D01157" w:rsidRPr="00F01216" w:rsidRDefault="00D01157" w:rsidP="00D01157">
            <w:pPr>
              <w:jc w:val="right"/>
              <w:rPr>
                <w:rFonts w:cs="Calibri"/>
                <w:b/>
                <w:bCs/>
                <w:color w:val="000000" w:themeColor="text1"/>
                <w:sz w:val="13"/>
                <w:szCs w:val="13"/>
              </w:rPr>
            </w:pPr>
            <w:r w:rsidRPr="00F01216">
              <w:rPr>
                <w:rFonts w:cs="Calibri"/>
                <w:b/>
                <w:bCs/>
                <w:color w:val="000000" w:themeColor="text1"/>
                <w:sz w:val="13"/>
                <w:szCs w:val="13"/>
              </w:rPr>
              <w:t>153 430</w:t>
            </w:r>
          </w:p>
        </w:tc>
      </w:tr>
    </w:tbl>
    <w:p w14:paraId="7768D673" w14:textId="77777777" w:rsidR="00026AD5" w:rsidRPr="00026AD5" w:rsidRDefault="00026AD5" w:rsidP="00026AD5">
      <w:pPr>
        <w:spacing w:before="120" w:after="60"/>
        <w:rPr>
          <w:rFonts w:cs="Tahoma"/>
          <w:b/>
          <w:bCs/>
          <w:sz w:val="18"/>
          <w:szCs w:val="18"/>
        </w:rPr>
      </w:pPr>
      <w:r w:rsidRPr="00026AD5">
        <w:rPr>
          <w:rFonts w:cs="Tahoma"/>
          <w:b/>
          <w:bCs/>
          <w:sz w:val="18"/>
          <w:szCs w:val="18"/>
        </w:rPr>
        <w:t>Wpływ reformy IBOR</w:t>
      </w:r>
    </w:p>
    <w:p w14:paraId="4994A66B" w14:textId="12F38583" w:rsidR="00DD514C" w:rsidRPr="00DD514C" w:rsidRDefault="007002A3" w:rsidP="00DD514C">
      <w:pPr>
        <w:jc w:val="both"/>
        <w:rPr>
          <w:rFonts w:cs="Tahoma"/>
          <w:bCs/>
          <w:sz w:val="18"/>
          <w:szCs w:val="18"/>
        </w:rPr>
      </w:pPr>
      <w:r>
        <w:rPr>
          <w:rFonts w:cs="Tahoma"/>
          <w:bCs/>
          <w:sz w:val="18"/>
          <w:szCs w:val="18"/>
        </w:rPr>
        <w:t>W związku ze zmianami</w:t>
      </w:r>
      <w:r w:rsidR="00026AD5" w:rsidRPr="00026AD5">
        <w:rPr>
          <w:rFonts w:cs="Tahoma"/>
          <w:bCs/>
          <w:sz w:val="18"/>
          <w:szCs w:val="18"/>
        </w:rPr>
        <w:t xml:space="preserve"> do sta</w:t>
      </w:r>
      <w:r w:rsidR="00AB3348">
        <w:rPr>
          <w:rFonts w:cs="Tahoma"/>
          <w:bCs/>
          <w:sz w:val="18"/>
          <w:szCs w:val="18"/>
        </w:rPr>
        <w:t xml:space="preserve">ndardów MSSF 9, MSR 39 i MSSF 7, </w:t>
      </w:r>
      <w:r>
        <w:rPr>
          <w:rFonts w:cs="Tahoma"/>
          <w:bCs/>
          <w:sz w:val="18"/>
          <w:szCs w:val="18"/>
        </w:rPr>
        <w:t>Refor</w:t>
      </w:r>
      <w:r w:rsidR="00AB3348">
        <w:rPr>
          <w:rFonts w:cs="Tahoma"/>
          <w:bCs/>
          <w:sz w:val="18"/>
          <w:szCs w:val="18"/>
        </w:rPr>
        <w:t>ma wskaźników stóp procentowych,</w:t>
      </w:r>
      <w:r>
        <w:rPr>
          <w:rFonts w:cs="Tahoma"/>
          <w:bCs/>
          <w:sz w:val="18"/>
          <w:szCs w:val="18"/>
        </w:rPr>
        <w:t xml:space="preserve"> opisanych w N</w:t>
      </w:r>
      <w:r w:rsidR="00026AD5">
        <w:rPr>
          <w:rFonts w:cs="Tahoma"/>
          <w:bCs/>
          <w:sz w:val="18"/>
          <w:szCs w:val="18"/>
        </w:rPr>
        <w:t>ocie 2.29, Grupa</w:t>
      </w:r>
      <w:r w:rsidR="00026AD5" w:rsidRPr="00026AD5">
        <w:rPr>
          <w:rFonts w:cs="Tahoma"/>
          <w:bCs/>
          <w:sz w:val="18"/>
          <w:szCs w:val="18"/>
        </w:rPr>
        <w:t xml:space="preserve"> skorzystał</w:t>
      </w:r>
      <w:r w:rsidR="00026AD5">
        <w:rPr>
          <w:rFonts w:cs="Tahoma"/>
          <w:bCs/>
          <w:sz w:val="18"/>
          <w:szCs w:val="18"/>
        </w:rPr>
        <w:t>a</w:t>
      </w:r>
      <w:r w:rsidR="00026AD5" w:rsidRPr="00026AD5">
        <w:rPr>
          <w:rFonts w:cs="Tahoma"/>
          <w:bCs/>
          <w:sz w:val="18"/>
          <w:szCs w:val="18"/>
        </w:rPr>
        <w:t xml:space="preserve"> z możliwości wcześniejszego zas</w:t>
      </w:r>
      <w:r w:rsidR="00026AD5">
        <w:rPr>
          <w:rFonts w:cs="Tahoma"/>
          <w:bCs/>
          <w:sz w:val="18"/>
          <w:szCs w:val="18"/>
        </w:rPr>
        <w:t xml:space="preserve">tosowania </w:t>
      </w:r>
      <w:r>
        <w:rPr>
          <w:rFonts w:cs="Tahoma"/>
          <w:bCs/>
          <w:sz w:val="18"/>
          <w:szCs w:val="18"/>
        </w:rPr>
        <w:t>tych</w:t>
      </w:r>
      <w:r w:rsidR="00C77EEC">
        <w:rPr>
          <w:rFonts w:cs="Tahoma"/>
          <w:bCs/>
          <w:sz w:val="18"/>
          <w:szCs w:val="18"/>
        </w:rPr>
        <w:t> </w:t>
      </w:r>
      <w:r>
        <w:rPr>
          <w:rFonts w:cs="Tahoma"/>
          <w:bCs/>
          <w:sz w:val="18"/>
          <w:szCs w:val="18"/>
        </w:rPr>
        <w:t>zmian</w:t>
      </w:r>
      <w:r w:rsidR="00026AD5">
        <w:rPr>
          <w:rFonts w:cs="Tahoma"/>
          <w:bCs/>
          <w:sz w:val="18"/>
          <w:szCs w:val="18"/>
        </w:rPr>
        <w:t xml:space="preserve"> w 2019 roku</w:t>
      </w:r>
      <w:r w:rsidR="00026AD5" w:rsidRPr="00026AD5">
        <w:rPr>
          <w:rFonts w:cs="Tahoma"/>
          <w:bCs/>
          <w:sz w:val="18"/>
          <w:szCs w:val="18"/>
        </w:rPr>
        <w:t xml:space="preserve"> i</w:t>
      </w:r>
      <w:r w:rsidR="00EA2951">
        <w:rPr>
          <w:rFonts w:cs="Tahoma"/>
          <w:bCs/>
          <w:sz w:val="18"/>
          <w:szCs w:val="18"/>
        </w:rPr>
        <w:t xml:space="preserve"> </w:t>
      </w:r>
      <w:r w:rsidR="00026AD5" w:rsidRPr="00026AD5">
        <w:rPr>
          <w:rFonts w:cs="Tahoma"/>
          <w:bCs/>
          <w:sz w:val="18"/>
          <w:szCs w:val="18"/>
        </w:rPr>
        <w:t>nie dokonał</w:t>
      </w:r>
      <w:r w:rsidR="00026AD5">
        <w:rPr>
          <w:rFonts w:cs="Tahoma"/>
          <w:bCs/>
          <w:sz w:val="18"/>
          <w:szCs w:val="18"/>
        </w:rPr>
        <w:t>a</w:t>
      </w:r>
      <w:r w:rsidR="00026AD5" w:rsidRPr="00026AD5">
        <w:rPr>
          <w:rFonts w:cs="Tahoma"/>
          <w:bCs/>
          <w:sz w:val="18"/>
          <w:szCs w:val="18"/>
        </w:rPr>
        <w:t xml:space="preserve"> weryfikacji efektywności relacji zabezpieczających</w:t>
      </w:r>
      <w:r>
        <w:rPr>
          <w:rFonts w:cs="Tahoma"/>
          <w:bCs/>
          <w:sz w:val="18"/>
          <w:szCs w:val="18"/>
        </w:rPr>
        <w:t xml:space="preserve"> w ramach rachunkowości zabezpieczeń.</w:t>
      </w:r>
      <w:r w:rsidR="00DD514C">
        <w:rPr>
          <w:rFonts w:cs="Tahoma"/>
          <w:bCs/>
          <w:sz w:val="18"/>
          <w:szCs w:val="18"/>
        </w:rPr>
        <w:t xml:space="preserve"> </w:t>
      </w:r>
      <w:r w:rsidR="00DD514C" w:rsidRPr="00DD514C">
        <w:rPr>
          <w:rFonts w:cs="Tahoma"/>
          <w:bCs/>
          <w:sz w:val="18"/>
          <w:szCs w:val="18"/>
        </w:rPr>
        <w:t>Zmiany wprowadzają tymczasowe ulgi, które pozwalają na kontynuowanie rachunkowości zabezpieczeń Banku w okresie niepewności przed zastąpieniem istniejącego wskaźnika referencyjnego stopy procentowej alternatywną stopą procentową wolną od ryzyka.</w:t>
      </w:r>
    </w:p>
    <w:p w14:paraId="343B7CA5" w14:textId="6D83FE10" w:rsidR="00026AD5" w:rsidRDefault="00DD514C" w:rsidP="00715894">
      <w:pPr>
        <w:spacing w:before="120" w:after="120"/>
        <w:jc w:val="both"/>
        <w:rPr>
          <w:rFonts w:cs="Tahoma"/>
          <w:bCs/>
          <w:sz w:val="18"/>
          <w:szCs w:val="18"/>
        </w:rPr>
      </w:pPr>
      <w:r w:rsidRPr="00DD514C">
        <w:rPr>
          <w:rFonts w:cs="Tahoma"/>
          <w:bCs/>
          <w:sz w:val="18"/>
          <w:szCs w:val="18"/>
        </w:rPr>
        <w:t xml:space="preserve">W wyniku toczącej się reformy wskaźnika referencyjnego stóp procentowych i zastąpienia go alternatywną stopą procentową pozbawioną ryzyka, Bank powołał projekt mający na celu zarządzanie zmianą </w:t>
      </w:r>
      <w:r w:rsidRPr="005F29C5">
        <w:rPr>
          <w:rFonts w:cs="Tahoma"/>
          <w:bCs/>
          <w:sz w:val="18"/>
          <w:szCs w:val="18"/>
        </w:rPr>
        <w:t>dla</w:t>
      </w:r>
      <w:r w:rsidR="00C77EEC" w:rsidRPr="005F29C5">
        <w:rPr>
          <w:rFonts w:cs="Tahoma"/>
          <w:bCs/>
          <w:sz w:val="18"/>
          <w:szCs w:val="18"/>
        </w:rPr>
        <w:t> </w:t>
      </w:r>
      <w:r w:rsidRPr="005F29C5">
        <w:rPr>
          <w:rFonts w:cs="Tahoma"/>
          <w:bCs/>
          <w:sz w:val="18"/>
          <w:szCs w:val="18"/>
        </w:rPr>
        <w:t>które</w:t>
      </w:r>
      <w:r w:rsidR="005F29C5" w:rsidRPr="005F29C5">
        <w:rPr>
          <w:rFonts w:cs="Tahoma"/>
          <w:bCs/>
          <w:sz w:val="18"/>
          <w:szCs w:val="18"/>
        </w:rPr>
        <w:t>jkolwiek ze swoich umów, na którą</w:t>
      </w:r>
      <w:r w:rsidRPr="005F29C5">
        <w:rPr>
          <w:rFonts w:cs="Tahoma"/>
          <w:bCs/>
          <w:sz w:val="18"/>
          <w:szCs w:val="18"/>
        </w:rPr>
        <w:t xml:space="preserve"> może mieć to wpływ. Tabela poniżej wskazuje wartości</w:t>
      </w:r>
      <w:r w:rsidRPr="00DD514C">
        <w:rPr>
          <w:rFonts w:cs="Tahoma"/>
          <w:bCs/>
          <w:sz w:val="18"/>
          <w:szCs w:val="18"/>
        </w:rPr>
        <w:t xml:space="preserve"> nominalne oraz średni ważony termin zapadalności instrumentów pochodnych w powiązaniach zabezpieczających, na</w:t>
      </w:r>
      <w:r w:rsidR="00C77EEC">
        <w:rPr>
          <w:rFonts w:cs="Tahoma"/>
          <w:bCs/>
          <w:sz w:val="18"/>
          <w:szCs w:val="18"/>
        </w:rPr>
        <w:t> </w:t>
      </w:r>
      <w:r w:rsidRPr="00DD514C">
        <w:rPr>
          <w:rFonts w:cs="Tahoma"/>
          <w:bCs/>
          <w:sz w:val="18"/>
          <w:szCs w:val="18"/>
        </w:rPr>
        <w:t>które będzie miała wpływ reforma IBOR, analizowana według stopy procentowej. Pochodne instrumenty zabezpieczające zapewniają ścisłe przybliżenie zakresu ekspozycji na ryzyko zarządzane przez Bank poprzez powiązania zabezpieczające.</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CD13DC" w:rsidRPr="00CD13DC" w14:paraId="50BB3A50" w14:textId="77777777" w:rsidTr="00CD13DC">
        <w:trPr>
          <w:trHeight w:val="284"/>
        </w:trPr>
        <w:tc>
          <w:tcPr>
            <w:tcW w:w="6747" w:type="dxa"/>
            <w:tcBorders>
              <w:top w:val="nil"/>
              <w:left w:val="nil"/>
              <w:bottom w:val="nil"/>
              <w:right w:val="single" w:sz="8" w:space="0" w:color="FFFFFF"/>
            </w:tcBorders>
            <w:shd w:val="clear" w:color="000000" w:fill="0077BD"/>
            <w:vAlign w:val="center"/>
            <w:hideMark/>
          </w:tcPr>
          <w:p w14:paraId="28FC5F16" w14:textId="77777777" w:rsidR="00CD13DC" w:rsidRPr="00CD13DC" w:rsidRDefault="00CD13DC" w:rsidP="00CD13DC">
            <w:pPr>
              <w:rPr>
                <w:rFonts w:cs="Calibri"/>
                <w:b/>
                <w:bCs/>
                <w:color w:val="FFFFFF"/>
                <w:sz w:val="13"/>
                <w:szCs w:val="13"/>
              </w:rPr>
            </w:pPr>
            <w:r w:rsidRPr="00CD13DC">
              <w:rPr>
                <w:rFonts w:cs="Calibri"/>
                <w:b/>
                <w:bCs/>
                <w:color w:val="FFFFFF"/>
                <w:sz w:val="13"/>
                <w:szCs w:val="13"/>
              </w:rPr>
              <w:t>31.12.2019</w:t>
            </w:r>
          </w:p>
        </w:tc>
        <w:tc>
          <w:tcPr>
            <w:tcW w:w="1418" w:type="dxa"/>
            <w:tcBorders>
              <w:top w:val="nil"/>
              <w:left w:val="nil"/>
              <w:bottom w:val="nil"/>
              <w:right w:val="single" w:sz="8" w:space="0" w:color="FFFFFF"/>
            </w:tcBorders>
            <w:shd w:val="clear" w:color="000000" w:fill="0077BD"/>
            <w:vAlign w:val="center"/>
            <w:hideMark/>
          </w:tcPr>
          <w:p w14:paraId="74D8871C" w14:textId="77777777" w:rsidR="00CD13DC" w:rsidRPr="00CD13DC" w:rsidRDefault="00CD13DC" w:rsidP="00CD13DC">
            <w:pPr>
              <w:jc w:val="center"/>
              <w:rPr>
                <w:rFonts w:cs="Calibri"/>
                <w:b/>
                <w:bCs/>
                <w:color w:val="FFFFFF"/>
                <w:sz w:val="13"/>
                <w:szCs w:val="13"/>
              </w:rPr>
            </w:pPr>
            <w:r w:rsidRPr="00CD13DC">
              <w:rPr>
                <w:rFonts w:cs="Calibri"/>
                <w:b/>
                <w:bCs/>
                <w:color w:val="FFFFFF"/>
                <w:sz w:val="13"/>
                <w:szCs w:val="13"/>
              </w:rPr>
              <w:t>Wartość nominalna</w:t>
            </w:r>
          </w:p>
        </w:tc>
        <w:tc>
          <w:tcPr>
            <w:tcW w:w="1418" w:type="dxa"/>
            <w:tcBorders>
              <w:top w:val="nil"/>
              <w:left w:val="nil"/>
              <w:bottom w:val="nil"/>
              <w:right w:val="single" w:sz="8" w:space="0" w:color="FFFFFF"/>
            </w:tcBorders>
            <w:shd w:val="clear" w:color="000000" w:fill="0077BD"/>
            <w:vAlign w:val="center"/>
            <w:hideMark/>
          </w:tcPr>
          <w:p w14:paraId="31C43F40" w14:textId="77777777" w:rsidR="00CD13DC" w:rsidRPr="00CD13DC" w:rsidRDefault="00CD13DC" w:rsidP="00CD13DC">
            <w:pPr>
              <w:jc w:val="center"/>
              <w:rPr>
                <w:rFonts w:cs="Calibri"/>
                <w:b/>
                <w:bCs/>
                <w:color w:val="FFFFFF"/>
                <w:sz w:val="13"/>
                <w:szCs w:val="13"/>
              </w:rPr>
            </w:pPr>
            <w:r w:rsidRPr="00CD13DC">
              <w:rPr>
                <w:rFonts w:cs="Calibri"/>
                <w:b/>
                <w:bCs/>
                <w:color w:val="FFFFFF"/>
                <w:sz w:val="13"/>
                <w:szCs w:val="13"/>
              </w:rPr>
              <w:t xml:space="preserve">Średni ważony termin zapadalności </w:t>
            </w:r>
            <w:r w:rsidRPr="00CD13DC">
              <w:rPr>
                <w:rFonts w:cs="Calibri"/>
                <w:b/>
                <w:bCs/>
                <w:color w:val="FFFFFF"/>
                <w:sz w:val="13"/>
                <w:szCs w:val="13"/>
              </w:rPr>
              <w:br/>
              <w:t>(w latach)</w:t>
            </w:r>
          </w:p>
        </w:tc>
      </w:tr>
      <w:tr w:rsidR="00CD13DC" w:rsidRPr="00CD13DC" w14:paraId="3657CF8B" w14:textId="77777777" w:rsidTr="00CD13DC">
        <w:trPr>
          <w:trHeight w:val="284"/>
        </w:trPr>
        <w:tc>
          <w:tcPr>
            <w:tcW w:w="6747" w:type="dxa"/>
            <w:tcBorders>
              <w:top w:val="nil"/>
              <w:left w:val="nil"/>
              <w:bottom w:val="nil"/>
              <w:right w:val="nil"/>
            </w:tcBorders>
            <w:shd w:val="clear" w:color="auto" w:fill="auto"/>
            <w:noWrap/>
            <w:vAlign w:val="center"/>
            <w:hideMark/>
          </w:tcPr>
          <w:p w14:paraId="39B8F484" w14:textId="77777777" w:rsidR="00CD13DC" w:rsidRPr="00CD13DC" w:rsidRDefault="00CD13DC" w:rsidP="00CD13DC">
            <w:pPr>
              <w:rPr>
                <w:rFonts w:cs="Calibri"/>
                <w:b/>
                <w:bCs/>
                <w:color w:val="000000" w:themeColor="text1"/>
                <w:sz w:val="13"/>
                <w:szCs w:val="13"/>
              </w:rPr>
            </w:pPr>
            <w:r w:rsidRPr="00CD13DC">
              <w:rPr>
                <w:rFonts w:cs="Calibri"/>
                <w:b/>
                <w:bCs/>
                <w:color w:val="000000" w:themeColor="text1"/>
                <w:sz w:val="13"/>
                <w:szCs w:val="13"/>
              </w:rPr>
              <w:t>Kontrakty swap na stopę procentową (IRS)</w:t>
            </w:r>
          </w:p>
        </w:tc>
        <w:tc>
          <w:tcPr>
            <w:tcW w:w="1418" w:type="dxa"/>
            <w:tcBorders>
              <w:top w:val="nil"/>
              <w:left w:val="nil"/>
              <w:bottom w:val="nil"/>
              <w:right w:val="nil"/>
            </w:tcBorders>
            <w:shd w:val="clear" w:color="auto" w:fill="auto"/>
            <w:noWrap/>
            <w:vAlign w:val="center"/>
            <w:hideMark/>
          </w:tcPr>
          <w:p w14:paraId="0789438C" w14:textId="77777777" w:rsidR="00CD13DC" w:rsidRPr="00CD13DC" w:rsidRDefault="00CD13DC" w:rsidP="00CD13DC">
            <w:pPr>
              <w:rPr>
                <w:rFonts w:cs="Calibri"/>
                <w:b/>
                <w:bCs/>
                <w:color w:val="000000" w:themeColor="text1"/>
                <w:sz w:val="13"/>
                <w:szCs w:val="13"/>
              </w:rPr>
            </w:pPr>
          </w:p>
        </w:tc>
        <w:tc>
          <w:tcPr>
            <w:tcW w:w="1418" w:type="dxa"/>
            <w:tcBorders>
              <w:top w:val="nil"/>
              <w:left w:val="nil"/>
              <w:bottom w:val="nil"/>
              <w:right w:val="nil"/>
            </w:tcBorders>
            <w:shd w:val="clear" w:color="auto" w:fill="auto"/>
            <w:noWrap/>
            <w:vAlign w:val="center"/>
            <w:hideMark/>
          </w:tcPr>
          <w:p w14:paraId="37F1124C" w14:textId="77777777" w:rsidR="00CD13DC" w:rsidRPr="00CD13DC" w:rsidRDefault="00CD13DC" w:rsidP="00CD13DC">
            <w:pPr>
              <w:rPr>
                <w:color w:val="000000" w:themeColor="text1"/>
                <w:sz w:val="13"/>
                <w:szCs w:val="13"/>
              </w:rPr>
            </w:pPr>
          </w:p>
        </w:tc>
      </w:tr>
      <w:tr w:rsidR="00CD13DC" w:rsidRPr="00CD13DC" w14:paraId="0AF84471" w14:textId="77777777" w:rsidTr="00CD13DC">
        <w:trPr>
          <w:trHeight w:val="284"/>
        </w:trPr>
        <w:tc>
          <w:tcPr>
            <w:tcW w:w="6747" w:type="dxa"/>
            <w:tcBorders>
              <w:top w:val="single" w:sz="8" w:space="0" w:color="0077BD"/>
              <w:left w:val="nil"/>
              <w:bottom w:val="single" w:sz="4" w:space="0" w:color="0077BD"/>
              <w:right w:val="single" w:sz="8" w:space="0" w:color="0077BD"/>
            </w:tcBorders>
            <w:shd w:val="clear" w:color="auto" w:fill="auto"/>
            <w:noWrap/>
            <w:vAlign w:val="center"/>
            <w:hideMark/>
          </w:tcPr>
          <w:p w14:paraId="61C1CA7B"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LIBOR CHF (3 miesiące)</w:t>
            </w:r>
          </w:p>
        </w:tc>
        <w:tc>
          <w:tcPr>
            <w:tcW w:w="1418" w:type="dxa"/>
            <w:tcBorders>
              <w:top w:val="single" w:sz="8" w:space="0" w:color="0077BD"/>
              <w:left w:val="nil"/>
              <w:bottom w:val="single" w:sz="4" w:space="0" w:color="0077BD"/>
              <w:right w:val="single" w:sz="8" w:space="0" w:color="0077BD"/>
            </w:tcBorders>
            <w:shd w:val="clear" w:color="auto" w:fill="auto"/>
            <w:vAlign w:val="center"/>
            <w:hideMark/>
          </w:tcPr>
          <w:p w14:paraId="6281B95B"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3 654 877</w:t>
            </w:r>
          </w:p>
        </w:tc>
        <w:tc>
          <w:tcPr>
            <w:tcW w:w="1418" w:type="dxa"/>
            <w:tcBorders>
              <w:top w:val="single" w:sz="8" w:space="0" w:color="0077BD"/>
              <w:left w:val="nil"/>
              <w:bottom w:val="single" w:sz="4" w:space="0" w:color="0077BD"/>
              <w:right w:val="nil"/>
            </w:tcBorders>
            <w:shd w:val="clear" w:color="auto" w:fill="auto"/>
            <w:noWrap/>
            <w:vAlign w:val="center"/>
            <w:hideMark/>
          </w:tcPr>
          <w:p w14:paraId="25B0CEBF"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6,3</w:t>
            </w:r>
          </w:p>
        </w:tc>
      </w:tr>
      <w:tr w:rsidR="00CD13DC" w:rsidRPr="00CD13DC" w14:paraId="36B70DDC" w14:textId="77777777" w:rsidTr="00CD13DC">
        <w:trPr>
          <w:trHeight w:val="284"/>
        </w:trPr>
        <w:tc>
          <w:tcPr>
            <w:tcW w:w="6747" w:type="dxa"/>
            <w:tcBorders>
              <w:top w:val="nil"/>
              <w:left w:val="nil"/>
              <w:bottom w:val="single" w:sz="4" w:space="0" w:color="0077BD"/>
              <w:right w:val="single" w:sz="8" w:space="0" w:color="0077BD"/>
            </w:tcBorders>
            <w:shd w:val="clear" w:color="auto" w:fill="auto"/>
            <w:noWrap/>
            <w:vAlign w:val="center"/>
            <w:hideMark/>
          </w:tcPr>
          <w:p w14:paraId="7166485D"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EURIBOR (3 miesiące)</w:t>
            </w:r>
          </w:p>
        </w:tc>
        <w:tc>
          <w:tcPr>
            <w:tcW w:w="1418" w:type="dxa"/>
            <w:tcBorders>
              <w:top w:val="nil"/>
              <w:left w:val="nil"/>
              <w:bottom w:val="single" w:sz="4" w:space="0" w:color="0077BD"/>
              <w:right w:val="single" w:sz="8" w:space="0" w:color="0077BD"/>
            </w:tcBorders>
            <w:shd w:val="clear" w:color="auto" w:fill="auto"/>
            <w:vAlign w:val="center"/>
            <w:hideMark/>
          </w:tcPr>
          <w:p w14:paraId="7BF30327"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8 721 408</w:t>
            </w:r>
          </w:p>
        </w:tc>
        <w:tc>
          <w:tcPr>
            <w:tcW w:w="1418" w:type="dxa"/>
            <w:tcBorders>
              <w:top w:val="nil"/>
              <w:left w:val="nil"/>
              <w:bottom w:val="single" w:sz="4" w:space="0" w:color="0077BD"/>
              <w:right w:val="nil"/>
            </w:tcBorders>
            <w:shd w:val="clear" w:color="auto" w:fill="auto"/>
            <w:noWrap/>
            <w:vAlign w:val="center"/>
            <w:hideMark/>
          </w:tcPr>
          <w:p w14:paraId="34CCFA9C" w14:textId="12DE240E" w:rsidR="00CD13DC" w:rsidRPr="00CD13DC" w:rsidRDefault="00B6788D" w:rsidP="00B6788D">
            <w:pPr>
              <w:jc w:val="right"/>
              <w:rPr>
                <w:rFonts w:cs="Calibri"/>
                <w:color w:val="000000" w:themeColor="text1"/>
                <w:sz w:val="13"/>
                <w:szCs w:val="13"/>
              </w:rPr>
            </w:pPr>
            <w:r>
              <w:rPr>
                <w:rFonts w:cs="Calibri"/>
                <w:color w:val="000000" w:themeColor="text1"/>
                <w:sz w:val="13"/>
                <w:szCs w:val="13"/>
              </w:rPr>
              <w:t>6</w:t>
            </w:r>
            <w:r w:rsidR="00CD13DC" w:rsidRPr="00CD13DC">
              <w:rPr>
                <w:rFonts w:cs="Calibri"/>
                <w:color w:val="000000" w:themeColor="text1"/>
                <w:sz w:val="13"/>
                <w:szCs w:val="13"/>
              </w:rPr>
              <w:t>,</w:t>
            </w:r>
            <w:r>
              <w:rPr>
                <w:rFonts w:cs="Calibri"/>
                <w:color w:val="000000" w:themeColor="text1"/>
                <w:sz w:val="13"/>
                <w:szCs w:val="13"/>
              </w:rPr>
              <w:t>0</w:t>
            </w:r>
          </w:p>
        </w:tc>
      </w:tr>
      <w:tr w:rsidR="00CD13DC" w:rsidRPr="00CD13DC" w14:paraId="02FD5F4B" w14:textId="77777777" w:rsidTr="00CD13DC">
        <w:trPr>
          <w:trHeight w:val="284"/>
        </w:trPr>
        <w:tc>
          <w:tcPr>
            <w:tcW w:w="6747" w:type="dxa"/>
            <w:tcBorders>
              <w:top w:val="nil"/>
              <w:left w:val="nil"/>
              <w:bottom w:val="single" w:sz="4" w:space="0" w:color="0077BD"/>
              <w:right w:val="single" w:sz="8" w:space="0" w:color="0077BD"/>
            </w:tcBorders>
            <w:shd w:val="clear" w:color="auto" w:fill="auto"/>
            <w:noWrap/>
            <w:vAlign w:val="center"/>
            <w:hideMark/>
          </w:tcPr>
          <w:p w14:paraId="279B8CF0"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EURIBOR (6 miesiące)</w:t>
            </w:r>
          </w:p>
        </w:tc>
        <w:tc>
          <w:tcPr>
            <w:tcW w:w="1418" w:type="dxa"/>
            <w:tcBorders>
              <w:top w:val="nil"/>
              <w:left w:val="nil"/>
              <w:bottom w:val="single" w:sz="4" w:space="0" w:color="0077BD"/>
              <w:right w:val="single" w:sz="8" w:space="0" w:color="0077BD"/>
            </w:tcBorders>
            <w:shd w:val="clear" w:color="auto" w:fill="auto"/>
            <w:vAlign w:val="center"/>
            <w:hideMark/>
          </w:tcPr>
          <w:p w14:paraId="157A88C4"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106 037</w:t>
            </w:r>
          </w:p>
        </w:tc>
        <w:tc>
          <w:tcPr>
            <w:tcW w:w="1418" w:type="dxa"/>
            <w:tcBorders>
              <w:top w:val="nil"/>
              <w:left w:val="nil"/>
              <w:bottom w:val="single" w:sz="4" w:space="0" w:color="0077BD"/>
              <w:right w:val="nil"/>
            </w:tcBorders>
            <w:shd w:val="clear" w:color="auto" w:fill="auto"/>
            <w:noWrap/>
            <w:vAlign w:val="center"/>
            <w:hideMark/>
          </w:tcPr>
          <w:p w14:paraId="18DD75D0" w14:textId="54675C3D"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7</w:t>
            </w:r>
            <w:r w:rsidR="00B6788D">
              <w:rPr>
                <w:rFonts w:cs="Calibri"/>
                <w:color w:val="000000" w:themeColor="text1"/>
                <w:sz w:val="13"/>
                <w:szCs w:val="13"/>
              </w:rPr>
              <w:t>,0</w:t>
            </w:r>
          </w:p>
        </w:tc>
      </w:tr>
      <w:tr w:rsidR="00CD13DC" w:rsidRPr="00CD13DC" w14:paraId="3A3DCB78" w14:textId="77777777" w:rsidTr="00CD13DC">
        <w:trPr>
          <w:trHeight w:val="284"/>
        </w:trPr>
        <w:tc>
          <w:tcPr>
            <w:tcW w:w="6747" w:type="dxa"/>
            <w:tcBorders>
              <w:top w:val="nil"/>
              <w:left w:val="nil"/>
              <w:bottom w:val="single" w:sz="4" w:space="0" w:color="0077BD"/>
              <w:right w:val="single" w:sz="8" w:space="0" w:color="0077BD"/>
            </w:tcBorders>
            <w:shd w:val="clear" w:color="auto" w:fill="auto"/>
            <w:noWrap/>
            <w:vAlign w:val="center"/>
            <w:hideMark/>
          </w:tcPr>
          <w:p w14:paraId="4D3D7299"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WIBOR (1 miesiąc)</w:t>
            </w:r>
          </w:p>
        </w:tc>
        <w:tc>
          <w:tcPr>
            <w:tcW w:w="1418" w:type="dxa"/>
            <w:tcBorders>
              <w:top w:val="nil"/>
              <w:left w:val="nil"/>
              <w:bottom w:val="single" w:sz="4" w:space="0" w:color="0077BD"/>
              <w:right w:val="single" w:sz="8" w:space="0" w:color="0077BD"/>
            </w:tcBorders>
            <w:shd w:val="clear" w:color="auto" w:fill="auto"/>
            <w:vAlign w:val="center"/>
            <w:hideMark/>
          </w:tcPr>
          <w:p w14:paraId="496233D2"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2 000 000</w:t>
            </w:r>
          </w:p>
        </w:tc>
        <w:tc>
          <w:tcPr>
            <w:tcW w:w="1418" w:type="dxa"/>
            <w:tcBorders>
              <w:top w:val="nil"/>
              <w:left w:val="nil"/>
              <w:bottom w:val="single" w:sz="4" w:space="0" w:color="0077BD"/>
              <w:right w:val="nil"/>
            </w:tcBorders>
            <w:shd w:val="clear" w:color="auto" w:fill="auto"/>
            <w:noWrap/>
            <w:vAlign w:val="center"/>
            <w:hideMark/>
          </w:tcPr>
          <w:p w14:paraId="576AE0C5"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3,5</w:t>
            </w:r>
          </w:p>
        </w:tc>
      </w:tr>
      <w:tr w:rsidR="00CD13DC" w:rsidRPr="00CD13DC" w14:paraId="10ED9CC2" w14:textId="77777777" w:rsidTr="00CD13DC">
        <w:trPr>
          <w:trHeight w:val="284"/>
        </w:trPr>
        <w:tc>
          <w:tcPr>
            <w:tcW w:w="6747" w:type="dxa"/>
            <w:tcBorders>
              <w:top w:val="nil"/>
              <w:left w:val="nil"/>
              <w:bottom w:val="single" w:sz="4" w:space="0" w:color="0077BD"/>
              <w:right w:val="single" w:sz="8" w:space="0" w:color="0077BD"/>
            </w:tcBorders>
            <w:shd w:val="clear" w:color="auto" w:fill="auto"/>
            <w:noWrap/>
            <w:vAlign w:val="center"/>
            <w:hideMark/>
          </w:tcPr>
          <w:p w14:paraId="6FB395A1"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WIBOR (3 miesiące)</w:t>
            </w:r>
          </w:p>
        </w:tc>
        <w:tc>
          <w:tcPr>
            <w:tcW w:w="1418" w:type="dxa"/>
            <w:tcBorders>
              <w:top w:val="nil"/>
              <w:left w:val="nil"/>
              <w:bottom w:val="single" w:sz="4" w:space="0" w:color="0077BD"/>
              <w:right w:val="single" w:sz="8" w:space="0" w:color="0077BD"/>
            </w:tcBorders>
            <w:shd w:val="clear" w:color="auto" w:fill="auto"/>
            <w:vAlign w:val="center"/>
            <w:hideMark/>
          </w:tcPr>
          <w:p w14:paraId="578035ED"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12 965 000</w:t>
            </w:r>
          </w:p>
        </w:tc>
        <w:tc>
          <w:tcPr>
            <w:tcW w:w="1418" w:type="dxa"/>
            <w:tcBorders>
              <w:top w:val="nil"/>
              <w:left w:val="nil"/>
              <w:bottom w:val="single" w:sz="4" w:space="0" w:color="0077BD"/>
              <w:right w:val="nil"/>
            </w:tcBorders>
            <w:shd w:val="clear" w:color="auto" w:fill="auto"/>
            <w:noWrap/>
            <w:vAlign w:val="center"/>
            <w:hideMark/>
          </w:tcPr>
          <w:p w14:paraId="6CA1A96D"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4,4</w:t>
            </w:r>
          </w:p>
        </w:tc>
      </w:tr>
      <w:tr w:rsidR="00CD13DC" w:rsidRPr="00CD13DC" w14:paraId="35599080" w14:textId="77777777" w:rsidTr="00CD13DC">
        <w:trPr>
          <w:trHeight w:val="284"/>
        </w:trPr>
        <w:tc>
          <w:tcPr>
            <w:tcW w:w="6747" w:type="dxa"/>
            <w:tcBorders>
              <w:top w:val="nil"/>
              <w:left w:val="nil"/>
              <w:bottom w:val="single" w:sz="4" w:space="0" w:color="0077BD"/>
              <w:right w:val="single" w:sz="8" w:space="0" w:color="0077BD"/>
            </w:tcBorders>
            <w:shd w:val="clear" w:color="auto" w:fill="auto"/>
            <w:noWrap/>
            <w:vAlign w:val="center"/>
            <w:hideMark/>
          </w:tcPr>
          <w:p w14:paraId="06A37028"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WIBOR (6 miesięcy)</w:t>
            </w:r>
          </w:p>
        </w:tc>
        <w:tc>
          <w:tcPr>
            <w:tcW w:w="1418" w:type="dxa"/>
            <w:tcBorders>
              <w:top w:val="nil"/>
              <w:left w:val="nil"/>
              <w:bottom w:val="single" w:sz="4" w:space="0" w:color="0077BD"/>
              <w:right w:val="single" w:sz="8" w:space="0" w:color="0077BD"/>
            </w:tcBorders>
            <w:shd w:val="clear" w:color="auto" w:fill="auto"/>
            <w:vAlign w:val="center"/>
            <w:hideMark/>
          </w:tcPr>
          <w:p w14:paraId="4712726B"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400 000</w:t>
            </w:r>
          </w:p>
        </w:tc>
        <w:tc>
          <w:tcPr>
            <w:tcW w:w="1418" w:type="dxa"/>
            <w:tcBorders>
              <w:top w:val="nil"/>
              <w:left w:val="nil"/>
              <w:bottom w:val="single" w:sz="4" w:space="0" w:color="0077BD"/>
              <w:right w:val="nil"/>
            </w:tcBorders>
            <w:shd w:val="clear" w:color="auto" w:fill="auto"/>
            <w:noWrap/>
            <w:vAlign w:val="center"/>
            <w:hideMark/>
          </w:tcPr>
          <w:p w14:paraId="29BC3C14"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2,7</w:t>
            </w:r>
          </w:p>
        </w:tc>
      </w:tr>
      <w:tr w:rsidR="00CD13DC" w:rsidRPr="00CD13DC" w14:paraId="5A0A9C44" w14:textId="77777777" w:rsidTr="00CD13DC">
        <w:trPr>
          <w:trHeight w:val="284"/>
        </w:trPr>
        <w:tc>
          <w:tcPr>
            <w:tcW w:w="6747" w:type="dxa"/>
            <w:tcBorders>
              <w:top w:val="nil"/>
              <w:left w:val="nil"/>
              <w:bottom w:val="single" w:sz="8" w:space="0" w:color="0077BD"/>
              <w:right w:val="single" w:sz="8" w:space="0" w:color="0077BD"/>
            </w:tcBorders>
            <w:shd w:val="clear" w:color="auto" w:fill="auto"/>
            <w:noWrap/>
            <w:vAlign w:val="center"/>
            <w:hideMark/>
          </w:tcPr>
          <w:p w14:paraId="4809520B"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PRIBOR (3 miesiące)</w:t>
            </w:r>
          </w:p>
        </w:tc>
        <w:tc>
          <w:tcPr>
            <w:tcW w:w="1418" w:type="dxa"/>
            <w:tcBorders>
              <w:top w:val="nil"/>
              <w:left w:val="nil"/>
              <w:bottom w:val="single" w:sz="8" w:space="0" w:color="0077BD"/>
              <w:right w:val="single" w:sz="8" w:space="0" w:color="0077BD"/>
            </w:tcBorders>
            <w:shd w:val="clear" w:color="auto" w:fill="auto"/>
            <w:vAlign w:val="center"/>
            <w:hideMark/>
          </w:tcPr>
          <w:p w14:paraId="289D5E24"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22 718</w:t>
            </w:r>
          </w:p>
        </w:tc>
        <w:tc>
          <w:tcPr>
            <w:tcW w:w="1418" w:type="dxa"/>
            <w:tcBorders>
              <w:top w:val="nil"/>
              <w:left w:val="nil"/>
              <w:bottom w:val="single" w:sz="8" w:space="0" w:color="0077BD"/>
              <w:right w:val="nil"/>
            </w:tcBorders>
            <w:shd w:val="clear" w:color="auto" w:fill="auto"/>
            <w:noWrap/>
            <w:vAlign w:val="center"/>
            <w:hideMark/>
          </w:tcPr>
          <w:p w14:paraId="3831655E" w14:textId="592924F6" w:rsidR="00CD13DC" w:rsidRPr="00CD13DC" w:rsidRDefault="00CD13DC" w:rsidP="00B6788D">
            <w:pPr>
              <w:jc w:val="right"/>
              <w:rPr>
                <w:rFonts w:cs="Calibri"/>
                <w:color w:val="000000" w:themeColor="text1"/>
                <w:sz w:val="13"/>
                <w:szCs w:val="13"/>
              </w:rPr>
            </w:pPr>
            <w:r w:rsidRPr="00CD13DC">
              <w:rPr>
                <w:rFonts w:cs="Calibri"/>
                <w:color w:val="000000" w:themeColor="text1"/>
                <w:sz w:val="13"/>
                <w:szCs w:val="13"/>
              </w:rPr>
              <w:t>5,0</w:t>
            </w:r>
          </w:p>
        </w:tc>
      </w:tr>
      <w:tr w:rsidR="00CD13DC" w:rsidRPr="00CD13DC" w14:paraId="1E528801" w14:textId="77777777" w:rsidTr="00CD13DC">
        <w:trPr>
          <w:trHeight w:val="284"/>
        </w:trPr>
        <w:tc>
          <w:tcPr>
            <w:tcW w:w="6747" w:type="dxa"/>
            <w:tcBorders>
              <w:top w:val="nil"/>
              <w:left w:val="nil"/>
              <w:bottom w:val="single" w:sz="8" w:space="0" w:color="0077BD"/>
              <w:right w:val="single" w:sz="8" w:space="0" w:color="0077BD"/>
            </w:tcBorders>
            <w:shd w:val="clear" w:color="auto" w:fill="auto"/>
            <w:noWrap/>
            <w:vAlign w:val="center"/>
            <w:hideMark/>
          </w:tcPr>
          <w:p w14:paraId="6419C3BA" w14:textId="77777777" w:rsidR="00CD13DC" w:rsidRPr="00CD13DC" w:rsidRDefault="00CD13DC" w:rsidP="00CD13DC">
            <w:pPr>
              <w:rPr>
                <w:rFonts w:cs="Calibri"/>
                <w:b/>
                <w:bCs/>
                <w:color w:val="000000" w:themeColor="text1"/>
                <w:sz w:val="13"/>
                <w:szCs w:val="13"/>
              </w:rPr>
            </w:pPr>
            <w:r w:rsidRPr="00CD13DC">
              <w:rPr>
                <w:rFonts w:cs="Calibri"/>
                <w:b/>
                <w:bCs/>
                <w:color w:val="000000" w:themeColor="text1"/>
                <w:sz w:val="13"/>
                <w:szCs w:val="13"/>
              </w:rPr>
              <w:t>Kontrakty swap na stopę procentową (IRS), razem</w:t>
            </w:r>
          </w:p>
        </w:tc>
        <w:tc>
          <w:tcPr>
            <w:tcW w:w="1418" w:type="dxa"/>
            <w:tcBorders>
              <w:top w:val="nil"/>
              <w:left w:val="nil"/>
              <w:bottom w:val="single" w:sz="8" w:space="0" w:color="0077BD"/>
              <w:right w:val="single" w:sz="8" w:space="0" w:color="0077BD"/>
            </w:tcBorders>
            <w:shd w:val="clear" w:color="auto" w:fill="auto"/>
            <w:vAlign w:val="center"/>
            <w:hideMark/>
          </w:tcPr>
          <w:p w14:paraId="4B76AD68" w14:textId="77777777" w:rsidR="00CD13DC" w:rsidRPr="00CD13DC" w:rsidRDefault="00CD13DC" w:rsidP="00CD13DC">
            <w:pPr>
              <w:jc w:val="right"/>
              <w:rPr>
                <w:rFonts w:cs="Calibri"/>
                <w:b/>
                <w:bCs/>
                <w:color w:val="000000" w:themeColor="text1"/>
                <w:sz w:val="13"/>
                <w:szCs w:val="13"/>
              </w:rPr>
            </w:pPr>
            <w:r w:rsidRPr="00CD13DC">
              <w:rPr>
                <w:rFonts w:cs="Calibri"/>
                <w:b/>
                <w:bCs/>
                <w:color w:val="000000" w:themeColor="text1"/>
                <w:sz w:val="13"/>
                <w:szCs w:val="13"/>
              </w:rPr>
              <w:t>27 870 040</w:t>
            </w:r>
          </w:p>
        </w:tc>
        <w:tc>
          <w:tcPr>
            <w:tcW w:w="1418" w:type="dxa"/>
            <w:tcBorders>
              <w:top w:val="nil"/>
              <w:left w:val="nil"/>
              <w:bottom w:val="single" w:sz="8" w:space="0" w:color="0077BD"/>
              <w:right w:val="nil"/>
            </w:tcBorders>
            <w:shd w:val="thinDiagStripe" w:color="000000" w:fill="auto"/>
            <w:noWrap/>
            <w:vAlign w:val="center"/>
            <w:hideMark/>
          </w:tcPr>
          <w:p w14:paraId="22E74BC5" w14:textId="65C6F277" w:rsidR="00CD13DC" w:rsidRPr="00CD13DC" w:rsidRDefault="00CD13DC" w:rsidP="00CD13DC">
            <w:pPr>
              <w:rPr>
                <w:rFonts w:cs="Calibri"/>
                <w:b/>
                <w:bCs/>
                <w:color w:val="000000" w:themeColor="text1"/>
                <w:sz w:val="13"/>
                <w:szCs w:val="13"/>
              </w:rPr>
            </w:pPr>
          </w:p>
        </w:tc>
      </w:tr>
      <w:tr w:rsidR="00CD13DC" w:rsidRPr="00CD13DC" w14:paraId="22A7EE47" w14:textId="77777777" w:rsidTr="00CD13DC">
        <w:trPr>
          <w:trHeight w:val="284"/>
        </w:trPr>
        <w:tc>
          <w:tcPr>
            <w:tcW w:w="6747" w:type="dxa"/>
            <w:tcBorders>
              <w:top w:val="nil"/>
              <w:left w:val="nil"/>
              <w:bottom w:val="nil"/>
              <w:right w:val="nil"/>
            </w:tcBorders>
            <w:shd w:val="clear" w:color="auto" w:fill="auto"/>
            <w:noWrap/>
            <w:vAlign w:val="center"/>
            <w:hideMark/>
          </w:tcPr>
          <w:p w14:paraId="5F38541F" w14:textId="77777777" w:rsidR="00CD13DC" w:rsidRPr="00CD13DC" w:rsidRDefault="00CD13DC" w:rsidP="00CD13DC">
            <w:pPr>
              <w:rPr>
                <w:rFonts w:cs="Calibri"/>
                <w:b/>
                <w:bCs/>
                <w:color w:val="000000" w:themeColor="text1"/>
                <w:sz w:val="13"/>
                <w:szCs w:val="13"/>
              </w:rPr>
            </w:pPr>
            <w:r w:rsidRPr="00CD13DC">
              <w:rPr>
                <w:rFonts w:cs="Calibri"/>
                <w:b/>
                <w:bCs/>
                <w:color w:val="000000" w:themeColor="text1"/>
                <w:sz w:val="13"/>
                <w:szCs w:val="13"/>
              </w:rPr>
              <w:t>Kontrakty swap na stopę prcentową w walucie obcej (CIRS)</w:t>
            </w:r>
          </w:p>
        </w:tc>
        <w:tc>
          <w:tcPr>
            <w:tcW w:w="1418" w:type="dxa"/>
            <w:tcBorders>
              <w:top w:val="nil"/>
              <w:left w:val="nil"/>
              <w:bottom w:val="nil"/>
              <w:right w:val="nil"/>
            </w:tcBorders>
            <w:shd w:val="clear" w:color="auto" w:fill="auto"/>
            <w:noWrap/>
            <w:vAlign w:val="center"/>
            <w:hideMark/>
          </w:tcPr>
          <w:p w14:paraId="0F00073A" w14:textId="77777777" w:rsidR="00CD13DC" w:rsidRPr="00CD13DC" w:rsidRDefault="00CD13DC" w:rsidP="00CD13DC">
            <w:pPr>
              <w:rPr>
                <w:rFonts w:cs="Calibri"/>
                <w:b/>
                <w:bCs/>
                <w:color w:val="000000" w:themeColor="text1"/>
                <w:sz w:val="13"/>
                <w:szCs w:val="13"/>
              </w:rPr>
            </w:pPr>
          </w:p>
        </w:tc>
        <w:tc>
          <w:tcPr>
            <w:tcW w:w="1418" w:type="dxa"/>
            <w:tcBorders>
              <w:top w:val="nil"/>
              <w:left w:val="nil"/>
              <w:bottom w:val="nil"/>
              <w:right w:val="nil"/>
            </w:tcBorders>
            <w:shd w:val="clear" w:color="auto" w:fill="auto"/>
            <w:noWrap/>
            <w:vAlign w:val="center"/>
            <w:hideMark/>
          </w:tcPr>
          <w:p w14:paraId="0F21E702" w14:textId="77777777" w:rsidR="00CD13DC" w:rsidRPr="00CD13DC" w:rsidRDefault="00CD13DC" w:rsidP="00CD13DC">
            <w:pPr>
              <w:rPr>
                <w:color w:val="000000" w:themeColor="text1"/>
                <w:sz w:val="13"/>
                <w:szCs w:val="13"/>
              </w:rPr>
            </w:pPr>
          </w:p>
        </w:tc>
      </w:tr>
      <w:tr w:rsidR="00CD13DC" w:rsidRPr="00CD13DC" w14:paraId="6B4FBE47" w14:textId="77777777" w:rsidTr="00CD13DC">
        <w:trPr>
          <w:trHeight w:val="284"/>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1F6CD643" w14:textId="77777777" w:rsidR="00CD13DC" w:rsidRPr="00CD13DC" w:rsidRDefault="00CD13DC" w:rsidP="00CD13DC">
            <w:pPr>
              <w:rPr>
                <w:rFonts w:cs="Calibri"/>
                <w:color w:val="000000" w:themeColor="text1"/>
                <w:sz w:val="13"/>
                <w:szCs w:val="13"/>
              </w:rPr>
            </w:pPr>
            <w:r w:rsidRPr="00CD13DC">
              <w:rPr>
                <w:rFonts w:cs="Calibri"/>
                <w:color w:val="000000" w:themeColor="text1"/>
                <w:sz w:val="13"/>
                <w:szCs w:val="13"/>
              </w:rPr>
              <w:t>LIBOR EUR (3 miesiące)</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2D649238" w14:textId="77777777" w:rsidR="00CD13DC" w:rsidRPr="00CD13DC" w:rsidRDefault="00CD13DC" w:rsidP="00CD13DC">
            <w:pPr>
              <w:jc w:val="right"/>
              <w:rPr>
                <w:rFonts w:cs="Calibri"/>
                <w:color w:val="000000" w:themeColor="text1"/>
                <w:sz w:val="13"/>
                <w:szCs w:val="13"/>
              </w:rPr>
            </w:pPr>
            <w:r w:rsidRPr="00CD13DC">
              <w:rPr>
                <w:rFonts w:cs="Calibri"/>
                <w:color w:val="000000" w:themeColor="text1"/>
                <w:sz w:val="13"/>
                <w:szCs w:val="13"/>
              </w:rPr>
              <w:t>1 277 550</w:t>
            </w:r>
          </w:p>
        </w:tc>
        <w:tc>
          <w:tcPr>
            <w:tcW w:w="1418" w:type="dxa"/>
            <w:tcBorders>
              <w:top w:val="single" w:sz="8" w:space="0" w:color="0077BD"/>
              <w:left w:val="nil"/>
              <w:bottom w:val="single" w:sz="8" w:space="0" w:color="0077BD"/>
              <w:right w:val="nil"/>
            </w:tcBorders>
            <w:shd w:val="clear" w:color="auto" w:fill="auto"/>
            <w:noWrap/>
            <w:vAlign w:val="center"/>
            <w:hideMark/>
          </w:tcPr>
          <w:p w14:paraId="064A4BEF" w14:textId="38877164" w:rsidR="00CD13DC" w:rsidRPr="00CD13DC" w:rsidRDefault="00CD13DC" w:rsidP="00B6788D">
            <w:pPr>
              <w:jc w:val="right"/>
              <w:rPr>
                <w:rFonts w:cs="Calibri"/>
                <w:color w:val="000000" w:themeColor="text1"/>
                <w:sz w:val="13"/>
                <w:szCs w:val="13"/>
              </w:rPr>
            </w:pPr>
            <w:r w:rsidRPr="00CD13DC">
              <w:rPr>
                <w:rFonts w:cs="Calibri"/>
                <w:color w:val="000000" w:themeColor="text1"/>
                <w:sz w:val="13"/>
                <w:szCs w:val="13"/>
              </w:rPr>
              <w:t>5,8</w:t>
            </w:r>
          </w:p>
        </w:tc>
      </w:tr>
      <w:tr w:rsidR="00CD13DC" w:rsidRPr="00CD13DC" w14:paraId="4E57A799" w14:textId="77777777" w:rsidTr="00CD13DC">
        <w:trPr>
          <w:trHeight w:val="284"/>
        </w:trPr>
        <w:tc>
          <w:tcPr>
            <w:tcW w:w="6747" w:type="dxa"/>
            <w:tcBorders>
              <w:top w:val="nil"/>
              <w:left w:val="nil"/>
              <w:bottom w:val="single" w:sz="8" w:space="0" w:color="0077BD"/>
              <w:right w:val="single" w:sz="8" w:space="0" w:color="0077BD"/>
            </w:tcBorders>
            <w:shd w:val="clear" w:color="auto" w:fill="auto"/>
            <w:noWrap/>
            <w:vAlign w:val="center"/>
            <w:hideMark/>
          </w:tcPr>
          <w:p w14:paraId="6D439B4F" w14:textId="77777777" w:rsidR="00CD13DC" w:rsidRPr="00CD13DC" w:rsidRDefault="00CD13DC" w:rsidP="00CD13DC">
            <w:pPr>
              <w:rPr>
                <w:rFonts w:cs="Calibri"/>
                <w:b/>
                <w:bCs/>
                <w:color w:val="000000" w:themeColor="text1"/>
                <w:sz w:val="13"/>
                <w:szCs w:val="13"/>
              </w:rPr>
            </w:pPr>
            <w:r w:rsidRPr="00CD13DC">
              <w:rPr>
                <w:rFonts w:cs="Calibri"/>
                <w:b/>
                <w:bCs/>
                <w:color w:val="000000" w:themeColor="text1"/>
                <w:sz w:val="13"/>
                <w:szCs w:val="13"/>
              </w:rPr>
              <w:t>Kontrakty swap na stopę prcentową w walucie obcej (CIRS), razem</w:t>
            </w:r>
          </w:p>
        </w:tc>
        <w:tc>
          <w:tcPr>
            <w:tcW w:w="1418" w:type="dxa"/>
            <w:tcBorders>
              <w:top w:val="nil"/>
              <w:left w:val="nil"/>
              <w:bottom w:val="single" w:sz="8" w:space="0" w:color="0077BD"/>
              <w:right w:val="single" w:sz="8" w:space="0" w:color="0077BD"/>
            </w:tcBorders>
            <w:shd w:val="clear" w:color="auto" w:fill="auto"/>
            <w:vAlign w:val="center"/>
            <w:hideMark/>
          </w:tcPr>
          <w:p w14:paraId="55AA06BB" w14:textId="77777777" w:rsidR="00CD13DC" w:rsidRPr="00CD13DC" w:rsidRDefault="00CD13DC" w:rsidP="00CD13DC">
            <w:pPr>
              <w:jc w:val="right"/>
              <w:rPr>
                <w:rFonts w:cs="Calibri"/>
                <w:b/>
                <w:bCs/>
                <w:color w:val="000000" w:themeColor="text1"/>
                <w:sz w:val="13"/>
                <w:szCs w:val="13"/>
              </w:rPr>
            </w:pPr>
            <w:r w:rsidRPr="00CD13DC">
              <w:rPr>
                <w:rFonts w:cs="Calibri"/>
                <w:b/>
                <w:bCs/>
                <w:color w:val="000000" w:themeColor="text1"/>
                <w:sz w:val="13"/>
                <w:szCs w:val="13"/>
              </w:rPr>
              <w:t>1 277 550</w:t>
            </w:r>
          </w:p>
        </w:tc>
        <w:tc>
          <w:tcPr>
            <w:tcW w:w="1418" w:type="dxa"/>
            <w:tcBorders>
              <w:top w:val="nil"/>
              <w:left w:val="nil"/>
              <w:bottom w:val="single" w:sz="8" w:space="0" w:color="0077BD"/>
              <w:right w:val="nil"/>
            </w:tcBorders>
            <w:shd w:val="thinDiagStripe" w:color="000000" w:fill="auto"/>
            <w:noWrap/>
            <w:vAlign w:val="center"/>
          </w:tcPr>
          <w:p w14:paraId="76D11676" w14:textId="177D3DB2" w:rsidR="00CD13DC" w:rsidRPr="00CD13DC" w:rsidRDefault="00CD13DC" w:rsidP="00CD13DC">
            <w:pPr>
              <w:rPr>
                <w:rFonts w:cs="Calibri"/>
                <w:b/>
                <w:bCs/>
                <w:color w:val="000000" w:themeColor="text1"/>
                <w:sz w:val="13"/>
                <w:szCs w:val="13"/>
              </w:rPr>
            </w:pPr>
          </w:p>
        </w:tc>
      </w:tr>
      <w:tr w:rsidR="00CD13DC" w:rsidRPr="00CD13DC" w14:paraId="5A860EDC" w14:textId="77777777" w:rsidTr="00CD13DC">
        <w:trPr>
          <w:trHeight w:val="284"/>
        </w:trPr>
        <w:tc>
          <w:tcPr>
            <w:tcW w:w="6747" w:type="dxa"/>
            <w:tcBorders>
              <w:top w:val="nil"/>
              <w:left w:val="nil"/>
              <w:bottom w:val="single" w:sz="8" w:space="0" w:color="0077BD"/>
              <w:right w:val="single" w:sz="8" w:space="0" w:color="0077BD"/>
            </w:tcBorders>
            <w:shd w:val="clear" w:color="auto" w:fill="auto"/>
            <w:noWrap/>
            <w:vAlign w:val="center"/>
            <w:hideMark/>
          </w:tcPr>
          <w:p w14:paraId="13C586CE" w14:textId="77777777" w:rsidR="00CD13DC" w:rsidRPr="00CD13DC" w:rsidRDefault="00CD13DC" w:rsidP="00CD13DC">
            <w:pPr>
              <w:rPr>
                <w:rFonts w:cs="Calibri"/>
                <w:b/>
                <w:bCs/>
                <w:color w:val="000000" w:themeColor="text1"/>
                <w:sz w:val="13"/>
                <w:szCs w:val="13"/>
              </w:rPr>
            </w:pPr>
            <w:r w:rsidRPr="00CD13DC">
              <w:rPr>
                <w:rFonts w:cs="Calibri"/>
                <w:b/>
                <w:bCs/>
                <w:color w:val="000000" w:themeColor="text1"/>
                <w:sz w:val="13"/>
                <w:szCs w:val="13"/>
              </w:rPr>
              <w:t>Razem</w:t>
            </w:r>
          </w:p>
        </w:tc>
        <w:tc>
          <w:tcPr>
            <w:tcW w:w="1418" w:type="dxa"/>
            <w:tcBorders>
              <w:top w:val="nil"/>
              <w:left w:val="nil"/>
              <w:bottom w:val="single" w:sz="8" w:space="0" w:color="0077BD"/>
              <w:right w:val="single" w:sz="8" w:space="0" w:color="0077BD"/>
            </w:tcBorders>
            <w:shd w:val="clear" w:color="auto" w:fill="auto"/>
            <w:vAlign w:val="center"/>
            <w:hideMark/>
          </w:tcPr>
          <w:p w14:paraId="1BD147BB" w14:textId="77777777" w:rsidR="00CD13DC" w:rsidRPr="00CD13DC" w:rsidRDefault="00CD13DC" w:rsidP="00CD13DC">
            <w:pPr>
              <w:jc w:val="right"/>
              <w:rPr>
                <w:rFonts w:cs="Calibri"/>
                <w:b/>
                <w:bCs/>
                <w:color w:val="000000" w:themeColor="text1"/>
                <w:sz w:val="13"/>
                <w:szCs w:val="13"/>
              </w:rPr>
            </w:pPr>
            <w:r w:rsidRPr="00CD13DC">
              <w:rPr>
                <w:rFonts w:cs="Calibri"/>
                <w:b/>
                <w:bCs/>
                <w:color w:val="000000" w:themeColor="text1"/>
                <w:sz w:val="13"/>
                <w:szCs w:val="13"/>
              </w:rPr>
              <w:t>29 147 590</w:t>
            </w:r>
          </w:p>
        </w:tc>
        <w:tc>
          <w:tcPr>
            <w:tcW w:w="1418" w:type="dxa"/>
            <w:tcBorders>
              <w:top w:val="nil"/>
              <w:left w:val="nil"/>
              <w:bottom w:val="single" w:sz="8" w:space="0" w:color="0077BD"/>
              <w:right w:val="nil"/>
            </w:tcBorders>
            <w:shd w:val="thinDiagStripe" w:color="000000" w:fill="auto"/>
            <w:noWrap/>
            <w:vAlign w:val="center"/>
          </w:tcPr>
          <w:p w14:paraId="46B9A1EE" w14:textId="3AB4943B" w:rsidR="00CD13DC" w:rsidRPr="00CD13DC" w:rsidRDefault="00CD13DC" w:rsidP="00CD13DC">
            <w:pPr>
              <w:rPr>
                <w:rFonts w:cs="Calibri"/>
                <w:b/>
                <w:bCs/>
                <w:color w:val="000000" w:themeColor="text1"/>
                <w:sz w:val="13"/>
                <w:szCs w:val="13"/>
              </w:rPr>
            </w:pPr>
          </w:p>
        </w:tc>
      </w:tr>
    </w:tbl>
    <w:p w14:paraId="380AFC19" w14:textId="40A46CA1" w:rsidR="00CD13DC" w:rsidRDefault="00CD13DC" w:rsidP="00DD514C">
      <w:pPr>
        <w:spacing w:before="120"/>
        <w:jc w:val="both"/>
        <w:rPr>
          <w:rFonts w:cs="Tahoma"/>
          <w:bCs/>
          <w:sz w:val="18"/>
          <w:szCs w:val="18"/>
        </w:rPr>
      </w:pPr>
    </w:p>
    <w:p w14:paraId="7EE83979" w14:textId="77777777" w:rsidR="00CD13DC" w:rsidRDefault="00CD13DC">
      <w:pPr>
        <w:rPr>
          <w:rFonts w:cs="Tahoma"/>
          <w:bCs/>
          <w:sz w:val="18"/>
          <w:szCs w:val="18"/>
        </w:rPr>
      </w:pPr>
      <w:r>
        <w:rPr>
          <w:rFonts w:cs="Tahoma"/>
          <w:bCs/>
          <w:sz w:val="18"/>
          <w:szCs w:val="18"/>
        </w:rPr>
        <w:br w:type="page"/>
      </w:r>
    </w:p>
    <w:p w14:paraId="37DE3836" w14:textId="4FFB1A53" w:rsidR="00D43582" w:rsidRPr="00D43582" w:rsidRDefault="00D43582"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0" w:name="_Toc32999852"/>
      <w:r w:rsidRPr="00D43582">
        <w:rPr>
          <w:rFonts w:cs="Tahoma"/>
          <w:bCs w:val="0"/>
          <w:iCs w:val="0"/>
          <w:color w:val="E41E0A"/>
          <w:sz w:val="18"/>
          <w:szCs w:val="18"/>
        </w:rPr>
        <w:lastRenderedPageBreak/>
        <w:t>Aktywa finansowe nieprzeznaczone do obrotu wyceniane obowiązkowo w wartości godziwej przez wynik finansowy</w:t>
      </w:r>
      <w:bookmarkEnd w:id="140"/>
    </w:p>
    <w:p w14:paraId="1D042B0D" w14:textId="77777777" w:rsidR="00D43582" w:rsidRDefault="00D43582" w:rsidP="004444CF">
      <w:pPr>
        <w:jc w:val="both"/>
        <w:rPr>
          <w:rFonts w:cs="Tahoma"/>
          <w:bCs/>
          <w:color w:val="201C17"/>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3569F9" w:rsidRPr="003569F9" w14:paraId="34BC0C82" w14:textId="77777777" w:rsidTr="00B01C17">
        <w:trPr>
          <w:trHeight w:val="284"/>
        </w:trPr>
        <w:tc>
          <w:tcPr>
            <w:tcW w:w="6747" w:type="dxa"/>
            <w:tcBorders>
              <w:top w:val="single" w:sz="8" w:space="0" w:color="FFFFFF"/>
              <w:left w:val="nil"/>
              <w:bottom w:val="nil"/>
              <w:right w:val="single" w:sz="8" w:space="0" w:color="FFFFFF"/>
            </w:tcBorders>
            <w:shd w:val="clear" w:color="000000" w:fill="0077BD"/>
            <w:vAlign w:val="center"/>
            <w:hideMark/>
          </w:tcPr>
          <w:p w14:paraId="20E64B23" w14:textId="77777777" w:rsidR="003569F9" w:rsidRPr="003569F9" w:rsidRDefault="003569F9" w:rsidP="003569F9">
            <w:pPr>
              <w:rPr>
                <w:rFonts w:cs="Calibri"/>
                <w:b/>
                <w:bCs/>
                <w:color w:val="FFFFFF"/>
                <w:sz w:val="13"/>
                <w:szCs w:val="13"/>
              </w:rPr>
            </w:pPr>
            <w:r w:rsidRPr="003569F9">
              <w:rPr>
                <w:rFonts w:cs="Calibri"/>
                <w:b/>
                <w:bCs/>
                <w:color w:val="FFFFFF"/>
                <w:sz w:val="13"/>
                <w:szCs w:val="13"/>
              </w:rPr>
              <w:t> </w:t>
            </w:r>
          </w:p>
        </w:tc>
        <w:tc>
          <w:tcPr>
            <w:tcW w:w="1418" w:type="dxa"/>
            <w:tcBorders>
              <w:top w:val="single" w:sz="8" w:space="0" w:color="FFFFFF"/>
              <w:left w:val="nil"/>
              <w:bottom w:val="nil"/>
              <w:right w:val="nil"/>
            </w:tcBorders>
            <w:shd w:val="clear" w:color="000000" w:fill="0077BD"/>
            <w:noWrap/>
            <w:vAlign w:val="center"/>
            <w:hideMark/>
          </w:tcPr>
          <w:p w14:paraId="3DDD3CBB" w14:textId="0BE5EEA3" w:rsidR="003569F9" w:rsidRPr="003569F9" w:rsidRDefault="003569F9" w:rsidP="00A75E5C">
            <w:pPr>
              <w:jc w:val="right"/>
              <w:rPr>
                <w:rFonts w:cs="Calibri"/>
                <w:b/>
                <w:bCs/>
                <w:color w:val="FFFFFF"/>
                <w:sz w:val="13"/>
                <w:szCs w:val="13"/>
              </w:rPr>
            </w:pPr>
            <w:r w:rsidRPr="003569F9">
              <w:rPr>
                <w:rFonts w:cs="Calibri"/>
                <w:b/>
                <w:bCs/>
                <w:color w:val="FFFFFF"/>
                <w:sz w:val="13"/>
                <w:szCs w:val="13"/>
              </w:rPr>
              <w:t>31.12.201</w:t>
            </w:r>
            <w:r w:rsidR="00A75E5C">
              <w:rPr>
                <w:rFonts w:cs="Calibri"/>
                <w:b/>
                <w:bCs/>
                <w:color w:val="FFFFFF"/>
                <w:sz w:val="13"/>
                <w:szCs w:val="13"/>
              </w:rPr>
              <w:t>9</w:t>
            </w:r>
          </w:p>
        </w:tc>
        <w:tc>
          <w:tcPr>
            <w:tcW w:w="1418" w:type="dxa"/>
            <w:tcBorders>
              <w:top w:val="single" w:sz="8" w:space="0" w:color="FFFFFF"/>
              <w:left w:val="single" w:sz="8" w:space="0" w:color="FFFFFF"/>
              <w:bottom w:val="nil"/>
              <w:right w:val="nil"/>
            </w:tcBorders>
            <w:shd w:val="clear" w:color="000000" w:fill="0077BD"/>
            <w:noWrap/>
            <w:vAlign w:val="center"/>
            <w:hideMark/>
          </w:tcPr>
          <w:p w14:paraId="6B6FA28E" w14:textId="53E546B9" w:rsidR="003569F9" w:rsidRPr="003569F9" w:rsidRDefault="003569F9" w:rsidP="00A75E5C">
            <w:pPr>
              <w:jc w:val="right"/>
              <w:rPr>
                <w:rFonts w:cs="Calibri"/>
                <w:b/>
                <w:bCs/>
                <w:color w:val="FFFFFF"/>
                <w:sz w:val="13"/>
                <w:szCs w:val="13"/>
              </w:rPr>
            </w:pPr>
            <w:r w:rsidRPr="003569F9">
              <w:rPr>
                <w:rFonts w:cs="Calibri"/>
                <w:b/>
                <w:bCs/>
                <w:color w:val="FFFFFF"/>
                <w:sz w:val="13"/>
                <w:szCs w:val="13"/>
              </w:rPr>
              <w:t>31.12.201</w:t>
            </w:r>
            <w:r w:rsidR="00A75E5C">
              <w:rPr>
                <w:rFonts w:cs="Calibri"/>
                <w:b/>
                <w:bCs/>
                <w:color w:val="FFFFFF"/>
                <w:sz w:val="13"/>
                <w:szCs w:val="13"/>
              </w:rPr>
              <w:t>8</w:t>
            </w:r>
          </w:p>
        </w:tc>
      </w:tr>
      <w:tr w:rsidR="00B01C17" w:rsidRPr="00BB7C9E" w14:paraId="16A18E19" w14:textId="77777777" w:rsidTr="003C4E6E">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2D38B8DC" w14:textId="77777777" w:rsidR="00B01C17" w:rsidRPr="00BB7C9E" w:rsidRDefault="00B01C17" w:rsidP="00B01C17">
            <w:pPr>
              <w:rPr>
                <w:rFonts w:cs="Calibri"/>
                <w:b/>
                <w:bCs/>
                <w:color w:val="000000" w:themeColor="text1"/>
                <w:sz w:val="13"/>
                <w:szCs w:val="13"/>
              </w:rPr>
            </w:pPr>
            <w:r w:rsidRPr="00BB7C9E">
              <w:rPr>
                <w:rFonts w:cs="Calibri"/>
                <w:b/>
                <w:bCs/>
                <w:color w:val="000000" w:themeColor="text1"/>
                <w:sz w:val="13"/>
                <w:szCs w:val="13"/>
              </w:rPr>
              <w:t>Kapitałowe papiery wartościowe</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4189D65" w14:textId="4D1F0856"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162 616</w:t>
            </w:r>
          </w:p>
        </w:tc>
        <w:tc>
          <w:tcPr>
            <w:tcW w:w="1418" w:type="dxa"/>
            <w:tcBorders>
              <w:top w:val="single" w:sz="8" w:space="0" w:color="0077BD"/>
              <w:left w:val="nil"/>
              <w:bottom w:val="single" w:sz="8" w:space="0" w:color="0077BD"/>
              <w:right w:val="nil"/>
            </w:tcBorders>
            <w:shd w:val="clear" w:color="auto" w:fill="auto"/>
            <w:noWrap/>
            <w:vAlign w:val="center"/>
            <w:hideMark/>
          </w:tcPr>
          <w:p w14:paraId="6F5B24D9" w14:textId="77777777"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72 775</w:t>
            </w:r>
          </w:p>
        </w:tc>
      </w:tr>
      <w:tr w:rsidR="00B01C17" w:rsidRPr="00BB7C9E" w14:paraId="3401399A" w14:textId="77777777" w:rsidTr="003C4E6E">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6C5ED5E" w14:textId="77777777" w:rsidR="00B01C17" w:rsidRPr="00BB7C9E" w:rsidRDefault="00B01C17" w:rsidP="00B01C17">
            <w:pPr>
              <w:rPr>
                <w:rFonts w:cs="Calibri"/>
                <w:color w:val="000000" w:themeColor="text1"/>
                <w:sz w:val="13"/>
                <w:szCs w:val="13"/>
              </w:rPr>
            </w:pPr>
            <w:r w:rsidRPr="00BB7C9E">
              <w:rPr>
                <w:rFonts w:cs="Calibri"/>
                <w:color w:val="000000" w:themeColor="text1"/>
                <w:sz w:val="13"/>
                <w:szCs w:val="13"/>
              </w:rPr>
              <w:t>- Inne instytucje finansowe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22FF67A" w14:textId="359FD293"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106 250</w:t>
            </w:r>
          </w:p>
        </w:tc>
        <w:tc>
          <w:tcPr>
            <w:tcW w:w="1418" w:type="dxa"/>
            <w:tcBorders>
              <w:top w:val="nil"/>
              <w:left w:val="nil"/>
              <w:bottom w:val="single" w:sz="4" w:space="0" w:color="0077BD"/>
              <w:right w:val="nil"/>
            </w:tcBorders>
            <w:shd w:val="clear" w:color="auto" w:fill="auto"/>
            <w:noWrap/>
            <w:vAlign w:val="center"/>
            <w:hideMark/>
          </w:tcPr>
          <w:p w14:paraId="350FA387" w14:textId="77777777"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12 934</w:t>
            </w:r>
          </w:p>
        </w:tc>
      </w:tr>
      <w:tr w:rsidR="00B01C17" w:rsidRPr="00BB7C9E" w14:paraId="66DDEA2B" w14:textId="77777777" w:rsidTr="003C4E6E">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E0B8E55" w14:textId="77777777" w:rsidR="00B01C17" w:rsidRPr="00BB7C9E" w:rsidRDefault="00B01C17" w:rsidP="00B01C17">
            <w:pPr>
              <w:rPr>
                <w:rFonts w:cs="Calibri"/>
                <w:color w:val="000000" w:themeColor="text1"/>
                <w:sz w:val="13"/>
                <w:szCs w:val="13"/>
              </w:rPr>
            </w:pPr>
            <w:r w:rsidRPr="00BB7C9E">
              <w:rPr>
                <w:rFonts w:cs="Calibri"/>
                <w:color w:val="000000" w:themeColor="text1"/>
                <w:sz w:val="13"/>
                <w:szCs w:val="13"/>
              </w:rPr>
              <w:t>- Przedsiębiorstwa niefinansowe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C600E00" w14:textId="4F5E28FE"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56 366</w:t>
            </w:r>
          </w:p>
        </w:tc>
        <w:tc>
          <w:tcPr>
            <w:tcW w:w="1418" w:type="dxa"/>
            <w:tcBorders>
              <w:top w:val="nil"/>
              <w:left w:val="nil"/>
              <w:bottom w:val="single" w:sz="4" w:space="0" w:color="0077BD"/>
              <w:right w:val="nil"/>
            </w:tcBorders>
            <w:shd w:val="clear" w:color="auto" w:fill="auto"/>
            <w:noWrap/>
            <w:vAlign w:val="center"/>
            <w:hideMark/>
          </w:tcPr>
          <w:p w14:paraId="5C05D58A" w14:textId="77777777"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59 841</w:t>
            </w:r>
          </w:p>
        </w:tc>
      </w:tr>
      <w:tr w:rsidR="00B01C17" w:rsidRPr="00BB7C9E" w14:paraId="41E926E4" w14:textId="77777777" w:rsidTr="003C4E6E">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A6D680F" w14:textId="77777777" w:rsidR="00B01C17" w:rsidRPr="00BB7C9E" w:rsidRDefault="00B01C17" w:rsidP="00B01C17">
            <w:pPr>
              <w:rPr>
                <w:rFonts w:cs="Calibri"/>
                <w:b/>
                <w:bCs/>
                <w:color w:val="000000" w:themeColor="text1"/>
                <w:sz w:val="13"/>
                <w:szCs w:val="13"/>
              </w:rPr>
            </w:pPr>
            <w:r w:rsidRPr="00BB7C9E">
              <w:rPr>
                <w:rFonts w:cs="Calibri"/>
                <w:b/>
                <w:bCs/>
                <w:color w:val="000000" w:themeColor="text1"/>
                <w:sz w:val="13"/>
                <w:szCs w:val="13"/>
              </w:rPr>
              <w:t>Dłużne papiery wartościowe</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023DEBA2" w14:textId="6A577F13"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133 774</w:t>
            </w:r>
          </w:p>
        </w:tc>
        <w:tc>
          <w:tcPr>
            <w:tcW w:w="1418" w:type="dxa"/>
            <w:tcBorders>
              <w:top w:val="single" w:sz="8" w:space="0" w:color="0077BD"/>
              <w:left w:val="nil"/>
              <w:bottom w:val="single" w:sz="8" w:space="0" w:color="0077BD"/>
              <w:right w:val="nil"/>
            </w:tcBorders>
            <w:shd w:val="clear" w:color="auto" w:fill="auto"/>
            <w:noWrap/>
            <w:vAlign w:val="center"/>
            <w:hideMark/>
          </w:tcPr>
          <w:p w14:paraId="1C8553B6" w14:textId="77777777"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58 130</w:t>
            </w:r>
          </w:p>
        </w:tc>
      </w:tr>
      <w:tr w:rsidR="00592C7F" w:rsidRPr="00BB7C9E" w14:paraId="6F718167" w14:textId="77777777" w:rsidTr="003C4E6E">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0A350CAC" w14:textId="77777777" w:rsidR="003569F9" w:rsidRPr="00BB7C9E" w:rsidRDefault="003569F9" w:rsidP="003569F9">
            <w:pPr>
              <w:rPr>
                <w:rFonts w:cs="Calibri"/>
                <w:color w:val="000000" w:themeColor="text1"/>
                <w:sz w:val="13"/>
                <w:szCs w:val="13"/>
              </w:rPr>
            </w:pPr>
            <w:r w:rsidRPr="00BB7C9E">
              <w:rPr>
                <w:rFonts w:cs="Calibri"/>
                <w:color w:val="000000" w:themeColor="text1"/>
                <w:sz w:val="13"/>
                <w:szCs w:val="13"/>
              </w:rPr>
              <w:t>- Inne instytucje finansowe</w:t>
            </w:r>
          </w:p>
        </w:tc>
        <w:tc>
          <w:tcPr>
            <w:tcW w:w="1418" w:type="dxa"/>
            <w:tcBorders>
              <w:top w:val="nil"/>
              <w:left w:val="nil"/>
              <w:bottom w:val="single" w:sz="8" w:space="0" w:color="0077BD"/>
              <w:right w:val="single" w:sz="8" w:space="0" w:color="0077BD"/>
            </w:tcBorders>
            <w:shd w:val="clear" w:color="auto" w:fill="auto"/>
            <w:noWrap/>
            <w:vAlign w:val="center"/>
          </w:tcPr>
          <w:p w14:paraId="3033E625" w14:textId="61F8E979" w:rsidR="003569F9" w:rsidRPr="00BB7C9E" w:rsidRDefault="00B01C17" w:rsidP="003569F9">
            <w:pPr>
              <w:jc w:val="right"/>
              <w:rPr>
                <w:rFonts w:cs="Calibri"/>
                <w:color w:val="000000" w:themeColor="text1"/>
                <w:sz w:val="13"/>
                <w:szCs w:val="13"/>
              </w:rPr>
            </w:pPr>
            <w:r w:rsidRPr="00BB7C9E">
              <w:rPr>
                <w:rFonts w:cs="Calibri"/>
                <w:color w:val="000000" w:themeColor="text1"/>
                <w:sz w:val="13"/>
                <w:szCs w:val="13"/>
              </w:rPr>
              <w:t>133 774</w:t>
            </w:r>
          </w:p>
        </w:tc>
        <w:tc>
          <w:tcPr>
            <w:tcW w:w="1418" w:type="dxa"/>
            <w:tcBorders>
              <w:top w:val="nil"/>
              <w:left w:val="nil"/>
              <w:bottom w:val="single" w:sz="8" w:space="0" w:color="0077BD"/>
              <w:right w:val="nil"/>
            </w:tcBorders>
            <w:shd w:val="clear" w:color="auto" w:fill="auto"/>
            <w:noWrap/>
            <w:vAlign w:val="center"/>
            <w:hideMark/>
          </w:tcPr>
          <w:p w14:paraId="5210F41B" w14:textId="77777777" w:rsidR="003569F9" w:rsidRPr="00BB7C9E" w:rsidRDefault="003569F9" w:rsidP="003569F9">
            <w:pPr>
              <w:jc w:val="right"/>
              <w:rPr>
                <w:rFonts w:cs="Calibri"/>
                <w:color w:val="000000" w:themeColor="text1"/>
                <w:sz w:val="13"/>
                <w:szCs w:val="13"/>
              </w:rPr>
            </w:pPr>
            <w:r w:rsidRPr="00BB7C9E">
              <w:rPr>
                <w:rFonts w:cs="Calibri"/>
                <w:color w:val="000000" w:themeColor="text1"/>
                <w:sz w:val="13"/>
                <w:szCs w:val="13"/>
              </w:rPr>
              <w:t>58 130</w:t>
            </w:r>
          </w:p>
        </w:tc>
      </w:tr>
      <w:tr w:rsidR="00B01C17" w:rsidRPr="00BB7C9E" w14:paraId="175C5D66" w14:textId="77777777" w:rsidTr="003C4E6E">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18DFE97" w14:textId="77777777" w:rsidR="00B01C17" w:rsidRPr="00BB7C9E" w:rsidRDefault="00B01C17" w:rsidP="00B01C17">
            <w:pPr>
              <w:rPr>
                <w:rFonts w:cs="Calibri"/>
                <w:b/>
                <w:bCs/>
                <w:color w:val="000000" w:themeColor="text1"/>
                <w:sz w:val="13"/>
                <w:szCs w:val="13"/>
              </w:rPr>
            </w:pPr>
            <w:r w:rsidRPr="00BB7C9E">
              <w:rPr>
                <w:rFonts w:cs="Calibri"/>
                <w:b/>
                <w:bCs/>
                <w:color w:val="000000" w:themeColor="text1"/>
                <w:sz w:val="13"/>
                <w:szCs w:val="13"/>
              </w:rPr>
              <w:t>Kredyty i pożyczki</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F6CC02C" w14:textId="1D319C6E"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1 971 532</w:t>
            </w:r>
          </w:p>
        </w:tc>
        <w:tc>
          <w:tcPr>
            <w:tcW w:w="1418" w:type="dxa"/>
            <w:tcBorders>
              <w:top w:val="single" w:sz="8" w:space="0" w:color="0077BD"/>
              <w:left w:val="nil"/>
              <w:bottom w:val="single" w:sz="8" w:space="0" w:color="0077BD"/>
              <w:right w:val="nil"/>
            </w:tcBorders>
            <w:shd w:val="clear" w:color="auto" w:fill="auto"/>
            <w:noWrap/>
            <w:vAlign w:val="center"/>
            <w:hideMark/>
          </w:tcPr>
          <w:p w14:paraId="7A151F3D" w14:textId="77777777"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2 705 155</w:t>
            </w:r>
          </w:p>
        </w:tc>
      </w:tr>
      <w:tr w:rsidR="00B01C17" w:rsidRPr="00BB7C9E" w14:paraId="4783D8F4" w14:textId="77777777" w:rsidTr="003C4E6E">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D77DDCF" w14:textId="77777777" w:rsidR="00B01C17" w:rsidRPr="00BB7C9E" w:rsidRDefault="00B01C17" w:rsidP="00B01C17">
            <w:pPr>
              <w:rPr>
                <w:rFonts w:cs="Calibri"/>
                <w:color w:val="000000" w:themeColor="text1"/>
                <w:sz w:val="13"/>
                <w:szCs w:val="13"/>
              </w:rPr>
            </w:pPr>
            <w:r w:rsidRPr="00BB7C9E">
              <w:rPr>
                <w:rFonts w:cs="Calibri"/>
                <w:color w:val="000000" w:themeColor="text1"/>
                <w:sz w:val="13"/>
                <w:szCs w:val="13"/>
              </w:rPr>
              <w:t>- Klienci indywidualni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A851A2E" w14:textId="134AF60A"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1 685 799</w:t>
            </w:r>
          </w:p>
        </w:tc>
        <w:tc>
          <w:tcPr>
            <w:tcW w:w="1418" w:type="dxa"/>
            <w:tcBorders>
              <w:top w:val="nil"/>
              <w:left w:val="nil"/>
              <w:bottom w:val="single" w:sz="4" w:space="0" w:color="0077BD"/>
              <w:right w:val="nil"/>
            </w:tcBorders>
            <w:shd w:val="clear" w:color="auto" w:fill="auto"/>
            <w:noWrap/>
            <w:vAlign w:val="center"/>
            <w:hideMark/>
          </w:tcPr>
          <w:p w14:paraId="2F4A113B" w14:textId="77777777"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2 370 872</w:t>
            </w:r>
          </w:p>
        </w:tc>
      </w:tr>
      <w:tr w:rsidR="00B01C17" w:rsidRPr="00BB7C9E" w14:paraId="368F34B9" w14:textId="77777777" w:rsidTr="003C4E6E">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826DE49" w14:textId="77777777" w:rsidR="00B01C17" w:rsidRPr="00BB7C9E" w:rsidRDefault="00B01C17" w:rsidP="00B01C17">
            <w:pPr>
              <w:rPr>
                <w:rFonts w:cs="Calibri"/>
                <w:color w:val="000000" w:themeColor="text1"/>
                <w:sz w:val="13"/>
                <w:szCs w:val="13"/>
              </w:rPr>
            </w:pPr>
            <w:r w:rsidRPr="00BB7C9E">
              <w:rPr>
                <w:rFonts w:cs="Calibri"/>
                <w:color w:val="000000" w:themeColor="text1"/>
                <w:sz w:val="13"/>
                <w:szCs w:val="13"/>
              </w:rPr>
              <w:t>- Klienci korporacyjni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62A6198" w14:textId="3DCD9B73"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279 062</w:t>
            </w:r>
          </w:p>
        </w:tc>
        <w:tc>
          <w:tcPr>
            <w:tcW w:w="1418" w:type="dxa"/>
            <w:tcBorders>
              <w:top w:val="nil"/>
              <w:left w:val="nil"/>
              <w:bottom w:val="single" w:sz="4" w:space="0" w:color="0077BD"/>
              <w:right w:val="nil"/>
            </w:tcBorders>
            <w:shd w:val="clear" w:color="auto" w:fill="auto"/>
            <w:noWrap/>
            <w:vAlign w:val="center"/>
            <w:hideMark/>
          </w:tcPr>
          <w:p w14:paraId="52EF0492" w14:textId="77777777"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321 380</w:t>
            </w:r>
          </w:p>
        </w:tc>
      </w:tr>
      <w:tr w:rsidR="00B01C17" w:rsidRPr="00BB7C9E" w14:paraId="30B7BA2C" w14:textId="77777777" w:rsidTr="003C4E6E">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EE67553" w14:textId="77777777" w:rsidR="00B01C17" w:rsidRPr="00BB7C9E" w:rsidRDefault="00B01C17" w:rsidP="00B01C17">
            <w:pPr>
              <w:rPr>
                <w:rFonts w:cs="Calibri"/>
                <w:color w:val="000000" w:themeColor="text1"/>
                <w:sz w:val="13"/>
                <w:szCs w:val="13"/>
              </w:rPr>
            </w:pPr>
            <w:r w:rsidRPr="00BB7C9E">
              <w:rPr>
                <w:rFonts w:cs="Calibri"/>
                <w:color w:val="000000" w:themeColor="text1"/>
                <w:sz w:val="13"/>
                <w:szCs w:val="13"/>
              </w:rPr>
              <w:t>- Klienci budżetowi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A2FBC01" w14:textId="13D15F00"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6 671</w:t>
            </w:r>
          </w:p>
        </w:tc>
        <w:tc>
          <w:tcPr>
            <w:tcW w:w="1418" w:type="dxa"/>
            <w:tcBorders>
              <w:top w:val="nil"/>
              <w:left w:val="nil"/>
              <w:bottom w:val="single" w:sz="4" w:space="0" w:color="0077BD"/>
              <w:right w:val="nil"/>
            </w:tcBorders>
            <w:shd w:val="clear" w:color="auto" w:fill="auto"/>
            <w:noWrap/>
            <w:vAlign w:val="center"/>
            <w:hideMark/>
          </w:tcPr>
          <w:p w14:paraId="744C5DCF" w14:textId="77777777" w:rsidR="00B01C17" w:rsidRPr="00BB7C9E" w:rsidRDefault="00B01C17" w:rsidP="00B01C17">
            <w:pPr>
              <w:jc w:val="right"/>
              <w:rPr>
                <w:rFonts w:cs="Calibri"/>
                <w:color w:val="000000" w:themeColor="text1"/>
                <w:sz w:val="13"/>
                <w:szCs w:val="13"/>
              </w:rPr>
            </w:pPr>
            <w:r w:rsidRPr="00BB7C9E">
              <w:rPr>
                <w:rFonts w:cs="Calibri"/>
                <w:color w:val="000000" w:themeColor="text1"/>
                <w:sz w:val="13"/>
                <w:szCs w:val="13"/>
              </w:rPr>
              <w:t>12 903</w:t>
            </w:r>
          </w:p>
        </w:tc>
      </w:tr>
      <w:tr w:rsidR="00B01C17" w:rsidRPr="00BB7C9E" w14:paraId="08786C71" w14:textId="77777777" w:rsidTr="00CA5E84">
        <w:trPr>
          <w:trHeight w:val="39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36DFA16" w14:textId="77777777" w:rsidR="00B01C17" w:rsidRPr="00BB7C9E" w:rsidRDefault="00B01C17" w:rsidP="00B01C17">
            <w:pPr>
              <w:rPr>
                <w:rFonts w:cs="Calibri"/>
                <w:b/>
                <w:bCs/>
                <w:color w:val="000000" w:themeColor="text1"/>
                <w:sz w:val="13"/>
                <w:szCs w:val="13"/>
              </w:rPr>
            </w:pPr>
            <w:r w:rsidRPr="00BB7C9E">
              <w:rPr>
                <w:rFonts w:cs="Calibri"/>
                <w:b/>
                <w:bCs/>
                <w:color w:val="000000" w:themeColor="text1"/>
                <w:sz w:val="13"/>
                <w:szCs w:val="13"/>
              </w:rPr>
              <w:t>Aktywa finansowe nieprzeznaczone do obrotu obowiązkowo wyceniane w wartości godziwej przez wynik finansowy,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D1FD822" w14:textId="62363CC5"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2 267 922</w:t>
            </w:r>
          </w:p>
        </w:tc>
        <w:tc>
          <w:tcPr>
            <w:tcW w:w="1418" w:type="dxa"/>
            <w:tcBorders>
              <w:top w:val="single" w:sz="8" w:space="0" w:color="0077BD"/>
              <w:left w:val="nil"/>
              <w:bottom w:val="single" w:sz="8" w:space="0" w:color="0077BD"/>
              <w:right w:val="nil"/>
            </w:tcBorders>
            <w:shd w:val="clear" w:color="auto" w:fill="auto"/>
            <w:noWrap/>
            <w:vAlign w:val="center"/>
            <w:hideMark/>
          </w:tcPr>
          <w:p w14:paraId="49B38EC1" w14:textId="77777777" w:rsidR="00B01C17" w:rsidRPr="00BB7C9E" w:rsidRDefault="00B01C17" w:rsidP="00B01C17">
            <w:pPr>
              <w:jc w:val="right"/>
              <w:rPr>
                <w:rFonts w:cs="Calibri"/>
                <w:b/>
                <w:bCs/>
                <w:color w:val="000000" w:themeColor="text1"/>
                <w:sz w:val="13"/>
                <w:szCs w:val="13"/>
              </w:rPr>
            </w:pPr>
            <w:r w:rsidRPr="00BB7C9E">
              <w:rPr>
                <w:rFonts w:cs="Calibri"/>
                <w:b/>
                <w:bCs/>
                <w:color w:val="000000" w:themeColor="text1"/>
                <w:sz w:val="13"/>
                <w:szCs w:val="13"/>
              </w:rPr>
              <w:t>2 836 060</w:t>
            </w:r>
          </w:p>
        </w:tc>
      </w:tr>
      <w:tr w:rsidR="00592C7F" w:rsidRPr="003C4E6E" w14:paraId="024FA216" w14:textId="77777777" w:rsidTr="00B01C17">
        <w:trPr>
          <w:trHeight w:val="20"/>
        </w:trPr>
        <w:tc>
          <w:tcPr>
            <w:tcW w:w="6747" w:type="dxa"/>
            <w:tcBorders>
              <w:top w:val="nil"/>
              <w:left w:val="nil"/>
              <w:bottom w:val="nil"/>
              <w:right w:val="nil"/>
            </w:tcBorders>
            <w:shd w:val="clear" w:color="auto" w:fill="auto"/>
            <w:vAlign w:val="center"/>
            <w:hideMark/>
          </w:tcPr>
          <w:p w14:paraId="0EE4D4DD" w14:textId="77777777" w:rsidR="003569F9" w:rsidRPr="003C4E6E" w:rsidRDefault="003569F9" w:rsidP="003569F9">
            <w:pPr>
              <w:jc w:val="right"/>
              <w:rPr>
                <w:rFonts w:cs="Calibri"/>
                <w:b/>
                <w:bCs/>
                <w:color w:val="000000" w:themeColor="text1"/>
                <w:sz w:val="6"/>
                <w:szCs w:val="6"/>
              </w:rPr>
            </w:pPr>
          </w:p>
        </w:tc>
        <w:tc>
          <w:tcPr>
            <w:tcW w:w="1418" w:type="dxa"/>
            <w:tcBorders>
              <w:top w:val="nil"/>
              <w:left w:val="nil"/>
              <w:bottom w:val="nil"/>
              <w:right w:val="nil"/>
            </w:tcBorders>
            <w:shd w:val="clear" w:color="auto" w:fill="auto"/>
            <w:noWrap/>
            <w:vAlign w:val="center"/>
          </w:tcPr>
          <w:p w14:paraId="7BC6E365" w14:textId="77777777" w:rsidR="003569F9" w:rsidRPr="003C4E6E" w:rsidRDefault="003569F9" w:rsidP="003569F9">
            <w:pPr>
              <w:rPr>
                <w:color w:val="000000" w:themeColor="text1"/>
                <w:sz w:val="6"/>
                <w:szCs w:val="6"/>
              </w:rPr>
            </w:pPr>
          </w:p>
        </w:tc>
        <w:tc>
          <w:tcPr>
            <w:tcW w:w="1418" w:type="dxa"/>
            <w:tcBorders>
              <w:top w:val="nil"/>
              <w:left w:val="nil"/>
              <w:bottom w:val="nil"/>
              <w:right w:val="nil"/>
            </w:tcBorders>
            <w:shd w:val="clear" w:color="auto" w:fill="auto"/>
            <w:noWrap/>
            <w:vAlign w:val="center"/>
            <w:hideMark/>
          </w:tcPr>
          <w:p w14:paraId="180E93FA" w14:textId="77777777" w:rsidR="003569F9" w:rsidRPr="003C4E6E" w:rsidRDefault="003569F9" w:rsidP="003569F9">
            <w:pPr>
              <w:jc w:val="right"/>
              <w:rPr>
                <w:color w:val="000000" w:themeColor="text1"/>
                <w:sz w:val="6"/>
                <w:szCs w:val="6"/>
              </w:rPr>
            </w:pPr>
          </w:p>
        </w:tc>
      </w:tr>
      <w:tr w:rsidR="00E42D36" w:rsidRPr="00BB7C9E" w14:paraId="466E6CB2" w14:textId="77777777" w:rsidTr="003C4E6E">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409C550" w14:textId="77777777" w:rsidR="00E42D36" w:rsidRPr="00BB7C9E" w:rsidRDefault="00E42D36" w:rsidP="00E42D36">
            <w:pPr>
              <w:rPr>
                <w:rFonts w:cs="Calibri"/>
                <w:color w:val="000000" w:themeColor="text1"/>
                <w:sz w:val="13"/>
                <w:szCs w:val="13"/>
              </w:rPr>
            </w:pPr>
            <w:r w:rsidRPr="00BB7C9E">
              <w:rPr>
                <w:rFonts w:cs="Calibri"/>
                <w:color w:val="000000" w:themeColor="text1"/>
                <w:sz w:val="13"/>
                <w:szCs w:val="13"/>
              </w:rPr>
              <w:t>Krótkoterminowe (do 1 roku) brutto</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45E3650E" w14:textId="5CCAAEAC" w:rsidR="00E42D36" w:rsidRPr="00BB7C9E" w:rsidRDefault="00E42D36" w:rsidP="00E42D36">
            <w:pPr>
              <w:jc w:val="right"/>
              <w:rPr>
                <w:rFonts w:cs="Calibri"/>
                <w:color w:val="000000" w:themeColor="text1"/>
                <w:sz w:val="13"/>
                <w:szCs w:val="13"/>
              </w:rPr>
            </w:pPr>
            <w:r w:rsidRPr="00BB7C9E">
              <w:rPr>
                <w:rFonts w:cs="Calibri"/>
                <w:color w:val="000000" w:themeColor="text1"/>
                <w:sz w:val="13"/>
                <w:szCs w:val="13"/>
              </w:rPr>
              <w:t>1 382 155</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3FA8B682" w14:textId="77777777" w:rsidR="00E42D36" w:rsidRPr="00BB7C9E" w:rsidRDefault="00E42D36" w:rsidP="00E42D36">
            <w:pPr>
              <w:jc w:val="right"/>
              <w:rPr>
                <w:rFonts w:cs="Calibri"/>
                <w:color w:val="000000" w:themeColor="text1"/>
                <w:sz w:val="13"/>
                <w:szCs w:val="13"/>
              </w:rPr>
            </w:pPr>
            <w:r w:rsidRPr="00BB7C9E">
              <w:rPr>
                <w:rFonts w:cs="Calibri"/>
                <w:color w:val="000000" w:themeColor="text1"/>
                <w:sz w:val="13"/>
                <w:szCs w:val="13"/>
              </w:rPr>
              <w:t>1 705 855</w:t>
            </w:r>
          </w:p>
        </w:tc>
      </w:tr>
      <w:tr w:rsidR="00E42D36" w:rsidRPr="00BB7C9E" w14:paraId="60049436" w14:textId="77777777" w:rsidTr="003C4E6E">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154CCFD8" w14:textId="77777777" w:rsidR="00E42D36" w:rsidRPr="00BB7C9E" w:rsidRDefault="00E42D36" w:rsidP="00E42D36">
            <w:pPr>
              <w:rPr>
                <w:rFonts w:cs="Calibri"/>
                <w:color w:val="000000" w:themeColor="text1"/>
                <w:sz w:val="13"/>
                <w:szCs w:val="13"/>
              </w:rPr>
            </w:pPr>
            <w:r w:rsidRPr="00BB7C9E">
              <w:rPr>
                <w:rFonts w:cs="Calibri"/>
                <w:color w:val="000000" w:themeColor="text1"/>
                <w:sz w:val="13"/>
                <w:szCs w:val="13"/>
              </w:rPr>
              <w:t>Długoterminowe (ponad 1 rok) brutto</w:t>
            </w:r>
          </w:p>
        </w:tc>
        <w:tc>
          <w:tcPr>
            <w:tcW w:w="1418" w:type="dxa"/>
            <w:tcBorders>
              <w:top w:val="nil"/>
              <w:left w:val="single" w:sz="8" w:space="0" w:color="0077BD"/>
              <w:bottom w:val="single" w:sz="8" w:space="0" w:color="0077BD"/>
              <w:right w:val="nil"/>
            </w:tcBorders>
            <w:shd w:val="clear" w:color="auto" w:fill="auto"/>
            <w:vAlign w:val="center"/>
          </w:tcPr>
          <w:p w14:paraId="3ECE4984" w14:textId="669BE3CF" w:rsidR="00E42D36" w:rsidRPr="00BB7C9E" w:rsidRDefault="00E42D36" w:rsidP="00E42D36">
            <w:pPr>
              <w:jc w:val="right"/>
              <w:rPr>
                <w:rFonts w:cs="Calibri"/>
                <w:color w:val="000000" w:themeColor="text1"/>
                <w:sz w:val="13"/>
                <w:szCs w:val="13"/>
              </w:rPr>
            </w:pPr>
            <w:r w:rsidRPr="00BB7C9E">
              <w:rPr>
                <w:rFonts w:cs="Calibri"/>
                <w:color w:val="000000" w:themeColor="text1"/>
                <w:sz w:val="13"/>
                <w:szCs w:val="13"/>
              </w:rPr>
              <w:t>885 767</w:t>
            </w:r>
          </w:p>
        </w:tc>
        <w:tc>
          <w:tcPr>
            <w:tcW w:w="1418" w:type="dxa"/>
            <w:tcBorders>
              <w:top w:val="nil"/>
              <w:left w:val="single" w:sz="8" w:space="0" w:color="0077BD"/>
              <w:bottom w:val="single" w:sz="8" w:space="0" w:color="0077BD"/>
              <w:right w:val="nil"/>
            </w:tcBorders>
            <w:shd w:val="clear" w:color="auto" w:fill="auto"/>
            <w:vAlign w:val="center"/>
            <w:hideMark/>
          </w:tcPr>
          <w:p w14:paraId="0AE721B3" w14:textId="77777777" w:rsidR="00E42D36" w:rsidRPr="00BB7C9E" w:rsidRDefault="00E42D36" w:rsidP="00E42D36">
            <w:pPr>
              <w:jc w:val="right"/>
              <w:rPr>
                <w:rFonts w:cs="Calibri"/>
                <w:color w:val="000000" w:themeColor="text1"/>
                <w:sz w:val="13"/>
                <w:szCs w:val="13"/>
              </w:rPr>
            </w:pPr>
            <w:r w:rsidRPr="00BB7C9E">
              <w:rPr>
                <w:rFonts w:cs="Calibri"/>
                <w:color w:val="000000" w:themeColor="text1"/>
                <w:sz w:val="13"/>
                <w:szCs w:val="13"/>
              </w:rPr>
              <w:t>1 130 205</w:t>
            </w:r>
          </w:p>
        </w:tc>
      </w:tr>
    </w:tbl>
    <w:p w14:paraId="4E44A394" w14:textId="59C22423" w:rsidR="004B43BC" w:rsidRPr="00BB7C9E" w:rsidRDefault="004B43BC" w:rsidP="00F01216">
      <w:pPr>
        <w:spacing w:before="120" w:after="120"/>
        <w:jc w:val="both"/>
        <w:rPr>
          <w:rFonts w:cs="Tahoma"/>
          <w:b/>
          <w:color w:val="000000" w:themeColor="text1"/>
          <w:sz w:val="18"/>
          <w:szCs w:val="18"/>
        </w:rPr>
      </w:pPr>
      <w:r w:rsidRPr="00BB7C9E">
        <w:rPr>
          <w:rFonts w:cs="Tahoma"/>
          <w:b/>
          <w:color w:val="000000" w:themeColor="text1"/>
          <w:sz w:val="18"/>
          <w:szCs w:val="18"/>
        </w:rPr>
        <w:t>Jakość kredytowa aktywów finansowych nieprzeznaczonych do obrotu wycenianych obowiązkowo w wartości godziwej przez wynik finansowy według poziomów wewnętrznego systemu ratingowego</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592C7F" w:rsidRPr="00592C7F" w14:paraId="71E2E330" w14:textId="77777777" w:rsidTr="00F01216">
        <w:trPr>
          <w:trHeight w:val="284"/>
        </w:trPr>
        <w:tc>
          <w:tcPr>
            <w:tcW w:w="6747" w:type="dxa"/>
            <w:vMerge w:val="restart"/>
            <w:tcBorders>
              <w:top w:val="nil"/>
              <w:left w:val="single" w:sz="8" w:space="0" w:color="FFFFFF"/>
              <w:bottom w:val="nil"/>
              <w:right w:val="single" w:sz="8" w:space="0" w:color="FFFFFF"/>
            </w:tcBorders>
            <w:shd w:val="clear" w:color="000000" w:fill="0077BD"/>
            <w:vAlign w:val="center"/>
            <w:hideMark/>
          </w:tcPr>
          <w:p w14:paraId="2F484E7A"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Rating</w:t>
            </w:r>
          </w:p>
        </w:tc>
        <w:tc>
          <w:tcPr>
            <w:tcW w:w="1418" w:type="dxa"/>
            <w:tcBorders>
              <w:top w:val="nil"/>
              <w:left w:val="nil"/>
              <w:bottom w:val="single" w:sz="6" w:space="0" w:color="FFFFFF"/>
              <w:right w:val="nil"/>
            </w:tcBorders>
            <w:shd w:val="clear" w:color="000000" w:fill="0077BD"/>
            <w:vAlign w:val="center"/>
            <w:hideMark/>
          </w:tcPr>
          <w:p w14:paraId="03F757DF"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31.12.2019</w:t>
            </w:r>
          </w:p>
        </w:tc>
        <w:tc>
          <w:tcPr>
            <w:tcW w:w="1418" w:type="dxa"/>
            <w:tcBorders>
              <w:top w:val="nil"/>
              <w:left w:val="single" w:sz="8" w:space="0" w:color="FFFFFF"/>
              <w:bottom w:val="single" w:sz="6" w:space="0" w:color="FFFFFF"/>
              <w:right w:val="nil"/>
            </w:tcBorders>
            <w:shd w:val="clear" w:color="000000" w:fill="0077BD"/>
            <w:vAlign w:val="center"/>
            <w:hideMark/>
          </w:tcPr>
          <w:p w14:paraId="42F2A64E"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31.12.2018</w:t>
            </w:r>
          </w:p>
        </w:tc>
      </w:tr>
      <w:tr w:rsidR="00592C7F" w:rsidRPr="00592C7F" w14:paraId="7042FB91" w14:textId="77777777" w:rsidTr="00F01216">
        <w:trPr>
          <w:trHeight w:val="340"/>
        </w:trPr>
        <w:tc>
          <w:tcPr>
            <w:tcW w:w="6747" w:type="dxa"/>
            <w:vMerge/>
            <w:tcBorders>
              <w:top w:val="nil"/>
              <w:left w:val="single" w:sz="8" w:space="0" w:color="FFFFFF"/>
              <w:right w:val="single" w:sz="8" w:space="0" w:color="FFFFFF"/>
            </w:tcBorders>
            <w:vAlign w:val="center"/>
            <w:hideMark/>
          </w:tcPr>
          <w:p w14:paraId="28329503" w14:textId="77777777" w:rsidR="00592C7F" w:rsidRPr="00592C7F" w:rsidRDefault="00592C7F" w:rsidP="00592C7F">
            <w:pPr>
              <w:rPr>
                <w:rFonts w:cs="Calibri"/>
                <w:b/>
                <w:bCs/>
                <w:color w:val="FFFFFF"/>
                <w:sz w:val="13"/>
                <w:szCs w:val="13"/>
              </w:rPr>
            </w:pPr>
          </w:p>
        </w:tc>
        <w:tc>
          <w:tcPr>
            <w:tcW w:w="1418" w:type="dxa"/>
            <w:tcBorders>
              <w:top w:val="single" w:sz="6" w:space="0" w:color="FFFFFF"/>
              <w:left w:val="nil"/>
              <w:right w:val="nil"/>
            </w:tcBorders>
            <w:shd w:val="clear" w:color="000000" w:fill="0077BD"/>
            <w:vAlign w:val="center"/>
            <w:hideMark/>
          </w:tcPr>
          <w:p w14:paraId="378B4F36"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Dłużne papiery wartościowe</w:t>
            </w:r>
          </w:p>
        </w:tc>
        <w:tc>
          <w:tcPr>
            <w:tcW w:w="1418" w:type="dxa"/>
            <w:tcBorders>
              <w:top w:val="single" w:sz="6" w:space="0" w:color="FFFFFF"/>
              <w:left w:val="single" w:sz="8" w:space="0" w:color="FFFFFF"/>
              <w:right w:val="nil"/>
            </w:tcBorders>
            <w:shd w:val="clear" w:color="000000" w:fill="0077BD"/>
            <w:vAlign w:val="center"/>
            <w:hideMark/>
          </w:tcPr>
          <w:p w14:paraId="766A8A27"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Dłużne papiery wartościowe</w:t>
            </w:r>
          </w:p>
        </w:tc>
      </w:tr>
      <w:tr w:rsidR="00167AE0" w:rsidRPr="00BB7C9E" w14:paraId="679B5B49" w14:textId="77777777" w:rsidTr="003C4E6E">
        <w:trPr>
          <w:trHeight w:val="227"/>
        </w:trPr>
        <w:tc>
          <w:tcPr>
            <w:tcW w:w="6747" w:type="dxa"/>
            <w:tcBorders>
              <w:top w:val="nil"/>
              <w:left w:val="nil"/>
              <w:bottom w:val="single" w:sz="8" w:space="0" w:color="0077BD"/>
              <w:right w:val="single" w:sz="8" w:space="0" w:color="0077BD"/>
            </w:tcBorders>
            <w:shd w:val="clear" w:color="auto" w:fill="auto"/>
            <w:vAlign w:val="center"/>
            <w:hideMark/>
          </w:tcPr>
          <w:p w14:paraId="2C5E7D9C" w14:textId="77777777" w:rsidR="00592C7F" w:rsidRPr="00EC5298" w:rsidRDefault="00592C7F" w:rsidP="00592C7F">
            <w:pPr>
              <w:jc w:val="center"/>
              <w:rPr>
                <w:rFonts w:cs="Calibri"/>
                <w:color w:val="000000" w:themeColor="text1"/>
                <w:sz w:val="13"/>
                <w:szCs w:val="13"/>
              </w:rPr>
            </w:pPr>
            <w:r w:rsidRPr="00EC5298">
              <w:rPr>
                <w:rFonts w:cs="Calibri"/>
                <w:color w:val="000000" w:themeColor="text1"/>
                <w:sz w:val="13"/>
                <w:szCs w:val="13"/>
              </w:rPr>
              <w:t>1,8 - 2,0</w:t>
            </w:r>
          </w:p>
        </w:tc>
        <w:tc>
          <w:tcPr>
            <w:tcW w:w="1418" w:type="dxa"/>
            <w:tcBorders>
              <w:top w:val="nil"/>
              <w:left w:val="nil"/>
              <w:bottom w:val="single" w:sz="8" w:space="0" w:color="0077BD"/>
              <w:right w:val="nil"/>
            </w:tcBorders>
            <w:shd w:val="clear" w:color="auto" w:fill="auto"/>
            <w:vAlign w:val="center"/>
          </w:tcPr>
          <w:p w14:paraId="40059A38" w14:textId="51944050" w:rsidR="00592C7F" w:rsidRPr="00EC5298" w:rsidRDefault="00B01C17" w:rsidP="00592C7F">
            <w:pPr>
              <w:jc w:val="right"/>
              <w:rPr>
                <w:rFonts w:cs="Calibri"/>
                <w:color w:val="000000" w:themeColor="text1"/>
                <w:sz w:val="13"/>
                <w:szCs w:val="13"/>
              </w:rPr>
            </w:pPr>
            <w:r w:rsidRPr="00EC5298">
              <w:rPr>
                <w:rFonts w:cs="Calibri"/>
                <w:color w:val="000000" w:themeColor="text1"/>
                <w:sz w:val="13"/>
                <w:szCs w:val="13"/>
              </w:rPr>
              <w:t>133 774</w:t>
            </w:r>
          </w:p>
        </w:tc>
        <w:tc>
          <w:tcPr>
            <w:tcW w:w="1418" w:type="dxa"/>
            <w:tcBorders>
              <w:top w:val="nil"/>
              <w:left w:val="single" w:sz="8" w:space="0" w:color="0077BD"/>
              <w:bottom w:val="single" w:sz="8" w:space="0" w:color="0077BD"/>
              <w:right w:val="nil"/>
            </w:tcBorders>
            <w:shd w:val="clear" w:color="auto" w:fill="auto"/>
            <w:vAlign w:val="center"/>
            <w:hideMark/>
          </w:tcPr>
          <w:p w14:paraId="31FA3A4D" w14:textId="77777777" w:rsidR="00592C7F" w:rsidRPr="00EC5298" w:rsidRDefault="00592C7F" w:rsidP="00592C7F">
            <w:pPr>
              <w:jc w:val="right"/>
              <w:rPr>
                <w:rFonts w:cs="Calibri"/>
                <w:color w:val="000000" w:themeColor="text1"/>
                <w:sz w:val="13"/>
                <w:szCs w:val="13"/>
              </w:rPr>
            </w:pPr>
            <w:r w:rsidRPr="00EC5298">
              <w:rPr>
                <w:rFonts w:cs="Calibri"/>
                <w:color w:val="000000" w:themeColor="text1"/>
                <w:sz w:val="13"/>
                <w:szCs w:val="13"/>
              </w:rPr>
              <w:t>58 130</w:t>
            </w:r>
          </w:p>
        </w:tc>
      </w:tr>
      <w:tr w:rsidR="00167AE0" w:rsidRPr="00BB7C9E" w14:paraId="6FDB7FEE" w14:textId="77777777" w:rsidTr="003C4E6E">
        <w:trPr>
          <w:trHeight w:val="22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41FB6D8" w14:textId="62AFCD43" w:rsidR="00592C7F" w:rsidRPr="00EC5298" w:rsidRDefault="00984879" w:rsidP="00984879">
            <w:pPr>
              <w:rPr>
                <w:rFonts w:cs="Calibri"/>
                <w:b/>
                <w:bCs/>
                <w:color w:val="000000" w:themeColor="text1"/>
                <w:sz w:val="13"/>
                <w:szCs w:val="13"/>
              </w:rPr>
            </w:pPr>
            <w:r w:rsidRPr="00EC5298">
              <w:rPr>
                <w:rFonts w:cs="Calibri"/>
                <w:b/>
                <w:bCs/>
                <w:color w:val="000000" w:themeColor="text1"/>
                <w:sz w:val="13"/>
                <w:szCs w:val="13"/>
              </w:rPr>
              <w:t>Wartość bilansowa, r</w:t>
            </w:r>
            <w:r w:rsidR="00592C7F" w:rsidRPr="00EC5298">
              <w:rPr>
                <w:rFonts w:cs="Calibri"/>
                <w:b/>
                <w:bCs/>
                <w:color w:val="000000" w:themeColor="text1"/>
                <w:sz w:val="13"/>
                <w:szCs w:val="13"/>
              </w:rPr>
              <w:t>azem</w:t>
            </w:r>
          </w:p>
        </w:tc>
        <w:tc>
          <w:tcPr>
            <w:tcW w:w="1418" w:type="dxa"/>
            <w:tcBorders>
              <w:top w:val="single" w:sz="8" w:space="0" w:color="0077BD"/>
              <w:left w:val="nil"/>
              <w:bottom w:val="single" w:sz="8" w:space="0" w:color="0077BD"/>
              <w:right w:val="nil"/>
            </w:tcBorders>
            <w:shd w:val="clear" w:color="auto" w:fill="auto"/>
            <w:vAlign w:val="center"/>
          </w:tcPr>
          <w:p w14:paraId="1FB636C4" w14:textId="33A90B6A" w:rsidR="00592C7F" w:rsidRPr="00EC5298" w:rsidRDefault="00B01C17" w:rsidP="00592C7F">
            <w:pPr>
              <w:jc w:val="right"/>
              <w:rPr>
                <w:rFonts w:cs="Calibri"/>
                <w:b/>
                <w:bCs/>
                <w:color w:val="000000" w:themeColor="text1"/>
                <w:sz w:val="13"/>
                <w:szCs w:val="13"/>
              </w:rPr>
            </w:pPr>
            <w:r w:rsidRPr="00EC5298">
              <w:rPr>
                <w:rFonts w:cs="Calibri"/>
                <w:b/>
                <w:bCs/>
                <w:color w:val="000000" w:themeColor="text1"/>
                <w:sz w:val="13"/>
                <w:szCs w:val="13"/>
              </w:rPr>
              <w:t>133 774</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2C5FBCD2" w14:textId="77777777" w:rsidR="00592C7F" w:rsidRPr="00EC5298" w:rsidRDefault="00592C7F" w:rsidP="00592C7F">
            <w:pPr>
              <w:jc w:val="right"/>
              <w:rPr>
                <w:rFonts w:cs="Calibri"/>
                <w:b/>
                <w:bCs/>
                <w:color w:val="000000" w:themeColor="text1"/>
                <w:sz w:val="13"/>
                <w:szCs w:val="13"/>
              </w:rPr>
            </w:pPr>
            <w:r w:rsidRPr="00EC5298">
              <w:rPr>
                <w:rFonts w:cs="Calibri"/>
                <w:b/>
                <w:bCs/>
                <w:color w:val="000000" w:themeColor="text1"/>
                <w:sz w:val="13"/>
                <w:szCs w:val="13"/>
              </w:rPr>
              <w:t>58 130</w:t>
            </w:r>
          </w:p>
        </w:tc>
      </w:tr>
    </w:tbl>
    <w:p w14:paraId="07F13CD1" w14:textId="6025073A" w:rsidR="00BB016C" w:rsidRPr="003C4E6E" w:rsidRDefault="00BB016C" w:rsidP="004444CF">
      <w:pPr>
        <w:jc w:val="both"/>
        <w:rPr>
          <w:rFonts w:cs="Tahoma"/>
          <w:bCs/>
          <w:color w:val="201C17"/>
          <w:sz w:val="8"/>
          <w:szCs w:val="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592C7F" w:rsidRPr="00592C7F" w14:paraId="68DC8C2F" w14:textId="77777777" w:rsidTr="00B005E4">
        <w:trPr>
          <w:trHeight w:val="284"/>
        </w:trPr>
        <w:tc>
          <w:tcPr>
            <w:tcW w:w="6747" w:type="dxa"/>
            <w:vMerge w:val="restart"/>
            <w:tcBorders>
              <w:top w:val="nil"/>
              <w:left w:val="single" w:sz="8" w:space="0" w:color="FFFFFF"/>
              <w:bottom w:val="single" w:sz="4" w:space="0" w:color="0077BD"/>
              <w:right w:val="single" w:sz="8" w:space="0" w:color="FFFFFF"/>
            </w:tcBorders>
            <w:shd w:val="clear" w:color="000000" w:fill="0077BD"/>
            <w:vAlign w:val="center"/>
            <w:hideMark/>
          </w:tcPr>
          <w:p w14:paraId="0F962CE6"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Pod-portfel</w:t>
            </w:r>
          </w:p>
        </w:tc>
        <w:tc>
          <w:tcPr>
            <w:tcW w:w="1418" w:type="dxa"/>
            <w:tcBorders>
              <w:top w:val="nil"/>
              <w:left w:val="nil"/>
              <w:bottom w:val="single" w:sz="6" w:space="0" w:color="FFFFFF"/>
              <w:right w:val="nil"/>
            </w:tcBorders>
            <w:shd w:val="clear" w:color="000000" w:fill="0077BD"/>
            <w:vAlign w:val="center"/>
            <w:hideMark/>
          </w:tcPr>
          <w:p w14:paraId="0F452862"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31.12.2019</w:t>
            </w:r>
          </w:p>
        </w:tc>
        <w:tc>
          <w:tcPr>
            <w:tcW w:w="1418" w:type="dxa"/>
            <w:tcBorders>
              <w:top w:val="nil"/>
              <w:left w:val="single" w:sz="8" w:space="0" w:color="FFFFFF"/>
              <w:bottom w:val="single" w:sz="6" w:space="0" w:color="FFFFFF"/>
              <w:right w:val="nil"/>
            </w:tcBorders>
            <w:shd w:val="clear" w:color="000000" w:fill="0077BD"/>
            <w:vAlign w:val="center"/>
            <w:hideMark/>
          </w:tcPr>
          <w:p w14:paraId="6B2AED3F"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31.12.2018</w:t>
            </w:r>
          </w:p>
        </w:tc>
      </w:tr>
      <w:tr w:rsidR="00592C7F" w:rsidRPr="00592C7F" w14:paraId="2B39EAC1" w14:textId="77777777" w:rsidTr="00B005E4">
        <w:trPr>
          <w:trHeight w:val="567"/>
        </w:trPr>
        <w:tc>
          <w:tcPr>
            <w:tcW w:w="6747" w:type="dxa"/>
            <w:vMerge/>
            <w:tcBorders>
              <w:top w:val="nil"/>
              <w:left w:val="single" w:sz="8" w:space="0" w:color="FFFFFF"/>
              <w:right w:val="single" w:sz="8" w:space="0" w:color="FFFFFF"/>
            </w:tcBorders>
            <w:vAlign w:val="center"/>
            <w:hideMark/>
          </w:tcPr>
          <w:p w14:paraId="6FFAE27A" w14:textId="77777777" w:rsidR="00592C7F" w:rsidRPr="00592C7F" w:rsidRDefault="00592C7F" w:rsidP="00592C7F">
            <w:pPr>
              <w:rPr>
                <w:rFonts w:cs="Calibri"/>
                <w:b/>
                <w:bCs/>
                <w:color w:val="FFFFFF"/>
                <w:sz w:val="13"/>
                <w:szCs w:val="13"/>
              </w:rPr>
            </w:pPr>
          </w:p>
        </w:tc>
        <w:tc>
          <w:tcPr>
            <w:tcW w:w="1418" w:type="dxa"/>
            <w:tcBorders>
              <w:top w:val="single" w:sz="6" w:space="0" w:color="FFFFFF"/>
              <w:left w:val="nil"/>
              <w:right w:val="nil"/>
            </w:tcBorders>
            <w:shd w:val="clear" w:color="000000" w:fill="0077BD"/>
            <w:vAlign w:val="center"/>
            <w:hideMark/>
          </w:tcPr>
          <w:p w14:paraId="06CF68BF"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Kredyty i pożyczki udzielone klientom</w:t>
            </w:r>
          </w:p>
        </w:tc>
        <w:tc>
          <w:tcPr>
            <w:tcW w:w="1418" w:type="dxa"/>
            <w:tcBorders>
              <w:top w:val="single" w:sz="6" w:space="0" w:color="FFFFFF"/>
              <w:left w:val="single" w:sz="8" w:space="0" w:color="FFFFFF"/>
              <w:right w:val="nil"/>
            </w:tcBorders>
            <w:shd w:val="clear" w:color="000000" w:fill="0077BD"/>
            <w:vAlign w:val="center"/>
            <w:hideMark/>
          </w:tcPr>
          <w:p w14:paraId="5DF215C4" w14:textId="77777777" w:rsidR="00592C7F" w:rsidRPr="00592C7F" w:rsidRDefault="00592C7F" w:rsidP="00592C7F">
            <w:pPr>
              <w:jc w:val="center"/>
              <w:rPr>
                <w:rFonts w:cs="Calibri"/>
                <w:b/>
                <w:bCs/>
                <w:color w:val="FFFFFF"/>
                <w:sz w:val="13"/>
                <w:szCs w:val="13"/>
              </w:rPr>
            </w:pPr>
            <w:r w:rsidRPr="00592C7F">
              <w:rPr>
                <w:rFonts w:cs="Calibri"/>
                <w:b/>
                <w:bCs/>
                <w:color w:val="FFFFFF"/>
                <w:sz w:val="13"/>
                <w:szCs w:val="13"/>
              </w:rPr>
              <w:t>Kredyty i pożyczki udzielone klientom</w:t>
            </w:r>
          </w:p>
        </w:tc>
      </w:tr>
      <w:tr w:rsidR="00B005E4" w:rsidRPr="00BB7C9E" w14:paraId="46455A0A"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67EFACD3"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1</w:t>
            </w:r>
          </w:p>
        </w:tc>
        <w:tc>
          <w:tcPr>
            <w:tcW w:w="1418" w:type="dxa"/>
            <w:tcBorders>
              <w:top w:val="single" w:sz="4" w:space="0" w:color="0077BD"/>
              <w:left w:val="single" w:sz="8" w:space="0" w:color="0077BD"/>
              <w:bottom w:val="single" w:sz="4" w:space="0" w:color="0077BD"/>
              <w:right w:val="nil"/>
            </w:tcBorders>
            <w:shd w:val="clear" w:color="auto" w:fill="auto"/>
            <w:vAlign w:val="center"/>
          </w:tcPr>
          <w:p w14:paraId="70C61C20" w14:textId="32D116CB"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94 707</w:t>
            </w:r>
          </w:p>
        </w:tc>
        <w:tc>
          <w:tcPr>
            <w:tcW w:w="1418" w:type="dxa"/>
            <w:tcBorders>
              <w:top w:val="nil"/>
              <w:left w:val="single" w:sz="8" w:space="0" w:color="0077BD"/>
              <w:bottom w:val="single" w:sz="4" w:space="0" w:color="0077BD"/>
              <w:right w:val="nil"/>
            </w:tcBorders>
            <w:shd w:val="clear" w:color="auto" w:fill="auto"/>
            <w:vAlign w:val="center"/>
            <w:hideMark/>
          </w:tcPr>
          <w:p w14:paraId="7B31F307"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113 769</w:t>
            </w:r>
          </w:p>
        </w:tc>
      </w:tr>
      <w:tr w:rsidR="00B005E4" w:rsidRPr="00BB7C9E" w14:paraId="53184192"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6D9C0D45"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2</w:t>
            </w:r>
          </w:p>
        </w:tc>
        <w:tc>
          <w:tcPr>
            <w:tcW w:w="1418" w:type="dxa"/>
            <w:tcBorders>
              <w:top w:val="nil"/>
              <w:left w:val="single" w:sz="8" w:space="0" w:color="0077BD"/>
              <w:bottom w:val="single" w:sz="4" w:space="0" w:color="0077BD"/>
              <w:right w:val="nil"/>
            </w:tcBorders>
            <w:shd w:val="clear" w:color="auto" w:fill="auto"/>
            <w:vAlign w:val="center"/>
          </w:tcPr>
          <w:p w14:paraId="16B5EF87" w14:textId="1A644071"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358 725</w:t>
            </w:r>
          </w:p>
        </w:tc>
        <w:tc>
          <w:tcPr>
            <w:tcW w:w="1418" w:type="dxa"/>
            <w:tcBorders>
              <w:top w:val="nil"/>
              <w:left w:val="single" w:sz="8" w:space="0" w:color="0077BD"/>
              <w:bottom w:val="single" w:sz="4" w:space="0" w:color="0077BD"/>
              <w:right w:val="nil"/>
            </w:tcBorders>
            <w:shd w:val="clear" w:color="auto" w:fill="auto"/>
            <w:vAlign w:val="center"/>
            <w:hideMark/>
          </w:tcPr>
          <w:p w14:paraId="5CB2D167"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541 462</w:t>
            </w:r>
          </w:p>
        </w:tc>
      </w:tr>
      <w:tr w:rsidR="00B005E4" w:rsidRPr="00BB7C9E" w14:paraId="370C314D"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6498601E"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3</w:t>
            </w:r>
          </w:p>
        </w:tc>
        <w:tc>
          <w:tcPr>
            <w:tcW w:w="1418" w:type="dxa"/>
            <w:tcBorders>
              <w:top w:val="nil"/>
              <w:left w:val="single" w:sz="8" w:space="0" w:color="0077BD"/>
              <w:bottom w:val="single" w:sz="4" w:space="0" w:color="0077BD"/>
              <w:right w:val="nil"/>
            </w:tcBorders>
            <w:shd w:val="clear" w:color="auto" w:fill="auto"/>
            <w:vAlign w:val="center"/>
          </w:tcPr>
          <w:p w14:paraId="44AC562F" w14:textId="1308E899"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333 443</w:t>
            </w:r>
          </w:p>
        </w:tc>
        <w:tc>
          <w:tcPr>
            <w:tcW w:w="1418" w:type="dxa"/>
            <w:tcBorders>
              <w:top w:val="nil"/>
              <w:left w:val="single" w:sz="8" w:space="0" w:color="0077BD"/>
              <w:bottom w:val="single" w:sz="4" w:space="0" w:color="0077BD"/>
              <w:right w:val="nil"/>
            </w:tcBorders>
            <w:shd w:val="clear" w:color="auto" w:fill="auto"/>
            <w:vAlign w:val="center"/>
            <w:hideMark/>
          </w:tcPr>
          <w:p w14:paraId="22732982"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490 355</w:t>
            </w:r>
          </w:p>
        </w:tc>
      </w:tr>
      <w:tr w:rsidR="00B005E4" w:rsidRPr="00BB7C9E" w14:paraId="57CA1F67"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69CC1EFA"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4</w:t>
            </w:r>
          </w:p>
        </w:tc>
        <w:tc>
          <w:tcPr>
            <w:tcW w:w="1418" w:type="dxa"/>
            <w:tcBorders>
              <w:top w:val="nil"/>
              <w:left w:val="single" w:sz="8" w:space="0" w:color="0077BD"/>
              <w:bottom w:val="single" w:sz="4" w:space="0" w:color="0077BD"/>
              <w:right w:val="nil"/>
            </w:tcBorders>
            <w:shd w:val="clear" w:color="auto" w:fill="auto"/>
            <w:vAlign w:val="center"/>
          </w:tcPr>
          <w:p w14:paraId="56CD4C03" w14:textId="57CFFC3D"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520 878</w:t>
            </w:r>
          </w:p>
        </w:tc>
        <w:tc>
          <w:tcPr>
            <w:tcW w:w="1418" w:type="dxa"/>
            <w:tcBorders>
              <w:top w:val="nil"/>
              <w:left w:val="single" w:sz="8" w:space="0" w:color="0077BD"/>
              <w:bottom w:val="single" w:sz="4" w:space="0" w:color="0077BD"/>
              <w:right w:val="nil"/>
            </w:tcBorders>
            <w:shd w:val="clear" w:color="auto" w:fill="auto"/>
            <w:vAlign w:val="center"/>
            <w:hideMark/>
          </w:tcPr>
          <w:p w14:paraId="1CE9FE36"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779 991</w:t>
            </w:r>
          </w:p>
        </w:tc>
      </w:tr>
      <w:tr w:rsidR="00B005E4" w:rsidRPr="00BB7C9E" w14:paraId="7A2DA93A"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00239EB2"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5</w:t>
            </w:r>
          </w:p>
        </w:tc>
        <w:tc>
          <w:tcPr>
            <w:tcW w:w="1418" w:type="dxa"/>
            <w:tcBorders>
              <w:top w:val="nil"/>
              <w:left w:val="single" w:sz="8" w:space="0" w:color="0077BD"/>
              <w:bottom w:val="single" w:sz="4" w:space="0" w:color="0077BD"/>
              <w:right w:val="nil"/>
            </w:tcBorders>
            <w:shd w:val="clear" w:color="auto" w:fill="auto"/>
            <w:vAlign w:val="center"/>
          </w:tcPr>
          <w:p w14:paraId="718BB1D5" w14:textId="610C9503"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302 544</w:t>
            </w:r>
          </w:p>
        </w:tc>
        <w:tc>
          <w:tcPr>
            <w:tcW w:w="1418" w:type="dxa"/>
            <w:tcBorders>
              <w:top w:val="nil"/>
              <w:left w:val="single" w:sz="8" w:space="0" w:color="0077BD"/>
              <w:bottom w:val="single" w:sz="4" w:space="0" w:color="0077BD"/>
              <w:right w:val="nil"/>
            </w:tcBorders>
            <w:shd w:val="clear" w:color="auto" w:fill="auto"/>
            <w:vAlign w:val="center"/>
            <w:hideMark/>
          </w:tcPr>
          <w:p w14:paraId="173227CD"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358 643</w:t>
            </w:r>
          </w:p>
        </w:tc>
      </w:tr>
      <w:tr w:rsidR="00B005E4" w:rsidRPr="00BB7C9E" w14:paraId="050269E8"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44C21A65"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6</w:t>
            </w:r>
          </w:p>
        </w:tc>
        <w:tc>
          <w:tcPr>
            <w:tcW w:w="1418" w:type="dxa"/>
            <w:tcBorders>
              <w:top w:val="nil"/>
              <w:left w:val="single" w:sz="8" w:space="0" w:color="0077BD"/>
              <w:bottom w:val="single" w:sz="4" w:space="0" w:color="0077BD"/>
              <w:right w:val="nil"/>
            </w:tcBorders>
            <w:shd w:val="clear" w:color="auto" w:fill="auto"/>
            <w:vAlign w:val="center"/>
          </w:tcPr>
          <w:p w14:paraId="657B6623" w14:textId="3ABD80A9"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35 206</w:t>
            </w:r>
          </w:p>
        </w:tc>
        <w:tc>
          <w:tcPr>
            <w:tcW w:w="1418" w:type="dxa"/>
            <w:tcBorders>
              <w:top w:val="nil"/>
              <w:left w:val="single" w:sz="8" w:space="0" w:color="0077BD"/>
              <w:bottom w:val="single" w:sz="4" w:space="0" w:color="0077BD"/>
              <w:right w:val="nil"/>
            </w:tcBorders>
            <w:shd w:val="clear" w:color="auto" w:fill="auto"/>
            <w:vAlign w:val="center"/>
            <w:hideMark/>
          </w:tcPr>
          <w:p w14:paraId="4A0A3790"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43 171</w:t>
            </w:r>
          </w:p>
        </w:tc>
      </w:tr>
      <w:tr w:rsidR="00B005E4" w:rsidRPr="00BB7C9E" w14:paraId="5243423A"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48A58D8C"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7</w:t>
            </w:r>
          </w:p>
        </w:tc>
        <w:tc>
          <w:tcPr>
            <w:tcW w:w="1418" w:type="dxa"/>
            <w:tcBorders>
              <w:top w:val="nil"/>
              <w:left w:val="single" w:sz="8" w:space="0" w:color="0077BD"/>
              <w:bottom w:val="single" w:sz="4" w:space="0" w:color="0077BD"/>
              <w:right w:val="nil"/>
            </w:tcBorders>
            <w:shd w:val="clear" w:color="auto" w:fill="auto"/>
            <w:vAlign w:val="center"/>
          </w:tcPr>
          <w:p w14:paraId="12340A68" w14:textId="12FDB4CE"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141 973</w:t>
            </w:r>
          </w:p>
        </w:tc>
        <w:tc>
          <w:tcPr>
            <w:tcW w:w="1418" w:type="dxa"/>
            <w:tcBorders>
              <w:top w:val="nil"/>
              <w:left w:val="single" w:sz="8" w:space="0" w:color="0077BD"/>
              <w:bottom w:val="single" w:sz="4" w:space="0" w:color="0077BD"/>
              <w:right w:val="nil"/>
            </w:tcBorders>
            <w:shd w:val="clear" w:color="auto" w:fill="auto"/>
            <w:vAlign w:val="center"/>
            <w:hideMark/>
          </w:tcPr>
          <w:p w14:paraId="717FE363"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176 974</w:t>
            </w:r>
          </w:p>
        </w:tc>
      </w:tr>
      <w:tr w:rsidR="00B005E4" w:rsidRPr="00BB7C9E" w14:paraId="5BC41822" w14:textId="77777777" w:rsidTr="003C4E6E">
        <w:trPr>
          <w:trHeight w:val="227"/>
        </w:trPr>
        <w:tc>
          <w:tcPr>
            <w:tcW w:w="6747" w:type="dxa"/>
            <w:tcBorders>
              <w:top w:val="nil"/>
              <w:left w:val="nil"/>
              <w:bottom w:val="single" w:sz="4" w:space="0" w:color="0077BD"/>
              <w:right w:val="single" w:sz="8" w:space="0" w:color="0077BD"/>
            </w:tcBorders>
            <w:shd w:val="clear" w:color="auto" w:fill="auto"/>
            <w:vAlign w:val="center"/>
            <w:hideMark/>
          </w:tcPr>
          <w:p w14:paraId="79508F3F" w14:textId="77777777" w:rsidR="00B005E4" w:rsidRPr="00EC5298" w:rsidRDefault="00B005E4" w:rsidP="00B005E4">
            <w:pPr>
              <w:jc w:val="center"/>
              <w:rPr>
                <w:rFonts w:cs="Calibri"/>
                <w:color w:val="000000" w:themeColor="text1"/>
                <w:sz w:val="13"/>
                <w:szCs w:val="13"/>
              </w:rPr>
            </w:pPr>
            <w:r w:rsidRPr="00EC5298">
              <w:rPr>
                <w:rFonts w:cs="Calibri"/>
                <w:color w:val="000000" w:themeColor="text1"/>
                <w:sz w:val="13"/>
                <w:szCs w:val="13"/>
              </w:rPr>
              <w:t>default</w:t>
            </w:r>
          </w:p>
        </w:tc>
        <w:tc>
          <w:tcPr>
            <w:tcW w:w="1418" w:type="dxa"/>
            <w:tcBorders>
              <w:top w:val="nil"/>
              <w:left w:val="single" w:sz="8" w:space="0" w:color="0077BD"/>
              <w:bottom w:val="single" w:sz="4" w:space="0" w:color="0077BD"/>
              <w:right w:val="nil"/>
            </w:tcBorders>
            <w:shd w:val="clear" w:color="auto" w:fill="auto"/>
            <w:vAlign w:val="center"/>
          </w:tcPr>
          <w:p w14:paraId="22945E79" w14:textId="2A0DFB69"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184 056</w:t>
            </w:r>
          </w:p>
        </w:tc>
        <w:tc>
          <w:tcPr>
            <w:tcW w:w="1418" w:type="dxa"/>
            <w:tcBorders>
              <w:top w:val="nil"/>
              <w:left w:val="single" w:sz="8" w:space="0" w:color="0077BD"/>
              <w:bottom w:val="single" w:sz="4" w:space="0" w:color="0077BD"/>
              <w:right w:val="nil"/>
            </w:tcBorders>
            <w:shd w:val="clear" w:color="auto" w:fill="auto"/>
            <w:vAlign w:val="center"/>
            <w:hideMark/>
          </w:tcPr>
          <w:p w14:paraId="30F901BA" w14:textId="77777777" w:rsidR="00B005E4" w:rsidRPr="00EC5298" w:rsidRDefault="00B005E4" w:rsidP="00B005E4">
            <w:pPr>
              <w:jc w:val="right"/>
              <w:rPr>
                <w:rFonts w:cs="Calibri"/>
                <w:color w:val="000000" w:themeColor="text1"/>
                <w:sz w:val="13"/>
                <w:szCs w:val="13"/>
              </w:rPr>
            </w:pPr>
            <w:r w:rsidRPr="00EC5298">
              <w:rPr>
                <w:rFonts w:cs="Calibri"/>
                <w:color w:val="000000" w:themeColor="text1"/>
                <w:sz w:val="13"/>
                <w:szCs w:val="13"/>
              </w:rPr>
              <w:t>200 790</w:t>
            </w:r>
          </w:p>
        </w:tc>
      </w:tr>
      <w:tr w:rsidR="00B005E4" w:rsidRPr="00BB7C9E" w14:paraId="628232E8" w14:textId="77777777" w:rsidTr="003C4E6E">
        <w:trPr>
          <w:trHeight w:val="227"/>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CDEA8D8" w14:textId="18FE682D" w:rsidR="00B005E4" w:rsidRPr="00EC5298" w:rsidRDefault="00B005E4" w:rsidP="00B005E4">
            <w:pPr>
              <w:rPr>
                <w:rFonts w:cs="Calibri"/>
                <w:b/>
                <w:bCs/>
                <w:color w:val="000000" w:themeColor="text1"/>
                <w:sz w:val="13"/>
                <w:szCs w:val="13"/>
              </w:rPr>
            </w:pPr>
            <w:r w:rsidRPr="00EC5298">
              <w:rPr>
                <w:rFonts w:cs="Calibri"/>
                <w:b/>
                <w:bCs/>
                <w:color w:val="000000" w:themeColor="text1"/>
                <w:sz w:val="13"/>
                <w:szCs w:val="13"/>
              </w:rPr>
              <w:t>Wartość bilansowa, razem</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55002DCD" w14:textId="7572A3F0" w:rsidR="00B005E4" w:rsidRPr="00EC5298" w:rsidRDefault="00B005E4" w:rsidP="00B005E4">
            <w:pPr>
              <w:jc w:val="right"/>
              <w:rPr>
                <w:rFonts w:cs="Calibri"/>
                <w:b/>
                <w:color w:val="000000" w:themeColor="text1"/>
                <w:sz w:val="13"/>
                <w:szCs w:val="13"/>
              </w:rPr>
            </w:pPr>
            <w:r w:rsidRPr="00EC5298">
              <w:rPr>
                <w:rFonts w:cs="Calibri"/>
                <w:b/>
                <w:color w:val="000000" w:themeColor="text1"/>
                <w:sz w:val="13"/>
                <w:szCs w:val="13"/>
              </w:rPr>
              <w:t>1 971 532</w:t>
            </w:r>
          </w:p>
        </w:tc>
        <w:tc>
          <w:tcPr>
            <w:tcW w:w="1418" w:type="dxa"/>
            <w:tcBorders>
              <w:top w:val="single" w:sz="8" w:space="0" w:color="0077BD"/>
              <w:left w:val="single" w:sz="8" w:space="0" w:color="0077BD"/>
              <w:bottom w:val="single" w:sz="8" w:space="0" w:color="0077BD"/>
              <w:right w:val="nil"/>
            </w:tcBorders>
            <w:shd w:val="clear" w:color="auto" w:fill="auto"/>
            <w:vAlign w:val="center"/>
            <w:hideMark/>
          </w:tcPr>
          <w:p w14:paraId="02E9E852" w14:textId="77777777" w:rsidR="00B005E4" w:rsidRPr="00EC5298" w:rsidRDefault="00B005E4" w:rsidP="00B005E4">
            <w:pPr>
              <w:jc w:val="right"/>
              <w:rPr>
                <w:rFonts w:cs="Calibri"/>
                <w:b/>
                <w:bCs/>
                <w:color w:val="000000" w:themeColor="text1"/>
                <w:sz w:val="13"/>
                <w:szCs w:val="13"/>
              </w:rPr>
            </w:pPr>
            <w:r w:rsidRPr="00EC5298">
              <w:rPr>
                <w:rFonts w:cs="Calibri"/>
                <w:b/>
                <w:bCs/>
                <w:color w:val="000000" w:themeColor="text1"/>
                <w:sz w:val="13"/>
                <w:szCs w:val="13"/>
              </w:rPr>
              <w:t>2 705 155</w:t>
            </w:r>
          </w:p>
        </w:tc>
      </w:tr>
    </w:tbl>
    <w:p w14:paraId="26A827AC" w14:textId="77777777" w:rsidR="000F45BA" w:rsidRDefault="000F45BA">
      <w:pPr>
        <w:rPr>
          <w:rFonts w:cs="Tahoma"/>
          <w:bCs/>
          <w:color w:val="000000" w:themeColor="text1"/>
          <w:sz w:val="18"/>
          <w:szCs w:val="18"/>
        </w:rPr>
      </w:pPr>
      <w:r>
        <w:rPr>
          <w:rFonts w:cs="Tahoma"/>
          <w:bCs/>
          <w:color w:val="000000" w:themeColor="text1"/>
          <w:sz w:val="18"/>
          <w:szCs w:val="18"/>
        </w:rPr>
        <w:br w:type="page"/>
      </w:r>
    </w:p>
    <w:p w14:paraId="6F3C55B1" w14:textId="5875DD96" w:rsidR="00D43582" w:rsidRPr="00D43582" w:rsidRDefault="00D43582"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1" w:name="_Toc32999853"/>
      <w:r w:rsidRPr="00D43582">
        <w:rPr>
          <w:rFonts w:cs="Tahoma"/>
          <w:bCs w:val="0"/>
          <w:iCs w:val="0"/>
          <w:color w:val="E41E0A"/>
          <w:sz w:val="18"/>
          <w:szCs w:val="18"/>
        </w:rPr>
        <w:lastRenderedPageBreak/>
        <w:t>Aktywa finansowe wyceniane w wartości godziwej przez pozostałe całkowite dochody</w:t>
      </w:r>
      <w:bookmarkEnd w:id="141"/>
    </w:p>
    <w:p w14:paraId="6C2B3EAF" w14:textId="043F3598" w:rsidR="00D43582" w:rsidRDefault="00D43582" w:rsidP="00A06057">
      <w:pPr>
        <w:jc w:val="both"/>
        <w:rPr>
          <w:rFonts w:cs="Tahoma"/>
          <w:bCs/>
          <w:color w:val="201C17"/>
          <w:sz w:val="18"/>
          <w:szCs w:val="18"/>
        </w:rPr>
      </w:pPr>
    </w:p>
    <w:tbl>
      <w:tblPr>
        <w:tblW w:w="0" w:type="auto"/>
        <w:tblCellMar>
          <w:left w:w="28" w:type="dxa"/>
          <w:right w:w="28" w:type="dxa"/>
        </w:tblCellMar>
        <w:tblLook w:val="04A0" w:firstRow="1" w:lastRow="0" w:firstColumn="1" w:lastColumn="0" w:noHBand="0" w:noVBand="1"/>
      </w:tblPr>
      <w:tblGrid>
        <w:gridCol w:w="2067"/>
        <w:gridCol w:w="834"/>
        <w:gridCol w:w="835"/>
        <w:gridCol w:w="835"/>
        <w:gridCol w:w="835"/>
        <w:gridCol w:w="835"/>
        <w:gridCol w:w="835"/>
        <w:gridCol w:w="835"/>
        <w:gridCol w:w="835"/>
        <w:gridCol w:w="835"/>
      </w:tblGrid>
      <w:tr w:rsidR="00A06057" w:rsidRPr="00167AE0" w14:paraId="452C9328" w14:textId="77777777" w:rsidTr="00C862FD">
        <w:trPr>
          <w:trHeight w:val="284"/>
        </w:trPr>
        <w:tc>
          <w:tcPr>
            <w:tcW w:w="2067" w:type="dxa"/>
            <w:vMerge w:val="restart"/>
            <w:tcBorders>
              <w:top w:val="nil"/>
              <w:left w:val="nil"/>
              <w:bottom w:val="nil"/>
              <w:right w:val="nil"/>
            </w:tcBorders>
            <w:shd w:val="clear" w:color="000000" w:fill="0077BD"/>
            <w:noWrap/>
            <w:vAlign w:val="center"/>
            <w:hideMark/>
          </w:tcPr>
          <w:p w14:paraId="00FCF2CD" w14:textId="43E16B34" w:rsidR="00A06057" w:rsidRPr="00167AE0" w:rsidRDefault="00A06057" w:rsidP="00A06057">
            <w:pPr>
              <w:rPr>
                <w:rFonts w:cs="Calibri"/>
                <w:b/>
                <w:bCs/>
                <w:color w:val="FFFFFF"/>
                <w:sz w:val="11"/>
                <w:szCs w:val="11"/>
              </w:rPr>
            </w:pPr>
            <w:r>
              <w:rPr>
                <w:rFonts w:cs="Calibri"/>
                <w:b/>
                <w:bCs/>
                <w:color w:val="FFFFFF"/>
                <w:sz w:val="11"/>
                <w:szCs w:val="11"/>
              </w:rPr>
              <w:t>31.12.2019</w:t>
            </w:r>
          </w:p>
        </w:tc>
        <w:tc>
          <w:tcPr>
            <w:tcW w:w="834" w:type="dxa"/>
            <w:vMerge w:val="restart"/>
            <w:tcBorders>
              <w:top w:val="nil"/>
              <w:left w:val="single" w:sz="8" w:space="0" w:color="FFFFFF"/>
              <w:bottom w:val="single" w:sz="8" w:space="0" w:color="0077BD"/>
              <w:right w:val="single" w:sz="8" w:space="0" w:color="FFFFFF"/>
            </w:tcBorders>
            <w:shd w:val="clear" w:color="000000" w:fill="0077BD"/>
            <w:vAlign w:val="center"/>
            <w:hideMark/>
          </w:tcPr>
          <w:p w14:paraId="02FB54AE"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Wartość bilansowa</w:t>
            </w:r>
          </w:p>
        </w:tc>
        <w:tc>
          <w:tcPr>
            <w:tcW w:w="3340" w:type="dxa"/>
            <w:gridSpan w:val="4"/>
            <w:tcBorders>
              <w:top w:val="nil"/>
              <w:left w:val="nil"/>
              <w:bottom w:val="single" w:sz="6" w:space="0" w:color="FFFFFF"/>
              <w:right w:val="single" w:sz="8" w:space="0" w:color="FFFFFF"/>
            </w:tcBorders>
            <w:shd w:val="clear" w:color="000000" w:fill="0077BD"/>
            <w:vAlign w:val="center"/>
            <w:hideMark/>
          </w:tcPr>
          <w:p w14:paraId="7EEC3F25"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Wartość bilansowa brutto</w:t>
            </w:r>
          </w:p>
        </w:tc>
        <w:tc>
          <w:tcPr>
            <w:tcW w:w="3340" w:type="dxa"/>
            <w:gridSpan w:val="4"/>
            <w:tcBorders>
              <w:top w:val="nil"/>
              <w:left w:val="nil"/>
              <w:bottom w:val="single" w:sz="6" w:space="0" w:color="FFFFFF"/>
              <w:right w:val="nil"/>
            </w:tcBorders>
            <w:shd w:val="clear" w:color="000000" w:fill="0077BD"/>
            <w:vAlign w:val="center"/>
            <w:hideMark/>
          </w:tcPr>
          <w:p w14:paraId="483F7306"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Skumulowana utrata wartości</w:t>
            </w:r>
          </w:p>
        </w:tc>
      </w:tr>
      <w:tr w:rsidR="00A06057" w:rsidRPr="00167AE0" w14:paraId="2ED312B6" w14:textId="77777777" w:rsidTr="00BB45AE">
        <w:trPr>
          <w:trHeight w:val="194"/>
        </w:trPr>
        <w:tc>
          <w:tcPr>
            <w:tcW w:w="2067" w:type="dxa"/>
            <w:vMerge/>
            <w:tcBorders>
              <w:top w:val="nil"/>
              <w:left w:val="nil"/>
              <w:bottom w:val="nil"/>
              <w:right w:val="nil"/>
            </w:tcBorders>
            <w:vAlign w:val="center"/>
            <w:hideMark/>
          </w:tcPr>
          <w:p w14:paraId="5A164789" w14:textId="77777777" w:rsidR="00A06057" w:rsidRPr="00167AE0" w:rsidRDefault="00A06057" w:rsidP="00A06057">
            <w:pPr>
              <w:rPr>
                <w:rFonts w:cs="Calibri"/>
                <w:b/>
                <w:bCs/>
                <w:color w:val="FFFFFF"/>
                <w:sz w:val="11"/>
                <w:szCs w:val="11"/>
              </w:rPr>
            </w:pPr>
          </w:p>
        </w:tc>
        <w:tc>
          <w:tcPr>
            <w:tcW w:w="834" w:type="dxa"/>
            <w:vMerge/>
            <w:tcBorders>
              <w:top w:val="nil"/>
              <w:left w:val="single" w:sz="8" w:space="0" w:color="FFFFFF"/>
              <w:bottom w:val="single" w:sz="8" w:space="0" w:color="0077BD"/>
              <w:right w:val="single" w:sz="8" w:space="0" w:color="FFFFFF"/>
            </w:tcBorders>
            <w:vAlign w:val="center"/>
            <w:hideMark/>
          </w:tcPr>
          <w:p w14:paraId="23C34317" w14:textId="77777777" w:rsidR="00A06057" w:rsidRPr="00167AE0" w:rsidRDefault="00A06057" w:rsidP="00A06057">
            <w:pPr>
              <w:rPr>
                <w:rFonts w:cs="Calibri"/>
                <w:b/>
                <w:bCs/>
                <w:color w:val="FFFFFF"/>
                <w:sz w:val="11"/>
                <w:szCs w:val="11"/>
              </w:rPr>
            </w:pP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14F1878D"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1</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10E9D68F"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2</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75D8F779"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3</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1F9AE0C2"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POCI</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13AD3970"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1</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778131AF"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2</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325C0907"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Koszyk 3</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0FD30E2A" w14:textId="77777777" w:rsidR="00A06057" w:rsidRPr="00167AE0" w:rsidRDefault="00A06057" w:rsidP="00A06057">
            <w:pPr>
              <w:jc w:val="center"/>
              <w:rPr>
                <w:rFonts w:cs="Calibri"/>
                <w:b/>
                <w:bCs/>
                <w:color w:val="FFFFFF"/>
                <w:sz w:val="11"/>
                <w:szCs w:val="11"/>
              </w:rPr>
            </w:pPr>
            <w:r w:rsidRPr="00167AE0">
              <w:rPr>
                <w:rFonts w:cs="Calibri"/>
                <w:b/>
                <w:bCs/>
                <w:color w:val="FFFFFF"/>
                <w:sz w:val="11"/>
                <w:szCs w:val="11"/>
              </w:rPr>
              <w:t>POCI</w:t>
            </w:r>
          </w:p>
        </w:tc>
      </w:tr>
      <w:tr w:rsidR="00A06057" w:rsidRPr="00167AE0" w14:paraId="2EA7753D" w14:textId="77777777" w:rsidTr="00BB45AE">
        <w:trPr>
          <w:trHeight w:val="284"/>
        </w:trPr>
        <w:tc>
          <w:tcPr>
            <w:tcW w:w="2067" w:type="dxa"/>
            <w:vMerge/>
            <w:tcBorders>
              <w:top w:val="nil"/>
              <w:left w:val="nil"/>
              <w:right w:val="nil"/>
            </w:tcBorders>
            <w:vAlign w:val="center"/>
            <w:hideMark/>
          </w:tcPr>
          <w:p w14:paraId="7281A575" w14:textId="77777777" w:rsidR="00A06057" w:rsidRPr="00167AE0" w:rsidRDefault="00A06057" w:rsidP="00A06057">
            <w:pPr>
              <w:rPr>
                <w:rFonts w:cs="Calibri"/>
                <w:b/>
                <w:bCs/>
                <w:color w:val="FFFFFF"/>
                <w:sz w:val="11"/>
                <w:szCs w:val="11"/>
              </w:rPr>
            </w:pPr>
          </w:p>
        </w:tc>
        <w:tc>
          <w:tcPr>
            <w:tcW w:w="834" w:type="dxa"/>
            <w:vMerge/>
            <w:tcBorders>
              <w:top w:val="nil"/>
              <w:left w:val="single" w:sz="8" w:space="0" w:color="FFFFFF"/>
              <w:right w:val="single" w:sz="8" w:space="0" w:color="FFFFFF"/>
            </w:tcBorders>
            <w:vAlign w:val="center"/>
            <w:hideMark/>
          </w:tcPr>
          <w:p w14:paraId="72B5756F"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36670DF3"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2A8EE90A"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478EDC3B"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4EA394BB"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748DA6D7"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79468F4C"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22F446EE" w14:textId="77777777" w:rsidR="00A06057" w:rsidRPr="00167AE0" w:rsidRDefault="00A06057" w:rsidP="00A06057">
            <w:pPr>
              <w:rPr>
                <w:rFonts w:cs="Calibri"/>
                <w:b/>
                <w:bCs/>
                <w:color w:val="FFFFFF"/>
                <w:sz w:val="11"/>
                <w:szCs w:val="11"/>
              </w:rPr>
            </w:pPr>
          </w:p>
        </w:tc>
        <w:tc>
          <w:tcPr>
            <w:tcW w:w="835" w:type="dxa"/>
            <w:vMerge/>
            <w:tcBorders>
              <w:top w:val="single" w:sz="8" w:space="0" w:color="FFFFFF"/>
              <w:left w:val="single" w:sz="8" w:space="0" w:color="FFFFFF"/>
              <w:bottom w:val="single" w:sz="8" w:space="0" w:color="FFFFFF"/>
              <w:right w:val="nil"/>
            </w:tcBorders>
            <w:vAlign w:val="center"/>
            <w:hideMark/>
          </w:tcPr>
          <w:p w14:paraId="1051D6BB" w14:textId="77777777" w:rsidR="00A06057" w:rsidRPr="00167AE0" w:rsidRDefault="00A06057" w:rsidP="00A06057">
            <w:pPr>
              <w:rPr>
                <w:rFonts w:cs="Calibri"/>
                <w:b/>
                <w:bCs/>
                <w:color w:val="FFFFFF"/>
                <w:sz w:val="11"/>
                <w:szCs w:val="11"/>
              </w:rPr>
            </w:pPr>
          </w:p>
        </w:tc>
      </w:tr>
      <w:tr w:rsidR="00700543" w:rsidRPr="00BB7C9E" w14:paraId="0BFDDA54" w14:textId="77777777" w:rsidTr="00CA5E84">
        <w:trPr>
          <w:trHeight w:val="284"/>
        </w:trPr>
        <w:tc>
          <w:tcPr>
            <w:tcW w:w="2067" w:type="dxa"/>
            <w:tcBorders>
              <w:left w:val="nil"/>
              <w:bottom w:val="single" w:sz="8" w:space="0" w:color="0077BD"/>
              <w:right w:val="single" w:sz="8" w:space="0" w:color="0077BD"/>
            </w:tcBorders>
            <w:shd w:val="clear" w:color="auto" w:fill="auto"/>
            <w:vAlign w:val="center"/>
            <w:hideMark/>
          </w:tcPr>
          <w:p w14:paraId="69496C91" w14:textId="77777777" w:rsidR="00700543" w:rsidRPr="00BB7C9E" w:rsidRDefault="00700543" w:rsidP="00700543">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834" w:type="dxa"/>
            <w:tcBorders>
              <w:top w:val="nil"/>
              <w:left w:val="nil"/>
              <w:bottom w:val="single" w:sz="8" w:space="0" w:color="0077BD"/>
              <w:right w:val="single" w:sz="8" w:space="0" w:color="0077BD"/>
            </w:tcBorders>
            <w:shd w:val="clear" w:color="auto" w:fill="auto"/>
            <w:vAlign w:val="center"/>
          </w:tcPr>
          <w:p w14:paraId="40D6D47C" w14:textId="186D4072"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22 773 921</w:t>
            </w:r>
          </w:p>
        </w:tc>
        <w:tc>
          <w:tcPr>
            <w:tcW w:w="835" w:type="dxa"/>
            <w:tcBorders>
              <w:top w:val="nil"/>
              <w:left w:val="nil"/>
              <w:bottom w:val="single" w:sz="8" w:space="0" w:color="0077BD"/>
              <w:right w:val="single" w:sz="8" w:space="0" w:color="0077BD"/>
            </w:tcBorders>
            <w:shd w:val="clear" w:color="auto" w:fill="auto"/>
            <w:vAlign w:val="center"/>
          </w:tcPr>
          <w:p w14:paraId="0CA282C6" w14:textId="324E13FB"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22 737 162</w:t>
            </w:r>
          </w:p>
        </w:tc>
        <w:tc>
          <w:tcPr>
            <w:tcW w:w="835" w:type="dxa"/>
            <w:tcBorders>
              <w:top w:val="nil"/>
              <w:left w:val="nil"/>
              <w:bottom w:val="single" w:sz="8" w:space="0" w:color="0077BD"/>
              <w:right w:val="single" w:sz="8" w:space="0" w:color="0077BD"/>
            </w:tcBorders>
            <w:shd w:val="clear" w:color="auto" w:fill="auto"/>
            <w:vAlign w:val="center"/>
          </w:tcPr>
          <w:p w14:paraId="517FA4B8" w14:textId="7861515B"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41 121</w:t>
            </w:r>
          </w:p>
        </w:tc>
        <w:tc>
          <w:tcPr>
            <w:tcW w:w="835" w:type="dxa"/>
            <w:tcBorders>
              <w:top w:val="nil"/>
              <w:left w:val="nil"/>
              <w:bottom w:val="single" w:sz="8" w:space="0" w:color="0077BD"/>
              <w:right w:val="single" w:sz="8" w:space="0" w:color="0077BD"/>
            </w:tcBorders>
            <w:shd w:val="clear" w:color="auto" w:fill="auto"/>
            <w:vAlign w:val="center"/>
          </w:tcPr>
          <w:p w14:paraId="28DF08ED" w14:textId="487B13B5"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single" w:sz="8" w:space="0" w:color="0077BD"/>
            </w:tcBorders>
            <w:shd w:val="clear" w:color="auto" w:fill="auto"/>
            <w:vAlign w:val="center"/>
          </w:tcPr>
          <w:p w14:paraId="0F663D06" w14:textId="34AFE623"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single" w:sz="8" w:space="0" w:color="0077BD"/>
            </w:tcBorders>
            <w:shd w:val="clear" w:color="auto" w:fill="auto"/>
            <w:vAlign w:val="center"/>
          </w:tcPr>
          <w:p w14:paraId="603FC93F" w14:textId="5B1CAF52"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(3 242)</w:t>
            </w:r>
          </w:p>
        </w:tc>
        <w:tc>
          <w:tcPr>
            <w:tcW w:w="835" w:type="dxa"/>
            <w:tcBorders>
              <w:top w:val="nil"/>
              <w:left w:val="nil"/>
              <w:bottom w:val="single" w:sz="8" w:space="0" w:color="0077BD"/>
              <w:right w:val="single" w:sz="8" w:space="0" w:color="0077BD"/>
            </w:tcBorders>
            <w:shd w:val="clear" w:color="auto" w:fill="auto"/>
            <w:vAlign w:val="center"/>
          </w:tcPr>
          <w:p w14:paraId="0A186D53" w14:textId="767EB820"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(1 120)</w:t>
            </w:r>
          </w:p>
        </w:tc>
        <w:tc>
          <w:tcPr>
            <w:tcW w:w="835" w:type="dxa"/>
            <w:tcBorders>
              <w:top w:val="nil"/>
              <w:left w:val="nil"/>
              <w:bottom w:val="single" w:sz="8" w:space="0" w:color="0077BD"/>
              <w:right w:val="single" w:sz="8" w:space="0" w:color="0077BD"/>
            </w:tcBorders>
            <w:shd w:val="clear" w:color="auto" w:fill="auto"/>
            <w:vAlign w:val="center"/>
          </w:tcPr>
          <w:p w14:paraId="6626D128" w14:textId="766A8D92"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nil"/>
            </w:tcBorders>
            <w:shd w:val="clear" w:color="auto" w:fill="auto"/>
            <w:vAlign w:val="center"/>
          </w:tcPr>
          <w:p w14:paraId="7A32DAB9" w14:textId="70C6143F"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r>
      <w:tr w:rsidR="00700543" w:rsidRPr="00BB7C9E" w14:paraId="2BD00133"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24AD8A61" w14:textId="77777777" w:rsidR="00700543" w:rsidRPr="00BB7C9E" w:rsidRDefault="00700543" w:rsidP="00700543">
            <w:pPr>
              <w:rPr>
                <w:rFonts w:cs="Calibri"/>
                <w:color w:val="000000" w:themeColor="text1"/>
                <w:sz w:val="11"/>
                <w:szCs w:val="11"/>
              </w:rPr>
            </w:pPr>
            <w:r w:rsidRPr="00BB7C9E">
              <w:rPr>
                <w:rFonts w:cs="Calibri"/>
                <w:color w:val="000000" w:themeColor="text1"/>
                <w:sz w:val="11"/>
                <w:szCs w:val="11"/>
              </w:rPr>
              <w:t>- Banki centralne</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30A2781E" w14:textId="7A03989D"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3 219 627</w:t>
            </w:r>
          </w:p>
        </w:tc>
        <w:tc>
          <w:tcPr>
            <w:tcW w:w="835" w:type="dxa"/>
            <w:tcBorders>
              <w:top w:val="nil"/>
              <w:left w:val="nil"/>
              <w:bottom w:val="single" w:sz="4" w:space="0" w:color="0077BD"/>
              <w:right w:val="nil"/>
            </w:tcBorders>
            <w:shd w:val="clear" w:color="auto" w:fill="auto"/>
            <w:noWrap/>
            <w:vAlign w:val="center"/>
          </w:tcPr>
          <w:p w14:paraId="63E6D84F" w14:textId="7702B63E"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3 219 627</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2A053E7E" w14:textId="3E16686D"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263B41EA" w14:textId="7CB0F9D5"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4A5C7530" w14:textId="2C6D5139"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808A1B4" w14:textId="78D1C076"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E306C7A" w14:textId="21D15705"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02BE685B" w14:textId="770420DF"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5DB60AFA" w14:textId="746E04D8"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r>
      <w:tr w:rsidR="00700543" w:rsidRPr="00BB7C9E" w14:paraId="365EBD5D"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65CACCFA" w14:textId="77777777" w:rsidR="00700543" w:rsidRPr="00BB7C9E" w:rsidRDefault="00700543" w:rsidP="00AA4823">
            <w:pPr>
              <w:ind w:left="110" w:hanging="110"/>
              <w:rPr>
                <w:rFonts w:cs="Calibri"/>
                <w:color w:val="000000" w:themeColor="text1"/>
                <w:sz w:val="11"/>
                <w:szCs w:val="11"/>
              </w:rPr>
            </w:pPr>
            <w:r w:rsidRPr="00BB7C9E">
              <w:rPr>
                <w:rFonts w:cs="Calibri"/>
                <w:color w:val="000000" w:themeColor="text1"/>
                <w:sz w:val="11"/>
                <w:szCs w:val="11"/>
              </w:rPr>
              <w:t>- Sektor instytucji rządowych i samorządowych, w tym:</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30268FA7" w14:textId="637FD65E"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17 573 979</w:t>
            </w:r>
          </w:p>
        </w:tc>
        <w:tc>
          <w:tcPr>
            <w:tcW w:w="835" w:type="dxa"/>
            <w:tcBorders>
              <w:top w:val="nil"/>
              <w:left w:val="nil"/>
              <w:bottom w:val="single" w:sz="4" w:space="0" w:color="0077BD"/>
              <w:right w:val="nil"/>
            </w:tcBorders>
            <w:shd w:val="clear" w:color="auto" w:fill="auto"/>
            <w:noWrap/>
            <w:vAlign w:val="center"/>
          </w:tcPr>
          <w:p w14:paraId="5261C4AC" w14:textId="3A4FCA03"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17 574 048</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0BC2CD82" w14:textId="2205A437"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4B52B198" w14:textId="4D79A4A0"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3E73E4FE" w14:textId="4EAD7560"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7F24B6C4" w14:textId="6F7CC940"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(69)</w:t>
            </w:r>
          </w:p>
        </w:tc>
        <w:tc>
          <w:tcPr>
            <w:tcW w:w="835" w:type="dxa"/>
            <w:tcBorders>
              <w:top w:val="nil"/>
              <w:left w:val="nil"/>
              <w:bottom w:val="single" w:sz="4" w:space="0" w:color="0077BD"/>
              <w:right w:val="single" w:sz="8" w:space="0" w:color="0077BD"/>
            </w:tcBorders>
            <w:shd w:val="clear" w:color="auto" w:fill="auto"/>
            <w:noWrap/>
            <w:vAlign w:val="center"/>
          </w:tcPr>
          <w:p w14:paraId="3E847CE2" w14:textId="2141933D"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7BB7B15B" w14:textId="6BBA4FB8"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511BE64B" w14:textId="65912766"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r>
      <w:tr w:rsidR="00700543" w:rsidRPr="00BB7C9E" w14:paraId="28791254"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6B9364C3" w14:textId="77777777" w:rsidR="00700543" w:rsidRPr="00BB7C9E" w:rsidRDefault="00700543" w:rsidP="00700543">
            <w:pPr>
              <w:rPr>
                <w:rFonts w:cs="Calibri"/>
                <w:i/>
                <w:iCs/>
                <w:color w:val="000000" w:themeColor="text1"/>
                <w:sz w:val="11"/>
                <w:szCs w:val="11"/>
              </w:rPr>
            </w:pPr>
            <w:r w:rsidRPr="00BB7C9E">
              <w:rPr>
                <w:rFonts w:cs="Calibri"/>
                <w:i/>
                <w:iCs/>
                <w:color w:val="000000" w:themeColor="text1"/>
                <w:sz w:val="11"/>
                <w:szCs w:val="11"/>
              </w:rPr>
              <w:t xml:space="preserve">    zastawione papiery wartościowe</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108D6DBA" w14:textId="0CA16114"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1 232 295</w:t>
            </w:r>
          </w:p>
        </w:tc>
        <w:tc>
          <w:tcPr>
            <w:tcW w:w="835" w:type="dxa"/>
            <w:tcBorders>
              <w:top w:val="nil"/>
              <w:left w:val="nil"/>
              <w:bottom w:val="single" w:sz="4" w:space="0" w:color="0077BD"/>
              <w:right w:val="nil"/>
            </w:tcBorders>
            <w:shd w:val="clear" w:color="auto" w:fill="auto"/>
            <w:noWrap/>
            <w:vAlign w:val="center"/>
          </w:tcPr>
          <w:p w14:paraId="1CB726CE" w14:textId="2615FAC2"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1 232 295</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39586316" w14:textId="3441AAAF"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0EDE09F4" w14:textId="563DDCFB"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773089A3" w14:textId="1E53681F"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1C1D34AB" w14:textId="00CE2610"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277A40BD" w14:textId="7F96DB25"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18126A7B" w14:textId="59622881"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158B9FAB" w14:textId="25B8D13B" w:rsidR="00700543" w:rsidRPr="00BB7C9E" w:rsidRDefault="00700543" w:rsidP="00700543">
            <w:pPr>
              <w:jc w:val="right"/>
              <w:rPr>
                <w:rFonts w:cs="Calibri"/>
                <w:i/>
                <w:iCs/>
                <w:color w:val="000000" w:themeColor="text1"/>
                <w:sz w:val="11"/>
                <w:szCs w:val="11"/>
              </w:rPr>
            </w:pPr>
            <w:r w:rsidRPr="00BB7C9E">
              <w:rPr>
                <w:rFonts w:cs="Calibri"/>
                <w:i/>
                <w:iCs/>
                <w:color w:val="000000" w:themeColor="text1"/>
                <w:sz w:val="11"/>
                <w:szCs w:val="11"/>
              </w:rPr>
              <w:t>-</w:t>
            </w:r>
          </w:p>
        </w:tc>
      </w:tr>
      <w:tr w:rsidR="00700543" w:rsidRPr="00BB7C9E" w14:paraId="434B9E62"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47C0E4A0" w14:textId="77777777" w:rsidR="00700543" w:rsidRPr="00BB7C9E" w:rsidRDefault="00700543" w:rsidP="00700543">
            <w:pPr>
              <w:rPr>
                <w:rFonts w:cs="Calibri"/>
                <w:color w:val="000000" w:themeColor="text1"/>
                <w:sz w:val="11"/>
                <w:szCs w:val="11"/>
              </w:rPr>
            </w:pPr>
            <w:r w:rsidRPr="00BB7C9E">
              <w:rPr>
                <w:rFonts w:cs="Calibri"/>
                <w:color w:val="000000" w:themeColor="text1"/>
                <w:sz w:val="11"/>
                <w:szCs w:val="11"/>
              </w:rPr>
              <w:t>- Instytucje kredytowe</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4E0FAC3C" w14:textId="3E3F7B48"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263 460</w:t>
            </w:r>
          </w:p>
        </w:tc>
        <w:tc>
          <w:tcPr>
            <w:tcW w:w="835" w:type="dxa"/>
            <w:tcBorders>
              <w:top w:val="nil"/>
              <w:left w:val="nil"/>
              <w:bottom w:val="single" w:sz="4" w:space="0" w:color="0077BD"/>
              <w:right w:val="nil"/>
            </w:tcBorders>
            <w:shd w:val="clear" w:color="auto" w:fill="auto"/>
            <w:noWrap/>
            <w:vAlign w:val="center"/>
          </w:tcPr>
          <w:p w14:paraId="4A4F5908" w14:textId="24695180"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264 583</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61175C93" w14:textId="776854E4"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84756FB" w14:textId="788DB446"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43E0C462" w14:textId="6F49CE99"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20DABE58" w14:textId="7D87B672"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(1 123)</w:t>
            </w:r>
          </w:p>
        </w:tc>
        <w:tc>
          <w:tcPr>
            <w:tcW w:w="835" w:type="dxa"/>
            <w:tcBorders>
              <w:top w:val="nil"/>
              <w:left w:val="nil"/>
              <w:bottom w:val="single" w:sz="4" w:space="0" w:color="0077BD"/>
              <w:right w:val="single" w:sz="8" w:space="0" w:color="0077BD"/>
            </w:tcBorders>
            <w:shd w:val="clear" w:color="auto" w:fill="auto"/>
            <w:noWrap/>
            <w:vAlign w:val="center"/>
          </w:tcPr>
          <w:p w14:paraId="02C4E82D" w14:textId="5A6F1EC9"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70BAE49" w14:textId="73FCEA18"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7629F93D" w14:textId="48AD9C32"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r>
      <w:tr w:rsidR="00700543" w:rsidRPr="00BB7C9E" w14:paraId="6941CF0F"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4707EDF1" w14:textId="77777777" w:rsidR="00700543" w:rsidRPr="00BB7C9E" w:rsidRDefault="00700543" w:rsidP="00700543">
            <w:pPr>
              <w:rPr>
                <w:rFonts w:cs="Calibri"/>
                <w:color w:val="000000" w:themeColor="text1"/>
                <w:sz w:val="11"/>
                <w:szCs w:val="11"/>
              </w:rPr>
            </w:pPr>
            <w:r w:rsidRPr="00BB7C9E">
              <w:rPr>
                <w:rFonts w:cs="Calibri"/>
                <w:color w:val="000000" w:themeColor="text1"/>
                <w:sz w:val="11"/>
                <w:szCs w:val="11"/>
              </w:rPr>
              <w:t>- Inne instytucje finansowe</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16401650" w14:textId="474DFF35"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1 162 968</w:t>
            </w:r>
          </w:p>
        </w:tc>
        <w:tc>
          <w:tcPr>
            <w:tcW w:w="835" w:type="dxa"/>
            <w:tcBorders>
              <w:top w:val="nil"/>
              <w:left w:val="nil"/>
              <w:bottom w:val="single" w:sz="4" w:space="0" w:color="0077BD"/>
              <w:right w:val="nil"/>
            </w:tcBorders>
            <w:shd w:val="clear" w:color="auto" w:fill="auto"/>
            <w:noWrap/>
            <w:vAlign w:val="center"/>
          </w:tcPr>
          <w:p w14:paraId="33A4B3C9" w14:textId="16447451"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1 163 964</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5091ECC0" w14:textId="5B2EF5A8"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09346D93" w14:textId="33930AA5"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3B5C627D" w14:textId="2B0C22E6"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623B3731" w14:textId="0BA3ABEC"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(996)</w:t>
            </w:r>
          </w:p>
        </w:tc>
        <w:tc>
          <w:tcPr>
            <w:tcW w:w="835" w:type="dxa"/>
            <w:tcBorders>
              <w:top w:val="nil"/>
              <w:left w:val="nil"/>
              <w:bottom w:val="single" w:sz="4" w:space="0" w:color="0077BD"/>
              <w:right w:val="single" w:sz="8" w:space="0" w:color="0077BD"/>
            </w:tcBorders>
            <w:shd w:val="clear" w:color="auto" w:fill="auto"/>
            <w:noWrap/>
            <w:vAlign w:val="center"/>
          </w:tcPr>
          <w:p w14:paraId="14C12E37" w14:textId="21073276"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216BE89" w14:textId="2C279569"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4D985D58" w14:textId="059BADFF"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r>
      <w:tr w:rsidR="00700543" w:rsidRPr="00BB7C9E" w14:paraId="661E5667" w14:textId="77777777" w:rsidTr="00CA5E84">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1CB16757" w14:textId="77777777" w:rsidR="00700543" w:rsidRPr="00BB7C9E" w:rsidRDefault="00700543" w:rsidP="00700543">
            <w:pPr>
              <w:rPr>
                <w:rFonts w:cs="Calibri"/>
                <w:color w:val="000000" w:themeColor="text1"/>
                <w:sz w:val="11"/>
                <w:szCs w:val="11"/>
              </w:rPr>
            </w:pPr>
            <w:r w:rsidRPr="00BB7C9E">
              <w:rPr>
                <w:rFonts w:cs="Calibri"/>
                <w:color w:val="000000" w:themeColor="text1"/>
                <w:sz w:val="11"/>
                <w:szCs w:val="11"/>
              </w:rPr>
              <w:t>- Przedsiębiorstwa niefinansowe</w:t>
            </w:r>
          </w:p>
        </w:tc>
        <w:tc>
          <w:tcPr>
            <w:tcW w:w="834" w:type="dxa"/>
            <w:tcBorders>
              <w:top w:val="nil"/>
              <w:left w:val="single" w:sz="8" w:space="0" w:color="0077BD"/>
              <w:bottom w:val="single" w:sz="4" w:space="0" w:color="0077BD"/>
              <w:right w:val="single" w:sz="8" w:space="0" w:color="0077BD"/>
            </w:tcBorders>
            <w:shd w:val="clear" w:color="auto" w:fill="auto"/>
            <w:noWrap/>
            <w:vAlign w:val="center"/>
          </w:tcPr>
          <w:p w14:paraId="5CD635DE" w14:textId="406EC2BD"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553 887</w:t>
            </w:r>
          </w:p>
        </w:tc>
        <w:tc>
          <w:tcPr>
            <w:tcW w:w="835" w:type="dxa"/>
            <w:tcBorders>
              <w:top w:val="nil"/>
              <w:left w:val="nil"/>
              <w:bottom w:val="single" w:sz="4" w:space="0" w:color="0077BD"/>
              <w:right w:val="nil"/>
            </w:tcBorders>
            <w:shd w:val="clear" w:color="auto" w:fill="auto"/>
            <w:noWrap/>
            <w:vAlign w:val="center"/>
          </w:tcPr>
          <w:p w14:paraId="20DD6782" w14:textId="7431A1DA"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514 940</w:t>
            </w:r>
          </w:p>
        </w:tc>
        <w:tc>
          <w:tcPr>
            <w:tcW w:w="835" w:type="dxa"/>
            <w:tcBorders>
              <w:top w:val="nil"/>
              <w:left w:val="single" w:sz="8" w:space="0" w:color="0077BD"/>
              <w:bottom w:val="single" w:sz="4" w:space="0" w:color="0077BD"/>
              <w:right w:val="single" w:sz="8" w:space="0" w:color="0077BD"/>
            </w:tcBorders>
            <w:shd w:val="clear" w:color="auto" w:fill="auto"/>
            <w:noWrap/>
            <w:vAlign w:val="center"/>
          </w:tcPr>
          <w:p w14:paraId="68D8A23E" w14:textId="2F1B1631"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41 121</w:t>
            </w:r>
          </w:p>
        </w:tc>
        <w:tc>
          <w:tcPr>
            <w:tcW w:w="835" w:type="dxa"/>
            <w:tcBorders>
              <w:top w:val="nil"/>
              <w:left w:val="nil"/>
              <w:bottom w:val="single" w:sz="4" w:space="0" w:color="0077BD"/>
              <w:right w:val="single" w:sz="8" w:space="0" w:color="0077BD"/>
            </w:tcBorders>
            <w:shd w:val="clear" w:color="auto" w:fill="auto"/>
            <w:noWrap/>
            <w:vAlign w:val="center"/>
          </w:tcPr>
          <w:p w14:paraId="59D51151" w14:textId="3D2F2227"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5E0646BC" w14:textId="543E0F87"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tcPr>
          <w:p w14:paraId="31D4933B" w14:textId="6BE69451"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(1 054)</w:t>
            </w:r>
          </w:p>
        </w:tc>
        <w:tc>
          <w:tcPr>
            <w:tcW w:w="835" w:type="dxa"/>
            <w:tcBorders>
              <w:top w:val="nil"/>
              <w:left w:val="nil"/>
              <w:bottom w:val="single" w:sz="4" w:space="0" w:color="0077BD"/>
              <w:right w:val="single" w:sz="8" w:space="0" w:color="0077BD"/>
            </w:tcBorders>
            <w:shd w:val="clear" w:color="auto" w:fill="auto"/>
            <w:noWrap/>
            <w:vAlign w:val="center"/>
          </w:tcPr>
          <w:p w14:paraId="43211EB7" w14:textId="07D4E54F"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(1 120)</w:t>
            </w:r>
          </w:p>
        </w:tc>
        <w:tc>
          <w:tcPr>
            <w:tcW w:w="835" w:type="dxa"/>
            <w:tcBorders>
              <w:top w:val="nil"/>
              <w:left w:val="nil"/>
              <w:bottom w:val="single" w:sz="4" w:space="0" w:color="0077BD"/>
              <w:right w:val="single" w:sz="8" w:space="0" w:color="0077BD"/>
            </w:tcBorders>
            <w:shd w:val="clear" w:color="auto" w:fill="auto"/>
            <w:noWrap/>
            <w:vAlign w:val="center"/>
          </w:tcPr>
          <w:p w14:paraId="68A43BFA" w14:textId="0D6DC12C"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tcPr>
          <w:p w14:paraId="7F9DDC6E" w14:textId="469874AC" w:rsidR="00700543" w:rsidRPr="00BB7C9E" w:rsidRDefault="00700543" w:rsidP="00700543">
            <w:pPr>
              <w:jc w:val="right"/>
              <w:rPr>
                <w:rFonts w:cs="Calibri"/>
                <w:color w:val="000000" w:themeColor="text1"/>
                <w:sz w:val="11"/>
                <w:szCs w:val="11"/>
              </w:rPr>
            </w:pPr>
            <w:r w:rsidRPr="00BB7C9E">
              <w:rPr>
                <w:rFonts w:cs="Calibri"/>
                <w:color w:val="000000" w:themeColor="text1"/>
                <w:sz w:val="11"/>
                <w:szCs w:val="11"/>
              </w:rPr>
              <w:t>-</w:t>
            </w:r>
          </w:p>
        </w:tc>
      </w:tr>
      <w:tr w:rsidR="00700543" w:rsidRPr="00BB7C9E" w14:paraId="1B93893E" w14:textId="77777777" w:rsidTr="00CA5E84">
        <w:trPr>
          <w:trHeight w:val="284"/>
        </w:trPr>
        <w:tc>
          <w:tcPr>
            <w:tcW w:w="2067" w:type="dxa"/>
            <w:tcBorders>
              <w:top w:val="single" w:sz="8" w:space="0" w:color="0077BD"/>
              <w:left w:val="nil"/>
              <w:bottom w:val="single" w:sz="8" w:space="0" w:color="0077BD"/>
              <w:right w:val="single" w:sz="8" w:space="0" w:color="0077BD"/>
            </w:tcBorders>
            <w:shd w:val="clear" w:color="auto" w:fill="auto"/>
            <w:vAlign w:val="center"/>
            <w:hideMark/>
          </w:tcPr>
          <w:p w14:paraId="34E5A3BB" w14:textId="77777777" w:rsidR="00700543" w:rsidRPr="00BB7C9E" w:rsidRDefault="00700543" w:rsidP="00700543">
            <w:pPr>
              <w:rPr>
                <w:rFonts w:cs="Calibri"/>
                <w:b/>
                <w:bCs/>
                <w:color w:val="000000" w:themeColor="text1"/>
                <w:sz w:val="11"/>
                <w:szCs w:val="11"/>
              </w:rPr>
            </w:pPr>
            <w:r w:rsidRPr="00BB7C9E">
              <w:rPr>
                <w:rFonts w:cs="Calibri"/>
                <w:b/>
                <w:bCs/>
                <w:color w:val="000000" w:themeColor="text1"/>
                <w:sz w:val="11"/>
                <w:szCs w:val="11"/>
              </w:rPr>
              <w:t>Aktywa finansowe wyceniane w wartości godziwej przez pozostałe całkowite dochody, razem</w:t>
            </w:r>
          </w:p>
        </w:tc>
        <w:tc>
          <w:tcPr>
            <w:tcW w:w="83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8C70F81" w14:textId="01DB44FC"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22 773 921</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37AAA826" w14:textId="53F22866"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22 737 162</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29017CF1" w14:textId="0C04BB62"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41 121</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3922F9CD" w14:textId="2C955F6B"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0DD5F58F" w14:textId="797A43EA"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643A1862" w14:textId="628C631D"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(3 242)</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23C6529A" w14:textId="3EC33A29"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(1 120)</w:t>
            </w:r>
          </w:p>
        </w:tc>
        <w:tc>
          <w:tcPr>
            <w:tcW w:w="835" w:type="dxa"/>
            <w:tcBorders>
              <w:top w:val="single" w:sz="8" w:space="0" w:color="0077BD"/>
              <w:left w:val="nil"/>
              <w:bottom w:val="single" w:sz="8" w:space="0" w:color="0077BD"/>
              <w:right w:val="single" w:sz="8" w:space="0" w:color="0077BD"/>
            </w:tcBorders>
            <w:shd w:val="clear" w:color="auto" w:fill="auto"/>
            <w:noWrap/>
            <w:vAlign w:val="center"/>
          </w:tcPr>
          <w:p w14:paraId="0A5BA01C" w14:textId="629AFC93"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nil"/>
            </w:tcBorders>
            <w:shd w:val="clear" w:color="auto" w:fill="auto"/>
            <w:noWrap/>
            <w:vAlign w:val="center"/>
          </w:tcPr>
          <w:p w14:paraId="781A148E" w14:textId="6ED890C1" w:rsidR="00700543" w:rsidRPr="00BB7C9E" w:rsidRDefault="00700543" w:rsidP="00700543">
            <w:pPr>
              <w:jc w:val="right"/>
              <w:rPr>
                <w:rFonts w:cs="Calibri"/>
                <w:b/>
                <w:bCs/>
                <w:color w:val="000000" w:themeColor="text1"/>
                <w:sz w:val="11"/>
                <w:szCs w:val="11"/>
              </w:rPr>
            </w:pPr>
            <w:r w:rsidRPr="00BB7C9E">
              <w:rPr>
                <w:rFonts w:cs="Calibri"/>
                <w:b/>
                <w:bCs/>
                <w:color w:val="000000" w:themeColor="text1"/>
                <w:sz w:val="11"/>
                <w:szCs w:val="11"/>
              </w:rPr>
              <w:t>-</w:t>
            </w:r>
          </w:p>
        </w:tc>
      </w:tr>
      <w:tr w:rsidR="00A06057" w:rsidRPr="00BB7C9E" w14:paraId="572EB88D" w14:textId="77777777" w:rsidTr="00C367E6">
        <w:trPr>
          <w:trHeight w:val="20"/>
        </w:trPr>
        <w:tc>
          <w:tcPr>
            <w:tcW w:w="2067" w:type="dxa"/>
            <w:tcBorders>
              <w:top w:val="nil"/>
              <w:left w:val="nil"/>
              <w:bottom w:val="nil"/>
              <w:right w:val="nil"/>
            </w:tcBorders>
            <w:shd w:val="clear" w:color="000000" w:fill="FFFFFF"/>
            <w:vAlign w:val="center"/>
          </w:tcPr>
          <w:p w14:paraId="0604DA88" w14:textId="26D0D13D" w:rsidR="00A06057" w:rsidRPr="00BB7C9E" w:rsidRDefault="00A06057" w:rsidP="00A06057">
            <w:pPr>
              <w:rPr>
                <w:rFonts w:cs="Calibri"/>
                <w:color w:val="000000" w:themeColor="text1"/>
                <w:sz w:val="11"/>
                <w:szCs w:val="11"/>
              </w:rPr>
            </w:pPr>
          </w:p>
        </w:tc>
        <w:tc>
          <w:tcPr>
            <w:tcW w:w="834" w:type="dxa"/>
            <w:tcBorders>
              <w:top w:val="nil"/>
              <w:left w:val="nil"/>
              <w:bottom w:val="nil"/>
              <w:right w:val="nil"/>
            </w:tcBorders>
            <w:shd w:val="clear" w:color="000000" w:fill="FFFFFF"/>
            <w:vAlign w:val="center"/>
          </w:tcPr>
          <w:p w14:paraId="03404011" w14:textId="5270D87B"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vAlign w:val="center"/>
          </w:tcPr>
          <w:p w14:paraId="52E6898B" w14:textId="1B98DD5C"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71376A45" w14:textId="51894E97"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75F4C290" w14:textId="22311F45"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9D904EC" w14:textId="66994D23"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259EC041" w14:textId="2295C452"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56425461" w14:textId="7A5178D7"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9ABF41D" w14:textId="7B760958" w:rsidR="00A06057" w:rsidRPr="00BB7C9E" w:rsidRDefault="00A06057" w:rsidP="00A06057">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64C0E56F" w14:textId="2DD264E9" w:rsidR="00A06057" w:rsidRPr="00BB7C9E" w:rsidRDefault="00A06057" w:rsidP="00A06057">
            <w:pPr>
              <w:rPr>
                <w:rFonts w:cs="Calibri"/>
                <w:color w:val="000000" w:themeColor="text1"/>
                <w:sz w:val="11"/>
                <w:szCs w:val="11"/>
              </w:rPr>
            </w:pPr>
          </w:p>
        </w:tc>
      </w:tr>
      <w:tr w:rsidR="0020677E" w:rsidRPr="00BB7C9E" w14:paraId="6C03A0B8" w14:textId="77777777" w:rsidTr="00977E53">
        <w:trPr>
          <w:trHeight w:val="284"/>
        </w:trPr>
        <w:tc>
          <w:tcPr>
            <w:tcW w:w="2067" w:type="dxa"/>
            <w:tcBorders>
              <w:top w:val="single" w:sz="8" w:space="0" w:color="0077BD"/>
              <w:left w:val="nil"/>
              <w:bottom w:val="single" w:sz="8" w:space="0" w:color="0077BD"/>
              <w:right w:val="single" w:sz="8" w:space="0" w:color="0077BD"/>
            </w:tcBorders>
            <w:shd w:val="clear" w:color="auto" w:fill="auto"/>
            <w:vAlign w:val="center"/>
            <w:hideMark/>
          </w:tcPr>
          <w:p w14:paraId="366AE246" w14:textId="77777777" w:rsidR="0020677E" w:rsidRPr="00BB7C9E" w:rsidRDefault="0020677E" w:rsidP="0020677E">
            <w:pPr>
              <w:rPr>
                <w:rFonts w:cs="Calibri"/>
                <w:color w:val="000000" w:themeColor="text1"/>
                <w:sz w:val="11"/>
                <w:szCs w:val="11"/>
              </w:rPr>
            </w:pPr>
            <w:r w:rsidRPr="00BB7C9E">
              <w:rPr>
                <w:rFonts w:cs="Calibri"/>
                <w:color w:val="000000" w:themeColor="text1"/>
                <w:sz w:val="11"/>
                <w:szCs w:val="11"/>
              </w:rPr>
              <w:t>Krótkoterminowe (do 1 roku) brutto</w:t>
            </w:r>
          </w:p>
        </w:tc>
        <w:tc>
          <w:tcPr>
            <w:tcW w:w="834" w:type="dxa"/>
            <w:tcBorders>
              <w:top w:val="single" w:sz="8" w:space="0" w:color="0077BD"/>
              <w:left w:val="single" w:sz="8" w:space="0" w:color="0077BD"/>
              <w:bottom w:val="single" w:sz="8" w:space="0" w:color="0077BD"/>
              <w:right w:val="nil"/>
            </w:tcBorders>
            <w:shd w:val="clear" w:color="auto" w:fill="auto"/>
            <w:vAlign w:val="center"/>
          </w:tcPr>
          <w:p w14:paraId="3D77643B" w14:textId="4EF1D464" w:rsidR="0020677E" w:rsidRPr="00BB7C9E" w:rsidRDefault="0020677E" w:rsidP="0020677E">
            <w:pPr>
              <w:jc w:val="right"/>
              <w:rPr>
                <w:rFonts w:cs="Calibri"/>
                <w:color w:val="000000" w:themeColor="text1"/>
                <w:sz w:val="11"/>
                <w:szCs w:val="11"/>
              </w:rPr>
            </w:pPr>
            <w:r w:rsidRPr="00BB7C9E">
              <w:rPr>
                <w:rFonts w:cs="Calibri"/>
                <w:color w:val="000000" w:themeColor="text1"/>
                <w:sz w:val="11"/>
                <w:szCs w:val="11"/>
              </w:rPr>
              <w:t>4 031 311</w:t>
            </w:r>
          </w:p>
        </w:tc>
        <w:tc>
          <w:tcPr>
            <w:tcW w:w="835" w:type="dxa"/>
            <w:tcBorders>
              <w:top w:val="nil"/>
              <w:left w:val="nil"/>
              <w:bottom w:val="nil"/>
              <w:right w:val="nil"/>
            </w:tcBorders>
            <w:shd w:val="clear" w:color="000000" w:fill="FFFFFF"/>
            <w:vAlign w:val="center"/>
          </w:tcPr>
          <w:p w14:paraId="284D0C3E" w14:textId="0B72BBB8"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2EDB7413" w14:textId="6A77A7F1"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3400D6AB" w14:textId="2E39622A"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1F3828D4" w14:textId="0C7CE3BC"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883042A" w14:textId="79960CFB"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65438D1B" w14:textId="237C7B61"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6B893A72" w14:textId="4B4B5158" w:rsidR="0020677E" w:rsidRPr="00BB7C9E" w:rsidRDefault="0020677E" w:rsidP="0020677E">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0A940800" w14:textId="4E2DBA27" w:rsidR="0020677E" w:rsidRPr="00BB7C9E" w:rsidRDefault="0020677E" w:rsidP="0020677E">
            <w:pPr>
              <w:rPr>
                <w:rFonts w:cs="Calibri"/>
                <w:color w:val="000000" w:themeColor="text1"/>
                <w:sz w:val="11"/>
                <w:szCs w:val="11"/>
              </w:rPr>
            </w:pPr>
          </w:p>
        </w:tc>
      </w:tr>
      <w:tr w:rsidR="0020677E" w:rsidRPr="00BB7C9E" w14:paraId="48DD4D90" w14:textId="77777777" w:rsidTr="00977E53">
        <w:trPr>
          <w:trHeight w:val="284"/>
        </w:trPr>
        <w:tc>
          <w:tcPr>
            <w:tcW w:w="2067" w:type="dxa"/>
            <w:tcBorders>
              <w:top w:val="nil"/>
              <w:left w:val="nil"/>
              <w:bottom w:val="single" w:sz="8" w:space="0" w:color="0077BD"/>
              <w:right w:val="single" w:sz="8" w:space="0" w:color="0077BD"/>
            </w:tcBorders>
            <w:shd w:val="clear" w:color="auto" w:fill="auto"/>
            <w:vAlign w:val="center"/>
            <w:hideMark/>
          </w:tcPr>
          <w:p w14:paraId="62399FF0" w14:textId="77777777" w:rsidR="0020677E" w:rsidRPr="00BB7C9E" w:rsidRDefault="0020677E" w:rsidP="0020677E">
            <w:pPr>
              <w:rPr>
                <w:rFonts w:cs="Calibri"/>
                <w:color w:val="000000" w:themeColor="text1"/>
                <w:sz w:val="11"/>
                <w:szCs w:val="11"/>
              </w:rPr>
            </w:pPr>
            <w:r w:rsidRPr="00BB7C9E">
              <w:rPr>
                <w:rFonts w:cs="Calibri"/>
                <w:color w:val="000000" w:themeColor="text1"/>
                <w:sz w:val="11"/>
                <w:szCs w:val="11"/>
              </w:rPr>
              <w:t>Długoterminowe (ponad 1 rok) brutto</w:t>
            </w:r>
          </w:p>
        </w:tc>
        <w:tc>
          <w:tcPr>
            <w:tcW w:w="834" w:type="dxa"/>
            <w:tcBorders>
              <w:top w:val="nil"/>
              <w:left w:val="single" w:sz="8" w:space="0" w:color="0077BD"/>
              <w:bottom w:val="single" w:sz="8" w:space="0" w:color="0077BD"/>
              <w:right w:val="nil"/>
            </w:tcBorders>
            <w:shd w:val="clear" w:color="auto" w:fill="auto"/>
            <w:vAlign w:val="center"/>
          </w:tcPr>
          <w:p w14:paraId="57B9A602" w14:textId="2E6DEC87" w:rsidR="0020677E" w:rsidRPr="00BB7C9E" w:rsidRDefault="0020677E" w:rsidP="0020677E">
            <w:pPr>
              <w:jc w:val="right"/>
              <w:rPr>
                <w:rFonts w:cs="Calibri"/>
                <w:color w:val="000000" w:themeColor="text1"/>
                <w:sz w:val="11"/>
                <w:szCs w:val="11"/>
              </w:rPr>
            </w:pPr>
            <w:r w:rsidRPr="00BB7C9E">
              <w:rPr>
                <w:rFonts w:cs="Calibri"/>
                <w:color w:val="000000" w:themeColor="text1"/>
                <w:sz w:val="11"/>
                <w:szCs w:val="11"/>
              </w:rPr>
              <w:t>18 746 972</w:t>
            </w:r>
          </w:p>
        </w:tc>
        <w:tc>
          <w:tcPr>
            <w:tcW w:w="835" w:type="dxa"/>
            <w:tcBorders>
              <w:top w:val="nil"/>
              <w:left w:val="nil"/>
              <w:bottom w:val="nil"/>
              <w:right w:val="nil"/>
            </w:tcBorders>
            <w:shd w:val="clear" w:color="auto" w:fill="auto"/>
            <w:noWrap/>
            <w:vAlign w:val="bottom"/>
          </w:tcPr>
          <w:p w14:paraId="0822832E" w14:textId="77777777" w:rsidR="0020677E" w:rsidRPr="00BB7C9E" w:rsidRDefault="0020677E" w:rsidP="0020677E">
            <w:pPr>
              <w:jc w:val="right"/>
              <w:rPr>
                <w:rFonts w:cs="Calibri"/>
                <w:color w:val="000000" w:themeColor="text1"/>
                <w:sz w:val="11"/>
                <w:szCs w:val="11"/>
              </w:rPr>
            </w:pPr>
          </w:p>
        </w:tc>
        <w:tc>
          <w:tcPr>
            <w:tcW w:w="835" w:type="dxa"/>
            <w:tcBorders>
              <w:top w:val="nil"/>
              <w:left w:val="nil"/>
              <w:bottom w:val="nil"/>
              <w:right w:val="nil"/>
            </w:tcBorders>
            <w:shd w:val="clear" w:color="auto" w:fill="auto"/>
            <w:noWrap/>
            <w:vAlign w:val="bottom"/>
          </w:tcPr>
          <w:p w14:paraId="2F0F3721"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75C2C866"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4C8EE1F9"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207FDD1C"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645231DE"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4050026A" w14:textId="77777777" w:rsidR="0020677E" w:rsidRPr="00BB7C9E" w:rsidRDefault="0020677E" w:rsidP="0020677E">
            <w:pPr>
              <w:rPr>
                <w:color w:val="000000" w:themeColor="text1"/>
                <w:sz w:val="11"/>
                <w:szCs w:val="11"/>
              </w:rPr>
            </w:pPr>
          </w:p>
        </w:tc>
        <w:tc>
          <w:tcPr>
            <w:tcW w:w="835" w:type="dxa"/>
            <w:tcBorders>
              <w:top w:val="nil"/>
              <w:left w:val="nil"/>
              <w:bottom w:val="nil"/>
              <w:right w:val="nil"/>
            </w:tcBorders>
            <w:shd w:val="clear" w:color="auto" w:fill="auto"/>
            <w:noWrap/>
            <w:vAlign w:val="bottom"/>
          </w:tcPr>
          <w:p w14:paraId="58798482" w14:textId="77777777" w:rsidR="0020677E" w:rsidRPr="00BB7C9E" w:rsidRDefault="0020677E" w:rsidP="0020677E">
            <w:pPr>
              <w:rPr>
                <w:color w:val="000000" w:themeColor="text1"/>
                <w:sz w:val="11"/>
                <w:szCs w:val="11"/>
              </w:rPr>
            </w:pPr>
          </w:p>
        </w:tc>
      </w:tr>
    </w:tbl>
    <w:p w14:paraId="18251F1B" w14:textId="453902F1" w:rsidR="00167AE0" w:rsidRDefault="00167AE0" w:rsidP="00167AE0">
      <w:pPr>
        <w:jc w:val="both"/>
        <w:rPr>
          <w:rFonts w:cs="Tahoma"/>
          <w:bCs/>
          <w:color w:val="201C17"/>
          <w:sz w:val="18"/>
          <w:szCs w:val="18"/>
        </w:rPr>
      </w:pPr>
    </w:p>
    <w:tbl>
      <w:tblPr>
        <w:tblW w:w="0" w:type="auto"/>
        <w:tblCellMar>
          <w:left w:w="28" w:type="dxa"/>
          <w:right w:w="28" w:type="dxa"/>
        </w:tblCellMar>
        <w:tblLook w:val="04A0" w:firstRow="1" w:lastRow="0" w:firstColumn="1" w:lastColumn="0" w:noHBand="0" w:noVBand="1"/>
      </w:tblPr>
      <w:tblGrid>
        <w:gridCol w:w="2067"/>
        <w:gridCol w:w="834"/>
        <w:gridCol w:w="835"/>
        <w:gridCol w:w="835"/>
        <w:gridCol w:w="835"/>
        <w:gridCol w:w="835"/>
        <w:gridCol w:w="835"/>
        <w:gridCol w:w="835"/>
        <w:gridCol w:w="835"/>
        <w:gridCol w:w="835"/>
      </w:tblGrid>
      <w:tr w:rsidR="00A06057" w:rsidRPr="00167AE0" w14:paraId="4D3E37E7" w14:textId="77777777" w:rsidTr="00C862FD">
        <w:trPr>
          <w:trHeight w:val="284"/>
        </w:trPr>
        <w:tc>
          <w:tcPr>
            <w:tcW w:w="2067" w:type="dxa"/>
            <w:vMerge w:val="restart"/>
            <w:tcBorders>
              <w:top w:val="nil"/>
              <w:left w:val="nil"/>
              <w:bottom w:val="nil"/>
              <w:right w:val="nil"/>
            </w:tcBorders>
            <w:shd w:val="clear" w:color="000000" w:fill="0077BD"/>
            <w:noWrap/>
            <w:vAlign w:val="center"/>
            <w:hideMark/>
          </w:tcPr>
          <w:p w14:paraId="0BE0451B" w14:textId="77777777" w:rsidR="00167AE0" w:rsidRPr="00167AE0" w:rsidRDefault="00167AE0" w:rsidP="00167AE0">
            <w:pPr>
              <w:rPr>
                <w:rFonts w:cs="Calibri"/>
                <w:b/>
                <w:bCs/>
                <w:color w:val="FFFFFF"/>
                <w:sz w:val="11"/>
                <w:szCs w:val="11"/>
              </w:rPr>
            </w:pPr>
            <w:r w:rsidRPr="00167AE0">
              <w:rPr>
                <w:rFonts w:cs="Calibri"/>
                <w:b/>
                <w:bCs/>
                <w:color w:val="FFFFFF"/>
                <w:sz w:val="11"/>
                <w:szCs w:val="11"/>
              </w:rPr>
              <w:t>31.12.2018</w:t>
            </w:r>
          </w:p>
        </w:tc>
        <w:tc>
          <w:tcPr>
            <w:tcW w:w="834" w:type="dxa"/>
            <w:vMerge w:val="restart"/>
            <w:tcBorders>
              <w:top w:val="nil"/>
              <w:left w:val="single" w:sz="8" w:space="0" w:color="FFFFFF"/>
              <w:bottom w:val="single" w:sz="8" w:space="0" w:color="0077BD"/>
              <w:right w:val="single" w:sz="8" w:space="0" w:color="FFFFFF"/>
            </w:tcBorders>
            <w:shd w:val="clear" w:color="000000" w:fill="0077BD"/>
            <w:vAlign w:val="center"/>
            <w:hideMark/>
          </w:tcPr>
          <w:p w14:paraId="35C7DD2C"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Wartość bilansowa</w:t>
            </w:r>
          </w:p>
        </w:tc>
        <w:tc>
          <w:tcPr>
            <w:tcW w:w="3340" w:type="dxa"/>
            <w:gridSpan w:val="4"/>
            <w:tcBorders>
              <w:top w:val="nil"/>
              <w:left w:val="nil"/>
              <w:bottom w:val="single" w:sz="6" w:space="0" w:color="FFFFFF"/>
              <w:right w:val="single" w:sz="8" w:space="0" w:color="FFFFFF"/>
            </w:tcBorders>
            <w:shd w:val="clear" w:color="000000" w:fill="0077BD"/>
            <w:vAlign w:val="center"/>
            <w:hideMark/>
          </w:tcPr>
          <w:p w14:paraId="4F7CBBF2"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Wartość bilansowa brutto</w:t>
            </w:r>
          </w:p>
        </w:tc>
        <w:tc>
          <w:tcPr>
            <w:tcW w:w="3340" w:type="dxa"/>
            <w:gridSpan w:val="4"/>
            <w:tcBorders>
              <w:top w:val="nil"/>
              <w:left w:val="nil"/>
              <w:bottom w:val="single" w:sz="6" w:space="0" w:color="FFFFFF"/>
              <w:right w:val="nil"/>
            </w:tcBorders>
            <w:shd w:val="clear" w:color="000000" w:fill="0077BD"/>
            <w:vAlign w:val="center"/>
            <w:hideMark/>
          </w:tcPr>
          <w:p w14:paraId="7F432061"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Skumulowana utrata wartości</w:t>
            </w:r>
          </w:p>
        </w:tc>
      </w:tr>
      <w:tr w:rsidR="00167AE0" w:rsidRPr="00167AE0" w14:paraId="4AD160A7" w14:textId="77777777" w:rsidTr="00C862FD">
        <w:trPr>
          <w:trHeight w:val="194"/>
        </w:trPr>
        <w:tc>
          <w:tcPr>
            <w:tcW w:w="2067" w:type="dxa"/>
            <w:vMerge/>
            <w:tcBorders>
              <w:top w:val="nil"/>
              <w:left w:val="nil"/>
              <w:bottom w:val="nil"/>
              <w:right w:val="nil"/>
            </w:tcBorders>
            <w:vAlign w:val="center"/>
            <w:hideMark/>
          </w:tcPr>
          <w:p w14:paraId="66F36CC3" w14:textId="77777777" w:rsidR="00167AE0" w:rsidRPr="00167AE0" w:rsidRDefault="00167AE0" w:rsidP="00167AE0">
            <w:pPr>
              <w:rPr>
                <w:rFonts w:cs="Calibri"/>
                <w:b/>
                <w:bCs/>
                <w:color w:val="FFFFFF"/>
                <w:sz w:val="11"/>
                <w:szCs w:val="11"/>
              </w:rPr>
            </w:pPr>
          </w:p>
        </w:tc>
        <w:tc>
          <w:tcPr>
            <w:tcW w:w="834" w:type="dxa"/>
            <w:vMerge/>
            <w:tcBorders>
              <w:top w:val="nil"/>
              <w:left w:val="single" w:sz="8" w:space="0" w:color="FFFFFF"/>
              <w:bottom w:val="single" w:sz="8" w:space="0" w:color="0077BD"/>
              <w:right w:val="single" w:sz="8" w:space="0" w:color="FFFFFF"/>
            </w:tcBorders>
            <w:vAlign w:val="center"/>
            <w:hideMark/>
          </w:tcPr>
          <w:p w14:paraId="23A0587F" w14:textId="77777777" w:rsidR="00167AE0" w:rsidRPr="00167AE0" w:rsidRDefault="00167AE0" w:rsidP="00167AE0">
            <w:pPr>
              <w:rPr>
                <w:rFonts w:cs="Calibri"/>
                <w:b/>
                <w:bCs/>
                <w:color w:val="FFFFFF"/>
                <w:sz w:val="11"/>
                <w:szCs w:val="11"/>
              </w:rPr>
            </w:pP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596FC9F1"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1</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30A2F92B"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2</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773DBF8F"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3</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16EAC218"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POCI</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4724D0FC"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1</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6A722B36"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2</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38F0A463"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Koszyk 3</w:t>
            </w:r>
          </w:p>
        </w:tc>
        <w:tc>
          <w:tcPr>
            <w:tcW w:w="835"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02DF47C7" w14:textId="77777777" w:rsidR="00167AE0" w:rsidRPr="00167AE0" w:rsidRDefault="00167AE0" w:rsidP="00167AE0">
            <w:pPr>
              <w:jc w:val="center"/>
              <w:rPr>
                <w:rFonts w:cs="Calibri"/>
                <w:b/>
                <w:bCs/>
                <w:color w:val="FFFFFF"/>
                <w:sz w:val="11"/>
                <w:szCs w:val="11"/>
              </w:rPr>
            </w:pPr>
            <w:r w:rsidRPr="00167AE0">
              <w:rPr>
                <w:rFonts w:cs="Calibri"/>
                <w:b/>
                <w:bCs/>
                <w:color w:val="FFFFFF"/>
                <w:sz w:val="11"/>
                <w:szCs w:val="11"/>
              </w:rPr>
              <w:t>POCI</w:t>
            </w:r>
          </w:p>
        </w:tc>
      </w:tr>
      <w:tr w:rsidR="00A06057" w:rsidRPr="00167AE0" w14:paraId="54E24334" w14:textId="77777777" w:rsidTr="00A06057">
        <w:trPr>
          <w:trHeight w:val="284"/>
        </w:trPr>
        <w:tc>
          <w:tcPr>
            <w:tcW w:w="2067" w:type="dxa"/>
            <w:vMerge/>
            <w:tcBorders>
              <w:top w:val="nil"/>
              <w:left w:val="nil"/>
              <w:right w:val="nil"/>
            </w:tcBorders>
            <w:vAlign w:val="center"/>
            <w:hideMark/>
          </w:tcPr>
          <w:p w14:paraId="5D75CBD2" w14:textId="77777777" w:rsidR="00167AE0" w:rsidRPr="00167AE0" w:rsidRDefault="00167AE0" w:rsidP="00167AE0">
            <w:pPr>
              <w:rPr>
                <w:rFonts w:cs="Calibri"/>
                <w:b/>
                <w:bCs/>
                <w:color w:val="FFFFFF"/>
                <w:sz w:val="11"/>
                <w:szCs w:val="11"/>
              </w:rPr>
            </w:pPr>
          </w:p>
        </w:tc>
        <w:tc>
          <w:tcPr>
            <w:tcW w:w="834" w:type="dxa"/>
            <w:vMerge/>
            <w:tcBorders>
              <w:top w:val="nil"/>
              <w:left w:val="single" w:sz="8" w:space="0" w:color="FFFFFF"/>
              <w:right w:val="single" w:sz="8" w:space="0" w:color="FFFFFF"/>
            </w:tcBorders>
            <w:vAlign w:val="center"/>
            <w:hideMark/>
          </w:tcPr>
          <w:p w14:paraId="0B193060"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60619ABB"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1B79D931"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2C8DFDCD"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5E4E6282"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0026088C"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4E2284E0"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1D50710D" w14:textId="77777777" w:rsidR="00167AE0" w:rsidRPr="00167AE0" w:rsidRDefault="00167AE0" w:rsidP="00167AE0">
            <w:pPr>
              <w:rPr>
                <w:rFonts w:cs="Calibri"/>
                <w:b/>
                <w:bCs/>
                <w:color w:val="FFFFFF"/>
                <w:sz w:val="11"/>
                <w:szCs w:val="11"/>
              </w:rPr>
            </w:pPr>
          </w:p>
        </w:tc>
        <w:tc>
          <w:tcPr>
            <w:tcW w:w="835" w:type="dxa"/>
            <w:vMerge/>
            <w:tcBorders>
              <w:top w:val="nil"/>
              <w:left w:val="single" w:sz="8" w:space="0" w:color="FFFFFF"/>
              <w:bottom w:val="single" w:sz="8" w:space="0" w:color="FFFFFF"/>
              <w:right w:val="nil"/>
            </w:tcBorders>
            <w:vAlign w:val="center"/>
            <w:hideMark/>
          </w:tcPr>
          <w:p w14:paraId="320DC243" w14:textId="77777777" w:rsidR="00167AE0" w:rsidRPr="00167AE0" w:rsidRDefault="00167AE0" w:rsidP="00167AE0">
            <w:pPr>
              <w:rPr>
                <w:rFonts w:cs="Calibri"/>
                <w:b/>
                <w:bCs/>
                <w:color w:val="FFFFFF"/>
                <w:sz w:val="11"/>
                <w:szCs w:val="11"/>
              </w:rPr>
            </w:pPr>
          </w:p>
        </w:tc>
      </w:tr>
      <w:tr w:rsidR="00A06057" w:rsidRPr="00BB7C9E" w14:paraId="68E6287B" w14:textId="77777777" w:rsidTr="00A06057">
        <w:trPr>
          <w:trHeight w:val="284"/>
        </w:trPr>
        <w:tc>
          <w:tcPr>
            <w:tcW w:w="2067" w:type="dxa"/>
            <w:tcBorders>
              <w:left w:val="nil"/>
              <w:bottom w:val="single" w:sz="8" w:space="0" w:color="0077BD"/>
              <w:right w:val="single" w:sz="8" w:space="0" w:color="0077BD"/>
            </w:tcBorders>
            <w:shd w:val="clear" w:color="auto" w:fill="auto"/>
            <w:vAlign w:val="center"/>
            <w:hideMark/>
          </w:tcPr>
          <w:p w14:paraId="78518EF8" w14:textId="77777777" w:rsidR="00167AE0" w:rsidRPr="00BB7C9E" w:rsidRDefault="00167AE0" w:rsidP="00167AE0">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834" w:type="dxa"/>
            <w:tcBorders>
              <w:left w:val="nil"/>
              <w:bottom w:val="single" w:sz="8" w:space="0" w:color="0077BD"/>
              <w:right w:val="single" w:sz="8" w:space="0" w:color="0077BD"/>
            </w:tcBorders>
            <w:shd w:val="clear" w:color="auto" w:fill="auto"/>
            <w:vAlign w:val="center"/>
            <w:hideMark/>
          </w:tcPr>
          <w:p w14:paraId="6BE6B9B3"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24 338 284</w:t>
            </w:r>
          </w:p>
        </w:tc>
        <w:tc>
          <w:tcPr>
            <w:tcW w:w="835" w:type="dxa"/>
            <w:tcBorders>
              <w:top w:val="nil"/>
              <w:left w:val="nil"/>
              <w:bottom w:val="single" w:sz="8" w:space="0" w:color="0077BD"/>
              <w:right w:val="single" w:sz="8" w:space="0" w:color="0077BD"/>
            </w:tcBorders>
            <w:shd w:val="clear" w:color="auto" w:fill="auto"/>
            <w:vAlign w:val="center"/>
            <w:hideMark/>
          </w:tcPr>
          <w:p w14:paraId="0D6F00BE"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24 321 098</w:t>
            </w:r>
          </w:p>
        </w:tc>
        <w:tc>
          <w:tcPr>
            <w:tcW w:w="835" w:type="dxa"/>
            <w:tcBorders>
              <w:top w:val="nil"/>
              <w:left w:val="nil"/>
              <w:bottom w:val="single" w:sz="8" w:space="0" w:color="0077BD"/>
              <w:right w:val="single" w:sz="8" w:space="0" w:color="0077BD"/>
            </w:tcBorders>
            <w:shd w:val="clear" w:color="auto" w:fill="auto"/>
            <w:vAlign w:val="center"/>
            <w:hideMark/>
          </w:tcPr>
          <w:p w14:paraId="767C1E1C"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21 721</w:t>
            </w:r>
          </w:p>
        </w:tc>
        <w:tc>
          <w:tcPr>
            <w:tcW w:w="835" w:type="dxa"/>
            <w:tcBorders>
              <w:top w:val="nil"/>
              <w:left w:val="nil"/>
              <w:bottom w:val="single" w:sz="8" w:space="0" w:color="0077BD"/>
              <w:right w:val="single" w:sz="8" w:space="0" w:color="0077BD"/>
            </w:tcBorders>
            <w:shd w:val="clear" w:color="auto" w:fill="auto"/>
            <w:vAlign w:val="center"/>
            <w:hideMark/>
          </w:tcPr>
          <w:p w14:paraId="129C1501"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single" w:sz="8" w:space="0" w:color="0077BD"/>
            </w:tcBorders>
            <w:shd w:val="clear" w:color="auto" w:fill="auto"/>
            <w:vAlign w:val="center"/>
            <w:hideMark/>
          </w:tcPr>
          <w:p w14:paraId="08DE9285"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single" w:sz="8" w:space="0" w:color="0077BD"/>
            </w:tcBorders>
            <w:shd w:val="clear" w:color="auto" w:fill="auto"/>
            <w:vAlign w:val="center"/>
            <w:hideMark/>
          </w:tcPr>
          <w:p w14:paraId="5DA7B2E9"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(4 171)</w:t>
            </w:r>
          </w:p>
        </w:tc>
        <w:tc>
          <w:tcPr>
            <w:tcW w:w="835" w:type="dxa"/>
            <w:tcBorders>
              <w:top w:val="nil"/>
              <w:left w:val="nil"/>
              <w:bottom w:val="single" w:sz="8" w:space="0" w:color="0077BD"/>
              <w:right w:val="single" w:sz="8" w:space="0" w:color="0077BD"/>
            </w:tcBorders>
            <w:shd w:val="clear" w:color="auto" w:fill="auto"/>
            <w:vAlign w:val="center"/>
            <w:hideMark/>
          </w:tcPr>
          <w:p w14:paraId="05877023"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(364)</w:t>
            </w:r>
          </w:p>
        </w:tc>
        <w:tc>
          <w:tcPr>
            <w:tcW w:w="835" w:type="dxa"/>
            <w:tcBorders>
              <w:top w:val="nil"/>
              <w:left w:val="nil"/>
              <w:bottom w:val="single" w:sz="8" w:space="0" w:color="0077BD"/>
              <w:right w:val="single" w:sz="8" w:space="0" w:color="0077BD"/>
            </w:tcBorders>
            <w:shd w:val="clear" w:color="auto" w:fill="auto"/>
            <w:vAlign w:val="center"/>
            <w:hideMark/>
          </w:tcPr>
          <w:p w14:paraId="37E599E0"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nil"/>
              <w:left w:val="nil"/>
              <w:bottom w:val="single" w:sz="8" w:space="0" w:color="0077BD"/>
              <w:right w:val="nil"/>
            </w:tcBorders>
            <w:shd w:val="clear" w:color="auto" w:fill="auto"/>
            <w:vAlign w:val="center"/>
            <w:hideMark/>
          </w:tcPr>
          <w:p w14:paraId="7E4CF1D3"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r>
      <w:tr w:rsidR="00A06057" w:rsidRPr="00BB7C9E" w14:paraId="16FCE1E4"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60ABE833"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 Banki centralne</w:t>
            </w:r>
          </w:p>
        </w:tc>
        <w:tc>
          <w:tcPr>
            <w:tcW w:w="834" w:type="dxa"/>
            <w:tcBorders>
              <w:top w:val="nil"/>
              <w:left w:val="nil"/>
              <w:bottom w:val="single" w:sz="4" w:space="0" w:color="0077BD"/>
              <w:right w:val="single" w:sz="8" w:space="0" w:color="0077BD"/>
            </w:tcBorders>
            <w:shd w:val="clear" w:color="auto" w:fill="auto"/>
            <w:noWrap/>
            <w:vAlign w:val="center"/>
            <w:hideMark/>
          </w:tcPr>
          <w:p w14:paraId="3DF7CD7C"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589 901</w:t>
            </w:r>
          </w:p>
        </w:tc>
        <w:tc>
          <w:tcPr>
            <w:tcW w:w="835" w:type="dxa"/>
            <w:tcBorders>
              <w:top w:val="nil"/>
              <w:left w:val="nil"/>
              <w:bottom w:val="single" w:sz="4" w:space="0" w:color="0077BD"/>
              <w:right w:val="nil"/>
            </w:tcBorders>
            <w:shd w:val="clear" w:color="auto" w:fill="auto"/>
            <w:noWrap/>
            <w:vAlign w:val="center"/>
            <w:hideMark/>
          </w:tcPr>
          <w:p w14:paraId="6692E988"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589 901</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2D15FE4B"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3FC94EB3"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28DCFF7F"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4142762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2DBB161A"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7D4BA0CF"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59651C56"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r>
      <w:tr w:rsidR="00A06057" w:rsidRPr="00BB7C9E" w14:paraId="5E2A67F6"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429AD414" w14:textId="77777777" w:rsidR="00167AE0" w:rsidRPr="00BB7C9E" w:rsidRDefault="00167AE0" w:rsidP="00CE439D">
            <w:pPr>
              <w:ind w:left="110" w:hanging="110"/>
              <w:rPr>
                <w:rFonts w:cs="Calibri"/>
                <w:color w:val="000000" w:themeColor="text1"/>
                <w:sz w:val="11"/>
                <w:szCs w:val="11"/>
              </w:rPr>
            </w:pPr>
            <w:r w:rsidRPr="00BB7C9E">
              <w:rPr>
                <w:rFonts w:cs="Calibri"/>
                <w:color w:val="000000" w:themeColor="text1"/>
                <w:sz w:val="11"/>
                <w:szCs w:val="11"/>
              </w:rPr>
              <w:t>- Sektor instytucji rządowych i samorządowych, w tym:</w:t>
            </w:r>
          </w:p>
        </w:tc>
        <w:tc>
          <w:tcPr>
            <w:tcW w:w="834" w:type="dxa"/>
            <w:tcBorders>
              <w:top w:val="nil"/>
              <w:left w:val="nil"/>
              <w:bottom w:val="single" w:sz="4" w:space="0" w:color="0077BD"/>
              <w:right w:val="single" w:sz="8" w:space="0" w:color="0077BD"/>
            </w:tcBorders>
            <w:shd w:val="clear" w:color="auto" w:fill="auto"/>
            <w:noWrap/>
            <w:vAlign w:val="center"/>
            <w:hideMark/>
          </w:tcPr>
          <w:p w14:paraId="48C6CD38"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21 287 623</w:t>
            </w:r>
          </w:p>
        </w:tc>
        <w:tc>
          <w:tcPr>
            <w:tcW w:w="835" w:type="dxa"/>
            <w:tcBorders>
              <w:top w:val="nil"/>
              <w:left w:val="nil"/>
              <w:bottom w:val="single" w:sz="4" w:space="0" w:color="0077BD"/>
              <w:right w:val="nil"/>
            </w:tcBorders>
            <w:shd w:val="clear" w:color="auto" w:fill="auto"/>
            <w:noWrap/>
            <w:vAlign w:val="center"/>
            <w:hideMark/>
          </w:tcPr>
          <w:p w14:paraId="0DBBC1E7"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21 287 701</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770A6540"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64DB3A2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49525483"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768112D5"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(78)</w:t>
            </w:r>
          </w:p>
        </w:tc>
        <w:tc>
          <w:tcPr>
            <w:tcW w:w="835" w:type="dxa"/>
            <w:tcBorders>
              <w:top w:val="nil"/>
              <w:left w:val="nil"/>
              <w:bottom w:val="single" w:sz="4" w:space="0" w:color="0077BD"/>
              <w:right w:val="single" w:sz="8" w:space="0" w:color="0077BD"/>
            </w:tcBorders>
            <w:shd w:val="clear" w:color="auto" w:fill="auto"/>
            <w:noWrap/>
            <w:vAlign w:val="center"/>
            <w:hideMark/>
          </w:tcPr>
          <w:p w14:paraId="50BC6F23"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680071FF"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74222D22"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r>
      <w:tr w:rsidR="00A06057" w:rsidRPr="00BB7C9E" w14:paraId="27284445"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1BE336E4" w14:textId="77777777" w:rsidR="00167AE0" w:rsidRPr="00BB7C9E" w:rsidRDefault="00167AE0" w:rsidP="00167AE0">
            <w:pPr>
              <w:rPr>
                <w:rFonts w:cs="Calibri"/>
                <w:i/>
                <w:iCs/>
                <w:color w:val="000000" w:themeColor="text1"/>
                <w:sz w:val="11"/>
                <w:szCs w:val="11"/>
              </w:rPr>
            </w:pPr>
            <w:r w:rsidRPr="00BB7C9E">
              <w:rPr>
                <w:rFonts w:cs="Calibri"/>
                <w:i/>
                <w:iCs/>
                <w:color w:val="000000" w:themeColor="text1"/>
                <w:sz w:val="11"/>
                <w:szCs w:val="11"/>
              </w:rPr>
              <w:t xml:space="preserve">    zastawione papiery wartościowe</w:t>
            </w:r>
          </w:p>
        </w:tc>
        <w:tc>
          <w:tcPr>
            <w:tcW w:w="834" w:type="dxa"/>
            <w:tcBorders>
              <w:top w:val="nil"/>
              <w:left w:val="nil"/>
              <w:bottom w:val="single" w:sz="4" w:space="0" w:color="0077BD"/>
              <w:right w:val="single" w:sz="8" w:space="0" w:color="0077BD"/>
            </w:tcBorders>
            <w:shd w:val="clear" w:color="auto" w:fill="auto"/>
            <w:noWrap/>
            <w:vAlign w:val="center"/>
            <w:hideMark/>
          </w:tcPr>
          <w:p w14:paraId="76BD793B"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2 207 051</w:t>
            </w:r>
          </w:p>
        </w:tc>
        <w:tc>
          <w:tcPr>
            <w:tcW w:w="835" w:type="dxa"/>
            <w:tcBorders>
              <w:top w:val="nil"/>
              <w:left w:val="nil"/>
              <w:bottom w:val="single" w:sz="4" w:space="0" w:color="0077BD"/>
              <w:right w:val="nil"/>
            </w:tcBorders>
            <w:shd w:val="clear" w:color="auto" w:fill="auto"/>
            <w:noWrap/>
            <w:vAlign w:val="center"/>
            <w:hideMark/>
          </w:tcPr>
          <w:p w14:paraId="5DE0B34F"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2 207 051</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104BC6AD"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4611A0AE"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2D4E1824"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2800EA42"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46279CE6"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78BB02DC"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3969B3EC" w14:textId="77777777" w:rsidR="00167AE0" w:rsidRPr="00BB7C9E" w:rsidRDefault="00167AE0" w:rsidP="00167AE0">
            <w:pPr>
              <w:jc w:val="right"/>
              <w:rPr>
                <w:rFonts w:cs="Calibri"/>
                <w:i/>
                <w:iCs/>
                <w:color w:val="000000" w:themeColor="text1"/>
                <w:sz w:val="11"/>
                <w:szCs w:val="11"/>
              </w:rPr>
            </w:pPr>
            <w:r w:rsidRPr="00BB7C9E">
              <w:rPr>
                <w:rFonts w:cs="Calibri"/>
                <w:i/>
                <w:iCs/>
                <w:color w:val="000000" w:themeColor="text1"/>
                <w:sz w:val="11"/>
                <w:szCs w:val="11"/>
              </w:rPr>
              <w:t>-</w:t>
            </w:r>
          </w:p>
        </w:tc>
      </w:tr>
      <w:tr w:rsidR="00A06057" w:rsidRPr="00BB7C9E" w14:paraId="42197BDD"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4ECFD53F"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 Instytucje kredytowe</w:t>
            </w:r>
          </w:p>
        </w:tc>
        <w:tc>
          <w:tcPr>
            <w:tcW w:w="834" w:type="dxa"/>
            <w:tcBorders>
              <w:top w:val="nil"/>
              <w:left w:val="nil"/>
              <w:bottom w:val="single" w:sz="4" w:space="0" w:color="0077BD"/>
              <w:right w:val="single" w:sz="8" w:space="0" w:color="0077BD"/>
            </w:tcBorders>
            <w:shd w:val="clear" w:color="auto" w:fill="auto"/>
            <w:noWrap/>
            <w:vAlign w:val="center"/>
            <w:hideMark/>
          </w:tcPr>
          <w:p w14:paraId="1634A4FC"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361 980</w:t>
            </w:r>
          </w:p>
        </w:tc>
        <w:tc>
          <w:tcPr>
            <w:tcW w:w="835" w:type="dxa"/>
            <w:tcBorders>
              <w:top w:val="nil"/>
              <w:left w:val="nil"/>
              <w:bottom w:val="single" w:sz="4" w:space="0" w:color="0077BD"/>
              <w:right w:val="nil"/>
            </w:tcBorders>
            <w:shd w:val="clear" w:color="auto" w:fill="auto"/>
            <w:noWrap/>
            <w:vAlign w:val="center"/>
            <w:hideMark/>
          </w:tcPr>
          <w:p w14:paraId="7CAA1BE1"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363 632</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24FC79C1"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04D7B410"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62238035"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06FA6C8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(1 652)</w:t>
            </w:r>
          </w:p>
        </w:tc>
        <w:tc>
          <w:tcPr>
            <w:tcW w:w="835" w:type="dxa"/>
            <w:tcBorders>
              <w:top w:val="nil"/>
              <w:left w:val="nil"/>
              <w:bottom w:val="single" w:sz="4" w:space="0" w:color="0077BD"/>
              <w:right w:val="single" w:sz="8" w:space="0" w:color="0077BD"/>
            </w:tcBorders>
            <w:shd w:val="clear" w:color="auto" w:fill="auto"/>
            <w:noWrap/>
            <w:vAlign w:val="center"/>
            <w:hideMark/>
          </w:tcPr>
          <w:p w14:paraId="5021AFB6"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375EB5F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47772D81"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r>
      <w:tr w:rsidR="00A06057" w:rsidRPr="00BB7C9E" w14:paraId="1DE58853"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66B1AA7E"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 Inne instytucje finansowe</w:t>
            </w:r>
          </w:p>
        </w:tc>
        <w:tc>
          <w:tcPr>
            <w:tcW w:w="834" w:type="dxa"/>
            <w:tcBorders>
              <w:top w:val="nil"/>
              <w:left w:val="nil"/>
              <w:bottom w:val="single" w:sz="4" w:space="0" w:color="0077BD"/>
              <w:right w:val="single" w:sz="8" w:space="0" w:color="0077BD"/>
            </w:tcBorders>
            <w:shd w:val="clear" w:color="auto" w:fill="auto"/>
            <w:noWrap/>
            <w:vAlign w:val="center"/>
            <w:hideMark/>
          </w:tcPr>
          <w:p w14:paraId="48E6A27A"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1 488 643</w:t>
            </w:r>
          </w:p>
        </w:tc>
        <w:tc>
          <w:tcPr>
            <w:tcW w:w="835" w:type="dxa"/>
            <w:tcBorders>
              <w:top w:val="nil"/>
              <w:left w:val="nil"/>
              <w:bottom w:val="single" w:sz="4" w:space="0" w:color="0077BD"/>
              <w:right w:val="nil"/>
            </w:tcBorders>
            <w:shd w:val="clear" w:color="auto" w:fill="auto"/>
            <w:noWrap/>
            <w:vAlign w:val="center"/>
            <w:hideMark/>
          </w:tcPr>
          <w:p w14:paraId="52F4021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1 478 557</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76009859"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11 333</w:t>
            </w:r>
          </w:p>
        </w:tc>
        <w:tc>
          <w:tcPr>
            <w:tcW w:w="835" w:type="dxa"/>
            <w:tcBorders>
              <w:top w:val="nil"/>
              <w:left w:val="nil"/>
              <w:bottom w:val="single" w:sz="4" w:space="0" w:color="0077BD"/>
              <w:right w:val="single" w:sz="8" w:space="0" w:color="0077BD"/>
            </w:tcBorders>
            <w:shd w:val="clear" w:color="auto" w:fill="auto"/>
            <w:noWrap/>
            <w:vAlign w:val="center"/>
            <w:hideMark/>
          </w:tcPr>
          <w:p w14:paraId="0FE17B6E"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5848F06B"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013C2153"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(1 059)</w:t>
            </w:r>
          </w:p>
        </w:tc>
        <w:tc>
          <w:tcPr>
            <w:tcW w:w="835" w:type="dxa"/>
            <w:tcBorders>
              <w:top w:val="nil"/>
              <w:left w:val="nil"/>
              <w:bottom w:val="single" w:sz="4" w:space="0" w:color="0077BD"/>
              <w:right w:val="single" w:sz="8" w:space="0" w:color="0077BD"/>
            </w:tcBorders>
            <w:shd w:val="clear" w:color="auto" w:fill="auto"/>
            <w:noWrap/>
            <w:vAlign w:val="center"/>
            <w:hideMark/>
          </w:tcPr>
          <w:p w14:paraId="7AD72891"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(188)</w:t>
            </w:r>
          </w:p>
        </w:tc>
        <w:tc>
          <w:tcPr>
            <w:tcW w:w="835" w:type="dxa"/>
            <w:tcBorders>
              <w:top w:val="nil"/>
              <w:left w:val="nil"/>
              <w:bottom w:val="single" w:sz="4" w:space="0" w:color="0077BD"/>
              <w:right w:val="single" w:sz="8" w:space="0" w:color="0077BD"/>
            </w:tcBorders>
            <w:shd w:val="clear" w:color="auto" w:fill="auto"/>
            <w:noWrap/>
            <w:vAlign w:val="center"/>
            <w:hideMark/>
          </w:tcPr>
          <w:p w14:paraId="2B3C447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421AEC3C"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r>
      <w:tr w:rsidR="00A06057" w:rsidRPr="00BB7C9E" w14:paraId="55095C00" w14:textId="77777777" w:rsidTr="00A06057">
        <w:trPr>
          <w:trHeight w:val="284"/>
        </w:trPr>
        <w:tc>
          <w:tcPr>
            <w:tcW w:w="2067" w:type="dxa"/>
            <w:tcBorders>
              <w:top w:val="nil"/>
              <w:left w:val="nil"/>
              <w:bottom w:val="single" w:sz="4" w:space="0" w:color="0077BD"/>
              <w:right w:val="single" w:sz="8" w:space="0" w:color="0077BD"/>
            </w:tcBorders>
            <w:shd w:val="clear" w:color="auto" w:fill="auto"/>
            <w:vAlign w:val="center"/>
            <w:hideMark/>
          </w:tcPr>
          <w:p w14:paraId="09AB996B"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 Przedsiębiorstwa niefinansowe</w:t>
            </w:r>
          </w:p>
        </w:tc>
        <w:tc>
          <w:tcPr>
            <w:tcW w:w="834" w:type="dxa"/>
            <w:tcBorders>
              <w:top w:val="nil"/>
              <w:left w:val="nil"/>
              <w:bottom w:val="single" w:sz="4" w:space="0" w:color="0077BD"/>
              <w:right w:val="single" w:sz="8" w:space="0" w:color="0077BD"/>
            </w:tcBorders>
            <w:shd w:val="clear" w:color="auto" w:fill="auto"/>
            <w:noWrap/>
            <w:vAlign w:val="center"/>
            <w:hideMark/>
          </w:tcPr>
          <w:p w14:paraId="1729595E"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610 137</w:t>
            </w:r>
          </w:p>
        </w:tc>
        <w:tc>
          <w:tcPr>
            <w:tcW w:w="835" w:type="dxa"/>
            <w:tcBorders>
              <w:top w:val="nil"/>
              <w:left w:val="nil"/>
              <w:bottom w:val="single" w:sz="4" w:space="0" w:color="0077BD"/>
              <w:right w:val="nil"/>
            </w:tcBorders>
            <w:shd w:val="clear" w:color="auto" w:fill="auto"/>
            <w:noWrap/>
            <w:vAlign w:val="center"/>
            <w:hideMark/>
          </w:tcPr>
          <w:p w14:paraId="2856272B"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601 307</w:t>
            </w:r>
          </w:p>
        </w:tc>
        <w:tc>
          <w:tcPr>
            <w:tcW w:w="835" w:type="dxa"/>
            <w:tcBorders>
              <w:top w:val="nil"/>
              <w:left w:val="single" w:sz="8" w:space="0" w:color="0077BD"/>
              <w:bottom w:val="single" w:sz="4" w:space="0" w:color="0077BD"/>
              <w:right w:val="single" w:sz="8" w:space="0" w:color="0077BD"/>
            </w:tcBorders>
            <w:shd w:val="clear" w:color="auto" w:fill="auto"/>
            <w:noWrap/>
            <w:vAlign w:val="center"/>
            <w:hideMark/>
          </w:tcPr>
          <w:p w14:paraId="0C29630F"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10 388</w:t>
            </w:r>
          </w:p>
        </w:tc>
        <w:tc>
          <w:tcPr>
            <w:tcW w:w="835" w:type="dxa"/>
            <w:tcBorders>
              <w:top w:val="nil"/>
              <w:left w:val="nil"/>
              <w:bottom w:val="single" w:sz="4" w:space="0" w:color="0077BD"/>
              <w:right w:val="single" w:sz="8" w:space="0" w:color="0077BD"/>
            </w:tcBorders>
            <w:shd w:val="clear" w:color="auto" w:fill="auto"/>
            <w:noWrap/>
            <w:vAlign w:val="center"/>
            <w:hideMark/>
          </w:tcPr>
          <w:p w14:paraId="2AC9E009"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1DA48BD8"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single" w:sz="8" w:space="0" w:color="0077BD"/>
            </w:tcBorders>
            <w:shd w:val="clear" w:color="auto" w:fill="auto"/>
            <w:noWrap/>
            <w:vAlign w:val="center"/>
            <w:hideMark/>
          </w:tcPr>
          <w:p w14:paraId="4C959763"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(1 382)</w:t>
            </w:r>
          </w:p>
        </w:tc>
        <w:tc>
          <w:tcPr>
            <w:tcW w:w="835" w:type="dxa"/>
            <w:tcBorders>
              <w:top w:val="nil"/>
              <w:left w:val="nil"/>
              <w:bottom w:val="single" w:sz="4" w:space="0" w:color="0077BD"/>
              <w:right w:val="single" w:sz="8" w:space="0" w:color="0077BD"/>
            </w:tcBorders>
            <w:shd w:val="clear" w:color="auto" w:fill="auto"/>
            <w:noWrap/>
            <w:vAlign w:val="center"/>
            <w:hideMark/>
          </w:tcPr>
          <w:p w14:paraId="21DD9A77"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(176)</w:t>
            </w:r>
          </w:p>
        </w:tc>
        <w:tc>
          <w:tcPr>
            <w:tcW w:w="835" w:type="dxa"/>
            <w:tcBorders>
              <w:top w:val="nil"/>
              <w:left w:val="nil"/>
              <w:bottom w:val="single" w:sz="4" w:space="0" w:color="0077BD"/>
              <w:right w:val="single" w:sz="8" w:space="0" w:color="0077BD"/>
            </w:tcBorders>
            <w:shd w:val="clear" w:color="auto" w:fill="auto"/>
            <w:noWrap/>
            <w:vAlign w:val="center"/>
            <w:hideMark/>
          </w:tcPr>
          <w:p w14:paraId="4D7B977A"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c>
          <w:tcPr>
            <w:tcW w:w="835" w:type="dxa"/>
            <w:tcBorders>
              <w:top w:val="nil"/>
              <w:left w:val="nil"/>
              <w:bottom w:val="single" w:sz="4" w:space="0" w:color="0077BD"/>
              <w:right w:val="nil"/>
            </w:tcBorders>
            <w:shd w:val="clear" w:color="auto" w:fill="auto"/>
            <w:noWrap/>
            <w:vAlign w:val="center"/>
            <w:hideMark/>
          </w:tcPr>
          <w:p w14:paraId="196F11C4"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w:t>
            </w:r>
          </w:p>
        </w:tc>
      </w:tr>
      <w:tr w:rsidR="00A06057" w:rsidRPr="00BB7C9E" w14:paraId="510F0A25" w14:textId="77777777" w:rsidTr="00A06057">
        <w:trPr>
          <w:trHeight w:val="284"/>
        </w:trPr>
        <w:tc>
          <w:tcPr>
            <w:tcW w:w="2067" w:type="dxa"/>
            <w:tcBorders>
              <w:top w:val="single" w:sz="8" w:space="0" w:color="0077BD"/>
              <w:left w:val="nil"/>
              <w:bottom w:val="single" w:sz="8" w:space="0" w:color="0077BD"/>
              <w:right w:val="single" w:sz="8" w:space="0" w:color="0077BD"/>
            </w:tcBorders>
            <w:shd w:val="clear" w:color="auto" w:fill="auto"/>
            <w:vAlign w:val="center"/>
            <w:hideMark/>
          </w:tcPr>
          <w:p w14:paraId="3B85F56D" w14:textId="77777777" w:rsidR="00167AE0" w:rsidRPr="00BB7C9E" w:rsidRDefault="00167AE0" w:rsidP="00167AE0">
            <w:pPr>
              <w:rPr>
                <w:rFonts w:cs="Calibri"/>
                <w:b/>
                <w:bCs/>
                <w:color w:val="000000" w:themeColor="text1"/>
                <w:sz w:val="11"/>
                <w:szCs w:val="11"/>
              </w:rPr>
            </w:pPr>
            <w:r w:rsidRPr="00BB7C9E">
              <w:rPr>
                <w:rFonts w:cs="Calibri"/>
                <w:b/>
                <w:bCs/>
                <w:color w:val="000000" w:themeColor="text1"/>
                <w:sz w:val="11"/>
                <w:szCs w:val="11"/>
              </w:rPr>
              <w:t>Aktywa finansowe wyceniane w wartości godziwej przez pozostałe całkowite dochody, razem</w:t>
            </w:r>
          </w:p>
        </w:tc>
        <w:tc>
          <w:tcPr>
            <w:tcW w:w="834" w:type="dxa"/>
            <w:tcBorders>
              <w:top w:val="single" w:sz="8" w:space="0" w:color="0077BD"/>
              <w:left w:val="nil"/>
              <w:bottom w:val="single" w:sz="8" w:space="0" w:color="0077BD"/>
              <w:right w:val="single" w:sz="8" w:space="0" w:color="0077BD"/>
            </w:tcBorders>
            <w:shd w:val="clear" w:color="auto" w:fill="auto"/>
            <w:noWrap/>
            <w:vAlign w:val="center"/>
            <w:hideMark/>
          </w:tcPr>
          <w:p w14:paraId="1D251FBB"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24 338 284</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343F0733"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24 321 098</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71040731"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21 721</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4294D092"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62124EEC"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736AA46C"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(4 171)</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5D32CAA1"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(364)</w:t>
            </w:r>
          </w:p>
        </w:tc>
        <w:tc>
          <w:tcPr>
            <w:tcW w:w="835" w:type="dxa"/>
            <w:tcBorders>
              <w:top w:val="single" w:sz="8" w:space="0" w:color="0077BD"/>
              <w:left w:val="nil"/>
              <w:bottom w:val="single" w:sz="8" w:space="0" w:color="0077BD"/>
              <w:right w:val="single" w:sz="8" w:space="0" w:color="0077BD"/>
            </w:tcBorders>
            <w:shd w:val="clear" w:color="auto" w:fill="auto"/>
            <w:noWrap/>
            <w:vAlign w:val="center"/>
            <w:hideMark/>
          </w:tcPr>
          <w:p w14:paraId="00946506"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c>
          <w:tcPr>
            <w:tcW w:w="835" w:type="dxa"/>
            <w:tcBorders>
              <w:top w:val="single" w:sz="8" w:space="0" w:color="0077BD"/>
              <w:left w:val="nil"/>
              <w:bottom w:val="single" w:sz="8" w:space="0" w:color="0077BD"/>
              <w:right w:val="nil"/>
            </w:tcBorders>
            <w:shd w:val="clear" w:color="auto" w:fill="auto"/>
            <w:noWrap/>
            <w:vAlign w:val="center"/>
            <w:hideMark/>
          </w:tcPr>
          <w:p w14:paraId="57F4452F" w14:textId="77777777" w:rsidR="00167AE0" w:rsidRPr="00BB7C9E" w:rsidRDefault="00167AE0" w:rsidP="00167AE0">
            <w:pPr>
              <w:jc w:val="right"/>
              <w:rPr>
                <w:rFonts w:cs="Calibri"/>
                <w:b/>
                <w:bCs/>
                <w:color w:val="000000" w:themeColor="text1"/>
                <w:sz w:val="11"/>
                <w:szCs w:val="11"/>
              </w:rPr>
            </w:pPr>
            <w:r w:rsidRPr="00BB7C9E">
              <w:rPr>
                <w:rFonts w:cs="Calibri"/>
                <w:b/>
                <w:bCs/>
                <w:color w:val="000000" w:themeColor="text1"/>
                <w:sz w:val="11"/>
                <w:szCs w:val="11"/>
              </w:rPr>
              <w:t>-</w:t>
            </w:r>
          </w:p>
        </w:tc>
      </w:tr>
      <w:tr w:rsidR="00A06057" w:rsidRPr="00BB7C9E" w14:paraId="43FFD4AE" w14:textId="77777777" w:rsidTr="00C862FD">
        <w:trPr>
          <w:trHeight w:val="20"/>
        </w:trPr>
        <w:tc>
          <w:tcPr>
            <w:tcW w:w="2067" w:type="dxa"/>
            <w:tcBorders>
              <w:top w:val="nil"/>
              <w:left w:val="nil"/>
              <w:bottom w:val="nil"/>
              <w:right w:val="nil"/>
            </w:tcBorders>
            <w:shd w:val="clear" w:color="000000" w:fill="FFFFFF"/>
            <w:vAlign w:val="center"/>
          </w:tcPr>
          <w:p w14:paraId="49050C3A" w14:textId="44695813" w:rsidR="00167AE0" w:rsidRPr="00BB7C9E" w:rsidRDefault="00167AE0" w:rsidP="00167AE0">
            <w:pPr>
              <w:rPr>
                <w:rFonts w:cs="Calibri"/>
                <w:color w:val="000000" w:themeColor="text1"/>
                <w:sz w:val="11"/>
                <w:szCs w:val="11"/>
              </w:rPr>
            </w:pPr>
          </w:p>
        </w:tc>
        <w:tc>
          <w:tcPr>
            <w:tcW w:w="834" w:type="dxa"/>
            <w:tcBorders>
              <w:top w:val="nil"/>
              <w:left w:val="nil"/>
              <w:bottom w:val="nil"/>
              <w:right w:val="nil"/>
            </w:tcBorders>
            <w:shd w:val="clear" w:color="000000" w:fill="FFFFFF"/>
            <w:vAlign w:val="center"/>
          </w:tcPr>
          <w:p w14:paraId="61B2DE4A" w14:textId="0AA704A1"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vAlign w:val="center"/>
          </w:tcPr>
          <w:p w14:paraId="2606B931" w14:textId="2C3865D2"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6AFB4D63" w14:textId="32FCC4F8"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5D4BED5" w14:textId="0BA0CD9D"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0DA9D290" w14:textId="10363BCC"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6FFA857" w14:textId="6732500F"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58E9FD20" w14:textId="2C7387ED"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23A0A791" w14:textId="4D5AB8E2"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65493194" w14:textId="3E11D665" w:rsidR="00167AE0" w:rsidRPr="00BB7C9E" w:rsidRDefault="00167AE0" w:rsidP="00167AE0">
            <w:pPr>
              <w:rPr>
                <w:rFonts w:cs="Calibri"/>
                <w:color w:val="000000" w:themeColor="text1"/>
                <w:sz w:val="11"/>
                <w:szCs w:val="11"/>
              </w:rPr>
            </w:pPr>
          </w:p>
        </w:tc>
      </w:tr>
      <w:tr w:rsidR="00A06057" w:rsidRPr="00BB7C9E" w14:paraId="3878365A" w14:textId="77777777" w:rsidTr="00C862FD">
        <w:trPr>
          <w:trHeight w:val="284"/>
        </w:trPr>
        <w:tc>
          <w:tcPr>
            <w:tcW w:w="2067" w:type="dxa"/>
            <w:tcBorders>
              <w:top w:val="single" w:sz="8" w:space="0" w:color="0077BD"/>
              <w:left w:val="nil"/>
              <w:bottom w:val="single" w:sz="8" w:space="0" w:color="0077BD"/>
              <w:right w:val="single" w:sz="8" w:space="0" w:color="0077BD"/>
            </w:tcBorders>
            <w:shd w:val="clear" w:color="auto" w:fill="auto"/>
            <w:vAlign w:val="center"/>
            <w:hideMark/>
          </w:tcPr>
          <w:p w14:paraId="488EEFDA"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Krótkoterminowe (do 1 roku) brutto</w:t>
            </w:r>
          </w:p>
        </w:tc>
        <w:tc>
          <w:tcPr>
            <w:tcW w:w="834" w:type="dxa"/>
            <w:tcBorders>
              <w:top w:val="single" w:sz="8" w:space="0" w:color="0077BD"/>
              <w:left w:val="nil"/>
              <w:bottom w:val="single" w:sz="8" w:space="0" w:color="0077BD"/>
              <w:right w:val="nil"/>
            </w:tcBorders>
            <w:shd w:val="clear" w:color="auto" w:fill="auto"/>
            <w:vAlign w:val="center"/>
            <w:hideMark/>
          </w:tcPr>
          <w:p w14:paraId="2E945377"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6 694 165</w:t>
            </w:r>
          </w:p>
        </w:tc>
        <w:tc>
          <w:tcPr>
            <w:tcW w:w="835" w:type="dxa"/>
            <w:tcBorders>
              <w:top w:val="nil"/>
              <w:left w:val="nil"/>
              <w:bottom w:val="nil"/>
              <w:right w:val="nil"/>
            </w:tcBorders>
            <w:shd w:val="clear" w:color="000000" w:fill="FFFFFF"/>
            <w:vAlign w:val="center"/>
            <w:hideMark/>
          </w:tcPr>
          <w:p w14:paraId="0B52CAD5" w14:textId="17FAB375"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023C159D" w14:textId="11D7971C"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5615DF68" w14:textId="254CE41B"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20287B8B" w14:textId="503F3E7B"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C18370C" w14:textId="6F20969F"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5804A000" w14:textId="5AC91467"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447AF545" w14:textId="4A989641" w:rsidR="00167AE0" w:rsidRPr="00BB7C9E" w:rsidRDefault="00167AE0" w:rsidP="00167AE0">
            <w:pPr>
              <w:rPr>
                <w:rFonts w:cs="Calibri"/>
                <w:color w:val="000000" w:themeColor="text1"/>
                <w:sz w:val="11"/>
                <w:szCs w:val="11"/>
              </w:rPr>
            </w:pPr>
          </w:p>
        </w:tc>
        <w:tc>
          <w:tcPr>
            <w:tcW w:w="835" w:type="dxa"/>
            <w:tcBorders>
              <w:top w:val="nil"/>
              <w:left w:val="nil"/>
              <w:bottom w:val="nil"/>
              <w:right w:val="nil"/>
            </w:tcBorders>
            <w:shd w:val="clear" w:color="000000" w:fill="FFFFFF"/>
            <w:noWrap/>
            <w:vAlign w:val="center"/>
          </w:tcPr>
          <w:p w14:paraId="3C2026AB" w14:textId="261D3C21" w:rsidR="00167AE0" w:rsidRPr="00BB7C9E" w:rsidRDefault="00167AE0" w:rsidP="00167AE0">
            <w:pPr>
              <w:rPr>
                <w:rFonts w:cs="Calibri"/>
                <w:color w:val="000000" w:themeColor="text1"/>
                <w:sz w:val="11"/>
                <w:szCs w:val="11"/>
              </w:rPr>
            </w:pPr>
          </w:p>
        </w:tc>
      </w:tr>
      <w:tr w:rsidR="00A06057" w:rsidRPr="00BB7C9E" w14:paraId="101961D1" w14:textId="77777777" w:rsidTr="00C862FD">
        <w:trPr>
          <w:trHeight w:val="284"/>
        </w:trPr>
        <w:tc>
          <w:tcPr>
            <w:tcW w:w="2067" w:type="dxa"/>
            <w:tcBorders>
              <w:top w:val="nil"/>
              <w:left w:val="nil"/>
              <w:bottom w:val="single" w:sz="8" w:space="0" w:color="0077BD"/>
              <w:right w:val="single" w:sz="8" w:space="0" w:color="0077BD"/>
            </w:tcBorders>
            <w:shd w:val="clear" w:color="auto" w:fill="auto"/>
            <w:vAlign w:val="center"/>
            <w:hideMark/>
          </w:tcPr>
          <w:p w14:paraId="76C9F86D" w14:textId="77777777" w:rsidR="00167AE0" w:rsidRPr="00BB7C9E" w:rsidRDefault="00167AE0" w:rsidP="00167AE0">
            <w:pPr>
              <w:rPr>
                <w:rFonts w:cs="Calibri"/>
                <w:color w:val="000000" w:themeColor="text1"/>
                <w:sz w:val="11"/>
                <w:szCs w:val="11"/>
              </w:rPr>
            </w:pPr>
            <w:r w:rsidRPr="00BB7C9E">
              <w:rPr>
                <w:rFonts w:cs="Calibri"/>
                <w:color w:val="000000" w:themeColor="text1"/>
                <w:sz w:val="11"/>
                <w:szCs w:val="11"/>
              </w:rPr>
              <w:t>Długoterminowe (ponad 1 rok) brutto</w:t>
            </w:r>
          </w:p>
        </w:tc>
        <w:tc>
          <w:tcPr>
            <w:tcW w:w="834" w:type="dxa"/>
            <w:tcBorders>
              <w:top w:val="nil"/>
              <w:left w:val="nil"/>
              <w:bottom w:val="single" w:sz="8" w:space="0" w:color="0077BD"/>
              <w:right w:val="nil"/>
            </w:tcBorders>
            <w:shd w:val="clear" w:color="auto" w:fill="auto"/>
            <w:vAlign w:val="center"/>
            <w:hideMark/>
          </w:tcPr>
          <w:p w14:paraId="3D4C76B8" w14:textId="77777777" w:rsidR="00167AE0" w:rsidRPr="00BB7C9E" w:rsidRDefault="00167AE0" w:rsidP="00167AE0">
            <w:pPr>
              <w:jc w:val="right"/>
              <w:rPr>
                <w:rFonts w:cs="Calibri"/>
                <w:color w:val="000000" w:themeColor="text1"/>
                <w:sz w:val="11"/>
                <w:szCs w:val="11"/>
              </w:rPr>
            </w:pPr>
            <w:r w:rsidRPr="00BB7C9E">
              <w:rPr>
                <w:rFonts w:cs="Calibri"/>
                <w:color w:val="000000" w:themeColor="text1"/>
                <w:sz w:val="11"/>
                <w:szCs w:val="11"/>
              </w:rPr>
              <w:t>17 648 654</w:t>
            </w:r>
          </w:p>
        </w:tc>
        <w:tc>
          <w:tcPr>
            <w:tcW w:w="835" w:type="dxa"/>
            <w:tcBorders>
              <w:top w:val="nil"/>
              <w:left w:val="nil"/>
              <w:bottom w:val="nil"/>
              <w:right w:val="nil"/>
            </w:tcBorders>
            <w:shd w:val="clear" w:color="auto" w:fill="auto"/>
            <w:noWrap/>
            <w:vAlign w:val="bottom"/>
            <w:hideMark/>
          </w:tcPr>
          <w:p w14:paraId="397333E8" w14:textId="77777777" w:rsidR="00167AE0" w:rsidRPr="00BB7C9E" w:rsidRDefault="00167AE0" w:rsidP="00167AE0">
            <w:pPr>
              <w:jc w:val="right"/>
              <w:rPr>
                <w:rFonts w:cs="Calibri"/>
                <w:color w:val="000000" w:themeColor="text1"/>
                <w:sz w:val="11"/>
                <w:szCs w:val="11"/>
              </w:rPr>
            </w:pPr>
          </w:p>
        </w:tc>
        <w:tc>
          <w:tcPr>
            <w:tcW w:w="835" w:type="dxa"/>
            <w:tcBorders>
              <w:top w:val="nil"/>
              <w:left w:val="nil"/>
              <w:bottom w:val="nil"/>
              <w:right w:val="nil"/>
            </w:tcBorders>
            <w:shd w:val="clear" w:color="auto" w:fill="auto"/>
            <w:noWrap/>
            <w:vAlign w:val="bottom"/>
          </w:tcPr>
          <w:p w14:paraId="139B1490"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3F70A484"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5F642B60"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20E0F065"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70732975"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0D0A5462" w14:textId="77777777" w:rsidR="00167AE0" w:rsidRPr="00BB7C9E" w:rsidRDefault="00167AE0" w:rsidP="00167AE0">
            <w:pPr>
              <w:rPr>
                <w:color w:val="000000" w:themeColor="text1"/>
                <w:sz w:val="11"/>
                <w:szCs w:val="11"/>
              </w:rPr>
            </w:pPr>
          </w:p>
        </w:tc>
        <w:tc>
          <w:tcPr>
            <w:tcW w:w="835" w:type="dxa"/>
            <w:tcBorders>
              <w:top w:val="nil"/>
              <w:left w:val="nil"/>
              <w:bottom w:val="nil"/>
              <w:right w:val="nil"/>
            </w:tcBorders>
            <w:shd w:val="clear" w:color="auto" w:fill="auto"/>
            <w:noWrap/>
            <w:vAlign w:val="bottom"/>
          </w:tcPr>
          <w:p w14:paraId="6053F636" w14:textId="77777777" w:rsidR="00167AE0" w:rsidRPr="00BB7C9E" w:rsidRDefault="00167AE0" w:rsidP="00167AE0">
            <w:pPr>
              <w:rPr>
                <w:color w:val="000000" w:themeColor="text1"/>
                <w:sz w:val="11"/>
                <w:szCs w:val="11"/>
              </w:rPr>
            </w:pPr>
          </w:p>
        </w:tc>
      </w:tr>
    </w:tbl>
    <w:p w14:paraId="0231F820" w14:textId="345B3EAE" w:rsidR="000D4FE8" w:rsidRPr="00DA05E8" w:rsidRDefault="00983BEE" w:rsidP="000D4FE8">
      <w:pPr>
        <w:spacing w:before="120"/>
        <w:jc w:val="both"/>
        <w:rPr>
          <w:rFonts w:cs="Tahoma"/>
          <w:color w:val="000000" w:themeColor="text1"/>
          <w:sz w:val="18"/>
          <w:szCs w:val="18"/>
        </w:rPr>
      </w:pPr>
      <w:r w:rsidRPr="00DA05E8">
        <w:rPr>
          <w:rFonts w:cs="Tahoma"/>
          <w:color w:val="000000" w:themeColor="text1"/>
          <w:sz w:val="18"/>
          <w:szCs w:val="18"/>
        </w:rPr>
        <w:t xml:space="preserve">Na dzień 31 grudnia </w:t>
      </w:r>
      <w:r w:rsidR="00A06057" w:rsidRPr="00DA05E8">
        <w:rPr>
          <w:rFonts w:cs="Tahoma"/>
          <w:color w:val="000000" w:themeColor="text1"/>
          <w:sz w:val="18"/>
          <w:szCs w:val="18"/>
        </w:rPr>
        <w:t>2019 roku w</w:t>
      </w:r>
      <w:r w:rsidR="000D4FE8" w:rsidRPr="00DA05E8">
        <w:rPr>
          <w:rFonts w:cs="Tahoma"/>
          <w:color w:val="000000" w:themeColor="text1"/>
          <w:sz w:val="18"/>
          <w:szCs w:val="18"/>
        </w:rPr>
        <w:t>artość bilansowa</w:t>
      </w:r>
      <w:r w:rsidR="0076552E" w:rsidRPr="00DA05E8">
        <w:rPr>
          <w:rFonts w:cs="Tahoma"/>
          <w:color w:val="000000" w:themeColor="text1"/>
          <w:sz w:val="18"/>
          <w:szCs w:val="18"/>
        </w:rPr>
        <w:t xml:space="preserve"> brutto</w:t>
      </w:r>
      <w:r w:rsidR="000D4FE8" w:rsidRPr="00DA05E8">
        <w:rPr>
          <w:rFonts w:cs="Tahoma"/>
          <w:color w:val="000000" w:themeColor="text1"/>
          <w:sz w:val="18"/>
          <w:szCs w:val="18"/>
        </w:rPr>
        <w:t xml:space="preserve"> dłużnych papierów wartościowych opartych na</w:t>
      </w:r>
      <w:r w:rsidR="006F1146">
        <w:rPr>
          <w:rFonts w:cs="Tahoma"/>
          <w:color w:val="000000" w:themeColor="text1"/>
          <w:sz w:val="18"/>
          <w:szCs w:val="18"/>
        </w:rPr>
        <w:t> </w:t>
      </w:r>
      <w:r w:rsidR="000D4FE8" w:rsidRPr="00DA05E8">
        <w:rPr>
          <w:rFonts w:cs="Tahoma"/>
          <w:color w:val="000000" w:themeColor="text1"/>
          <w:sz w:val="18"/>
          <w:szCs w:val="18"/>
        </w:rPr>
        <w:t xml:space="preserve">stałej stopie procentowej wynosiła </w:t>
      </w:r>
      <w:r w:rsidR="00DA05E8" w:rsidRPr="00DA05E8">
        <w:rPr>
          <w:rFonts w:cs="Tahoma"/>
          <w:color w:val="000000" w:themeColor="text1"/>
          <w:sz w:val="18"/>
          <w:szCs w:val="18"/>
        </w:rPr>
        <w:t>11 974 479</w:t>
      </w:r>
      <w:r w:rsidR="00DA05E8" w:rsidRPr="00C276D2">
        <w:rPr>
          <w:rFonts w:cs="Tahoma"/>
          <w:color w:val="000000" w:themeColor="text1"/>
          <w:sz w:val="18"/>
          <w:szCs w:val="18"/>
        </w:rPr>
        <w:t xml:space="preserve"> </w:t>
      </w:r>
      <w:r w:rsidR="00A06057" w:rsidRPr="00C276D2">
        <w:rPr>
          <w:rFonts w:cs="Tahoma"/>
          <w:color w:val="000000" w:themeColor="text1"/>
          <w:sz w:val="18"/>
          <w:szCs w:val="18"/>
        </w:rPr>
        <w:t>tys</w:t>
      </w:r>
      <w:r w:rsidR="00A06057" w:rsidRPr="00DA05E8">
        <w:rPr>
          <w:rFonts w:cs="Tahoma"/>
          <w:color w:val="000000" w:themeColor="text1"/>
          <w:sz w:val="18"/>
          <w:szCs w:val="18"/>
        </w:rPr>
        <w:t xml:space="preserve">. zł natomiast opartych na stopie zmiennej </w:t>
      </w:r>
      <w:r w:rsidR="00DA05E8" w:rsidRPr="00C276D2">
        <w:rPr>
          <w:rFonts w:cs="Tahoma"/>
          <w:color w:val="000000" w:themeColor="text1"/>
          <w:sz w:val="18"/>
          <w:szCs w:val="18"/>
        </w:rPr>
        <w:t>10 803 804 </w:t>
      </w:r>
      <w:r w:rsidR="00A06057" w:rsidRPr="00DA05E8">
        <w:rPr>
          <w:rFonts w:cs="Tahoma"/>
          <w:color w:val="000000" w:themeColor="text1"/>
          <w:sz w:val="18"/>
          <w:szCs w:val="18"/>
        </w:rPr>
        <w:t>tys. zł (</w:t>
      </w:r>
      <w:r w:rsidR="00AC25CE">
        <w:rPr>
          <w:rFonts w:cs="Tahoma"/>
          <w:color w:val="000000" w:themeColor="text1"/>
          <w:sz w:val="18"/>
          <w:szCs w:val="18"/>
        </w:rPr>
        <w:t>31 grudnia 2018 roku</w:t>
      </w:r>
      <w:r w:rsidR="000D4FE8" w:rsidRPr="00DA05E8">
        <w:rPr>
          <w:rFonts w:cs="Tahoma"/>
          <w:color w:val="000000" w:themeColor="text1"/>
          <w:sz w:val="18"/>
          <w:szCs w:val="18"/>
        </w:rPr>
        <w:t xml:space="preserve"> </w:t>
      </w:r>
      <w:r w:rsidR="00A06057" w:rsidRPr="00DA05E8">
        <w:rPr>
          <w:rFonts w:cs="Tahoma"/>
          <w:color w:val="000000" w:themeColor="text1"/>
          <w:sz w:val="18"/>
          <w:szCs w:val="18"/>
        </w:rPr>
        <w:t xml:space="preserve">odpowiednio: </w:t>
      </w:r>
      <w:r w:rsidR="00CF61AA" w:rsidRPr="00C276D2">
        <w:rPr>
          <w:rFonts w:cs="Tahoma"/>
          <w:color w:val="000000" w:themeColor="text1"/>
          <w:sz w:val="18"/>
          <w:szCs w:val="18"/>
        </w:rPr>
        <w:t>13 140 147</w:t>
      </w:r>
      <w:r w:rsidR="00A06057" w:rsidRPr="00C276D2">
        <w:rPr>
          <w:rFonts w:cs="Tahoma"/>
          <w:color w:val="000000" w:themeColor="text1"/>
          <w:sz w:val="18"/>
          <w:szCs w:val="18"/>
        </w:rPr>
        <w:t xml:space="preserve"> tys. zł i </w:t>
      </w:r>
      <w:r w:rsidR="00CF61AA" w:rsidRPr="00C276D2">
        <w:rPr>
          <w:rFonts w:cs="Tahoma"/>
          <w:color w:val="000000" w:themeColor="text1"/>
          <w:sz w:val="18"/>
          <w:szCs w:val="18"/>
        </w:rPr>
        <w:t>11</w:t>
      </w:r>
      <w:r w:rsidR="00CF61AA" w:rsidRPr="00DA05E8">
        <w:rPr>
          <w:rFonts w:cs="Tahoma"/>
          <w:color w:val="000000" w:themeColor="text1"/>
          <w:sz w:val="18"/>
          <w:szCs w:val="18"/>
        </w:rPr>
        <w:t> 202 672</w:t>
      </w:r>
      <w:r w:rsidR="000D4FE8" w:rsidRPr="00DA05E8">
        <w:rPr>
          <w:rFonts w:cs="Tahoma"/>
          <w:color w:val="000000" w:themeColor="text1"/>
          <w:sz w:val="18"/>
          <w:szCs w:val="18"/>
        </w:rPr>
        <w:t xml:space="preserve"> tys.</w:t>
      </w:r>
      <w:r w:rsidR="0076552E" w:rsidRPr="00DA05E8">
        <w:rPr>
          <w:rFonts w:cs="Tahoma"/>
          <w:color w:val="000000" w:themeColor="text1"/>
          <w:sz w:val="18"/>
          <w:szCs w:val="18"/>
        </w:rPr>
        <w:t> </w:t>
      </w:r>
      <w:r w:rsidR="000D4FE8" w:rsidRPr="00DA05E8">
        <w:rPr>
          <w:rFonts w:cs="Tahoma"/>
          <w:color w:val="000000" w:themeColor="text1"/>
          <w:sz w:val="18"/>
          <w:szCs w:val="18"/>
        </w:rPr>
        <w:t>zł</w:t>
      </w:r>
      <w:r w:rsidR="000E160B">
        <w:rPr>
          <w:rFonts w:cs="Tahoma"/>
          <w:color w:val="000000" w:themeColor="text1"/>
          <w:sz w:val="18"/>
          <w:szCs w:val="18"/>
        </w:rPr>
        <w:t>)</w:t>
      </w:r>
      <w:r w:rsidR="000D4FE8" w:rsidRPr="00DA05E8">
        <w:rPr>
          <w:rFonts w:cs="Tahoma"/>
          <w:color w:val="000000" w:themeColor="text1"/>
          <w:sz w:val="18"/>
          <w:szCs w:val="18"/>
        </w:rPr>
        <w:t>.</w:t>
      </w:r>
    </w:p>
    <w:p w14:paraId="52088AD0" w14:textId="410463EF" w:rsidR="000D4FE8" w:rsidRPr="00BB7C9E" w:rsidRDefault="000D4FE8" w:rsidP="000D4FE8">
      <w:pPr>
        <w:spacing w:before="120"/>
        <w:jc w:val="both"/>
        <w:rPr>
          <w:rFonts w:cs="Tahoma"/>
          <w:color w:val="000000" w:themeColor="text1"/>
          <w:sz w:val="18"/>
          <w:szCs w:val="18"/>
        </w:rPr>
      </w:pPr>
      <w:r w:rsidRPr="00DA05E8">
        <w:rPr>
          <w:rFonts w:cs="Tahoma"/>
          <w:color w:val="000000" w:themeColor="text1"/>
          <w:sz w:val="18"/>
          <w:szCs w:val="18"/>
        </w:rPr>
        <w:t>Powyższa nota obejmuje obligacje rządowe pod zastaw Bankowego Funduszu Gwarancyjnego, obligacje</w:t>
      </w:r>
      <w:r w:rsidRPr="00BB7C9E">
        <w:rPr>
          <w:rFonts w:cs="Tahoma"/>
          <w:color w:val="000000" w:themeColor="text1"/>
          <w:sz w:val="18"/>
          <w:szCs w:val="18"/>
        </w:rPr>
        <w:t xml:space="preserve"> rządowe będące przedmio</w:t>
      </w:r>
      <w:r w:rsidR="00233A48">
        <w:rPr>
          <w:rFonts w:cs="Tahoma"/>
          <w:color w:val="000000" w:themeColor="text1"/>
          <w:sz w:val="18"/>
          <w:szCs w:val="18"/>
        </w:rPr>
        <w:t>tem zastawu w transakcjach sell/</w:t>
      </w:r>
      <w:r w:rsidRPr="00BB7C9E">
        <w:rPr>
          <w:rFonts w:cs="Tahoma"/>
          <w:color w:val="000000" w:themeColor="text1"/>
          <w:sz w:val="18"/>
          <w:szCs w:val="18"/>
        </w:rPr>
        <w:t>buy back oraz obligacje rządowe stanowiące zabezpieczenie kredytu otrzymanego z Europejskiego Banku Inwestycyjnego.</w:t>
      </w:r>
    </w:p>
    <w:p w14:paraId="2CC22755" w14:textId="7C4684C5" w:rsidR="000D4FE8" w:rsidRPr="00BB7C9E" w:rsidRDefault="000D4FE8" w:rsidP="000D4FE8">
      <w:pPr>
        <w:spacing w:before="120"/>
        <w:jc w:val="both"/>
        <w:rPr>
          <w:rFonts w:cs="Tahoma"/>
          <w:color w:val="000000" w:themeColor="text1"/>
          <w:sz w:val="18"/>
          <w:szCs w:val="18"/>
        </w:rPr>
      </w:pPr>
      <w:r w:rsidRPr="00BB7C9E">
        <w:rPr>
          <w:rFonts w:cs="Tahoma"/>
          <w:color w:val="000000" w:themeColor="text1"/>
          <w:sz w:val="18"/>
          <w:szCs w:val="18"/>
        </w:rPr>
        <w:t>Zgodnie z Ustawą z dnia 10 czerwca 2016 roku o Bankowym Funduszu Gwarancyjnym</w:t>
      </w:r>
      <w:r w:rsidR="00252F23">
        <w:rPr>
          <w:rFonts w:cs="Tahoma"/>
          <w:color w:val="000000" w:themeColor="text1"/>
          <w:sz w:val="18"/>
          <w:szCs w:val="18"/>
        </w:rPr>
        <w:t>, z późniejszymi zmianami</w:t>
      </w:r>
      <w:r w:rsidR="00661782">
        <w:rPr>
          <w:rFonts w:cs="Tahoma"/>
          <w:color w:val="000000" w:themeColor="text1"/>
          <w:sz w:val="18"/>
          <w:szCs w:val="18"/>
        </w:rPr>
        <w:t xml:space="preserve"> (BFG)</w:t>
      </w:r>
      <w:r w:rsidRPr="00BB7C9E">
        <w:rPr>
          <w:rFonts w:cs="Tahoma"/>
          <w:color w:val="000000" w:themeColor="text1"/>
          <w:sz w:val="18"/>
          <w:szCs w:val="18"/>
        </w:rPr>
        <w:t xml:space="preserve">, systemie gwarantowania depozytów oraz przymusowej restrukturyzacji, na </w:t>
      </w:r>
      <w:r w:rsidR="00CE3180" w:rsidRPr="00BB7C9E">
        <w:rPr>
          <w:rFonts w:cs="Tahoma"/>
          <w:color w:val="000000" w:themeColor="text1"/>
          <w:sz w:val="18"/>
          <w:szCs w:val="18"/>
        </w:rPr>
        <w:t>dzień 31</w:t>
      </w:r>
      <w:r w:rsidR="00B6788D">
        <w:rPr>
          <w:rFonts w:cs="Tahoma"/>
          <w:color w:val="000000" w:themeColor="text1"/>
          <w:sz w:val="18"/>
          <w:szCs w:val="18"/>
        </w:rPr>
        <w:t> </w:t>
      </w:r>
      <w:r w:rsidR="00CE3180" w:rsidRPr="00BB7C9E">
        <w:rPr>
          <w:rFonts w:cs="Tahoma"/>
          <w:color w:val="000000" w:themeColor="text1"/>
          <w:sz w:val="18"/>
          <w:szCs w:val="18"/>
        </w:rPr>
        <w:t>grudnia 2019</w:t>
      </w:r>
      <w:r w:rsidRPr="00BB7C9E">
        <w:rPr>
          <w:rFonts w:cs="Tahoma"/>
          <w:color w:val="000000" w:themeColor="text1"/>
          <w:sz w:val="18"/>
          <w:szCs w:val="18"/>
        </w:rPr>
        <w:t xml:space="preserve"> roku</w:t>
      </w:r>
      <w:r w:rsidR="00F90DF3" w:rsidRPr="00BB7C9E">
        <w:rPr>
          <w:rFonts w:cs="Tahoma"/>
          <w:color w:val="000000" w:themeColor="text1"/>
          <w:sz w:val="18"/>
          <w:szCs w:val="18"/>
        </w:rPr>
        <w:t xml:space="preserve"> Grupa</w:t>
      </w:r>
      <w:r w:rsidRPr="00BB7C9E">
        <w:rPr>
          <w:rFonts w:cs="Tahoma"/>
          <w:color w:val="000000" w:themeColor="text1"/>
          <w:sz w:val="18"/>
          <w:szCs w:val="18"/>
        </w:rPr>
        <w:t xml:space="preserve"> posiadał</w:t>
      </w:r>
      <w:r w:rsidR="00F90DF3" w:rsidRPr="00BB7C9E">
        <w:rPr>
          <w:rFonts w:cs="Tahoma"/>
          <w:color w:val="000000" w:themeColor="text1"/>
          <w:sz w:val="18"/>
          <w:szCs w:val="18"/>
        </w:rPr>
        <w:t>a</w:t>
      </w:r>
      <w:r w:rsidRPr="00BB7C9E">
        <w:rPr>
          <w:rFonts w:cs="Tahoma"/>
          <w:color w:val="000000" w:themeColor="text1"/>
          <w:sz w:val="18"/>
          <w:szCs w:val="18"/>
        </w:rPr>
        <w:t xml:space="preserve"> obligacje skarbowe ujęte w sprawozdaniu</w:t>
      </w:r>
      <w:r w:rsidR="00F90DF3" w:rsidRPr="00BB7C9E">
        <w:rPr>
          <w:rFonts w:cs="Tahoma"/>
          <w:color w:val="000000" w:themeColor="text1"/>
          <w:sz w:val="18"/>
          <w:szCs w:val="18"/>
        </w:rPr>
        <w:t xml:space="preserve"> z sytuacji finansowej w</w:t>
      </w:r>
      <w:r w:rsidR="00B6788D">
        <w:rPr>
          <w:rFonts w:cs="Tahoma"/>
          <w:color w:val="000000" w:themeColor="text1"/>
          <w:sz w:val="18"/>
          <w:szCs w:val="18"/>
        </w:rPr>
        <w:t> </w:t>
      </w:r>
      <w:r w:rsidR="00F90DF3" w:rsidRPr="00BB7C9E">
        <w:rPr>
          <w:rFonts w:cs="Tahoma"/>
          <w:color w:val="000000" w:themeColor="text1"/>
          <w:sz w:val="18"/>
          <w:szCs w:val="18"/>
        </w:rPr>
        <w:t xml:space="preserve">kwocie </w:t>
      </w:r>
      <w:r w:rsidR="00B01C17" w:rsidRPr="00BB7C9E">
        <w:rPr>
          <w:rFonts w:cs="Tahoma"/>
          <w:color w:val="000000" w:themeColor="text1"/>
          <w:sz w:val="18"/>
          <w:szCs w:val="18"/>
        </w:rPr>
        <w:t>634</w:t>
      </w:r>
      <w:r w:rsidR="00F90DF3" w:rsidRPr="00BB7C9E">
        <w:rPr>
          <w:rFonts w:cs="Tahoma"/>
          <w:color w:val="000000" w:themeColor="text1"/>
          <w:sz w:val="18"/>
          <w:szCs w:val="18"/>
        </w:rPr>
        <w:t> </w:t>
      </w:r>
      <w:r w:rsidR="00B01C17" w:rsidRPr="00BB7C9E">
        <w:rPr>
          <w:rFonts w:cs="Tahoma"/>
          <w:color w:val="000000" w:themeColor="text1"/>
          <w:sz w:val="18"/>
          <w:szCs w:val="18"/>
        </w:rPr>
        <w:t>764</w:t>
      </w:r>
      <w:r w:rsidRPr="00BB7C9E">
        <w:rPr>
          <w:rFonts w:cs="Tahoma"/>
          <w:color w:val="000000" w:themeColor="text1"/>
          <w:sz w:val="18"/>
          <w:szCs w:val="18"/>
        </w:rPr>
        <w:t xml:space="preserve"> tys. zł o</w:t>
      </w:r>
      <w:r w:rsidR="00F90DF3" w:rsidRPr="00BB7C9E">
        <w:rPr>
          <w:rFonts w:cs="Tahoma"/>
          <w:color w:val="000000" w:themeColor="text1"/>
          <w:sz w:val="18"/>
          <w:szCs w:val="18"/>
        </w:rPr>
        <w:t> </w:t>
      </w:r>
      <w:r w:rsidRPr="00BB7C9E">
        <w:rPr>
          <w:rFonts w:cs="Tahoma"/>
          <w:color w:val="000000" w:themeColor="text1"/>
          <w:sz w:val="18"/>
          <w:szCs w:val="18"/>
        </w:rPr>
        <w:t xml:space="preserve">wartości nominalnej </w:t>
      </w:r>
      <w:r w:rsidR="00B01C17" w:rsidRPr="00BB7C9E">
        <w:rPr>
          <w:rFonts w:cs="Tahoma"/>
          <w:color w:val="000000" w:themeColor="text1"/>
          <w:sz w:val="18"/>
          <w:szCs w:val="18"/>
        </w:rPr>
        <w:t>625</w:t>
      </w:r>
      <w:r w:rsidR="00F90DF3" w:rsidRPr="00BB7C9E">
        <w:rPr>
          <w:rFonts w:cs="Tahoma"/>
          <w:color w:val="000000" w:themeColor="text1"/>
          <w:sz w:val="18"/>
          <w:szCs w:val="18"/>
        </w:rPr>
        <w:t> </w:t>
      </w:r>
      <w:r w:rsidR="00B01C17" w:rsidRPr="00BB7C9E">
        <w:rPr>
          <w:rFonts w:cs="Tahoma"/>
          <w:color w:val="000000" w:themeColor="text1"/>
          <w:sz w:val="18"/>
          <w:szCs w:val="18"/>
        </w:rPr>
        <w:t>660</w:t>
      </w:r>
      <w:r w:rsidRPr="00BB7C9E">
        <w:rPr>
          <w:rFonts w:cs="Tahoma"/>
          <w:color w:val="000000" w:themeColor="text1"/>
          <w:sz w:val="18"/>
          <w:szCs w:val="18"/>
        </w:rPr>
        <w:t xml:space="preserve"> tys. zł, które stanowiły zabezpieczenie funduszu ochrony środków gwarantowanych w ramach BFG i były zdeponowane na wydzielonym rachunku w</w:t>
      </w:r>
      <w:r w:rsidR="00B6788D">
        <w:rPr>
          <w:rFonts w:cs="Tahoma"/>
          <w:color w:val="000000" w:themeColor="text1"/>
          <w:sz w:val="18"/>
          <w:szCs w:val="18"/>
        </w:rPr>
        <w:t> </w:t>
      </w:r>
      <w:r w:rsidRPr="00BB7C9E">
        <w:rPr>
          <w:rFonts w:cs="Tahoma"/>
          <w:color w:val="000000" w:themeColor="text1"/>
          <w:sz w:val="18"/>
          <w:szCs w:val="18"/>
        </w:rPr>
        <w:t>Krajowym Depozycie Papierów Wartościowych</w:t>
      </w:r>
      <w:r w:rsidR="00CE3180" w:rsidRPr="00BB7C9E">
        <w:rPr>
          <w:rFonts w:cs="Tahoma"/>
          <w:color w:val="000000" w:themeColor="text1"/>
          <w:sz w:val="18"/>
          <w:szCs w:val="18"/>
        </w:rPr>
        <w:t xml:space="preserve"> (31 grudnia 2018 r</w:t>
      </w:r>
      <w:r w:rsidR="00AC25CE">
        <w:rPr>
          <w:rFonts w:cs="Tahoma"/>
          <w:color w:val="000000" w:themeColor="text1"/>
          <w:sz w:val="18"/>
          <w:szCs w:val="18"/>
        </w:rPr>
        <w:t>oku</w:t>
      </w:r>
      <w:r w:rsidR="00C862FD" w:rsidRPr="00BB7C9E">
        <w:rPr>
          <w:rFonts w:cs="Tahoma"/>
          <w:color w:val="000000" w:themeColor="text1"/>
          <w:sz w:val="18"/>
          <w:szCs w:val="18"/>
        </w:rPr>
        <w:t xml:space="preserve"> odpowiednio: 547 895 tys. zł i</w:t>
      </w:r>
      <w:r w:rsidR="00B6788D">
        <w:rPr>
          <w:rFonts w:cs="Tahoma"/>
          <w:color w:val="000000" w:themeColor="text1"/>
          <w:sz w:val="18"/>
          <w:szCs w:val="18"/>
        </w:rPr>
        <w:t> </w:t>
      </w:r>
      <w:r w:rsidR="00C862FD" w:rsidRPr="00BB7C9E">
        <w:rPr>
          <w:rFonts w:cs="Tahoma"/>
          <w:color w:val="000000" w:themeColor="text1"/>
          <w:sz w:val="18"/>
          <w:szCs w:val="18"/>
        </w:rPr>
        <w:t>541 </w:t>
      </w:r>
      <w:r w:rsidR="00CE3180" w:rsidRPr="00BB7C9E">
        <w:rPr>
          <w:rFonts w:cs="Tahoma"/>
          <w:color w:val="000000" w:themeColor="text1"/>
          <w:sz w:val="18"/>
          <w:szCs w:val="18"/>
        </w:rPr>
        <w:t>169 tys. zł)</w:t>
      </w:r>
      <w:r w:rsidR="000E160B">
        <w:rPr>
          <w:rFonts w:cs="Tahoma"/>
          <w:color w:val="000000" w:themeColor="text1"/>
          <w:sz w:val="18"/>
          <w:szCs w:val="18"/>
        </w:rPr>
        <w:t>.</w:t>
      </w:r>
    </w:p>
    <w:p w14:paraId="12D742F0" w14:textId="12F0EB3C" w:rsidR="00167AE0" w:rsidRPr="00BB7C9E" w:rsidRDefault="00675934" w:rsidP="00675934">
      <w:pPr>
        <w:spacing w:before="120"/>
        <w:jc w:val="both"/>
        <w:rPr>
          <w:rFonts w:cs="Tahoma"/>
          <w:color w:val="000000" w:themeColor="text1"/>
          <w:sz w:val="18"/>
          <w:szCs w:val="18"/>
        </w:rPr>
      </w:pPr>
      <w:r w:rsidRPr="00322BCF">
        <w:rPr>
          <w:rFonts w:cs="Tahoma"/>
          <w:color w:val="000000" w:themeColor="text1"/>
          <w:sz w:val="18"/>
          <w:szCs w:val="18"/>
        </w:rPr>
        <w:t>Dodatkowo Bank posiada obligacje skarbowe stanowiące zabezpieczenie zobowiązania do zapłaty na</w:t>
      </w:r>
      <w:r w:rsidR="006F1146">
        <w:rPr>
          <w:rFonts w:cs="Tahoma"/>
          <w:color w:val="000000" w:themeColor="text1"/>
          <w:sz w:val="18"/>
          <w:szCs w:val="18"/>
        </w:rPr>
        <w:t> </w:t>
      </w:r>
      <w:r w:rsidRPr="00322BCF">
        <w:rPr>
          <w:rFonts w:cs="Tahoma"/>
          <w:color w:val="000000" w:themeColor="text1"/>
          <w:sz w:val="18"/>
          <w:szCs w:val="18"/>
        </w:rPr>
        <w:t>fundusz gwarancyjny i fundusz przymusowej rest</w:t>
      </w:r>
      <w:r w:rsidR="00136553">
        <w:rPr>
          <w:rFonts w:cs="Tahoma"/>
          <w:color w:val="000000" w:themeColor="text1"/>
          <w:sz w:val="18"/>
          <w:szCs w:val="18"/>
        </w:rPr>
        <w:t>rukturyzacji BFG w wysokości 56</w:t>
      </w:r>
      <w:r w:rsidRPr="00322BCF">
        <w:rPr>
          <w:rFonts w:cs="Tahoma"/>
          <w:color w:val="000000" w:themeColor="text1"/>
          <w:sz w:val="18"/>
          <w:szCs w:val="18"/>
        </w:rPr>
        <w:t> </w:t>
      </w:r>
      <w:r w:rsidR="004E01A5" w:rsidRPr="00322BCF">
        <w:rPr>
          <w:rFonts w:cs="Tahoma"/>
          <w:color w:val="000000" w:themeColor="text1"/>
          <w:sz w:val="18"/>
          <w:szCs w:val="18"/>
        </w:rPr>
        <w:t>244</w:t>
      </w:r>
      <w:r w:rsidRPr="00322BCF">
        <w:rPr>
          <w:rFonts w:cs="Tahoma"/>
          <w:color w:val="000000" w:themeColor="text1"/>
          <w:sz w:val="18"/>
          <w:szCs w:val="18"/>
        </w:rPr>
        <w:t xml:space="preserve"> tys. zł</w:t>
      </w:r>
      <w:r w:rsidR="00383CD1" w:rsidRPr="00322BCF">
        <w:rPr>
          <w:rFonts w:cs="Tahoma"/>
          <w:color w:val="000000" w:themeColor="text1"/>
          <w:sz w:val="18"/>
          <w:szCs w:val="18"/>
        </w:rPr>
        <w:t xml:space="preserve"> (31</w:t>
      </w:r>
      <w:r w:rsidR="006F1146">
        <w:rPr>
          <w:rFonts w:cs="Tahoma"/>
          <w:color w:val="000000" w:themeColor="text1"/>
          <w:sz w:val="18"/>
          <w:szCs w:val="18"/>
        </w:rPr>
        <w:t> </w:t>
      </w:r>
      <w:r w:rsidR="00383CD1" w:rsidRPr="00322BCF">
        <w:rPr>
          <w:rFonts w:cs="Tahoma"/>
          <w:color w:val="000000" w:themeColor="text1"/>
          <w:sz w:val="18"/>
          <w:szCs w:val="18"/>
        </w:rPr>
        <w:t>grudnia 2018 r</w:t>
      </w:r>
      <w:r w:rsidR="00AC25CE">
        <w:rPr>
          <w:rFonts w:cs="Tahoma"/>
          <w:color w:val="000000" w:themeColor="text1"/>
          <w:sz w:val="18"/>
          <w:szCs w:val="18"/>
        </w:rPr>
        <w:t>oku</w:t>
      </w:r>
      <w:r w:rsidR="00383CD1" w:rsidRPr="00322BCF">
        <w:rPr>
          <w:rFonts w:cs="Tahoma"/>
          <w:color w:val="000000" w:themeColor="text1"/>
          <w:sz w:val="18"/>
          <w:szCs w:val="18"/>
        </w:rPr>
        <w:t xml:space="preserve"> – 58</w:t>
      </w:r>
      <w:r w:rsidR="002514D9" w:rsidRPr="00322BCF">
        <w:rPr>
          <w:rFonts w:cs="Tahoma"/>
          <w:color w:val="000000" w:themeColor="text1"/>
          <w:sz w:val="18"/>
          <w:szCs w:val="18"/>
        </w:rPr>
        <w:t> </w:t>
      </w:r>
      <w:r w:rsidR="00383CD1" w:rsidRPr="00322BCF">
        <w:rPr>
          <w:rFonts w:cs="Tahoma"/>
          <w:color w:val="000000" w:themeColor="text1"/>
          <w:sz w:val="18"/>
          <w:szCs w:val="18"/>
        </w:rPr>
        <w:t>603</w:t>
      </w:r>
      <w:r w:rsidR="002514D9" w:rsidRPr="00322BCF">
        <w:rPr>
          <w:rFonts w:cs="Tahoma"/>
          <w:color w:val="000000" w:themeColor="text1"/>
          <w:sz w:val="18"/>
          <w:szCs w:val="18"/>
        </w:rPr>
        <w:t xml:space="preserve"> tys. zł)</w:t>
      </w:r>
      <w:r w:rsidRPr="00322BCF">
        <w:rPr>
          <w:rFonts w:cs="Tahoma"/>
          <w:color w:val="000000" w:themeColor="text1"/>
          <w:sz w:val="18"/>
          <w:szCs w:val="18"/>
        </w:rPr>
        <w:t>.</w:t>
      </w:r>
    </w:p>
    <w:p w14:paraId="1078715C" w14:textId="1B3B6BD4" w:rsidR="007B2214" w:rsidRDefault="007B2214">
      <w:pPr>
        <w:rPr>
          <w:rFonts w:cs="Tahoma"/>
          <w:sz w:val="18"/>
          <w:szCs w:val="18"/>
        </w:rPr>
      </w:pPr>
      <w:r>
        <w:rPr>
          <w:rFonts w:cs="Tahoma"/>
          <w:sz w:val="18"/>
          <w:szCs w:val="18"/>
        </w:rPr>
        <w:br w:type="page"/>
      </w:r>
    </w:p>
    <w:p w14:paraId="46C9A977" w14:textId="66EBDC1D" w:rsidR="00884152" w:rsidRPr="00BB45AE" w:rsidRDefault="00884152" w:rsidP="00884152">
      <w:pPr>
        <w:jc w:val="both"/>
        <w:rPr>
          <w:b/>
          <w:noProof/>
          <w:sz w:val="18"/>
          <w:szCs w:val="18"/>
        </w:rPr>
      </w:pPr>
      <w:r w:rsidRPr="00BB45AE">
        <w:rPr>
          <w:b/>
          <w:noProof/>
          <w:sz w:val="18"/>
          <w:szCs w:val="18"/>
        </w:rPr>
        <w:lastRenderedPageBreak/>
        <w:t>Zmiana stanu oczekiwanych strat kredytowych, dotyczących aktywów finansowych wycenianych w wartości godziwej przez pozostałe całkowite dochody</w:t>
      </w:r>
    </w:p>
    <w:p w14:paraId="567598E9" w14:textId="6B0B326E" w:rsidR="00654E2D" w:rsidRPr="00BB45AE" w:rsidRDefault="00654E2D" w:rsidP="004B185C">
      <w:pPr>
        <w:jc w:val="both"/>
        <w:rPr>
          <w:noProof/>
        </w:rPr>
      </w:pPr>
    </w:p>
    <w:tbl>
      <w:tblPr>
        <w:tblW w:w="0" w:type="auto"/>
        <w:tblCellMar>
          <w:left w:w="28" w:type="dxa"/>
          <w:right w:w="28" w:type="dxa"/>
        </w:tblCellMar>
        <w:tblLook w:val="04A0" w:firstRow="1" w:lastRow="0" w:firstColumn="1" w:lastColumn="0" w:noHBand="0" w:noVBand="1"/>
      </w:tblPr>
      <w:tblGrid>
        <w:gridCol w:w="2217"/>
        <w:gridCol w:w="907"/>
        <w:gridCol w:w="907"/>
        <w:gridCol w:w="907"/>
        <w:gridCol w:w="907"/>
        <w:gridCol w:w="943"/>
        <w:gridCol w:w="943"/>
        <w:gridCol w:w="943"/>
        <w:gridCol w:w="907"/>
      </w:tblGrid>
      <w:tr w:rsidR="004B185C" w:rsidRPr="00BC2E4C" w14:paraId="1E22F9DA" w14:textId="77777777" w:rsidTr="00717412">
        <w:trPr>
          <w:trHeight w:val="851"/>
        </w:trPr>
        <w:tc>
          <w:tcPr>
            <w:tcW w:w="0" w:type="auto"/>
            <w:tcBorders>
              <w:top w:val="single" w:sz="8" w:space="0" w:color="FFFFFF"/>
              <w:left w:val="nil"/>
              <w:bottom w:val="nil"/>
              <w:right w:val="single" w:sz="8" w:space="0" w:color="FFFFFF"/>
            </w:tcBorders>
            <w:shd w:val="clear" w:color="000000" w:fill="0077BD"/>
            <w:vAlign w:val="center"/>
            <w:hideMark/>
          </w:tcPr>
          <w:p w14:paraId="70ADCA8E" w14:textId="3D6F113B" w:rsidR="004B185C" w:rsidRPr="00BC2E4C" w:rsidRDefault="00F63F3E" w:rsidP="00F63F3E">
            <w:pPr>
              <w:rPr>
                <w:rFonts w:cs="Calibri"/>
                <w:b/>
                <w:bCs/>
                <w:color w:val="FFFFFF"/>
                <w:sz w:val="11"/>
                <w:szCs w:val="11"/>
              </w:rPr>
            </w:pPr>
            <w:r>
              <w:rPr>
                <w:rFonts w:cs="Calibri"/>
                <w:b/>
                <w:bCs/>
                <w:color w:val="FFFFFF"/>
                <w:sz w:val="11"/>
                <w:szCs w:val="11"/>
              </w:rPr>
              <w:t>Zmiana w okresie od 1 stycznia</w:t>
            </w:r>
            <w:r>
              <w:rPr>
                <w:rFonts w:cs="Calibri"/>
                <w:b/>
                <w:bCs/>
                <w:color w:val="FFFFFF"/>
                <w:sz w:val="11"/>
                <w:szCs w:val="11"/>
              </w:rPr>
              <w:br/>
              <w:t xml:space="preserve">do 31 grudnia </w:t>
            </w:r>
            <w:r w:rsidR="004B185C">
              <w:rPr>
                <w:rFonts w:cs="Calibri"/>
                <w:b/>
                <w:bCs/>
                <w:color w:val="FFFFFF"/>
                <w:sz w:val="11"/>
                <w:szCs w:val="11"/>
              </w:rPr>
              <w:t>2019</w:t>
            </w:r>
            <w:r>
              <w:rPr>
                <w:rFonts w:cs="Calibri"/>
                <w:b/>
                <w:bCs/>
                <w:color w:val="FFFFFF"/>
                <w:sz w:val="11"/>
                <w:szCs w:val="11"/>
              </w:rPr>
              <w:t xml:space="preserve"> r.</w:t>
            </w:r>
          </w:p>
        </w:tc>
        <w:tc>
          <w:tcPr>
            <w:tcW w:w="907" w:type="dxa"/>
            <w:tcBorders>
              <w:top w:val="single" w:sz="8" w:space="0" w:color="FFFFFF"/>
              <w:left w:val="nil"/>
              <w:bottom w:val="nil"/>
              <w:right w:val="single" w:sz="8" w:space="0" w:color="FFFFFF"/>
            </w:tcBorders>
            <w:shd w:val="clear" w:color="000000" w:fill="0077BD"/>
            <w:vAlign w:val="center"/>
            <w:hideMark/>
          </w:tcPr>
          <w:p w14:paraId="56409DE0"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Bilans otwarcia</w:t>
            </w:r>
          </w:p>
        </w:tc>
        <w:tc>
          <w:tcPr>
            <w:tcW w:w="907" w:type="dxa"/>
            <w:tcBorders>
              <w:top w:val="single" w:sz="8" w:space="0" w:color="FFFFFF"/>
              <w:left w:val="nil"/>
              <w:bottom w:val="nil"/>
              <w:right w:val="single" w:sz="8" w:space="0" w:color="FFFFFF"/>
            </w:tcBorders>
            <w:shd w:val="clear" w:color="000000" w:fill="0077BD"/>
            <w:vAlign w:val="center"/>
            <w:hideMark/>
          </w:tcPr>
          <w:p w14:paraId="07F5709F"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Transfer do Koszyka 1</w:t>
            </w:r>
          </w:p>
        </w:tc>
        <w:tc>
          <w:tcPr>
            <w:tcW w:w="907" w:type="dxa"/>
            <w:tcBorders>
              <w:top w:val="single" w:sz="8" w:space="0" w:color="FFFFFF"/>
              <w:left w:val="nil"/>
              <w:bottom w:val="nil"/>
              <w:right w:val="single" w:sz="8" w:space="0" w:color="FFFFFF"/>
            </w:tcBorders>
            <w:shd w:val="clear" w:color="000000" w:fill="0077BD"/>
            <w:vAlign w:val="center"/>
            <w:hideMark/>
          </w:tcPr>
          <w:p w14:paraId="6DEE39DC"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Transfer do Koszyka 2</w:t>
            </w:r>
          </w:p>
        </w:tc>
        <w:tc>
          <w:tcPr>
            <w:tcW w:w="907" w:type="dxa"/>
            <w:tcBorders>
              <w:top w:val="single" w:sz="8" w:space="0" w:color="FFFFFF"/>
              <w:left w:val="nil"/>
              <w:bottom w:val="nil"/>
              <w:right w:val="single" w:sz="8" w:space="0" w:color="FFFFFF"/>
            </w:tcBorders>
            <w:shd w:val="clear" w:color="000000" w:fill="0077BD"/>
            <w:vAlign w:val="center"/>
            <w:hideMark/>
          </w:tcPr>
          <w:p w14:paraId="672E8C4E"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Transfer do Koszyka 3</w:t>
            </w:r>
          </w:p>
        </w:tc>
        <w:tc>
          <w:tcPr>
            <w:tcW w:w="943" w:type="dxa"/>
            <w:tcBorders>
              <w:top w:val="single" w:sz="8" w:space="0" w:color="FFFFFF"/>
              <w:left w:val="nil"/>
              <w:bottom w:val="nil"/>
              <w:right w:val="single" w:sz="8" w:space="0" w:color="FFFFFF"/>
            </w:tcBorders>
            <w:shd w:val="clear" w:color="000000" w:fill="0077BD"/>
            <w:vAlign w:val="center"/>
            <w:hideMark/>
          </w:tcPr>
          <w:p w14:paraId="7FC96F03"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Zwiększenia spowodowane udzieleniem oraz przejęciem</w:t>
            </w:r>
          </w:p>
        </w:tc>
        <w:tc>
          <w:tcPr>
            <w:tcW w:w="943" w:type="dxa"/>
            <w:tcBorders>
              <w:top w:val="single" w:sz="8" w:space="0" w:color="FFFFFF"/>
              <w:left w:val="nil"/>
              <w:bottom w:val="nil"/>
              <w:right w:val="single" w:sz="8" w:space="0" w:color="FFFFFF"/>
            </w:tcBorders>
            <w:shd w:val="clear" w:color="000000" w:fill="0077BD"/>
            <w:vAlign w:val="center"/>
            <w:hideMark/>
          </w:tcPr>
          <w:p w14:paraId="6DB4CEC2"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Zmniejszenia spowodowane usunięciem</w:t>
            </w:r>
            <w:r>
              <w:rPr>
                <w:rFonts w:cs="Calibri"/>
                <w:b/>
                <w:bCs/>
                <w:color w:val="FFFFFF"/>
                <w:sz w:val="11"/>
                <w:szCs w:val="11"/>
              </w:rPr>
              <w:br/>
            </w:r>
            <w:r w:rsidRPr="00BC2E4C">
              <w:rPr>
                <w:rFonts w:cs="Calibri"/>
                <w:b/>
                <w:bCs/>
                <w:color w:val="FFFFFF"/>
                <w:sz w:val="11"/>
                <w:szCs w:val="11"/>
              </w:rPr>
              <w:t xml:space="preserve"> z bilansu</w:t>
            </w:r>
          </w:p>
        </w:tc>
        <w:tc>
          <w:tcPr>
            <w:tcW w:w="943" w:type="dxa"/>
            <w:tcBorders>
              <w:top w:val="single" w:sz="8" w:space="0" w:color="FFFFFF"/>
              <w:left w:val="nil"/>
              <w:bottom w:val="nil"/>
              <w:right w:val="single" w:sz="8" w:space="0" w:color="FFFFFF"/>
            </w:tcBorders>
            <w:shd w:val="clear" w:color="000000" w:fill="0077BD"/>
            <w:vAlign w:val="center"/>
            <w:hideMark/>
          </w:tcPr>
          <w:p w14:paraId="4C6CCE4E"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Zmiany spowodowane zmianą ryzyka kredytowego (netto)</w:t>
            </w:r>
          </w:p>
        </w:tc>
        <w:tc>
          <w:tcPr>
            <w:tcW w:w="907" w:type="dxa"/>
            <w:tcBorders>
              <w:top w:val="single" w:sz="8" w:space="0" w:color="FFFFFF"/>
              <w:left w:val="nil"/>
              <w:bottom w:val="nil"/>
              <w:right w:val="nil"/>
            </w:tcBorders>
            <w:shd w:val="clear" w:color="000000" w:fill="0077BD"/>
            <w:vAlign w:val="center"/>
            <w:hideMark/>
          </w:tcPr>
          <w:p w14:paraId="05335A7C" w14:textId="77777777" w:rsidR="004B185C" w:rsidRPr="00BC2E4C" w:rsidRDefault="004B185C" w:rsidP="0042125C">
            <w:pPr>
              <w:jc w:val="center"/>
              <w:rPr>
                <w:rFonts w:cs="Calibri"/>
                <w:b/>
                <w:bCs/>
                <w:color w:val="FFFFFF"/>
                <w:sz w:val="11"/>
                <w:szCs w:val="11"/>
              </w:rPr>
            </w:pPr>
            <w:r w:rsidRPr="00BC2E4C">
              <w:rPr>
                <w:rFonts w:cs="Calibri"/>
                <w:b/>
                <w:bCs/>
                <w:color w:val="FFFFFF"/>
                <w:sz w:val="11"/>
                <w:szCs w:val="11"/>
              </w:rPr>
              <w:t>Bilans zamknięcia</w:t>
            </w:r>
          </w:p>
        </w:tc>
      </w:tr>
      <w:tr w:rsidR="00717412" w:rsidRPr="00BB7C9E" w14:paraId="109FDCE6" w14:textId="77777777" w:rsidTr="00717412">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3ED7D984" w14:textId="77777777" w:rsidR="00717412" w:rsidRPr="00BB7C9E" w:rsidRDefault="00717412" w:rsidP="00717412">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907"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9C07511" w14:textId="125749B5"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(4 535)</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6757FE64" w14:textId="39B35BFA"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35C72DDA" w14:textId="30DC5AA4"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3536D0C6" w14:textId="108E10BC"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12F407D6" w14:textId="3524B6E4"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(963)</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36DD504B" w14:textId="5C892450"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2 518</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635E25E2" w14:textId="144308F3"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(1 382)</w:t>
            </w:r>
          </w:p>
        </w:tc>
        <w:tc>
          <w:tcPr>
            <w:tcW w:w="907" w:type="dxa"/>
            <w:tcBorders>
              <w:top w:val="single" w:sz="8" w:space="0" w:color="0077BD"/>
              <w:left w:val="nil"/>
              <w:bottom w:val="single" w:sz="8" w:space="0" w:color="0077BD"/>
              <w:right w:val="nil"/>
            </w:tcBorders>
            <w:shd w:val="clear" w:color="auto" w:fill="auto"/>
            <w:vAlign w:val="center"/>
          </w:tcPr>
          <w:p w14:paraId="2DE04ABC" w14:textId="6ABB1DBA"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(4 362)</w:t>
            </w:r>
          </w:p>
        </w:tc>
      </w:tr>
      <w:tr w:rsidR="00717412" w:rsidRPr="00BB7C9E" w14:paraId="5C90E38C" w14:textId="77777777" w:rsidTr="00717412">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5FEA2BC9" w14:textId="77777777" w:rsidR="00717412" w:rsidRPr="00BB7C9E" w:rsidRDefault="00717412" w:rsidP="00717412">
            <w:pPr>
              <w:rPr>
                <w:rFonts w:cs="Calibri"/>
                <w:color w:val="000000" w:themeColor="text1"/>
                <w:sz w:val="11"/>
                <w:szCs w:val="11"/>
              </w:rPr>
            </w:pPr>
            <w:r w:rsidRPr="00BB7C9E">
              <w:rPr>
                <w:rFonts w:cs="Calibri"/>
                <w:color w:val="000000" w:themeColor="text1"/>
                <w:sz w:val="11"/>
                <w:szCs w:val="11"/>
              </w:rPr>
              <w:t>Koszyk 1</w:t>
            </w:r>
          </w:p>
        </w:tc>
        <w:tc>
          <w:tcPr>
            <w:tcW w:w="907"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59E9BC1" w14:textId="27706567"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(4 171)</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20CA1DDF" w14:textId="1DEEEB6C"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(214)</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04E8B6ED" w14:textId="71CA6141"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72</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6EBE5D70" w14:textId="7C01DE57"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w:t>
            </w:r>
          </w:p>
        </w:tc>
        <w:tc>
          <w:tcPr>
            <w:tcW w:w="943" w:type="dxa"/>
            <w:tcBorders>
              <w:top w:val="single" w:sz="4" w:space="0" w:color="0077BD"/>
              <w:left w:val="nil"/>
              <w:bottom w:val="single" w:sz="4" w:space="0" w:color="0077BD"/>
              <w:right w:val="single" w:sz="8" w:space="0" w:color="0077BD"/>
            </w:tcBorders>
            <w:shd w:val="clear" w:color="auto" w:fill="auto"/>
            <w:vAlign w:val="center"/>
          </w:tcPr>
          <w:p w14:paraId="18138C7F" w14:textId="6EBBA6D0"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(963)</w:t>
            </w:r>
          </w:p>
        </w:tc>
        <w:tc>
          <w:tcPr>
            <w:tcW w:w="943" w:type="dxa"/>
            <w:tcBorders>
              <w:top w:val="single" w:sz="4" w:space="0" w:color="0077BD"/>
              <w:left w:val="nil"/>
              <w:bottom w:val="single" w:sz="4" w:space="0" w:color="0077BD"/>
              <w:right w:val="single" w:sz="8" w:space="0" w:color="0077BD"/>
            </w:tcBorders>
            <w:shd w:val="clear" w:color="auto" w:fill="auto"/>
            <w:vAlign w:val="center"/>
          </w:tcPr>
          <w:p w14:paraId="4101B2E3" w14:textId="2FFB7977"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2 367</w:t>
            </w:r>
          </w:p>
        </w:tc>
        <w:tc>
          <w:tcPr>
            <w:tcW w:w="943" w:type="dxa"/>
            <w:tcBorders>
              <w:top w:val="single" w:sz="4" w:space="0" w:color="0077BD"/>
              <w:left w:val="nil"/>
              <w:bottom w:val="single" w:sz="4" w:space="0" w:color="0077BD"/>
              <w:right w:val="single" w:sz="8" w:space="0" w:color="0077BD"/>
            </w:tcBorders>
            <w:shd w:val="clear" w:color="auto" w:fill="auto"/>
            <w:vAlign w:val="center"/>
          </w:tcPr>
          <w:p w14:paraId="793884A1" w14:textId="5D6FA677"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(333)</w:t>
            </w:r>
          </w:p>
        </w:tc>
        <w:tc>
          <w:tcPr>
            <w:tcW w:w="907" w:type="dxa"/>
            <w:tcBorders>
              <w:top w:val="single" w:sz="4" w:space="0" w:color="0077BD"/>
              <w:left w:val="nil"/>
              <w:bottom w:val="single" w:sz="4" w:space="0" w:color="0077BD"/>
              <w:right w:val="nil"/>
            </w:tcBorders>
            <w:shd w:val="clear" w:color="auto" w:fill="auto"/>
            <w:vAlign w:val="center"/>
          </w:tcPr>
          <w:p w14:paraId="08451059" w14:textId="1F521413"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(3 242)</w:t>
            </w:r>
          </w:p>
        </w:tc>
      </w:tr>
      <w:tr w:rsidR="00717412" w:rsidRPr="00BB7C9E" w14:paraId="4BE54D4C" w14:textId="77777777" w:rsidTr="0071741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D765B0F" w14:textId="77777777" w:rsidR="00717412" w:rsidRPr="00BB7C9E" w:rsidRDefault="00717412" w:rsidP="00717412">
            <w:pPr>
              <w:rPr>
                <w:rFonts w:cs="Calibri"/>
                <w:color w:val="000000" w:themeColor="text1"/>
                <w:sz w:val="11"/>
                <w:szCs w:val="11"/>
              </w:rPr>
            </w:pPr>
            <w:r w:rsidRPr="00BB7C9E">
              <w:rPr>
                <w:rFonts w:cs="Calibri"/>
                <w:color w:val="000000" w:themeColor="text1"/>
                <w:sz w:val="11"/>
                <w:szCs w:val="11"/>
              </w:rPr>
              <w:t>Koszyk 2</w:t>
            </w:r>
          </w:p>
        </w:tc>
        <w:tc>
          <w:tcPr>
            <w:tcW w:w="907" w:type="dxa"/>
            <w:tcBorders>
              <w:top w:val="nil"/>
              <w:left w:val="single" w:sz="8" w:space="0" w:color="0077BD"/>
              <w:bottom w:val="single" w:sz="4" w:space="0" w:color="0077BD"/>
              <w:right w:val="single" w:sz="8" w:space="0" w:color="0077BD"/>
            </w:tcBorders>
            <w:shd w:val="clear" w:color="auto" w:fill="auto"/>
            <w:vAlign w:val="center"/>
          </w:tcPr>
          <w:p w14:paraId="00902931" w14:textId="2AD8E582"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(364)</w:t>
            </w:r>
          </w:p>
        </w:tc>
        <w:tc>
          <w:tcPr>
            <w:tcW w:w="907" w:type="dxa"/>
            <w:tcBorders>
              <w:top w:val="nil"/>
              <w:left w:val="nil"/>
              <w:bottom w:val="single" w:sz="4" w:space="0" w:color="0077BD"/>
              <w:right w:val="single" w:sz="8" w:space="0" w:color="0077BD"/>
            </w:tcBorders>
            <w:shd w:val="clear" w:color="auto" w:fill="auto"/>
            <w:vAlign w:val="center"/>
          </w:tcPr>
          <w:p w14:paraId="3588EF01" w14:textId="5DE98670"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214</w:t>
            </w:r>
          </w:p>
        </w:tc>
        <w:tc>
          <w:tcPr>
            <w:tcW w:w="907" w:type="dxa"/>
            <w:tcBorders>
              <w:top w:val="nil"/>
              <w:left w:val="nil"/>
              <w:bottom w:val="single" w:sz="4" w:space="0" w:color="0077BD"/>
              <w:right w:val="single" w:sz="8" w:space="0" w:color="0077BD"/>
            </w:tcBorders>
            <w:shd w:val="clear" w:color="auto" w:fill="auto"/>
            <w:vAlign w:val="center"/>
          </w:tcPr>
          <w:p w14:paraId="6145C7AA" w14:textId="62D76B33"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(72)</w:t>
            </w:r>
          </w:p>
        </w:tc>
        <w:tc>
          <w:tcPr>
            <w:tcW w:w="907" w:type="dxa"/>
            <w:tcBorders>
              <w:top w:val="nil"/>
              <w:left w:val="nil"/>
              <w:bottom w:val="single" w:sz="4" w:space="0" w:color="0077BD"/>
              <w:right w:val="single" w:sz="8" w:space="0" w:color="0077BD"/>
            </w:tcBorders>
            <w:shd w:val="clear" w:color="auto" w:fill="auto"/>
            <w:vAlign w:val="center"/>
          </w:tcPr>
          <w:p w14:paraId="4D09A2F1" w14:textId="7D386EAC"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w:t>
            </w:r>
          </w:p>
        </w:tc>
        <w:tc>
          <w:tcPr>
            <w:tcW w:w="943" w:type="dxa"/>
            <w:tcBorders>
              <w:top w:val="nil"/>
              <w:left w:val="nil"/>
              <w:bottom w:val="single" w:sz="4" w:space="0" w:color="0077BD"/>
              <w:right w:val="single" w:sz="8" w:space="0" w:color="0077BD"/>
            </w:tcBorders>
            <w:shd w:val="clear" w:color="auto" w:fill="auto"/>
            <w:vAlign w:val="center"/>
          </w:tcPr>
          <w:p w14:paraId="05BCDDC2" w14:textId="78FAB2F1"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w:t>
            </w:r>
          </w:p>
        </w:tc>
        <w:tc>
          <w:tcPr>
            <w:tcW w:w="943" w:type="dxa"/>
            <w:tcBorders>
              <w:top w:val="nil"/>
              <w:left w:val="nil"/>
              <w:bottom w:val="single" w:sz="4" w:space="0" w:color="0077BD"/>
              <w:right w:val="single" w:sz="8" w:space="0" w:color="0077BD"/>
            </w:tcBorders>
            <w:shd w:val="clear" w:color="auto" w:fill="auto"/>
            <w:vAlign w:val="center"/>
          </w:tcPr>
          <w:p w14:paraId="399405A9" w14:textId="44AFCE7F"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151</w:t>
            </w:r>
          </w:p>
        </w:tc>
        <w:tc>
          <w:tcPr>
            <w:tcW w:w="943" w:type="dxa"/>
            <w:tcBorders>
              <w:top w:val="nil"/>
              <w:left w:val="nil"/>
              <w:bottom w:val="single" w:sz="4" w:space="0" w:color="0077BD"/>
              <w:right w:val="single" w:sz="8" w:space="0" w:color="0077BD"/>
            </w:tcBorders>
            <w:shd w:val="clear" w:color="auto" w:fill="auto"/>
            <w:vAlign w:val="center"/>
          </w:tcPr>
          <w:p w14:paraId="7EAA0858" w14:textId="2791BD39"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(1 049)</w:t>
            </w:r>
          </w:p>
        </w:tc>
        <w:tc>
          <w:tcPr>
            <w:tcW w:w="907" w:type="dxa"/>
            <w:tcBorders>
              <w:top w:val="nil"/>
              <w:left w:val="nil"/>
              <w:bottom w:val="single" w:sz="4" w:space="0" w:color="0077BD"/>
              <w:right w:val="nil"/>
            </w:tcBorders>
            <w:shd w:val="clear" w:color="auto" w:fill="auto"/>
            <w:vAlign w:val="center"/>
          </w:tcPr>
          <w:p w14:paraId="5C0F2402" w14:textId="1D14FA71" w:rsidR="00717412" w:rsidRPr="00BB7C9E" w:rsidRDefault="00717412" w:rsidP="00717412">
            <w:pPr>
              <w:jc w:val="right"/>
              <w:rPr>
                <w:rFonts w:cs="Calibri"/>
                <w:color w:val="000000" w:themeColor="text1"/>
                <w:sz w:val="11"/>
                <w:szCs w:val="11"/>
              </w:rPr>
            </w:pPr>
            <w:r w:rsidRPr="00BB7C9E">
              <w:rPr>
                <w:rFonts w:cs="Calibri"/>
                <w:color w:val="000000" w:themeColor="text1"/>
                <w:sz w:val="11"/>
                <w:szCs w:val="11"/>
              </w:rPr>
              <w:t>(1 120)</w:t>
            </w:r>
          </w:p>
        </w:tc>
      </w:tr>
      <w:tr w:rsidR="00717412" w:rsidRPr="00BB7C9E" w14:paraId="4BA4C603" w14:textId="77777777" w:rsidTr="00CA5E84">
        <w:trPr>
          <w:trHeight w:val="39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36D33E04" w14:textId="4FBD6566" w:rsidR="00717412" w:rsidRPr="00BB7C9E" w:rsidRDefault="004D2570" w:rsidP="00717412">
            <w:pPr>
              <w:rPr>
                <w:rFonts w:cs="Calibri"/>
                <w:b/>
                <w:bCs/>
                <w:color w:val="000000" w:themeColor="text1"/>
                <w:sz w:val="11"/>
                <w:szCs w:val="11"/>
              </w:rPr>
            </w:pPr>
            <w:r>
              <w:rPr>
                <w:rFonts w:cs="Calibri"/>
                <w:b/>
                <w:bCs/>
                <w:color w:val="000000" w:themeColor="text1"/>
                <w:sz w:val="11"/>
                <w:szCs w:val="11"/>
              </w:rPr>
              <w:t>Skumulowana utrata wartości</w:t>
            </w:r>
            <w:r w:rsidR="00717412" w:rsidRPr="00BB7C9E">
              <w:rPr>
                <w:rFonts w:cs="Calibri"/>
                <w:b/>
                <w:bCs/>
                <w:color w:val="000000" w:themeColor="text1"/>
                <w:sz w:val="11"/>
                <w:szCs w:val="11"/>
              </w:rPr>
              <w:t>, razem</w:t>
            </w:r>
          </w:p>
        </w:tc>
        <w:tc>
          <w:tcPr>
            <w:tcW w:w="907"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0FEFE63" w14:textId="4F77F9E1"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(4 535)</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3171FB20" w14:textId="48BA03BB"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7CBBC852" w14:textId="232DF25B"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4B00FFDA" w14:textId="34B7433C"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00643706" w14:textId="759B14C8"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(963)</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1F9F9914" w14:textId="59794181"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2 518</w:t>
            </w:r>
          </w:p>
        </w:tc>
        <w:tc>
          <w:tcPr>
            <w:tcW w:w="943" w:type="dxa"/>
            <w:tcBorders>
              <w:top w:val="single" w:sz="8" w:space="0" w:color="0077BD"/>
              <w:left w:val="nil"/>
              <w:bottom w:val="single" w:sz="8" w:space="0" w:color="0077BD"/>
              <w:right w:val="single" w:sz="8" w:space="0" w:color="0077BD"/>
            </w:tcBorders>
            <w:shd w:val="clear" w:color="auto" w:fill="auto"/>
            <w:vAlign w:val="center"/>
          </w:tcPr>
          <w:p w14:paraId="48C05B13" w14:textId="1BD2CDA7"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(1 382)</w:t>
            </w:r>
          </w:p>
        </w:tc>
        <w:tc>
          <w:tcPr>
            <w:tcW w:w="907" w:type="dxa"/>
            <w:tcBorders>
              <w:top w:val="single" w:sz="8" w:space="0" w:color="0077BD"/>
              <w:left w:val="nil"/>
              <w:bottom w:val="single" w:sz="8" w:space="0" w:color="0077BD"/>
              <w:right w:val="nil"/>
            </w:tcBorders>
            <w:shd w:val="clear" w:color="auto" w:fill="auto"/>
            <w:vAlign w:val="center"/>
          </w:tcPr>
          <w:p w14:paraId="1672C2B8" w14:textId="012846B4" w:rsidR="00717412" w:rsidRPr="00BB7C9E" w:rsidRDefault="00717412" w:rsidP="00717412">
            <w:pPr>
              <w:jc w:val="right"/>
              <w:rPr>
                <w:rFonts w:cs="Calibri"/>
                <w:b/>
                <w:bCs/>
                <w:color w:val="000000" w:themeColor="text1"/>
                <w:sz w:val="11"/>
                <w:szCs w:val="11"/>
              </w:rPr>
            </w:pPr>
            <w:r w:rsidRPr="00BB7C9E">
              <w:rPr>
                <w:rFonts w:cs="Calibri"/>
                <w:b/>
                <w:bCs/>
                <w:color w:val="000000" w:themeColor="text1"/>
                <w:sz w:val="11"/>
                <w:szCs w:val="11"/>
              </w:rPr>
              <w:t>(4 362)</w:t>
            </w:r>
          </w:p>
        </w:tc>
      </w:tr>
    </w:tbl>
    <w:p w14:paraId="0F791587" w14:textId="44ED02E7" w:rsidR="00BC2E4C" w:rsidRDefault="00BC2E4C" w:rsidP="00BC2E4C">
      <w:pPr>
        <w:jc w:val="both"/>
        <w:rPr>
          <w:noProof/>
        </w:rPr>
      </w:pPr>
    </w:p>
    <w:tbl>
      <w:tblPr>
        <w:tblW w:w="0" w:type="auto"/>
        <w:tblCellMar>
          <w:left w:w="28" w:type="dxa"/>
          <w:right w:w="28" w:type="dxa"/>
        </w:tblCellMar>
        <w:tblLook w:val="04A0" w:firstRow="1" w:lastRow="0" w:firstColumn="1" w:lastColumn="0" w:noHBand="0" w:noVBand="1"/>
      </w:tblPr>
      <w:tblGrid>
        <w:gridCol w:w="2217"/>
        <w:gridCol w:w="907"/>
        <w:gridCol w:w="907"/>
        <w:gridCol w:w="907"/>
        <w:gridCol w:w="907"/>
        <w:gridCol w:w="943"/>
        <w:gridCol w:w="943"/>
        <w:gridCol w:w="943"/>
        <w:gridCol w:w="907"/>
      </w:tblGrid>
      <w:tr w:rsidR="00BC2E4C" w:rsidRPr="00BC2E4C" w14:paraId="30B3CDBC" w14:textId="77777777" w:rsidTr="00BC2E4C">
        <w:trPr>
          <w:trHeight w:val="851"/>
        </w:trPr>
        <w:tc>
          <w:tcPr>
            <w:tcW w:w="0" w:type="auto"/>
            <w:tcBorders>
              <w:top w:val="single" w:sz="8" w:space="0" w:color="FFFFFF"/>
              <w:left w:val="nil"/>
              <w:bottom w:val="nil"/>
              <w:right w:val="single" w:sz="8" w:space="0" w:color="FFFFFF"/>
            </w:tcBorders>
            <w:shd w:val="clear" w:color="000000" w:fill="0077BD"/>
            <w:vAlign w:val="center"/>
            <w:hideMark/>
          </w:tcPr>
          <w:p w14:paraId="5304612A" w14:textId="2B909C93" w:rsidR="00BC2E4C" w:rsidRPr="00BC2E4C" w:rsidRDefault="00F63F3E" w:rsidP="00BC2E4C">
            <w:pPr>
              <w:rPr>
                <w:rFonts w:cs="Calibri"/>
                <w:b/>
                <w:bCs/>
                <w:color w:val="FFFFFF"/>
                <w:sz w:val="11"/>
                <w:szCs w:val="11"/>
              </w:rPr>
            </w:pPr>
            <w:r>
              <w:rPr>
                <w:rFonts w:cs="Calibri"/>
                <w:b/>
                <w:bCs/>
                <w:color w:val="FFFFFF"/>
                <w:sz w:val="11"/>
                <w:szCs w:val="11"/>
              </w:rPr>
              <w:t>Zmiana w okresie od 1 stycznia</w:t>
            </w:r>
            <w:r>
              <w:rPr>
                <w:rFonts w:cs="Calibri"/>
                <w:b/>
                <w:bCs/>
                <w:color w:val="FFFFFF"/>
                <w:sz w:val="11"/>
                <w:szCs w:val="11"/>
              </w:rPr>
              <w:br/>
              <w:t>do 31 grudnia 2018 r.</w:t>
            </w:r>
          </w:p>
        </w:tc>
        <w:tc>
          <w:tcPr>
            <w:tcW w:w="907" w:type="dxa"/>
            <w:tcBorders>
              <w:top w:val="single" w:sz="8" w:space="0" w:color="FFFFFF"/>
              <w:left w:val="nil"/>
              <w:bottom w:val="nil"/>
              <w:right w:val="single" w:sz="8" w:space="0" w:color="FFFFFF"/>
            </w:tcBorders>
            <w:shd w:val="clear" w:color="000000" w:fill="0077BD"/>
            <w:vAlign w:val="center"/>
            <w:hideMark/>
          </w:tcPr>
          <w:p w14:paraId="6A106B9D"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Bilans otwarcia</w:t>
            </w:r>
          </w:p>
        </w:tc>
        <w:tc>
          <w:tcPr>
            <w:tcW w:w="907" w:type="dxa"/>
            <w:tcBorders>
              <w:top w:val="single" w:sz="8" w:space="0" w:color="FFFFFF"/>
              <w:left w:val="nil"/>
              <w:bottom w:val="nil"/>
              <w:right w:val="single" w:sz="8" w:space="0" w:color="FFFFFF"/>
            </w:tcBorders>
            <w:shd w:val="clear" w:color="000000" w:fill="0077BD"/>
            <w:vAlign w:val="center"/>
            <w:hideMark/>
          </w:tcPr>
          <w:p w14:paraId="12FD5156"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Transfer do Koszyka 1</w:t>
            </w:r>
          </w:p>
        </w:tc>
        <w:tc>
          <w:tcPr>
            <w:tcW w:w="907" w:type="dxa"/>
            <w:tcBorders>
              <w:top w:val="single" w:sz="8" w:space="0" w:color="FFFFFF"/>
              <w:left w:val="nil"/>
              <w:bottom w:val="nil"/>
              <w:right w:val="single" w:sz="8" w:space="0" w:color="FFFFFF"/>
            </w:tcBorders>
            <w:shd w:val="clear" w:color="000000" w:fill="0077BD"/>
            <w:vAlign w:val="center"/>
            <w:hideMark/>
          </w:tcPr>
          <w:p w14:paraId="1B2607EB"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Transfer do Koszyka 2</w:t>
            </w:r>
          </w:p>
        </w:tc>
        <w:tc>
          <w:tcPr>
            <w:tcW w:w="907" w:type="dxa"/>
            <w:tcBorders>
              <w:top w:val="single" w:sz="8" w:space="0" w:color="FFFFFF"/>
              <w:left w:val="nil"/>
              <w:bottom w:val="nil"/>
              <w:right w:val="single" w:sz="8" w:space="0" w:color="FFFFFF"/>
            </w:tcBorders>
            <w:shd w:val="clear" w:color="000000" w:fill="0077BD"/>
            <w:vAlign w:val="center"/>
            <w:hideMark/>
          </w:tcPr>
          <w:p w14:paraId="1D0A7447"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Transfer do Koszyka 3</w:t>
            </w:r>
          </w:p>
        </w:tc>
        <w:tc>
          <w:tcPr>
            <w:tcW w:w="907" w:type="dxa"/>
            <w:tcBorders>
              <w:top w:val="single" w:sz="8" w:space="0" w:color="FFFFFF"/>
              <w:left w:val="nil"/>
              <w:bottom w:val="nil"/>
              <w:right w:val="single" w:sz="8" w:space="0" w:color="FFFFFF"/>
            </w:tcBorders>
            <w:shd w:val="clear" w:color="000000" w:fill="0077BD"/>
            <w:vAlign w:val="center"/>
            <w:hideMark/>
          </w:tcPr>
          <w:p w14:paraId="351B7A39"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Zwiększenia spowodowane udzieleniem oraz przejęciem</w:t>
            </w:r>
          </w:p>
        </w:tc>
        <w:tc>
          <w:tcPr>
            <w:tcW w:w="907" w:type="dxa"/>
            <w:tcBorders>
              <w:top w:val="single" w:sz="8" w:space="0" w:color="FFFFFF"/>
              <w:left w:val="nil"/>
              <w:bottom w:val="nil"/>
              <w:right w:val="single" w:sz="8" w:space="0" w:color="FFFFFF"/>
            </w:tcBorders>
            <w:shd w:val="clear" w:color="000000" w:fill="0077BD"/>
            <w:vAlign w:val="center"/>
            <w:hideMark/>
          </w:tcPr>
          <w:p w14:paraId="7A2C998C" w14:textId="574889A6" w:rsidR="00BC2E4C" w:rsidRPr="00BC2E4C" w:rsidRDefault="00BC2E4C" w:rsidP="00BC2E4C">
            <w:pPr>
              <w:jc w:val="center"/>
              <w:rPr>
                <w:rFonts w:cs="Calibri"/>
                <w:b/>
                <w:bCs/>
                <w:color w:val="FFFFFF"/>
                <w:sz w:val="11"/>
                <w:szCs w:val="11"/>
              </w:rPr>
            </w:pPr>
            <w:r w:rsidRPr="00BC2E4C">
              <w:rPr>
                <w:rFonts w:cs="Calibri"/>
                <w:b/>
                <w:bCs/>
                <w:color w:val="FFFFFF"/>
                <w:sz w:val="11"/>
                <w:szCs w:val="11"/>
              </w:rPr>
              <w:t>Zmniejszenia spowodowane usunięciem</w:t>
            </w:r>
            <w:r>
              <w:rPr>
                <w:rFonts w:cs="Calibri"/>
                <w:b/>
                <w:bCs/>
                <w:color w:val="FFFFFF"/>
                <w:sz w:val="11"/>
                <w:szCs w:val="11"/>
              </w:rPr>
              <w:br/>
            </w:r>
            <w:r w:rsidRPr="00BC2E4C">
              <w:rPr>
                <w:rFonts w:cs="Calibri"/>
                <w:b/>
                <w:bCs/>
                <w:color w:val="FFFFFF"/>
                <w:sz w:val="11"/>
                <w:szCs w:val="11"/>
              </w:rPr>
              <w:t xml:space="preserve"> z bilansu</w:t>
            </w:r>
          </w:p>
        </w:tc>
        <w:tc>
          <w:tcPr>
            <w:tcW w:w="907" w:type="dxa"/>
            <w:tcBorders>
              <w:top w:val="single" w:sz="8" w:space="0" w:color="FFFFFF"/>
              <w:left w:val="nil"/>
              <w:bottom w:val="nil"/>
              <w:right w:val="single" w:sz="8" w:space="0" w:color="FFFFFF"/>
            </w:tcBorders>
            <w:shd w:val="clear" w:color="000000" w:fill="0077BD"/>
            <w:vAlign w:val="center"/>
            <w:hideMark/>
          </w:tcPr>
          <w:p w14:paraId="1C0B7C95"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Zmiany spowodowane zmianą ryzyka kredytowego (netto)</w:t>
            </w:r>
          </w:p>
        </w:tc>
        <w:tc>
          <w:tcPr>
            <w:tcW w:w="907" w:type="dxa"/>
            <w:tcBorders>
              <w:top w:val="single" w:sz="8" w:space="0" w:color="FFFFFF"/>
              <w:left w:val="nil"/>
              <w:bottom w:val="nil"/>
              <w:right w:val="nil"/>
            </w:tcBorders>
            <w:shd w:val="clear" w:color="000000" w:fill="0077BD"/>
            <w:vAlign w:val="center"/>
            <w:hideMark/>
          </w:tcPr>
          <w:p w14:paraId="7FB7292E" w14:textId="77777777" w:rsidR="00BC2E4C" w:rsidRPr="00BC2E4C" w:rsidRDefault="00BC2E4C" w:rsidP="00BC2E4C">
            <w:pPr>
              <w:jc w:val="center"/>
              <w:rPr>
                <w:rFonts w:cs="Calibri"/>
                <w:b/>
                <w:bCs/>
                <w:color w:val="FFFFFF"/>
                <w:sz w:val="11"/>
                <w:szCs w:val="11"/>
              </w:rPr>
            </w:pPr>
            <w:r w:rsidRPr="00BC2E4C">
              <w:rPr>
                <w:rFonts w:cs="Calibri"/>
                <w:b/>
                <w:bCs/>
                <w:color w:val="FFFFFF"/>
                <w:sz w:val="11"/>
                <w:szCs w:val="11"/>
              </w:rPr>
              <w:t>Bilans zamknięcia</w:t>
            </w:r>
          </w:p>
        </w:tc>
      </w:tr>
      <w:tr w:rsidR="00BC2E4C" w:rsidRPr="00BB7C9E" w14:paraId="41B3622C" w14:textId="77777777" w:rsidTr="00BC2E4C">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CE8813B" w14:textId="77777777" w:rsidR="00BC2E4C" w:rsidRPr="00BB7C9E" w:rsidRDefault="00BC2E4C" w:rsidP="00BC2E4C">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7EB2AFC3"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(4 655)</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280DCB72"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344294C7"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79527141"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6ACFB815"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(757)</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3DD5E601"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1 838</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51E58F40"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(961)</w:t>
            </w:r>
          </w:p>
        </w:tc>
        <w:tc>
          <w:tcPr>
            <w:tcW w:w="907" w:type="dxa"/>
            <w:tcBorders>
              <w:top w:val="single" w:sz="8" w:space="0" w:color="0077BD"/>
              <w:left w:val="nil"/>
              <w:bottom w:val="single" w:sz="8" w:space="0" w:color="0077BD"/>
              <w:right w:val="nil"/>
            </w:tcBorders>
            <w:shd w:val="clear" w:color="auto" w:fill="auto"/>
            <w:vAlign w:val="center"/>
            <w:hideMark/>
          </w:tcPr>
          <w:p w14:paraId="6EB570C0"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(4 535)</w:t>
            </w:r>
          </w:p>
        </w:tc>
      </w:tr>
      <w:tr w:rsidR="00BC2E4C" w:rsidRPr="00BB7C9E" w14:paraId="488CF19C" w14:textId="77777777" w:rsidTr="00BC2E4C">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9CA0588" w14:textId="77777777" w:rsidR="00BC2E4C" w:rsidRPr="00BB7C9E" w:rsidRDefault="00BC2E4C" w:rsidP="00BC2E4C">
            <w:pPr>
              <w:rPr>
                <w:rFonts w:cs="Calibri"/>
                <w:color w:val="000000" w:themeColor="text1"/>
                <w:sz w:val="11"/>
                <w:szCs w:val="11"/>
              </w:rPr>
            </w:pPr>
            <w:r w:rsidRPr="00BB7C9E">
              <w:rPr>
                <w:rFonts w:cs="Calibri"/>
                <w:color w:val="000000" w:themeColor="text1"/>
                <w:sz w:val="11"/>
                <w:szCs w:val="11"/>
              </w:rPr>
              <w:t>Koszyk 1</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7642FA2F"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(4 655)</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0284DDBB"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3E3AFDC4"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51</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78260FD5"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673A6818"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(757)</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46B85B87"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1 838</w:t>
            </w:r>
          </w:p>
        </w:tc>
        <w:tc>
          <w:tcPr>
            <w:tcW w:w="907" w:type="dxa"/>
            <w:tcBorders>
              <w:top w:val="single" w:sz="4" w:space="0" w:color="0077BD"/>
              <w:left w:val="nil"/>
              <w:bottom w:val="single" w:sz="4" w:space="0" w:color="0077BD"/>
              <w:right w:val="single" w:sz="8" w:space="0" w:color="0077BD"/>
            </w:tcBorders>
            <w:shd w:val="clear" w:color="auto" w:fill="auto"/>
            <w:vAlign w:val="center"/>
            <w:hideMark/>
          </w:tcPr>
          <w:p w14:paraId="299C18B8"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(648)</w:t>
            </w:r>
          </w:p>
        </w:tc>
        <w:tc>
          <w:tcPr>
            <w:tcW w:w="907" w:type="dxa"/>
            <w:tcBorders>
              <w:top w:val="single" w:sz="4" w:space="0" w:color="0077BD"/>
              <w:left w:val="nil"/>
              <w:bottom w:val="single" w:sz="4" w:space="0" w:color="0077BD"/>
              <w:right w:val="nil"/>
            </w:tcBorders>
            <w:shd w:val="clear" w:color="auto" w:fill="auto"/>
            <w:vAlign w:val="center"/>
            <w:hideMark/>
          </w:tcPr>
          <w:p w14:paraId="646D1A0B"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(4 171)</w:t>
            </w:r>
          </w:p>
        </w:tc>
      </w:tr>
      <w:tr w:rsidR="00BC2E4C" w:rsidRPr="00BB7C9E" w14:paraId="052FCEBE" w14:textId="77777777" w:rsidTr="00BC2E4C">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21DD0CD" w14:textId="77777777" w:rsidR="00BC2E4C" w:rsidRPr="00BB7C9E" w:rsidRDefault="00BC2E4C" w:rsidP="00BC2E4C">
            <w:pPr>
              <w:rPr>
                <w:rFonts w:cs="Calibri"/>
                <w:color w:val="000000" w:themeColor="text1"/>
                <w:sz w:val="11"/>
                <w:szCs w:val="11"/>
              </w:rPr>
            </w:pPr>
            <w:r w:rsidRPr="00BB7C9E">
              <w:rPr>
                <w:rFonts w:cs="Calibri"/>
                <w:color w:val="000000" w:themeColor="text1"/>
                <w:sz w:val="11"/>
                <w:szCs w:val="11"/>
              </w:rPr>
              <w:t>Koszyk 2</w:t>
            </w:r>
          </w:p>
        </w:tc>
        <w:tc>
          <w:tcPr>
            <w:tcW w:w="907" w:type="dxa"/>
            <w:tcBorders>
              <w:top w:val="nil"/>
              <w:left w:val="nil"/>
              <w:bottom w:val="single" w:sz="4" w:space="0" w:color="0077BD"/>
              <w:right w:val="single" w:sz="8" w:space="0" w:color="0077BD"/>
            </w:tcBorders>
            <w:shd w:val="clear" w:color="auto" w:fill="auto"/>
            <w:vAlign w:val="center"/>
            <w:hideMark/>
          </w:tcPr>
          <w:p w14:paraId="2CE02E3A"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hideMark/>
          </w:tcPr>
          <w:p w14:paraId="2F5A342C"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hideMark/>
          </w:tcPr>
          <w:p w14:paraId="3290524E"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(51)</w:t>
            </w:r>
          </w:p>
        </w:tc>
        <w:tc>
          <w:tcPr>
            <w:tcW w:w="907" w:type="dxa"/>
            <w:tcBorders>
              <w:top w:val="nil"/>
              <w:left w:val="nil"/>
              <w:bottom w:val="single" w:sz="4" w:space="0" w:color="0077BD"/>
              <w:right w:val="single" w:sz="8" w:space="0" w:color="0077BD"/>
            </w:tcBorders>
            <w:shd w:val="clear" w:color="auto" w:fill="auto"/>
            <w:vAlign w:val="center"/>
            <w:hideMark/>
          </w:tcPr>
          <w:p w14:paraId="65B23767"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hideMark/>
          </w:tcPr>
          <w:p w14:paraId="010445AF"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hideMark/>
          </w:tcPr>
          <w:p w14:paraId="1BF20732"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hideMark/>
          </w:tcPr>
          <w:p w14:paraId="2F0ABA9F"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(313)</w:t>
            </w:r>
          </w:p>
        </w:tc>
        <w:tc>
          <w:tcPr>
            <w:tcW w:w="907" w:type="dxa"/>
            <w:tcBorders>
              <w:top w:val="nil"/>
              <w:left w:val="nil"/>
              <w:bottom w:val="single" w:sz="4" w:space="0" w:color="0077BD"/>
              <w:right w:val="nil"/>
            </w:tcBorders>
            <w:shd w:val="clear" w:color="auto" w:fill="auto"/>
            <w:vAlign w:val="center"/>
            <w:hideMark/>
          </w:tcPr>
          <w:p w14:paraId="49A6203E" w14:textId="77777777" w:rsidR="00BC2E4C" w:rsidRPr="00BB7C9E" w:rsidRDefault="00BC2E4C" w:rsidP="00BC2E4C">
            <w:pPr>
              <w:jc w:val="right"/>
              <w:rPr>
                <w:rFonts w:cs="Calibri"/>
                <w:color w:val="000000" w:themeColor="text1"/>
                <w:sz w:val="11"/>
                <w:szCs w:val="11"/>
              </w:rPr>
            </w:pPr>
            <w:r w:rsidRPr="00BB7C9E">
              <w:rPr>
                <w:rFonts w:cs="Calibri"/>
                <w:color w:val="000000" w:themeColor="text1"/>
                <w:sz w:val="11"/>
                <w:szCs w:val="11"/>
              </w:rPr>
              <w:t>(364)</w:t>
            </w:r>
          </w:p>
        </w:tc>
      </w:tr>
      <w:tr w:rsidR="00BC2E4C" w:rsidRPr="00BB7C9E" w14:paraId="4D7D2D4C" w14:textId="77777777" w:rsidTr="00BC2E4C">
        <w:trPr>
          <w:trHeight w:val="39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161B1383" w14:textId="5071E144" w:rsidR="00BC2E4C" w:rsidRPr="00BB7C9E" w:rsidRDefault="004D2570" w:rsidP="00BC2E4C">
            <w:pPr>
              <w:rPr>
                <w:rFonts w:cs="Calibri"/>
                <w:b/>
                <w:bCs/>
                <w:color w:val="000000" w:themeColor="text1"/>
                <w:sz w:val="11"/>
                <w:szCs w:val="11"/>
              </w:rPr>
            </w:pPr>
            <w:r>
              <w:rPr>
                <w:rFonts w:cs="Calibri"/>
                <w:b/>
                <w:bCs/>
                <w:color w:val="000000" w:themeColor="text1"/>
                <w:sz w:val="11"/>
                <w:szCs w:val="11"/>
              </w:rPr>
              <w:t>Skumulowana utrata wartości</w:t>
            </w:r>
            <w:r w:rsidR="00BC2E4C" w:rsidRPr="00BB7C9E">
              <w:rPr>
                <w:rFonts w:cs="Calibri"/>
                <w:b/>
                <w:bCs/>
                <w:color w:val="000000" w:themeColor="text1"/>
                <w:sz w:val="11"/>
                <w:szCs w:val="11"/>
              </w:rPr>
              <w:t>, razem</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27C83CD1"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(4 655)</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47D1E88E"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5AD36620"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7B01D1F5"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0FE09945"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(757)</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3664A9E2"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1 838</w:t>
            </w:r>
          </w:p>
        </w:tc>
        <w:tc>
          <w:tcPr>
            <w:tcW w:w="907" w:type="dxa"/>
            <w:tcBorders>
              <w:top w:val="single" w:sz="8" w:space="0" w:color="0077BD"/>
              <w:left w:val="nil"/>
              <w:bottom w:val="single" w:sz="8" w:space="0" w:color="0077BD"/>
              <w:right w:val="single" w:sz="8" w:space="0" w:color="0077BD"/>
            </w:tcBorders>
            <w:shd w:val="clear" w:color="auto" w:fill="auto"/>
            <w:vAlign w:val="center"/>
            <w:hideMark/>
          </w:tcPr>
          <w:p w14:paraId="4ED61752"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(961)</w:t>
            </w:r>
          </w:p>
        </w:tc>
        <w:tc>
          <w:tcPr>
            <w:tcW w:w="907" w:type="dxa"/>
            <w:tcBorders>
              <w:top w:val="single" w:sz="8" w:space="0" w:color="0077BD"/>
              <w:left w:val="nil"/>
              <w:bottom w:val="single" w:sz="8" w:space="0" w:color="0077BD"/>
              <w:right w:val="nil"/>
            </w:tcBorders>
            <w:shd w:val="clear" w:color="auto" w:fill="auto"/>
            <w:vAlign w:val="center"/>
            <w:hideMark/>
          </w:tcPr>
          <w:p w14:paraId="064984ED" w14:textId="77777777" w:rsidR="00BC2E4C" w:rsidRPr="00BB7C9E" w:rsidRDefault="00BC2E4C" w:rsidP="00BC2E4C">
            <w:pPr>
              <w:jc w:val="right"/>
              <w:rPr>
                <w:rFonts w:cs="Calibri"/>
                <w:b/>
                <w:bCs/>
                <w:color w:val="000000" w:themeColor="text1"/>
                <w:sz w:val="11"/>
                <w:szCs w:val="11"/>
              </w:rPr>
            </w:pPr>
            <w:r w:rsidRPr="00BB7C9E">
              <w:rPr>
                <w:rFonts w:cs="Calibri"/>
                <w:b/>
                <w:bCs/>
                <w:color w:val="000000" w:themeColor="text1"/>
                <w:sz w:val="11"/>
                <w:szCs w:val="11"/>
              </w:rPr>
              <w:t>(4 535)</w:t>
            </w:r>
          </w:p>
        </w:tc>
      </w:tr>
    </w:tbl>
    <w:p w14:paraId="136433CD" w14:textId="1FFB7937" w:rsidR="00884152" w:rsidRPr="00BB7C9E" w:rsidRDefault="00884152" w:rsidP="00EC4602">
      <w:pPr>
        <w:spacing w:before="120" w:after="120"/>
        <w:jc w:val="both"/>
        <w:rPr>
          <w:b/>
          <w:noProof/>
          <w:color w:val="000000" w:themeColor="text1"/>
          <w:sz w:val="18"/>
          <w:szCs w:val="18"/>
        </w:rPr>
      </w:pPr>
      <w:r w:rsidRPr="00BB7C9E">
        <w:rPr>
          <w:b/>
          <w:noProof/>
          <w:color w:val="000000" w:themeColor="text1"/>
          <w:sz w:val="18"/>
          <w:szCs w:val="18"/>
        </w:rPr>
        <w:t>Wyjaśnienie przełożenia się znacznych zmian wartości bilansowej brutto instrumentów finansowyc</w:t>
      </w:r>
      <w:r w:rsidR="00355E61">
        <w:rPr>
          <w:b/>
          <w:noProof/>
          <w:color w:val="000000" w:themeColor="text1"/>
          <w:sz w:val="18"/>
          <w:szCs w:val="18"/>
        </w:rPr>
        <w:t>h podczas okresu na zmiany oczekiwanych strat kredytowych</w:t>
      </w:r>
    </w:p>
    <w:tbl>
      <w:tblPr>
        <w:tblW w:w="9639" w:type="dxa"/>
        <w:tblLayout w:type="fixed"/>
        <w:tblCellMar>
          <w:left w:w="28" w:type="dxa"/>
          <w:right w:w="28" w:type="dxa"/>
        </w:tblCellMar>
        <w:tblLook w:val="04A0" w:firstRow="1" w:lastRow="0" w:firstColumn="1" w:lastColumn="0" w:noHBand="0" w:noVBand="1"/>
      </w:tblPr>
      <w:tblGrid>
        <w:gridCol w:w="2268"/>
        <w:gridCol w:w="907"/>
        <w:gridCol w:w="907"/>
        <w:gridCol w:w="880"/>
        <w:gridCol w:w="850"/>
        <w:gridCol w:w="991"/>
        <w:gridCol w:w="994"/>
        <w:gridCol w:w="850"/>
        <w:gridCol w:w="992"/>
      </w:tblGrid>
      <w:tr w:rsidR="00EC4602" w:rsidRPr="002A05C6" w14:paraId="2EBF31CB" w14:textId="77777777" w:rsidTr="00EC4602">
        <w:trPr>
          <w:trHeight w:val="851"/>
        </w:trPr>
        <w:tc>
          <w:tcPr>
            <w:tcW w:w="2268" w:type="dxa"/>
            <w:tcBorders>
              <w:top w:val="single" w:sz="8" w:space="0" w:color="FFFFFF"/>
              <w:left w:val="nil"/>
              <w:bottom w:val="nil"/>
              <w:right w:val="single" w:sz="8" w:space="0" w:color="FFFFFF"/>
            </w:tcBorders>
            <w:shd w:val="clear" w:color="000000" w:fill="0077BD"/>
            <w:vAlign w:val="center"/>
            <w:hideMark/>
          </w:tcPr>
          <w:p w14:paraId="37F46252" w14:textId="2D6AB13B" w:rsidR="00EC4602" w:rsidRPr="002A05C6" w:rsidRDefault="00F63F3E" w:rsidP="0042125C">
            <w:pPr>
              <w:rPr>
                <w:rFonts w:cs="Calibri"/>
                <w:b/>
                <w:bCs/>
                <w:color w:val="FFFFFF"/>
                <w:sz w:val="11"/>
                <w:szCs w:val="11"/>
              </w:rPr>
            </w:pPr>
            <w:r>
              <w:rPr>
                <w:rFonts w:cs="Calibri"/>
                <w:b/>
                <w:bCs/>
                <w:color w:val="FFFFFF"/>
                <w:sz w:val="11"/>
                <w:szCs w:val="11"/>
              </w:rPr>
              <w:t>Zmiana w okresie od 1 stycznia</w:t>
            </w:r>
            <w:r>
              <w:rPr>
                <w:rFonts w:cs="Calibri"/>
                <w:b/>
                <w:bCs/>
                <w:color w:val="FFFFFF"/>
                <w:sz w:val="11"/>
                <w:szCs w:val="11"/>
              </w:rPr>
              <w:br/>
              <w:t>do 31 grudnia 2019 r.</w:t>
            </w:r>
          </w:p>
        </w:tc>
        <w:tc>
          <w:tcPr>
            <w:tcW w:w="907" w:type="dxa"/>
            <w:tcBorders>
              <w:top w:val="single" w:sz="8" w:space="0" w:color="FFFFFF"/>
              <w:left w:val="nil"/>
              <w:bottom w:val="nil"/>
              <w:right w:val="single" w:sz="8" w:space="0" w:color="FFFFFF"/>
            </w:tcBorders>
            <w:shd w:val="clear" w:color="000000" w:fill="0077BD"/>
            <w:vAlign w:val="center"/>
            <w:hideMark/>
          </w:tcPr>
          <w:p w14:paraId="356CA2CE"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Bilans otwarcia</w:t>
            </w:r>
          </w:p>
        </w:tc>
        <w:tc>
          <w:tcPr>
            <w:tcW w:w="907" w:type="dxa"/>
            <w:tcBorders>
              <w:top w:val="single" w:sz="8" w:space="0" w:color="FFFFFF"/>
              <w:left w:val="nil"/>
              <w:bottom w:val="nil"/>
              <w:right w:val="single" w:sz="8" w:space="0" w:color="FFFFFF"/>
            </w:tcBorders>
            <w:shd w:val="clear" w:color="000000" w:fill="0077BD"/>
            <w:vAlign w:val="center"/>
            <w:hideMark/>
          </w:tcPr>
          <w:p w14:paraId="23AE8976"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1</w:t>
            </w:r>
          </w:p>
        </w:tc>
        <w:tc>
          <w:tcPr>
            <w:tcW w:w="880" w:type="dxa"/>
            <w:tcBorders>
              <w:top w:val="single" w:sz="8" w:space="0" w:color="FFFFFF"/>
              <w:left w:val="nil"/>
              <w:bottom w:val="nil"/>
              <w:right w:val="single" w:sz="8" w:space="0" w:color="FFFFFF"/>
            </w:tcBorders>
            <w:shd w:val="clear" w:color="000000" w:fill="0077BD"/>
            <w:vAlign w:val="center"/>
            <w:hideMark/>
          </w:tcPr>
          <w:p w14:paraId="79DC386C"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2</w:t>
            </w:r>
          </w:p>
        </w:tc>
        <w:tc>
          <w:tcPr>
            <w:tcW w:w="850" w:type="dxa"/>
            <w:tcBorders>
              <w:top w:val="single" w:sz="8" w:space="0" w:color="FFFFFF"/>
              <w:left w:val="nil"/>
              <w:bottom w:val="nil"/>
              <w:right w:val="single" w:sz="8" w:space="0" w:color="FFFFFF"/>
            </w:tcBorders>
            <w:shd w:val="clear" w:color="000000" w:fill="0077BD"/>
            <w:vAlign w:val="center"/>
            <w:hideMark/>
          </w:tcPr>
          <w:p w14:paraId="106D8F28"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3</w:t>
            </w:r>
          </w:p>
        </w:tc>
        <w:tc>
          <w:tcPr>
            <w:tcW w:w="991" w:type="dxa"/>
            <w:tcBorders>
              <w:top w:val="single" w:sz="8" w:space="0" w:color="FFFFFF"/>
              <w:left w:val="nil"/>
              <w:bottom w:val="nil"/>
              <w:right w:val="single" w:sz="8" w:space="0" w:color="FFFFFF"/>
            </w:tcBorders>
            <w:shd w:val="clear" w:color="000000" w:fill="0077BD"/>
            <w:vAlign w:val="center"/>
            <w:hideMark/>
          </w:tcPr>
          <w:p w14:paraId="5619B830"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Zwiększenia spowodowane udzieleniem oraz przejęciem</w:t>
            </w:r>
          </w:p>
        </w:tc>
        <w:tc>
          <w:tcPr>
            <w:tcW w:w="994" w:type="dxa"/>
            <w:tcBorders>
              <w:top w:val="single" w:sz="8" w:space="0" w:color="FFFFFF"/>
              <w:left w:val="nil"/>
              <w:bottom w:val="nil"/>
              <w:right w:val="single" w:sz="8" w:space="0" w:color="FFFFFF"/>
            </w:tcBorders>
            <w:shd w:val="clear" w:color="000000" w:fill="0077BD"/>
            <w:vAlign w:val="center"/>
            <w:hideMark/>
          </w:tcPr>
          <w:p w14:paraId="33BBEE4B"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 xml:space="preserve">Zmniejszenia spowodowane usunięciem </w:t>
            </w:r>
            <w:r>
              <w:rPr>
                <w:rFonts w:cs="Calibri"/>
                <w:b/>
                <w:bCs/>
                <w:color w:val="FFFFFF"/>
                <w:sz w:val="11"/>
                <w:szCs w:val="11"/>
              </w:rPr>
              <w:br/>
            </w:r>
            <w:r w:rsidRPr="002A05C6">
              <w:rPr>
                <w:rFonts w:cs="Calibri"/>
                <w:b/>
                <w:bCs/>
                <w:color w:val="FFFFFF"/>
                <w:sz w:val="11"/>
                <w:szCs w:val="11"/>
              </w:rPr>
              <w:t>z bilansu</w:t>
            </w:r>
          </w:p>
        </w:tc>
        <w:tc>
          <w:tcPr>
            <w:tcW w:w="850" w:type="dxa"/>
            <w:tcBorders>
              <w:top w:val="single" w:sz="8" w:space="0" w:color="FFFFFF"/>
              <w:left w:val="nil"/>
              <w:bottom w:val="nil"/>
              <w:right w:val="single" w:sz="8" w:space="0" w:color="FFFFFF"/>
            </w:tcBorders>
            <w:shd w:val="clear" w:color="000000" w:fill="0077BD"/>
            <w:vAlign w:val="center"/>
            <w:hideMark/>
          </w:tcPr>
          <w:p w14:paraId="4BB17974"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Inne korekty</w:t>
            </w:r>
          </w:p>
        </w:tc>
        <w:tc>
          <w:tcPr>
            <w:tcW w:w="992" w:type="dxa"/>
            <w:tcBorders>
              <w:top w:val="single" w:sz="8" w:space="0" w:color="FFFFFF"/>
              <w:left w:val="nil"/>
              <w:bottom w:val="nil"/>
              <w:right w:val="nil"/>
            </w:tcBorders>
            <w:shd w:val="clear" w:color="000000" w:fill="0077BD"/>
            <w:vAlign w:val="center"/>
            <w:hideMark/>
          </w:tcPr>
          <w:p w14:paraId="728D388B"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Bilans zamknięcia</w:t>
            </w:r>
          </w:p>
        </w:tc>
      </w:tr>
      <w:tr w:rsidR="008B101F" w:rsidRPr="00BB7C9E" w14:paraId="11A7BDE3" w14:textId="77777777" w:rsidTr="00CA5E84">
        <w:trPr>
          <w:trHeight w:val="284"/>
        </w:trPr>
        <w:tc>
          <w:tcPr>
            <w:tcW w:w="2268" w:type="dxa"/>
            <w:tcBorders>
              <w:top w:val="single" w:sz="8" w:space="0" w:color="0077BD"/>
              <w:left w:val="nil"/>
              <w:bottom w:val="single" w:sz="8" w:space="0" w:color="0077BD"/>
              <w:right w:val="single" w:sz="8" w:space="0" w:color="0077BD"/>
            </w:tcBorders>
            <w:shd w:val="clear" w:color="auto" w:fill="auto"/>
            <w:vAlign w:val="center"/>
            <w:hideMark/>
          </w:tcPr>
          <w:p w14:paraId="77E617FA" w14:textId="77777777" w:rsidR="008B101F" w:rsidRPr="00BB7C9E" w:rsidRDefault="008B101F" w:rsidP="008B101F">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907"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132CCDA" w14:textId="46CE6E93"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24 342 819</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24E9AAED" w14:textId="36C567F0"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880" w:type="dxa"/>
            <w:tcBorders>
              <w:top w:val="single" w:sz="8" w:space="0" w:color="0077BD"/>
              <w:left w:val="nil"/>
              <w:bottom w:val="single" w:sz="8" w:space="0" w:color="0077BD"/>
              <w:right w:val="single" w:sz="8" w:space="0" w:color="0077BD"/>
            </w:tcBorders>
            <w:shd w:val="clear" w:color="auto" w:fill="auto"/>
            <w:vAlign w:val="center"/>
          </w:tcPr>
          <w:p w14:paraId="334F16DF" w14:textId="4DE4D7BD"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7C2D3B81" w14:textId="18DF985E"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991" w:type="dxa"/>
            <w:tcBorders>
              <w:top w:val="single" w:sz="8" w:space="0" w:color="0077BD"/>
              <w:left w:val="nil"/>
              <w:bottom w:val="single" w:sz="8" w:space="0" w:color="0077BD"/>
              <w:right w:val="single" w:sz="8" w:space="0" w:color="0077BD"/>
            </w:tcBorders>
            <w:shd w:val="clear" w:color="auto" w:fill="auto"/>
            <w:vAlign w:val="center"/>
          </w:tcPr>
          <w:p w14:paraId="6E50C38A" w14:textId="702BAC6A"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15 882 431</w:t>
            </w:r>
          </w:p>
        </w:tc>
        <w:tc>
          <w:tcPr>
            <w:tcW w:w="994" w:type="dxa"/>
            <w:tcBorders>
              <w:top w:val="single" w:sz="8" w:space="0" w:color="0077BD"/>
              <w:left w:val="nil"/>
              <w:bottom w:val="single" w:sz="8" w:space="0" w:color="0077BD"/>
              <w:right w:val="single" w:sz="8" w:space="0" w:color="0077BD"/>
            </w:tcBorders>
            <w:shd w:val="clear" w:color="auto" w:fill="auto"/>
            <w:vAlign w:val="center"/>
          </w:tcPr>
          <w:p w14:paraId="2B6A72C1" w14:textId="62727E1F"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(18 387 362)</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2DC12610" w14:textId="60670EA3"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940 395</w:t>
            </w:r>
          </w:p>
        </w:tc>
        <w:tc>
          <w:tcPr>
            <w:tcW w:w="992" w:type="dxa"/>
            <w:tcBorders>
              <w:top w:val="single" w:sz="8" w:space="0" w:color="0077BD"/>
              <w:left w:val="nil"/>
              <w:bottom w:val="single" w:sz="8" w:space="0" w:color="0077BD"/>
              <w:right w:val="nil"/>
            </w:tcBorders>
            <w:shd w:val="clear" w:color="auto" w:fill="auto"/>
            <w:vAlign w:val="center"/>
          </w:tcPr>
          <w:p w14:paraId="65DE0662" w14:textId="3D239D0E"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22 778 283</w:t>
            </w:r>
          </w:p>
        </w:tc>
      </w:tr>
      <w:tr w:rsidR="008B101F" w:rsidRPr="00BB7C9E" w14:paraId="64AB7F46" w14:textId="77777777" w:rsidTr="00CA5E84">
        <w:trPr>
          <w:trHeight w:val="284"/>
        </w:trPr>
        <w:tc>
          <w:tcPr>
            <w:tcW w:w="2268" w:type="dxa"/>
            <w:tcBorders>
              <w:top w:val="single" w:sz="4" w:space="0" w:color="0077BD"/>
              <w:left w:val="nil"/>
              <w:bottom w:val="single" w:sz="4" w:space="0" w:color="0077BD"/>
              <w:right w:val="single" w:sz="8" w:space="0" w:color="0077BD"/>
            </w:tcBorders>
            <w:shd w:val="clear" w:color="auto" w:fill="auto"/>
            <w:vAlign w:val="center"/>
            <w:hideMark/>
          </w:tcPr>
          <w:p w14:paraId="6B2C7099" w14:textId="77777777" w:rsidR="008B101F" w:rsidRPr="00BB7C9E" w:rsidRDefault="008B101F" w:rsidP="008B101F">
            <w:pPr>
              <w:rPr>
                <w:rFonts w:cs="Calibri"/>
                <w:color w:val="000000" w:themeColor="text1"/>
                <w:sz w:val="11"/>
                <w:szCs w:val="11"/>
              </w:rPr>
            </w:pPr>
            <w:r w:rsidRPr="00BB7C9E">
              <w:rPr>
                <w:rFonts w:cs="Calibri"/>
                <w:color w:val="000000" w:themeColor="text1"/>
                <w:sz w:val="11"/>
                <w:szCs w:val="11"/>
              </w:rPr>
              <w:t>Koszyk 1</w:t>
            </w:r>
          </w:p>
        </w:tc>
        <w:tc>
          <w:tcPr>
            <w:tcW w:w="907"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2E89432" w14:textId="13D46284"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24 321 098</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4F8A0A52" w14:textId="48464098"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12 952</w:t>
            </w:r>
          </w:p>
        </w:tc>
        <w:tc>
          <w:tcPr>
            <w:tcW w:w="880" w:type="dxa"/>
            <w:tcBorders>
              <w:top w:val="single" w:sz="4" w:space="0" w:color="0077BD"/>
              <w:left w:val="nil"/>
              <w:bottom w:val="single" w:sz="4" w:space="0" w:color="0077BD"/>
              <w:right w:val="single" w:sz="8" w:space="0" w:color="0077BD"/>
            </w:tcBorders>
            <w:shd w:val="clear" w:color="auto" w:fill="auto"/>
            <w:vAlign w:val="center"/>
          </w:tcPr>
          <w:p w14:paraId="7DBAC28D" w14:textId="1BD91EF0"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(40 218)</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00C6A877" w14:textId="3F699E89"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w:t>
            </w:r>
          </w:p>
        </w:tc>
        <w:tc>
          <w:tcPr>
            <w:tcW w:w="991" w:type="dxa"/>
            <w:tcBorders>
              <w:top w:val="single" w:sz="4" w:space="0" w:color="0077BD"/>
              <w:left w:val="nil"/>
              <w:bottom w:val="single" w:sz="4" w:space="0" w:color="0077BD"/>
              <w:right w:val="single" w:sz="8" w:space="0" w:color="0077BD"/>
            </w:tcBorders>
            <w:shd w:val="clear" w:color="auto" w:fill="auto"/>
            <w:vAlign w:val="center"/>
          </w:tcPr>
          <w:p w14:paraId="60399FD7" w14:textId="0DC519CC"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15 882 431</w:t>
            </w:r>
          </w:p>
        </w:tc>
        <w:tc>
          <w:tcPr>
            <w:tcW w:w="994" w:type="dxa"/>
            <w:tcBorders>
              <w:top w:val="single" w:sz="4" w:space="0" w:color="0077BD"/>
              <w:left w:val="nil"/>
              <w:bottom w:val="single" w:sz="4" w:space="0" w:color="0077BD"/>
              <w:right w:val="single" w:sz="8" w:space="0" w:color="0077BD"/>
            </w:tcBorders>
            <w:shd w:val="clear" w:color="auto" w:fill="auto"/>
            <w:vAlign w:val="center"/>
          </w:tcPr>
          <w:p w14:paraId="1DB5E74E" w14:textId="63E11509"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(18 378 592)</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6677655D" w14:textId="52C8D102"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939 491</w:t>
            </w:r>
          </w:p>
        </w:tc>
        <w:tc>
          <w:tcPr>
            <w:tcW w:w="992" w:type="dxa"/>
            <w:tcBorders>
              <w:top w:val="single" w:sz="4" w:space="0" w:color="0077BD"/>
              <w:left w:val="nil"/>
              <w:bottom w:val="single" w:sz="4" w:space="0" w:color="0077BD"/>
              <w:right w:val="nil"/>
            </w:tcBorders>
            <w:shd w:val="clear" w:color="auto" w:fill="auto"/>
            <w:vAlign w:val="center"/>
          </w:tcPr>
          <w:p w14:paraId="0D788C50" w14:textId="1610161F"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22 737 162</w:t>
            </w:r>
          </w:p>
        </w:tc>
      </w:tr>
      <w:tr w:rsidR="008B101F" w:rsidRPr="00BB7C9E" w14:paraId="7AD66359" w14:textId="77777777" w:rsidTr="00CA5E84">
        <w:trPr>
          <w:trHeight w:val="284"/>
        </w:trPr>
        <w:tc>
          <w:tcPr>
            <w:tcW w:w="2268" w:type="dxa"/>
            <w:tcBorders>
              <w:top w:val="nil"/>
              <w:left w:val="nil"/>
              <w:bottom w:val="single" w:sz="4" w:space="0" w:color="0077BD"/>
              <w:right w:val="single" w:sz="8" w:space="0" w:color="0077BD"/>
            </w:tcBorders>
            <w:shd w:val="clear" w:color="auto" w:fill="auto"/>
            <w:vAlign w:val="center"/>
            <w:hideMark/>
          </w:tcPr>
          <w:p w14:paraId="223E92B3" w14:textId="77777777" w:rsidR="008B101F" w:rsidRPr="00BB7C9E" w:rsidRDefault="008B101F" w:rsidP="008B101F">
            <w:pPr>
              <w:rPr>
                <w:rFonts w:cs="Calibri"/>
                <w:color w:val="000000" w:themeColor="text1"/>
                <w:sz w:val="11"/>
                <w:szCs w:val="11"/>
              </w:rPr>
            </w:pPr>
            <w:r w:rsidRPr="00BB7C9E">
              <w:rPr>
                <w:rFonts w:cs="Calibri"/>
                <w:color w:val="000000" w:themeColor="text1"/>
                <w:sz w:val="11"/>
                <w:szCs w:val="11"/>
              </w:rPr>
              <w:t>Koszyk 2</w:t>
            </w:r>
          </w:p>
        </w:tc>
        <w:tc>
          <w:tcPr>
            <w:tcW w:w="907" w:type="dxa"/>
            <w:tcBorders>
              <w:top w:val="nil"/>
              <w:left w:val="single" w:sz="8" w:space="0" w:color="0077BD"/>
              <w:bottom w:val="single" w:sz="4" w:space="0" w:color="0077BD"/>
              <w:right w:val="single" w:sz="8" w:space="0" w:color="0077BD"/>
            </w:tcBorders>
            <w:shd w:val="clear" w:color="auto" w:fill="auto"/>
            <w:vAlign w:val="center"/>
          </w:tcPr>
          <w:p w14:paraId="558E9094" w14:textId="247BB342"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21 721</w:t>
            </w:r>
          </w:p>
        </w:tc>
        <w:tc>
          <w:tcPr>
            <w:tcW w:w="907" w:type="dxa"/>
            <w:tcBorders>
              <w:top w:val="nil"/>
              <w:left w:val="nil"/>
              <w:bottom w:val="single" w:sz="4" w:space="0" w:color="0077BD"/>
              <w:right w:val="single" w:sz="8" w:space="0" w:color="0077BD"/>
            </w:tcBorders>
            <w:shd w:val="clear" w:color="auto" w:fill="auto"/>
            <w:vAlign w:val="center"/>
          </w:tcPr>
          <w:p w14:paraId="594D5668" w14:textId="571CB61A"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(12 952)</w:t>
            </w:r>
          </w:p>
        </w:tc>
        <w:tc>
          <w:tcPr>
            <w:tcW w:w="880" w:type="dxa"/>
            <w:tcBorders>
              <w:top w:val="nil"/>
              <w:left w:val="nil"/>
              <w:bottom w:val="single" w:sz="4" w:space="0" w:color="0077BD"/>
              <w:right w:val="single" w:sz="8" w:space="0" w:color="0077BD"/>
            </w:tcBorders>
            <w:shd w:val="clear" w:color="auto" w:fill="auto"/>
            <w:vAlign w:val="center"/>
          </w:tcPr>
          <w:p w14:paraId="06F8A90E" w14:textId="4E562C5B"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40 218</w:t>
            </w:r>
          </w:p>
        </w:tc>
        <w:tc>
          <w:tcPr>
            <w:tcW w:w="850" w:type="dxa"/>
            <w:tcBorders>
              <w:top w:val="nil"/>
              <w:left w:val="nil"/>
              <w:bottom w:val="single" w:sz="4" w:space="0" w:color="0077BD"/>
              <w:right w:val="single" w:sz="8" w:space="0" w:color="0077BD"/>
            </w:tcBorders>
            <w:shd w:val="clear" w:color="auto" w:fill="auto"/>
            <w:vAlign w:val="center"/>
          </w:tcPr>
          <w:p w14:paraId="0C7A2653" w14:textId="5618C433"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w:t>
            </w:r>
          </w:p>
        </w:tc>
        <w:tc>
          <w:tcPr>
            <w:tcW w:w="991" w:type="dxa"/>
            <w:tcBorders>
              <w:top w:val="nil"/>
              <w:left w:val="nil"/>
              <w:bottom w:val="single" w:sz="4" w:space="0" w:color="0077BD"/>
              <w:right w:val="single" w:sz="8" w:space="0" w:color="0077BD"/>
            </w:tcBorders>
            <w:shd w:val="clear" w:color="auto" w:fill="auto"/>
            <w:vAlign w:val="center"/>
          </w:tcPr>
          <w:p w14:paraId="451D0662" w14:textId="1D0A136E"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w:t>
            </w:r>
          </w:p>
        </w:tc>
        <w:tc>
          <w:tcPr>
            <w:tcW w:w="994" w:type="dxa"/>
            <w:tcBorders>
              <w:top w:val="nil"/>
              <w:left w:val="nil"/>
              <w:bottom w:val="single" w:sz="4" w:space="0" w:color="0077BD"/>
              <w:right w:val="single" w:sz="8" w:space="0" w:color="0077BD"/>
            </w:tcBorders>
            <w:shd w:val="clear" w:color="auto" w:fill="auto"/>
            <w:vAlign w:val="center"/>
          </w:tcPr>
          <w:p w14:paraId="058ABB57" w14:textId="37E8C716"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(8 770)</w:t>
            </w:r>
          </w:p>
        </w:tc>
        <w:tc>
          <w:tcPr>
            <w:tcW w:w="850" w:type="dxa"/>
            <w:tcBorders>
              <w:top w:val="nil"/>
              <w:left w:val="nil"/>
              <w:bottom w:val="single" w:sz="4" w:space="0" w:color="0077BD"/>
              <w:right w:val="single" w:sz="8" w:space="0" w:color="0077BD"/>
            </w:tcBorders>
            <w:shd w:val="clear" w:color="auto" w:fill="auto"/>
            <w:vAlign w:val="center"/>
          </w:tcPr>
          <w:p w14:paraId="3641B500" w14:textId="0F90890C"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904</w:t>
            </w:r>
          </w:p>
        </w:tc>
        <w:tc>
          <w:tcPr>
            <w:tcW w:w="992" w:type="dxa"/>
            <w:tcBorders>
              <w:top w:val="nil"/>
              <w:left w:val="nil"/>
              <w:bottom w:val="single" w:sz="4" w:space="0" w:color="0077BD"/>
              <w:right w:val="nil"/>
            </w:tcBorders>
            <w:shd w:val="clear" w:color="auto" w:fill="auto"/>
            <w:vAlign w:val="center"/>
          </w:tcPr>
          <w:p w14:paraId="11C983EA" w14:textId="38F76DEB" w:rsidR="008B101F" w:rsidRPr="008B101F" w:rsidRDefault="008B101F" w:rsidP="008B101F">
            <w:pPr>
              <w:jc w:val="right"/>
              <w:rPr>
                <w:rFonts w:cs="Calibri"/>
                <w:color w:val="000000" w:themeColor="text1"/>
                <w:sz w:val="11"/>
                <w:szCs w:val="11"/>
              </w:rPr>
            </w:pPr>
            <w:r w:rsidRPr="008B101F">
              <w:rPr>
                <w:rFonts w:cs="Calibri"/>
                <w:color w:val="000000" w:themeColor="text1"/>
                <w:sz w:val="11"/>
                <w:szCs w:val="11"/>
              </w:rPr>
              <w:t>41 121</w:t>
            </w:r>
          </w:p>
        </w:tc>
      </w:tr>
      <w:tr w:rsidR="008B101F" w:rsidRPr="00BB7C9E" w14:paraId="637212DE" w14:textId="77777777" w:rsidTr="0008305C">
        <w:trPr>
          <w:trHeight w:val="284"/>
        </w:trPr>
        <w:tc>
          <w:tcPr>
            <w:tcW w:w="2268" w:type="dxa"/>
            <w:tcBorders>
              <w:top w:val="single" w:sz="8" w:space="0" w:color="0077BD"/>
              <w:left w:val="nil"/>
              <w:bottom w:val="single" w:sz="8" w:space="0" w:color="0077BD"/>
              <w:right w:val="single" w:sz="8" w:space="0" w:color="0077BD"/>
            </w:tcBorders>
            <w:shd w:val="clear" w:color="auto" w:fill="auto"/>
            <w:vAlign w:val="center"/>
            <w:hideMark/>
          </w:tcPr>
          <w:p w14:paraId="16B046A2" w14:textId="77777777" w:rsidR="008B101F" w:rsidRPr="00BB7C9E" w:rsidRDefault="008B101F" w:rsidP="008B101F">
            <w:pPr>
              <w:rPr>
                <w:rFonts w:cs="Calibri"/>
                <w:b/>
                <w:bCs/>
                <w:color w:val="000000" w:themeColor="text1"/>
                <w:sz w:val="11"/>
                <w:szCs w:val="11"/>
              </w:rPr>
            </w:pPr>
            <w:r w:rsidRPr="00BB7C9E">
              <w:rPr>
                <w:rFonts w:cs="Calibri"/>
                <w:b/>
                <w:bCs/>
                <w:color w:val="000000" w:themeColor="text1"/>
                <w:sz w:val="11"/>
                <w:szCs w:val="11"/>
              </w:rPr>
              <w:t>Wartość bilansowa brutto, razem</w:t>
            </w:r>
          </w:p>
        </w:tc>
        <w:tc>
          <w:tcPr>
            <w:tcW w:w="907"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39267BB" w14:textId="54F7407F"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24 342 819</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22A23139" w14:textId="35095D67"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880" w:type="dxa"/>
            <w:tcBorders>
              <w:top w:val="single" w:sz="8" w:space="0" w:color="0077BD"/>
              <w:left w:val="nil"/>
              <w:bottom w:val="single" w:sz="8" w:space="0" w:color="0077BD"/>
              <w:right w:val="single" w:sz="8" w:space="0" w:color="0077BD"/>
            </w:tcBorders>
            <w:shd w:val="clear" w:color="auto" w:fill="auto"/>
            <w:vAlign w:val="center"/>
          </w:tcPr>
          <w:p w14:paraId="43472BB4" w14:textId="166A5458"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1C64639F" w14:textId="11BA0673" w:rsidR="008B101F" w:rsidRPr="008B101F" w:rsidRDefault="008B101F" w:rsidP="008B101F">
            <w:pPr>
              <w:jc w:val="right"/>
              <w:rPr>
                <w:rFonts w:cs="Calibri"/>
                <w:b/>
                <w:bCs/>
                <w:color w:val="000000" w:themeColor="text1"/>
                <w:sz w:val="11"/>
                <w:szCs w:val="11"/>
              </w:rPr>
            </w:pPr>
            <w:r w:rsidRPr="008B101F">
              <w:rPr>
                <w:rFonts w:cs="Calibri"/>
                <w:b/>
                <w:bCs/>
                <w:color w:val="000000" w:themeColor="text1"/>
                <w:sz w:val="11"/>
                <w:szCs w:val="11"/>
              </w:rPr>
              <w:t>-</w:t>
            </w:r>
          </w:p>
        </w:tc>
        <w:tc>
          <w:tcPr>
            <w:tcW w:w="99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24E8C53" w14:textId="24B30663" w:rsidR="008B101F" w:rsidRPr="005358E0" w:rsidRDefault="008B101F" w:rsidP="008B101F">
            <w:pPr>
              <w:jc w:val="right"/>
              <w:rPr>
                <w:rFonts w:cs="Calibri"/>
                <w:b/>
                <w:bCs/>
                <w:color w:val="000000" w:themeColor="text1"/>
                <w:sz w:val="11"/>
                <w:szCs w:val="11"/>
              </w:rPr>
            </w:pPr>
            <w:r w:rsidRPr="005358E0">
              <w:rPr>
                <w:rFonts w:cs="Calibri"/>
                <w:b/>
                <w:bCs/>
                <w:color w:val="000000" w:themeColor="text1"/>
                <w:sz w:val="11"/>
                <w:szCs w:val="11"/>
              </w:rPr>
              <w:t>15 882 431</w:t>
            </w:r>
          </w:p>
        </w:tc>
        <w:tc>
          <w:tcPr>
            <w:tcW w:w="994" w:type="dxa"/>
            <w:tcBorders>
              <w:top w:val="single" w:sz="8" w:space="0" w:color="0077BD"/>
              <w:left w:val="nil"/>
              <w:bottom w:val="single" w:sz="8" w:space="0" w:color="0077BD"/>
              <w:right w:val="single" w:sz="8" w:space="0" w:color="0077BD"/>
            </w:tcBorders>
            <w:shd w:val="clear" w:color="auto" w:fill="auto"/>
            <w:vAlign w:val="center"/>
          </w:tcPr>
          <w:p w14:paraId="2A6A2385" w14:textId="0091DA4E" w:rsidR="008B101F" w:rsidRPr="005358E0" w:rsidRDefault="008B101F" w:rsidP="008B101F">
            <w:pPr>
              <w:jc w:val="right"/>
              <w:rPr>
                <w:rFonts w:cs="Calibri"/>
                <w:b/>
                <w:bCs/>
                <w:color w:val="000000" w:themeColor="text1"/>
                <w:sz w:val="11"/>
                <w:szCs w:val="11"/>
              </w:rPr>
            </w:pPr>
            <w:r w:rsidRPr="005358E0">
              <w:rPr>
                <w:rFonts w:cs="Calibri"/>
                <w:b/>
                <w:bCs/>
                <w:color w:val="000000" w:themeColor="text1"/>
                <w:sz w:val="11"/>
                <w:szCs w:val="11"/>
              </w:rPr>
              <w:t>(18 387 362)</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44E17737" w14:textId="5713A209" w:rsidR="008B101F" w:rsidRPr="005358E0" w:rsidRDefault="008B101F" w:rsidP="008B101F">
            <w:pPr>
              <w:jc w:val="right"/>
              <w:rPr>
                <w:rFonts w:cs="Calibri"/>
                <w:b/>
                <w:bCs/>
                <w:color w:val="000000" w:themeColor="text1"/>
                <w:sz w:val="11"/>
                <w:szCs w:val="11"/>
              </w:rPr>
            </w:pPr>
            <w:r w:rsidRPr="005358E0">
              <w:rPr>
                <w:rFonts w:cs="Calibri"/>
                <w:b/>
                <w:bCs/>
                <w:color w:val="000000" w:themeColor="text1"/>
                <w:sz w:val="11"/>
                <w:szCs w:val="11"/>
              </w:rPr>
              <w:t>940 395</w:t>
            </w:r>
          </w:p>
        </w:tc>
        <w:tc>
          <w:tcPr>
            <w:tcW w:w="992" w:type="dxa"/>
            <w:tcBorders>
              <w:top w:val="single" w:sz="8" w:space="0" w:color="0077BD"/>
              <w:left w:val="nil"/>
              <w:bottom w:val="single" w:sz="8" w:space="0" w:color="0077BD"/>
              <w:right w:val="nil"/>
            </w:tcBorders>
            <w:shd w:val="clear" w:color="auto" w:fill="auto"/>
            <w:vAlign w:val="center"/>
          </w:tcPr>
          <w:p w14:paraId="18A740EA" w14:textId="452EC416" w:rsidR="008B101F" w:rsidRPr="005358E0" w:rsidRDefault="008B101F" w:rsidP="008B101F">
            <w:pPr>
              <w:jc w:val="right"/>
              <w:rPr>
                <w:rFonts w:cs="Calibri"/>
                <w:b/>
                <w:bCs/>
                <w:color w:val="000000" w:themeColor="text1"/>
                <w:sz w:val="11"/>
                <w:szCs w:val="11"/>
              </w:rPr>
            </w:pPr>
            <w:r w:rsidRPr="005358E0">
              <w:rPr>
                <w:rFonts w:cs="Calibri"/>
                <w:b/>
                <w:bCs/>
                <w:color w:val="000000" w:themeColor="text1"/>
                <w:sz w:val="11"/>
                <w:szCs w:val="11"/>
              </w:rPr>
              <w:t>22 778 283</w:t>
            </w:r>
          </w:p>
        </w:tc>
      </w:tr>
    </w:tbl>
    <w:p w14:paraId="46B087C1" w14:textId="47910A9E" w:rsidR="002A05C6" w:rsidRPr="00BB45AE" w:rsidRDefault="002A05C6" w:rsidP="002A05C6">
      <w:pPr>
        <w:jc w:val="both"/>
        <w:rPr>
          <w:noProof/>
          <w:sz w:val="18"/>
          <w:szCs w:val="18"/>
        </w:rPr>
      </w:pPr>
    </w:p>
    <w:tbl>
      <w:tblPr>
        <w:tblW w:w="9639" w:type="dxa"/>
        <w:tblLayout w:type="fixed"/>
        <w:tblCellMar>
          <w:left w:w="28" w:type="dxa"/>
          <w:right w:w="28" w:type="dxa"/>
        </w:tblCellMar>
        <w:tblLook w:val="04A0" w:firstRow="1" w:lastRow="0" w:firstColumn="1" w:lastColumn="0" w:noHBand="0" w:noVBand="1"/>
      </w:tblPr>
      <w:tblGrid>
        <w:gridCol w:w="2268"/>
        <w:gridCol w:w="907"/>
        <w:gridCol w:w="907"/>
        <w:gridCol w:w="907"/>
        <w:gridCol w:w="823"/>
        <w:gridCol w:w="991"/>
        <w:gridCol w:w="994"/>
        <w:gridCol w:w="850"/>
        <w:gridCol w:w="992"/>
      </w:tblGrid>
      <w:tr w:rsidR="00EC4602" w:rsidRPr="002A05C6" w14:paraId="4300A0A0" w14:textId="77777777" w:rsidTr="00EC4602">
        <w:trPr>
          <w:trHeight w:val="851"/>
        </w:trPr>
        <w:tc>
          <w:tcPr>
            <w:tcW w:w="2268" w:type="dxa"/>
            <w:tcBorders>
              <w:top w:val="single" w:sz="8" w:space="0" w:color="FFFFFF"/>
              <w:left w:val="nil"/>
              <w:bottom w:val="nil"/>
              <w:right w:val="single" w:sz="8" w:space="0" w:color="FFFFFF"/>
            </w:tcBorders>
            <w:shd w:val="clear" w:color="000000" w:fill="0077BD"/>
            <w:vAlign w:val="center"/>
            <w:hideMark/>
          </w:tcPr>
          <w:p w14:paraId="6EFE2A51" w14:textId="67C30A5F" w:rsidR="00EC4602" w:rsidRPr="002A05C6" w:rsidRDefault="00F63F3E" w:rsidP="0042125C">
            <w:pPr>
              <w:rPr>
                <w:rFonts w:cs="Calibri"/>
                <w:b/>
                <w:bCs/>
                <w:color w:val="FFFFFF"/>
                <w:sz w:val="11"/>
                <w:szCs w:val="11"/>
              </w:rPr>
            </w:pPr>
            <w:r>
              <w:rPr>
                <w:rFonts w:cs="Calibri"/>
                <w:b/>
                <w:bCs/>
                <w:color w:val="FFFFFF"/>
                <w:sz w:val="11"/>
                <w:szCs w:val="11"/>
              </w:rPr>
              <w:t>Zmiana w okresie od 1 stycznia</w:t>
            </w:r>
            <w:r>
              <w:rPr>
                <w:rFonts w:cs="Calibri"/>
                <w:b/>
                <w:bCs/>
                <w:color w:val="FFFFFF"/>
                <w:sz w:val="11"/>
                <w:szCs w:val="11"/>
              </w:rPr>
              <w:br/>
              <w:t>do 31 grudnia 2018 r.</w:t>
            </w:r>
          </w:p>
        </w:tc>
        <w:tc>
          <w:tcPr>
            <w:tcW w:w="907" w:type="dxa"/>
            <w:tcBorders>
              <w:top w:val="single" w:sz="8" w:space="0" w:color="FFFFFF"/>
              <w:left w:val="nil"/>
              <w:bottom w:val="nil"/>
              <w:right w:val="single" w:sz="8" w:space="0" w:color="FFFFFF"/>
            </w:tcBorders>
            <w:shd w:val="clear" w:color="000000" w:fill="0077BD"/>
            <w:vAlign w:val="center"/>
            <w:hideMark/>
          </w:tcPr>
          <w:p w14:paraId="27AA457C"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Bilans otwarcia</w:t>
            </w:r>
          </w:p>
        </w:tc>
        <w:tc>
          <w:tcPr>
            <w:tcW w:w="907" w:type="dxa"/>
            <w:tcBorders>
              <w:top w:val="single" w:sz="8" w:space="0" w:color="FFFFFF"/>
              <w:left w:val="nil"/>
              <w:bottom w:val="nil"/>
              <w:right w:val="single" w:sz="8" w:space="0" w:color="FFFFFF"/>
            </w:tcBorders>
            <w:shd w:val="clear" w:color="000000" w:fill="0077BD"/>
            <w:vAlign w:val="center"/>
            <w:hideMark/>
          </w:tcPr>
          <w:p w14:paraId="4A387ACA"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1</w:t>
            </w:r>
          </w:p>
        </w:tc>
        <w:tc>
          <w:tcPr>
            <w:tcW w:w="907" w:type="dxa"/>
            <w:tcBorders>
              <w:top w:val="single" w:sz="8" w:space="0" w:color="FFFFFF"/>
              <w:left w:val="nil"/>
              <w:bottom w:val="nil"/>
              <w:right w:val="single" w:sz="8" w:space="0" w:color="FFFFFF"/>
            </w:tcBorders>
            <w:shd w:val="clear" w:color="000000" w:fill="0077BD"/>
            <w:vAlign w:val="center"/>
            <w:hideMark/>
          </w:tcPr>
          <w:p w14:paraId="73CB81EE"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2</w:t>
            </w:r>
          </w:p>
        </w:tc>
        <w:tc>
          <w:tcPr>
            <w:tcW w:w="823" w:type="dxa"/>
            <w:tcBorders>
              <w:top w:val="single" w:sz="8" w:space="0" w:color="FFFFFF"/>
              <w:left w:val="nil"/>
              <w:bottom w:val="nil"/>
              <w:right w:val="single" w:sz="8" w:space="0" w:color="FFFFFF"/>
            </w:tcBorders>
            <w:shd w:val="clear" w:color="000000" w:fill="0077BD"/>
            <w:vAlign w:val="center"/>
            <w:hideMark/>
          </w:tcPr>
          <w:p w14:paraId="61446C8A"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Transfer do Koszyka 3</w:t>
            </w:r>
          </w:p>
        </w:tc>
        <w:tc>
          <w:tcPr>
            <w:tcW w:w="991" w:type="dxa"/>
            <w:tcBorders>
              <w:top w:val="single" w:sz="8" w:space="0" w:color="FFFFFF"/>
              <w:left w:val="nil"/>
              <w:bottom w:val="nil"/>
              <w:right w:val="single" w:sz="8" w:space="0" w:color="FFFFFF"/>
            </w:tcBorders>
            <w:shd w:val="clear" w:color="000000" w:fill="0077BD"/>
            <w:vAlign w:val="center"/>
            <w:hideMark/>
          </w:tcPr>
          <w:p w14:paraId="1904C553"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Zwiększenia spowodowane udzieleniem oraz przejęciem</w:t>
            </w:r>
          </w:p>
        </w:tc>
        <w:tc>
          <w:tcPr>
            <w:tcW w:w="994" w:type="dxa"/>
            <w:tcBorders>
              <w:top w:val="single" w:sz="8" w:space="0" w:color="FFFFFF"/>
              <w:left w:val="nil"/>
              <w:bottom w:val="nil"/>
              <w:right w:val="single" w:sz="8" w:space="0" w:color="FFFFFF"/>
            </w:tcBorders>
            <w:shd w:val="clear" w:color="000000" w:fill="0077BD"/>
            <w:vAlign w:val="center"/>
            <w:hideMark/>
          </w:tcPr>
          <w:p w14:paraId="6712B6CD"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 xml:space="preserve">Zmniejszenia spowodowane usunięciem </w:t>
            </w:r>
            <w:r>
              <w:rPr>
                <w:rFonts w:cs="Calibri"/>
                <w:b/>
                <w:bCs/>
                <w:color w:val="FFFFFF"/>
                <w:sz w:val="11"/>
                <w:szCs w:val="11"/>
              </w:rPr>
              <w:br/>
            </w:r>
            <w:r w:rsidRPr="002A05C6">
              <w:rPr>
                <w:rFonts w:cs="Calibri"/>
                <w:b/>
                <w:bCs/>
                <w:color w:val="FFFFFF"/>
                <w:sz w:val="11"/>
                <w:szCs w:val="11"/>
              </w:rPr>
              <w:t>z bilansu</w:t>
            </w:r>
          </w:p>
        </w:tc>
        <w:tc>
          <w:tcPr>
            <w:tcW w:w="850" w:type="dxa"/>
            <w:tcBorders>
              <w:top w:val="single" w:sz="8" w:space="0" w:color="FFFFFF"/>
              <w:left w:val="nil"/>
              <w:bottom w:val="nil"/>
              <w:right w:val="single" w:sz="8" w:space="0" w:color="FFFFFF"/>
            </w:tcBorders>
            <w:shd w:val="clear" w:color="000000" w:fill="0077BD"/>
            <w:vAlign w:val="center"/>
            <w:hideMark/>
          </w:tcPr>
          <w:p w14:paraId="53FBB269"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Inne korekty</w:t>
            </w:r>
          </w:p>
        </w:tc>
        <w:tc>
          <w:tcPr>
            <w:tcW w:w="992" w:type="dxa"/>
            <w:tcBorders>
              <w:top w:val="single" w:sz="8" w:space="0" w:color="FFFFFF"/>
              <w:left w:val="nil"/>
              <w:bottom w:val="nil"/>
              <w:right w:val="nil"/>
            </w:tcBorders>
            <w:shd w:val="clear" w:color="000000" w:fill="0077BD"/>
            <w:vAlign w:val="center"/>
            <w:hideMark/>
          </w:tcPr>
          <w:p w14:paraId="79F83B1C" w14:textId="77777777" w:rsidR="00EC4602" w:rsidRPr="002A05C6" w:rsidRDefault="00EC4602" w:rsidP="0042125C">
            <w:pPr>
              <w:jc w:val="center"/>
              <w:rPr>
                <w:rFonts w:cs="Calibri"/>
                <w:b/>
                <w:bCs/>
                <w:color w:val="FFFFFF"/>
                <w:sz w:val="11"/>
                <w:szCs w:val="11"/>
              </w:rPr>
            </w:pPr>
            <w:r w:rsidRPr="002A05C6">
              <w:rPr>
                <w:rFonts w:cs="Calibri"/>
                <w:b/>
                <w:bCs/>
                <w:color w:val="FFFFFF"/>
                <w:sz w:val="11"/>
                <w:szCs w:val="11"/>
              </w:rPr>
              <w:t>Bilans zamknięcia</w:t>
            </w:r>
          </w:p>
        </w:tc>
      </w:tr>
      <w:tr w:rsidR="00A07DF3" w:rsidRPr="00BB7C9E" w14:paraId="0EBA7371" w14:textId="77777777" w:rsidTr="00EC4602">
        <w:trPr>
          <w:trHeight w:val="284"/>
        </w:trPr>
        <w:tc>
          <w:tcPr>
            <w:tcW w:w="2268" w:type="dxa"/>
            <w:tcBorders>
              <w:top w:val="single" w:sz="8" w:space="0" w:color="0077BD"/>
              <w:left w:val="nil"/>
              <w:bottom w:val="single" w:sz="8" w:space="0" w:color="0077BD"/>
              <w:right w:val="single" w:sz="8" w:space="0" w:color="0077BD"/>
            </w:tcBorders>
            <w:shd w:val="clear" w:color="auto" w:fill="auto"/>
            <w:vAlign w:val="center"/>
            <w:hideMark/>
          </w:tcPr>
          <w:p w14:paraId="0A1EF2EB" w14:textId="77777777" w:rsidR="00EC4602" w:rsidRPr="00BB7C9E" w:rsidRDefault="00EC4602" w:rsidP="00EC4602">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6059DE36" w14:textId="6CB4DDAF"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23 495 687</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72AEAA56" w14:textId="71A96F38"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31C99496" w14:textId="0C1C9FDF"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823" w:type="dxa"/>
            <w:tcBorders>
              <w:top w:val="single" w:sz="8" w:space="0" w:color="0077BD"/>
              <w:left w:val="nil"/>
              <w:bottom w:val="single" w:sz="8" w:space="0" w:color="0077BD"/>
              <w:right w:val="single" w:sz="8" w:space="0" w:color="0077BD"/>
            </w:tcBorders>
            <w:shd w:val="clear" w:color="auto" w:fill="auto"/>
            <w:vAlign w:val="center"/>
          </w:tcPr>
          <w:p w14:paraId="1D561556" w14:textId="412DF079"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991" w:type="dxa"/>
            <w:tcBorders>
              <w:top w:val="single" w:sz="8" w:space="0" w:color="0077BD"/>
              <w:left w:val="nil"/>
              <w:bottom w:val="single" w:sz="8" w:space="0" w:color="0077BD"/>
              <w:right w:val="single" w:sz="8" w:space="0" w:color="0077BD"/>
            </w:tcBorders>
            <w:shd w:val="clear" w:color="auto" w:fill="auto"/>
            <w:vAlign w:val="center"/>
          </w:tcPr>
          <w:p w14:paraId="0A7D4BBA" w14:textId="1A6F3038"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17 796 819</w:t>
            </w:r>
          </w:p>
        </w:tc>
        <w:tc>
          <w:tcPr>
            <w:tcW w:w="994" w:type="dxa"/>
            <w:tcBorders>
              <w:top w:val="single" w:sz="8" w:space="0" w:color="0077BD"/>
              <w:left w:val="nil"/>
              <w:bottom w:val="single" w:sz="8" w:space="0" w:color="0077BD"/>
              <w:right w:val="single" w:sz="8" w:space="0" w:color="0077BD"/>
            </w:tcBorders>
            <w:shd w:val="clear" w:color="auto" w:fill="auto"/>
            <w:vAlign w:val="center"/>
          </w:tcPr>
          <w:p w14:paraId="03CEDCFD" w14:textId="36999B27"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(17 882 894)</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32009527" w14:textId="3DE1F398"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933 207</w:t>
            </w:r>
          </w:p>
        </w:tc>
        <w:tc>
          <w:tcPr>
            <w:tcW w:w="992" w:type="dxa"/>
            <w:tcBorders>
              <w:top w:val="single" w:sz="8" w:space="0" w:color="0077BD"/>
              <w:left w:val="nil"/>
              <w:bottom w:val="single" w:sz="8" w:space="0" w:color="0077BD"/>
              <w:right w:val="nil"/>
            </w:tcBorders>
            <w:shd w:val="clear" w:color="auto" w:fill="auto"/>
            <w:vAlign w:val="center"/>
          </w:tcPr>
          <w:p w14:paraId="5B66B855" w14:textId="204AF28D"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24 342 819</w:t>
            </w:r>
          </w:p>
        </w:tc>
      </w:tr>
      <w:tr w:rsidR="00A07DF3" w:rsidRPr="00BB7C9E" w14:paraId="59E2C981" w14:textId="77777777" w:rsidTr="00EC4602">
        <w:trPr>
          <w:trHeight w:val="284"/>
        </w:trPr>
        <w:tc>
          <w:tcPr>
            <w:tcW w:w="2268" w:type="dxa"/>
            <w:tcBorders>
              <w:top w:val="single" w:sz="4" w:space="0" w:color="0077BD"/>
              <w:left w:val="nil"/>
              <w:bottom w:val="single" w:sz="4" w:space="0" w:color="0077BD"/>
              <w:right w:val="single" w:sz="8" w:space="0" w:color="0077BD"/>
            </w:tcBorders>
            <w:shd w:val="clear" w:color="auto" w:fill="auto"/>
            <w:vAlign w:val="center"/>
            <w:hideMark/>
          </w:tcPr>
          <w:p w14:paraId="21EB725F" w14:textId="77777777" w:rsidR="00EC4602" w:rsidRPr="00BB7C9E" w:rsidRDefault="00EC4602" w:rsidP="00EC4602">
            <w:pPr>
              <w:rPr>
                <w:rFonts w:cs="Calibri"/>
                <w:color w:val="000000" w:themeColor="text1"/>
                <w:sz w:val="11"/>
                <w:szCs w:val="11"/>
              </w:rPr>
            </w:pPr>
            <w:r w:rsidRPr="00BB7C9E">
              <w:rPr>
                <w:rFonts w:cs="Calibri"/>
                <w:color w:val="000000" w:themeColor="text1"/>
                <w:sz w:val="11"/>
                <w:szCs w:val="11"/>
              </w:rPr>
              <w:t>Koszyk 1</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608F6274" w14:textId="7647C703"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23 495 687</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77C0E1F7" w14:textId="3AAABC58"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single" w:sz="4" w:space="0" w:color="0077BD"/>
              <w:left w:val="nil"/>
              <w:bottom w:val="single" w:sz="4" w:space="0" w:color="0077BD"/>
              <w:right w:val="single" w:sz="8" w:space="0" w:color="0077BD"/>
            </w:tcBorders>
            <w:shd w:val="clear" w:color="auto" w:fill="auto"/>
            <w:vAlign w:val="center"/>
          </w:tcPr>
          <w:p w14:paraId="3DA9BB2A" w14:textId="4308585B"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(21 472)</w:t>
            </w:r>
          </w:p>
        </w:tc>
        <w:tc>
          <w:tcPr>
            <w:tcW w:w="823" w:type="dxa"/>
            <w:tcBorders>
              <w:top w:val="single" w:sz="4" w:space="0" w:color="0077BD"/>
              <w:left w:val="nil"/>
              <w:bottom w:val="single" w:sz="4" w:space="0" w:color="0077BD"/>
              <w:right w:val="single" w:sz="8" w:space="0" w:color="0077BD"/>
            </w:tcBorders>
            <w:shd w:val="clear" w:color="auto" w:fill="auto"/>
            <w:vAlign w:val="center"/>
          </w:tcPr>
          <w:p w14:paraId="337E0C9B" w14:textId="3232737A"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91" w:type="dxa"/>
            <w:tcBorders>
              <w:top w:val="single" w:sz="4" w:space="0" w:color="0077BD"/>
              <w:left w:val="nil"/>
              <w:bottom w:val="single" w:sz="4" w:space="0" w:color="0077BD"/>
              <w:right w:val="single" w:sz="8" w:space="0" w:color="0077BD"/>
            </w:tcBorders>
            <w:shd w:val="clear" w:color="auto" w:fill="auto"/>
            <w:vAlign w:val="center"/>
          </w:tcPr>
          <w:p w14:paraId="05B661B1" w14:textId="5484CFAF"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17 796 819</w:t>
            </w:r>
          </w:p>
        </w:tc>
        <w:tc>
          <w:tcPr>
            <w:tcW w:w="994" w:type="dxa"/>
            <w:tcBorders>
              <w:top w:val="single" w:sz="4" w:space="0" w:color="0077BD"/>
              <w:left w:val="nil"/>
              <w:bottom w:val="single" w:sz="4" w:space="0" w:color="0077BD"/>
              <w:right w:val="single" w:sz="8" w:space="0" w:color="0077BD"/>
            </w:tcBorders>
            <w:shd w:val="clear" w:color="auto" w:fill="auto"/>
            <w:vAlign w:val="center"/>
          </w:tcPr>
          <w:p w14:paraId="40CE6C70" w14:textId="0620478B"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(17 882 894)</w:t>
            </w:r>
          </w:p>
        </w:tc>
        <w:tc>
          <w:tcPr>
            <w:tcW w:w="850" w:type="dxa"/>
            <w:tcBorders>
              <w:top w:val="single" w:sz="4" w:space="0" w:color="0077BD"/>
              <w:left w:val="nil"/>
              <w:bottom w:val="single" w:sz="4" w:space="0" w:color="0077BD"/>
              <w:right w:val="single" w:sz="8" w:space="0" w:color="0077BD"/>
            </w:tcBorders>
            <w:shd w:val="clear" w:color="auto" w:fill="auto"/>
            <w:vAlign w:val="center"/>
          </w:tcPr>
          <w:p w14:paraId="4A22D3D0" w14:textId="1F65403E"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932 958</w:t>
            </w:r>
          </w:p>
        </w:tc>
        <w:tc>
          <w:tcPr>
            <w:tcW w:w="992" w:type="dxa"/>
            <w:tcBorders>
              <w:top w:val="single" w:sz="4" w:space="0" w:color="0077BD"/>
              <w:left w:val="nil"/>
              <w:bottom w:val="single" w:sz="4" w:space="0" w:color="0077BD"/>
              <w:right w:val="nil"/>
            </w:tcBorders>
            <w:shd w:val="clear" w:color="auto" w:fill="auto"/>
            <w:vAlign w:val="center"/>
          </w:tcPr>
          <w:p w14:paraId="3524A536" w14:textId="0A5E4C77"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24 321 098</w:t>
            </w:r>
          </w:p>
        </w:tc>
      </w:tr>
      <w:tr w:rsidR="00A07DF3" w:rsidRPr="00BB7C9E" w14:paraId="325474C8" w14:textId="77777777" w:rsidTr="00EC4602">
        <w:trPr>
          <w:trHeight w:val="284"/>
        </w:trPr>
        <w:tc>
          <w:tcPr>
            <w:tcW w:w="2268" w:type="dxa"/>
            <w:tcBorders>
              <w:top w:val="nil"/>
              <w:left w:val="nil"/>
              <w:bottom w:val="single" w:sz="4" w:space="0" w:color="0077BD"/>
              <w:right w:val="single" w:sz="8" w:space="0" w:color="0077BD"/>
            </w:tcBorders>
            <w:shd w:val="clear" w:color="auto" w:fill="auto"/>
            <w:vAlign w:val="center"/>
            <w:hideMark/>
          </w:tcPr>
          <w:p w14:paraId="6C593F3D" w14:textId="77777777" w:rsidR="00EC4602" w:rsidRPr="00BB7C9E" w:rsidRDefault="00EC4602" w:rsidP="00EC4602">
            <w:pPr>
              <w:rPr>
                <w:rFonts w:cs="Calibri"/>
                <w:color w:val="000000" w:themeColor="text1"/>
                <w:sz w:val="11"/>
                <w:szCs w:val="11"/>
              </w:rPr>
            </w:pPr>
            <w:r w:rsidRPr="00BB7C9E">
              <w:rPr>
                <w:rFonts w:cs="Calibri"/>
                <w:color w:val="000000" w:themeColor="text1"/>
                <w:sz w:val="11"/>
                <w:szCs w:val="11"/>
              </w:rPr>
              <w:t>Koszyk 2</w:t>
            </w:r>
          </w:p>
        </w:tc>
        <w:tc>
          <w:tcPr>
            <w:tcW w:w="907" w:type="dxa"/>
            <w:tcBorders>
              <w:top w:val="nil"/>
              <w:left w:val="nil"/>
              <w:bottom w:val="single" w:sz="4" w:space="0" w:color="0077BD"/>
              <w:right w:val="single" w:sz="8" w:space="0" w:color="0077BD"/>
            </w:tcBorders>
            <w:shd w:val="clear" w:color="auto" w:fill="auto"/>
            <w:vAlign w:val="center"/>
          </w:tcPr>
          <w:p w14:paraId="36DBFE26" w14:textId="5EA81EB6"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tcPr>
          <w:p w14:paraId="30B1BC5E" w14:textId="72AF0FC5"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07" w:type="dxa"/>
            <w:tcBorders>
              <w:top w:val="nil"/>
              <w:left w:val="nil"/>
              <w:bottom w:val="single" w:sz="4" w:space="0" w:color="0077BD"/>
              <w:right w:val="single" w:sz="8" w:space="0" w:color="0077BD"/>
            </w:tcBorders>
            <w:shd w:val="clear" w:color="auto" w:fill="auto"/>
            <w:vAlign w:val="center"/>
          </w:tcPr>
          <w:p w14:paraId="2D941D58" w14:textId="40FCE8BC"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21 472</w:t>
            </w:r>
          </w:p>
        </w:tc>
        <w:tc>
          <w:tcPr>
            <w:tcW w:w="823" w:type="dxa"/>
            <w:tcBorders>
              <w:top w:val="nil"/>
              <w:left w:val="nil"/>
              <w:bottom w:val="single" w:sz="4" w:space="0" w:color="0077BD"/>
              <w:right w:val="single" w:sz="8" w:space="0" w:color="0077BD"/>
            </w:tcBorders>
            <w:shd w:val="clear" w:color="auto" w:fill="auto"/>
            <w:vAlign w:val="center"/>
          </w:tcPr>
          <w:p w14:paraId="26367F7A" w14:textId="41794AFD"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91" w:type="dxa"/>
            <w:tcBorders>
              <w:top w:val="nil"/>
              <w:left w:val="nil"/>
              <w:bottom w:val="single" w:sz="4" w:space="0" w:color="0077BD"/>
              <w:right w:val="single" w:sz="8" w:space="0" w:color="0077BD"/>
            </w:tcBorders>
            <w:shd w:val="clear" w:color="auto" w:fill="auto"/>
            <w:vAlign w:val="center"/>
          </w:tcPr>
          <w:p w14:paraId="13C5423D" w14:textId="653EABD1"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994" w:type="dxa"/>
            <w:tcBorders>
              <w:top w:val="nil"/>
              <w:left w:val="nil"/>
              <w:bottom w:val="single" w:sz="4" w:space="0" w:color="0077BD"/>
              <w:right w:val="single" w:sz="8" w:space="0" w:color="0077BD"/>
            </w:tcBorders>
            <w:shd w:val="clear" w:color="auto" w:fill="auto"/>
            <w:vAlign w:val="center"/>
          </w:tcPr>
          <w:p w14:paraId="118AEC9D" w14:textId="30525DF3"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w:t>
            </w:r>
          </w:p>
        </w:tc>
        <w:tc>
          <w:tcPr>
            <w:tcW w:w="850" w:type="dxa"/>
            <w:tcBorders>
              <w:top w:val="nil"/>
              <w:left w:val="nil"/>
              <w:bottom w:val="single" w:sz="4" w:space="0" w:color="0077BD"/>
              <w:right w:val="single" w:sz="8" w:space="0" w:color="0077BD"/>
            </w:tcBorders>
            <w:shd w:val="clear" w:color="auto" w:fill="auto"/>
            <w:vAlign w:val="center"/>
          </w:tcPr>
          <w:p w14:paraId="19A3FD55" w14:textId="62EAF1C4"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249</w:t>
            </w:r>
          </w:p>
        </w:tc>
        <w:tc>
          <w:tcPr>
            <w:tcW w:w="992" w:type="dxa"/>
            <w:tcBorders>
              <w:top w:val="nil"/>
              <w:left w:val="nil"/>
              <w:bottom w:val="single" w:sz="4" w:space="0" w:color="0077BD"/>
              <w:right w:val="nil"/>
            </w:tcBorders>
            <w:shd w:val="clear" w:color="auto" w:fill="auto"/>
            <w:vAlign w:val="center"/>
          </w:tcPr>
          <w:p w14:paraId="433A657E" w14:textId="6A49D8C6" w:rsidR="00EC4602" w:rsidRPr="00BB7C9E" w:rsidRDefault="00EC4602" w:rsidP="00EC4602">
            <w:pPr>
              <w:jc w:val="right"/>
              <w:rPr>
                <w:rFonts w:cs="Calibri"/>
                <w:color w:val="000000" w:themeColor="text1"/>
                <w:sz w:val="11"/>
                <w:szCs w:val="11"/>
              </w:rPr>
            </w:pPr>
            <w:r w:rsidRPr="00BB7C9E">
              <w:rPr>
                <w:rFonts w:cs="Calibri"/>
                <w:color w:val="000000" w:themeColor="text1"/>
                <w:sz w:val="11"/>
                <w:szCs w:val="11"/>
              </w:rPr>
              <w:t>21 721</w:t>
            </w:r>
          </w:p>
        </w:tc>
      </w:tr>
      <w:tr w:rsidR="00A07DF3" w:rsidRPr="00BB7C9E" w14:paraId="61756540" w14:textId="77777777" w:rsidTr="00EC4602">
        <w:trPr>
          <w:trHeight w:val="284"/>
        </w:trPr>
        <w:tc>
          <w:tcPr>
            <w:tcW w:w="2268" w:type="dxa"/>
            <w:tcBorders>
              <w:top w:val="single" w:sz="8" w:space="0" w:color="0077BD"/>
              <w:left w:val="nil"/>
              <w:bottom w:val="single" w:sz="8" w:space="0" w:color="0077BD"/>
              <w:right w:val="single" w:sz="8" w:space="0" w:color="0077BD"/>
            </w:tcBorders>
            <w:shd w:val="clear" w:color="auto" w:fill="auto"/>
            <w:vAlign w:val="center"/>
            <w:hideMark/>
          </w:tcPr>
          <w:p w14:paraId="50A3C4E7" w14:textId="77777777" w:rsidR="00EC4602" w:rsidRPr="00BB7C9E" w:rsidRDefault="00EC4602" w:rsidP="00EC4602">
            <w:pPr>
              <w:rPr>
                <w:rFonts w:cs="Calibri"/>
                <w:b/>
                <w:bCs/>
                <w:color w:val="000000" w:themeColor="text1"/>
                <w:sz w:val="11"/>
                <w:szCs w:val="11"/>
              </w:rPr>
            </w:pPr>
            <w:r w:rsidRPr="00BB7C9E">
              <w:rPr>
                <w:rFonts w:cs="Calibri"/>
                <w:b/>
                <w:bCs/>
                <w:color w:val="000000" w:themeColor="text1"/>
                <w:sz w:val="11"/>
                <w:szCs w:val="11"/>
              </w:rPr>
              <w:t>Wartość bilansowa brutto, razem</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35C5AB15" w14:textId="77A068FF"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23 495 687</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7B41244F" w14:textId="5FE8FD7D"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907" w:type="dxa"/>
            <w:tcBorders>
              <w:top w:val="single" w:sz="8" w:space="0" w:color="0077BD"/>
              <w:left w:val="nil"/>
              <w:bottom w:val="single" w:sz="8" w:space="0" w:color="0077BD"/>
              <w:right w:val="single" w:sz="8" w:space="0" w:color="0077BD"/>
            </w:tcBorders>
            <w:shd w:val="clear" w:color="auto" w:fill="auto"/>
            <w:vAlign w:val="center"/>
          </w:tcPr>
          <w:p w14:paraId="0D1AE92E" w14:textId="0851922F"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823" w:type="dxa"/>
            <w:tcBorders>
              <w:top w:val="single" w:sz="8" w:space="0" w:color="0077BD"/>
              <w:left w:val="nil"/>
              <w:bottom w:val="single" w:sz="8" w:space="0" w:color="0077BD"/>
              <w:right w:val="single" w:sz="8" w:space="0" w:color="0077BD"/>
            </w:tcBorders>
            <w:shd w:val="clear" w:color="auto" w:fill="auto"/>
            <w:vAlign w:val="center"/>
          </w:tcPr>
          <w:p w14:paraId="5C705490" w14:textId="3C61CC86"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w:t>
            </w:r>
          </w:p>
        </w:tc>
        <w:tc>
          <w:tcPr>
            <w:tcW w:w="991" w:type="dxa"/>
            <w:tcBorders>
              <w:top w:val="single" w:sz="8" w:space="0" w:color="0077BD"/>
              <w:left w:val="nil"/>
              <w:bottom w:val="single" w:sz="8" w:space="0" w:color="0077BD"/>
              <w:right w:val="single" w:sz="8" w:space="0" w:color="0077BD"/>
            </w:tcBorders>
            <w:shd w:val="clear" w:color="auto" w:fill="auto"/>
            <w:vAlign w:val="center"/>
          </w:tcPr>
          <w:p w14:paraId="5C6903C2" w14:textId="0EEFF40B"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17 796 819</w:t>
            </w:r>
          </w:p>
        </w:tc>
        <w:tc>
          <w:tcPr>
            <w:tcW w:w="994" w:type="dxa"/>
            <w:tcBorders>
              <w:top w:val="single" w:sz="8" w:space="0" w:color="0077BD"/>
              <w:left w:val="nil"/>
              <w:bottom w:val="single" w:sz="8" w:space="0" w:color="0077BD"/>
              <w:right w:val="single" w:sz="8" w:space="0" w:color="0077BD"/>
            </w:tcBorders>
            <w:shd w:val="clear" w:color="auto" w:fill="auto"/>
            <w:vAlign w:val="center"/>
          </w:tcPr>
          <w:p w14:paraId="43C21573" w14:textId="267208CA"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(17 882 894)</w:t>
            </w:r>
          </w:p>
        </w:tc>
        <w:tc>
          <w:tcPr>
            <w:tcW w:w="850" w:type="dxa"/>
            <w:tcBorders>
              <w:top w:val="single" w:sz="8" w:space="0" w:color="0077BD"/>
              <w:left w:val="nil"/>
              <w:bottom w:val="single" w:sz="8" w:space="0" w:color="0077BD"/>
              <w:right w:val="single" w:sz="8" w:space="0" w:color="0077BD"/>
            </w:tcBorders>
            <w:shd w:val="clear" w:color="auto" w:fill="auto"/>
            <w:vAlign w:val="center"/>
          </w:tcPr>
          <w:p w14:paraId="07BDACCE" w14:textId="7FC7E919"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933 207</w:t>
            </w:r>
          </w:p>
        </w:tc>
        <w:tc>
          <w:tcPr>
            <w:tcW w:w="992" w:type="dxa"/>
            <w:tcBorders>
              <w:top w:val="single" w:sz="8" w:space="0" w:color="0077BD"/>
              <w:left w:val="nil"/>
              <w:bottom w:val="single" w:sz="8" w:space="0" w:color="0077BD"/>
              <w:right w:val="nil"/>
            </w:tcBorders>
            <w:shd w:val="clear" w:color="auto" w:fill="auto"/>
            <w:vAlign w:val="center"/>
          </w:tcPr>
          <w:p w14:paraId="129B0E04" w14:textId="33465B5E" w:rsidR="00EC4602" w:rsidRPr="00BB7C9E" w:rsidRDefault="00EC4602" w:rsidP="00EC4602">
            <w:pPr>
              <w:jc w:val="right"/>
              <w:rPr>
                <w:rFonts w:cs="Calibri"/>
                <w:b/>
                <w:bCs/>
                <w:color w:val="000000" w:themeColor="text1"/>
                <w:sz w:val="11"/>
                <w:szCs w:val="11"/>
              </w:rPr>
            </w:pPr>
            <w:r w:rsidRPr="00BB7C9E">
              <w:rPr>
                <w:rFonts w:cs="Calibri"/>
                <w:b/>
                <w:bCs/>
                <w:color w:val="000000" w:themeColor="text1"/>
                <w:sz w:val="11"/>
                <w:szCs w:val="11"/>
              </w:rPr>
              <w:t>24 342 819</w:t>
            </w:r>
          </w:p>
        </w:tc>
      </w:tr>
    </w:tbl>
    <w:p w14:paraId="225133A8" w14:textId="6EDED37C" w:rsidR="00EC4602" w:rsidRPr="00BB45AE" w:rsidRDefault="00EC4602" w:rsidP="002A05C6">
      <w:pPr>
        <w:jc w:val="both"/>
        <w:rPr>
          <w:noProof/>
          <w:sz w:val="18"/>
          <w:szCs w:val="18"/>
        </w:rPr>
      </w:pPr>
    </w:p>
    <w:p w14:paraId="30B05463" w14:textId="56B89A43" w:rsidR="002A05C6" w:rsidRPr="00BB45AE" w:rsidRDefault="002A05C6" w:rsidP="002A05C6">
      <w:pPr>
        <w:jc w:val="both"/>
        <w:rPr>
          <w:noProof/>
          <w:sz w:val="18"/>
          <w:szCs w:val="18"/>
        </w:rPr>
      </w:pPr>
    </w:p>
    <w:p w14:paraId="0302DAE7" w14:textId="1C412E47" w:rsidR="002A05C6" w:rsidRPr="00BB45AE" w:rsidRDefault="002A05C6" w:rsidP="002A05C6">
      <w:pPr>
        <w:jc w:val="both"/>
        <w:rPr>
          <w:noProof/>
          <w:sz w:val="18"/>
          <w:szCs w:val="18"/>
        </w:rPr>
      </w:pPr>
    </w:p>
    <w:p w14:paraId="0B9924CD" w14:textId="2447CCAF" w:rsidR="00A07DF3" w:rsidRDefault="00A07DF3">
      <w:pPr>
        <w:rPr>
          <w:noProof/>
          <w:sz w:val="18"/>
          <w:szCs w:val="18"/>
        </w:rPr>
      </w:pPr>
      <w:r>
        <w:rPr>
          <w:noProof/>
          <w:sz w:val="18"/>
          <w:szCs w:val="18"/>
        </w:rPr>
        <w:br w:type="page"/>
      </w:r>
    </w:p>
    <w:p w14:paraId="7885E76A" w14:textId="77777777" w:rsidR="00524186" w:rsidRPr="00BB7C9E" w:rsidRDefault="00524186" w:rsidP="00836460">
      <w:pPr>
        <w:spacing w:before="120" w:after="120"/>
        <w:jc w:val="both"/>
        <w:rPr>
          <w:b/>
          <w:noProof/>
          <w:color w:val="000000" w:themeColor="text1"/>
          <w:sz w:val="18"/>
          <w:szCs w:val="18"/>
        </w:rPr>
      </w:pPr>
      <w:r w:rsidRPr="00BB7C9E">
        <w:rPr>
          <w:b/>
          <w:noProof/>
          <w:color w:val="000000" w:themeColor="text1"/>
          <w:sz w:val="18"/>
          <w:szCs w:val="18"/>
        </w:rPr>
        <w:lastRenderedPageBreak/>
        <w:t>Jakość kredytowa aktywów finansowych wycenianych w wartości godziwej przez pozostałe całkowite dochody według poziomów wewnętrznego systemu ratingowego</w:t>
      </w:r>
    </w:p>
    <w:tbl>
      <w:tblPr>
        <w:tblW w:w="9617" w:type="dxa"/>
        <w:tblLayout w:type="fixed"/>
        <w:tblCellMar>
          <w:left w:w="28" w:type="dxa"/>
          <w:right w:w="28" w:type="dxa"/>
        </w:tblCellMar>
        <w:tblLook w:val="04A0" w:firstRow="1" w:lastRow="0" w:firstColumn="1" w:lastColumn="0" w:noHBand="0" w:noVBand="1"/>
      </w:tblPr>
      <w:tblGrid>
        <w:gridCol w:w="3947"/>
        <w:gridCol w:w="1134"/>
        <w:gridCol w:w="1134"/>
        <w:gridCol w:w="1134"/>
        <w:gridCol w:w="1134"/>
        <w:gridCol w:w="1134"/>
      </w:tblGrid>
      <w:tr w:rsidR="00836460" w:rsidRPr="00A07DF3" w14:paraId="28CF2ADC" w14:textId="77777777" w:rsidTr="00BB45AE">
        <w:trPr>
          <w:trHeight w:val="284"/>
        </w:trPr>
        <w:tc>
          <w:tcPr>
            <w:tcW w:w="3947" w:type="dxa"/>
            <w:tcBorders>
              <w:top w:val="nil"/>
              <w:left w:val="single" w:sz="8" w:space="0" w:color="FFFFFF"/>
              <w:right w:val="single" w:sz="8" w:space="0" w:color="FFFFFF"/>
            </w:tcBorders>
            <w:shd w:val="clear" w:color="000000" w:fill="0077BD"/>
            <w:vAlign w:val="center"/>
            <w:hideMark/>
          </w:tcPr>
          <w:p w14:paraId="22974B15" w14:textId="6F8D549A" w:rsidR="00836460" w:rsidRPr="00A07DF3" w:rsidRDefault="00836460" w:rsidP="0042125C">
            <w:pPr>
              <w:rPr>
                <w:rFonts w:cs="Calibri"/>
                <w:b/>
                <w:bCs/>
                <w:color w:val="FFFFFF"/>
                <w:sz w:val="11"/>
                <w:szCs w:val="11"/>
              </w:rPr>
            </w:pPr>
            <w:r>
              <w:rPr>
                <w:rFonts w:cs="Calibri"/>
                <w:b/>
                <w:bCs/>
                <w:color w:val="FFFFFF"/>
                <w:sz w:val="11"/>
                <w:szCs w:val="11"/>
              </w:rPr>
              <w:t>31.12.2019</w:t>
            </w:r>
          </w:p>
        </w:tc>
        <w:tc>
          <w:tcPr>
            <w:tcW w:w="1134" w:type="dxa"/>
            <w:tcBorders>
              <w:top w:val="nil"/>
              <w:left w:val="nil"/>
              <w:right w:val="single" w:sz="8" w:space="0" w:color="FFFFFF"/>
            </w:tcBorders>
            <w:shd w:val="clear" w:color="000000" w:fill="0077BD"/>
            <w:vAlign w:val="center"/>
            <w:hideMark/>
          </w:tcPr>
          <w:p w14:paraId="2128290A" w14:textId="77777777" w:rsidR="00836460" w:rsidRPr="00A07DF3" w:rsidRDefault="00836460" w:rsidP="0042125C">
            <w:pPr>
              <w:jc w:val="center"/>
              <w:rPr>
                <w:rFonts w:cs="Calibri"/>
                <w:b/>
                <w:bCs/>
                <w:color w:val="FFFFFF"/>
                <w:sz w:val="11"/>
                <w:szCs w:val="11"/>
              </w:rPr>
            </w:pPr>
            <w:r w:rsidRPr="00A07DF3">
              <w:rPr>
                <w:rFonts w:cs="Calibri"/>
                <w:b/>
                <w:bCs/>
                <w:color w:val="FFFFFF"/>
                <w:sz w:val="11"/>
                <w:szCs w:val="11"/>
              </w:rPr>
              <w:t>Koszyk 1</w:t>
            </w:r>
          </w:p>
        </w:tc>
        <w:tc>
          <w:tcPr>
            <w:tcW w:w="1134" w:type="dxa"/>
            <w:tcBorders>
              <w:top w:val="nil"/>
              <w:left w:val="nil"/>
              <w:right w:val="single" w:sz="8" w:space="0" w:color="FFFFFF"/>
            </w:tcBorders>
            <w:shd w:val="clear" w:color="000000" w:fill="0077BD"/>
            <w:vAlign w:val="center"/>
            <w:hideMark/>
          </w:tcPr>
          <w:p w14:paraId="1CBB3841" w14:textId="77777777" w:rsidR="00836460" w:rsidRPr="00A07DF3" w:rsidRDefault="00836460" w:rsidP="0042125C">
            <w:pPr>
              <w:jc w:val="center"/>
              <w:rPr>
                <w:rFonts w:cs="Calibri"/>
                <w:b/>
                <w:bCs/>
                <w:color w:val="FFFFFF"/>
                <w:sz w:val="11"/>
                <w:szCs w:val="11"/>
              </w:rPr>
            </w:pPr>
            <w:r w:rsidRPr="00A07DF3">
              <w:rPr>
                <w:rFonts w:cs="Calibri"/>
                <w:b/>
                <w:bCs/>
                <w:color w:val="FFFFFF"/>
                <w:sz w:val="11"/>
                <w:szCs w:val="11"/>
              </w:rPr>
              <w:t>Koszyk 2</w:t>
            </w:r>
          </w:p>
        </w:tc>
        <w:tc>
          <w:tcPr>
            <w:tcW w:w="1134" w:type="dxa"/>
            <w:tcBorders>
              <w:top w:val="nil"/>
              <w:left w:val="nil"/>
              <w:right w:val="single" w:sz="8" w:space="0" w:color="FFFFFF"/>
            </w:tcBorders>
            <w:shd w:val="clear" w:color="000000" w:fill="0077BD"/>
            <w:vAlign w:val="center"/>
            <w:hideMark/>
          </w:tcPr>
          <w:p w14:paraId="5569E45D" w14:textId="77777777" w:rsidR="00836460" w:rsidRPr="00A07DF3" w:rsidRDefault="00836460" w:rsidP="0042125C">
            <w:pPr>
              <w:jc w:val="center"/>
              <w:rPr>
                <w:rFonts w:cs="Calibri"/>
                <w:b/>
                <w:bCs/>
                <w:color w:val="FFFFFF"/>
                <w:sz w:val="11"/>
                <w:szCs w:val="11"/>
              </w:rPr>
            </w:pPr>
            <w:r w:rsidRPr="00A07DF3">
              <w:rPr>
                <w:rFonts w:cs="Calibri"/>
                <w:b/>
                <w:bCs/>
                <w:color w:val="FFFFFF"/>
                <w:sz w:val="11"/>
                <w:szCs w:val="11"/>
              </w:rPr>
              <w:t>Koszyk 3</w:t>
            </w:r>
          </w:p>
        </w:tc>
        <w:tc>
          <w:tcPr>
            <w:tcW w:w="1134" w:type="dxa"/>
            <w:tcBorders>
              <w:top w:val="nil"/>
              <w:left w:val="nil"/>
              <w:right w:val="single" w:sz="8" w:space="0" w:color="FFFFFF"/>
            </w:tcBorders>
            <w:shd w:val="clear" w:color="000000" w:fill="0077BD"/>
            <w:vAlign w:val="center"/>
            <w:hideMark/>
          </w:tcPr>
          <w:p w14:paraId="5A6A99F4" w14:textId="77777777" w:rsidR="00836460" w:rsidRPr="00A07DF3" w:rsidRDefault="00836460" w:rsidP="0042125C">
            <w:pPr>
              <w:jc w:val="center"/>
              <w:rPr>
                <w:rFonts w:cs="Calibri"/>
                <w:b/>
                <w:bCs/>
                <w:color w:val="FFFFFF"/>
                <w:sz w:val="11"/>
                <w:szCs w:val="11"/>
              </w:rPr>
            </w:pPr>
            <w:r w:rsidRPr="00A07DF3">
              <w:rPr>
                <w:rFonts w:cs="Calibri"/>
                <w:b/>
                <w:bCs/>
                <w:color w:val="FFFFFF"/>
                <w:sz w:val="11"/>
                <w:szCs w:val="11"/>
              </w:rPr>
              <w:t>POCI</w:t>
            </w:r>
          </w:p>
        </w:tc>
        <w:tc>
          <w:tcPr>
            <w:tcW w:w="1134" w:type="dxa"/>
            <w:tcBorders>
              <w:top w:val="nil"/>
              <w:left w:val="nil"/>
              <w:right w:val="nil"/>
            </w:tcBorders>
            <w:shd w:val="clear" w:color="000000" w:fill="0077BD"/>
            <w:vAlign w:val="center"/>
            <w:hideMark/>
          </w:tcPr>
          <w:p w14:paraId="46A0FB22" w14:textId="77777777" w:rsidR="00836460" w:rsidRPr="00A07DF3" w:rsidRDefault="00836460" w:rsidP="0042125C">
            <w:pPr>
              <w:jc w:val="center"/>
              <w:rPr>
                <w:rFonts w:cs="Calibri"/>
                <w:b/>
                <w:bCs/>
                <w:color w:val="FFFFFF"/>
                <w:sz w:val="11"/>
                <w:szCs w:val="11"/>
              </w:rPr>
            </w:pPr>
            <w:r w:rsidRPr="00A07DF3">
              <w:rPr>
                <w:rFonts w:cs="Calibri"/>
                <w:b/>
                <w:bCs/>
                <w:color w:val="FFFFFF"/>
                <w:sz w:val="11"/>
                <w:szCs w:val="11"/>
              </w:rPr>
              <w:t>RAZEM</w:t>
            </w:r>
          </w:p>
        </w:tc>
      </w:tr>
      <w:tr w:rsidR="00BB45AE" w:rsidRPr="00BB7C9E" w14:paraId="62950860" w14:textId="77777777" w:rsidTr="00BB45AE">
        <w:trPr>
          <w:trHeight w:val="284"/>
        </w:trPr>
        <w:tc>
          <w:tcPr>
            <w:tcW w:w="7349" w:type="dxa"/>
            <w:gridSpan w:val="4"/>
            <w:tcBorders>
              <w:top w:val="nil"/>
              <w:left w:val="nil"/>
              <w:bottom w:val="single" w:sz="8" w:space="0" w:color="0077BD"/>
              <w:right w:val="nil"/>
            </w:tcBorders>
            <w:shd w:val="clear" w:color="000000" w:fill="FFFFFF"/>
            <w:vAlign w:val="center"/>
            <w:hideMark/>
          </w:tcPr>
          <w:p w14:paraId="7575A54D" w14:textId="79CF3076" w:rsidR="00726E31" w:rsidRPr="00D1550F" w:rsidRDefault="00726E31" w:rsidP="00726E31">
            <w:pPr>
              <w:rPr>
                <w:rFonts w:cs="Calibri"/>
                <w:color w:val="000000" w:themeColor="text1"/>
                <w:sz w:val="11"/>
                <w:szCs w:val="11"/>
              </w:rPr>
            </w:pPr>
            <w:r w:rsidRPr="00D1550F">
              <w:rPr>
                <w:rFonts w:cs="Calibri"/>
                <w:b/>
                <w:bCs/>
                <w:color w:val="000000" w:themeColor="text1"/>
                <w:sz w:val="11"/>
                <w:szCs w:val="11"/>
              </w:rPr>
              <w:t>Dłużne papiery wartościowe wyceniane w wartości godziwej przez pozostałe całkowite dochody</w:t>
            </w:r>
          </w:p>
        </w:tc>
        <w:tc>
          <w:tcPr>
            <w:tcW w:w="1134" w:type="dxa"/>
            <w:tcBorders>
              <w:top w:val="nil"/>
              <w:left w:val="nil"/>
              <w:bottom w:val="single" w:sz="8" w:space="0" w:color="0077BD"/>
              <w:right w:val="nil"/>
            </w:tcBorders>
            <w:shd w:val="clear" w:color="000000" w:fill="FFFFFF"/>
            <w:vAlign w:val="center"/>
          </w:tcPr>
          <w:p w14:paraId="3D53624D" w14:textId="223CC166" w:rsidR="00726E31" w:rsidRPr="00D1550F" w:rsidRDefault="00726E31" w:rsidP="0042125C">
            <w:pPr>
              <w:jc w:val="right"/>
              <w:rPr>
                <w:rFonts w:cs="Calibri"/>
                <w:color w:val="000000" w:themeColor="text1"/>
                <w:sz w:val="11"/>
                <w:szCs w:val="11"/>
              </w:rPr>
            </w:pPr>
          </w:p>
        </w:tc>
        <w:tc>
          <w:tcPr>
            <w:tcW w:w="1134" w:type="dxa"/>
            <w:tcBorders>
              <w:top w:val="nil"/>
              <w:left w:val="nil"/>
              <w:bottom w:val="single" w:sz="8" w:space="0" w:color="0077BD"/>
              <w:right w:val="nil"/>
            </w:tcBorders>
            <w:shd w:val="clear" w:color="000000" w:fill="FFFFFF"/>
            <w:vAlign w:val="center"/>
          </w:tcPr>
          <w:p w14:paraId="42EEEA08" w14:textId="4D85D4AD" w:rsidR="00726E31" w:rsidRPr="00D1550F" w:rsidRDefault="00726E31" w:rsidP="0042125C">
            <w:pPr>
              <w:jc w:val="right"/>
              <w:rPr>
                <w:rFonts w:cs="Calibri"/>
                <w:color w:val="000000" w:themeColor="text1"/>
                <w:sz w:val="11"/>
                <w:szCs w:val="11"/>
              </w:rPr>
            </w:pPr>
          </w:p>
        </w:tc>
      </w:tr>
      <w:tr w:rsidR="00EC5298" w:rsidRPr="00BB7C9E" w14:paraId="7A02F51C" w14:textId="77777777" w:rsidTr="00CA5E84">
        <w:trPr>
          <w:trHeight w:val="284"/>
        </w:trPr>
        <w:tc>
          <w:tcPr>
            <w:tcW w:w="3947" w:type="dxa"/>
            <w:tcBorders>
              <w:top w:val="single" w:sz="4" w:space="0" w:color="0077BD"/>
              <w:left w:val="nil"/>
              <w:bottom w:val="single" w:sz="4" w:space="0" w:color="0077BD"/>
              <w:right w:val="single" w:sz="8" w:space="0" w:color="0077BD"/>
            </w:tcBorders>
            <w:shd w:val="clear" w:color="auto" w:fill="auto"/>
            <w:vAlign w:val="center"/>
            <w:hideMark/>
          </w:tcPr>
          <w:p w14:paraId="0A6F320E"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1,0 - 1,2</w:t>
            </w:r>
          </w:p>
        </w:tc>
        <w:tc>
          <w:tcPr>
            <w:tcW w:w="1134" w:type="dxa"/>
            <w:tcBorders>
              <w:top w:val="single" w:sz="8" w:space="0" w:color="0077BD"/>
              <w:left w:val="single" w:sz="8" w:space="0" w:color="0077BD"/>
              <w:bottom w:val="single" w:sz="4" w:space="0" w:color="0077BD"/>
              <w:right w:val="nil"/>
            </w:tcBorders>
            <w:shd w:val="clear" w:color="auto" w:fill="auto"/>
            <w:vAlign w:val="center"/>
          </w:tcPr>
          <w:p w14:paraId="66DFFB21" w14:textId="10072D80"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21 517 703</w:t>
            </w:r>
          </w:p>
        </w:tc>
        <w:tc>
          <w:tcPr>
            <w:tcW w:w="1134" w:type="dxa"/>
            <w:tcBorders>
              <w:top w:val="single" w:sz="8" w:space="0" w:color="0077BD"/>
              <w:left w:val="single" w:sz="8" w:space="0" w:color="0077BD"/>
              <w:bottom w:val="single" w:sz="4" w:space="0" w:color="0077BD"/>
              <w:right w:val="nil"/>
            </w:tcBorders>
            <w:shd w:val="clear" w:color="auto" w:fill="auto"/>
            <w:vAlign w:val="center"/>
          </w:tcPr>
          <w:p w14:paraId="39B21C19" w14:textId="7E6946A9"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single" w:sz="8" w:space="0" w:color="0077BD"/>
              <w:left w:val="single" w:sz="8" w:space="0" w:color="0077BD"/>
              <w:bottom w:val="single" w:sz="4" w:space="0" w:color="0077BD"/>
              <w:right w:val="nil"/>
            </w:tcBorders>
            <w:shd w:val="clear" w:color="auto" w:fill="auto"/>
            <w:vAlign w:val="center"/>
          </w:tcPr>
          <w:p w14:paraId="00ECAF45" w14:textId="5C6CF441"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single" w:sz="8" w:space="0" w:color="0077BD"/>
              <w:left w:val="single" w:sz="8" w:space="0" w:color="0077BD"/>
              <w:bottom w:val="single" w:sz="4" w:space="0" w:color="0077BD"/>
              <w:right w:val="nil"/>
            </w:tcBorders>
            <w:shd w:val="clear" w:color="auto" w:fill="auto"/>
            <w:vAlign w:val="center"/>
          </w:tcPr>
          <w:p w14:paraId="130CA8C9" w14:textId="5DC81C24"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single" w:sz="8" w:space="0" w:color="0077BD"/>
              <w:left w:val="single" w:sz="8" w:space="0" w:color="0077BD"/>
              <w:bottom w:val="single" w:sz="4" w:space="0" w:color="0077BD"/>
              <w:right w:val="nil"/>
            </w:tcBorders>
            <w:shd w:val="clear" w:color="auto" w:fill="auto"/>
            <w:vAlign w:val="center"/>
          </w:tcPr>
          <w:p w14:paraId="67B3DBC5" w14:textId="60EC8C42"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21 517 703</w:t>
            </w:r>
          </w:p>
        </w:tc>
      </w:tr>
      <w:tr w:rsidR="00EC5298" w:rsidRPr="00BB7C9E" w14:paraId="6DCAEAA1" w14:textId="77777777" w:rsidTr="00CA5E84">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5E8221EA"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1,4 - 1,6</w:t>
            </w:r>
          </w:p>
        </w:tc>
        <w:tc>
          <w:tcPr>
            <w:tcW w:w="1134" w:type="dxa"/>
            <w:tcBorders>
              <w:top w:val="nil"/>
              <w:left w:val="single" w:sz="8" w:space="0" w:color="0077BD"/>
              <w:bottom w:val="single" w:sz="4" w:space="0" w:color="0077BD"/>
              <w:right w:val="nil"/>
            </w:tcBorders>
            <w:shd w:val="clear" w:color="auto" w:fill="auto"/>
            <w:vAlign w:val="center"/>
          </w:tcPr>
          <w:p w14:paraId="415BF9D4" w14:textId="6DCDB17E"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27 709</w:t>
            </w:r>
          </w:p>
        </w:tc>
        <w:tc>
          <w:tcPr>
            <w:tcW w:w="1134" w:type="dxa"/>
            <w:tcBorders>
              <w:top w:val="nil"/>
              <w:left w:val="single" w:sz="8" w:space="0" w:color="0077BD"/>
              <w:bottom w:val="single" w:sz="4" w:space="0" w:color="0077BD"/>
              <w:right w:val="nil"/>
            </w:tcBorders>
            <w:shd w:val="clear" w:color="auto" w:fill="auto"/>
            <w:vAlign w:val="center"/>
          </w:tcPr>
          <w:p w14:paraId="008C2278" w14:textId="071F0FBC"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1B131104" w14:textId="40D8447F"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45807B81" w14:textId="038A0E56"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6D0ED9EA" w14:textId="6254BD33"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27 709</w:t>
            </w:r>
          </w:p>
        </w:tc>
      </w:tr>
      <w:tr w:rsidR="00EC5298" w:rsidRPr="00BB7C9E" w14:paraId="44CC5797" w14:textId="77777777" w:rsidTr="00CA5E84">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1C980FD0"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1,8 - 2,0</w:t>
            </w:r>
          </w:p>
        </w:tc>
        <w:tc>
          <w:tcPr>
            <w:tcW w:w="1134" w:type="dxa"/>
            <w:tcBorders>
              <w:top w:val="nil"/>
              <w:left w:val="single" w:sz="8" w:space="0" w:color="0077BD"/>
              <w:bottom w:val="single" w:sz="4" w:space="0" w:color="0077BD"/>
              <w:right w:val="nil"/>
            </w:tcBorders>
            <w:shd w:val="clear" w:color="auto" w:fill="auto"/>
            <w:vAlign w:val="center"/>
          </w:tcPr>
          <w:p w14:paraId="10A352A4" w14:textId="67EB4410"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496 788</w:t>
            </w:r>
          </w:p>
        </w:tc>
        <w:tc>
          <w:tcPr>
            <w:tcW w:w="1134" w:type="dxa"/>
            <w:tcBorders>
              <w:top w:val="nil"/>
              <w:left w:val="single" w:sz="8" w:space="0" w:color="0077BD"/>
              <w:bottom w:val="single" w:sz="4" w:space="0" w:color="0077BD"/>
              <w:right w:val="nil"/>
            </w:tcBorders>
            <w:shd w:val="clear" w:color="auto" w:fill="auto"/>
            <w:vAlign w:val="center"/>
          </w:tcPr>
          <w:p w14:paraId="64A61A45" w14:textId="479F014A"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534AA7DA" w14:textId="5E2C6E18"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7216276A" w14:textId="33DA8832"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56F309D0" w14:textId="61A7BB95"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496 788</w:t>
            </w:r>
          </w:p>
        </w:tc>
      </w:tr>
      <w:tr w:rsidR="00EC5298" w:rsidRPr="00BB7C9E" w14:paraId="5D8FCAB1" w14:textId="77777777" w:rsidTr="00CA5E84">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6E490C53"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2,2 - 2,8</w:t>
            </w:r>
          </w:p>
        </w:tc>
        <w:tc>
          <w:tcPr>
            <w:tcW w:w="1134" w:type="dxa"/>
            <w:tcBorders>
              <w:top w:val="nil"/>
              <w:left w:val="single" w:sz="8" w:space="0" w:color="0077BD"/>
              <w:bottom w:val="single" w:sz="4" w:space="0" w:color="0077BD"/>
              <w:right w:val="single" w:sz="8" w:space="0" w:color="0077BD"/>
            </w:tcBorders>
            <w:shd w:val="clear" w:color="auto" w:fill="auto"/>
            <w:vAlign w:val="center"/>
          </w:tcPr>
          <w:p w14:paraId="036ACF81" w14:textId="7AD41FA9"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256 391</w:t>
            </w:r>
          </w:p>
        </w:tc>
        <w:tc>
          <w:tcPr>
            <w:tcW w:w="1134" w:type="dxa"/>
            <w:tcBorders>
              <w:top w:val="nil"/>
              <w:left w:val="nil"/>
              <w:bottom w:val="single" w:sz="4" w:space="0" w:color="0077BD"/>
              <w:right w:val="nil"/>
            </w:tcBorders>
            <w:shd w:val="clear" w:color="auto" w:fill="auto"/>
            <w:vAlign w:val="center"/>
          </w:tcPr>
          <w:p w14:paraId="33A74B60" w14:textId="36CFA31C"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34036E9A" w14:textId="6A1C937C"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02B6E3CA" w14:textId="368AEFA3"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3D4D67B1" w14:textId="0B1810C4"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256 391</w:t>
            </w:r>
          </w:p>
        </w:tc>
      </w:tr>
      <w:tr w:rsidR="00EC5298" w:rsidRPr="00BB7C9E" w14:paraId="21320F71" w14:textId="77777777" w:rsidTr="00CA5E84">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705FCD87"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3,0 - 3,8</w:t>
            </w:r>
          </w:p>
        </w:tc>
        <w:tc>
          <w:tcPr>
            <w:tcW w:w="1134" w:type="dxa"/>
            <w:tcBorders>
              <w:top w:val="nil"/>
              <w:left w:val="single" w:sz="8" w:space="0" w:color="0077BD"/>
              <w:bottom w:val="single" w:sz="4" w:space="0" w:color="0077BD"/>
              <w:right w:val="nil"/>
            </w:tcBorders>
            <w:shd w:val="clear" w:color="auto" w:fill="auto"/>
            <w:vAlign w:val="center"/>
          </w:tcPr>
          <w:p w14:paraId="265C9D18" w14:textId="3547ECCC"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438 571</w:t>
            </w:r>
          </w:p>
        </w:tc>
        <w:tc>
          <w:tcPr>
            <w:tcW w:w="1134" w:type="dxa"/>
            <w:tcBorders>
              <w:top w:val="nil"/>
              <w:left w:val="single" w:sz="8" w:space="0" w:color="0077BD"/>
              <w:bottom w:val="single" w:sz="4" w:space="0" w:color="0077BD"/>
              <w:right w:val="nil"/>
            </w:tcBorders>
            <w:shd w:val="clear" w:color="auto" w:fill="auto"/>
            <w:vAlign w:val="center"/>
          </w:tcPr>
          <w:p w14:paraId="4A036EAB" w14:textId="23540D6D"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00B984DF" w14:textId="4454E45F"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682AFDF4" w14:textId="6991E075"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545D7A84" w14:textId="1C5CE018"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438 571</w:t>
            </w:r>
          </w:p>
        </w:tc>
      </w:tr>
      <w:tr w:rsidR="00EC5298" w:rsidRPr="00BB7C9E" w14:paraId="175D12B0" w14:textId="77777777" w:rsidTr="00CA5E84">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188734B3" w14:textId="77777777" w:rsidR="00EC5298" w:rsidRPr="00D1550F" w:rsidRDefault="00EC5298" w:rsidP="00EC5298">
            <w:pPr>
              <w:jc w:val="center"/>
              <w:rPr>
                <w:rFonts w:cs="Calibri"/>
                <w:color w:val="000000" w:themeColor="text1"/>
                <w:sz w:val="11"/>
                <w:szCs w:val="11"/>
              </w:rPr>
            </w:pPr>
            <w:r w:rsidRPr="00D1550F">
              <w:rPr>
                <w:rFonts w:cs="Calibri"/>
                <w:color w:val="000000" w:themeColor="text1"/>
                <w:sz w:val="11"/>
                <w:szCs w:val="11"/>
              </w:rPr>
              <w:t>4,0 - 5,0</w:t>
            </w:r>
          </w:p>
        </w:tc>
        <w:tc>
          <w:tcPr>
            <w:tcW w:w="1134" w:type="dxa"/>
            <w:tcBorders>
              <w:top w:val="nil"/>
              <w:left w:val="single" w:sz="8" w:space="0" w:color="0077BD"/>
              <w:bottom w:val="single" w:sz="4" w:space="0" w:color="0077BD"/>
              <w:right w:val="nil"/>
            </w:tcBorders>
            <w:shd w:val="clear" w:color="auto" w:fill="auto"/>
            <w:vAlign w:val="center"/>
          </w:tcPr>
          <w:p w14:paraId="15FD77EB" w14:textId="320DA84D"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37EE3163" w14:textId="50FE528F"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41 121</w:t>
            </w:r>
          </w:p>
        </w:tc>
        <w:tc>
          <w:tcPr>
            <w:tcW w:w="1134" w:type="dxa"/>
            <w:tcBorders>
              <w:top w:val="nil"/>
              <w:left w:val="single" w:sz="8" w:space="0" w:color="0077BD"/>
              <w:bottom w:val="single" w:sz="4" w:space="0" w:color="0077BD"/>
              <w:right w:val="nil"/>
            </w:tcBorders>
            <w:shd w:val="clear" w:color="auto" w:fill="auto"/>
            <w:vAlign w:val="center"/>
          </w:tcPr>
          <w:p w14:paraId="47E97396" w14:textId="18AE5E09"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62042C6A" w14:textId="45AF8029"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5528C010" w14:textId="78D4713E" w:rsidR="00EC5298" w:rsidRPr="00D1550F" w:rsidRDefault="00EC5298" w:rsidP="00EC5298">
            <w:pPr>
              <w:jc w:val="right"/>
              <w:rPr>
                <w:rFonts w:cs="Calibri"/>
                <w:color w:val="000000" w:themeColor="text1"/>
                <w:sz w:val="11"/>
                <w:szCs w:val="11"/>
              </w:rPr>
            </w:pPr>
            <w:r w:rsidRPr="00D1550F">
              <w:rPr>
                <w:rFonts w:cs="Calibri"/>
                <w:color w:val="000000" w:themeColor="text1"/>
                <w:sz w:val="11"/>
                <w:szCs w:val="11"/>
              </w:rPr>
              <w:t>41 121</w:t>
            </w:r>
          </w:p>
        </w:tc>
      </w:tr>
      <w:tr w:rsidR="00582C86" w:rsidRPr="00BB7C9E" w14:paraId="6F48B490" w14:textId="77777777" w:rsidTr="00C624E1">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2C3A41E0" w14:textId="77777777" w:rsidR="00582C86" w:rsidRPr="00D1550F" w:rsidRDefault="00582C86" w:rsidP="00582C86">
            <w:pPr>
              <w:rPr>
                <w:rFonts w:cs="Calibri"/>
                <w:b/>
                <w:bCs/>
                <w:color w:val="000000" w:themeColor="text1"/>
                <w:sz w:val="11"/>
                <w:szCs w:val="11"/>
              </w:rPr>
            </w:pPr>
            <w:r w:rsidRPr="00D1550F">
              <w:rPr>
                <w:rFonts w:cs="Calibri"/>
                <w:b/>
                <w:bCs/>
                <w:color w:val="000000" w:themeColor="text1"/>
                <w:sz w:val="11"/>
                <w:szCs w:val="11"/>
              </w:rPr>
              <w:t>Wartość bilansowa brutto</w:t>
            </w: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51FDF615" w14:textId="2D2D20C5"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22 737 162</w:t>
            </w: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16D656F4" w14:textId="694211A3"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41 121</w:t>
            </w: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37D28185" w14:textId="1DA68B32"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21BF8B9B" w14:textId="64B597A2"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4" w:space="0" w:color="0077BD"/>
              <w:left w:val="single" w:sz="8" w:space="0" w:color="0077BD"/>
              <w:bottom w:val="single" w:sz="4" w:space="0" w:color="0077BD"/>
              <w:right w:val="nil"/>
            </w:tcBorders>
            <w:shd w:val="clear" w:color="auto" w:fill="auto"/>
            <w:vAlign w:val="center"/>
          </w:tcPr>
          <w:p w14:paraId="4C5B8D4E" w14:textId="48AE8D3D"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22 778 283</w:t>
            </w:r>
          </w:p>
        </w:tc>
      </w:tr>
      <w:tr w:rsidR="00582C86" w:rsidRPr="00BB7C9E" w14:paraId="5CB13E67" w14:textId="77777777" w:rsidTr="00C624E1">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5343E03D" w14:textId="77777777" w:rsidR="00582C86" w:rsidRPr="00D1550F" w:rsidRDefault="00582C86" w:rsidP="00582C86">
            <w:pPr>
              <w:rPr>
                <w:rFonts w:cs="Calibri"/>
                <w:color w:val="000000" w:themeColor="text1"/>
                <w:sz w:val="11"/>
                <w:szCs w:val="11"/>
              </w:rPr>
            </w:pPr>
            <w:r w:rsidRPr="00D1550F">
              <w:rPr>
                <w:rFonts w:cs="Calibri"/>
                <w:color w:val="000000" w:themeColor="text1"/>
                <w:sz w:val="11"/>
                <w:szCs w:val="11"/>
              </w:rPr>
              <w:t>Skumulowana utrata wartości</w:t>
            </w:r>
          </w:p>
        </w:tc>
        <w:tc>
          <w:tcPr>
            <w:tcW w:w="1134" w:type="dxa"/>
            <w:tcBorders>
              <w:top w:val="nil"/>
              <w:left w:val="single" w:sz="8" w:space="0" w:color="0077BD"/>
              <w:bottom w:val="single" w:sz="4" w:space="0" w:color="0077BD"/>
              <w:right w:val="nil"/>
            </w:tcBorders>
            <w:shd w:val="clear" w:color="auto" w:fill="auto"/>
            <w:vAlign w:val="center"/>
          </w:tcPr>
          <w:p w14:paraId="6DFE5B99" w14:textId="55A7C668" w:rsidR="00582C86" w:rsidRPr="00D1550F" w:rsidRDefault="00582C86" w:rsidP="00582C86">
            <w:pPr>
              <w:jc w:val="right"/>
              <w:rPr>
                <w:rFonts w:cs="Calibri"/>
                <w:color w:val="000000" w:themeColor="text1"/>
                <w:sz w:val="11"/>
                <w:szCs w:val="11"/>
              </w:rPr>
            </w:pPr>
            <w:r w:rsidRPr="00D1550F">
              <w:rPr>
                <w:rFonts w:cs="Calibri"/>
                <w:color w:val="000000" w:themeColor="text1"/>
                <w:sz w:val="11"/>
                <w:szCs w:val="11"/>
              </w:rPr>
              <w:t>(3 242)</w:t>
            </w:r>
          </w:p>
        </w:tc>
        <w:tc>
          <w:tcPr>
            <w:tcW w:w="1134" w:type="dxa"/>
            <w:tcBorders>
              <w:top w:val="nil"/>
              <w:left w:val="single" w:sz="8" w:space="0" w:color="0077BD"/>
              <w:bottom w:val="single" w:sz="4" w:space="0" w:color="0077BD"/>
              <w:right w:val="nil"/>
            </w:tcBorders>
            <w:shd w:val="clear" w:color="auto" w:fill="auto"/>
            <w:vAlign w:val="center"/>
          </w:tcPr>
          <w:p w14:paraId="520CFBCF" w14:textId="06F7D620" w:rsidR="00582C86" w:rsidRPr="00D1550F" w:rsidRDefault="00582C86" w:rsidP="00582C86">
            <w:pPr>
              <w:jc w:val="right"/>
              <w:rPr>
                <w:rFonts w:cs="Calibri"/>
                <w:color w:val="000000" w:themeColor="text1"/>
                <w:sz w:val="11"/>
                <w:szCs w:val="11"/>
              </w:rPr>
            </w:pPr>
            <w:r w:rsidRPr="00D1550F">
              <w:rPr>
                <w:rFonts w:cs="Calibri"/>
                <w:color w:val="000000" w:themeColor="text1"/>
                <w:sz w:val="11"/>
                <w:szCs w:val="11"/>
              </w:rPr>
              <w:t>(1 120)</w:t>
            </w:r>
          </w:p>
        </w:tc>
        <w:tc>
          <w:tcPr>
            <w:tcW w:w="1134" w:type="dxa"/>
            <w:tcBorders>
              <w:top w:val="nil"/>
              <w:left w:val="single" w:sz="8" w:space="0" w:color="0077BD"/>
              <w:bottom w:val="single" w:sz="4" w:space="0" w:color="0077BD"/>
              <w:right w:val="nil"/>
            </w:tcBorders>
            <w:shd w:val="clear" w:color="auto" w:fill="auto"/>
            <w:vAlign w:val="center"/>
          </w:tcPr>
          <w:p w14:paraId="57251E85" w14:textId="23AA2DD4" w:rsidR="00582C86" w:rsidRPr="00D1550F" w:rsidRDefault="00582C86" w:rsidP="00582C86">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4610CADA" w14:textId="4D15879D" w:rsidR="00582C86" w:rsidRPr="00D1550F" w:rsidRDefault="00582C86" w:rsidP="00582C86">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tcPr>
          <w:p w14:paraId="0D42F4AD" w14:textId="034DE9FF" w:rsidR="00582C86" w:rsidRPr="00D1550F" w:rsidRDefault="00582C86" w:rsidP="00582C86">
            <w:pPr>
              <w:jc w:val="right"/>
              <w:rPr>
                <w:rFonts w:cs="Calibri"/>
                <w:color w:val="000000" w:themeColor="text1"/>
                <w:sz w:val="11"/>
                <w:szCs w:val="11"/>
              </w:rPr>
            </w:pPr>
            <w:r w:rsidRPr="00D1550F">
              <w:rPr>
                <w:rFonts w:cs="Calibri"/>
                <w:color w:val="000000" w:themeColor="text1"/>
                <w:sz w:val="11"/>
                <w:szCs w:val="11"/>
              </w:rPr>
              <w:t>(4 362)</w:t>
            </w:r>
          </w:p>
        </w:tc>
      </w:tr>
      <w:tr w:rsidR="00582C86" w:rsidRPr="00BB7C9E" w14:paraId="733A0849" w14:textId="77777777" w:rsidTr="00C624E1">
        <w:trPr>
          <w:trHeight w:val="284"/>
        </w:trPr>
        <w:tc>
          <w:tcPr>
            <w:tcW w:w="3947" w:type="dxa"/>
            <w:tcBorders>
              <w:top w:val="single" w:sz="8" w:space="0" w:color="0077BD"/>
              <w:left w:val="nil"/>
              <w:bottom w:val="single" w:sz="8" w:space="0" w:color="0077BD"/>
              <w:right w:val="single" w:sz="8" w:space="0" w:color="0077BD"/>
            </w:tcBorders>
            <w:shd w:val="clear" w:color="auto" w:fill="auto"/>
            <w:vAlign w:val="center"/>
            <w:hideMark/>
          </w:tcPr>
          <w:p w14:paraId="16B3E00B" w14:textId="77777777" w:rsidR="00582C86" w:rsidRPr="00D1550F" w:rsidRDefault="00582C86" w:rsidP="00582C86">
            <w:pPr>
              <w:rPr>
                <w:rFonts w:cs="Calibri"/>
                <w:b/>
                <w:bCs/>
                <w:color w:val="000000" w:themeColor="text1"/>
                <w:sz w:val="11"/>
                <w:szCs w:val="11"/>
              </w:rPr>
            </w:pPr>
            <w:r w:rsidRPr="00D1550F">
              <w:rPr>
                <w:rFonts w:cs="Calibri"/>
                <w:b/>
                <w:bCs/>
                <w:color w:val="000000" w:themeColor="text1"/>
                <w:sz w:val="11"/>
                <w:szCs w:val="11"/>
              </w:rPr>
              <w:t>Razem</w:t>
            </w:r>
          </w:p>
        </w:tc>
        <w:tc>
          <w:tcPr>
            <w:tcW w:w="1134" w:type="dxa"/>
            <w:tcBorders>
              <w:top w:val="single" w:sz="8" w:space="0" w:color="0077BD"/>
              <w:left w:val="single" w:sz="8" w:space="0" w:color="0077BD"/>
              <w:bottom w:val="single" w:sz="8" w:space="0" w:color="0077BD"/>
              <w:right w:val="nil"/>
            </w:tcBorders>
            <w:shd w:val="clear" w:color="auto" w:fill="auto"/>
            <w:vAlign w:val="center"/>
          </w:tcPr>
          <w:p w14:paraId="0DA6CBAF" w14:textId="7F889CB0"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22 733 920</w:t>
            </w:r>
          </w:p>
        </w:tc>
        <w:tc>
          <w:tcPr>
            <w:tcW w:w="1134" w:type="dxa"/>
            <w:tcBorders>
              <w:top w:val="single" w:sz="8" w:space="0" w:color="0077BD"/>
              <w:left w:val="single" w:sz="8" w:space="0" w:color="0077BD"/>
              <w:bottom w:val="single" w:sz="8" w:space="0" w:color="0077BD"/>
              <w:right w:val="nil"/>
            </w:tcBorders>
            <w:shd w:val="clear" w:color="auto" w:fill="auto"/>
            <w:vAlign w:val="center"/>
          </w:tcPr>
          <w:p w14:paraId="52E0A934" w14:textId="32F76847"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40 001</w:t>
            </w:r>
          </w:p>
        </w:tc>
        <w:tc>
          <w:tcPr>
            <w:tcW w:w="1134" w:type="dxa"/>
            <w:tcBorders>
              <w:top w:val="single" w:sz="8" w:space="0" w:color="0077BD"/>
              <w:left w:val="single" w:sz="8" w:space="0" w:color="0077BD"/>
              <w:bottom w:val="single" w:sz="8" w:space="0" w:color="0077BD"/>
              <w:right w:val="nil"/>
            </w:tcBorders>
            <w:shd w:val="clear" w:color="auto" w:fill="auto"/>
            <w:vAlign w:val="center"/>
          </w:tcPr>
          <w:p w14:paraId="0FC80550" w14:textId="2F2AF8BB"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8" w:space="0" w:color="0077BD"/>
              <w:left w:val="single" w:sz="8" w:space="0" w:color="0077BD"/>
              <w:bottom w:val="single" w:sz="8" w:space="0" w:color="0077BD"/>
              <w:right w:val="nil"/>
            </w:tcBorders>
            <w:shd w:val="clear" w:color="auto" w:fill="auto"/>
            <w:vAlign w:val="center"/>
          </w:tcPr>
          <w:p w14:paraId="0780843D" w14:textId="4F54CDC1"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8" w:space="0" w:color="0077BD"/>
              <w:left w:val="single" w:sz="8" w:space="0" w:color="0077BD"/>
              <w:bottom w:val="single" w:sz="8" w:space="0" w:color="0077BD"/>
              <w:right w:val="nil"/>
            </w:tcBorders>
            <w:shd w:val="clear" w:color="auto" w:fill="auto"/>
            <w:vAlign w:val="center"/>
          </w:tcPr>
          <w:p w14:paraId="685DD826" w14:textId="0555FF22" w:rsidR="00582C86" w:rsidRPr="00D1550F" w:rsidRDefault="00582C86" w:rsidP="00582C86">
            <w:pPr>
              <w:jc w:val="right"/>
              <w:rPr>
                <w:rFonts w:cs="Calibri"/>
                <w:b/>
                <w:bCs/>
                <w:color w:val="000000" w:themeColor="text1"/>
                <w:sz w:val="11"/>
                <w:szCs w:val="11"/>
              </w:rPr>
            </w:pPr>
            <w:r w:rsidRPr="00D1550F">
              <w:rPr>
                <w:rFonts w:cs="Calibri"/>
                <w:b/>
                <w:bCs/>
                <w:color w:val="000000" w:themeColor="text1"/>
                <w:sz w:val="11"/>
                <w:szCs w:val="11"/>
              </w:rPr>
              <w:t>22 773 921</w:t>
            </w:r>
          </w:p>
        </w:tc>
      </w:tr>
    </w:tbl>
    <w:p w14:paraId="5592B9C1" w14:textId="76D6EC3D" w:rsidR="00A07DF3" w:rsidRPr="00BB45AE" w:rsidRDefault="00A07DF3" w:rsidP="00A07DF3">
      <w:pPr>
        <w:jc w:val="both"/>
        <w:rPr>
          <w:noProof/>
          <w:sz w:val="18"/>
          <w:szCs w:val="18"/>
        </w:rPr>
      </w:pPr>
    </w:p>
    <w:tbl>
      <w:tblPr>
        <w:tblW w:w="9617" w:type="dxa"/>
        <w:tblLayout w:type="fixed"/>
        <w:tblCellMar>
          <w:left w:w="28" w:type="dxa"/>
          <w:right w:w="28" w:type="dxa"/>
        </w:tblCellMar>
        <w:tblLook w:val="04A0" w:firstRow="1" w:lastRow="0" w:firstColumn="1" w:lastColumn="0" w:noHBand="0" w:noVBand="1"/>
      </w:tblPr>
      <w:tblGrid>
        <w:gridCol w:w="3947"/>
        <w:gridCol w:w="1134"/>
        <w:gridCol w:w="1134"/>
        <w:gridCol w:w="1134"/>
        <w:gridCol w:w="1134"/>
        <w:gridCol w:w="1134"/>
      </w:tblGrid>
      <w:tr w:rsidR="00A07DF3" w:rsidRPr="00A07DF3" w14:paraId="6A13C3A2" w14:textId="77777777" w:rsidTr="00BB45AE">
        <w:trPr>
          <w:trHeight w:val="284"/>
        </w:trPr>
        <w:tc>
          <w:tcPr>
            <w:tcW w:w="3947" w:type="dxa"/>
            <w:tcBorders>
              <w:top w:val="nil"/>
              <w:left w:val="single" w:sz="8" w:space="0" w:color="FFFFFF"/>
              <w:right w:val="single" w:sz="8" w:space="0" w:color="FFFFFF"/>
            </w:tcBorders>
            <w:shd w:val="clear" w:color="000000" w:fill="0077BD"/>
            <w:vAlign w:val="center"/>
            <w:hideMark/>
          </w:tcPr>
          <w:p w14:paraId="7E83CCAE" w14:textId="77777777" w:rsidR="00A07DF3" w:rsidRPr="00A07DF3" w:rsidRDefault="00A07DF3" w:rsidP="00A07DF3">
            <w:pPr>
              <w:rPr>
                <w:rFonts w:cs="Calibri"/>
                <w:b/>
                <w:bCs/>
                <w:color w:val="FFFFFF"/>
                <w:sz w:val="11"/>
                <w:szCs w:val="11"/>
              </w:rPr>
            </w:pPr>
            <w:r w:rsidRPr="00A07DF3">
              <w:rPr>
                <w:rFonts w:cs="Calibri"/>
                <w:b/>
                <w:bCs/>
                <w:color w:val="FFFFFF"/>
                <w:sz w:val="11"/>
                <w:szCs w:val="11"/>
              </w:rPr>
              <w:t>31.12.2018</w:t>
            </w:r>
          </w:p>
        </w:tc>
        <w:tc>
          <w:tcPr>
            <w:tcW w:w="1134" w:type="dxa"/>
            <w:tcBorders>
              <w:top w:val="nil"/>
              <w:left w:val="nil"/>
              <w:right w:val="single" w:sz="8" w:space="0" w:color="FFFFFF"/>
            </w:tcBorders>
            <w:shd w:val="clear" w:color="000000" w:fill="0077BD"/>
            <w:vAlign w:val="center"/>
            <w:hideMark/>
          </w:tcPr>
          <w:p w14:paraId="215030EA" w14:textId="77777777" w:rsidR="00A07DF3" w:rsidRPr="00A07DF3" w:rsidRDefault="00A07DF3" w:rsidP="00A07DF3">
            <w:pPr>
              <w:jc w:val="center"/>
              <w:rPr>
                <w:rFonts w:cs="Calibri"/>
                <w:b/>
                <w:bCs/>
                <w:color w:val="FFFFFF"/>
                <w:sz w:val="11"/>
                <w:szCs w:val="11"/>
              </w:rPr>
            </w:pPr>
            <w:r w:rsidRPr="00A07DF3">
              <w:rPr>
                <w:rFonts w:cs="Calibri"/>
                <w:b/>
                <w:bCs/>
                <w:color w:val="FFFFFF"/>
                <w:sz w:val="11"/>
                <w:szCs w:val="11"/>
              </w:rPr>
              <w:t>Koszyk 1</w:t>
            </w:r>
          </w:p>
        </w:tc>
        <w:tc>
          <w:tcPr>
            <w:tcW w:w="1134" w:type="dxa"/>
            <w:tcBorders>
              <w:top w:val="nil"/>
              <w:left w:val="nil"/>
              <w:right w:val="single" w:sz="8" w:space="0" w:color="FFFFFF"/>
            </w:tcBorders>
            <w:shd w:val="clear" w:color="000000" w:fill="0077BD"/>
            <w:vAlign w:val="center"/>
            <w:hideMark/>
          </w:tcPr>
          <w:p w14:paraId="1C7144AC" w14:textId="77777777" w:rsidR="00A07DF3" w:rsidRPr="00A07DF3" w:rsidRDefault="00A07DF3" w:rsidP="00A07DF3">
            <w:pPr>
              <w:jc w:val="center"/>
              <w:rPr>
                <w:rFonts w:cs="Calibri"/>
                <w:b/>
                <w:bCs/>
                <w:color w:val="FFFFFF"/>
                <w:sz w:val="11"/>
                <w:szCs w:val="11"/>
              </w:rPr>
            </w:pPr>
            <w:r w:rsidRPr="00A07DF3">
              <w:rPr>
                <w:rFonts w:cs="Calibri"/>
                <w:b/>
                <w:bCs/>
                <w:color w:val="FFFFFF"/>
                <w:sz w:val="11"/>
                <w:szCs w:val="11"/>
              </w:rPr>
              <w:t>Koszyk 2</w:t>
            </w:r>
          </w:p>
        </w:tc>
        <w:tc>
          <w:tcPr>
            <w:tcW w:w="1134" w:type="dxa"/>
            <w:tcBorders>
              <w:top w:val="nil"/>
              <w:left w:val="nil"/>
              <w:right w:val="single" w:sz="8" w:space="0" w:color="FFFFFF"/>
            </w:tcBorders>
            <w:shd w:val="clear" w:color="000000" w:fill="0077BD"/>
            <w:vAlign w:val="center"/>
            <w:hideMark/>
          </w:tcPr>
          <w:p w14:paraId="40642EC9" w14:textId="77777777" w:rsidR="00A07DF3" w:rsidRPr="00A07DF3" w:rsidRDefault="00A07DF3" w:rsidP="00A07DF3">
            <w:pPr>
              <w:jc w:val="center"/>
              <w:rPr>
                <w:rFonts w:cs="Calibri"/>
                <w:b/>
                <w:bCs/>
                <w:color w:val="FFFFFF"/>
                <w:sz w:val="11"/>
                <w:szCs w:val="11"/>
              </w:rPr>
            </w:pPr>
            <w:r w:rsidRPr="00A07DF3">
              <w:rPr>
                <w:rFonts w:cs="Calibri"/>
                <w:b/>
                <w:bCs/>
                <w:color w:val="FFFFFF"/>
                <w:sz w:val="11"/>
                <w:szCs w:val="11"/>
              </w:rPr>
              <w:t>Koszyk 3</w:t>
            </w:r>
          </w:p>
        </w:tc>
        <w:tc>
          <w:tcPr>
            <w:tcW w:w="1134" w:type="dxa"/>
            <w:tcBorders>
              <w:top w:val="nil"/>
              <w:left w:val="nil"/>
              <w:right w:val="single" w:sz="8" w:space="0" w:color="FFFFFF"/>
            </w:tcBorders>
            <w:shd w:val="clear" w:color="000000" w:fill="0077BD"/>
            <w:vAlign w:val="center"/>
            <w:hideMark/>
          </w:tcPr>
          <w:p w14:paraId="5E63A69D" w14:textId="77777777" w:rsidR="00A07DF3" w:rsidRPr="00A07DF3" w:rsidRDefault="00A07DF3" w:rsidP="00A07DF3">
            <w:pPr>
              <w:jc w:val="center"/>
              <w:rPr>
                <w:rFonts w:cs="Calibri"/>
                <w:b/>
                <w:bCs/>
                <w:color w:val="FFFFFF"/>
                <w:sz w:val="11"/>
                <w:szCs w:val="11"/>
              </w:rPr>
            </w:pPr>
            <w:r w:rsidRPr="00A07DF3">
              <w:rPr>
                <w:rFonts w:cs="Calibri"/>
                <w:b/>
                <w:bCs/>
                <w:color w:val="FFFFFF"/>
                <w:sz w:val="11"/>
                <w:szCs w:val="11"/>
              </w:rPr>
              <w:t>POCI</w:t>
            </w:r>
          </w:p>
        </w:tc>
        <w:tc>
          <w:tcPr>
            <w:tcW w:w="1134" w:type="dxa"/>
            <w:tcBorders>
              <w:top w:val="nil"/>
              <w:left w:val="nil"/>
              <w:right w:val="nil"/>
            </w:tcBorders>
            <w:shd w:val="clear" w:color="000000" w:fill="0077BD"/>
            <w:vAlign w:val="center"/>
            <w:hideMark/>
          </w:tcPr>
          <w:p w14:paraId="2FFBCDD2" w14:textId="77777777" w:rsidR="00A07DF3" w:rsidRPr="00A07DF3" w:rsidRDefault="00A07DF3" w:rsidP="00A07DF3">
            <w:pPr>
              <w:jc w:val="center"/>
              <w:rPr>
                <w:rFonts w:cs="Calibri"/>
                <w:b/>
                <w:bCs/>
                <w:color w:val="FFFFFF"/>
                <w:sz w:val="11"/>
                <w:szCs w:val="11"/>
              </w:rPr>
            </w:pPr>
            <w:r w:rsidRPr="00A07DF3">
              <w:rPr>
                <w:rFonts w:cs="Calibri"/>
                <w:b/>
                <w:bCs/>
                <w:color w:val="FFFFFF"/>
                <w:sz w:val="11"/>
                <w:szCs w:val="11"/>
              </w:rPr>
              <w:t>RAZEM</w:t>
            </w:r>
          </w:p>
        </w:tc>
      </w:tr>
      <w:tr w:rsidR="00BB45AE" w:rsidRPr="00BB7C9E" w14:paraId="309F79CE" w14:textId="77777777" w:rsidTr="00BB45AE">
        <w:trPr>
          <w:trHeight w:val="284"/>
        </w:trPr>
        <w:tc>
          <w:tcPr>
            <w:tcW w:w="6215" w:type="dxa"/>
            <w:gridSpan w:val="3"/>
            <w:tcBorders>
              <w:top w:val="nil"/>
              <w:left w:val="nil"/>
              <w:bottom w:val="single" w:sz="8" w:space="0" w:color="0077BD"/>
              <w:right w:val="nil"/>
            </w:tcBorders>
            <w:shd w:val="clear" w:color="000000" w:fill="FFFFFF"/>
            <w:vAlign w:val="center"/>
            <w:hideMark/>
          </w:tcPr>
          <w:p w14:paraId="0DA5A6F9" w14:textId="3953F2FB" w:rsidR="00726E31" w:rsidRPr="00BB7C9E" w:rsidRDefault="00726E31" w:rsidP="00726E31">
            <w:pPr>
              <w:rPr>
                <w:rFonts w:cs="Calibri"/>
                <w:color w:val="000000" w:themeColor="text1"/>
                <w:sz w:val="11"/>
                <w:szCs w:val="11"/>
              </w:rPr>
            </w:pPr>
            <w:r w:rsidRPr="00BB7C9E">
              <w:rPr>
                <w:rFonts w:cs="Calibri"/>
                <w:b/>
                <w:bCs/>
                <w:color w:val="000000" w:themeColor="text1"/>
                <w:sz w:val="11"/>
                <w:szCs w:val="11"/>
              </w:rPr>
              <w:t>Dłużne papiery wartościowe wyceniane w wartości godziwej przez pozostałe całkowite dochody</w:t>
            </w:r>
          </w:p>
        </w:tc>
        <w:tc>
          <w:tcPr>
            <w:tcW w:w="1134" w:type="dxa"/>
            <w:tcBorders>
              <w:top w:val="nil"/>
              <w:left w:val="nil"/>
              <w:bottom w:val="single" w:sz="8" w:space="0" w:color="0077BD"/>
              <w:right w:val="nil"/>
            </w:tcBorders>
            <w:shd w:val="clear" w:color="000000" w:fill="FFFFFF"/>
            <w:vAlign w:val="center"/>
          </w:tcPr>
          <w:p w14:paraId="27034ABE" w14:textId="505DA80C" w:rsidR="00726E31" w:rsidRPr="00BB7C9E" w:rsidRDefault="00726E31" w:rsidP="00726E31">
            <w:pPr>
              <w:rPr>
                <w:rFonts w:cs="Calibri"/>
                <w:color w:val="000000" w:themeColor="text1"/>
                <w:sz w:val="11"/>
                <w:szCs w:val="11"/>
              </w:rPr>
            </w:pPr>
          </w:p>
        </w:tc>
        <w:tc>
          <w:tcPr>
            <w:tcW w:w="1134" w:type="dxa"/>
            <w:tcBorders>
              <w:top w:val="nil"/>
              <w:left w:val="nil"/>
              <w:bottom w:val="single" w:sz="8" w:space="0" w:color="0077BD"/>
              <w:right w:val="nil"/>
            </w:tcBorders>
            <w:shd w:val="clear" w:color="000000" w:fill="FFFFFF"/>
            <w:vAlign w:val="center"/>
          </w:tcPr>
          <w:p w14:paraId="44571BE9" w14:textId="2306A110" w:rsidR="00726E31" w:rsidRPr="00BB7C9E" w:rsidRDefault="00726E31" w:rsidP="00726E31">
            <w:pPr>
              <w:rPr>
                <w:rFonts w:cs="Calibri"/>
                <w:color w:val="000000" w:themeColor="text1"/>
                <w:sz w:val="11"/>
                <w:szCs w:val="11"/>
              </w:rPr>
            </w:pPr>
          </w:p>
        </w:tc>
        <w:tc>
          <w:tcPr>
            <w:tcW w:w="1134" w:type="dxa"/>
            <w:tcBorders>
              <w:top w:val="nil"/>
              <w:left w:val="nil"/>
              <w:bottom w:val="single" w:sz="8" w:space="0" w:color="0077BD"/>
              <w:right w:val="nil"/>
            </w:tcBorders>
            <w:shd w:val="clear" w:color="000000" w:fill="FFFFFF"/>
            <w:vAlign w:val="center"/>
          </w:tcPr>
          <w:p w14:paraId="5CD69F05" w14:textId="09EEA397" w:rsidR="00726E31" w:rsidRPr="00BB7C9E" w:rsidRDefault="00726E31" w:rsidP="00726E31">
            <w:pPr>
              <w:rPr>
                <w:rFonts w:cs="Calibri"/>
                <w:color w:val="000000" w:themeColor="text1"/>
                <w:sz w:val="11"/>
                <w:szCs w:val="11"/>
              </w:rPr>
            </w:pPr>
          </w:p>
        </w:tc>
      </w:tr>
      <w:tr w:rsidR="00BB45AE" w:rsidRPr="00BB7C9E" w14:paraId="5CAE1103" w14:textId="77777777" w:rsidTr="00BB45AE">
        <w:trPr>
          <w:trHeight w:val="284"/>
        </w:trPr>
        <w:tc>
          <w:tcPr>
            <w:tcW w:w="3947" w:type="dxa"/>
            <w:tcBorders>
              <w:top w:val="single" w:sz="4" w:space="0" w:color="0077BD"/>
              <w:left w:val="nil"/>
              <w:bottom w:val="single" w:sz="4" w:space="0" w:color="0077BD"/>
              <w:right w:val="single" w:sz="8" w:space="0" w:color="0077BD"/>
            </w:tcBorders>
            <w:shd w:val="clear" w:color="auto" w:fill="auto"/>
            <w:vAlign w:val="center"/>
            <w:hideMark/>
          </w:tcPr>
          <w:p w14:paraId="71109865"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1,0 - 1,2</w:t>
            </w:r>
          </w:p>
        </w:tc>
        <w:tc>
          <w:tcPr>
            <w:tcW w:w="1134" w:type="dxa"/>
            <w:tcBorders>
              <w:top w:val="nil"/>
              <w:left w:val="nil"/>
              <w:bottom w:val="single" w:sz="4" w:space="0" w:color="0077BD"/>
              <w:right w:val="nil"/>
            </w:tcBorders>
            <w:shd w:val="clear" w:color="auto" w:fill="auto"/>
            <w:vAlign w:val="center"/>
            <w:hideMark/>
          </w:tcPr>
          <w:p w14:paraId="24B33C40"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22 662 959</w:t>
            </w:r>
          </w:p>
        </w:tc>
        <w:tc>
          <w:tcPr>
            <w:tcW w:w="1134" w:type="dxa"/>
            <w:tcBorders>
              <w:top w:val="nil"/>
              <w:left w:val="single" w:sz="8" w:space="0" w:color="0077BD"/>
              <w:bottom w:val="single" w:sz="4" w:space="0" w:color="0077BD"/>
              <w:right w:val="nil"/>
            </w:tcBorders>
            <w:shd w:val="clear" w:color="auto" w:fill="auto"/>
            <w:vAlign w:val="center"/>
            <w:hideMark/>
          </w:tcPr>
          <w:p w14:paraId="0B1B29E9"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2C238E23"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6B109AEC"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77143123"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22 662 959</w:t>
            </w:r>
          </w:p>
        </w:tc>
      </w:tr>
      <w:tr w:rsidR="00BB45AE" w:rsidRPr="00BB7C9E" w14:paraId="0A6F494E"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6EFE5965"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1,8 - 2,0</w:t>
            </w:r>
          </w:p>
        </w:tc>
        <w:tc>
          <w:tcPr>
            <w:tcW w:w="1134" w:type="dxa"/>
            <w:tcBorders>
              <w:top w:val="nil"/>
              <w:left w:val="nil"/>
              <w:bottom w:val="single" w:sz="4" w:space="0" w:color="0077BD"/>
              <w:right w:val="nil"/>
            </w:tcBorders>
            <w:shd w:val="clear" w:color="auto" w:fill="auto"/>
            <w:vAlign w:val="center"/>
            <w:hideMark/>
          </w:tcPr>
          <w:p w14:paraId="2EB85CD9"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547 751</w:t>
            </w:r>
          </w:p>
        </w:tc>
        <w:tc>
          <w:tcPr>
            <w:tcW w:w="1134" w:type="dxa"/>
            <w:tcBorders>
              <w:top w:val="nil"/>
              <w:left w:val="single" w:sz="8" w:space="0" w:color="0077BD"/>
              <w:bottom w:val="single" w:sz="4" w:space="0" w:color="0077BD"/>
              <w:right w:val="nil"/>
            </w:tcBorders>
            <w:shd w:val="clear" w:color="auto" w:fill="auto"/>
            <w:vAlign w:val="center"/>
            <w:hideMark/>
          </w:tcPr>
          <w:p w14:paraId="71CEACB2"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20C42DE4"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212135CF"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1219FF99"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547 751</w:t>
            </w:r>
          </w:p>
        </w:tc>
      </w:tr>
      <w:tr w:rsidR="00BB45AE" w:rsidRPr="00BB7C9E" w14:paraId="7FDAAC40"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6A5BFC11"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2,2 - 2,8</w:t>
            </w:r>
          </w:p>
        </w:tc>
        <w:tc>
          <w:tcPr>
            <w:tcW w:w="1134" w:type="dxa"/>
            <w:tcBorders>
              <w:top w:val="nil"/>
              <w:left w:val="nil"/>
              <w:bottom w:val="single" w:sz="4" w:space="0" w:color="0077BD"/>
              <w:right w:val="single" w:sz="8" w:space="0" w:color="0077BD"/>
            </w:tcBorders>
            <w:shd w:val="clear" w:color="auto" w:fill="auto"/>
            <w:vAlign w:val="center"/>
            <w:hideMark/>
          </w:tcPr>
          <w:p w14:paraId="65E203FF"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578 615</w:t>
            </w:r>
          </w:p>
        </w:tc>
        <w:tc>
          <w:tcPr>
            <w:tcW w:w="1134" w:type="dxa"/>
            <w:tcBorders>
              <w:top w:val="nil"/>
              <w:left w:val="nil"/>
              <w:bottom w:val="single" w:sz="4" w:space="0" w:color="0077BD"/>
              <w:right w:val="nil"/>
            </w:tcBorders>
            <w:shd w:val="clear" w:color="auto" w:fill="auto"/>
            <w:vAlign w:val="center"/>
            <w:hideMark/>
          </w:tcPr>
          <w:p w14:paraId="2AC03617"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2AE7CBC6"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19814658"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0F746887"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578 615</w:t>
            </w:r>
          </w:p>
        </w:tc>
      </w:tr>
      <w:tr w:rsidR="00BB45AE" w:rsidRPr="00BB7C9E" w14:paraId="798D2806"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030F0FB6"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3,0 - 3,8</w:t>
            </w:r>
          </w:p>
        </w:tc>
        <w:tc>
          <w:tcPr>
            <w:tcW w:w="1134" w:type="dxa"/>
            <w:tcBorders>
              <w:top w:val="nil"/>
              <w:left w:val="nil"/>
              <w:bottom w:val="single" w:sz="4" w:space="0" w:color="0077BD"/>
              <w:right w:val="nil"/>
            </w:tcBorders>
            <w:shd w:val="clear" w:color="auto" w:fill="auto"/>
            <w:vAlign w:val="center"/>
            <w:hideMark/>
          </w:tcPr>
          <w:p w14:paraId="73DA615A"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431 396</w:t>
            </w:r>
          </w:p>
        </w:tc>
        <w:tc>
          <w:tcPr>
            <w:tcW w:w="1134" w:type="dxa"/>
            <w:tcBorders>
              <w:top w:val="nil"/>
              <w:left w:val="single" w:sz="8" w:space="0" w:color="0077BD"/>
              <w:bottom w:val="single" w:sz="4" w:space="0" w:color="0077BD"/>
              <w:right w:val="nil"/>
            </w:tcBorders>
            <w:shd w:val="clear" w:color="auto" w:fill="auto"/>
            <w:vAlign w:val="center"/>
            <w:hideMark/>
          </w:tcPr>
          <w:p w14:paraId="1BD5A84B"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21 721</w:t>
            </w:r>
          </w:p>
        </w:tc>
        <w:tc>
          <w:tcPr>
            <w:tcW w:w="1134" w:type="dxa"/>
            <w:tcBorders>
              <w:top w:val="nil"/>
              <w:left w:val="single" w:sz="8" w:space="0" w:color="0077BD"/>
              <w:bottom w:val="single" w:sz="4" w:space="0" w:color="0077BD"/>
              <w:right w:val="nil"/>
            </w:tcBorders>
            <w:shd w:val="clear" w:color="auto" w:fill="auto"/>
            <w:vAlign w:val="center"/>
            <w:hideMark/>
          </w:tcPr>
          <w:p w14:paraId="6EA613B2"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744E7452"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00D153EC"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453 117</w:t>
            </w:r>
          </w:p>
        </w:tc>
      </w:tr>
      <w:tr w:rsidR="00BB45AE" w:rsidRPr="00BB7C9E" w14:paraId="66C16C71"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37455D3A"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4,0 - 5,0</w:t>
            </w:r>
          </w:p>
        </w:tc>
        <w:tc>
          <w:tcPr>
            <w:tcW w:w="1134" w:type="dxa"/>
            <w:tcBorders>
              <w:top w:val="nil"/>
              <w:left w:val="nil"/>
              <w:bottom w:val="single" w:sz="4" w:space="0" w:color="0077BD"/>
              <w:right w:val="nil"/>
            </w:tcBorders>
            <w:shd w:val="clear" w:color="auto" w:fill="auto"/>
            <w:vAlign w:val="center"/>
            <w:hideMark/>
          </w:tcPr>
          <w:p w14:paraId="7B16406D"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60 887</w:t>
            </w:r>
          </w:p>
        </w:tc>
        <w:tc>
          <w:tcPr>
            <w:tcW w:w="1134" w:type="dxa"/>
            <w:tcBorders>
              <w:top w:val="nil"/>
              <w:left w:val="single" w:sz="8" w:space="0" w:color="0077BD"/>
              <w:bottom w:val="single" w:sz="4" w:space="0" w:color="0077BD"/>
              <w:right w:val="nil"/>
            </w:tcBorders>
            <w:shd w:val="clear" w:color="auto" w:fill="auto"/>
            <w:vAlign w:val="center"/>
            <w:hideMark/>
          </w:tcPr>
          <w:p w14:paraId="1FB284F2"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1EA2E865"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6ABA322C"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0423A6C4"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60 887</w:t>
            </w:r>
          </w:p>
        </w:tc>
      </w:tr>
      <w:tr w:rsidR="00BB45AE" w:rsidRPr="00BB7C9E" w14:paraId="4EF3EF81"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5D53277B" w14:textId="77777777" w:rsidR="00A07DF3" w:rsidRPr="00D1550F" w:rsidRDefault="00A07DF3" w:rsidP="00A07DF3">
            <w:pPr>
              <w:jc w:val="center"/>
              <w:rPr>
                <w:rFonts w:cs="Calibri"/>
                <w:color w:val="000000" w:themeColor="text1"/>
                <w:sz w:val="11"/>
                <w:szCs w:val="11"/>
              </w:rPr>
            </w:pPr>
            <w:r w:rsidRPr="00D1550F">
              <w:rPr>
                <w:rFonts w:cs="Calibri"/>
                <w:color w:val="000000" w:themeColor="text1"/>
                <w:sz w:val="11"/>
                <w:szCs w:val="11"/>
              </w:rPr>
              <w:t>bez ratingu</w:t>
            </w:r>
          </w:p>
        </w:tc>
        <w:tc>
          <w:tcPr>
            <w:tcW w:w="1134" w:type="dxa"/>
            <w:tcBorders>
              <w:top w:val="nil"/>
              <w:left w:val="nil"/>
              <w:bottom w:val="single" w:sz="4" w:space="0" w:color="0077BD"/>
              <w:right w:val="nil"/>
            </w:tcBorders>
            <w:shd w:val="clear" w:color="auto" w:fill="auto"/>
            <w:vAlign w:val="center"/>
            <w:hideMark/>
          </w:tcPr>
          <w:p w14:paraId="5A1E832E"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39 490</w:t>
            </w:r>
          </w:p>
        </w:tc>
        <w:tc>
          <w:tcPr>
            <w:tcW w:w="1134" w:type="dxa"/>
            <w:tcBorders>
              <w:top w:val="nil"/>
              <w:left w:val="single" w:sz="8" w:space="0" w:color="0077BD"/>
              <w:bottom w:val="single" w:sz="4" w:space="0" w:color="0077BD"/>
              <w:right w:val="nil"/>
            </w:tcBorders>
            <w:shd w:val="clear" w:color="auto" w:fill="auto"/>
            <w:vAlign w:val="center"/>
            <w:hideMark/>
          </w:tcPr>
          <w:p w14:paraId="5F9B7252"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697DA23B"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13C5A799"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20BB5D38"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39 490</w:t>
            </w:r>
          </w:p>
        </w:tc>
      </w:tr>
      <w:tr w:rsidR="00BB45AE" w:rsidRPr="00BB7C9E" w14:paraId="1FF688CD"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7F38109C" w14:textId="77777777" w:rsidR="00A07DF3" w:rsidRPr="00D1550F" w:rsidRDefault="00A07DF3" w:rsidP="00A07DF3">
            <w:pPr>
              <w:rPr>
                <w:rFonts w:cs="Calibri"/>
                <w:b/>
                <w:bCs/>
                <w:color w:val="000000" w:themeColor="text1"/>
                <w:sz w:val="11"/>
                <w:szCs w:val="11"/>
              </w:rPr>
            </w:pPr>
            <w:r w:rsidRPr="00D1550F">
              <w:rPr>
                <w:rFonts w:cs="Calibri"/>
                <w:b/>
                <w:bCs/>
                <w:color w:val="000000" w:themeColor="text1"/>
                <w:sz w:val="11"/>
                <w:szCs w:val="11"/>
              </w:rPr>
              <w:t>Wartość bilansowa brutto</w:t>
            </w:r>
          </w:p>
        </w:tc>
        <w:tc>
          <w:tcPr>
            <w:tcW w:w="1134" w:type="dxa"/>
            <w:tcBorders>
              <w:top w:val="nil"/>
              <w:left w:val="nil"/>
              <w:bottom w:val="single" w:sz="4" w:space="0" w:color="0077BD"/>
              <w:right w:val="nil"/>
            </w:tcBorders>
            <w:shd w:val="clear" w:color="auto" w:fill="auto"/>
            <w:vAlign w:val="center"/>
            <w:hideMark/>
          </w:tcPr>
          <w:p w14:paraId="24E22E54"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24 321 098</w:t>
            </w:r>
          </w:p>
        </w:tc>
        <w:tc>
          <w:tcPr>
            <w:tcW w:w="1134" w:type="dxa"/>
            <w:tcBorders>
              <w:top w:val="nil"/>
              <w:left w:val="single" w:sz="8" w:space="0" w:color="0077BD"/>
              <w:bottom w:val="single" w:sz="4" w:space="0" w:color="0077BD"/>
              <w:right w:val="nil"/>
            </w:tcBorders>
            <w:shd w:val="clear" w:color="auto" w:fill="auto"/>
            <w:vAlign w:val="center"/>
            <w:hideMark/>
          </w:tcPr>
          <w:p w14:paraId="14181786"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21 721</w:t>
            </w:r>
          </w:p>
        </w:tc>
        <w:tc>
          <w:tcPr>
            <w:tcW w:w="1134" w:type="dxa"/>
            <w:tcBorders>
              <w:top w:val="nil"/>
              <w:left w:val="single" w:sz="8" w:space="0" w:color="0077BD"/>
              <w:bottom w:val="single" w:sz="4" w:space="0" w:color="0077BD"/>
              <w:right w:val="nil"/>
            </w:tcBorders>
            <w:shd w:val="clear" w:color="auto" w:fill="auto"/>
            <w:vAlign w:val="center"/>
            <w:hideMark/>
          </w:tcPr>
          <w:p w14:paraId="7B4B1C55"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0B8AF2FA"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6C980B4D"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24 342 819</w:t>
            </w:r>
          </w:p>
        </w:tc>
      </w:tr>
      <w:tr w:rsidR="00BB45AE" w:rsidRPr="00BB7C9E" w14:paraId="57D970CA" w14:textId="77777777" w:rsidTr="00BB45AE">
        <w:trPr>
          <w:trHeight w:val="284"/>
        </w:trPr>
        <w:tc>
          <w:tcPr>
            <w:tcW w:w="3947" w:type="dxa"/>
            <w:tcBorders>
              <w:top w:val="nil"/>
              <w:left w:val="nil"/>
              <w:bottom w:val="single" w:sz="4" w:space="0" w:color="0077BD"/>
              <w:right w:val="single" w:sz="8" w:space="0" w:color="0077BD"/>
            </w:tcBorders>
            <w:shd w:val="clear" w:color="auto" w:fill="auto"/>
            <w:vAlign w:val="center"/>
            <w:hideMark/>
          </w:tcPr>
          <w:p w14:paraId="4FEAF5D1" w14:textId="77777777" w:rsidR="00A07DF3" w:rsidRPr="00D1550F" w:rsidRDefault="00A07DF3" w:rsidP="00A07DF3">
            <w:pPr>
              <w:rPr>
                <w:rFonts w:cs="Calibri"/>
                <w:color w:val="000000" w:themeColor="text1"/>
                <w:sz w:val="11"/>
                <w:szCs w:val="11"/>
              </w:rPr>
            </w:pPr>
            <w:r w:rsidRPr="00D1550F">
              <w:rPr>
                <w:rFonts w:cs="Calibri"/>
                <w:color w:val="000000" w:themeColor="text1"/>
                <w:sz w:val="11"/>
                <w:szCs w:val="11"/>
              </w:rPr>
              <w:t>Skumulowana utrata wartości</w:t>
            </w:r>
          </w:p>
        </w:tc>
        <w:tc>
          <w:tcPr>
            <w:tcW w:w="1134" w:type="dxa"/>
            <w:tcBorders>
              <w:top w:val="nil"/>
              <w:left w:val="nil"/>
              <w:bottom w:val="single" w:sz="4" w:space="0" w:color="0077BD"/>
              <w:right w:val="nil"/>
            </w:tcBorders>
            <w:shd w:val="clear" w:color="auto" w:fill="auto"/>
            <w:vAlign w:val="center"/>
            <w:hideMark/>
          </w:tcPr>
          <w:p w14:paraId="03E5287F"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(4 171)</w:t>
            </w:r>
          </w:p>
        </w:tc>
        <w:tc>
          <w:tcPr>
            <w:tcW w:w="1134" w:type="dxa"/>
            <w:tcBorders>
              <w:top w:val="nil"/>
              <w:left w:val="single" w:sz="8" w:space="0" w:color="0077BD"/>
              <w:bottom w:val="single" w:sz="4" w:space="0" w:color="0077BD"/>
              <w:right w:val="nil"/>
            </w:tcBorders>
            <w:shd w:val="clear" w:color="auto" w:fill="auto"/>
            <w:vAlign w:val="center"/>
            <w:hideMark/>
          </w:tcPr>
          <w:p w14:paraId="094F5440"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(364)</w:t>
            </w:r>
          </w:p>
        </w:tc>
        <w:tc>
          <w:tcPr>
            <w:tcW w:w="1134" w:type="dxa"/>
            <w:tcBorders>
              <w:top w:val="nil"/>
              <w:left w:val="single" w:sz="8" w:space="0" w:color="0077BD"/>
              <w:bottom w:val="single" w:sz="4" w:space="0" w:color="0077BD"/>
              <w:right w:val="nil"/>
            </w:tcBorders>
            <w:shd w:val="clear" w:color="auto" w:fill="auto"/>
            <w:vAlign w:val="center"/>
            <w:hideMark/>
          </w:tcPr>
          <w:p w14:paraId="435FD2FF"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4E2E5FDF"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w:t>
            </w:r>
          </w:p>
        </w:tc>
        <w:tc>
          <w:tcPr>
            <w:tcW w:w="1134" w:type="dxa"/>
            <w:tcBorders>
              <w:top w:val="nil"/>
              <w:left w:val="single" w:sz="8" w:space="0" w:color="0077BD"/>
              <w:bottom w:val="single" w:sz="4" w:space="0" w:color="0077BD"/>
              <w:right w:val="nil"/>
            </w:tcBorders>
            <w:shd w:val="clear" w:color="auto" w:fill="auto"/>
            <w:vAlign w:val="center"/>
            <w:hideMark/>
          </w:tcPr>
          <w:p w14:paraId="6420C2AE" w14:textId="77777777" w:rsidR="00A07DF3" w:rsidRPr="00D1550F" w:rsidRDefault="00A07DF3" w:rsidP="00A07DF3">
            <w:pPr>
              <w:jc w:val="right"/>
              <w:rPr>
                <w:rFonts w:cs="Calibri"/>
                <w:color w:val="000000" w:themeColor="text1"/>
                <w:sz w:val="11"/>
                <w:szCs w:val="11"/>
              </w:rPr>
            </w:pPr>
            <w:r w:rsidRPr="00D1550F">
              <w:rPr>
                <w:rFonts w:cs="Calibri"/>
                <w:color w:val="000000" w:themeColor="text1"/>
                <w:sz w:val="11"/>
                <w:szCs w:val="11"/>
              </w:rPr>
              <w:t>(4 535)</w:t>
            </w:r>
          </w:p>
        </w:tc>
      </w:tr>
      <w:tr w:rsidR="00BB45AE" w:rsidRPr="00BB7C9E" w14:paraId="65A114F4" w14:textId="77777777" w:rsidTr="00BB45AE">
        <w:trPr>
          <w:trHeight w:val="284"/>
        </w:trPr>
        <w:tc>
          <w:tcPr>
            <w:tcW w:w="3947" w:type="dxa"/>
            <w:tcBorders>
              <w:top w:val="single" w:sz="8" w:space="0" w:color="0077BD"/>
              <w:left w:val="nil"/>
              <w:bottom w:val="single" w:sz="8" w:space="0" w:color="0077BD"/>
              <w:right w:val="single" w:sz="8" w:space="0" w:color="0077BD"/>
            </w:tcBorders>
            <w:shd w:val="clear" w:color="auto" w:fill="auto"/>
            <w:vAlign w:val="center"/>
            <w:hideMark/>
          </w:tcPr>
          <w:p w14:paraId="4BC8DE95" w14:textId="77777777" w:rsidR="00A07DF3" w:rsidRPr="00D1550F" w:rsidRDefault="00A07DF3" w:rsidP="00A07DF3">
            <w:pPr>
              <w:rPr>
                <w:rFonts w:cs="Calibri"/>
                <w:b/>
                <w:bCs/>
                <w:color w:val="000000" w:themeColor="text1"/>
                <w:sz w:val="11"/>
                <w:szCs w:val="11"/>
              </w:rPr>
            </w:pPr>
            <w:r w:rsidRPr="00D1550F">
              <w:rPr>
                <w:rFonts w:cs="Calibri"/>
                <w:b/>
                <w:bCs/>
                <w:color w:val="000000" w:themeColor="text1"/>
                <w:sz w:val="11"/>
                <w:szCs w:val="11"/>
              </w:rPr>
              <w:t>Razem</w:t>
            </w:r>
          </w:p>
        </w:tc>
        <w:tc>
          <w:tcPr>
            <w:tcW w:w="1134" w:type="dxa"/>
            <w:tcBorders>
              <w:top w:val="single" w:sz="8" w:space="0" w:color="0077BD"/>
              <w:left w:val="nil"/>
              <w:bottom w:val="single" w:sz="8" w:space="0" w:color="0077BD"/>
              <w:right w:val="nil"/>
            </w:tcBorders>
            <w:shd w:val="clear" w:color="auto" w:fill="auto"/>
            <w:vAlign w:val="center"/>
            <w:hideMark/>
          </w:tcPr>
          <w:p w14:paraId="740FD4DD"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24 316 927</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1E662137"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21 357</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4F15096E"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7517A19E"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26A01061" w14:textId="77777777" w:rsidR="00A07DF3" w:rsidRPr="00D1550F" w:rsidRDefault="00A07DF3" w:rsidP="00A07DF3">
            <w:pPr>
              <w:jc w:val="right"/>
              <w:rPr>
                <w:rFonts w:cs="Calibri"/>
                <w:b/>
                <w:bCs/>
                <w:color w:val="000000" w:themeColor="text1"/>
                <w:sz w:val="11"/>
                <w:szCs w:val="11"/>
              </w:rPr>
            </w:pPr>
            <w:r w:rsidRPr="00D1550F">
              <w:rPr>
                <w:rFonts w:cs="Calibri"/>
                <w:b/>
                <w:bCs/>
                <w:color w:val="000000" w:themeColor="text1"/>
                <w:sz w:val="11"/>
                <w:szCs w:val="11"/>
              </w:rPr>
              <w:t>24 338 284</w:t>
            </w:r>
          </w:p>
        </w:tc>
      </w:tr>
    </w:tbl>
    <w:p w14:paraId="2E31D340" w14:textId="28624518" w:rsidR="00E342D7" w:rsidRPr="00BB45AE" w:rsidRDefault="00E342D7" w:rsidP="00A07DF3">
      <w:pPr>
        <w:jc w:val="both"/>
        <w:rPr>
          <w:noProof/>
          <w:sz w:val="18"/>
          <w:szCs w:val="18"/>
        </w:rPr>
      </w:pPr>
    </w:p>
    <w:p w14:paraId="6754BC07" w14:textId="5F2CB036" w:rsidR="004444CF" w:rsidRDefault="00F433ED"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2" w:name="_Toc32999854"/>
      <w:r>
        <w:rPr>
          <w:rFonts w:cs="Tahoma"/>
          <w:bCs w:val="0"/>
          <w:iCs w:val="0"/>
          <w:color w:val="E41E0A"/>
          <w:sz w:val="18"/>
          <w:szCs w:val="18"/>
        </w:rPr>
        <w:t xml:space="preserve">Aktywa </w:t>
      </w:r>
      <w:r w:rsidR="00F00AD6">
        <w:rPr>
          <w:rFonts w:cs="Tahoma"/>
          <w:bCs w:val="0"/>
          <w:iCs w:val="0"/>
          <w:color w:val="E41E0A"/>
          <w:sz w:val="18"/>
          <w:szCs w:val="18"/>
        </w:rPr>
        <w:t xml:space="preserve">finansowe </w:t>
      </w:r>
      <w:r>
        <w:rPr>
          <w:rFonts w:cs="Tahoma"/>
          <w:bCs w:val="0"/>
          <w:iCs w:val="0"/>
          <w:color w:val="E41E0A"/>
          <w:sz w:val="18"/>
          <w:szCs w:val="18"/>
        </w:rPr>
        <w:t>wyceniane w zamortyzowanym koszcie</w:t>
      </w:r>
      <w:bookmarkEnd w:id="142"/>
    </w:p>
    <w:p w14:paraId="7C2E26CB" w14:textId="0E542747" w:rsidR="00A07DF3" w:rsidRDefault="00A07DF3" w:rsidP="005E6296">
      <w:pPr>
        <w:jc w:val="both"/>
        <w:rPr>
          <w:noProof/>
        </w:rPr>
      </w:pPr>
    </w:p>
    <w:tbl>
      <w:tblPr>
        <w:tblW w:w="9609" w:type="dxa"/>
        <w:tblLayout w:type="fixed"/>
        <w:tblCellMar>
          <w:left w:w="0" w:type="dxa"/>
          <w:right w:w="0" w:type="dxa"/>
        </w:tblCellMar>
        <w:tblLook w:val="04A0" w:firstRow="1" w:lastRow="0" w:firstColumn="1" w:lastColumn="0" w:noHBand="0" w:noVBand="1"/>
      </w:tblPr>
      <w:tblGrid>
        <w:gridCol w:w="2211"/>
        <w:gridCol w:w="822"/>
        <w:gridCol w:w="822"/>
        <w:gridCol w:w="822"/>
        <w:gridCol w:w="822"/>
        <w:gridCol w:w="822"/>
        <w:gridCol w:w="822"/>
        <w:gridCol w:w="822"/>
        <w:gridCol w:w="822"/>
        <w:gridCol w:w="822"/>
      </w:tblGrid>
      <w:tr w:rsidR="0049243E" w:rsidRPr="00E11501" w14:paraId="524F2B42" w14:textId="77777777" w:rsidTr="002E7F42">
        <w:trPr>
          <w:trHeight w:val="284"/>
        </w:trPr>
        <w:tc>
          <w:tcPr>
            <w:tcW w:w="2211" w:type="dxa"/>
            <w:vMerge w:val="restart"/>
            <w:tcBorders>
              <w:top w:val="nil"/>
              <w:left w:val="nil"/>
              <w:bottom w:val="nil"/>
              <w:right w:val="nil"/>
            </w:tcBorders>
            <w:shd w:val="clear" w:color="000000" w:fill="0077BD"/>
            <w:noWrap/>
            <w:vAlign w:val="center"/>
            <w:hideMark/>
          </w:tcPr>
          <w:p w14:paraId="4E2789FC" w14:textId="32E7982D" w:rsidR="0049243E" w:rsidRPr="00E11501" w:rsidRDefault="00D90EBF" w:rsidP="008E41C5">
            <w:pPr>
              <w:rPr>
                <w:rFonts w:cs="Calibri"/>
                <w:b/>
                <w:bCs/>
                <w:color w:val="FFFFFF"/>
                <w:sz w:val="11"/>
                <w:szCs w:val="11"/>
              </w:rPr>
            </w:pPr>
            <w:r>
              <w:rPr>
                <w:rFonts w:cs="Calibri"/>
                <w:b/>
                <w:bCs/>
                <w:color w:val="FFFFFF"/>
                <w:sz w:val="11"/>
                <w:szCs w:val="11"/>
              </w:rPr>
              <w:t>31.12.2019</w:t>
            </w:r>
          </w:p>
        </w:tc>
        <w:tc>
          <w:tcPr>
            <w:tcW w:w="822" w:type="dxa"/>
            <w:vMerge w:val="restart"/>
            <w:tcBorders>
              <w:top w:val="nil"/>
              <w:left w:val="single" w:sz="8" w:space="0" w:color="FFFFFF"/>
              <w:right w:val="single" w:sz="6" w:space="0" w:color="FFFFFF"/>
            </w:tcBorders>
            <w:shd w:val="clear" w:color="000000" w:fill="0077BD"/>
            <w:vAlign w:val="center"/>
            <w:hideMark/>
          </w:tcPr>
          <w:p w14:paraId="5DE55AE4"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Wartość bilansowa</w:t>
            </w:r>
          </w:p>
        </w:tc>
        <w:tc>
          <w:tcPr>
            <w:tcW w:w="3288" w:type="dxa"/>
            <w:gridSpan w:val="4"/>
            <w:tcBorders>
              <w:top w:val="nil"/>
              <w:left w:val="single" w:sz="6" w:space="0" w:color="FFFFFF"/>
              <w:bottom w:val="single" w:sz="6" w:space="0" w:color="FFFFFF"/>
              <w:right w:val="single" w:sz="8" w:space="0" w:color="FFFFFF"/>
            </w:tcBorders>
            <w:shd w:val="clear" w:color="000000" w:fill="0077BD"/>
            <w:vAlign w:val="center"/>
            <w:hideMark/>
          </w:tcPr>
          <w:p w14:paraId="42DCCE92"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Wartość bilansowa brutto</w:t>
            </w:r>
          </w:p>
        </w:tc>
        <w:tc>
          <w:tcPr>
            <w:tcW w:w="3288" w:type="dxa"/>
            <w:gridSpan w:val="4"/>
            <w:tcBorders>
              <w:top w:val="nil"/>
              <w:left w:val="nil"/>
              <w:bottom w:val="single" w:sz="6" w:space="0" w:color="FFFFFF"/>
              <w:right w:val="nil"/>
            </w:tcBorders>
            <w:shd w:val="clear" w:color="000000" w:fill="0077BD"/>
            <w:vAlign w:val="center"/>
            <w:hideMark/>
          </w:tcPr>
          <w:p w14:paraId="2BED868A"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Skumulowana utrata wartości</w:t>
            </w:r>
          </w:p>
        </w:tc>
      </w:tr>
      <w:tr w:rsidR="0049243E" w:rsidRPr="00E11501" w14:paraId="694375C8" w14:textId="77777777" w:rsidTr="002E7F42">
        <w:trPr>
          <w:trHeight w:val="194"/>
        </w:trPr>
        <w:tc>
          <w:tcPr>
            <w:tcW w:w="2211" w:type="dxa"/>
            <w:vMerge/>
            <w:tcBorders>
              <w:top w:val="nil"/>
              <w:left w:val="nil"/>
              <w:bottom w:val="nil"/>
              <w:right w:val="nil"/>
            </w:tcBorders>
            <w:vAlign w:val="center"/>
            <w:hideMark/>
          </w:tcPr>
          <w:p w14:paraId="423B559F" w14:textId="77777777" w:rsidR="0049243E" w:rsidRPr="00E11501" w:rsidRDefault="0049243E" w:rsidP="008E41C5">
            <w:pPr>
              <w:rPr>
                <w:rFonts w:cs="Calibri"/>
                <w:b/>
                <w:bCs/>
                <w:color w:val="FFFFFF"/>
                <w:sz w:val="11"/>
                <w:szCs w:val="11"/>
              </w:rPr>
            </w:pPr>
          </w:p>
        </w:tc>
        <w:tc>
          <w:tcPr>
            <w:tcW w:w="822" w:type="dxa"/>
            <w:vMerge/>
            <w:tcBorders>
              <w:top w:val="single" w:sz="8" w:space="0" w:color="0077BD"/>
              <w:left w:val="single" w:sz="8" w:space="0" w:color="FFFFFF"/>
              <w:right w:val="single" w:sz="6" w:space="0" w:color="FFFFFF"/>
            </w:tcBorders>
            <w:vAlign w:val="center"/>
            <w:hideMark/>
          </w:tcPr>
          <w:p w14:paraId="79509C02" w14:textId="77777777" w:rsidR="0049243E" w:rsidRPr="00E11501" w:rsidRDefault="0049243E" w:rsidP="008E41C5">
            <w:pPr>
              <w:rPr>
                <w:rFonts w:cs="Calibri"/>
                <w:b/>
                <w:bCs/>
                <w:color w:val="FFFFFF"/>
                <w:sz w:val="11"/>
                <w:szCs w:val="11"/>
              </w:rPr>
            </w:pPr>
          </w:p>
        </w:tc>
        <w:tc>
          <w:tcPr>
            <w:tcW w:w="822" w:type="dxa"/>
            <w:vMerge w:val="restart"/>
            <w:tcBorders>
              <w:top w:val="single" w:sz="6" w:space="0" w:color="FFFFFF"/>
              <w:left w:val="single" w:sz="6" w:space="0" w:color="FFFFFF"/>
              <w:bottom w:val="single" w:sz="8" w:space="0" w:color="FFFFFF"/>
              <w:right w:val="nil"/>
            </w:tcBorders>
            <w:shd w:val="clear" w:color="000000" w:fill="0077BD"/>
            <w:vAlign w:val="center"/>
            <w:hideMark/>
          </w:tcPr>
          <w:p w14:paraId="247E0478"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1</w:t>
            </w:r>
          </w:p>
        </w:tc>
        <w:tc>
          <w:tcPr>
            <w:tcW w:w="822" w:type="dxa"/>
            <w:vMerge w:val="restart"/>
            <w:tcBorders>
              <w:top w:val="single" w:sz="6" w:space="0" w:color="FFFFFF"/>
              <w:left w:val="single" w:sz="8" w:space="0" w:color="FFFFFF"/>
              <w:right w:val="single" w:sz="6" w:space="0" w:color="FFFFFF"/>
            </w:tcBorders>
            <w:shd w:val="clear" w:color="000000" w:fill="0077BD"/>
            <w:vAlign w:val="center"/>
            <w:hideMark/>
          </w:tcPr>
          <w:p w14:paraId="117E404B"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2</w:t>
            </w:r>
          </w:p>
        </w:tc>
        <w:tc>
          <w:tcPr>
            <w:tcW w:w="822" w:type="dxa"/>
            <w:vMerge w:val="restart"/>
            <w:tcBorders>
              <w:top w:val="single" w:sz="6" w:space="0" w:color="FFFFFF"/>
              <w:left w:val="single" w:sz="6" w:space="0" w:color="FFFFFF"/>
              <w:bottom w:val="single" w:sz="8" w:space="0" w:color="FFFFFF"/>
              <w:right w:val="nil"/>
            </w:tcBorders>
            <w:shd w:val="clear" w:color="000000" w:fill="0077BD"/>
            <w:vAlign w:val="center"/>
            <w:hideMark/>
          </w:tcPr>
          <w:p w14:paraId="337548C6"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3</w:t>
            </w:r>
          </w:p>
        </w:tc>
        <w:tc>
          <w:tcPr>
            <w:tcW w:w="822"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3575B15E"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POCI</w:t>
            </w:r>
          </w:p>
        </w:tc>
        <w:tc>
          <w:tcPr>
            <w:tcW w:w="822"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7F222A07"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1</w:t>
            </w:r>
          </w:p>
        </w:tc>
        <w:tc>
          <w:tcPr>
            <w:tcW w:w="822"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5CB3484D"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2</w:t>
            </w:r>
          </w:p>
        </w:tc>
        <w:tc>
          <w:tcPr>
            <w:tcW w:w="822"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64E99241"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Koszyk 3</w:t>
            </w:r>
          </w:p>
        </w:tc>
        <w:tc>
          <w:tcPr>
            <w:tcW w:w="822" w:type="dxa"/>
            <w:vMerge w:val="restart"/>
            <w:tcBorders>
              <w:top w:val="single" w:sz="6" w:space="0" w:color="FFFFFF"/>
              <w:left w:val="single" w:sz="8" w:space="0" w:color="FFFFFF"/>
              <w:bottom w:val="single" w:sz="8" w:space="0" w:color="FFFFFF"/>
              <w:right w:val="nil"/>
            </w:tcBorders>
            <w:shd w:val="clear" w:color="000000" w:fill="0077BD"/>
            <w:vAlign w:val="center"/>
            <w:hideMark/>
          </w:tcPr>
          <w:p w14:paraId="6F9CB11C" w14:textId="77777777" w:rsidR="0049243E" w:rsidRPr="00E11501" w:rsidRDefault="0049243E" w:rsidP="008E41C5">
            <w:pPr>
              <w:jc w:val="center"/>
              <w:rPr>
                <w:rFonts w:cs="Calibri"/>
                <w:b/>
                <w:bCs/>
                <w:color w:val="FFFFFF"/>
                <w:sz w:val="11"/>
                <w:szCs w:val="11"/>
              </w:rPr>
            </w:pPr>
            <w:r w:rsidRPr="00E11501">
              <w:rPr>
                <w:rFonts w:cs="Calibri"/>
                <w:b/>
                <w:bCs/>
                <w:color w:val="FFFFFF"/>
                <w:sz w:val="11"/>
                <w:szCs w:val="11"/>
              </w:rPr>
              <w:t>POCI</w:t>
            </w:r>
          </w:p>
        </w:tc>
      </w:tr>
      <w:tr w:rsidR="0049243E" w:rsidRPr="00E11501" w14:paraId="09E50CA0" w14:textId="77777777" w:rsidTr="002E7F42">
        <w:trPr>
          <w:trHeight w:val="284"/>
        </w:trPr>
        <w:tc>
          <w:tcPr>
            <w:tcW w:w="2211" w:type="dxa"/>
            <w:vMerge/>
            <w:tcBorders>
              <w:top w:val="nil"/>
              <w:left w:val="nil"/>
              <w:right w:val="nil"/>
            </w:tcBorders>
            <w:vAlign w:val="center"/>
            <w:hideMark/>
          </w:tcPr>
          <w:p w14:paraId="5C0A682D" w14:textId="77777777" w:rsidR="0049243E" w:rsidRPr="00E11501" w:rsidRDefault="0049243E" w:rsidP="008E41C5">
            <w:pPr>
              <w:rPr>
                <w:rFonts w:cs="Calibri"/>
                <w:b/>
                <w:bCs/>
                <w:color w:val="FFFFFF"/>
                <w:sz w:val="11"/>
                <w:szCs w:val="11"/>
              </w:rPr>
            </w:pPr>
          </w:p>
        </w:tc>
        <w:tc>
          <w:tcPr>
            <w:tcW w:w="822" w:type="dxa"/>
            <w:vMerge/>
            <w:tcBorders>
              <w:top w:val="single" w:sz="8" w:space="0" w:color="0077BD"/>
              <w:left w:val="single" w:sz="8" w:space="0" w:color="FFFFFF"/>
              <w:right w:val="single" w:sz="6" w:space="0" w:color="FFFFFF"/>
            </w:tcBorders>
            <w:vAlign w:val="center"/>
            <w:hideMark/>
          </w:tcPr>
          <w:p w14:paraId="164B5D1E"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6" w:space="0" w:color="FFFFFF"/>
              <w:right w:val="nil"/>
            </w:tcBorders>
            <w:vAlign w:val="center"/>
            <w:hideMark/>
          </w:tcPr>
          <w:p w14:paraId="64400869"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single" w:sz="6" w:space="0" w:color="FFFFFF"/>
            </w:tcBorders>
            <w:vAlign w:val="center"/>
            <w:hideMark/>
          </w:tcPr>
          <w:p w14:paraId="078F8D0C"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6" w:space="0" w:color="FFFFFF"/>
              <w:right w:val="nil"/>
            </w:tcBorders>
            <w:vAlign w:val="center"/>
            <w:hideMark/>
          </w:tcPr>
          <w:p w14:paraId="2922C43A"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nil"/>
            </w:tcBorders>
            <w:vAlign w:val="center"/>
            <w:hideMark/>
          </w:tcPr>
          <w:p w14:paraId="35CEA7C2"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nil"/>
            </w:tcBorders>
            <w:vAlign w:val="center"/>
            <w:hideMark/>
          </w:tcPr>
          <w:p w14:paraId="54068A47"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nil"/>
            </w:tcBorders>
            <w:vAlign w:val="center"/>
            <w:hideMark/>
          </w:tcPr>
          <w:p w14:paraId="19F3A69A"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nil"/>
            </w:tcBorders>
            <w:vAlign w:val="center"/>
            <w:hideMark/>
          </w:tcPr>
          <w:p w14:paraId="334B2F7F" w14:textId="77777777" w:rsidR="0049243E" w:rsidRPr="00E11501" w:rsidRDefault="0049243E" w:rsidP="008E41C5">
            <w:pPr>
              <w:rPr>
                <w:rFonts w:cs="Calibri"/>
                <w:b/>
                <w:bCs/>
                <w:color w:val="FFFFFF"/>
                <w:sz w:val="11"/>
                <w:szCs w:val="11"/>
              </w:rPr>
            </w:pPr>
          </w:p>
        </w:tc>
        <w:tc>
          <w:tcPr>
            <w:tcW w:w="822" w:type="dxa"/>
            <w:vMerge/>
            <w:tcBorders>
              <w:top w:val="single" w:sz="8" w:space="0" w:color="FFFFFF"/>
              <w:left w:val="single" w:sz="8" w:space="0" w:color="FFFFFF"/>
              <w:right w:val="nil"/>
            </w:tcBorders>
            <w:vAlign w:val="center"/>
            <w:hideMark/>
          </w:tcPr>
          <w:p w14:paraId="6669F4E6" w14:textId="77777777" w:rsidR="0049243E" w:rsidRPr="00E11501" w:rsidRDefault="0049243E" w:rsidP="008E41C5">
            <w:pPr>
              <w:rPr>
                <w:rFonts w:cs="Calibri"/>
                <w:b/>
                <w:bCs/>
                <w:color w:val="FFFFFF"/>
                <w:sz w:val="11"/>
                <w:szCs w:val="11"/>
              </w:rPr>
            </w:pPr>
          </w:p>
        </w:tc>
      </w:tr>
      <w:tr w:rsidR="00A35099" w:rsidRPr="00BB7C9E" w14:paraId="6EFA7260" w14:textId="77777777" w:rsidTr="00A35099">
        <w:trPr>
          <w:trHeight w:val="284"/>
        </w:trPr>
        <w:tc>
          <w:tcPr>
            <w:tcW w:w="2211" w:type="dxa"/>
            <w:tcBorders>
              <w:left w:val="nil"/>
              <w:bottom w:val="single" w:sz="8" w:space="0" w:color="0077BD"/>
              <w:right w:val="single" w:sz="8" w:space="0" w:color="0077BD"/>
            </w:tcBorders>
            <w:shd w:val="clear" w:color="auto" w:fill="auto"/>
            <w:vAlign w:val="center"/>
            <w:hideMark/>
          </w:tcPr>
          <w:p w14:paraId="33220D46" w14:textId="77777777" w:rsidR="00A35099" w:rsidRPr="00BB7C9E" w:rsidRDefault="00A35099" w:rsidP="00A35099">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822" w:type="dxa"/>
            <w:tcBorders>
              <w:left w:val="single" w:sz="8" w:space="0" w:color="0077BD"/>
              <w:bottom w:val="single" w:sz="8" w:space="0" w:color="0077BD"/>
              <w:right w:val="single" w:sz="8" w:space="0" w:color="0077BD"/>
            </w:tcBorders>
            <w:shd w:val="clear" w:color="auto" w:fill="auto"/>
            <w:noWrap/>
            <w:vAlign w:val="center"/>
          </w:tcPr>
          <w:p w14:paraId="3C640448" w14:textId="18BD1587"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11 234 873</w:t>
            </w:r>
          </w:p>
        </w:tc>
        <w:tc>
          <w:tcPr>
            <w:tcW w:w="822" w:type="dxa"/>
            <w:tcBorders>
              <w:left w:val="nil"/>
              <w:bottom w:val="single" w:sz="8" w:space="0" w:color="0077BD"/>
              <w:right w:val="single" w:sz="8" w:space="0" w:color="0077BD"/>
            </w:tcBorders>
            <w:shd w:val="clear" w:color="auto" w:fill="auto"/>
            <w:noWrap/>
            <w:vAlign w:val="center"/>
          </w:tcPr>
          <w:p w14:paraId="64050D6E" w14:textId="28EF9C09"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11 234 952</w:t>
            </w:r>
          </w:p>
        </w:tc>
        <w:tc>
          <w:tcPr>
            <w:tcW w:w="822" w:type="dxa"/>
            <w:tcBorders>
              <w:left w:val="nil"/>
              <w:bottom w:val="single" w:sz="8" w:space="0" w:color="0077BD"/>
              <w:right w:val="single" w:sz="8" w:space="0" w:color="0077BD"/>
            </w:tcBorders>
            <w:shd w:val="clear" w:color="auto" w:fill="auto"/>
            <w:noWrap/>
            <w:vAlign w:val="center"/>
          </w:tcPr>
          <w:p w14:paraId="30E1158B" w14:textId="0B41BD65"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tcPr>
          <w:p w14:paraId="46045481" w14:textId="740B810A"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tcPr>
          <w:p w14:paraId="2F2ABEFE" w14:textId="7862430F"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tcPr>
          <w:p w14:paraId="15EDDFDB" w14:textId="6CB37BFA"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(79)</w:t>
            </w:r>
          </w:p>
        </w:tc>
        <w:tc>
          <w:tcPr>
            <w:tcW w:w="822" w:type="dxa"/>
            <w:tcBorders>
              <w:left w:val="nil"/>
              <w:bottom w:val="single" w:sz="8" w:space="0" w:color="0077BD"/>
              <w:right w:val="single" w:sz="8" w:space="0" w:color="0077BD"/>
            </w:tcBorders>
            <w:shd w:val="clear" w:color="auto" w:fill="auto"/>
            <w:noWrap/>
            <w:vAlign w:val="center"/>
          </w:tcPr>
          <w:p w14:paraId="61B19645" w14:textId="3CA80475"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tcPr>
          <w:p w14:paraId="74DEBA5E" w14:textId="14BFBFDE"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nil"/>
            </w:tcBorders>
            <w:shd w:val="clear" w:color="auto" w:fill="auto"/>
            <w:noWrap/>
            <w:vAlign w:val="center"/>
          </w:tcPr>
          <w:p w14:paraId="1FA0982B" w14:textId="1B306671"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r>
      <w:tr w:rsidR="00A35099" w:rsidRPr="00BB7C9E" w14:paraId="7FA5D64D"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5A2B7151" w14:textId="3066AFD9" w:rsidR="00A35099" w:rsidRPr="00BB7C9E" w:rsidRDefault="00A35099" w:rsidP="00E3719A">
            <w:pPr>
              <w:ind w:left="142" w:hanging="142"/>
              <w:rPr>
                <w:rFonts w:cs="Calibri"/>
                <w:color w:val="000000" w:themeColor="text1"/>
                <w:sz w:val="11"/>
                <w:szCs w:val="11"/>
              </w:rPr>
            </w:pPr>
            <w:r w:rsidRPr="00BB7C9E">
              <w:rPr>
                <w:rFonts w:cs="Calibri"/>
                <w:color w:val="000000" w:themeColor="text1"/>
                <w:sz w:val="11"/>
                <w:szCs w:val="11"/>
              </w:rPr>
              <w:t>- Sektor instytucji rządowych i samorządowych</w:t>
            </w:r>
            <w:r w:rsidR="006456DC">
              <w:rPr>
                <w:rFonts w:cs="Calibri"/>
                <w:color w:val="000000" w:themeColor="text1"/>
                <w:sz w:val="11"/>
                <w:szCs w:val="11"/>
              </w:rPr>
              <w:t>, w tym:</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4FA70F0F" w14:textId="04474AA2"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9 975 484</w:t>
            </w:r>
          </w:p>
        </w:tc>
        <w:tc>
          <w:tcPr>
            <w:tcW w:w="822" w:type="dxa"/>
            <w:tcBorders>
              <w:top w:val="nil"/>
              <w:left w:val="nil"/>
              <w:bottom w:val="single" w:sz="4" w:space="0" w:color="0077BD"/>
              <w:right w:val="nil"/>
            </w:tcBorders>
            <w:shd w:val="clear" w:color="auto" w:fill="auto"/>
            <w:noWrap/>
            <w:vAlign w:val="center"/>
          </w:tcPr>
          <w:p w14:paraId="56F99C19" w14:textId="3E06E9A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9 975 484</w:t>
            </w:r>
          </w:p>
        </w:tc>
        <w:tc>
          <w:tcPr>
            <w:tcW w:w="822" w:type="dxa"/>
            <w:tcBorders>
              <w:top w:val="nil"/>
              <w:left w:val="single" w:sz="8" w:space="0" w:color="0077BD"/>
              <w:bottom w:val="single" w:sz="4" w:space="0" w:color="0077BD"/>
              <w:right w:val="nil"/>
            </w:tcBorders>
            <w:shd w:val="clear" w:color="auto" w:fill="auto"/>
            <w:noWrap/>
            <w:vAlign w:val="center"/>
          </w:tcPr>
          <w:p w14:paraId="40E64944" w14:textId="2A3EFD2B"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5D959BE7" w14:textId="4D832F5D"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4F8AE3D4" w14:textId="3CBCED55"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1E531FF9" w14:textId="36E9BAF5"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75FE52C5" w14:textId="3FB6241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38BA3C10" w14:textId="499467F1"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5B9F0C40" w14:textId="5D64689B"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r>
      <w:tr w:rsidR="00A35099" w:rsidRPr="00BB7C9E" w14:paraId="62C8E218"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181B4D1F" w14:textId="17757FB8" w:rsidR="00A35099" w:rsidRPr="00BB7C9E" w:rsidRDefault="00A35099" w:rsidP="00E3719A">
            <w:pPr>
              <w:ind w:firstLine="284"/>
              <w:rPr>
                <w:rFonts w:cs="Calibri"/>
                <w:i/>
                <w:iCs/>
                <w:color w:val="000000" w:themeColor="text1"/>
                <w:sz w:val="11"/>
                <w:szCs w:val="11"/>
              </w:rPr>
            </w:pPr>
            <w:r w:rsidRPr="00BB7C9E">
              <w:rPr>
                <w:rFonts w:cs="Calibri"/>
                <w:i/>
                <w:iCs/>
                <w:color w:val="000000" w:themeColor="text1"/>
                <w:sz w:val="11"/>
                <w:szCs w:val="11"/>
              </w:rPr>
              <w:t>zastawione papiery wartościowe</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6A6A6F8F" w14:textId="30B4B328" w:rsidR="00A35099" w:rsidRPr="00BB7C9E" w:rsidRDefault="00363F54" w:rsidP="00BB6999">
            <w:pPr>
              <w:jc w:val="right"/>
              <w:rPr>
                <w:rFonts w:cs="Calibri"/>
                <w:i/>
                <w:iCs/>
                <w:color w:val="000000" w:themeColor="text1"/>
                <w:sz w:val="11"/>
                <w:szCs w:val="11"/>
              </w:rPr>
            </w:pPr>
            <w:r>
              <w:rPr>
                <w:rFonts w:cs="Calibri"/>
                <w:i/>
                <w:iCs/>
                <w:color w:val="000000" w:themeColor="text1"/>
                <w:sz w:val="11"/>
                <w:szCs w:val="11"/>
              </w:rPr>
              <w:t>1</w:t>
            </w:r>
            <w:r w:rsidR="00A35099" w:rsidRPr="00BB7C9E">
              <w:rPr>
                <w:rFonts w:cs="Calibri"/>
                <w:i/>
                <w:iCs/>
                <w:color w:val="000000" w:themeColor="text1"/>
                <w:sz w:val="11"/>
                <w:szCs w:val="11"/>
              </w:rPr>
              <w:t xml:space="preserve"> </w:t>
            </w:r>
            <w:r w:rsidR="00BB6999">
              <w:rPr>
                <w:rFonts w:cs="Calibri"/>
                <w:i/>
                <w:iCs/>
                <w:color w:val="000000" w:themeColor="text1"/>
                <w:sz w:val="11"/>
                <w:szCs w:val="11"/>
              </w:rPr>
              <w:t>799</w:t>
            </w:r>
            <w:r w:rsidR="00A35099" w:rsidRPr="00BB7C9E">
              <w:rPr>
                <w:rFonts w:cs="Calibri"/>
                <w:i/>
                <w:iCs/>
                <w:color w:val="000000" w:themeColor="text1"/>
                <w:sz w:val="11"/>
                <w:szCs w:val="11"/>
              </w:rPr>
              <w:t xml:space="preserve"> </w:t>
            </w:r>
            <w:r w:rsidR="00BB6999">
              <w:rPr>
                <w:rFonts w:cs="Calibri"/>
                <w:i/>
                <w:iCs/>
                <w:color w:val="000000" w:themeColor="text1"/>
                <w:sz w:val="11"/>
                <w:szCs w:val="11"/>
              </w:rPr>
              <w:t>235</w:t>
            </w:r>
          </w:p>
        </w:tc>
        <w:tc>
          <w:tcPr>
            <w:tcW w:w="822" w:type="dxa"/>
            <w:tcBorders>
              <w:top w:val="nil"/>
              <w:left w:val="nil"/>
              <w:bottom w:val="single" w:sz="4" w:space="0" w:color="0077BD"/>
              <w:right w:val="nil"/>
            </w:tcBorders>
            <w:shd w:val="clear" w:color="auto" w:fill="auto"/>
            <w:noWrap/>
            <w:vAlign w:val="center"/>
          </w:tcPr>
          <w:p w14:paraId="10469DDD" w14:textId="31DF964B" w:rsidR="00A35099" w:rsidRPr="00BB7C9E" w:rsidRDefault="00363F54" w:rsidP="00BB6999">
            <w:pPr>
              <w:jc w:val="right"/>
              <w:rPr>
                <w:rFonts w:cs="Calibri"/>
                <w:i/>
                <w:iCs/>
                <w:color w:val="000000" w:themeColor="text1"/>
                <w:sz w:val="11"/>
                <w:szCs w:val="11"/>
              </w:rPr>
            </w:pPr>
            <w:r>
              <w:rPr>
                <w:rFonts w:cs="Calibri"/>
                <w:i/>
                <w:iCs/>
                <w:color w:val="000000" w:themeColor="text1"/>
                <w:sz w:val="11"/>
                <w:szCs w:val="11"/>
              </w:rPr>
              <w:t>1</w:t>
            </w:r>
            <w:r w:rsidR="00A35099" w:rsidRPr="00BB7C9E">
              <w:rPr>
                <w:rFonts w:cs="Calibri"/>
                <w:i/>
                <w:iCs/>
                <w:color w:val="000000" w:themeColor="text1"/>
                <w:sz w:val="11"/>
                <w:szCs w:val="11"/>
              </w:rPr>
              <w:t xml:space="preserve"> </w:t>
            </w:r>
            <w:r w:rsidR="00BB6999">
              <w:rPr>
                <w:rFonts w:cs="Calibri"/>
                <w:i/>
                <w:iCs/>
                <w:color w:val="000000" w:themeColor="text1"/>
                <w:sz w:val="11"/>
                <w:szCs w:val="11"/>
              </w:rPr>
              <w:t>799</w:t>
            </w:r>
            <w:r w:rsidR="00A35099" w:rsidRPr="00BB7C9E">
              <w:rPr>
                <w:rFonts w:cs="Calibri"/>
                <w:i/>
                <w:iCs/>
                <w:color w:val="000000" w:themeColor="text1"/>
                <w:sz w:val="11"/>
                <w:szCs w:val="11"/>
              </w:rPr>
              <w:t xml:space="preserve"> </w:t>
            </w:r>
            <w:r w:rsidR="00BB6999">
              <w:rPr>
                <w:rFonts w:cs="Calibri"/>
                <w:i/>
                <w:iCs/>
                <w:color w:val="000000" w:themeColor="text1"/>
                <w:sz w:val="11"/>
                <w:szCs w:val="11"/>
              </w:rPr>
              <w:t>235</w:t>
            </w:r>
          </w:p>
        </w:tc>
        <w:tc>
          <w:tcPr>
            <w:tcW w:w="822" w:type="dxa"/>
            <w:tcBorders>
              <w:top w:val="nil"/>
              <w:left w:val="single" w:sz="8" w:space="0" w:color="0077BD"/>
              <w:bottom w:val="single" w:sz="4" w:space="0" w:color="0077BD"/>
              <w:right w:val="nil"/>
            </w:tcBorders>
            <w:shd w:val="clear" w:color="auto" w:fill="auto"/>
            <w:noWrap/>
            <w:vAlign w:val="center"/>
          </w:tcPr>
          <w:p w14:paraId="0022E3C2" w14:textId="702B4861"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55882CFE" w14:textId="4784B1F7"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6432E9DC" w14:textId="48AC2CF8"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10428021" w14:textId="1045F093"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623A3858" w14:textId="662B0001"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6E90774F" w14:textId="1AAC26F1"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373E0EC1" w14:textId="595EB9B3" w:rsidR="00A35099" w:rsidRPr="00BB7C9E" w:rsidRDefault="00A35099" w:rsidP="00A35099">
            <w:pPr>
              <w:jc w:val="right"/>
              <w:rPr>
                <w:rFonts w:cs="Calibri"/>
                <w:i/>
                <w:iCs/>
                <w:color w:val="000000" w:themeColor="text1"/>
                <w:sz w:val="11"/>
                <w:szCs w:val="11"/>
              </w:rPr>
            </w:pPr>
            <w:r w:rsidRPr="00BB7C9E">
              <w:rPr>
                <w:rFonts w:cs="Calibri"/>
                <w:i/>
                <w:iCs/>
                <w:color w:val="000000" w:themeColor="text1"/>
                <w:sz w:val="11"/>
                <w:szCs w:val="11"/>
              </w:rPr>
              <w:t>-</w:t>
            </w:r>
          </w:p>
        </w:tc>
      </w:tr>
      <w:tr w:rsidR="00A35099" w:rsidRPr="00BB7C9E" w14:paraId="1D922118"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650DF9D0" w14:textId="77777777" w:rsidR="00A35099" w:rsidRPr="00BB7C9E" w:rsidRDefault="00A35099" w:rsidP="00A35099">
            <w:pPr>
              <w:rPr>
                <w:rFonts w:cs="Calibri"/>
                <w:color w:val="000000" w:themeColor="text1"/>
                <w:sz w:val="11"/>
                <w:szCs w:val="11"/>
              </w:rPr>
            </w:pPr>
            <w:r w:rsidRPr="00BB7C9E">
              <w:rPr>
                <w:rFonts w:cs="Calibri"/>
                <w:color w:val="000000" w:themeColor="text1"/>
                <w:sz w:val="11"/>
                <w:szCs w:val="11"/>
              </w:rPr>
              <w:t>- Inne instytucje finansowe</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643595D3" w14:textId="14FD0A2C"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1 259 389</w:t>
            </w:r>
          </w:p>
        </w:tc>
        <w:tc>
          <w:tcPr>
            <w:tcW w:w="822" w:type="dxa"/>
            <w:tcBorders>
              <w:top w:val="nil"/>
              <w:left w:val="nil"/>
              <w:bottom w:val="single" w:sz="4" w:space="0" w:color="0077BD"/>
              <w:right w:val="nil"/>
            </w:tcBorders>
            <w:shd w:val="clear" w:color="auto" w:fill="auto"/>
            <w:noWrap/>
            <w:vAlign w:val="center"/>
          </w:tcPr>
          <w:p w14:paraId="76C1A3C1" w14:textId="4A7BFC5F"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1 259 468</w:t>
            </w:r>
          </w:p>
        </w:tc>
        <w:tc>
          <w:tcPr>
            <w:tcW w:w="822" w:type="dxa"/>
            <w:tcBorders>
              <w:top w:val="nil"/>
              <w:left w:val="single" w:sz="8" w:space="0" w:color="0077BD"/>
              <w:bottom w:val="single" w:sz="4" w:space="0" w:color="0077BD"/>
              <w:right w:val="nil"/>
            </w:tcBorders>
            <w:shd w:val="clear" w:color="auto" w:fill="auto"/>
            <w:noWrap/>
            <w:vAlign w:val="center"/>
          </w:tcPr>
          <w:p w14:paraId="7DB416B9" w14:textId="118D9FC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00D8C1E7" w14:textId="01386CC5"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169376CA" w14:textId="6CB16741"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3240DBE2" w14:textId="6CD31076"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(79)</w:t>
            </w:r>
          </w:p>
        </w:tc>
        <w:tc>
          <w:tcPr>
            <w:tcW w:w="822" w:type="dxa"/>
            <w:tcBorders>
              <w:top w:val="nil"/>
              <w:left w:val="single" w:sz="8" w:space="0" w:color="0077BD"/>
              <w:bottom w:val="single" w:sz="4" w:space="0" w:color="0077BD"/>
              <w:right w:val="nil"/>
            </w:tcBorders>
            <w:shd w:val="clear" w:color="auto" w:fill="auto"/>
            <w:noWrap/>
            <w:vAlign w:val="center"/>
          </w:tcPr>
          <w:p w14:paraId="7D402A6D" w14:textId="782B812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21A89E6F" w14:textId="380723A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5CD2C9BC" w14:textId="04F010E5"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r>
      <w:tr w:rsidR="00A35099" w:rsidRPr="00BB7C9E" w14:paraId="1C6619CA" w14:textId="77777777" w:rsidTr="00A35099">
        <w:trPr>
          <w:trHeight w:val="284"/>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5C5D0296" w14:textId="77777777" w:rsidR="00A35099" w:rsidRPr="00BB7C9E" w:rsidRDefault="00A35099" w:rsidP="00A35099">
            <w:pPr>
              <w:rPr>
                <w:rFonts w:cs="Calibri"/>
                <w:b/>
                <w:bCs/>
                <w:color w:val="000000" w:themeColor="text1"/>
                <w:sz w:val="11"/>
                <w:szCs w:val="11"/>
              </w:rPr>
            </w:pPr>
            <w:r w:rsidRPr="00BB7C9E">
              <w:rPr>
                <w:rFonts w:cs="Calibri"/>
                <w:b/>
                <w:bCs/>
                <w:color w:val="000000" w:themeColor="text1"/>
                <w:sz w:val="11"/>
                <w:szCs w:val="11"/>
              </w:rPr>
              <w:t>Należności od banków</w:t>
            </w:r>
          </w:p>
        </w:tc>
        <w:tc>
          <w:tcPr>
            <w:tcW w:w="822"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7391F69" w14:textId="167A6664"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4 341 758</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65770710" w14:textId="70B6BCD4"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4 342 890</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2256DDD6" w14:textId="2D76FB31"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7989193B" w14:textId="488F491D"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1B99D902" w14:textId="3BF4ADDC"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7826DCD8" w14:textId="34BE9FF9"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(1 132)</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05F33060" w14:textId="100BDF23"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5D93878C" w14:textId="327C06BA"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nil"/>
            </w:tcBorders>
            <w:shd w:val="clear" w:color="auto" w:fill="auto"/>
            <w:noWrap/>
            <w:vAlign w:val="center"/>
          </w:tcPr>
          <w:p w14:paraId="7FC3FA4B" w14:textId="5B1ACC36"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w:t>
            </w:r>
          </w:p>
        </w:tc>
      </w:tr>
      <w:tr w:rsidR="00A35099" w:rsidRPr="00BB7C9E" w14:paraId="092C9739" w14:textId="77777777" w:rsidTr="00A35099">
        <w:trPr>
          <w:trHeight w:val="284"/>
        </w:trPr>
        <w:tc>
          <w:tcPr>
            <w:tcW w:w="2211" w:type="dxa"/>
            <w:tcBorders>
              <w:top w:val="nil"/>
              <w:left w:val="nil"/>
              <w:bottom w:val="single" w:sz="8" w:space="0" w:color="0077BD"/>
              <w:right w:val="single" w:sz="8" w:space="0" w:color="0077BD"/>
            </w:tcBorders>
            <w:shd w:val="clear" w:color="auto" w:fill="auto"/>
            <w:vAlign w:val="center"/>
            <w:hideMark/>
          </w:tcPr>
          <w:p w14:paraId="13F82EAE" w14:textId="77777777" w:rsidR="00A35099" w:rsidRPr="00BB7C9E" w:rsidRDefault="00A35099" w:rsidP="00A35099">
            <w:pPr>
              <w:rPr>
                <w:rFonts w:cs="Calibri"/>
                <w:b/>
                <w:bCs/>
                <w:color w:val="000000" w:themeColor="text1"/>
                <w:sz w:val="11"/>
                <w:szCs w:val="11"/>
              </w:rPr>
            </w:pPr>
            <w:r w:rsidRPr="00BB7C9E">
              <w:rPr>
                <w:rFonts w:cs="Calibri"/>
                <w:b/>
                <w:bCs/>
                <w:color w:val="000000" w:themeColor="text1"/>
                <w:sz w:val="11"/>
                <w:szCs w:val="11"/>
              </w:rPr>
              <w:t>Kredyty i pożyczki udzielone klientom</w:t>
            </w:r>
          </w:p>
        </w:tc>
        <w:tc>
          <w:tcPr>
            <w:tcW w:w="822" w:type="dxa"/>
            <w:tcBorders>
              <w:top w:val="nil"/>
              <w:left w:val="single" w:sz="8" w:space="0" w:color="0077BD"/>
              <w:bottom w:val="single" w:sz="8" w:space="0" w:color="0077BD"/>
              <w:right w:val="single" w:sz="8" w:space="0" w:color="0077BD"/>
            </w:tcBorders>
            <w:shd w:val="clear" w:color="auto" w:fill="auto"/>
            <w:noWrap/>
            <w:vAlign w:val="center"/>
          </w:tcPr>
          <w:p w14:paraId="332389F3" w14:textId="2E1907C3"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103 203 254</w:t>
            </w:r>
          </w:p>
        </w:tc>
        <w:tc>
          <w:tcPr>
            <w:tcW w:w="822" w:type="dxa"/>
            <w:tcBorders>
              <w:top w:val="nil"/>
              <w:left w:val="nil"/>
              <w:bottom w:val="single" w:sz="8" w:space="0" w:color="0077BD"/>
              <w:right w:val="single" w:sz="8" w:space="0" w:color="0077BD"/>
            </w:tcBorders>
            <w:shd w:val="clear" w:color="auto" w:fill="auto"/>
            <w:noWrap/>
            <w:vAlign w:val="center"/>
          </w:tcPr>
          <w:p w14:paraId="757006B7" w14:textId="114B9D02"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94 130 201</w:t>
            </w:r>
          </w:p>
        </w:tc>
        <w:tc>
          <w:tcPr>
            <w:tcW w:w="822" w:type="dxa"/>
            <w:tcBorders>
              <w:top w:val="nil"/>
              <w:left w:val="nil"/>
              <w:bottom w:val="single" w:sz="8" w:space="0" w:color="0077BD"/>
              <w:right w:val="single" w:sz="8" w:space="0" w:color="0077BD"/>
            </w:tcBorders>
            <w:shd w:val="clear" w:color="auto" w:fill="auto"/>
            <w:noWrap/>
            <w:vAlign w:val="center"/>
          </w:tcPr>
          <w:p w14:paraId="65BE99B5" w14:textId="1CD30F0D"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7 920 046</w:t>
            </w:r>
          </w:p>
        </w:tc>
        <w:tc>
          <w:tcPr>
            <w:tcW w:w="822" w:type="dxa"/>
            <w:tcBorders>
              <w:top w:val="nil"/>
              <w:left w:val="nil"/>
              <w:bottom w:val="single" w:sz="8" w:space="0" w:color="0077BD"/>
              <w:right w:val="single" w:sz="8" w:space="0" w:color="0077BD"/>
            </w:tcBorders>
            <w:shd w:val="clear" w:color="auto" w:fill="auto"/>
            <w:noWrap/>
            <w:vAlign w:val="center"/>
          </w:tcPr>
          <w:p w14:paraId="5C1B9F13" w14:textId="67F51779"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4 105 697</w:t>
            </w:r>
          </w:p>
        </w:tc>
        <w:tc>
          <w:tcPr>
            <w:tcW w:w="822" w:type="dxa"/>
            <w:tcBorders>
              <w:top w:val="nil"/>
              <w:left w:val="nil"/>
              <w:bottom w:val="single" w:sz="8" w:space="0" w:color="0077BD"/>
              <w:right w:val="single" w:sz="8" w:space="0" w:color="0077BD"/>
            </w:tcBorders>
            <w:shd w:val="clear" w:color="auto" w:fill="auto"/>
            <w:noWrap/>
            <w:vAlign w:val="center"/>
          </w:tcPr>
          <w:p w14:paraId="2AB29271" w14:textId="40926E2D"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237 588</w:t>
            </w:r>
          </w:p>
        </w:tc>
        <w:tc>
          <w:tcPr>
            <w:tcW w:w="822" w:type="dxa"/>
            <w:tcBorders>
              <w:top w:val="nil"/>
              <w:left w:val="nil"/>
              <w:bottom w:val="single" w:sz="8" w:space="0" w:color="0077BD"/>
              <w:right w:val="single" w:sz="8" w:space="0" w:color="0077BD"/>
            </w:tcBorders>
            <w:shd w:val="clear" w:color="auto" w:fill="auto"/>
            <w:noWrap/>
            <w:vAlign w:val="center"/>
          </w:tcPr>
          <w:p w14:paraId="1FA8BA2A" w14:textId="4C99796E"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(313 118)</w:t>
            </w:r>
          </w:p>
        </w:tc>
        <w:tc>
          <w:tcPr>
            <w:tcW w:w="822" w:type="dxa"/>
            <w:tcBorders>
              <w:top w:val="nil"/>
              <w:left w:val="nil"/>
              <w:bottom w:val="single" w:sz="8" w:space="0" w:color="0077BD"/>
              <w:right w:val="single" w:sz="8" w:space="0" w:color="0077BD"/>
            </w:tcBorders>
            <w:shd w:val="clear" w:color="auto" w:fill="auto"/>
            <w:noWrap/>
            <w:vAlign w:val="center"/>
          </w:tcPr>
          <w:p w14:paraId="26FAB12E" w14:textId="36D45CEF"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(258 035)</w:t>
            </w:r>
          </w:p>
        </w:tc>
        <w:tc>
          <w:tcPr>
            <w:tcW w:w="822" w:type="dxa"/>
            <w:tcBorders>
              <w:top w:val="nil"/>
              <w:left w:val="nil"/>
              <w:bottom w:val="single" w:sz="8" w:space="0" w:color="0077BD"/>
              <w:right w:val="single" w:sz="8" w:space="0" w:color="0077BD"/>
            </w:tcBorders>
            <w:shd w:val="clear" w:color="auto" w:fill="auto"/>
            <w:noWrap/>
            <w:vAlign w:val="center"/>
          </w:tcPr>
          <w:p w14:paraId="7A6BF5F8" w14:textId="0BFE0CDA"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(2 603 391)</w:t>
            </w:r>
          </w:p>
        </w:tc>
        <w:tc>
          <w:tcPr>
            <w:tcW w:w="822" w:type="dxa"/>
            <w:tcBorders>
              <w:top w:val="nil"/>
              <w:left w:val="nil"/>
              <w:bottom w:val="single" w:sz="8" w:space="0" w:color="0077BD"/>
              <w:right w:val="nil"/>
            </w:tcBorders>
            <w:shd w:val="clear" w:color="auto" w:fill="auto"/>
            <w:noWrap/>
            <w:vAlign w:val="center"/>
          </w:tcPr>
          <w:p w14:paraId="1AC81725" w14:textId="2C3FBA5F"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(15 734)</w:t>
            </w:r>
          </w:p>
        </w:tc>
      </w:tr>
      <w:tr w:rsidR="00A35099" w:rsidRPr="00BB7C9E" w14:paraId="70F863F7"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0EB222B4" w14:textId="04A8A515" w:rsidR="00A35099" w:rsidRPr="00BB7C9E" w:rsidRDefault="00E3719A" w:rsidP="00A35099">
            <w:pPr>
              <w:rPr>
                <w:rFonts w:cs="Calibri"/>
                <w:color w:val="000000" w:themeColor="text1"/>
                <w:sz w:val="11"/>
                <w:szCs w:val="11"/>
              </w:rPr>
            </w:pPr>
            <w:r>
              <w:rPr>
                <w:rFonts w:cs="Calibri"/>
                <w:color w:val="000000" w:themeColor="text1"/>
                <w:sz w:val="11"/>
                <w:szCs w:val="11"/>
              </w:rPr>
              <w:t xml:space="preserve">- </w:t>
            </w:r>
            <w:r w:rsidR="00A35099" w:rsidRPr="00BB7C9E">
              <w:rPr>
                <w:rFonts w:cs="Calibri"/>
                <w:color w:val="000000" w:themeColor="text1"/>
                <w:sz w:val="11"/>
                <w:szCs w:val="11"/>
              </w:rPr>
              <w:t>Klienci indywidualni</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62EA0152" w14:textId="23DDAAAD"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56 999 856</w:t>
            </w:r>
          </w:p>
        </w:tc>
        <w:tc>
          <w:tcPr>
            <w:tcW w:w="822" w:type="dxa"/>
            <w:tcBorders>
              <w:top w:val="nil"/>
              <w:left w:val="nil"/>
              <w:bottom w:val="single" w:sz="4" w:space="0" w:color="0077BD"/>
              <w:right w:val="nil"/>
            </w:tcBorders>
            <w:shd w:val="clear" w:color="auto" w:fill="auto"/>
            <w:noWrap/>
            <w:vAlign w:val="center"/>
          </w:tcPr>
          <w:p w14:paraId="46418DE4" w14:textId="09E9725D"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52 456 328</w:t>
            </w:r>
          </w:p>
        </w:tc>
        <w:tc>
          <w:tcPr>
            <w:tcW w:w="822" w:type="dxa"/>
            <w:tcBorders>
              <w:top w:val="nil"/>
              <w:left w:val="single" w:sz="8" w:space="0" w:color="0077BD"/>
              <w:bottom w:val="single" w:sz="4" w:space="0" w:color="0077BD"/>
              <w:right w:val="nil"/>
            </w:tcBorders>
            <w:shd w:val="clear" w:color="auto" w:fill="auto"/>
            <w:noWrap/>
            <w:vAlign w:val="center"/>
          </w:tcPr>
          <w:p w14:paraId="5BED3B45" w14:textId="5BD50026"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4 076 251</w:t>
            </w:r>
          </w:p>
        </w:tc>
        <w:tc>
          <w:tcPr>
            <w:tcW w:w="822" w:type="dxa"/>
            <w:tcBorders>
              <w:top w:val="nil"/>
              <w:left w:val="single" w:sz="8" w:space="0" w:color="0077BD"/>
              <w:bottom w:val="single" w:sz="4" w:space="0" w:color="0077BD"/>
              <w:right w:val="nil"/>
            </w:tcBorders>
            <w:shd w:val="clear" w:color="auto" w:fill="auto"/>
            <w:noWrap/>
            <w:vAlign w:val="center"/>
          </w:tcPr>
          <w:p w14:paraId="37079EEF" w14:textId="15738BA6"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2 039 606</w:t>
            </w:r>
          </w:p>
        </w:tc>
        <w:tc>
          <w:tcPr>
            <w:tcW w:w="822" w:type="dxa"/>
            <w:tcBorders>
              <w:top w:val="nil"/>
              <w:left w:val="single" w:sz="8" w:space="0" w:color="0077BD"/>
              <w:bottom w:val="single" w:sz="4" w:space="0" w:color="0077BD"/>
              <w:right w:val="nil"/>
            </w:tcBorders>
            <w:shd w:val="clear" w:color="auto" w:fill="auto"/>
            <w:noWrap/>
            <w:vAlign w:val="center"/>
          </w:tcPr>
          <w:p w14:paraId="3A68FAA3" w14:textId="0CC10A9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102 706</w:t>
            </w:r>
          </w:p>
        </w:tc>
        <w:tc>
          <w:tcPr>
            <w:tcW w:w="822" w:type="dxa"/>
            <w:tcBorders>
              <w:top w:val="nil"/>
              <w:left w:val="single" w:sz="8" w:space="0" w:color="0077BD"/>
              <w:bottom w:val="single" w:sz="4" w:space="0" w:color="0077BD"/>
              <w:right w:val="nil"/>
            </w:tcBorders>
            <w:shd w:val="clear" w:color="auto" w:fill="auto"/>
            <w:noWrap/>
            <w:vAlign w:val="center"/>
          </w:tcPr>
          <w:p w14:paraId="68640173" w14:textId="64C1026C"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(189 868)</w:t>
            </w:r>
          </w:p>
        </w:tc>
        <w:tc>
          <w:tcPr>
            <w:tcW w:w="822" w:type="dxa"/>
            <w:tcBorders>
              <w:top w:val="nil"/>
              <w:left w:val="single" w:sz="8" w:space="0" w:color="0077BD"/>
              <w:bottom w:val="single" w:sz="4" w:space="0" w:color="0077BD"/>
              <w:right w:val="nil"/>
            </w:tcBorders>
            <w:shd w:val="clear" w:color="auto" w:fill="auto"/>
            <w:noWrap/>
            <w:vAlign w:val="center"/>
          </w:tcPr>
          <w:p w14:paraId="5F98887E" w14:textId="5B86DDD2"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(198 492)</w:t>
            </w:r>
          </w:p>
        </w:tc>
        <w:tc>
          <w:tcPr>
            <w:tcW w:w="822" w:type="dxa"/>
            <w:tcBorders>
              <w:top w:val="nil"/>
              <w:left w:val="single" w:sz="8" w:space="0" w:color="0077BD"/>
              <w:bottom w:val="single" w:sz="4" w:space="0" w:color="0077BD"/>
              <w:right w:val="nil"/>
            </w:tcBorders>
            <w:shd w:val="clear" w:color="auto" w:fill="auto"/>
            <w:noWrap/>
            <w:vAlign w:val="center"/>
          </w:tcPr>
          <w:p w14:paraId="79B9434E" w14:textId="5FF8B367"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(1 284 124)</w:t>
            </w:r>
          </w:p>
        </w:tc>
        <w:tc>
          <w:tcPr>
            <w:tcW w:w="822" w:type="dxa"/>
            <w:tcBorders>
              <w:top w:val="nil"/>
              <w:left w:val="single" w:sz="8" w:space="0" w:color="0077BD"/>
              <w:bottom w:val="single" w:sz="4" w:space="0" w:color="0077BD"/>
              <w:right w:val="nil"/>
            </w:tcBorders>
            <w:shd w:val="clear" w:color="auto" w:fill="auto"/>
            <w:noWrap/>
            <w:vAlign w:val="center"/>
          </w:tcPr>
          <w:p w14:paraId="5357F900" w14:textId="630768C2"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(2 551)</w:t>
            </w:r>
          </w:p>
        </w:tc>
      </w:tr>
      <w:tr w:rsidR="00A35099" w:rsidRPr="00BB7C9E" w14:paraId="03DAD0E6"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041FFB50" w14:textId="554FC4A6" w:rsidR="00A35099" w:rsidRPr="00BB7C9E" w:rsidRDefault="00E3719A" w:rsidP="00A35099">
            <w:pPr>
              <w:rPr>
                <w:rFonts w:cs="Calibri"/>
                <w:color w:val="000000" w:themeColor="text1"/>
                <w:sz w:val="11"/>
                <w:szCs w:val="11"/>
              </w:rPr>
            </w:pPr>
            <w:r>
              <w:rPr>
                <w:rFonts w:cs="Calibri"/>
                <w:color w:val="000000" w:themeColor="text1"/>
                <w:sz w:val="11"/>
                <w:szCs w:val="11"/>
              </w:rPr>
              <w:t xml:space="preserve">- </w:t>
            </w:r>
            <w:r w:rsidR="00A35099" w:rsidRPr="00BB7C9E">
              <w:rPr>
                <w:rFonts w:cs="Calibri"/>
                <w:color w:val="000000" w:themeColor="text1"/>
                <w:sz w:val="11"/>
                <w:szCs w:val="11"/>
              </w:rPr>
              <w:t>Klienci korporacyjni</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59F8D3D9" w14:textId="2E4ABB5C"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45 819 083</w:t>
            </w:r>
          </w:p>
        </w:tc>
        <w:tc>
          <w:tcPr>
            <w:tcW w:w="822" w:type="dxa"/>
            <w:tcBorders>
              <w:top w:val="nil"/>
              <w:left w:val="nil"/>
              <w:bottom w:val="single" w:sz="4" w:space="0" w:color="0077BD"/>
              <w:right w:val="nil"/>
            </w:tcBorders>
            <w:shd w:val="clear" w:color="auto" w:fill="auto"/>
            <w:noWrap/>
            <w:vAlign w:val="center"/>
          </w:tcPr>
          <w:p w14:paraId="39E416FB" w14:textId="04028CF2"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41 290 212</w:t>
            </w:r>
          </w:p>
        </w:tc>
        <w:tc>
          <w:tcPr>
            <w:tcW w:w="822" w:type="dxa"/>
            <w:tcBorders>
              <w:top w:val="nil"/>
              <w:left w:val="single" w:sz="8" w:space="0" w:color="0077BD"/>
              <w:bottom w:val="single" w:sz="4" w:space="0" w:color="0077BD"/>
              <w:right w:val="nil"/>
            </w:tcBorders>
            <w:shd w:val="clear" w:color="auto" w:fill="auto"/>
            <w:noWrap/>
            <w:vAlign w:val="center"/>
          </w:tcPr>
          <w:p w14:paraId="7E526B47" w14:textId="70E5CF31"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3 843 795</w:t>
            </w:r>
          </w:p>
        </w:tc>
        <w:tc>
          <w:tcPr>
            <w:tcW w:w="822" w:type="dxa"/>
            <w:tcBorders>
              <w:top w:val="nil"/>
              <w:left w:val="single" w:sz="8" w:space="0" w:color="0077BD"/>
              <w:bottom w:val="single" w:sz="4" w:space="0" w:color="0077BD"/>
              <w:right w:val="nil"/>
            </w:tcBorders>
            <w:shd w:val="clear" w:color="auto" w:fill="auto"/>
            <w:noWrap/>
            <w:vAlign w:val="center"/>
          </w:tcPr>
          <w:p w14:paraId="3AEA89AA" w14:textId="3B4A7C3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2 065 043</w:t>
            </w:r>
          </w:p>
        </w:tc>
        <w:tc>
          <w:tcPr>
            <w:tcW w:w="822" w:type="dxa"/>
            <w:tcBorders>
              <w:top w:val="nil"/>
              <w:left w:val="single" w:sz="8" w:space="0" w:color="0077BD"/>
              <w:bottom w:val="single" w:sz="4" w:space="0" w:color="0077BD"/>
              <w:right w:val="nil"/>
            </w:tcBorders>
            <w:shd w:val="clear" w:color="auto" w:fill="auto"/>
            <w:noWrap/>
            <w:vAlign w:val="center"/>
          </w:tcPr>
          <w:p w14:paraId="52B016CC" w14:textId="338D30A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134 882</w:t>
            </w:r>
          </w:p>
        </w:tc>
        <w:tc>
          <w:tcPr>
            <w:tcW w:w="822" w:type="dxa"/>
            <w:tcBorders>
              <w:top w:val="nil"/>
              <w:left w:val="single" w:sz="8" w:space="0" w:color="0077BD"/>
              <w:bottom w:val="single" w:sz="4" w:space="0" w:color="0077BD"/>
              <w:right w:val="nil"/>
            </w:tcBorders>
            <w:shd w:val="clear" w:color="auto" w:fill="auto"/>
            <w:noWrap/>
            <w:vAlign w:val="center"/>
          </w:tcPr>
          <w:p w14:paraId="48677A5C" w14:textId="4A90B0F0"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(122 923)</w:t>
            </w:r>
          </w:p>
        </w:tc>
        <w:tc>
          <w:tcPr>
            <w:tcW w:w="822" w:type="dxa"/>
            <w:tcBorders>
              <w:top w:val="nil"/>
              <w:left w:val="single" w:sz="8" w:space="0" w:color="0077BD"/>
              <w:bottom w:val="single" w:sz="4" w:space="0" w:color="0077BD"/>
              <w:right w:val="nil"/>
            </w:tcBorders>
            <w:shd w:val="clear" w:color="auto" w:fill="auto"/>
            <w:noWrap/>
            <w:vAlign w:val="center"/>
          </w:tcPr>
          <w:p w14:paraId="44CDE4A0" w14:textId="2BE0D675"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(59 543)</w:t>
            </w:r>
          </w:p>
        </w:tc>
        <w:tc>
          <w:tcPr>
            <w:tcW w:w="822" w:type="dxa"/>
            <w:tcBorders>
              <w:top w:val="nil"/>
              <w:left w:val="single" w:sz="8" w:space="0" w:color="0077BD"/>
              <w:bottom w:val="single" w:sz="4" w:space="0" w:color="0077BD"/>
              <w:right w:val="nil"/>
            </w:tcBorders>
            <w:shd w:val="clear" w:color="auto" w:fill="auto"/>
            <w:noWrap/>
            <w:vAlign w:val="center"/>
          </w:tcPr>
          <w:p w14:paraId="29C8B9B9" w14:textId="6B90163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(1 319 200)</w:t>
            </w:r>
          </w:p>
        </w:tc>
        <w:tc>
          <w:tcPr>
            <w:tcW w:w="822" w:type="dxa"/>
            <w:tcBorders>
              <w:top w:val="nil"/>
              <w:left w:val="single" w:sz="8" w:space="0" w:color="0077BD"/>
              <w:bottom w:val="single" w:sz="4" w:space="0" w:color="0077BD"/>
              <w:right w:val="nil"/>
            </w:tcBorders>
            <w:shd w:val="clear" w:color="auto" w:fill="auto"/>
            <w:noWrap/>
            <w:vAlign w:val="center"/>
          </w:tcPr>
          <w:p w14:paraId="1489C1C1" w14:textId="11B1931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(13 183)</w:t>
            </w:r>
          </w:p>
        </w:tc>
      </w:tr>
      <w:tr w:rsidR="00A35099" w:rsidRPr="00BB7C9E" w14:paraId="37D8AF28" w14:textId="77777777" w:rsidTr="00A35099">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7C8CBB7A" w14:textId="300DDB42" w:rsidR="00A35099" w:rsidRPr="00BB7C9E" w:rsidRDefault="00E3719A" w:rsidP="00A35099">
            <w:pPr>
              <w:rPr>
                <w:rFonts w:cs="Calibri"/>
                <w:color w:val="000000" w:themeColor="text1"/>
                <w:sz w:val="11"/>
                <w:szCs w:val="11"/>
              </w:rPr>
            </w:pPr>
            <w:r>
              <w:rPr>
                <w:rFonts w:cs="Calibri"/>
                <w:color w:val="000000" w:themeColor="text1"/>
                <w:sz w:val="11"/>
                <w:szCs w:val="11"/>
              </w:rPr>
              <w:t xml:space="preserve">- </w:t>
            </w:r>
            <w:r w:rsidR="00A35099" w:rsidRPr="00BB7C9E">
              <w:rPr>
                <w:rFonts w:cs="Calibri"/>
                <w:color w:val="000000" w:themeColor="text1"/>
                <w:sz w:val="11"/>
                <w:szCs w:val="11"/>
              </w:rPr>
              <w:t>Klienci budżetowi</w:t>
            </w:r>
          </w:p>
        </w:tc>
        <w:tc>
          <w:tcPr>
            <w:tcW w:w="822" w:type="dxa"/>
            <w:tcBorders>
              <w:top w:val="nil"/>
              <w:left w:val="single" w:sz="8" w:space="0" w:color="0077BD"/>
              <w:bottom w:val="single" w:sz="4" w:space="0" w:color="0077BD"/>
              <w:right w:val="single" w:sz="8" w:space="0" w:color="0077BD"/>
            </w:tcBorders>
            <w:shd w:val="clear" w:color="auto" w:fill="auto"/>
            <w:noWrap/>
            <w:vAlign w:val="center"/>
          </w:tcPr>
          <w:p w14:paraId="3E0132CD" w14:textId="646512CD"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384 315</w:t>
            </w:r>
          </w:p>
        </w:tc>
        <w:tc>
          <w:tcPr>
            <w:tcW w:w="822" w:type="dxa"/>
            <w:tcBorders>
              <w:top w:val="nil"/>
              <w:left w:val="nil"/>
              <w:bottom w:val="single" w:sz="4" w:space="0" w:color="0077BD"/>
              <w:right w:val="nil"/>
            </w:tcBorders>
            <w:shd w:val="clear" w:color="auto" w:fill="auto"/>
            <w:noWrap/>
            <w:vAlign w:val="center"/>
          </w:tcPr>
          <w:p w14:paraId="4F06C980" w14:textId="148F31D2"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383 661</w:t>
            </w:r>
          </w:p>
        </w:tc>
        <w:tc>
          <w:tcPr>
            <w:tcW w:w="822" w:type="dxa"/>
            <w:tcBorders>
              <w:top w:val="nil"/>
              <w:left w:val="single" w:sz="8" w:space="0" w:color="0077BD"/>
              <w:bottom w:val="single" w:sz="4" w:space="0" w:color="0077BD"/>
              <w:right w:val="nil"/>
            </w:tcBorders>
            <w:shd w:val="clear" w:color="auto" w:fill="auto"/>
            <w:noWrap/>
            <w:vAlign w:val="center"/>
          </w:tcPr>
          <w:p w14:paraId="526D03F9" w14:textId="5476F59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3B3E4472" w14:textId="72B98E4E"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1 048</w:t>
            </w:r>
          </w:p>
        </w:tc>
        <w:tc>
          <w:tcPr>
            <w:tcW w:w="822" w:type="dxa"/>
            <w:tcBorders>
              <w:top w:val="nil"/>
              <w:left w:val="single" w:sz="8" w:space="0" w:color="0077BD"/>
              <w:bottom w:val="single" w:sz="4" w:space="0" w:color="0077BD"/>
              <w:right w:val="nil"/>
            </w:tcBorders>
            <w:shd w:val="clear" w:color="auto" w:fill="auto"/>
            <w:noWrap/>
            <w:vAlign w:val="center"/>
          </w:tcPr>
          <w:p w14:paraId="5ED48CD9" w14:textId="5395335B"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1B2C4CF5" w14:textId="1DE00EFD"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(327)</w:t>
            </w:r>
          </w:p>
        </w:tc>
        <w:tc>
          <w:tcPr>
            <w:tcW w:w="822" w:type="dxa"/>
            <w:tcBorders>
              <w:top w:val="nil"/>
              <w:left w:val="single" w:sz="8" w:space="0" w:color="0077BD"/>
              <w:bottom w:val="single" w:sz="4" w:space="0" w:color="0077BD"/>
              <w:right w:val="nil"/>
            </w:tcBorders>
            <w:shd w:val="clear" w:color="auto" w:fill="auto"/>
            <w:noWrap/>
            <w:vAlign w:val="center"/>
          </w:tcPr>
          <w:p w14:paraId="0D910A9B" w14:textId="37ABCD16"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tcPr>
          <w:p w14:paraId="1050873F" w14:textId="54E7A247"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(67)</w:t>
            </w:r>
          </w:p>
        </w:tc>
        <w:tc>
          <w:tcPr>
            <w:tcW w:w="822" w:type="dxa"/>
            <w:tcBorders>
              <w:top w:val="nil"/>
              <w:left w:val="single" w:sz="8" w:space="0" w:color="0077BD"/>
              <w:bottom w:val="single" w:sz="4" w:space="0" w:color="0077BD"/>
              <w:right w:val="nil"/>
            </w:tcBorders>
            <w:shd w:val="clear" w:color="auto" w:fill="auto"/>
            <w:noWrap/>
            <w:vAlign w:val="center"/>
          </w:tcPr>
          <w:p w14:paraId="7C61326E" w14:textId="55495D1A" w:rsidR="00A35099" w:rsidRPr="00BB7C9E" w:rsidRDefault="00A35099" w:rsidP="00A35099">
            <w:pPr>
              <w:jc w:val="right"/>
              <w:rPr>
                <w:rFonts w:cs="Calibri"/>
                <w:color w:val="000000" w:themeColor="text1"/>
                <w:sz w:val="11"/>
                <w:szCs w:val="11"/>
              </w:rPr>
            </w:pPr>
            <w:r w:rsidRPr="00BB7C9E">
              <w:rPr>
                <w:rFonts w:cs="Calibri"/>
                <w:color w:val="000000" w:themeColor="text1"/>
                <w:sz w:val="11"/>
                <w:szCs w:val="11"/>
              </w:rPr>
              <w:t>-</w:t>
            </w:r>
          </w:p>
        </w:tc>
      </w:tr>
      <w:tr w:rsidR="00A35099" w:rsidRPr="00BB7C9E" w14:paraId="134D1CB5" w14:textId="77777777" w:rsidTr="00A35099">
        <w:trPr>
          <w:trHeight w:val="340"/>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0EC45B7D" w14:textId="77777777" w:rsidR="00A35099" w:rsidRPr="00BB7C9E" w:rsidRDefault="00A35099" w:rsidP="00A35099">
            <w:pPr>
              <w:rPr>
                <w:rFonts w:cs="Calibri"/>
                <w:b/>
                <w:bCs/>
                <w:color w:val="000000" w:themeColor="text1"/>
                <w:sz w:val="11"/>
                <w:szCs w:val="11"/>
              </w:rPr>
            </w:pPr>
            <w:r w:rsidRPr="00BB7C9E">
              <w:rPr>
                <w:rFonts w:cs="Calibri"/>
                <w:b/>
                <w:bCs/>
                <w:color w:val="000000" w:themeColor="text1"/>
                <w:sz w:val="11"/>
                <w:szCs w:val="11"/>
              </w:rPr>
              <w:t>Aktywa finansowe wyceniane w zamortyzowanym koszcie, razem</w:t>
            </w:r>
          </w:p>
        </w:tc>
        <w:tc>
          <w:tcPr>
            <w:tcW w:w="822"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DF6889A" w14:textId="7A858A14"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118 779 885</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15E34CA5" w14:textId="700F2716"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109 708 043</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4C002178" w14:textId="105B60B8"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7 920 046</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3C10D608" w14:textId="1C9A31B6"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4 105 697</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6CEFB7C9" w14:textId="6271D5CD"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237 588</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436A93C7" w14:textId="44240CA3"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(314 329)</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6AB41993" w14:textId="3605AA06"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(258 035)</w:t>
            </w:r>
          </w:p>
        </w:tc>
        <w:tc>
          <w:tcPr>
            <w:tcW w:w="822" w:type="dxa"/>
            <w:tcBorders>
              <w:top w:val="single" w:sz="8" w:space="0" w:color="0077BD"/>
              <w:left w:val="nil"/>
              <w:bottom w:val="single" w:sz="8" w:space="0" w:color="0077BD"/>
              <w:right w:val="single" w:sz="8" w:space="0" w:color="0077BD"/>
            </w:tcBorders>
            <w:shd w:val="clear" w:color="auto" w:fill="auto"/>
            <w:noWrap/>
            <w:vAlign w:val="center"/>
          </w:tcPr>
          <w:p w14:paraId="1A4605E7" w14:textId="125875BC"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(2 603 391)</w:t>
            </w:r>
          </w:p>
        </w:tc>
        <w:tc>
          <w:tcPr>
            <w:tcW w:w="822" w:type="dxa"/>
            <w:tcBorders>
              <w:top w:val="single" w:sz="8" w:space="0" w:color="0077BD"/>
              <w:left w:val="nil"/>
              <w:bottom w:val="single" w:sz="8" w:space="0" w:color="0077BD"/>
              <w:right w:val="nil"/>
            </w:tcBorders>
            <w:shd w:val="clear" w:color="auto" w:fill="auto"/>
            <w:noWrap/>
            <w:vAlign w:val="center"/>
          </w:tcPr>
          <w:p w14:paraId="0B5D3F2B" w14:textId="66A960B2" w:rsidR="00A35099" w:rsidRPr="00BB7C9E" w:rsidRDefault="00A35099" w:rsidP="00A35099">
            <w:pPr>
              <w:jc w:val="right"/>
              <w:rPr>
                <w:rFonts w:cs="Calibri"/>
                <w:b/>
                <w:bCs/>
                <w:color w:val="000000" w:themeColor="text1"/>
                <w:sz w:val="11"/>
                <w:szCs w:val="11"/>
              </w:rPr>
            </w:pPr>
            <w:r w:rsidRPr="00BB7C9E">
              <w:rPr>
                <w:rFonts w:cs="Calibri"/>
                <w:b/>
                <w:bCs/>
                <w:color w:val="000000" w:themeColor="text1"/>
                <w:sz w:val="11"/>
                <w:szCs w:val="11"/>
              </w:rPr>
              <w:t>(15 734)</w:t>
            </w:r>
          </w:p>
        </w:tc>
      </w:tr>
      <w:tr w:rsidR="00971F27" w:rsidRPr="00BB7C9E" w14:paraId="1E325EAC" w14:textId="77777777" w:rsidTr="00A35099">
        <w:trPr>
          <w:trHeight w:val="20"/>
        </w:trPr>
        <w:tc>
          <w:tcPr>
            <w:tcW w:w="3033" w:type="dxa"/>
            <w:gridSpan w:val="2"/>
            <w:tcBorders>
              <w:top w:val="single" w:sz="8" w:space="0" w:color="0077BD"/>
              <w:left w:val="nil"/>
              <w:bottom w:val="single" w:sz="4" w:space="0" w:color="0077BD"/>
              <w:right w:val="nil"/>
            </w:tcBorders>
            <w:shd w:val="clear" w:color="000000" w:fill="FFFFFF"/>
            <w:vAlign w:val="center"/>
            <w:hideMark/>
          </w:tcPr>
          <w:p w14:paraId="1052F531" w14:textId="77777777" w:rsidR="0049243E" w:rsidRPr="00BB7C9E" w:rsidRDefault="0049243E" w:rsidP="008E41C5">
            <w:pPr>
              <w:jc w:val="center"/>
              <w:rPr>
                <w:rFonts w:cs="Calibri"/>
                <w:color w:val="000000" w:themeColor="text1"/>
                <w:sz w:val="11"/>
                <w:szCs w:val="11"/>
              </w:rPr>
            </w:pPr>
            <w:r w:rsidRPr="00BB7C9E">
              <w:rPr>
                <w:rFonts w:cs="Calibri"/>
                <w:color w:val="000000" w:themeColor="text1"/>
                <w:sz w:val="11"/>
                <w:szCs w:val="11"/>
              </w:rPr>
              <w:t> </w:t>
            </w:r>
          </w:p>
        </w:tc>
        <w:tc>
          <w:tcPr>
            <w:tcW w:w="822" w:type="dxa"/>
            <w:tcBorders>
              <w:top w:val="nil"/>
              <w:left w:val="nil"/>
              <w:bottom w:val="nil"/>
              <w:right w:val="nil"/>
            </w:tcBorders>
            <w:shd w:val="clear" w:color="000000" w:fill="FFFFFF"/>
            <w:noWrap/>
            <w:vAlign w:val="bottom"/>
          </w:tcPr>
          <w:p w14:paraId="59951D6F" w14:textId="1A4D815D"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489713D9" w14:textId="72C21286"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66E15494" w14:textId="7C340573"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6D76AF6B" w14:textId="2A1B8116"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7D348D29" w14:textId="425DF8B8"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6418504F" w14:textId="200A3347"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13CDCEA1" w14:textId="09EB3984" w:rsidR="0049243E" w:rsidRPr="00BB7C9E" w:rsidRDefault="0049243E" w:rsidP="008E41C5">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97CA77D" w14:textId="7B8073E6" w:rsidR="0049243E" w:rsidRPr="00BB7C9E" w:rsidRDefault="0049243E" w:rsidP="008E41C5">
            <w:pPr>
              <w:rPr>
                <w:rFonts w:cs="Calibri"/>
                <w:color w:val="000000" w:themeColor="text1"/>
                <w:sz w:val="11"/>
                <w:szCs w:val="11"/>
              </w:rPr>
            </w:pPr>
          </w:p>
        </w:tc>
      </w:tr>
      <w:tr w:rsidR="004076E4" w:rsidRPr="00BB7C9E" w14:paraId="6E042AC7" w14:textId="77777777" w:rsidTr="00977E53">
        <w:trPr>
          <w:trHeight w:val="284"/>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0D66B46B" w14:textId="77777777" w:rsidR="004076E4" w:rsidRPr="00BB7C9E" w:rsidRDefault="004076E4" w:rsidP="004076E4">
            <w:pPr>
              <w:rPr>
                <w:rFonts w:cs="Calibri"/>
                <w:color w:val="000000" w:themeColor="text1"/>
                <w:sz w:val="11"/>
                <w:szCs w:val="11"/>
              </w:rPr>
            </w:pPr>
            <w:r w:rsidRPr="00BB7C9E">
              <w:rPr>
                <w:rFonts w:cs="Calibri"/>
                <w:color w:val="000000" w:themeColor="text1"/>
                <w:sz w:val="11"/>
                <w:szCs w:val="11"/>
              </w:rPr>
              <w:t>Krótkoterminowe (do 1 roku) brutto</w:t>
            </w:r>
          </w:p>
        </w:tc>
        <w:tc>
          <w:tcPr>
            <w:tcW w:w="822" w:type="dxa"/>
            <w:tcBorders>
              <w:top w:val="single" w:sz="8" w:space="0" w:color="0077BD"/>
              <w:left w:val="single" w:sz="8" w:space="0" w:color="0077BD"/>
              <w:bottom w:val="single" w:sz="8" w:space="0" w:color="0077BD"/>
              <w:right w:val="nil"/>
            </w:tcBorders>
            <w:shd w:val="clear" w:color="auto" w:fill="auto"/>
            <w:vAlign w:val="center"/>
          </w:tcPr>
          <w:p w14:paraId="38242EBC" w14:textId="02305753" w:rsidR="004076E4" w:rsidRPr="00BB7C9E" w:rsidRDefault="004076E4" w:rsidP="004076E4">
            <w:pPr>
              <w:jc w:val="right"/>
              <w:rPr>
                <w:rFonts w:cs="Calibri"/>
                <w:color w:val="000000" w:themeColor="text1"/>
                <w:sz w:val="11"/>
                <w:szCs w:val="11"/>
              </w:rPr>
            </w:pPr>
            <w:r w:rsidRPr="00BB7C9E">
              <w:rPr>
                <w:rFonts w:cs="Calibri"/>
                <w:color w:val="000000" w:themeColor="text1"/>
                <w:sz w:val="11"/>
                <w:szCs w:val="11"/>
              </w:rPr>
              <w:t>42 975 941</w:t>
            </w:r>
          </w:p>
        </w:tc>
        <w:tc>
          <w:tcPr>
            <w:tcW w:w="822" w:type="dxa"/>
            <w:tcBorders>
              <w:top w:val="nil"/>
              <w:left w:val="nil"/>
              <w:bottom w:val="nil"/>
              <w:right w:val="nil"/>
            </w:tcBorders>
            <w:shd w:val="clear" w:color="000000" w:fill="FFFFFF"/>
            <w:noWrap/>
            <w:vAlign w:val="bottom"/>
          </w:tcPr>
          <w:p w14:paraId="5F21AF2C" w14:textId="5D926122"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2A4A12C3" w14:textId="0E4A9066"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76BE8C44" w14:textId="4C5FB25E"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7180D35" w14:textId="30BFE277"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40BF7183" w14:textId="21A0CC07"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B727E78" w14:textId="64EAE003"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426A66D5" w14:textId="07550D46"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6F7DDC9" w14:textId="2A6888CE" w:rsidR="004076E4" w:rsidRPr="00BB7C9E" w:rsidRDefault="004076E4" w:rsidP="004076E4">
            <w:pPr>
              <w:rPr>
                <w:rFonts w:cs="Calibri"/>
                <w:color w:val="000000" w:themeColor="text1"/>
                <w:sz w:val="11"/>
                <w:szCs w:val="11"/>
              </w:rPr>
            </w:pPr>
          </w:p>
        </w:tc>
      </w:tr>
      <w:tr w:rsidR="004076E4" w:rsidRPr="00BB7C9E" w14:paraId="6E0F6F88" w14:textId="77777777" w:rsidTr="00977E53">
        <w:trPr>
          <w:trHeight w:val="284"/>
        </w:trPr>
        <w:tc>
          <w:tcPr>
            <w:tcW w:w="2211" w:type="dxa"/>
            <w:tcBorders>
              <w:top w:val="nil"/>
              <w:left w:val="nil"/>
              <w:bottom w:val="single" w:sz="8" w:space="0" w:color="0077BD"/>
              <w:right w:val="single" w:sz="8" w:space="0" w:color="0077BD"/>
            </w:tcBorders>
            <w:shd w:val="clear" w:color="auto" w:fill="auto"/>
            <w:vAlign w:val="center"/>
            <w:hideMark/>
          </w:tcPr>
          <w:p w14:paraId="30EA0E6D" w14:textId="77777777" w:rsidR="004076E4" w:rsidRPr="00BB7C9E" w:rsidRDefault="004076E4" w:rsidP="004076E4">
            <w:pPr>
              <w:rPr>
                <w:rFonts w:cs="Calibri"/>
                <w:color w:val="000000" w:themeColor="text1"/>
                <w:sz w:val="11"/>
                <w:szCs w:val="11"/>
              </w:rPr>
            </w:pPr>
            <w:r w:rsidRPr="00BB7C9E">
              <w:rPr>
                <w:rFonts w:cs="Calibri"/>
                <w:color w:val="000000" w:themeColor="text1"/>
                <w:sz w:val="11"/>
                <w:szCs w:val="11"/>
              </w:rPr>
              <w:t>Długoterminowe (ponad 1 rok) brutto</w:t>
            </w:r>
          </w:p>
        </w:tc>
        <w:tc>
          <w:tcPr>
            <w:tcW w:w="822" w:type="dxa"/>
            <w:tcBorders>
              <w:top w:val="nil"/>
              <w:left w:val="single" w:sz="8" w:space="0" w:color="0077BD"/>
              <w:bottom w:val="single" w:sz="8" w:space="0" w:color="0077BD"/>
              <w:right w:val="nil"/>
            </w:tcBorders>
            <w:shd w:val="clear" w:color="auto" w:fill="auto"/>
            <w:vAlign w:val="center"/>
          </w:tcPr>
          <w:p w14:paraId="1E384870" w14:textId="1392AFF2" w:rsidR="004076E4" w:rsidRPr="00BB7C9E" w:rsidRDefault="004076E4" w:rsidP="004076E4">
            <w:pPr>
              <w:jc w:val="right"/>
              <w:rPr>
                <w:rFonts w:cs="Calibri"/>
                <w:color w:val="000000" w:themeColor="text1"/>
                <w:sz w:val="11"/>
                <w:szCs w:val="11"/>
              </w:rPr>
            </w:pPr>
            <w:r w:rsidRPr="00BB7C9E">
              <w:rPr>
                <w:rFonts w:cs="Calibri"/>
                <w:color w:val="000000" w:themeColor="text1"/>
                <w:sz w:val="11"/>
                <w:szCs w:val="11"/>
              </w:rPr>
              <w:t>78 995 433</w:t>
            </w:r>
          </w:p>
        </w:tc>
        <w:tc>
          <w:tcPr>
            <w:tcW w:w="822" w:type="dxa"/>
            <w:tcBorders>
              <w:top w:val="nil"/>
              <w:left w:val="nil"/>
              <w:bottom w:val="nil"/>
              <w:right w:val="nil"/>
            </w:tcBorders>
            <w:shd w:val="clear" w:color="000000" w:fill="FFFFFF"/>
            <w:noWrap/>
            <w:vAlign w:val="bottom"/>
          </w:tcPr>
          <w:p w14:paraId="703FA62F" w14:textId="7D4B20C3"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4D74D70" w14:textId="36F20233"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62C29EF9" w14:textId="07432BBF"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F5995C4" w14:textId="404A8E55"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AD35BD8" w14:textId="1556DC35"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69772690" w14:textId="74E52204"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1B0F4BE4" w14:textId="074ECB97" w:rsidR="004076E4" w:rsidRPr="00BB7C9E" w:rsidRDefault="004076E4" w:rsidP="004076E4">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34DF1AAF" w14:textId="53A54B83" w:rsidR="004076E4" w:rsidRPr="00BB7C9E" w:rsidRDefault="004076E4" w:rsidP="004076E4">
            <w:pPr>
              <w:rPr>
                <w:rFonts w:cs="Calibri"/>
                <w:color w:val="000000" w:themeColor="text1"/>
                <w:sz w:val="11"/>
                <w:szCs w:val="11"/>
              </w:rPr>
            </w:pPr>
          </w:p>
        </w:tc>
      </w:tr>
    </w:tbl>
    <w:p w14:paraId="7F95D43A" w14:textId="69263C6D" w:rsidR="00A974CA" w:rsidRPr="00BB7C9E" w:rsidRDefault="00A974CA" w:rsidP="005E6296">
      <w:pPr>
        <w:jc w:val="both"/>
        <w:rPr>
          <w:noProof/>
          <w:color w:val="000000" w:themeColor="text1"/>
        </w:rPr>
      </w:pPr>
    </w:p>
    <w:p w14:paraId="7AE91908" w14:textId="77777777" w:rsidR="00A974CA" w:rsidRDefault="00A974CA">
      <w:pPr>
        <w:rPr>
          <w:noProof/>
        </w:rPr>
      </w:pPr>
      <w:r>
        <w:rPr>
          <w:noProof/>
        </w:rPr>
        <w:br w:type="page"/>
      </w:r>
    </w:p>
    <w:tbl>
      <w:tblPr>
        <w:tblW w:w="9609" w:type="dxa"/>
        <w:tblLayout w:type="fixed"/>
        <w:tblCellMar>
          <w:left w:w="0" w:type="dxa"/>
          <w:right w:w="0" w:type="dxa"/>
        </w:tblCellMar>
        <w:tblLook w:val="04A0" w:firstRow="1" w:lastRow="0" w:firstColumn="1" w:lastColumn="0" w:noHBand="0" w:noVBand="1"/>
      </w:tblPr>
      <w:tblGrid>
        <w:gridCol w:w="2211"/>
        <w:gridCol w:w="822"/>
        <w:gridCol w:w="822"/>
        <w:gridCol w:w="822"/>
        <w:gridCol w:w="822"/>
        <w:gridCol w:w="822"/>
        <w:gridCol w:w="822"/>
        <w:gridCol w:w="822"/>
        <w:gridCol w:w="822"/>
        <w:gridCol w:w="822"/>
      </w:tblGrid>
      <w:tr w:rsidR="0042125C" w:rsidRPr="00E11501" w14:paraId="69D2C87A" w14:textId="77777777" w:rsidTr="00E11501">
        <w:trPr>
          <w:trHeight w:val="284"/>
        </w:trPr>
        <w:tc>
          <w:tcPr>
            <w:tcW w:w="2211" w:type="dxa"/>
            <w:vMerge w:val="restart"/>
            <w:tcBorders>
              <w:top w:val="nil"/>
              <w:left w:val="nil"/>
              <w:bottom w:val="nil"/>
              <w:right w:val="nil"/>
            </w:tcBorders>
            <w:shd w:val="clear" w:color="000000" w:fill="0077BD"/>
            <w:noWrap/>
            <w:vAlign w:val="center"/>
            <w:hideMark/>
          </w:tcPr>
          <w:p w14:paraId="6CB7FD2B" w14:textId="77777777" w:rsidR="0042125C" w:rsidRPr="00E11501" w:rsidRDefault="0042125C" w:rsidP="0042125C">
            <w:pPr>
              <w:rPr>
                <w:rFonts w:cs="Calibri"/>
                <w:b/>
                <w:bCs/>
                <w:color w:val="FFFFFF"/>
                <w:sz w:val="11"/>
                <w:szCs w:val="11"/>
              </w:rPr>
            </w:pPr>
            <w:r w:rsidRPr="00E11501">
              <w:rPr>
                <w:rFonts w:cs="Calibri"/>
                <w:b/>
                <w:bCs/>
                <w:color w:val="FFFFFF"/>
                <w:sz w:val="11"/>
                <w:szCs w:val="11"/>
              </w:rPr>
              <w:lastRenderedPageBreak/>
              <w:t>31.12.2018</w:t>
            </w:r>
          </w:p>
        </w:tc>
        <w:tc>
          <w:tcPr>
            <w:tcW w:w="822" w:type="dxa"/>
            <w:vMerge w:val="restart"/>
            <w:tcBorders>
              <w:top w:val="nil"/>
              <w:left w:val="single" w:sz="8" w:space="0" w:color="FFFFFF"/>
              <w:bottom w:val="single" w:sz="8" w:space="0" w:color="0077BD"/>
              <w:right w:val="single" w:sz="8" w:space="0" w:color="FFFFFF"/>
            </w:tcBorders>
            <w:shd w:val="clear" w:color="000000" w:fill="0077BD"/>
            <w:vAlign w:val="center"/>
            <w:hideMark/>
          </w:tcPr>
          <w:p w14:paraId="69785C9F"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Wartość bilansowa</w:t>
            </w:r>
          </w:p>
        </w:tc>
        <w:tc>
          <w:tcPr>
            <w:tcW w:w="3288" w:type="dxa"/>
            <w:gridSpan w:val="4"/>
            <w:tcBorders>
              <w:top w:val="nil"/>
              <w:left w:val="nil"/>
              <w:bottom w:val="single" w:sz="8" w:space="0" w:color="FFFFFF"/>
              <w:right w:val="single" w:sz="8" w:space="0" w:color="FFFFFF"/>
            </w:tcBorders>
            <w:shd w:val="clear" w:color="000000" w:fill="0077BD"/>
            <w:vAlign w:val="center"/>
            <w:hideMark/>
          </w:tcPr>
          <w:p w14:paraId="49861F4C"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Wartość bilansowa brutto</w:t>
            </w:r>
          </w:p>
        </w:tc>
        <w:tc>
          <w:tcPr>
            <w:tcW w:w="3288" w:type="dxa"/>
            <w:gridSpan w:val="4"/>
            <w:tcBorders>
              <w:top w:val="nil"/>
              <w:left w:val="nil"/>
              <w:bottom w:val="single" w:sz="8" w:space="0" w:color="FFFFFF"/>
              <w:right w:val="nil"/>
            </w:tcBorders>
            <w:shd w:val="clear" w:color="000000" w:fill="0077BD"/>
            <w:vAlign w:val="center"/>
            <w:hideMark/>
          </w:tcPr>
          <w:p w14:paraId="396B70CA"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Skumulowana utrata wartości</w:t>
            </w:r>
          </w:p>
        </w:tc>
      </w:tr>
      <w:tr w:rsidR="0042125C" w:rsidRPr="00E11501" w14:paraId="02FFCA75" w14:textId="77777777" w:rsidTr="00E11501">
        <w:trPr>
          <w:trHeight w:val="194"/>
        </w:trPr>
        <w:tc>
          <w:tcPr>
            <w:tcW w:w="2211" w:type="dxa"/>
            <w:vMerge/>
            <w:tcBorders>
              <w:top w:val="nil"/>
              <w:left w:val="nil"/>
              <w:bottom w:val="nil"/>
              <w:right w:val="nil"/>
            </w:tcBorders>
            <w:vAlign w:val="center"/>
            <w:hideMark/>
          </w:tcPr>
          <w:p w14:paraId="5661DB04"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bottom w:val="single" w:sz="8" w:space="0" w:color="0077BD"/>
              <w:right w:val="single" w:sz="8" w:space="0" w:color="FFFFFF"/>
            </w:tcBorders>
            <w:vAlign w:val="center"/>
            <w:hideMark/>
          </w:tcPr>
          <w:p w14:paraId="031C1B79" w14:textId="77777777" w:rsidR="0042125C" w:rsidRPr="00E11501" w:rsidRDefault="0042125C" w:rsidP="0042125C">
            <w:pPr>
              <w:rPr>
                <w:rFonts w:cs="Calibri"/>
                <w:b/>
                <w:bCs/>
                <w:color w:val="FFFFFF"/>
                <w:sz w:val="11"/>
                <w:szCs w:val="11"/>
              </w:rPr>
            </w:pP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68569D76"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1</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5DE3B406"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2</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037E3A34"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3</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1C8B7F36"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POCI</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2E9BF570"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1</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302393B8"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2</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5FE6BF00"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Koszyk 3</w:t>
            </w:r>
          </w:p>
        </w:tc>
        <w:tc>
          <w:tcPr>
            <w:tcW w:w="822" w:type="dxa"/>
            <w:vMerge w:val="restart"/>
            <w:tcBorders>
              <w:top w:val="nil"/>
              <w:left w:val="single" w:sz="8" w:space="0" w:color="FFFFFF"/>
              <w:bottom w:val="single" w:sz="8" w:space="0" w:color="FFFFFF"/>
              <w:right w:val="nil"/>
            </w:tcBorders>
            <w:shd w:val="clear" w:color="000000" w:fill="0077BD"/>
            <w:vAlign w:val="center"/>
            <w:hideMark/>
          </w:tcPr>
          <w:p w14:paraId="323A55F1" w14:textId="77777777" w:rsidR="0042125C" w:rsidRPr="00E11501" w:rsidRDefault="0042125C" w:rsidP="0042125C">
            <w:pPr>
              <w:jc w:val="center"/>
              <w:rPr>
                <w:rFonts w:cs="Calibri"/>
                <w:b/>
                <w:bCs/>
                <w:color w:val="FFFFFF"/>
                <w:sz w:val="11"/>
                <w:szCs w:val="11"/>
              </w:rPr>
            </w:pPr>
            <w:r w:rsidRPr="00E11501">
              <w:rPr>
                <w:rFonts w:cs="Calibri"/>
                <w:b/>
                <w:bCs/>
                <w:color w:val="FFFFFF"/>
                <w:sz w:val="11"/>
                <w:szCs w:val="11"/>
              </w:rPr>
              <w:t>POCI</w:t>
            </w:r>
          </w:p>
        </w:tc>
      </w:tr>
      <w:tr w:rsidR="0042125C" w:rsidRPr="00E11501" w14:paraId="7D3E9500" w14:textId="77777777" w:rsidTr="00E11501">
        <w:trPr>
          <w:trHeight w:val="284"/>
        </w:trPr>
        <w:tc>
          <w:tcPr>
            <w:tcW w:w="2211" w:type="dxa"/>
            <w:vMerge/>
            <w:tcBorders>
              <w:top w:val="nil"/>
              <w:left w:val="nil"/>
              <w:right w:val="nil"/>
            </w:tcBorders>
            <w:vAlign w:val="center"/>
            <w:hideMark/>
          </w:tcPr>
          <w:p w14:paraId="2A069E0E"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single" w:sz="8" w:space="0" w:color="FFFFFF"/>
            </w:tcBorders>
            <w:vAlign w:val="center"/>
            <w:hideMark/>
          </w:tcPr>
          <w:p w14:paraId="5AEA57BA"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6B3466D7"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545A3200"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233D196C"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7A04FB87"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2C326C32"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256D8146"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75051C5D" w14:textId="77777777" w:rsidR="0042125C" w:rsidRPr="00E11501" w:rsidRDefault="0042125C" w:rsidP="0042125C">
            <w:pPr>
              <w:rPr>
                <w:rFonts w:cs="Calibri"/>
                <w:b/>
                <w:bCs/>
                <w:color w:val="FFFFFF"/>
                <w:sz w:val="11"/>
                <w:szCs w:val="11"/>
              </w:rPr>
            </w:pPr>
          </w:p>
        </w:tc>
        <w:tc>
          <w:tcPr>
            <w:tcW w:w="822" w:type="dxa"/>
            <w:vMerge/>
            <w:tcBorders>
              <w:top w:val="nil"/>
              <w:left w:val="single" w:sz="8" w:space="0" w:color="FFFFFF"/>
              <w:right w:val="nil"/>
            </w:tcBorders>
            <w:vAlign w:val="center"/>
            <w:hideMark/>
          </w:tcPr>
          <w:p w14:paraId="601E15FE" w14:textId="77777777" w:rsidR="0042125C" w:rsidRPr="00E11501" w:rsidRDefault="0042125C" w:rsidP="0042125C">
            <w:pPr>
              <w:rPr>
                <w:rFonts w:cs="Calibri"/>
                <w:b/>
                <w:bCs/>
                <w:color w:val="FFFFFF"/>
                <w:sz w:val="11"/>
                <w:szCs w:val="11"/>
              </w:rPr>
            </w:pPr>
          </w:p>
        </w:tc>
      </w:tr>
      <w:tr w:rsidR="00971F27" w:rsidRPr="00BB7C9E" w14:paraId="4746CC5F" w14:textId="77777777" w:rsidTr="00E11501">
        <w:trPr>
          <w:trHeight w:val="284"/>
        </w:trPr>
        <w:tc>
          <w:tcPr>
            <w:tcW w:w="2211" w:type="dxa"/>
            <w:tcBorders>
              <w:left w:val="nil"/>
              <w:bottom w:val="single" w:sz="8" w:space="0" w:color="0077BD"/>
              <w:right w:val="single" w:sz="8" w:space="0" w:color="0077BD"/>
            </w:tcBorders>
            <w:shd w:val="clear" w:color="auto" w:fill="auto"/>
            <w:vAlign w:val="center"/>
            <w:hideMark/>
          </w:tcPr>
          <w:p w14:paraId="64E71822" w14:textId="77777777" w:rsidR="0042125C" w:rsidRPr="00BB7C9E" w:rsidRDefault="0042125C" w:rsidP="0042125C">
            <w:pPr>
              <w:rPr>
                <w:rFonts w:cs="Calibri"/>
                <w:b/>
                <w:bCs/>
                <w:color w:val="000000" w:themeColor="text1"/>
                <w:sz w:val="11"/>
                <w:szCs w:val="11"/>
              </w:rPr>
            </w:pPr>
            <w:r w:rsidRPr="00BB7C9E">
              <w:rPr>
                <w:rFonts w:cs="Calibri"/>
                <w:b/>
                <w:bCs/>
                <w:color w:val="000000" w:themeColor="text1"/>
                <w:sz w:val="11"/>
                <w:szCs w:val="11"/>
              </w:rPr>
              <w:t>Dłużne papiery wartościowe</w:t>
            </w:r>
          </w:p>
        </w:tc>
        <w:tc>
          <w:tcPr>
            <w:tcW w:w="822" w:type="dxa"/>
            <w:tcBorders>
              <w:left w:val="nil"/>
              <w:bottom w:val="single" w:sz="8" w:space="0" w:color="0077BD"/>
              <w:right w:val="single" w:sz="8" w:space="0" w:color="0077BD"/>
            </w:tcBorders>
            <w:shd w:val="clear" w:color="auto" w:fill="auto"/>
            <w:noWrap/>
            <w:vAlign w:val="center"/>
            <w:hideMark/>
          </w:tcPr>
          <w:p w14:paraId="1095C95D"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9 000 539</w:t>
            </w:r>
          </w:p>
        </w:tc>
        <w:tc>
          <w:tcPr>
            <w:tcW w:w="822" w:type="dxa"/>
            <w:tcBorders>
              <w:left w:val="nil"/>
              <w:bottom w:val="single" w:sz="8" w:space="0" w:color="0077BD"/>
              <w:right w:val="single" w:sz="8" w:space="0" w:color="0077BD"/>
            </w:tcBorders>
            <w:shd w:val="clear" w:color="auto" w:fill="auto"/>
            <w:noWrap/>
            <w:vAlign w:val="center"/>
            <w:hideMark/>
          </w:tcPr>
          <w:p w14:paraId="5D5AB5A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9 000 626</w:t>
            </w:r>
          </w:p>
        </w:tc>
        <w:tc>
          <w:tcPr>
            <w:tcW w:w="822" w:type="dxa"/>
            <w:tcBorders>
              <w:left w:val="nil"/>
              <w:bottom w:val="single" w:sz="8" w:space="0" w:color="0077BD"/>
              <w:right w:val="single" w:sz="8" w:space="0" w:color="0077BD"/>
            </w:tcBorders>
            <w:shd w:val="clear" w:color="auto" w:fill="auto"/>
            <w:noWrap/>
            <w:vAlign w:val="center"/>
            <w:hideMark/>
          </w:tcPr>
          <w:p w14:paraId="7BF86CD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hideMark/>
          </w:tcPr>
          <w:p w14:paraId="04752AE9"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hideMark/>
          </w:tcPr>
          <w:p w14:paraId="1DFBF135"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hideMark/>
          </w:tcPr>
          <w:p w14:paraId="65613972"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(87)</w:t>
            </w:r>
          </w:p>
        </w:tc>
        <w:tc>
          <w:tcPr>
            <w:tcW w:w="822" w:type="dxa"/>
            <w:tcBorders>
              <w:left w:val="nil"/>
              <w:bottom w:val="single" w:sz="8" w:space="0" w:color="0077BD"/>
              <w:right w:val="single" w:sz="8" w:space="0" w:color="0077BD"/>
            </w:tcBorders>
            <w:shd w:val="clear" w:color="auto" w:fill="auto"/>
            <w:noWrap/>
            <w:vAlign w:val="center"/>
            <w:hideMark/>
          </w:tcPr>
          <w:p w14:paraId="5DE5B749"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single" w:sz="8" w:space="0" w:color="0077BD"/>
            </w:tcBorders>
            <w:shd w:val="clear" w:color="auto" w:fill="auto"/>
            <w:noWrap/>
            <w:vAlign w:val="center"/>
            <w:hideMark/>
          </w:tcPr>
          <w:p w14:paraId="50B54270"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left w:val="nil"/>
              <w:bottom w:val="single" w:sz="8" w:space="0" w:color="0077BD"/>
              <w:right w:val="nil"/>
            </w:tcBorders>
            <w:shd w:val="clear" w:color="auto" w:fill="auto"/>
            <w:noWrap/>
            <w:vAlign w:val="center"/>
            <w:hideMark/>
          </w:tcPr>
          <w:p w14:paraId="54C29123"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r>
      <w:tr w:rsidR="00971F27" w:rsidRPr="00BB7C9E" w14:paraId="040EF872"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6300345B" w14:textId="0E323EB5" w:rsidR="0042125C" w:rsidRPr="00BB7C9E" w:rsidRDefault="0042125C" w:rsidP="006456DC">
            <w:pPr>
              <w:ind w:left="142" w:hanging="142"/>
              <w:rPr>
                <w:rFonts w:cs="Calibri"/>
                <w:color w:val="000000" w:themeColor="text1"/>
                <w:sz w:val="11"/>
                <w:szCs w:val="11"/>
              </w:rPr>
            </w:pPr>
            <w:r w:rsidRPr="00BB7C9E">
              <w:rPr>
                <w:rFonts w:cs="Calibri"/>
                <w:color w:val="000000" w:themeColor="text1"/>
                <w:sz w:val="11"/>
                <w:szCs w:val="11"/>
              </w:rPr>
              <w:t>- Sektor instytucji rządowych i samorządowych</w:t>
            </w:r>
            <w:r w:rsidR="006456DC">
              <w:rPr>
                <w:rFonts w:cs="Calibri"/>
                <w:color w:val="000000" w:themeColor="text1"/>
                <w:sz w:val="11"/>
                <w:szCs w:val="11"/>
              </w:rPr>
              <w:t>, w tym:</w:t>
            </w:r>
          </w:p>
        </w:tc>
        <w:tc>
          <w:tcPr>
            <w:tcW w:w="822" w:type="dxa"/>
            <w:tcBorders>
              <w:top w:val="nil"/>
              <w:left w:val="nil"/>
              <w:bottom w:val="single" w:sz="4" w:space="0" w:color="0077BD"/>
              <w:right w:val="single" w:sz="8" w:space="0" w:color="0077BD"/>
            </w:tcBorders>
            <w:shd w:val="clear" w:color="auto" w:fill="auto"/>
            <w:noWrap/>
            <w:vAlign w:val="center"/>
            <w:hideMark/>
          </w:tcPr>
          <w:p w14:paraId="19E57F1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7 742 000</w:t>
            </w:r>
          </w:p>
        </w:tc>
        <w:tc>
          <w:tcPr>
            <w:tcW w:w="822" w:type="dxa"/>
            <w:tcBorders>
              <w:top w:val="nil"/>
              <w:left w:val="nil"/>
              <w:bottom w:val="single" w:sz="4" w:space="0" w:color="0077BD"/>
              <w:right w:val="nil"/>
            </w:tcBorders>
            <w:shd w:val="clear" w:color="auto" w:fill="auto"/>
            <w:noWrap/>
            <w:vAlign w:val="center"/>
            <w:hideMark/>
          </w:tcPr>
          <w:p w14:paraId="1449951C"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7 742 000</w:t>
            </w:r>
          </w:p>
        </w:tc>
        <w:tc>
          <w:tcPr>
            <w:tcW w:w="822" w:type="dxa"/>
            <w:tcBorders>
              <w:top w:val="nil"/>
              <w:left w:val="single" w:sz="8" w:space="0" w:color="0077BD"/>
              <w:bottom w:val="single" w:sz="4" w:space="0" w:color="0077BD"/>
              <w:right w:val="nil"/>
            </w:tcBorders>
            <w:shd w:val="clear" w:color="auto" w:fill="auto"/>
            <w:noWrap/>
            <w:vAlign w:val="center"/>
            <w:hideMark/>
          </w:tcPr>
          <w:p w14:paraId="65EA2165"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621011C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1D87FE2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052EE53C"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731CDCF3"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3555524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254285AD"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r>
      <w:tr w:rsidR="00971F27" w:rsidRPr="00BB7C9E" w14:paraId="16669A7D"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4D5DE28A" w14:textId="77777777" w:rsidR="0042125C" w:rsidRPr="00BB7C9E" w:rsidRDefault="0042125C" w:rsidP="0042125C">
            <w:pPr>
              <w:rPr>
                <w:rFonts w:cs="Calibri"/>
                <w:i/>
                <w:iCs/>
                <w:color w:val="000000" w:themeColor="text1"/>
                <w:sz w:val="11"/>
                <w:szCs w:val="11"/>
              </w:rPr>
            </w:pPr>
            <w:r w:rsidRPr="00BB7C9E">
              <w:rPr>
                <w:rFonts w:cs="Calibri"/>
                <w:i/>
                <w:iCs/>
                <w:color w:val="000000" w:themeColor="text1"/>
                <w:sz w:val="11"/>
                <w:szCs w:val="11"/>
              </w:rPr>
              <w:t xml:space="preserve">    zastawione papiery wartościowe</w:t>
            </w:r>
          </w:p>
        </w:tc>
        <w:tc>
          <w:tcPr>
            <w:tcW w:w="822" w:type="dxa"/>
            <w:tcBorders>
              <w:top w:val="nil"/>
              <w:left w:val="nil"/>
              <w:bottom w:val="single" w:sz="4" w:space="0" w:color="0077BD"/>
              <w:right w:val="single" w:sz="8" w:space="0" w:color="0077BD"/>
            </w:tcBorders>
            <w:shd w:val="clear" w:color="auto" w:fill="auto"/>
            <w:noWrap/>
            <w:vAlign w:val="center"/>
            <w:hideMark/>
          </w:tcPr>
          <w:p w14:paraId="25C899A8"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2 137 273</w:t>
            </w:r>
          </w:p>
        </w:tc>
        <w:tc>
          <w:tcPr>
            <w:tcW w:w="822" w:type="dxa"/>
            <w:tcBorders>
              <w:top w:val="nil"/>
              <w:left w:val="nil"/>
              <w:bottom w:val="single" w:sz="4" w:space="0" w:color="0077BD"/>
              <w:right w:val="nil"/>
            </w:tcBorders>
            <w:shd w:val="clear" w:color="auto" w:fill="auto"/>
            <w:noWrap/>
            <w:vAlign w:val="center"/>
            <w:hideMark/>
          </w:tcPr>
          <w:p w14:paraId="1BBB8D7D"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2 137 273</w:t>
            </w:r>
          </w:p>
        </w:tc>
        <w:tc>
          <w:tcPr>
            <w:tcW w:w="822" w:type="dxa"/>
            <w:tcBorders>
              <w:top w:val="nil"/>
              <w:left w:val="single" w:sz="8" w:space="0" w:color="0077BD"/>
              <w:bottom w:val="single" w:sz="4" w:space="0" w:color="0077BD"/>
              <w:right w:val="nil"/>
            </w:tcBorders>
            <w:shd w:val="clear" w:color="auto" w:fill="auto"/>
            <w:noWrap/>
            <w:vAlign w:val="center"/>
            <w:hideMark/>
          </w:tcPr>
          <w:p w14:paraId="052FA485"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0FC726F6"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662E5806"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1AF3C1E9"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1462D86C"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2F15535E"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602C1676" w14:textId="77777777" w:rsidR="0042125C" w:rsidRPr="00BB7C9E" w:rsidRDefault="0042125C" w:rsidP="0042125C">
            <w:pPr>
              <w:jc w:val="right"/>
              <w:rPr>
                <w:rFonts w:cs="Calibri"/>
                <w:i/>
                <w:iCs/>
                <w:color w:val="000000" w:themeColor="text1"/>
                <w:sz w:val="11"/>
                <w:szCs w:val="11"/>
              </w:rPr>
            </w:pPr>
            <w:r w:rsidRPr="00BB7C9E">
              <w:rPr>
                <w:rFonts w:cs="Calibri"/>
                <w:i/>
                <w:iCs/>
                <w:color w:val="000000" w:themeColor="text1"/>
                <w:sz w:val="11"/>
                <w:szCs w:val="11"/>
              </w:rPr>
              <w:t>-</w:t>
            </w:r>
          </w:p>
        </w:tc>
      </w:tr>
      <w:tr w:rsidR="00971F27" w:rsidRPr="00BB7C9E" w14:paraId="5A385318"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2FE92456"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 Inne instytucje finansowe</w:t>
            </w:r>
          </w:p>
        </w:tc>
        <w:tc>
          <w:tcPr>
            <w:tcW w:w="822" w:type="dxa"/>
            <w:tcBorders>
              <w:top w:val="nil"/>
              <w:left w:val="nil"/>
              <w:bottom w:val="single" w:sz="4" w:space="0" w:color="0077BD"/>
              <w:right w:val="single" w:sz="8" w:space="0" w:color="0077BD"/>
            </w:tcBorders>
            <w:shd w:val="clear" w:color="auto" w:fill="auto"/>
            <w:noWrap/>
            <w:vAlign w:val="center"/>
            <w:hideMark/>
          </w:tcPr>
          <w:p w14:paraId="1E23CF0F"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1 258 539</w:t>
            </w:r>
          </w:p>
        </w:tc>
        <w:tc>
          <w:tcPr>
            <w:tcW w:w="822" w:type="dxa"/>
            <w:tcBorders>
              <w:top w:val="nil"/>
              <w:left w:val="nil"/>
              <w:bottom w:val="single" w:sz="4" w:space="0" w:color="0077BD"/>
              <w:right w:val="nil"/>
            </w:tcBorders>
            <w:shd w:val="clear" w:color="auto" w:fill="auto"/>
            <w:noWrap/>
            <w:vAlign w:val="center"/>
            <w:hideMark/>
          </w:tcPr>
          <w:p w14:paraId="5ECB47CA"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1 258 626</w:t>
            </w:r>
          </w:p>
        </w:tc>
        <w:tc>
          <w:tcPr>
            <w:tcW w:w="822" w:type="dxa"/>
            <w:tcBorders>
              <w:top w:val="nil"/>
              <w:left w:val="single" w:sz="8" w:space="0" w:color="0077BD"/>
              <w:bottom w:val="single" w:sz="4" w:space="0" w:color="0077BD"/>
              <w:right w:val="nil"/>
            </w:tcBorders>
            <w:shd w:val="clear" w:color="auto" w:fill="auto"/>
            <w:noWrap/>
            <w:vAlign w:val="center"/>
            <w:hideMark/>
          </w:tcPr>
          <w:p w14:paraId="378E0C51"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5F7B438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16DABCE2"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608CE2F8"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(87)</w:t>
            </w:r>
          </w:p>
        </w:tc>
        <w:tc>
          <w:tcPr>
            <w:tcW w:w="822" w:type="dxa"/>
            <w:tcBorders>
              <w:top w:val="nil"/>
              <w:left w:val="single" w:sz="8" w:space="0" w:color="0077BD"/>
              <w:bottom w:val="single" w:sz="4" w:space="0" w:color="0077BD"/>
              <w:right w:val="nil"/>
            </w:tcBorders>
            <w:shd w:val="clear" w:color="auto" w:fill="auto"/>
            <w:noWrap/>
            <w:vAlign w:val="center"/>
            <w:hideMark/>
          </w:tcPr>
          <w:p w14:paraId="17EC3F21"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5D3E9234"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447BBE17"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r>
      <w:tr w:rsidR="00971F27" w:rsidRPr="00BB7C9E" w14:paraId="326D7A4C" w14:textId="77777777" w:rsidTr="00E11501">
        <w:trPr>
          <w:trHeight w:val="284"/>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6AD9DF67" w14:textId="77777777" w:rsidR="0042125C" w:rsidRPr="00BB7C9E" w:rsidRDefault="0042125C" w:rsidP="0042125C">
            <w:pPr>
              <w:rPr>
                <w:rFonts w:cs="Calibri"/>
                <w:b/>
                <w:bCs/>
                <w:color w:val="000000" w:themeColor="text1"/>
                <w:sz w:val="11"/>
                <w:szCs w:val="11"/>
              </w:rPr>
            </w:pPr>
            <w:r w:rsidRPr="00BB7C9E">
              <w:rPr>
                <w:rFonts w:cs="Calibri"/>
                <w:b/>
                <w:bCs/>
                <w:color w:val="000000" w:themeColor="text1"/>
                <w:sz w:val="11"/>
                <w:szCs w:val="11"/>
              </w:rPr>
              <w:t>Należności od banków</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435C7432"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2 546 346</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4CE26CB8"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2 547 864</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25719E6B"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12D744F7"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677D8641"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5594533D"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(1 518)</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364A2D04"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56ADD4D5"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c>
          <w:tcPr>
            <w:tcW w:w="822" w:type="dxa"/>
            <w:tcBorders>
              <w:top w:val="single" w:sz="8" w:space="0" w:color="0077BD"/>
              <w:left w:val="nil"/>
              <w:bottom w:val="single" w:sz="8" w:space="0" w:color="0077BD"/>
              <w:right w:val="nil"/>
            </w:tcBorders>
            <w:shd w:val="clear" w:color="auto" w:fill="auto"/>
            <w:noWrap/>
            <w:vAlign w:val="center"/>
            <w:hideMark/>
          </w:tcPr>
          <w:p w14:paraId="65CADC2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w:t>
            </w:r>
          </w:p>
        </w:tc>
      </w:tr>
      <w:tr w:rsidR="00971F27" w:rsidRPr="00BB7C9E" w14:paraId="38FC9069" w14:textId="77777777" w:rsidTr="001E2884">
        <w:trPr>
          <w:trHeight w:val="340"/>
        </w:trPr>
        <w:tc>
          <w:tcPr>
            <w:tcW w:w="2211" w:type="dxa"/>
            <w:tcBorders>
              <w:top w:val="nil"/>
              <w:left w:val="nil"/>
              <w:bottom w:val="single" w:sz="8" w:space="0" w:color="0077BD"/>
              <w:right w:val="single" w:sz="8" w:space="0" w:color="0077BD"/>
            </w:tcBorders>
            <w:shd w:val="clear" w:color="auto" w:fill="auto"/>
            <w:vAlign w:val="center"/>
            <w:hideMark/>
          </w:tcPr>
          <w:p w14:paraId="2CF9882F" w14:textId="77777777" w:rsidR="0042125C" w:rsidRPr="00BB7C9E" w:rsidRDefault="0042125C" w:rsidP="0042125C">
            <w:pPr>
              <w:rPr>
                <w:rFonts w:cs="Calibri"/>
                <w:b/>
                <w:bCs/>
                <w:color w:val="000000" w:themeColor="text1"/>
                <w:sz w:val="11"/>
                <w:szCs w:val="11"/>
              </w:rPr>
            </w:pPr>
            <w:r w:rsidRPr="00BB7C9E">
              <w:rPr>
                <w:rFonts w:cs="Calibri"/>
                <w:b/>
                <w:bCs/>
                <w:color w:val="000000" w:themeColor="text1"/>
                <w:sz w:val="11"/>
                <w:szCs w:val="11"/>
              </w:rPr>
              <w:t>Kredyty i pożyczki udzielone klientom</w:t>
            </w:r>
          </w:p>
        </w:tc>
        <w:tc>
          <w:tcPr>
            <w:tcW w:w="822" w:type="dxa"/>
            <w:tcBorders>
              <w:top w:val="nil"/>
              <w:left w:val="nil"/>
              <w:bottom w:val="single" w:sz="8" w:space="0" w:color="0077BD"/>
              <w:right w:val="single" w:sz="8" w:space="0" w:color="0077BD"/>
            </w:tcBorders>
            <w:shd w:val="clear" w:color="auto" w:fill="auto"/>
            <w:noWrap/>
            <w:vAlign w:val="center"/>
            <w:hideMark/>
          </w:tcPr>
          <w:p w14:paraId="7BEA2CFE"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92 017 432</w:t>
            </w:r>
          </w:p>
        </w:tc>
        <w:tc>
          <w:tcPr>
            <w:tcW w:w="822" w:type="dxa"/>
            <w:tcBorders>
              <w:top w:val="nil"/>
              <w:left w:val="nil"/>
              <w:bottom w:val="single" w:sz="8" w:space="0" w:color="0077BD"/>
              <w:right w:val="single" w:sz="8" w:space="0" w:color="0077BD"/>
            </w:tcBorders>
            <w:shd w:val="clear" w:color="auto" w:fill="auto"/>
            <w:noWrap/>
            <w:vAlign w:val="center"/>
            <w:hideMark/>
          </w:tcPr>
          <w:p w14:paraId="61CCF5C5"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82 159 668</w:t>
            </w:r>
          </w:p>
        </w:tc>
        <w:tc>
          <w:tcPr>
            <w:tcW w:w="822" w:type="dxa"/>
            <w:tcBorders>
              <w:top w:val="nil"/>
              <w:left w:val="nil"/>
              <w:bottom w:val="single" w:sz="8" w:space="0" w:color="0077BD"/>
              <w:right w:val="single" w:sz="8" w:space="0" w:color="0077BD"/>
            </w:tcBorders>
            <w:shd w:val="clear" w:color="auto" w:fill="auto"/>
            <w:noWrap/>
            <w:vAlign w:val="center"/>
            <w:hideMark/>
          </w:tcPr>
          <w:p w14:paraId="0EFD7D2E"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8 714 545</w:t>
            </w:r>
          </w:p>
        </w:tc>
        <w:tc>
          <w:tcPr>
            <w:tcW w:w="822" w:type="dxa"/>
            <w:tcBorders>
              <w:top w:val="nil"/>
              <w:left w:val="nil"/>
              <w:bottom w:val="single" w:sz="8" w:space="0" w:color="0077BD"/>
              <w:right w:val="single" w:sz="8" w:space="0" w:color="0077BD"/>
            </w:tcBorders>
            <w:shd w:val="clear" w:color="auto" w:fill="auto"/>
            <w:noWrap/>
            <w:vAlign w:val="center"/>
            <w:hideMark/>
          </w:tcPr>
          <w:p w14:paraId="2DB815CB"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3 976 749</w:t>
            </w:r>
          </w:p>
        </w:tc>
        <w:tc>
          <w:tcPr>
            <w:tcW w:w="822" w:type="dxa"/>
            <w:tcBorders>
              <w:top w:val="nil"/>
              <w:left w:val="nil"/>
              <w:bottom w:val="single" w:sz="8" w:space="0" w:color="0077BD"/>
              <w:right w:val="single" w:sz="8" w:space="0" w:color="0077BD"/>
            </w:tcBorders>
            <w:shd w:val="clear" w:color="auto" w:fill="auto"/>
            <w:noWrap/>
            <w:vAlign w:val="center"/>
            <w:hideMark/>
          </w:tcPr>
          <w:p w14:paraId="0A28DC8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209 017</w:t>
            </w:r>
          </w:p>
        </w:tc>
        <w:tc>
          <w:tcPr>
            <w:tcW w:w="822" w:type="dxa"/>
            <w:tcBorders>
              <w:top w:val="nil"/>
              <w:left w:val="nil"/>
              <w:bottom w:val="single" w:sz="8" w:space="0" w:color="0077BD"/>
              <w:right w:val="single" w:sz="8" w:space="0" w:color="0077BD"/>
            </w:tcBorders>
            <w:shd w:val="clear" w:color="auto" w:fill="auto"/>
            <w:noWrap/>
            <w:vAlign w:val="center"/>
            <w:hideMark/>
          </w:tcPr>
          <w:p w14:paraId="5CA1AB7E"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(214 875)</w:t>
            </w:r>
          </w:p>
        </w:tc>
        <w:tc>
          <w:tcPr>
            <w:tcW w:w="822" w:type="dxa"/>
            <w:tcBorders>
              <w:top w:val="nil"/>
              <w:left w:val="nil"/>
              <w:bottom w:val="single" w:sz="8" w:space="0" w:color="0077BD"/>
              <w:right w:val="single" w:sz="8" w:space="0" w:color="0077BD"/>
            </w:tcBorders>
            <w:shd w:val="clear" w:color="auto" w:fill="auto"/>
            <w:noWrap/>
            <w:vAlign w:val="center"/>
            <w:hideMark/>
          </w:tcPr>
          <w:p w14:paraId="413CE94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(220 963)</w:t>
            </w:r>
          </w:p>
        </w:tc>
        <w:tc>
          <w:tcPr>
            <w:tcW w:w="822" w:type="dxa"/>
            <w:tcBorders>
              <w:top w:val="nil"/>
              <w:left w:val="nil"/>
              <w:bottom w:val="single" w:sz="8" w:space="0" w:color="0077BD"/>
              <w:right w:val="single" w:sz="8" w:space="0" w:color="0077BD"/>
            </w:tcBorders>
            <w:shd w:val="clear" w:color="auto" w:fill="auto"/>
            <w:noWrap/>
            <w:vAlign w:val="center"/>
            <w:hideMark/>
          </w:tcPr>
          <w:p w14:paraId="58CEF15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(2 599 882)</w:t>
            </w:r>
          </w:p>
        </w:tc>
        <w:tc>
          <w:tcPr>
            <w:tcW w:w="822" w:type="dxa"/>
            <w:tcBorders>
              <w:top w:val="nil"/>
              <w:left w:val="nil"/>
              <w:bottom w:val="single" w:sz="8" w:space="0" w:color="0077BD"/>
              <w:right w:val="nil"/>
            </w:tcBorders>
            <w:shd w:val="clear" w:color="auto" w:fill="auto"/>
            <w:noWrap/>
            <w:vAlign w:val="center"/>
            <w:hideMark/>
          </w:tcPr>
          <w:p w14:paraId="160E2DB7"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(6 827)</w:t>
            </w:r>
          </w:p>
        </w:tc>
      </w:tr>
      <w:tr w:rsidR="00971F27" w:rsidRPr="00BB7C9E" w14:paraId="737842E5"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4C3CD832"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Klienci indywidualni</w:t>
            </w:r>
          </w:p>
        </w:tc>
        <w:tc>
          <w:tcPr>
            <w:tcW w:w="822" w:type="dxa"/>
            <w:tcBorders>
              <w:top w:val="nil"/>
              <w:left w:val="nil"/>
              <w:bottom w:val="single" w:sz="4" w:space="0" w:color="0077BD"/>
              <w:right w:val="single" w:sz="8" w:space="0" w:color="0077BD"/>
            </w:tcBorders>
            <w:shd w:val="clear" w:color="auto" w:fill="auto"/>
            <w:noWrap/>
            <w:vAlign w:val="center"/>
            <w:hideMark/>
          </w:tcPr>
          <w:p w14:paraId="553EDE04"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48 924 332</w:t>
            </w:r>
          </w:p>
        </w:tc>
        <w:tc>
          <w:tcPr>
            <w:tcW w:w="822" w:type="dxa"/>
            <w:tcBorders>
              <w:top w:val="nil"/>
              <w:left w:val="nil"/>
              <w:bottom w:val="single" w:sz="4" w:space="0" w:color="0077BD"/>
              <w:right w:val="nil"/>
            </w:tcBorders>
            <w:shd w:val="clear" w:color="auto" w:fill="auto"/>
            <w:noWrap/>
            <w:vAlign w:val="center"/>
            <w:hideMark/>
          </w:tcPr>
          <w:p w14:paraId="67D80FD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42 757 830</w:t>
            </w:r>
          </w:p>
        </w:tc>
        <w:tc>
          <w:tcPr>
            <w:tcW w:w="822" w:type="dxa"/>
            <w:tcBorders>
              <w:top w:val="nil"/>
              <w:left w:val="single" w:sz="8" w:space="0" w:color="0077BD"/>
              <w:bottom w:val="single" w:sz="4" w:space="0" w:color="0077BD"/>
              <w:right w:val="nil"/>
            </w:tcBorders>
            <w:shd w:val="clear" w:color="auto" w:fill="auto"/>
            <w:noWrap/>
            <w:vAlign w:val="center"/>
            <w:hideMark/>
          </w:tcPr>
          <w:p w14:paraId="66E4F436"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5 588 684</w:t>
            </w:r>
          </w:p>
        </w:tc>
        <w:tc>
          <w:tcPr>
            <w:tcW w:w="822" w:type="dxa"/>
            <w:tcBorders>
              <w:top w:val="nil"/>
              <w:left w:val="single" w:sz="8" w:space="0" w:color="0077BD"/>
              <w:bottom w:val="single" w:sz="4" w:space="0" w:color="0077BD"/>
              <w:right w:val="nil"/>
            </w:tcBorders>
            <w:shd w:val="clear" w:color="auto" w:fill="auto"/>
            <w:noWrap/>
            <w:vAlign w:val="center"/>
            <w:hideMark/>
          </w:tcPr>
          <w:p w14:paraId="7879A98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2 103 477</w:t>
            </w:r>
          </w:p>
        </w:tc>
        <w:tc>
          <w:tcPr>
            <w:tcW w:w="822" w:type="dxa"/>
            <w:tcBorders>
              <w:top w:val="nil"/>
              <w:left w:val="single" w:sz="8" w:space="0" w:color="0077BD"/>
              <w:bottom w:val="single" w:sz="4" w:space="0" w:color="0077BD"/>
              <w:right w:val="nil"/>
            </w:tcBorders>
            <w:shd w:val="clear" w:color="auto" w:fill="auto"/>
            <w:noWrap/>
            <w:vAlign w:val="center"/>
            <w:hideMark/>
          </w:tcPr>
          <w:p w14:paraId="6E69D884"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104 512</w:t>
            </w:r>
          </w:p>
        </w:tc>
        <w:tc>
          <w:tcPr>
            <w:tcW w:w="822" w:type="dxa"/>
            <w:tcBorders>
              <w:top w:val="nil"/>
              <w:left w:val="single" w:sz="8" w:space="0" w:color="0077BD"/>
              <w:bottom w:val="single" w:sz="4" w:space="0" w:color="0077BD"/>
              <w:right w:val="nil"/>
            </w:tcBorders>
            <w:shd w:val="clear" w:color="auto" w:fill="auto"/>
            <w:noWrap/>
            <w:vAlign w:val="center"/>
            <w:hideMark/>
          </w:tcPr>
          <w:p w14:paraId="6DA42195"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(110 937)</w:t>
            </w:r>
          </w:p>
        </w:tc>
        <w:tc>
          <w:tcPr>
            <w:tcW w:w="822" w:type="dxa"/>
            <w:tcBorders>
              <w:top w:val="nil"/>
              <w:left w:val="single" w:sz="8" w:space="0" w:color="0077BD"/>
              <w:bottom w:val="single" w:sz="4" w:space="0" w:color="0077BD"/>
              <w:right w:val="nil"/>
            </w:tcBorders>
            <w:shd w:val="clear" w:color="auto" w:fill="auto"/>
            <w:noWrap/>
            <w:vAlign w:val="center"/>
            <w:hideMark/>
          </w:tcPr>
          <w:p w14:paraId="4CA9450B"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(171 820)</w:t>
            </w:r>
          </w:p>
        </w:tc>
        <w:tc>
          <w:tcPr>
            <w:tcW w:w="822" w:type="dxa"/>
            <w:tcBorders>
              <w:top w:val="nil"/>
              <w:left w:val="single" w:sz="8" w:space="0" w:color="0077BD"/>
              <w:bottom w:val="single" w:sz="4" w:space="0" w:color="0077BD"/>
              <w:right w:val="nil"/>
            </w:tcBorders>
            <w:shd w:val="clear" w:color="auto" w:fill="auto"/>
            <w:noWrap/>
            <w:vAlign w:val="center"/>
            <w:hideMark/>
          </w:tcPr>
          <w:p w14:paraId="14CA90D7"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(1 345 048)</w:t>
            </w:r>
          </w:p>
        </w:tc>
        <w:tc>
          <w:tcPr>
            <w:tcW w:w="822" w:type="dxa"/>
            <w:tcBorders>
              <w:top w:val="nil"/>
              <w:left w:val="single" w:sz="8" w:space="0" w:color="0077BD"/>
              <w:bottom w:val="single" w:sz="4" w:space="0" w:color="0077BD"/>
              <w:right w:val="nil"/>
            </w:tcBorders>
            <w:shd w:val="clear" w:color="auto" w:fill="auto"/>
            <w:noWrap/>
            <w:vAlign w:val="center"/>
            <w:hideMark/>
          </w:tcPr>
          <w:p w14:paraId="3A23336A"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(2 366)</w:t>
            </w:r>
          </w:p>
        </w:tc>
      </w:tr>
      <w:tr w:rsidR="00971F27" w:rsidRPr="00BB7C9E" w14:paraId="35573250"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67AB3FC7"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Klienci korporacyjni</w:t>
            </w:r>
          </w:p>
        </w:tc>
        <w:tc>
          <w:tcPr>
            <w:tcW w:w="822" w:type="dxa"/>
            <w:tcBorders>
              <w:top w:val="nil"/>
              <w:left w:val="nil"/>
              <w:bottom w:val="single" w:sz="4" w:space="0" w:color="0077BD"/>
              <w:right w:val="single" w:sz="8" w:space="0" w:color="0077BD"/>
            </w:tcBorders>
            <w:shd w:val="clear" w:color="auto" w:fill="auto"/>
            <w:noWrap/>
            <w:vAlign w:val="center"/>
            <w:hideMark/>
          </w:tcPr>
          <w:p w14:paraId="2FBAA76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42 456 817</w:t>
            </w:r>
          </w:p>
        </w:tc>
        <w:tc>
          <w:tcPr>
            <w:tcW w:w="822" w:type="dxa"/>
            <w:tcBorders>
              <w:top w:val="nil"/>
              <w:left w:val="nil"/>
              <w:bottom w:val="single" w:sz="4" w:space="0" w:color="0077BD"/>
              <w:right w:val="nil"/>
            </w:tcBorders>
            <w:shd w:val="clear" w:color="auto" w:fill="auto"/>
            <w:noWrap/>
            <w:vAlign w:val="center"/>
            <w:hideMark/>
          </w:tcPr>
          <w:p w14:paraId="26B53320"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38 765 918</w:t>
            </w:r>
          </w:p>
        </w:tc>
        <w:tc>
          <w:tcPr>
            <w:tcW w:w="822" w:type="dxa"/>
            <w:tcBorders>
              <w:top w:val="nil"/>
              <w:left w:val="single" w:sz="8" w:space="0" w:color="0077BD"/>
              <w:bottom w:val="single" w:sz="4" w:space="0" w:color="0077BD"/>
              <w:right w:val="nil"/>
            </w:tcBorders>
            <w:shd w:val="clear" w:color="auto" w:fill="auto"/>
            <w:noWrap/>
            <w:vAlign w:val="center"/>
            <w:hideMark/>
          </w:tcPr>
          <w:p w14:paraId="10770D26"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3 125 861</w:t>
            </w:r>
          </w:p>
        </w:tc>
        <w:tc>
          <w:tcPr>
            <w:tcW w:w="822" w:type="dxa"/>
            <w:tcBorders>
              <w:top w:val="nil"/>
              <w:left w:val="single" w:sz="8" w:space="0" w:color="0077BD"/>
              <w:bottom w:val="single" w:sz="4" w:space="0" w:color="0077BD"/>
              <w:right w:val="nil"/>
            </w:tcBorders>
            <w:shd w:val="clear" w:color="auto" w:fill="auto"/>
            <w:noWrap/>
            <w:vAlign w:val="center"/>
            <w:hideMark/>
          </w:tcPr>
          <w:p w14:paraId="424018F6"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1 872 269</w:t>
            </w:r>
          </w:p>
        </w:tc>
        <w:tc>
          <w:tcPr>
            <w:tcW w:w="822" w:type="dxa"/>
            <w:tcBorders>
              <w:top w:val="nil"/>
              <w:left w:val="single" w:sz="8" w:space="0" w:color="0077BD"/>
              <w:bottom w:val="single" w:sz="4" w:space="0" w:color="0077BD"/>
              <w:right w:val="nil"/>
            </w:tcBorders>
            <w:shd w:val="clear" w:color="auto" w:fill="auto"/>
            <w:noWrap/>
            <w:vAlign w:val="center"/>
            <w:hideMark/>
          </w:tcPr>
          <w:p w14:paraId="300A6B03"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104 505</w:t>
            </w:r>
          </w:p>
        </w:tc>
        <w:tc>
          <w:tcPr>
            <w:tcW w:w="822" w:type="dxa"/>
            <w:tcBorders>
              <w:top w:val="nil"/>
              <w:left w:val="single" w:sz="8" w:space="0" w:color="0077BD"/>
              <w:bottom w:val="single" w:sz="4" w:space="0" w:color="0077BD"/>
              <w:right w:val="nil"/>
            </w:tcBorders>
            <w:shd w:val="clear" w:color="auto" w:fill="auto"/>
            <w:noWrap/>
            <w:vAlign w:val="center"/>
            <w:hideMark/>
          </w:tcPr>
          <w:p w14:paraId="1AB81D2C"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(103 368)</w:t>
            </w:r>
          </w:p>
        </w:tc>
        <w:tc>
          <w:tcPr>
            <w:tcW w:w="822" w:type="dxa"/>
            <w:tcBorders>
              <w:top w:val="nil"/>
              <w:left w:val="single" w:sz="8" w:space="0" w:color="0077BD"/>
              <w:bottom w:val="single" w:sz="4" w:space="0" w:color="0077BD"/>
              <w:right w:val="nil"/>
            </w:tcBorders>
            <w:shd w:val="clear" w:color="auto" w:fill="auto"/>
            <w:noWrap/>
            <w:vAlign w:val="center"/>
            <w:hideMark/>
          </w:tcPr>
          <w:p w14:paraId="2443D49D"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(49 143)</w:t>
            </w:r>
          </w:p>
        </w:tc>
        <w:tc>
          <w:tcPr>
            <w:tcW w:w="822" w:type="dxa"/>
            <w:tcBorders>
              <w:top w:val="nil"/>
              <w:left w:val="single" w:sz="8" w:space="0" w:color="0077BD"/>
              <w:bottom w:val="single" w:sz="4" w:space="0" w:color="0077BD"/>
              <w:right w:val="nil"/>
            </w:tcBorders>
            <w:shd w:val="clear" w:color="auto" w:fill="auto"/>
            <w:noWrap/>
            <w:vAlign w:val="center"/>
            <w:hideMark/>
          </w:tcPr>
          <w:p w14:paraId="59404447"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(1 254 764)</w:t>
            </w:r>
          </w:p>
        </w:tc>
        <w:tc>
          <w:tcPr>
            <w:tcW w:w="822" w:type="dxa"/>
            <w:tcBorders>
              <w:top w:val="nil"/>
              <w:left w:val="single" w:sz="8" w:space="0" w:color="0077BD"/>
              <w:bottom w:val="single" w:sz="4" w:space="0" w:color="0077BD"/>
              <w:right w:val="nil"/>
            </w:tcBorders>
            <w:shd w:val="clear" w:color="auto" w:fill="auto"/>
            <w:noWrap/>
            <w:vAlign w:val="center"/>
            <w:hideMark/>
          </w:tcPr>
          <w:p w14:paraId="11884F4F"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(4 461)</w:t>
            </w:r>
          </w:p>
        </w:tc>
      </w:tr>
      <w:tr w:rsidR="00971F27" w:rsidRPr="00BB7C9E" w14:paraId="4F486F85" w14:textId="77777777" w:rsidTr="00E11501">
        <w:trPr>
          <w:trHeight w:val="284"/>
        </w:trPr>
        <w:tc>
          <w:tcPr>
            <w:tcW w:w="2211" w:type="dxa"/>
            <w:tcBorders>
              <w:top w:val="nil"/>
              <w:left w:val="nil"/>
              <w:bottom w:val="single" w:sz="4" w:space="0" w:color="0077BD"/>
              <w:right w:val="single" w:sz="8" w:space="0" w:color="0077BD"/>
            </w:tcBorders>
            <w:shd w:val="clear" w:color="auto" w:fill="auto"/>
            <w:vAlign w:val="center"/>
            <w:hideMark/>
          </w:tcPr>
          <w:p w14:paraId="6D31EBC5"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Klienci budżetowi</w:t>
            </w:r>
          </w:p>
        </w:tc>
        <w:tc>
          <w:tcPr>
            <w:tcW w:w="822" w:type="dxa"/>
            <w:tcBorders>
              <w:top w:val="nil"/>
              <w:left w:val="nil"/>
              <w:bottom w:val="single" w:sz="4" w:space="0" w:color="0077BD"/>
              <w:right w:val="single" w:sz="8" w:space="0" w:color="0077BD"/>
            </w:tcBorders>
            <w:shd w:val="clear" w:color="auto" w:fill="auto"/>
            <w:noWrap/>
            <w:vAlign w:val="center"/>
            <w:hideMark/>
          </w:tcPr>
          <w:p w14:paraId="2F2ED410"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636 283</w:t>
            </w:r>
          </w:p>
        </w:tc>
        <w:tc>
          <w:tcPr>
            <w:tcW w:w="822" w:type="dxa"/>
            <w:tcBorders>
              <w:top w:val="nil"/>
              <w:left w:val="nil"/>
              <w:bottom w:val="single" w:sz="4" w:space="0" w:color="0077BD"/>
              <w:right w:val="nil"/>
            </w:tcBorders>
            <w:shd w:val="clear" w:color="auto" w:fill="auto"/>
            <w:noWrap/>
            <w:vAlign w:val="center"/>
            <w:hideMark/>
          </w:tcPr>
          <w:p w14:paraId="328A2814"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635 920</w:t>
            </w:r>
          </w:p>
        </w:tc>
        <w:tc>
          <w:tcPr>
            <w:tcW w:w="822" w:type="dxa"/>
            <w:tcBorders>
              <w:top w:val="nil"/>
              <w:left w:val="single" w:sz="8" w:space="0" w:color="0077BD"/>
              <w:bottom w:val="single" w:sz="4" w:space="0" w:color="0077BD"/>
              <w:right w:val="nil"/>
            </w:tcBorders>
            <w:shd w:val="clear" w:color="auto" w:fill="auto"/>
            <w:noWrap/>
            <w:vAlign w:val="center"/>
            <w:hideMark/>
          </w:tcPr>
          <w:p w14:paraId="79305EE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4FB6BE3B"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1 003</w:t>
            </w:r>
          </w:p>
        </w:tc>
        <w:tc>
          <w:tcPr>
            <w:tcW w:w="822" w:type="dxa"/>
            <w:tcBorders>
              <w:top w:val="nil"/>
              <w:left w:val="single" w:sz="8" w:space="0" w:color="0077BD"/>
              <w:bottom w:val="single" w:sz="4" w:space="0" w:color="0077BD"/>
              <w:right w:val="nil"/>
            </w:tcBorders>
            <w:shd w:val="clear" w:color="auto" w:fill="auto"/>
            <w:noWrap/>
            <w:vAlign w:val="center"/>
            <w:hideMark/>
          </w:tcPr>
          <w:p w14:paraId="30ACBB52"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6D9B031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(570)</w:t>
            </w:r>
          </w:p>
        </w:tc>
        <w:tc>
          <w:tcPr>
            <w:tcW w:w="822" w:type="dxa"/>
            <w:tcBorders>
              <w:top w:val="nil"/>
              <w:left w:val="single" w:sz="8" w:space="0" w:color="0077BD"/>
              <w:bottom w:val="single" w:sz="4" w:space="0" w:color="0077BD"/>
              <w:right w:val="nil"/>
            </w:tcBorders>
            <w:shd w:val="clear" w:color="auto" w:fill="auto"/>
            <w:noWrap/>
            <w:vAlign w:val="center"/>
            <w:hideMark/>
          </w:tcPr>
          <w:p w14:paraId="6ED376E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c>
          <w:tcPr>
            <w:tcW w:w="822" w:type="dxa"/>
            <w:tcBorders>
              <w:top w:val="nil"/>
              <w:left w:val="single" w:sz="8" w:space="0" w:color="0077BD"/>
              <w:bottom w:val="single" w:sz="4" w:space="0" w:color="0077BD"/>
              <w:right w:val="nil"/>
            </w:tcBorders>
            <w:shd w:val="clear" w:color="auto" w:fill="auto"/>
            <w:noWrap/>
            <w:vAlign w:val="center"/>
            <w:hideMark/>
          </w:tcPr>
          <w:p w14:paraId="41866AFE"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(70)</w:t>
            </w:r>
          </w:p>
        </w:tc>
        <w:tc>
          <w:tcPr>
            <w:tcW w:w="822" w:type="dxa"/>
            <w:tcBorders>
              <w:top w:val="nil"/>
              <w:left w:val="single" w:sz="8" w:space="0" w:color="0077BD"/>
              <w:bottom w:val="single" w:sz="4" w:space="0" w:color="0077BD"/>
              <w:right w:val="nil"/>
            </w:tcBorders>
            <w:shd w:val="clear" w:color="auto" w:fill="auto"/>
            <w:noWrap/>
            <w:vAlign w:val="center"/>
            <w:hideMark/>
          </w:tcPr>
          <w:p w14:paraId="5CC366B7"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w:t>
            </w:r>
          </w:p>
        </w:tc>
      </w:tr>
      <w:tr w:rsidR="00971F27" w:rsidRPr="00BB7C9E" w14:paraId="491D075F" w14:textId="77777777" w:rsidTr="00E11501">
        <w:trPr>
          <w:trHeight w:val="340"/>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28EB1084" w14:textId="77777777" w:rsidR="0042125C" w:rsidRPr="00BB7C9E" w:rsidRDefault="0042125C" w:rsidP="0042125C">
            <w:pPr>
              <w:rPr>
                <w:rFonts w:cs="Calibri"/>
                <w:b/>
                <w:bCs/>
                <w:color w:val="000000" w:themeColor="text1"/>
                <w:sz w:val="11"/>
                <w:szCs w:val="11"/>
              </w:rPr>
            </w:pPr>
            <w:r w:rsidRPr="00BB7C9E">
              <w:rPr>
                <w:rFonts w:cs="Calibri"/>
                <w:b/>
                <w:bCs/>
                <w:color w:val="000000" w:themeColor="text1"/>
                <w:sz w:val="11"/>
                <w:szCs w:val="11"/>
              </w:rPr>
              <w:t>Aktywa finansowe wyceniane w zamortyzowanym koszcie, razem</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5CE57191"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103 564 317</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6942AACE"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93 708 158</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3D9F8697"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8 714 545</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2BFB1BF5"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3 976 749</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5B6C5C52"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209 017</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671E9938"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(216 480)</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1BE8D49C"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(220 963)</w:t>
            </w:r>
          </w:p>
        </w:tc>
        <w:tc>
          <w:tcPr>
            <w:tcW w:w="822" w:type="dxa"/>
            <w:tcBorders>
              <w:top w:val="single" w:sz="8" w:space="0" w:color="0077BD"/>
              <w:left w:val="nil"/>
              <w:bottom w:val="single" w:sz="8" w:space="0" w:color="0077BD"/>
              <w:right w:val="single" w:sz="8" w:space="0" w:color="0077BD"/>
            </w:tcBorders>
            <w:shd w:val="clear" w:color="auto" w:fill="auto"/>
            <w:noWrap/>
            <w:vAlign w:val="center"/>
            <w:hideMark/>
          </w:tcPr>
          <w:p w14:paraId="4E31214A"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(2 599 882)</w:t>
            </w:r>
          </w:p>
        </w:tc>
        <w:tc>
          <w:tcPr>
            <w:tcW w:w="822" w:type="dxa"/>
            <w:tcBorders>
              <w:top w:val="single" w:sz="8" w:space="0" w:color="0077BD"/>
              <w:left w:val="nil"/>
              <w:bottom w:val="single" w:sz="8" w:space="0" w:color="0077BD"/>
              <w:right w:val="nil"/>
            </w:tcBorders>
            <w:shd w:val="clear" w:color="auto" w:fill="auto"/>
            <w:noWrap/>
            <w:vAlign w:val="center"/>
            <w:hideMark/>
          </w:tcPr>
          <w:p w14:paraId="4DD6EBB3" w14:textId="77777777" w:rsidR="0042125C" w:rsidRPr="00BB7C9E" w:rsidRDefault="0042125C" w:rsidP="0042125C">
            <w:pPr>
              <w:jc w:val="right"/>
              <w:rPr>
                <w:rFonts w:cs="Calibri"/>
                <w:b/>
                <w:bCs/>
                <w:color w:val="000000" w:themeColor="text1"/>
                <w:sz w:val="11"/>
                <w:szCs w:val="11"/>
              </w:rPr>
            </w:pPr>
            <w:r w:rsidRPr="00BB7C9E">
              <w:rPr>
                <w:rFonts w:cs="Calibri"/>
                <w:b/>
                <w:bCs/>
                <w:color w:val="000000" w:themeColor="text1"/>
                <w:sz w:val="11"/>
                <w:szCs w:val="11"/>
              </w:rPr>
              <w:t>(6 827)</w:t>
            </w:r>
          </w:p>
        </w:tc>
      </w:tr>
      <w:tr w:rsidR="00971F27" w:rsidRPr="00BB7C9E" w14:paraId="44A7B373" w14:textId="77777777" w:rsidTr="00E11501">
        <w:trPr>
          <w:trHeight w:val="20"/>
        </w:trPr>
        <w:tc>
          <w:tcPr>
            <w:tcW w:w="3033" w:type="dxa"/>
            <w:gridSpan w:val="2"/>
            <w:tcBorders>
              <w:top w:val="single" w:sz="8" w:space="0" w:color="0077BD"/>
              <w:left w:val="nil"/>
              <w:bottom w:val="single" w:sz="4" w:space="0" w:color="0077BD"/>
              <w:right w:val="nil"/>
            </w:tcBorders>
            <w:shd w:val="clear" w:color="000000" w:fill="FFFFFF"/>
            <w:vAlign w:val="center"/>
          </w:tcPr>
          <w:p w14:paraId="79B09D14" w14:textId="1514F4D8" w:rsidR="0042125C" w:rsidRPr="00BB7C9E" w:rsidRDefault="0042125C" w:rsidP="0042125C">
            <w:pPr>
              <w:jc w:val="cente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786F2BE" w14:textId="69FB8D96"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F1B1AD8" w14:textId="3DF7E43B"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2DE1B6AC" w14:textId="18D85314"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4729B508" w14:textId="7A9748FF"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2612D7DD" w14:textId="579E9A6E"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3BEFF89A" w14:textId="2FF15034"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020F215" w14:textId="29EACE19"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AF3C3B5" w14:textId="6ECF833E" w:rsidR="0042125C" w:rsidRPr="00BB7C9E" w:rsidRDefault="0042125C" w:rsidP="0042125C">
            <w:pPr>
              <w:rPr>
                <w:rFonts w:cs="Calibri"/>
                <w:color w:val="000000" w:themeColor="text1"/>
                <w:sz w:val="11"/>
                <w:szCs w:val="11"/>
              </w:rPr>
            </w:pPr>
          </w:p>
        </w:tc>
      </w:tr>
      <w:tr w:rsidR="00971F27" w:rsidRPr="00BB7C9E" w14:paraId="3A835A96" w14:textId="77777777" w:rsidTr="00E11501">
        <w:trPr>
          <w:trHeight w:val="284"/>
        </w:trPr>
        <w:tc>
          <w:tcPr>
            <w:tcW w:w="2211" w:type="dxa"/>
            <w:tcBorders>
              <w:top w:val="single" w:sz="8" w:space="0" w:color="0077BD"/>
              <w:left w:val="nil"/>
              <w:bottom w:val="single" w:sz="8" w:space="0" w:color="0077BD"/>
              <w:right w:val="single" w:sz="8" w:space="0" w:color="0077BD"/>
            </w:tcBorders>
            <w:shd w:val="clear" w:color="auto" w:fill="auto"/>
            <w:vAlign w:val="center"/>
            <w:hideMark/>
          </w:tcPr>
          <w:p w14:paraId="709C0993"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Krótkoterminowe (do 1 roku) brutto</w:t>
            </w:r>
          </w:p>
        </w:tc>
        <w:tc>
          <w:tcPr>
            <w:tcW w:w="822" w:type="dxa"/>
            <w:tcBorders>
              <w:top w:val="single" w:sz="8" w:space="0" w:color="0077BD"/>
              <w:left w:val="nil"/>
              <w:bottom w:val="single" w:sz="8" w:space="0" w:color="0077BD"/>
              <w:right w:val="nil"/>
            </w:tcBorders>
            <w:shd w:val="clear" w:color="auto" w:fill="auto"/>
            <w:vAlign w:val="center"/>
            <w:hideMark/>
          </w:tcPr>
          <w:p w14:paraId="2D282FE9"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37 578 214</w:t>
            </w:r>
          </w:p>
        </w:tc>
        <w:tc>
          <w:tcPr>
            <w:tcW w:w="822" w:type="dxa"/>
            <w:tcBorders>
              <w:top w:val="nil"/>
              <w:left w:val="nil"/>
              <w:bottom w:val="nil"/>
              <w:right w:val="nil"/>
            </w:tcBorders>
            <w:shd w:val="clear" w:color="000000" w:fill="FFFFFF"/>
            <w:noWrap/>
            <w:vAlign w:val="bottom"/>
          </w:tcPr>
          <w:p w14:paraId="79C2B982" w14:textId="33E8A928"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3E53B573" w14:textId="6B0B848B"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2C64D51F" w14:textId="450EFCF8"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3350BFA8" w14:textId="7100C192"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3BD56F1E" w14:textId="14C8A8CF"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61498A2" w14:textId="76FE4C79"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F30444F" w14:textId="5B76C8B2"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9B97326" w14:textId="7273B1BE" w:rsidR="0042125C" w:rsidRPr="00BB7C9E" w:rsidRDefault="0042125C" w:rsidP="0042125C">
            <w:pPr>
              <w:rPr>
                <w:rFonts w:cs="Calibri"/>
                <w:color w:val="000000" w:themeColor="text1"/>
                <w:sz w:val="11"/>
                <w:szCs w:val="11"/>
              </w:rPr>
            </w:pPr>
          </w:p>
        </w:tc>
      </w:tr>
      <w:tr w:rsidR="00971F27" w:rsidRPr="00BB7C9E" w14:paraId="2F364C73" w14:textId="77777777" w:rsidTr="00E11501">
        <w:trPr>
          <w:trHeight w:val="284"/>
        </w:trPr>
        <w:tc>
          <w:tcPr>
            <w:tcW w:w="2211" w:type="dxa"/>
            <w:tcBorders>
              <w:top w:val="nil"/>
              <w:left w:val="nil"/>
              <w:bottom w:val="single" w:sz="8" w:space="0" w:color="0077BD"/>
              <w:right w:val="single" w:sz="8" w:space="0" w:color="0077BD"/>
            </w:tcBorders>
            <w:shd w:val="clear" w:color="auto" w:fill="auto"/>
            <w:vAlign w:val="center"/>
            <w:hideMark/>
          </w:tcPr>
          <w:p w14:paraId="5C3707E7" w14:textId="77777777" w:rsidR="0042125C" w:rsidRPr="00BB7C9E" w:rsidRDefault="0042125C" w:rsidP="0042125C">
            <w:pPr>
              <w:rPr>
                <w:rFonts w:cs="Calibri"/>
                <w:color w:val="000000" w:themeColor="text1"/>
                <w:sz w:val="11"/>
                <w:szCs w:val="11"/>
              </w:rPr>
            </w:pPr>
            <w:r w:rsidRPr="00BB7C9E">
              <w:rPr>
                <w:rFonts w:cs="Calibri"/>
                <w:color w:val="000000" w:themeColor="text1"/>
                <w:sz w:val="11"/>
                <w:szCs w:val="11"/>
              </w:rPr>
              <w:t>Długoterminowe (ponad 1 rok) brutto</w:t>
            </w:r>
          </w:p>
        </w:tc>
        <w:tc>
          <w:tcPr>
            <w:tcW w:w="822" w:type="dxa"/>
            <w:tcBorders>
              <w:top w:val="nil"/>
              <w:left w:val="nil"/>
              <w:bottom w:val="single" w:sz="8" w:space="0" w:color="0077BD"/>
              <w:right w:val="nil"/>
            </w:tcBorders>
            <w:shd w:val="clear" w:color="auto" w:fill="auto"/>
            <w:vAlign w:val="center"/>
            <w:hideMark/>
          </w:tcPr>
          <w:p w14:paraId="463719D6" w14:textId="77777777" w:rsidR="0042125C" w:rsidRPr="00BB7C9E" w:rsidRDefault="0042125C" w:rsidP="0042125C">
            <w:pPr>
              <w:jc w:val="right"/>
              <w:rPr>
                <w:rFonts w:cs="Calibri"/>
                <w:color w:val="000000" w:themeColor="text1"/>
                <w:sz w:val="11"/>
                <w:szCs w:val="11"/>
              </w:rPr>
            </w:pPr>
            <w:r w:rsidRPr="00BB7C9E">
              <w:rPr>
                <w:rFonts w:cs="Calibri"/>
                <w:color w:val="000000" w:themeColor="text1"/>
                <w:sz w:val="11"/>
                <w:szCs w:val="11"/>
              </w:rPr>
              <w:t>69 030 255</w:t>
            </w:r>
          </w:p>
        </w:tc>
        <w:tc>
          <w:tcPr>
            <w:tcW w:w="822" w:type="dxa"/>
            <w:tcBorders>
              <w:top w:val="nil"/>
              <w:left w:val="nil"/>
              <w:bottom w:val="nil"/>
              <w:right w:val="nil"/>
            </w:tcBorders>
            <w:shd w:val="clear" w:color="000000" w:fill="FFFFFF"/>
            <w:noWrap/>
            <w:vAlign w:val="bottom"/>
          </w:tcPr>
          <w:p w14:paraId="4AE6F651" w14:textId="1034147A"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19845785" w14:textId="65A89A4B"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51E57D8" w14:textId="77E9F6A9"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781CBABA" w14:textId="158DB1C8"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013479CB" w14:textId="021C5FA3"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5311CEA" w14:textId="761AEDA9"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582F1161" w14:textId="568CE430" w:rsidR="0042125C" w:rsidRPr="00BB7C9E" w:rsidRDefault="0042125C" w:rsidP="0042125C">
            <w:pPr>
              <w:rPr>
                <w:rFonts w:cs="Calibri"/>
                <w:color w:val="000000" w:themeColor="text1"/>
                <w:sz w:val="11"/>
                <w:szCs w:val="11"/>
              </w:rPr>
            </w:pPr>
          </w:p>
        </w:tc>
        <w:tc>
          <w:tcPr>
            <w:tcW w:w="822" w:type="dxa"/>
            <w:tcBorders>
              <w:top w:val="nil"/>
              <w:left w:val="nil"/>
              <w:bottom w:val="nil"/>
              <w:right w:val="nil"/>
            </w:tcBorders>
            <w:shd w:val="clear" w:color="000000" w:fill="FFFFFF"/>
            <w:noWrap/>
            <w:vAlign w:val="bottom"/>
          </w:tcPr>
          <w:p w14:paraId="20BA8969" w14:textId="7FAE234B" w:rsidR="0042125C" w:rsidRPr="00BB7C9E" w:rsidRDefault="0042125C" w:rsidP="0042125C">
            <w:pPr>
              <w:rPr>
                <w:rFonts w:cs="Calibri"/>
                <w:color w:val="000000" w:themeColor="text1"/>
                <w:sz w:val="11"/>
                <w:szCs w:val="11"/>
              </w:rPr>
            </w:pPr>
          </w:p>
        </w:tc>
      </w:tr>
    </w:tbl>
    <w:p w14:paraId="6A40A9E6" w14:textId="35F88285" w:rsidR="00D70E9A" w:rsidRDefault="00D70E9A" w:rsidP="00D70E9A">
      <w:pPr>
        <w:spacing w:before="120"/>
        <w:jc w:val="both"/>
        <w:rPr>
          <w:rFonts w:cs="Tahoma"/>
          <w:color w:val="000000" w:themeColor="text1"/>
          <w:sz w:val="18"/>
          <w:szCs w:val="18"/>
        </w:rPr>
      </w:pPr>
      <w:r w:rsidRPr="00BB7C9E">
        <w:rPr>
          <w:rFonts w:cs="Tahoma"/>
          <w:color w:val="000000" w:themeColor="text1"/>
          <w:sz w:val="18"/>
          <w:szCs w:val="18"/>
        </w:rPr>
        <w:t>Powyższa nota obejmuje obligacje rządowe pod zastaw Bankowego Funduszu Gwarancyjnego (BFG) oraz</w:t>
      </w:r>
      <w:r w:rsidR="00185A7E">
        <w:rPr>
          <w:rFonts w:cs="Tahoma"/>
          <w:color w:val="000000" w:themeColor="text1"/>
          <w:sz w:val="18"/>
          <w:szCs w:val="18"/>
        </w:rPr>
        <w:t> </w:t>
      </w:r>
      <w:r w:rsidRPr="00BB7C9E">
        <w:rPr>
          <w:rFonts w:cs="Tahoma"/>
          <w:color w:val="000000" w:themeColor="text1"/>
          <w:sz w:val="18"/>
          <w:szCs w:val="18"/>
        </w:rPr>
        <w:t>obligacje rządowe stanowiące zabezpieczenie kredytu otrzymanego z Europejskiego Banku Inwestycyjnego.</w:t>
      </w:r>
      <w:r w:rsidR="00CB7712">
        <w:rPr>
          <w:rFonts w:cs="Tahoma"/>
          <w:color w:val="000000" w:themeColor="text1"/>
          <w:sz w:val="18"/>
          <w:szCs w:val="18"/>
        </w:rPr>
        <w:t xml:space="preserve"> </w:t>
      </w:r>
    </w:p>
    <w:p w14:paraId="67FC7188" w14:textId="3A84D7C9" w:rsidR="00CB7712" w:rsidRPr="00BB7C9E" w:rsidRDefault="002523CC" w:rsidP="00CB7712">
      <w:pPr>
        <w:spacing w:before="120"/>
        <w:jc w:val="both"/>
        <w:rPr>
          <w:rFonts w:cs="Tahoma"/>
          <w:color w:val="000000" w:themeColor="text1"/>
          <w:sz w:val="18"/>
          <w:szCs w:val="18"/>
        </w:rPr>
      </w:pPr>
      <w:r>
        <w:rPr>
          <w:rFonts w:cs="Tahoma"/>
          <w:color w:val="000000" w:themeColor="text1"/>
          <w:sz w:val="18"/>
          <w:szCs w:val="18"/>
        </w:rPr>
        <w:t>Dodatkowo Grupa</w:t>
      </w:r>
      <w:r w:rsidR="00CB7712" w:rsidRPr="007A5B53">
        <w:rPr>
          <w:rFonts w:cs="Tahoma"/>
          <w:color w:val="000000" w:themeColor="text1"/>
          <w:sz w:val="18"/>
          <w:szCs w:val="18"/>
        </w:rPr>
        <w:t xml:space="preserve"> posiada obligacje skarbowe stanowiące zabezpieczenie zobowiązania do zapłaty na</w:t>
      </w:r>
      <w:r w:rsidR="00BE6938">
        <w:rPr>
          <w:rFonts w:cs="Tahoma"/>
          <w:color w:val="000000" w:themeColor="text1"/>
          <w:sz w:val="18"/>
          <w:szCs w:val="18"/>
        </w:rPr>
        <w:t> </w:t>
      </w:r>
      <w:r w:rsidR="00CB7712" w:rsidRPr="007A5B53">
        <w:rPr>
          <w:rFonts w:cs="Tahoma"/>
          <w:color w:val="000000" w:themeColor="text1"/>
          <w:sz w:val="18"/>
          <w:szCs w:val="18"/>
        </w:rPr>
        <w:t>fundusz gwarancyjny i fundusz przymusowej res</w:t>
      </w:r>
      <w:r w:rsidR="009F3808">
        <w:rPr>
          <w:rFonts w:cs="Tahoma"/>
          <w:color w:val="000000" w:themeColor="text1"/>
          <w:sz w:val="18"/>
          <w:szCs w:val="18"/>
        </w:rPr>
        <w:t>trukturyzacji BFG w wysokości 155</w:t>
      </w:r>
      <w:r w:rsidR="00CB7712" w:rsidRPr="007A5B53">
        <w:rPr>
          <w:rFonts w:cs="Tahoma"/>
          <w:color w:val="000000" w:themeColor="text1"/>
          <w:sz w:val="18"/>
          <w:szCs w:val="18"/>
        </w:rPr>
        <w:t> </w:t>
      </w:r>
      <w:r w:rsidR="009F3808">
        <w:rPr>
          <w:rFonts w:cs="Tahoma"/>
          <w:color w:val="000000" w:themeColor="text1"/>
          <w:sz w:val="18"/>
          <w:szCs w:val="18"/>
        </w:rPr>
        <w:t>531</w:t>
      </w:r>
      <w:r w:rsidR="00CB7712" w:rsidRPr="007A5B53">
        <w:rPr>
          <w:rFonts w:cs="Tahoma"/>
          <w:color w:val="000000" w:themeColor="text1"/>
          <w:sz w:val="18"/>
          <w:szCs w:val="18"/>
        </w:rPr>
        <w:t xml:space="preserve"> tys. zł (31</w:t>
      </w:r>
      <w:r w:rsidR="00BE6938">
        <w:rPr>
          <w:rFonts w:cs="Tahoma"/>
          <w:color w:val="000000" w:themeColor="text1"/>
          <w:sz w:val="18"/>
          <w:szCs w:val="18"/>
        </w:rPr>
        <w:t> </w:t>
      </w:r>
      <w:r w:rsidR="00CB7712" w:rsidRPr="007A5B53">
        <w:rPr>
          <w:rFonts w:cs="Tahoma"/>
          <w:color w:val="000000" w:themeColor="text1"/>
          <w:sz w:val="18"/>
          <w:szCs w:val="18"/>
        </w:rPr>
        <w:t>grudnia 2018 r</w:t>
      </w:r>
      <w:r w:rsidR="00AC25CE">
        <w:rPr>
          <w:rFonts w:cs="Tahoma"/>
          <w:color w:val="000000" w:themeColor="text1"/>
          <w:sz w:val="18"/>
          <w:szCs w:val="18"/>
        </w:rPr>
        <w:t>oku</w:t>
      </w:r>
      <w:r w:rsidR="00CB7712" w:rsidRPr="007A5B53">
        <w:rPr>
          <w:rFonts w:cs="Tahoma"/>
          <w:color w:val="000000" w:themeColor="text1"/>
          <w:sz w:val="18"/>
          <w:szCs w:val="18"/>
        </w:rPr>
        <w:t xml:space="preserve"> – 70 312 tys. zł).</w:t>
      </w:r>
    </w:p>
    <w:p w14:paraId="0AEC8032" w14:textId="77777777" w:rsidR="00F248AC" w:rsidRPr="000971E5" w:rsidRDefault="00F248AC" w:rsidP="00E51A64">
      <w:pPr>
        <w:spacing w:before="120"/>
        <w:rPr>
          <w:b/>
          <w:color w:val="E41E0A"/>
          <w:sz w:val="18"/>
          <w:szCs w:val="18"/>
        </w:rPr>
      </w:pPr>
      <w:r w:rsidRPr="000971E5">
        <w:rPr>
          <w:b/>
          <w:color w:val="E41E0A"/>
          <w:sz w:val="18"/>
          <w:szCs w:val="18"/>
        </w:rPr>
        <w:t>Należności od banków</w:t>
      </w:r>
    </w:p>
    <w:p w14:paraId="029D8A25" w14:textId="620ECD1A" w:rsidR="00581822" w:rsidRDefault="00581822" w:rsidP="00971F27">
      <w:pPr>
        <w:jc w:val="both"/>
        <w:rPr>
          <w:noProof/>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71F27" w:rsidRPr="00971F27" w14:paraId="0088FC9F" w14:textId="77777777" w:rsidTr="000F0C79">
        <w:trPr>
          <w:trHeight w:val="284"/>
        </w:trPr>
        <w:tc>
          <w:tcPr>
            <w:tcW w:w="6747" w:type="dxa"/>
            <w:tcBorders>
              <w:top w:val="nil"/>
              <w:left w:val="nil"/>
              <w:bottom w:val="nil"/>
              <w:right w:val="single" w:sz="8" w:space="0" w:color="FFFFFF"/>
            </w:tcBorders>
            <w:shd w:val="clear" w:color="000000" w:fill="0077BD"/>
            <w:noWrap/>
            <w:vAlign w:val="center"/>
            <w:hideMark/>
          </w:tcPr>
          <w:p w14:paraId="71F2BAF0" w14:textId="77777777" w:rsidR="00971F27" w:rsidRPr="00971F27" w:rsidRDefault="00971F27" w:rsidP="00971F27">
            <w:pPr>
              <w:rPr>
                <w:rFonts w:cs="Calibri"/>
                <w:color w:val="99CCFF"/>
                <w:sz w:val="13"/>
                <w:szCs w:val="13"/>
              </w:rPr>
            </w:pPr>
            <w:r w:rsidRPr="00971F27">
              <w:rPr>
                <w:rFonts w:cs="Calibri"/>
                <w:color w:val="99CCFF"/>
                <w:sz w:val="13"/>
                <w:szCs w:val="13"/>
              </w:rPr>
              <w:t> </w:t>
            </w:r>
          </w:p>
        </w:tc>
        <w:tc>
          <w:tcPr>
            <w:tcW w:w="1418" w:type="dxa"/>
            <w:tcBorders>
              <w:top w:val="nil"/>
              <w:left w:val="nil"/>
              <w:bottom w:val="nil"/>
              <w:right w:val="nil"/>
            </w:tcBorders>
            <w:shd w:val="clear" w:color="000000" w:fill="0077BD"/>
            <w:vAlign w:val="center"/>
            <w:hideMark/>
          </w:tcPr>
          <w:p w14:paraId="07FA8FEA" w14:textId="77777777" w:rsidR="00971F27" w:rsidRPr="00971F27" w:rsidRDefault="00971F27" w:rsidP="00971F27">
            <w:pPr>
              <w:jc w:val="right"/>
              <w:rPr>
                <w:rFonts w:cs="Calibri"/>
                <w:b/>
                <w:bCs/>
                <w:color w:val="FFFFFF"/>
                <w:sz w:val="13"/>
                <w:szCs w:val="13"/>
              </w:rPr>
            </w:pPr>
            <w:r w:rsidRPr="00971F27">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vAlign w:val="center"/>
            <w:hideMark/>
          </w:tcPr>
          <w:p w14:paraId="326FA7E6" w14:textId="77777777" w:rsidR="00971F27" w:rsidRPr="00971F27" w:rsidRDefault="00971F27" w:rsidP="00971F27">
            <w:pPr>
              <w:jc w:val="right"/>
              <w:rPr>
                <w:rFonts w:cs="Calibri"/>
                <w:b/>
                <w:bCs/>
                <w:color w:val="FFFFFF"/>
                <w:sz w:val="13"/>
                <w:szCs w:val="13"/>
              </w:rPr>
            </w:pPr>
            <w:r w:rsidRPr="00971F27">
              <w:rPr>
                <w:rFonts w:cs="Calibri"/>
                <w:b/>
                <w:bCs/>
                <w:color w:val="FFFFFF"/>
                <w:sz w:val="13"/>
                <w:szCs w:val="13"/>
              </w:rPr>
              <w:t>31.12.2018</w:t>
            </w:r>
          </w:p>
        </w:tc>
      </w:tr>
      <w:tr w:rsidR="000F0C79" w:rsidRPr="00BB7C9E" w14:paraId="7A72C285" w14:textId="77777777" w:rsidTr="000F0C79">
        <w:trPr>
          <w:trHeight w:val="284"/>
        </w:trPr>
        <w:tc>
          <w:tcPr>
            <w:tcW w:w="6747" w:type="dxa"/>
            <w:tcBorders>
              <w:top w:val="single" w:sz="8" w:space="0" w:color="0077BD"/>
              <w:left w:val="nil"/>
              <w:bottom w:val="nil"/>
              <w:right w:val="single" w:sz="8" w:space="0" w:color="0077BD"/>
            </w:tcBorders>
            <w:shd w:val="clear" w:color="auto" w:fill="auto"/>
            <w:vAlign w:val="center"/>
            <w:hideMark/>
          </w:tcPr>
          <w:p w14:paraId="22501FFA" w14:textId="77777777" w:rsidR="000F0C79" w:rsidRPr="00BB7C9E" w:rsidRDefault="000F0C79" w:rsidP="000F0C79">
            <w:pPr>
              <w:rPr>
                <w:rFonts w:cs="Calibri"/>
                <w:color w:val="000000" w:themeColor="text1"/>
                <w:sz w:val="13"/>
                <w:szCs w:val="13"/>
              </w:rPr>
            </w:pPr>
            <w:r w:rsidRPr="00BB7C9E">
              <w:rPr>
                <w:rFonts w:cs="Calibri"/>
                <w:color w:val="000000" w:themeColor="text1"/>
                <w:sz w:val="13"/>
                <w:szCs w:val="13"/>
              </w:rPr>
              <w:t>Rachunki bieżące</w:t>
            </w:r>
          </w:p>
        </w:tc>
        <w:tc>
          <w:tcPr>
            <w:tcW w:w="1418" w:type="dxa"/>
            <w:tcBorders>
              <w:top w:val="single" w:sz="8" w:space="0" w:color="0077BD"/>
              <w:left w:val="single" w:sz="8" w:space="0" w:color="0077BD"/>
              <w:bottom w:val="nil"/>
              <w:right w:val="nil"/>
            </w:tcBorders>
            <w:shd w:val="clear" w:color="auto" w:fill="auto"/>
            <w:noWrap/>
            <w:vAlign w:val="center"/>
          </w:tcPr>
          <w:p w14:paraId="76E786D8" w14:textId="6CAE732D"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336 178</w:t>
            </w:r>
          </w:p>
        </w:tc>
        <w:tc>
          <w:tcPr>
            <w:tcW w:w="1418" w:type="dxa"/>
            <w:tcBorders>
              <w:top w:val="single" w:sz="8" w:space="0" w:color="0077BD"/>
              <w:left w:val="single" w:sz="8" w:space="0" w:color="0077BD"/>
              <w:bottom w:val="nil"/>
              <w:right w:val="nil"/>
            </w:tcBorders>
            <w:shd w:val="clear" w:color="auto" w:fill="auto"/>
            <w:noWrap/>
            <w:vAlign w:val="center"/>
            <w:hideMark/>
          </w:tcPr>
          <w:p w14:paraId="2B2D0DAF" w14:textId="77777777"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417 968</w:t>
            </w:r>
          </w:p>
        </w:tc>
      </w:tr>
      <w:tr w:rsidR="000F0C79" w:rsidRPr="00BB7C9E" w14:paraId="6C299E75" w14:textId="77777777" w:rsidTr="000F0C79">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1F9D6141" w14:textId="00B37B42" w:rsidR="000F0C79" w:rsidRPr="00BB7C9E" w:rsidRDefault="00D010FA" w:rsidP="000F0C79">
            <w:pPr>
              <w:rPr>
                <w:rFonts w:cs="Calibri"/>
                <w:color w:val="000000" w:themeColor="text1"/>
                <w:sz w:val="13"/>
                <w:szCs w:val="13"/>
              </w:rPr>
            </w:pPr>
            <w:r>
              <w:rPr>
                <w:rFonts w:cs="Calibri"/>
                <w:color w:val="000000" w:themeColor="text1"/>
                <w:sz w:val="13"/>
                <w:szCs w:val="13"/>
              </w:rPr>
              <w:t>Lokaty w innych bankach do 3</w:t>
            </w:r>
            <w:r w:rsidR="000F0C79" w:rsidRPr="00BB7C9E">
              <w:rPr>
                <w:rFonts w:cs="Calibri"/>
                <w:color w:val="000000" w:themeColor="text1"/>
                <w:sz w:val="13"/>
                <w:szCs w:val="13"/>
              </w:rPr>
              <w:t xml:space="preserve"> miesięcy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3A8B4AE" w14:textId="7B85859F"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46 200</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2A286EA6" w14:textId="77777777"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265 443</w:t>
            </w:r>
          </w:p>
        </w:tc>
      </w:tr>
      <w:tr w:rsidR="000F0C79" w:rsidRPr="00BB7C9E" w14:paraId="03A2489B" w14:textId="77777777" w:rsidTr="000F0C79">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3B0EBA3" w14:textId="7737AAF0" w:rsidR="000F0C79" w:rsidRPr="00BB7C9E" w:rsidRDefault="000F0C79" w:rsidP="000F0C79">
            <w:pPr>
              <w:rPr>
                <w:rFonts w:cs="Calibri"/>
                <w:b/>
                <w:bCs/>
                <w:color w:val="000000" w:themeColor="text1"/>
                <w:sz w:val="13"/>
                <w:szCs w:val="13"/>
              </w:rPr>
            </w:pPr>
            <w:r w:rsidRPr="00BB7C9E">
              <w:rPr>
                <w:rFonts w:cs="Calibri"/>
                <w:b/>
                <w:bCs/>
                <w:color w:val="000000" w:themeColor="text1"/>
                <w:sz w:val="13"/>
                <w:szCs w:val="13"/>
              </w:rPr>
              <w:t>Ujęte w ekwiwalent</w:t>
            </w:r>
            <w:r w:rsidR="00164AFE">
              <w:rPr>
                <w:rFonts w:cs="Calibri"/>
                <w:b/>
                <w:bCs/>
                <w:color w:val="000000" w:themeColor="text1"/>
                <w:sz w:val="13"/>
                <w:szCs w:val="13"/>
              </w:rPr>
              <w:t>ach środków pieniężnych (Nota 40</w:t>
            </w:r>
            <w:r w:rsidRPr="00BB7C9E">
              <w:rPr>
                <w:rFonts w:cs="Calibri"/>
                <w:b/>
                <w:b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054C8CE2" w14:textId="4C6423C4"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382 378</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4C56436" w14:textId="77777777"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683 411</w:t>
            </w:r>
          </w:p>
        </w:tc>
      </w:tr>
      <w:tr w:rsidR="000F0C79" w:rsidRPr="00BB7C9E" w14:paraId="59446BB7" w14:textId="77777777" w:rsidTr="000F0C79">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03C825C0" w14:textId="77777777" w:rsidR="000F0C79" w:rsidRPr="00BB7C9E" w:rsidRDefault="000F0C79" w:rsidP="000F0C79">
            <w:pPr>
              <w:rPr>
                <w:rFonts w:cs="Calibri"/>
                <w:color w:val="000000" w:themeColor="text1"/>
                <w:sz w:val="13"/>
                <w:szCs w:val="13"/>
              </w:rPr>
            </w:pPr>
            <w:r w:rsidRPr="00BB7C9E">
              <w:rPr>
                <w:rFonts w:cs="Calibri"/>
                <w:color w:val="000000" w:themeColor="text1"/>
                <w:sz w:val="13"/>
                <w:szCs w:val="13"/>
              </w:rPr>
              <w:t>Kredyty i pożyczki</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305CD625" w14:textId="38BCEB8C"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150 251</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74902766" w14:textId="77777777"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138 483</w:t>
            </w:r>
          </w:p>
        </w:tc>
      </w:tr>
      <w:tr w:rsidR="004076E4" w:rsidRPr="00BB7C9E" w14:paraId="2F8DC876" w14:textId="77777777" w:rsidTr="000F0C79">
        <w:trPr>
          <w:trHeight w:val="284"/>
        </w:trPr>
        <w:tc>
          <w:tcPr>
            <w:tcW w:w="6747" w:type="dxa"/>
            <w:tcBorders>
              <w:top w:val="nil"/>
              <w:left w:val="nil"/>
              <w:bottom w:val="single" w:sz="4" w:space="0" w:color="0077BD"/>
              <w:right w:val="single" w:sz="8" w:space="0" w:color="0077BD"/>
            </w:tcBorders>
            <w:shd w:val="clear" w:color="auto" w:fill="auto"/>
            <w:vAlign w:val="center"/>
          </w:tcPr>
          <w:p w14:paraId="63FE01DF" w14:textId="74B01F01" w:rsidR="004076E4" w:rsidRPr="00BB7C9E" w:rsidRDefault="00E92BD0" w:rsidP="000F0C79">
            <w:pPr>
              <w:rPr>
                <w:rFonts w:cs="Calibri"/>
                <w:color w:val="000000" w:themeColor="text1"/>
                <w:sz w:val="13"/>
                <w:szCs w:val="13"/>
                <w:lang w:val="en-US"/>
              </w:rPr>
            </w:pPr>
            <w:r>
              <w:rPr>
                <w:rFonts w:cs="Calibri"/>
                <w:color w:val="000000" w:themeColor="text1"/>
                <w:sz w:val="13"/>
                <w:szCs w:val="13"/>
                <w:lang w:val="en-US"/>
              </w:rPr>
              <w:t>Transakcje reverse repo lub buy/</w:t>
            </w:r>
            <w:r w:rsidR="004076E4" w:rsidRPr="00BB7C9E">
              <w:rPr>
                <w:rFonts w:cs="Calibri"/>
                <w:color w:val="000000" w:themeColor="text1"/>
                <w:sz w:val="13"/>
                <w:szCs w:val="13"/>
                <w:lang w:val="en-US"/>
              </w:rPr>
              <w:t>sell back</w:t>
            </w:r>
          </w:p>
        </w:tc>
        <w:tc>
          <w:tcPr>
            <w:tcW w:w="1418" w:type="dxa"/>
            <w:tcBorders>
              <w:top w:val="nil"/>
              <w:left w:val="single" w:sz="8" w:space="0" w:color="0077BD"/>
              <w:bottom w:val="single" w:sz="4" w:space="0" w:color="0077BD"/>
              <w:right w:val="nil"/>
            </w:tcBorders>
            <w:shd w:val="clear" w:color="auto" w:fill="auto"/>
            <w:noWrap/>
            <w:vAlign w:val="center"/>
          </w:tcPr>
          <w:p w14:paraId="229AC1C6" w14:textId="396564C2" w:rsidR="004076E4" w:rsidRPr="00BB7C9E" w:rsidRDefault="004076E4" w:rsidP="000F0C79">
            <w:pPr>
              <w:jc w:val="right"/>
              <w:rPr>
                <w:rFonts w:cs="Calibri"/>
                <w:color w:val="000000" w:themeColor="text1"/>
                <w:sz w:val="13"/>
                <w:szCs w:val="13"/>
                <w:lang w:val="en-US"/>
              </w:rPr>
            </w:pPr>
            <w:r w:rsidRPr="00BB7C9E">
              <w:rPr>
                <w:rFonts w:cs="Calibri"/>
                <w:color w:val="000000" w:themeColor="text1"/>
                <w:sz w:val="13"/>
                <w:szCs w:val="13"/>
                <w:lang w:val="en-US"/>
              </w:rPr>
              <w:t>3 362 331</w:t>
            </w:r>
          </w:p>
        </w:tc>
        <w:tc>
          <w:tcPr>
            <w:tcW w:w="1418" w:type="dxa"/>
            <w:tcBorders>
              <w:top w:val="nil"/>
              <w:left w:val="single" w:sz="8" w:space="0" w:color="0077BD"/>
              <w:bottom w:val="single" w:sz="4" w:space="0" w:color="0077BD"/>
              <w:right w:val="nil"/>
            </w:tcBorders>
            <w:shd w:val="clear" w:color="auto" w:fill="auto"/>
            <w:noWrap/>
            <w:vAlign w:val="center"/>
          </w:tcPr>
          <w:p w14:paraId="260882C7" w14:textId="63EE0C57" w:rsidR="004076E4" w:rsidRPr="00BB7C9E" w:rsidRDefault="004076E4" w:rsidP="000F0C79">
            <w:pPr>
              <w:jc w:val="right"/>
              <w:rPr>
                <w:rFonts w:cs="Calibri"/>
                <w:color w:val="000000" w:themeColor="text1"/>
                <w:sz w:val="13"/>
                <w:szCs w:val="13"/>
                <w:lang w:val="en-US"/>
              </w:rPr>
            </w:pPr>
            <w:r w:rsidRPr="00BB7C9E">
              <w:rPr>
                <w:rFonts w:cs="Calibri"/>
                <w:color w:val="000000" w:themeColor="text1"/>
                <w:sz w:val="13"/>
                <w:szCs w:val="13"/>
                <w:lang w:val="en-US"/>
              </w:rPr>
              <w:t>1 217 595</w:t>
            </w:r>
          </w:p>
        </w:tc>
      </w:tr>
      <w:tr w:rsidR="000F0C79" w:rsidRPr="00BB7C9E" w14:paraId="74EA2EB7" w14:textId="77777777" w:rsidTr="000F0C7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0E52878" w14:textId="77777777" w:rsidR="000F0C79" w:rsidRPr="00BB7C9E" w:rsidRDefault="000F0C79" w:rsidP="000F0C79">
            <w:pPr>
              <w:rPr>
                <w:rFonts w:cs="Calibri"/>
                <w:color w:val="000000" w:themeColor="text1"/>
                <w:sz w:val="13"/>
                <w:szCs w:val="13"/>
              </w:rPr>
            </w:pPr>
            <w:r w:rsidRPr="00BB7C9E">
              <w:rPr>
                <w:rFonts w:cs="Calibri"/>
                <w:color w:val="000000" w:themeColor="text1"/>
                <w:sz w:val="13"/>
                <w:szCs w:val="13"/>
              </w:rPr>
              <w:t>Inne należności</w:t>
            </w:r>
          </w:p>
        </w:tc>
        <w:tc>
          <w:tcPr>
            <w:tcW w:w="1418" w:type="dxa"/>
            <w:tcBorders>
              <w:top w:val="nil"/>
              <w:left w:val="single" w:sz="8" w:space="0" w:color="0077BD"/>
              <w:bottom w:val="single" w:sz="4" w:space="0" w:color="0077BD"/>
              <w:right w:val="nil"/>
            </w:tcBorders>
            <w:shd w:val="clear" w:color="auto" w:fill="auto"/>
            <w:noWrap/>
            <w:vAlign w:val="center"/>
          </w:tcPr>
          <w:p w14:paraId="624E4707" w14:textId="3D59CF4C" w:rsidR="000F0C79" w:rsidRPr="00BB7C9E" w:rsidRDefault="004076E4" w:rsidP="004076E4">
            <w:pPr>
              <w:jc w:val="right"/>
              <w:rPr>
                <w:rFonts w:cs="Calibri"/>
                <w:color w:val="000000" w:themeColor="text1"/>
                <w:sz w:val="13"/>
                <w:szCs w:val="13"/>
              </w:rPr>
            </w:pPr>
            <w:r w:rsidRPr="00BB7C9E">
              <w:rPr>
                <w:rFonts w:cs="Calibri"/>
                <w:color w:val="000000" w:themeColor="text1"/>
                <w:sz w:val="13"/>
                <w:szCs w:val="13"/>
              </w:rPr>
              <w:t>447</w:t>
            </w:r>
            <w:r w:rsidR="000F0C79" w:rsidRPr="00BB7C9E">
              <w:rPr>
                <w:rFonts w:cs="Calibri"/>
                <w:color w:val="000000" w:themeColor="text1"/>
                <w:sz w:val="13"/>
                <w:szCs w:val="13"/>
              </w:rPr>
              <w:t xml:space="preserve"> </w:t>
            </w:r>
            <w:r w:rsidRPr="00BB7C9E">
              <w:rPr>
                <w:rFonts w:cs="Calibri"/>
                <w:color w:val="000000" w:themeColor="text1"/>
                <w:sz w:val="13"/>
                <w:szCs w:val="13"/>
              </w:rPr>
              <w:t>930</w:t>
            </w:r>
          </w:p>
        </w:tc>
        <w:tc>
          <w:tcPr>
            <w:tcW w:w="1418" w:type="dxa"/>
            <w:tcBorders>
              <w:top w:val="nil"/>
              <w:left w:val="single" w:sz="8" w:space="0" w:color="0077BD"/>
              <w:bottom w:val="single" w:sz="4" w:space="0" w:color="0077BD"/>
              <w:right w:val="nil"/>
            </w:tcBorders>
            <w:shd w:val="clear" w:color="auto" w:fill="auto"/>
            <w:noWrap/>
            <w:vAlign w:val="center"/>
            <w:hideMark/>
          </w:tcPr>
          <w:p w14:paraId="7007C3A9" w14:textId="3E9F044C" w:rsidR="000F0C79" w:rsidRPr="00BB7C9E" w:rsidRDefault="004076E4" w:rsidP="000F0C79">
            <w:pPr>
              <w:jc w:val="right"/>
              <w:rPr>
                <w:rFonts w:cs="Calibri"/>
                <w:color w:val="000000" w:themeColor="text1"/>
                <w:sz w:val="13"/>
                <w:szCs w:val="13"/>
              </w:rPr>
            </w:pPr>
            <w:r w:rsidRPr="00BB7C9E">
              <w:rPr>
                <w:rFonts w:cs="Calibri"/>
                <w:color w:val="000000" w:themeColor="text1"/>
                <w:sz w:val="13"/>
                <w:szCs w:val="13"/>
              </w:rPr>
              <w:t>508 375</w:t>
            </w:r>
          </w:p>
        </w:tc>
      </w:tr>
      <w:tr w:rsidR="000F0C79" w:rsidRPr="00BB7C9E" w14:paraId="23B1F45A" w14:textId="77777777" w:rsidTr="000F0C79">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70F1A4A" w14:textId="77777777" w:rsidR="000F0C79" w:rsidRPr="00BB7C9E" w:rsidRDefault="000F0C79" w:rsidP="000F0C79">
            <w:pPr>
              <w:rPr>
                <w:rFonts w:cs="Calibri"/>
                <w:b/>
                <w:bCs/>
                <w:color w:val="000000" w:themeColor="text1"/>
                <w:sz w:val="13"/>
                <w:szCs w:val="13"/>
              </w:rPr>
            </w:pPr>
            <w:r w:rsidRPr="00BB7C9E">
              <w:rPr>
                <w:rFonts w:cs="Calibri"/>
                <w:b/>
                <w:bCs/>
                <w:color w:val="000000" w:themeColor="text1"/>
                <w:sz w:val="13"/>
                <w:szCs w:val="13"/>
              </w:rPr>
              <w:t>Należności (brutto) od banków,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97073CD" w14:textId="56195312"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4 342 890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A178764" w14:textId="77777777"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2 547 864</w:t>
            </w:r>
          </w:p>
        </w:tc>
      </w:tr>
      <w:tr w:rsidR="000F0C79" w:rsidRPr="00BB7C9E" w14:paraId="39DFAE23" w14:textId="77777777" w:rsidTr="000F0C7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CF7DF2F" w14:textId="77777777" w:rsidR="000F0C79" w:rsidRPr="00BB7C9E" w:rsidRDefault="000F0C79" w:rsidP="000F0C79">
            <w:pPr>
              <w:rPr>
                <w:rFonts w:cs="Calibri"/>
                <w:b/>
                <w:bCs/>
                <w:color w:val="000000" w:themeColor="text1"/>
                <w:sz w:val="13"/>
                <w:szCs w:val="13"/>
              </w:rPr>
            </w:pPr>
            <w:r w:rsidRPr="00BB7C9E">
              <w:rPr>
                <w:rFonts w:cs="Calibri"/>
                <w:b/>
                <w:bCs/>
                <w:color w:val="000000" w:themeColor="text1"/>
                <w:sz w:val="13"/>
                <w:szCs w:val="13"/>
              </w:rPr>
              <w:t>Rezerwa utworzona na należności od banków (wielkość ujemna)</w:t>
            </w:r>
          </w:p>
        </w:tc>
        <w:tc>
          <w:tcPr>
            <w:tcW w:w="1418" w:type="dxa"/>
            <w:tcBorders>
              <w:top w:val="nil"/>
              <w:left w:val="single" w:sz="8" w:space="0" w:color="0077BD"/>
              <w:bottom w:val="single" w:sz="8" w:space="0" w:color="0077BD"/>
              <w:right w:val="nil"/>
            </w:tcBorders>
            <w:shd w:val="clear" w:color="auto" w:fill="auto"/>
            <w:noWrap/>
            <w:vAlign w:val="center"/>
          </w:tcPr>
          <w:p w14:paraId="4C39FAA5" w14:textId="2494B7A7"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(1 132)</w:t>
            </w:r>
          </w:p>
        </w:tc>
        <w:tc>
          <w:tcPr>
            <w:tcW w:w="1418" w:type="dxa"/>
            <w:tcBorders>
              <w:top w:val="nil"/>
              <w:left w:val="single" w:sz="8" w:space="0" w:color="0077BD"/>
              <w:bottom w:val="single" w:sz="8" w:space="0" w:color="0077BD"/>
              <w:right w:val="nil"/>
            </w:tcBorders>
            <w:shd w:val="clear" w:color="auto" w:fill="auto"/>
            <w:noWrap/>
            <w:vAlign w:val="center"/>
            <w:hideMark/>
          </w:tcPr>
          <w:p w14:paraId="67516D6C" w14:textId="77777777"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(1 518)</w:t>
            </w:r>
          </w:p>
        </w:tc>
      </w:tr>
      <w:tr w:rsidR="000F0C79" w:rsidRPr="00BB7C9E" w14:paraId="1924B79F" w14:textId="77777777" w:rsidTr="000F0C7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55284FC0" w14:textId="0AC0CA8D" w:rsidR="000F0C79" w:rsidRPr="00BB7C9E" w:rsidRDefault="000F0C79" w:rsidP="00C10010">
            <w:pPr>
              <w:rPr>
                <w:rFonts w:cs="Calibri"/>
                <w:b/>
                <w:bCs/>
                <w:color w:val="000000" w:themeColor="text1"/>
                <w:sz w:val="13"/>
                <w:szCs w:val="13"/>
              </w:rPr>
            </w:pPr>
            <w:r w:rsidRPr="00BB7C9E">
              <w:rPr>
                <w:rFonts w:cs="Calibri"/>
                <w:b/>
                <w:bCs/>
                <w:color w:val="000000" w:themeColor="text1"/>
                <w:sz w:val="13"/>
                <w:szCs w:val="13"/>
              </w:rPr>
              <w:t>Należności (netto) od banków, razem</w:t>
            </w:r>
          </w:p>
        </w:tc>
        <w:tc>
          <w:tcPr>
            <w:tcW w:w="1418" w:type="dxa"/>
            <w:tcBorders>
              <w:top w:val="nil"/>
              <w:left w:val="single" w:sz="8" w:space="0" w:color="0077BD"/>
              <w:bottom w:val="single" w:sz="8" w:space="0" w:color="0077BD"/>
              <w:right w:val="nil"/>
            </w:tcBorders>
            <w:shd w:val="clear" w:color="auto" w:fill="auto"/>
            <w:noWrap/>
            <w:vAlign w:val="center"/>
          </w:tcPr>
          <w:p w14:paraId="06886D31" w14:textId="78563A89"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4 341 758</w:t>
            </w:r>
          </w:p>
        </w:tc>
        <w:tc>
          <w:tcPr>
            <w:tcW w:w="1418" w:type="dxa"/>
            <w:tcBorders>
              <w:top w:val="nil"/>
              <w:left w:val="single" w:sz="8" w:space="0" w:color="0077BD"/>
              <w:bottom w:val="single" w:sz="8" w:space="0" w:color="0077BD"/>
              <w:right w:val="nil"/>
            </w:tcBorders>
            <w:shd w:val="clear" w:color="auto" w:fill="auto"/>
            <w:noWrap/>
            <w:vAlign w:val="center"/>
            <w:hideMark/>
          </w:tcPr>
          <w:p w14:paraId="3AD1AE9E" w14:textId="77777777"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2 546 346</w:t>
            </w:r>
          </w:p>
        </w:tc>
      </w:tr>
      <w:tr w:rsidR="00971F27" w:rsidRPr="00BB7C9E" w14:paraId="7C773FD2" w14:textId="77777777" w:rsidTr="000F0C79">
        <w:trPr>
          <w:trHeight w:val="20"/>
        </w:trPr>
        <w:tc>
          <w:tcPr>
            <w:tcW w:w="6747" w:type="dxa"/>
            <w:tcBorders>
              <w:top w:val="nil"/>
              <w:left w:val="nil"/>
              <w:bottom w:val="nil"/>
              <w:right w:val="nil"/>
            </w:tcBorders>
            <w:shd w:val="clear" w:color="auto" w:fill="auto"/>
            <w:noWrap/>
            <w:vAlign w:val="bottom"/>
          </w:tcPr>
          <w:p w14:paraId="30A50888" w14:textId="77777777" w:rsidR="00971F27" w:rsidRPr="00BB7C9E" w:rsidRDefault="00971F27" w:rsidP="00971F27">
            <w:pPr>
              <w:jc w:val="right"/>
              <w:rPr>
                <w:rFonts w:cs="Calibri"/>
                <w:b/>
                <w:bCs/>
                <w:color w:val="000000" w:themeColor="text1"/>
                <w:sz w:val="13"/>
                <w:szCs w:val="13"/>
              </w:rPr>
            </w:pPr>
          </w:p>
        </w:tc>
        <w:tc>
          <w:tcPr>
            <w:tcW w:w="1418" w:type="dxa"/>
            <w:tcBorders>
              <w:top w:val="nil"/>
              <w:left w:val="nil"/>
              <w:bottom w:val="nil"/>
              <w:right w:val="nil"/>
            </w:tcBorders>
            <w:shd w:val="clear" w:color="auto" w:fill="auto"/>
            <w:noWrap/>
            <w:vAlign w:val="bottom"/>
          </w:tcPr>
          <w:p w14:paraId="464524F8" w14:textId="2C3C16B2" w:rsidR="00971F27" w:rsidRPr="00BB7C9E" w:rsidRDefault="00971F27" w:rsidP="00971F27">
            <w:pPr>
              <w:rPr>
                <w:rFonts w:ascii="Calibri" w:hAnsi="Calibri" w:cs="Calibri"/>
                <w:color w:val="000000" w:themeColor="text1"/>
                <w:sz w:val="13"/>
                <w:szCs w:val="13"/>
              </w:rPr>
            </w:pPr>
          </w:p>
        </w:tc>
        <w:tc>
          <w:tcPr>
            <w:tcW w:w="1418" w:type="dxa"/>
            <w:tcBorders>
              <w:top w:val="nil"/>
              <w:left w:val="nil"/>
              <w:bottom w:val="nil"/>
              <w:right w:val="nil"/>
            </w:tcBorders>
            <w:shd w:val="clear" w:color="auto" w:fill="auto"/>
            <w:noWrap/>
            <w:vAlign w:val="bottom"/>
          </w:tcPr>
          <w:p w14:paraId="65A81695" w14:textId="77777777" w:rsidR="00971F27" w:rsidRPr="00BB7C9E" w:rsidRDefault="00971F27" w:rsidP="00971F27">
            <w:pPr>
              <w:rPr>
                <w:rFonts w:ascii="Calibri" w:hAnsi="Calibri" w:cs="Calibri"/>
                <w:color w:val="000000" w:themeColor="text1"/>
                <w:sz w:val="13"/>
                <w:szCs w:val="13"/>
              </w:rPr>
            </w:pPr>
          </w:p>
        </w:tc>
      </w:tr>
      <w:tr w:rsidR="0034582C" w:rsidRPr="00BB7C9E" w14:paraId="361556D8" w14:textId="77777777" w:rsidTr="00977E53">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5D85880" w14:textId="77777777" w:rsidR="0034582C" w:rsidRPr="00BB7C9E" w:rsidRDefault="0034582C" w:rsidP="0034582C">
            <w:pPr>
              <w:rPr>
                <w:rFonts w:cs="Calibri"/>
                <w:color w:val="000000" w:themeColor="text1"/>
                <w:sz w:val="13"/>
                <w:szCs w:val="13"/>
              </w:rPr>
            </w:pPr>
            <w:r w:rsidRPr="00BB7C9E">
              <w:rPr>
                <w:rFonts w:cs="Calibri"/>
                <w:color w:val="000000" w:themeColor="text1"/>
                <w:sz w:val="13"/>
                <w:szCs w:val="13"/>
              </w:rPr>
              <w:t>Krótkoterminowe (do 1 roku) brutto</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57C7C7B1" w14:textId="3423E334" w:rsidR="0034582C" w:rsidRPr="00BB7C9E" w:rsidRDefault="0034582C" w:rsidP="0034582C">
            <w:pPr>
              <w:jc w:val="right"/>
              <w:rPr>
                <w:rFonts w:cs="Calibri"/>
                <w:color w:val="000000" w:themeColor="text1"/>
                <w:sz w:val="13"/>
                <w:szCs w:val="13"/>
              </w:rPr>
            </w:pPr>
            <w:r w:rsidRPr="00BB7C9E">
              <w:rPr>
                <w:rFonts w:cs="Calibri"/>
                <w:color w:val="000000" w:themeColor="text1"/>
                <w:sz w:val="13"/>
                <w:szCs w:val="13"/>
              </w:rPr>
              <w:t>4 324 618</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2644BD0D" w14:textId="77777777" w:rsidR="0034582C" w:rsidRPr="00BB7C9E" w:rsidRDefault="0034582C" w:rsidP="0034582C">
            <w:pPr>
              <w:jc w:val="right"/>
              <w:rPr>
                <w:rFonts w:cs="Calibri"/>
                <w:color w:val="000000" w:themeColor="text1"/>
                <w:sz w:val="13"/>
                <w:szCs w:val="13"/>
              </w:rPr>
            </w:pPr>
            <w:r w:rsidRPr="00BB7C9E">
              <w:rPr>
                <w:rFonts w:cs="Calibri"/>
                <w:color w:val="000000" w:themeColor="text1"/>
                <w:sz w:val="13"/>
                <w:szCs w:val="13"/>
              </w:rPr>
              <w:t>2 331 361</w:t>
            </w:r>
          </w:p>
        </w:tc>
      </w:tr>
      <w:tr w:rsidR="0034582C" w:rsidRPr="00BB7C9E" w14:paraId="46902BD8" w14:textId="77777777" w:rsidTr="00977E53">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6BB15C01" w14:textId="77777777" w:rsidR="0034582C" w:rsidRPr="00BB7C9E" w:rsidRDefault="0034582C" w:rsidP="0034582C">
            <w:pPr>
              <w:rPr>
                <w:rFonts w:cs="Calibri"/>
                <w:color w:val="000000" w:themeColor="text1"/>
                <w:sz w:val="13"/>
                <w:szCs w:val="13"/>
              </w:rPr>
            </w:pPr>
            <w:r w:rsidRPr="00BB7C9E">
              <w:rPr>
                <w:rFonts w:cs="Calibri"/>
                <w:color w:val="000000" w:themeColor="text1"/>
                <w:sz w:val="13"/>
                <w:szCs w:val="13"/>
              </w:rPr>
              <w:t>Długoterminowe (powyżej 1 roku) brutto</w:t>
            </w:r>
          </w:p>
        </w:tc>
        <w:tc>
          <w:tcPr>
            <w:tcW w:w="1418" w:type="dxa"/>
            <w:tcBorders>
              <w:top w:val="nil"/>
              <w:left w:val="single" w:sz="8" w:space="0" w:color="0077BD"/>
              <w:bottom w:val="single" w:sz="8" w:space="0" w:color="0077BD"/>
              <w:right w:val="nil"/>
            </w:tcBorders>
            <w:shd w:val="clear" w:color="auto" w:fill="auto"/>
            <w:noWrap/>
            <w:vAlign w:val="center"/>
          </w:tcPr>
          <w:p w14:paraId="0E2393C5" w14:textId="5FD015BC" w:rsidR="0034582C" w:rsidRPr="00BB7C9E" w:rsidRDefault="0034582C" w:rsidP="0034582C">
            <w:pPr>
              <w:jc w:val="right"/>
              <w:rPr>
                <w:rFonts w:cs="Calibri"/>
                <w:color w:val="000000" w:themeColor="text1"/>
                <w:sz w:val="13"/>
                <w:szCs w:val="13"/>
              </w:rPr>
            </w:pPr>
            <w:r w:rsidRPr="00BB7C9E">
              <w:rPr>
                <w:rFonts w:cs="Calibri"/>
                <w:color w:val="000000" w:themeColor="text1"/>
                <w:sz w:val="13"/>
                <w:szCs w:val="13"/>
              </w:rPr>
              <w:t>18 272</w:t>
            </w:r>
          </w:p>
        </w:tc>
        <w:tc>
          <w:tcPr>
            <w:tcW w:w="1418" w:type="dxa"/>
            <w:tcBorders>
              <w:top w:val="nil"/>
              <w:left w:val="single" w:sz="8" w:space="0" w:color="0077BD"/>
              <w:bottom w:val="single" w:sz="8" w:space="0" w:color="0077BD"/>
              <w:right w:val="nil"/>
            </w:tcBorders>
            <w:shd w:val="clear" w:color="auto" w:fill="auto"/>
            <w:noWrap/>
            <w:vAlign w:val="center"/>
            <w:hideMark/>
          </w:tcPr>
          <w:p w14:paraId="05E8945B" w14:textId="77777777" w:rsidR="0034582C" w:rsidRPr="00BB7C9E" w:rsidRDefault="0034582C" w:rsidP="0034582C">
            <w:pPr>
              <w:jc w:val="right"/>
              <w:rPr>
                <w:rFonts w:cs="Calibri"/>
                <w:color w:val="000000" w:themeColor="text1"/>
                <w:sz w:val="13"/>
                <w:szCs w:val="13"/>
              </w:rPr>
            </w:pPr>
            <w:r w:rsidRPr="00BB7C9E">
              <w:rPr>
                <w:rFonts w:cs="Calibri"/>
                <w:color w:val="000000" w:themeColor="text1"/>
                <w:sz w:val="13"/>
                <w:szCs w:val="13"/>
              </w:rPr>
              <w:t>216 503</w:t>
            </w:r>
          </w:p>
        </w:tc>
      </w:tr>
    </w:tbl>
    <w:p w14:paraId="406A41FE" w14:textId="12D12374" w:rsidR="00F248AC" w:rsidRPr="00BB7C9E" w:rsidRDefault="00F248AC" w:rsidP="00F248AC">
      <w:pPr>
        <w:spacing w:before="120"/>
        <w:jc w:val="both"/>
        <w:rPr>
          <w:noProof/>
          <w:color w:val="000000" w:themeColor="text1"/>
          <w:sz w:val="18"/>
          <w:szCs w:val="18"/>
        </w:rPr>
      </w:pPr>
      <w:r w:rsidRPr="00BB7C9E">
        <w:rPr>
          <w:noProof/>
          <w:color w:val="000000" w:themeColor="text1"/>
          <w:sz w:val="18"/>
          <w:szCs w:val="18"/>
        </w:rPr>
        <w:t xml:space="preserve">Pozycja „Inne należności” obejmuje zabezpieczenia gotówkowe w kwocie </w:t>
      </w:r>
      <w:r w:rsidR="00C4738B" w:rsidRPr="00BB7C9E">
        <w:rPr>
          <w:noProof/>
          <w:color w:val="000000" w:themeColor="text1"/>
          <w:sz w:val="18"/>
          <w:szCs w:val="18"/>
        </w:rPr>
        <w:t>390 464</w:t>
      </w:r>
      <w:r w:rsidR="00B346B6" w:rsidRPr="00BB7C9E">
        <w:rPr>
          <w:noProof/>
          <w:color w:val="000000" w:themeColor="text1"/>
          <w:sz w:val="18"/>
          <w:szCs w:val="18"/>
        </w:rPr>
        <w:t xml:space="preserve"> </w:t>
      </w:r>
      <w:r w:rsidRPr="00BB7C9E">
        <w:rPr>
          <w:noProof/>
          <w:color w:val="000000" w:themeColor="text1"/>
          <w:sz w:val="18"/>
          <w:szCs w:val="18"/>
        </w:rPr>
        <w:t>tys. zł, złożone w</w:t>
      </w:r>
      <w:r w:rsidR="005E6119" w:rsidRPr="00BB7C9E">
        <w:rPr>
          <w:noProof/>
          <w:color w:val="000000" w:themeColor="text1"/>
          <w:sz w:val="18"/>
          <w:szCs w:val="18"/>
        </w:rPr>
        <w:t> </w:t>
      </w:r>
      <w:r w:rsidRPr="00BB7C9E">
        <w:rPr>
          <w:noProof/>
          <w:color w:val="000000" w:themeColor="text1"/>
          <w:sz w:val="18"/>
          <w:szCs w:val="18"/>
        </w:rPr>
        <w:t>bankach pod transa</w:t>
      </w:r>
      <w:r w:rsidR="00F23158">
        <w:rPr>
          <w:noProof/>
          <w:color w:val="000000" w:themeColor="text1"/>
          <w:sz w:val="18"/>
          <w:szCs w:val="18"/>
        </w:rPr>
        <w:t>kcje pochodne zawarte przez Grupę</w:t>
      </w:r>
      <w:r w:rsidRPr="00BB7C9E">
        <w:rPr>
          <w:noProof/>
          <w:color w:val="000000" w:themeColor="text1"/>
          <w:sz w:val="18"/>
          <w:szCs w:val="18"/>
        </w:rPr>
        <w:t xml:space="preserve"> (Nota </w:t>
      </w:r>
      <w:r w:rsidR="001672D3" w:rsidRPr="00BB7C9E">
        <w:rPr>
          <w:noProof/>
          <w:color w:val="000000" w:themeColor="text1"/>
          <w:sz w:val="18"/>
          <w:szCs w:val="18"/>
        </w:rPr>
        <w:t>34</w:t>
      </w:r>
      <w:r w:rsidRPr="00BB7C9E">
        <w:rPr>
          <w:noProof/>
          <w:color w:val="000000" w:themeColor="text1"/>
          <w:sz w:val="18"/>
          <w:szCs w:val="18"/>
        </w:rPr>
        <w:t>)</w:t>
      </w:r>
      <w:r w:rsidR="00AC25CE">
        <w:rPr>
          <w:noProof/>
          <w:color w:val="000000" w:themeColor="text1"/>
          <w:sz w:val="18"/>
          <w:szCs w:val="18"/>
        </w:rPr>
        <w:t xml:space="preserve"> (31 grudnia 2018 roku</w:t>
      </w:r>
      <w:r w:rsidR="00971F27" w:rsidRPr="00BB7C9E">
        <w:rPr>
          <w:noProof/>
          <w:color w:val="000000" w:themeColor="text1"/>
          <w:sz w:val="18"/>
          <w:szCs w:val="18"/>
        </w:rPr>
        <w:t xml:space="preserve"> – 372</w:t>
      </w:r>
      <w:r w:rsidR="006C0CE7">
        <w:rPr>
          <w:noProof/>
          <w:color w:val="000000" w:themeColor="text1"/>
          <w:sz w:val="18"/>
          <w:szCs w:val="18"/>
        </w:rPr>
        <w:t> </w:t>
      </w:r>
      <w:r w:rsidR="00971F27" w:rsidRPr="00BB7C9E">
        <w:rPr>
          <w:noProof/>
          <w:color w:val="000000" w:themeColor="text1"/>
          <w:sz w:val="18"/>
          <w:szCs w:val="18"/>
        </w:rPr>
        <w:t>352</w:t>
      </w:r>
      <w:r w:rsidR="006C0CE7">
        <w:rPr>
          <w:noProof/>
          <w:color w:val="000000" w:themeColor="text1"/>
          <w:sz w:val="18"/>
          <w:szCs w:val="18"/>
        </w:rPr>
        <w:t> </w:t>
      </w:r>
      <w:r w:rsidR="00971F27" w:rsidRPr="00BB7C9E">
        <w:rPr>
          <w:noProof/>
          <w:color w:val="000000" w:themeColor="text1"/>
          <w:sz w:val="18"/>
          <w:szCs w:val="18"/>
        </w:rPr>
        <w:t>tys.</w:t>
      </w:r>
      <w:r w:rsidR="006C0CE7">
        <w:rPr>
          <w:noProof/>
          <w:color w:val="000000" w:themeColor="text1"/>
          <w:sz w:val="18"/>
          <w:szCs w:val="18"/>
        </w:rPr>
        <w:t> </w:t>
      </w:r>
      <w:r w:rsidR="00971F27" w:rsidRPr="00BB7C9E">
        <w:rPr>
          <w:noProof/>
          <w:color w:val="000000" w:themeColor="text1"/>
          <w:sz w:val="18"/>
          <w:szCs w:val="18"/>
        </w:rPr>
        <w:t>zł)</w:t>
      </w:r>
      <w:r w:rsidRPr="00BB7C9E">
        <w:rPr>
          <w:noProof/>
          <w:color w:val="000000" w:themeColor="text1"/>
          <w:sz w:val="18"/>
          <w:szCs w:val="18"/>
        </w:rPr>
        <w:t>.</w:t>
      </w:r>
    </w:p>
    <w:p w14:paraId="28739786" w14:textId="7130490A" w:rsidR="00A37D98" w:rsidRPr="00BB7C9E" w:rsidRDefault="00971F27" w:rsidP="00A37D98">
      <w:pPr>
        <w:spacing w:before="120"/>
        <w:jc w:val="both"/>
        <w:rPr>
          <w:noProof/>
          <w:color w:val="000000" w:themeColor="text1"/>
          <w:sz w:val="18"/>
          <w:szCs w:val="18"/>
        </w:rPr>
      </w:pPr>
      <w:r w:rsidRPr="00C3136A">
        <w:rPr>
          <w:noProof/>
          <w:color w:val="000000" w:themeColor="text1"/>
          <w:sz w:val="18"/>
          <w:szCs w:val="18"/>
        </w:rPr>
        <w:t>Na dzień 31 grudnia 2019</w:t>
      </w:r>
      <w:r w:rsidR="00A37D98" w:rsidRPr="00C3136A">
        <w:rPr>
          <w:noProof/>
          <w:color w:val="000000" w:themeColor="text1"/>
          <w:sz w:val="18"/>
          <w:szCs w:val="18"/>
        </w:rPr>
        <w:t xml:space="preserve"> roku kredyty udzielone bankom o zmiennej stopie wyniosły </w:t>
      </w:r>
      <w:r w:rsidR="00C3136A" w:rsidRPr="00C3136A">
        <w:rPr>
          <w:noProof/>
          <w:color w:val="000000" w:themeColor="text1"/>
          <w:sz w:val="18"/>
          <w:szCs w:val="18"/>
        </w:rPr>
        <w:t>130</w:t>
      </w:r>
      <w:r w:rsidRPr="00C3136A">
        <w:rPr>
          <w:noProof/>
          <w:color w:val="000000" w:themeColor="text1"/>
          <w:sz w:val="18"/>
          <w:szCs w:val="18"/>
        </w:rPr>
        <w:t> </w:t>
      </w:r>
      <w:r w:rsidR="00C3136A" w:rsidRPr="00C3136A">
        <w:rPr>
          <w:noProof/>
          <w:color w:val="000000" w:themeColor="text1"/>
          <w:sz w:val="18"/>
          <w:szCs w:val="18"/>
        </w:rPr>
        <w:t>968</w:t>
      </w:r>
      <w:r w:rsidRPr="00C3136A">
        <w:rPr>
          <w:noProof/>
          <w:color w:val="000000" w:themeColor="text1"/>
          <w:sz w:val="18"/>
          <w:szCs w:val="18"/>
        </w:rPr>
        <w:t xml:space="preserve"> tys. zł (31 grudnia 2018 roku – 109</w:t>
      </w:r>
      <w:r w:rsidR="00A37D98" w:rsidRPr="00C3136A">
        <w:rPr>
          <w:noProof/>
          <w:color w:val="000000" w:themeColor="text1"/>
          <w:sz w:val="18"/>
          <w:szCs w:val="18"/>
        </w:rPr>
        <w:t> </w:t>
      </w:r>
      <w:r w:rsidRPr="00C3136A">
        <w:rPr>
          <w:noProof/>
          <w:color w:val="000000" w:themeColor="text1"/>
          <w:sz w:val="18"/>
          <w:szCs w:val="18"/>
        </w:rPr>
        <w:t>591</w:t>
      </w:r>
      <w:r w:rsidR="00A37D98" w:rsidRPr="00C3136A">
        <w:rPr>
          <w:noProof/>
          <w:color w:val="000000" w:themeColor="text1"/>
          <w:sz w:val="18"/>
          <w:szCs w:val="18"/>
        </w:rPr>
        <w:t xml:space="preserve"> tys. zł), a o stałej stopie</w:t>
      </w:r>
      <w:r w:rsidRPr="00C3136A">
        <w:rPr>
          <w:noProof/>
          <w:color w:val="000000" w:themeColor="text1"/>
          <w:sz w:val="18"/>
          <w:szCs w:val="18"/>
        </w:rPr>
        <w:t xml:space="preserve"> </w:t>
      </w:r>
      <w:r w:rsidR="00C3136A" w:rsidRPr="00C3136A">
        <w:rPr>
          <w:noProof/>
          <w:color w:val="000000" w:themeColor="text1"/>
          <w:sz w:val="18"/>
          <w:szCs w:val="18"/>
        </w:rPr>
        <w:t>19</w:t>
      </w:r>
      <w:r w:rsidRPr="00C3136A">
        <w:rPr>
          <w:noProof/>
          <w:color w:val="000000" w:themeColor="text1"/>
          <w:sz w:val="18"/>
          <w:szCs w:val="18"/>
        </w:rPr>
        <w:t> </w:t>
      </w:r>
      <w:r w:rsidR="00C3136A" w:rsidRPr="00C3136A">
        <w:rPr>
          <w:noProof/>
          <w:color w:val="000000" w:themeColor="text1"/>
          <w:sz w:val="18"/>
          <w:szCs w:val="18"/>
        </w:rPr>
        <w:t>283</w:t>
      </w:r>
      <w:r w:rsidRPr="00C3136A">
        <w:rPr>
          <w:noProof/>
          <w:color w:val="000000" w:themeColor="text1"/>
          <w:sz w:val="18"/>
          <w:szCs w:val="18"/>
        </w:rPr>
        <w:t xml:space="preserve"> tys. zł (31 grudnia 2018 roku – 28</w:t>
      </w:r>
      <w:r w:rsidR="00A37D98" w:rsidRPr="00C3136A">
        <w:rPr>
          <w:noProof/>
          <w:color w:val="000000" w:themeColor="text1"/>
          <w:sz w:val="18"/>
          <w:szCs w:val="18"/>
        </w:rPr>
        <w:t> 8</w:t>
      </w:r>
      <w:r w:rsidR="00410545" w:rsidRPr="00C3136A">
        <w:rPr>
          <w:noProof/>
          <w:color w:val="000000" w:themeColor="text1"/>
          <w:sz w:val="18"/>
          <w:szCs w:val="18"/>
        </w:rPr>
        <w:t>9</w:t>
      </w:r>
      <w:r w:rsidRPr="00C3136A">
        <w:rPr>
          <w:noProof/>
          <w:color w:val="000000" w:themeColor="text1"/>
          <w:sz w:val="18"/>
          <w:szCs w:val="18"/>
        </w:rPr>
        <w:t>2</w:t>
      </w:r>
      <w:r w:rsidR="00A37D98" w:rsidRPr="00C3136A">
        <w:rPr>
          <w:noProof/>
          <w:color w:val="000000" w:themeColor="text1"/>
          <w:sz w:val="18"/>
          <w:szCs w:val="18"/>
        </w:rPr>
        <w:t> tys. zł).</w:t>
      </w:r>
      <w:r w:rsidR="00A37D98" w:rsidRPr="00BB7C9E">
        <w:rPr>
          <w:noProof/>
          <w:color w:val="000000" w:themeColor="text1"/>
          <w:sz w:val="18"/>
          <w:szCs w:val="18"/>
        </w:rPr>
        <w:t xml:space="preserve"> </w:t>
      </w:r>
    </w:p>
    <w:p w14:paraId="1792C304" w14:textId="084B85E4" w:rsidR="00A37D98" w:rsidRPr="00BB7C9E" w:rsidRDefault="009B23FF" w:rsidP="00A37D98">
      <w:pPr>
        <w:spacing w:before="120"/>
        <w:jc w:val="both"/>
        <w:rPr>
          <w:noProof/>
          <w:color w:val="000000" w:themeColor="text1"/>
          <w:sz w:val="18"/>
          <w:szCs w:val="18"/>
        </w:rPr>
      </w:pPr>
      <w:r w:rsidRPr="00BB7C9E">
        <w:rPr>
          <w:noProof/>
          <w:color w:val="000000" w:themeColor="text1"/>
          <w:sz w:val="18"/>
          <w:szCs w:val="18"/>
        </w:rPr>
        <w:t>Na dzień 31 grudnia 2019</w:t>
      </w:r>
      <w:r w:rsidR="00A37D98" w:rsidRPr="00BB7C9E">
        <w:rPr>
          <w:noProof/>
          <w:color w:val="000000" w:themeColor="text1"/>
          <w:sz w:val="18"/>
          <w:szCs w:val="18"/>
        </w:rPr>
        <w:t xml:space="preserve"> rok</w:t>
      </w:r>
      <w:r w:rsidRPr="00BB7C9E">
        <w:rPr>
          <w:noProof/>
          <w:color w:val="000000" w:themeColor="text1"/>
          <w:sz w:val="18"/>
          <w:szCs w:val="18"/>
        </w:rPr>
        <w:t>u oraz 31 grudnia 2018</w:t>
      </w:r>
      <w:r w:rsidR="00A37D98" w:rsidRPr="00BB7C9E">
        <w:rPr>
          <w:noProof/>
          <w:color w:val="000000" w:themeColor="text1"/>
          <w:sz w:val="18"/>
          <w:szCs w:val="18"/>
        </w:rPr>
        <w:t xml:space="preserve"> roku lokaty w bankach były oprocentowane stałą stopą. Średnie oprocentowanie lokat w innych bankach oraz kredytów udzielonych innym bankom wynosiło </w:t>
      </w:r>
      <w:r w:rsidR="00D736BB" w:rsidRPr="00D736BB">
        <w:rPr>
          <w:noProof/>
          <w:color w:val="000000" w:themeColor="text1"/>
          <w:sz w:val="18"/>
          <w:szCs w:val="18"/>
        </w:rPr>
        <w:t>1,70</w:t>
      </w:r>
      <w:r w:rsidR="00A37D98" w:rsidRPr="00D736BB">
        <w:rPr>
          <w:noProof/>
          <w:color w:val="000000" w:themeColor="text1"/>
          <w:sz w:val="18"/>
          <w:szCs w:val="18"/>
        </w:rPr>
        <w:t>%</w:t>
      </w:r>
      <w:r w:rsidRPr="00D736BB">
        <w:rPr>
          <w:noProof/>
          <w:color w:val="000000" w:themeColor="text1"/>
          <w:sz w:val="18"/>
          <w:szCs w:val="18"/>
        </w:rPr>
        <w:t xml:space="preserve"> (2018</w:t>
      </w:r>
      <w:r w:rsidRPr="00BB7C9E">
        <w:rPr>
          <w:noProof/>
          <w:color w:val="000000" w:themeColor="text1"/>
          <w:sz w:val="18"/>
          <w:szCs w:val="18"/>
        </w:rPr>
        <w:t xml:space="preserve"> rok – 1,66</w:t>
      </w:r>
      <w:r w:rsidR="00A37D98" w:rsidRPr="00BB7C9E">
        <w:rPr>
          <w:noProof/>
          <w:color w:val="000000" w:themeColor="text1"/>
          <w:sz w:val="18"/>
          <w:szCs w:val="18"/>
        </w:rPr>
        <w:t>%).</w:t>
      </w:r>
    </w:p>
    <w:p w14:paraId="117DE341" w14:textId="77777777" w:rsidR="00CA5E84" w:rsidRPr="00BB7C9E" w:rsidRDefault="00CA5E84">
      <w:pPr>
        <w:rPr>
          <w:noProof/>
          <w:color w:val="000000" w:themeColor="text1"/>
          <w:sz w:val="18"/>
          <w:szCs w:val="18"/>
        </w:rPr>
      </w:pPr>
      <w:r w:rsidRPr="00BB7C9E">
        <w:rPr>
          <w:noProof/>
          <w:color w:val="000000" w:themeColor="text1"/>
          <w:sz w:val="18"/>
          <w:szCs w:val="18"/>
        </w:rPr>
        <w:br w:type="page"/>
      </w:r>
    </w:p>
    <w:p w14:paraId="47728311" w14:textId="0CB18667" w:rsidR="00F248AC" w:rsidRPr="007A1BC2" w:rsidRDefault="00F248AC" w:rsidP="00F248AC">
      <w:pPr>
        <w:spacing w:before="120"/>
        <w:jc w:val="both"/>
        <w:rPr>
          <w:noProof/>
          <w:sz w:val="18"/>
          <w:szCs w:val="18"/>
        </w:rPr>
      </w:pPr>
      <w:r w:rsidRPr="007A1BC2">
        <w:rPr>
          <w:noProof/>
          <w:sz w:val="18"/>
          <w:szCs w:val="18"/>
        </w:rPr>
        <w:lastRenderedPageBreak/>
        <w:t>Należności od banków w podziale na banki polskie i zagraniczne przedstawiają się następująco:</w:t>
      </w:r>
    </w:p>
    <w:p w14:paraId="0FC8E542" w14:textId="77777777" w:rsidR="00E51A64" w:rsidRPr="00BB7C9E" w:rsidRDefault="00E51A64" w:rsidP="00E51A64">
      <w:pPr>
        <w:jc w:val="both"/>
        <w:rPr>
          <w:noProof/>
          <w:color w:val="000000" w:themeColor="text1"/>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E51A64" w:rsidRPr="009B23FF" w14:paraId="4CE72E61" w14:textId="77777777" w:rsidTr="000F0C79">
        <w:trPr>
          <w:trHeight w:val="567"/>
        </w:trPr>
        <w:tc>
          <w:tcPr>
            <w:tcW w:w="6747" w:type="dxa"/>
            <w:tcBorders>
              <w:top w:val="nil"/>
              <w:left w:val="nil"/>
              <w:bottom w:val="nil"/>
              <w:right w:val="nil"/>
            </w:tcBorders>
            <w:shd w:val="clear" w:color="000000" w:fill="0077BD"/>
            <w:vAlign w:val="center"/>
            <w:hideMark/>
          </w:tcPr>
          <w:p w14:paraId="0CC8085B" w14:textId="57655360" w:rsidR="00E51A64" w:rsidRPr="009B23FF" w:rsidRDefault="00E51A64" w:rsidP="008E41C5">
            <w:pPr>
              <w:rPr>
                <w:rFonts w:cs="Calibri"/>
                <w:b/>
                <w:bCs/>
                <w:color w:val="FFFFFF"/>
                <w:sz w:val="13"/>
                <w:szCs w:val="13"/>
              </w:rPr>
            </w:pPr>
            <w:r>
              <w:rPr>
                <w:rFonts w:cs="Calibri"/>
                <w:b/>
                <w:bCs/>
                <w:color w:val="FFFFFF"/>
                <w:sz w:val="13"/>
                <w:szCs w:val="13"/>
              </w:rPr>
              <w:t>31.12.2019</w:t>
            </w:r>
          </w:p>
        </w:tc>
        <w:tc>
          <w:tcPr>
            <w:tcW w:w="1418" w:type="dxa"/>
            <w:tcBorders>
              <w:top w:val="nil"/>
              <w:left w:val="single" w:sz="8" w:space="0" w:color="FFFFFF"/>
              <w:right w:val="single" w:sz="8" w:space="0" w:color="FFFFFF"/>
            </w:tcBorders>
            <w:shd w:val="clear" w:color="000000" w:fill="0077BD"/>
            <w:vAlign w:val="center"/>
            <w:hideMark/>
          </w:tcPr>
          <w:p w14:paraId="70F54BA5" w14:textId="77777777" w:rsidR="00E51A64" w:rsidRPr="009B23FF" w:rsidRDefault="00E51A64" w:rsidP="008E41C5">
            <w:pPr>
              <w:jc w:val="center"/>
              <w:rPr>
                <w:rFonts w:cs="Calibri"/>
                <w:b/>
                <w:bCs/>
                <w:color w:val="FFFFFF"/>
                <w:sz w:val="13"/>
                <w:szCs w:val="13"/>
              </w:rPr>
            </w:pPr>
            <w:r w:rsidRPr="009B23FF">
              <w:rPr>
                <w:rFonts w:cs="Calibri"/>
                <w:b/>
                <w:bCs/>
                <w:color w:val="FFFFFF"/>
                <w:sz w:val="13"/>
                <w:szCs w:val="13"/>
              </w:rPr>
              <w:t>Należności od banków krajowych</w:t>
            </w:r>
          </w:p>
        </w:tc>
        <w:tc>
          <w:tcPr>
            <w:tcW w:w="1418" w:type="dxa"/>
            <w:tcBorders>
              <w:top w:val="nil"/>
              <w:left w:val="nil"/>
              <w:bottom w:val="nil"/>
              <w:right w:val="nil"/>
            </w:tcBorders>
            <w:shd w:val="clear" w:color="000000" w:fill="0077BD"/>
            <w:vAlign w:val="center"/>
            <w:hideMark/>
          </w:tcPr>
          <w:p w14:paraId="0D63E8D0" w14:textId="77777777" w:rsidR="00E51A64" w:rsidRPr="009B23FF" w:rsidRDefault="00E51A64" w:rsidP="008E41C5">
            <w:pPr>
              <w:jc w:val="center"/>
              <w:rPr>
                <w:rFonts w:cs="Calibri"/>
                <w:b/>
                <w:bCs/>
                <w:color w:val="FFFFFF"/>
                <w:sz w:val="13"/>
                <w:szCs w:val="13"/>
              </w:rPr>
            </w:pPr>
            <w:r w:rsidRPr="009B23FF">
              <w:rPr>
                <w:rFonts w:cs="Calibri"/>
                <w:b/>
                <w:bCs/>
                <w:color w:val="FFFFFF"/>
                <w:sz w:val="13"/>
                <w:szCs w:val="13"/>
              </w:rPr>
              <w:t>Należności od banków zagranicznych</w:t>
            </w:r>
          </w:p>
        </w:tc>
      </w:tr>
      <w:tr w:rsidR="000F0C79" w:rsidRPr="00BB7C9E" w14:paraId="4992A606" w14:textId="77777777" w:rsidTr="000F0C7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BEB2FA1" w14:textId="77777777" w:rsidR="000F0C79" w:rsidRPr="00BB7C9E" w:rsidRDefault="000F0C79" w:rsidP="000F0C79">
            <w:pPr>
              <w:rPr>
                <w:rFonts w:cs="Calibri"/>
                <w:color w:val="000000" w:themeColor="text1"/>
                <w:sz w:val="13"/>
                <w:szCs w:val="13"/>
              </w:rPr>
            </w:pPr>
            <w:r w:rsidRPr="00BB7C9E">
              <w:rPr>
                <w:rFonts w:cs="Calibri"/>
                <w:color w:val="000000" w:themeColor="text1"/>
                <w:sz w:val="13"/>
                <w:szCs w:val="13"/>
              </w:rPr>
              <w:t>Wartość bilansowa brutto</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88F1F02" w14:textId="649DC3CF" w:rsidR="000F0C79" w:rsidRPr="00BB7C9E" w:rsidRDefault="000F0C79" w:rsidP="000F0C79">
            <w:pPr>
              <w:jc w:val="right"/>
              <w:rPr>
                <w:rFonts w:cs="Calibri"/>
                <w:color w:val="000000" w:themeColor="text1"/>
                <w:sz w:val="13"/>
                <w:szCs w:val="13"/>
              </w:rPr>
            </w:pPr>
            <w:bookmarkStart w:id="143" w:name="RANGE!C5:D7"/>
            <w:r w:rsidRPr="00BB7C9E">
              <w:rPr>
                <w:rFonts w:cs="Calibri"/>
                <w:color w:val="000000" w:themeColor="text1"/>
                <w:sz w:val="13"/>
                <w:szCs w:val="13"/>
              </w:rPr>
              <w:t>233 294</w:t>
            </w:r>
            <w:bookmarkEnd w:id="143"/>
          </w:p>
        </w:tc>
        <w:tc>
          <w:tcPr>
            <w:tcW w:w="1418" w:type="dxa"/>
            <w:tcBorders>
              <w:top w:val="nil"/>
              <w:left w:val="nil"/>
              <w:bottom w:val="single" w:sz="4" w:space="0" w:color="0077BD"/>
              <w:right w:val="nil"/>
            </w:tcBorders>
            <w:shd w:val="clear" w:color="auto" w:fill="auto"/>
            <w:noWrap/>
            <w:vAlign w:val="center"/>
          </w:tcPr>
          <w:p w14:paraId="55A582AA" w14:textId="136DBD3A"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4 109 596</w:t>
            </w:r>
          </w:p>
        </w:tc>
      </w:tr>
      <w:tr w:rsidR="000F0C79" w:rsidRPr="00BB7C9E" w14:paraId="7064B9E6" w14:textId="77777777" w:rsidTr="000F0C7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9F80E19" w14:textId="77777777" w:rsidR="000F0C79" w:rsidRPr="00BB7C9E" w:rsidRDefault="000F0C79" w:rsidP="000F0C79">
            <w:pPr>
              <w:rPr>
                <w:rFonts w:cs="Calibri"/>
                <w:color w:val="000000" w:themeColor="text1"/>
                <w:sz w:val="13"/>
                <w:szCs w:val="13"/>
              </w:rPr>
            </w:pPr>
            <w:r w:rsidRPr="00BB7C9E">
              <w:rPr>
                <w:rFonts w:cs="Calibri"/>
                <w:color w:val="000000" w:themeColor="text1"/>
                <w:sz w:val="13"/>
                <w:szCs w:val="13"/>
              </w:rPr>
              <w:t>Skumulowana utrata wartości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C41875C" w14:textId="740106E0"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(58)</w:t>
            </w:r>
          </w:p>
        </w:tc>
        <w:tc>
          <w:tcPr>
            <w:tcW w:w="1418" w:type="dxa"/>
            <w:tcBorders>
              <w:top w:val="nil"/>
              <w:left w:val="nil"/>
              <w:bottom w:val="single" w:sz="4" w:space="0" w:color="0077BD"/>
              <w:right w:val="nil"/>
            </w:tcBorders>
            <w:shd w:val="clear" w:color="auto" w:fill="auto"/>
            <w:noWrap/>
            <w:vAlign w:val="center"/>
          </w:tcPr>
          <w:p w14:paraId="58F2A9B0" w14:textId="6671B10A" w:rsidR="000F0C79" w:rsidRPr="00BB7C9E" w:rsidRDefault="000F0C79" w:rsidP="000F0C79">
            <w:pPr>
              <w:jc w:val="right"/>
              <w:rPr>
                <w:rFonts w:cs="Calibri"/>
                <w:color w:val="000000" w:themeColor="text1"/>
                <w:sz w:val="13"/>
                <w:szCs w:val="13"/>
              </w:rPr>
            </w:pPr>
            <w:r w:rsidRPr="00BB7C9E">
              <w:rPr>
                <w:rFonts w:cs="Calibri"/>
                <w:color w:val="000000" w:themeColor="text1"/>
                <w:sz w:val="13"/>
                <w:szCs w:val="13"/>
              </w:rPr>
              <w:t>(1 074)</w:t>
            </w:r>
          </w:p>
        </w:tc>
      </w:tr>
      <w:tr w:rsidR="000F0C79" w:rsidRPr="00BB7C9E" w14:paraId="222C8BBE" w14:textId="77777777" w:rsidTr="000F0C79">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33C9B26" w14:textId="77777777" w:rsidR="000F0C79" w:rsidRPr="00BB7C9E" w:rsidRDefault="000F0C79" w:rsidP="000F0C79">
            <w:pPr>
              <w:rPr>
                <w:rFonts w:cs="Calibri"/>
                <w:b/>
                <w:bCs/>
                <w:color w:val="000000" w:themeColor="text1"/>
                <w:sz w:val="13"/>
                <w:szCs w:val="13"/>
              </w:rPr>
            </w:pPr>
            <w:r w:rsidRPr="00BB7C9E">
              <w:rPr>
                <w:rFonts w:cs="Calibri"/>
                <w:b/>
                <w:bCs/>
                <w:color w:val="000000" w:themeColor="text1"/>
                <w:sz w:val="13"/>
                <w:szCs w:val="13"/>
              </w:rPr>
              <w:t>Należności od banków, netto</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718DE8B" w14:textId="32A1BB9A"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233 236</w:t>
            </w:r>
          </w:p>
        </w:tc>
        <w:tc>
          <w:tcPr>
            <w:tcW w:w="1418" w:type="dxa"/>
            <w:tcBorders>
              <w:top w:val="single" w:sz="8" w:space="0" w:color="0077BD"/>
              <w:left w:val="nil"/>
              <w:bottom w:val="single" w:sz="8" w:space="0" w:color="0077BD"/>
              <w:right w:val="nil"/>
            </w:tcBorders>
            <w:shd w:val="clear" w:color="auto" w:fill="auto"/>
            <w:noWrap/>
            <w:vAlign w:val="center"/>
          </w:tcPr>
          <w:p w14:paraId="001E36E4" w14:textId="01A6DD2A" w:rsidR="000F0C79" w:rsidRPr="00BB7C9E" w:rsidRDefault="000F0C79" w:rsidP="000F0C79">
            <w:pPr>
              <w:jc w:val="right"/>
              <w:rPr>
                <w:rFonts w:cs="Calibri"/>
                <w:b/>
                <w:bCs/>
                <w:color w:val="000000" w:themeColor="text1"/>
                <w:sz w:val="13"/>
                <w:szCs w:val="13"/>
              </w:rPr>
            </w:pPr>
            <w:r w:rsidRPr="00BB7C9E">
              <w:rPr>
                <w:rFonts w:cs="Calibri"/>
                <w:b/>
                <w:bCs/>
                <w:color w:val="000000" w:themeColor="text1"/>
                <w:sz w:val="13"/>
                <w:szCs w:val="13"/>
              </w:rPr>
              <w:t>4 108 522</w:t>
            </w:r>
          </w:p>
        </w:tc>
      </w:tr>
    </w:tbl>
    <w:p w14:paraId="4D71D0F8" w14:textId="49FD2F20" w:rsidR="009B23FF" w:rsidRDefault="009B23FF" w:rsidP="00E51A64">
      <w:pPr>
        <w:jc w:val="both"/>
        <w:rPr>
          <w:noProof/>
        </w:rPr>
      </w:pPr>
    </w:p>
    <w:tbl>
      <w:tblPr>
        <w:tblW w:w="0" w:type="auto"/>
        <w:tblLayout w:type="fixed"/>
        <w:tblCellMar>
          <w:left w:w="28" w:type="dxa"/>
          <w:right w:w="28" w:type="dxa"/>
        </w:tblCellMar>
        <w:tblLook w:val="04A0" w:firstRow="1" w:lastRow="0" w:firstColumn="1" w:lastColumn="0" w:noHBand="0" w:noVBand="1"/>
      </w:tblPr>
      <w:tblGrid>
        <w:gridCol w:w="6747"/>
        <w:gridCol w:w="1418"/>
        <w:gridCol w:w="1418"/>
      </w:tblGrid>
      <w:tr w:rsidR="009B23FF" w:rsidRPr="009B23FF" w14:paraId="3DCBCD7C" w14:textId="77777777" w:rsidTr="00722C91">
        <w:trPr>
          <w:trHeight w:val="567"/>
        </w:trPr>
        <w:tc>
          <w:tcPr>
            <w:tcW w:w="6747" w:type="dxa"/>
            <w:tcBorders>
              <w:top w:val="nil"/>
              <w:left w:val="nil"/>
              <w:bottom w:val="nil"/>
              <w:right w:val="nil"/>
            </w:tcBorders>
            <w:shd w:val="clear" w:color="000000" w:fill="0077BD"/>
            <w:vAlign w:val="center"/>
            <w:hideMark/>
          </w:tcPr>
          <w:p w14:paraId="12151447" w14:textId="77777777" w:rsidR="009B23FF" w:rsidRPr="009B23FF" w:rsidRDefault="009B23FF" w:rsidP="009B23FF">
            <w:pPr>
              <w:rPr>
                <w:rFonts w:cs="Calibri"/>
                <w:b/>
                <w:bCs/>
                <w:color w:val="FFFFFF"/>
                <w:sz w:val="13"/>
                <w:szCs w:val="13"/>
              </w:rPr>
            </w:pPr>
            <w:r w:rsidRPr="009B23FF">
              <w:rPr>
                <w:rFonts w:cs="Calibri"/>
                <w:b/>
                <w:bCs/>
                <w:color w:val="FFFFFF"/>
                <w:sz w:val="13"/>
                <w:szCs w:val="13"/>
              </w:rPr>
              <w:t>31.12.2018</w:t>
            </w:r>
          </w:p>
        </w:tc>
        <w:tc>
          <w:tcPr>
            <w:tcW w:w="1418" w:type="dxa"/>
            <w:tcBorders>
              <w:top w:val="nil"/>
              <w:left w:val="single" w:sz="8" w:space="0" w:color="FFFFFF"/>
              <w:right w:val="single" w:sz="8" w:space="0" w:color="FFFFFF"/>
            </w:tcBorders>
            <w:shd w:val="clear" w:color="000000" w:fill="0077BD"/>
            <w:vAlign w:val="center"/>
            <w:hideMark/>
          </w:tcPr>
          <w:p w14:paraId="4DB79161" w14:textId="77777777" w:rsidR="009B23FF" w:rsidRPr="009B23FF" w:rsidRDefault="009B23FF" w:rsidP="009B23FF">
            <w:pPr>
              <w:jc w:val="center"/>
              <w:rPr>
                <w:rFonts w:cs="Calibri"/>
                <w:b/>
                <w:bCs/>
                <w:color w:val="FFFFFF"/>
                <w:sz w:val="13"/>
                <w:szCs w:val="13"/>
              </w:rPr>
            </w:pPr>
            <w:r w:rsidRPr="009B23FF">
              <w:rPr>
                <w:rFonts w:cs="Calibri"/>
                <w:b/>
                <w:bCs/>
                <w:color w:val="FFFFFF"/>
                <w:sz w:val="13"/>
                <w:szCs w:val="13"/>
              </w:rPr>
              <w:t>Należności od banków krajowych</w:t>
            </w:r>
          </w:p>
        </w:tc>
        <w:tc>
          <w:tcPr>
            <w:tcW w:w="1418" w:type="dxa"/>
            <w:tcBorders>
              <w:top w:val="nil"/>
              <w:left w:val="nil"/>
              <w:bottom w:val="nil"/>
              <w:right w:val="nil"/>
            </w:tcBorders>
            <w:shd w:val="clear" w:color="000000" w:fill="0077BD"/>
            <w:vAlign w:val="center"/>
            <w:hideMark/>
          </w:tcPr>
          <w:p w14:paraId="165108D0" w14:textId="77777777" w:rsidR="009B23FF" w:rsidRPr="009B23FF" w:rsidRDefault="009B23FF" w:rsidP="009B23FF">
            <w:pPr>
              <w:jc w:val="center"/>
              <w:rPr>
                <w:rFonts w:cs="Calibri"/>
                <w:b/>
                <w:bCs/>
                <w:color w:val="FFFFFF"/>
                <w:sz w:val="13"/>
                <w:szCs w:val="13"/>
              </w:rPr>
            </w:pPr>
            <w:r w:rsidRPr="009B23FF">
              <w:rPr>
                <w:rFonts w:cs="Calibri"/>
                <w:b/>
                <w:bCs/>
                <w:color w:val="FFFFFF"/>
                <w:sz w:val="13"/>
                <w:szCs w:val="13"/>
              </w:rPr>
              <w:t>Należności od banków zagranicznych</w:t>
            </w:r>
          </w:p>
        </w:tc>
      </w:tr>
      <w:tr w:rsidR="009B23FF" w:rsidRPr="00BB7C9E" w14:paraId="210F2D99" w14:textId="77777777" w:rsidTr="00722C91">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E96D12F" w14:textId="77777777" w:rsidR="009B23FF" w:rsidRPr="00BB7C9E" w:rsidRDefault="009B23FF" w:rsidP="009B23FF">
            <w:pPr>
              <w:rPr>
                <w:rFonts w:cs="Calibri"/>
                <w:color w:val="000000" w:themeColor="text1"/>
                <w:sz w:val="13"/>
                <w:szCs w:val="13"/>
              </w:rPr>
            </w:pPr>
            <w:r w:rsidRPr="00BB7C9E">
              <w:rPr>
                <w:rFonts w:cs="Calibri"/>
                <w:color w:val="000000" w:themeColor="text1"/>
                <w:sz w:val="13"/>
                <w:szCs w:val="13"/>
              </w:rPr>
              <w:t>Wartość bilansowa brutto</w:t>
            </w:r>
          </w:p>
        </w:tc>
        <w:tc>
          <w:tcPr>
            <w:tcW w:w="1418" w:type="dxa"/>
            <w:tcBorders>
              <w:top w:val="nil"/>
              <w:left w:val="nil"/>
              <w:bottom w:val="single" w:sz="4" w:space="0" w:color="0077BD"/>
              <w:right w:val="single" w:sz="8" w:space="0" w:color="0077BD"/>
            </w:tcBorders>
            <w:shd w:val="clear" w:color="auto" w:fill="auto"/>
            <w:noWrap/>
            <w:vAlign w:val="center"/>
            <w:hideMark/>
          </w:tcPr>
          <w:p w14:paraId="0AE3C853" w14:textId="77777777" w:rsidR="009B23FF" w:rsidRPr="00BB7C9E" w:rsidRDefault="009B23FF" w:rsidP="009B23FF">
            <w:pPr>
              <w:jc w:val="right"/>
              <w:rPr>
                <w:rFonts w:cs="Calibri"/>
                <w:color w:val="000000" w:themeColor="text1"/>
                <w:sz w:val="13"/>
                <w:szCs w:val="13"/>
              </w:rPr>
            </w:pPr>
            <w:r w:rsidRPr="00BB7C9E">
              <w:rPr>
                <w:rFonts w:cs="Calibri"/>
                <w:color w:val="000000" w:themeColor="text1"/>
                <w:sz w:val="13"/>
                <w:szCs w:val="13"/>
              </w:rPr>
              <w:t>398 161</w:t>
            </w:r>
          </w:p>
        </w:tc>
        <w:tc>
          <w:tcPr>
            <w:tcW w:w="1418" w:type="dxa"/>
            <w:tcBorders>
              <w:top w:val="nil"/>
              <w:left w:val="nil"/>
              <w:bottom w:val="single" w:sz="4" w:space="0" w:color="0077BD"/>
              <w:right w:val="nil"/>
            </w:tcBorders>
            <w:shd w:val="clear" w:color="auto" w:fill="auto"/>
            <w:noWrap/>
            <w:vAlign w:val="center"/>
            <w:hideMark/>
          </w:tcPr>
          <w:p w14:paraId="5F88E03B" w14:textId="77777777" w:rsidR="009B23FF" w:rsidRPr="00BB7C9E" w:rsidRDefault="009B23FF" w:rsidP="009B23FF">
            <w:pPr>
              <w:jc w:val="right"/>
              <w:rPr>
                <w:rFonts w:cs="Calibri"/>
                <w:color w:val="000000" w:themeColor="text1"/>
                <w:sz w:val="13"/>
                <w:szCs w:val="13"/>
              </w:rPr>
            </w:pPr>
            <w:r w:rsidRPr="00BB7C9E">
              <w:rPr>
                <w:rFonts w:cs="Calibri"/>
                <w:color w:val="000000" w:themeColor="text1"/>
                <w:sz w:val="13"/>
                <w:szCs w:val="13"/>
              </w:rPr>
              <w:t>2 149 703</w:t>
            </w:r>
          </w:p>
        </w:tc>
      </w:tr>
      <w:tr w:rsidR="009B23FF" w:rsidRPr="00BB7C9E" w14:paraId="52D2947A" w14:textId="77777777" w:rsidTr="00722C91">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E550B37" w14:textId="77777777" w:rsidR="009B23FF" w:rsidRPr="00BB7C9E" w:rsidRDefault="009B23FF" w:rsidP="009B23FF">
            <w:pPr>
              <w:rPr>
                <w:rFonts w:cs="Calibri"/>
                <w:color w:val="000000" w:themeColor="text1"/>
                <w:sz w:val="13"/>
                <w:szCs w:val="13"/>
              </w:rPr>
            </w:pPr>
            <w:r w:rsidRPr="00BB7C9E">
              <w:rPr>
                <w:rFonts w:cs="Calibri"/>
                <w:color w:val="000000" w:themeColor="text1"/>
                <w:sz w:val="13"/>
                <w:szCs w:val="13"/>
              </w:rPr>
              <w:t>Skumulowana utrata wartości</w:t>
            </w:r>
          </w:p>
        </w:tc>
        <w:tc>
          <w:tcPr>
            <w:tcW w:w="1418" w:type="dxa"/>
            <w:tcBorders>
              <w:top w:val="nil"/>
              <w:left w:val="nil"/>
              <w:bottom w:val="single" w:sz="4" w:space="0" w:color="0077BD"/>
              <w:right w:val="single" w:sz="8" w:space="0" w:color="0077BD"/>
            </w:tcBorders>
            <w:shd w:val="clear" w:color="auto" w:fill="auto"/>
            <w:noWrap/>
            <w:vAlign w:val="center"/>
            <w:hideMark/>
          </w:tcPr>
          <w:p w14:paraId="7F9C2580" w14:textId="77777777" w:rsidR="009B23FF" w:rsidRPr="00BB7C9E" w:rsidRDefault="009B23FF" w:rsidP="009B23FF">
            <w:pPr>
              <w:jc w:val="right"/>
              <w:rPr>
                <w:rFonts w:cs="Calibri"/>
                <w:color w:val="000000" w:themeColor="text1"/>
                <w:sz w:val="13"/>
                <w:szCs w:val="13"/>
              </w:rPr>
            </w:pPr>
            <w:r w:rsidRPr="00BB7C9E">
              <w:rPr>
                <w:rFonts w:cs="Calibri"/>
                <w:color w:val="000000" w:themeColor="text1"/>
                <w:sz w:val="13"/>
                <w:szCs w:val="13"/>
              </w:rPr>
              <w:t>(102)</w:t>
            </w:r>
          </w:p>
        </w:tc>
        <w:tc>
          <w:tcPr>
            <w:tcW w:w="1418" w:type="dxa"/>
            <w:tcBorders>
              <w:top w:val="nil"/>
              <w:left w:val="nil"/>
              <w:bottom w:val="single" w:sz="4" w:space="0" w:color="0077BD"/>
              <w:right w:val="nil"/>
            </w:tcBorders>
            <w:shd w:val="clear" w:color="auto" w:fill="auto"/>
            <w:noWrap/>
            <w:vAlign w:val="center"/>
            <w:hideMark/>
          </w:tcPr>
          <w:p w14:paraId="2457AE9D" w14:textId="77777777" w:rsidR="009B23FF" w:rsidRPr="00BB7C9E" w:rsidRDefault="009B23FF" w:rsidP="009B23FF">
            <w:pPr>
              <w:jc w:val="right"/>
              <w:rPr>
                <w:rFonts w:cs="Calibri"/>
                <w:color w:val="000000" w:themeColor="text1"/>
                <w:sz w:val="13"/>
                <w:szCs w:val="13"/>
              </w:rPr>
            </w:pPr>
            <w:r w:rsidRPr="00BB7C9E">
              <w:rPr>
                <w:rFonts w:cs="Calibri"/>
                <w:color w:val="000000" w:themeColor="text1"/>
                <w:sz w:val="13"/>
                <w:szCs w:val="13"/>
              </w:rPr>
              <w:t>(1 416)</w:t>
            </w:r>
          </w:p>
        </w:tc>
      </w:tr>
      <w:tr w:rsidR="009B23FF" w:rsidRPr="00BB7C9E" w14:paraId="70DD8FB5" w14:textId="77777777" w:rsidTr="00722C91">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396E52F" w14:textId="77777777" w:rsidR="009B23FF" w:rsidRPr="00BB7C9E" w:rsidRDefault="009B23FF" w:rsidP="009B23FF">
            <w:pPr>
              <w:rPr>
                <w:rFonts w:cs="Calibri"/>
                <w:b/>
                <w:bCs/>
                <w:color w:val="000000" w:themeColor="text1"/>
                <w:sz w:val="13"/>
                <w:szCs w:val="13"/>
              </w:rPr>
            </w:pPr>
            <w:r w:rsidRPr="00BB7C9E">
              <w:rPr>
                <w:rFonts w:cs="Calibri"/>
                <w:b/>
                <w:bCs/>
                <w:color w:val="000000" w:themeColor="text1"/>
                <w:sz w:val="13"/>
                <w:szCs w:val="13"/>
              </w:rPr>
              <w:t>Należności od banków, netto</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7EE3263E" w14:textId="77777777" w:rsidR="009B23FF" w:rsidRPr="00BB7C9E" w:rsidRDefault="009B23FF" w:rsidP="009B23FF">
            <w:pPr>
              <w:jc w:val="right"/>
              <w:rPr>
                <w:rFonts w:cs="Calibri"/>
                <w:b/>
                <w:bCs/>
                <w:color w:val="000000" w:themeColor="text1"/>
                <w:sz w:val="13"/>
                <w:szCs w:val="13"/>
              </w:rPr>
            </w:pPr>
            <w:r w:rsidRPr="00BB7C9E">
              <w:rPr>
                <w:rFonts w:cs="Calibri"/>
                <w:b/>
                <w:bCs/>
                <w:color w:val="000000" w:themeColor="text1"/>
                <w:sz w:val="13"/>
                <w:szCs w:val="13"/>
              </w:rPr>
              <w:t>398 059</w:t>
            </w:r>
          </w:p>
        </w:tc>
        <w:tc>
          <w:tcPr>
            <w:tcW w:w="1418" w:type="dxa"/>
            <w:tcBorders>
              <w:top w:val="single" w:sz="8" w:space="0" w:color="0077BD"/>
              <w:left w:val="nil"/>
              <w:bottom w:val="single" w:sz="8" w:space="0" w:color="0077BD"/>
              <w:right w:val="nil"/>
            </w:tcBorders>
            <w:shd w:val="clear" w:color="auto" w:fill="auto"/>
            <w:noWrap/>
            <w:vAlign w:val="center"/>
            <w:hideMark/>
          </w:tcPr>
          <w:p w14:paraId="6B3F278F" w14:textId="77777777" w:rsidR="009B23FF" w:rsidRPr="00BB7C9E" w:rsidRDefault="009B23FF" w:rsidP="009B23FF">
            <w:pPr>
              <w:jc w:val="right"/>
              <w:rPr>
                <w:rFonts w:cs="Calibri"/>
                <w:b/>
                <w:bCs/>
                <w:color w:val="000000" w:themeColor="text1"/>
                <w:sz w:val="13"/>
                <w:szCs w:val="13"/>
              </w:rPr>
            </w:pPr>
            <w:r w:rsidRPr="00BB7C9E">
              <w:rPr>
                <w:rFonts w:cs="Calibri"/>
                <w:b/>
                <w:bCs/>
                <w:color w:val="000000" w:themeColor="text1"/>
                <w:sz w:val="13"/>
                <w:szCs w:val="13"/>
              </w:rPr>
              <w:t>2 148 287</w:t>
            </w:r>
          </w:p>
        </w:tc>
      </w:tr>
    </w:tbl>
    <w:p w14:paraId="397D0C9B" w14:textId="77777777" w:rsidR="001427CF" w:rsidRPr="007A1BC2" w:rsidRDefault="001427CF" w:rsidP="001D7307">
      <w:pPr>
        <w:rPr>
          <w:b/>
        </w:rPr>
      </w:pPr>
    </w:p>
    <w:p w14:paraId="08E14BC8" w14:textId="77777777" w:rsidR="001D7307" w:rsidRDefault="001D7307" w:rsidP="001D7307">
      <w:pPr>
        <w:rPr>
          <w:b/>
          <w:color w:val="E41E0A"/>
        </w:rPr>
      </w:pPr>
      <w:r w:rsidRPr="00C23CB1">
        <w:rPr>
          <w:b/>
          <w:color w:val="E41E0A"/>
        </w:rPr>
        <w:t>Kredyty i pożyczki udzielone klientom</w:t>
      </w:r>
    </w:p>
    <w:p w14:paraId="74F93E30" w14:textId="3047EECE" w:rsidR="00F248AC" w:rsidRDefault="00F248AC" w:rsidP="00E51A64">
      <w:pPr>
        <w:jc w:val="both"/>
        <w:rPr>
          <w:rFonts w:cs="Tahoma"/>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3969"/>
        <w:gridCol w:w="1389"/>
        <w:gridCol w:w="1389"/>
        <w:gridCol w:w="1389"/>
        <w:gridCol w:w="1389"/>
      </w:tblGrid>
      <w:tr w:rsidR="00C376FC" w:rsidRPr="00E51A64" w14:paraId="6812C0EA" w14:textId="77777777" w:rsidTr="002626DC">
        <w:trPr>
          <w:trHeight w:val="284"/>
        </w:trPr>
        <w:tc>
          <w:tcPr>
            <w:tcW w:w="3969" w:type="dxa"/>
            <w:vMerge w:val="restart"/>
            <w:tcBorders>
              <w:top w:val="nil"/>
              <w:left w:val="nil"/>
              <w:bottom w:val="nil"/>
              <w:right w:val="nil"/>
            </w:tcBorders>
            <w:shd w:val="clear" w:color="000000" w:fill="0077BD"/>
            <w:vAlign w:val="center"/>
            <w:hideMark/>
          </w:tcPr>
          <w:p w14:paraId="4F868564" w14:textId="2705DDA8" w:rsidR="00C376FC" w:rsidRPr="00E51A64" w:rsidRDefault="00C376FC" w:rsidP="008E41C5">
            <w:pPr>
              <w:rPr>
                <w:rFonts w:cs="Calibri"/>
                <w:b/>
                <w:bCs/>
                <w:color w:val="FFFFFF"/>
                <w:sz w:val="13"/>
                <w:szCs w:val="13"/>
              </w:rPr>
            </w:pPr>
            <w:r w:rsidRPr="00E51A64">
              <w:rPr>
                <w:rFonts w:cs="Calibri"/>
                <w:b/>
                <w:bCs/>
                <w:color w:val="FFFFFF"/>
                <w:sz w:val="13"/>
                <w:szCs w:val="13"/>
              </w:rPr>
              <w:t>Kredyty i pożycz</w:t>
            </w:r>
            <w:r>
              <w:rPr>
                <w:rFonts w:cs="Calibri"/>
                <w:b/>
                <w:bCs/>
                <w:color w:val="FFFFFF"/>
                <w:sz w:val="13"/>
                <w:szCs w:val="13"/>
              </w:rPr>
              <w:t>ki udzielone klientom</w:t>
            </w:r>
            <w:r>
              <w:rPr>
                <w:rFonts w:cs="Calibri"/>
                <w:b/>
                <w:bCs/>
                <w:color w:val="FFFFFF"/>
                <w:sz w:val="13"/>
                <w:szCs w:val="13"/>
              </w:rPr>
              <w:br/>
              <w:t>31.12.2019</w:t>
            </w:r>
          </w:p>
        </w:tc>
        <w:tc>
          <w:tcPr>
            <w:tcW w:w="1389" w:type="dxa"/>
            <w:vMerge w:val="restart"/>
            <w:tcBorders>
              <w:top w:val="nil"/>
              <w:left w:val="single" w:sz="8" w:space="0" w:color="FFFFFF"/>
              <w:bottom w:val="nil"/>
              <w:right w:val="single" w:sz="8" w:space="0" w:color="FFFFFF"/>
            </w:tcBorders>
            <w:shd w:val="clear" w:color="000000" w:fill="0077BD"/>
            <w:vAlign w:val="center"/>
            <w:hideMark/>
          </w:tcPr>
          <w:p w14:paraId="76B82B23"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Wartość bilansowa brutto</w:t>
            </w:r>
          </w:p>
        </w:tc>
        <w:tc>
          <w:tcPr>
            <w:tcW w:w="4167" w:type="dxa"/>
            <w:gridSpan w:val="3"/>
            <w:tcBorders>
              <w:top w:val="nil"/>
              <w:left w:val="nil"/>
              <w:bottom w:val="single" w:sz="6" w:space="0" w:color="FFFFFF"/>
              <w:right w:val="nil"/>
            </w:tcBorders>
            <w:shd w:val="clear" w:color="000000" w:fill="0077BD"/>
            <w:vAlign w:val="center"/>
            <w:hideMark/>
          </w:tcPr>
          <w:p w14:paraId="125BD54E" w14:textId="4DCD2179" w:rsidR="00C376FC" w:rsidRPr="00E51A64" w:rsidRDefault="00901A07" w:rsidP="008E41C5">
            <w:pPr>
              <w:jc w:val="center"/>
              <w:rPr>
                <w:rFonts w:cs="Calibri"/>
                <w:b/>
                <w:bCs/>
                <w:color w:val="FFFFFF"/>
                <w:sz w:val="13"/>
                <w:szCs w:val="13"/>
              </w:rPr>
            </w:pPr>
            <w:r>
              <w:rPr>
                <w:rFonts w:cs="Calibri"/>
                <w:b/>
                <w:bCs/>
                <w:color w:val="FFFFFF"/>
                <w:sz w:val="13"/>
                <w:szCs w:val="13"/>
              </w:rPr>
              <w:t>w tym:</w:t>
            </w:r>
          </w:p>
        </w:tc>
      </w:tr>
      <w:tr w:rsidR="00C376FC" w:rsidRPr="00E51A64" w14:paraId="156A3887" w14:textId="77777777" w:rsidTr="002626DC">
        <w:trPr>
          <w:trHeight w:val="340"/>
        </w:trPr>
        <w:tc>
          <w:tcPr>
            <w:tcW w:w="3969" w:type="dxa"/>
            <w:vMerge/>
            <w:tcBorders>
              <w:top w:val="nil"/>
              <w:left w:val="nil"/>
              <w:bottom w:val="nil"/>
              <w:right w:val="nil"/>
            </w:tcBorders>
            <w:vAlign w:val="center"/>
            <w:hideMark/>
          </w:tcPr>
          <w:p w14:paraId="327FB7F6" w14:textId="77777777" w:rsidR="00C376FC" w:rsidRPr="00E51A64" w:rsidRDefault="00C376FC" w:rsidP="008E41C5">
            <w:pPr>
              <w:rPr>
                <w:rFonts w:cs="Calibri"/>
                <w:b/>
                <w:bCs/>
                <w:color w:val="FFFFFF"/>
                <w:sz w:val="13"/>
                <w:szCs w:val="13"/>
              </w:rPr>
            </w:pPr>
          </w:p>
        </w:tc>
        <w:tc>
          <w:tcPr>
            <w:tcW w:w="1389" w:type="dxa"/>
            <w:vMerge/>
            <w:tcBorders>
              <w:top w:val="nil"/>
              <w:left w:val="single" w:sz="8" w:space="0" w:color="FFFFFF"/>
              <w:bottom w:val="nil"/>
              <w:right w:val="single" w:sz="8" w:space="0" w:color="FFFFFF"/>
            </w:tcBorders>
            <w:vAlign w:val="center"/>
            <w:hideMark/>
          </w:tcPr>
          <w:p w14:paraId="68C121DF" w14:textId="77777777" w:rsidR="00C376FC" w:rsidRPr="00E51A64" w:rsidRDefault="00C376FC" w:rsidP="008E41C5">
            <w:pPr>
              <w:rPr>
                <w:rFonts w:cs="Calibri"/>
                <w:b/>
                <w:bCs/>
                <w:color w:val="FFFFFF"/>
                <w:sz w:val="13"/>
                <w:szCs w:val="13"/>
              </w:rPr>
            </w:pPr>
          </w:p>
        </w:tc>
        <w:tc>
          <w:tcPr>
            <w:tcW w:w="1389" w:type="dxa"/>
            <w:tcBorders>
              <w:top w:val="single" w:sz="6" w:space="0" w:color="FFFFFF"/>
              <w:left w:val="nil"/>
              <w:bottom w:val="nil"/>
              <w:right w:val="nil"/>
            </w:tcBorders>
            <w:shd w:val="clear" w:color="000000" w:fill="0077BD"/>
            <w:vAlign w:val="center"/>
            <w:hideMark/>
          </w:tcPr>
          <w:p w14:paraId="543D491E"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indywidualni</w:t>
            </w:r>
          </w:p>
        </w:tc>
        <w:tc>
          <w:tcPr>
            <w:tcW w:w="1389" w:type="dxa"/>
            <w:tcBorders>
              <w:top w:val="single" w:sz="6" w:space="0" w:color="FFFFFF"/>
              <w:left w:val="single" w:sz="8" w:space="0" w:color="FFFFFF"/>
              <w:bottom w:val="nil"/>
              <w:right w:val="nil"/>
            </w:tcBorders>
            <w:shd w:val="clear" w:color="000000" w:fill="0077BD"/>
            <w:vAlign w:val="center"/>
            <w:hideMark/>
          </w:tcPr>
          <w:p w14:paraId="4E2AED52"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korporacyjni</w:t>
            </w:r>
          </w:p>
        </w:tc>
        <w:tc>
          <w:tcPr>
            <w:tcW w:w="1389" w:type="dxa"/>
            <w:tcBorders>
              <w:top w:val="single" w:sz="6" w:space="0" w:color="FFFFFF"/>
              <w:left w:val="single" w:sz="8" w:space="0" w:color="FFFFFF"/>
              <w:bottom w:val="nil"/>
              <w:right w:val="nil"/>
            </w:tcBorders>
            <w:shd w:val="clear" w:color="000000" w:fill="0077BD"/>
            <w:vAlign w:val="center"/>
            <w:hideMark/>
          </w:tcPr>
          <w:p w14:paraId="5FDF526E"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budżetowi</w:t>
            </w:r>
          </w:p>
        </w:tc>
      </w:tr>
      <w:tr w:rsidR="007155E9" w:rsidRPr="00BB7C9E" w14:paraId="0747663D"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7076278"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Należności bieżące</w:t>
            </w:r>
          </w:p>
        </w:tc>
        <w:tc>
          <w:tcPr>
            <w:tcW w:w="1389" w:type="dxa"/>
            <w:tcBorders>
              <w:top w:val="nil"/>
              <w:left w:val="nil"/>
              <w:bottom w:val="single" w:sz="4" w:space="0" w:color="0077BD"/>
              <w:right w:val="single" w:sz="8" w:space="0" w:color="0077BD"/>
            </w:tcBorders>
            <w:shd w:val="clear" w:color="auto" w:fill="auto"/>
            <w:vAlign w:val="center"/>
          </w:tcPr>
          <w:p w14:paraId="61595DBF" w14:textId="266FD055"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13 455 553</w:t>
            </w:r>
          </w:p>
        </w:tc>
        <w:tc>
          <w:tcPr>
            <w:tcW w:w="1389" w:type="dxa"/>
            <w:tcBorders>
              <w:top w:val="nil"/>
              <w:left w:val="nil"/>
              <w:bottom w:val="single" w:sz="4" w:space="0" w:color="0077BD"/>
              <w:right w:val="nil"/>
            </w:tcBorders>
            <w:shd w:val="clear" w:color="auto" w:fill="auto"/>
            <w:noWrap/>
            <w:vAlign w:val="center"/>
          </w:tcPr>
          <w:p w14:paraId="3C6E6584" w14:textId="27D34C62"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7 493 468</w:t>
            </w:r>
          </w:p>
        </w:tc>
        <w:tc>
          <w:tcPr>
            <w:tcW w:w="1389" w:type="dxa"/>
            <w:tcBorders>
              <w:top w:val="nil"/>
              <w:left w:val="single" w:sz="8" w:space="0" w:color="0077BD"/>
              <w:bottom w:val="single" w:sz="4" w:space="0" w:color="0077BD"/>
              <w:right w:val="single" w:sz="8" w:space="0" w:color="0077BD"/>
            </w:tcBorders>
            <w:shd w:val="clear" w:color="auto" w:fill="auto"/>
            <w:noWrap/>
            <w:vAlign w:val="center"/>
          </w:tcPr>
          <w:p w14:paraId="72395FD4" w14:textId="7F6F14A3"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5 958 926</w:t>
            </w:r>
          </w:p>
        </w:tc>
        <w:tc>
          <w:tcPr>
            <w:tcW w:w="1389" w:type="dxa"/>
            <w:tcBorders>
              <w:top w:val="nil"/>
              <w:left w:val="nil"/>
              <w:bottom w:val="single" w:sz="4" w:space="0" w:color="0077BD"/>
              <w:right w:val="nil"/>
            </w:tcBorders>
            <w:shd w:val="clear" w:color="auto" w:fill="auto"/>
            <w:noWrap/>
            <w:vAlign w:val="center"/>
          </w:tcPr>
          <w:p w14:paraId="1E1E30EB" w14:textId="01D2A824"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3 159</w:t>
            </w:r>
          </w:p>
        </w:tc>
      </w:tr>
      <w:tr w:rsidR="007155E9" w:rsidRPr="00BB7C9E" w14:paraId="0EAA4EEB"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5929F4D8"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Kredyty terminowe, w tym:</w:t>
            </w:r>
          </w:p>
        </w:tc>
        <w:tc>
          <w:tcPr>
            <w:tcW w:w="1389" w:type="dxa"/>
            <w:tcBorders>
              <w:top w:val="nil"/>
              <w:left w:val="nil"/>
              <w:bottom w:val="single" w:sz="4" w:space="0" w:color="0077BD"/>
              <w:right w:val="nil"/>
            </w:tcBorders>
            <w:shd w:val="clear" w:color="auto" w:fill="auto"/>
            <w:vAlign w:val="center"/>
          </w:tcPr>
          <w:p w14:paraId="39A2F5A2" w14:textId="6A6573C5"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78 051 279</w:t>
            </w:r>
          </w:p>
        </w:tc>
        <w:tc>
          <w:tcPr>
            <w:tcW w:w="1389" w:type="dxa"/>
            <w:tcBorders>
              <w:top w:val="nil"/>
              <w:left w:val="single" w:sz="8" w:space="0" w:color="0077BD"/>
              <w:bottom w:val="single" w:sz="4" w:space="0" w:color="0077BD"/>
              <w:right w:val="nil"/>
            </w:tcBorders>
            <w:shd w:val="clear" w:color="auto" w:fill="auto"/>
            <w:noWrap/>
            <w:vAlign w:val="center"/>
          </w:tcPr>
          <w:p w14:paraId="3BB628A9" w14:textId="03A9B118"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50 819 397</w:t>
            </w:r>
          </w:p>
        </w:tc>
        <w:tc>
          <w:tcPr>
            <w:tcW w:w="1389" w:type="dxa"/>
            <w:tcBorders>
              <w:top w:val="nil"/>
              <w:left w:val="single" w:sz="8" w:space="0" w:color="0077BD"/>
              <w:bottom w:val="single" w:sz="4" w:space="0" w:color="0077BD"/>
              <w:right w:val="nil"/>
            </w:tcBorders>
            <w:shd w:val="clear" w:color="auto" w:fill="auto"/>
            <w:noWrap/>
            <w:vAlign w:val="center"/>
          </w:tcPr>
          <w:p w14:paraId="5642A8F2" w14:textId="1498092A"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26 850 332</w:t>
            </w:r>
          </w:p>
        </w:tc>
        <w:tc>
          <w:tcPr>
            <w:tcW w:w="1389" w:type="dxa"/>
            <w:tcBorders>
              <w:top w:val="nil"/>
              <w:left w:val="single" w:sz="8" w:space="0" w:color="0077BD"/>
              <w:bottom w:val="single" w:sz="4" w:space="0" w:color="0077BD"/>
              <w:right w:val="nil"/>
            </w:tcBorders>
            <w:shd w:val="clear" w:color="auto" w:fill="auto"/>
            <w:noWrap/>
            <w:vAlign w:val="center"/>
          </w:tcPr>
          <w:p w14:paraId="565825AD" w14:textId="63C754F8"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381 550</w:t>
            </w:r>
          </w:p>
        </w:tc>
      </w:tr>
      <w:tr w:rsidR="007155E9" w:rsidRPr="00BB7C9E" w14:paraId="21422851" w14:textId="77777777" w:rsidTr="0090001D">
        <w:trPr>
          <w:trHeight w:val="340"/>
        </w:trPr>
        <w:tc>
          <w:tcPr>
            <w:tcW w:w="3969" w:type="dxa"/>
            <w:tcBorders>
              <w:top w:val="nil"/>
              <w:left w:val="nil"/>
              <w:bottom w:val="single" w:sz="4" w:space="0" w:color="0077BD"/>
              <w:right w:val="single" w:sz="8" w:space="0" w:color="0077BD"/>
            </w:tcBorders>
            <w:shd w:val="clear" w:color="auto" w:fill="auto"/>
            <w:vAlign w:val="center"/>
            <w:hideMark/>
          </w:tcPr>
          <w:p w14:paraId="36A24485" w14:textId="1E278895" w:rsidR="007155E9" w:rsidRPr="00BB7C9E" w:rsidRDefault="00B8443C" w:rsidP="00B8443C">
            <w:pPr>
              <w:ind w:left="114" w:hanging="114"/>
              <w:rPr>
                <w:rFonts w:cs="Calibri"/>
                <w:i/>
                <w:iCs/>
                <w:color w:val="000000" w:themeColor="text1"/>
                <w:sz w:val="13"/>
                <w:szCs w:val="13"/>
              </w:rPr>
            </w:pPr>
            <w:r>
              <w:rPr>
                <w:rFonts w:cs="Calibri"/>
                <w:i/>
                <w:iCs/>
                <w:color w:val="000000" w:themeColor="text1"/>
                <w:sz w:val="13"/>
                <w:szCs w:val="13"/>
              </w:rPr>
              <w:t xml:space="preserve">- </w:t>
            </w:r>
            <w:r w:rsidR="007155E9" w:rsidRPr="00BB7C9E">
              <w:rPr>
                <w:rFonts w:cs="Calibri"/>
                <w:i/>
                <w:iCs/>
                <w:color w:val="000000" w:themeColor="text1"/>
                <w:sz w:val="13"/>
                <w:szCs w:val="13"/>
              </w:rPr>
              <w:t xml:space="preserve">kredyty hipoteczne i mieszkaniowe </w:t>
            </w:r>
            <w:r>
              <w:rPr>
                <w:rFonts w:cs="Calibri"/>
                <w:i/>
                <w:iCs/>
                <w:color w:val="000000" w:themeColor="text1"/>
                <w:sz w:val="13"/>
                <w:szCs w:val="13"/>
              </w:rPr>
              <w:t>udzielone osobom fizycznym</w:t>
            </w:r>
          </w:p>
        </w:tc>
        <w:tc>
          <w:tcPr>
            <w:tcW w:w="1389" w:type="dxa"/>
            <w:tcBorders>
              <w:top w:val="nil"/>
              <w:left w:val="nil"/>
              <w:bottom w:val="single" w:sz="4" w:space="0" w:color="0077BD"/>
              <w:right w:val="nil"/>
            </w:tcBorders>
            <w:shd w:val="clear" w:color="auto" w:fill="auto"/>
            <w:vAlign w:val="center"/>
          </w:tcPr>
          <w:p w14:paraId="0A2B702C" w14:textId="15416E46" w:rsidR="007155E9" w:rsidRPr="007155E9" w:rsidRDefault="007155E9" w:rsidP="007155E9">
            <w:pPr>
              <w:jc w:val="right"/>
              <w:rPr>
                <w:rFonts w:cs="Calibri"/>
                <w:i/>
                <w:iCs/>
                <w:color w:val="000000" w:themeColor="text1"/>
                <w:sz w:val="13"/>
                <w:szCs w:val="13"/>
              </w:rPr>
            </w:pPr>
            <w:r w:rsidRPr="007155E9">
              <w:rPr>
                <w:rFonts w:cs="Calibri"/>
                <w:i/>
                <w:iCs/>
                <w:color w:val="000000" w:themeColor="text1"/>
                <w:sz w:val="13"/>
                <w:szCs w:val="13"/>
              </w:rPr>
              <w:t>38 979 040</w:t>
            </w:r>
          </w:p>
        </w:tc>
        <w:tc>
          <w:tcPr>
            <w:tcW w:w="1389" w:type="dxa"/>
            <w:tcBorders>
              <w:top w:val="nil"/>
              <w:left w:val="single" w:sz="8" w:space="0" w:color="0077BD"/>
              <w:bottom w:val="single" w:sz="4" w:space="0" w:color="0077BD"/>
              <w:right w:val="nil"/>
            </w:tcBorders>
            <w:shd w:val="clear" w:color="auto" w:fill="auto"/>
            <w:noWrap/>
            <w:vAlign w:val="center"/>
          </w:tcPr>
          <w:p w14:paraId="3F7AF0E5" w14:textId="77F4BA0C" w:rsidR="007155E9" w:rsidRPr="007155E9" w:rsidRDefault="007155E9" w:rsidP="007155E9">
            <w:pPr>
              <w:jc w:val="right"/>
              <w:rPr>
                <w:rFonts w:cs="Calibri"/>
                <w:i/>
                <w:iCs/>
                <w:color w:val="000000" w:themeColor="text1"/>
                <w:sz w:val="13"/>
                <w:szCs w:val="13"/>
              </w:rPr>
            </w:pPr>
            <w:r w:rsidRPr="007155E9">
              <w:rPr>
                <w:rFonts w:cs="Calibri"/>
                <w:i/>
                <w:iCs/>
                <w:color w:val="000000" w:themeColor="text1"/>
                <w:sz w:val="13"/>
                <w:szCs w:val="13"/>
              </w:rPr>
              <w:t>38 979 040</w:t>
            </w:r>
          </w:p>
        </w:tc>
        <w:tc>
          <w:tcPr>
            <w:tcW w:w="1389" w:type="dxa"/>
            <w:tcBorders>
              <w:top w:val="nil"/>
              <w:left w:val="single" w:sz="8" w:space="0" w:color="0077BD"/>
              <w:bottom w:val="single" w:sz="4" w:space="0" w:color="0077BD"/>
              <w:right w:val="nil"/>
            </w:tcBorders>
            <w:shd w:val="thinDiagStripe" w:color="000000" w:fill="auto"/>
            <w:noWrap/>
            <w:vAlign w:val="center"/>
          </w:tcPr>
          <w:p w14:paraId="6A7861C6" w14:textId="1E34A81D" w:rsidR="007155E9" w:rsidRPr="007155E9" w:rsidRDefault="007155E9" w:rsidP="007155E9">
            <w:pPr>
              <w:jc w:val="right"/>
              <w:rPr>
                <w:rFonts w:cs="Calibri"/>
                <w:i/>
                <w:iCs/>
                <w:color w:val="000000" w:themeColor="text1"/>
                <w:sz w:val="13"/>
                <w:szCs w:val="13"/>
              </w:rPr>
            </w:pPr>
          </w:p>
        </w:tc>
        <w:tc>
          <w:tcPr>
            <w:tcW w:w="1389" w:type="dxa"/>
            <w:tcBorders>
              <w:top w:val="nil"/>
              <w:left w:val="single" w:sz="8" w:space="0" w:color="0077BD"/>
              <w:bottom w:val="single" w:sz="4" w:space="0" w:color="0077BD"/>
              <w:right w:val="nil"/>
            </w:tcBorders>
            <w:shd w:val="thinDiagStripe" w:color="000000" w:fill="auto"/>
            <w:noWrap/>
            <w:vAlign w:val="center"/>
          </w:tcPr>
          <w:p w14:paraId="274BC7F1" w14:textId="5B9FD82A" w:rsidR="007155E9" w:rsidRPr="007155E9" w:rsidRDefault="007155E9" w:rsidP="007155E9">
            <w:pPr>
              <w:jc w:val="right"/>
              <w:rPr>
                <w:rFonts w:cs="Calibri"/>
                <w:i/>
                <w:iCs/>
                <w:color w:val="000000" w:themeColor="text1"/>
                <w:sz w:val="13"/>
                <w:szCs w:val="13"/>
              </w:rPr>
            </w:pPr>
          </w:p>
        </w:tc>
      </w:tr>
      <w:tr w:rsidR="007155E9" w:rsidRPr="00BB7C9E" w14:paraId="4BB2F496"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02117502" w14:textId="29A97B03" w:rsidR="007155E9" w:rsidRPr="00BB7C9E" w:rsidRDefault="009F558E" w:rsidP="009F558E">
            <w:pPr>
              <w:rPr>
                <w:rFonts w:cs="Calibri"/>
                <w:color w:val="000000" w:themeColor="text1"/>
                <w:sz w:val="13"/>
                <w:szCs w:val="13"/>
                <w:lang w:val="en-US"/>
              </w:rPr>
            </w:pPr>
            <w:r>
              <w:rPr>
                <w:rFonts w:cs="Calibri"/>
                <w:color w:val="000000" w:themeColor="text1"/>
                <w:sz w:val="13"/>
                <w:szCs w:val="13"/>
                <w:lang w:val="en-US"/>
              </w:rPr>
              <w:t xml:space="preserve">Transakcje reverse repo lub buy/sell </w:t>
            </w:r>
            <w:r w:rsidR="007155E9" w:rsidRPr="00BB7C9E">
              <w:rPr>
                <w:rFonts w:cs="Calibri"/>
                <w:color w:val="000000" w:themeColor="text1"/>
                <w:sz w:val="13"/>
                <w:szCs w:val="13"/>
                <w:lang w:val="en-US"/>
              </w:rPr>
              <w:t>back</w:t>
            </w:r>
          </w:p>
        </w:tc>
        <w:tc>
          <w:tcPr>
            <w:tcW w:w="1389" w:type="dxa"/>
            <w:tcBorders>
              <w:top w:val="nil"/>
              <w:left w:val="nil"/>
              <w:bottom w:val="single" w:sz="4" w:space="0" w:color="0077BD"/>
              <w:right w:val="nil"/>
            </w:tcBorders>
            <w:shd w:val="clear" w:color="auto" w:fill="auto"/>
            <w:vAlign w:val="center"/>
          </w:tcPr>
          <w:p w14:paraId="72C28F70" w14:textId="11E5885F" w:rsidR="007155E9" w:rsidRPr="007155E9" w:rsidRDefault="007155E9" w:rsidP="007155E9">
            <w:pPr>
              <w:jc w:val="right"/>
              <w:rPr>
                <w:rFonts w:cs="Calibri"/>
                <w:color w:val="000000" w:themeColor="text1"/>
                <w:sz w:val="13"/>
                <w:szCs w:val="13"/>
                <w:lang w:val="en-US"/>
              </w:rPr>
            </w:pPr>
            <w:r w:rsidRPr="007155E9">
              <w:rPr>
                <w:rFonts w:cs="Calibri"/>
                <w:color w:val="000000" w:themeColor="text1"/>
                <w:sz w:val="13"/>
                <w:szCs w:val="13"/>
              </w:rPr>
              <w:t>13 398</w:t>
            </w:r>
          </w:p>
        </w:tc>
        <w:tc>
          <w:tcPr>
            <w:tcW w:w="1389" w:type="dxa"/>
            <w:tcBorders>
              <w:top w:val="nil"/>
              <w:left w:val="single" w:sz="8" w:space="0" w:color="0077BD"/>
              <w:bottom w:val="single" w:sz="4" w:space="0" w:color="0077BD"/>
              <w:right w:val="nil"/>
            </w:tcBorders>
            <w:shd w:val="clear" w:color="auto" w:fill="auto"/>
            <w:noWrap/>
            <w:vAlign w:val="center"/>
          </w:tcPr>
          <w:p w14:paraId="2D05A0FF" w14:textId="6CCDA553" w:rsidR="007155E9" w:rsidRPr="007155E9" w:rsidRDefault="007155E9" w:rsidP="007155E9">
            <w:pPr>
              <w:jc w:val="right"/>
              <w:rPr>
                <w:rFonts w:cs="Calibri"/>
                <w:color w:val="000000" w:themeColor="text1"/>
                <w:sz w:val="13"/>
                <w:szCs w:val="13"/>
                <w:lang w:val="en-US"/>
              </w:rPr>
            </w:pP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tcPr>
          <w:p w14:paraId="4BFE1101" w14:textId="10D8E481" w:rsidR="007155E9" w:rsidRPr="007155E9" w:rsidRDefault="007155E9" w:rsidP="007155E9">
            <w:pPr>
              <w:jc w:val="right"/>
              <w:rPr>
                <w:rFonts w:cs="Calibri"/>
                <w:color w:val="000000" w:themeColor="text1"/>
                <w:sz w:val="13"/>
                <w:szCs w:val="13"/>
                <w:lang w:val="en-US"/>
              </w:rPr>
            </w:pPr>
            <w:r w:rsidRPr="007155E9">
              <w:rPr>
                <w:rFonts w:cs="Calibri"/>
                <w:color w:val="000000" w:themeColor="text1"/>
                <w:sz w:val="13"/>
                <w:szCs w:val="13"/>
              </w:rPr>
              <w:t>13 398</w:t>
            </w:r>
          </w:p>
        </w:tc>
        <w:tc>
          <w:tcPr>
            <w:tcW w:w="1389" w:type="dxa"/>
            <w:tcBorders>
              <w:top w:val="nil"/>
              <w:left w:val="single" w:sz="8" w:space="0" w:color="0077BD"/>
              <w:bottom w:val="single" w:sz="4" w:space="0" w:color="0077BD"/>
              <w:right w:val="nil"/>
            </w:tcBorders>
            <w:shd w:val="clear" w:color="auto" w:fill="auto"/>
            <w:noWrap/>
            <w:vAlign w:val="center"/>
            <w:hideMark/>
          </w:tcPr>
          <w:p w14:paraId="6CDF404E" w14:textId="2F26D4C9"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r>
      <w:tr w:rsidR="007155E9" w:rsidRPr="00BB7C9E" w14:paraId="223B30B6"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B5DE8E6"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Leasing finansowy</w:t>
            </w:r>
          </w:p>
        </w:tc>
        <w:tc>
          <w:tcPr>
            <w:tcW w:w="1389" w:type="dxa"/>
            <w:tcBorders>
              <w:top w:val="nil"/>
              <w:left w:val="nil"/>
              <w:bottom w:val="single" w:sz="4" w:space="0" w:color="0077BD"/>
              <w:right w:val="nil"/>
            </w:tcBorders>
            <w:shd w:val="clear" w:color="auto" w:fill="auto"/>
            <w:vAlign w:val="center"/>
          </w:tcPr>
          <w:p w14:paraId="4CBC8131" w14:textId="34782E2B"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11 631 675</w:t>
            </w:r>
          </w:p>
        </w:tc>
        <w:tc>
          <w:tcPr>
            <w:tcW w:w="1389" w:type="dxa"/>
            <w:tcBorders>
              <w:top w:val="nil"/>
              <w:left w:val="single" w:sz="8" w:space="0" w:color="0077BD"/>
              <w:bottom w:val="single" w:sz="4" w:space="0" w:color="0077BD"/>
              <w:right w:val="nil"/>
            </w:tcBorders>
            <w:shd w:val="clear" w:color="auto" w:fill="auto"/>
            <w:noWrap/>
            <w:vAlign w:val="center"/>
          </w:tcPr>
          <w:p w14:paraId="76B51322" w14:textId="091F8560"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tcPr>
          <w:p w14:paraId="1BABF37E" w14:textId="2392FFF5"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11 631 675</w:t>
            </w:r>
          </w:p>
        </w:tc>
        <w:tc>
          <w:tcPr>
            <w:tcW w:w="1389" w:type="dxa"/>
            <w:tcBorders>
              <w:top w:val="nil"/>
              <w:left w:val="single" w:sz="8" w:space="0" w:color="0077BD"/>
              <w:bottom w:val="single" w:sz="4" w:space="0" w:color="0077BD"/>
              <w:right w:val="nil"/>
            </w:tcBorders>
            <w:shd w:val="clear" w:color="auto" w:fill="auto"/>
            <w:noWrap/>
            <w:vAlign w:val="center"/>
            <w:hideMark/>
          </w:tcPr>
          <w:p w14:paraId="2EA8F13B" w14:textId="0923F649"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r>
      <w:tr w:rsidR="007155E9" w:rsidRPr="00BB7C9E" w14:paraId="42E72120"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53C88C82"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Pozostałe należności kredytowe</w:t>
            </w:r>
          </w:p>
        </w:tc>
        <w:tc>
          <w:tcPr>
            <w:tcW w:w="1389" w:type="dxa"/>
            <w:tcBorders>
              <w:top w:val="nil"/>
              <w:left w:val="nil"/>
              <w:bottom w:val="single" w:sz="4" w:space="0" w:color="0077BD"/>
              <w:right w:val="nil"/>
            </w:tcBorders>
            <w:shd w:val="clear" w:color="auto" w:fill="auto"/>
            <w:vAlign w:val="center"/>
          </w:tcPr>
          <w:p w14:paraId="4FC341A0" w14:textId="36C75CFA"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2 629 690</w:t>
            </w:r>
          </w:p>
        </w:tc>
        <w:tc>
          <w:tcPr>
            <w:tcW w:w="1389" w:type="dxa"/>
            <w:tcBorders>
              <w:top w:val="nil"/>
              <w:left w:val="single" w:sz="8" w:space="0" w:color="0077BD"/>
              <w:bottom w:val="single" w:sz="4" w:space="0" w:color="0077BD"/>
              <w:right w:val="nil"/>
            </w:tcBorders>
            <w:shd w:val="clear" w:color="auto" w:fill="auto"/>
            <w:noWrap/>
            <w:vAlign w:val="center"/>
          </w:tcPr>
          <w:p w14:paraId="10B96E45" w14:textId="47B82879"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tcPr>
          <w:p w14:paraId="34C80A0F" w14:textId="2E493E34"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2 629 690</w:t>
            </w:r>
          </w:p>
        </w:tc>
        <w:tc>
          <w:tcPr>
            <w:tcW w:w="1389" w:type="dxa"/>
            <w:tcBorders>
              <w:top w:val="nil"/>
              <w:left w:val="single" w:sz="8" w:space="0" w:color="0077BD"/>
              <w:bottom w:val="single" w:sz="4" w:space="0" w:color="0077BD"/>
              <w:right w:val="nil"/>
            </w:tcBorders>
            <w:shd w:val="clear" w:color="auto" w:fill="auto"/>
            <w:noWrap/>
            <w:vAlign w:val="center"/>
            <w:hideMark/>
          </w:tcPr>
          <w:p w14:paraId="7936B5BE" w14:textId="29F84B45"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r>
      <w:tr w:rsidR="007155E9" w:rsidRPr="00BB7C9E" w14:paraId="7BB1643D" w14:textId="77777777" w:rsidTr="00C376FC">
        <w:trPr>
          <w:trHeight w:val="284"/>
        </w:trPr>
        <w:tc>
          <w:tcPr>
            <w:tcW w:w="3969" w:type="dxa"/>
            <w:tcBorders>
              <w:top w:val="nil"/>
              <w:left w:val="nil"/>
              <w:bottom w:val="nil"/>
              <w:right w:val="single" w:sz="8" w:space="0" w:color="0077BD"/>
            </w:tcBorders>
            <w:shd w:val="clear" w:color="auto" w:fill="auto"/>
            <w:vAlign w:val="center"/>
            <w:hideMark/>
          </w:tcPr>
          <w:p w14:paraId="37EEA011"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Inne należności</w:t>
            </w:r>
          </w:p>
        </w:tc>
        <w:tc>
          <w:tcPr>
            <w:tcW w:w="1389" w:type="dxa"/>
            <w:tcBorders>
              <w:top w:val="nil"/>
              <w:left w:val="nil"/>
              <w:bottom w:val="nil"/>
              <w:right w:val="nil"/>
            </w:tcBorders>
            <w:shd w:val="clear" w:color="auto" w:fill="auto"/>
            <w:vAlign w:val="center"/>
          </w:tcPr>
          <w:p w14:paraId="587F850A" w14:textId="17ACDB65"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611 937</w:t>
            </w:r>
          </w:p>
        </w:tc>
        <w:tc>
          <w:tcPr>
            <w:tcW w:w="1389" w:type="dxa"/>
            <w:tcBorders>
              <w:top w:val="nil"/>
              <w:left w:val="single" w:sz="8" w:space="0" w:color="0077BD"/>
              <w:bottom w:val="nil"/>
              <w:right w:val="nil"/>
            </w:tcBorders>
            <w:shd w:val="clear" w:color="auto" w:fill="auto"/>
            <w:noWrap/>
            <w:vAlign w:val="center"/>
          </w:tcPr>
          <w:p w14:paraId="2F1FBACF" w14:textId="2EAE7C0E"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362 026</w:t>
            </w:r>
          </w:p>
        </w:tc>
        <w:tc>
          <w:tcPr>
            <w:tcW w:w="1389" w:type="dxa"/>
            <w:tcBorders>
              <w:top w:val="nil"/>
              <w:left w:val="single" w:sz="8" w:space="0" w:color="0077BD"/>
              <w:bottom w:val="nil"/>
              <w:right w:val="nil"/>
            </w:tcBorders>
            <w:shd w:val="clear" w:color="auto" w:fill="auto"/>
            <w:noWrap/>
            <w:vAlign w:val="center"/>
          </w:tcPr>
          <w:p w14:paraId="6F4E596F" w14:textId="20D40147"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249 911</w:t>
            </w:r>
          </w:p>
        </w:tc>
        <w:tc>
          <w:tcPr>
            <w:tcW w:w="1389" w:type="dxa"/>
            <w:tcBorders>
              <w:top w:val="nil"/>
              <w:left w:val="single" w:sz="8" w:space="0" w:color="0077BD"/>
              <w:bottom w:val="nil"/>
              <w:right w:val="nil"/>
            </w:tcBorders>
            <w:shd w:val="clear" w:color="auto" w:fill="auto"/>
            <w:noWrap/>
            <w:vAlign w:val="center"/>
            <w:hideMark/>
          </w:tcPr>
          <w:p w14:paraId="2BC9E70B" w14:textId="747C836D"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r>
      <w:tr w:rsidR="007155E9" w:rsidRPr="00BB7C9E" w14:paraId="0ACECC13" w14:textId="77777777" w:rsidTr="00F0324E">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5F5F70CB" w14:textId="77777777" w:rsidR="007155E9" w:rsidRPr="00BB7C9E" w:rsidRDefault="007155E9" w:rsidP="007155E9">
            <w:pPr>
              <w:rPr>
                <w:rFonts w:cs="Calibri"/>
                <w:b/>
                <w:bCs/>
                <w:color w:val="000000" w:themeColor="text1"/>
                <w:sz w:val="13"/>
                <w:szCs w:val="13"/>
              </w:rPr>
            </w:pPr>
            <w:r w:rsidRPr="00BB7C9E">
              <w:rPr>
                <w:rFonts w:cs="Calibri"/>
                <w:b/>
                <w:bCs/>
                <w:color w:val="000000" w:themeColor="text1"/>
                <w:sz w:val="13"/>
                <w:szCs w:val="13"/>
              </w:rPr>
              <w:t>Wartość bilansowa brutto, razem</w:t>
            </w:r>
          </w:p>
        </w:tc>
        <w:tc>
          <w:tcPr>
            <w:tcW w:w="1389"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B7706AB" w14:textId="6AA14601" w:rsidR="007155E9" w:rsidRPr="007155E9" w:rsidRDefault="007155E9" w:rsidP="007155E9">
            <w:pPr>
              <w:jc w:val="right"/>
              <w:rPr>
                <w:rFonts w:cs="Calibri"/>
                <w:b/>
                <w:bCs/>
                <w:color w:val="000000" w:themeColor="text1"/>
                <w:sz w:val="13"/>
                <w:szCs w:val="13"/>
              </w:rPr>
            </w:pPr>
            <w:r w:rsidRPr="007155E9">
              <w:rPr>
                <w:rFonts w:cs="Calibri"/>
                <w:b/>
                <w:bCs/>
                <w:color w:val="000000" w:themeColor="text1"/>
                <w:sz w:val="13"/>
                <w:szCs w:val="13"/>
              </w:rPr>
              <w:t>106 393 532</w:t>
            </w:r>
          </w:p>
        </w:tc>
        <w:tc>
          <w:tcPr>
            <w:tcW w:w="1389" w:type="dxa"/>
            <w:tcBorders>
              <w:top w:val="single" w:sz="8" w:space="0" w:color="0077BD"/>
              <w:left w:val="nil"/>
              <w:bottom w:val="single" w:sz="8" w:space="0" w:color="0077BD"/>
              <w:right w:val="single" w:sz="8" w:space="0" w:color="0077BD"/>
            </w:tcBorders>
            <w:shd w:val="clear" w:color="auto" w:fill="auto"/>
            <w:vAlign w:val="center"/>
          </w:tcPr>
          <w:p w14:paraId="5047AFAD" w14:textId="66512B0B" w:rsidR="007155E9" w:rsidRPr="007155E9" w:rsidRDefault="007155E9" w:rsidP="007155E9">
            <w:pPr>
              <w:jc w:val="right"/>
              <w:rPr>
                <w:rFonts w:cs="Calibri"/>
                <w:b/>
                <w:bCs/>
                <w:color w:val="000000" w:themeColor="text1"/>
                <w:sz w:val="13"/>
                <w:szCs w:val="13"/>
              </w:rPr>
            </w:pPr>
            <w:r w:rsidRPr="007155E9">
              <w:rPr>
                <w:rFonts w:cs="Calibri"/>
                <w:b/>
                <w:bCs/>
                <w:color w:val="000000" w:themeColor="text1"/>
                <w:sz w:val="13"/>
                <w:szCs w:val="13"/>
              </w:rPr>
              <w:t>58 674 891</w:t>
            </w:r>
          </w:p>
        </w:tc>
        <w:tc>
          <w:tcPr>
            <w:tcW w:w="1389" w:type="dxa"/>
            <w:tcBorders>
              <w:top w:val="single" w:sz="8" w:space="0" w:color="0077BD"/>
              <w:left w:val="nil"/>
              <w:bottom w:val="single" w:sz="8" w:space="0" w:color="0077BD"/>
              <w:right w:val="single" w:sz="8" w:space="0" w:color="0077BD"/>
            </w:tcBorders>
            <w:shd w:val="clear" w:color="auto" w:fill="auto"/>
            <w:vAlign w:val="center"/>
          </w:tcPr>
          <w:p w14:paraId="692B6CDE" w14:textId="712042BE" w:rsidR="007155E9" w:rsidRPr="007155E9" w:rsidRDefault="007155E9" w:rsidP="007155E9">
            <w:pPr>
              <w:jc w:val="right"/>
              <w:rPr>
                <w:rFonts w:cs="Calibri"/>
                <w:b/>
                <w:bCs/>
                <w:color w:val="000000" w:themeColor="text1"/>
                <w:sz w:val="13"/>
                <w:szCs w:val="13"/>
              </w:rPr>
            </w:pPr>
            <w:r w:rsidRPr="007155E9">
              <w:rPr>
                <w:rFonts w:cs="Calibri"/>
                <w:b/>
                <w:bCs/>
                <w:color w:val="000000" w:themeColor="text1"/>
                <w:sz w:val="13"/>
                <w:szCs w:val="13"/>
              </w:rPr>
              <w:t>47 333 932</w:t>
            </w:r>
          </w:p>
        </w:tc>
        <w:tc>
          <w:tcPr>
            <w:tcW w:w="1389" w:type="dxa"/>
            <w:tcBorders>
              <w:top w:val="single" w:sz="8" w:space="0" w:color="0077BD"/>
              <w:left w:val="nil"/>
              <w:bottom w:val="single" w:sz="8" w:space="0" w:color="0077BD"/>
              <w:right w:val="nil"/>
            </w:tcBorders>
            <w:shd w:val="clear" w:color="auto" w:fill="auto"/>
            <w:vAlign w:val="center"/>
            <w:hideMark/>
          </w:tcPr>
          <w:p w14:paraId="41FC6581" w14:textId="0169B269" w:rsidR="007155E9" w:rsidRPr="007155E9" w:rsidRDefault="007155E9" w:rsidP="007155E9">
            <w:pPr>
              <w:jc w:val="right"/>
              <w:rPr>
                <w:rFonts w:cs="Calibri"/>
                <w:b/>
                <w:bCs/>
                <w:color w:val="000000" w:themeColor="text1"/>
                <w:sz w:val="13"/>
                <w:szCs w:val="13"/>
              </w:rPr>
            </w:pPr>
            <w:r w:rsidRPr="007155E9">
              <w:rPr>
                <w:rFonts w:cs="Calibri"/>
                <w:b/>
                <w:bCs/>
                <w:color w:val="000000" w:themeColor="text1"/>
                <w:sz w:val="13"/>
                <w:szCs w:val="13"/>
              </w:rPr>
              <w:t>384 709</w:t>
            </w:r>
          </w:p>
        </w:tc>
      </w:tr>
    </w:tbl>
    <w:p w14:paraId="07D79365" w14:textId="4DB2DE0D" w:rsidR="00E51A64" w:rsidRDefault="00E51A64" w:rsidP="00E51A64">
      <w:pPr>
        <w:jc w:val="both"/>
        <w:rPr>
          <w:rFonts w:cs="Tahoma"/>
          <w:color w:val="201C17"/>
          <w:sz w:val="18"/>
          <w:szCs w:val="18"/>
        </w:rPr>
      </w:pPr>
    </w:p>
    <w:tbl>
      <w:tblPr>
        <w:tblW w:w="0" w:type="auto"/>
        <w:tblCellMar>
          <w:left w:w="28" w:type="dxa"/>
          <w:right w:w="28" w:type="dxa"/>
        </w:tblCellMar>
        <w:tblLook w:val="04A0" w:firstRow="1" w:lastRow="0" w:firstColumn="1" w:lastColumn="0" w:noHBand="0" w:noVBand="1"/>
      </w:tblPr>
      <w:tblGrid>
        <w:gridCol w:w="3969"/>
        <w:gridCol w:w="1389"/>
        <w:gridCol w:w="1389"/>
        <w:gridCol w:w="1389"/>
        <w:gridCol w:w="1389"/>
      </w:tblGrid>
      <w:tr w:rsidR="00C376FC" w:rsidRPr="00E51A64" w14:paraId="2A3E439F" w14:textId="77777777" w:rsidTr="002626DC">
        <w:trPr>
          <w:trHeight w:val="284"/>
        </w:trPr>
        <w:tc>
          <w:tcPr>
            <w:tcW w:w="3969" w:type="dxa"/>
            <w:vMerge w:val="restart"/>
            <w:tcBorders>
              <w:top w:val="nil"/>
              <w:left w:val="nil"/>
              <w:bottom w:val="nil"/>
              <w:right w:val="nil"/>
            </w:tcBorders>
            <w:shd w:val="clear" w:color="000000" w:fill="0077BD"/>
            <w:vAlign w:val="center"/>
            <w:hideMark/>
          </w:tcPr>
          <w:p w14:paraId="3BD88382" w14:textId="7660ACAF" w:rsidR="00C376FC" w:rsidRPr="00E51A64" w:rsidRDefault="00C376FC" w:rsidP="008E41C5">
            <w:pPr>
              <w:rPr>
                <w:rFonts w:cs="Calibri"/>
                <w:b/>
                <w:bCs/>
                <w:color w:val="FFFFFF"/>
                <w:sz w:val="13"/>
                <w:szCs w:val="13"/>
              </w:rPr>
            </w:pPr>
            <w:r w:rsidRPr="00E51A64">
              <w:rPr>
                <w:rFonts w:cs="Calibri"/>
                <w:b/>
                <w:bCs/>
                <w:color w:val="FFFFFF"/>
                <w:sz w:val="13"/>
                <w:szCs w:val="13"/>
              </w:rPr>
              <w:t>Kredyty i pożycz</w:t>
            </w:r>
            <w:r>
              <w:rPr>
                <w:rFonts w:cs="Calibri"/>
                <w:b/>
                <w:bCs/>
                <w:color w:val="FFFFFF"/>
                <w:sz w:val="13"/>
                <w:szCs w:val="13"/>
              </w:rPr>
              <w:t>ki udzielone klientom</w:t>
            </w:r>
            <w:r>
              <w:rPr>
                <w:rFonts w:cs="Calibri"/>
                <w:b/>
                <w:bCs/>
                <w:color w:val="FFFFFF"/>
                <w:sz w:val="13"/>
                <w:szCs w:val="13"/>
              </w:rPr>
              <w:br/>
              <w:t>31.12.2019</w:t>
            </w:r>
          </w:p>
        </w:tc>
        <w:tc>
          <w:tcPr>
            <w:tcW w:w="1389" w:type="dxa"/>
            <w:vMerge w:val="restart"/>
            <w:tcBorders>
              <w:top w:val="nil"/>
              <w:left w:val="single" w:sz="8" w:space="0" w:color="FFFFFF"/>
              <w:bottom w:val="nil"/>
              <w:right w:val="single" w:sz="8" w:space="0" w:color="FFFFFF"/>
            </w:tcBorders>
            <w:shd w:val="clear" w:color="000000" w:fill="0077BD"/>
            <w:vAlign w:val="center"/>
            <w:hideMark/>
          </w:tcPr>
          <w:p w14:paraId="7C39E23F"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Skumulowana utrata wartości</w:t>
            </w:r>
          </w:p>
        </w:tc>
        <w:tc>
          <w:tcPr>
            <w:tcW w:w="4167" w:type="dxa"/>
            <w:gridSpan w:val="3"/>
            <w:tcBorders>
              <w:top w:val="nil"/>
              <w:left w:val="nil"/>
              <w:bottom w:val="single" w:sz="6" w:space="0" w:color="FFFFFF"/>
              <w:right w:val="nil"/>
            </w:tcBorders>
            <w:shd w:val="clear" w:color="000000" w:fill="0077BD"/>
            <w:vAlign w:val="center"/>
            <w:hideMark/>
          </w:tcPr>
          <w:p w14:paraId="53A98ACA" w14:textId="243BB9AC" w:rsidR="00C376FC" w:rsidRPr="00E51A64" w:rsidRDefault="00901A07" w:rsidP="008E41C5">
            <w:pPr>
              <w:jc w:val="center"/>
              <w:rPr>
                <w:rFonts w:cs="Calibri"/>
                <w:b/>
                <w:bCs/>
                <w:color w:val="FFFFFF"/>
                <w:sz w:val="13"/>
                <w:szCs w:val="13"/>
              </w:rPr>
            </w:pPr>
            <w:r>
              <w:rPr>
                <w:rFonts w:cs="Calibri"/>
                <w:b/>
                <w:bCs/>
                <w:color w:val="FFFFFF"/>
                <w:sz w:val="13"/>
                <w:szCs w:val="13"/>
              </w:rPr>
              <w:t>w tym:</w:t>
            </w:r>
          </w:p>
        </w:tc>
      </w:tr>
      <w:tr w:rsidR="00C376FC" w:rsidRPr="00E51A64" w14:paraId="121ABBC2" w14:textId="77777777" w:rsidTr="002626DC">
        <w:trPr>
          <w:trHeight w:val="340"/>
        </w:trPr>
        <w:tc>
          <w:tcPr>
            <w:tcW w:w="3969" w:type="dxa"/>
            <w:vMerge/>
            <w:tcBorders>
              <w:top w:val="nil"/>
              <w:left w:val="nil"/>
              <w:bottom w:val="nil"/>
              <w:right w:val="nil"/>
            </w:tcBorders>
            <w:vAlign w:val="center"/>
            <w:hideMark/>
          </w:tcPr>
          <w:p w14:paraId="31B4F53E" w14:textId="77777777" w:rsidR="00C376FC" w:rsidRPr="00E51A64" w:rsidRDefault="00C376FC" w:rsidP="008E41C5">
            <w:pPr>
              <w:rPr>
                <w:rFonts w:cs="Calibri"/>
                <w:b/>
                <w:bCs/>
                <w:color w:val="FFFFFF"/>
                <w:sz w:val="13"/>
                <w:szCs w:val="13"/>
              </w:rPr>
            </w:pPr>
          </w:p>
        </w:tc>
        <w:tc>
          <w:tcPr>
            <w:tcW w:w="1389" w:type="dxa"/>
            <w:vMerge/>
            <w:tcBorders>
              <w:top w:val="nil"/>
              <w:left w:val="single" w:sz="8" w:space="0" w:color="FFFFFF"/>
              <w:bottom w:val="nil"/>
              <w:right w:val="single" w:sz="8" w:space="0" w:color="FFFFFF"/>
            </w:tcBorders>
            <w:vAlign w:val="center"/>
            <w:hideMark/>
          </w:tcPr>
          <w:p w14:paraId="06311422" w14:textId="77777777" w:rsidR="00C376FC" w:rsidRPr="00E51A64" w:rsidRDefault="00C376FC" w:rsidP="008E41C5">
            <w:pPr>
              <w:rPr>
                <w:rFonts w:cs="Calibri"/>
                <w:b/>
                <w:bCs/>
                <w:color w:val="FFFFFF"/>
                <w:sz w:val="13"/>
                <w:szCs w:val="13"/>
              </w:rPr>
            </w:pPr>
          </w:p>
        </w:tc>
        <w:tc>
          <w:tcPr>
            <w:tcW w:w="1389" w:type="dxa"/>
            <w:tcBorders>
              <w:top w:val="single" w:sz="6" w:space="0" w:color="FFFFFF"/>
              <w:left w:val="nil"/>
              <w:bottom w:val="nil"/>
              <w:right w:val="nil"/>
            </w:tcBorders>
            <w:shd w:val="clear" w:color="000000" w:fill="0077BD"/>
            <w:vAlign w:val="center"/>
            <w:hideMark/>
          </w:tcPr>
          <w:p w14:paraId="23DE1034"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indywidualni</w:t>
            </w:r>
          </w:p>
        </w:tc>
        <w:tc>
          <w:tcPr>
            <w:tcW w:w="1389" w:type="dxa"/>
            <w:tcBorders>
              <w:top w:val="single" w:sz="6" w:space="0" w:color="FFFFFF"/>
              <w:left w:val="single" w:sz="8" w:space="0" w:color="FFFFFF"/>
              <w:bottom w:val="nil"/>
              <w:right w:val="nil"/>
            </w:tcBorders>
            <w:shd w:val="clear" w:color="000000" w:fill="0077BD"/>
            <w:vAlign w:val="center"/>
            <w:hideMark/>
          </w:tcPr>
          <w:p w14:paraId="1920690B"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korporacyjni</w:t>
            </w:r>
          </w:p>
        </w:tc>
        <w:tc>
          <w:tcPr>
            <w:tcW w:w="1389" w:type="dxa"/>
            <w:tcBorders>
              <w:top w:val="single" w:sz="6" w:space="0" w:color="FFFFFF"/>
              <w:left w:val="single" w:sz="8" w:space="0" w:color="FFFFFF"/>
              <w:bottom w:val="nil"/>
              <w:right w:val="nil"/>
            </w:tcBorders>
            <w:shd w:val="clear" w:color="000000" w:fill="0077BD"/>
            <w:vAlign w:val="center"/>
            <w:hideMark/>
          </w:tcPr>
          <w:p w14:paraId="0B6A8FC9" w14:textId="77777777" w:rsidR="00C376FC" w:rsidRPr="00E51A64" w:rsidRDefault="00C376FC" w:rsidP="008E41C5">
            <w:pPr>
              <w:jc w:val="center"/>
              <w:rPr>
                <w:rFonts w:cs="Calibri"/>
                <w:b/>
                <w:bCs/>
                <w:color w:val="FFFFFF"/>
                <w:sz w:val="13"/>
                <w:szCs w:val="13"/>
              </w:rPr>
            </w:pPr>
            <w:r w:rsidRPr="00E51A64">
              <w:rPr>
                <w:rFonts w:cs="Calibri"/>
                <w:b/>
                <w:bCs/>
                <w:color w:val="FFFFFF"/>
                <w:sz w:val="13"/>
                <w:szCs w:val="13"/>
              </w:rPr>
              <w:t>Klienci budżetowi</w:t>
            </w:r>
          </w:p>
        </w:tc>
      </w:tr>
      <w:tr w:rsidR="007155E9" w:rsidRPr="00BB7C9E" w14:paraId="7F58ED91" w14:textId="77777777" w:rsidTr="00F0324E">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6A1BB9F"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Należności bieżące</w:t>
            </w:r>
          </w:p>
        </w:tc>
        <w:tc>
          <w:tcPr>
            <w:tcW w:w="1389" w:type="dxa"/>
            <w:tcBorders>
              <w:top w:val="nil"/>
              <w:left w:val="nil"/>
              <w:bottom w:val="single" w:sz="4" w:space="0" w:color="0077BD"/>
              <w:right w:val="single" w:sz="8" w:space="0" w:color="0077BD"/>
            </w:tcBorders>
            <w:shd w:val="clear" w:color="auto" w:fill="auto"/>
            <w:vAlign w:val="center"/>
          </w:tcPr>
          <w:p w14:paraId="25A79ACE" w14:textId="6AD1214D"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(966 201)</w:t>
            </w:r>
          </w:p>
        </w:tc>
        <w:tc>
          <w:tcPr>
            <w:tcW w:w="1389" w:type="dxa"/>
            <w:tcBorders>
              <w:top w:val="nil"/>
              <w:left w:val="nil"/>
              <w:bottom w:val="single" w:sz="4" w:space="0" w:color="0077BD"/>
              <w:right w:val="single" w:sz="8" w:space="0" w:color="0077BD"/>
            </w:tcBorders>
            <w:shd w:val="clear" w:color="auto" w:fill="auto"/>
            <w:noWrap/>
            <w:vAlign w:val="center"/>
          </w:tcPr>
          <w:p w14:paraId="29EA94B9" w14:textId="790CA679"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(664 889)</w:t>
            </w:r>
          </w:p>
        </w:tc>
        <w:tc>
          <w:tcPr>
            <w:tcW w:w="1389" w:type="dxa"/>
            <w:tcBorders>
              <w:top w:val="nil"/>
              <w:left w:val="nil"/>
              <w:bottom w:val="single" w:sz="4" w:space="0" w:color="0077BD"/>
              <w:right w:val="single" w:sz="8" w:space="0" w:color="0077BD"/>
            </w:tcBorders>
            <w:shd w:val="clear" w:color="auto" w:fill="auto"/>
            <w:noWrap/>
            <w:vAlign w:val="center"/>
          </w:tcPr>
          <w:p w14:paraId="2758466A" w14:textId="4DC2BF79"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(301 312)</w:t>
            </w:r>
          </w:p>
        </w:tc>
        <w:tc>
          <w:tcPr>
            <w:tcW w:w="1389" w:type="dxa"/>
            <w:tcBorders>
              <w:top w:val="nil"/>
              <w:left w:val="nil"/>
              <w:bottom w:val="single" w:sz="4" w:space="0" w:color="0077BD"/>
              <w:right w:val="nil"/>
            </w:tcBorders>
            <w:shd w:val="clear" w:color="auto" w:fill="auto"/>
            <w:noWrap/>
            <w:vAlign w:val="center"/>
            <w:hideMark/>
          </w:tcPr>
          <w:p w14:paraId="009215BF" w14:textId="636E973B"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w:t>
            </w:r>
          </w:p>
        </w:tc>
      </w:tr>
      <w:tr w:rsidR="007155E9" w:rsidRPr="00BB7C9E" w14:paraId="4969EAAE"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119EC1D3" w14:textId="77777777" w:rsidR="007155E9" w:rsidRPr="00BB7C9E" w:rsidRDefault="007155E9" w:rsidP="007155E9">
            <w:pPr>
              <w:rPr>
                <w:rFonts w:cs="Calibri"/>
                <w:color w:val="000000" w:themeColor="text1"/>
                <w:sz w:val="13"/>
                <w:szCs w:val="13"/>
              </w:rPr>
            </w:pPr>
            <w:r w:rsidRPr="00BB7C9E">
              <w:rPr>
                <w:rFonts w:cs="Calibri"/>
                <w:color w:val="000000" w:themeColor="text1"/>
                <w:sz w:val="13"/>
                <w:szCs w:val="13"/>
              </w:rPr>
              <w:t>Kredyty terminowe, w tym:</w:t>
            </w:r>
          </w:p>
        </w:tc>
        <w:tc>
          <w:tcPr>
            <w:tcW w:w="1389" w:type="dxa"/>
            <w:tcBorders>
              <w:top w:val="nil"/>
              <w:left w:val="nil"/>
              <w:bottom w:val="single" w:sz="4" w:space="0" w:color="0077BD"/>
              <w:right w:val="single" w:sz="8" w:space="0" w:color="0077BD"/>
            </w:tcBorders>
            <w:shd w:val="clear" w:color="auto" w:fill="auto"/>
            <w:vAlign w:val="center"/>
          </w:tcPr>
          <w:p w14:paraId="127E7B1F" w14:textId="0B79E080"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(1 901 009)</w:t>
            </w:r>
          </w:p>
        </w:tc>
        <w:tc>
          <w:tcPr>
            <w:tcW w:w="1389" w:type="dxa"/>
            <w:tcBorders>
              <w:top w:val="nil"/>
              <w:left w:val="nil"/>
              <w:bottom w:val="single" w:sz="4" w:space="0" w:color="0077BD"/>
              <w:right w:val="nil"/>
            </w:tcBorders>
            <w:shd w:val="clear" w:color="auto" w:fill="auto"/>
            <w:noWrap/>
            <w:vAlign w:val="center"/>
          </w:tcPr>
          <w:p w14:paraId="194601F8" w14:textId="4F465998"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(1 010 146)</w:t>
            </w:r>
          </w:p>
        </w:tc>
        <w:tc>
          <w:tcPr>
            <w:tcW w:w="1389" w:type="dxa"/>
            <w:tcBorders>
              <w:top w:val="nil"/>
              <w:left w:val="single" w:sz="8" w:space="0" w:color="0077BD"/>
              <w:bottom w:val="single" w:sz="4" w:space="0" w:color="0077BD"/>
              <w:right w:val="nil"/>
            </w:tcBorders>
            <w:shd w:val="clear" w:color="auto" w:fill="auto"/>
            <w:noWrap/>
            <w:vAlign w:val="center"/>
          </w:tcPr>
          <w:p w14:paraId="2DC6594B" w14:textId="5672A823"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(890 469)</w:t>
            </w:r>
          </w:p>
        </w:tc>
        <w:tc>
          <w:tcPr>
            <w:tcW w:w="1389" w:type="dxa"/>
            <w:tcBorders>
              <w:top w:val="nil"/>
              <w:left w:val="single" w:sz="8" w:space="0" w:color="0077BD"/>
              <w:bottom w:val="single" w:sz="4" w:space="0" w:color="0077BD"/>
              <w:right w:val="nil"/>
            </w:tcBorders>
            <w:shd w:val="clear" w:color="auto" w:fill="auto"/>
            <w:noWrap/>
            <w:vAlign w:val="center"/>
            <w:hideMark/>
          </w:tcPr>
          <w:p w14:paraId="2D5C4FB0" w14:textId="7F66ACD7" w:rsidR="007155E9" w:rsidRPr="007155E9" w:rsidRDefault="007155E9" w:rsidP="007155E9">
            <w:pPr>
              <w:jc w:val="right"/>
              <w:rPr>
                <w:rFonts w:cs="Calibri"/>
                <w:color w:val="000000" w:themeColor="text1"/>
                <w:sz w:val="13"/>
                <w:szCs w:val="13"/>
              </w:rPr>
            </w:pPr>
            <w:r w:rsidRPr="007155E9">
              <w:rPr>
                <w:rFonts w:cs="Calibri"/>
                <w:color w:val="000000" w:themeColor="text1"/>
                <w:sz w:val="13"/>
                <w:szCs w:val="13"/>
              </w:rPr>
              <w:t>(394)</w:t>
            </w:r>
          </w:p>
        </w:tc>
      </w:tr>
      <w:tr w:rsidR="00B8443C" w:rsidRPr="00BB7C9E" w14:paraId="0BF72390" w14:textId="77777777" w:rsidTr="0090001D">
        <w:trPr>
          <w:trHeight w:val="340"/>
        </w:trPr>
        <w:tc>
          <w:tcPr>
            <w:tcW w:w="3969" w:type="dxa"/>
            <w:tcBorders>
              <w:top w:val="nil"/>
              <w:left w:val="nil"/>
              <w:bottom w:val="single" w:sz="4" w:space="0" w:color="0077BD"/>
              <w:right w:val="single" w:sz="8" w:space="0" w:color="0077BD"/>
            </w:tcBorders>
            <w:shd w:val="clear" w:color="auto" w:fill="auto"/>
            <w:vAlign w:val="center"/>
            <w:hideMark/>
          </w:tcPr>
          <w:p w14:paraId="7F5CE395" w14:textId="32C38706" w:rsidR="00B8443C" w:rsidRPr="00BB7C9E" w:rsidRDefault="00B8443C" w:rsidP="00B8443C">
            <w:pPr>
              <w:ind w:left="114" w:hanging="114"/>
              <w:rPr>
                <w:rFonts w:cs="Calibri"/>
                <w:i/>
                <w:iCs/>
                <w:color w:val="000000" w:themeColor="text1"/>
                <w:sz w:val="13"/>
                <w:szCs w:val="13"/>
              </w:rPr>
            </w:pPr>
            <w:r>
              <w:rPr>
                <w:rFonts w:cs="Calibri"/>
                <w:i/>
                <w:iCs/>
                <w:color w:val="000000" w:themeColor="text1"/>
                <w:sz w:val="13"/>
                <w:szCs w:val="13"/>
              </w:rPr>
              <w:t xml:space="preserve">- </w:t>
            </w:r>
            <w:r w:rsidRPr="00BB7C9E">
              <w:rPr>
                <w:rFonts w:cs="Calibri"/>
                <w:i/>
                <w:iCs/>
                <w:color w:val="000000" w:themeColor="text1"/>
                <w:sz w:val="13"/>
                <w:szCs w:val="13"/>
              </w:rPr>
              <w:t xml:space="preserve">kredyty hipoteczne i mieszkaniowe </w:t>
            </w:r>
            <w:r>
              <w:rPr>
                <w:rFonts w:cs="Calibri"/>
                <w:i/>
                <w:iCs/>
                <w:color w:val="000000" w:themeColor="text1"/>
                <w:sz w:val="13"/>
                <w:szCs w:val="13"/>
              </w:rPr>
              <w:t>udzielone osobom fizycznym</w:t>
            </w:r>
          </w:p>
        </w:tc>
        <w:tc>
          <w:tcPr>
            <w:tcW w:w="1389" w:type="dxa"/>
            <w:tcBorders>
              <w:top w:val="nil"/>
              <w:left w:val="nil"/>
              <w:bottom w:val="single" w:sz="4" w:space="0" w:color="0077BD"/>
              <w:right w:val="single" w:sz="8" w:space="0" w:color="0077BD"/>
            </w:tcBorders>
            <w:shd w:val="clear" w:color="auto" w:fill="auto"/>
            <w:vAlign w:val="center"/>
          </w:tcPr>
          <w:p w14:paraId="2993CB2F" w14:textId="5791E1EA" w:rsidR="00B8443C" w:rsidRPr="007155E9" w:rsidRDefault="00B8443C" w:rsidP="00B8443C">
            <w:pPr>
              <w:jc w:val="right"/>
              <w:rPr>
                <w:rFonts w:cs="Calibri"/>
                <w:i/>
                <w:iCs/>
                <w:color w:val="000000" w:themeColor="text1"/>
                <w:sz w:val="13"/>
                <w:szCs w:val="13"/>
              </w:rPr>
            </w:pPr>
            <w:r w:rsidRPr="007155E9">
              <w:rPr>
                <w:rFonts w:cs="Calibri"/>
                <w:i/>
                <w:iCs/>
                <w:color w:val="000000" w:themeColor="text1"/>
                <w:sz w:val="13"/>
                <w:szCs w:val="13"/>
              </w:rPr>
              <w:t>(414 932)</w:t>
            </w:r>
          </w:p>
        </w:tc>
        <w:tc>
          <w:tcPr>
            <w:tcW w:w="1389" w:type="dxa"/>
            <w:tcBorders>
              <w:top w:val="nil"/>
              <w:left w:val="nil"/>
              <w:bottom w:val="single" w:sz="4" w:space="0" w:color="0077BD"/>
              <w:right w:val="nil"/>
            </w:tcBorders>
            <w:shd w:val="clear" w:color="auto" w:fill="auto"/>
            <w:noWrap/>
            <w:vAlign w:val="center"/>
          </w:tcPr>
          <w:p w14:paraId="25E68DE3" w14:textId="6BFAE15F" w:rsidR="00B8443C" w:rsidRPr="007155E9" w:rsidRDefault="00B8443C" w:rsidP="00B8443C">
            <w:pPr>
              <w:jc w:val="right"/>
              <w:rPr>
                <w:rFonts w:cs="Calibri"/>
                <w:i/>
                <w:iCs/>
                <w:color w:val="000000" w:themeColor="text1"/>
                <w:sz w:val="13"/>
                <w:szCs w:val="13"/>
              </w:rPr>
            </w:pPr>
            <w:r w:rsidRPr="007155E9">
              <w:rPr>
                <w:rFonts w:cs="Calibri"/>
                <w:i/>
                <w:iCs/>
                <w:color w:val="000000" w:themeColor="text1"/>
                <w:sz w:val="13"/>
                <w:szCs w:val="13"/>
              </w:rPr>
              <w:t>(414 932)</w:t>
            </w:r>
          </w:p>
        </w:tc>
        <w:tc>
          <w:tcPr>
            <w:tcW w:w="1389" w:type="dxa"/>
            <w:tcBorders>
              <w:top w:val="nil"/>
              <w:left w:val="single" w:sz="8" w:space="0" w:color="0077BD"/>
              <w:bottom w:val="single" w:sz="4" w:space="0" w:color="0077BD"/>
              <w:right w:val="nil"/>
            </w:tcBorders>
            <w:shd w:val="thinDiagStripe" w:color="000000" w:fill="auto"/>
            <w:noWrap/>
            <w:vAlign w:val="center"/>
          </w:tcPr>
          <w:p w14:paraId="18DDFFB4" w14:textId="3D1CDF4C" w:rsidR="00B8443C" w:rsidRPr="007155E9" w:rsidRDefault="00B8443C" w:rsidP="00B8443C">
            <w:pPr>
              <w:jc w:val="right"/>
              <w:rPr>
                <w:rFonts w:cs="Calibri"/>
                <w:i/>
                <w:iCs/>
                <w:color w:val="000000" w:themeColor="text1"/>
                <w:sz w:val="13"/>
                <w:szCs w:val="13"/>
              </w:rPr>
            </w:pPr>
          </w:p>
        </w:tc>
        <w:tc>
          <w:tcPr>
            <w:tcW w:w="1389" w:type="dxa"/>
            <w:tcBorders>
              <w:top w:val="nil"/>
              <w:left w:val="single" w:sz="8" w:space="0" w:color="0077BD"/>
              <w:bottom w:val="single" w:sz="4" w:space="0" w:color="0077BD"/>
              <w:right w:val="nil"/>
            </w:tcBorders>
            <w:shd w:val="thinDiagStripe" w:color="000000" w:fill="auto"/>
            <w:noWrap/>
            <w:vAlign w:val="center"/>
          </w:tcPr>
          <w:p w14:paraId="17A765C0" w14:textId="49542BB0" w:rsidR="00B8443C" w:rsidRPr="007155E9" w:rsidRDefault="00B8443C" w:rsidP="00B8443C">
            <w:pPr>
              <w:jc w:val="right"/>
              <w:rPr>
                <w:rFonts w:cs="Calibri"/>
                <w:i/>
                <w:iCs/>
                <w:color w:val="000000" w:themeColor="text1"/>
                <w:sz w:val="13"/>
                <w:szCs w:val="13"/>
              </w:rPr>
            </w:pPr>
          </w:p>
        </w:tc>
      </w:tr>
      <w:tr w:rsidR="00B8443C" w:rsidRPr="00BB7C9E" w14:paraId="475186B7"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1A728741"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Leasing finansowy</w:t>
            </w:r>
          </w:p>
        </w:tc>
        <w:tc>
          <w:tcPr>
            <w:tcW w:w="1389" w:type="dxa"/>
            <w:tcBorders>
              <w:top w:val="nil"/>
              <w:left w:val="nil"/>
              <w:bottom w:val="single" w:sz="4" w:space="0" w:color="0077BD"/>
              <w:right w:val="single" w:sz="8" w:space="0" w:color="0077BD"/>
            </w:tcBorders>
            <w:shd w:val="clear" w:color="auto" w:fill="auto"/>
            <w:vAlign w:val="center"/>
          </w:tcPr>
          <w:p w14:paraId="36BB9B69" w14:textId="63324EEA" w:rsidR="00B8443C" w:rsidRPr="007155E9" w:rsidRDefault="00B8443C" w:rsidP="00B8443C">
            <w:pPr>
              <w:jc w:val="right"/>
              <w:rPr>
                <w:rFonts w:cs="Calibri"/>
                <w:color w:val="000000" w:themeColor="text1"/>
                <w:sz w:val="13"/>
                <w:szCs w:val="13"/>
              </w:rPr>
            </w:pPr>
            <w:r>
              <w:rPr>
                <w:rFonts w:cs="Calibri"/>
                <w:color w:val="000000" w:themeColor="text1"/>
                <w:sz w:val="13"/>
                <w:szCs w:val="13"/>
              </w:rPr>
              <w:t>(289 832)</w:t>
            </w:r>
          </w:p>
        </w:tc>
        <w:tc>
          <w:tcPr>
            <w:tcW w:w="1389" w:type="dxa"/>
            <w:tcBorders>
              <w:top w:val="nil"/>
              <w:left w:val="nil"/>
              <w:bottom w:val="single" w:sz="4" w:space="0" w:color="0077BD"/>
              <w:right w:val="nil"/>
            </w:tcBorders>
            <w:shd w:val="clear" w:color="auto" w:fill="auto"/>
            <w:noWrap/>
            <w:vAlign w:val="center"/>
            <w:hideMark/>
          </w:tcPr>
          <w:p w14:paraId="5645D9F8" w14:textId="45BF44DE"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tcPr>
          <w:p w14:paraId="50C7DC3B" w14:textId="32E6D629" w:rsidR="00B8443C" w:rsidRPr="007155E9" w:rsidRDefault="00B8443C" w:rsidP="00B8443C">
            <w:pPr>
              <w:jc w:val="right"/>
              <w:rPr>
                <w:rFonts w:cs="Calibri"/>
                <w:color w:val="000000" w:themeColor="text1"/>
                <w:sz w:val="13"/>
                <w:szCs w:val="13"/>
              </w:rPr>
            </w:pPr>
            <w:r>
              <w:rPr>
                <w:rFonts w:cs="Calibri"/>
                <w:color w:val="000000" w:themeColor="text1"/>
                <w:sz w:val="13"/>
                <w:szCs w:val="13"/>
              </w:rPr>
              <w:t>(289 832)</w:t>
            </w:r>
          </w:p>
        </w:tc>
        <w:tc>
          <w:tcPr>
            <w:tcW w:w="1389" w:type="dxa"/>
            <w:tcBorders>
              <w:top w:val="nil"/>
              <w:left w:val="single" w:sz="8" w:space="0" w:color="0077BD"/>
              <w:bottom w:val="single" w:sz="4" w:space="0" w:color="0077BD"/>
              <w:right w:val="nil"/>
            </w:tcBorders>
            <w:shd w:val="clear" w:color="auto" w:fill="auto"/>
            <w:noWrap/>
            <w:vAlign w:val="center"/>
            <w:hideMark/>
          </w:tcPr>
          <w:p w14:paraId="1E5894CF" w14:textId="2567FDA1"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p>
        </w:tc>
      </w:tr>
      <w:tr w:rsidR="00B8443C" w:rsidRPr="00BB7C9E" w14:paraId="66D539B5"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1DA9F931"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Pozostałe należności kredytowe</w:t>
            </w:r>
          </w:p>
        </w:tc>
        <w:tc>
          <w:tcPr>
            <w:tcW w:w="1389" w:type="dxa"/>
            <w:tcBorders>
              <w:top w:val="nil"/>
              <w:left w:val="nil"/>
              <w:bottom w:val="single" w:sz="4" w:space="0" w:color="0077BD"/>
              <w:right w:val="single" w:sz="8" w:space="0" w:color="0077BD"/>
            </w:tcBorders>
            <w:shd w:val="clear" w:color="auto" w:fill="auto"/>
            <w:vAlign w:val="center"/>
          </w:tcPr>
          <w:p w14:paraId="1CC9970F" w14:textId="013A07E5"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r>
              <w:rPr>
                <w:rFonts w:cs="Calibri"/>
                <w:color w:val="000000" w:themeColor="text1"/>
                <w:sz w:val="13"/>
                <w:szCs w:val="13"/>
              </w:rPr>
              <w:t>33 236</w:t>
            </w:r>
            <w:r w:rsidRPr="007155E9">
              <w:rPr>
                <w:rFonts w:cs="Calibri"/>
                <w:color w:val="000000" w:themeColor="text1"/>
                <w:sz w:val="13"/>
                <w:szCs w:val="13"/>
              </w:rPr>
              <w:t>)</w:t>
            </w:r>
          </w:p>
        </w:tc>
        <w:tc>
          <w:tcPr>
            <w:tcW w:w="1389" w:type="dxa"/>
            <w:tcBorders>
              <w:top w:val="nil"/>
              <w:left w:val="nil"/>
              <w:bottom w:val="single" w:sz="4" w:space="0" w:color="0077BD"/>
              <w:right w:val="nil"/>
            </w:tcBorders>
            <w:shd w:val="clear" w:color="auto" w:fill="auto"/>
            <w:noWrap/>
            <w:vAlign w:val="center"/>
            <w:hideMark/>
          </w:tcPr>
          <w:p w14:paraId="7CB4CE25" w14:textId="1B654683"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tcPr>
          <w:p w14:paraId="3F556E62" w14:textId="3A84F319"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r>
              <w:rPr>
                <w:rFonts w:cs="Calibri"/>
                <w:color w:val="000000" w:themeColor="text1"/>
                <w:sz w:val="13"/>
                <w:szCs w:val="13"/>
              </w:rPr>
              <w:t>33 236</w:t>
            </w:r>
            <w:r w:rsidRPr="007155E9">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4B7872B4" w14:textId="20DCBEAD"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w:t>
            </w:r>
          </w:p>
        </w:tc>
      </w:tr>
      <w:tr w:rsidR="00B8443C" w:rsidRPr="00BB7C9E" w14:paraId="165282FE" w14:textId="77777777" w:rsidTr="00F0324E">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5FF588CE" w14:textId="5DDEAD1F" w:rsidR="00B8443C" w:rsidRPr="00BB7C9E" w:rsidRDefault="00B8443C" w:rsidP="00B8443C">
            <w:pPr>
              <w:rPr>
                <w:rFonts w:cs="Calibri"/>
                <w:b/>
                <w:bCs/>
                <w:color w:val="000000" w:themeColor="text1"/>
                <w:sz w:val="13"/>
                <w:szCs w:val="13"/>
              </w:rPr>
            </w:pPr>
            <w:r>
              <w:rPr>
                <w:rFonts w:cs="Calibri"/>
                <w:b/>
                <w:bCs/>
                <w:color w:val="000000" w:themeColor="text1"/>
                <w:sz w:val="13"/>
                <w:szCs w:val="13"/>
              </w:rPr>
              <w:t>Skumulowana utrata wartoś</w:t>
            </w:r>
            <w:r w:rsidRPr="00BB7C9E">
              <w:rPr>
                <w:rFonts w:cs="Calibri"/>
                <w:b/>
                <w:bCs/>
                <w:color w:val="000000" w:themeColor="text1"/>
                <w:sz w:val="13"/>
                <w:szCs w:val="13"/>
              </w:rPr>
              <w:t>ci, razem</w:t>
            </w:r>
          </w:p>
        </w:tc>
        <w:tc>
          <w:tcPr>
            <w:tcW w:w="1389"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98E27CA" w14:textId="5EB6F330"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(3 190 278)</w:t>
            </w:r>
          </w:p>
        </w:tc>
        <w:tc>
          <w:tcPr>
            <w:tcW w:w="1389" w:type="dxa"/>
            <w:tcBorders>
              <w:top w:val="single" w:sz="8" w:space="0" w:color="0077BD"/>
              <w:left w:val="nil"/>
              <w:bottom w:val="single" w:sz="8" w:space="0" w:color="0077BD"/>
              <w:right w:val="single" w:sz="8" w:space="0" w:color="0077BD"/>
            </w:tcBorders>
            <w:shd w:val="clear" w:color="auto" w:fill="auto"/>
            <w:vAlign w:val="center"/>
          </w:tcPr>
          <w:p w14:paraId="0D99723D" w14:textId="2BF28715"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(1 675 035)</w:t>
            </w:r>
          </w:p>
        </w:tc>
        <w:tc>
          <w:tcPr>
            <w:tcW w:w="1389" w:type="dxa"/>
            <w:tcBorders>
              <w:top w:val="single" w:sz="8" w:space="0" w:color="0077BD"/>
              <w:left w:val="nil"/>
              <w:bottom w:val="single" w:sz="8" w:space="0" w:color="0077BD"/>
              <w:right w:val="single" w:sz="8" w:space="0" w:color="0077BD"/>
            </w:tcBorders>
            <w:shd w:val="clear" w:color="auto" w:fill="auto"/>
            <w:vAlign w:val="center"/>
          </w:tcPr>
          <w:p w14:paraId="52C03951" w14:textId="12FFE765"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(1 514 849)</w:t>
            </w:r>
          </w:p>
        </w:tc>
        <w:tc>
          <w:tcPr>
            <w:tcW w:w="1389" w:type="dxa"/>
            <w:tcBorders>
              <w:top w:val="single" w:sz="8" w:space="0" w:color="0077BD"/>
              <w:left w:val="nil"/>
              <w:bottom w:val="single" w:sz="8" w:space="0" w:color="0077BD"/>
              <w:right w:val="nil"/>
            </w:tcBorders>
            <w:shd w:val="clear" w:color="auto" w:fill="auto"/>
            <w:vAlign w:val="center"/>
          </w:tcPr>
          <w:p w14:paraId="3363CA3E" w14:textId="4AEC37F1"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(394)</w:t>
            </w:r>
          </w:p>
        </w:tc>
      </w:tr>
      <w:tr w:rsidR="00B8443C" w:rsidRPr="00BB7C9E" w14:paraId="1CFF5A45" w14:textId="77777777" w:rsidTr="00C376FC">
        <w:trPr>
          <w:trHeight w:val="20"/>
        </w:trPr>
        <w:tc>
          <w:tcPr>
            <w:tcW w:w="3969" w:type="dxa"/>
            <w:tcBorders>
              <w:top w:val="nil"/>
              <w:left w:val="nil"/>
              <w:bottom w:val="nil"/>
              <w:right w:val="nil"/>
            </w:tcBorders>
            <w:shd w:val="clear" w:color="000000" w:fill="FFFFFF"/>
            <w:vAlign w:val="center"/>
            <w:hideMark/>
          </w:tcPr>
          <w:p w14:paraId="76781546" w14:textId="77777777" w:rsidR="00B8443C" w:rsidRPr="00BB7C9E" w:rsidRDefault="00B8443C" w:rsidP="00B8443C">
            <w:pPr>
              <w:rPr>
                <w:rFonts w:cs="Calibri"/>
                <w:b/>
                <w:bCs/>
                <w:color w:val="000000" w:themeColor="text1"/>
                <w:sz w:val="13"/>
                <w:szCs w:val="13"/>
              </w:rPr>
            </w:pPr>
            <w:r w:rsidRPr="00BB7C9E">
              <w:rPr>
                <w:rFonts w:cs="Calibri"/>
                <w:b/>
                <w:bCs/>
                <w:color w:val="000000" w:themeColor="text1"/>
                <w:sz w:val="13"/>
                <w:szCs w:val="13"/>
              </w:rPr>
              <w:t> </w:t>
            </w:r>
          </w:p>
        </w:tc>
        <w:tc>
          <w:tcPr>
            <w:tcW w:w="1389" w:type="dxa"/>
            <w:tcBorders>
              <w:top w:val="nil"/>
              <w:left w:val="nil"/>
              <w:bottom w:val="nil"/>
              <w:right w:val="nil"/>
            </w:tcBorders>
            <w:shd w:val="clear" w:color="auto" w:fill="auto"/>
            <w:vAlign w:val="center"/>
          </w:tcPr>
          <w:p w14:paraId="77D517CF" w14:textId="632B04AC"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tcPr>
          <w:p w14:paraId="44FF6A4B" w14:textId="045F1873"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tcPr>
          <w:p w14:paraId="159D9019" w14:textId="4F399EB6"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tcPr>
          <w:p w14:paraId="58ADC22F" w14:textId="708A8907"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 </w:t>
            </w:r>
          </w:p>
        </w:tc>
      </w:tr>
      <w:tr w:rsidR="00B8443C" w:rsidRPr="00BB7C9E" w14:paraId="766CE385" w14:textId="77777777" w:rsidTr="00CA5E84">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0B36D0B4" w14:textId="77777777" w:rsidR="00B8443C" w:rsidRPr="00BB7C9E" w:rsidRDefault="00B8443C" w:rsidP="00B8443C">
            <w:pPr>
              <w:rPr>
                <w:rFonts w:cs="Calibri"/>
                <w:b/>
                <w:bCs/>
                <w:color w:val="000000" w:themeColor="text1"/>
                <w:sz w:val="13"/>
                <w:szCs w:val="13"/>
              </w:rPr>
            </w:pPr>
            <w:r w:rsidRPr="00BB7C9E">
              <w:rPr>
                <w:rFonts w:cs="Calibri"/>
                <w:b/>
                <w:bCs/>
                <w:color w:val="000000" w:themeColor="text1"/>
                <w:sz w:val="13"/>
                <w:szCs w:val="13"/>
              </w:rPr>
              <w:t>Wartość bilansowa brutto, razem</w:t>
            </w:r>
          </w:p>
        </w:tc>
        <w:tc>
          <w:tcPr>
            <w:tcW w:w="1389" w:type="dxa"/>
            <w:tcBorders>
              <w:top w:val="single" w:sz="8" w:space="0" w:color="0077BD"/>
              <w:left w:val="single" w:sz="8" w:space="0" w:color="0077BD"/>
              <w:bottom w:val="single" w:sz="8" w:space="0" w:color="0077BD"/>
              <w:right w:val="nil"/>
            </w:tcBorders>
            <w:shd w:val="clear" w:color="auto" w:fill="auto"/>
            <w:noWrap/>
            <w:vAlign w:val="center"/>
          </w:tcPr>
          <w:p w14:paraId="50F12F61" w14:textId="5B8F90D4"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106 393 532</w:t>
            </w:r>
          </w:p>
        </w:tc>
        <w:tc>
          <w:tcPr>
            <w:tcW w:w="1389" w:type="dxa"/>
            <w:tcBorders>
              <w:top w:val="single" w:sz="8" w:space="0" w:color="0077BD"/>
              <w:left w:val="single" w:sz="8" w:space="0" w:color="0077BD"/>
              <w:bottom w:val="single" w:sz="8" w:space="0" w:color="0077BD"/>
              <w:right w:val="nil"/>
            </w:tcBorders>
            <w:shd w:val="clear" w:color="auto" w:fill="auto"/>
            <w:noWrap/>
            <w:vAlign w:val="center"/>
          </w:tcPr>
          <w:p w14:paraId="4FB37999" w14:textId="6C7A26BC"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58 674 891</w:t>
            </w:r>
          </w:p>
        </w:tc>
        <w:tc>
          <w:tcPr>
            <w:tcW w:w="1389" w:type="dxa"/>
            <w:tcBorders>
              <w:top w:val="single" w:sz="8" w:space="0" w:color="0077BD"/>
              <w:left w:val="single" w:sz="8" w:space="0" w:color="0077BD"/>
              <w:bottom w:val="single" w:sz="8" w:space="0" w:color="0077BD"/>
              <w:right w:val="nil"/>
            </w:tcBorders>
            <w:shd w:val="clear" w:color="auto" w:fill="auto"/>
            <w:noWrap/>
            <w:vAlign w:val="center"/>
          </w:tcPr>
          <w:p w14:paraId="334CC8DC" w14:textId="476DCADF"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47 333 932</w:t>
            </w:r>
          </w:p>
        </w:tc>
        <w:tc>
          <w:tcPr>
            <w:tcW w:w="1389" w:type="dxa"/>
            <w:tcBorders>
              <w:top w:val="single" w:sz="8" w:space="0" w:color="0077BD"/>
              <w:left w:val="single" w:sz="8" w:space="0" w:color="0077BD"/>
              <w:bottom w:val="single" w:sz="8" w:space="0" w:color="0077BD"/>
              <w:right w:val="nil"/>
            </w:tcBorders>
            <w:shd w:val="clear" w:color="auto" w:fill="auto"/>
            <w:noWrap/>
            <w:vAlign w:val="center"/>
          </w:tcPr>
          <w:p w14:paraId="23C27771" w14:textId="3552495F"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384 709</w:t>
            </w:r>
          </w:p>
        </w:tc>
      </w:tr>
      <w:tr w:rsidR="00B8443C" w:rsidRPr="00BB7C9E" w14:paraId="5F531586" w14:textId="77777777" w:rsidTr="00CA5E84">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4A614B5E"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Skumulowana utrata wartości, razem</w:t>
            </w:r>
          </w:p>
        </w:tc>
        <w:tc>
          <w:tcPr>
            <w:tcW w:w="1389" w:type="dxa"/>
            <w:tcBorders>
              <w:top w:val="nil"/>
              <w:left w:val="single" w:sz="8" w:space="0" w:color="0077BD"/>
              <w:bottom w:val="single" w:sz="8" w:space="0" w:color="0077BD"/>
              <w:right w:val="nil"/>
            </w:tcBorders>
            <w:shd w:val="clear" w:color="auto" w:fill="auto"/>
            <w:noWrap/>
            <w:vAlign w:val="center"/>
          </w:tcPr>
          <w:p w14:paraId="11953E47" w14:textId="0EA9F261"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(3 190 278)</w:t>
            </w:r>
          </w:p>
        </w:tc>
        <w:tc>
          <w:tcPr>
            <w:tcW w:w="1389" w:type="dxa"/>
            <w:tcBorders>
              <w:top w:val="nil"/>
              <w:left w:val="single" w:sz="8" w:space="0" w:color="0077BD"/>
              <w:bottom w:val="single" w:sz="8" w:space="0" w:color="0077BD"/>
              <w:right w:val="nil"/>
            </w:tcBorders>
            <w:shd w:val="clear" w:color="auto" w:fill="auto"/>
            <w:noWrap/>
            <w:vAlign w:val="center"/>
          </w:tcPr>
          <w:p w14:paraId="2582D734" w14:textId="073C3599"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(1 675 035)</w:t>
            </w:r>
          </w:p>
        </w:tc>
        <w:tc>
          <w:tcPr>
            <w:tcW w:w="1389" w:type="dxa"/>
            <w:tcBorders>
              <w:top w:val="nil"/>
              <w:left w:val="single" w:sz="8" w:space="0" w:color="0077BD"/>
              <w:bottom w:val="single" w:sz="8" w:space="0" w:color="0077BD"/>
              <w:right w:val="nil"/>
            </w:tcBorders>
            <w:shd w:val="clear" w:color="auto" w:fill="auto"/>
            <w:noWrap/>
            <w:vAlign w:val="center"/>
          </w:tcPr>
          <w:p w14:paraId="27869C37" w14:textId="6C53165F"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(1 514 849)</w:t>
            </w:r>
          </w:p>
        </w:tc>
        <w:tc>
          <w:tcPr>
            <w:tcW w:w="1389" w:type="dxa"/>
            <w:tcBorders>
              <w:top w:val="nil"/>
              <w:left w:val="single" w:sz="8" w:space="0" w:color="0077BD"/>
              <w:bottom w:val="single" w:sz="8" w:space="0" w:color="0077BD"/>
              <w:right w:val="nil"/>
            </w:tcBorders>
            <w:shd w:val="clear" w:color="auto" w:fill="auto"/>
            <w:noWrap/>
            <w:vAlign w:val="center"/>
          </w:tcPr>
          <w:p w14:paraId="7223B7E7" w14:textId="499B1C67"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(394)</w:t>
            </w:r>
          </w:p>
        </w:tc>
      </w:tr>
      <w:tr w:rsidR="00B8443C" w:rsidRPr="00BB7C9E" w14:paraId="74F6E7C3" w14:textId="77777777" w:rsidTr="00CA5E84">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116D9238" w14:textId="77777777" w:rsidR="00B8443C" w:rsidRPr="00BB7C9E" w:rsidRDefault="00B8443C" w:rsidP="00B8443C">
            <w:pPr>
              <w:rPr>
                <w:rFonts w:cs="Calibri"/>
                <w:b/>
                <w:bCs/>
                <w:color w:val="000000" w:themeColor="text1"/>
                <w:sz w:val="13"/>
                <w:szCs w:val="13"/>
              </w:rPr>
            </w:pPr>
            <w:r w:rsidRPr="00BB7C9E">
              <w:rPr>
                <w:rFonts w:cs="Calibri"/>
                <w:b/>
                <w:bCs/>
                <w:color w:val="000000" w:themeColor="text1"/>
                <w:sz w:val="13"/>
                <w:szCs w:val="13"/>
              </w:rPr>
              <w:t>Wartość bilansowa netto, razem</w:t>
            </w:r>
          </w:p>
        </w:tc>
        <w:tc>
          <w:tcPr>
            <w:tcW w:w="1389" w:type="dxa"/>
            <w:tcBorders>
              <w:top w:val="nil"/>
              <w:left w:val="single" w:sz="8" w:space="0" w:color="0077BD"/>
              <w:bottom w:val="single" w:sz="8" w:space="0" w:color="0077BD"/>
              <w:right w:val="nil"/>
            </w:tcBorders>
            <w:shd w:val="clear" w:color="auto" w:fill="auto"/>
            <w:noWrap/>
            <w:vAlign w:val="center"/>
          </w:tcPr>
          <w:p w14:paraId="338F2E55" w14:textId="598E57D0"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103 203 254</w:t>
            </w:r>
          </w:p>
        </w:tc>
        <w:tc>
          <w:tcPr>
            <w:tcW w:w="1389" w:type="dxa"/>
            <w:tcBorders>
              <w:top w:val="nil"/>
              <w:left w:val="single" w:sz="8" w:space="0" w:color="0077BD"/>
              <w:bottom w:val="single" w:sz="8" w:space="0" w:color="0077BD"/>
              <w:right w:val="nil"/>
            </w:tcBorders>
            <w:shd w:val="clear" w:color="auto" w:fill="auto"/>
            <w:noWrap/>
            <w:vAlign w:val="center"/>
          </w:tcPr>
          <w:p w14:paraId="16F1515E" w14:textId="52934410"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56 999 856</w:t>
            </w:r>
          </w:p>
        </w:tc>
        <w:tc>
          <w:tcPr>
            <w:tcW w:w="1389" w:type="dxa"/>
            <w:tcBorders>
              <w:top w:val="nil"/>
              <w:left w:val="single" w:sz="8" w:space="0" w:color="0077BD"/>
              <w:bottom w:val="single" w:sz="8" w:space="0" w:color="0077BD"/>
              <w:right w:val="nil"/>
            </w:tcBorders>
            <w:shd w:val="clear" w:color="auto" w:fill="auto"/>
            <w:noWrap/>
            <w:vAlign w:val="center"/>
          </w:tcPr>
          <w:p w14:paraId="42CB387F" w14:textId="0081A0F4"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45 819 083</w:t>
            </w:r>
          </w:p>
        </w:tc>
        <w:tc>
          <w:tcPr>
            <w:tcW w:w="1389" w:type="dxa"/>
            <w:tcBorders>
              <w:top w:val="nil"/>
              <w:left w:val="single" w:sz="8" w:space="0" w:color="0077BD"/>
              <w:bottom w:val="single" w:sz="8" w:space="0" w:color="0077BD"/>
              <w:right w:val="nil"/>
            </w:tcBorders>
            <w:shd w:val="clear" w:color="auto" w:fill="auto"/>
            <w:noWrap/>
            <w:vAlign w:val="center"/>
          </w:tcPr>
          <w:p w14:paraId="09434691" w14:textId="437FF562" w:rsidR="00B8443C" w:rsidRPr="007155E9" w:rsidRDefault="00B8443C" w:rsidP="00B8443C">
            <w:pPr>
              <w:jc w:val="right"/>
              <w:rPr>
                <w:rFonts w:cs="Calibri"/>
                <w:b/>
                <w:bCs/>
                <w:color w:val="000000" w:themeColor="text1"/>
                <w:sz w:val="13"/>
                <w:szCs w:val="13"/>
              </w:rPr>
            </w:pPr>
            <w:r w:rsidRPr="007155E9">
              <w:rPr>
                <w:rFonts w:cs="Calibri"/>
                <w:b/>
                <w:bCs/>
                <w:color w:val="000000" w:themeColor="text1"/>
                <w:sz w:val="13"/>
                <w:szCs w:val="13"/>
              </w:rPr>
              <w:t>384 315</w:t>
            </w:r>
          </w:p>
        </w:tc>
      </w:tr>
      <w:tr w:rsidR="00B8443C" w:rsidRPr="00BB7C9E" w14:paraId="2B42675E" w14:textId="77777777" w:rsidTr="008E41C5">
        <w:trPr>
          <w:trHeight w:val="20"/>
        </w:trPr>
        <w:tc>
          <w:tcPr>
            <w:tcW w:w="3969" w:type="dxa"/>
            <w:tcBorders>
              <w:top w:val="nil"/>
              <w:left w:val="nil"/>
              <w:bottom w:val="nil"/>
              <w:right w:val="nil"/>
            </w:tcBorders>
            <w:shd w:val="clear" w:color="000000" w:fill="FFFFFF"/>
            <w:vAlign w:val="center"/>
            <w:hideMark/>
          </w:tcPr>
          <w:p w14:paraId="3F2621CB"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 </w:t>
            </w:r>
          </w:p>
        </w:tc>
        <w:tc>
          <w:tcPr>
            <w:tcW w:w="1389" w:type="dxa"/>
            <w:tcBorders>
              <w:top w:val="nil"/>
              <w:left w:val="nil"/>
              <w:bottom w:val="nil"/>
              <w:right w:val="nil"/>
            </w:tcBorders>
            <w:shd w:val="clear" w:color="auto" w:fill="auto"/>
            <w:vAlign w:val="center"/>
            <w:hideMark/>
          </w:tcPr>
          <w:p w14:paraId="34EB4FA0" w14:textId="77777777" w:rsidR="00B8443C" w:rsidRPr="007155E9" w:rsidRDefault="00B8443C" w:rsidP="00B8443C">
            <w:pPr>
              <w:rPr>
                <w:rFonts w:cs="Calibri"/>
                <w:color w:val="000000" w:themeColor="text1"/>
                <w:sz w:val="13"/>
                <w:szCs w:val="13"/>
              </w:rPr>
            </w:pPr>
          </w:p>
        </w:tc>
        <w:tc>
          <w:tcPr>
            <w:tcW w:w="1389" w:type="dxa"/>
            <w:tcBorders>
              <w:top w:val="nil"/>
              <w:left w:val="nil"/>
              <w:bottom w:val="nil"/>
              <w:right w:val="nil"/>
            </w:tcBorders>
            <w:shd w:val="clear" w:color="auto" w:fill="auto"/>
            <w:noWrap/>
            <w:vAlign w:val="center"/>
            <w:hideMark/>
          </w:tcPr>
          <w:p w14:paraId="425A6FA9" w14:textId="77777777" w:rsidR="00B8443C" w:rsidRPr="007155E9" w:rsidRDefault="00B8443C" w:rsidP="00B8443C">
            <w:pPr>
              <w:jc w:val="right"/>
              <w:rPr>
                <w:color w:val="000000" w:themeColor="text1"/>
                <w:sz w:val="13"/>
                <w:szCs w:val="13"/>
              </w:rPr>
            </w:pPr>
          </w:p>
        </w:tc>
        <w:tc>
          <w:tcPr>
            <w:tcW w:w="1389" w:type="dxa"/>
            <w:tcBorders>
              <w:top w:val="nil"/>
              <w:left w:val="nil"/>
              <w:bottom w:val="nil"/>
              <w:right w:val="nil"/>
            </w:tcBorders>
            <w:shd w:val="clear" w:color="auto" w:fill="auto"/>
            <w:noWrap/>
            <w:vAlign w:val="center"/>
            <w:hideMark/>
          </w:tcPr>
          <w:p w14:paraId="227A8BA0" w14:textId="77777777" w:rsidR="00B8443C" w:rsidRPr="007155E9" w:rsidRDefault="00B8443C" w:rsidP="00B8443C">
            <w:pPr>
              <w:jc w:val="right"/>
              <w:rPr>
                <w:color w:val="000000" w:themeColor="text1"/>
                <w:sz w:val="13"/>
                <w:szCs w:val="13"/>
              </w:rPr>
            </w:pPr>
          </w:p>
        </w:tc>
        <w:tc>
          <w:tcPr>
            <w:tcW w:w="1389" w:type="dxa"/>
            <w:tcBorders>
              <w:top w:val="nil"/>
              <w:left w:val="nil"/>
              <w:bottom w:val="nil"/>
              <w:right w:val="nil"/>
            </w:tcBorders>
            <w:shd w:val="clear" w:color="auto" w:fill="auto"/>
            <w:noWrap/>
            <w:vAlign w:val="center"/>
            <w:hideMark/>
          </w:tcPr>
          <w:p w14:paraId="524B3BCF" w14:textId="77777777" w:rsidR="00B8443C" w:rsidRPr="007155E9" w:rsidRDefault="00B8443C" w:rsidP="00B8443C">
            <w:pPr>
              <w:jc w:val="right"/>
              <w:rPr>
                <w:color w:val="000000" w:themeColor="text1"/>
                <w:sz w:val="13"/>
                <w:szCs w:val="13"/>
              </w:rPr>
            </w:pPr>
          </w:p>
        </w:tc>
      </w:tr>
      <w:tr w:rsidR="00B8443C" w:rsidRPr="00BB7C9E" w14:paraId="494C7B6E" w14:textId="77777777" w:rsidTr="00CA5E84">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2D843B98"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Krótkoterminowe (do 1 roku) brutto</w:t>
            </w:r>
          </w:p>
        </w:tc>
        <w:tc>
          <w:tcPr>
            <w:tcW w:w="1389" w:type="dxa"/>
            <w:tcBorders>
              <w:top w:val="single" w:sz="8" w:space="0" w:color="0077BD"/>
              <w:left w:val="single" w:sz="8" w:space="0" w:color="0077BD"/>
              <w:bottom w:val="single" w:sz="8" w:space="0" w:color="0077BD"/>
              <w:right w:val="nil"/>
            </w:tcBorders>
            <w:shd w:val="clear" w:color="auto" w:fill="auto"/>
            <w:vAlign w:val="center"/>
          </w:tcPr>
          <w:p w14:paraId="44EF03C5" w14:textId="4E412203"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36 875 519</w:t>
            </w:r>
          </w:p>
        </w:tc>
        <w:tc>
          <w:tcPr>
            <w:tcW w:w="1389" w:type="dxa"/>
            <w:tcBorders>
              <w:top w:val="nil"/>
              <w:left w:val="nil"/>
              <w:bottom w:val="nil"/>
              <w:right w:val="nil"/>
            </w:tcBorders>
            <w:shd w:val="clear" w:color="auto" w:fill="auto"/>
            <w:vAlign w:val="center"/>
            <w:hideMark/>
          </w:tcPr>
          <w:p w14:paraId="20707655" w14:textId="77777777" w:rsidR="00B8443C" w:rsidRPr="007155E9" w:rsidRDefault="00B8443C" w:rsidP="00B8443C">
            <w:pPr>
              <w:jc w:val="right"/>
              <w:rPr>
                <w:rFonts w:cs="Calibri"/>
                <w:color w:val="000000" w:themeColor="text1"/>
                <w:sz w:val="13"/>
                <w:szCs w:val="13"/>
              </w:rPr>
            </w:pPr>
          </w:p>
        </w:tc>
        <w:tc>
          <w:tcPr>
            <w:tcW w:w="1389" w:type="dxa"/>
            <w:tcBorders>
              <w:top w:val="nil"/>
              <w:left w:val="nil"/>
              <w:bottom w:val="nil"/>
              <w:right w:val="nil"/>
            </w:tcBorders>
            <w:shd w:val="clear" w:color="auto" w:fill="auto"/>
            <w:vAlign w:val="center"/>
            <w:hideMark/>
          </w:tcPr>
          <w:p w14:paraId="15786596" w14:textId="77777777" w:rsidR="00B8443C" w:rsidRPr="007155E9" w:rsidRDefault="00B8443C" w:rsidP="00B8443C">
            <w:pPr>
              <w:jc w:val="right"/>
              <w:rPr>
                <w:color w:val="000000" w:themeColor="text1"/>
                <w:sz w:val="13"/>
                <w:szCs w:val="13"/>
              </w:rPr>
            </w:pPr>
          </w:p>
        </w:tc>
        <w:tc>
          <w:tcPr>
            <w:tcW w:w="1389" w:type="dxa"/>
            <w:tcBorders>
              <w:top w:val="nil"/>
              <w:left w:val="nil"/>
              <w:bottom w:val="nil"/>
              <w:right w:val="nil"/>
            </w:tcBorders>
            <w:shd w:val="clear" w:color="auto" w:fill="auto"/>
            <w:vAlign w:val="center"/>
            <w:hideMark/>
          </w:tcPr>
          <w:p w14:paraId="46DDE2A4" w14:textId="77777777" w:rsidR="00B8443C" w:rsidRPr="007155E9" w:rsidRDefault="00B8443C" w:rsidP="00B8443C">
            <w:pPr>
              <w:jc w:val="right"/>
              <w:rPr>
                <w:color w:val="000000" w:themeColor="text1"/>
                <w:sz w:val="13"/>
                <w:szCs w:val="13"/>
              </w:rPr>
            </w:pPr>
          </w:p>
        </w:tc>
      </w:tr>
      <w:tr w:rsidR="00B8443C" w:rsidRPr="00BB7C9E" w14:paraId="33F218FC" w14:textId="77777777" w:rsidTr="00CA5E84">
        <w:trPr>
          <w:trHeight w:val="284"/>
        </w:trPr>
        <w:tc>
          <w:tcPr>
            <w:tcW w:w="3969" w:type="dxa"/>
            <w:tcBorders>
              <w:top w:val="nil"/>
              <w:left w:val="nil"/>
              <w:bottom w:val="single" w:sz="8" w:space="0" w:color="0077BD"/>
              <w:right w:val="single" w:sz="8" w:space="0" w:color="0077BD"/>
            </w:tcBorders>
            <w:shd w:val="clear" w:color="auto" w:fill="auto"/>
            <w:vAlign w:val="center"/>
            <w:hideMark/>
          </w:tcPr>
          <w:p w14:paraId="1627FA3D" w14:textId="77777777" w:rsidR="00B8443C" w:rsidRPr="00BB7C9E" w:rsidRDefault="00B8443C" w:rsidP="00B8443C">
            <w:pPr>
              <w:rPr>
                <w:rFonts w:cs="Calibri"/>
                <w:color w:val="000000" w:themeColor="text1"/>
                <w:sz w:val="13"/>
                <w:szCs w:val="13"/>
              </w:rPr>
            </w:pPr>
            <w:r w:rsidRPr="00BB7C9E">
              <w:rPr>
                <w:rFonts w:cs="Calibri"/>
                <w:color w:val="000000" w:themeColor="text1"/>
                <w:sz w:val="13"/>
                <w:szCs w:val="13"/>
              </w:rPr>
              <w:t>Długoterminowe (ponad 1 rok) brutto</w:t>
            </w:r>
          </w:p>
        </w:tc>
        <w:tc>
          <w:tcPr>
            <w:tcW w:w="1389" w:type="dxa"/>
            <w:tcBorders>
              <w:top w:val="nil"/>
              <w:left w:val="single" w:sz="8" w:space="0" w:color="0077BD"/>
              <w:bottom w:val="single" w:sz="8" w:space="0" w:color="0077BD"/>
              <w:right w:val="nil"/>
            </w:tcBorders>
            <w:shd w:val="clear" w:color="auto" w:fill="auto"/>
            <w:vAlign w:val="center"/>
          </w:tcPr>
          <w:p w14:paraId="16B7B062" w14:textId="4E81FF03" w:rsidR="00B8443C" w:rsidRPr="007155E9" w:rsidRDefault="00B8443C" w:rsidP="00B8443C">
            <w:pPr>
              <w:jc w:val="right"/>
              <w:rPr>
                <w:rFonts w:cs="Calibri"/>
                <w:color w:val="000000" w:themeColor="text1"/>
                <w:sz w:val="13"/>
                <w:szCs w:val="13"/>
              </w:rPr>
            </w:pPr>
            <w:r w:rsidRPr="007155E9">
              <w:rPr>
                <w:rFonts w:cs="Calibri"/>
                <w:color w:val="000000" w:themeColor="text1"/>
                <w:sz w:val="13"/>
                <w:szCs w:val="13"/>
              </w:rPr>
              <w:t>69 518 013</w:t>
            </w:r>
          </w:p>
        </w:tc>
        <w:tc>
          <w:tcPr>
            <w:tcW w:w="1389" w:type="dxa"/>
            <w:tcBorders>
              <w:top w:val="nil"/>
              <w:left w:val="nil"/>
              <w:bottom w:val="nil"/>
              <w:right w:val="nil"/>
            </w:tcBorders>
            <w:shd w:val="clear" w:color="auto" w:fill="auto"/>
            <w:vAlign w:val="center"/>
            <w:hideMark/>
          </w:tcPr>
          <w:p w14:paraId="1FF65840" w14:textId="77777777" w:rsidR="00B8443C" w:rsidRPr="007155E9" w:rsidRDefault="00B8443C" w:rsidP="00B8443C">
            <w:pPr>
              <w:jc w:val="right"/>
              <w:rPr>
                <w:rFonts w:cs="Calibri"/>
                <w:color w:val="000000" w:themeColor="text1"/>
                <w:sz w:val="13"/>
                <w:szCs w:val="13"/>
              </w:rPr>
            </w:pPr>
          </w:p>
        </w:tc>
        <w:tc>
          <w:tcPr>
            <w:tcW w:w="1389" w:type="dxa"/>
            <w:tcBorders>
              <w:top w:val="nil"/>
              <w:left w:val="nil"/>
              <w:bottom w:val="nil"/>
              <w:right w:val="nil"/>
            </w:tcBorders>
            <w:shd w:val="clear" w:color="auto" w:fill="auto"/>
            <w:vAlign w:val="center"/>
            <w:hideMark/>
          </w:tcPr>
          <w:p w14:paraId="48A44F04" w14:textId="77777777" w:rsidR="00B8443C" w:rsidRPr="007155E9" w:rsidRDefault="00B8443C" w:rsidP="00B8443C">
            <w:pPr>
              <w:jc w:val="right"/>
              <w:rPr>
                <w:color w:val="000000" w:themeColor="text1"/>
                <w:sz w:val="13"/>
                <w:szCs w:val="13"/>
              </w:rPr>
            </w:pPr>
          </w:p>
        </w:tc>
        <w:tc>
          <w:tcPr>
            <w:tcW w:w="1389" w:type="dxa"/>
            <w:tcBorders>
              <w:top w:val="nil"/>
              <w:left w:val="nil"/>
              <w:bottom w:val="nil"/>
              <w:right w:val="nil"/>
            </w:tcBorders>
            <w:shd w:val="clear" w:color="auto" w:fill="auto"/>
            <w:vAlign w:val="center"/>
            <w:hideMark/>
          </w:tcPr>
          <w:p w14:paraId="62781608" w14:textId="77777777" w:rsidR="00B8443C" w:rsidRPr="007155E9" w:rsidRDefault="00B8443C" w:rsidP="00B8443C">
            <w:pPr>
              <w:jc w:val="right"/>
              <w:rPr>
                <w:color w:val="000000" w:themeColor="text1"/>
                <w:sz w:val="13"/>
                <w:szCs w:val="13"/>
              </w:rPr>
            </w:pPr>
          </w:p>
        </w:tc>
      </w:tr>
    </w:tbl>
    <w:p w14:paraId="681D4871" w14:textId="7D2685DE" w:rsidR="00CA5E84" w:rsidRPr="00BB7C9E" w:rsidRDefault="00CA5E84" w:rsidP="00E51A64">
      <w:pPr>
        <w:jc w:val="both"/>
        <w:rPr>
          <w:rFonts w:cs="Tahoma"/>
          <w:color w:val="000000" w:themeColor="text1"/>
          <w:sz w:val="18"/>
          <w:szCs w:val="18"/>
        </w:rPr>
      </w:pPr>
    </w:p>
    <w:p w14:paraId="49EA8464" w14:textId="77777777" w:rsidR="00CA5E84" w:rsidRPr="00BB7C9E" w:rsidRDefault="00CA5E84">
      <w:pPr>
        <w:rPr>
          <w:rFonts w:cs="Tahoma"/>
          <w:color w:val="000000" w:themeColor="text1"/>
          <w:sz w:val="18"/>
          <w:szCs w:val="18"/>
        </w:rPr>
      </w:pPr>
      <w:r w:rsidRPr="00BB7C9E">
        <w:rPr>
          <w:rFonts w:cs="Tahoma"/>
          <w:color w:val="000000" w:themeColor="text1"/>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3969"/>
        <w:gridCol w:w="1389"/>
        <w:gridCol w:w="1389"/>
        <w:gridCol w:w="1389"/>
        <w:gridCol w:w="1389"/>
      </w:tblGrid>
      <w:tr w:rsidR="00C376FC" w:rsidRPr="00E51A64" w14:paraId="113105DC" w14:textId="77777777" w:rsidTr="00CA5E84">
        <w:trPr>
          <w:trHeight w:val="284"/>
        </w:trPr>
        <w:tc>
          <w:tcPr>
            <w:tcW w:w="3969" w:type="dxa"/>
            <w:vMerge w:val="restart"/>
            <w:tcBorders>
              <w:top w:val="nil"/>
              <w:left w:val="nil"/>
              <w:bottom w:val="nil"/>
              <w:right w:val="nil"/>
            </w:tcBorders>
            <w:shd w:val="clear" w:color="000000" w:fill="0077BD"/>
            <w:vAlign w:val="center"/>
            <w:hideMark/>
          </w:tcPr>
          <w:p w14:paraId="6025747D" w14:textId="77777777" w:rsidR="00E51A64" w:rsidRPr="00E51A64" w:rsidRDefault="00E51A64" w:rsidP="00E51A64">
            <w:pPr>
              <w:rPr>
                <w:rFonts w:cs="Calibri"/>
                <w:b/>
                <w:bCs/>
                <w:color w:val="FFFFFF"/>
                <w:sz w:val="13"/>
                <w:szCs w:val="13"/>
              </w:rPr>
            </w:pPr>
            <w:r w:rsidRPr="00E51A64">
              <w:rPr>
                <w:rFonts w:cs="Calibri"/>
                <w:b/>
                <w:bCs/>
                <w:color w:val="FFFFFF"/>
                <w:sz w:val="13"/>
                <w:szCs w:val="13"/>
              </w:rPr>
              <w:lastRenderedPageBreak/>
              <w:t>Kredyty i pożyczki udzielone klientom</w:t>
            </w:r>
            <w:r w:rsidRPr="00E51A64">
              <w:rPr>
                <w:rFonts w:cs="Calibri"/>
                <w:b/>
                <w:bCs/>
                <w:color w:val="FFFFFF"/>
                <w:sz w:val="13"/>
                <w:szCs w:val="13"/>
              </w:rPr>
              <w:br/>
              <w:t>31.12.2018</w:t>
            </w:r>
          </w:p>
        </w:tc>
        <w:tc>
          <w:tcPr>
            <w:tcW w:w="1389" w:type="dxa"/>
            <w:vMerge w:val="restart"/>
            <w:tcBorders>
              <w:top w:val="nil"/>
              <w:left w:val="single" w:sz="8" w:space="0" w:color="FFFFFF"/>
              <w:bottom w:val="nil"/>
              <w:right w:val="single" w:sz="8" w:space="0" w:color="FFFFFF"/>
            </w:tcBorders>
            <w:shd w:val="clear" w:color="000000" w:fill="0077BD"/>
            <w:vAlign w:val="center"/>
            <w:hideMark/>
          </w:tcPr>
          <w:p w14:paraId="17F2D37A"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Wartość bilansowa brutto</w:t>
            </w:r>
          </w:p>
        </w:tc>
        <w:tc>
          <w:tcPr>
            <w:tcW w:w="4167" w:type="dxa"/>
            <w:gridSpan w:val="3"/>
            <w:tcBorders>
              <w:top w:val="nil"/>
              <w:left w:val="nil"/>
              <w:bottom w:val="single" w:sz="8" w:space="0" w:color="FFFFFF"/>
              <w:right w:val="nil"/>
            </w:tcBorders>
            <w:shd w:val="clear" w:color="000000" w:fill="0077BD"/>
            <w:vAlign w:val="center"/>
            <w:hideMark/>
          </w:tcPr>
          <w:p w14:paraId="59A7B0A8" w14:textId="11C73A7E" w:rsidR="00E51A64" w:rsidRPr="00E51A64" w:rsidRDefault="00B95518" w:rsidP="00E51A64">
            <w:pPr>
              <w:jc w:val="center"/>
              <w:rPr>
                <w:rFonts w:cs="Calibri"/>
                <w:b/>
                <w:bCs/>
                <w:color w:val="FFFFFF"/>
                <w:sz w:val="13"/>
                <w:szCs w:val="13"/>
              </w:rPr>
            </w:pPr>
            <w:r>
              <w:rPr>
                <w:rFonts w:cs="Calibri"/>
                <w:b/>
                <w:bCs/>
                <w:color w:val="FFFFFF"/>
                <w:sz w:val="13"/>
                <w:szCs w:val="13"/>
              </w:rPr>
              <w:t>w tym:</w:t>
            </w:r>
          </w:p>
        </w:tc>
      </w:tr>
      <w:tr w:rsidR="00C376FC" w:rsidRPr="00E51A64" w14:paraId="404452C9" w14:textId="77777777" w:rsidTr="00C376FC">
        <w:trPr>
          <w:trHeight w:val="340"/>
        </w:trPr>
        <w:tc>
          <w:tcPr>
            <w:tcW w:w="3969" w:type="dxa"/>
            <w:vMerge/>
            <w:tcBorders>
              <w:top w:val="nil"/>
              <w:left w:val="nil"/>
              <w:bottom w:val="nil"/>
              <w:right w:val="nil"/>
            </w:tcBorders>
            <w:vAlign w:val="center"/>
            <w:hideMark/>
          </w:tcPr>
          <w:p w14:paraId="20BA80D2" w14:textId="77777777" w:rsidR="00E51A64" w:rsidRPr="00E51A64" w:rsidRDefault="00E51A64" w:rsidP="00E51A64">
            <w:pPr>
              <w:rPr>
                <w:rFonts w:cs="Calibri"/>
                <w:b/>
                <w:bCs/>
                <w:color w:val="FFFFFF"/>
                <w:sz w:val="13"/>
                <w:szCs w:val="13"/>
              </w:rPr>
            </w:pPr>
          </w:p>
        </w:tc>
        <w:tc>
          <w:tcPr>
            <w:tcW w:w="1389" w:type="dxa"/>
            <w:vMerge/>
            <w:tcBorders>
              <w:top w:val="nil"/>
              <w:left w:val="single" w:sz="8" w:space="0" w:color="FFFFFF"/>
              <w:bottom w:val="nil"/>
              <w:right w:val="single" w:sz="8" w:space="0" w:color="FFFFFF"/>
            </w:tcBorders>
            <w:vAlign w:val="center"/>
            <w:hideMark/>
          </w:tcPr>
          <w:p w14:paraId="2DECBF19" w14:textId="77777777" w:rsidR="00E51A64" w:rsidRPr="00E51A64" w:rsidRDefault="00E51A64" w:rsidP="00E51A64">
            <w:pPr>
              <w:rPr>
                <w:rFonts w:cs="Calibri"/>
                <w:b/>
                <w:bCs/>
                <w:color w:val="FFFFFF"/>
                <w:sz w:val="13"/>
                <w:szCs w:val="13"/>
              </w:rPr>
            </w:pPr>
          </w:p>
        </w:tc>
        <w:tc>
          <w:tcPr>
            <w:tcW w:w="1389" w:type="dxa"/>
            <w:tcBorders>
              <w:top w:val="nil"/>
              <w:left w:val="nil"/>
              <w:bottom w:val="nil"/>
              <w:right w:val="nil"/>
            </w:tcBorders>
            <w:shd w:val="clear" w:color="000000" w:fill="0077BD"/>
            <w:vAlign w:val="center"/>
            <w:hideMark/>
          </w:tcPr>
          <w:p w14:paraId="6E6BEE82"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indywidualni</w:t>
            </w:r>
          </w:p>
        </w:tc>
        <w:tc>
          <w:tcPr>
            <w:tcW w:w="1389" w:type="dxa"/>
            <w:tcBorders>
              <w:top w:val="nil"/>
              <w:left w:val="single" w:sz="8" w:space="0" w:color="FFFFFF"/>
              <w:bottom w:val="nil"/>
              <w:right w:val="nil"/>
            </w:tcBorders>
            <w:shd w:val="clear" w:color="000000" w:fill="0077BD"/>
            <w:vAlign w:val="center"/>
            <w:hideMark/>
          </w:tcPr>
          <w:p w14:paraId="3DA9D58E"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korporacyjni</w:t>
            </w:r>
          </w:p>
        </w:tc>
        <w:tc>
          <w:tcPr>
            <w:tcW w:w="1389" w:type="dxa"/>
            <w:tcBorders>
              <w:top w:val="nil"/>
              <w:left w:val="single" w:sz="8" w:space="0" w:color="FFFFFF"/>
              <w:bottom w:val="nil"/>
              <w:right w:val="nil"/>
            </w:tcBorders>
            <w:shd w:val="clear" w:color="000000" w:fill="0077BD"/>
            <w:vAlign w:val="center"/>
            <w:hideMark/>
          </w:tcPr>
          <w:p w14:paraId="37728AD1"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budżetowi</w:t>
            </w:r>
          </w:p>
        </w:tc>
      </w:tr>
      <w:tr w:rsidR="00C376FC" w:rsidRPr="00BB7C9E" w14:paraId="2D3694A0"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1828C136"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Należności bieżące</w:t>
            </w:r>
          </w:p>
        </w:tc>
        <w:tc>
          <w:tcPr>
            <w:tcW w:w="1389" w:type="dxa"/>
            <w:tcBorders>
              <w:top w:val="nil"/>
              <w:left w:val="nil"/>
              <w:bottom w:val="single" w:sz="4" w:space="0" w:color="0077BD"/>
              <w:right w:val="single" w:sz="8" w:space="0" w:color="0077BD"/>
            </w:tcBorders>
            <w:shd w:val="clear" w:color="auto" w:fill="auto"/>
            <w:vAlign w:val="center"/>
            <w:hideMark/>
          </w:tcPr>
          <w:p w14:paraId="6E890670"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12 073 809</w:t>
            </w:r>
          </w:p>
        </w:tc>
        <w:tc>
          <w:tcPr>
            <w:tcW w:w="1389" w:type="dxa"/>
            <w:tcBorders>
              <w:top w:val="nil"/>
              <w:left w:val="nil"/>
              <w:bottom w:val="single" w:sz="4" w:space="0" w:color="0077BD"/>
              <w:right w:val="nil"/>
            </w:tcBorders>
            <w:shd w:val="clear" w:color="auto" w:fill="auto"/>
            <w:noWrap/>
            <w:vAlign w:val="center"/>
            <w:hideMark/>
          </w:tcPr>
          <w:p w14:paraId="19C8DE04"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6 474 555</w:t>
            </w:r>
          </w:p>
        </w:tc>
        <w:tc>
          <w:tcPr>
            <w:tcW w:w="1389" w:type="dxa"/>
            <w:tcBorders>
              <w:top w:val="nil"/>
              <w:left w:val="single" w:sz="8" w:space="0" w:color="0077BD"/>
              <w:bottom w:val="single" w:sz="4" w:space="0" w:color="0077BD"/>
              <w:right w:val="single" w:sz="8" w:space="0" w:color="0077BD"/>
            </w:tcBorders>
            <w:shd w:val="clear" w:color="auto" w:fill="auto"/>
            <w:noWrap/>
            <w:vAlign w:val="center"/>
            <w:hideMark/>
          </w:tcPr>
          <w:p w14:paraId="49FA0583"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5 598 673</w:t>
            </w:r>
          </w:p>
        </w:tc>
        <w:tc>
          <w:tcPr>
            <w:tcW w:w="1389" w:type="dxa"/>
            <w:tcBorders>
              <w:top w:val="nil"/>
              <w:left w:val="nil"/>
              <w:bottom w:val="single" w:sz="4" w:space="0" w:color="0077BD"/>
              <w:right w:val="nil"/>
            </w:tcBorders>
            <w:shd w:val="clear" w:color="auto" w:fill="auto"/>
            <w:noWrap/>
            <w:vAlign w:val="center"/>
            <w:hideMark/>
          </w:tcPr>
          <w:p w14:paraId="17B24610"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581</w:t>
            </w:r>
          </w:p>
        </w:tc>
      </w:tr>
      <w:tr w:rsidR="00C376FC" w:rsidRPr="00BB7C9E" w14:paraId="39F1F9F7"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1F09C89"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Kredyty terminowe, w tym:</w:t>
            </w:r>
          </w:p>
        </w:tc>
        <w:tc>
          <w:tcPr>
            <w:tcW w:w="1389" w:type="dxa"/>
            <w:tcBorders>
              <w:top w:val="nil"/>
              <w:left w:val="nil"/>
              <w:bottom w:val="single" w:sz="4" w:space="0" w:color="0077BD"/>
              <w:right w:val="nil"/>
            </w:tcBorders>
            <w:shd w:val="clear" w:color="auto" w:fill="auto"/>
            <w:vAlign w:val="center"/>
            <w:hideMark/>
          </w:tcPr>
          <w:p w14:paraId="26B20884"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68 498 140</w:t>
            </w:r>
          </w:p>
        </w:tc>
        <w:tc>
          <w:tcPr>
            <w:tcW w:w="1389" w:type="dxa"/>
            <w:tcBorders>
              <w:top w:val="nil"/>
              <w:left w:val="single" w:sz="8" w:space="0" w:color="0077BD"/>
              <w:bottom w:val="single" w:sz="4" w:space="0" w:color="0077BD"/>
              <w:right w:val="nil"/>
            </w:tcBorders>
            <w:shd w:val="clear" w:color="auto" w:fill="auto"/>
            <w:noWrap/>
            <w:vAlign w:val="center"/>
            <w:hideMark/>
          </w:tcPr>
          <w:p w14:paraId="16FD7424"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43 720 475</w:t>
            </w:r>
          </w:p>
        </w:tc>
        <w:tc>
          <w:tcPr>
            <w:tcW w:w="1389" w:type="dxa"/>
            <w:tcBorders>
              <w:top w:val="nil"/>
              <w:left w:val="single" w:sz="8" w:space="0" w:color="0077BD"/>
              <w:bottom w:val="single" w:sz="4" w:space="0" w:color="0077BD"/>
              <w:right w:val="nil"/>
            </w:tcBorders>
            <w:shd w:val="clear" w:color="auto" w:fill="auto"/>
            <w:noWrap/>
            <w:vAlign w:val="center"/>
            <w:hideMark/>
          </w:tcPr>
          <w:p w14:paraId="145D47CC"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24 141 323</w:t>
            </w:r>
          </w:p>
        </w:tc>
        <w:tc>
          <w:tcPr>
            <w:tcW w:w="1389" w:type="dxa"/>
            <w:tcBorders>
              <w:top w:val="nil"/>
              <w:left w:val="single" w:sz="8" w:space="0" w:color="0077BD"/>
              <w:bottom w:val="single" w:sz="4" w:space="0" w:color="0077BD"/>
              <w:right w:val="nil"/>
            </w:tcBorders>
            <w:shd w:val="clear" w:color="auto" w:fill="auto"/>
            <w:noWrap/>
            <w:vAlign w:val="center"/>
            <w:hideMark/>
          </w:tcPr>
          <w:p w14:paraId="599811DC"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636 342</w:t>
            </w:r>
          </w:p>
        </w:tc>
      </w:tr>
      <w:tr w:rsidR="00C376FC" w:rsidRPr="00BB7C9E" w14:paraId="6D924F67" w14:textId="77777777" w:rsidTr="008E41C5">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130F58CB" w14:textId="2B3729D3" w:rsidR="00E51A64" w:rsidRPr="00BB7C9E" w:rsidRDefault="00B8443C" w:rsidP="00B8443C">
            <w:pPr>
              <w:ind w:left="113" w:hangingChars="87" w:hanging="113"/>
              <w:rPr>
                <w:rFonts w:cs="Calibri"/>
                <w:i/>
                <w:iCs/>
                <w:color w:val="000000" w:themeColor="text1"/>
                <w:sz w:val="13"/>
                <w:szCs w:val="13"/>
              </w:rPr>
            </w:pPr>
            <w:r>
              <w:rPr>
                <w:rFonts w:cs="Calibri"/>
                <w:i/>
                <w:iCs/>
                <w:color w:val="000000" w:themeColor="text1"/>
                <w:sz w:val="13"/>
                <w:szCs w:val="13"/>
              </w:rPr>
              <w:t xml:space="preserve">- </w:t>
            </w:r>
            <w:r w:rsidRPr="00BB7C9E">
              <w:rPr>
                <w:rFonts w:cs="Calibri"/>
                <w:i/>
                <w:iCs/>
                <w:color w:val="000000" w:themeColor="text1"/>
                <w:sz w:val="13"/>
                <w:szCs w:val="13"/>
              </w:rPr>
              <w:t xml:space="preserve">kredyty hipoteczne i mieszkaniowe </w:t>
            </w:r>
            <w:r>
              <w:rPr>
                <w:rFonts w:cs="Calibri"/>
                <w:i/>
                <w:iCs/>
                <w:color w:val="000000" w:themeColor="text1"/>
                <w:sz w:val="13"/>
                <w:szCs w:val="13"/>
              </w:rPr>
              <w:t>udzielone osobom fizycznym</w:t>
            </w:r>
          </w:p>
        </w:tc>
        <w:tc>
          <w:tcPr>
            <w:tcW w:w="1389" w:type="dxa"/>
            <w:tcBorders>
              <w:top w:val="nil"/>
              <w:left w:val="nil"/>
              <w:bottom w:val="single" w:sz="4" w:space="0" w:color="0077BD"/>
              <w:right w:val="nil"/>
            </w:tcBorders>
            <w:shd w:val="clear" w:color="auto" w:fill="auto"/>
            <w:vAlign w:val="center"/>
            <w:hideMark/>
          </w:tcPr>
          <w:p w14:paraId="4ECE11FA" w14:textId="77777777" w:rsidR="00E51A64" w:rsidRPr="00BB7C9E" w:rsidRDefault="00E51A64" w:rsidP="00E51A64">
            <w:pPr>
              <w:jc w:val="right"/>
              <w:rPr>
                <w:rFonts w:cs="Calibri"/>
                <w:i/>
                <w:iCs/>
                <w:color w:val="000000" w:themeColor="text1"/>
                <w:sz w:val="13"/>
                <w:szCs w:val="13"/>
              </w:rPr>
            </w:pPr>
            <w:r w:rsidRPr="00BB7C9E">
              <w:rPr>
                <w:rFonts w:cs="Calibri"/>
                <w:i/>
                <w:iCs/>
                <w:color w:val="000000" w:themeColor="text1"/>
                <w:sz w:val="13"/>
                <w:szCs w:val="13"/>
              </w:rPr>
              <w:t>34 696 807</w:t>
            </w:r>
          </w:p>
        </w:tc>
        <w:tc>
          <w:tcPr>
            <w:tcW w:w="1389" w:type="dxa"/>
            <w:tcBorders>
              <w:top w:val="nil"/>
              <w:left w:val="single" w:sz="8" w:space="0" w:color="0077BD"/>
              <w:bottom w:val="single" w:sz="4" w:space="0" w:color="0077BD"/>
              <w:right w:val="nil"/>
            </w:tcBorders>
            <w:shd w:val="clear" w:color="auto" w:fill="auto"/>
            <w:noWrap/>
            <w:vAlign w:val="center"/>
            <w:hideMark/>
          </w:tcPr>
          <w:p w14:paraId="5294806E" w14:textId="77777777" w:rsidR="00E51A64" w:rsidRPr="00BB7C9E" w:rsidRDefault="00E51A64" w:rsidP="00E51A64">
            <w:pPr>
              <w:jc w:val="right"/>
              <w:rPr>
                <w:rFonts w:cs="Calibri"/>
                <w:i/>
                <w:iCs/>
                <w:color w:val="000000" w:themeColor="text1"/>
                <w:sz w:val="13"/>
                <w:szCs w:val="13"/>
              </w:rPr>
            </w:pPr>
            <w:r w:rsidRPr="00BB7C9E">
              <w:rPr>
                <w:rFonts w:cs="Calibri"/>
                <w:i/>
                <w:iCs/>
                <w:color w:val="000000" w:themeColor="text1"/>
                <w:sz w:val="13"/>
                <w:szCs w:val="13"/>
              </w:rPr>
              <w:t>34 696 807</w:t>
            </w:r>
          </w:p>
        </w:tc>
        <w:tc>
          <w:tcPr>
            <w:tcW w:w="1389" w:type="dxa"/>
            <w:tcBorders>
              <w:top w:val="nil"/>
              <w:left w:val="single" w:sz="8" w:space="0" w:color="0077BD"/>
              <w:bottom w:val="single" w:sz="4" w:space="0" w:color="0077BD"/>
              <w:right w:val="nil"/>
            </w:tcBorders>
            <w:shd w:val="thinDiagStripe" w:color="000000" w:fill="auto"/>
            <w:noWrap/>
            <w:vAlign w:val="center"/>
          </w:tcPr>
          <w:p w14:paraId="260FE949" w14:textId="67D2563C" w:rsidR="00E51A64" w:rsidRPr="00BB7C9E" w:rsidRDefault="00E51A64" w:rsidP="00E51A64">
            <w:pPr>
              <w:jc w:val="right"/>
              <w:rPr>
                <w:rFonts w:cs="Calibri"/>
                <w:i/>
                <w:iCs/>
                <w:color w:val="000000" w:themeColor="text1"/>
                <w:sz w:val="13"/>
                <w:szCs w:val="13"/>
              </w:rPr>
            </w:pPr>
          </w:p>
        </w:tc>
        <w:tc>
          <w:tcPr>
            <w:tcW w:w="1389" w:type="dxa"/>
            <w:tcBorders>
              <w:top w:val="nil"/>
              <w:left w:val="single" w:sz="8" w:space="0" w:color="0077BD"/>
              <w:bottom w:val="single" w:sz="4" w:space="0" w:color="0077BD"/>
              <w:right w:val="nil"/>
            </w:tcBorders>
            <w:shd w:val="thinDiagStripe" w:color="000000" w:fill="auto"/>
            <w:noWrap/>
            <w:vAlign w:val="center"/>
          </w:tcPr>
          <w:p w14:paraId="4B754985" w14:textId="5BF52D29" w:rsidR="00E51A64" w:rsidRPr="00BB7C9E" w:rsidRDefault="00E51A64" w:rsidP="00E51A64">
            <w:pPr>
              <w:jc w:val="right"/>
              <w:rPr>
                <w:rFonts w:cs="Calibri"/>
                <w:i/>
                <w:iCs/>
                <w:color w:val="000000" w:themeColor="text1"/>
                <w:sz w:val="13"/>
                <w:szCs w:val="13"/>
              </w:rPr>
            </w:pPr>
          </w:p>
        </w:tc>
      </w:tr>
      <w:tr w:rsidR="00C376FC" w:rsidRPr="00BB7C9E" w14:paraId="200395CA"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0FD0553" w14:textId="79DA4C7D" w:rsidR="00E51A64" w:rsidRPr="00BB7C9E" w:rsidRDefault="0056374F" w:rsidP="00E51A64">
            <w:pPr>
              <w:rPr>
                <w:rFonts w:cs="Calibri"/>
                <w:color w:val="000000" w:themeColor="text1"/>
                <w:sz w:val="13"/>
                <w:szCs w:val="13"/>
                <w:lang w:val="en-US"/>
              </w:rPr>
            </w:pPr>
            <w:r>
              <w:rPr>
                <w:rFonts w:cs="Calibri"/>
                <w:color w:val="000000" w:themeColor="text1"/>
                <w:sz w:val="13"/>
                <w:szCs w:val="13"/>
                <w:lang w:val="en-US"/>
              </w:rPr>
              <w:t>Transakcje reverse repo lub buy/</w:t>
            </w:r>
            <w:r w:rsidR="00E51A64" w:rsidRPr="00BB7C9E">
              <w:rPr>
                <w:rFonts w:cs="Calibri"/>
                <w:color w:val="000000" w:themeColor="text1"/>
                <w:sz w:val="13"/>
                <w:szCs w:val="13"/>
                <w:lang w:val="en-US"/>
              </w:rPr>
              <w:t>sell back</w:t>
            </w:r>
          </w:p>
        </w:tc>
        <w:tc>
          <w:tcPr>
            <w:tcW w:w="1389" w:type="dxa"/>
            <w:tcBorders>
              <w:top w:val="nil"/>
              <w:left w:val="nil"/>
              <w:bottom w:val="single" w:sz="4" w:space="0" w:color="0077BD"/>
              <w:right w:val="nil"/>
            </w:tcBorders>
            <w:shd w:val="clear" w:color="auto" w:fill="auto"/>
            <w:vAlign w:val="center"/>
            <w:hideMark/>
          </w:tcPr>
          <w:p w14:paraId="25C21200"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1 146 263</w:t>
            </w:r>
          </w:p>
        </w:tc>
        <w:tc>
          <w:tcPr>
            <w:tcW w:w="1389" w:type="dxa"/>
            <w:tcBorders>
              <w:top w:val="nil"/>
              <w:left w:val="single" w:sz="8" w:space="0" w:color="0077BD"/>
              <w:bottom w:val="single" w:sz="4" w:space="0" w:color="0077BD"/>
              <w:right w:val="nil"/>
            </w:tcBorders>
            <w:shd w:val="clear" w:color="auto" w:fill="auto"/>
            <w:noWrap/>
            <w:vAlign w:val="center"/>
            <w:hideMark/>
          </w:tcPr>
          <w:p w14:paraId="21396377"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31A9A16D"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1 146 263</w:t>
            </w:r>
          </w:p>
        </w:tc>
        <w:tc>
          <w:tcPr>
            <w:tcW w:w="1389" w:type="dxa"/>
            <w:tcBorders>
              <w:top w:val="nil"/>
              <w:left w:val="single" w:sz="8" w:space="0" w:color="0077BD"/>
              <w:bottom w:val="single" w:sz="4" w:space="0" w:color="0077BD"/>
              <w:right w:val="nil"/>
            </w:tcBorders>
            <w:shd w:val="clear" w:color="auto" w:fill="auto"/>
            <w:noWrap/>
            <w:vAlign w:val="center"/>
            <w:hideMark/>
          </w:tcPr>
          <w:p w14:paraId="53A29A3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C376FC" w:rsidRPr="00BB7C9E" w14:paraId="519DBE47"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44961D61"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Leasing finansowy</w:t>
            </w:r>
          </w:p>
        </w:tc>
        <w:tc>
          <w:tcPr>
            <w:tcW w:w="1389" w:type="dxa"/>
            <w:tcBorders>
              <w:top w:val="nil"/>
              <w:left w:val="nil"/>
              <w:bottom w:val="single" w:sz="4" w:space="0" w:color="0077BD"/>
              <w:right w:val="nil"/>
            </w:tcBorders>
            <w:shd w:val="clear" w:color="auto" w:fill="auto"/>
            <w:vAlign w:val="center"/>
            <w:hideMark/>
          </w:tcPr>
          <w:p w14:paraId="4DF1F884"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10 555 560</w:t>
            </w:r>
          </w:p>
        </w:tc>
        <w:tc>
          <w:tcPr>
            <w:tcW w:w="1389" w:type="dxa"/>
            <w:tcBorders>
              <w:top w:val="nil"/>
              <w:left w:val="single" w:sz="8" w:space="0" w:color="0077BD"/>
              <w:bottom w:val="single" w:sz="4" w:space="0" w:color="0077BD"/>
              <w:right w:val="nil"/>
            </w:tcBorders>
            <w:shd w:val="clear" w:color="auto" w:fill="auto"/>
            <w:noWrap/>
            <w:vAlign w:val="center"/>
            <w:hideMark/>
          </w:tcPr>
          <w:p w14:paraId="56D7B778"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2CA6566E"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10 555 560</w:t>
            </w:r>
          </w:p>
        </w:tc>
        <w:tc>
          <w:tcPr>
            <w:tcW w:w="1389" w:type="dxa"/>
            <w:tcBorders>
              <w:top w:val="nil"/>
              <w:left w:val="single" w:sz="8" w:space="0" w:color="0077BD"/>
              <w:bottom w:val="single" w:sz="4" w:space="0" w:color="0077BD"/>
              <w:right w:val="nil"/>
            </w:tcBorders>
            <w:shd w:val="clear" w:color="auto" w:fill="auto"/>
            <w:noWrap/>
            <w:vAlign w:val="center"/>
            <w:hideMark/>
          </w:tcPr>
          <w:p w14:paraId="044E79A7"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C376FC" w:rsidRPr="00BB7C9E" w14:paraId="5B1FD20F"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2B9995FE"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Pozostałe należności kredytowe</w:t>
            </w:r>
          </w:p>
        </w:tc>
        <w:tc>
          <w:tcPr>
            <w:tcW w:w="1389" w:type="dxa"/>
            <w:tcBorders>
              <w:top w:val="nil"/>
              <w:left w:val="nil"/>
              <w:bottom w:val="single" w:sz="4" w:space="0" w:color="0077BD"/>
              <w:right w:val="nil"/>
            </w:tcBorders>
            <w:shd w:val="clear" w:color="auto" w:fill="auto"/>
            <w:vAlign w:val="center"/>
            <w:hideMark/>
          </w:tcPr>
          <w:p w14:paraId="3E1BEFD7"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2 411 802</w:t>
            </w:r>
          </w:p>
        </w:tc>
        <w:tc>
          <w:tcPr>
            <w:tcW w:w="1389" w:type="dxa"/>
            <w:tcBorders>
              <w:top w:val="nil"/>
              <w:left w:val="single" w:sz="8" w:space="0" w:color="0077BD"/>
              <w:bottom w:val="single" w:sz="4" w:space="0" w:color="0077BD"/>
              <w:right w:val="nil"/>
            </w:tcBorders>
            <w:shd w:val="clear" w:color="auto" w:fill="auto"/>
            <w:noWrap/>
            <w:vAlign w:val="center"/>
            <w:hideMark/>
          </w:tcPr>
          <w:p w14:paraId="50CCD848"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5D921F71"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2 411 802</w:t>
            </w:r>
          </w:p>
        </w:tc>
        <w:tc>
          <w:tcPr>
            <w:tcW w:w="1389" w:type="dxa"/>
            <w:tcBorders>
              <w:top w:val="nil"/>
              <w:left w:val="single" w:sz="8" w:space="0" w:color="0077BD"/>
              <w:bottom w:val="single" w:sz="4" w:space="0" w:color="0077BD"/>
              <w:right w:val="nil"/>
            </w:tcBorders>
            <w:shd w:val="clear" w:color="auto" w:fill="auto"/>
            <w:noWrap/>
            <w:vAlign w:val="center"/>
            <w:hideMark/>
          </w:tcPr>
          <w:p w14:paraId="49CD115C"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C376FC" w:rsidRPr="00BB7C9E" w14:paraId="0F3222B4" w14:textId="77777777" w:rsidTr="00C376FC">
        <w:trPr>
          <w:trHeight w:val="284"/>
        </w:trPr>
        <w:tc>
          <w:tcPr>
            <w:tcW w:w="3969" w:type="dxa"/>
            <w:tcBorders>
              <w:top w:val="nil"/>
              <w:left w:val="nil"/>
              <w:bottom w:val="nil"/>
              <w:right w:val="single" w:sz="8" w:space="0" w:color="0077BD"/>
            </w:tcBorders>
            <w:shd w:val="clear" w:color="auto" w:fill="auto"/>
            <w:vAlign w:val="center"/>
            <w:hideMark/>
          </w:tcPr>
          <w:p w14:paraId="6ECA68E8"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Inne należności</w:t>
            </w:r>
          </w:p>
        </w:tc>
        <w:tc>
          <w:tcPr>
            <w:tcW w:w="1389" w:type="dxa"/>
            <w:tcBorders>
              <w:top w:val="nil"/>
              <w:left w:val="nil"/>
              <w:bottom w:val="nil"/>
              <w:right w:val="nil"/>
            </w:tcBorders>
            <w:shd w:val="clear" w:color="auto" w:fill="auto"/>
            <w:vAlign w:val="center"/>
            <w:hideMark/>
          </w:tcPr>
          <w:p w14:paraId="662775D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374 405</w:t>
            </w:r>
          </w:p>
        </w:tc>
        <w:tc>
          <w:tcPr>
            <w:tcW w:w="1389" w:type="dxa"/>
            <w:tcBorders>
              <w:top w:val="nil"/>
              <w:left w:val="single" w:sz="8" w:space="0" w:color="0077BD"/>
              <w:bottom w:val="nil"/>
              <w:right w:val="nil"/>
            </w:tcBorders>
            <w:shd w:val="clear" w:color="auto" w:fill="auto"/>
            <w:noWrap/>
            <w:vAlign w:val="center"/>
            <w:hideMark/>
          </w:tcPr>
          <w:p w14:paraId="12E129D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359 473</w:t>
            </w:r>
          </w:p>
        </w:tc>
        <w:tc>
          <w:tcPr>
            <w:tcW w:w="1389" w:type="dxa"/>
            <w:tcBorders>
              <w:top w:val="nil"/>
              <w:left w:val="single" w:sz="8" w:space="0" w:color="0077BD"/>
              <w:bottom w:val="nil"/>
              <w:right w:val="nil"/>
            </w:tcBorders>
            <w:shd w:val="clear" w:color="auto" w:fill="auto"/>
            <w:noWrap/>
            <w:vAlign w:val="center"/>
            <w:hideMark/>
          </w:tcPr>
          <w:p w14:paraId="630F5B1F"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14 932</w:t>
            </w:r>
          </w:p>
        </w:tc>
        <w:tc>
          <w:tcPr>
            <w:tcW w:w="1389" w:type="dxa"/>
            <w:tcBorders>
              <w:top w:val="nil"/>
              <w:left w:val="single" w:sz="8" w:space="0" w:color="0077BD"/>
              <w:bottom w:val="nil"/>
              <w:right w:val="nil"/>
            </w:tcBorders>
            <w:shd w:val="clear" w:color="auto" w:fill="auto"/>
            <w:noWrap/>
            <w:vAlign w:val="center"/>
            <w:hideMark/>
          </w:tcPr>
          <w:p w14:paraId="5F27A6AD"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C376FC" w:rsidRPr="00BB7C9E" w14:paraId="40242A22" w14:textId="77777777" w:rsidTr="00C376FC">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1169FD6E" w14:textId="77777777" w:rsidR="00E51A64" w:rsidRPr="00BB7C9E" w:rsidRDefault="00E51A64" w:rsidP="00E51A64">
            <w:pPr>
              <w:rPr>
                <w:rFonts w:cs="Calibri"/>
                <w:b/>
                <w:bCs/>
                <w:color w:val="000000" w:themeColor="text1"/>
                <w:sz w:val="13"/>
                <w:szCs w:val="13"/>
              </w:rPr>
            </w:pPr>
            <w:r w:rsidRPr="00BB7C9E">
              <w:rPr>
                <w:rFonts w:cs="Calibri"/>
                <w:b/>
                <w:bCs/>
                <w:color w:val="000000" w:themeColor="text1"/>
                <w:sz w:val="13"/>
                <w:szCs w:val="13"/>
              </w:rPr>
              <w:t>Wartość bilansowa brutto, razem</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2A2C149E"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95 059 979</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781FB8F4"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50 554 503</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74075462"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43 868 553</w:t>
            </w:r>
          </w:p>
        </w:tc>
        <w:tc>
          <w:tcPr>
            <w:tcW w:w="1389" w:type="dxa"/>
            <w:tcBorders>
              <w:top w:val="single" w:sz="8" w:space="0" w:color="0077BD"/>
              <w:left w:val="nil"/>
              <w:bottom w:val="single" w:sz="8" w:space="0" w:color="0077BD"/>
              <w:right w:val="nil"/>
            </w:tcBorders>
            <w:shd w:val="clear" w:color="auto" w:fill="auto"/>
            <w:vAlign w:val="center"/>
            <w:hideMark/>
          </w:tcPr>
          <w:p w14:paraId="583D3B98"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636 923</w:t>
            </w:r>
          </w:p>
        </w:tc>
      </w:tr>
    </w:tbl>
    <w:p w14:paraId="36CAE499" w14:textId="5DFE7EF2" w:rsidR="00CA5E84" w:rsidRDefault="00CA5E84">
      <w:pPr>
        <w:rPr>
          <w:rFonts w:cs="Tahoma"/>
          <w:color w:val="201C17"/>
          <w:sz w:val="18"/>
          <w:szCs w:val="18"/>
        </w:rPr>
      </w:pPr>
    </w:p>
    <w:tbl>
      <w:tblPr>
        <w:tblW w:w="0" w:type="auto"/>
        <w:tblCellMar>
          <w:left w:w="28" w:type="dxa"/>
          <w:right w:w="28" w:type="dxa"/>
        </w:tblCellMar>
        <w:tblLook w:val="04A0" w:firstRow="1" w:lastRow="0" w:firstColumn="1" w:lastColumn="0" w:noHBand="0" w:noVBand="1"/>
      </w:tblPr>
      <w:tblGrid>
        <w:gridCol w:w="3969"/>
        <w:gridCol w:w="1389"/>
        <w:gridCol w:w="1389"/>
        <w:gridCol w:w="1389"/>
        <w:gridCol w:w="1389"/>
      </w:tblGrid>
      <w:tr w:rsidR="00E51A64" w:rsidRPr="00E51A64" w14:paraId="01D370A1" w14:textId="77777777" w:rsidTr="00C376FC">
        <w:trPr>
          <w:trHeight w:val="284"/>
        </w:trPr>
        <w:tc>
          <w:tcPr>
            <w:tcW w:w="3969" w:type="dxa"/>
            <w:vMerge w:val="restart"/>
            <w:tcBorders>
              <w:top w:val="nil"/>
              <w:left w:val="nil"/>
              <w:bottom w:val="nil"/>
              <w:right w:val="nil"/>
            </w:tcBorders>
            <w:shd w:val="clear" w:color="000000" w:fill="0077BD"/>
            <w:vAlign w:val="center"/>
            <w:hideMark/>
          </w:tcPr>
          <w:p w14:paraId="5B2A8119" w14:textId="77777777" w:rsidR="00E51A64" w:rsidRPr="00E51A64" w:rsidRDefault="00E51A64" w:rsidP="00E51A64">
            <w:pPr>
              <w:rPr>
                <w:rFonts w:cs="Calibri"/>
                <w:b/>
                <w:bCs/>
                <w:color w:val="FFFFFF"/>
                <w:sz w:val="13"/>
                <w:szCs w:val="13"/>
              </w:rPr>
            </w:pPr>
            <w:r w:rsidRPr="00E51A64">
              <w:rPr>
                <w:rFonts w:cs="Calibri"/>
                <w:b/>
                <w:bCs/>
                <w:color w:val="FFFFFF"/>
                <w:sz w:val="13"/>
                <w:szCs w:val="13"/>
              </w:rPr>
              <w:t>Kredyty i pożyczki udzielone klientom</w:t>
            </w:r>
            <w:r w:rsidRPr="00E51A64">
              <w:rPr>
                <w:rFonts w:cs="Calibri"/>
                <w:b/>
                <w:bCs/>
                <w:color w:val="FFFFFF"/>
                <w:sz w:val="13"/>
                <w:szCs w:val="13"/>
              </w:rPr>
              <w:br/>
              <w:t>31.12.2018</w:t>
            </w:r>
          </w:p>
        </w:tc>
        <w:tc>
          <w:tcPr>
            <w:tcW w:w="1389" w:type="dxa"/>
            <w:vMerge w:val="restart"/>
            <w:tcBorders>
              <w:top w:val="nil"/>
              <w:left w:val="single" w:sz="8" w:space="0" w:color="FFFFFF"/>
              <w:bottom w:val="nil"/>
              <w:right w:val="single" w:sz="8" w:space="0" w:color="FFFFFF"/>
            </w:tcBorders>
            <w:shd w:val="clear" w:color="000000" w:fill="0077BD"/>
            <w:vAlign w:val="center"/>
            <w:hideMark/>
          </w:tcPr>
          <w:p w14:paraId="08A7764D"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Skumulowana utrata wartości</w:t>
            </w:r>
          </w:p>
        </w:tc>
        <w:tc>
          <w:tcPr>
            <w:tcW w:w="4167" w:type="dxa"/>
            <w:gridSpan w:val="3"/>
            <w:tcBorders>
              <w:top w:val="nil"/>
              <w:left w:val="nil"/>
              <w:bottom w:val="single" w:sz="8" w:space="0" w:color="FFFFFF"/>
              <w:right w:val="nil"/>
            </w:tcBorders>
            <w:shd w:val="clear" w:color="000000" w:fill="0077BD"/>
            <w:vAlign w:val="center"/>
            <w:hideMark/>
          </w:tcPr>
          <w:p w14:paraId="1B720FC3" w14:textId="70C0A518" w:rsidR="00E51A64" w:rsidRPr="00E51A64" w:rsidRDefault="00B95518" w:rsidP="00E51A64">
            <w:pPr>
              <w:jc w:val="center"/>
              <w:rPr>
                <w:rFonts w:cs="Calibri"/>
                <w:b/>
                <w:bCs/>
                <w:color w:val="FFFFFF"/>
                <w:sz w:val="13"/>
                <w:szCs w:val="13"/>
              </w:rPr>
            </w:pPr>
            <w:r>
              <w:rPr>
                <w:rFonts w:cs="Calibri"/>
                <w:b/>
                <w:bCs/>
                <w:color w:val="FFFFFF"/>
                <w:sz w:val="13"/>
                <w:szCs w:val="13"/>
              </w:rPr>
              <w:t>w tym:</w:t>
            </w:r>
          </w:p>
        </w:tc>
      </w:tr>
      <w:tr w:rsidR="00E51A64" w:rsidRPr="00E51A64" w14:paraId="2C3BB916" w14:textId="77777777" w:rsidTr="00C376FC">
        <w:trPr>
          <w:trHeight w:val="340"/>
        </w:trPr>
        <w:tc>
          <w:tcPr>
            <w:tcW w:w="3969" w:type="dxa"/>
            <w:vMerge/>
            <w:tcBorders>
              <w:top w:val="nil"/>
              <w:left w:val="nil"/>
              <w:bottom w:val="nil"/>
              <w:right w:val="nil"/>
            </w:tcBorders>
            <w:vAlign w:val="center"/>
            <w:hideMark/>
          </w:tcPr>
          <w:p w14:paraId="27947A3A" w14:textId="77777777" w:rsidR="00E51A64" w:rsidRPr="00E51A64" w:rsidRDefault="00E51A64" w:rsidP="00E51A64">
            <w:pPr>
              <w:rPr>
                <w:rFonts w:cs="Calibri"/>
                <w:b/>
                <w:bCs/>
                <w:color w:val="FFFFFF"/>
                <w:sz w:val="13"/>
                <w:szCs w:val="13"/>
              </w:rPr>
            </w:pPr>
          </w:p>
        </w:tc>
        <w:tc>
          <w:tcPr>
            <w:tcW w:w="1389" w:type="dxa"/>
            <w:vMerge/>
            <w:tcBorders>
              <w:top w:val="nil"/>
              <w:left w:val="single" w:sz="8" w:space="0" w:color="FFFFFF"/>
              <w:bottom w:val="nil"/>
              <w:right w:val="single" w:sz="8" w:space="0" w:color="FFFFFF"/>
            </w:tcBorders>
            <w:vAlign w:val="center"/>
            <w:hideMark/>
          </w:tcPr>
          <w:p w14:paraId="0621BD39" w14:textId="77777777" w:rsidR="00E51A64" w:rsidRPr="00E51A64" w:rsidRDefault="00E51A64" w:rsidP="00E51A64">
            <w:pPr>
              <w:rPr>
                <w:rFonts w:cs="Calibri"/>
                <w:b/>
                <w:bCs/>
                <w:color w:val="FFFFFF"/>
                <w:sz w:val="13"/>
                <w:szCs w:val="13"/>
              </w:rPr>
            </w:pPr>
          </w:p>
        </w:tc>
        <w:tc>
          <w:tcPr>
            <w:tcW w:w="1389" w:type="dxa"/>
            <w:tcBorders>
              <w:top w:val="nil"/>
              <w:left w:val="nil"/>
              <w:bottom w:val="nil"/>
              <w:right w:val="nil"/>
            </w:tcBorders>
            <w:shd w:val="clear" w:color="000000" w:fill="0077BD"/>
            <w:vAlign w:val="center"/>
            <w:hideMark/>
          </w:tcPr>
          <w:p w14:paraId="5764D606"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indywidualni</w:t>
            </w:r>
          </w:p>
        </w:tc>
        <w:tc>
          <w:tcPr>
            <w:tcW w:w="1389" w:type="dxa"/>
            <w:tcBorders>
              <w:top w:val="nil"/>
              <w:left w:val="single" w:sz="8" w:space="0" w:color="FFFFFF"/>
              <w:bottom w:val="nil"/>
              <w:right w:val="nil"/>
            </w:tcBorders>
            <w:shd w:val="clear" w:color="000000" w:fill="0077BD"/>
            <w:vAlign w:val="center"/>
            <w:hideMark/>
          </w:tcPr>
          <w:p w14:paraId="5273855C"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korporacyjni</w:t>
            </w:r>
          </w:p>
        </w:tc>
        <w:tc>
          <w:tcPr>
            <w:tcW w:w="1389" w:type="dxa"/>
            <w:tcBorders>
              <w:top w:val="nil"/>
              <w:left w:val="single" w:sz="8" w:space="0" w:color="FFFFFF"/>
              <w:bottom w:val="nil"/>
              <w:right w:val="nil"/>
            </w:tcBorders>
            <w:shd w:val="clear" w:color="000000" w:fill="0077BD"/>
            <w:vAlign w:val="center"/>
            <w:hideMark/>
          </w:tcPr>
          <w:p w14:paraId="34D00AD1" w14:textId="77777777" w:rsidR="00E51A64" w:rsidRPr="00E51A64" w:rsidRDefault="00E51A64" w:rsidP="00E51A64">
            <w:pPr>
              <w:jc w:val="center"/>
              <w:rPr>
                <w:rFonts w:cs="Calibri"/>
                <w:b/>
                <w:bCs/>
                <w:color w:val="FFFFFF"/>
                <w:sz w:val="13"/>
                <w:szCs w:val="13"/>
              </w:rPr>
            </w:pPr>
            <w:r w:rsidRPr="00E51A64">
              <w:rPr>
                <w:rFonts w:cs="Calibri"/>
                <w:b/>
                <w:bCs/>
                <w:color w:val="FFFFFF"/>
                <w:sz w:val="13"/>
                <w:szCs w:val="13"/>
              </w:rPr>
              <w:t>Klienci budżetowi</w:t>
            </w:r>
          </w:p>
        </w:tc>
      </w:tr>
      <w:tr w:rsidR="00E51A64" w:rsidRPr="00BB7C9E" w14:paraId="794E35C1"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0A384D93"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Należności bieżące</w:t>
            </w:r>
          </w:p>
        </w:tc>
        <w:tc>
          <w:tcPr>
            <w:tcW w:w="1389" w:type="dxa"/>
            <w:tcBorders>
              <w:top w:val="nil"/>
              <w:left w:val="nil"/>
              <w:bottom w:val="single" w:sz="4" w:space="0" w:color="0077BD"/>
              <w:right w:val="single" w:sz="8" w:space="0" w:color="0077BD"/>
            </w:tcBorders>
            <w:shd w:val="clear" w:color="auto" w:fill="auto"/>
            <w:vAlign w:val="center"/>
            <w:hideMark/>
          </w:tcPr>
          <w:p w14:paraId="2D04A5F1"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(931 926)</w:t>
            </w:r>
          </w:p>
        </w:tc>
        <w:tc>
          <w:tcPr>
            <w:tcW w:w="1389" w:type="dxa"/>
            <w:tcBorders>
              <w:top w:val="nil"/>
              <w:left w:val="nil"/>
              <w:bottom w:val="single" w:sz="4" w:space="0" w:color="0077BD"/>
              <w:right w:val="single" w:sz="8" w:space="0" w:color="0077BD"/>
            </w:tcBorders>
            <w:shd w:val="clear" w:color="auto" w:fill="auto"/>
            <w:noWrap/>
            <w:vAlign w:val="center"/>
            <w:hideMark/>
          </w:tcPr>
          <w:p w14:paraId="265EE877"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(664 656)</w:t>
            </w:r>
          </w:p>
        </w:tc>
        <w:tc>
          <w:tcPr>
            <w:tcW w:w="1389" w:type="dxa"/>
            <w:tcBorders>
              <w:top w:val="nil"/>
              <w:left w:val="nil"/>
              <w:bottom w:val="single" w:sz="4" w:space="0" w:color="0077BD"/>
              <w:right w:val="single" w:sz="8" w:space="0" w:color="0077BD"/>
            </w:tcBorders>
            <w:shd w:val="clear" w:color="auto" w:fill="auto"/>
            <w:noWrap/>
            <w:vAlign w:val="center"/>
            <w:hideMark/>
          </w:tcPr>
          <w:p w14:paraId="2208F5DF"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(267 270)</w:t>
            </w:r>
          </w:p>
        </w:tc>
        <w:tc>
          <w:tcPr>
            <w:tcW w:w="1389" w:type="dxa"/>
            <w:tcBorders>
              <w:top w:val="nil"/>
              <w:left w:val="nil"/>
              <w:bottom w:val="single" w:sz="4" w:space="0" w:color="0077BD"/>
              <w:right w:val="nil"/>
            </w:tcBorders>
            <w:shd w:val="clear" w:color="auto" w:fill="auto"/>
            <w:noWrap/>
            <w:vAlign w:val="center"/>
            <w:hideMark/>
          </w:tcPr>
          <w:p w14:paraId="4CCD4148"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E51A64" w:rsidRPr="00BB7C9E" w14:paraId="739BD9D9"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48711BB5"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Kredyty terminowe, w tym:</w:t>
            </w:r>
          </w:p>
        </w:tc>
        <w:tc>
          <w:tcPr>
            <w:tcW w:w="1389" w:type="dxa"/>
            <w:tcBorders>
              <w:top w:val="nil"/>
              <w:left w:val="nil"/>
              <w:bottom w:val="single" w:sz="4" w:space="0" w:color="0077BD"/>
              <w:right w:val="single" w:sz="8" w:space="0" w:color="0077BD"/>
            </w:tcBorders>
            <w:shd w:val="clear" w:color="auto" w:fill="auto"/>
            <w:vAlign w:val="center"/>
            <w:hideMark/>
          </w:tcPr>
          <w:p w14:paraId="3640CC7D"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(1 837 896)</w:t>
            </w:r>
          </w:p>
        </w:tc>
        <w:tc>
          <w:tcPr>
            <w:tcW w:w="1389" w:type="dxa"/>
            <w:tcBorders>
              <w:top w:val="nil"/>
              <w:left w:val="nil"/>
              <w:bottom w:val="single" w:sz="4" w:space="0" w:color="0077BD"/>
              <w:right w:val="nil"/>
            </w:tcBorders>
            <w:shd w:val="clear" w:color="auto" w:fill="auto"/>
            <w:noWrap/>
            <w:vAlign w:val="center"/>
            <w:hideMark/>
          </w:tcPr>
          <w:p w14:paraId="6EF1BA2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(965 515)</w:t>
            </w:r>
          </w:p>
        </w:tc>
        <w:tc>
          <w:tcPr>
            <w:tcW w:w="1389" w:type="dxa"/>
            <w:tcBorders>
              <w:top w:val="nil"/>
              <w:left w:val="single" w:sz="8" w:space="0" w:color="0077BD"/>
              <w:bottom w:val="single" w:sz="4" w:space="0" w:color="0077BD"/>
              <w:right w:val="nil"/>
            </w:tcBorders>
            <w:shd w:val="clear" w:color="auto" w:fill="auto"/>
            <w:noWrap/>
            <w:vAlign w:val="center"/>
            <w:hideMark/>
          </w:tcPr>
          <w:p w14:paraId="4A7FC688"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(871 741)</w:t>
            </w:r>
          </w:p>
        </w:tc>
        <w:tc>
          <w:tcPr>
            <w:tcW w:w="1389" w:type="dxa"/>
            <w:tcBorders>
              <w:top w:val="nil"/>
              <w:left w:val="single" w:sz="8" w:space="0" w:color="0077BD"/>
              <w:bottom w:val="single" w:sz="4" w:space="0" w:color="0077BD"/>
              <w:right w:val="nil"/>
            </w:tcBorders>
            <w:shd w:val="clear" w:color="auto" w:fill="auto"/>
            <w:noWrap/>
            <w:vAlign w:val="center"/>
            <w:hideMark/>
          </w:tcPr>
          <w:p w14:paraId="22F03131"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(640)</w:t>
            </w:r>
          </w:p>
        </w:tc>
      </w:tr>
      <w:tr w:rsidR="00E51A64" w:rsidRPr="00BB7C9E" w14:paraId="02894594" w14:textId="77777777" w:rsidTr="008E41C5">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3D014AC0" w14:textId="56BE7502" w:rsidR="00E51A64" w:rsidRPr="00BB7C9E" w:rsidRDefault="00B8443C" w:rsidP="00B8443C">
            <w:pPr>
              <w:ind w:left="114" w:hanging="114"/>
              <w:rPr>
                <w:rFonts w:cs="Calibri"/>
                <w:i/>
                <w:iCs/>
                <w:color w:val="000000" w:themeColor="text1"/>
                <w:sz w:val="13"/>
                <w:szCs w:val="13"/>
              </w:rPr>
            </w:pPr>
            <w:r>
              <w:rPr>
                <w:rFonts w:cs="Calibri"/>
                <w:i/>
                <w:iCs/>
                <w:color w:val="000000" w:themeColor="text1"/>
                <w:sz w:val="13"/>
                <w:szCs w:val="13"/>
              </w:rPr>
              <w:t xml:space="preserve">- </w:t>
            </w:r>
            <w:r w:rsidR="00E51A64" w:rsidRPr="00BB7C9E">
              <w:rPr>
                <w:rFonts w:cs="Calibri"/>
                <w:i/>
                <w:iCs/>
                <w:color w:val="000000" w:themeColor="text1"/>
                <w:sz w:val="13"/>
                <w:szCs w:val="13"/>
              </w:rPr>
              <w:t xml:space="preserve">kredyty hipoteczne i mieszkaniowe udzielone </w:t>
            </w:r>
            <w:r>
              <w:rPr>
                <w:rFonts w:cs="Calibri"/>
                <w:i/>
                <w:iCs/>
                <w:color w:val="000000" w:themeColor="text1"/>
                <w:sz w:val="13"/>
                <w:szCs w:val="13"/>
              </w:rPr>
              <w:t>osobom fizycznym</w:t>
            </w:r>
          </w:p>
        </w:tc>
        <w:tc>
          <w:tcPr>
            <w:tcW w:w="1389" w:type="dxa"/>
            <w:tcBorders>
              <w:top w:val="nil"/>
              <w:left w:val="nil"/>
              <w:bottom w:val="single" w:sz="4" w:space="0" w:color="0077BD"/>
              <w:right w:val="single" w:sz="8" w:space="0" w:color="0077BD"/>
            </w:tcBorders>
            <w:shd w:val="clear" w:color="auto" w:fill="auto"/>
            <w:vAlign w:val="center"/>
            <w:hideMark/>
          </w:tcPr>
          <w:p w14:paraId="759D7765" w14:textId="77777777" w:rsidR="00E51A64" w:rsidRPr="00BB7C9E" w:rsidRDefault="00E51A64" w:rsidP="00E51A64">
            <w:pPr>
              <w:jc w:val="right"/>
              <w:rPr>
                <w:rFonts w:cs="Calibri"/>
                <w:i/>
                <w:iCs/>
                <w:color w:val="000000" w:themeColor="text1"/>
                <w:sz w:val="13"/>
                <w:szCs w:val="13"/>
              </w:rPr>
            </w:pPr>
            <w:r w:rsidRPr="00BB7C9E">
              <w:rPr>
                <w:rFonts w:cs="Calibri"/>
                <w:i/>
                <w:iCs/>
                <w:color w:val="000000" w:themeColor="text1"/>
                <w:sz w:val="13"/>
                <w:szCs w:val="13"/>
              </w:rPr>
              <w:t>(453 300)</w:t>
            </w:r>
          </w:p>
        </w:tc>
        <w:tc>
          <w:tcPr>
            <w:tcW w:w="1389" w:type="dxa"/>
            <w:tcBorders>
              <w:top w:val="nil"/>
              <w:left w:val="nil"/>
              <w:bottom w:val="single" w:sz="4" w:space="0" w:color="0077BD"/>
              <w:right w:val="nil"/>
            </w:tcBorders>
            <w:shd w:val="clear" w:color="auto" w:fill="auto"/>
            <w:noWrap/>
            <w:vAlign w:val="center"/>
            <w:hideMark/>
          </w:tcPr>
          <w:p w14:paraId="34FA611E" w14:textId="77777777" w:rsidR="00E51A64" w:rsidRPr="00BB7C9E" w:rsidRDefault="00E51A64" w:rsidP="00E51A64">
            <w:pPr>
              <w:jc w:val="right"/>
              <w:rPr>
                <w:rFonts w:cs="Calibri"/>
                <w:i/>
                <w:iCs/>
                <w:color w:val="000000" w:themeColor="text1"/>
                <w:sz w:val="13"/>
                <w:szCs w:val="13"/>
              </w:rPr>
            </w:pPr>
            <w:r w:rsidRPr="00BB7C9E">
              <w:rPr>
                <w:rFonts w:cs="Calibri"/>
                <w:i/>
                <w:iCs/>
                <w:color w:val="000000" w:themeColor="text1"/>
                <w:sz w:val="13"/>
                <w:szCs w:val="13"/>
              </w:rPr>
              <w:t>(453 300)</w:t>
            </w:r>
          </w:p>
        </w:tc>
        <w:tc>
          <w:tcPr>
            <w:tcW w:w="1389" w:type="dxa"/>
            <w:tcBorders>
              <w:top w:val="nil"/>
              <w:left w:val="single" w:sz="8" w:space="0" w:color="0077BD"/>
              <w:bottom w:val="single" w:sz="4" w:space="0" w:color="0077BD"/>
              <w:right w:val="nil"/>
            </w:tcBorders>
            <w:shd w:val="thinDiagStripe" w:color="000000" w:fill="auto"/>
            <w:noWrap/>
            <w:vAlign w:val="center"/>
          </w:tcPr>
          <w:p w14:paraId="046C8675" w14:textId="1B6BFC35" w:rsidR="00E51A64" w:rsidRPr="00BB7C9E" w:rsidRDefault="00E51A64" w:rsidP="00E51A64">
            <w:pPr>
              <w:jc w:val="right"/>
              <w:rPr>
                <w:rFonts w:cs="Calibri"/>
                <w:i/>
                <w:iCs/>
                <w:color w:val="000000" w:themeColor="text1"/>
                <w:sz w:val="13"/>
                <w:szCs w:val="13"/>
              </w:rPr>
            </w:pPr>
          </w:p>
        </w:tc>
        <w:tc>
          <w:tcPr>
            <w:tcW w:w="1389" w:type="dxa"/>
            <w:tcBorders>
              <w:top w:val="nil"/>
              <w:left w:val="single" w:sz="8" w:space="0" w:color="0077BD"/>
              <w:bottom w:val="single" w:sz="4" w:space="0" w:color="0077BD"/>
              <w:right w:val="nil"/>
            </w:tcBorders>
            <w:shd w:val="thinDiagStripe" w:color="000000" w:fill="auto"/>
            <w:noWrap/>
            <w:vAlign w:val="center"/>
          </w:tcPr>
          <w:p w14:paraId="526EDFB7" w14:textId="35B92923" w:rsidR="00E51A64" w:rsidRPr="00BB7C9E" w:rsidRDefault="00E51A64" w:rsidP="00E51A64">
            <w:pPr>
              <w:jc w:val="right"/>
              <w:rPr>
                <w:rFonts w:cs="Calibri"/>
                <w:i/>
                <w:iCs/>
                <w:color w:val="000000" w:themeColor="text1"/>
                <w:sz w:val="13"/>
                <w:szCs w:val="13"/>
              </w:rPr>
            </w:pPr>
          </w:p>
        </w:tc>
      </w:tr>
      <w:tr w:rsidR="00E51A64" w:rsidRPr="00BB7C9E" w14:paraId="1DC8F528"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04F24F77"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Leasing finansowy</w:t>
            </w:r>
          </w:p>
        </w:tc>
        <w:tc>
          <w:tcPr>
            <w:tcW w:w="1389" w:type="dxa"/>
            <w:tcBorders>
              <w:top w:val="nil"/>
              <w:left w:val="nil"/>
              <w:bottom w:val="single" w:sz="4" w:space="0" w:color="0077BD"/>
              <w:right w:val="single" w:sz="8" w:space="0" w:color="0077BD"/>
            </w:tcBorders>
            <w:shd w:val="clear" w:color="auto" w:fill="auto"/>
            <w:vAlign w:val="center"/>
            <w:hideMark/>
          </w:tcPr>
          <w:p w14:paraId="5EDF42BF"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(243 170)</w:t>
            </w:r>
          </w:p>
        </w:tc>
        <w:tc>
          <w:tcPr>
            <w:tcW w:w="1389" w:type="dxa"/>
            <w:tcBorders>
              <w:top w:val="nil"/>
              <w:left w:val="nil"/>
              <w:bottom w:val="single" w:sz="4" w:space="0" w:color="0077BD"/>
              <w:right w:val="nil"/>
            </w:tcBorders>
            <w:shd w:val="clear" w:color="auto" w:fill="auto"/>
            <w:noWrap/>
            <w:vAlign w:val="center"/>
            <w:hideMark/>
          </w:tcPr>
          <w:p w14:paraId="36109445"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3514F0B6"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(243 170)</w:t>
            </w:r>
          </w:p>
        </w:tc>
        <w:tc>
          <w:tcPr>
            <w:tcW w:w="1389" w:type="dxa"/>
            <w:tcBorders>
              <w:top w:val="nil"/>
              <w:left w:val="single" w:sz="8" w:space="0" w:color="0077BD"/>
              <w:bottom w:val="single" w:sz="4" w:space="0" w:color="0077BD"/>
              <w:right w:val="nil"/>
            </w:tcBorders>
            <w:shd w:val="clear" w:color="auto" w:fill="auto"/>
            <w:noWrap/>
            <w:vAlign w:val="center"/>
            <w:hideMark/>
          </w:tcPr>
          <w:p w14:paraId="7F634131"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E51A64" w:rsidRPr="00BB7C9E" w14:paraId="2F98888F"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4171B8DA"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Pozostałe należności kredytowe</w:t>
            </w:r>
          </w:p>
        </w:tc>
        <w:tc>
          <w:tcPr>
            <w:tcW w:w="1389" w:type="dxa"/>
            <w:tcBorders>
              <w:top w:val="nil"/>
              <w:left w:val="nil"/>
              <w:bottom w:val="single" w:sz="4" w:space="0" w:color="0077BD"/>
              <w:right w:val="single" w:sz="8" w:space="0" w:color="0077BD"/>
            </w:tcBorders>
            <w:shd w:val="clear" w:color="auto" w:fill="auto"/>
            <w:vAlign w:val="center"/>
            <w:hideMark/>
          </w:tcPr>
          <w:p w14:paraId="42CD5B50"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(29 555)</w:t>
            </w:r>
          </w:p>
        </w:tc>
        <w:tc>
          <w:tcPr>
            <w:tcW w:w="1389" w:type="dxa"/>
            <w:tcBorders>
              <w:top w:val="nil"/>
              <w:left w:val="nil"/>
              <w:bottom w:val="single" w:sz="4" w:space="0" w:color="0077BD"/>
              <w:right w:val="nil"/>
            </w:tcBorders>
            <w:shd w:val="clear" w:color="auto" w:fill="auto"/>
            <w:noWrap/>
            <w:vAlign w:val="center"/>
            <w:hideMark/>
          </w:tcPr>
          <w:p w14:paraId="5B34D6E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c>
          <w:tcPr>
            <w:tcW w:w="1389" w:type="dxa"/>
            <w:tcBorders>
              <w:top w:val="nil"/>
              <w:left w:val="single" w:sz="8" w:space="0" w:color="0077BD"/>
              <w:bottom w:val="single" w:sz="4" w:space="0" w:color="0077BD"/>
              <w:right w:val="nil"/>
            </w:tcBorders>
            <w:shd w:val="clear" w:color="auto" w:fill="auto"/>
            <w:noWrap/>
            <w:vAlign w:val="center"/>
            <w:hideMark/>
          </w:tcPr>
          <w:p w14:paraId="1525BA75"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(29 555)</w:t>
            </w:r>
          </w:p>
        </w:tc>
        <w:tc>
          <w:tcPr>
            <w:tcW w:w="1389" w:type="dxa"/>
            <w:tcBorders>
              <w:top w:val="nil"/>
              <w:left w:val="single" w:sz="8" w:space="0" w:color="0077BD"/>
              <w:bottom w:val="single" w:sz="4" w:space="0" w:color="0077BD"/>
              <w:right w:val="nil"/>
            </w:tcBorders>
            <w:shd w:val="clear" w:color="auto" w:fill="auto"/>
            <w:noWrap/>
            <w:vAlign w:val="center"/>
            <w:hideMark/>
          </w:tcPr>
          <w:p w14:paraId="636EE01C"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w:t>
            </w:r>
          </w:p>
        </w:tc>
      </w:tr>
      <w:tr w:rsidR="00E51A64" w:rsidRPr="00BB7C9E" w14:paraId="247EC5AC" w14:textId="77777777" w:rsidTr="00C376FC">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326C9D3C" w14:textId="00F42384" w:rsidR="00E51A64" w:rsidRPr="00BB7C9E" w:rsidRDefault="005569D0" w:rsidP="00E51A64">
            <w:pPr>
              <w:rPr>
                <w:rFonts w:cs="Calibri"/>
                <w:b/>
                <w:bCs/>
                <w:color w:val="000000" w:themeColor="text1"/>
                <w:sz w:val="13"/>
                <w:szCs w:val="13"/>
              </w:rPr>
            </w:pPr>
            <w:r>
              <w:rPr>
                <w:rFonts w:cs="Calibri"/>
                <w:b/>
                <w:bCs/>
                <w:color w:val="000000" w:themeColor="text1"/>
                <w:sz w:val="13"/>
                <w:szCs w:val="13"/>
              </w:rPr>
              <w:t>Skumulowana utrata wartoś</w:t>
            </w:r>
            <w:r w:rsidR="00E51A64" w:rsidRPr="00BB7C9E">
              <w:rPr>
                <w:rFonts w:cs="Calibri"/>
                <w:b/>
                <w:bCs/>
                <w:color w:val="000000" w:themeColor="text1"/>
                <w:sz w:val="13"/>
                <w:szCs w:val="13"/>
              </w:rPr>
              <w:t>ci, razem</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0BD8CC1C"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(3 042 547)</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171B0253"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(1 630 171)</w:t>
            </w:r>
          </w:p>
        </w:tc>
        <w:tc>
          <w:tcPr>
            <w:tcW w:w="1389" w:type="dxa"/>
            <w:tcBorders>
              <w:top w:val="single" w:sz="8" w:space="0" w:color="0077BD"/>
              <w:left w:val="nil"/>
              <w:bottom w:val="single" w:sz="8" w:space="0" w:color="0077BD"/>
              <w:right w:val="single" w:sz="8" w:space="0" w:color="0077BD"/>
            </w:tcBorders>
            <w:shd w:val="clear" w:color="auto" w:fill="auto"/>
            <w:vAlign w:val="center"/>
            <w:hideMark/>
          </w:tcPr>
          <w:p w14:paraId="0234EDD1"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(1 411 736)</w:t>
            </w:r>
          </w:p>
        </w:tc>
        <w:tc>
          <w:tcPr>
            <w:tcW w:w="1389" w:type="dxa"/>
            <w:tcBorders>
              <w:top w:val="single" w:sz="8" w:space="0" w:color="0077BD"/>
              <w:left w:val="nil"/>
              <w:bottom w:val="single" w:sz="8" w:space="0" w:color="0077BD"/>
              <w:right w:val="nil"/>
            </w:tcBorders>
            <w:shd w:val="clear" w:color="auto" w:fill="auto"/>
            <w:vAlign w:val="center"/>
            <w:hideMark/>
          </w:tcPr>
          <w:p w14:paraId="43941F3A"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(640)</w:t>
            </w:r>
          </w:p>
        </w:tc>
      </w:tr>
      <w:tr w:rsidR="00E51A64" w:rsidRPr="00BB7C9E" w14:paraId="59471F49" w14:textId="77777777" w:rsidTr="00C376FC">
        <w:trPr>
          <w:trHeight w:val="20"/>
        </w:trPr>
        <w:tc>
          <w:tcPr>
            <w:tcW w:w="3969" w:type="dxa"/>
            <w:tcBorders>
              <w:top w:val="nil"/>
              <w:left w:val="nil"/>
              <w:bottom w:val="nil"/>
              <w:right w:val="nil"/>
            </w:tcBorders>
            <w:shd w:val="clear" w:color="000000" w:fill="FFFFFF"/>
            <w:vAlign w:val="center"/>
            <w:hideMark/>
          </w:tcPr>
          <w:p w14:paraId="2E721A8C" w14:textId="77777777" w:rsidR="00E51A64" w:rsidRPr="00BB7C9E" w:rsidRDefault="00E51A64" w:rsidP="00E51A64">
            <w:pPr>
              <w:rPr>
                <w:rFonts w:cs="Calibri"/>
                <w:b/>
                <w:bCs/>
                <w:color w:val="000000" w:themeColor="text1"/>
                <w:sz w:val="13"/>
                <w:szCs w:val="13"/>
              </w:rPr>
            </w:pPr>
            <w:r w:rsidRPr="00BB7C9E">
              <w:rPr>
                <w:rFonts w:cs="Calibri"/>
                <w:b/>
                <w:bCs/>
                <w:color w:val="000000" w:themeColor="text1"/>
                <w:sz w:val="13"/>
                <w:szCs w:val="13"/>
              </w:rPr>
              <w:t> </w:t>
            </w:r>
          </w:p>
        </w:tc>
        <w:tc>
          <w:tcPr>
            <w:tcW w:w="1389" w:type="dxa"/>
            <w:tcBorders>
              <w:top w:val="nil"/>
              <w:left w:val="nil"/>
              <w:bottom w:val="nil"/>
              <w:right w:val="nil"/>
            </w:tcBorders>
            <w:shd w:val="clear" w:color="auto" w:fill="auto"/>
            <w:vAlign w:val="center"/>
            <w:hideMark/>
          </w:tcPr>
          <w:p w14:paraId="6A713623"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hideMark/>
          </w:tcPr>
          <w:p w14:paraId="1436CF48"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hideMark/>
          </w:tcPr>
          <w:p w14:paraId="15BACC95"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 </w:t>
            </w:r>
          </w:p>
        </w:tc>
        <w:tc>
          <w:tcPr>
            <w:tcW w:w="1389" w:type="dxa"/>
            <w:tcBorders>
              <w:top w:val="nil"/>
              <w:left w:val="nil"/>
              <w:bottom w:val="nil"/>
              <w:right w:val="nil"/>
            </w:tcBorders>
            <w:shd w:val="clear" w:color="auto" w:fill="auto"/>
            <w:noWrap/>
            <w:vAlign w:val="center"/>
            <w:hideMark/>
          </w:tcPr>
          <w:p w14:paraId="3A473849"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 </w:t>
            </w:r>
          </w:p>
        </w:tc>
      </w:tr>
      <w:tr w:rsidR="00E51A64" w:rsidRPr="00BB7C9E" w14:paraId="23295CE6" w14:textId="77777777" w:rsidTr="00C376FC">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18881A66" w14:textId="77777777" w:rsidR="00E51A64" w:rsidRPr="00BB7C9E" w:rsidRDefault="00E51A64" w:rsidP="00E51A64">
            <w:pPr>
              <w:rPr>
                <w:rFonts w:cs="Calibri"/>
                <w:b/>
                <w:bCs/>
                <w:color w:val="000000" w:themeColor="text1"/>
                <w:sz w:val="13"/>
                <w:szCs w:val="13"/>
              </w:rPr>
            </w:pPr>
            <w:r w:rsidRPr="00BB7C9E">
              <w:rPr>
                <w:rFonts w:cs="Calibri"/>
                <w:b/>
                <w:bCs/>
                <w:color w:val="000000" w:themeColor="text1"/>
                <w:sz w:val="13"/>
                <w:szCs w:val="13"/>
              </w:rPr>
              <w:t>Wartość bilansowa brutto, razem</w:t>
            </w:r>
          </w:p>
        </w:tc>
        <w:tc>
          <w:tcPr>
            <w:tcW w:w="1389" w:type="dxa"/>
            <w:tcBorders>
              <w:top w:val="single" w:sz="8" w:space="0" w:color="0077BD"/>
              <w:left w:val="nil"/>
              <w:bottom w:val="single" w:sz="8" w:space="0" w:color="0077BD"/>
              <w:right w:val="nil"/>
            </w:tcBorders>
            <w:shd w:val="clear" w:color="auto" w:fill="auto"/>
            <w:noWrap/>
            <w:vAlign w:val="center"/>
            <w:hideMark/>
          </w:tcPr>
          <w:p w14:paraId="38697D98"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95 059 979</w:t>
            </w:r>
          </w:p>
        </w:tc>
        <w:tc>
          <w:tcPr>
            <w:tcW w:w="1389" w:type="dxa"/>
            <w:tcBorders>
              <w:top w:val="single" w:sz="8" w:space="0" w:color="0077BD"/>
              <w:left w:val="single" w:sz="8" w:space="0" w:color="0077BD"/>
              <w:bottom w:val="single" w:sz="8" w:space="0" w:color="0077BD"/>
              <w:right w:val="nil"/>
            </w:tcBorders>
            <w:shd w:val="clear" w:color="auto" w:fill="auto"/>
            <w:noWrap/>
            <w:vAlign w:val="center"/>
            <w:hideMark/>
          </w:tcPr>
          <w:p w14:paraId="4203EF15"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50 554 503</w:t>
            </w:r>
          </w:p>
        </w:tc>
        <w:tc>
          <w:tcPr>
            <w:tcW w:w="1389" w:type="dxa"/>
            <w:tcBorders>
              <w:top w:val="single" w:sz="8" w:space="0" w:color="0077BD"/>
              <w:left w:val="single" w:sz="8" w:space="0" w:color="0077BD"/>
              <w:bottom w:val="single" w:sz="8" w:space="0" w:color="0077BD"/>
              <w:right w:val="nil"/>
            </w:tcBorders>
            <w:shd w:val="clear" w:color="auto" w:fill="auto"/>
            <w:noWrap/>
            <w:vAlign w:val="center"/>
            <w:hideMark/>
          </w:tcPr>
          <w:p w14:paraId="2BF7E1AE"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43 868 553</w:t>
            </w:r>
          </w:p>
        </w:tc>
        <w:tc>
          <w:tcPr>
            <w:tcW w:w="1389" w:type="dxa"/>
            <w:tcBorders>
              <w:top w:val="single" w:sz="8" w:space="0" w:color="0077BD"/>
              <w:left w:val="single" w:sz="8" w:space="0" w:color="0077BD"/>
              <w:bottom w:val="single" w:sz="8" w:space="0" w:color="0077BD"/>
              <w:right w:val="nil"/>
            </w:tcBorders>
            <w:shd w:val="clear" w:color="auto" w:fill="auto"/>
            <w:noWrap/>
            <w:vAlign w:val="center"/>
            <w:hideMark/>
          </w:tcPr>
          <w:p w14:paraId="5F999D03"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636 923</w:t>
            </w:r>
          </w:p>
        </w:tc>
      </w:tr>
      <w:tr w:rsidR="00E51A64" w:rsidRPr="00BB7C9E" w14:paraId="33DD9ADA" w14:textId="77777777" w:rsidTr="00C376FC">
        <w:trPr>
          <w:trHeight w:val="284"/>
        </w:trPr>
        <w:tc>
          <w:tcPr>
            <w:tcW w:w="3969" w:type="dxa"/>
            <w:tcBorders>
              <w:top w:val="nil"/>
              <w:left w:val="nil"/>
              <w:bottom w:val="single" w:sz="4" w:space="0" w:color="0077BD"/>
              <w:right w:val="single" w:sz="8" w:space="0" w:color="0077BD"/>
            </w:tcBorders>
            <w:shd w:val="clear" w:color="auto" w:fill="auto"/>
            <w:vAlign w:val="center"/>
            <w:hideMark/>
          </w:tcPr>
          <w:p w14:paraId="04DDB11C"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Skumulowana utrata wartości, razem</w:t>
            </w:r>
          </w:p>
        </w:tc>
        <w:tc>
          <w:tcPr>
            <w:tcW w:w="1389" w:type="dxa"/>
            <w:tcBorders>
              <w:top w:val="nil"/>
              <w:left w:val="nil"/>
              <w:bottom w:val="single" w:sz="8" w:space="0" w:color="0077BD"/>
              <w:right w:val="nil"/>
            </w:tcBorders>
            <w:shd w:val="clear" w:color="auto" w:fill="auto"/>
            <w:noWrap/>
            <w:vAlign w:val="center"/>
            <w:hideMark/>
          </w:tcPr>
          <w:p w14:paraId="47E03293"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(3 042 547)</w:t>
            </w:r>
          </w:p>
        </w:tc>
        <w:tc>
          <w:tcPr>
            <w:tcW w:w="1389" w:type="dxa"/>
            <w:tcBorders>
              <w:top w:val="nil"/>
              <w:left w:val="single" w:sz="8" w:space="0" w:color="0077BD"/>
              <w:bottom w:val="single" w:sz="8" w:space="0" w:color="0077BD"/>
              <w:right w:val="nil"/>
            </w:tcBorders>
            <w:shd w:val="clear" w:color="auto" w:fill="auto"/>
            <w:noWrap/>
            <w:vAlign w:val="center"/>
            <w:hideMark/>
          </w:tcPr>
          <w:p w14:paraId="7F00FC1A"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(1 630 171)</w:t>
            </w:r>
          </w:p>
        </w:tc>
        <w:tc>
          <w:tcPr>
            <w:tcW w:w="1389" w:type="dxa"/>
            <w:tcBorders>
              <w:top w:val="nil"/>
              <w:left w:val="single" w:sz="8" w:space="0" w:color="0077BD"/>
              <w:bottom w:val="single" w:sz="8" w:space="0" w:color="0077BD"/>
              <w:right w:val="nil"/>
            </w:tcBorders>
            <w:shd w:val="clear" w:color="auto" w:fill="auto"/>
            <w:noWrap/>
            <w:vAlign w:val="center"/>
            <w:hideMark/>
          </w:tcPr>
          <w:p w14:paraId="63D47551"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(1 411 736)</w:t>
            </w:r>
          </w:p>
        </w:tc>
        <w:tc>
          <w:tcPr>
            <w:tcW w:w="1389" w:type="dxa"/>
            <w:tcBorders>
              <w:top w:val="nil"/>
              <w:left w:val="single" w:sz="8" w:space="0" w:color="0077BD"/>
              <w:bottom w:val="single" w:sz="8" w:space="0" w:color="0077BD"/>
              <w:right w:val="nil"/>
            </w:tcBorders>
            <w:shd w:val="clear" w:color="auto" w:fill="auto"/>
            <w:noWrap/>
            <w:vAlign w:val="center"/>
            <w:hideMark/>
          </w:tcPr>
          <w:p w14:paraId="68A598A3"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(640)</w:t>
            </w:r>
          </w:p>
        </w:tc>
      </w:tr>
      <w:tr w:rsidR="00E51A64" w:rsidRPr="00BB7C9E" w14:paraId="2B4EB3CF" w14:textId="77777777" w:rsidTr="00C376FC">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578A7DC7" w14:textId="77777777" w:rsidR="00E51A64" w:rsidRPr="00BB7C9E" w:rsidRDefault="00E51A64" w:rsidP="00E51A64">
            <w:pPr>
              <w:rPr>
                <w:rFonts w:cs="Calibri"/>
                <w:b/>
                <w:bCs/>
                <w:color w:val="000000" w:themeColor="text1"/>
                <w:sz w:val="13"/>
                <w:szCs w:val="13"/>
              </w:rPr>
            </w:pPr>
            <w:r w:rsidRPr="00BB7C9E">
              <w:rPr>
                <w:rFonts w:cs="Calibri"/>
                <w:b/>
                <w:bCs/>
                <w:color w:val="000000" w:themeColor="text1"/>
                <w:sz w:val="13"/>
                <w:szCs w:val="13"/>
              </w:rPr>
              <w:t>Wartość bilansowa netto, razem</w:t>
            </w:r>
          </w:p>
        </w:tc>
        <w:tc>
          <w:tcPr>
            <w:tcW w:w="1389" w:type="dxa"/>
            <w:tcBorders>
              <w:top w:val="nil"/>
              <w:left w:val="nil"/>
              <w:bottom w:val="single" w:sz="8" w:space="0" w:color="0077BD"/>
              <w:right w:val="nil"/>
            </w:tcBorders>
            <w:shd w:val="clear" w:color="auto" w:fill="auto"/>
            <w:noWrap/>
            <w:vAlign w:val="center"/>
            <w:hideMark/>
          </w:tcPr>
          <w:p w14:paraId="77081A4D"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92 017 432</w:t>
            </w:r>
          </w:p>
        </w:tc>
        <w:tc>
          <w:tcPr>
            <w:tcW w:w="1389" w:type="dxa"/>
            <w:tcBorders>
              <w:top w:val="nil"/>
              <w:left w:val="single" w:sz="8" w:space="0" w:color="0077BD"/>
              <w:bottom w:val="single" w:sz="8" w:space="0" w:color="0077BD"/>
              <w:right w:val="nil"/>
            </w:tcBorders>
            <w:shd w:val="clear" w:color="auto" w:fill="auto"/>
            <w:noWrap/>
            <w:vAlign w:val="center"/>
            <w:hideMark/>
          </w:tcPr>
          <w:p w14:paraId="0CE5E21A"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48 924 332</w:t>
            </w:r>
          </w:p>
        </w:tc>
        <w:tc>
          <w:tcPr>
            <w:tcW w:w="1389" w:type="dxa"/>
            <w:tcBorders>
              <w:top w:val="nil"/>
              <w:left w:val="single" w:sz="8" w:space="0" w:color="0077BD"/>
              <w:bottom w:val="single" w:sz="8" w:space="0" w:color="0077BD"/>
              <w:right w:val="nil"/>
            </w:tcBorders>
            <w:shd w:val="clear" w:color="auto" w:fill="auto"/>
            <w:noWrap/>
            <w:vAlign w:val="center"/>
            <w:hideMark/>
          </w:tcPr>
          <w:p w14:paraId="6A1FC919"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42 456 817</w:t>
            </w:r>
          </w:p>
        </w:tc>
        <w:tc>
          <w:tcPr>
            <w:tcW w:w="1389" w:type="dxa"/>
            <w:tcBorders>
              <w:top w:val="nil"/>
              <w:left w:val="single" w:sz="8" w:space="0" w:color="0077BD"/>
              <w:bottom w:val="single" w:sz="8" w:space="0" w:color="0077BD"/>
              <w:right w:val="nil"/>
            </w:tcBorders>
            <w:shd w:val="clear" w:color="auto" w:fill="auto"/>
            <w:noWrap/>
            <w:vAlign w:val="center"/>
            <w:hideMark/>
          </w:tcPr>
          <w:p w14:paraId="6072B320" w14:textId="77777777" w:rsidR="00E51A64" w:rsidRPr="00BB7C9E" w:rsidRDefault="00E51A64" w:rsidP="00E51A64">
            <w:pPr>
              <w:jc w:val="right"/>
              <w:rPr>
                <w:rFonts w:cs="Calibri"/>
                <w:b/>
                <w:bCs/>
                <w:color w:val="000000" w:themeColor="text1"/>
                <w:sz w:val="13"/>
                <w:szCs w:val="13"/>
              </w:rPr>
            </w:pPr>
            <w:r w:rsidRPr="00BB7C9E">
              <w:rPr>
                <w:rFonts w:cs="Calibri"/>
                <w:b/>
                <w:bCs/>
                <w:color w:val="000000" w:themeColor="text1"/>
                <w:sz w:val="13"/>
                <w:szCs w:val="13"/>
              </w:rPr>
              <w:t>636 283</w:t>
            </w:r>
          </w:p>
        </w:tc>
      </w:tr>
      <w:tr w:rsidR="00E51A64" w:rsidRPr="00BB7C9E" w14:paraId="5E671F00" w14:textId="77777777" w:rsidTr="00C376FC">
        <w:trPr>
          <w:trHeight w:val="20"/>
        </w:trPr>
        <w:tc>
          <w:tcPr>
            <w:tcW w:w="3969" w:type="dxa"/>
            <w:tcBorders>
              <w:top w:val="nil"/>
              <w:left w:val="nil"/>
              <w:bottom w:val="nil"/>
              <w:right w:val="nil"/>
            </w:tcBorders>
            <w:shd w:val="clear" w:color="000000" w:fill="FFFFFF"/>
            <w:vAlign w:val="center"/>
            <w:hideMark/>
          </w:tcPr>
          <w:p w14:paraId="0554D63B"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 </w:t>
            </w:r>
          </w:p>
        </w:tc>
        <w:tc>
          <w:tcPr>
            <w:tcW w:w="1389" w:type="dxa"/>
            <w:tcBorders>
              <w:top w:val="nil"/>
              <w:left w:val="nil"/>
              <w:bottom w:val="nil"/>
              <w:right w:val="nil"/>
            </w:tcBorders>
            <w:shd w:val="clear" w:color="auto" w:fill="auto"/>
            <w:vAlign w:val="center"/>
            <w:hideMark/>
          </w:tcPr>
          <w:p w14:paraId="22AB5A98" w14:textId="77777777" w:rsidR="00E51A64" w:rsidRPr="00BB7C9E" w:rsidRDefault="00E51A64" w:rsidP="00E51A64">
            <w:pPr>
              <w:rPr>
                <w:rFonts w:cs="Calibri"/>
                <w:color w:val="000000" w:themeColor="text1"/>
                <w:sz w:val="13"/>
                <w:szCs w:val="13"/>
              </w:rPr>
            </w:pPr>
          </w:p>
        </w:tc>
        <w:tc>
          <w:tcPr>
            <w:tcW w:w="1389" w:type="dxa"/>
            <w:tcBorders>
              <w:top w:val="nil"/>
              <w:left w:val="nil"/>
              <w:bottom w:val="nil"/>
              <w:right w:val="nil"/>
            </w:tcBorders>
            <w:shd w:val="clear" w:color="auto" w:fill="auto"/>
            <w:noWrap/>
            <w:vAlign w:val="center"/>
            <w:hideMark/>
          </w:tcPr>
          <w:p w14:paraId="22BF45CC" w14:textId="77777777" w:rsidR="00E51A64" w:rsidRPr="00BB7C9E" w:rsidRDefault="00E51A64" w:rsidP="00E51A64">
            <w:pPr>
              <w:jc w:val="right"/>
              <w:rPr>
                <w:color w:val="000000" w:themeColor="text1"/>
                <w:sz w:val="13"/>
                <w:szCs w:val="13"/>
              </w:rPr>
            </w:pPr>
          </w:p>
        </w:tc>
        <w:tc>
          <w:tcPr>
            <w:tcW w:w="1389" w:type="dxa"/>
            <w:tcBorders>
              <w:top w:val="nil"/>
              <w:left w:val="nil"/>
              <w:bottom w:val="nil"/>
              <w:right w:val="nil"/>
            </w:tcBorders>
            <w:shd w:val="clear" w:color="auto" w:fill="auto"/>
            <w:noWrap/>
            <w:vAlign w:val="center"/>
            <w:hideMark/>
          </w:tcPr>
          <w:p w14:paraId="1EE56F04" w14:textId="77777777" w:rsidR="00E51A64" w:rsidRPr="00BB7C9E" w:rsidRDefault="00E51A64" w:rsidP="00E51A64">
            <w:pPr>
              <w:jc w:val="right"/>
              <w:rPr>
                <w:color w:val="000000" w:themeColor="text1"/>
                <w:sz w:val="13"/>
                <w:szCs w:val="13"/>
              </w:rPr>
            </w:pPr>
          </w:p>
        </w:tc>
        <w:tc>
          <w:tcPr>
            <w:tcW w:w="1389" w:type="dxa"/>
            <w:tcBorders>
              <w:top w:val="nil"/>
              <w:left w:val="nil"/>
              <w:bottom w:val="nil"/>
              <w:right w:val="nil"/>
            </w:tcBorders>
            <w:shd w:val="clear" w:color="auto" w:fill="auto"/>
            <w:noWrap/>
            <w:vAlign w:val="center"/>
            <w:hideMark/>
          </w:tcPr>
          <w:p w14:paraId="62E0A001" w14:textId="77777777" w:rsidR="00E51A64" w:rsidRPr="00BB7C9E" w:rsidRDefault="00E51A64" w:rsidP="00E51A64">
            <w:pPr>
              <w:jc w:val="right"/>
              <w:rPr>
                <w:color w:val="000000" w:themeColor="text1"/>
                <w:sz w:val="13"/>
                <w:szCs w:val="13"/>
              </w:rPr>
            </w:pPr>
          </w:p>
        </w:tc>
      </w:tr>
      <w:tr w:rsidR="00E51A64" w:rsidRPr="00BB7C9E" w14:paraId="27C76ADB" w14:textId="77777777" w:rsidTr="00C376FC">
        <w:trPr>
          <w:trHeight w:val="284"/>
        </w:trPr>
        <w:tc>
          <w:tcPr>
            <w:tcW w:w="3969" w:type="dxa"/>
            <w:tcBorders>
              <w:top w:val="single" w:sz="8" w:space="0" w:color="0077BD"/>
              <w:left w:val="nil"/>
              <w:bottom w:val="single" w:sz="8" w:space="0" w:color="0077BD"/>
              <w:right w:val="single" w:sz="8" w:space="0" w:color="0077BD"/>
            </w:tcBorders>
            <w:shd w:val="clear" w:color="auto" w:fill="auto"/>
            <w:vAlign w:val="center"/>
            <w:hideMark/>
          </w:tcPr>
          <w:p w14:paraId="351D3EA2"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Krótkoterminowe (do 1 roku) brutto</w:t>
            </w:r>
          </w:p>
        </w:tc>
        <w:tc>
          <w:tcPr>
            <w:tcW w:w="1389" w:type="dxa"/>
            <w:tcBorders>
              <w:top w:val="single" w:sz="8" w:space="0" w:color="0077BD"/>
              <w:left w:val="nil"/>
              <w:bottom w:val="single" w:sz="8" w:space="0" w:color="0077BD"/>
              <w:right w:val="nil"/>
            </w:tcBorders>
            <w:shd w:val="clear" w:color="auto" w:fill="auto"/>
            <w:vAlign w:val="center"/>
            <w:hideMark/>
          </w:tcPr>
          <w:p w14:paraId="3DF89B74"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34 577 060</w:t>
            </w:r>
          </w:p>
        </w:tc>
        <w:tc>
          <w:tcPr>
            <w:tcW w:w="1389" w:type="dxa"/>
            <w:tcBorders>
              <w:top w:val="nil"/>
              <w:left w:val="nil"/>
              <w:bottom w:val="nil"/>
              <w:right w:val="nil"/>
            </w:tcBorders>
            <w:shd w:val="clear" w:color="auto" w:fill="auto"/>
            <w:vAlign w:val="center"/>
            <w:hideMark/>
          </w:tcPr>
          <w:p w14:paraId="05707960" w14:textId="77777777" w:rsidR="00E51A64" w:rsidRPr="00BB7C9E" w:rsidRDefault="00E51A64" w:rsidP="00E51A64">
            <w:pPr>
              <w:jc w:val="right"/>
              <w:rPr>
                <w:rFonts w:cs="Calibri"/>
                <w:color w:val="000000" w:themeColor="text1"/>
                <w:sz w:val="13"/>
                <w:szCs w:val="13"/>
              </w:rPr>
            </w:pPr>
          </w:p>
        </w:tc>
        <w:tc>
          <w:tcPr>
            <w:tcW w:w="1389" w:type="dxa"/>
            <w:tcBorders>
              <w:top w:val="nil"/>
              <w:left w:val="nil"/>
              <w:bottom w:val="nil"/>
              <w:right w:val="nil"/>
            </w:tcBorders>
            <w:shd w:val="clear" w:color="auto" w:fill="auto"/>
            <w:vAlign w:val="center"/>
            <w:hideMark/>
          </w:tcPr>
          <w:p w14:paraId="46ED0F3F" w14:textId="77777777" w:rsidR="00E51A64" w:rsidRPr="00BB7C9E" w:rsidRDefault="00E51A64" w:rsidP="00E51A64">
            <w:pPr>
              <w:jc w:val="right"/>
              <w:rPr>
                <w:color w:val="000000" w:themeColor="text1"/>
                <w:sz w:val="13"/>
                <w:szCs w:val="13"/>
              </w:rPr>
            </w:pPr>
          </w:p>
        </w:tc>
        <w:tc>
          <w:tcPr>
            <w:tcW w:w="1389" w:type="dxa"/>
            <w:tcBorders>
              <w:top w:val="nil"/>
              <w:left w:val="nil"/>
              <w:bottom w:val="nil"/>
              <w:right w:val="nil"/>
            </w:tcBorders>
            <w:shd w:val="clear" w:color="auto" w:fill="auto"/>
            <w:vAlign w:val="center"/>
            <w:hideMark/>
          </w:tcPr>
          <w:p w14:paraId="0F6EC6A5" w14:textId="77777777" w:rsidR="00E51A64" w:rsidRPr="00BB7C9E" w:rsidRDefault="00E51A64" w:rsidP="00E51A64">
            <w:pPr>
              <w:jc w:val="right"/>
              <w:rPr>
                <w:color w:val="000000" w:themeColor="text1"/>
                <w:sz w:val="13"/>
                <w:szCs w:val="13"/>
              </w:rPr>
            </w:pPr>
          </w:p>
        </w:tc>
      </w:tr>
      <w:tr w:rsidR="00E51A64" w:rsidRPr="00BB7C9E" w14:paraId="55DB8583" w14:textId="77777777" w:rsidTr="00C376FC">
        <w:trPr>
          <w:trHeight w:val="284"/>
        </w:trPr>
        <w:tc>
          <w:tcPr>
            <w:tcW w:w="3969" w:type="dxa"/>
            <w:tcBorders>
              <w:top w:val="nil"/>
              <w:left w:val="nil"/>
              <w:bottom w:val="single" w:sz="8" w:space="0" w:color="0077BD"/>
              <w:right w:val="single" w:sz="8" w:space="0" w:color="0077BD"/>
            </w:tcBorders>
            <w:shd w:val="clear" w:color="auto" w:fill="auto"/>
            <w:vAlign w:val="center"/>
            <w:hideMark/>
          </w:tcPr>
          <w:p w14:paraId="285B0EE7" w14:textId="77777777" w:rsidR="00E51A64" w:rsidRPr="00BB7C9E" w:rsidRDefault="00E51A64" w:rsidP="00E51A64">
            <w:pPr>
              <w:rPr>
                <w:rFonts w:cs="Calibri"/>
                <w:color w:val="000000" w:themeColor="text1"/>
                <w:sz w:val="13"/>
                <w:szCs w:val="13"/>
              </w:rPr>
            </w:pPr>
            <w:r w:rsidRPr="00BB7C9E">
              <w:rPr>
                <w:rFonts w:cs="Calibri"/>
                <w:color w:val="000000" w:themeColor="text1"/>
                <w:sz w:val="13"/>
                <w:szCs w:val="13"/>
              </w:rPr>
              <w:t>Długoterminowe (ponad 1 rok) brutto</w:t>
            </w:r>
          </w:p>
        </w:tc>
        <w:tc>
          <w:tcPr>
            <w:tcW w:w="1389" w:type="dxa"/>
            <w:tcBorders>
              <w:top w:val="nil"/>
              <w:left w:val="nil"/>
              <w:bottom w:val="single" w:sz="8" w:space="0" w:color="0077BD"/>
              <w:right w:val="nil"/>
            </w:tcBorders>
            <w:shd w:val="clear" w:color="auto" w:fill="auto"/>
            <w:vAlign w:val="center"/>
            <w:hideMark/>
          </w:tcPr>
          <w:p w14:paraId="4857885D" w14:textId="77777777" w:rsidR="00E51A64" w:rsidRPr="00BB7C9E" w:rsidRDefault="00E51A64" w:rsidP="00E51A64">
            <w:pPr>
              <w:jc w:val="right"/>
              <w:rPr>
                <w:rFonts w:cs="Calibri"/>
                <w:color w:val="000000" w:themeColor="text1"/>
                <w:sz w:val="13"/>
                <w:szCs w:val="13"/>
              </w:rPr>
            </w:pPr>
            <w:r w:rsidRPr="00BB7C9E">
              <w:rPr>
                <w:rFonts w:cs="Calibri"/>
                <w:color w:val="000000" w:themeColor="text1"/>
                <w:sz w:val="13"/>
                <w:szCs w:val="13"/>
              </w:rPr>
              <w:t>60 482 919</w:t>
            </w:r>
          </w:p>
        </w:tc>
        <w:tc>
          <w:tcPr>
            <w:tcW w:w="1389" w:type="dxa"/>
            <w:tcBorders>
              <w:top w:val="nil"/>
              <w:left w:val="nil"/>
              <w:bottom w:val="nil"/>
              <w:right w:val="nil"/>
            </w:tcBorders>
            <w:shd w:val="clear" w:color="auto" w:fill="auto"/>
            <w:vAlign w:val="center"/>
            <w:hideMark/>
          </w:tcPr>
          <w:p w14:paraId="61172675" w14:textId="77777777" w:rsidR="00E51A64" w:rsidRPr="00BB7C9E" w:rsidRDefault="00E51A64" w:rsidP="00E51A64">
            <w:pPr>
              <w:jc w:val="right"/>
              <w:rPr>
                <w:rFonts w:cs="Calibri"/>
                <w:color w:val="000000" w:themeColor="text1"/>
                <w:sz w:val="13"/>
                <w:szCs w:val="13"/>
              </w:rPr>
            </w:pPr>
          </w:p>
        </w:tc>
        <w:tc>
          <w:tcPr>
            <w:tcW w:w="1389" w:type="dxa"/>
            <w:tcBorders>
              <w:top w:val="nil"/>
              <w:left w:val="nil"/>
              <w:bottom w:val="nil"/>
              <w:right w:val="nil"/>
            </w:tcBorders>
            <w:shd w:val="clear" w:color="auto" w:fill="auto"/>
            <w:vAlign w:val="center"/>
            <w:hideMark/>
          </w:tcPr>
          <w:p w14:paraId="502B4C11" w14:textId="77777777" w:rsidR="00E51A64" w:rsidRPr="00BB7C9E" w:rsidRDefault="00E51A64" w:rsidP="00E51A64">
            <w:pPr>
              <w:jc w:val="right"/>
              <w:rPr>
                <w:color w:val="000000" w:themeColor="text1"/>
                <w:sz w:val="13"/>
                <w:szCs w:val="13"/>
              </w:rPr>
            </w:pPr>
          </w:p>
        </w:tc>
        <w:tc>
          <w:tcPr>
            <w:tcW w:w="1389" w:type="dxa"/>
            <w:tcBorders>
              <w:top w:val="nil"/>
              <w:left w:val="nil"/>
              <w:bottom w:val="nil"/>
              <w:right w:val="nil"/>
            </w:tcBorders>
            <w:shd w:val="clear" w:color="auto" w:fill="auto"/>
            <w:vAlign w:val="center"/>
            <w:hideMark/>
          </w:tcPr>
          <w:p w14:paraId="281201CB" w14:textId="77777777" w:rsidR="00E51A64" w:rsidRPr="00BB7C9E" w:rsidRDefault="00E51A64" w:rsidP="00E51A64">
            <w:pPr>
              <w:jc w:val="right"/>
              <w:rPr>
                <w:color w:val="000000" w:themeColor="text1"/>
                <w:sz w:val="13"/>
                <w:szCs w:val="13"/>
              </w:rPr>
            </w:pPr>
          </w:p>
        </w:tc>
      </w:tr>
    </w:tbl>
    <w:p w14:paraId="56BDAA27" w14:textId="6C0BDEBD" w:rsidR="00B270A3" w:rsidRPr="00BB7C9E" w:rsidRDefault="00C376FC" w:rsidP="00B270A3">
      <w:pPr>
        <w:spacing w:before="120"/>
        <w:jc w:val="both"/>
        <w:rPr>
          <w:rFonts w:cs="Tahoma"/>
          <w:color w:val="000000" w:themeColor="text1"/>
          <w:sz w:val="18"/>
          <w:szCs w:val="18"/>
        </w:rPr>
      </w:pPr>
      <w:r w:rsidRPr="00A023BB">
        <w:rPr>
          <w:rFonts w:cs="Tahoma"/>
          <w:color w:val="000000" w:themeColor="text1"/>
          <w:sz w:val="18"/>
          <w:szCs w:val="18"/>
        </w:rPr>
        <w:t>Na dzień 31 grudnia 2019</w:t>
      </w:r>
      <w:r w:rsidR="00B270A3" w:rsidRPr="00A023BB">
        <w:rPr>
          <w:rFonts w:cs="Tahoma"/>
          <w:color w:val="000000" w:themeColor="text1"/>
          <w:sz w:val="18"/>
          <w:szCs w:val="18"/>
        </w:rPr>
        <w:t xml:space="preserve"> roku kredyty o zmiennej stopie procentowej wyniosły </w:t>
      </w:r>
      <w:r w:rsidR="00ED56B3" w:rsidRPr="00A023BB">
        <w:rPr>
          <w:rFonts w:cs="Tahoma"/>
          <w:color w:val="000000" w:themeColor="text1"/>
          <w:sz w:val="18"/>
          <w:szCs w:val="18"/>
        </w:rPr>
        <w:t>104</w:t>
      </w:r>
      <w:r w:rsidR="0063050A" w:rsidRPr="00A023BB">
        <w:rPr>
          <w:rFonts w:cs="Tahoma"/>
          <w:color w:val="000000" w:themeColor="text1"/>
          <w:sz w:val="18"/>
          <w:szCs w:val="18"/>
        </w:rPr>
        <w:t> </w:t>
      </w:r>
      <w:r w:rsidR="00ED56B3" w:rsidRPr="00A023BB">
        <w:rPr>
          <w:rFonts w:cs="Tahoma"/>
          <w:color w:val="000000" w:themeColor="text1"/>
          <w:sz w:val="18"/>
          <w:szCs w:val="18"/>
        </w:rPr>
        <w:t>907</w:t>
      </w:r>
      <w:r w:rsidR="0063050A" w:rsidRPr="00A023BB">
        <w:rPr>
          <w:rFonts w:cs="Tahoma"/>
          <w:color w:val="000000" w:themeColor="text1"/>
          <w:sz w:val="18"/>
          <w:szCs w:val="18"/>
        </w:rPr>
        <w:t> </w:t>
      </w:r>
      <w:r w:rsidR="00ED56B3" w:rsidRPr="00A023BB">
        <w:rPr>
          <w:rFonts w:cs="Tahoma"/>
          <w:color w:val="000000" w:themeColor="text1"/>
          <w:sz w:val="18"/>
          <w:szCs w:val="18"/>
        </w:rPr>
        <w:t>634</w:t>
      </w:r>
      <w:r w:rsidR="00B270A3" w:rsidRPr="00A023BB">
        <w:rPr>
          <w:rFonts w:cs="Tahoma"/>
          <w:color w:val="000000" w:themeColor="text1"/>
          <w:sz w:val="18"/>
          <w:szCs w:val="18"/>
        </w:rPr>
        <w:t xml:space="preserve"> tys. zł, a o stałej stopie procentowej wyniosły </w:t>
      </w:r>
      <w:r w:rsidR="0063050A" w:rsidRPr="00A023BB">
        <w:rPr>
          <w:rFonts w:cs="Tahoma"/>
          <w:color w:val="000000" w:themeColor="text1"/>
          <w:sz w:val="18"/>
          <w:szCs w:val="18"/>
        </w:rPr>
        <w:t>1 </w:t>
      </w:r>
      <w:r w:rsidR="00ED56B3" w:rsidRPr="00A023BB">
        <w:rPr>
          <w:rFonts w:cs="Tahoma"/>
          <w:color w:val="000000" w:themeColor="text1"/>
          <w:sz w:val="18"/>
          <w:szCs w:val="18"/>
        </w:rPr>
        <w:t>485</w:t>
      </w:r>
      <w:r w:rsidR="0063050A" w:rsidRPr="00A023BB">
        <w:rPr>
          <w:rFonts w:cs="Tahoma"/>
          <w:color w:val="000000" w:themeColor="text1"/>
          <w:sz w:val="18"/>
          <w:szCs w:val="18"/>
        </w:rPr>
        <w:t> </w:t>
      </w:r>
      <w:r w:rsidR="00ED56B3" w:rsidRPr="00A023BB">
        <w:rPr>
          <w:rFonts w:cs="Tahoma"/>
          <w:color w:val="000000" w:themeColor="text1"/>
          <w:sz w:val="18"/>
          <w:szCs w:val="18"/>
        </w:rPr>
        <w:t>898</w:t>
      </w:r>
      <w:r w:rsidR="00B270A3" w:rsidRPr="00A023BB">
        <w:rPr>
          <w:rFonts w:cs="Tahoma"/>
          <w:color w:val="000000" w:themeColor="text1"/>
          <w:sz w:val="18"/>
          <w:szCs w:val="18"/>
        </w:rPr>
        <w:t xml:space="preserve"> tys. zł</w:t>
      </w:r>
      <w:r w:rsidR="00AC25CE">
        <w:rPr>
          <w:rFonts w:cs="Tahoma"/>
          <w:color w:val="000000" w:themeColor="text1"/>
          <w:sz w:val="18"/>
          <w:szCs w:val="18"/>
        </w:rPr>
        <w:t xml:space="preserve"> (31 grudnia 2018 roku</w:t>
      </w:r>
      <w:r w:rsidRPr="00A023BB">
        <w:rPr>
          <w:rFonts w:cs="Tahoma"/>
          <w:color w:val="000000" w:themeColor="text1"/>
          <w:sz w:val="18"/>
          <w:szCs w:val="18"/>
        </w:rPr>
        <w:t xml:space="preserve"> odpowiednio:</w:t>
      </w:r>
      <w:r w:rsidRPr="00BB7C9E">
        <w:rPr>
          <w:rFonts w:cs="Tahoma"/>
          <w:color w:val="000000" w:themeColor="text1"/>
          <w:sz w:val="18"/>
          <w:szCs w:val="18"/>
        </w:rPr>
        <w:t xml:space="preserve"> 93 800</w:t>
      </w:r>
      <w:r w:rsidR="004E01A5">
        <w:rPr>
          <w:rFonts w:cs="Tahoma"/>
          <w:color w:val="000000" w:themeColor="text1"/>
          <w:sz w:val="18"/>
          <w:szCs w:val="18"/>
        </w:rPr>
        <w:t> </w:t>
      </w:r>
      <w:r w:rsidRPr="00BB7C9E">
        <w:rPr>
          <w:rFonts w:cs="Tahoma"/>
          <w:color w:val="000000" w:themeColor="text1"/>
          <w:sz w:val="18"/>
          <w:szCs w:val="18"/>
        </w:rPr>
        <w:t>372</w:t>
      </w:r>
      <w:r w:rsidR="004E01A5">
        <w:rPr>
          <w:rFonts w:cs="Tahoma"/>
          <w:color w:val="000000" w:themeColor="text1"/>
          <w:sz w:val="18"/>
          <w:szCs w:val="18"/>
        </w:rPr>
        <w:t> </w:t>
      </w:r>
      <w:r w:rsidRPr="00BB7C9E">
        <w:rPr>
          <w:rFonts w:cs="Tahoma"/>
          <w:color w:val="000000" w:themeColor="text1"/>
          <w:sz w:val="18"/>
          <w:szCs w:val="18"/>
        </w:rPr>
        <w:t>tys. zł i 1 259 607 tys. zł)</w:t>
      </w:r>
      <w:r w:rsidR="00B270A3" w:rsidRPr="00BB7C9E">
        <w:rPr>
          <w:rFonts w:cs="Tahoma"/>
          <w:color w:val="000000" w:themeColor="text1"/>
          <w:sz w:val="18"/>
          <w:szCs w:val="18"/>
        </w:rPr>
        <w:t xml:space="preserve">. Średnie oprocentowanie kredytów udzielonych klientom (z wyłączeniem </w:t>
      </w:r>
      <w:r w:rsidR="00B270A3" w:rsidRPr="00E0405D">
        <w:rPr>
          <w:rFonts w:cs="Tahoma"/>
          <w:color w:val="000000" w:themeColor="text1"/>
          <w:sz w:val="18"/>
          <w:szCs w:val="18"/>
        </w:rPr>
        <w:t xml:space="preserve">transakcji </w:t>
      </w:r>
      <w:r w:rsidR="00DD1C8B" w:rsidRPr="00E0405D">
        <w:rPr>
          <w:rFonts w:cs="Tahoma"/>
          <w:color w:val="000000" w:themeColor="text1"/>
          <w:sz w:val="18"/>
          <w:szCs w:val="18"/>
        </w:rPr>
        <w:t xml:space="preserve">reverse repo) wynosiło </w:t>
      </w:r>
      <w:r w:rsidR="00E0405D" w:rsidRPr="00E0405D">
        <w:rPr>
          <w:rFonts w:cs="Tahoma"/>
          <w:color w:val="000000" w:themeColor="text1"/>
          <w:sz w:val="18"/>
          <w:szCs w:val="18"/>
        </w:rPr>
        <w:t>3,55</w:t>
      </w:r>
      <w:r w:rsidR="00B270A3" w:rsidRPr="00E0405D">
        <w:rPr>
          <w:rFonts w:cs="Tahoma"/>
          <w:color w:val="000000" w:themeColor="text1"/>
          <w:sz w:val="18"/>
          <w:szCs w:val="18"/>
        </w:rPr>
        <w:t>%</w:t>
      </w:r>
      <w:r w:rsidR="00AC25CE">
        <w:rPr>
          <w:rFonts w:cs="Tahoma"/>
          <w:color w:val="000000" w:themeColor="text1"/>
          <w:sz w:val="18"/>
          <w:szCs w:val="18"/>
        </w:rPr>
        <w:t xml:space="preserve"> (31 grudnia 2018 roku</w:t>
      </w:r>
      <w:r w:rsidRPr="00E0405D">
        <w:rPr>
          <w:rFonts w:cs="Tahoma"/>
          <w:color w:val="000000" w:themeColor="text1"/>
          <w:sz w:val="18"/>
          <w:szCs w:val="18"/>
        </w:rPr>
        <w:t xml:space="preserve"> – 3,44%)</w:t>
      </w:r>
      <w:r w:rsidR="00B270A3" w:rsidRPr="00E0405D">
        <w:rPr>
          <w:rFonts w:cs="Tahoma"/>
          <w:color w:val="000000" w:themeColor="text1"/>
          <w:sz w:val="18"/>
          <w:szCs w:val="18"/>
        </w:rPr>
        <w:t>.</w:t>
      </w:r>
    </w:p>
    <w:p w14:paraId="587F4ED0" w14:textId="77777777" w:rsidR="00931832" w:rsidRPr="00BB7C9E" w:rsidRDefault="00931832" w:rsidP="00931832">
      <w:pPr>
        <w:spacing w:before="120"/>
        <w:jc w:val="both"/>
        <w:rPr>
          <w:color w:val="000000" w:themeColor="text1"/>
          <w:sz w:val="18"/>
          <w:szCs w:val="18"/>
        </w:rPr>
      </w:pPr>
      <w:r w:rsidRPr="00BB7C9E">
        <w:rPr>
          <w:color w:val="000000" w:themeColor="text1"/>
          <w:sz w:val="18"/>
          <w:szCs w:val="18"/>
        </w:rPr>
        <w:t>Kredyty i pożyczki udzielone klientom indywidualnym obejmują również kredyty udzielone mikroprzedsiębiorstwom obsługiwanym przez Bankowość Detaliczną Banku.</w:t>
      </w:r>
    </w:p>
    <w:p w14:paraId="45357CEC" w14:textId="07CA86B7" w:rsidR="00B270A3" w:rsidRPr="00BB7C9E" w:rsidRDefault="008E41C5" w:rsidP="00B270A3">
      <w:pPr>
        <w:spacing w:before="120"/>
        <w:jc w:val="both"/>
        <w:rPr>
          <w:rFonts w:cs="Tahoma"/>
          <w:color w:val="000000" w:themeColor="text1"/>
          <w:sz w:val="18"/>
          <w:szCs w:val="18"/>
        </w:rPr>
      </w:pPr>
      <w:r w:rsidRPr="00BB7C9E">
        <w:rPr>
          <w:rFonts w:cs="Tahoma"/>
          <w:color w:val="000000" w:themeColor="text1"/>
          <w:sz w:val="18"/>
          <w:szCs w:val="18"/>
        </w:rPr>
        <w:t xml:space="preserve">Na dzień 31 grudnia 2019 roku </w:t>
      </w:r>
      <w:r w:rsidR="00B270A3" w:rsidRPr="00BB7C9E">
        <w:rPr>
          <w:rFonts w:cs="Tahoma"/>
          <w:color w:val="000000" w:themeColor="text1"/>
          <w:sz w:val="18"/>
          <w:szCs w:val="18"/>
        </w:rPr>
        <w:t xml:space="preserve">powyższa nota </w:t>
      </w:r>
      <w:r w:rsidR="00B270A3" w:rsidRPr="00BB7C9E">
        <w:rPr>
          <w:color w:val="000000" w:themeColor="text1"/>
          <w:sz w:val="18"/>
          <w:szCs w:val="18"/>
        </w:rPr>
        <w:t xml:space="preserve">obejmuje należności od KDPW CCP w kwocie </w:t>
      </w:r>
      <w:r w:rsidR="00386897" w:rsidRPr="00BB7C9E">
        <w:rPr>
          <w:color w:val="000000" w:themeColor="text1"/>
          <w:sz w:val="18"/>
          <w:szCs w:val="18"/>
        </w:rPr>
        <w:t>49</w:t>
      </w:r>
      <w:r w:rsidR="0050341C" w:rsidRPr="00BB7C9E">
        <w:rPr>
          <w:color w:val="000000" w:themeColor="text1"/>
          <w:sz w:val="18"/>
          <w:szCs w:val="18"/>
        </w:rPr>
        <w:t> </w:t>
      </w:r>
      <w:r w:rsidR="00386897" w:rsidRPr="00BB7C9E">
        <w:rPr>
          <w:color w:val="000000" w:themeColor="text1"/>
          <w:sz w:val="18"/>
          <w:szCs w:val="18"/>
        </w:rPr>
        <w:t>898</w:t>
      </w:r>
      <w:r w:rsidR="0050341C" w:rsidRPr="00BB7C9E">
        <w:rPr>
          <w:color w:val="000000" w:themeColor="text1"/>
          <w:sz w:val="18"/>
          <w:szCs w:val="18"/>
        </w:rPr>
        <w:t xml:space="preserve"> </w:t>
      </w:r>
      <w:r w:rsidR="00B270A3" w:rsidRPr="00BB7C9E">
        <w:rPr>
          <w:color w:val="000000" w:themeColor="text1"/>
          <w:sz w:val="18"/>
          <w:szCs w:val="18"/>
        </w:rPr>
        <w:t>tys.</w:t>
      </w:r>
      <w:r w:rsidR="00702748" w:rsidRPr="00BB7C9E">
        <w:rPr>
          <w:color w:val="000000" w:themeColor="text1"/>
          <w:sz w:val="18"/>
          <w:szCs w:val="18"/>
        </w:rPr>
        <w:t xml:space="preserve"> zł w związku z </w:t>
      </w:r>
      <w:r w:rsidR="00B270A3" w:rsidRPr="00BB7C9E">
        <w:rPr>
          <w:color w:val="000000" w:themeColor="text1"/>
          <w:sz w:val="18"/>
          <w:szCs w:val="18"/>
        </w:rPr>
        <w:t>działalnością Biura Maklerskiego</w:t>
      </w:r>
      <w:r w:rsidR="00AC25CE">
        <w:rPr>
          <w:color w:val="000000" w:themeColor="text1"/>
          <w:sz w:val="18"/>
          <w:szCs w:val="18"/>
        </w:rPr>
        <w:t xml:space="preserve"> (31 grudnia 2018 roku</w:t>
      </w:r>
      <w:r w:rsidR="00702748" w:rsidRPr="00BB7C9E">
        <w:rPr>
          <w:color w:val="000000" w:themeColor="text1"/>
          <w:sz w:val="18"/>
          <w:szCs w:val="18"/>
        </w:rPr>
        <w:t xml:space="preserve"> – 174 563 tys. zł)</w:t>
      </w:r>
      <w:r w:rsidR="00B270A3" w:rsidRPr="00BB7C9E">
        <w:rPr>
          <w:color w:val="000000" w:themeColor="text1"/>
          <w:sz w:val="18"/>
          <w:szCs w:val="18"/>
        </w:rPr>
        <w:t>.</w:t>
      </w:r>
    </w:p>
    <w:p w14:paraId="30065303" w14:textId="66DA4256" w:rsidR="00B270A3" w:rsidRPr="00BB7C9E" w:rsidRDefault="00B270A3" w:rsidP="00B270A3">
      <w:pPr>
        <w:spacing w:before="120"/>
        <w:jc w:val="both"/>
        <w:rPr>
          <w:rFonts w:cs="Tahoma"/>
          <w:bCs/>
          <w:color w:val="000000" w:themeColor="text1"/>
          <w:sz w:val="18"/>
          <w:szCs w:val="18"/>
        </w:rPr>
      </w:pPr>
      <w:r w:rsidRPr="00BB7C9E">
        <w:rPr>
          <w:color w:val="000000" w:themeColor="text1"/>
          <w:sz w:val="18"/>
          <w:szCs w:val="18"/>
        </w:rPr>
        <w:t xml:space="preserve">Ponadto, </w:t>
      </w:r>
      <w:r w:rsidR="00126509" w:rsidRPr="00BB7C9E">
        <w:rPr>
          <w:color w:val="000000" w:themeColor="text1"/>
          <w:sz w:val="18"/>
          <w:szCs w:val="18"/>
        </w:rPr>
        <w:t xml:space="preserve">na dzień 31 grudnia 2019 roku </w:t>
      </w:r>
      <w:r w:rsidRPr="00BB7C9E">
        <w:rPr>
          <w:color w:val="000000" w:themeColor="text1"/>
          <w:sz w:val="18"/>
          <w:szCs w:val="18"/>
        </w:rPr>
        <w:t xml:space="preserve">pozycja „pozostałe należności kredytowe” obejmuje zabezpieczenia złożone przez Grupę pod transakcje pochodne w kwocie </w:t>
      </w:r>
      <w:r w:rsidR="00026EA1" w:rsidRPr="00BB7C9E">
        <w:rPr>
          <w:color w:val="000000" w:themeColor="text1"/>
          <w:sz w:val="18"/>
          <w:szCs w:val="18"/>
        </w:rPr>
        <w:t>27</w:t>
      </w:r>
      <w:r w:rsidR="0050341C" w:rsidRPr="00BB7C9E">
        <w:rPr>
          <w:color w:val="000000" w:themeColor="text1"/>
          <w:sz w:val="18"/>
          <w:szCs w:val="18"/>
        </w:rPr>
        <w:t> </w:t>
      </w:r>
      <w:r w:rsidR="00026EA1" w:rsidRPr="00BB7C9E">
        <w:rPr>
          <w:color w:val="000000" w:themeColor="text1"/>
          <w:sz w:val="18"/>
          <w:szCs w:val="18"/>
        </w:rPr>
        <w:t>234</w:t>
      </w:r>
      <w:r w:rsidR="0050341C" w:rsidRPr="00BB7C9E">
        <w:rPr>
          <w:color w:val="000000" w:themeColor="text1"/>
          <w:sz w:val="18"/>
          <w:szCs w:val="18"/>
        </w:rPr>
        <w:t xml:space="preserve"> </w:t>
      </w:r>
      <w:r w:rsidRPr="00BB7C9E">
        <w:rPr>
          <w:color w:val="000000" w:themeColor="text1"/>
          <w:sz w:val="18"/>
          <w:szCs w:val="18"/>
        </w:rPr>
        <w:t>tys. zł (</w:t>
      </w:r>
      <w:r w:rsidR="00573111" w:rsidRPr="00BB7C9E">
        <w:rPr>
          <w:color w:val="000000" w:themeColor="text1"/>
          <w:sz w:val="18"/>
          <w:szCs w:val="18"/>
        </w:rPr>
        <w:t>Nota 34</w:t>
      </w:r>
      <w:r w:rsidRPr="00BB7C9E">
        <w:rPr>
          <w:color w:val="000000" w:themeColor="text1"/>
          <w:sz w:val="18"/>
          <w:szCs w:val="18"/>
        </w:rPr>
        <w:t>)</w:t>
      </w:r>
      <w:r w:rsidR="00AC25CE">
        <w:rPr>
          <w:color w:val="000000" w:themeColor="text1"/>
          <w:sz w:val="18"/>
          <w:szCs w:val="18"/>
        </w:rPr>
        <w:t xml:space="preserve"> (31 grudnia 2018 roku</w:t>
      </w:r>
      <w:r w:rsidR="00126509" w:rsidRPr="00BB7C9E">
        <w:rPr>
          <w:color w:val="000000" w:themeColor="text1"/>
          <w:sz w:val="18"/>
          <w:szCs w:val="18"/>
        </w:rPr>
        <w:t xml:space="preserve"> – 15 844 tys. zł)</w:t>
      </w:r>
      <w:r w:rsidRPr="00BB7C9E">
        <w:rPr>
          <w:color w:val="000000" w:themeColor="text1"/>
          <w:sz w:val="18"/>
          <w:szCs w:val="18"/>
        </w:rPr>
        <w:t>.</w:t>
      </w:r>
    </w:p>
    <w:p w14:paraId="04006C3D" w14:textId="2D99CB4C" w:rsidR="00CA5E84" w:rsidRPr="00BB7C9E" w:rsidRDefault="00CA5E84">
      <w:pPr>
        <w:rPr>
          <w:color w:val="000000" w:themeColor="text1"/>
          <w:sz w:val="18"/>
          <w:szCs w:val="18"/>
        </w:rPr>
      </w:pPr>
      <w:r w:rsidRPr="00BB7C9E">
        <w:rPr>
          <w:color w:val="000000" w:themeColor="text1"/>
          <w:sz w:val="18"/>
          <w:szCs w:val="18"/>
        </w:rPr>
        <w:br w:type="page"/>
      </w:r>
    </w:p>
    <w:p w14:paraId="6C7B7488" w14:textId="2736FFCF" w:rsidR="00963571" w:rsidRPr="00BB7C9E" w:rsidRDefault="00963571" w:rsidP="00963571">
      <w:pPr>
        <w:jc w:val="both"/>
        <w:rPr>
          <w:color w:val="000000" w:themeColor="text1"/>
          <w:sz w:val="18"/>
          <w:szCs w:val="18"/>
        </w:rPr>
      </w:pPr>
      <w:r w:rsidRPr="00BB7C9E">
        <w:rPr>
          <w:color w:val="000000" w:themeColor="text1"/>
          <w:sz w:val="18"/>
          <w:szCs w:val="18"/>
        </w:rPr>
        <w:lastRenderedPageBreak/>
        <w:t>Kredyty i pożyczki obejmują należności z tytułu leasingu finansowego.</w:t>
      </w:r>
    </w:p>
    <w:p w14:paraId="7DAB556E" w14:textId="4D6DBA58" w:rsidR="00B270A3" w:rsidRPr="007A1BC2" w:rsidRDefault="00B270A3" w:rsidP="00611606">
      <w:pPr>
        <w:jc w:val="both"/>
        <w:rPr>
          <w:noProof/>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11606" w:rsidRPr="00611606" w14:paraId="6E3943B2" w14:textId="77777777" w:rsidTr="008B6C78">
        <w:trPr>
          <w:trHeight w:val="284"/>
        </w:trPr>
        <w:tc>
          <w:tcPr>
            <w:tcW w:w="6747" w:type="dxa"/>
            <w:tcBorders>
              <w:top w:val="nil"/>
              <w:left w:val="nil"/>
              <w:right w:val="single" w:sz="8" w:space="0" w:color="FFFFFF"/>
            </w:tcBorders>
            <w:shd w:val="clear" w:color="000000" w:fill="0077BD"/>
            <w:noWrap/>
            <w:vAlign w:val="center"/>
            <w:hideMark/>
          </w:tcPr>
          <w:p w14:paraId="2EA208F4" w14:textId="77777777" w:rsidR="00611606" w:rsidRPr="00611606" w:rsidRDefault="00611606" w:rsidP="00611606">
            <w:pPr>
              <w:rPr>
                <w:rFonts w:cs="Calibri"/>
                <w:color w:val="99CCFF"/>
                <w:sz w:val="13"/>
                <w:szCs w:val="13"/>
              </w:rPr>
            </w:pPr>
            <w:r w:rsidRPr="00611606">
              <w:rPr>
                <w:rFonts w:cs="Calibri"/>
                <w:color w:val="99CCFF"/>
                <w:sz w:val="13"/>
                <w:szCs w:val="13"/>
              </w:rPr>
              <w:t> </w:t>
            </w:r>
          </w:p>
        </w:tc>
        <w:tc>
          <w:tcPr>
            <w:tcW w:w="1418" w:type="dxa"/>
            <w:tcBorders>
              <w:top w:val="nil"/>
              <w:left w:val="nil"/>
              <w:right w:val="nil"/>
            </w:tcBorders>
            <w:shd w:val="clear" w:color="000000" w:fill="0077BD"/>
            <w:noWrap/>
            <w:vAlign w:val="center"/>
            <w:hideMark/>
          </w:tcPr>
          <w:p w14:paraId="193E4EE3" w14:textId="77777777" w:rsidR="00611606" w:rsidRPr="00611606" w:rsidRDefault="00611606" w:rsidP="00611606">
            <w:pPr>
              <w:jc w:val="right"/>
              <w:rPr>
                <w:rFonts w:cs="Calibri"/>
                <w:b/>
                <w:bCs/>
                <w:color w:val="FFFFFF"/>
                <w:sz w:val="13"/>
                <w:szCs w:val="13"/>
              </w:rPr>
            </w:pPr>
            <w:r w:rsidRPr="00611606">
              <w:rPr>
                <w:rFonts w:cs="Calibri"/>
                <w:b/>
                <w:bCs/>
                <w:color w:val="FFFFFF"/>
                <w:sz w:val="13"/>
                <w:szCs w:val="13"/>
              </w:rPr>
              <w:t>31.12.2019</w:t>
            </w:r>
          </w:p>
        </w:tc>
        <w:tc>
          <w:tcPr>
            <w:tcW w:w="1418" w:type="dxa"/>
            <w:tcBorders>
              <w:top w:val="nil"/>
              <w:left w:val="single" w:sz="8" w:space="0" w:color="FFFFFF"/>
              <w:right w:val="nil"/>
            </w:tcBorders>
            <w:shd w:val="clear" w:color="000000" w:fill="0077BD"/>
            <w:noWrap/>
            <w:vAlign w:val="center"/>
            <w:hideMark/>
          </w:tcPr>
          <w:p w14:paraId="06651091" w14:textId="77777777" w:rsidR="00611606" w:rsidRPr="00611606" w:rsidRDefault="00611606" w:rsidP="00611606">
            <w:pPr>
              <w:jc w:val="right"/>
              <w:rPr>
                <w:rFonts w:cs="Calibri"/>
                <w:b/>
                <w:bCs/>
                <w:color w:val="FFFFFF"/>
                <w:sz w:val="13"/>
                <w:szCs w:val="13"/>
              </w:rPr>
            </w:pPr>
            <w:r w:rsidRPr="00611606">
              <w:rPr>
                <w:rFonts w:cs="Calibri"/>
                <w:b/>
                <w:bCs/>
                <w:color w:val="FFFFFF"/>
                <w:sz w:val="13"/>
                <w:szCs w:val="13"/>
              </w:rPr>
              <w:t>31.12.2018</w:t>
            </w:r>
          </w:p>
        </w:tc>
      </w:tr>
      <w:tr w:rsidR="00ED5300" w:rsidRPr="00BB7C9E" w14:paraId="0FEFFED9" w14:textId="77777777" w:rsidTr="008B6C78">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25E6E646"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Inwestycja leasingowa brutto z tytułu leasingu finansowego o terminie zapadalności:</w:t>
            </w:r>
          </w:p>
        </w:tc>
        <w:tc>
          <w:tcPr>
            <w:tcW w:w="1418" w:type="dxa"/>
            <w:tcBorders>
              <w:left w:val="single" w:sz="8" w:space="0" w:color="0077BD"/>
              <w:bottom w:val="single" w:sz="8" w:space="0" w:color="0077BD"/>
              <w:right w:val="nil"/>
            </w:tcBorders>
            <w:shd w:val="clear" w:color="auto" w:fill="auto"/>
            <w:noWrap/>
            <w:vAlign w:val="center"/>
          </w:tcPr>
          <w:p w14:paraId="261CC068" w14:textId="3A45D9DC"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12 548 843</w:t>
            </w:r>
          </w:p>
        </w:tc>
        <w:tc>
          <w:tcPr>
            <w:tcW w:w="1418" w:type="dxa"/>
            <w:tcBorders>
              <w:left w:val="single" w:sz="8" w:space="0" w:color="0077BD"/>
              <w:bottom w:val="single" w:sz="8" w:space="0" w:color="0077BD"/>
              <w:right w:val="nil"/>
            </w:tcBorders>
            <w:shd w:val="clear" w:color="auto" w:fill="auto"/>
            <w:noWrap/>
            <w:vAlign w:val="center"/>
            <w:hideMark/>
          </w:tcPr>
          <w:p w14:paraId="380E195E" w14:textId="012EF506"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11 361 707</w:t>
            </w:r>
          </w:p>
        </w:tc>
      </w:tr>
      <w:tr w:rsidR="00ED5300" w:rsidRPr="00BB7C9E" w14:paraId="6BE52FFD" w14:textId="77777777" w:rsidTr="00ED04A4">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5107A31" w14:textId="6B7406FC" w:rsidR="00ED5300" w:rsidRPr="00BB7C9E" w:rsidRDefault="00680895" w:rsidP="00ED5300">
            <w:pPr>
              <w:rPr>
                <w:rFonts w:cs="Calibri"/>
                <w:color w:val="000000" w:themeColor="text1"/>
                <w:sz w:val="13"/>
                <w:szCs w:val="13"/>
              </w:rPr>
            </w:pPr>
            <w:r>
              <w:rPr>
                <w:rFonts w:cs="Calibri"/>
                <w:color w:val="000000" w:themeColor="text1"/>
                <w:sz w:val="13"/>
                <w:szCs w:val="13"/>
              </w:rPr>
              <w:t>- d</w:t>
            </w:r>
            <w:r w:rsidR="00ED5300" w:rsidRPr="00BB7C9E">
              <w:rPr>
                <w:rFonts w:cs="Calibri"/>
                <w:color w:val="000000" w:themeColor="text1"/>
                <w:sz w:val="13"/>
                <w:szCs w:val="13"/>
              </w:rPr>
              <w:t>o 1 roku</w:t>
            </w:r>
          </w:p>
        </w:tc>
        <w:tc>
          <w:tcPr>
            <w:tcW w:w="1418" w:type="dxa"/>
            <w:tcBorders>
              <w:top w:val="nil"/>
              <w:left w:val="single" w:sz="8" w:space="0" w:color="0077BD"/>
              <w:bottom w:val="single" w:sz="4" w:space="0" w:color="0077BD"/>
              <w:right w:val="nil"/>
            </w:tcBorders>
            <w:shd w:val="clear" w:color="auto" w:fill="auto"/>
            <w:noWrap/>
            <w:vAlign w:val="center"/>
          </w:tcPr>
          <w:p w14:paraId="642C557B" w14:textId="580D4AE2"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4 477 115</w:t>
            </w:r>
          </w:p>
        </w:tc>
        <w:tc>
          <w:tcPr>
            <w:tcW w:w="1418" w:type="dxa"/>
            <w:tcBorders>
              <w:top w:val="nil"/>
              <w:left w:val="single" w:sz="8" w:space="0" w:color="0077BD"/>
              <w:bottom w:val="single" w:sz="4" w:space="0" w:color="0077BD"/>
              <w:right w:val="nil"/>
            </w:tcBorders>
            <w:shd w:val="clear" w:color="auto" w:fill="auto"/>
            <w:noWrap/>
            <w:vAlign w:val="center"/>
            <w:hideMark/>
          </w:tcPr>
          <w:p w14:paraId="13D84BEB" w14:textId="1500BF31"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4 095 825</w:t>
            </w:r>
          </w:p>
        </w:tc>
      </w:tr>
      <w:tr w:rsidR="00ED5300" w:rsidRPr="00BB7C9E" w14:paraId="0966C41F" w14:textId="77777777" w:rsidTr="003E2B9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26EF0E6" w14:textId="4147C5BA"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1 roku do 2 lat</w:t>
            </w:r>
          </w:p>
        </w:tc>
        <w:tc>
          <w:tcPr>
            <w:tcW w:w="1418" w:type="dxa"/>
            <w:tcBorders>
              <w:top w:val="nil"/>
              <w:left w:val="single" w:sz="8" w:space="0" w:color="0077BD"/>
              <w:bottom w:val="single" w:sz="4" w:space="0" w:color="0077BD"/>
              <w:right w:val="nil"/>
            </w:tcBorders>
            <w:shd w:val="clear" w:color="auto" w:fill="auto"/>
            <w:noWrap/>
            <w:vAlign w:val="center"/>
          </w:tcPr>
          <w:p w14:paraId="051C884B" w14:textId="788E94F5"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3 028 537</w:t>
            </w:r>
          </w:p>
        </w:tc>
        <w:tc>
          <w:tcPr>
            <w:tcW w:w="1418" w:type="dxa"/>
            <w:tcBorders>
              <w:top w:val="nil"/>
              <w:left w:val="single" w:sz="8" w:space="0" w:color="0077BD"/>
              <w:bottom w:val="single" w:sz="4" w:space="0" w:color="0077BD"/>
              <w:right w:val="nil"/>
            </w:tcBorders>
            <w:shd w:val="clear" w:color="auto" w:fill="auto"/>
            <w:noWrap/>
            <w:vAlign w:val="center"/>
            <w:hideMark/>
          </w:tcPr>
          <w:p w14:paraId="32A54577" w14:textId="36395E58"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2 756 293</w:t>
            </w:r>
          </w:p>
        </w:tc>
      </w:tr>
      <w:tr w:rsidR="00ED5300" w:rsidRPr="00BB7C9E" w14:paraId="560A4065" w14:textId="77777777" w:rsidTr="00520AAC">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tcPr>
          <w:p w14:paraId="79A7C7CD" w14:textId="7F8BAE0F"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2 roku do 3 lat</w:t>
            </w:r>
          </w:p>
        </w:tc>
        <w:tc>
          <w:tcPr>
            <w:tcW w:w="1418" w:type="dxa"/>
            <w:tcBorders>
              <w:top w:val="nil"/>
              <w:left w:val="single" w:sz="8" w:space="0" w:color="0077BD"/>
              <w:bottom w:val="single" w:sz="4" w:space="0" w:color="0077BD"/>
              <w:right w:val="nil"/>
            </w:tcBorders>
            <w:shd w:val="clear" w:color="auto" w:fill="auto"/>
            <w:vAlign w:val="center"/>
          </w:tcPr>
          <w:p w14:paraId="34A90EC4" w14:textId="5F7F1458"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2 447 779</w:t>
            </w:r>
          </w:p>
        </w:tc>
        <w:tc>
          <w:tcPr>
            <w:tcW w:w="1418" w:type="dxa"/>
            <w:tcBorders>
              <w:top w:val="nil"/>
              <w:left w:val="single" w:sz="8" w:space="0" w:color="0077BD"/>
              <w:bottom w:val="single" w:sz="4" w:space="0" w:color="0077BD"/>
              <w:right w:val="nil"/>
            </w:tcBorders>
            <w:shd w:val="clear" w:color="auto" w:fill="auto"/>
            <w:vAlign w:val="center"/>
          </w:tcPr>
          <w:p w14:paraId="54A84274" w14:textId="0D788239"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1 909 696</w:t>
            </w:r>
          </w:p>
        </w:tc>
      </w:tr>
      <w:tr w:rsidR="00ED5300" w:rsidRPr="00BB7C9E" w14:paraId="700F4268" w14:textId="77777777" w:rsidTr="00520AAC">
        <w:trPr>
          <w:trHeight w:val="284"/>
        </w:trPr>
        <w:tc>
          <w:tcPr>
            <w:tcW w:w="6747" w:type="dxa"/>
            <w:tcBorders>
              <w:top w:val="nil"/>
              <w:left w:val="nil"/>
              <w:bottom w:val="single" w:sz="4" w:space="0" w:color="0077BD"/>
              <w:right w:val="single" w:sz="8" w:space="0" w:color="0077BD"/>
            </w:tcBorders>
            <w:shd w:val="clear" w:color="auto" w:fill="auto"/>
            <w:vAlign w:val="center"/>
          </w:tcPr>
          <w:p w14:paraId="01385D6C" w14:textId="18C5C590"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3 roku do 4 lat</w:t>
            </w:r>
          </w:p>
        </w:tc>
        <w:tc>
          <w:tcPr>
            <w:tcW w:w="1418" w:type="dxa"/>
            <w:tcBorders>
              <w:top w:val="nil"/>
              <w:left w:val="single" w:sz="8" w:space="0" w:color="0077BD"/>
              <w:bottom w:val="single" w:sz="4" w:space="0" w:color="0077BD"/>
              <w:right w:val="nil"/>
            </w:tcBorders>
            <w:shd w:val="clear" w:color="auto" w:fill="auto"/>
            <w:vAlign w:val="center"/>
          </w:tcPr>
          <w:p w14:paraId="6A64AE55" w14:textId="22FC1039"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1 281 767</w:t>
            </w:r>
          </w:p>
        </w:tc>
        <w:tc>
          <w:tcPr>
            <w:tcW w:w="1418" w:type="dxa"/>
            <w:tcBorders>
              <w:top w:val="nil"/>
              <w:left w:val="single" w:sz="8" w:space="0" w:color="0077BD"/>
              <w:bottom w:val="single" w:sz="4" w:space="0" w:color="0077BD"/>
              <w:right w:val="nil"/>
            </w:tcBorders>
            <w:shd w:val="clear" w:color="auto" w:fill="auto"/>
            <w:vAlign w:val="center"/>
          </w:tcPr>
          <w:p w14:paraId="3380D244" w14:textId="1A08439E"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1 311 850</w:t>
            </w:r>
          </w:p>
        </w:tc>
      </w:tr>
      <w:tr w:rsidR="00ED5300" w:rsidRPr="00BB7C9E" w14:paraId="550382BB" w14:textId="77777777" w:rsidTr="00520AAC">
        <w:trPr>
          <w:trHeight w:val="284"/>
        </w:trPr>
        <w:tc>
          <w:tcPr>
            <w:tcW w:w="6747" w:type="dxa"/>
            <w:tcBorders>
              <w:top w:val="nil"/>
              <w:left w:val="nil"/>
              <w:bottom w:val="single" w:sz="4" w:space="0" w:color="0077BD"/>
              <w:right w:val="single" w:sz="8" w:space="0" w:color="0077BD"/>
            </w:tcBorders>
            <w:shd w:val="clear" w:color="auto" w:fill="auto"/>
            <w:vAlign w:val="center"/>
          </w:tcPr>
          <w:p w14:paraId="7F759008" w14:textId="27959D97"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4 roku do 5 lat</w:t>
            </w:r>
          </w:p>
        </w:tc>
        <w:tc>
          <w:tcPr>
            <w:tcW w:w="1418" w:type="dxa"/>
            <w:tcBorders>
              <w:top w:val="nil"/>
              <w:left w:val="single" w:sz="8" w:space="0" w:color="0077BD"/>
              <w:bottom w:val="single" w:sz="4" w:space="0" w:color="0077BD"/>
              <w:right w:val="nil"/>
            </w:tcBorders>
            <w:shd w:val="clear" w:color="auto" w:fill="auto"/>
            <w:vAlign w:val="center"/>
          </w:tcPr>
          <w:p w14:paraId="5C2387E7" w14:textId="6702E23D"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665 683</w:t>
            </w:r>
          </w:p>
        </w:tc>
        <w:tc>
          <w:tcPr>
            <w:tcW w:w="1418" w:type="dxa"/>
            <w:tcBorders>
              <w:top w:val="nil"/>
              <w:left w:val="single" w:sz="8" w:space="0" w:color="0077BD"/>
              <w:bottom w:val="single" w:sz="4" w:space="0" w:color="0077BD"/>
              <w:right w:val="nil"/>
            </w:tcBorders>
            <w:shd w:val="clear" w:color="auto" w:fill="auto"/>
            <w:vAlign w:val="center"/>
          </w:tcPr>
          <w:p w14:paraId="5A2192A4" w14:textId="5AFD2E92"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669 222</w:t>
            </w:r>
          </w:p>
        </w:tc>
      </w:tr>
      <w:tr w:rsidR="00ED5300" w:rsidRPr="00BB7C9E" w14:paraId="45ABC978" w14:textId="77777777" w:rsidTr="003E2B9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67E7D3A" w14:textId="667CA15B"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5 lat</w:t>
            </w:r>
          </w:p>
        </w:tc>
        <w:tc>
          <w:tcPr>
            <w:tcW w:w="1418" w:type="dxa"/>
            <w:tcBorders>
              <w:top w:val="nil"/>
              <w:left w:val="single" w:sz="8" w:space="0" w:color="0077BD"/>
              <w:bottom w:val="single" w:sz="4" w:space="0" w:color="0077BD"/>
              <w:right w:val="nil"/>
            </w:tcBorders>
            <w:shd w:val="clear" w:color="auto" w:fill="auto"/>
            <w:vAlign w:val="center"/>
          </w:tcPr>
          <w:p w14:paraId="7D96FB19" w14:textId="4B91C022"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647 962</w:t>
            </w:r>
          </w:p>
        </w:tc>
        <w:tc>
          <w:tcPr>
            <w:tcW w:w="1418" w:type="dxa"/>
            <w:tcBorders>
              <w:top w:val="nil"/>
              <w:left w:val="single" w:sz="8" w:space="0" w:color="0077BD"/>
              <w:bottom w:val="single" w:sz="4" w:space="0" w:color="0077BD"/>
              <w:right w:val="nil"/>
            </w:tcBorders>
            <w:shd w:val="clear" w:color="auto" w:fill="auto"/>
            <w:vAlign w:val="center"/>
            <w:hideMark/>
          </w:tcPr>
          <w:p w14:paraId="242BF6E7" w14:textId="4E01ED73"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618 821</w:t>
            </w:r>
          </w:p>
        </w:tc>
      </w:tr>
      <w:tr w:rsidR="00ED5300" w:rsidRPr="00BB7C9E" w14:paraId="2ED4E791" w14:textId="77777777" w:rsidTr="003E2B9A">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6A5CDA5B" w14:textId="77777777" w:rsidR="00ED5300" w:rsidRPr="00BB7C9E" w:rsidRDefault="00ED5300" w:rsidP="00ED5300">
            <w:pPr>
              <w:rPr>
                <w:rFonts w:cs="Calibri"/>
                <w:color w:val="000000" w:themeColor="text1"/>
                <w:sz w:val="13"/>
                <w:szCs w:val="13"/>
              </w:rPr>
            </w:pPr>
            <w:r w:rsidRPr="00BB7C9E">
              <w:rPr>
                <w:rFonts w:cs="Calibri"/>
                <w:color w:val="000000" w:themeColor="text1"/>
                <w:sz w:val="13"/>
                <w:szCs w:val="13"/>
              </w:rPr>
              <w:t>Niezrealizowane przyszłe przychody finansowe z tytułu leasingu finansowego (wielkość ujemna)</w:t>
            </w:r>
          </w:p>
        </w:tc>
        <w:tc>
          <w:tcPr>
            <w:tcW w:w="1418" w:type="dxa"/>
            <w:tcBorders>
              <w:top w:val="nil"/>
              <w:left w:val="single" w:sz="8" w:space="0" w:color="0077BD"/>
              <w:bottom w:val="single" w:sz="8" w:space="0" w:color="0077BD"/>
              <w:right w:val="nil"/>
            </w:tcBorders>
            <w:shd w:val="clear" w:color="auto" w:fill="auto"/>
            <w:vAlign w:val="center"/>
          </w:tcPr>
          <w:p w14:paraId="0731C621" w14:textId="6D021A2B"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(917 168)</w:t>
            </w:r>
          </w:p>
        </w:tc>
        <w:tc>
          <w:tcPr>
            <w:tcW w:w="1418" w:type="dxa"/>
            <w:tcBorders>
              <w:top w:val="nil"/>
              <w:left w:val="single" w:sz="8" w:space="0" w:color="0077BD"/>
              <w:bottom w:val="single" w:sz="8" w:space="0" w:color="0077BD"/>
              <w:right w:val="nil"/>
            </w:tcBorders>
            <w:shd w:val="clear" w:color="auto" w:fill="auto"/>
            <w:vAlign w:val="center"/>
            <w:hideMark/>
          </w:tcPr>
          <w:p w14:paraId="1B8A9723" w14:textId="5BCFBEEF"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(806 147)</w:t>
            </w:r>
          </w:p>
        </w:tc>
      </w:tr>
      <w:tr w:rsidR="00ED5300" w:rsidRPr="00BB7C9E" w14:paraId="6E66AC96" w14:textId="77777777" w:rsidTr="003E2B9A">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8C474F3"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Inwestycja leasingowa netto z tytułu leasingu finansowego</w:t>
            </w:r>
          </w:p>
        </w:tc>
        <w:tc>
          <w:tcPr>
            <w:tcW w:w="1418" w:type="dxa"/>
            <w:tcBorders>
              <w:top w:val="nil"/>
              <w:left w:val="single" w:sz="8" w:space="0" w:color="0077BD"/>
              <w:bottom w:val="single" w:sz="8" w:space="0" w:color="0077BD"/>
              <w:right w:val="nil"/>
            </w:tcBorders>
            <w:shd w:val="clear" w:color="auto" w:fill="auto"/>
            <w:noWrap/>
            <w:vAlign w:val="center"/>
          </w:tcPr>
          <w:p w14:paraId="63C76EDC" w14:textId="7096EBB5"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11 631 675</w:t>
            </w:r>
          </w:p>
        </w:tc>
        <w:tc>
          <w:tcPr>
            <w:tcW w:w="1418" w:type="dxa"/>
            <w:tcBorders>
              <w:top w:val="nil"/>
              <w:left w:val="single" w:sz="8" w:space="0" w:color="0077BD"/>
              <w:bottom w:val="single" w:sz="8" w:space="0" w:color="0077BD"/>
              <w:right w:val="nil"/>
            </w:tcBorders>
            <w:shd w:val="clear" w:color="auto" w:fill="auto"/>
            <w:noWrap/>
            <w:vAlign w:val="center"/>
            <w:hideMark/>
          </w:tcPr>
          <w:p w14:paraId="74F4CCEE" w14:textId="109F19E5"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10 555 560</w:t>
            </w:r>
          </w:p>
        </w:tc>
      </w:tr>
      <w:tr w:rsidR="00611606" w:rsidRPr="001D77DF" w14:paraId="255BBB0B" w14:textId="77777777" w:rsidTr="00B405A2">
        <w:trPr>
          <w:trHeight w:val="20"/>
        </w:trPr>
        <w:tc>
          <w:tcPr>
            <w:tcW w:w="6747" w:type="dxa"/>
            <w:tcBorders>
              <w:top w:val="nil"/>
              <w:left w:val="nil"/>
              <w:bottom w:val="nil"/>
              <w:right w:val="nil"/>
            </w:tcBorders>
            <w:shd w:val="clear" w:color="000000" w:fill="FFFFFF"/>
            <w:vAlign w:val="center"/>
          </w:tcPr>
          <w:p w14:paraId="73F7E682" w14:textId="19767A60" w:rsidR="00611606" w:rsidRPr="001D77DF" w:rsidRDefault="00611606" w:rsidP="00611606">
            <w:pPr>
              <w:rPr>
                <w:rFonts w:cs="Calibri"/>
                <w:b/>
                <w:bCs/>
                <w:color w:val="000000" w:themeColor="text1"/>
                <w:sz w:val="8"/>
                <w:szCs w:val="8"/>
              </w:rPr>
            </w:pPr>
          </w:p>
        </w:tc>
        <w:tc>
          <w:tcPr>
            <w:tcW w:w="1418" w:type="dxa"/>
            <w:tcBorders>
              <w:top w:val="nil"/>
              <w:left w:val="nil"/>
              <w:bottom w:val="nil"/>
              <w:right w:val="nil"/>
            </w:tcBorders>
            <w:shd w:val="clear" w:color="auto" w:fill="auto"/>
            <w:noWrap/>
            <w:vAlign w:val="center"/>
          </w:tcPr>
          <w:p w14:paraId="0852F859" w14:textId="06E72678" w:rsidR="00611606" w:rsidRPr="001D77DF" w:rsidRDefault="00611606" w:rsidP="00611606">
            <w:pPr>
              <w:jc w:val="right"/>
              <w:rPr>
                <w:rFonts w:cs="Calibri"/>
                <w:b/>
                <w:bCs/>
                <w:color w:val="000000" w:themeColor="text1"/>
                <w:sz w:val="8"/>
                <w:szCs w:val="8"/>
              </w:rPr>
            </w:pPr>
          </w:p>
        </w:tc>
        <w:tc>
          <w:tcPr>
            <w:tcW w:w="1418" w:type="dxa"/>
            <w:tcBorders>
              <w:top w:val="nil"/>
              <w:left w:val="nil"/>
              <w:bottom w:val="nil"/>
              <w:right w:val="nil"/>
            </w:tcBorders>
            <w:shd w:val="clear" w:color="000000" w:fill="FFFFFF"/>
            <w:noWrap/>
            <w:vAlign w:val="center"/>
          </w:tcPr>
          <w:p w14:paraId="720E3031" w14:textId="623EACC2" w:rsidR="00611606" w:rsidRPr="001D77DF" w:rsidRDefault="00611606" w:rsidP="00611606">
            <w:pPr>
              <w:jc w:val="right"/>
              <w:rPr>
                <w:rFonts w:cs="Calibri"/>
                <w:b/>
                <w:bCs/>
                <w:color w:val="000000" w:themeColor="text1"/>
                <w:sz w:val="8"/>
                <w:szCs w:val="8"/>
              </w:rPr>
            </w:pPr>
          </w:p>
        </w:tc>
      </w:tr>
      <w:tr w:rsidR="00ED5300" w:rsidRPr="00BB7C9E" w14:paraId="32421416" w14:textId="77777777" w:rsidTr="00B405A2">
        <w:trPr>
          <w:trHeight w:val="284"/>
        </w:trPr>
        <w:tc>
          <w:tcPr>
            <w:tcW w:w="6747" w:type="dxa"/>
            <w:tcBorders>
              <w:top w:val="single" w:sz="8" w:space="0" w:color="0077BD"/>
              <w:left w:val="nil"/>
              <w:bottom w:val="single" w:sz="8" w:space="0" w:color="0077BD"/>
              <w:right w:val="nil"/>
            </w:tcBorders>
            <w:shd w:val="clear" w:color="000000" w:fill="FFFFFF"/>
            <w:vAlign w:val="center"/>
            <w:hideMark/>
          </w:tcPr>
          <w:p w14:paraId="4B23568F"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Inwestycja leasingowa netto z tytułu leasingu finansowego o terminie zapadalności:</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5BC8351" w14:textId="44BC45F6"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11 631 675</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4C068C52" w14:textId="4CF5033D"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10 555 560</w:t>
            </w:r>
          </w:p>
        </w:tc>
      </w:tr>
      <w:tr w:rsidR="00ED5300" w:rsidRPr="00BB7C9E" w14:paraId="243573F4" w14:textId="77777777" w:rsidTr="003E2B9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C0951DB" w14:textId="0D58AB22" w:rsidR="00ED5300" w:rsidRPr="00BB7C9E" w:rsidRDefault="00680895" w:rsidP="00ED5300">
            <w:pPr>
              <w:rPr>
                <w:rFonts w:cs="Calibri"/>
                <w:color w:val="000000" w:themeColor="text1"/>
                <w:sz w:val="13"/>
                <w:szCs w:val="13"/>
              </w:rPr>
            </w:pPr>
            <w:r>
              <w:rPr>
                <w:rFonts w:cs="Calibri"/>
                <w:color w:val="000000" w:themeColor="text1"/>
                <w:sz w:val="13"/>
                <w:szCs w:val="13"/>
              </w:rPr>
              <w:t>- d</w:t>
            </w:r>
            <w:r w:rsidR="00ED5300" w:rsidRPr="00BB7C9E">
              <w:rPr>
                <w:rFonts w:cs="Calibri"/>
                <w:color w:val="000000" w:themeColor="text1"/>
                <w:sz w:val="13"/>
                <w:szCs w:val="13"/>
              </w:rPr>
              <w:t>o 1 roku</w:t>
            </w:r>
          </w:p>
        </w:tc>
        <w:tc>
          <w:tcPr>
            <w:tcW w:w="1418" w:type="dxa"/>
            <w:tcBorders>
              <w:top w:val="nil"/>
              <w:left w:val="single" w:sz="8" w:space="0" w:color="0077BD"/>
              <w:bottom w:val="single" w:sz="4" w:space="0" w:color="0077BD"/>
              <w:right w:val="nil"/>
            </w:tcBorders>
            <w:shd w:val="clear" w:color="auto" w:fill="auto"/>
            <w:vAlign w:val="center"/>
          </w:tcPr>
          <w:p w14:paraId="7C960B6F" w14:textId="4362A684"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4 108 257</w:t>
            </w:r>
          </w:p>
        </w:tc>
        <w:tc>
          <w:tcPr>
            <w:tcW w:w="1418" w:type="dxa"/>
            <w:tcBorders>
              <w:top w:val="nil"/>
              <w:left w:val="single" w:sz="8" w:space="0" w:color="0077BD"/>
              <w:bottom w:val="single" w:sz="4" w:space="0" w:color="0077BD"/>
              <w:right w:val="nil"/>
            </w:tcBorders>
            <w:shd w:val="clear" w:color="auto" w:fill="auto"/>
            <w:vAlign w:val="center"/>
            <w:hideMark/>
          </w:tcPr>
          <w:p w14:paraId="2341891A" w14:textId="644D17A9"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3 783 358</w:t>
            </w:r>
          </w:p>
        </w:tc>
      </w:tr>
      <w:tr w:rsidR="00ED5300" w:rsidRPr="00BB7C9E" w14:paraId="476E25A5" w14:textId="77777777" w:rsidTr="00520AAC">
        <w:trPr>
          <w:trHeight w:val="284"/>
        </w:trPr>
        <w:tc>
          <w:tcPr>
            <w:tcW w:w="6747" w:type="dxa"/>
            <w:tcBorders>
              <w:top w:val="nil"/>
              <w:left w:val="nil"/>
              <w:bottom w:val="single" w:sz="4" w:space="0" w:color="0077BD"/>
              <w:right w:val="single" w:sz="8" w:space="0" w:color="0077BD"/>
            </w:tcBorders>
            <w:shd w:val="clear" w:color="auto" w:fill="auto"/>
            <w:vAlign w:val="center"/>
          </w:tcPr>
          <w:p w14:paraId="2480F74C" w14:textId="310EF258"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1 roku do 2 lat</w:t>
            </w:r>
          </w:p>
        </w:tc>
        <w:tc>
          <w:tcPr>
            <w:tcW w:w="1418" w:type="dxa"/>
            <w:tcBorders>
              <w:top w:val="nil"/>
              <w:left w:val="single" w:sz="8" w:space="0" w:color="0077BD"/>
              <w:bottom w:val="single" w:sz="4" w:space="0" w:color="0077BD"/>
              <w:right w:val="nil"/>
            </w:tcBorders>
            <w:shd w:val="clear" w:color="auto" w:fill="auto"/>
            <w:vAlign w:val="center"/>
          </w:tcPr>
          <w:p w14:paraId="029BE6FF" w14:textId="7629F735"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2 793 006</w:t>
            </w:r>
          </w:p>
        </w:tc>
        <w:tc>
          <w:tcPr>
            <w:tcW w:w="1418" w:type="dxa"/>
            <w:tcBorders>
              <w:top w:val="nil"/>
              <w:left w:val="single" w:sz="8" w:space="0" w:color="0077BD"/>
              <w:bottom w:val="single" w:sz="4" w:space="0" w:color="0077BD"/>
              <w:right w:val="nil"/>
            </w:tcBorders>
            <w:shd w:val="clear" w:color="auto" w:fill="auto"/>
            <w:vAlign w:val="center"/>
          </w:tcPr>
          <w:p w14:paraId="31F96395" w14:textId="17806541"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2 552 601</w:t>
            </w:r>
          </w:p>
        </w:tc>
      </w:tr>
      <w:tr w:rsidR="00ED5300" w:rsidRPr="00BB7C9E" w14:paraId="00C1FCA1" w14:textId="77777777" w:rsidTr="00520AAC">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tcPr>
          <w:p w14:paraId="03E94FAC" w14:textId="31B763C3"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2 roku do 3 lat</w:t>
            </w:r>
          </w:p>
        </w:tc>
        <w:tc>
          <w:tcPr>
            <w:tcW w:w="1418" w:type="dxa"/>
            <w:tcBorders>
              <w:top w:val="nil"/>
              <w:left w:val="single" w:sz="8" w:space="0" w:color="0077BD"/>
              <w:bottom w:val="single" w:sz="4" w:space="0" w:color="0077BD"/>
              <w:right w:val="nil"/>
            </w:tcBorders>
            <w:shd w:val="clear" w:color="auto" w:fill="auto"/>
            <w:vAlign w:val="center"/>
          </w:tcPr>
          <w:p w14:paraId="28A23CFF" w14:textId="63FE1441"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2 296 320</w:t>
            </w:r>
          </w:p>
        </w:tc>
        <w:tc>
          <w:tcPr>
            <w:tcW w:w="1418" w:type="dxa"/>
            <w:tcBorders>
              <w:top w:val="nil"/>
              <w:left w:val="single" w:sz="8" w:space="0" w:color="0077BD"/>
              <w:bottom w:val="single" w:sz="4" w:space="0" w:color="0077BD"/>
              <w:right w:val="nil"/>
            </w:tcBorders>
            <w:shd w:val="clear" w:color="auto" w:fill="auto"/>
            <w:vAlign w:val="center"/>
          </w:tcPr>
          <w:p w14:paraId="730ACF5C" w14:textId="51AB0F8B"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1 789 443</w:t>
            </w:r>
          </w:p>
        </w:tc>
      </w:tr>
      <w:tr w:rsidR="00ED5300" w:rsidRPr="00BB7C9E" w14:paraId="43B4E73B" w14:textId="77777777" w:rsidTr="00520AAC">
        <w:trPr>
          <w:trHeight w:val="284"/>
        </w:trPr>
        <w:tc>
          <w:tcPr>
            <w:tcW w:w="6747" w:type="dxa"/>
            <w:tcBorders>
              <w:top w:val="nil"/>
              <w:left w:val="nil"/>
              <w:bottom w:val="single" w:sz="4" w:space="0" w:color="0077BD"/>
              <w:right w:val="single" w:sz="8" w:space="0" w:color="0077BD"/>
            </w:tcBorders>
            <w:shd w:val="clear" w:color="auto" w:fill="auto"/>
            <w:vAlign w:val="center"/>
          </w:tcPr>
          <w:p w14:paraId="0602778A" w14:textId="1D53CD3C"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3 roku do 4 lat</w:t>
            </w:r>
          </w:p>
        </w:tc>
        <w:tc>
          <w:tcPr>
            <w:tcW w:w="1418" w:type="dxa"/>
            <w:tcBorders>
              <w:top w:val="nil"/>
              <w:left w:val="single" w:sz="8" w:space="0" w:color="0077BD"/>
              <w:bottom w:val="single" w:sz="4" w:space="0" w:color="0077BD"/>
              <w:right w:val="nil"/>
            </w:tcBorders>
            <w:shd w:val="clear" w:color="auto" w:fill="auto"/>
            <w:vAlign w:val="center"/>
          </w:tcPr>
          <w:p w14:paraId="27B09737" w14:textId="1071D315"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1 213 184</w:t>
            </w:r>
          </w:p>
        </w:tc>
        <w:tc>
          <w:tcPr>
            <w:tcW w:w="1418" w:type="dxa"/>
            <w:tcBorders>
              <w:top w:val="nil"/>
              <w:left w:val="single" w:sz="8" w:space="0" w:color="0077BD"/>
              <w:bottom w:val="single" w:sz="4" w:space="0" w:color="0077BD"/>
              <w:right w:val="nil"/>
            </w:tcBorders>
            <w:shd w:val="clear" w:color="auto" w:fill="auto"/>
            <w:vAlign w:val="center"/>
          </w:tcPr>
          <w:p w14:paraId="3CA5E7A8" w14:textId="28EC4075"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1 231 100</w:t>
            </w:r>
          </w:p>
        </w:tc>
      </w:tr>
      <w:tr w:rsidR="00ED5300" w:rsidRPr="00BB7C9E" w14:paraId="18E74702" w14:textId="77777777" w:rsidTr="003E2B9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1AE1263" w14:textId="35115FE7"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4 roku do 5 lat</w:t>
            </w:r>
          </w:p>
        </w:tc>
        <w:tc>
          <w:tcPr>
            <w:tcW w:w="1418" w:type="dxa"/>
            <w:tcBorders>
              <w:top w:val="nil"/>
              <w:left w:val="single" w:sz="8" w:space="0" w:color="0077BD"/>
              <w:bottom w:val="single" w:sz="4" w:space="0" w:color="0077BD"/>
              <w:right w:val="nil"/>
            </w:tcBorders>
            <w:shd w:val="clear" w:color="auto" w:fill="auto"/>
            <w:vAlign w:val="center"/>
          </w:tcPr>
          <w:p w14:paraId="7E042306" w14:textId="41547F56"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630 089</w:t>
            </w:r>
          </w:p>
        </w:tc>
        <w:tc>
          <w:tcPr>
            <w:tcW w:w="1418" w:type="dxa"/>
            <w:tcBorders>
              <w:top w:val="nil"/>
              <w:left w:val="single" w:sz="8" w:space="0" w:color="0077BD"/>
              <w:bottom w:val="single" w:sz="4" w:space="0" w:color="0077BD"/>
              <w:right w:val="nil"/>
            </w:tcBorders>
            <w:shd w:val="clear" w:color="auto" w:fill="auto"/>
            <w:vAlign w:val="center"/>
            <w:hideMark/>
          </w:tcPr>
          <w:p w14:paraId="7FC08CD2" w14:textId="317BAF5B"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639 834</w:t>
            </w:r>
          </w:p>
        </w:tc>
      </w:tr>
      <w:tr w:rsidR="00ED5300" w:rsidRPr="00BB7C9E" w14:paraId="01299D18" w14:textId="77777777" w:rsidTr="003E2B9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B9BCECC" w14:textId="18BB6030" w:rsidR="00ED5300" w:rsidRPr="00BB7C9E" w:rsidRDefault="00680895" w:rsidP="00ED5300">
            <w:pPr>
              <w:rPr>
                <w:rFonts w:cs="Calibri"/>
                <w:color w:val="000000" w:themeColor="text1"/>
                <w:sz w:val="13"/>
                <w:szCs w:val="13"/>
              </w:rPr>
            </w:pPr>
            <w:r>
              <w:rPr>
                <w:rFonts w:cs="Calibri"/>
                <w:color w:val="000000" w:themeColor="text1"/>
                <w:sz w:val="13"/>
                <w:szCs w:val="13"/>
              </w:rPr>
              <w:t>- p</w:t>
            </w:r>
            <w:r w:rsidR="00ED5300" w:rsidRPr="00BB7C9E">
              <w:rPr>
                <w:rFonts w:cs="Calibri"/>
                <w:color w:val="000000" w:themeColor="text1"/>
                <w:sz w:val="13"/>
                <w:szCs w:val="13"/>
              </w:rPr>
              <w:t>owyżej 5 lat</w:t>
            </w:r>
          </w:p>
        </w:tc>
        <w:tc>
          <w:tcPr>
            <w:tcW w:w="1418" w:type="dxa"/>
            <w:tcBorders>
              <w:top w:val="nil"/>
              <w:left w:val="single" w:sz="8" w:space="0" w:color="0077BD"/>
              <w:bottom w:val="single" w:sz="8" w:space="0" w:color="0077BD"/>
              <w:right w:val="nil"/>
            </w:tcBorders>
            <w:shd w:val="clear" w:color="auto" w:fill="auto"/>
            <w:vAlign w:val="center"/>
          </w:tcPr>
          <w:p w14:paraId="2359555B" w14:textId="1D57BE4C"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590 819</w:t>
            </w:r>
          </w:p>
        </w:tc>
        <w:tc>
          <w:tcPr>
            <w:tcW w:w="1418" w:type="dxa"/>
            <w:tcBorders>
              <w:top w:val="nil"/>
              <w:left w:val="single" w:sz="8" w:space="0" w:color="0077BD"/>
              <w:bottom w:val="single" w:sz="8" w:space="0" w:color="0077BD"/>
              <w:right w:val="nil"/>
            </w:tcBorders>
            <w:shd w:val="clear" w:color="auto" w:fill="auto"/>
            <w:vAlign w:val="center"/>
            <w:hideMark/>
          </w:tcPr>
          <w:p w14:paraId="352C579B" w14:textId="1D7AF798" w:rsidR="00ED5300" w:rsidRPr="00ED5300" w:rsidRDefault="00ED5300" w:rsidP="00ED5300">
            <w:pPr>
              <w:jc w:val="right"/>
              <w:rPr>
                <w:rFonts w:cs="Calibri"/>
                <w:color w:val="000000" w:themeColor="text1"/>
                <w:sz w:val="13"/>
                <w:szCs w:val="13"/>
              </w:rPr>
            </w:pPr>
            <w:r w:rsidRPr="00ED5300">
              <w:rPr>
                <w:rFonts w:cs="Calibri"/>
                <w:color w:val="000000" w:themeColor="text1"/>
                <w:sz w:val="13"/>
                <w:szCs w:val="13"/>
              </w:rPr>
              <w:t>559 224</w:t>
            </w:r>
          </w:p>
        </w:tc>
      </w:tr>
      <w:tr w:rsidR="00ED5300" w:rsidRPr="00BB7C9E" w14:paraId="24E312F2" w14:textId="77777777" w:rsidTr="003E2B9A">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347C55A5"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Inwestycja leasingowa netto z tytułu leasingu finansowego</w:t>
            </w:r>
          </w:p>
        </w:tc>
        <w:tc>
          <w:tcPr>
            <w:tcW w:w="1418" w:type="dxa"/>
            <w:tcBorders>
              <w:top w:val="nil"/>
              <w:left w:val="single" w:sz="8" w:space="0" w:color="0077BD"/>
              <w:bottom w:val="single" w:sz="8" w:space="0" w:color="0077BD"/>
              <w:right w:val="nil"/>
            </w:tcBorders>
            <w:shd w:val="clear" w:color="auto" w:fill="auto"/>
            <w:noWrap/>
            <w:vAlign w:val="center"/>
          </w:tcPr>
          <w:p w14:paraId="20EE7010" w14:textId="716706D6"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11 631 675</w:t>
            </w:r>
          </w:p>
        </w:tc>
        <w:tc>
          <w:tcPr>
            <w:tcW w:w="1418" w:type="dxa"/>
            <w:tcBorders>
              <w:top w:val="nil"/>
              <w:left w:val="single" w:sz="8" w:space="0" w:color="0077BD"/>
              <w:bottom w:val="single" w:sz="8" w:space="0" w:color="0077BD"/>
              <w:right w:val="nil"/>
            </w:tcBorders>
            <w:shd w:val="clear" w:color="auto" w:fill="auto"/>
            <w:noWrap/>
            <w:vAlign w:val="center"/>
            <w:hideMark/>
          </w:tcPr>
          <w:p w14:paraId="764DE1F9" w14:textId="39EA2C64"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10 555 560</w:t>
            </w:r>
          </w:p>
        </w:tc>
      </w:tr>
      <w:tr w:rsidR="00ED5300" w:rsidRPr="00BB7C9E" w14:paraId="0EC2EC4A" w14:textId="77777777" w:rsidTr="003E2B9A">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65A84FD"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Wartość odpisów z tytułu utraty wartości należności z tytułu leasingu finansowego</w:t>
            </w:r>
          </w:p>
        </w:tc>
        <w:tc>
          <w:tcPr>
            <w:tcW w:w="1418" w:type="dxa"/>
            <w:tcBorders>
              <w:top w:val="nil"/>
              <w:left w:val="single" w:sz="8" w:space="0" w:color="0077BD"/>
              <w:bottom w:val="single" w:sz="8" w:space="0" w:color="0077BD"/>
              <w:right w:val="nil"/>
            </w:tcBorders>
            <w:shd w:val="clear" w:color="auto" w:fill="auto"/>
            <w:noWrap/>
            <w:vAlign w:val="center"/>
          </w:tcPr>
          <w:p w14:paraId="49ACA4CB" w14:textId="4618A41C"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(289 832)</w:t>
            </w:r>
          </w:p>
        </w:tc>
        <w:tc>
          <w:tcPr>
            <w:tcW w:w="1418" w:type="dxa"/>
            <w:tcBorders>
              <w:top w:val="nil"/>
              <w:left w:val="single" w:sz="8" w:space="0" w:color="0077BD"/>
              <w:bottom w:val="single" w:sz="8" w:space="0" w:color="0077BD"/>
              <w:right w:val="nil"/>
            </w:tcBorders>
            <w:shd w:val="clear" w:color="auto" w:fill="auto"/>
            <w:noWrap/>
            <w:vAlign w:val="center"/>
            <w:hideMark/>
          </w:tcPr>
          <w:p w14:paraId="7F3AD323" w14:textId="10872CD7"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(243 170)</w:t>
            </w:r>
          </w:p>
        </w:tc>
      </w:tr>
      <w:tr w:rsidR="00ED5300" w:rsidRPr="00BB7C9E" w14:paraId="063B12EC" w14:textId="77777777" w:rsidTr="003E2B9A">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66EF8F0C"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Wartość bilansowa netto należności z tytułu leasingu finansowego</w:t>
            </w:r>
          </w:p>
        </w:tc>
        <w:tc>
          <w:tcPr>
            <w:tcW w:w="1418" w:type="dxa"/>
            <w:tcBorders>
              <w:top w:val="nil"/>
              <w:left w:val="single" w:sz="8" w:space="0" w:color="0077BD"/>
              <w:bottom w:val="single" w:sz="8" w:space="0" w:color="0077BD"/>
              <w:right w:val="nil"/>
            </w:tcBorders>
            <w:shd w:val="clear" w:color="auto" w:fill="auto"/>
            <w:noWrap/>
            <w:vAlign w:val="center"/>
          </w:tcPr>
          <w:p w14:paraId="0F4FBA18" w14:textId="3F9DA92C"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11 341 843</w:t>
            </w:r>
          </w:p>
        </w:tc>
        <w:tc>
          <w:tcPr>
            <w:tcW w:w="1418" w:type="dxa"/>
            <w:tcBorders>
              <w:top w:val="nil"/>
              <w:left w:val="single" w:sz="8" w:space="0" w:color="0077BD"/>
              <w:bottom w:val="single" w:sz="8" w:space="0" w:color="0077BD"/>
              <w:right w:val="nil"/>
            </w:tcBorders>
            <w:shd w:val="clear" w:color="auto" w:fill="auto"/>
            <w:noWrap/>
            <w:vAlign w:val="center"/>
            <w:hideMark/>
          </w:tcPr>
          <w:p w14:paraId="00A2F26E" w14:textId="418EA579"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10 312 390</w:t>
            </w:r>
          </w:p>
        </w:tc>
      </w:tr>
      <w:tr w:rsidR="00611606" w:rsidRPr="001D77DF" w14:paraId="3B7A7FA8" w14:textId="77777777" w:rsidTr="00B405A2">
        <w:trPr>
          <w:trHeight w:val="20"/>
        </w:trPr>
        <w:tc>
          <w:tcPr>
            <w:tcW w:w="6747" w:type="dxa"/>
            <w:tcBorders>
              <w:top w:val="nil"/>
              <w:left w:val="nil"/>
              <w:bottom w:val="nil"/>
              <w:right w:val="nil"/>
            </w:tcBorders>
            <w:shd w:val="clear" w:color="000000" w:fill="FFFFFF"/>
            <w:vAlign w:val="center"/>
          </w:tcPr>
          <w:p w14:paraId="23519A9D" w14:textId="29FB2865" w:rsidR="00611606" w:rsidRPr="001D77DF" w:rsidRDefault="00611606" w:rsidP="00611606">
            <w:pPr>
              <w:rPr>
                <w:rFonts w:cs="Calibri"/>
                <w:color w:val="000000" w:themeColor="text1"/>
                <w:sz w:val="8"/>
                <w:szCs w:val="8"/>
              </w:rPr>
            </w:pPr>
          </w:p>
        </w:tc>
        <w:tc>
          <w:tcPr>
            <w:tcW w:w="1418" w:type="dxa"/>
            <w:tcBorders>
              <w:top w:val="nil"/>
              <w:left w:val="nil"/>
              <w:bottom w:val="nil"/>
              <w:right w:val="nil"/>
            </w:tcBorders>
            <w:shd w:val="clear" w:color="auto" w:fill="auto"/>
            <w:vAlign w:val="center"/>
          </w:tcPr>
          <w:p w14:paraId="0CA544D3" w14:textId="7CF0FEEC" w:rsidR="00611606" w:rsidRPr="001D77DF" w:rsidRDefault="00611606" w:rsidP="00611606">
            <w:pPr>
              <w:rPr>
                <w:rFonts w:cs="Calibri"/>
                <w:color w:val="000000" w:themeColor="text1"/>
                <w:sz w:val="8"/>
                <w:szCs w:val="8"/>
              </w:rPr>
            </w:pPr>
          </w:p>
        </w:tc>
        <w:tc>
          <w:tcPr>
            <w:tcW w:w="1418" w:type="dxa"/>
            <w:tcBorders>
              <w:top w:val="nil"/>
              <w:left w:val="nil"/>
              <w:bottom w:val="nil"/>
              <w:right w:val="nil"/>
            </w:tcBorders>
            <w:shd w:val="clear" w:color="000000" w:fill="FFFFFF"/>
            <w:vAlign w:val="center"/>
          </w:tcPr>
          <w:p w14:paraId="3B4E074A" w14:textId="297FE183" w:rsidR="00611606" w:rsidRPr="001D77DF" w:rsidRDefault="00611606" w:rsidP="00611606">
            <w:pPr>
              <w:rPr>
                <w:rFonts w:cs="Calibri"/>
                <w:color w:val="000000" w:themeColor="text1"/>
                <w:sz w:val="8"/>
                <w:szCs w:val="8"/>
              </w:rPr>
            </w:pPr>
          </w:p>
        </w:tc>
      </w:tr>
      <w:tr w:rsidR="00ED5300" w:rsidRPr="00BB7C9E" w14:paraId="3D10C2A7" w14:textId="77777777" w:rsidTr="00ED04A4">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6580230D" w14:textId="77777777" w:rsidR="00ED5300" w:rsidRPr="00BB7C9E" w:rsidRDefault="00ED5300" w:rsidP="00ED5300">
            <w:pPr>
              <w:rPr>
                <w:rFonts w:cs="Calibri"/>
                <w:b/>
                <w:bCs/>
                <w:color w:val="000000" w:themeColor="text1"/>
                <w:sz w:val="13"/>
                <w:szCs w:val="13"/>
              </w:rPr>
            </w:pPr>
            <w:r w:rsidRPr="00BB7C9E">
              <w:rPr>
                <w:rFonts w:cs="Calibri"/>
                <w:b/>
                <w:bCs/>
                <w:color w:val="000000" w:themeColor="text1"/>
                <w:sz w:val="13"/>
                <w:szCs w:val="13"/>
              </w:rPr>
              <w:t>Niegwarantowane wartości końcowe przypadające leasingodawcy</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FCD8D73" w14:textId="052D8B3F" w:rsidR="00ED5300" w:rsidRPr="00ED5300" w:rsidRDefault="005E2C2A" w:rsidP="00ED5300">
            <w:pPr>
              <w:jc w:val="right"/>
              <w:rPr>
                <w:rFonts w:cs="Calibri"/>
                <w:b/>
                <w:bCs/>
                <w:color w:val="000000" w:themeColor="text1"/>
                <w:sz w:val="13"/>
                <w:szCs w:val="13"/>
              </w:rPr>
            </w:pPr>
            <w:r>
              <w:rPr>
                <w:rFonts w:cs="Calibri"/>
                <w:b/>
                <w:bCs/>
                <w:color w:val="000000" w:themeColor="text1"/>
                <w:sz w:val="13"/>
                <w:szCs w:val="13"/>
              </w:rPr>
              <w:t>1 325 027</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0BB86BEB" w14:textId="1D290757" w:rsidR="00ED5300" w:rsidRPr="00ED5300" w:rsidRDefault="00ED5300" w:rsidP="00ED5300">
            <w:pPr>
              <w:jc w:val="right"/>
              <w:rPr>
                <w:rFonts w:cs="Calibri"/>
                <w:b/>
                <w:bCs/>
                <w:color w:val="000000" w:themeColor="text1"/>
                <w:sz w:val="13"/>
                <w:szCs w:val="13"/>
              </w:rPr>
            </w:pPr>
            <w:r w:rsidRPr="00ED5300">
              <w:rPr>
                <w:rFonts w:cs="Calibri"/>
                <w:b/>
                <w:bCs/>
                <w:color w:val="000000" w:themeColor="text1"/>
                <w:sz w:val="13"/>
                <w:szCs w:val="13"/>
              </w:rPr>
              <w:t>1 292 750</w:t>
            </w:r>
          </w:p>
        </w:tc>
      </w:tr>
    </w:tbl>
    <w:p w14:paraId="45DC9A35" w14:textId="77777777" w:rsidR="00FC1C9E" w:rsidRPr="00BB7C9E" w:rsidRDefault="00FC1C9E" w:rsidP="00611606">
      <w:pPr>
        <w:spacing w:before="240" w:after="120"/>
        <w:jc w:val="both"/>
        <w:rPr>
          <w:b/>
          <w:noProof/>
          <w:color w:val="000000" w:themeColor="text1"/>
          <w:sz w:val="18"/>
          <w:szCs w:val="18"/>
        </w:rPr>
      </w:pPr>
      <w:r w:rsidRPr="00BB7C9E">
        <w:rPr>
          <w:b/>
          <w:noProof/>
          <w:color w:val="000000" w:themeColor="text1"/>
          <w:sz w:val="18"/>
          <w:szCs w:val="18"/>
        </w:rPr>
        <w:t>Struktura walutowa kredytów hipotecznych i mieszkaniowych</w:t>
      </w:r>
    </w:p>
    <w:tbl>
      <w:tblPr>
        <w:tblW w:w="9583" w:type="dxa"/>
        <w:tblLayout w:type="fixed"/>
        <w:tblCellMar>
          <w:left w:w="70" w:type="dxa"/>
          <w:right w:w="70" w:type="dxa"/>
        </w:tblCellMar>
        <w:tblLook w:val="04A0" w:firstRow="1" w:lastRow="0" w:firstColumn="1" w:lastColumn="0" w:noHBand="0" w:noVBand="1"/>
      </w:tblPr>
      <w:tblGrid>
        <w:gridCol w:w="6747"/>
        <w:gridCol w:w="1418"/>
        <w:gridCol w:w="1418"/>
      </w:tblGrid>
      <w:tr w:rsidR="00611606" w:rsidRPr="00611606" w14:paraId="10FAE7C2" w14:textId="77777777" w:rsidTr="00FA6A8C">
        <w:trPr>
          <w:trHeight w:val="284"/>
        </w:trPr>
        <w:tc>
          <w:tcPr>
            <w:tcW w:w="6747" w:type="dxa"/>
            <w:tcBorders>
              <w:top w:val="nil"/>
              <w:left w:val="nil"/>
              <w:bottom w:val="nil"/>
              <w:right w:val="single" w:sz="8" w:space="0" w:color="FFFFFF"/>
            </w:tcBorders>
            <w:shd w:val="clear" w:color="000000" w:fill="0077BD"/>
            <w:noWrap/>
            <w:vAlign w:val="center"/>
            <w:hideMark/>
          </w:tcPr>
          <w:p w14:paraId="64D3809D" w14:textId="66A8CA44" w:rsidR="00611606" w:rsidRPr="00611606" w:rsidRDefault="00611606" w:rsidP="00611606">
            <w:pPr>
              <w:rPr>
                <w:rFonts w:cs="Calibri"/>
                <w:color w:val="99CCFF"/>
                <w:sz w:val="13"/>
                <w:szCs w:val="13"/>
              </w:rPr>
            </w:pPr>
          </w:p>
        </w:tc>
        <w:tc>
          <w:tcPr>
            <w:tcW w:w="1418" w:type="dxa"/>
            <w:tcBorders>
              <w:top w:val="nil"/>
              <w:left w:val="nil"/>
              <w:bottom w:val="nil"/>
              <w:right w:val="nil"/>
            </w:tcBorders>
            <w:shd w:val="clear" w:color="000000" w:fill="0077BD"/>
            <w:vAlign w:val="center"/>
            <w:hideMark/>
          </w:tcPr>
          <w:p w14:paraId="20F9EF43" w14:textId="77777777" w:rsidR="00611606" w:rsidRPr="00611606" w:rsidRDefault="00611606" w:rsidP="00611606">
            <w:pPr>
              <w:jc w:val="right"/>
              <w:rPr>
                <w:rFonts w:cs="Calibri"/>
                <w:b/>
                <w:bCs/>
                <w:color w:val="FFFFFF"/>
                <w:sz w:val="13"/>
                <w:szCs w:val="13"/>
              </w:rPr>
            </w:pPr>
            <w:r w:rsidRPr="00611606">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vAlign w:val="center"/>
            <w:hideMark/>
          </w:tcPr>
          <w:p w14:paraId="2F5CAA38" w14:textId="77777777" w:rsidR="00611606" w:rsidRPr="00611606" w:rsidRDefault="00611606" w:rsidP="00611606">
            <w:pPr>
              <w:jc w:val="right"/>
              <w:rPr>
                <w:rFonts w:cs="Calibri"/>
                <w:b/>
                <w:bCs/>
                <w:color w:val="FFFFFF"/>
                <w:sz w:val="13"/>
                <w:szCs w:val="13"/>
              </w:rPr>
            </w:pPr>
            <w:r w:rsidRPr="00611606">
              <w:rPr>
                <w:rFonts w:cs="Calibri"/>
                <w:b/>
                <w:bCs/>
                <w:color w:val="FFFFFF"/>
                <w:sz w:val="13"/>
                <w:szCs w:val="13"/>
              </w:rPr>
              <w:t>31.12.2018</w:t>
            </w:r>
          </w:p>
        </w:tc>
      </w:tr>
      <w:tr w:rsidR="00FA6A8C" w:rsidRPr="00BB7C9E" w14:paraId="0EE01BC8" w14:textId="77777777" w:rsidTr="00FA6A8C">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0499C6E9" w14:textId="37572E4D" w:rsidR="00FA6A8C" w:rsidRPr="00BB7C9E" w:rsidRDefault="00FA6A8C" w:rsidP="00FA6A8C">
            <w:pPr>
              <w:rPr>
                <w:rFonts w:cs="Calibri"/>
                <w:b/>
                <w:bCs/>
                <w:color w:val="000000" w:themeColor="text1"/>
                <w:sz w:val="13"/>
                <w:szCs w:val="13"/>
              </w:rPr>
            </w:pPr>
            <w:r w:rsidRPr="00BB7C9E">
              <w:rPr>
                <w:rFonts w:cs="Calibri"/>
                <w:b/>
                <w:bCs/>
                <w:color w:val="000000" w:themeColor="text1"/>
                <w:sz w:val="13"/>
                <w:szCs w:val="13"/>
              </w:rPr>
              <w:t xml:space="preserve">Kredyty hipoteczne i mieszkaniowe </w:t>
            </w:r>
            <w:r w:rsidR="00ED5300">
              <w:rPr>
                <w:rFonts w:cs="Calibri"/>
                <w:b/>
                <w:bCs/>
                <w:color w:val="000000" w:themeColor="text1"/>
                <w:sz w:val="13"/>
                <w:szCs w:val="13"/>
              </w:rPr>
              <w:t xml:space="preserve">netto </w:t>
            </w:r>
            <w:r w:rsidR="002E7F42">
              <w:rPr>
                <w:rFonts w:cs="Calibri"/>
                <w:b/>
                <w:bCs/>
                <w:color w:val="000000" w:themeColor="text1"/>
                <w:sz w:val="13"/>
                <w:szCs w:val="13"/>
              </w:rPr>
              <w:t>udzielone osobom fizycznym</w:t>
            </w:r>
            <w:r w:rsidRPr="00BB7C9E">
              <w:rPr>
                <w:rFonts w:cs="Calibri"/>
                <w:b/>
                <w:bCs/>
                <w:color w:val="000000" w:themeColor="text1"/>
                <w:sz w:val="13"/>
                <w:szCs w:val="13"/>
              </w:rPr>
              <w:t xml:space="preserve"> (w tys. zł), w tym:</w:t>
            </w:r>
          </w:p>
        </w:tc>
        <w:tc>
          <w:tcPr>
            <w:tcW w:w="1418" w:type="dxa"/>
            <w:tcBorders>
              <w:top w:val="nil"/>
              <w:left w:val="single" w:sz="8" w:space="0" w:color="0077BD"/>
              <w:bottom w:val="single" w:sz="8" w:space="0" w:color="0077BD"/>
              <w:right w:val="nil"/>
            </w:tcBorders>
            <w:shd w:val="clear" w:color="auto" w:fill="auto"/>
            <w:noWrap/>
            <w:vAlign w:val="center"/>
            <w:hideMark/>
          </w:tcPr>
          <w:p w14:paraId="1A708C6C" w14:textId="2F2E1429" w:rsidR="00FA6A8C" w:rsidRPr="00BB7C9E" w:rsidRDefault="00FA6A8C" w:rsidP="00FA6A8C">
            <w:pPr>
              <w:jc w:val="right"/>
              <w:rPr>
                <w:rFonts w:cs="Calibri"/>
                <w:b/>
                <w:bCs/>
                <w:color w:val="000000" w:themeColor="text1"/>
                <w:sz w:val="13"/>
                <w:szCs w:val="13"/>
              </w:rPr>
            </w:pPr>
            <w:r w:rsidRPr="00BB7C9E">
              <w:rPr>
                <w:rFonts w:cs="Calibri"/>
                <w:b/>
                <w:bCs/>
                <w:color w:val="000000" w:themeColor="text1"/>
                <w:sz w:val="13"/>
                <w:szCs w:val="13"/>
              </w:rPr>
              <w:t>38 564 108</w:t>
            </w:r>
          </w:p>
        </w:tc>
        <w:tc>
          <w:tcPr>
            <w:tcW w:w="1418" w:type="dxa"/>
            <w:tcBorders>
              <w:top w:val="nil"/>
              <w:left w:val="single" w:sz="8" w:space="0" w:color="0077BD"/>
              <w:bottom w:val="single" w:sz="8" w:space="0" w:color="0077BD"/>
              <w:right w:val="nil"/>
            </w:tcBorders>
            <w:shd w:val="clear" w:color="auto" w:fill="auto"/>
            <w:noWrap/>
            <w:vAlign w:val="center"/>
            <w:hideMark/>
          </w:tcPr>
          <w:p w14:paraId="6AC7D26A" w14:textId="3F309268" w:rsidR="00FA6A8C" w:rsidRPr="00BB7C9E" w:rsidRDefault="00FA6A8C" w:rsidP="00FA6A8C">
            <w:pPr>
              <w:jc w:val="right"/>
              <w:rPr>
                <w:rFonts w:cs="Calibri"/>
                <w:b/>
                <w:bCs/>
                <w:color w:val="000000" w:themeColor="text1"/>
                <w:sz w:val="13"/>
                <w:szCs w:val="13"/>
              </w:rPr>
            </w:pPr>
            <w:r w:rsidRPr="00BB7C9E">
              <w:rPr>
                <w:rFonts w:cs="Calibri"/>
                <w:b/>
                <w:bCs/>
                <w:color w:val="000000" w:themeColor="text1"/>
                <w:sz w:val="13"/>
                <w:szCs w:val="13"/>
              </w:rPr>
              <w:t>34 243 507</w:t>
            </w:r>
          </w:p>
        </w:tc>
      </w:tr>
      <w:tr w:rsidR="00FA6A8C" w:rsidRPr="00BB7C9E" w14:paraId="22643818" w14:textId="77777777" w:rsidTr="00FA6A8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6967117"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PLN</w:t>
            </w:r>
          </w:p>
        </w:tc>
        <w:tc>
          <w:tcPr>
            <w:tcW w:w="1418" w:type="dxa"/>
            <w:tcBorders>
              <w:top w:val="nil"/>
              <w:left w:val="single" w:sz="8" w:space="0" w:color="0077BD"/>
              <w:bottom w:val="single" w:sz="4" w:space="0" w:color="0077BD"/>
              <w:right w:val="nil"/>
            </w:tcBorders>
            <w:shd w:val="clear" w:color="auto" w:fill="auto"/>
            <w:noWrap/>
            <w:vAlign w:val="center"/>
          </w:tcPr>
          <w:p w14:paraId="147D6A5B" w14:textId="456D87C8"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18 624 049</w:t>
            </w:r>
          </w:p>
        </w:tc>
        <w:tc>
          <w:tcPr>
            <w:tcW w:w="1418" w:type="dxa"/>
            <w:tcBorders>
              <w:top w:val="nil"/>
              <w:left w:val="single" w:sz="8" w:space="0" w:color="0077BD"/>
              <w:bottom w:val="single" w:sz="4" w:space="0" w:color="0077BD"/>
              <w:right w:val="nil"/>
            </w:tcBorders>
            <w:shd w:val="clear" w:color="auto" w:fill="auto"/>
            <w:noWrap/>
            <w:vAlign w:val="center"/>
            <w:hideMark/>
          </w:tcPr>
          <w:p w14:paraId="2A65E739" w14:textId="6E309B0C"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13 358 719</w:t>
            </w:r>
          </w:p>
        </w:tc>
      </w:tr>
      <w:tr w:rsidR="00FA6A8C" w:rsidRPr="00BB7C9E" w14:paraId="4D134180" w14:textId="77777777" w:rsidTr="00FA6A8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9C8C802"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CHF</w:t>
            </w:r>
          </w:p>
        </w:tc>
        <w:tc>
          <w:tcPr>
            <w:tcW w:w="1418" w:type="dxa"/>
            <w:tcBorders>
              <w:top w:val="nil"/>
              <w:left w:val="single" w:sz="8" w:space="0" w:color="0077BD"/>
              <w:bottom w:val="single" w:sz="4" w:space="0" w:color="0077BD"/>
              <w:right w:val="nil"/>
            </w:tcBorders>
            <w:shd w:val="clear" w:color="auto" w:fill="auto"/>
            <w:noWrap/>
            <w:vAlign w:val="center"/>
          </w:tcPr>
          <w:p w14:paraId="26ADE605" w14:textId="59B90A07"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13 561 831</w:t>
            </w:r>
          </w:p>
        </w:tc>
        <w:tc>
          <w:tcPr>
            <w:tcW w:w="1418" w:type="dxa"/>
            <w:tcBorders>
              <w:top w:val="nil"/>
              <w:left w:val="single" w:sz="8" w:space="0" w:color="0077BD"/>
              <w:bottom w:val="single" w:sz="4" w:space="0" w:color="0077BD"/>
              <w:right w:val="nil"/>
            </w:tcBorders>
            <w:shd w:val="clear" w:color="auto" w:fill="auto"/>
            <w:noWrap/>
            <w:vAlign w:val="center"/>
            <w:hideMark/>
          </w:tcPr>
          <w:p w14:paraId="785E19DE" w14:textId="059A9665"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14 409 167</w:t>
            </w:r>
          </w:p>
        </w:tc>
      </w:tr>
      <w:tr w:rsidR="00FA6A8C" w:rsidRPr="00BB7C9E" w14:paraId="0AF454FA" w14:textId="77777777" w:rsidTr="00FA6A8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6C49C0B"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EUR</w:t>
            </w:r>
          </w:p>
        </w:tc>
        <w:tc>
          <w:tcPr>
            <w:tcW w:w="1418" w:type="dxa"/>
            <w:tcBorders>
              <w:top w:val="nil"/>
              <w:left w:val="single" w:sz="8" w:space="0" w:color="0077BD"/>
              <w:bottom w:val="single" w:sz="4" w:space="0" w:color="0077BD"/>
              <w:right w:val="nil"/>
            </w:tcBorders>
            <w:shd w:val="clear" w:color="auto" w:fill="auto"/>
            <w:noWrap/>
            <w:vAlign w:val="center"/>
          </w:tcPr>
          <w:p w14:paraId="6FA35C50" w14:textId="16885FDC"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3 120 555</w:t>
            </w:r>
          </w:p>
        </w:tc>
        <w:tc>
          <w:tcPr>
            <w:tcW w:w="1418" w:type="dxa"/>
            <w:tcBorders>
              <w:top w:val="nil"/>
              <w:left w:val="single" w:sz="8" w:space="0" w:color="0077BD"/>
              <w:bottom w:val="single" w:sz="4" w:space="0" w:color="0077BD"/>
              <w:right w:val="nil"/>
            </w:tcBorders>
            <w:shd w:val="clear" w:color="auto" w:fill="auto"/>
            <w:noWrap/>
            <w:vAlign w:val="center"/>
            <w:hideMark/>
          </w:tcPr>
          <w:p w14:paraId="69194EE3" w14:textId="02FFE895"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3 171 106</w:t>
            </w:r>
          </w:p>
        </w:tc>
      </w:tr>
      <w:tr w:rsidR="00FA6A8C" w:rsidRPr="00BB7C9E" w14:paraId="1D6D3143" w14:textId="77777777" w:rsidTr="00FA6A8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A6CAD9F"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CZK</w:t>
            </w:r>
          </w:p>
        </w:tc>
        <w:tc>
          <w:tcPr>
            <w:tcW w:w="1418" w:type="dxa"/>
            <w:tcBorders>
              <w:top w:val="nil"/>
              <w:left w:val="single" w:sz="8" w:space="0" w:color="0077BD"/>
              <w:bottom w:val="single" w:sz="4" w:space="0" w:color="0077BD"/>
              <w:right w:val="nil"/>
            </w:tcBorders>
            <w:shd w:val="clear" w:color="auto" w:fill="auto"/>
            <w:noWrap/>
            <w:vAlign w:val="center"/>
          </w:tcPr>
          <w:p w14:paraId="164D8C73" w14:textId="2E8A5813"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3 024 539</w:t>
            </w:r>
          </w:p>
        </w:tc>
        <w:tc>
          <w:tcPr>
            <w:tcW w:w="1418" w:type="dxa"/>
            <w:tcBorders>
              <w:top w:val="nil"/>
              <w:left w:val="single" w:sz="8" w:space="0" w:color="0077BD"/>
              <w:bottom w:val="single" w:sz="4" w:space="0" w:color="0077BD"/>
              <w:right w:val="nil"/>
            </w:tcBorders>
            <w:shd w:val="clear" w:color="auto" w:fill="auto"/>
            <w:noWrap/>
            <w:vAlign w:val="center"/>
            <w:hideMark/>
          </w:tcPr>
          <w:p w14:paraId="3811C988" w14:textId="15EC5139"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3 053 157</w:t>
            </w:r>
          </w:p>
        </w:tc>
      </w:tr>
      <w:tr w:rsidR="00FA6A8C" w:rsidRPr="00BB7C9E" w14:paraId="7D16E4D5" w14:textId="77777777" w:rsidTr="00FA6A8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1079C6E"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USD</w:t>
            </w:r>
          </w:p>
        </w:tc>
        <w:tc>
          <w:tcPr>
            <w:tcW w:w="1418" w:type="dxa"/>
            <w:tcBorders>
              <w:top w:val="nil"/>
              <w:left w:val="single" w:sz="8" w:space="0" w:color="0077BD"/>
              <w:bottom w:val="single" w:sz="4" w:space="0" w:color="0077BD"/>
              <w:right w:val="nil"/>
            </w:tcBorders>
            <w:shd w:val="clear" w:color="auto" w:fill="auto"/>
            <w:noWrap/>
            <w:vAlign w:val="center"/>
          </w:tcPr>
          <w:p w14:paraId="1C08C735" w14:textId="25F4C0D7"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206 635</w:t>
            </w:r>
          </w:p>
        </w:tc>
        <w:tc>
          <w:tcPr>
            <w:tcW w:w="1418" w:type="dxa"/>
            <w:tcBorders>
              <w:top w:val="nil"/>
              <w:left w:val="single" w:sz="8" w:space="0" w:color="0077BD"/>
              <w:bottom w:val="single" w:sz="4" w:space="0" w:color="0077BD"/>
              <w:right w:val="nil"/>
            </w:tcBorders>
            <w:shd w:val="clear" w:color="auto" w:fill="auto"/>
            <w:noWrap/>
            <w:vAlign w:val="center"/>
            <w:hideMark/>
          </w:tcPr>
          <w:p w14:paraId="17CF0C48" w14:textId="65DF322D"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227 414</w:t>
            </w:r>
          </w:p>
        </w:tc>
      </w:tr>
      <w:tr w:rsidR="00FA6A8C" w:rsidRPr="00BB7C9E" w14:paraId="3CE00470" w14:textId="77777777" w:rsidTr="00FA6A8C">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255AA30"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pozostałe waluty</w:t>
            </w:r>
          </w:p>
        </w:tc>
        <w:tc>
          <w:tcPr>
            <w:tcW w:w="1418" w:type="dxa"/>
            <w:tcBorders>
              <w:top w:val="nil"/>
              <w:left w:val="single" w:sz="8" w:space="0" w:color="0077BD"/>
              <w:bottom w:val="single" w:sz="8" w:space="0" w:color="0077BD"/>
              <w:right w:val="nil"/>
            </w:tcBorders>
            <w:shd w:val="clear" w:color="auto" w:fill="auto"/>
            <w:noWrap/>
            <w:vAlign w:val="center"/>
          </w:tcPr>
          <w:p w14:paraId="5B6EDDC2" w14:textId="3E94D61E"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26 499</w:t>
            </w:r>
          </w:p>
        </w:tc>
        <w:tc>
          <w:tcPr>
            <w:tcW w:w="1418" w:type="dxa"/>
            <w:tcBorders>
              <w:top w:val="nil"/>
              <w:left w:val="single" w:sz="8" w:space="0" w:color="0077BD"/>
              <w:bottom w:val="single" w:sz="8" w:space="0" w:color="0077BD"/>
              <w:right w:val="nil"/>
            </w:tcBorders>
            <w:shd w:val="clear" w:color="auto" w:fill="auto"/>
            <w:noWrap/>
            <w:vAlign w:val="center"/>
            <w:hideMark/>
          </w:tcPr>
          <w:p w14:paraId="473E5217" w14:textId="32F87B7B"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23 944</w:t>
            </w:r>
          </w:p>
        </w:tc>
      </w:tr>
      <w:tr w:rsidR="000F17B5" w:rsidRPr="00BB7C9E" w14:paraId="2D747A86" w14:textId="77777777" w:rsidTr="00FA6A8C">
        <w:trPr>
          <w:trHeight w:val="397"/>
        </w:trPr>
        <w:tc>
          <w:tcPr>
            <w:tcW w:w="8165" w:type="dxa"/>
            <w:gridSpan w:val="2"/>
            <w:tcBorders>
              <w:top w:val="nil"/>
              <w:left w:val="nil"/>
              <w:bottom w:val="nil"/>
              <w:right w:val="nil"/>
            </w:tcBorders>
            <w:shd w:val="clear" w:color="auto" w:fill="auto"/>
            <w:vAlign w:val="center"/>
            <w:hideMark/>
          </w:tcPr>
          <w:p w14:paraId="79170C7C" w14:textId="6BF43C72" w:rsidR="00611606" w:rsidRPr="0070550B" w:rsidRDefault="00611606" w:rsidP="00611606">
            <w:pPr>
              <w:rPr>
                <w:rFonts w:cs="Calibri"/>
                <w:b/>
                <w:bCs/>
                <w:color w:val="000000" w:themeColor="text1"/>
                <w:sz w:val="13"/>
                <w:szCs w:val="13"/>
              </w:rPr>
            </w:pPr>
            <w:r w:rsidRPr="0070550B">
              <w:rPr>
                <w:rFonts w:cs="Calibri"/>
                <w:b/>
                <w:bCs/>
                <w:color w:val="000000" w:themeColor="text1"/>
                <w:sz w:val="13"/>
                <w:szCs w:val="13"/>
              </w:rPr>
              <w:t xml:space="preserve">Kredyty hipoteczne i mieszkaniowe </w:t>
            </w:r>
            <w:r w:rsidR="00ED5300" w:rsidRPr="0070550B">
              <w:rPr>
                <w:rFonts w:cs="Calibri"/>
                <w:b/>
                <w:bCs/>
                <w:color w:val="000000" w:themeColor="text1"/>
                <w:sz w:val="13"/>
                <w:szCs w:val="13"/>
              </w:rPr>
              <w:t xml:space="preserve">netto </w:t>
            </w:r>
            <w:r w:rsidR="00855471" w:rsidRPr="0070550B">
              <w:rPr>
                <w:rFonts w:cs="Calibri"/>
                <w:b/>
                <w:bCs/>
                <w:color w:val="000000" w:themeColor="text1"/>
                <w:sz w:val="13"/>
                <w:szCs w:val="13"/>
              </w:rPr>
              <w:t>udzielone osobom fizycznym</w:t>
            </w:r>
            <w:r w:rsidRPr="0070550B">
              <w:rPr>
                <w:rFonts w:cs="Calibri"/>
                <w:b/>
                <w:bCs/>
                <w:color w:val="000000" w:themeColor="text1"/>
                <w:sz w:val="13"/>
                <w:szCs w:val="13"/>
              </w:rPr>
              <w:t>, w oryginalnych walutach (główne waluty, w tysiącach jednostek)</w:t>
            </w:r>
          </w:p>
        </w:tc>
        <w:tc>
          <w:tcPr>
            <w:tcW w:w="1418" w:type="dxa"/>
            <w:tcBorders>
              <w:top w:val="nil"/>
              <w:left w:val="nil"/>
              <w:bottom w:val="nil"/>
              <w:right w:val="nil"/>
            </w:tcBorders>
            <w:shd w:val="clear" w:color="auto" w:fill="auto"/>
            <w:noWrap/>
            <w:vAlign w:val="center"/>
          </w:tcPr>
          <w:p w14:paraId="0446DC0C" w14:textId="77777777" w:rsidR="00611606" w:rsidRPr="0070550B" w:rsidRDefault="00611606" w:rsidP="00611606">
            <w:pPr>
              <w:rPr>
                <w:rFonts w:cs="Calibri"/>
                <w:b/>
                <w:bCs/>
                <w:color w:val="000000" w:themeColor="text1"/>
                <w:sz w:val="13"/>
                <w:szCs w:val="13"/>
              </w:rPr>
            </w:pPr>
          </w:p>
        </w:tc>
      </w:tr>
      <w:tr w:rsidR="00FA6A8C" w:rsidRPr="00BB7C9E" w14:paraId="1CA856BC" w14:textId="77777777" w:rsidTr="006472EE">
        <w:trPr>
          <w:trHeight w:val="284"/>
        </w:trPr>
        <w:tc>
          <w:tcPr>
            <w:tcW w:w="6747" w:type="dxa"/>
            <w:tcBorders>
              <w:top w:val="single" w:sz="8" w:space="0" w:color="0077BD"/>
              <w:left w:val="nil"/>
              <w:bottom w:val="single" w:sz="4" w:space="0" w:color="0077BD"/>
              <w:right w:val="single" w:sz="8" w:space="0" w:color="0077BD"/>
            </w:tcBorders>
            <w:shd w:val="clear" w:color="auto" w:fill="auto"/>
            <w:vAlign w:val="center"/>
            <w:hideMark/>
          </w:tcPr>
          <w:p w14:paraId="688D2910"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PLN</w:t>
            </w:r>
          </w:p>
        </w:tc>
        <w:tc>
          <w:tcPr>
            <w:tcW w:w="1418" w:type="dxa"/>
            <w:tcBorders>
              <w:top w:val="single" w:sz="8" w:space="0" w:color="0077BD"/>
              <w:left w:val="single" w:sz="8" w:space="0" w:color="0077BD"/>
              <w:bottom w:val="single" w:sz="4" w:space="0" w:color="0077BD"/>
              <w:right w:val="nil"/>
            </w:tcBorders>
            <w:shd w:val="clear" w:color="auto" w:fill="auto"/>
            <w:noWrap/>
            <w:vAlign w:val="center"/>
          </w:tcPr>
          <w:p w14:paraId="0A6D4879" w14:textId="3AB77BFA"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18 624 049</w:t>
            </w:r>
          </w:p>
        </w:tc>
        <w:tc>
          <w:tcPr>
            <w:tcW w:w="1418" w:type="dxa"/>
            <w:tcBorders>
              <w:top w:val="single" w:sz="8" w:space="0" w:color="0077BD"/>
              <w:left w:val="single" w:sz="8" w:space="0" w:color="0077BD"/>
              <w:bottom w:val="single" w:sz="4" w:space="0" w:color="0077BD"/>
              <w:right w:val="nil"/>
            </w:tcBorders>
            <w:shd w:val="clear" w:color="auto" w:fill="auto"/>
            <w:noWrap/>
            <w:vAlign w:val="center"/>
            <w:hideMark/>
          </w:tcPr>
          <w:p w14:paraId="1D81EE86" w14:textId="49B0021E"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13 358 719</w:t>
            </w:r>
          </w:p>
        </w:tc>
      </w:tr>
      <w:tr w:rsidR="00FA6A8C" w:rsidRPr="00BB7C9E" w14:paraId="4DC521EC" w14:textId="77777777" w:rsidTr="006472EE">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1142BCA"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CHF</w:t>
            </w:r>
          </w:p>
        </w:tc>
        <w:tc>
          <w:tcPr>
            <w:tcW w:w="1418" w:type="dxa"/>
            <w:tcBorders>
              <w:top w:val="nil"/>
              <w:left w:val="single" w:sz="8" w:space="0" w:color="0077BD"/>
              <w:bottom w:val="single" w:sz="4" w:space="0" w:color="0077BD"/>
              <w:right w:val="nil"/>
            </w:tcBorders>
            <w:shd w:val="clear" w:color="auto" w:fill="auto"/>
            <w:noWrap/>
            <w:vAlign w:val="center"/>
          </w:tcPr>
          <w:p w14:paraId="7DE08E6A" w14:textId="004E148A"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3 458 504</w:t>
            </w:r>
          </w:p>
        </w:tc>
        <w:tc>
          <w:tcPr>
            <w:tcW w:w="1418" w:type="dxa"/>
            <w:tcBorders>
              <w:top w:val="nil"/>
              <w:left w:val="single" w:sz="8" w:space="0" w:color="0077BD"/>
              <w:bottom w:val="single" w:sz="4" w:space="0" w:color="0077BD"/>
              <w:right w:val="nil"/>
            </w:tcBorders>
            <w:shd w:val="clear" w:color="auto" w:fill="auto"/>
            <w:noWrap/>
            <w:vAlign w:val="center"/>
            <w:hideMark/>
          </w:tcPr>
          <w:p w14:paraId="2AC474E4" w14:textId="3993B9A5"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3 775 394</w:t>
            </w:r>
          </w:p>
        </w:tc>
      </w:tr>
      <w:tr w:rsidR="00FA6A8C" w:rsidRPr="00BB7C9E" w14:paraId="0FFB9819" w14:textId="77777777" w:rsidTr="006472EE">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EB3456F"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EUR</w:t>
            </w:r>
          </w:p>
        </w:tc>
        <w:tc>
          <w:tcPr>
            <w:tcW w:w="1418" w:type="dxa"/>
            <w:tcBorders>
              <w:top w:val="nil"/>
              <w:left w:val="single" w:sz="8" w:space="0" w:color="0077BD"/>
              <w:bottom w:val="single" w:sz="4" w:space="0" w:color="0077BD"/>
              <w:right w:val="nil"/>
            </w:tcBorders>
            <w:shd w:val="clear" w:color="auto" w:fill="auto"/>
            <w:noWrap/>
            <w:vAlign w:val="center"/>
          </w:tcPr>
          <w:p w14:paraId="5E7B7FF9" w14:textId="7345D48B"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732 783</w:t>
            </w:r>
          </w:p>
        </w:tc>
        <w:tc>
          <w:tcPr>
            <w:tcW w:w="1418" w:type="dxa"/>
            <w:tcBorders>
              <w:top w:val="nil"/>
              <w:left w:val="single" w:sz="8" w:space="0" w:color="0077BD"/>
              <w:bottom w:val="single" w:sz="4" w:space="0" w:color="0077BD"/>
              <w:right w:val="nil"/>
            </w:tcBorders>
            <w:shd w:val="clear" w:color="auto" w:fill="auto"/>
            <w:noWrap/>
            <w:vAlign w:val="center"/>
            <w:hideMark/>
          </w:tcPr>
          <w:p w14:paraId="42E96CB1" w14:textId="3341CAD1"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737 467</w:t>
            </w:r>
          </w:p>
        </w:tc>
      </w:tr>
      <w:tr w:rsidR="00FA6A8C" w:rsidRPr="00BB7C9E" w14:paraId="7923D629" w14:textId="77777777" w:rsidTr="006472EE">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206A9BC"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CZK</w:t>
            </w:r>
          </w:p>
        </w:tc>
        <w:tc>
          <w:tcPr>
            <w:tcW w:w="1418" w:type="dxa"/>
            <w:tcBorders>
              <w:top w:val="nil"/>
              <w:left w:val="single" w:sz="8" w:space="0" w:color="0077BD"/>
              <w:bottom w:val="single" w:sz="4" w:space="0" w:color="0077BD"/>
              <w:right w:val="nil"/>
            </w:tcBorders>
            <w:shd w:val="clear" w:color="auto" w:fill="auto"/>
            <w:noWrap/>
            <w:vAlign w:val="center"/>
          </w:tcPr>
          <w:p w14:paraId="14AA630C" w14:textId="7E0E7735"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18 046 175</w:t>
            </w:r>
          </w:p>
        </w:tc>
        <w:tc>
          <w:tcPr>
            <w:tcW w:w="1418" w:type="dxa"/>
            <w:tcBorders>
              <w:top w:val="nil"/>
              <w:left w:val="single" w:sz="8" w:space="0" w:color="0077BD"/>
              <w:bottom w:val="single" w:sz="4" w:space="0" w:color="0077BD"/>
              <w:right w:val="nil"/>
            </w:tcBorders>
            <w:shd w:val="clear" w:color="auto" w:fill="auto"/>
            <w:noWrap/>
            <w:vAlign w:val="center"/>
            <w:hideMark/>
          </w:tcPr>
          <w:p w14:paraId="67A67D5A" w14:textId="7E5D0EBF"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18 249 594</w:t>
            </w:r>
          </w:p>
        </w:tc>
      </w:tr>
      <w:tr w:rsidR="00FA6A8C" w:rsidRPr="00BB7C9E" w14:paraId="47F4BDDB" w14:textId="77777777" w:rsidTr="006472EE">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6EDBD562" w14:textId="77777777" w:rsidR="00FA6A8C" w:rsidRPr="0070550B" w:rsidRDefault="00FA6A8C" w:rsidP="00FA6A8C">
            <w:pPr>
              <w:rPr>
                <w:rFonts w:cs="Calibri"/>
                <w:color w:val="000000" w:themeColor="text1"/>
                <w:sz w:val="13"/>
                <w:szCs w:val="13"/>
              </w:rPr>
            </w:pPr>
            <w:r w:rsidRPr="0070550B">
              <w:rPr>
                <w:rFonts w:cs="Calibri"/>
                <w:color w:val="000000" w:themeColor="text1"/>
                <w:sz w:val="13"/>
                <w:szCs w:val="13"/>
              </w:rPr>
              <w:t>- USD</w:t>
            </w:r>
          </w:p>
        </w:tc>
        <w:tc>
          <w:tcPr>
            <w:tcW w:w="1418" w:type="dxa"/>
            <w:tcBorders>
              <w:top w:val="nil"/>
              <w:left w:val="single" w:sz="8" w:space="0" w:color="0077BD"/>
              <w:bottom w:val="single" w:sz="8" w:space="0" w:color="0077BD"/>
              <w:right w:val="nil"/>
            </w:tcBorders>
            <w:shd w:val="clear" w:color="auto" w:fill="auto"/>
            <w:noWrap/>
            <w:vAlign w:val="center"/>
          </w:tcPr>
          <w:p w14:paraId="0295FF6D" w14:textId="530BB344"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54 411</w:t>
            </w:r>
          </w:p>
        </w:tc>
        <w:tc>
          <w:tcPr>
            <w:tcW w:w="1418" w:type="dxa"/>
            <w:tcBorders>
              <w:top w:val="nil"/>
              <w:left w:val="single" w:sz="8" w:space="0" w:color="0077BD"/>
              <w:bottom w:val="single" w:sz="8" w:space="0" w:color="0077BD"/>
              <w:right w:val="nil"/>
            </w:tcBorders>
            <w:shd w:val="clear" w:color="auto" w:fill="auto"/>
            <w:noWrap/>
            <w:vAlign w:val="center"/>
            <w:hideMark/>
          </w:tcPr>
          <w:p w14:paraId="4F749E96" w14:textId="4338C8D2" w:rsidR="00FA6A8C" w:rsidRPr="0070550B" w:rsidRDefault="00FA6A8C" w:rsidP="00FA6A8C">
            <w:pPr>
              <w:jc w:val="right"/>
              <w:rPr>
                <w:rFonts w:cs="Calibri"/>
                <w:color w:val="000000" w:themeColor="text1"/>
                <w:sz w:val="13"/>
                <w:szCs w:val="13"/>
              </w:rPr>
            </w:pPr>
            <w:r w:rsidRPr="0070550B">
              <w:rPr>
                <w:rFonts w:cs="Calibri"/>
                <w:color w:val="000000" w:themeColor="text1"/>
                <w:sz w:val="13"/>
                <w:szCs w:val="13"/>
              </w:rPr>
              <w:t>60 487</w:t>
            </w:r>
          </w:p>
        </w:tc>
      </w:tr>
    </w:tbl>
    <w:p w14:paraId="3E7AA6AD" w14:textId="541882F1" w:rsidR="00611606" w:rsidRDefault="00611606" w:rsidP="00D70E9A">
      <w:pPr>
        <w:spacing w:before="120"/>
        <w:jc w:val="both"/>
        <w:rPr>
          <w:rFonts w:cs="Tahoma"/>
          <w:sz w:val="18"/>
          <w:szCs w:val="18"/>
        </w:rPr>
      </w:pPr>
    </w:p>
    <w:p w14:paraId="4B643583" w14:textId="7CE23FD5" w:rsidR="008B6C78" w:rsidRDefault="008B6C78">
      <w:pPr>
        <w:rPr>
          <w:rFonts w:cs="Tahoma"/>
          <w:sz w:val="18"/>
          <w:szCs w:val="18"/>
        </w:rPr>
      </w:pPr>
      <w:r>
        <w:rPr>
          <w:rFonts w:cs="Tahoma"/>
          <w:sz w:val="18"/>
          <w:szCs w:val="18"/>
        </w:rPr>
        <w:br w:type="page"/>
      </w:r>
    </w:p>
    <w:p w14:paraId="236B2422" w14:textId="2258F571" w:rsidR="00FC1C9E" w:rsidRPr="00BB7C9E" w:rsidRDefault="00FC1C9E" w:rsidP="00FC1C9E">
      <w:pPr>
        <w:spacing w:before="120"/>
        <w:jc w:val="both"/>
        <w:rPr>
          <w:b/>
          <w:noProof/>
          <w:color w:val="000000" w:themeColor="text1"/>
          <w:sz w:val="18"/>
          <w:szCs w:val="18"/>
        </w:rPr>
      </w:pPr>
      <w:r w:rsidRPr="00BB7C9E">
        <w:rPr>
          <w:b/>
          <w:noProof/>
          <w:color w:val="000000" w:themeColor="text1"/>
          <w:sz w:val="18"/>
          <w:szCs w:val="18"/>
        </w:rPr>
        <w:lastRenderedPageBreak/>
        <w:t>Jakość kredytowa aktywów finansowych wycenianych w zamortyzowanym koszcie według poziomów wewnętrznego systemu ratingowego</w:t>
      </w:r>
    </w:p>
    <w:p w14:paraId="49CCA6D3" w14:textId="1CF67A84" w:rsidR="000F17B5" w:rsidRPr="00E10E34" w:rsidRDefault="000F17B5" w:rsidP="000F17B5">
      <w:pPr>
        <w:jc w:val="both"/>
        <w:rPr>
          <w:noProof/>
          <w:sz w:val="18"/>
          <w:szCs w:val="18"/>
        </w:rPr>
      </w:pPr>
    </w:p>
    <w:tbl>
      <w:tblPr>
        <w:tblW w:w="9639" w:type="dxa"/>
        <w:tblInd w:w="-10" w:type="dxa"/>
        <w:tblLayout w:type="fixed"/>
        <w:tblCellMar>
          <w:left w:w="28" w:type="dxa"/>
          <w:right w:w="28" w:type="dxa"/>
        </w:tblCellMar>
        <w:tblLook w:val="04A0" w:firstRow="1" w:lastRow="0" w:firstColumn="1" w:lastColumn="0" w:noHBand="0" w:noVBand="1"/>
      </w:tblPr>
      <w:tblGrid>
        <w:gridCol w:w="9"/>
        <w:gridCol w:w="3897"/>
        <w:gridCol w:w="10"/>
        <w:gridCol w:w="1133"/>
        <w:gridCol w:w="1133"/>
        <w:gridCol w:w="1133"/>
        <w:gridCol w:w="1133"/>
        <w:gridCol w:w="1133"/>
        <w:gridCol w:w="58"/>
      </w:tblGrid>
      <w:tr w:rsidR="00BD2F2D" w:rsidRPr="0012696D" w14:paraId="5F74F8AC" w14:textId="77777777" w:rsidTr="00ED5300">
        <w:trPr>
          <w:gridBefore w:val="1"/>
          <w:gridAfter w:val="1"/>
          <w:wBefore w:w="9" w:type="dxa"/>
          <w:wAfter w:w="58" w:type="dxa"/>
          <w:trHeight w:val="284"/>
        </w:trPr>
        <w:tc>
          <w:tcPr>
            <w:tcW w:w="3907" w:type="dxa"/>
            <w:gridSpan w:val="2"/>
            <w:tcBorders>
              <w:top w:val="nil"/>
              <w:left w:val="single" w:sz="8" w:space="0" w:color="FFFFFF"/>
              <w:right w:val="single" w:sz="8" w:space="0" w:color="FFFFFF"/>
            </w:tcBorders>
            <w:shd w:val="clear" w:color="000000" w:fill="0077BD"/>
            <w:vAlign w:val="center"/>
            <w:hideMark/>
          </w:tcPr>
          <w:p w14:paraId="765FEBAF" w14:textId="148F1D02" w:rsidR="00BD2F2D" w:rsidRPr="0012696D" w:rsidRDefault="00BD2F2D" w:rsidP="00BD2F2D">
            <w:pPr>
              <w:rPr>
                <w:rFonts w:cs="Calibri"/>
                <w:b/>
                <w:bCs/>
                <w:color w:val="FFFFFF"/>
                <w:sz w:val="13"/>
                <w:szCs w:val="13"/>
              </w:rPr>
            </w:pPr>
            <w:r w:rsidRPr="0012696D">
              <w:rPr>
                <w:rFonts w:cs="Calibri"/>
                <w:b/>
                <w:bCs/>
                <w:color w:val="FFFFFF"/>
                <w:sz w:val="13"/>
                <w:szCs w:val="13"/>
              </w:rPr>
              <w:t>31.12.2019</w:t>
            </w:r>
          </w:p>
        </w:tc>
        <w:tc>
          <w:tcPr>
            <w:tcW w:w="1133" w:type="dxa"/>
            <w:tcBorders>
              <w:top w:val="nil"/>
              <w:left w:val="nil"/>
              <w:right w:val="single" w:sz="8" w:space="0" w:color="FFFFFF"/>
            </w:tcBorders>
            <w:shd w:val="clear" w:color="000000" w:fill="0077BD"/>
            <w:vAlign w:val="center"/>
            <w:hideMark/>
          </w:tcPr>
          <w:p w14:paraId="58E1824C" w14:textId="77777777" w:rsidR="00BD2F2D" w:rsidRPr="0012696D" w:rsidRDefault="00BD2F2D" w:rsidP="00BD2F2D">
            <w:pPr>
              <w:jc w:val="center"/>
              <w:rPr>
                <w:rFonts w:cs="Calibri"/>
                <w:b/>
                <w:bCs/>
                <w:color w:val="FFFFFF"/>
                <w:sz w:val="13"/>
                <w:szCs w:val="13"/>
              </w:rPr>
            </w:pPr>
            <w:r w:rsidRPr="0012696D">
              <w:rPr>
                <w:rFonts w:cs="Calibri"/>
                <w:b/>
                <w:bCs/>
                <w:color w:val="FFFFFF"/>
                <w:sz w:val="13"/>
                <w:szCs w:val="13"/>
              </w:rPr>
              <w:t>Koszyk 1</w:t>
            </w:r>
          </w:p>
        </w:tc>
        <w:tc>
          <w:tcPr>
            <w:tcW w:w="1133" w:type="dxa"/>
            <w:tcBorders>
              <w:top w:val="nil"/>
              <w:left w:val="nil"/>
              <w:right w:val="single" w:sz="8" w:space="0" w:color="FFFFFF"/>
            </w:tcBorders>
            <w:shd w:val="clear" w:color="000000" w:fill="0077BD"/>
            <w:vAlign w:val="center"/>
            <w:hideMark/>
          </w:tcPr>
          <w:p w14:paraId="5E5082D6" w14:textId="77777777" w:rsidR="00BD2F2D" w:rsidRPr="0012696D" w:rsidRDefault="00BD2F2D" w:rsidP="00BD2F2D">
            <w:pPr>
              <w:jc w:val="center"/>
              <w:rPr>
                <w:rFonts w:cs="Calibri"/>
                <w:b/>
                <w:bCs/>
                <w:color w:val="FFFFFF"/>
                <w:sz w:val="13"/>
                <w:szCs w:val="13"/>
              </w:rPr>
            </w:pPr>
            <w:r w:rsidRPr="0012696D">
              <w:rPr>
                <w:rFonts w:cs="Calibri"/>
                <w:b/>
                <w:bCs/>
                <w:color w:val="FFFFFF"/>
                <w:sz w:val="13"/>
                <w:szCs w:val="13"/>
              </w:rPr>
              <w:t>Koszyk 2</w:t>
            </w:r>
          </w:p>
        </w:tc>
        <w:tc>
          <w:tcPr>
            <w:tcW w:w="1133" w:type="dxa"/>
            <w:tcBorders>
              <w:top w:val="nil"/>
              <w:left w:val="nil"/>
              <w:right w:val="single" w:sz="8" w:space="0" w:color="FFFFFF"/>
            </w:tcBorders>
            <w:shd w:val="clear" w:color="000000" w:fill="0077BD"/>
            <w:vAlign w:val="center"/>
            <w:hideMark/>
          </w:tcPr>
          <w:p w14:paraId="51B834CA" w14:textId="77777777" w:rsidR="00BD2F2D" w:rsidRPr="0012696D" w:rsidRDefault="00BD2F2D" w:rsidP="00BD2F2D">
            <w:pPr>
              <w:jc w:val="center"/>
              <w:rPr>
                <w:rFonts w:cs="Calibri"/>
                <w:b/>
                <w:bCs/>
                <w:color w:val="FFFFFF"/>
                <w:sz w:val="13"/>
                <w:szCs w:val="13"/>
              </w:rPr>
            </w:pPr>
            <w:r w:rsidRPr="0012696D">
              <w:rPr>
                <w:rFonts w:cs="Calibri"/>
                <w:b/>
                <w:bCs/>
                <w:color w:val="FFFFFF"/>
                <w:sz w:val="13"/>
                <w:szCs w:val="13"/>
              </w:rPr>
              <w:t>Koszyk 3</w:t>
            </w:r>
          </w:p>
        </w:tc>
        <w:tc>
          <w:tcPr>
            <w:tcW w:w="1133" w:type="dxa"/>
            <w:tcBorders>
              <w:top w:val="nil"/>
              <w:left w:val="nil"/>
              <w:right w:val="single" w:sz="8" w:space="0" w:color="FFFFFF"/>
            </w:tcBorders>
            <w:shd w:val="clear" w:color="000000" w:fill="0077BD"/>
            <w:vAlign w:val="center"/>
            <w:hideMark/>
          </w:tcPr>
          <w:p w14:paraId="22CE1C8D" w14:textId="77777777" w:rsidR="00BD2F2D" w:rsidRPr="0012696D" w:rsidRDefault="00BD2F2D" w:rsidP="00BD2F2D">
            <w:pPr>
              <w:jc w:val="center"/>
              <w:rPr>
                <w:rFonts w:cs="Calibri"/>
                <w:b/>
                <w:bCs/>
                <w:color w:val="FFFFFF"/>
                <w:sz w:val="13"/>
                <w:szCs w:val="13"/>
              </w:rPr>
            </w:pPr>
            <w:r w:rsidRPr="0012696D">
              <w:rPr>
                <w:rFonts w:cs="Calibri"/>
                <w:b/>
                <w:bCs/>
                <w:color w:val="FFFFFF"/>
                <w:sz w:val="13"/>
                <w:szCs w:val="13"/>
              </w:rPr>
              <w:t>POCI</w:t>
            </w:r>
          </w:p>
        </w:tc>
        <w:tc>
          <w:tcPr>
            <w:tcW w:w="1133" w:type="dxa"/>
            <w:tcBorders>
              <w:top w:val="nil"/>
              <w:left w:val="nil"/>
              <w:right w:val="nil"/>
            </w:tcBorders>
            <w:shd w:val="clear" w:color="000000" w:fill="0077BD"/>
            <w:vAlign w:val="center"/>
            <w:hideMark/>
          </w:tcPr>
          <w:p w14:paraId="582A07AA" w14:textId="77777777" w:rsidR="00BD2F2D" w:rsidRPr="0012696D" w:rsidRDefault="00BD2F2D" w:rsidP="00BD2F2D">
            <w:pPr>
              <w:jc w:val="center"/>
              <w:rPr>
                <w:rFonts w:cs="Calibri"/>
                <w:b/>
                <w:bCs/>
                <w:color w:val="FFFFFF"/>
                <w:sz w:val="13"/>
                <w:szCs w:val="13"/>
              </w:rPr>
            </w:pPr>
            <w:r w:rsidRPr="0012696D">
              <w:rPr>
                <w:rFonts w:cs="Calibri"/>
                <w:b/>
                <w:bCs/>
                <w:color w:val="FFFFFF"/>
                <w:sz w:val="13"/>
                <w:szCs w:val="13"/>
              </w:rPr>
              <w:t>RAZEM</w:t>
            </w:r>
          </w:p>
        </w:tc>
      </w:tr>
      <w:tr w:rsidR="00ED5300" w:rsidRPr="0012696D" w14:paraId="54CB4AF0" w14:textId="77777777" w:rsidTr="00ED5300">
        <w:trPr>
          <w:gridBefore w:val="1"/>
          <w:gridAfter w:val="1"/>
          <w:wBefore w:w="9" w:type="dxa"/>
          <w:wAfter w:w="58" w:type="dxa"/>
          <w:trHeight w:val="284"/>
        </w:trPr>
        <w:tc>
          <w:tcPr>
            <w:tcW w:w="6173" w:type="dxa"/>
            <w:gridSpan w:val="4"/>
            <w:tcBorders>
              <w:left w:val="nil"/>
              <w:bottom w:val="single" w:sz="8" w:space="0" w:color="0077BD"/>
              <w:right w:val="nil"/>
            </w:tcBorders>
            <w:shd w:val="clear" w:color="000000" w:fill="FFFFFF"/>
            <w:vAlign w:val="center"/>
            <w:hideMark/>
          </w:tcPr>
          <w:p w14:paraId="09CD39F5" w14:textId="26BBE60F" w:rsidR="00ED5300" w:rsidRPr="0012696D" w:rsidRDefault="00ED5300" w:rsidP="00ED5300">
            <w:pPr>
              <w:rPr>
                <w:rFonts w:cs="Calibri"/>
                <w:color w:val="000000" w:themeColor="text1"/>
                <w:sz w:val="13"/>
                <w:szCs w:val="13"/>
              </w:rPr>
            </w:pPr>
            <w:r w:rsidRPr="0012696D">
              <w:rPr>
                <w:rFonts w:cs="Calibri"/>
                <w:b/>
                <w:bCs/>
                <w:color w:val="000000" w:themeColor="text1"/>
                <w:sz w:val="13"/>
                <w:szCs w:val="13"/>
              </w:rPr>
              <w:t>Dłużne papiery wartośc</w:t>
            </w:r>
            <w:r>
              <w:rPr>
                <w:rFonts w:cs="Calibri"/>
                <w:b/>
                <w:bCs/>
                <w:color w:val="000000" w:themeColor="text1"/>
                <w:sz w:val="13"/>
                <w:szCs w:val="13"/>
              </w:rPr>
              <w:t xml:space="preserve">iowe wyceniane w zamortyzowanym </w:t>
            </w:r>
            <w:r w:rsidRPr="0012696D">
              <w:rPr>
                <w:rFonts w:cs="Calibri"/>
                <w:b/>
                <w:bCs/>
                <w:color w:val="000000" w:themeColor="text1"/>
                <w:sz w:val="13"/>
                <w:szCs w:val="13"/>
              </w:rPr>
              <w:t>koszcie</w:t>
            </w:r>
          </w:p>
        </w:tc>
        <w:tc>
          <w:tcPr>
            <w:tcW w:w="1133" w:type="dxa"/>
            <w:tcBorders>
              <w:left w:val="nil"/>
              <w:bottom w:val="single" w:sz="8" w:space="0" w:color="0077BD"/>
              <w:right w:val="nil"/>
            </w:tcBorders>
            <w:shd w:val="clear" w:color="000000" w:fill="FFFFFF"/>
            <w:vAlign w:val="center"/>
          </w:tcPr>
          <w:p w14:paraId="21352327" w14:textId="29466B61" w:rsidR="00ED5300" w:rsidRPr="0012696D" w:rsidRDefault="00ED5300" w:rsidP="00BD2F2D">
            <w:pPr>
              <w:jc w:val="right"/>
              <w:rPr>
                <w:rFonts w:cs="Calibri"/>
                <w:color w:val="000000" w:themeColor="text1"/>
                <w:sz w:val="13"/>
                <w:szCs w:val="13"/>
              </w:rPr>
            </w:pPr>
          </w:p>
        </w:tc>
        <w:tc>
          <w:tcPr>
            <w:tcW w:w="1133" w:type="dxa"/>
            <w:tcBorders>
              <w:left w:val="nil"/>
              <w:bottom w:val="single" w:sz="8" w:space="0" w:color="0077BD"/>
              <w:right w:val="nil"/>
            </w:tcBorders>
            <w:shd w:val="clear" w:color="000000" w:fill="FFFFFF"/>
            <w:vAlign w:val="center"/>
          </w:tcPr>
          <w:p w14:paraId="0E925D06" w14:textId="5F144FCE" w:rsidR="00ED5300" w:rsidRPr="0012696D" w:rsidRDefault="00ED5300" w:rsidP="00BD2F2D">
            <w:pPr>
              <w:jc w:val="right"/>
              <w:rPr>
                <w:rFonts w:cs="Calibri"/>
                <w:color w:val="000000" w:themeColor="text1"/>
                <w:sz w:val="13"/>
                <w:szCs w:val="13"/>
              </w:rPr>
            </w:pPr>
          </w:p>
        </w:tc>
        <w:tc>
          <w:tcPr>
            <w:tcW w:w="1133" w:type="dxa"/>
            <w:tcBorders>
              <w:left w:val="nil"/>
              <w:bottom w:val="single" w:sz="8" w:space="0" w:color="0077BD"/>
              <w:right w:val="nil"/>
            </w:tcBorders>
            <w:shd w:val="clear" w:color="000000" w:fill="FFFFFF"/>
            <w:vAlign w:val="center"/>
          </w:tcPr>
          <w:p w14:paraId="20075818" w14:textId="74F11089" w:rsidR="00ED5300" w:rsidRPr="0012696D" w:rsidRDefault="00ED5300" w:rsidP="00BD2F2D">
            <w:pPr>
              <w:jc w:val="right"/>
              <w:rPr>
                <w:rFonts w:cs="Calibri"/>
                <w:color w:val="000000" w:themeColor="text1"/>
                <w:sz w:val="13"/>
                <w:szCs w:val="13"/>
              </w:rPr>
            </w:pPr>
          </w:p>
        </w:tc>
      </w:tr>
      <w:tr w:rsidR="003C6D2C" w:rsidRPr="0012696D" w14:paraId="08E2CACE" w14:textId="77777777" w:rsidTr="00ED5300">
        <w:trPr>
          <w:gridBefore w:val="1"/>
          <w:gridAfter w:val="1"/>
          <w:wBefore w:w="9" w:type="dxa"/>
          <w:wAfter w:w="58" w:type="dxa"/>
          <w:trHeight w:val="284"/>
        </w:trPr>
        <w:tc>
          <w:tcPr>
            <w:tcW w:w="3907" w:type="dxa"/>
            <w:gridSpan w:val="2"/>
            <w:tcBorders>
              <w:top w:val="single" w:sz="4" w:space="0" w:color="0077BD"/>
              <w:left w:val="nil"/>
              <w:bottom w:val="single" w:sz="4" w:space="0" w:color="0077BD"/>
              <w:right w:val="single" w:sz="8" w:space="0" w:color="0077BD"/>
            </w:tcBorders>
            <w:shd w:val="clear" w:color="auto" w:fill="auto"/>
            <w:vAlign w:val="center"/>
            <w:hideMark/>
          </w:tcPr>
          <w:p w14:paraId="1606B833" w14:textId="77777777" w:rsidR="003C6D2C" w:rsidRPr="0012696D" w:rsidRDefault="003C6D2C" w:rsidP="003C6D2C">
            <w:pPr>
              <w:jc w:val="center"/>
              <w:rPr>
                <w:rFonts w:cs="Calibri"/>
                <w:color w:val="000000" w:themeColor="text1"/>
                <w:sz w:val="13"/>
                <w:szCs w:val="13"/>
              </w:rPr>
            </w:pPr>
            <w:r w:rsidRPr="0012696D">
              <w:rPr>
                <w:rFonts w:cs="Calibri"/>
                <w:color w:val="000000" w:themeColor="text1"/>
                <w:sz w:val="13"/>
                <w:szCs w:val="13"/>
              </w:rPr>
              <w:t>1,0 - 1,2</w:t>
            </w:r>
          </w:p>
        </w:tc>
        <w:tc>
          <w:tcPr>
            <w:tcW w:w="1133" w:type="dxa"/>
            <w:tcBorders>
              <w:top w:val="single" w:sz="8" w:space="0" w:color="0077BD"/>
              <w:left w:val="single" w:sz="8" w:space="0" w:color="0077BD"/>
              <w:bottom w:val="single" w:sz="4" w:space="0" w:color="0077BD"/>
              <w:right w:val="nil"/>
            </w:tcBorders>
            <w:shd w:val="clear" w:color="auto" w:fill="auto"/>
            <w:vAlign w:val="center"/>
            <w:hideMark/>
          </w:tcPr>
          <w:p w14:paraId="1AD53C4B" w14:textId="0B89D170"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11 234 952</w:t>
            </w:r>
          </w:p>
        </w:tc>
        <w:tc>
          <w:tcPr>
            <w:tcW w:w="1133" w:type="dxa"/>
            <w:tcBorders>
              <w:top w:val="single" w:sz="8" w:space="0" w:color="0077BD"/>
              <w:left w:val="single" w:sz="8" w:space="0" w:color="0077BD"/>
              <w:bottom w:val="single" w:sz="4" w:space="0" w:color="0077BD"/>
              <w:right w:val="nil"/>
            </w:tcBorders>
            <w:shd w:val="clear" w:color="auto" w:fill="auto"/>
            <w:vAlign w:val="center"/>
            <w:hideMark/>
          </w:tcPr>
          <w:p w14:paraId="0176D2D4" w14:textId="144B6F92"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8" w:space="0" w:color="0077BD"/>
              <w:left w:val="single" w:sz="8" w:space="0" w:color="0077BD"/>
              <w:bottom w:val="single" w:sz="4" w:space="0" w:color="0077BD"/>
              <w:right w:val="nil"/>
            </w:tcBorders>
            <w:shd w:val="clear" w:color="auto" w:fill="auto"/>
            <w:vAlign w:val="center"/>
            <w:hideMark/>
          </w:tcPr>
          <w:p w14:paraId="4682D0BA" w14:textId="084E9638"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8" w:space="0" w:color="0077BD"/>
              <w:left w:val="single" w:sz="8" w:space="0" w:color="0077BD"/>
              <w:bottom w:val="single" w:sz="4" w:space="0" w:color="0077BD"/>
              <w:right w:val="nil"/>
            </w:tcBorders>
            <w:shd w:val="clear" w:color="auto" w:fill="auto"/>
            <w:vAlign w:val="center"/>
            <w:hideMark/>
          </w:tcPr>
          <w:p w14:paraId="238E54E0" w14:textId="0561459B"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8" w:space="0" w:color="0077BD"/>
              <w:left w:val="single" w:sz="8" w:space="0" w:color="0077BD"/>
              <w:bottom w:val="single" w:sz="4" w:space="0" w:color="0077BD"/>
              <w:right w:val="nil"/>
            </w:tcBorders>
            <w:shd w:val="clear" w:color="auto" w:fill="auto"/>
            <w:vAlign w:val="center"/>
            <w:hideMark/>
          </w:tcPr>
          <w:p w14:paraId="265AEA7F" w14:textId="7FB80347"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11 234 952</w:t>
            </w:r>
          </w:p>
        </w:tc>
      </w:tr>
      <w:tr w:rsidR="003C6D2C" w:rsidRPr="0012696D" w14:paraId="3415B177" w14:textId="77777777" w:rsidTr="00ED5300">
        <w:trPr>
          <w:gridBefore w:val="1"/>
          <w:gridAfter w:val="1"/>
          <w:wBefore w:w="9" w:type="dxa"/>
          <w:wAfter w:w="58" w:type="dxa"/>
          <w:trHeight w:val="284"/>
        </w:trPr>
        <w:tc>
          <w:tcPr>
            <w:tcW w:w="3907" w:type="dxa"/>
            <w:gridSpan w:val="2"/>
            <w:tcBorders>
              <w:top w:val="nil"/>
              <w:left w:val="nil"/>
              <w:bottom w:val="single" w:sz="4" w:space="0" w:color="0077BD"/>
              <w:right w:val="single" w:sz="8" w:space="0" w:color="0077BD"/>
            </w:tcBorders>
            <w:shd w:val="clear" w:color="auto" w:fill="auto"/>
            <w:vAlign w:val="center"/>
            <w:hideMark/>
          </w:tcPr>
          <w:p w14:paraId="1ADB3535" w14:textId="77777777" w:rsidR="003C6D2C" w:rsidRPr="0012696D" w:rsidRDefault="003C6D2C" w:rsidP="003C6D2C">
            <w:pPr>
              <w:rPr>
                <w:rFonts w:cs="Calibri"/>
                <w:b/>
                <w:bCs/>
                <w:color w:val="000000" w:themeColor="text1"/>
                <w:sz w:val="13"/>
                <w:szCs w:val="13"/>
              </w:rPr>
            </w:pPr>
            <w:r w:rsidRPr="0012696D">
              <w:rPr>
                <w:rFonts w:cs="Calibri"/>
                <w:b/>
                <w:bCs/>
                <w:color w:val="000000" w:themeColor="text1"/>
                <w:sz w:val="13"/>
                <w:szCs w:val="13"/>
              </w:rPr>
              <w:t>Wartość bilansowa brutto</w:t>
            </w:r>
          </w:p>
        </w:tc>
        <w:tc>
          <w:tcPr>
            <w:tcW w:w="1133" w:type="dxa"/>
            <w:tcBorders>
              <w:top w:val="nil"/>
              <w:left w:val="single" w:sz="8" w:space="0" w:color="0077BD"/>
              <w:bottom w:val="single" w:sz="4" w:space="0" w:color="0077BD"/>
              <w:right w:val="nil"/>
            </w:tcBorders>
            <w:shd w:val="clear" w:color="auto" w:fill="auto"/>
            <w:vAlign w:val="center"/>
          </w:tcPr>
          <w:p w14:paraId="66950233" w14:textId="1A172A99"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11 234 952</w:t>
            </w:r>
          </w:p>
        </w:tc>
        <w:tc>
          <w:tcPr>
            <w:tcW w:w="1133" w:type="dxa"/>
            <w:tcBorders>
              <w:top w:val="nil"/>
              <w:left w:val="single" w:sz="8" w:space="0" w:color="0077BD"/>
              <w:bottom w:val="single" w:sz="4" w:space="0" w:color="0077BD"/>
              <w:right w:val="nil"/>
            </w:tcBorders>
            <w:shd w:val="clear" w:color="auto" w:fill="auto"/>
            <w:vAlign w:val="center"/>
            <w:hideMark/>
          </w:tcPr>
          <w:p w14:paraId="7D825775" w14:textId="31685676"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0C622A27" w14:textId="7857B0C1"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CF7DD61" w14:textId="38988A0A"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3BF4A975" w14:textId="4EF47FE4"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11 234 952</w:t>
            </w:r>
          </w:p>
        </w:tc>
      </w:tr>
      <w:tr w:rsidR="003C6D2C" w:rsidRPr="0012696D" w14:paraId="7E5C7213" w14:textId="77777777" w:rsidTr="00ED5300">
        <w:trPr>
          <w:gridBefore w:val="1"/>
          <w:gridAfter w:val="1"/>
          <w:wBefore w:w="9" w:type="dxa"/>
          <w:wAfter w:w="58" w:type="dxa"/>
          <w:trHeight w:val="284"/>
        </w:trPr>
        <w:tc>
          <w:tcPr>
            <w:tcW w:w="3907" w:type="dxa"/>
            <w:gridSpan w:val="2"/>
            <w:tcBorders>
              <w:top w:val="nil"/>
              <w:left w:val="nil"/>
              <w:bottom w:val="nil"/>
              <w:right w:val="single" w:sz="8" w:space="0" w:color="0077BD"/>
            </w:tcBorders>
            <w:shd w:val="clear" w:color="auto" w:fill="auto"/>
            <w:vAlign w:val="center"/>
            <w:hideMark/>
          </w:tcPr>
          <w:p w14:paraId="3F45F267" w14:textId="77777777" w:rsidR="003C6D2C" w:rsidRPr="0012696D" w:rsidRDefault="003C6D2C" w:rsidP="003C6D2C">
            <w:pPr>
              <w:rPr>
                <w:rFonts w:cs="Calibri"/>
                <w:color w:val="000000" w:themeColor="text1"/>
                <w:sz w:val="13"/>
                <w:szCs w:val="13"/>
              </w:rPr>
            </w:pPr>
            <w:r w:rsidRPr="0012696D">
              <w:rPr>
                <w:rFonts w:cs="Calibri"/>
                <w:color w:val="000000" w:themeColor="text1"/>
                <w:sz w:val="13"/>
                <w:szCs w:val="13"/>
              </w:rPr>
              <w:t>Skumulowana utrata wartości</w:t>
            </w:r>
          </w:p>
        </w:tc>
        <w:tc>
          <w:tcPr>
            <w:tcW w:w="1133" w:type="dxa"/>
            <w:tcBorders>
              <w:top w:val="nil"/>
              <w:left w:val="single" w:sz="8" w:space="0" w:color="0077BD"/>
              <w:bottom w:val="nil"/>
              <w:right w:val="nil"/>
            </w:tcBorders>
            <w:shd w:val="clear" w:color="auto" w:fill="auto"/>
            <w:vAlign w:val="center"/>
          </w:tcPr>
          <w:p w14:paraId="797140E4" w14:textId="14DB3B00"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(79)</w:t>
            </w:r>
          </w:p>
        </w:tc>
        <w:tc>
          <w:tcPr>
            <w:tcW w:w="1133" w:type="dxa"/>
            <w:tcBorders>
              <w:top w:val="nil"/>
              <w:left w:val="single" w:sz="8" w:space="0" w:color="0077BD"/>
              <w:bottom w:val="nil"/>
              <w:right w:val="nil"/>
            </w:tcBorders>
            <w:shd w:val="clear" w:color="auto" w:fill="auto"/>
            <w:vAlign w:val="center"/>
            <w:hideMark/>
          </w:tcPr>
          <w:p w14:paraId="08D3651D" w14:textId="14BBA8EE"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nil"/>
              <w:right w:val="nil"/>
            </w:tcBorders>
            <w:shd w:val="clear" w:color="auto" w:fill="auto"/>
            <w:vAlign w:val="center"/>
            <w:hideMark/>
          </w:tcPr>
          <w:p w14:paraId="30DACDCC" w14:textId="552E8B81"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nil"/>
              <w:right w:val="nil"/>
            </w:tcBorders>
            <w:shd w:val="clear" w:color="auto" w:fill="auto"/>
            <w:vAlign w:val="center"/>
            <w:hideMark/>
          </w:tcPr>
          <w:p w14:paraId="5515D0CB" w14:textId="30385FAB"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40F7D2BD" w14:textId="7DBAE37B" w:rsidR="003C6D2C" w:rsidRPr="0012696D" w:rsidRDefault="003C6D2C" w:rsidP="003C6D2C">
            <w:pPr>
              <w:jc w:val="right"/>
              <w:rPr>
                <w:rFonts w:cs="Calibri"/>
                <w:color w:val="000000" w:themeColor="text1"/>
                <w:sz w:val="13"/>
                <w:szCs w:val="13"/>
              </w:rPr>
            </w:pPr>
            <w:r w:rsidRPr="0012696D">
              <w:rPr>
                <w:rFonts w:cs="Calibri"/>
                <w:color w:val="000000" w:themeColor="text1"/>
                <w:sz w:val="13"/>
                <w:szCs w:val="13"/>
              </w:rPr>
              <w:t>(79)</w:t>
            </w:r>
          </w:p>
        </w:tc>
      </w:tr>
      <w:tr w:rsidR="003C6D2C" w:rsidRPr="0012696D" w14:paraId="6A2A181C" w14:textId="77777777" w:rsidTr="00ED5300">
        <w:trPr>
          <w:gridBefore w:val="1"/>
          <w:gridAfter w:val="1"/>
          <w:wBefore w:w="9" w:type="dxa"/>
          <w:wAfter w:w="58" w:type="dxa"/>
          <w:trHeight w:val="284"/>
        </w:trPr>
        <w:tc>
          <w:tcPr>
            <w:tcW w:w="3907" w:type="dxa"/>
            <w:gridSpan w:val="2"/>
            <w:tcBorders>
              <w:top w:val="single" w:sz="8" w:space="0" w:color="0077BD"/>
              <w:left w:val="nil"/>
              <w:bottom w:val="single" w:sz="8" w:space="0" w:color="0077BD"/>
              <w:right w:val="single" w:sz="8" w:space="0" w:color="0077BD"/>
            </w:tcBorders>
            <w:shd w:val="clear" w:color="auto" w:fill="auto"/>
            <w:vAlign w:val="center"/>
            <w:hideMark/>
          </w:tcPr>
          <w:p w14:paraId="3B9145CD" w14:textId="77777777" w:rsidR="003C6D2C" w:rsidRPr="0012696D" w:rsidRDefault="003C6D2C" w:rsidP="003C6D2C">
            <w:pPr>
              <w:rPr>
                <w:rFonts w:cs="Calibri"/>
                <w:b/>
                <w:bCs/>
                <w:color w:val="000000" w:themeColor="text1"/>
                <w:sz w:val="13"/>
                <w:szCs w:val="13"/>
              </w:rPr>
            </w:pPr>
            <w:r w:rsidRPr="0012696D">
              <w:rPr>
                <w:rFonts w:cs="Calibri"/>
                <w:b/>
                <w:bCs/>
                <w:color w:val="000000" w:themeColor="text1"/>
                <w:sz w:val="13"/>
                <w:szCs w:val="13"/>
              </w:rPr>
              <w:t>Razem</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4F2FAFE6" w14:textId="05B5E704"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11 234 873</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737BF001" w14:textId="05E19736"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74B35451" w14:textId="593890F6"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1EB68E4E" w14:textId="1F51B38C"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5C7E08F2" w14:textId="1C61B82F" w:rsidR="003C6D2C" w:rsidRPr="0012696D" w:rsidRDefault="003C6D2C" w:rsidP="003C6D2C">
            <w:pPr>
              <w:jc w:val="right"/>
              <w:rPr>
                <w:rFonts w:cs="Calibri"/>
                <w:b/>
                <w:bCs/>
                <w:color w:val="000000" w:themeColor="text1"/>
                <w:sz w:val="13"/>
                <w:szCs w:val="13"/>
              </w:rPr>
            </w:pPr>
            <w:r w:rsidRPr="0012696D">
              <w:rPr>
                <w:rFonts w:cs="Calibri"/>
                <w:b/>
                <w:bCs/>
                <w:color w:val="000000" w:themeColor="text1"/>
                <w:sz w:val="13"/>
                <w:szCs w:val="13"/>
              </w:rPr>
              <w:t>11 234 873</w:t>
            </w:r>
          </w:p>
        </w:tc>
      </w:tr>
      <w:tr w:rsidR="00726E31" w:rsidRPr="0012696D" w14:paraId="35FCD40E" w14:textId="77777777" w:rsidTr="00ED5300">
        <w:trPr>
          <w:gridAfter w:val="1"/>
          <w:wAfter w:w="58" w:type="dxa"/>
          <w:trHeight w:val="284"/>
        </w:trPr>
        <w:tc>
          <w:tcPr>
            <w:tcW w:w="6182" w:type="dxa"/>
            <w:gridSpan w:val="5"/>
            <w:tcBorders>
              <w:top w:val="single" w:sz="8" w:space="0" w:color="0077BD"/>
              <w:left w:val="nil"/>
              <w:bottom w:val="single" w:sz="8" w:space="0" w:color="0077BD"/>
              <w:right w:val="nil"/>
            </w:tcBorders>
            <w:shd w:val="clear" w:color="000000" w:fill="FFFFFF"/>
            <w:vAlign w:val="center"/>
            <w:hideMark/>
          </w:tcPr>
          <w:p w14:paraId="187749EB" w14:textId="47332423" w:rsidR="00726E31" w:rsidRPr="0012696D" w:rsidRDefault="00726E31" w:rsidP="00726E31">
            <w:pPr>
              <w:rPr>
                <w:rFonts w:cs="Calibri"/>
                <w:b/>
                <w:bCs/>
                <w:color w:val="000000" w:themeColor="text1"/>
                <w:sz w:val="13"/>
                <w:szCs w:val="13"/>
              </w:rPr>
            </w:pPr>
            <w:r w:rsidRPr="0012696D">
              <w:rPr>
                <w:rFonts w:cs="Calibri"/>
                <w:b/>
                <w:bCs/>
                <w:color w:val="000000" w:themeColor="text1"/>
                <w:sz w:val="13"/>
                <w:szCs w:val="13"/>
              </w:rPr>
              <w:t>Należności od banków wyceniane w zamortyzowanym koszcie</w:t>
            </w:r>
          </w:p>
        </w:tc>
        <w:tc>
          <w:tcPr>
            <w:tcW w:w="1133" w:type="dxa"/>
            <w:tcBorders>
              <w:top w:val="single" w:sz="8" w:space="0" w:color="0077BD"/>
              <w:left w:val="nil"/>
              <w:bottom w:val="single" w:sz="8" w:space="0" w:color="0077BD"/>
              <w:right w:val="nil"/>
            </w:tcBorders>
            <w:shd w:val="clear" w:color="000000" w:fill="FFFFFF"/>
            <w:vAlign w:val="center"/>
            <w:hideMark/>
          </w:tcPr>
          <w:p w14:paraId="335B704C" w14:textId="75895965" w:rsidR="00726E31" w:rsidRPr="0012696D" w:rsidRDefault="00726E31" w:rsidP="00BD2F2D">
            <w:pPr>
              <w:jc w:val="right"/>
              <w:rPr>
                <w:rFonts w:cs="Calibri"/>
                <w:color w:val="000000" w:themeColor="text1"/>
                <w:sz w:val="13"/>
                <w:szCs w:val="13"/>
              </w:rPr>
            </w:pPr>
          </w:p>
        </w:tc>
        <w:tc>
          <w:tcPr>
            <w:tcW w:w="1133" w:type="dxa"/>
            <w:tcBorders>
              <w:top w:val="single" w:sz="8" w:space="0" w:color="0077BD"/>
              <w:left w:val="nil"/>
              <w:bottom w:val="single" w:sz="8" w:space="0" w:color="0077BD"/>
              <w:right w:val="nil"/>
            </w:tcBorders>
            <w:shd w:val="clear" w:color="000000" w:fill="FFFFFF"/>
            <w:vAlign w:val="center"/>
            <w:hideMark/>
          </w:tcPr>
          <w:p w14:paraId="55EFE8BA" w14:textId="77777777" w:rsidR="00726E31" w:rsidRPr="0012696D" w:rsidRDefault="00726E31" w:rsidP="00BD2F2D">
            <w:pPr>
              <w:jc w:val="right"/>
              <w:rPr>
                <w:rFonts w:cs="Calibri"/>
                <w:color w:val="000000" w:themeColor="text1"/>
                <w:sz w:val="13"/>
                <w:szCs w:val="13"/>
              </w:rPr>
            </w:pPr>
            <w:r w:rsidRPr="0012696D">
              <w:rPr>
                <w:rFonts w:cs="Calibri"/>
                <w:color w:val="000000" w:themeColor="text1"/>
                <w:sz w:val="13"/>
                <w:szCs w:val="13"/>
              </w:rPr>
              <w:t> </w:t>
            </w:r>
          </w:p>
        </w:tc>
        <w:tc>
          <w:tcPr>
            <w:tcW w:w="1133" w:type="dxa"/>
            <w:tcBorders>
              <w:top w:val="single" w:sz="8" w:space="0" w:color="0077BD"/>
              <w:left w:val="nil"/>
              <w:bottom w:val="single" w:sz="8" w:space="0" w:color="0077BD"/>
              <w:right w:val="nil"/>
            </w:tcBorders>
            <w:shd w:val="clear" w:color="000000" w:fill="FFFFFF"/>
            <w:vAlign w:val="center"/>
            <w:hideMark/>
          </w:tcPr>
          <w:p w14:paraId="6FC00E98" w14:textId="77777777" w:rsidR="00726E31" w:rsidRPr="0012696D" w:rsidRDefault="00726E31" w:rsidP="00BD2F2D">
            <w:pPr>
              <w:jc w:val="right"/>
              <w:rPr>
                <w:rFonts w:cs="Calibri"/>
                <w:color w:val="000000" w:themeColor="text1"/>
                <w:sz w:val="13"/>
                <w:szCs w:val="13"/>
              </w:rPr>
            </w:pPr>
            <w:r w:rsidRPr="0012696D">
              <w:rPr>
                <w:rFonts w:cs="Calibri"/>
                <w:color w:val="000000" w:themeColor="text1"/>
                <w:sz w:val="13"/>
                <w:szCs w:val="13"/>
              </w:rPr>
              <w:t> </w:t>
            </w:r>
          </w:p>
        </w:tc>
      </w:tr>
      <w:tr w:rsidR="0012696D" w:rsidRPr="0012696D" w14:paraId="2184BC30" w14:textId="77777777" w:rsidTr="00ED5300">
        <w:trPr>
          <w:gridAfter w:val="1"/>
          <w:wAfter w:w="58" w:type="dxa"/>
          <w:trHeight w:val="284"/>
        </w:trPr>
        <w:tc>
          <w:tcPr>
            <w:tcW w:w="3906" w:type="dxa"/>
            <w:gridSpan w:val="2"/>
            <w:tcBorders>
              <w:top w:val="single" w:sz="4" w:space="0" w:color="0077BD"/>
              <w:left w:val="nil"/>
              <w:bottom w:val="single" w:sz="4" w:space="0" w:color="0077BD"/>
              <w:right w:val="single" w:sz="8" w:space="0" w:color="0077BD"/>
            </w:tcBorders>
            <w:shd w:val="clear" w:color="auto" w:fill="auto"/>
            <w:vAlign w:val="center"/>
            <w:hideMark/>
          </w:tcPr>
          <w:p w14:paraId="3F5FFA39"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1</w:t>
            </w:r>
          </w:p>
        </w:tc>
        <w:tc>
          <w:tcPr>
            <w:tcW w:w="1143" w:type="dxa"/>
            <w:gridSpan w:val="2"/>
            <w:tcBorders>
              <w:top w:val="single" w:sz="4" w:space="0" w:color="0077BD"/>
              <w:left w:val="single" w:sz="8" w:space="0" w:color="0077BD"/>
              <w:bottom w:val="single" w:sz="4" w:space="0" w:color="0077BD"/>
              <w:right w:val="nil"/>
            </w:tcBorders>
            <w:shd w:val="clear" w:color="auto" w:fill="auto"/>
            <w:vAlign w:val="center"/>
          </w:tcPr>
          <w:p w14:paraId="600F2E14" w14:textId="7D27F118"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4 015 073</w:t>
            </w:r>
          </w:p>
        </w:tc>
        <w:tc>
          <w:tcPr>
            <w:tcW w:w="1133" w:type="dxa"/>
            <w:tcBorders>
              <w:top w:val="single" w:sz="4" w:space="0" w:color="0077BD"/>
              <w:left w:val="single" w:sz="8" w:space="0" w:color="0077BD"/>
              <w:bottom w:val="single" w:sz="4" w:space="0" w:color="0077BD"/>
              <w:right w:val="nil"/>
            </w:tcBorders>
            <w:shd w:val="clear" w:color="auto" w:fill="auto"/>
            <w:vAlign w:val="center"/>
            <w:hideMark/>
          </w:tcPr>
          <w:p w14:paraId="41679925" w14:textId="785291FE"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4" w:space="0" w:color="0077BD"/>
              <w:left w:val="single" w:sz="8" w:space="0" w:color="0077BD"/>
              <w:bottom w:val="single" w:sz="4" w:space="0" w:color="0077BD"/>
              <w:right w:val="nil"/>
            </w:tcBorders>
            <w:shd w:val="clear" w:color="auto" w:fill="auto"/>
            <w:vAlign w:val="center"/>
            <w:hideMark/>
          </w:tcPr>
          <w:p w14:paraId="3E6AFF27" w14:textId="2EB8E83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4" w:space="0" w:color="0077BD"/>
              <w:left w:val="single" w:sz="8" w:space="0" w:color="0077BD"/>
              <w:bottom w:val="single" w:sz="4" w:space="0" w:color="0077BD"/>
              <w:right w:val="nil"/>
            </w:tcBorders>
            <w:shd w:val="clear" w:color="auto" w:fill="auto"/>
            <w:vAlign w:val="center"/>
            <w:hideMark/>
          </w:tcPr>
          <w:p w14:paraId="29CB456C" w14:textId="4252E86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single" w:sz="4" w:space="0" w:color="0077BD"/>
              <w:left w:val="single" w:sz="8" w:space="0" w:color="0077BD"/>
              <w:bottom w:val="single" w:sz="4" w:space="0" w:color="0077BD"/>
              <w:right w:val="nil"/>
            </w:tcBorders>
            <w:shd w:val="clear" w:color="auto" w:fill="auto"/>
            <w:vAlign w:val="center"/>
          </w:tcPr>
          <w:p w14:paraId="76331A4C" w14:textId="01A9F76F"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4 015 073</w:t>
            </w:r>
          </w:p>
        </w:tc>
      </w:tr>
      <w:tr w:rsidR="0012696D" w:rsidRPr="0012696D" w14:paraId="0740F421"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7C344A89"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2</w:t>
            </w:r>
          </w:p>
        </w:tc>
        <w:tc>
          <w:tcPr>
            <w:tcW w:w="1143" w:type="dxa"/>
            <w:gridSpan w:val="2"/>
            <w:tcBorders>
              <w:top w:val="nil"/>
              <w:left w:val="single" w:sz="8" w:space="0" w:color="0077BD"/>
              <w:bottom w:val="single" w:sz="4" w:space="0" w:color="0077BD"/>
              <w:right w:val="nil"/>
            </w:tcBorders>
            <w:shd w:val="clear" w:color="auto" w:fill="auto"/>
            <w:vAlign w:val="center"/>
          </w:tcPr>
          <w:p w14:paraId="7D1C6672" w14:textId="70860C27"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180 326</w:t>
            </w:r>
          </w:p>
        </w:tc>
        <w:tc>
          <w:tcPr>
            <w:tcW w:w="1133" w:type="dxa"/>
            <w:tcBorders>
              <w:top w:val="nil"/>
              <w:left w:val="single" w:sz="8" w:space="0" w:color="0077BD"/>
              <w:bottom w:val="single" w:sz="4" w:space="0" w:color="0077BD"/>
              <w:right w:val="nil"/>
            </w:tcBorders>
            <w:shd w:val="clear" w:color="auto" w:fill="auto"/>
            <w:vAlign w:val="center"/>
            <w:hideMark/>
          </w:tcPr>
          <w:p w14:paraId="45932D35" w14:textId="7E647D25"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3A3A2598" w14:textId="62120B58"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63C0FBCD" w14:textId="5AD02162"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7D88E187" w14:textId="7D9D9978"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180 326</w:t>
            </w:r>
          </w:p>
        </w:tc>
      </w:tr>
      <w:tr w:rsidR="0012696D" w:rsidRPr="0012696D" w14:paraId="1501D4F5"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61E241AB"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3</w:t>
            </w:r>
          </w:p>
        </w:tc>
        <w:tc>
          <w:tcPr>
            <w:tcW w:w="1143" w:type="dxa"/>
            <w:gridSpan w:val="2"/>
            <w:tcBorders>
              <w:top w:val="nil"/>
              <w:left w:val="single" w:sz="8" w:space="0" w:color="0077BD"/>
              <w:bottom w:val="single" w:sz="4" w:space="0" w:color="0077BD"/>
              <w:right w:val="nil"/>
            </w:tcBorders>
            <w:shd w:val="clear" w:color="auto" w:fill="auto"/>
            <w:vAlign w:val="center"/>
          </w:tcPr>
          <w:p w14:paraId="3FFE395A" w14:textId="22158DE0"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5 146</w:t>
            </w:r>
          </w:p>
        </w:tc>
        <w:tc>
          <w:tcPr>
            <w:tcW w:w="1133" w:type="dxa"/>
            <w:tcBorders>
              <w:top w:val="nil"/>
              <w:left w:val="single" w:sz="8" w:space="0" w:color="0077BD"/>
              <w:bottom w:val="single" w:sz="4" w:space="0" w:color="0077BD"/>
              <w:right w:val="nil"/>
            </w:tcBorders>
            <w:shd w:val="clear" w:color="auto" w:fill="auto"/>
            <w:vAlign w:val="center"/>
            <w:hideMark/>
          </w:tcPr>
          <w:p w14:paraId="16EB11AE" w14:textId="3C23B74F"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53120DD6" w14:textId="3E30C9DB"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76A9AB79" w14:textId="0F66A626"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66242DE7" w14:textId="7000AA49"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5 146</w:t>
            </w:r>
          </w:p>
        </w:tc>
      </w:tr>
      <w:tr w:rsidR="0012696D" w:rsidRPr="0012696D" w14:paraId="75742D43"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02536CE9"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4</w:t>
            </w:r>
          </w:p>
        </w:tc>
        <w:tc>
          <w:tcPr>
            <w:tcW w:w="1143" w:type="dxa"/>
            <w:gridSpan w:val="2"/>
            <w:tcBorders>
              <w:top w:val="nil"/>
              <w:left w:val="single" w:sz="8" w:space="0" w:color="0077BD"/>
              <w:bottom w:val="single" w:sz="4" w:space="0" w:color="0077BD"/>
              <w:right w:val="nil"/>
            </w:tcBorders>
            <w:shd w:val="clear" w:color="auto" w:fill="auto"/>
            <w:vAlign w:val="center"/>
          </w:tcPr>
          <w:p w14:paraId="5585D912" w14:textId="6491B258"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66 160</w:t>
            </w:r>
          </w:p>
        </w:tc>
        <w:tc>
          <w:tcPr>
            <w:tcW w:w="1133" w:type="dxa"/>
            <w:tcBorders>
              <w:top w:val="nil"/>
              <w:left w:val="single" w:sz="8" w:space="0" w:color="0077BD"/>
              <w:bottom w:val="single" w:sz="4" w:space="0" w:color="0077BD"/>
              <w:right w:val="nil"/>
            </w:tcBorders>
            <w:shd w:val="clear" w:color="auto" w:fill="auto"/>
            <w:vAlign w:val="center"/>
            <w:hideMark/>
          </w:tcPr>
          <w:p w14:paraId="0AE56AC0" w14:textId="2AD9236B"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1E3CFEC0" w14:textId="4B44124B"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505CBAA" w14:textId="4EC5915A"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6A631046" w14:textId="0C660D47"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66 160</w:t>
            </w:r>
          </w:p>
        </w:tc>
      </w:tr>
      <w:tr w:rsidR="0012696D" w:rsidRPr="0012696D" w14:paraId="0D3AB907"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04F94965"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5</w:t>
            </w:r>
          </w:p>
        </w:tc>
        <w:tc>
          <w:tcPr>
            <w:tcW w:w="1143" w:type="dxa"/>
            <w:gridSpan w:val="2"/>
            <w:tcBorders>
              <w:top w:val="nil"/>
              <w:left w:val="single" w:sz="8" w:space="0" w:color="0077BD"/>
              <w:bottom w:val="single" w:sz="4" w:space="0" w:color="0077BD"/>
              <w:right w:val="nil"/>
            </w:tcBorders>
            <w:shd w:val="clear" w:color="auto" w:fill="auto"/>
            <w:vAlign w:val="center"/>
          </w:tcPr>
          <w:p w14:paraId="6A816A73" w14:textId="42181FA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5 336</w:t>
            </w:r>
          </w:p>
        </w:tc>
        <w:tc>
          <w:tcPr>
            <w:tcW w:w="1133" w:type="dxa"/>
            <w:tcBorders>
              <w:top w:val="nil"/>
              <w:left w:val="single" w:sz="8" w:space="0" w:color="0077BD"/>
              <w:bottom w:val="single" w:sz="4" w:space="0" w:color="0077BD"/>
              <w:right w:val="nil"/>
            </w:tcBorders>
            <w:shd w:val="clear" w:color="auto" w:fill="auto"/>
            <w:vAlign w:val="center"/>
            <w:hideMark/>
          </w:tcPr>
          <w:p w14:paraId="01DDB7EA" w14:textId="499A0FA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31E54255" w14:textId="3671D0AD"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432E84CF" w14:textId="2CDB8EA6"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6AA9C014" w14:textId="7DFC474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5 336</w:t>
            </w:r>
          </w:p>
        </w:tc>
      </w:tr>
      <w:tr w:rsidR="0012696D" w:rsidRPr="0012696D" w14:paraId="4D93D2DD"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20D8FB64"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6</w:t>
            </w:r>
          </w:p>
        </w:tc>
        <w:tc>
          <w:tcPr>
            <w:tcW w:w="1143" w:type="dxa"/>
            <w:gridSpan w:val="2"/>
            <w:tcBorders>
              <w:top w:val="nil"/>
              <w:left w:val="single" w:sz="8" w:space="0" w:color="0077BD"/>
              <w:bottom w:val="single" w:sz="4" w:space="0" w:color="0077BD"/>
              <w:right w:val="nil"/>
            </w:tcBorders>
            <w:shd w:val="clear" w:color="auto" w:fill="auto"/>
            <w:vAlign w:val="center"/>
          </w:tcPr>
          <w:p w14:paraId="3F30E77F" w14:textId="52483C5F"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522DC781" w14:textId="3009BC66"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414B8DEF" w14:textId="49D07C4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0A90DD26" w14:textId="72A481FA"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7280ADAE" w14:textId="2C1B43C4"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r>
      <w:tr w:rsidR="0012696D" w:rsidRPr="0012696D" w14:paraId="064F71A3"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3B0D3C6E"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7</w:t>
            </w:r>
          </w:p>
        </w:tc>
        <w:tc>
          <w:tcPr>
            <w:tcW w:w="1143" w:type="dxa"/>
            <w:gridSpan w:val="2"/>
            <w:tcBorders>
              <w:top w:val="nil"/>
              <w:left w:val="single" w:sz="8" w:space="0" w:color="0077BD"/>
              <w:bottom w:val="single" w:sz="4" w:space="0" w:color="0077BD"/>
              <w:right w:val="nil"/>
            </w:tcBorders>
            <w:shd w:val="clear" w:color="auto" w:fill="auto"/>
            <w:vAlign w:val="center"/>
          </w:tcPr>
          <w:p w14:paraId="05D42121" w14:textId="2D03781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3607A84F" w14:textId="26296780"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5ED0B6D0" w14:textId="1506FE79"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08023AC8" w14:textId="39482819"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5895CFBD" w14:textId="20371349"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r>
      <w:tr w:rsidR="0012696D" w:rsidRPr="0012696D" w14:paraId="11BCFA4D"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30C723E0"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8</w:t>
            </w:r>
          </w:p>
        </w:tc>
        <w:tc>
          <w:tcPr>
            <w:tcW w:w="1143" w:type="dxa"/>
            <w:gridSpan w:val="2"/>
            <w:tcBorders>
              <w:top w:val="nil"/>
              <w:left w:val="single" w:sz="8" w:space="0" w:color="0077BD"/>
              <w:bottom w:val="single" w:sz="4" w:space="0" w:color="0077BD"/>
              <w:right w:val="nil"/>
            </w:tcBorders>
            <w:shd w:val="clear" w:color="auto" w:fill="auto"/>
            <w:vAlign w:val="center"/>
          </w:tcPr>
          <w:p w14:paraId="62B821EA" w14:textId="7BEBA6F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63 855</w:t>
            </w:r>
          </w:p>
        </w:tc>
        <w:tc>
          <w:tcPr>
            <w:tcW w:w="1133" w:type="dxa"/>
            <w:tcBorders>
              <w:top w:val="nil"/>
              <w:left w:val="single" w:sz="8" w:space="0" w:color="0077BD"/>
              <w:bottom w:val="single" w:sz="4" w:space="0" w:color="0077BD"/>
              <w:right w:val="nil"/>
            </w:tcBorders>
            <w:shd w:val="clear" w:color="auto" w:fill="auto"/>
            <w:vAlign w:val="center"/>
            <w:hideMark/>
          </w:tcPr>
          <w:p w14:paraId="4CF9EA2B" w14:textId="633C3B6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A995D7F" w14:textId="6E8D9868"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58A49DDD" w14:textId="6D1A9C2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3E490120" w14:textId="30E47C8D"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63 855</w:t>
            </w:r>
          </w:p>
        </w:tc>
      </w:tr>
      <w:tr w:rsidR="0012696D" w:rsidRPr="0012696D" w14:paraId="7707798C"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19DB0F00"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pozostałe</w:t>
            </w:r>
          </w:p>
        </w:tc>
        <w:tc>
          <w:tcPr>
            <w:tcW w:w="1143" w:type="dxa"/>
            <w:gridSpan w:val="2"/>
            <w:tcBorders>
              <w:top w:val="nil"/>
              <w:left w:val="single" w:sz="8" w:space="0" w:color="0077BD"/>
              <w:bottom w:val="single" w:sz="4" w:space="0" w:color="0077BD"/>
              <w:right w:val="nil"/>
            </w:tcBorders>
            <w:shd w:val="clear" w:color="auto" w:fill="auto"/>
            <w:vAlign w:val="center"/>
          </w:tcPr>
          <w:p w14:paraId="03DB413B" w14:textId="488AE9B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6 994</w:t>
            </w:r>
          </w:p>
        </w:tc>
        <w:tc>
          <w:tcPr>
            <w:tcW w:w="1133" w:type="dxa"/>
            <w:tcBorders>
              <w:top w:val="nil"/>
              <w:left w:val="single" w:sz="8" w:space="0" w:color="0077BD"/>
              <w:bottom w:val="single" w:sz="4" w:space="0" w:color="0077BD"/>
              <w:right w:val="nil"/>
            </w:tcBorders>
            <w:shd w:val="clear" w:color="auto" w:fill="auto"/>
            <w:vAlign w:val="center"/>
            <w:hideMark/>
          </w:tcPr>
          <w:p w14:paraId="0D6219D4" w14:textId="2851C34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07857FA2" w14:textId="0D62BA1E"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77E245F" w14:textId="2AAD7C4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2D462508" w14:textId="5C84E7D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6 994</w:t>
            </w:r>
          </w:p>
        </w:tc>
      </w:tr>
      <w:tr w:rsidR="0012696D" w:rsidRPr="0012696D" w14:paraId="0FDAF891"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74CEE14C" w14:textId="77777777" w:rsidR="0012696D" w:rsidRPr="0012696D" w:rsidRDefault="0012696D" w:rsidP="0012696D">
            <w:pPr>
              <w:jc w:val="center"/>
              <w:rPr>
                <w:rFonts w:cs="Calibri"/>
                <w:color w:val="000000" w:themeColor="text1"/>
                <w:sz w:val="13"/>
                <w:szCs w:val="13"/>
              </w:rPr>
            </w:pPr>
            <w:r w:rsidRPr="0012696D">
              <w:rPr>
                <w:rFonts w:cs="Calibri"/>
                <w:color w:val="000000" w:themeColor="text1"/>
                <w:sz w:val="13"/>
                <w:szCs w:val="13"/>
              </w:rPr>
              <w:t>default</w:t>
            </w:r>
          </w:p>
        </w:tc>
        <w:tc>
          <w:tcPr>
            <w:tcW w:w="1143" w:type="dxa"/>
            <w:gridSpan w:val="2"/>
            <w:tcBorders>
              <w:top w:val="nil"/>
              <w:left w:val="single" w:sz="8" w:space="0" w:color="0077BD"/>
              <w:bottom w:val="single" w:sz="4" w:space="0" w:color="0077BD"/>
              <w:right w:val="nil"/>
            </w:tcBorders>
            <w:shd w:val="clear" w:color="auto" w:fill="auto"/>
            <w:vAlign w:val="center"/>
          </w:tcPr>
          <w:p w14:paraId="3FA6211D" w14:textId="71BFD4B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63511CCA" w14:textId="303D1625"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39CA679F" w14:textId="0A49E8C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4F60A5E" w14:textId="6D6BC773"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0DF87631" w14:textId="5ACF839B"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r>
      <w:tr w:rsidR="0012696D" w:rsidRPr="0012696D" w14:paraId="07E0058C"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5E7E8015" w14:textId="77777777" w:rsidR="0012696D" w:rsidRPr="0012696D" w:rsidRDefault="0012696D" w:rsidP="0012696D">
            <w:pPr>
              <w:rPr>
                <w:rFonts w:cs="Calibri"/>
                <w:b/>
                <w:bCs/>
                <w:color w:val="000000" w:themeColor="text1"/>
                <w:sz w:val="13"/>
                <w:szCs w:val="13"/>
              </w:rPr>
            </w:pPr>
            <w:r w:rsidRPr="0012696D">
              <w:rPr>
                <w:rFonts w:cs="Calibri"/>
                <w:b/>
                <w:bCs/>
                <w:color w:val="000000" w:themeColor="text1"/>
                <w:sz w:val="13"/>
                <w:szCs w:val="13"/>
              </w:rPr>
              <w:t>Wartość bilansowa brutto</w:t>
            </w:r>
          </w:p>
        </w:tc>
        <w:tc>
          <w:tcPr>
            <w:tcW w:w="1143" w:type="dxa"/>
            <w:gridSpan w:val="2"/>
            <w:tcBorders>
              <w:top w:val="nil"/>
              <w:left w:val="single" w:sz="8" w:space="0" w:color="0077BD"/>
              <w:bottom w:val="single" w:sz="4" w:space="0" w:color="0077BD"/>
              <w:right w:val="nil"/>
            </w:tcBorders>
            <w:shd w:val="clear" w:color="auto" w:fill="auto"/>
            <w:vAlign w:val="center"/>
          </w:tcPr>
          <w:p w14:paraId="36048251" w14:textId="65F8C2D3"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4 342 890</w:t>
            </w:r>
          </w:p>
        </w:tc>
        <w:tc>
          <w:tcPr>
            <w:tcW w:w="1133" w:type="dxa"/>
            <w:tcBorders>
              <w:top w:val="nil"/>
              <w:left w:val="single" w:sz="8" w:space="0" w:color="0077BD"/>
              <w:bottom w:val="single" w:sz="4" w:space="0" w:color="0077BD"/>
              <w:right w:val="nil"/>
            </w:tcBorders>
            <w:shd w:val="clear" w:color="auto" w:fill="auto"/>
            <w:vAlign w:val="center"/>
            <w:hideMark/>
          </w:tcPr>
          <w:p w14:paraId="66082B59" w14:textId="0AB2B12A"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6273F1F0" w14:textId="237E2B53"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151560A7" w14:textId="4C85CFC4"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70299FB0" w14:textId="44806539"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4 342 890</w:t>
            </w:r>
          </w:p>
        </w:tc>
      </w:tr>
      <w:tr w:rsidR="0012696D" w:rsidRPr="0012696D" w14:paraId="2EFB5ABC" w14:textId="77777777" w:rsidTr="00ED5300">
        <w:trPr>
          <w:gridAfter w:val="1"/>
          <w:wAfter w:w="58" w:type="dxa"/>
          <w:trHeight w:val="284"/>
        </w:trPr>
        <w:tc>
          <w:tcPr>
            <w:tcW w:w="3906" w:type="dxa"/>
            <w:gridSpan w:val="2"/>
            <w:tcBorders>
              <w:top w:val="nil"/>
              <w:left w:val="nil"/>
              <w:bottom w:val="single" w:sz="4" w:space="0" w:color="0077BD"/>
              <w:right w:val="single" w:sz="8" w:space="0" w:color="0077BD"/>
            </w:tcBorders>
            <w:shd w:val="clear" w:color="auto" w:fill="auto"/>
            <w:vAlign w:val="center"/>
            <w:hideMark/>
          </w:tcPr>
          <w:p w14:paraId="384180D6" w14:textId="77777777" w:rsidR="0012696D" w:rsidRPr="0012696D" w:rsidRDefault="0012696D" w:rsidP="0012696D">
            <w:pPr>
              <w:rPr>
                <w:rFonts w:cs="Calibri"/>
                <w:color w:val="000000" w:themeColor="text1"/>
                <w:sz w:val="13"/>
                <w:szCs w:val="13"/>
              </w:rPr>
            </w:pPr>
            <w:r w:rsidRPr="0012696D">
              <w:rPr>
                <w:rFonts w:cs="Calibri"/>
                <w:color w:val="000000" w:themeColor="text1"/>
                <w:sz w:val="13"/>
                <w:szCs w:val="13"/>
              </w:rPr>
              <w:t>Skumulowana utrata wartości</w:t>
            </w:r>
          </w:p>
        </w:tc>
        <w:tc>
          <w:tcPr>
            <w:tcW w:w="1143" w:type="dxa"/>
            <w:gridSpan w:val="2"/>
            <w:tcBorders>
              <w:top w:val="nil"/>
              <w:left w:val="single" w:sz="8" w:space="0" w:color="0077BD"/>
              <w:bottom w:val="single" w:sz="4" w:space="0" w:color="0077BD"/>
              <w:right w:val="nil"/>
            </w:tcBorders>
            <w:shd w:val="clear" w:color="auto" w:fill="auto"/>
            <w:vAlign w:val="center"/>
          </w:tcPr>
          <w:p w14:paraId="43F85554" w14:textId="0CB81F71"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(1 132)</w:t>
            </w:r>
          </w:p>
        </w:tc>
        <w:tc>
          <w:tcPr>
            <w:tcW w:w="1133" w:type="dxa"/>
            <w:tcBorders>
              <w:top w:val="nil"/>
              <w:left w:val="single" w:sz="8" w:space="0" w:color="0077BD"/>
              <w:bottom w:val="single" w:sz="4" w:space="0" w:color="0077BD"/>
              <w:right w:val="nil"/>
            </w:tcBorders>
            <w:shd w:val="clear" w:color="auto" w:fill="auto"/>
            <w:vAlign w:val="center"/>
            <w:hideMark/>
          </w:tcPr>
          <w:p w14:paraId="28EE4B36" w14:textId="66086D5C"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58C82C55" w14:textId="15B846B4"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1259B14B" w14:textId="33C0D72D"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15F339C1" w14:textId="080BB9A2" w:rsidR="0012696D" w:rsidRPr="0012696D" w:rsidRDefault="0012696D" w:rsidP="0012696D">
            <w:pPr>
              <w:jc w:val="right"/>
              <w:rPr>
                <w:rFonts w:cs="Calibri"/>
                <w:color w:val="000000" w:themeColor="text1"/>
                <w:sz w:val="13"/>
                <w:szCs w:val="13"/>
              </w:rPr>
            </w:pPr>
            <w:r w:rsidRPr="0012696D">
              <w:rPr>
                <w:rFonts w:cs="Calibri"/>
                <w:color w:val="000000" w:themeColor="text1"/>
                <w:sz w:val="13"/>
                <w:szCs w:val="13"/>
              </w:rPr>
              <w:t>(1 132)</w:t>
            </w:r>
          </w:p>
        </w:tc>
      </w:tr>
      <w:tr w:rsidR="0012696D" w:rsidRPr="0012696D" w14:paraId="2C5BC5A4" w14:textId="77777777" w:rsidTr="00ED5300">
        <w:trPr>
          <w:gridAfter w:val="1"/>
          <w:wAfter w:w="58" w:type="dxa"/>
          <w:trHeight w:val="284"/>
        </w:trPr>
        <w:tc>
          <w:tcPr>
            <w:tcW w:w="3906" w:type="dxa"/>
            <w:gridSpan w:val="2"/>
            <w:tcBorders>
              <w:top w:val="single" w:sz="8" w:space="0" w:color="0077BD"/>
              <w:left w:val="nil"/>
              <w:bottom w:val="single" w:sz="8" w:space="0" w:color="0077BD"/>
              <w:right w:val="single" w:sz="8" w:space="0" w:color="0077BD"/>
            </w:tcBorders>
            <w:shd w:val="clear" w:color="auto" w:fill="auto"/>
            <w:vAlign w:val="center"/>
            <w:hideMark/>
          </w:tcPr>
          <w:p w14:paraId="7BD4ABEB" w14:textId="77777777" w:rsidR="0012696D" w:rsidRPr="0012696D" w:rsidRDefault="0012696D" w:rsidP="0012696D">
            <w:pPr>
              <w:rPr>
                <w:rFonts w:cs="Calibri"/>
                <w:b/>
                <w:bCs/>
                <w:color w:val="000000" w:themeColor="text1"/>
                <w:sz w:val="13"/>
                <w:szCs w:val="13"/>
              </w:rPr>
            </w:pPr>
            <w:r w:rsidRPr="0012696D">
              <w:rPr>
                <w:rFonts w:cs="Calibri"/>
                <w:b/>
                <w:bCs/>
                <w:color w:val="000000" w:themeColor="text1"/>
                <w:sz w:val="13"/>
                <w:szCs w:val="13"/>
              </w:rPr>
              <w:t>Wartość bilansowa</w:t>
            </w:r>
          </w:p>
        </w:tc>
        <w:tc>
          <w:tcPr>
            <w:tcW w:w="1143" w:type="dxa"/>
            <w:gridSpan w:val="2"/>
            <w:tcBorders>
              <w:top w:val="single" w:sz="8" w:space="0" w:color="0077BD"/>
              <w:left w:val="single" w:sz="8" w:space="0" w:color="0077BD"/>
              <w:bottom w:val="single" w:sz="8" w:space="0" w:color="0077BD"/>
              <w:right w:val="nil"/>
            </w:tcBorders>
            <w:shd w:val="clear" w:color="auto" w:fill="auto"/>
            <w:vAlign w:val="center"/>
          </w:tcPr>
          <w:p w14:paraId="28D45D78" w14:textId="44DD3EFD"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4 341 758</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76128B40" w14:textId="2E982CFA"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4074FB1B" w14:textId="34C85223"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hideMark/>
          </w:tcPr>
          <w:p w14:paraId="62D2012A" w14:textId="250E6823"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2D83979A" w14:textId="34BDD6F7" w:rsidR="0012696D" w:rsidRPr="0012696D" w:rsidRDefault="0012696D" w:rsidP="0012696D">
            <w:pPr>
              <w:jc w:val="right"/>
              <w:rPr>
                <w:rFonts w:cs="Calibri"/>
                <w:b/>
                <w:bCs/>
                <w:color w:val="000000" w:themeColor="text1"/>
                <w:sz w:val="13"/>
                <w:szCs w:val="13"/>
              </w:rPr>
            </w:pPr>
            <w:r w:rsidRPr="0012696D">
              <w:rPr>
                <w:rFonts w:cs="Calibri"/>
                <w:b/>
                <w:bCs/>
                <w:color w:val="000000" w:themeColor="text1"/>
                <w:sz w:val="13"/>
                <w:szCs w:val="13"/>
              </w:rPr>
              <w:t>4 341 758</w:t>
            </w:r>
          </w:p>
        </w:tc>
      </w:tr>
      <w:tr w:rsidR="00726E31" w:rsidRPr="0012696D" w14:paraId="065A27C9" w14:textId="77777777" w:rsidTr="00ED5300">
        <w:trPr>
          <w:trHeight w:val="284"/>
        </w:trPr>
        <w:tc>
          <w:tcPr>
            <w:tcW w:w="9639" w:type="dxa"/>
            <w:gridSpan w:val="9"/>
            <w:tcBorders>
              <w:top w:val="single" w:sz="8" w:space="0" w:color="0077BD"/>
              <w:left w:val="nil"/>
              <w:bottom w:val="single" w:sz="8" w:space="0" w:color="0077BD"/>
              <w:right w:val="nil"/>
            </w:tcBorders>
            <w:shd w:val="clear" w:color="000000" w:fill="FFFFFF"/>
            <w:vAlign w:val="center"/>
            <w:hideMark/>
          </w:tcPr>
          <w:p w14:paraId="139CEDC4" w14:textId="7E65FB36" w:rsidR="00726E31" w:rsidRPr="0012696D" w:rsidRDefault="00726E31" w:rsidP="00E441BD">
            <w:pPr>
              <w:rPr>
                <w:rFonts w:cs="Calibri"/>
                <w:b/>
                <w:bCs/>
                <w:color w:val="000000" w:themeColor="text1"/>
                <w:sz w:val="13"/>
                <w:szCs w:val="13"/>
              </w:rPr>
            </w:pPr>
            <w:r w:rsidRPr="0012696D">
              <w:rPr>
                <w:rFonts w:cs="Calibri"/>
                <w:b/>
                <w:bCs/>
                <w:color w:val="000000" w:themeColor="text1"/>
                <w:sz w:val="13"/>
                <w:szCs w:val="13"/>
              </w:rPr>
              <w:t>Kredyty i pożyczki udzielone klientom wyceniane w zamortyzowanym koszcie</w:t>
            </w:r>
          </w:p>
        </w:tc>
      </w:tr>
      <w:tr w:rsidR="0084503F" w:rsidRPr="0012696D" w14:paraId="28A154AE" w14:textId="77777777" w:rsidTr="00ED5300">
        <w:trPr>
          <w:trHeight w:val="284"/>
        </w:trPr>
        <w:tc>
          <w:tcPr>
            <w:tcW w:w="3916" w:type="dxa"/>
            <w:gridSpan w:val="3"/>
            <w:tcBorders>
              <w:top w:val="single" w:sz="4" w:space="0" w:color="0077BD"/>
              <w:left w:val="nil"/>
              <w:bottom w:val="single" w:sz="4" w:space="0" w:color="0077BD"/>
              <w:right w:val="single" w:sz="8" w:space="0" w:color="0077BD"/>
            </w:tcBorders>
            <w:shd w:val="clear" w:color="auto" w:fill="auto"/>
            <w:vAlign w:val="center"/>
            <w:hideMark/>
          </w:tcPr>
          <w:p w14:paraId="4BB50A9B"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1</w:t>
            </w:r>
          </w:p>
        </w:tc>
        <w:tc>
          <w:tcPr>
            <w:tcW w:w="1133" w:type="dxa"/>
            <w:tcBorders>
              <w:top w:val="single" w:sz="4" w:space="0" w:color="0077BD"/>
              <w:left w:val="single" w:sz="8" w:space="0" w:color="0077BD"/>
              <w:bottom w:val="single" w:sz="4" w:space="0" w:color="0077BD"/>
              <w:right w:val="nil"/>
            </w:tcBorders>
            <w:shd w:val="clear" w:color="auto" w:fill="auto"/>
            <w:vAlign w:val="center"/>
          </w:tcPr>
          <w:p w14:paraId="7B64CC2C" w14:textId="1DC53F3D" w:rsidR="0084503F" w:rsidRPr="0084503F" w:rsidRDefault="0084503F" w:rsidP="0084503F">
            <w:pPr>
              <w:jc w:val="right"/>
              <w:rPr>
                <w:rFonts w:cs="Calibri"/>
                <w:color w:val="000000" w:themeColor="text1"/>
                <w:sz w:val="13"/>
                <w:szCs w:val="13"/>
              </w:rPr>
            </w:pPr>
            <w:r w:rsidRPr="0084503F">
              <w:rPr>
                <w:rFonts w:cs="Calibri"/>
                <w:color w:val="000000"/>
                <w:sz w:val="13"/>
                <w:szCs w:val="13"/>
              </w:rPr>
              <w:t>13 510 433</w:t>
            </w:r>
          </w:p>
        </w:tc>
        <w:tc>
          <w:tcPr>
            <w:tcW w:w="1133" w:type="dxa"/>
            <w:tcBorders>
              <w:top w:val="single" w:sz="4" w:space="0" w:color="0077BD"/>
              <w:left w:val="single" w:sz="8" w:space="0" w:color="0077BD"/>
              <w:bottom w:val="single" w:sz="4" w:space="0" w:color="0077BD"/>
              <w:right w:val="nil"/>
            </w:tcBorders>
            <w:shd w:val="clear" w:color="auto" w:fill="auto"/>
            <w:vAlign w:val="center"/>
          </w:tcPr>
          <w:p w14:paraId="64F9BB74" w14:textId="3398CBC5" w:rsidR="0084503F" w:rsidRPr="0084503F" w:rsidRDefault="0084503F" w:rsidP="0084503F">
            <w:pPr>
              <w:jc w:val="right"/>
              <w:rPr>
                <w:rFonts w:cs="Calibri"/>
                <w:color w:val="000000" w:themeColor="text1"/>
                <w:sz w:val="13"/>
                <w:szCs w:val="13"/>
              </w:rPr>
            </w:pPr>
            <w:r w:rsidRPr="0084503F">
              <w:rPr>
                <w:rFonts w:cs="Calibri"/>
                <w:color w:val="000000"/>
                <w:sz w:val="13"/>
                <w:szCs w:val="13"/>
              </w:rPr>
              <w:t>170 361</w:t>
            </w:r>
          </w:p>
        </w:tc>
        <w:tc>
          <w:tcPr>
            <w:tcW w:w="1133" w:type="dxa"/>
            <w:tcBorders>
              <w:top w:val="single" w:sz="4" w:space="0" w:color="0077BD"/>
              <w:left w:val="single" w:sz="8" w:space="0" w:color="0077BD"/>
              <w:bottom w:val="single" w:sz="4" w:space="0" w:color="0077BD"/>
              <w:right w:val="nil"/>
            </w:tcBorders>
            <w:shd w:val="clear" w:color="auto" w:fill="auto"/>
            <w:vAlign w:val="center"/>
            <w:hideMark/>
          </w:tcPr>
          <w:p w14:paraId="5B993A90" w14:textId="0A5A22FB"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single" w:sz="4" w:space="0" w:color="0077BD"/>
              <w:left w:val="single" w:sz="8" w:space="0" w:color="0077BD"/>
              <w:bottom w:val="single" w:sz="4" w:space="0" w:color="0077BD"/>
              <w:right w:val="nil"/>
            </w:tcBorders>
            <w:shd w:val="clear" w:color="auto" w:fill="auto"/>
            <w:vAlign w:val="center"/>
            <w:hideMark/>
          </w:tcPr>
          <w:p w14:paraId="206895F5" w14:textId="7FD2740D"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91" w:type="dxa"/>
            <w:gridSpan w:val="2"/>
            <w:tcBorders>
              <w:top w:val="single" w:sz="4" w:space="0" w:color="0077BD"/>
              <w:left w:val="single" w:sz="8" w:space="0" w:color="0077BD"/>
              <w:bottom w:val="single" w:sz="4" w:space="0" w:color="0077BD"/>
              <w:right w:val="nil"/>
            </w:tcBorders>
            <w:shd w:val="clear" w:color="auto" w:fill="auto"/>
            <w:vAlign w:val="center"/>
            <w:hideMark/>
          </w:tcPr>
          <w:p w14:paraId="674DA434" w14:textId="708DA6B4" w:rsidR="0084503F" w:rsidRPr="0084503F" w:rsidRDefault="0084503F" w:rsidP="0084503F">
            <w:pPr>
              <w:jc w:val="right"/>
              <w:rPr>
                <w:rFonts w:cs="Calibri"/>
                <w:color w:val="000000" w:themeColor="text1"/>
                <w:sz w:val="13"/>
                <w:szCs w:val="13"/>
              </w:rPr>
            </w:pPr>
            <w:r w:rsidRPr="0084503F">
              <w:rPr>
                <w:rFonts w:cs="Calibri"/>
                <w:color w:val="000000"/>
                <w:sz w:val="13"/>
                <w:szCs w:val="13"/>
              </w:rPr>
              <w:t>13 680 794</w:t>
            </w:r>
          </w:p>
        </w:tc>
      </w:tr>
      <w:tr w:rsidR="0084503F" w:rsidRPr="0012696D" w14:paraId="1E027E11"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503A5F5E"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2</w:t>
            </w:r>
          </w:p>
        </w:tc>
        <w:tc>
          <w:tcPr>
            <w:tcW w:w="1133" w:type="dxa"/>
            <w:tcBorders>
              <w:top w:val="nil"/>
              <w:left w:val="single" w:sz="8" w:space="0" w:color="0077BD"/>
              <w:bottom w:val="single" w:sz="4" w:space="0" w:color="0077BD"/>
              <w:right w:val="nil"/>
            </w:tcBorders>
            <w:shd w:val="clear" w:color="auto" w:fill="auto"/>
            <w:vAlign w:val="center"/>
          </w:tcPr>
          <w:p w14:paraId="6A696FEA" w14:textId="35307ADC" w:rsidR="0084503F" w:rsidRPr="0084503F" w:rsidRDefault="0084503F" w:rsidP="0084503F">
            <w:pPr>
              <w:jc w:val="right"/>
              <w:rPr>
                <w:rFonts w:cs="Calibri"/>
                <w:color w:val="000000" w:themeColor="text1"/>
                <w:sz w:val="13"/>
                <w:szCs w:val="13"/>
              </w:rPr>
            </w:pPr>
            <w:r w:rsidRPr="0084503F">
              <w:rPr>
                <w:rFonts w:cs="Calibri"/>
                <w:color w:val="000000"/>
                <w:sz w:val="13"/>
                <w:szCs w:val="13"/>
              </w:rPr>
              <w:t>32 498 006</w:t>
            </w:r>
          </w:p>
        </w:tc>
        <w:tc>
          <w:tcPr>
            <w:tcW w:w="1133" w:type="dxa"/>
            <w:tcBorders>
              <w:top w:val="nil"/>
              <w:left w:val="single" w:sz="8" w:space="0" w:color="0077BD"/>
              <w:bottom w:val="single" w:sz="4" w:space="0" w:color="0077BD"/>
              <w:right w:val="nil"/>
            </w:tcBorders>
            <w:shd w:val="clear" w:color="auto" w:fill="auto"/>
            <w:vAlign w:val="center"/>
          </w:tcPr>
          <w:p w14:paraId="69F74AE2" w14:textId="596173BF" w:rsidR="0084503F" w:rsidRPr="0084503F" w:rsidRDefault="0084503F" w:rsidP="0084503F">
            <w:pPr>
              <w:jc w:val="right"/>
              <w:rPr>
                <w:rFonts w:cs="Calibri"/>
                <w:color w:val="000000" w:themeColor="text1"/>
                <w:sz w:val="13"/>
                <w:szCs w:val="13"/>
              </w:rPr>
            </w:pPr>
            <w:r w:rsidRPr="0084503F">
              <w:rPr>
                <w:rFonts w:cs="Calibri"/>
                <w:color w:val="000000"/>
                <w:sz w:val="13"/>
                <w:szCs w:val="13"/>
              </w:rPr>
              <w:t>1 461 030</w:t>
            </w:r>
          </w:p>
        </w:tc>
        <w:tc>
          <w:tcPr>
            <w:tcW w:w="1133" w:type="dxa"/>
            <w:tcBorders>
              <w:top w:val="nil"/>
              <w:left w:val="single" w:sz="8" w:space="0" w:color="0077BD"/>
              <w:bottom w:val="single" w:sz="4" w:space="0" w:color="0077BD"/>
              <w:right w:val="nil"/>
            </w:tcBorders>
            <w:shd w:val="clear" w:color="auto" w:fill="auto"/>
            <w:vAlign w:val="center"/>
            <w:hideMark/>
          </w:tcPr>
          <w:p w14:paraId="4F00A900" w14:textId="0E4D19D2"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67604A3A" w14:textId="58E56AB9" w:rsidR="0084503F" w:rsidRPr="0084503F" w:rsidRDefault="0084503F" w:rsidP="0084503F">
            <w:pPr>
              <w:jc w:val="right"/>
              <w:rPr>
                <w:rFonts w:cs="Calibri"/>
                <w:color w:val="000000" w:themeColor="text1"/>
                <w:sz w:val="13"/>
                <w:szCs w:val="13"/>
              </w:rPr>
            </w:pPr>
            <w:r w:rsidRPr="0084503F">
              <w:rPr>
                <w:rFonts w:cs="Calibri"/>
                <w:color w:val="000000"/>
                <w:sz w:val="13"/>
                <w:szCs w:val="13"/>
              </w:rPr>
              <w:t>4 382</w:t>
            </w:r>
          </w:p>
        </w:tc>
        <w:tc>
          <w:tcPr>
            <w:tcW w:w="1191" w:type="dxa"/>
            <w:gridSpan w:val="2"/>
            <w:tcBorders>
              <w:top w:val="nil"/>
              <w:left w:val="single" w:sz="8" w:space="0" w:color="0077BD"/>
              <w:bottom w:val="single" w:sz="4" w:space="0" w:color="0077BD"/>
              <w:right w:val="nil"/>
            </w:tcBorders>
            <w:shd w:val="clear" w:color="auto" w:fill="auto"/>
            <w:vAlign w:val="center"/>
          </w:tcPr>
          <w:p w14:paraId="740C7C1E" w14:textId="41B80B3F" w:rsidR="0084503F" w:rsidRPr="0084503F" w:rsidRDefault="0084503F" w:rsidP="0084503F">
            <w:pPr>
              <w:jc w:val="right"/>
              <w:rPr>
                <w:rFonts w:cs="Calibri"/>
                <w:color w:val="000000" w:themeColor="text1"/>
                <w:sz w:val="13"/>
                <w:szCs w:val="13"/>
              </w:rPr>
            </w:pPr>
            <w:r w:rsidRPr="0084503F">
              <w:rPr>
                <w:rFonts w:cs="Calibri"/>
                <w:color w:val="000000"/>
                <w:sz w:val="13"/>
                <w:szCs w:val="13"/>
              </w:rPr>
              <w:t>33 963 418</w:t>
            </w:r>
          </w:p>
        </w:tc>
      </w:tr>
      <w:tr w:rsidR="0084503F" w:rsidRPr="0012696D" w14:paraId="230CA802"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60AB0CB1"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3</w:t>
            </w:r>
          </w:p>
        </w:tc>
        <w:tc>
          <w:tcPr>
            <w:tcW w:w="1133" w:type="dxa"/>
            <w:tcBorders>
              <w:top w:val="nil"/>
              <w:left w:val="single" w:sz="8" w:space="0" w:color="0077BD"/>
              <w:bottom w:val="single" w:sz="4" w:space="0" w:color="0077BD"/>
              <w:right w:val="nil"/>
            </w:tcBorders>
            <w:shd w:val="clear" w:color="auto" w:fill="auto"/>
            <w:vAlign w:val="center"/>
          </w:tcPr>
          <w:p w14:paraId="1D12DD30" w14:textId="6D4DD3BA" w:rsidR="0084503F" w:rsidRPr="0084503F" w:rsidRDefault="0084503F" w:rsidP="0084503F">
            <w:pPr>
              <w:jc w:val="right"/>
              <w:rPr>
                <w:rFonts w:cs="Calibri"/>
                <w:color w:val="000000" w:themeColor="text1"/>
                <w:sz w:val="13"/>
                <w:szCs w:val="13"/>
              </w:rPr>
            </w:pPr>
            <w:r w:rsidRPr="0084503F">
              <w:rPr>
                <w:rFonts w:cs="Calibri"/>
                <w:color w:val="000000"/>
                <w:sz w:val="13"/>
                <w:szCs w:val="13"/>
              </w:rPr>
              <w:t>12 736 011</w:t>
            </w:r>
          </w:p>
        </w:tc>
        <w:tc>
          <w:tcPr>
            <w:tcW w:w="1133" w:type="dxa"/>
            <w:tcBorders>
              <w:top w:val="nil"/>
              <w:left w:val="single" w:sz="8" w:space="0" w:color="0077BD"/>
              <w:bottom w:val="single" w:sz="4" w:space="0" w:color="0077BD"/>
              <w:right w:val="nil"/>
            </w:tcBorders>
            <w:shd w:val="clear" w:color="auto" w:fill="auto"/>
            <w:vAlign w:val="center"/>
          </w:tcPr>
          <w:p w14:paraId="77BC29B7" w14:textId="3B028E14" w:rsidR="0084503F" w:rsidRPr="0084503F" w:rsidRDefault="0084503F" w:rsidP="0084503F">
            <w:pPr>
              <w:jc w:val="right"/>
              <w:rPr>
                <w:rFonts w:cs="Calibri"/>
                <w:color w:val="000000" w:themeColor="text1"/>
                <w:sz w:val="13"/>
                <w:szCs w:val="13"/>
              </w:rPr>
            </w:pPr>
            <w:r w:rsidRPr="0084503F">
              <w:rPr>
                <w:rFonts w:cs="Calibri"/>
                <w:color w:val="000000"/>
                <w:sz w:val="13"/>
                <w:szCs w:val="13"/>
              </w:rPr>
              <w:t>541 592</w:t>
            </w:r>
          </w:p>
        </w:tc>
        <w:tc>
          <w:tcPr>
            <w:tcW w:w="1133" w:type="dxa"/>
            <w:tcBorders>
              <w:top w:val="nil"/>
              <w:left w:val="single" w:sz="8" w:space="0" w:color="0077BD"/>
              <w:bottom w:val="single" w:sz="4" w:space="0" w:color="0077BD"/>
              <w:right w:val="nil"/>
            </w:tcBorders>
            <w:shd w:val="clear" w:color="auto" w:fill="auto"/>
            <w:vAlign w:val="center"/>
            <w:hideMark/>
          </w:tcPr>
          <w:p w14:paraId="089942ED" w14:textId="7267A16B"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7AA931DF" w14:textId="38885483" w:rsidR="0084503F" w:rsidRPr="0084503F" w:rsidRDefault="0084503F" w:rsidP="0084503F">
            <w:pPr>
              <w:jc w:val="right"/>
              <w:rPr>
                <w:rFonts w:cs="Calibri"/>
                <w:color w:val="000000" w:themeColor="text1"/>
                <w:sz w:val="13"/>
                <w:szCs w:val="13"/>
              </w:rPr>
            </w:pPr>
            <w:r w:rsidRPr="0084503F">
              <w:rPr>
                <w:rFonts w:cs="Calibri"/>
                <w:color w:val="000000"/>
                <w:sz w:val="13"/>
                <w:szCs w:val="13"/>
              </w:rPr>
              <w:t>1 081</w:t>
            </w:r>
          </w:p>
        </w:tc>
        <w:tc>
          <w:tcPr>
            <w:tcW w:w="1191" w:type="dxa"/>
            <w:gridSpan w:val="2"/>
            <w:tcBorders>
              <w:top w:val="nil"/>
              <w:left w:val="single" w:sz="8" w:space="0" w:color="0077BD"/>
              <w:bottom w:val="single" w:sz="4" w:space="0" w:color="0077BD"/>
              <w:right w:val="nil"/>
            </w:tcBorders>
            <w:shd w:val="clear" w:color="auto" w:fill="auto"/>
            <w:vAlign w:val="center"/>
          </w:tcPr>
          <w:p w14:paraId="47EB258F" w14:textId="7BB02259" w:rsidR="0084503F" w:rsidRPr="0084503F" w:rsidRDefault="0084503F" w:rsidP="0084503F">
            <w:pPr>
              <w:jc w:val="right"/>
              <w:rPr>
                <w:rFonts w:cs="Calibri"/>
                <w:color w:val="000000" w:themeColor="text1"/>
                <w:sz w:val="13"/>
                <w:szCs w:val="13"/>
              </w:rPr>
            </w:pPr>
            <w:r w:rsidRPr="0084503F">
              <w:rPr>
                <w:rFonts w:cs="Calibri"/>
                <w:color w:val="000000"/>
                <w:sz w:val="13"/>
                <w:szCs w:val="13"/>
              </w:rPr>
              <w:t>13 278 684</w:t>
            </w:r>
          </w:p>
        </w:tc>
      </w:tr>
      <w:tr w:rsidR="0084503F" w:rsidRPr="0012696D" w14:paraId="38501CF1"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37960C06"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4</w:t>
            </w:r>
          </w:p>
        </w:tc>
        <w:tc>
          <w:tcPr>
            <w:tcW w:w="1133" w:type="dxa"/>
            <w:tcBorders>
              <w:top w:val="nil"/>
              <w:left w:val="single" w:sz="8" w:space="0" w:color="0077BD"/>
              <w:bottom w:val="single" w:sz="4" w:space="0" w:color="0077BD"/>
              <w:right w:val="nil"/>
            </w:tcBorders>
            <w:shd w:val="clear" w:color="auto" w:fill="auto"/>
            <w:vAlign w:val="center"/>
          </w:tcPr>
          <w:p w14:paraId="12581DF8" w14:textId="5F293CF8" w:rsidR="0084503F" w:rsidRPr="0084503F" w:rsidRDefault="0084503F" w:rsidP="0084503F">
            <w:pPr>
              <w:jc w:val="right"/>
              <w:rPr>
                <w:rFonts w:cs="Calibri"/>
                <w:color w:val="000000" w:themeColor="text1"/>
                <w:sz w:val="13"/>
                <w:szCs w:val="13"/>
              </w:rPr>
            </w:pPr>
            <w:r w:rsidRPr="0084503F">
              <w:rPr>
                <w:rFonts w:cs="Calibri"/>
                <w:color w:val="000000"/>
                <w:sz w:val="13"/>
                <w:szCs w:val="13"/>
              </w:rPr>
              <w:t>25 434 263</w:t>
            </w:r>
          </w:p>
        </w:tc>
        <w:tc>
          <w:tcPr>
            <w:tcW w:w="1133" w:type="dxa"/>
            <w:tcBorders>
              <w:top w:val="nil"/>
              <w:left w:val="single" w:sz="8" w:space="0" w:color="0077BD"/>
              <w:bottom w:val="single" w:sz="4" w:space="0" w:color="0077BD"/>
              <w:right w:val="nil"/>
            </w:tcBorders>
            <w:shd w:val="clear" w:color="auto" w:fill="auto"/>
            <w:vAlign w:val="center"/>
          </w:tcPr>
          <w:p w14:paraId="59827A20" w14:textId="56AD67A8" w:rsidR="0084503F" w:rsidRPr="0084503F" w:rsidRDefault="0084503F" w:rsidP="0084503F">
            <w:pPr>
              <w:jc w:val="right"/>
              <w:rPr>
                <w:rFonts w:cs="Calibri"/>
                <w:color w:val="000000" w:themeColor="text1"/>
                <w:sz w:val="13"/>
                <w:szCs w:val="13"/>
              </w:rPr>
            </w:pPr>
            <w:r w:rsidRPr="0084503F">
              <w:rPr>
                <w:rFonts w:cs="Calibri"/>
                <w:color w:val="000000"/>
                <w:sz w:val="13"/>
                <w:szCs w:val="13"/>
              </w:rPr>
              <w:t>1 717 653</w:t>
            </w:r>
          </w:p>
        </w:tc>
        <w:tc>
          <w:tcPr>
            <w:tcW w:w="1133" w:type="dxa"/>
            <w:tcBorders>
              <w:top w:val="nil"/>
              <w:left w:val="single" w:sz="8" w:space="0" w:color="0077BD"/>
              <w:bottom w:val="single" w:sz="4" w:space="0" w:color="0077BD"/>
              <w:right w:val="nil"/>
            </w:tcBorders>
            <w:shd w:val="clear" w:color="auto" w:fill="auto"/>
            <w:vAlign w:val="center"/>
            <w:hideMark/>
          </w:tcPr>
          <w:p w14:paraId="7D93FEF4" w14:textId="0BEA88F8"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31A8D4F9" w14:textId="5B83F041" w:rsidR="0084503F" w:rsidRPr="0084503F" w:rsidRDefault="0084503F" w:rsidP="0084503F">
            <w:pPr>
              <w:jc w:val="right"/>
              <w:rPr>
                <w:rFonts w:cs="Calibri"/>
                <w:color w:val="000000" w:themeColor="text1"/>
                <w:sz w:val="13"/>
                <w:szCs w:val="13"/>
              </w:rPr>
            </w:pPr>
            <w:r w:rsidRPr="0084503F">
              <w:rPr>
                <w:rFonts w:cs="Calibri"/>
                <w:color w:val="000000"/>
                <w:sz w:val="13"/>
                <w:szCs w:val="13"/>
              </w:rPr>
              <w:t>75 811</w:t>
            </w:r>
          </w:p>
        </w:tc>
        <w:tc>
          <w:tcPr>
            <w:tcW w:w="1191" w:type="dxa"/>
            <w:gridSpan w:val="2"/>
            <w:tcBorders>
              <w:top w:val="nil"/>
              <w:left w:val="single" w:sz="8" w:space="0" w:color="0077BD"/>
              <w:bottom w:val="single" w:sz="4" w:space="0" w:color="0077BD"/>
              <w:right w:val="nil"/>
            </w:tcBorders>
            <w:shd w:val="clear" w:color="auto" w:fill="auto"/>
            <w:vAlign w:val="center"/>
          </w:tcPr>
          <w:p w14:paraId="34FF1186" w14:textId="21DD43C9" w:rsidR="0084503F" w:rsidRPr="0084503F" w:rsidRDefault="0084503F" w:rsidP="0084503F">
            <w:pPr>
              <w:jc w:val="right"/>
              <w:rPr>
                <w:rFonts w:cs="Calibri"/>
                <w:color w:val="000000" w:themeColor="text1"/>
                <w:sz w:val="13"/>
                <w:szCs w:val="13"/>
              </w:rPr>
            </w:pPr>
            <w:r w:rsidRPr="0084503F">
              <w:rPr>
                <w:rFonts w:cs="Calibri"/>
                <w:color w:val="000000"/>
                <w:sz w:val="13"/>
                <w:szCs w:val="13"/>
              </w:rPr>
              <w:t>27 227 727</w:t>
            </w:r>
          </w:p>
        </w:tc>
      </w:tr>
      <w:tr w:rsidR="0084503F" w:rsidRPr="0012696D" w14:paraId="71E71DE0"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74732C87"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5</w:t>
            </w:r>
          </w:p>
        </w:tc>
        <w:tc>
          <w:tcPr>
            <w:tcW w:w="1133" w:type="dxa"/>
            <w:tcBorders>
              <w:top w:val="nil"/>
              <w:left w:val="single" w:sz="8" w:space="0" w:color="0077BD"/>
              <w:bottom w:val="single" w:sz="4" w:space="0" w:color="0077BD"/>
              <w:right w:val="nil"/>
            </w:tcBorders>
            <w:shd w:val="clear" w:color="auto" w:fill="auto"/>
            <w:vAlign w:val="center"/>
          </w:tcPr>
          <w:p w14:paraId="0180353A" w14:textId="46241B1D" w:rsidR="0084503F" w:rsidRPr="0084503F" w:rsidRDefault="0084503F" w:rsidP="0084503F">
            <w:pPr>
              <w:jc w:val="right"/>
              <w:rPr>
                <w:rFonts w:cs="Calibri"/>
                <w:color w:val="000000" w:themeColor="text1"/>
                <w:sz w:val="13"/>
                <w:szCs w:val="13"/>
              </w:rPr>
            </w:pPr>
            <w:r w:rsidRPr="0084503F">
              <w:rPr>
                <w:rFonts w:cs="Calibri"/>
                <w:color w:val="000000"/>
                <w:sz w:val="13"/>
                <w:szCs w:val="13"/>
              </w:rPr>
              <w:t>5 661 994</w:t>
            </w:r>
          </w:p>
        </w:tc>
        <w:tc>
          <w:tcPr>
            <w:tcW w:w="1133" w:type="dxa"/>
            <w:tcBorders>
              <w:top w:val="nil"/>
              <w:left w:val="single" w:sz="8" w:space="0" w:color="0077BD"/>
              <w:bottom w:val="single" w:sz="4" w:space="0" w:color="0077BD"/>
              <w:right w:val="nil"/>
            </w:tcBorders>
            <w:shd w:val="clear" w:color="auto" w:fill="auto"/>
            <w:vAlign w:val="center"/>
          </w:tcPr>
          <w:p w14:paraId="2E86A10D" w14:textId="5F02BB0B" w:rsidR="0084503F" w:rsidRPr="0084503F" w:rsidRDefault="0084503F" w:rsidP="0084503F">
            <w:pPr>
              <w:jc w:val="right"/>
              <w:rPr>
                <w:rFonts w:cs="Calibri"/>
                <w:color w:val="000000" w:themeColor="text1"/>
                <w:sz w:val="13"/>
                <w:szCs w:val="13"/>
              </w:rPr>
            </w:pPr>
            <w:r w:rsidRPr="0084503F">
              <w:rPr>
                <w:rFonts w:cs="Calibri"/>
                <w:color w:val="000000"/>
                <w:sz w:val="13"/>
                <w:szCs w:val="13"/>
              </w:rPr>
              <w:t>1 683 335</w:t>
            </w:r>
          </w:p>
        </w:tc>
        <w:tc>
          <w:tcPr>
            <w:tcW w:w="1133" w:type="dxa"/>
            <w:tcBorders>
              <w:top w:val="nil"/>
              <w:left w:val="single" w:sz="8" w:space="0" w:color="0077BD"/>
              <w:bottom w:val="single" w:sz="4" w:space="0" w:color="0077BD"/>
              <w:right w:val="nil"/>
            </w:tcBorders>
            <w:shd w:val="clear" w:color="auto" w:fill="auto"/>
            <w:vAlign w:val="center"/>
            <w:hideMark/>
          </w:tcPr>
          <w:p w14:paraId="7DDD454A" w14:textId="3A33C5C2"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2CB81DDC" w14:textId="167E349A" w:rsidR="0084503F" w:rsidRPr="0084503F" w:rsidRDefault="0084503F" w:rsidP="0084503F">
            <w:pPr>
              <w:jc w:val="right"/>
              <w:rPr>
                <w:rFonts w:cs="Calibri"/>
                <w:color w:val="000000" w:themeColor="text1"/>
                <w:sz w:val="13"/>
                <w:szCs w:val="13"/>
              </w:rPr>
            </w:pPr>
            <w:r w:rsidRPr="0084503F">
              <w:rPr>
                <w:rFonts w:cs="Calibri"/>
                <w:color w:val="000000"/>
                <w:sz w:val="13"/>
                <w:szCs w:val="13"/>
              </w:rPr>
              <w:t>2 531</w:t>
            </w:r>
          </w:p>
        </w:tc>
        <w:tc>
          <w:tcPr>
            <w:tcW w:w="1191" w:type="dxa"/>
            <w:gridSpan w:val="2"/>
            <w:tcBorders>
              <w:top w:val="nil"/>
              <w:left w:val="single" w:sz="8" w:space="0" w:color="0077BD"/>
              <w:bottom w:val="single" w:sz="4" w:space="0" w:color="0077BD"/>
              <w:right w:val="nil"/>
            </w:tcBorders>
            <w:shd w:val="clear" w:color="auto" w:fill="auto"/>
            <w:vAlign w:val="center"/>
          </w:tcPr>
          <w:p w14:paraId="2E5E476E" w14:textId="6C0972E6" w:rsidR="0084503F" w:rsidRPr="0084503F" w:rsidRDefault="0084503F" w:rsidP="0084503F">
            <w:pPr>
              <w:jc w:val="right"/>
              <w:rPr>
                <w:rFonts w:cs="Calibri"/>
                <w:color w:val="000000" w:themeColor="text1"/>
                <w:sz w:val="13"/>
                <w:szCs w:val="13"/>
              </w:rPr>
            </w:pPr>
            <w:r w:rsidRPr="0084503F">
              <w:rPr>
                <w:rFonts w:cs="Calibri"/>
                <w:color w:val="000000"/>
                <w:sz w:val="13"/>
                <w:szCs w:val="13"/>
              </w:rPr>
              <w:t>7 347 860</w:t>
            </w:r>
          </w:p>
        </w:tc>
      </w:tr>
      <w:tr w:rsidR="0084503F" w:rsidRPr="0012696D" w14:paraId="19880C21"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4A720F30"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6</w:t>
            </w:r>
          </w:p>
        </w:tc>
        <w:tc>
          <w:tcPr>
            <w:tcW w:w="1133" w:type="dxa"/>
            <w:tcBorders>
              <w:top w:val="nil"/>
              <w:left w:val="single" w:sz="8" w:space="0" w:color="0077BD"/>
              <w:bottom w:val="single" w:sz="4" w:space="0" w:color="0077BD"/>
              <w:right w:val="nil"/>
            </w:tcBorders>
            <w:shd w:val="clear" w:color="auto" w:fill="auto"/>
            <w:vAlign w:val="center"/>
          </w:tcPr>
          <w:p w14:paraId="14BD852C" w14:textId="5F621246" w:rsidR="0084503F" w:rsidRPr="0084503F" w:rsidRDefault="0084503F" w:rsidP="0084503F">
            <w:pPr>
              <w:jc w:val="right"/>
              <w:rPr>
                <w:rFonts w:cs="Calibri"/>
                <w:color w:val="000000" w:themeColor="text1"/>
                <w:sz w:val="13"/>
                <w:szCs w:val="13"/>
              </w:rPr>
            </w:pPr>
            <w:r w:rsidRPr="0084503F">
              <w:rPr>
                <w:rFonts w:cs="Calibri"/>
                <w:color w:val="000000"/>
                <w:sz w:val="13"/>
                <w:szCs w:val="13"/>
              </w:rPr>
              <w:t>381 476</w:t>
            </w:r>
          </w:p>
        </w:tc>
        <w:tc>
          <w:tcPr>
            <w:tcW w:w="1133" w:type="dxa"/>
            <w:tcBorders>
              <w:top w:val="nil"/>
              <w:left w:val="single" w:sz="8" w:space="0" w:color="0077BD"/>
              <w:bottom w:val="single" w:sz="4" w:space="0" w:color="0077BD"/>
              <w:right w:val="nil"/>
            </w:tcBorders>
            <w:shd w:val="clear" w:color="auto" w:fill="auto"/>
            <w:vAlign w:val="center"/>
          </w:tcPr>
          <w:p w14:paraId="45AAAF91" w14:textId="255DE7DE" w:rsidR="0084503F" w:rsidRPr="0084503F" w:rsidRDefault="0084503F" w:rsidP="0084503F">
            <w:pPr>
              <w:jc w:val="right"/>
              <w:rPr>
                <w:rFonts w:cs="Calibri"/>
                <w:color w:val="000000" w:themeColor="text1"/>
                <w:sz w:val="13"/>
                <w:szCs w:val="13"/>
              </w:rPr>
            </w:pPr>
            <w:r w:rsidRPr="0084503F">
              <w:rPr>
                <w:rFonts w:cs="Calibri"/>
                <w:color w:val="000000"/>
                <w:sz w:val="13"/>
                <w:szCs w:val="13"/>
              </w:rPr>
              <w:t>527 024</w:t>
            </w:r>
          </w:p>
        </w:tc>
        <w:tc>
          <w:tcPr>
            <w:tcW w:w="1133" w:type="dxa"/>
            <w:tcBorders>
              <w:top w:val="nil"/>
              <w:left w:val="single" w:sz="8" w:space="0" w:color="0077BD"/>
              <w:bottom w:val="single" w:sz="4" w:space="0" w:color="0077BD"/>
              <w:right w:val="nil"/>
            </w:tcBorders>
            <w:shd w:val="clear" w:color="auto" w:fill="auto"/>
            <w:vAlign w:val="center"/>
            <w:hideMark/>
          </w:tcPr>
          <w:p w14:paraId="401E2B90" w14:textId="51D9E8C9"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6079FDA4" w14:textId="196E8D46" w:rsidR="0084503F" w:rsidRPr="0084503F" w:rsidRDefault="0084503F" w:rsidP="0084503F">
            <w:pPr>
              <w:jc w:val="right"/>
              <w:rPr>
                <w:rFonts w:cs="Calibri"/>
                <w:color w:val="000000" w:themeColor="text1"/>
                <w:sz w:val="13"/>
                <w:szCs w:val="13"/>
              </w:rPr>
            </w:pPr>
            <w:r w:rsidRPr="0084503F">
              <w:rPr>
                <w:rFonts w:cs="Calibri"/>
                <w:color w:val="000000"/>
                <w:sz w:val="13"/>
                <w:szCs w:val="13"/>
              </w:rPr>
              <w:t>371</w:t>
            </w:r>
          </w:p>
        </w:tc>
        <w:tc>
          <w:tcPr>
            <w:tcW w:w="1191" w:type="dxa"/>
            <w:gridSpan w:val="2"/>
            <w:tcBorders>
              <w:top w:val="nil"/>
              <w:left w:val="single" w:sz="8" w:space="0" w:color="0077BD"/>
              <w:bottom w:val="single" w:sz="4" w:space="0" w:color="0077BD"/>
              <w:right w:val="nil"/>
            </w:tcBorders>
            <w:shd w:val="clear" w:color="auto" w:fill="auto"/>
            <w:vAlign w:val="center"/>
          </w:tcPr>
          <w:p w14:paraId="43045D9C" w14:textId="2F4AFC4E" w:rsidR="0084503F" w:rsidRPr="0084503F" w:rsidRDefault="0084503F" w:rsidP="0084503F">
            <w:pPr>
              <w:jc w:val="right"/>
              <w:rPr>
                <w:rFonts w:cs="Calibri"/>
                <w:color w:val="000000" w:themeColor="text1"/>
                <w:sz w:val="13"/>
                <w:szCs w:val="13"/>
              </w:rPr>
            </w:pPr>
            <w:r w:rsidRPr="0084503F">
              <w:rPr>
                <w:rFonts w:cs="Calibri"/>
                <w:color w:val="000000"/>
                <w:sz w:val="13"/>
                <w:szCs w:val="13"/>
              </w:rPr>
              <w:t>908 871</w:t>
            </w:r>
          </w:p>
        </w:tc>
      </w:tr>
      <w:tr w:rsidR="0084503F" w:rsidRPr="0012696D" w14:paraId="5FB8924F"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13461B64"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7</w:t>
            </w:r>
          </w:p>
        </w:tc>
        <w:tc>
          <w:tcPr>
            <w:tcW w:w="1133" w:type="dxa"/>
            <w:tcBorders>
              <w:top w:val="nil"/>
              <w:left w:val="single" w:sz="8" w:space="0" w:color="0077BD"/>
              <w:bottom w:val="single" w:sz="4" w:space="0" w:color="0077BD"/>
              <w:right w:val="nil"/>
            </w:tcBorders>
            <w:shd w:val="clear" w:color="auto" w:fill="auto"/>
            <w:vAlign w:val="center"/>
          </w:tcPr>
          <w:p w14:paraId="03959729" w14:textId="16B0CD31" w:rsidR="0084503F" w:rsidRPr="0084503F" w:rsidRDefault="0084503F" w:rsidP="0084503F">
            <w:pPr>
              <w:jc w:val="right"/>
              <w:rPr>
                <w:rFonts w:cs="Calibri"/>
                <w:color w:val="000000" w:themeColor="text1"/>
                <w:sz w:val="13"/>
                <w:szCs w:val="13"/>
              </w:rPr>
            </w:pPr>
            <w:r w:rsidRPr="0084503F">
              <w:rPr>
                <w:rFonts w:cs="Calibri"/>
                <w:color w:val="000000"/>
                <w:sz w:val="13"/>
                <w:szCs w:val="13"/>
              </w:rPr>
              <w:t>768 670</w:t>
            </w:r>
          </w:p>
        </w:tc>
        <w:tc>
          <w:tcPr>
            <w:tcW w:w="1133" w:type="dxa"/>
            <w:tcBorders>
              <w:top w:val="nil"/>
              <w:left w:val="single" w:sz="8" w:space="0" w:color="0077BD"/>
              <w:bottom w:val="single" w:sz="4" w:space="0" w:color="0077BD"/>
              <w:right w:val="nil"/>
            </w:tcBorders>
            <w:shd w:val="clear" w:color="auto" w:fill="auto"/>
            <w:vAlign w:val="center"/>
          </w:tcPr>
          <w:p w14:paraId="1CD4AC7B" w14:textId="3576519D" w:rsidR="0084503F" w:rsidRPr="0084503F" w:rsidRDefault="0084503F" w:rsidP="0084503F">
            <w:pPr>
              <w:jc w:val="right"/>
              <w:rPr>
                <w:rFonts w:cs="Calibri"/>
                <w:color w:val="000000" w:themeColor="text1"/>
                <w:sz w:val="13"/>
                <w:szCs w:val="13"/>
              </w:rPr>
            </w:pPr>
            <w:r w:rsidRPr="0084503F">
              <w:rPr>
                <w:rFonts w:cs="Calibri"/>
                <w:color w:val="000000"/>
                <w:sz w:val="13"/>
                <w:szCs w:val="13"/>
              </w:rPr>
              <w:t>1 767 932</w:t>
            </w:r>
          </w:p>
        </w:tc>
        <w:tc>
          <w:tcPr>
            <w:tcW w:w="1133" w:type="dxa"/>
            <w:tcBorders>
              <w:top w:val="nil"/>
              <w:left w:val="single" w:sz="8" w:space="0" w:color="0077BD"/>
              <w:bottom w:val="single" w:sz="4" w:space="0" w:color="0077BD"/>
              <w:right w:val="nil"/>
            </w:tcBorders>
            <w:shd w:val="clear" w:color="auto" w:fill="auto"/>
            <w:vAlign w:val="center"/>
            <w:hideMark/>
          </w:tcPr>
          <w:p w14:paraId="25E9A115" w14:textId="1EF08C37"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0ED57787" w14:textId="661E17A1" w:rsidR="0084503F" w:rsidRPr="0084503F" w:rsidRDefault="0084503F" w:rsidP="0084503F">
            <w:pPr>
              <w:jc w:val="right"/>
              <w:rPr>
                <w:rFonts w:cs="Calibri"/>
                <w:color w:val="000000" w:themeColor="text1"/>
                <w:sz w:val="13"/>
                <w:szCs w:val="13"/>
              </w:rPr>
            </w:pPr>
            <w:r w:rsidRPr="0084503F">
              <w:rPr>
                <w:rFonts w:cs="Calibri"/>
                <w:color w:val="000000"/>
                <w:sz w:val="13"/>
                <w:szCs w:val="13"/>
              </w:rPr>
              <w:t>15 331</w:t>
            </w:r>
          </w:p>
        </w:tc>
        <w:tc>
          <w:tcPr>
            <w:tcW w:w="1191" w:type="dxa"/>
            <w:gridSpan w:val="2"/>
            <w:tcBorders>
              <w:top w:val="nil"/>
              <w:left w:val="single" w:sz="8" w:space="0" w:color="0077BD"/>
              <w:bottom w:val="single" w:sz="4" w:space="0" w:color="0077BD"/>
              <w:right w:val="nil"/>
            </w:tcBorders>
            <w:shd w:val="clear" w:color="auto" w:fill="auto"/>
            <w:vAlign w:val="center"/>
          </w:tcPr>
          <w:p w14:paraId="2E5721CD" w14:textId="02DD6214" w:rsidR="0084503F" w:rsidRPr="0084503F" w:rsidRDefault="0084503F" w:rsidP="0084503F">
            <w:pPr>
              <w:jc w:val="right"/>
              <w:rPr>
                <w:rFonts w:cs="Calibri"/>
                <w:color w:val="000000" w:themeColor="text1"/>
                <w:sz w:val="13"/>
                <w:szCs w:val="13"/>
              </w:rPr>
            </w:pPr>
            <w:r w:rsidRPr="0084503F">
              <w:rPr>
                <w:rFonts w:cs="Calibri"/>
                <w:color w:val="000000"/>
                <w:sz w:val="13"/>
                <w:szCs w:val="13"/>
              </w:rPr>
              <w:t>2 551 933</w:t>
            </w:r>
          </w:p>
        </w:tc>
      </w:tr>
      <w:tr w:rsidR="0084503F" w:rsidRPr="0012696D" w14:paraId="5AC0A3E4"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46D1BC90"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8</w:t>
            </w:r>
          </w:p>
        </w:tc>
        <w:tc>
          <w:tcPr>
            <w:tcW w:w="1133" w:type="dxa"/>
            <w:tcBorders>
              <w:top w:val="nil"/>
              <w:left w:val="single" w:sz="8" w:space="0" w:color="0077BD"/>
              <w:bottom w:val="single" w:sz="4" w:space="0" w:color="0077BD"/>
              <w:right w:val="nil"/>
            </w:tcBorders>
            <w:shd w:val="clear" w:color="auto" w:fill="auto"/>
            <w:vAlign w:val="center"/>
          </w:tcPr>
          <w:p w14:paraId="773BAE4F" w14:textId="13EAC166" w:rsidR="0084503F" w:rsidRPr="0084503F" w:rsidRDefault="0084503F" w:rsidP="0084503F">
            <w:pPr>
              <w:jc w:val="right"/>
              <w:rPr>
                <w:rFonts w:cs="Calibri"/>
                <w:color w:val="000000" w:themeColor="text1"/>
                <w:sz w:val="13"/>
                <w:szCs w:val="13"/>
              </w:rPr>
            </w:pPr>
            <w:r w:rsidRPr="0084503F">
              <w:rPr>
                <w:rFonts w:cs="Calibri"/>
                <w:color w:val="000000"/>
                <w:sz w:val="13"/>
                <w:szCs w:val="13"/>
              </w:rPr>
              <w:t>776 116</w:t>
            </w:r>
          </w:p>
        </w:tc>
        <w:tc>
          <w:tcPr>
            <w:tcW w:w="1133" w:type="dxa"/>
            <w:tcBorders>
              <w:top w:val="nil"/>
              <w:left w:val="single" w:sz="8" w:space="0" w:color="0077BD"/>
              <w:bottom w:val="single" w:sz="4" w:space="0" w:color="0077BD"/>
              <w:right w:val="nil"/>
            </w:tcBorders>
            <w:shd w:val="clear" w:color="auto" w:fill="auto"/>
            <w:vAlign w:val="center"/>
          </w:tcPr>
          <w:p w14:paraId="479B1046" w14:textId="0F904DF0" w:rsidR="0084503F" w:rsidRPr="0084503F" w:rsidRDefault="0084503F" w:rsidP="0084503F">
            <w:pPr>
              <w:jc w:val="right"/>
              <w:rPr>
                <w:rFonts w:cs="Calibri"/>
                <w:color w:val="000000" w:themeColor="text1"/>
                <w:sz w:val="13"/>
                <w:szCs w:val="13"/>
              </w:rPr>
            </w:pPr>
            <w:r w:rsidRPr="0084503F">
              <w:rPr>
                <w:rFonts w:cs="Calibri"/>
                <w:color w:val="000000"/>
                <w:sz w:val="13"/>
                <w:szCs w:val="13"/>
              </w:rPr>
              <w:t>7 730</w:t>
            </w:r>
          </w:p>
        </w:tc>
        <w:tc>
          <w:tcPr>
            <w:tcW w:w="1133" w:type="dxa"/>
            <w:tcBorders>
              <w:top w:val="nil"/>
              <w:left w:val="single" w:sz="8" w:space="0" w:color="0077BD"/>
              <w:bottom w:val="single" w:sz="4" w:space="0" w:color="0077BD"/>
              <w:right w:val="nil"/>
            </w:tcBorders>
            <w:shd w:val="clear" w:color="auto" w:fill="auto"/>
            <w:vAlign w:val="center"/>
            <w:hideMark/>
          </w:tcPr>
          <w:p w14:paraId="22CC25C6" w14:textId="6A1E57F4"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0CD1D654" w14:textId="74829E57"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91" w:type="dxa"/>
            <w:gridSpan w:val="2"/>
            <w:tcBorders>
              <w:top w:val="nil"/>
              <w:left w:val="single" w:sz="8" w:space="0" w:color="0077BD"/>
              <w:bottom w:val="single" w:sz="4" w:space="0" w:color="0077BD"/>
              <w:right w:val="nil"/>
            </w:tcBorders>
            <w:shd w:val="clear" w:color="auto" w:fill="auto"/>
            <w:vAlign w:val="center"/>
          </w:tcPr>
          <w:p w14:paraId="69180D3C" w14:textId="1D4D7CD0" w:rsidR="0084503F" w:rsidRPr="0084503F" w:rsidRDefault="0084503F" w:rsidP="0084503F">
            <w:pPr>
              <w:jc w:val="right"/>
              <w:rPr>
                <w:rFonts w:cs="Calibri"/>
                <w:color w:val="000000" w:themeColor="text1"/>
                <w:sz w:val="13"/>
                <w:szCs w:val="13"/>
              </w:rPr>
            </w:pPr>
            <w:r w:rsidRPr="0084503F">
              <w:rPr>
                <w:rFonts w:cs="Calibri"/>
                <w:color w:val="000000"/>
                <w:sz w:val="13"/>
                <w:szCs w:val="13"/>
              </w:rPr>
              <w:t>783 846</w:t>
            </w:r>
          </w:p>
        </w:tc>
      </w:tr>
      <w:tr w:rsidR="0084503F" w:rsidRPr="0012696D" w14:paraId="7F9AF103"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2B5C4DA7"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pozostałe</w:t>
            </w:r>
          </w:p>
        </w:tc>
        <w:tc>
          <w:tcPr>
            <w:tcW w:w="1133" w:type="dxa"/>
            <w:tcBorders>
              <w:top w:val="nil"/>
              <w:left w:val="single" w:sz="8" w:space="0" w:color="0077BD"/>
              <w:bottom w:val="single" w:sz="4" w:space="0" w:color="0077BD"/>
              <w:right w:val="nil"/>
            </w:tcBorders>
            <w:shd w:val="clear" w:color="auto" w:fill="auto"/>
            <w:vAlign w:val="center"/>
          </w:tcPr>
          <w:p w14:paraId="0F1BC1C2" w14:textId="3846C720" w:rsidR="0084503F" w:rsidRPr="0084503F" w:rsidRDefault="0084503F" w:rsidP="0084503F">
            <w:pPr>
              <w:jc w:val="right"/>
              <w:rPr>
                <w:rFonts w:cs="Calibri"/>
                <w:color w:val="000000" w:themeColor="text1"/>
                <w:sz w:val="13"/>
                <w:szCs w:val="13"/>
              </w:rPr>
            </w:pPr>
            <w:r w:rsidRPr="0084503F">
              <w:rPr>
                <w:rFonts w:cs="Calibri"/>
                <w:color w:val="000000"/>
                <w:sz w:val="13"/>
                <w:szCs w:val="13"/>
              </w:rPr>
              <w:t>2 363 232</w:t>
            </w:r>
          </w:p>
        </w:tc>
        <w:tc>
          <w:tcPr>
            <w:tcW w:w="1133" w:type="dxa"/>
            <w:tcBorders>
              <w:top w:val="nil"/>
              <w:left w:val="single" w:sz="8" w:space="0" w:color="0077BD"/>
              <w:bottom w:val="single" w:sz="4" w:space="0" w:color="0077BD"/>
              <w:right w:val="nil"/>
            </w:tcBorders>
            <w:shd w:val="clear" w:color="auto" w:fill="auto"/>
            <w:vAlign w:val="center"/>
          </w:tcPr>
          <w:p w14:paraId="36E4EAE5" w14:textId="74D6E130" w:rsidR="0084503F" w:rsidRPr="0084503F" w:rsidRDefault="0084503F" w:rsidP="0084503F">
            <w:pPr>
              <w:jc w:val="right"/>
              <w:rPr>
                <w:rFonts w:cs="Calibri"/>
                <w:color w:val="000000" w:themeColor="text1"/>
                <w:sz w:val="13"/>
                <w:szCs w:val="13"/>
              </w:rPr>
            </w:pPr>
            <w:r w:rsidRPr="0084503F">
              <w:rPr>
                <w:rFonts w:cs="Calibri"/>
                <w:color w:val="000000"/>
                <w:sz w:val="13"/>
                <w:szCs w:val="13"/>
              </w:rPr>
              <w:t>43 389</w:t>
            </w:r>
          </w:p>
        </w:tc>
        <w:tc>
          <w:tcPr>
            <w:tcW w:w="1133" w:type="dxa"/>
            <w:tcBorders>
              <w:top w:val="nil"/>
              <w:left w:val="single" w:sz="8" w:space="0" w:color="0077BD"/>
              <w:bottom w:val="single" w:sz="4" w:space="0" w:color="0077BD"/>
              <w:right w:val="nil"/>
            </w:tcBorders>
            <w:shd w:val="clear" w:color="auto" w:fill="auto"/>
            <w:vAlign w:val="center"/>
            <w:hideMark/>
          </w:tcPr>
          <w:p w14:paraId="07142E9C" w14:textId="313E73C5"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2C4CBADD" w14:textId="55A1346B"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91" w:type="dxa"/>
            <w:gridSpan w:val="2"/>
            <w:tcBorders>
              <w:top w:val="nil"/>
              <w:left w:val="single" w:sz="8" w:space="0" w:color="0077BD"/>
              <w:bottom w:val="single" w:sz="4" w:space="0" w:color="0077BD"/>
              <w:right w:val="nil"/>
            </w:tcBorders>
            <w:shd w:val="clear" w:color="auto" w:fill="auto"/>
            <w:vAlign w:val="center"/>
          </w:tcPr>
          <w:p w14:paraId="16A97FDD" w14:textId="49E5BD41" w:rsidR="0084503F" w:rsidRPr="0084503F" w:rsidRDefault="0084503F" w:rsidP="0084503F">
            <w:pPr>
              <w:jc w:val="right"/>
              <w:rPr>
                <w:rFonts w:cs="Calibri"/>
                <w:color w:val="000000" w:themeColor="text1"/>
                <w:sz w:val="13"/>
                <w:szCs w:val="13"/>
              </w:rPr>
            </w:pPr>
            <w:r w:rsidRPr="0084503F">
              <w:rPr>
                <w:rFonts w:cs="Calibri"/>
                <w:color w:val="000000"/>
                <w:sz w:val="13"/>
                <w:szCs w:val="13"/>
              </w:rPr>
              <w:t>2 406 621</w:t>
            </w:r>
          </w:p>
        </w:tc>
      </w:tr>
      <w:tr w:rsidR="0084503F" w:rsidRPr="0012696D" w14:paraId="1D3F7F9E"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761CF4FA" w14:textId="77777777" w:rsidR="0084503F" w:rsidRPr="00565D60" w:rsidRDefault="0084503F" w:rsidP="0084503F">
            <w:pPr>
              <w:jc w:val="center"/>
              <w:rPr>
                <w:rFonts w:cs="Calibri"/>
                <w:color w:val="000000" w:themeColor="text1"/>
                <w:sz w:val="13"/>
                <w:szCs w:val="13"/>
              </w:rPr>
            </w:pPr>
            <w:r w:rsidRPr="00565D60">
              <w:rPr>
                <w:rFonts w:cs="Calibri"/>
                <w:color w:val="000000" w:themeColor="text1"/>
                <w:sz w:val="13"/>
                <w:szCs w:val="13"/>
              </w:rPr>
              <w:t>default</w:t>
            </w:r>
          </w:p>
        </w:tc>
        <w:tc>
          <w:tcPr>
            <w:tcW w:w="1133" w:type="dxa"/>
            <w:tcBorders>
              <w:top w:val="nil"/>
              <w:left w:val="single" w:sz="8" w:space="0" w:color="0077BD"/>
              <w:bottom w:val="single" w:sz="4" w:space="0" w:color="0077BD"/>
              <w:right w:val="nil"/>
            </w:tcBorders>
            <w:shd w:val="clear" w:color="auto" w:fill="auto"/>
            <w:vAlign w:val="center"/>
            <w:hideMark/>
          </w:tcPr>
          <w:p w14:paraId="4FEF0272" w14:textId="7111FA89"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hideMark/>
          </w:tcPr>
          <w:p w14:paraId="1F3DB159" w14:textId="00A6D367" w:rsidR="0084503F" w:rsidRPr="0084503F" w:rsidRDefault="0084503F" w:rsidP="0084503F">
            <w:pPr>
              <w:jc w:val="right"/>
              <w:rPr>
                <w:rFonts w:cs="Calibri"/>
                <w:color w:val="000000" w:themeColor="text1"/>
                <w:sz w:val="13"/>
                <w:szCs w:val="13"/>
              </w:rPr>
            </w:pPr>
            <w:r w:rsidRPr="0084503F">
              <w:rPr>
                <w:rFonts w:cs="Calibri"/>
                <w:color w:val="000000"/>
                <w:sz w:val="13"/>
                <w:szCs w:val="13"/>
              </w:rPr>
              <w:t>-</w:t>
            </w:r>
          </w:p>
        </w:tc>
        <w:tc>
          <w:tcPr>
            <w:tcW w:w="1133" w:type="dxa"/>
            <w:tcBorders>
              <w:top w:val="nil"/>
              <w:left w:val="single" w:sz="8" w:space="0" w:color="0077BD"/>
              <w:bottom w:val="single" w:sz="4" w:space="0" w:color="0077BD"/>
              <w:right w:val="nil"/>
            </w:tcBorders>
            <w:shd w:val="clear" w:color="auto" w:fill="auto"/>
            <w:vAlign w:val="center"/>
          </w:tcPr>
          <w:p w14:paraId="1CC96652" w14:textId="38D7A327" w:rsidR="0084503F" w:rsidRPr="0084503F" w:rsidRDefault="0084503F" w:rsidP="0084503F">
            <w:pPr>
              <w:jc w:val="right"/>
              <w:rPr>
                <w:rFonts w:cs="Calibri"/>
                <w:color w:val="000000" w:themeColor="text1"/>
                <w:sz w:val="13"/>
                <w:szCs w:val="13"/>
              </w:rPr>
            </w:pPr>
            <w:r w:rsidRPr="0084503F">
              <w:rPr>
                <w:rFonts w:cs="Calibri"/>
                <w:color w:val="000000"/>
                <w:sz w:val="13"/>
                <w:szCs w:val="13"/>
              </w:rPr>
              <w:t>4 105 697</w:t>
            </w:r>
          </w:p>
        </w:tc>
        <w:tc>
          <w:tcPr>
            <w:tcW w:w="1133" w:type="dxa"/>
            <w:tcBorders>
              <w:top w:val="nil"/>
              <w:left w:val="single" w:sz="8" w:space="0" w:color="0077BD"/>
              <w:bottom w:val="single" w:sz="4" w:space="0" w:color="0077BD"/>
              <w:right w:val="nil"/>
            </w:tcBorders>
            <w:shd w:val="clear" w:color="auto" w:fill="auto"/>
            <w:vAlign w:val="center"/>
          </w:tcPr>
          <w:p w14:paraId="75671A19" w14:textId="28A63667" w:rsidR="0084503F" w:rsidRPr="0084503F" w:rsidRDefault="0084503F" w:rsidP="0084503F">
            <w:pPr>
              <w:jc w:val="right"/>
              <w:rPr>
                <w:rFonts w:cs="Calibri"/>
                <w:color w:val="000000" w:themeColor="text1"/>
                <w:sz w:val="13"/>
                <w:szCs w:val="13"/>
              </w:rPr>
            </w:pPr>
            <w:r w:rsidRPr="0084503F">
              <w:rPr>
                <w:rFonts w:cs="Calibri"/>
                <w:color w:val="000000"/>
                <w:sz w:val="13"/>
                <w:szCs w:val="13"/>
              </w:rPr>
              <w:t>138 081</w:t>
            </w:r>
          </w:p>
        </w:tc>
        <w:tc>
          <w:tcPr>
            <w:tcW w:w="1191" w:type="dxa"/>
            <w:gridSpan w:val="2"/>
            <w:tcBorders>
              <w:top w:val="nil"/>
              <w:left w:val="single" w:sz="8" w:space="0" w:color="0077BD"/>
              <w:bottom w:val="single" w:sz="4" w:space="0" w:color="0077BD"/>
              <w:right w:val="nil"/>
            </w:tcBorders>
            <w:shd w:val="clear" w:color="auto" w:fill="auto"/>
            <w:vAlign w:val="center"/>
          </w:tcPr>
          <w:p w14:paraId="0F6127C6" w14:textId="0E3EC6EF" w:rsidR="0084503F" w:rsidRPr="0084503F" w:rsidRDefault="0084503F" w:rsidP="0084503F">
            <w:pPr>
              <w:jc w:val="right"/>
              <w:rPr>
                <w:rFonts w:cs="Calibri"/>
                <w:color w:val="000000" w:themeColor="text1"/>
                <w:sz w:val="13"/>
                <w:szCs w:val="13"/>
              </w:rPr>
            </w:pPr>
            <w:r w:rsidRPr="0084503F">
              <w:rPr>
                <w:rFonts w:cs="Calibri"/>
                <w:color w:val="000000"/>
                <w:sz w:val="13"/>
                <w:szCs w:val="13"/>
              </w:rPr>
              <w:t>4 243 778</w:t>
            </w:r>
          </w:p>
        </w:tc>
      </w:tr>
      <w:tr w:rsidR="0084503F" w:rsidRPr="0012696D" w14:paraId="7F0B5B02"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280F9C14" w14:textId="77777777" w:rsidR="0084503F" w:rsidRPr="00565D60" w:rsidRDefault="0084503F" w:rsidP="0084503F">
            <w:pPr>
              <w:rPr>
                <w:rFonts w:cs="Calibri"/>
                <w:b/>
                <w:bCs/>
                <w:color w:val="000000" w:themeColor="text1"/>
                <w:sz w:val="13"/>
                <w:szCs w:val="13"/>
              </w:rPr>
            </w:pPr>
            <w:r w:rsidRPr="00565D60">
              <w:rPr>
                <w:rFonts w:cs="Calibri"/>
                <w:b/>
                <w:bCs/>
                <w:color w:val="000000" w:themeColor="text1"/>
                <w:sz w:val="13"/>
                <w:szCs w:val="13"/>
              </w:rPr>
              <w:t>Wartość bilansowa brutto</w:t>
            </w:r>
          </w:p>
        </w:tc>
        <w:tc>
          <w:tcPr>
            <w:tcW w:w="1133" w:type="dxa"/>
            <w:tcBorders>
              <w:top w:val="nil"/>
              <w:left w:val="single" w:sz="8" w:space="0" w:color="0077BD"/>
              <w:bottom w:val="single" w:sz="4" w:space="0" w:color="0077BD"/>
              <w:right w:val="nil"/>
            </w:tcBorders>
            <w:shd w:val="clear" w:color="auto" w:fill="auto"/>
            <w:vAlign w:val="center"/>
          </w:tcPr>
          <w:p w14:paraId="79E37045" w14:textId="6F8B93DE"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94 130 201</w:t>
            </w:r>
          </w:p>
        </w:tc>
        <w:tc>
          <w:tcPr>
            <w:tcW w:w="1133" w:type="dxa"/>
            <w:tcBorders>
              <w:top w:val="nil"/>
              <w:left w:val="single" w:sz="8" w:space="0" w:color="0077BD"/>
              <w:bottom w:val="single" w:sz="4" w:space="0" w:color="0077BD"/>
              <w:right w:val="nil"/>
            </w:tcBorders>
            <w:shd w:val="clear" w:color="auto" w:fill="auto"/>
            <w:vAlign w:val="center"/>
          </w:tcPr>
          <w:p w14:paraId="2557126F" w14:textId="251228E0"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7 920 046</w:t>
            </w:r>
          </w:p>
        </w:tc>
        <w:tc>
          <w:tcPr>
            <w:tcW w:w="1133" w:type="dxa"/>
            <w:tcBorders>
              <w:top w:val="nil"/>
              <w:left w:val="single" w:sz="8" w:space="0" w:color="0077BD"/>
              <w:bottom w:val="single" w:sz="4" w:space="0" w:color="0077BD"/>
              <w:right w:val="nil"/>
            </w:tcBorders>
            <w:shd w:val="clear" w:color="auto" w:fill="auto"/>
            <w:vAlign w:val="center"/>
          </w:tcPr>
          <w:p w14:paraId="186B0079" w14:textId="391BFC79"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4 105 697</w:t>
            </w:r>
          </w:p>
        </w:tc>
        <w:tc>
          <w:tcPr>
            <w:tcW w:w="1133" w:type="dxa"/>
            <w:tcBorders>
              <w:top w:val="nil"/>
              <w:left w:val="single" w:sz="8" w:space="0" w:color="0077BD"/>
              <w:bottom w:val="single" w:sz="4" w:space="0" w:color="0077BD"/>
              <w:right w:val="nil"/>
            </w:tcBorders>
            <w:shd w:val="clear" w:color="auto" w:fill="auto"/>
            <w:vAlign w:val="center"/>
          </w:tcPr>
          <w:p w14:paraId="5BFDD4C2" w14:textId="11ADDA8E"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237 588</w:t>
            </w:r>
          </w:p>
        </w:tc>
        <w:tc>
          <w:tcPr>
            <w:tcW w:w="1191" w:type="dxa"/>
            <w:gridSpan w:val="2"/>
            <w:tcBorders>
              <w:top w:val="nil"/>
              <w:left w:val="single" w:sz="8" w:space="0" w:color="0077BD"/>
              <w:bottom w:val="single" w:sz="4" w:space="0" w:color="0077BD"/>
              <w:right w:val="nil"/>
            </w:tcBorders>
            <w:shd w:val="clear" w:color="auto" w:fill="auto"/>
            <w:vAlign w:val="center"/>
          </w:tcPr>
          <w:p w14:paraId="33D7F629" w14:textId="61BFD722"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106 393 532</w:t>
            </w:r>
          </w:p>
        </w:tc>
      </w:tr>
      <w:tr w:rsidR="0084503F" w:rsidRPr="0012696D" w14:paraId="5567AE13" w14:textId="77777777" w:rsidTr="00ED5300">
        <w:trPr>
          <w:trHeight w:val="284"/>
        </w:trPr>
        <w:tc>
          <w:tcPr>
            <w:tcW w:w="3916" w:type="dxa"/>
            <w:gridSpan w:val="3"/>
            <w:tcBorders>
              <w:top w:val="nil"/>
              <w:left w:val="nil"/>
              <w:bottom w:val="single" w:sz="4" w:space="0" w:color="0077BD"/>
              <w:right w:val="single" w:sz="8" w:space="0" w:color="0077BD"/>
            </w:tcBorders>
            <w:shd w:val="clear" w:color="auto" w:fill="auto"/>
            <w:vAlign w:val="center"/>
            <w:hideMark/>
          </w:tcPr>
          <w:p w14:paraId="71AF4CF1" w14:textId="77777777" w:rsidR="0084503F" w:rsidRPr="00565D60" w:rsidRDefault="0084503F" w:rsidP="0084503F">
            <w:pPr>
              <w:rPr>
                <w:rFonts w:cs="Calibri"/>
                <w:color w:val="000000" w:themeColor="text1"/>
                <w:sz w:val="13"/>
                <w:szCs w:val="13"/>
              </w:rPr>
            </w:pPr>
            <w:r w:rsidRPr="00565D60">
              <w:rPr>
                <w:rFonts w:cs="Calibri"/>
                <w:color w:val="000000" w:themeColor="text1"/>
                <w:sz w:val="13"/>
                <w:szCs w:val="13"/>
              </w:rPr>
              <w:t>Skumulowana utrata wartości</w:t>
            </w:r>
          </w:p>
        </w:tc>
        <w:tc>
          <w:tcPr>
            <w:tcW w:w="1133" w:type="dxa"/>
            <w:tcBorders>
              <w:top w:val="nil"/>
              <w:left w:val="single" w:sz="8" w:space="0" w:color="0077BD"/>
              <w:bottom w:val="single" w:sz="4" w:space="0" w:color="0077BD"/>
              <w:right w:val="nil"/>
            </w:tcBorders>
            <w:shd w:val="clear" w:color="auto" w:fill="auto"/>
            <w:vAlign w:val="center"/>
          </w:tcPr>
          <w:p w14:paraId="6D27A512" w14:textId="692FB0CF" w:rsidR="0084503F" w:rsidRPr="0084503F" w:rsidRDefault="0084503F" w:rsidP="0084503F">
            <w:pPr>
              <w:jc w:val="right"/>
              <w:rPr>
                <w:rFonts w:cs="Calibri"/>
                <w:color w:val="000000" w:themeColor="text1"/>
                <w:sz w:val="13"/>
                <w:szCs w:val="13"/>
              </w:rPr>
            </w:pPr>
            <w:r w:rsidRPr="0084503F">
              <w:rPr>
                <w:rFonts w:cs="Calibri"/>
                <w:color w:val="000000"/>
                <w:sz w:val="13"/>
                <w:szCs w:val="13"/>
              </w:rPr>
              <w:t>(313 118)</w:t>
            </w:r>
          </w:p>
        </w:tc>
        <w:tc>
          <w:tcPr>
            <w:tcW w:w="1133" w:type="dxa"/>
            <w:tcBorders>
              <w:top w:val="nil"/>
              <w:left w:val="single" w:sz="8" w:space="0" w:color="0077BD"/>
              <w:bottom w:val="single" w:sz="4" w:space="0" w:color="0077BD"/>
              <w:right w:val="nil"/>
            </w:tcBorders>
            <w:shd w:val="clear" w:color="auto" w:fill="auto"/>
            <w:vAlign w:val="center"/>
          </w:tcPr>
          <w:p w14:paraId="24F4968E" w14:textId="1CB8136C" w:rsidR="0084503F" w:rsidRPr="0084503F" w:rsidRDefault="0084503F" w:rsidP="0084503F">
            <w:pPr>
              <w:jc w:val="right"/>
              <w:rPr>
                <w:rFonts w:cs="Calibri"/>
                <w:color w:val="000000" w:themeColor="text1"/>
                <w:sz w:val="13"/>
                <w:szCs w:val="13"/>
              </w:rPr>
            </w:pPr>
            <w:r w:rsidRPr="0084503F">
              <w:rPr>
                <w:rFonts w:cs="Calibri"/>
                <w:color w:val="000000"/>
                <w:sz w:val="13"/>
                <w:szCs w:val="13"/>
              </w:rPr>
              <w:t>(258 035)</w:t>
            </w:r>
          </w:p>
        </w:tc>
        <w:tc>
          <w:tcPr>
            <w:tcW w:w="1133" w:type="dxa"/>
            <w:tcBorders>
              <w:top w:val="nil"/>
              <w:left w:val="single" w:sz="8" w:space="0" w:color="0077BD"/>
              <w:bottom w:val="single" w:sz="4" w:space="0" w:color="0077BD"/>
              <w:right w:val="nil"/>
            </w:tcBorders>
            <w:shd w:val="clear" w:color="auto" w:fill="auto"/>
            <w:vAlign w:val="center"/>
          </w:tcPr>
          <w:p w14:paraId="56409888" w14:textId="5FF38371" w:rsidR="0084503F" w:rsidRPr="0084503F" w:rsidRDefault="0084503F" w:rsidP="0084503F">
            <w:pPr>
              <w:jc w:val="right"/>
              <w:rPr>
                <w:rFonts w:cs="Calibri"/>
                <w:color w:val="000000" w:themeColor="text1"/>
                <w:sz w:val="13"/>
                <w:szCs w:val="13"/>
              </w:rPr>
            </w:pPr>
            <w:r w:rsidRPr="0084503F">
              <w:rPr>
                <w:rFonts w:cs="Calibri"/>
                <w:color w:val="000000"/>
                <w:sz w:val="13"/>
                <w:szCs w:val="13"/>
              </w:rPr>
              <w:t>(2 603 391)</w:t>
            </w:r>
          </w:p>
        </w:tc>
        <w:tc>
          <w:tcPr>
            <w:tcW w:w="1133" w:type="dxa"/>
            <w:tcBorders>
              <w:top w:val="nil"/>
              <w:left w:val="single" w:sz="8" w:space="0" w:color="0077BD"/>
              <w:bottom w:val="single" w:sz="4" w:space="0" w:color="0077BD"/>
              <w:right w:val="nil"/>
            </w:tcBorders>
            <w:shd w:val="clear" w:color="auto" w:fill="auto"/>
            <w:vAlign w:val="center"/>
          </w:tcPr>
          <w:p w14:paraId="0728762C" w14:textId="3B37C3E6" w:rsidR="0084503F" w:rsidRPr="0084503F" w:rsidRDefault="0084503F" w:rsidP="0084503F">
            <w:pPr>
              <w:jc w:val="right"/>
              <w:rPr>
                <w:rFonts w:cs="Calibri"/>
                <w:color w:val="000000" w:themeColor="text1"/>
                <w:sz w:val="13"/>
                <w:szCs w:val="13"/>
              </w:rPr>
            </w:pPr>
            <w:r w:rsidRPr="0084503F">
              <w:rPr>
                <w:rFonts w:cs="Calibri"/>
                <w:color w:val="000000"/>
                <w:sz w:val="13"/>
                <w:szCs w:val="13"/>
              </w:rPr>
              <w:t>(15 734)</w:t>
            </w:r>
          </w:p>
        </w:tc>
        <w:tc>
          <w:tcPr>
            <w:tcW w:w="1191" w:type="dxa"/>
            <w:gridSpan w:val="2"/>
            <w:tcBorders>
              <w:top w:val="nil"/>
              <w:left w:val="single" w:sz="8" w:space="0" w:color="0077BD"/>
              <w:bottom w:val="single" w:sz="4" w:space="0" w:color="0077BD"/>
              <w:right w:val="nil"/>
            </w:tcBorders>
            <w:shd w:val="clear" w:color="auto" w:fill="auto"/>
            <w:vAlign w:val="center"/>
          </w:tcPr>
          <w:p w14:paraId="364A2484" w14:textId="26009429" w:rsidR="0084503F" w:rsidRPr="0084503F" w:rsidRDefault="0084503F" w:rsidP="0084503F">
            <w:pPr>
              <w:jc w:val="right"/>
              <w:rPr>
                <w:rFonts w:cs="Calibri"/>
                <w:color w:val="000000" w:themeColor="text1"/>
                <w:sz w:val="13"/>
                <w:szCs w:val="13"/>
              </w:rPr>
            </w:pPr>
            <w:r w:rsidRPr="0084503F">
              <w:rPr>
                <w:rFonts w:cs="Calibri"/>
                <w:color w:val="000000"/>
                <w:sz w:val="13"/>
                <w:szCs w:val="13"/>
              </w:rPr>
              <w:t>(3 190 278)</w:t>
            </w:r>
          </w:p>
        </w:tc>
      </w:tr>
      <w:tr w:rsidR="0084503F" w:rsidRPr="0012696D" w14:paraId="11BD28FB" w14:textId="77777777" w:rsidTr="00ED5300">
        <w:trPr>
          <w:trHeight w:val="284"/>
        </w:trPr>
        <w:tc>
          <w:tcPr>
            <w:tcW w:w="3916" w:type="dxa"/>
            <w:gridSpan w:val="3"/>
            <w:tcBorders>
              <w:top w:val="single" w:sz="8" w:space="0" w:color="0077BD"/>
              <w:left w:val="nil"/>
              <w:bottom w:val="single" w:sz="8" w:space="0" w:color="0077BD"/>
              <w:right w:val="single" w:sz="8" w:space="0" w:color="0077BD"/>
            </w:tcBorders>
            <w:shd w:val="clear" w:color="auto" w:fill="auto"/>
            <w:vAlign w:val="center"/>
            <w:hideMark/>
          </w:tcPr>
          <w:p w14:paraId="058DEBBE" w14:textId="77777777" w:rsidR="0084503F" w:rsidRPr="00565D60" w:rsidRDefault="0084503F" w:rsidP="0084503F">
            <w:pPr>
              <w:rPr>
                <w:rFonts w:cs="Calibri"/>
                <w:b/>
                <w:bCs/>
                <w:color w:val="000000" w:themeColor="text1"/>
                <w:sz w:val="13"/>
                <w:szCs w:val="13"/>
              </w:rPr>
            </w:pPr>
            <w:r w:rsidRPr="00565D60">
              <w:rPr>
                <w:rFonts w:cs="Calibri"/>
                <w:b/>
                <w:bCs/>
                <w:color w:val="000000" w:themeColor="text1"/>
                <w:sz w:val="13"/>
                <w:szCs w:val="13"/>
              </w:rPr>
              <w:t>Wartość bilansowa</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30998D86" w14:textId="71114843"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93 817 083</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0DD71BAF" w14:textId="1BF86FCD"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7 662 011</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104DBF6D" w14:textId="1F0BC8BC"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1 502 306</w:t>
            </w:r>
          </w:p>
        </w:tc>
        <w:tc>
          <w:tcPr>
            <w:tcW w:w="1133" w:type="dxa"/>
            <w:tcBorders>
              <w:top w:val="single" w:sz="8" w:space="0" w:color="0077BD"/>
              <w:left w:val="single" w:sz="8" w:space="0" w:color="0077BD"/>
              <w:bottom w:val="single" w:sz="8" w:space="0" w:color="0077BD"/>
              <w:right w:val="nil"/>
            </w:tcBorders>
            <w:shd w:val="clear" w:color="auto" w:fill="auto"/>
            <w:vAlign w:val="center"/>
          </w:tcPr>
          <w:p w14:paraId="11B56A94" w14:textId="5541E5E2"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221 854</w:t>
            </w:r>
          </w:p>
        </w:tc>
        <w:tc>
          <w:tcPr>
            <w:tcW w:w="1191" w:type="dxa"/>
            <w:gridSpan w:val="2"/>
            <w:tcBorders>
              <w:top w:val="single" w:sz="8" w:space="0" w:color="0077BD"/>
              <w:left w:val="single" w:sz="8" w:space="0" w:color="0077BD"/>
              <w:bottom w:val="single" w:sz="8" w:space="0" w:color="0077BD"/>
              <w:right w:val="nil"/>
            </w:tcBorders>
            <w:shd w:val="clear" w:color="auto" w:fill="auto"/>
            <w:vAlign w:val="center"/>
          </w:tcPr>
          <w:p w14:paraId="77C66928" w14:textId="605726B9" w:rsidR="0084503F" w:rsidRPr="0084503F" w:rsidRDefault="0084503F" w:rsidP="0084503F">
            <w:pPr>
              <w:jc w:val="right"/>
              <w:rPr>
                <w:rFonts w:cs="Calibri"/>
                <w:b/>
                <w:bCs/>
                <w:color w:val="000000" w:themeColor="text1"/>
                <w:sz w:val="13"/>
                <w:szCs w:val="13"/>
              </w:rPr>
            </w:pPr>
            <w:r w:rsidRPr="0084503F">
              <w:rPr>
                <w:rFonts w:cs="Calibri"/>
                <w:b/>
                <w:bCs/>
                <w:color w:val="000000"/>
                <w:sz w:val="13"/>
                <w:szCs w:val="13"/>
              </w:rPr>
              <w:t>103 203 254</w:t>
            </w:r>
          </w:p>
        </w:tc>
      </w:tr>
    </w:tbl>
    <w:p w14:paraId="58359B01" w14:textId="66F304C1" w:rsidR="00BD2F2D" w:rsidRPr="00BB7C9E" w:rsidRDefault="00BD2F2D" w:rsidP="000F17B5">
      <w:pPr>
        <w:jc w:val="both"/>
        <w:rPr>
          <w:noProof/>
          <w:color w:val="000000" w:themeColor="text1"/>
          <w:sz w:val="18"/>
          <w:szCs w:val="18"/>
        </w:rPr>
      </w:pPr>
    </w:p>
    <w:p w14:paraId="140A4844" w14:textId="52B4CEAA" w:rsidR="00E10E34" w:rsidRPr="00BB7C9E" w:rsidRDefault="00E10E34">
      <w:pPr>
        <w:rPr>
          <w:noProof/>
          <w:color w:val="000000" w:themeColor="text1"/>
          <w:sz w:val="18"/>
          <w:szCs w:val="18"/>
        </w:rPr>
      </w:pPr>
      <w:r w:rsidRPr="00BB7C9E">
        <w:rPr>
          <w:noProof/>
          <w:color w:val="000000" w:themeColor="text1"/>
          <w:sz w:val="18"/>
          <w:szCs w:val="18"/>
        </w:rPr>
        <w:br w:type="page"/>
      </w:r>
    </w:p>
    <w:tbl>
      <w:tblPr>
        <w:tblW w:w="9639" w:type="dxa"/>
        <w:tblInd w:w="-10" w:type="dxa"/>
        <w:tblLayout w:type="fixed"/>
        <w:tblCellMar>
          <w:left w:w="28" w:type="dxa"/>
          <w:right w:w="28" w:type="dxa"/>
        </w:tblCellMar>
        <w:tblLook w:val="04A0" w:firstRow="1" w:lastRow="0" w:firstColumn="1" w:lastColumn="0" w:noHBand="0" w:noVBand="1"/>
      </w:tblPr>
      <w:tblGrid>
        <w:gridCol w:w="9"/>
        <w:gridCol w:w="3897"/>
        <w:gridCol w:w="10"/>
        <w:gridCol w:w="1133"/>
        <w:gridCol w:w="1133"/>
        <w:gridCol w:w="1133"/>
        <w:gridCol w:w="1133"/>
        <w:gridCol w:w="1133"/>
        <w:gridCol w:w="58"/>
      </w:tblGrid>
      <w:tr w:rsidR="00D9525E" w:rsidRPr="00D9525E" w14:paraId="47CFFA5F" w14:textId="77777777" w:rsidTr="00DD65A0">
        <w:trPr>
          <w:gridBefore w:val="1"/>
          <w:gridAfter w:val="1"/>
          <w:wBefore w:w="10" w:type="dxa"/>
          <w:wAfter w:w="47" w:type="dxa"/>
          <w:trHeight w:val="284"/>
        </w:trPr>
        <w:tc>
          <w:tcPr>
            <w:tcW w:w="3912" w:type="dxa"/>
            <w:gridSpan w:val="2"/>
            <w:tcBorders>
              <w:top w:val="nil"/>
              <w:left w:val="single" w:sz="8" w:space="0" w:color="FFFFFF"/>
              <w:right w:val="single" w:sz="8" w:space="0" w:color="FFFFFF"/>
            </w:tcBorders>
            <w:shd w:val="clear" w:color="000000" w:fill="0077BD"/>
            <w:vAlign w:val="center"/>
            <w:hideMark/>
          </w:tcPr>
          <w:p w14:paraId="3BED7829" w14:textId="58802431" w:rsidR="00D9525E" w:rsidRPr="00D9525E" w:rsidRDefault="00BD2F2D" w:rsidP="00D9525E">
            <w:pPr>
              <w:rPr>
                <w:rFonts w:cs="Calibri"/>
                <w:b/>
                <w:bCs/>
                <w:color w:val="FFFFFF"/>
                <w:sz w:val="13"/>
                <w:szCs w:val="13"/>
              </w:rPr>
            </w:pPr>
            <w:r>
              <w:rPr>
                <w:rFonts w:cs="Calibri"/>
                <w:b/>
                <w:bCs/>
                <w:color w:val="FFFFFF"/>
                <w:sz w:val="13"/>
                <w:szCs w:val="13"/>
              </w:rPr>
              <w:lastRenderedPageBreak/>
              <w:t>31.12.2018</w:t>
            </w:r>
          </w:p>
        </w:tc>
        <w:tc>
          <w:tcPr>
            <w:tcW w:w="1134" w:type="dxa"/>
            <w:tcBorders>
              <w:top w:val="nil"/>
              <w:left w:val="nil"/>
              <w:right w:val="single" w:sz="8" w:space="0" w:color="FFFFFF"/>
            </w:tcBorders>
            <w:shd w:val="clear" w:color="000000" w:fill="0077BD"/>
            <w:vAlign w:val="center"/>
            <w:hideMark/>
          </w:tcPr>
          <w:p w14:paraId="2027855A" w14:textId="77777777" w:rsidR="00D9525E" w:rsidRPr="00D9525E" w:rsidRDefault="00D9525E" w:rsidP="00D9525E">
            <w:pPr>
              <w:jc w:val="center"/>
              <w:rPr>
                <w:rFonts w:cs="Calibri"/>
                <w:b/>
                <w:bCs/>
                <w:color w:val="FFFFFF"/>
                <w:sz w:val="13"/>
                <w:szCs w:val="13"/>
              </w:rPr>
            </w:pPr>
            <w:r w:rsidRPr="00D9525E">
              <w:rPr>
                <w:rFonts w:cs="Calibri"/>
                <w:b/>
                <w:bCs/>
                <w:color w:val="FFFFFF"/>
                <w:sz w:val="13"/>
                <w:szCs w:val="13"/>
              </w:rPr>
              <w:t>Koszyk 1</w:t>
            </w:r>
          </w:p>
        </w:tc>
        <w:tc>
          <w:tcPr>
            <w:tcW w:w="1134" w:type="dxa"/>
            <w:tcBorders>
              <w:top w:val="nil"/>
              <w:left w:val="nil"/>
              <w:right w:val="single" w:sz="8" w:space="0" w:color="FFFFFF"/>
            </w:tcBorders>
            <w:shd w:val="clear" w:color="000000" w:fill="0077BD"/>
            <w:vAlign w:val="center"/>
            <w:hideMark/>
          </w:tcPr>
          <w:p w14:paraId="273399F9" w14:textId="77777777" w:rsidR="00D9525E" w:rsidRPr="00D9525E" w:rsidRDefault="00D9525E" w:rsidP="00D9525E">
            <w:pPr>
              <w:jc w:val="center"/>
              <w:rPr>
                <w:rFonts w:cs="Calibri"/>
                <w:b/>
                <w:bCs/>
                <w:color w:val="FFFFFF"/>
                <w:sz w:val="13"/>
                <w:szCs w:val="13"/>
              </w:rPr>
            </w:pPr>
            <w:r w:rsidRPr="00D9525E">
              <w:rPr>
                <w:rFonts w:cs="Calibri"/>
                <w:b/>
                <w:bCs/>
                <w:color w:val="FFFFFF"/>
                <w:sz w:val="13"/>
                <w:szCs w:val="13"/>
              </w:rPr>
              <w:t>Koszyk 2</w:t>
            </w:r>
          </w:p>
        </w:tc>
        <w:tc>
          <w:tcPr>
            <w:tcW w:w="1134" w:type="dxa"/>
            <w:tcBorders>
              <w:top w:val="nil"/>
              <w:left w:val="nil"/>
              <w:right w:val="single" w:sz="8" w:space="0" w:color="FFFFFF"/>
            </w:tcBorders>
            <w:shd w:val="clear" w:color="000000" w:fill="0077BD"/>
            <w:vAlign w:val="center"/>
            <w:hideMark/>
          </w:tcPr>
          <w:p w14:paraId="01A6BBDA" w14:textId="77777777" w:rsidR="00D9525E" w:rsidRPr="00D9525E" w:rsidRDefault="00D9525E" w:rsidP="00D9525E">
            <w:pPr>
              <w:jc w:val="center"/>
              <w:rPr>
                <w:rFonts w:cs="Calibri"/>
                <w:b/>
                <w:bCs/>
                <w:color w:val="FFFFFF"/>
                <w:sz w:val="13"/>
                <w:szCs w:val="13"/>
              </w:rPr>
            </w:pPr>
            <w:r w:rsidRPr="00D9525E">
              <w:rPr>
                <w:rFonts w:cs="Calibri"/>
                <w:b/>
                <w:bCs/>
                <w:color w:val="FFFFFF"/>
                <w:sz w:val="13"/>
                <w:szCs w:val="13"/>
              </w:rPr>
              <w:t>Koszyk 3</w:t>
            </w:r>
          </w:p>
        </w:tc>
        <w:tc>
          <w:tcPr>
            <w:tcW w:w="1134" w:type="dxa"/>
            <w:tcBorders>
              <w:top w:val="nil"/>
              <w:left w:val="nil"/>
              <w:right w:val="single" w:sz="8" w:space="0" w:color="FFFFFF"/>
            </w:tcBorders>
            <w:shd w:val="clear" w:color="000000" w:fill="0077BD"/>
            <w:vAlign w:val="center"/>
            <w:hideMark/>
          </w:tcPr>
          <w:p w14:paraId="74815E3A" w14:textId="77777777" w:rsidR="00D9525E" w:rsidRPr="00D9525E" w:rsidRDefault="00D9525E" w:rsidP="00D9525E">
            <w:pPr>
              <w:jc w:val="center"/>
              <w:rPr>
                <w:rFonts w:cs="Calibri"/>
                <w:b/>
                <w:bCs/>
                <w:color w:val="FFFFFF"/>
                <w:sz w:val="13"/>
                <w:szCs w:val="13"/>
              </w:rPr>
            </w:pPr>
            <w:r w:rsidRPr="00D9525E">
              <w:rPr>
                <w:rFonts w:cs="Calibri"/>
                <w:b/>
                <w:bCs/>
                <w:color w:val="FFFFFF"/>
                <w:sz w:val="13"/>
                <w:szCs w:val="13"/>
              </w:rPr>
              <w:t>POCI</w:t>
            </w:r>
          </w:p>
        </w:tc>
        <w:tc>
          <w:tcPr>
            <w:tcW w:w="1134" w:type="dxa"/>
            <w:tcBorders>
              <w:top w:val="nil"/>
              <w:left w:val="nil"/>
              <w:right w:val="nil"/>
            </w:tcBorders>
            <w:shd w:val="clear" w:color="000000" w:fill="0077BD"/>
            <w:vAlign w:val="center"/>
            <w:hideMark/>
          </w:tcPr>
          <w:p w14:paraId="2208D494" w14:textId="77777777" w:rsidR="00D9525E" w:rsidRPr="00D9525E" w:rsidRDefault="00D9525E" w:rsidP="00D9525E">
            <w:pPr>
              <w:jc w:val="center"/>
              <w:rPr>
                <w:rFonts w:cs="Calibri"/>
                <w:b/>
                <w:bCs/>
                <w:color w:val="FFFFFF"/>
                <w:sz w:val="13"/>
                <w:szCs w:val="13"/>
              </w:rPr>
            </w:pPr>
            <w:r w:rsidRPr="00D9525E">
              <w:rPr>
                <w:rFonts w:cs="Calibri"/>
                <w:b/>
                <w:bCs/>
                <w:color w:val="FFFFFF"/>
                <w:sz w:val="13"/>
                <w:szCs w:val="13"/>
              </w:rPr>
              <w:t>RAZEM</w:t>
            </w:r>
          </w:p>
        </w:tc>
      </w:tr>
      <w:tr w:rsidR="008E0453" w:rsidRPr="00BB7C9E" w14:paraId="0C014AA4" w14:textId="77777777" w:rsidTr="00DD65A0">
        <w:trPr>
          <w:gridBefore w:val="1"/>
          <w:gridAfter w:val="1"/>
          <w:wBefore w:w="10" w:type="dxa"/>
          <w:wAfter w:w="47" w:type="dxa"/>
          <w:trHeight w:val="284"/>
        </w:trPr>
        <w:tc>
          <w:tcPr>
            <w:tcW w:w="1134" w:type="dxa"/>
            <w:gridSpan w:val="3"/>
            <w:tcBorders>
              <w:left w:val="nil"/>
              <w:bottom w:val="single" w:sz="8" w:space="0" w:color="0077BD"/>
              <w:right w:val="nil"/>
            </w:tcBorders>
            <w:shd w:val="clear" w:color="000000" w:fill="FFFFFF"/>
            <w:vAlign w:val="center"/>
            <w:hideMark/>
          </w:tcPr>
          <w:p w14:paraId="10C4E8BB" w14:textId="77777777" w:rsidR="00D9525E" w:rsidRPr="00BB7C9E" w:rsidRDefault="00D9525E" w:rsidP="00D9525E">
            <w:pPr>
              <w:rPr>
                <w:rFonts w:cs="Calibri"/>
                <w:b/>
                <w:bCs/>
                <w:color w:val="000000" w:themeColor="text1"/>
                <w:sz w:val="13"/>
                <w:szCs w:val="13"/>
              </w:rPr>
            </w:pPr>
            <w:r w:rsidRPr="00BB7C9E">
              <w:rPr>
                <w:rFonts w:cs="Calibri"/>
                <w:b/>
                <w:bCs/>
                <w:color w:val="000000" w:themeColor="text1"/>
                <w:sz w:val="13"/>
                <w:szCs w:val="13"/>
              </w:rPr>
              <w:t>Dłużne papiery wartościowe wyceniane w zamortyzowanym koszcie</w:t>
            </w:r>
          </w:p>
        </w:tc>
        <w:tc>
          <w:tcPr>
            <w:tcW w:w="1134" w:type="dxa"/>
            <w:tcBorders>
              <w:left w:val="nil"/>
              <w:bottom w:val="single" w:sz="8" w:space="0" w:color="0077BD"/>
              <w:right w:val="nil"/>
            </w:tcBorders>
            <w:shd w:val="clear" w:color="000000" w:fill="FFFFFF"/>
            <w:vAlign w:val="center"/>
            <w:hideMark/>
          </w:tcPr>
          <w:p w14:paraId="6D20F5B8"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 </w:t>
            </w:r>
          </w:p>
        </w:tc>
        <w:tc>
          <w:tcPr>
            <w:tcW w:w="1134" w:type="dxa"/>
            <w:tcBorders>
              <w:left w:val="nil"/>
              <w:bottom w:val="single" w:sz="8" w:space="0" w:color="0077BD"/>
              <w:right w:val="nil"/>
            </w:tcBorders>
            <w:shd w:val="clear" w:color="000000" w:fill="FFFFFF"/>
            <w:vAlign w:val="center"/>
            <w:hideMark/>
          </w:tcPr>
          <w:p w14:paraId="247F7EFE"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 </w:t>
            </w:r>
          </w:p>
        </w:tc>
        <w:tc>
          <w:tcPr>
            <w:tcW w:w="1134" w:type="dxa"/>
            <w:tcBorders>
              <w:left w:val="nil"/>
              <w:bottom w:val="single" w:sz="8" w:space="0" w:color="0077BD"/>
              <w:right w:val="nil"/>
            </w:tcBorders>
            <w:shd w:val="clear" w:color="000000" w:fill="FFFFFF"/>
            <w:vAlign w:val="center"/>
            <w:hideMark/>
          </w:tcPr>
          <w:p w14:paraId="4A37A685"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 </w:t>
            </w:r>
          </w:p>
        </w:tc>
        <w:tc>
          <w:tcPr>
            <w:tcW w:w="1134" w:type="dxa"/>
            <w:tcBorders>
              <w:left w:val="nil"/>
              <w:bottom w:val="single" w:sz="8" w:space="0" w:color="0077BD"/>
              <w:right w:val="nil"/>
            </w:tcBorders>
            <w:shd w:val="clear" w:color="000000" w:fill="FFFFFF"/>
            <w:vAlign w:val="center"/>
            <w:hideMark/>
          </w:tcPr>
          <w:p w14:paraId="53FC2AC3"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 </w:t>
            </w:r>
          </w:p>
        </w:tc>
      </w:tr>
      <w:tr w:rsidR="008E0453" w:rsidRPr="00BB7C9E" w14:paraId="29F94DFC" w14:textId="77777777" w:rsidTr="00DD65A0">
        <w:trPr>
          <w:gridBefore w:val="1"/>
          <w:gridAfter w:val="1"/>
          <w:wBefore w:w="10" w:type="dxa"/>
          <w:wAfter w:w="47" w:type="dxa"/>
          <w:trHeight w:val="284"/>
        </w:trPr>
        <w:tc>
          <w:tcPr>
            <w:tcW w:w="3912" w:type="dxa"/>
            <w:gridSpan w:val="2"/>
            <w:tcBorders>
              <w:top w:val="single" w:sz="4" w:space="0" w:color="0077BD"/>
              <w:left w:val="nil"/>
              <w:bottom w:val="single" w:sz="4" w:space="0" w:color="0077BD"/>
              <w:right w:val="single" w:sz="8" w:space="0" w:color="0077BD"/>
            </w:tcBorders>
            <w:shd w:val="clear" w:color="auto" w:fill="auto"/>
            <w:vAlign w:val="center"/>
            <w:hideMark/>
          </w:tcPr>
          <w:p w14:paraId="28993A37" w14:textId="77777777" w:rsidR="00D9525E" w:rsidRPr="00BB7C9E" w:rsidRDefault="00D9525E" w:rsidP="00D9525E">
            <w:pPr>
              <w:jc w:val="center"/>
              <w:rPr>
                <w:rFonts w:cs="Calibri"/>
                <w:color w:val="000000" w:themeColor="text1"/>
                <w:sz w:val="13"/>
                <w:szCs w:val="13"/>
              </w:rPr>
            </w:pPr>
            <w:r w:rsidRPr="00BB7C9E">
              <w:rPr>
                <w:rFonts w:cs="Calibri"/>
                <w:color w:val="000000" w:themeColor="text1"/>
                <w:sz w:val="13"/>
                <w:szCs w:val="13"/>
              </w:rPr>
              <w:t>1,0 - 1,2</w:t>
            </w:r>
          </w:p>
        </w:tc>
        <w:tc>
          <w:tcPr>
            <w:tcW w:w="1134" w:type="dxa"/>
            <w:tcBorders>
              <w:top w:val="nil"/>
              <w:left w:val="nil"/>
              <w:bottom w:val="single" w:sz="4" w:space="0" w:color="0077BD"/>
              <w:right w:val="nil"/>
            </w:tcBorders>
            <w:shd w:val="clear" w:color="auto" w:fill="auto"/>
            <w:vAlign w:val="center"/>
            <w:hideMark/>
          </w:tcPr>
          <w:p w14:paraId="195B1225"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9 000 626</w:t>
            </w:r>
          </w:p>
        </w:tc>
        <w:tc>
          <w:tcPr>
            <w:tcW w:w="1134" w:type="dxa"/>
            <w:tcBorders>
              <w:top w:val="nil"/>
              <w:left w:val="single" w:sz="8" w:space="0" w:color="0077BD"/>
              <w:bottom w:val="single" w:sz="4" w:space="0" w:color="0077BD"/>
              <w:right w:val="nil"/>
            </w:tcBorders>
            <w:shd w:val="clear" w:color="auto" w:fill="auto"/>
            <w:vAlign w:val="center"/>
            <w:hideMark/>
          </w:tcPr>
          <w:p w14:paraId="55D3D7D4"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B0BB74F"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B841CA1"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64B188B"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9 000 626</w:t>
            </w:r>
          </w:p>
        </w:tc>
      </w:tr>
      <w:tr w:rsidR="008E0453" w:rsidRPr="00BB7C9E" w14:paraId="337F0CE0" w14:textId="77777777" w:rsidTr="00DD65A0">
        <w:trPr>
          <w:gridBefore w:val="1"/>
          <w:gridAfter w:val="1"/>
          <w:wBefore w:w="10" w:type="dxa"/>
          <w:wAfter w:w="47"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3577C1DD" w14:textId="77777777" w:rsidR="00D9525E" w:rsidRPr="00BB7C9E" w:rsidRDefault="00D9525E" w:rsidP="00D9525E">
            <w:pPr>
              <w:rPr>
                <w:rFonts w:cs="Calibri"/>
                <w:b/>
                <w:bCs/>
                <w:color w:val="000000" w:themeColor="text1"/>
                <w:sz w:val="13"/>
                <w:szCs w:val="13"/>
              </w:rPr>
            </w:pPr>
            <w:r w:rsidRPr="00BB7C9E">
              <w:rPr>
                <w:rFonts w:cs="Calibri"/>
                <w:b/>
                <w:bCs/>
                <w:color w:val="000000" w:themeColor="text1"/>
                <w:sz w:val="13"/>
                <w:szCs w:val="13"/>
              </w:rPr>
              <w:t>Wartość bilansowa brutto</w:t>
            </w:r>
          </w:p>
        </w:tc>
        <w:tc>
          <w:tcPr>
            <w:tcW w:w="1134" w:type="dxa"/>
            <w:tcBorders>
              <w:top w:val="nil"/>
              <w:left w:val="nil"/>
              <w:bottom w:val="single" w:sz="4" w:space="0" w:color="0077BD"/>
              <w:right w:val="nil"/>
            </w:tcBorders>
            <w:shd w:val="clear" w:color="auto" w:fill="auto"/>
            <w:vAlign w:val="center"/>
            <w:hideMark/>
          </w:tcPr>
          <w:p w14:paraId="4E550683"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9 000 626</w:t>
            </w:r>
          </w:p>
        </w:tc>
        <w:tc>
          <w:tcPr>
            <w:tcW w:w="1134" w:type="dxa"/>
            <w:tcBorders>
              <w:top w:val="nil"/>
              <w:left w:val="single" w:sz="8" w:space="0" w:color="0077BD"/>
              <w:bottom w:val="single" w:sz="4" w:space="0" w:color="0077BD"/>
              <w:right w:val="nil"/>
            </w:tcBorders>
            <w:shd w:val="clear" w:color="auto" w:fill="auto"/>
            <w:vAlign w:val="center"/>
            <w:hideMark/>
          </w:tcPr>
          <w:p w14:paraId="2EE7B784"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0A781A53"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C968DB0"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6C660DE"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9 000 626</w:t>
            </w:r>
          </w:p>
        </w:tc>
      </w:tr>
      <w:tr w:rsidR="008E0453" w:rsidRPr="00BB7C9E" w14:paraId="4E3A120D" w14:textId="77777777" w:rsidTr="00DD65A0">
        <w:trPr>
          <w:gridBefore w:val="1"/>
          <w:gridAfter w:val="1"/>
          <w:wBefore w:w="10" w:type="dxa"/>
          <w:wAfter w:w="47" w:type="dxa"/>
          <w:trHeight w:val="284"/>
        </w:trPr>
        <w:tc>
          <w:tcPr>
            <w:tcW w:w="3912" w:type="dxa"/>
            <w:gridSpan w:val="2"/>
            <w:tcBorders>
              <w:top w:val="nil"/>
              <w:left w:val="nil"/>
              <w:bottom w:val="nil"/>
              <w:right w:val="single" w:sz="8" w:space="0" w:color="0077BD"/>
            </w:tcBorders>
            <w:shd w:val="clear" w:color="auto" w:fill="auto"/>
            <w:vAlign w:val="center"/>
            <w:hideMark/>
          </w:tcPr>
          <w:p w14:paraId="2C1DBA54" w14:textId="77777777" w:rsidR="00D9525E" w:rsidRPr="00BB7C9E" w:rsidRDefault="00D9525E" w:rsidP="00D9525E">
            <w:pPr>
              <w:rPr>
                <w:rFonts w:cs="Calibri"/>
                <w:color w:val="000000" w:themeColor="text1"/>
                <w:sz w:val="13"/>
                <w:szCs w:val="13"/>
              </w:rPr>
            </w:pPr>
            <w:r w:rsidRPr="00BB7C9E">
              <w:rPr>
                <w:rFonts w:cs="Calibri"/>
                <w:color w:val="000000" w:themeColor="text1"/>
                <w:sz w:val="13"/>
                <w:szCs w:val="13"/>
              </w:rPr>
              <w:t>Skumulowana utrata wartości</w:t>
            </w:r>
          </w:p>
        </w:tc>
        <w:tc>
          <w:tcPr>
            <w:tcW w:w="1134" w:type="dxa"/>
            <w:tcBorders>
              <w:top w:val="nil"/>
              <w:left w:val="nil"/>
              <w:bottom w:val="nil"/>
              <w:right w:val="nil"/>
            </w:tcBorders>
            <w:shd w:val="clear" w:color="auto" w:fill="auto"/>
            <w:vAlign w:val="center"/>
            <w:hideMark/>
          </w:tcPr>
          <w:p w14:paraId="0B81F0E6"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(87)</w:t>
            </w:r>
          </w:p>
        </w:tc>
        <w:tc>
          <w:tcPr>
            <w:tcW w:w="1134" w:type="dxa"/>
            <w:tcBorders>
              <w:top w:val="nil"/>
              <w:left w:val="single" w:sz="8" w:space="0" w:color="0077BD"/>
              <w:bottom w:val="nil"/>
              <w:right w:val="nil"/>
            </w:tcBorders>
            <w:shd w:val="clear" w:color="auto" w:fill="auto"/>
            <w:vAlign w:val="center"/>
            <w:hideMark/>
          </w:tcPr>
          <w:p w14:paraId="13036CDE"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nil"/>
              <w:right w:val="nil"/>
            </w:tcBorders>
            <w:shd w:val="clear" w:color="auto" w:fill="auto"/>
            <w:vAlign w:val="center"/>
            <w:hideMark/>
          </w:tcPr>
          <w:p w14:paraId="057434CD"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nil"/>
              <w:right w:val="nil"/>
            </w:tcBorders>
            <w:shd w:val="clear" w:color="auto" w:fill="auto"/>
            <w:vAlign w:val="center"/>
            <w:hideMark/>
          </w:tcPr>
          <w:p w14:paraId="561A6022"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CE6D304" w14:textId="77777777" w:rsidR="00D9525E" w:rsidRPr="00BB7C9E" w:rsidRDefault="00D9525E" w:rsidP="00D9525E">
            <w:pPr>
              <w:jc w:val="right"/>
              <w:rPr>
                <w:rFonts w:cs="Calibri"/>
                <w:color w:val="000000" w:themeColor="text1"/>
                <w:sz w:val="13"/>
                <w:szCs w:val="13"/>
              </w:rPr>
            </w:pPr>
            <w:r w:rsidRPr="00BB7C9E">
              <w:rPr>
                <w:rFonts w:cs="Calibri"/>
                <w:color w:val="000000" w:themeColor="text1"/>
                <w:sz w:val="13"/>
                <w:szCs w:val="13"/>
              </w:rPr>
              <w:t>(87)</w:t>
            </w:r>
          </w:p>
        </w:tc>
      </w:tr>
      <w:tr w:rsidR="008E0453" w:rsidRPr="00BB7C9E" w14:paraId="1A952D05" w14:textId="77777777" w:rsidTr="00DD65A0">
        <w:trPr>
          <w:gridBefore w:val="1"/>
          <w:gridAfter w:val="1"/>
          <w:wBefore w:w="10" w:type="dxa"/>
          <w:wAfter w:w="47" w:type="dxa"/>
          <w:trHeight w:val="284"/>
        </w:trPr>
        <w:tc>
          <w:tcPr>
            <w:tcW w:w="3912" w:type="dxa"/>
            <w:gridSpan w:val="2"/>
            <w:tcBorders>
              <w:top w:val="single" w:sz="8" w:space="0" w:color="0077BD"/>
              <w:left w:val="nil"/>
              <w:bottom w:val="single" w:sz="8" w:space="0" w:color="0077BD"/>
              <w:right w:val="single" w:sz="8" w:space="0" w:color="0077BD"/>
            </w:tcBorders>
            <w:shd w:val="clear" w:color="auto" w:fill="auto"/>
            <w:vAlign w:val="center"/>
            <w:hideMark/>
          </w:tcPr>
          <w:p w14:paraId="24D34F25" w14:textId="77777777" w:rsidR="00D9525E" w:rsidRPr="00BB7C9E" w:rsidRDefault="00D9525E" w:rsidP="00D9525E">
            <w:pPr>
              <w:rPr>
                <w:rFonts w:cs="Calibri"/>
                <w:b/>
                <w:bCs/>
                <w:color w:val="000000" w:themeColor="text1"/>
                <w:sz w:val="13"/>
                <w:szCs w:val="13"/>
              </w:rPr>
            </w:pPr>
            <w:r w:rsidRPr="00BB7C9E">
              <w:rPr>
                <w:rFonts w:cs="Calibri"/>
                <w:b/>
                <w:bCs/>
                <w:color w:val="000000" w:themeColor="text1"/>
                <w:sz w:val="13"/>
                <w:szCs w:val="13"/>
              </w:rPr>
              <w:t>Razem</w:t>
            </w:r>
          </w:p>
        </w:tc>
        <w:tc>
          <w:tcPr>
            <w:tcW w:w="1134" w:type="dxa"/>
            <w:tcBorders>
              <w:top w:val="single" w:sz="8" w:space="0" w:color="0077BD"/>
              <w:left w:val="nil"/>
              <w:bottom w:val="single" w:sz="8" w:space="0" w:color="0077BD"/>
              <w:right w:val="nil"/>
            </w:tcBorders>
            <w:shd w:val="clear" w:color="auto" w:fill="auto"/>
            <w:vAlign w:val="center"/>
            <w:hideMark/>
          </w:tcPr>
          <w:p w14:paraId="599010C9"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9 000 539</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06E0E0C4"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7C1B6856"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427EA0BB"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0EE8F895" w14:textId="77777777" w:rsidR="00D9525E" w:rsidRPr="00BB7C9E" w:rsidRDefault="00D9525E" w:rsidP="00D9525E">
            <w:pPr>
              <w:jc w:val="right"/>
              <w:rPr>
                <w:rFonts w:cs="Calibri"/>
                <w:b/>
                <w:bCs/>
                <w:color w:val="000000" w:themeColor="text1"/>
                <w:sz w:val="13"/>
                <w:szCs w:val="13"/>
              </w:rPr>
            </w:pPr>
            <w:r w:rsidRPr="00BB7C9E">
              <w:rPr>
                <w:rFonts w:cs="Calibri"/>
                <w:b/>
                <w:bCs/>
                <w:color w:val="000000" w:themeColor="text1"/>
                <w:sz w:val="13"/>
                <w:szCs w:val="13"/>
              </w:rPr>
              <w:t>9 000 539</w:t>
            </w:r>
          </w:p>
        </w:tc>
      </w:tr>
      <w:tr w:rsidR="00726E31" w:rsidRPr="00BB7C9E" w14:paraId="782E13B1" w14:textId="77777777" w:rsidTr="00DD65A0">
        <w:trPr>
          <w:gridAfter w:val="1"/>
          <w:wAfter w:w="58" w:type="dxa"/>
          <w:trHeight w:val="284"/>
        </w:trPr>
        <w:tc>
          <w:tcPr>
            <w:tcW w:w="1134" w:type="dxa"/>
            <w:gridSpan w:val="5"/>
            <w:tcBorders>
              <w:top w:val="single" w:sz="8" w:space="0" w:color="0077BD"/>
              <w:left w:val="nil"/>
              <w:bottom w:val="single" w:sz="8" w:space="0" w:color="0077BD"/>
              <w:right w:val="nil"/>
            </w:tcBorders>
            <w:shd w:val="clear" w:color="000000" w:fill="FFFFFF"/>
            <w:vAlign w:val="center"/>
            <w:hideMark/>
          </w:tcPr>
          <w:p w14:paraId="6187FCAF" w14:textId="71CA13F9" w:rsidR="00726E31" w:rsidRPr="00BB7C9E" w:rsidRDefault="00726E31" w:rsidP="00726E31">
            <w:pPr>
              <w:rPr>
                <w:rFonts w:cs="Calibri"/>
                <w:b/>
                <w:bCs/>
                <w:color w:val="000000" w:themeColor="text1"/>
                <w:sz w:val="13"/>
                <w:szCs w:val="13"/>
              </w:rPr>
            </w:pPr>
            <w:r w:rsidRPr="00BB7C9E">
              <w:rPr>
                <w:rFonts w:cs="Calibri"/>
                <w:b/>
                <w:bCs/>
                <w:color w:val="000000" w:themeColor="text1"/>
                <w:sz w:val="13"/>
                <w:szCs w:val="13"/>
              </w:rPr>
              <w:t>Należności od banków wyceniane w zamortyzowanym koszcie</w:t>
            </w:r>
          </w:p>
        </w:tc>
        <w:tc>
          <w:tcPr>
            <w:tcW w:w="1134" w:type="dxa"/>
            <w:tcBorders>
              <w:top w:val="single" w:sz="8" w:space="0" w:color="0077BD"/>
              <w:left w:val="nil"/>
              <w:bottom w:val="single" w:sz="8" w:space="0" w:color="0077BD"/>
              <w:right w:val="nil"/>
            </w:tcBorders>
            <w:shd w:val="clear" w:color="000000" w:fill="FFFFFF"/>
            <w:vAlign w:val="center"/>
            <w:hideMark/>
          </w:tcPr>
          <w:p w14:paraId="38F5BB23" w14:textId="77777777" w:rsidR="00726E31" w:rsidRPr="00BB7C9E" w:rsidRDefault="00726E31" w:rsidP="00BD2F2D">
            <w:pPr>
              <w:jc w:val="right"/>
              <w:rPr>
                <w:rFonts w:cs="Calibri"/>
                <w:color w:val="000000" w:themeColor="text1"/>
                <w:sz w:val="13"/>
                <w:szCs w:val="13"/>
              </w:rPr>
            </w:pPr>
            <w:r w:rsidRPr="00BB7C9E">
              <w:rPr>
                <w:rFonts w:cs="Calibri"/>
                <w:color w:val="000000" w:themeColor="text1"/>
                <w:sz w:val="13"/>
                <w:szCs w:val="13"/>
              </w:rPr>
              <w:t> </w:t>
            </w:r>
          </w:p>
        </w:tc>
        <w:tc>
          <w:tcPr>
            <w:tcW w:w="1134" w:type="dxa"/>
            <w:tcBorders>
              <w:top w:val="single" w:sz="8" w:space="0" w:color="0077BD"/>
              <w:left w:val="nil"/>
              <w:bottom w:val="single" w:sz="8" w:space="0" w:color="0077BD"/>
              <w:right w:val="nil"/>
            </w:tcBorders>
            <w:shd w:val="clear" w:color="000000" w:fill="FFFFFF"/>
            <w:vAlign w:val="center"/>
            <w:hideMark/>
          </w:tcPr>
          <w:p w14:paraId="46190754" w14:textId="77777777" w:rsidR="00726E31" w:rsidRPr="00BB7C9E" w:rsidRDefault="00726E31" w:rsidP="00BD2F2D">
            <w:pPr>
              <w:jc w:val="right"/>
              <w:rPr>
                <w:rFonts w:cs="Calibri"/>
                <w:color w:val="000000" w:themeColor="text1"/>
                <w:sz w:val="13"/>
                <w:szCs w:val="13"/>
              </w:rPr>
            </w:pPr>
            <w:r w:rsidRPr="00BB7C9E">
              <w:rPr>
                <w:rFonts w:cs="Calibri"/>
                <w:color w:val="000000" w:themeColor="text1"/>
                <w:sz w:val="13"/>
                <w:szCs w:val="13"/>
              </w:rPr>
              <w:t> </w:t>
            </w:r>
          </w:p>
        </w:tc>
        <w:tc>
          <w:tcPr>
            <w:tcW w:w="1134" w:type="dxa"/>
            <w:tcBorders>
              <w:top w:val="single" w:sz="8" w:space="0" w:color="0077BD"/>
              <w:left w:val="nil"/>
              <w:bottom w:val="single" w:sz="8" w:space="0" w:color="0077BD"/>
              <w:right w:val="nil"/>
            </w:tcBorders>
            <w:shd w:val="clear" w:color="000000" w:fill="FFFFFF"/>
            <w:vAlign w:val="center"/>
            <w:hideMark/>
          </w:tcPr>
          <w:p w14:paraId="493B04A5" w14:textId="77777777" w:rsidR="00726E31" w:rsidRPr="00BB7C9E" w:rsidRDefault="00726E31" w:rsidP="00BD2F2D">
            <w:pPr>
              <w:jc w:val="right"/>
              <w:rPr>
                <w:rFonts w:cs="Calibri"/>
                <w:color w:val="000000" w:themeColor="text1"/>
                <w:sz w:val="13"/>
                <w:szCs w:val="13"/>
              </w:rPr>
            </w:pPr>
            <w:r w:rsidRPr="00BB7C9E">
              <w:rPr>
                <w:rFonts w:cs="Calibri"/>
                <w:color w:val="000000" w:themeColor="text1"/>
                <w:sz w:val="13"/>
                <w:szCs w:val="13"/>
              </w:rPr>
              <w:t> </w:t>
            </w:r>
          </w:p>
        </w:tc>
      </w:tr>
      <w:tr w:rsidR="008E0453" w:rsidRPr="00BB7C9E" w14:paraId="2B897C54" w14:textId="77777777" w:rsidTr="00DD65A0">
        <w:trPr>
          <w:gridAfter w:val="1"/>
          <w:wAfter w:w="58" w:type="dxa"/>
          <w:trHeight w:val="284"/>
        </w:trPr>
        <w:tc>
          <w:tcPr>
            <w:tcW w:w="3912" w:type="dxa"/>
            <w:gridSpan w:val="2"/>
            <w:tcBorders>
              <w:top w:val="single" w:sz="4" w:space="0" w:color="0077BD"/>
              <w:left w:val="nil"/>
              <w:bottom w:val="single" w:sz="4" w:space="0" w:color="0077BD"/>
              <w:right w:val="single" w:sz="8" w:space="0" w:color="0077BD"/>
            </w:tcBorders>
            <w:shd w:val="clear" w:color="auto" w:fill="auto"/>
            <w:vAlign w:val="center"/>
            <w:hideMark/>
          </w:tcPr>
          <w:p w14:paraId="1AB660C5"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1</w:t>
            </w:r>
          </w:p>
        </w:tc>
        <w:tc>
          <w:tcPr>
            <w:tcW w:w="1134" w:type="dxa"/>
            <w:gridSpan w:val="2"/>
            <w:tcBorders>
              <w:top w:val="single" w:sz="4" w:space="0" w:color="0077BD"/>
              <w:left w:val="nil"/>
              <w:bottom w:val="single" w:sz="4" w:space="0" w:color="0077BD"/>
              <w:right w:val="nil"/>
            </w:tcBorders>
            <w:shd w:val="clear" w:color="auto" w:fill="auto"/>
            <w:vAlign w:val="center"/>
            <w:hideMark/>
          </w:tcPr>
          <w:p w14:paraId="61AB1598"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893 874</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7B68529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6C364E8A"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7A6FE78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32135AA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893 874</w:t>
            </w:r>
          </w:p>
        </w:tc>
      </w:tr>
      <w:tr w:rsidR="008E0453" w:rsidRPr="00BB7C9E" w14:paraId="294F5ED5"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54737D2E"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2</w:t>
            </w:r>
          </w:p>
        </w:tc>
        <w:tc>
          <w:tcPr>
            <w:tcW w:w="1134" w:type="dxa"/>
            <w:gridSpan w:val="2"/>
            <w:tcBorders>
              <w:top w:val="nil"/>
              <w:left w:val="nil"/>
              <w:bottom w:val="single" w:sz="4" w:space="0" w:color="0077BD"/>
              <w:right w:val="nil"/>
            </w:tcBorders>
            <w:shd w:val="clear" w:color="auto" w:fill="auto"/>
            <w:vAlign w:val="center"/>
            <w:hideMark/>
          </w:tcPr>
          <w:p w14:paraId="6D961F4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325 879</w:t>
            </w:r>
          </w:p>
        </w:tc>
        <w:tc>
          <w:tcPr>
            <w:tcW w:w="1134" w:type="dxa"/>
            <w:tcBorders>
              <w:top w:val="nil"/>
              <w:left w:val="single" w:sz="8" w:space="0" w:color="0077BD"/>
              <w:bottom w:val="single" w:sz="4" w:space="0" w:color="0077BD"/>
              <w:right w:val="nil"/>
            </w:tcBorders>
            <w:shd w:val="clear" w:color="auto" w:fill="auto"/>
            <w:vAlign w:val="center"/>
            <w:hideMark/>
          </w:tcPr>
          <w:p w14:paraId="333BEC1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CDE339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36EB30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8D7C93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325 879</w:t>
            </w:r>
          </w:p>
        </w:tc>
      </w:tr>
      <w:tr w:rsidR="008E0453" w:rsidRPr="00BB7C9E" w14:paraId="034471E4"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64F5E406"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3</w:t>
            </w:r>
          </w:p>
        </w:tc>
        <w:tc>
          <w:tcPr>
            <w:tcW w:w="1134" w:type="dxa"/>
            <w:gridSpan w:val="2"/>
            <w:tcBorders>
              <w:top w:val="nil"/>
              <w:left w:val="nil"/>
              <w:bottom w:val="single" w:sz="4" w:space="0" w:color="0077BD"/>
              <w:right w:val="nil"/>
            </w:tcBorders>
            <w:shd w:val="clear" w:color="auto" w:fill="auto"/>
            <w:vAlign w:val="center"/>
            <w:hideMark/>
          </w:tcPr>
          <w:p w14:paraId="4839A16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5 231</w:t>
            </w:r>
          </w:p>
        </w:tc>
        <w:tc>
          <w:tcPr>
            <w:tcW w:w="1134" w:type="dxa"/>
            <w:tcBorders>
              <w:top w:val="nil"/>
              <w:left w:val="single" w:sz="8" w:space="0" w:color="0077BD"/>
              <w:bottom w:val="single" w:sz="4" w:space="0" w:color="0077BD"/>
              <w:right w:val="nil"/>
            </w:tcBorders>
            <w:shd w:val="clear" w:color="auto" w:fill="auto"/>
            <w:vAlign w:val="center"/>
            <w:hideMark/>
          </w:tcPr>
          <w:p w14:paraId="65F2DE5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148803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56C1BF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5F7AC0D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5 231</w:t>
            </w:r>
          </w:p>
        </w:tc>
      </w:tr>
      <w:tr w:rsidR="008E0453" w:rsidRPr="00BB7C9E" w14:paraId="24C1631F"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73D1E861"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4</w:t>
            </w:r>
          </w:p>
        </w:tc>
        <w:tc>
          <w:tcPr>
            <w:tcW w:w="1134" w:type="dxa"/>
            <w:gridSpan w:val="2"/>
            <w:tcBorders>
              <w:top w:val="nil"/>
              <w:left w:val="nil"/>
              <w:bottom w:val="single" w:sz="4" w:space="0" w:color="0077BD"/>
              <w:right w:val="nil"/>
            </w:tcBorders>
            <w:shd w:val="clear" w:color="auto" w:fill="auto"/>
            <w:vAlign w:val="center"/>
            <w:hideMark/>
          </w:tcPr>
          <w:p w14:paraId="56CCC60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59 152</w:t>
            </w:r>
          </w:p>
        </w:tc>
        <w:tc>
          <w:tcPr>
            <w:tcW w:w="1134" w:type="dxa"/>
            <w:tcBorders>
              <w:top w:val="nil"/>
              <w:left w:val="single" w:sz="8" w:space="0" w:color="0077BD"/>
              <w:bottom w:val="single" w:sz="4" w:space="0" w:color="0077BD"/>
              <w:right w:val="nil"/>
            </w:tcBorders>
            <w:shd w:val="clear" w:color="auto" w:fill="auto"/>
            <w:vAlign w:val="center"/>
            <w:hideMark/>
          </w:tcPr>
          <w:p w14:paraId="08D6D86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538048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111F86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6974111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59 152</w:t>
            </w:r>
          </w:p>
        </w:tc>
      </w:tr>
      <w:tr w:rsidR="008E0453" w:rsidRPr="00BB7C9E" w14:paraId="434B6670"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2A047115"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5</w:t>
            </w:r>
          </w:p>
        </w:tc>
        <w:tc>
          <w:tcPr>
            <w:tcW w:w="1134" w:type="dxa"/>
            <w:gridSpan w:val="2"/>
            <w:tcBorders>
              <w:top w:val="nil"/>
              <w:left w:val="nil"/>
              <w:bottom w:val="single" w:sz="4" w:space="0" w:color="0077BD"/>
              <w:right w:val="nil"/>
            </w:tcBorders>
            <w:shd w:val="clear" w:color="auto" w:fill="auto"/>
            <w:vAlign w:val="center"/>
            <w:hideMark/>
          </w:tcPr>
          <w:p w14:paraId="0772FDC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3 697</w:t>
            </w:r>
          </w:p>
        </w:tc>
        <w:tc>
          <w:tcPr>
            <w:tcW w:w="1134" w:type="dxa"/>
            <w:tcBorders>
              <w:top w:val="nil"/>
              <w:left w:val="single" w:sz="8" w:space="0" w:color="0077BD"/>
              <w:bottom w:val="single" w:sz="4" w:space="0" w:color="0077BD"/>
              <w:right w:val="nil"/>
            </w:tcBorders>
            <w:shd w:val="clear" w:color="auto" w:fill="auto"/>
            <w:vAlign w:val="center"/>
            <w:hideMark/>
          </w:tcPr>
          <w:p w14:paraId="617EC29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56FCDC8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DA4D23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720E05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3 697</w:t>
            </w:r>
          </w:p>
        </w:tc>
      </w:tr>
      <w:tr w:rsidR="008E0453" w:rsidRPr="00BB7C9E" w14:paraId="7AFB275B"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3EA5A1D7"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6</w:t>
            </w:r>
          </w:p>
        </w:tc>
        <w:tc>
          <w:tcPr>
            <w:tcW w:w="1134" w:type="dxa"/>
            <w:gridSpan w:val="2"/>
            <w:tcBorders>
              <w:top w:val="nil"/>
              <w:left w:val="nil"/>
              <w:bottom w:val="single" w:sz="4" w:space="0" w:color="0077BD"/>
              <w:right w:val="nil"/>
            </w:tcBorders>
            <w:shd w:val="clear" w:color="auto" w:fill="auto"/>
            <w:vAlign w:val="center"/>
            <w:hideMark/>
          </w:tcPr>
          <w:p w14:paraId="733E960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30FBF4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E2ABE9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58DDB97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D20B63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r>
      <w:tr w:rsidR="008E0453" w:rsidRPr="00BB7C9E" w14:paraId="32BC4A62"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1021C3ED"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7</w:t>
            </w:r>
          </w:p>
        </w:tc>
        <w:tc>
          <w:tcPr>
            <w:tcW w:w="1134" w:type="dxa"/>
            <w:gridSpan w:val="2"/>
            <w:tcBorders>
              <w:top w:val="nil"/>
              <w:left w:val="nil"/>
              <w:bottom w:val="single" w:sz="4" w:space="0" w:color="0077BD"/>
              <w:right w:val="nil"/>
            </w:tcBorders>
            <w:shd w:val="clear" w:color="auto" w:fill="auto"/>
            <w:vAlign w:val="center"/>
            <w:hideMark/>
          </w:tcPr>
          <w:p w14:paraId="7A6603E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6B1C17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5C56C8D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0862DFA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542BE35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r>
      <w:tr w:rsidR="008E0453" w:rsidRPr="00BB7C9E" w14:paraId="5750A994"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7C7E4EAA"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8</w:t>
            </w:r>
          </w:p>
        </w:tc>
        <w:tc>
          <w:tcPr>
            <w:tcW w:w="1134" w:type="dxa"/>
            <w:gridSpan w:val="2"/>
            <w:tcBorders>
              <w:top w:val="nil"/>
              <w:left w:val="nil"/>
              <w:bottom w:val="single" w:sz="4" w:space="0" w:color="0077BD"/>
              <w:right w:val="nil"/>
            </w:tcBorders>
            <w:shd w:val="clear" w:color="auto" w:fill="auto"/>
            <w:vAlign w:val="center"/>
            <w:hideMark/>
          </w:tcPr>
          <w:p w14:paraId="149CD16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1 257 281</w:t>
            </w:r>
          </w:p>
        </w:tc>
        <w:tc>
          <w:tcPr>
            <w:tcW w:w="1134" w:type="dxa"/>
            <w:tcBorders>
              <w:top w:val="nil"/>
              <w:left w:val="single" w:sz="8" w:space="0" w:color="0077BD"/>
              <w:bottom w:val="single" w:sz="4" w:space="0" w:color="0077BD"/>
              <w:right w:val="nil"/>
            </w:tcBorders>
            <w:shd w:val="clear" w:color="auto" w:fill="auto"/>
            <w:vAlign w:val="center"/>
            <w:hideMark/>
          </w:tcPr>
          <w:p w14:paraId="5F197FB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0460EA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AAE430A"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A4EAD0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1 257 281</w:t>
            </w:r>
          </w:p>
        </w:tc>
      </w:tr>
      <w:tr w:rsidR="008E0453" w:rsidRPr="00BB7C9E" w14:paraId="7ECD8DD1"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4C8669E8"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pozostałe</w:t>
            </w:r>
          </w:p>
        </w:tc>
        <w:tc>
          <w:tcPr>
            <w:tcW w:w="1134" w:type="dxa"/>
            <w:gridSpan w:val="2"/>
            <w:tcBorders>
              <w:top w:val="nil"/>
              <w:left w:val="nil"/>
              <w:bottom w:val="single" w:sz="4" w:space="0" w:color="0077BD"/>
              <w:right w:val="nil"/>
            </w:tcBorders>
            <w:shd w:val="clear" w:color="auto" w:fill="auto"/>
            <w:vAlign w:val="center"/>
            <w:hideMark/>
          </w:tcPr>
          <w:p w14:paraId="5B99CCA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2 750</w:t>
            </w:r>
          </w:p>
        </w:tc>
        <w:tc>
          <w:tcPr>
            <w:tcW w:w="1134" w:type="dxa"/>
            <w:tcBorders>
              <w:top w:val="nil"/>
              <w:left w:val="single" w:sz="8" w:space="0" w:color="0077BD"/>
              <w:bottom w:val="single" w:sz="4" w:space="0" w:color="0077BD"/>
              <w:right w:val="nil"/>
            </w:tcBorders>
            <w:shd w:val="clear" w:color="auto" w:fill="auto"/>
            <w:vAlign w:val="center"/>
            <w:hideMark/>
          </w:tcPr>
          <w:p w14:paraId="364C5D8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AAC2B5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A070CF5"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6B88EBD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2 750</w:t>
            </w:r>
          </w:p>
        </w:tc>
      </w:tr>
      <w:tr w:rsidR="008E0453" w:rsidRPr="00BB7C9E" w14:paraId="1CD94FF6"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2EC699F7"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default</w:t>
            </w:r>
          </w:p>
        </w:tc>
        <w:tc>
          <w:tcPr>
            <w:tcW w:w="1134" w:type="dxa"/>
            <w:gridSpan w:val="2"/>
            <w:tcBorders>
              <w:top w:val="nil"/>
              <w:left w:val="nil"/>
              <w:bottom w:val="single" w:sz="4" w:space="0" w:color="0077BD"/>
              <w:right w:val="nil"/>
            </w:tcBorders>
            <w:shd w:val="clear" w:color="auto" w:fill="auto"/>
            <w:vAlign w:val="center"/>
            <w:hideMark/>
          </w:tcPr>
          <w:p w14:paraId="140D692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6186ED0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03F2D4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62B90EE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07D956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r>
      <w:tr w:rsidR="008E0453" w:rsidRPr="00BB7C9E" w14:paraId="18122AF7"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57DD450A" w14:textId="77777777" w:rsidR="00BD2F2D" w:rsidRPr="00BB7C9E" w:rsidRDefault="00BD2F2D" w:rsidP="00BD2F2D">
            <w:pPr>
              <w:rPr>
                <w:rFonts w:cs="Calibri"/>
                <w:b/>
                <w:bCs/>
                <w:color w:val="000000" w:themeColor="text1"/>
                <w:sz w:val="13"/>
                <w:szCs w:val="13"/>
              </w:rPr>
            </w:pPr>
            <w:r w:rsidRPr="00BB7C9E">
              <w:rPr>
                <w:rFonts w:cs="Calibri"/>
                <w:b/>
                <w:bCs/>
                <w:color w:val="000000" w:themeColor="text1"/>
                <w:sz w:val="13"/>
                <w:szCs w:val="13"/>
              </w:rPr>
              <w:t>Wartość bilansowa brutto</w:t>
            </w:r>
          </w:p>
        </w:tc>
        <w:tc>
          <w:tcPr>
            <w:tcW w:w="1134" w:type="dxa"/>
            <w:gridSpan w:val="2"/>
            <w:tcBorders>
              <w:top w:val="nil"/>
              <w:left w:val="nil"/>
              <w:bottom w:val="single" w:sz="4" w:space="0" w:color="0077BD"/>
              <w:right w:val="nil"/>
            </w:tcBorders>
            <w:shd w:val="clear" w:color="auto" w:fill="auto"/>
            <w:vAlign w:val="center"/>
            <w:hideMark/>
          </w:tcPr>
          <w:p w14:paraId="5EAE8512"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2 547 864</w:t>
            </w:r>
          </w:p>
        </w:tc>
        <w:tc>
          <w:tcPr>
            <w:tcW w:w="1134" w:type="dxa"/>
            <w:tcBorders>
              <w:top w:val="nil"/>
              <w:left w:val="single" w:sz="8" w:space="0" w:color="0077BD"/>
              <w:bottom w:val="single" w:sz="4" w:space="0" w:color="0077BD"/>
              <w:right w:val="nil"/>
            </w:tcBorders>
            <w:shd w:val="clear" w:color="auto" w:fill="auto"/>
            <w:vAlign w:val="center"/>
            <w:hideMark/>
          </w:tcPr>
          <w:p w14:paraId="6833E7B7"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A4D5211"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3520FF1"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E3A927A"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2 547 864</w:t>
            </w:r>
          </w:p>
        </w:tc>
      </w:tr>
      <w:tr w:rsidR="008E0453" w:rsidRPr="00BB7C9E" w14:paraId="2204A16F" w14:textId="77777777" w:rsidTr="00DD65A0">
        <w:trPr>
          <w:gridAfter w:val="1"/>
          <w:wAfter w:w="58" w:type="dxa"/>
          <w:trHeight w:val="284"/>
        </w:trPr>
        <w:tc>
          <w:tcPr>
            <w:tcW w:w="3912" w:type="dxa"/>
            <w:gridSpan w:val="2"/>
            <w:tcBorders>
              <w:top w:val="nil"/>
              <w:left w:val="nil"/>
              <w:bottom w:val="single" w:sz="4" w:space="0" w:color="0077BD"/>
              <w:right w:val="single" w:sz="8" w:space="0" w:color="0077BD"/>
            </w:tcBorders>
            <w:shd w:val="clear" w:color="auto" w:fill="auto"/>
            <w:vAlign w:val="center"/>
            <w:hideMark/>
          </w:tcPr>
          <w:p w14:paraId="0C06F4A4" w14:textId="77777777" w:rsidR="00BD2F2D" w:rsidRPr="00BB7C9E" w:rsidRDefault="00BD2F2D" w:rsidP="00BD2F2D">
            <w:pPr>
              <w:rPr>
                <w:rFonts w:cs="Calibri"/>
                <w:color w:val="000000" w:themeColor="text1"/>
                <w:sz w:val="13"/>
                <w:szCs w:val="13"/>
              </w:rPr>
            </w:pPr>
            <w:r w:rsidRPr="00BB7C9E">
              <w:rPr>
                <w:rFonts w:cs="Calibri"/>
                <w:color w:val="000000" w:themeColor="text1"/>
                <w:sz w:val="13"/>
                <w:szCs w:val="13"/>
              </w:rPr>
              <w:t>Skumulowana utrata wartości</w:t>
            </w:r>
          </w:p>
        </w:tc>
        <w:tc>
          <w:tcPr>
            <w:tcW w:w="1134" w:type="dxa"/>
            <w:gridSpan w:val="2"/>
            <w:tcBorders>
              <w:top w:val="nil"/>
              <w:left w:val="nil"/>
              <w:bottom w:val="single" w:sz="4" w:space="0" w:color="0077BD"/>
              <w:right w:val="nil"/>
            </w:tcBorders>
            <w:shd w:val="clear" w:color="auto" w:fill="auto"/>
            <w:vAlign w:val="center"/>
            <w:hideMark/>
          </w:tcPr>
          <w:p w14:paraId="01E3DFD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(1 518)</w:t>
            </w:r>
          </w:p>
        </w:tc>
        <w:tc>
          <w:tcPr>
            <w:tcW w:w="1134" w:type="dxa"/>
            <w:tcBorders>
              <w:top w:val="nil"/>
              <w:left w:val="single" w:sz="8" w:space="0" w:color="0077BD"/>
              <w:bottom w:val="single" w:sz="4" w:space="0" w:color="0077BD"/>
              <w:right w:val="nil"/>
            </w:tcBorders>
            <w:shd w:val="clear" w:color="auto" w:fill="auto"/>
            <w:vAlign w:val="center"/>
            <w:hideMark/>
          </w:tcPr>
          <w:p w14:paraId="1E0E1D2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E816545"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6516DB7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8EE1E1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(1 518)</w:t>
            </w:r>
          </w:p>
        </w:tc>
      </w:tr>
      <w:tr w:rsidR="008E0453" w:rsidRPr="00BB7C9E" w14:paraId="5F8DB212" w14:textId="77777777" w:rsidTr="00DD65A0">
        <w:trPr>
          <w:gridAfter w:val="1"/>
          <w:wAfter w:w="58" w:type="dxa"/>
          <w:trHeight w:val="284"/>
        </w:trPr>
        <w:tc>
          <w:tcPr>
            <w:tcW w:w="3912" w:type="dxa"/>
            <w:gridSpan w:val="2"/>
            <w:tcBorders>
              <w:top w:val="single" w:sz="8" w:space="0" w:color="0077BD"/>
              <w:left w:val="nil"/>
              <w:bottom w:val="single" w:sz="8" w:space="0" w:color="0077BD"/>
              <w:right w:val="single" w:sz="8" w:space="0" w:color="0077BD"/>
            </w:tcBorders>
            <w:shd w:val="clear" w:color="auto" w:fill="auto"/>
            <w:vAlign w:val="center"/>
            <w:hideMark/>
          </w:tcPr>
          <w:p w14:paraId="26B1F3B2" w14:textId="77777777" w:rsidR="00BD2F2D" w:rsidRPr="00BB7C9E" w:rsidRDefault="00BD2F2D" w:rsidP="00BD2F2D">
            <w:pPr>
              <w:rPr>
                <w:rFonts w:cs="Calibri"/>
                <w:b/>
                <w:bCs/>
                <w:color w:val="000000" w:themeColor="text1"/>
                <w:sz w:val="13"/>
                <w:szCs w:val="13"/>
              </w:rPr>
            </w:pPr>
            <w:r w:rsidRPr="00BB7C9E">
              <w:rPr>
                <w:rFonts w:cs="Calibri"/>
                <w:b/>
                <w:bCs/>
                <w:color w:val="000000" w:themeColor="text1"/>
                <w:sz w:val="13"/>
                <w:szCs w:val="13"/>
              </w:rPr>
              <w:t>Wartość bilansowa</w:t>
            </w:r>
          </w:p>
        </w:tc>
        <w:tc>
          <w:tcPr>
            <w:tcW w:w="1134" w:type="dxa"/>
            <w:gridSpan w:val="2"/>
            <w:tcBorders>
              <w:top w:val="single" w:sz="8" w:space="0" w:color="0077BD"/>
              <w:left w:val="nil"/>
              <w:bottom w:val="single" w:sz="8" w:space="0" w:color="0077BD"/>
              <w:right w:val="nil"/>
            </w:tcBorders>
            <w:shd w:val="clear" w:color="auto" w:fill="auto"/>
            <w:vAlign w:val="center"/>
            <w:hideMark/>
          </w:tcPr>
          <w:p w14:paraId="13DEBB60"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2 546 346</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62C6FED5"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072B0A9F"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1943360E"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427D64B8"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2 546 346</w:t>
            </w:r>
          </w:p>
        </w:tc>
      </w:tr>
      <w:tr w:rsidR="00E10E34" w:rsidRPr="00BB7C9E" w14:paraId="02FA72D2" w14:textId="77777777" w:rsidTr="00DD65A0">
        <w:trPr>
          <w:trHeight w:val="284"/>
        </w:trPr>
        <w:tc>
          <w:tcPr>
            <w:tcW w:w="1134" w:type="dxa"/>
            <w:gridSpan w:val="6"/>
            <w:tcBorders>
              <w:top w:val="single" w:sz="8" w:space="0" w:color="0077BD"/>
              <w:left w:val="nil"/>
              <w:bottom w:val="single" w:sz="8" w:space="0" w:color="0077BD"/>
              <w:right w:val="nil"/>
            </w:tcBorders>
            <w:shd w:val="clear" w:color="000000" w:fill="FFFFFF"/>
            <w:vAlign w:val="center"/>
            <w:hideMark/>
          </w:tcPr>
          <w:p w14:paraId="7F26B206" w14:textId="61232552" w:rsidR="00726E31" w:rsidRPr="00BB7C9E" w:rsidRDefault="00726E31" w:rsidP="00BD2F2D">
            <w:pPr>
              <w:rPr>
                <w:rFonts w:cs="Calibri"/>
                <w:b/>
                <w:bCs/>
                <w:color w:val="000000" w:themeColor="text1"/>
                <w:sz w:val="13"/>
                <w:szCs w:val="13"/>
              </w:rPr>
            </w:pPr>
            <w:r w:rsidRPr="00BB7C9E">
              <w:rPr>
                <w:rFonts w:cs="Calibri"/>
                <w:b/>
                <w:bCs/>
                <w:color w:val="000000" w:themeColor="text1"/>
                <w:sz w:val="13"/>
                <w:szCs w:val="13"/>
              </w:rPr>
              <w:t>Kredyty i pożyczki udzielone klientom wyceniane w zamortyzowanym koszcie</w:t>
            </w:r>
          </w:p>
        </w:tc>
        <w:tc>
          <w:tcPr>
            <w:tcW w:w="1134" w:type="dxa"/>
            <w:tcBorders>
              <w:top w:val="single" w:sz="8" w:space="0" w:color="0077BD"/>
              <w:left w:val="nil"/>
              <w:bottom w:val="single" w:sz="8" w:space="0" w:color="0077BD"/>
              <w:right w:val="nil"/>
            </w:tcBorders>
            <w:shd w:val="clear" w:color="000000" w:fill="FFFFFF"/>
            <w:vAlign w:val="center"/>
          </w:tcPr>
          <w:p w14:paraId="0A8890FC" w14:textId="704A0458" w:rsidR="00726E31" w:rsidRPr="00BB7C9E" w:rsidRDefault="00726E31" w:rsidP="00BD2F2D">
            <w:pPr>
              <w:rPr>
                <w:rFonts w:cs="Calibri"/>
                <w:b/>
                <w:bCs/>
                <w:color w:val="000000" w:themeColor="text1"/>
                <w:sz w:val="13"/>
                <w:szCs w:val="13"/>
              </w:rPr>
            </w:pPr>
          </w:p>
        </w:tc>
        <w:tc>
          <w:tcPr>
            <w:tcW w:w="1134" w:type="dxa"/>
            <w:gridSpan w:val="2"/>
            <w:tcBorders>
              <w:top w:val="single" w:sz="8" w:space="0" w:color="0077BD"/>
              <w:left w:val="nil"/>
              <w:bottom w:val="single" w:sz="8" w:space="0" w:color="0077BD"/>
              <w:right w:val="nil"/>
            </w:tcBorders>
            <w:shd w:val="clear" w:color="000000" w:fill="FFFFFF"/>
            <w:vAlign w:val="center"/>
          </w:tcPr>
          <w:p w14:paraId="342ED051" w14:textId="6A5C4182" w:rsidR="00726E31" w:rsidRPr="00BB7C9E" w:rsidRDefault="00726E31" w:rsidP="00BD2F2D">
            <w:pPr>
              <w:rPr>
                <w:rFonts w:cs="Calibri"/>
                <w:b/>
                <w:bCs/>
                <w:color w:val="000000" w:themeColor="text1"/>
                <w:sz w:val="13"/>
                <w:szCs w:val="13"/>
              </w:rPr>
            </w:pPr>
          </w:p>
        </w:tc>
      </w:tr>
      <w:tr w:rsidR="00E10E34" w:rsidRPr="00BB7C9E" w14:paraId="625A9469" w14:textId="77777777" w:rsidTr="00DD65A0">
        <w:trPr>
          <w:trHeight w:val="284"/>
        </w:trPr>
        <w:tc>
          <w:tcPr>
            <w:tcW w:w="3912" w:type="dxa"/>
            <w:gridSpan w:val="3"/>
            <w:tcBorders>
              <w:top w:val="single" w:sz="4" w:space="0" w:color="0077BD"/>
              <w:left w:val="nil"/>
              <w:bottom w:val="single" w:sz="4" w:space="0" w:color="0077BD"/>
              <w:right w:val="single" w:sz="8" w:space="0" w:color="0077BD"/>
            </w:tcBorders>
            <w:shd w:val="clear" w:color="auto" w:fill="auto"/>
            <w:vAlign w:val="center"/>
            <w:hideMark/>
          </w:tcPr>
          <w:p w14:paraId="5D138907"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1</w:t>
            </w:r>
          </w:p>
        </w:tc>
        <w:tc>
          <w:tcPr>
            <w:tcW w:w="1134" w:type="dxa"/>
            <w:tcBorders>
              <w:top w:val="single" w:sz="4" w:space="0" w:color="0077BD"/>
              <w:left w:val="nil"/>
              <w:bottom w:val="single" w:sz="4" w:space="0" w:color="0077BD"/>
              <w:right w:val="nil"/>
            </w:tcBorders>
            <w:shd w:val="clear" w:color="auto" w:fill="auto"/>
            <w:vAlign w:val="center"/>
            <w:hideMark/>
          </w:tcPr>
          <w:p w14:paraId="517CA7D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11 534 632</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36409D5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201 345</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67E17E4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single" w:sz="4" w:space="0" w:color="0077BD"/>
              <w:left w:val="single" w:sz="8" w:space="0" w:color="0077BD"/>
              <w:bottom w:val="single" w:sz="4" w:space="0" w:color="0077BD"/>
              <w:right w:val="nil"/>
            </w:tcBorders>
            <w:shd w:val="clear" w:color="auto" w:fill="auto"/>
            <w:vAlign w:val="center"/>
            <w:hideMark/>
          </w:tcPr>
          <w:p w14:paraId="50B5676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gridSpan w:val="2"/>
            <w:tcBorders>
              <w:top w:val="single" w:sz="4" w:space="0" w:color="0077BD"/>
              <w:left w:val="single" w:sz="8" w:space="0" w:color="0077BD"/>
              <w:bottom w:val="single" w:sz="4" w:space="0" w:color="0077BD"/>
              <w:right w:val="nil"/>
            </w:tcBorders>
            <w:shd w:val="clear" w:color="auto" w:fill="auto"/>
            <w:vAlign w:val="center"/>
            <w:hideMark/>
          </w:tcPr>
          <w:p w14:paraId="5A4D4B9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11 735 977</w:t>
            </w:r>
          </w:p>
        </w:tc>
      </w:tr>
      <w:tr w:rsidR="00E10E34" w:rsidRPr="00BB7C9E" w14:paraId="5657118C"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47FC59D5"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2</w:t>
            </w:r>
          </w:p>
        </w:tc>
        <w:tc>
          <w:tcPr>
            <w:tcW w:w="1134" w:type="dxa"/>
            <w:tcBorders>
              <w:top w:val="nil"/>
              <w:left w:val="nil"/>
              <w:bottom w:val="single" w:sz="4" w:space="0" w:color="0077BD"/>
              <w:right w:val="nil"/>
            </w:tcBorders>
            <w:shd w:val="clear" w:color="auto" w:fill="auto"/>
            <w:vAlign w:val="center"/>
            <w:hideMark/>
          </w:tcPr>
          <w:p w14:paraId="370F2A7A"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27 589 499</w:t>
            </w:r>
          </w:p>
        </w:tc>
        <w:tc>
          <w:tcPr>
            <w:tcW w:w="1134" w:type="dxa"/>
            <w:tcBorders>
              <w:top w:val="nil"/>
              <w:left w:val="single" w:sz="8" w:space="0" w:color="0077BD"/>
              <w:bottom w:val="single" w:sz="4" w:space="0" w:color="0077BD"/>
              <w:right w:val="nil"/>
            </w:tcBorders>
            <w:shd w:val="clear" w:color="auto" w:fill="auto"/>
            <w:vAlign w:val="center"/>
            <w:hideMark/>
          </w:tcPr>
          <w:p w14:paraId="5BDD6BF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2 082 781</w:t>
            </w:r>
          </w:p>
        </w:tc>
        <w:tc>
          <w:tcPr>
            <w:tcW w:w="1134" w:type="dxa"/>
            <w:tcBorders>
              <w:top w:val="nil"/>
              <w:left w:val="single" w:sz="8" w:space="0" w:color="0077BD"/>
              <w:bottom w:val="single" w:sz="4" w:space="0" w:color="0077BD"/>
              <w:right w:val="nil"/>
            </w:tcBorders>
            <w:shd w:val="clear" w:color="auto" w:fill="auto"/>
            <w:vAlign w:val="center"/>
            <w:hideMark/>
          </w:tcPr>
          <w:p w14:paraId="58833D1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3DCC7AB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2 661</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688BCD7D"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29 674 941</w:t>
            </w:r>
          </w:p>
        </w:tc>
      </w:tr>
      <w:tr w:rsidR="00E10E34" w:rsidRPr="00BB7C9E" w14:paraId="132BD147"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6548F93B"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3</w:t>
            </w:r>
          </w:p>
        </w:tc>
        <w:tc>
          <w:tcPr>
            <w:tcW w:w="1134" w:type="dxa"/>
            <w:tcBorders>
              <w:top w:val="nil"/>
              <w:left w:val="nil"/>
              <w:bottom w:val="single" w:sz="4" w:space="0" w:color="0077BD"/>
              <w:right w:val="nil"/>
            </w:tcBorders>
            <w:shd w:val="clear" w:color="auto" w:fill="auto"/>
            <w:vAlign w:val="center"/>
            <w:hideMark/>
          </w:tcPr>
          <w:p w14:paraId="3B8E305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13 029 134</w:t>
            </w:r>
          </w:p>
        </w:tc>
        <w:tc>
          <w:tcPr>
            <w:tcW w:w="1134" w:type="dxa"/>
            <w:tcBorders>
              <w:top w:val="nil"/>
              <w:left w:val="single" w:sz="8" w:space="0" w:color="0077BD"/>
              <w:bottom w:val="single" w:sz="4" w:space="0" w:color="0077BD"/>
              <w:right w:val="nil"/>
            </w:tcBorders>
            <w:shd w:val="clear" w:color="auto" w:fill="auto"/>
            <w:vAlign w:val="center"/>
            <w:hideMark/>
          </w:tcPr>
          <w:p w14:paraId="58E04BC5"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728 754</w:t>
            </w:r>
          </w:p>
        </w:tc>
        <w:tc>
          <w:tcPr>
            <w:tcW w:w="1134" w:type="dxa"/>
            <w:tcBorders>
              <w:top w:val="nil"/>
              <w:left w:val="single" w:sz="8" w:space="0" w:color="0077BD"/>
              <w:bottom w:val="single" w:sz="4" w:space="0" w:color="0077BD"/>
              <w:right w:val="nil"/>
            </w:tcBorders>
            <w:shd w:val="clear" w:color="auto" w:fill="auto"/>
            <w:vAlign w:val="center"/>
            <w:hideMark/>
          </w:tcPr>
          <w:p w14:paraId="2FC7B52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1B7EA62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1 072</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64B8734A"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13 758 960</w:t>
            </w:r>
          </w:p>
        </w:tc>
      </w:tr>
      <w:tr w:rsidR="00E10E34" w:rsidRPr="00BB7C9E" w14:paraId="6399AD5C"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130839C8"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4</w:t>
            </w:r>
          </w:p>
        </w:tc>
        <w:tc>
          <w:tcPr>
            <w:tcW w:w="1134" w:type="dxa"/>
            <w:tcBorders>
              <w:top w:val="nil"/>
              <w:left w:val="nil"/>
              <w:bottom w:val="single" w:sz="4" w:space="0" w:color="0077BD"/>
              <w:right w:val="nil"/>
            </w:tcBorders>
            <w:shd w:val="clear" w:color="auto" w:fill="auto"/>
            <w:vAlign w:val="center"/>
            <w:hideMark/>
          </w:tcPr>
          <w:p w14:paraId="3D9D6ED8"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20 626 287</w:t>
            </w:r>
          </w:p>
        </w:tc>
        <w:tc>
          <w:tcPr>
            <w:tcW w:w="1134" w:type="dxa"/>
            <w:tcBorders>
              <w:top w:val="nil"/>
              <w:left w:val="single" w:sz="8" w:space="0" w:color="0077BD"/>
              <w:bottom w:val="single" w:sz="4" w:space="0" w:color="0077BD"/>
              <w:right w:val="nil"/>
            </w:tcBorders>
            <w:shd w:val="clear" w:color="auto" w:fill="auto"/>
            <w:vAlign w:val="center"/>
            <w:hideMark/>
          </w:tcPr>
          <w:p w14:paraId="5BB22F5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1 775 307</w:t>
            </w:r>
          </w:p>
        </w:tc>
        <w:tc>
          <w:tcPr>
            <w:tcW w:w="1134" w:type="dxa"/>
            <w:tcBorders>
              <w:top w:val="nil"/>
              <w:left w:val="single" w:sz="8" w:space="0" w:color="0077BD"/>
              <w:bottom w:val="single" w:sz="4" w:space="0" w:color="0077BD"/>
              <w:right w:val="nil"/>
            </w:tcBorders>
            <w:shd w:val="clear" w:color="auto" w:fill="auto"/>
            <w:vAlign w:val="center"/>
            <w:hideMark/>
          </w:tcPr>
          <w:p w14:paraId="5DCF9C8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00B6066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4 809</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621F3DF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22 406 403</w:t>
            </w:r>
          </w:p>
        </w:tc>
      </w:tr>
      <w:tr w:rsidR="00E10E34" w:rsidRPr="00BB7C9E" w14:paraId="27393BD8"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199C8C4C"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5</w:t>
            </w:r>
          </w:p>
        </w:tc>
        <w:tc>
          <w:tcPr>
            <w:tcW w:w="1134" w:type="dxa"/>
            <w:tcBorders>
              <w:top w:val="nil"/>
              <w:left w:val="nil"/>
              <w:bottom w:val="single" w:sz="4" w:space="0" w:color="0077BD"/>
              <w:right w:val="nil"/>
            </w:tcBorders>
            <w:shd w:val="clear" w:color="auto" w:fill="auto"/>
            <w:vAlign w:val="center"/>
            <w:hideMark/>
          </w:tcPr>
          <w:p w14:paraId="25BF0C56"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4 766 727</w:t>
            </w:r>
          </w:p>
        </w:tc>
        <w:tc>
          <w:tcPr>
            <w:tcW w:w="1134" w:type="dxa"/>
            <w:tcBorders>
              <w:top w:val="nil"/>
              <w:left w:val="single" w:sz="8" w:space="0" w:color="0077BD"/>
              <w:bottom w:val="single" w:sz="4" w:space="0" w:color="0077BD"/>
              <w:right w:val="nil"/>
            </w:tcBorders>
            <w:shd w:val="clear" w:color="auto" w:fill="auto"/>
            <w:vAlign w:val="center"/>
            <w:hideMark/>
          </w:tcPr>
          <w:p w14:paraId="2D491915"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1 753 110</w:t>
            </w:r>
          </w:p>
        </w:tc>
        <w:tc>
          <w:tcPr>
            <w:tcW w:w="1134" w:type="dxa"/>
            <w:tcBorders>
              <w:top w:val="nil"/>
              <w:left w:val="single" w:sz="8" w:space="0" w:color="0077BD"/>
              <w:bottom w:val="single" w:sz="4" w:space="0" w:color="0077BD"/>
              <w:right w:val="nil"/>
            </w:tcBorders>
            <w:shd w:val="clear" w:color="auto" w:fill="auto"/>
            <w:vAlign w:val="center"/>
            <w:hideMark/>
          </w:tcPr>
          <w:p w14:paraId="68540C4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7B68BF5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4 435</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7C82210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6 524 272</w:t>
            </w:r>
          </w:p>
        </w:tc>
      </w:tr>
      <w:tr w:rsidR="00E10E34" w:rsidRPr="00BB7C9E" w14:paraId="3005728B"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59B99985"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6</w:t>
            </w:r>
          </w:p>
        </w:tc>
        <w:tc>
          <w:tcPr>
            <w:tcW w:w="1134" w:type="dxa"/>
            <w:tcBorders>
              <w:top w:val="nil"/>
              <w:left w:val="nil"/>
              <w:bottom w:val="single" w:sz="4" w:space="0" w:color="0077BD"/>
              <w:right w:val="nil"/>
            </w:tcBorders>
            <w:shd w:val="clear" w:color="auto" w:fill="auto"/>
            <w:vAlign w:val="center"/>
            <w:hideMark/>
          </w:tcPr>
          <w:p w14:paraId="40436B2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244 921</w:t>
            </w:r>
          </w:p>
        </w:tc>
        <w:tc>
          <w:tcPr>
            <w:tcW w:w="1134" w:type="dxa"/>
            <w:tcBorders>
              <w:top w:val="nil"/>
              <w:left w:val="single" w:sz="8" w:space="0" w:color="0077BD"/>
              <w:bottom w:val="single" w:sz="4" w:space="0" w:color="0077BD"/>
              <w:right w:val="nil"/>
            </w:tcBorders>
            <w:shd w:val="clear" w:color="auto" w:fill="auto"/>
            <w:vAlign w:val="center"/>
            <w:hideMark/>
          </w:tcPr>
          <w:p w14:paraId="7573210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332 892</w:t>
            </w:r>
          </w:p>
        </w:tc>
        <w:tc>
          <w:tcPr>
            <w:tcW w:w="1134" w:type="dxa"/>
            <w:tcBorders>
              <w:top w:val="nil"/>
              <w:left w:val="single" w:sz="8" w:space="0" w:color="0077BD"/>
              <w:bottom w:val="single" w:sz="4" w:space="0" w:color="0077BD"/>
              <w:right w:val="nil"/>
            </w:tcBorders>
            <w:shd w:val="clear" w:color="auto" w:fill="auto"/>
            <w:vAlign w:val="center"/>
            <w:hideMark/>
          </w:tcPr>
          <w:p w14:paraId="5CC692D5"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8FBE34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322</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024BC65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578 135</w:t>
            </w:r>
          </w:p>
        </w:tc>
      </w:tr>
      <w:tr w:rsidR="00E10E34" w:rsidRPr="00BB7C9E" w14:paraId="7A400EB4"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5C07FE09"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7</w:t>
            </w:r>
          </w:p>
        </w:tc>
        <w:tc>
          <w:tcPr>
            <w:tcW w:w="1134" w:type="dxa"/>
            <w:tcBorders>
              <w:top w:val="nil"/>
              <w:left w:val="nil"/>
              <w:bottom w:val="single" w:sz="4" w:space="0" w:color="0077BD"/>
              <w:right w:val="nil"/>
            </w:tcBorders>
            <w:shd w:val="clear" w:color="auto" w:fill="auto"/>
            <w:vAlign w:val="center"/>
            <w:hideMark/>
          </w:tcPr>
          <w:p w14:paraId="39A9915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543 371</w:t>
            </w:r>
          </w:p>
        </w:tc>
        <w:tc>
          <w:tcPr>
            <w:tcW w:w="1134" w:type="dxa"/>
            <w:tcBorders>
              <w:top w:val="nil"/>
              <w:left w:val="single" w:sz="8" w:space="0" w:color="0077BD"/>
              <w:bottom w:val="single" w:sz="4" w:space="0" w:color="0077BD"/>
              <w:right w:val="nil"/>
            </w:tcBorders>
            <w:shd w:val="clear" w:color="auto" w:fill="auto"/>
            <w:vAlign w:val="center"/>
            <w:hideMark/>
          </w:tcPr>
          <w:p w14:paraId="39386F1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1 780 967</w:t>
            </w:r>
          </w:p>
        </w:tc>
        <w:tc>
          <w:tcPr>
            <w:tcW w:w="1134" w:type="dxa"/>
            <w:tcBorders>
              <w:top w:val="nil"/>
              <w:left w:val="single" w:sz="8" w:space="0" w:color="0077BD"/>
              <w:bottom w:val="single" w:sz="4" w:space="0" w:color="0077BD"/>
              <w:right w:val="nil"/>
            </w:tcBorders>
            <w:shd w:val="clear" w:color="auto" w:fill="auto"/>
            <w:vAlign w:val="center"/>
            <w:hideMark/>
          </w:tcPr>
          <w:p w14:paraId="4509EA8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2877AAA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12 973</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11DA2EBF"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2 337 311</w:t>
            </w:r>
          </w:p>
        </w:tc>
      </w:tr>
      <w:tr w:rsidR="00E10E34" w:rsidRPr="00BB7C9E" w14:paraId="447D144C"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06810DE0"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8</w:t>
            </w:r>
          </w:p>
        </w:tc>
        <w:tc>
          <w:tcPr>
            <w:tcW w:w="1134" w:type="dxa"/>
            <w:tcBorders>
              <w:top w:val="nil"/>
              <w:left w:val="nil"/>
              <w:bottom w:val="single" w:sz="4" w:space="0" w:color="0077BD"/>
              <w:right w:val="nil"/>
            </w:tcBorders>
            <w:shd w:val="clear" w:color="auto" w:fill="auto"/>
            <w:vAlign w:val="center"/>
            <w:hideMark/>
          </w:tcPr>
          <w:p w14:paraId="1FFDEED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1 644 959</w:t>
            </w:r>
          </w:p>
        </w:tc>
        <w:tc>
          <w:tcPr>
            <w:tcW w:w="1134" w:type="dxa"/>
            <w:tcBorders>
              <w:top w:val="nil"/>
              <w:left w:val="single" w:sz="8" w:space="0" w:color="0077BD"/>
              <w:bottom w:val="single" w:sz="4" w:space="0" w:color="0077BD"/>
              <w:right w:val="nil"/>
            </w:tcBorders>
            <w:shd w:val="clear" w:color="auto" w:fill="auto"/>
            <w:vAlign w:val="center"/>
            <w:hideMark/>
          </w:tcPr>
          <w:p w14:paraId="6BC17FB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88</w:t>
            </w:r>
          </w:p>
        </w:tc>
        <w:tc>
          <w:tcPr>
            <w:tcW w:w="1134" w:type="dxa"/>
            <w:tcBorders>
              <w:top w:val="nil"/>
              <w:left w:val="single" w:sz="8" w:space="0" w:color="0077BD"/>
              <w:bottom w:val="single" w:sz="4" w:space="0" w:color="0077BD"/>
              <w:right w:val="nil"/>
            </w:tcBorders>
            <w:shd w:val="clear" w:color="auto" w:fill="auto"/>
            <w:vAlign w:val="center"/>
            <w:hideMark/>
          </w:tcPr>
          <w:p w14:paraId="794E14E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384D86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5A6DE1D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1 645 047</w:t>
            </w:r>
          </w:p>
        </w:tc>
      </w:tr>
      <w:tr w:rsidR="00E10E34" w:rsidRPr="00BB7C9E" w14:paraId="249735CF"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0D808DBD"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pozostałe</w:t>
            </w:r>
          </w:p>
        </w:tc>
        <w:tc>
          <w:tcPr>
            <w:tcW w:w="1134" w:type="dxa"/>
            <w:tcBorders>
              <w:top w:val="nil"/>
              <w:left w:val="nil"/>
              <w:bottom w:val="single" w:sz="4" w:space="0" w:color="0077BD"/>
              <w:right w:val="nil"/>
            </w:tcBorders>
            <w:shd w:val="clear" w:color="auto" w:fill="auto"/>
            <w:vAlign w:val="center"/>
            <w:hideMark/>
          </w:tcPr>
          <w:p w14:paraId="17CA553E"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2 180 138</w:t>
            </w:r>
          </w:p>
        </w:tc>
        <w:tc>
          <w:tcPr>
            <w:tcW w:w="1134" w:type="dxa"/>
            <w:tcBorders>
              <w:top w:val="nil"/>
              <w:left w:val="single" w:sz="8" w:space="0" w:color="0077BD"/>
              <w:bottom w:val="single" w:sz="4" w:space="0" w:color="0077BD"/>
              <w:right w:val="nil"/>
            </w:tcBorders>
            <w:shd w:val="clear" w:color="auto" w:fill="auto"/>
            <w:vAlign w:val="center"/>
            <w:hideMark/>
          </w:tcPr>
          <w:p w14:paraId="4834ED3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59 301</w:t>
            </w:r>
          </w:p>
        </w:tc>
        <w:tc>
          <w:tcPr>
            <w:tcW w:w="1134" w:type="dxa"/>
            <w:tcBorders>
              <w:top w:val="nil"/>
              <w:left w:val="single" w:sz="8" w:space="0" w:color="0077BD"/>
              <w:bottom w:val="single" w:sz="4" w:space="0" w:color="0077BD"/>
              <w:right w:val="nil"/>
            </w:tcBorders>
            <w:shd w:val="clear" w:color="auto" w:fill="auto"/>
            <w:vAlign w:val="center"/>
            <w:hideMark/>
          </w:tcPr>
          <w:p w14:paraId="317DFC1A"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93D3B1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4D111D20"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2 239 439</w:t>
            </w:r>
          </w:p>
        </w:tc>
      </w:tr>
      <w:tr w:rsidR="00E10E34" w:rsidRPr="00BB7C9E" w14:paraId="082DE8A3"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57F8103A" w14:textId="77777777" w:rsidR="00BD2F2D" w:rsidRPr="00BB7C9E" w:rsidRDefault="00BD2F2D" w:rsidP="00BD2F2D">
            <w:pPr>
              <w:jc w:val="center"/>
              <w:rPr>
                <w:rFonts w:cs="Calibri"/>
                <w:color w:val="000000" w:themeColor="text1"/>
                <w:sz w:val="13"/>
                <w:szCs w:val="13"/>
              </w:rPr>
            </w:pPr>
            <w:r w:rsidRPr="00BB7C9E">
              <w:rPr>
                <w:rFonts w:cs="Calibri"/>
                <w:color w:val="000000" w:themeColor="text1"/>
                <w:sz w:val="13"/>
                <w:szCs w:val="13"/>
              </w:rPr>
              <w:t>default</w:t>
            </w:r>
          </w:p>
        </w:tc>
        <w:tc>
          <w:tcPr>
            <w:tcW w:w="1134" w:type="dxa"/>
            <w:tcBorders>
              <w:top w:val="nil"/>
              <w:left w:val="nil"/>
              <w:bottom w:val="single" w:sz="4" w:space="0" w:color="0077BD"/>
              <w:right w:val="nil"/>
            </w:tcBorders>
            <w:shd w:val="clear" w:color="auto" w:fill="auto"/>
            <w:vAlign w:val="center"/>
            <w:hideMark/>
          </w:tcPr>
          <w:p w14:paraId="62936C97"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4CB9CFCC"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w:t>
            </w:r>
          </w:p>
        </w:tc>
        <w:tc>
          <w:tcPr>
            <w:tcW w:w="1134" w:type="dxa"/>
            <w:tcBorders>
              <w:top w:val="nil"/>
              <w:left w:val="single" w:sz="8" w:space="0" w:color="0077BD"/>
              <w:bottom w:val="single" w:sz="4" w:space="0" w:color="0077BD"/>
              <w:right w:val="nil"/>
            </w:tcBorders>
            <w:shd w:val="clear" w:color="auto" w:fill="auto"/>
            <w:vAlign w:val="center"/>
            <w:hideMark/>
          </w:tcPr>
          <w:p w14:paraId="0F659104"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3 976 749</w:t>
            </w:r>
          </w:p>
        </w:tc>
        <w:tc>
          <w:tcPr>
            <w:tcW w:w="1134" w:type="dxa"/>
            <w:tcBorders>
              <w:top w:val="nil"/>
              <w:left w:val="single" w:sz="8" w:space="0" w:color="0077BD"/>
              <w:bottom w:val="single" w:sz="4" w:space="0" w:color="0077BD"/>
              <w:right w:val="nil"/>
            </w:tcBorders>
            <w:shd w:val="clear" w:color="auto" w:fill="auto"/>
            <w:vAlign w:val="center"/>
            <w:hideMark/>
          </w:tcPr>
          <w:p w14:paraId="4678FA0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182 745</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2A1BD10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4 159 494</w:t>
            </w:r>
          </w:p>
        </w:tc>
      </w:tr>
      <w:tr w:rsidR="00E10E34" w:rsidRPr="00BB7C9E" w14:paraId="3D2B7A5D"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64425D73" w14:textId="77777777" w:rsidR="00BD2F2D" w:rsidRPr="00BB7C9E" w:rsidRDefault="00BD2F2D" w:rsidP="00BD2F2D">
            <w:pPr>
              <w:rPr>
                <w:rFonts w:cs="Calibri"/>
                <w:b/>
                <w:bCs/>
                <w:color w:val="000000" w:themeColor="text1"/>
                <w:sz w:val="13"/>
                <w:szCs w:val="13"/>
              </w:rPr>
            </w:pPr>
            <w:r w:rsidRPr="00BB7C9E">
              <w:rPr>
                <w:rFonts w:cs="Calibri"/>
                <w:b/>
                <w:bCs/>
                <w:color w:val="000000" w:themeColor="text1"/>
                <w:sz w:val="13"/>
                <w:szCs w:val="13"/>
              </w:rPr>
              <w:t>Wartość bilansowa brutto</w:t>
            </w:r>
          </w:p>
        </w:tc>
        <w:tc>
          <w:tcPr>
            <w:tcW w:w="1134" w:type="dxa"/>
            <w:tcBorders>
              <w:top w:val="nil"/>
              <w:left w:val="nil"/>
              <w:bottom w:val="single" w:sz="4" w:space="0" w:color="0077BD"/>
              <w:right w:val="nil"/>
            </w:tcBorders>
            <w:shd w:val="clear" w:color="auto" w:fill="auto"/>
            <w:vAlign w:val="center"/>
            <w:hideMark/>
          </w:tcPr>
          <w:p w14:paraId="6107F35F"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82 159 668</w:t>
            </w:r>
          </w:p>
        </w:tc>
        <w:tc>
          <w:tcPr>
            <w:tcW w:w="1134" w:type="dxa"/>
            <w:tcBorders>
              <w:top w:val="nil"/>
              <w:left w:val="single" w:sz="8" w:space="0" w:color="0077BD"/>
              <w:bottom w:val="single" w:sz="4" w:space="0" w:color="0077BD"/>
              <w:right w:val="nil"/>
            </w:tcBorders>
            <w:shd w:val="clear" w:color="auto" w:fill="auto"/>
            <w:vAlign w:val="center"/>
            <w:hideMark/>
          </w:tcPr>
          <w:p w14:paraId="09106140"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8 714 545</w:t>
            </w:r>
          </w:p>
        </w:tc>
        <w:tc>
          <w:tcPr>
            <w:tcW w:w="1134" w:type="dxa"/>
            <w:tcBorders>
              <w:top w:val="nil"/>
              <w:left w:val="single" w:sz="8" w:space="0" w:color="0077BD"/>
              <w:bottom w:val="single" w:sz="4" w:space="0" w:color="0077BD"/>
              <w:right w:val="nil"/>
            </w:tcBorders>
            <w:shd w:val="clear" w:color="auto" w:fill="auto"/>
            <w:vAlign w:val="center"/>
            <w:hideMark/>
          </w:tcPr>
          <w:p w14:paraId="546F90A4"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3 976 749</w:t>
            </w:r>
          </w:p>
        </w:tc>
        <w:tc>
          <w:tcPr>
            <w:tcW w:w="1134" w:type="dxa"/>
            <w:tcBorders>
              <w:top w:val="nil"/>
              <w:left w:val="single" w:sz="8" w:space="0" w:color="0077BD"/>
              <w:bottom w:val="single" w:sz="4" w:space="0" w:color="0077BD"/>
              <w:right w:val="nil"/>
            </w:tcBorders>
            <w:shd w:val="clear" w:color="auto" w:fill="auto"/>
            <w:vAlign w:val="center"/>
            <w:hideMark/>
          </w:tcPr>
          <w:p w14:paraId="570CCCDA"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209 017</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211BA8E7"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95 059 979</w:t>
            </w:r>
          </w:p>
        </w:tc>
      </w:tr>
      <w:tr w:rsidR="00E10E34" w:rsidRPr="00BB7C9E" w14:paraId="0FCC4DC0" w14:textId="77777777" w:rsidTr="00DD65A0">
        <w:trPr>
          <w:trHeight w:val="284"/>
        </w:trPr>
        <w:tc>
          <w:tcPr>
            <w:tcW w:w="3912" w:type="dxa"/>
            <w:gridSpan w:val="3"/>
            <w:tcBorders>
              <w:top w:val="nil"/>
              <w:left w:val="nil"/>
              <w:bottom w:val="single" w:sz="4" w:space="0" w:color="0077BD"/>
              <w:right w:val="single" w:sz="8" w:space="0" w:color="0077BD"/>
            </w:tcBorders>
            <w:shd w:val="clear" w:color="auto" w:fill="auto"/>
            <w:vAlign w:val="center"/>
            <w:hideMark/>
          </w:tcPr>
          <w:p w14:paraId="48021076" w14:textId="77777777" w:rsidR="00BD2F2D" w:rsidRPr="00BB7C9E" w:rsidRDefault="00BD2F2D" w:rsidP="00BD2F2D">
            <w:pPr>
              <w:rPr>
                <w:rFonts w:cs="Calibri"/>
                <w:color w:val="000000" w:themeColor="text1"/>
                <w:sz w:val="13"/>
                <w:szCs w:val="13"/>
              </w:rPr>
            </w:pPr>
            <w:r w:rsidRPr="00BB7C9E">
              <w:rPr>
                <w:rFonts w:cs="Calibri"/>
                <w:color w:val="000000" w:themeColor="text1"/>
                <w:sz w:val="13"/>
                <w:szCs w:val="13"/>
              </w:rPr>
              <w:t>Skumulowana utrata wartości</w:t>
            </w:r>
          </w:p>
        </w:tc>
        <w:tc>
          <w:tcPr>
            <w:tcW w:w="1134" w:type="dxa"/>
            <w:tcBorders>
              <w:top w:val="nil"/>
              <w:left w:val="nil"/>
              <w:bottom w:val="single" w:sz="4" w:space="0" w:color="0077BD"/>
              <w:right w:val="nil"/>
            </w:tcBorders>
            <w:shd w:val="clear" w:color="auto" w:fill="auto"/>
            <w:vAlign w:val="center"/>
            <w:hideMark/>
          </w:tcPr>
          <w:p w14:paraId="123E4E12"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(214 875)</w:t>
            </w:r>
          </w:p>
        </w:tc>
        <w:tc>
          <w:tcPr>
            <w:tcW w:w="1134" w:type="dxa"/>
            <w:tcBorders>
              <w:top w:val="nil"/>
              <w:left w:val="single" w:sz="8" w:space="0" w:color="0077BD"/>
              <w:bottom w:val="single" w:sz="4" w:space="0" w:color="0077BD"/>
              <w:right w:val="nil"/>
            </w:tcBorders>
            <w:shd w:val="clear" w:color="auto" w:fill="auto"/>
            <w:vAlign w:val="center"/>
            <w:hideMark/>
          </w:tcPr>
          <w:p w14:paraId="7B45BBC9"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(220 963)</w:t>
            </w:r>
          </w:p>
        </w:tc>
        <w:tc>
          <w:tcPr>
            <w:tcW w:w="1134" w:type="dxa"/>
            <w:tcBorders>
              <w:top w:val="nil"/>
              <w:left w:val="single" w:sz="8" w:space="0" w:color="0077BD"/>
              <w:bottom w:val="single" w:sz="4" w:space="0" w:color="0077BD"/>
              <w:right w:val="nil"/>
            </w:tcBorders>
            <w:shd w:val="clear" w:color="auto" w:fill="auto"/>
            <w:vAlign w:val="center"/>
            <w:hideMark/>
          </w:tcPr>
          <w:p w14:paraId="3D421783"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(2 599 882)</w:t>
            </w:r>
          </w:p>
        </w:tc>
        <w:tc>
          <w:tcPr>
            <w:tcW w:w="1134" w:type="dxa"/>
            <w:tcBorders>
              <w:top w:val="nil"/>
              <w:left w:val="single" w:sz="8" w:space="0" w:color="0077BD"/>
              <w:bottom w:val="single" w:sz="4" w:space="0" w:color="0077BD"/>
              <w:right w:val="nil"/>
            </w:tcBorders>
            <w:shd w:val="clear" w:color="auto" w:fill="auto"/>
            <w:vAlign w:val="center"/>
            <w:hideMark/>
          </w:tcPr>
          <w:p w14:paraId="2B8CE26B"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(6 827)</w:t>
            </w:r>
          </w:p>
        </w:tc>
        <w:tc>
          <w:tcPr>
            <w:tcW w:w="1134" w:type="dxa"/>
            <w:gridSpan w:val="2"/>
            <w:tcBorders>
              <w:top w:val="nil"/>
              <w:left w:val="single" w:sz="8" w:space="0" w:color="0077BD"/>
              <w:bottom w:val="single" w:sz="4" w:space="0" w:color="0077BD"/>
              <w:right w:val="nil"/>
            </w:tcBorders>
            <w:shd w:val="clear" w:color="auto" w:fill="auto"/>
            <w:vAlign w:val="center"/>
            <w:hideMark/>
          </w:tcPr>
          <w:p w14:paraId="56D6F6F1" w14:textId="77777777" w:rsidR="00BD2F2D" w:rsidRPr="00BB7C9E" w:rsidRDefault="00BD2F2D" w:rsidP="00BD2F2D">
            <w:pPr>
              <w:jc w:val="right"/>
              <w:rPr>
                <w:rFonts w:cs="Calibri"/>
                <w:color w:val="000000" w:themeColor="text1"/>
                <w:sz w:val="13"/>
                <w:szCs w:val="13"/>
              </w:rPr>
            </w:pPr>
            <w:r w:rsidRPr="00BB7C9E">
              <w:rPr>
                <w:rFonts w:cs="Calibri"/>
                <w:color w:val="000000" w:themeColor="text1"/>
                <w:sz w:val="13"/>
                <w:szCs w:val="13"/>
              </w:rPr>
              <w:t>(3 042 547)</w:t>
            </w:r>
          </w:p>
        </w:tc>
      </w:tr>
      <w:tr w:rsidR="00E10E34" w:rsidRPr="00BB7C9E" w14:paraId="01CE2475" w14:textId="77777777" w:rsidTr="00DD65A0">
        <w:trPr>
          <w:trHeight w:val="284"/>
        </w:trPr>
        <w:tc>
          <w:tcPr>
            <w:tcW w:w="3912" w:type="dxa"/>
            <w:gridSpan w:val="3"/>
            <w:tcBorders>
              <w:top w:val="single" w:sz="8" w:space="0" w:color="0077BD"/>
              <w:left w:val="nil"/>
              <w:bottom w:val="single" w:sz="8" w:space="0" w:color="0077BD"/>
              <w:right w:val="single" w:sz="8" w:space="0" w:color="0077BD"/>
            </w:tcBorders>
            <w:shd w:val="clear" w:color="auto" w:fill="auto"/>
            <w:vAlign w:val="center"/>
            <w:hideMark/>
          </w:tcPr>
          <w:p w14:paraId="2BCF7C31" w14:textId="77777777" w:rsidR="00BD2F2D" w:rsidRPr="00BB7C9E" w:rsidRDefault="00BD2F2D" w:rsidP="00BD2F2D">
            <w:pPr>
              <w:rPr>
                <w:rFonts w:cs="Calibri"/>
                <w:b/>
                <w:bCs/>
                <w:color w:val="000000" w:themeColor="text1"/>
                <w:sz w:val="13"/>
                <w:szCs w:val="13"/>
              </w:rPr>
            </w:pPr>
            <w:r w:rsidRPr="00BB7C9E">
              <w:rPr>
                <w:rFonts w:cs="Calibri"/>
                <w:b/>
                <w:bCs/>
                <w:color w:val="000000" w:themeColor="text1"/>
                <w:sz w:val="13"/>
                <w:szCs w:val="13"/>
              </w:rPr>
              <w:t>Wartość bilansowa</w:t>
            </w:r>
          </w:p>
        </w:tc>
        <w:tc>
          <w:tcPr>
            <w:tcW w:w="1134" w:type="dxa"/>
            <w:tcBorders>
              <w:top w:val="single" w:sz="8" w:space="0" w:color="0077BD"/>
              <w:left w:val="nil"/>
              <w:bottom w:val="single" w:sz="8" w:space="0" w:color="0077BD"/>
              <w:right w:val="nil"/>
            </w:tcBorders>
            <w:shd w:val="clear" w:color="auto" w:fill="auto"/>
            <w:vAlign w:val="center"/>
            <w:hideMark/>
          </w:tcPr>
          <w:p w14:paraId="51DC3B8B"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81 944 793</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08E511E0"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8 493 582</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56EB71B3"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1 376 867</w:t>
            </w:r>
          </w:p>
        </w:tc>
        <w:tc>
          <w:tcPr>
            <w:tcW w:w="1134" w:type="dxa"/>
            <w:tcBorders>
              <w:top w:val="single" w:sz="8" w:space="0" w:color="0077BD"/>
              <w:left w:val="single" w:sz="8" w:space="0" w:color="0077BD"/>
              <w:bottom w:val="single" w:sz="8" w:space="0" w:color="0077BD"/>
              <w:right w:val="nil"/>
            </w:tcBorders>
            <w:shd w:val="clear" w:color="auto" w:fill="auto"/>
            <w:vAlign w:val="center"/>
            <w:hideMark/>
          </w:tcPr>
          <w:p w14:paraId="2175CA21"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202 190</w:t>
            </w:r>
          </w:p>
        </w:tc>
        <w:tc>
          <w:tcPr>
            <w:tcW w:w="1134" w:type="dxa"/>
            <w:gridSpan w:val="2"/>
            <w:tcBorders>
              <w:top w:val="single" w:sz="8" w:space="0" w:color="0077BD"/>
              <w:left w:val="single" w:sz="8" w:space="0" w:color="0077BD"/>
              <w:bottom w:val="single" w:sz="8" w:space="0" w:color="0077BD"/>
              <w:right w:val="nil"/>
            </w:tcBorders>
            <w:shd w:val="clear" w:color="auto" w:fill="auto"/>
            <w:vAlign w:val="center"/>
            <w:hideMark/>
          </w:tcPr>
          <w:p w14:paraId="3ED80F42" w14:textId="77777777" w:rsidR="00BD2F2D" w:rsidRPr="00BB7C9E" w:rsidRDefault="00BD2F2D" w:rsidP="00BD2F2D">
            <w:pPr>
              <w:jc w:val="right"/>
              <w:rPr>
                <w:rFonts w:cs="Calibri"/>
                <w:b/>
                <w:bCs/>
                <w:color w:val="000000" w:themeColor="text1"/>
                <w:sz w:val="13"/>
                <w:szCs w:val="13"/>
              </w:rPr>
            </w:pPr>
            <w:r w:rsidRPr="00BB7C9E">
              <w:rPr>
                <w:rFonts w:cs="Calibri"/>
                <w:b/>
                <w:bCs/>
                <w:color w:val="000000" w:themeColor="text1"/>
                <w:sz w:val="13"/>
                <w:szCs w:val="13"/>
              </w:rPr>
              <w:t>92 017 432</w:t>
            </w:r>
          </w:p>
        </w:tc>
      </w:tr>
    </w:tbl>
    <w:p w14:paraId="435A8985" w14:textId="6C9C6854" w:rsidR="000F17B5" w:rsidRPr="00BB7C9E" w:rsidRDefault="000F17B5" w:rsidP="00D9525E">
      <w:pPr>
        <w:jc w:val="both"/>
        <w:rPr>
          <w:noProof/>
          <w:color w:val="000000" w:themeColor="text1"/>
          <w:sz w:val="18"/>
          <w:szCs w:val="18"/>
        </w:rPr>
      </w:pPr>
    </w:p>
    <w:p w14:paraId="475B5880" w14:textId="649789C0" w:rsidR="000F17B5" w:rsidRPr="00BB7C9E" w:rsidRDefault="000F17B5" w:rsidP="00D9525E">
      <w:pPr>
        <w:jc w:val="both"/>
        <w:rPr>
          <w:noProof/>
          <w:color w:val="000000" w:themeColor="text1"/>
          <w:sz w:val="18"/>
          <w:szCs w:val="18"/>
        </w:rPr>
      </w:pPr>
    </w:p>
    <w:p w14:paraId="248C7ED1" w14:textId="061A7466" w:rsidR="00070475" w:rsidRPr="00BB7C9E" w:rsidRDefault="00070475">
      <w:pPr>
        <w:rPr>
          <w:noProof/>
          <w:color w:val="000000" w:themeColor="text1"/>
          <w:sz w:val="18"/>
          <w:szCs w:val="18"/>
        </w:rPr>
      </w:pPr>
      <w:r w:rsidRPr="00BB7C9E">
        <w:rPr>
          <w:noProof/>
          <w:color w:val="000000" w:themeColor="text1"/>
          <w:sz w:val="18"/>
          <w:szCs w:val="18"/>
        </w:rPr>
        <w:br w:type="page"/>
      </w:r>
    </w:p>
    <w:p w14:paraId="2B1C81ED" w14:textId="75C30D5F" w:rsidR="00FC1C9E" w:rsidRPr="00BB7C9E" w:rsidRDefault="007C33F1" w:rsidP="00FC1C9E">
      <w:pPr>
        <w:spacing w:before="120"/>
        <w:jc w:val="both"/>
        <w:rPr>
          <w:b/>
          <w:noProof/>
          <w:color w:val="000000" w:themeColor="text1"/>
          <w:sz w:val="18"/>
          <w:szCs w:val="18"/>
        </w:rPr>
      </w:pPr>
      <w:r>
        <w:rPr>
          <w:b/>
          <w:noProof/>
          <w:color w:val="000000" w:themeColor="text1"/>
          <w:sz w:val="18"/>
          <w:szCs w:val="18"/>
        </w:rPr>
        <w:lastRenderedPageBreak/>
        <w:t xml:space="preserve">Zmiana stanu </w:t>
      </w:r>
      <w:r w:rsidR="00FC1C9E" w:rsidRPr="00BB7C9E">
        <w:rPr>
          <w:b/>
          <w:noProof/>
          <w:color w:val="000000" w:themeColor="text1"/>
          <w:sz w:val="18"/>
          <w:szCs w:val="18"/>
        </w:rPr>
        <w:t>oczekiwanych strat kredytowych</w:t>
      </w:r>
    </w:p>
    <w:p w14:paraId="5E7083B3" w14:textId="7B641043" w:rsidR="008E0453" w:rsidRDefault="008E0453" w:rsidP="008E0453">
      <w:pPr>
        <w:rPr>
          <w:noProof/>
        </w:rPr>
      </w:pPr>
    </w:p>
    <w:tbl>
      <w:tblPr>
        <w:tblW w:w="9639" w:type="dxa"/>
        <w:tblLayout w:type="fixed"/>
        <w:tblCellMar>
          <w:left w:w="0" w:type="dxa"/>
          <w:right w:w="0" w:type="dxa"/>
        </w:tblCellMar>
        <w:tblLook w:val="04A0" w:firstRow="1" w:lastRow="0" w:firstColumn="1" w:lastColumn="0" w:noHBand="0" w:noVBand="1"/>
      </w:tblPr>
      <w:tblGrid>
        <w:gridCol w:w="1245"/>
        <w:gridCol w:w="840"/>
        <w:gridCol w:w="840"/>
        <w:gridCol w:w="840"/>
        <w:gridCol w:w="840"/>
        <w:gridCol w:w="839"/>
        <w:gridCol w:w="839"/>
        <w:gridCol w:w="947"/>
        <w:gridCol w:w="731"/>
        <w:gridCol w:w="839"/>
        <w:gridCol w:w="839"/>
      </w:tblGrid>
      <w:tr w:rsidR="00B470C1" w:rsidRPr="00ED04A4" w14:paraId="1AA4DFFB" w14:textId="77777777" w:rsidTr="00535728">
        <w:trPr>
          <w:trHeight w:val="567"/>
        </w:trPr>
        <w:tc>
          <w:tcPr>
            <w:tcW w:w="1245" w:type="dxa"/>
            <w:tcBorders>
              <w:top w:val="single" w:sz="8" w:space="0" w:color="FFFFFF"/>
              <w:left w:val="nil"/>
              <w:bottom w:val="nil"/>
              <w:right w:val="single" w:sz="6" w:space="0" w:color="FFFFFF"/>
            </w:tcBorders>
            <w:shd w:val="clear" w:color="000000" w:fill="0077BD"/>
            <w:vAlign w:val="center"/>
            <w:hideMark/>
          </w:tcPr>
          <w:p w14:paraId="4DF08CE6" w14:textId="08D371C2" w:rsidR="00B470C1" w:rsidRPr="00ED04A4" w:rsidRDefault="00B470C1" w:rsidP="005153F9">
            <w:pPr>
              <w:rPr>
                <w:rFonts w:cs="Calibri"/>
                <w:b/>
                <w:bCs/>
                <w:color w:val="FFFFFF"/>
                <w:sz w:val="9"/>
                <w:szCs w:val="9"/>
              </w:rPr>
            </w:pPr>
            <w:r w:rsidRPr="00ED04A4">
              <w:rPr>
                <w:rFonts w:cs="Calibri"/>
                <w:b/>
                <w:bCs/>
                <w:color w:val="FFFFFF"/>
                <w:sz w:val="9"/>
                <w:szCs w:val="9"/>
              </w:rPr>
              <w:t xml:space="preserve">Zmiana w okresie </w:t>
            </w:r>
            <w:r>
              <w:rPr>
                <w:rFonts w:cs="Calibri"/>
                <w:b/>
                <w:bCs/>
                <w:color w:val="FFFFFF"/>
                <w:sz w:val="9"/>
                <w:szCs w:val="9"/>
              </w:rPr>
              <w:t>od 1 stycznia do</w:t>
            </w:r>
            <w:r>
              <w:rPr>
                <w:rFonts w:cs="Calibri"/>
                <w:b/>
                <w:bCs/>
                <w:color w:val="FFFFFF"/>
                <w:sz w:val="9"/>
                <w:szCs w:val="9"/>
              </w:rPr>
              <w:br/>
              <w:t>31 grudnia 2019</w:t>
            </w:r>
            <w:r w:rsidRPr="00ED04A4">
              <w:rPr>
                <w:rFonts w:cs="Calibri"/>
                <w:b/>
                <w:bCs/>
                <w:color w:val="FFFFFF"/>
                <w:sz w:val="9"/>
                <w:szCs w:val="9"/>
              </w:rPr>
              <w:t xml:space="preserve"> r.</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205A424D"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Bilans otwarcia</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41AE4948"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Transfer do Koszyka 1</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563E29AB"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Transfer do Koszyka 2</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29D16F25"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Transfer do Koszyka 3</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62A1B91A"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Zwiększenia spowodowane udzieleniem oraz przejęciem</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71471267"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Zmniejszenia spowodowane usunięciem z bilansu</w:t>
            </w:r>
          </w:p>
        </w:tc>
        <w:tc>
          <w:tcPr>
            <w:tcW w:w="947" w:type="dxa"/>
            <w:tcBorders>
              <w:top w:val="single" w:sz="8" w:space="0" w:color="FFFFFF"/>
              <w:left w:val="single" w:sz="6" w:space="0" w:color="FFFFFF"/>
              <w:bottom w:val="nil"/>
              <w:right w:val="single" w:sz="6" w:space="0" w:color="FFFFFF"/>
            </w:tcBorders>
            <w:shd w:val="clear" w:color="000000" w:fill="0077BD"/>
            <w:vAlign w:val="center"/>
            <w:hideMark/>
          </w:tcPr>
          <w:p w14:paraId="4E99F234"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Zmiany spowodowane zmianą ryzyka kredytowego (netto)</w:t>
            </w:r>
          </w:p>
        </w:tc>
        <w:tc>
          <w:tcPr>
            <w:tcW w:w="731" w:type="dxa"/>
            <w:tcBorders>
              <w:top w:val="single" w:sz="8" w:space="0" w:color="FFFFFF"/>
              <w:left w:val="single" w:sz="6" w:space="0" w:color="FFFFFF"/>
              <w:bottom w:val="nil"/>
              <w:right w:val="single" w:sz="6" w:space="0" w:color="FFFFFF"/>
            </w:tcBorders>
            <w:shd w:val="clear" w:color="000000" w:fill="0077BD"/>
            <w:vAlign w:val="center"/>
            <w:hideMark/>
          </w:tcPr>
          <w:p w14:paraId="02ED873E"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Zmniejszenia odpisu z tytułu spisania</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6D69FA89"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Inne korekty</w:t>
            </w:r>
          </w:p>
        </w:tc>
        <w:tc>
          <w:tcPr>
            <w:tcW w:w="839" w:type="dxa"/>
            <w:tcBorders>
              <w:top w:val="single" w:sz="8" w:space="0" w:color="FFFFFF"/>
              <w:left w:val="single" w:sz="6" w:space="0" w:color="FFFFFF"/>
              <w:bottom w:val="nil"/>
              <w:right w:val="nil"/>
            </w:tcBorders>
            <w:shd w:val="clear" w:color="000000" w:fill="0077BD"/>
            <w:vAlign w:val="center"/>
            <w:hideMark/>
          </w:tcPr>
          <w:p w14:paraId="15BD4FA3" w14:textId="77777777" w:rsidR="00B470C1" w:rsidRPr="00ED04A4" w:rsidRDefault="00B470C1" w:rsidP="005153F9">
            <w:pPr>
              <w:jc w:val="center"/>
              <w:rPr>
                <w:rFonts w:cs="Calibri"/>
                <w:b/>
                <w:bCs/>
                <w:color w:val="FFFFFF"/>
                <w:sz w:val="9"/>
                <w:szCs w:val="9"/>
              </w:rPr>
            </w:pPr>
            <w:r w:rsidRPr="00ED04A4">
              <w:rPr>
                <w:rFonts w:cs="Calibri"/>
                <w:b/>
                <w:bCs/>
                <w:color w:val="FFFFFF"/>
                <w:sz w:val="9"/>
                <w:szCs w:val="9"/>
              </w:rPr>
              <w:t>Bilans zamknięcia</w:t>
            </w:r>
          </w:p>
        </w:tc>
      </w:tr>
      <w:tr w:rsidR="00B470C1" w:rsidRPr="00ED04A4" w14:paraId="296B5A5F"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423169C3" w14:textId="77777777" w:rsidR="00B470C1" w:rsidRPr="0070550B" w:rsidRDefault="00B470C1" w:rsidP="00B470C1">
            <w:pPr>
              <w:rPr>
                <w:rFonts w:cs="Calibri"/>
                <w:b/>
                <w:bCs/>
                <w:color w:val="000000" w:themeColor="text1"/>
                <w:sz w:val="9"/>
                <w:szCs w:val="9"/>
              </w:rPr>
            </w:pPr>
            <w:r w:rsidRPr="0070550B">
              <w:rPr>
                <w:rFonts w:cs="Calibri"/>
                <w:b/>
                <w:bCs/>
                <w:color w:val="000000" w:themeColor="text1"/>
                <w:sz w:val="9"/>
                <w:szCs w:val="9"/>
              </w:rPr>
              <w:t>Dłużne papiery wartościowe</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CB345E9" w14:textId="2102A3AD"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(87)</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48E0751" w14:textId="1F3FAC60"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57BB51B7" w14:textId="68C495F2"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483AC886" w14:textId="58B95229"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122B9DDD" w14:textId="5891C24A"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2E53F151" w14:textId="6AD77117"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947" w:type="dxa"/>
            <w:tcBorders>
              <w:top w:val="single" w:sz="8" w:space="0" w:color="0077BD"/>
              <w:left w:val="nil"/>
              <w:bottom w:val="single" w:sz="8" w:space="0" w:color="0077BD"/>
              <w:right w:val="single" w:sz="8" w:space="0" w:color="0077BD"/>
            </w:tcBorders>
            <w:shd w:val="clear" w:color="auto" w:fill="auto"/>
            <w:vAlign w:val="center"/>
          </w:tcPr>
          <w:p w14:paraId="655D7595" w14:textId="661A61E2"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8</w:t>
            </w:r>
          </w:p>
        </w:tc>
        <w:tc>
          <w:tcPr>
            <w:tcW w:w="731" w:type="dxa"/>
            <w:tcBorders>
              <w:top w:val="single" w:sz="8" w:space="0" w:color="0077BD"/>
              <w:left w:val="nil"/>
              <w:bottom w:val="single" w:sz="8" w:space="0" w:color="0077BD"/>
              <w:right w:val="single" w:sz="8" w:space="0" w:color="0077BD"/>
            </w:tcBorders>
            <w:shd w:val="clear" w:color="auto" w:fill="auto"/>
            <w:vAlign w:val="center"/>
          </w:tcPr>
          <w:p w14:paraId="4D74C812" w14:textId="1D2A15E9"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142C2672" w14:textId="72975A51"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single" w:sz="8" w:space="0" w:color="0077BD"/>
              <w:bottom w:val="single" w:sz="8" w:space="0" w:color="0077BD"/>
              <w:right w:val="nil"/>
            </w:tcBorders>
            <w:shd w:val="clear" w:color="auto" w:fill="auto"/>
            <w:vAlign w:val="center"/>
          </w:tcPr>
          <w:p w14:paraId="7CCB96F6" w14:textId="5D5AB2A8"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(79)</w:t>
            </w:r>
          </w:p>
        </w:tc>
      </w:tr>
      <w:tr w:rsidR="00B470C1" w:rsidRPr="00ED04A4" w14:paraId="10459EB2"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1676C3DC"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65447E20" w14:textId="7D4DD54C"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(87)</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FA77C1A" w14:textId="3370CAF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2750A932" w14:textId="0928259A"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5C779C09" w14:textId="643748A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73A9D9F0" w14:textId="37EC1CD8"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561AAFC4" w14:textId="781B57F1"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947" w:type="dxa"/>
            <w:tcBorders>
              <w:top w:val="single" w:sz="4" w:space="0" w:color="0077BD"/>
              <w:left w:val="nil"/>
              <w:bottom w:val="single" w:sz="4" w:space="0" w:color="0077BD"/>
              <w:right w:val="single" w:sz="8" w:space="0" w:color="0077BD"/>
            </w:tcBorders>
            <w:shd w:val="clear" w:color="auto" w:fill="auto"/>
            <w:vAlign w:val="center"/>
          </w:tcPr>
          <w:p w14:paraId="58D5DB7A" w14:textId="4C09B1B6"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8</w:t>
            </w:r>
          </w:p>
        </w:tc>
        <w:tc>
          <w:tcPr>
            <w:tcW w:w="731" w:type="dxa"/>
            <w:tcBorders>
              <w:top w:val="single" w:sz="4" w:space="0" w:color="0077BD"/>
              <w:left w:val="nil"/>
              <w:bottom w:val="single" w:sz="4" w:space="0" w:color="0077BD"/>
              <w:right w:val="single" w:sz="8" w:space="0" w:color="0077BD"/>
            </w:tcBorders>
            <w:shd w:val="clear" w:color="auto" w:fill="auto"/>
            <w:vAlign w:val="center"/>
          </w:tcPr>
          <w:p w14:paraId="1F51B907" w14:textId="2AF36205"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1D3415FD" w14:textId="5604178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single" w:sz="8" w:space="0" w:color="0077BD"/>
              <w:bottom w:val="single" w:sz="4" w:space="0" w:color="0077BD"/>
              <w:right w:val="nil"/>
            </w:tcBorders>
            <w:shd w:val="clear" w:color="auto" w:fill="auto"/>
            <w:vAlign w:val="center"/>
          </w:tcPr>
          <w:p w14:paraId="723C5995" w14:textId="7B84AEC5"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(79)</w:t>
            </w:r>
          </w:p>
        </w:tc>
      </w:tr>
      <w:tr w:rsidR="00B470C1" w:rsidRPr="00ED04A4" w14:paraId="124FBFEC"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59E5C5FD" w14:textId="77777777" w:rsidR="00B470C1" w:rsidRPr="0070550B" w:rsidRDefault="00B470C1" w:rsidP="00B470C1">
            <w:pPr>
              <w:rPr>
                <w:rFonts w:cs="Calibri"/>
                <w:b/>
                <w:bCs/>
                <w:color w:val="000000" w:themeColor="text1"/>
                <w:sz w:val="9"/>
                <w:szCs w:val="9"/>
              </w:rPr>
            </w:pPr>
            <w:r w:rsidRPr="0070550B">
              <w:rPr>
                <w:rFonts w:cs="Calibri"/>
                <w:b/>
                <w:bCs/>
                <w:color w:val="000000" w:themeColor="text1"/>
                <w:sz w:val="9"/>
                <w:szCs w:val="9"/>
              </w:rPr>
              <w:t>Należności od banków</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EE96502" w14:textId="2DFCC051"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(1 518)</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AD4DF5C" w14:textId="76089633"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138999E7" w14:textId="427706C8"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20E1DF5A" w14:textId="6B4C01FE"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14424E86" w14:textId="5DF55738"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(1 560)</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4ECB2174" w14:textId="281FF98E"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1 529</w:t>
            </w:r>
          </w:p>
        </w:tc>
        <w:tc>
          <w:tcPr>
            <w:tcW w:w="947" w:type="dxa"/>
            <w:tcBorders>
              <w:top w:val="single" w:sz="8" w:space="0" w:color="0077BD"/>
              <w:left w:val="nil"/>
              <w:bottom w:val="single" w:sz="8" w:space="0" w:color="0077BD"/>
              <w:right w:val="single" w:sz="8" w:space="0" w:color="0077BD"/>
            </w:tcBorders>
            <w:shd w:val="clear" w:color="auto" w:fill="auto"/>
            <w:vAlign w:val="center"/>
          </w:tcPr>
          <w:p w14:paraId="61CF3083" w14:textId="6DB579E0"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417</w:t>
            </w:r>
          </w:p>
        </w:tc>
        <w:tc>
          <w:tcPr>
            <w:tcW w:w="731" w:type="dxa"/>
            <w:tcBorders>
              <w:top w:val="single" w:sz="8" w:space="0" w:color="0077BD"/>
              <w:left w:val="nil"/>
              <w:bottom w:val="single" w:sz="8" w:space="0" w:color="0077BD"/>
              <w:right w:val="single" w:sz="8" w:space="0" w:color="0077BD"/>
            </w:tcBorders>
            <w:shd w:val="clear" w:color="auto" w:fill="auto"/>
            <w:vAlign w:val="center"/>
          </w:tcPr>
          <w:p w14:paraId="6484F578" w14:textId="6611768A"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5BC9DB4D" w14:textId="46FD8930"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single" w:sz="8" w:space="0" w:color="0077BD"/>
              <w:bottom w:val="single" w:sz="8" w:space="0" w:color="0077BD"/>
              <w:right w:val="nil"/>
            </w:tcBorders>
            <w:shd w:val="clear" w:color="auto" w:fill="auto"/>
            <w:vAlign w:val="center"/>
          </w:tcPr>
          <w:p w14:paraId="69EF0996" w14:textId="2C31B04E"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(1 132)</w:t>
            </w:r>
          </w:p>
        </w:tc>
      </w:tr>
      <w:tr w:rsidR="00B470C1" w:rsidRPr="00ED04A4" w14:paraId="0E60C118"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188280F3"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6199B74D" w14:textId="546AB911"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(1 518)</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6119FAAF" w14:textId="0784D659"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3CB2F320" w14:textId="0E1FDAF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3825ED84" w14:textId="772100C3"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2215A118" w14:textId="48272569"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(1 560)</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32D1DBC7" w14:textId="20D30EA1"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1 529</w:t>
            </w:r>
          </w:p>
        </w:tc>
        <w:tc>
          <w:tcPr>
            <w:tcW w:w="947" w:type="dxa"/>
            <w:tcBorders>
              <w:top w:val="single" w:sz="4" w:space="0" w:color="0077BD"/>
              <w:left w:val="nil"/>
              <w:bottom w:val="single" w:sz="4" w:space="0" w:color="0077BD"/>
              <w:right w:val="single" w:sz="8" w:space="0" w:color="0077BD"/>
            </w:tcBorders>
            <w:shd w:val="clear" w:color="auto" w:fill="auto"/>
            <w:vAlign w:val="center"/>
          </w:tcPr>
          <w:p w14:paraId="37E934C4" w14:textId="5BE4F607"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417</w:t>
            </w:r>
          </w:p>
        </w:tc>
        <w:tc>
          <w:tcPr>
            <w:tcW w:w="731" w:type="dxa"/>
            <w:tcBorders>
              <w:top w:val="single" w:sz="4" w:space="0" w:color="0077BD"/>
              <w:left w:val="nil"/>
              <w:bottom w:val="single" w:sz="4" w:space="0" w:color="0077BD"/>
              <w:right w:val="single" w:sz="8" w:space="0" w:color="0077BD"/>
            </w:tcBorders>
            <w:shd w:val="clear" w:color="auto" w:fill="auto"/>
            <w:vAlign w:val="center"/>
          </w:tcPr>
          <w:p w14:paraId="089A0405" w14:textId="79BF4594"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1798EBDE" w14:textId="39DD3334"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single" w:sz="8" w:space="0" w:color="0077BD"/>
              <w:bottom w:val="single" w:sz="4" w:space="0" w:color="0077BD"/>
              <w:right w:val="nil"/>
            </w:tcBorders>
            <w:shd w:val="clear" w:color="auto" w:fill="auto"/>
            <w:vAlign w:val="center"/>
          </w:tcPr>
          <w:p w14:paraId="609D5207" w14:textId="09457A2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(1 132)</w:t>
            </w:r>
          </w:p>
        </w:tc>
      </w:tr>
      <w:tr w:rsidR="00B470C1" w:rsidRPr="00ED04A4" w14:paraId="1DF891E3"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10A57BFA" w14:textId="77777777" w:rsidR="00B470C1" w:rsidRPr="0070550B" w:rsidRDefault="00B470C1" w:rsidP="00B470C1">
            <w:pPr>
              <w:rPr>
                <w:rFonts w:cs="Calibri"/>
                <w:b/>
                <w:bCs/>
                <w:color w:val="000000" w:themeColor="text1"/>
                <w:sz w:val="9"/>
                <w:szCs w:val="9"/>
              </w:rPr>
            </w:pPr>
            <w:r w:rsidRPr="0070550B">
              <w:rPr>
                <w:rFonts w:cs="Calibri"/>
                <w:b/>
                <w:bCs/>
                <w:color w:val="000000" w:themeColor="text1"/>
                <w:sz w:val="9"/>
                <w:szCs w:val="9"/>
              </w:rPr>
              <w:t>Kredyty i pożyczki udzielone klientom</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791E18A" w14:textId="1D4AB29F"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(3 042 547)</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2863C0D" w14:textId="76023637"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22BAC585" w14:textId="4DE6E480"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72385076" w14:textId="2DD8DA8B"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7573B434" w14:textId="18D39A4A" w:rsidR="00B470C1" w:rsidRPr="0070550B" w:rsidRDefault="00B470C1" w:rsidP="00D96037">
            <w:pPr>
              <w:jc w:val="right"/>
              <w:rPr>
                <w:rFonts w:cs="Calibri"/>
                <w:b/>
                <w:bCs/>
                <w:color w:val="000000" w:themeColor="text1"/>
                <w:sz w:val="9"/>
                <w:szCs w:val="9"/>
              </w:rPr>
            </w:pPr>
            <w:r w:rsidRPr="0070550B">
              <w:rPr>
                <w:rFonts w:cs="Calibri"/>
                <w:b/>
                <w:bCs/>
                <w:color w:val="000000" w:themeColor="text1"/>
                <w:sz w:val="9"/>
                <w:szCs w:val="9"/>
              </w:rPr>
              <w:t>(265 75</w:t>
            </w:r>
            <w:r w:rsidR="00D96037" w:rsidRPr="0070550B">
              <w:rPr>
                <w:rFonts w:cs="Calibri"/>
                <w:b/>
                <w:bCs/>
                <w:color w:val="000000" w:themeColor="text1"/>
                <w:sz w:val="9"/>
                <w:szCs w:val="9"/>
              </w:rPr>
              <w:t>8</w:t>
            </w: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72D51A1C" w14:textId="3114DACF"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144 356</w:t>
            </w:r>
          </w:p>
        </w:tc>
        <w:tc>
          <w:tcPr>
            <w:tcW w:w="947" w:type="dxa"/>
            <w:tcBorders>
              <w:top w:val="single" w:sz="8" w:space="0" w:color="0077BD"/>
              <w:left w:val="nil"/>
              <w:bottom w:val="single" w:sz="8" w:space="0" w:color="0077BD"/>
              <w:right w:val="single" w:sz="8" w:space="0" w:color="0077BD"/>
            </w:tcBorders>
            <w:shd w:val="clear" w:color="auto" w:fill="auto"/>
            <w:vAlign w:val="center"/>
          </w:tcPr>
          <w:p w14:paraId="7457A1AD" w14:textId="081AFC83"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(623 937)</w:t>
            </w:r>
          </w:p>
        </w:tc>
        <w:tc>
          <w:tcPr>
            <w:tcW w:w="731" w:type="dxa"/>
            <w:tcBorders>
              <w:top w:val="single" w:sz="8" w:space="0" w:color="0077BD"/>
              <w:left w:val="nil"/>
              <w:bottom w:val="single" w:sz="8" w:space="0" w:color="0077BD"/>
              <w:right w:val="single" w:sz="8" w:space="0" w:color="0077BD"/>
            </w:tcBorders>
            <w:shd w:val="clear" w:color="auto" w:fill="auto"/>
            <w:vAlign w:val="center"/>
          </w:tcPr>
          <w:p w14:paraId="60E24D47" w14:textId="0E55E1BE"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597 253</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64BB7821" w14:textId="0AE08777" w:rsidR="00B470C1" w:rsidRPr="0070550B" w:rsidRDefault="00B470C1" w:rsidP="00D96037">
            <w:pPr>
              <w:jc w:val="right"/>
              <w:rPr>
                <w:rFonts w:cs="Calibri"/>
                <w:b/>
                <w:bCs/>
                <w:color w:val="000000" w:themeColor="text1"/>
                <w:sz w:val="9"/>
                <w:szCs w:val="9"/>
              </w:rPr>
            </w:pPr>
            <w:r w:rsidRPr="0070550B">
              <w:rPr>
                <w:rFonts w:cs="Calibri"/>
                <w:b/>
                <w:bCs/>
                <w:color w:val="000000" w:themeColor="text1"/>
                <w:sz w:val="9"/>
                <w:szCs w:val="9"/>
              </w:rPr>
              <w:t>35</w:t>
            </w:r>
            <w:r w:rsidR="00D96037" w:rsidRPr="0070550B">
              <w:rPr>
                <w:rFonts w:cs="Calibri"/>
                <w:b/>
                <w:bCs/>
                <w:color w:val="000000" w:themeColor="text1"/>
                <w:sz w:val="9"/>
                <w:szCs w:val="9"/>
              </w:rPr>
              <w:t>5</w:t>
            </w:r>
          </w:p>
        </w:tc>
        <w:tc>
          <w:tcPr>
            <w:tcW w:w="839" w:type="dxa"/>
            <w:tcBorders>
              <w:top w:val="single" w:sz="8" w:space="0" w:color="0077BD"/>
              <w:left w:val="single" w:sz="8" w:space="0" w:color="0077BD"/>
              <w:bottom w:val="single" w:sz="8" w:space="0" w:color="0077BD"/>
              <w:right w:val="nil"/>
            </w:tcBorders>
            <w:shd w:val="clear" w:color="auto" w:fill="auto"/>
            <w:vAlign w:val="center"/>
          </w:tcPr>
          <w:p w14:paraId="06FC73F1" w14:textId="496CE205"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(3 190 278)</w:t>
            </w:r>
          </w:p>
        </w:tc>
      </w:tr>
      <w:tr w:rsidR="00B470C1" w:rsidRPr="00ED04A4" w14:paraId="39D504BC"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640160D1"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3EC2A56" w14:textId="55B33163"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(214 875)</w:t>
            </w:r>
          </w:p>
        </w:tc>
        <w:tc>
          <w:tcPr>
            <w:tcW w:w="840"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620FB1C" w14:textId="1F94893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(382 332)</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2A4E4128" w14:textId="2061BAC2"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102 610</w:t>
            </w:r>
          </w:p>
        </w:tc>
        <w:tc>
          <w:tcPr>
            <w:tcW w:w="840" w:type="dxa"/>
            <w:tcBorders>
              <w:top w:val="single" w:sz="4" w:space="0" w:color="0077BD"/>
              <w:left w:val="nil"/>
              <w:bottom w:val="single" w:sz="4" w:space="0" w:color="0077BD"/>
              <w:right w:val="single" w:sz="8" w:space="0" w:color="0077BD"/>
            </w:tcBorders>
            <w:shd w:val="clear" w:color="auto" w:fill="auto"/>
            <w:vAlign w:val="center"/>
          </w:tcPr>
          <w:p w14:paraId="17266929" w14:textId="604676E5"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4 397</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379D0444" w14:textId="6F867008" w:rsidR="00B470C1" w:rsidRPr="0070550B" w:rsidRDefault="009603C1" w:rsidP="00B470C1">
            <w:pPr>
              <w:jc w:val="right"/>
              <w:rPr>
                <w:rFonts w:cs="Calibri"/>
                <w:color w:val="000000" w:themeColor="text1"/>
                <w:sz w:val="9"/>
                <w:szCs w:val="9"/>
              </w:rPr>
            </w:pPr>
            <w:r w:rsidRPr="0070550B">
              <w:rPr>
                <w:rFonts w:cs="Calibri"/>
                <w:color w:val="000000" w:themeColor="text1"/>
                <w:sz w:val="9"/>
                <w:szCs w:val="9"/>
              </w:rPr>
              <w:t>(119 016</w:t>
            </w:r>
            <w:r w:rsidR="00B470C1"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1DB96B4A" w14:textId="26A3944C"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50 598</w:t>
            </w:r>
          </w:p>
        </w:tc>
        <w:tc>
          <w:tcPr>
            <w:tcW w:w="947" w:type="dxa"/>
            <w:tcBorders>
              <w:top w:val="single" w:sz="4" w:space="0" w:color="0077BD"/>
              <w:left w:val="nil"/>
              <w:bottom w:val="single" w:sz="4" w:space="0" w:color="0077BD"/>
              <w:right w:val="single" w:sz="8" w:space="0" w:color="0077BD"/>
            </w:tcBorders>
            <w:shd w:val="clear" w:color="auto" w:fill="auto"/>
            <w:vAlign w:val="center"/>
          </w:tcPr>
          <w:p w14:paraId="6D55AD67" w14:textId="6C7CF71B"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245 500</w:t>
            </w:r>
          </w:p>
        </w:tc>
        <w:tc>
          <w:tcPr>
            <w:tcW w:w="731" w:type="dxa"/>
            <w:tcBorders>
              <w:top w:val="single" w:sz="4" w:space="0" w:color="0077BD"/>
              <w:left w:val="nil"/>
              <w:bottom w:val="single" w:sz="4" w:space="0" w:color="0077BD"/>
              <w:right w:val="single" w:sz="8" w:space="0" w:color="0077BD"/>
            </w:tcBorders>
            <w:shd w:val="clear" w:color="auto" w:fill="auto"/>
            <w:vAlign w:val="center"/>
          </w:tcPr>
          <w:p w14:paraId="0AEA391D" w14:textId="1120BC4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tcPr>
          <w:p w14:paraId="569DC834" w14:textId="2FE48242"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single" w:sz="8" w:space="0" w:color="0077BD"/>
              <w:bottom w:val="single" w:sz="4" w:space="0" w:color="0077BD"/>
              <w:right w:val="nil"/>
            </w:tcBorders>
            <w:shd w:val="clear" w:color="auto" w:fill="auto"/>
            <w:vAlign w:val="center"/>
          </w:tcPr>
          <w:p w14:paraId="7E165558" w14:textId="3B57D8BC" w:rsidR="00B470C1" w:rsidRPr="0070550B" w:rsidRDefault="00B470C1" w:rsidP="009E48BD">
            <w:pPr>
              <w:jc w:val="right"/>
              <w:rPr>
                <w:rFonts w:cs="Calibri"/>
                <w:color w:val="000000" w:themeColor="text1"/>
                <w:sz w:val="9"/>
                <w:szCs w:val="9"/>
              </w:rPr>
            </w:pPr>
            <w:r w:rsidRPr="0070550B">
              <w:rPr>
                <w:rFonts w:cs="Calibri"/>
                <w:color w:val="000000" w:themeColor="text1"/>
                <w:sz w:val="9"/>
                <w:szCs w:val="9"/>
              </w:rPr>
              <w:t>(313 11</w:t>
            </w:r>
            <w:r w:rsidR="009E48BD" w:rsidRPr="0070550B">
              <w:rPr>
                <w:rFonts w:cs="Calibri"/>
                <w:color w:val="000000" w:themeColor="text1"/>
                <w:sz w:val="9"/>
                <w:szCs w:val="9"/>
              </w:rPr>
              <w:t>8</w:t>
            </w:r>
            <w:r w:rsidRPr="0070550B">
              <w:rPr>
                <w:rFonts w:cs="Calibri"/>
                <w:color w:val="000000" w:themeColor="text1"/>
                <w:sz w:val="9"/>
                <w:szCs w:val="9"/>
              </w:rPr>
              <w:t>)</w:t>
            </w:r>
          </w:p>
        </w:tc>
      </w:tr>
      <w:tr w:rsidR="00B470C1" w:rsidRPr="00ED04A4" w14:paraId="1683A83F"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3C236C33"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Koszyk 2</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35FABA71" w14:textId="567A8293"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(220 963)</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6ECF59B0" w14:textId="6C65DED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333 478</w:t>
            </w:r>
          </w:p>
        </w:tc>
        <w:tc>
          <w:tcPr>
            <w:tcW w:w="840" w:type="dxa"/>
            <w:tcBorders>
              <w:top w:val="nil"/>
              <w:left w:val="nil"/>
              <w:bottom w:val="single" w:sz="4" w:space="0" w:color="0077BD"/>
              <w:right w:val="single" w:sz="8" w:space="0" w:color="0077BD"/>
            </w:tcBorders>
            <w:shd w:val="clear" w:color="auto" w:fill="auto"/>
            <w:vAlign w:val="center"/>
          </w:tcPr>
          <w:p w14:paraId="23B0B092" w14:textId="1B23A9AA"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(130 698)</w:t>
            </w:r>
          </w:p>
        </w:tc>
        <w:tc>
          <w:tcPr>
            <w:tcW w:w="840" w:type="dxa"/>
            <w:tcBorders>
              <w:top w:val="nil"/>
              <w:left w:val="nil"/>
              <w:bottom w:val="single" w:sz="4" w:space="0" w:color="0077BD"/>
              <w:right w:val="single" w:sz="8" w:space="0" w:color="0077BD"/>
            </w:tcBorders>
            <w:shd w:val="clear" w:color="auto" w:fill="auto"/>
            <w:vAlign w:val="center"/>
          </w:tcPr>
          <w:p w14:paraId="4C729FCA" w14:textId="4230AF75"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128 900</w:t>
            </w:r>
          </w:p>
        </w:tc>
        <w:tc>
          <w:tcPr>
            <w:tcW w:w="839" w:type="dxa"/>
            <w:tcBorders>
              <w:top w:val="nil"/>
              <w:left w:val="nil"/>
              <w:bottom w:val="single" w:sz="4" w:space="0" w:color="0077BD"/>
              <w:right w:val="single" w:sz="8" w:space="0" w:color="0077BD"/>
            </w:tcBorders>
            <w:shd w:val="clear" w:color="auto" w:fill="auto"/>
            <w:vAlign w:val="center"/>
          </w:tcPr>
          <w:p w14:paraId="6468DE8C" w14:textId="60C7E708"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(21 970)</w:t>
            </w:r>
          </w:p>
        </w:tc>
        <w:tc>
          <w:tcPr>
            <w:tcW w:w="839" w:type="dxa"/>
            <w:tcBorders>
              <w:top w:val="nil"/>
              <w:left w:val="nil"/>
              <w:bottom w:val="single" w:sz="4" w:space="0" w:color="0077BD"/>
              <w:right w:val="single" w:sz="8" w:space="0" w:color="0077BD"/>
            </w:tcBorders>
            <w:shd w:val="clear" w:color="auto" w:fill="auto"/>
            <w:vAlign w:val="center"/>
          </w:tcPr>
          <w:p w14:paraId="262E9CB8" w14:textId="6FF6FB57"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21 901</w:t>
            </w:r>
          </w:p>
        </w:tc>
        <w:tc>
          <w:tcPr>
            <w:tcW w:w="947" w:type="dxa"/>
            <w:tcBorders>
              <w:top w:val="nil"/>
              <w:left w:val="nil"/>
              <w:bottom w:val="single" w:sz="4" w:space="0" w:color="0077BD"/>
              <w:right w:val="single" w:sz="8" w:space="0" w:color="0077BD"/>
            </w:tcBorders>
            <w:shd w:val="clear" w:color="auto" w:fill="auto"/>
            <w:vAlign w:val="center"/>
          </w:tcPr>
          <w:p w14:paraId="653EFBFC" w14:textId="711525D9"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(368 616)</w:t>
            </w:r>
          </w:p>
        </w:tc>
        <w:tc>
          <w:tcPr>
            <w:tcW w:w="731" w:type="dxa"/>
            <w:tcBorders>
              <w:top w:val="nil"/>
              <w:left w:val="nil"/>
              <w:bottom w:val="single" w:sz="4" w:space="0" w:color="0077BD"/>
              <w:right w:val="single" w:sz="8" w:space="0" w:color="0077BD"/>
            </w:tcBorders>
            <w:shd w:val="clear" w:color="auto" w:fill="auto"/>
            <w:vAlign w:val="center"/>
          </w:tcPr>
          <w:p w14:paraId="3C55D4C7" w14:textId="5359EFB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tcPr>
          <w:p w14:paraId="43D0B527" w14:textId="3C4F13E1"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(67)</w:t>
            </w:r>
          </w:p>
        </w:tc>
        <w:tc>
          <w:tcPr>
            <w:tcW w:w="839" w:type="dxa"/>
            <w:tcBorders>
              <w:top w:val="nil"/>
              <w:left w:val="single" w:sz="8" w:space="0" w:color="0077BD"/>
              <w:bottom w:val="single" w:sz="4" w:space="0" w:color="0077BD"/>
              <w:right w:val="nil"/>
            </w:tcBorders>
            <w:shd w:val="clear" w:color="auto" w:fill="auto"/>
            <w:vAlign w:val="center"/>
          </w:tcPr>
          <w:p w14:paraId="38C2715C" w14:textId="1B12C67B"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(258 035)</w:t>
            </w:r>
          </w:p>
        </w:tc>
      </w:tr>
      <w:tr w:rsidR="00B470C1" w:rsidRPr="00ED04A4" w14:paraId="2E06137F"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53DA39D9"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Koszyk 3</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75EA262D" w14:textId="34F0128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(2 599 882)</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32C77F37" w14:textId="40BA7FFF"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48 854</w:t>
            </w:r>
          </w:p>
        </w:tc>
        <w:tc>
          <w:tcPr>
            <w:tcW w:w="840" w:type="dxa"/>
            <w:tcBorders>
              <w:top w:val="nil"/>
              <w:left w:val="nil"/>
              <w:bottom w:val="single" w:sz="4" w:space="0" w:color="0077BD"/>
              <w:right w:val="single" w:sz="8" w:space="0" w:color="0077BD"/>
            </w:tcBorders>
            <w:shd w:val="clear" w:color="auto" w:fill="auto"/>
            <w:vAlign w:val="center"/>
          </w:tcPr>
          <w:p w14:paraId="2A6825FE" w14:textId="4DCD2AA2"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28 088</w:t>
            </w:r>
          </w:p>
        </w:tc>
        <w:tc>
          <w:tcPr>
            <w:tcW w:w="840" w:type="dxa"/>
            <w:tcBorders>
              <w:top w:val="nil"/>
              <w:left w:val="nil"/>
              <w:bottom w:val="single" w:sz="4" w:space="0" w:color="0077BD"/>
              <w:right w:val="single" w:sz="8" w:space="0" w:color="0077BD"/>
            </w:tcBorders>
            <w:shd w:val="clear" w:color="auto" w:fill="auto"/>
            <w:vAlign w:val="center"/>
          </w:tcPr>
          <w:p w14:paraId="78863FE9" w14:textId="52E97040"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(133 297)</w:t>
            </w:r>
          </w:p>
        </w:tc>
        <w:tc>
          <w:tcPr>
            <w:tcW w:w="839" w:type="dxa"/>
            <w:tcBorders>
              <w:top w:val="nil"/>
              <w:left w:val="nil"/>
              <w:bottom w:val="single" w:sz="4" w:space="0" w:color="0077BD"/>
              <w:right w:val="single" w:sz="8" w:space="0" w:color="0077BD"/>
            </w:tcBorders>
            <w:shd w:val="clear" w:color="auto" w:fill="auto"/>
            <w:vAlign w:val="center"/>
          </w:tcPr>
          <w:p w14:paraId="514EC827" w14:textId="60843A90"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(124 522)</w:t>
            </w:r>
          </w:p>
        </w:tc>
        <w:tc>
          <w:tcPr>
            <w:tcW w:w="839" w:type="dxa"/>
            <w:tcBorders>
              <w:top w:val="nil"/>
              <w:left w:val="nil"/>
              <w:bottom w:val="single" w:sz="4" w:space="0" w:color="0077BD"/>
              <w:right w:val="single" w:sz="8" w:space="0" w:color="0077BD"/>
            </w:tcBorders>
            <w:shd w:val="clear" w:color="auto" w:fill="auto"/>
            <w:vAlign w:val="center"/>
          </w:tcPr>
          <w:p w14:paraId="56615968" w14:textId="4BC7950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76 222</w:t>
            </w:r>
          </w:p>
        </w:tc>
        <w:tc>
          <w:tcPr>
            <w:tcW w:w="947" w:type="dxa"/>
            <w:tcBorders>
              <w:top w:val="nil"/>
              <w:left w:val="nil"/>
              <w:bottom w:val="single" w:sz="4" w:space="0" w:color="0077BD"/>
              <w:right w:val="single" w:sz="8" w:space="0" w:color="0077BD"/>
            </w:tcBorders>
            <w:shd w:val="clear" w:color="auto" w:fill="auto"/>
            <w:vAlign w:val="center"/>
          </w:tcPr>
          <w:p w14:paraId="6FAFD16E" w14:textId="42AE25C2"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(488 828)</w:t>
            </w:r>
          </w:p>
        </w:tc>
        <w:tc>
          <w:tcPr>
            <w:tcW w:w="731" w:type="dxa"/>
            <w:tcBorders>
              <w:top w:val="nil"/>
              <w:left w:val="nil"/>
              <w:bottom w:val="single" w:sz="4" w:space="0" w:color="0077BD"/>
              <w:right w:val="single" w:sz="8" w:space="0" w:color="0077BD"/>
            </w:tcBorders>
            <w:shd w:val="clear" w:color="auto" w:fill="auto"/>
            <w:vAlign w:val="center"/>
          </w:tcPr>
          <w:p w14:paraId="47026352" w14:textId="2DEB5DFE"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589 552</w:t>
            </w:r>
          </w:p>
        </w:tc>
        <w:tc>
          <w:tcPr>
            <w:tcW w:w="839" w:type="dxa"/>
            <w:tcBorders>
              <w:top w:val="nil"/>
              <w:left w:val="nil"/>
              <w:bottom w:val="single" w:sz="4" w:space="0" w:color="0077BD"/>
              <w:right w:val="single" w:sz="8" w:space="0" w:color="0077BD"/>
            </w:tcBorders>
            <w:shd w:val="clear" w:color="auto" w:fill="auto"/>
            <w:vAlign w:val="center"/>
          </w:tcPr>
          <w:p w14:paraId="41A90C18" w14:textId="5CDD25FB" w:rsidR="00B470C1" w:rsidRPr="0070550B" w:rsidRDefault="00B470C1" w:rsidP="00D96037">
            <w:pPr>
              <w:jc w:val="right"/>
              <w:rPr>
                <w:rFonts w:cs="Calibri"/>
                <w:color w:val="000000" w:themeColor="text1"/>
                <w:sz w:val="9"/>
                <w:szCs w:val="9"/>
              </w:rPr>
            </w:pPr>
            <w:r w:rsidRPr="0070550B">
              <w:rPr>
                <w:rFonts w:cs="Calibri"/>
                <w:color w:val="000000" w:themeColor="text1"/>
                <w:sz w:val="9"/>
                <w:szCs w:val="9"/>
              </w:rPr>
              <w:t>42</w:t>
            </w:r>
            <w:r w:rsidR="00D96037" w:rsidRPr="0070550B">
              <w:rPr>
                <w:rFonts w:cs="Calibri"/>
                <w:color w:val="000000" w:themeColor="text1"/>
                <w:sz w:val="9"/>
                <w:szCs w:val="9"/>
              </w:rPr>
              <w:t>2</w:t>
            </w:r>
          </w:p>
        </w:tc>
        <w:tc>
          <w:tcPr>
            <w:tcW w:w="839" w:type="dxa"/>
            <w:tcBorders>
              <w:top w:val="nil"/>
              <w:left w:val="single" w:sz="8" w:space="0" w:color="0077BD"/>
              <w:bottom w:val="single" w:sz="4" w:space="0" w:color="0077BD"/>
              <w:right w:val="nil"/>
            </w:tcBorders>
            <w:shd w:val="clear" w:color="auto" w:fill="auto"/>
            <w:vAlign w:val="center"/>
          </w:tcPr>
          <w:p w14:paraId="0D41BD41" w14:textId="1B6F9A8A" w:rsidR="00B470C1" w:rsidRPr="0070550B" w:rsidRDefault="00B470C1" w:rsidP="00797B9E">
            <w:pPr>
              <w:jc w:val="right"/>
              <w:rPr>
                <w:rFonts w:cs="Calibri"/>
                <w:color w:val="000000" w:themeColor="text1"/>
                <w:sz w:val="9"/>
                <w:szCs w:val="9"/>
              </w:rPr>
            </w:pPr>
            <w:r w:rsidRPr="0070550B">
              <w:rPr>
                <w:rFonts w:cs="Calibri"/>
                <w:color w:val="000000" w:themeColor="text1"/>
                <w:sz w:val="9"/>
                <w:szCs w:val="9"/>
              </w:rPr>
              <w:t>(2 603 39</w:t>
            </w:r>
            <w:r w:rsidR="00797B9E" w:rsidRPr="0070550B">
              <w:rPr>
                <w:rFonts w:cs="Calibri"/>
                <w:color w:val="000000" w:themeColor="text1"/>
                <w:sz w:val="9"/>
                <w:szCs w:val="9"/>
              </w:rPr>
              <w:t>1</w:t>
            </w:r>
            <w:r w:rsidRPr="0070550B">
              <w:rPr>
                <w:rFonts w:cs="Calibri"/>
                <w:color w:val="000000" w:themeColor="text1"/>
                <w:sz w:val="9"/>
                <w:szCs w:val="9"/>
              </w:rPr>
              <w:t>)</w:t>
            </w:r>
          </w:p>
        </w:tc>
      </w:tr>
      <w:tr w:rsidR="00B470C1" w:rsidRPr="00ED04A4" w14:paraId="5CEA255C"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3A26C169" w14:textId="77777777" w:rsidR="00B470C1" w:rsidRPr="0070550B" w:rsidRDefault="00B470C1" w:rsidP="00B470C1">
            <w:pPr>
              <w:rPr>
                <w:rFonts w:cs="Calibri"/>
                <w:color w:val="000000" w:themeColor="text1"/>
                <w:sz w:val="9"/>
                <w:szCs w:val="9"/>
              </w:rPr>
            </w:pPr>
            <w:r w:rsidRPr="0070550B">
              <w:rPr>
                <w:rFonts w:cs="Calibri"/>
                <w:color w:val="000000" w:themeColor="text1"/>
                <w:sz w:val="9"/>
                <w:szCs w:val="9"/>
              </w:rPr>
              <w:t>POCI</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7BD69D8D" w14:textId="79047A32"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(6 827)</w:t>
            </w:r>
          </w:p>
        </w:tc>
        <w:tc>
          <w:tcPr>
            <w:tcW w:w="840" w:type="dxa"/>
            <w:tcBorders>
              <w:top w:val="nil"/>
              <w:left w:val="single" w:sz="8" w:space="0" w:color="0077BD"/>
              <w:bottom w:val="single" w:sz="4" w:space="0" w:color="0077BD"/>
              <w:right w:val="single" w:sz="8" w:space="0" w:color="0077BD"/>
            </w:tcBorders>
            <w:shd w:val="clear" w:color="auto" w:fill="auto"/>
            <w:vAlign w:val="center"/>
          </w:tcPr>
          <w:p w14:paraId="73672434" w14:textId="3C6E577D"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tcPr>
          <w:p w14:paraId="56E4D401" w14:textId="701F2801"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tcPr>
          <w:p w14:paraId="23A6009C" w14:textId="764EA725"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tcPr>
          <w:p w14:paraId="327216C5" w14:textId="426F2F27"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(250)</w:t>
            </w:r>
          </w:p>
        </w:tc>
        <w:tc>
          <w:tcPr>
            <w:tcW w:w="839" w:type="dxa"/>
            <w:tcBorders>
              <w:top w:val="nil"/>
              <w:left w:val="nil"/>
              <w:bottom w:val="single" w:sz="4" w:space="0" w:color="0077BD"/>
              <w:right w:val="single" w:sz="8" w:space="0" w:color="0077BD"/>
            </w:tcBorders>
            <w:shd w:val="clear" w:color="auto" w:fill="auto"/>
            <w:vAlign w:val="center"/>
          </w:tcPr>
          <w:p w14:paraId="5DE062F3" w14:textId="3E70B69F"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(4 365)</w:t>
            </w:r>
          </w:p>
        </w:tc>
        <w:tc>
          <w:tcPr>
            <w:tcW w:w="947" w:type="dxa"/>
            <w:tcBorders>
              <w:top w:val="nil"/>
              <w:left w:val="nil"/>
              <w:bottom w:val="single" w:sz="4" w:space="0" w:color="0077BD"/>
              <w:right w:val="single" w:sz="8" w:space="0" w:color="0077BD"/>
            </w:tcBorders>
            <w:shd w:val="clear" w:color="auto" w:fill="auto"/>
            <w:vAlign w:val="center"/>
          </w:tcPr>
          <w:p w14:paraId="0440E6E3" w14:textId="051AC83C"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(11 993)</w:t>
            </w:r>
          </w:p>
        </w:tc>
        <w:tc>
          <w:tcPr>
            <w:tcW w:w="731" w:type="dxa"/>
            <w:tcBorders>
              <w:top w:val="nil"/>
              <w:left w:val="nil"/>
              <w:bottom w:val="single" w:sz="4" w:space="0" w:color="0077BD"/>
              <w:right w:val="single" w:sz="8" w:space="0" w:color="0077BD"/>
            </w:tcBorders>
            <w:shd w:val="clear" w:color="auto" w:fill="auto"/>
            <w:vAlign w:val="center"/>
          </w:tcPr>
          <w:p w14:paraId="48E64770" w14:textId="6F804A6F"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7 701</w:t>
            </w:r>
          </w:p>
        </w:tc>
        <w:tc>
          <w:tcPr>
            <w:tcW w:w="839" w:type="dxa"/>
            <w:tcBorders>
              <w:top w:val="nil"/>
              <w:left w:val="nil"/>
              <w:bottom w:val="single" w:sz="4" w:space="0" w:color="0077BD"/>
              <w:right w:val="single" w:sz="8" w:space="0" w:color="0077BD"/>
            </w:tcBorders>
            <w:shd w:val="clear" w:color="auto" w:fill="auto"/>
            <w:vAlign w:val="center"/>
          </w:tcPr>
          <w:p w14:paraId="454F7DA3" w14:textId="27B47DB6"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single" w:sz="8" w:space="0" w:color="0077BD"/>
              <w:bottom w:val="single" w:sz="4" w:space="0" w:color="0077BD"/>
              <w:right w:val="nil"/>
            </w:tcBorders>
            <w:shd w:val="clear" w:color="auto" w:fill="auto"/>
            <w:vAlign w:val="center"/>
          </w:tcPr>
          <w:p w14:paraId="1593A9EA" w14:textId="6FFD1CAA" w:rsidR="00B470C1" w:rsidRPr="0070550B" w:rsidRDefault="00B470C1" w:rsidP="00B470C1">
            <w:pPr>
              <w:jc w:val="right"/>
              <w:rPr>
                <w:rFonts w:cs="Calibri"/>
                <w:color w:val="000000" w:themeColor="text1"/>
                <w:sz w:val="9"/>
                <w:szCs w:val="9"/>
              </w:rPr>
            </w:pPr>
            <w:r w:rsidRPr="0070550B">
              <w:rPr>
                <w:rFonts w:cs="Calibri"/>
                <w:color w:val="000000" w:themeColor="text1"/>
                <w:sz w:val="9"/>
                <w:szCs w:val="9"/>
              </w:rPr>
              <w:t>(15 734)</w:t>
            </w:r>
          </w:p>
        </w:tc>
      </w:tr>
      <w:tr w:rsidR="00B470C1" w:rsidRPr="00ED04A4" w14:paraId="222580AA"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1DA832D6" w14:textId="1CA7D3F8" w:rsidR="00B470C1" w:rsidRPr="0070550B" w:rsidRDefault="004D2570" w:rsidP="00B470C1">
            <w:pPr>
              <w:rPr>
                <w:rFonts w:cs="Calibri"/>
                <w:b/>
                <w:bCs/>
                <w:color w:val="000000" w:themeColor="text1"/>
                <w:sz w:val="9"/>
                <w:szCs w:val="9"/>
              </w:rPr>
            </w:pPr>
            <w:r w:rsidRPr="0070550B">
              <w:rPr>
                <w:rFonts w:cs="Calibri"/>
                <w:b/>
                <w:bCs/>
                <w:color w:val="000000" w:themeColor="text1"/>
                <w:sz w:val="9"/>
                <w:szCs w:val="9"/>
              </w:rPr>
              <w:t>Skumulowana utrata wartości</w:t>
            </w:r>
            <w:r w:rsidR="00B470C1" w:rsidRPr="0070550B">
              <w:rPr>
                <w:rFonts w:cs="Calibri"/>
                <w:b/>
                <w:bCs/>
                <w:color w:val="000000" w:themeColor="text1"/>
                <w:sz w:val="9"/>
                <w:szCs w:val="9"/>
              </w:rPr>
              <w:t>, razem</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8B2EB3F" w14:textId="3BD0BB3D"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(3 044 152)</w:t>
            </w:r>
          </w:p>
        </w:tc>
        <w:tc>
          <w:tcPr>
            <w:tcW w:w="840"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2F7AFDE" w14:textId="52476C7C"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5322CBA3" w14:textId="1919A1D3"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tcPr>
          <w:p w14:paraId="78EB0CF2" w14:textId="0761C7CA"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6C5C8CDC" w14:textId="40F3D2F7" w:rsidR="00B470C1" w:rsidRPr="0070550B" w:rsidRDefault="00B470C1" w:rsidP="00D96037">
            <w:pPr>
              <w:jc w:val="right"/>
              <w:rPr>
                <w:rFonts w:cs="Calibri"/>
                <w:b/>
                <w:bCs/>
                <w:color w:val="000000" w:themeColor="text1"/>
                <w:sz w:val="9"/>
                <w:szCs w:val="9"/>
              </w:rPr>
            </w:pPr>
            <w:r w:rsidRPr="0070550B">
              <w:rPr>
                <w:rFonts w:cs="Calibri"/>
                <w:b/>
                <w:bCs/>
                <w:color w:val="000000" w:themeColor="text1"/>
                <w:sz w:val="9"/>
                <w:szCs w:val="9"/>
              </w:rPr>
              <w:t>(267 31</w:t>
            </w:r>
            <w:r w:rsidR="00D96037" w:rsidRPr="0070550B">
              <w:rPr>
                <w:rFonts w:cs="Calibri"/>
                <w:b/>
                <w:bCs/>
                <w:color w:val="000000" w:themeColor="text1"/>
                <w:sz w:val="9"/>
                <w:szCs w:val="9"/>
              </w:rPr>
              <w:t>8</w:t>
            </w: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3594B1F5" w14:textId="4F360180"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145 885</w:t>
            </w:r>
          </w:p>
        </w:tc>
        <w:tc>
          <w:tcPr>
            <w:tcW w:w="947" w:type="dxa"/>
            <w:tcBorders>
              <w:top w:val="single" w:sz="8" w:space="0" w:color="0077BD"/>
              <w:left w:val="nil"/>
              <w:bottom w:val="single" w:sz="8" w:space="0" w:color="0077BD"/>
              <w:right w:val="single" w:sz="8" w:space="0" w:color="0077BD"/>
            </w:tcBorders>
            <w:shd w:val="clear" w:color="auto" w:fill="auto"/>
            <w:vAlign w:val="center"/>
          </w:tcPr>
          <w:p w14:paraId="247BDC59" w14:textId="65E45B5F"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(623 512)</w:t>
            </w:r>
          </w:p>
        </w:tc>
        <w:tc>
          <w:tcPr>
            <w:tcW w:w="731" w:type="dxa"/>
            <w:tcBorders>
              <w:top w:val="single" w:sz="8" w:space="0" w:color="0077BD"/>
              <w:left w:val="nil"/>
              <w:bottom w:val="single" w:sz="8" w:space="0" w:color="0077BD"/>
              <w:right w:val="single" w:sz="8" w:space="0" w:color="0077BD"/>
            </w:tcBorders>
            <w:shd w:val="clear" w:color="auto" w:fill="auto"/>
            <w:vAlign w:val="center"/>
          </w:tcPr>
          <w:p w14:paraId="3EC0FBBA" w14:textId="04923D7B"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597 253</w:t>
            </w:r>
          </w:p>
        </w:tc>
        <w:tc>
          <w:tcPr>
            <w:tcW w:w="839" w:type="dxa"/>
            <w:tcBorders>
              <w:top w:val="single" w:sz="8" w:space="0" w:color="0077BD"/>
              <w:left w:val="nil"/>
              <w:bottom w:val="single" w:sz="8" w:space="0" w:color="0077BD"/>
              <w:right w:val="single" w:sz="8" w:space="0" w:color="0077BD"/>
            </w:tcBorders>
            <w:shd w:val="clear" w:color="auto" w:fill="auto"/>
            <w:vAlign w:val="center"/>
          </w:tcPr>
          <w:p w14:paraId="0C85EDA8" w14:textId="41A63E94" w:rsidR="00B470C1" w:rsidRPr="0070550B" w:rsidRDefault="00B470C1" w:rsidP="00D96037">
            <w:pPr>
              <w:jc w:val="right"/>
              <w:rPr>
                <w:rFonts w:cs="Calibri"/>
                <w:b/>
                <w:bCs/>
                <w:color w:val="000000" w:themeColor="text1"/>
                <w:sz w:val="9"/>
                <w:szCs w:val="9"/>
              </w:rPr>
            </w:pPr>
            <w:r w:rsidRPr="0070550B">
              <w:rPr>
                <w:rFonts w:cs="Calibri"/>
                <w:b/>
                <w:bCs/>
                <w:color w:val="000000" w:themeColor="text1"/>
                <w:sz w:val="9"/>
                <w:szCs w:val="9"/>
              </w:rPr>
              <w:t>35</w:t>
            </w:r>
            <w:r w:rsidR="00D96037" w:rsidRPr="0070550B">
              <w:rPr>
                <w:rFonts w:cs="Calibri"/>
                <w:b/>
                <w:bCs/>
                <w:color w:val="000000" w:themeColor="text1"/>
                <w:sz w:val="9"/>
                <w:szCs w:val="9"/>
              </w:rPr>
              <w:t>5</w:t>
            </w:r>
          </w:p>
        </w:tc>
        <w:tc>
          <w:tcPr>
            <w:tcW w:w="839" w:type="dxa"/>
            <w:tcBorders>
              <w:top w:val="single" w:sz="8" w:space="0" w:color="0077BD"/>
              <w:left w:val="single" w:sz="8" w:space="0" w:color="0077BD"/>
              <w:bottom w:val="single" w:sz="8" w:space="0" w:color="0077BD"/>
              <w:right w:val="nil"/>
            </w:tcBorders>
            <w:shd w:val="clear" w:color="auto" w:fill="auto"/>
            <w:vAlign w:val="center"/>
          </w:tcPr>
          <w:p w14:paraId="08FB0CC4" w14:textId="5C4186A4" w:rsidR="00B470C1" w:rsidRPr="0070550B" w:rsidRDefault="00B470C1" w:rsidP="00B470C1">
            <w:pPr>
              <w:jc w:val="right"/>
              <w:rPr>
                <w:rFonts w:cs="Calibri"/>
                <w:b/>
                <w:bCs/>
                <w:color w:val="000000" w:themeColor="text1"/>
                <w:sz w:val="9"/>
                <w:szCs w:val="9"/>
              </w:rPr>
            </w:pPr>
            <w:r w:rsidRPr="0070550B">
              <w:rPr>
                <w:rFonts w:cs="Calibri"/>
                <w:b/>
                <w:bCs/>
                <w:color w:val="000000" w:themeColor="text1"/>
                <w:sz w:val="9"/>
                <w:szCs w:val="9"/>
              </w:rPr>
              <w:t>(3 191 489)</w:t>
            </w:r>
          </w:p>
        </w:tc>
      </w:tr>
    </w:tbl>
    <w:p w14:paraId="2AFB2612" w14:textId="77777777" w:rsidR="00EC4262" w:rsidRPr="00EC4262" w:rsidRDefault="00EC4262" w:rsidP="00EC4262">
      <w:pPr>
        <w:spacing w:before="120" w:after="120"/>
        <w:jc w:val="both"/>
        <w:rPr>
          <w:noProof/>
          <w:color w:val="000000" w:themeColor="text1"/>
          <w:sz w:val="18"/>
          <w:szCs w:val="18"/>
        </w:rPr>
      </w:pPr>
      <w:r>
        <w:rPr>
          <w:noProof/>
          <w:color w:val="000000" w:themeColor="text1"/>
          <w:sz w:val="18"/>
          <w:szCs w:val="18"/>
        </w:rPr>
        <w:t xml:space="preserve">Zmiany oczekiwanych strat kredytowych wynikające ze zmian w modelach zostały opisane w Nocie </w:t>
      </w:r>
      <w:r w:rsidRPr="00205F5A">
        <w:rPr>
          <w:noProof/>
          <w:color w:val="000000" w:themeColor="text1"/>
          <w:sz w:val="18"/>
          <w:szCs w:val="18"/>
        </w:rPr>
        <w:t>3.3.6.2.2.</w:t>
      </w:r>
    </w:p>
    <w:tbl>
      <w:tblPr>
        <w:tblW w:w="9639" w:type="dxa"/>
        <w:tblLayout w:type="fixed"/>
        <w:tblCellMar>
          <w:left w:w="0" w:type="dxa"/>
          <w:right w:w="0" w:type="dxa"/>
        </w:tblCellMar>
        <w:tblLook w:val="04A0" w:firstRow="1" w:lastRow="0" w:firstColumn="1" w:lastColumn="0" w:noHBand="0" w:noVBand="1"/>
      </w:tblPr>
      <w:tblGrid>
        <w:gridCol w:w="1245"/>
        <w:gridCol w:w="840"/>
        <w:gridCol w:w="840"/>
        <w:gridCol w:w="840"/>
        <w:gridCol w:w="840"/>
        <w:gridCol w:w="839"/>
        <w:gridCol w:w="839"/>
        <w:gridCol w:w="947"/>
        <w:gridCol w:w="731"/>
        <w:gridCol w:w="839"/>
        <w:gridCol w:w="839"/>
      </w:tblGrid>
      <w:tr w:rsidR="00F5754E" w:rsidRPr="00ED04A4" w14:paraId="4AE1BB68" w14:textId="77777777" w:rsidTr="00535728">
        <w:trPr>
          <w:trHeight w:val="567"/>
        </w:trPr>
        <w:tc>
          <w:tcPr>
            <w:tcW w:w="1245" w:type="dxa"/>
            <w:tcBorders>
              <w:top w:val="single" w:sz="8" w:space="0" w:color="FFFFFF"/>
              <w:left w:val="nil"/>
              <w:bottom w:val="nil"/>
              <w:right w:val="single" w:sz="6" w:space="0" w:color="FFFFFF"/>
            </w:tcBorders>
            <w:shd w:val="clear" w:color="000000" w:fill="0077BD"/>
            <w:vAlign w:val="center"/>
            <w:hideMark/>
          </w:tcPr>
          <w:p w14:paraId="714DE1D0" w14:textId="0DDA1B8B" w:rsidR="00F5754E" w:rsidRPr="00ED04A4" w:rsidRDefault="00BE6363" w:rsidP="00ED04A4">
            <w:pPr>
              <w:rPr>
                <w:rFonts w:cs="Calibri"/>
                <w:b/>
                <w:bCs/>
                <w:color w:val="FFFFFF"/>
                <w:sz w:val="9"/>
                <w:szCs w:val="9"/>
              </w:rPr>
            </w:pPr>
            <w:r w:rsidRPr="00ED04A4">
              <w:rPr>
                <w:rFonts w:cs="Calibri"/>
                <w:b/>
                <w:bCs/>
                <w:color w:val="FFFFFF"/>
                <w:sz w:val="9"/>
                <w:szCs w:val="9"/>
              </w:rPr>
              <w:t>Zmiana w okresie od 1 stycznia do</w:t>
            </w:r>
            <w:r w:rsidRPr="00ED04A4">
              <w:rPr>
                <w:rFonts w:cs="Calibri"/>
                <w:b/>
                <w:bCs/>
                <w:color w:val="FFFFFF"/>
                <w:sz w:val="9"/>
                <w:szCs w:val="9"/>
              </w:rPr>
              <w:br/>
              <w:t>31 grudnia 2018 r.</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53DCE2FF"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Bilans otwarcia</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5BFD22FB"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Transfer do Koszyka 1</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1933E8ED"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Transfer do Koszyka 2</w:t>
            </w:r>
          </w:p>
        </w:tc>
        <w:tc>
          <w:tcPr>
            <w:tcW w:w="840" w:type="dxa"/>
            <w:tcBorders>
              <w:top w:val="single" w:sz="8" w:space="0" w:color="FFFFFF"/>
              <w:left w:val="single" w:sz="6" w:space="0" w:color="FFFFFF"/>
              <w:bottom w:val="nil"/>
              <w:right w:val="single" w:sz="6" w:space="0" w:color="FFFFFF"/>
            </w:tcBorders>
            <w:shd w:val="clear" w:color="000000" w:fill="0077BD"/>
            <w:vAlign w:val="center"/>
            <w:hideMark/>
          </w:tcPr>
          <w:p w14:paraId="777B9B98"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Transfer do Koszyka 3</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5C0D0BB4"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Zwiększenia spowodowane udzieleniem oraz przejęciem</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7B86F166"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Zmniejszenia spowodowane usunięciem z bilansu</w:t>
            </w:r>
          </w:p>
        </w:tc>
        <w:tc>
          <w:tcPr>
            <w:tcW w:w="947" w:type="dxa"/>
            <w:tcBorders>
              <w:top w:val="single" w:sz="8" w:space="0" w:color="FFFFFF"/>
              <w:left w:val="single" w:sz="6" w:space="0" w:color="FFFFFF"/>
              <w:bottom w:val="nil"/>
              <w:right w:val="single" w:sz="6" w:space="0" w:color="FFFFFF"/>
            </w:tcBorders>
            <w:shd w:val="clear" w:color="000000" w:fill="0077BD"/>
            <w:vAlign w:val="center"/>
            <w:hideMark/>
          </w:tcPr>
          <w:p w14:paraId="02E7BD4F"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Zmiany spowodowane zmianą ryzyka kredytowego (netto)</w:t>
            </w:r>
          </w:p>
        </w:tc>
        <w:tc>
          <w:tcPr>
            <w:tcW w:w="731" w:type="dxa"/>
            <w:tcBorders>
              <w:top w:val="single" w:sz="8" w:space="0" w:color="FFFFFF"/>
              <w:left w:val="single" w:sz="6" w:space="0" w:color="FFFFFF"/>
              <w:bottom w:val="nil"/>
              <w:right w:val="single" w:sz="6" w:space="0" w:color="FFFFFF"/>
            </w:tcBorders>
            <w:shd w:val="clear" w:color="000000" w:fill="0077BD"/>
            <w:vAlign w:val="center"/>
            <w:hideMark/>
          </w:tcPr>
          <w:p w14:paraId="0F563EDE"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Zmniejszenia odpisu z tytułu spisania</w:t>
            </w:r>
          </w:p>
        </w:tc>
        <w:tc>
          <w:tcPr>
            <w:tcW w:w="839" w:type="dxa"/>
            <w:tcBorders>
              <w:top w:val="single" w:sz="8" w:space="0" w:color="FFFFFF"/>
              <w:left w:val="single" w:sz="6" w:space="0" w:color="FFFFFF"/>
              <w:bottom w:val="nil"/>
              <w:right w:val="single" w:sz="6" w:space="0" w:color="FFFFFF"/>
            </w:tcBorders>
            <w:shd w:val="clear" w:color="000000" w:fill="0077BD"/>
            <w:vAlign w:val="center"/>
            <w:hideMark/>
          </w:tcPr>
          <w:p w14:paraId="7AB682D8"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Inne korekty</w:t>
            </w:r>
          </w:p>
        </w:tc>
        <w:tc>
          <w:tcPr>
            <w:tcW w:w="839" w:type="dxa"/>
            <w:tcBorders>
              <w:top w:val="single" w:sz="8" w:space="0" w:color="FFFFFF"/>
              <w:left w:val="single" w:sz="6" w:space="0" w:color="FFFFFF"/>
              <w:bottom w:val="nil"/>
              <w:right w:val="nil"/>
            </w:tcBorders>
            <w:shd w:val="clear" w:color="000000" w:fill="0077BD"/>
            <w:vAlign w:val="center"/>
            <w:hideMark/>
          </w:tcPr>
          <w:p w14:paraId="46C69227" w14:textId="77777777" w:rsidR="00F5754E" w:rsidRPr="00ED04A4" w:rsidRDefault="00F5754E" w:rsidP="00E441BD">
            <w:pPr>
              <w:jc w:val="center"/>
              <w:rPr>
                <w:rFonts w:cs="Calibri"/>
                <w:b/>
                <w:bCs/>
                <w:color w:val="FFFFFF"/>
                <w:sz w:val="9"/>
                <w:szCs w:val="9"/>
              </w:rPr>
            </w:pPr>
            <w:r w:rsidRPr="00ED04A4">
              <w:rPr>
                <w:rFonts w:cs="Calibri"/>
                <w:b/>
                <w:bCs/>
                <w:color w:val="FFFFFF"/>
                <w:sz w:val="9"/>
                <w:szCs w:val="9"/>
              </w:rPr>
              <w:t>Bilans zamknięcia</w:t>
            </w:r>
          </w:p>
        </w:tc>
      </w:tr>
      <w:tr w:rsidR="00F5754E" w:rsidRPr="00ED04A4" w14:paraId="42D3B17E"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50DF6B6F" w14:textId="77777777" w:rsidR="00F5754E" w:rsidRPr="0070550B" w:rsidRDefault="00F5754E" w:rsidP="00E441BD">
            <w:pPr>
              <w:rPr>
                <w:rFonts w:cs="Calibri"/>
                <w:b/>
                <w:bCs/>
                <w:color w:val="000000" w:themeColor="text1"/>
                <w:sz w:val="9"/>
                <w:szCs w:val="9"/>
              </w:rPr>
            </w:pPr>
            <w:r w:rsidRPr="0070550B">
              <w:rPr>
                <w:rFonts w:cs="Calibri"/>
                <w:b/>
                <w:bCs/>
                <w:color w:val="000000" w:themeColor="text1"/>
                <w:sz w:val="9"/>
                <w:szCs w:val="9"/>
              </w:rPr>
              <w:t>Dłużne papiery wartościowe</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26295552"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(35)</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1ABAF605"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117CDF62"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7E92639A"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51040334"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(23)</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21FBD043"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947" w:type="dxa"/>
            <w:tcBorders>
              <w:top w:val="single" w:sz="8" w:space="0" w:color="0077BD"/>
              <w:left w:val="nil"/>
              <w:bottom w:val="single" w:sz="8" w:space="0" w:color="0077BD"/>
              <w:right w:val="single" w:sz="8" w:space="0" w:color="0077BD"/>
            </w:tcBorders>
            <w:shd w:val="clear" w:color="auto" w:fill="auto"/>
            <w:vAlign w:val="center"/>
            <w:hideMark/>
          </w:tcPr>
          <w:p w14:paraId="5471632B"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(29)</w:t>
            </w:r>
          </w:p>
        </w:tc>
        <w:tc>
          <w:tcPr>
            <w:tcW w:w="731" w:type="dxa"/>
            <w:tcBorders>
              <w:top w:val="single" w:sz="8" w:space="0" w:color="0077BD"/>
              <w:left w:val="nil"/>
              <w:bottom w:val="single" w:sz="8" w:space="0" w:color="0077BD"/>
              <w:right w:val="single" w:sz="8" w:space="0" w:color="0077BD"/>
            </w:tcBorders>
            <w:shd w:val="clear" w:color="auto" w:fill="auto"/>
            <w:vAlign w:val="center"/>
            <w:hideMark/>
          </w:tcPr>
          <w:p w14:paraId="1CF657BE"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3190D5D0"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nil"/>
            </w:tcBorders>
            <w:shd w:val="clear" w:color="auto" w:fill="auto"/>
            <w:vAlign w:val="center"/>
            <w:hideMark/>
          </w:tcPr>
          <w:p w14:paraId="1C675279"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(87)</w:t>
            </w:r>
          </w:p>
        </w:tc>
      </w:tr>
      <w:tr w:rsidR="00F5754E" w:rsidRPr="00ED04A4" w14:paraId="195EA7C6"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4E4CF7D4"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79CC5DAC"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(35)</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303291A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1F09E15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5915EF17"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3982193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(23)</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4F0D9D2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947" w:type="dxa"/>
            <w:tcBorders>
              <w:top w:val="single" w:sz="4" w:space="0" w:color="0077BD"/>
              <w:left w:val="nil"/>
              <w:bottom w:val="single" w:sz="4" w:space="0" w:color="0077BD"/>
              <w:right w:val="single" w:sz="8" w:space="0" w:color="0077BD"/>
            </w:tcBorders>
            <w:shd w:val="clear" w:color="auto" w:fill="auto"/>
            <w:vAlign w:val="center"/>
            <w:hideMark/>
          </w:tcPr>
          <w:p w14:paraId="5853DDE1"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(29)</w:t>
            </w:r>
          </w:p>
        </w:tc>
        <w:tc>
          <w:tcPr>
            <w:tcW w:w="731" w:type="dxa"/>
            <w:tcBorders>
              <w:top w:val="single" w:sz="4" w:space="0" w:color="0077BD"/>
              <w:left w:val="nil"/>
              <w:bottom w:val="single" w:sz="4" w:space="0" w:color="0077BD"/>
              <w:right w:val="single" w:sz="8" w:space="0" w:color="0077BD"/>
            </w:tcBorders>
            <w:shd w:val="clear" w:color="auto" w:fill="auto"/>
            <w:vAlign w:val="center"/>
            <w:hideMark/>
          </w:tcPr>
          <w:p w14:paraId="2473D75B"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0B199701"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nil"/>
            </w:tcBorders>
            <w:shd w:val="clear" w:color="auto" w:fill="auto"/>
            <w:vAlign w:val="center"/>
            <w:hideMark/>
          </w:tcPr>
          <w:p w14:paraId="6FC2A5C7"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(87)</w:t>
            </w:r>
          </w:p>
        </w:tc>
      </w:tr>
      <w:tr w:rsidR="00F5754E" w:rsidRPr="00ED04A4" w14:paraId="55E4B7FD"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5F5720BC" w14:textId="77777777" w:rsidR="00F5754E" w:rsidRPr="0070550B" w:rsidRDefault="00F5754E" w:rsidP="00E441BD">
            <w:pPr>
              <w:rPr>
                <w:rFonts w:cs="Calibri"/>
                <w:b/>
                <w:bCs/>
                <w:color w:val="000000" w:themeColor="text1"/>
                <w:sz w:val="9"/>
                <w:szCs w:val="9"/>
              </w:rPr>
            </w:pPr>
            <w:r w:rsidRPr="0070550B">
              <w:rPr>
                <w:rFonts w:cs="Calibri"/>
                <w:b/>
                <w:bCs/>
                <w:color w:val="000000" w:themeColor="text1"/>
                <w:sz w:val="9"/>
                <w:szCs w:val="9"/>
              </w:rPr>
              <w:t>Należności od banków</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2C8FA2EA"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(1 536)</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1D69C3F3"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7D8F0C0D"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73CE5990"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4E4ED97B"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(606)</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41FA1A60"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880</w:t>
            </w:r>
          </w:p>
        </w:tc>
        <w:tc>
          <w:tcPr>
            <w:tcW w:w="947" w:type="dxa"/>
            <w:tcBorders>
              <w:top w:val="single" w:sz="8" w:space="0" w:color="0077BD"/>
              <w:left w:val="nil"/>
              <w:bottom w:val="single" w:sz="8" w:space="0" w:color="0077BD"/>
              <w:right w:val="single" w:sz="8" w:space="0" w:color="0077BD"/>
            </w:tcBorders>
            <w:shd w:val="clear" w:color="auto" w:fill="auto"/>
            <w:vAlign w:val="center"/>
            <w:hideMark/>
          </w:tcPr>
          <w:p w14:paraId="32D2B4C9"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(494)</w:t>
            </w:r>
          </w:p>
        </w:tc>
        <w:tc>
          <w:tcPr>
            <w:tcW w:w="731" w:type="dxa"/>
            <w:tcBorders>
              <w:top w:val="single" w:sz="8" w:space="0" w:color="0077BD"/>
              <w:left w:val="nil"/>
              <w:bottom w:val="single" w:sz="8" w:space="0" w:color="0077BD"/>
              <w:right w:val="single" w:sz="8" w:space="0" w:color="0077BD"/>
            </w:tcBorders>
            <w:shd w:val="clear" w:color="auto" w:fill="auto"/>
            <w:vAlign w:val="center"/>
            <w:hideMark/>
          </w:tcPr>
          <w:p w14:paraId="586E49AD"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238</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1A0D56B4"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nil"/>
            </w:tcBorders>
            <w:shd w:val="clear" w:color="auto" w:fill="auto"/>
            <w:vAlign w:val="center"/>
            <w:hideMark/>
          </w:tcPr>
          <w:p w14:paraId="0CC3FD9A"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(1 518)</w:t>
            </w:r>
          </w:p>
        </w:tc>
      </w:tr>
      <w:tr w:rsidR="00F5754E" w:rsidRPr="00ED04A4" w14:paraId="2E830870"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427343D8"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5AFE94A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(1 309)</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7398B23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43F8C32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3962FE8A"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25CBD26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(606)</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1753338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880</w:t>
            </w:r>
          </w:p>
        </w:tc>
        <w:tc>
          <w:tcPr>
            <w:tcW w:w="947" w:type="dxa"/>
            <w:tcBorders>
              <w:top w:val="single" w:sz="4" w:space="0" w:color="0077BD"/>
              <w:left w:val="nil"/>
              <w:bottom w:val="single" w:sz="4" w:space="0" w:color="0077BD"/>
              <w:right w:val="single" w:sz="8" w:space="0" w:color="0077BD"/>
            </w:tcBorders>
            <w:shd w:val="clear" w:color="auto" w:fill="auto"/>
            <w:vAlign w:val="center"/>
            <w:hideMark/>
          </w:tcPr>
          <w:p w14:paraId="6DEB81ED"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(483)</w:t>
            </w:r>
          </w:p>
        </w:tc>
        <w:tc>
          <w:tcPr>
            <w:tcW w:w="731" w:type="dxa"/>
            <w:tcBorders>
              <w:top w:val="single" w:sz="4" w:space="0" w:color="0077BD"/>
              <w:left w:val="nil"/>
              <w:bottom w:val="single" w:sz="4" w:space="0" w:color="0077BD"/>
              <w:right w:val="single" w:sz="8" w:space="0" w:color="0077BD"/>
            </w:tcBorders>
            <w:shd w:val="clear" w:color="auto" w:fill="auto"/>
            <w:vAlign w:val="center"/>
            <w:hideMark/>
          </w:tcPr>
          <w:p w14:paraId="7EE4456C"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164848D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nil"/>
            </w:tcBorders>
            <w:shd w:val="clear" w:color="auto" w:fill="auto"/>
            <w:vAlign w:val="center"/>
            <w:hideMark/>
          </w:tcPr>
          <w:p w14:paraId="6E1ECBF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(1 518)</w:t>
            </w:r>
          </w:p>
        </w:tc>
      </w:tr>
      <w:tr w:rsidR="00F5754E" w:rsidRPr="00ED04A4" w14:paraId="3F91044E"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55ABC26E"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3</w:t>
            </w:r>
          </w:p>
        </w:tc>
        <w:tc>
          <w:tcPr>
            <w:tcW w:w="840" w:type="dxa"/>
            <w:tcBorders>
              <w:top w:val="nil"/>
              <w:left w:val="nil"/>
              <w:bottom w:val="single" w:sz="4" w:space="0" w:color="0077BD"/>
              <w:right w:val="single" w:sz="8" w:space="0" w:color="0077BD"/>
            </w:tcBorders>
            <w:shd w:val="clear" w:color="auto" w:fill="auto"/>
            <w:vAlign w:val="center"/>
            <w:hideMark/>
          </w:tcPr>
          <w:p w14:paraId="394ED48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(227)</w:t>
            </w:r>
          </w:p>
        </w:tc>
        <w:tc>
          <w:tcPr>
            <w:tcW w:w="840" w:type="dxa"/>
            <w:tcBorders>
              <w:top w:val="nil"/>
              <w:left w:val="nil"/>
              <w:bottom w:val="single" w:sz="4" w:space="0" w:color="0077BD"/>
              <w:right w:val="single" w:sz="8" w:space="0" w:color="0077BD"/>
            </w:tcBorders>
            <w:shd w:val="clear" w:color="auto" w:fill="auto"/>
            <w:vAlign w:val="center"/>
            <w:hideMark/>
          </w:tcPr>
          <w:p w14:paraId="203BD50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hideMark/>
          </w:tcPr>
          <w:p w14:paraId="32671CF2"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hideMark/>
          </w:tcPr>
          <w:p w14:paraId="38CE2F61"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hideMark/>
          </w:tcPr>
          <w:p w14:paraId="58FC704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hideMark/>
          </w:tcPr>
          <w:p w14:paraId="676D58E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947" w:type="dxa"/>
            <w:tcBorders>
              <w:top w:val="nil"/>
              <w:left w:val="nil"/>
              <w:bottom w:val="single" w:sz="4" w:space="0" w:color="0077BD"/>
              <w:right w:val="single" w:sz="8" w:space="0" w:color="0077BD"/>
            </w:tcBorders>
            <w:shd w:val="clear" w:color="auto" w:fill="auto"/>
            <w:vAlign w:val="center"/>
            <w:hideMark/>
          </w:tcPr>
          <w:p w14:paraId="68F82CF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(11)</w:t>
            </w:r>
          </w:p>
        </w:tc>
        <w:tc>
          <w:tcPr>
            <w:tcW w:w="731" w:type="dxa"/>
            <w:tcBorders>
              <w:top w:val="nil"/>
              <w:left w:val="nil"/>
              <w:bottom w:val="single" w:sz="4" w:space="0" w:color="0077BD"/>
              <w:right w:val="single" w:sz="8" w:space="0" w:color="0077BD"/>
            </w:tcBorders>
            <w:shd w:val="clear" w:color="auto" w:fill="auto"/>
            <w:vAlign w:val="center"/>
            <w:hideMark/>
          </w:tcPr>
          <w:p w14:paraId="13E30A61"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238</w:t>
            </w:r>
          </w:p>
        </w:tc>
        <w:tc>
          <w:tcPr>
            <w:tcW w:w="839" w:type="dxa"/>
            <w:tcBorders>
              <w:top w:val="nil"/>
              <w:left w:val="nil"/>
              <w:bottom w:val="single" w:sz="4" w:space="0" w:color="0077BD"/>
              <w:right w:val="single" w:sz="8" w:space="0" w:color="0077BD"/>
            </w:tcBorders>
            <w:shd w:val="clear" w:color="auto" w:fill="auto"/>
            <w:vAlign w:val="center"/>
            <w:hideMark/>
          </w:tcPr>
          <w:p w14:paraId="0811F99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nil"/>
            </w:tcBorders>
            <w:shd w:val="clear" w:color="auto" w:fill="auto"/>
            <w:vAlign w:val="center"/>
            <w:hideMark/>
          </w:tcPr>
          <w:p w14:paraId="34A1D5BA"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r>
      <w:tr w:rsidR="00F5754E" w:rsidRPr="00ED04A4" w14:paraId="720AAE2F"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33653DDB" w14:textId="77777777" w:rsidR="00F5754E" w:rsidRPr="0070550B" w:rsidRDefault="00F5754E" w:rsidP="00E441BD">
            <w:pPr>
              <w:rPr>
                <w:rFonts w:cs="Calibri"/>
                <w:b/>
                <w:bCs/>
                <w:color w:val="000000" w:themeColor="text1"/>
                <w:sz w:val="9"/>
                <w:szCs w:val="9"/>
              </w:rPr>
            </w:pPr>
            <w:r w:rsidRPr="0070550B">
              <w:rPr>
                <w:rFonts w:cs="Calibri"/>
                <w:b/>
                <w:bCs/>
                <w:color w:val="000000" w:themeColor="text1"/>
                <w:sz w:val="9"/>
                <w:szCs w:val="9"/>
              </w:rPr>
              <w:t>Kredyty i pożyczki udzielone klientom</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4E02BEE5"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(3 078 070)</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5A6223D7"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0205E858"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37AF2766"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55874D12"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(188 648)</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42A4944A"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137 779</w:t>
            </w:r>
          </w:p>
        </w:tc>
        <w:tc>
          <w:tcPr>
            <w:tcW w:w="947" w:type="dxa"/>
            <w:tcBorders>
              <w:top w:val="single" w:sz="8" w:space="0" w:color="0077BD"/>
              <w:left w:val="nil"/>
              <w:bottom w:val="single" w:sz="8" w:space="0" w:color="0077BD"/>
              <w:right w:val="single" w:sz="8" w:space="0" w:color="0077BD"/>
            </w:tcBorders>
            <w:shd w:val="clear" w:color="auto" w:fill="auto"/>
            <w:vAlign w:val="center"/>
            <w:hideMark/>
          </w:tcPr>
          <w:p w14:paraId="3ED9B22D"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(560 901)</w:t>
            </w:r>
          </w:p>
        </w:tc>
        <w:tc>
          <w:tcPr>
            <w:tcW w:w="731" w:type="dxa"/>
            <w:tcBorders>
              <w:top w:val="single" w:sz="8" w:space="0" w:color="0077BD"/>
              <w:left w:val="nil"/>
              <w:bottom w:val="single" w:sz="8" w:space="0" w:color="0077BD"/>
              <w:right w:val="single" w:sz="8" w:space="0" w:color="0077BD"/>
            </w:tcBorders>
            <w:shd w:val="clear" w:color="auto" w:fill="auto"/>
            <w:vAlign w:val="center"/>
            <w:hideMark/>
          </w:tcPr>
          <w:p w14:paraId="40953347"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648 915</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36DCF6D9"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(1 622)</w:t>
            </w:r>
          </w:p>
        </w:tc>
        <w:tc>
          <w:tcPr>
            <w:tcW w:w="839" w:type="dxa"/>
            <w:tcBorders>
              <w:top w:val="single" w:sz="8" w:space="0" w:color="0077BD"/>
              <w:left w:val="nil"/>
              <w:bottom w:val="single" w:sz="8" w:space="0" w:color="0077BD"/>
              <w:right w:val="nil"/>
            </w:tcBorders>
            <w:shd w:val="clear" w:color="auto" w:fill="auto"/>
            <w:vAlign w:val="center"/>
            <w:hideMark/>
          </w:tcPr>
          <w:p w14:paraId="55F6A451"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(3 042 547)</w:t>
            </w:r>
          </w:p>
        </w:tc>
      </w:tr>
      <w:tr w:rsidR="00F5754E" w:rsidRPr="00ED04A4" w14:paraId="7B8F246E" w14:textId="77777777" w:rsidTr="00535728">
        <w:trPr>
          <w:trHeight w:val="284"/>
        </w:trPr>
        <w:tc>
          <w:tcPr>
            <w:tcW w:w="1245" w:type="dxa"/>
            <w:tcBorders>
              <w:top w:val="single" w:sz="4" w:space="0" w:color="0077BD"/>
              <w:left w:val="nil"/>
              <w:bottom w:val="single" w:sz="4" w:space="0" w:color="0077BD"/>
              <w:right w:val="single" w:sz="8" w:space="0" w:color="0077BD"/>
            </w:tcBorders>
            <w:shd w:val="clear" w:color="auto" w:fill="auto"/>
            <w:vAlign w:val="center"/>
            <w:hideMark/>
          </w:tcPr>
          <w:p w14:paraId="1EC93D75"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1</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2947791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(149 633)</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35FC2032"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(149 649)</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246BFFA6"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42 082</w:t>
            </w:r>
          </w:p>
        </w:tc>
        <w:tc>
          <w:tcPr>
            <w:tcW w:w="840" w:type="dxa"/>
            <w:tcBorders>
              <w:top w:val="single" w:sz="4" w:space="0" w:color="0077BD"/>
              <w:left w:val="nil"/>
              <w:bottom w:val="single" w:sz="4" w:space="0" w:color="0077BD"/>
              <w:right w:val="single" w:sz="8" w:space="0" w:color="0077BD"/>
            </w:tcBorders>
            <w:shd w:val="clear" w:color="auto" w:fill="auto"/>
            <w:vAlign w:val="center"/>
            <w:hideMark/>
          </w:tcPr>
          <w:p w14:paraId="5E3B42D8"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3 743</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22803382"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(96 559)</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2B44D04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36 778</w:t>
            </w:r>
          </w:p>
        </w:tc>
        <w:tc>
          <w:tcPr>
            <w:tcW w:w="947" w:type="dxa"/>
            <w:tcBorders>
              <w:top w:val="single" w:sz="4" w:space="0" w:color="0077BD"/>
              <w:left w:val="nil"/>
              <w:bottom w:val="single" w:sz="4" w:space="0" w:color="0077BD"/>
              <w:right w:val="single" w:sz="8" w:space="0" w:color="0077BD"/>
            </w:tcBorders>
            <w:shd w:val="clear" w:color="auto" w:fill="auto"/>
            <w:vAlign w:val="center"/>
            <w:hideMark/>
          </w:tcPr>
          <w:p w14:paraId="09F7FE28"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98 591</w:t>
            </w:r>
          </w:p>
        </w:tc>
        <w:tc>
          <w:tcPr>
            <w:tcW w:w="731" w:type="dxa"/>
            <w:tcBorders>
              <w:top w:val="single" w:sz="4" w:space="0" w:color="0077BD"/>
              <w:left w:val="nil"/>
              <w:bottom w:val="single" w:sz="4" w:space="0" w:color="0077BD"/>
              <w:right w:val="single" w:sz="8" w:space="0" w:color="0077BD"/>
            </w:tcBorders>
            <w:shd w:val="clear" w:color="auto" w:fill="auto"/>
            <w:vAlign w:val="center"/>
            <w:hideMark/>
          </w:tcPr>
          <w:p w14:paraId="09DDF264"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single" w:sz="4" w:space="0" w:color="0077BD"/>
              <w:left w:val="nil"/>
              <w:bottom w:val="single" w:sz="4" w:space="0" w:color="0077BD"/>
              <w:right w:val="single" w:sz="8" w:space="0" w:color="0077BD"/>
            </w:tcBorders>
            <w:shd w:val="clear" w:color="auto" w:fill="auto"/>
            <w:vAlign w:val="center"/>
            <w:hideMark/>
          </w:tcPr>
          <w:p w14:paraId="22A8A01A"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(228)</w:t>
            </w:r>
          </w:p>
        </w:tc>
        <w:tc>
          <w:tcPr>
            <w:tcW w:w="839" w:type="dxa"/>
            <w:tcBorders>
              <w:top w:val="single" w:sz="4" w:space="0" w:color="0077BD"/>
              <w:left w:val="nil"/>
              <w:bottom w:val="single" w:sz="4" w:space="0" w:color="0077BD"/>
              <w:right w:val="nil"/>
            </w:tcBorders>
            <w:shd w:val="clear" w:color="auto" w:fill="auto"/>
            <w:vAlign w:val="center"/>
            <w:hideMark/>
          </w:tcPr>
          <w:p w14:paraId="3A12BAA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(214 875)</w:t>
            </w:r>
          </w:p>
        </w:tc>
      </w:tr>
      <w:tr w:rsidR="00F5754E" w:rsidRPr="00ED04A4" w14:paraId="2198D1EE"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3D757DA8"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2</w:t>
            </w:r>
          </w:p>
        </w:tc>
        <w:tc>
          <w:tcPr>
            <w:tcW w:w="840" w:type="dxa"/>
            <w:tcBorders>
              <w:top w:val="nil"/>
              <w:left w:val="nil"/>
              <w:bottom w:val="single" w:sz="4" w:space="0" w:color="0077BD"/>
              <w:right w:val="single" w:sz="8" w:space="0" w:color="0077BD"/>
            </w:tcBorders>
            <w:shd w:val="clear" w:color="auto" w:fill="auto"/>
            <w:vAlign w:val="center"/>
            <w:hideMark/>
          </w:tcPr>
          <w:p w14:paraId="5F626CDF"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(174 334)</w:t>
            </w:r>
          </w:p>
        </w:tc>
        <w:tc>
          <w:tcPr>
            <w:tcW w:w="840" w:type="dxa"/>
            <w:tcBorders>
              <w:top w:val="nil"/>
              <w:left w:val="nil"/>
              <w:bottom w:val="single" w:sz="4" w:space="0" w:color="0077BD"/>
              <w:right w:val="single" w:sz="8" w:space="0" w:color="0077BD"/>
            </w:tcBorders>
            <w:shd w:val="clear" w:color="auto" w:fill="auto"/>
            <w:vAlign w:val="center"/>
            <w:hideMark/>
          </w:tcPr>
          <w:p w14:paraId="5DF794DB"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137 521</w:t>
            </w:r>
          </w:p>
        </w:tc>
        <w:tc>
          <w:tcPr>
            <w:tcW w:w="840" w:type="dxa"/>
            <w:tcBorders>
              <w:top w:val="nil"/>
              <w:left w:val="nil"/>
              <w:bottom w:val="single" w:sz="4" w:space="0" w:color="0077BD"/>
              <w:right w:val="single" w:sz="8" w:space="0" w:color="0077BD"/>
            </w:tcBorders>
            <w:shd w:val="clear" w:color="auto" w:fill="auto"/>
            <w:vAlign w:val="center"/>
            <w:hideMark/>
          </w:tcPr>
          <w:p w14:paraId="7E167A5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(73 792)</w:t>
            </w:r>
          </w:p>
        </w:tc>
        <w:tc>
          <w:tcPr>
            <w:tcW w:w="840" w:type="dxa"/>
            <w:tcBorders>
              <w:top w:val="nil"/>
              <w:left w:val="nil"/>
              <w:bottom w:val="single" w:sz="4" w:space="0" w:color="0077BD"/>
              <w:right w:val="single" w:sz="8" w:space="0" w:color="0077BD"/>
            </w:tcBorders>
            <w:shd w:val="clear" w:color="auto" w:fill="auto"/>
            <w:vAlign w:val="center"/>
            <w:hideMark/>
          </w:tcPr>
          <w:p w14:paraId="3F601AD8"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62 750</w:t>
            </w:r>
          </w:p>
        </w:tc>
        <w:tc>
          <w:tcPr>
            <w:tcW w:w="839" w:type="dxa"/>
            <w:tcBorders>
              <w:top w:val="nil"/>
              <w:left w:val="nil"/>
              <w:bottom w:val="single" w:sz="4" w:space="0" w:color="0077BD"/>
              <w:right w:val="single" w:sz="8" w:space="0" w:color="0077BD"/>
            </w:tcBorders>
            <w:shd w:val="clear" w:color="auto" w:fill="auto"/>
            <w:vAlign w:val="center"/>
            <w:hideMark/>
          </w:tcPr>
          <w:p w14:paraId="64F2B5FF"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(16 648)</w:t>
            </w:r>
          </w:p>
        </w:tc>
        <w:tc>
          <w:tcPr>
            <w:tcW w:w="839" w:type="dxa"/>
            <w:tcBorders>
              <w:top w:val="nil"/>
              <w:left w:val="nil"/>
              <w:bottom w:val="single" w:sz="4" w:space="0" w:color="0077BD"/>
              <w:right w:val="single" w:sz="8" w:space="0" w:color="0077BD"/>
            </w:tcBorders>
            <w:shd w:val="clear" w:color="auto" w:fill="auto"/>
            <w:vAlign w:val="center"/>
            <w:hideMark/>
          </w:tcPr>
          <w:p w14:paraId="4E3CD632"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9 850</w:t>
            </w:r>
          </w:p>
        </w:tc>
        <w:tc>
          <w:tcPr>
            <w:tcW w:w="947" w:type="dxa"/>
            <w:tcBorders>
              <w:top w:val="nil"/>
              <w:left w:val="nil"/>
              <w:bottom w:val="single" w:sz="4" w:space="0" w:color="0077BD"/>
              <w:right w:val="single" w:sz="8" w:space="0" w:color="0077BD"/>
            </w:tcBorders>
            <w:shd w:val="clear" w:color="auto" w:fill="auto"/>
            <w:vAlign w:val="center"/>
            <w:hideMark/>
          </w:tcPr>
          <w:p w14:paraId="0EF21ED9"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(166 154)</w:t>
            </w:r>
          </w:p>
        </w:tc>
        <w:tc>
          <w:tcPr>
            <w:tcW w:w="731" w:type="dxa"/>
            <w:tcBorders>
              <w:top w:val="nil"/>
              <w:left w:val="nil"/>
              <w:bottom w:val="single" w:sz="4" w:space="0" w:color="0077BD"/>
              <w:right w:val="single" w:sz="8" w:space="0" w:color="0077BD"/>
            </w:tcBorders>
            <w:shd w:val="clear" w:color="auto" w:fill="auto"/>
            <w:vAlign w:val="center"/>
            <w:hideMark/>
          </w:tcPr>
          <w:p w14:paraId="799626C5"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hideMark/>
          </w:tcPr>
          <w:p w14:paraId="105A5FC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(156)</w:t>
            </w:r>
          </w:p>
        </w:tc>
        <w:tc>
          <w:tcPr>
            <w:tcW w:w="839" w:type="dxa"/>
            <w:tcBorders>
              <w:top w:val="nil"/>
              <w:left w:val="nil"/>
              <w:bottom w:val="single" w:sz="4" w:space="0" w:color="0077BD"/>
              <w:right w:val="nil"/>
            </w:tcBorders>
            <w:shd w:val="clear" w:color="auto" w:fill="auto"/>
            <w:vAlign w:val="center"/>
            <w:hideMark/>
          </w:tcPr>
          <w:p w14:paraId="7618699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(220 963)</w:t>
            </w:r>
          </w:p>
        </w:tc>
      </w:tr>
      <w:tr w:rsidR="00F5754E" w:rsidRPr="00ED04A4" w14:paraId="1D3CD438"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7EBA50ED"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Koszyk 3</w:t>
            </w:r>
          </w:p>
        </w:tc>
        <w:tc>
          <w:tcPr>
            <w:tcW w:w="840" w:type="dxa"/>
            <w:tcBorders>
              <w:top w:val="nil"/>
              <w:left w:val="nil"/>
              <w:bottom w:val="single" w:sz="4" w:space="0" w:color="0077BD"/>
              <w:right w:val="single" w:sz="8" w:space="0" w:color="0077BD"/>
            </w:tcBorders>
            <w:shd w:val="clear" w:color="auto" w:fill="auto"/>
            <w:vAlign w:val="center"/>
            <w:hideMark/>
          </w:tcPr>
          <w:p w14:paraId="4CBFA08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(2 754 103)</w:t>
            </w:r>
          </w:p>
        </w:tc>
        <w:tc>
          <w:tcPr>
            <w:tcW w:w="840" w:type="dxa"/>
            <w:tcBorders>
              <w:top w:val="nil"/>
              <w:left w:val="nil"/>
              <w:bottom w:val="single" w:sz="4" w:space="0" w:color="0077BD"/>
              <w:right w:val="single" w:sz="8" w:space="0" w:color="0077BD"/>
            </w:tcBorders>
            <w:shd w:val="clear" w:color="auto" w:fill="auto"/>
            <w:vAlign w:val="center"/>
            <w:hideMark/>
          </w:tcPr>
          <w:p w14:paraId="6E7DAAB6"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12 128</w:t>
            </w:r>
          </w:p>
        </w:tc>
        <w:tc>
          <w:tcPr>
            <w:tcW w:w="840" w:type="dxa"/>
            <w:tcBorders>
              <w:top w:val="nil"/>
              <w:left w:val="nil"/>
              <w:bottom w:val="single" w:sz="4" w:space="0" w:color="0077BD"/>
              <w:right w:val="single" w:sz="8" w:space="0" w:color="0077BD"/>
            </w:tcBorders>
            <w:shd w:val="clear" w:color="auto" w:fill="auto"/>
            <w:vAlign w:val="center"/>
            <w:hideMark/>
          </w:tcPr>
          <w:p w14:paraId="660B024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31 710</w:t>
            </w:r>
          </w:p>
        </w:tc>
        <w:tc>
          <w:tcPr>
            <w:tcW w:w="840" w:type="dxa"/>
            <w:tcBorders>
              <w:top w:val="nil"/>
              <w:left w:val="nil"/>
              <w:bottom w:val="single" w:sz="4" w:space="0" w:color="0077BD"/>
              <w:right w:val="single" w:sz="8" w:space="0" w:color="0077BD"/>
            </w:tcBorders>
            <w:shd w:val="clear" w:color="auto" w:fill="auto"/>
            <w:vAlign w:val="center"/>
            <w:hideMark/>
          </w:tcPr>
          <w:p w14:paraId="4F622E16"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(64 187)</w:t>
            </w:r>
          </w:p>
        </w:tc>
        <w:tc>
          <w:tcPr>
            <w:tcW w:w="839" w:type="dxa"/>
            <w:tcBorders>
              <w:top w:val="nil"/>
              <w:left w:val="nil"/>
              <w:bottom w:val="single" w:sz="4" w:space="0" w:color="0077BD"/>
              <w:right w:val="single" w:sz="8" w:space="0" w:color="0077BD"/>
            </w:tcBorders>
            <w:shd w:val="clear" w:color="auto" w:fill="auto"/>
            <w:vAlign w:val="center"/>
            <w:hideMark/>
          </w:tcPr>
          <w:p w14:paraId="048EDDDC"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(82 226)</w:t>
            </w:r>
          </w:p>
        </w:tc>
        <w:tc>
          <w:tcPr>
            <w:tcW w:w="839" w:type="dxa"/>
            <w:tcBorders>
              <w:top w:val="nil"/>
              <w:left w:val="nil"/>
              <w:bottom w:val="single" w:sz="4" w:space="0" w:color="0077BD"/>
              <w:right w:val="single" w:sz="8" w:space="0" w:color="0077BD"/>
            </w:tcBorders>
            <w:shd w:val="clear" w:color="auto" w:fill="auto"/>
            <w:vAlign w:val="center"/>
            <w:hideMark/>
          </w:tcPr>
          <w:p w14:paraId="77E1E88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90 215</w:t>
            </w:r>
          </w:p>
        </w:tc>
        <w:tc>
          <w:tcPr>
            <w:tcW w:w="947" w:type="dxa"/>
            <w:tcBorders>
              <w:top w:val="nil"/>
              <w:left w:val="nil"/>
              <w:bottom w:val="single" w:sz="4" w:space="0" w:color="0077BD"/>
              <w:right w:val="single" w:sz="8" w:space="0" w:color="0077BD"/>
            </w:tcBorders>
            <w:shd w:val="clear" w:color="auto" w:fill="auto"/>
            <w:vAlign w:val="center"/>
            <w:hideMark/>
          </w:tcPr>
          <w:p w14:paraId="30A39329"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(481 096)</w:t>
            </w:r>
          </w:p>
        </w:tc>
        <w:tc>
          <w:tcPr>
            <w:tcW w:w="731" w:type="dxa"/>
            <w:tcBorders>
              <w:top w:val="nil"/>
              <w:left w:val="nil"/>
              <w:bottom w:val="single" w:sz="4" w:space="0" w:color="0077BD"/>
              <w:right w:val="single" w:sz="8" w:space="0" w:color="0077BD"/>
            </w:tcBorders>
            <w:shd w:val="clear" w:color="auto" w:fill="auto"/>
            <w:vAlign w:val="center"/>
            <w:hideMark/>
          </w:tcPr>
          <w:p w14:paraId="0E51643D"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648 915</w:t>
            </w:r>
          </w:p>
        </w:tc>
        <w:tc>
          <w:tcPr>
            <w:tcW w:w="839" w:type="dxa"/>
            <w:tcBorders>
              <w:top w:val="nil"/>
              <w:left w:val="nil"/>
              <w:bottom w:val="single" w:sz="4" w:space="0" w:color="0077BD"/>
              <w:right w:val="single" w:sz="8" w:space="0" w:color="0077BD"/>
            </w:tcBorders>
            <w:shd w:val="clear" w:color="auto" w:fill="auto"/>
            <w:vAlign w:val="center"/>
            <w:hideMark/>
          </w:tcPr>
          <w:p w14:paraId="637F318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(1 238)</w:t>
            </w:r>
          </w:p>
        </w:tc>
        <w:tc>
          <w:tcPr>
            <w:tcW w:w="839" w:type="dxa"/>
            <w:tcBorders>
              <w:top w:val="nil"/>
              <w:left w:val="nil"/>
              <w:bottom w:val="single" w:sz="4" w:space="0" w:color="0077BD"/>
              <w:right w:val="nil"/>
            </w:tcBorders>
            <w:shd w:val="clear" w:color="auto" w:fill="auto"/>
            <w:vAlign w:val="center"/>
            <w:hideMark/>
          </w:tcPr>
          <w:p w14:paraId="219CF3AC"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(2 599 882)</w:t>
            </w:r>
          </w:p>
        </w:tc>
      </w:tr>
      <w:tr w:rsidR="00F5754E" w:rsidRPr="00ED04A4" w14:paraId="028C8ADA" w14:textId="77777777" w:rsidTr="00535728">
        <w:trPr>
          <w:trHeight w:val="284"/>
        </w:trPr>
        <w:tc>
          <w:tcPr>
            <w:tcW w:w="1245" w:type="dxa"/>
            <w:tcBorders>
              <w:top w:val="nil"/>
              <w:left w:val="nil"/>
              <w:bottom w:val="single" w:sz="4" w:space="0" w:color="0077BD"/>
              <w:right w:val="single" w:sz="8" w:space="0" w:color="0077BD"/>
            </w:tcBorders>
            <w:shd w:val="clear" w:color="auto" w:fill="auto"/>
            <w:vAlign w:val="center"/>
            <w:hideMark/>
          </w:tcPr>
          <w:p w14:paraId="41A62DCD" w14:textId="77777777" w:rsidR="00F5754E" w:rsidRPr="0070550B" w:rsidRDefault="00F5754E" w:rsidP="00E441BD">
            <w:pPr>
              <w:rPr>
                <w:rFonts w:cs="Calibri"/>
                <w:color w:val="000000" w:themeColor="text1"/>
                <w:sz w:val="9"/>
                <w:szCs w:val="9"/>
              </w:rPr>
            </w:pPr>
            <w:r w:rsidRPr="0070550B">
              <w:rPr>
                <w:rFonts w:cs="Calibri"/>
                <w:color w:val="000000" w:themeColor="text1"/>
                <w:sz w:val="9"/>
                <w:szCs w:val="9"/>
              </w:rPr>
              <w:t>POCI</w:t>
            </w:r>
          </w:p>
        </w:tc>
        <w:tc>
          <w:tcPr>
            <w:tcW w:w="840" w:type="dxa"/>
            <w:tcBorders>
              <w:top w:val="nil"/>
              <w:left w:val="nil"/>
              <w:bottom w:val="single" w:sz="4" w:space="0" w:color="0077BD"/>
              <w:right w:val="single" w:sz="8" w:space="0" w:color="0077BD"/>
            </w:tcBorders>
            <w:shd w:val="clear" w:color="auto" w:fill="auto"/>
            <w:vAlign w:val="center"/>
            <w:hideMark/>
          </w:tcPr>
          <w:p w14:paraId="1F37F9ED"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hideMark/>
          </w:tcPr>
          <w:p w14:paraId="417BB484"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hideMark/>
          </w:tcPr>
          <w:p w14:paraId="41C9075E"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40" w:type="dxa"/>
            <w:tcBorders>
              <w:top w:val="nil"/>
              <w:left w:val="nil"/>
              <w:bottom w:val="single" w:sz="4" w:space="0" w:color="0077BD"/>
              <w:right w:val="single" w:sz="8" w:space="0" w:color="0077BD"/>
            </w:tcBorders>
            <w:shd w:val="clear" w:color="auto" w:fill="auto"/>
            <w:vAlign w:val="center"/>
            <w:hideMark/>
          </w:tcPr>
          <w:p w14:paraId="582C6BB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(2 306)</w:t>
            </w:r>
          </w:p>
        </w:tc>
        <w:tc>
          <w:tcPr>
            <w:tcW w:w="839" w:type="dxa"/>
            <w:tcBorders>
              <w:top w:val="nil"/>
              <w:left w:val="nil"/>
              <w:bottom w:val="single" w:sz="4" w:space="0" w:color="0077BD"/>
              <w:right w:val="single" w:sz="8" w:space="0" w:color="0077BD"/>
            </w:tcBorders>
            <w:shd w:val="clear" w:color="auto" w:fill="auto"/>
            <w:vAlign w:val="center"/>
            <w:hideMark/>
          </w:tcPr>
          <w:p w14:paraId="3B2CA7F7"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6 785</w:t>
            </w:r>
          </w:p>
        </w:tc>
        <w:tc>
          <w:tcPr>
            <w:tcW w:w="839" w:type="dxa"/>
            <w:tcBorders>
              <w:top w:val="nil"/>
              <w:left w:val="nil"/>
              <w:bottom w:val="single" w:sz="4" w:space="0" w:color="0077BD"/>
              <w:right w:val="single" w:sz="8" w:space="0" w:color="0077BD"/>
            </w:tcBorders>
            <w:shd w:val="clear" w:color="auto" w:fill="auto"/>
            <w:vAlign w:val="center"/>
            <w:hideMark/>
          </w:tcPr>
          <w:p w14:paraId="3B3484D3"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936</w:t>
            </w:r>
          </w:p>
        </w:tc>
        <w:tc>
          <w:tcPr>
            <w:tcW w:w="947" w:type="dxa"/>
            <w:tcBorders>
              <w:top w:val="nil"/>
              <w:left w:val="nil"/>
              <w:bottom w:val="single" w:sz="4" w:space="0" w:color="0077BD"/>
              <w:right w:val="single" w:sz="8" w:space="0" w:color="0077BD"/>
            </w:tcBorders>
            <w:shd w:val="clear" w:color="auto" w:fill="auto"/>
            <w:vAlign w:val="center"/>
            <w:hideMark/>
          </w:tcPr>
          <w:p w14:paraId="68D8612D"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(12 242)</w:t>
            </w:r>
          </w:p>
        </w:tc>
        <w:tc>
          <w:tcPr>
            <w:tcW w:w="731" w:type="dxa"/>
            <w:tcBorders>
              <w:top w:val="nil"/>
              <w:left w:val="nil"/>
              <w:bottom w:val="single" w:sz="4" w:space="0" w:color="0077BD"/>
              <w:right w:val="single" w:sz="8" w:space="0" w:color="0077BD"/>
            </w:tcBorders>
            <w:shd w:val="clear" w:color="auto" w:fill="auto"/>
            <w:vAlign w:val="center"/>
            <w:hideMark/>
          </w:tcPr>
          <w:p w14:paraId="5014E2F9"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single" w:sz="8" w:space="0" w:color="0077BD"/>
            </w:tcBorders>
            <w:shd w:val="clear" w:color="auto" w:fill="auto"/>
            <w:vAlign w:val="center"/>
            <w:hideMark/>
          </w:tcPr>
          <w:p w14:paraId="4C544C50"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w:t>
            </w:r>
          </w:p>
        </w:tc>
        <w:tc>
          <w:tcPr>
            <w:tcW w:w="839" w:type="dxa"/>
            <w:tcBorders>
              <w:top w:val="nil"/>
              <w:left w:val="nil"/>
              <w:bottom w:val="single" w:sz="4" w:space="0" w:color="0077BD"/>
              <w:right w:val="nil"/>
            </w:tcBorders>
            <w:shd w:val="clear" w:color="auto" w:fill="auto"/>
            <w:vAlign w:val="center"/>
            <w:hideMark/>
          </w:tcPr>
          <w:p w14:paraId="59007B71" w14:textId="77777777" w:rsidR="00F5754E" w:rsidRPr="0070550B" w:rsidRDefault="00F5754E" w:rsidP="00E441BD">
            <w:pPr>
              <w:jc w:val="right"/>
              <w:rPr>
                <w:rFonts w:cs="Calibri"/>
                <w:color w:val="000000" w:themeColor="text1"/>
                <w:sz w:val="9"/>
                <w:szCs w:val="9"/>
              </w:rPr>
            </w:pPr>
            <w:r w:rsidRPr="0070550B">
              <w:rPr>
                <w:rFonts w:cs="Calibri"/>
                <w:color w:val="000000" w:themeColor="text1"/>
                <w:sz w:val="9"/>
                <w:szCs w:val="9"/>
              </w:rPr>
              <w:t>(6 827)</w:t>
            </w:r>
          </w:p>
        </w:tc>
      </w:tr>
      <w:tr w:rsidR="00F5754E" w:rsidRPr="00ED04A4" w14:paraId="55BE087C" w14:textId="77777777" w:rsidTr="00535728">
        <w:trPr>
          <w:trHeight w:val="284"/>
        </w:trPr>
        <w:tc>
          <w:tcPr>
            <w:tcW w:w="1245" w:type="dxa"/>
            <w:tcBorders>
              <w:top w:val="single" w:sz="8" w:space="0" w:color="0077BD"/>
              <w:left w:val="nil"/>
              <w:bottom w:val="single" w:sz="8" w:space="0" w:color="0077BD"/>
              <w:right w:val="single" w:sz="8" w:space="0" w:color="0077BD"/>
            </w:tcBorders>
            <w:shd w:val="clear" w:color="auto" w:fill="auto"/>
            <w:vAlign w:val="center"/>
            <w:hideMark/>
          </w:tcPr>
          <w:p w14:paraId="64B776C7" w14:textId="18F55D00" w:rsidR="00F5754E" w:rsidRPr="0070550B" w:rsidRDefault="004D2570" w:rsidP="00E441BD">
            <w:pPr>
              <w:rPr>
                <w:rFonts w:cs="Calibri"/>
                <w:b/>
                <w:bCs/>
                <w:color w:val="000000" w:themeColor="text1"/>
                <w:sz w:val="9"/>
                <w:szCs w:val="9"/>
              </w:rPr>
            </w:pPr>
            <w:r w:rsidRPr="0070550B">
              <w:rPr>
                <w:rFonts w:cs="Calibri"/>
                <w:b/>
                <w:bCs/>
                <w:color w:val="000000" w:themeColor="text1"/>
                <w:sz w:val="9"/>
                <w:szCs w:val="9"/>
              </w:rPr>
              <w:t>Skumulowana utrata wartości, razem</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6D54A93A"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(3 079 641)</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63ED0D5B"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18263C7E"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40" w:type="dxa"/>
            <w:tcBorders>
              <w:top w:val="single" w:sz="8" w:space="0" w:color="0077BD"/>
              <w:left w:val="nil"/>
              <w:bottom w:val="single" w:sz="8" w:space="0" w:color="0077BD"/>
              <w:right w:val="single" w:sz="8" w:space="0" w:color="0077BD"/>
            </w:tcBorders>
            <w:shd w:val="clear" w:color="auto" w:fill="auto"/>
            <w:vAlign w:val="center"/>
            <w:hideMark/>
          </w:tcPr>
          <w:p w14:paraId="0DEB7ED9"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1E6E12D7"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(189 277)</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7FD58AEF"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138 659</w:t>
            </w:r>
          </w:p>
        </w:tc>
        <w:tc>
          <w:tcPr>
            <w:tcW w:w="947" w:type="dxa"/>
            <w:tcBorders>
              <w:top w:val="single" w:sz="8" w:space="0" w:color="0077BD"/>
              <w:left w:val="nil"/>
              <w:bottom w:val="single" w:sz="8" w:space="0" w:color="0077BD"/>
              <w:right w:val="single" w:sz="8" w:space="0" w:color="0077BD"/>
            </w:tcBorders>
            <w:shd w:val="clear" w:color="auto" w:fill="auto"/>
            <w:vAlign w:val="center"/>
            <w:hideMark/>
          </w:tcPr>
          <w:p w14:paraId="3E3FE1F1"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(561 424)</w:t>
            </w:r>
          </w:p>
        </w:tc>
        <w:tc>
          <w:tcPr>
            <w:tcW w:w="731" w:type="dxa"/>
            <w:tcBorders>
              <w:top w:val="single" w:sz="8" w:space="0" w:color="0077BD"/>
              <w:left w:val="nil"/>
              <w:bottom w:val="single" w:sz="8" w:space="0" w:color="0077BD"/>
              <w:right w:val="single" w:sz="8" w:space="0" w:color="0077BD"/>
            </w:tcBorders>
            <w:shd w:val="clear" w:color="auto" w:fill="auto"/>
            <w:vAlign w:val="center"/>
            <w:hideMark/>
          </w:tcPr>
          <w:p w14:paraId="33CBC2C7"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649 153</w:t>
            </w:r>
          </w:p>
        </w:tc>
        <w:tc>
          <w:tcPr>
            <w:tcW w:w="839" w:type="dxa"/>
            <w:tcBorders>
              <w:top w:val="single" w:sz="8" w:space="0" w:color="0077BD"/>
              <w:left w:val="nil"/>
              <w:bottom w:val="single" w:sz="8" w:space="0" w:color="0077BD"/>
              <w:right w:val="single" w:sz="8" w:space="0" w:color="0077BD"/>
            </w:tcBorders>
            <w:shd w:val="clear" w:color="auto" w:fill="auto"/>
            <w:vAlign w:val="center"/>
            <w:hideMark/>
          </w:tcPr>
          <w:p w14:paraId="2AFC192C"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(1 622)</w:t>
            </w:r>
          </w:p>
        </w:tc>
        <w:tc>
          <w:tcPr>
            <w:tcW w:w="839" w:type="dxa"/>
            <w:tcBorders>
              <w:top w:val="single" w:sz="8" w:space="0" w:color="0077BD"/>
              <w:left w:val="nil"/>
              <w:bottom w:val="single" w:sz="8" w:space="0" w:color="0077BD"/>
              <w:right w:val="nil"/>
            </w:tcBorders>
            <w:shd w:val="clear" w:color="auto" w:fill="auto"/>
            <w:vAlign w:val="center"/>
            <w:hideMark/>
          </w:tcPr>
          <w:p w14:paraId="245E6E66" w14:textId="77777777" w:rsidR="00F5754E" w:rsidRPr="0070550B" w:rsidRDefault="00F5754E" w:rsidP="00E441BD">
            <w:pPr>
              <w:jc w:val="right"/>
              <w:rPr>
                <w:rFonts w:cs="Calibri"/>
                <w:b/>
                <w:bCs/>
                <w:color w:val="000000" w:themeColor="text1"/>
                <w:sz w:val="9"/>
                <w:szCs w:val="9"/>
              </w:rPr>
            </w:pPr>
            <w:r w:rsidRPr="0070550B">
              <w:rPr>
                <w:rFonts w:cs="Calibri"/>
                <w:b/>
                <w:bCs/>
                <w:color w:val="000000" w:themeColor="text1"/>
                <w:sz w:val="9"/>
                <w:szCs w:val="9"/>
              </w:rPr>
              <w:t>(3 044 152)</w:t>
            </w:r>
          </w:p>
        </w:tc>
      </w:tr>
    </w:tbl>
    <w:p w14:paraId="669BA75F" w14:textId="2AD94A60" w:rsidR="00FC1C9E" w:rsidRPr="00BB7C9E" w:rsidRDefault="00FC1C9E" w:rsidP="00FC1C9E">
      <w:pPr>
        <w:spacing w:before="120"/>
        <w:jc w:val="both"/>
        <w:rPr>
          <w:b/>
          <w:noProof/>
          <w:color w:val="000000" w:themeColor="text1"/>
          <w:sz w:val="18"/>
          <w:szCs w:val="18"/>
        </w:rPr>
      </w:pPr>
      <w:r w:rsidRPr="00BB7C9E">
        <w:rPr>
          <w:b/>
          <w:noProof/>
          <w:color w:val="000000" w:themeColor="text1"/>
          <w:sz w:val="18"/>
          <w:szCs w:val="18"/>
        </w:rPr>
        <w:t>Wyjaśnienie przełożenia się znacznych zmian wartości bilansowej brutto instrumentów finansowych podcza</w:t>
      </w:r>
      <w:r w:rsidR="00EF0BBB">
        <w:rPr>
          <w:b/>
          <w:noProof/>
          <w:color w:val="000000" w:themeColor="text1"/>
          <w:sz w:val="18"/>
          <w:szCs w:val="18"/>
        </w:rPr>
        <w:t xml:space="preserve">s okresu na zmiany </w:t>
      </w:r>
      <w:r w:rsidR="00B74914">
        <w:rPr>
          <w:b/>
          <w:noProof/>
          <w:color w:val="000000" w:themeColor="text1"/>
          <w:sz w:val="18"/>
          <w:szCs w:val="18"/>
        </w:rPr>
        <w:t>oczekiwan</w:t>
      </w:r>
      <w:r w:rsidR="00EF0BBB">
        <w:rPr>
          <w:b/>
          <w:noProof/>
          <w:color w:val="000000" w:themeColor="text1"/>
          <w:sz w:val="18"/>
          <w:szCs w:val="18"/>
        </w:rPr>
        <w:t>ych strat kredytowych</w:t>
      </w:r>
    </w:p>
    <w:p w14:paraId="4AD05626" w14:textId="266B7852" w:rsidR="00FC1C9E" w:rsidRPr="00CC3FB6" w:rsidRDefault="00FC1C9E" w:rsidP="000270C9">
      <w:pPr>
        <w:jc w:val="both"/>
        <w:rPr>
          <w:noProof/>
        </w:rPr>
      </w:pPr>
    </w:p>
    <w:tbl>
      <w:tblPr>
        <w:tblW w:w="9639" w:type="dxa"/>
        <w:tblLayout w:type="fixed"/>
        <w:tblCellMar>
          <w:left w:w="0" w:type="dxa"/>
          <w:right w:w="0" w:type="dxa"/>
        </w:tblCellMar>
        <w:tblLook w:val="04A0" w:firstRow="1" w:lastRow="0" w:firstColumn="1" w:lastColumn="0" w:noHBand="0" w:noVBand="1"/>
      </w:tblPr>
      <w:tblGrid>
        <w:gridCol w:w="1953"/>
        <w:gridCol w:w="854"/>
        <w:gridCol w:w="854"/>
        <w:gridCol w:w="854"/>
        <w:gridCol w:w="854"/>
        <w:gridCol w:w="854"/>
        <w:gridCol w:w="854"/>
        <w:gridCol w:w="854"/>
        <w:gridCol w:w="854"/>
        <w:gridCol w:w="854"/>
      </w:tblGrid>
      <w:tr w:rsidR="0097101B" w:rsidRPr="005940DF" w14:paraId="6534BEBB" w14:textId="77777777" w:rsidTr="005940DF">
        <w:trPr>
          <w:trHeight w:val="567"/>
        </w:trPr>
        <w:tc>
          <w:tcPr>
            <w:tcW w:w="1854" w:type="dxa"/>
            <w:tcBorders>
              <w:top w:val="single" w:sz="8" w:space="0" w:color="FFFFFF"/>
              <w:left w:val="nil"/>
              <w:bottom w:val="nil"/>
              <w:right w:val="single" w:sz="6" w:space="0" w:color="FFFFFF"/>
            </w:tcBorders>
            <w:shd w:val="clear" w:color="000000" w:fill="0077BD"/>
            <w:vAlign w:val="center"/>
            <w:hideMark/>
          </w:tcPr>
          <w:p w14:paraId="7E22698B" w14:textId="77777777" w:rsidR="0097101B" w:rsidRPr="005940DF" w:rsidRDefault="0097101B" w:rsidP="005153F9">
            <w:pPr>
              <w:rPr>
                <w:rFonts w:cs="Calibri"/>
                <w:b/>
                <w:bCs/>
                <w:color w:val="FFFFFF"/>
                <w:sz w:val="9"/>
                <w:szCs w:val="9"/>
              </w:rPr>
            </w:pPr>
            <w:r w:rsidRPr="005940DF">
              <w:rPr>
                <w:rFonts w:cs="Calibri"/>
                <w:b/>
                <w:bCs/>
                <w:color w:val="FFFFFF"/>
                <w:sz w:val="9"/>
                <w:szCs w:val="9"/>
              </w:rPr>
              <w:t>Zmiana w okresie od 1 stycznia do</w:t>
            </w:r>
            <w:r w:rsidRPr="005940DF">
              <w:rPr>
                <w:rFonts w:cs="Calibri"/>
                <w:b/>
                <w:bCs/>
                <w:color w:val="FFFFFF"/>
                <w:sz w:val="9"/>
                <w:szCs w:val="9"/>
              </w:rPr>
              <w:br/>
              <w:t>31 grudnia 2019 r.</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0937EE63"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Bilans otwarcia</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41C10D3A"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Transfer do Koszyka 1</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26254BEE"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Transfer do Koszyka 2</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7FDEA57A"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Transfer do Koszyka 3</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B7F261E"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Zwiększenia spowodowane udzieleniem oraz przejęciem</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77E61CD8"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Zmniejszenia spowodowane usunięciem z bilansu</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FD6E6DA" w14:textId="1349F443" w:rsidR="0097101B" w:rsidRPr="005940DF" w:rsidRDefault="0097101B" w:rsidP="005153F9">
            <w:pPr>
              <w:jc w:val="center"/>
              <w:rPr>
                <w:rFonts w:cs="Calibri"/>
                <w:b/>
                <w:bCs/>
                <w:color w:val="FFFFFF"/>
                <w:sz w:val="9"/>
                <w:szCs w:val="9"/>
              </w:rPr>
            </w:pPr>
            <w:r w:rsidRPr="005940DF">
              <w:rPr>
                <w:rFonts w:cs="Calibri"/>
                <w:b/>
                <w:bCs/>
                <w:color w:val="FFFFFF"/>
                <w:sz w:val="9"/>
                <w:szCs w:val="9"/>
              </w:rPr>
              <w:t>Spisania</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2630A45"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Inne korekty</w:t>
            </w:r>
          </w:p>
        </w:tc>
        <w:tc>
          <w:tcPr>
            <w:tcW w:w="811" w:type="dxa"/>
            <w:tcBorders>
              <w:top w:val="single" w:sz="8" w:space="0" w:color="FFFFFF"/>
              <w:left w:val="single" w:sz="6" w:space="0" w:color="FFFFFF"/>
              <w:bottom w:val="nil"/>
              <w:right w:val="nil"/>
            </w:tcBorders>
            <w:shd w:val="clear" w:color="000000" w:fill="0077BD"/>
            <w:vAlign w:val="center"/>
            <w:hideMark/>
          </w:tcPr>
          <w:p w14:paraId="7C8DC112" w14:textId="77777777" w:rsidR="0097101B" w:rsidRPr="005940DF" w:rsidRDefault="0097101B" w:rsidP="005153F9">
            <w:pPr>
              <w:jc w:val="center"/>
              <w:rPr>
                <w:rFonts w:cs="Calibri"/>
                <w:b/>
                <w:bCs/>
                <w:color w:val="FFFFFF"/>
                <w:sz w:val="9"/>
                <w:szCs w:val="9"/>
              </w:rPr>
            </w:pPr>
            <w:r w:rsidRPr="005940DF">
              <w:rPr>
                <w:rFonts w:cs="Calibri"/>
                <w:b/>
                <w:bCs/>
                <w:color w:val="FFFFFF"/>
                <w:sz w:val="9"/>
                <w:szCs w:val="9"/>
              </w:rPr>
              <w:t>Bilans zamknięcia</w:t>
            </w:r>
          </w:p>
        </w:tc>
      </w:tr>
      <w:tr w:rsidR="0097101B" w:rsidRPr="005940DF" w14:paraId="30FF9113" w14:textId="77777777" w:rsidTr="005940DF">
        <w:trPr>
          <w:trHeight w:val="284"/>
        </w:trPr>
        <w:tc>
          <w:tcPr>
            <w:tcW w:w="1854" w:type="dxa"/>
            <w:tcBorders>
              <w:top w:val="single" w:sz="8" w:space="0" w:color="0077BD"/>
              <w:left w:val="nil"/>
              <w:bottom w:val="single" w:sz="8" w:space="0" w:color="0077BD"/>
              <w:right w:val="single" w:sz="8" w:space="0" w:color="0077BD"/>
            </w:tcBorders>
            <w:shd w:val="clear" w:color="auto" w:fill="auto"/>
            <w:vAlign w:val="center"/>
            <w:hideMark/>
          </w:tcPr>
          <w:p w14:paraId="3385FB0E" w14:textId="77777777" w:rsidR="0097101B" w:rsidRPr="005940DF" w:rsidRDefault="0097101B" w:rsidP="00205F5A">
            <w:pPr>
              <w:rPr>
                <w:rFonts w:cs="Calibri"/>
                <w:b/>
                <w:bCs/>
                <w:color w:val="000000" w:themeColor="text1"/>
                <w:sz w:val="9"/>
                <w:szCs w:val="9"/>
              </w:rPr>
            </w:pPr>
            <w:r w:rsidRPr="005940DF">
              <w:rPr>
                <w:rFonts w:cs="Calibri"/>
                <w:b/>
                <w:bCs/>
                <w:color w:val="000000" w:themeColor="text1"/>
                <w:sz w:val="9"/>
                <w:szCs w:val="9"/>
              </w:rPr>
              <w:t>Dłużne papiery wartościowe</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5FD09E0" w14:textId="78533A91"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9 000 626</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7709C48" w14:textId="2BFAB906"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628620E" w14:textId="4C98E7D5"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16467C25" w14:textId="2102A940"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29154EBD" w14:textId="7E23D20A"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1 952 008</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317A8473" w14:textId="3F3DC903"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(486 122)</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32044488" w14:textId="22FE771A"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8C5ED5F" w14:textId="172BEA8D"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768 440</w:t>
            </w:r>
          </w:p>
        </w:tc>
        <w:tc>
          <w:tcPr>
            <w:tcW w:w="811" w:type="dxa"/>
            <w:tcBorders>
              <w:top w:val="single" w:sz="8" w:space="0" w:color="0077BD"/>
              <w:left w:val="nil"/>
              <w:bottom w:val="single" w:sz="8" w:space="0" w:color="0077BD"/>
              <w:right w:val="nil"/>
            </w:tcBorders>
            <w:shd w:val="clear" w:color="auto" w:fill="auto"/>
            <w:vAlign w:val="center"/>
          </w:tcPr>
          <w:p w14:paraId="0C3038CC" w14:textId="0AD1EF5A"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11 234 952</w:t>
            </w:r>
          </w:p>
        </w:tc>
      </w:tr>
      <w:tr w:rsidR="0097101B" w:rsidRPr="005940DF" w14:paraId="0C745CDF" w14:textId="77777777" w:rsidTr="005940DF">
        <w:trPr>
          <w:trHeight w:val="284"/>
        </w:trPr>
        <w:tc>
          <w:tcPr>
            <w:tcW w:w="1854" w:type="dxa"/>
            <w:tcBorders>
              <w:top w:val="single" w:sz="4" w:space="0" w:color="0077BD"/>
              <w:left w:val="nil"/>
              <w:bottom w:val="single" w:sz="4" w:space="0" w:color="0077BD"/>
              <w:right w:val="single" w:sz="8" w:space="0" w:color="0077BD"/>
            </w:tcBorders>
            <w:shd w:val="clear" w:color="auto" w:fill="auto"/>
            <w:vAlign w:val="center"/>
            <w:hideMark/>
          </w:tcPr>
          <w:p w14:paraId="576D4AC3" w14:textId="77777777" w:rsidR="0097101B" w:rsidRPr="005940DF" w:rsidRDefault="0097101B" w:rsidP="00205F5A">
            <w:pPr>
              <w:rPr>
                <w:rFonts w:cs="Calibri"/>
                <w:color w:val="000000" w:themeColor="text1"/>
                <w:sz w:val="9"/>
                <w:szCs w:val="9"/>
              </w:rPr>
            </w:pPr>
            <w:r w:rsidRPr="005940DF">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16D9F1E9" w14:textId="32D81827"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9 000 626</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2222DAB" w14:textId="27235C72"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43ED18A" w14:textId="129E57CF"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8F95B7E" w14:textId="5F9B643C"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137F21A" w14:textId="676128F0"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1 952 008</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1A4F968E" w14:textId="156C628C"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(486 122)</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580EF386" w14:textId="69C8267B"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50A13F69" w14:textId="3E793A7D"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768 440</w:t>
            </w:r>
          </w:p>
        </w:tc>
        <w:tc>
          <w:tcPr>
            <w:tcW w:w="811" w:type="dxa"/>
            <w:tcBorders>
              <w:top w:val="single" w:sz="4" w:space="0" w:color="0077BD"/>
              <w:left w:val="nil"/>
              <w:bottom w:val="single" w:sz="4" w:space="0" w:color="0077BD"/>
              <w:right w:val="nil"/>
            </w:tcBorders>
            <w:shd w:val="clear" w:color="auto" w:fill="auto"/>
            <w:vAlign w:val="center"/>
          </w:tcPr>
          <w:p w14:paraId="550A6FEB" w14:textId="4BC5A646"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11 234 952</w:t>
            </w:r>
          </w:p>
        </w:tc>
      </w:tr>
      <w:tr w:rsidR="0097101B" w:rsidRPr="005940DF" w14:paraId="16F76F79" w14:textId="77777777" w:rsidTr="005940DF">
        <w:trPr>
          <w:trHeight w:val="284"/>
        </w:trPr>
        <w:tc>
          <w:tcPr>
            <w:tcW w:w="1854" w:type="dxa"/>
            <w:tcBorders>
              <w:top w:val="single" w:sz="8" w:space="0" w:color="0077BD"/>
              <w:left w:val="nil"/>
              <w:bottom w:val="single" w:sz="8" w:space="0" w:color="0077BD"/>
              <w:right w:val="single" w:sz="8" w:space="0" w:color="0077BD"/>
            </w:tcBorders>
            <w:shd w:val="clear" w:color="auto" w:fill="auto"/>
            <w:vAlign w:val="center"/>
            <w:hideMark/>
          </w:tcPr>
          <w:p w14:paraId="671B89F6" w14:textId="77777777" w:rsidR="0097101B" w:rsidRPr="005940DF" w:rsidRDefault="0097101B" w:rsidP="00205F5A">
            <w:pPr>
              <w:rPr>
                <w:rFonts w:cs="Calibri"/>
                <w:b/>
                <w:bCs/>
                <w:color w:val="000000" w:themeColor="text1"/>
                <w:sz w:val="9"/>
                <w:szCs w:val="9"/>
              </w:rPr>
            </w:pPr>
            <w:r w:rsidRPr="005940DF">
              <w:rPr>
                <w:rFonts w:cs="Calibri"/>
                <w:b/>
                <w:bCs/>
                <w:color w:val="000000" w:themeColor="text1"/>
                <w:sz w:val="9"/>
                <w:szCs w:val="9"/>
              </w:rPr>
              <w:t>Należności od banków</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6888FFD" w14:textId="04F5B8D3"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2 547 864</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008ACC8" w14:textId="61C01C1D"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7D9669F" w14:textId="22037DD9"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7A42C62A" w14:textId="7AFFA43A"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EB92261" w14:textId="3C4C4054"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3 517 663</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F68DD72" w14:textId="544CA8B6"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(1 696 413)</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0F6A5638" w14:textId="0F15027B"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7D7A4E79" w14:textId="340CD0B2"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(26 224)</w:t>
            </w:r>
          </w:p>
        </w:tc>
        <w:tc>
          <w:tcPr>
            <w:tcW w:w="811" w:type="dxa"/>
            <w:tcBorders>
              <w:top w:val="single" w:sz="8" w:space="0" w:color="0077BD"/>
              <w:left w:val="nil"/>
              <w:bottom w:val="single" w:sz="8" w:space="0" w:color="0077BD"/>
              <w:right w:val="nil"/>
            </w:tcBorders>
            <w:shd w:val="clear" w:color="auto" w:fill="auto"/>
            <w:vAlign w:val="center"/>
          </w:tcPr>
          <w:p w14:paraId="582177A2" w14:textId="6AAF165A" w:rsidR="0097101B" w:rsidRPr="005940DF" w:rsidRDefault="0097101B" w:rsidP="00205F5A">
            <w:pPr>
              <w:jc w:val="right"/>
              <w:rPr>
                <w:rFonts w:cs="Calibri"/>
                <w:b/>
                <w:bCs/>
                <w:color w:val="000000" w:themeColor="text1"/>
                <w:sz w:val="9"/>
                <w:szCs w:val="9"/>
              </w:rPr>
            </w:pPr>
            <w:r w:rsidRPr="005940DF">
              <w:rPr>
                <w:rFonts w:cs="Calibri"/>
                <w:b/>
                <w:bCs/>
                <w:color w:val="000000" w:themeColor="text1"/>
                <w:sz w:val="9"/>
                <w:szCs w:val="9"/>
              </w:rPr>
              <w:t>4 342 890</w:t>
            </w:r>
          </w:p>
        </w:tc>
      </w:tr>
      <w:tr w:rsidR="0097101B" w:rsidRPr="005940DF" w14:paraId="145DA2DA" w14:textId="77777777" w:rsidTr="005940DF">
        <w:trPr>
          <w:trHeight w:val="284"/>
        </w:trPr>
        <w:tc>
          <w:tcPr>
            <w:tcW w:w="1854" w:type="dxa"/>
            <w:tcBorders>
              <w:top w:val="single" w:sz="4" w:space="0" w:color="0077BD"/>
              <w:left w:val="nil"/>
              <w:bottom w:val="single" w:sz="4" w:space="0" w:color="0077BD"/>
              <w:right w:val="single" w:sz="8" w:space="0" w:color="0077BD"/>
            </w:tcBorders>
            <w:shd w:val="clear" w:color="auto" w:fill="auto"/>
            <w:vAlign w:val="center"/>
            <w:hideMark/>
          </w:tcPr>
          <w:p w14:paraId="2D7C44D5" w14:textId="77777777" w:rsidR="0097101B" w:rsidRPr="005940DF" w:rsidRDefault="0097101B" w:rsidP="00205F5A">
            <w:pPr>
              <w:rPr>
                <w:rFonts w:cs="Calibri"/>
                <w:color w:val="000000" w:themeColor="text1"/>
                <w:sz w:val="9"/>
                <w:szCs w:val="9"/>
              </w:rPr>
            </w:pPr>
            <w:r w:rsidRPr="005940DF">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13696AFC" w14:textId="59F964CB"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2 547 864</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E3A0396" w14:textId="4F9CA161"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22A87A9E" w14:textId="46E7D3B7"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474D32B" w14:textId="46B1E647"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00D5F550" w14:textId="31DC009E"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3 517 663</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2B30A5A0" w14:textId="60108A88"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(1 696 413)</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5C5D1B1C" w14:textId="0243F7F6"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7AE5EF33" w14:textId="048C50CB"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(26 224)</w:t>
            </w:r>
          </w:p>
        </w:tc>
        <w:tc>
          <w:tcPr>
            <w:tcW w:w="811" w:type="dxa"/>
            <w:tcBorders>
              <w:top w:val="single" w:sz="4" w:space="0" w:color="0077BD"/>
              <w:left w:val="nil"/>
              <w:bottom w:val="single" w:sz="4" w:space="0" w:color="0077BD"/>
              <w:right w:val="nil"/>
            </w:tcBorders>
            <w:shd w:val="clear" w:color="auto" w:fill="auto"/>
            <w:vAlign w:val="center"/>
          </w:tcPr>
          <w:p w14:paraId="621680F2" w14:textId="1604269C" w:rsidR="0097101B" w:rsidRPr="005940DF" w:rsidRDefault="0097101B" w:rsidP="00205F5A">
            <w:pPr>
              <w:jc w:val="right"/>
              <w:rPr>
                <w:rFonts w:cs="Calibri"/>
                <w:color w:val="000000" w:themeColor="text1"/>
                <w:sz w:val="9"/>
                <w:szCs w:val="9"/>
              </w:rPr>
            </w:pPr>
            <w:r w:rsidRPr="005940DF">
              <w:rPr>
                <w:rFonts w:cs="Calibri"/>
                <w:color w:val="000000" w:themeColor="text1"/>
                <w:sz w:val="9"/>
                <w:szCs w:val="9"/>
              </w:rPr>
              <w:t>4 342 890</w:t>
            </w:r>
          </w:p>
        </w:tc>
      </w:tr>
      <w:tr w:rsidR="0097101B" w:rsidRPr="005940DF" w14:paraId="1C6F98A5" w14:textId="77777777" w:rsidTr="005940DF">
        <w:trPr>
          <w:trHeight w:val="284"/>
        </w:trPr>
        <w:tc>
          <w:tcPr>
            <w:tcW w:w="1854" w:type="dxa"/>
            <w:tcBorders>
              <w:top w:val="single" w:sz="8" w:space="0" w:color="0077BD"/>
              <w:left w:val="nil"/>
              <w:bottom w:val="single" w:sz="8" w:space="0" w:color="0077BD"/>
              <w:right w:val="single" w:sz="8" w:space="0" w:color="0077BD"/>
            </w:tcBorders>
            <w:shd w:val="clear" w:color="auto" w:fill="auto"/>
            <w:vAlign w:val="center"/>
            <w:hideMark/>
          </w:tcPr>
          <w:p w14:paraId="673D3DFD" w14:textId="77777777" w:rsidR="0097101B" w:rsidRPr="005940DF" w:rsidRDefault="0097101B" w:rsidP="0097101B">
            <w:pPr>
              <w:rPr>
                <w:rFonts w:cs="Calibri"/>
                <w:b/>
                <w:bCs/>
                <w:color w:val="000000" w:themeColor="text1"/>
                <w:sz w:val="9"/>
                <w:szCs w:val="9"/>
              </w:rPr>
            </w:pPr>
            <w:r w:rsidRPr="005940DF">
              <w:rPr>
                <w:rFonts w:cs="Calibri"/>
                <w:b/>
                <w:bCs/>
                <w:color w:val="000000" w:themeColor="text1"/>
                <w:sz w:val="9"/>
                <w:szCs w:val="9"/>
              </w:rPr>
              <w:t>Kredyty i pożyczki udzielone klientom</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38006FA" w14:textId="446445DC"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95 059 979</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1986628" w14:textId="55D8EAF6"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E93F55B" w14:textId="7DBAB861"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D388251" w14:textId="7F405958"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2BEC4A99" w14:textId="62B08BC3"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34 350 790</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22F69C16" w14:textId="29EEAF5A"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(18 991 377)</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3B32AE22" w14:textId="0F703132"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(597 253)</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24F269F" w14:textId="799617E4" w:rsidR="0097101B" w:rsidRPr="005940DF" w:rsidRDefault="0097101B" w:rsidP="0097101B">
            <w:pPr>
              <w:jc w:val="right"/>
              <w:rPr>
                <w:rFonts w:cs="Calibri"/>
                <w:b/>
                <w:bCs/>
                <w:color w:val="000000" w:themeColor="text1"/>
                <w:sz w:val="9"/>
                <w:szCs w:val="9"/>
              </w:rPr>
            </w:pPr>
            <w:r w:rsidRPr="005940DF">
              <w:rPr>
                <w:rFonts w:cs="Calibri"/>
                <w:b/>
                <w:bCs/>
                <w:sz w:val="9"/>
                <w:szCs w:val="9"/>
              </w:rPr>
              <w:t>(3 428 607)</w:t>
            </w:r>
          </w:p>
        </w:tc>
        <w:tc>
          <w:tcPr>
            <w:tcW w:w="811" w:type="dxa"/>
            <w:tcBorders>
              <w:top w:val="single" w:sz="8" w:space="0" w:color="0077BD"/>
              <w:left w:val="nil"/>
              <w:bottom w:val="single" w:sz="8" w:space="0" w:color="0077BD"/>
              <w:right w:val="nil"/>
            </w:tcBorders>
            <w:shd w:val="clear" w:color="auto" w:fill="auto"/>
            <w:vAlign w:val="center"/>
          </w:tcPr>
          <w:p w14:paraId="51895430" w14:textId="764365DF"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106 393 532</w:t>
            </w:r>
          </w:p>
        </w:tc>
      </w:tr>
      <w:tr w:rsidR="0097101B" w:rsidRPr="005940DF" w14:paraId="1DCB61F4" w14:textId="77777777" w:rsidTr="005940DF">
        <w:trPr>
          <w:trHeight w:val="284"/>
        </w:trPr>
        <w:tc>
          <w:tcPr>
            <w:tcW w:w="1854" w:type="dxa"/>
            <w:tcBorders>
              <w:top w:val="single" w:sz="4" w:space="0" w:color="0077BD"/>
              <w:left w:val="nil"/>
              <w:bottom w:val="single" w:sz="4" w:space="0" w:color="0077BD"/>
              <w:right w:val="single" w:sz="8" w:space="0" w:color="0077BD"/>
            </w:tcBorders>
            <w:shd w:val="clear" w:color="auto" w:fill="auto"/>
            <w:vAlign w:val="center"/>
            <w:hideMark/>
          </w:tcPr>
          <w:p w14:paraId="003FB84E" w14:textId="77777777" w:rsidR="0097101B" w:rsidRPr="005940DF" w:rsidRDefault="0097101B" w:rsidP="0097101B">
            <w:pPr>
              <w:rPr>
                <w:rFonts w:cs="Calibri"/>
                <w:color w:val="000000" w:themeColor="text1"/>
                <w:sz w:val="9"/>
                <w:szCs w:val="9"/>
              </w:rPr>
            </w:pPr>
            <w:r w:rsidRPr="005940DF">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78E2AF4" w14:textId="12A81A0B"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82 159 668</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1412A956" w14:textId="55FBDF8D"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3 406 464</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2AF7102D" w14:textId="3ABC0FF8"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(3 116 956)</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3345035" w14:textId="5BBD7E93"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(626 902)</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8F5F47E" w14:textId="0FADB34F"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32 103 237</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EB16D8D" w14:textId="15C49260"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(16 817 502)</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08FB77CF" w14:textId="22526075"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2300762" w14:textId="69885CAF" w:rsidR="0097101B" w:rsidRPr="005940DF" w:rsidRDefault="0097101B" w:rsidP="0097101B">
            <w:pPr>
              <w:jc w:val="right"/>
              <w:rPr>
                <w:rFonts w:cs="Calibri"/>
                <w:color w:val="000000" w:themeColor="text1"/>
                <w:sz w:val="9"/>
                <w:szCs w:val="9"/>
              </w:rPr>
            </w:pPr>
            <w:r w:rsidRPr="005940DF">
              <w:rPr>
                <w:rFonts w:cs="Calibri"/>
                <w:sz w:val="9"/>
                <w:szCs w:val="9"/>
              </w:rPr>
              <w:t>(2 977 808)</w:t>
            </w:r>
          </w:p>
        </w:tc>
        <w:tc>
          <w:tcPr>
            <w:tcW w:w="811" w:type="dxa"/>
            <w:tcBorders>
              <w:top w:val="single" w:sz="4" w:space="0" w:color="0077BD"/>
              <w:left w:val="nil"/>
              <w:bottom w:val="single" w:sz="4" w:space="0" w:color="0077BD"/>
              <w:right w:val="nil"/>
            </w:tcBorders>
            <w:shd w:val="clear" w:color="auto" w:fill="auto"/>
            <w:vAlign w:val="center"/>
          </w:tcPr>
          <w:p w14:paraId="77980381" w14:textId="5A656557"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94 130 201</w:t>
            </w:r>
          </w:p>
        </w:tc>
      </w:tr>
      <w:tr w:rsidR="0097101B" w:rsidRPr="005940DF" w14:paraId="279A0CE6" w14:textId="77777777" w:rsidTr="005940DF">
        <w:trPr>
          <w:trHeight w:val="284"/>
        </w:trPr>
        <w:tc>
          <w:tcPr>
            <w:tcW w:w="1854" w:type="dxa"/>
            <w:tcBorders>
              <w:top w:val="nil"/>
              <w:left w:val="nil"/>
              <w:bottom w:val="single" w:sz="4" w:space="0" w:color="0077BD"/>
              <w:right w:val="single" w:sz="8" w:space="0" w:color="0077BD"/>
            </w:tcBorders>
            <w:shd w:val="clear" w:color="auto" w:fill="auto"/>
            <w:vAlign w:val="center"/>
            <w:hideMark/>
          </w:tcPr>
          <w:p w14:paraId="1E798B4F" w14:textId="77777777" w:rsidR="0097101B" w:rsidRPr="005940DF" w:rsidRDefault="0097101B" w:rsidP="0097101B">
            <w:pPr>
              <w:rPr>
                <w:rFonts w:cs="Calibri"/>
                <w:color w:val="000000" w:themeColor="text1"/>
                <w:sz w:val="9"/>
                <w:szCs w:val="9"/>
              </w:rPr>
            </w:pPr>
            <w:r w:rsidRPr="005940DF">
              <w:rPr>
                <w:rFonts w:cs="Calibri"/>
                <w:color w:val="000000" w:themeColor="text1"/>
                <w:sz w:val="9"/>
                <w:szCs w:val="9"/>
              </w:rPr>
              <w:t>Koszyk 2</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37E21BFC" w14:textId="7EED962A"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8 714 545</w:t>
            </w:r>
          </w:p>
        </w:tc>
        <w:tc>
          <w:tcPr>
            <w:tcW w:w="811" w:type="dxa"/>
            <w:tcBorders>
              <w:top w:val="nil"/>
              <w:left w:val="nil"/>
              <w:bottom w:val="single" w:sz="4" w:space="0" w:color="0077BD"/>
              <w:right w:val="single" w:sz="8" w:space="0" w:color="0077BD"/>
            </w:tcBorders>
            <w:shd w:val="clear" w:color="auto" w:fill="auto"/>
            <w:vAlign w:val="center"/>
          </w:tcPr>
          <w:p w14:paraId="7858548E" w14:textId="7BA6C81C"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(3 253 951)</w:t>
            </w:r>
          </w:p>
        </w:tc>
        <w:tc>
          <w:tcPr>
            <w:tcW w:w="811" w:type="dxa"/>
            <w:tcBorders>
              <w:top w:val="nil"/>
              <w:left w:val="nil"/>
              <w:bottom w:val="single" w:sz="4" w:space="0" w:color="0077BD"/>
              <w:right w:val="single" w:sz="8" w:space="0" w:color="0077BD"/>
            </w:tcBorders>
            <w:shd w:val="clear" w:color="auto" w:fill="auto"/>
            <w:vAlign w:val="center"/>
          </w:tcPr>
          <w:p w14:paraId="6FB0CCC2" w14:textId="4857C7F1"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3 189 531</w:t>
            </w:r>
          </w:p>
        </w:tc>
        <w:tc>
          <w:tcPr>
            <w:tcW w:w="811" w:type="dxa"/>
            <w:tcBorders>
              <w:top w:val="nil"/>
              <w:left w:val="nil"/>
              <w:bottom w:val="single" w:sz="4" w:space="0" w:color="0077BD"/>
              <w:right w:val="single" w:sz="8" w:space="0" w:color="0077BD"/>
            </w:tcBorders>
            <w:shd w:val="clear" w:color="auto" w:fill="auto"/>
            <w:vAlign w:val="center"/>
          </w:tcPr>
          <w:p w14:paraId="6CAC345F" w14:textId="6A9E466F"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(450 634)</w:t>
            </w:r>
          </w:p>
        </w:tc>
        <w:tc>
          <w:tcPr>
            <w:tcW w:w="811" w:type="dxa"/>
            <w:tcBorders>
              <w:top w:val="nil"/>
              <w:left w:val="nil"/>
              <w:bottom w:val="single" w:sz="4" w:space="0" w:color="0077BD"/>
              <w:right w:val="single" w:sz="8" w:space="0" w:color="0077BD"/>
            </w:tcBorders>
            <w:shd w:val="clear" w:color="auto" w:fill="auto"/>
            <w:vAlign w:val="center"/>
          </w:tcPr>
          <w:p w14:paraId="25621122" w14:textId="55010104"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1 916 470</w:t>
            </w:r>
          </w:p>
        </w:tc>
        <w:tc>
          <w:tcPr>
            <w:tcW w:w="811" w:type="dxa"/>
            <w:tcBorders>
              <w:top w:val="nil"/>
              <w:left w:val="nil"/>
              <w:bottom w:val="single" w:sz="4" w:space="0" w:color="0077BD"/>
              <w:right w:val="single" w:sz="8" w:space="0" w:color="0077BD"/>
            </w:tcBorders>
            <w:shd w:val="clear" w:color="auto" w:fill="auto"/>
            <w:vAlign w:val="center"/>
          </w:tcPr>
          <w:p w14:paraId="3E37F921" w14:textId="2290D77D"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(1 861 076)</w:t>
            </w:r>
          </w:p>
        </w:tc>
        <w:tc>
          <w:tcPr>
            <w:tcW w:w="811" w:type="dxa"/>
            <w:tcBorders>
              <w:top w:val="nil"/>
              <w:left w:val="nil"/>
              <w:bottom w:val="single" w:sz="4" w:space="0" w:color="0077BD"/>
              <w:right w:val="single" w:sz="8" w:space="0" w:color="0077BD"/>
            </w:tcBorders>
            <w:shd w:val="clear" w:color="auto" w:fill="auto"/>
            <w:vAlign w:val="center"/>
          </w:tcPr>
          <w:p w14:paraId="05C116E5" w14:textId="1CAC2C44"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5B97F88D" w14:textId="74B1CDEC" w:rsidR="0097101B" w:rsidRPr="005940DF" w:rsidRDefault="0097101B" w:rsidP="0097101B">
            <w:pPr>
              <w:jc w:val="right"/>
              <w:rPr>
                <w:rFonts w:cs="Calibri"/>
                <w:color w:val="000000" w:themeColor="text1"/>
                <w:sz w:val="9"/>
                <w:szCs w:val="9"/>
              </w:rPr>
            </w:pPr>
            <w:r w:rsidRPr="005940DF">
              <w:rPr>
                <w:rFonts w:cs="Calibri"/>
                <w:sz w:val="9"/>
                <w:szCs w:val="9"/>
              </w:rPr>
              <w:t>(334 839)</w:t>
            </w:r>
          </w:p>
        </w:tc>
        <w:tc>
          <w:tcPr>
            <w:tcW w:w="811" w:type="dxa"/>
            <w:tcBorders>
              <w:top w:val="nil"/>
              <w:left w:val="nil"/>
              <w:bottom w:val="single" w:sz="4" w:space="0" w:color="0077BD"/>
              <w:right w:val="nil"/>
            </w:tcBorders>
            <w:shd w:val="clear" w:color="auto" w:fill="auto"/>
            <w:vAlign w:val="center"/>
          </w:tcPr>
          <w:p w14:paraId="70271D40" w14:textId="4F8D4C5A"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7 920 046</w:t>
            </w:r>
          </w:p>
        </w:tc>
      </w:tr>
      <w:tr w:rsidR="0097101B" w:rsidRPr="005940DF" w14:paraId="3DAAA165" w14:textId="77777777" w:rsidTr="005940DF">
        <w:trPr>
          <w:trHeight w:val="284"/>
        </w:trPr>
        <w:tc>
          <w:tcPr>
            <w:tcW w:w="1854" w:type="dxa"/>
            <w:tcBorders>
              <w:top w:val="nil"/>
              <w:left w:val="nil"/>
              <w:bottom w:val="single" w:sz="4" w:space="0" w:color="0077BD"/>
              <w:right w:val="single" w:sz="8" w:space="0" w:color="0077BD"/>
            </w:tcBorders>
            <w:shd w:val="clear" w:color="auto" w:fill="auto"/>
            <w:vAlign w:val="center"/>
            <w:hideMark/>
          </w:tcPr>
          <w:p w14:paraId="5BED95B7" w14:textId="77777777" w:rsidR="0097101B" w:rsidRPr="005940DF" w:rsidRDefault="0097101B" w:rsidP="0097101B">
            <w:pPr>
              <w:rPr>
                <w:rFonts w:cs="Calibri"/>
                <w:color w:val="000000" w:themeColor="text1"/>
                <w:sz w:val="9"/>
                <w:szCs w:val="9"/>
              </w:rPr>
            </w:pPr>
            <w:r w:rsidRPr="005940DF">
              <w:rPr>
                <w:rFonts w:cs="Calibri"/>
                <w:color w:val="000000" w:themeColor="text1"/>
                <w:sz w:val="9"/>
                <w:szCs w:val="9"/>
              </w:rPr>
              <w:t>Koszyk 3</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4495763B" w14:textId="7AB6F574"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3 976 749</w:t>
            </w:r>
          </w:p>
        </w:tc>
        <w:tc>
          <w:tcPr>
            <w:tcW w:w="811" w:type="dxa"/>
            <w:tcBorders>
              <w:top w:val="nil"/>
              <w:left w:val="nil"/>
              <w:bottom w:val="single" w:sz="4" w:space="0" w:color="0077BD"/>
              <w:right w:val="single" w:sz="8" w:space="0" w:color="0077BD"/>
            </w:tcBorders>
            <w:shd w:val="clear" w:color="auto" w:fill="auto"/>
            <w:vAlign w:val="center"/>
          </w:tcPr>
          <w:p w14:paraId="34E58CBA" w14:textId="57F35E66"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(152 513)</w:t>
            </w:r>
          </w:p>
        </w:tc>
        <w:tc>
          <w:tcPr>
            <w:tcW w:w="811" w:type="dxa"/>
            <w:tcBorders>
              <w:top w:val="nil"/>
              <w:left w:val="nil"/>
              <w:bottom w:val="single" w:sz="4" w:space="0" w:color="0077BD"/>
              <w:right w:val="single" w:sz="8" w:space="0" w:color="0077BD"/>
            </w:tcBorders>
            <w:shd w:val="clear" w:color="auto" w:fill="auto"/>
            <w:vAlign w:val="center"/>
          </w:tcPr>
          <w:p w14:paraId="6554867F" w14:textId="2E794141"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(72 575)</w:t>
            </w:r>
          </w:p>
        </w:tc>
        <w:tc>
          <w:tcPr>
            <w:tcW w:w="811" w:type="dxa"/>
            <w:tcBorders>
              <w:top w:val="nil"/>
              <w:left w:val="nil"/>
              <w:bottom w:val="single" w:sz="4" w:space="0" w:color="0077BD"/>
              <w:right w:val="single" w:sz="8" w:space="0" w:color="0077BD"/>
            </w:tcBorders>
            <w:shd w:val="clear" w:color="auto" w:fill="auto"/>
            <w:vAlign w:val="center"/>
          </w:tcPr>
          <w:p w14:paraId="76B8A88D" w14:textId="7CC9180D"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992 776</w:t>
            </w:r>
          </w:p>
        </w:tc>
        <w:tc>
          <w:tcPr>
            <w:tcW w:w="811" w:type="dxa"/>
            <w:tcBorders>
              <w:top w:val="nil"/>
              <w:left w:val="nil"/>
              <w:bottom w:val="single" w:sz="4" w:space="0" w:color="0077BD"/>
              <w:right w:val="single" w:sz="8" w:space="0" w:color="0077BD"/>
            </w:tcBorders>
            <w:shd w:val="clear" w:color="auto" w:fill="auto"/>
            <w:vAlign w:val="center"/>
          </w:tcPr>
          <w:p w14:paraId="25271113" w14:textId="49ACA8D4"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318 861</w:t>
            </w:r>
          </w:p>
        </w:tc>
        <w:tc>
          <w:tcPr>
            <w:tcW w:w="811" w:type="dxa"/>
            <w:tcBorders>
              <w:top w:val="nil"/>
              <w:left w:val="nil"/>
              <w:bottom w:val="single" w:sz="4" w:space="0" w:color="0077BD"/>
              <w:right w:val="single" w:sz="8" w:space="0" w:color="0077BD"/>
            </w:tcBorders>
            <w:shd w:val="clear" w:color="auto" w:fill="auto"/>
            <w:vAlign w:val="center"/>
          </w:tcPr>
          <w:p w14:paraId="66C6D673" w14:textId="7FD59B76"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(302 412)</w:t>
            </w:r>
          </w:p>
        </w:tc>
        <w:tc>
          <w:tcPr>
            <w:tcW w:w="811" w:type="dxa"/>
            <w:tcBorders>
              <w:top w:val="nil"/>
              <w:left w:val="nil"/>
              <w:bottom w:val="single" w:sz="4" w:space="0" w:color="0077BD"/>
              <w:right w:val="single" w:sz="8" w:space="0" w:color="0077BD"/>
            </w:tcBorders>
            <w:shd w:val="clear" w:color="auto" w:fill="auto"/>
            <w:vAlign w:val="center"/>
          </w:tcPr>
          <w:p w14:paraId="15D0349D" w14:textId="3B5A5E98"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(589 552)</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6F7F313E" w14:textId="7EE87959" w:rsidR="0097101B" w:rsidRPr="005940DF" w:rsidRDefault="0097101B" w:rsidP="0097101B">
            <w:pPr>
              <w:jc w:val="right"/>
              <w:rPr>
                <w:rFonts w:cs="Calibri"/>
                <w:color w:val="000000" w:themeColor="text1"/>
                <w:sz w:val="9"/>
                <w:szCs w:val="9"/>
              </w:rPr>
            </w:pPr>
            <w:r w:rsidRPr="005940DF">
              <w:rPr>
                <w:rFonts w:cs="Calibri"/>
                <w:sz w:val="9"/>
                <w:szCs w:val="9"/>
              </w:rPr>
              <w:t>(65 637)</w:t>
            </w:r>
          </w:p>
        </w:tc>
        <w:tc>
          <w:tcPr>
            <w:tcW w:w="811" w:type="dxa"/>
            <w:tcBorders>
              <w:top w:val="nil"/>
              <w:left w:val="nil"/>
              <w:bottom w:val="single" w:sz="4" w:space="0" w:color="0077BD"/>
              <w:right w:val="nil"/>
            </w:tcBorders>
            <w:shd w:val="clear" w:color="auto" w:fill="auto"/>
            <w:vAlign w:val="center"/>
          </w:tcPr>
          <w:p w14:paraId="7D90F8ED" w14:textId="31D09830"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4 105 697</w:t>
            </w:r>
          </w:p>
        </w:tc>
      </w:tr>
      <w:tr w:rsidR="0097101B" w:rsidRPr="005940DF" w14:paraId="378FDADA" w14:textId="77777777" w:rsidTr="005940DF">
        <w:trPr>
          <w:trHeight w:val="284"/>
        </w:trPr>
        <w:tc>
          <w:tcPr>
            <w:tcW w:w="1854" w:type="dxa"/>
            <w:tcBorders>
              <w:top w:val="nil"/>
              <w:left w:val="nil"/>
              <w:bottom w:val="single" w:sz="4" w:space="0" w:color="0077BD"/>
              <w:right w:val="single" w:sz="8" w:space="0" w:color="0077BD"/>
            </w:tcBorders>
            <w:shd w:val="clear" w:color="auto" w:fill="auto"/>
            <w:vAlign w:val="center"/>
            <w:hideMark/>
          </w:tcPr>
          <w:p w14:paraId="55FE7EED" w14:textId="77777777" w:rsidR="0097101B" w:rsidRPr="005940DF" w:rsidRDefault="0097101B" w:rsidP="0097101B">
            <w:pPr>
              <w:rPr>
                <w:rFonts w:cs="Calibri"/>
                <w:color w:val="000000" w:themeColor="text1"/>
                <w:sz w:val="9"/>
                <w:szCs w:val="9"/>
              </w:rPr>
            </w:pPr>
            <w:r w:rsidRPr="005940DF">
              <w:rPr>
                <w:rFonts w:cs="Calibri"/>
                <w:color w:val="000000" w:themeColor="text1"/>
                <w:sz w:val="9"/>
                <w:szCs w:val="9"/>
              </w:rPr>
              <w:t>POCI</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1F581EC5" w14:textId="2A6B2861"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209 017</w:t>
            </w:r>
          </w:p>
        </w:tc>
        <w:tc>
          <w:tcPr>
            <w:tcW w:w="811" w:type="dxa"/>
            <w:tcBorders>
              <w:top w:val="nil"/>
              <w:left w:val="nil"/>
              <w:bottom w:val="single" w:sz="4" w:space="0" w:color="0077BD"/>
              <w:right w:val="single" w:sz="8" w:space="0" w:color="0077BD"/>
            </w:tcBorders>
            <w:shd w:val="clear" w:color="auto" w:fill="auto"/>
            <w:vAlign w:val="center"/>
          </w:tcPr>
          <w:p w14:paraId="12A128C9" w14:textId="6BF8DAE4"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4BA669DB" w14:textId="44F24BDF"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4A37D14C" w14:textId="1E558B59"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84 760</w:t>
            </w:r>
          </w:p>
        </w:tc>
        <w:tc>
          <w:tcPr>
            <w:tcW w:w="811" w:type="dxa"/>
            <w:tcBorders>
              <w:top w:val="nil"/>
              <w:left w:val="nil"/>
              <w:bottom w:val="single" w:sz="4" w:space="0" w:color="0077BD"/>
              <w:right w:val="single" w:sz="8" w:space="0" w:color="0077BD"/>
            </w:tcBorders>
            <w:shd w:val="clear" w:color="auto" w:fill="auto"/>
            <w:vAlign w:val="center"/>
          </w:tcPr>
          <w:p w14:paraId="5A65292C" w14:textId="52CF86EF"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12 222</w:t>
            </w:r>
          </w:p>
        </w:tc>
        <w:tc>
          <w:tcPr>
            <w:tcW w:w="811" w:type="dxa"/>
            <w:tcBorders>
              <w:top w:val="nil"/>
              <w:left w:val="nil"/>
              <w:bottom w:val="single" w:sz="4" w:space="0" w:color="0077BD"/>
              <w:right w:val="single" w:sz="8" w:space="0" w:color="0077BD"/>
            </w:tcBorders>
            <w:shd w:val="clear" w:color="auto" w:fill="auto"/>
            <w:vAlign w:val="center"/>
          </w:tcPr>
          <w:p w14:paraId="75E971A5" w14:textId="7E78621A"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(10 387)</w:t>
            </w:r>
          </w:p>
        </w:tc>
        <w:tc>
          <w:tcPr>
            <w:tcW w:w="811" w:type="dxa"/>
            <w:tcBorders>
              <w:top w:val="nil"/>
              <w:left w:val="nil"/>
              <w:bottom w:val="single" w:sz="4" w:space="0" w:color="0077BD"/>
              <w:right w:val="single" w:sz="8" w:space="0" w:color="0077BD"/>
            </w:tcBorders>
            <w:shd w:val="clear" w:color="auto" w:fill="auto"/>
            <w:vAlign w:val="center"/>
          </w:tcPr>
          <w:p w14:paraId="4C089466" w14:textId="3B45CA93"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(7 701)</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0031EE51" w14:textId="6B552171" w:rsidR="0097101B" w:rsidRPr="005940DF" w:rsidRDefault="0097101B" w:rsidP="0097101B">
            <w:pPr>
              <w:jc w:val="right"/>
              <w:rPr>
                <w:rFonts w:cs="Calibri"/>
                <w:color w:val="000000" w:themeColor="text1"/>
                <w:sz w:val="9"/>
                <w:szCs w:val="9"/>
              </w:rPr>
            </w:pPr>
            <w:r w:rsidRPr="005940DF">
              <w:rPr>
                <w:rFonts w:cs="Calibri"/>
                <w:sz w:val="9"/>
                <w:szCs w:val="9"/>
              </w:rPr>
              <w:t>(50 323)</w:t>
            </w:r>
          </w:p>
        </w:tc>
        <w:tc>
          <w:tcPr>
            <w:tcW w:w="811" w:type="dxa"/>
            <w:tcBorders>
              <w:top w:val="nil"/>
              <w:left w:val="nil"/>
              <w:bottom w:val="single" w:sz="4" w:space="0" w:color="0077BD"/>
              <w:right w:val="nil"/>
            </w:tcBorders>
            <w:shd w:val="clear" w:color="auto" w:fill="auto"/>
            <w:vAlign w:val="center"/>
          </w:tcPr>
          <w:p w14:paraId="16904410" w14:textId="69ADF7D9" w:rsidR="0097101B" w:rsidRPr="005940DF" w:rsidRDefault="0097101B" w:rsidP="0097101B">
            <w:pPr>
              <w:jc w:val="right"/>
              <w:rPr>
                <w:rFonts w:cs="Calibri"/>
                <w:color w:val="000000" w:themeColor="text1"/>
                <w:sz w:val="9"/>
                <w:szCs w:val="9"/>
              </w:rPr>
            </w:pPr>
            <w:r w:rsidRPr="005940DF">
              <w:rPr>
                <w:rFonts w:cs="Calibri"/>
                <w:color w:val="000000" w:themeColor="text1"/>
                <w:sz w:val="9"/>
                <w:szCs w:val="9"/>
              </w:rPr>
              <w:t>237 588</w:t>
            </w:r>
          </w:p>
        </w:tc>
      </w:tr>
      <w:tr w:rsidR="0097101B" w:rsidRPr="005940DF" w14:paraId="62382EEB" w14:textId="77777777" w:rsidTr="005940DF">
        <w:trPr>
          <w:trHeight w:val="284"/>
        </w:trPr>
        <w:tc>
          <w:tcPr>
            <w:tcW w:w="1854" w:type="dxa"/>
            <w:tcBorders>
              <w:top w:val="single" w:sz="8" w:space="0" w:color="0077BD"/>
              <w:left w:val="nil"/>
              <w:bottom w:val="single" w:sz="8" w:space="0" w:color="0077BD"/>
              <w:right w:val="single" w:sz="8" w:space="0" w:color="0077BD"/>
            </w:tcBorders>
            <w:shd w:val="clear" w:color="auto" w:fill="auto"/>
            <w:vAlign w:val="center"/>
            <w:hideMark/>
          </w:tcPr>
          <w:p w14:paraId="24CBB884" w14:textId="57B1B361" w:rsidR="0097101B" w:rsidRPr="005940DF" w:rsidRDefault="0097101B" w:rsidP="0097101B">
            <w:pPr>
              <w:rPr>
                <w:rFonts w:cs="Calibri"/>
                <w:b/>
                <w:bCs/>
                <w:color w:val="000000" w:themeColor="text1"/>
                <w:sz w:val="9"/>
                <w:szCs w:val="9"/>
              </w:rPr>
            </w:pPr>
            <w:r w:rsidRPr="005940DF">
              <w:rPr>
                <w:rFonts w:cs="Calibri"/>
                <w:b/>
                <w:bCs/>
                <w:color w:val="000000" w:themeColor="text1"/>
                <w:sz w:val="9"/>
                <w:szCs w:val="9"/>
              </w:rPr>
              <w:t>Wartość bilansowa brutto, razem</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6726B68" w14:textId="520A3AA4"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106 608 469</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E8F4B3F" w14:textId="6D787440"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3A46A141" w14:textId="4110B0D0"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2A50DA2" w14:textId="385BF541"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108E395" w14:textId="3ADC8259"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39 820 461</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D0F9BE6" w14:textId="388171F7"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(21 173 912)</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1A81ED3" w14:textId="1E426A0D"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(597 253)</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69B34BE8" w14:textId="1F99A581" w:rsidR="0097101B" w:rsidRPr="005940DF" w:rsidRDefault="0097101B" w:rsidP="0097101B">
            <w:pPr>
              <w:jc w:val="right"/>
              <w:rPr>
                <w:rFonts w:cs="Calibri"/>
                <w:b/>
                <w:bCs/>
                <w:color w:val="000000" w:themeColor="text1"/>
                <w:sz w:val="9"/>
                <w:szCs w:val="9"/>
              </w:rPr>
            </w:pPr>
            <w:r w:rsidRPr="005940DF">
              <w:rPr>
                <w:rFonts w:cs="Calibri"/>
                <w:b/>
                <w:bCs/>
                <w:sz w:val="9"/>
                <w:szCs w:val="9"/>
              </w:rPr>
              <w:t>(2 686 391)</w:t>
            </w:r>
          </w:p>
        </w:tc>
        <w:tc>
          <w:tcPr>
            <w:tcW w:w="811" w:type="dxa"/>
            <w:tcBorders>
              <w:top w:val="single" w:sz="8" w:space="0" w:color="0077BD"/>
              <w:left w:val="nil"/>
              <w:bottom w:val="single" w:sz="8" w:space="0" w:color="0077BD"/>
              <w:right w:val="nil"/>
            </w:tcBorders>
            <w:shd w:val="clear" w:color="auto" w:fill="auto"/>
            <w:vAlign w:val="center"/>
          </w:tcPr>
          <w:p w14:paraId="1E73F985" w14:textId="008B2F00" w:rsidR="0097101B" w:rsidRPr="005940DF" w:rsidRDefault="0097101B" w:rsidP="0097101B">
            <w:pPr>
              <w:jc w:val="right"/>
              <w:rPr>
                <w:rFonts w:cs="Calibri"/>
                <w:b/>
                <w:bCs/>
                <w:color w:val="000000" w:themeColor="text1"/>
                <w:sz w:val="9"/>
                <w:szCs w:val="9"/>
              </w:rPr>
            </w:pPr>
            <w:r w:rsidRPr="005940DF">
              <w:rPr>
                <w:rFonts w:cs="Calibri"/>
                <w:b/>
                <w:bCs/>
                <w:color w:val="000000" w:themeColor="text1"/>
                <w:sz w:val="9"/>
                <w:szCs w:val="9"/>
              </w:rPr>
              <w:t>121 971 374</w:t>
            </w:r>
          </w:p>
        </w:tc>
      </w:tr>
    </w:tbl>
    <w:p w14:paraId="7D3F64A4" w14:textId="08131B22" w:rsidR="000270C9" w:rsidRDefault="000270C9" w:rsidP="000270C9">
      <w:pPr>
        <w:jc w:val="both"/>
        <w:rPr>
          <w:noProof/>
        </w:rPr>
      </w:pPr>
    </w:p>
    <w:p w14:paraId="60048E9D" w14:textId="18DBC511" w:rsidR="00ED78C0" w:rsidRDefault="00ED78C0">
      <w:pPr>
        <w:rPr>
          <w:noProof/>
        </w:rPr>
      </w:pPr>
      <w:r>
        <w:rPr>
          <w:noProof/>
        </w:rPr>
        <w:br w:type="page"/>
      </w:r>
    </w:p>
    <w:tbl>
      <w:tblPr>
        <w:tblW w:w="9639" w:type="dxa"/>
        <w:tblCellMar>
          <w:left w:w="0" w:type="dxa"/>
          <w:right w:w="0" w:type="dxa"/>
        </w:tblCellMar>
        <w:tblLook w:val="04A0" w:firstRow="1" w:lastRow="0" w:firstColumn="1" w:lastColumn="0" w:noHBand="0" w:noVBand="1"/>
      </w:tblPr>
      <w:tblGrid>
        <w:gridCol w:w="2061"/>
        <w:gridCol w:w="842"/>
        <w:gridCol w:w="842"/>
        <w:gridCol w:w="842"/>
        <w:gridCol w:w="842"/>
        <w:gridCol w:w="842"/>
        <w:gridCol w:w="842"/>
        <w:gridCol w:w="842"/>
        <w:gridCol w:w="842"/>
        <w:gridCol w:w="842"/>
      </w:tblGrid>
      <w:tr w:rsidR="0097101B" w:rsidRPr="00ED04A4" w14:paraId="12A04FB7" w14:textId="77777777" w:rsidTr="005940DF">
        <w:trPr>
          <w:trHeight w:val="567"/>
        </w:trPr>
        <w:tc>
          <w:tcPr>
            <w:tcW w:w="1985" w:type="dxa"/>
            <w:tcBorders>
              <w:top w:val="single" w:sz="8" w:space="0" w:color="FFFFFF"/>
              <w:left w:val="nil"/>
              <w:bottom w:val="nil"/>
              <w:right w:val="single" w:sz="6" w:space="0" w:color="FFFFFF"/>
            </w:tcBorders>
            <w:shd w:val="clear" w:color="000000" w:fill="0077BD"/>
            <w:vAlign w:val="center"/>
            <w:hideMark/>
          </w:tcPr>
          <w:p w14:paraId="45677BB6" w14:textId="2D2EBA3A" w:rsidR="0097101B" w:rsidRPr="00ED04A4" w:rsidRDefault="0097101B" w:rsidP="005153F9">
            <w:pPr>
              <w:rPr>
                <w:rFonts w:cs="Calibri"/>
                <w:b/>
                <w:bCs/>
                <w:color w:val="FFFFFF"/>
                <w:sz w:val="9"/>
                <w:szCs w:val="9"/>
              </w:rPr>
            </w:pPr>
            <w:r w:rsidRPr="00ED04A4">
              <w:rPr>
                <w:rFonts w:cs="Calibri"/>
                <w:b/>
                <w:bCs/>
                <w:color w:val="FFFFFF"/>
                <w:sz w:val="9"/>
                <w:szCs w:val="9"/>
              </w:rPr>
              <w:lastRenderedPageBreak/>
              <w:t xml:space="preserve">Zmiana w okresie </w:t>
            </w:r>
            <w:r>
              <w:rPr>
                <w:rFonts w:cs="Calibri"/>
                <w:b/>
                <w:bCs/>
                <w:color w:val="FFFFFF"/>
                <w:sz w:val="9"/>
                <w:szCs w:val="9"/>
              </w:rPr>
              <w:t>od 1 stycznia do</w:t>
            </w:r>
            <w:r>
              <w:rPr>
                <w:rFonts w:cs="Calibri"/>
                <w:b/>
                <w:bCs/>
                <w:color w:val="FFFFFF"/>
                <w:sz w:val="9"/>
                <w:szCs w:val="9"/>
              </w:rPr>
              <w:br/>
              <w:t>31 grudnia 2018</w:t>
            </w:r>
            <w:r w:rsidRPr="00ED04A4">
              <w:rPr>
                <w:rFonts w:cs="Calibri"/>
                <w:b/>
                <w:bCs/>
                <w:color w:val="FFFFFF"/>
                <w:sz w:val="9"/>
                <w:szCs w:val="9"/>
              </w:rPr>
              <w:t xml:space="preserve"> r.</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2E01DFE4"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Bilans otwarcia</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8F70173"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Transfer do Koszyka 1</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56FF6787"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Transfer do Koszyka 2</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F337C36"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Transfer do Koszyka 3</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530F91D"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Zwiększenia spowodowane udzieleniem oraz przejęciem</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12D18AAE"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Zmniejszenia spowodowane usunięciem z bilansu</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2A4A6B20" w14:textId="77777777" w:rsidR="0097101B" w:rsidRPr="00ED04A4" w:rsidRDefault="0097101B" w:rsidP="005153F9">
            <w:pPr>
              <w:jc w:val="center"/>
              <w:rPr>
                <w:rFonts w:cs="Calibri"/>
                <w:b/>
                <w:bCs/>
                <w:color w:val="FFFFFF"/>
                <w:sz w:val="9"/>
                <w:szCs w:val="9"/>
              </w:rPr>
            </w:pPr>
            <w:r>
              <w:rPr>
                <w:rFonts w:cs="Calibri"/>
                <w:b/>
                <w:bCs/>
                <w:color w:val="FFFFFF"/>
                <w:sz w:val="9"/>
                <w:szCs w:val="9"/>
              </w:rPr>
              <w:t>S</w:t>
            </w:r>
            <w:r w:rsidRPr="00ED04A4">
              <w:rPr>
                <w:rFonts w:cs="Calibri"/>
                <w:b/>
                <w:bCs/>
                <w:color w:val="FFFFFF"/>
                <w:sz w:val="9"/>
                <w:szCs w:val="9"/>
              </w:rPr>
              <w:t>pisania</w:t>
            </w:r>
          </w:p>
        </w:tc>
        <w:tc>
          <w:tcPr>
            <w:tcW w:w="811" w:type="dxa"/>
            <w:tcBorders>
              <w:top w:val="single" w:sz="8" w:space="0" w:color="FFFFFF"/>
              <w:left w:val="single" w:sz="6" w:space="0" w:color="FFFFFF"/>
              <w:bottom w:val="nil"/>
              <w:right w:val="single" w:sz="6" w:space="0" w:color="FFFFFF"/>
            </w:tcBorders>
            <w:shd w:val="clear" w:color="000000" w:fill="0077BD"/>
            <w:vAlign w:val="center"/>
            <w:hideMark/>
          </w:tcPr>
          <w:p w14:paraId="03FC82D2"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Inne korekty</w:t>
            </w:r>
          </w:p>
        </w:tc>
        <w:tc>
          <w:tcPr>
            <w:tcW w:w="811" w:type="dxa"/>
            <w:tcBorders>
              <w:top w:val="single" w:sz="8" w:space="0" w:color="FFFFFF"/>
              <w:left w:val="single" w:sz="6" w:space="0" w:color="FFFFFF"/>
              <w:bottom w:val="nil"/>
              <w:right w:val="nil"/>
            </w:tcBorders>
            <w:shd w:val="clear" w:color="000000" w:fill="0077BD"/>
            <w:vAlign w:val="center"/>
            <w:hideMark/>
          </w:tcPr>
          <w:p w14:paraId="09335DC0" w14:textId="77777777" w:rsidR="0097101B" w:rsidRPr="00ED04A4" w:rsidRDefault="0097101B" w:rsidP="005153F9">
            <w:pPr>
              <w:jc w:val="center"/>
              <w:rPr>
                <w:rFonts w:cs="Calibri"/>
                <w:b/>
                <w:bCs/>
                <w:color w:val="FFFFFF"/>
                <w:sz w:val="9"/>
                <w:szCs w:val="9"/>
              </w:rPr>
            </w:pPr>
            <w:r w:rsidRPr="00ED04A4">
              <w:rPr>
                <w:rFonts w:cs="Calibri"/>
                <w:b/>
                <w:bCs/>
                <w:color w:val="FFFFFF"/>
                <w:sz w:val="9"/>
                <w:szCs w:val="9"/>
              </w:rPr>
              <w:t>Bilans zamknięcia</w:t>
            </w:r>
          </w:p>
        </w:tc>
      </w:tr>
      <w:tr w:rsidR="0097101B" w:rsidRPr="00ED04A4" w14:paraId="45EFB3A5" w14:textId="77777777" w:rsidTr="005940DF">
        <w:trPr>
          <w:trHeight w:val="284"/>
        </w:trPr>
        <w:tc>
          <w:tcPr>
            <w:tcW w:w="1985" w:type="dxa"/>
            <w:tcBorders>
              <w:top w:val="single" w:sz="8" w:space="0" w:color="0077BD"/>
              <w:left w:val="nil"/>
              <w:bottom w:val="single" w:sz="8" w:space="0" w:color="0077BD"/>
              <w:right w:val="single" w:sz="8" w:space="0" w:color="0077BD"/>
            </w:tcBorders>
            <w:shd w:val="clear" w:color="auto" w:fill="auto"/>
            <w:vAlign w:val="center"/>
            <w:hideMark/>
          </w:tcPr>
          <w:p w14:paraId="2B1EE577" w14:textId="77777777" w:rsidR="0097101B" w:rsidRPr="0070550B" w:rsidRDefault="0097101B" w:rsidP="00F02455">
            <w:pPr>
              <w:rPr>
                <w:rFonts w:cs="Calibri"/>
                <w:b/>
                <w:bCs/>
                <w:color w:val="000000" w:themeColor="text1"/>
                <w:sz w:val="9"/>
                <w:szCs w:val="9"/>
              </w:rPr>
            </w:pPr>
            <w:r w:rsidRPr="0070550B">
              <w:rPr>
                <w:rFonts w:cs="Calibri"/>
                <w:b/>
                <w:bCs/>
                <w:color w:val="000000" w:themeColor="text1"/>
                <w:sz w:val="9"/>
                <w:szCs w:val="9"/>
              </w:rPr>
              <w:t>Dłużne papiery wartościowe</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B55D2BB" w14:textId="00AD14CD"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8 520 207</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6823B3C" w14:textId="243B5019"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D272478" w14:textId="1CB92524"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1AEE7DB" w14:textId="7EFB5DAC"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E01BBB6" w14:textId="1490BCEF"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2 036 547</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38B1867" w14:textId="183D327B"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(1 480 189)</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00814A77" w14:textId="1972C66A"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7B1267EE" w14:textId="3D3D805F" w:rsidR="0097101B" w:rsidRPr="0070550B" w:rsidRDefault="0097101B" w:rsidP="00F02455">
            <w:pPr>
              <w:jc w:val="right"/>
              <w:rPr>
                <w:rFonts w:cs="Calibri"/>
                <w:b/>
                <w:bCs/>
                <w:color w:val="000000" w:themeColor="text1"/>
                <w:sz w:val="9"/>
                <w:szCs w:val="9"/>
              </w:rPr>
            </w:pPr>
            <w:r>
              <w:rPr>
                <w:rFonts w:cs="Calibri"/>
                <w:b/>
                <w:bCs/>
                <w:color w:val="000000" w:themeColor="text1"/>
                <w:sz w:val="9"/>
                <w:szCs w:val="9"/>
              </w:rPr>
              <w:t>(75 939)</w:t>
            </w:r>
          </w:p>
        </w:tc>
        <w:tc>
          <w:tcPr>
            <w:tcW w:w="811" w:type="dxa"/>
            <w:tcBorders>
              <w:top w:val="single" w:sz="8" w:space="0" w:color="0077BD"/>
              <w:left w:val="nil"/>
              <w:bottom w:val="single" w:sz="8" w:space="0" w:color="0077BD"/>
              <w:right w:val="nil"/>
            </w:tcBorders>
            <w:shd w:val="clear" w:color="auto" w:fill="auto"/>
            <w:vAlign w:val="center"/>
          </w:tcPr>
          <w:p w14:paraId="0C2A1837" w14:textId="235D3377"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9 000 626</w:t>
            </w:r>
          </w:p>
        </w:tc>
      </w:tr>
      <w:tr w:rsidR="0097101B" w:rsidRPr="00ED04A4" w14:paraId="776C47CB" w14:textId="77777777" w:rsidTr="005940DF">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17CBAD97"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7BCF3BDD" w14:textId="1DBFDB2E"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8 520 207</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8388E76" w14:textId="4F507601"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0CBE2467" w14:textId="05D28968"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75874D98" w14:textId="0C458919"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2B8B9AD" w14:textId="0594E06A"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2 036 547</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63B80C9E" w14:textId="498C0FDB"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(1 480 189)</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0893955B" w14:textId="19FD56C5"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20D573DD" w14:textId="5EF3B0F9" w:rsidR="0097101B" w:rsidRPr="0070550B" w:rsidRDefault="0097101B" w:rsidP="00F02455">
            <w:pPr>
              <w:jc w:val="right"/>
              <w:rPr>
                <w:rFonts w:cs="Calibri"/>
                <w:color w:val="000000" w:themeColor="text1"/>
                <w:sz w:val="9"/>
                <w:szCs w:val="9"/>
              </w:rPr>
            </w:pPr>
            <w:r>
              <w:rPr>
                <w:rFonts w:cs="Calibri"/>
                <w:color w:val="000000" w:themeColor="text1"/>
                <w:sz w:val="9"/>
                <w:szCs w:val="9"/>
              </w:rPr>
              <w:t>(75 939)</w:t>
            </w:r>
          </w:p>
        </w:tc>
        <w:tc>
          <w:tcPr>
            <w:tcW w:w="811" w:type="dxa"/>
            <w:tcBorders>
              <w:top w:val="single" w:sz="4" w:space="0" w:color="0077BD"/>
              <w:left w:val="nil"/>
              <w:bottom w:val="single" w:sz="4" w:space="0" w:color="0077BD"/>
              <w:right w:val="nil"/>
            </w:tcBorders>
            <w:shd w:val="clear" w:color="auto" w:fill="auto"/>
            <w:vAlign w:val="center"/>
          </w:tcPr>
          <w:p w14:paraId="37CABAC7" w14:textId="5C60A334"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9 000 626</w:t>
            </w:r>
          </w:p>
        </w:tc>
      </w:tr>
      <w:tr w:rsidR="0097101B" w:rsidRPr="00ED04A4" w14:paraId="41DA69E2" w14:textId="77777777" w:rsidTr="005940DF">
        <w:trPr>
          <w:trHeight w:val="284"/>
        </w:trPr>
        <w:tc>
          <w:tcPr>
            <w:tcW w:w="1985" w:type="dxa"/>
            <w:tcBorders>
              <w:top w:val="single" w:sz="8" w:space="0" w:color="0077BD"/>
              <w:left w:val="nil"/>
              <w:bottom w:val="single" w:sz="8" w:space="0" w:color="0077BD"/>
              <w:right w:val="single" w:sz="8" w:space="0" w:color="0077BD"/>
            </w:tcBorders>
            <w:shd w:val="clear" w:color="auto" w:fill="auto"/>
            <w:vAlign w:val="center"/>
            <w:hideMark/>
          </w:tcPr>
          <w:p w14:paraId="100B3F58" w14:textId="77777777" w:rsidR="0097101B" w:rsidRPr="0070550B" w:rsidRDefault="0097101B" w:rsidP="00F02455">
            <w:pPr>
              <w:rPr>
                <w:rFonts w:cs="Calibri"/>
                <w:b/>
                <w:bCs/>
                <w:color w:val="000000" w:themeColor="text1"/>
                <w:sz w:val="9"/>
                <w:szCs w:val="9"/>
              </w:rPr>
            </w:pPr>
            <w:r w:rsidRPr="0070550B">
              <w:rPr>
                <w:rFonts w:cs="Calibri"/>
                <w:b/>
                <w:bCs/>
                <w:color w:val="000000" w:themeColor="text1"/>
                <w:sz w:val="9"/>
                <w:szCs w:val="9"/>
              </w:rPr>
              <w:t>Należności od banków</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A89CB8B" w14:textId="1D429560"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1 708 759</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33524C4B" w14:textId="2DBDB0FF"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745A6F2" w14:textId="78EE1E83"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622799D" w14:textId="62A93010"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33A064DC" w14:textId="2FF801B5"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1 790 086</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B4A2A2F" w14:textId="62DFAB8D"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(964 901)</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76A49187" w14:textId="5E1A74B8"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(238)</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226FCC60" w14:textId="37FC96D4"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14 158</w:t>
            </w:r>
          </w:p>
        </w:tc>
        <w:tc>
          <w:tcPr>
            <w:tcW w:w="811" w:type="dxa"/>
            <w:tcBorders>
              <w:top w:val="single" w:sz="8" w:space="0" w:color="0077BD"/>
              <w:left w:val="nil"/>
              <w:bottom w:val="single" w:sz="8" w:space="0" w:color="0077BD"/>
              <w:right w:val="nil"/>
            </w:tcBorders>
            <w:shd w:val="clear" w:color="auto" w:fill="auto"/>
            <w:vAlign w:val="center"/>
          </w:tcPr>
          <w:p w14:paraId="36003ABE" w14:textId="703310A4"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2 547 864</w:t>
            </w:r>
          </w:p>
        </w:tc>
      </w:tr>
      <w:tr w:rsidR="0097101B" w:rsidRPr="00ED04A4" w14:paraId="23C51834" w14:textId="77777777" w:rsidTr="005940DF">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731CDB4A"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5159E12" w14:textId="06BDD8F9"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1 708 532</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195DD981" w14:textId="67E8CC24"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406DEFD9" w14:textId="62158F95"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4972455" w14:textId="0FA5C78F"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559BC2D" w14:textId="698BDA4F"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1 790 086</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1E94E863" w14:textId="7212444F"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(964 901)</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146A5071" w14:textId="68A4B2C5"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D9CBBE4" w14:textId="116B231C"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14 147</w:t>
            </w:r>
          </w:p>
        </w:tc>
        <w:tc>
          <w:tcPr>
            <w:tcW w:w="811" w:type="dxa"/>
            <w:tcBorders>
              <w:top w:val="single" w:sz="4" w:space="0" w:color="0077BD"/>
              <w:left w:val="nil"/>
              <w:bottom w:val="single" w:sz="4" w:space="0" w:color="0077BD"/>
              <w:right w:val="nil"/>
            </w:tcBorders>
            <w:shd w:val="clear" w:color="auto" w:fill="auto"/>
            <w:vAlign w:val="center"/>
          </w:tcPr>
          <w:p w14:paraId="10E1068D" w14:textId="562EA018"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2 547 864</w:t>
            </w:r>
          </w:p>
        </w:tc>
      </w:tr>
      <w:tr w:rsidR="0097101B" w:rsidRPr="00D21283" w14:paraId="24D36183" w14:textId="77777777" w:rsidTr="005940DF">
        <w:trPr>
          <w:trHeight w:val="284"/>
        </w:trPr>
        <w:tc>
          <w:tcPr>
            <w:tcW w:w="1985" w:type="dxa"/>
            <w:tcBorders>
              <w:top w:val="single" w:sz="4" w:space="0" w:color="0077BD"/>
              <w:left w:val="nil"/>
              <w:bottom w:val="single" w:sz="8" w:space="0" w:color="0077BD"/>
              <w:right w:val="single" w:sz="8" w:space="0" w:color="0077BD"/>
            </w:tcBorders>
            <w:shd w:val="clear" w:color="auto" w:fill="auto"/>
            <w:vAlign w:val="center"/>
          </w:tcPr>
          <w:p w14:paraId="0A170EDB" w14:textId="7C891C72" w:rsidR="0097101B" w:rsidRPr="0070550B" w:rsidRDefault="0097101B" w:rsidP="00F02455">
            <w:pPr>
              <w:rPr>
                <w:rFonts w:cs="Calibri"/>
                <w:bCs/>
                <w:color w:val="000000" w:themeColor="text1"/>
                <w:sz w:val="9"/>
                <w:szCs w:val="9"/>
              </w:rPr>
            </w:pPr>
            <w:r w:rsidRPr="0070550B">
              <w:rPr>
                <w:rFonts w:cs="Calibri"/>
                <w:bCs/>
                <w:color w:val="000000" w:themeColor="text1"/>
                <w:sz w:val="9"/>
                <w:szCs w:val="9"/>
              </w:rPr>
              <w:t>Koszyk 3</w:t>
            </w:r>
          </w:p>
        </w:tc>
        <w:tc>
          <w:tcPr>
            <w:tcW w:w="811" w:type="dxa"/>
            <w:tcBorders>
              <w:top w:val="single" w:sz="4" w:space="0" w:color="0077BD"/>
              <w:left w:val="single" w:sz="8" w:space="0" w:color="0077BD"/>
              <w:bottom w:val="single" w:sz="8" w:space="0" w:color="0077BD"/>
              <w:right w:val="single" w:sz="8" w:space="0" w:color="0077BD"/>
            </w:tcBorders>
            <w:shd w:val="clear" w:color="auto" w:fill="auto"/>
            <w:vAlign w:val="center"/>
          </w:tcPr>
          <w:p w14:paraId="31A19AD0" w14:textId="34D6F02E" w:rsidR="0097101B" w:rsidRPr="0070550B" w:rsidRDefault="0097101B" w:rsidP="00F02455">
            <w:pPr>
              <w:jc w:val="right"/>
              <w:rPr>
                <w:rFonts w:cs="Calibri"/>
                <w:bCs/>
                <w:color w:val="000000" w:themeColor="text1"/>
                <w:sz w:val="9"/>
                <w:szCs w:val="9"/>
              </w:rPr>
            </w:pPr>
            <w:r w:rsidRPr="0070550B">
              <w:rPr>
                <w:rFonts w:cs="Calibri"/>
                <w:bCs/>
                <w:color w:val="000000" w:themeColor="text1"/>
                <w:sz w:val="9"/>
                <w:szCs w:val="9"/>
              </w:rPr>
              <w:t>227</w:t>
            </w:r>
          </w:p>
        </w:tc>
        <w:tc>
          <w:tcPr>
            <w:tcW w:w="811" w:type="dxa"/>
            <w:tcBorders>
              <w:top w:val="single" w:sz="4" w:space="0" w:color="0077BD"/>
              <w:left w:val="single" w:sz="8" w:space="0" w:color="0077BD"/>
              <w:bottom w:val="single" w:sz="8" w:space="0" w:color="0077BD"/>
              <w:right w:val="single" w:sz="8" w:space="0" w:color="0077BD"/>
            </w:tcBorders>
            <w:shd w:val="clear" w:color="auto" w:fill="auto"/>
            <w:vAlign w:val="center"/>
          </w:tcPr>
          <w:p w14:paraId="1FBCDA55" w14:textId="04F5BE09" w:rsidR="0097101B" w:rsidRPr="0070550B" w:rsidRDefault="0097101B" w:rsidP="00F02455">
            <w:pPr>
              <w:jc w:val="right"/>
              <w:rPr>
                <w:rFonts w:cs="Calibri"/>
                <w:bCs/>
                <w:color w:val="000000" w:themeColor="text1"/>
                <w:sz w:val="9"/>
                <w:szCs w:val="9"/>
              </w:rPr>
            </w:pPr>
            <w:r w:rsidRPr="0070550B">
              <w:rPr>
                <w:rFonts w:cs="Calibri"/>
                <w:bCs/>
                <w:color w:val="000000" w:themeColor="text1"/>
                <w:sz w:val="9"/>
                <w:szCs w:val="9"/>
              </w:rPr>
              <w:t>-</w:t>
            </w:r>
          </w:p>
        </w:tc>
        <w:tc>
          <w:tcPr>
            <w:tcW w:w="811" w:type="dxa"/>
            <w:tcBorders>
              <w:top w:val="single" w:sz="4" w:space="0" w:color="0077BD"/>
              <w:left w:val="single" w:sz="8" w:space="0" w:color="0077BD"/>
              <w:bottom w:val="single" w:sz="8" w:space="0" w:color="0077BD"/>
              <w:right w:val="single" w:sz="8" w:space="0" w:color="0077BD"/>
            </w:tcBorders>
            <w:shd w:val="clear" w:color="auto" w:fill="auto"/>
            <w:vAlign w:val="center"/>
          </w:tcPr>
          <w:p w14:paraId="2B10AE45" w14:textId="70323B0A" w:rsidR="0097101B" w:rsidRPr="0070550B" w:rsidRDefault="0097101B" w:rsidP="00F02455">
            <w:pPr>
              <w:jc w:val="right"/>
              <w:rPr>
                <w:rFonts w:cs="Calibri"/>
                <w:bCs/>
                <w:color w:val="000000" w:themeColor="text1"/>
                <w:sz w:val="9"/>
                <w:szCs w:val="9"/>
              </w:rPr>
            </w:pPr>
            <w:r w:rsidRPr="0070550B">
              <w:rPr>
                <w:rFonts w:cs="Calibri"/>
                <w:bCs/>
                <w:color w:val="000000" w:themeColor="text1"/>
                <w:sz w:val="9"/>
                <w:szCs w:val="9"/>
              </w:rPr>
              <w:t>-</w:t>
            </w:r>
          </w:p>
        </w:tc>
        <w:tc>
          <w:tcPr>
            <w:tcW w:w="811" w:type="dxa"/>
            <w:tcBorders>
              <w:top w:val="single" w:sz="4" w:space="0" w:color="0077BD"/>
              <w:left w:val="single" w:sz="8" w:space="0" w:color="0077BD"/>
              <w:bottom w:val="single" w:sz="8" w:space="0" w:color="0077BD"/>
              <w:right w:val="single" w:sz="8" w:space="0" w:color="0077BD"/>
            </w:tcBorders>
            <w:shd w:val="clear" w:color="auto" w:fill="auto"/>
            <w:vAlign w:val="center"/>
          </w:tcPr>
          <w:p w14:paraId="39FA5A2B" w14:textId="65E56215" w:rsidR="0097101B" w:rsidRPr="0070550B" w:rsidRDefault="0097101B" w:rsidP="00F02455">
            <w:pPr>
              <w:jc w:val="right"/>
              <w:rPr>
                <w:rFonts w:cs="Calibri"/>
                <w:bCs/>
                <w:color w:val="000000" w:themeColor="text1"/>
                <w:sz w:val="9"/>
                <w:szCs w:val="9"/>
              </w:rPr>
            </w:pPr>
            <w:r w:rsidRPr="0070550B">
              <w:rPr>
                <w:rFonts w:cs="Calibri"/>
                <w:bCs/>
                <w:color w:val="000000" w:themeColor="text1"/>
                <w:sz w:val="9"/>
                <w:szCs w:val="9"/>
              </w:rPr>
              <w:t>-</w:t>
            </w:r>
          </w:p>
        </w:tc>
        <w:tc>
          <w:tcPr>
            <w:tcW w:w="811" w:type="dxa"/>
            <w:tcBorders>
              <w:top w:val="single" w:sz="4" w:space="0" w:color="0077BD"/>
              <w:left w:val="nil"/>
              <w:bottom w:val="single" w:sz="8" w:space="0" w:color="0077BD"/>
              <w:right w:val="single" w:sz="8" w:space="0" w:color="0077BD"/>
            </w:tcBorders>
            <w:shd w:val="clear" w:color="auto" w:fill="auto"/>
            <w:vAlign w:val="center"/>
          </w:tcPr>
          <w:p w14:paraId="5461F9F0" w14:textId="3DFC91C0" w:rsidR="0097101B" w:rsidRPr="0070550B" w:rsidRDefault="0097101B" w:rsidP="00F02455">
            <w:pPr>
              <w:jc w:val="right"/>
              <w:rPr>
                <w:rFonts w:cs="Calibri"/>
                <w:bCs/>
                <w:color w:val="000000" w:themeColor="text1"/>
                <w:sz w:val="9"/>
                <w:szCs w:val="9"/>
              </w:rPr>
            </w:pPr>
            <w:r w:rsidRPr="0070550B">
              <w:rPr>
                <w:rFonts w:cs="Calibri"/>
                <w:bCs/>
                <w:color w:val="000000" w:themeColor="text1"/>
                <w:sz w:val="9"/>
                <w:szCs w:val="9"/>
              </w:rPr>
              <w:t>-</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4DBE4F9E" w14:textId="38B570AF" w:rsidR="0097101B" w:rsidRPr="0070550B" w:rsidRDefault="0097101B" w:rsidP="00F02455">
            <w:pPr>
              <w:jc w:val="right"/>
              <w:rPr>
                <w:rFonts w:cs="Calibri"/>
                <w:bCs/>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5F5AA560" w14:textId="4EC43100" w:rsidR="0097101B" w:rsidRPr="0070550B" w:rsidRDefault="0097101B" w:rsidP="00F02455">
            <w:pPr>
              <w:jc w:val="right"/>
              <w:rPr>
                <w:rFonts w:cs="Calibri"/>
                <w:bCs/>
                <w:color w:val="000000" w:themeColor="text1"/>
                <w:sz w:val="9"/>
                <w:szCs w:val="9"/>
              </w:rPr>
            </w:pPr>
            <w:r w:rsidRPr="0070550B">
              <w:rPr>
                <w:rFonts w:cs="Calibri"/>
                <w:color w:val="000000" w:themeColor="text1"/>
                <w:sz w:val="9"/>
                <w:szCs w:val="9"/>
              </w:rPr>
              <w:t>(238)</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3872BB1" w14:textId="5798A005" w:rsidR="0097101B" w:rsidRPr="0070550B" w:rsidRDefault="0097101B" w:rsidP="00F02455">
            <w:pPr>
              <w:jc w:val="right"/>
              <w:rPr>
                <w:rFonts w:cs="Calibri"/>
                <w:bCs/>
                <w:color w:val="000000" w:themeColor="text1"/>
                <w:sz w:val="9"/>
                <w:szCs w:val="9"/>
              </w:rPr>
            </w:pPr>
            <w:r w:rsidRPr="0070550B">
              <w:rPr>
                <w:rFonts w:cs="Calibri"/>
                <w:color w:val="000000" w:themeColor="text1"/>
                <w:sz w:val="9"/>
                <w:szCs w:val="9"/>
              </w:rPr>
              <w:t>11</w:t>
            </w:r>
          </w:p>
        </w:tc>
        <w:tc>
          <w:tcPr>
            <w:tcW w:w="811" w:type="dxa"/>
            <w:tcBorders>
              <w:top w:val="single" w:sz="4" w:space="0" w:color="0077BD"/>
              <w:left w:val="nil"/>
              <w:bottom w:val="single" w:sz="4" w:space="0" w:color="0077BD"/>
              <w:right w:val="nil"/>
            </w:tcBorders>
            <w:shd w:val="clear" w:color="auto" w:fill="auto"/>
            <w:vAlign w:val="center"/>
          </w:tcPr>
          <w:p w14:paraId="63A3FAA4" w14:textId="153FC38D" w:rsidR="0097101B" w:rsidRPr="0070550B" w:rsidRDefault="0097101B" w:rsidP="00F02455">
            <w:pPr>
              <w:jc w:val="right"/>
              <w:rPr>
                <w:rFonts w:cs="Calibri"/>
                <w:bCs/>
                <w:color w:val="000000" w:themeColor="text1"/>
                <w:sz w:val="9"/>
                <w:szCs w:val="9"/>
              </w:rPr>
            </w:pPr>
            <w:r w:rsidRPr="0070550B">
              <w:rPr>
                <w:rFonts w:cs="Calibri"/>
                <w:color w:val="000000" w:themeColor="text1"/>
                <w:sz w:val="9"/>
                <w:szCs w:val="9"/>
              </w:rPr>
              <w:t>-</w:t>
            </w:r>
          </w:p>
        </w:tc>
      </w:tr>
      <w:tr w:rsidR="0097101B" w:rsidRPr="00ED04A4" w14:paraId="315943A6" w14:textId="77777777" w:rsidTr="005940DF">
        <w:trPr>
          <w:trHeight w:val="284"/>
        </w:trPr>
        <w:tc>
          <w:tcPr>
            <w:tcW w:w="1985" w:type="dxa"/>
            <w:tcBorders>
              <w:top w:val="single" w:sz="8" w:space="0" w:color="0077BD"/>
              <w:left w:val="nil"/>
              <w:bottom w:val="single" w:sz="8" w:space="0" w:color="0077BD"/>
              <w:right w:val="single" w:sz="8" w:space="0" w:color="0077BD"/>
            </w:tcBorders>
            <w:shd w:val="clear" w:color="auto" w:fill="auto"/>
            <w:vAlign w:val="center"/>
            <w:hideMark/>
          </w:tcPr>
          <w:p w14:paraId="5B3E5995" w14:textId="77777777" w:rsidR="0097101B" w:rsidRPr="0070550B" w:rsidRDefault="0097101B" w:rsidP="00F02455">
            <w:pPr>
              <w:rPr>
                <w:rFonts w:cs="Calibri"/>
                <w:b/>
                <w:bCs/>
                <w:color w:val="000000" w:themeColor="text1"/>
                <w:sz w:val="9"/>
                <w:szCs w:val="9"/>
              </w:rPr>
            </w:pPr>
            <w:r w:rsidRPr="0070550B">
              <w:rPr>
                <w:rFonts w:cs="Calibri"/>
                <w:b/>
                <w:bCs/>
                <w:color w:val="000000" w:themeColor="text1"/>
                <w:sz w:val="9"/>
                <w:szCs w:val="9"/>
              </w:rPr>
              <w:t>Kredyty i pożyczki udzielone klientom</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1FF890B" w14:textId="68F344F4"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83 624 960</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3390B4A" w14:textId="75BCF680"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E72FABC" w14:textId="520FEEC2"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C0A01E0" w14:textId="2BF0B51E"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6F6A05A" w14:textId="230D598E"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26 053 153</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E727C73" w14:textId="6C4DB6D2"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(12 413 576)</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42870E1" w14:textId="46D80D2D"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(648 917)</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5E7F342A" w14:textId="697E6245"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(1 555 641)</w:t>
            </w:r>
          </w:p>
        </w:tc>
        <w:tc>
          <w:tcPr>
            <w:tcW w:w="811" w:type="dxa"/>
            <w:tcBorders>
              <w:top w:val="single" w:sz="8" w:space="0" w:color="0077BD"/>
              <w:left w:val="nil"/>
              <w:bottom w:val="single" w:sz="8" w:space="0" w:color="0077BD"/>
              <w:right w:val="nil"/>
            </w:tcBorders>
            <w:shd w:val="clear" w:color="auto" w:fill="auto"/>
            <w:vAlign w:val="center"/>
          </w:tcPr>
          <w:p w14:paraId="51011396" w14:textId="308CD2A0"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95 059 979</w:t>
            </w:r>
          </w:p>
        </w:tc>
      </w:tr>
      <w:tr w:rsidR="0097101B" w:rsidRPr="00ED04A4" w14:paraId="4BC3D1D1" w14:textId="77777777" w:rsidTr="005940DF">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48850F32"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Koszyk 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33A4CD7A" w14:textId="68B0C703"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70 925 605</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46B92C4" w14:textId="07A977E3"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1 710 111</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DEA540D" w14:textId="1D70DCCB"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(2 068 766)</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1A7514F" w14:textId="148BAF93"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(276 865)</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6AE734B0" w14:textId="490C6F22"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24 060 991</w:t>
            </w:r>
          </w:p>
        </w:tc>
        <w:tc>
          <w:tcPr>
            <w:tcW w:w="81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42DD40D8" w14:textId="25790AA2"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(10 721 825)</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47A24DD2" w14:textId="385EB704"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single" w:sz="4" w:space="0" w:color="0077BD"/>
              <w:left w:val="nil"/>
              <w:bottom w:val="single" w:sz="4" w:space="0" w:color="0077BD"/>
              <w:right w:val="single" w:sz="8" w:space="0" w:color="0077BD"/>
            </w:tcBorders>
            <w:shd w:val="clear" w:color="auto" w:fill="auto"/>
            <w:vAlign w:val="center"/>
          </w:tcPr>
          <w:p w14:paraId="38905146" w14:textId="249FF51D"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(1 469 583)</w:t>
            </w:r>
          </w:p>
        </w:tc>
        <w:tc>
          <w:tcPr>
            <w:tcW w:w="811" w:type="dxa"/>
            <w:tcBorders>
              <w:top w:val="single" w:sz="4" w:space="0" w:color="0077BD"/>
              <w:left w:val="nil"/>
              <w:bottom w:val="single" w:sz="4" w:space="0" w:color="0077BD"/>
              <w:right w:val="nil"/>
            </w:tcBorders>
            <w:shd w:val="clear" w:color="auto" w:fill="auto"/>
            <w:vAlign w:val="center"/>
          </w:tcPr>
          <w:p w14:paraId="138AB80F" w14:textId="278B1927"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82 159 668</w:t>
            </w:r>
          </w:p>
        </w:tc>
      </w:tr>
      <w:tr w:rsidR="0097101B" w:rsidRPr="00ED04A4" w14:paraId="16105375" w14:textId="77777777" w:rsidTr="005940DF">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32552BDF"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Koszyk 2</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0880E7E7" w14:textId="22FACCAB"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8 339 503</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544D2CE2" w14:textId="5E4411A5"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(1 654 938)</w:t>
            </w:r>
          </w:p>
        </w:tc>
        <w:tc>
          <w:tcPr>
            <w:tcW w:w="811" w:type="dxa"/>
            <w:tcBorders>
              <w:top w:val="nil"/>
              <w:left w:val="nil"/>
              <w:bottom w:val="single" w:sz="4" w:space="0" w:color="0077BD"/>
              <w:right w:val="single" w:sz="8" w:space="0" w:color="0077BD"/>
            </w:tcBorders>
            <w:shd w:val="clear" w:color="auto" w:fill="auto"/>
            <w:vAlign w:val="center"/>
          </w:tcPr>
          <w:p w14:paraId="2FBFBB23" w14:textId="4E9C9078"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2 171 992</w:t>
            </w:r>
          </w:p>
        </w:tc>
        <w:tc>
          <w:tcPr>
            <w:tcW w:w="811" w:type="dxa"/>
            <w:tcBorders>
              <w:top w:val="nil"/>
              <w:left w:val="nil"/>
              <w:bottom w:val="single" w:sz="4" w:space="0" w:color="0077BD"/>
              <w:right w:val="single" w:sz="8" w:space="0" w:color="0077BD"/>
            </w:tcBorders>
            <w:shd w:val="clear" w:color="auto" w:fill="auto"/>
            <w:vAlign w:val="center"/>
          </w:tcPr>
          <w:p w14:paraId="697AE9CE" w14:textId="2E8FD5FA"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(274 141)</w:t>
            </w:r>
          </w:p>
        </w:tc>
        <w:tc>
          <w:tcPr>
            <w:tcW w:w="811" w:type="dxa"/>
            <w:tcBorders>
              <w:top w:val="nil"/>
              <w:left w:val="nil"/>
              <w:bottom w:val="single" w:sz="4" w:space="0" w:color="0077BD"/>
              <w:right w:val="single" w:sz="8" w:space="0" w:color="0077BD"/>
            </w:tcBorders>
            <w:shd w:val="clear" w:color="auto" w:fill="auto"/>
            <w:vAlign w:val="center"/>
          </w:tcPr>
          <w:p w14:paraId="2B68779A" w14:textId="6FEEC8C3"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1 491 510</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61C11AC5" w14:textId="1E50A8D0"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(1 287 334)</w:t>
            </w:r>
          </w:p>
        </w:tc>
        <w:tc>
          <w:tcPr>
            <w:tcW w:w="811" w:type="dxa"/>
            <w:tcBorders>
              <w:top w:val="nil"/>
              <w:left w:val="nil"/>
              <w:bottom w:val="single" w:sz="4" w:space="0" w:color="0077BD"/>
              <w:right w:val="single" w:sz="8" w:space="0" w:color="0077BD"/>
            </w:tcBorders>
            <w:shd w:val="clear" w:color="auto" w:fill="auto"/>
            <w:vAlign w:val="center"/>
          </w:tcPr>
          <w:p w14:paraId="7F219E22" w14:textId="31D29582"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47BC799C" w14:textId="76BE6CEC"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(72 047)</w:t>
            </w:r>
          </w:p>
        </w:tc>
        <w:tc>
          <w:tcPr>
            <w:tcW w:w="811" w:type="dxa"/>
            <w:tcBorders>
              <w:top w:val="nil"/>
              <w:left w:val="nil"/>
              <w:bottom w:val="single" w:sz="4" w:space="0" w:color="0077BD"/>
              <w:right w:val="nil"/>
            </w:tcBorders>
            <w:shd w:val="clear" w:color="auto" w:fill="auto"/>
            <w:vAlign w:val="center"/>
          </w:tcPr>
          <w:p w14:paraId="249227DF" w14:textId="02658BA1"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8 714 545</w:t>
            </w:r>
          </w:p>
        </w:tc>
      </w:tr>
      <w:tr w:rsidR="0097101B" w:rsidRPr="00ED04A4" w14:paraId="6B922DBE" w14:textId="77777777" w:rsidTr="005940DF">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0B5E60E3"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Koszyk 3</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3EB78C7A" w14:textId="4991B897"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4 153 483</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2294FE03" w14:textId="5F4ADCDD"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(55 173)</w:t>
            </w:r>
          </w:p>
        </w:tc>
        <w:tc>
          <w:tcPr>
            <w:tcW w:w="811" w:type="dxa"/>
            <w:tcBorders>
              <w:top w:val="nil"/>
              <w:left w:val="nil"/>
              <w:bottom w:val="single" w:sz="4" w:space="0" w:color="0077BD"/>
              <w:right w:val="single" w:sz="8" w:space="0" w:color="0077BD"/>
            </w:tcBorders>
            <w:shd w:val="clear" w:color="auto" w:fill="auto"/>
            <w:vAlign w:val="center"/>
          </w:tcPr>
          <w:p w14:paraId="48E17CD3" w14:textId="2051ED9B"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(103 226)</w:t>
            </w:r>
          </w:p>
        </w:tc>
        <w:tc>
          <w:tcPr>
            <w:tcW w:w="811" w:type="dxa"/>
            <w:tcBorders>
              <w:top w:val="nil"/>
              <w:left w:val="nil"/>
              <w:bottom w:val="single" w:sz="4" w:space="0" w:color="0077BD"/>
              <w:right w:val="single" w:sz="8" w:space="0" w:color="0077BD"/>
            </w:tcBorders>
            <w:shd w:val="clear" w:color="auto" w:fill="auto"/>
            <w:vAlign w:val="center"/>
          </w:tcPr>
          <w:p w14:paraId="0D7E8C4A" w14:textId="692B639A"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543 889</w:t>
            </w:r>
          </w:p>
        </w:tc>
        <w:tc>
          <w:tcPr>
            <w:tcW w:w="811" w:type="dxa"/>
            <w:tcBorders>
              <w:top w:val="nil"/>
              <w:left w:val="nil"/>
              <w:bottom w:val="single" w:sz="4" w:space="0" w:color="0077BD"/>
              <w:right w:val="single" w:sz="8" w:space="0" w:color="0077BD"/>
            </w:tcBorders>
            <w:shd w:val="clear" w:color="auto" w:fill="auto"/>
            <w:vAlign w:val="center"/>
          </w:tcPr>
          <w:p w14:paraId="4AD899FF" w14:textId="1F12DF3F"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395 366</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72989E6E" w14:textId="0CAA5690"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(271 463)</w:t>
            </w:r>
          </w:p>
        </w:tc>
        <w:tc>
          <w:tcPr>
            <w:tcW w:w="811" w:type="dxa"/>
            <w:tcBorders>
              <w:top w:val="nil"/>
              <w:left w:val="nil"/>
              <w:bottom w:val="single" w:sz="4" w:space="0" w:color="0077BD"/>
              <w:right w:val="single" w:sz="8" w:space="0" w:color="0077BD"/>
            </w:tcBorders>
            <w:shd w:val="clear" w:color="auto" w:fill="auto"/>
            <w:vAlign w:val="center"/>
          </w:tcPr>
          <w:p w14:paraId="5C04A9F0" w14:textId="6D4CFD8D"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(648 917)</w:t>
            </w:r>
          </w:p>
        </w:tc>
        <w:tc>
          <w:tcPr>
            <w:tcW w:w="811" w:type="dxa"/>
            <w:tcBorders>
              <w:top w:val="nil"/>
              <w:left w:val="nil"/>
              <w:bottom w:val="single" w:sz="4" w:space="0" w:color="0077BD"/>
              <w:right w:val="single" w:sz="8" w:space="0" w:color="0077BD"/>
            </w:tcBorders>
            <w:shd w:val="clear" w:color="auto" w:fill="auto"/>
            <w:vAlign w:val="center"/>
          </w:tcPr>
          <w:p w14:paraId="39F853EC" w14:textId="3DA7F898"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(37 210)</w:t>
            </w:r>
          </w:p>
        </w:tc>
        <w:tc>
          <w:tcPr>
            <w:tcW w:w="811" w:type="dxa"/>
            <w:tcBorders>
              <w:top w:val="nil"/>
              <w:left w:val="nil"/>
              <w:bottom w:val="single" w:sz="4" w:space="0" w:color="0077BD"/>
              <w:right w:val="nil"/>
            </w:tcBorders>
            <w:shd w:val="clear" w:color="auto" w:fill="auto"/>
            <w:vAlign w:val="center"/>
          </w:tcPr>
          <w:p w14:paraId="06B8689E" w14:textId="6FF8A81F"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3 976 749</w:t>
            </w:r>
          </w:p>
        </w:tc>
      </w:tr>
      <w:tr w:rsidR="0097101B" w:rsidRPr="00ED04A4" w14:paraId="08F429B1" w14:textId="77777777" w:rsidTr="005940DF">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61F1C2A4" w14:textId="77777777" w:rsidR="0097101B" w:rsidRPr="0070550B" w:rsidRDefault="0097101B" w:rsidP="00F02455">
            <w:pPr>
              <w:rPr>
                <w:rFonts w:cs="Calibri"/>
                <w:color w:val="000000" w:themeColor="text1"/>
                <w:sz w:val="9"/>
                <w:szCs w:val="9"/>
              </w:rPr>
            </w:pPr>
            <w:r w:rsidRPr="0070550B">
              <w:rPr>
                <w:rFonts w:cs="Calibri"/>
                <w:color w:val="000000" w:themeColor="text1"/>
                <w:sz w:val="9"/>
                <w:szCs w:val="9"/>
              </w:rPr>
              <w:t>POCI</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12C4E7B8" w14:textId="6926D1E3"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206 369</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26FA4507" w14:textId="355879B7"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6A36E672" w14:textId="62DFF407"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57339980" w14:textId="7DD35CD4"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7 117</w:t>
            </w:r>
          </w:p>
        </w:tc>
        <w:tc>
          <w:tcPr>
            <w:tcW w:w="811" w:type="dxa"/>
            <w:tcBorders>
              <w:top w:val="nil"/>
              <w:left w:val="nil"/>
              <w:bottom w:val="single" w:sz="4" w:space="0" w:color="0077BD"/>
              <w:right w:val="single" w:sz="8" w:space="0" w:color="0077BD"/>
            </w:tcBorders>
            <w:shd w:val="clear" w:color="auto" w:fill="auto"/>
            <w:vAlign w:val="center"/>
          </w:tcPr>
          <w:p w14:paraId="7194A787" w14:textId="19C624FA"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105 286</w:t>
            </w:r>
          </w:p>
        </w:tc>
        <w:tc>
          <w:tcPr>
            <w:tcW w:w="811" w:type="dxa"/>
            <w:tcBorders>
              <w:top w:val="nil"/>
              <w:left w:val="single" w:sz="8" w:space="0" w:color="0077BD"/>
              <w:bottom w:val="single" w:sz="4" w:space="0" w:color="0077BD"/>
              <w:right w:val="single" w:sz="8" w:space="0" w:color="0077BD"/>
            </w:tcBorders>
            <w:shd w:val="clear" w:color="auto" w:fill="auto"/>
            <w:vAlign w:val="center"/>
          </w:tcPr>
          <w:p w14:paraId="6EEBD2B0" w14:textId="3156A35A"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(132 954)</w:t>
            </w:r>
          </w:p>
        </w:tc>
        <w:tc>
          <w:tcPr>
            <w:tcW w:w="811" w:type="dxa"/>
            <w:tcBorders>
              <w:top w:val="nil"/>
              <w:left w:val="nil"/>
              <w:bottom w:val="single" w:sz="4" w:space="0" w:color="0077BD"/>
              <w:right w:val="single" w:sz="8" w:space="0" w:color="0077BD"/>
            </w:tcBorders>
            <w:shd w:val="clear" w:color="auto" w:fill="auto"/>
            <w:vAlign w:val="center"/>
          </w:tcPr>
          <w:p w14:paraId="2C45A1B2" w14:textId="289AC312"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w:t>
            </w:r>
          </w:p>
        </w:tc>
        <w:tc>
          <w:tcPr>
            <w:tcW w:w="811" w:type="dxa"/>
            <w:tcBorders>
              <w:top w:val="nil"/>
              <w:left w:val="nil"/>
              <w:bottom w:val="single" w:sz="4" w:space="0" w:color="0077BD"/>
              <w:right w:val="single" w:sz="8" w:space="0" w:color="0077BD"/>
            </w:tcBorders>
            <w:shd w:val="clear" w:color="auto" w:fill="auto"/>
            <w:vAlign w:val="center"/>
          </w:tcPr>
          <w:p w14:paraId="0658E190" w14:textId="543A4B8D"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23 199</w:t>
            </w:r>
          </w:p>
        </w:tc>
        <w:tc>
          <w:tcPr>
            <w:tcW w:w="811" w:type="dxa"/>
            <w:tcBorders>
              <w:top w:val="nil"/>
              <w:left w:val="nil"/>
              <w:bottom w:val="single" w:sz="4" w:space="0" w:color="0077BD"/>
              <w:right w:val="nil"/>
            </w:tcBorders>
            <w:shd w:val="clear" w:color="auto" w:fill="auto"/>
            <w:vAlign w:val="center"/>
          </w:tcPr>
          <w:p w14:paraId="1AD2181F" w14:textId="5B713B09" w:rsidR="0097101B" w:rsidRPr="0070550B" w:rsidRDefault="0097101B" w:rsidP="00F02455">
            <w:pPr>
              <w:jc w:val="right"/>
              <w:rPr>
                <w:rFonts w:cs="Calibri"/>
                <w:color w:val="000000" w:themeColor="text1"/>
                <w:sz w:val="9"/>
                <w:szCs w:val="9"/>
              </w:rPr>
            </w:pPr>
            <w:r w:rsidRPr="0070550B">
              <w:rPr>
                <w:rFonts w:cs="Calibri"/>
                <w:color w:val="000000" w:themeColor="text1"/>
                <w:sz w:val="9"/>
                <w:szCs w:val="9"/>
              </w:rPr>
              <w:t>209 017</w:t>
            </w:r>
          </w:p>
        </w:tc>
      </w:tr>
      <w:tr w:rsidR="0097101B" w:rsidRPr="00ED04A4" w14:paraId="4C901697" w14:textId="77777777" w:rsidTr="005940DF">
        <w:trPr>
          <w:trHeight w:val="284"/>
        </w:trPr>
        <w:tc>
          <w:tcPr>
            <w:tcW w:w="1985" w:type="dxa"/>
            <w:tcBorders>
              <w:top w:val="single" w:sz="8" w:space="0" w:color="0077BD"/>
              <w:left w:val="nil"/>
              <w:bottom w:val="single" w:sz="8" w:space="0" w:color="0077BD"/>
              <w:right w:val="single" w:sz="8" w:space="0" w:color="0077BD"/>
            </w:tcBorders>
            <w:shd w:val="clear" w:color="auto" w:fill="auto"/>
            <w:vAlign w:val="center"/>
            <w:hideMark/>
          </w:tcPr>
          <w:p w14:paraId="19F02945" w14:textId="16527396" w:rsidR="0097101B" w:rsidRPr="0070550B" w:rsidRDefault="0097101B" w:rsidP="00F02455">
            <w:pPr>
              <w:rPr>
                <w:rFonts w:cs="Calibri"/>
                <w:b/>
                <w:bCs/>
                <w:color w:val="000000" w:themeColor="text1"/>
                <w:sz w:val="9"/>
                <w:szCs w:val="9"/>
              </w:rPr>
            </w:pPr>
            <w:r w:rsidRPr="0070550B">
              <w:rPr>
                <w:rFonts w:cs="Calibri"/>
                <w:b/>
                <w:bCs/>
                <w:color w:val="000000" w:themeColor="text1"/>
                <w:sz w:val="9"/>
                <w:szCs w:val="9"/>
              </w:rPr>
              <w:t>Wartość bilansowa brutto, razem</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D6BF7DC" w14:textId="47FC0166"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93 853 926</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2108AD1" w14:textId="0C2DA35B"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FAA29DF" w14:textId="0FD2EB8E"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E1547D2" w14:textId="2A9DB194"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1712E36" w14:textId="50BA626A"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29 879 786</w:t>
            </w:r>
          </w:p>
        </w:tc>
        <w:tc>
          <w:tcPr>
            <w:tcW w:w="81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2E06AF40" w14:textId="21F2A7CE"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(14 858 666)</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68956D5D" w14:textId="5ACFF08C"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(649 155)</w:t>
            </w:r>
          </w:p>
        </w:tc>
        <w:tc>
          <w:tcPr>
            <w:tcW w:w="811" w:type="dxa"/>
            <w:tcBorders>
              <w:top w:val="single" w:sz="8" w:space="0" w:color="0077BD"/>
              <w:left w:val="nil"/>
              <w:bottom w:val="single" w:sz="8" w:space="0" w:color="0077BD"/>
              <w:right w:val="single" w:sz="8" w:space="0" w:color="0077BD"/>
            </w:tcBorders>
            <w:shd w:val="clear" w:color="auto" w:fill="auto"/>
            <w:vAlign w:val="center"/>
          </w:tcPr>
          <w:p w14:paraId="47917DF9" w14:textId="1607FA5E" w:rsidR="0097101B" w:rsidRPr="0070550B" w:rsidRDefault="0097101B" w:rsidP="0097101B">
            <w:pPr>
              <w:jc w:val="right"/>
              <w:rPr>
                <w:rFonts w:cs="Calibri"/>
                <w:b/>
                <w:bCs/>
                <w:color w:val="000000" w:themeColor="text1"/>
                <w:sz w:val="9"/>
                <w:szCs w:val="9"/>
              </w:rPr>
            </w:pPr>
            <w:r>
              <w:rPr>
                <w:rFonts w:cs="Calibri"/>
                <w:b/>
                <w:bCs/>
                <w:color w:val="000000" w:themeColor="text1"/>
                <w:sz w:val="9"/>
                <w:szCs w:val="9"/>
              </w:rPr>
              <w:t>(1 617</w:t>
            </w:r>
            <w:r w:rsidRPr="0070550B">
              <w:rPr>
                <w:rFonts w:cs="Calibri"/>
                <w:b/>
                <w:bCs/>
                <w:color w:val="000000" w:themeColor="text1"/>
                <w:sz w:val="9"/>
                <w:szCs w:val="9"/>
              </w:rPr>
              <w:t xml:space="preserve"> 4</w:t>
            </w:r>
            <w:r>
              <w:rPr>
                <w:rFonts w:cs="Calibri"/>
                <w:b/>
                <w:bCs/>
                <w:color w:val="000000" w:themeColor="text1"/>
                <w:sz w:val="9"/>
                <w:szCs w:val="9"/>
              </w:rPr>
              <w:t>22</w:t>
            </w:r>
            <w:r w:rsidRPr="0070550B">
              <w:rPr>
                <w:rFonts w:cs="Calibri"/>
                <w:b/>
                <w:bCs/>
                <w:color w:val="000000" w:themeColor="text1"/>
                <w:sz w:val="9"/>
                <w:szCs w:val="9"/>
              </w:rPr>
              <w:t>)</w:t>
            </w:r>
          </w:p>
        </w:tc>
        <w:tc>
          <w:tcPr>
            <w:tcW w:w="811" w:type="dxa"/>
            <w:tcBorders>
              <w:top w:val="single" w:sz="8" w:space="0" w:color="0077BD"/>
              <w:left w:val="nil"/>
              <w:bottom w:val="single" w:sz="8" w:space="0" w:color="0077BD"/>
              <w:right w:val="nil"/>
            </w:tcBorders>
            <w:shd w:val="clear" w:color="auto" w:fill="auto"/>
            <w:vAlign w:val="center"/>
          </w:tcPr>
          <w:p w14:paraId="339A9698" w14:textId="5FE6BB78" w:rsidR="0097101B" w:rsidRPr="0070550B" w:rsidRDefault="0097101B" w:rsidP="00F02455">
            <w:pPr>
              <w:jc w:val="right"/>
              <w:rPr>
                <w:rFonts w:cs="Calibri"/>
                <w:b/>
                <w:bCs/>
                <w:color w:val="000000" w:themeColor="text1"/>
                <w:sz w:val="9"/>
                <w:szCs w:val="9"/>
              </w:rPr>
            </w:pPr>
            <w:r w:rsidRPr="0070550B">
              <w:rPr>
                <w:rFonts w:cs="Calibri"/>
                <w:b/>
                <w:bCs/>
                <w:color w:val="000000" w:themeColor="text1"/>
                <w:sz w:val="9"/>
                <w:szCs w:val="9"/>
              </w:rPr>
              <w:t>106 608 469</w:t>
            </w:r>
          </w:p>
        </w:tc>
      </w:tr>
    </w:tbl>
    <w:p w14:paraId="3BE62E92" w14:textId="0ED6DDE4" w:rsidR="00FC1C9E" w:rsidRPr="00BB7C9E" w:rsidRDefault="00FC1C9E" w:rsidP="002E7F42">
      <w:pPr>
        <w:spacing w:before="120" w:after="120"/>
        <w:jc w:val="both"/>
        <w:rPr>
          <w:b/>
          <w:noProof/>
          <w:color w:val="000000" w:themeColor="text1"/>
          <w:sz w:val="18"/>
          <w:szCs w:val="18"/>
        </w:rPr>
      </w:pPr>
      <w:r w:rsidRPr="00BB7C9E">
        <w:rPr>
          <w:b/>
          <w:noProof/>
          <w:color w:val="000000" w:themeColor="text1"/>
          <w:sz w:val="18"/>
          <w:szCs w:val="18"/>
        </w:rPr>
        <w:t>Finansowy efekt zabezpieczeń</w:t>
      </w:r>
    </w:p>
    <w:tbl>
      <w:tblPr>
        <w:tblW w:w="0" w:type="auto"/>
        <w:tblCellMar>
          <w:left w:w="28" w:type="dxa"/>
          <w:right w:w="28" w:type="dxa"/>
        </w:tblCellMar>
        <w:tblLook w:val="04A0" w:firstRow="1" w:lastRow="0" w:firstColumn="1" w:lastColumn="0" w:noHBand="0" w:noVBand="1"/>
      </w:tblPr>
      <w:tblGrid>
        <w:gridCol w:w="3909"/>
        <w:gridCol w:w="1418"/>
        <w:gridCol w:w="1418"/>
        <w:gridCol w:w="1418"/>
        <w:gridCol w:w="1418"/>
      </w:tblGrid>
      <w:tr w:rsidR="000E244E" w:rsidRPr="003770F7" w14:paraId="2645DE00" w14:textId="77777777" w:rsidTr="00FE2D57">
        <w:trPr>
          <w:trHeight w:val="737"/>
        </w:trPr>
        <w:tc>
          <w:tcPr>
            <w:tcW w:w="0" w:type="auto"/>
            <w:tcBorders>
              <w:top w:val="nil"/>
              <w:left w:val="nil"/>
              <w:bottom w:val="nil"/>
              <w:right w:val="single" w:sz="8" w:space="0" w:color="FFFFFF"/>
            </w:tcBorders>
            <w:shd w:val="clear" w:color="000000" w:fill="0077BD"/>
            <w:vAlign w:val="center"/>
            <w:hideMark/>
          </w:tcPr>
          <w:p w14:paraId="0DA1A320" w14:textId="65279E1D" w:rsidR="000E244E" w:rsidRPr="003770F7" w:rsidRDefault="00EA74F0" w:rsidP="00311CF2">
            <w:pPr>
              <w:rPr>
                <w:rFonts w:cs="Calibri"/>
                <w:b/>
                <w:bCs/>
                <w:color w:val="FFFFFF"/>
                <w:sz w:val="12"/>
                <w:szCs w:val="12"/>
              </w:rPr>
            </w:pPr>
            <w:r>
              <w:rPr>
                <w:rFonts w:cs="Calibri"/>
                <w:b/>
                <w:bCs/>
                <w:color w:val="FFFFFF"/>
                <w:sz w:val="12"/>
                <w:szCs w:val="12"/>
              </w:rPr>
              <w:t>31.12.2019</w:t>
            </w:r>
          </w:p>
        </w:tc>
        <w:tc>
          <w:tcPr>
            <w:tcW w:w="1418" w:type="dxa"/>
            <w:tcBorders>
              <w:top w:val="nil"/>
              <w:left w:val="nil"/>
              <w:bottom w:val="nil"/>
              <w:right w:val="single" w:sz="8" w:space="0" w:color="FFFFFF"/>
            </w:tcBorders>
            <w:shd w:val="clear" w:color="000000" w:fill="0077BD"/>
            <w:vAlign w:val="center"/>
            <w:hideMark/>
          </w:tcPr>
          <w:p w14:paraId="0CFBBA26" w14:textId="77777777" w:rsidR="000E244E" w:rsidRPr="003770F7" w:rsidRDefault="000E244E" w:rsidP="00311CF2">
            <w:pPr>
              <w:jc w:val="center"/>
              <w:rPr>
                <w:rFonts w:cs="Calibri"/>
                <w:b/>
                <w:bCs/>
                <w:color w:val="FFFFFF"/>
                <w:sz w:val="12"/>
                <w:szCs w:val="12"/>
              </w:rPr>
            </w:pPr>
            <w:r w:rsidRPr="003770F7">
              <w:rPr>
                <w:rFonts w:cs="Calibri"/>
                <w:b/>
                <w:bCs/>
                <w:color w:val="FFFFFF"/>
                <w:sz w:val="12"/>
                <w:szCs w:val="12"/>
              </w:rPr>
              <w:t>Wartość brutto</w:t>
            </w:r>
          </w:p>
        </w:tc>
        <w:tc>
          <w:tcPr>
            <w:tcW w:w="1418" w:type="dxa"/>
            <w:tcBorders>
              <w:top w:val="nil"/>
              <w:left w:val="nil"/>
              <w:bottom w:val="nil"/>
              <w:right w:val="single" w:sz="8" w:space="0" w:color="FFFFFF"/>
            </w:tcBorders>
            <w:shd w:val="clear" w:color="000000" w:fill="0077BD"/>
            <w:vAlign w:val="center"/>
            <w:hideMark/>
          </w:tcPr>
          <w:p w14:paraId="30210E23" w14:textId="77777777" w:rsidR="000E244E" w:rsidRPr="003770F7" w:rsidRDefault="000E244E" w:rsidP="00311CF2">
            <w:pPr>
              <w:jc w:val="center"/>
              <w:rPr>
                <w:rFonts w:cs="Calibri"/>
                <w:b/>
                <w:bCs/>
                <w:color w:val="FFFFFF"/>
                <w:sz w:val="12"/>
                <w:szCs w:val="12"/>
              </w:rPr>
            </w:pPr>
            <w:r w:rsidRPr="003770F7">
              <w:rPr>
                <w:rFonts w:cs="Calibri"/>
                <w:b/>
                <w:bCs/>
                <w:color w:val="FFFFFF"/>
                <w:sz w:val="12"/>
                <w:szCs w:val="12"/>
              </w:rPr>
              <w:t>Skumulowana utrata wartości</w:t>
            </w:r>
          </w:p>
        </w:tc>
        <w:tc>
          <w:tcPr>
            <w:tcW w:w="1418" w:type="dxa"/>
            <w:tcBorders>
              <w:top w:val="nil"/>
              <w:left w:val="nil"/>
              <w:bottom w:val="nil"/>
              <w:right w:val="single" w:sz="8" w:space="0" w:color="FFFFFF"/>
            </w:tcBorders>
            <w:shd w:val="clear" w:color="000000" w:fill="0077BD"/>
            <w:vAlign w:val="center"/>
            <w:hideMark/>
          </w:tcPr>
          <w:p w14:paraId="7F280F61" w14:textId="77777777" w:rsidR="000E244E" w:rsidRPr="003770F7" w:rsidRDefault="000E244E" w:rsidP="00311CF2">
            <w:pPr>
              <w:jc w:val="center"/>
              <w:rPr>
                <w:rFonts w:cs="Calibri"/>
                <w:b/>
                <w:bCs/>
                <w:color w:val="FFFFFF"/>
                <w:sz w:val="12"/>
                <w:szCs w:val="12"/>
              </w:rPr>
            </w:pPr>
            <w:r w:rsidRPr="003770F7">
              <w:rPr>
                <w:rFonts w:cs="Calibri"/>
                <w:b/>
                <w:bCs/>
                <w:color w:val="FFFFFF"/>
                <w:sz w:val="12"/>
                <w:szCs w:val="12"/>
              </w:rPr>
              <w:t>Skumulowana utrata wartości bez uwzględnienia przepływów z zabezpieczeń</w:t>
            </w:r>
          </w:p>
        </w:tc>
        <w:tc>
          <w:tcPr>
            <w:tcW w:w="1418" w:type="dxa"/>
            <w:tcBorders>
              <w:top w:val="nil"/>
              <w:left w:val="nil"/>
              <w:bottom w:val="nil"/>
              <w:right w:val="nil"/>
            </w:tcBorders>
            <w:shd w:val="clear" w:color="000000" w:fill="0077BD"/>
            <w:vAlign w:val="center"/>
            <w:hideMark/>
          </w:tcPr>
          <w:p w14:paraId="3EE3050F" w14:textId="77777777" w:rsidR="000E244E" w:rsidRPr="003770F7" w:rsidRDefault="000E244E" w:rsidP="00311CF2">
            <w:pPr>
              <w:jc w:val="center"/>
              <w:rPr>
                <w:rFonts w:cs="Calibri"/>
                <w:b/>
                <w:bCs/>
                <w:color w:val="FFFFFF"/>
                <w:sz w:val="12"/>
                <w:szCs w:val="12"/>
              </w:rPr>
            </w:pPr>
            <w:r w:rsidRPr="003770F7">
              <w:rPr>
                <w:rFonts w:cs="Calibri"/>
                <w:b/>
                <w:bCs/>
                <w:color w:val="FFFFFF"/>
                <w:sz w:val="12"/>
                <w:szCs w:val="12"/>
              </w:rPr>
              <w:t>Finansowy efekt zabezpieczeń</w:t>
            </w:r>
          </w:p>
        </w:tc>
      </w:tr>
      <w:tr w:rsidR="005C3EE1" w:rsidRPr="003770F7" w14:paraId="1ACC4CE9" w14:textId="77777777" w:rsidTr="00FE2D57">
        <w:trPr>
          <w:trHeight w:val="227"/>
        </w:trPr>
        <w:tc>
          <w:tcPr>
            <w:tcW w:w="9581" w:type="dxa"/>
            <w:gridSpan w:val="5"/>
            <w:tcBorders>
              <w:top w:val="nil"/>
              <w:left w:val="nil"/>
              <w:bottom w:val="single" w:sz="8" w:space="0" w:color="0077BD"/>
              <w:right w:val="nil"/>
            </w:tcBorders>
            <w:shd w:val="clear" w:color="000000" w:fill="FFFFFF"/>
            <w:vAlign w:val="center"/>
            <w:hideMark/>
          </w:tcPr>
          <w:p w14:paraId="61627FC3" w14:textId="77777777" w:rsidR="000E244E" w:rsidRPr="003770F7" w:rsidRDefault="000E244E" w:rsidP="00311CF2">
            <w:pPr>
              <w:rPr>
                <w:rFonts w:cs="Calibri"/>
                <w:b/>
                <w:bCs/>
                <w:color w:val="000000" w:themeColor="text1"/>
                <w:sz w:val="12"/>
                <w:szCs w:val="12"/>
              </w:rPr>
            </w:pPr>
            <w:r w:rsidRPr="003770F7">
              <w:rPr>
                <w:rFonts w:cs="Calibri"/>
                <w:b/>
                <w:bCs/>
                <w:color w:val="000000" w:themeColor="text1"/>
                <w:sz w:val="12"/>
                <w:szCs w:val="12"/>
              </w:rPr>
              <w:t>Dane bilansowe</w:t>
            </w:r>
          </w:p>
        </w:tc>
      </w:tr>
      <w:tr w:rsidR="00FE642B" w:rsidRPr="003770F7" w14:paraId="4BE8561E" w14:textId="77777777" w:rsidTr="00FE2D57">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2AAF3DCB" w14:textId="77777777" w:rsidR="00FE642B" w:rsidRPr="003770F7" w:rsidRDefault="00FE642B" w:rsidP="00FE642B">
            <w:pPr>
              <w:rPr>
                <w:rFonts w:cs="Calibri"/>
                <w:color w:val="000000" w:themeColor="text1"/>
                <w:sz w:val="12"/>
                <w:szCs w:val="12"/>
              </w:rPr>
            </w:pPr>
            <w:r w:rsidRPr="003770F7">
              <w:rPr>
                <w:rFonts w:cs="Calibri"/>
                <w:color w:val="000000" w:themeColor="text1"/>
                <w:sz w:val="12"/>
                <w:szCs w:val="12"/>
              </w:rPr>
              <w:t>Należności od banków</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FE26299" w14:textId="61A995DA" w:rsidR="00FE642B" w:rsidRPr="003770F7" w:rsidRDefault="00FE642B" w:rsidP="00FE642B">
            <w:pPr>
              <w:jc w:val="right"/>
              <w:rPr>
                <w:rFonts w:cs="Calibri"/>
                <w:color w:val="000000" w:themeColor="text1"/>
                <w:sz w:val="12"/>
                <w:szCs w:val="12"/>
              </w:rPr>
            </w:pPr>
            <w:r w:rsidRPr="003770F7">
              <w:rPr>
                <w:color w:val="000000" w:themeColor="text1"/>
                <w:sz w:val="12"/>
                <w:szCs w:val="12"/>
              </w:rPr>
              <w:t>4 342 890</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4AED56DB" w14:textId="41E6B0F9" w:rsidR="00FE642B" w:rsidRPr="003770F7" w:rsidRDefault="00FE642B" w:rsidP="00FE642B">
            <w:pPr>
              <w:jc w:val="right"/>
              <w:rPr>
                <w:rFonts w:cs="Calibri"/>
                <w:color w:val="000000" w:themeColor="text1"/>
                <w:sz w:val="12"/>
                <w:szCs w:val="12"/>
              </w:rPr>
            </w:pPr>
            <w:r w:rsidRPr="003770F7">
              <w:rPr>
                <w:color w:val="000000" w:themeColor="text1"/>
                <w:sz w:val="12"/>
                <w:szCs w:val="12"/>
              </w:rPr>
              <w:t>(1 132)</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E29F025" w14:textId="366819CE" w:rsidR="00FE642B" w:rsidRPr="003770F7" w:rsidRDefault="00FE642B" w:rsidP="00FE642B">
            <w:pPr>
              <w:jc w:val="right"/>
              <w:rPr>
                <w:rFonts w:cs="Calibri"/>
                <w:color w:val="000000" w:themeColor="text1"/>
                <w:sz w:val="12"/>
                <w:szCs w:val="12"/>
              </w:rPr>
            </w:pPr>
            <w:r w:rsidRPr="003770F7">
              <w:rPr>
                <w:rFonts w:cs="Calibri"/>
                <w:sz w:val="12"/>
                <w:szCs w:val="12"/>
              </w:rPr>
              <w:t>(1 146)</w:t>
            </w:r>
          </w:p>
        </w:tc>
        <w:tc>
          <w:tcPr>
            <w:tcW w:w="1418" w:type="dxa"/>
            <w:tcBorders>
              <w:top w:val="single" w:sz="8" w:space="0" w:color="0077BD"/>
              <w:left w:val="nil"/>
              <w:bottom w:val="single" w:sz="8" w:space="0" w:color="0077BD"/>
              <w:right w:val="nil"/>
            </w:tcBorders>
            <w:shd w:val="clear" w:color="auto" w:fill="auto"/>
            <w:vAlign w:val="center"/>
          </w:tcPr>
          <w:p w14:paraId="79EE7416" w14:textId="2E756F72" w:rsidR="00FE642B" w:rsidRPr="003770F7" w:rsidRDefault="00FE642B" w:rsidP="00FE642B">
            <w:pPr>
              <w:jc w:val="right"/>
              <w:rPr>
                <w:rFonts w:cs="Calibri"/>
                <w:color w:val="000000" w:themeColor="text1"/>
                <w:sz w:val="12"/>
                <w:szCs w:val="12"/>
              </w:rPr>
            </w:pPr>
            <w:r w:rsidRPr="003770F7">
              <w:rPr>
                <w:rFonts w:cs="Calibri"/>
                <w:sz w:val="12"/>
                <w:szCs w:val="12"/>
              </w:rPr>
              <w:t>14</w:t>
            </w:r>
          </w:p>
        </w:tc>
      </w:tr>
      <w:tr w:rsidR="00FE642B" w:rsidRPr="003770F7" w14:paraId="0AD9AA5D" w14:textId="77777777" w:rsidTr="00FE2D57">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2B3CACEB" w14:textId="77777777" w:rsidR="00FE642B" w:rsidRPr="003770F7" w:rsidRDefault="00FE642B" w:rsidP="00FE642B">
            <w:pPr>
              <w:rPr>
                <w:rFonts w:cs="Calibri"/>
                <w:color w:val="000000" w:themeColor="text1"/>
                <w:sz w:val="12"/>
                <w:szCs w:val="12"/>
              </w:rPr>
            </w:pPr>
            <w:r w:rsidRPr="003770F7">
              <w:rPr>
                <w:rFonts w:cs="Calibri"/>
                <w:color w:val="000000" w:themeColor="text1"/>
                <w:sz w:val="12"/>
                <w:szCs w:val="12"/>
              </w:rPr>
              <w:t>Kredyty i pożyczki udzielone klientom, w tym:</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51C27C0D" w14:textId="78563F60" w:rsidR="00FE642B" w:rsidRPr="003770F7" w:rsidRDefault="00FE642B" w:rsidP="00FE642B">
            <w:pPr>
              <w:jc w:val="right"/>
              <w:rPr>
                <w:rFonts w:cs="Calibri"/>
                <w:color w:val="000000" w:themeColor="text1"/>
                <w:sz w:val="12"/>
                <w:szCs w:val="12"/>
              </w:rPr>
            </w:pPr>
            <w:r w:rsidRPr="003770F7">
              <w:rPr>
                <w:color w:val="000000" w:themeColor="text1"/>
                <w:sz w:val="12"/>
                <w:szCs w:val="12"/>
              </w:rPr>
              <w:t>106 393 532</w:t>
            </w:r>
          </w:p>
        </w:tc>
        <w:tc>
          <w:tcPr>
            <w:tcW w:w="1418" w:type="dxa"/>
            <w:tcBorders>
              <w:top w:val="nil"/>
              <w:left w:val="nil"/>
              <w:bottom w:val="single" w:sz="8" w:space="0" w:color="0077BD"/>
              <w:right w:val="single" w:sz="8" w:space="0" w:color="0077BD"/>
            </w:tcBorders>
            <w:shd w:val="clear" w:color="auto" w:fill="auto"/>
            <w:vAlign w:val="center"/>
          </w:tcPr>
          <w:p w14:paraId="2D1DDFE8" w14:textId="1FCA4EEC" w:rsidR="00FE642B" w:rsidRPr="003770F7" w:rsidRDefault="00FE642B" w:rsidP="00FE642B">
            <w:pPr>
              <w:jc w:val="right"/>
              <w:rPr>
                <w:rFonts w:cs="Calibri"/>
                <w:color w:val="000000" w:themeColor="text1"/>
                <w:sz w:val="12"/>
                <w:szCs w:val="12"/>
              </w:rPr>
            </w:pPr>
            <w:r w:rsidRPr="003770F7">
              <w:rPr>
                <w:color w:val="000000" w:themeColor="text1"/>
                <w:sz w:val="12"/>
                <w:szCs w:val="12"/>
              </w:rPr>
              <w:t>(3 190 278)</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6E23914F" w14:textId="63CB7277" w:rsidR="00FE642B" w:rsidRPr="003770F7" w:rsidRDefault="00FE642B" w:rsidP="00FE642B">
            <w:pPr>
              <w:jc w:val="right"/>
              <w:rPr>
                <w:rFonts w:cs="Calibri"/>
                <w:color w:val="000000" w:themeColor="text1"/>
                <w:sz w:val="12"/>
                <w:szCs w:val="12"/>
              </w:rPr>
            </w:pPr>
            <w:r w:rsidRPr="003770F7">
              <w:rPr>
                <w:rFonts w:cs="Calibri"/>
                <w:sz w:val="12"/>
                <w:szCs w:val="12"/>
              </w:rPr>
              <w:t>(4 060 928)</w:t>
            </w:r>
          </w:p>
        </w:tc>
        <w:tc>
          <w:tcPr>
            <w:tcW w:w="1418" w:type="dxa"/>
            <w:tcBorders>
              <w:top w:val="nil"/>
              <w:left w:val="nil"/>
              <w:bottom w:val="single" w:sz="8" w:space="0" w:color="0077BD"/>
              <w:right w:val="nil"/>
            </w:tcBorders>
            <w:shd w:val="clear" w:color="auto" w:fill="auto"/>
            <w:vAlign w:val="center"/>
          </w:tcPr>
          <w:p w14:paraId="658A6F38" w14:textId="229F107A" w:rsidR="00FE642B" w:rsidRPr="003770F7" w:rsidRDefault="00FE642B" w:rsidP="00FE642B">
            <w:pPr>
              <w:jc w:val="right"/>
              <w:rPr>
                <w:rFonts w:cs="Calibri"/>
                <w:color w:val="000000" w:themeColor="text1"/>
                <w:sz w:val="12"/>
                <w:szCs w:val="12"/>
              </w:rPr>
            </w:pPr>
            <w:r w:rsidRPr="003770F7">
              <w:rPr>
                <w:rFonts w:cs="Calibri"/>
                <w:sz w:val="12"/>
                <w:szCs w:val="12"/>
              </w:rPr>
              <w:t>870 650</w:t>
            </w:r>
          </w:p>
        </w:tc>
      </w:tr>
      <w:tr w:rsidR="00FE642B" w:rsidRPr="003770F7" w14:paraId="6DAF99BB" w14:textId="77777777" w:rsidTr="00FE2D57">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5B695E4B" w14:textId="77777777" w:rsidR="00FE642B" w:rsidRPr="003770F7" w:rsidRDefault="00FE642B" w:rsidP="00FE642B">
            <w:pPr>
              <w:ind w:firstLineChars="87" w:firstLine="104"/>
              <w:rPr>
                <w:rFonts w:cs="Calibri"/>
                <w:color w:val="000000" w:themeColor="text1"/>
                <w:sz w:val="12"/>
                <w:szCs w:val="12"/>
              </w:rPr>
            </w:pPr>
            <w:r w:rsidRPr="003770F7">
              <w:rPr>
                <w:rFonts w:cs="Calibri"/>
                <w:color w:val="000000" w:themeColor="text1"/>
                <w:sz w:val="12"/>
                <w:szCs w:val="12"/>
              </w:rPr>
              <w:t>Klienci indywidualni</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4533909" w14:textId="21CF9BCF" w:rsidR="00FE642B" w:rsidRPr="003770F7" w:rsidRDefault="00FE642B" w:rsidP="00FE642B">
            <w:pPr>
              <w:jc w:val="right"/>
              <w:rPr>
                <w:rFonts w:cs="Calibri"/>
                <w:color w:val="000000" w:themeColor="text1"/>
                <w:sz w:val="12"/>
                <w:szCs w:val="12"/>
              </w:rPr>
            </w:pPr>
            <w:r w:rsidRPr="003770F7">
              <w:rPr>
                <w:color w:val="000000" w:themeColor="text1"/>
                <w:sz w:val="12"/>
                <w:szCs w:val="12"/>
              </w:rPr>
              <w:t>58 674 891</w:t>
            </w:r>
          </w:p>
        </w:tc>
        <w:tc>
          <w:tcPr>
            <w:tcW w:w="1418" w:type="dxa"/>
            <w:tcBorders>
              <w:top w:val="nil"/>
              <w:left w:val="nil"/>
              <w:bottom w:val="single" w:sz="4" w:space="0" w:color="0077BD"/>
              <w:right w:val="single" w:sz="8" w:space="0" w:color="0077BD"/>
            </w:tcBorders>
            <w:shd w:val="clear" w:color="auto" w:fill="auto"/>
            <w:vAlign w:val="center"/>
          </w:tcPr>
          <w:p w14:paraId="37C00DA6" w14:textId="349926C5" w:rsidR="00FE642B" w:rsidRPr="003770F7" w:rsidRDefault="00FE642B" w:rsidP="00FE642B">
            <w:pPr>
              <w:jc w:val="right"/>
              <w:rPr>
                <w:rFonts w:cs="Calibri"/>
                <w:color w:val="000000" w:themeColor="text1"/>
                <w:sz w:val="12"/>
                <w:szCs w:val="12"/>
              </w:rPr>
            </w:pPr>
            <w:r w:rsidRPr="003770F7">
              <w:rPr>
                <w:color w:val="000000" w:themeColor="text1"/>
                <w:sz w:val="12"/>
                <w:szCs w:val="12"/>
              </w:rPr>
              <w:t>(1 675 035)</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5DD86B0D" w14:textId="1D3F78D3" w:rsidR="00FE642B" w:rsidRPr="003770F7" w:rsidRDefault="00FE642B" w:rsidP="00FE642B">
            <w:pPr>
              <w:jc w:val="right"/>
              <w:rPr>
                <w:rFonts w:cs="Calibri"/>
                <w:color w:val="000000" w:themeColor="text1"/>
                <w:sz w:val="12"/>
                <w:szCs w:val="12"/>
              </w:rPr>
            </w:pPr>
            <w:r w:rsidRPr="003770F7">
              <w:rPr>
                <w:rFonts w:cs="Calibri"/>
                <w:sz w:val="12"/>
                <w:szCs w:val="12"/>
              </w:rPr>
              <w:t>(1 855 688)</w:t>
            </w:r>
          </w:p>
        </w:tc>
        <w:tc>
          <w:tcPr>
            <w:tcW w:w="1418" w:type="dxa"/>
            <w:tcBorders>
              <w:top w:val="nil"/>
              <w:left w:val="nil"/>
              <w:bottom w:val="single" w:sz="4" w:space="0" w:color="0077BD"/>
              <w:right w:val="nil"/>
            </w:tcBorders>
            <w:shd w:val="clear" w:color="auto" w:fill="auto"/>
            <w:vAlign w:val="center"/>
          </w:tcPr>
          <w:p w14:paraId="528FB214" w14:textId="6CE3B632" w:rsidR="00FE642B" w:rsidRPr="003770F7" w:rsidRDefault="00FE642B" w:rsidP="00FE642B">
            <w:pPr>
              <w:jc w:val="right"/>
              <w:rPr>
                <w:rFonts w:cs="Calibri"/>
                <w:color w:val="000000" w:themeColor="text1"/>
                <w:sz w:val="12"/>
                <w:szCs w:val="12"/>
              </w:rPr>
            </w:pPr>
            <w:r w:rsidRPr="003770F7">
              <w:rPr>
                <w:rFonts w:cs="Calibri"/>
                <w:sz w:val="12"/>
                <w:szCs w:val="12"/>
              </w:rPr>
              <w:t>180 653</w:t>
            </w:r>
          </w:p>
        </w:tc>
      </w:tr>
      <w:tr w:rsidR="00FE642B" w:rsidRPr="003770F7" w14:paraId="2C8B4850" w14:textId="77777777" w:rsidTr="00377B18">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04A98D6E" w14:textId="6C0CE808" w:rsidR="00FE642B" w:rsidRPr="003770F7" w:rsidRDefault="00FE642B" w:rsidP="00FE642B">
            <w:pPr>
              <w:ind w:left="256" w:hanging="142"/>
              <w:rPr>
                <w:rFonts w:cs="Calibri"/>
                <w:i/>
                <w:iCs/>
                <w:color w:val="000000" w:themeColor="text1"/>
                <w:sz w:val="12"/>
                <w:szCs w:val="12"/>
              </w:rPr>
            </w:pPr>
            <w:r w:rsidRPr="003770F7">
              <w:rPr>
                <w:rFonts w:cs="Calibri"/>
                <w:i/>
                <w:iCs/>
                <w:color w:val="000000" w:themeColor="text1"/>
                <w:sz w:val="12"/>
                <w:szCs w:val="12"/>
              </w:rPr>
              <w:t>- kredyty hipoteczne i mieszkaniowe udzielone osobom fizycznym</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7A3570D" w14:textId="33768E21" w:rsidR="00FE642B" w:rsidRPr="003770F7" w:rsidRDefault="00FE642B" w:rsidP="00FE642B">
            <w:pPr>
              <w:jc w:val="right"/>
              <w:rPr>
                <w:rFonts w:cs="Calibri"/>
                <w:i/>
                <w:iCs/>
                <w:color w:val="000000" w:themeColor="text1"/>
                <w:sz w:val="12"/>
                <w:szCs w:val="12"/>
              </w:rPr>
            </w:pPr>
            <w:r w:rsidRPr="003770F7">
              <w:rPr>
                <w:i/>
                <w:iCs/>
                <w:color w:val="000000" w:themeColor="text1"/>
                <w:sz w:val="12"/>
                <w:szCs w:val="12"/>
              </w:rPr>
              <w:t>38 979 040</w:t>
            </w:r>
          </w:p>
        </w:tc>
        <w:tc>
          <w:tcPr>
            <w:tcW w:w="1418" w:type="dxa"/>
            <w:tcBorders>
              <w:top w:val="nil"/>
              <w:left w:val="nil"/>
              <w:bottom w:val="single" w:sz="4" w:space="0" w:color="0077BD"/>
              <w:right w:val="single" w:sz="8" w:space="0" w:color="0077BD"/>
            </w:tcBorders>
            <w:shd w:val="clear" w:color="auto" w:fill="auto"/>
            <w:vAlign w:val="center"/>
          </w:tcPr>
          <w:p w14:paraId="504F805D" w14:textId="66375024" w:rsidR="00FE642B" w:rsidRPr="003770F7" w:rsidRDefault="00FE642B" w:rsidP="00FE642B">
            <w:pPr>
              <w:jc w:val="right"/>
              <w:rPr>
                <w:rFonts w:cs="Calibri"/>
                <w:i/>
                <w:iCs/>
                <w:color w:val="000000" w:themeColor="text1"/>
                <w:sz w:val="12"/>
                <w:szCs w:val="12"/>
              </w:rPr>
            </w:pPr>
            <w:r w:rsidRPr="003770F7">
              <w:rPr>
                <w:i/>
                <w:iCs/>
                <w:color w:val="000000" w:themeColor="text1"/>
                <w:sz w:val="12"/>
                <w:szCs w:val="12"/>
              </w:rPr>
              <w:t>(414 932)</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14FC4655" w14:textId="5FE790A9" w:rsidR="00FE642B" w:rsidRPr="003770F7" w:rsidRDefault="00FE642B" w:rsidP="00FE642B">
            <w:pPr>
              <w:jc w:val="right"/>
              <w:rPr>
                <w:rFonts w:cs="Calibri"/>
                <w:i/>
                <w:iCs/>
                <w:color w:val="000000" w:themeColor="text1"/>
                <w:sz w:val="12"/>
                <w:szCs w:val="12"/>
              </w:rPr>
            </w:pPr>
            <w:r w:rsidRPr="003770F7">
              <w:rPr>
                <w:rFonts w:cs="Calibri"/>
                <w:i/>
                <w:iCs/>
                <w:sz w:val="12"/>
                <w:szCs w:val="12"/>
              </w:rPr>
              <w:t>(570 703)</w:t>
            </w:r>
          </w:p>
        </w:tc>
        <w:tc>
          <w:tcPr>
            <w:tcW w:w="1418" w:type="dxa"/>
            <w:tcBorders>
              <w:top w:val="nil"/>
              <w:left w:val="nil"/>
              <w:bottom w:val="single" w:sz="4" w:space="0" w:color="0077BD"/>
              <w:right w:val="nil"/>
            </w:tcBorders>
            <w:shd w:val="clear" w:color="auto" w:fill="auto"/>
            <w:vAlign w:val="center"/>
          </w:tcPr>
          <w:p w14:paraId="2D22D67D" w14:textId="5471BC17" w:rsidR="00FE642B" w:rsidRPr="003770F7" w:rsidRDefault="00FE642B" w:rsidP="00FE642B">
            <w:pPr>
              <w:jc w:val="right"/>
              <w:rPr>
                <w:rFonts w:cs="Calibri"/>
                <w:i/>
                <w:iCs/>
                <w:color w:val="000000" w:themeColor="text1"/>
                <w:sz w:val="12"/>
                <w:szCs w:val="12"/>
              </w:rPr>
            </w:pPr>
            <w:r w:rsidRPr="003770F7">
              <w:rPr>
                <w:rFonts w:cs="Calibri"/>
                <w:i/>
                <w:iCs/>
                <w:sz w:val="12"/>
                <w:szCs w:val="12"/>
              </w:rPr>
              <w:t>155 771</w:t>
            </w:r>
          </w:p>
        </w:tc>
      </w:tr>
      <w:tr w:rsidR="00FE642B" w:rsidRPr="003770F7" w14:paraId="4AC8E326" w14:textId="77777777" w:rsidTr="00FE2D57">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7661E2CD" w14:textId="77777777" w:rsidR="00FE642B" w:rsidRPr="003770F7" w:rsidRDefault="00FE642B" w:rsidP="00FE642B">
            <w:pPr>
              <w:ind w:firstLineChars="87" w:firstLine="104"/>
              <w:rPr>
                <w:rFonts w:cs="Calibri"/>
                <w:color w:val="000000" w:themeColor="text1"/>
                <w:sz w:val="12"/>
                <w:szCs w:val="12"/>
              </w:rPr>
            </w:pPr>
            <w:r w:rsidRPr="003770F7">
              <w:rPr>
                <w:rFonts w:cs="Calibri"/>
                <w:color w:val="000000" w:themeColor="text1"/>
                <w:sz w:val="12"/>
                <w:szCs w:val="12"/>
              </w:rPr>
              <w:t>Klienci korporacyjni</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446C617" w14:textId="2111D4F7" w:rsidR="00FE642B" w:rsidRPr="003770F7" w:rsidRDefault="00FE642B" w:rsidP="00FE642B">
            <w:pPr>
              <w:jc w:val="right"/>
              <w:rPr>
                <w:rFonts w:cs="Calibri"/>
                <w:color w:val="000000" w:themeColor="text1"/>
                <w:sz w:val="12"/>
                <w:szCs w:val="12"/>
              </w:rPr>
            </w:pPr>
            <w:r w:rsidRPr="003770F7">
              <w:rPr>
                <w:color w:val="000000" w:themeColor="text1"/>
                <w:sz w:val="12"/>
                <w:szCs w:val="12"/>
              </w:rPr>
              <w:t>47 333 932</w:t>
            </w:r>
          </w:p>
        </w:tc>
        <w:tc>
          <w:tcPr>
            <w:tcW w:w="1418" w:type="dxa"/>
            <w:tcBorders>
              <w:top w:val="nil"/>
              <w:left w:val="nil"/>
              <w:bottom w:val="single" w:sz="4" w:space="0" w:color="0077BD"/>
              <w:right w:val="single" w:sz="8" w:space="0" w:color="0077BD"/>
            </w:tcBorders>
            <w:shd w:val="clear" w:color="auto" w:fill="auto"/>
            <w:vAlign w:val="center"/>
          </w:tcPr>
          <w:p w14:paraId="4A2A1E52" w14:textId="4423CDA3" w:rsidR="00FE642B" w:rsidRPr="003770F7" w:rsidRDefault="00FE642B" w:rsidP="00FE642B">
            <w:pPr>
              <w:jc w:val="right"/>
              <w:rPr>
                <w:rFonts w:cs="Calibri"/>
                <w:color w:val="000000" w:themeColor="text1"/>
                <w:sz w:val="12"/>
                <w:szCs w:val="12"/>
              </w:rPr>
            </w:pPr>
            <w:r w:rsidRPr="003770F7">
              <w:rPr>
                <w:color w:val="000000" w:themeColor="text1"/>
                <w:sz w:val="12"/>
                <w:szCs w:val="12"/>
              </w:rPr>
              <w:t>(1 514 849)</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4CDA11F2" w14:textId="645AC818" w:rsidR="00FE642B" w:rsidRPr="003770F7" w:rsidRDefault="00FE642B" w:rsidP="00FE642B">
            <w:pPr>
              <w:jc w:val="right"/>
              <w:rPr>
                <w:rFonts w:cs="Calibri"/>
                <w:color w:val="000000" w:themeColor="text1"/>
                <w:sz w:val="12"/>
                <w:szCs w:val="12"/>
              </w:rPr>
            </w:pPr>
            <w:r w:rsidRPr="003770F7">
              <w:rPr>
                <w:rFonts w:cs="Calibri"/>
                <w:sz w:val="12"/>
                <w:szCs w:val="12"/>
              </w:rPr>
              <w:t>(2 204 846)</w:t>
            </w:r>
          </w:p>
        </w:tc>
        <w:tc>
          <w:tcPr>
            <w:tcW w:w="1418" w:type="dxa"/>
            <w:tcBorders>
              <w:top w:val="nil"/>
              <w:left w:val="nil"/>
              <w:bottom w:val="single" w:sz="4" w:space="0" w:color="0077BD"/>
              <w:right w:val="nil"/>
            </w:tcBorders>
            <w:shd w:val="clear" w:color="auto" w:fill="auto"/>
            <w:vAlign w:val="center"/>
          </w:tcPr>
          <w:p w14:paraId="64EF48CE" w14:textId="6B21A42B" w:rsidR="00FE642B" w:rsidRPr="003770F7" w:rsidRDefault="00FE642B" w:rsidP="00FE642B">
            <w:pPr>
              <w:jc w:val="right"/>
              <w:rPr>
                <w:rFonts w:cs="Calibri"/>
                <w:color w:val="000000" w:themeColor="text1"/>
                <w:sz w:val="12"/>
                <w:szCs w:val="12"/>
              </w:rPr>
            </w:pPr>
            <w:r w:rsidRPr="003770F7">
              <w:rPr>
                <w:rFonts w:cs="Calibri"/>
                <w:sz w:val="12"/>
                <w:szCs w:val="12"/>
              </w:rPr>
              <w:t>689 997</w:t>
            </w:r>
          </w:p>
        </w:tc>
      </w:tr>
      <w:tr w:rsidR="00FE642B" w:rsidRPr="003770F7" w14:paraId="238B4E50" w14:textId="77777777" w:rsidTr="00FE2D57">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17BEFA41" w14:textId="77777777" w:rsidR="00FE642B" w:rsidRPr="003770F7" w:rsidRDefault="00FE642B" w:rsidP="00FE642B">
            <w:pPr>
              <w:ind w:firstLineChars="87" w:firstLine="104"/>
              <w:rPr>
                <w:rFonts w:cs="Calibri"/>
                <w:color w:val="000000" w:themeColor="text1"/>
                <w:sz w:val="12"/>
                <w:szCs w:val="12"/>
              </w:rPr>
            </w:pPr>
            <w:r w:rsidRPr="003770F7">
              <w:rPr>
                <w:rFonts w:cs="Calibri"/>
                <w:color w:val="000000" w:themeColor="text1"/>
                <w:sz w:val="12"/>
                <w:szCs w:val="12"/>
              </w:rPr>
              <w:t>Klienci budżetowi</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1493541A" w14:textId="09255D85" w:rsidR="00FE642B" w:rsidRPr="003770F7" w:rsidRDefault="00FE642B" w:rsidP="00FE642B">
            <w:pPr>
              <w:jc w:val="right"/>
              <w:rPr>
                <w:rFonts w:cs="Calibri"/>
                <w:color w:val="000000" w:themeColor="text1"/>
                <w:sz w:val="12"/>
                <w:szCs w:val="12"/>
              </w:rPr>
            </w:pPr>
            <w:r w:rsidRPr="003770F7">
              <w:rPr>
                <w:color w:val="000000" w:themeColor="text1"/>
                <w:sz w:val="12"/>
                <w:szCs w:val="12"/>
              </w:rPr>
              <w:t>384 709</w:t>
            </w:r>
          </w:p>
        </w:tc>
        <w:tc>
          <w:tcPr>
            <w:tcW w:w="1418" w:type="dxa"/>
            <w:tcBorders>
              <w:top w:val="nil"/>
              <w:left w:val="nil"/>
              <w:bottom w:val="single" w:sz="8" w:space="0" w:color="0077BD"/>
              <w:right w:val="single" w:sz="8" w:space="0" w:color="0077BD"/>
            </w:tcBorders>
            <w:shd w:val="clear" w:color="auto" w:fill="auto"/>
            <w:vAlign w:val="center"/>
          </w:tcPr>
          <w:p w14:paraId="730E1DAB" w14:textId="79816CBD" w:rsidR="00FE642B" w:rsidRPr="003770F7" w:rsidRDefault="00FE642B" w:rsidP="00FE642B">
            <w:pPr>
              <w:jc w:val="right"/>
              <w:rPr>
                <w:rFonts w:cs="Calibri"/>
                <w:color w:val="000000" w:themeColor="text1"/>
                <w:sz w:val="12"/>
                <w:szCs w:val="12"/>
              </w:rPr>
            </w:pPr>
            <w:r w:rsidRPr="003770F7">
              <w:rPr>
                <w:color w:val="000000" w:themeColor="text1"/>
                <w:sz w:val="12"/>
                <w:szCs w:val="12"/>
              </w:rPr>
              <w:t>(394)</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F951A1C" w14:textId="22720D8F" w:rsidR="00FE642B" w:rsidRPr="003770F7" w:rsidRDefault="00FE642B" w:rsidP="00FE642B">
            <w:pPr>
              <w:jc w:val="right"/>
              <w:rPr>
                <w:rFonts w:cs="Calibri"/>
                <w:color w:val="000000" w:themeColor="text1"/>
                <w:sz w:val="12"/>
                <w:szCs w:val="12"/>
              </w:rPr>
            </w:pPr>
            <w:r w:rsidRPr="003770F7">
              <w:rPr>
                <w:rFonts w:cs="Calibri"/>
                <w:sz w:val="12"/>
                <w:szCs w:val="12"/>
              </w:rPr>
              <w:t>(394)</w:t>
            </w:r>
          </w:p>
        </w:tc>
        <w:tc>
          <w:tcPr>
            <w:tcW w:w="1418" w:type="dxa"/>
            <w:tcBorders>
              <w:top w:val="nil"/>
              <w:left w:val="nil"/>
              <w:bottom w:val="single" w:sz="8" w:space="0" w:color="0077BD"/>
              <w:right w:val="nil"/>
            </w:tcBorders>
            <w:shd w:val="clear" w:color="auto" w:fill="auto"/>
            <w:vAlign w:val="center"/>
          </w:tcPr>
          <w:p w14:paraId="1617A115" w14:textId="7B18278C" w:rsidR="00FE642B" w:rsidRPr="003770F7" w:rsidRDefault="00FE642B" w:rsidP="00FE642B">
            <w:pPr>
              <w:jc w:val="right"/>
              <w:rPr>
                <w:rFonts w:cs="Calibri"/>
                <w:color w:val="000000" w:themeColor="text1"/>
                <w:sz w:val="12"/>
                <w:szCs w:val="12"/>
              </w:rPr>
            </w:pPr>
            <w:r w:rsidRPr="003770F7">
              <w:rPr>
                <w:rFonts w:cs="Calibri"/>
                <w:sz w:val="12"/>
                <w:szCs w:val="12"/>
              </w:rPr>
              <w:t>-</w:t>
            </w:r>
          </w:p>
        </w:tc>
      </w:tr>
      <w:tr w:rsidR="00FE642B" w:rsidRPr="003770F7" w14:paraId="19FD50D2" w14:textId="77777777" w:rsidTr="00FE2D57">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324828EE" w14:textId="77777777" w:rsidR="00FE642B" w:rsidRPr="003770F7" w:rsidRDefault="00FE642B" w:rsidP="00FE642B">
            <w:pPr>
              <w:rPr>
                <w:rFonts w:cs="Calibri"/>
                <w:b/>
                <w:bCs/>
                <w:color w:val="000000" w:themeColor="text1"/>
                <w:sz w:val="12"/>
                <w:szCs w:val="12"/>
              </w:rPr>
            </w:pPr>
            <w:r w:rsidRPr="003770F7">
              <w:rPr>
                <w:rFonts w:cs="Calibri"/>
                <w:b/>
                <w:bCs/>
                <w:color w:val="000000" w:themeColor="text1"/>
                <w:sz w:val="12"/>
                <w:szCs w:val="12"/>
              </w:rPr>
              <w:t>Razem dane bilansowe</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15571272" w14:textId="30340EEA" w:rsidR="00FE642B" w:rsidRPr="003770F7" w:rsidRDefault="00FE642B" w:rsidP="00FE642B">
            <w:pPr>
              <w:jc w:val="right"/>
              <w:rPr>
                <w:rFonts w:cs="Calibri"/>
                <w:b/>
                <w:bCs/>
                <w:color w:val="000000" w:themeColor="text1"/>
                <w:sz w:val="12"/>
                <w:szCs w:val="12"/>
              </w:rPr>
            </w:pPr>
            <w:r w:rsidRPr="003770F7">
              <w:rPr>
                <w:b/>
                <w:bCs/>
                <w:color w:val="000000" w:themeColor="text1"/>
                <w:sz w:val="12"/>
                <w:szCs w:val="12"/>
              </w:rPr>
              <w:t>110 736 422</w:t>
            </w:r>
          </w:p>
        </w:tc>
        <w:tc>
          <w:tcPr>
            <w:tcW w:w="1418" w:type="dxa"/>
            <w:tcBorders>
              <w:top w:val="nil"/>
              <w:left w:val="nil"/>
              <w:bottom w:val="single" w:sz="8" w:space="0" w:color="0077BD"/>
              <w:right w:val="single" w:sz="8" w:space="0" w:color="0077BD"/>
            </w:tcBorders>
            <w:shd w:val="clear" w:color="auto" w:fill="auto"/>
            <w:vAlign w:val="center"/>
          </w:tcPr>
          <w:p w14:paraId="486B6D0A" w14:textId="582CEAE4" w:rsidR="00FE642B" w:rsidRPr="003770F7" w:rsidRDefault="00FE642B" w:rsidP="00FE642B">
            <w:pPr>
              <w:jc w:val="right"/>
              <w:rPr>
                <w:rFonts w:cs="Calibri"/>
                <w:b/>
                <w:bCs/>
                <w:color w:val="000000" w:themeColor="text1"/>
                <w:sz w:val="12"/>
                <w:szCs w:val="12"/>
              </w:rPr>
            </w:pPr>
            <w:r w:rsidRPr="003770F7">
              <w:rPr>
                <w:b/>
                <w:bCs/>
                <w:color w:val="000000" w:themeColor="text1"/>
                <w:sz w:val="12"/>
                <w:szCs w:val="12"/>
              </w:rPr>
              <w:t>(3 191 410)</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C42F95D" w14:textId="16FA93A9" w:rsidR="00FE642B" w:rsidRPr="003770F7" w:rsidRDefault="00FE642B" w:rsidP="00FE642B">
            <w:pPr>
              <w:jc w:val="right"/>
              <w:rPr>
                <w:rFonts w:cs="Calibri"/>
                <w:b/>
                <w:bCs/>
                <w:color w:val="000000" w:themeColor="text1"/>
                <w:sz w:val="12"/>
                <w:szCs w:val="12"/>
              </w:rPr>
            </w:pPr>
            <w:r w:rsidRPr="003770F7">
              <w:rPr>
                <w:rFonts w:cs="Calibri"/>
                <w:b/>
                <w:bCs/>
                <w:sz w:val="12"/>
                <w:szCs w:val="12"/>
              </w:rPr>
              <w:t>(4 062 074)</w:t>
            </w:r>
          </w:p>
        </w:tc>
        <w:tc>
          <w:tcPr>
            <w:tcW w:w="1418" w:type="dxa"/>
            <w:tcBorders>
              <w:top w:val="nil"/>
              <w:left w:val="nil"/>
              <w:bottom w:val="single" w:sz="8" w:space="0" w:color="0077BD"/>
              <w:right w:val="nil"/>
            </w:tcBorders>
            <w:shd w:val="clear" w:color="auto" w:fill="auto"/>
            <w:vAlign w:val="center"/>
          </w:tcPr>
          <w:p w14:paraId="106551BC" w14:textId="5590D9E1" w:rsidR="00FE642B" w:rsidRPr="003770F7" w:rsidRDefault="00FE642B" w:rsidP="00FE642B">
            <w:pPr>
              <w:jc w:val="right"/>
              <w:rPr>
                <w:rFonts w:cs="Calibri"/>
                <w:b/>
                <w:bCs/>
                <w:color w:val="000000" w:themeColor="text1"/>
                <w:sz w:val="12"/>
                <w:szCs w:val="12"/>
              </w:rPr>
            </w:pPr>
            <w:r w:rsidRPr="003770F7">
              <w:rPr>
                <w:rFonts w:cs="Calibri"/>
                <w:b/>
                <w:bCs/>
                <w:sz w:val="12"/>
                <w:szCs w:val="12"/>
              </w:rPr>
              <w:t>870 664</w:t>
            </w:r>
          </w:p>
        </w:tc>
      </w:tr>
      <w:tr w:rsidR="005C3EE1" w:rsidRPr="003770F7" w14:paraId="2531CFCB" w14:textId="77777777" w:rsidTr="00FE2D57">
        <w:trPr>
          <w:trHeight w:val="227"/>
        </w:trPr>
        <w:tc>
          <w:tcPr>
            <w:tcW w:w="0" w:type="auto"/>
            <w:tcBorders>
              <w:top w:val="nil"/>
              <w:left w:val="nil"/>
              <w:bottom w:val="nil"/>
              <w:right w:val="nil"/>
            </w:tcBorders>
            <w:shd w:val="clear" w:color="000000" w:fill="FFFFFF"/>
            <w:vAlign w:val="center"/>
            <w:hideMark/>
          </w:tcPr>
          <w:p w14:paraId="2612529F" w14:textId="77777777" w:rsidR="000E244E" w:rsidRPr="003770F7" w:rsidRDefault="000E244E" w:rsidP="00311CF2">
            <w:pPr>
              <w:rPr>
                <w:rFonts w:cs="Calibri"/>
                <w:b/>
                <w:bCs/>
                <w:color w:val="000000" w:themeColor="text1"/>
                <w:sz w:val="12"/>
                <w:szCs w:val="12"/>
              </w:rPr>
            </w:pPr>
            <w:r w:rsidRPr="003770F7">
              <w:rPr>
                <w:rFonts w:cs="Calibri"/>
                <w:b/>
                <w:bCs/>
                <w:color w:val="000000" w:themeColor="text1"/>
                <w:sz w:val="12"/>
                <w:szCs w:val="12"/>
              </w:rPr>
              <w:t>Dane pozabilansowe</w:t>
            </w:r>
          </w:p>
        </w:tc>
        <w:tc>
          <w:tcPr>
            <w:tcW w:w="1418" w:type="dxa"/>
            <w:tcBorders>
              <w:top w:val="nil"/>
              <w:left w:val="nil"/>
              <w:bottom w:val="nil"/>
              <w:right w:val="nil"/>
            </w:tcBorders>
            <w:shd w:val="clear" w:color="000000" w:fill="FFFFFF"/>
            <w:vAlign w:val="center"/>
          </w:tcPr>
          <w:p w14:paraId="27F8586F" w14:textId="4B75EC00" w:rsidR="000E244E" w:rsidRPr="003770F7" w:rsidRDefault="000E244E" w:rsidP="00311CF2">
            <w:pPr>
              <w:jc w:val="right"/>
              <w:rPr>
                <w:rFonts w:cs="Calibri"/>
                <w:color w:val="000000" w:themeColor="text1"/>
                <w:sz w:val="12"/>
                <w:szCs w:val="12"/>
              </w:rPr>
            </w:pPr>
          </w:p>
        </w:tc>
        <w:tc>
          <w:tcPr>
            <w:tcW w:w="1418" w:type="dxa"/>
            <w:tcBorders>
              <w:top w:val="nil"/>
              <w:left w:val="nil"/>
              <w:bottom w:val="nil"/>
              <w:right w:val="nil"/>
            </w:tcBorders>
            <w:shd w:val="clear" w:color="000000" w:fill="FFFFFF"/>
            <w:vAlign w:val="center"/>
          </w:tcPr>
          <w:p w14:paraId="7D65566A" w14:textId="6BE50176" w:rsidR="000E244E" w:rsidRPr="003770F7" w:rsidRDefault="000E244E" w:rsidP="00311CF2">
            <w:pPr>
              <w:jc w:val="right"/>
              <w:rPr>
                <w:rFonts w:cs="Calibri"/>
                <w:color w:val="000000" w:themeColor="text1"/>
                <w:sz w:val="12"/>
                <w:szCs w:val="12"/>
              </w:rPr>
            </w:pPr>
          </w:p>
        </w:tc>
        <w:tc>
          <w:tcPr>
            <w:tcW w:w="1418" w:type="dxa"/>
            <w:tcBorders>
              <w:top w:val="nil"/>
              <w:left w:val="nil"/>
              <w:bottom w:val="nil"/>
              <w:right w:val="nil"/>
            </w:tcBorders>
            <w:shd w:val="clear" w:color="000000" w:fill="FFFFFF"/>
            <w:noWrap/>
            <w:vAlign w:val="center"/>
          </w:tcPr>
          <w:p w14:paraId="33B11446" w14:textId="5B6FD256" w:rsidR="000E244E" w:rsidRPr="003770F7" w:rsidRDefault="000E244E" w:rsidP="00311CF2">
            <w:pPr>
              <w:jc w:val="right"/>
              <w:rPr>
                <w:rFonts w:cs="Calibri"/>
                <w:color w:val="000000" w:themeColor="text1"/>
                <w:sz w:val="12"/>
                <w:szCs w:val="12"/>
              </w:rPr>
            </w:pPr>
          </w:p>
        </w:tc>
        <w:tc>
          <w:tcPr>
            <w:tcW w:w="1418" w:type="dxa"/>
            <w:tcBorders>
              <w:top w:val="nil"/>
              <w:left w:val="nil"/>
              <w:bottom w:val="nil"/>
              <w:right w:val="nil"/>
            </w:tcBorders>
            <w:shd w:val="clear" w:color="000000" w:fill="FFFFFF"/>
            <w:noWrap/>
            <w:vAlign w:val="center"/>
          </w:tcPr>
          <w:p w14:paraId="2B638D55" w14:textId="4F6E7448" w:rsidR="000E244E" w:rsidRPr="003770F7" w:rsidRDefault="000E244E" w:rsidP="00311CF2">
            <w:pPr>
              <w:jc w:val="right"/>
              <w:rPr>
                <w:rFonts w:cs="Calibri"/>
                <w:color w:val="000000" w:themeColor="text1"/>
                <w:sz w:val="12"/>
                <w:szCs w:val="12"/>
              </w:rPr>
            </w:pPr>
          </w:p>
        </w:tc>
      </w:tr>
      <w:tr w:rsidR="007B7A97" w:rsidRPr="003770F7" w14:paraId="0A938DCE" w14:textId="77777777" w:rsidTr="00FE2D57">
        <w:trPr>
          <w:trHeight w:val="340"/>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02FD7764" w14:textId="77777777" w:rsidR="007B7A97" w:rsidRPr="003770F7" w:rsidRDefault="007B7A97" w:rsidP="007B7A97">
            <w:pPr>
              <w:rPr>
                <w:rFonts w:cs="Calibri"/>
                <w:color w:val="000000" w:themeColor="text1"/>
                <w:sz w:val="12"/>
                <w:szCs w:val="12"/>
              </w:rPr>
            </w:pPr>
            <w:r w:rsidRPr="003770F7">
              <w:rPr>
                <w:rFonts w:cs="Calibri"/>
                <w:color w:val="000000" w:themeColor="text1"/>
                <w:sz w:val="12"/>
                <w:szCs w:val="12"/>
              </w:rPr>
              <w:t>Zobowiązania do udzielenia kredytów oraz pozostałe udzielone zobowiązania finansowe</w:t>
            </w:r>
          </w:p>
        </w:tc>
        <w:tc>
          <w:tcPr>
            <w:tcW w:w="1418" w:type="dxa"/>
            <w:tcBorders>
              <w:top w:val="single" w:sz="8" w:space="0" w:color="0077BD"/>
              <w:left w:val="single" w:sz="8" w:space="0" w:color="0077BD"/>
              <w:bottom w:val="single" w:sz="4" w:space="0" w:color="0077BD"/>
              <w:right w:val="single" w:sz="8" w:space="0" w:color="0077BD"/>
            </w:tcBorders>
            <w:shd w:val="clear" w:color="auto" w:fill="auto"/>
            <w:vAlign w:val="center"/>
          </w:tcPr>
          <w:p w14:paraId="50D9E63C" w14:textId="14522C0C" w:rsidR="007B7A97" w:rsidRPr="003770F7" w:rsidRDefault="007B7A97" w:rsidP="007B7A97">
            <w:pPr>
              <w:jc w:val="right"/>
              <w:rPr>
                <w:rFonts w:cs="Calibri"/>
                <w:color w:val="000000" w:themeColor="text1"/>
                <w:sz w:val="12"/>
                <w:szCs w:val="12"/>
              </w:rPr>
            </w:pPr>
            <w:r w:rsidRPr="003770F7">
              <w:rPr>
                <w:color w:val="000000" w:themeColor="text1"/>
                <w:sz w:val="12"/>
                <w:szCs w:val="12"/>
              </w:rPr>
              <w:t>29 134 935</w:t>
            </w:r>
          </w:p>
        </w:tc>
        <w:tc>
          <w:tcPr>
            <w:tcW w:w="1418" w:type="dxa"/>
            <w:tcBorders>
              <w:top w:val="single" w:sz="8" w:space="0" w:color="0077BD"/>
              <w:left w:val="nil"/>
              <w:bottom w:val="single" w:sz="4" w:space="0" w:color="0077BD"/>
              <w:right w:val="single" w:sz="8" w:space="0" w:color="0077BD"/>
            </w:tcBorders>
            <w:shd w:val="clear" w:color="auto" w:fill="auto"/>
            <w:vAlign w:val="center"/>
          </w:tcPr>
          <w:p w14:paraId="52625A66" w14:textId="2F708547" w:rsidR="007B7A97" w:rsidRPr="003770F7" w:rsidRDefault="007B7A97" w:rsidP="007B7A97">
            <w:pPr>
              <w:jc w:val="right"/>
              <w:rPr>
                <w:rFonts w:cs="Calibri"/>
                <w:color w:val="000000" w:themeColor="text1"/>
                <w:sz w:val="12"/>
                <w:szCs w:val="12"/>
              </w:rPr>
            </w:pPr>
            <w:r w:rsidRPr="003770F7">
              <w:rPr>
                <w:color w:val="000000" w:themeColor="text1"/>
                <w:sz w:val="12"/>
                <w:szCs w:val="12"/>
              </w:rPr>
              <w:t>(63 864)</w:t>
            </w:r>
          </w:p>
        </w:tc>
        <w:tc>
          <w:tcPr>
            <w:tcW w:w="1418" w:type="dxa"/>
            <w:tcBorders>
              <w:top w:val="single" w:sz="8" w:space="0" w:color="0077BD"/>
              <w:left w:val="nil"/>
              <w:bottom w:val="single" w:sz="4" w:space="0" w:color="0077BD"/>
              <w:right w:val="single" w:sz="8" w:space="0" w:color="0077BD"/>
            </w:tcBorders>
            <w:shd w:val="clear" w:color="auto" w:fill="auto"/>
            <w:vAlign w:val="center"/>
          </w:tcPr>
          <w:p w14:paraId="2232DA4A" w14:textId="0AB5C21F" w:rsidR="007B7A97" w:rsidRPr="003770F7" w:rsidRDefault="007B7A97" w:rsidP="007B7A97">
            <w:pPr>
              <w:jc w:val="right"/>
              <w:rPr>
                <w:rFonts w:cs="Calibri"/>
                <w:color w:val="000000" w:themeColor="text1"/>
                <w:sz w:val="12"/>
                <w:szCs w:val="12"/>
              </w:rPr>
            </w:pPr>
            <w:r w:rsidRPr="003770F7">
              <w:rPr>
                <w:sz w:val="12"/>
                <w:szCs w:val="12"/>
              </w:rPr>
              <w:t>(66 500)</w:t>
            </w:r>
          </w:p>
        </w:tc>
        <w:tc>
          <w:tcPr>
            <w:tcW w:w="1418" w:type="dxa"/>
            <w:tcBorders>
              <w:top w:val="single" w:sz="8" w:space="0" w:color="0077BD"/>
              <w:left w:val="nil"/>
              <w:bottom w:val="single" w:sz="4" w:space="0" w:color="0077BD"/>
              <w:right w:val="nil"/>
            </w:tcBorders>
            <w:shd w:val="clear" w:color="auto" w:fill="auto"/>
            <w:noWrap/>
            <w:vAlign w:val="center"/>
          </w:tcPr>
          <w:p w14:paraId="13ED1D8E" w14:textId="79E4E41E" w:rsidR="007B7A97" w:rsidRPr="003770F7" w:rsidRDefault="007B7A97" w:rsidP="007B7A97">
            <w:pPr>
              <w:jc w:val="right"/>
              <w:rPr>
                <w:rFonts w:cs="Calibri"/>
                <w:color w:val="000000" w:themeColor="text1"/>
                <w:sz w:val="12"/>
                <w:szCs w:val="12"/>
              </w:rPr>
            </w:pPr>
            <w:r w:rsidRPr="003770F7">
              <w:rPr>
                <w:sz w:val="12"/>
                <w:szCs w:val="12"/>
              </w:rPr>
              <w:t>2 636</w:t>
            </w:r>
          </w:p>
        </w:tc>
      </w:tr>
      <w:tr w:rsidR="007B7A97" w:rsidRPr="003770F7" w14:paraId="6C6181E3" w14:textId="77777777" w:rsidTr="00FE2D57">
        <w:trPr>
          <w:trHeight w:val="227"/>
        </w:trPr>
        <w:tc>
          <w:tcPr>
            <w:tcW w:w="0" w:type="auto"/>
            <w:tcBorders>
              <w:top w:val="nil"/>
              <w:left w:val="nil"/>
              <w:bottom w:val="nil"/>
              <w:right w:val="single" w:sz="8" w:space="0" w:color="0077BD"/>
            </w:tcBorders>
            <w:shd w:val="clear" w:color="auto" w:fill="auto"/>
            <w:vAlign w:val="center"/>
            <w:hideMark/>
          </w:tcPr>
          <w:p w14:paraId="59B3DAAC" w14:textId="77777777" w:rsidR="007B7A97" w:rsidRPr="003770F7" w:rsidRDefault="007B7A97" w:rsidP="007B7A97">
            <w:pPr>
              <w:rPr>
                <w:rFonts w:cs="Calibri"/>
                <w:color w:val="000000" w:themeColor="text1"/>
                <w:sz w:val="12"/>
                <w:szCs w:val="12"/>
              </w:rPr>
            </w:pPr>
            <w:r w:rsidRPr="003770F7">
              <w:rPr>
                <w:rFonts w:cs="Calibri"/>
                <w:color w:val="000000" w:themeColor="text1"/>
                <w:sz w:val="12"/>
                <w:szCs w:val="12"/>
              </w:rPr>
              <w:t>Gwarancje, akcepty bankowe i akredytywy</w:t>
            </w:r>
          </w:p>
        </w:tc>
        <w:tc>
          <w:tcPr>
            <w:tcW w:w="1418" w:type="dxa"/>
            <w:tcBorders>
              <w:top w:val="nil"/>
              <w:left w:val="single" w:sz="8" w:space="0" w:color="0077BD"/>
              <w:bottom w:val="nil"/>
              <w:right w:val="single" w:sz="8" w:space="0" w:color="0077BD"/>
            </w:tcBorders>
            <w:shd w:val="clear" w:color="auto" w:fill="auto"/>
            <w:vAlign w:val="center"/>
          </w:tcPr>
          <w:p w14:paraId="63D8D338" w14:textId="5D105054" w:rsidR="007B7A97" w:rsidRPr="003770F7" w:rsidRDefault="007B7A97" w:rsidP="007B7A97">
            <w:pPr>
              <w:jc w:val="right"/>
              <w:rPr>
                <w:rFonts w:cs="Calibri"/>
                <w:color w:val="000000" w:themeColor="text1"/>
                <w:sz w:val="12"/>
                <w:szCs w:val="12"/>
              </w:rPr>
            </w:pPr>
            <w:r w:rsidRPr="003770F7">
              <w:rPr>
                <w:color w:val="000000" w:themeColor="text1"/>
                <w:sz w:val="12"/>
                <w:szCs w:val="12"/>
              </w:rPr>
              <w:t>8 938 427</w:t>
            </w:r>
          </w:p>
        </w:tc>
        <w:tc>
          <w:tcPr>
            <w:tcW w:w="1418" w:type="dxa"/>
            <w:tcBorders>
              <w:top w:val="nil"/>
              <w:left w:val="nil"/>
              <w:bottom w:val="nil"/>
              <w:right w:val="single" w:sz="8" w:space="0" w:color="0077BD"/>
            </w:tcBorders>
            <w:shd w:val="clear" w:color="auto" w:fill="auto"/>
            <w:vAlign w:val="center"/>
          </w:tcPr>
          <w:p w14:paraId="102C0A47" w14:textId="55E6830D" w:rsidR="007B7A97" w:rsidRPr="003770F7" w:rsidRDefault="007B7A97" w:rsidP="007B7A97">
            <w:pPr>
              <w:jc w:val="right"/>
              <w:rPr>
                <w:rFonts w:cs="Calibri"/>
                <w:color w:val="000000" w:themeColor="text1"/>
                <w:sz w:val="12"/>
                <w:szCs w:val="12"/>
              </w:rPr>
            </w:pPr>
            <w:r w:rsidRPr="003770F7">
              <w:rPr>
                <w:color w:val="000000" w:themeColor="text1"/>
                <w:sz w:val="12"/>
                <w:szCs w:val="12"/>
              </w:rPr>
              <w:t>(89 568)</w:t>
            </w:r>
          </w:p>
        </w:tc>
        <w:tc>
          <w:tcPr>
            <w:tcW w:w="1418" w:type="dxa"/>
            <w:tcBorders>
              <w:top w:val="nil"/>
              <w:left w:val="nil"/>
              <w:bottom w:val="nil"/>
              <w:right w:val="single" w:sz="8" w:space="0" w:color="0077BD"/>
            </w:tcBorders>
            <w:shd w:val="clear" w:color="auto" w:fill="auto"/>
            <w:vAlign w:val="center"/>
          </w:tcPr>
          <w:p w14:paraId="0492EDBC" w14:textId="073E7014" w:rsidR="007B7A97" w:rsidRPr="003770F7" w:rsidRDefault="007B7A97" w:rsidP="007B7A97">
            <w:pPr>
              <w:jc w:val="right"/>
              <w:rPr>
                <w:rFonts w:cs="Calibri"/>
                <w:color w:val="000000" w:themeColor="text1"/>
                <w:sz w:val="12"/>
                <w:szCs w:val="12"/>
              </w:rPr>
            </w:pPr>
            <w:r w:rsidRPr="003770F7">
              <w:rPr>
                <w:sz w:val="12"/>
                <w:szCs w:val="12"/>
              </w:rPr>
              <w:t>(93 446)</w:t>
            </w:r>
          </w:p>
        </w:tc>
        <w:tc>
          <w:tcPr>
            <w:tcW w:w="1418" w:type="dxa"/>
            <w:tcBorders>
              <w:top w:val="nil"/>
              <w:left w:val="nil"/>
              <w:bottom w:val="nil"/>
              <w:right w:val="nil"/>
            </w:tcBorders>
            <w:shd w:val="clear" w:color="auto" w:fill="auto"/>
            <w:noWrap/>
            <w:vAlign w:val="center"/>
          </w:tcPr>
          <w:p w14:paraId="13B6F1A8" w14:textId="015E6764" w:rsidR="007B7A97" w:rsidRPr="003770F7" w:rsidRDefault="007B7A97" w:rsidP="007B7A97">
            <w:pPr>
              <w:jc w:val="right"/>
              <w:rPr>
                <w:rFonts w:cs="Calibri"/>
                <w:color w:val="000000" w:themeColor="text1"/>
                <w:sz w:val="12"/>
                <w:szCs w:val="12"/>
              </w:rPr>
            </w:pPr>
            <w:r w:rsidRPr="003770F7">
              <w:rPr>
                <w:sz w:val="12"/>
                <w:szCs w:val="12"/>
              </w:rPr>
              <w:t>3 878</w:t>
            </w:r>
          </w:p>
        </w:tc>
      </w:tr>
      <w:tr w:rsidR="007B7A97" w:rsidRPr="003770F7" w14:paraId="3D7A42A3" w14:textId="77777777" w:rsidTr="00FE2D57">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3C0C2B8" w14:textId="77777777" w:rsidR="007B7A97" w:rsidRPr="003770F7" w:rsidRDefault="007B7A97" w:rsidP="007B7A97">
            <w:pPr>
              <w:rPr>
                <w:rFonts w:cs="Calibri"/>
                <w:b/>
                <w:bCs/>
                <w:color w:val="000000" w:themeColor="text1"/>
                <w:sz w:val="12"/>
                <w:szCs w:val="12"/>
              </w:rPr>
            </w:pPr>
            <w:r w:rsidRPr="003770F7">
              <w:rPr>
                <w:rFonts w:cs="Calibri"/>
                <w:b/>
                <w:bCs/>
                <w:color w:val="000000" w:themeColor="text1"/>
                <w:sz w:val="12"/>
                <w:szCs w:val="12"/>
              </w:rPr>
              <w:t>Razem dane pozabilansowe:</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44FB045B" w14:textId="1DB11CAE" w:rsidR="007B7A97" w:rsidRPr="003770F7" w:rsidRDefault="007B7A97" w:rsidP="007B7A97">
            <w:pPr>
              <w:jc w:val="right"/>
              <w:rPr>
                <w:rFonts w:cs="Calibri"/>
                <w:b/>
                <w:bCs/>
                <w:color w:val="000000" w:themeColor="text1"/>
                <w:sz w:val="12"/>
                <w:szCs w:val="12"/>
              </w:rPr>
            </w:pPr>
            <w:r w:rsidRPr="003770F7">
              <w:rPr>
                <w:b/>
                <w:bCs/>
                <w:color w:val="000000" w:themeColor="text1"/>
                <w:sz w:val="12"/>
                <w:szCs w:val="12"/>
              </w:rPr>
              <w:t>38 073 362</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6CE2E61B" w14:textId="2EA5FF47" w:rsidR="007B7A97" w:rsidRPr="003770F7" w:rsidRDefault="007B7A97" w:rsidP="007B7A97">
            <w:pPr>
              <w:jc w:val="right"/>
              <w:rPr>
                <w:rFonts w:cs="Calibri"/>
                <w:b/>
                <w:bCs/>
                <w:color w:val="000000" w:themeColor="text1"/>
                <w:sz w:val="12"/>
                <w:szCs w:val="12"/>
              </w:rPr>
            </w:pPr>
            <w:r w:rsidRPr="003770F7">
              <w:rPr>
                <w:b/>
                <w:bCs/>
                <w:color w:val="000000" w:themeColor="text1"/>
                <w:sz w:val="12"/>
                <w:szCs w:val="12"/>
              </w:rPr>
              <w:t>(153 432)</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57A28BD9" w14:textId="313F1163" w:rsidR="007B7A97" w:rsidRPr="003770F7" w:rsidRDefault="007B7A97" w:rsidP="007B7A97">
            <w:pPr>
              <w:jc w:val="right"/>
              <w:rPr>
                <w:rFonts w:cs="Calibri"/>
                <w:b/>
                <w:bCs/>
                <w:color w:val="000000" w:themeColor="text1"/>
                <w:sz w:val="12"/>
                <w:szCs w:val="12"/>
              </w:rPr>
            </w:pPr>
            <w:r w:rsidRPr="003770F7">
              <w:rPr>
                <w:b/>
                <w:bCs/>
                <w:sz w:val="12"/>
                <w:szCs w:val="12"/>
              </w:rPr>
              <w:t>(159 946)</w:t>
            </w:r>
          </w:p>
        </w:tc>
        <w:tc>
          <w:tcPr>
            <w:tcW w:w="1418" w:type="dxa"/>
            <w:tcBorders>
              <w:top w:val="single" w:sz="8" w:space="0" w:color="0077BD"/>
              <w:left w:val="nil"/>
              <w:bottom w:val="single" w:sz="8" w:space="0" w:color="0077BD"/>
              <w:right w:val="nil"/>
            </w:tcBorders>
            <w:shd w:val="clear" w:color="auto" w:fill="auto"/>
            <w:vAlign w:val="center"/>
          </w:tcPr>
          <w:p w14:paraId="11DBEF5B" w14:textId="5B8AC2D7" w:rsidR="007B7A97" w:rsidRPr="003770F7" w:rsidRDefault="007B7A97" w:rsidP="007B7A97">
            <w:pPr>
              <w:jc w:val="right"/>
              <w:rPr>
                <w:rFonts w:cs="Calibri"/>
                <w:b/>
                <w:bCs/>
                <w:color w:val="000000" w:themeColor="text1"/>
                <w:sz w:val="12"/>
                <w:szCs w:val="12"/>
              </w:rPr>
            </w:pPr>
            <w:r w:rsidRPr="003770F7">
              <w:rPr>
                <w:b/>
                <w:bCs/>
                <w:sz w:val="12"/>
                <w:szCs w:val="12"/>
              </w:rPr>
              <w:t>6 514</w:t>
            </w:r>
          </w:p>
        </w:tc>
      </w:tr>
    </w:tbl>
    <w:p w14:paraId="4BE8E556" w14:textId="0406BB1F" w:rsidR="000270C9" w:rsidRPr="0079504E" w:rsidRDefault="000270C9" w:rsidP="000270C9">
      <w:pPr>
        <w:jc w:val="both"/>
        <w:rPr>
          <w:noProof/>
          <w:sz w:val="12"/>
          <w:szCs w:val="12"/>
        </w:rPr>
      </w:pPr>
    </w:p>
    <w:tbl>
      <w:tblPr>
        <w:tblW w:w="0" w:type="auto"/>
        <w:tblCellMar>
          <w:left w:w="28" w:type="dxa"/>
          <w:right w:w="28" w:type="dxa"/>
        </w:tblCellMar>
        <w:tblLook w:val="04A0" w:firstRow="1" w:lastRow="0" w:firstColumn="1" w:lastColumn="0" w:noHBand="0" w:noVBand="1"/>
      </w:tblPr>
      <w:tblGrid>
        <w:gridCol w:w="3909"/>
        <w:gridCol w:w="1418"/>
        <w:gridCol w:w="1418"/>
        <w:gridCol w:w="1418"/>
        <w:gridCol w:w="1418"/>
      </w:tblGrid>
      <w:tr w:rsidR="000E244E" w:rsidRPr="00251DA0" w14:paraId="08D31523" w14:textId="77777777" w:rsidTr="00F57054">
        <w:trPr>
          <w:trHeight w:val="737"/>
        </w:trPr>
        <w:tc>
          <w:tcPr>
            <w:tcW w:w="0" w:type="auto"/>
            <w:tcBorders>
              <w:top w:val="nil"/>
              <w:left w:val="nil"/>
              <w:bottom w:val="nil"/>
              <w:right w:val="single" w:sz="8" w:space="0" w:color="FFFFFF"/>
            </w:tcBorders>
            <w:shd w:val="clear" w:color="000000" w:fill="0077BD"/>
            <w:vAlign w:val="center"/>
            <w:hideMark/>
          </w:tcPr>
          <w:p w14:paraId="3B766D83" w14:textId="77777777" w:rsidR="000E244E" w:rsidRPr="00251DA0" w:rsidRDefault="000E244E" w:rsidP="000E244E">
            <w:pPr>
              <w:rPr>
                <w:rFonts w:cs="Calibri"/>
                <w:b/>
                <w:bCs/>
                <w:color w:val="FFFFFF"/>
                <w:sz w:val="12"/>
                <w:szCs w:val="12"/>
              </w:rPr>
            </w:pPr>
            <w:r w:rsidRPr="00251DA0">
              <w:rPr>
                <w:rFonts w:cs="Calibri"/>
                <w:b/>
                <w:bCs/>
                <w:color w:val="FFFFFF"/>
                <w:sz w:val="12"/>
                <w:szCs w:val="12"/>
              </w:rPr>
              <w:t>31.12.2018</w:t>
            </w:r>
          </w:p>
        </w:tc>
        <w:tc>
          <w:tcPr>
            <w:tcW w:w="1418" w:type="dxa"/>
            <w:tcBorders>
              <w:top w:val="nil"/>
              <w:left w:val="nil"/>
              <w:bottom w:val="nil"/>
              <w:right w:val="single" w:sz="8" w:space="0" w:color="FFFFFF"/>
            </w:tcBorders>
            <w:shd w:val="clear" w:color="000000" w:fill="0077BD"/>
            <w:vAlign w:val="center"/>
            <w:hideMark/>
          </w:tcPr>
          <w:p w14:paraId="49540658" w14:textId="77777777" w:rsidR="000E244E" w:rsidRPr="00251DA0" w:rsidRDefault="000E244E" w:rsidP="000E244E">
            <w:pPr>
              <w:jc w:val="center"/>
              <w:rPr>
                <w:rFonts w:cs="Calibri"/>
                <w:b/>
                <w:bCs/>
                <w:color w:val="FFFFFF"/>
                <w:sz w:val="12"/>
                <w:szCs w:val="12"/>
              </w:rPr>
            </w:pPr>
            <w:r w:rsidRPr="00251DA0">
              <w:rPr>
                <w:rFonts w:cs="Calibri"/>
                <w:b/>
                <w:bCs/>
                <w:color w:val="FFFFFF"/>
                <w:sz w:val="12"/>
                <w:szCs w:val="12"/>
              </w:rPr>
              <w:t>Wartość brutto</w:t>
            </w:r>
          </w:p>
        </w:tc>
        <w:tc>
          <w:tcPr>
            <w:tcW w:w="1418" w:type="dxa"/>
            <w:tcBorders>
              <w:top w:val="nil"/>
              <w:left w:val="nil"/>
              <w:bottom w:val="nil"/>
              <w:right w:val="single" w:sz="8" w:space="0" w:color="FFFFFF"/>
            </w:tcBorders>
            <w:shd w:val="clear" w:color="000000" w:fill="0077BD"/>
            <w:vAlign w:val="center"/>
            <w:hideMark/>
          </w:tcPr>
          <w:p w14:paraId="378429F2" w14:textId="77777777" w:rsidR="000E244E" w:rsidRPr="00251DA0" w:rsidRDefault="000E244E" w:rsidP="000E244E">
            <w:pPr>
              <w:jc w:val="center"/>
              <w:rPr>
                <w:rFonts w:cs="Calibri"/>
                <w:b/>
                <w:bCs/>
                <w:color w:val="FFFFFF"/>
                <w:sz w:val="12"/>
                <w:szCs w:val="12"/>
              </w:rPr>
            </w:pPr>
            <w:r w:rsidRPr="00251DA0">
              <w:rPr>
                <w:rFonts w:cs="Calibri"/>
                <w:b/>
                <w:bCs/>
                <w:color w:val="FFFFFF"/>
                <w:sz w:val="12"/>
                <w:szCs w:val="12"/>
              </w:rPr>
              <w:t>Skumulowana utrata wartości</w:t>
            </w:r>
          </w:p>
        </w:tc>
        <w:tc>
          <w:tcPr>
            <w:tcW w:w="1418" w:type="dxa"/>
            <w:tcBorders>
              <w:top w:val="nil"/>
              <w:left w:val="nil"/>
              <w:bottom w:val="nil"/>
              <w:right w:val="single" w:sz="8" w:space="0" w:color="FFFFFF"/>
            </w:tcBorders>
            <w:shd w:val="clear" w:color="000000" w:fill="0077BD"/>
            <w:vAlign w:val="center"/>
            <w:hideMark/>
          </w:tcPr>
          <w:p w14:paraId="644A09CB" w14:textId="77777777" w:rsidR="000E244E" w:rsidRPr="00251DA0" w:rsidRDefault="000E244E" w:rsidP="000E244E">
            <w:pPr>
              <w:jc w:val="center"/>
              <w:rPr>
                <w:rFonts w:cs="Calibri"/>
                <w:b/>
                <w:bCs/>
                <w:color w:val="FFFFFF"/>
                <w:sz w:val="12"/>
                <w:szCs w:val="12"/>
              </w:rPr>
            </w:pPr>
            <w:r w:rsidRPr="00251DA0">
              <w:rPr>
                <w:rFonts w:cs="Calibri"/>
                <w:b/>
                <w:bCs/>
                <w:color w:val="FFFFFF"/>
                <w:sz w:val="12"/>
                <w:szCs w:val="12"/>
              </w:rPr>
              <w:t>Skumulowana utrata wartości bez uwzględnienia przepływów z zabezpieczeń</w:t>
            </w:r>
          </w:p>
        </w:tc>
        <w:tc>
          <w:tcPr>
            <w:tcW w:w="1418" w:type="dxa"/>
            <w:tcBorders>
              <w:top w:val="nil"/>
              <w:left w:val="nil"/>
              <w:bottom w:val="nil"/>
              <w:right w:val="nil"/>
            </w:tcBorders>
            <w:shd w:val="clear" w:color="000000" w:fill="0077BD"/>
            <w:vAlign w:val="center"/>
            <w:hideMark/>
          </w:tcPr>
          <w:p w14:paraId="0766ABA2" w14:textId="77777777" w:rsidR="000E244E" w:rsidRPr="00251DA0" w:rsidRDefault="000E244E" w:rsidP="000E244E">
            <w:pPr>
              <w:jc w:val="center"/>
              <w:rPr>
                <w:rFonts w:cs="Calibri"/>
                <w:b/>
                <w:bCs/>
                <w:color w:val="FFFFFF"/>
                <w:sz w:val="12"/>
                <w:szCs w:val="12"/>
              </w:rPr>
            </w:pPr>
            <w:r w:rsidRPr="00251DA0">
              <w:rPr>
                <w:rFonts w:cs="Calibri"/>
                <w:b/>
                <w:bCs/>
                <w:color w:val="FFFFFF"/>
                <w:sz w:val="12"/>
                <w:szCs w:val="12"/>
              </w:rPr>
              <w:t>Finansowy efekt zabezpieczeń</w:t>
            </w:r>
          </w:p>
        </w:tc>
      </w:tr>
      <w:tr w:rsidR="005C3EE1" w:rsidRPr="00251DA0" w14:paraId="078B49F4" w14:textId="77777777" w:rsidTr="00F57054">
        <w:trPr>
          <w:trHeight w:val="227"/>
        </w:trPr>
        <w:tc>
          <w:tcPr>
            <w:tcW w:w="9581" w:type="dxa"/>
            <w:gridSpan w:val="5"/>
            <w:tcBorders>
              <w:top w:val="nil"/>
              <w:left w:val="nil"/>
              <w:bottom w:val="single" w:sz="8" w:space="0" w:color="0077BD"/>
              <w:right w:val="nil"/>
            </w:tcBorders>
            <w:shd w:val="clear" w:color="000000" w:fill="FFFFFF"/>
            <w:vAlign w:val="center"/>
            <w:hideMark/>
          </w:tcPr>
          <w:p w14:paraId="24DE846F" w14:textId="77777777" w:rsidR="000E244E" w:rsidRPr="00251DA0" w:rsidRDefault="000E244E" w:rsidP="000E244E">
            <w:pPr>
              <w:rPr>
                <w:rFonts w:cs="Calibri"/>
                <w:b/>
                <w:bCs/>
                <w:color w:val="000000" w:themeColor="text1"/>
                <w:sz w:val="12"/>
                <w:szCs w:val="12"/>
              </w:rPr>
            </w:pPr>
            <w:r w:rsidRPr="00251DA0">
              <w:rPr>
                <w:rFonts w:cs="Calibri"/>
                <w:b/>
                <w:bCs/>
                <w:color w:val="000000" w:themeColor="text1"/>
                <w:sz w:val="12"/>
                <w:szCs w:val="12"/>
              </w:rPr>
              <w:t>Dane bilansowe</w:t>
            </w:r>
          </w:p>
        </w:tc>
      </w:tr>
      <w:tr w:rsidR="005C3EE1" w:rsidRPr="00251DA0" w14:paraId="3E0E4D93" w14:textId="77777777" w:rsidTr="0079504E">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05A0CEE4" w14:textId="77777777" w:rsidR="000E244E" w:rsidRPr="00251DA0" w:rsidRDefault="000E244E" w:rsidP="000E244E">
            <w:pPr>
              <w:rPr>
                <w:rFonts w:cs="Calibri"/>
                <w:color w:val="000000" w:themeColor="text1"/>
                <w:sz w:val="12"/>
                <w:szCs w:val="12"/>
              </w:rPr>
            </w:pPr>
            <w:r w:rsidRPr="00251DA0">
              <w:rPr>
                <w:rFonts w:cs="Calibri"/>
                <w:color w:val="000000" w:themeColor="text1"/>
                <w:sz w:val="12"/>
                <w:szCs w:val="12"/>
              </w:rPr>
              <w:t>Należności od banków</w:t>
            </w:r>
          </w:p>
        </w:tc>
        <w:tc>
          <w:tcPr>
            <w:tcW w:w="1418" w:type="dxa"/>
            <w:tcBorders>
              <w:top w:val="nil"/>
              <w:left w:val="nil"/>
              <w:bottom w:val="single" w:sz="8" w:space="0" w:color="0077BD"/>
              <w:right w:val="single" w:sz="8" w:space="0" w:color="0077BD"/>
            </w:tcBorders>
            <w:shd w:val="clear" w:color="auto" w:fill="auto"/>
            <w:vAlign w:val="center"/>
            <w:hideMark/>
          </w:tcPr>
          <w:p w14:paraId="052DAB9E"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2 547 864</w:t>
            </w:r>
          </w:p>
        </w:tc>
        <w:tc>
          <w:tcPr>
            <w:tcW w:w="1418" w:type="dxa"/>
            <w:tcBorders>
              <w:top w:val="nil"/>
              <w:left w:val="nil"/>
              <w:bottom w:val="single" w:sz="8" w:space="0" w:color="0077BD"/>
              <w:right w:val="single" w:sz="8" w:space="0" w:color="0077BD"/>
            </w:tcBorders>
            <w:shd w:val="clear" w:color="auto" w:fill="auto"/>
            <w:vAlign w:val="center"/>
            <w:hideMark/>
          </w:tcPr>
          <w:p w14:paraId="441D7502"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(1 518)</w:t>
            </w:r>
          </w:p>
        </w:tc>
        <w:tc>
          <w:tcPr>
            <w:tcW w:w="1418" w:type="dxa"/>
            <w:tcBorders>
              <w:top w:val="nil"/>
              <w:left w:val="nil"/>
              <w:bottom w:val="single" w:sz="8" w:space="0" w:color="0077BD"/>
              <w:right w:val="single" w:sz="8" w:space="0" w:color="0077BD"/>
            </w:tcBorders>
            <w:shd w:val="clear" w:color="auto" w:fill="auto"/>
            <w:vAlign w:val="center"/>
            <w:hideMark/>
          </w:tcPr>
          <w:p w14:paraId="391EB8CD"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(1 531)</w:t>
            </w:r>
          </w:p>
        </w:tc>
        <w:tc>
          <w:tcPr>
            <w:tcW w:w="1418" w:type="dxa"/>
            <w:tcBorders>
              <w:top w:val="nil"/>
              <w:left w:val="nil"/>
              <w:bottom w:val="single" w:sz="8" w:space="0" w:color="0077BD"/>
              <w:right w:val="nil"/>
            </w:tcBorders>
            <w:shd w:val="clear" w:color="auto" w:fill="auto"/>
            <w:vAlign w:val="center"/>
            <w:hideMark/>
          </w:tcPr>
          <w:p w14:paraId="6AA4599A"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13</w:t>
            </w:r>
          </w:p>
        </w:tc>
      </w:tr>
      <w:tr w:rsidR="005C3EE1" w:rsidRPr="00251DA0" w14:paraId="6B940B1E" w14:textId="77777777" w:rsidTr="0079504E">
        <w:trPr>
          <w:trHeight w:val="227"/>
        </w:trPr>
        <w:tc>
          <w:tcPr>
            <w:tcW w:w="0" w:type="auto"/>
            <w:tcBorders>
              <w:top w:val="nil"/>
              <w:left w:val="nil"/>
              <w:bottom w:val="single" w:sz="8" w:space="0" w:color="0077BD"/>
              <w:right w:val="single" w:sz="8" w:space="0" w:color="0077BD"/>
            </w:tcBorders>
            <w:shd w:val="clear" w:color="auto" w:fill="auto"/>
            <w:vAlign w:val="center"/>
            <w:hideMark/>
          </w:tcPr>
          <w:p w14:paraId="45C2D812" w14:textId="77777777" w:rsidR="000E244E" w:rsidRPr="00251DA0" w:rsidRDefault="000E244E" w:rsidP="000E244E">
            <w:pPr>
              <w:rPr>
                <w:rFonts w:cs="Calibri"/>
                <w:color w:val="000000" w:themeColor="text1"/>
                <w:sz w:val="12"/>
                <w:szCs w:val="12"/>
              </w:rPr>
            </w:pPr>
            <w:r w:rsidRPr="00251DA0">
              <w:rPr>
                <w:rFonts w:cs="Calibri"/>
                <w:color w:val="000000" w:themeColor="text1"/>
                <w:sz w:val="12"/>
                <w:szCs w:val="12"/>
              </w:rPr>
              <w:t>Kredyty i pożyczki udzielone klientom, w tym:</w:t>
            </w:r>
          </w:p>
        </w:tc>
        <w:tc>
          <w:tcPr>
            <w:tcW w:w="1418" w:type="dxa"/>
            <w:tcBorders>
              <w:top w:val="nil"/>
              <w:left w:val="nil"/>
              <w:bottom w:val="single" w:sz="8" w:space="0" w:color="0077BD"/>
              <w:right w:val="single" w:sz="8" w:space="0" w:color="0077BD"/>
            </w:tcBorders>
            <w:shd w:val="clear" w:color="auto" w:fill="auto"/>
            <w:vAlign w:val="center"/>
            <w:hideMark/>
          </w:tcPr>
          <w:p w14:paraId="5EE7F1F2"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95 059 979</w:t>
            </w:r>
          </w:p>
        </w:tc>
        <w:tc>
          <w:tcPr>
            <w:tcW w:w="1418" w:type="dxa"/>
            <w:tcBorders>
              <w:top w:val="nil"/>
              <w:left w:val="nil"/>
              <w:bottom w:val="single" w:sz="8" w:space="0" w:color="0077BD"/>
              <w:right w:val="single" w:sz="8" w:space="0" w:color="0077BD"/>
            </w:tcBorders>
            <w:shd w:val="clear" w:color="auto" w:fill="auto"/>
            <w:vAlign w:val="center"/>
            <w:hideMark/>
          </w:tcPr>
          <w:p w14:paraId="0339AEBA"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(3 042 547)</w:t>
            </w:r>
          </w:p>
        </w:tc>
        <w:tc>
          <w:tcPr>
            <w:tcW w:w="1418" w:type="dxa"/>
            <w:tcBorders>
              <w:top w:val="nil"/>
              <w:left w:val="nil"/>
              <w:bottom w:val="single" w:sz="8" w:space="0" w:color="0077BD"/>
              <w:right w:val="single" w:sz="8" w:space="0" w:color="0077BD"/>
            </w:tcBorders>
            <w:shd w:val="clear" w:color="auto" w:fill="auto"/>
            <w:vAlign w:val="center"/>
            <w:hideMark/>
          </w:tcPr>
          <w:p w14:paraId="56F0D8EE"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(3 694 415)</w:t>
            </w:r>
          </w:p>
        </w:tc>
        <w:tc>
          <w:tcPr>
            <w:tcW w:w="1418" w:type="dxa"/>
            <w:tcBorders>
              <w:top w:val="nil"/>
              <w:left w:val="nil"/>
              <w:bottom w:val="single" w:sz="8" w:space="0" w:color="0077BD"/>
              <w:right w:val="nil"/>
            </w:tcBorders>
            <w:shd w:val="clear" w:color="auto" w:fill="auto"/>
            <w:vAlign w:val="center"/>
            <w:hideMark/>
          </w:tcPr>
          <w:p w14:paraId="70BF079D"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651 868</w:t>
            </w:r>
          </w:p>
        </w:tc>
      </w:tr>
      <w:tr w:rsidR="00F57054" w:rsidRPr="00251DA0" w14:paraId="4845BCAE" w14:textId="77777777" w:rsidTr="0079504E">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297B6C1F" w14:textId="76960344" w:rsidR="00F57054" w:rsidRPr="00251DA0" w:rsidRDefault="00F57054" w:rsidP="00F57054">
            <w:pPr>
              <w:ind w:firstLineChars="87" w:firstLine="104"/>
              <w:rPr>
                <w:rFonts w:cs="Calibri"/>
                <w:color w:val="000000" w:themeColor="text1"/>
                <w:sz w:val="12"/>
                <w:szCs w:val="12"/>
              </w:rPr>
            </w:pPr>
            <w:r w:rsidRPr="00251DA0">
              <w:rPr>
                <w:rFonts w:cs="Calibri"/>
                <w:color w:val="000000" w:themeColor="text1"/>
                <w:sz w:val="12"/>
                <w:szCs w:val="12"/>
              </w:rPr>
              <w:t>Klienci indywidualni</w:t>
            </w:r>
          </w:p>
        </w:tc>
        <w:tc>
          <w:tcPr>
            <w:tcW w:w="1418" w:type="dxa"/>
            <w:tcBorders>
              <w:top w:val="nil"/>
              <w:left w:val="nil"/>
              <w:bottom w:val="single" w:sz="4" w:space="0" w:color="0077BD"/>
              <w:right w:val="single" w:sz="8" w:space="0" w:color="0077BD"/>
            </w:tcBorders>
            <w:shd w:val="clear" w:color="auto" w:fill="auto"/>
            <w:vAlign w:val="center"/>
            <w:hideMark/>
          </w:tcPr>
          <w:p w14:paraId="7EEF9C3A"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50 554 503</w:t>
            </w:r>
          </w:p>
        </w:tc>
        <w:tc>
          <w:tcPr>
            <w:tcW w:w="1418" w:type="dxa"/>
            <w:tcBorders>
              <w:top w:val="nil"/>
              <w:left w:val="nil"/>
              <w:bottom w:val="single" w:sz="4" w:space="0" w:color="0077BD"/>
              <w:right w:val="single" w:sz="8" w:space="0" w:color="0077BD"/>
            </w:tcBorders>
            <w:shd w:val="clear" w:color="auto" w:fill="auto"/>
            <w:vAlign w:val="center"/>
            <w:hideMark/>
          </w:tcPr>
          <w:p w14:paraId="49495B66"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(1 630 171)</w:t>
            </w:r>
          </w:p>
        </w:tc>
        <w:tc>
          <w:tcPr>
            <w:tcW w:w="1418" w:type="dxa"/>
            <w:tcBorders>
              <w:top w:val="nil"/>
              <w:left w:val="nil"/>
              <w:bottom w:val="single" w:sz="4" w:space="0" w:color="0077BD"/>
              <w:right w:val="single" w:sz="8" w:space="0" w:color="0077BD"/>
            </w:tcBorders>
            <w:shd w:val="clear" w:color="auto" w:fill="auto"/>
            <w:vAlign w:val="center"/>
            <w:hideMark/>
          </w:tcPr>
          <w:p w14:paraId="1E443B7D"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(1 821 699)</w:t>
            </w:r>
          </w:p>
        </w:tc>
        <w:tc>
          <w:tcPr>
            <w:tcW w:w="1418" w:type="dxa"/>
            <w:tcBorders>
              <w:top w:val="nil"/>
              <w:left w:val="nil"/>
              <w:bottom w:val="single" w:sz="4" w:space="0" w:color="0077BD"/>
              <w:right w:val="nil"/>
            </w:tcBorders>
            <w:shd w:val="clear" w:color="auto" w:fill="auto"/>
            <w:vAlign w:val="center"/>
            <w:hideMark/>
          </w:tcPr>
          <w:p w14:paraId="3AAADF4F"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191 528</w:t>
            </w:r>
          </w:p>
        </w:tc>
      </w:tr>
      <w:tr w:rsidR="00F57054" w:rsidRPr="00251DA0" w14:paraId="43174391" w14:textId="77777777" w:rsidTr="00377B18">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36643707" w14:textId="7B541144" w:rsidR="00F57054" w:rsidRPr="00251DA0" w:rsidRDefault="00F57054" w:rsidP="00F57054">
            <w:pPr>
              <w:ind w:leftChars="72" w:left="257" w:hanging="142"/>
              <w:rPr>
                <w:rFonts w:cs="Calibri"/>
                <w:i/>
                <w:iCs/>
                <w:color w:val="000000" w:themeColor="text1"/>
                <w:sz w:val="12"/>
                <w:szCs w:val="12"/>
              </w:rPr>
            </w:pPr>
            <w:r w:rsidRPr="00251DA0">
              <w:rPr>
                <w:rFonts w:cs="Calibri"/>
                <w:i/>
                <w:iCs/>
                <w:color w:val="000000" w:themeColor="text1"/>
                <w:sz w:val="12"/>
                <w:szCs w:val="12"/>
              </w:rPr>
              <w:t>- kredyty hipoteczne i mieszkaniowe udzielone osobom fizycznym</w:t>
            </w:r>
          </w:p>
        </w:tc>
        <w:tc>
          <w:tcPr>
            <w:tcW w:w="1418" w:type="dxa"/>
            <w:tcBorders>
              <w:top w:val="nil"/>
              <w:left w:val="nil"/>
              <w:bottom w:val="single" w:sz="4" w:space="0" w:color="0077BD"/>
              <w:right w:val="single" w:sz="8" w:space="0" w:color="0077BD"/>
            </w:tcBorders>
            <w:shd w:val="clear" w:color="auto" w:fill="auto"/>
            <w:vAlign w:val="center"/>
            <w:hideMark/>
          </w:tcPr>
          <w:p w14:paraId="3D9FDCE3" w14:textId="77777777" w:rsidR="00F57054" w:rsidRPr="00F33706" w:rsidRDefault="00F57054" w:rsidP="00F57054">
            <w:pPr>
              <w:jc w:val="right"/>
              <w:rPr>
                <w:rFonts w:cs="Calibri"/>
                <w:i/>
                <w:iCs/>
                <w:color w:val="000000" w:themeColor="text1"/>
                <w:sz w:val="12"/>
                <w:szCs w:val="12"/>
              </w:rPr>
            </w:pPr>
            <w:r w:rsidRPr="00F33706">
              <w:rPr>
                <w:rFonts w:cs="Calibri"/>
                <w:i/>
                <w:iCs/>
                <w:color w:val="000000" w:themeColor="text1"/>
                <w:sz w:val="12"/>
                <w:szCs w:val="12"/>
              </w:rPr>
              <w:t>34 696 807</w:t>
            </w:r>
          </w:p>
        </w:tc>
        <w:tc>
          <w:tcPr>
            <w:tcW w:w="1418" w:type="dxa"/>
            <w:tcBorders>
              <w:top w:val="nil"/>
              <w:left w:val="nil"/>
              <w:bottom w:val="single" w:sz="4" w:space="0" w:color="0077BD"/>
              <w:right w:val="single" w:sz="8" w:space="0" w:color="0077BD"/>
            </w:tcBorders>
            <w:shd w:val="clear" w:color="auto" w:fill="auto"/>
            <w:vAlign w:val="center"/>
            <w:hideMark/>
          </w:tcPr>
          <w:p w14:paraId="38E9C609" w14:textId="77777777" w:rsidR="00F57054" w:rsidRPr="00F33706" w:rsidRDefault="00F57054" w:rsidP="00F57054">
            <w:pPr>
              <w:jc w:val="right"/>
              <w:rPr>
                <w:rFonts w:cs="Calibri"/>
                <w:i/>
                <w:iCs/>
                <w:color w:val="000000" w:themeColor="text1"/>
                <w:sz w:val="12"/>
                <w:szCs w:val="12"/>
              </w:rPr>
            </w:pPr>
            <w:r w:rsidRPr="00F33706">
              <w:rPr>
                <w:rFonts w:cs="Calibri"/>
                <w:i/>
                <w:iCs/>
                <w:color w:val="000000" w:themeColor="text1"/>
                <w:sz w:val="12"/>
                <w:szCs w:val="12"/>
              </w:rPr>
              <w:t>(453 300)</w:t>
            </w:r>
          </w:p>
        </w:tc>
        <w:tc>
          <w:tcPr>
            <w:tcW w:w="1418" w:type="dxa"/>
            <w:tcBorders>
              <w:top w:val="nil"/>
              <w:left w:val="nil"/>
              <w:bottom w:val="single" w:sz="4" w:space="0" w:color="0077BD"/>
              <w:right w:val="single" w:sz="8" w:space="0" w:color="0077BD"/>
            </w:tcBorders>
            <w:shd w:val="clear" w:color="auto" w:fill="auto"/>
            <w:vAlign w:val="center"/>
            <w:hideMark/>
          </w:tcPr>
          <w:p w14:paraId="7B5F0B60" w14:textId="77777777" w:rsidR="00F57054" w:rsidRPr="00F33706" w:rsidRDefault="00F57054" w:rsidP="00F57054">
            <w:pPr>
              <w:jc w:val="right"/>
              <w:rPr>
                <w:rFonts w:cs="Calibri"/>
                <w:i/>
                <w:iCs/>
                <w:color w:val="000000" w:themeColor="text1"/>
                <w:sz w:val="12"/>
                <w:szCs w:val="12"/>
              </w:rPr>
            </w:pPr>
            <w:r w:rsidRPr="00F33706">
              <w:rPr>
                <w:rFonts w:cs="Calibri"/>
                <w:i/>
                <w:iCs/>
                <w:color w:val="000000" w:themeColor="text1"/>
                <w:sz w:val="12"/>
                <w:szCs w:val="12"/>
              </w:rPr>
              <w:t>(582 009)</w:t>
            </w:r>
          </w:p>
        </w:tc>
        <w:tc>
          <w:tcPr>
            <w:tcW w:w="1418" w:type="dxa"/>
            <w:tcBorders>
              <w:top w:val="nil"/>
              <w:left w:val="nil"/>
              <w:bottom w:val="single" w:sz="4" w:space="0" w:color="0077BD"/>
              <w:right w:val="nil"/>
            </w:tcBorders>
            <w:shd w:val="clear" w:color="auto" w:fill="auto"/>
            <w:vAlign w:val="center"/>
            <w:hideMark/>
          </w:tcPr>
          <w:p w14:paraId="0844665A" w14:textId="77777777" w:rsidR="00F57054" w:rsidRPr="00F33706" w:rsidRDefault="00F57054" w:rsidP="00F57054">
            <w:pPr>
              <w:jc w:val="right"/>
              <w:rPr>
                <w:rFonts w:cs="Calibri"/>
                <w:i/>
                <w:iCs/>
                <w:color w:val="000000" w:themeColor="text1"/>
                <w:sz w:val="12"/>
                <w:szCs w:val="12"/>
              </w:rPr>
            </w:pPr>
            <w:r w:rsidRPr="00F33706">
              <w:rPr>
                <w:rFonts w:cs="Calibri"/>
                <w:i/>
                <w:iCs/>
                <w:color w:val="000000" w:themeColor="text1"/>
                <w:sz w:val="12"/>
                <w:szCs w:val="12"/>
              </w:rPr>
              <w:t>128 709</w:t>
            </w:r>
          </w:p>
        </w:tc>
      </w:tr>
      <w:tr w:rsidR="00F57054" w:rsidRPr="00251DA0" w14:paraId="07E09FC3" w14:textId="77777777" w:rsidTr="0079504E">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6E87E658" w14:textId="77086D82" w:rsidR="00F57054" w:rsidRPr="00251DA0" w:rsidRDefault="00F57054" w:rsidP="00F57054">
            <w:pPr>
              <w:ind w:firstLineChars="87" w:firstLine="104"/>
              <w:rPr>
                <w:rFonts w:cs="Calibri"/>
                <w:color w:val="000000" w:themeColor="text1"/>
                <w:sz w:val="12"/>
                <w:szCs w:val="12"/>
              </w:rPr>
            </w:pPr>
            <w:r w:rsidRPr="00251DA0">
              <w:rPr>
                <w:rFonts w:cs="Calibri"/>
                <w:color w:val="000000" w:themeColor="text1"/>
                <w:sz w:val="12"/>
                <w:szCs w:val="12"/>
              </w:rPr>
              <w:t>Klienci korporacyjni</w:t>
            </w:r>
          </w:p>
        </w:tc>
        <w:tc>
          <w:tcPr>
            <w:tcW w:w="1418" w:type="dxa"/>
            <w:tcBorders>
              <w:top w:val="nil"/>
              <w:left w:val="nil"/>
              <w:bottom w:val="single" w:sz="4" w:space="0" w:color="0077BD"/>
              <w:right w:val="single" w:sz="8" w:space="0" w:color="0077BD"/>
            </w:tcBorders>
            <w:shd w:val="clear" w:color="auto" w:fill="auto"/>
            <w:vAlign w:val="center"/>
            <w:hideMark/>
          </w:tcPr>
          <w:p w14:paraId="6E9CA18C"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43 868 553</w:t>
            </w:r>
          </w:p>
        </w:tc>
        <w:tc>
          <w:tcPr>
            <w:tcW w:w="1418" w:type="dxa"/>
            <w:tcBorders>
              <w:top w:val="nil"/>
              <w:left w:val="nil"/>
              <w:bottom w:val="single" w:sz="4" w:space="0" w:color="0077BD"/>
              <w:right w:val="single" w:sz="8" w:space="0" w:color="0077BD"/>
            </w:tcBorders>
            <w:shd w:val="clear" w:color="auto" w:fill="auto"/>
            <w:vAlign w:val="center"/>
            <w:hideMark/>
          </w:tcPr>
          <w:p w14:paraId="09EE6123"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(1 411 736)</w:t>
            </w:r>
          </w:p>
        </w:tc>
        <w:tc>
          <w:tcPr>
            <w:tcW w:w="1418" w:type="dxa"/>
            <w:tcBorders>
              <w:top w:val="nil"/>
              <w:left w:val="nil"/>
              <w:bottom w:val="single" w:sz="4" w:space="0" w:color="0077BD"/>
              <w:right w:val="single" w:sz="8" w:space="0" w:color="0077BD"/>
            </w:tcBorders>
            <w:shd w:val="clear" w:color="auto" w:fill="auto"/>
            <w:vAlign w:val="center"/>
            <w:hideMark/>
          </w:tcPr>
          <w:p w14:paraId="19113723"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(1 872 036)</w:t>
            </w:r>
          </w:p>
        </w:tc>
        <w:tc>
          <w:tcPr>
            <w:tcW w:w="1418" w:type="dxa"/>
            <w:tcBorders>
              <w:top w:val="nil"/>
              <w:left w:val="nil"/>
              <w:bottom w:val="single" w:sz="4" w:space="0" w:color="0077BD"/>
              <w:right w:val="nil"/>
            </w:tcBorders>
            <w:shd w:val="clear" w:color="auto" w:fill="auto"/>
            <w:vAlign w:val="center"/>
            <w:hideMark/>
          </w:tcPr>
          <w:p w14:paraId="447CEEC4"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460 300</w:t>
            </w:r>
          </w:p>
        </w:tc>
      </w:tr>
      <w:tr w:rsidR="00F57054" w:rsidRPr="00251DA0" w14:paraId="1F2AF0D0" w14:textId="77777777" w:rsidTr="0079504E">
        <w:trPr>
          <w:trHeight w:val="227"/>
        </w:trPr>
        <w:tc>
          <w:tcPr>
            <w:tcW w:w="0" w:type="auto"/>
            <w:tcBorders>
              <w:top w:val="nil"/>
              <w:left w:val="nil"/>
              <w:bottom w:val="single" w:sz="4" w:space="0" w:color="0077BD"/>
              <w:right w:val="single" w:sz="8" w:space="0" w:color="0077BD"/>
            </w:tcBorders>
            <w:shd w:val="clear" w:color="auto" w:fill="auto"/>
            <w:vAlign w:val="center"/>
            <w:hideMark/>
          </w:tcPr>
          <w:p w14:paraId="4F5DA50D" w14:textId="4A6AA476" w:rsidR="00F57054" w:rsidRPr="00251DA0" w:rsidRDefault="00F57054" w:rsidP="00F57054">
            <w:pPr>
              <w:ind w:firstLineChars="87" w:firstLine="104"/>
              <w:rPr>
                <w:rFonts w:cs="Calibri"/>
                <w:color w:val="000000" w:themeColor="text1"/>
                <w:sz w:val="12"/>
                <w:szCs w:val="12"/>
              </w:rPr>
            </w:pPr>
            <w:r w:rsidRPr="00251DA0">
              <w:rPr>
                <w:rFonts w:cs="Calibri"/>
                <w:color w:val="000000" w:themeColor="text1"/>
                <w:sz w:val="12"/>
                <w:szCs w:val="12"/>
              </w:rPr>
              <w:t>Klienci budżetowi</w:t>
            </w:r>
          </w:p>
        </w:tc>
        <w:tc>
          <w:tcPr>
            <w:tcW w:w="1418" w:type="dxa"/>
            <w:tcBorders>
              <w:top w:val="nil"/>
              <w:left w:val="nil"/>
              <w:bottom w:val="single" w:sz="4" w:space="0" w:color="0077BD"/>
              <w:right w:val="single" w:sz="8" w:space="0" w:color="0077BD"/>
            </w:tcBorders>
            <w:shd w:val="clear" w:color="auto" w:fill="auto"/>
            <w:vAlign w:val="center"/>
            <w:hideMark/>
          </w:tcPr>
          <w:p w14:paraId="5691B9D0"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636 923</w:t>
            </w:r>
          </w:p>
        </w:tc>
        <w:tc>
          <w:tcPr>
            <w:tcW w:w="1418" w:type="dxa"/>
            <w:tcBorders>
              <w:top w:val="nil"/>
              <w:left w:val="nil"/>
              <w:bottom w:val="single" w:sz="8" w:space="0" w:color="0077BD"/>
              <w:right w:val="single" w:sz="8" w:space="0" w:color="0077BD"/>
            </w:tcBorders>
            <w:shd w:val="clear" w:color="auto" w:fill="auto"/>
            <w:vAlign w:val="center"/>
            <w:hideMark/>
          </w:tcPr>
          <w:p w14:paraId="2F925574"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(640)</w:t>
            </w:r>
          </w:p>
        </w:tc>
        <w:tc>
          <w:tcPr>
            <w:tcW w:w="1418" w:type="dxa"/>
            <w:tcBorders>
              <w:top w:val="nil"/>
              <w:left w:val="nil"/>
              <w:bottom w:val="single" w:sz="4" w:space="0" w:color="0077BD"/>
              <w:right w:val="single" w:sz="8" w:space="0" w:color="0077BD"/>
            </w:tcBorders>
            <w:shd w:val="clear" w:color="auto" w:fill="auto"/>
            <w:vAlign w:val="center"/>
            <w:hideMark/>
          </w:tcPr>
          <w:p w14:paraId="1BE50468"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(680)</w:t>
            </w:r>
          </w:p>
        </w:tc>
        <w:tc>
          <w:tcPr>
            <w:tcW w:w="1418" w:type="dxa"/>
            <w:tcBorders>
              <w:top w:val="nil"/>
              <w:left w:val="nil"/>
              <w:bottom w:val="single" w:sz="8" w:space="0" w:color="0077BD"/>
              <w:right w:val="nil"/>
            </w:tcBorders>
            <w:shd w:val="clear" w:color="auto" w:fill="auto"/>
            <w:vAlign w:val="center"/>
            <w:hideMark/>
          </w:tcPr>
          <w:p w14:paraId="3BE6C546" w14:textId="77777777" w:rsidR="00F57054" w:rsidRPr="00F33706" w:rsidRDefault="00F57054" w:rsidP="00F57054">
            <w:pPr>
              <w:jc w:val="right"/>
              <w:rPr>
                <w:rFonts w:cs="Calibri"/>
                <w:color w:val="000000" w:themeColor="text1"/>
                <w:sz w:val="12"/>
                <w:szCs w:val="12"/>
              </w:rPr>
            </w:pPr>
            <w:r w:rsidRPr="00F33706">
              <w:rPr>
                <w:rFonts w:cs="Calibri"/>
                <w:color w:val="000000" w:themeColor="text1"/>
                <w:sz w:val="12"/>
                <w:szCs w:val="12"/>
              </w:rPr>
              <w:t>40</w:t>
            </w:r>
          </w:p>
        </w:tc>
      </w:tr>
      <w:tr w:rsidR="005C3EE1" w:rsidRPr="00251DA0" w14:paraId="0AD25898" w14:textId="77777777" w:rsidTr="0079504E">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4D6521FF" w14:textId="77777777" w:rsidR="000E244E" w:rsidRPr="00251DA0" w:rsidRDefault="000E244E" w:rsidP="000E244E">
            <w:pPr>
              <w:rPr>
                <w:rFonts w:cs="Calibri"/>
                <w:b/>
                <w:bCs/>
                <w:color w:val="000000" w:themeColor="text1"/>
                <w:sz w:val="12"/>
                <w:szCs w:val="12"/>
              </w:rPr>
            </w:pPr>
            <w:r w:rsidRPr="00251DA0">
              <w:rPr>
                <w:rFonts w:cs="Calibri"/>
                <w:b/>
                <w:bCs/>
                <w:color w:val="000000" w:themeColor="text1"/>
                <w:sz w:val="12"/>
                <w:szCs w:val="12"/>
              </w:rPr>
              <w:t>Razem dane bilansowe</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3BD60396"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97 607 843</w:t>
            </w:r>
          </w:p>
        </w:tc>
        <w:tc>
          <w:tcPr>
            <w:tcW w:w="1418" w:type="dxa"/>
            <w:tcBorders>
              <w:top w:val="nil"/>
              <w:left w:val="nil"/>
              <w:bottom w:val="single" w:sz="8" w:space="0" w:color="0077BD"/>
              <w:right w:val="single" w:sz="8" w:space="0" w:color="0077BD"/>
            </w:tcBorders>
            <w:shd w:val="clear" w:color="auto" w:fill="auto"/>
            <w:vAlign w:val="center"/>
            <w:hideMark/>
          </w:tcPr>
          <w:p w14:paraId="1C546411"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(3 044 065)</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6C8F9A18"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(3 695 946)</w:t>
            </w:r>
          </w:p>
        </w:tc>
        <w:tc>
          <w:tcPr>
            <w:tcW w:w="1418" w:type="dxa"/>
            <w:tcBorders>
              <w:top w:val="nil"/>
              <w:left w:val="nil"/>
              <w:bottom w:val="single" w:sz="8" w:space="0" w:color="0077BD"/>
              <w:right w:val="nil"/>
            </w:tcBorders>
            <w:shd w:val="clear" w:color="auto" w:fill="auto"/>
            <w:vAlign w:val="center"/>
            <w:hideMark/>
          </w:tcPr>
          <w:p w14:paraId="5C177437"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651 881</w:t>
            </w:r>
          </w:p>
        </w:tc>
      </w:tr>
      <w:tr w:rsidR="005C3EE1" w:rsidRPr="00251DA0" w14:paraId="162FBB11" w14:textId="77777777" w:rsidTr="0079504E">
        <w:trPr>
          <w:trHeight w:val="227"/>
        </w:trPr>
        <w:tc>
          <w:tcPr>
            <w:tcW w:w="0" w:type="auto"/>
            <w:tcBorders>
              <w:top w:val="nil"/>
              <w:left w:val="nil"/>
              <w:bottom w:val="nil"/>
              <w:right w:val="nil"/>
            </w:tcBorders>
            <w:shd w:val="clear" w:color="000000" w:fill="FFFFFF"/>
            <w:vAlign w:val="center"/>
            <w:hideMark/>
          </w:tcPr>
          <w:p w14:paraId="429D874D" w14:textId="77777777" w:rsidR="000E244E" w:rsidRPr="00251DA0" w:rsidRDefault="000E244E" w:rsidP="000E244E">
            <w:pPr>
              <w:rPr>
                <w:rFonts w:cs="Calibri"/>
                <w:b/>
                <w:bCs/>
                <w:color w:val="000000" w:themeColor="text1"/>
                <w:sz w:val="12"/>
                <w:szCs w:val="12"/>
              </w:rPr>
            </w:pPr>
            <w:r w:rsidRPr="00251DA0">
              <w:rPr>
                <w:rFonts w:cs="Calibri"/>
                <w:b/>
                <w:bCs/>
                <w:color w:val="000000" w:themeColor="text1"/>
                <w:sz w:val="12"/>
                <w:szCs w:val="12"/>
              </w:rPr>
              <w:t>Dane pozabilansowe</w:t>
            </w:r>
          </w:p>
        </w:tc>
        <w:tc>
          <w:tcPr>
            <w:tcW w:w="1418" w:type="dxa"/>
            <w:tcBorders>
              <w:top w:val="nil"/>
              <w:left w:val="nil"/>
              <w:bottom w:val="nil"/>
              <w:right w:val="nil"/>
            </w:tcBorders>
            <w:shd w:val="clear" w:color="000000" w:fill="FFFFFF"/>
            <w:vAlign w:val="center"/>
          </w:tcPr>
          <w:p w14:paraId="305C64C6" w14:textId="7CF001B8" w:rsidR="000E244E" w:rsidRPr="00F33706" w:rsidRDefault="000E244E" w:rsidP="000E244E">
            <w:pPr>
              <w:jc w:val="right"/>
              <w:rPr>
                <w:rFonts w:cs="Calibri"/>
                <w:color w:val="000000" w:themeColor="text1"/>
                <w:sz w:val="12"/>
                <w:szCs w:val="12"/>
              </w:rPr>
            </w:pPr>
          </w:p>
        </w:tc>
        <w:tc>
          <w:tcPr>
            <w:tcW w:w="1418" w:type="dxa"/>
            <w:tcBorders>
              <w:top w:val="nil"/>
              <w:left w:val="nil"/>
              <w:bottom w:val="nil"/>
              <w:right w:val="nil"/>
            </w:tcBorders>
            <w:shd w:val="clear" w:color="000000" w:fill="FFFFFF"/>
            <w:vAlign w:val="center"/>
          </w:tcPr>
          <w:p w14:paraId="6392C490" w14:textId="798EF8E9" w:rsidR="000E244E" w:rsidRPr="00F33706" w:rsidRDefault="000E244E" w:rsidP="000E244E">
            <w:pPr>
              <w:jc w:val="right"/>
              <w:rPr>
                <w:rFonts w:cs="Calibri"/>
                <w:color w:val="000000" w:themeColor="text1"/>
                <w:sz w:val="12"/>
                <w:szCs w:val="12"/>
              </w:rPr>
            </w:pPr>
          </w:p>
        </w:tc>
        <w:tc>
          <w:tcPr>
            <w:tcW w:w="1418" w:type="dxa"/>
            <w:tcBorders>
              <w:top w:val="nil"/>
              <w:left w:val="nil"/>
              <w:bottom w:val="nil"/>
              <w:right w:val="nil"/>
            </w:tcBorders>
            <w:shd w:val="clear" w:color="000000" w:fill="FFFFFF"/>
            <w:noWrap/>
            <w:vAlign w:val="center"/>
          </w:tcPr>
          <w:p w14:paraId="108BB0D7" w14:textId="29749BEF" w:rsidR="000E244E" w:rsidRPr="00F33706" w:rsidRDefault="000E244E" w:rsidP="000E244E">
            <w:pPr>
              <w:jc w:val="right"/>
              <w:rPr>
                <w:rFonts w:cs="Calibri"/>
                <w:color w:val="000000" w:themeColor="text1"/>
                <w:sz w:val="12"/>
                <w:szCs w:val="12"/>
              </w:rPr>
            </w:pPr>
          </w:p>
        </w:tc>
        <w:tc>
          <w:tcPr>
            <w:tcW w:w="1418" w:type="dxa"/>
            <w:tcBorders>
              <w:top w:val="nil"/>
              <w:left w:val="nil"/>
              <w:bottom w:val="nil"/>
              <w:right w:val="nil"/>
            </w:tcBorders>
            <w:shd w:val="clear" w:color="000000" w:fill="FFFFFF"/>
            <w:noWrap/>
            <w:vAlign w:val="center"/>
          </w:tcPr>
          <w:p w14:paraId="5A0BEA7E" w14:textId="3890E381" w:rsidR="000E244E" w:rsidRPr="00F33706" w:rsidRDefault="000E244E" w:rsidP="000E244E">
            <w:pPr>
              <w:jc w:val="right"/>
              <w:rPr>
                <w:rFonts w:cs="Calibri"/>
                <w:color w:val="000000" w:themeColor="text1"/>
                <w:sz w:val="12"/>
                <w:szCs w:val="12"/>
              </w:rPr>
            </w:pPr>
          </w:p>
        </w:tc>
      </w:tr>
      <w:tr w:rsidR="005C3EE1" w:rsidRPr="00251DA0" w14:paraId="665B9753" w14:textId="77777777" w:rsidTr="0079504E">
        <w:trPr>
          <w:trHeight w:val="340"/>
        </w:trPr>
        <w:tc>
          <w:tcPr>
            <w:tcW w:w="0" w:type="auto"/>
            <w:tcBorders>
              <w:top w:val="single" w:sz="8" w:space="0" w:color="0077BD"/>
              <w:left w:val="nil"/>
              <w:bottom w:val="single" w:sz="4" w:space="0" w:color="0077BD"/>
              <w:right w:val="single" w:sz="8" w:space="0" w:color="0077BD"/>
            </w:tcBorders>
            <w:shd w:val="clear" w:color="auto" w:fill="auto"/>
            <w:vAlign w:val="center"/>
            <w:hideMark/>
          </w:tcPr>
          <w:p w14:paraId="4028461B" w14:textId="77777777" w:rsidR="000E244E" w:rsidRPr="00251DA0" w:rsidRDefault="000E244E" w:rsidP="000E244E">
            <w:pPr>
              <w:rPr>
                <w:rFonts w:cs="Calibri"/>
                <w:color w:val="000000" w:themeColor="text1"/>
                <w:sz w:val="12"/>
                <w:szCs w:val="12"/>
              </w:rPr>
            </w:pPr>
            <w:r w:rsidRPr="00251DA0">
              <w:rPr>
                <w:rFonts w:cs="Calibri"/>
                <w:color w:val="000000" w:themeColor="text1"/>
                <w:sz w:val="12"/>
                <w:szCs w:val="12"/>
              </w:rPr>
              <w:t>Zobowiązania do udzielenia kredytów oraz pozostałe udzielone zobowiązania finansowe</w:t>
            </w:r>
          </w:p>
        </w:tc>
        <w:tc>
          <w:tcPr>
            <w:tcW w:w="1418" w:type="dxa"/>
            <w:tcBorders>
              <w:top w:val="single" w:sz="8" w:space="0" w:color="0077BD"/>
              <w:left w:val="nil"/>
              <w:bottom w:val="single" w:sz="4" w:space="0" w:color="0077BD"/>
              <w:right w:val="single" w:sz="8" w:space="0" w:color="0077BD"/>
            </w:tcBorders>
            <w:shd w:val="clear" w:color="auto" w:fill="auto"/>
            <w:vAlign w:val="center"/>
            <w:hideMark/>
          </w:tcPr>
          <w:p w14:paraId="641645DC"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27 864 392</w:t>
            </w:r>
          </w:p>
        </w:tc>
        <w:tc>
          <w:tcPr>
            <w:tcW w:w="1418" w:type="dxa"/>
            <w:tcBorders>
              <w:top w:val="single" w:sz="8" w:space="0" w:color="0077BD"/>
              <w:left w:val="nil"/>
              <w:bottom w:val="single" w:sz="4" w:space="0" w:color="0077BD"/>
              <w:right w:val="single" w:sz="8" w:space="0" w:color="0077BD"/>
            </w:tcBorders>
            <w:shd w:val="clear" w:color="auto" w:fill="auto"/>
            <w:vAlign w:val="center"/>
            <w:hideMark/>
          </w:tcPr>
          <w:p w14:paraId="4582F0C6"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(57 914)</w:t>
            </w:r>
          </w:p>
        </w:tc>
        <w:tc>
          <w:tcPr>
            <w:tcW w:w="1418" w:type="dxa"/>
            <w:tcBorders>
              <w:top w:val="single" w:sz="8" w:space="0" w:color="0077BD"/>
              <w:left w:val="nil"/>
              <w:bottom w:val="single" w:sz="4" w:space="0" w:color="0077BD"/>
              <w:right w:val="single" w:sz="8" w:space="0" w:color="0077BD"/>
            </w:tcBorders>
            <w:shd w:val="clear" w:color="auto" w:fill="auto"/>
            <w:vAlign w:val="center"/>
            <w:hideMark/>
          </w:tcPr>
          <w:p w14:paraId="4B5BAC54"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(59 752)</w:t>
            </w:r>
          </w:p>
        </w:tc>
        <w:tc>
          <w:tcPr>
            <w:tcW w:w="1418" w:type="dxa"/>
            <w:tcBorders>
              <w:top w:val="single" w:sz="8" w:space="0" w:color="0077BD"/>
              <w:left w:val="nil"/>
              <w:bottom w:val="single" w:sz="4" w:space="0" w:color="0077BD"/>
              <w:right w:val="nil"/>
            </w:tcBorders>
            <w:shd w:val="clear" w:color="auto" w:fill="auto"/>
            <w:noWrap/>
            <w:vAlign w:val="center"/>
            <w:hideMark/>
          </w:tcPr>
          <w:p w14:paraId="16EEE889"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1 838</w:t>
            </w:r>
          </w:p>
        </w:tc>
      </w:tr>
      <w:tr w:rsidR="005C3EE1" w:rsidRPr="00251DA0" w14:paraId="42DA32CB" w14:textId="77777777" w:rsidTr="0079504E">
        <w:trPr>
          <w:trHeight w:val="227"/>
        </w:trPr>
        <w:tc>
          <w:tcPr>
            <w:tcW w:w="0" w:type="auto"/>
            <w:tcBorders>
              <w:top w:val="nil"/>
              <w:left w:val="nil"/>
              <w:bottom w:val="nil"/>
              <w:right w:val="single" w:sz="8" w:space="0" w:color="0077BD"/>
            </w:tcBorders>
            <w:shd w:val="clear" w:color="auto" w:fill="auto"/>
            <w:vAlign w:val="center"/>
            <w:hideMark/>
          </w:tcPr>
          <w:p w14:paraId="62C936E6" w14:textId="77777777" w:rsidR="000E244E" w:rsidRPr="00251DA0" w:rsidRDefault="000E244E" w:rsidP="000E244E">
            <w:pPr>
              <w:rPr>
                <w:rFonts w:cs="Calibri"/>
                <w:color w:val="000000" w:themeColor="text1"/>
                <w:sz w:val="12"/>
                <w:szCs w:val="12"/>
              </w:rPr>
            </w:pPr>
            <w:r w:rsidRPr="00251DA0">
              <w:rPr>
                <w:rFonts w:cs="Calibri"/>
                <w:color w:val="000000" w:themeColor="text1"/>
                <w:sz w:val="12"/>
                <w:szCs w:val="12"/>
              </w:rPr>
              <w:t>Gwarancje, akcepty bankowe i akredytywy</w:t>
            </w:r>
          </w:p>
        </w:tc>
        <w:tc>
          <w:tcPr>
            <w:tcW w:w="1418" w:type="dxa"/>
            <w:tcBorders>
              <w:top w:val="nil"/>
              <w:left w:val="nil"/>
              <w:bottom w:val="nil"/>
              <w:right w:val="single" w:sz="8" w:space="0" w:color="0077BD"/>
            </w:tcBorders>
            <w:shd w:val="clear" w:color="auto" w:fill="auto"/>
            <w:vAlign w:val="center"/>
            <w:hideMark/>
          </w:tcPr>
          <w:p w14:paraId="5C4BF709"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8 541 433</w:t>
            </w:r>
          </w:p>
        </w:tc>
        <w:tc>
          <w:tcPr>
            <w:tcW w:w="1418" w:type="dxa"/>
            <w:tcBorders>
              <w:top w:val="nil"/>
              <w:left w:val="nil"/>
              <w:bottom w:val="nil"/>
              <w:right w:val="single" w:sz="8" w:space="0" w:color="0077BD"/>
            </w:tcBorders>
            <w:shd w:val="clear" w:color="auto" w:fill="auto"/>
            <w:vAlign w:val="center"/>
            <w:hideMark/>
          </w:tcPr>
          <w:p w14:paraId="6950FA2B"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(51 495)</w:t>
            </w:r>
          </w:p>
        </w:tc>
        <w:tc>
          <w:tcPr>
            <w:tcW w:w="1418" w:type="dxa"/>
            <w:tcBorders>
              <w:top w:val="nil"/>
              <w:left w:val="nil"/>
              <w:bottom w:val="nil"/>
              <w:right w:val="single" w:sz="8" w:space="0" w:color="0077BD"/>
            </w:tcBorders>
            <w:shd w:val="clear" w:color="auto" w:fill="auto"/>
            <w:vAlign w:val="center"/>
            <w:hideMark/>
          </w:tcPr>
          <w:p w14:paraId="629A4505"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(55 163)</w:t>
            </w:r>
          </w:p>
        </w:tc>
        <w:tc>
          <w:tcPr>
            <w:tcW w:w="1418" w:type="dxa"/>
            <w:tcBorders>
              <w:top w:val="nil"/>
              <w:left w:val="nil"/>
              <w:bottom w:val="nil"/>
              <w:right w:val="nil"/>
            </w:tcBorders>
            <w:shd w:val="clear" w:color="auto" w:fill="auto"/>
            <w:noWrap/>
            <w:vAlign w:val="center"/>
            <w:hideMark/>
          </w:tcPr>
          <w:p w14:paraId="5356C541" w14:textId="77777777" w:rsidR="000E244E" w:rsidRPr="00F33706" w:rsidRDefault="000E244E" w:rsidP="000E244E">
            <w:pPr>
              <w:jc w:val="right"/>
              <w:rPr>
                <w:rFonts w:cs="Calibri"/>
                <w:color w:val="000000" w:themeColor="text1"/>
                <w:sz w:val="12"/>
                <w:szCs w:val="12"/>
              </w:rPr>
            </w:pPr>
            <w:r w:rsidRPr="00F33706">
              <w:rPr>
                <w:rFonts w:cs="Calibri"/>
                <w:color w:val="000000" w:themeColor="text1"/>
                <w:sz w:val="12"/>
                <w:szCs w:val="12"/>
              </w:rPr>
              <w:t>3 668</w:t>
            </w:r>
          </w:p>
        </w:tc>
      </w:tr>
      <w:tr w:rsidR="005C3EE1" w:rsidRPr="00251DA0" w14:paraId="4172D0E4" w14:textId="77777777" w:rsidTr="0079504E">
        <w:trPr>
          <w:trHeight w:val="227"/>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47DB69F7" w14:textId="77777777" w:rsidR="000E244E" w:rsidRPr="00251DA0" w:rsidRDefault="000E244E" w:rsidP="000E244E">
            <w:pPr>
              <w:rPr>
                <w:rFonts w:cs="Calibri"/>
                <w:b/>
                <w:bCs/>
                <w:color w:val="000000" w:themeColor="text1"/>
                <w:sz w:val="12"/>
                <w:szCs w:val="12"/>
              </w:rPr>
            </w:pPr>
            <w:r w:rsidRPr="00251DA0">
              <w:rPr>
                <w:rFonts w:cs="Calibri"/>
                <w:b/>
                <w:bCs/>
                <w:color w:val="000000" w:themeColor="text1"/>
                <w:sz w:val="12"/>
                <w:szCs w:val="12"/>
              </w:rPr>
              <w:t>Razem dane pozabilansowe:</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477D08DD"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36 405 825</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22C9E1DA"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(109 409)</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35EA1A53"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(114 915)</w:t>
            </w:r>
          </w:p>
        </w:tc>
        <w:tc>
          <w:tcPr>
            <w:tcW w:w="1418" w:type="dxa"/>
            <w:tcBorders>
              <w:top w:val="single" w:sz="8" w:space="0" w:color="0077BD"/>
              <w:left w:val="nil"/>
              <w:bottom w:val="single" w:sz="8" w:space="0" w:color="0077BD"/>
              <w:right w:val="nil"/>
            </w:tcBorders>
            <w:shd w:val="clear" w:color="auto" w:fill="auto"/>
            <w:vAlign w:val="center"/>
            <w:hideMark/>
          </w:tcPr>
          <w:p w14:paraId="7100A97B" w14:textId="77777777" w:rsidR="000E244E" w:rsidRPr="00F33706" w:rsidRDefault="000E244E" w:rsidP="000E244E">
            <w:pPr>
              <w:jc w:val="right"/>
              <w:rPr>
                <w:rFonts w:cs="Calibri"/>
                <w:b/>
                <w:bCs/>
                <w:color w:val="000000" w:themeColor="text1"/>
                <w:sz w:val="12"/>
                <w:szCs w:val="12"/>
              </w:rPr>
            </w:pPr>
            <w:r w:rsidRPr="00F33706">
              <w:rPr>
                <w:rFonts w:cs="Calibri"/>
                <w:b/>
                <w:bCs/>
                <w:color w:val="000000" w:themeColor="text1"/>
                <w:sz w:val="12"/>
                <w:szCs w:val="12"/>
              </w:rPr>
              <w:t>5 506</w:t>
            </w:r>
          </w:p>
        </w:tc>
      </w:tr>
    </w:tbl>
    <w:p w14:paraId="4DCDB99B" w14:textId="5CCF0128" w:rsidR="00251DA0" w:rsidRDefault="00251DA0" w:rsidP="004E2F7D">
      <w:pPr>
        <w:jc w:val="both"/>
        <w:rPr>
          <w:noProof/>
          <w:color w:val="000000" w:themeColor="text1"/>
        </w:rPr>
      </w:pPr>
    </w:p>
    <w:p w14:paraId="0C6C3779" w14:textId="77777777" w:rsidR="00251DA0" w:rsidRDefault="00251DA0">
      <w:pPr>
        <w:rPr>
          <w:noProof/>
          <w:color w:val="000000" w:themeColor="text1"/>
        </w:rPr>
      </w:pPr>
      <w:r>
        <w:rPr>
          <w:noProof/>
          <w:color w:val="000000" w:themeColor="text1"/>
        </w:rPr>
        <w:br w:type="page"/>
      </w:r>
    </w:p>
    <w:p w14:paraId="2D8319A0" w14:textId="77777777" w:rsidR="00E6295B" w:rsidRDefault="00E6295B" w:rsidP="00526DF1">
      <w:pPr>
        <w:pStyle w:val="Nagwek2"/>
        <w:numPr>
          <w:ilvl w:val="0"/>
          <w:numId w:val="44"/>
        </w:numPr>
        <w:suppressAutoHyphens/>
        <w:spacing w:before="0" w:after="0"/>
        <w:jc w:val="both"/>
        <w:rPr>
          <w:rFonts w:cs="Tahoma"/>
          <w:bCs w:val="0"/>
          <w:iCs w:val="0"/>
          <w:color w:val="E41E0A"/>
          <w:sz w:val="18"/>
          <w:szCs w:val="18"/>
        </w:rPr>
      </w:pPr>
      <w:bookmarkStart w:id="144" w:name="_Toc32999855"/>
      <w:r>
        <w:rPr>
          <w:rFonts w:cs="Tahoma"/>
          <w:bCs w:val="0"/>
          <w:iCs w:val="0"/>
          <w:color w:val="E41E0A"/>
          <w:sz w:val="18"/>
          <w:szCs w:val="18"/>
        </w:rPr>
        <w:lastRenderedPageBreak/>
        <w:t>Aktywa trwałe przeznaczone do sprzedaży</w:t>
      </w:r>
      <w:bookmarkEnd w:id="144"/>
    </w:p>
    <w:p w14:paraId="36C6847E" w14:textId="2C6C0AAC" w:rsidR="00804811" w:rsidRPr="00BB7C9E" w:rsidRDefault="00552529" w:rsidP="0079504E">
      <w:pPr>
        <w:shd w:val="clear" w:color="auto" w:fill="FFFFFF"/>
        <w:spacing w:before="120"/>
        <w:jc w:val="both"/>
        <w:rPr>
          <w:rFonts w:cs="Tahoma"/>
          <w:color w:val="000000" w:themeColor="text1"/>
          <w:sz w:val="18"/>
          <w:szCs w:val="18"/>
          <w:lang w:eastAsia="en-US"/>
        </w:rPr>
      </w:pPr>
      <w:r w:rsidRPr="00BB7C9E">
        <w:rPr>
          <w:rFonts w:cs="Tahoma"/>
          <w:color w:val="000000" w:themeColor="text1"/>
          <w:sz w:val="18"/>
          <w:szCs w:val="18"/>
          <w:lang w:eastAsia="en-US"/>
        </w:rPr>
        <w:t>W dniu 7 listopada 2019 roku mBank S.A.</w:t>
      </w:r>
      <w:r w:rsidR="00122CE1" w:rsidRPr="00BB7C9E">
        <w:rPr>
          <w:rFonts w:cs="Tahoma"/>
          <w:color w:val="000000" w:themeColor="text1"/>
          <w:sz w:val="18"/>
          <w:szCs w:val="18"/>
          <w:lang w:eastAsia="en-US"/>
        </w:rPr>
        <w:t xml:space="preserve">, w ramach realizacji planu </w:t>
      </w:r>
      <w:r w:rsidR="006368F5">
        <w:rPr>
          <w:rFonts w:cs="Tahoma"/>
          <w:color w:val="000000" w:themeColor="text1"/>
          <w:sz w:val="18"/>
          <w:szCs w:val="18"/>
          <w:lang w:eastAsia="en-US"/>
        </w:rPr>
        <w:t>wycofania się Grupy mBanku</w:t>
      </w:r>
      <w:r w:rsidR="00122CE1" w:rsidRPr="00BB7C9E">
        <w:rPr>
          <w:rFonts w:cs="Tahoma"/>
          <w:color w:val="000000" w:themeColor="text1"/>
          <w:sz w:val="18"/>
          <w:szCs w:val="18"/>
          <w:lang w:eastAsia="en-US"/>
        </w:rPr>
        <w:t xml:space="preserve"> z</w:t>
      </w:r>
      <w:r w:rsidR="00256015">
        <w:rPr>
          <w:rFonts w:cs="Tahoma"/>
          <w:color w:val="000000" w:themeColor="text1"/>
          <w:sz w:val="18"/>
          <w:szCs w:val="18"/>
          <w:lang w:eastAsia="en-US"/>
        </w:rPr>
        <w:t> </w:t>
      </w:r>
      <w:r w:rsidR="00122CE1" w:rsidRPr="00BB7C9E">
        <w:rPr>
          <w:rFonts w:cs="Tahoma"/>
          <w:color w:val="000000" w:themeColor="text1"/>
          <w:sz w:val="18"/>
          <w:szCs w:val="18"/>
          <w:lang w:eastAsia="en-US"/>
        </w:rPr>
        <w:t>działalności deweloperskiej i koncentracji na głównej działalności z branży finansowej,</w:t>
      </w:r>
      <w:r w:rsidRPr="00BB7C9E">
        <w:rPr>
          <w:rFonts w:cs="Tahoma"/>
          <w:color w:val="000000" w:themeColor="text1"/>
          <w:sz w:val="18"/>
          <w:szCs w:val="18"/>
          <w:lang w:eastAsia="en-US"/>
        </w:rPr>
        <w:t xml:space="preserve"> podpisał warunkową umowę sprzedaży udziałów w spółce zależnej BDH Development Sp. z o.o. (BDH)</w:t>
      </w:r>
      <w:r w:rsidR="00122CE1" w:rsidRPr="00BB7C9E">
        <w:rPr>
          <w:rFonts w:cs="Tahoma"/>
          <w:color w:val="000000" w:themeColor="text1"/>
          <w:sz w:val="18"/>
          <w:szCs w:val="18"/>
          <w:lang w:eastAsia="en-US"/>
        </w:rPr>
        <w:t xml:space="preserve"> na rzecz spółki Archicom Polska S.A.</w:t>
      </w:r>
      <w:r w:rsidRPr="00BB7C9E">
        <w:rPr>
          <w:rFonts w:cs="Tahoma"/>
          <w:color w:val="000000" w:themeColor="text1"/>
          <w:sz w:val="18"/>
          <w:szCs w:val="18"/>
          <w:lang w:eastAsia="en-US"/>
        </w:rPr>
        <w:t xml:space="preserve"> </w:t>
      </w:r>
      <w:r w:rsidR="004030EB" w:rsidRPr="00BB7C9E">
        <w:rPr>
          <w:rFonts w:cs="Tahoma"/>
          <w:color w:val="000000" w:themeColor="text1"/>
          <w:sz w:val="18"/>
          <w:szCs w:val="18"/>
          <w:lang w:eastAsia="en-US"/>
        </w:rPr>
        <w:t>Zawarcie umowy przyrzeczonej sprzedaży udziałów nastąpi po spełnieniu wszystkich warunków zawieszających w postaci zbycia przez BDH udziałów posiadanych w spółce CSK</w:t>
      </w:r>
      <w:r w:rsidR="007466F5">
        <w:rPr>
          <w:rFonts w:cs="Tahoma"/>
          <w:color w:val="000000" w:themeColor="text1"/>
          <w:sz w:val="18"/>
          <w:szCs w:val="18"/>
          <w:lang w:eastAsia="en-US"/>
        </w:rPr>
        <w:t> S</w:t>
      </w:r>
      <w:r w:rsidR="004030EB" w:rsidRPr="00BB7C9E">
        <w:rPr>
          <w:rFonts w:cs="Tahoma"/>
          <w:color w:val="000000" w:themeColor="text1"/>
          <w:sz w:val="18"/>
          <w:szCs w:val="18"/>
          <w:lang w:eastAsia="en-US"/>
        </w:rPr>
        <w:t>p.</w:t>
      </w:r>
      <w:r w:rsidR="007466F5">
        <w:rPr>
          <w:rFonts w:cs="Tahoma"/>
          <w:color w:val="000000" w:themeColor="text1"/>
          <w:sz w:val="18"/>
          <w:szCs w:val="18"/>
          <w:lang w:eastAsia="en-US"/>
        </w:rPr>
        <w:t> </w:t>
      </w:r>
      <w:r w:rsidR="004030EB" w:rsidRPr="00BB7C9E">
        <w:rPr>
          <w:rFonts w:cs="Tahoma"/>
          <w:color w:val="000000" w:themeColor="text1"/>
          <w:sz w:val="18"/>
          <w:szCs w:val="18"/>
          <w:lang w:eastAsia="en-US"/>
        </w:rPr>
        <w:t>z</w:t>
      </w:r>
      <w:r w:rsidR="007466F5">
        <w:rPr>
          <w:rFonts w:cs="Tahoma"/>
          <w:color w:val="000000" w:themeColor="text1"/>
          <w:sz w:val="18"/>
          <w:szCs w:val="18"/>
          <w:lang w:eastAsia="en-US"/>
        </w:rPr>
        <w:t> </w:t>
      </w:r>
      <w:r w:rsidR="004030EB" w:rsidRPr="00BB7C9E">
        <w:rPr>
          <w:rFonts w:cs="Tahoma"/>
          <w:color w:val="000000" w:themeColor="text1"/>
          <w:sz w:val="18"/>
          <w:szCs w:val="18"/>
          <w:lang w:eastAsia="en-US"/>
        </w:rPr>
        <w:t>o.o. (warunek spełniony), zarejestrowania przez sąd rejestrowy obniżenia kapitału zakładowego BDH związanego z umorzeniem udziałów, oraz wydania przez Prezesa Urzędu Ochrony Konkurencji i</w:t>
      </w:r>
      <w:r w:rsidR="00256015">
        <w:rPr>
          <w:rFonts w:cs="Tahoma"/>
          <w:color w:val="000000" w:themeColor="text1"/>
          <w:sz w:val="18"/>
          <w:szCs w:val="18"/>
          <w:lang w:eastAsia="en-US"/>
        </w:rPr>
        <w:t> </w:t>
      </w:r>
      <w:r w:rsidR="004030EB" w:rsidRPr="00BB7C9E">
        <w:rPr>
          <w:rFonts w:cs="Tahoma"/>
          <w:color w:val="000000" w:themeColor="text1"/>
          <w:sz w:val="18"/>
          <w:szCs w:val="18"/>
          <w:lang w:eastAsia="en-US"/>
        </w:rPr>
        <w:t xml:space="preserve">Konsumentów zgody na koncentrację polegającą na przejęciu przez Archicom Polska S.A. kontroli nad BDH. </w:t>
      </w:r>
      <w:r w:rsidRPr="00BB7C9E">
        <w:rPr>
          <w:rFonts w:cs="Tahoma"/>
          <w:color w:val="000000" w:themeColor="text1"/>
          <w:sz w:val="18"/>
          <w:szCs w:val="18"/>
          <w:lang w:eastAsia="en-US"/>
        </w:rPr>
        <w:t xml:space="preserve">Strony zobowiązały się podpisać umowę przyrzeczoną, przenoszącą wartość udziałów BDH nie później niż 31 grudnia 2020 roku. </w:t>
      </w:r>
    </w:p>
    <w:p w14:paraId="0953C5D1" w14:textId="0526589F" w:rsidR="0079504E" w:rsidRDefault="00552529" w:rsidP="00C36B85">
      <w:pPr>
        <w:shd w:val="clear" w:color="auto" w:fill="FFFFFF"/>
        <w:spacing w:before="120"/>
        <w:jc w:val="both"/>
        <w:rPr>
          <w:rFonts w:cs="Tahoma"/>
          <w:color w:val="000000" w:themeColor="text1"/>
          <w:sz w:val="18"/>
          <w:szCs w:val="18"/>
          <w:lang w:eastAsia="en-US"/>
        </w:rPr>
      </w:pPr>
      <w:r w:rsidRPr="00BB7C9E">
        <w:rPr>
          <w:rFonts w:cs="Tahoma"/>
          <w:color w:val="000000" w:themeColor="text1"/>
          <w:sz w:val="18"/>
          <w:szCs w:val="18"/>
          <w:lang w:eastAsia="en-US"/>
        </w:rPr>
        <w:t xml:space="preserve">W związku z powyższą umową, </w:t>
      </w:r>
      <w:r w:rsidR="00C36B85" w:rsidRPr="00BB7C9E">
        <w:rPr>
          <w:rFonts w:cs="Tahoma"/>
          <w:color w:val="000000" w:themeColor="text1"/>
          <w:sz w:val="18"/>
          <w:szCs w:val="18"/>
          <w:lang w:eastAsia="en-US"/>
        </w:rPr>
        <w:t xml:space="preserve">zgodnie z zasadami </w:t>
      </w:r>
      <w:r w:rsidR="005B0271" w:rsidRPr="00BB7C9E">
        <w:rPr>
          <w:rFonts w:cs="Tahoma"/>
          <w:color w:val="000000" w:themeColor="text1"/>
          <w:sz w:val="18"/>
          <w:szCs w:val="18"/>
          <w:lang w:eastAsia="en-US"/>
        </w:rPr>
        <w:t xml:space="preserve">rachunkowości </w:t>
      </w:r>
      <w:r w:rsidR="006368F5">
        <w:rPr>
          <w:rFonts w:cs="Tahoma"/>
          <w:color w:val="000000" w:themeColor="text1"/>
          <w:sz w:val="18"/>
          <w:szCs w:val="18"/>
          <w:lang w:eastAsia="en-US"/>
        </w:rPr>
        <w:t>opisanymi w Nocie 2.19</w:t>
      </w:r>
      <w:r w:rsidR="00C36B85" w:rsidRPr="00BB7C9E">
        <w:rPr>
          <w:rFonts w:cs="Tahoma"/>
          <w:color w:val="000000" w:themeColor="text1"/>
          <w:sz w:val="18"/>
          <w:szCs w:val="18"/>
          <w:lang w:eastAsia="en-US"/>
        </w:rPr>
        <w:t xml:space="preserve">, na </w:t>
      </w:r>
      <w:r w:rsidR="005C63BD" w:rsidRPr="00BB7C9E">
        <w:rPr>
          <w:rFonts w:cs="Tahoma"/>
          <w:color w:val="000000" w:themeColor="text1"/>
          <w:sz w:val="18"/>
          <w:szCs w:val="18"/>
          <w:lang w:eastAsia="en-US"/>
        </w:rPr>
        <w:t>dzień 31</w:t>
      </w:r>
      <w:r w:rsidR="005B0271" w:rsidRPr="00BB7C9E">
        <w:rPr>
          <w:rFonts w:cs="Tahoma"/>
          <w:color w:val="000000" w:themeColor="text1"/>
          <w:sz w:val="18"/>
          <w:szCs w:val="18"/>
          <w:lang w:eastAsia="en-US"/>
        </w:rPr>
        <w:t> </w:t>
      </w:r>
      <w:r w:rsidR="005C63BD" w:rsidRPr="00BB7C9E">
        <w:rPr>
          <w:rFonts w:cs="Tahoma"/>
          <w:color w:val="000000" w:themeColor="text1"/>
          <w:sz w:val="18"/>
          <w:szCs w:val="18"/>
          <w:lang w:eastAsia="en-US"/>
        </w:rPr>
        <w:t xml:space="preserve">grudnia 2019 roku </w:t>
      </w:r>
      <w:r w:rsidR="005B0271" w:rsidRPr="00BB7C9E">
        <w:rPr>
          <w:rFonts w:cs="Tahoma"/>
          <w:color w:val="000000" w:themeColor="text1"/>
          <w:sz w:val="18"/>
          <w:szCs w:val="18"/>
          <w:lang w:eastAsia="en-US"/>
        </w:rPr>
        <w:t>Grupa</w:t>
      </w:r>
      <w:r w:rsidR="00C36B85" w:rsidRPr="00BB7C9E">
        <w:rPr>
          <w:rFonts w:cs="Tahoma"/>
          <w:color w:val="000000" w:themeColor="text1"/>
          <w:sz w:val="18"/>
          <w:szCs w:val="18"/>
          <w:lang w:eastAsia="en-US"/>
        </w:rPr>
        <w:t xml:space="preserve"> zaklasyfikował</w:t>
      </w:r>
      <w:r w:rsidR="005B0271" w:rsidRPr="00BB7C9E">
        <w:rPr>
          <w:rFonts w:cs="Tahoma"/>
          <w:color w:val="000000" w:themeColor="text1"/>
          <w:sz w:val="18"/>
          <w:szCs w:val="18"/>
          <w:lang w:eastAsia="en-US"/>
        </w:rPr>
        <w:t>a</w:t>
      </w:r>
      <w:r w:rsidR="00C36B85" w:rsidRPr="00BB7C9E">
        <w:rPr>
          <w:rFonts w:cs="Tahoma"/>
          <w:color w:val="000000" w:themeColor="text1"/>
          <w:sz w:val="18"/>
          <w:szCs w:val="18"/>
          <w:lang w:eastAsia="en-US"/>
        </w:rPr>
        <w:t xml:space="preserve"> BDH </w:t>
      </w:r>
      <w:r w:rsidR="005C63BD" w:rsidRPr="00BB7C9E">
        <w:rPr>
          <w:rFonts w:cs="Tahoma"/>
          <w:color w:val="000000" w:themeColor="text1"/>
          <w:sz w:val="18"/>
          <w:szCs w:val="18"/>
          <w:lang w:eastAsia="en-US"/>
        </w:rPr>
        <w:t>do aktywów trwałych przeznaczonych do sprzedaży</w:t>
      </w:r>
      <w:r w:rsidR="00C36B85" w:rsidRPr="00BB7C9E">
        <w:rPr>
          <w:rFonts w:cs="Tahoma"/>
          <w:color w:val="000000" w:themeColor="text1"/>
          <w:sz w:val="18"/>
          <w:szCs w:val="18"/>
          <w:lang w:eastAsia="en-US"/>
        </w:rPr>
        <w:t>.</w:t>
      </w:r>
    </w:p>
    <w:p w14:paraId="4DCB1061" w14:textId="73C2D080" w:rsidR="00C36B85" w:rsidRPr="00BB7C9E" w:rsidRDefault="00C36B85" w:rsidP="00C36B85">
      <w:pPr>
        <w:shd w:val="clear" w:color="auto" w:fill="FFFFFF"/>
        <w:spacing w:before="120" w:after="120"/>
        <w:jc w:val="both"/>
        <w:rPr>
          <w:rFonts w:cs="Tahoma"/>
          <w:color w:val="000000" w:themeColor="text1"/>
          <w:sz w:val="18"/>
          <w:szCs w:val="18"/>
          <w:lang w:eastAsia="en-US"/>
        </w:rPr>
      </w:pPr>
      <w:r w:rsidRPr="00BB7C9E">
        <w:rPr>
          <w:rFonts w:cs="Tahoma"/>
          <w:color w:val="000000" w:themeColor="text1"/>
          <w:sz w:val="18"/>
          <w:szCs w:val="18"/>
          <w:lang w:eastAsia="en-US"/>
        </w:rPr>
        <w:t xml:space="preserve">Poniżej przedstawiono dane finansowe dotyczące aktywów </w:t>
      </w:r>
      <w:r w:rsidR="00B23DCA" w:rsidRPr="00BB7C9E">
        <w:rPr>
          <w:rFonts w:cs="Tahoma"/>
          <w:color w:val="000000" w:themeColor="text1"/>
          <w:sz w:val="18"/>
          <w:szCs w:val="18"/>
          <w:lang w:eastAsia="en-US"/>
        </w:rPr>
        <w:t xml:space="preserve">i zobowiązań </w:t>
      </w:r>
      <w:r w:rsidRPr="00BB7C9E">
        <w:rPr>
          <w:rFonts w:cs="Tahoma"/>
          <w:color w:val="000000" w:themeColor="text1"/>
          <w:sz w:val="18"/>
          <w:szCs w:val="18"/>
          <w:lang w:eastAsia="en-US"/>
        </w:rPr>
        <w:t>przeznaczonych do sprzedaży.</w:t>
      </w:r>
    </w:p>
    <w:tbl>
      <w:tblPr>
        <w:tblW w:w="0" w:type="auto"/>
        <w:tblLayout w:type="fixed"/>
        <w:tblCellMar>
          <w:left w:w="28" w:type="dxa"/>
          <w:right w:w="28" w:type="dxa"/>
        </w:tblCellMar>
        <w:tblLook w:val="04A0" w:firstRow="1" w:lastRow="0" w:firstColumn="1" w:lastColumn="0" w:noHBand="0" w:noVBand="1"/>
      </w:tblPr>
      <w:tblGrid>
        <w:gridCol w:w="8163"/>
        <w:gridCol w:w="1418"/>
      </w:tblGrid>
      <w:tr w:rsidR="00804811" w:rsidRPr="00804811" w14:paraId="205A9654" w14:textId="77777777" w:rsidTr="00251DA0">
        <w:trPr>
          <w:trHeight w:val="284"/>
        </w:trPr>
        <w:tc>
          <w:tcPr>
            <w:tcW w:w="8163" w:type="dxa"/>
            <w:tcBorders>
              <w:top w:val="single" w:sz="8" w:space="0" w:color="FFFFFF"/>
              <w:left w:val="nil"/>
              <w:bottom w:val="nil"/>
              <w:right w:val="single" w:sz="8" w:space="0" w:color="FFFFFF"/>
            </w:tcBorders>
            <w:shd w:val="clear" w:color="000000" w:fill="0077BD"/>
            <w:vAlign w:val="center"/>
            <w:hideMark/>
          </w:tcPr>
          <w:p w14:paraId="76A10B9D" w14:textId="77777777" w:rsidR="00804811" w:rsidRPr="00804811" w:rsidRDefault="00804811" w:rsidP="00251DA0">
            <w:pPr>
              <w:rPr>
                <w:rFonts w:cs="Calibri"/>
                <w:b/>
                <w:bCs/>
                <w:color w:val="FFFFFF"/>
                <w:sz w:val="13"/>
                <w:szCs w:val="13"/>
              </w:rPr>
            </w:pPr>
            <w:r w:rsidRPr="00804811">
              <w:rPr>
                <w:rFonts w:cs="Calibri"/>
                <w:b/>
                <w:bCs/>
                <w:color w:val="FFFFFF"/>
                <w:sz w:val="13"/>
                <w:szCs w:val="13"/>
              </w:rPr>
              <w:t>AKTYWA</w:t>
            </w:r>
          </w:p>
        </w:tc>
        <w:tc>
          <w:tcPr>
            <w:tcW w:w="1418" w:type="dxa"/>
            <w:tcBorders>
              <w:top w:val="single" w:sz="8" w:space="0" w:color="FFFFFF"/>
              <w:left w:val="nil"/>
              <w:bottom w:val="nil"/>
              <w:right w:val="nil"/>
            </w:tcBorders>
            <w:shd w:val="clear" w:color="000000" w:fill="0077BD"/>
            <w:noWrap/>
            <w:vAlign w:val="center"/>
            <w:hideMark/>
          </w:tcPr>
          <w:p w14:paraId="1B477B86" w14:textId="77777777" w:rsidR="00804811" w:rsidRPr="00804811" w:rsidRDefault="00804811" w:rsidP="00251DA0">
            <w:pPr>
              <w:jc w:val="right"/>
              <w:rPr>
                <w:rFonts w:cs="Calibri"/>
                <w:b/>
                <w:bCs/>
                <w:color w:val="FFFFFF"/>
                <w:sz w:val="13"/>
                <w:szCs w:val="13"/>
              </w:rPr>
            </w:pPr>
            <w:r w:rsidRPr="00804811">
              <w:rPr>
                <w:rFonts w:cs="Calibri"/>
                <w:b/>
                <w:bCs/>
                <w:color w:val="FFFFFF"/>
                <w:sz w:val="13"/>
                <w:szCs w:val="13"/>
              </w:rPr>
              <w:t>31.12.2019</w:t>
            </w:r>
          </w:p>
        </w:tc>
      </w:tr>
      <w:tr w:rsidR="00CC3FB6" w:rsidRPr="00BB7C9E" w14:paraId="1C4A634C" w14:textId="77777777" w:rsidTr="00251DA0">
        <w:trPr>
          <w:trHeight w:val="284"/>
        </w:trPr>
        <w:tc>
          <w:tcPr>
            <w:tcW w:w="8163" w:type="dxa"/>
            <w:tcBorders>
              <w:top w:val="nil"/>
              <w:left w:val="nil"/>
              <w:bottom w:val="single" w:sz="4" w:space="0" w:color="0077BD"/>
              <w:right w:val="single" w:sz="8" w:space="0" w:color="0077BD"/>
            </w:tcBorders>
            <w:shd w:val="clear" w:color="auto" w:fill="auto"/>
            <w:vAlign w:val="center"/>
            <w:hideMark/>
          </w:tcPr>
          <w:p w14:paraId="29011375" w14:textId="77777777" w:rsidR="00804811" w:rsidRPr="00BB7C9E" w:rsidRDefault="00804811" w:rsidP="00251DA0">
            <w:pPr>
              <w:rPr>
                <w:rFonts w:cs="Calibri"/>
                <w:color w:val="000000" w:themeColor="text1"/>
                <w:sz w:val="13"/>
                <w:szCs w:val="13"/>
              </w:rPr>
            </w:pPr>
            <w:r w:rsidRPr="00BB7C9E">
              <w:rPr>
                <w:rFonts w:cs="Calibri"/>
                <w:color w:val="000000" w:themeColor="text1"/>
                <w:sz w:val="13"/>
                <w:szCs w:val="13"/>
              </w:rPr>
              <w:t>Inne aktywa</w:t>
            </w:r>
          </w:p>
        </w:tc>
        <w:tc>
          <w:tcPr>
            <w:tcW w:w="1418" w:type="dxa"/>
            <w:tcBorders>
              <w:top w:val="nil"/>
              <w:left w:val="nil"/>
              <w:bottom w:val="single" w:sz="4" w:space="0" w:color="0077BD"/>
              <w:right w:val="nil"/>
            </w:tcBorders>
            <w:shd w:val="clear" w:color="auto" w:fill="auto"/>
            <w:noWrap/>
            <w:vAlign w:val="center"/>
          </w:tcPr>
          <w:p w14:paraId="29542634" w14:textId="507CF8C2" w:rsidR="00804811" w:rsidRPr="00BB7C9E" w:rsidRDefault="00BC5086" w:rsidP="00251DA0">
            <w:pPr>
              <w:jc w:val="right"/>
              <w:rPr>
                <w:rFonts w:cs="Calibri"/>
                <w:color w:val="000000" w:themeColor="text1"/>
                <w:sz w:val="13"/>
                <w:szCs w:val="13"/>
              </w:rPr>
            </w:pPr>
            <w:r w:rsidRPr="00BB7C9E">
              <w:rPr>
                <w:rFonts w:cs="Calibri"/>
                <w:color w:val="000000" w:themeColor="text1"/>
                <w:sz w:val="13"/>
                <w:szCs w:val="13"/>
              </w:rPr>
              <w:t>10 651</w:t>
            </w:r>
          </w:p>
        </w:tc>
      </w:tr>
      <w:tr w:rsidR="00CC3FB6" w:rsidRPr="00BB7C9E" w14:paraId="39FC078F" w14:textId="77777777" w:rsidTr="00251DA0">
        <w:trPr>
          <w:trHeight w:val="284"/>
        </w:trPr>
        <w:tc>
          <w:tcPr>
            <w:tcW w:w="8163" w:type="dxa"/>
            <w:tcBorders>
              <w:top w:val="single" w:sz="8" w:space="0" w:color="0077BD"/>
              <w:left w:val="nil"/>
              <w:bottom w:val="single" w:sz="8" w:space="0" w:color="0077BD"/>
              <w:right w:val="single" w:sz="8" w:space="0" w:color="0077BD"/>
            </w:tcBorders>
            <w:shd w:val="clear" w:color="auto" w:fill="auto"/>
            <w:noWrap/>
            <w:vAlign w:val="center"/>
            <w:hideMark/>
          </w:tcPr>
          <w:p w14:paraId="6CD01C3F" w14:textId="77777777" w:rsidR="00804811" w:rsidRPr="00BB7C9E" w:rsidRDefault="00804811" w:rsidP="00251DA0">
            <w:pPr>
              <w:rPr>
                <w:rFonts w:cs="Calibri"/>
                <w:b/>
                <w:bCs/>
                <w:color w:val="000000" w:themeColor="text1"/>
                <w:sz w:val="13"/>
                <w:szCs w:val="13"/>
              </w:rPr>
            </w:pPr>
            <w:r w:rsidRPr="00BB7C9E">
              <w:rPr>
                <w:rFonts w:cs="Calibri"/>
                <w:b/>
                <w:bCs/>
                <w:color w:val="000000" w:themeColor="text1"/>
                <w:sz w:val="13"/>
                <w:szCs w:val="13"/>
              </w:rPr>
              <w:t>AKTYWA RAZEM</w:t>
            </w:r>
          </w:p>
        </w:tc>
        <w:tc>
          <w:tcPr>
            <w:tcW w:w="1418" w:type="dxa"/>
            <w:tcBorders>
              <w:top w:val="single" w:sz="8" w:space="0" w:color="0077BD"/>
              <w:left w:val="nil"/>
              <w:bottom w:val="single" w:sz="8" w:space="0" w:color="0077BD"/>
              <w:right w:val="nil"/>
            </w:tcBorders>
            <w:shd w:val="clear" w:color="auto" w:fill="auto"/>
            <w:noWrap/>
            <w:vAlign w:val="center"/>
            <w:hideMark/>
          </w:tcPr>
          <w:p w14:paraId="06D87B3A" w14:textId="2A729298" w:rsidR="00804811" w:rsidRPr="00BB7C9E" w:rsidRDefault="00BC5086" w:rsidP="00251DA0">
            <w:pPr>
              <w:jc w:val="right"/>
              <w:rPr>
                <w:rFonts w:cs="Calibri"/>
                <w:b/>
                <w:bCs/>
                <w:color w:val="000000" w:themeColor="text1"/>
                <w:sz w:val="13"/>
                <w:szCs w:val="13"/>
              </w:rPr>
            </w:pPr>
            <w:r w:rsidRPr="00BB7C9E">
              <w:rPr>
                <w:rFonts w:cs="Calibri"/>
                <w:b/>
                <w:bCs/>
                <w:color w:val="000000" w:themeColor="text1"/>
                <w:sz w:val="13"/>
                <w:szCs w:val="13"/>
              </w:rPr>
              <w:t>10 651</w:t>
            </w:r>
          </w:p>
        </w:tc>
      </w:tr>
    </w:tbl>
    <w:p w14:paraId="0462D7A5" w14:textId="75000DAC" w:rsidR="0079504E" w:rsidRPr="00251DA0" w:rsidRDefault="0079504E" w:rsidP="00251DA0">
      <w:pPr>
        <w:rPr>
          <w:rFonts w:cs="Tahoma"/>
          <w:color w:val="201C17"/>
          <w:szCs w:val="16"/>
          <w:lang w:eastAsia="en-US"/>
        </w:rPr>
      </w:pPr>
    </w:p>
    <w:tbl>
      <w:tblPr>
        <w:tblW w:w="0" w:type="auto"/>
        <w:tblLayout w:type="fixed"/>
        <w:tblCellMar>
          <w:left w:w="28" w:type="dxa"/>
          <w:right w:w="28" w:type="dxa"/>
        </w:tblCellMar>
        <w:tblLook w:val="04A0" w:firstRow="1" w:lastRow="0" w:firstColumn="1" w:lastColumn="0" w:noHBand="0" w:noVBand="1"/>
      </w:tblPr>
      <w:tblGrid>
        <w:gridCol w:w="8163"/>
        <w:gridCol w:w="1418"/>
      </w:tblGrid>
      <w:tr w:rsidR="00EA2534" w:rsidRPr="00804811" w14:paraId="4030CA73" w14:textId="77777777" w:rsidTr="0079504E">
        <w:trPr>
          <w:trHeight w:val="227"/>
        </w:trPr>
        <w:tc>
          <w:tcPr>
            <w:tcW w:w="8163" w:type="dxa"/>
            <w:tcBorders>
              <w:top w:val="single" w:sz="8" w:space="0" w:color="FFFFFF"/>
              <w:left w:val="nil"/>
              <w:bottom w:val="nil"/>
              <w:right w:val="single" w:sz="8" w:space="0" w:color="FFFFFF"/>
            </w:tcBorders>
            <w:shd w:val="clear" w:color="000000" w:fill="0077BD"/>
            <w:vAlign w:val="center"/>
            <w:hideMark/>
          </w:tcPr>
          <w:p w14:paraId="319F3D54" w14:textId="6E90756D" w:rsidR="00EA2534" w:rsidRPr="00804811" w:rsidRDefault="00EA2534" w:rsidP="00251DA0">
            <w:pPr>
              <w:rPr>
                <w:rFonts w:cs="Calibri"/>
                <w:b/>
                <w:bCs/>
                <w:color w:val="FFFFFF"/>
                <w:sz w:val="13"/>
                <w:szCs w:val="13"/>
              </w:rPr>
            </w:pPr>
            <w:r>
              <w:rPr>
                <w:rFonts w:cs="Calibri"/>
                <w:b/>
                <w:bCs/>
                <w:color w:val="FFFFFF"/>
                <w:sz w:val="13"/>
                <w:szCs w:val="13"/>
              </w:rPr>
              <w:t>ZOBOWIĄZANIA</w:t>
            </w:r>
          </w:p>
        </w:tc>
        <w:tc>
          <w:tcPr>
            <w:tcW w:w="1418" w:type="dxa"/>
            <w:tcBorders>
              <w:top w:val="single" w:sz="8" w:space="0" w:color="FFFFFF"/>
              <w:left w:val="nil"/>
              <w:bottom w:val="nil"/>
              <w:right w:val="nil"/>
            </w:tcBorders>
            <w:shd w:val="clear" w:color="000000" w:fill="0077BD"/>
            <w:noWrap/>
            <w:vAlign w:val="center"/>
            <w:hideMark/>
          </w:tcPr>
          <w:p w14:paraId="45008666" w14:textId="77777777" w:rsidR="00EA2534" w:rsidRPr="00804811" w:rsidRDefault="00EA2534" w:rsidP="00251DA0">
            <w:pPr>
              <w:jc w:val="right"/>
              <w:rPr>
                <w:rFonts w:cs="Calibri"/>
                <w:b/>
                <w:bCs/>
                <w:color w:val="FFFFFF"/>
                <w:sz w:val="13"/>
                <w:szCs w:val="13"/>
              </w:rPr>
            </w:pPr>
            <w:r w:rsidRPr="00804811">
              <w:rPr>
                <w:rFonts w:cs="Calibri"/>
                <w:b/>
                <w:bCs/>
                <w:color w:val="FFFFFF"/>
                <w:sz w:val="13"/>
                <w:szCs w:val="13"/>
              </w:rPr>
              <w:t>31.12.2019</w:t>
            </w:r>
          </w:p>
        </w:tc>
      </w:tr>
      <w:tr w:rsidR="00CC3FB6" w:rsidRPr="00BB7C9E" w14:paraId="4451F153" w14:textId="77777777" w:rsidTr="0079504E">
        <w:trPr>
          <w:trHeight w:val="227"/>
        </w:trPr>
        <w:tc>
          <w:tcPr>
            <w:tcW w:w="8163" w:type="dxa"/>
            <w:tcBorders>
              <w:top w:val="nil"/>
              <w:left w:val="nil"/>
              <w:bottom w:val="single" w:sz="4" w:space="0" w:color="0077BD"/>
              <w:right w:val="single" w:sz="8" w:space="0" w:color="0077BD"/>
            </w:tcBorders>
            <w:shd w:val="clear" w:color="auto" w:fill="auto"/>
            <w:vAlign w:val="center"/>
            <w:hideMark/>
          </w:tcPr>
          <w:p w14:paraId="7952A2EB" w14:textId="30AD5256" w:rsidR="00EA2534" w:rsidRPr="00BB7C9E" w:rsidRDefault="00EA2534" w:rsidP="00251DA0">
            <w:pPr>
              <w:rPr>
                <w:rFonts w:cs="Calibri"/>
                <w:iCs/>
                <w:color w:val="000000" w:themeColor="text1"/>
                <w:sz w:val="13"/>
                <w:szCs w:val="13"/>
              </w:rPr>
            </w:pPr>
            <w:r w:rsidRPr="00BB7C9E">
              <w:rPr>
                <w:rFonts w:cs="Calibri"/>
                <w:color w:val="000000" w:themeColor="text1"/>
                <w:sz w:val="13"/>
                <w:szCs w:val="13"/>
              </w:rPr>
              <w:t>Zobowiązania finansowe wyceniane w zamortyzowanym koszcie, w tym:</w:t>
            </w:r>
          </w:p>
        </w:tc>
        <w:tc>
          <w:tcPr>
            <w:tcW w:w="1418" w:type="dxa"/>
            <w:tcBorders>
              <w:top w:val="nil"/>
              <w:left w:val="nil"/>
              <w:bottom w:val="single" w:sz="4" w:space="0" w:color="0077BD"/>
              <w:right w:val="nil"/>
            </w:tcBorders>
            <w:shd w:val="clear" w:color="auto" w:fill="auto"/>
            <w:noWrap/>
            <w:vAlign w:val="center"/>
          </w:tcPr>
          <w:p w14:paraId="72410B0D" w14:textId="4B0255F3" w:rsidR="00EA2534" w:rsidRPr="00BB7C9E" w:rsidRDefault="00BC5086" w:rsidP="00251DA0">
            <w:pPr>
              <w:jc w:val="right"/>
              <w:rPr>
                <w:rFonts w:cs="Calibri"/>
                <w:iCs/>
                <w:color w:val="000000" w:themeColor="text1"/>
                <w:sz w:val="13"/>
                <w:szCs w:val="13"/>
              </w:rPr>
            </w:pPr>
            <w:r w:rsidRPr="00BB7C9E">
              <w:rPr>
                <w:rFonts w:cs="Calibri"/>
                <w:iCs/>
                <w:color w:val="000000" w:themeColor="text1"/>
                <w:sz w:val="13"/>
                <w:szCs w:val="13"/>
              </w:rPr>
              <w:t>96</w:t>
            </w:r>
          </w:p>
        </w:tc>
      </w:tr>
      <w:tr w:rsidR="00CC3FB6" w:rsidRPr="00BB7C9E" w14:paraId="07030580" w14:textId="77777777" w:rsidTr="0079504E">
        <w:trPr>
          <w:trHeight w:val="227"/>
        </w:trPr>
        <w:tc>
          <w:tcPr>
            <w:tcW w:w="8163" w:type="dxa"/>
            <w:tcBorders>
              <w:top w:val="nil"/>
              <w:left w:val="nil"/>
              <w:bottom w:val="single" w:sz="4" w:space="0" w:color="0077BD"/>
              <w:right w:val="single" w:sz="8" w:space="0" w:color="0077BD"/>
            </w:tcBorders>
            <w:shd w:val="clear" w:color="auto" w:fill="auto"/>
            <w:vAlign w:val="center"/>
            <w:hideMark/>
          </w:tcPr>
          <w:p w14:paraId="16A3E3E2" w14:textId="1D0950FD" w:rsidR="00EA2534" w:rsidRPr="00BB7C9E" w:rsidRDefault="00EA2534" w:rsidP="00251DA0">
            <w:pPr>
              <w:ind w:firstLineChars="200" w:firstLine="260"/>
              <w:rPr>
                <w:rFonts w:cs="Calibri"/>
                <w:i/>
                <w:iCs/>
                <w:color w:val="000000" w:themeColor="text1"/>
                <w:sz w:val="13"/>
                <w:szCs w:val="13"/>
              </w:rPr>
            </w:pPr>
            <w:r w:rsidRPr="00BB7C9E">
              <w:rPr>
                <w:rFonts w:cs="Calibri"/>
                <w:i/>
                <w:iCs/>
                <w:color w:val="000000" w:themeColor="text1"/>
                <w:sz w:val="13"/>
                <w:szCs w:val="13"/>
              </w:rPr>
              <w:t>Zobowiązania wobec banków</w:t>
            </w:r>
          </w:p>
        </w:tc>
        <w:tc>
          <w:tcPr>
            <w:tcW w:w="1418" w:type="dxa"/>
            <w:tcBorders>
              <w:top w:val="nil"/>
              <w:left w:val="nil"/>
              <w:bottom w:val="single" w:sz="4" w:space="0" w:color="0077BD"/>
              <w:right w:val="nil"/>
            </w:tcBorders>
            <w:shd w:val="clear" w:color="auto" w:fill="auto"/>
            <w:noWrap/>
            <w:vAlign w:val="center"/>
          </w:tcPr>
          <w:p w14:paraId="286A09B4" w14:textId="5E7C66BF" w:rsidR="00EA2534" w:rsidRPr="00BB7C9E" w:rsidRDefault="00BC5086" w:rsidP="00251DA0">
            <w:pPr>
              <w:jc w:val="right"/>
              <w:rPr>
                <w:rFonts w:cs="Calibri"/>
                <w:i/>
                <w:iCs/>
                <w:color w:val="000000" w:themeColor="text1"/>
                <w:sz w:val="13"/>
                <w:szCs w:val="13"/>
              </w:rPr>
            </w:pPr>
            <w:r w:rsidRPr="00BB7C9E">
              <w:rPr>
                <w:rFonts w:cs="Calibri"/>
                <w:i/>
                <w:iCs/>
                <w:color w:val="000000" w:themeColor="text1"/>
                <w:sz w:val="13"/>
                <w:szCs w:val="13"/>
              </w:rPr>
              <w:t>96</w:t>
            </w:r>
          </w:p>
        </w:tc>
      </w:tr>
      <w:tr w:rsidR="00CC3FB6" w:rsidRPr="00BB7C9E" w14:paraId="2B6095E9" w14:textId="77777777" w:rsidTr="0079504E">
        <w:trPr>
          <w:trHeight w:val="227"/>
        </w:trPr>
        <w:tc>
          <w:tcPr>
            <w:tcW w:w="8163" w:type="dxa"/>
            <w:tcBorders>
              <w:top w:val="nil"/>
              <w:left w:val="nil"/>
              <w:bottom w:val="single" w:sz="4" w:space="0" w:color="0077BD"/>
              <w:right w:val="single" w:sz="8" w:space="0" w:color="0077BD"/>
            </w:tcBorders>
            <w:shd w:val="clear" w:color="auto" w:fill="auto"/>
            <w:vAlign w:val="center"/>
            <w:hideMark/>
          </w:tcPr>
          <w:p w14:paraId="29438910" w14:textId="014F6E72" w:rsidR="00EA2534" w:rsidRPr="00BB7C9E" w:rsidRDefault="00EA2534" w:rsidP="00251DA0">
            <w:pPr>
              <w:rPr>
                <w:rFonts w:cs="Calibri"/>
                <w:color w:val="000000" w:themeColor="text1"/>
                <w:sz w:val="13"/>
                <w:szCs w:val="13"/>
              </w:rPr>
            </w:pPr>
            <w:r w:rsidRPr="00BB7C9E">
              <w:rPr>
                <w:rFonts w:cs="Calibri"/>
                <w:color w:val="000000" w:themeColor="text1"/>
                <w:sz w:val="13"/>
                <w:szCs w:val="13"/>
              </w:rPr>
              <w:t>Inne zobowiązania</w:t>
            </w:r>
          </w:p>
        </w:tc>
        <w:tc>
          <w:tcPr>
            <w:tcW w:w="1418" w:type="dxa"/>
            <w:tcBorders>
              <w:top w:val="nil"/>
              <w:left w:val="nil"/>
              <w:bottom w:val="single" w:sz="4" w:space="0" w:color="0077BD"/>
              <w:right w:val="nil"/>
            </w:tcBorders>
            <w:shd w:val="clear" w:color="auto" w:fill="auto"/>
            <w:noWrap/>
            <w:vAlign w:val="center"/>
          </w:tcPr>
          <w:p w14:paraId="1EEDFF1C" w14:textId="1EF2A674" w:rsidR="00EA2534" w:rsidRPr="00BB7C9E" w:rsidRDefault="00BC5086" w:rsidP="00251DA0">
            <w:pPr>
              <w:jc w:val="right"/>
              <w:rPr>
                <w:rFonts w:cs="Calibri"/>
                <w:color w:val="000000" w:themeColor="text1"/>
                <w:sz w:val="13"/>
                <w:szCs w:val="13"/>
              </w:rPr>
            </w:pPr>
            <w:r w:rsidRPr="00BB7C9E">
              <w:rPr>
                <w:rFonts w:cs="Calibri"/>
                <w:color w:val="000000" w:themeColor="text1"/>
                <w:sz w:val="13"/>
                <w:szCs w:val="13"/>
              </w:rPr>
              <w:t>1 219</w:t>
            </w:r>
          </w:p>
        </w:tc>
      </w:tr>
      <w:tr w:rsidR="00CC3FB6" w:rsidRPr="00BB7C9E" w14:paraId="3B90B7F9" w14:textId="77777777" w:rsidTr="0079504E">
        <w:trPr>
          <w:trHeight w:val="227"/>
        </w:trPr>
        <w:tc>
          <w:tcPr>
            <w:tcW w:w="8163" w:type="dxa"/>
            <w:tcBorders>
              <w:top w:val="single" w:sz="8" w:space="0" w:color="0077BD"/>
              <w:left w:val="nil"/>
              <w:bottom w:val="single" w:sz="8" w:space="0" w:color="0077BD"/>
              <w:right w:val="single" w:sz="8" w:space="0" w:color="0077BD"/>
            </w:tcBorders>
            <w:shd w:val="clear" w:color="auto" w:fill="auto"/>
            <w:noWrap/>
            <w:vAlign w:val="center"/>
            <w:hideMark/>
          </w:tcPr>
          <w:p w14:paraId="01E00C5D" w14:textId="1F988CA4" w:rsidR="00EA2534" w:rsidRPr="00BB7C9E" w:rsidRDefault="00EA2534" w:rsidP="00251DA0">
            <w:pPr>
              <w:rPr>
                <w:rFonts w:cs="Calibri"/>
                <w:b/>
                <w:bCs/>
                <w:color w:val="000000" w:themeColor="text1"/>
                <w:sz w:val="13"/>
                <w:szCs w:val="13"/>
              </w:rPr>
            </w:pPr>
            <w:r w:rsidRPr="00BB7C9E">
              <w:rPr>
                <w:rFonts w:cs="Calibri"/>
                <w:b/>
                <w:bCs/>
                <w:color w:val="000000" w:themeColor="text1"/>
                <w:sz w:val="13"/>
                <w:szCs w:val="13"/>
              </w:rPr>
              <w:t>ZOBOWIĄZANIA RAZEM</w:t>
            </w:r>
          </w:p>
        </w:tc>
        <w:tc>
          <w:tcPr>
            <w:tcW w:w="1418" w:type="dxa"/>
            <w:tcBorders>
              <w:top w:val="single" w:sz="8" w:space="0" w:color="0077BD"/>
              <w:left w:val="nil"/>
              <w:bottom w:val="single" w:sz="8" w:space="0" w:color="0077BD"/>
              <w:right w:val="nil"/>
            </w:tcBorders>
            <w:shd w:val="clear" w:color="auto" w:fill="auto"/>
            <w:noWrap/>
            <w:vAlign w:val="center"/>
            <w:hideMark/>
          </w:tcPr>
          <w:p w14:paraId="0B46F0CE" w14:textId="2DDE4C7A" w:rsidR="00EA2534" w:rsidRPr="00BB7C9E" w:rsidRDefault="00BC5086" w:rsidP="00251DA0">
            <w:pPr>
              <w:jc w:val="right"/>
              <w:rPr>
                <w:rFonts w:cs="Calibri"/>
                <w:b/>
                <w:bCs/>
                <w:color w:val="000000" w:themeColor="text1"/>
                <w:sz w:val="13"/>
                <w:szCs w:val="13"/>
              </w:rPr>
            </w:pPr>
            <w:r w:rsidRPr="00BB7C9E">
              <w:rPr>
                <w:rFonts w:cs="Calibri"/>
                <w:b/>
                <w:bCs/>
                <w:color w:val="000000" w:themeColor="text1"/>
                <w:sz w:val="13"/>
                <w:szCs w:val="13"/>
              </w:rPr>
              <w:t>1 315</w:t>
            </w:r>
          </w:p>
        </w:tc>
      </w:tr>
    </w:tbl>
    <w:p w14:paraId="500E91D3" w14:textId="77777777" w:rsidR="00251DA0" w:rsidRDefault="00251DA0" w:rsidP="00251DA0"/>
    <w:p w14:paraId="1B03E344" w14:textId="475CD971" w:rsidR="004523D7" w:rsidRDefault="004523D7"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5" w:name="_Toc32999856"/>
      <w:r>
        <w:rPr>
          <w:rFonts w:cs="Tahoma"/>
          <w:bCs w:val="0"/>
          <w:iCs w:val="0"/>
          <w:color w:val="E41E0A"/>
          <w:sz w:val="18"/>
          <w:szCs w:val="18"/>
        </w:rPr>
        <w:t>Wartości niematerialne</w:t>
      </w:r>
      <w:bookmarkEnd w:id="145"/>
    </w:p>
    <w:p w14:paraId="49E68520" w14:textId="6B25A7FB" w:rsidR="004523D7" w:rsidRDefault="004523D7" w:rsidP="005C3EE1">
      <w:pPr>
        <w:jc w:val="both"/>
        <w:rPr>
          <w:noProof/>
        </w:rPr>
      </w:pPr>
    </w:p>
    <w:tbl>
      <w:tblPr>
        <w:tblW w:w="9583" w:type="dxa"/>
        <w:tblLayout w:type="fixed"/>
        <w:tblCellMar>
          <w:left w:w="70" w:type="dxa"/>
          <w:right w:w="70" w:type="dxa"/>
        </w:tblCellMar>
        <w:tblLook w:val="04A0" w:firstRow="1" w:lastRow="0" w:firstColumn="1" w:lastColumn="0" w:noHBand="0" w:noVBand="1"/>
      </w:tblPr>
      <w:tblGrid>
        <w:gridCol w:w="6747"/>
        <w:gridCol w:w="1418"/>
        <w:gridCol w:w="1418"/>
      </w:tblGrid>
      <w:tr w:rsidR="005C3EE1" w:rsidRPr="005C3EE1" w14:paraId="208600F4" w14:textId="77777777" w:rsidTr="000F444D">
        <w:trPr>
          <w:trHeight w:val="284"/>
        </w:trPr>
        <w:tc>
          <w:tcPr>
            <w:tcW w:w="6747" w:type="dxa"/>
            <w:tcBorders>
              <w:top w:val="nil"/>
              <w:left w:val="nil"/>
              <w:bottom w:val="nil"/>
              <w:right w:val="single" w:sz="8" w:space="0" w:color="FFFFFF"/>
            </w:tcBorders>
            <w:shd w:val="clear" w:color="000000" w:fill="0077BD"/>
            <w:noWrap/>
            <w:vAlign w:val="center"/>
            <w:hideMark/>
          </w:tcPr>
          <w:p w14:paraId="2DA94F24" w14:textId="77777777" w:rsidR="005C3EE1" w:rsidRPr="005C3EE1" w:rsidRDefault="005C3EE1" w:rsidP="005C3EE1">
            <w:pPr>
              <w:rPr>
                <w:rFonts w:cs="Calibri"/>
                <w:color w:val="99CCFF"/>
                <w:sz w:val="13"/>
                <w:szCs w:val="13"/>
              </w:rPr>
            </w:pPr>
            <w:r w:rsidRPr="005C3EE1">
              <w:rPr>
                <w:rFonts w:cs="Calibri"/>
                <w:color w:val="99CCFF"/>
                <w:sz w:val="13"/>
                <w:szCs w:val="13"/>
              </w:rPr>
              <w:t> </w:t>
            </w:r>
          </w:p>
        </w:tc>
        <w:tc>
          <w:tcPr>
            <w:tcW w:w="1418" w:type="dxa"/>
            <w:tcBorders>
              <w:top w:val="nil"/>
              <w:left w:val="nil"/>
              <w:bottom w:val="nil"/>
              <w:right w:val="nil"/>
            </w:tcBorders>
            <w:shd w:val="clear" w:color="000000" w:fill="0077BD"/>
            <w:noWrap/>
            <w:vAlign w:val="center"/>
            <w:hideMark/>
          </w:tcPr>
          <w:p w14:paraId="534DDAEA" w14:textId="77777777" w:rsidR="005C3EE1" w:rsidRPr="005C3EE1" w:rsidRDefault="005C3EE1" w:rsidP="005C3EE1">
            <w:pPr>
              <w:jc w:val="right"/>
              <w:rPr>
                <w:rFonts w:cs="Calibri"/>
                <w:b/>
                <w:bCs/>
                <w:color w:val="FFFFFF"/>
                <w:sz w:val="13"/>
                <w:szCs w:val="13"/>
              </w:rPr>
            </w:pPr>
            <w:r w:rsidRPr="005C3EE1">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6CD41DBE" w14:textId="77777777" w:rsidR="005C3EE1" w:rsidRPr="005C3EE1" w:rsidRDefault="005C3EE1" w:rsidP="005C3EE1">
            <w:pPr>
              <w:jc w:val="right"/>
              <w:rPr>
                <w:rFonts w:cs="Calibri"/>
                <w:b/>
                <w:bCs/>
                <w:color w:val="FFFFFF"/>
                <w:sz w:val="13"/>
                <w:szCs w:val="13"/>
              </w:rPr>
            </w:pPr>
            <w:r w:rsidRPr="005C3EE1">
              <w:rPr>
                <w:rFonts w:cs="Calibri"/>
                <w:b/>
                <w:bCs/>
                <w:color w:val="FFFFFF"/>
                <w:sz w:val="13"/>
                <w:szCs w:val="13"/>
              </w:rPr>
              <w:t>31.12.2018</w:t>
            </w:r>
          </w:p>
        </w:tc>
      </w:tr>
      <w:tr w:rsidR="007B14BE" w:rsidRPr="00BB7C9E" w14:paraId="3BC3AA7B" w14:textId="77777777" w:rsidTr="000F444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EF1DA07" w14:textId="77777777" w:rsidR="007B14BE" w:rsidRPr="00BB7C9E" w:rsidRDefault="007B14BE" w:rsidP="007B14BE">
            <w:pPr>
              <w:rPr>
                <w:rFonts w:cs="Calibri"/>
                <w:color w:val="000000" w:themeColor="text1"/>
                <w:sz w:val="13"/>
                <w:szCs w:val="13"/>
              </w:rPr>
            </w:pPr>
            <w:r w:rsidRPr="00BB7C9E">
              <w:rPr>
                <w:rFonts w:cs="Calibri"/>
                <w:color w:val="000000" w:themeColor="text1"/>
                <w:sz w:val="13"/>
                <w:szCs w:val="13"/>
              </w:rPr>
              <w:t>Wartość firmy</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F462318" w14:textId="252D6DD8"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27 760</w:t>
            </w:r>
          </w:p>
        </w:tc>
        <w:tc>
          <w:tcPr>
            <w:tcW w:w="1418" w:type="dxa"/>
            <w:tcBorders>
              <w:top w:val="nil"/>
              <w:left w:val="nil"/>
              <w:bottom w:val="single" w:sz="4" w:space="0" w:color="0077BD"/>
              <w:right w:val="nil"/>
            </w:tcBorders>
            <w:shd w:val="clear" w:color="auto" w:fill="auto"/>
            <w:vAlign w:val="center"/>
            <w:hideMark/>
          </w:tcPr>
          <w:p w14:paraId="40BD5DC8" w14:textId="77777777"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3 532</w:t>
            </w:r>
          </w:p>
        </w:tc>
      </w:tr>
      <w:tr w:rsidR="007B14BE" w:rsidRPr="00BB7C9E" w14:paraId="639E9C2E" w14:textId="77777777" w:rsidTr="000F444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C700EF1" w14:textId="77777777" w:rsidR="007B14BE" w:rsidRPr="00BB7C9E" w:rsidRDefault="007B14BE" w:rsidP="007B14BE">
            <w:pPr>
              <w:rPr>
                <w:rFonts w:cs="Calibri"/>
                <w:color w:val="000000" w:themeColor="text1"/>
                <w:sz w:val="13"/>
                <w:szCs w:val="13"/>
              </w:rPr>
            </w:pPr>
            <w:r w:rsidRPr="00BB7C9E">
              <w:rPr>
                <w:rFonts w:cs="Calibri"/>
                <w:color w:val="000000" w:themeColor="text1"/>
                <w:sz w:val="13"/>
                <w:szCs w:val="13"/>
              </w:rPr>
              <w:t>Patenty, licencje i podobne wartości, w tym:</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51FA20B8" w14:textId="3A3F404F"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696 491</w:t>
            </w:r>
          </w:p>
        </w:tc>
        <w:tc>
          <w:tcPr>
            <w:tcW w:w="1418" w:type="dxa"/>
            <w:tcBorders>
              <w:top w:val="nil"/>
              <w:left w:val="nil"/>
              <w:bottom w:val="single" w:sz="4" w:space="0" w:color="0077BD"/>
              <w:right w:val="nil"/>
            </w:tcBorders>
            <w:shd w:val="clear" w:color="auto" w:fill="auto"/>
            <w:vAlign w:val="center"/>
            <w:hideMark/>
          </w:tcPr>
          <w:p w14:paraId="03C625A3" w14:textId="77777777"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440 636</w:t>
            </w:r>
          </w:p>
        </w:tc>
      </w:tr>
      <w:tr w:rsidR="007B14BE" w:rsidRPr="00BB7C9E" w14:paraId="07FD3EDD" w14:textId="77777777" w:rsidTr="000F444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6DA72DE" w14:textId="77777777" w:rsidR="007B14BE" w:rsidRPr="00BB7C9E" w:rsidRDefault="007B14BE" w:rsidP="007B14BE">
            <w:pPr>
              <w:rPr>
                <w:rFonts w:cs="Calibri"/>
                <w:color w:val="000000" w:themeColor="text1"/>
                <w:sz w:val="13"/>
                <w:szCs w:val="13"/>
              </w:rPr>
            </w:pPr>
            <w:r w:rsidRPr="00BB7C9E">
              <w:rPr>
                <w:rFonts w:cs="Calibri"/>
                <w:color w:val="000000" w:themeColor="text1"/>
                <w:sz w:val="13"/>
                <w:szCs w:val="13"/>
              </w:rPr>
              <w:t>- oprogramowanie komputerowe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1575868B" w14:textId="492306D3"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576 535</w:t>
            </w:r>
          </w:p>
        </w:tc>
        <w:tc>
          <w:tcPr>
            <w:tcW w:w="1418" w:type="dxa"/>
            <w:tcBorders>
              <w:top w:val="nil"/>
              <w:left w:val="nil"/>
              <w:bottom w:val="single" w:sz="4" w:space="0" w:color="0077BD"/>
              <w:right w:val="nil"/>
            </w:tcBorders>
            <w:shd w:val="clear" w:color="auto" w:fill="auto"/>
            <w:vAlign w:val="center"/>
            <w:hideMark/>
          </w:tcPr>
          <w:p w14:paraId="58B73871" w14:textId="77777777"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367 822</w:t>
            </w:r>
          </w:p>
        </w:tc>
      </w:tr>
      <w:tr w:rsidR="007B14BE" w:rsidRPr="00BB7C9E" w14:paraId="48086870" w14:textId="77777777" w:rsidTr="000F444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96168C6" w14:textId="77777777" w:rsidR="007B14BE" w:rsidRPr="00BB7C9E" w:rsidRDefault="007B14BE" w:rsidP="007B14BE">
            <w:pPr>
              <w:rPr>
                <w:rFonts w:cs="Calibri"/>
                <w:color w:val="000000" w:themeColor="text1"/>
                <w:sz w:val="13"/>
                <w:szCs w:val="13"/>
              </w:rPr>
            </w:pPr>
            <w:r w:rsidRPr="00BB7C9E">
              <w:rPr>
                <w:rFonts w:cs="Calibri"/>
                <w:color w:val="000000" w:themeColor="text1"/>
                <w:sz w:val="13"/>
                <w:szCs w:val="13"/>
              </w:rPr>
              <w:t>Inne wartości niematerialne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48FD2828" w14:textId="56A5FA34"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1 199</w:t>
            </w:r>
          </w:p>
        </w:tc>
        <w:tc>
          <w:tcPr>
            <w:tcW w:w="1418" w:type="dxa"/>
            <w:tcBorders>
              <w:top w:val="nil"/>
              <w:left w:val="nil"/>
              <w:bottom w:val="single" w:sz="4" w:space="0" w:color="0077BD"/>
              <w:right w:val="nil"/>
            </w:tcBorders>
            <w:shd w:val="clear" w:color="auto" w:fill="auto"/>
            <w:vAlign w:val="center"/>
            <w:hideMark/>
          </w:tcPr>
          <w:p w14:paraId="32FA5129" w14:textId="77777777"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1 968</w:t>
            </w:r>
          </w:p>
        </w:tc>
      </w:tr>
      <w:tr w:rsidR="007B14BE" w:rsidRPr="00BB7C9E" w14:paraId="2467E2F3" w14:textId="77777777" w:rsidTr="000F444D">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59B62AA" w14:textId="77777777" w:rsidR="007B14BE" w:rsidRPr="00BB7C9E" w:rsidRDefault="007B14BE" w:rsidP="007B14BE">
            <w:pPr>
              <w:rPr>
                <w:rFonts w:cs="Calibri"/>
                <w:color w:val="000000" w:themeColor="text1"/>
                <w:sz w:val="13"/>
                <w:szCs w:val="13"/>
              </w:rPr>
            </w:pPr>
            <w:r w:rsidRPr="00BB7C9E">
              <w:rPr>
                <w:rFonts w:cs="Calibri"/>
                <w:color w:val="000000" w:themeColor="text1"/>
                <w:sz w:val="13"/>
                <w:szCs w:val="13"/>
              </w:rPr>
              <w:t>Wartości niematerialne w toku wytwarzania</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524BC4C" w14:textId="19BB776B"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229 990</w:t>
            </w:r>
          </w:p>
        </w:tc>
        <w:tc>
          <w:tcPr>
            <w:tcW w:w="1418" w:type="dxa"/>
            <w:tcBorders>
              <w:top w:val="nil"/>
              <w:left w:val="nil"/>
              <w:bottom w:val="single" w:sz="4" w:space="0" w:color="0077BD"/>
              <w:right w:val="nil"/>
            </w:tcBorders>
            <w:shd w:val="clear" w:color="auto" w:fill="auto"/>
            <w:vAlign w:val="center"/>
            <w:hideMark/>
          </w:tcPr>
          <w:p w14:paraId="5D586D59" w14:textId="77777777" w:rsidR="007B14BE" w:rsidRPr="00F8669A" w:rsidRDefault="007B14BE" w:rsidP="007B14BE">
            <w:pPr>
              <w:jc w:val="right"/>
              <w:rPr>
                <w:rFonts w:cs="Calibri"/>
                <w:color w:val="000000" w:themeColor="text1"/>
                <w:sz w:val="13"/>
                <w:szCs w:val="13"/>
              </w:rPr>
            </w:pPr>
            <w:r w:rsidRPr="00F8669A">
              <w:rPr>
                <w:rFonts w:cs="Calibri"/>
                <w:color w:val="000000" w:themeColor="text1"/>
                <w:sz w:val="13"/>
                <w:szCs w:val="13"/>
              </w:rPr>
              <w:t>330 039</w:t>
            </w:r>
          </w:p>
        </w:tc>
      </w:tr>
      <w:tr w:rsidR="007B14BE" w:rsidRPr="00BB7C9E" w14:paraId="5EA1A68D" w14:textId="77777777" w:rsidTr="000F444D">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07A422B" w14:textId="77777777" w:rsidR="007B14BE" w:rsidRPr="00BB7C9E" w:rsidRDefault="007B14BE" w:rsidP="007B14BE">
            <w:pPr>
              <w:rPr>
                <w:rFonts w:cs="Calibri"/>
                <w:b/>
                <w:bCs/>
                <w:color w:val="000000" w:themeColor="text1"/>
                <w:sz w:val="13"/>
                <w:szCs w:val="13"/>
              </w:rPr>
            </w:pPr>
            <w:r w:rsidRPr="00BB7C9E">
              <w:rPr>
                <w:rFonts w:cs="Calibri"/>
                <w:b/>
                <w:bCs/>
                <w:color w:val="000000" w:themeColor="text1"/>
                <w:sz w:val="13"/>
                <w:szCs w:val="13"/>
              </w:rPr>
              <w:t>Wartości niematerialne,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D4946CF" w14:textId="1F52426B" w:rsidR="007B14BE" w:rsidRPr="00F8669A" w:rsidRDefault="007B14BE" w:rsidP="007B14BE">
            <w:pPr>
              <w:jc w:val="right"/>
              <w:rPr>
                <w:rFonts w:cs="Calibri"/>
                <w:b/>
                <w:bCs/>
                <w:color w:val="000000" w:themeColor="text1"/>
                <w:sz w:val="13"/>
                <w:szCs w:val="13"/>
              </w:rPr>
            </w:pPr>
            <w:r w:rsidRPr="00F8669A">
              <w:rPr>
                <w:rFonts w:cs="Calibri"/>
                <w:b/>
                <w:bCs/>
                <w:color w:val="000000" w:themeColor="text1"/>
                <w:sz w:val="13"/>
                <w:szCs w:val="13"/>
              </w:rPr>
              <w:t>955 440</w:t>
            </w:r>
          </w:p>
        </w:tc>
        <w:tc>
          <w:tcPr>
            <w:tcW w:w="1418" w:type="dxa"/>
            <w:tcBorders>
              <w:top w:val="single" w:sz="8" w:space="0" w:color="0077BD"/>
              <w:left w:val="nil"/>
              <w:bottom w:val="single" w:sz="8" w:space="0" w:color="0077BD"/>
              <w:right w:val="nil"/>
            </w:tcBorders>
            <w:shd w:val="clear" w:color="auto" w:fill="auto"/>
            <w:noWrap/>
            <w:vAlign w:val="center"/>
            <w:hideMark/>
          </w:tcPr>
          <w:p w14:paraId="6F2E4F35" w14:textId="77777777" w:rsidR="007B14BE" w:rsidRPr="00F8669A" w:rsidRDefault="007B14BE" w:rsidP="007B14BE">
            <w:pPr>
              <w:jc w:val="right"/>
              <w:rPr>
                <w:rFonts w:cs="Calibri"/>
                <w:b/>
                <w:bCs/>
                <w:color w:val="000000" w:themeColor="text1"/>
                <w:sz w:val="13"/>
                <w:szCs w:val="13"/>
              </w:rPr>
            </w:pPr>
            <w:r w:rsidRPr="00F8669A">
              <w:rPr>
                <w:rFonts w:cs="Calibri"/>
                <w:b/>
                <w:bCs/>
                <w:color w:val="000000" w:themeColor="text1"/>
                <w:sz w:val="13"/>
                <w:szCs w:val="13"/>
              </w:rPr>
              <w:t>776 175</w:t>
            </w:r>
          </w:p>
        </w:tc>
      </w:tr>
    </w:tbl>
    <w:p w14:paraId="2B8DEDC6" w14:textId="22013BA8" w:rsidR="00C714D7" w:rsidRDefault="005C3EE1" w:rsidP="00C7641F">
      <w:pPr>
        <w:spacing w:before="120"/>
        <w:jc w:val="both"/>
        <w:rPr>
          <w:color w:val="000000" w:themeColor="text1"/>
          <w:sz w:val="18"/>
          <w:szCs w:val="18"/>
        </w:rPr>
      </w:pPr>
      <w:r w:rsidRPr="00BB7C9E">
        <w:rPr>
          <w:color w:val="000000" w:themeColor="text1"/>
          <w:sz w:val="18"/>
          <w:szCs w:val="18"/>
        </w:rPr>
        <w:t>W 2019</w:t>
      </w:r>
      <w:r w:rsidR="00172CC3" w:rsidRPr="00BB7C9E">
        <w:rPr>
          <w:color w:val="000000" w:themeColor="text1"/>
          <w:sz w:val="18"/>
          <w:szCs w:val="18"/>
        </w:rPr>
        <w:t xml:space="preserve"> roku i w</w:t>
      </w:r>
      <w:r w:rsidR="00C714D7" w:rsidRPr="00BB7C9E">
        <w:rPr>
          <w:color w:val="000000" w:themeColor="text1"/>
          <w:sz w:val="18"/>
          <w:szCs w:val="18"/>
        </w:rPr>
        <w:t xml:space="preserve"> 201</w:t>
      </w:r>
      <w:r w:rsidRPr="00BB7C9E">
        <w:rPr>
          <w:color w:val="000000" w:themeColor="text1"/>
          <w:sz w:val="18"/>
          <w:szCs w:val="18"/>
        </w:rPr>
        <w:t>8</w:t>
      </w:r>
      <w:r w:rsidR="00C714D7" w:rsidRPr="00BB7C9E">
        <w:rPr>
          <w:color w:val="000000" w:themeColor="text1"/>
          <w:sz w:val="18"/>
          <w:szCs w:val="18"/>
        </w:rPr>
        <w:t xml:space="preserve"> roku Grupa wykonała testy na utratę wartości wartości niematerialnych w toku wytworzenia oraz wartości firmy.</w:t>
      </w:r>
      <w:r w:rsidR="0061180C" w:rsidRPr="00BB7C9E">
        <w:rPr>
          <w:color w:val="000000" w:themeColor="text1"/>
          <w:sz w:val="18"/>
          <w:szCs w:val="18"/>
        </w:rPr>
        <w:t xml:space="preserve"> </w:t>
      </w:r>
      <w:r w:rsidR="00995E1C" w:rsidRPr="00BB7C9E">
        <w:rPr>
          <w:color w:val="000000" w:themeColor="text1"/>
          <w:sz w:val="18"/>
          <w:szCs w:val="18"/>
        </w:rPr>
        <w:t>W wyniku testów nie stwierdzono utraty wartości.</w:t>
      </w:r>
    </w:p>
    <w:p w14:paraId="245A7306" w14:textId="43A560C9" w:rsidR="00A35EB2" w:rsidRDefault="00A35EB2" w:rsidP="00C7641F">
      <w:pPr>
        <w:spacing w:before="120"/>
        <w:jc w:val="both"/>
        <w:rPr>
          <w:color w:val="000000" w:themeColor="text1"/>
          <w:sz w:val="18"/>
          <w:szCs w:val="18"/>
        </w:rPr>
      </w:pPr>
      <w:r>
        <w:rPr>
          <w:color w:val="000000" w:themeColor="text1"/>
          <w:sz w:val="18"/>
          <w:szCs w:val="18"/>
        </w:rPr>
        <w:t>W 2019 roku wzrost wartości firmy wynika z nabycia spółki LeaseLink Sp. z o.o., co zostało opisane w Nocie 43.</w:t>
      </w:r>
    </w:p>
    <w:p w14:paraId="025307EB" w14:textId="146251D7" w:rsidR="00251DA0" w:rsidRDefault="00251DA0">
      <w:pPr>
        <w:rPr>
          <w:color w:val="000000" w:themeColor="text1"/>
          <w:sz w:val="18"/>
          <w:szCs w:val="18"/>
        </w:rPr>
      </w:pPr>
      <w:r>
        <w:rPr>
          <w:color w:val="000000" w:themeColor="text1"/>
          <w:sz w:val="18"/>
          <w:szCs w:val="18"/>
        </w:rPr>
        <w:br w:type="page"/>
      </w:r>
    </w:p>
    <w:p w14:paraId="7EE793E7" w14:textId="4BAC4EE5" w:rsidR="0035524B" w:rsidRPr="0020322E" w:rsidRDefault="0035524B" w:rsidP="00CD2C12">
      <w:pPr>
        <w:spacing w:before="120"/>
        <w:jc w:val="both"/>
        <w:rPr>
          <w:rFonts w:cs="Tahoma"/>
          <w:b/>
          <w:sz w:val="18"/>
          <w:szCs w:val="18"/>
        </w:rPr>
      </w:pPr>
      <w:r w:rsidRPr="0020322E">
        <w:rPr>
          <w:rFonts w:cs="Tahoma"/>
          <w:b/>
          <w:sz w:val="18"/>
          <w:szCs w:val="18"/>
        </w:rPr>
        <w:lastRenderedPageBreak/>
        <w:t>Zmiana stanu wartości niematerialnych</w:t>
      </w:r>
    </w:p>
    <w:p w14:paraId="6DA1C010" w14:textId="363785C8" w:rsidR="00B8630A" w:rsidRDefault="00B8630A" w:rsidP="00C25EDA">
      <w:pPr>
        <w:jc w:val="both"/>
        <w:rPr>
          <w:rFonts w:cs="Tahoma"/>
          <w:b/>
          <w:sz w:val="18"/>
          <w:szCs w:val="18"/>
        </w:rPr>
      </w:pPr>
    </w:p>
    <w:tbl>
      <w:tblPr>
        <w:tblW w:w="0" w:type="auto"/>
        <w:tblCellMar>
          <w:left w:w="28" w:type="dxa"/>
          <w:right w:w="28" w:type="dxa"/>
        </w:tblCellMar>
        <w:tblLook w:val="04A0" w:firstRow="1" w:lastRow="0" w:firstColumn="1" w:lastColumn="0" w:noHBand="0" w:noVBand="1"/>
      </w:tblPr>
      <w:tblGrid>
        <w:gridCol w:w="1754"/>
        <w:gridCol w:w="1116"/>
        <w:gridCol w:w="1099"/>
        <w:gridCol w:w="1134"/>
        <w:gridCol w:w="1134"/>
        <w:gridCol w:w="1134"/>
        <w:gridCol w:w="1134"/>
        <w:gridCol w:w="1076"/>
      </w:tblGrid>
      <w:tr w:rsidR="00C25EDA" w:rsidRPr="00C25EDA" w14:paraId="50B5F43D" w14:textId="77777777" w:rsidTr="00910A6A">
        <w:trPr>
          <w:trHeight w:val="340"/>
        </w:trPr>
        <w:tc>
          <w:tcPr>
            <w:tcW w:w="0" w:type="auto"/>
            <w:vMerge w:val="restart"/>
            <w:tcBorders>
              <w:top w:val="single" w:sz="8" w:space="0" w:color="FFFFFF"/>
              <w:left w:val="nil"/>
              <w:bottom w:val="nil"/>
              <w:right w:val="single" w:sz="8" w:space="0" w:color="FFFFFF"/>
            </w:tcBorders>
            <w:shd w:val="clear" w:color="000000" w:fill="0077BD"/>
            <w:vAlign w:val="center"/>
            <w:hideMark/>
          </w:tcPr>
          <w:p w14:paraId="4749F653" w14:textId="151AB9D6" w:rsidR="00C25EDA" w:rsidRPr="00C25EDA" w:rsidRDefault="00C25EDA" w:rsidP="00C25EDA">
            <w:pPr>
              <w:rPr>
                <w:rFonts w:cs="Calibri"/>
                <w:b/>
                <w:bCs/>
                <w:color w:val="FFFFFF"/>
                <w:sz w:val="11"/>
                <w:szCs w:val="11"/>
              </w:rPr>
            </w:pPr>
            <w:r w:rsidRPr="00C25EDA">
              <w:rPr>
                <w:rFonts w:cs="Calibri"/>
                <w:b/>
                <w:bCs/>
                <w:color w:val="FFFFFF"/>
                <w:sz w:val="11"/>
                <w:szCs w:val="11"/>
              </w:rPr>
              <w:t>Zmiana stanu w okresie</w:t>
            </w:r>
            <w:r>
              <w:rPr>
                <w:rFonts w:cs="Calibri"/>
                <w:b/>
                <w:bCs/>
                <w:color w:val="FFFFFF"/>
                <w:sz w:val="11"/>
                <w:szCs w:val="11"/>
              </w:rPr>
              <w:br/>
            </w:r>
            <w:r w:rsidRPr="00C25EDA">
              <w:rPr>
                <w:rFonts w:cs="Calibri"/>
                <w:b/>
                <w:bCs/>
                <w:color w:val="FFFFFF"/>
                <w:sz w:val="11"/>
                <w:szCs w:val="11"/>
              </w:rPr>
              <w:t xml:space="preserve"> od 1 stycznia </w:t>
            </w:r>
            <w:r>
              <w:rPr>
                <w:rFonts w:cs="Calibri"/>
                <w:b/>
                <w:bCs/>
                <w:color w:val="FFFFFF"/>
                <w:sz w:val="11"/>
                <w:szCs w:val="11"/>
              </w:rPr>
              <w:br/>
            </w:r>
            <w:r w:rsidRPr="00C25EDA">
              <w:rPr>
                <w:rFonts w:cs="Calibri"/>
                <w:b/>
                <w:bCs/>
                <w:color w:val="FFFFFF"/>
                <w:sz w:val="11"/>
                <w:szCs w:val="11"/>
              </w:rPr>
              <w:t xml:space="preserve">do 31 </w:t>
            </w:r>
            <w:r>
              <w:rPr>
                <w:rFonts w:cs="Calibri"/>
                <w:b/>
                <w:bCs/>
                <w:color w:val="FFFFFF"/>
                <w:sz w:val="11"/>
                <w:szCs w:val="11"/>
              </w:rPr>
              <w:t>grudnia 2019</w:t>
            </w:r>
            <w:r w:rsidR="00EC0295">
              <w:rPr>
                <w:rFonts w:cs="Calibri"/>
                <w:b/>
                <w:bCs/>
                <w:color w:val="FFFFFF"/>
                <w:sz w:val="11"/>
                <w:szCs w:val="11"/>
              </w:rPr>
              <w:t xml:space="preserve"> r.</w:t>
            </w:r>
          </w:p>
        </w:tc>
        <w:tc>
          <w:tcPr>
            <w:tcW w:w="1116"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7B7BAE35"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Koszty zakończonych prac rozwojowych</w:t>
            </w:r>
          </w:p>
        </w:tc>
        <w:tc>
          <w:tcPr>
            <w:tcW w:w="2233" w:type="dxa"/>
            <w:gridSpan w:val="2"/>
            <w:tcBorders>
              <w:top w:val="single" w:sz="8" w:space="0" w:color="FFFFFF"/>
              <w:left w:val="nil"/>
              <w:bottom w:val="single" w:sz="6" w:space="0" w:color="FFFFFF"/>
              <w:right w:val="single" w:sz="8" w:space="0" w:color="FFFFFF"/>
            </w:tcBorders>
            <w:shd w:val="clear" w:color="000000" w:fill="0077BD"/>
            <w:vAlign w:val="center"/>
            <w:hideMark/>
          </w:tcPr>
          <w:p w14:paraId="52D72236"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Patenty, licencje i podobne wartości</w:t>
            </w:r>
          </w:p>
        </w:tc>
        <w:tc>
          <w:tcPr>
            <w:tcW w:w="1134"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22484E4E"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Inne wartości</w:t>
            </w:r>
            <w:r w:rsidRPr="00C25EDA">
              <w:rPr>
                <w:rFonts w:cs="Calibri"/>
                <w:b/>
                <w:bCs/>
                <w:color w:val="FFFFFF"/>
                <w:sz w:val="11"/>
                <w:szCs w:val="11"/>
              </w:rPr>
              <w:br/>
              <w:t>niematerialne</w:t>
            </w:r>
          </w:p>
        </w:tc>
        <w:tc>
          <w:tcPr>
            <w:tcW w:w="1134"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4AF0D443"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Wartości niematerialne w toku wytwarzania</w:t>
            </w:r>
          </w:p>
        </w:tc>
        <w:tc>
          <w:tcPr>
            <w:tcW w:w="1134" w:type="dxa"/>
            <w:vMerge w:val="restart"/>
            <w:tcBorders>
              <w:top w:val="single" w:sz="8" w:space="0" w:color="FFFFFF"/>
              <w:left w:val="single" w:sz="8" w:space="0" w:color="FFFFFF"/>
              <w:bottom w:val="nil"/>
              <w:right w:val="single" w:sz="4" w:space="0" w:color="FFFFFF"/>
            </w:tcBorders>
            <w:shd w:val="clear" w:color="000000" w:fill="0077BD"/>
            <w:vAlign w:val="center"/>
            <w:hideMark/>
          </w:tcPr>
          <w:p w14:paraId="140BE496"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Wartość firmy</w:t>
            </w:r>
          </w:p>
        </w:tc>
        <w:tc>
          <w:tcPr>
            <w:tcW w:w="1076" w:type="dxa"/>
            <w:vMerge w:val="restart"/>
            <w:tcBorders>
              <w:top w:val="single" w:sz="8" w:space="0" w:color="FFFFFF"/>
              <w:left w:val="single" w:sz="8" w:space="0" w:color="FFFFFF"/>
              <w:bottom w:val="nil"/>
              <w:right w:val="nil"/>
            </w:tcBorders>
            <w:shd w:val="clear" w:color="000000" w:fill="0077BD"/>
            <w:vAlign w:val="center"/>
            <w:hideMark/>
          </w:tcPr>
          <w:p w14:paraId="274D0498"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Wartości</w:t>
            </w:r>
            <w:r w:rsidRPr="00C25EDA">
              <w:rPr>
                <w:rFonts w:cs="Calibri"/>
                <w:b/>
                <w:bCs/>
                <w:color w:val="FFFFFF"/>
                <w:sz w:val="11"/>
                <w:szCs w:val="11"/>
              </w:rPr>
              <w:br/>
              <w:t>niematerialne</w:t>
            </w:r>
            <w:r w:rsidRPr="00C25EDA">
              <w:rPr>
                <w:rFonts w:cs="Calibri"/>
                <w:b/>
                <w:bCs/>
                <w:color w:val="FFFFFF"/>
                <w:sz w:val="11"/>
                <w:szCs w:val="11"/>
              </w:rPr>
              <w:br/>
              <w:t>razem</w:t>
            </w:r>
          </w:p>
        </w:tc>
      </w:tr>
      <w:tr w:rsidR="00C25EDA" w:rsidRPr="00C25EDA" w14:paraId="6B79CCE2" w14:textId="77777777" w:rsidTr="00910A6A">
        <w:trPr>
          <w:trHeight w:val="340"/>
        </w:trPr>
        <w:tc>
          <w:tcPr>
            <w:tcW w:w="0" w:type="auto"/>
            <w:vMerge/>
            <w:tcBorders>
              <w:top w:val="single" w:sz="8" w:space="0" w:color="FFFFFF"/>
              <w:left w:val="nil"/>
              <w:bottom w:val="nil"/>
              <w:right w:val="single" w:sz="8" w:space="0" w:color="FFFFFF"/>
            </w:tcBorders>
            <w:vAlign w:val="center"/>
            <w:hideMark/>
          </w:tcPr>
          <w:p w14:paraId="6F67AAC3" w14:textId="77777777" w:rsidR="00C25EDA" w:rsidRPr="00C25EDA" w:rsidRDefault="00C25EDA" w:rsidP="00311CF2">
            <w:pPr>
              <w:rPr>
                <w:rFonts w:cs="Calibri"/>
                <w:b/>
                <w:bCs/>
                <w:color w:val="FFFFFF"/>
                <w:sz w:val="11"/>
                <w:szCs w:val="11"/>
              </w:rPr>
            </w:pPr>
          </w:p>
        </w:tc>
        <w:tc>
          <w:tcPr>
            <w:tcW w:w="1116" w:type="dxa"/>
            <w:vMerge/>
            <w:tcBorders>
              <w:top w:val="single" w:sz="8" w:space="0" w:color="FFFFFF"/>
              <w:left w:val="single" w:sz="8" w:space="0" w:color="FFFFFF"/>
              <w:bottom w:val="nil"/>
              <w:right w:val="single" w:sz="8" w:space="0" w:color="FFFFFF"/>
            </w:tcBorders>
            <w:vAlign w:val="center"/>
            <w:hideMark/>
          </w:tcPr>
          <w:p w14:paraId="770EFC8A" w14:textId="77777777" w:rsidR="00C25EDA" w:rsidRPr="00C25EDA" w:rsidRDefault="00C25EDA" w:rsidP="00311CF2">
            <w:pPr>
              <w:rPr>
                <w:rFonts w:cs="Calibri"/>
                <w:b/>
                <w:bCs/>
                <w:color w:val="FFFFFF"/>
                <w:sz w:val="11"/>
                <w:szCs w:val="11"/>
              </w:rPr>
            </w:pPr>
          </w:p>
        </w:tc>
        <w:tc>
          <w:tcPr>
            <w:tcW w:w="1099" w:type="dxa"/>
            <w:tcBorders>
              <w:top w:val="single" w:sz="6" w:space="0" w:color="FFFFFF"/>
              <w:left w:val="nil"/>
              <w:bottom w:val="nil"/>
              <w:right w:val="single" w:sz="8" w:space="0" w:color="FFFFFF"/>
            </w:tcBorders>
            <w:shd w:val="clear" w:color="000000" w:fill="0077BD"/>
            <w:vAlign w:val="center"/>
            <w:hideMark/>
          </w:tcPr>
          <w:p w14:paraId="14FB2429" w14:textId="6AE20707" w:rsidR="00C25EDA" w:rsidRPr="00C25EDA" w:rsidRDefault="00C25EDA" w:rsidP="00311CF2">
            <w:pPr>
              <w:jc w:val="center"/>
              <w:rPr>
                <w:rFonts w:cs="Calibri"/>
                <w:b/>
                <w:bCs/>
                <w:color w:val="FFFFFF"/>
                <w:sz w:val="11"/>
                <w:szCs w:val="11"/>
              </w:rPr>
            </w:pPr>
          </w:p>
        </w:tc>
        <w:tc>
          <w:tcPr>
            <w:tcW w:w="1134" w:type="dxa"/>
            <w:tcBorders>
              <w:top w:val="single" w:sz="6" w:space="0" w:color="FFFFFF"/>
              <w:left w:val="nil"/>
              <w:bottom w:val="nil"/>
              <w:right w:val="single" w:sz="8" w:space="0" w:color="FFFFFF"/>
            </w:tcBorders>
            <w:shd w:val="clear" w:color="000000" w:fill="0077BD"/>
            <w:vAlign w:val="center"/>
            <w:hideMark/>
          </w:tcPr>
          <w:p w14:paraId="01A6ED46" w14:textId="77777777" w:rsidR="00C25EDA" w:rsidRPr="006B7E16" w:rsidRDefault="00C25EDA" w:rsidP="00CC3FB6">
            <w:pPr>
              <w:jc w:val="right"/>
              <w:rPr>
                <w:rFonts w:cs="Calibri"/>
                <w:bCs/>
                <w:color w:val="FFFFFF"/>
                <w:sz w:val="11"/>
                <w:szCs w:val="11"/>
              </w:rPr>
            </w:pPr>
            <w:r w:rsidRPr="006B7E16">
              <w:rPr>
                <w:rFonts w:cs="Calibri"/>
                <w:bCs/>
                <w:color w:val="FFFFFF"/>
                <w:sz w:val="11"/>
                <w:szCs w:val="11"/>
              </w:rPr>
              <w:t>Oprogramowanie komputerowe</w:t>
            </w:r>
          </w:p>
        </w:tc>
        <w:tc>
          <w:tcPr>
            <w:tcW w:w="1134" w:type="dxa"/>
            <w:vMerge/>
            <w:tcBorders>
              <w:top w:val="single" w:sz="8" w:space="0" w:color="FFFFFF"/>
              <w:left w:val="single" w:sz="8" w:space="0" w:color="FFFFFF"/>
              <w:bottom w:val="nil"/>
              <w:right w:val="single" w:sz="8" w:space="0" w:color="FFFFFF"/>
            </w:tcBorders>
            <w:vAlign w:val="center"/>
            <w:hideMark/>
          </w:tcPr>
          <w:p w14:paraId="7BE948A1" w14:textId="77777777" w:rsidR="00C25EDA" w:rsidRPr="00C25EDA" w:rsidRDefault="00C25EDA" w:rsidP="00311CF2">
            <w:pPr>
              <w:rPr>
                <w:rFonts w:cs="Calibri"/>
                <w:b/>
                <w:bCs/>
                <w:color w:val="FFFFFF"/>
                <w:sz w:val="11"/>
                <w:szCs w:val="11"/>
              </w:rPr>
            </w:pPr>
          </w:p>
        </w:tc>
        <w:tc>
          <w:tcPr>
            <w:tcW w:w="1134" w:type="dxa"/>
            <w:vMerge/>
            <w:tcBorders>
              <w:top w:val="single" w:sz="8" w:space="0" w:color="FFFFFF"/>
              <w:left w:val="single" w:sz="8" w:space="0" w:color="FFFFFF"/>
              <w:bottom w:val="nil"/>
              <w:right w:val="single" w:sz="8" w:space="0" w:color="FFFFFF"/>
            </w:tcBorders>
            <w:vAlign w:val="center"/>
            <w:hideMark/>
          </w:tcPr>
          <w:p w14:paraId="3F943D27" w14:textId="77777777" w:rsidR="00C25EDA" w:rsidRPr="00C25EDA" w:rsidRDefault="00C25EDA" w:rsidP="00311CF2">
            <w:pPr>
              <w:rPr>
                <w:rFonts w:cs="Calibri"/>
                <w:b/>
                <w:bCs/>
                <w:color w:val="FFFFFF"/>
                <w:sz w:val="11"/>
                <w:szCs w:val="11"/>
              </w:rPr>
            </w:pPr>
          </w:p>
        </w:tc>
        <w:tc>
          <w:tcPr>
            <w:tcW w:w="1134" w:type="dxa"/>
            <w:vMerge/>
            <w:tcBorders>
              <w:top w:val="single" w:sz="8" w:space="0" w:color="FFFFFF"/>
              <w:left w:val="single" w:sz="8" w:space="0" w:color="FFFFFF"/>
              <w:bottom w:val="nil"/>
              <w:right w:val="single" w:sz="4" w:space="0" w:color="FFFFFF"/>
            </w:tcBorders>
            <w:vAlign w:val="center"/>
            <w:hideMark/>
          </w:tcPr>
          <w:p w14:paraId="34FADF81" w14:textId="77777777" w:rsidR="00C25EDA" w:rsidRPr="00C25EDA" w:rsidRDefault="00C25EDA" w:rsidP="00311CF2">
            <w:pPr>
              <w:rPr>
                <w:rFonts w:cs="Calibri"/>
                <w:b/>
                <w:bCs/>
                <w:color w:val="FFFFFF"/>
                <w:sz w:val="11"/>
                <w:szCs w:val="11"/>
              </w:rPr>
            </w:pPr>
          </w:p>
        </w:tc>
        <w:tc>
          <w:tcPr>
            <w:tcW w:w="1076" w:type="dxa"/>
            <w:vMerge/>
            <w:tcBorders>
              <w:top w:val="single" w:sz="8" w:space="0" w:color="FFFFFF"/>
              <w:left w:val="single" w:sz="8" w:space="0" w:color="FFFFFF"/>
              <w:bottom w:val="nil"/>
              <w:right w:val="nil"/>
            </w:tcBorders>
            <w:vAlign w:val="center"/>
            <w:hideMark/>
          </w:tcPr>
          <w:p w14:paraId="175D25A4" w14:textId="77777777" w:rsidR="00C25EDA" w:rsidRPr="00C25EDA" w:rsidRDefault="00C25EDA" w:rsidP="00311CF2">
            <w:pPr>
              <w:rPr>
                <w:rFonts w:cs="Calibri"/>
                <w:b/>
                <w:bCs/>
                <w:color w:val="FFFFFF"/>
                <w:sz w:val="11"/>
                <w:szCs w:val="11"/>
              </w:rPr>
            </w:pPr>
          </w:p>
        </w:tc>
      </w:tr>
      <w:tr w:rsidR="004012BB" w:rsidRPr="00BB7C9E" w14:paraId="070CECDD" w14:textId="77777777" w:rsidTr="004012BB">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3AB5DECE" w14:textId="45A6E750" w:rsidR="004012BB" w:rsidRPr="000D14B9" w:rsidRDefault="004012BB" w:rsidP="004012BB">
            <w:pPr>
              <w:rPr>
                <w:rFonts w:cs="Calibri"/>
                <w:b/>
                <w:bCs/>
                <w:color w:val="000000" w:themeColor="text1"/>
                <w:sz w:val="11"/>
                <w:szCs w:val="11"/>
              </w:rPr>
            </w:pPr>
            <w:r w:rsidRPr="000D14B9">
              <w:rPr>
                <w:rFonts w:cs="Calibri"/>
                <w:b/>
                <w:bCs/>
                <w:color w:val="000000" w:themeColor="text1"/>
                <w:sz w:val="11"/>
                <w:szCs w:val="11"/>
              </w:rPr>
              <w:t>Wartość brutto wartości niematerialnych na początek okresu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6E316378" w14:textId="412749E8"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39</w:t>
            </w:r>
          </w:p>
        </w:tc>
        <w:tc>
          <w:tcPr>
            <w:tcW w:w="1099" w:type="dxa"/>
            <w:tcBorders>
              <w:top w:val="nil"/>
              <w:left w:val="nil"/>
              <w:bottom w:val="single" w:sz="8" w:space="0" w:color="0077BD"/>
              <w:right w:val="single" w:sz="8" w:space="0" w:color="0077BD"/>
            </w:tcBorders>
            <w:shd w:val="clear" w:color="auto" w:fill="auto"/>
            <w:noWrap/>
            <w:vAlign w:val="center"/>
          </w:tcPr>
          <w:p w14:paraId="77C1DC3D" w14:textId="1B4B115D"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1 329 439</w:t>
            </w:r>
          </w:p>
        </w:tc>
        <w:tc>
          <w:tcPr>
            <w:tcW w:w="1134" w:type="dxa"/>
            <w:tcBorders>
              <w:top w:val="nil"/>
              <w:left w:val="nil"/>
              <w:bottom w:val="single" w:sz="8" w:space="0" w:color="0077BD"/>
              <w:right w:val="single" w:sz="8" w:space="0" w:color="0077BD"/>
            </w:tcBorders>
            <w:shd w:val="clear" w:color="auto" w:fill="auto"/>
            <w:noWrap/>
            <w:vAlign w:val="center"/>
          </w:tcPr>
          <w:p w14:paraId="632B14DB" w14:textId="29E5EC96"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1 018 641</w:t>
            </w:r>
          </w:p>
        </w:tc>
        <w:tc>
          <w:tcPr>
            <w:tcW w:w="1134" w:type="dxa"/>
            <w:tcBorders>
              <w:top w:val="nil"/>
              <w:left w:val="nil"/>
              <w:bottom w:val="single" w:sz="8" w:space="0" w:color="0077BD"/>
              <w:right w:val="single" w:sz="8" w:space="0" w:color="0077BD"/>
            </w:tcBorders>
            <w:shd w:val="clear" w:color="auto" w:fill="auto"/>
            <w:noWrap/>
            <w:vAlign w:val="center"/>
          </w:tcPr>
          <w:p w14:paraId="06CC09C7" w14:textId="74B1FB20"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20 435</w:t>
            </w:r>
          </w:p>
        </w:tc>
        <w:tc>
          <w:tcPr>
            <w:tcW w:w="1134" w:type="dxa"/>
            <w:tcBorders>
              <w:top w:val="nil"/>
              <w:left w:val="nil"/>
              <w:bottom w:val="single" w:sz="8" w:space="0" w:color="0077BD"/>
              <w:right w:val="single" w:sz="8" w:space="0" w:color="0077BD"/>
            </w:tcBorders>
            <w:shd w:val="clear" w:color="auto" w:fill="auto"/>
            <w:noWrap/>
            <w:vAlign w:val="center"/>
          </w:tcPr>
          <w:p w14:paraId="5C9FC034" w14:textId="6AFBE326"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330 039</w:t>
            </w:r>
          </w:p>
        </w:tc>
        <w:tc>
          <w:tcPr>
            <w:tcW w:w="1134" w:type="dxa"/>
            <w:tcBorders>
              <w:top w:val="nil"/>
              <w:left w:val="nil"/>
              <w:bottom w:val="single" w:sz="8" w:space="0" w:color="0077BD"/>
              <w:right w:val="single" w:sz="8" w:space="0" w:color="0077BD"/>
            </w:tcBorders>
            <w:shd w:val="clear" w:color="auto" w:fill="auto"/>
            <w:noWrap/>
            <w:vAlign w:val="center"/>
          </w:tcPr>
          <w:p w14:paraId="779D6B78" w14:textId="5C4611A1"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4 728</w:t>
            </w:r>
          </w:p>
        </w:tc>
        <w:tc>
          <w:tcPr>
            <w:tcW w:w="1076" w:type="dxa"/>
            <w:tcBorders>
              <w:top w:val="nil"/>
              <w:left w:val="nil"/>
              <w:bottom w:val="single" w:sz="8" w:space="0" w:color="0077BD"/>
              <w:right w:val="nil"/>
            </w:tcBorders>
            <w:shd w:val="clear" w:color="auto" w:fill="auto"/>
            <w:noWrap/>
            <w:vAlign w:val="center"/>
          </w:tcPr>
          <w:p w14:paraId="6D30DFF7" w14:textId="071F2BD4"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1 684 680</w:t>
            </w:r>
          </w:p>
        </w:tc>
      </w:tr>
      <w:tr w:rsidR="00DF73FD" w:rsidRPr="00BB7C9E" w14:paraId="225D3C87" w14:textId="77777777" w:rsidTr="00252982">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15E77D94" w14:textId="6FC26AD1" w:rsidR="00DF73FD" w:rsidRPr="000D14B9" w:rsidRDefault="00DF73FD" w:rsidP="00DF73FD">
            <w:pPr>
              <w:rPr>
                <w:rFonts w:cs="Calibri"/>
                <w:b/>
                <w:bCs/>
                <w:color w:val="000000" w:themeColor="text1"/>
                <w:sz w:val="11"/>
                <w:szCs w:val="11"/>
              </w:rPr>
            </w:pPr>
            <w:r w:rsidRPr="000D14B9">
              <w:rPr>
                <w:rFonts w:cs="Calibri"/>
                <w:b/>
                <w:bCs/>
                <w:color w:val="000000" w:themeColor="text1"/>
                <w:sz w:val="11"/>
                <w:szCs w:val="11"/>
              </w:rPr>
              <w:t>Zwiększenia z tytułu:</w:t>
            </w:r>
          </w:p>
        </w:tc>
        <w:tc>
          <w:tcPr>
            <w:tcW w:w="1116"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CC95F72" w14:textId="154F168A"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045F799A" w14:textId="53A487E3"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384 255</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5DC8ACAF" w14:textId="50C8FA85"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288 857</w:t>
            </w:r>
          </w:p>
        </w:tc>
        <w:tc>
          <w:tcPr>
            <w:tcW w:w="113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695A810" w14:textId="2D0B071D"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3 172</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665D5CA1" w14:textId="34D40900"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285 886</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26B77F35" w14:textId="13A6AA59"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24 228</w:t>
            </w:r>
          </w:p>
        </w:tc>
        <w:tc>
          <w:tcPr>
            <w:tcW w:w="1076" w:type="dxa"/>
            <w:tcBorders>
              <w:top w:val="single" w:sz="8" w:space="0" w:color="0077BD"/>
              <w:left w:val="nil"/>
              <w:bottom w:val="single" w:sz="8" w:space="0" w:color="0077BD"/>
              <w:right w:val="nil"/>
            </w:tcBorders>
            <w:shd w:val="clear" w:color="auto" w:fill="auto"/>
            <w:noWrap/>
            <w:vAlign w:val="center"/>
          </w:tcPr>
          <w:p w14:paraId="6897CB40" w14:textId="2311F651"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697 541</w:t>
            </w:r>
          </w:p>
        </w:tc>
      </w:tr>
      <w:tr w:rsidR="00DF73FD" w:rsidRPr="00BB7C9E" w14:paraId="0F6B11E3" w14:textId="77777777" w:rsidTr="00252982">
        <w:trPr>
          <w:trHeight w:val="255"/>
        </w:trPr>
        <w:tc>
          <w:tcPr>
            <w:tcW w:w="0" w:type="auto"/>
            <w:tcBorders>
              <w:top w:val="nil"/>
              <w:left w:val="nil"/>
              <w:bottom w:val="nil"/>
              <w:right w:val="single" w:sz="8" w:space="0" w:color="0077BD"/>
            </w:tcBorders>
            <w:shd w:val="clear" w:color="auto" w:fill="auto"/>
            <w:vAlign w:val="center"/>
            <w:hideMark/>
          </w:tcPr>
          <w:p w14:paraId="6DE7DE8F" w14:textId="77777777" w:rsidR="00DF73FD" w:rsidRPr="000D14B9" w:rsidRDefault="00DF73FD" w:rsidP="00DF73FD">
            <w:pPr>
              <w:rPr>
                <w:rFonts w:cs="Calibri"/>
                <w:color w:val="000000" w:themeColor="text1"/>
                <w:sz w:val="11"/>
                <w:szCs w:val="11"/>
              </w:rPr>
            </w:pPr>
            <w:r w:rsidRPr="000D14B9">
              <w:rPr>
                <w:rFonts w:cs="Calibri"/>
                <w:color w:val="000000" w:themeColor="text1"/>
                <w:sz w:val="11"/>
                <w:szCs w:val="11"/>
              </w:rPr>
              <w:t>- zakupu</w:t>
            </w:r>
          </w:p>
        </w:tc>
        <w:tc>
          <w:tcPr>
            <w:tcW w:w="1116" w:type="dxa"/>
            <w:tcBorders>
              <w:top w:val="nil"/>
              <w:left w:val="single" w:sz="8" w:space="0" w:color="0077BD"/>
              <w:bottom w:val="nil"/>
              <w:right w:val="single" w:sz="8" w:space="0" w:color="0077BD"/>
            </w:tcBorders>
            <w:shd w:val="clear" w:color="auto" w:fill="auto"/>
            <w:noWrap/>
            <w:vAlign w:val="center"/>
          </w:tcPr>
          <w:p w14:paraId="7351F3C8" w14:textId="5B8541EF"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nil"/>
              <w:left w:val="single" w:sz="8" w:space="0" w:color="0077BD"/>
              <w:bottom w:val="nil"/>
              <w:right w:val="single" w:sz="8" w:space="0" w:color="0077BD"/>
            </w:tcBorders>
            <w:shd w:val="clear" w:color="auto" w:fill="auto"/>
            <w:noWrap/>
            <w:vAlign w:val="center"/>
          </w:tcPr>
          <w:p w14:paraId="2A0225C9" w14:textId="283D7FE1"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34 661</w:t>
            </w:r>
          </w:p>
        </w:tc>
        <w:tc>
          <w:tcPr>
            <w:tcW w:w="1134" w:type="dxa"/>
            <w:tcBorders>
              <w:top w:val="nil"/>
              <w:left w:val="nil"/>
              <w:bottom w:val="nil"/>
              <w:right w:val="single" w:sz="8" w:space="0" w:color="0077BD"/>
            </w:tcBorders>
            <w:shd w:val="clear" w:color="auto" w:fill="auto"/>
            <w:noWrap/>
            <w:vAlign w:val="center"/>
          </w:tcPr>
          <w:p w14:paraId="2F7059AD" w14:textId="1F302209"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4 718</w:t>
            </w:r>
          </w:p>
        </w:tc>
        <w:tc>
          <w:tcPr>
            <w:tcW w:w="1134" w:type="dxa"/>
            <w:tcBorders>
              <w:top w:val="nil"/>
              <w:left w:val="single" w:sz="8" w:space="0" w:color="0077BD"/>
              <w:bottom w:val="nil"/>
              <w:right w:val="single" w:sz="8" w:space="0" w:color="0077BD"/>
            </w:tcBorders>
            <w:shd w:val="clear" w:color="auto" w:fill="auto"/>
            <w:noWrap/>
            <w:vAlign w:val="center"/>
          </w:tcPr>
          <w:p w14:paraId="042D0A88" w14:textId="7D2F1FDB"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single" w:sz="8" w:space="0" w:color="0077BD"/>
            </w:tcBorders>
            <w:shd w:val="clear" w:color="auto" w:fill="auto"/>
            <w:noWrap/>
            <w:vAlign w:val="center"/>
          </w:tcPr>
          <w:p w14:paraId="4EF9BE39" w14:textId="7CD42438"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238 082</w:t>
            </w:r>
          </w:p>
        </w:tc>
        <w:tc>
          <w:tcPr>
            <w:tcW w:w="1134" w:type="dxa"/>
            <w:tcBorders>
              <w:top w:val="nil"/>
              <w:left w:val="nil"/>
              <w:bottom w:val="nil"/>
              <w:right w:val="single" w:sz="8" w:space="0" w:color="0077BD"/>
            </w:tcBorders>
            <w:shd w:val="clear" w:color="auto" w:fill="auto"/>
            <w:noWrap/>
            <w:vAlign w:val="center"/>
          </w:tcPr>
          <w:p w14:paraId="5E038119" w14:textId="1A091A06"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24 228</w:t>
            </w:r>
          </w:p>
        </w:tc>
        <w:tc>
          <w:tcPr>
            <w:tcW w:w="1076" w:type="dxa"/>
            <w:tcBorders>
              <w:top w:val="nil"/>
              <w:left w:val="nil"/>
              <w:bottom w:val="nil"/>
              <w:right w:val="nil"/>
            </w:tcBorders>
            <w:shd w:val="clear" w:color="auto" w:fill="auto"/>
            <w:noWrap/>
            <w:vAlign w:val="center"/>
          </w:tcPr>
          <w:p w14:paraId="477C879B" w14:textId="0396F889"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296 971</w:t>
            </w:r>
          </w:p>
        </w:tc>
      </w:tr>
      <w:tr w:rsidR="00DF73FD" w:rsidRPr="00BB7C9E" w14:paraId="2750E12A" w14:textId="77777777" w:rsidTr="00DF73FD">
        <w:trPr>
          <w:trHeight w:val="360"/>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999FD5F" w14:textId="77777777" w:rsidR="00DF73FD" w:rsidRPr="000D14B9" w:rsidRDefault="00DF73FD" w:rsidP="00DF73FD">
            <w:pPr>
              <w:rPr>
                <w:rFonts w:cs="Calibri"/>
                <w:color w:val="000000" w:themeColor="text1"/>
                <w:sz w:val="11"/>
                <w:szCs w:val="11"/>
              </w:rPr>
            </w:pPr>
            <w:r w:rsidRPr="000D14B9">
              <w:rPr>
                <w:rFonts w:cs="Calibri"/>
                <w:color w:val="000000" w:themeColor="text1"/>
                <w:sz w:val="11"/>
                <w:szCs w:val="11"/>
              </w:rPr>
              <w:t>- przejęcia z wartości niematerialnych w toku wytwarzania</w:t>
            </w:r>
          </w:p>
        </w:tc>
        <w:tc>
          <w:tcPr>
            <w:tcW w:w="111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399D910" w14:textId="5A096E2D"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00291375" w14:textId="68D3C05A"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346 232</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2DC1E69" w14:textId="3FD4534E"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282 426</w:t>
            </w:r>
          </w:p>
        </w:tc>
        <w:tc>
          <w:tcPr>
            <w:tcW w:w="113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118770C0" w14:textId="31C53DFE"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13FD2602" w14:textId="3FF893CB"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1A7CD4D" w14:textId="529ABEDA"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4D7BF41D" w14:textId="19905922"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346 232</w:t>
            </w:r>
          </w:p>
        </w:tc>
      </w:tr>
      <w:tr w:rsidR="007F1B91" w:rsidRPr="00BB7C9E" w14:paraId="5E82104E" w14:textId="77777777" w:rsidTr="004012BB">
        <w:trPr>
          <w:trHeight w:val="360"/>
        </w:trPr>
        <w:tc>
          <w:tcPr>
            <w:tcW w:w="0" w:type="auto"/>
            <w:tcBorders>
              <w:top w:val="nil"/>
              <w:left w:val="nil"/>
              <w:bottom w:val="single" w:sz="4" w:space="0" w:color="0077BD"/>
              <w:right w:val="single" w:sz="8" w:space="0" w:color="0077BD"/>
            </w:tcBorders>
            <w:shd w:val="clear" w:color="auto" w:fill="auto"/>
            <w:vAlign w:val="center"/>
            <w:hideMark/>
          </w:tcPr>
          <w:p w14:paraId="64DADFEC" w14:textId="77777777" w:rsidR="007F1B91" w:rsidRPr="000D14B9" w:rsidRDefault="007F1B91" w:rsidP="007F1B91">
            <w:pPr>
              <w:rPr>
                <w:rFonts w:cs="Calibri"/>
                <w:color w:val="000000" w:themeColor="text1"/>
                <w:sz w:val="11"/>
                <w:szCs w:val="11"/>
              </w:rPr>
            </w:pPr>
            <w:r w:rsidRPr="000D14B9">
              <w:rPr>
                <w:rFonts w:cs="Calibri"/>
                <w:color w:val="000000" w:themeColor="text1"/>
                <w:sz w:val="11"/>
                <w:szCs w:val="11"/>
              </w:rPr>
              <w:t>- poniesionych kosztów wytworzenia</w:t>
            </w:r>
          </w:p>
        </w:tc>
        <w:tc>
          <w:tcPr>
            <w:tcW w:w="111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3BCD4E81" w14:textId="45F5981E"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single" w:sz="4" w:space="0" w:color="0077BD"/>
              <w:left w:val="nil"/>
              <w:bottom w:val="single" w:sz="4" w:space="0" w:color="0077BD"/>
              <w:right w:val="single" w:sz="8" w:space="0" w:color="0077BD"/>
            </w:tcBorders>
            <w:shd w:val="clear" w:color="auto" w:fill="auto"/>
            <w:noWrap/>
            <w:vAlign w:val="center"/>
          </w:tcPr>
          <w:p w14:paraId="4E4988AC" w14:textId="28B549CD"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60D1835" w14:textId="34CBB5A2"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F668E68" w14:textId="5D385D82"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C720E03" w14:textId="73C93EAC"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25 830</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E906806" w14:textId="75A2A21D"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14F38D57" w14:textId="50A324E4" w:rsidR="007F1B91" w:rsidRPr="00F8669A" w:rsidRDefault="007F1B91" w:rsidP="007F1B91">
            <w:pPr>
              <w:jc w:val="right"/>
              <w:rPr>
                <w:rFonts w:cs="Calibri"/>
                <w:color w:val="000000" w:themeColor="text1"/>
                <w:sz w:val="11"/>
                <w:szCs w:val="11"/>
              </w:rPr>
            </w:pPr>
            <w:r w:rsidRPr="00F8669A">
              <w:rPr>
                <w:rFonts w:cs="Calibri"/>
                <w:color w:val="000000" w:themeColor="text1"/>
                <w:sz w:val="11"/>
                <w:szCs w:val="11"/>
              </w:rPr>
              <w:t>25 830</w:t>
            </w:r>
          </w:p>
        </w:tc>
      </w:tr>
      <w:tr w:rsidR="00BC2849" w:rsidRPr="00BB7C9E" w14:paraId="53D88353" w14:textId="77777777" w:rsidTr="00BC2849">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3EB86809" w14:textId="77777777" w:rsidR="00BC2849" w:rsidRPr="000D14B9" w:rsidRDefault="00BC2849" w:rsidP="00BC2849">
            <w:pPr>
              <w:rPr>
                <w:rFonts w:cs="Calibri"/>
                <w:color w:val="000000" w:themeColor="text1"/>
                <w:sz w:val="11"/>
                <w:szCs w:val="11"/>
              </w:rPr>
            </w:pPr>
            <w:r w:rsidRPr="000D14B9">
              <w:rPr>
                <w:rFonts w:cs="Calibri"/>
                <w:color w:val="000000" w:themeColor="text1"/>
                <w:sz w:val="11"/>
                <w:szCs w:val="11"/>
              </w:rPr>
              <w:t>- innych zwiększeń</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437C0A18" w14:textId="14589FF8"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nil"/>
              <w:left w:val="single" w:sz="8" w:space="0" w:color="0077BD"/>
              <w:bottom w:val="single" w:sz="8" w:space="0" w:color="0077BD"/>
              <w:right w:val="single" w:sz="8" w:space="0" w:color="0077BD"/>
            </w:tcBorders>
            <w:shd w:val="clear" w:color="auto" w:fill="auto"/>
            <w:noWrap/>
            <w:vAlign w:val="center"/>
          </w:tcPr>
          <w:p w14:paraId="089C18FB" w14:textId="4C7E55C3"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3 362</w:t>
            </w:r>
          </w:p>
        </w:tc>
        <w:tc>
          <w:tcPr>
            <w:tcW w:w="1134" w:type="dxa"/>
            <w:tcBorders>
              <w:top w:val="nil"/>
              <w:left w:val="nil"/>
              <w:bottom w:val="single" w:sz="8" w:space="0" w:color="0077BD"/>
              <w:right w:val="single" w:sz="8" w:space="0" w:color="0077BD"/>
            </w:tcBorders>
            <w:shd w:val="clear" w:color="auto" w:fill="auto"/>
            <w:noWrap/>
            <w:vAlign w:val="center"/>
          </w:tcPr>
          <w:p w14:paraId="67771BFD" w14:textId="75D0FA1B"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1 713</w:t>
            </w:r>
          </w:p>
        </w:tc>
        <w:tc>
          <w:tcPr>
            <w:tcW w:w="1134" w:type="dxa"/>
            <w:tcBorders>
              <w:top w:val="nil"/>
              <w:left w:val="nil"/>
              <w:bottom w:val="single" w:sz="8" w:space="0" w:color="0077BD"/>
              <w:right w:val="single" w:sz="8" w:space="0" w:color="0077BD"/>
            </w:tcBorders>
            <w:shd w:val="clear" w:color="auto" w:fill="auto"/>
            <w:noWrap/>
            <w:vAlign w:val="center"/>
          </w:tcPr>
          <w:p w14:paraId="5F79ABB3" w14:textId="468D77C5"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3 172</w:t>
            </w:r>
          </w:p>
        </w:tc>
        <w:tc>
          <w:tcPr>
            <w:tcW w:w="1134" w:type="dxa"/>
            <w:tcBorders>
              <w:top w:val="nil"/>
              <w:left w:val="nil"/>
              <w:bottom w:val="single" w:sz="8" w:space="0" w:color="0077BD"/>
              <w:right w:val="single" w:sz="8" w:space="0" w:color="0077BD"/>
            </w:tcBorders>
            <w:shd w:val="clear" w:color="auto" w:fill="auto"/>
            <w:noWrap/>
            <w:vAlign w:val="center"/>
          </w:tcPr>
          <w:p w14:paraId="59BCD65B" w14:textId="6209DF24"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21 974</w:t>
            </w:r>
          </w:p>
        </w:tc>
        <w:tc>
          <w:tcPr>
            <w:tcW w:w="1134" w:type="dxa"/>
            <w:tcBorders>
              <w:top w:val="nil"/>
              <w:left w:val="nil"/>
              <w:bottom w:val="single" w:sz="8" w:space="0" w:color="0077BD"/>
              <w:right w:val="single" w:sz="8" w:space="0" w:color="0077BD"/>
            </w:tcBorders>
            <w:shd w:val="clear" w:color="auto" w:fill="auto"/>
            <w:noWrap/>
            <w:vAlign w:val="center"/>
          </w:tcPr>
          <w:p w14:paraId="3C784337" w14:textId="4E83B6B6"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6CB76CDE" w14:textId="1843C768" w:rsidR="00BC2849" w:rsidRPr="00F8669A" w:rsidRDefault="00BC2849" w:rsidP="00BC2849">
            <w:pPr>
              <w:jc w:val="right"/>
              <w:rPr>
                <w:rFonts w:cs="Calibri"/>
                <w:color w:val="000000" w:themeColor="text1"/>
                <w:sz w:val="11"/>
                <w:szCs w:val="11"/>
              </w:rPr>
            </w:pPr>
            <w:r w:rsidRPr="00F8669A">
              <w:rPr>
                <w:rFonts w:cs="Calibri"/>
                <w:color w:val="000000" w:themeColor="text1"/>
                <w:sz w:val="11"/>
                <w:szCs w:val="11"/>
              </w:rPr>
              <w:t>28 508</w:t>
            </w:r>
          </w:p>
        </w:tc>
      </w:tr>
      <w:tr w:rsidR="00DF73FD" w:rsidRPr="00BB7C9E" w14:paraId="3FFB073E" w14:textId="77777777" w:rsidTr="00252982">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3432D89A" w14:textId="7595613C" w:rsidR="00DF73FD" w:rsidRPr="000D14B9" w:rsidRDefault="00DF73FD" w:rsidP="00DF73FD">
            <w:pPr>
              <w:rPr>
                <w:rFonts w:cs="Calibri"/>
                <w:b/>
                <w:bCs/>
                <w:color w:val="000000" w:themeColor="text1"/>
                <w:sz w:val="11"/>
                <w:szCs w:val="11"/>
              </w:rPr>
            </w:pPr>
            <w:r w:rsidRPr="000D14B9">
              <w:rPr>
                <w:rFonts w:cs="Calibri"/>
                <w:b/>
                <w:bCs/>
                <w:color w:val="000000" w:themeColor="text1"/>
                <w:sz w:val="11"/>
                <w:szCs w:val="11"/>
              </w:rPr>
              <w:t>Zmniejszenia z tytułu: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1DAC506F" w14:textId="5DAC0677"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(39)</w:t>
            </w:r>
          </w:p>
        </w:tc>
        <w:tc>
          <w:tcPr>
            <w:tcW w:w="1099" w:type="dxa"/>
            <w:tcBorders>
              <w:top w:val="nil"/>
              <w:left w:val="single" w:sz="8" w:space="0" w:color="0077BD"/>
              <w:bottom w:val="single" w:sz="8" w:space="0" w:color="0077BD"/>
              <w:right w:val="single" w:sz="8" w:space="0" w:color="0077BD"/>
            </w:tcBorders>
            <w:shd w:val="clear" w:color="auto" w:fill="auto"/>
            <w:noWrap/>
            <w:vAlign w:val="center"/>
          </w:tcPr>
          <w:p w14:paraId="7696668C" w14:textId="37893752"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(103 703)</w:t>
            </w:r>
          </w:p>
        </w:tc>
        <w:tc>
          <w:tcPr>
            <w:tcW w:w="1134" w:type="dxa"/>
            <w:tcBorders>
              <w:top w:val="nil"/>
              <w:left w:val="nil"/>
              <w:bottom w:val="single" w:sz="8" w:space="0" w:color="0077BD"/>
              <w:right w:val="single" w:sz="8" w:space="0" w:color="0077BD"/>
            </w:tcBorders>
            <w:shd w:val="clear" w:color="auto" w:fill="auto"/>
            <w:noWrap/>
            <w:vAlign w:val="center"/>
          </w:tcPr>
          <w:p w14:paraId="02E8F9DB" w14:textId="2020548B"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(33 429)</w:t>
            </w:r>
          </w:p>
        </w:tc>
        <w:tc>
          <w:tcPr>
            <w:tcW w:w="1134" w:type="dxa"/>
            <w:tcBorders>
              <w:top w:val="nil"/>
              <w:left w:val="nil"/>
              <w:bottom w:val="single" w:sz="8" w:space="0" w:color="0077BD"/>
              <w:right w:val="single" w:sz="8" w:space="0" w:color="0077BD"/>
            </w:tcBorders>
            <w:shd w:val="clear" w:color="auto" w:fill="auto"/>
            <w:noWrap/>
            <w:vAlign w:val="center"/>
          </w:tcPr>
          <w:p w14:paraId="3EC5F6BD" w14:textId="33B3626C"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4B9782A2" w14:textId="44808B16"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(385 598)</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0E7B66C2" w14:textId="3825E74C"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w:t>
            </w:r>
          </w:p>
        </w:tc>
        <w:tc>
          <w:tcPr>
            <w:tcW w:w="1076" w:type="dxa"/>
            <w:tcBorders>
              <w:top w:val="single" w:sz="8" w:space="0" w:color="0077BD"/>
              <w:left w:val="nil"/>
              <w:bottom w:val="single" w:sz="8" w:space="0" w:color="0077BD"/>
              <w:right w:val="nil"/>
            </w:tcBorders>
            <w:shd w:val="clear" w:color="auto" w:fill="auto"/>
            <w:noWrap/>
            <w:vAlign w:val="center"/>
          </w:tcPr>
          <w:p w14:paraId="2F21D527" w14:textId="7333F8E2"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(489 340)</w:t>
            </w:r>
          </w:p>
        </w:tc>
      </w:tr>
      <w:tr w:rsidR="004012BB" w:rsidRPr="00BB7C9E" w14:paraId="4013260D" w14:textId="77777777" w:rsidTr="004012BB">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133D35C8" w14:textId="77777777" w:rsidR="004012BB" w:rsidRPr="000D14B9" w:rsidRDefault="004012BB" w:rsidP="004012BB">
            <w:pPr>
              <w:rPr>
                <w:rFonts w:cs="Calibri"/>
                <w:color w:val="000000" w:themeColor="text1"/>
                <w:sz w:val="11"/>
                <w:szCs w:val="11"/>
              </w:rPr>
            </w:pPr>
            <w:r w:rsidRPr="000D14B9">
              <w:rPr>
                <w:rFonts w:cs="Calibri"/>
                <w:color w:val="000000" w:themeColor="text1"/>
                <w:sz w:val="11"/>
                <w:szCs w:val="11"/>
              </w:rPr>
              <w:t>- likwidacji</w:t>
            </w:r>
          </w:p>
        </w:tc>
        <w:tc>
          <w:tcPr>
            <w:tcW w:w="111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E44E92A" w14:textId="1EF4B71A"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single" w:sz="4" w:space="0" w:color="0077BD"/>
              <w:left w:val="nil"/>
              <w:bottom w:val="single" w:sz="4" w:space="0" w:color="0077BD"/>
              <w:right w:val="single" w:sz="8" w:space="0" w:color="0077BD"/>
            </w:tcBorders>
            <w:shd w:val="clear" w:color="auto" w:fill="auto"/>
            <w:noWrap/>
            <w:vAlign w:val="center"/>
          </w:tcPr>
          <w:p w14:paraId="24B1A9E1" w14:textId="2D212A67"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(103 004)</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ECEEA5D" w14:textId="26DD35CD" w:rsidR="004012BB" w:rsidRPr="00F8669A" w:rsidRDefault="004012BB" w:rsidP="00442D86">
            <w:pPr>
              <w:jc w:val="right"/>
              <w:rPr>
                <w:rFonts w:cs="Calibri"/>
                <w:color w:val="000000" w:themeColor="text1"/>
                <w:sz w:val="11"/>
                <w:szCs w:val="11"/>
              </w:rPr>
            </w:pPr>
            <w:r w:rsidRPr="00F8669A">
              <w:rPr>
                <w:rFonts w:cs="Calibri"/>
                <w:color w:val="000000" w:themeColor="text1"/>
                <w:sz w:val="11"/>
                <w:szCs w:val="11"/>
              </w:rPr>
              <w:t>(32 73</w:t>
            </w:r>
            <w:r w:rsidR="00442D86" w:rsidRPr="00F8669A">
              <w:rPr>
                <w:rFonts w:cs="Calibri"/>
                <w:color w:val="000000" w:themeColor="text1"/>
                <w:sz w:val="11"/>
                <w:szCs w:val="11"/>
              </w:rPr>
              <w:t>1</w:t>
            </w: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7301D284" w14:textId="641A845E"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7F5FEE7" w14:textId="6854FC1D"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23409B97" w14:textId="1F58C8F1"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009DC820" w14:textId="2C218850"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(103 004)</w:t>
            </w:r>
          </w:p>
        </w:tc>
      </w:tr>
      <w:tr w:rsidR="00DF73FD" w:rsidRPr="00BB7C9E" w14:paraId="3F53B3BF" w14:textId="77777777" w:rsidTr="00DF73FD">
        <w:trPr>
          <w:trHeight w:val="360"/>
        </w:trPr>
        <w:tc>
          <w:tcPr>
            <w:tcW w:w="0" w:type="auto"/>
            <w:tcBorders>
              <w:top w:val="nil"/>
              <w:left w:val="nil"/>
              <w:bottom w:val="single" w:sz="4" w:space="0" w:color="0077BD"/>
              <w:right w:val="single" w:sz="8" w:space="0" w:color="0077BD"/>
            </w:tcBorders>
            <w:shd w:val="clear" w:color="auto" w:fill="auto"/>
            <w:vAlign w:val="center"/>
            <w:hideMark/>
          </w:tcPr>
          <w:p w14:paraId="39A7A3EE" w14:textId="77777777" w:rsidR="00DF73FD" w:rsidRPr="000D14B9" w:rsidRDefault="00DF73FD" w:rsidP="00DF73FD">
            <w:pPr>
              <w:rPr>
                <w:rFonts w:cs="Calibri"/>
                <w:color w:val="000000" w:themeColor="text1"/>
                <w:sz w:val="11"/>
                <w:szCs w:val="11"/>
              </w:rPr>
            </w:pPr>
            <w:r w:rsidRPr="000D14B9">
              <w:rPr>
                <w:rFonts w:cs="Calibri"/>
                <w:color w:val="000000" w:themeColor="text1"/>
                <w:sz w:val="11"/>
                <w:szCs w:val="11"/>
              </w:rPr>
              <w:t>- przekazania na wartości niematerialne oddane do użytku</w:t>
            </w:r>
          </w:p>
        </w:tc>
        <w:tc>
          <w:tcPr>
            <w:tcW w:w="1116" w:type="dxa"/>
            <w:tcBorders>
              <w:top w:val="nil"/>
              <w:left w:val="single" w:sz="8" w:space="0" w:color="0077BD"/>
              <w:bottom w:val="single" w:sz="4" w:space="0" w:color="0077BD"/>
              <w:right w:val="single" w:sz="8" w:space="0" w:color="0077BD"/>
            </w:tcBorders>
            <w:shd w:val="clear" w:color="auto" w:fill="auto"/>
            <w:noWrap/>
            <w:vAlign w:val="center"/>
          </w:tcPr>
          <w:p w14:paraId="6F48B348" w14:textId="1D7738D6"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nil"/>
              <w:left w:val="nil"/>
              <w:bottom w:val="single" w:sz="4" w:space="0" w:color="0077BD"/>
              <w:right w:val="single" w:sz="8" w:space="0" w:color="0077BD"/>
            </w:tcBorders>
            <w:shd w:val="clear" w:color="auto" w:fill="auto"/>
            <w:noWrap/>
            <w:vAlign w:val="center"/>
          </w:tcPr>
          <w:p w14:paraId="5312B87B" w14:textId="01CC2012"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tcPr>
          <w:p w14:paraId="103C331C" w14:textId="0EF6FA1B"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tcPr>
          <w:p w14:paraId="70816647" w14:textId="33E58DB1"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F3D98F8" w14:textId="13D0CEA1"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(346 232)</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9224093" w14:textId="5B3F141F"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6214497A" w14:textId="2CAA4172" w:rsidR="00DF73FD" w:rsidRPr="00F8669A" w:rsidRDefault="00DF73FD" w:rsidP="00DF73FD">
            <w:pPr>
              <w:jc w:val="right"/>
              <w:rPr>
                <w:rFonts w:cs="Calibri"/>
                <w:color w:val="000000" w:themeColor="text1"/>
                <w:sz w:val="11"/>
                <w:szCs w:val="11"/>
              </w:rPr>
            </w:pPr>
            <w:r w:rsidRPr="00F8669A">
              <w:rPr>
                <w:rFonts w:cs="Calibri"/>
                <w:color w:val="000000" w:themeColor="text1"/>
                <w:sz w:val="11"/>
                <w:szCs w:val="11"/>
              </w:rPr>
              <w:t>(346 232)</w:t>
            </w:r>
          </w:p>
        </w:tc>
      </w:tr>
      <w:tr w:rsidR="00442D86" w:rsidRPr="00BB7C9E" w14:paraId="6A3EE574" w14:textId="77777777" w:rsidTr="00442D86">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09238BD8" w14:textId="77777777" w:rsidR="00442D86" w:rsidRPr="000D14B9" w:rsidRDefault="00442D86" w:rsidP="00442D86">
            <w:pPr>
              <w:rPr>
                <w:rFonts w:cs="Calibri"/>
                <w:color w:val="000000" w:themeColor="text1"/>
                <w:sz w:val="11"/>
                <w:szCs w:val="11"/>
              </w:rPr>
            </w:pPr>
            <w:r w:rsidRPr="000D14B9">
              <w:rPr>
                <w:rFonts w:cs="Calibri"/>
                <w:color w:val="000000" w:themeColor="text1"/>
                <w:sz w:val="11"/>
                <w:szCs w:val="11"/>
              </w:rPr>
              <w:t>- innych zmniejszeń</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33B88EB3" w14:textId="2A8847F1"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(39)</w:t>
            </w:r>
          </w:p>
        </w:tc>
        <w:tc>
          <w:tcPr>
            <w:tcW w:w="1099" w:type="dxa"/>
            <w:tcBorders>
              <w:top w:val="nil"/>
              <w:left w:val="single" w:sz="8" w:space="0" w:color="0077BD"/>
              <w:bottom w:val="single" w:sz="8" w:space="0" w:color="0077BD"/>
              <w:right w:val="single" w:sz="8" w:space="0" w:color="0077BD"/>
            </w:tcBorders>
            <w:shd w:val="clear" w:color="auto" w:fill="auto"/>
            <w:noWrap/>
            <w:vAlign w:val="center"/>
          </w:tcPr>
          <w:p w14:paraId="4A472977" w14:textId="6C970BB3"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(699)</w:t>
            </w:r>
          </w:p>
        </w:tc>
        <w:tc>
          <w:tcPr>
            <w:tcW w:w="1134" w:type="dxa"/>
            <w:tcBorders>
              <w:top w:val="nil"/>
              <w:left w:val="nil"/>
              <w:bottom w:val="single" w:sz="8" w:space="0" w:color="0077BD"/>
              <w:right w:val="single" w:sz="8" w:space="0" w:color="0077BD"/>
            </w:tcBorders>
            <w:shd w:val="clear" w:color="auto" w:fill="auto"/>
            <w:noWrap/>
            <w:vAlign w:val="center"/>
          </w:tcPr>
          <w:p w14:paraId="270E9C2A" w14:textId="59995594"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(698)</w:t>
            </w:r>
          </w:p>
        </w:tc>
        <w:tc>
          <w:tcPr>
            <w:tcW w:w="1134" w:type="dxa"/>
            <w:tcBorders>
              <w:top w:val="nil"/>
              <w:left w:val="nil"/>
              <w:bottom w:val="single" w:sz="8" w:space="0" w:color="0077BD"/>
              <w:right w:val="single" w:sz="8" w:space="0" w:color="0077BD"/>
            </w:tcBorders>
            <w:shd w:val="clear" w:color="auto" w:fill="auto"/>
            <w:noWrap/>
            <w:vAlign w:val="center"/>
          </w:tcPr>
          <w:p w14:paraId="7689BA3E" w14:textId="26566294"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1CBAC533" w14:textId="27CF8C16"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(39 366)</w:t>
            </w:r>
          </w:p>
        </w:tc>
        <w:tc>
          <w:tcPr>
            <w:tcW w:w="1134" w:type="dxa"/>
            <w:tcBorders>
              <w:top w:val="nil"/>
              <w:left w:val="nil"/>
              <w:bottom w:val="single" w:sz="8" w:space="0" w:color="0077BD"/>
              <w:right w:val="single" w:sz="8" w:space="0" w:color="0077BD"/>
            </w:tcBorders>
            <w:shd w:val="clear" w:color="auto" w:fill="auto"/>
            <w:noWrap/>
            <w:vAlign w:val="center"/>
          </w:tcPr>
          <w:p w14:paraId="442C05ED" w14:textId="435AF6C3"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67EC2B1D" w14:textId="4B331FBF" w:rsidR="00442D86" w:rsidRPr="00F8669A" w:rsidRDefault="00442D86" w:rsidP="00442D86">
            <w:pPr>
              <w:jc w:val="right"/>
              <w:rPr>
                <w:rFonts w:cs="Calibri"/>
                <w:color w:val="000000" w:themeColor="text1"/>
                <w:sz w:val="11"/>
                <w:szCs w:val="11"/>
              </w:rPr>
            </w:pPr>
            <w:r w:rsidRPr="00F8669A">
              <w:rPr>
                <w:rFonts w:cs="Calibri"/>
                <w:color w:val="000000" w:themeColor="text1"/>
                <w:sz w:val="11"/>
                <w:szCs w:val="11"/>
              </w:rPr>
              <w:t>(40 104)</w:t>
            </w:r>
          </w:p>
        </w:tc>
      </w:tr>
      <w:tr w:rsidR="00DF73FD" w:rsidRPr="00BB7C9E" w14:paraId="44261E6A" w14:textId="77777777" w:rsidTr="00DF73FD">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09F57EE4" w14:textId="19DB48E3" w:rsidR="00DF73FD" w:rsidRPr="000D14B9" w:rsidRDefault="00DF73FD" w:rsidP="00DF73FD">
            <w:pPr>
              <w:rPr>
                <w:rFonts w:cs="Calibri"/>
                <w:b/>
                <w:bCs/>
                <w:color w:val="000000" w:themeColor="text1"/>
                <w:sz w:val="11"/>
                <w:szCs w:val="11"/>
              </w:rPr>
            </w:pPr>
            <w:r w:rsidRPr="000D14B9">
              <w:rPr>
                <w:rFonts w:cs="Calibri"/>
                <w:b/>
                <w:bCs/>
                <w:color w:val="000000" w:themeColor="text1"/>
                <w:sz w:val="11"/>
                <w:szCs w:val="11"/>
              </w:rPr>
              <w:t>Wartość brutto wartości niematerialnych na koniec okresu</w:t>
            </w:r>
          </w:p>
        </w:tc>
        <w:tc>
          <w:tcPr>
            <w:tcW w:w="1116"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A11ABF3" w14:textId="23422F7B"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02FE48D2" w14:textId="7E481445"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1 609 991</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703C54F6" w14:textId="33D74C3B"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1 274 069</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559455CF" w14:textId="021B0E00"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23 607</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36ACBB18" w14:textId="60CBA28F"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230 327</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1B9259D8" w14:textId="4262CB85"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28 956</w:t>
            </w:r>
          </w:p>
        </w:tc>
        <w:tc>
          <w:tcPr>
            <w:tcW w:w="1076" w:type="dxa"/>
            <w:tcBorders>
              <w:top w:val="single" w:sz="8" w:space="0" w:color="0077BD"/>
              <w:left w:val="nil"/>
              <w:bottom w:val="single" w:sz="8" w:space="0" w:color="0077BD"/>
              <w:right w:val="nil"/>
            </w:tcBorders>
            <w:shd w:val="clear" w:color="auto" w:fill="auto"/>
            <w:noWrap/>
            <w:vAlign w:val="center"/>
          </w:tcPr>
          <w:p w14:paraId="588D69F1" w14:textId="578661ED" w:rsidR="00DF73FD" w:rsidRPr="00F8669A" w:rsidRDefault="00DF73FD" w:rsidP="00DF73FD">
            <w:pPr>
              <w:jc w:val="right"/>
              <w:rPr>
                <w:rFonts w:cs="Calibri"/>
                <w:b/>
                <w:bCs/>
                <w:color w:val="000000" w:themeColor="text1"/>
                <w:sz w:val="11"/>
                <w:szCs w:val="11"/>
              </w:rPr>
            </w:pPr>
            <w:r w:rsidRPr="00F8669A">
              <w:rPr>
                <w:rFonts w:cs="Calibri"/>
                <w:b/>
                <w:bCs/>
                <w:color w:val="000000" w:themeColor="text1"/>
                <w:sz w:val="11"/>
                <w:szCs w:val="11"/>
              </w:rPr>
              <w:t>1 892 881</w:t>
            </w:r>
          </w:p>
        </w:tc>
      </w:tr>
      <w:tr w:rsidR="00AF4D6A" w:rsidRPr="00BB7C9E" w14:paraId="25102258" w14:textId="77777777" w:rsidTr="004012BB">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05699683" w14:textId="7B20EFED" w:rsidR="00AF4D6A" w:rsidRPr="000D14B9" w:rsidRDefault="00AF4D6A" w:rsidP="00AF4D6A">
            <w:pPr>
              <w:rPr>
                <w:rFonts w:cs="Calibri"/>
                <w:b/>
                <w:bCs/>
                <w:color w:val="000000" w:themeColor="text1"/>
                <w:sz w:val="11"/>
                <w:szCs w:val="11"/>
              </w:rPr>
            </w:pPr>
            <w:r w:rsidRPr="000D14B9">
              <w:rPr>
                <w:rFonts w:cs="Calibri"/>
                <w:b/>
                <w:bCs/>
                <w:color w:val="000000" w:themeColor="text1"/>
                <w:sz w:val="11"/>
                <w:szCs w:val="11"/>
              </w:rPr>
              <w:t>Skumulowana amortyzacja (umorzenie) na początek okresu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3EBFD670" w14:textId="289B7399"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(39)</w:t>
            </w:r>
          </w:p>
        </w:tc>
        <w:tc>
          <w:tcPr>
            <w:tcW w:w="1099" w:type="dxa"/>
            <w:tcBorders>
              <w:top w:val="nil"/>
              <w:left w:val="nil"/>
              <w:bottom w:val="single" w:sz="8" w:space="0" w:color="0077BD"/>
              <w:right w:val="single" w:sz="8" w:space="0" w:color="0077BD"/>
            </w:tcBorders>
            <w:shd w:val="clear" w:color="auto" w:fill="auto"/>
            <w:noWrap/>
            <w:vAlign w:val="center"/>
          </w:tcPr>
          <w:p w14:paraId="60925F07" w14:textId="35BAE386"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(888 803)</w:t>
            </w:r>
          </w:p>
        </w:tc>
        <w:tc>
          <w:tcPr>
            <w:tcW w:w="1134" w:type="dxa"/>
            <w:tcBorders>
              <w:top w:val="nil"/>
              <w:left w:val="nil"/>
              <w:bottom w:val="single" w:sz="8" w:space="0" w:color="0077BD"/>
              <w:right w:val="single" w:sz="8" w:space="0" w:color="0077BD"/>
            </w:tcBorders>
            <w:shd w:val="clear" w:color="auto" w:fill="auto"/>
            <w:noWrap/>
            <w:vAlign w:val="center"/>
          </w:tcPr>
          <w:p w14:paraId="6A546F4D" w14:textId="60092DA0"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(650 819)</w:t>
            </w:r>
          </w:p>
        </w:tc>
        <w:tc>
          <w:tcPr>
            <w:tcW w:w="1134" w:type="dxa"/>
            <w:tcBorders>
              <w:top w:val="nil"/>
              <w:left w:val="nil"/>
              <w:bottom w:val="single" w:sz="8" w:space="0" w:color="0077BD"/>
              <w:right w:val="single" w:sz="8" w:space="0" w:color="0077BD"/>
            </w:tcBorders>
            <w:shd w:val="clear" w:color="auto" w:fill="auto"/>
            <w:noWrap/>
            <w:vAlign w:val="center"/>
          </w:tcPr>
          <w:p w14:paraId="443EBC0F" w14:textId="30714479"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(18 467)</w:t>
            </w:r>
          </w:p>
        </w:tc>
        <w:tc>
          <w:tcPr>
            <w:tcW w:w="1134" w:type="dxa"/>
            <w:tcBorders>
              <w:top w:val="nil"/>
              <w:left w:val="nil"/>
              <w:bottom w:val="single" w:sz="8" w:space="0" w:color="0077BD"/>
              <w:right w:val="single" w:sz="8" w:space="0" w:color="0077BD"/>
            </w:tcBorders>
            <w:shd w:val="clear" w:color="auto" w:fill="auto"/>
            <w:noWrap/>
            <w:vAlign w:val="center"/>
          </w:tcPr>
          <w:p w14:paraId="35C1522F" w14:textId="6E7B68B3"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547A9A88" w14:textId="51671C64"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7E873BDA" w14:textId="05020CDF"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(907 309)</w:t>
            </w:r>
          </w:p>
        </w:tc>
      </w:tr>
      <w:tr w:rsidR="00AF4D6A" w:rsidRPr="00BB7C9E" w14:paraId="7A2B0768" w14:textId="77777777" w:rsidTr="004012BB">
        <w:trPr>
          <w:trHeight w:val="360"/>
        </w:trPr>
        <w:tc>
          <w:tcPr>
            <w:tcW w:w="0" w:type="auto"/>
            <w:tcBorders>
              <w:top w:val="nil"/>
              <w:left w:val="nil"/>
              <w:bottom w:val="single" w:sz="8" w:space="0" w:color="0077BD"/>
              <w:right w:val="single" w:sz="8" w:space="0" w:color="0077BD"/>
            </w:tcBorders>
            <w:shd w:val="clear" w:color="auto" w:fill="auto"/>
            <w:vAlign w:val="center"/>
            <w:hideMark/>
          </w:tcPr>
          <w:p w14:paraId="77023F17" w14:textId="0FD1254E" w:rsidR="00AF4D6A" w:rsidRPr="000D14B9" w:rsidRDefault="00AF4D6A" w:rsidP="00AF4D6A">
            <w:pPr>
              <w:rPr>
                <w:rFonts w:cs="Calibri"/>
                <w:b/>
                <w:bCs/>
                <w:color w:val="000000" w:themeColor="text1"/>
                <w:sz w:val="11"/>
                <w:szCs w:val="11"/>
              </w:rPr>
            </w:pPr>
            <w:r w:rsidRPr="000D14B9">
              <w:rPr>
                <w:rFonts w:cs="Calibri"/>
                <w:b/>
                <w:bCs/>
                <w:color w:val="000000" w:themeColor="text1"/>
                <w:sz w:val="11"/>
                <w:szCs w:val="11"/>
              </w:rPr>
              <w:t>Amortyzacja za okres z tytułu: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2C3B4D3E" w14:textId="3ACB8810"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39</w:t>
            </w:r>
          </w:p>
        </w:tc>
        <w:tc>
          <w:tcPr>
            <w:tcW w:w="1099" w:type="dxa"/>
            <w:tcBorders>
              <w:top w:val="nil"/>
              <w:left w:val="nil"/>
              <w:bottom w:val="single" w:sz="8" w:space="0" w:color="0077BD"/>
              <w:right w:val="single" w:sz="8" w:space="0" w:color="0077BD"/>
            </w:tcBorders>
            <w:shd w:val="clear" w:color="auto" w:fill="auto"/>
            <w:noWrap/>
            <w:vAlign w:val="center"/>
          </w:tcPr>
          <w:p w14:paraId="7A0F0EF9" w14:textId="177C0C23"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(24 697)</w:t>
            </w:r>
          </w:p>
        </w:tc>
        <w:tc>
          <w:tcPr>
            <w:tcW w:w="1134" w:type="dxa"/>
            <w:tcBorders>
              <w:top w:val="nil"/>
              <w:left w:val="nil"/>
              <w:bottom w:val="single" w:sz="8" w:space="0" w:color="0077BD"/>
              <w:right w:val="single" w:sz="8" w:space="0" w:color="0077BD"/>
            </w:tcBorders>
            <w:shd w:val="clear" w:color="auto" w:fill="auto"/>
            <w:noWrap/>
            <w:vAlign w:val="center"/>
          </w:tcPr>
          <w:p w14:paraId="2EBE634A" w14:textId="1575AC14"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(46 715)</w:t>
            </w:r>
          </w:p>
        </w:tc>
        <w:tc>
          <w:tcPr>
            <w:tcW w:w="1134" w:type="dxa"/>
            <w:tcBorders>
              <w:top w:val="nil"/>
              <w:left w:val="nil"/>
              <w:bottom w:val="single" w:sz="8" w:space="0" w:color="0077BD"/>
              <w:right w:val="single" w:sz="8" w:space="0" w:color="0077BD"/>
            </w:tcBorders>
            <w:shd w:val="clear" w:color="auto" w:fill="auto"/>
            <w:noWrap/>
            <w:vAlign w:val="center"/>
          </w:tcPr>
          <w:p w14:paraId="58F3D909" w14:textId="50F108F9"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(3 941)</w:t>
            </w:r>
          </w:p>
        </w:tc>
        <w:tc>
          <w:tcPr>
            <w:tcW w:w="1134" w:type="dxa"/>
            <w:tcBorders>
              <w:top w:val="nil"/>
              <w:left w:val="nil"/>
              <w:bottom w:val="single" w:sz="8" w:space="0" w:color="0077BD"/>
              <w:right w:val="single" w:sz="8" w:space="0" w:color="0077BD"/>
            </w:tcBorders>
            <w:shd w:val="clear" w:color="auto" w:fill="auto"/>
            <w:noWrap/>
            <w:vAlign w:val="center"/>
          </w:tcPr>
          <w:p w14:paraId="1DDA0F3B" w14:textId="65EB8855"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5186FF8F" w14:textId="23F908E5"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4306E279" w14:textId="079869EB" w:rsidR="00AF4D6A" w:rsidRPr="00F8669A" w:rsidRDefault="00AF4D6A" w:rsidP="00AF4D6A">
            <w:pPr>
              <w:jc w:val="right"/>
              <w:rPr>
                <w:rFonts w:cs="Calibri"/>
                <w:b/>
                <w:bCs/>
                <w:color w:val="000000" w:themeColor="text1"/>
                <w:sz w:val="11"/>
                <w:szCs w:val="11"/>
              </w:rPr>
            </w:pPr>
            <w:r w:rsidRPr="00F8669A">
              <w:rPr>
                <w:rFonts w:cs="Calibri"/>
                <w:b/>
                <w:bCs/>
                <w:color w:val="000000" w:themeColor="text1"/>
                <w:sz w:val="11"/>
                <w:szCs w:val="11"/>
              </w:rPr>
              <w:t>(28 599)</w:t>
            </w:r>
          </w:p>
        </w:tc>
      </w:tr>
      <w:tr w:rsidR="00AF4D6A" w:rsidRPr="00BB7C9E" w14:paraId="56C3EF5F" w14:textId="77777777" w:rsidTr="004012BB">
        <w:trPr>
          <w:trHeight w:val="255"/>
        </w:trPr>
        <w:tc>
          <w:tcPr>
            <w:tcW w:w="0" w:type="auto"/>
            <w:tcBorders>
              <w:top w:val="nil"/>
              <w:left w:val="nil"/>
              <w:bottom w:val="single" w:sz="4" w:space="0" w:color="0077BD"/>
              <w:right w:val="single" w:sz="8" w:space="0" w:color="0077BD"/>
            </w:tcBorders>
            <w:shd w:val="clear" w:color="auto" w:fill="auto"/>
            <w:vAlign w:val="center"/>
            <w:hideMark/>
          </w:tcPr>
          <w:p w14:paraId="5FC81D9C" w14:textId="77777777" w:rsidR="00AF4D6A" w:rsidRPr="000D14B9" w:rsidRDefault="00AF4D6A" w:rsidP="00AF4D6A">
            <w:pPr>
              <w:rPr>
                <w:rFonts w:cs="Calibri"/>
                <w:color w:val="000000" w:themeColor="text1"/>
                <w:sz w:val="11"/>
                <w:szCs w:val="11"/>
              </w:rPr>
            </w:pPr>
            <w:r w:rsidRPr="000D14B9">
              <w:rPr>
                <w:rFonts w:cs="Calibri"/>
                <w:color w:val="000000" w:themeColor="text1"/>
                <w:sz w:val="11"/>
                <w:szCs w:val="11"/>
              </w:rPr>
              <w:t>- odpisów</w:t>
            </w:r>
          </w:p>
        </w:tc>
        <w:tc>
          <w:tcPr>
            <w:tcW w:w="1116" w:type="dxa"/>
            <w:tcBorders>
              <w:top w:val="nil"/>
              <w:left w:val="single" w:sz="8" w:space="0" w:color="0077BD"/>
              <w:bottom w:val="nil"/>
              <w:right w:val="single" w:sz="8" w:space="0" w:color="0077BD"/>
            </w:tcBorders>
            <w:shd w:val="clear" w:color="auto" w:fill="auto"/>
            <w:noWrap/>
            <w:vAlign w:val="center"/>
          </w:tcPr>
          <w:p w14:paraId="1B24DB31" w14:textId="6A27D905"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nil"/>
              <w:left w:val="nil"/>
              <w:bottom w:val="nil"/>
              <w:right w:val="single" w:sz="8" w:space="0" w:color="0077BD"/>
            </w:tcBorders>
            <w:shd w:val="clear" w:color="auto" w:fill="auto"/>
            <w:noWrap/>
            <w:vAlign w:val="center"/>
          </w:tcPr>
          <w:p w14:paraId="6FF9A164" w14:textId="245E3A40"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(127 480)</w:t>
            </w:r>
          </w:p>
        </w:tc>
        <w:tc>
          <w:tcPr>
            <w:tcW w:w="1134" w:type="dxa"/>
            <w:tcBorders>
              <w:top w:val="nil"/>
              <w:left w:val="nil"/>
              <w:bottom w:val="nil"/>
              <w:right w:val="single" w:sz="8" w:space="0" w:color="0077BD"/>
            </w:tcBorders>
            <w:shd w:val="clear" w:color="auto" w:fill="auto"/>
            <w:noWrap/>
            <w:vAlign w:val="center"/>
          </w:tcPr>
          <w:p w14:paraId="56B17B2E" w14:textId="28894089"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(80 013)</w:t>
            </w:r>
          </w:p>
        </w:tc>
        <w:tc>
          <w:tcPr>
            <w:tcW w:w="1134" w:type="dxa"/>
            <w:tcBorders>
              <w:top w:val="nil"/>
              <w:left w:val="nil"/>
              <w:bottom w:val="nil"/>
              <w:right w:val="single" w:sz="8" w:space="0" w:color="0077BD"/>
            </w:tcBorders>
            <w:shd w:val="clear" w:color="auto" w:fill="auto"/>
            <w:noWrap/>
            <w:vAlign w:val="center"/>
          </w:tcPr>
          <w:p w14:paraId="71CF654E" w14:textId="4DBCE83F"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(2 715)</w:t>
            </w:r>
          </w:p>
        </w:tc>
        <w:tc>
          <w:tcPr>
            <w:tcW w:w="1134" w:type="dxa"/>
            <w:tcBorders>
              <w:top w:val="nil"/>
              <w:left w:val="nil"/>
              <w:bottom w:val="nil"/>
              <w:right w:val="single" w:sz="8" w:space="0" w:color="0077BD"/>
            </w:tcBorders>
            <w:shd w:val="clear" w:color="auto" w:fill="auto"/>
            <w:noWrap/>
            <w:vAlign w:val="center"/>
          </w:tcPr>
          <w:p w14:paraId="3C6E5A1F" w14:textId="5B4D6A6E"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single" w:sz="8" w:space="0" w:color="0077BD"/>
            </w:tcBorders>
            <w:shd w:val="clear" w:color="auto" w:fill="auto"/>
            <w:noWrap/>
            <w:vAlign w:val="center"/>
          </w:tcPr>
          <w:p w14:paraId="7084299B" w14:textId="3C9E2398"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nil"/>
              <w:left w:val="nil"/>
              <w:bottom w:val="nil"/>
              <w:right w:val="nil"/>
            </w:tcBorders>
            <w:shd w:val="clear" w:color="auto" w:fill="auto"/>
            <w:noWrap/>
            <w:vAlign w:val="center"/>
          </w:tcPr>
          <w:p w14:paraId="193D110D" w14:textId="342C5D0A" w:rsidR="00AF4D6A" w:rsidRPr="00F8669A" w:rsidRDefault="00AF4D6A" w:rsidP="00AF4D6A">
            <w:pPr>
              <w:jc w:val="right"/>
              <w:rPr>
                <w:rFonts w:cs="Calibri"/>
                <w:color w:val="000000" w:themeColor="text1"/>
                <w:sz w:val="11"/>
                <w:szCs w:val="11"/>
              </w:rPr>
            </w:pPr>
            <w:r w:rsidRPr="00F8669A">
              <w:rPr>
                <w:rFonts w:cs="Calibri"/>
                <w:color w:val="000000" w:themeColor="text1"/>
                <w:sz w:val="11"/>
                <w:szCs w:val="11"/>
              </w:rPr>
              <w:t>(130 195)</w:t>
            </w:r>
          </w:p>
        </w:tc>
      </w:tr>
      <w:tr w:rsidR="004012BB" w:rsidRPr="00BB7C9E" w14:paraId="50680F55" w14:textId="77777777" w:rsidTr="004012BB">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35C2EC93" w14:textId="77777777" w:rsidR="004012BB" w:rsidRPr="000D14B9" w:rsidRDefault="004012BB" w:rsidP="004012BB">
            <w:pPr>
              <w:rPr>
                <w:rFonts w:cs="Calibri"/>
                <w:color w:val="000000" w:themeColor="text1"/>
                <w:sz w:val="11"/>
                <w:szCs w:val="11"/>
              </w:rPr>
            </w:pPr>
            <w:r w:rsidRPr="000D14B9">
              <w:rPr>
                <w:rFonts w:cs="Calibri"/>
                <w:color w:val="000000" w:themeColor="text1"/>
                <w:sz w:val="11"/>
                <w:szCs w:val="11"/>
              </w:rPr>
              <w:t>- innych zwiększeń</w:t>
            </w:r>
          </w:p>
        </w:tc>
        <w:tc>
          <w:tcPr>
            <w:tcW w:w="111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11FA8DCF" w14:textId="2ED8EC00"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single" w:sz="4" w:space="0" w:color="0077BD"/>
              <w:left w:val="nil"/>
              <w:bottom w:val="single" w:sz="4" w:space="0" w:color="0077BD"/>
              <w:right w:val="single" w:sz="8" w:space="0" w:color="0077BD"/>
            </w:tcBorders>
            <w:shd w:val="clear" w:color="auto" w:fill="auto"/>
            <w:noWrap/>
            <w:vAlign w:val="center"/>
          </w:tcPr>
          <w:p w14:paraId="541EFFD6" w14:textId="52E29251"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4499314" w14:textId="591410DB"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559C340A" w14:textId="71D77CD2"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(1 226)</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485524D" w14:textId="72DC6744"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69B338AD" w14:textId="7BEE0191" w:rsidR="004012BB" w:rsidRPr="00F8669A" w:rsidRDefault="00AF4D6A" w:rsidP="00AF4D6A">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1B92237C" w14:textId="386285D4" w:rsidR="004012BB" w:rsidRPr="00F8669A" w:rsidRDefault="004012BB" w:rsidP="00AF4D6A">
            <w:pPr>
              <w:jc w:val="right"/>
              <w:rPr>
                <w:rFonts w:cs="Calibri"/>
                <w:color w:val="000000" w:themeColor="text1"/>
                <w:sz w:val="11"/>
                <w:szCs w:val="11"/>
              </w:rPr>
            </w:pPr>
            <w:r w:rsidRPr="00F8669A">
              <w:rPr>
                <w:rFonts w:cs="Calibri"/>
                <w:color w:val="000000" w:themeColor="text1"/>
                <w:sz w:val="11"/>
                <w:szCs w:val="11"/>
              </w:rPr>
              <w:t>(</w:t>
            </w:r>
            <w:r w:rsidR="00AF4D6A" w:rsidRPr="00F8669A">
              <w:rPr>
                <w:rFonts w:cs="Calibri"/>
                <w:color w:val="000000" w:themeColor="text1"/>
                <w:sz w:val="11"/>
                <w:szCs w:val="11"/>
              </w:rPr>
              <w:t>1 226</w:t>
            </w:r>
            <w:r w:rsidRPr="00F8669A">
              <w:rPr>
                <w:rFonts w:cs="Calibri"/>
                <w:color w:val="000000" w:themeColor="text1"/>
                <w:sz w:val="11"/>
                <w:szCs w:val="11"/>
              </w:rPr>
              <w:t>)</w:t>
            </w:r>
          </w:p>
        </w:tc>
      </w:tr>
      <w:tr w:rsidR="004012BB" w:rsidRPr="00BB7C9E" w14:paraId="6177F669" w14:textId="77777777" w:rsidTr="004012BB">
        <w:trPr>
          <w:trHeight w:val="255"/>
        </w:trPr>
        <w:tc>
          <w:tcPr>
            <w:tcW w:w="0" w:type="auto"/>
            <w:tcBorders>
              <w:top w:val="nil"/>
              <w:left w:val="nil"/>
              <w:bottom w:val="single" w:sz="4" w:space="0" w:color="0077BD"/>
              <w:right w:val="single" w:sz="8" w:space="0" w:color="0077BD"/>
            </w:tcBorders>
            <w:shd w:val="clear" w:color="auto" w:fill="auto"/>
            <w:vAlign w:val="center"/>
            <w:hideMark/>
          </w:tcPr>
          <w:p w14:paraId="61E18E43" w14:textId="77777777" w:rsidR="004012BB" w:rsidRPr="000D14B9" w:rsidRDefault="004012BB" w:rsidP="004012BB">
            <w:pPr>
              <w:rPr>
                <w:rFonts w:cs="Calibri"/>
                <w:color w:val="000000" w:themeColor="text1"/>
                <w:sz w:val="11"/>
                <w:szCs w:val="11"/>
              </w:rPr>
            </w:pPr>
            <w:r w:rsidRPr="000D14B9">
              <w:rPr>
                <w:rFonts w:cs="Calibri"/>
                <w:color w:val="000000" w:themeColor="text1"/>
                <w:sz w:val="11"/>
                <w:szCs w:val="11"/>
              </w:rPr>
              <w:t>- likwidacji</w:t>
            </w:r>
          </w:p>
        </w:tc>
        <w:tc>
          <w:tcPr>
            <w:tcW w:w="1116"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51B84AC" w14:textId="4A4474AB"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99" w:type="dxa"/>
            <w:tcBorders>
              <w:top w:val="single" w:sz="4" w:space="0" w:color="0077BD"/>
              <w:left w:val="nil"/>
              <w:bottom w:val="single" w:sz="4" w:space="0" w:color="0077BD"/>
              <w:right w:val="single" w:sz="8" w:space="0" w:color="0077BD"/>
            </w:tcBorders>
            <w:shd w:val="clear" w:color="auto" w:fill="auto"/>
            <w:noWrap/>
            <w:vAlign w:val="center"/>
          </w:tcPr>
          <w:p w14:paraId="2BBD7647" w14:textId="3F3CACCC"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102 106</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1E6F59B0" w14:textId="15BDDE6F"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32 622</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0D06AE3" w14:textId="300B1760"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46A157E9" w14:textId="348C898E"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tcPr>
          <w:p w14:paraId="36B6707E" w14:textId="0E85D199"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single" w:sz="4" w:space="0" w:color="0077BD"/>
              <w:left w:val="nil"/>
              <w:bottom w:val="single" w:sz="4" w:space="0" w:color="0077BD"/>
              <w:right w:val="nil"/>
            </w:tcBorders>
            <w:shd w:val="clear" w:color="auto" w:fill="auto"/>
            <w:noWrap/>
            <w:vAlign w:val="center"/>
          </w:tcPr>
          <w:p w14:paraId="10066C5D" w14:textId="3EC69939"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102 106</w:t>
            </w:r>
          </w:p>
        </w:tc>
      </w:tr>
      <w:tr w:rsidR="004012BB" w:rsidRPr="00BB7C9E" w14:paraId="2FA4EF4B" w14:textId="77777777" w:rsidTr="004012BB">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5235170D" w14:textId="77777777" w:rsidR="004012BB" w:rsidRPr="000D14B9" w:rsidRDefault="004012BB" w:rsidP="004012BB">
            <w:pPr>
              <w:rPr>
                <w:rFonts w:cs="Calibri"/>
                <w:color w:val="000000" w:themeColor="text1"/>
                <w:sz w:val="11"/>
                <w:szCs w:val="11"/>
              </w:rPr>
            </w:pPr>
            <w:r w:rsidRPr="000D14B9">
              <w:rPr>
                <w:rFonts w:cs="Calibri"/>
                <w:color w:val="000000" w:themeColor="text1"/>
                <w:sz w:val="11"/>
                <w:szCs w:val="11"/>
              </w:rPr>
              <w:t>- innych zmniejszeń</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59C21FB1" w14:textId="1E0CECAC"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39</w:t>
            </w:r>
          </w:p>
        </w:tc>
        <w:tc>
          <w:tcPr>
            <w:tcW w:w="1099" w:type="dxa"/>
            <w:tcBorders>
              <w:top w:val="nil"/>
              <w:left w:val="nil"/>
              <w:bottom w:val="single" w:sz="8" w:space="0" w:color="0077BD"/>
              <w:right w:val="single" w:sz="8" w:space="0" w:color="0077BD"/>
            </w:tcBorders>
            <w:shd w:val="clear" w:color="auto" w:fill="auto"/>
            <w:noWrap/>
            <w:vAlign w:val="center"/>
          </w:tcPr>
          <w:p w14:paraId="0746BE91" w14:textId="70E03CDA"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677</w:t>
            </w:r>
          </w:p>
        </w:tc>
        <w:tc>
          <w:tcPr>
            <w:tcW w:w="1134" w:type="dxa"/>
            <w:tcBorders>
              <w:top w:val="nil"/>
              <w:left w:val="nil"/>
              <w:bottom w:val="single" w:sz="8" w:space="0" w:color="0077BD"/>
              <w:right w:val="single" w:sz="8" w:space="0" w:color="0077BD"/>
            </w:tcBorders>
            <w:shd w:val="clear" w:color="auto" w:fill="auto"/>
            <w:noWrap/>
            <w:vAlign w:val="center"/>
          </w:tcPr>
          <w:p w14:paraId="40097E6B" w14:textId="658B6424"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676</w:t>
            </w:r>
          </w:p>
        </w:tc>
        <w:tc>
          <w:tcPr>
            <w:tcW w:w="1134" w:type="dxa"/>
            <w:tcBorders>
              <w:top w:val="nil"/>
              <w:left w:val="nil"/>
              <w:bottom w:val="single" w:sz="8" w:space="0" w:color="0077BD"/>
              <w:right w:val="single" w:sz="8" w:space="0" w:color="0077BD"/>
            </w:tcBorders>
            <w:shd w:val="clear" w:color="auto" w:fill="auto"/>
            <w:noWrap/>
            <w:vAlign w:val="center"/>
          </w:tcPr>
          <w:p w14:paraId="47439C1F" w14:textId="2F8D971D"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07C93585" w14:textId="65EB0BCC"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4D16E424" w14:textId="05309044"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023B1518" w14:textId="331B3D8C" w:rsidR="004012BB" w:rsidRPr="00F8669A" w:rsidRDefault="004012BB" w:rsidP="004012BB">
            <w:pPr>
              <w:jc w:val="right"/>
              <w:rPr>
                <w:rFonts w:cs="Calibri"/>
                <w:color w:val="000000" w:themeColor="text1"/>
                <w:sz w:val="11"/>
                <w:szCs w:val="11"/>
              </w:rPr>
            </w:pPr>
            <w:r w:rsidRPr="00F8669A">
              <w:rPr>
                <w:rFonts w:cs="Calibri"/>
                <w:color w:val="000000" w:themeColor="text1"/>
                <w:sz w:val="11"/>
                <w:szCs w:val="11"/>
              </w:rPr>
              <w:t>716</w:t>
            </w:r>
          </w:p>
        </w:tc>
      </w:tr>
      <w:tr w:rsidR="004012BB" w:rsidRPr="00BB7C9E" w14:paraId="06F892CC" w14:textId="77777777" w:rsidTr="004012BB">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657CE537" w14:textId="31124289" w:rsidR="004012BB" w:rsidRPr="000D14B9" w:rsidRDefault="004012BB" w:rsidP="004012BB">
            <w:pPr>
              <w:rPr>
                <w:rFonts w:cs="Calibri"/>
                <w:b/>
                <w:bCs/>
                <w:color w:val="000000" w:themeColor="text1"/>
                <w:sz w:val="11"/>
                <w:szCs w:val="11"/>
              </w:rPr>
            </w:pPr>
            <w:r w:rsidRPr="000D14B9">
              <w:rPr>
                <w:rFonts w:cs="Calibri"/>
                <w:b/>
                <w:bCs/>
                <w:color w:val="000000" w:themeColor="text1"/>
                <w:sz w:val="11"/>
                <w:szCs w:val="11"/>
              </w:rPr>
              <w:t>Skumulowana amortyzacja (umorzenie) na koniec okresu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03725F14" w14:textId="3714EA38"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nil"/>
              <w:left w:val="nil"/>
              <w:bottom w:val="single" w:sz="8" w:space="0" w:color="0077BD"/>
              <w:right w:val="single" w:sz="8" w:space="0" w:color="0077BD"/>
            </w:tcBorders>
            <w:shd w:val="clear" w:color="auto" w:fill="auto"/>
            <w:noWrap/>
            <w:vAlign w:val="center"/>
          </w:tcPr>
          <w:p w14:paraId="55B62B8D" w14:textId="386A2F53"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(913 500)</w:t>
            </w:r>
          </w:p>
        </w:tc>
        <w:tc>
          <w:tcPr>
            <w:tcW w:w="1134" w:type="dxa"/>
            <w:tcBorders>
              <w:top w:val="nil"/>
              <w:left w:val="nil"/>
              <w:bottom w:val="single" w:sz="8" w:space="0" w:color="0077BD"/>
              <w:right w:val="single" w:sz="8" w:space="0" w:color="0077BD"/>
            </w:tcBorders>
            <w:shd w:val="clear" w:color="auto" w:fill="auto"/>
            <w:noWrap/>
            <w:vAlign w:val="center"/>
          </w:tcPr>
          <w:p w14:paraId="48B19D49" w14:textId="5CA659D8"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(697 534)</w:t>
            </w:r>
          </w:p>
        </w:tc>
        <w:tc>
          <w:tcPr>
            <w:tcW w:w="1134" w:type="dxa"/>
            <w:tcBorders>
              <w:top w:val="nil"/>
              <w:left w:val="nil"/>
              <w:bottom w:val="single" w:sz="8" w:space="0" w:color="0077BD"/>
              <w:right w:val="single" w:sz="8" w:space="0" w:color="0077BD"/>
            </w:tcBorders>
            <w:shd w:val="clear" w:color="auto" w:fill="auto"/>
            <w:noWrap/>
            <w:vAlign w:val="center"/>
          </w:tcPr>
          <w:p w14:paraId="60EBC3EC" w14:textId="74D19360"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(22 408)</w:t>
            </w:r>
          </w:p>
        </w:tc>
        <w:tc>
          <w:tcPr>
            <w:tcW w:w="1134" w:type="dxa"/>
            <w:tcBorders>
              <w:top w:val="nil"/>
              <w:left w:val="nil"/>
              <w:bottom w:val="single" w:sz="8" w:space="0" w:color="0077BD"/>
              <w:right w:val="single" w:sz="8" w:space="0" w:color="0077BD"/>
            </w:tcBorders>
            <w:shd w:val="clear" w:color="auto" w:fill="auto"/>
            <w:noWrap/>
            <w:vAlign w:val="center"/>
          </w:tcPr>
          <w:p w14:paraId="4FC81CBC" w14:textId="270FB6E6"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4B0336A2" w14:textId="075E6F93" w:rsidR="004012BB" w:rsidRPr="00F8669A" w:rsidRDefault="00BC1AA5"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076" w:type="dxa"/>
            <w:tcBorders>
              <w:top w:val="nil"/>
              <w:left w:val="nil"/>
              <w:bottom w:val="single" w:sz="8" w:space="0" w:color="0077BD"/>
              <w:right w:val="nil"/>
            </w:tcBorders>
            <w:shd w:val="clear" w:color="auto" w:fill="auto"/>
            <w:noWrap/>
            <w:vAlign w:val="center"/>
          </w:tcPr>
          <w:p w14:paraId="5553B2A0" w14:textId="141689FB" w:rsidR="004012BB" w:rsidRPr="00F8669A" w:rsidRDefault="006A71E2" w:rsidP="006A71E2">
            <w:pPr>
              <w:jc w:val="right"/>
              <w:rPr>
                <w:rFonts w:cs="Calibri"/>
                <w:b/>
                <w:bCs/>
                <w:color w:val="000000" w:themeColor="text1"/>
                <w:sz w:val="11"/>
                <w:szCs w:val="11"/>
              </w:rPr>
            </w:pPr>
            <w:r w:rsidRPr="00F8669A">
              <w:rPr>
                <w:rFonts w:cs="Calibri"/>
                <w:b/>
                <w:bCs/>
                <w:color w:val="000000" w:themeColor="text1"/>
                <w:sz w:val="11"/>
                <w:szCs w:val="11"/>
              </w:rPr>
              <w:t>(935</w:t>
            </w:r>
            <w:r w:rsidR="004012BB" w:rsidRPr="00F8669A">
              <w:rPr>
                <w:rFonts w:cs="Calibri"/>
                <w:b/>
                <w:bCs/>
                <w:color w:val="000000" w:themeColor="text1"/>
                <w:sz w:val="11"/>
                <w:szCs w:val="11"/>
              </w:rPr>
              <w:t xml:space="preserve"> </w:t>
            </w:r>
            <w:r w:rsidRPr="00F8669A">
              <w:rPr>
                <w:rFonts w:cs="Calibri"/>
                <w:b/>
                <w:bCs/>
                <w:color w:val="000000" w:themeColor="text1"/>
                <w:sz w:val="11"/>
                <w:szCs w:val="11"/>
              </w:rPr>
              <w:t>908</w:t>
            </w:r>
            <w:r w:rsidR="004012BB" w:rsidRPr="00F8669A">
              <w:rPr>
                <w:rFonts w:cs="Calibri"/>
                <w:b/>
                <w:bCs/>
                <w:color w:val="000000" w:themeColor="text1"/>
                <w:sz w:val="11"/>
                <w:szCs w:val="11"/>
              </w:rPr>
              <w:t>)</w:t>
            </w:r>
          </w:p>
        </w:tc>
      </w:tr>
      <w:tr w:rsidR="004012BB" w:rsidRPr="00BB7C9E" w14:paraId="72CB8A71" w14:textId="77777777" w:rsidTr="004012BB">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09245A74" w14:textId="0A4B9B3D" w:rsidR="004012BB" w:rsidRPr="000D14B9" w:rsidRDefault="004012BB" w:rsidP="004012BB">
            <w:pPr>
              <w:rPr>
                <w:rFonts w:cs="Calibri"/>
                <w:b/>
                <w:bCs/>
                <w:color w:val="000000" w:themeColor="text1"/>
                <w:sz w:val="11"/>
                <w:szCs w:val="11"/>
              </w:rPr>
            </w:pPr>
            <w:r w:rsidRPr="000D14B9">
              <w:rPr>
                <w:rFonts w:cs="Calibri"/>
                <w:b/>
                <w:bCs/>
                <w:color w:val="000000" w:themeColor="text1"/>
                <w:sz w:val="11"/>
                <w:szCs w:val="11"/>
              </w:rPr>
              <w:t>Odpisy z tytułu utraty wartości na początek okresu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52AECC69" w14:textId="0FCE03FA"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nil"/>
              <w:left w:val="nil"/>
              <w:bottom w:val="single" w:sz="8" w:space="0" w:color="0077BD"/>
              <w:right w:val="single" w:sz="8" w:space="0" w:color="0077BD"/>
            </w:tcBorders>
            <w:shd w:val="clear" w:color="auto" w:fill="auto"/>
            <w:noWrap/>
            <w:vAlign w:val="center"/>
          </w:tcPr>
          <w:p w14:paraId="16E4C1CC" w14:textId="6D7B46C3"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60EB66EE" w14:textId="2D56A8D8"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41D89EAA" w14:textId="70981FA3"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2E4BB04F" w14:textId="1702A0C3"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tcPr>
          <w:p w14:paraId="28B7844B" w14:textId="5ADE05B8"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(1 196)</w:t>
            </w:r>
          </w:p>
        </w:tc>
        <w:tc>
          <w:tcPr>
            <w:tcW w:w="1076" w:type="dxa"/>
            <w:tcBorders>
              <w:top w:val="nil"/>
              <w:left w:val="nil"/>
              <w:bottom w:val="single" w:sz="8" w:space="0" w:color="0077BD"/>
              <w:right w:val="nil"/>
            </w:tcBorders>
            <w:shd w:val="clear" w:color="auto" w:fill="auto"/>
            <w:noWrap/>
            <w:vAlign w:val="center"/>
          </w:tcPr>
          <w:p w14:paraId="235AF090" w14:textId="128E5C7B"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(1 196)</w:t>
            </w:r>
          </w:p>
        </w:tc>
      </w:tr>
      <w:tr w:rsidR="004012BB" w:rsidRPr="004012BB" w14:paraId="0F4FA3A7" w14:textId="77777777" w:rsidTr="008A74B2">
        <w:trPr>
          <w:trHeight w:val="255"/>
        </w:trPr>
        <w:tc>
          <w:tcPr>
            <w:tcW w:w="0" w:type="auto"/>
            <w:tcBorders>
              <w:top w:val="nil"/>
              <w:left w:val="nil"/>
              <w:bottom w:val="single" w:sz="8" w:space="0" w:color="0077BD"/>
              <w:right w:val="single" w:sz="8" w:space="0" w:color="0077BD"/>
            </w:tcBorders>
            <w:shd w:val="clear" w:color="auto" w:fill="auto"/>
            <w:vAlign w:val="center"/>
          </w:tcPr>
          <w:p w14:paraId="3D2B415B" w14:textId="5D5D3145" w:rsidR="004012BB" w:rsidRPr="000D14B9" w:rsidRDefault="004012BB" w:rsidP="004012BB">
            <w:pPr>
              <w:rPr>
                <w:rFonts w:cs="Calibri"/>
                <w:bCs/>
                <w:color w:val="000000" w:themeColor="text1"/>
                <w:sz w:val="11"/>
                <w:szCs w:val="11"/>
              </w:rPr>
            </w:pPr>
            <w:r w:rsidRPr="000D14B9">
              <w:rPr>
                <w:rFonts w:cs="Calibri"/>
                <w:bCs/>
                <w:color w:val="000000" w:themeColor="text1"/>
                <w:sz w:val="11"/>
                <w:szCs w:val="11"/>
              </w:rPr>
              <w:t>- zwiększenie</w:t>
            </w:r>
          </w:p>
        </w:tc>
        <w:tc>
          <w:tcPr>
            <w:tcW w:w="1116"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3F770BF6" w14:textId="3D008BE5" w:rsidR="004012BB" w:rsidRPr="00F8669A" w:rsidRDefault="004012BB" w:rsidP="004012BB">
            <w:pPr>
              <w:jc w:val="right"/>
              <w:rPr>
                <w:rFonts w:cs="Calibri"/>
                <w:bCs/>
                <w:color w:val="000000" w:themeColor="text1"/>
                <w:sz w:val="11"/>
                <w:szCs w:val="11"/>
              </w:rPr>
            </w:pPr>
            <w:r w:rsidRPr="00F8669A">
              <w:rPr>
                <w:rFonts w:cs="Calibri"/>
                <w:color w:val="000000" w:themeColor="text1"/>
                <w:sz w:val="11"/>
                <w:szCs w:val="11"/>
              </w:rPr>
              <w:t>-</w:t>
            </w:r>
          </w:p>
        </w:tc>
        <w:tc>
          <w:tcPr>
            <w:tcW w:w="1099" w:type="dxa"/>
            <w:tcBorders>
              <w:top w:val="single" w:sz="8" w:space="0" w:color="0077BD"/>
              <w:left w:val="nil"/>
              <w:bottom w:val="single" w:sz="4" w:space="0" w:color="0077BD"/>
              <w:right w:val="single" w:sz="8" w:space="0" w:color="0077BD"/>
            </w:tcBorders>
            <w:shd w:val="clear" w:color="auto" w:fill="auto"/>
            <w:noWrap/>
            <w:vAlign w:val="center"/>
          </w:tcPr>
          <w:p w14:paraId="5512B648" w14:textId="5903949A" w:rsidR="004012BB" w:rsidRPr="00F8669A" w:rsidRDefault="004012BB" w:rsidP="004012BB">
            <w:pPr>
              <w:jc w:val="right"/>
              <w:rPr>
                <w:rFonts w:cs="Calibri"/>
                <w:bCs/>
                <w:color w:val="000000" w:themeColor="text1"/>
                <w:sz w:val="11"/>
                <w:szCs w:val="11"/>
              </w:rPr>
            </w:pPr>
            <w:r w:rsidRPr="00F8669A">
              <w:rPr>
                <w:rFonts w:cs="Calibri"/>
                <w:color w:val="000000" w:themeColor="text1"/>
                <w:sz w:val="11"/>
                <w:szCs w:val="11"/>
              </w:rPr>
              <w:t>-</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49E7C0CC" w14:textId="7968AB90" w:rsidR="004012BB" w:rsidRPr="00F8669A" w:rsidRDefault="004012BB" w:rsidP="004012BB">
            <w:pPr>
              <w:jc w:val="right"/>
              <w:rPr>
                <w:rFonts w:cs="Calibri"/>
                <w:bCs/>
                <w:color w:val="000000" w:themeColor="text1"/>
                <w:sz w:val="11"/>
                <w:szCs w:val="11"/>
              </w:rPr>
            </w:pPr>
            <w:r w:rsidRPr="00F8669A">
              <w:rPr>
                <w:rFonts w:cs="Calibri"/>
                <w:color w:val="000000" w:themeColor="text1"/>
                <w:sz w:val="11"/>
                <w:szCs w:val="11"/>
              </w:rPr>
              <w:t>-</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5ADC2760" w14:textId="3F8AA86D" w:rsidR="004012BB" w:rsidRPr="00F8669A" w:rsidRDefault="004012BB" w:rsidP="004012BB">
            <w:pPr>
              <w:jc w:val="right"/>
              <w:rPr>
                <w:rFonts w:cs="Calibri"/>
                <w:bCs/>
                <w:color w:val="000000" w:themeColor="text1"/>
                <w:sz w:val="11"/>
                <w:szCs w:val="11"/>
              </w:rPr>
            </w:pPr>
            <w:r w:rsidRPr="00F8669A">
              <w:rPr>
                <w:rFonts w:cs="Calibri"/>
                <w:color w:val="000000" w:themeColor="text1"/>
                <w:sz w:val="11"/>
                <w:szCs w:val="11"/>
              </w:rPr>
              <w:t>-</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4ADF82D6" w14:textId="3B624A90" w:rsidR="004012BB" w:rsidRPr="00F8669A" w:rsidRDefault="004012BB" w:rsidP="00BC1AA5">
            <w:pPr>
              <w:jc w:val="right"/>
              <w:rPr>
                <w:rFonts w:cs="Calibri"/>
                <w:bCs/>
                <w:color w:val="000000" w:themeColor="text1"/>
                <w:sz w:val="11"/>
                <w:szCs w:val="11"/>
              </w:rPr>
            </w:pPr>
            <w:r w:rsidRPr="00F8669A">
              <w:rPr>
                <w:rFonts w:cs="Calibri"/>
                <w:color w:val="000000" w:themeColor="text1"/>
                <w:sz w:val="11"/>
                <w:szCs w:val="11"/>
              </w:rPr>
              <w:t>(33</w:t>
            </w:r>
            <w:r w:rsidR="00BC1AA5" w:rsidRPr="00F8669A">
              <w:rPr>
                <w:rFonts w:cs="Calibri"/>
                <w:color w:val="000000" w:themeColor="text1"/>
                <w:sz w:val="11"/>
                <w:szCs w:val="11"/>
              </w:rPr>
              <w:t>7</w:t>
            </w:r>
            <w:r w:rsidRPr="00F8669A">
              <w:rPr>
                <w:rFonts w:cs="Calibri"/>
                <w:color w:val="000000" w:themeColor="text1"/>
                <w:sz w:val="11"/>
                <w:szCs w:val="11"/>
              </w:rPr>
              <w:t>)</w:t>
            </w:r>
          </w:p>
        </w:tc>
        <w:tc>
          <w:tcPr>
            <w:tcW w:w="1134" w:type="dxa"/>
            <w:tcBorders>
              <w:top w:val="single" w:sz="8" w:space="0" w:color="0077BD"/>
              <w:left w:val="nil"/>
              <w:bottom w:val="single" w:sz="4" w:space="0" w:color="0077BD"/>
              <w:right w:val="single" w:sz="8" w:space="0" w:color="0077BD"/>
            </w:tcBorders>
            <w:shd w:val="clear" w:color="auto" w:fill="auto"/>
            <w:noWrap/>
            <w:vAlign w:val="center"/>
          </w:tcPr>
          <w:p w14:paraId="7BAB3A55" w14:textId="630D9B91" w:rsidR="004012BB" w:rsidRPr="00F8669A" w:rsidRDefault="004012BB" w:rsidP="004012BB">
            <w:pPr>
              <w:jc w:val="right"/>
              <w:rPr>
                <w:rFonts w:cs="Calibri"/>
                <w:bCs/>
                <w:color w:val="000000" w:themeColor="text1"/>
                <w:sz w:val="11"/>
                <w:szCs w:val="11"/>
              </w:rPr>
            </w:pPr>
            <w:r w:rsidRPr="00F8669A">
              <w:rPr>
                <w:rFonts w:cs="Calibri"/>
                <w:color w:val="000000" w:themeColor="text1"/>
                <w:sz w:val="11"/>
                <w:szCs w:val="11"/>
              </w:rPr>
              <w:t>-</w:t>
            </w:r>
          </w:p>
        </w:tc>
        <w:tc>
          <w:tcPr>
            <w:tcW w:w="1076" w:type="dxa"/>
            <w:tcBorders>
              <w:top w:val="single" w:sz="8" w:space="0" w:color="0077BD"/>
              <w:left w:val="nil"/>
              <w:bottom w:val="single" w:sz="4" w:space="0" w:color="0077BD"/>
              <w:right w:val="nil"/>
            </w:tcBorders>
            <w:shd w:val="clear" w:color="auto" w:fill="auto"/>
            <w:noWrap/>
            <w:vAlign w:val="center"/>
          </w:tcPr>
          <w:p w14:paraId="72E9D2FA" w14:textId="0A36BB71" w:rsidR="004012BB" w:rsidRPr="00F8669A" w:rsidRDefault="00BC1AA5" w:rsidP="004012BB">
            <w:pPr>
              <w:jc w:val="right"/>
              <w:rPr>
                <w:rFonts w:cs="Calibri"/>
                <w:bCs/>
                <w:color w:val="000000" w:themeColor="text1"/>
                <w:sz w:val="11"/>
                <w:szCs w:val="11"/>
              </w:rPr>
            </w:pPr>
            <w:r w:rsidRPr="00F8669A">
              <w:rPr>
                <w:rFonts w:cs="Calibri"/>
                <w:color w:val="000000" w:themeColor="text1"/>
                <w:sz w:val="11"/>
                <w:szCs w:val="11"/>
              </w:rPr>
              <w:t>(337</w:t>
            </w:r>
            <w:r w:rsidR="004012BB" w:rsidRPr="00F8669A">
              <w:rPr>
                <w:rFonts w:cs="Calibri"/>
                <w:color w:val="000000" w:themeColor="text1"/>
                <w:sz w:val="11"/>
                <w:szCs w:val="11"/>
              </w:rPr>
              <w:t>)</w:t>
            </w:r>
          </w:p>
        </w:tc>
      </w:tr>
      <w:tr w:rsidR="004012BB" w:rsidRPr="00BB7C9E" w14:paraId="344028FB" w14:textId="77777777" w:rsidTr="004012BB">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058B11DB" w14:textId="1695388D" w:rsidR="004012BB" w:rsidRPr="000D14B9" w:rsidRDefault="004012BB" w:rsidP="004012BB">
            <w:pPr>
              <w:rPr>
                <w:rFonts w:cs="Calibri"/>
                <w:b/>
                <w:bCs/>
                <w:color w:val="000000" w:themeColor="text1"/>
                <w:sz w:val="11"/>
                <w:szCs w:val="11"/>
              </w:rPr>
            </w:pPr>
            <w:r w:rsidRPr="000D14B9">
              <w:rPr>
                <w:rFonts w:cs="Calibri"/>
                <w:b/>
                <w:bCs/>
                <w:color w:val="000000" w:themeColor="text1"/>
                <w:sz w:val="11"/>
                <w:szCs w:val="11"/>
              </w:rPr>
              <w:t xml:space="preserve">Odpisy z tytułu utraty wartości na koniec okresu: </w:t>
            </w:r>
          </w:p>
        </w:tc>
        <w:tc>
          <w:tcPr>
            <w:tcW w:w="1116"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4338BB53" w14:textId="398A024D"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single" w:sz="8" w:space="0" w:color="0077BD"/>
              <w:left w:val="nil"/>
              <w:bottom w:val="single" w:sz="8" w:space="0" w:color="0077BD"/>
              <w:right w:val="single" w:sz="8" w:space="0" w:color="0077BD"/>
            </w:tcBorders>
            <w:shd w:val="clear" w:color="auto" w:fill="auto"/>
            <w:noWrap/>
            <w:vAlign w:val="center"/>
          </w:tcPr>
          <w:p w14:paraId="727744E7" w14:textId="7E8717BD"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649B4561" w14:textId="1FA6B0B6"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33C196FF" w14:textId="58D6041E"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24CA78AC" w14:textId="7DF447D6" w:rsidR="004012BB" w:rsidRPr="00F8669A" w:rsidRDefault="004012BB" w:rsidP="00BC1AA5">
            <w:pPr>
              <w:jc w:val="right"/>
              <w:rPr>
                <w:rFonts w:cs="Calibri"/>
                <w:b/>
                <w:bCs/>
                <w:color w:val="000000" w:themeColor="text1"/>
                <w:sz w:val="11"/>
                <w:szCs w:val="11"/>
              </w:rPr>
            </w:pPr>
            <w:r w:rsidRPr="00F8669A">
              <w:rPr>
                <w:rFonts w:cs="Calibri"/>
                <w:b/>
                <w:bCs/>
                <w:color w:val="000000" w:themeColor="text1"/>
                <w:sz w:val="11"/>
                <w:szCs w:val="11"/>
              </w:rPr>
              <w:t>(33</w:t>
            </w:r>
            <w:r w:rsidR="00BC1AA5" w:rsidRPr="00F8669A">
              <w:rPr>
                <w:rFonts w:cs="Calibri"/>
                <w:b/>
                <w:bCs/>
                <w:color w:val="000000" w:themeColor="text1"/>
                <w:sz w:val="11"/>
                <w:szCs w:val="11"/>
              </w:rPr>
              <w:t>7</w:t>
            </w:r>
            <w:r w:rsidRPr="00F8669A">
              <w:rPr>
                <w:rFonts w:cs="Calibri"/>
                <w:b/>
                <w:bCs/>
                <w:color w:val="000000" w:themeColor="text1"/>
                <w:sz w:val="11"/>
                <w:szCs w:val="11"/>
              </w:rPr>
              <w:t>)</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068435A1" w14:textId="41049A83" w:rsidR="004012BB" w:rsidRPr="00F8669A" w:rsidRDefault="004012BB" w:rsidP="004012BB">
            <w:pPr>
              <w:jc w:val="right"/>
              <w:rPr>
                <w:rFonts w:cs="Calibri"/>
                <w:b/>
                <w:bCs/>
                <w:color w:val="000000" w:themeColor="text1"/>
                <w:sz w:val="11"/>
                <w:szCs w:val="11"/>
              </w:rPr>
            </w:pPr>
            <w:r w:rsidRPr="00F8669A">
              <w:rPr>
                <w:rFonts w:cs="Calibri"/>
                <w:b/>
                <w:bCs/>
                <w:color w:val="000000" w:themeColor="text1"/>
                <w:sz w:val="11"/>
                <w:szCs w:val="11"/>
              </w:rPr>
              <w:t>(1 196)</w:t>
            </w:r>
          </w:p>
        </w:tc>
        <w:tc>
          <w:tcPr>
            <w:tcW w:w="1076" w:type="dxa"/>
            <w:tcBorders>
              <w:top w:val="single" w:sz="8" w:space="0" w:color="0077BD"/>
              <w:left w:val="nil"/>
              <w:bottom w:val="single" w:sz="8" w:space="0" w:color="0077BD"/>
              <w:right w:val="nil"/>
            </w:tcBorders>
            <w:shd w:val="clear" w:color="auto" w:fill="auto"/>
            <w:noWrap/>
            <w:vAlign w:val="center"/>
          </w:tcPr>
          <w:p w14:paraId="190A1E7C" w14:textId="09A4C75C" w:rsidR="004012BB" w:rsidRPr="00F8669A" w:rsidRDefault="004012BB" w:rsidP="00BC1AA5">
            <w:pPr>
              <w:jc w:val="right"/>
              <w:rPr>
                <w:rFonts w:cs="Calibri"/>
                <w:b/>
                <w:bCs/>
                <w:color w:val="000000" w:themeColor="text1"/>
                <w:sz w:val="11"/>
                <w:szCs w:val="11"/>
              </w:rPr>
            </w:pPr>
            <w:r w:rsidRPr="00F8669A">
              <w:rPr>
                <w:rFonts w:cs="Calibri"/>
                <w:b/>
                <w:bCs/>
                <w:color w:val="000000" w:themeColor="text1"/>
                <w:sz w:val="11"/>
                <w:szCs w:val="11"/>
              </w:rPr>
              <w:t>(1 53</w:t>
            </w:r>
            <w:r w:rsidR="00BC1AA5" w:rsidRPr="00F8669A">
              <w:rPr>
                <w:rFonts w:cs="Calibri"/>
                <w:b/>
                <w:bCs/>
                <w:color w:val="000000" w:themeColor="text1"/>
                <w:sz w:val="11"/>
                <w:szCs w:val="11"/>
              </w:rPr>
              <w:t>3</w:t>
            </w:r>
            <w:r w:rsidRPr="00F8669A">
              <w:rPr>
                <w:rFonts w:cs="Calibri"/>
                <w:b/>
                <w:bCs/>
                <w:color w:val="000000" w:themeColor="text1"/>
                <w:sz w:val="11"/>
                <w:szCs w:val="11"/>
              </w:rPr>
              <w:t>)</w:t>
            </w:r>
          </w:p>
        </w:tc>
      </w:tr>
      <w:tr w:rsidR="00AC703A" w:rsidRPr="00BB7C9E" w14:paraId="29CD8100" w14:textId="77777777" w:rsidTr="00AC703A">
        <w:trPr>
          <w:trHeight w:val="454"/>
        </w:trPr>
        <w:tc>
          <w:tcPr>
            <w:tcW w:w="0" w:type="auto"/>
            <w:tcBorders>
              <w:top w:val="nil"/>
              <w:left w:val="nil"/>
              <w:bottom w:val="single" w:sz="8" w:space="0" w:color="0077BD"/>
              <w:right w:val="single" w:sz="8" w:space="0" w:color="0077BD"/>
            </w:tcBorders>
            <w:shd w:val="clear" w:color="auto" w:fill="auto"/>
            <w:vAlign w:val="center"/>
            <w:hideMark/>
          </w:tcPr>
          <w:p w14:paraId="1C70E5ED" w14:textId="168D39F2" w:rsidR="00AC703A" w:rsidRPr="000D14B9" w:rsidRDefault="00AC703A" w:rsidP="00AC703A">
            <w:pPr>
              <w:rPr>
                <w:rFonts w:cs="Calibri"/>
                <w:b/>
                <w:bCs/>
                <w:color w:val="000000" w:themeColor="text1"/>
                <w:sz w:val="11"/>
                <w:szCs w:val="11"/>
              </w:rPr>
            </w:pPr>
            <w:r w:rsidRPr="000D14B9">
              <w:rPr>
                <w:rFonts w:cs="Calibri"/>
                <w:b/>
                <w:bCs/>
                <w:color w:val="000000" w:themeColor="text1"/>
                <w:sz w:val="11"/>
                <w:szCs w:val="11"/>
              </w:rPr>
              <w:t>Wartość netto wartości niematerialnych na koniec okresu</w:t>
            </w:r>
          </w:p>
        </w:tc>
        <w:tc>
          <w:tcPr>
            <w:tcW w:w="1116" w:type="dxa"/>
            <w:tcBorders>
              <w:top w:val="nil"/>
              <w:left w:val="single" w:sz="8" w:space="0" w:color="0077BD"/>
              <w:bottom w:val="single" w:sz="8" w:space="0" w:color="0077BD"/>
              <w:right w:val="single" w:sz="8" w:space="0" w:color="0077BD"/>
            </w:tcBorders>
            <w:shd w:val="clear" w:color="auto" w:fill="auto"/>
            <w:noWrap/>
            <w:vAlign w:val="center"/>
          </w:tcPr>
          <w:p w14:paraId="3231662D" w14:textId="215DFC6B"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w:t>
            </w:r>
          </w:p>
        </w:tc>
        <w:tc>
          <w:tcPr>
            <w:tcW w:w="1099"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C29A537" w14:textId="3A2DA4A4"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696 491</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54B3F2CA" w14:textId="41B358B5"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576 535</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167617FC" w14:textId="0D2508DE"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1 199</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4B82E7E7" w14:textId="71337EE7"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229 990</w:t>
            </w:r>
          </w:p>
        </w:tc>
        <w:tc>
          <w:tcPr>
            <w:tcW w:w="1134" w:type="dxa"/>
            <w:tcBorders>
              <w:top w:val="single" w:sz="8" w:space="0" w:color="0077BD"/>
              <w:left w:val="nil"/>
              <w:bottom w:val="single" w:sz="8" w:space="0" w:color="0077BD"/>
              <w:right w:val="single" w:sz="8" w:space="0" w:color="0077BD"/>
            </w:tcBorders>
            <w:shd w:val="clear" w:color="auto" w:fill="auto"/>
            <w:noWrap/>
            <w:vAlign w:val="center"/>
          </w:tcPr>
          <w:p w14:paraId="78075C16" w14:textId="72CD3BDF"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27 760</w:t>
            </w:r>
          </w:p>
        </w:tc>
        <w:tc>
          <w:tcPr>
            <w:tcW w:w="1076" w:type="dxa"/>
            <w:tcBorders>
              <w:top w:val="nil"/>
              <w:left w:val="nil"/>
              <w:bottom w:val="single" w:sz="8" w:space="0" w:color="0077BD"/>
              <w:right w:val="nil"/>
            </w:tcBorders>
            <w:shd w:val="clear" w:color="auto" w:fill="auto"/>
            <w:noWrap/>
            <w:vAlign w:val="center"/>
          </w:tcPr>
          <w:p w14:paraId="4D64A9A8" w14:textId="685C765A" w:rsidR="00AC703A" w:rsidRPr="00F8669A" w:rsidRDefault="00AC703A" w:rsidP="00AC703A">
            <w:pPr>
              <w:jc w:val="right"/>
              <w:rPr>
                <w:rFonts w:cs="Calibri"/>
                <w:b/>
                <w:bCs/>
                <w:color w:val="000000" w:themeColor="text1"/>
                <w:sz w:val="11"/>
                <w:szCs w:val="11"/>
              </w:rPr>
            </w:pPr>
            <w:r w:rsidRPr="00F8669A">
              <w:rPr>
                <w:rFonts w:cs="Calibri"/>
                <w:b/>
                <w:bCs/>
                <w:color w:val="000000" w:themeColor="text1"/>
                <w:sz w:val="11"/>
                <w:szCs w:val="11"/>
              </w:rPr>
              <w:t>955 440</w:t>
            </w:r>
          </w:p>
        </w:tc>
      </w:tr>
    </w:tbl>
    <w:p w14:paraId="0B1418A2" w14:textId="76F17D01" w:rsidR="0020322E" w:rsidRPr="00BB7C9E" w:rsidRDefault="0020322E" w:rsidP="00CD2C12">
      <w:pPr>
        <w:spacing w:before="120"/>
        <w:jc w:val="both"/>
        <w:rPr>
          <w:rFonts w:cs="Tahoma"/>
          <w:b/>
          <w:color w:val="000000" w:themeColor="text1"/>
          <w:sz w:val="18"/>
          <w:szCs w:val="18"/>
        </w:rPr>
      </w:pPr>
    </w:p>
    <w:p w14:paraId="295597CF" w14:textId="77777777" w:rsidR="0020322E" w:rsidRPr="00BB7C9E" w:rsidRDefault="0020322E">
      <w:pPr>
        <w:rPr>
          <w:rFonts w:cs="Tahoma"/>
          <w:b/>
          <w:color w:val="000000" w:themeColor="text1"/>
          <w:sz w:val="18"/>
          <w:szCs w:val="18"/>
        </w:rPr>
      </w:pPr>
      <w:r w:rsidRPr="00BB7C9E">
        <w:rPr>
          <w:rFonts w:cs="Tahoma"/>
          <w:b/>
          <w:color w:val="000000" w:themeColor="text1"/>
          <w:sz w:val="18"/>
          <w:szCs w:val="18"/>
        </w:rPr>
        <w:br w:type="page"/>
      </w:r>
    </w:p>
    <w:tbl>
      <w:tblPr>
        <w:tblW w:w="0" w:type="auto"/>
        <w:tblCellMar>
          <w:left w:w="28" w:type="dxa"/>
          <w:right w:w="28" w:type="dxa"/>
        </w:tblCellMar>
        <w:tblLook w:val="04A0" w:firstRow="1" w:lastRow="0" w:firstColumn="1" w:lastColumn="0" w:noHBand="0" w:noVBand="1"/>
      </w:tblPr>
      <w:tblGrid>
        <w:gridCol w:w="1643"/>
        <w:gridCol w:w="1134"/>
        <w:gridCol w:w="1134"/>
        <w:gridCol w:w="1134"/>
        <w:gridCol w:w="1134"/>
        <w:gridCol w:w="1134"/>
        <w:gridCol w:w="1134"/>
        <w:gridCol w:w="1134"/>
      </w:tblGrid>
      <w:tr w:rsidR="00C25EDA" w:rsidRPr="00C25EDA" w14:paraId="0C549D8B" w14:textId="77777777" w:rsidTr="00FF0E06">
        <w:trPr>
          <w:trHeight w:val="340"/>
        </w:trPr>
        <w:tc>
          <w:tcPr>
            <w:tcW w:w="1643" w:type="dxa"/>
            <w:vMerge w:val="restart"/>
            <w:tcBorders>
              <w:top w:val="single" w:sz="8" w:space="0" w:color="FFFFFF"/>
              <w:left w:val="nil"/>
              <w:bottom w:val="nil"/>
              <w:right w:val="single" w:sz="8" w:space="0" w:color="FFFFFF"/>
            </w:tcBorders>
            <w:shd w:val="clear" w:color="000000" w:fill="0077BD"/>
            <w:vAlign w:val="center"/>
            <w:hideMark/>
          </w:tcPr>
          <w:p w14:paraId="175CD536" w14:textId="76225B7B" w:rsidR="00C25EDA" w:rsidRPr="00C25EDA" w:rsidRDefault="00C25EDA" w:rsidP="00C25EDA">
            <w:pPr>
              <w:rPr>
                <w:rFonts w:cs="Calibri"/>
                <w:b/>
                <w:bCs/>
                <w:color w:val="FFFFFF"/>
                <w:sz w:val="11"/>
                <w:szCs w:val="11"/>
              </w:rPr>
            </w:pPr>
            <w:r w:rsidRPr="00C25EDA">
              <w:rPr>
                <w:rFonts w:cs="Calibri"/>
                <w:b/>
                <w:bCs/>
                <w:color w:val="FFFFFF"/>
                <w:sz w:val="11"/>
                <w:szCs w:val="11"/>
              </w:rPr>
              <w:lastRenderedPageBreak/>
              <w:t>Zmiana stanu w okresie</w:t>
            </w:r>
            <w:r>
              <w:rPr>
                <w:rFonts w:cs="Calibri"/>
                <w:b/>
                <w:bCs/>
                <w:color w:val="FFFFFF"/>
                <w:sz w:val="11"/>
                <w:szCs w:val="11"/>
              </w:rPr>
              <w:br/>
            </w:r>
            <w:r w:rsidRPr="00C25EDA">
              <w:rPr>
                <w:rFonts w:cs="Calibri"/>
                <w:b/>
                <w:bCs/>
                <w:color w:val="FFFFFF"/>
                <w:sz w:val="11"/>
                <w:szCs w:val="11"/>
              </w:rPr>
              <w:t xml:space="preserve"> od 1 stycznia </w:t>
            </w:r>
            <w:r>
              <w:rPr>
                <w:rFonts w:cs="Calibri"/>
                <w:b/>
                <w:bCs/>
                <w:color w:val="FFFFFF"/>
                <w:sz w:val="11"/>
                <w:szCs w:val="11"/>
              </w:rPr>
              <w:br/>
            </w:r>
            <w:r w:rsidR="00EC0295">
              <w:rPr>
                <w:rFonts w:cs="Calibri"/>
                <w:b/>
                <w:bCs/>
                <w:color w:val="FFFFFF"/>
                <w:sz w:val="11"/>
                <w:szCs w:val="11"/>
              </w:rPr>
              <w:t>do 31 grudnia 2018 r.</w:t>
            </w:r>
          </w:p>
        </w:tc>
        <w:tc>
          <w:tcPr>
            <w:tcW w:w="1134"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5F6C2F77"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Koszty zakończonych prac rozwojowych</w:t>
            </w:r>
          </w:p>
        </w:tc>
        <w:tc>
          <w:tcPr>
            <w:tcW w:w="2268" w:type="dxa"/>
            <w:gridSpan w:val="2"/>
            <w:tcBorders>
              <w:top w:val="single" w:sz="8" w:space="0" w:color="FFFFFF"/>
              <w:left w:val="nil"/>
              <w:bottom w:val="single" w:sz="8" w:space="0" w:color="FFFFFF"/>
              <w:right w:val="single" w:sz="8" w:space="0" w:color="FFFFFF"/>
            </w:tcBorders>
            <w:shd w:val="clear" w:color="000000" w:fill="0077BD"/>
            <w:vAlign w:val="center"/>
            <w:hideMark/>
          </w:tcPr>
          <w:p w14:paraId="5465C092"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Patenty, licencje i podobne wartości</w:t>
            </w:r>
          </w:p>
        </w:tc>
        <w:tc>
          <w:tcPr>
            <w:tcW w:w="1134"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5E9980CC"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Inne wartości</w:t>
            </w:r>
            <w:r w:rsidRPr="00C25EDA">
              <w:rPr>
                <w:rFonts w:cs="Calibri"/>
                <w:b/>
                <w:bCs/>
                <w:color w:val="FFFFFF"/>
                <w:sz w:val="11"/>
                <w:szCs w:val="11"/>
              </w:rPr>
              <w:br/>
              <w:t>niematerialne</w:t>
            </w:r>
          </w:p>
        </w:tc>
        <w:tc>
          <w:tcPr>
            <w:tcW w:w="1134" w:type="dxa"/>
            <w:vMerge w:val="restart"/>
            <w:tcBorders>
              <w:top w:val="single" w:sz="8" w:space="0" w:color="FFFFFF"/>
              <w:left w:val="single" w:sz="8" w:space="0" w:color="FFFFFF"/>
              <w:bottom w:val="nil"/>
              <w:right w:val="single" w:sz="8" w:space="0" w:color="FFFFFF"/>
            </w:tcBorders>
            <w:shd w:val="clear" w:color="000000" w:fill="0077BD"/>
            <w:vAlign w:val="center"/>
            <w:hideMark/>
          </w:tcPr>
          <w:p w14:paraId="41EEF132"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Wartości niematerialne w toku wytwarzania</w:t>
            </w:r>
          </w:p>
        </w:tc>
        <w:tc>
          <w:tcPr>
            <w:tcW w:w="1134" w:type="dxa"/>
            <w:vMerge w:val="restart"/>
            <w:tcBorders>
              <w:top w:val="single" w:sz="8" w:space="0" w:color="FFFFFF"/>
              <w:left w:val="single" w:sz="8" w:space="0" w:color="FFFFFF"/>
              <w:bottom w:val="nil"/>
              <w:right w:val="single" w:sz="4" w:space="0" w:color="FFFFFF"/>
            </w:tcBorders>
            <w:shd w:val="clear" w:color="000000" w:fill="0077BD"/>
            <w:vAlign w:val="center"/>
            <w:hideMark/>
          </w:tcPr>
          <w:p w14:paraId="06A7D1E6"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Wartość firmy</w:t>
            </w:r>
          </w:p>
        </w:tc>
        <w:tc>
          <w:tcPr>
            <w:tcW w:w="1134" w:type="dxa"/>
            <w:vMerge w:val="restart"/>
            <w:tcBorders>
              <w:top w:val="single" w:sz="8" w:space="0" w:color="FFFFFF"/>
              <w:left w:val="single" w:sz="8" w:space="0" w:color="FFFFFF"/>
              <w:bottom w:val="nil"/>
              <w:right w:val="nil"/>
            </w:tcBorders>
            <w:shd w:val="clear" w:color="000000" w:fill="0077BD"/>
            <w:vAlign w:val="center"/>
            <w:hideMark/>
          </w:tcPr>
          <w:p w14:paraId="6F2C2A03" w14:textId="77777777" w:rsidR="00C25EDA" w:rsidRPr="00C25EDA" w:rsidRDefault="00C25EDA" w:rsidP="00CC3FB6">
            <w:pPr>
              <w:jc w:val="right"/>
              <w:rPr>
                <w:rFonts w:cs="Calibri"/>
                <w:b/>
                <w:bCs/>
                <w:color w:val="FFFFFF"/>
                <w:sz w:val="11"/>
                <w:szCs w:val="11"/>
              </w:rPr>
            </w:pPr>
            <w:r w:rsidRPr="00C25EDA">
              <w:rPr>
                <w:rFonts w:cs="Calibri"/>
                <w:b/>
                <w:bCs/>
                <w:color w:val="FFFFFF"/>
                <w:sz w:val="11"/>
                <w:szCs w:val="11"/>
              </w:rPr>
              <w:t>Wartości</w:t>
            </w:r>
            <w:r w:rsidRPr="00C25EDA">
              <w:rPr>
                <w:rFonts w:cs="Calibri"/>
                <w:b/>
                <w:bCs/>
                <w:color w:val="FFFFFF"/>
                <w:sz w:val="11"/>
                <w:szCs w:val="11"/>
              </w:rPr>
              <w:br/>
              <w:t>niematerialne</w:t>
            </w:r>
            <w:r w:rsidRPr="00C25EDA">
              <w:rPr>
                <w:rFonts w:cs="Calibri"/>
                <w:b/>
                <w:bCs/>
                <w:color w:val="FFFFFF"/>
                <w:sz w:val="11"/>
                <w:szCs w:val="11"/>
              </w:rPr>
              <w:br/>
              <w:t>razem</w:t>
            </w:r>
          </w:p>
        </w:tc>
      </w:tr>
      <w:tr w:rsidR="00C25EDA" w:rsidRPr="00C25EDA" w14:paraId="41724B64" w14:textId="77777777" w:rsidTr="00FF0E06">
        <w:trPr>
          <w:trHeight w:val="340"/>
        </w:trPr>
        <w:tc>
          <w:tcPr>
            <w:tcW w:w="1643" w:type="dxa"/>
            <w:vMerge/>
            <w:tcBorders>
              <w:top w:val="single" w:sz="8" w:space="0" w:color="FFFFFF"/>
              <w:left w:val="nil"/>
              <w:bottom w:val="nil"/>
              <w:right w:val="single" w:sz="8" w:space="0" w:color="FFFFFF"/>
            </w:tcBorders>
            <w:vAlign w:val="center"/>
            <w:hideMark/>
          </w:tcPr>
          <w:p w14:paraId="252C9911" w14:textId="77777777" w:rsidR="00C25EDA" w:rsidRPr="00C25EDA" w:rsidRDefault="00C25EDA" w:rsidP="00C25EDA">
            <w:pPr>
              <w:rPr>
                <w:rFonts w:cs="Calibri"/>
                <w:b/>
                <w:bCs/>
                <w:color w:val="FFFFFF"/>
                <w:sz w:val="11"/>
                <w:szCs w:val="11"/>
              </w:rPr>
            </w:pPr>
          </w:p>
        </w:tc>
        <w:tc>
          <w:tcPr>
            <w:tcW w:w="1134" w:type="dxa"/>
            <w:vMerge/>
            <w:tcBorders>
              <w:top w:val="single" w:sz="8" w:space="0" w:color="FFFFFF"/>
              <w:left w:val="single" w:sz="8" w:space="0" w:color="FFFFFF"/>
              <w:bottom w:val="nil"/>
              <w:right w:val="single" w:sz="8" w:space="0" w:color="FFFFFF"/>
            </w:tcBorders>
            <w:vAlign w:val="center"/>
            <w:hideMark/>
          </w:tcPr>
          <w:p w14:paraId="3AF8E42A" w14:textId="77777777" w:rsidR="00C25EDA" w:rsidRPr="00C25EDA" w:rsidRDefault="00C25EDA" w:rsidP="00C25EDA">
            <w:pPr>
              <w:rPr>
                <w:rFonts w:cs="Calibri"/>
                <w:b/>
                <w:bCs/>
                <w:color w:val="FFFFFF"/>
                <w:sz w:val="11"/>
                <w:szCs w:val="11"/>
              </w:rPr>
            </w:pPr>
          </w:p>
        </w:tc>
        <w:tc>
          <w:tcPr>
            <w:tcW w:w="1134" w:type="dxa"/>
            <w:tcBorders>
              <w:top w:val="nil"/>
              <w:left w:val="nil"/>
              <w:bottom w:val="nil"/>
              <w:right w:val="single" w:sz="8" w:space="0" w:color="FFFFFF"/>
            </w:tcBorders>
            <w:shd w:val="clear" w:color="000000" w:fill="0077BD"/>
            <w:vAlign w:val="center"/>
            <w:hideMark/>
          </w:tcPr>
          <w:p w14:paraId="7955E191" w14:textId="7C3480F7" w:rsidR="00C25EDA" w:rsidRPr="00C25EDA" w:rsidRDefault="00C25EDA" w:rsidP="00C25EDA">
            <w:pPr>
              <w:jc w:val="center"/>
              <w:rPr>
                <w:rFonts w:cs="Calibri"/>
                <w:b/>
                <w:bCs/>
                <w:color w:val="FFFFFF"/>
                <w:sz w:val="11"/>
                <w:szCs w:val="11"/>
              </w:rPr>
            </w:pPr>
          </w:p>
        </w:tc>
        <w:tc>
          <w:tcPr>
            <w:tcW w:w="1134" w:type="dxa"/>
            <w:tcBorders>
              <w:top w:val="nil"/>
              <w:left w:val="nil"/>
              <w:bottom w:val="nil"/>
              <w:right w:val="single" w:sz="8" w:space="0" w:color="FFFFFF"/>
            </w:tcBorders>
            <w:shd w:val="clear" w:color="000000" w:fill="0077BD"/>
            <w:vAlign w:val="center"/>
            <w:hideMark/>
          </w:tcPr>
          <w:p w14:paraId="6EBB6E5C" w14:textId="77777777" w:rsidR="00C25EDA" w:rsidRPr="006B7E16" w:rsidRDefault="00C25EDA" w:rsidP="00CC3FB6">
            <w:pPr>
              <w:jc w:val="right"/>
              <w:rPr>
                <w:rFonts w:cs="Calibri"/>
                <w:bCs/>
                <w:color w:val="FFFFFF"/>
                <w:sz w:val="11"/>
                <w:szCs w:val="11"/>
              </w:rPr>
            </w:pPr>
            <w:r w:rsidRPr="006B7E16">
              <w:rPr>
                <w:rFonts w:cs="Calibri"/>
                <w:bCs/>
                <w:color w:val="FFFFFF"/>
                <w:sz w:val="11"/>
                <w:szCs w:val="11"/>
              </w:rPr>
              <w:t>Oprogramowanie komputerowe</w:t>
            </w:r>
          </w:p>
        </w:tc>
        <w:tc>
          <w:tcPr>
            <w:tcW w:w="1134" w:type="dxa"/>
            <w:vMerge/>
            <w:tcBorders>
              <w:top w:val="single" w:sz="8" w:space="0" w:color="FFFFFF"/>
              <w:left w:val="single" w:sz="8" w:space="0" w:color="FFFFFF"/>
              <w:bottom w:val="nil"/>
              <w:right w:val="single" w:sz="8" w:space="0" w:color="FFFFFF"/>
            </w:tcBorders>
            <w:vAlign w:val="center"/>
            <w:hideMark/>
          </w:tcPr>
          <w:p w14:paraId="2785B4D6" w14:textId="77777777" w:rsidR="00C25EDA" w:rsidRPr="00C25EDA" w:rsidRDefault="00C25EDA" w:rsidP="00C25EDA">
            <w:pPr>
              <w:rPr>
                <w:rFonts w:cs="Calibri"/>
                <w:b/>
                <w:bCs/>
                <w:color w:val="FFFFFF"/>
                <w:sz w:val="11"/>
                <w:szCs w:val="11"/>
              </w:rPr>
            </w:pPr>
          </w:p>
        </w:tc>
        <w:tc>
          <w:tcPr>
            <w:tcW w:w="1134" w:type="dxa"/>
            <w:vMerge/>
            <w:tcBorders>
              <w:top w:val="single" w:sz="8" w:space="0" w:color="FFFFFF"/>
              <w:left w:val="single" w:sz="8" w:space="0" w:color="FFFFFF"/>
              <w:bottom w:val="nil"/>
              <w:right w:val="single" w:sz="8" w:space="0" w:color="FFFFFF"/>
            </w:tcBorders>
            <w:vAlign w:val="center"/>
            <w:hideMark/>
          </w:tcPr>
          <w:p w14:paraId="4F77417E" w14:textId="77777777" w:rsidR="00C25EDA" w:rsidRPr="00C25EDA" w:rsidRDefault="00C25EDA" w:rsidP="00C25EDA">
            <w:pPr>
              <w:rPr>
                <w:rFonts w:cs="Calibri"/>
                <w:b/>
                <w:bCs/>
                <w:color w:val="FFFFFF"/>
                <w:sz w:val="11"/>
                <w:szCs w:val="11"/>
              </w:rPr>
            </w:pPr>
          </w:p>
        </w:tc>
        <w:tc>
          <w:tcPr>
            <w:tcW w:w="1134" w:type="dxa"/>
            <w:vMerge/>
            <w:tcBorders>
              <w:top w:val="single" w:sz="8" w:space="0" w:color="FFFFFF"/>
              <w:left w:val="single" w:sz="8" w:space="0" w:color="FFFFFF"/>
              <w:bottom w:val="nil"/>
              <w:right w:val="single" w:sz="4" w:space="0" w:color="FFFFFF"/>
            </w:tcBorders>
            <w:vAlign w:val="center"/>
            <w:hideMark/>
          </w:tcPr>
          <w:p w14:paraId="2D18711E" w14:textId="77777777" w:rsidR="00C25EDA" w:rsidRPr="00C25EDA" w:rsidRDefault="00C25EDA" w:rsidP="00C25EDA">
            <w:pPr>
              <w:rPr>
                <w:rFonts w:cs="Calibri"/>
                <w:b/>
                <w:bCs/>
                <w:color w:val="FFFFFF"/>
                <w:sz w:val="11"/>
                <w:szCs w:val="11"/>
              </w:rPr>
            </w:pPr>
          </w:p>
        </w:tc>
        <w:tc>
          <w:tcPr>
            <w:tcW w:w="1134" w:type="dxa"/>
            <w:vMerge/>
            <w:tcBorders>
              <w:top w:val="single" w:sz="8" w:space="0" w:color="FFFFFF"/>
              <w:left w:val="single" w:sz="8" w:space="0" w:color="FFFFFF"/>
              <w:bottom w:val="nil"/>
              <w:right w:val="nil"/>
            </w:tcBorders>
            <w:vAlign w:val="center"/>
            <w:hideMark/>
          </w:tcPr>
          <w:p w14:paraId="1DB8466B" w14:textId="77777777" w:rsidR="00C25EDA" w:rsidRPr="00C25EDA" w:rsidRDefault="00C25EDA" w:rsidP="00C25EDA">
            <w:pPr>
              <w:rPr>
                <w:rFonts w:cs="Calibri"/>
                <w:b/>
                <w:bCs/>
                <w:color w:val="FFFFFF"/>
                <w:sz w:val="11"/>
                <w:szCs w:val="11"/>
              </w:rPr>
            </w:pPr>
          </w:p>
        </w:tc>
      </w:tr>
      <w:tr w:rsidR="00311CF2" w:rsidRPr="00BB7C9E" w14:paraId="173817CB"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58C310F8" w14:textId="1E046E6E"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Wartość brutto wartości niematerialnych n</w:t>
            </w:r>
            <w:r w:rsidR="004B53FE" w:rsidRPr="00BB7C9E">
              <w:rPr>
                <w:rFonts w:cs="Calibri"/>
                <w:b/>
                <w:bCs/>
                <w:color w:val="000000" w:themeColor="text1"/>
                <w:sz w:val="11"/>
                <w:szCs w:val="11"/>
              </w:rPr>
              <w:t>a początek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4E6EEB89"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39</w:t>
            </w:r>
          </w:p>
        </w:tc>
        <w:tc>
          <w:tcPr>
            <w:tcW w:w="1134" w:type="dxa"/>
            <w:tcBorders>
              <w:top w:val="nil"/>
              <w:left w:val="nil"/>
              <w:bottom w:val="single" w:sz="8" w:space="0" w:color="0077BD"/>
              <w:right w:val="single" w:sz="8" w:space="0" w:color="0077BD"/>
            </w:tcBorders>
            <w:shd w:val="clear" w:color="auto" w:fill="auto"/>
            <w:noWrap/>
            <w:vAlign w:val="center"/>
            <w:hideMark/>
          </w:tcPr>
          <w:p w14:paraId="104EC0C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1 232 207</w:t>
            </w:r>
          </w:p>
        </w:tc>
        <w:tc>
          <w:tcPr>
            <w:tcW w:w="1134" w:type="dxa"/>
            <w:tcBorders>
              <w:top w:val="nil"/>
              <w:left w:val="nil"/>
              <w:bottom w:val="single" w:sz="8" w:space="0" w:color="0077BD"/>
              <w:right w:val="single" w:sz="8" w:space="0" w:color="0077BD"/>
            </w:tcBorders>
            <w:shd w:val="clear" w:color="auto" w:fill="auto"/>
            <w:noWrap/>
            <w:vAlign w:val="center"/>
            <w:hideMark/>
          </w:tcPr>
          <w:p w14:paraId="3845B216"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857 666</w:t>
            </w:r>
          </w:p>
        </w:tc>
        <w:tc>
          <w:tcPr>
            <w:tcW w:w="1134" w:type="dxa"/>
            <w:tcBorders>
              <w:top w:val="nil"/>
              <w:left w:val="nil"/>
              <w:bottom w:val="single" w:sz="8" w:space="0" w:color="0077BD"/>
              <w:right w:val="single" w:sz="8" w:space="0" w:color="0077BD"/>
            </w:tcBorders>
            <w:shd w:val="clear" w:color="auto" w:fill="auto"/>
            <w:noWrap/>
            <w:vAlign w:val="center"/>
            <w:hideMark/>
          </w:tcPr>
          <w:p w14:paraId="64CDC72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21 863</w:t>
            </w:r>
          </w:p>
        </w:tc>
        <w:tc>
          <w:tcPr>
            <w:tcW w:w="1134" w:type="dxa"/>
            <w:tcBorders>
              <w:top w:val="nil"/>
              <w:left w:val="nil"/>
              <w:bottom w:val="single" w:sz="8" w:space="0" w:color="0077BD"/>
              <w:right w:val="single" w:sz="8" w:space="0" w:color="0077BD"/>
            </w:tcBorders>
            <w:shd w:val="clear" w:color="auto" w:fill="auto"/>
            <w:noWrap/>
            <w:vAlign w:val="center"/>
            <w:hideMark/>
          </w:tcPr>
          <w:p w14:paraId="455D7F0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324 672</w:t>
            </w:r>
          </w:p>
        </w:tc>
        <w:tc>
          <w:tcPr>
            <w:tcW w:w="1134" w:type="dxa"/>
            <w:tcBorders>
              <w:top w:val="nil"/>
              <w:left w:val="nil"/>
              <w:bottom w:val="single" w:sz="8" w:space="0" w:color="0077BD"/>
              <w:right w:val="single" w:sz="8" w:space="0" w:color="0077BD"/>
            </w:tcBorders>
            <w:shd w:val="clear" w:color="auto" w:fill="auto"/>
            <w:noWrap/>
            <w:vAlign w:val="center"/>
            <w:hideMark/>
          </w:tcPr>
          <w:p w14:paraId="2EE000CC"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4 728</w:t>
            </w:r>
          </w:p>
        </w:tc>
        <w:tc>
          <w:tcPr>
            <w:tcW w:w="1134" w:type="dxa"/>
            <w:tcBorders>
              <w:top w:val="nil"/>
              <w:left w:val="nil"/>
              <w:bottom w:val="single" w:sz="8" w:space="0" w:color="0077BD"/>
              <w:right w:val="nil"/>
            </w:tcBorders>
            <w:shd w:val="clear" w:color="auto" w:fill="auto"/>
            <w:noWrap/>
            <w:vAlign w:val="center"/>
            <w:hideMark/>
          </w:tcPr>
          <w:p w14:paraId="628B5B3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1 583 509</w:t>
            </w:r>
          </w:p>
        </w:tc>
      </w:tr>
      <w:tr w:rsidR="00311CF2" w:rsidRPr="00BB7C9E" w14:paraId="4D761248" w14:textId="77777777" w:rsidTr="0020322E">
        <w:trPr>
          <w:trHeight w:val="255"/>
        </w:trPr>
        <w:tc>
          <w:tcPr>
            <w:tcW w:w="1643" w:type="dxa"/>
            <w:tcBorders>
              <w:top w:val="nil"/>
              <w:left w:val="nil"/>
              <w:bottom w:val="single" w:sz="8" w:space="0" w:color="0077BD"/>
              <w:right w:val="single" w:sz="8" w:space="0" w:color="0077BD"/>
            </w:tcBorders>
            <w:shd w:val="clear" w:color="auto" w:fill="auto"/>
            <w:vAlign w:val="center"/>
            <w:hideMark/>
          </w:tcPr>
          <w:p w14:paraId="5DF5780C" w14:textId="43CE7E90"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Zwiększenia z tytułu</w:t>
            </w:r>
            <w:r w:rsidR="000403AC">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D0B522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65A99C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201 242</w:t>
            </w:r>
          </w:p>
        </w:tc>
        <w:tc>
          <w:tcPr>
            <w:tcW w:w="1134" w:type="dxa"/>
            <w:tcBorders>
              <w:top w:val="nil"/>
              <w:left w:val="nil"/>
              <w:bottom w:val="single" w:sz="8" w:space="0" w:color="0077BD"/>
              <w:right w:val="single" w:sz="8" w:space="0" w:color="0077BD"/>
            </w:tcBorders>
            <w:shd w:val="clear" w:color="auto" w:fill="auto"/>
            <w:noWrap/>
            <w:vAlign w:val="center"/>
            <w:hideMark/>
          </w:tcPr>
          <w:p w14:paraId="7CCB10D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165 210</w:t>
            </w:r>
          </w:p>
        </w:tc>
        <w:tc>
          <w:tcPr>
            <w:tcW w:w="1134" w:type="dxa"/>
            <w:tcBorders>
              <w:top w:val="nil"/>
              <w:left w:val="nil"/>
              <w:bottom w:val="single" w:sz="8" w:space="0" w:color="0077BD"/>
              <w:right w:val="single" w:sz="8" w:space="0" w:color="0077BD"/>
            </w:tcBorders>
            <w:shd w:val="clear" w:color="auto" w:fill="auto"/>
            <w:noWrap/>
            <w:vAlign w:val="center"/>
            <w:hideMark/>
          </w:tcPr>
          <w:p w14:paraId="1551A089"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53</w:t>
            </w:r>
          </w:p>
        </w:tc>
        <w:tc>
          <w:tcPr>
            <w:tcW w:w="1134" w:type="dxa"/>
            <w:tcBorders>
              <w:top w:val="nil"/>
              <w:left w:val="nil"/>
              <w:bottom w:val="single" w:sz="8" w:space="0" w:color="0077BD"/>
              <w:right w:val="single" w:sz="8" w:space="0" w:color="0077BD"/>
            </w:tcBorders>
            <w:shd w:val="clear" w:color="auto" w:fill="auto"/>
            <w:noWrap/>
            <w:vAlign w:val="center"/>
            <w:hideMark/>
          </w:tcPr>
          <w:p w14:paraId="778863A2"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244 410</w:t>
            </w:r>
          </w:p>
        </w:tc>
        <w:tc>
          <w:tcPr>
            <w:tcW w:w="1134" w:type="dxa"/>
            <w:tcBorders>
              <w:top w:val="nil"/>
              <w:left w:val="nil"/>
              <w:bottom w:val="single" w:sz="8" w:space="0" w:color="0077BD"/>
              <w:right w:val="single" w:sz="8" w:space="0" w:color="0077BD"/>
            </w:tcBorders>
            <w:shd w:val="clear" w:color="auto" w:fill="auto"/>
            <w:noWrap/>
            <w:vAlign w:val="center"/>
            <w:hideMark/>
          </w:tcPr>
          <w:p w14:paraId="4663431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6911083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445 705</w:t>
            </w:r>
          </w:p>
        </w:tc>
      </w:tr>
      <w:tr w:rsidR="00311CF2" w:rsidRPr="00BB7C9E" w14:paraId="2BACAFA5" w14:textId="77777777" w:rsidTr="0020322E">
        <w:trPr>
          <w:trHeight w:val="255"/>
        </w:trPr>
        <w:tc>
          <w:tcPr>
            <w:tcW w:w="1643" w:type="dxa"/>
            <w:tcBorders>
              <w:top w:val="nil"/>
              <w:left w:val="nil"/>
              <w:bottom w:val="nil"/>
              <w:right w:val="single" w:sz="8" w:space="0" w:color="0077BD"/>
            </w:tcBorders>
            <w:shd w:val="clear" w:color="auto" w:fill="auto"/>
            <w:vAlign w:val="center"/>
            <w:hideMark/>
          </w:tcPr>
          <w:p w14:paraId="45A8333D"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zakupu</w:t>
            </w:r>
          </w:p>
        </w:tc>
        <w:tc>
          <w:tcPr>
            <w:tcW w:w="1134" w:type="dxa"/>
            <w:tcBorders>
              <w:top w:val="nil"/>
              <w:left w:val="nil"/>
              <w:bottom w:val="nil"/>
              <w:right w:val="single" w:sz="8" w:space="0" w:color="0077BD"/>
            </w:tcBorders>
            <w:shd w:val="clear" w:color="auto" w:fill="auto"/>
            <w:noWrap/>
            <w:vAlign w:val="center"/>
            <w:hideMark/>
          </w:tcPr>
          <w:p w14:paraId="60C29841"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single" w:sz="8" w:space="0" w:color="0077BD"/>
            </w:tcBorders>
            <w:shd w:val="clear" w:color="auto" w:fill="auto"/>
            <w:noWrap/>
            <w:vAlign w:val="center"/>
            <w:hideMark/>
          </w:tcPr>
          <w:p w14:paraId="2457E17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20 365</w:t>
            </w:r>
          </w:p>
        </w:tc>
        <w:tc>
          <w:tcPr>
            <w:tcW w:w="1134" w:type="dxa"/>
            <w:tcBorders>
              <w:top w:val="nil"/>
              <w:left w:val="nil"/>
              <w:bottom w:val="nil"/>
              <w:right w:val="single" w:sz="8" w:space="0" w:color="0077BD"/>
            </w:tcBorders>
            <w:shd w:val="clear" w:color="auto" w:fill="auto"/>
            <w:noWrap/>
            <w:vAlign w:val="center"/>
            <w:hideMark/>
          </w:tcPr>
          <w:p w14:paraId="5A7047C6"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12 456</w:t>
            </w:r>
          </w:p>
        </w:tc>
        <w:tc>
          <w:tcPr>
            <w:tcW w:w="1134" w:type="dxa"/>
            <w:tcBorders>
              <w:top w:val="nil"/>
              <w:left w:val="nil"/>
              <w:bottom w:val="nil"/>
              <w:right w:val="single" w:sz="8" w:space="0" w:color="0077BD"/>
            </w:tcBorders>
            <w:shd w:val="clear" w:color="auto" w:fill="auto"/>
            <w:noWrap/>
            <w:vAlign w:val="center"/>
            <w:hideMark/>
          </w:tcPr>
          <w:p w14:paraId="207E58B7"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15</w:t>
            </w:r>
          </w:p>
        </w:tc>
        <w:tc>
          <w:tcPr>
            <w:tcW w:w="1134" w:type="dxa"/>
            <w:tcBorders>
              <w:top w:val="nil"/>
              <w:left w:val="nil"/>
              <w:bottom w:val="nil"/>
              <w:right w:val="single" w:sz="8" w:space="0" w:color="0077BD"/>
            </w:tcBorders>
            <w:shd w:val="clear" w:color="auto" w:fill="auto"/>
            <w:noWrap/>
            <w:vAlign w:val="center"/>
            <w:hideMark/>
          </w:tcPr>
          <w:p w14:paraId="2A1E198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188 003</w:t>
            </w:r>
          </w:p>
        </w:tc>
        <w:tc>
          <w:tcPr>
            <w:tcW w:w="1134" w:type="dxa"/>
            <w:tcBorders>
              <w:top w:val="nil"/>
              <w:left w:val="nil"/>
              <w:bottom w:val="nil"/>
              <w:right w:val="single" w:sz="8" w:space="0" w:color="0077BD"/>
            </w:tcBorders>
            <w:shd w:val="clear" w:color="auto" w:fill="auto"/>
            <w:noWrap/>
            <w:vAlign w:val="center"/>
            <w:hideMark/>
          </w:tcPr>
          <w:p w14:paraId="5FC640F5"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nil"/>
            </w:tcBorders>
            <w:shd w:val="clear" w:color="auto" w:fill="auto"/>
            <w:noWrap/>
            <w:vAlign w:val="center"/>
            <w:hideMark/>
          </w:tcPr>
          <w:p w14:paraId="53B6ECF1"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208 383</w:t>
            </w:r>
          </w:p>
        </w:tc>
      </w:tr>
      <w:tr w:rsidR="00311CF2" w:rsidRPr="00BB7C9E" w14:paraId="0723DB30" w14:textId="77777777" w:rsidTr="00FF0E06">
        <w:trPr>
          <w:trHeight w:val="360"/>
        </w:trPr>
        <w:tc>
          <w:tcPr>
            <w:tcW w:w="1643" w:type="dxa"/>
            <w:tcBorders>
              <w:top w:val="single" w:sz="4" w:space="0" w:color="0077BD"/>
              <w:left w:val="nil"/>
              <w:bottom w:val="single" w:sz="4" w:space="0" w:color="0077BD"/>
              <w:right w:val="single" w:sz="8" w:space="0" w:color="0077BD"/>
            </w:tcBorders>
            <w:shd w:val="clear" w:color="auto" w:fill="auto"/>
            <w:vAlign w:val="center"/>
            <w:hideMark/>
          </w:tcPr>
          <w:p w14:paraId="1ADB1B78"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przejęcia z wartości niematerialnych w toku wytwarzania</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62B98BD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0337326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178 028</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7795EEE3"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152 669</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4DFA6743"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38</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1A585C5E"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4ADC529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nil"/>
            </w:tcBorders>
            <w:shd w:val="clear" w:color="auto" w:fill="auto"/>
            <w:noWrap/>
            <w:vAlign w:val="center"/>
            <w:hideMark/>
          </w:tcPr>
          <w:p w14:paraId="015A7AC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178 066</w:t>
            </w:r>
          </w:p>
        </w:tc>
      </w:tr>
      <w:tr w:rsidR="00311CF2" w:rsidRPr="00BB7C9E" w14:paraId="3B87C29D" w14:textId="77777777" w:rsidTr="00FF0E06">
        <w:trPr>
          <w:trHeight w:val="360"/>
        </w:trPr>
        <w:tc>
          <w:tcPr>
            <w:tcW w:w="1643" w:type="dxa"/>
            <w:tcBorders>
              <w:top w:val="nil"/>
              <w:left w:val="nil"/>
              <w:bottom w:val="single" w:sz="4" w:space="0" w:color="0077BD"/>
              <w:right w:val="single" w:sz="8" w:space="0" w:color="0077BD"/>
            </w:tcBorders>
            <w:shd w:val="clear" w:color="auto" w:fill="auto"/>
            <w:vAlign w:val="center"/>
            <w:hideMark/>
          </w:tcPr>
          <w:p w14:paraId="059C8633"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poniesionych kosztów wytworzenia</w:t>
            </w:r>
          </w:p>
        </w:tc>
        <w:tc>
          <w:tcPr>
            <w:tcW w:w="1134" w:type="dxa"/>
            <w:tcBorders>
              <w:top w:val="nil"/>
              <w:left w:val="nil"/>
              <w:bottom w:val="single" w:sz="4" w:space="0" w:color="0077BD"/>
              <w:right w:val="single" w:sz="8" w:space="0" w:color="0077BD"/>
            </w:tcBorders>
            <w:shd w:val="clear" w:color="auto" w:fill="auto"/>
            <w:noWrap/>
            <w:vAlign w:val="center"/>
            <w:hideMark/>
          </w:tcPr>
          <w:p w14:paraId="60D515A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69AB7B12"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729D3EE6"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1582E3D6"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596B39F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22 727</w:t>
            </w:r>
          </w:p>
        </w:tc>
        <w:tc>
          <w:tcPr>
            <w:tcW w:w="1134" w:type="dxa"/>
            <w:tcBorders>
              <w:top w:val="nil"/>
              <w:left w:val="nil"/>
              <w:bottom w:val="single" w:sz="4" w:space="0" w:color="0077BD"/>
              <w:right w:val="single" w:sz="8" w:space="0" w:color="0077BD"/>
            </w:tcBorders>
            <w:shd w:val="clear" w:color="auto" w:fill="auto"/>
            <w:noWrap/>
            <w:vAlign w:val="center"/>
            <w:hideMark/>
          </w:tcPr>
          <w:p w14:paraId="019BC5E6"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nil"/>
            </w:tcBorders>
            <w:shd w:val="clear" w:color="auto" w:fill="auto"/>
            <w:noWrap/>
            <w:vAlign w:val="center"/>
            <w:hideMark/>
          </w:tcPr>
          <w:p w14:paraId="5003C41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22 727</w:t>
            </w:r>
          </w:p>
        </w:tc>
      </w:tr>
      <w:tr w:rsidR="00311CF2" w:rsidRPr="00BB7C9E" w14:paraId="12C39101" w14:textId="77777777" w:rsidTr="0020322E">
        <w:trPr>
          <w:trHeight w:val="255"/>
        </w:trPr>
        <w:tc>
          <w:tcPr>
            <w:tcW w:w="1643" w:type="dxa"/>
            <w:tcBorders>
              <w:top w:val="nil"/>
              <w:left w:val="nil"/>
              <w:bottom w:val="single" w:sz="8" w:space="0" w:color="0077BD"/>
              <w:right w:val="single" w:sz="8" w:space="0" w:color="0077BD"/>
            </w:tcBorders>
            <w:shd w:val="clear" w:color="auto" w:fill="auto"/>
            <w:vAlign w:val="center"/>
            <w:hideMark/>
          </w:tcPr>
          <w:p w14:paraId="6241CECF"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innych zwiększeń</w:t>
            </w:r>
          </w:p>
        </w:tc>
        <w:tc>
          <w:tcPr>
            <w:tcW w:w="1134" w:type="dxa"/>
            <w:tcBorders>
              <w:top w:val="nil"/>
              <w:left w:val="nil"/>
              <w:bottom w:val="single" w:sz="8" w:space="0" w:color="0077BD"/>
              <w:right w:val="single" w:sz="8" w:space="0" w:color="0077BD"/>
            </w:tcBorders>
            <w:shd w:val="clear" w:color="auto" w:fill="auto"/>
            <w:noWrap/>
            <w:vAlign w:val="center"/>
            <w:hideMark/>
          </w:tcPr>
          <w:p w14:paraId="11A7C9D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6CF82E5A"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2 849</w:t>
            </w:r>
          </w:p>
        </w:tc>
        <w:tc>
          <w:tcPr>
            <w:tcW w:w="1134" w:type="dxa"/>
            <w:tcBorders>
              <w:top w:val="nil"/>
              <w:left w:val="nil"/>
              <w:bottom w:val="single" w:sz="8" w:space="0" w:color="0077BD"/>
              <w:right w:val="single" w:sz="8" w:space="0" w:color="0077BD"/>
            </w:tcBorders>
            <w:shd w:val="clear" w:color="auto" w:fill="auto"/>
            <w:noWrap/>
            <w:vAlign w:val="center"/>
            <w:hideMark/>
          </w:tcPr>
          <w:p w14:paraId="08171155"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85</w:t>
            </w:r>
          </w:p>
        </w:tc>
        <w:tc>
          <w:tcPr>
            <w:tcW w:w="1134" w:type="dxa"/>
            <w:tcBorders>
              <w:top w:val="nil"/>
              <w:left w:val="nil"/>
              <w:bottom w:val="single" w:sz="8" w:space="0" w:color="0077BD"/>
              <w:right w:val="single" w:sz="8" w:space="0" w:color="0077BD"/>
            </w:tcBorders>
            <w:shd w:val="clear" w:color="auto" w:fill="auto"/>
            <w:noWrap/>
            <w:vAlign w:val="center"/>
            <w:hideMark/>
          </w:tcPr>
          <w:p w14:paraId="7800AD3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4D02E25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33 680</w:t>
            </w:r>
          </w:p>
        </w:tc>
        <w:tc>
          <w:tcPr>
            <w:tcW w:w="1134" w:type="dxa"/>
            <w:tcBorders>
              <w:top w:val="nil"/>
              <w:left w:val="nil"/>
              <w:bottom w:val="single" w:sz="8" w:space="0" w:color="0077BD"/>
              <w:right w:val="single" w:sz="8" w:space="0" w:color="0077BD"/>
            </w:tcBorders>
            <w:shd w:val="clear" w:color="auto" w:fill="auto"/>
            <w:noWrap/>
            <w:vAlign w:val="center"/>
            <w:hideMark/>
          </w:tcPr>
          <w:p w14:paraId="02B0F94C"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5A58911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36 529</w:t>
            </w:r>
          </w:p>
        </w:tc>
      </w:tr>
      <w:tr w:rsidR="00311CF2" w:rsidRPr="00BB7C9E" w14:paraId="4EFF0183" w14:textId="77777777" w:rsidTr="0020322E">
        <w:trPr>
          <w:trHeight w:val="255"/>
        </w:trPr>
        <w:tc>
          <w:tcPr>
            <w:tcW w:w="1643" w:type="dxa"/>
            <w:tcBorders>
              <w:top w:val="nil"/>
              <w:left w:val="nil"/>
              <w:bottom w:val="single" w:sz="8" w:space="0" w:color="0077BD"/>
              <w:right w:val="single" w:sz="8" w:space="0" w:color="0077BD"/>
            </w:tcBorders>
            <w:shd w:val="clear" w:color="auto" w:fill="auto"/>
            <w:vAlign w:val="center"/>
            <w:hideMark/>
          </w:tcPr>
          <w:p w14:paraId="739E95D2" w14:textId="0ED295D2"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Zmniejszenia z tytułu</w:t>
            </w:r>
            <w:r w:rsidR="000403AC">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5E69DEA"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1B44E0F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(104 010)</w:t>
            </w:r>
          </w:p>
        </w:tc>
        <w:tc>
          <w:tcPr>
            <w:tcW w:w="1134" w:type="dxa"/>
            <w:tcBorders>
              <w:top w:val="nil"/>
              <w:left w:val="nil"/>
              <w:bottom w:val="single" w:sz="8" w:space="0" w:color="0077BD"/>
              <w:right w:val="single" w:sz="8" w:space="0" w:color="0077BD"/>
            </w:tcBorders>
            <w:shd w:val="clear" w:color="auto" w:fill="auto"/>
            <w:noWrap/>
            <w:vAlign w:val="center"/>
            <w:hideMark/>
          </w:tcPr>
          <w:p w14:paraId="3C773E1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(4 235)</w:t>
            </w:r>
          </w:p>
        </w:tc>
        <w:tc>
          <w:tcPr>
            <w:tcW w:w="1134" w:type="dxa"/>
            <w:tcBorders>
              <w:top w:val="nil"/>
              <w:left w:val="nil"/>
              <w:bottom w:val="single" w:sz="8" w:space="0" w:color="0077BD"/>
              <w:right w:val="single" w:sz="8" w:space="0" w:color="0077BD"/>
            </w:tcBorders>
            <w:shd w:val="clear" w:color="auto" w:fill="auto"/>
            <w:noWrap/>
            <w:vAlign w:val="center"/>
            <w:hideMark/>
          </w:tcPr>
          <w:p w14:paraId="4595FAC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(1 481)</w:t>
            </w:r>
          </w:p>
        </w:tc>
        <w:tc>
          <w:tcPr>
            <w:tcW w:w="1134" w:type="dxa"/>
            <w:tcBorders>
              <w:top w:val="nil"/>
              <w:left w:val="nil"/>
              <w:bottom w:val="single" w:sz="8" w:space="0" w:color="0077BD"/>
              <w:right w:val="single" w:sz="8" w:space="0" w:color="0077BD"/>
            </w:tcBorders>
            <w:shd w:val="clear" w:color="auto" w:fill="auto"/>
            <w:noWrap/>
            <w:vAlign w:val="center"/>
            <w:hideMark/>
          </w:tcPr>
          <w:p w14:paraId="25C393B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(239 043)</w:t>
            </w:r>
          </w:p>
        </w:tc>
        <w:tc>
          <w:tcPr>
            <w:tcW w:w="1134" w:type="dxa"/>
            <w:tcBorders>
              <w:top w:val="nil"/>
              <w:left w:val="nil"/>
              <w:bottom w:val="single" w:sz="8" w:space="0" w:color="0077BD"/>
              <w:right w:val="single" w:sz="8" w:space="0" w:color="0077BD"/>
            </w:tcBorders>
            <w:shd w:val="clear" w:color="auto" w:fill="auto"/>
            <w:noWrap/>
            <w:vAlign w:val="center"/>
            <w:hideMark/>
          </w:tcPr>
          <w:p w14:paraId="5B07B0DF"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5119347A"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(344 534)</w:t>
            </w:r>
          </w:p>
        </w:tc>
      </w:tr>
      <w:tr w:rsidR="00311CF2" w:rsidRPr="00BB7C9E" w14:paraId="0094294D" w14:textId="77777777" w:rsidTr="0020322E">
        <w:trPr>
          <w:trHeight w:val="255"/>
        </w:trPr>
        <w:tc>
          <w:tcPr>
            <w:tcW w:w="1643" w:type="dxa"/>
            <w:tcBorders>
              <w:top w:val="nil"/>
              <w:left w:val="nil"/>
              <w:bottom w:val="nil"/>
              <w:right w:val="single" w:sz="8" w:space="0" w:color="0077BD"/>
            </w:tcBorders>
            <w:shd w:val="clear" w:color="auto" w:fill="auto"/>
            <w:vAlign w:val="center"/>
            <w:hideMark/>
          </w:tcPr>
          <w:p w14:paraId="27E9EC96"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sprzedaży</w:t>
            </w:r>
          </w:p>
        </w:tc>
        <w:tc>
          <w:tcPr>
            <w:tcW w:w="1134" w:type="dxa"/>
            <w:tcBorders>
              <w:top w:val="nil"/>
              <w:left w:val="nil"/>
              <w:bottom w:val="nil"/>
              <w:right w:val="single" w:sz="8" w:space="0" w:color="0077BD"/>
            </w:tcBorders>
            <w:shd w:val="clear" w:color="auto" w:fill="auto"/>
            <w:noWrap/>
            <w:vAlign w:val="center"/>
            <w:hideMark/>
          </w:tcPr>
          <w:p w14:paraId="542602D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single" w:sz="8" w:space="0" w:color="0077BD"/>
            </w:tcBorders>
            <w:shd w:val="clear" w:color="auto" w:fill="auto"/>
            <w:noWrap/>
            <w:vAlign w:val="center"/>
            <w:hideMark/>
          </w:tcPr>
          <w:p w14:paraId="5147F5D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(4 099)</w:t>
            </w:r>
          </w:p>
        </w:tc>
        <w:tc>
          <w:tcPr>
            <w:tcW w:w="1134" w:type="dxa"/>
            <w:tcBorders>
              <w:top w:val="nil"/>
              <w:left w:val="nil"/>
              <w:bottom w:val="nil"/>
              <w:right w:val="single" w:sz="8" w:space="0" w:color="0077BD"/>
            </w:tcBorders>
            <w:shd w:val="clear" w:color="auto" w:fill="auto"/>
            <w:noWrap/>
            <w:vAlign w:val="center"/>
            <w:hideMark/>
          </w:tcPr>
          <w:p w14:paraId="50AEAC4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(3 116)</w:t>
            </w:r>
          </w:p>
        </w:tc>
        <w:tc>
          <w:tcPr>
            <w:tcW w:w="1134" w:type="dxa"/>
            <w:tcBorders>
              <w:top w:val="nil"/>
              <w:left w:val="nil"/>
              <w:bottom w:val="nil"/>
              <w:right w:val="single" w:sz="8" w:space="0" w:color="0077BD"/>
            </w:tcBorders>
            <w:shd w:val="clear" w:color="auto" w:fill="auto"/>
            <w:noWrap/>
            <w:vAlign w:val="center"/>
            <w:hideMark/>
          </w:tcPr>
          <w:p w14:paraId="581490C3"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(700)</w:t>
            </w:r>
          </w:p>
        </w:tc>
        <w:tc>
          <w:tcPr>
            <w:tcW w:w="1134" w:type="dxa"/>
            <w:tcBorders>
              <w:top w:val="nil"/>
              <w:left w:val="nil"/>
              <w:bottom w:val="nil"/>
              <w:right w:val="single" w:sz="8" w:space="0" w:color="0077BD"/>
            </w:tcBorders>
            <w:shd w:val="clear" w:color="auto" w:fill="auto"/>
            <w:noWrap/>
            <w:vAlign w:val="center"/>
            <w:hideMark/>
          </w:tcPr>
          <w:p w14:paraId="280268A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(684)</w:t>
            </w:r>
          </w:p>
        </w:tc>
        <w:tc>
          <w:tcPr>
            <w:tcW w:w="1134" w:type="dxa"/>
            <w:tcBorders>
              <w:top w:val="nil"/>
              <w:left w:val="nil"/>
              <w:bottom w:val="nil"/>
              <w:right w:val="single" w:sz="8" w:space="0" w:color="0077BD"/>
            </w:tcBorders>
            <w:shd w:val="clear" w:color="auto" w:fill="auto"/>
            <w:noWrap/>
            <w:vAlign w:val="center"/>
            <w:hideMark/>
          </w:tcPr>
          <w:p w14:paraId="7F76748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nil"/>
              <w:right w:val="nil"/>
            </w:tcBorders>
            <w:shd w:val="clear" w:color="auto" w:fill="auto"/>
            <w:noWrap/>
            <w:vAlign w:val="center"/>
            <w:hideMark/>
          </w:tcPr>
          <w:p w14:paraId="7E6194BE"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(5 483)</w:t>
            </w:r>
          </w:p>
        </w:tc>
      </w:tr>
      <w:tr w:rsidR="00311CF2" w:rsidRPr="00BB7C9E" w14:paraId="5739F10A" w14:textId="77777777" w:rsidTr="0020322E">
        <w:trPr>
          <w:trHeight w:val="255"/>
        </w:trPr>
        <w:tc>
          <w:tcPr>
            <w:tcW w:w="1643" w:type="dxa"/>
            <w:tcBorders>
              <w:top w:val="single" w:sz="4" w:space="0" w:color="0077BD"/>
              <w:left w:val="nil"/>
              <w:bottom w:val="single" w:sz="4" w:space="0" w:color="0077BD"/>
              <w:right w:val="single" w:sz="8" w:space="0" w:color="0077BD"/>
            </w:tcBorders>
            <w:shd w:val="clear" w:color="auto" w:fill="auto"/>
            <w:vAlign w:val="center"/>
            <w:hideMark/>
          </w:tcPr>
          <w:p w14:paraId="4F010E38"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likwidacji</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768B4A5E"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58B0DD27"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(99 598)</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1420F551"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(1 119)</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4F6FD73A"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10A0ABC2"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7EE9E33A"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nil"/>
            </w:tcBorders>
            <w:shd w:val="clear" w:color="auto" w:fill="auto"/>
            <w:noWrap/>
            <w:vAlign w:val="center"/>
            <w:hideMark/>
          </w:tcPr>
          <w:p w14:paraId="6DBF1949"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(99 599)</w:t>
            </w:r>
          </w:p>
        </w:tc>
      </w:tr>
      <w:tr w:rsidR="00311CF2" w:rsidRPr="00BB7C9E" w14:paraId="663CBADE" w14:textId="77777777" w:rsidTr="00FF0E06">
        <w:trPr>
          <w:trHeight w:val="360"/>
        </w:trPr>
        <w:tc>
          <w:tcPr>
            <w:tcW w:w="1643" w:type="dxa"/>
            <w:tcBorders>
              <w:top w:val="nil"/>
              <w:left w:val="nil"/>
              <w:bottom w:val="single" w:sz="4" w:space="0" w:color="0077BD"/>
              <w:right w:val="single" w:sz="8" w:space="0" w:color="0077BD"/>
            </w:tcBorders>
            <w:shd w:val="clear" w:color="auto" w:fill="auto"/>
            <w:vAlign w:val="center"/>
            <w:hideMark/>
          </w:tcPr>
          <w:p w14:paraId="64E0FFA5"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przekazania na wartości niematerialne oddane do użytku</w:t>
            </w:r>
          </w:p>
        </w:tc>
        <w:tc>
          <w:tcPr>
            <w:tcW w:w="1134" w:type="dxa"/>
            <w:tcBorders>
              <w:top w:val="nil"/>
              <w:left w:val="nil"/>
              <w:bottom w:val="single" w:sz="4" w:space="0" w:color="0077BD"/>
              <w:right w:val="single" w:sz="8" w:space="0" w:color="0077BD"/>
            </w:tcBorders>
            <w:shd w:val="clear" w:color="auto" w:fill="auto"/>
            <w:noWrap/>
            <w:vAlign w:val="center"/>
            <w:hideMark/>
          </w:tcPr>
          <w:p w14:paraId="26BC562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2242D225"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78848817"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0F65D27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5047FFAA"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(178 066)</w:t>
            </w:r>
          </w:p>
        </w:tc>
        <w:tc>
          <w:tcPr>
            <w:tcW w:w="1134" w:type="dxa"/>
            <w:tcBorders>
              <w:top w:val="nil"/>
              <w:left w:val="nil"/>
              <w:bottom w:val="single" w:sz="4" w:space="0" w:color="0077BD"/>
              <w:right w:val="single" w:sz="8" w:space="0" w:color="0077BD"/>
            </w:tcBorders>
            <w:shd w:val="clear" w:color="auto" w:fill="auto"/>
            <w:noWrap/>
            <w:vAlign w:val="center"/>
            <w:hideMark/>
          </w:tcPr>
          <w:p w14:paraId="7527EDD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nil"/>
            </w:tcBorders>
            <w:shd w:val="clear" w:color="auto" w:fill="auto"/>
            <w:noWrap/>
            <w:vAlign w:val="center"/>
            <w:hideMark/>
          </w:tcPr>
          <w:p w14:paraId="17DBCC63"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(178 066)</w:t>
            </w:r>
          </w:p>
        </w:tc>
      </w:tr>
      <w:tr w:rsidR="00311CF2" w:rsidRPr="00BB7C9E" w14:paraId="05256490" w14:textId="77777777" w:rsidTr="0020322E">
        <w:trPr>
          <w:trHeight w:val="255"/>
        </w:trPr>
        <w:tc>
          <w:tcPr>
            <w:tcW w:w="1643" w:type="dxa"/>
            <w:tcBorders>
              <w:top w:val="nil"/>
              <w:left w:val="nil"/>
              <w:bottom w:val="single" w:sz="8" w:space="0" w:color="0077BD"/>
              <w:right w:val="single" w:sz="8" w:space="0" w:color="0077BD"/>
            </w:tcBorders>
            <w:shd w:val="clear" w:color="auto" w:fill="auto"/>
            <w:vAlign w:val="center"/>
            <w:hideMark/>
          </w:tcPr>
          <w:p w14:paraId="42D9CCBC"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innych zmniejszeń</w:t>
            </w:r>
          </w:p>
        </w:tc>
        <w:tc>
          <w:tcPr>
            <w:tcW w:w="1134" w:type="dxa"/>
            <w:tcBorders>
              <w:top w:val="nil"/>
              <w:left w:val="nil"/>
              <w:bottom w:val="single" w:sz="8" w:space="0" w:color="0077BD"/>
              <w:right w:val="single" w:sz="8" w:space="0" w:color="0077BD"/>
            </w:tcBorders>
            <w:shd w:val="clear" w:color="auto" w:fill="auto"/>
            <w:noWrap/>
            <w:vAlign w:val="center"/>
            <w:hideMark/>
          </w:tcPr>
          <w:p w14:paraId="38902C5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0E0158C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(313)</w:t>
            </w:r>
          </w:p>
        </w:tc>
        <w:tc>
          <w:tcPr>
            <w:tcW w:w="1134" w:type="dxa"/>
            <w:tcBorders>
              <w:top w:val="nil"/>
              <w:left w:val="nil"/>
              <w:bottom w:val="single" w:sz="8" w:space="0" w:color="0077BD"/>
              <w:right w:val="single" w:sz="8" w:space="0" w:color="0077BD"/>
            </w:tcBorders>
            <w:shd w:val="clear" w:color="auto" w:fill="auto"/>
            <w:noWrap/>
            <w:vAlign w:val="center"/>
            <w:hideMark/>
          </w:tcPr>
          <w:p w14:paraId="64B8727C"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130CD9D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(781)</w:t>
            </w:r>
          </w:p>
        </w:tc>
        <w:tc>
          <w:tcPr>
            <w:tcW w:w="1134" w:type="dxa"/>
            <w:tcBorders>
              <w:top w:val="nil"/>
              <w:left w:val="nil"/>
              <w:bottom w:val="single" w:sz="8" w:space="0" w:color="0077BD"/>
              <w:right w:val="single" w:sz="8" w:space="0" w:color="0077BD"/>
            </w:tcBorders>
            <w:shd w:val="clear" w:color="auto" w:fill="auto"/>
            <w:noWrap/>
            <w:vAlign w:val="center"/>
            <w:hideMark/>
          </w:tcPr>
          <w:p w14:paraId="6F0EAC7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(60 292)</w:t>
            </w:r>
          </w:p>
        </w:tc>
        <w:tc>
          <w:tcPr>
            <w:tcW w:w="1134" w:type="dxa"/>
            <w:tcBorders>
              <w:top w:val="nil"/>
              <w:left w:val="nil"/>
              <w:bottom w:val="single" w:sz="8" w:space="0" w:color="0077BD"/>
              <w:right w:val="single" w:sz="8" w:space="0" w:color="0077BD"/>
            </w:tcBorders>
            <w:shd w:val="clear" w:color="auto" w:fill="auto"/>
            <w:noWrap/>
            <w:vAlign w:val="center"/>
            <w:hideMark/>
          </w:tcPr>
          <w:p w14:paraId="20FACEA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50D7E2D2"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(61 386)</w:t>
            </w:r>
          </w:p>
        </w:tc>
      </w:tr>
      <w:tr w:rsidR="00311CF2" w:rsidRPr="00BB7C9E" w14:paraId="4CA0A6BC"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068FACBA" w14:textId="1ABD0B51"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Wartość brutto wartości niematerialnych</w:t>
            </w:r>
            <w:r w:rsidR="004B53FE" w:rsidRPr="00BB7C9E">
              <w:rPr>
                <w:rFonts w:cs="Calibri"/>
                <w:b/>
                <w:bCs/>
                <w:color w:val="000000" w:themeColor="text1"/>
                <w:sz w:val="11"/>
                <w:szCs w:val="11"/>
              </w:rPr>
              <w:t xml:space="preserve"> na koniec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50E208D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39</w:t>
            </w:r>
          </w:p>
        </w:tc>
        <w:tc>
          <w:tcPr>
            <w:tcW w:w="1134" w:type="dxa"/>
            <w:tcBorders>
              <w:top w:val="nil"/>
              <w:left w:val="nil"/>
              <w:bottom w:val="single" w:sz="8" w:space="0" w:color="0077BD"/>
              <w:right w:val="single" w:sz="8" w:space="0" w:color="0077BD"/>
            </w:tcBorders>
            <w:shd w:val="clear" w:color="auto" w:fill="auto"/>
            <w:noWrap/>
            <w:vAlign w:val="center"/>
            <w:hideMark/>
          </w:tcPr>
          <w:p w14:paraId="0A797BC5"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1 329 439</w:t>
            </w:r>
          </w:p>
        </w:tc>
        <w:tc>
          <w:tcPr>
            <w:tcW w:w="1134" w:type="dxa"/>
            <w:tcBorders>
              <w:top w:val="nil"/>
              <w:left w:val="nil"/>
              <w:bottom w:val="single" w:sz="8" w:space="0" w:color="0077BD"/>
              <w:right w:val="single" w:sz="8" w:space="0" w:color="0077BD"/>
            </w:tcBorders>
            <w:shd w:val="clear" w:color="auto" w:fill="auto"/>
            <w:noWrap/>
            <w:vAlign w:val="center"/>
            <w:hideMark/>
          </w:tcPr>
          <w:p w14:paraId="718DE45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1 018 641</w:t>
            </w:r>
          </w:p>
        </w:tc>
        <w:tc>
          <w:tcPr>
            <w:tcW w:w="1134" w:type="dxa"/>
            <w:tcBorders>
              <w:top w:val="nil"/>
              <w:left w:val="nil"/>
              <w:bottom w:val="single" w:sz="8" w:space="0" w:color="0077BD"/>
              <w:right w:val="single" w:sz="8" w:space="0" w:color="0077BD"/>
            </w:tcBorders>
            <w:shd w:val="clear" w:color="auto" w:fill="auto"/>
            <w:noWrap/>
            <w:vAlign w:val="center"/>
            <w:hideMark/>
          </w:tcPr>
          <w:p w14:paraId="6B7EE60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20 435</w:t>
            </w:r>
          </w:p>
        </w:tc>
        <w:tc>
          <w:tcPr>
            <w:tcW w:w="1134" w:type="dxa"/>
            <w:tcBorders>
              <w:top w:val="nil"/>
              <w:left w:val="nil"/>
              <w:bottom w:val="single" w:sz="8" w:space="0" w:color="0077BD"/>
              <w:right w:val="single" w:sz="8" w:space="0" w:color="0077BD"/>
            </w:tcBorders>
            <w:shd w:val="clear" w:color="auto" w:fill="auto"/>
            <w:noWrap/>
            <w:vAlign w:val="center"/>
            <w:hideMark/>
          </w:tcPr>
          <w:p w14:paraId="7E4A97F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330 039</w:t>
            </w:r>
          </w:p>
        </w:tc>
        <w:tc>
          <w:tcPr>
            <w:tcW w:w="1134" w:type="dxa"/>
            <w:tcBorders>
              <w:top w:val="nil"/>
              <w:left w:val="nil"/>
              <w:bottom w:val="single" w:sz="8" w:space="0" w:color="0077BD"/>
              <w:right w:val="single" w:sz="8" w:space="0" w:color="0077BD"/>
            </w:tcBorders>
            <w:shd w:val="clear" w:color="auto" w:fill="auto"/>
            <w:noWrap/>
            <w:vAlign w:val="center"/>
            <w:hideMark/>
          </w:tcPr>
          <w:p w14:paraId="0EB3E1D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4 728</w:t>
            </w:r>
          </w:p>
        </w:tc>
        <w:tc>
          <w:tcPr>
            <w:tcW w:w="1134" w:type="dxa"/>
            <w:tcBorders>
              <w:top w:val="nil"/>
              <w:left w:val="nil"/>
              <w:bottom w:val="single" w:sz="8" w:space="0" w:color="0077BD"/>
              <w:right w:val="nil"/>
            </w:tcBorders>
            <w:shd w:val="clear" w:color="auto" w:fill="auto"/>
            <w:noWrap/>
            <w:vAlign w:val="center"/>
            <w:hideMark/>
          </w:tcPr>
          <w:p w14:paraId="25EB3D70"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1 684 680</w:t>
            </w:r>
          </w:p>
        </w:tc>
      </w:tr>
      <w:tr w:rsidR="00311CF2" w:rsidRPr="00BB7C9E" w14:paraId="3DF5B02B"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4A296B37" w14:textId="45B97434"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Skumulowana amortyzacja (umorzenie) n</w:t>
            </w:r>
            <w:r w:rsidR="004B53FE" w:rsidRPr="00BB7C9E">
              <w:rPr>
                <w:rFonts w:cs="Calibri"/>
                <w:b/>
                <w:bCs/>
                <w:color w:val="000000" w:themeColor="text1"/>
                <w:sz w:val="11"/>
                <w:szCs w:val="11"/>
              </w:rPr>
              <w:t>a początek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3202EC8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(39)</w:t>
            </w:r>
          </w:p>
        </w:tc>
        <w:tc>
          <w:tcPr>
            <w:tcW w:w="1134" w:type="dxa"/>
            <w:tcBorders>
              <w:top w:val="nil"/>
              <w:left w:val="nil"/>
              <w:bottom w:val="single" w:sz="8" w:space="0" w:color="0077BD"/>
              <w:right w:val="single" w:sz="8" w:space="0" w:color="0077BD"/>
            </w:tcBorders>
            <w:shd w:val="clear" w:color="auto" w:fill="auto"/>
            <w:noWrap/>
            <w:vAlign w:val="center"/>
            <w:hideMark/>
          </w:tcPr>
          <w:p w14:paraId="3539D9A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(852 919)</w:t>
            </w:r>
          </w:p>
        </w:tc>
        <w:tc>
          <w:tcPr>
            <w:tcW w:w="1134" w:type="dxa"/>
            <w:tcBorders>
              <w:top w:val="nil"/>
              <w:left w:val="nil"/>
              <w:bottom w:val="single" w:sz="8" w:space="0" w:color="0077BD"/>
              <w:right w:val="single" w:sz="8" w:space="0" w:color="0077BD"/>
            </w:tcBorders>
            <w:shd w:val="clear" w:color="auto" w:fill="auto"/>
            <w:noWrap/>
            <w:vAlign w:val="center"/>
            <w:hideMark/>
          </w:tcPr>
          <w:p w14:paraId="0760B6B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(592 902)</w:t>
            </w:r>
          </w:p>
        </w:tc>
        <w:tc>
          <w:tcPr>
            <w:tcW w:w="1134" w:type="dxa"/>
            <w:tcBorders>
              <w:top w:val="nil"/>
              <w:left w:val="nil"/>
              <w:bottom w:val="single" w:sz="8" w:space="0" w:color="0077BD"/>
              <w:right w:val="single" w:sz="8" w:space="0" w:color="0077BD"/>
            </w:tcBorders>
            <w:shd w:val="clear" w:color="auto" w:fill="auto"/>
            <w:noWrap/>
            <w:vAlign w:val="center"/>
            <w:hideMark/>
          </w:tcPr>
          <w:p w14:paraId="244F31E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(18 713)</w:t>
            </w:r>
          </w:p>
        </w:tc>
        <w:tc>
          <w:tcPr>
            <w:tcW w:w="1134" w:type="dxa"/>
            <w:tcBorders>
              <w:top w:val="nil"/>
              <w:left w:val="nil"/>
              <w:bottom w:val="single" w:sz="8" w:space="0" w:color="0077BD"/>
              <w:right w:val="single" w:sz="8" w:space="0" w:color="0077BD"/>
            </w:tcBorders>
            <w:shd w:val="clear" w:color="auto" w:fill="auto"/>
            <w:noWrap/>
            <w:vAlign w:val="center"/>
            <w:hideMark/>
          </w:tcPr>
          <w:p w14:paraId="0D3B0C9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D5EDF3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2BA6ED9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(871 671)</w:t>
            </w:r>
          </w:p>
        </w:tc>
      </w:tr>
      <w:tr w:rsidR="00311CF2" w:rsidRPr="00BB7C9E" w14:paraId="3922A752" w14:textId="77777777" w:rsidTr="00FF0E06">
        <w:trPr>
          <w:trHeight w:val="360"/>
        </w:trPr>
        <w:tc>
          <w:tcPr>
            <w:tcW w:w="1643" w:type="dxa"/>
            <w:tcBorders>
              <w:top w:val="nil"/>
              <w:left w:val="nil"/>
              <w:bottom w:val="single" w:sz="8" w:space="0" w:color="0077BD"/>
              <w:right w:val="single" w:sz="8" w:space="0" w:color="0077BD"/>
            </w:tcBorders>
            <w:shd w:val="clear" w:color="auto" w:fill="auto"/>
            <w:vAlign w:val="center"/>
            <w:hideMark/>
          </w:tcPr>
          <w:p w14:paraId="15743432" w14:textId="09BCD4FE"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Amortyzacja za okres z tytułu</w:t>
            </w:r>
            <w:r w:rsidR="000403AC">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6031C16"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60593B20"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(35 884)</w:t>
            </w:r>
          </w:p>
        </w:tc>
        <w:tc>
          <w:tcPr>
            <w:tcW w:w="1134" w:type="dxa"/>
            <w:tcBorders>
              <w:top w:val="nil"/>
              <w:left w:val="nil"/>
              <w:bottom w:val="single" w:sz="8" w:space="0" w:color="0077BD"/>
              <w:right w:val="single" w:sz="8" w:space="0" w:color="0077BD"/>
            </w:tcBorders>
            <w:shd w:val="clear" w:color="auto" w:fill="auto"/>
            <w:noWrap/>
            <w:vAlign w:val="center"/>
            <w:hideMark/>
          </w:tcPr>
          <w:p w14:paraId="5A3E313C"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(57 917)</w:t>
            </w:r>
          </w:p>
        </w:tc>
        <w:tc>
          <w:tcPr>
            <w:tcW w:w="1134" w:type="dxa"/>
            <w:tcBorders>
              <w:top w:val="nil"/>
              <w:left w:val="nil"/>
              <w:bottom w:val="single" w:sz="8" w:space="0" w:color="0077BD"/>
              <w:right w:val="single" w:sz="8" w:space="0" w:color="0077BD"/>
            </w:tcBorders>
            <w:shd w:val="clear" w:color="auto" w:fill="auto"/>
            <w:noWrap/>
            <w:vAlign w:val="center"/>
            <w:hideMark/>
          </w:tcPr>
          <w:p w14:paraId="1EF3B93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246</w:t>
            </w:r>
          </w:p>
        </w:tc>
        <w:tc>
          <w:tcPr>
            <w:tcW w:w="1134" w:type="dxa"/>
            <w:tcBorders>
              <w:top w:val="nil"/>
              <w:left w:val="nil"/>
              <w:bottom w:val="single" w:sz="8" w:space="0" w:color="0077BD"/>
              <w:right w:val="single" w:sz="8" w:space="0" w:color="0077BD"/>
            </w:tcBorders>
            <w:shd w:val="clear" w:color="auto" w:fill="auto"/>
            <w:noWrap/>
            <w:vAlign w:val="center"/>
            <w:hideMark/>
          </w:tcPr>
          <w:p w14:paraId="07164F5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7DEDE7C9"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2AE1F28C"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(35 638)</w:t>
            </w:r>
          </w:p>
        </w:tc>
      </w:tr>
      <w:tr w:rsidR="00311CF2" w:rsidRPr="00BB7C9E" w14:paraId="597D826F" w14:textId="77777777" w:rsidTr="0020322E">
        <w:trPr>
          <w:trHeight w:val="255"/>
        </w:trPr>
        <w:tc>
          <w:tcPr>
            <w:tcW w:w="1643" w:type="dxa"/>
            <w:tcBorders>
              <w:top w:val="nil"/>
              <w:left w:val="nil"/>
              <w:bottom w:val="single" w:sz="4" w:space="0" w:color="0077BD"/>
              <w:right w:val="single" w:sz="8" w:space="0" w:color="0077BD"/>
            </w:tcBorders>
            <w:shd w:val="clear" w:color="auto" w:fill="auto"/>
            <w:vAlign w:val="center"/>
            <w:hideMark/>
          </w:tcPr>
          <w:p w14:paraId="0179D30E"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odpisów</w:t>
            </w:r>
          </w:p>
        </w:tc>
        <w:tc>
          <w:tcPr>
            <w:tcW w:w="1134" w:type="dxa"/>
            <w:tcBorders>
              <w:top w:val="nil"/>
              <w:left w:val="nil"/>
              <w:bottom w:val="single" w:sz="4" w:space="0" w:color="0077BD"/>
              <w:right w:val="single" w:sz="8" w:space="0" w:color="0077BD"/>
            </w:tcBorders>
            <w:shd w:val="clear" w:color="auto" w:fill="auto"/>
            <w:noWrap/>
            <w:vAlign w:val="center"/>
            <w:hideMark/>
          </w:tcPr>
          <w:p w14:paraId="39A2608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255E0DD6"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(132 250)</w:t>
            </w:r>
          </w:p>
        </w:tc>
        <w:tc>
          <w:tcPr>
            <w:tcW w:w="1134" w:type="dxa"/>
            <w:tcBorders>
              <w:top w:val="nil"/>
              <w:left w:val="nil"/>
              <w:bottom w:val="single" w:sz="4" w:space="0" w:color="0077BD"/>
              <w:right w:val="single" w:sz="8" w:space="0" w:color="0077BD"/>
            </w:tcBorders>
            <w:shd w:val="clear" w:color="auto" w:fill="auto"/>
            <w:noWrap/>
            <w:vAlign w:val="center"/>
            <w:hideMark/>
          </w:tcPr>
          <w:p w14:paraId="2445942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(61 161)</w:t>
            </w:r>
          </w:p>
        </w:tc>
        <w:tc>
          <w:tcPr>
            <w:tcW w:w="1134" w:type="dxa"/>
            <w:tcBorders>
              <w:top w:val="nil"/>
              <w:left w:val="nil"/>
              <w:bottom w:val="single" w:sz="4" w:space="0" w:color="0077BD"/>
              <w:right w:val="single" w:sz="8" w:space="0" w:color="0077BD"/>
            </w:tcBorders>
            <w:shd w:val="clear" w:color="auto" w:fill="auto"/>
            <w:noWrap/>
            <w:vAlign w:val="center"/>
            <w:hideMark/>
          </w:tcPr>
          <w:p w14:paraId="1C52362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(998)</w:t>
            </w:r>
          </w:p>
        </w:tc>
        <w:tc>
          <w:tcPr>
            <w:tcW w:w="1134" w:type="dxa"/>
            <w:tcBorders>
              <w:top w:val="nil"/>
              <w:left w:val="nil"/>
              <w:bottom w:val="single" w:sz="4" w:space="0" w:color="0077BD"/>
              <w:right w:val="single" w:sz="8" w:space="0" w:color="0077BD"/>
            </w:tcBorders>
            <w:shd w:val="clear" w:color="auto" w:fill="auto"/>
            <w:noWrap/>
            <w:vAlign w:val="center"/>
            <w:hideMark/>
          </w:tcPr>
          <w:p w14:paraId="18F330C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44A43E1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nil"/>
            </w:tcBorders>
            <w:shd w:val="clear" w:color="auto" w:fill="auto"/>
            <w:noWrap/>
            <w:vAlign w:val="center"/>
            <w:hideMark/>
          </w:tcPr>
          <w:p w14:paraId="6BEF618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(133 248)</w:t>
            </w:r>
          </w:p>
        </w:tc>
      </w:tr>
      <w:tr w:rsidR="00311CF2" w:rsidRPr="00BB7C9E" w14:paraId="65DDF9E4" w14:textId="77777777" w:rsidTr="0020322E">
        <w:trPr>
          <w:trHeight w:val="255"/>
        </w:trPr>
        <w:tc>
          <w:tcPr>
            <w:tcW w:w="1643" w:type="dxa"/>
            <w:tcBorders>
              <w:top w:val="single" w:sz="4" w:space="0" w:color="0077BD"/>
              <w:left w:val="nil"/>
              <w:bottom w:val="single" w:sz="4" w:space="0" w:color="0077BD"/>
              <w:right w:val="single" w:sz="8" w:space="0" w:color="0077BD"/>
            </w:tcBorders>
            <w:shd w:val="clear" w:color="auto" w:fill="auto"/>
            <w:vAlign w:val="center"/>
            <w:hideMark/>
          </w:tcPr>
          <w:p w14:paraId="3F01C90C"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innych zwiększeń</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428A9A57"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5A4FD24C"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(636)</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43438D85"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(56)</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1198EDFA"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32EE4E5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single" w:sz="8" w:space="0" w:color="0077BD"/>
            </w:tcBorders>
            <w:shd w:val="clear" w:color="auto" w:fill="auto"/>
            <w:noWrap/>
            <w:vAlign w:val="center"/>
            <w:hideMark/>
          </w:tcPr>
          <w:p w14:paraId="7B3F194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single" w:sz="4" w:space="0" w:color="0077BD"/>
              <w:left w:val="nil"/>
              <w:bottom w:val="single" w:sz="4" w:space="0" w:color="0077BD"/>
              <w:right w:val="nil"/>
            </w:tcBorders>
            <w:shd w:val="clear" w:color="auto" w:fill="auto"/>
            <w:noWrap/>
            <w:vAlign w:val="center"/>
            <w:hideMark/>
          </w:tcPr>
          <w:p w14:paraId="3EB94D79"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(636)</w:t>
            </w:r>
          </w:p>
        </w:tc>
      </w:tr>
      <w:tr w:rsidR="00311CF2" w:rsidRPr="00BB7C9E" w14:paraId="4EEB742F" w14:textId="77777777" w:rsidTr="0020322E">
        <w:trPr>
          <w:trHeight w:val="255"/>
        </w:trPr>
        <w:tc>
          <w:tcPr>
            <w:tcW w:w="1643" w:type="dxa"/>
            <w:tcBorders>
              <w:top w:val="nil"/>
              <w:left w:val="nil"/>
              <w:bottom w:val="single" w:sz="4" w:space="0" w:color="0077BD"/>
              <w:right w:val="single" w:sz="8" w:space="0" w:color="0077BD"/>
            </w:tcBorders>
            <w:shd w:val="clear" w:color="auto" w:fill="auto"/>
            <w:vAlign w:val="center"/>
            <w:hideMark/>
          </w:tcPr>
          <w:p w14:paraId="0FC87EFE"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sprzedaży</w:t>
            </w:r>
          </w:p>
        </w:tc>
        <w:tc>
          <w:tcPr>
            <w:tcW w:w="1134" w:type="dxa"/>
            <w:tcBorders>
              <w:top w:val="nil"/>
              <w:left w:val="nil"/>
              <w:bottom w:val="single" w:sz="4" w:space="0" w:color="0077BD"/>
              <w:right w:val="single" w:sz="8" w:space="0" w:color="0077BD"/>
            </w:tcBorders>
            <w:shd w:val="clear" w:color="auto" w:fill="auto"/>
            <w:noWrap/>
            <w:vAlign w:val="center"/>
            <w:hideMark/>
          </w:tcPr>
          <w:p w14:paraId="19BC7D9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6F2BB15F"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2 718</w:t>
            </w:r>
          </w:p>
        </w:tc>
        <w:tc>
          <w:tcPr>
            <w:tcW w:w="1134" w:type="dxa"/>
            <w:tcBorders>
              <w:top w:val="nil"/>
              <w:left w:val="nil"/>
              <w:bottom w:val="single" w:sz="4" w:space="0" w:color="0077BD"/>
              <w:right w:val="single" w:sz="8" w:space="0" w:color="0077BD"/>
            </w:tcBorders>
            <w:shd w:val="clear" w:color="auto" w:fill="auto"/>
            <w:noWrap/>
            <w:vAlign w:val="center"/>
            <w:hideMark/>
          </w:tcPr>
          <w:p w14:paraId="7A407255"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2 709</w:t>
            </w:r>
          </w:p>
        </w:tc>
        <w:tc>
          <w:tcPr>
            <w:tcW w:w="1134" w:type="dxa"/>
            <w:tcBorders>
              <w:top w:val="nil"/>
              <w:left w:val="nil"/>
              <w:bottom w:val="single" w:sz="4" w:space="0" w:color="0077BD"/>
              <w:right w:val="single" w:sz="8" w:space="0" w:color="0077BD"/>
            </w:tcBorders>
            <w:shd w:val="clear" w:color="auto" w:fill="auto"/>
            <w:noWrap/>
            <w:vAlign w:val="center"/>
            <w:hideMark/>
          </w:tcPr>
          <w:p w14:paraId="156F2B9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700</w:t>
            </w:r>
          </w:p>
        </w:tc>
        <w:tc>
          <w:tcPr>
            <w:tcW w:w="1134" w:type="dxa"/>
            <w:tcBorders>
              <w:top w:val="nil"/>
              <w:left w:val="nil"/>
              <w:bottom w:val="single" w:sz="4" w:space="0" w:color="0077BD"/>
              <w:right w:val="single" w:sz="8" w:space="0" w:color="0077BD"/>
            </w:tcBorders>
            <w:shd w:val="clear" w:color="auto" w:fill="auto"/>
            <w:noWrap/>
            <w:vAlign w:val="center"/>
            <w:hideMark/>
          </w:tcPr>
          <w:p w14:paraId="64E79A9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24236EA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nil"/>
            </w:tcBorders>
            <w:shd w:val="clear" w:color="auto" w:fill="auto"/>
            <w:noWrap/>
            <w:vAlign w:val="center"/>
            <w:hideMark/>
          </w:tcPr>
          <w:p w14:paraId="7E599D1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3 418</w:t>
            </w:r>
          </w:p>
        </w:tc>
      </w:tr>
      <w:tr w:rsidR="00311CF2" w:rsidRPr="00BB7C9E" w14:paraId="1768066F" w14:textId="77777777" w:rsidTr="0020322E">
        <w:trPr>
          <w:trHeight w:val="255"/>
        </w:trPr>
        <w:tc>
          <w:tcPr>
            <w:tcW w:w="1643" w:type="dxa"/>
            <w:tcBorders>
              <w:top w:val="nil"/>
              <w:left w:val="nil"/>
              <w:bottom w:val="single" w:sz="4" w:space="0" w:color="0077BD"/>
              <w:right w:val="single" w:sz="8" w:space="0" w:color="0077BD"/>
            </w:tcBorders>
            <w:shd w:val="clear" w:color="auto" w:fill="auto"/>
            <w:vAlign w:val="center"/>
            <w:hideMark/>
          </w:tcPr>
          <w:p w14:paraId="39D51534"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likwidacji</w:t>
            </w:r>
          </w:p>
        </w:tc>
        <w:tc>
          <w:tcPr>
            <w:tcW w:w="1134" w:type="dxa"/>
            <w:tcBorders>
              <w:top w:val="nil"/>
              <w:left w:val="nil"/>
              <w:bottom w:val="single" w:sz="4" w:space="0" w:color="0077BD"/>
              <w:right w:val="single" w:sz="8" w:space="0" w:color="0077BD"/>
            </w:tcBorders>
            <w:shd w:val="clear" w:color="auto" w:fill="auto"/>
            <w:noWrap/>
            <w:vAlign w:val="center"/>
            <w:hideMark/>
          </w:tcPr>
          <w:p w14:paraId="3E9B357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635F24A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94 284</w:t>
            </w:r>
          </w:p>
        </w:tc>
        <w:tc>
          <w:tcPr>
            <w:tcW w:w="1134" w:type="dxa"/>
            <w:tcBorders>
              <w:top w:val="nil"/>
              <w:left w:val="nil"/>
              <w:bottom w:val="single" w:sz="4" w:space="0" w:color="0077BD"/>
              <w:right w:val="single" w:sz="8" w:space="0" w:color="0077BD"/>
            </w:tcBorders>
            <w:shd w:val="clear" w:color="auto" w:fill="auto"/>
            <w:noWrap/>
            <w:vAlign w:val="center"/>
            <w:hideMark/>
          </w:tcPr>
          <w:p w14:paraId="540E996C"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591</w:t>
            </w:r>
          </w:p>
        </w:tc>
        <w:tc>
          <w:tcPr>
            <w:tcW w:w="1134" w:type="dxa"/>
            <w:tcBorders>
              <w:top w:val="nil"/>
              <w:left w:val="nil"/>
              <w:bottom w:val="single" w:sz="4" w:space="0" w:color="0077BD"/>
              <w:right w:val="single" w:sz="8" w:space="0" w:color="0077BD"/>
            </w:tcBorders>
            <w:shd w:val="clear" w:color="auto" w:fill="auto"/>
            <w:noWrap/>
            <w:vAlign w:val="center"/>
            <w:hideMark/>
          </w:tcPr>
          <w:p w14:paraId="4F20B440"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34AFEA4B"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single" w:sz="8" w:space="0" w:color="0077BD"/>
            </w:tcBorders>
            <w:shd w:val="clear" w:color="auto" w:fill="auto"/>
            <w:noWrap/>
            <w:vAlign w:val="center"/>
            <w:hideMark/>
          </w:tcPr>
          <w:p w14:paraId="5BBC206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4" w:space="0" w:color="0077BD"/>
              <w:right w:val="nil"/>
            </w:tcBorders>
            <w:shd w:val="clear" w:color="auto" w:fill="auto"/>
            <w:noWrap/>
            <w:vAlign w:val="center"/>
            <w:hideMark/>
          </w:tcPr>
          <w:p w14:paraId="5B34E5F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94 284</w:t>
            </w:r>
          </w:p>
        </w:tc>
      </w:tr>
      <w:tr w:rsidR="00311CF2" w:rsidRPr="00BB7C9E" w14:paraId="381356A0" w14:textId="77777777" w:rsidTr="0020322E">
        <w:trPr>
          <w:trHeight w:val="255"/>
        </w:trPr>
        <w:tc>
          <w:tcPr>
            <w:tcW w:w="1643" w:type="dxa"/>
            <w:tcBorders>
              <w:top w:val="nil"/>
              <w:left w:val="nil"/>
              <w:bottom w:val="single" w:sz="8" w:space="0" w:color="0077BD"/>
              <w:right w:val="single" w:sz="8" w:space="0" w:color="0077BD"/>
            </w:tcBorders>
            <w:shd w:val="clear" w:color="auto" w:fill="auto"/>
            <w:vAlign w:val="center"/>
            <w:hideMark/>
          </w:tcPr>
          <w:p w14:paraId="0CCB9CE8" w14:textId="77777777" w:rsidR="00C25EDA" w:rsidRPr="00BB7C9E" w:rsidRDefault="00C25EDA" w:rsidP="00C25EDA">
            <w:pPr>
              <w:rPr>
                <w:rFonts w:cs="Calibri"/>
                <w:color w:val="000000" w:themeColor="text1"/>
                <w:sz w:val="11"/>
                <w:szCs w:val="11"/>
              </w:rPr>
            </w:pPr>
            <w:r w:rsidRPr="00BB7C9E">
              <w:rPr>
                <w:rFonts w:cs="Calibri"/>
                <w:color w:val="000000" w:themeColor="text1"/>
                <w:sz w:val="11"/>
                <w:szCs w:val="11"/>
              </w:rPr>
              <w:t>- innych zmniejszeń</w:t>
            </w:r>
          </w:p>
        </w:tc>
        <w:tc>
          <w:tcPr>
            <w:tcW w:w="1134" w:type="dxa"/>
            <w:tcBorders>
              <w:top w:val="nil"/>
              <w:left w:val="nil"/>
              <w:bottom w:val="single" w:sz="8" w:space="0" w:color="0077BD"/>
              <w:right w:val="single" w:sz="8" w:space="0" w:color="0077BD"/>
            </w:tcBorders>
            <w:shd w:val="clear" w:color="auto" w:fill="auto"/>
            <w:noWrap/>
            <w:vAlign w:val="center"/>
            <w:hideMark/>
          </w:tcPr>
          <w:p w14:paraId="7A4F15D1"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4704F334"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3F2EA88"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391C38AD"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544</w:t>
            </w:r>
          </w:p>
        </w:tc>
        <w:tc>
          <w:tcPr>
            <w:tcW w:w="1134" w:type="dxa"/>
            <w:tcBorders>
              <w:top w:val="nil"/>
              <w:left w:val="nil"/>
              <w:bottom w:val="single" w:sz="8" w:space="0" w:color="0077BD"/>
              <w:right w:val="single" w:sz="8" w:space="0" w:color="0077BD"/>
            </w:tcBorders>
            <w:shd w:val="clear" w:color="auto" w:fill="auto"/>
            <w:noWrap/>
            <w:vAlign w:val="center"/>
            <w:hideMark/>
          </w:tcPr>
          <w:p w14:paraId="0AB71373"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C71EB02"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29518977" w14:textId="77777777" w:rsidR="00C25EDA" w:rsidRPr="00F8669A" w:rsidRDefault="00C25EDA" w:rsidP="00C25EDA">
            <w:pPr>
              <w:jc w:val="right"/>
              <w:rPr>
                <w:rFonts w:cs="Calibri"/>
                <w:color w:val="000000" w:themeColor="text1"/>
                <w:sz w:val="11"/>
                <w:szCs w:val="11"/>
              </w:rPr>
            </w:pPr>
            <w:r w:rsidRPr="00F8669A">
              <w:rPr>
                <w:rFonts w:cs="Calibri"/>
                <w:color w:val="000000" w:themeColor="text1"/>
                <w:sz w:val="11"/>
                <w:szCs w:val="11"/>
              </w:rPr>
              <w:t>544</w:t>
            </w:r>
          </w:p>
        </w:tc>
      </w:tr>
      <w:tr w:rsidR="00311CF2" w:rsidRPr="00BB7C9E" w14:paraId="1C61CAA2"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58EEFB09" w14:textId="5893BA94"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Skumulowana amortyzacja (umorzenie)</w:t>
            </w:r>
            <w:r w:rsidR="004B53FE" w:rsidRPr="00BB7C9E">
              <w:rPr>
                <w:rFonts w:cs="Calibri"/>
                <w:b/>
                <w:bCs/>
                <w:color w:val="000000" w:themeColor="text1"/>
                <w:sz w:val="11"/>
                <w:szCs w:val="11"/>
              </w:rPr>
              <w:t xml:space="preserve"> na koniec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632169F9"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(39)</w:t>
            </w:r>
          </w:p>
        </w:tc>
        <w:tc>
          <w:tcPr>
            <w:tcW w:w="1134" w:type="dxa"/>
            <w:tcBorders>
              <w:top w:val="nil"/>
              <w:left w:val="nil"/>
              <w:bottom w:val="single" w:sz="8" w:space="0" w:color="0077BD"/>
              <w:right w:val="single" w:sz="8" w:space="0" w:color="0077BD"/>
            </w:tcBorders>
            <w:shd w:val="clear" w:color="auto" w:fill="auto"/>
            <w:noWrap/>
            <w:vAlign w:val="center"/>
            <w:hideMark/>
          </w:tcPr>
          <w:p w14:paraId="13EB704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(888 803)</w:t>
            </w:r>
          </w:p>
        </w:tc>
        <w:tc>
          <w:tcPr>
            <w:tcW w:w="1134" w:type="dxa"/>
            <w:tcBorders>
              <w:top w:val="nil"/>
              <w:left w:val="nil"/>
              <w:bottom w:val="single" w:sz="8" w:space="0" w:color="0077BD"/>
              <w:right w:val="single" w:sz="8" w:space="0" w:color="0077BD"/>
            </w:tcBorders>
            <w:shd w:val="clear" w:color="auto" w:fill="auto"/>
            <w:noWrap/>
            <w:vAlign w:val="center"/>
            <w:hideMark/>
          </w:tcPr>
          <w:p w14:paraId="4A3EAF6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(650 819)</w:t>
            </w:r>
          </w:p>
        </w:tc>
        <w:tc>
          <w:tcPr>
            <w:tcW w:w="1134" w:type="dxa"/>
            <w:tcBorders>
              <w:top w:val="nil"/>
              <w:left w:val="nil"/>
              <w:bottom w:val="single" w:sz="8" w:space="0" w:color="0077BD"/>
              <w:right w:val="single" w:sz="8" w:space="0" w:color="0077BD"/>
            </w:tcBorders>
            <w:shd w:val="clear" w:color="auto" w:fill="auto"/>
            <w:noWrap/>
            <w:vAlign w:val="center"/>
            <w:hideMark/>
          </w:tcPr>
          <w:p w14:paraId="61DAEB70"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(18 467)</w:t>
            </w:r>
          </w:p>
        </w:tc>
        <w:tc>
          <w:tcPr>
            <w:tcW w:w="1134" w:type="dxa"/>
            <w:tcBorders>
              <w:top w:val="nil"/>
              <w:left w:val="nil"/>
              <w:bottom w:val="single" w:sz="8" w:space="0" w:color="0077BD"/>
              <w:right w:val="single" w:sz="8" w:space="0" w:color="0077BD"/>
            </w:tcBorders>
            <w:shd w:val="clear" w:color="auto" w:fill="auto"/>
            <w:noWrap/>
            <w:vAlign w:val="center"/>
            <w:hideMark/>
          </w:tcPr>
          <w:p w14:paraId="2687014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449CA1B"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nil"/>
            </w:tcBorders>
            <w:shd w:val="clear" w:color="auto" w:fill="auto"/>
            <w:noWrap/>
            <w:vAlign w:val="center"/>
            <w:hideMark/>
          </w:tcPr>
          <w:p w14:paraId="3DDB2D3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(907 309)</w:t>
            </w:r>
          </w:p>
        </w:tc>
      </w:tr>
      <w:tr w:rsidR="00311CF2" w:rsidRPr="00BB7C9E" w14:paraId="026D44EA"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6EA758CE" w14:textId="56D3EB6E"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Odpisy z tytułu utraty wartości n</w:t>
            </w:r>
            <w:r w:rsidR="004B53FE" w:rsidRPr="00BB7C9E">
              <w:rPr>
                <w:rFonts w:cs="Calibri"/>
                <w:b/>
                <w:bCs/>
                <w:color w:val="000000" w:themeColor="text1"/>
                <w:sz w:val="11"/>
                <w:szCs w:val="11"/>
              </w:rPr>
              <w:t>a początek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2506BA45"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0E249E0B"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DCFCF95"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185B5AD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03B82660"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4AA4DC8F"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(1 196)</w:t>
            </w:r>
          </w:p>
        </w:tc>
        <w:tc>
          <w:tcPr>
            <w:tcW w:w="1134" w:type="dxa"/>
            <w:tcBorders>
              <w:top w:val="nil"/>
              <w:left w:val="nil"/>
              <w:bottom w:val="single" w:sz="8" w:space="0" w:color="0077BD"/>
              <w:right w:val="nil"/>
            </w:tcBorders>
            <w:shd w:val="clear" w:color="auto" w:fill="auto"/>
            <w:noWrap/>
            <w:vAlign w:val="center"/>
            <w:hideMark/>
          </w:tcPr>
          <w:p w14:paraId="31AE2FD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(1 196)</w:t>
            </w:r>
          </w:p>
        </w:tc>
      </w:tr>
      <w:tr w:rsidR="00311CF2" w:rsidRPr="00BB7C9E" w14:paraId="3A7048C8" w14:textId="77777777" w:rsidTr="00FF0E06">
        <w:trPr>
          <w:trHeight w:val="340"/>
        </w:trPr>
        <w:tc>
          <w:tcPr>
            <w:tcW w:w="1643" w:type="dxa"/>
            <w:tcBorders>
              <w:top w:val="nil"/>
              <w:left w:val="nil"/>
              <w:bottom w:val="single" w:sz="8" w:space="0" w:color="0077BD"/>
              <w:right w:val="single" w:sz="8" w:space="0" w:color="0077BD"/>
            </w:tcBorders>
            <w:shd w:val="clear" w:color="auto" w:fill="auto"/>
            <w:vAlign w:val="center"/>
            <w:hideMark/>
          </w:tcPr>
          <w:p w14:paraId="34F96C45" w14:textId="20B98934"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Odpisy z tytułu utraty wartości</w:t>
            </w:r>
            <w:r w:rsidR="004B53FE" w:rsidRPr="00BB7C9E">
              <w:rPr>
                <w:rFonts w:cs="Calibri"/>
                <w:b/>
                <w:bCs/>
                <w:color w:val="000000" w:themeColor="text1"/>
                <w:sz w:val="11"/>
                <w:szCs w:val="11"/>
              </w:rPr>
              <w:t xml:space="preserve"> na koniec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5FBB73C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35565D0F"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4D3CDD44"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33016B3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587B244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072C7977"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(1 196)</w:t>
            </w:r>
          </w:p>
        </w:tc>
        <w:tc>
          <w:tcPr>
            <w:tcW w:w="1134" w:type="dxa"/>
            <w:tcBorders>
              <w:top w:val="nil"/>
              <w:left w:val="nil"/>
              <w:bottom w:val="single" w:sz="8" w:space="0" w:color="0077BD"/>
              <w:right w:val="nil"/>
            </w:tcBorders>
            <w:shd w:val="clear" w:color="auto" w:fill="auto"/>
            <w:noWrap/>
            <w:vAlign w:val="center"/>
            <w:hideMark/>
          </w:tcPr>
          <w:p w14:paraId="503C756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(1 196)</w:t>
            </w:r>
          </w:p>
        </w:tc>
      </w:tr>
      <w:tr w:rsidR="00311CF2" w:rsidRPr="00BB7C9E" w14:paraId="7D180E13" w14:textId="77777777" w:rsidTr="00FF0E06">
        <w:trPr>
          <w:trHeight w:val="454"/>
        </w:trPr>
        <w:tc>
          <w:tcPr>
            <w:tcW w:w="1643" w:type="dxa"/>
            <w:tcBorders>
              <w:top w:val="nil"/>
              <w:left w:val="nil"/>
              <w:bottom w:val="single" w:sz="8" w:space="0" w:color="0077BD"/>
              <w:right w:val="single" w:sz="8" w:space="0" w:color="0077BD"/>
            </w:tcBorders>
            <w:shd w:val="clear" w:color="auto" w:fill="auto"/>
            <w:vAlign w:val="center"/>
            <w:hideMark/>
          </w:tcPr>
          <w:p w14:paraId="00A4F721" w14:textId="5B127C40" w:rsidR="00C25EDA" w:rsidRPr="00BB7C9E" w:rsidRDefault="00C25EDA" w:rsidP="00C25EDA">
            <w:pPr>
              <w:rPr>
                <w:rFonts w:cs="Calibri"/>
                <w:b/>
                <w:bCs/>
                <w:color w:val="000000" w:themeColor="text1"/>
                <w:sz w:val="11"/>
                <w:szCs w:val="11"/>
              </w:rPr>
            </w:pPr>
            <w:r w:rsidRPr="00BB7C9E">
              <w:rPr>
                <w:rFonts w:cs="Calibri"/>
                <w:b/>
                <w:bCs/>
                <w:color w:val="000000" w:themeColor="text1"/>
                <w:sz w:val="11"/>
                <w:szCs w:val="11"/>
              </w:rPr>
              <w:t>Wartość netto wartości niematerialnych</w:t>
            </w:r>
            <w:r w:rsidR="004B53FE" w:rsidRPr="00BB7C9E">
              <w:rPr>
                <w:rFonts w:cs="Calibri"/>
                <w:b/>
                <w:bCs/>
                <w:color w:val="000000" w:themeColor="text1"/>
                <w:sz w:val="11"/>
                <w:szCs w:val="11"/>
              </w:rPr>
              <w:t xml:space="preserve"> na koniec okresu</w:t>
            </w:r>
          </w:p>
        </w:tc>
        <w:tc>
          <w:tcPr>
            <w:tcW w:w="1134" w:type="dxa"/>
            <w:tcBorders>
              <w:top w:val="nil"/>
              <w:left w:val="nil"/>
              <w:bottom w:val="single" w:sz="8" w:space="0" w:color="0077BD"/>
              <w:right w:val="single" w:sz="8" w:space="0" w:color="0077BD"/>
            </w:tcBorders>
            <w:shd w:val="clear" w:color="auto" w:fill="auto"/>
            <w:noWrap/>
            <w:vAlign w:val="center"/>
            <w:hideMark/>
          </w:tcPr>
          <w:p w14:paraId="53A951A1"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w:t>
            </w:r>
          </w:p>
        </w:tc>
        <w:tc>
          <w:tcPr>
            <w:tcW w:w="1134" w:type="dxa"/>
            <w:tcBorders>
              <w:top w:val="nil"/>
              <w:left w:val="nil"/>
              <w:bottom w:val="single" w:sz="8" w:space="0" w:color="0077BD"/>
              <w:right w:val="single" w:sz="8" w:space="0" w:color="0077BD"/>
            </w:tcBorders>
            <w:shd w:val="clear" w:color="auto" w:fill="auto"/>
            <w:noWrap/>
            <w:vAlign w:val="center"/>
            <w:hideMark/>
          </w:tcPr>
          <w:p w14:paraId="21AD6083"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440 636</w:t>
            </w:r>
          </w:p>
        </w:tc>
        <w:tc>
          <w:tcPr>
            <w:tcW w:w="1134" w:type="dxa"/>
            <w:tcBorders>
              <w:top w:val="nil"/>
              <w:left w:val="nil"/>
              <w:bottom w:val="single" w:sz="8" w:space="0" w:color="0077BD"/>
              <w:right w:val="single" w:sz="8" w:space="0" w:color="0077BD"/>
            </w:tcBorders>
            <w:shd w:val="clear" w:color="auto" w:fill="auto"/>
            <w:noWrap/>
            <w:vAlign w:val="center"/>
            <w:hideMark/>
          </w:tcPr>
          <w:p w14:paraId="135C4A6C"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367 822</w:t>
            </w:r>
          </w:p>
        </w:tc>
        <w:tc>
          <w:tcPr>
            <w:tcW w:w="1134" w:type="dxa"/>
            <w:tcBorders>
              <w:top w:val="nil"/>
              <w:left w:val="nil"/>
              <w:bottom w:val="single" w:sz="8" w:space="0" w:color="0077BD"/>
              <w:right w:val="single" w:sz="8" w:space="0" w:color="0077BD"/>
            </w:tcBorders>
            <w:shd w:val="clear" w:color="auto" w:fill="auto"/>
            <w:noWrap/>
            <w:vAlign w:val="center"/>
            <w:hideMark/>
          </w:tcPr>
          <w:p w14:paraId="569FD9FD"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1 968</w:t>
            </w:r>
          </w:p>
        </w:tc>
        <w:tc>
          <w:tcPr>
            <w:tcW w:w="1134" w:type="dxa"/>
            <w:tcBorders>
              <w:top w:val="nil"/>
              <w:left w:val="nil"/>
              <w:bottom w:val="single" w:sz="8" w:space="0" w:color="0077BD"/>
              <w:right w:val="single" w:sz="8" w:space="0" w:color="0077BD"/>
            </w:tcBorders>
            <w:shd w:val="clear" w:color="auto" w:fill="auto"/>
            <w:noWrap/>
            <w:vAlign w:val="center"/>
            <w:hideMark/>
          </w:tcPr>
          <w:p w14:paraId="4D7AA70F"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330 039</w:t>
            </w:r>
          </w:p>
        </w:tc>
        <w:tc>
          <w:tcPr>
            <w:tcW w:w="1134" w:type="dxa"/>
            <w:tcBorders>
              <w:top w:val="nil"/>
              <w:left w:val="nil"/>
              <w:bottom w:val="single" w:sz="8" w:space="0" w:color="0077BD"/>
              <w:right w:val="single" w:sz="8" w:space="0" w:color="0077BD"/>
            </w:tcBorders>
            <w:shd w:val="clear" w:color="auto" w:fill="auto"/>
            <w:noWrap/>
            <w:vAlign w:val="center"/>
            <w:hideMark/>
          </w:tcPr>
          <w:p w14:paraId="7567D6B8"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3 532</w:t>
            </w:r>
          </w:p>
        </w:tc>
        <w:tc>
          <w:tcPr>
            <w:tcW w:w="1134" w:type="dxa"/>
            <w:tcBorders>
              <w:top w:val="nil"/>
              <w:left w:val="nil"/>
              <w:bottom w:val="single" w:sz="8" w:space="0" w:color="0077BD"/>
              <w:right w:val="nil"/>
            </w:tcBorders>
            <w:shd w:val="clear" w:color="auto" w:fill="auto"/>
            <w:noWrap/>
            <w:vAlign w:val="center"/>
            <w:hideMark/>
          </w:tcPr>
          <w:p w14:paraId="2BA53CBE" w14:textId="77777777" w:rsidR="00C25EDA" w:rsidRPr="00F8669A" w:rsidRDefault="00C25EDA" w:rsidP="00C25EDA">
            <w:pPr>
              <w:jc w:val="right"/>
              <w:rPr>
                <w:rFonts w:cs="Calibri"/>
                <w:b/>
                <w:bCs/>
                <w:color w:val="000000" w:themeColor="text1"/>
                <w:sz w:val="11"/>
                <w:szCs w:val="11"/>
              </w:rPr>
            </w:pPr>
            <w:r w:rsidRPr="00F8669A">
              <w:rPr>
                <w:rFonts w:cs="Calibri"/>
                <w:b/>
                <w:bCs/>
                <w:color w:val="000000" w:themeColor="text1"/>
                <w:sz w:val="11"/>
                <w:szCs w:val="11"/>
              </w:rPr>
              <w:t>776 175</w:t>
            </w:r>
          </w:p>
        </w:tc>
      </w:tr>
    </w:tbl>
    <w:p w14:paraId="62A9083A" w14:textId="77777777" w:rsidR="004D4F54" w:rsidRPr="00BB7C9E" w:rsidRDefault="004D4F54" w:rsidP="004523D7">
      <w:pPr>
        <w:jc w:val="both"/>
        <w:rPr>
          <w:color w:val="000000" w:themeColor="text1"/>
          <w:sz w:val="18"/>
          <w:szCs w:val="18"/>
        </w:rPr>
      </w:pPr>
    </w:p>
    <w:p w14:paraId="09FE2788" w14:textId="77777777" w:rsidR="0035524B" w:rsidRDefault="0035524B"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6" w:name="_Toc32999857"/>
      <w:r>
        <w:rPr>
          <w:rFonts w:cs="Tahoma"/>
          <w:bCs w:val="0"/>
          <w:iCs w:val="0"/>
          <w:color w:val="E41E0A"/>
          <w:sz w:val="18"/>
          <w:szCs w:val="18"/>
        </w:rPr>
        <w:t>Rzeczowe aktywa trwałe</w:t>
      </w:r>
      <w:bookmarkEnd w:id="146"/>
    </w:p>
    <w:p w14:paraId="717D2A0D" w14:textId="7A23AB91" w:rsidR="0035524B" w:rsidRDefault="0035524B" w:rsidP="00311CF2">
      <w:pPr>
        <w:jc w:val="both"/>
        <w:rPr>
          <w:noProof/>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311CF2" w:rsidRPr="00311CF2" w14:paraId="1B7320EA" w14:textId="77777777" w:rsidTr="00B91B35">
        <w:trPr>
          <w:trHeight w:val="284"/>
        </w:trPr>
        <w:tc>
          <w:tcPr>
            <w:tcW w:w="6747" w:type="dxa"/>
            <w:tcBorders>
              <w:top w:val="nil"/>
              <w:left w:val="nil"/>
              <w:bottom w:val="nil"/>
              <w:right w:val="single" w:sz="8" w:space="0" w:color="FFFFFF"/>
            </w:tcBorders>
            <w:shd w:val="clear" w:color="000000" w:fill="0077BD"/>
            <w:noWrap/>
            <w:vAlign w:val="center"/>
            <w:hideMark/>
          </w:tcPr>
          <w:p w14:paraId="5F154ACA" w14:textId="77777777" w:rsidR="00311CF2" w:rsidRPr="00311CF2" w:rsidRDefault="00311CF2" w:rsidP="00311CF2">
            <w:pPr>
              <w:rPr>
                <w:rFonts w:cs="Calibri"/>
                <w:color w:val="99CCFF"/>
                <w:sz w:val="13"/>
                <w:szCs w:val="13"/>
              </w:rPr>
            </w:pPr>
            <w:r w:rsidRPr="00311CF2">
              <w:rPr>
                <w:rFonts w:cs="Calibri"/>
                <w:color w:val="99CCFF"/>
                <w:sz w:val="13"/>
                <w:szCs w:val="13"/>
              </w:rPr>
              <w:t> </w:t>
            </w:r>
          </w:p>
        </w:tc>
        <w:tc>
          <w:tcPr>
            <w:tcW w:w="1418" w:type="dxa"/>
            <w:tcBorders>
              <w:top w:val="nil"/>
              <w:left w:val="nil"/>
              <w:bottom w:val="nil"/>
              <w:right w:val="nil"/>
            </w:tcBorders>
            <w:shd w:val="clear" w:color="000000" w:fill="0077BD"/>
            <w:noWrap/>
            <w:vAlign w:val="center"/>
            <w:hideMark/>
          </w:tcPr>
          <w:p w14:paraId="4EE30890" w14:textId="77777777" w:rsidR="00311CF2" w:rsidRPr="00311CF2" w:rsidRDefault="00311CF2" w:rsidP="00311CF2">
            <w:pPr>
              <w:jc w:val="right"/>
              <w:rPr>
                <w:rFonts w:cs="Calibri"/>
                <w:b/>
                <w:bCs/>
                <w:color w:val="FFFFFF"/>
                <w:sz w:val="13"/>
                <w:szCs w:val="13"/>
              </w:rPr>
            </w:pPr>
            <w:r w:rsidRPr="00311CF2">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76CC6CB4" w14:textId="77777777" w:rsidR="00311CF2" w:rsidRPr="00311CF2" w:rsidRDefault="00311CF2" w:rsidP="00311CF2">
            <w:pPr>
              <w:jc w:val="right"/>
              <w:rPr>
                <w:rFonts w:cs="Calibri"/>
                <w:b/>
                <w:bCs/>
                <w:color w:val="FFFFFF"/>
                <w:sz w:val="13"/>
                <w:szCs w:val="13"/>
              </w:rPr>
            </w:pPr>
            <w:r w:rsidRPr="00311CF2">
              <w:rPr>
                <w:rFonts w:cs="Calibri"/>
                <w:b/>
                <w:bCs/>
                <w:color w:val="FFFFFF"/>
                <w:sz w:val="13"/>
                <w:szCs w:val="13"/>
              </w:rPr>
              <w:t>31.12.2018</w:t>
            </w:r>
          </w:p>
        </w:tc>
      </w:tr>
      <w:tr w:rsidR="008A74B2" w:rsidRPr="008A31DC" w14:paraId="00D75628" w14:textId="77777777" w:rsidTr="00B91B35">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2AC27DA9" w14:textId="77777777" w:rsidR="008A74B2" w:rsidRPr="00B91B35" w:rsidRDefault="008A74B2" w:rsidP="008A74B2">
            <w:pPr>
              <w:rPr>
                <w:rFonts w:cs="Calibri"/>
                <w:b/>
                <w:color w:val="000000" w:themeColor="text1"/>
                <w:sz w:val="13"/>
                <w:szCs w:val="13"/>
              </w:rPr>
            </w:pPr>
            <w:r w:rsidRPr="00B91B35">
              <w:rPr>
                <w:rFonts w:cs="Calibri"/>
                <w:b/>
                <w:color w:val="000000" w:themeColor="text1"/>
                <w:sz w:val="13"/>
                <w:szCs w:val="13"/>
              </w:rPr>
              <w:t>Środki trwałe, w tym:</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025B8F45" w14:textId="3C18AE4C" w:rsidR="008A74B2" w:rsidRPr="00B91B35" w:rsidRDefault="008A74B2" w:rsidP="008A74B2">
            <w:pPr>
              <w:jc w:val="right"/>
              <w:rPr>
                <w:rFonts w:cs="Calibri"/>
                <w:b/>
                <w:color w:val="000000" w:themeColor="text1"/>
                <w:sz w:val="13"/>
                <w:szCs w:val="13"/>
              </w:rPr>
            </w:pPr>
            <w:bookmarkStart w:id="147" w:name="RANGE!C5:C17"/>
            <w:r w:rsidRPr="00B91B35">
              <w:rPr>
                <w:rFonts w:cs="Calibri"/>
                <w:b/>
                <w:color w:val="000000" w:themeColor="text1"/>
                <w:sz w:val="13"/>
                <w:szCs w:val="13"/>
              </w:rPr>
              <w:t>698 634</w:t>
            </w:r>
            <w:bookmarkEnd w:id="147"/>
          </w:p>
        </w:tc>
        <w:tc>
          <w:tcPr>
            <w:tcW w:w="1418" w:type="dxa"/>
            <w:tcBorders>
              <w:top w:val="nil"/>
              <w:left w:val="nil"/>
              <w:bottom w:val="single" w:sz="8" w:space="0" w:color="0077BD"/>
              <w:right w:val="nil"/>
            </w:tcBorders>
            <w:shd w:val="clear" w:color="auto" w:fill="auto"/>
            <w:vAlign w:val="center"/>
            <w:hideMark/>
          </w:tcPr>
          <w:p w14:paraId="0D93F980" w14:textId="77777777" w:rsidR="008A74B2" w:rsidRPr="00B91B35" w:rsidRDefault="008A74B2" w:rsidP="008A74B2">
            <w:pPr>
              <w:jc w:val="right"/>
              <w:rPr>
                <w:rFonts w:cs="Calibri"/>
                <w:b/>
                <w:color w:val="000000" w:themeColor="text1"/>
                <w:sz w:val="13"/>
                <w:szCs w:val="13"/>
              </w:rPr>
            </w:pPr>
            <w:r w:rsidRPr="00B91B35">
              <w:rPr>
                <w:rFonts w:cs="Calibri"/>
                <w:b/>
                <w:color w:val="000000" w:themeColor="text1"/>
                <w:sz w:val="13"/>
                <w:szCs w:val="13"/>
              </w:rPr>
              <w:t>668 460</w:t>
            </w:r>
          </w:p>
        </w:tc>
      </w:tr>
      <w:tr w:rsidR="008A74B2" w:rsidRPr="00BB7C9E" w14:paraId="6DB3A033" w14:textId="77777777" w:rsidTr="00B91B3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010FEEB" w14:textId="77777777" w:rsidR="008A74B2" w:rsidRPr="00B91B35" w:rsidRDefault="008A74B2" w:rsidP="008A74B2">
            <w:pPr>
              <w:rPr>
                <w:rFonts w:cs="Calibri"/>
                <w:color w:val="000000" w:themeColor="text1"/>
                <w:sz w:val="13"/>
                <w:szCs w:val="13"/>
              </w:rPr>
            </w:pPr>
            <w:r w:rsidRPr="00B91B35">
              <w:rPr>
                <w:rFonts w:cs="Calibri"/>
                <w:color w:val="000000" w:themeColor="text1"/>
                <w:sz w:val="13"/>
                <w:szCs w:val="13"/>
              </w:rPr>
              <w:t>- grunty</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071054AB" w14:textId="19E36B49"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1 033</w:t>
            </w:r>
          </w:p>
        </w:tc>
        <w:tc>
          <w:tcPr>
            <w:tcW w:w="1418" w:type="dxa"/>
            <w:tcBorders>
              <w:top w:val="nil"/>
              <w:left w:val="nil"/>
              <w:bottom w:val="single" w:sz="4" w:space="0" w:color="0077BD"/>
              <w:right w:val="nil"/>
            </w:tcBorders>
            <w:shd w:val="clear" w:color="auto" w:fill="auto"/>
            <w:vAlign w:val="center"/>
            <w:hideMark/>
          </w:tcPr>
          <w:p w14:paraId="188CD427" w14:textId="77777777"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1 033</w:t>
            </w:r>
          </w:p>
        </w:tc>
      </w:tr>
      <w:tr w:rsidR="008A74B2" w:rsidRPr="00BB7C9E" w14:paraId="54F84DD8" w14:textId="77777777" w:rsidTr="00B91B3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F15C209" w14:textId="77777777" w:rsidR="008A74B2" w:rsidRPr="00B91B35" w:rsidRDefault="008A74B2" w:rsidP="008A74B2">
            <w:pPr>
              <w:rPr>
                <w:rFonts w:cs="Calibri"/>
                <w:color w:val="000000" w:themeColor="text1"/>
                <w:sz w:val="13"/>
                <w:szCs w:val="13"/>
              </w:rPr>
            </w:pPr>
            <w:r w:rsidRPr="00B91B35">
              <w:rPr>
                <w:rFonts w:cs="Calibri"/>
                <w:color w:val="000000" w:themeColor="text1"/>
                <w:sz w:val="13"/>
                <w:szCs w:val="13"/>
              </w:rPr>
              <w:t>- budynki, lokale i obiekty inżynierii lądowej i wodnej</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0C19057" w14:textId="44978E03"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163 524</w:t>
            </w:r>
          </w:p>
        </w:tc>
        <w:tc>
          <w:tcPr>
            <w:tcW w:w="1418" w:type="dxa"/>
            <w:tcBorders>
              <w:top w:val="nil"/>
              <w:left w:val="nil"/>
              <w:bottom w:val="single" w:sz="4" w:space="0" w:color="0077BD"/>
              <w:right w:val="nil"/>
            </w:tcBorders>
            <w:shd w:val="clear" w:color="auto" w:fill="auto"/>
            <w:vAlign w:val="center"/>
            <w:hideMark/>
          </w:tcPr>
          <w:p w14:paraId="3CCB0E81" w14:textId="77777777"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160 804</w:t>
            </w:r>
          </w:p>
        </w:tc>
      </w:tr>
      <w:tr w:rsidR="008A74B2" w:rsidRPr="00BB7C9E" w14:paraId="5BCF74AB" w14:textId="77777777" w:rsidTr="00B91B3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4CF2F49" w14:textId="77777777" w:rsidR="008A74B2" w:rsidRPr="00B91B35" w:rsidRDefault="008A74B2" w:rsidP="008A74B2">
            <w:pPr>
              <w:rPr>
                <w:rFonts w:cs="Calibri"/>
                <w:color w:val="000000" w:themeColor="text1"/>
                <w:sz w:val="13"/>
                <w:szCs w:val="13"/>
              </w:rPr>
            </w:pPr>
            <w:r w:rsidRPr="00B91B35">
              <w:rPr>
                <w:rFonts w:cs="Calibri"/>
                <w:color w:val="000000" w:themeColor="text1"/>
                <w:sz w:val="13"/>
                <w:szCs w:val="13"/>
              </w:rPr>
              <w:t>- urządzenia</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B55D8DD" w14:textId="052FCF4D"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188 496</w:t>
            </w:r>
          </w:p>
        </w:tc>
        <w:tc>
          <w:tcPr>
            <w:tcW w:w="1418" w:type="dxa"/>
            <w:tcBorders>
              <w:top w:val="nil"/>
              <w:left w:val="nil"/>
              <w:bottom w:val="single" w:sz="4" w:space="0" w:color="0077BD"/>
              <w:right w:val="nil"/>
            </w:tcBorders>
            <w:shd w:val="clear" w:color="auto" w:fill="auto"/>
            <w:vAlign w:val="center"/>
            <w:hideMark/>
          </w:tcPr>
          <w:p w14:paraId="176D6BDB" w14:textId="77777777"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177 868</w:t>
            </w:r>
          </w:p>
        </w:tc>
      </w:tr>
      <w:tr w:rsidR="008A74B2" w:rsidRPr="00BB7C9E" w14:paraId="22FF5D1D" w14:textId="77777777" w:rsidTr="00B91B3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0BBA23B" w14:textId="77777777" w:rsidR="008A74B2" w:rsidRPr="00B91B35" w:rsidRDefault="008A74B2" w:rsidP="008A74B2">
            <w:pPr>
              <w:rPr>
                <w:rFonts w:cs="Calibri"/>
                <w:color w:val="000000" w:themeColor="text1"/>
                <w:sz w:val="13"/>
                <w:szCs w:val="13"/>
              </w:rPr>
            </w:pPr>
            <w:r w:rsidRPr="00B91B35">
              <w:rPr>
                <w:rFonts w:cs="Calibri"/>
                <w:color w:val="000000" w:themeColor="text1"/>
                <w:sz w:val="13"/>
                <w:szCs w:val="13"/>
              </w:rPr>
              <w:t>- środki transportu</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94B90AA" w14:textId="16307805"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238 850</w:t>
            </w:r>
          </w:p>
        </w:tc>
        <w:tc>
          <w:tcPr>
            <w:tcW w:w="1418" w:type="dxa"/>
            <w:tcBorders>
              <w:top w:val="nil"/>
              <w:left w:val="nil"/>
              <w:bottom w:val="single" w:sz="4" w:space="0" w:color="0077BD"/>
              <w:right w:val="nil"/>
            </w:tcBorders>
            <w:shd w:val="clear" w:color="auto" w:fill="auto"/>
            <w:vAlign w:val="center"/>
            <w:hideMark/>
          </w:tcPr>
          <w:p w14:paraId="62F9C4CA" w14:textId="77777777"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219 275</w:t>
            </w:r>
          </w:p>
        </w:tc>
      </w:tr>
      <w:tr w:rsidR="008A74B2" w:rsidRPr="00BB7C9E" w14:paraId="33D23BF1" w14:textId="77777777" w:rsidTr="00B91B35">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9A3F24F" w14:textId="77777777" w:rsidR="008A74B2" w:rsidRPr="00B91B35" w:rsidRDefault="008A74B2" w:rsidP="008A74B2">
            <w:pPr>
              <w:rPr>
                <w:rFonts w:cs="Calibri"/>
                <w:color w:val="000000" w:themeColor="text1"/>
                <w:sz w:val="13"/>
                <w:szCs w:val="13"/>
              </w:rPr>
            </w:pPr>
            <w:r w:rsidRPr="00B91B35">
              <w:rPr>
                <w:rFonts w:cs="Calibri"/>
                <w:color w:val="000000" w:themeColor="text1"/>
                <w:sz w:val="13"/>
                <w:szCs w:val="13"/>
              </w:rPr>
              <w:t>- pozostałe środki trwałe</w:t>
            </w:r>
          </w:p>
        </w:tc>
        <w:tc>
          <w:tcPr>
            <w:tcW w:w="1418" w:type="dxa"/>
            <w:tcBorders>
              <w:top w:val="nil"/>
              <w:left w:val="single" w:sz="8" w:space="0" w:color="0077BD"/>
              <w:bottom w:val="nil"/>
              <w:right w:val="single" w:sz="8" w:space="0" w:color="0077BD"/>
            </w:tcBorders>
            <w:shd w:val="clear" w:color="auto" w:fill="auto"/>
            <w:vAlign w:val="center"/>
          </w:tcPr>
          <w:p w14:paraId="61939332" w14:textId="5C791063"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106 731</w:t>
            </w:r>
          </w:p>
        </w:tc>
        <w:tc>
          <w:tcPr>
            <w:tcW w:w="1418" w:type="dxa"/>
            <w:tcBorders>
              <w:top w:val="nil"/>
              <w:left w:val="nil"/>
              <w:bottom w:val="single" w:sz="8" w:space="0" w:color="0077BD"/>
              <w:right w:val="nil"/>
            </w:tcBorders>
            <w:shd w:val="clear" w:color="auto" w:fill="auto"/>
            <w:vAlign w:val="center"/>
            <w:hideMark/>
          </w:tcPr>
          <w:p w14:paraId="7582BE7A" w14:textId="77777777"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109 480</w:t>
            </w:r>
          </w:p>
        </w:tc>
      </w:tr>
      <w:tr w:rsidR="008A74B2" w:rsidRPr="008A31DC" w14:paraId="6E0F38E3" w14:textId="77777777" w:rsidTr="00B91B35">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tcPr>
          <w:p w14:paraId="344FC064" w14:textId="2EF6A2B1" w:rsidR="008A74B2" w:rsidRPr="00B91B35" w:rsidRDefault="008A74B2" w:rsidP="008A74B2">
            <w:pPr>
              <w:rPr>
                <w:rFonts w:cs="Calibri"/>
                <w:b/>
                <w:color w:val="000000" w:themeColor="text1"/>
                <w:sz w:val="13"/>
                <w:szCs w:val="13"/>
              </w:rPr>
            </w:pPr>
            <w:r w:rsidRPr="00B91B35">
              <w:rPr>
                <w:rFonts w:cs="Calibri"/>
                <w:b/>
                <w:color w:val="000000" w:themeColor="text1"/>
                <w:sz w:val="13"/>
                <w:szCs w:val="13"/>
              </w:rPr>
              <w:t>Środki trwałe w budowie</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2949CDF" w14:textId="2B768520" w:rsidR="008A74B2" w:rsidRPr="00B91B35" w:rsidRDefault="008A74B2" w:rsidP="008A74B2">
            <w:pPr>
              <w:jc w:val="right"/>
              <w:rPr>
                <w:rFonts w:cs="Calibri"/>
                <w:b/>
                <w:color w:val="000000" w:themeColor="text1"/>
                <w:sz w:val="13"/>
                <w:szCs w:val="13"/>
              </w:rPr>
            </w:pPr>
            <w:r w:rsidRPr="00B91B35">
              <w:rPr>
                <w:rFonts w:cs="Calibri"/>
                <w:b/>
                <w:color w:val="000000" w:themeColor="text1"/>
                <w:sz w:val="13"/>
                <w:szCs w:val="13"/>
              </w:rPr>
              <w:t>75 416</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4A5305B8" w14:textId="382C5948" w:rsidR="008A74B2" w:rsidRPr="00B91B35" w:rsidRDefault="008A74B2" w:rsidP="008A74B2">
            <w:pPr>
              <w:jc w:val="right"/>
              <w:rPr>
                <w:rFonts w:cs="Calibri"/>
                <w:b/>
                <w:color w:val="000000" w:themeColor="text1"/>
                <w:sz w:val="13"/>
                <w:szCs w:val="13"/>
              </w:rPr>
            </w:pPr>
            <w:r w:rsidRPr="00B91B35">
              <w:rPr>
                <w:rFonts w:cs="Calibri"/>
                <w:b/>
                <w:color w:val="000000" w:themeColor="text1"/>
                <w:sz w:val="13"/>
                <w:szCs w:val="13"/>
              </w:rPr>
              <w:t>116 566</w:t>
            </w:r>
          </w:p>
        </w:tc>
      </w:tr>
      <w:tr w:rsidR="008A74B2" w:rsidRPr="008A31DC" w14:paraId="3664060B" w14:textId="77777777" w:rsidTr="00B91B35">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tcPr>
          <w:p w14:paraId="3A1A3AF3" w14:textId="7F9EB1D8" w:rsidR="008A74B2" w:rsidRPr="00B91B35" w:rsidRDefault="008A74B2" w:rsidP="008A74B2">
            <w:pPr>
              <w:rPr>
                <w:rFonts w:cs="Calibri"/>
                <w:b/>
                <w:color w:val="000000" w:themeColor="text1"/>
                <w:sz w:val="13"/>
                <w:szCs w:val="13"/>
              </w:rPr>
            </w:pPr>
            <w:r w:rsidRPr="00B91B35">
              <w:rPr>
                <w:rFonts w:cs="Calibri"/>
                <w:b/>
                <w:color w:val="000000" w:themeColor="text1"/>
                <w:sz w:val="13"/>
                <w:szCs w:val="13"/>
              </w:rPr>
              <w:t>Prawo do użytkowania, w tym:</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1B543C58" w14:textId="7CDDEA52" w:rsidR="008A74B2" w:rsidRPr="00B91B35" w:rsidRDefault="008A74B2" w:rsidP="008A74B2">
            <w:pPr>
              <w:jc w:val="right"/>
              <w:rPr>
                <w:rFonts w:cs="Calibri"/>
                <w:b/>
                <w:color w:val="000000" w:themeColor="text1"/>
                <w:sz w:val="13"/>
                <w:szCs w:val="13"/>
              </w:rPr>
            </w:pPr>
            <w:r w:rsidRPr="00B91B35">
              <w:rPr>
                <w:rFonts w:cs="Calibri"/>
                <w:b/>
                <w:color w:val="000000" w:themeColor="text1"/>
                <w:sz w:val="13"/>
                <w:szCs w:val="13"/>
              </w:rPr>
              <w:t>488 347</w:t>
            </w:r>
          </w:p>
        </w:tc>
        <w:tc>
          <w:tcPr>
            <w:tcW w:w="1418" w:type="dxa"/>
            <w:tcBorders>
              <w:top w:val="single" w:sz="8" w:space="0" w:color="0077BD"/>
              <w:left w:val="single" w:sz="8" w:space="0" w:color="0077BD"/>
              <w:bottom w:val="single" w:sz="8" w:space="0" w:color="0077BD"/>
              <w:right w:val="nil"/>
            </w:tcBorders>
            <w:shd w:val="clear" w:color="auto" w:fill="auto"/>
            <w:vAlign w:val="center"/>
          </w:tcPr>
          <w:p w14:paraId="099BBB10" w14:textId="4CA0858C" w:rsidR="008A74B2" w:rsidRPr="00B91B35" w:rsidRDefault="008A74B2" w:rsidP="008A74B2">
            <w:pPr>
              <w:jc w:val="right"/>
              <w:rPr>
                <w:rFonts w:cs="Calibri"/>
                <w:b/>
                <w:color w:val="000000" w:themeColor="text1"/>
                <w:sz w:val="13"/>
                <w:szCs w:val="13"/>
              </w:rPr>
            </w:pPr>
            <w:r w:rsidRPr="00B91B35">
              <w:rPr>
                <w:rFonts w:cs="Calibri"/>
                <w:b/>
                <w:color w:val="000000" w:themeColor="text1"/>
                <w:sz w:val="13"/>
                <w:szCs w:val="13"/>
              </w:rPr>
              <w:t>nd</w:t>
            </w:r>
          </w:p>
        </w:tc>
      </w:tr>
      <w:tr w:rsidR="008A74B2" w:rsidRPr="00BB7C9E" w14:paraId="6E9C27FE" w14:textId="77777777" w:rsidTr="00B91B35">
        <w:trPr>
          <w:trHeight w:val="284"/>
        </w:trPr>
        <w:tc>
          <w:tcPr>
            <w:tcW w:w="6747" w:type="dxa"/>
            <w:tcBorders>
              <w:top w:val="single" w:sz="8" w:space="0" w:color="0077BD"/>
              <w:left w:val="nil"/>
              <w:bottom w:val="single" w:sz="4" w:space="0" w:color="0077BD"/>
              <w:right w:val="single" w:sz="8" w:space="0" w:color="0077BD"/>
            </w:tcBorders>
            <w:shd w:val="clear" w:color="auto" w:fill="auto"/>
            <w:vAlign w:val="center"/>
          </w:tcPr>
          <w:p w14:paraId="7B665FA4" w14:textId="7C53E12D" w:rsidR="008A74B2" w:rsidRPr="00B91B35" w:rsidRDefault="008A74B2" w:rsidP="008A74B2">
            <w:pPr>
              <w:rPr>
                <w:rFonts w:cs="Calibri"/>
                <w:color w:val="000000" w:themeColor="text1"/>
                <w:sz w:val="13"/>
                <w:szCs w:val="13"/>
              </w:rPr>
            </w:pPr>
            <w:r w:rsidRPr="00B91B35">
              <w:rPr>
                <w:rFonts w:cs="Calibri"/>
                <w:color w:val="000000" w:themeColor="text1"/>
                <w:sz w:val="13"/>
                <w:szCs w:val="13"/>
              </w:rPr>
              <w:t>- nieruchomości</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17004BA" w14:textId="687359DA"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437 295</w:t>
            </w:r>
          </w:p>
        </w:tc>
        <w:tc>
          <w:tcPr>
            <w:tcW w:w="1418" w:type="dxa"/>
            <w:tcBorders>
              <w:top w:val="single" w:sz="8" w:space="0" w:color="0077BD"/>
              <w:left w:val="nil"/>
              <w:bottom w:val="single" w:sz="4" w:space="0" w:color="0077BD"/>
              <w:right w:val="nil"/>
            </w:tcBorders>
            <w:shd w:val="clear" w:color="auto" w:fill="auto"/>
            <w:vAlign w:val="center"/>
          </w:tcPr>
          <w:p w14:paraId="617207A5" w14:textId="3F881EE3"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nd</w:t>
            </w:r>
          </w:p>
        </w:tc>
      </w:tr>
      <w:tr w:rsidR="008A74B2" w:rsidRPr="00BB7C9E" w14:paraId="3E708F0D" w14:textId="77777777" w:rsidTr="00B91B35">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tcPr>
          <w:p w14:paraId="007F2B09" w14:textId="4F96895C" w:rsidR="008A74B2" w:rsidRPr="00B91B35" w:rsidRDefault="008A74B2" w:rsidP="008A74B2">
            <w:pPr>
              <w:rPr>
                <w:rFonts w:cs="Calibri"/>
                <w:color w:val="000000" w:themeColor="text1"/>
                <w:sz w:val="13"/>
                <w:szCs w:val="13"/>
              </w:rPr>
            </w:pPr>
            <w:r w:rsidRPr="00B91B35">
              <w:rPr>
                <w:rFonts w:cs="Calibri"/>
                <w:color w:val="000000" w:themeColor="text1"/>
                <w:sz w:val="13"/>
                <w:szCs w:val="13"/>
              </w:rPr>
              <w:t>- prawo wieczystego użytkowania gruntów</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9A2BBB5" w14:textId="2C4AE906"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48 358</w:t>
            </w:r>
          </w:p>
        </w:tc>
        <w:tc>
          <w:tcPr>
            <w:tcW w:w="1418" w:type="dxa"/>
            <w:tcBorders>
              <w:top w:val="single" w:sz="4" w:space="0" w:color="0077BD"/>
              <w:left w:val="nil"/>
              <w:bottom w:val="single" w:sz="4" w:space="0" w:color="0077BD"/>
              <w:right w:val="nil"/>
            </w:tcBorders>
            <w:shd w:val="clear" w:color="auto" w:fill="auto"/>
            <w:vAlign w:val="center"/>
          </w:tcPr>
          <w:p w14:paraId="6307D483" w14:textId="0D192020"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nd</w:t>
            </w:r>
          </w:p>
        </w:tc>
      </w:tr>
      <w:tr w:rsidR="008A74B2" w:rsidRPr="00BB7C9E" w14:paraId="1006D3A3" w14:textId="77777777" w:rsidTr="00B91B35">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tcPr>
          <w:p w14:paraId="43251FC7" w14:textId="6A483E4E" w:rsidR="008A74B2" w:rsidRPr="00B91B35" w:rsidRDefault="008A74B2" w:rsidP="008A74B2">
            <w:pPr>
              <w:rPr>
                <w:rFonts w:cs="Calibri"/>
                <w:color w:val="000000" w:themeColor="text1"/>
                <w:sz w:val="13"/>
                <w:szCs w:val="13"/>
              </w:rPr>
            </w:pPr>
            <w:r w:rsidRPr="00B91B35">
              <w:rPr>
                <w:rFonts w:cs="Calibri"/>
                <w:color w:val="000000" w:themeColor="text1"/>
                <w:sz w:val="13"/>
                <w:szCs w:val="13"/>
              </w:rPr>
              <w:t>- samochody</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0240ED0A" w14:textId="50DA4313"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1 561</w:t>
            </w:r>
          </w:p>
        </w:tc>
        <w:tc>
          <w:tcPr>
            <w:tcW w:w="1418" w:type="dxa"/>
            <w:tcBorders>
              <w:top w:val="single" w:sz="4" w:space="0" w:color="0077BD"/>
              <w:left w:val="nil"/>
              <w:bottom w:val="single" w:sz="4" w:space="0" w:color="0077BD"/>
              <w:right w:val="nil"/>
            </w:tcBorders>
            <w:shd w:val="clear" w:color="auto" w:fill="auto"/>
            <w:vAlign w:val="center"/>
          </w:tcPr>
          <w:p w14:paraId="0FD240A6" w14:textId="1D8C477E"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nd</w:t>
            </w:r>
          </w:p>
        </w:tc>
      </w:tr>
      <w:tr w:rsidR="008A74B2" w:rsidRPr="00BB7C9E" w14:paraId="47DA00CA" w14:textId="77777777" w:rsidTr="00B91B35">
        <w:trPr>
          <w:trHeight w:val="284"/>
        </w:trPr>
        <w:tc>
          <w:tcPr>
            <w:tcW w:w="6747" w:type="dxa"/>
            <w:tcBorders>
              <w:top w:val="single" w:sz="4" w:space="0" w:color="0077BD"/>
              <w:left w:val="nil"/>
              <w:bottom w:val="single" w:sz="8" w:space="0" w:color="0077BD"/>
              <w:right w:val="single" w:sz="8" w:space="0" w:color="0077BD"/>
            </w:tcBorders>
            <w:shd w:val="clear" w:color="auto" w:fill="auto"/>
            <w:vAlign w:val="center"/>
            <w:hideMark/>
          </w:tcPr>
          <w:p w14:paraId="23525C80" w14:textId="133648B0" w:rsidR="008A74B2" w:rsidRPr="00B91B35" w:rsidRDefault="008A74B2" w:rsidP="008A74B2">
            <w:pPr>
              <w:rPr>
                <w:rFonts w:cs="Calibri"/>
                <w:color w:val="000000" w:themeColor="text1"/>
                <w:sz w:val="13"/>
                <w:szCs w:val="13"/>
              </w:rPr>
            </w:pPr>
            <w:r w:rsidRPr="00B91B35">
              <w:rPr>
                <w:rFonts w:cs="Calibri"/>
                <w:color w:val="000000" w:themeColor="text1"/>
                <w:sz w:val="13"/>
                <w:szCs w:val="13"/>
              </w:rPr>
              <w:t>- inne</w:t>
            </w:r>
          </w:p>
        </w:tc>
        <w:tc>
          <w:tcPr>
            <w:tcW w:w="1418" w:type="dxa"/>
            <w:tcBorders>
              <w:top w:val="nil"/>
              <w:left w:val="single" w:sz="8" w:space="0" w:color="0077BD"/>
              <w:bottom w:val="nil"/>
              <w:right w:val="single" w:sz="8" w:space="0" w:color="0077BD"/>
            </w:tcBorders>
            <w:shd w:val="clear" w:color="auto" w:fill="auto"/>
            <w:vAlign w:val="center"/>
          </w:tcPr>
          <w:p w14:paraId="29B36D13" w14:textId="604C1D12"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1 133</w:t>
            </w:r>
          </w:p>
        </w:tc>
        <w:tc>
          <w:tcPr>
            <w:tcW w:w="1418" w:type="dxa"/>
            <w:tcBorders>
              <w:top w:val="single" w:sz="4" w:space="0" w:color="0077BD"/>
              <w:left w:val="nil"/>
              <w:bottom w:val="single" w:sz="8" w:space="0" w:color="0077BD"/>
              <w:right w:val="nil"/>
            </w:tcBorders>
            <w:shd w:val="clear" w:color="auto" w:fill="auto"/>
            <w:vAlign w:val="center"/>
            <w:hideMark/>
          </w:tcPr>
          <w:p w14:paraId="636C2BD2" w14:textId="1ECAEDB2" w:rsidR="008A74B2" w:rsidRPr="00B91B35" w:rsidRDefault="008A74B2" w:rsidP="008A74B2">
            <w:pPr>
              <w:jc w:val="right"/>
              <w:rPr>
                <w:rFonts w:cs="Calibri"/>
                <w:color w:val="000000" w:themeColor="text1"/>
                <w:sz w:val="13"/>
                <w:szCs w:val="13"/>
              </w:rPr>
            </w:pPr>
            <w:r w:rsidRPr="00B91B35">
              <w:rPr>
                <w:rFonts w:cs="Calibri"/>
                <w:color w:val="000000" w:themeColor="text1"/>
                <w:sz w:val="13"/>
                <w:szCs w:val="13"/>
              </w:rPr>
              <w:t>nd</w:t>
            </w:r>
          </w:p>
        </w:tc>
      </w:tr>
      <w:tr w:rsidR="008A74B2" w:rsidRPr="00BB7C9E" w14:paraId="2F3645C3" w14:textId="77777777" w:rsidTr="00B91B35">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15D15A2" w14:textId="77777777" w:rsidR="008A74B2" w:rsidRPr="00B91B35" w:rsidRDefault="008A74B2" w:rsidP="008A74B2">
            <w:pPr>
              <w:rPr>
                <w:rFonts w:cs="Calibri"/>
                <w:b/>
                <w:bCs/>
                <w:color w:val="000000" w:themeColor="text1"/>
                <w:sz w:val="13"/>
                <w:szCs w:val="13"/>
              </w:rPr>
            </w:pPr>
            <w:r w:rsidRPr="00B91B35">
              <w:rPr>
                <w:rFonts w:cs="Calibri"/>
                <w:b/>
                <w:bCs/>
                <w:color w:val="000000" w:themeColor="text1"/>
                <w:sz w:val="13"/>
                <w:szCs w:val="13"/>
              </w:rPr>
              <w:t>Rzeczowe aktywa trwałe, razem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3B13AFEF" w14:textId="63042E54" w:rsidR="008A74B2" w:rsidRPr="00B91B35" w:rsidRDefault="008A74B2" w:rsidP="008A74B2">
            <w:pPr>
              <w:jc w:val="right"/>
              <w:rPr>
                <w:rFonts w:cs="Calibri"/>
                <w:b/>
                <w:bCs/>
                <w:color w:val="000000" w:themeColor="text1"/>
                <w:sz w:val="13"/>
                <w:szCs w:val="13"/>
              </w:rPr>
            </w:pPr>
            <w:r w:rsidRPr="00B91B35">
              <w:rPr>
                <w:rFonts w:cs="Calibri"/>
                <w:b/>
                <w:bCs/>
                <w:color w:val="000000" w:themeColor="text1"/>
                <w:sz w:val="13"/>
                <w:szCs w:val="13"/>
              </w:rPr>
              <w:t>1 262 397</w:t>
            </w:r>
          </w:p>
        </w:tc>
        <w:tc>
          <w:tcPr>
            <w:tcW w:w="1418" w:type="dxa"/>
            <w:tcBorders>
              <w:top w:val="single" w:sz="8" w:space="0" w:color="0077BD"/>
              <w:left w:val="nil"/>
              <w:bottom w:val="single" w:sz="8" w:space="0" w:color="0077BD"/>
              <w:right w:val="nil"/>
            </w:tcBorders>
            <w:shd w:val="clear" w:color="auto" w:fill="auto"/>
            <w:noWrap/>
            <w:vAlign w:val="center"/>
            <w:hideMark/>
          </w:tcPr>
          <w:p w14:paraId="7D51339F" w14:textId="77777777" w:rsidR="008A74B2" w:rsidRPr="00B91B35" w:rsidRDefault="008A74B2" w:rsidP="008A74B2">
            <w:pPr>
              <w:jc w:val="right"/>
              <w:rPr>
                <w:rFonts w:cs="Calibri"/>
                <w:b/>
                <w:bCs/>
                <w:color w:val="000000" w:themeColor="text1"/>
                <w:sz w:val="13"/>
                <w:szCs w:val="13"/>
              </w:rPr>
            </w:pPr>
            <w:r w:rsidRPr="00B91B35">
              <w:rPr>
                <w:rFonts w:cs="Calibri"/>
                <w:b/>
                <w:bCs/>
                <w:color w:val="000000" w:themeColor="text1"/>
                <w:sz w:val="13"/>
                <w:szCs w:val="13"/>
              </w:rPr>
              <w:t>785 026</w:t>
            </w:r>
          </w:p>
        </w:tc>
      </w:tr>
    </w:tbl>
    <w:p w14:paraId="4579D36F" w14:textId="06C2D78F" w:rsidR="0020322E" w:rsidRPr="00BB7C9E" w:rsidRDefault="0020322E" w:rsidP="00311CF2">
      <w:pPr>
        <w:jc w:val="both"/>
        <w:rPr>
          <w:noProof/>
          <w:color w:val="000000" w:themeColor="text1"/>
        </w:rPr>
      </w:pPr>
    </w:p>
    <w:p w14:paraId="7BD43CCC" w14:textId="77777777" w:rsidR="0020322E" w:rsidRDefault="0020322E">
      <w:pPr>
        <w:rPr>
          <w:noProof/>
        </w:rPr>
      </w:pPr>
      <w:r>
        <w:rPr>
          <w:noProof/>
        </w:rPr>
        <w:br w:type="page"/>
      </w:r>
    </w:p>
    <w:p w14:paraId="1E5CC9DF" w14:textId="5BD98015" w:rsidR="0035524B" w:rsidRPr="00BB7C9E" w:rsidRDefault="0035524B" w:rsidP="0040375E">
      <w:pPr>
        <w:spacing w:before="120"/>
        <w:jc w:val="both"/>
        <w:rPr>
          <w:rFonts w:cs="Tahoma"/>
          <w:b/>
          <w:color w:val="000000" w:themeColor="text1"/>
          <w:sz w:val="18"/>
          <w:szCs w:val="18"/>
        </w:rPr>
      </w:pPr>
      <w:r w:rsidRPr="00BB7C9E">
        <w:rPr>
          <w:rFonts w:cs="Tahoma"/>
          <w:b/>
          <w:color w:val="000000" w:themeColor="text1"/>
          <w:sz w:val="18"/>
          <w:szCs w:val="18"/>
        </w:rPr>
        <w:lastRenderedPageBreak/>
        <w:t>Zmiana stanu rzeczowych aktywów trwałych</w:t>
      </w:r>
    </w:p>
    <w:p w14:paraId="45001EF5" w14:textId="49A8F92A" w:rsidR="00BE56A5" w:rsidRDefault="00BE56A5" w:rsidP="000E7B65">
      <w:pPr>
        <w:jc w:val="both"/>
        <w:rPr>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1985"/>
        <w:gridCol w:w="1077"/>
        <w:gridCol w:w="1077"/>
        <w:gridCol w:w="1077"/>
        <w:gridCol w:w="1077"/>
        <w:gridCol w:w="1077"/>
        <w:gridCol w:w="1077"/>
        <w:gridCol w:w="1077"/>
      </w:tblGrid>
      <w:tr w:rsidR="000E7B65" w:rsidRPr="00BE56A5" w14:paraId="776E08E5" w14:textId="77777777" w:rsidTr="00503BA6">
        <w:trPr>
          <w:trHeight w:val="780"/>
        </w:trPr>
        <w:tc>
          <w:tcPr>
            <w:tcW w:w="1985" w:type="dxa"/>
            <w:tcBorders>
              <w:top w:val="nil"/>
              <w:left w:val="nil"/>
              <w:right w:val="single" w:sz="6" w:space="0" w:color="FFFFFF"/>
            </w:tcBorders>
            <w:shd w:val="clear" w:color="000000" w:fill="0077BD"/>
            <w:vAlign w:val="center"/>
            <w:hideMark/>
          </w:tcPr>
          <w:p w14:paraId="550793C1" w14:textId="7540EAB9" w:rsidR="000E7B65" w:rsidRPr="00BE56A5" w:rsidRDefault="000E7B65" w:rsidP="00684B91">
            <w:pPr>
              <w:rPr>
                <w:rFonts w:cs="Calibri"/>
                <w:b/>
                <w:bCs/>
                <w:color w:val="FFFFFF"/>
                <w:sz w:val="11"/>
                <w:szCs w:val="11"/>
              </w:rPr>
            </w:pPr>
            <w:r w:rsidRPr="00BE56A5">
              <w:rPr>
                <w:rFonts w:cs="Calibri"/>
                <w:b/>
                <w:bCs/>
                <w:color w:val="FFFFFF"/>
                <w:sz w:val="11"/>
                <w:szCs w:val="11"/>
              </w:rPr>
              <w:t xml:space="preserve">Zmiana stanu w okresie </w:t>
            </w:r>
            <w:r>
              <w:rPr>
                <w:rFonts w:cs="Calibri"/>
                <w:b/>
                <w:bCs/>
                <w:color w:val="FFFFFF"/>
                <w:sz w:val="11"/>
                <w:szCs w:val="11"/>
              </w:rPr>
              <w:br/>
            </w:r>
            <w:r w:rsidRPr="00BE56A5">
              <w:rPr>
                <w:rFonts w:cs="Calibri"/>
                <w:b/>
                <w:bCs/>
                <w:color w:val="FFFFFF"/>
                <w:sz w:val="11"/>
                <w:szCs w:val="11"/>
              </w:rPr>
              <w:t xml:space="preserve">od 1 stycznia </w:t>
            </w:r>
            <w:r>
              <w:rPr>
                <w:rFonts w:cs="Calibri"/>
                <w:b/>
                <w:bCs/>
                <w:color w:val="FFFFFF"/>
                <w:sz w:val="11"/>
                <w:szCs w:val="11"/>
              </w:rPr>
              <w:br/>
            </w:r>
            <w:r w:rsidR="0091156E">
              <w:rPr>
                <w:rFonts w:cs="Calibri"/>
                <w:b/>
                <w:bCs/>
                <w:color w:val="FFFFFF"/>
                <w:sz w:val="11"/>
                <w:szCs w:val="11"/>
              </w:rPr>
              <w:t>do 31 grudnia 2019</w:t>
            </w:r>
            <w:r w:rsidR="00EC0295">
              <w:rPr>
                <w:rFonts w:cs="Calibri"/>
                <w:b/>
                <w:bCs/>
                <w:color w:val="FFFFFF"/>
                <w:sz w:val="11"/>
                <w:szCs w:val="11"/>
              </w:rPr>
              <w:t xml:space="preserve"> r.</w:t>
            </w:r>
          </w:p>
        </w:tc>
        <w:tc>
          <w:tcPr>
            <w:tcW w:w="1077" w:type="dxa"/>
            <w:tcBorders>
              <w:top w:val="nil"/>
              <w:left w:val="single" w:sz="6" w:space="0" w:color="FFFFFF"/>
              <w:right w:val="single" w:sz="6" w:space="0" w:color="FFFFFF"/>
            </w:tcBorders>
            <w:shd w:val="clear" w:color="000000" w:fill="0077BD"/>
            <w:vAlign w:val="center"/>
            <w:hideMark/>
          </w:tcPr>
          <w:p w14:paraId="1EBC302D"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Grunty</w:t>
            </w:r>
          </w:p>
        </w:tc>
        <w:tc>
          <w:tcPr>
            <w:tcW w:w="1077" w:type="dxa"/>
            <w:tcBorders>
              <w:top w:val="nil"/>
              <w:left w:val="single" w:sz="6" w:space="0" w:color="FFFFFF"/>
              <w:right w:val="single" w:sz="6" w:space="0" w:color="FFFFFF"/>
            </w:tcBorders>
            <w:shd w:val="clear" w:color="000000" w:fill="0077BD"/>
            <w:vAlign w:val="center"/>
            <w:hideMark/>
          </w:tcPr>
          <w:p w14:paraId="3490F8C1"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Budynki, lokale i obiekty inżynierii lądowej i wodnej</w:t>
            </w:r>
          </w:p>
        </w:tc>
        <w:tc>
          <w:tcPr>
            <w:tcW w:w="1077" w:type="dxa"/>
            <w:tcBorders>
              <w:top w:val="nil"/>
              <w:left w:val="single" w:sz="6" w:space="0" w:color="FFFFFF"/>
              <w:right w:val="single" w:sz="6" w:space="0" w:color="FFFFFF"/>
            </w:tcBorders>
            <w:shd w:val="clear" w:color="000000" w:fill="0077BD"/>
            <w:vAlign w:val="center"/>
            <w:hideMark/>
          </w:tcPr>
          <w:p w14:paraId="38A3C5C0"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Urządzenia</w:t>
            </w:r>
          </w:p>
        </w:tc>
        <w:tc>
          <w:tcPr>
            <w:tcW w:w="1077" w:type="dxa"/>
            <w:tcBorders>
              <w:top w:val="nil"/>
              <w:left w:val="single" w:sz="6" w:space="0" w:color="FFFFFF"/>
              <w:right w:val="single" w:sz="6" w:space="0" w:color="FFFFFF"/>
            </w:tcBorders>
            <w:shd w:val="clear" w:color="000000" w:fill="0077BD"/>
            <w:vAlign w:val="center"/>
            <w:hideMark/>
          </w:tcPr>
          <w:p w14:paraId="7DE63515"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Środki transportu</w:t>
            </w:r>
          </w:p>
        </w:tc>
        <w:tc>
          <w:tcPr>
            <w:tcW w:w="1077" w:type="dxa"/>
            <w:tcBorders>
              <w:top w:val="nil"/>
              <w:left w:val="single" w:sz="6" w:space="0" w:color="FFFFFF"/>
              <w:right w:val="single" w:sz="6" w:space="0" w:color="FFFFFF"/>
            </w:tcBorders>
            <w:shd w:val="clear" w:color="000000" w:fill="0077BD"/>
            <w:vAlign w:val="center"/>
            <w:hideMark/>
          </w:tcPr>
          <w:p w14:paraId="038F5AC6"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Pozostałe środki trwałe</w:t>
            </w:r>
          </w:p>
        </w:tc>
        <w:tc>
          <w:tcPr>
            <w:tcW w:w="1077" w:type="dxa"/>
            <w:tcBorders>
              <w:top w:val="nil"/>
              <w:left w:val="single" w:sz="6" w:space="0" w:color="FFFFFF"/>
              <w:right w:val="single" w:sz="6" w:space="0" w:color="FFFFFF"/>
            </w:tcBorders>
            <w:shd w:val="clear" w:color="000000" w:fill="0077BD"/>
            <w:vAlign w:val="center"/>
            <w:hideMark/>
          </w:tcPr>
          <w:p w14:paraId="2D9A0006"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Środki trwałe w budowie</w:t>
            </w:r>
          </w:p>
        </w:tc>
        <w:tc>
          <w:tcPr>
            <w:tcW w:w="1077" w:type="dxa"/>
            <w:tcBorders>
              <w:top w:val="nil"/>
              <w:left w:val="single" w:sz="6" w:space="0" w:color="FFFFFF"/>
              <w:right w:val="single" w:sz="12" w:space="0" w:color="FFFFFF"/>
            </w:tcBorders>
            <w:shd w:val="clear" w:color="000000" w:fill="0077BD"/>
            <w:vAlign w:val="center"/>
            <w:hideMark/>
          </w:tcPr>
          <w:p w14:paraId="07FFB276" w14:textId="77777777" w:rsidR="000E7B65" w:rsidRPr="00BE56A5" w:rsidRDefault="000E7B65" w:rsidP="00BD2FF3">
            <w:pPr>
              <w:jc w:val="right"/>
              <w:rPr>
                <w:rFonts w:cs="Calibri"/>
                <w:b/>
                <w:bCs/>
                <w:color w:val="FFFFFF"/>
                <w:sz w:val="11"/>
                <w:szCs w:val="11"/>
              </w:rPr>
            </w:pPr>
            <w:r w:rsidRPr="00BE56A5">
              <w:rPr>
                <w:rFonts w:cs="Calibri"/>
                <w:b/>
                <w:bCs/>
                <w:color w:val="FFFFFF"/>
                <w:sz w:val="11"/>
                <w:szCs w:val="11"/>
              </w:rPr>
              <w:t>Razem</w:t>
            </w:r>
          </w:p>
        </w:tc>
      </w:tr>
      <w:tr w:rsidR="008A74B2" w:rsidRPr="00BB7C9E" w14:paraId="458ACD7B" w14:textId="77777777" w:rsidTr="00D63A49">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53582397" w14:textId="2AD263FE" w:rsidR="008A74B2" w:rsidRPr="00BB7C9E" w:rsidRDefault="008A74B2" w:rsidP="008A74B2">
            <w:pPr>
              <w:rPr>
                <w:rFonts w:cs="Calibri"/>
                <w:b/>
                <w:bCs/>
                <w:color w:val="000000" w:themeColor="text1"/>
                <w:sz w:val="11"/>
                <w:szCs w:val="11"/>
              </w:rPr>
            </w:pPr>
            <w:r w:rsidRPr="00BB7C9E">
              <w:rPr>
                <w:rFonts w:cs="Calibri"/>
                <w:b/>
                <w:bCs/>
                <w:color w:val="000000" w:themeColor="text1"/>
                <w:sz w:val="11"/>
                <w:szCs w:val="11"/>
              </w:rPr>
              <w:t>Wartość brutto rzeczowych aktywów trwałych na początek okresu</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775A2EFE" w14:textId="1052BA47" w:rsidR="008A74B2" w:rsidRPr="008A74B2" w:rsidRDefault="008A74B2" w:rsidP="008A74B2">
            <w:pPr>
              <w:jc w:val="right"/>
              <w:rPr>
                <w:rFonts w:cs="Calibri"/>
                <w:b/>
                <w:bCs/>
                <w:color w:val="000000" w:themeColor="text1"/>
                <w:sz w:val="11"/>
                <w:szCs w:val="11"/>
              </w:rPr>
            </w:pPr>
            <w:r w:rsidRPr="008A74B2">
              <w:rPr>
                <w:rFonts w:cs="Calibri"/>
                <w:b/>
                <w:bCs/>
                <w:sz w:val="11"/>
                <w:szCs w:val="11"/>
              </w:rPr>
              <w:t>1 033</w:t>
            </w:r>
          </w:p>
        </w:tc>
        <w:tc>
          <w:tcPr>
            <w:tcW w:w="1077" w:type="dxa"/>
            <w:tcBorders>
              <w:top w:val="nil"/>
              <w:left w:val="nil"/>
              <w:bottom w:val="single" w:sz="8" w:space="0" w:color="0077BD"/>
              <w:right w:val="single" w:sz="8" w:space="0" w:color="0077BD"/>
            </w:tcBorders>
            <w:shd w:val="clear" w:color="auto" w:fill="auto"/>
            <w:noWrap/>
            <w:vAlign w:val="center"/>
          </w:tcPr>
          <w:p w14:paraId="59C9CFFE" w14:textId="50C0F867" w:rsidR="008A74B2" w:rsidRPr="008A74B2" w:rsidRDefault="008A74B2" w:rsidP="008A74B2">
            <w:pPr>
              <w:jc w:val="right"/>
              <w:rPr>
                <w:rFonts w:cs="Calibri"/>
                <w:b/>
                <w:bCs/>
                <w:color w:val="000000" w:themeColor="text1"/>
                <w:sz w:val="11"/>
                <w:szCs w:val="11"/>
              </w:rPr>
            </w:pPr>
            <w:r w:rsidRPr="008A74B2">
              <w:rPr>
                <w:rFonts w:cs="Calibri"/>
                <w:b/>
                <w:bCs/>
                <w:sz w:val="11"/>
                <w:szCs w:val="11"/>
              </w:rPr>
              <w:t>321 532</w:t>
            </w:r>
          </w:p>
        </w:tc>
        <w:tc>
          <w:tcPr>
            <w:tcW w:w="1077" w:type="dxa"/>
            <w:tcBorders>
              <w:top w:val="nil"/>
              <w:left w:val="nil"/>
              <w:bottom w:val="single" w:sz="8" w:space="0" w:color="0077BD"/>
              <w:right w:val="single" w:sz="8" w:space="0" w:color="0077BD"/>
            </w:tcBorders>
            <w:shd w:val="clear" w:color="auto" w:fill="auto"/>
            <w:noWrap/>
            <w:vAlign w:val="center"/>
          </w:tcPr>
          <w:p w14:paraId="2E3D17B8" w14:textId="1606739E" w:rsidR="008A74B2" w:rsidRPr="008A74B2" w:rsidRDefault="008A74B2" w:rsidP="008A74B2">
            <w:pPr>
              <w:jc w:val="right"/>
              <w:rPr>
                <w:rFonts w:cs="Calibri"/>
                <w:b/>
                <w:bCs/>
                <w:color w:val="000000" w:themeColor="text1"/>
                <w:sz w:val="11"/>
                <w:szCs w:val="11"/>
              </w:rPr>
            </w:pPr>
            <w:r w:rsidRPr="008A74B2">
              <w:rPr>
                <w:rFonts w:cs="Calibri"/>
                <w:b/>
                <w:bCs/>
                <w:sz w:val="11"/>
                <w:szCs w:val="11"/>
              </w:rPr>
              <w:t>766 305</w:t>
            </w:r>
          </w:p>
        </w:tc>
        <w:tc>
          <w:tcPr>
            <w:tcW w:w="1077" w:type="dxa"/>
            <w:tcBorders>
              <w:top w:val="nil"/>
              <w:left w:val="nil"/>
              <w:bottom w:val="single" w:sz="8" w:space="0" w:color="0077BD"/>
              <w:right w:val="single" w:sz="8" w:space="0" w:color="0077BD"/>
            </w:tcBorders>
            <w:shd w:val="clear" w:color="auto" w:fill="auto"/>
            <w:noWrap/>
            <w:vAlign w:val="center"/>
          </w:tcPr>
          <w:p w14:paraId="78C3BC84" w14:textId="108E32F7" w:rsidR="008A74B2" w:rsidRPr="008A74B2" w:rsidRDefault="008A74B2" w:rsidP="008A74B2">
            <w:pPr>
              <w:jc w:val="right"/>
              <w:rPr>
                <w:rFonts w:cs="Calibri"/>
                <w:b/>
                <w:bCs/>
                <w:color w:val="000000" w:themeColor="text1"/>
                <w:sz w:val="11"/>
                <w:szCs w:val="11"/>
              </w:rPr>
            </w:pPr>
            <w:r w:rsidRPr="008A74B2">
              <w:rPr>
                <w:rFonts w:cs="Calibri"/>
                <w:b/>
                <w:bCs/>
                <w:sz w:val="11"/>
                <w:szCs w:val="11"/>
              </w:rPr>
              <w:t>333 804</w:t>
            </w:r>
          </w:p>
        </w:tc>
        <w:tc>
          <w:tcPr>
            <w:tcW w:w="1077" w:type="dxa"/>
            <w:tcBorders>
              <w:top w:val="nil"/>
              <w:left w:val="nil"/>
              <w:bottom w:val="single" w:sz="8" w:space="0" w:color="0077BD"/>
              <w:right w:val="single" w:sz="8" w:space="0" w:color="0077BD"/>
            </w:tcBorders>
            <w:shd w:val="clear" w:color="auto" w:fill="auto"/>
            <w:noWrap/>
            <w:vAlign w:val="center"/>
          </w:tcPr>
          <w:p w14:paraId="08240985" w14:textId="3A45FAE8" w:rsidR="008A74B2" w:rsidRPr="008A74B2" w:rsidRDefault="008A74B2" w:rsidP="008A74B2">
            <w:pPr>
              <w:jc w:val="right"/>
              <w:rPr>
                <w:rFonts w:cs="Calibri"/>
                <w:b/>
                <w:bCs/>
                <w:color w:val="000000" w:themeColor="text1"/>
                <w:sz w:val="11"/>
                <w:szCs w:val="11"/>
              </w:rPr>
            </w:pPr>
            <w:r w:rsidRPr="008A74B2">
              <w:rPr>
                <w:rFonts w:cs="Calibri"/>
                <w:b/>
                <w:bCs/>
                <w:sz w:val="11"/>
                <w:szCs w:val="11"/>
              </w:rPr>
              <w:t>409 582</w:t>
            </w:r>
          </w:p>
        </w:tc>
        <w:tc>
          <w:tcPr>
            <w:tcW w:w="1077" w:type="dxa"/>
            <w:tcBorders>
              <w:top w:val="nil"/>
              <w:left w:val="nil"/>
              <w:bottom w:val="single" w:sz="8" w:space="0" w:color="0077BD"/>
              <w:right w:val="single" w:sz="8" w:space="0" w:color="0077BD"/>
            </w:tcBorders>
            <w:shd w:val="clear" w:color="auto" w:fill="auto"/>
            <w:noWrap/>
            <w:vAlign w:val="center"/>
          </w:tcPr>
          <w:p w14:paraId="698DE6A4" w14:textId="29B77392" w:rsidR="008A74B2" w:rsidRPr="008A74B2" w:rsidRDefault="008A74B2" w:rsidP="008A74B2">
            <w:pPr>
              <w:jc w:val="right"/>
              <w:rPr>
                <w:rFonts w:cs="Calibri"/>
                <w:b/>
                <w:bCs/>
                <w:color w:val="000000" w:themeColor="text1"/>
                <w:sz w:val="11"/>
                <w:szCs w:val="11"/>
              </w:rPr>
            </w:pPr>
            <w:r w:rsidRPr="008A74B2">
              <w:rPr>
                <w:rFonts w:cs="Calibri"/>
                <w:b/>
                <w:bCs/>
                <w:sz w:val="11"/>
                <w:szCs w:val="11"/>
              </w:rPr>
              <w:t>116 566</w:t>
            </w:r>
          </w:p>
        </w:tc>
        <w:tc>
          <w:tcPr>
            <w:tcW w:w="1077" w:type="dxa"/>
            <w:tcBorders>
              <w:top w:val="nil"/>
              <w:left w:val="nil"/>
              <w:bottom w:val="single" w:sz="8" w:space="0" w:color="0077BD"/>
              <w:right w:val="nil"/>
            </w:tcBorders>
            <w:shd w:val="clear" w:color="auto" w:fill="auto"/>
            <w:noWrap/>
            <w:vAlign w:val="center"/>
          </w:tcPr>
          <w:p w14:paraId="03D60BAE" w14:textId="7DD960FB" w:rsidR="008A74B2" w:rsidRPr="008A74B2" w:rsidRDefault="008A74B2" w:rsidP="008A74B2">
            <w:pPr>
              <w:jc w:val="right"/>
              <w:rPr>
                <w:rFonts w:cs="Calibri"/>
                <w:b/>
                <w:bCs/>
                <w:color w:val="000000" w:themeColor="text1"/>
                <w:sz w:val="11"/>
                <w:szCs w:val="11"/>
              </w:rPr>
            </w:pPr>
            <w:r w:rsidRPr="008A74B2">
              <w:rPr>
                <w:rFonts w:cs="Calibri"/>
                <w:b/>
                <w:bCs/>
                <w:sz w:val="11"/>
                <w:szCs w:val="11"/>
              </w:rPr>
              <w:t>1 948 822</w:t>
            </w:r>
          </w:p>
        </w:tc>
      </w:tr>
      <w:tr w:rsidR="002F29B2" w:rsidRPr="00BB7C9E" w14:paraId="0A7D7D7E" w14:textId="77777777" w:rsidTr="009E1E81">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8F9B528" w14:textId="77777777"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Zwiększenia z tytułu:</w:t>
            </w:r>
          </w:p>
        </w:tc>
        <w:tc>
          <w:tcPr>
            <w:tcW w:w="1077"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EA7B8B1" w14:textId="4CE726C6"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23652D34" w14:textId="2B8F421F" w:rsidR="002F29B2" w:rsidRPr="002F29B2" w:rsidRDefault="002F29B2" w:rsidP="002F29B2">
            <w:pPr>
              <w:jc w:val="right"/>
              <w:rPr>
                <w:rFonts w:cs="Calibri"/>
                <w:b/>
                <w:bCs/>
                <w:color w:val="000000" w:themeColor="text1"/>
                <w:sz w:val="11"/>
                <w:szCs w:val="11"/>
              </w:rPr>
            </w:pPr>
            <w:r w:rsidRPr="002F29B2">
              <w:rPr>
                <w:rFonts w:cs="Calibri"/>
                <w:b/>
                <w:bCs/>
                <w:sz w:val="11"/>
                <w:szCs w:val="11"/>
              </w:rPr>
              <w:t>11 341</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7B83E1A1" w14:textId="39F1605E" w:rsidR="002F29B2" w:rsidRPr="002F29B2" w:rsidRDefault="002F29B2" w:rsidP="002F29B2">
            <w:pPr>
              <w:jc w:val="right"/>
              <w:rPr>
                <w:rFonts w:cs="Calibri"/>
                <w:b/>
                <w:bCs/>
                <w:color w:val="000000" w:themeColor="text1"/>
                <w:sz w:val="11"/>
                <w:szCs w:val="11"/>
              </w:rPr>
            </w:pPr>
            <w:r w:rsidRPr="002F29B2">
              <w:rPr>
                <w:rFonts w:cs="Calibri"/>
                <w:b/>
                <w:bCs/>
                <w:sz w:val="11"/>
                <w:szCs w:val="11"/>
              </w:rPr>
              <w:t>97 689</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0D73D11B" w14:textId="42535731" w:rsidR="002F29B2" w:rsidRPr="002F29B2" w:rsidRDefault="002F29B2" w:rsidP="002F29B2">
            <w:pPr>
              <w:jc w:val="right"/>
              <w:rPr>
                <w:rFonts w:cs="Calibri"/>
                <w:b/>
                <w:bCs/>
                <w:color w:val="000000" w:themeColor="text1"/>
                <w:sz w:val="11"/>
                <w:szCs w:val="11"/>
              </w:rPr>
            </w:pPr>
            <w:r w:rsidRPr="002F29B2">
              <w:rPr>
                <w:rFonts w:cs="Calibri"/>
                <w:b/>
                <w:bCs/>
                <w:sz w:val="11"/>
                <w:szCs w:val="11"/>
              </w:rPr>
              <w:t>136 241</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2F29B6C7" w14:textId="72CD93DF" w:rsidR="002F29B2" w:rsidRPr="002F29B2" w:rsidRDefault="002F29B2" w:rsidP="002F29B2">
            <w:pPr>
              <w:jc w:val="right"/>
              <w:rPr>
                <w:rFonts w:cs="Calibri"/>
                <w:b/>
                <w:bCs/>
                <w:color w:val="000000" w:themeColor="text1"/>
                <w:sz w:val="11"/>
                <w:szCs w:val="11"/>
              </w:rPr>
            </w:pPr>
            <w:r w:rsidRPr="002F29B2">
              <w:rPr>
                <w:rFonts w:cs="Calibri"/>
                <w:b/>
                <w:bCs/>
                <w:sz w:val="11"/>
                <w:szCs w:val="11"/>
              </w:rPr>
              <w:t>29 911</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6E55AC15" w14:textId="71A43DAD" w:rsidR="002F29B2" w:rsidRPr="002F29B2" w:rsidRDefault="002F29B2" w:rsidP="002F29B2">
            <w:pPr>
              <w:jc w:val="right"/>
              <w:rPr>
                <w:rFonts w:cs="Calibri"/>
                <w:b/>
                <w:bCs/>
                <w:color w:val="000000" w:themeColor="text1"/>
                <w:sz w:val="11"/>
                <w:szCs w:val="11"/>
              </w:rPr>
            </w:pPr>
            <w:r w:rsidRPr="002F29B2">
              <w:rPr>
                <w:rFonts w:cs="Calibri"/>
                <w:b/>
                <w:bCs/>
                <w:sz w:val="11"/>
                <w:szCs w:val="11"/>
              </w:rPr>
              <w:t>84 219</w:t>
            </w:r>
          </w:p>
        </w:tc>
        <w:tc>
          <w:tcPr>
            <w:tcW w:w="1077" w:type="dxa"/>
            <w:tcBorders>
              <w:top w:val="single" w:sz="8" w:space="0" w:color="0077BD"/>
              <w:left w:val="nil"/>
              <w:bottom w:val="single" w:sz="8" w:space="0" w:color="0077BD"/>
              <w:right w:val="nil"/>
            </w:tcBorders>
            <w:shd w:val="clear" w:color="auto" w:fill="auto"/>
            <w:noWrap/>
            <w:vAlign w:val="center"/>
          </w:tcPr>
          <w:p w14:paraId="67B79FE2" w14:textId="3D8EA032" w:rsidR="002F29B2" w:rsidRPr="002F29B2" w:rsidRDefault="002F29B2" w:rsidP="002F29B2">
            <w:pPr>
              <w:jc w:val="right"/>
              <w:rPr>
                <w:rFonts w:cs="Calibri"/>
                <w:b/>
                <w:bCs/>
                <w:color w:val="000000" w:themeColor="text1"/>
                <w:sz w:val="11"/>
                <w:szCs w:val="11"/>
              </w:rPr>
            </w:pPr>
            <w:r w:rsidRPr="002F29B2">
              <w:rPr>
                <w:rFonts w:cs="Calibri"/>
                <w:b/>
                <w:bCs/>
                <w:sz w:val="11"/>
                <w:szCs w:val="11"/>
              </w:rPr>
              <w:t>359 401</w:t>
            </w:r>
          </w:p>
        </w:tc>
      </w:tr>
      <w:tr w:rsidR="002F29B2" w:rsidRPr="00BB7C9E" w14:paraId="37AE9C97" w14:textId="77777777" w:rsidTr="00D63A49">
        <w:trPr>
          <w:trHeight w:val="284"/>
        </w:trPr>
        <w:tc>
          <w:tcPr>
            <w:tcW w:w="1985" w:type="dxa"/>
            <w:tcBorders>
              <w:top w:val="nil"/>
              <w:left w:val="nil"/>
              <w:bottom w:val="nil"/>
              <w:right w:val="single" w:sz="8" w:space="0" w:color="0077BD"/>
            </w:tcBorders>
            <w:shd w:val="clear" w:color="auto" w:fill="auto"/>
            <w:vAlign w:val="center"/>
            <w:hideMark/>
          </w:tcPr>
          <w:p w14:paraId="0B43FCD4"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zakupu</w:t>
            </w:r>
          </w:p>
        </w:tc>
        <w:tc>
          <w:tcPr>
            <w:tcW w:w="1077" w:type="dxa"/>
            <w:tcBorders>
              <w:top w:val="nil"/>
              <w:left w:val="single" w:sz="8" w:space="0" w:color="0077BD"/>
              <w:bottom w:val="nil"/>
              <w:right w:val="single" w:sz="8" w:space="0" w:color="0077BD"/>
            </w:tcBorders>
            <w:shd w:val="clear" w:color="auto" w:fill="auto"/>
            <w:noWrap/>
            <w:vAlign w:val="center"/>
          </w:tcPr>
          <w:p w14:paraId="4A471161" w14:textId="788B254C"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nil"/>
              <w:right w:val="single" w:sz="8" w:space="0" w:color="0077BD"/>
            </w:tcBorders>
            <w:shd w:val="clear" w:color="auto" w:fill="auto"/>
            <w:noWrap/>
            <w:vAlign w:val="center"/>
          </w:tcPr>
          <w:p w14:paraId="23729134" w14:textId="0CB55C74" w:rsidR="002F29B2" w:rsidRPr="002F29B2" w:rsidRDefault="002F29B2" w:rsidP="002F29B2">
            <w:pPr>
              <w:jc w:val="right"/>
              <w:rPr>
                <w:rFonts w:cs="Calibri"/>
                <w:color w:val="000000" w:themeColor="text1"/>
                <w:sz w:val="11"/>
                <w:szCs w:val="11"/>
              </w:rPr>
            </w:pPr>
            <w:r w:rsidRPr="002F29B2">
              <w:rPr>
                <w:rFonts w:cs="Calibri"/>
                <w:sz w:val="11"/>
                <w:szCs w:val="11"/>
              </w:rPr>
              <w:t>13</w:t>
            </w:r>
          </w:p>
        </w:tc>
        <w:tc>
          <w:tcPr>
            <w:tcW w:w="1077" w:type="dxa"/>
            <w:tcBorders>
              <w:top w:val="nil"/>
              <w:left w:val="nil"/>
              <w:bottom w:val="nil"/>
              <w:right w:val="single" w:sz="8" w:space="0" w:color="0077BD"/>
            </w:tcBorders>
            <w:shd w:val="clear" w:color="auto" w:fill="auto"/>
            <w:noWrap/>
            <w:vAlign w:val="center"/>
          </w:tcPr>
          <w:p w14:paraId="7D393EFF" w14:textId="6F957B2A" w:rsidR="002F29B2" w:rsidRPr="002F29B2" w:rsidRDefault="002F29B2" w:rsidP="002F29B2">
            <w:pPr>
              <w:jc w:val="right"/>
              <w:rPr>
                <w:rFonts w:cs="Calibri"/>
                <w:color w:val="000000" w:themeColor="text1"/>
                <w:sz w:val="11"/>
                <w:szCs w:val="11"/>
              </w:rPr>
            </w:pPr>
            <w:r w:rsidRPr="002F29B2">
              <w:rPr>
                <w:rFonts w:cs="Calibri"/>
                <w:sz w:val="11"/>
                <w:szCs w:val="11"/>
              </w:rPr>
              <w:t>37 864</w:t>
            </w:r>
          </w:p>
        </w:tc>
        <w:tc>
          <w:tcPr>
            <w:tcW w:w="1077" w:type="dxa"/>
            <w:tcBorders>
              <w:top w:val="nil"/>
              <w:left w:val="nil"/>
              <w:bottom w:val="nil"/>
              <w:right w:val="single" w:sz="8" w:space="0" w:color="0077BD"/>
            </w:tcBorders>
            <w:shd w:val="clear" w:color="auto" w:fill="auto"/>
            <w:noWrap/>
            <w:vAlign w:val="center"/>
          </w:tcPr>
          <w:p w14:paraId="1832A4F1" w14:textId="070B651C" w:rsidR="002F29B2" w:rsidRPr="002F29B2" w:rsidRDefault="002F29B2" w:rsidP="002F29B2">
            <w:pPr>
              <w:jc w:val="right"/>
              <w:rPr>
                <w:rFonts w:cs="Calibri"/>
                <w:color w:val="000000" w:themeColor="text1"/>
                <w:sz w:val="11"/>
                <w:szCs w:val="11"/>
              </w:rPr>
            </w:pPr>
            <w:r w:rsidRPr="002F29B2">
              <w:rPr>
                <w:rFonts w:cs="Calibri"/>
                <w:sz w:val="11"/>
                <w:szCs w:val="11"/>
              </w:rPr>
              <w:t>135 601</w:t>
            </w:r>
          </w:p>
        </w:tc>
        <w:tc>
          <w:tcPr>
            <w:tcW w:w="1077" w:type="dxa"/>
            <w:tcBorders>
              <w:top w:val="nil"/>
              <w:left w:val="nil"/>
              <w:bottom w:val="nil"/>
              <w:right w:val="single" w:sz="8" w:space="0" w:color="0077BD"/>
            </w:tcBorders>
            <w:shd w:val="clear" w:color="auto" w:fill="auto"/>
            <w:noWrap/>
            <w:vAlign w:val="center"/>
          </w:tcPr>
          <w:p w14:paraId="69EE5F08" w14:textId="3EBBD0A0" w:rsidR="002F29B2" w:rsidRPr="002F29B2" w:rsidRDefault="002F29B2" w:rsidP="002F29B2">
            <w:pPr>
              <w:jc w:val="right"/>
              <w:rPr>
                <w:rFonts w:cs="Calibri"/>
                <w:color w:val="000000" w:themeColor="text1"/>
                <w:sz w:val="11"/>
                <w:szCs w:val="11"/>
              </w:rPr>
            </w:pPr>
            <w:r w:rsidRPr="002F29B2">
              <w:rPr>
                <w:rFonts w:cs="Calibri"/>
                <w:sz w:val="11"/>
                <w:szCs w:val="11"/>
              </w:rPr>
              <w:t>7 470</w:t>
            </w:r>
          </w:p>
        </w:tc>
        <w:tc>
          <w:tcPr>
            <w:tcW w:w="1077" w:type="dxa"/>
            <w:tcBorders>
              <w:top w:val="nil"/>
              <w:left w:val="nil"/>
              <w:bottom w:val="nil"/>
              <w:right w:val="single" w:sz="8" w:space="0" w:color="0077BD"/>
            </w:tcBorders>
            <w:shd w:val="clear" w:color="auto" w:fill="auto"/>
            <w:noWrap/>
            <w:vAlign w:val="center"/>
          </w:tcPr>
          <w:p w14:paraId="78C0998F" w14:textId="06304BD5" w:rsidR="002F29B2" w:rsidRPr="002F29B2" w:rsidRDefault="002F29B2" w:rsidP="002F29B2">
            <w:pPr>
              <w:jc w:val="right"/>
              <w:rPr>
                <w:rFonts w:cs="Calibri"/>
                <w:color w:val="000000" w:themeColor="text1"/>
                <w:sz w:val="11"/>
                <w:szCs w:val="11"/>
              </w:rPr>
            </w:pPr>
            <w:r w:rsidRPr="002F29B2">
              <w:rPr>
                <w:rFonts w:cs="Calibri"/>
                <w:sz w:val="11"/>
                <w:szCs w:val="11"/>
              </w:rPr>
              <w:t>60 989</w:t>
            </w:r>
          </w:p>
        </w:tc>
        <w:tc>
          <w:tcPr>
            <w:tcW w:w="1077" w:type="dxa"/>
            <w:tcBorders>
              <w:top w:val="nil"/>
              <w:left w:val="nil"/>
              <w:bottom w:val="nil"/>
              <w:right w:val="nil"/>
            </w:tcBorders>
            <w:shd w:val="clear" w:color="auto" w:fill="auto"/>
            <w:noWrap/>
            <w:vAlign w:val="center"/>
          </w:tcPr>
          <w:p w14:paraId="0FCFF31F" w14:textId="12A80628" w:rsidR="002F29B2" w:rsidRPr="002F29B2" w:rsidRDefault="002F29B2" w:rsidP="002F29B2">
            <w:pPr>
              <w:jc w:val="right"/>
              <w:rPr>
                <w:rFonts w:cs="Calibri"/>
                <w:color w:val="000000" w:themeColor="text1"/>
                <w:sz w:val="11"/>
                <w:szCs w:val="11"/>
              </w:rPr>
            </w:pPr>
            <w:r w:rsidRPr="002F29B2">
              <w:rPr>
                <w:rFonts w:cs="Calibri"/>
                <w:sz w:val="11"/>
                <w:szCs w:val="11"/>
              </w:rPr>
              <w:t>241 937</w:t>
            </w:r>
          </w:p>
        </w:tc>
      </w:tr>
      <w:tr w:rsidR="002F29B2" w:rsidRPr="00BB7C9E" w14:paraId="6B09FFFE" w14:textId="77777777" w:rsidTr="00D63A49">
        <w:trPr>
          <w:trHeight w:val="345"/>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40BA2CC4"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przejęcia ze środków trwałych w budowie</w:t>
            </w:r>
          </w:p>
        </w:tc>
        <w:tc>
          <w:tcPr>
            <w:tcW w:w="1077"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415421DC" w14:textId="63456268"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53A3D9C6" w14:textId="779B755A" w:rsidR="002F29B2" w:rsidRPr="002F29B2" w:rsidRDefault="002F29B2" w:rsidP="002F29B2">
            <w:pPr>
              <w:jc w:val="right"/>
              <w:rPr>
                <w:rFonts w:cs="Calibri"/>
                <w:color w:val="000000" w:themeColor="text1"/>
                <w:sz w:val="11"/>
                <w:szCs w:val="11"/>
              </w:rPr>
            </w:pPr>
            <w:r w:rsidRPr="002F29B2">
              <w:rPr>
                <w:rFonts w:cs="Calibri"/>
                <w:sz w:val="11"/>
                <w:szCs w:val="11"/>
              </w:rPr>
              <w:t>11 328</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4FE66D80" w14:textId="58A994B3" w:rsidR="002F29B2" w:rsidRPr="002F29B2" w:rsidRDefault="002F29B2" w:rsidP="002F29B2">
            <w:pPr>
              <w:jc w:val="right"/>
              <w:rPr>
                <w:rFonts w:cs="Calibri"/>
                <w:color w:val="000000" w:themeColor="text1"/>
                <w:sz w:val="11"/>
                <w:szCs w:val="11"/>
              </w:rPr>
            </w:pPr>
            <w:r w:rsidRPr="002F29B2">
              <w:rPr>
                <w:rFonts w:cs="Calibri"/>
                <w:sz w:val="11"/>
                <w:szCs w:val="11"/>
              </w:rPr>
              <w:t>59 117</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5603A8E8" w14:textId="1BCFF50D"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6573AB37" w14:textId="458F1D10" w:rsidR="002F29B2" w:rsidRPr="002F29B2" w:rsidRDefault="002F29B2" w:rsidP="002F29B2">
            <w:pPr>
              <w:jc w:val="right"/>
              <w:rPr>
                <w:rFonts w:cs="Calibri"/>
                <w:color w:val="000000" w:themeColor="text1"/>
                <w:sz w:val="11"/>
                <w:szCs w:val="11"/>
              </w:rPr>
            </w:pPr>
            <w:r w:rsidRPr="002F29B2">
              <w:rPr>
                <w:rFonts w:cs="Calibri"/>
                <w:sz w:val="11"/>
                <w:szCs w:val="11"/>
              </w:rPr>
              <w:t>22 247</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217C3C24" w14:textId="193B5E16"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nil"/>
            </w:tcBorders>
            <w:shd w:val="clear" w:color="auto" w:fill="auto"/>
            <w:noWrap/>
            <w:vAlign w:val="center"/>
          </w:tcPr>
          <w:p w14:paraId="361BFEC8" w14:textId="19CA903A" w:rsidR="002F29B2" w:rsidRPr="002F29B2" w:rsidRDefault="002F29B2" w:rsidP="002F29B2">
            <w:pPr>
              <w:jc w:val="right"/>
              <w:rPr>
                <w:rFonts w:cs="Calibri"/>
                <w:color w:val="000000" w:themeColor="text1"/>
                <w:sz w:val="11"/>
                <w:szCs w:val="11"/>
              </w:rPr>
            </w:pPr>
            <w:r w:rsidRPr="002F29B2">
              <w:rPr>
                <w:rFonts w:cs="Calibri"/>
                <w:sz w:val="11"/>
                <w:szCs w:val="11"/>
              </w:rPr>
              <w:t>92 692</w:t>
            </w:r>
          </w:p>
        </w:tc>
      </w:tr>
      <w:tr w:rsidR="008A74B2" w:rsidRPr="00BB7C9E" w14:paraId="6439E9F2" w14:textId="77777777" w:rsidTr="00D63A49">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E45C5A3" w14:textId="77777777" w:rsidR="008A74B2" w:rsidRPr="00BB7C9E" w:rsidRDefault="008A74B2" w:rsidP="008A74B2">
            <w:pPr>
              <w:rPr>
                <w:rFonts w:cs="Calibri"/>
                <w:color w:val="000000" w:themeColor="text1"/>
                <w:sz w:val="11"/>
                <w:szCs w:val="11"/>
              </w:rPr>
            </w:pPr>
            <w:r w:rsidRPr="00BB7C9E">
              <w:rPr>
                <w:rFonts w:cs="Calibri"/>
                <w:color w:val="000000" w:themeColor="text1"/>
                <w:sz w:val="11"/>
                <w:szCs w:val="11"/>
              </w:rPr>
              <w:t>- innych zwiększeń</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55BBEE3B" w14:textId="5E4EAC3D"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25AF3C8E" w14:textId="0B329713"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4EB2D55F" w14:textId="2EDA717F" w:rsidR="008A74B2" w:rsidRPr="008A74B2" w:rsidRDefault="008A74B2" w:rsidP="008A74B2">
            <w:pPr>
              <w:jc w:val="right"/>
              <w:rPr>
                <w:rFonts w:cs="Calibri"/>
                <w:color w:val="000000" w:themeColor="text1"/>
                <w:sz w:val="11"/>
                <w:szCs w:val="11"/>
              </w:rPr>
            </w:pPr>
            <w:r w:rsidRPr="008A74B2">
              <w:rPr>
                <w:rFonts w:cs="Calibri"/>
                <w:sz w:val="11"/>
                <w:szCs w:val="11"/>
              </w:rPr>
              <w:t>708</w:t>
            </w:r>
          </w:p>
        </w:tc>
        <w:tc>
          <w:tcPr>
            <w:tcW w:w="1077" w:type="dxa"/>
            <w:tcBorders>
              <w:top w:val="nil"/>
              <w:left w:val="nil"/>
              <w:bottom w:val="single" w:sz="8" w:space="0" w:color="0077BD"/>
              <w:right w:val="single" w:sz="8" w:space="0" w:color="0077BD"/>
            </w:tcBorders>
            <w:shd w:val="clear" w:color="auto" w:fill="auto"/>
            <w:noWrap/>
            <w:vAlign w:val="center"/>
          </w:tcPr>
          <w:p w14:paraId="3DB089C9" w14:textId="0D40D474" w:rsidR="008A74B2" w:rsidRPr="008A74B2" w:rsidRDefault="008A74B2" w:rsidP="008A74B2">
            <w:pPr>
              <w:jc w:val="right"/>
              <w:rPr>
                <w:rFonts w:cs="Calibri"/>
                <w:color w:val="000000" w:themeColor="text1"/>
                <w:sz w:val="11"/>
                <w:szCs w:val="11"/>
              </w:rPr>
            </w:pPr>
            <w:r w:rsidRPr="008A74B2">
              <w:rPr>
                <w:rFonts w:cs="Calibri"/>
                <w:sz w:val="11"/>
                <w:szCs w:val="11"/>
              </w:rPr>
              <w:t>640</w:t>
            </w:r>
          </w:p>
        </w:tc>
        <w:tc>
          <w:tcPr>
            <w:tcW w:w="1077" w:type="dxa"/>
            <w:tcBorders>
              <w:top w:val="nil"/>
              <w:left w:val="nil"/>
              <w:bottom w:val="single" w:sz="8" w:space="0" w:color="0077BD"/>
              <w:right w:val="single" w:sz="8" w:space="0" w:color="0077BD"/>
            </w:tcBorders>
            <w:shd w:val="clear" w:color="auto" w:fill="auto"/>
            <w:noWrap/>
            <w:vAlign w:val="center"/>
          </w:tcPr>
          <w:p w14:paraId="38A2A98E" w14:textId="0B232C47" w:rsidR="008A74B2" w:rsidRPr="008A74B2" w:rsidRDefault="008A74B2" w:rsidP="008A74B2">
            <w:pPr>
              <w:jc w:val="right"/>
              <w:rPr>
                <w:rFonts w:cs="Calibri"/>
                <w:color w:val="000000" w:themeColor="text1"/>
                <w:sz w:val="11"/>
                <w:szCs w:val="11"/>
              </w:rPr>
            </w:pPr>
            <w:r w:rsidRPr="008A74B2">
              <w:rPr>
                <w:rFonts w:cs="Calibri"/>
                <w:sz w:val="11"/>
                <w:szCs w:val="11"/>
              </w:rPr>
              <w:t>194</w:t>
            </w:r>
          </w:p>
        </w:tc>
        <w:tc>
          <w:tcPr>
            <w:tcW w:w="1077" w:type="dxa"/>
            <w:tcBorders>
              <w:top w:val="nil"/>
              <w:left w:val="nil"/>
              <w:bottom w:val="single" w:sz="8" w:space="0" w:color="0077BD"/>
              <w:right w:val="single" w:sz="8" w:space="0" w:color="0077BD"/>
            </w:tcBorders>
            <w:shd w:val="clear" w:color="auto" w:fill="auto"/>
            <w:noWrap/>
            <w:vAlign w:val="center"/>
          </w:tcPr>
          <w:p w14:paraId="534F75A4" w14:textId="5F6653DE" w:rsidR="008A74B2" w:rsidRPr="008A74B2" w:rsidRDefault="008A74B2" w:rsidP="008A74B2">
            <w:pPr>
              <w:jc w:val="right"/>
              <w:rPr>
                <w:rFonts w:cs="Calibri"/>
                <w:color w:val="000000" w:themeColor="text1"/>
                <w:sz w:val="11"/>
                <w:szCs w:val="11"/>
              </w:rPr>
            </w:pPr>
            <w:r w:rsidRPr="008A74B2">
              <w:rPr>
                <w:rFonts w:cs="Calibri"/>
                <w:sz w:val="11"/>
                <w:szCs w:val="11"/>
              </w:rPr>
              <w:t>23 230</w:t>
            </w:r>
          </w:p>
        </w:tc>
        <w:tc>
          <w:tcPr>
            <w:tcW w:w="1077" w:type="dxa"/>
            <w:tcBorders>
              <w:top w:val="nil"/>
              <w:left w:val="nil"/>
              <w:bottom w:val="single" w:sz="8" w:space="0" w:color="0077BD"/>
              <w:right w:val="nil"/>
            </w:tcBorders>
            <w:shd w:val="clear" w:color="auto" w:fill="auto"/>
            <w:noWrap/>
            <w:vAlign w:val="center"/>
          </w:tcPr>
          <w:p w14:paraId="2A60F23D" w14:textId="73AC4EB3" w:rsidR="008A74B2" w:rsidRPr="008A74B2" w:rsidRDefault="008A74B2" w:rsidP="008A74B2">
            <w:pPr>
              <w:jc w:val="right"/>
              <w:rPr>
                <w:rFonts w:cs="Calibri"/>
                <w:color w:val="000000" w:themeColor="text1"/>
                <w:sz w:val="11"/>
                <w:szCs w:val="11"/>
              </w:rPr>
            </w:pPr>
            <w:r w:rsidRPr="008A74B2">
              <w:rPr>
                <w:rFonts w:cs="Calibri"/>
                <w:sz w:val="11"/>
                <w:szCs w:val="11"/>
              </w:rPr>
              <w:t>24 772</w:t>
            </w:r>
          </w:p>
        </w:tc>
      </w:tr>
      <w:tr w:rsidR="002F29B2" w:rsidRPr="00BB7C9E" w14:paraId="1C77610A" w14:textId="77777777" w:rsidTr="009E1E81">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1CD0D650" w14:textId="77777777"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Zmniejszenia z tytułu:</w:t>
            </w:r>
          </w:p>
        </w:tc>
        <w:tc>
          <w:tcPr>
            <w:tcW w:w="1077"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2BA7609" w14:textId="68D391CF"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164EE8E0" w14:textId="2D67601D" w:rsidR="002F29B2" w:rsidRPr="002F29B2" w:rsidRDefault="002F29B2" w:rsidP="002F29B2">
            <w:pPr>
              <w:jc w:val="right"/>
              <w:rPr>
                <w:rFonts w:cs="Calibri"/>
                <w:b/>
                <w:bCs/>
                <w:color w:val="000000" w:themeColor="text1"/>
                <w:sz w:val="11"/>
                <w:szCs w:val="11"/>
              </w:rPr>
            </w:pPr>
            <w:r w:rsidRPr="002F29B2">
              <w:rPr>
                <w:rFonts w:cs="Calibri"/>
                <w:b/>
                <w:bCs/>
                <w:sz w:val="11"/>
                <w:szCs w:val="11"/>
              </w:rPr>
              <w:t>(1 689)</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6C48964A" w14:textId="15FEBC7B" w:rsidR="002F29B2" w:rsidRPr="002F29B2" w:rsidRDefault="002F29B2" w:rsidP="002F29B2">
            <w:pPr>
              <w:jc w:val="right"/>
              <w:rPr>
                <w:rFonts w:cs="Calibri"/>
                <w:b/>
                <w:bCs/>
                <w:color w:val="000000" w:themeColor="text1"/>
                <w:sz w:val="11"/>
                <w:szCs w:val="11"/>
              </w:rPr>
            </w:pPr>
            <w:r w:rsidRPr="002F29B2">
              <w:rPr>
                <w:rFonts w:cs="Calibri"/>
                <w:b/>
                <w:bCs/>
                <w:sz w:val="11"/>
                <w:szCs w:val="11"/>
              </w:rPr>
              <w:t>(221 031)</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37BA8893" w14:textId="2FCE5A76" w:rsidR="002F29B2" w:rsidRPr="002F29B2" w:rsidRDefault="002F29B2" w:rsidP="002F29B2">
            <w:pPr>
              <w:jc w:val="right"/>
              <w:rPr>
                <w:rFonts w:cs="Calibri"/>
                <w:b/>
                <w:bCs/>
                <w:color w:val="000000" w:themeColor="text1"/>
                <w:sz w:val="11"/>
                <w:szCs w:val="11"/>
              </w:rPr>
            </w:pPr>
            <w:r w:rsidRPr="002F29B2">
              <w:rPr>
                <w:rFonts w:cs="Calibri"/>
                <w:b/>
                <w:bCs/>
                <w:sz w:val="11"/>
                <w:szCs w:val="11"/>
              </w:rPr>
              <w:t>(154 448)</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0A163444" w14:textId="049B46CB" w:rsidR="002F29B2" w:rsidRPr="002F29B2" w:rsidRDefault="002F29B2" w:rsidP="002F29B2">
            <w:pPr>
              <w:jc w:val="right"/>
              <w:rPr>
                <w:rFonts w:cs="Calibri"/>
                <w:b/>
                <w:bCs/>
                <w:color w:val="000000" w:themeColor="text1"/>
                <w:sz w:val="11"/>
                <w:szCs w:val="11"/>
              </w:rPr>
            </w:pPr>
            <w:r w:rsidRPr="002F29B2">
              <w:rPr>
                <w:rFonts w:cs="Calibri"/>
                <w:b/>
                <w:bCs/>
                <w:sz w:val="11"/>
                <w:szCs w:val="11"/>
              </w:rPr>
              <w:t>(49 892)</w:t>
            </w:r>
          </w:p>
        </w:tc>
        <w:tc>
          <w:tcPr>
            <w:tcW w:w="1077" w:type="dxa"/>
            <w:tcBorders>
              <w:top w:val="single" w:sz="8" w:space="0" w:color="0077BD"/>
              <w:left w:val="nil"/>
              <w:bottom w:val="single" w:sz="8" w:space="0" w:color="0077BD"/>
              <w:right w:val="single" w:sz="8" w:space="0" w:color="0077BD"/>
            </w:tcBorders>
            <w:shd w:val="clear" w:color="auto" w:fill="auto"/>
            <w:noWrap/>
            <w:vAlign w:val="center"/>
          </w:tcPr>
          <w:p w14:paraId="10DFC569" w14:textId="59AFA3DD" w:rsidR="002F29B2" w:rsidRPr="002F29B2" w:rsidRDefault="002F29B2" w:rsidP="002F29B2">
            <w:pPr>
              <w:jc w:val="right"/>
              <w:rPr>
                <w:rFonts w:cs="Calibri"/>
                <w:b/>
                <w:bCs/>
                <w:color w:val="000000" w:themeColor="text1"/>
                <w:sz w:val="11"/>
                <w:szCs w:val="11"/>
              </w:rPr>
            </w:pPr>
            <w:r w:rsidRPr="002F29B2">
              <w:rPr>
                <w:rFonts w:cs="Calibri"/>
                <w:b/>
                <w:bCs/>
                <w:sz w:val="11"/>
                <w:szCs w:val="11"/>
              </w:rPr>
              <w:t>(125 369)</w:t>
            </w:r>
          </w:p>
        </w:tc>
        <w:tc>
          <w:tcPr>
            <w:tcW w:w="1077" w:type="dxa"/>
            <w:tcBorders>
              <w:top w:val="single" w:sz="8" w:space="0" w:color="0077BD"/>
              <w:left w:val="nil"/>
              <w:bottom w:val="single" w:sz="8" w:space="0" w:color="0077BD"/>
              <w:right w:val="nil"/>
            </w:tcBorders>
            <w:shd w:val="clear" w:color="auto" w:fill="auto"/>
            <w:noWrap/>
            <w:vAlign w:val="center"/>
          </w:tcPr>
          <w:p w14:paraId="73A5032A" w14:textId="00EF6F02" w:rsidR="002F29B2" w:rsidRPr="002F29B2" w:rsidRDefault="002F29B2" w:rsidP="002F29B2">
            <w:pPr>
              <w:jc w:val="right"/>
              <w:rPr>
                <w:rFonts w:cs="Calibri"/>
                <w:b/>
                <w:bCs/>
                <w:color w:val="000000" w:themeColor="text1"/>
                <w:sz w:val="11"/>
                <w:szCs w:val="11"/>
              </w:rPr>
            </w:pPr>
            <w:r w:rsidRPr="002F29B2">
              <w:rPr>
                <w:rFonts w:cs="Calibri"/>
                <w:b/>
                <w:bCs/>
                <w:sz w:val="11"/>
                <w:szCs w:val="11"/>
              </w:rPr>
              <w:t>(552 429)</w:t>
            </w:r>
          </w:p>
        </w:tc>
      </w:tr>
      <w:tr w:rsidR="002F29B2" w:rsidRPr="00BB7C9E" w14:paraId="6592560F" w14:textId="77777777" w:rsidTr="00D63A49">
        <w:trPr>
          <w:trHeight w:val="284"/>
        </w:trPr>
        <w:tc>
          <w:tcPr>
            <w:tcW w:w="1985" w:type="dxa"/>
            <w:tcBorders>
              <w:top w:val="nil"/>
              <w:left w:val="nil"/>
              <w:bottom w:val="nil"/>
              <w:right w:val="single" w:sz="8" w:space="0" w:color="0077BD"/>
            </w:tcBorders>
            <w:shd w:val="clear" w:color="auto" w:fill="auto"/>
            <w:vAlign w:val="center"/>
            <w:hideMark/>
          </w:tcPr>
          <w:p w14:paraId="2AD27CFF"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sprzedaży</w:t>
            </w:r>
          </w:p>
        </w:tc>
        <w:tc>
          <w:tcPr>
            <w:tcW w:w="1077" w:type="dxa"/>
            <w:tcBorders>
              <w:top w:val="nil"/>
              <w:left w:val="single" w:sz="8" w:space="0" w:color="0077BD"/>
              <w:bottom w:val="nil"/>
              <w:right w:val="single" w:sz="8" w:space="0" w:color="0077BD"/>
            </w:tcBorders>
            <w:shd w:val="clear" w:color="auto" w:fill="auto"/>
            <w:noWrap/>
            <w:vAlign w:val="center"/>
          </w:tcPr>
          <w:p w14:paraId="68121D99" w14:textId="2E404941"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nil"/>
              <w:right w:val="single" w:sz="8" w:space="0" w:color="0077BD"/>
            </w:tcBorders>
            <w:shd w:val="clear" w:color="auto" w:fill="auto"/>
            <w:noWrap/>
            <w:vAlign w:val="center"/>
          </w:tcPr>
          <w:p w14:paraId="1A06640E" w14:textId="0A325EC8" w:rsidR="002F29B2" w:rsidRPr="002F29B2" w:rsidRDefault="002F29B2" w:rsidP="002F29B2">
            <w:pPr>
              <w:jc w:val="right"/>
              <w:rPr>
                <w:rFonts w:cs="Calibri"/>
                <w:color w:val="000000" w:themeColor="text1"/>
                <w:sz w:val="11"/>
                <w:szCs w:val="11"/>
              </w:rPr>
            </w:pPr>
            <w:r w:rsidRPr="002F29B2">
              <w:rPr>
                <w:rFonts w:cs="Calibri"/>
                <w:sz w:val="11"/>
                <w:szCs w:val="11"/>
              </w:rPr>
              <w:t>(241)</w:t>
            </w:r>
          </w:p>
        </w:tc>
        <w:tc>
          <w:tcPr>
            <w:tcW w:w="1077" w:type="dxa"/>
            <w:tcBorders>
              <w:top w:val="nil"/>
              <w:left w:val="nil"/>
              <w:bottom w:val="nil"/>
              <w:right w:val="single" w:sz="8" w:space="0" w:color="0077BD"/>
            </w:tcBorders>
            <w:shd w:val="clear" w:color="auto" w:fill="auto"/>
            <w:noWrap/>
            <w:vAlign w:val="center"/>
          </w:tcPr>
          <w:p w14:paraId="02392F07" w14:textId="22CFAB3B" w:rsidR="002F29B2" w:rsidRPr="002F29B2" w:rsidRDefault="002F29B2" w:rsidP="002F29B2">
            <w:pPr>
              <w:jc w:val="right"/>
              <w:rPr>
                <w:rFonts w:cs="Calibri"/>
                <w:color w:val="000000" w:themeColor="text1"/>
                <w:sz w:val="11"/>
                <w:szCs w:val="11"/>
              </w:rPr>
            </w:pPr>
            <w:r w:rsidRPr="002F29B2">
              <w:rPr>
                <w:rFonts w:cs="Calibri"/>
                <w:sz w:val="11"/>
                <w:szCs w:val="11"/>
              </w:rPr>
              <w:t>(36 311)</w:t>
            </w:r>
          </w:p>
        </w:tc>
        <w:tc>
          <w:tcPr>
            <w:tcW w:w="1077" w:type="dxa"/>
            <w:tcBorders>
              <w:top w:val="nil"/>
              <w:left w:val="nil"/>
              <w:bottom w:val="nil"/>
              <w:right w:val="single" w:sz="8" w:space="0" w:color="0077BD"/>
            </w:tcBorders>
            <w:shd w:val="clear" w:color="auto" w:fill="auto"/>
            <w:noWrap/>
            <w:vAlign w:val="center"/>
          </w:tcPr>
          <w:p w14:paraId="66CDCD06" w14:textId="63B9340D" w:rsidR="002F29B2" w:rsidRPr="002F29B2" w:rsidRDefault="002F29B2" w:rsidP="002F29B2">
            <w:pPr>
              <w:jc w:val="right"/>
              <w:rPr>
                <w:rFonts w:cs="Calibri"/>
                <w:color w:val="000000" w:themeColor="text1"/>
                <w:sz w:val="11"/>
                <w:szCs w:val="11"/>
              </w:rPr>
            </w:pPr>
            <w:r w:rsidRPr="002F29B2">
              <w:rPr>
                <w:rFonts w:cs="Calibri"/>
                <w:sz w:val="11"/>
                <w:szCs w:val="11"/>
              </w:rPr>
              <w:t>(128 961)</w:t>
            </w:r>
          </w:p>
        </w:tc>
        <w:tc>
          <w:tcPr>
            <w:tcW w:w="1077" w:type="dxa"/>
            <w:tcBorders>
              <w:top w:val="nil"/>
              <w:left w:val="nil"/>
              <w:bottom w:val="nil"/>
              <w:right w:val="single" w:sz="8" w:space="0" w:color="0077BD"/>
            </w:tcBorders>
            <w:shd w:val="clear" w:color="auto" w:fill="auto"/>
            <w:noWrap/>
            <w:vAlign w:val="center"/>
          </w:tcPr>
          <w:p w14:paraId="003F42D7" w14:textId="77D73C1E" w:rsidR="002F29B2" w:rsidRPr="002F29B2" w:rsidRDefault="002F29B2" w:rsidP="002F29B2">
            <w:pPr>
              <w:jc w:val="right"/>
              <w:rPr>
                <w:rFonts w:cs="Calibri"/>
                <w:color w:val="000000" w:themeColor="text1"/>
                <w:sz w:val="11"/>
                <w:szCs w:val="11"/>
              </w:rPr>
            </w:pPr>
            <w:r w:rsidRPr="002F29B2">
              <w:rPr>
                <w:rFonts w:cs="Calibri"/>
                <w:sz w:val="11"/>
                <w:szCs w:val="11"/>
              </w:rPr>
              <w:t>(4 659)</w:t>
            </w:r>
          </w:p>
        </w:tc>
        <w:tc>
          <w:tcPr>
            <w:tcW w:w="1077" w:type="dxa"/>
            <w:tcBorders>
              <w:top w:val="nil"/>
              <w:left w:val="nil"/>
              <w:bottom w:val="nil"/>
              <w:right w:val="single" w:sz="8" w:space="0" w:color="0077BD"/>
            </w:tcBorders>
            <w:shd w:val="clear" w:color="auto" w:fill="auto"/>
            <w:noWrap/>
            <w:vAlign w:val="center"/>
          </w:tcPr>
          <w:p w14:paraId="15F3EC8D" w14:textId="49B5D70A"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nil"/>
              <w:right w:val="nil"/>
            </w:tcBorders>
            <w:shd w:val="clear" w:color="auto" w:fill="auto"/>
            <w:noWrap/>
            <w:vAlign w:val="center"/>
          </w:tcPr>
          <w:p w14:paraId="49C6AAC6" w14:textId="1BA9D980" w:rsidR="002F29B2" w:rsidRPr="002F29B2" w:rsidRDefault="002F29B2" w:rsidP="002F29B2">
            <w:pPr>
              <w:jc w:val="right"/>
              <w:rPr>
                <w:rFonts w:cs="Calibri"/>
                <w:color w:val="000000" w:themeColor="text1"/>
                <w:sz w:val="11"/>
                <w:szCs w:val="11"/>
              </w:rPr>
            </w:pPr>
            <w:r w:rsidRPr="002F29B2">
              <w:rPr>
                <w:rFonts w:cs="Calibri"/>
                <w:sz w:val="11"/>
                <w:szCs w:val="11"/>
              </w:rPr>
              <w:t>(170 172)</w:t>
            </w:r>
          </w:p>
        </w:tc>
      </w:tr>
      <w:tr w:rsidR="002F29B2" w:rsidRPr="00BB7C9E" w14:paraId="0C1E0460" w14:textId="77777777" w:rsidTr="00D63A49">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39FC7197"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likwidacji</w:t>
            </w:r>
          </w:p>
        </w:tc>
        <w:tc>
          <w:tcPr>
            <w:tcW w:w="1077"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49E762A" w14:textId="35810935"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6E27E798" w14:textId="061C8A3B" w:rsidR="002F29B2" w:rsidRPr="002F29B2" w:rsidRDefault="002F29B2" w:rsidP="002F29B2">
            <w:pPr>
              <w:jc w:val="right"/>
              <w:rPr>
                <w:rFonts w:cs="Calibri"/>
                <w:color w:val="000000" w:themeColor="text1"/>
                <w:sz w:val="11"/>
                <w:szCs w:val="11"/>
              </w:rPr>
            </w:pPr>
            <w:r w:rsidRPr="002F29B2">
              <w:rPr>
                <w:rFonts w:cs="Calibri"/>
                <w:sz w:val="11"/>
                <w:szCs w:val="11"/>
              </w:rPr>
              <w:t>(1 064)</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0BECB738" w14:textId="76427569" w:rsidR="002F29B2" w:rsidRPr="002F29B2" w:rsidRDefault="002F29B2" w:rsidP="002F29B2">
            <w:pPr>
              <w:jc w:val="right"/>
              <w:rPr>
                <w:rFonts w:cs="Calibri"/>
                <w:color w:val="000000" w:themeColor="text1"/>
                <w:sz w:val="11"/>
                <w:szCs w:val="11"/>
              </w:rPr>
            </w:pPr>
            <w:r w:rsidRPr="002F29B2">
              <w:rPr>
                <w:rFonts w:cs="Calibri"/>
                <w:sz w:val="11"/>
                <w:szCs w:val="11"/>
              </w:rPr>
              <w:t>(122 884)</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133DA2B5" w14:textId="6EEA2687" w:rsidR="002F29B2" w:rsidRPr="002F29B2" w:rsidRDefault="002F29B2" w:rsidP="002F29B2">
            <w:pPr>
              <w:jc w:val="right"/>
              <w:rPr>
                <w:rFonts w:cs="Calibri"/>
                <w:color w:val="000000" w:themeColor="text1"/>
                <w:sz w:val="11"/>
                <w:szCs w:val="11"/>
              </w:rPr>
            </w:pPr>
            <w:r w:rsidRPr="002F29B2">
              <w:rPr>
                <w:rFonts w:cs="Calibri"/>
                <w:sz w:val="11"/>
                <w:szCs w:val="11"/>
              </w:rPr>
              <w:t>(1 200)</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3E97B88B" w14:textId="2EBA36B6" w:rsidR="002F29B2" w:rsidRPr="002F29B2" w:rsidRDefault="002F29B2" w:rsidP="002F29B2">
            <w:pPr>
              <w:jc w:val="right"/>
              <w:rPr>
                <w:rFonts w:cs="Calibri"/>
                <w:color w:val="000000" w:themeColor="text1"/>
                <w:sz w:val="11"/>
                <w:szCs w:val="11"/>
              </w:rPr>
            </w:pPr>
            <w:r w:rsidRPr="002F29B2">
              <w:rPr>
                <w:rFonts w:cs="Calibri"/>
                <w:sz w:val="11"/>
                <w:szCs w:val="11"/>
              </w:rPr>
              <w:t>(10 537)</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5D8F8E93" w14:textId="5D4101EA"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nil"/>
            </w:tcBorders>
            <w:shd w:val="clear" w:color="auto" w:fill="auto"/>
            <w:noWrap/>
            <w:vAlign w:val="center"/>
          </w:tcPr>
          <w:p w14:paraId="675D94B0" w14:textId="0D6B7DC2" w:rsidR="002F29B2" w:rsidRPr="002F29B2" w:rsidRDefault="002F29B2" w:rsidP="002F29B2">
            <w:pPr>
              <w:jc w:val="right"/>
              <w:rPr>
                <w:rFonts w:cs="Calibri"/>
                <w:color w:val="000000" w:themeColor="text1"/>
                <w:sz w:val="11"/>
                <w:szCs w:val="11"/>
              </w:rPr>
            </w:pPr>
            <w:r w:rsidRPr="002F29B2">
              <w:rPr>
                <w:rFonts w:cs="Calibri"/>
                <w:sz w:val="11"/>
                <w:szCs w:val="11"/>
              </w:rPr>
              <w:t>(135 685)</w:t>
            </w:r>
          </w:p>
        </w:tc>
      </w:tr>
      <w:tr w:rsidR="002F29B2" w:rsidRPr="00BB7C9E" w14:paraId="1E71247D" w14:textId="77777777" w:rsidTr="00D63A49">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769A8195"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przekazania na środki trwałe</w:t>
            </w:r>
          </w:p>
        </w:tc>
        <w:tc>
          <w:tcPr>
            <w:tcW w:w="1077" w:type="dxa"/>
            <w:tcBorders>
              <w:top w:val="nil"/>
              <w:left w:val="single" w:sz="8" w:space="0" w:color="0077BD"/>
              <w:bottom w:val="single" w:sz="4" w:space="0" w:color="0077BD"/>
              <w:right w:val="single" w:sz="8" w:space="0" w:color="0077BD"/>
            </w:tcBorders>
            <w:shd w:val="clear" w:color="auto" w:fill="auto"/>
            <w:noWrap/>
            <w:vAlign w:val="center"/>
          </w:tcPr>
          <w:p w14:paraId="206A1F80" w14:textId="538F40B8"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22473A68" w14:textId="166F490F"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21987782" w14:textId="67A3F02D"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712D73E4" w14:textId="56F0AE53"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77C3DE79" w14:textId="7C86E3D6"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303AB07C" w14:textId="60A45F8B" w:rsidR="002F29B2" w:rsidRPr="002F29B2" w:rsidRDefault="002F29B2" w:rsidP="002F29B2">
            <w:pPr>
              <w:jc w:val="right"/>
              <w:rPr>
                <w:rFonts w:cs="Calibri"/>
                <w:color w:val="000000" w:themeColor="text1"/>
                <w:sz w:val="11"/>
                <w:szCs w:val="11"/>
              </w:rPr>
            </w:pPr>
            <w:r w:rsidRPr="002F29B2">
              <w:rPr>
                <w:rFonts w:cs="Calibri"/>
                <w:sz w:val="11"/>
                <w:szCs w:val="11"/>
              </w:rPr>
              <w:t>(92 692)</w:t>
            </w:r>
          </w:p>
        </w:tc>
        <w:tc>
          <w:tcPr>
            <w:tcW w:w="1077" w:type="dxa"/>
            <w:tcBorders>
              <w:top w:val="nil"/>
              <w:left w:val="nil"/>
              <w:bottom w:val="single" w:sz="4" w:space="0" w:color="0077BD"/>
              <w:right w:val="nil"/>
            </w:tcBorders>
            <w:shd w:val="clear" w:color="auto" w:fill="auto"/>
            <w:noWrap/>
            <w:vAlign w:val="center"/>
          </w:tcPr>
          <w:p w14:paraId="56914782" w14:textId="142A4D18" w:rsidR="002F29B2" w:rsidRPr="002F29B2" w:rsidRDefault="002F29B2" w:rsidP="002F29B2">
            <w:pPr>
              <w:jc w:val="right"/>
              <w:rPr>
                <w:rFonts w:cs="Calibri"/>
                <w:color w:val="000000" w:themeColor="text1"/>
                <w:sz w:val="11"/>
                <w:szCs w:val="11"/>
              </w:rPr>
            </w:pPr>
            <w:r w:rsidRPr="002F29B2">
              <w:rPr>
                <w:rFonts w:cs="Calibri"/>
                <w:sz w:val="11"/>
                <w:szCs w:val="11"/>
              </w:rPr>
              <w:t>(92 692)</w:t>
            </w:r>
          </w:p>
        </w:tc>
      </w:tr>
      <w:tr w:rsidR="002F29B2" w:rsidRPr="00BB7C9E" w14:paraId="6A322DCB" w14:textId="77777777" w:rsidTr="00D63A49">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2C82887"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innych zmniejszeń</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03C7AAD3" w14:textId="7E6E78A9"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1DF103CC" w14:textId="0482353A" w:rsidR="002F29B2" w:rsidRPr="002F29B2" w:rsidRDefault="002F29B2" w:rsidP="002F29B2">
            <w:pPr>
              <w:jc w:val="right"/>
              <w:rPr>
                <w:rFonts w:cs="Calibri"/>
                <w:color w:val="000000" w:themeColor="text1"/>
                <w:sz w:val="11"/>
                <w:szCs w:val="11"/>
              </w:rPr>
            </w:pPr>
            <w:r w:rsidRPr="002F29B2">
              <w:rPr>
                <w:rFonts w:cs="Calibri"/>
                <w:sz w:val="11"/>
                <w:szCs w:val="11"/>
              </w:rPr>
              <w:t>(384)</w:t>
            </w:r>
          </w:p>
        </w:tc>
        <w:tc>
          <w:tcPr>
            <w:tcW w:w="1077" w:type="dxa"/>
            <w:tcBorders>
              <w:top w:val="nil"/>
              <w:left w:val="nil"/>
              <w:bottom w:val="single" w:sz="8" w:space="0" w:color="0077BD"/>
              <w:right w:val="single" w:sz="8" w:space="0" w:color="0077BD"/>
            </w:tcBorders>
            <w:shd w:val="clear" w:color="auto" w:fill="auto"/>
            <w:noWrap/>
            <w:vAlign w:val="center"/>
          </w:tcPr>
          <w:p w14:paraId="422B63DA" w14:textId="53894FA3" w:rsidR="002F29B2" w:rsidRPr="002F29B2" w:rsidRDefault="002F29B2" w:rsidP="002F29B2">
            <w:pPr>
              <w:jc w:val="right"/>
              <w:rPr>
                <w:rFonts w:cs="Calibri"/>
                <w:color w:val="000000" w:themeColor="text1"/>
                <w:sz w:val="11"/>
                <w:szCs w:val="11"/>
              </w:rPr>
            </w:pPr>
            <w:r w:rsidRPr="002F29B2">
              <w:rPr>
                <w:rFonts w:cs="Calibri"/>
                <w:sz w:val="11"/>
                <w:szCs w:val="11"/>
              </w:rPr>
              <w:t>(61 836)</w:t>
            </w:r>
          </w:p>
        </w:tc>
        <w:tc>
          <w:tcPr>
            <w:tcW w:w="1077" w:type="dxa"/>
            <w:tcBorders>
              <w:top w:val="nil"/>
              <w:left w:val="nil"/>
              <w:bottom w:val="single" w:sz="8" w:space="0" w:color="0077BD"/>
              <w:right w:val="single" w:sz="8" w:space="0" w:color="0077BD"/>
            </w:tcBorders>
            <w:shd w:val="clear" w:color="auto" w:fill="auto"/>
            <w:noWrap/>
            <w:vAlign w:val="center"/>
          </w:tcPr>
          <w:p w14:paraId="15A28B9F" w14:textId="676DFAF2" w:rsidR="002F29B2" w:rsidRPr="002F29B2" w:rsidRDefault="002F29B2" w:rsidP="002F29B2">
            <w:pPr>
              <w:jc w:val="right"/>
              <w:rPr>
                <w:rFonts w:cs="Calibri"/>
                <w:color w:val="000000" w:themeColor="text1"/>
                <w:sz w:val="11"/>
                <w:szCs w:val="11"/>
              </w:rPr>
            </w:pPr>
            <w:r w:rsidRPr="002F29B2">
              <w:rPr>
                <w:rFonts w:cs="Calibri"/>
                <w:sz w:val="11"/>
                <w:szCs w:val="11"/>
              </w:rPr>
              <w:t>(24 287)</w:t>
            </w:r>
          </w:p>
        </w:tc>
        <w:tc>
          <w:tcPr>
            <w:tcW w:w="1077" w:type="dxa"/>
            <w:tcBorders>
              <w:top w:val="nil"/>
              <w:left w:val="nil"/>
              <w:bottom w:val="single" w:sz="8" w:space="0" w:color="0077BD"/>
              <w:right w:val="single" w:sz="8" w:space="0" w:color="0077BD"/>
            </w:tcBorders>
            <w:shd w:val="clear" w:color="auto" w:fill="auto"/>
            <w:noWrap/>
            <w:vAlign w:val="center"/>
          </w:tcPr>
          <w:p w14:paraId="17D31C0B" w14:textId="360370B7" w:rsidR="002F29B2" w:rsidRPr="002F29B2" w:rsidRDefault="002F29B2" w:rsidP="002F29B2">
            <w:pPr>
              <w:jc w:val="right"/>
              <w:rPr>
                <w:rFonts w:cs="Calibri"/>
                <w:color w:val="000000" w:themeColor="text1"/>
                <w:sz w:val="11"/>
                <w:szCs w:val="11"/>
              </w:rPr>
            </w:pPr>
            <w:r w:rsidRPr="002F29B2">
              <w:rPr>
                <w:rFonts w:cs="Calibri"/>
                <w:sz w:val="11"/>
                <w:szCs w:val="11"/>
              </w:rPr>
              <w:t>(34 696)</w:t>
            </w:r>
          </w:p>
        </w:tc>
        <w:tc>
          <w:tcPr>
            <w:tcW w:w="1077" w:type="dxa"/>
            <w:tcBorders>
              <w:top w:val="nil"/>
              <w:left w:val="nil"/>
              <w:bottom w:val="single" w:sz="8" w:space="0" w:color="0077BD"/>
              <w:right w:val="single" w:sz="8" w:space="0" w:color="0077BD"/>
            </w:tcBorders>
            <w:shd w:val="clear" w:color="auto" w:fill="auto"/>
            <w:noWrap/>
            <w:vAlign w:val="center"/>
          </w:tcPr>
          <w:p w14:paraId="18E79E33" w14:textId="71C1701E" w:rsidR="002F29B2" w:rsidRPr="002F29B2" w:rsidRDefault="002F29B2" w:rsidP="002F29B2">
            <w:pPr>
              <w:jc w:val="right"/>
              <w:rPr>
                <w:rFonts w:cs="Calibri"/>
                <w:color w:val="000000" w:themeColor="text1"/>
                <w:sz w:val="11"/>
                <w:szCs w:val="11"/>
              </w:rPr>
            </w:pPr>
            <w:r w:rsidRPr="002F29B2">
              <w:rPr>
                <w:rFonts w:cs="Calibri"/>
                <w:sz w:val="11"/>
                <w:szCs w:val="11"/>
              </w:rPr>
              <w:t>(32 677)</w:t>
            </w:r>
          </w:p>
        </w:tc>
        <w:tc>
          <w:tcPr>
            <w:tcW w:w="1077" w:type="dxa"/>
            <w:tcBorders>
              <w:top w:val="nil"/>
              <w:left w:val="nil"/>
              <w:bottom w:val="single" w:sz="8" w:space="0" w:color="0077BD"/>
              <w:right w:val="nil"/>
            </w:tcBorders>
            <w:shd w:val="clear" w:color="auto" w:fill="auto"/>
            <w:noWrap/>
            <w:vAlign w:val="center"/>
          </w:tcPr>
          <w:p w14:paraId="08ACD9F4" w14:textId="37DFC0C0" w:rsidR="002F29B2" w:rsidRPr="002F29B2" w:rsidRDefault="002F29B2" w:rsidP="002F29B2">
            <w:pPr>
              <w:jc w:val="right"/>
              <w:rPr>
                <w:rFonts w:cs="Calibri"/>
                <w:color w:val="000000" w:themeColor="text1"/>
                <w:sz w:val="11"/>
                <w:szCs w:val="11"/>
              </w:rPr>
            </w:pPr>
            <w:r w:rsidRPr="002F29B2">
              <w:rPr>
                <w:rFonts w:cs="Calibri"/>
                <w:sz w:val="11"/>
                <w:szCs w:val="11"/>
              </w:rPr>
              <w:t>(153 880)</w:t>
            </w:r>
          </w:p>
        </w:tc>
      </w:tr>
      <w:tr w:rsidR="002F29B2" w:rsidRPr="00BB7C9E" w14:paraId="0940DB8B" w14:textId="77777777" w:rsidTr="008A74B2">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2213C1E1" w14:textId="4392193C"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Wartość brutto rzeczowych aktywów trwałych na koniec okresu</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6B019540" w14:textId="7510A39F" w:rsidR="002F29B2" w:rsidRPr="002F29B2" w:rsidRDefault="002F29B2" w:rsidP="002F29B2">
            <w:pPr>
              <w:jc w:val="right"/>
              <w:rPr>
                <w:rFonts w:cs="Calibri"/>
                <w:b/>
                <w:bCs/>
                <w:color w:val="000000" w:themeColor="text1"/>
                <w:sz w:val="11"/>
                <w:szCs w:val="11"/>
              </w:rPr>
            </w:pPr>
            <w:r w:rsidRPr="002F29B2">
              <w:rPr>
                <w:rFonts w:cs="Calibri"/>
                <w:b/>
                <w:bCs/>
                <w:sz w:val="11"/>
                <w:szCs w:val="11"/>
              </w:rPr>
              <w:t>1 033</w:t>
            </w:r>
          </w:p>
        </w:tc>
        <w:tc>
          <w:tcPr>
            <w:tcW w:w="1077" w:type="dxa"/>
            <w:tcBorders>
              <w:top w:val="nil"/>
              <w:left w:val="nil"/>
              <w:bottom w:val="single" w:sz="8" w:space="0" w:color="0077BD"/>
              <w:right w:val="single" w:sz="8" w:space="0" w:color="0077BD"/>
            </w:tcBorders>
            <w:shd w:val="clear" w:color="auto" w:fill="auto"/>
            <w:noWrap/>
            <w:vAlign w:val="center"/>
          </w:tcPr>
          <w:p w14:paraId="36C7A127" w14:textId="3C8DEB73" w:rsidR="002F29B2" w:rsidRPr="002F29B2" w:rsidRDefault="002F29B2" w:rsidP="002F29B2">
            <w:pPr>
              <w:jc w:val="right"/>
              <w:rPr>
                <w:rFonts w:cs="Calibri"/>
                <w:b/>
                <w:bCs/>
                <w:color w:val="000000" w:themeColor="text1"/>
                <w:sz w:val="11"/>
                <w:szCs w:val="11"/>
              </w:rPr>
            </w:pPr>
            <w:r w:rsidRPr="002F29B2">
              <w:rPr>
                <w:rFonts w:cs="Calibri"/>
                <w:b/>
                <w:bCs/>
                <w:sz w:val="11"/>
                <w:szCs w:val="11"/>
              </w:rPr>
              <w:t>331 184</w:t>
            </w:r>
          </w:p>
        </w:tc>
        <w:tc>
          <w:tcPr>
            <w:tcW w:w="1077" w:type="dxa"/>
            <w:tcBorders>
              <w:top w:val="nil"/>
              <w:left w:val="nil"/>
              <w:bottom w:val="single" w:sz="8" w:space="0" w:color="0077BD"/>
              <w:right w:val="single" w:sz="8" w:space="0" w:color="0077BD"/>
            </w:tcBorders>
            <w:shd w:val="clear" w:color="auto" w:fill="auto"/>
            <w:noWrap/>
            <w:vAlign w:val="center"/>
          </w:tcPr>
          <w:p w14:paraId="237E1409" w14:textId="1108DB00" w:rsidR="002F29B2" w:rsidRPr="002F29B2" w:rsidRDefault="002F29B2" w:rsidP="002F29B2">
            <w:pPr>
              <w:jc w:val="right"/>
              <w:rPr>
                <w:rFonts w:cs="Calibri"/>
                <w:b/>
                <w:bCs/>
                <w:color w:val="000000" w:themeColor="text1"/>
                <w:sz w:val="11"/>
                <w:szCs w:val="11"/>
              </w:rPr>
            </w:pPr>
            <w:r w:rsidRPr="002F29B2">
              <w:rPr>
                <w:rFonts w:cs="Calibri"/>
                <w:b/>
                <w:bCs/>
                <w:sz w:val="11"/>
                <w:szCs w:val="11"/>
              </w:rPr>
              <w:t>642 963</w:t>
            </w:r>
          </w:p>
        </w:tc>
        <w:tc>
          <w:tcPr>
            <w:tcW w:w="1077" w:type="dxa"/>
            <w:tcBorders>
              <w:top w:val="nil"/>
              <w:left w:val="nil"/>
              <w:bottom w:val="single" w:sz="8" w:space="0" w:color="0077BD"/>
              <w:right w:val="single" w:sz="8" w:space="0" w:color="0077BD"/>
            </w:tcBorders>
            <w:shd w:val="clear" w:color="auto" w:fill="auto"/>
            <w:noWrap/>
            <w:vAlign w:val="center"/>
          </w:tcPr>
          <w:p w14:paraId="36D35FF5" w14:textId="1F24FD2D" w:rsidR="002F29B2" w:rsidRPr="002F29B2" w:rsidRDefault="002F29B2" w:rsidP="002F29B2">
            <w:pPr>
              <w:jc w:val="right"/>
              <w:rPr>
                <w:rFonts w:cs="Calibri"/>
                <w:b/>
                <w:bCs/>
                <w:color w:val="000000" w:themeColor="text1"/>
                <w:sz w:val="11"/>
                <w:szCs w:val="11"/>
              </w:rPr>
            </w:pPr>
            <w:r w:rsidRPr="002F29B2">
              <w:rPr>
                <w:rFonts w:cs="Calibri"/>
                <w:b/>
                <w:bCs/>
                <w:sz w:val="11"/>
                <w:szCs w:val="11"/>
              </w:rPr>
              <w:t>315 597</w:t>
            </w:r>
          </w:p>
        </w:tc>
        <w:tc>
          <w:tcPr>
            <w:tcW w:w="1077" w:type="dxa"/>
            <w:tcBorders>
              <w:top w:val="nil"/>
              <w:left w:val="nil"/>
              <w:bottom w:val="single" w:sz="8" w:space="0" w:color="0077BD"/>
              <w:right w:val="single" w:sz="8" w:space="0" w:color="0077BD"/>
            </w:tcBorders>
            <w:shd w:val="clear" w:color="auto" w:fill="auto"/>
            <w:noWrap/>
            <w:vAlign w:val="center"/>
          </w:tcPr>
          <w:p w14:paraId="661506CE" w14:textId="5D5F9996" w:rsidR="002F29B2" w:rsidRPr="002F29B2" w:rsidRDefault="002F29B2" w:rsidP="002F29B2">
            <w:pPr>
              <w:jc w:val="right"/>
              <w:rPr>
                <w:rFonts w:cs="Calibri"/>
                <w:b/>
                <w:bCs/>
                <w:color w:val="000000" w:themeColor="text1"/>
                <w:sz w:val="11"/>
                <w:szCs w:val="11"/>
              </w:rPr>
            </w:pPr>
            <w:r w:rsidRPr="002F29B2">
              <w:rPr>
                <w:rFonts w:cs="Calibri"/>
                <w:b/>
                <w:bCs/>
                <w:sz w:val="11"/>
                <w:szCs w:val="11"/>
              </w:rPr>
              <w:t>389 601</w:t>
            </w:r>
          </w:p>
        </w:tc>
        <w:tc>
          <w:tcPr>
            <w:tcW w:w="1077" w:type="dxa"/>
            <w:tcBorders>
              <w:top w:val="nil"/>
              <w:left w:val="nil"/>
              <w:bottom w:val="single" w:sz="8" w:space="0" w:color="0077BD"/>
              <w:right w:val="single" w:sz="8" w:space="0" w:color="0077BD"/>
            </w:tcBorders>
            <w:shd w:val="clear" w:color="auto" w:fill="auto"/>
            <w:noWrap/>
            <w:vAlign w:val="center"/>
          </w:tcPr>
          <w:p w14:paraId="4FB2EDA5" w14:textId="41488998" w:rsidR="002F29B2" w:rsidRPr="002F29B2" w:rsidRDefault="002F29B2" w:rsidP="002F29B2">
            <w:pPr>
              <w:jc w:val="right"/>
              <w:rPr>
                <w:rFonts w:cs="Calibri"/>
                <w:b/>
                <w:bCs/>
                <w:color w:val="000000" w:themeColor="text1"/>
                <w:sz w:val="11"/>
                <w:szCs w:val="11"/>
              </w:rPr>
            </w:pPr>
            <w:r w:rsidRPr="002F29B2">
              <w:rPr>
                <w:rFonts w:cs="Calibri"/>
                <w:b/>
                <w:bCs/>
                <w:sz w:val="11"/>
                <w:szCs w:val="11"/>
              </w:rPr>
              <w:t>75 416</w:t>
            </w:r>
          </w:p>
        </w:tc>
        <w:tc>
          <w:tcPr>
            <w:tcW w:w="1077" w:type="dxa"/>
            <w:tcBorders>
              <w:top w:val="nil"/>
              <w:left w:val="nil"/>
              <w:bottom w:val="single" w:sz="8" w:space="0" w:color="0077BD"/>
              <w:right w:val="nil"/>
            </w:tcBorders>
            <w:shd w:val="clear" w:color="auto" w:fill="auto"/>
            <w:noWrap/>
            <w:vAlign w:val="center"/>
          </w:tcPr>
          <w:p w14:paraId="1E53A07F" w14:textId="455E51E0" w:rsidR="002F29B2" w:rsidRPr="002F29B2" w:rsidRDefault="002F29B2" w:rsidP="002F29B2">
            <w:pPr>
              <w:jc w:val="right"/>
              <w:rPr>
                <w:rFonts w:cs="Calibri"/>
                <w:b/>
                <w:bCs/>
                <w:color w:val="000000" w:themeColor="text1"/>
                <w:sz w:val="11"/>
                <w:szCs w:val="11"/>
              </w:rPr>
            </w:pPr>
            <w:r w:rsidRPr="002F29B2">
              <w:rPr>
                <w:rFonts w:cs="Calibri"/>
                <w:b/>
                <w:bCs/>
                <w:sz w:val="11"/>
                <w:szCs w:val="11"/>
              </w:rPr>
              <w:t>1 755 794</w:t>
            </w:r>
          </w:p>
        </w:tc>
      </w:tr>
      <w:tr w:rsidR="002F29B2" w:rsidRPr="00BB7C9E" w14:paraId="74383EC4" w14:textId="77777777" w:rsidTr="008A74B2">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183307D7" w14:textId="07976F10"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Skumulowana amortyzacja (umorzenie) na początek okresu</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78C07A40" w14:textId="642D847D"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0B1EDD78" w14:textId="694A8F75" w:rsidR="002F29B2" w:rsidRPr="002F29B2" w:rsidRDefault="002F29B2" w:rsidP="002F29B2">
            <w:pPr>
              <w:jc w:val="right"/>
              <w:rPr>
                <w:rFonts w:cs="Calibri"/>
                <w:b/>
                <w:bCs/>
                <w:color w:val="000000" w:themeColor="text1"/>
                <w:sz w:val="11"/>
                <w:szCs w:val="11"/>
              </w:rPr>
            </w:pPr>
            <w:r w:rsidRPr="002F29B2">
              <w:rPr>
                <w:rFonts w:cs="Calibri"/>
                <w:b/>
                <w:bCs/>
                <w:sz w:val="11"/>
                <w:szCs w:val="11"/>
              </w:rPr>
              <w:t>(111 458)</w:t>
            </w:r>
          </w:p>
        </w:tc>
        <w:tc>
          <w:tcPr>
            <w:tcW w:w="1077" w:type="dxa"/>
            <w:tcBorders>
              <w:top w:val="nil"/>
              <w:left w:val="nil"/>
              <w:bottom w:val="single" w:sz="8" w:space="0" w:color="0077BD"/>
              <w:right w:val="single" w:sz="8" w:space="0" w:color="0077BD"/>
            </w:tcBorders>
            <w:shd w:val="clear" w:color="auto" w:fill="auto"/>
            <w:noWrap/>
            <w:vAlign w:val="center"/>
          </w:tcPr>
          <w:p w14:paraId="3A22ED95" w14:textId="60653BC9" w:rsidR="002F29B2" w:rsidRPr="002F29B2" w:rsidRDefault="002F29B2" w:rsidP="002F29B2">
            <w:pPr>
              <w:jc w:val="right"/>
              <w:rPr>
                <w:rFonts w:cs="Calibri"/>
                <w:b/>
                <w:bCs/>
                <w:color w:val="000000" w:themeColor="text1"/>
                <w:sz w:val="11"/>
                <w:szCs w:val="11"/>
              </w:rPr>
            </w:pPr>
            <w:r w:rsidRPr="002F29B2">
              <w:rPr>
                <w:rFonts w:cs="Calibri"/>
                <w:b/>
                <w:bCs/>
                <w:sz w:val="11"/>
                <w:szCs w:val="11"/>
              </w:rPr>
              <w:t>(580 237)</w:t>
            </w:r>
          </w:p>
        </w:tc>
        <w:tc>
          <w:tcPr>
            <w:tcW w:w="1077" w:type="dxa"/>
            <w:tcBorders>
              <w:top w:val="nil"/>
              <w:left w:val="nil"/>
              <w:bottom w:val="single" w:sz="8" w:space="0" w:color="0077BD"/>
              <w:right w:val="single" w:sz="8" w:space="0" w:color="0077BD"/>
            </w:tcBorders>
            <w:shd w:val="clear" w:color="auto" w:fill="auto"/>
            <w:noWrap/>
            <w:vAlign w:val="center"/>
          </w:tcPr>
          <w:p w14:paraId="69012E50" w14:textId="4D5920F0" w:rsidR="002F29B2" w:rsidRPr="002F29B2" w:rsidRDefault="002F29B2" w:rsidP="002F29B2">
            <w:pPr>
              <w:jc w:val="right"/>
              <w:rPr>
                <w:rFonts w:cs="Calibri"/>
                <w:b/>
                <w:bCs/>
                <w:color w:val="000000" w:themeColor="text1"/>
                <w:sz w:val="11"/>
                <w:szCs w:val="11"/>
              </w:rPr>
            </w:pPr>
            <w:r w:rsidRPr="002F29B2">
              <w:rPr>
                <w:rFonts w:cs="Calibri"/>
                <w:b/>
                <w:bCs/>
                <w:sz w:val="11"/>
                <w:szCs w:val="11"/>
              </w:rPr>
              <w:t>(114 529)</w:t>
            </w:r>
          </w:p>
        </w:tc>
        <w:tc>
          <w:tcPr>
            <w:tcW w:w="1077" w:type="dxa"/>
            <w:tcBorders>
              <w:top w:val="nil"/>
              <w:left w:val="nil"/>
              <w:bottom w:val="single" w:sz="8" w:space="0" w:color="0077BD"/>
              <w:right w:val="single" w:sz="8" w:space="0" w:color="0077BD"/>
            </w:tcBorders>
            <w:shd w:val="clear" w:color="auto" w:fill="auto"/>
            <w:noWrap/>
            <w:vAlign w:val="center"/>
          </w:tcPr>
          <w:p w14:paraId="6D5AB450" w14:textId="2075C1B8" w:rsidR="002F29B2" w:rsidRPr="002F29B2" w:rsidRDefault="002F29B2" w:rsidP="002F29B2">
            <w:pPr>
              <w:jc w:val="right"/>
              <w:rPr>
                <w:rFonts w:cs="Calibri"/>
                <w:b/>
                <w:bCs/>
                <w:color w:val="000000" w:themeColor="text1"/>
                <w:sz w:val="11"/>
                <w:szCs w:val="11"/>
              </w:rPr>
            </w:pPr>
            <w:r w:rsidRPr="002F29B2">
              <w:rPr>
                <w:rFonts w:cs="Calibri"/>
                <w:b/>
                <w:bCs/>
                <w:sz w:val="11"/>
                <w:szCs w:val="11"/>
              </w:rPr>
              <w:t>(300 102)</w:t>
            </w:r>
          </w:p>
        </w:tc>
        <w:tc>
          <w:tcPr>
            <w:tcW w:w="1077" w:type="dxa"/>
            <w:tcBorders>
              <w:top w:val="nil"/>
              <w:left w:val="nil"/>
              <w:bottom w:val="single" w:sz="8" w:space="0" w:color="0077BD"/>
              <w:right w:val="single" w:sz="8" w:space="0" w:color="0077BD"/>
            </w:tcBorders>
            <w:shd w:val="clear" w:color="auto" w:fill="auto"/>
            <w:noWrap/>
            <w:vAlign w:val="center"/>
          </w:tcPr>
          <w:p w14:paraId="4BC44790" w14:textId="61F86574"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nil"/>
            </w:tcBorders>
            <w:shd w:val="clear" w:color="auto" w:fill="auto"/>
            <w:noWrap/>
            <w:vAlign w:val="center"/>
          </w:tcPr>
          <w:p w14:paraId="43FA4BBC" w14:textId="1F0342C4" w:rsidR="002F29B2" w:rsidRPr="002F29B2" w:rsidRDefault="002F29B2" w:rsidP="002F29B2">
            <w:pPr>
              <w:jc w:val="right"/>
              <w:rPr>
                <w:rFonts w:cs="Calibri"/>
                <w:b/>
                <w:bCs/>
                <w:color w:val="000000" w:themeColor="text1"/>
                <w:sz w:val="11"/>
                <w:szCs w:val="11"/>
              </w:rPr>
            </w:pPr>
            <w:r w:rsidRPr="002F29B2">
              <w:rPr>
                <w:rFonts w:cs="Calibri"/>
                <w:b/>
                <w:bCs/>
                <w:sz w:val="11"/>
                <w:szCs w:val="11"/>
              </w:rPr>
              <w:t>(1 106 326)</w:t>
            </w:r>
          </w:p>
        </w:tc>
      </w:tr>
      <w:tr w:rsidR="008A74B2" w:rsidRPr="00BB7C9E" w14:paraId="577AA747" w14:textId="77777777" w:rsidTr="00D63A49">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2CCCCC62" w14:textId="282CC623" w:rsidR="008A74B2" w:rsidRPr="00BB7C9E" w:rsidRDefault="008A74B2" w:rsidP="008A74B2">
            <w:pPr>
              <w:rPr>
                <w:rFonts w:cs="Calibri"/>
                <w:b/>
                <w:bCs/>
                <w:color w:val="000000" w:themeColor="text1"/>
                <w:sz w:val="11"/>
                <w:szCs w:val="11"/>
              </w:rPr>
            </w:pPr>
            <w:r w:rsidRPr="00BB7C9E">
              <w:rPr>
                <w:rFonts w:cs="Calibri"/>
                <w:b/>
                <w:bCs/>
                <w:color w:val="000000" w:themeColor="text1"/>
                <w:sz w:val="11"/>
                <w:szCs w:val="11"/>
              </w:rPr>
              <w:t>Amortyzacja za okres z tytułu</w:t>
            </w:r>
            <w:r w:rsidR="000403AC">
              <w:rPr>
                <w:rFonts w:cs="Calibri"/>
                <w:b/>
                <w:bCs/>
                <w:color w:val="000000" w:themeColor="text1"/>
                <w:sz w:val="11"/>
                <w:szCs w:val="11"/>
              </w:rPr>
              <w:t>:</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47C983B9" w14:textId="7E1A1AFD"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18CF2BEC" w14:textId="4A8A59B7" w:rsidR="008A74B2" w:rsidRPr="008A74B2" w:rsidRDefault="008A74B2" w:rsidP="008A74B2">
            <w:pPr>
              <w:jc w:val="right"/>
              <w:rPr>
                <w:rFonts w:cs="Calibri"/>
                <w:b/>
                <w:bCs/>
                <w:color w:val="000000" w:themeColor="text1"/>
                <w:sz w:val="11"/>
                <w:szCs w:val="11"/>
              </w:rPr>
            </w:pPr>
            <w:r w:rsidRPr="008A74B2">
              <w:rPr>
                <w:rFonts w:cs="Calibri"/>
                <w:b/>
                <w:bCs/>
                <w:sz w:val="11"/>
                <w:szCs w:val="11"/>
              </w:rPr>
              <w:t>(6 932)</w:t>
            </w:r>
          </w:p>
        </w:tc>
        <w:tc>
          <w:tcPr>
            <w:tcW w:w="1077" w:type="dxa"/>
            <w:tcBorders>
              <w:top w:val="nil"/>
              <w:left w:val="nil"/>
              <w:bottom w:val="single" w:sz="8" w:space="0" w:color="0077BD"/>
              <w:right w:val="single" w:sz="8" w:space="0" w:color="0077BD"/>
            </w:tcBorders>
            <w:shd w:val="clear" w:color="auto" w:fill="auto"/>
            <w:noWrap/>
            <w:vAlign w:val="center"/>
          </w:tcPr>
          <w:p w14:paraId="5ED4BCCC" w14:textId="38A09A6C" w:rsidR="008A74B2" w:rsidRPr="008A74B2" w:rsidRDefault="008A74B2" w:rsidP="008A74B2">
            <w:pPr>
              <w:jc w:val="right"/>
              <w:rPr>
                <w:rFonts w:cs="Calibri"/>
                <w:b/>
                <w:bCs/>
                <w:color w:val="000000" w:themeColor="text1"/>
                <w:sz w:val="11"/>
                <w:szCs w:val="11"/>
              </w:rPr>
            </w:pPr>
            <w:r w:rsidRPr="008A74B2">
              <w:rPr>
                <w:rFonts w:cs="Calibri"/>
                <w:b/>
                <w:bCs/>
                <w:sz w:val="11"/>
                <w:szCs w:val="11"/>
              </w:rPr>
              <w:t>125 770</w:t>
            </w:r>
          </w:p>
        </w:tc>
        <w:tc>
          <w:tcPr>
            <w:tcW w:w="1077" w:type="dxa"/>
            <w:tcBorders>
              <w:top w:val="nil"/>
              <w:left w:val="nil"/>
              <w:bottom w:val="single" w:sz="8" w:space="0" w:color="0077BD"/>
              <w:right w:val="single" w:sz="8" w:space="0" w:color="0077BD"/>
            </w:tcBorders>
            <w:shd w:val="clear" w:color="auto" w:fill="auto"/>
            <w:noWrap/>
            <w:vAlign w:val="center"/>
          </w:tcPr>
          <w:p w14:paraId="225BC390" w14:textId="722A222B" w:rsidR="008A74B2" w:rsidRPr="008A74B2" w:rsidRDefault="008A74B2" w:rsidP="000A4611">
            <w:pPr>
              <w:jc w:val="right"/>
              <w:rPr>
                <w:rFonts w:cs="Calibri"/>
                <w:b/>
                <w:bCs/>
                <w:color w:val="000000" w:themeColor="text1"/>
                <w:sz w:val="11"/>
                <w:szCs w:val="11"/>
              </w:rPr>
            </w:pPr>
            <w:r w:rsidRPr="008A74B2">
              <w:rPr>
                <w:rFonts w:cs="Calibri"/>
                <w:b/>
                <w:bCs/>
                <w:sz w:val="11"/>
                <w:szCs w:val="11"/>
              </w:rPr>
              <w:t xml:space="preserve">37 </w:t>
            </w:r>
            <w:r w:rsidR="000A4611">
              <w:rPr>
                <w:rFonts w:cs="Calibri"/>
                <w:b/>
                <w:bCs/>
                <w:sz w:val="11"/>
                <w:szCs w:val="11"/>
              </w:rPr>
              <w:t>782</w:t>
            </w:r>
          </w:p>
        </w:tc>
        <w:tc>
          <w:tcPr>
            <w:tcW w:w="1077" w:type="dxa"/>
            <w:tcBorders>
              <w:top w:val="nil"/>
              <w:left w:val="nil"/>
              <w:bottom w:val="single" w:sz="8" w:space="0" w:color="0077BD"/>
              <w:right w:val="single" w:sz="8" w:space="0" w:color="0077BD"/>
            </w:tcBorders>
            <w:shd w:val="clear" w:color="auto" w:fill="auto"/>
            <w:noWrap/>
            <w:vAlign w:val="center"/>
          </w:tcPr>
          <w:p w14:paraId="356A42E8" w14:textId="2F7B1392" w:rsidR="008A74B2" w:rsidRPr="008A74B2" w:rsidRDefault="008A74B2" w:rsidP="008A74B2">
            <w:pPr>
              <w:jc w:val="right"/>
              <w:rPr>
                <w:rFonts w:cs="Calibri"/>
                <w:b/>
                <w:bCs/>
                <w:color w:val="000000" w:themeColor="text1"/>
                <w:sz w:val="11"/>
                <w:szCs w:val="11"/>
              </w:rPr>
            </w:pPr>
            <w:r w:rsidRPr="008A74B2">
              <w:rPr>
                <w:rFonts w:cs="Calibri"/>
                <w:b/>
                <w:bCs/>
                <w:sz w:val="11"/>
                <w:szCs w:val="11"/>
              </w:rPr>
              <w:t>17 232</w:t>
            </w:r>
          </w:p>
        </w:tc>
        <w:tc>
          <w:tcPr>
            <w:tcW w:w="1077" w:type="dxa"/>
            <w:tcBorders>
              <w:top w:val="nil"/>
              <w:left w:val="nil"/>
              <w:bottom w:val="single" w:sz="8" w:space="0" w:color="0077BD"/>
              <w:right w:val="single" w:sz="8" w:space="0" w:color="0077BD"/>
            </w:tcBorders>
            <w:shd w:val="clear" w:color="auto" w:fill="auto"/>
            <w:noWrap/>
            <w:vAlign w:val="center"/>
          </w:tcPr>
          <w:p w14:paraId="48957EB8" w14:textId="1FAA91C5"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nil"/>
            </w:tcBorders>
            <w:shd w:val="clear" w:color="auto" w:fill="auto"/>
            <w:noWrap/>
            <w:vAlign w:val="center"/>
          </w:tcPr>
          <w:p w14:paraId="2A2B3AC7" w14:textId="43A48283" w:rsidR="008A74B2" w:rsidRPr="008A74B2" w:rsidRDefault="008A74B2" w:rsidP="000A4611">
            <w:pPr>
              <w:jc w:val="right"/>
              <w:rPr>
                <w:rFonts w:cs="Calibri"/>
                <w:b/>
                <w:bCs/>
                <w:color w:val="000000" w:themeColor="text1"/>
                <w:sz w:val="11"/>
                <w:szCs w:val="11"/>
              </w:rPr>
            </w:pPr>
            <w:r w:rsidRPr="008A74B2">
              <w:rPr>
                <w:rFonts w:cs="Calibri"/>
                <w:b/>
                <w:bCs/>
                <w:sz w:val="11"/>
                <w:szCs w:val="11"/>
              </w:rPr>
              <w:t xml:space="preserve">173 </w:t>
            </w:r>
            <w:r w:rsidR="000A4611">
              <w:rPr>
                <w:rFonts w:cs="Calibri"/>
                <w:b/>
                <w:bCs/>
                <w:sz w:val="11"/>
                <w:szCs w:val="11"/>
              </w:rPr>
              <w:t>852</w:t>
            </w:r>
          </w:p>
        </w:tc>
      </w:tr>
      <w:tr w:rsidR="008A74B2" w:rsidRPr="00BB7C9E" w14:paraId="6408BE6D" w14:textId="77777777" w:rsidTr="00D039C4">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17703778" w14:textId="77777777" w:rsidR="008A74B2" w:rsidRPr="00BB7C9E" w:rsidRDefault="008A74B2" w:rsidP="008A74B2">
            <w:pPr>
              <w:rPr>
                <w:rFonts w:cs="Calibri"/>
                <w:color w:val="000000" w:themeColor="text1"/>
                <w:sz w:val="11"/>
                <w:szCs w:val="11"/>
              </w:rPr>
            </w:pPr>
            <w:r w:rsidRPr="00BB7C9E">
              <w:rPr>
                <w:rFonts w:cs="Calibri"/>
                <w:color w:val="000000" w:themeColor="text1"/>
                <w:sz w:val="11"/>
                <w:szCs w:val="11"/>
              </w:rPr>
              <w:t>- odpisów</w:t>
            </w:r>
          </w:p>
        </w:tc>
        <w:tc>
          <w:tcPr>
            <w:tcW w:w="1077" w:type="dxa"/>
            <w:tcBorders>
              <w:top w:val="nil"/>
              <w:left w:val="single" w:sz="8" w:space="0" w:color="0077BD"/>
              <w:bottom w:val="single" w:sz="4" w:space="0" w:color="0077BD"/>
              <w:right w:val="single" w:sz="8" w:space="0" w:color="0077BD"/>
            </w:tcBorders>
            <w:shd w:val="clear" w:color="auto" w:fill="auto"/>
            <w:noWrap/>
            <w:vAlign w:val="center"/>
          </w:tcPr>
          <w:p w14:paraId="470CC6EB" w14:textId="3B0CD50B"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5037F46B" w14:textId="7655D18C" w:rsidR="008A74B2" w:rsidRPr="008A74B2" w:rsidRDefault="008A74B2" w:rsidP="008A74B2">
            <w:pPr>
              <w:jc w:val="right"/>
              <w:rPr>
                <w:rFonts w:cs="Calibri"/>
                <w:color w:val="000000" w:themeColor="text1"/>
                <w:sz w:val="11"/>
                <w:szCs w:val="11"/>
              </w:rPr>
            </w:pPr>
            <w:r w:rsidRPr="008A74B2">
              <w:rPr>
                <w:rFonts w:cs="Calibri"/>
                <w:sz w:val="11"/>
                <w:szCs w:val="11"/>
              </w:rPr>
              <w:t>(7 973)</w:t>
            </w:r>
          </w:p>
        </w:tc>
        <w:tc>
          <w:tcPr>
            <w:tcW w:w="1077" w:type="dxa"/>
            <w:tcBorders>
              <w:top w:val="nil"/>
              <w:left w:val="nil"/>
              <w:bottom w:val="single" w:sz="4" w:space="0" w:color="0077BD"/>
              <w:right w:val="single" w:sz="8" w:space="0" w:color="0077BD"/>
            </w:tcBorders>
            <w:shd w:val="clear" w:color="auto" w:fill="auto"/>
            <w:noWrap/>
            <w:vAlign w:val="center"/>
          </w:tcPr>
          <w:p w14:paraId="0DA89EEA" w14:textId="5554DDCC" w:rsidR="008A74B2" w:rsidRPr="008A74B2" w:rsidRDefault="008A74B2" w:rsidP="008A74B2">
            <w:pPr>
              <w:jc w:val="right"/>
              <w:rPr>
                <w:rFonts w:cs="Calibri"/>
                <w:color w:val="000000" w:themeColor="text1"/>
                <w:sz w:val="11"/>
                <w:szCs w:val="11"/>
              </w:rPr>
            </w:pPr>
            <w:r w:rsidRPr="008A74B2">
              <w:rPr>
                <w:rFonts w:cs="Calibri"/>
                <w:sz w:val="11"/>
                <w:szCs w:val="11"/>
              </w:rPr>
              <w:t>(85 904)</w:t>
            </w:r>
          </w:p>
        </w:tc>
        <w:tc>
          <w:tcPr>
            <w:tcW w:w="1077" w:type="dxa"/>
            <w:tcBorders>
              <w:top w:val="nil"/>
              <w:left w:val="nil"/>
              <w:bottom w:val="single" w:sz="4" w:space="0" w:color="0077BD"/>
              <w:right w:val="single" w:sz="8" w:space="0" w:color="0077BD"/>
            </w:tcBorders>
            <w:shd w:val="clear" w:color="auto" w:fill="auto"/>
            <w:noWrap/>
            <w:vAlign w:val="center"/>
          </w:tcPr>
          <w:p w14:paraId="18E53C05" w14:textId="33CDB15A" w:rsidR="008A74B2" w:rsidRPr="008A74B2" w:rsidRDefault="008A74B2" w:rsidP="008A74B2">
            <w:pPr>
              <w:jc w:val="right"/>
              <w:rPr>
                <w:rFonts w:cs="Calibri"/>
                <w:color w:val="000000" w:themeColor="text1"/>
                <w:sz w:val="11"/>
                <w:szCs w:val="11"/>
              </w:rPr>
            </w:pPr>
            <w:r w:rsidRPr="008A74B2">
              <w:rPr>
                <w:rFonts w:cs="Calibri"/>
                <w:sz w:val="11"/>
                <w:szCs w:val="11"/>
              </w:rPr>
              <w:t>(43 951)</w:t>
            </w:r>
          </w:p>
        </w:tc>
        <w:tc>
          <w:tcPr>
            <w:tcW w:w="1077" w:type="dxa"/>
            <w:tcBorders>
              <w:top w:val="nil"/>
              <w:left w:val="nil"/>
              <w:bottom w:val="single" w:sz="4" w:space="0" w:color="0077BD"/>
              <w:right w:val="single" w:sz="8" w:space="0" w:color="0077BD"/>
            </w:tcBorders>
            <w:shd w:val="clear" w:color="auto" w:fill="auto"/>
            <w:noWrap/>
            <w:vAlign w:val="center"/>
          </w:tcPr>
          <w:p w14:paraId="2D3C4A75" w14:textId="7360918E" w:rsidR="008A74B2" w:rsidRPr="008A74B2" w:rsidRDefault="008A74B2" w:rsidP="0091703C">
            <w:pPr>
              <w:jc w:val="right"/>
              <w:rPr>
                <w:rFonts w:cs="Calibri"/>
                <w:color w:val="000000" w:themeColor="text1"/>
                <w:sz w:val="11"/>
                <w:szCs w:val="11"/>
              </w:rPr>
            </w:pPr>
            <w:r w:rsidRPr="008A74B2">
              <w:rPr>
                <w:rFonts w:cs="Calibri"/>
                <w:sz w:val="11"/>
                <w:szCs w:val="11"/>
              </w:rPr>
              <w:t>(29 11</w:t>
            </w:r>
            <w:r w:rsidR="0091703C">
              <w:rPr>
                <w:rFonts w:cs="Calibri"/>
                <w:sz w:val="11"/>
                <w:szCs w:val="11"/>
              </w:rPr>
              <w:t>7</w:t>
            </w:r>
            <w:r w:rsidRPr="008A74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7D013EA5" w14:textId="74082BEA"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4" w:space="0" w:color="0077BD"/>
              <w:right w:val="nil"/>
            </w:tcBorders>
            <w:shd w:val="clear" w:color="auto" w:fill="auto"/>
            <w:noWrap/>
            <w:vAlign w:val="center"/>
          </w:tcPr>
          <w:p w14:paraId="33CD3F78" w14:textId="788992AF" w:rsidR="008A74B2" w:rsidRPr="008A74B2" w:rsidRDefault="008A74B2" w:rsidP="008A74B2">
            <w:pPr>
              <w:jc w:val="right"/>
              <w:rPr>
                <w:rFonts w:cs="Calibri"/>
                <w:color w:val="000000" w:themeColor="text1"/>
                <w:sz w:val="11"/>
                <w:szCs w:val="11"/>
              </w:rPr>
            </w:pPr>
            <w:r w:rsidRPr="008A74B2">
              <w:rPr>
                <w:rFonts w:cs="Calibri"/>
                <w:sz w:val="11"/>
                <w:szCs w:val="11"/>
              </w:rPr>
              <w:t>(166 946)</w:t>
            </w:r>
          </w:p>
        </w:tc>
      </w:tr>
      <w:tr w:rsidR="002F29B2" w:rsidRPr="00BB7C9E" w14:paraId="7C434E67" w14:textId="77777777" w:rsidTr="00D039C4">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463C1DDB"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innych zwiększeń</w:t>
            </w:r>
          </w:p>
        </w:tc>
        <w:tc>
          <w:tcPr>
            <w:tcW w:w="1077"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0B5231C7" w14:textId="08AB0518"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6B4C6340" w14:textId="29A6FD29"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6C8884C9" w14:textId="02A8E8F9" w:rsidR="002F29B2" w:rsidRPr="002F29B2" w:rsidRDefault="002F29B2" w:rsidP="002F29B2">
            <w:pPr>
              <w:jc w:val="right"/>
              <w:rPr>
                <w:rFonts w:cs="Calibri"/>
                <w:color w:val="000000" w:themeColor="text1"/>
                <w:sz w:val="11"/>
                <w:szCs w:val="11"/>
              </w:rPr>
            </w:pPr>
            <w:r w:rsidRPr="002F29B2">
              <w:rPr>
                <w:rFonts w:cs="Calibri"/>
                <w:sz w:val="11"/>
                <w:szCs w:val="11"/>
              </w:rPr>
              <w:t>(126)</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4C5AFAA5" w14:textId="4AA2A246" w:rsidR="002F29B2" w:rsidRPr="002F29B2" w:rsidRDefault="002F29B2" w:rsidP="002F29B2">
            <w:pPr>
              <w:jc w:val="right"/>
              <w:rPr>
                <w:rFonts w:cs="Calibri"/>
                <w:color w:val="000000" w:themeColor="text1"/>
                <w:sz w:val="11"/>
                <w:szCs w:val="11"/>
              </w:rPr>
            </w:pPr>
            <w:r w:rsidRPr="002F29B2">
              <w:rPr>
                <w:rFonts w:cs="Calibri"/>
                <w:sz w:val="11"/>
                <w:szCs w:val="11"/>
              </w:rPr>
              <w:t>(78)</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594E6DDF" w14:textId="741D0658" w:rsidR="002F29B2" w:rsidRPr="002F29B2" w:rsidRDefault="002F29B2" w:rsidP="002F29B2">
            <w:pPr>
              <w:jc w:val="right"/>
              <w:rPr>
                <w:rFonts w:cs="Calibri"/>
                <w:color w:val="000000" w:themeColor="text1"/>
                <w:sz w:val="11"/>
                <w:szCs w:val="11"/>
              </w:rPr>
            </w:pPr>
            <w:r w:rsidRPr="002F29B2">
              <w:rPr>
                <w:rFonts w:cs="Calibri"/>
                <w:sz w:val="11"/>
                <w:szCs w:val="11"/>
              </w:rPr>
              <w:t>(6)</w:t>
            </w:r>
          </w:p>
        </w:tc>
        <w:tc>
          <w:tcPr>
            <w:tcW w:w="1077" w:type="dxa"/>
            <w:tcBorders>
              <w:top w:val="single" w:sz="4" w:space="0" w:color="0077BD"/>
              <w:left w:val="nil"/>
              <w:bottom w:val="single" w:sz="4" w:space="0" w:color="0077BD"/>
              <w:right w:val="single" w:sz="8" w:space="0" w:color="0077BD"/>
            </w:tcBorders>
            <w:shd w:val="clear" w:color="auto" w:fill="auto"/>
            <w:noWrap/>
            <w:vAlign w:val="center"/>
          </w:tcPr>
          <w:p w14:paraId="30D9ED5D" w14:textId="6A1C6213"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single" w:sz="4" w:space="0" w:color="0077BD"/>
              <w:left w:val="nil"/>
              <w:bottom w:val="single" w:sz="4" w:space="0" w:color="0077BD"/>
              <w:right w:val="nil"/>
            </w:tcBorders>
            <w:shd w:val="clear" w:color="auto" w:fill="auto"/>
            <w:noWrap/>
            <w:vAlign w:val="center"/>
          </w:tcPr>
          <w:p w14:paraId="3373CB19" w14:textId="2AFF57C0" w:rsidR="002F29B2" w:rsidRPr="002F29B2" w:rsidRDefault="002F29B2" w:rsidP="002F29B2">
            <w:pPr>
              <w:jc w:val="right"/>
              <w:rPr>
                <w:rFonts w:cs="Calibri"/>
                <w:color w:val="000000" w:themeColor="text1"/>
                <w:sz w:val="11"/>
                <w:szCs w:val="11"/>
              </w:rPr>
            </w:pPr>
            <w:r w:rsidRPr="002F29B2">
              <w:rPr>
                <w:rFonts w:cs="Calibri"/>
                <w:sz w:val="11"/>
                <w:szCs w:val="11"/>
              </w:rPr>
              <w:t>(210)</w:t>
            </w:r>
          </w:p>
        </w:tc>
      </w:tr>
      <w:tr w:rsidR="002F29B2" w:rsidRPr="00BB7C9E" w14:paraId="1C5D9F75" w14:textId="77777777" w:rsidTr="00D63A49">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3D23BAD5"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sprzedaży</w:t>
            </w:r>
          </w:p>
        </w:tc>
        <w:tc>
          <w:tcPr>
            <w:tcW w:w="1077" w:type="dxa"/>
            <w:tcBorders>
              <w:top w:val="nil"/>
              <w:left w:val="single" w:sz="8" w:space="0" w:color="0077BD"/>
              <w:bottom w:val="single" w:sz="4" w:space="0" w:color="0077BD"/>
              <w:right w:val="single" w:sz="8" w:space="0" w:color="0077BD"/>
            </w:tcBorders>
            <w:shd w:val="clear" w:color="auto" w:fill="auto"/>
            <w:noWrap/>
            <w:vAlign w:val="center"/>
          </w:tcPr>
          <w:p w14:paraId="1EC34922" w14:textId="5589E4EA"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44D96954" w14:textId="2CB267F1" w:rsidR="002F29B2" w:rsidRPr="002F29B2" w:rsidRDefault="002F29B2" w:rsidP="002F29B2">
            <w:pPr>
              <w:jc w:val="right"/>
              <w:rPr>
                <w:rFonts w:cs="Calibri"/>
                <w:color w:val="000000" w:themeColor="text1"/>
                <w:sz w:val="11"/>
                <w:szCs w:val="11"/>
              </w:rPr>
            </w:pPr>
            <w:r w:rsidRPr="002F29B2">
              <w:rPr>
                <w:rFonts w:cs="Calibri"/>
                <w:sz w:val="11"/>
                <w:szCs w:val="11"/>
              </w:rPr>
              <w:t>239</w:t>
            </w:r>
          </w:p>
        </w:tc>
        <w:tc>
          <w:tcPr>
            <w:tcW w:w="1077" w:type="dxa"/>
            <w:tcBorders>
              <w:top w:val="nil"/>
              <w:left w:val="nil"/>
              <w:bottom w:val="single" w:sz="4" w:space="0" w:color="0077BD"/>
              <w:right w:val="single" w:sz="8" w:space="0" w:color="0077BD"/>
            </w:tcBorders>
            <w:shd w:val="clear" w:color="auto" w:fill="auto"/>
            <w:noWrap/>
            <w:vAlign w:val="center"/>
          </w:tcPr>
          <w:p w14:paraId="63AA9C65" w14:textId="67264E14" w:rsidR="002F29B2" w:rsidRPr="002F29B2" w:rsidRDefault="002F29B2" w:rsidP="002F29B2">
            <w:pPr>
              <w:jc w:val="right"/>
              <w:rPr>
                <w:rFonts w:cs="Calibri"/>
                <w:color w:val="000000" w:themeColor="text1"/>
                <w:sz w:val="11"/>
                <w:szCs w:val="11"/>
              </w:rPr>
            </w:pPr>
            <w:r w:rsidRPr="002F29B2">
              <w:rPr>
                <w:rFonts w:cs="Calibri"/>
                <w:sz w:val="11"/>
                <w:szCs w:val="11"/>
              </w:rPr>
              <w:t>27 841</w:t>
            </w:r>
          </w:p>
        </w:tc>
        <w:tc>
          <w:tcPr>
            <w:tcW w:w="1077" w:type="dxa"/>
            <w:tcBorders>
              <w:top w:val="nil"/>
              <w:left w:val="nil"/>
              <w:bottom w:val="single" w:sz="4" w:space="0" w:color="0077BD"/>
              <w:right w:val="single" w:sz="8" w:space="0" w:color="0077BD"/>
            </w:tcBorders>
            <w:shd w:val="clear" w:color="auto" w:fill="auto"/>
            <w:noWrap/>
            <w:vAlign w:val="center"/>
          </w:tcPr>
          <w:p w14:paraId="233EC993" w14:textId="40E88E06" w:rsidR="002F29B2" w:rsidRPr="002F29B2" w:rsidRDefault="002F29B2" w:rsidP="002F29B2">
            <w:pPr>
              <w:jc w:val="right"/>
              <w:rPr>
                <w:rFonts w:cs="Calibri"/>
                <w:color w:val="000000" w:themeColor="text1"/>
                <w:sz w:val="11"/>
                <w:szCs w:val="11"/>
              </w:rPr>
            </w:pPr>
            <w:r w:rsidRPr="002F29B2">
              <w:rPr>
                <w:rFonts w:cs="Calibri"/>
                <w:sz w:val="11"/>
                <w:szCs w:val="11"/>
              </w:rPr>
              <w:t>64 086</w:t>
            </w:r>
          </w:p>
        </w:tc>
        <w:tc>
          <w:tcPr>
            <w:tcW w:w="1077" w:type="dxa"/>
            <w:tcBorders>
              <w:top w:val="nil"/>
              <w:left w:val="nil"/>
              <w:bottom w:val="single" w:sz="4" w:space="0" w:color="0077BD"/>
              <w:right w:val="single" w:sz="8" w:space="0" w:color="0077BD"/>
            </w:tcBorders>
            <w:shd w:val="clear" w:color="auto" w:fill="auto"/>
            <w:noWrap/>
            <w:vAlign w:val="center"/>
          </w:tcPr>
          <w:p w14:paraId="3AC7E20C" w14:textId="12AC32FC" w:rsidR="002F29B2" w:rsidRPr="002F29B2" w:rsidRDefault="002F29B2" w:rsidP="002F29B2">
            <w:pPr>
              <w:jc w:val="right"/>
              <w:rPr>
                <w:rFonts w:cs="Calibri"/>
                <w:color w:val="000000" w:themeColor="text1"/>
                <w:sz w:val="11"/>
                <w:szCs w:val="11"/>
              </w:rPr>
            </w:pPr>
            <w:r w:rsidRPr="002F29B2">
              <w:rPr>
                <w:rFonts w:cs="Calibri"/>
                <w:sz w:val="11"/>
                <w:szCs w:val="11"/>
              </w:rPr>
              <w:t>4 632</w:t>
            </w:r>
          </w:p>
        </w:tc>
        <w:tc>
          <w:tcPr>
            <w:tcW w:w="1077" w:type="dxa"/>
            <w:tcBorders>
              <w:top w:val="nil"/>
              <w:left w:val="nil"/>
              <w:bottom w:val="single" w:sz="4" w:space="0" w:color="0077BD"/>
              <w:right w:val="single" w:sz="8" w:space="0" w:color="0077BD"/>
            </w:tcBorders>
            <w:shd w:val="clear" w:color="auto" w:fill="auto"/>
            <w:noWrap/>
            <w:vAlign w:val="center"/>
          </w:tcPr>
          <w:p w14:paraId="2137B171" w14:textId="11865C3A"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nil"/>
            </w:tcBorders>
            <w:shd w:val="clear" w:color="auto" w:fill="auto"/>
            <w:noWrap/>
            <w:vAlign w:val="center"/>
          </w:tcPr>
          <w:p w14:paraId="709EEFAC" w14:textId="37D01508" w:rsidR="002F29B2" w:rsidRPr="002F29B2" w:rsidRDefault="002F29B2" w:rsidP="002F29B2">
            <w:pPr>
              <w:jc w:val="right"/>
              <w:rPr>
                <w:rFonts w:cs="Calibri"/>
                <w:color w:val="000000" w:themeColor="text1"/>
                <w:sz w:val="11"/>
                <w:szCs w:val="11"/>
              </w:rPr>
            </w:pPr>
            <w:r w:rsidRPr="002F29B2">
              <w:rPr>
                <w:rFonts w:cs="Calibri"/>
                <w:sz w:val="11"/>
                <w:szCs w:val="11"/>
              </w:rPr>
              <w:t>96 798</w:t>
            </w:r>
          </w:p>
        </w:tc>
      </w:tr>
      <w:tr w:rsidR="002F29B2" w:rsidRPr="00BB7C9E" w14:paraId="4512CAB3" w14:textId="77777777" w:rsidTr="00D63A49">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4EBB1CA7"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likwidacji</w:t>
            </w:r>
          </w:p>
        </w:tc>
        <w:tc>
          <w:tcPr>
            <w:tcW w:w="1077" w:type="dxa"/>
            <w:tcBorders>
              <w:top w:val="nil"/>
              <w:left w:val="single" w:sz="8" w:space="0" w:color="0077BD"/>
              <w:bottom w:val="single" w:sz="4" w:space="0" w:color="0077BD"/>
              <w:right w:val="single" w:sz="8" w:space="0" w:color="0077BD"/>
            </w:tcBorders>
            <w:shd w:val="clear" w:color="auto" w:fill="auto"/>
            <w:noWrap/>
            <w:vAlign w:val="center"/>
          </w:tcPr>
          <w:p w14:paraId="7B4701A4" w14:textId="2088DA19"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single" w:sz="8" w:space="0" w:color="0077BD"/>
            </w:tcBorders>
            <w:shd w:val="clear" w:color="auto" w:fill="auto"/>
            <w:noWrap/>
            <w:vAlign w:val="center"/>
          </w:tcPr>
          <w:p w14:paraId="6E16DBA6" w14:textId="1D32FF31" w:rsidR="002F29B2" w:rsidRPr="002F29B2" w:rsidRDefault="002F29B2" w:rsidP="002F29B2">
            <w:pPr>
              <w:jc w:val="right"/>
              <w:rPr>
                <w:rFonts w:cs="Calibri"/>
                <w:color w:val="000000" w:themeColor="text1"/>
                <w:sz w:val="11"/>
                <w:szCs w:val="11"/>
              </w:rPr>
            </w:pPr>
            <w:r w:rsidRPr="002F29B2">
              <w:rPr>
                <w:rFonts w:cs="Calibri"/>
                <w:sz w:val="11"/>
                <w:szCs w:val="11"/>
              </w:rPr>
              <w:t>778</w:t>
            </w:r>
          </w:p>
        </w:tc>
        <w:tc>
          <w:tcPr>
            <w:tcW w:w="1077" w:type="dxa"/>
            <w:tcBorders>
              <w:top w:val="nil"/>
              <w:left w:val="nil"/>
              <w:bottom w:val="single" w:sz="4" w:space="0" w:color="0077BD"/>
              <w:right w:val="single" w:sz="8" w:space="0" w:color="0077BD"/>
            </w:tcBorders>
            <w:shd w:val="clear" w:color="auto" w:fill="auto"/>
            <w:noWrap/>
            <w:vAlign w:val="center"/>
          </w:tcPr>
          <w:p w14:paraId="7DF55EDF" w14:textId="3F65AA6E" w:rsidR="002F29B2" w:rsidRPr="002F29B2" w:rsidRDefault="002F29B2" w:rsidP="002F29B2">
            <w:pPr>
              <w:jc w:val="right"/>
              <w:rPr>
                <w:rFonts w:cs="Calibri"/>
                <w:color w:val="000000" w:themeColor="text1"/>
                <w:sz w:val="11"/>
                <w:szCs w:val="11"/>
              </w:rPr>
            </w:pPr>
            <w:r w:rsidRPr="002F29B2">
              <w:rPr>
                <w:rFonts w:cs="Calibri"/>
                <w:sz w:val="11"/>
                <w:szCs w:val="11"/>
              </w:rPr>
              <w:t>122 307</w:t>
            </w:r>
          </w:p>
        </w:tc>
        <w:tc>
          <w:tcPr>
            <w:tcW w:w="1077" w:type="dxa"/>
            <w:tcBorders>
              <w:top w:val="nil"/>
              <w:left w:val="nil"/>
              <w:bottom w:val="single" w:sz="4" w:space="0" w:color="0077BD"/>
              <w:right w:val="single" w:sz="8" w:space="0" w:color="0077BD"/>
            </w:tcBorders>
            <w:shd w:val="clear" w:color="auto" w:fill="auto"/>
            <w:noWrap/>
            <w:vAlign w:val="center"/>
          </w:tcPr>
          <w:p w14:paraId="49457CAF" w14:textId="7B839C9B" w:rsidR="002F29B2" w:rsidRPr="002F29B2" w:rsidRDefault="002F29B2" w:rsidP="002F29B2">
            <w:pPr>
              <w:jc w:val="right"/>
              <w:rPr>
                <w:rFonts w:cs="Calibri"/>
                <w:color w:val="000000" w:themeColor="text1"/>
                <w:sz w:val="11"/>
                <w:szCs w:val="11"/>
              </w:rPr>
            </w:pPr>
            <w:r w:rsidRPr="002F29B2">
              <w:rPr>
                <w:rFonts w:cs="Calibri"/>
                <w:sz w:val="11"/>
                <w:szCs w:val="11"/>
              </w:rPr>
              <w:t>841</w:t>
            </w:r>
          </w:p>
        </w:tc>
        <w:tc>
          <w:tcPr>
            <w:tcW w:w="1077" w:type="dxa"/>
            <w:tcBorders>
              <w:top w:val="nil"/>
              <w:left w:val="nil"/>
              <w:bottom w:val="single" w:sz="4" w:space="0" w:color="0077BD"/>
              <w:right w:val="single" w:sz="8" w:space="0" w:color="0077BD"/>
            </w:tcBorders>
            <w:shd w:val="clear" w:color="auto" w:fill="auto"/>
            <w:noWrap/>
            <w:vAlign w:val="center"/>
          </w:tcPr>
          <w:p w14:paraId="09CD202B" w14:textId="5FD1880F" w:rsidR="002F29B2" w:rsidRPr="002F29B2" w:rsidRDefault="002F29B2" w:rsidP="002F29B2">
            <w:pPr>
              <w:jc w:val="right"/>
              <w:rPr>
                <w:rFonts w:cs="Calibri"/>
                <w:color w:val="000000" w:themeColor="text1"/>
                <w:sz w:val="11"/>
                <w:szCs w:val="11"/>
              </w:rPr>
            </w:pPr>
            <w:r w:rsidRPr="002F29B2">
              <w:rPr>
                <w:rFonts w:cs="Calibri"/>
                <w:sz w:val="11"/>
                <w:szCs w:val="11"/>
              </w:rPr>
              <w:t>9 937</w:t>
            </w:r>
          </w:p>
        </w:tc>
        <w:tc>
          <w:tcPr>
            <w:tcW w:w="1077" w:type="dxa"/>
            <w:tcBorders>
              <w:top w:val="nil"/>
              <w:left w:val="nil"/>
              <w:bottom w:val="single" w:sz="4" w:space="0" w:color="0077BD"/>
              <w:right w:val="single" w:sz="8" w:space="0" w:color="0077BD"/>
            </w:tcBorders>
            <w:shd w:val="clear" w:color="auto" w:fill="auto"/>
            <w:noWrap/>
            <w:vAlign w:val="center"/>
          </w:tcPr>
          <w:p w14:paraId="1D57B5E4" w14:textId="168E4A83"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4" w:space="0" w:color="0077BD"/>
              <w:right w:val="nil"/>
            </w:tcBorders>
            <w:shd w:val="clear" w:color="auto" w:fill="auto"/>
            <w:noWrap/>
            <w:vAlign w:val="center"/>
          </w:tcPr>
          <w:p w14:paraId="48E99C02" w14:textId="3BCECCF3" w:rsidR="002F29B2" w:rsidRPr="002F29B2" w:rsidRDefault="002F29B2" w:rsidP="002F29B2">
            <w:pPr>
              <w:jc w:val="right"/>
              <w:rPr>
                <w:rFonts w:cs="Calibri"/>
                <w:color w:val="000000" w:themeColor="text1"/>
                <w:sz w:val="11"/>
                <w:szCs w:val="11"/>
              </w:rPr>
            </w:pPr>
            <w:r w:rsidRPr="002F29B2">
              <w:rPr>
                <w:rFonts w:cs="Calibri"/>
                <w:sz w:val="11"/>
                <w:szCs w:val="11"/>
              </w:rPr>
              <w:t>133 863</w:t>
            </w:r>
          </w:p>
        </w:tc>
      </w:tr>
      <w:tr w:rsidR="002F29B2" w:rsidRPr="00BB7C9E" w14:paraId="22295F90" w14:textId="77777777" w:rsidTr="00D63A49">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CF703EC" w14:textId="77777777" w:rsidR="002F29B2" w:rsidRPr="00BB7C9E" w:rsidRDefault="002F29B2" w:rsidP="002F29B2">
            <w:pPr>
              <w:rPr>
                <w:rFonts w:cs="Calibri"/>
                <w:color w:val="000000" w:themeColor="text1"/>
                <w:sz w:val="11"/>
                <w:szCs w:val="11"/>
              </w:rPr>
            </w:pPr>
            <w:r w:rsidRPr="00BB7C9E">
              <w:rPr>
                <w:rFonts w:cs="Calibri"/>
                <w:color w:val="000000" w:themeColor="text1"/>
                <w:sz w:val="11"/>
                <w:szCs w:val="11"/>
              </w:rPr>
              <w:t>- innych zmniejszeń</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2B5E7F34" w14:textId="22AA2955"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6342BB24" w14:textId="28AF178B" w:rsidR="002F29B2" w:rsidRPr="002F29B2" w:rsidRDefault="002F29B2" w:rsidP="002F29B2">
            <w:pPr>
              <w:jc w:val="right"/>
              <w:rPr>
                <w:rFonts w:cs="Calibri"/>
                <w:color w:val="000000" w:themeColor="text1"/>
                <w:sz w:val="11"/>
                <w:szCs w:val="11"/>
              </w:rPr>
            </w:pPr>
            <w:r w:rsidRPr="002F29B2">
              <w:rPr>
                <w:rFonts w:cs="Calibri"/>
                <w:sz w:val="11"/>
                <w:szCs w:val="11"/>
              </w:rPr>
              <w:t>24</w:t>
            </w:r>
          </w:p>
        </w:tc>
        <w:tc>
          <w:tcPr>
            <w:tcW w:w="1077" w:type="dxa"/>
            <w:tcBorders>
              <w:top w:val="nil"/>
              <w:left w:val="nil"/>
              <w:bottom w:val="single" w:sz="8" w:space="0" w:color="0077BD"/>
              <w:right w:val="single" w:sz="8" w:space="0" w:color="0077BD"/>
            </w:tcBorders>
            <w:shd w:val="clear" w:color="auto" w:fill="auto"/>
            <w:noWrap/>
            <w:vAlign w:val="center"/>
          </w:tcPr>
          <w:p w14:paraId="12123856" w14:textId="51B29B8A" w:rsidR="002F29B2" w:rsidRPr="002F29B2" w:rsidRDefault="002F29B2" w:rsidP="002F29B2">
            <w:pPr>
              <w:jc w:val="right"/>
              <w:rPr>
                <w:rFonts w:cs="Calibri"/>
                <w:color w:val="000000" w:themeColor="text1"/>
                <w:sz w:val="11"/>
                <w:szCs w:val="11"/>
              </w:rPr>
            </w:pPr>
            <w:r w:rsidRPr="002F29B2">
              <w:rPr>
                <w:rFonts w:cs="Calibri"/>
                <w:sz w:val="11"/>
                <w:szCs w:val="11"/>
              </w:rPr>
              <w:t>61 652</w:t>
            </w:r>
          </w:p>
        </w:tc>
        <w:tc>
          <w:tcPr>
            <w:tcW w:w="1077" w:type="dxa"/>
            <w:tcBorders>
              <w:top w:val="nil"/>
              <w:left w:val="nil"/>
              <w:bottom w:val="single" w:sz="8" w:space="0" w:color="0077BD"/>
              <w:right w:val="single" w:sz="8" w:space="0" w:color="0077BD"/>
            </w:tcBorders>
            <w:shd w:val="clear" w:color="auto" w:fill="auto"/>
            <w:noWrap/>
            <w:vAlign w:val="center"/>
          </w:tcPr>
          <w:p w14:paraId="6007F011" w14:textId="169C2590" w:rsidR="002F29B2" w:rsidRPr="002F29B2" w:rsidRDefault="002F29B2" w:rsidP="002F29B2">
            <w:pPr>
              <w:jc w:val="right"/>
              <w:rPr>
                <w:rFonts w:cs="Calibri"/>
                <w:color w:val="000000" w:themeColor="text1"/>
                <w:sz w:val="11"/>
                <w:szCs w:val="11"/>
              </w:rPr>
            </w:pPr>
            <w:r w:rsidRPr="002F29B2">
              <w:rPr>
                <w:rFonts w:cs="Calibri"/>
                <w:sz w:val="11"/>
                <w:szCs w:val="11"/>
              </w:rPr>
              <w:t>16 884</w:t>
            </w:r>
          </w:p>
        </w:tc>
        <w:tc>
          <w:tcPr>
            <w:tcW w:w="1077" w:type="dxa"/>
            <w:tcBorders>
              <w:top w:val="nil"/>
              <w:left w:val="nil"/>
              <w:bottom w:val="single" w:sz="8" w:space="0" w:color="0077BD"/>
              <w:right w:val="single" w:sz="8" w:space="0" w:color="0077BD"/>
            </w:tcBorders>
            <w:shd w:val="clear" w:color="auto" w:fill="auto"/>
            <w:noWrap/>
            <w:vAlign w:val="center"/>
          </w:tcPr>
          <w:p w14:paraId="2B919830" w14:textId="6E35A5A3" w:rsidR="002F29B2" w:rsidRPr="002F29B2" w:rsidRDefault="002F29B2" w:rsidP="0091703C">
            <w:pPr>
              <w:jc w:val="right"/>
              <w:rPr>
                <w:rFonts w:cs="Calibri"/>
                <w:color w:val="000000" w:themeColor="text1"/>
                <w:sz w:val="11"/>
                <w:szCs w:val="11"/>
              </w:rPr>
            </w:pPr>
            <w:r w:rsidRPr="002F29B2">
              <w:rPr>
                <w:rFonts w:cs="Calibri"/>
                <w:sz w:val="11"/>
                <w:szCs w:val="11"/>
              </w:rPr>
              <w:t>31 78</w:t>
            </w:r>
            <w:r w:rsidR="0091703C">
              <w:rPr>
                <w:rFonts w:cs="Calibri"/>
                <w:sz w:val="11"/>
                <w:szCs w:val="11"/>
              </w:rPr>
              <w:t>6</w:t>
            </w:r>
          </w:p>
        </w:tc>
        <w:tc>
          <w:tcPr>
            <w:tcW w:w="1077" w:type="dxa"/>
            <w:tcBorders>
              <w:top w:val="nil"/>
              <w:left w:val="nil"/>
              <w:bottom w:val="single" w:sz="8" w:space="0" w:color="0077BD"/>
              <w:right w:val="single" w:sz="8" w:space="0" w:color="0077BD"/>
            </w:tcBorders>
            <w:shd w:val="clear" w:color="auto" w:fill="auto"/>
            <w:noWrap/>
            <w:vAlign w:val="center"/>
          </w:tcPr>
          <w:p w14:paraId="0B884561" w14:textId="7E1F9B31" w:rsidR="002F29B2" w:rsidRPr="002F29B2" w:rsidRDefault="002F29B2" w:rsidP="002F29B2">
            <w:pPr>
              <w:jc w:val="right"/>
              <w:rPr>
                <w:rFonts w:cs="Calibri"/>
                <w:color w:val="000000" w:themeColor="text1"/>
                <w:sz w:val="11"/>
                <w:szCs w:val="11"/>
              </w:rPr>
            </w:pPr>
            <w:r w:rsidRPr="002F29B2">
              <w:rPr>
                <w:rFonts w:cs="Calibri"/>
                <w:sz w:val="11"/>
                <w:szCs w:val="11"/>
              </w:rPr>
              <w:t>-</w:t>
            </w:r>
          </w:p>
        </w:tc>
        <w:tc>
          <w:tcPr>
            <w:tcW w:w="1077" w:type="dxa"/>
            <w:tcBorders>
              <w:top w:val="nil"/>
              <w:left w:val="nil"/>
              <w:bottom w:val="single" w:sz="8" w:space="0" w:color="0077BD"/>
              <w:right w:val="nil"/>
            </w:tcBorders>
            <w:shd w:val="clear" w:color="auto" w:fill="auto"/>
            <w:noWrap/>
            <w:vAlign w:val="center"/>
          </w:tcPr>
          <w:p w14:paraId="05DA48D9" w14:textId="7747E88A" w:rsidR="002F29B2" w:rsidRPr="002F29B2" w:rsidRDefault="002F29B2" w:rsidP="002F29B2">
            <w:pPr>
              <w:jc w:val="right"/>
              <w:rPr>
                <w:rFonts w:cs="Calibri"/>
                <w:color w:val="000000" w:themeColor="text1"/>
                <w:sz w:val="11"/>
                <w:szCs w:val="11"/>
              </w:rPr>
            </w:pPr>
            <w:r w:rsidRPr="002F29B2">
              <w:rPr>
                <w:rFonts w:cs="Calibri"/>
                <w:sz w:val="11"/>
                <w:szCs w:val="11"/>
              </w:rPr>
              <w:t>110 347</w:t>
            </w:r>
          </w:p>
        </w:tc>
      </w:tr>
      <w:tr w:rsidR="002F29B2" w:rsidRPr="00BB7C9E" w14:paraId="1BC754C8" w14:textId="77777777" w:rsidTr="00D63A49">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2843C9AB" w14:textId="702A235E"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 xml:space="preserve">Skumulowana amortyzacja (umorzenie) na koniec okresu </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4B9C5AFF" w14:textId="4A1287FE"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485BB31E" w14:textId="1D602A3B" w:rsidR="002F29B2" w:rsidRPr="002F29B2" w:rsidRDefault="002F29B2" w:rsidP="002F29B2">
            <w:pPr>
              <w:jc w:val="right"/>
              <w:rPr>
                <w:rFonts w:cs="Calibri"/>
                <w:b/>
                <w:bCs/>
                <w:color w:val="000000" w:themeColor="text1"/>
                <w:sz w:val="11"/>
                <w:szCs w:val="11"/>
              </w:rPr>
            </w:pPr>
            <w:r w:rsidRPr="002F29B2">
              <w:rPr>
                <w:rFonts w:cs="Calibri"/>
                <w:b/>
                <w:bCs/>
                <w:sz w:val="11"/>
                <w:szCs w:val="11"/>
              </w:rPr>
              <w:t>(118 390)</w:t>
            </w:r>
          </w:p>
        </w:tc>
        <w:tc>
          <w:tcPr>
            <w:tcW w:w="1077" w:type="dxa"/>
            <w:tcBorders>
              <w:top w:val="nil"/>
              <w:left w:val="nil"/>
              <w:bottom w:val="single" w:sz="8" w:space="0" w:color="0077BD"/>
              <w:right w:val="single" w:sz="8" w:space="0" w:color="0077BD"/>
            </w:tcBorders>
            <w:shd w:val="clear" w:color="auto" w:fill="auto"/>
            <w:noWrap/>
            <w:vAlign w:val="center"/>
          </w:tcPr>
          <w:p w14:paraId="00F34E82" w14:textId="0D6E90E0" w:rsidR="002F29B2" w:rsidRPr="002F29B2" w:rsidRDefault="002F29B2" w:rsidP="002F29B2">
            <w:pPr>
              <w:jc w:val="right"/>
              <w:rPr>
                <w:rFonts w:cs="Calibri"/>
                <w:b/>
                <w:bCs/>
                <w:color w:val="000000" w:themeColor="text1"/>
                <w:sz w:val="11"/>
                <w:szCs w:val="11"/>
              </w:rPr>
            </w:pPr>
            <w:r w:rsidRPr="002F29B2">
              <w:rPr>
                <w:rFonts w:cs="Calibri"/>
                <w:b/>
                <w:bCs/>
                <w:sz w:val="11"/>
                <w:szCs w:val="11"/>
              </w:rPr>
              <w:t>(454 467)</w:t>
            </w:r>
          </w:p>
        </w:tc>
        <w:tc>
          <w:tcPr>
            <w:tcW w:w="1077" w:type="dxa"/>
            <w:tcBorders>
              <w:top w:val="nil"/>
              <w:left w:val="nil"/>
              <w:bottom w:val="single" w:sz="8" w:space="0" w:color="0077BD"/>
              <w:right w:val="single" w:sz="8" w:space="0" w:color="0077BD"/>
            </w:tcBorders>
            <w:shd w:val="clear" w:color="auto" w:fill="auto"/>
            <w:noWrap/>
            <w:vAlign w:val="center"/>
          </w:tcPr>
          <w:p w14:paraId="11178515" w14:textId="767DD1FE" w:rsidR="002F29B2" w:rsidRPr="002F29B2" w:rsidRDefault="002F29B2" w:rsidP="002F29B2">
            <w:pPr>
              <w:jc w:val="right"/>
              <w:rPr>
                <w:rFonts w:cs="Calibri"/>
                <w:b/>
                <w:bCs/>
                <w:color w:val="000000" w:themeColor="text1"/>
                <w:sz w:val="11"/>
                <w:szCs w:val="11"/>
              </w:rPr>
            </w:pPr>
            <w:r w:rsidRPr="002F29B2">
              <w:rPr>
                <w:rFonts w:cs="Calibri"/>
                <w:b/>
                <w:bCs/>
                <w:sz w:val="11"/>
                <w:szCs w:val="11"/>
              </w:rPr>
              <w:t>(76 747)</w:t>
            </w:r>
          </w:p>
        </w:tc>
        <w:tc>
          <w:tcPr>
            <w:tcW w:w="1077" w:type="dxa"/>
            <w:tcBorders>
              <w:top w:val="nil"/>
              <w:left w:val="nil"/>
              <w:bottom w:val="single" w:sz="8" w:space="0" w:color="0077BD"/>
              <w:right w:val="single" w:sz="8" w:space="0" w:color="0077BD"/>
            </w:tcBorders>
            <w:shd w:val="clear" w:color="auto" w:fill="auto"/>
            <w:noWrap/>
            <w:vAlign w:val="center"/>
          </w:tcPr>
          <w:p w14:paraId="4E591E6B" w14:textId="6A087B2D" w:rsidR="002F29B2" w:rsidRPr="002F29B2" w:rsidRDefault="002F29B2" w:rsidP="002F29B2">
            <w:pPr>
              <w:jc w:val="right"/>
              <w:rPr>
                <w:rFonts w:cs="Calibri"/>
                <w:b/>
                <w:bCs/>
                <w:color w:val="000000" w:themeColor="text1"/>
                <w:sz w:val="11"/>
                <w:szCs w:val="11"/>
              </w:rPr>
            </w:pPr>
            <w:r w:rsidRPr="002F29B2">
              <w:rPr>
                <w:rFonts w:cs="Calibri"/>
                <w:b/>
                <w:bCs/>
                <w:sz w:val="11"/>
                <w:szCs w:val="11"/>
              </w:rPr>
              <w:t>(282 870)</w:t>
            </w:r>
          </w:p>
        </w:tc>
        <w:tc>
          <w:tcPr>
            <w:tcW w:w="1077" w:type="dxa"/>
            <w:tcBorders>
              <w:top w:val="nil"/>
              <w:left w:val="nil"/>
              <w:bottom w:val="single" w:sz="8" w:space="0" w:color="0077BD"/>
              <w:right w:val="single" w:sz="8" w:space="0" w:color="0077BD"/>
            </w:tcBorders>
            <w:shd w:val="clear" w:color="auto" w:fill="auto"/>
            <w:noWrap/>
            <w:vAlign w:val="center"/>
          </w:tcPr>
          <w:p w14:paraId="4BF0BF28" w14:textId="22A9E911"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nil"/>
            </w:tcBorders>
            <w:shd w:val="clear" w:color="auto" w:fill="auto"/>
            <w:noWrap/>
            <w:vAlign w:val="center"/>
          </w:tcPr>
          <w:p w14:paraId="6DE2403D" w14:textId="370E5772" w:rsidR="002F29B2" w:rsidRPr="002F29B2" w:rsidRDefault="002F29B2" w:rsidP="002F29B2">
            <w:pPr>
              <w:jc w:val="right"/>
              <w:rPr>
                <w:rFonts w:cs="Calibri"/>
                <w:b/>
                <w:bCs/>
                <w:color w:val="000000" w:themeColor="text1"/>
                <w:sz w:val="11"/>
                <w:szCs w:val="11"/>
              </w:rPr>
            </w:pPr>
            <w:r w:rsidRPr="002F29B2">
              <w:rPr>
                <w:rFonts w:cs="Calibri"/>
                <w:b/>
                <w:bCs/>
                <w:sz w:val="11"/>
                <w:szCs w:val="11"/>
              </w:rPr>
              <w:t>(932 474)</w:t>
            </w:r>
          </w:p>
        </w:tc>
      </w:tr>
      <w:tr w:rsidR="002F29B2" w:rsidRPr="00BB7C9E" w14:paraId="319E6B46" w14:textId="77777777" w:rsidTr="007E6B21">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490C306E" w14:textId="21C83652" w:rsidR="002F29B2" w:rsidRPr="00BB7C9E" w:rsidRDefault="002F29B2" w:rsidP="002F29B2">
            <w:pPr>
              <w:rPr>
                <w:rFonts w:cs="Calibri"/>
                <w:b/>
                <w:bCs/>
                <w:color w:val="000000" w:themeColor="text1"/>
                <w:sz w:val="11"/>
                <w:szCs w:val="11"/>
              </w:rPr>
            </w:pPr>
            <w:r w:rsidRPr="00BB7C9E">
              <w:rPr>
                <w:rFonts w:cs="Calibri"/>
                <w:b/>
                <w:bCs/>
                <w:color w:val="000000" w:themeColor="text1"/>
                <w:sz w:val="11"/>
                <w:szCs w:val="11"/>
              </w:rPr>
              <w:t>Odpisy z tytułu utraty wartośc</w:t>
            </w:r>
            <w:r w:rsidR="007E6B21">
              <w:rPr>
                <w:rFonts w:cs="Calibri"/>
                <w:b/>
                <w:bCs/>
                <w:color w:val="000000" w:themeColor="text1"/>
                <w:sz w:val="11"/>
                <w:szCs w:val="11"/>
              </w:rPr>
              <w:t>i na początek okresu</w:t>
            </w:r>
            <w:r w:rsidRPr="00BB7C9E">
              <w:rPr>
                <w:rFonts w:cs="Calibri"/>
                <w:b/>
                <w:bCs/>
                <w:color w:val="000000" w:themeColor="text1"/>
                <w:sz w:val="11"/>
                <w:szCs w:val="11"/>
              </w:rPr>
              <w:t>.</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73AAD981" w14:textId="203E2DAB"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7C671921" w14:textId="734F7C8B" w:rsidR="002F29B2" w:rsidRPr="002F29B2" w:rsidRDefault="002F29B2" w:rsidP="002F29B2">
            <w:pPr>
              <w:jc w:val="right"/>
              <w:rPr>
                <w:rFonts w:cs="Calibri"/>
                <w:b/>
                <w:bCs/>
                <w:color w:val="000000" w:themeColor="text1"/>
                <w:sz w:val="11"/>
                <w:szCs w:val="11"/>
              </w:rPr>
            </w:pPr>
            <w:r w:rsidRPr="002F29B2">
              <w:rPr>
                <w:rFonts w:cs="Calibri"/>
                <w:b/>
                <w:bCs/>
                <w:sz w:val="11"/>
                <w:szCs w:val="11"/>
              </w:rPr>
              <w:t>(49 270)</w:t>
            </w:r>
          </w:p>
        </w:tc>
        <w:tc>
          <w:tcPr>
            <w:tcW w:w="1077" w:type="dxa"/>
            <w:tcBorders>
              <w:top w:val="nil"/>
              <w:left w:val="nil"/>
              <w:bottom w:val="single" w:sz="8" w:space="0" w:color="0077BD"/>
              <w:right w:val="single" w:sz="8" w:space="0" w:color="0077BD"/>
            </w:tcBorders>
            <w:shd w:val="clear" w:color="auto" w:fill="auto"/>
            <w:noWrap/>
            <w:vAlign w:val="center"/>
          </w:tcPr>
          <w:p w14:paraId="1A3BFD27" w14:textId="383A00A3" w:rsidR="002F29B2" w:rsidRPr="002F29B2" w:rsidRDefault="002F29B2" w:rsidP="002F29B2">
            <w:pPr>
              <w:jc w:val="right"/>
              <w:rPr>
                <w:rFonts w:cs="Calibri"/>
                <w:b/>
                <w:bCs/>
                <w:color w:val="000000" w:themeColor="text1"/>
                <w:sz w:val="11"/>
                <w:szCs w:val="11"/>
              </w:rPr>
            </w:pPr>
            <w:r w:rsidRPr="002F29B2">
              <w:rPr>
                <w:rFonts w:cs="Calibri"/>
                <w:b/>
                <w:bCs/>
                <w:sz w:val="11"/>
                <w:szCs w:val="11"/>
              </w:rPr>
              <w:t>(8 200)</w:t>
            </w:r>
          </w:p>
        </w:tc>
        <w:tc>
          <w:tcPr>
            <w:tcW w:w="1077" w:type="dxa"/>
            <w:tcBorders>
              <w:top w:val="nil"/>
              <w:left w:val="nil"/>
              <w:bottom w:val="single" w:sz="8" w:space="0" w:color="0077BD"/>
              <w:right w:val="single" w:sz="8" w:space="0" w:color="0077BD"/>
            </w:tcBorders>
            <w:shd w:val="clear" w:color="auto" w:fill="auto"/>
            <w:noWrap/>
            <w:vAlign w:val="center"/>
          </w:tcPr>
          <w:p w14:paraId="0A6B85E1" w14:textId="7623E779"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59FBD1DE" w14:textId="2F77A319"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2CAF1647" w14:textId="178136C9" w:rsidR="002F29B2" w:rsidRPr="002F29B2" w:rsidRDefault="002F29B2" w:rsidP="002F29B2">
            <w:pPr>
              <w:jc w:val="right"/>
              <w:rPr>
                <w:rFonts w:cs="Calibri"/>
                <w:b/>
                <w:bCs/>
                <w:color w:val="000000" w:themeColor="text1"/>
                <w:sz w:val="11"/>
                <w:szCs w:val="11"/>
              </w:rPr>
            </w:pPr>
            <w:r w:rsidRPr="002F29B2">
              <w:rPr>
                <w:rFonts w:cs="Calibri"/>
                <w:b/>
                <w:bCs/>
                <w:sz w:val="11"/>
                <w:szCs w:val="11"/>
              </w:rPr>
              <w:t>-</w:t>
            </w:r>
          </w:p>
        </w:tc>
        <w:tc>
          <w:tcPr>
            <w:tcW w:w="1077" w:type="dxa"/>
            <w:tcBorders>
              <w:top w:val="nil"/>
              <w:left w:val="nil"/>
              <w:bottom w:val="single" w:sz="8" w:space="0" w:color="0077BD"/>
              <w:right w:val="nil"/>
            </w:tcBorders>
            <w:shd w:val="clear" w:color="auto" w:fill="auto"/>
            <w:noWrap/>
            <w:vAlign w:val="center"/>
          </w:tcPr>
          <w:p w14:paraId="53F67975" w14:textId="7B02C916" w:rsidR="002F29B2" w:rsidRPr="002F29B2" w:rsidRDefault="002F29B2" w:rsidP="002F29B2">
            <w:pPr>
              <w:jc w:val="right"/>
              <w:rPr>
                <w:rFonts w:cs="Calibri"/>
                <w:b/>
                <w:bCs/>
                <w:color w:val="000000" w:themeColor="text1"/>
                <w:sz w:val="11"/>
                <w:szCs w:val="11"/>
              </w:rPr>
            </w:pPr>
            <w:r w:rsidRPr="002F29B2">
              <w:rPr>
                <w:rFonts w:cs="Calibri"/>
                <w:b/>
                <w:bCs/>
                <w:sz w:val="11"/>
                <w:szCs w:val="11"/>
              </w:rPr>
              <w:t>(57 470)</w:t>
            </w:r>
          </w:p>
        </w:tc>
      </w:tr>
      <w:tr w:rsidR="008A74B2" w:rsidRPr="00BB7C9E" w14:paraId="273B1891" w14:textId="77777777" w:rsidTr="00D63A49">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03182191" w14:textId="77777777" w:rsidR="008A74B2" w:rsidRPr="00BB7C9E" w:rsidRDefault="008A74B2" w:rsidP="008A74B2">
            <w:pPr>
              <w:rPr>
                <w:rFonts w:cs="Calibri"/>
                <w:color w:val="000000" w:themeColor="text1"/>
                <w:sz w:val="11"/>
                <w:szCs w:val="11"/>
              </w:rPr>
            </w:pPr>
            <w:r w:rsidRPr="00BB7C9E">
              <w:rPr>
                <w:rFonts w:cs="Calibri"/>
                <w:color w:val="000000" w:themeColor="text1"/>
                <w:sz w:val="11"/>
                <w:szCs w:val="11"/>
              </w:rPr>
              <w:t>- zmniejszenie</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4FCC7976" w14:textId="0E9D92A2"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725C9023" w14:textId="4E0F17CF"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6412919D" w14:textId="34113A90" w:rsidR="008A74B2" w:rsidRPr="008A74B2" w:rsidRDefault="008A74B2" w:rsidP="008A74B2">
            <w:pPr>
              <w:jc w:val="right"/>
              <w:rPr>
                <w:rFonts w:cs="Calibri"/>
                <w:color w:val="000000" w:themeColor="text1"/>
                <w:sz w:val="11"/>
                <w:szCs w:val="11"/>
              </w:rPr>
            </w:pPr>
            <w:r w:rsidRPr="008A74B2">
              <w:rPr>
                <w:rFonts w:cs="Calibri"/>
                <w:sz w:val="11"/>
                <w:szCs w:val="11"/>
              </w:rPr>
              <w:t>8 200</w:t>
            </w:r>
          </w:p>
        </w:tc>
        <w:tc>
          <w:tcPr>
            <w:tcW w:w="1077" w:type="dxa"/>
            <w:tcBorders>
              <w:top w:val="nil"/>
              <w:left w:val="nil"/>
              <w:bottom w:val="single" w:sz="8" w:space="0" w:color="0077BD"/>
              <w:right w:val="single" w:sz="8" w:space="0" w:color="0077BD"/>
            </w:tcBorders>
            <w:shd w:val="clear" w:color="auto" w:fill="auto"/>
            <w:noWrap/>
            <w:vAlign w:val="center"/>
          </w:tcPr>
          <w:p w14:paraId="37691A77" w14:textId="14008267"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56290652" w14:textId="729765F5"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7EE44F60" w14:textId="352F5F37" w:rsidR="008A74B2" w:rsidRPr="008A74B2" w:rsidRDefault="008A74B2" w:rsidP="008A74B2">
            <w:pPr>
              <w:jc w:val="right"/>
              <w:rPr>
                <w:rFonts w:cs="Calibri"/>
                <w:color w:val="000000" w:themeColor="text1"/>
                <w:sz w:val="11"/>
                <w:szCs w:val="11"/>
              </w:rPr>
            </w:pPr>
            <w:r w:rsidRPr="008A74B2">
              <w:rPr>
                <w:rFonts w:cs="Calibri"/>
                <w:sz w:val="11"/>
                <w:szCs w:val="11"/>
              </w:rPr>
              <w:t>-</w:t>
            </w:r>
          </w:p>
        </w:tc>
        <w:tc>
          <w:tcPr>
            <w:tcW w:w="1077" w:type="dxa"/>
            <w:tcBorders>
              <w:top w:val="nil"/>
              <w:left w:val="nil"/>
              <w:bottom w:val="single" w:sz="8" w:space="0" w:color="0077BD"/>
              <w:right w:val="nil"/>
            </w:tcBorders>
            <w:shd w:val="clear" w:color="auto" w:fill="auto"/>
            <w:noWrap/>
            <w:vAlign w:val="center"/>
          </w:tcPr>
          <w:p w14:paraId="17C6230B" w14:textId="75649A84" w:rsidR="008A74B2" w:rsidRPr="008A74B2" w:rsidRDefault="008A74B2" w:rsidP="008A74B2">
            <w:pPr>
              <w:jc w:val="right"/>
              <w:rPr>
                <w:rFonts w:cs="Calibri"/>
                <w:color w:val="000000" w:themeColor="text1"/>
                <w:sz w:val="11"/>
                <w:szCs w:val="11"/>
              </w:rPr>
            </w:pPr>
            <w:r w:rsidRPr="008A74B2">
              <w:rPr>
                <w:rFonts w:cs="Calibri"/>
                <w:sz w:val="11"/>
                <w:szCs w:val="11"/>
              </w:rPr>
              <w:t>8 200</w:t>
            </w:r>
          </w:p>
        </w:tc>
      </w:tr>
      <w:tr w:rsidR="008A74B2" w:rsidRPr="00BB7C9E" w14:paraId="096A7B1B" w14:textId="77777777" w:rsidTr="00D63A49">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212A35AA" w14:textId="5D847D0D" w:rsidR="008A74B2" w:rsidRPr="00BB7C9E" w:rsidRDefault="008A74B2" w:rsidP="008A74B2">
            <w:pPr>
              <w:rPr>
                <w:rFonts w:cs="Calibri"/>
                <w:b/>
                <w:bCs/>
                <w:color w:val="000000" w:themeColor="text1"/>
                <w:sz w:val="11"/>
                <w:szCs w:val="11"/>
              </w:rPr>
            </w:pPr>
            <w:r w:rsidRPr="00BB7C9E">
              <w:rPr>
                <w:rFonts w:cs="Calibri"/>
                <w:b/>
                <w:bCs/>
                <w:color w:val="000000" w:themeColor="text1"/>
                <w:sz w:val="11"/>
                <w:szCs w:val="11"/>
              </w:rPr>
              <w:t>Odpisy z tytułu utraty wartości na koniec okresu</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6B597D11" w14:textId="2F88BC7B"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631FEBDC" w14:textId="2BB37E58" w:rsidR="008A74B2" w:rsidRPr="008A74B2" w:rsidRDefault="008A74B2" w:rsidP="008A74B2">
            <w:pPr>
              <w:jc w:val="right"/>
              <w:rPr>
                <w:rFonts w:cs="Calibri"/>
                <w:b/>
                <w:bCs/>
                <w:color w:val="000000" w:themeColor="text1"/>
                <w:sz w:val="11"/>
                <w:szCs w:val="11"/>
              </w:rPr>
            </w:pPr>
            <w:r w:rsidRPr="008A74B2">
              <w:rPr>
                <w:rFonts w:cs="Calibri"/>
                <w:b/>
                <w:bCs/>
                <w:sz w:val="11"/>
                <w:szCs w:val="11"/>
              </w:rPr>
              <w:t>(49 270)</w:t>
            </w:r>
          </w:p>
        </w:tc>
        <w:tc>
          <w:tcPr>
            <w:tcW w:w="1077" w:type="dxa"/>
            <w:tcBorders>
              <w:top w:val="nil"/>
              <w:left w:val="nil"/>
              <w:bottom w:val="single" w:sz="8" w:space="0" w:color="0077BD"/>
              <w:right w:val="single" w:sz="8" w:space="0" w:color="0077BD"/>
            </w:tcBorders>
            <w:shd w:val="clear" w:color="auto" w:fill="auto"/>
            <w:noWrap/>
            <w:vAlign w:val="center"/>
          </w:tcPr>
          <w:p w14:paraId="5AA84C55" w14:textId="2002D0A2"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05854AEC" w14:textId="270AA873"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659804BE" w14:textId="5EED1632"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single" w:sz="8" w:space="0" w:color="0077BD"/>
            </w:tcBorders>
            <w:shd w:val="clear" w:color="auto" w:fill="auto"/>
            <w:noWrap/>
            <w:vAlign w:val="center"/>
          </w:tcPr>
          <w:p w14:paraId="13FAD208" w14:textId="487974E0" w:rsidR="008A74B2" w:rsidRPr="008A74B2" w:rsidRDefault="008A74B2" w:rsidP="008A74B2">
            <w:pPr>
              <w:jc w:val="right"/>
              <w:rPr>
                <w:rFonts w:cs="Calibri"/>
                <w:b/>
                <w:bCs/>
                <w:color w:val="000000" w:themeColor="text1"/>
                <w:sz w:val="11"/>
                <w:szCs w:val="11"/>
              </w:rPr>
            </w:pPr>
            <w:r w:rsidRPr="008A74B2">
              <w:rPr>
                <w:rFonts w:cs="Calibri"/>
                <w:b/>
                <w:bCs/>
                <w:sz w:val="11"/>
                <w:szCs w:val="11"/>
              </w:rPr>
              <w:t>-</w:t>
            </w:r>
          </w:p>
        </w:tc>
        <w:tc>
          <w:tcPr>
            <w:tcW w:w="1077" w:type="dxa"/>
            <w:tcBorders>
              <w:top w:val="nil"/>
              <w:left w:val="nil"/>
              <w:bottom w:val="single" w:sz="8" w:space="0" w:color="0077BD"/>
              <w:right w:val="nil"/>
            </w:tcBorders>
            <w:shd w:val="clear" w:color="auto" w:fill="auto"/>
            <w:noWrap/>
            <w:vAlign w:val="center"/>
          </w:tcPr>
          <w:p w14:paraId="18582AB1" w14:textId="768580C0" w:rsidR="008A74B2" w:rsidRPr="008A74B2" w:rsidRDefault="008A74B2" w:rsidP="008A74B2">
            <w:pPr>
              <w:jc w:val="right"/>
              <w:rPr>
                <w:rFonts w:cs="Calibri"/>
                <w:b/>
                <w:bCs/>
                <w:color w:val="000000" w:themeColor="text1"/>
                <w:sz w:val="11"/>
                <w:szCs w:val="11"/>
              </w:rPr>
            </w:pPr>
            <w:r w:rsidRPr="008A74B2">
              <w:rPr>
                <w:rFonts w:cs="Calibri"/>
                <w:b/>
                <w:bCs/>
                <w:sz w:val="11"/>
                <w:szCs w:val="11"/>
              </w:rPr>
              <w:t>(49 270)</w:t>
            </w:r>
          </w:p>
        </w:tc>
      </w:tr>
      <w:tr w:rsidR="008A74B2" w:rsidRPr="00BB7C9E" w14:paraId="443BBB95" w14:textId="77777777" w:rsidTr="00D63A49">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55017421" w14:textId="21D32938" w:rsidR="008A74B2" w:rsidRPr="00BB7C9E" w:rsidRDefault="008A74B2" w:rsidP="008A74B2">
            <w:pPr>
              <w:rPr>
                <w:rFonts w:cs="Calibri"/>
                <w:b/>
                <w:bCs/>
                <w:color w:val="000000" w:themeColor="text1"/>
                <w:sz w:val="11"/>
                <w:szCs w:val="11"/>
              </w:rPr>
            </w:pPr>
            <w:r w:rsidRPr="00BB7C9E">
              <w:rPr>
                <w:rFonts w:cs="Calibri"/>
                <w:b/>
                <w:bCs/>
                <w:color w:val="000000" w:themeColor="text1"/>
                <w:sz w:val="11"/>
                <w:szCs w:val="11"/>
              </w:rPr>
              <w:t>Wartość netto rzeczowych aktywów trwałych na koniec okresu</w:t>
            </w:r>
          </w:p>
        </w:tc>
        <w:tc>
          <w:tcPr>
            <w:tcW w:w="1077" w:type="dxa"/>
            <w:tcBorders>
              <w:top w:val="nil"/>
              <w:left w:val="single" w:sz="8" w:space="0" w:color="0077BD"/>
              <w:bottom w:val="single" w:sz="8" w:space="0" w:color="0077BD"/>
              <w:right w:val="single" w:sz="8" w:space="0" w:color="0077BD"/>
            </w:tcBorders>
            <w:shd w:val="clear" w:color="auto" w:fill="auto"/>
            <w:noWrap/>
            <w:vAlign w:val="center"/>
          </w:tcPr>
          <w:p w14:paraId="33D0EE1B" w14:textId="7AA93B9C" w:rsidR="008A74B2" w:rsidRPr="008A74B2" w:rsidRDefault="008A74B2" w:rsidP="008A74B2">
            <w:pPr>
              <w:jc w:val="right"/>
              <w:rPr>
                <w:rFonts w:cs="Calibri"/>
                <w:b/>
                <w:bCs/>
                <w:color w:val="000000" w:themeColor="text1"/>
                <w:sz w:val="11"/>
                <w:szCs w:val="11"/>
              </w:rPr>
            </w:pPr>
            <w:r w:rsidRPr="008A74B2">
              <w:rPr>
                <w:rFonts w:cs="Calibri"/>
                <w:b/>
                <w:bCs/>
                <w:sz w:val="11"/>
                <w:szCs w:val="11"/>
              </w:rPr>
              <w:t>1 033</w:t>
            </w:r>
          </w:p>
        </w:tc>
        <w:tc>
          <w:tcPr>
            <w:tcW w:w="1077" w:type="dxa"/>
            <w:tcBorders>
              <w:top w:val="nil"/>
              <w:left w:val="nil"/>
              <w:bottom w:val="single" w:sz="8" w:space="0" w:color="0077BD"/>
              <w:right w:val="single" w:sz="8" w:space="0" w:color="0077BD"/>
            </w:tcBorders>
            <w:shd w:val="clear" w:color="auto" w:fill="auto"/>
            <w:noWrap/>
            <w:vAlign w:val="center"/>
          </w:tcPr>
          <w:p w14:paraId="714B4CA9" w14:textId="4960C53C" w:rsidR="008A74B2" w:rsidRPr="008A74B2" w:rsidRDefault="008A74B2" w:rsidP="008A74B2">
            <w:pPr>
              <w:jc w:val="right"/>
              <w:rPr>
                <w:rFonts w:cs="Calibri"/>
                <w:b/>
                <w:bCs/>
                <w:color w:val="000000" w:themeColor="text1"/>
                <w:sz w:val="11"/>
                <w:szCs w:val="11"/>
              </w:rPr>
            </w:pPr>
            <w:r w:rsidRPr="008A74B2">
              <w:rPr>
                <w:rFonts w:cs="Calibri"/>
                <w:b/>
                <w:bCs/>
                <w:sz w:val="11"/>
                <w:szCs w:val="11"/>
              </w:rPr>
              <w:t>163 524</w:t>
            </w:r>
          </w:p>
        </w:tc>
        <w:tc>
          <w:tcPr>
            <w:tcW w:w="1077" w:type="dxa"/>
            <w:tcBorders>
              <w:top w:val="nil"/>
              <w:left w:val="nil"/>
              <w:bottom w:val="single" w:sz="8" w:space="0" w:color="0077BD"/>
              <w:right w:val="single" w:sz="8" w:space="0" w:color="0077BD"/>
            </w:tcBorders>
            <w:shd w:val="clear" w:color="auto" w:fill="auto"/>
            <w:noWrap/>
            <w:vAlign w:val="center"/>
          </w:tcPr>
          <w:p w14:paraId="70C8DAD7" w14:textId="207B687D" w:rsidR="008A74B2" w:rsidRPr="008A74B2" w:rsidRDefault="008A74B2" w:rsidP="008A74B2">
            <w:pPr>
              <w:jc w:val="right"/>
              <w:rPr>
                <w:rFonts w:cs="Calibri"/>
                <w:b/>
                <w:bCs/>
                <w:color w:val="000000" w:themeColor="text1"/>
                <w:sz w:val="11"/>
                <w:szCs w:val="11"/>
              </w:rPr>
            </w:pPr>
            <w:r w:rsidRPr="008A74B2">
              <w:rPr>
                <w:rFonts w:cs="Calibri"/>
                <w:b/>
                <w:bCs/>
                <w:sz w:val="11"/>
                <w:szCs w:val="11"/>
              </w:rPr>
              <w:t>188 496</w:t>
            </w:r>
          </w:p>
        </w:tc>
        <w:tc>
          <w:tcPr>
            <w:tcW w:w="1077" w:type="dxa"/>
            <w:tcBorders>
              <w:top w:val="nil"/>
              <w:left w:val="nil"/>
              <w:bottom w:val="single" w:sz="8" w:space="0" w:color="0077BD"/>
              <w:right w:val="single" w:sz="8" w:space="0" w:color="0077BD"/>
            </w:tcBorders>
            <w:shd w:val="clear" w:color="auto" w:fill="auto"/>
            <w:noWrap/>
            <w:vAlign w:val="center"/>
          </w:tcPr>
          <w:p w14:paraId="6480563A" w14:textId="39644725" w:rsidR="008A74B2" w:rsidRPr="008A74B2" w:rsidRDefault="008A74B2" w:rsidP="008A74B2">
            <w:pPr>
              <w:jc w:val="right"/>
              <w:rPr>
                <w:rFonts w:cs="Calibri"/>
                <w:b/>
                <w:bCs/>
                <w:color w:val="000000" w:themeColor="text1"/>
                <w:sz w:val="11"/>
                <w:szCs w:val="11"/>
              </w:rPr>
            </w:pPr>
            <w:r w:rsidRPr="008A74B2">
              <w:rPr>
                <w:rFonts w:cs="Calibri"/>
                <w:b/>
                <w:bCs/>
                <w:sz w:val="11"/>
                <w:szCs w:val="11"/>
              </w:rPr>
              <w:t>238 850</w:t>
            </w:r>
          </w:p>
        </w:tc>
        <w:tc>
          <w:tcPr>
            <w:tcW w:w="1077" w:type="dxa"/>
            <w:tcBorders>
              <w:top w:val="nil"/>
              <w:left w:val="nil"/>
              <w:bottom w:val="single" w:sz="8" w:space="0" w:color="0077BD"/>
              <w:right w:val="single" w:sz="8" w:space="0" w:color="0077BD"/>
            </w:tcBorders>
            <w:shd w:val="clear" w:color="auto" w:fill="auto"/>
            <w:noWrap/>
            <w:vAlign w:val="center"/>
          </w:tcPr>
          <w:p w14:paraId="2A78CD1B" w14:textId="570A3812" w:rsidR="008A74B2" w:rsidRPr="008A74B2" w:rsidRDefault="008A74B2" w:rsidP="008A74B2">
            <w:pPr>
              <w:jc w:val="right"/>
              <w:rPr>
                <w:rFonts w:cs="Calibri"/>
                <w:b/>
                <w:bCs/>
                <w:color w:val="000000" w:themeColor="text1"/>
                <w:sz w:val="11"/>
                <w:szCs w:val="11"/>
              </w:rPr>
            </w:pPr>
            <w:r w:rsidRPr="008A74B2">
              <w:rPr>
                <w:rFonts w:cs="Calibri"/>
                <w:b/>
                <w:bCs/>
                <w:sz w:val="11"/>
                <w:szCs w:val="11"/>
              </w:rPr>
              <w:t>106 731</w:t>
            </w:r>
          </w:p>
        </w:tc>
        <w:tc>
          <w:tcPr>
            <w:tcW w:w="1077" w:type="dxa"/>
            <w:tcBorders>
              <w:top w:val="nil"/>
              <w:left w:val="nil"/>
              <w:bottom w:val="single" w:sz="8" w:space="0" w:color="0077BD"/>
              <w:right w:val="single" w:sz="8" w:space="0" w:color="0077BD"/>
            </w:tcBorders>
            <w:shd w:val="clear" w:color="auto" w:fill="auto"/>
            <w:noWrap/>
            <w:vAlign w:val="center"/>
          </w:tcPr>
          <w:p w14:paraId="77615D12" w14:textId="3E15FE61" w:rsidR="008A74B2" w:rsidRPr="008A74B2" w:rsidRDefault="008A74B2" w:rsidP="008A74B2">
            <w:pPr>
              <w:jc w:val="right"/>
              <w:rPr>
                <w:rFonts w:cs="Calibri"/>
                <w:b/>
                <w:bCs/>
                <w:color w:val="000000" w:themeColor="text1"/>
                <w:sz w:val="11"/>
                <w:szCs w:val="11"/>
              </w:rPr>
            </w:pPr>
            <w:r w:rsidRPr="008A74B2">
              <w:rPr>
                <w:rFonts w:cs="Calibri"/>
                <w:b/>
                <w:bCs/>
                <w:sz w:val="11"/>
                <w:szCs w:val="11"/>
              </w:rPr>
              <w:t>75 416</w:t>
            </w:r>
          </w:p>
        </w:tc>
        <w:tc>
          <w:tcPr>
            <w:tcW w:w="1077" w:type="dxa"/>
            <w:tcBorders>
              <w:top w:val="nil"/>
              <w:left w:val="nil"/>
              <w:bottom w:val="single" w:sz="8" w:space="0" w:color="0077BD"/>
              <w:right w:val="nil"/>
            </w:tcBorders>
            <w:shd w:val="clear" w:color="auto" w:fill="auto"/>
            <w:noWrap/>
            <w:vAlign w:val="center"/>
          </w:tcPr>
          <w:p w14:paraId="6D3C7AB1" w14:textId="6CCCA208" w:rsidR="008A74B2" w:rsidRPr="008A74B2" w:rsidRDefault="008A74B2" w:rsidP="008A74B2">
            <w:pPr>
              <w:jc w:val="right"/>
              <w:rPr>
                <w:rFonts w:cs="Calibri"/>
                <w:b/>
                <w:bCs/>
                <w:color w:val="000000" w:themeColor="text1"/>
                <w:sz w:val="11"/>
                <w:szCs w:val="11"/>
              </w:rPr>
            </w:pPr>
            <w:r w:rsidRPr="008A74B2">
              <w:rPr>
                <w:rFonts w:cs="Calibri"/>
                <w:b/>
                <w:bCs/>
                <w:sz w:val="11"/>
                <w:szCs w:val="11"/>
              </w:rPr>
              <w:t>774 050</w:t>
            </w:r>
          </w:p>
        </w:tc>
      </w:tr>
    </w:tbl>
    <w:p w14:paraId="726B9A18" w14:textId="744AF05C" w:rsidR="000E7B65" w:rsidRPr="00BB7C9E" w:rsidRDefault="000E7B65" w:rsidP="0024685C">
      <w:pPr>
        <w:spacing w:before="120"/>
        <w:jc w:val="both"/>
        <w:rPr>
          <w:color w:val="000000" w:themeColor="text1"/>
          <w:sz w:val="18"/>
          <w:szCs w:val="18"/>
        </w:rPr>
      </w:pPr>
    </w:p>
    <w:p w14:paraId="79F3DD86" w14:textId="77777777" w:rsidR="000E7B65" w:rsidRPr="00BB7C9E" w:rsidRDefault="000E7B65">
      <w:pPr>
        <w:rPr>
          <w:color w:val="000000" w:themeColor="text1"/>
          <w:sz w:val="18"/>
          <w:szCs w:val="18"/>
        </w:rPr>
      </w:pPr>
      <w:r w:rsidRPr="00BB7C9E">
        <w:rPr>
          <w:color w:val="000000" w:themeColor="text1"/>
          <w:sz w:val="18"/>
          <w:szCs w:val="18"/>
        </w:rPr>
        <w:br w:type="page"/>
      </w:r>
    </w:p>
    <w:tbl>
      <w:tblPr>
        <w:tblW w:w="0" w:type="auto"/>
        <w:tblLayout w:type="fixed"/>
        <w:tblCellMar>
          <w:left w:w="28" w:type="dxa"/>
          <w:right w:w="28" w:type="dxa"/>
        </w:tblCellMar>
        <w:tblLook w:val="04A0" w:firstRow="1" w:lastRow="0" w:firstColumn="1" w:lastColumn="0" w:noHBand="0" w:noVBand="1"/>
      </w:tblPr>
      <w:tblGrid>
        <w:gridCol w:w="1985"/>
        <w:gridCol w:w="1077"/>
        <w:gridCol w:w="1077"/>
        <w:gridCol w:w="1077"/>
        <w:gridCol w:w="1077"/>
        <w:gridCol w:w="1077"/>
        <w:gridCol w:w="1077"/>
        <w:gridCol w:w="1077"/>
      </w:tblGrid>
      <w:tr w:rsidR="00BE56A5" w:rsidRPr="00BE56A5" w14:paraId="633A09F2" w14:textId="77777777" w:rsidTr="00503BA6">
        <w:trPr>
          <w:trHeight w:val="780"/>
        </w:trPr>
        <w:tc>
          <w:tcPr>
            <w:tcW w:w="1985" w:type="dxa"/>
            <w:tcBorders>
              <w:top w:val="nil"/>
              <w:left w:val="nil"/>
              <w:bottom w:val="nil"/>
              <w:right w:val="single" w:sz="6" w:space="0" w:color="FFFFFF"/>
            </w:tcBorders>
            <w:shd w:val="clear" w:color="000000" w:fill="0077BD"/>
            <w:vAlign w:val="center"/>
            <w:hideMark/>
          </w:tcPr>
          <w:p w14:paraId="1A59F196" w14:textId="0418E990" w:rsidR="00BE56A5" w:rsidRPr="00BE56A5" w:rsidRDefault="00BE56A5" w:rsidP="00BE56A5">
            <w:pPr>
              <w:rPr>
                <w:rFonts w:cs="Calibri"/>
                <w:b/>
                <w:bCs/>
                <w:color w:val="FFFFFF"/>
                <w:sz w:val="11"/>
                <w:szCs w:val="11"/>
              </w:rPr>
            </w:pPr>
            <w:r w:rsidRPr="00BE56A5">
              <w:rPr>
                <w:rFonts w:cs="Calibri"/>
                <w:b/>
                <w:bCs/>
                <w:color w:val="FFFFFF"/>
                <w:sz w:val="11"/>
                <w:szCs w:val="11"/>
              </w:rPr>
              <w:lastRenderedPageBreak/>
              <w:t xml:space="preserve">Zmiana stanu w okresie </w:t>
            </w:r>
            <w:r>
              <w:rPr>
                <w:rFonts w:cs="Calibri"/>
                <w:b/>
                <w:bCs/>
                <w:color w:val="FFFFFF"/>
                <w:sz w:val="11"/>
                <w:szCs w:val="11"/>
              </w:rPr>
              <w:br/>
            </w:r>
            <w:r w:rsidRPr="00BE56A5">
              <w:rPr>
                <w:rFonts w:cs="Calibri"/>
                <w:b/>
                <w:bCs/>
                <w:color w:val="FFFFFF"/>
                <w:sz w:val="11"/>
                <w:szCs w:val="11"/>
              </w:rPr>
              <w:t xml:space="preserve">od 1 stycznia </w:t>
            </w:r>
            <w:r>
              <w:rPr>
                <w:rFonts w:cs="Calibri"/>
                <w:b/>
                <w:bCs/>
                <w:color w:val="FFFFFF"/>
                <w:sz w:val="11"/>
                <w:szCs w:val="11"/>
              </w:rPr>
              <w:br/>
            </w:r>
            <w:r w:rsidR="00EC0295">
              <w:rPr>
                <w:rFonts w:cs="Calibri"/>
                <w:b/>
                <w:bCs/>
                <w:color w:val="FFFFFF"/>
                <w:sz w:val="11"/>
                <w:szCs w:val="11"/>
              </w:rPr>
              <w:t>do 31 grudnia 2018 r.</w:t>
            </w:r>
          </w:p>
        </w:tc>
        <w:tc>
          <w:tcPr>
            <w:tcW w:w="1077" w:type="dxa"/>
            <w:tcBorders>
              <w:top w:val="nil"/>
              <w:left w:val="single" w:sz="6" w:space="0" w:color="FFFFFF"/>
              <w:bottom w:val="nil"/>
              <w:right w:val="single" w:sz="6" w:space="0" w:color="FFFFFF"/>
            </w:tcBorders>
            <w:shd w:val="clear" w:color="000000" w:fill="0077BD"/>
            <w:vAlign w:val="center"/>
            <w:hideMark/>
          </w:tcPr>
          <w:p w14:paraId="0795C3D0"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Grunty</w:t>
            </w:r>
          </w:p>
        </w:tc>
        <w:tc>
          <w:tcPr>
            <w:tcW w:w="1077" w:type="dxa"/>
            <w:tcBorders>
              <w:top w:val="nil"/>
              <w:left w:val="single" w:sz="6" w:space="0" w:color="FFFFFF"/>
              <w:bottom w:val="nil"/>
              <w:right w:val="single" w:sz="6" w:space="0" w:color="FFFFFF"/>
            </w:tcBorders>
            <w:shd w:val="clear" w:color="000000" w:fill="0077BD"/>
            <w:vAlign w:val="center"/>
            <w:hideMark/>
          </w:tcPr>
          <w:p w14:paraId="1785BE82"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Budynki, lokale i obiekty inżynierii lądowej i wodnej</w:t>
            </w:r>
          </w:p>
        </w:tc>
        <w:tc>
          <w:tcPr>
            <w:tcW w:w="1077" w:type="dxa"/>
            <w:tcBorders>
              <w:top w:val="nil"/>
              <w:left w:val="single" w:sz="6" w:space="0" w:color="FFFFFF"/>
              <w:bottom w:val="nil"/>
              <w:right w:val="single" w:sz="6" w:space="0" w:color="FFFFFF"/>
            </w:tcBorders>
            <w:shd w:val="clear" w:color="000000" w:fill="0077BD"/>
            <w:vAlign w:val="center"/>
            <w:hideMark/>
          </w:tcPr>
          <w:p w14:paraId="00EA40B2"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Urządzenia</w:t>
            </w:r>
          </w:p>
        </w:tc>
        <w:tc>
          <w:tcPr>
            <w:tcW w:w="1077" w:type="dxa"/>
            <w:tcBorders>
              <w:top w:val="nil"/>
              <w:left w:val="single" w:sz="6" w:space="0" w:color="FFFFFF"/>
              <w:bottom w:val="nil"/>
              <w:right w:val="single" w:sz="6" w:space="0" w:color="FFFFFF"/>
            </w:tcBorders>
            <w:shd w:val="clear" w:color="000000" w:fill="0077BD"/>
            <w:vAlign w:val="center"/>
            <w:hideMark/>
          </w:tcPr>
          <w:p w14:paraId="35C09A5F"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Środki transportu</w:t>
            </w:r>
          </w:p>
        </w:tc>
        <w:tc>
          <w:tcPr>
            <w:tcW w:w="1077" w:type="dxa"/>
            <w:tcBorders>
              <w:top w:val="nil"/>
              <w:left w:val="single" w:sz="6" w:space="0" w:color="FFFFFF"/>
              <w:bottom w:val="nil"/>
              <w:right w:val="single" w:sz="6" w:space="0" w:color="FFFFFF"/>
            </w:tcBorders>
            <w:shd w:val="clear" w:color="000000" w:fill="0077BD"/>
            <w:vAlign w:val="center"/>
            <w:hideMark/>
          </w:tcPr>
          <w:p w14:paraId="38EF00B6"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Pozostałe środki trwałe</w:t>
            </w:r>
          </w:p>
        </w:tc>
        <w:tc>
          <w:tcPr>
            <w:tcW w:w="1077" w:type="dxa"/>
            <w:tcBorders>
              <w:top w:val="nil"/>
              <w:left w:val="single" w:sz="6" w:space="0" w:color="FFFFFF"/>
              <w:bottom w:val="nil"/>
              <w:right w:val="single" w:sz="6" w:space="0" w:color="FFFFFF"/>
            </w:tcBorders>
            <w:shd w:val="clear" w:color="000000" w:fill="0077BD"/>
            <w:vAlign w:val="center"/>
            <w:hideMark/>
          </w:tcPr>
          <w:p w14:paraId="43FB0F06"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Środki trwałe w budowie</w:t>
            </w:r>
          </w:p>
        </w:tc>
        <w:tc>
          <w:tcPr>
            <w:tcW w:w="1077" w:type="dxa"/>
            <w:tcBorders>
              <w:top w:val="nil"/>
              <w:left w:val="single" w:sz="6" w:space="0" w:color="FFFFFF"/>
              <w:bottom w:val="nil"/>
              <w:right w:val="single" w:sz="12" w:space="0" w:color="FFFFFF"/>
            </w:tcBorders>
            <w:shd w:val="clear" w:color="000000" w:fill="0077BD"/>
            <w:vAlign w:val="center"/>
            <w:hideMark/>
          </w:tcPr>
          <w:p w14:paraId="117C28E8" w14:textId="77777777" w:rsidR="00BE56A5" w:rsidRPr="00BE56A5" w:rsidRDefault="00BE56A5" w:rsidP="00BD2FF3">
            <w:pPr>
              <w:jc w:val="right"/>
              <w:rPr>
                <w:rFonts w:cs="Calibri"/>
                <w:b/>
                <w:bCs/>
                <w:color w:val="FFFFFF"/>
                <w:sz w:val="11"/>
                <w:szCs w:val="11"/>
              </w:rPr>
            </w:pPr>
            <w:r w:rsidRPr="00BE56A5">
              <w:rPr>
                <w:rFonts w:cs="Calibri"/>
                <w:b/>
                <w:bCs/>
                <w:color w:val="FFFFFF"/>
                <w:sz w:val="11"/>
                <w:szCs w:val="11"/>
              </w:rPr>
              <w:t>Razem</w:t>
            </w:r>
          </w:p>
        </w:tc>
      </w:tr>
      <w:tr w:rsidR="00BE56A5" w:rsidRPr="00BB7C9E" w14:paraId="1EE6070F" w14:textId="77777777" w:rsidTr="000E7B65">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449C758F" w14:textId="116A3F7D"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Wartość brutto rzeczowych aktywów trwałych n</w:t>
            </w:r>
            <w:r w:rsidR="00904084" w:rsidRPr="00BB7C9E">
              <w:rPr>
                <w:rFonts w:cs="Calibri"/>
                <w:b/>
                <w:bCs/>
                <w:color w:val="000000" w:themeColor="text1"/>
                <w:sz w:val="11"/>
                <w:szCs w:val="11"/>
              </w:rPr>
              <w:t>a początek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4156D753"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1 038</w:t>
            </w:r>
          </w:p>
        </w:tc>
        <w:tc>
          <w:tcPr>
            <w:tcW w:w="1077" w:type="dxa"/>
            <w:tcBorders>
              <w:top w:val="nil"/>
              <w:left w:val="nil"/>
              <w:bottom w:val="single" w:sz="8" w:space="0" w:color="0077BD"/>
              <w:right w:val="single" w:sz="8" w:space="0" w:color="0077BD"/>
            </w:tcBorders>
            <w:shd w:val="clear" w:color="auto" w:fill="auto"/>
            <w:noWrap/>
            <w:vAlign w:val="center"/>
            <w:hideMark/>
          </w:tcPr>
          <w:p w14:paraId="3B8F65F7"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331 062</w:t>
            </w:r>
          </w:p>
        </w:tc>
        <w:tc>
          <w:tcPr>
            <w:tcW w:w="1077" w:type="dxa"/>
            <w:tcBorders>
              <w:top w:val="nil"/>
              <w:left w:val="nil"/>
              <w:bottom w:val="single" w:sz="8" w:space="0" w:color="0077BD"/>
              <w:right w:val="single" w:sz="8" w:space="0" w:color="0077BD"/>
            </w:tcBorders>
            <w:shd w:val="clear" w:color="auto" w:fill="auto"/>
            <w:noWrap/>
            <w:vAlign w:val="center"/>
            <w:hideMark/>
          </w:tcPr>
          <w:p w14:paraId="07479445"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715 308</w:t>
            </w:r>
          </w:p>
        </w:tc>
        <w:tc>
          <w:tcPr>
            <w:tcW w:w="1077" w:type="dxa"/>
            <w:tcBorders>
              <w:top w:val="nil"/>
              <w:left w:val="nil"/>
              <w:bottom w:val="single" w:sz="8" w:space="0" w:color="0077BD"/>
              <w:right w:val="single" w:sz="8" w:space="0" w:color="0077BD"/>
            </w:tcBorders>
            <w:shd w:val="clear" w:color="auto" w:fill="auto"/>
            <w:noWrap/>
            <w:vAlign w:val="center"/>
            <w:hideMark/>
          </w:tcPr>
          <w:p w14:paraId="600FBEE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338 785</w:t>
            </w:r>
          </w:p>
        </w:tc>
        <w:tc>
          <w:tcPr>
            <w:tcW w:w="1077" w:type="dxa"/>
            <w:tcBorders>
              <w:top w:val="nil"/>
              <w:left w:val="nil"/>
              <w:bottom w:val="single" w:sz="8" w:space="0" w:color="0077BD"/>
              <w:right w:val="single" w:sz="8" w:space="0" w:color="0077BD"/>
            </w:tcBorders>
            <w:shd w:val="clear" w:color="auto" w:fill="auto"/>
            <w:noWrap/>
            <w:vAlign w:val="center"/>
            <w:hideMark/>
          </w:tcPr>
          <w:p w14:paraId="571AB73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430 954</w:t>
            </w:r>
          </w:p>
        </w:tc>
        <w:tc>
          <w:tcPr>
            <w:tcW w:w="1077" w:type="dxa"/>
            <w:tcBorders>
              <w:top w:val="nil"/>
              <w:left w:val="nil"/>
              <w:bottom w:val="single" w:sz="8" w:space="0" w:color="0077BD"/>
              <w:right w:val="single" w:sz="8" w:space="0" w:color="0077BD"/>
            </w:tcBorders>
            <w:shd w:val="clear" w:color="auto" w:fill="auto"/>
            <w:noWrap/>
            <w:vAlign w:val="center"/>
            <w:hideMark/>
          </w:tcPr>
          <w:p w14:paraId="36F2E3D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135 646</w:t>
            </w:r>
          </w:p>
        </w:tc>
        <w:tc>
          <w:tcPr>
            <w:tcW w:w="1077" w:type="dxa"/>
            <w:tcBorders>
              <w:top w:val="nil"/>
              <w:left w:val="nil"/>
              <w:bottom w:val="single" w:sz="8" w:space="0" w:color="0077BD"/>
              <w:right w:val="nil"/>
            </w:tcBorders>
            <w:shd w:val="clear" w:color="auto" w:fill="auto"/>
            <w:noWrap/>
            <w:vAlign w:val="center"/>
            <w:hideMark/>
          </w:tcPr>
          <w:p w14:paraId="1F1C61F0"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1 952 793</w:t>
            </w:r>
          </w:p>
        </w:tc>
      </w:tr>
      <w:tr w:rsidR="00BE56A5" w:rsidRPr="00BB7C9E" w14:paraId="41C05B15"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9A9A03D" w14:textId="77777777"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Zwiększenia z tytułu:</w:t>
            </w:r>
          </w:p>
        </w:tc>
        <w:tc>
          <w:tcPr>
            <w:tcW w:w="1077" w:type="dxa"/>
            <w:tcBorders>
              <w:top w:val="nil"/>
              <w:left w:val="nil"/>
              <w:bottom w:val="single" w:sz="8" w:space="0" w:color="0077BD"/>
              <w:right w:val="single" w:sz="8" w:space="0" w:color="0077BD"/>
            </w:tcBorders>
            <w:shd w:val="clear" w:color="auto" w:fill="auto"/>
            <w:noWrap/>
            <w:vAlign w:val="center"/>
            <w:hideMark/>
          </w:tcPr>
          <w:p w14:paraId="7B754389"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5CACD6E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10 513</w:t>
            </w:r>
          </w:p>
        </w:tc>
        <w:tc>
          <w:tcPr>
            <w:tcW w:w="1077" w:type="dxa"/>
            <w:tcBorders>
              <w:top w:val="nil"/>
              <w:left w:val="nil"/>
              <w:bottom w:val="single" w:sz="8" w:space="0" w:color="0077BD"/>
              <w:right w:val="single" w:sz="8" w:space="0" w:color="0077BD"/>
            </w:tcBorders>
            <w:shd w:val="clear" w:color="auto" w:fill="auto"/>
            <w:noWrap/>
            <w:vAlign w:val="center"/>
            <w:hideMark/>
          </w:tcPr>
          <w:p w14:paraId="6DBC562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96 051</w:t>
            </w:r>
          </w:p>
        </w:tc>
        <w:tc>
          <w:tcPr>
            <w:tcW w:w="1077" w:type="dxa"/>
            <w:tcBorders>
              <w:top w:val="nil"/>
              <w:left w:val="nil"/>
              <w:bottom w:val="single" w:sz="8" w:space="0" w:color="0077BD"/>
              <w:right w:val="single" w:sz="8" w:space="0" w:color="0077BD"/>
            </w:tcBorders>
            <w:shd w:val="clear" w:color="auto" w:fill="auto"/>
            <w:noWrap/>
            <w:vAlign w:val="center"/>
            <w:hideMark/>
          </w:tcPr>
          <w:p w14:paraId="6D42A70E"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88 654</w:t>
            </w:r>
          </w:p>
        </w:tc>
        <w:tc>
          <w:tcPr>
            <w:tcW w:w="1077" w:type="dxa"/>
            <w:tcBorders>
              <w:top w:val="nil"/>
              <w:left w:val="nil"/>
              <w:bottom w:val="single" w:sz="8" w:space="0" w:color="0077BD"/>
              <w:right w:val="single" w:sz="8" w:space="0" w:color="0077BD"/>
            </w:tcBorders>
            <w:shd w:val="clear" w:color="auto" w:fill="auto"/>
            <w:noWrap/>
            <w:vAlign w:val="center"/>
            <w:hideMark/>
          </w:tcPr>
          <w:p w14:paraId="310FB29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67 617</w:t>
            </w:r>
          </w:p>
        </w:tc>
        <w:tc>
          <w:tcPr>
            <w:tcW w:w="1077" w:type="dxa"/>
            <w:tcBorders>
              <w:top w:val="nil"/>
              <w:left w:val="nil"/>
              <w:bottom w:val="single" w:sz="8" w:space="0" w:color="0077BD"/>
              <w:right w:val="single" w:sz="8" w:space="0" w:color="0077BD"/>
            </w:tcBorders>
            <w:shd w:val="clear" w:color="auto" w:fill="auto"/>
            <w:noWrap/>
            <w:vAlign w:val="center"/>
            <w:hideMark/>
          </w:tcPr>
          <w:p w14:paraId="4243BB27"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136 896</w:t>
            </w:r>
          </w:p>
        </w:tc>
        <w:tc>
          <w:tcPr>
            <w:tcW w:w="1077" w:type="dxa"/>
            <w:tcBorders>
              <w:top w:val="nil"/>
              <w:left w:val="nil"/>
              <w:bottom w:val="single" w:sz="8" w:space="0" w:color="0077BD"/>
              <w:right w:val="nil"/>
            </w:tcBorders>
            <w:shd w:val="clear" w:color="auto" w:fill="auto"/>
            <w:noWrap/>
            <w:vAlign w:val="center"/>
            <w:hideMark/>
          </w:tcPr>
          <w:p w14:paraId="3B6F8EA6"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399 731</w:t>
            </w:r>
          </w:p>
        </w:tc>
      </w:tr>
      <w:tr w:rsidR="00BE56A5" w:rsidRPr="00BB7C9E" w14:paraId="364D0C27" w14:textId="77777777" w:rsidTr="000E7B65">
        <w:trPr>
          <w:trHeight w:val="284"/>
        </w:trPr>
        <w:tc>
          <w:tcPr>
            <w:tcW w:w="1985" w:type="dxa"/>
            <w:tcBorders>
              <w:top w:val="nil"/>
              <w:left w:val="nil"/>
              <w:bottom w:val="nil"/>
              <w:right w:val="single" w:sz="8" w:space="0" w:color="0077BD"/>
            </w:tcBorders>
            <w:shd w:val="clear" w:color="auto" w:fill="auto"/>
            <w:vAlign w:val="center"/>
            <w:hideMark/>
          </w:tcPr>
          <w:p w14:paraId="0B731A3C"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zakupu</w:t>
            </w:r>
          </w:p>
        </w:tc>
        <w:tc>
          <w:tcPr>
            <w:tcW w:w="1077" w:type="dxa"/>
            <w:tcBorders>
              <w:top w:val="nil"/>
              <w:left w:val="nil"/>
              <w:bottom w:val="nil"/>
              <w:right w:val="single" w:sz="8" w:space="0" w:color="0077BD"/>
            </w:tcBorders>
            <w:shd w:val="clear" w:color="auto" w:fill="auto"/>
            <w:noWrap/>
            <w:vAlign w:val="center"/>
            <w:hideMark/>
          </w:tcPr>
          <w:p w14:paraId="59C22EF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nil"/>
              <w:right w:val="single" w:sz="8" w:space="0" w:color="0077BD"/>
            </w:tcBorders>
            <w:shd w:val="clear" w:color="auto" w:fill="auto"/>
            <w:noWrap/>
            <w:vAlign w:val="center"/>
            <w:hideMark/>
          </w:tcPr>
          <w:p w14:paraId="099071EE"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433</w:t>
            </w:r>
          </w:p>
        </w:tc>
        <w:tc>
          <w:tcPr>
            <w:tcW w:w="1077" w:type="dxa"/>
            <w:tcBorders>
              <w:top w:val="nil"/>
              <w:left w:val="nil"/>
              <w:bottom w:val="nil"/>
              <w:right w:val="single" w:sz="8" w:space="0" w:color="0077BD"/>
            </w:tcBorders>
            <w:shd w:val="clear" w:color="auto" w:fill="auto"/>
            <w:noWrap/>
            <w:vAlign w:val="center"/>
            <w:hideMark/>
          </w:tcPr>
          <w:p w14:paraId="056F73C8"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41 605</w:t>
            </w:r>
          </w:p>
        </w:tc>
        <w:tc>
          <w:tcPr>
            <w:tcW w:w="1077" w:type="dxa"/>
            <w:tcBorders>
              <w:top w:val="nil"/>
              <w:left w:val="nil"/>
              <w:bottom w:val="nil"/>
              <w:right w:val="single" w:sz="8" w:space="0" w:color="0077BD"/>
            </w:tcBorders>
            <w:shd w:val="clear" w:color="auto" w:fill="auto"/>
            <w:noWrap/>
            <w:vAlign w:val="center"/>
            <w:hideMark/>
          </w:tcPr>
          <w:p w14:paraId="1FB97B9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88 634</w:t>
            </w:r>
          </w:p>
        </w:tc>
        <w:tc>
          <w:tcPr>
            <w:tcW w:w="1077" w:type="dxa"/>
            <w:tcBorders>
              <w:top w:val="nil"/>
              <w:left w:val="nil"/>
              <w:bottom w:val="nil"/>
              <w:right w:val="single" w:sz="8" w:space="0" w:color="0077BD"/>
            </w:tcBorders>
            <w:shd w:val="clear" w:color="auto" w:fill="auto"/>
            <w:noWrap/>
            <w:vAlign w:val="center"/>
            <w:hideMark/>
          </w:tcPr>
          <w:p w14:paraId="29C7826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4 837</w:t>
            </w:r>
          </w:p>
        </w:tc>
        <w:tc>
          <w:tcPr>
            <w:tcW w:w="1077" w:type="dxa"/>
            <w:tcBorders>
              <w:top w:val="nil"/>
              <w:left w:val="nil"/>
              <w:bottom w:val="nil"/>
              <w:right w:val="single" w:sz="8" w:space="0" w:color="0077BD"/>
            </w:tcBorders>
            <w:shd w:val="clear" w:color="auto" w:fill="auto"/>
            <w:noWrap/>
            <w:vAlign w:val="center"/>
            <w:hideMark/>
          </w:tcPr>
          <w:p w14:paraId="65E2CA3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105 079</w:t>
            </w:r>
          </w:p>
        </w:tc>
        <w:tc>
          <w:tcPr>
            <w:tcW w:w="1077" w:type="dxa"/>
            <w:tcBorders>
              <w:top w:val="nil"/>
              <w:left w:val="nil"/>
              <w:bottom w:val="nil"/>
              <w:right w:val="nil"/>
            </w:tcBorders>
            <w:shd w:val="clear" w:color="auto" w:fill="auto"/>
            <w:noWrap/>
            <w:vAlign w:val="center"/>
            <w:hideMark/>
          </w:tcPr>
          <w:p w14:paraId="4874722D"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240 588</w:t>
            </w:r>
          </w:p>
        </w:tc>
      </w:tr>
      <w:tr w:rsidR="00BE56A5" w:rsidRPr="00BB7C9E" w14:paraId="54D2F520" w14:textId="77777777" w:rsidTr="000E7B65">
        <w:trPr>
          <w:trHeight w:val="345"/>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44D80BE9"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przejęcia ze środków trwałych w budowie</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2F4DB80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399718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6 258</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40A44BF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49 715</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7A02FDFF"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FD7137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61 325</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9130244"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nil"/>
            </w:tcBorders>
            <w:shd w:val="clear" w:color="auto" w:fill="auto"/>
            <w:noWrap/>
            <w:vAlign w:val="center"/>
            <w:hideMark/>
          </w:tcPr>
          <w:p w14:paraId="494AC77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117 298</w:t>
            </w:r>
          </w:p>
        </w:tc>
      </w:tr>
      <w:tr w:rsidR="00BE56A5" w:rsidRPr="00BB7C9E" w14:paraId="2ED7A4BD"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06442B8"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innych zwiększeń</w:t>
            </w:r>
          </w:p>
        </w:tc>
        <w:tc>
          <w:tcPr>
            <w:tcW w:w="1077" w:type="dxa"/>
            <w:tcBorders>
              <w:top w:val="nil"/>
              <w:left w:val="nil"/>
              <w:bottom w:val="single" w:sz="8" w:space="0" w:color="0077BD"/>
              <w:right w:val="single" w:sz="8" w:space="0" w:color="0077BD"/>
            </w:tcBorders>
            <w:shd w:val="clear" w:color="auto" w:fill="auto"/>
            <w:noWrap/>
            <w:vAlign w:val="center"/>
            <w:hideMark/>
          </w:tcPr>
          <w:p w14:paraId="5160772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7CC87CDE"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3 822</w:t>
            </w:r>
          </w:p>
        </w:tc>
        <w:tc>
          <w:tcPr>
            <w:tcW w:w="1077" w:type="dxa"/>
            <w:tcBorders>
              <w:top w:val="nil"/>
              <w:left w:val="nil"/>
              <w:bottom w:val="single" w:sz="8" w:space="0" w:color="0077BD"/>
              <w:right w:val="single" w:sz="8" w:space="0" w:color="0077BD"/>
            </w:tcBorders>
            <w:shd w:val="clear" w:color="auto" w:fill="auto"/>
            <w:noWrap/>
            <w:vAlign w:val="center"/>
            <w:hideMark/>
          </w:tcPr>
          <w:p w14:paraId="326B3F18"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4 731</w:t>
            </w:r>
          </w:p>
        </w:tc>
        <w:tc>
          <w:tcPr>
            <w:tcW w:w="1077" w:type="dxa"/>
            <w:tcBorders>
              <w:top w:val="nil"/>
              <w:left w:val="nil"/>
              <w:bottom w:val="single" w:sz="8" w:space="0" w:color="0077BD"/>
              <w:right w:val="single" w:sz="8" w:space="0" w:color="0077BD"/>
            </w:tcBorders>
            <w:shd w:val="clear" w:color="auto" w:fill="auto"/>
            <w:noWrap/>
            <w:vAlign w:val="center"/>
            <w:hideMark/>
          </w:tcPr>
          <w:p w14:paraId="57604BA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20</w:t>
            </w:r>
          </w:p>
        </w:tc>
        <w:tc>
          <w:tcPr>
            <w:tcW w:w="1077" w:type="dxa"/>
            <w:tcBorders>
              <w:top w:val="nil"/>
              <w:left w:val="nil"/>
              <w:bottom w:val="single" w:sz="8" w:space="0" w:color="0077BD"/>
              <w:right w:val="single" w:sz="8" w:space="0" w:color="0077BD"/>
            </w:tcBorders>
            <w:shd w:val="clear" w:color="auto" w:fill="auto"/>
            <w:noWrap/>
            <w:vAlign w:val="center"/>
            <w:hideMark/>
          </w:tcPr>
          <w:p w14:paraId="2443B1B2"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1 455</w:t>
            </w:r>
          </w:p>
        </w:tc>
        <w:tc>
          <w:tcPr>
            <w:tcW w:w="1077" w:type="dxa"/>
            <w:tcBorders>
              <w:top w:val="nil"/>
              <w:left w:val="nil"/>
              <w:bottom w:val="single" w:sz="8" w:space="0" w:color="0077BD"/>
              <w:right w:val="single" w:sz="8" w:space="0" w:color="0077BD"/>
            </w:tcBorders>
            <w:shd w:val="clear" w:color="auto" w:fill="auto"/>
            <w:noWrap/>
            <w:vAlign w:val="center"/>
            <w:hideMark/>
          </w:tcPr>
          <w:p w14:paraId="5404B39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31 817</w:t>
            </w:r>
          </w:p>
        </w:tc>
        <w:tc>
          <w:tcPr>
            <w:tcW w:w="1077" w:type="dxa"/>
            <w:tcBorders>
              <w:top w:val="nil"/>
              <w:left w:val="nil"/>
              <w:bottom w:val="single" w:sz="8" w:space="0" w:color="0077BD"/>
              <w:right w:val="nil"/>
            </w:tcBorders>
            <w:shd w:val="clear" w:color="auto" w:fill="auto"/>
            <w:noWrap/>
            <w:vAlign w:val="center"/>
            <w:hideMark/>
          </w:tcPr>
          <w:p w14:paraId="536A44A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41 845</w:t>
            </w:r>
          </w:p>
        </w:tc>
      </w:tr>
      <w:tr w:rsidR="00BE56A5" w:rsidRPr="00BB7C9E" w14:paraId="1FA616D7"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21D7AEBE" w14:textId="77777777"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Zmniejszenia z tytułu:</w:t>
            </w:r>
          </w:p>
        </w:tc>
        <w:tc>
          <w:tcPr>
            <w:tcW w:w="1077" w:type="dxa"/>
            <w:tcBorders>
              <w:top w:val="nil"/>
              <w:left w:val="nil"/>
              <w:bottom w:val="single" w:sz="8" w:space="0" w:color="0077BD"/>
              <w:right w:val="single" w:sz="8" w:space="0" w:color="0077BD"/>
            </w:tcBorders>
            <w:shd w:val="clear" w:color="auto" w:fill="auto"/>
            <w:noWrap/>
            <w:vAlign w:val="center"/>
            <w:hideMark/>
          </w:tcPr>
          <w:p w14:paraId="6A577ED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w:t>
            </w:r>
          </w:p>
        </w:tc>
        <w:tc>
          <w:tcPr>
            <w:tcW w:w="1077" w:type="dxa"/>
            <w:tcBorders>
              <w:top w:val="nil"/>
              <w:left w:val="nil"/>
              <w:bottom w:val="single" w:sz="8" w:space="0" w:color="0077BD"/>
              <w:right w:val="single" w:sz="8" w:space="0" w:color="0077BD"/>
            </w:tcBorders>
            <w:shd w:val="clear" w:color="auto" w:fill="auto"/>
            <w:noWrap/>
            <w:vAlign w:val="center"/>
            <w:hideMark/>
          </w:tcPr>
          <w:p w14:paraId="39A9294A"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(20 043)</w:t>
            </w:r>
          </w:p>
        </w:tc>
        <w:tc>
          <w:tcPr>
            <w:tcW w:w="1077" w:type="dxa"/>
            <w:tcBorders>
              <w:top w:val="nil"/>
              <w:left w:val="nil"/>
              <w:bottom w:val="single" w:sz="8" w:space="0" w:color="0077BD"/>
              <w:right w:val="single" w:sz="8" w:space="0" w:color="0077BD"/>
            </w:tcBorders>
            <w:shd w:val="clear" w:color="auto" w:fill="auto"/>
            <w:noWrap/>
            <w:vAlign w:val="center"/>
            <w:hideMark/>
          </w:tcPr>
          <w:p w14:paraId="29A1BE0C"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(45 054)</w:t>
            </w:r>
          </w:p>
        </w:tc>
        <w:tc>
          <w:tcPr>
            <w:tcW w:w="1077" w:type="dxa"/>
            <w:tcBorders>
              <w:top w:val="nil"/>
              <w:left w:val="nil"/>
              <w:bottom w:val="single" w:sz="8" w:space="0" w:color="0077BD"/>
              <w:right w:val="single" w:sz="8" w:space="0" w:color="0077BD"/>
            </w:tcBorders>
            <w:shd w:val="clear" w:color="auto" w:fill="auto"/>
            <w:noWrap/>
            <w:vAlign w:val="center"/>
            <w:hideMark/>
          </w:tcPr>
          <w:p w14:paraId="3D0494BF"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(93 635)</w:t>
            </w:r>
          </w:p>
        </w:tc>
        <w:tc>
          <w:tcPr>
            <w:tcW w:w="1077" w:type="dxa"/>
            <w:tcBorders>
              <w:top w:val="nil"/>
              <w:left w:val="nil"/>
              <w:bottom w:val="single" w:sz="8" w:space="0" w:color="0077BD"/>
              <w:right w:val="single" w:sz="8" w:space="0" w:color="0077BD"/>
            </w:tcBorders>
            <w:shd w:val="clear" w:color="auto" w:fill="auto"/>
            <w:noWrap/>
            <w:vAlign w:val="center"/>
            <w:hideMark/>
          </w:tcPr>
          <w:p w14:paraId="73CB3AA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(88 989)</w:t>
            </w:r>
          </w:p>
        </w:tc>
        <w:tc>
          <w:tcPr>
            <w:tcW w:w="1077" w:type="dxa"/>
            <w:tcBorders>
              <w:top w:val="nil"/>
              <w:left w:val="nil"/>
              <w:bottom w:val="single" w:sz="8" w:space="0" w:color="0077BD"/>
              <w:right w:val="single" w:sz="8" w:space="0" w:color="0077BD"/>
            </w:tcBorders>
            <w:shd w:val="clear" w:color="auto" w:fill="auto"/>
            <w:noWrap/>
            <w:vAlign w:val="center"/>
            <w:hideMark/>
          </w:tcPr>
          <w:p w14:paraId="5696F023"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(155 976)</w:t>
            </w:r>
          </w:p>
        </w:tc>
        <w:tc>
          <w:tcPr>
            <w:tcW w:w="1077" w:type="dxa"/>
            <w:tcBorders>
              <w:top w:val="nil"/>
              <w:left w:val="nil"/>
              <w:bottom w:val="single" w:sz="8" w:space="0" w:color="0077BD"/>
              <w:right w:val="nil"/>
            </w:tcBorders>
            <w:shd w:val="clear" w:color="auto" w:fill="auto"/>
            <w:noWrap/>
            <w:vAlign w:val="center"/>
            <w:hideMark/>
          </w:tcPr>
          <w:p w14:paraId="7787612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(403 702)</w:t>
            </w:r>
          </w:p>
        </w:tc>
      </w:tr>
      <w:tr w:rsidR="00BE56A5" w:rsidRPr="00BB7C9E" w14:paraId="4DD2ACB0" w14:textId="77777777" w:rsidTr="000E7B65">
        <w:trPr>
          <w:trHeight w:val="284"/>
        </w:trPr>
        <w:tc>
          <w:tcPr>
            <w:tcW w:w="1985" w:type="dxa"/>
            <w:tcBorders>
              <w:top w:val="nil"/>
              <w:left w:val="nil"/>
              <w:bottom w:val="nil"/>
              <w:right w:val="single" w:sz="8" w:space="0" w:color="0077BD"/>
            </w:tcBorders>
            <w:shd w:val="clear" w:color="auto" w:fill="auto"/>
            <w:vAlign w:val="center"/>
            <w:hideMark/>
          </w:tcPr>
          <w:p w14:paraId="41C706A7"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sprzedaży</w:t>
            </w:r>
          </w:p>
        </w:tc>
        <w:tc>
          <w:tcPr>
            <w:tcW w:w="1077" w:type="dxa"/>
            <w:tcBorders>
              <w:top w:val="nil"/>
              <w:left w:val="nil"/>
              <w:bottom w:val="nil"/>
              <w:right w:val="single" w:sz="8" w:space="0" w:color="0077BD"/>
            </w:tcBorders>
            <w:shd w:val="clear" w:color="auto" w:fill="auto"/>
            <w:noWrap/>
            <w:vAlign w:val="center"/>
            <w:hideMark/>
          </w:tcPr>
          <w:p w14:paraId="0B5718A0"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(5)</w:t>
            </w:r>
          </w:p>
        </w:tc>
        <w:tc>
          <w:tcPr>
            <w:tcW w:w="1077" w:type="dxa"/>
            <w:tcBorders>
              <w:top w:val="nil"/>
              <w:left w:val="nil"/>
              <w:bottom w:val="nil"/>
              <w:right w:val="single" w:sz="8" w:space="0" w:color="0077BD"/>
            </w:tcBorders>
            <w:shd w:val="clear" w:color="auto" w:fill="auto"/>
            <w:noWrap/>
            <w:vAlign w:val="center"/>
            <w:hideMark/>
          </w:tcPr>
          <w:p w14:paraId="2758717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(19 941)</w:t>
            </w:r>
          </w:p>
        </w:tc>
        <w:tc>
          <w:tcPr>
            <w:tcW w:w="1077" w:type="dxa"/>
            <w:tcBorders>
              <w:top w:val="nil"/>
              <w:left w:val="nil"/>
              <w:bottom w:val="nil"/>
              <w:right w:val="single" w:sz="8" w:space="0" w:color="0077BD"/>
            </w:tcBorders>
            <w:shd w:val="clear" w:color="auto" w:fill="auto"/>
            <w:noWrap/>
            <w:vAlign w:val="center"/>
            <w:hideMark/>
          </w:tcPr>
          <w:p w14:paraId="0704C230"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(12 494)</w:t>
            </w:r>
          </w:p>
        </w:tc>
        <w:tc>
          <w:tcPr>
            <w:tcW w:w="1077" w:type="dxa"/>
            <w:tcBorders>
              <w:top w:val="nil"/>
              <w:left w:val="nil"/>
              <w:bottom w:val="nil"/>
              <w:right w:val="single" w:sz="8" w:space="0" w:color="0077BD"/>
            </w:tcBorders>
            <w:shd w:val="clear" w:color="auto" w:fill="auto"/>
            <w:noWrap/>
            <w:vAlign w:val="center"/>
            <w:hideMark/>
          </w:tcPr>
          <w:p w14:paraId="5C9A5F8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(84 218)</w:t>
            </w:r>
          </w:p>
        </w:tc>
        <w:tc>
          <w:tcPr>
            <w:tcW w:w="1077" w:type="dxa"/>
            <w:tcBorders>
              <w:top w:val="nil"/>
              <w:left w:val="nil"/>
              <w:bottom w:val="nil"/>
              <w:right w:val="single" w:sz="8" w:space="0" w:color="0077BD"/>
            </w:tcBorders>
            <w:shd w:val="clear" w:color="auto" w:fill="auto"/>
            <w:noWrap/>
            <w:vAlign w:val="center"/>
            <w:hideMark/>
          </w:tcPr>
          <w:p w14:paraId="294F07A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(4 141)</w:t>
            </w:r>
          </w:p>
        </w:tc>
        <w:tc>
          <w:tcPr>
            <w:tcW w:w="1077" w:type="dxa"/>
            <w:tcBorders>
              <w:top w:val="nil"/>
              <w:left w:val="nil"/>
              <w:bottom w:val="nil"/>
              <w:right w:val="single" w:sz="8" w:space="0" w:color="0077BD"/>
            </w:tcBorders>
            <w:shd w:val="clear" w:color="auto" w:fill="auto"/>
            <w:noWrap/>
            <w:vAlign w:val="center"/>
            <w:hideMark/>
          </w:tcPr>
          <w:p w14:paraId="57E523B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nil"/>
              <w:right w:val="nil"/>
            </w:tcBorders>
            <w:shd w:val="clear" w:color="auto" w:fill="auto"/>
            <w:noWrap/>
            <w:vAlign w:val="center"/>
            <w:hideMark/>
          </w:tcPr>
          <w:p w14:paraId="0C9867CC"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(120 799)</w:t>
            </w:r>
          </w:p>
        </w:tc>
      </w:tr>
      <w:tr w:rsidR="00BE56A5" w:rsidRPr="00BB7C9E" w14:paraId="6B241532" w14:textId="77777777" w:rsidTr="000E7B65">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2637C2E4"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likwidacji</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443C6E5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D6193FC"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(102)</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037713F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(31 833)</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0A4600BE"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(799)</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3A971EDD"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(84 820)</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287D3B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(17)</w:t>
            </w:r>
          </w:p>
        </w:tc>
        <w:tc>
          <w:tcPr>
            <w:tcW w:w="1077" w:type="dxa"/>
            <w:tcBorders>
              <w:top w:val="single" w:sz="4" w:space="0" w:color="0077BD"/>
              <w:left w:val="nil"/>
              <w:bottom w:val="single" w:sz="4" w:space="0" w:color="0077BD"/>
              <w:right w:val="nil"/>
            </w:tcBorders>
            <w:shd w:val="clear" w:color="auto" w:fill="auto"/>
            <w:noWrap/>
            <w:vAlign w:val="center"/>
            <w:hideMark/>
          </w:tcPr>
          <w:p w14:paraId="3FD1B54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(117 571)</w:t>
            </w:r>
          </w:p>
        </w:tc>
      </w:tr>
      <w:tr w:rsidR="00BE56A5" w:rsidRPr="00BB7C9E" w14:paraId="04007DB1" w14:textId="77777777" w:rsidTr="000E7B65">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624E060A"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przekazania na środki trwałe</w:t>
            </w:r>
          </w:p>
        </w:tc>
        <w:tc>
          <w:tcPr>
            <w:tcW w:w="1077" w:type="dxa"/>
            <w:tcBorders>
              <w:top w:val="nil"/>
              <w:left w:val="nil"/>
              <w:bottom w:val="single" w:sz="4" w:space="0" w:color="0077BD"/>
              <w:right w:val="single" w:sz="8" w:space="0" w:color="0077BD"/>
            </w:tcBorders>
            <w:shd w:val="clear" w:color="auto" w:fill="auto"/>
            <w:noWrap/>
            <w:vAlign w:val="center"/>
            <w:hideMark/>
          </w:tcPr>
          <w:p w14:paraId="664A969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5680A48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2033CDC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7E6AB1E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5E38880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39C7073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(117 298)</w:t>
            </w:r>
          </w:p>
        </w:tc>
        <w:tc>
          <w:tcPr>
            <w:tcW w:w="1077" w:type="dxa"/>
            <w:tcBorders>
              <w:top w:val="nil"/>
              <w:left w:val="nil"/>
              <w:bottom w:val="single" w:sz="4" w:space="0" w:color="0077BD"/>
              <w:right w:val="nil"/>
            </w:tcBorders>
            <w:shd w:val="clear" w:color="auto" w:fill="auto"/>
            <w:noWrap/>
            <w:vAlign w:val="center"/>
            <w:hideMark/>
          </w:tcPr>
          <w:p w14:paraId="236C122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(117 298)</w:t>
            </w:r>
          </w:p>
        </w:tc>
      </w:tr>
      <w:tr w:rsidR="00BE56A5" w:rsidRPr="00BB7C9E" w14:paraId="747EC6B5"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4E200242"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innych zmniejszeń</w:t>
            </w:r>
          </w:p>
        </w:tc>
        <w:tc>
          <w:tcPr>
            <w:tcW w:w="1077" w:type="dxa"/>
            <w:tcBorders>
              <w:top w:val="nil"/>
              <w:left w:val="nil"/>
              <w:bottom w:val="single" w:sz="8" w:space="0" w:color="0077BD"/>
              <w:right w:val="single" w:sz="8" w:space="0" w:color="0077BD"/>
            </w:tcBorders>
            <w:shd w:val="clear" w:color="auto" w:fill="auto"/>
            <w:noWrap/>
            <w:vAlign w:val="center"/>
            <w:hideMark/>
          </w:tcPr>
          <w:p w14:paraId="3D038B2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4BFDFD3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69E8A4C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(727)</w:t>
            </w:r>
          </w:p>
        </w:tc>
        <w:tc>
          <w:tcPr>
            <w:tcW w:w="1077" w:type="dxa"/>
            <w:tcBorders>
              <w:top w:val="nil"/>
              <w:left w:val="nil"/>
              <w:bottom w:val="single" w:sz="8" w:space="0" w:color="0077BD"/>
              <w:right w:val="single" w:sz="8" w:space="0" w:color="0077BD"/>
            </w:tcBorders>
            <w:shd w:val="clear" w:color="auto" w:fill="auto"/>
            <w:noWrap/>
            <w:vAlign w:val="center"/>
            <w:hideMark/>
          </w:tcPr>
          <w:p w14:paraId="1D05AF00"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(8 618)</w:t>
            </w:r>
          </w:p>
        </w:tc>
        <w:tc>
          <w:tcPr>
            <w:tcW w:w="1077" w:type="dxa"/>
            <w:tcBorders>
              <w:top w:val="nil"/>
              <w:left w:val="nil"/>
              <w:bottom w:val="single" w:sz="8" w:space="0" w:color="0077BD"/>
              <w:right w:val="single" w:sz="8" w:space="0" w:color="0077BD"/>
            </w:tcBorders>
            <w:shd w:val="clear" w:color="auto" w:fill="auto"/>
            <w:noWrap/>
            <w:vAlign w:val="center"/>
            <w:hideMark/>
          </w:tcPr>
          <w:p w14:paraId="7E17448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(28)</w:t>
            </w:r>
          </w:p>
        </w:tc>
        <w:tc>
          <w:tcPr>
            <w:tcW w:w="1077" w:type="dxa"/>
            <w:tcBorders>
              <w:top w:val="nil"/>
              <w:left w:val="nil"/>
              <w:bottom w:val="single" w:sz="8" w:space="0" w:color="0077BD"/>
              <w:right w:val="single" w:sz="8" w:space="0" w:color="0077BD"/>
            </w:tcBorders>
            <w:shd w:val="clear" w:color="auto" w:fill="auto"/>
            <w:noWrap/>
            <w:vAlign w:val="center"/>
            <w:hideMark/>
          </w:tcPr>
          <w:p w14:paraId="5DACCB5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(38 661)</w:t>
            </w:r>
          </w:p>
        </w:tc>
        <w:tc>
          <w:tcPr>
            <w:tcW w:w="1077" w:type="dxa"/>
            <w:tcBorders>
              <w:top w:val="nil"/>
              <w:left w:val="nil"/>
              <w:bottom w:val="single" w:sz="8" w:space="0" w:color="0077BD"/>
              <w:right w:val="nil"/>
            </w:tcBorders>
            <w:shd w:val="clear" w:color="auto" w:fill="auto"/>
            <w:noWrap/>
            <w:vAlign w:val="center"/>
            <w:hideMark/>
          </w:tcPr>
          <w:p w14:paraId="4902338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(48 034)</w:t>
            </w:r>
          </w:p>
        </w:tc>
      </w:tr>
      <w:tr w:rsidR="00BE56A5" w:rsidRPr="00BB7C9E" w14:paraId="132A9931" w14:textId="77777777" w:rsidTr="000E7B65">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3E9A0EB5" w14:textId="253DC1B3"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Wartość brutto rzeczowych aktywów trwałych</w:t>
            </w:r>
            <w:r w:rsidR="00904084" w:rsidRPr="00BB7C9E">
              <w:rPr>
                <w:rFonts w:cs="Calibri"/>
                <w:b/>
                <w:bCs/>
                <w:color w:val="000000" w:themeColor="text1"/>
                <w:sz w:val="11"/>
                <w:szCs w:val="11"/>
              </w:rPr>
              <w:t xml:space="preserve"> na koniec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37330075"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1 033</w:t>
            </w:r>
          </w:p>
        </w:tc>
        <w:tc>
          <w:tcPr>
            <w:tcW w:w="1077" w:type="dxa"/>
            <w:tcBorders>
              <w:top w:val="nil"/>
              <w:left w:val="nil"/>
              <w:bottom w:val="single" w:sz="8" w:space="0" w:color="0077BD"/>
              <w:right w:val="single" w:sz="8" w:space="0" w:color="0077BD"/>
            </w:tcBorders>
            <w:shd w:val="clear" w:color="auto" w:fill="auto"/>
            <w:noWrap/>
            <w:vAlign w:val="center"/>
            <w:hideMark/>
          </w:tcPr>
          <w:p w14:paraId="3AA56604"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321 532</w:t>
            </w:r>
          </w:p>
        </w:tc>
        <w:tc>
          <w:tcPr>
            <w:tcW w:w="1077" w:type="dxa"/>
            <w:tcBorders>
              <w:top w:val="nil"/>
              <w:left w:val="nil"/>
              <w:bottom w:val="single" w:sz="8" w:space="0" w:color="0077BD"/>
              <w:right w:val="single" w:sz="8" w:space="0" w:color="0077BD"/>
            </w:tcBorders>
            <w:shd w:val="clear" w:color="auto" w:fill="auto"/>
            <w:noWrap/>
            <w:vAlign w:val="center"/>
            <w:hideMark/>
          </w:tcPr>
          <w:p w14:paraId="7647754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766 305</w:t>
            </w:r>
          </w:p>
        </w:tc>
        <w:tc>
          <w:tcPr>
            <w:tcW w:w="1077" w:type="dxa"/>
            <w:tcBorders>
              <w:top w:val="nil"/>
              <w:left w:val="nil"/>
              <w:bottom w:val="single" w:sz="8" w:space="0" w:color="0077BD"/>
              <w:right w:val="single" w:sz="8" w:space="0" w:color="0077BD"/>
            </w:tcBorders>
            <w:shd w:val="clear" w:color="auto" w:fill="auto"/>
            <w:noWrap/>
            <w:vAlign w:val="center"/>
            <w:hideMark/>
          </w:tcPr>
          <w:p w14:paraId="2E6C009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333 804</w:t>
            </w:r>
          </w:p>
        </w:tc>
        <w:tc>
          <w:tcPr>
            <w:tcW w:w="1077" w:type="dxa"/>
            <w:tcBorders>
              <w:top w:val="nil"/>
              <w:left w:val="nil"/>
              <w:bottom w:val="single" w:sz="8" w:space="0" w:color="0077BD"/>
              <w:right w:val="single" w:sz="8" w:space="0" w:color="0077BD"/>
            </w:tcBorders>
            <w:shd w:val="clear" w:color="auto" w:fill="auto"/>
            <w:noWrap/>
            <w:vAlign w:val="center"/>
            <w:hideMark/>
          </w:tcPr>
          <w:p w14:paraId="00604169"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409 582</w:t>
            </w:r>
          </w:p>
        </w:tc>
        <w:tc>
          <w:tcPr>
            <w:tcW w:w="1077" w:type="dxa"/>
            <w:tcBorders>
              <w:top w:val="nil"/>
              <w:left w:val="nil"/>
              <w:bottom w:val="single" w:sz="8" w:space="0" w:color="0077BD"/>
              <w:right w:val="single" w:sz="8" w:space="0" w:color="0077BD"/>
            </w:tcBorders>
            <w:shd w:val="clear" w:color="auto" w:fill="auto"/>
            <w:noWrap/>
            <w:vAlign w:val="center"/>
            <w:hideMark/>
          </w:tcPr>
          <w:p w14:paraId="07B9F95E"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116 566</w:t>
            </w:r>
          </w:p>
        </w:tc>
        <w:tc>
          <w:tcPr>
            <w:tcW w:w="1077" w:type="dxa"/>
            <w:tcBorders>
              <w:top w:val="nil"/>
              <w:left w:val="nil"/>
              <w:bottom w:val="single" w:sz="8" w:space="0" w:color="0077BD"/>
              <w:right w:val="nil"/>
            </w:tcBorders>
            <w:shd w:val="clear" w:color="auto" w:fill="auto"/>
            <w:noWrap/>
            <w:vAlign w:val="center"/>
            <w:hideMark/>
          </w:tcPr>
          <w:p w14:paraId="04A042A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1 948 822</w:t>
            </w:r>
          </w:p>
        </w:tc>
      </w:tr>
      <w:tr w:rsidR="00BE56A5" w:rsidRPr="00BB7C9E" w14:paraId="21FC1889" w14:textId="77777777" w:rsidTr="000E7B65">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6443B9C7" w14:textId="4057DB51"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Skumulowana amortyzacja (umorzenie) n</w:t>
            </w:r>
            <w:r w:rsidR="00904084" w:rsidRPr="00BB7C9E">
              <w:rPr>
                <w:rFonts w:cs="Calibri"/>
                <w:b/>
                <w:bCs/>
                <w:color w:val="000000" w:themeColor="text1"/>
                <w:sz w:val="11"/>
                <w:szCs w:val="11"/>
              </w:rPr>
              <w:t>a początek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153AFD75"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131A3624"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(109 377)</w:t>
            </w:r>
          </w:p>
        </w:tc>
        <w:tc>
          <w:tcPr>
            <w:tcW w:w="1077" w:type="dxa"/>
            <w:tcBorders>
              <w:top w:val="nil"/>
              <w:left w:val="nil"/>
              <w:bottom w:val="single" w:sz="8" w:space="0" w:color="0077BD"/>
              <w:right w:val="single" w:sz="8" w:space="0" w:color="0077BD"/>
            </w:tcBorders>
            <w:shd w:val="clear" w:color="auto" w:fill="auto"/>
            <w:noWrap/>
            <w:vAlign w:val="center"/>
            <w:hideMark/>
          </w:tcPr>
          <w:p w14:paraId="6F9BC53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(545 534)</w:t>
            </w:r>
          </w:p>
        </w:tc>
        <w:tc>
          <w:tcPr>
            <w:tcW w:w="1077" w:type="dxa"/>
            <w:tcBorders>
              <w:top w:val="nil"/>
              <w:left w:val="nil"/>
              <w:bottom w:val="single" w:sz="8" w:space="0" w:color="0077BD"/>
              <w:right w:val="single" w:sz="8" w:space="0" w:color="0077BD"/>
            </w:tcBorders>
            <w:shd w:val="clear" w:color="auto" w:fill="auto"/>
            <w:noWrap/>
            <w:vAlign w:val="center"/>
            <w:hideMark/>
          </w:tcPr>
          <w:p w14:paraId="45EA9DE9"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(113 821)</w:t>
            </w:r>
          </w:p>
        </w:tc>
        <w:tc>
          <w:tcPr>
            <w:tcW w:w="1077" w:type="dxa"/>
            <w:tcBorders>
              <w:top w:val="nil"/>
              <w:left w:val="nil"/>
              <w:bottom w:val="single" w:sz="8" w:space="0" w:color="0077BD"/>
              <w:right w:val="single" w:sz="8" w:space="0" w:color="0077BD"/>
            </w:tcBorders>
            <w:shd w:val="clear" w:color="auto" w:fill="auto"/>
            <w:noWrap/>
            <w:vAlign w:val="center"/>
            <w:hideMark/>
          </w:tcPr>
          <w:p w14:paraId="54B8CB16"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(357 717)</w:t>
            </w:r>
          </w:p>
        </w:tc>
        <w:tc>
          <w:tcPr>
            <w:tcW w:w="1077" w:type="dxa"/>
            <w:tcBorders>
              <w:top w:val="nil"/>
              <w:left w:val="nil"/>
              <w:bottom w:val="single" w:sz="8" w:space="0" w:color="0077BD"/>
              <w:right w:val="single" w:sz="8" w:space="0" w:color="0077BD"/>
            </w:tcBorders>
            <w:shd w:val="clear" w:color="auto" w:fill="auto"/>
            <w:noWrap/>
            <w:vAlign w:val="center"/>
            <w:hideMark/>
          </w:tcPr>
          <w:p w14:paraId="5053E3D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nil"/>
            </w:tcBorders>
            <w:shd w:val="clear" w:color="auto" w:fill="auto"/>
            <w:noWrap/>
            <w:vAlign w:val="center"/>
            <w:hideMark/>
          </w:tcPr>
          <w:p w14:paraId="3D5932BC"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(1 126 449)</w:t>
            </w:r>
          </w:p>
        </w:tc>
      </w:tr>
      <w:tr w:rsidR="00BE56A5" w:rsidRPr="00BB7C9E" w14:paraId="5A230403"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5F46091F" w14:textId="32390F74"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Amortyzacja za okres z tytułu</w:t>
            </w:r>
            <w:r w:rsidR="00BD1193">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1CD8E3CC"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47A7D46A"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(2 081)</w:t>
            </w:r>
          </w:p>
        </w:tc>
        <w:tc>
          <w:tcPr>
            <w:tcW w:w="1077" w:type="dxa"/>
            <w:tcBorders>
              <w:top w:val="nil"/>
              <w:left w:val="nil"/>
              <w:bottom w:val="single" w:sz="8" w:space="0" w:color="0077BD"/>
              <w:right w:val="single" w:sz="8" w:space="0" w:color="0077BD"/>
            </w:tcBorders>
            <w:shd w:val="clear" w:color="auto" w:fill="auto"/>
            <w:noWrap/>
            <w:vAlign w:val="center"/>
            <w:hideMark/>
          </w:tcPr>
          <w:p w14:paraId="0C8CAF0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(34 703)</w:t>
            </w:r>
          </w:p>
        </w:tc>
        <w:tc>
          <w:tcPr>
            <w:tcW w:w="1077" w:type="dxa"/>
            <w:tcBorders>
              <w:top w:val="nil"/>
              <w:left w:val="nil"/>
              <w:bottom w:val="single" w:sz="8" w:space="0" w:color="0077BD"/>
              <w:right w:val="single" w:sz="8" w:space="0" w:color="0077BD"/>
            </w:tcBorders>
            <w:shd w:val="clear" w:color="auto" w:fill="auto"/>
            <w:noWrap/>
            <w:vAlign w:val="center"/>
            <w:hideMark/>
          </w:tcPr>
          <w:p w14:paraId="0C23E5E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(708)</w:t>
            </w:r>
          </w:p>
        </w:tc>
        <w:tc>
          <w:tcPr>
            <w:tcW w:w="1077" w:type="dxa"/>
            <w:tcBorders>
              <w:top w:val="nil"/>
              <w:left w:val="nil"/>
              <w:bottom w:val="single" w:sz="8" w:space="0" w:color="0077BD"/>
              <w:right w:val="single" w:sz="8" w:space="0" w:color="0077BD"/>
            </w:tcBorders>
            <w:shd w:val="clear" w:color="auto" w:fill="auto"/>
            <w:noWrap/>
            <w:vAlign w:val="center"/>
            <w:hideMark/>
          </w:tcPr>
          <w:p w14:paraId="5836BB0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57 615</w:t>
            </w:r>
          </w:p>
        </w:tc>
        <w:tc>
          <w:tcPr>
            <w:tcW w:w="1077" w:type="dxa"/>
            <w:tcBorders>
              <w:top w:val="nil"/>
              <w:left w:val="nil"/>
              <w:bottom w:val="single" w:sz="8" w:space="0" w:color="0077BD"/>
              <w:right w:val="single" w:sz="8" w:space="0" w:color="0077BD"/>
            </w:tcBorders>
            <w:shd w:val="clear" w:color="auto" w:fill="auto"/>
            <w:noWrap/>
            <w:vAlign w:val="center"/>
            <w:hideMark/>
          </w:tcPr>
          <w:p w14:paraId="46B12680"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nil"/>
            </w:tcBorders>
            <w:shd w:val="clear" w:color="auto" w:fill="auto"/>
            <w:noWrap/>
            <w:vAlign w:val="center"/>
            <w:hideMark/>
          </w:tcPr>
          <w:p w14:paraId="151ED01F"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20 123</w:t>
            </w:r>
          </w:p>
        </w:tc>
      </w:tr>
      <w:tr w:rsidR="00BE56A5" w:rsidRPr="00BB7C9E" w14:paraId="7DA2344A" w14:textId="77777777" w:rsidTr="000E7B65">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0C5DBD43"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odpisów</w:t>
            </w:r>
          </w:p>
        </w:tc>
        <w:tc>
          <w:tcPr>
            <w:tcW w:w="1077" w:type="dxa"/>
            <w:tcBorders>
              <w:top w:val="nil"/>
              <w:left w:val="nil"/>
              <w:bottom w:val="single" w:sz="4" w:space="0" w:color="0077BD"/>
              <w:right w:val="single" w:sz="8" w:space="0" w:color="0077BD"/>
            </w:tcBorders>
            <w:shd w:val="clear" w:color="auto" w:fill="auto"/>
            <w:noWrap/>
            <w:vAlign w:val="center"/>
            <w:hideMark/>
          </w:tcPr>
          <w:p w14:paraId="0332627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3EF8791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(6 948)</w:t>
            </w:r>
          </w:p>
        </w:tc>
        <w:tc>
          <w:tcPr>
            <w:tcW w:w="1077" w:type="dxa"/>
            <w:tcBorders>
              <w:top w:val="nil"/>
              <w:left w:val="nil"/>
              <w:bottom w:val="single" w:sz="4" w:space="0" w:color="0077BD"/>
              <w:right w:val="single" w:sz="8" w:space="0" w:color="0077BD"/>
            </w:tcBorders>
            <w:shd w:val="clear" w:color="auto" w:fill="auto"/>
            <w:noWrap/>
            <w:vAlign w:val="center"/>
            <w:hideMark/>
          </w:tcPr>
          <w:p w14:paraId="5D4A9650"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(75 010)</w:t>
            </w:r>
          </w:p>
        </w:tc>
        <w:tc>
          <w:tcPr>
            <w:tcW w:w="1077" w:type="dxa"/>
            <w:tcBorders>
              <w:top w:val="nil"/>
              <w:left w:val="nil"/>
              <w:bottom w:val="single" w:sz="4" w:space="0" w:color="0077BD"/>
              <w:right w:val="single" w:sz="8" w:space="0" w:color="0077BD"/>
            </w:tcBorders>
            <w:shd w:val="clear" w:color="auto" w:fill="auto"/>
            <w:noWrap/>
            <w:vAlign w:val="center"/>
            <w:hideMark/>
          </w:tcPr>
          <w:p w14:paraId="117570EE"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(54 725)</w:t>
            </w:r>
          </w:p>
        </w:tc>
        <w:tc>
          <w:tcPr>
            <w:tcW w:w="1077" w:type="dxa"/>
            <w:tcBorders>
              <w:top w:val="nil"/>
              <w:left w:val="nil"/>
              <w:bottom w:val="single" w:sz="4" w:space="0" w:color="0077BD"/>
              <w:right w:val="single" w:sz="8" w:space="0" w:color="0077BD"/>
            </w:tcBorders>
            <w:shd w:val="clear" w:color="auto" w:fill="auto"/>
            <w:noWrap/>
            <w:vAlign w:val="center"/>
            <w:hideMark/>
          </w:tcPr>
          <w:p w14:paraId="617A0338"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(29 395)</w:t>
            </w:r>
          </w:p>
        </w:tc>
        <w:tc>
          <w:tcPr>
            <w:tcW w:w="1077" w:type="dxa"/>
            <w:tcBorders>
              <w:top w:val="nil"/>
              <w:left w:val="nil"/>
              <w:bottom w:val="single" w:sz="4" w:space="0" w:color="0077BD"/>
              <w:right w:val="single" w:sz="8" w:space="0" w:color="0077BD"/>
            </w:tcBorders>
            <w:shd w:val="clear" w:color="auto" w:fill="auto"/>
            <w:noWrap/>
            <w:vAlign w:val="center"/>
            <w:hideMark/>
          </w:tcPr>
          <w:p w14:paraId="20DA745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nil"/>
            </w:tcBorders>
            <w:shd w:val="clear" w:color="auto" w:fill="auto"/>
            <w:noWrap/>
            <w:vAlign w:val="center"/>
            <w:hideMark/>
          </w:tcPr>
          <w:p w14:paraId="77AE87F2"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(166 078)</w:t>
            </w:r>
          </w:p>
        </w:tc>
      </w:tr>
      <w:tr w:rsidR="00BE56A5" w:rsidRPr="00BB7C9E" w14:paraId="49F23B4B" w14:textId="77777777" w:rsidTr="000E7B65">
        <w:trPr>
          <w:trHeight w:val="284"/>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58CB20F4"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innych zwiększeń</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03BC106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60CDF82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58B543CF"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(147)</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3CF7480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7592D04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(458)</w:t>
            </w:r>
          </w:p>
        </w:tc>
        <w:tc>
          <w:tcPr>
            <w:tcW w:w="1077" w:type="dxa"/>
            <w:tcBorders>
              <w:top w:val="single" w:sz="4" w:space="0" w:color="0077BD"/>
              <w:left w:val="nil"/>
              <w:bottom w:val="single" w:sz="4" w:space="0" w:color="0077BD"/>
              <w:right w:val="single" w:sz="8" w:space="0" w:color="0077BD"/>
            </w:tcBorders>
            <w:shd w:val="clear" w:color="auto" w:fill="auto"/>
            <w:noWrap/>
            <w:vAlign w:val="center"/>
            <w:hideMark/>
          </w:tcPr>
          <w:p w14:paraId="1C4CA27D"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single" w:sz="4" w:space="0" w:color="0077BD"/>
              <w:left w:val="nil"/>
              <w:bottom w:val="single" w:sz="4" w:space="0" w:color="0077BD"/>
              <w:right w:val="nil"/>
            </w:tcBorders>
            <w:shd w:val="clear" w:color="auto" w:fill="auto"/>
            <w:noWrap/>
            <w:vAlign w:val="center"/>
            <w:hideMark/>
          </w:tcPr>
          <w:p w14:paraId="43024A8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(605)</w:t>
            </w:r>
          </w:p>
        </w:tc>
      </w:tr>
      <w:tr w:rsidR="00BE56A5" w:rsidRPr="00BB7C9E" w14:paraId="331CB2C6" w14:textId="77777777" w:rsidTr="000E7B65">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6CD977B2"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sprzedaży</w:t>
            </w:r>
          </w:p>
        </w:tc>
        <w:tc>
          <w:tcPr>
            <w:tcW w:w="1077" w:type="dxa"/>
            <w:tcBorders>
              <w:top w:val="nil"/>
              <w:left w:val="nil"/>
              <w:bottom w:val="single" w:sz="4" w:space="0" w:color="0077BD"/>
              <w:right w:val="single" w:sz="8" w:space="0" w:color="0077BD"/>
            </w:tcBorders>
            <w:shd w:val="clear" w:color="auto" w:fill="auto"/>
            <w:noWrap/>
            <w:vAlign w:val="center"/>
            <w:hideMark/>
          </w:tcPr>
          <w:p w14:paraId="6DD1E47E"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2837A74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4 832</w:t>
            </w:r>
          </w:p>
        </w:tc>
        <w:tc>
          <w:tcPr>
            <w:tcW w:w="1077" w:type="dxa"/>
            <w:tcBorders>
              <w:top w:val="nil"/>
              <w:left w:val="nil"/>
              <w:bottom w:val="single" w:sz="4" w:space="0" w:color="0077BD"/>
              <w:right w:val="single" w:sz="8" w:space="0" w:color="0077BD"/>
            </w:tcBorders>
            <w:shd w:val="clear" w:color="auto" w:fill="auto"/>
            <w:noWrap/>
            <w:vAlign w:val="center"/>
            <w:hideMark/>
          </w:tcPr>
          <w:p w14:paraId="7A19A2E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8 766</w:t>
            </w:r>
          </w:p>
        </w:tc>
        <w:tc>
          <w:tcPr>
            <w:tcW w:w="1077" w:type="dxa"/>
            <w:tcBorders>
              <w:top w:val="nil"/>
              <w:left w:val="nil"/>
              <w:bottom w:val="single" w:sz="4" w:space="0" w:color="0077BD"/>
              <w:right w:val="single" w:sz="8" w:space="0" w:color="0077BD"/>
            </w:tcBorders>
            <w:shd w:val="clear" w:color="auto" w:fill="auto"/>
            <w:noWrap/>
            <w:vAlign w:val="center"/>
            <w:hideMark/>
          </w:tcPr>
          <w:p w14:paraId="448BCD7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48 121</w:t>
            </w:r>
          </w:p>
        </w:tc>
        <w:tc>
          <w:tcPr>
            <w:tcW w:w="1077" w:type="dxa"/>
            <w:tcBorders>
              <w:top w:val="nil"/>
              <w:left w:val="nil"/>
              <w:bottom w:val="single" w:sz="4" w:space="0" w:color="0077BD"/>
              <w:right w:val="single" w:sz="8" w:space="0" w:color="0077BD"/>
            </w:tcBorders>
            <w:shd w:val="clear" w:color="auto" w:fill="auto"/>
            <w:noWrap/>
            <w:vAlign w:val="center"/>
            <w:hideMark/>
          </w:tcPr>
          <w:p w14:paraId="42561BC8"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3 155</w:t>
            </w:r>
          </w:p>
        </w:tc>
        <w:tc>
          <w:tcPr>
            <w:tcW w:w="1077" w:type="dxa"/>
            <w:tcBorders>
              <w:top w:val="nil"/>
              <w:left w:val="nil"/>
              <w:bottom w:val="single" w:sz="4" w:space="0" w:color="0077BD"/>
              <w:right w:val="single" w:sz="8" w:space="0" w:color="0077BD"/>
            </w:tcBorders>
            <w:shd w:val="clear" w:color="auto" w:fill="auto"/>
            <w:noWrap/>
            <w:vAlign w:val="center"/>
            <w:hideMark/>
          </w:tcPr>
          <w:p w14:paraId="7C74A16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nil"/>
            </w:tcBorders>
            <w:shd w:val="clear" w:color="auto" w:fill="auto"/>
            <w:noWrap/>
            <w:vAlign w:val="center"/>
            <w:hideMark/>
          </w:tcPr>
          <w:p w14:paraId="216176F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64 874</w:t>
            </w:r>
          </w:p>
        </w:tc>
      </w:tr>
      <w:tr w:rsidR="00BE56A5" w:rsidRPr="00BB7C9E" w14:paraId="0DDD51C3" w14:textId="77777777" w:rsidTr="000E7B65">
        <w:trPr>
          <w:trHeight w:val="284"/>
        </w:trPr>
        <w:tc>
          <w:tcPr>
            <w:tcW w:w="1985" w:type="dxa"/>
            <w:tcBorders>
              <w:top w:val="nil"/>
              <w:left w:val="nil"/>
              <w:bottom w:val="single" w:sz="4" w:space="0" w:color="0077BD"/>
              <w:right w:val="single" w:sz="8" w:space="0" w:color="0077BD"/>
            </w:tcBorders>
            <w:shd w:val="clear" w:color="auto" w:fill="auto"/>
            <w:vAlign w:val="center"/>
            <w:hideMark/>
          </w:tcPr>
          <w:p w14:paraId="6F032ABF"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likwidacji</w:t>
            </w:r>
          </w:p>
        </w:tc>
        <w:tc>
          <w:tcPr>
            <w:tcW w:w="1077" w:type="dxa"/>
            <w:tcBorders>
              <w:top w:val="nil"/>
              <w:left w:val="nil"/>
              <w:bottom w:val="single" w:sz="4" w:space="0" w:color="0077BD"/>
              <w:right w:val="single" w:sz="8" w:space="0" w:color="0077BD"/>
            </w:tcBorders>
            <w:shd w:val="clear" w:color="auto" w:fill="auto"/>
            <w:noWrap/>
            <w:vAlign w:val="center"/>
            <w:hideMark/>
          </w:tcPr>
          <w:p w14:paraId="678BD2E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single" w:sz="8" w:space="0" w:color="0077BD"/>
            </w:tcBorders>
            <w:shd w:val="clear" w:color="auto" w:fill="auto"/>
            <w:noWrap/>
            <w:vAlign w:val="center"/>
            <w:hideMark/>
          </w:tcPr>
          <w:p w14:paraId="7A26C8F2"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35</w:t>
            </w:r>
          </w:p>
        </w:tc>
        <w:tc>
          <w:tcPr>
            <w:tcW w:w="1077" w:type="dxa"/>
            <w:tcBorders>
              <w:top w:val="nil"/>
              <w:left w:val="nil"/>
              <w:bottom w:val="single" w:sz="4" w:space="0" w:color="0077BD"/>
              <w:right w:val="single" w:sz="8" w:space="0" w:color="0077BD"/>
            </w:tcBorders>
            <w:shd w:val="clear" w:color="auto" w:fill="auto"/>
            <w:noWrap/>
            <w:vAlign w:val="center"/>
            <w:hideMark/>
          </w:tcPr>
          <w:p w14:paraId="3CF7F4BC"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31 587</w:t>
            </w:r>
          </w:p>
        </w:tc>
        <w:tc>
          <w:tcPr>
            <w:tcW w:w="1077" w:type="dxa"/>
            <w:tcBorders>
              <w:top w:val="nil"/>
              <w:left w:val="nil"/>
              <w:bottom w:val="single" w:sz="4" w:space="0" w:color="0077BD"/>
              <w:right w:val="single" w:sz="8" w:space="0" w:color="0077BD"/>
            </w:tcBorders>
            <w:shd w:val="clear" w:color="auto" w:fill="auto"/>
            <w:noWrap/>
            <w:vAlign w:val="center"/>
            <w:hideMark/>
          </w:tcPr>
          <w:p w14:paraId="0F749DD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537</w:t>
            </w:r>
          </w:p>
        </w:tc>
        <w:tc>
          <w:tcPr>
            <w:tcW w:w="1077" w:type="dxa"/>
            <w:tcBorders>
              <w:top w:val="nil"/>
              <w:left w:val="nil"/>
              <w:bottom w:val="single" w:sz="4" w:space="0" w:color="0077BD"/>
              <w:right w:val="single" w:sz="8" w:space="0" w:color="0077BD"/>
            </w:tcBorders>
            <w:shd w:val="clear" w:color="auto" w:fill="auto"/>
            <w:noWrap/>
            <w:vAlign w:val="center"/>
            <w:hideMark/>
          </w:tcPr>
          <w:p w14:paraId="07D8679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84 313</w:t>
            </w:r>
          </w:p>
        </w:tc>
        <w:tc>
          <w:tcPr>
            <w:tcW w:w="1077" w:type="dxa"/>
            <w:tcBorders>
              <w:top w:val="nil"/>
              <w:left w:val="nil"/>
              <w:bottom w:val="single" w:sz="4" w:space="0" w:color="0077BD"/>
              <w:right w:val="single" w:sz="8" w:space="0" w:color="0077BD"/>
            </w:tcBorders>
            <w:shd w:val="clear" w:color="auto" w:fill="auto"/>
            <w:noWrap/>
            <w:vAlign w:val="center"/>
            <w:hideMark/>
          </w:tcPr>
          <w:p w14:paraId="140B234A"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4" w:space="0" w:color="0077BD"/>
              <w:right w:val="nil"/>
            </w:tcBorders>
            <w:shd w:val="clear" w:color="auto" w:fill="auto"/>
            <w:noWrap/>
            <w:vAlign w:val="center"/>
            <w:hideMark/>
          </w:tcPr>
          <w:p w14:paraId="0A55850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116 472</w:t>
            </w:r>
          </w:p>
        </w:tc>
      </w:tr>
      <w:tr w:rsidR="00BE56A5" w:rsidRPr="00BB7C9E" w14:paraId="52087707"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7E964EBF"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innych zmniejszeń</w:t>
            </w:r>
          </w:p>
        </w:tc>
        <w:tc>
          <w:tcPr>
            <w:tcW w:w="1077" w:type="dxa"/>
            <w:tcBorders>
              <w:top w:val="nil"/>
              <w:left w:val="nil"/>
              <w:bottom w:val="single" w:sz="8" w:space="0" w:color="0077BD"/>
              <w:right w:val="single" w:sz="8" w:space="0" w:color="0077BD"/>
            </w:tcBorders>
            <w:shd w:val="clear" w:color="auto" w:fill="auto"/>
            <w:noWrap/>
            <w:vAlign w:val="center"/>
            <w:hideMark/>
          </w:tcPr>
          <w:p w14:paraId="6757FC5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357827F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5DA1F57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101</w:t>
            </w:r>
          </w:p>
        </w:tc>
        <w:tc>
          <w:tcPr>
            <w:tcW w:w="1077" w:type="dxa"/>
            <w:tcBorders>
              <w:top w:val="nil"/>
              <w:left w:val="nil"/>
              <w:bottom w:val="single" w:sz="8" w:space="0" w:color="0077BD"/>
              <w:right w:val="single" w:sz="8" w:space="0" w:color="0077BD"/>
            </w:tcBorders>
            <w:shd w:val="clear" w:color="auto" w:fill="auto"/>
            <w:noWrap/>
            <w:vAlign w:val="center"/>
            <w:hideMark/>
          </w:tcPr>
          <w:p w14:paraId="29529BB1"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5 359</w:t>
            </w:r>
          </w:p>
        </w:tc>
        <w:tc>
          <w:tcPr>
            <w:tcW w:w="1077" w:type="dxa"/>
            <w:tcBorders>
              <w:top w:val="nil"/>
              <w:left w:val="nil"/>
              <w:bottom w:val="single" w:sz="8" w:space="0" w:color="0077BD"/>
              <w:right w:val="single" w:sz="8" w:space="0" w:color="0077BD"/>
            </w:tcBorders>
            <w:shd w:val="clear" w:color="auto" w:fill="auto"/>
            <w:noWrap/>
            <w:vAlign w:val="center"/>
            <w:hideMark/>
          </w:tcPr>
          <w:p w14:paraId="612B9763"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605B92BF"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nil"/>
            </w:tcBorders>
            <w:shd w:val="clear" w:color="auto" w:fill="auto"/>
            <w:noWrap/>
            <w:vAlign w:val="center"/>
            <w:hideMark/>
          </w:tcPr>
          <w:p w14:paraId="341984CD"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5 460</w:t>
            </w:r>
          </w:p>
        </w:tc>
      </w:tr>
      <w:tr w:rsidR="00BE56A5" w:rsidRPr="00BB7C9E" w14:paraId="6D7E23E7" w14:textId="77777777" w:rsidTr="00904084">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29CB171E" w14:textId="5C086DC3"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Skumulowana amortyzacja (umorzenie)</w:t>
            </w:r>
            <w:r w:rsidR="00BD1193">
              <w:rPr>
                <w:rFonts w:cs="Calibri"/>
                <w:b/>
                <w:bCs/>
                <w:color w:val="000000" w:themeColor="text1"/>
                <w:sz w:val="11"/>
                <w:szCs w:val="11"/>
              </w:rPr>
              <w:t xml:space="preserve"> na koniec okresu</w:t>
            </w:r>
            <w:r w:rsidR="00904084" w:rsidRPr="00BB7C9E">
              <w:rPr>
                <w:rFonts w:cs="Calibri"/>
                <w:b/>
                <w:bCs/>
                <w:color w:val="000000" w:themeColor="text1"/>
                <w:sz w:val="11"/>
                <w:szCs w:val="11"/>
              </w:rPr>
              <w:t xml:space="preserve"> </w:t>
            </w:r>
          </w:p>
        </w:tc>
        <w:tc>
          <w:tcPr>
            <w:tcW w:w="1077" w:type="dxa"/>
            <w:tcBorders>
              <w:top w:val="nil"/>
              <w:left w:val="nil"/>
              <w:bottom w:val="single" w:sz="8" w:space="0" w:color="0077BD"/>
              <w:right w:val="single" w:sz="8" w:space="0" w:color="0077BD"/>
            </w:tcBorders>
            <w:shd w:val="clear" w:color="auto" w:fill="auto"/>
            <w:noWrap/>
            <w:vAlign w:val="center"/>
            <w:hideMark/>
          </w:tcPr>
          <w:p w14:paraId="6F42AFF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6C6671CC"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(111 458)</w:t>
            </w:r>
          </w:p>
        </w:tc>
        <w:tc>
          <w:tcPr>
            <w:tcW w:w="1077" w:type="dxa"/>
            <w:tcBorders>
              <w:top w:val="nil"/>
              <w:left w:val="nil"/>
              <w:bottom w:val="single" w:sz="8" w:space="0" w:color="0077BD"/>
              <w:right w:val="single" w:sz="8" w:space="0" w:color="0077BD"/>
            </w:tcBorders>
            <w:shd w:val="clear" w:color="auto" w:fill="auto"/>
            <w:noWrap/>
            <w:vAlign w:val="center"/>
            <w:hideMark/>
          </w:tcPr>
          <w:p w14:paraId="312886B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(580 237)</w:t>
            </w:r>
          </w:p>
        </w:tc>
        <w:tc>
          <w:tcPr>
            <w:tcW w:w="1077" w:type="dxa"/>
            <w:tcBorders>
              <w:top w:val="nil"/>
              <w:left w:val="nil"/>
              <w:bottom w:val="single" w:sz="8" w:space="0" w:color="0077BD"/>
              <w:right w:val="single" w:sz="8" w:space="0" w:color="0077BD"/>
            </w:tcBorders>
            <w:shd w:val="clear" w:color="auto" w:fill="auto"/>
            <w:noWrap/>
            <w:vAlign w:val="center"/>
            <w:hideMark/>
          </w:tcPr>
          <w:p w14:paraId="7AC5BC3A"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(114 529)</w:t>
            </w:r>
          </w:p>
        </w:tc>
        <w:tc>
          <w:tcPr>
            <w:tcW w:w="1077" w:type="dxa"/>
            <w:tcBorders>
              <w:top w:val="nil"/>
              <w:left w:val="nil"/>
              <w:bottom w:val="single" w:sz="8" w:space="0" w:color="0077BD"/>
              <w:right w:val="single" w:sz="8" w:space="0" w:color="0077BD"/>
            </w:tcBorders>
            <w:shd w:val="clear" w:color="auto" w:fill="auto"/>
            <w:noWrap/>
            <w:vAlign w:val="center"/>
            <w:hideMark/>
          </w:tcPr>
          <w:p w14:paraId="0ED2E66C"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(300 102)</w:t>
            </w:r>
          </w:p>
        </w:tc>
        <w:tc>
          <w:tcPr>
            <w:tcW w:w="1077" w:type="dxa"/>
            <w:tcBorders>
              <w:top w:val="nil"/>
              <w:left w:val="nil"/>
              <w:bottom w:val="single" w:sz="8" w:space="0" w:color="0077BD"/>
              <w:right w:val="single" w:sz="8" w:space="0" w:color="0077BD"/>
            </w:tcBorders>
            <w:shd w:val="clear" w:color="auto" w:fill="auto"/>
            <w:noWrap/>
            <w:vAlign w:val="center"/>
            <w:hideMark/>
          </w:tcPr>
          <w:p w14:paraId="4BDE7FB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nil"/>
            </w:tcBorders>
            <w:shd w:val="clear" w:color="auto" w:fill="auto"/>
            <w:noWrap/>
            <w:vAlign w:val="center"/>
            <w:hideMark/>
          </w:tcPr>
          <w:p w14:paraId="31D5ADE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(1 106 326)</w:t>
            </w:r>
          </w:p>
        </w:tc>
      </w:tr>
      <w:tr w:rsidR="00BE56A5" w:rsidRPr="00BB7C9E" w14:paraId="0198C71D" w14:textId="77777777" w:rsidTr="00904084">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1B3447B6" w14:textId="7B4EBD49"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Odpisy z tytułu utraty wartości n</w:t>
            </w:r>
            <w:r w:rsidR="00904084" w:rsidRPr="00BB7C9E">
              <w:rPr>
                <w:rFonts w:cs="Calibri"/>
                <w:b/>
                <w:bCs/>
                <w:color w:val="000000" w:themeColor="text1"/>
                <w:sz w:val="11"/>
                <w:szCs w:val="11"/>
              </w:rPr>
              <w:t>a początek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3FAFCF15"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56A83AC9"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(59 139)</w:t>
            </w:r>
          </w:p>
        </w:tc>
        <w:tc>
          <w:tcPr>
            <w:tcW w:w="1077" w:type="dxa"/>
            <w:tcBorders>
              <w:top w:val="nil"/>
              <w:left w:val="nil"/>
              <w:bottom w:val="single" w:sz="8" w:space="0" w:color="0077BD"/>
              <w:right w:val="single" w:sz="8" w:space="0" w:color="0077BD"/>
            </w:tcBorders>
            <w:shd w:val="clear" w:color="auto" w:fill="auto"/>
            <w:noWrap/>
            <w:vAlign w:val="center"/>
            <w:hideMark/>
          </w:tcPr>
          <w:p w14:paraId="0EE408EA"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(8 200)</w:t>
            </w:r>
          </w:p>
        </w:tc>
        <w:tc>
          <w:tcPr>
            <w:tcW w:w="1077" w:type="dxa"/>
            <w:tcBorders>
              <w:top w:val="nil"/>
              <w:left w:val="nil"/>
              <w:bottom w:val="single" w:sz="8" w:space="0" w:color="0077BD"/>
              <w:right w:val="single" w:sz="8" w:space="0" w:color="0077BD"/>
            </w:tcBorders>
            <w:shd w:val="clear" w:color="auto" w:fill="auto"/>
            <w:noWrap/>
            <w:vAlign w:val="center"/>
            <w:hideMark/>
          </w:tcPr>
          <w:p w14:paraId="5D36AEF4"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15E2BE74"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(131)</w:t>
            </w:r>
          </w:p>
        </w:tc>
        <w:tc>
          <w:tcPr>
            <w:tcW w:w="1077" w:type="dxa"/>
            <w:tcBorders>
              <w:top w:val="nil"/>
              <w:left w:val="nil"/>
              <w:bottom w:val="single" w:sz="8" w:space="0" w:color="0077BD"/>
              <w:right w:val="single" w:sz="8" w:space="0" w:color="0077BD"/>
            </w:tcBorders>
            <w:shd w:val="clear" w:color="auto" w:fill="auto"/>
            <w:noWrap/>
            <w:vAlign w:val="center"/>
            <w:hideMark/>
          </w:tcPr>
          <w:p w14:paraId="36B12CA0"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(136)</w:t>
            </w:r>
          </w:p>
        </w:tc>
        <w:tc>
          <w:tcPr>
            <w:tcW w:w="1077" w:type="dxa"/>
            <w:tcBorders>
              <w:top w:val="nil"/>
              <w:left w:val="nil"/>
              <w:bottom w:val="single" w:sz="8" w:space="0" w:color="0077BD"/>
              <w:right w:val="nil"/>
            </w:tcBorders>
            <w:shd w:val="clear" w:color="auto" w:fill="auto"/>
            <w:noWrap/>
            <w:vAlign w:val="center"/>
            <w:hideMark/>
          </w:tcPr>
          <w:p w14:paraId="4609D0B7"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(67 606)</w:t>
            </w:r>
          </w:p>
        </w:tc>
      </w:tr>
      <w:tr w:rsidR="00BE56A5" w:rsidRPr="00BB7C9E" w14:paraId="4B8C1BBE" w14:textId="77777777" w:rsidTr="000E7B65">
        <w:trPr>
          <w:trHeight w:val="284"/>
        </w:trPr>
        <w:tc>
          <w:tcPr>
            <w:tcW w:w="1985" w:type="dxa"/>
            <w:tcBorders>
              <w:top w:val="nil"/>
              <w:left w:val="nil"/>
              <w:bottom w:val="single" w:sz="8" w:space="0" w:color="0077BD"/>
              <w:right w:val="single" w:sz="8" w:space="0" w:color="0077BD"/>
            </w:tcBorders>
            <w:shd w:val="clear" w:color="auto" w:fill="auto"/>
            <w:vAlign w:val="center"/>
            <w:hideMark/>
          </w:tcPr>
          <w:p w14:paraId="33434DC4" w14:textId="77777777" w:rsidR="00BE56A5" w:rsidRPr="00BB7C9E" w:rsidRDefault="00BE56A5" w:rsidP="00BE56A5">
            <w:pPr>
              <w:rPr>
                <w:rFonts w:cs="Calibri"/>
                <w:color w:val="000000" w:themeColor="text1"/>
                <w:sz w:val="11"/>
                <w:szCs w:val="11"/>
              </w:rPr>
            </w:pPr>
            <w:r w:rsidRPr="00BB7C9E">
              <w:rPr>
                <w:rFonts w:cs="Calibri"/>
                <w:color w:val="000000" w:themeColor="text1"/>
                <w:sz w:val="11"/>
                <w:szCs w:val="11"/>
              </w:rPr>
              <w:t>- zmniejszenie</w:t>
            </w:r>
          </w:p>
        </w:tc>
        <w:tc>
          <w:tcPr>
            <w:tcW w:w="1077" w:type="dxa"/>
            <w:tcBorders>
              <w:top w:val="nil"/>
              <w:left w:val="nil"/>
              <w:bottom w:val="single" w:sz="8" w:space="0" w:color="0077BD"/>
              <w:right w:val="single" w:sz="8" w:space="0" w:color="0077BD"/>
            </w:tcBorders>
            <w:shd w:val="clear" w:color="auto" w:fill="auto"/>
            <w:noWrap/>
            <w:vAlign w:val="center"/>
            <w:hideMark/>
          </w:tcPr>
          <w:p w14:paraId="380B38B6"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218B7629"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9 869</w:t>
            </w:r>
          </w:p>
        </w:tc>
        <w:tc>
          <w:tcPr>
            <w:tcW w:w="1077" w:type="dxa"/>
            <w:tcBorders>
              <w:top w:val="nil"/>
              <w:left w:val="nil"/>
              <w:bottom w:val="single" w:sz="8" w:space="0" w:color="0077BD"/>
              <w:right w:val="single" w:sz="8" w:space="0" w:color="0077BD"/>
            </w:tcBorders>
            <w:shd w:val="clear" w:color="auto" w:fill="auto"/>
            <w:noWrap/>
            <w:vAlign w:val="center"/>
            <w:hideMark/>
          </w:tcPr>
          <w:p w14:paraId="7E40C6C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1616AFDD"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7F657697"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131</w:t>
            </w:r>
          </w:p>
        </w:tc>
        <w:tc>
          <w:tcPr>
            <w:tcW w:w="1077" w:type="dxa"/>
            <w:tcBorders>
              <w:top w:val="nil"/>
              <w:left w:val="nil"/>
              <w:bottom w:val="single" w:sz="8" w:space="0" w:color="0077BD"/>
              <w:right w:val="single" w:sz="8" w:space="0" w:color="0077BD"/>
            </w:tcBorders>
            <w:shd w:val="clear" w:color="auto" w:fill="auto"/>
            <w:noWrap/>
            <w:vAlign w:val="center"/>
            <w:hideMark/>
          </w:tcPr>
          <w:p w14:paraId="72837FBB"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136</w:t>
            </w:r>
          </w:p>
        </w:tc>
        <w:tc>
          <w:tcPr>
            <w:tcW w:w="1077" w:type="dxa"/>
            <w:tcBorders>
              <w:top w:val="nil"/>
              <w:left w:val="nil"/>
              <w:bottom w:val="single" w:sz="8" w:space="0" w:color="0077BD"/>
              <w:right w:val="nil"/>
            </w:tcBorders>
            <w:shd w:val="clear" w:color="auto" w:fill="auto"/>
            <w:noWrap/>
            <w:vAlign w:val="center"/>
            <w:hideMark/>
          </w:tcPr>
          <w:p w14:paraId="39C812F5" w14:textId="77777777" w:rsidR="00BE56A5" w:rsidRPr="00BB7C9E" w:rsidRDefault="00BE56A5" w:rsidP="00BE56A5">
            <w:pPr>
              <w:jc w:val="right"/>
              <w:rPr>
                <w:rFonts w:cs="Calibri"/>
                <w:color w:val="000000" w:themeColor="text1"/>
                <w:sz w:val="11"/>
                <w:szCs w:val="11"/>
              </w:rPr>
            </w:pPr>
            <w:r w:rsidRPr="00BB7C9E">
              <w:rPr>
                <w:rFonts w:cs="Calibri"/>
                <w:color w:val="000000" w:themeColor="text1"/>
                <w:sz w:val="11"/>
                <w:szCs w:val="11"/>
              </w:rPr>
              <w:t>10 136</w:t>
            </w:r>
          </w:p>
        </w:tc>
      </w:tr>
      <w:tr w:rsidR="00BE56A5" w:rsidRPr="00BB7C9E" w14:paraId="08F0D583" w14:textId="77777777" w:rsidTr="00904084">
        <w:trPr>
          <w:trHeight w:val="340"/>
        </w:trPr>
        <w:tc>
          <w:tcPr>
            <w:tcW w:w="1985" w:type="dxa"/>
            <w:tcBorders>
              <w:top w:val="nil"/>
              <w:left w:val="nil"/>
              <w:bottom w:val="single" w:sz="8" w:space="0" w:color="0077BD"/>
              <w:right w:val="single" w:sz="8" w:space="0" w:color="0077BD"/>
            </w:tcBorders>
            <w:shd w:val="clear" w:color="auto" w:fill="auto"/>
            <w:vAlign w:val="center"/>
            <w:hideMark/>
          </w:tcPr>
          <w:p w14:paraId="59112096" w14:textId="1A5EA145"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Odpisy z tytułu ut</w:t>
            </w:r>
            <w:r w:rsidR="00904084" w:rsidRPr="00BB7C9E">
              <w:rPr>
                <w:rFonts w:cs="Calibri"/>
                <w:b/>
                <w:bCs/>
                <w:color w:val="000000" w:themeColor="text1"/>
                <w:sz w:val="11"/>
                <w:szCs w:val="11"/>
              </w:rPr>
              <w:t>raty wartości na koniec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011C0F29"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2C7E444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(49 270)</w:t>
            </w:r>
          </w:p>
        </w:tc>
        <w:tc>
          <w:tcPr>
            <w:tcW w:w="1077" w:type="dxa"/>
            <w:tcBorders>
              <w:top w:val="nil"/>
              <w:left w:val="nil"/>
              <w:bottom w:val="single" w:sz="8" w:space="0" w:color="0077BD"/>
              <w:right w:val="single" w:sz="8" w:space="0" w:color="0077BD"/>
            </w:tcBorders>
            <w:shd w:val="clear" w:color="auto" w:fill="auto"/>
            <w:noWrap/>
            <w:vAlign w:val="center"/>
            <w:hideMark/>
          </w:tcPr>
          <w:p w14:paraId="030D397A"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(8 200)</w:t>
            </w:r>
          </w:p>
        </w:tc>
        <w:tc>
          <w:tcPr>
            <w:tcW w:w="1077" w:type="dxa"/>
            <w:tcBorders>
              <w:top w:val="nil"/>
              <w:left w:val="nil"/>
              <w:bottom w:val="single" w:sz="8" w:space="0" w:color="0077BD"/>
              <w:right w:val="single" w:sz="8" w:space="0" w:color="0077BD"/>
            </w:tcBorders>
            <w:shd w:val="clear" w:color="auto" w:fill="auto"/>
            <w:noWrap/>
            <w:vAlign w:val="center"/>
            <w:hideMark/>
          </w:tcPr>
          <w:p w14:paraId="2D629D5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3B3B6558"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single" w:sz="8" w:space="0" w:color="0077BD"/>
            </w:tcBorders>
            <w:shd w:val="clear" w:color="auto" w:fill="auto"/>
            <w:noWrap/>
            <w:vAlign w:val="center"/>
            <w:hideMark/>
          </w:tcPr>
          <w:p w14:paraId="70ABB96B"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w:t>
            </w:r>
          </w:p>
        </w:tc>
        <w:tc>
          <w:tcPr>
            <w:tcW w:w="1077" w:type="dxa"/>
            <w:tcBorders>
              <w:top w:val="nil"/>
              <w:left w:val="nil"/>
              <w:bottom w:val="single" w:sz="8" w:space="0" w:color="0077BD"/>
              <w:right w:val="nil"/>
            </w:tcBorders>
            <w:shd w:val="clear" w:color="auto" w:fill="auto"/>
            <w:noWrap/>
            <w:vAlign w:val="center"/>
            <w:hideMark/>
          </w:tcPr>
          <w:p w14:paraId="06F53B4E"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(57 470)</w:t>
            </w:r>
          </w:p>
        </w:tc>
      </w:tr>
      <w:tr w:rsidR="00BE56A5" w:rsidRPr="00BB7C9E" w14:paraId="0F786FFC" w14:textId="77777777" w:rsidTr="000E7B65">
        <w:trPr>
          <w:trHeight w:val="454"/>
        </w:trPr>
        <w:tc>
          <w:tcPr>
            <w:tcW w:w="1985" w:type="dxa"/>
            <w:tcBorders>
              <w:top w:val="nil"/>
              <w:left w:val="nil"/>
              <w:bottom w:val="single" w:sz="8" w:space="0" w:color="0077BD"/>
              <w:right w:val="single" w:sz="8" w:space="0" w:color="0077BD"/>
            </w:tcBorders>
            <w:shd w:val="clear" w:color="auto" w:fill="auto"/>
            <w:vAlign w:val="center"/>
            <w:hideMark/>
          </w:tcPr>
          <w:p w14:paraId="1A3BC295" w14:textId="5CB5EDD0" w:rsidR="00BE56A5" w:rsidRPr="00BB7C9E" w:rsidRDefault="00BE56A5" w:rsidP="00BE56A5">
            <w:pPr>
              <w:rPr>
                <w:rFonts w:cs="Calibri"/>
                <w:b/>
                <w:bCs/>
                <w:color w:val="000000" w:themeColor="text1"/>
                <w:sz w:val="11"/>
                <w:szCs w:val="11"/>
              </w:rPr>
            </w:pPr>
            <w:r w:rsidRPr="00BB7C9E">
              <w:rPr>
                <w:rFonts w:cs="Calibri"/>
                <w:b/>
                <w:bCs/>
                <w:color w:val="000000" w:themeColor="text1"/>
                <w:sz w:val="11"/>
                <w:szCs w:val="11"/>
              </w:rPr>
              <w:t>Wartość netto rzeczowych aktywów trwałych</w:t>
            </w:r>
            <w:r w:rsidR="00904084" w:rsidRPr="00BB7C9E">
              <w:rPr>
                <w:rFonts w:cs="Calibri"/>
                <w:b/>
                <w:bCs/>
                <w:color w:val="000000" w:themeColor="text1"/>
                <w:sz w:val="11"/>
                <w:szCs w:val="11"/>
              </w:rPr>
              <w:t xml:space="preserve"> na koniec okresu</w:t>
            </w:r>
          </w:p>
        </w:tc>
        <w:tc>
          <w:tcPr>
            <w:tcW w:w="1077" w:type="dxa"/>
            <w:tcBorders>
              <w:top w:val="nil"/>
              <w:left w:val="nil"/>
              <w:bottom w:val="single" w:sz="8" w:space="0" w:color="0077BD"/>
              <w:right w:val="single" w:sz="8" w:space="0" w:color="0077BD"/>
            </w:tcBorders>
            <w:shd w:val="clear" w:color="auto" w:fill="auto"/>
            <w:noWrap/>
            <w:vAlign w:val="center"/>
            <w:hideMark/>
          </w:tcPr>
          <w:p w14:paraId="01A4864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1 033</w:t>
            </w:r>
          </w:p>
        </w:tc>
        <w:tc>
          <w:tcPr>
            <w:tcW w:w="1077" w:type="dxa"/>
            <w:tcBorders>
              <w:top w:val="nil"/>
              <w:left w:val="nil"/>
              <w:bottom w:val="single" w:sz="8" w:space="0" w:color="0077BD"/>
              <w:right w:val="single" w:sz="8" w:space="0" w:color="0077BD"/>
            </w:tcBorders>
            <w:shd w:val="clear" w:color="auto" w:fill="auto"/>
            <w:noWrap/>
            <w:vAlign w:val="center"/>
            <w:hideMark/>
          </w:tcPr>
          <w:p w14:paraId="1FBF20F7"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160 804</w:t>
            </w:r>
          </w:p>
        </w:tc>
        <w:tc>
          <w:tcPr>
            <w:tcW w:w="1077" w:type="dxa"/>
            <w:tcBorders>
              <w:top w:val="nil"/>
              <w:left w:val="nil"/>
              <w:bottom w:val="single" w:sz="8" w:space="0" w:color="0077BD"/>
              <w:right w:val="single" w:sz="8" w:space="0" w:color="0077BD"/>
            </w:tcBorders>
            <w:shd w:val="clear" w:color="auto" w:fill="auto"/>
            <w:noWrap/>
            <w:vAlign w:val="center"/>
            <w:hideMark/>
          </w:tcPr>
          <w:p w14:paraId="026063CD"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177 868</w:t>
            </w:r>
          </w:p>
        </w:tc>
        <w:tc>
          <w:tcPr>
            <w:tcW w:w="1077" w:type="dxa"/>
            <w:tcBorders>
              <w:top w:val="nil"/>
              <w:left w:val="nil"/>
              <w:bottom w:val="single" w:sz="8" w:space="0" w:color="0077BD"/>
              <w:right w:val="single" w:sz="8" w:space="0" w:color="0077BD"/>
            </w:tcBorders>
            <w:shd w:val="clear" w:color="auto" w:fill="auto"/>
            <w:noWrap/>
            <w:vAlign w:val="center"/>
            <w:hideMark/>
          </w:tcPr>
          <w:p w14:paraId="46E153B3"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219 275</w:t>
            </w:r>
          </w:p>
        </w:tc>
        <w:tc>
          <w:tcPr>
            <w:tcW w:w="1077" w:type="dxa"/>
            <w:tcBorders>
              <w:top w:val="nil"/>
              <w:left w:val="nil"/>
              <w:bottom w:val="single" w:sz="8" w:space="0" w:color="0077BD"/>
              <w:right w:val="single" w:sz="8" w:space="0" w:color="0077BD"/>
            </w:tcBorders>
            <w:shd w:val="clear" w:color="auto" w:fill="auto"/>
            <w:noWrap/>
            <w:vAlign w:val="center"/>
            <w:hideMark/>
          </w:tcPr>
          <w:p w14:paraId="4D54E045"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109 480</w:t>
            </w:r>
          </w:p>
        </w:tc>
        <w:tc>
          <w:tcPr>
            <w:tcW w:w="1077" w:type="dxa"/>
            <w:tcBorders>
              <w:top w:val="nil"/>
              <w:left w:val="nil"/>
              <w:bottom w:val="single" w:sz="8" w:space="0" w:color="0077BD"/>
              <w:right w:val="single" w:sz="8" w:space="0" w:color="0077BD"/>
            </w:tcBorders>
            <w:shd w:val="clear" w:color="auto" w:fill="auto"/>
            <w:noWrap/>
            <w:vAlign w:val="center"/>
            <w:hideMark/>
          </w:tcPr>
          <w:p w14:paraId="4C2C8EE2"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116 566</w:t>
            </w:r>
          </w:p>
        </w:tc>
        <w:tc>
          <w:tcPr>
            <w:tcW w:w="1077" w:type="dxa"/>
            <w:tcBorders>
              <w:top w:val="nil"/>
              <w:left w:val="nil"/>
              <w:bottom w:val="single" w:sz="8" w:space="0" w:color="0077BD"/>
              <w:right w:val="nil"/>
            </w:tcBorders>
            <w:shd w:val="clear" w:color="auto" w:fill="auto"/>
            <w:noWrap/>
            <w:vAlign w:val="center"/>
            <w:hideMark/>
          </w:tcPr>
          <w:p w14:paraId="64724971" w14:textId="77777777" w:rsidR="00BE56A5" w:rsidRPr="00BB7C9E" w:rsidRDefault="00BE56A5" w:rsidP="00BE56A5">
            <w:pPr>
              <w:jc w:val="right"/>
              <w:rPr>
                <w:rFonts w:cs="Calibri"/>
                <w:b/>
                <w:bCs/>
                <w:color w:val="000000" w:themeColor="text1"/>
                <w:sz w:val="11"/>
                <w:szCs w:val="11"/>
              </w:rPr>
            </w:pPr>
            <w:r w:rsidRPr="00BB7C9E">
              <w:rPr>
                <w:rFonts w:cs="Calibri"/>
                <w:b/>
                <w:bCs/>
                <w:color w:val="000000" w:themeColor="text1"/>
                <w:sz w:val="11"/>
                <w:szCs w:val="11"/>
              </w:rPr>
              <w:t>785 026</w:t>
            </w:r>
          </w:p>
        </w:tc>
      </w:tr>
    </w:tbl>
    <w:p w14:paraId="05BD8335" w14:textId="0459A76A" w:rsidR="0035524B" w:rsidRDefault="0035524B" w:rsidP="00C64D21">
      <w:pPr>
        <w:suppressAutoHyphens/>
        <w:spacing w:before="120" w:after="120"/>
        <w:jc w:val="both"/>
        <w:rPr>
          <w:rFonts w:cs="Tahoma"/>
          <w:bCs/>
          <w:color w:val="000000" w:themeColor="text1"/>
          <w:sz w:val="18"/>
          <w:szCs w:val="18"/>
        </w:rPr>
      </w:pPr>
      <w:r w:rsidRPr="00BB7C9E">
        <w:rPr>
          <w:rFonts w:cs="Tahoma"/>
          <w:bCs/>
          <w:color w:val="000000" w:themeColor="text1"/>
          <w:sz w:val="18"/>
          <w:szCs w:val="18"/>
        </w:rPr>
        <w:t>Wartość odzyskiwalną środków trwałych dotkniętych utratą wartości stanowi cena netto sprzedaży określona na podstawie ceny rynkowej podobnego aktywa.</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C64D21" w:rsidRPr="001139F5" w14:paraId="6EC03F68" w14:textId="77777777" w:rsidTr="00C64D21">
        <w:trPr>
          <w:trHeight w:val="284"/>
        </w:trPr>
        <w:tc>
          <w:tcPr>
            <w:tcW w:w="6747" w:type="dxa"/>
            <w:tcBorders>
              <w:top w:val="nil"/>
              <w:left w:val="nil"/>
              <w:bottom w:val="nil"/>
              <w:right w:val="single" w:sz="8" w:space="0" w:color="FFFFFF"/>
            </w:tcBorders>
            <w:shd w:val="clear" w:color="000000" w:fill="0077BD"/>
            <w:noWrap/>
            <w:vAlign w:val="center"/>
            <w:hideMark/>
          </w:tcPr>
          <w:p w14:paraId="7351A1E9" w14:textId="77777777" w:rsidR="00C64D21" w:rsidRPr="001139F5" w:rsidRDefault="00C64D21" w:rsidP="004845D1">
            <w:pPr>
              <w:rPr>
                <w:rFonts w:cs="Calibri"/>
                <w:color w:val="99CCFF"/>
                <w:sz w:val="13"/>
                <w:szCs w:val="13"/>
              </w:rPr>
            </w:pPr>
            <w:r w:rsidRPr="001139F5">
              <w:rPr>
                <w:rFonts w:cs="Calibri"/>
                <w:color w:val="99CCFF"/>
                <w:sz w:val="13"/>
                <w:szCs w:val="13"/>
              </w:rPr>
              <w:t> </w:t>
            </w:r>
          </w:p>
        </w:tc>
        <w:tc>
          <w:tcPr>
            <w:tcW w:w="1418" w:type="dxa"/>
            <w:tcBorders>
              <w:top w:val="nil"/>
              <w:left w:val="nil"/>
              <w:bottom w:val="nil"/>
              <w:right w:val="nil"/>
            </w:tcBorders>
            <w:shd w:val="clear" w:color="000000" w:fill="0077BD"/>
            <w:noWrap/>
            <w:vAlign w:val="center"/>
            <w:hideMark/>
          </w:tcPr>
          <w:p w14:paraId="1DBD587D" w14:textId="77777777" w:rsidR="00C64D21" w:rsidRPr="001139F5" w:rsidRDefault="00C64D21" w:rsidP="004845D1">
            <w:pPr>
              <w:jc w:val="right"/>
              <w:rPr>
                <w:rFonts w:cs="Calibri"/>
                <w:b/>
                <w:bCs/>
                <w:color w:val="FFFFFF"/>
                <w:sz w:val="13"/>
                <w:szCs w:val="13"/>
              </w:rPr>
            </w:pPr>
            <w:r w:rsidRPr="001139F5">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03F87C2B" w14:textId="77777777" w:rsidR="00C64D21" w:rsidRPr="001139F5" w:rsidRDefault="00C64D21" w:rsidP="004845D1">
            <w:pPr>
              <w:jc w:val="right"/>
              <w:rPr>
                <w:rFonts w:cs="Calibri"/>
                <w:b/>
                <w:bCs/>
                <w:color w:val="FFFFFF"/>
                <w:sz w:val="13"/>
                <w:szCs w:val="13"/>
              </w:rPr>
            </w:pPr>
            <w:r w:rsidRPr="001139F5">
              <w:rPr>
                <w:rFonts w:cs="Calibri"/>
                <w:b/>
                <w:bCs/>
                <w:color w:val="FFFFFF"/>
                <w:sz w:val="13"/>
                <w:szCs w:val="13"/>
              </w:rPr>
              <w:t>31.12.2018</w:t>
            </w:r>
          </w:p>
        </w:tc>
      </w:tr>
      <w:tr w:rsidR="00C64D21" w:rsidRPr="00BB7C9E" w14:paraId="3FD76FB0" w14:textId="77777777" w:rsidTr="00C64D21">
        <w:trPr>
          <w:trHeight w:val="284"/>
        </w:trPr>
        <w:tc>
          <w:tcPr>
            <w:tcW w:w="8165" w:type="dxa"/>
            <w:gridSpan w:val="2"/>
            <w:tcBorders>
              <w:top w:val="nil"/>
              <w:left w:val="nil"/>
              <w:bottom w:val="single" w:sz="8" w:space="0" w:color="0077BD"/>
              <w:right w:val="nil"/>
            </w:tcBorders>
            <w:shd w:val="clear" w:color="000000" w:fill="FFFFFF"/>
            <w:vAlign w:val="center"/>
            <w:hideMark/>
          </w:tcPr>
          <w:p w14:paraId="604D650D" w14:textId="77777777" w:rsidR="00C64D21" w:rsidRPr="00BB7C9E" w:rsidRDefault="00C64D21" w:rsidP="004845D1">
            <w:pPr>
              <w:rPr>
                <w:rFonts w:cs="Calibri"/>
                <w:b/>
                <w:bCs/>
                <w:color w:val="000000" w:themeColor="text1"/>
                <w:sz w:val="13"/>
                <w:szCs w:val="13"/>
              </w:rPr>
            </w:pPr>
            <w:r w:rsidRPr="00BB7C9E">
              <w:rPr>
                <w:rFonts w:cs="Calibri"/>
                <w:b/>
                <w:bCs/>
                <w:color w:val="000000" w:themeColor="text1"/>
                <w:sz w:val="13"/>
                <w:szCs w:val="13"/>
              </w:rPr>
              <w:t>Minimalne opłaty leasingowe z tytułu nieodwołalnego leasingu operacyjnego</w:t>
            </w:r>
          </w:p>
        </w:tc>
        <w:tc>
          <w:tcPr>
            <w:tcW w:w="1418" w:type="dxa"/>
            <w:tcBorders>
              <w:top w:val="nil"/>
              <w:left w:val="nil"/>
              <w:bottom w:val="nil"/>
              <w:right w:val="nil"/>
            </w:tcBorders>
            <w:shd w:val="clear" w:color="auto" w:fill="auto"/>
            <w:noWrap/>
            <w:vAlign w:val="bottom"/>
            <w:hideMark/>
          </w:tcPr>
          <w:p w14:paraId="142A8FB3" w14:textId="77777777" w:rsidR="00C64D21" w:rsidRPr="00BB7C9E" w:rsidRDefault="00C64D21" w:rsidP="004845D1">
            <w:pPr>
              <w:rPr>
                <w:rFonts w:cs="Calibri"/>
                <w:b/>
                <w:bCs/>
                <w:color w:val="000000" w:themeColor="text1"/>
                <w:sz w:val="13"/>
                <w:szCs w:val="13"/>
              </w:rPr>
            </w:pPr>
          </w:p>
        </w:tc>
      </w:tr>
      <w:tr w:rsidR="00C64D21" w:rsidRPr="00BB7C9E" w14:paraId="157332AE" w14:textId="77777777" w:rsidTr="00C64D21">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6E48C7A" w14:textId="77777777" w:rsidR="00C64D21" w:rsidRPr="00FA25C5" w:rsidRDefault="00C64D21" w:rsidP="004845D1">
            <w:pPr>
              <w:rPr>
                <w:rFonts w:cs="Calibri"/>
                <w:color w:val="000000" w:themeColor="text1"/>
                <w:sz w:val="13"/>
                <w:szCs w:val="13"/>
              </w:rPr>
            </w:pPr>
            <w:r w:rsidRPr="00FA25C5">
              <w:rPr>
                <w:rFonts w:cs="Calibri"/>
                <w:color w:val="000000" w:themeColor="text1"/>
                <w:sz w:val="13"/>
                <w:szCs w:val="13"/>
              </w:rPr>
              <w:t>Do 1 roku</w:t>
            </w:r>
          </w:p>
        </w:tc>
        <w:tc>
          <w:tcPr>
            <w:tcW w:w="1418" w:type="dxa"/>
            <w:tcBorders>
              <w:top w:val="nil"/>
              <w:left w:val="nil"/>
              <w:bottom w:val="single" w:sz="4" w:space="0" w:color="0077BD"/>
              <w:right w:val="single" w:sz="8" w:space="0" w:color="0077BD"/>
            </w:tcBorders>
            <w:shd w:val="clear" w:color="auto" w:fill="auto"/>
            <w:vAlign w:val="center"/>
          </w:tcPr>
          <w:p w14:paraId="48EE007B"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33 205</w:t>
            </w:r>
          </w:p>
        </w:tc>
        <w:tc>
          <w:tcPr>
            <w:tcW w:w="1418" w:type="dxa"/>
            <w:tcBorders>
              <w:top w:val="single" w:sz="8" w:space="0" w:color="0077BD"/>
              <w:left w:val="nil"/>
              <w:bottom w:val="single" w:sz="4" w:space="0" w:color="0077BD"/>
              <w:right w:val="nil"/>
            </w:tcBorders>
            <w:shd w:val="clear" w:color="auto" w:fill="auto"/>
            <w:vAlign w:val="center"/>
            <w:hideMark/>
          </w:tcPr>
          <w:p w14:paraId="6D95588E"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35 437</w:t>
            </w:r>
          </w:p>
        </w:tc>
      </w:tr>
      <w:tr w:rsidR="00C64D21" w:rsidRPr="00BB7C9E" w14:paraId="48682EDB" w14:textId="77777777" w:rsidTr="00C64D21">
        <w:trPr>
          <w:trHeight w:val="284"/>
        </w:trPr>
        <w:tc>
          <w:tcPr>
            <w:tcW w:w="6747" w:type="dxa"/>
            <w:tcBorders>
              <w:top w:val="nil"/>
              <w:left w:val="nil"/>
              <w:bottom w:val="single" w:sz="4" w:space="0" w:color="0077BD"/>
              <w:right w:val="single" w:sz="8" w:space="0" w:color="0077BD"/>
            </w:tcBorders>
            <w:shd w:val="clear" w:color="auto" w:fill="auto"/>
            <w:vAlign w:val="center"/>
          </w:tcPr>
          <w:p w14:paraId="7F6BF0AF" w14:textId="77777777" w:rsidR="00C64D21" w:rsidRPr="00FA25C5" w:rsidRDefault="00C64D21" w:rsidP="004845D1">
            <w:pPr>
              <w:rPr>
                <w:rFonts w:cs="Calibri"/>
                <w:color w:val="000000" w:themeColor="text1"/>
                <w:sz w:val="13"/>
                <w:szCs w:val="13"/>
              </w:rPr>
            </w:pPr>
            <w:r w:rsidRPr="00FA25C5">
              <w:rPr>
                <w:rFonts w:cs="Calibri"/>
                <w:color w:val="000000" w:themeColor="text1"/>
                <w:sz w:val="13"/>
                <w:szCs w:val="13"/>
              </w:rPr>
              <w:t>Powyżej 1 roku do 2 lat</w:t>
            </w:r>
          </w:p>
        </w:tc>
        <w:tc>
          <w:tcPr>
            <w:tcW w:w="1418" w:type="dxa"/>
            <w:tcBorders>
              <w:top w:val="nil"/>
              <w:left w:val="nil"/>
              <w:bottom w:val="single" w:sz="4" w:space="0" w:color="0077BD"/>
              <w:right w:val="single" w:sz="8" w:space="0" w:color="0077BD"/>
            </w:tcBorders>
            <w:shd w:val="clear" w:color="auto" w:fill="auto"/>
            <w:vAlign w:val="center"/>
          </w:tcPr>
          <w:p w14:paraId="6AFD619B"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19 060</w:t>
            </w:r>
          </w:p>
        </w:tc>
        <w:tc>
          <w:tcPr>
            <w:tcW w:w="1418" w:type="dxa"/>
            <w:tcBorders>
              <w:top w:val="nil"/>
              <w:left w:val="nil"/>
              <w:bottom w:val="single" w:sz="4" w:space="0" w:color="0077BD"/>
              <w:right w:val="nil"/>
            </w:tcBorders>
            <w:shd w:val="clear" w:color="auto" w:fill="auto"/>
            <w:vAlign w:val="center"/>
          </w:tcPr>
          <w:p w14:paraId="15967737" w14:textId="19B1DC83" w:rsidR="00C64D21" w:rsidRPr="00FA25C5" w:rsidRDefault="00C64D21" w:rsidP="00C64D21">
            <w:pPr>
              <w:jc w:val="right"/>
              <w:rPr>
                <w:rFonts w:cs="Calibri"/>
                <w:color w:val="000000" w:themeColor="text1"/>
                <w:sz w:val="13"/>
                <w:szCs w:val="13"/>
              </w:rPr>
            </w:pPr>
            <w:r w:rsidRPr="00FA25C5">
              <w:rPr>
                <w:rFonts w:cs="Calibri"/>
                <w:color w:val="000000" w:themeColor="text1"/>
                <w:sz w:val="13"/>
                <w:szCs w:val="13"/>
              </w:rPr>
              <w:t>18 717</w:t>
            </w:r>
          </w:p>
        </w:tc>
      </w:tr>
      <w:tr w:rsidR="00C64D21" w:rsidRPr="00BB7C9E" w14:paraId="3C7E9907" w14:textId="77777777" w:rsidTr="00C64D21">
        <w:trPr>
          <w:trHeight w:val="284"/>
        </w:trPr>
        <w:tc>
          <w:tcPr>
            <w:tcW w:w="6747" w:type="dxa"/>
            <w:tcBorders>
              <w:top w:val="nil"/>
              <w:left w:val="nil"/>
              <w:bottom w:val="single" w:sz="4" w:space="0" w:color="0077BD"/>
              <w:right w:val="single" w:sz="8" w:space="0" w:color="0077BD"/>
            </w:tcBorders>
            <w:shd w:val="clear" w:color="auto" w:fill="auto"/>
            <w:vAlign w:val="center"/>
          </w:tcPr>
          <w:p w14:paraId="5FDA5209" w14:textId="77777777" w:rsidR="00C64D21" w:rsidRPr="00FA25C5" w:rsidRDefault="00C64D21" w:rsidP="004845D1">
            <w:pPr>
              <w:rPr>
                <w:rFonts w:cs="Calibri"/>
                <w:color w:val="000000" w:themeColor="text1"/>
                <w:sz w:val="13"/>
                <w:szCs w:val="13"/>
              </w:rPr>
            </w:pPr>
            <w:r w:rsidRPr="00FA25C5">
              <w:rPr>
                <w:rFonts w:cs="Calibri"/>
                <w:color w:val="000000" w:themeColor="text1"/>
                <w:sz w:val="13"/>
                <w:szCs w:val="13"/>
              </w:rPr>
              <w:t>Powyżej 2 lat do 3 lat</w:t>
            </w:r>
          </w:p>
        </w:tc>
        <w:tc>
          <w:tcPr>
            <w:tcW w:w="1418" w:type="dxa"/>
            <w:tcBorders>
              <w:top w:val="nil"/>
              <w:left w:val="nil"/>
              <w:bottom w:val="single" w:sz="4" w:space="0" w:color="0077BD"/>
              <w:right w:val="single" w:sz="8" w:space="0" w:color="0077BD"/>
            </w:tcBorders>
            <w:shd w:val="clear" w:color="auto" w:fill="auto"/>
            <w:vAlign w:val="center"/>
          </w:tcPr>
          <w:p w14:paraId="558A123D"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9 455</w:t>
            </w:r>
          </w:p>
        </w:tc>
        <w:tc>
          <w:tcPr>
            <w:tcW w:w="1418" w:type="dxa"/>
            <w:tcBorders>
              <w:top w:val="nil"/>
              <w:left w:val="nil"/>
              <w:bottom w:val="single" w:sz="4" w:space="0" w:color="0077BD"/>
              <w:right w:val="nil"/>
            </w:tcBorders>
            <w:shd w:val="clear" w:color="auto" w:fill="auto"/>
            <w:vAlign w:val="center"/>
          </w:tcPr>
          <w:p w14:paraId="2CEA8860"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8 620</w:t>
            </w:r>
          </w:p>
        </w:tc>
      </w:tr>
      <w:tr w:rsidR="00C64D21" w:rsidRPr="00BB7C9E" w14:paraId="085B2B8A" w14:textId="77777777" w:rsidTr="00C64D21">
        <w:trPr>
          <w:trHeight w:val="284"/>
        </w:trPr>
        <w:tc>
          <w:tcPr>
            <w:tcW w:w="6747" w:type="dxa"/>
            <w:tcBorders>
              <w:top w:val="nil"/>
              <w:left w:val="nil"/>
              <w:bottom w:val="single" w:sz="4" w:space="0" w:color="0077BD"/>
              <w:right w:val="single" w:sz="8" w:space="0" w:color="0077BD"/>
            </w:tcBorders>
            <w:shd w:val="clear" w:color="auto" w:fill="auto"/>
            <w:vAlign w:val="center"/>
          </w:tcPr>
          <w:p w14:paraId="5FC16653" w14:textId="77777777" w:rsidR="00C64D21" w:rsidRPr="00FA25C5" w:rsidRDefault="00C64D21" w:rsidP="004845D1">
            <w:pPr>
              <w:rPr>
                <w:rFonts w:cs="Calibri"/>
                <w:color w:val="000000" w:themeColor="text1"/>
                <w:sz w:val="13"/>
                <w:szCs w:val="13"/>
              </w:rPr>
            </w:pPr>
            <w:r w:rsidRPr="00FA25C5">
              <w:rPr>
                <w:rFonts w:cs="Calibri"/>
                <w:color w:val="000000" w:themeColor="text1"/>
                <w:sz w:val="13"/>
                <w:szCs w:val="13"/>
              </w:rPr>
              <w:t>Powyżej 3 lat do 4 lat</w:t>
            </w:r>
          </w:p>
        </w:tc>
        <w:tc>
          <w:tcPr>
            <w:tcW w:w="1418" w:type="dxa"/>
            <w:tcBorders>
              <w:top w:val="nil"/>
              <w:left w:val="nil"/>
              <w:bottom w:val="single" w:sz="4" w:space="0" w:color="0077BD"/>
              <w:right w:val="single" w:sz="8" w:space="0" w:color="0077BD"/>
            </w:tcBorders>
            <w:shd w:val="clear" w:color="auto" w:fill="auto"/>
            <w:vAlign w:val="center"/>
          </w:tcPr>
          <w:p w14:paraId="197F749E" w14:textId="3737E0D4" w:rsidR="00C64D21" w:rsidRPr="00FA25C5" w:rsidRDefault="00C64D21" w:rsidP="008B5F88">
            <w:pPr>
              <w:jc w:val="right"/>
              <w:rPr>
                <w:rFonts w:cs="Calibri"/>
                <w:color w:val="000000" w:themeColor="text1"/>
                <w:sz w:val="13"/>
                <w:szCs w:val="13"/>
              </w:rPr>
            </w:pPr>
            <w:r w:rsidRPr="00FA25C5">
              <w:rPr>
                <w:rFonts w:cs="Calibri"/>
                <w:color w:val="000000" w:themeColor="text1"/>
                <w:sz w:val="13"/>
                <w:szCs w:val="13"/>
              </w:rPr>
              <w:t>3 18</w:t>
            </w:r>
            <w:r w:rsidR="008B5F88" w:rsidRPr="00FA25C5">
              <w:rPr>
                <w:rFonts w:cs="Calibri"/>
                <w:color w:val="000000" w:themeColor="text1"/>
                <w:sz w:val="13"/>
                <w:szCs w:val="13"/>
              </w:rPr>
              <w:t>6</w:t>
            </w:r>
          </w:p>
        </w:tc>
        <w:tc>
          <w:tcPr>
            <w:tcW w:w="1418" w:type="dxa"/>
            <w:tcBorders>
              <w:top w:val="nil"/>
              <w:left w:val="nil"/>
              <w:bottom w:val="single" w:sz="4" w:space="0" w:color="0077BD"/>
              <w:right w:val="nil"/>
            </w:tcBorders>
            <w:shd w:val="clear" w:color="auto" w:fill="auto"/>
            <w:vAlign w:val="center"/>
          </w:tcPr>
          <w:p w14:paraId="49A98B8B" w14:textId="0A7A10F2"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2 037</w:t>
            </w:r>
          </w:p>
        </w:tc>
      </w:tr>
      <w:tr w:rsidR="00C64D21" w:rsidRPr="00BB7C9E" w14:paraId="68ADBB0D" w14:textId="77777777" w:rsidTr="00C64D21">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CA21105" w14:textId="77777777" w:rsidR="00C64D21" w:rsidRPr="00FA25C5" w:rsidRDefault="00C64D21" w:rsidP="004845D1">
            <w:pPr>
              <w:rPr>
                <w:rFonts w:cs="Calibri"/>
                <w:color w:val="000000" w:themeColor="text1"/>
                <w:sz w:val="13"/>
                <w:szCs w:val="13"/>
              </w:rPr>
            </w:pPr>
            <w:r w:rsidRPr="00FA25C5">
              <w:rPr>
                <w:rFonts w:cs="Calibri"/>
                <w:color w:val="000000" w:themeColor="text1"/>
                <w:sz w:val="13"/>
                <w:szCs w:val="13"/>
              </w:rPr>
              <w:t>Powyżej 4 lat do 5 lat</w:t>
            </w:r>
          </w:p>
        </w:tc>
        <w:tc>
          <w:tcPr>
            <w:tcW w:w="1418" w:type="dxa"/>
            <w:tcBorders>
              <w:top w:val="nil"/>
              <w:left w:val="nil"/>
              <w:bottom w:val="single" w:sz="4" w:space="0" w:color="0077BD"/>
              <w:right w:val="single" w:sz="8" w:space="0" w:color="0077BD"/>
            </w:tcBorders>
            <w:shd w:val="clear" w:color="auto" w:fill="auto"/>
            <w:vAlign w:val="center"/>
          </w:tcPr>
          <w:p w14:paraId="6073B605"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93</w:t>
            </w:r>
          </w:p>
        </w:tc>
        <w:tc>
          <w:tcPr>
            <w:tcW w:w="1418" w:type="dxa"/>
            <w:tcBorders>
              <w:top w:val="nil"/>
              <w:left w:val="nil"/>
              <w:bottom w:val="single" w:sz="4" w:space="0" w:color="0077BD"/>
              <w:right w:val="nil"/>
            </w:tcBorders>
            <w:shd w:val="clear" w:color="auto" w:fill="auto"/>
            <w:vAlign w:val="center"/>
            <w:hideMark/>
          </w:tcPr>
          <w:p w14:paraId="521AC96A" w14:textId="77777777" w:rsidR="00C64D21" w:rsidRPr="00FA25C5" w:rsidRDefault="00C64D21" w:rsidP="004845D1">
            <w:pPr>
              <w:jc w:val="right"/>
              <w:rPr>
                <w:rFonts w:cs="Calibri"/>
                <w:color w:val="000000" w:themeColor="text1"/>
                <w:sz w:val="13"/>
                <w:szCs w:val="13"/>
              </w:rPr>
            </w:pPr>
            <w:r w:rsidRPr="00FA25C5">
              <w:rPr>
                <w:rFonts w:cs="Calibri"/>
                <w:color w:val="000000" w:themeColor="text1"/>
                <w:sz w:val="13"/>
                <w:szCs w:val="13"/>
              </w:rPr>
              <w:t>236</w:t>
            </w:r>
          </w:p>
        </w:tc>
      </w:tr>
      <w:tr w:rsidR="00C64D21" w:rsidRPr="00BB7C9E" w14:paraId="2AC2C996" w14:textId="77777777" w:rsidTr="00C64D21">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06BC627" w14:textId="77777777" w:rsidR="00C64D21" w:rsidRPr="00BB7C9E" w:rsidRDefault="00C64D21" w:rsidP="004845D1">
            <w:pPr>
              <w:rPr>
                <w:rFonts w:cs="Calibri"/>
                <w:b/>
                <w:bCs/>
                <w:color w:val="000000" w:themeColor="text1"/>
                <w:sz w:val="13"/>
                <w:szCs w:val="13"/>
              </w:rPr>
            </w:pPr>
            <w:r w:rsidRPr="00BB7C9E">
              <w:rPr>
                <w:rFonts w:cs="Calibri"/>
                <w:b/>
                <w:bCs/>
                <w:color w:val="000000" w:themeColor="text1"/>
                <w:sz w:val="13"/>
                <w:szCs w:val="13"/>
              </w:rPr>
              <w:t>Razem</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119D7D2C" w14:textId="77777777" w:rsidR="00C64D21" w:rsidRPr="00BB7C9E" w:rsidRDefault="00C64D21" w:rsidP="004845D1">
            <w:pPr>
              <w:jc w:val="right"/>
              <w:rPr>
                <w:rFonts w:cs="Calibri"/>
                <w:b/>
                <w:bCs/>
                <w:color w:val="000000" w:themeColor="text1"/>
                <w:sz w:val="13"/>
                <w:szCs w:val="13"/>
              </w:rPr>
            </w:pPr>
            <w:r>
              <w:rPr>
                <w:rFonts w:cs="Calibri"/>
                <w:b/>
                <w:bCs/>
                <w:color w:val="000000" w:themeColor="text1"/>
                <w:sz w:val="13"/>
                <w:szCs w:val="13"/>
              </w:rPr>
              <w:t>64 999</w:t>
            </w:r>
          </w:p>
        </w:tc>
        <w:tc>
          <w:tcPr>
            <w:tcW w:w="1418" w:type="dxa"/>
            <w:tcBorders>
              <w:top w:val="single" w:sz="8" w:space="0" w:color="0077BD"/>
              <w:left w:val="nil"/>
              <w:bottom w:val="single" w:sz="8" w:space="0" w:color="0077BD"/>
              <w:right w:val="nil"/>
            </w:tcBorders>
            <w:shd w:val="clear" w:color="auto" w:fill="auto"/>
            <w:noWrap/>
            <w:vAlign w:val="center"/>
            <w:hideMark/>
          </w:tcPr>
          <w:p w14:paraId="61D7B189" w14:textId="77777777" w:rsidR="00C64D21" w:rsidRPr="00BB7C9E" w:rsidRDefault="00C64D21" w:rsidP="004845D1">
            <w:pPr>
              <w:jc w:val="right"/>
              <w:rPr>
                <w:rFonts w:cs="Calibri"/>
                <w:b/>
                <w:bCs/>
                <w:color w:val="000000" w:themeColor="text1"/>
                <w:sz w:val="13"/>
                <w:szCs w:val="13"/>
              </w:rPr>
            </w:pPr>
            <w:r w:rsidRPr="00BB7C9E">
              <w:rPr>
                <w:rFonts w:cs="Calibri"/>
                <w:b/>
                <w:bCs/>
                <w:color w:val="000000" w:themeColor="text1"/>
                <w:sz w:val="13"/>
                <w:szCs w:val="13"/>
              </w:rPr>
              <w:t>65 047</w:t>
            </w:r>
          </w:p>
        </w:tc>
      </w:tr>
    </w:tbl>
    <w:p w14:paraId="7F45B89B" w14:textId="77777777" w:rsidR="00C64D21" w:rsidRPr="00BB7C9E" w:rsidRDefault="00C64D21" w:rsidP="00C64D21">
      <w:pPr>
        <w:spacing w:before="120"/>
        <w:jc w:val="both"/>
        <w:rPr>
          <w:rFonts w:cs="Tahoma"/>
          <w:bCs/>
          <w:color w:val="000000" w:themeColor="text1"/>
          <w:sz w:val="18"/>
          <w:szCs w:val="18"/>
        </w:rPr>
      </w:pPr>
      <w:r w:rsidRPr="00BB7C9E">
        <w:rPr>
          <w:rFonts w:cs="Tahoma"/>
          <w:bCs/>
          <w:color w:val="000000" w:themeColor="text1"/>
          <w:sz w:val="18"/>
          <w:szCs w:val="18"/>
        </w:rPr>
        <w:t>Grupa wykazuje koszty amortyzacji środków trwałych oddanych w leasing operacyjny</w:t>
      </w:r>
      <w:r>
        <w:rPr>
          <w:rFonts w:cs="Tahoma"/>
          <w:bCs/>
          <w:color w:val="000000" w:themeColor="text1"/>
          <w:sz w:val="18"/>
          <w:szCs w:val="18"/>
        </w:rPr>
        <w:t xml:space="preserve"> oraz w subleasing</w:t>
      </w:r>
      <w:r w:rsidRPr="00BB7C9E">
        <w:rPr>
          <w:rFonts w:cs="Tahoma"/>
          <w:bCs/>
          <w:color w:val="000000" w:themeColor="text1"/>
          <w:sz w:val="18"/>
          <w:szCs w:val="18"/>
        </w:rPr>
        <w:t xml:space="preserve"> w ramach przychodów netto z tytułu leasingu operacyjnego (Nota 12).</w:t>
      </w:r>
    </w:p>
    <w:p w14:paraId="46EBD346" w14:textId="238B2B45" w:rsidR="00C64D21" w:rsidRPr="00BB7C9E" w:rsidRDefault="00ED5077" w:rsidP="0035524B">
      <w:pPr>
        <w:suppressAutoHyphens/>
        <w:spacing w:before="120"/>
        <w:jc w:val="both"/>
        <w:rPr>
          <w:rFonts w:cs="Tahoma"/>
          <w:bCs/>
          <w:color w:val="000000" w:themeColor="text1"/>
          <w:sz w:val="18"/>
          <w:szCs w:val="18"/>
        </w:rPr>
      </w:pPr>
      <w:r w:rsidRPr="00BB7C9E">
        <w:rPr>
          <w:rFonts w:cs="Tahoma"/>
          <w:bCs/>
          <w:color w:val="000000" w:themeColor="text1"/>
          <w:sz w:val="18"/>
          <w:szCs w:val="18"/>
        </w:rPr>
        <w:t>W ramach swojej działalności jako leasingodawca Grupa mBanku wykazuje w środkach trwałych przedmioty oddane przez Grupę w leasing operacyjny podmiotom trzecim. Przyszłe minimalne opłaty leasingowe z tytułu nieodwołalnego leasingu operacyjnego, gdzie Grupa jest leasingodawcą, przedstawione są w poniższej tabeli.</w:t>
      </w:r>
    </w:p>
    <w:p w14:paraId="316DF94C" w14:textId="72C9DFBF" w:rsidR="007601A1" w:rsidRPr="00BB7C9E" w:rsidRDefault="007601A1">
      <w:pPr>
        <w:rPr>
          <w:rFonts w:cs="Tahoma"/>
          <w:b/>
          <w:color w:val="000000" w:themeColor="text1"/>
          <w:sz w:val="18"/>
          <w:szCs w:val="18"/>
        </w:rPr>
      </w:pPr>
      <w:r w:rsidRPr="00BB7C9E">
        <w:rPr>
          <w:rFonts w:cs="Tahoma"/>
          <w:b/>
          <w:color w:val="000000" w:themeColor="text1"/>
          <w:sz w:val="18"/>
          <w:szCs w:val="18"/>
        </w:rPr>
        <w:br w:type="page"/>
      </w:r>
    </w:p>
    <w:p w14:paraId="6B5138D9" w14:textId="3FE43910" w:rsidR="007601A1" w:rsidRPr="00BB7C9E" w:rsidRDefault="007601A1" w:rsidP="007601A1">
      <w:pPr>
        <w:spacing w:before="120" w:after="120"/>
        <w:jc w:val="both"/>
        <w:rPr>
          <w:rFonts w:cs="Tahoma"/>
          <w:b/>
          <w:color w:val="000000" w:themeColor="text1"/>
          <w:sz w:val="18"/>
          <w:szCs w:val="18"/>
        </w:rPr>
      </w:pPr>
      <w:r w:rsidRPr="00BB7C9E">
        <w:rPr>
          <w:rFonts w:cs="Tahoma"/>
          <w:b/>
          <w:color w:val="000000" w:themeColor="text1"/>
          <w:sz w:val="18"/>
          <w:szCs w:val="18"/>
        </w:rPr>
        <w:lastRenderedPageBreak/>
        <w:t>Zmiana stanu praw do użytkowania</w:t>
      </w:r>
    </w:p>
    <w:tbl>
      <w:tblPr>
        <w:tblW w:w="0" w:type="auto"/>
        <w:tblCellMar>
          <w:left w:w="28" w:type="dxa"/>
          <w:right w:w="28" w:type="dxa"/>
        </w:tblCellMar>
        <w:tblLook w:val="04A0" w:firstRow="1" w:lastRow="0" w:firstColumn="1" w:lastColumn="0" w:noHBand="0" w:noVBand="1"/>
      </w:tblPr>
      <w:tblGrid>
        <w:gridCol w:w="3046"/>
        <w:gridCol w:w="1304"/>
        <w:gridCol w:w="1304"/>
        <w:gridCol w:w="1304"/>
        <w:gridCol w:w="1304"/>
        <w:gridCol w:w="1304"/>
      </w:tblGrid>
      <w:tr w:rsidR="007601A1" w:rsidRPr="00DB6BC9" w14:paraId="4B250E7E" w14:textId="77777777" w:rsidTr="00DB6BC9">
        <w:trPr>
          <w:trHeight w:val="454"/>
        </w:trPr>
        <w:tc>
          <w:tcPr>
            <w:tcW w:w="0" w:type="auto"/>
            <w:tcBorders>
              <w:top w:val="nil"/>
              <w:left w:val="nil"/>
              <w:bottom w:val="nil"/>
              <w:right w:val="single" w:sz="6" w:space="0" w:color="FFFFFF"/>
            </w:tcBorders>
            <w:shd w:val="clear" w:color="000000" w:fill="0077BD"/>
            <w:vAlign w:val="center"/>
            <w:hideMark/>
          </w:tcPr>
          <w:p w14:paraId="3FD68992" w14:textId="54D9F654" w:rsidR="007601A1" w:rsidRPr="00DB6BC9" w:rsidRDefault="007601A1" w:rsidP="007601A1">
            <w:pPr>
              <w:rPr>
                <w:rFonts w:cs="Calibri"/>
                <w:b/>
                <w:bCs/>
                <w:color w:val="FFFFFF"/>
                <w:sz w:val="11"/>
                <w:szCs w:val="11"/>
              </w:rPr>
            </w:pPr>
            <w:r w:rsidRPr="00DB6BC9">
              <w:rPr>
                <w:rFonts w:cs="Calibri"/>
                <w:b/>
                <w:bCs/>
                <w:color w:val="FFFFFF"/>
                <w:sz w:val="11"/>
                <w:szCs w:val="11"/>
              </w:rPr>
              <w:t xml:space="preserve">Zmiana stanu w okresie od 1 </w:t>
            </w:r>
            <w:r w:rsidR="00EC0295" w:rsidRPr="00DB6BC9">
              <w:rPr>
                <w:rFonts w:cs="Calibri"/>
                <w:b/>
                <w:bCs/>
                <w:color w:val="FFFFFF"/>
                <w:sz w:val="11"/>
                <w:szCs w:val="11"/>
              </w:rPr>
              <w:t>stycznia do 31 grudnia 2019 r.</w:t>
            </w:r>
          </w:p>
        </w:tc>
        <w:tc>
          <w:tcPr>
            <w:tcW w:w="1304" w:type="dxa"/>
            <w:tcBorders>
              <w:top w:val="nil"/>
              <w:left w:val="single" w:sz="6" w:space="0" w:color="FFFFFF"/>
              <w:bottom w:val="nil"/>
              <w:right w:val="single" w:sz="6" w:space="0" w:color="FFFFFF"/>
            </w:tcBorders>
            <w:shd w:val="clear" w:color="000000" w:fill="0077BD"/>
            <w:vAlign w:val="center"/>
            <w:hideMark/>
          </w:tcPr>
          <w:p w14:paraId="24687FBB" w14:textId="77777777" w:rsidR="007601A1" w:rsidRPr="00DB6BC9" w:rsidRDefault="007601A1" w:rsidP="00D37FBB">
            <w:pPr>
              <w:jc w:val="right"/>
              <w:rPr>
                <w:rFonts w:cs="Calibri"/>
                <w:b/>
                <w:bCs/>
                <w:color w:val="FFFFFF"/>
                <w:sz w:val="11"/>
                <w:szCs w:val="11"/>
              </w:rPr>
            </w:pPr>
            <w:r w:rsidRPr="00DB6BC9">
              <w:rPr>
                <w:rFonts w:cs="Calibri"/>
                <w:b/>
                <w:bCs/>
                <w:color w:val="FFFFFF"/>
                <w:sz w:val="11"/>
                <w:szCs w:val="11"/>
              </w:rPr>
              <w:t>Nieruchomości</w:t>
            </w:r>
          </w:p>
        </w:tc>
        <w:tc>
          <w:tcPr>
            <w:tcW w:w="1304" w:type="dxa"/>
            <w:tcBorders>
              <w:top w:val="nil"/>
              <w:left w:val="single" w:sz="6" w:space="0" w:color="FFFFFF"/>
              <w:bottom w:val="nil"/>
              <w:right w:val="single" w:sz="6" w:space="0" w:color="FFFFFF"/>
            </w:tcBorders>
            <w:shd w:val="clear" w:color="000000" w:fill="0077BD"/>
            <w:vAlign w:val="center"/>
            <w:hideMark/>
          </w:tcPr>
          <w:p w14:paraId="57F8ECAB" w14:textId="60E52257" w:rsidR="007601A1" w:rsidRPr="00DB6BC9" w:rsidRDefault="00DB6BC9" w:rsidP="00D37FBB">
            <w:pPr>
              <w:jc w:val="right"/>
              <w:rPr>
                <w:rFonts w:cs="Calibri"/>
                <w:b/>
                <w:bCs/>
                <w:color w:val="FFFFFF"/>
                <w:sz w:val="11"/>
                <w:szCs w:val="11"/>
              </w:rPr>
            </w:pPr>
            <w:r>
              <w:rPr>
                <w:rFonts w:cs="Calibri"/>
                <w:b/>
                <w:bCs/>
                <w:color w:val="FFFFFF"/>
                <w:sz w:val="11"/>
                <w:szCs w:val="11"/>
              </w:rPr>
              <w:t>Pra</w:t>
            </w:r>
            <w:r w:rsidR="007601A1" w:rsidRPr="00DB6BC9">
              <w:rPr>
                <w:rFonts w:cs="Calibri"/>
                <w:b/>
                <w:bCs/>
                <w:color w:val="FFFFFF"/>
                <w:sz w:val="11"/>
                <w:szCs w:val="11"/>
              </w:rPr>
              <w:t>wo wieczystego użytkowania gruntów</w:t>
            </w:r>
          </w:p>
        </w:tc>
        <w:tc>
          <w:tcPr>
            <w:tcW w:w="1304" w:type="dxa"/>
            <w:tcBorders>
              <w:top w:val="nil"/>
              <w:left w:val="single" w:sz="6" w:space="0" w:color="FFFFFF"/>
              <w:bottom w:val="nil"/>
              <w:right w:val="single" w:sz="6" w:space="0" w:color="FFFFFF"/>
            </w:tcBorders>
            <w:shd w:val="clear" w:color="000000" w:fill="0077BD"/>
            <w:vAlign w:val="center"/>
            <w:hideMark/>
          </w:tcPr>
          <w:p w14:paraId="039C3DC2" w14:textId="77777777" w:rsidR="007601A1" w:rsidRPr="00DB6BC9" w:rsidRDefault="007601A1" w:rsidP="00D37FBB">
            <w:pPr>
              <w:jc w:val="right"/>
              <w:rPr>
                <w:rFonts w:cs="Calibri"/>
                <w:b/>
                <w:bCs/>
                <w:color w:val="FFFFFF"/>
                <w:sz w:val="11"/>
                <w:szCs w:val="11"/>
              </w:rPr>
            </w:pPr>
            <w:r w:rsidRPr="00DB6BC9">
              <w:rPr>
                <w:rFonts w:cs="Calibri"/>
                <w:b/>
                <w:bCs/>
                <w:color w:val="FFFFFF"/>
                <w:sz w:val="11"/>
                <w:szCs w:val="11"/>
              </w:rPr>
              <w:t>Samochody</w:t>
            </w:r>
          </w:p>
        </w:tc>
        <w:tc>
          <w:tcPr>
            <w:tcW w:w="1304" w:type="dxa"/>
            <w:tcBorders>
              <w:top w:val="nil"/>
              <w:left w:val="single" w:sz="6" w:space="0" w:color="FFFFFF"/>
              <w:bottom w:val="nil"/>
              <w:right w:val="single" w:sz="6" w:space="0" w:color="FFFFFF"/>
            </w:tcBorders>
            <w:shd w:val="clear" w:color="000000" w:fill="0077BD"/>
            <w:vAlign w:val="center"/>
            <w:hideMark/>
          </w:tcPr>
          <w:p w14:paraId="1BF9E297" w14:textId="77777777" w:rsidR="007601A1" w:rsidRPr="00DB6BC9" w:rsidRDefault="007601A1" w:rsidP="00D37FBB">
            <w:pPr>
              <w:jc w:val="right"/>
              <w:rPr>
                <w:rFonts w:cs="Calibri"/>
                <w:b/>
                <w:bCs/>
                <w:color w:val="FFFFFF"/>
                <w:sz w:val="11"/>
                <w:szCs w:val="11"/>
              </w:rPr>
            </w:pPr>
            <w:r w:rsidRPr="00DB6BC9">
              <w:rPr>
                <w:rFonts w:cs="Calibri"/>
                <w:b/>
                <w:bCs/>
                <w:color w:val="FFFFFF"/>
                <w:sz w:val="11"/>
                <w:szCs w:val="11"/>
              </w:rPr>
              <w:t>Inne</w:t>
            </w:r>
          </w:p>
        </w:tc>
        <w:tc>
          <w:tcPr>
            <w:tcW w:w="1304" w:type="dxa"/>
            <w:tcBorders>
              <w:top w:val="nil"/>
              <w:left w:val="single" w:sz="6" w:space="0" w:color="FFFFFF"/>
              <w:bottom w:val="nil"/>
              <w:right w:val="single" w:sz="12" w:space="0" w:color="FFFFFF"/>
            </w:tcBorders>
            <w:shd w:val="clear" w:color="000000" w:fill="0077BD"/>
            <w:vAlign w:val="center"/>
            <w:hideMark/>
          </w:tcPr>
          <w:p w14:paraId="5C768DA6" w14:textId="77777777" w:rsidR="007601A1" w:rsidRPr="00DB6BC9" w:rsidRDefault="007601A1" w:rsidP="00D37FBB">
            <w:pPr>
              <w:jc w:val="right"/>
              <w:rPr>
                <w:rFonts w:cs="Calibri"/>
                <w:b/>
                <w:bCs/>
                <w:color w:val="FFFFFF"/>
                <w:sz w:val="11"/>
                <w:szCs w:val="11"/>
              </w:rPr>
            </w:pPr>
            <w:r w:rsidRPr="00DB6BC9">
              <w:rPr>
                <w:rFonts w:cs="Calibri"/>
                <w:b/>
                <w:bCs/>
                <w:color w:val="FFFFFF"/>
                <w:sz w:val="11"/>
                <w:szCs w:val="11"/>
              </w:rPr>
              <w:t>Razem</w:t>
            </w:r>
          </w:p>
        </w:tc>
      </w:tr>
      <w:tr w:rsidR="00DB6BC9" w:rsidRPr="00DB6BC9" w14:paraId="7698E005" w14:textId="77777777" w:rsidTr="00DB6BC9">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67A9D4E8" w14:textId="77777777" w:rsidR="00DB6BC9" w:rsidRPr="00DB6BC9" w:rsidRDefault="00DB6BC9" w:rsidP="00DB6BC9">
            <w:pPr>
              <w:rPr>
                <w:rFonts w:cs="Calibri"/>
                <w:b/>
                <w:bCs/>
                <w:color w:val="000000" w:themeColor="text1"/>
                <w:sz w:val="11"/>
                <w:szCs w:val="11"/>
              </w:rPr>
            </w:pPr>
            <w:r w:rsidRPr="00DB6BC9">
              <w:rPr>
                <w:rFonts w:cs="Calibri"/>
                <w:b/>
                <w:bCs/>
                <w:color w:val="000000" w:themeColor="text1"/>
                <w:sz w:val="11"/>
                <w:szCs w:val="11"/>
              </w:rPr>
              <w:t>Wartość brutto praw do użytkowania na początek okresu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7959C003" w14:textId="05537F7D"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512 164</w:t>
            </w:r>
          </w:p>
        </w:tc>
        <w:tc>
          <w:tcPr>
            <w:tcW w:w="1304" w:type="dxa"/>
            <w:tcBorders>
              <w:top w:val="nil"/>
              <w:left w:val="nil"/>
              <w:bottom w:val="single" w:sz="8" w:space="0" w:color="0077BD"/>
              <w:right w:val="single" w:sz="8" w:space="0" w:color="0077BD"/>
            </w:tcBorders>
            <w:shd w:val="clear" w:color="auto" w:fill="auto"/>
            <w:noWrap/>
            <w:vAlign w:val="center"/>
          </w:tcPr>
          <w:p w14:paraId="03283D56" w14:textId="34875FE8"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49 046</w:t>
            </w:r>
          </w:p>
        </w:tc>
        <w:tc>
          <w:tcPr>
            <w:tcW w:w="1304" w:type="dxa"/>
            <w:tcBorders>
              <w:top w:val="nil"/>
              <w:left w:val="nil"/>
              <w:bottom w:val="single" w:sz="8" w:space="0" w:color="0077BD"/>
              <w:right w:val="single" w:sz="8" w:space="0" w:color="0077BD"/>
            </w:tcBorders>
            <w:shd w:val="clear" w:color="auto" w:fill="auto"/>
            <w:noWrap/>
            <w:vAlign w:val="center"/>
          </w:tcPr>
          <w:p w14:paraId="39C5C4AA" w14:textId="193F21FA"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794</w:t>
            </w:r>
          </w:p>
        </w:tc>
        <w:tc>
          <w:tcPr>
            <w:tcW w:w="1304" w:type="dxa"/>
            <w:tcBorders>
              <w:top w:val="nil"/>
              <w:left w:val="nil"/>
              <w:bottom w:val="single" w:sz="8" w:space="0" w:color="0077BD"/>
              <w:right w:val="single" w:sz="8" w:space="0" w:color="0077BD"/>
            </w:tcBorders>
            <w:shd w:val="clear" w:color="auto" w:fill="auto"/>
            <w:noWrap/>
            <w:vAlign w:val="center"/>
          </w:tcPr>
          <w:p w14:paraId="73167EFB" w14:textId="7CCE9104"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371</w:t>
            </w:r>
          </w:p>
        </w:tc>
        <w:tc>
          <w:tcPr>
            <w:tcW w:w="1304" w:type="dxa"/>
            <w:tcBorders>
              <w:top w:val="nil"/>
              <w:left w:val="nil"/>
              <w:bottom w:val="single" w:sz="8" w:space="0" w:color="0077BD"/>
              <w:right w:val="nil"/>
            </w:tcBorders>
            <w:shd w:val="clear" w:color="auto" w:fill="auto"/>
            <w:noWrap/>
            <w:vAlign w:val="center"/>
          </w:tcPr>
          <w:p w14:paraId="41125021" w14:textId="23D55817"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562 375</w:t>
            </w:r>
          </w:p>
        </w:tc>
      </w:tr>
      <w:tr w:rsidR="00DB6BC9" w:rsidRPr="00C32136" w14:paraId="08D16533" w14:textId="77777777" w:rsidTr="005B44C3">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61D71E72" w14:textId="77777777" w:rsidR="00DB6BC9" w:rsidRPr="00C32136" w:rsidRDefault="00DB6BC9" w:rsidP="00DB6BC9">
            <w:pPr>
              <w:rPr>
                <w:rFonts w:cs="Calibri"/>
                <w:b/>
                <w:color w:val="000000" w:themeColor="text1"/>
                <w:sz w:val="11"/>
                <w:szCs w:val="11"/>
              </w:rPr>
            </w:pPr>
            <w:r w:rsidRPr="00C32136">
              <w:rPr>
                <w:rFonts w:cs="Calibri"/>
                <w:b/>
                <w:color w:val="000000" w:themeColor="text1"/>
                <w:sz w:val="11"/>
                <w:szCs w:val="11"/>
              </w:rPr>
              <w:t>Zwiększenia z tytułu: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14B7D45B" w14:textId="21E86738"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61 225</w:t>
            </w:r>
          </w:p>
        </w:tc>
        <w:tc>
          <w:tcPr>
            <w:tcW w:w="1304" w:type="dxa"/>
            <w:tcBorders>
              <w:top w:val="nil"/>
              <w:left w:val="nil"/>
              <w:bottom w:val="single" w:sz="8" w:space="0" w:color="0077BD"/>
              <w:right w:val="single" w:sz="8" w:space="0" w:color="0077BD"/>
            </w:tcBorders>
            <w:shd w:val="clear" w:color="auto" w:fill="auto"/>
            <w:noWrap/>
            <w:vAlign w:val="center"/>
          </w:tcPr>
          <w:p w14:paraId="6B5A71D6" w14:textId="1F8166F0"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07CE033A" w14:textId="169D84E9"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1 281</w:t>
            </w:r>
          </w:p>
        </w:tc>
        <w:tc>
          <w:tcPr>
            <w:tcW w:w="1304" w:type="dxa"/>
            <w:tcBorders>
              <w:top w:val="nil"/>
              <w:left w:val="nil"/>
              <w:bottom w:val="single" w:sz="8" w:space="0" w:color="0077BD"/>
              <w:right w:val="single" w:sz="8" w:space="0" w:color="0077BD"/>
            </w:tcBorders>
            <w:shd w:val="clear" w:color="auto" w:fill="auto"/>
            <w:noWrap/>
            <w:vAlign w:val="center"/>
          </w:tcPr>
          <w:p w14:paraId="055E6B84" w14:textId="189B96C7"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1 559</w:t>
            </w:r>
          </w:p>
        </w:tc>
        <w:tc>
          <w:tcPr>
            <w:tcW w:w="1304" w:type="dxa"/>
            <w:tcBorders>
              <w:top w:val="nil"/>
              <w:left w:val="nil"/>
              <w:bottom w:val="single" w:sz="8" w:space="0" w:color="0077BD"/>
              <w:right w:val="nil"/>
            </w:tcBorders>
            <w:shd w:val="clear" w:color="auto" w:fill="auto"/>
            <w:noWrap/>
            <w:vAlign w:val="center"/>
          </w:tcPr>
          <w:p w14:paraId="124F5736" w14:textId="6313704E"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64 065</w:t>
            </w:r>
          </w:p>
        </w:tc>
      </w:tr>
      <w:tr w:rsidR="00DB6BC9" w:rsidRPr="00DB6BC9" w14:paraId="10E2DA4D" w14:textId="77777777" w:rsidTr="005B44C3">
        <w:trPr>
          <w:trHeight w:val="255"/>
        </w:trPr>
        <w:tc>
          <w:tcPr>
            <w:tcW w:w="0" w:type="auto"/>
            <w:tcBorders>
              <w:top w:val="nil"/>
              <w:left w:val="nil"/>
              <w:bottom w:val="nil"/>
              <w:right w:val="single" w:sz="8" w:space="0" w:color="0077BD"/>
            </w:tcBorders>
            <w:shd w:val="clear" w:color="auto" w:fill="auto"/>
            <w:vAlign w:val="center"/>
            <w:hideMark/>
          </w:tcPr>
          <w:p w14:paraId="6423F9F1"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nowych umów</w:t>
            </w:r>
          </w:p>
        </w:tc>
        <w:tc>
          <w:tcPr>
            <w:tcW w:w="1304" w:type="dxa"/>
            <w:tcBorders>
              <w:top w:val="nil"/>
              <w:left w:val="single" w:sz="8" w:space="0" w:color="0077BD"/>
              <w:bottom w:val="nil"/>
              <w:right w:val="single" w:sz="8" w:space="0" w:color="0077BD"/>
            </w:tcBorders>
            <w:shd w:val="clear" w:color="auto" w:fill="auto"/>
            <w:noWrap/>
            <w:vAlign w:val="center"/>
          </w:tcPr>
          <w:p w14:paraId="53387707" w14:textId="4F7D3334"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9 935</w:t>
            </w:r>
          </w:p>
        </w:tc>
        <w:tc>
          <w:tcPr>
            <w:tcW w:w="1304" w:type="dxa"/>
            <w:tcBorders>
              <w:top w:val="nil"/>
              <w:left w:val="nil"/>
              <w:bottom w:val="nil"/>
              <w:right w:val="single" w:sz="8" w:space="0" w:color="0077BD"/>
            </w:tcBorders>
            <w:shd w:val="clear" w:color="auto" w:fill="auto"/>
            <w:noWrap/>
            <w:vAlign w:val="center"/>
          </w:tcPr>
          <w:p w14:paraId="383B37A3" w14:textId="6789EFE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nil"/>
              <w:right w:val="single" w:sz="8" w:space="0" w:color="0077BD"/>
            </w:tcBorders>
            <w:shd w:val="clear" w:color="auto" w:fill="auto"/>
            <w:noWrap/>
            <w:vAlign w:val="center"/>
          </w:tcPr>
          <w:p w14:paraId="52D237DD" w14:textId="58A378CC"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1 281</w:t>
            </w:r>
          </w:p>
        </w:tc>
        <w:tc>
          <w:tcPr>
            <w:tcW w:w="1304" w:type="dxa"/>
            <w:tcBorders>
              <w:top w:val="nil"/>
              <w:left w:val="nil"/>
              <w:bottom w:val="nil"/>
              <w:right w:val="single" w:sz="8" w:space="0" w:color="0077BD"/>
            </w:tcBorders>
            <w:shd w:val="clear" w:color="auto" w:fill="auto"/>
            <w:noWrap/>
            <w:vAlign w:val="center"/>
          </w:tcPr>
          <w:p w14:paraId="65B5F658" w14:textId="3AFB5C43"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nil"/>
              <w:right w:val="nil"/>
            </w:tcBorders>
            <w:shd w:val="clear" w:color="auto" w:fill="auto"/>
            <w:noWrap/>
            <w:vAlign w:val="center"/>
          </w:tcPr>
          <w:p w14:paraId="10B87EBD" w14:textId="5CEB98BF"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11 216</w:t>
            </w:r>
          </w:p>
        </w:tc>
      </w:tr>
      <w:tr w:rsidR="00DB6BC9" w:rsidRPr="00DB6BC9" w14:paraId="53E8B3F2" w14:textId="77777777" w:rsidTr="005B44C3">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69DD73F1"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modyfikacji umów</w:t>
            </w:r>
          </w:p>
        </w:tc>
        <w:tc>
          <w:tcPr>
            <w:tcW w:w="13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6FB5D8B0" w14:textId="6EB33FB4"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49 495</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2E46C69C" w14:textId="26F5DAF4"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6C3E0D16" w14:textId="0D8751DD"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2388EA99" w14:textId="3DAF8733"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1 559</w:t>
            </w:r>
          </w:p>
        </w:tc>
        <w:tc>
          <w:tcPr>
            <w:tcW w:w="1304" w:type="dxa"/>
            <w:tcBorders>
              <w:top w:val="single" w:sz="4" w:space="0" w:color="0077BD"/>
              <w:left w:val="nil"/>
              <w:bottom w:val="single" w:sz="4" w:space="0" w:color="0077BD"/>
              <w:right w:val="nil"/>
            </w:tcBorders>
            <w:shd w:val="clear" w:color="auto" w:fill="auto"/>
            <w:noWrap/>
            <w:vAlign w:val="center"/>
          </w:tcPr>
          <w:p w14:paraId="569CAEBF" w14:textId="3C325C02"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51 054</w:t>
            </w:r>
          </w:p>
        </w:tc>
      </w:tr>
      <w:tr w:rsidR="00DB6BC9" w:rsidRPr="00DB6BC9" w14:paraId="2865FDC1" w14:textId="77777777" w:rsidTr="005B44C3">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214C2D99"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innych zwiększeń</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027E0287" w14:textId="782614CB"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1 795</w:t>
            </w:r>
          </w:p>
        </w:tc>
        <w:tc>
          <w:tcPr>
            <w:tcW w:w="1304" w:type="dxa"/>
            <w:tcBorders>
              <w:top w:val="nil"/>
              <w:left w:val="nil"/>
              <w:bottom w:val="single" w:sz="8" w:space="0" w:color="0077BD"/>
              <w:right w:val="single" w:sz="8" w:space="0" w:color="0077BD"/>
            </w:tcBorders>
            <w:shd w:val="clear" w:color="auto" w:fill="auto"/>
            <w:noWrap/>
            <w:vAlign w:val="center"/>
          </w:tcPr>
          <w:p w14:paraId="3733B482" w14:textId="48CDE2AE"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55A0B34C" w14:textId="09BE4E6C"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110B53D0" w14:textId="13E06A90"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nil"/>
            </w:tcBorders>
            <w:shd w:val="clear" w:color="auto" w:fill="auto"/>
            <w:noWrap/>
            <w:vAlign w:val="center"/>
          </w:tcPr>
          <w:p w14:paraId="7A9B06EF" w14:textId="6DE8AD2E"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1 795</w:t>
            </w:r>
          </w:p>
        </w:tc>
      </w:tr>
      <w:tr w:rsidR="00DB6BC9" w:rsidRPr="00C32136" w14:paraId="3F74AF6E" w14:textId="77777777" w:rsidTr="005B44C3">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6BC4A390" w14:textId="77777777" w:rsidR="00DB6BC9" w:rsidRPr="00C32136" w:rsidRDefault="00DB6BC9" w:rsidP="00DB6BC9">
            <w:pPr>
              <w:rPr>
                <w:rFonts w:cs="Calibri"/>
                <w:b/>
                <w:color w:val="000000" w:themeColor="text1"/>
                <w:sz w:val="11"/>
                <w:szCs w:val="11"/>
              </w:rPr>
            </w:pPr>
            <w:r w:rsidRPr="00C32136">
              <w:rPr>
                <w:rFonts w:cs="Calibri"/>
                <w:b/>
                <w:color w:val="000000" w:themeColor="text1"/>
                <w:sz w:val="11"/>
                <w:szCs w:val="11"/>
              </w:rPr>
              <w:t>Zmniejszenia z tytułu: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71C3ABF8" w14:textId="099103DE"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(9 490)</w:t>
            </w:r>
          </w:p>
        </w:tc>
        <w:tc>
          <w:tcPr>
            <w:tcW w:w="1304" w:type="dxa"/>
            <w:tcBorders>
              <w:top w:val="nil"/>
              <w:left w:val="nil"/>
              <w:bottom w:val="single" w:sz="8" w:space="0" w:color="0077BD"/>
              <w:right w:val="single" w:sz="8" w:space="0" w:color="0077BD"/>
            </w:tcBorders>
            <w:shd w:val="clear" w:color="auto" w:fill="auto"/>
            <w:noWrap/>
            <w:vAlign w:val="center"/>
          </w:tcPr>
          <w:p w14:paraId="7AA92F38" w14:textId="1D172B41"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4785675D" w14:textId="5284BF22"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63DB238A" w14:textId="670FA6FB"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w:t>
            </w:r>
          </w:p>
        </w:tc>
        <w:tc>
          <w:tcPr>
            <w:tcW w:w="1304" w:type="dxa"/>
            <w:tcBorders>
              <w:top w:val="nil"/>
              <w:left w:val="nil"/>
              <w:bottom w:val="single" w:sz="8" w:space="0" w:color="0077BD"/>
              <w:right w:val="nil"/>
            </w:tcBorders>
            <w:shd w:val="clear" w:color="auto" w:fill="auto"/>
            <w:noWrap/>
            <w:vAlign w:val="center"/>
          </w:tcPr>
          <w:p w14:paraId="68EF4D48" w14:textId="4D65A308"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(9 490)</w:t>
            </w:r>
          </w:p>
        </w:tc>
      </w:tr>
      <w:tr w:rsidR="00DB6BC9" w:rsidRPr="00DB6BC9" w14:paraId="0924C1C8" w14:textId="77777777" w:rsidTr="005B44C3">
        <w:trPr>
          <w:trHeight w:val="255"/>
        </w:trPr>
        <w:tc>
          <w:tcPr>
            <w:tcW w:w="0" w:type="auto"/>
            <w:tcBorders>
              <w:top w:val="nil"/>
              <w:left w:val="nil"/>
              <w:bottom w:val="single" w:sz="4" w:space="0" w:color="0077BD"/>
              <w:right w:val="single" w:sz="8" w:space="0" w:color="0077BD"/>
            </w:tcBorders>
            <w:shd w:val="clear" w:color="auto" w:fill="auto"/>
            <w:vAlign w:val="center"/>
            <w:hideMark/>
          </w:tcPr>
          <w:p w14:paraId="7A7AD47E"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zakończenia umów</w:t>
            </w:r>
          </w:p>
        </w:tc>
        <w:tc>
          <w:tcPr>
            <w:tcW w:w="1304" w:type="dxa"/>
            <w:tcBorders>
              <w:top w:val="nil"/>
              <w:left w:val="single" w:sz="8" w:space="0" w:color="0077BD"/>
              <w:bottom w:val="nil"/>
              <w:right w:val="single" w:sz="8" w:space="0" w:color="0077BD"/>
            </w:tcBorders>
            <w:shd w:val="clear" w:color="auto" w:fill="auto"/>
            <w:noWrap/>
            <w:vAlign w:val="center"/>
          </w:tcPr>
          <w:p w14:paraId="5536D531" w14:textId="7112DDD7"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(1 253)</w:t>
            </w:r>
          </w:p>
        </w:tc>
        <w:tc>
          <w:tcPr>
            <w:tcW w:w="1304" w:type="dxa"/>
            <w:tcBorders>
              <w:top w:val="nil"/>
              <w:left w:val="nil"/>
              <w:bottom w:val="nil"/>
              <w:right w:val="single" w:sz="8" w:space="0" w:color="0077BD"/>
            </w:tcBorders>
            <w:shd w:val="clear" w:color="auto" w:fill="auto"/>
            <w:noWrap/>
            <w:vAlign w:val="center"/>
          </w:tcPr>
          <w:p w14:paraId="339D968A" w14:textId="45F18659"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nil"/>
              <w:right w:val="single" w:sz="8" w:space="0" w:color="0077BD"/>
            </w:tcBorders>
            <w:shd w:val="clear" w:color="auto" w:fill="auto"/>
            <w:noWrap/>
            <w:vAlign w:val="center"/>
          </w:tcPr>
          <w:p w14:paraId="3FA4E886" w14:textId="0D7A7650"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nil"/>
              <w:right w:val="single" w:sz="8" w:space="0" w:color="0077BD"/>
            </w:tcBorders>
            <w:shd w:val="clear" w:color="auto" w:fill="auto"/>
            <w:noWrap/>
            <w:vAlign w:val="center"/>
          </w:tcPr>
          <w:p w14:paraId="347945F4" w14:textId="251C5A34"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nil"/>
              <w:right w:val="nil"/>
            </w:tcBorders>
            <w:shd w:val="clear" w:color="auto" w:fill="auto"/>
            <w:noWrap/>
            <w:vAlign w:val="center"/>
          </w:tcPr>
          <w:p w14:paraId="2B7D8359" w14:textId="37A42D67"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(1 253)</w:t>
            </w:r>
          </w:p>
        </w:tc>
      </w:tr>
      <w:tr w:rsidR="00DB6BC9" w:rsidRPr="00DB6BC9" w14:paraId="20011955" w14:textId="77777777" w:rsidTr="005B44C3">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tcPr>
          <w:p w14:paraId="24F212EC" w14:textId="74C2BC6C" w:rsidR="00DB6BC9" w:rsidRPr="00DB6BC9" w:rsidRDefault="00DB6BC9" w:rsidP="00DB6BC9">
            <w:pPr>
              <w:rPr>
                <w:rFonts w:cs="Calibri"/>
                <w:color w:val="000000" w:themeColor="text1"/>
                <w:sz w:val="11"/>
                <w:szCs w:val="11"/>
              </w:rPr>
            </w:pPr>
            <w:r w:rsidRPr="00DB6BC9">
              <w:rPr>
                <w:rFonts w:cs="Calibri"/>
                <w:color w:val="000000" w:themeColor="text1"/>
                <w:sz w:val="11"/>
                <w:szCs w:val="11"/>
              </w:rPr>
              <w:t>- modyfikacji umów</w:t>
            </w:r>
          </w:p>
        </w:tc>
        <w:tc>
          <w:tcPr>
            <w:tcW w:w="13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5CCA3C0" w14:textId="306E98D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(7 914)</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46B2E98C" w14:textId="1DE95FF2"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58B66FCF" w14:textId="1D128E79"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69EC2AC5" w14:textId="6BF07D57"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nil"/>
            </w:tcBorders>
            <w:shd w:val="clear" w:color="auto" w:fill="auto"/>
            <w:noWrap/>
            <w:vAlign w:val="center"/>
          </w:tcPr>
          <w:p w14:paraId="2431A7DA" w14:textId="04055417"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(7 914)</w:t>
            </w:r>
          </w:p>
        </w:tc>
      </w:tr>
      <w:tr w:rsidR="00DB6BC9" w:rsidRPr="00DB6BC9" w14:paraId="262753DB" w14:textId="77777777" w:rsidTr="005B44C3">
        <w:trPr>
          <w:trHeight w:val="255"/>
        </w:trPr>
        <w:tc>
          <w:tcPr>
            <w:tcW w:w="0" w:type="auto"/>
            <w:tcBorders>
              <w:top w:val="single" w:sz="4" w:space="0" w:color="0077BD"/>
              <w:left w:val="nil"/>
              <w:bottom w:val="single" w:sz="8" w:space="0" w:color="0077BD"/>
              <w:right w:val="single" w:sz="8" w:space="0" w:color="0077BD"/>
            </w:tcBorders>
            <w:shd w:val="clear" w:color="auto" w:fill="auto"/>
            <w:vAlign w:val="center"/>
            <w:hideMark/>
          </w:tcPr>
          <w:p w14:paraId="6E6485A6"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innych zmniejszeń</w:t>
            </w:r>
          </w:p>
        </w:tc>
        <w:tc>
          <w:tcPr>
            <w:tcW w:w="1304" w:type="dxa"/>
            <w:tcBorders>
              <w:top w:val="nil"/>
              <w:left w:val="single" w:sz="8" w:space="0" w:color="0077BD"/>
              <w:bottom w:val="single" w:sz="4" w:space="0" w:color="0077BD"/>
              <w:right w:val="single" w:sz="8" w:space="0" w:color="0077BD"/>
            </w:tcBorders>
            <w:shd w:val="clear" w:color="auto" w:fill="auto"/>
            <w:noWrap/>
            <w:vAlign w:val="center"/>
          </w:tcPr>
          <w:p w14:paraId="21683302" w14:textId="1A8CCD1A"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(323)</w:t>
            </w:r>
          </w:p>
        </w:tc>
        <w:tc>
          <w:tcPr>
            <w:tcW w:w="1304" w:type="dxa"/>
            <w:tcBorders>
              <w:top w:val="nil"/>
              <w:left w:val="nil"/>
              <w:bottom w:val="single" w:sz="4" w:space="0" w:color="0077BD"/>
              <w:right w:val="single" w:sz="8" w:space="0" w:color="0077BD"/>
            </w:tcBorders>
            <w:shd w:val="clear" w:color="auto" w:fill="auto"/>
            <w:noWrap/>
            <w:vAlign w:val="center"/>
          </w:tcPr>
          <w:p w14:paraId="35799763" w14:textId="290BB59C"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14B18BA2" w14:textId="4058F20A"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7A467115" w14:textId="4F95446C"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nil"/>
            </w:tcBorders>
            <w:shd w:val="clear" w:color="auto" w:fill="auto"/>
            <w:noWrap/>
            <w:vAlign w:val="center"/>
          </w:tcPr>
          <w:p w14:paraId="7B6D2B69" w14:textId="2E611EB3"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(323)</w:t>
            </w:r>
          </w:p>
        </w:tc>
      </w:tr>
      <w:tr w:rsidR="00DB6BC9" w:rsidRPr="00DB6BC9" w14:paraId="36D3366C" w14:textId="77777777" w:rsidTr="00DB6BC9">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4DC8C403" w14:textId="77777777" w:rsidR="00DB6BC9" w:rsidRPr="00DB6BC9" w:rsidRDefault="00DB6BC9" w:rsidP="00DB6BC9">
            <w:pPr>
              <w:rPr>
                <w:rFonts w:cs="Calibri"/>
                <w:b/>
                <w:bCs/>
                <w:color w:val="000000" w:themeColor="text1"/>
                <w:sz w:val="11"/>
                <w:szCs w:val="11"/>
              </w:rPr>
            </w:pPr>
            <w:r w:rsidRPr="00DB6BC9">
              <w:rPr>
                <w:rFonts w:cs="Calibri"/>
                <w:b/>
                <w:bCs/>
                <w:color w:val="000000" w:themeColor="text1"/>
                <w:sz w:val="11"/>
                <w:szCs w:val="11"/>
              </w:rPr>
              <w:t>Wartość brutto praw do użytkowania na koniec okresu</w:t>
            </w:r>
          </w:p>
        </w:tc>
        <w:tc>
          <w:tcPr>
            <w:tcW w:w="1304"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2A147D8F" w14:textId="5713D388"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563 899</w:t>
            </w:r>
          </w:p>
        </w:tc>
        <w:tc>
          <w:tcPr>
            <w:tcW w:w="1304" w:type="dxa"/>
            <w:tcBorders>
              <w:top w:val="single" w:sz="8" w:space="0" w:color="0077BD"/>
              <w:left w:val="nil"/>
              <w:bottom w:val="single" w:sz="8" w:space="0" w:color="0077BD"/>
              <w:right w:val="single" w:sz="8" w:space="0" w:color="0077BD"/>
            </w:tcBorders>
            <w:shd w:val="clear" w:color="auto" w:fill="auto"/>
            <w:noWrap/>
            <w:vAlign w:val="center"/>
          </w:tcPr>
          <w:p w14:paraId="6F21A1F3" w14:textId="564A79A4"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49 046</w:t>
            </w:r>
          </w:p>
        </w:tc>
        <w:tc>
          <w:tcPr>
            <w:tcW w:w="1304" w:type="dxa"/>
            <w:tcBorders>
              <w:top w:val="single" w:sz="8" w:space="0" w:color="0077BD"/>
              <w:left w:val="nil"/>
              <w:bottom w:val="single" w:sz="8" w:space="0" w:color="0077BD"/>
              <w:right w:val="single" w:sz="8" w:space="0" w:color="0077BD"/>
            </w:tcBorders>
            <w:shd w:val="clear" w:color="auto" w:fill="auto"/>
            <w:noWrap/>
            <w:vAlign w:val="center"/>
          </w:tcPr>
          <w:p w14:paraId="784EE0A8" w14:textId="089A7595"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2 075</w:t>
            </w:r>
          </w:p>
        </w:tc>
        <w:tc>
          <w:tcPr>
            <w:tcW w:w="1304" w:type="dxa"/>
            <w:tcBorders>
              <w:top w:val="single" w:sz="8" w:space="0" w:color="0077BD"/>
              <w:left w:val="nil"/>
              <w:bottom w:val="single" w:sz="8" w:space="0" w:color="0077BD"/>
              <w:right w:val="single" w:sz="8" w:space="0" w:color="0077BD"/>
            </w:tcBorders>
            <w:shd w:val="clear" w:color="auto" w:fill="auto"/>
            <w:noWrap/>
            <w:vAlign w:val="center"/>
          </w:tcPr>
          <w:p w14:paraId="050D9721" w14:textId="3DAE5510"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1 930</w:t>
            </w:r>
          </w:p>
        </w:tc>
        <w:tc>
          <w:tcPr>
            <w:tcW w:w="1304" w:type="dxa"/>
            <w:tcBorders>
              <w:top w:val="single" w:sz="8" w:space="0" w:color="0077BD"/>
              <w:left w:val="nil"/>
              <w:bottom w:val="single" w:sz="8" w:space="0" w:color="0077BD"/>
              <w:right w:val="nil"/>
            </w:tcBorders>
            <w:shd w:val="clear" w:color="auto" w:fill="auto"/>
            <w:noWrap/>
            <w:vAlign w:val="center"/>
          </w:tcPr>
          <w:p w14:paraId="756B7778" w14:textId="3F231A08"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616 950</w:t>
            </w:r>
          </w:p>
        </w:tc>
      </w:tr>
      <w:tr w:rsidR="00DB6BC9" w:rsidRPr="00DB6BC9" w14:paraId="1807BFD6" w14:textId="77777777" w:rsidTr="00DB6BC9">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5FDBA293" w14:textId="77777777" w:rsidR="00DB6BC9" w:rsidRPr="00DB6BC9" w:rsidRDefault="00DB6BC9" w:rsidP="00DB6BC9">
            <w:pPr>
              <w:rPr>
                <w:rFonts w:cs="Calibri"/>
                <w:b/>
                <w:bCs/>
                <w:color w:val="000000" w:themeColor="text1"/>
                <w:sz w:val="11"/>
                <w:szCs w:val="11"/>
              </w:rPr>
            </w:pPr>
            <w:r w:rsidRPr="00DB6BC9">
              <w:rPr>
                <w:rFonts w:cs="Calibri"/>
                <w:b/>
                <w:bCs/>
                <w:color w:val="000000" w:themeColor="text1"/>
                <w:sz w:val="11"/>
                <w:szCs w:val="11"/>
              </w:rPr>
              <w:t>Skumulowana amortyzacja (umorzenie) na początek okresu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07F8DD56" w14:textId="6651C821"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714FF059" w14:textId="049A9292"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22C48ACF" w14:textId="405F102E"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690DE011" w14:textId="07745A3A"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w:t>
            </w:r>
          </w:p>
        </w:tc>
        <w:tc>
          <w:tcPr>
            <w:tcW w:w="1304" w:type="dxa"/>
            <w:tcBorders>
              <w:top w:val="nil"/>
              <w:left w:val="nil"/>
              <w:bottom w:val="single" w:sz="8" w:space="0" w:color="0077BD"/>
              <w:right w:val="nil"/>
            </w:tcBorders>
            <w:shd w:val="clear" w:color="auto" w:fill="auto"/>
            <w:noWrap/>
            <w:vAlign w:val="center"/>
          </w:tcPr>
          <w:p w14:paraId="5459E735" w14:textId="07BF3130"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w:t>
            </w:r>
          </w:p>
        </w:tc>
      </w:tr>
      <w:tr w:rsidR="00DB6BC9" w:rsidRPr="00C32136" w14:paraId="3C5A2CBF" w14:textId="77777777" w:rsidTr="005B44C3">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7C573793" w14:textId="77777777" w:rsidR="00DB6BC9" w:rsidRPr="00C32136" w:rsidRDefault="00DB6BC9" w:rsidP="00DB6BC9">
            <w:pPr>
              <w:rPr>
                <w:rFonts w:cs="Calibri"/>
                <w:b/>
                <w:color w:val="000000" w:themeColor="text1"/>
                <w:sz w:val="11"/>
                <w:szCs w:val="11"/>
              </w:rPr>
            </w:pPr>
            <w:r w:rsidRPr="00C32136">
              <w:rPr>
                <w:rFonts w:cs="Calibri"/>
                <w:b/>
                <w:color w:val="000000" w:themeColor="text1"/>
                <w:sz w:val="11"/>
                <w:szCs w:val="11"/>
              </w:rPr>
              <w:t>Amortyzacja za okres z tytułu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38FC0381" w14:textId="302A7414"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(126 604)</w:t>
            </w:r>
          </w:p>
        </w:tc>
        <w:tc>
          <w:tcPr>
            <w:tcW w:w="1304" w:type="dxa"/>
            <w:tcBorders>
              <w:top w:val="nil"/>
              <w:left w:val="nil"/>
              <w:bottom w:val="single" w:sz="8" w:space="0" w:color="0077BD"/>
              <w:right w:val="single" w:sz="8" w:space="0" w:color="0077BD"/>
            </w:tcBorders>
            <w:shd w:val="clear" w:color="auto" w:fill="auto"/>
            <w:noWrap/>
            <w:vAlign w:val="center"/>
          </w:tcPr>
          <w:p w14:paraId="371F4481" w14:textId="7CF0DE46"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(688)</w:t>
            </w:r>
          </w:p>
        </w:tc>
        <w:tc>
          <w:tcPr>
            <w:tcW w:w="1304" w:type="dxa"/>
            <w:tcBorders>
              <w:top w:val="nil"/>
              <w:left w:val="nil"/>
              <w:bottom w:val="single" w:sz="8" w:space="0" w:color="0077BD"/>
              <w:right w:val="single" w:sz="8" w:space="0" w:color="0077BD"/>
            </w:tcBorders>
            <w:shd w:val="clear" w:color="auto" w:fill="auto"/>
            <w:noWrap/>
            <w:vAlign w:val="center"/>
          </w:tcPr>
          <w:p w14:paraId="4593DE22" w14:textId="7CD59FE4"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(514)</w:t>
            </w:r>
          </w:p>
        </w:tc>
        <w:tc>
          <w:tcPr>
            <w:tcW w:w="1304" w:type="dxa"/>
            <w:tcBorders>
              <w:top w:val="nil"/>
              <w:left w:val="nil"/>
              <w:bottom w:val="single" w:sz="8" w:space="0" w:color="0077BD"/>
              <w:right w:val="single" w:sz="8" w:space="0" w:color="0077BD"/>
            </w:tcBorders>
            <w:shd w:val="clear" w:color="auto" w:fill="auto"/>
            <w:noWrap/>
            <w:vAlign w:val="center"/>
          </w:tcPr>
          <w:p w14:paraId="54BD8CF3" w14:textId="54FD6E1B"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(797)</w:t>
            </w:r>
          </w:p>
        </w:tc>
        <w:tc>
          <w:tcPr>
            <w:tcW w:w="1304" w:type="dxa"/>
            <w:tcBorders>
              <w:top w:val="nil"/>
              <w:left w:val="nil"/>
              <w:bottom w:val="single" w:sz="8" w:space="0" w:color="0077BD"/>
              <w:right w:val="nil"/>
            </w:tcBorders>
            <w:shd w:val="clear" w:color="auto" w:fill="auto"/>
            <w:noWrap/>
            <w:vAlign w:val="center"/>
          </w:tcPr>
          <w:p w14:paraId="06D534E0" w14:textId="5AABD323" w:rsidR="00DB6BC9" w:rsidRPr="00C32136" w:rsidRDefault="00DB6BC9" w:rsidP="00DB6BC9">
            <w:pPr>
              <w:jc w:val="right"/>
              <w:rPr>
                <w:rFonts w:cs="Calibri"/>
                <w:b/>
                <w:color w:val="000000" w:themeColor="text1"/>
                <w:sz w:val="11"/>
                <w:szCs w:val="11"/>
              </w:rPr>
            </w:pPr>
            <w:r w:rsidRPr="00C32136">
              <w:rPr>
                <w:rFonts w:cs="Calibri"/>
                <w:b/>
                <w:color w:val="000000" w:themeColor="text1"/>
                <w:sz w:val="11"/>
                <w:szCs w:val="11"/>
              </w:rPr>
              <w:t>(128 603)</w:t>
            </w:r>
          </w:p>
        </w:tc>
      </w:tr>
      <w:tr w:rsidR="00DB6BC9" w:rsidRPr="00DB6BC9" w14:paraId="39954575" w14:textId="77777777" w:rsidTr="005B44C3">
        <w:trPr>
          <w:trHeight w:val="255"/>
        </w:trPr>
        <w:tc>
          <w:tcPr>
            <w:tcW w:w="0" w:type="auto"/>
            <w:tcBorders>
              <w:top w:val="nil"/>
              <w:left w:val="nil"/>
              <w:bottom w:val="nil"/>
              <w:right w:val="single" w:sz="8" w:space="0" w:color="0077BD"/>
            </w:tcBorders>
            <w:shd w:val="clear" w:color="auto" w:fill="auto"/>
            <w:vAlign w:val="center"/>
            <w:hideMark/>
          </w:tcPr>
          <w:p w14:paraId="6A737E24"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odpisów</w:t>
            </w:r>
          </w:p>
        </w:tc>
        <w:tc>
          <w:tcPr>
            <w:tcW w:w="1304" w:type="dxa"/>
            <w:tcBorders>
              <w:top w:val="nil"/>
              <w:left w:val="single" w:sz="8" w:space="0" w:color="0077BD"/>
              <w:bottom w:val="nil"/>
              <w:right w:val="single" w:sz="8" w:space="0" w:color="0077BD"/>
            </w:tcBorders>
            <w:shd w:val="clear" w:color="auto" w:fill="auto"/>
            <w:noWrap/>
            <w:vAlign w:val="center"/>
          </w:tcPr>
          <w:p w14:paraId="6BBB145A" w14:textId="1BCBBB8A"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(124 324)</w:t>
            </w:r>
          </w:p>
        </w:tc>
        <w:tc>
          <w:tcPr>
            <w:tcW w:w="1304" w:type="dxa"/>
            <w:tcBorders>
              <w:top w:val="nil"/>
              <w:left w:val="nil"/>
              <w:bottom w:val="nil"/>
              <w:right w:val="single" w:sz="8" w:space="0" w:color="0077BD"/>
            </w:tcBorders>
            <w:shd w:val="clear" w:color="auto" w:fill="auto"/>
            <w:noWrap/>
            <w:vAlign w:val="center"/>
          </w:tcPr>
          <w:p w14:paraId="0308A268" w14:textId="30582CAD"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(688)</w:t>
            </w:r>
          </w:p>
        </w:tc>
        <w:tc>
          <w:tcPr>
            <w:tcW w:w="1304" w:type="dxa"/>
            <w:tcBorders>
              <w:top w:val="nil"/>
              <w:left w:val="nil"/>
              <w:bottom w:val="nil"/>
              <w:right w:val="single" w:sz="8" w:space="0" w:color="0077BD"/>
            </w:tcBorders>
            <w:shd w:val="clear" w:color="auto" w:fill="auto"/>
            <w:noWrap/>
            <w:vAlign w:val="center"/>
          </w:tcPr>
          <w:p w14:paraId="7D4B1DDC" w14:textId="17F392AB"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(514)</w:t>
            </w:r>
          </w:p>
        </w:tc>
        <w:tc>
          <w:tcPr>
            <w:tcW w:w="1304" w:type="dxa"/>
            <w:tcBorders>
              <w:top w:val="nil"/>
              <w:left w:val="nil"/>
              <w:bottom w:val="nil"/>
              <w:right w:val="single" w:sz="8" w:space="0" w:color="0077BD"/>
            </w:tcBorders>
            <w:shd w:val="clear" w:color="auto" w:fill="auto"/>
            <w:noWrap/>
            <w:vAlign w:val="center"/>
          </w:tcPr>
          <w:p w14:paraId="45C575F6" w14:textId="39E1EBCE"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(797)</w:t>
            </w:r>
          </w:p>
        </w:tc>
        <w:tc>
          <w:tcPr>
            <w:tcW w:w="1304" w:type="dxa"/>
            <w:tcBorders>
              <w:top w:val="nil"/>
              <w:left w:val="nil"/>
              <w:bottom w:val="nil"/>
              <w:right w:val="nil"/>
            </w:tcBorders>
            <w:shd w:val="clear" w:color="auto" w:fill="auto"/>
            <w:noWrap/>
            <w:vAlign w:val="center"/>
          </w:tcPr>
          <w:p w14:paraId="434B44A5" w14:textId="058A43F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(126 323)</w:t>
            </w:r>
          </w:p>
        </w:tc>
      </w:tr>
      <w:tr w:rsidR="00DB6BC9" w:rsidRPr="00DB6BC9" w14:paraId="796FEF32" w14:textId="77777777" w:rsidTr="005B44C3">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2E967957"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innych zwiększeń</w:t>
            </w:r>
          </w:p>
        </w:tc>
        <w:tc>
          <w:tcPr>
            <w:tcW w:w="1304"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DB9BE4B" w14:textId="261D1779"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(3 306)</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39C62C39" w14:textId="1D0532DB"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029B4C8B" w14:textId="2A4AF2D2"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single" w:sz="8" w:space="0" w:color="0077BD"/>
            </w:tcBorders>
            <w:shd w:val="clear" w:color="auto" w:fill="auto"/>
            <w:noWrap/>
            <w:vAlign w:val="center"/>
          </w:tcPr>
          <w:p w14:paraId="1AD42F10" w14:textId="2469A037"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single" w:sz="4" w:space="0" w:color="0077BD"/>
              <w:left w:val="nil"/>
              <w:bottom w:val="single" w:sz="4" w:space="0" w:color="0077BD"/>
              <w:right w:val="nil"/>
            </w:tcBorders>
            <w:shd w:val="clear" w:color="auto" w:fill="auto"/>
            <w:noWrap/>
            <w:vAlign w:val="center"/>
          </w:tcPr>
          <w:p w14:paraId="591E45FD" w14:textId="03CD164B"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(3 306)</w:t>
            </w:r>
          </w:p>
        </w:tc>
      </w:tr>
      <w:tr w:rsidR="00DB6BC9" w:rsidRPr="00DB6BC9" w14:paraId="4CEC7B87" w14:textId="77777777" w:rsidTr="005B44C3">
        <w:trPr>
          <w:trHeight w:val="255"/>
        </w:trPr>
        <w:tc>
          <w:tcPr>
            <w:tcW w:w="0" w:type="auto"/>
            <w:tcBorders>
              <w:top w:val="single" w:sz="4" w:space="0" w:color="0077BD"/>
              <w:left w:val="nil"/>
              <w:bottom w:val="single" w:sz="4" w:space="0" w:color="0077BD"/>
              <w:right w:val="single" w:sz="8" w:space="0" w:color="0077BD"/>
            </w:tcBorders>
            <w:shd w:val="clear" w:color="auto" w:fill="auto"/>
            <w:vAlign w:val="center"/>
          </w:tcPr>
          <w:p w14:paraId="66BFB4F9" w14:textId="0A351315" w:rsidR="00DB6BC9" w:rsidRPr="00DB6BC9" w:rsidRDefault="00DB6BC9" w:rsidP="00DB6BC9">
            <w:pPr>
              <w:rPr>
                <w:rFonts w:cs="Calibri"/>
                <w:color w:val="000000" w:themeColor="text1"/>
                <w:sz w:val="11"/>
                <w:szCs w:val="11"/>
              </w:rPr>
            </w:pPr>
            <w:r w:rsidRPr="00DB6BC9">
              <w:rPr>
                <w:rFonts w:cs="Calibri"/>
                <w:color w:val="000000" w:themeColor="text1"/>
                <w:sz w:val="11"/>
                <w:szCs w:val="11"/>
              </w:rPr>
              <w:t>- modyfikacji umów</w:t>
            </w:r>
          </w:p>
        </w:tc>
        <w:tc>
          <w:tcPr>
            <w:tcW w:w="1304" w:type="dxa"/>
            <w:tcBorders>
              <w:top w:val="nil"/>
              <w:left w:val="single" w:sz="8" w:space="0" w:color="0077BD"/>
              <w:bottom w:val="single" w:sz="4" w:space="0" w:color="0077BD"/>
              <w:right w:val="single" w:sz="8" w:space="0" w:color="0077BD"/>
            </w:tcBorders>
            <w:shd w:val="clear" w:color="auto" w:fill="auto"/>
            <w:noWrap/>
            <w:vAlign w:val="center"/>
          </w:tcPr>
          <w:p w14:paraId="638EAFB6" w14:textId="6DDCFD68"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613</w:t>
            </w:r>
          </w:p>
        </w:tc>
        <w:tc>
          <w:tcPr>
            <w:tcW w:w="1304" w:type="dxa"/>
            <w:tcBorders>
              <w:top w:val="nil"/>
              <w:left w:val="nil"/>
              <w:bottom w:val="single" w:sz="4" w:space="0" w:color="0077BD"/>
              <w:right w:val="single" w:sz="8" w:space="0" w:color="0077BD"/>
            </w:tcBorders>
            <w:shd w:val="clear" w:color="auto" w:fill="auto"/>
            <w:noWrap/>
            <w:vAlign w:val="center"/>
          </w:tcPr>
          <w:p w14:paraId="73F7D199" w14:textId="51F27E86"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0530DDC9" w14:textId="5EECC00E"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3EB91D98" w14:textId="3B90D013"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nil"/>
            </w:tcBorders>
            <w:shd w:val="clear" w:color="auto" w:fill="auto"/>
            <w:noWrap/>
            <w:vAlign w:val="center"/>
          </w:tcPr>
          <w:p w14:paraId="5EB12530" w14:textId="3D8B2D76"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613</w:t>
            </w:r>
          </w:p>
        </w:tc>
      </w:tr>
      <w:tr w:rsidR="00DB6BC9" w:rsidRPr="00DB6BC9" w14:paraId="16F9CE9A" w14:textId="77777777" w:rsidTr="005B44C3">
        <w:trPr>
          <w:trHeight w:val="255"/>
        </w:trPr>
        <w:tc>
          <w:tcPr>
            <w:tcW w:w="0" w:type="auto"/>
            <w:tcBorders>
              <w:top w:val="nil"/>
              <w:left w:val="nil"/>
              <w:bottom w:val="single" w:sz="4" w:space="0" w:color="0077BD"/>
              <w:right w:val="single" w:sz="8" w:space="0" w:color="0077BD"/>
            </w:tcBorders>
            <w:shd w:val="clear" w:color="auto" w:fill="auto"/>
            <w:vAlign w:val="center"/>
            <w:hideMark/>
          </w:tcPr>
          <w:p w14:paraId="761B8029"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zakończenia umów</w:t>
            </w:r>
          </w:p>
        </w:tc>
        <w:tc>
          <w:tcPr>
            <w:tcW w:w="1304" w:type="dxa"/>
            <w:tcBorders>
              <w:top w:val="nil"/>
              <w:left w:val="single" w:sz="8" w:space="0" w:color="0077BD"/>
              <w:bottom w:val="single" w:sz="4" w:space="0" w:color="0077BD"/>
              <w:right w:val="single" w:sz="8" w:space="0" w:color="0077BD"/>
            </w:tcBorders>
            <w:shd w:val="clear" w:color="auto" w:fill="auto"/>
            <w:noWrap/>
            <w:vAlign w:val="center"/>
          </w:tcPr>
          <w:p w14:paraId="1810AE8A" w14:textId="2416C11B"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294</w:t>
            </w:r>
          </w:p>
        </w:tc>
        <w:tc>
          <w:tcPr>
            <w:tcW w:w="1304" w:type="dxa"/>
            <w:tcBorders>
              <w:top w:val="nil"/>
              <w:left w:val="nil"/>
              <w:bottom w:val="single" w:sz="4" w:space="0" w:color="0077BD"/>
              <w:right w:val="single" w:sz="8" w:space="0" w:color="0077BD"/>
            </w:tcBorders>
            <w:shd w:val="clear" w:color="auto" w:fill="auto"/>
            <w:noWrap/>
            <w:vAlign w:val="center"/>
          </w:tcPr>
          <w:p w14:paraId="5304B188" w14:textId="13315106"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761BA098" w14:textId="5E57C0EF"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single" w:sz="8" w:space="0" w:color="0077BD"/>
            </w:tcBorders>
            <w:shd w:val="clear" w:color="auto" w:fill="auto"/>
            <w:noWrap/>
            <w:vAlign w:val="center"/>
          </w:tcPr>
          <w:p w14:paraId="1CECE088" w14:textId="51EF1F55"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4" w:space="0" w:color="0077BD"/>
              <w:right w:val="nil"/>
            </w:tcBorders>
            <w:shd w:val="clear" w:color="auto" w:fill="auto"/>
            <w:noWrap/>
            <w:vAlign w:val="center"/>
          </w:tcPr>
          <w:p w14:paraId="466E77E1" w14:textId="40F54706"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294</w:t>
            </w:r>
          </w:p>
        </w:tc>
      </w:tr>
      <w:tr w:rsidR="00DB6BC9" w:rsidRPr="00DB6BC9" w14:paraId="3E832EAC" w14:textId="77777777" w:rsidTr="005B44C3">
        <w:trPr>
          <w:trHeight w:val="255"/>
        </w:trPr>
        <w:tc>
          <w:tcPr>
            <w:tcW w:w="0" w:type="auto"/>
            <w:tcBorders>
              <w:top w:val="nil"/>
              <w:left w:val="nil"/>
              <w:bottom w:val="single" w:sz="8" w:space="0" w:color="0077BD"/>
              <w:right w:val="single" w:sz="8" w:space="0" w:color="0077BD"/>
            </w:tcBorders>
            <w:shd w:val="clear" w:color="auto" w:fill="auto"/>
            <w:vAlign w:val="center"/>
            <w:hideMark/>
          </w:tcPr>
          <w:p w14:paraId="0877B7F3" w14:textId="77777777" w:rsidR="00DB6BC9" w:rsidRPr="00DB6BC9" w:rsidRDefault="00DB6BC9" w:rsidP="00DB6BC9">
            <w:pPr>
              <w:rPr>
                <w:rFonts w:cs="Calibri"/>
                <w:color w:val="000000" w:themeColor="text1"/>
                <w:sz w:val="11"/>
                <w:szCs w:val="11"/>
              </w:rPr>
            </w:pPr>
            <w:r w:rsidRPr="00DB6BC9">
              <w:rPr>
                <w:rFonts w:cs="Calibri"/>
                <w:color w:val="000000" w:themeColor="text1"/>
                <w:sz w:val="11"/>
                <w:szCs w:val="11"/>
              </w:rPr>
              <w:t>- innych zmniejszeń</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73D89C1F" w14:textId="0667093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119</w:t>
            </w:r>
          </w:p>
        </w:tc>
        <w:tc>
          <w:tcPr>
            <w:tcW w:w="1304" w:type="dxa"/>
            <w:tcBorders>
              <w:top w:val="nil"/>
              <w:left w:val="nil"/>
              <w:bottom w:val="single" w:sz="8" w:space="0" w:color="0077BD"/>
              <w:right w:val="single" w:sz="8" w:space="0" w:color="0077BD"/>
            </w:tcBorders>
            <w:shd w:val="clear" w:color="auto" w:fill="auto"/>
            <w:noWrap/>
            <w:vAlign w:val="center"/>
          </w:tcPr>
          <w:p w14:paraId="57EA4FF7" w14:textId="3D7503F8"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530A9690" w14:textId="4AD8698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single" w:sz="8" w:space="0" w:color="0077BD"/>
            </w:tcBorders>
            <w:shd w:val="clear" w:color="auto" w:fill="auto"/>
            <w:noWrap/>
            <w:vAlign w:val="center"/>
          </w:tcPr>
          <w:p w14:paraId="583EF85D" w14:textId="1C4A1B81"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w:t>
            </w:r>
          </w:p>
        </w:tc>
        <w:tc>
          <w:tcPr>
            <w:tcW w:w="1304" w:type="dxa"/>
            <w:tcBorders>
              <w:top w:val="nil"/>
              <w:left w:val="nil"/>
              <w:bottom w:val="single" w:sz="8" w:space="0" w:color="0077BD"/>
              <w:right w:val="nil"/>
            </w:tcBorders>
            <w:shd w:val="clear" w:color="auto" w:fill="auto"/>
            <w:noWrap/>
            <w:vAlign w:val="center"/>
          </w:tcPr>
          <w:p w14:paraId="02CAF0C4" w14:textId="4CD37F2F" w:rsidR="00DB6BC9" w:rsidRPr="00DB6BC9" w:rsidRDefault="00DB6BC9" w:rsidP="00DB6BC9">
            <w:pPr>
              <w:jc w:val="right"/>
              <w:rPr>
                <w:rFonts w:cs="Calibri"/>
                <w:color w:val="000000" w:themeColor="text1"/>
                <w:sz w:val="11"/>
                <w:szCs w:val="11"/>
              </w:rPr>
            </w:pPr>
            <w:r w:rsidRPr="00DB6BC9">
              <w:rPr>
                <w:rFonts w:cs="Calibri"/>
                <w:color w:val="000000" w:themeColor="text1"/>
                <w:sz w:val="11"/>
                <w:szCs w:val="11"/>
              </w:rPr>
              <w:t>119</w:t>
            </w:r>
          </w:p>
        </w:tc>
      </w:tr>
      <w:tr w:rsidR="00DB6BC9" w:rsidRPr="00DB6BC9" w14:paraId="3A91397D" w14:textId="77777777" w:rsidTr="00DB6BC9">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49A2616A" w14:textId="77777777" w:rsidR="00DB6BC9" w:rsidRPr="00DB6BC9" w:rsidRDefault="00DB6BC9" w:rsidP="00DB6BC9">
            <w:pPr>
              <w:rPr>
                <w:rFonts w:cs="Calibri"/>
                <w:b/>
                <w:bCs/>
                <w:color w:val="000000" w:themeColor="text1"/>
                <w:sz w:val="11"/>
                <w:szCs w:val="11"/>
              </w:rPr>
            </w:pPr>
            <w:r w:rsidRPr="00DB6BC9">
              <w:rPr>
                <w:rFonts w:cs="Calibri"/>
                <w:b/>
                <w:bCs/>
                <w:color w:val="000000" w:themeColor="text1"/>
                <w:sz w:val="11"/>
                <w:szCs w:val="11"/>
              </w:rPr>
              <w:t>Skumulowana amortyzacja (umorzenie) na koniec okresu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758003AF" w14:textId="1E60DEAE"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(126 604)</w:t>
            </w:r>
          </w:p>
        </w:tc>
        <w:tc>
          <w:tcPr>
            <w:tcW w:w="1304" w:type="dxa"/>
            <w:tcBorders>
              <w:top w:val="nil"/>
              <w:left w:val="nil"/>
              <w:bottom w:val="single" w:sz="8" w:space="0" w:color="0077BD"/>
              <w:right w:val="single" w:sz="8" w:space="0" w:color="0077BD"/>
            </w:tcBorders>
            <w:shd w:val="clear" w:color="auto" w:fill="auto"/>
            <w:noWrap/>
            <w:vAlign w:val="center"/>
          </w:tcPr>
          <w:p w14:paraId="4B1A4B28" w14:textId="3C9D8AB1"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(688)</w:t>
            </w:r>
          </w:p>
        </w:tc>
        <w:tc>
          <w:tcPr>
            <w:tcW w:w="1304" w:type="dxa"/>
            <w:tcBorders>
              <w:top w:val="nil"/>
              <w:left w:val="nil"/>
              <w:bottom w:val="single" w:sz="8" w:space="0" w:color="0077BD"/>
              <w:right w:val="single" w:sz="8" w:space="0" w:color="0077BD"/>
            </w:tcBorders>
            <w:shd w:val="clear" w:color="auto" w:fill="auto"/>
            <w:noWrap/>
            <w:vAlign w:val="center"/>
          </w:tcPr>
          <w:p w14:paraId="4AC21DAA" w14:textId="2D1C71C9"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(514)</w:t>
            </w:r>
          </w:p>
        </w:tc>
        <w:tc>
          <w:tcPr>
            <w:tcW w:w="1304" w:type="dxa"/>
            <w:tcBorders>
              <w:top w:val="nil"/>
              <w:left w:val="nil"/>
              <w:bottom w:val="single" w:sz="8" w:space="0" w:color="0077BD"/>
              <w:right w:val="single" w:sz="8" w:space="0" w:color="0077BD"/>
            </w:tcBorders>
            <w:shd w:val="clear" w:color="auto" w:fill="auto"/>
            <w:noWrap/>
            <w:vAlign w:val="center"/>
          </w:tcPr>
          <w:p w14:paraId="13F8DE53" w14:textId="137B7BB0"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(797)</w:t>
            </w:r>
          </w:p>
        </w:tc>
        <w:tc>
          <w:tcPr>
            <w:tcW w:w="1304" w:type="dxa"/>
            <w:tcBorders>
              <w:top w:val="nil"/>
              <w:left w:val="nil"/>
              <w:bottom w:val="single" w:sz="8" w:space="0" w:color="0077BD"/>
              <w:right w:val="nil"/>
            </w:tcBorders>
            <w:shd w:val="clear" w:color="auto" w:fill="auto"/>
            <w:noWrap/>
            <w:vAlign w:val="center"/>
          </w:tcPr>
          <w:p w14:paraId="4D75C847" w14:textId="00A3C585"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(128 603)</w:t>
            </w:r>
          </w:p>
        </w:tc>
      </w:tr>
      <w:tr w:rsidR="00DB6BC9" w:rsidRPr="00DB6BC9" w14:paraId="75F0F10D" w14:textId="77777777" w:rsidTr="00DB6BC9">
        <w:trPr>
          <w:trHeight w:val="340"/>
        </w:trPr>
        <w:tc>
          <w:tcPr>
            <w:tcW w:w="0" w:type="auto"/>
            <w:tcBorders>
              <w:top w:val="nil"/>
              <w:left w:val="nil"/>
              <w:bottom w:val="single" w:sz="8" w:space="0" w:color="0077BD"/>
              <w:right w:val="single" w:sz="8" w:space="0" w:color="0077BD"/>
            </w:tcBorders>
            <w:shd w:val="clear" w:color="auto" w:fill="auto"/>
            <w:vAlign w:val="center"/>
            <w:hideMark/>
          </w:tcPr>
          <w:p w14:paraId="70574740" w14:textId="77777777" w:rsidR="00DB6BC9" w:rsidRPr="00DB6BC9" w:rsidRDefault="00DB6BC9" w:rsidP="00DB6BC9">
            <w:pPr>
              <w:rPr>
                <w:rFonts w:cs="Calibri"/>
                <w:b/>
                <w:bCs/>
                <w:color w:val="000000" w:themeColor="text1"/>
                <w:sz w:val="11"/>
                <w:szCs w:val="11"/>
              </w:rPr>
            </w:pPr>
            <w:r w:rsidRPr="00DB6BC9">
              <w:rPr>
                <w:rFonts w:cs="Calibri"/>
                <w:b/>
                <w:bCs/>
                <w:color w:val="000000" w:themeColor="text1"/>
                <w:sz w:val="11"/>
                <w:szCs w:val="11"/>
              </w:rPr>
              <w:t>Wartość netto praw do użytkowania na koniec okresu</w:t>
            </w:r>
          </w:p>
        </w:tc>
        <w:tc>
          <w:tcPr>
            <w:tcW w:w="1304" w:type="dxa"/>
            <w:tcBorders>
              <w:top w:val="nil"/>
              <w:left w:val="single" w:sz="8" w:space="0" w:color="0077BD"/>
              <w:bottom w:val="single" w:sz="8" w:space="0" w:color="0077BD"/>
              <w:right w:val="single" w:sz="8" w:space="0" w:color="0077BD"/>
            </w:tcBorders>
            <w:shd w:val="clear" w:color="auto" w:fill="auto"/>
            <w:noWrap/>
            <w:vAlign w:val="center"/>
          </w:tcPr>
          <w:p w14:paraId="5F555018" w14:textId="30BEEC41"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437 295</w:t>
            </w:r>
          </w:p>
        </w:tc>
        <w:tc>
          <w:tcPr>
            <w:tcW w:w="1304" w:type="dxa"/>
            <w:tcBorders>
              <w:top w:val="nil"/>
              <w:left w:val="nil"/>
              <w:bottom w:val="single" w:sz="8" w:space="0" w:color="0077BD"/>
              <w:right w:val="single" w:sz="8" w:space="0" w:color="0077BD"/>
            </w:tcBorders>
            <w:shd w:val="clear" w:color="auto" w:fill="auto"/>
            <w:noWrap/>
            <w:vAlign w:val="center"/>
          </w:tcPr>
          <w:p w14:paraId="66EE8DA5" w14:textId="196C1B90"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48 358</w:t>
            </w:r>
          </w:p>
        </w:tc>
        <w:tc>
          <w:tcPr>
            <w:tcW w:w="1304" w:type="dxa"/>
            <w:tcBorders>
              <w:top w:val="nil"/>
              <w:left w:val="nil"/>
              <w:bottom w:val="single" w:sz="8" w:space="0" w:color="0077BD"/>
              <w:right w:val="single" w:sz="8" w:space="0" w:color="0077BD"/>
            </w:tcBorders>
            <w:shd w:val="clear" w:color="auto" w:fill="auto"/>
            <w:noWrap/>
            <w:vAlign w:val="center"/>
          </w:tcPr>
          <w:p w14:paraId="68BCE67B" w14:textId="7A44EA9B"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1 561</w:t>
            </w:r>
          </w:p>
        </w:tc>
        <w:tc>
          <w:tcPr>
            <w:tcW w:w="1304" w:type="dxa"/>
            <w:tcBorders>
              <w:top w:val="nil"/>
              <w:left w:val="nil"/>
              <w:bottom w:val="single" w:sz="8" w:space="0" w:color="0077BD"/>
              <w:right w:val="single" w:sz="8" w:space="0" w:color="0077BD"/>
            </w:tcBorders>
            <w:shd w:val="clear" w:color="auto" w:fill="auto"/>
            <w:noWrap/>
            <w:vAlign w:val="center"/>
          </w:tcPr>
          <w:p w14:paraId="31E2D9F8" w14:textId="4C02FF19"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1 133</w:t>
            </w:r>
          </w:p>
        </w:tc>
        <w:tc>
          <w:tcPr>
            <w:tcW w:w="1304" w:type="dxa"/>
            <w:tcBorders>
              <w:top w:val="nil"/>
              <w:left w:val="nil"/>
              <w:bottom w:val="single" w:sz="8" w:space="0" w:color="0077BD"/>
              <w:right w:val="nil"/>
            </w:tcBorders>
            <w:shd w:val="clear" w:color="auto" w:fill="auto"/>
            <w:noWrap/>
            <w:vAlign w:val="center"/>
          </w:tcPr>
          <w:p w14:paraId="66D0DE67" w14:textId="0A7ED444" w:rsidR="00DB6BC9" w:rsidRPr="00DB6BC9" w:rsidRDefault="00DB6BC9" w:rsidP="00DB6BC9">
            <w:pPr>
              <w:jc w:val="right"/>
              <w:rPr>
                <w:rFonts w:cs="Calibri"/>
                <w:b/>
                <w:bCs/>
                <w:color w:val="000000" w:themeColor="text1"/>
                <w:sz w:val="11"/>
                <w:szCs w:val="11"/>
              </w:rPr>
            </w:pPr>
            <w:r w:rsidRPr="00DB6BC9">
              <w:rPr>
                <w:rFonts w:cs="Calibri"/>
                <w:b/>
                <w:bCs/>
                <w:color w:val="000000" w:themeColor="text1"/>
                <w:sz w:val="11"/>
                <w:szCs w:val="11"/>
              </w:rPr>
              <w:t>488 347</w:t>
            </w:r>
          </w:p>
        </w:tc>
      </w:tr>
    </w:tbl>
    <w:p w14:paraId="6D8CB13B" w14:textId="5CFAA9AE" w:rsidR="007811A1" w:rsidRPr="00BB7C9E" w:rsidRDefault="007811A1" w:rsidP="004523D7">
      <w:pPr>
        <w:jc w:val="both"/>
        <w:rPr>
          <w:color w:val="000000" w:themeColor="text1"/>
          <w:sz w:val="18"/>
          <w:szCs w:val="18"/>
        </w:rPr>
      </w:pPr>
    </w:p>
    <w:p w14:paraId="49780D68" w14:textId="77777777" w:rsidR="0035524B" w:rsidRDefault="0035524B"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48" w:name="_Toc32999858"/>
      <w:r>
        <w:rPr>
          <w:rFonts w:cs="Tahoma"/>
          <w:bCs w:val="0"/>
          <w:iCs w:val="0"/>
          <w:color w:val="E41E0A"/>
          <w:sz w:val="18"/>
          <w:szCs w:val="18"/>
        </w:rPr>
        <w:t>Inne aktywa</w:t>
      </w:r>
      <w:bookmarkEnd w:id="148"/>
    </w:p>
    <w:p w14:paraId="1DA73B0E" w14:textId="26283DA3" w:rsidR="0035524B" w:rsidRDefault="0035524B" w:rsidP="00684B91">
      <w:pPr>
        <w:jc w:val="both"/>
        <w:rPr>
          <w:noProof/>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684B91" w:rsidRPr="00684B91" w14:paraId="518AD335" w14:textId="77777777" w:rsidTr="004D5753">
        <w:trPr>
          <w:trHeight w:val="284"/>
        </w:trPr>
        <w:tc>
          <w:tcPr>
            <w:tcW w:w="6747" w:type="dxa"/>
            <w:tcBorders>
              <w:top w:val="nil"/>
              <w:left w:val="nil"/>
              <w:right w:val="single" w:sz="8" w:space="0" w:color="FFFFFF"/>
            </w:tcBorders>
            <w:shd w:val="clear" w:color="000000" w:fill="0077BD"/>
            <w:noWrap/>
            <w:vAlign w:val="center"/>
            <w:hideMark/>
          </w:tcPr>
          <w:p w14:paraId="0FC70412" w14:textId="77777777" w:rsidR="00684B91" w:rsidRPr="00684B91" w:rsidRDefault="00684B91" w:rsidP="00684B91">
            <w:pPr>
              <w:rPr>
                <w:rFonts w:cs="Calibri"/>
                <w:color w:val="99CCFF"/>
                <w:sz w:val="13"/>
                <w:szCs w:val="13"/>
              </w:rPr>
            </w:pPr>
            <w:r w:rsidRPr="00684B91">
              <w:rPr>
                <w:rFonts w:cs="Calibri"/>
                <w:color w:val="99CCFF"/>
                <w:sz w:val="13"/>
                <w:szCs w:val="13"/>
              </w:rPr>
              <w:t> </w:t>
            </w:r>
          </w:p>
        </w:tc>
        <w:tc>
          <w:tcPr>
            <w:tcW w:w="1418" w:type="dxa"/>
            <w:tcBorders>
              <w:top w:val="nil"/>
              <w:left w:val="nil"/>
              <w:right w:val="nil"/>
            </w:tcBorders>
            <w:shd w:val="clear" w:color="000000" w:fill="0077BD"/>
            <w:noWrap/>
            <w:vAlign w:val="center"/>
            <w:hideMark/>
          </w:tcPr>
          <w:p w14:paraId="60F3E6E7" w14:textId="77777777" w:rsidR="00684B91" w:rsidRPr="00684B91" w:rsidRDefault="00684B91" w:rsidP="00684B91">
            <w:pPr>
              <w:jc w:val="right"/>
              <w:rPr>
                <w:rFonts w:cs="Calibri"/>
                <w:b/>
                <w:bCs/>
                <w:color w:val="FFFFFF"/>
                <w:sz w:val="13"/>
                <w:szCs w:val="13"/>
              </w:rPr>
            </w:pPr>
            <w:r w:rsidRPr="00684B91">
              <w:rPr>
                <w:rFonts w:cs="Calibri"/>
                <w:b/>
                <w:bCs/>
                <w:color w:val="FFFFFF"/>
                <w:sz w:val="13"/>
                <w:szCs w:val="13"/>
              </w:rPr>
              <w:t>31.12.2019</w:t>
            </w:r>
          </w:p>
        </w:tc>
        <w:tc>
          <w:tcPr>
            <w:tcW w:w="1418" w:type="dxa"/>
            <w:tcBorders>
              <w:top w:val="nil"/>
              <w:left w:val="single" w:sz="8" w:space="0" w:color="FFFFFF"/>
              <w:right w:val="nil"/>
            </w:tcBorders>
            <w:shd w:val="clear" w:color="000000" w:fill="0077BD"/>
            <w:noWrap/>
            <w:vAlign w:val="center"/>
            <w:hideMark/>
          </w:tcPr>
          <w:p w14:paraId="07EE06E2" w14:textId="77777777" w:rsidR="00684B91" w:rsidRPr="00684B91" w:rsidRDefault="00684B91" w:rsidP="00684B91">
            <w:pPr>
              <w:jc w:val="right"/>
              <w:rPr>
                <w:rFonts w:cs="Calibri"/>
                <w:b/>
                <w:bCs/>
                <w:color w:val="FFFFFF"/>
                <w:sz w:val="13"/>
                <w:szCs w:val="13"/>
              </w:rPr>
            </w:pPr>
            <w:r w:rsidRPr="00684B91">
              <w:rPr>
                <w:rFonts w:cs="Calibri"/>
                <w:b/>
                <w:bCs/>
                <w:color w:val="FFFFFF"/>
                <w:sz w:val="13"/>
                <w:szCs w:val="13"/>
              </w:rPr>
              <w:t>31.12.2018</w:t>
            </w:r>
          </w:p>
        </w:tc>
      </w:tr>
      <w:tr w:rsidR="0020322E" w:rsidRPr="00BB7C9E" w14:paraId="73905860" w14:textId="77777777" w:rsidTr="005B44C3">
        <w:trPr>
          <w:trHeight w:val="255"/>
        </w:trPr>
        <w:tc>
          <w:tcPr>
            <w:tcW w:w="6747" w:type="dxa"/>
            <w:tcBorders>
              <w:left w:val="nil"/>
              <w:bottom w:val="single" w:sz="8" w:space="0" w:color="0077BD"/>
            </w:tcBorders>
            <w:shd w:val="clear" w:color="auto" w:fill="auto"/>
            <w:vAlign w:val="center"/>
            <w:hideMark/>
          </w:tcPr>
          <w:p w14:paraId="6F61EC9A" w14:textId="4DB5464C" w:rsidR="0020322E" w:rsidRPr="00BB7C9E" w:rsidRDefault="004D5753" w:rsidP="0020322E">
            <w:pPr>
              <w:rPr>
                <w:rFonts w:cs="Calibri"/>
                <w:b/>
                <w:bCs/>
                <w:color w:val="000000" w:themeColor="text1"/>
                <w:sz w:val="13"/>
                <w:szCs w:val="13"/>
              </w:rPr>
            </w:pPr>
            <w:r>
              <w:rPr>
                <w:rFonts w:cs="Calibri"/>
                <w:b/>
                <w:bCs/>
                <w:color w:val="000000" w:themeColor="text1"/>
                <w:sz w:val="13"/>
                <w:szCs w:val="13"/>
              </w:rPr>
              <w:t>Inne aktywa</w:t>
            </w:r>
          </w:p>
        </w:tc>
        <w:tc>
          <w:tcPr>
            <w:tcW w:w="1418" w:type="dxa"/>
            <w:tcBorders>
              <w:bottom w:val="single" w:sz="8" w:space="0" w:color="0077BD"/>
            </w:tcBorders>
            <w:shd w:val="clear" w:color="auto" w:fill="auto"/>
            <w:noWrap/>
            <w:vAlign w:val="center"/>
          </w:tcPr>
          <w:p w14:paraId="1ABEB4E0" w14:textId="636EDA22" w:rsidR="0020322E" w:rsidRPr="00BB7C9E" w:rsidRDefault="0020322E" w:rsidP="0020322E">
            <w:pPr>
              <w:jc w:val="right"/>
              <w:rPr>
                <w:rFonts w:cs="Calibri"/>
                <w:b/>
                <w:bCs/>
                <w:color w:val="000000" w:themeColor="text1"/>
                <w:sz w:val="13"/>
                <w:szCs w:val="13"/>
              </w:rPr>
            </w:pPr>
          </w:p>
        </w:tc>
        <w:tc>
          <w:tcPr>
            <w:tcW w:w="1418" w:type="dxa"/>
            <w:tcBorders>
              <w:bottom w:val="single" w:sz="8" w:space="0" w:color="0077BD"/>
              <w:right w:val="nil"/>
            </w:tcBorders>
            <w:shd w:val="clear" w:color="auto" w:fill="auto"/>
            <w:noWrap/>
            <w:vAlign w:val="center"/>
          </w:tcPr>
          <w:p w14:paraId="212DC2A1" w14:textId="52821510" w:rsidR="0020322E" w:rsidRPr="00BB7C9E" w:rsidRDefault="0020322E" w:rsidP="0020322E">
            <w:pPr>
              <w:jc w:val="right"/>
              <w:rPr>
                <w:rFonts w:cs="Calibri"/>
                <w:b/>
                <w:bCs/>
                <w:color w:val="000000" w:themeColor="text1"/>
                <w:sz w:val="13"/>
                <w:szCs w:val="13"/>
              </w:rPr>
            </w:pPr>
          </w:p>
        </w:tc>
      </w:tr>
      <w:tr w:rsidR="00627D88" w:rsidRPr="00BB7C9E" w14:paraId="727DB087"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39B5C6E" w14:textId="4EC23373" w:rsidR="00627D88" w:rsidRPr="00BB7C9E" w:rsidRDefault="00627D88" w:rsidP="00627D88">
            <w:pPr>
              <w:rPr>
                <w:rFonts w:cs="Calibri"/>
                <w:color w:val="000000" w:themeColor="text1"/>
                <w:sz w:val="13"/>
                <w:szCs w:val="13"/>
              </w:rPr>
            </w:pPr>
            <w:r w:rsidRPr="00BB7C9E">
              <w:rPr>
                <w:rFonts w:cs="Calibri"/>
                <w:color w:val="000000" w:themeColor="text1"/>
                <w:sz w:val="13"/>
                <w:szCs w:val="13"/>
              </w:rPr>
              <w:t>- dłużnicy, w tym:</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7A359DAE" w14:textId="4591CA28" w:rsidR="00627D88" w:rsidRPr="00627D88" w:rsidRDefault="00627D88" w:rsidP="00627D88">
            <w:pPr>
              <w:jc w:val="right"/>
              <w:rPr>
                <w:rFonts w:cs="Calibri"/>
                <w:color w:val="000000" w:themeColor="text1"/>
                <w:sz w:val="13"/>
                <w:szCs w:val="13"/>
              </w:rPr>
            </w:pPr>
            <w:r w:rsidRPr="00627D88">
              <w:rPr>
                <w:sz w:val="13"/>
                <w:szCs w:val="13"/>
              </w:rPr>
              <w:t>303 061</w:t>
            </w:r>
          </w:p>
        </w:tc>
        <w:tc>
          <w:tcPr>
            <w:tcW w:w="1418" w:type="dxa"/>
            <w:tcBorders>
              <w:top w:val="nil"/>
              <w:left w:val="nil"/>
              <w:bottom w:val="single" w:sz="4" w:space="0" w:color="0077BD"/>
              <w:right w:val="nil"/>
            </w:tcBorders>
            <w:shd w:val="clear" w:color="auto" w:fill="auto"/>
            <w:noWrap/>
            <w:vAlign w:val="center"/>
            <w:hideMark/>
          </w:tcPr>
          <w:p w14:paraId="75EF257A" w14:textId="77777777" w:rsidR="00627D88" w:rsidRPr="00BB7C9E" w:rsidRDefault="00627D88" w:rsidP="00627D88">
            <w:pPr>
              <w:jc w:val="right"/>
              <w:rPr>
                <w:rFonts w:cs="Calibri"/>
                <w:color w:val="000000" w:themeColor="text1"/>
                <w:sz w:val="13"/>
                <w:szCs w:val="13"/>
              </w:rPr>
            </w:pPr>
            <w:r w:rsidRPr="00BB7C9E">
              <w:rPr>
                <w:rFonts w:cs="Calibri"/>
                <w:color w:val="000000" w:themeColor="text1"/>
                <w:sz w:val="13"/>
                <w:szCs w:val="13"/>
              </w:rPr>
              <w:t>456 157</w:t>
            </w:r>
          </w:p>
        </w:tc>
      </w:tr>
      <w:tr w:rsidR="00627D88" w:rsidRPr="00BB7C9E" w14:paraId="23CDDD12"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tcPr>
          <w:p w14:paraId="5AD5B107" w14:textId="66E37136" w:rsidR="00627D88" w:rsidRPr="00BB7C9E" w:rsidRDefault="00627D88" w:rsidP="00627D88">
            <w:pPr>
              <w:rPr>
                <w:rFonts w:cs="Calibri"/>
                <w:i/>
                <w:color w:val="000000" w:themeColor="text1"/>
                <w:sz w:val="13"/>
                <w:szCs w:val="13"/>
              </w:rPr>
            </w:pPr>
            <w:r w:rsidRPr="00BB7C9E">
              <w:rPr>
                <w:rFonts w:cs="Calibri"/>
                <w:i/>
                <w:color w:val="000000" w:themeColor="text1"/>
                <w:sz w:val="13"/>
                <w:szCs w:val="13"/>
              </w:rPr>
              <w:t xml:space="preserve">   - rozliczenia z tytułu kart płatniczych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2F53494" w14:textId="3394AC15" w:rsidR="00627D88" w:rsidRPr="00627D88" w:rsidRDefault="00627D88" w:rsidP="00627D88">
            <w:pPr>
              <w:jc w:val="right"/>
              <w:rPr>
                <w:rFonts w:cs="Calibri"/>
                <w:i/>
                <w:color w:val="000000" w:themeColor="text1"/>
                <w:sz w:val="13"/>
                <w:szCs w:val="13"/>
              </w:rPr>
            </w:pPr>
            <w:r w:rsidRPr="00627D88">
              <w:rPr>
                <w:i/>
                <w:iCs/>
                <w:sz w:val="13"/>
                <w:szCs w:val="13"/>
              </w:rPr>
              <w:t>110 148</w:t>
            </w:r>
          </w:p>
        </w:tc>
        <w:tc>
          <w:tcPr>
            <w:tcW w:w="1418" w:type="dxa"/>
            <w:tcBorders>
              <w:top w:val="nil"/>
              <w:left w:val="nil"/>
              <w:bottom w:val="single" w:sz="4" w:space="0" w:color="0077BD"/>
              <w:right w:val="nil"/>
            </w:tcBorders>
            <w:shd w:val="clear" w:color="auto" w:fill="auto"/>
            <w:noWrap/>
            <w:vAlign w:val="center"/>
          </w:tcPr>
          <w:p w14:paraId="23EF0635" w14:textId="616BB535" w:rsidR="00627D88" w:rsidRPr="00BB7C9E" w:rsidRDefault="00627D88" w:rsidP="00627D88">
            <w:pPr>
              <w:jc w:val="right"/>
              <w:rPr>
                <w:rFonts w:cs="Calibri"/>
                <w:i/>
                <w:color w:val="000000" w:themeColor="text1"/>
                <w:sz w:val="13"/>
                <w:szCs w:val="13"/>
              </w:rPr>
            </w:pPr>
            <w:r w:rsidRPr="00BB7C9E">
              <w:rPr>
                <w:rFonts w:cs="Calibri"/>
                <w:i/>
                <w:color w:val="000000" w:themeColor="text1"/>
                <w:sz w:val="13"/>
                <w:szCs w:val="13"/>
              </w:rPr>
              <w:t>145 953</w:t>
            </w:r>
          </w:p>
        </w:tc>
      </w:tr>
      <w:tr w:rsidR="00627D88" w:rsidRPr="00BB7C9E" w14:paraId="1BC22526"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tcPr>
          <w:p w14:paraId="491D1B4D" w14:textId="318EDF67" w:rsidR="00627D88" w:rsidRPr="00BB7C9E" w:rsidRDefault="00627D88" w:rsidP="00627D88">
            <w:pPr>
              <w:rPr>
                <w:rFonts w:cs="Calibri"/>
                <w:i/>
                <w:color w:val="000000" w:themeColor="text1"/>
                <w:sz w:val="13"/>
                <w:szCs w:val="13"/>
              </w:rPr>
            </w:pPr>
            <w:r w:rsidRPr="00BB7C9E">
              <w:rPr>
                <w:rFonts w:cs="Calibri"/>
                <w:i/>
                <w:color w:val="000000" w:themeColor="text1"/>
                <w:sz w:val="13"/>
                <w:szCs w:val="13"/>
              </w:rPr>
              <w:t xml:space="preserve">   - należności od KDPW w ramach systemu rekompensat</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CAD2313" w14:textId="65C1C4CD" w:rsidR="00627D88" w:rsidRPr="00627D88" w:rsidRDefault="00627D88" w:rsidP="00627D88">
            <w:pPr>
              <w:jc w:val="right"/>
              <w:rPr>
                <w:rFonts w:cs="Calibri"/>
                <w:i/>
                <w:color w:val="000000" w:themeColor="text1"/>
                <w:sz w:val="13"/>
                <w:szCs w:val="13"/>
              </w:rPr>
            </w:pPr>
            <w:r w:rsidRPr="00627D88">
              <w:rPr>
                <w:i/>
                <w:iCs/>
                <w:sz w:val="13"/>
                <w:szCs w:val="13"/>
              </w:rPr>
              <w:t>12 825</w:t>
            </w:r>
          </w:p>
        </w:tc>
        <w:tc>
          <w:tcPr>
            <w:tcW w:w="1418" w:type="dxa"/>
            <w:tcBorders>
              <w:top w:val="nil"/>
              <w:left w:val="nil"/>
              <w:bottom w:val="single" w:sz="4" w:space="0" w:color="0077BD"/>
              <w:right w:val="nil"/>
            </w:tcBorders>
            <w:shd w:val="clear" w:color="auto" w:fill="auto"/>
            <w:noWrap/>
            <w:vAlign w:val="center"/>
          </w:tcPr>
          <w:p w14:paraId="19278265" w14:textId="4C57F353" w:rsidR="00627D88" w:rsidRPr="00BB7C9E" w:rsidRDefault="00627D88" w:rsidP="00627D88">
            <w:pPr>
              <w:jc w:val="right"/>
              <w:rPr>
                <w:rFonts w:cs="Calibri"/>
                <w:i/>
                <w:color w:val="000000" w:themeColor="text1"/>
                <w:sz w:val="13"/>
                <w:szCs w:val="13"/>
              </w:rPr>
            </w:pPr>
            <w:r w:rsidRPr="00BB7C9E">
              <w:rPr>
                <w:rFonts w:cs="Calibri"/>
                <w:i/>
                <w:color w:val="000000" w:themeColor="text1"/>
                <w:sz w:val="13"/>
                <w:szCs w:val="13"/>
              </w:rPr>
              <w:t>11 745</w:t>
            </w:r>
          </w:p>
        </w:tc>
      </w:tr>
      <w:tr w:rsidR="0026778D" w:rsidRPr="00BB7C9E" w14:paraId="088B74EA"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AEA2AF2"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rozrachunki międzybankowe</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647E6226" w14:textId="0B65A4BF" w:rsidR="0026778D" w:rsidRPr="0026778D" w:rsidRDefault="0026778D" w:rsidP="0026778D">
            <w:pPr>
              <w:jc w:val="right"/>
              <w:rPr>
                <w:rFonts w:cs="Calibri"/>
                <w:color w:val="000000" w:themeColor="text1"/>
                <w:sz w:val="13"/>
                <w:szCs w:val="13"/>
              </w:rPr>
            </w:pPr>
            <w:r w:rsidRPr="0026778D">
              <w:rPr>
                <w:rFonts w:cs="Calibri"/>
                <w:sz w:val="13"/>
                <w:szCs w:val="13"/>
              </w:rPr>
              <w:t>18 003</w:t>
            </w:r>
          </w:p>
        </w:tc>
        <w:tc>
          <w:tcPr>
            <w:tcW w:w="1418" w:type="dxa"/>
            <w:tcBorders>
              <w:top w:val="single" w:sz="4" w:space="0" w:color="0077BD"/>
              <w:left w:val="nil"/>
              <w:bottom w:val="single" w:sz="4" w:space="0" w:color="0077BD"/>
              <w:right w:val="nil"/>
            </w:tcBorders>
            <w:shd w:val="clear" w:color="auto" w:fill="auto"/>
            <w:noWrap/>
            <w:vAlign w:val="center"/>
            <w:hideMark/>
          </w:tcPr>
          <w:p w14:paraId="5F883CA5" w14:textId="7518F420" w:rsidR="0026778D" w:rsidRPr="0026778D" w:rsidRDefault="0026778D" w:rsidP="0026778D">
            <w:pPr>
              <w:jc w:val="right"/>
              <w:rPr>
                <w:rFonts w:cs="Calibri"/>
                <w:color w:val="000000" w:themeColor="text1"/>
                <w:sz w:val="13"/>
                <w:szCs w:val="13"/>
              </w:rPr>
            </w:pPr>
            <w:r w:rsidRPr="0026778D">
              <w:rPr>
                <w:rFonts w:cs="Calibri"/>
                <w:sz w:val="13"/>
                <w:szCs w:val="13"/>
              </w:rPr>
              <w:t>20 432</w:t>
            </w:r>
          </w:p>
        </w:tc>
      </w:tr>
      <w:tr w:rsidR="0026778D" w:rsidRPr="00BB7C9E" w14:paraId="17D4370A"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910E8DB"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rozliczenia z tytułu operacji na papierach wartościowych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8C20E12" w14:textId="7C7E3566" w:rsidR="0026778D" w:rsidRPr="0026778D" w:rsidRDefault="0026778D" w:rsidP="0026778D">
            <w:pPr>
              <w:jc w:val="right"/>
              <w:rPr>
                <w:rFonts w:cs="Calibri"/>
                <w:color w:val="000000" w:themeColor="text1"/>
                <w:sz w:val="13"/>
                <w:szCs w:val="13"/>
              </w:rPr>
            </w:pPr>
            <w:r w:rsidRPr="0026778D">
              <w:rPr>
                <w:rFonts w:cs="Calibri"/>
                <w:sz w:val="13"/>
                <w:szCs w:val="13"/>
              </w:rPr>
              <w:t>15 518</w:t>
            </w:r>
          </w:p>
        </w:tc>
        <w:tc>
          <w:tcPr>
            <w:tcW w:w="1418" w:type="dxa"/>
            <w:tcBorders>
              <w:top w:val="nil"/>
              <w:left w:val="nil"/>
              <w:bottom w:val="single" w:sz="4" w:space="0" w:color="0077BD"/>
              <w:right w:val="nil"/>
            </w:tcBorders>
            <w:shd w:val="clear" w:color="auto" w:fill="auto"/>
            <w:noWrap/>
            <w:vAlign w:val="center"/>
            <w:hideMark/>
          </w:tcPr>
          <w:p w14:paraId="57A2B3AF" w14:textId="1D7D4263" w:rsidR="0026778D" w:rsidRPr="0026778D" w:rsidRDefault="0026778D" w:rsidP="0026778D">
            <w:pPr>
              <w:jc w:val="right"/>
              <w:rPr>
                <w:rFonts w:cs="Calibri"/>
                <w:color w:val="000000" w:themeColor="text1"/>
                <w:sz w:val="13"/>
                <w:szCs w:val="13"/>
              </w:rPr>
            </w:pPr>
            <w:r w:rsidRPr="0026778D">
              <w:rPr>
                <w:rFonts w:cs="Calibri"/>
                <w:sz w:val="13"/>
                <w:szCs w:val="13"/>
              </w:rPr>
              <w:t>11 346</w:t>
            </w:r>
          </w:p>
        </w:tc>
      </w:tr>
      <w:tr w:rsidR="0026778D" w:rsidRPr="00BB7C9E" w14:paraId="415FE458"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35034C7"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pozostałe rozliczenia międzyokresowe czynne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7058E55" w14:textId="68FA7E0F" w:rsidR="0026778D" w:rsidRPr="0026778D" w:rsidRDefault="0026778D" w:rsidP="0026778D">
            <w:pPr>
              <w:jc w:val="right"/>
              <w:rPr>
                <w:rFonts w:cs="Calibri"/>
                <w:color w:val="000000" w:themeColor="text1"/>
                <w:sz w:val="13"/>
                <w:szCs w:val="13"/>
              </w:rPr>
            </w:pPr>
            <w:r w:rsidRPr="0026778D">
              <w:rPr>
                <w:rFonts w:cs="Calibri"/>
                <w:sz w:val="13"/>
                <w:szCs w:val="13"/>
              </w:rPr>
              <w:t>161 988</w:t>
            </w:r>
          </w:p>
        </w:tc>
        <w:tc>
          <w:tcPr>
            <w:tcW w:w="1418" w:type="dxa"/>
            <w:tcBorders>
              <w:top w:val="nil"/>
              <w:left w:val="nil"/>
              <w:bottom w:val="single" w:sz="4" w:space="0" w:color="0077BD"/>
              <w:right w:val="nil"/>
            </w:tcBorders>
            <w:shd w:val="clear" w:color="auto" w:fill="auto"/>
            <w:noWrap/>
            <w:vAlign w:val="center"/>
            <w:hideMark/>
          </w:tcPr>
          <w:p w14:paraId="2B323D21" w14:textId="0C6FBAE0" w:rsidR="0026778D" w:rsidRPr="0026778D" w:rsidRDefault="0026778D" w:rsidP="0026778D">
            <w:pPr>
              <w:jc w:val="right"/>
              <w:rPr>
                <w:rFonts w:cs="Calibri"/>
                <w:color w:val="000000" w:themeColor="text1"/>
                <w:sz w:val="13"/>
                <w:szCs w:val="13"/>
              </w:rPr>
            </w:pPr>
            <w:r w:rsidRPr="0026778D">
              <w:rPr>
                <w:rFonts w:cs="Calibri"/>
                <w:sz w:val="13"/>
                <w:szCs w:val="13"/>
              </w:rPr>
              <w:t>187 196</w:t>
            </w:r>
          </w:p>
        </w:tc>
      </w:tr>
      <w:tr w:rsidR="0026778D" w:rsidRPr="00BB7C9E" w14:paraId="4D736699"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6C7D724"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przychody do otrzymania</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B954B62" w14:textId="5FE2B212" w:rsidR="0026778D" w:rsidRPr="0026778D" w:rsidRDefault="0026778D" w:rsidP="0026778D">
            <w:pPr>
              <w:jc w:val="right"/>
              <w:rPr>
                <w:rFonts w:cs="Calibri"/>
                <w:color w:val="000000" w:themeColor="text1"/>
                <w:sz w:val="13"/>
                <w:szCs w:val="13"/>
              </w:rPr>
            </w:pPr>
            <w:r w:rsidRPr="0026778D">
              <w:rPr>
                <w:rFonts w:cs="Calibri"/>
                <w:sz w:val="13"/>
                <w:szCs w:val="13"/>
              </w:rPr>
              <w:t>65 489</w:t>
            </w:r>
          </w:p>
        </w:tc>
        <w:tc>
          <w:tcPr>
            <w:tcW w:w="1418" w:type="dxa"/>
            <w:tcBorders>
              <w:top w:val="nil"/>
              <w:left w:val="nil"/>
              <w:bottom w:val="single" w:sz="4" w:space="0" w:color="0077BD"/>
              <w:right w:val="nil"/>
            </w:tcBorders>
            <w:shd w:val="clear" w:color="auto" w:fill="auto"/>
            <w:noWrap/>
            <w:vAlign w:val="center"/>
            <w:hideMark/>
          </w:tcPr>
          <w:p w14:paraId="7979B721" w14:textId="36DF0BA6" w:rsidR="0026778D" w:rsidRPr="0026778D" w:rsidRDefault="0026778D" w:rsidP="0026778D">
            <w:pPr>
              <w:jc w:val="right"/>
              <w:rPr>
                <w:rFonts w:cs="Calibri"/>
                <w:color w:val="000000" w:themeColor="text1"/>
                <w:sz w:val="13"/>
                <w:szCs w:val="13"/>
              </w:rPr>
            </w:pPr>
            <w:r w:rsidRPr="0026778D">
              <w:rPr>
                <w:rFonts w:cs="Calibri"/>
                <w:sz w:val="13"/>
                <w:szCs w:val="13"/>
              </w:rPr>
              <w:t>69 666</w:t>
            </w:r>
          </w:p>
        </w:tc>
      </w:tr>
      <w:tr w:rsidR="0026778D" w:rsidRPr="00BB7C9E" w14:paraId="5F21726E" w14:textId="77777777" w:rsidTr="005B44C3">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F33CDED"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zapasy</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16FEED6" w14:textId="0320BA78" w:rsidR="0026778D" w:rsidRPr="0026778D" w:rsidRDefault="0026778D" w:rsidP="0026778D">
            <w:pPr>
              <w:jc w:val="right"/>
              <w:rPr>
                <w:rFonts w:cs="Calibri"/>
                <w:color w:val="000000" w:themeColor="text1"/>
                <w:sz w:val="13"/>
                <w:szCs w:val="13"/>
              </w:rPr>
            </w:pPr>
            <w:r w:rsidRPr="0026778D">
              <w:rPr>
                <w:rFonts w:cs="Calibri"/>
                <w:sz w:val="13"/>
                <w:szCs w:val="13"/>
              </w:rPr>
              <w:t>314 958</w:t>
            </w:r>
          </w:p>
        </w:tc>
        <w:tc>
          <w:tcPr>
            <w:tcW w:w="1418" w:type="dxa"/>
            <w:tcBorders>
              <w:top w:val="nil"/>
              <w:left w:val="nil"/>
              <w:bottom w:val="single" w:sz="4" w:space="0" w:color="0077BD"/>
              <w:right w:val="nil"/>
            </w:tcBorders>
            <w:shd w:val="clear" w:color="auto" w:fill="auto"/>
            <w:vAlign w:val="center"/>
            <w:hideMark/>
          </w:tcPr>
          <w:p w14:paraId="1E2A7D9B" w14:textId="6459020F" w:rsidR="0026778D" w:rsidRPr="0026778D" w:rsidRDefault="0026778D" w:rsidP="0026778D">
            <w:pPr>
              <w:jc w:val="right"/>
              <w:rPr>
                <w:rFonts w:cs="Calibri"/>
                <w:color w:val="000000" w:themeColor="text1"/>
                <w:sz w:val="13"/>
                <w:szCs w:val="13"/>
              </w:rPr>
            </w:pPr>
            <w:r w:rsidRPr="0026778D">
              <w:rPr>
                <w:rFonts w:cs="Calibri"/>
                <w:sz w:val="13"/>
                <w:szCs w:val="13"/>
              </w:rPr>
              <w:t>343 215</w:t>
            </w:r>
          </w:p>
        </w:tc>
      </w:tr>
      <w:tr w:rsidR="0026778D" w:rsidRPr="00BB7C9E" w14:paraId="57ED76F4" w14:textId="77777777" w:rsidTr="005B44C3">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212FDEF9" w14:textId="77777777" w:rsidR="0026778D" w:rsidRPr="00BB7C9E" w:rsidRDefault="0026778D" w:rsidP="0026778D">
            <w:pPr>
              <w:rPr>
                <w:rFonts w:cs="Calibri"/>
                <w:color w:val="000000" w:themeColor="text1"/>
                <w:sz w:val="13"/>
                <w:szCs w:val="13"/>
              </w:rPr>
            </w:pPr>
            <w:r w:rsidRPr="00BB7C9E">
              <w:rPr>
                <w:rFonts w:cs="Calibri"/>
                <w:color w:val="000000" w:themeColor="text1"/>
                <w:sz w:val="13"/>
                <w:szCs w:val="13"/>
              </w:rPr>
              <w:t>- inne</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4489B758" w14:textId="30AB75BF" w:rsidR="0026778D" w:rsidRPr="0026778D" w:rsidRDefault="0026778D" w:rsidP="0026778D">
            <w:pPr>
              <w:jc w:val="right"/>
              <w:rPr>
                <w:rFonts w:cs="Calibri"/>
                <w:color w:val="000000" w:themeColor="text1"/>
                <w:sz w:val="13"/>
                <w:szCs w:val="13"/>
              </w:rPr>
            </w:pPr>
            <w:r w:rsidRPr="0026778D">
              <w:rPr>
                <w:rFonts w:cs="Calibri"/>
                <w:sz w:val="13"/>
                <w:szCs w:val="13"/>
              </w:rPr>
              <w:t>77 932</w:t>
            </w:r>
          </w:p>
        </w:tc>
        <w:tc>
          <w:tcPr>
            <w:tcW w:w="1418" w:type="dxa"/>
            <w:tcBorders>
              <w:top w:val="nil"/>
              <w:left w:val="nil"/>
              <w:bottom w:val="single" w:sz="8" w:space="0" w:color="0077BD"/>
              <w:right w:val="nil"/>
            </w:tcBorders>
            <w:shd w:val="clear" w:color="auto" w:fill="auto"/>
            <w:vAlign w:val="center"/>
            <w:hideMark/>
          </w:tcPr>
          <w:p w14:paraId="724B9058" w14:textId="37F136AF" w:rsidR="0026778D" w:rsidRPr="0026778D" w:rsidRDefault="0026778D" w:rsidP="0026778D">
            <w:pPr>
              <w:jc w:val="right"/>
              <w:rPr>
                <w:rFonts w:cs="Calibri"/>
                <w:color w:val="000000" w:themeColor="text1"/>
                <w:sz w:val="13"/>
                <w:szCs w:val="13"/>
              </w:rPr>
            </w:pPr>
            <w:r w:rsidRPr="0026778D">
              <w:rPr>
                <w:rFonts w:cs="Calibri"/>
                <w:sz w:val="13"/>
                <w:szCs w:val="13"/>
              </w:rPr>
              <w:t>90 267</w:t>
            </w:r>
          </w:p>
        </w:tc>
      </w:tr>
      <w:tr w:rsidR="0026778D" w:rsidRPr="00BB7C9E" w14:paraId="04042C3D" w14:textId="77777777" w:rsidTr="005B44C3">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4BF95990" w14:textId="77777777" w:rsidR="0026778D" w:rsidRPr="00BB7C9E" w:rsidRDefault="0026778D" w:rsidP="0026778D">
            <w:pPr>
              <w:rPr>
                <w:rFonts w:cs="Calibri"/>
                <w:b/>
                <w:bCs/>
                <w:color w:val="000000" w:themeColor="text1"/>
                <w:sz w:val="13"/>
                <w:szCs w:val="13"/>
              </w:rPr>
            </w:pPr>
            <w:r w:rsidRPr="00BB7C9E">
              <w:rPr>
                <w:rFonts w:cs="Calibri"/>
                <w:b/>
                <w:bCs/>
                <w:color w:val="000000" w:themeColor="text1"/>
                <w:sz w:val="13"/>
                <w:szCs w:val="13"/>
              </w:rPr>
              <w:t>Inne aktywa, razem</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37EDCADF" w14:textId="0E14BBB2" w:rsidR="0026778D" w:rsidRPr="0026778D" w:rsidRDefault="0026778D" w:rsidP="0026778D">
            <w:pPr>
              <w:jc w:val="right"/>
              <w:rPr>
                <w:rFonts w:cs="Calibri"/>
                <w:b/>
                <w:bCs/>
                <w:color w:val="000000" w:themeColor="text1"/>
                <w:sz w:val="13"/>
                <w:szCs w:val="13"/>
              </w:rPr>
            </w:pPr>
            <w:r w:rsidRPr="0026778D">
              <w:rPr>
                <w:rFonts w:cs="Calibri"/>
                <w:b/>
                <w:bCs/>
                <w:sz w:val="13"/>
                <w:szCs w:val="13"/>
              </w:rPr>
              <w:t>956 949</w:t>
            </w:r>
          </w:p>
        </w:tc>
        <w:tc>
          <w:tcPr>
            <w:tcW w:w="1418" w:type="dxa"/>
            <w:tcBorders>
              <w:top w:val="nil"/>
              <w:left w:val="nil"/>
              <w:bottom w:val="single" w:sz="8" w:space="0" w:color="0077BD"/>
              <w:right w:val="nil"/>
            </w:tcBorders>
            <w:shd w:val="clear" w:color="auto" w:fill="auto"/>
            <w:noWrap/>
            <w:vAlign w:val="center"/>
            <w:hideMark/>
          </w:tcPr>
          <w:p w14:paraId="388C9385" w14:textId="3204491B" w:rsidR="0026778D" w:rsidRPr="0026778D" w:rsidRDefault="0026778D" w:rsidP="0026778D">
            <w:pPr>
              <w:jc w:val="right"/>
              <w:rPr>
                <w:rFonts w:cs="Calibri"/>
                <w:b/>
                <w:bCs/>
                <w:color w:val="000000" w:themeColor="text1"/>
                <w:sz w:val="13"/>
                <w:szCs w:val="13"/>
              </w:rPr>
            </w:pPr>
            <w:r w:rsidRPr="0026778D">
              <w:rPr>
                <w:rFonts w:cs="Calibri"/>
                <w:b/>
                <w:bCs/>
                <w:sz w:val="13"/>
                <w:szCs w:val="13"/>
              </w:rPr>
              <w:t>1 178 279</w:t>
            </w:r>
          </w:p>
        </w:tc>
      </w:tr>
      <w:tr w:rsidR="00D37FBB" w:rsidRPr="005B44C3" w14:paraId="4D3716F6" w14:textId="77777777" w:rsidTr="005B44C3">
        <w:trPr>
          <w:trHeight w:val="20"/>
        </w:trPr>
        <w:tc>
          <w:tcPr>
            <w:tcW w:w="6747" w:type="dxa"/>
            <w:tcBorders>
              <w:top w:val="single" w:sz="8" w:space="0" w:color="787B7C"/>
              <w:left w:val="nil"/>
              <w:bottom w:val="single" w:sz="8" w:space="0" w:color="787B7C"/>
              <w:right w:val="nil"/>
            </w:tcBorders>
            <w:shd w:val="clear" w:color="auto" w:fill="auto"/>
            <w:vAlign w:val="center"/>
          </w:tcPr>
          <w:p w14:paraId="2F21C840" w14:textId="79733BBB" w:rsidR="00684B91" w:rsidRPr="005B44C3" w:rsidRDefault="00684B91" w:rsidP="00684B91">
            <w:pPr>
              <w:rPr>
                <w:rFonts w:cs="Calibri"/>
                <w:b/>
                <w:bCs/>
                <w:color w:val="000000" w:themeColor="text1"/>
                <w:sz w:val="8"/>
                <w:szCs w:val="8"/>
              </w:rPr>
            </w:pPr>
          </w:p>
        </w:tc>
        <w:tc>
          <w:tcPr>
            <w:tcW w:w="1418" w:type="dxa"/>
            <w:tcBorders>
              <w:top w:val="single" w:sz="8" w:space="0" w:color="787B7C"/>
              <w:left w:val="nil"/>
              <w:bottom w:val="single" w:sz="8" w:space="0" w:color="787B7C"/>
              <w:right w:val="nil"/>
            </w:tcBorders>
            <w:shd w:val="clear" w:color="auto" w:fill="auto"/>
            <w:noWrap/>
            <w:vAlign w:val="center"/>
          </w:tcPr>
          <w:p w14:paraId="3E0BF98B" w14:textId="52D31000" w:rsidR="00684B91" w:rsidRPr="005B44C3" w:rsidRDefault="00684B91" w:rsidP="00684B91">
            <w:pPr>
              <w:jc w:val="right"/>
              <w:rPr>
                <w:rFonts w:cs="Calibri"/>
                <w:b/>
                <w:bCs/>
                <w:color w:val="000000" w:themeColor="text1"/>
                <w:sz w:val="8"/>
                <w:szCs w:val="8"/>
              </w:rPr>
            </w:pPr>
          </w:p>
        </w:tc>
        <w:tc>
          <w:tcPr>
            <w:tcW w:w="1418" w:type="dxa"/>
            <w:tcBorders>
              <w:top w:val="single" w:sz="8" w:space="0" w:color="787B7C"/>
              <w:left w:val="nil"/>
              <w:bottom w:val="single" w:sz="8" w:space="0" w:color="787B7C"/>
              <w:right w:val="nil"/>
            </w:tcBorders>
            <w:shd w:val="clear" w:color="auto" w:fill="auto"/>
            <w:noWrap/>
            <w:vAlign w:val="center"/>
          </w:tcPr>
          <w:p w14:paraId="6C712F79" w14:textId="6AA43EE9" w:rsidR="00684B91" w:rsidRPr="005B44C3" w:rsidRDefault="00684B91" w:rsidP="00684B91">
            <w:pPr>
              <w:jc w:val="right"/>
              <w:rPr>
                <w:rFonts w:cs="Calibri"/>
                <w:b/>
                <w:bCs/>
                <w:color w:val="000000" w:themeColor="text1"/>
                <w:sz w:val="8"/>
                <w:szCs w:val="8"/>
              </w:rPr>
            </w:pPr>
          </w:p>
        </w:tc>
      </w:tr>
      <w:tr w:rsidR="002A1A80" w:rsidRPr="00BB7C9E" w14:paraId="03372A78" w14:textId="77777777" w:rsidTr="005B44C3">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578CBAF" w14:textId="77777777" w:rsidR="002A1A80" w:rsidRPr="00BB7C9E" w:rsidRDefault="002A1A80" w:rsidP="002A1A80">
            <w:pPr>
              <w:rPr>
                <w:rFonts w:cs="Calibri"/>
                <w:color w:val="000000" w:themeColor="text1"/>
                <w:sz w:val="13"/>
                <w:szCs w:val="13"/>
              </w:rPr>
            </w:pPr>
            <w:r w:rsidRPr="00BB7C9E">
              <w:rPr>
                <w:rFonts w:cs="Calibri"/>
                <w:color w:val="000000" w:themeColor="text1"/>
                <w:sz w:val="13"/>
                <w:szCs w:val="13"/>
              </w:rPr>
              <w:t>Krótkoterminowe (do 1 roku)</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162ADD22" w14:textId="4E5ED4C1" w:rsidR="002A1A80" w:rsidRPr="002A1A80" w:rsidRDefault="002A1A80" w:rsidP="00627D88">
            <w:pPr>
              <w:jc w:val="right"/>
              <w:rPr>
                <w:rFonts w:cs="Calibri"/>
                <w:color w:val="000000" w:themeColor="text1"/>
                <w:sz w:val="13"/>
                <w:szCs w:val="13"/>
              </w:rPr>
            </w:pPr>
            <w:r w:rsidRPr="002A1A80">
              <w:rPr>
                <w:rFonts w:cs="Calibri"/>
                <w:sz w:val="13"/>
                <w:szCs w:val="13"/>
              </w:rPr>
              <w:t>893 4</w:t>
            </w:r>
            <w:r w:rsidR="00826189">
              <w:rPr>
                <w:rFonts w:cs="Calibri"/>
                <w:sz w:val="13"/>
                <w:szCs w:val="13"/>
              </w:rPr>
              <w:t>0</w:t>
            </w:r>
            <w:r w:rsidR="00627D88">
              <w:rPr>
                <w:rFonts w:cs="Calibri"/>
                <w:sz w:val="13"/>
                <w:szCs w:val="13"/>
              </w:rPr>
              <w:t>6</w:t>
            </w:r>
          </w:p>
        </w:tc>
        <w:tc>
          <w:tcPr>
            <w:tcW w:w="1418" w:type="dxa"/>
            <w:tcBorders>
              <w:top w:val="single" w:sz="8" w:space="0" w:color="0077BD"/>
              <w:left w:val="nil"/>
              <w:bottom w:val="single" w:sz="8" w:space="0" w:color="0077BD"/>
              <w:right w:val="nil"/>
            </w:tcBorders>
            <w:shd w:val="clear" w:color="auto" w:fill="auto"/>
            <w:noWrap/>
            <w:vAlign w:val="center"/>
            <w:hideMark/>
          </w:tcPr>
          <w:p w14:paraId="05720BB1" w14:textId="77777777" w:rsidR="002A1A80" w:rsidRPr="00BB7C9E" w:rsidRDefault="002A1A80" w:rsidP="002A1A80">
            <w:pPr>
              <w:jc w:val="right"/>
              <w:rPr>
                <w:rFonts w:cs="Calibri"/>
                <w:color w:val="000000" w:themeColor="text1"/>
                <w:sz w:val="13"/>
                <w:szCs w:val="13"/>
              </w:rPr>
            </w:pPr>
            <w:r w:rsidRPr="00BB7C9E">
              <w:rPr>
                <w:rFonts w:cs="Calibri"/>
                <w:color w:val="000000" w:themeColor="text1"/>
                <w:sz w:val="13"/>
                <w:szCs w:val="13"/>
              </w:rPr>
              <w:t>1 053 791</w:t>
            </w:r>
          </w:p>
        </w:tc>
      </w:tr>
      <w:tr w:rsidR="002A1A80" w:rsidRPr="00BB7C9E" w14:paraId="2E1662DB" w14:textId="77777777" w:rsidTr="005B44C3">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7664F4AA" w14:textId="77777777" w:rsidR="002A1A80" w:rsidRPr="00BB7C9E" w:rsidRDefault="002A1A80" w:rsidP="002A1A80">
            <w:pPr>
              <w:rPr>
                <w:rFonts w:cs="Calibri"/>
                <w:color w:val="000000" w:themeColor="text1"/>
                <w:sz w:val="13"/>
                <w:szCs w:val="13"/>
              </w:rPr>
            </w:pPr>
            <w:r w:rsidRPr="00BB7C9E">
              <w:rPr>
                <w:rFonts w:cs="Calibri"/>
                <w:color w:val="000000" w:themeColor="text1"/>
                <w:sz w:val="13"/>
                <w:szCs w:val="13"/>
              </w:rPr>
              <w:t>Długoterminowe (powyżej 1 roku)</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1A0B0B02" w14:textId="268B7D41" w:rsidR="002A1A80" w:rsidRPr="002A1A80" w:rsidRDefault="002A1A80" w:rsidP="00826189">
            <w:pPr>
              <w:jc w:val="right"/>
              <w:rPr>
                <w:rFonts w:cs="Calibri"/>
                <w:color w:val="000000" w:themeColor="text1"/>
                <w:sz w:val="13"/>
                <w:szCs w:val="13"/>
              </w:rPr>
            </w:pPr>
            <w:r w:rsidRPr="002A1A80">
              <w:rPr>
                <w:rFonts w:cs="Calibri"/>
                <w:sz w:val="13"/>
                <w:szCs w:val="13"/>
              </w:rPr>
              <w:t>63 5</w:t>
            </w:r>
            <w:r w:rsidR="00627D88">
              <w:rPr>
                <w:rFonts w:cs="Calibri"/>
                <w:sz w:val="13"/>
                <w:szCs w:val="13"/>
              </w:rPr>
              <w:t>43</w:t>
            </w:r>
          </w:p>
        </w:tc>
        <w:tc>
          <w:tcPr>
            <w:tcW w:w="1418" w:type="dxa"/>
            <w:tcBorders>
              <w:top w:val="nil"/>
              <w:left w:val="nil"/>
              <w:bottom w:val="single" w:sz="8" w:space="0" w:color="0077BD"/>
              <w:right w:val="nil"/>
            </w:tcBorders>
            <w:shd w:val="clear" w:color="auto" w:fill="auto"/>
            <w:noWrap/>
            <w:vAlign w:val="center"/>
            <w:hideMark/>
          </w:tcPr>
          <w:p w14:paraId="34B20FD6" w14:textId="77777777" w:rsidR="002A1A80" w:rsidRPr="00BB7C9E" w:rsidRDefault="002A1A80" w:rsidP="002A1A80">
            <w:pPr>
              <w:jc w:val="right"/>
              <w:rPr>
                <w:rFonts w:cs="Calibri"/>
                <w:color w:val="000000" w:themeColor="text1"/>
                <w:sz w:val="13"/>
                <w:szCs w:val="13"/>
              </w:rPr>
            </w:pPr>
            <w:r w:rsidRPr="00BB7C9E">
              <w:rPr>
                <w:rFonts w:cs="Calibri"/>
                <w:color w:val="000000" w:themeColor="text1"/>
                <w:sz w:val="13"/>
                <w:szCs w:val="13"/>
              </w:rPr>
              <w:t>124 488</w:t>
            </w:r>
          </w:p>
        </w:tc>
      </w:tr>
    </w:tbl>
    <w:p w14:paraId="625E373B" w14:textId="7C481E09" w:rsidR="00A76048" w:rsidRPr="00BB7C9E" w:rsidRDefault="00A76048" w:rsidP="00A76048">
      <w:pPr>
        <w:spacing w:before="120"/>
        <w:jc w:val="both"/>
        <w:rPr>
          <w:rFonts w:cs="Tahoma"/>
          <w:color w:val="000000" w:themeColor="text1"/>
          <w:sz w:val="18"/>
          <w:szCs w:val="18"/>
        </w:rPr>
      </w:pPr>
      <w:r w:rsidRPr="00BB7C9E">
        <w:rPr>
          <w:rFonts w:cs="Tahoma"/>
          <w:color w:val="000000" w:themeColor="text1"/>
          <w:sz w:val="18"/>
          <w:szCs w:val="18"/>
        </w:rPr>
        <w:t xml:space="preserve">W </w:t>
      </w:r>
      <w:r w:rsidR="00684B91" w:rsidRPr="00BB7C9E">
        <w:rPr>
          <w:rFonts w:cs="Tahoma"/>
          <w:color w:val="000000" w:themeColor="text1"/>
          <w:sz w:val="18"/>
          <w:szCs w:val="18"/>
        </w:rPr>
        <w:t>2019</w:t>
      </w:r>
      <w:r w:rsidR="000F5CCE" w:rsidRPr="00BB7C9E">
        <w:rPr>
          <w:rFonts w:cs="Tahoma"/>
          <w:color w:val="000000" w:themeColor="text1"/>
          <w:sz w:val="18"/>
          <w:szCs w:val="18"/>
        </w:rPr>
        <w:t xml:space="preserve"> roku i w </w:t>
      </w:r>
      <w:r w:rsidR="00684B91" w:rsidRPr="00BB7C9E">
        <w:rPr>
          <w:rFonts w:cs="Tahoma"/>
          <w:color w:val="000000" w:themeColor="text1"/>
          <w:sz w:val="18"/>
          <w:szCs w:val="18"/>
        </w:rPr>
        <w:t>2018</w:t>
      </w:r>
      <w:r w:rsidRPr="00BB7C9E">
        <w:rPr>
          <w:rFonts w:cs="Tahoma"/>
          <w:color w:val="000000" w:themeColor="text1"/>
          <w:sz w:val="18"/>
          <w:szCs w:val="18"/>
        </w:rPr>
        <w:t xml:space="preserve"> roku pozycja „rozliczenia z tytułu operacji na papierach wartościowych” dotyczy w</w:t>
      </w:r>
      <w:r w:rsidR="00B355CC" w:rsidRPr="00BB7C9E">
        <w:rPr>
          <w:rFonts w:cs="Tahoma"/>
          <w:color w:val="000000" w:themeColor="text1"/>
          <w:sz w:val="18"/>
          <w:szCs w:val="18"/>
        </w:rPr>
        <w:t> </w:t>
      </w:r>
      <w:r w:rsidRPr="00BB7C9E">
        <w:rPr>
          <w:rFonts w:cs="Tahoma"/>
          <w:color w:val="000000" w:themeColor="text1"/>
          <w:sz w:val="18"/>
          <w:szCs w:val="18"/>
        </w:rPr>
        <w:t>całości rozliczeń w ramach działalności Biura Maklerskiego.</w:t>
      </w:r>
    </w:p>
    <w:p w14:paraId="1BADC686" w14:textId="091861D2" w:rsidR="00B355CC" w:rsidRPr="00BB7C9E" w:rsidRDefault="00790F32" w:rsidP="00C94703">
      <w:pPr>
        <w:spacing w:before="120"/>
        <w:jc w:val="both"/>
        <w:rPr>
          <w:rFonts w:cs="Tahoma"/>
          <w:color w:val="000000" w:themeColor="text1"/>
          <w:sz w:val="18"/>
          <w:szCs w:val="18"/>
        </w:rPr>
      </w:pPr>
      <w:r w:rsidRPr="00BB7C9E">
        <w:rPr>
          <w:rFonts w:cs="Tahoma"/>
          <w:color w:val="000000" w:themeColor="text1"/>
          <w:sz w:val="18"/>
          <w:szCs w:val="18"/>
        </w:rPr>
        <w:t xml:space="preserve">Na dzień </w:t>
      </w:r>
      <w:r w:rsidR="00684B91" w:rsidRPr="00BB7C9E">
        <w:rPr>
          <w:rFonts w:cs="Tahoma"/>
          <w:color w:val="000000" w:themeColor="text1"/>
          <w:sz w:val="18"/>
          <w:szCs w:val="18"/>
        </w:rPr>
        <w:t>31 grudnia 2019</w:t>
      </w:r>
      <w:r w:rsidR="000F5CCE" w:rsidRPr="00BB7C9E">
        <w:rPr>
          <w:rFonts w:cs="Tahoma"/>
          <w:color w:val="000000" w:themeColor="text1"/>
          <w:sz w:val="18"/>
          <w:szCs w:val="18"/>
        </w:rPr>
        <w:t xml:space="preserve"> roku </w:t>
      </w:r>
      <w:r w:rsidR="00684B91" w:rsidRPr="00BB7C9E">
        <w:rPr>
          <w:rFonts w:cs="Tahoma"/>
          <w:color w:val="000000" w:themeColor="text1"/>
          <w:sz w:val="18"/>
          <w:szCs w:val="18"/>
        </w:rPr>
        <w:t>wartość zapasów wynika przede wszystkim z działalności prowadzonej przez spółkę mLeasing</w:t>
      </w:r>
      <w:r w:rsidR="00B355CC" w:rsidRPr="00BB7C9E">
        <w:rPr>
          <w:rFonts w:cs="Tahoma"/>
          <w:color w:val="000000" w:themeColor="text1"/>
          <w:sz w:val="18"/>
          <w:szCs w:val="18"/>
        </w:rPr>
        <w:t>.</w:t>
      </w:r>
      <w:r w:rsidR="00684B91" w:rsidRPr="00BB7C9E">
        <w:rPr>
          <w:rFonts w:cs="Tahoma"/>
          <w:color w:val="000000" w:themeColor="text1"/>
          <w:sz w:val="18"/>
          <w:szCs w:val="18"/>
        </w:rPr>
        <w:t xml:space="preserve"> N</w:t>
      </w:r>
      <w:r w:rsidR="000F5CCE" w:rsidRPr="00BB7C9E">
        <w:rPr>
          <w:rFonts w:cs="Tahoma"/>
          <w:color w:val="000000" w:themeColor="text1"/>
          <w:sz w:val="18"/>
          <w:szCs w:val="18"/>
        </w:rPr>
        <w:t xml:space="preserve">a dzień </w:t>
      </w:r>
      <w:r w:rsidRPr="00BB7C9E">
        <w:rPr>
          <w:rFonts w:cs="Tahoma"/>
          <w:color w:val="000000" w:themeColor="text1"/>
          <w:sz w:val="18"/>
          <w:szCs w:val="18"/>
        </w:rPr>
        <w:t>31 grudnia</w:t>
      </w:r>
      <w:r w:rsidR="00684B91" w:rsidRPr="00BB7C9E">
        <w:rPr>
          <w:rFonts w:cs="Tahoma"/>
          <w:color w:val="000000" w:themeColor="text1"/>
          <w:sz w:val="18"/>
          <w:szCs w:val="18"/>
        </w:rPr>
        <w:t xml:space="preserve"> 2018</w:t>
      </w:r>
      <w:r w:rsidR="00C94703" w:rsidRPr="00BB7C9E">
        <w:rPr>
          <w:rFonts w:cs="Tahoma"/>
          <w:color w:val="000000" w:themeColor="text1"/>
          <w:sz w:val="18"/>
          <w:szCs w:val="18"/>
        </w:rPr>
        <w:t xml:space="preserve"> roku wartość zapasów wynika</w:t>
      </w:r>
      <w:r w:rsidR="00684B91" w:rsidRPr="00BB7C9E">
        <w:rPr>
          <w:rFonts w:cs="Tahoma"/>
          <w:color w:val="000000" w:themeColor="text1"/>
          <w:sz w:val="18"/>
          <w:szCs w:val="18"/>
        </w:rPr>
        <w:t>ła</w:t>
      </w:r>
      <w:r w:rsidR="00C94703" w:rsidRPr="00BB7C9E">
        <w:rPr>
          <w:rFonts w:cs="Tahoma"/>
          <w:color w:val="000000" w:themeColor="text1"/>
          <w:sz w:val="18"/>
          <w:szCs w:val="18"/>
        </w:rPr>
        <w:t xml:space="preserve"> </w:t>
      </w:r>
      <w:r w:rsidR="00684B91" w:rsidRPr="00BB7C9E">
        <w:rPr>
          <w:rFonts w:cs="Tahoma"/>
          <w:color w:val="000000" w:themeColor="text1"/>
          <w:sz w:val="18"/>
          <w:szCs w:val="18"/>
        </w:rPr>
        <w:t>również z działalności prowadzonej przez spółkę</w:t>
      </w:r>
      <w:r w:rsidR="00C94703" w:rsidRPr="00BB7C9E">
        <w:rPr>
          <w:rFonts w:cs="Tahoma"/>
          <w:color w:val="000000" w:themeColor="text1"/>
          <w:sz w:val="18"/>
          <w:szCs w:val="18"/>
        </w:rPr>
        <w:t xml:space="preserve"> BDH Development</w:t>
      </w:r>
      <w:r w:rsidR="00684B91" w:rsidRPr="00BB7C9E">
        <w:rPr>
          <w:rFonts w:cs="Tahoma"/>
          <w:color w:val="000000" w:themeColor="text1"/>
          <w:sz w:val="18"/>
          <w:szCs w:val="18"/>
        </w:rPr>
        <w:t>, która na koniec 2019 roku została wykazana w aktywach trwałych i grupach do zbycia sklasyfikowanych jako przeznaczone do sprzedaży</w:t>
      </w:r>
      <w:r w:rsidR="00B355CC" w:rsidRPr="00BB7C9E">
        <w:rPr>
          <w:rFonts w:cs="Tahoma"/>
          <w:color w:val="000000" w:themeColor="text1"/>
          <w:sz w:val="18"/>
          <w:szCs w:val="18"/>
        </w:rPr>
        <w:t>, co zostało szczegółowo opisane w Nocie 24.</w:t>
      </w:r>
    </w:p>
    <w:p w14:paraId="1C8F5097" w14:textId="6302BAF3" w:rsidR="0035524B" w:rsidRPr="00BB7C9E" w:rsidRDefault="0026155A" w:rsidP="0035524B">
      <w:pPr>
        <w:spacing w:before="120"/>
        <w:jc w:val="both"/>
        <w:rPr>
          <w:rFonts w:cs="Tahoma"/>
          <w:color w:val="000000" w:themeColor="text1"/>
          <w:sz w:val="18"/>
          <w:szCs w:val="18"/>
        </w:rPr>
      </w:pPr>
      <w:r w:rsidRPr="00BB7C9E">
        <w:rPr>
          <w:rFonts w:cs="Tahoma"/>
          <w:color w:val="000000" w:themeColor="text1"/>
          <w:sz w:val="18"/>
          <w:szCs w:val="18"/>
        </w:rPr>
        <w:t xml:space="preserve">W </w:t>
      </w:r>
      <w:r w:rsidR="00950163" w:rsidRPr="00BB7C9E">
        <w:rPr>
          <w:rFonts w:cs="Tahoma"/>
          <w:color w:val="000000" w:themeColor="text1"/>
          <w:sz w:val="18"/>
          <w:szCs w:val="18"/>
        </w:rPr>
        <w:t xml:space="preserve">ciągu </w:t>
      </w:r>
      <w:r w:rsidR="00B355CC" w:rsidRPr="00BB7C9E">
        <w:rPr>
          <w:rFonts w:cs="Tahoma"/>
          <w:color w:val="000000" w:themeColor="text1"/>
          <w:sz w:val="18"/>
          <w:szCs w:val="18"/>
        </w:rPr>
        <w:t>2019</w:t>
      </w:r>
      <w:r w:rsidR="0035524B" w:rsidRPr="00BB7C9E">
        <w:rPr>
          <w:rFonts w:cs="Tahoma"/>
          <w:color w:val="000000" w:themeColor="text1"/>
          <w:sz w:val="18"/>
          <w:szCs w:val="18"/>
        </w:rPr>
        <w:t xml:space="preserve"> roku i w ciągu 201</w:t>
      </w:r>
      <w:r w:rsidR="00B355CC" w:rsidRPr="00BB7C9E">
        <w:rPr>
          <w:rFonts w:cs="Tahoma"/>
          <w:color w:val="000000" w:themeColor="text1"/>
          <w:sz w:val="18"/>
          <w:szCs w:val="18"/>
        </w:rPr>
        <w:t>8</w:t>
      </w:r>
      <w:r w:rsidR="0035524B" w:rsidRPr="00BB7C9E">
        <w:rPr>
          <w:rFonts w:cs="Tahoma"/>
          <w:color w:val="000000" w:themeColor="text1"/>
          <w:sz w:val="18"/>
          <w:szCs w:val="18"/>
        </w:rPr>
        <w:t xml:space="preserve"> roku Grupa nie aktywowała kosztów finansowania zewnętrznego. </w:t>
      </w:r>
    </w:p>
    <w:p w14:paraId="20479F31" w14:textId="2EC2AC1E" w:rsidR="005B44C3" w:rsidRDefault="00B355CC" w:rsidP="0035524B">
      <w:pPr>
        <w:spacing w:before="120"/>
        <w:jc w:val="both"/>
        <w:rPr>
          <w:rFonts w:cs="Tahoma"/>
          <w:color w:val="000000" w:themeColor="text1"/>
          <w:sz w:val="18"/>
          <w:szCs w:val="18"/>
        </w:rPr>
      </w:pPr>
      <w:r w:rsidRPr="00BB7C9E">
        <w:rPr>
          <w:rFonts w:cs="Tahoma"/>
          <w:color w:val="000000" w:themeColor="text1"/>
          <w:sz w:val="18"/>
          <w:szCs w:val="18"/>
        </w:rPr>
        <w:t>Na dzień 31 grudnia 2019</w:t>
      </w:r>
      <w:r w:rsidR="0035524B" w:rsidRPr="00BB7C9E">
        <w:rPr>
          <w:rFonts w:cs="Tahoma"/>
          <w:color w:val="000000" w:themeColor="text1"/>
          <w:sz w:val="18"/>
          <w:szCs w:val="18"/>
        </w:rPr>
        <w:t xml:space="preserve"> roku powyższa nota zawiera aktywa finansowe w kwocie </w:t>
      </w:r>
      <w:r w:rsidR="0026778D">
        <w:rPr>
          <w:rFonts w:cs="Tahoma"/>
          <w:color w:val="000000" w:themeColor="text1"/>
          <w:sz w:val="18"/>
          <w:szCs w:val="18"/>
        </w:rPr>
        <w:t>336</w:t>
      </w:r>
      <w:r w:rsidR="002F4DCB" w:rsidRPr="00BB7C9E">
        <w:rPr>
          <w:rFonts w:cs="Tahoma"/>
          <w:color w:val="000000" w:themeColor="text1"/>
          <w:sz w:val="18"/>
          <w:szCs w:val="18"/>
        </w:rPr>
        <w:t> </w:t>
      </w:r>
      <w:r w:rsidR="0026778D">
        <w:rPr>
          <w:rFonts w:cs="Tahoma"/>
          <w:color w:val="000000" w:themeColor="text1"/>
          <w:sz w:val="18"/>
          <w:szCs w:val="18"/>
        </w:rPr>
        <w:t>582</w:t>
      </w:r>
      <w:r w:rsidR="00A320E6" w:rsidRPr="00BB7C9E">
        <w:rPr>
          <w:rFonts w:cs="Tahoma"/>
          <w:color w:val="000000" w:themeColor="text1"/>
          <w:sz w:val="18"/>
          <w:szCs w:val="18"/>
        </w:rPr>
        <w:t xml:space="preserve"> tys. zł</w:t>
      </w:r>
      <w:r w:rsidR="00F46D40" w:rsidRPr="00BB7C9E">
        <w:rPr>
          <w:rFonts w:cs="Tahoma"/>
          <w:color w:val="000000" w:themeColor="text1"/>
          <w:sz w:val="18"/>
          <w:szCs w:val="18"/>
        </w:rPr>
        <w:t xml:space="preserve"> (31 grudnia 2</w:t>
      </w:r>
      <w:r w:rsidRPr="00BB7C9E">
        <w:rPr>
          <w:rFonts w:cs="Tahoma"/>
          <w:color w:val="000000" w:themeColor="text1"/>
          <w:sz w:val="18"/>
          <w:szCs w:val="18"/>
        </w:rPr>
        <w:t>018</w:t>
      </w:r>
      <w:r w:rsidR="00AC25CE">
        <w:rPr>
          <w:rFonts w:cs="Tahoma"/>
          <w:color w:val="000000" w:themeColor="text1"/>
          <w:sz w:val="18"/>
          <w:szCs w:val="18"/>
        </w:rPr>
        <w:t xml:space="preserve"> roku</w:t>
      </w:r>
      <w:r w:rsidR="0035524B" w:rsidRPr="00BB7C9E">
        <w:rPr>
          <w:rFonts w:cs="Tahoma"/>
          <w:color w:val="000000" w:themeColor="text1"/>
          <w:sz w:val="18"/>
          <w:szCs w:val="18"/>
        </w:rPr>
        <w:t xml:space="preserve">: </w:t>
      </w:r>
      <w:r w:rsidRPr="00BB7C9E">
        <w:rPr>
          <w:rFonts w:cs="Tahoma"/>
          <w:color w:val="000000" w:themeColor="text1"/>
          <w:sz w:val="18"/>
          <w:szCs w:val="18"/>
        </w:rPr>
        <w:t>487</w:t>
      </w:r>
      <w:r w:rsidR="00F46D40" w:rsidRPr="00BB7C9E">
        <w:rPr>
          <w:rFonts w:cs="Tahoma"/>
          <w:color w:val="000000" w:themeColor="text1"/>
          <w:sz w:val="18"/>
          <w:szCs w:val="18"/>
        </w:rPr>
        <w:t> </w:t>
      </w:r>
      <w:r w:rsidRPr="00BB7C9E">
        <w:rPr>
          <w:rFonts w:cs="Tahoma"/>
          <w:color w:val="000000" w:themeColor="text1"/>
          <w:sz w:val="18"/>
          <w:szCs w:val="18"/>
        </w:rPr>
        <w:t>935</w:t>
      </w:r>
      <w:r w:rsidR="00F46D40" w:rsidRPr="00BB7C9E">
        <w:rPr>
          <w:rFonts w:cs="Tahoma"/>
          <w:color w:val="000000" w:themeColor="text1"/>
          <w:sz w:val="18"/>
          <w:szCs w:val="18"/>
        </w:rPr>
        <w:t xml:space="preserve"> </w:t>
      </w:r>
      <w:r w:rsidR="0035524B" w:rsidRPr="00BB7C9E">
        <w:rPr>
          <w:rFonts w:cs="Tahoma"/>
          <w:color w:val="000000" w:themeColor="text1"/>
          <w:sz w:val="18"/>
          <w:szCs w:val="18"/>
        </w:rPr>
        <w:t>tys. zł).</w:t>
      </w:r>
    </w:p>
    <w:p w14:paraId="2FEF2E16" w14:textId="77777777" w:rsidR="005B44C3" w:rsidRDefault="005B44C3">
      <w:pPr>
        <w:rPr>
          <w:rFonts w:cs="Tahoma"/>
          <w:color w:val="000000" w:themeColor="text1"/>
          <w:sz w:val="18"/>
          <w:szCs w:val="18"/>
        </w:rPr>
      </w:pPr>
      <w:r>
        <w:rPr>
          <w:rFonts w:cs="Tahoma"/>
          <w:color w:val="000000" w:themeColor="text1"/>
          <w:sz w:val="18"/>
          <w:szCs w:val="18"/>
        </w:rPr>
        <w:br w:type="page"/>
      </w:r>
    </w:p>
    <w:p w14:paraId="76B2D5C4" w14:textId="77777777" w:rsidR="00E92CE6" w:rsidRPr="002517AE" w:rsidRDefault="00E92CE6" w:rsidP="00B355CC">
      <w:pPr>
        <w:suppressAutoHyphens/>
        <w:spacing w:before="120" w:after="120"/>
        <w:jc w:val="both"/>
        <w:rPr>
          <w:rFonts w:cs="Tahoma"/>
          <w:b/>
          <w:color w:val="E41E0A"/>
          <w:sz w:val="18"/>
          <w:szCs w:val="18"/>
        </w:rPr>
      </w:pPr>
      <w:r>
        <w:rPr>
          <w:rFonts w:cs="Tahoma"/>
          <w:b/>
          <w:color w:val="E41E0A"/>
          <w:sz w:val="18"/>
          <w:szCs w:val="18"/>
        </w:rPr>
        <w:lastRenderedPageBreak/>
        <w:t>Pozostałe aktywa finansowe ujęte w nocie powyżej</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B355CC" w:rsidRPr="00B355CC" w14:paraId="1772CC1F" w14:textId="77777777" w:rsidTr="00F95706">
        <w:trPr>
          <w:trHeight w:val="284"/>
        </w:trPr>
        <w:tc>
          <w:tcPr>
            <w:tcW w:w="6747" w:type="dxa"/>
            <w:tcBorders>
              <w:top w:val="nil"/>
              <w:left w:val="nil"/>
              <w:bottom w:val="nil"/>
              <w:right w:val="single" w:sz="8" w:space="0" w:color="FFFFFF"/>
            </w:tcBorders>
            <w:shd w:val="clear" w:color="000000" w:fill="0077BD"/>
            <w:noWrap/>
            <w:vAlign w:val="center"/>
            <w:hideMark/>
          </w:tcPr>
          <w:p w14:paraId="045DD411" w14:textId="6B1994F8" w:rsidR="00B355CC" w:rsidRPr="00B355CC" w:rsidRDefault="00B355CC" w:rsidP="00B355CC">
            <w:pPr>
              <w:rPr>
                <w:rFonts w:cs="Calibri"/>
                <w:color w:val="99CCFF"/>
                <w:sz w:val="13"/>
                <w:szCs w:val="13"/>
              </w:rPr>
            </w:pPr>
          </w:p>
        </w:tc>
        <w:tc>
          <w:tcPr>
            <w:tcW w:w="1418" w:type="dxa"/>
            <w:tcBorders>
              <w:top w:val="nil"/>
              <w:left w:val="nil"/>
              <w:bottom w:val="nil"/>
              <w:right w:val="nil"/>
            </w:tcBorders>
            <w:shd w:val="clear" w:color="000000" w:fill="0077BD"/>
            <w:noWrap/>
            <w:vAlign w:val="center"/>
            <w:hideMark/>
          </w:tcPr>
          <w:p w14:paraId="1E9D3F75" w14:textId="77777777" w:rsidR="00B355CC" w:rsidRPr="00B355CC" w:rsidRDefault="00B355CC" w:rsidP="00B355CC">
            <w:pPr>
              <w:jc w:val="right"/>
              <w:rPr>
                <w:rFonts w:cs="Calibri"/>
                <w:b/>
                <w:bCs/>
                <w:color w:val="FFFFFF"/>
                <w:sz w:val="13"/>
                <w:szCs w:val="13"/>
              </w:rPr>
            </w:pPr>
            <w:r w:rsidRPr="00B355CC">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11983696" w14:textId="77777777" w:rsidR="00B355CC" w:rsidRPr="00B355CC" w:rsidRDefault="00B355CC" w:rsidP="00B355CC">
            <w:pPr>
              <w:jc w:val="right"/>
              <w:rPr>
                <w:rFonts w:cs="Calibri"/>
                <w:b/>
                <w:bCs/>
                <w:color w:val="FFFFFF"/>
                <w:sz w:val="13"/>
                <w:szCs w:val="13"/>
              </w:rPr>
            </w:pPr>
            <w:r w:rsidRPr="00B355CC">
              <w:rPr>
                <w:rFonts w:cs="Calibri"/>
                <w:b/>
                <w:bCs/>
                <w:color w:val="FFFFFF"/>
                <w:sz w:val="13"/>
                <w:szCs w:val="13"/>
              </w:rPr>
              <w:t>31.12.2018</w:t>
            </w:r>
          </w:p>
        </w:tc>
      </w:tr>
      <w:tr w:rsidR="009D4B2E" w:rsidRPr="00BB7C9E" w14:paraId="3D5F4AE8" w14:textId="77777777" w:rsidTr="00F95706">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2A0D7A82" w14:textId="77777777" w:rsidR="009D4B2E" w:rsidRPr="00BB7C9E" w:rsidRDefault="009D4B2E" w:rsidP="009D4B2E">
            <w:pPr>
              <w:rPr>
                <w:rFonts w:cs="Calibri"/>
                <w:b/>
                <w:bCs/>
                <w:color w:val="000000" w:themeColor="text1"/>
                <w:sz w:val="13"/>
                <w:szCs w:val="13"/>
              </w:rPr>
            </w:pPr>
            <w:r w:rsidRPr="00BB7C9E">
              <w:rPr>
                <w:rFonts w:cs="Calibri"/>
                <w:b/>
                <w:bCs/>
                <w:color w:val="000000" w:themeColor="text1"/>
                <w:sz w:val="13"/>
                <w:szCs w:val="13"/>
              </w:rPr>
              <w:t>Pozostałe aktywa finansowe brutto, w tym:</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2219E5F" w14:textId="1F53154B" w:rsidR="009D4B2E" w:rsidRPr="009D4B2E" w:rsidRDefault="009D4B2E" w:rsidP="009D4B2E">
            <w:pPr>
              <w:jc w:val="right"/>
              <w:rPr>
                <w:rFonts w:cs="Calibri"/>
                <w:b/>
                <w:bCs/>
                <w:color w:val="000000" w:themeColor="text1"/>
                <w:sz w:val="13"/>
                <w:szCs w:val="13"/>
              </w:rPr>
            </w:pPr>
            <w:r w:rsidRPr="009D4B2E">
              <w:rPr>
                <w:b/>
                <w:bCs/>
                <w:sz w:val="13"/>
                <w:szCs w:val="13"/>
              </w:rPr>
              <w:t>352 794</w:t>
            </w:r>
          </w:p>
        </w:tc>
        <w:tc>
          <w:tcPr>
            <w:tcW w:w="1418" w:type="dxa"/>
            <w:tcBorders>
              <w:top w:val="single" w:sz="8" w:space="0" w:color="0077BD"/>
              <w:left w:val="nil"/>
              <w:bottom w:val="single" w:sz="8" w:space="0" w:color="0077BD"/>
              <w:right w:val="nil"/>
            </w:tcBorders>
            <w:shd w:val="clear" w:color="auto" w:fill="auto"/>
            <w:noWrap/>
            <w:vAlign w:val="center"/>
            <w:hideMark/>
          </w:tcPr>
          <w:p w14:paraId="3EC597DA" w14:textId="77777777" w:rsidR="009D4B2E" w:rsidRPr="00BB7C9E" w:rsidRDefault="009D4B2E" w:rsidP="009D4B2E">
            <w:pPr>
              <w:jc w:val="right"/>
              <w:rPr>
                <w:rFonts w:cs="Calibri"/>
                <w:b/>
                <w:bCs/>
                <w:color w:val="000000" w:themeColor="text1"/>
                <w:sz w:val="13"/>
                <w:szCs w:val="13"/>
              </w:rPr>
            </w:pPr>
            <w:r w:rsidRPr="00BB7C9E">
              <w:rPr>
                <w:rFonts w:cs="Calibri"/>
                <w:b/>
                <w:bCs/>
                <w:color w:val="000000" w:themeColor="text1"/>
                <w:sz w:val="13"/>
                <w:szCs w:val="13"/>
              </w:rPr>
              <w:t>504 365</w:t>
            </w:r>
          </w:p>
        </w:tc>
      </w:tr>
      <w:tr w:rsidR="009D4B2E" w:rsidRPr="00BB7C9E" w14:paraId="2B4816FE" w14:textId="77777777" w:rsidTr="00F9570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BC96F6A" w14:textId="6910EAB6" w:rsidR="009D4B2E" w:rsidRPr="00BB7C9E" w:rsidRDefault="009D4B2E" w:rsidP="009D4B2E">
            <w:pPr>
              <w:rPr>
                <w:rFonts w:cs="Calibri"/>
                <w:color w:val="000000" w:themeColor="text1"/>
                <w:sz w:val="13"/>
                <w:szCs w:val="13"/>
              </w:rPr>
            </w:pPr>
            <w:r w:rsidRPr="00BB7C9E">
              <w:rPr>
                <w:rFonts w:cs="Calibri"/>
                <w:color w:val="000000" w:themeColor="text1"/>
                <w:sz w:val="13"/>
                <w:szCs w:val="13"/>
              </w:rPr>
              <w:t>- nieprzeterminowane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9C3F3C6" w14:textId="1CC69A65" w:rsidR="009D4B2E" w:rsidRPr="009D4B2E" w:rsidRDefault="009D4B2E" w:rsidP="009D4B2E">
            <w:pPr>
              <w:jc w:val="right"/>
              <w:rPr>
                <w:rFonts w:cs="Calibri"/>
                <w:color w:val="000000" w:themeColor="text1"/>
                <w:sz w:val="13"/>
                <w:szCs w:val="13"/>
              </w:rPr>
            </w:pPr>
            <w:r w:rsidRPr="009D4B2E">
              <w:rPr>
                <w:sz w:val="13"/>
                <w:szCs w:val="13"/>
              </w:rPr>
              <w:t>342 746</w:t>
            </w:r>
          </w:p>
        </w:tc>
        <w:tc>
          <w:tcPr>
            <w:tcW w:w="1418" w:type="dxa"/>
            <w:tcBorders>
              <w:top w:val="nil"/>
              <w:left w:val="nil"/>
              <w:bottom w:val="single" w:sz="4" w:space="0" w:color="0077BD"/>
              <w:right w:val="nil"/>
            </w:tcBorders>
            <w:shd w:val="clear" w:color="auto" w:fill="auto"/>
            <w:noWrap/>
            <w:vAlign w:val="center"/>
            <w:hideMark/>
          </w:tcPr>
          <w:p w14:paraId="7D6BCA98" w14:textId="77777777" w:rsidR="009D4B2E" w:rsidRPr="00BB7C9E" w:rsidRDefault="009D4B2E" w:rsidP="009D4B2E">
            <w:pPr>
              <w:jc w:val="right"/>
              <w:rPr>
                <w:rFonts w:cs="Calibri"/>
                <w:color w:val="000000" w:themeColor="text1"/>
                <w:sz w:val="13"/>
                <w:szCs w:val="13"/>
              </w:rPr>
            </w:pPr>
            <w:r w:rsidRPr="00BB7C9E">
              <w:rPr>
                <w:rFonts w:cs="Calibri"/>
                <w:color w:val="000000" w:themeColor="text1"/>
                <w:sz w:val="13"/>
                <w:szCs w:val="13"/>
              </w:rPr>
              <w:t>493 982</w:t>
            </w:r>
          </w:p>
        </w:tc>
      </w:tr>
      <w:tr w:rsidR="009D4B2E" w:rsidRPr="00BB7C9E" w14:paraId="2725EF4D" w14:textId="77777777" w:rsidTr="00F9570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7A6C5CD" w14:textId="46934F7F" w:rsidR="009D4B2E" w:rsidRPr="00BB7C9E" w:rsidRDefault="009D4B2E" w:rsidP="009D4B2E">
            <w:pPr>
              <w:rPr>
                <w:rFonts w:cs="Calibri"/>
                <w:color w:val="000000" w:themeColor="text1"/>
                <w:sz w:val="13"/>
                <w:szCs w:val="13"/>
              </w:rPr>
            </w:pPr>
            <w:r w:rsidRPr="00BB7C9E">
              <w:rPr>
                <w:rFonts w:cs="Calibri"/>
                <w:color w:val="000000" w:themeColor="text1"/>
                <w:sz w:val="13"/>
                <w:szCs w:val="13"/>
              </w:rPr>
              <w:t>- przeterminowane od 1 do 90 dni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3FEED71" w14:textId="366F0A72" w:rsidR="009D4B2E" w:rsidRPr="009D4B2E" w:rsidRDefault="009D4B2E" w:rsidP="009D4B2E">
            <w:pPr>
              <w:jc w:val="right"/>
              <w:rPr>
                <w:rFonts w:cs="Calibri"/>
                <w:color w:val="000000" w:themeColor="text1"/>
                <w:sz w:val="13"/>
                <w:szCs w:val="13"/>
              </w:rPr>
            </w:pPr>
            <w:r w:rsidRPr="009D4B2E">
              <w:rPr>
                <w:sz w:val="13"/>
                <w:szCs w:val="13"/>
              </w:rPr>
              <w:t>3 304</w:t>
            </w:r>
          </w:p>
        </w:tc>
        <w:tc>
          <w:tcPr>
            <w:tcW w:w="1418" w:type="dxa"/>
            <w:tcBorders>
              <w:top w:val="nil"/>
              <w:left w:val="nil"/>
              <w:bottom w:val="single" w:sz="4" w:space="0" w:color="0077BD"/>
              <w:right w:val="nil"/>
            </w:tcBorders>
            <w:shd w:val="clear" w:color="auto" w:fill="auto"/>
            <w:noWrap/>
            <w:vAlign w:val="center"/>
            <w:hideMark/>
          </w:tcPr>
          <w:p w14:paraId="05E7C2B9" w14:textId="77777777" w:rsidR="009D4B2E" w:rsidRPr="00BB7C9E" w:rsidRDefault="009D4B2E" w:rsidP="009D4B2E">
            <w:pPr>
              <w:jc w:val="right"/>
              <w:rPr>
                <w:rFonts w:cs="Calibri"/>
                <w:color w:val="000000" w:themeColor="text1"/>
                <w:sz w:val="13"/>
                <w:szCs w:val="13"/>
              </w:rPr>
            </w:pPr>
            <w:r w:rsidRPr="00BB7C9E">
              <w:rPr>
                <w:rFonts w:cs="Calibri"/>
                <w:color w:val="000000" w:themeColor="text1"/>
                <w:sz w:val="13"/>
                <w:szCs w:val="13"/>
              </w:rPr>
              <w:t>5 702</w:t>
            </w:r>
          </w:p>
        </w:tc>
      </w:tr>
      <w:tr w:rsidR="009D4B2E" w:rsidRPr="00BB7C9E" w14:paraId="65B6CC00" w14:textId="77777777" w:rsidTr="00F95706">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55A2A5F" w14:textId="45817762" w:rsidR="009D4B2E" w:rsidRPr="00BB7C9E" w:rsidRDefault="009D4B2E" w:rsidP="009D4B2E">
            <w:pPr>
              <w:rPr>
                <w:rFonts w:cs="Calibri"/>
                <w:color w:val="000000" w:themeColor="text1"/>
                <w:sz w:val="13"/>
                <w:szCs w:val="13"/>
              </w:rPr>
            </w:pPr>
            <w:r w:rsidRPr="00BB7C9E">
              <w:rPr>
                <w:rFonts w:cs="Calibri"/>
                <w:color w:val="000000" w:themeColor="text1"/>
                <w:sz w:val="13"/>
                <w:szCs w:val="13"/>
              </w:rPr>
              <w:t>- przeterminowane powyżej 90 dni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F1870B4" w14:textId="124C4FF2" w:rsidR="009D4B2E" w:rsidRPr="009D4B2E" w:rsidRDefault="009D4B2E" w:rsidP="009D4B2E">
            <w:pPr>
              <w:jc w:val="right"/>
              <w:rPr>
                <w:rFonts w:cs="Calibri"/>
                <w:color w:val="000000" w:themeColor="text1"/>
                <w:sz w:val="13"/>
                <w:szCs w:val="13"/>
              </w:rPr>
            </w:pPr>
            <w:r w:rsidRPr="009D4B2E">
              <w:rPr>
                <w:sz w:val="13"/>
                <w:szCs w:val="13"/>
              </w:rPr>
              <w:t>6 744</w:t>
            </w:r>
          </w:p>
        </w:tc>
        <w:tc>
          <w:tcPr>
            <w:tcW w:w="1418" w:type="dxa"/>
            <w:tcBorders>
              <w:top w:val="nil"/>
              <w:left w:val="nil"/>
              <w:bottom w:val="single" w:sz="4" w:space="0" w:color="0077BD"/>
              <w:right w:val="nil"/>
            </w:tcBorders>
            <w:shd w:val="clear" w:color="auto" w:fill="auto"/>
            <w:noWrap/>
            <w:vAlign w:val="center"/>
            <w:hideMark/>
          </w:tcPr>
          <w:p w14:paraId="07A87C57" w14:textId="77777777" w:rsidR="009D4B2E" w:rsidRPr="00BB7C9E" w:rsidRDefault="009D4B2E" w:rsidP="009D4B2E">
            <w:pPr>
              <w:jc w:val="right"/>
              <w:rPr>
                <w:rFonts w:cs="Calibri"/>
                <w:color w:val="000000" w:themeColor="text1"/>
                <w:sz w:val="13"/>
                <w:szCs w:val="13"/>
              </w:rPr>
            </w:pPr>
            <w:r w:rsidRPr="00BB7C9E">
              <w:rPr>
                <w:rFonts w:cs="Calibri"/>
                <w:color w:val="000000" w:themeColor="text1"/>
                <w:sz w:val="13"/>
                <w:szCs w:val="13"/>
              </w:rPr>
              <w:t>4 681</w:t>
            </w:r>
          </w:p>
        </w:tc>
      </w:tr>
      <w:tr w:rsidR="009D4B2E" w:rsidRPr="00BB7C9E" w14:paraId="5D16BB3B" w14:textId="77777777" w:rsidTr="00F95706">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0BD1742" w14:textId="77777777" w:rsidR="009D4B2E" w:rsidRPr="00BB7C9E" w:rsidRDefault="009D4B2E" w:rsidP="009D4B2E">
            <w:pPr>
              <w:rPr>
                <w:rFonts w:cs="Calibri"/>
                <w:color w:val="000000" w:themeColor="text1"/>
                <w:sz w:val="13"/>
                <w:szCs w:val="13"/>
              </w:rPr>
            </w:pPr>
            <w:r w:rsidRPr="00BB7C9E">
              <w:rPr>
                <w:rFonts w:cs="Calibri"/>
                <w:color w:val="000000" w:themeColor="text1"/>
                <w:sz w:val="13"/>
                <w:szCs w:val="13"/>
              </w:rPr>
              <w:t>- rezerwy na pozostałe aktywa finansowe (wielkość ujemna)</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61321119" w14:textId="679E3B0C" w:rsidR="009D4B2E" w:rsidRPr="009D4B2E" w:rsidRDefault="009D4B2E" w:rsidP="009D4B2E">
            <w:pPr>
              <w:jc w:val="right"/>
              <w:rPr>
                <w:rFonts w:cs="Calibri"/>
                <w:color w:val="000000" w:themeColor="text1"/>
                <w:sz w:val="13"/>
                <w:szCs w:val="13"/>
              </w:rPr>
            </w:pPr>
            <w:r w:rsidRPr="009D4B2E">
              <w:rPr>
                <w:sz w:val="13"/>
                <w:szCs w:val="13"/>
              </w:rPr>
              <w:t>(16 212)</w:t>
            </w:r>
          </w:p>
        </w:tc>
        <w:tc>
          <w:tcPr>
            <w:tcW w:w="1418" w:type="dxa"/>
            <w:tcBorders>
              <w:top w:val="nil"/>
              <w:left w:val="nil"/>
              <w:bottom w:val="single" w:sz="8" w:space="0" w:color="0077BD"/>
              <w:right w:val="nil"/>
            </w:tcBorders>
            <w:shd w:val="clear" w:color="auto" w:fill="auto"/>
            <w:noWrap/>
            <w:vAlign w:val="center"/>
            <w:hideMark/>
          </w:tcPr>
          <w:p w14:paraId="58C6C8EB" w14:textId="77777777" w:rsidR="009D4B2E" w:rsidRPr="00BB7C9E" w:rsidRDefault="009D4B2E" w:rsidP="009D4B2E">
            <w:pPr>
              <w:jc w:val="right"/>
              <w:rPr>
                <w:rFonts w:cs="Calibri"/>
                <w:color w:val="000000" w:themeColor="text1"/>
                <w:sz w:val="13"/>
                <w:szCs w:val="13"/>
              </w:rPr>
            </w:pPr>
            <w:r w:rsidRPr="00BB7C9E">
              <w:rPr>
                <w:rFonts w:cs="Calibri"/>
                <w:color w:val="000000" w:themeColor="text1"/>
                <w:sz w:val="13"/>
                <w:szCs w:val="13"/>
              </w:rPr>
              <w:t>(16 430)</w:t>
            </w:r>
          </w:p>
        </w:tc>
      </w:tr>
      <w:tr w:rsidR="009D4B2E" w:rsidRPr="00BB7C9E" w14:paraId="491CF4BF" w14:textId="77777777" w:rsidTr="00F95706">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4C19BACC" w14:textId="77777777" w:rsidR="009D4B2E" w:rsidRPr="00BB7C9E" w:rsidRDefault="009D4B2E" w:rsidP="009D4B2E">
            <w:pPr>
              <w:rPr>
                <w:rFonts w:cs="Calibri"/>
                <w:b/>
                <w:bCs/>
                <w:color w:val="000000" w:themeColor="text1"/>
                <w:sz w:val="13"/>
                <w:szCs w:val="13"/>
              </w:rPr>
            </w:pPr>
            <w:r w:rsidRPr="00BB7C9E">
              <w:rPr>
                <w:rFonts w:cs="Calibri"/>
                <w:b/>
                <w:bCs/>
                <w:color w:val="000000" w:themeColor="text1"/>
                <w:sz w:val="13"/>
                <w:szCs w:val="13"/>
              </w:rPr>
              <w:t xml:space="preserve">Pozostałe aktywa finansowe netto </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12200153" w14:textId="51347067" w:rsidR="009D4B2E" w:rsidRPr="009D4B2E" w:rsidRDefault="009D4B2E" w:rsidP="009D4B2E">
            <w:pPr>
              <w:jc w:val="right"/>
              <w:rPr>
                <w:rFonts w:cs="Calibri"/>
                <w:b/>
                <w:bCs/>
                <w:color w:val="000000" w:themeColor="text1"/>
                <w:sz w:val="13"/>
                <w:szCs w:val="13"/>
              </w:rPr>
            </w:pPr>
            <w:r w:rsidRPr="009D4B2E">
              <w:rPr>
                <w:b/>
                <w:bCs/>
                <w:sz w:val="13"/>
                <w:szCs w:val="13"/>
              </w:rPr>
              <w:t>336 582</w:t>
            </w:r>
          </w:p>
        </w:tc>
        <w:tc>
          <w:tcPr>
            <w:tcW w:w="1418" w:type="dxa"/>
            <w:tcBorders>
              <w:top w:val="nil"/>
              <w:left w:val="nil"/>
              <w:bottom w:val="single" w:sz="8" w:space="0" w:color="0077BD"/>
              <w:right w:val="nil"/>
            </w:tcBorders>
            <w:shd w:val="clear" w:color="auto" w:fill="auto"/>
            <w:noWrap/>
            <w:vAlign w:val="center"/>
            <w:hideMark/>
          </w:tcPr>
          <w:p w14:paraId="70DF7F20" w14:textId="77777777" w:rsidR="009D4B2E" w:rsidRPr="00BB7C9E" w:rsidRDefault="009D4B2E" w:rsidP="009D4B2E">
            <w:pPr>
              <w:jc w:val="right"/>
              <w:rPr>
                <w:rFonts w:cs="Calibri"/>
                <w:b/>
                <w:bCs/>
                <w:color w:val="000000" w:themeColor="text1"/>
                <w:sz w:val="13"/>
                <w:szCs w:val="13"/>
              </w:rPr>
            </w:pPr>
            <w:r w:rsidRPr="00BB7C9E">
              <w:rPr>
                <w:rFonts w:cs="Calibri"/>
                <w:b/>
                <w:bCs/>
                <w:color w:val="000000" w:themeColor="text1"/>
                <w:sz w:val="13"/>
                <w:szCs w:val="13"/>
              </w:rPr>
              <w:t>487 935</w:t>
            </w:r>
          </w:p>
        </w:tc>
      </w:tr>
    </w:tbl>
    <w:p w14:paraId="6AA5B435" w14:textId="6E373751" w:rsidR="00B77B5D" w:rsidRPr="00BB7C9E" w:rsidRDefault="00B77B5D" w:rsidP="00B355CC">
      <w:pPr>
        <w:suppressAutoHyphens/>
        <w:spacing w:before="120" w:after="120"/>
        <w:jc w:val="both"/>
        <w:rPr>
          <w:b/>
          <w:noProof/>
          <w:color w:val="000000" w:themeColor="text1"/>
          <w:sz w:val="18"/>
          <w:szCs w:val="18"/>
        </w:rPr>
      </w:pPr>
      <w:r w:rsidRPr="00BB7C9E">
        <w:rPr>
          <w:b/>
          <w:noProof/>
          <w:color w:val="000000" w:themeColor="text1"/>
          <w:sz w:val="18"/>
          <w:szCs w:val="18"/>
        </w:rPr>
        <w:t>Zmiana stanu odpisów na inne aktywa finansowe</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B355CC" w:rsidRPr="00B355CC" w14:paraId="1E18CECC" w14:textId="77777777" w:rsidTr="00247563">
        <w:trPr>
          <w:trHeight w:val="360"/>
        </w:trPr>
        <w:tc>
          <w:tcPr>
            <w:tcW w:w="6747" w:type="dxa"/>
            <w:tcBorders>
              <w:top w:val="nil"/>
              <w:left w:val="nil"/>
              <w:right w:val="single" w:sz="8" w:space="0" w:color="FFFFFF"/>
            </w:tcBorders>
            <w:shd w:val="clear" w:color="000000" w:fill="0077BD"/>
            <w:noWrap/>
            <w:vAlign w:val="center"/>
            <w:hideMark/>
          </w:tcPr>
          <w:p w14:paraId="2AEB3531" w14:textId="167BCC4A" w:rsidR="00B355CC" w:rsidRPr="00B355CC" w:rsidRDefault="00B355CC" w:rsidP="00B355CC">
            <w:pPr>
              <w:rPr>
                <w:rFonts w:cs="Calibri"/>
                <w:color w:val="99CCFF"/>
                <w:sz w:val="13"/>
                <w:szCs w:val="13"/>
              </w:rPr>
            </w:pPr>
          </w:p>
        </w:tc>
        <w:tc>
          <w:tcPr>
            <w:tcW w:w="1418" w:type="dxa"/>
            <w:tcBorders>
              <w:top w:val="nil"/>
              <w:left w:val="nil"/>
              <w:right w:val="nil"/>
            </w:tcBorders>
            <w:shd w:val="clear" w:color="000000" w:fill="0077BD"/>
            <w:noWrap/>
            <w:vAlign w:val="center"/>
            <w:hideMark/>
          </w:tcPr>
          <w:p w14:paraId="1C6453B2" w14:textId="77777777" w:rsidR="00B355CC" w:rsidRPr="00B355CC" w:rsidRDefault="00B355CC" w:rsidP="00B355CC">
            <w:pPr>
              <w:jc w:val="right"/>
              <w:rPr>
                <w:rFonts w:cs="Calibri"/>
                <w:b/>
                <w:bCs/>
                <w:color w:val="FFFFFF"/>
                <w:sz w:val="13"/>
                <w:szCs w:val="13"/>
              </w:rPr>
            </w:pPr>
            <w:r w:rsidRPr="00B355CC">
              <w:rPr>
                <w:rFonts w:cs="Calibri"/>
                <w:b/>
                <w:bCs/>
                <w:color w:val="FFFFFF"/>
                <w:sz w:val="13"/>
                <w:szCs w:val="13"/>
              </w:rPr>
              <w:t>31.12.2019</w:t>
            </w:r>
          </w:p>
        </w:tc>
        <w:tc>
          <w:tcPr>
            <w:tcW w:w="1418" w:type="dxa"/>
            <w:tcBorders>
              <w:top w:val="nil"/>
              <w:left w:val="single" w:sz="8" w:space="0" w:color="FFFFFF"/>
              <w:right w:val="nil"/>
            </w:tcBorders>
            <w:shd w:val="clear" w:color="000000" w:fill="0077BD"/>
            <w:noWrap/>
            <w:vAlign w:val="center"/>
            <w:hideMark/>
          </w:tcPr>
          <w:p w14:paraId="4FEBA4A9" w14:textId="77777777" w:rsidR="00B355CC" w:rsidRPr="00B355CC" w:rsidRDefault="00B355CC" w:rsidP="00B355CC">
            <w:pPr>
              <w:jc w:val="right"/>
              <w:rPr>
                <w:rFonts w:cs="Calibri"/>
                <w:b/>
                <w:bCs/>
                <w:color w:val="FFFFFF"/>
                <w:sz w:val="13"/>
                <w:szCs w:val="13"/>
              </w:rPr>
            </w:pPr>
            <w:r w:rsidRPr="00B355CC">
              <w:rPr>
                <w:rFonts w:cs="Calibri"/>
                <w:b/>
                <w:bCs/>
                <w:color w:val="FFFFFF"/>
                <w:sz w:val="13"/>
                <w:szCs w:val="13"/>
              </w:rPr>
              <w:t>31.12.2018</w:t>
            </w:r>
          </w:p>
        </w:tc>
      </w:tr>
      <w:tr w:rsidR="00247563" w:rsidRPr="00603A77" w14:paraId="3D817A79" w14:textId="77777777" w:rsidTr="00247563">
        <w:trPr>
          <w:trHeight w:val="284"/>
        </w:trPr>
        <w:tc>
          <w:tcPr>
            <w:tcW w:w="6747" w:type="dxa"/>
            <w:tcBorders>
              <w:left w:val="nil"/>
              <w:bottom w:val="single" w:sz="8" w:space="0" w:color="0077BD"/>
              <w:right w:val="single" w:sz="8" w:space="0" w:color="0077BD"/>
            </w:tcBorders>
            <w:shd w:val="clear" w:color="auto" w:fill="auto"/>
            <w:vAlign w:val="center"/>
            <w:hideMark/>
          </w:tcPr>
          <w:p w14:paraId="38C23510" w14:textId="77777777" w:rsidR="00247563" w:rsidRPr="00B355CC" w:rsidRDefault="00247563" w:rsidP="00247563">
            <w:pPr>
              <w:rPr>
                <w:rFonts w:cs="Calibri"/>
                <w:b/>
                <w:bCs/>
                <w:sz w:val="13"/>
                <w:szCs w:val="13"/>
              </w:rPr>
            </w:pPr>
            <w:r w:rsidRPr="00B355CC">
              <w:rPr>
                <w:rFonts w:cs="Calibri"/>
                <w:b/>
                <w:bCs/>
                <w:sz w:val="13"/>
                <w:szCs w:val="13"/>
              </w:rPr>
              <w:t xml:space="preserve">Stan na początek okresu </w:t>
            </w:r>
          </w:p>
        </w:tc>
        <w:tc>
          <w:tcPr>
            <w:tcW w:w="1418" w:type="dxa"/>
            <w:tcBorders>
              <w:top w:val="single" w:sz="8" w:space="0" w:color="0077BD"/>
              <w:left w:val="nil"/>
              <w:bottom w:val="single" w:sz="8" w:space="0" w:color="0077BD"/>
              <w:right w:val="nil"/>
            </w:tcBorders>
            <w:shd w:val="clear" w:color="auto" w:fill="auto"/>
            <w:vAlign w:val="center"/>
          </w:tcPr>
          <w:p w14:paraId="0D7A6F32" w14:textId="6806D2EF" w:rsidR="00247563" w:rsidRPr="00247563" w:rsidRDefault="00247563" w:rsidP="00247563">
            <w:pPr>
              <w:jc w:val="right"/>
              <w:rPr>
                <w:rFonts w:cs="Calibri"/>
                <w:b/>
                <w:bCs/>
                <w:sz w:val="13"/>
                <w:szCs w:val="13"/>
              </w:rPr>
            </w:pPr>
            <w:r w:rsidRPr="00247563">
              <w:rPr>
                <w:rFonts w:cs="Calibri"/>
                <w:b/>
                <w:bCs/>
                <w:sz w:val="13"/>
                <w:szCs w:val="13"/>
              </w:rPr>
              <w:t>(16 430)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2D089679" w14:textId="1B355B42" w:rsidR="00247563" w:rsidRPr="00247563" w:rsidRDefault="00247563" w:rsidP="00247563">
            <w:pPr>
              <w:jc w:val="right"/>
              <w:rPr>
                <w:rFonts w:cs="Calibri"/>
                <w:b/>
                <w:bCs/>
                <w:sz w:val="13"/>
                <w:szCs w:val="13"/>
              </w:rPr>
            </w:pPr>
            <w:r w:rsidRPr="00247563">
              <w:rPr>
                <w:rFonts w:cs="Calibri"/>
                <w:b/>
                <w:bCs/>
                <w:sz w:val="13"/>
                <w:szCs w:val="13"/>
              </w:rPr>
              <w:t>(14 562)</w:t>
            </w:r>
          </w:p>
        </w:tc>
      </w:tr>
      <w:tr w:rsidR="00247563" w:rsidRPr="00BB7C9E" w14:paraId="6A3164A3" w14:textId="77777777" w:rsidTr="00247563">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2B44379E" w14:textId="77777777" w:rsidR="00247563" w:rsidRPr="00795487" w:rsidRDefault="00247563" w:rsidP="00247563">
            <w:pPr>
              <w:rPr>
                <w:rFonts w:cs="Calibri"/>
                <w:b/>
                <w:color w:val="000000" w:themeColor="text1"/>
                <w:sz w:val="13"/>
                <w:szCs w:val="13"/>
              </w:rPr>
            </w:pPr>
            <w:r w:rsidRPr="00795487">
              <w:rPr>
                <w:rFonts w:cs="Calibri"/>
                <w:b/>
                <w:color w:val="000000" w:themeColor="text1"/>
                <w:sz w:val="13"/>
                <w:szCs w:val="13"/>
              </w:rPr>
              <w:t>Zmiana w okresie (z tytułu)</w:t>
            </w:r>
          </w:p>
        </w:tc>
        <w:tc>
          <w:tcPr>
            <w:tcW w:w="1418" w:type="dxa"/>
            <w:tcBorders>
              <w:top w:val="single" w:sz="4" w:space="0" w:color="0077BD"/>
              <w:left w:val="nil"/>
              <w:bottom w:val="single" w:sz="4" w:space="0" w:color="0077BD"/>
              <w:right w:val="nil"/>
            </w:tcBorders>
            <w:shd w:val="clear" w:color="auto" w:fill="auto"/>
            <w:vAlign w:val="center"/>
          </w:tcPr>
          <w:p w14:paraId="7316830F" w14:textId="7423B28D" w:rsidR="00247563" w:rsidRPr="00795487" w:rsidRDefault="00247563" w:rsidP="00247563">
            <w:pPr>
              <w:jc w:val="right"/>
              <w:rPr>
                <w:rFonts w:cs="Calibri"/>
                <w:b/>
                <w:color w:val="000000" w:themeColor="text1"/>
                <w:sz w:val="13"/>
                <w:szCs w:val="13"/>
              </w:rPr>
            </w:pPr>
            <w:r w:rsidRPr="00795487">
              <w:rPr>
                <w:rFonts w:cs="Calibri"/>
                <w:b/>
                <w:sz w:val="13"/>
                <w:szCs w:val="13"/>
              </w:rPr>
              <w:t>218</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41AECE69" w14:textId="5BE613DE" w:rsidR="00247563" w:rsidRPr="00795487" w:rsidRDefault="00247563" w:rsidP="00247563">
            <w:pPr>
              <w:jc w:val="right"/>
              <w:rPr>
                <w:rFonts w:cs="Calibri"/>
                <w:b/>
                <w:color w:val="000000" w:themeColor="text1"/>
                <w:sz w:val="13"/>
                <w:szCs w:val="13"/>
              </w:rPr>
            </w:pPr>
            <w:r w:rsidRPr="00795487">
              <w:rPr>
                <w:rFonts w:cs="Calibri"/>
                <w:b/>
                <w:sz w:val="13"/>
                <w:szCs w:val="13"/>
              </w:rPr>
              <w:t>(1 868)</w:t>
            </w:r>
          </w:p>
        </w:tc>
      </w:tr>
      <w:tr w:rsidR="00247563" w:rsidRPr="00BB7C9E" w14:paraId="490D696C" w14:textId="77777777" w:rsidTr="00247563">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3EEC0E6" w14:textId="77777777" w:rsidR="00247563" w:rsidRPr="00BB7C9E" w:rsidRDefault="00247563" w:rsidP="00247563">
            <w:pPr>
              <w:rPr>
                <w:rFonts w:cs="Calibri"/>
                <w:color w:val="000000" w:themeColor="text1"/>
                <w:sz w:val="13"/>
                <w:szCs w:val="13"/>
              </w:rPr>
            </w:pPr>
            <w:r w:rsidRPr="00BB7C9E">
              <w:rPr>
                <w:rFonts w:cs="Calibri"/>
                <w:color w:val="000000" w:themeColor="text1"/>
                <w:sz w:val="13"/>
                <w:szCs w:val="13"/>
              </w:rPr>
              <w:t>- odpis w koszty</w:t>
            </w:r>
          </w:p>
        </w:tc>
        <w:tc>
          <w:tcPr>
            <w:tcW w:w="1418" w:type="dxa"/>
            <w:tcBorders>
              <w:top w:val="nil"/>
              <w:left w:val="nil"/>
              <w:bottom w:val="single" w:sz="4" w:space="0" w:color="0077BD"/>
              <w:right w:val="nil"/>
            </w:tcBorders>
            <w:shd w:val="clear" w:color="auto" w:fill="auto"/>
            <w:vAlign w:val="center"/>
          </w:tcPr>
          <w:p w14:paraId="796AD872" w14:textId="0600B68C" w:rsidR="00247563" w:rsidRPr="00247563" w:rsidRDefault="00247563" w:rsidP="00247563">
            <w:pPr>
              <w:jc w:val="right"/>
              <w:rPr>
                <w:rFonts w:cs="Calibri"/>
                <w:color w:val="000000" w:themeColor="text1"/>
                <w:sz w:val="13"/>
                <w:szCs w:val="13"/>
              </w:rPr>
            </w:pPr>
            <w:r w:rsidRPr="00247563">
              <w:rPr>
                <w:rFonts w:cs="Calibri"/>
                <w:sz w:val="13"/>
                <w:szCs w:val="13"/>
              </w:rPr>
              <w:t>(1 664)</w:t>
            </w:r>
          </w:p>
        </w:tc>
        <w:tc>
          <w:tcPr>
            <w:tcW w:w="1418" w:type="dxa"/>
            <w:tcBorders>
              <w:top w:val="nil"/>
              <w:left w:val="single" w:sz="8" w:space="0" w:color="0077BD"/>
              <w:bottom w:val="single" w:sz="4" w:space="0" w:color="0077BD"/>
              <w:right w:val="nil"/>
            </w:tcBorders>
            <w:shd w:val="clear" w:color="auto" w:fill="auto"/>
            <w:noWrap/>
            <w:vAlign w:val="center"/>
            <w:hideMark/>
          </w:tcPr>
          <w:p w14:paraId="12FE83A7" w14:textId="3DB82D38" w:rsidR="00247563" w:rsidRPr="00247563" w:rsidRDefault="00247563" w:rsidP="00247563">
            <w:pPr>
              <w:jc w:val="right"/>
              <w:rPr>
                <w:rFonts w:cs="Calibri"/>
                <w:color w:val="000000" w:themeColor="text1"/>
                <w:sz w:val="13"/>
                <w:szCs w:val="13"/>
              </w:rPr>
            </w:pPr>
            <w:r w:rsidRPr="00247563">
              <w:rPr>
                <w:rFonts w:cs="Calibri"/>
                <w:sz w:val="13"/>
                <w:szCs w:val="13"/>
              </w:rPr>
              <w:t>(2 353)</w:t>
            </w:r>
          </w:p>
        </w:tc>
      </w:tr>
      <w:tr w:rsidR="00247563" w:rsidRPr="00BB7C9E" w14:paraId="328A0476" w14:textId="77777777" w:rsidTr="00247563">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2922037" w14:textId="77777777" w:rsidR="00247563" w:rsidRPr="00BB7C9E" w:rsidRDefault="00247563" w:rsidP="00247563">
            <w:pPr>
              <w:rPr>
                <w:rFonts w:cs="Calibri"/>
                <w:color w:val="000000" w:themeColor="text1"/>
                <w:sz w:val="13"/>
                <w:szCs w:val="13"/>
              </w:rPr>
            </w:pPr>
            <w:r w:rsidRPr="00BB7C9E">
              <w:rPr>
                <w:rFonts w:cs="Calibri"/>
                <w:color w:val="000000" w:themeColor="text1"/>
                <w:sz w:val="13"/>
                <w:szCs w:val="13"/>
              </w:rPr>
              <w:t>- rozwiązanie rezerw</w:t>
            </w:r>
          </w:p>
        </w:tc>
        <w:tc>
          <w:tcPr>
            <w:tcW w:w="1418" w:type="dxa"/>
            <w:tcBorders>
              <w:top w:val="nil"/>
              <w:left w:val="nil"/>
              <w:bottom w:val="single" w:sz="4" w:space="0" w:color="0077BD"/>
              <w:right w:val="nil"/>
            </w:tcBorders>
            <w:shd w:val="clear" w:color="auto" w:fill="auto"/>
            <w:vAlign w:val="center"/>
          </w:tcPr>
          <w:p w14:paraId="5AEA9880" w14:textId="17B77B92" w:rsidR="00247563" w:rsidRPr="00247563" w:rsidRDefault="00247563" w:rsidP="00247563">
            <w:pPr>
              <w:jc w:val="right"/>
              <w:rPr>
                <w:rFonts w:cs="Calibri"/>
                <w:color w:val="000000" w:themeColor="text1"/>
                <w:sz w:val="13"/>
                <w:szCs w:val="13"/>
              </w:rPr>
            </w:pPr>
            <w:r w:rsidRPr="00247563">
              <w:rPr>
                <w:rFonts w:cs="Calibri"/>
                <w:sz w:val="13"/>
                <w:szCs w:val="13"/>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74E93B04" w14:textId="76CE1F59" w:rsidR="00247563" w:rsidRPr="00247563" w:rsidRDefault="00247563" w:rsidP="00247563">
            <w:pPr>
              <w:jc w:val="right"/>
              <w:rPr>
                <w:rFonts w:cs="Calibri"/>
                <w:color w:val="000000" w:themeColor="text1"/>
                <w:sz w:val="13"/>
                <w:szCs w:val="13"/>
              </w:rPr>
            </w:pPr>
            <w:r w:rsidRPr="00247563">
              <w:rPr>
                <w:rFonts w:cs="Calibri"/>
                <w:sz w:val="13"/>
                <w:szCs w:val="13"/>
              </w:rPr>
              <w:t>371</w:t>
            </w:r>
          </w:p>
        </w:tc>
      </w:tr>
      <w:tr w:rsidR="00603A77" w:rsidRPr="00BB7C9E" w14:paraId="25A3EB23" w14:textId="77777777" w:rsidTr="00247563">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3D9EE04" w14:textId="77777777" w:rsidR="00B355CC" w:rsidRPr="00BB7C9E" w:rsidRDefault="00B355CC" w:rsidP="00B355CC">
            <w:pPr>
              <w:rPr>
                <w:rFonts w:cs="Calibri"/>
                <w:color w:val="000000" w:themeColor="text1"/>
                <w:sz w:val="13"/>
                <w:szCs w:val="13"/>
              </w:rPr>
            </w:pPr>
            <w:r w:rsidRPr="00BB7C9E">
              <w:rPr>
                <w:rFonts w:cs="Calibri"/>
                <w:color w:val="000000" w:themeColor="text1"/>
                <w:sz w:val="13"/>
                <w:szCs w:val="13"/>
              </w:rPr>
              <w:t>- spisanie w ciężar utworzonej rezerwy</w:t>
            </w:r>
          </w:p>
        </w:tc>
        <w:tc>
          <w:tcPr>
            <w:tcW w:w="1418" w:type="dxa"/>
            <w:tcBorders>
              <w:top w:val="nil"/>
              <w:left w:val="nil"/>
              <w:bottom w:val="single" w:sz="4" w:space="0" w:color="0077BD"/>
              <w:right w:val="nil"/>
            </w:tcBorders>
            <w:shd w:val="clear" w:color="auto" w:fill="auto"/>
            <w:vAlign w:val="center"/>
          </w:tcPr>
          <w:p w14:paraId="0A8D16C7" w14:textId="1E829907" w:rsidR="00B355CC" w:rsidRPr="00BB7C9E" w:rsidRDefault="00136B2A" w:rsidP="00247563">
            <w:pPr>
              <w:jc w:val="right"/>
              <w:rPr>
                <w:rFonts w:cs="Calibri"/>
                <w:color w:val="000000" w:themeColor="text1"/>
                <w:sz w:val="13"/>
                <w:szCs w:val="13"/>
              </w:rPr>
            </w:pPr>
            <w:r>
              <w:rPr>
                <w:rFonts w:cs="Calibri"/>
                <w:color w:val="000000" w:themeColor="text1"/>
                <w:sz w:val="13"/>
                <w:szCs w:val="13"/>
              </w:rPr>
              <w:t>1 878</w:t>
            </w:r>
          </w:p>
        </w:tc>
        <w:tc>
          <w:tcPr>
            <w:tcW w:w="1418" w:type="dxa"/>
            <w:tcBorders>
              <w:top w:val="nil"/>
              <w:left w:val="single" w:sz="8" w:space="0" w:color="0077BD"/>
              <w:bottom w:val="single" w:sz="4" w:space="0" w:color="0077BD"/>
              <w:right w:val="nil"/>
            </w:tcBorders>
            <w:shd w:val="clear" w:color="auto" w:fill="auto"/>
            <w:noWrap/>
            <w:vAlign w:val="center"/>
            <w:hideMark/>
          </w:tcPr>
          <w:p w14:paraId="61AF8591" w14:textId="48236B44" w:rsidR="00B355CC" w:rsidRPr="00BB7C9E" w:rsidRDefault="00B355CC" w:rsidP="00247563">
            <w:pPr>
              <w:jc w:val="right"/>
              <w:rPr>
                <w:rFonts w:cs="Calibri"/>
                <w:color w:val="000000" w:themeColor="text1"/>
                <w:sz w:val="13"/>
                <w:szCs w:val="13"/>
              </w:rPr>
            </w:pPr>
            <w:r w:rsidRPr="00BB7C9E">
              <w:rPr>
                <w:rFonts w:cs="Calibri"/>
                <w:color w:val="000000" w:themeColor="text1"/>
                <w:sz w:val="13"/>
                <w:szCs w:val="13"/>
              </w:rPr>
              <w:t>132</w:t>
            </w:r>
          </w:p>
        </w:tc>
      </w:tr>
      <w:tr w:rsidR="00603A77" w:rsidRPr="00BB7C9E" w14:paraId="1019E424" w14:textId="77777777" w:rsidTr="00247563">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C8060EE" w14:textId="77777777" w:rsidR="00B355CC" w:rsidRPr="00BB7C9E" w:rsidRDefault="00B355CC" w:rsidP="00B355CC">
            <w:pPr>
              <w:rPr>
                <w:rFonts w:cs="Calibri"/>
                <w:color w:val="000000" w:themeColor="text1"/>
                <w:sz w:val="13"/>
                <w:szCs w:val="13"/>
              </w:rPr>
            </w:pPr>
            <w:r w:rsidRPr="00BB7C9E">
              <w:rPr>
                <w:rFonts w:cs="Calibri"/>
                <w:color w:val="000000" w:themeColor="text1"/>
                <w:sz w:val="13"/>
                <w:szCs w:val="13"/>
              </w:rPr>
              <w:t>- różnice kursowe</w:t>
            </w:r>
          </w:p>
        </w:tc>
        <w:tc>
          <w:tcPr>
            <w:tcW w:w="1418" w:type="dxa"/>
            <w:tcBorders>
              <w:top w:val="nil"/>
              <w:left w:val="nil"/>
              <w:bottom w:val="single" w:sz="4" w:space="0" w:color="0077BD"/>
              <w:right w:val="nil"/>
            </w:tcBorders>
            <w:shd w:val="clear" w:color="auto" w:fill="auto"/>
            <w:vAlign w:val="center"/>
          </w:tcPr>
          <w:p w14:paraId="04133B51" w14:textId="66AB58CD" w:rsidR="00B355CC" w:rsidRPr="00BB7C9E" w:rsidRDefault="00136B2A" w:rsidP="00247563">
            <w:pPr>
              <w:jc w:val="right"/>
              <w:rPr>
                <w:rFonts w:cs="Calibri"/>
                <w:color w:val="000000" w:themeColor="text1"/>
                <w:sz w:val="13"/>
                <w:szCs w:val="13"/>
              </w:rPr>
            </w:pPr>
            <w:r>
              <w:rPr>
                <w:rFonts w:cs="Calibri"/>
                <w:color w:val="000000" w:themeColor="text1"/>
                <w:sz w:val="13"/>
                <w:szCs w:val="13"/>
              </w:rPr>
              <w:t>4</w:t>
            </w:r>
          </w:p>
        </w:tc>
        <w:tc>
          <w:tcPr>
            <w:tcW w:w="1418" w:type="dxa"/>
            <w:tcBorders>
              <w:top w:val="nil"/>
              <w:left w:val="single" w:sz="8" w:space="0" w:color="0077BD"/>
              <w:bottom w:val="single" w:sz="4" w:space="0" w:color="0077BD"/>
              <w:right w:val="nil"/>
            </w:tcBorders>
            <w:shd w:val="clear" w:color="auto" w:fill="auto"/>
            <w:noWrap/>
            <w:vAlign w:val="center"/>
            <w:hideMark/>
          </w:tcPr>
          <w:p w14:paraId="70D75662" w14:textId="22BD9D62" w:rsidR="00B355CC" w:rsidRPr="00BB7C9E" w:rsidRDefault="00247563" w:rsidP="00B355CC">
            <w:pPr>
              <w:jc w:val="right"/>
              <w:rPr>
                <w:rFonts w:cs="Calibri"/>
                <w:color w:val="000000" w:themeColor="text1"/>
                <w:sz w:val="13"/>
                <w:szCs w:val="13"/>
              </w:rPr>
            </w:pPr>
            <w:r>
              <w:rPr>
                <w:rFonts w:cs="Calibri"/>
                <w:color w:val="000000" w:themeColor="text1"/>
                <w:sz w:val="13"/>
                <w:szCs w:val="13"/>
              </w:rPr>
              <w:t>(</w:t>
            </w:r>
            <w:r w:rsidR="00B355CC" w:rsidRPr="00BB7C9E">
              <w:rPr>
                <w:rFonts w:cs="Calibri"/>
                <w:color w:val="000000" w:themeColor="text1"/>
                <w:sz w:val="13"/>
                <w:szCs w:val="13"/>
              </w:rPr>
              <w:t>18</w:t>
            </w:r>
            <w:r>
              <w:rPr>
                <w:rFonts w:cs="Calibri"/>
                <w:color w:val="000000" w:themeColor="text1"/>
                <w:sz w:val="13"/>
                <w:szCs w:val="13"/>
              </w:rPr>
              <w:t>)</w:t>
            </w:r>
          </w:p>
        </w:tc>
      </w:tr>
      <w:tr w:rsidR="00603A77" w:rsidRPr="00BB7C9E" w14:paraId="54796FC2" w14:textId="77777777" w:rsidTr="00247563">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C51FA57" w14:textId="77777777" w:rsidR="00B355CC" w:rsidRPr="00BB7C9E" w:rsidRDefault="00B355CC" w:rsidP="00B355CC">
            <w:pPr>
              <w:rPr>
                <w:rFonts w:cs="Calibri"/>
                <w:b/>
                <w:bCs/>
                <w:color w:val="000000" w:themeColor="text1"/>
                <w:sz w:val="13"/>
                <w:szCs w:val="13"/>
              </w:rPr>
            </w:pPr>
            <w:r w:rsidRPr="00BB7C9E">
              <w:rPr>
                <w:rFonts w:cs="Calibri"/>
                <w:b/>
                <w:bCs/>
                <w:color w:val="000000" w:themeColor="text1"/>
                <w:sz w:val="13"/>
                <w:szCs w:val="13"/>
              </w:rPr>
              <w:t>Stan na koniec okresu</w:t>
            </w:r>
          </w:p>
        </w:tc>
        <w:tc>
          <w:tcPr>
            <w:tcW w:w="1418" w:type="dxa"/>
            <w:tcBorders>
              <w:top w:val="single" w:sz="8" w:space="0" w:color="0077BD"/>
              <w:left w:val="nil"/>
              <w:bottom w:val="single" w:sz="8" w:space="0" w:color="0077BD"/>
              <w:right w:val="nil"/>
            </w:tcBorders>
            <w:shd w:val="clear" w:color="auto" w:fill="auto"/>
            <w:vAlign w:val="center"/>
          </w:tcPr>
          <w:p w14:paraId="7FFDBD75" w14:textId="1B7019A1" w:rsidR="00B355CC" w:rsidRPr="00BB7C9E" w:rsidRDefault="00247563" w:rsidP="00D37FBB">
            <w:pPr>
              <w:jc w:val="right"/>
              <w:rPr>
                <w:rFonts w:cs="Calibri"/>
                <w:b/>
                <w:bCs/>
                <w:color w:val="000000" w:themeColor="text1"/>
                <w:sz w:val="13"/>
                <w:szCs w:val="13"/>
              </w:rPr>
            </w:pPr>
            <w:r>
              <w:rPr>
                <w:rFonts w:cs="Calibri"/>
                <w:b/>
                <w:bCs/>
                <w:color w:val="000000" w:themeColor="text1"/>
                <w:sz w:val="13"/>
                <w:szCs w:val="13"/>
              </w:rPr>
              <w:t>(</w:t>
            </w:r>
            <w:r w:rsidR="00136B2A">
              <w:rPr>
                <w:rFonts w:cs="Calibri"/>
                <w:b/>
                <w:bCs/>
                <w:color w:val="000000" w:themeColor="text1"/>
                <w:sz w:val="13"/>
                <w:szCs w:val="13"/>
              </w:rPr>
              <w:t>16</w:t>
            </w:r>
            <w:r>
              <w:rPr>
                <w:rFonts w:cs="Calibri"/>
                <w:b/>
                <w:bCs/>
                <w:color w:val="000000" w:themeColor="text1"/>
                <w:sz w:val="13"/>
                <w:szCs w:val="13"/>
              </w:rPr>
              <w:t> </w:t>
            </w:r>
            <w:r w:rsidR="00136B2A">
              <w:rPr>
                <w:rFonts w:cs="Calibri"/>
                <w:b/>
                <w:bCs/>
                <w:color w:val="000000" w:themeColor="text1"/>
                <w:sz w:val="13"/>
                <w:szCs w:val="13"/>
              </w:rPr>
              <w:t>212</w:t>
            </w:r>
            <w:r>
              <w:rPr>
                <w:rFonts w:cs="Calibri"/>
                <w:b/>
                <w:b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445A3A40" w14:textId="46F52288" w:rsidR="00B355CC" w:rsidRPr="00BB7C9E" w:rsidRDefault="00247563" w:rsidP="00B355CC">
            <w:pPr>
              <w:jc w:val="right"/>
              <w:rPr>
                <w:rFonts w:cs="Calibri"/>
                <w:b/>
                <w:bCs/>
                <w:color w:val="000000" w:themeColor="text1"/>
                <w:sz w:val="13"/>
                <w:szCs w:val="13"/>
              </w:rPr>
            </w:pPr>
            <w:r>
              <w:rPr>
                <w:rFonts w:cs="Calibri"/>
                <w:b/>
                <w:bCs/>
                <w:color w:val="000000" w:themeColor="text1"/>
                <w:sz w:val="13"/>
                <w:szCs w:val="13"/>
              </w:rPr>
              <w:t>(</w:t>
            </w:r>
            <w:r w:rsidR="00B355CC" w:rsidRPr="00BB7C9E">
              <w:rPr>
                <w:rFonts w:cs="Calibri"/>
                <w:b/>
                <w:bCs/>
                <w:color w:val="000000" w:themeColor="text1"/>
                <w:sz w:val="13"/>
                <w:szCs w:val="13"/>
              </w:rPr>
              <w:t>16</w:t>
            </w:r>
            <w:r>
              <w:rPr>
                <w:rFonts w:cs="Calibri"/>
                <w:b/>
                <w:bCs/>
                <w:color w:val="000000" w:themeColor="text1"/>
                <w:sz w:val="13"/>
                <w:szCs w:val="13"/>
              </w:rPr>
              <w:t> </w:t>
            </w:r>
            <w:r w:rsidR="00B355CC" w:rsidRPr="00BB7C9E">
              <w:rPr>
                <w:rFonts w:cs="Calibri"/>
                <w:b/>
                <w:bCs/>
                <w:color w:val="000000" w:themeColor="text1"/>
                <w:sz w:val="13"/>
                <w:szCs w:val="13"/>
              </w:rPr>
              <w:t>430</w:t>
            </w:r>
            <w:r>
              <w:rPr>
                <w:rFonts w:cs="Calibri"/>
                <w:b/>
                <w:bCs/>
                <w:color w:val="000000" w:themeColor="text1"/>
                <w:sz w:val="13"/>
                <w:szCs w:val="13"/>
              </w:rPr>
              <w:t>)</w:t>
            </w:r>
          </w:p>
        </w:tc>
      </w:tr>
    </w:tbl>
    <w:p w14:paraId="538F7268" w14:textId="77777777" w:rsidR="00B97300" w:rsidRDefault="00B97300" w:rsidP="00B97300">
      <w:bookmarkStart w:id="149" w:name="_Toc32999859"/>
    </w:p>
    <w:p w14:paraId="34461B99" w14:textId="172A79CD" w:rsidR="002F43AC" w:rsidRPr="008443C3" w:rsidRDefault="002F43AC" w:rsidP="00526DF1">
      <w:pPr>
        <w:pStyle w:val="Nagwek2"/>
        <w:numPr>
          <w:ilvl w:val="0"/>
          <w:numId w:val="44"/>
        </w:numPr>
        <w:suppressAutoHyphens/>
        <w:spacing w:before="0" w:after="0"/>
        <w:ind w:left="425" w:hanging="425"/>
        <w:jc w:val="both"/>
        <w:rPr>
          <w:rFonts w:cs="Tahoma"/>
          <w:bCs w:val="0"/>
          <w:iCs w:val="0"/>
          <w:color w:val="E41E0A"/>
          <w:sz w:val="18"/>
          <w:szCs w:val="18"/>
        </w:rPr>
      </w:pPr>
      <w:r w:rsidRPr="00BB6DA9">
        <w:rPr>
          <w:rFonts w:cs="Tahoma"/>
          <w:bCs w:val="0"/>
          <w:iCs w:val="0"/>
          <w:color w:val="E41E0A"/>
          <w:sz w:val="18"/>
          <w:szCs w:val="18"/>
        </w:rPr>
        <w:t xml:space="preserve">Zobowiązania </w:t>
      </w:r>
      <w:r w:rsidR="00CD4186" w:rsidRPr="00BB6DA9">
        <w:rPr>
          <w:rFonts w:cs="Tahoma"/>
          <w:bCs w:val="0"/>
          <w:iCs w:val="0"/>
          <w:color w:val="E41E0A"/>
          <w:sz w:val="18"/>
          <w:szCs w:val="18"/>
        </w:rPr>
        <w:t>finansowe wyceniane w zamortyzowanym koszcie</w:t>
      </w:r>
      <w:bookmarkEnd w:id="149"/>
    </w:p>
    <w:p w14:paraId="5BC6A6DB" w14:textId="5FC6A191" w:rsidR="00B77B5D" w:rsidRPr="00BB6DA9" w:rsidRDefault="00B77B5D" w:rsidP="0024685C">
      <w:pPr>
        <w:spacing w:before="120"/>
        <w:rPr>
          <w:b/>
          <w:color w:val="E41E0A"/>
          <w:sz w:val="18"/>
          <w:szCs w:val="18"/>
        </w:rPr>
      </w:pPr>
      <w:r w:rsidRPr="00BB6DA9">
        <w:rPr>
          <w:b/>
          <w:color w:val="E41E0A"/>
          <w:sz w:val="18"/>
          <w:szCs w:val="18"/>
        </w:rPr>
        <w:t>Zobowiązania wobec banków</w:t>
      </w:r>
      <w:r w:rsidR="002265F7">
        <w:rPr>
          <w:b/>
          <w:color w:val="E41E0A"/>
          <w:sz w:val="18"/>
          <w:szCs w:val="18"/>
        </w:rPr>
        <w:t xml:space="preserve"> i klientów</w:t>
      </w:r>
    </w:p>
    <w:p w14:paraId="72345AD8" w14:textId="536216C0" w:rsidR="00867539" w:rsidRDefault="00867539" w:rsidP="00603A77">
      <w:pPr>
        <w:jc w:val="both"/>
        <w:rPr>
          <w:rFonts w:cs="Tahoma"/>
          <w:color w:val="201C17"/>
          <w:sz w:val="18"/>
          <w:szCs w:val="18"/>
        </w:rPr>
      </w:pPr>
    </w:p>
    <w:tbl>
      <w:tblPr>
        <w:tblW w:w="0" w:type="auto"/>
        <w:tblCellMar>
          <w:left w:w="28" w:type="dxa"/>
          <w:right w:w="28" w:type="dxa"/>
        </w:tblCellMar>
        <w:tblLook w:val="04A0" w:firstRow="1" w:lastRow="0" w:firstColumn="1" w:lastColumn="0" w:noHBand="0" w:noVBand="1"/>
      </w:tblPr>
      <w:tblGrid>
        <w:gridCol w:w="4476"/>
        <w:gridCol w:w="1021"/>
        <w:gridCol w:w="1021"/>
        <w:gridCol w:w="1021"/>
        <w:gridCol w:w="1021"/>
        <w:gridCol w:w="1021"/>
      </w:tblGrid>
      <w:tr w:rsidR="00007405" w:rsidRPr="00C20D01" w14:paraId="7675EAA2" w14:textId="77777777" w:rsidTr="00C867C9">
        <w:trPr>
          <w:trHeight w:val="284"/>
        </w:trPr>
        <w:tc>
          <w:tcPr>
            <w:tcW w:w="0" w:type="auto"/>
            <w:vMerge w:val="restart"/>
            <w:tcBorders>
              <w:top w:val="nil"/>
              <w:left w:val="nil"/>
              <w:bottom w:val="nil"/>
              <w:right w:val="single" w:sz="8" w:space="0" w:color="FFFFFF"/>
            </w:tcBorders>
            <w:shd w:val="clear" w:color="000000" w:fill="0077BD"/>
            <w:vAlign w:val="center"/>
            <w:hideMark/>
          </w:tcPr>
          <w:p w14:paraId="329714C1" w14:textId="77777777" w:rsidR="00007405" w:rsidRPr="00C20D01" w:rsidRDefault="00007405" w:rsidP="00573C04">
            <w:pPr>
              <w:rPr>
                <w:rFonts w:cs="Calibri"/>
                <w:b/>
                <w:bCs/>
                <w:color w:val="FFFFFF"/>
                <w:sz w:val="12"/>
                <w:szCs w:val="12"/>
              </w:rPr>
            </w:pPr>
            <w:r w:rsidRPr="00C20D01">
              <w:rPr>
                <w:rFonts w:cs="Calibri"/>
                <w:b/>
                <w:bCs/>
                <w:color w:val="FFFFFF"/>
                <w:sz w:val="12"/>
                <w:szCs w:val="12"/>
              </w:rPr>
              <w:t>31.12.2019</w:t>
            </w:r>
          </w:p>
        </w:tc>
        <w:tc>
          <w:tcPr>
            <w:tcW w:w="1021" w:type="dxa"/>
            <w:vMerge w:val="restart"/>
            <w:tcBorders>
              <w:top w:val="nil"/>
              <w:left w:val="single" w:sz="8" w:space="0" w:color="FFFFFF"/>
              <w:right w:val="single" w:sz="2" w:space="0" w:color="0077BD"/>
            </w:tcBorders>
            <w:shd w:val="clear" w:color="000000" w:fill="0077BD"/>
            <w:vAlign w:val="center"/>
            <w:hideMark/>
          </w:tcPr>
          <w:p w14:paraId="690408AD"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Zobowiązania wobec banków</w:t>
            </w:r>
          </w:p>
        </w:tc>
        <w:tc>
          <w:tcPr>
            <w:tcW w:w="1021" w:type="dxa"/>
            <w:vMerge w:val="restart"/>
            <w:tcBorders>
              <w:top w:val="nil"/>
              <w:left w:val="single" w:sz="8" w:space="0" w:color="FFFFFF"/>
              <w:bottom w:val="single" w:sz="8" w:space="0" w:color="0077BD"/>
              <w:right w:val="single" w:sz="2" w:space="0" w:color="0077BD"/>
            </w:tcBorders>
            <w:shd w:val="clear" w:color="000000" w:fill="0077BD"/>
            <w:vAlign w:val="center"/>
            <w:hideMark/>
          </w:tcPr>
          <w:p w14:paraId="7712B9EA"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Zobowiązania wobec klientów</w:t>
            </w:r>
          </w:p>
        </w:tc>
        <w:tc>
          <w:tcPr>
            <w:tcW w:w="3063" w:type="dxa"/>
            <w:gridSpan w:val="3"/>
            <w:tcBorders>
              <w:top w:val="nil"/>
              <w:left w:val="single" w:sz="2" w:space="0" w:color="0077BD"/>
              <w:bottom w:val="single" w:sz="4" w:space="0" w:color="FFFFFF"/>
              <w:right w:val="nil"/>
            </w:tcBorders>
            <w:shd w:val="clear" w:color="000000" w:fill="0077BD"/>
            <w:vAlign w:val="center"/>
            <w:hideMark/>
          </w:tcPr>
          <w:p w14:paraId="24734DA1" w14:textId="28F868F3" w:rsidR="00007405" w:rsidRPr="00C20D01" w:rsidRDefault="008D2A24" w:rsidP="00573C04">
            <w:pPr>
              <w:jc w:val="center"/>
              <w:rPr>
                <w:rFonts w:cs="Calibri"/>
                <w:b/>
                <w:bCs/>
                <w:color w:val="FFFFFF"/>
                <w:sz w:val="12"/>
                <w:szCs w:val="12"/>
              </w:rPr>
            </w:pPr>
            <w:r>
              <w:rPr>
                <w:rFonts w:cs="Calibri"/>
                <w:b/>
                <w:bCs/>
                <w:color w:val="FFFFFF"/>
                <w:sz w:val="12"/>
                <w:szCs w:val="12"/>
              </w:rPr>
              <w:t>w tym:</w:t>
            </w:r>
          </w:p>
        </w:tc>
      </w:tr>
      <w:tr w:rsidR="00007405" w:rsidRPr="00C20D01" w14:paraId="0C52B765" w14:textId="77777777" w:rsidTr="00C20D01">
        <w:trPr>
          <w:trHeight w:val="340"/>
        </w:trPr>
        <w:tc>
          <w:tcPr>
            <w:tcW w:w="0" w:type="auto"/>
            <w:vMerge/>
            <w:tcBorders>
              <w:top w:val="nil"/>
              <w:left w:val="nil"/>
              <w:bottom w:val="nil"/>
              <w:right w:val="single" w:sz="8" w:space="0" w:color="FFFFFF"/>
            </w:tcBorders>
            <w:vAlign w:val="center"/>
            <w:hideMark/>
          </w:tcPr>
          <w:p w14:paraId="24B73E31" w14:textId="77777777" w:rsidR="00007405" w:rsidRPr="00C20D01" w:rsidRDefault="00007405" w:rsidP="00573C04">
            <w:pPr>
              <w:rPr>
                <w:rFonts w:cs="Calibri"/>
                <w:b/>
                <w:bCs/>
                <w:color w:val="FFFFFF"/>
                <w:sz w:val="12"/>
                <w:szCs w:val="12"/>
              </w:rPr>
            </w:pPr>
          </w:p>
        </w:tc>
        <w:tc>
          <w:tcPr>
            <w:tcW w:w="1021" w:type="dxa"/>
            <w:vMerge/>
            <w:tcBorders>
              <w:top w:val="single" w:sz="8" w:space="0" w:color="0077BD"/>
              <w:left w:val="single" w:sz="8" w:space="0" w:color="FFFFFF"/>
              <w:right w:val="single" w:sz="8" w:space="0" w:color="FFFFFF"/>
            </w:tcBorders>
            <w:vAlign w:val="center"/>
            <w:hideMark/>
          </w:tcPr>
          <w:p w14:paraId="24D9A2A9" w14:textId="77777777" w:rsidR="00007405" w:rsidRPr="00C20D01" w:rsidRDefault="00007405" w:rsidP="00573C04">
            <w:pPr>
              <w:rPr>
                <w:rFonts w:cs="Calibri"/>
                <w:b/>
                <w:bCs/>
                <w:color w:val="FFFFFF"/>
                <w:sz w:val="12"/>
                <w:szCs w:val="12"/>
              </w:rPr>
            </w:pPr>
          </w:p>
        </w:tc>
        <w:tc>
          <w:tcPr>
            <w:tcW w:w="1021" w:type="dxa"/>
            <w:vMerge/>
            <w:tcBorders>
              <w:top w:val="nil"/>
              <w:left w:val="single" w:sz="8" w:space="0" w:color="FFFFFF"/>
              <w:right w:val="single" w:sz="8" w:space="0" w:color="FFFFFF"/>
            </w:tcBorders>
            <w:vAlign w:val="center"/>
            <w:hideMark/>
          </w:tcPr>
          <w:p w14:paraId="169A3908" w14:textId="77777777" w:rsidR="00007405" w:rsidRPr="00C20D01" w:rsidRDefault="00007405" w:rsidP="00573C04">
            <w:pPr>
              <w:rPr>
                <w:rFonts w:cs="Calibri"/>
                <w:b/>
                <w:bCs/>
                <w:color w:val="FFFFFF"/>
                <w:sz w:val="12"/>
                <w:szCs w:val="12"/>
              </w:rPr>
            </w:pPr>
          </w:p>
        </w:tc>
        <w:tc>
          <w:tcPr>
            <w:tcW w:w="1021" w:type="dxa"/>
            <w:tcBorders>
              <w:top w:val="single" w:sz="4" w:space="0" w:color="FFFFFF"/>
              <w:left w:val="nil"/>
              <w:right w:val="nil"/>
            </w:tcBorders>
            <w:shd w:val="clear" w:color="000000" w:fill="0077BD"/>
            <w:vAlign w:val="center"/>
            <w:hideMark/>
          </w:tcPr>
          <w:p w14:paraId="358AA845"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indywidualni</w:t>
            </w:r>
          </w:p>
        </w:tc>
        <w:tc>
          <w:tcPr>
            <w:tcW w:w="1021" w:type="dxa"/>
            <w:tcBorders>
              <w:top w:val="single" w:sz="4" w:space="0" w:color="FFFFFF"/>
              <w:left w:val="single" w:sz="8" w:space="0" w:color="FFFFFF"/>
              <w:right w:val="nil"/>
            </w:tcBorders>
            <w:shd w:val="clear" w:color="000000" w:fill="0077BD"/>
            <w:vAlign w:val="center"/>
            <w:hideMark/>
          </w:tcPr>
          <w:p w14:paraId="23663A08"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korporacyjni</w:t>
            </w:r>
          </w:p>
        </w:tc>
        <w:tc>
          <w:tcPr>
            <w:tcW w:w="1021" w:type="dxa"/>
            <w:tcBorders>
              <w:top w:val="single" w:sz="4" w:space="0" w:color="FFFFFF"/>
              <w:left w:val="single" w:sz="8" w:space="0" w:color="FFFFFF"/>
              <w:right w:val="nil"/>
            </w:tcBorders>
            <w:shd w:val="clear" w:color="000000" w:fill="0077BD"/>
            <w:vAlign w:val="center"/>
            <w:hideMark/>
          </w:tcPr>
          <w:p w14:paraId="23CD0C04"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budżetowi</w:t>
            </w:r>
          </w:p>
        </w:tc>
      </w:tr>
      <w:tr w:rsidR="00007405" w:rsidRPr="00C20D01" w14:paraId="423748A4" w14:textId="77777777" w:rsidTr="00C867C9">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C524B2C" w14:textId="05A5C9C6" w:rsidR="00007405" w:rsidRPr="00C20D01" w:rsidRDefault="00007405" w:rsidP="00C867C9">
            <w:pPr>
              <w:rPr>
                <w:rFonts w:cs="Calibri"/>
                <w:b/>
                <w:bCs/>
                <w:color w:val="000000" w:themeColor="text1"/>
                <w:sz w:val="12"/>
                <w:szCs w:val="12"/>
              </w:rPr>
            </w:pPr>
            <w:r w:rsidRPr="00C20D01">
              <w:rPr>
                <w:rFonts w:cs="Calibri"/>
                <w:b/>
                <w:bCs/>
                <w:color w:val="000000" w:themeColor="text1"/>
                <w:sz w:val="12"/>
                <w:szCs w:val="12"/>
              </w:rPr>
              <w:t>Depozyty</w:t>
            </w:r>
          </w:p>
        </w:tc>
        <w:tc>
          <w:tcPr>
            <w:tcW w:w="1021" w:type="dxa"/>
            <w:tcBorders>
              <w:left w:val="single" w:sz="8" w:space="0" w:color="0077BD"/>
              <w:bottom w:val="single" w:sz="4" w:space="0" w:color="0077BD"/>
              <w:right w:val="single" w:sz="8" w:space="0" w:color="0077BD"/>
            </w:tcBorders>
            <w:shd w:val="clear" w:color="auto" w:fill="auto"/>
            <w:noWrap/>
            <w:vAlign w:val="center"/>
          </w:tcPr>
          <w:p w14:paraId="5C1ABAA3" w14:textId="19896524"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528 448</w:t>
            </w:r>
          </w:p>
        </w:tc>
        <w:tc>
          <w:tcPr>
            <w:tcW w:w="1021" w:type="dxa"/>
            <w:tcBorders>
              <w:left w:val="nil"/>
              <w:bottom w:val="single" w:sz="4" w:space="0" w:color="0077BD"/>
              <w:right w:val="single" w:sz="8" w:space="0" w:color="0077BD"/>
            </w:tcBorders>
            <w:shd w:val="clear" w:color="auto" w:fill="auto"/>
            <w:noWrap/>
            <w:vAlign w:val="center"/>
          </w:tcPr>
          <w:p w14:paraId="4ECD9248" w14:textId="460DB3A6"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112 424 332</w:t>
            </w:r>
          </w:p>
        </w:tc>
        <w:tc>
          <w:tcPr>
            <w:tcW w:w="1021" w:type="dxa"/>
            <w:tcBorders>
              <w:left w:val="nil"/>
              <w:bottom w:val="single" w:sz="4" w:space="0" w:color="0077BD"/>
              <w:right w:val="single" w:sz="8" w:space="0" w:color="0077BD"/>
            </w:tcBorders>
            <w:shd w:val="clear" w:color="auto" w:fill="auto"/>
            <w:noWrap/>
            <w:vAlign w:val="center"/>
          </w:tcPr>
          <w:p w14:paraId="3F71C54C" w14:textId="16B1C258"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77 525 267</w:t>
            </w:r>
          </w:p>
        </w:tc>
        <w:tc>
          <w:tcPr>
            <w:tcW w:w="1021" w:type="dxa"/>
            <w:tcBorders>
              <w:left w:val="nil"/>
              <w:bottom w:val="single" w:sz="4" w:space="0" w:color="0077BD"/>
              <w:right w:val="single" w:sz="8" w:space="0" w:color="0077BD"/>
            </w:tcBorders>
            <w:shd w:val="clear" w:color="auto" w:fill="auto"/>
            <w:noWrap/>
            <w:vAlign w:val="center"/>
          </w:tcPr>
          <w:p w14:paraId="0AAAD917" w14:textId="3C79780B"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34 083 016</w:t>
            </w:r>
          </w:p>
        </w:tc>
        <w:tc>
          <w:tcPr>
            <w:tcW w:w="1021" w:type="dxa"/>
            <w:tcBorders>
              <w:left w:val="nil"/>
              <w:bottom w:val="single" w:sz="4" w:space="0" w:color="0077BD"/>
              <w:right w:val="nil"/>
            </w:tcBorders>
            <w:shd w:val="clear" w:color="auto" w:fill="auto"/>
            <w:noWrap/>
            <w:vAlign w:val="center"/>
          </w:tcPr>
          <w:p w14:paraId="57571115" w14:textId="1AFF222E"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816 049</w:t>
            </w:r>
          </w:p>
        </w:tc>
      </w:tr>
      <w:tr w:rsidR="00007405" w:rsidRPr="00C20D01" w14:paraId="6B729E06"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DEA98A3" w14:textId="77777777" w:rsidR="00007405" w:rsidRPr="00C20D01" w:rsidRDefault="00007405" w:rsidP="00C867C9">
            <w:pPr>
              <w:rPr>
                <w:rFonts w:cs="Calibri"/>
                <w:color w:val="000000" w:themeColor="text1"/>
                <w:sz w:val="12"/>
                <w:szCs w:val="12"/>
              </w:rPr>
            </w:pPr>
            <w:r w:rsidRPr="00C20D01">
              <w:rPr>
                <w:rFonts w:cs="Calibri"/>
                <w:color w:val="000000" w:themeColor="text1"/>
                <w:sz w:val="12"/>
                <w:szCs w:val="12"/>
              </w:rPr>
              <w:t>Rachunki bieżące</w:t>
            </w:r>
          </w:p>
        </w:tc>
        <w:tc>
          <w:tcPr>
            <w:tcW w:w="1021" w:type="dxa"/>
            <w:tcBorders>
              <w:top w:val="nil"/>
              <w:left w:val="single" w:sz="8" w:space="0" w:color="0077BD"/>
              <w:bottom w:val="single" w:sz="4" w:space="0" w:color="0077BD"/>
              <w:right w:val="nil"/>
            </w:tcBorders>
            <w:shd w:val="clear" w:color="auto" w:fill="auto"/>
            <w:noWrap/>
            <w:vAlign w:val="center"/>
          </w:tcPr>
          <w:p w14:paraId="0BEE95FC" w14:textId="48CEEC91"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424 200</w:t>
            </w:r>
          </w:p>
        </w:tc>
        <w:tc>
          <w:tcPr>
            <w:tcW w:w="1021" w:type="dxa"/>
            <w:tcBorders>
              <w:top w:val="nil"/>
              <w:left w:val="single" w:sz="8" w:space="0" w:color="0077BD"/>
              <w:bottom w:val="single" w:sz="4" w:space="0" w:color="0077BD"/>
              <w:right w:val="nil"/>
            </w:tcBorders>
            <w:shd w:val="clear" w:color="auto" w:fill="auto"/>
            <w:noWrap/>
            <w:vAlign w:val="center"/>
          </w:tcPr>
          <w:p w14:paraId="36DA84EC" w14:textId="55A1F754"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88 073 656</w:t>
            </w:r>
          </w:p>
        </w:tc>
        <w:tc>
          <w:tcPr>
            <w:tcW w:w="1021" w:type="dxa"/>
            <w:tcBorders>
              <w:top w:val="nil"/>
              <w:left w:val="single" w:sz="8" w:space="0" w:color="0077BD"/>
              <w:bottom w:val="single" w:sz="4" w:space="0" w:color="0077BD"/>
              <w:right w:val="nil"/>
            </w:tcBorders>
            <w:shd w:val="clear" w:color="auto" w:fill="auto"/>
            <w:noWrap/>
            <w:vAlign w:val="center"/>
          </w:tcPr>
          <w:p w14:paraId="782A1A09" w14:textId="419A3F36"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62 639 670</w:t>
            </w:r>
          </w:p>
        </w:tc>
        <w:tc>
          <w:tcPr>
            <w:tcW w:w="1021" w:type="dxa"/>
            <w:tcBorders>
              <w:top w:val="nil"/>
              <w:left w:val="single" w:sz="8" w:space="0" w:color="0077BD"/>
              <w:bottom w:val="single" w:sz="4" w:space="0" w:color="0077BD"/>
              <w:right w:val="nil"/>
            </w:tcBorders>
            <w:shd w:val="clear" w:color="auto" w:fill="auto"/>
            <w:noWrap/>
            <w:vAlign w:val="center"/>
          </w:tcPr>
          <w:p w14:paraId="0235D657" w14:textId="5577D175"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24 823 049</w:t>
            </w:r>
          </w:p>
        </w:tc>
        <w:tc>
          <w:tcPr>
            <w:tcW w:w="1021" w:type="dxa"/>
            <w:tcBorders>
              <w:top w:val="nil"/>
              <w:left w:val="single" w:sz="8" w:space="0" w:color="0077BD"/>
              <w:bottom w:val="single" w:sz="4" w:space="0" w:color="0077BD"/>
              <w:right w:val="nil"/>
            </w:tcBorders>
            <w:shd w:val="clear" w:color="auto" w:fill="auto"/>
            <w:noWrap/>
            <w:vAlign w:val="center"/>
          </w:tcPr>
          <w:p w14:paraId="666C7FE0" w14:textId="70AB6359"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610 937</w:t>
            </w:r>
          </w:p>
        </w:tc>
      </w:tr>
      <w:tr w:rsidR="00007405" w:rsidRPr="00C20D01" w14:paraId="73AC89C6"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725415F" w14:textId="77777777" w:rsidR="00007405" w:rsidRPr="00C20D01" w:rsidRDefault="00007405" w:rsidP="00C867C9">
            <w:pPr>
              <w:rPr>
                <w:rFonts w:cs="Calibri"/>
                <w:color w:val="000000" w:themeColor="text1"/>
                <w:sz w:val="12"/>
                <w:szCs w:val="12"/>
              </w:rPr>
            </w:pPr>
            <w:r w:rsidRPr="00C20D01">
              <w:rPr>
                <w:rFonts w:cs="Calibri"/>
                <w:color w:val="000000" w:themeColor="text1"/>
                <w:sz w:val="12"/>
                <w:szCs w:val="12"/>
              </w:rPr>
              <w:t>Depozyty terminowe</w:t>
            </w:r>
          </w:p>
        </w:tc>
        <w:tc>
          <w:tcPr>
            <w:tcW w:w="1021" w:type="dxa"/>
            <w:tcBorders>
              <w:top w:val="nil"/>
              <w:left w:val="single" w:sz="8" w:space="0" w:color="0077BD"/>
              <w:bottom w:val="single" w:sz="4" w:space="0" w:color="0077BD"/>
              <w:right w:val="nil"/>
            </w:tcBorders>
            <w:shd w:val="clear" w:color="auto" w:fill="auto"/>
            <w:noWrap/>
            <w:vAlign w:val="center"/>
          </w:tcPr>
          <w:p w14:paraId="5B499048" w14:textId="7A0F321B"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36676D77" w14:textId="382666D3"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24 175 269</w:t>
            </w:r>
          </w:p>
        </w:tc>
        <w:tc>
          <w:tcPr>
            <w:tcW w:w="1021" w:type="dxa"/>
            <w:tcBorders>
              <w:top w:val="nil"/>
              <w:left w:val="single" w:sz="8" w:space="0" w:color="0077BD"/>
              <w:bottom w:val="single" w:sz="4" w:space="0" w:color="0077BD"/>
              <w:right w:val="nil"/>
            </w:tcBorders>
            <w:shd w:val="clear" w:color="auto" w:fill="auto"/>
            <w:noWrap/>
            <w:vAlign w:val="center"/>
          </w:tcPr>
          <w:p w14:paraId="38DF387C" w14:textId="34438B96"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14 885 597</w:t>
            </w:r>
          </w:p>
        </w:tc>
        <w:tc>
          <w:tcPr>
            <w:tcW w:w="1021" w:type="dxa"/>
            <w:tcBorders>
              <w:top w:val="nil"/>
              <w:left w:val="single" w:sz="8" w:space="0" w:color="0077BD"/>
              <w:bottom w:val="single" w:sz="4" w:space="0" w:color="0077BD"/>
              <w:right w:val="nil"/>
            </w:tcBorders>
            <w:shd w:val="clear" w:color="auto" w:fill="auto"/>
            <w:noWrap/>
            <w:vAlign w:val="center"/>
          </w:tcPr>
          <w:p w14:paraId="6686C71C" w14:textId="1E4ED8A7"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9 084 560</w:t>
            </w:r>
          </w:p>
        </w:tc>
        <w:tc>
          <w:tcPr>
            <w:tcW w:w="1021" w:type="dxa"/>
            <w:tcBorders>
              <w:top w:val="nil"/>
              <w:left w:val="single" w:sz="8" w:space="0" w:color="0077BD"/>
              <w:bottom w:val="single" w:sz="4" w:space="0" w:color="0077BD"/>
              <w:right w:val="nil"/>
            </w:tcBorders>
            <w:shd w:val="clear" w:color="auto" w:fill="auto"/>
            <w:noWrap/>
            <w:vAlign w:val="center"/>
          </w:tcPr>
          <w:p w14:paraId="5B9163BF" w14:textId="51DA4C5E"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205 112</w:t>
            </w:r>
          </w:p>
        </w:tc>
      </w:tr>
      <w:tr w:rsidR="00007405" w:rsidRPr="00C20D01" w14:paraId="09697368"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D2E66A4" w14:textId="35DC2F4F" w:rsidR="00007405" w:rsidRPr="00C20D01" w:rsidRDefault="00007405" w:rsidP="00C867C9">
            <w:pPr>
              <w:rPr>
                <w:rFonts w:cs="Calibri"/>
                <w:color w:val="000000" w:themeColor="text1"/>
                <w:sz w:val="12"/>
                <w:szCs w:val="12"/>
                <w:lang w:val="en-US"/>
              </w:rPr>
            </w:pPr>
            <w:r w:rsidRPr="00C20D01">
              <w:rPr>
                <w:rFonts w:cs="Calibri"/>
                <w:color w:val="000000" w:themeColor="text1"/>
                <w:sz w:val="12"/>
                <w:szCs w:val="12"/>
                <w:lang w:val="en-US"/>
              </w:rPr>
              <w:t>Transa</w:t>
            </w:r>
            <w:r w:rsidR="00DE36CC">
              <w:rPr>
                <w:rFonts w:cs="Calibri"/>
                <w:color w:val="000000" w:themeColor="text1"/>
                <w:sz w:val="12"/>
                <w:szCs w:val="12"/>
                <w:lang w:val="en-US"/>
              </w:rPr>
              <w:t xml:space="preserve">kcje repo / sell/buy </w:t>
            </w:r>
            <w:r w:rsidRPr="00C20D01">
              <w:rPr>
                <w:rFonts w:cs="Calibri"/>
                <w:color w:val="000000" w:themeColor="text1"/>
                <w:sz w:val="12"/>
                <w:szCs w:val="12"/>
                <w:lang w:val="en-US"/>
              </w:rPr>
              <w:t>back</w:t>
            </w:r>
          </w:p>
        </w:tc>
        <w:tc>
          <w:tcPr>
            <w:tcW w:w="1021" w:type="dxa"/>
            <w:tcBorders>
              <w:top w:val="nil"/>
              <w:left w:val="single" w:sz="8" w:space="0" w:color="0077BD"/>
              <w:bottom w:val="single" w:sz="4" w:space="0" w:color="0077BD"/>
              <w:right w:val="nil"/>
            </w:tcBorders>
            <w:shd w:val="clear" w:color="auto" w:fill="auto"/>
            <w:noWrap/>
            <w:vAlign w:val="center"/>
          </w:tcPr>
          <w:p w14:paraId="38248934" w14:textId="3EB099D9" w:rsidR="00007405" w:rsidRPr="00C20D01" w:rsidRDefault="00007405" w:rsidP="00C867C9">
            <w:pPr>
              <w:jc w:val="right"/>
              <w:rPr>
                <w:rFonts w:cs="Calibri"/>
                <w:color w:val="000000" w:themeColor="text1"/>
                <w:sz w:val="12"/>
                <w:szCs w:val="12"/>
                <w:lang w:val="en-US"/>
              </w:rPr>
            </w:pPr>
            <w:r w:rsidRPr="00C20D01">
              <w:rPr>
                <w:rFonts w:cs="Calibri"/>
                <w:color w:val="000000" w:themeColor="text1"/>
                <w:sz w:val="12"/>
                <w:szCs w:val="12"/>
              </w:rPr>
              <w:t>104 248</w:t>
            </w:r>
          </w:p>
        </w:tc>
        <w:tc>
          <w:tcPr>
            <w:tcW w:w="1021" w:type="dxa"/>
            <w:tcBorders>
              <w:top w:val="nil"/>
              <w:left w:val="single" w:sz="8" w:space="0" w:color="0077BD"/>
              <w:bottom w:val="single" w:sz="4" w:space="0" w:color="0077BD"/>
              <w:right w:val="nil"/>
            </w:tcBorders>
            <w:shd w:val="clear" w:color="auto" w:fill="auto"/>
            <w:noWrap/>
            <w:vAlign w:val="center"/>
          </w:tcPr>
          <w:p w14:paraId="0B59E214" w14:textId="1CAA950E" w:rsidR="00007405" w:rsidRPr="00C20D01" w:rsidRDefault="00007405" w:rsidP="00C867C9">
            <w:pPr>
              <w:jc w:val="right"/>
              <w:rPr>
                <w:rFonts w:cs="Calibri"/>
                <w:color w:val="000000" w:themeColor="text1"/>
                <w:sz w:val="12"/>
                <w:szCs w:val="12"/>
                <w:lang w:val="en-US"/>
              </w:rPr>
            </w:pPr>
            <w:r w:rsidRPr="00C20D01">
              <w:rPr>
                <w:rFonts w:cs="Calibri"/>
                <w:color w:val="000000" w:themeColor="text1"/>
                <w:sz w:val="12"/>
                <w:szCs w:val="12"/>
              </w:rPr>
              <w:t>175 407</w:t>
            </w:r>
          </w:p>
        </w:tc>
        <w:tc>
          <w:tcPr>
            <w:tcW w:w="1021" w:type="dxa"/>
            <w:tcBorders>
              <w:top w:val="nil"/>
              <w:left w:val="single" w:sz="8" w:space="0" w:color="0077BD"/>
              <w:bottom w:val="single" w:sz="4" w:space="0" w:color="0077BD"/>
              <w:right w:val="nil"/>
            </w:tcBorders>
            <w:shd w:val="clear" w:color="auto" w:fill="auto"/>
            <w:noWrap/>
            <w:vAlign w:val="center"/>
          </w:tcPr>
          <w:p w14:paraId="1242C9D3" w14:textId="57250696" w:rsidR="00007405" w:rsidRPr="00C20D01" w:rsidRDefault="00007405" w:rsidP="00C867C9">
            <w:pPr>
              <w:jc w:val="right"/>
              <w:rPr>
                <w:rFonts w:cs="Calibri"/>
                <w:color w:val="000000" w:themeColor="text1"/>
                <w:sz w:val="12"/>
                <w:szCs w:val="12"/>
                <w:lang w:val="en-US"/>
              </w:rPr>
            </w:pPr>
            <w:r w:rsidRPr="00C20D01">
              <w:rPr>
                <w:rFonts w:cs="Calibri"/>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27454BBE" w14:textId="427A93CA" w:rsidR="00007405" w:rsidRPr="00C20D01" w:rsidRDefault="00007405" w:rsidP="00C867C9">
            <w:pPr>
              <w:jc w:val="right"/>
              <w:rPr>
                <w:rFonts w:cs="Calibri"/>
                <w:color w:val="000000" w:themeColor="text1"/>
                <w:sz w:val="12"/>
                <w:szCs w:val="12"/>
                <w:lang w:val="en-US"/>
              </w:rPr>
            </w:pPr>
            <w:r w:rsidRPr="00C20D01">
              <w:rPr>
                <w:rFonts w:cs="Calibri"/>
                <w:color w:val="000000" w:themeColor="text1"/>
                <w:sz w:val="12"/>
                <w:szCs w:val="12"/>
              </w:rPr>
              <w:t>175 407</w:t>
            </w:r>
          </w:p>
        </w:tc>
        <w:tc>
          <w:tcPr>
            <w:tcW w:w="1021" w:type="dxa"/>
            <w:tcBorders>
              <w:top w:val="nil"/>
              <w:left w:val="single" w:sz="8" w:space="0" w:color="0077BD"/>
              <w:bottom w:val="single" w:sz="4" w:space="0" w:color="0077BD"/>
              <w:right w:val="nil"/>
            </w:tcBorders>
            <w:shd w:val="clear" w:color="auto" w:fill="auto"/>
            <w:noWrap/>
            <w:vAlign w:val="center"/>
          </w:tcPr>
          <w:p w14:paraId="28777252" w14:textId="73848A6A" w:rsidR="00007405" w:rsidRPr="00C20D01" w:rsidRDefault="00007405" w:rsidP="00C867C9">
            <w:pPr>
              <w:jc w:val="right"/>
              <w:rPr>
                <w:rFonts w:cs="Calibri"/>
                <w:color w:val="000000" w:themeColor="text1"/>
                <w:sz w:val="12"/>
                <w:szCs w:val="12"/>
                <w:lang w:val="en-US"/>
              </w:rPr>
            </w:pPr>
            <w:r w:rsidRPr="00C20D01">
              <w:rPr>
                <w:rFonts w:cs="Calibri"/>
                <w:color w:val="000000" w:themeColor="text1"/>
                <w:sz w:val="12"/>
                <w:szCs w:val="12"/>
              </w:rPr>
              <w:t>-</w:t>
            </w:r>
          </w:p>
        </w:tc>
      </w:tr>
      <w:tr w:rsidR="00007405" w:rsidRPr="00C20D01" w14:paraId="13EF45A4"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D7D186D" w14:textId="77777777" w:rsidR="00007405" w:rsidRPr="00C20D01" w:rsidRDefault="00007405" w:rsidP="00C867C9">
            <w:pPr>
              <w:rPr>
                <w:rFonts w:cs="Calibri"/>
                <w:b/>
                <w:bCs/>
                <w:color w:val="000000" w:themeColor="text1"/>
                <w:sz w:val="12"/>
                <w:szCs w:val="12"/>
              </w:rPr>
            </w:pPr>
            <w:r w:rsidRPr="00C20D01">
              <w:rPr>
                <w:rFonts w:cs="Calibri"/>
                <w:b/>
                <w:bCs/>
                <w:color w:val="000000" w:themeColor="text1"/>
                <w:sz w:val="12"/>
                <w:szCs w:val="12"/>
              </w:rPr>
              <w:t>Kredyty i pożyczki otrzymane</w:t>
            </w:r>
          </w:p>
        </w:tc>
        <w:tc>
          <w:tcPr>
            <w:tcW w:w="1021" w:type="dxa"/>
            <w:tcBorders>
              <w:top w:val="nil"/>
              <w:left w:val="single" w:sz="8" w:space="0" w:color="0077BD"/>
              <w:bottom w:val="single" w:sz="4" w:space="0" w:color="0077BD"/>
              <w:right w:val="nil"/>
            </w:tcBorders>
            <w:shd w:val="clear" w:color="auto" w:fill="auto"/>
            <w:noWrap/>
            <w:vAlign w:val="center"/>
          </w:tcPr>
          <w:p w14:paraId="331ED78E" w14:textId="3EBF0323"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189 901</w:t>
            </w:r>
          </w:p>
        </w:tc>
        <w:tc>
          <w:tcPr>
            <w:tcW w:w="1021" w:type="dxa"/>
            <w:tcBorders>
              <w:top w:val="nil"/>
              <w:left w:val="single" w:sz="8" w:space="0" w:color="0077BD"/>
              <w:bottom w:val="single" w:sz="4" w:space="0" w:color="0077BD"/>
              <w:right w:val="nil"/>
            </w:tcBorders>
            <w:shd w:val="clear" w:color="auto" w:fill="auto"/>
            <w:noWrap/>
            <w:vAlign w:val="center"/>
          </w:tcPr>
          <w:p w14:paraId="40B4D5CD" w14:textId="4CE2C2AD"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2 980 294</w:t>
            </w:r>
          </w:p>
        </w:tc>
        <w:tc>
          <w:tcPr>
            <w:tcW w:w="1021" w:type="dxa"/>
            <w:tcBorders>
              <w:top w:val="nil"/>
              <w:left w:val="single" w:sz="8" w:space="0" w:color="0077BD"/>
              <w:bottom w:val="single" w:sz="4" w:space="0" w:color="0077BD"/>
              <w:right w:val="nil"/>
            </w:tcBorders>
            <w:shd w:val="clear" w:color="auto" w:fill="auto"/>
            <w:noWrap/>
            <w:vAlign w:val="center"/>
          </w:tcPr>
          <w:p w14:paraId="747AF6E8" w14:textId="325356F1"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2C5F0F87" w14:textId="423B2B33"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2 980 294</w:t>
            </w:r>
          </w:p>
        </w:tc>
        <w:tc>
          <w:tcPr>
            <w:tcW w:w="1021" w:type="dxa"/>
            <w:tcBorders>
              <w:top w:val="nil"/>
              <w:left w:val="single" w:sz="8" w:space="0" w:color="0077BD"/>
              <w:bottom w:val="single" w:sz="4" w:space="0" w:color="0077BD"/>
              <w:right w:val="nil"/>
            </w:tcBorders>
            <w:shd w:val="clear" w:color="auto" w:fill="auto"/>
            <w:noWrap/>
            <w:vAlign w:val="center"/>
          </w:tcPr>
          <w:p w14:paraId="55E38196" w14:textId="72F52096"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w:t>
            </w:r>
          </w:p>
        </w:tc>
      </w:tr>
      <w:tr w:rsidR="00007405" w:rsidRPr="00C20D01" w14:paraId="7394A837"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D4F5881" w14:textId="77777777" w:rsidR="00007405" w:rsidRPr="00C20D01" w:rsidRDefault="00007405" w:rsidP="00C867C9">
            <w:pPr>
              <w:rPr>
                <w:rFonts w:cs="Calibri"/>
                <w:b/>
                <w:bCs/>
                <w:color w:val="000000" w:themeColor="text1"/>
                <w:sz w:val="12"/>
                <w:szCs w:val="12"/>
              </w:rPr>
            </w:pPr>
            <w:r w:rsidRPr="00C20D01">
              <w:rPr>
                <w:rFonts w:cs="Calibri"/>
                <w:b/>
                <w:bCs/>
                <w:color w:val="000000" w:themeColor="text1"/>
                <w:sz w:val="12"/>
                <w:szCs w:val="12"/>
              </w:rPr>
              <w:t>Pozostałe zobowiązania finansowe</w:t>
            </w:r>
          </w:p>
        </w:tc>
        <w:tc>
          <w:tcPr>
            <w:tcW w:w="1021" w:type="dxa"/>
            <w:tcBorders>
              <w:top w:val="nil"/>
              <w:left w:val="single" w:sz="8" w:space="0" w:color="0077BD"/>
              <w:bottom w:val="single" w:sz="4" w:space="0" w:color="0077BD"/>
              <w:right w:val="nil"/>
            </w:tcBorders>
            <w:shd w:val="clear" w:color="auto" w:fill="auto"/>
            <w:noWrap/>
            <w:vAlign w:val="center"/>
          </w:tcPr>
          <w:p w14:paraId="480321FB" w14:textId="40F00B42"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448 522</w:t>
            </w:r>
          </w:p>
        </w:tc>
        <w:tc>
          <w:tcPr>
            <w:tcW w:w="1021" w:type="dxa"/>
            <w:tcBorders>
              <w:top w:val="nil"/>
              <w:left w:val="single" w:sz="8" w:space="0" w:color="0077BD"/>
              <w:bottom w:val="single" w:sz="4" w:space="0" w:color="0077BD"/>
              <w:right w:val="nil"/>
            </w:tcBorders>
            <w:shd w:val="clear" w:color="auto" w:fill="auto"/>
            <w:noWrap/>
            <w:vAlign w:val="center"/>
          </w:tcPr>
          <w:p w14:paraId="3B0DE058" w14:textId="4F4CB132"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1 256 512</w:t>
            </w:r>
          </w:p>
        </w:tc>
        <w:tc>
          <w:tcPr>
            <w:tcW w:w="1021" w:type="dxa"/>
            <w:tcBorders>
              <w:top w:val="nil"/>
              <w:left w:val="single" w:sz="8" w:space="0" w:color="0077BD"/>
              <w:bottom w:val="single" w:sz="4" w:space="0" w:color="0077BD"/>
              <w:right w:val="nil"/>
            </w:tcBorders>
            <w:shd w:val="clear" w:color="auto" w:fill="auto"/>
            <w:noWrap/>
            <w:vAlign w:val="center"/>
          </w:tcPr>
          <w:p w14:paraId="1E64537B" w14:textId="4C36BA35"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139 105</w:t>
            </w:r>
          </w:p>
        </w:tc>
        <w:tc>
          <w:tcPr>
            <w:tcW w:w="1021" w:type="dxa"/>
            <w:tcBorders>
              <w:top w:val="nil"/>
              <w:left w:val="single" w:sz="8" w:space="0" w:color="0077BD"/>
              <w:bottom w:val="single" w:sz="4" w:space="0" w:color="0077BD"/>
              <w:right w:val="nil"/>
            </w:tcBorders>
            <w:shd w:val="clear" w:color="auto" w:fill="auto"/>
            <w:noWrap/>
            <w:vAlign w:val="center"/>
          </w:tcPr>
          <w:p w14:paraId="09E3626A" w14:textId="6A92646F"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1 074 601</w:t>
            </w:r>
          </w:p>
        </w:tc>
        <w:tc>
          <w:tcPr>
            <w:tcW w:w="1021" w:type="dxa"/>
            <w:tcBorders>
              <w:top w:val="nil"/>
              <w:left w:val="single" w:sz="8" w:space="0" w:color="0077BD"/>
              <w:bottom w:val="single" w:sz="4" w:space="0" w:color="0077BD"/>
              <w:right w:val="nil"/>
            </w:tcBorders>
            <w:shd w:val="clear" w:color="auto" w:fill="auto"/>
            <w:noWrap/>
            <w:vAlign w:val="center"/>
          </w:tcPr>
          <w:p w14:paraId="73432FFB" w14:textId="0D23E6B8"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42 806</w:t>
            </w:r>
          </w:p>
        </w:tc>
      </w:tr>
      <w:tr w:rsidR="00007405" w:rsidRPr="00C20D01" w14:paraId="1E8CCBEF" w14:textId="77777777" w:rsidTr="006472EE">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290645E3" w14:textId="77777777" w:rsidR="00007405" w:rsidRPr="00C20D01" w:rsidRDefault="00007405" w:rsidP="00C867C9">
            <w:pPr>
              <w:rPr>
                <w:rFonts w:cs="Calibri"/>
                <w:color w:val="000000" w:themeColor="text1"/>
                <w:sz w:val="12"/>
                <w:szCs w:val="12"/>
              </w:rPr>
            </w:pPr>
            <w:r w:rsidRPr="00C20D01">
              <w:rPr>
                <w:rFonts w:cs="Calibri"/>
                <w:color w:val="000000" w:themeColor="text1"/>
                <w:sz w:val="12"/>
                <w:szCs w:val="12"/>
              </w:rPr>
              <w:t>Zobowiązania z tytułu zabezpieczeń pieniężnych</w:t>
            </w:r>
          </w:p>
        </w:tc>
        <w:tc>
          <w:tcPr>
            <w:tcW w:w="1021" w:type="dxa"/>
            <w:tcBorders>
              <w:top w:val="nil"/>
              <w:left w:val="single" w:sz="8" w:space="0" w:color="0077BD"/>
              <w:bottom w:val="single" w:sz="4" w:space="0" w:color="0077BD"/>
              <w:right w:val="nil"/>
            </w:tcBorders>
            <w:shd w:val="clear" w:color="auto" w:fill="auto"/>
            <w:noWrap/>
            <w:vAlign w:val="center"/>
          </w:tcPr>
          <w:p w14:paraId="70B3CB56" w14:textId="3556E601"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301 021</w:t>
            </w:r>
          </w:p>
        </w:tc>
        <w:tc>
          <w:tcPr>
            <w:tcW w:w="1021" w:type="dxa"/>
            <w:tcBorders>
              <w:top w:val="nil"/>
              <w:left w:val="single" w:sz="8" w:space="0" w:color="0077BD"/>
              <w:bottom w:val="single" w:sz="4" w:space="0" w:color="0077BD"/>
              <w:right w:val="nil"/>
            </w:tcBorders>
            <w:shd w:val="clear" w:color="auto" w:fill="auto"/>
            <w:noWrap/>
            <w:vAlign w:val="center"/>
          </w:tcPr>
          <w:p w14:paraId="52DF3689" w14:textId="18AF610F"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423 059</w:t>
            </w:r>
          </w:p>
        </w:tc>
        <w:tc>
          <w:tcPr>
            <w:tcW w:w="1021" w:type="dxa"/>
            <w:tcBorders>
              <w:top w:val="nil"/>
              <w:left w:val="single" w:sz="8" w:space="0" w:color="0077BD"/>
              <w:bottom w:val="single" w:sz="4" w:space="0" w:color="0077BD"/>
              <w:right w:val="nil"/>
            </w:tcBorders>
            <w:shd w:val="clear" w:color="auto" w:fill="auto"/>
            <w:noWrap/>
            <w:vAlign w:val="center"/>
          </w:tcPr>
          <w:p w14:paraId="583C1231" w14:textId="1B2B2EBB"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43 854</w:t>
            </w:r>
          </w:p>
        </w:tc>
        <w:tc>
          <w:tcPr>
            <w:tcW w:w="1021" w:type="dxa"/>
            <w:tcBorders>
              <w:top w:val="nil"/>
              <w:left w:val="single" w:sz="8" w:space="0" w:color="0077BD"/>
              <w:bottom w:val="single" w:sz="4" w:space="0" w:color="0077BD"/>
              <w:right w:val="nil"/>
            </w:tcBorders>
            <w:shd w:val="clear" w:color="auto" w:fill="auto"/>
            <w:noWrap/>
            <w:vAlign w:val="center"/>
          </w:tcPr>
          <w:p w14:paraId="1392B546" w14:textId="62AC6AD6"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377 593</w:t>
            </w:r>
          </w:p>
        </w:tc>
        <w:tc>
          <w:tcPr>
            <w:tcW w:w="1021" w:type="dxa"/>
            <w:tcBorders>
              <w:top w:val="nil"/>
              <w:left w:val="single" w:sz="8" w:space="0" w:color="0077BD"/>
              <w:bottom w:val="single" w:sz="4" w:space="0" w:color="0077BD"/>
              <w:right w:val="nil"/>
            </w:tcBorders>
            <w:shd w:val="clear" w:color="auto" w:fill="auto"/>
            <w:noWrap/>
            <w:vAlign w:val="center"/>
          </w:tcPr>
          <w:p w14:paraId="7E40FF3D" w14:textId="0B8B88B5"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1 612</w:t>
            </w:r>
          </w:p>
        </w:tc>
      </w:tr>
      <w:tr w:rsidR="00007405" w:rsidRPr="00C20D01" w14:paraId="4947B5F7"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7128C5B" w14:textId="77777777" w:rsidR="00007405" w:rsidRPr="00C20D01" w:rsidRDefault="00007405" w:rsidP="00C867C9">
            <w:pPr>
              <w:rPr>
                <w:rFonts w:cs="Calibri"/>
                <w:color w:val="000000" w:themeColor="text1"/>
                <w:sz w:val="12"/>
                <w:szCs w:val="12"/>
              </w:rPr>
            </w:pPr>
            <w:r w:rsidRPr="00C20D01">
              <w:rPr>
                <w:rFonts w:cs="Calibri"/>
                <w:color w:val="000000" w:themeColor="text1"/>
                <w:sz w:val="12"/>
                <w:szCs w:val="12"/>
              </w:rPr>
              <w:t>Zobowiązania z tytułu leasingu</w:t>
            </w:r>
          </w:p>
        </w:tc>
        <w:tc>
          <w:tcPr>
            <w:tcW w:w="1021" w:type="dxa"/>
            <w:tcBorders>
              <w:top w:val="nil"/>
              <w:left w:val="single" w:sz="8" w:space="0" w:color="0077BD"/>
              <w:bottom w:val="single" w:sz="4" w:space="0" w:color="0077BD"/>
              <w:right w:val="nil"/>
            </w:tcBorders>
            <w:shd w:val="clear" w:color="auto" w:fill="auto"/>
            <w:noWrap/>
            <w:vAlign w:val="center"/>
          </w:tcPr>
          <w:p w14:paraId="5D9F5B25" w14:textId="577031B0"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18410E2E" w14:textId="1A5E12F2" w:rsidR="00007405" w:rsidRPr="00C20D01" w:rsidRDefault="00B91B35" w:rsidP="00C867C9">
            <w:pPr>
              <w:jc w:val="right"/>
              <w:rPr>
                <w:rFonts w:cs="Calibri"/>
                <w:color w:val="000000" w:themeColor="text1"/>
                <w:sz w:val="12"/>
                <w:szCs w:val="12"/>
              </w:rPr>
            </w:pPr>
            <w:r w:rsidRPr="00C20D01">
              <w:rPr>
                <w:rFonts w:cs="Calibri"/>
                <w:color w:val="000000" w:themeColor="text1"/>
                <w:sz w:val="12"/>
                <w:szCs w:val="12"/>
              </w:rPr>
              <w:t>496 912</w:t>
            </w:r>
          </w:p>
        </w:tc>
        <w:tc>
          <w:tcPr>
            <w:tcW w:w="1021" w:type="dxa"/>
            <w:tcBorders>
              <w:top w:val="nil"/>
              <w:left w:val="single" w:sz="8" w:space="0" w:color="0077BD"/>
              <w:bottom w:val="single" w:sz="4" w:space="0" w:color="0077BD"/>
              <w:right w:val="nil"/>
            </w:tcBorders>
            <w:shd w:val="clear" w:color="auto" w:fill="auto"/>
            <w:noWrap/>
            <w:vAlign w:val="center"/>
          </w:tcPr>
          <w:p w14:paraId="12C9A98B" w14:textId="58D65007" w:rsidR="00007405" w:rsidRPr="00C20D01" w:rsidRDefault="00B91B35" w:rsidP="00C867C9">
            <w:pPr>
              <w:jc w:val="right"/>
              <w:rPr>
                <w:rFonts w:cs="Calibri"/>
                <w:color w:val="000000" w:themeColor="text1"/>
                <w:sz w:val="12"/>
                <w:szCs w:val="12"/>
              </w:rPr>
            </w:pPr>
            <w:r w:rsidRPr="00C20D01">
              <w:rPr>
                <w:rFonts w:cs="Calibri"/>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5D7A0120" w14:textId="6202B44E"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456 052</w:t>
            </w:r>
          </w:p>
        </w:tc>
        <w:tc>
          <w:tcPr>
            <w:tcW w:w="1021" w:type="dxa"/>
            <w:tcBorders>
              <w:top w:val="nil"/>
              <w:left w:val="single" w:sz="8" w:space="0" w:color="0077BD"/>
              <w:bottom w:val="single" w:sz="4" w:space="0" w:color="0077BD"/>
              <w:right w:val="nil"/>
            </w:tcBorders>
            <w:shd w:val="clear" w:color="auto" w:fill="auto"/>
            <w:noWrap/>
            <w:vAlign w:val="center"/>
          </w:tcPr>
          <w:p w14:paraId="2C8A1B57" w14:textId="1CCBED21" w:rsidR="00007405" w:rsidRPr="00C20D01" w:rsidRDefault="00007405" w:rsidP="00C867C9">
            <w:pPr>
              <w:jc w:val="right"/>
              <w:rPr>
                <w:rFonts w:cs="Calibri"/>
                <w:color w:val="000000" w:themeColor="text1"/>
                <w:sz w:val="12"/>
                <w:szCs w:val="12"/>
              </w:rPr>
            </w:pPr>
            <w:r w:rsidRPr="00C20D01">
              <w:rPr>
                <w:rFonts w:cs="Calibri"/>
                <w:color w:val="000000" w:themeColor="text1"/>
                <w:sz w:val="12"/>
                <w:szCs w:val="12"/>
              </w:rPr>
              <w:t>40 860</w:t>
            </w:r>
          </w:p>
        </w:tc>
      </w:tr>
      <w:tr w:rsidR="00671980" w:rsidRPr="00C20D01" w14:paraId="7FD4B0AE" w14:textId="77777777" w:rsidTr="006472E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F1CAB02" w14:textId="77777777" w:rsidR="00671980" w:rsidRPr="00C20D01" w:rsidRDefault="00671980" w:rsidP="00671980">
            <w:pPr>
              <w:rPr>
                <w:rFonts w:cs="Calibri"/>
                <w:color w:val="000000" w:themeColor="text1"/>
                <w:sz w:val="12"/>
                <w:szCs w:val="12"/>
              </w:rPr>
            </w:pPr>
            <w:r w:rsidRPr="00C20D01">
              <w:rPr>
                <w:rFonts w:cs="Calibri"/>
                <w:color w:val="000000" w:themeColor="text1"/>
                <w:sz w:val="12"/>
                <w:szCs w:val="12"/>
              </w:rPr>
              <w:t>Inne</w:t>
            </w:r>
          </w:p>
        </w:tc>
        <w:tc>
          <w:tcPr>
            <w:tcW w:w="1021" w:type="dxa"/>
            <w:tcBorders>
              <w:top w:val="nil"/>
              <w:left w:val="single" w:sz="8" w:space="0" w:color="0077BD"/>
              <w:bottom w:val="single" w:sz="4" w:space="0" w:color="0077BD"/>
              <w:right w:val="nil"/>
            </w:tcBorders>
            <w:shd w:val="clear" w:color="auto" w:fill="auto"/>
            <w:noWrap/>
            <w:vAlign w:val="center"/>
          </w:tcPr>
          <w:p w14:paraId="69D9433E" w14:textId="44F9CB23" w:rsidR="00671980" w:rsidRPr="00C20D01" w:rsidRDefault="00671980" w:rsidP="00671980">
            <w:pPr>
              <w:jc w:val="right"/>
              <w:rPr>
                <w:rFonts w:cs="Calibri"/>
                <w:color w:val="000000" w:themeColor="text1"/>
                <w:sz w:val="12"/>
                <w:szCs w:val="12"/>
              </w:rPr>
            </w:pPr>
            <w:r w:rsidRPr="00C20D01">
              <w:rPr>
                <w:rFonts w:cs="Calibri"/>
                <w:color w:val="000000" w:themeColor="text1"/>
                <w:sz w:val="12"/>
                <w:szCs w:val="12"/>
              </w:rPr>
              <w:t>147 501</w:t>
            </w:r>
          </w:p>
        </w:tc>
        <w:tc>
          <w:tcPr>
            <w:tcW w:w="1021" w:type="dxa"/>
            <w:tcBorders>
              <w:top w:val="nil"/>
              <w:left w:val="single" w:sz="8" w:space="0" w:color="0077BD"/>
              <w:bottom w:val="single" w:sz="4" w:space="0" w:color="0077BD"/>
              <w:right w:val="nil"/>
            </w:tcBorders>
            <w:shd w:val="clear" w:color="auto" w:fill="auto"/>
            <w:noWrap/>
            <w:vAlign w:val="center"/>
          </w:tcPr>
          <w:p w14:paraId="620A2925" w14:textId="4E7C088A" w:rsidR="00671980" w:rsidRPr="00C20D01" w:rsidRDefault="00671980" w:rsidP="00671980">
            <w:pPr>
              <w:jc w:val="right"/>
              <w:rPr>
                <w:rFonts w:cs="Calibri"/>
                <w:color w:val="000000" w:themeColor="text1"/>
                <w:sz w:val="12"/>
                <w:szCs w:val="12"/>
              </w:rPr>
            </w:pPr>
            <w:r w:rsidRPr="00C20D01">
              <w:rPr>
                <w:rFonts w:cs="Calibri"/>
                <w:sz w:val="12"/>
                <w:szCs w:val="12"/>
              </w:rPr>
              <w:t>336 541</w:t>
            </w:r>
          </w:p>
        </w:tc>
        <w:tc>
          <w:tcPr>
            <w:tcW w:w="1021" w:type="dxa"/>
            <w:tcBorders>
              <w:top w:val="nil"/>
              <w:left w:val="single" w:sz="8" w:space="0" w:color="0077BD"/>
              <w:bottom w:val="single" w:sz="4" w:space="0" w:color="0077BD"/>
              <w:right w:val="nil"/>
            </w:tcBorders>
            <w:shd w:val="clear" w:color="auto" w:fill="auto"/>
            <w:noWrap/>
            <w:vAlign w:val="center"/>
          </w:tcPr>
          <w:p w14:paraId="3AD95CA3" w14:textId="1C4F5721" w:rsidR="00671980" w:rsidRPr="00C20D01" w:rsidRDefault="00671980" w:rsidP="00671980">
            <w:pPr>
              <w:jc w:val="right"/>
              <w:rPr>
                <w:rFonts w:cs="Calibri"/>
                <w:color w:val="000000" w:themeColor="text1"/>
                <w:sz w:val="12"/>
                <w:szCs w:val="12"/>
              </w:rPr>
            </w:pPr>
            <w:r w:rsidRPr="00C20D01">
              <w:rPr>
                <w:rFonts w:cs="Calibri"/>
                <w:sz w:val="12"/>
                <w:szCs w:val="12"/>
              </w:rPr>
              <w:t>95 251</w:t>
            </w:r>
          </w:p>
        </w:tc>
        <w:tc>
          <w:tcPr>
            <w:tcW w:w="1021" w:type="dxa"/>
            <w:tcBorders>
              <w:top w:val="nil"/>
              <w:left w:val="single" w:sz="8" w:space="0" w:color="0077BD"/>
              <w:bottom w:val="single" w:sz="4" w:space="0" w:color="0077BD"/>
              <w:right w:val="nil"/>
            </w:tcBorders>
            <w:shd w:val="clear" w:color="auto" w:fill="auto"/>
            <w:noWrap/>
            <w:vAlign w:val="center"/>
          </w:tcPr>
          <w:p w14:paraId="3FC3BE25" w14:textId="45EDA281" w:rsidR="00671980" w:rsidRPr="00C20D01" w:rsidRDefault="00671980" w:rsidP="00671980">
            <w:pPr>
              <w:jc w:val="right"/>
              <w:rPr>
                <w:rFonts w:cs="Calibri"/>
                <w:color w:val="000000" w:themeColor="text1"/>
                <w:sz w:val="12"/>
                <w:szCs w:val="12"/>
              </w:rPr>
            </w:pPr>
            <w:r w:rsidRPr="00C20D01">
              <w:rPr>
                <w:rFonts w:cs="Calibri"/>
                <w:sz w:val="12"/>
                <w:szCs w:val="12"/>
              </w:rPr>
              <w:t>240 956</w:t>
            </w:r>
          </w:p>
        </w:tc>
        <w:tc>
          <w:tcPr>
            <w:tcW w:w="1021" w:type="dxa"/>
            <w:tcBorders>
              <w:top w:val="nil"/>
              <w:left w:val="single" w:sz="8" w:space="0" w:color="0077BD"/>
              <w:bottom w:val="single" w:sz="4" w:space="0" w:color="0077BD"/>
              <w:right w:val="nil"/>
            </w:tcBorders>
            <w:shd w:val="clear" w:color="auto" w:fill="auto"/>
            <w:noWrap/>
            <w:vAlign w:val="center"/>
          </w:tcPr>
          <w:p w14:paraId="53625E9E" w14:textId="74C91CD1" w:rsidR="00671980" w:rsidRPr="00C20D01" w:rsidRDefault="00671980" w:rsidP="00671980">
            <w:pPr>
              <w:jc w:val="right"/>
              <w:rPr>
                <w:rFonts w:cs="Calibri"/>
                <w:color w:val="000000" w:themeColor="text1"/>
                <w:sz w:val="12"/>
                <w:szCs w:val="12"/>
              </w:rPr>
            </w:pPr>
            <w:r w:rsidRPr="00C20D01">
              <w:rPr>
                <w:rFonts w:cs="Calibri"/>
                <w:sz w:val="12"/>
                <w:szCs w:val="12"/>
              </w:rPr>
              <w:t>334</w:t>
            </w:r>
          </w:p>
        </w:tc>
      </w:tr>
      <w:tr w:rsidR="00007405" w:rsidRPr="00C20D01" w14:paraId="567D6724" w14:textId="77777777" w:rsidTr="006472EE">
        <w:trPr>
          <w:trHeight w:val="340"/>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1D8B08E3" w14:textId="77777777" w:rsidR="00007405" w:rsidRPr="00C20D01" w:rsidRDefault="00007405" w:rsidP="00C867C9">
            <w:pPr>
              <w:rPr>
                <w:rFonts w:cs="Calibri"/>
                <w:b/>
                <w:bCs/>
                <w:color w:val="000000" w:themeColor="text1"/>
                <w:sz w:val="12"/>
                <w:szCs w:val="12"/>
              </w:rPr>
            </w:pPr>
            <w:r w:rsidRPr="00C20D01">
              <w:rPr>
                <w:rFonts w:cs="Calibri"/>
                <w:b/>
                <w:bCs/>
                <w:color w:val="000000" w:themeColor="text1"/>
                <w:sz w:val="12"/>
                <w:szCs w:val="12"/>
              </w:rPr>
              <w:t>Wartość bilansowa depozytów oraz pozostałych zobowiązań finansowych</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79E0A1BC" w14:textId="0A1E45C3"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1 166 871</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2354E7EB" w14:textId="7CFF9490"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116 661 138</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0B51DE18" w14:textId="73F36134"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77 664 372</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5EC1E947" w14:textId="5AE502B2"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38 137 911</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501F293A" w14:textId="1EA55BC8" w:rsidR="00007405" w:rsidRPr="00C20D01" w:rsidRDefault="00007405" w:rsidP="00C867C9">
            <w:pPr>
              <w:jc w:val="right"/>
              <w:rPr>
                <w:rFonts w:cs="Calibri"/>
                <w:b/>
                <w:bCs/>
                <w:color w:val="000000" w:themeColor="text1"/>
                <w:sz w:val="12"/>
                <w:szCs w:val="12"/>
              </w:rPr>
            </w:pPr>
            <w:r w:rsidRPr="00C20D01">
              <w:rPr>
                <w:rFonts w:cs="Calibri"/>
                <w:b/>
                <w:bCs/>
                <w:color w:val="000000" w:themeColor="text1"/>
                <w:sz w:val="12"/>
                <w:szCs w:val="12"/>
              </w:rPr>
              <w:t>858 855</w:t>
            </w:r>
          </w:p>
        </w:tc>
      </w:tr>
      <w:tr w:rsidR="00007405" w:rsidRPr="00C20D01" w14:paraId="6E1DC122" w14:textId="77777777" w:rsidTr="00007405">
        <w:trPr>
          <w:trHeight w:val="20"/>
        </w:trPr>
        <w:tc>
          <w:tcPr>
            <w:tcW w:w="0" w:type="auto"/>
            <w:tcBorders>
              <w:top w:val="nil"/>
              <w:left w:val="nil"/>
              <w:bottom w:val="nil"/>
              <w:right w:val="nil"/>
            </w:tcBorders>
            <w:shd w:val="clear" w:color="000000" w:fill="FFFFFF"/>
            <w:vAlign w:val="center"/>
          </w:tcPr>
          <w:p w14:paraId="23EABE73" w14:textId="5ADE0FF8" w:rsidR="00007405" w:rsidRPr="00C20D01" w:rsidRDefault="00007405" w:rsidP="00573C04">
            <w:pPr>
              <w:rPr>
                <w:rFonts w:cs="Calibri"/>
                <w:color w:val="000000" w:themeColor="text1"/>
                <w:sz w:val="12"/>
                <w:szCs w:val="12"/>
              </w:rPr>
            </w:pPr>
          </w:p>
        </w:tc>
        <w:tc>
          <w:tcPr>
            <w:tcW w:w="1021" w:type="dxa"/>
            <w:tcBorders>
              <w:top w:val="nil"/>
              <w:left w:val="nil"/>
              <w:bottom w:val="nil"/>
              <w:right w:val="nil"/>
            </w:tcBorders>
            <w:shd w:val="clear" w:color="auto" w:fill="auto"/>
            <w:noWrap/>
            <w:vAlign w:val="center"/>
          </w:tcPr>
          <w:p w14:paraId="7F990A9B" w14:textId="77777777" w:rsidR="00007405" w:rsidRPr="00C20D01" w:rsidRDefault="00007405" w:rsidP="00573C04">
            <w:pPr>
              <w:rPr>
                <w:rFonts w:cs="Calibri"/>
                <w:color w:val="000000" w:themeColor="text1"/>
                <w:sz w:val="12"/>
                <w:szCs w:val="12"/>
              </w:rPr>
            </w:pPr>
          </w:p>
        </w:tc>
        <w:tc>
          <w:tcPr>
            <w:tcW w:w="1021" w:type="dxa"/>
            <w:tcBorders>
              <w:top w:val="nil"/>
              <w:left w:val="nil"/>
              <w:bottom w:val="single" w:sz="8" w:space="0" w:color="0077BD"/>
              <w:right w:val="nil"/>
            </w:tcBorders>
            <w:shd w:val="clear" w:color="auto" w:fill="auto"/>
            <w:noWrap/>
            <w:vAlign w:val="center"/>
          </w:tcPr>
          <w:p w14:paraId="304FF788"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06D7DDF9"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226B4A76"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091462C4" w14:textId="77777777" w:rsidR="00007405" w:rsidRPr="00C20D01" w:rsidRDefault="00007405" w:rsidP="00573C04">
            <w:pPr>
              <w:rPr>
                <w:color w:val="000000" w:themeColor="text1"/>
                <w:sz w:val="12"/>
                <w:szCs w:val="12"/>
              </w:rPr>
            </w:pPr>
          </w:p>
        </w:tc>
      </w:tr>
      <w:tr w:rsidR="00007405" w:rsidRPr="00C20D01" w14:paraId="4591B059" w14:textId="77777777" w:rsidTr="00664CA1">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06871D95" w14:textId="77777777" w:rsidR="00007405" w:rsidRPr="00C20D01" w:rsidRDefault="00007405" w:rsidP="00573C04">
            <w:pPr>
              <w:rPr>
                <w:rFonts w:cs="Calibri"/>
                <w:color w:val="000000" w:themeColor="text1"/>
                <w:sz w:val="12"/>
                <w:szCs w:val="12"/>
              </w:rPr>
            </w:pPr>
            <w:r w:rsidRPr="00C20D01">
              <w:rPr>
                <w:rFonts w:cs="Calibri"/>
                <w:color w:val="000000" w:themeColor="text1"/>
                <w:sz w:val="12"/>
                <w:szCs w:val="12"/>
              </w:rPr>
              <w:t>Krótkoterminowe (do 1 roku)</w:t>
            </w:r>
          </w:p>
        </w:tc>
        <w:tc>
          <w:tcPr>
            <w:tcW w:w="1021" w:type="dxa"/>
            <w:tcBorders>
              <w:top w:val="single" w:sz="8" w:space="0" w:color="0077BD"/>
              <w:left w:val="nil"/>
              <w:bottom w:val="single" w:sz="8" w:space="0" w:color="0077BD"/>
              <w:right w:val="single" w:sz="8" w:space="0" w:color="0077BD"/>
            </w:tcBorders>
            <w:shd w:val="clear" w:color="auto" w:fill="auto"/>
            <w:noWrap/>
            <w:vAlign w:val="center"/>
          </w:tcPr>
          <w:p w14:paraId="088683B8" w14:textId="449D90D4" w:rsidR="00007405" w:rsidRPr="00C20D01" w:rsidRDefault="00664CA1" w:rsidP="00573C04">
            <w:pPr>
              <w:jc w:val="right"/>
              <w:rPr>
                <w:rFonts w:cs="Calibri"/>
                <w:color w:val="000000" w:themeColor="text1"/>
                <w:sz w:val="12"/>
                <w:szCs w:val="12"/>
              </w:rPr>
            </w:pPr>
            <w:r w:rsidRPr="00C20D01">
              <w:rPr>
                <w:rFonts w:cs="Calibri"/>
                <w:color w:val="000000" w:themeColor="text1"/>
                <w:sz w:val="12"/>
                <w:szCs w:val="12"/>
              </w:rPr>
              <w:t>816 830</w:t>
            </w:r>
          </w:p>
        </w:tc>
        <w:tc>
          <w:tcPr>
            <w:tcW w:w="1021" w:type="dxa"/>
            <w:tcBorders>
              <w:top w:val="single" w:sz="8" w:space="0" w:color="0077BD"/>
              <w:left w:val="single" w:sz="8" w:space="0" w:color="0077BD"/>
              <w:bottom w:val="single" w:sz="8" w:space="0" w:color="0077BD"/>
            </w:tcBorders>
            <w:shd w:val="clear" w:color="auto" w:fill="auto"/>
            <w:noWrap/>
            <w:vAlign w:val="center"/>
          </w:tcPr>
          <w:p w14:paraId="5E4243C0" w14:textId="4C3BBC2F" w:rsidR="00007405" w:rsidRPr="00C20D01" w:rsidRDefault="00664CA1" w:rsidP="00573C04">
            <w:pPr>
              <w:jc w:val="right"/>
              <w:rPr>
                <w:rFonts w:cs="Calibri"/>
                <w:color w:val="000000" w:themeColor="text1"/>
                <w:sz w:val="12"/>
                <w:szCs w:val="12"/>
              </w:rPr>
            </w:pPr>
            <w:r w:rsidRPr="00C20D01">
              <w:rPr>
                <w:rFonts w:cs="Calibri"/>
                <w:color w:val="000000" w:themeColor="text1"/>
                <w:sz w:val="12"/>
                <w:szCs w:val="12"/>
              </w:rPr>
              <w:t>112 608 069</w:t>
            </w:r>
          </w:p>
        </w:tc>
        <w:tc>
          <w:tcPr>
            <w:tcW w:w="1021" w:type="dxa"/>
            <w:tcBorders>
              <w:top w:val="nil"/>
              <w:left w:val="nil"/>
              <w:bottom w:val="nil"/>
              <w:right w:val="nil"/>
            </w:tcBorders>
            <w:shd w:val="clear" w:color="auto" w:fill="auto"/>
            <w:noWrap/>
            <w:vAlign w:val="center"/>
            <w:hideMark/>
          </w:tcPr>
          <w:p w14:paraId="2F2E06C6" w14:textId="77777777" w:rsidR="00007405" w:rsidRPr="00C20D01" w:rsidRDefault="00007405" w:rsidP="00573C04">
            <w:pPr>
              <w:jc w:val="right"/>
              <w:rPr>
                <w:rFonts w:cs="Calibri"/>
                <w:color w:val="000000" w:themeColor="text1"/>
                <w:sz w:val="12"/>
                <w:szCs w:val="12"/>
              </w:rPr>
            </w:pPr>
          </w:p>
        </w:tc>
        <w:tc>
          <w:tcPr>
            <w:tcW w:w="1021" w:type="dxa"/>
            <w:tcBorders>
              <w:top w:val="nil"/>
              <w:left w:val="nil"/>
              <w:bottom w:val="nil"/>
              <w:right w:val="nil"/>
            </w:tcBorders>
            <w:shd w:val="clear" w:color="auto" w:fill="auto"/>
            <w:noWrap/>
            <w:vAlign w:val="center"/>
            <w:hideMark/>
          </w:tcPr>
          <w:p w14:paraId="13C6B499"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hideMark/>
          </w:tcPr>
          <w:p w14:paraId="490AFCD1" w14:textId="77777777" w:rsidR="00007405" w:rsidRPr="00C20D01" w:rsidRDefault="00007405" w:rsidP="00573C04">
            <w:pPr>
              <w:rPr>
                <w:color w:val="000000" w:themeColor="text1"/>
                <w:sz w:val="12"/>
                <w:szCs w:val="12"/>
              </w:rPr>
            </w:pPr>
          </w:p>
        </w:tc>
      </w:tr>
      <w:tr w:rsidR="00007405" w:rsidRPr="00C20D01" w14:paraId="5D31C2E3" w14:textId="77777777" w:rsidTr="00664CA1">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012718AF" w14:textId="77777777" w:rsidR="00007405" w:rsidRPr="00C20D01" w:rsidRDefault="00007405" w:rsidP="00573C04">
            <w:pPr>
              <w:rPr>
                <w:rFonts w:cs="Calibri"/>
                <w:color w:val="000000" w:themeColor="text1"/>
                <w:sz w:val="12"/>
                <w:szCs w:val="12"/>
              </w:rPr>
            </w:pPr>
            <w:r w:rsidRPr="00C20D01">
              <w:rPr>
                <w:rFonts w:cs="Calibri"/>
                <w:color w:val="000000" w:themeColor="text1"/>
                <w:sz w:val="12"/>
                <w:szCs w:val="12"/>
              </w:rPr>
              <w:t>Długoterminowe (ponad 1 roku)</w:t>
            </w:r>
          </w:p>
        </w:tc>
        <w:tc>
          <w:tcPr>
            <w:tcW w:w="1021" w:type="dxa"/>
            <w:tcBorders>
              <w:top w:val="nil"/>
              <w:left w:val="nil"/>
              <w:bottom w:val="single" w:sz="8" w:space="0" w:color="0077BD"/>
              <w:right w:val="single" w:sz="8" w:space="0" w:color="0077BD"/>
            </w:tcBorders>
            <w:shd w:val="clear" w:color="auto" w:fill="auto"/>
            <w:noWrap/>
            <w:vAlign w:val="center"/>
          </w:tcPr>
          <w:p w14:paraId="53EA9697" w14:textId="52DF4F1D" w:rsidR="00007405" w:rsidRPr="00C20D01" w:rsidRDefault="00664CA1" w:rsidP="00573C04">
            <w:pPr>
              <w:jc w:val="right"/>
              <w:rPr>
                <w:rFonts w:cs="Calibri"/>
                <w:color w:val="000000" w:themeColor="text1"/>
                <w:sz w:val="12"/>
                <w:szCs w:val="12"/>
              </w:rPr>
            </w:pPr>
            <w:r w:rsidRPr="00C20D01">
              <w:rPr>
                <w:rFonts w:cs="Calibri"/>
                <w:color w:val="000000" w:themeColor="text1"/>
                <w:sz w:val="12"/>
                <w:szCs w:val="12"/>
              </w:rPr>
              <w:t>350 041</w:t>
            </w:r>
          </w:p>
        </w:tc>
        <w:tc>
          <w:tcPr>
            <w:tcW w:w="1021" w:type="dxa"/>
            <w:tcBorders>
              <w:top w:val="single" w:sz="8" w:space="0" w:color="0077BD"/>
              <w:left w:val="single" w:sz="8" w:space="0" w:color="0077BD"/>
              <w:bottom w:val="single" w:sz="8" w:space="0" w:color="0077BD"/>
            </w:tcBorders>
            <w:shd w:val="clear" w:color="auto" w:fill="auto"/>
            <w:noWrap/>
            <w:vAlign w:val="center"/>
          </w:tcPr>
          <w:p w14:paraId="759AF1EE" w14:textId="5A043E0D" w:rsidR="00007405" w:rsidRPr="00C20D01" w:rsidRDefault="00664CA1" w:rsidP="00573C04">
            <w:pPr>
              <w:jc w:val="right"/>
              <w:rPr>
                <w:rFonts w:cs="Calibri"/>
                <w:color w:val="000000" w:themeColor="text1"/>
                <w:sz w:val="12"/>
                <w:szCs w:val="12"/>
              </w:rPr>
            </w:pPr>
            <w:r w:rsidRPr="00C20D01">
              <w:rPr>
                <w:rFonts w:cs="Calibri"/>
                <w:color w:val="000000" w:themeColor="text1"/>
                <w:sz w:val="12"/>
                <w:szCs w:val="12"/>
              </w:rPr>
              <w:t>4 053 069</w:t>
            </w:r>
          </w:p>
        </w:tc>
        <w:tc>
          <w:tcPr>
            <w:tcW w:w="1021" w:type="dxa"/>
            <w:tcBorders>
              <w:top w:val="nil"/>
              <w:left w:val="nil"/>
              <w:bottom w:val="nil"/>
              <w:right w:val="nil"/>
            </w:tcBorders>
            <w:shd w:val="clear" w:color="auto" w:fill="auto"/>
            <w:noWrap/>
            <w:vAlign w:val="center"/>
            <w:hideMark/>
          </w:tcPr>
          <w:p w14:paraId="5440345E" w14:textId="77777777" w:rsidR="00007405" w:rsidRPr="00C20D01" w:rsidRDefault="00007405" w:rsidP="00573C04">
            <w:pPr>
              <w:jc w:val="right"/>
              <w:rPr>
                <w:rFonts w:cs="Calibri"/>
                <w:color w:val="000000" w:themeColor="text1"/>
                <w:sz w:val="12"/>
                <w:szCs w:val="12"/>
              </w:rPr>
            </w:pPr>
          </w:p>
        </w:tc>
        <w:tc>
          <w:tcPr>
            <w:tcW w:w="1021" w:type="dxa"/>
            <w:tcBorders>
              <w:top w:val="nil"/>
              <w:left w:val="nil"/>
              <w:bottom w:val="nil"/>
              <w:right w:val="nil"/>
            </w:tcBorders>
            <w:shd w:val="clear" w:color="auto" w:fill="auto"/>
            <w:noWrap/>
            <w:vAlign w:val="center"/>
            <w:hideMark/>
          </w:tcPr>
          <w:p w14:paraId="3E25CC32"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hideMark/>
          </w:tcPr>
          <w:p w14:paraId="4B177008" w14:textId="77777777" w:rsidR="00007405" w:rsidRPr="00C20D01" w:rsidRDefault="00007405" w:rsidP="00573C04">
            <w:pPr>
              <w:rPr>
                <w:color w:val="000000" w:themeColor="text1"/>
                <w:sz w:val="12"/>
                <w:szCs w:val="12"/>
              </w:rPr>
            </w:pPr>
          </w:p>
        </w:tc>
      </w:tr>
    </w:tbl>
    <w:p w14:paraId="750FA035" w14:textId="167D27C9" w:rsidR="00EC6536" w:rsidRDefault="00EC6536" w:rsidP="00603A77">
      <w:pPr>
        <w:jc w:val="both"/>
        <w:rPr>
          <w:rFonts w:cs="Tahoma"/>
          <w:color w:val="201C17"/>
          <w:sz w:val="18"/>
          <w:szCs w:val="18"/>
        </w:rPr>
      </w:pPr>
    </w:p>
    <w:p w14:paraId="5A6C14DF" w14:textId="77777777" w:rsidR="00EC6536" w:rsidRDefault="00EC6536">
      <w:pPr>
        <w:rPr>
          <w:rFonts w:cs="Tahoma"/>
          <w:color w:val="201C17"/>
          <w:sz w:val="18"/>
          <w:szCs w:val="18"/>
        </w:rPr>
      </w:pPr>
      <w:r>
        <w:rPr>
          <w:rFonts w:cs="Tahoma"/>
          <w:color w:val="201C17"/>
          <w:sz w:val="18"/>
          <w:szCs w:val="18"/>
        </w:rPr>
        <w:br w:type="page"/>
      </w:r>
    </w:p>
    <w:tbl>
      <w:tblPr>
        <w:tblW w:w="0" w:type="auto"/>
        <w:tblCellMar>
          <w:left w:w="28" w:type="dxa"/>
          <w:right w:w="28" w:type="dxa"/>
        </w:tblCellMar>
        <w:tblLook w:val="04A0" w:firstRow="1" w:lastRow="0" w:firstColumn="1" w:lastColumn="0" w:noHBand="0" w:noVBand="1"/>
      </w:tblPr>
      <w:tblGrid>
        <w:gridCol w:w="4476"/>
        <w:gridCol w:w="1021"/>
        <w:gridCol w:w="1021"/>
        <w:gridCol w:w="1021"/>
        <w:gridCol w:w="1021"/>
        <w:gridCol w:w="1021"/>
      </w:tblGrid>
      <w:tr w:rsidR="00007405" w:rsidRPr="00C20D01" w14:paraId="7520B96D" w14:textId="77777777" w:rsidTr="00C867C9">
        <w:trPr>
          <w:trHeight w:val="284"/>
        </w:trPr>
        <w:tc>
          <w:tcPr>
            <w:tcW w:w="0" w:type="auto"/>
            <w:vMerge w:val="restart"/>
            <w:tcBorders>
              <w:top w:val="nil"/>
              <w:left w:val="nil"/>
              <w:bottom w:val="nil"/>
              <w:right w:val="single" w:sz="8" w:space="0" w:color="FFFFFF"/>
            </w:tcBorders>
            <w:shd w:val="clear" w:color="000000" w:fill="0077BD"/>
            <w:vAlign w:val="center"/>
            <w:hideMark/>
          </w:tcPr>
          <w:p w14:paraId="3DE4C85A" w14:textId="2723C719" w:rsidR="00007405" w:rsidRPr="00C20D01" w:rsidRDefault="00007405" w:rsidP="00573C04">
            <w:pPr>
              <w:rPr>
                <w:rFonts w:cs="Calibri"/>
                <w:b/>
                <w:bCs/>
                <w:color w:val="FFFFFF"/>
                <w:sz w:val="12"/>
                <w:szCs w:val="12"/>
              </w:rPr>
            </w:pPr>
            <w:r w:rsidRPr="00C20D01">
              <w:rPr>
                <w:rFonts w:cs="Calibri"/>
                <w:b/>
                <w:bCs/>
                <w:color w:val="FFFFFF"/>
                <w:sz w:val="12"/>
                <w:szCs w:val="12"/>
              </w:rPr>
              <w:lastRenderedPageBreak/>
              <w:t>31.12.2018</w:t>
            </w:r>
          </w:p>
        </w:tc>
        <w:tc>
          <w:tcPr>
            <w:tcW w:w="1021" w:type="dxa"/>
            <w:vMerge w:val="restart"/>
            <w:tcBorders>
              <w:top w:val="nil"/>
              <w:left w:val="single" w:sz="8" w:space="0" w:color="FFFFFF"/>
              <w:bottom w:val="single" w:sz="8" w:space="0" w:color="0077BD"/>
              <w:right w:val="single" w:sz="2" w:space="0" w:color="0077BD"/>
            </w:tcBorders>
            <w:shd w:val="clear" w:color="000000" w:fill="0077BD"/>
            <w:vAlign w:val="center"/>
            <w:hideMark/>
          </w:tcPr>
          <w:p w14:paraId="0CE6FCE4"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Zobowiązania wobec banków</w:t>
            </w:r>
          </w:p>
        </w:tc>
        <w:tc>
          <w:tcPr>
            <w:tcW w:w="1021" w:type="dxa"/>
            <w:vMerge w:val="restart"/>
            <w:tcBorders>
              <w:top w:val="nil"/>
              <w:left w:val="single" w:sz="8" w:space="0" w:color="FFFFFF"/>
              <w:bottom w:val="single" w:sz="8" w:space="0" w:color="0077BD"/>
              <w:right w:val="single" w:sz="2" w:space="0" w:color="0077BD"/>
            </w:tcBorders>
            <w:shd w:val="clear" w:color="000000" w:fill="0077BD"/>
            <w:vAlign w:val="center"/>
            <w:hideMark/>
          </w:tcPr>
          <w:p w14:paraId="1C4771D9"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Zobowiązania wobec klientów</w:t>
            </w:r>
          </w:p>
        </w:tc>
        <w:tc>
          <w:tcPr>
            <w:tcW w:w="3063" w:type="dxa"/>
            <w:gridSpan w:val="3"/>
            <w:tcBorders>
              <w:top w:val="nil"/>
              <w:left w:val="single" w:sz="2" w:space="0" w:color="0077BD"/>
              <w:bottom w:val="single" w:sz="4" w:space="0" w:color="FFFFFF"/>
              <w:right w:val="nil"/>
            </w:tcBorders>
            <w:shd w:val="clear" w:color="000000" w:fill="0077BD"/>
            <w:vAlign w:val="center"/>
            <w:hideMark/>
          </w:tcPr>
          <w:p w14:paraId="7BE757D0" w14:textId="32BE5D55" w:rsidR="00007405" w:rsidRPr="00C20D01" w:rsidRDefault="006D76F0" w:rsidP="00573C04">
            <w:pPr>
              <w:jc w:val="center"/>
              <w:rPr>
                <w:rFonts w:cs="Calibri"/>
                <w:b/>
                <w:bCs/>
                <w:color w:val="FFFFFF"/>
                <w:sz w:val="12"/>
                <w:szCs w:val="12"/>
              </w:rPr>
            </w:pPr>
            <w:r>
              <w:rPr>
                <w:rFonts w:cs="Calibri"/>
                <w:b/>
                <w:bCs/>
                <w:color w:val="FFFFFF"/>
                <w:sz w:val="12"/>
                <w:szCs w:val="12"/>
              </w:rPr>
              <w:t>w tym:</w:t>
            </w:r>
          </w:p>
        </w:tc>
      </w:tr>
      <w:tr w:rsidR="00007405" w:rsidRPr="00C20D01" w14:paraId="7971724F" w14:textId="77777777" w:rsidTr="00C20D01">
        <w:trPr>
          <w:trHeight w:val="340"/>
        </w:trPr>
        <w:tc>
          <w:tcPr>
            <w:tcW w:w="0" w:type="auto"/>
            <w:vMerge/>
            <w:tcBorders>
              <w:top w:val="nil"/>
              <w:left w:val="nil"/>
              <w:right w:val="single" w:sz="8" w:space="0" w:color="FFFFFF"/>
            </w:tcBorders>
            <w:vAlign w:val="center"/>
            <w:hideMark/>
          </w:tcPr>
          <w:p w14:paraId="037675F9" w14:textId="77777777" w:rsidR="00007405" w:rsidRPr="00C20D01" w:rsidRDefault="00007405" w:rsidP="00573C04">
            <w:pPr>
              <w:rPr>
                <w:rFonts w:cs="Calibri"/>
                <w:b/>
                <w:bCs/>
                <w:color w:val="FFFFFF"/>
                <w:sz w:val="12"/>
                <w:szCs w:val="12"/>
              </w:rPr>
            </w:pPr>
          </w:p>
        </w:tc>
        <w:tc>
          <w:tcPr>
            <w:tcW w:w="1021" w:type="dxa"/>
            <w:vMerge/>
            <w:tcBorders>
              <w:top w:val="nil"/>
              <w:left w:val="single" w:sz="8" w:space="0" w:color="FFFFFF"/>
              <w:right w:val="single" w:sz="8" w:space="0" w:color="FFFFFF"/>
            </w:tcBorders>
            <w:vAlign w:val="center"/>
            <w:hideMark/>
          </w:tcPr>
          <w:p w14:paraId="7298902B" w14:textId="77777777" w:rsidR="00007405" w:rsidRPr="00C20D01" w:rsidRDefault="00007405" w:rsidP="00573C04">
            <w:pPr>
              <w:rPr>
                <w:rFonts w:cs="Calibri"/>
                <w:b/>
                <w:bCs/>
                <w:color w:val="FFFFFF"/>
                <w:sz w:val="12"/>
                <w:szCs w:val="12"/>
              </w:rPr>
            </w:pPr>
          </w:p>
        </w:tc>
        <w:tc>
          <w:tcPr>
            <w:tcW w:w="1021" w:type="dxa"/>
            <w:vMerge/>
            <w:tcBorders>
              <w:top w:val="nil"/>
              <w:left w:val="single" w:sz="8" w:space="0" w:color="FFFFFF"/>
              <w:right w:val="single" w:sz="8" w:space="0" w:color="FFFFFF"/>
            </w:tcBorders>
            <w:vAlign w:val="center"/>
            <w:hideMark/>
          </w:tcPr>
          <w:p w14:paraId="6EB68AAE" w14:textId="77777777" w:rsidR="00007405" w:rsidRPr="00C20D01" w:rsidRDefault="00007405" w:rsidP="00573C04">
            <w:pPr>
              <w:rPr>
                <w:rFonts w:cs="Calibri"/>
                <w:b/>
                <w:bCs/>
                <w:color w:val="FFFFFF"/>
                <w:sz w:val="12"/>
                <w:szCs w:val="12"/>
              </w:rPr>
            </w:pPr>
          </w:p>
        </w:tc>
        <w:tc>
          <w:tcPr>
            <w:tcW w:w="1021" w:type="dxa"/>
            <w:tcBorders>
              <w:top w:val="single" w:sz="4" w:space="0" w:color="FFFFFF"/>
              <w:left w:val="nil"/>
              <w:right w:val="nil"/>
            </w:tcBorders>
            <w:shd w:val="clear" w:color="000000" w:fill="0077BD"/>
            <w:vAlign w:val="center"/>
            <w:hideMark/>
          </w:tcPr>
          <w:p w14:paraId="6BF3302A"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indywidualni</w:t>
            </w:r>
          </w:p>
        </w:tc>
        <w:tc>
          <w:tcPr>
            <w:tcW w:w="1021" w:type="dxa"/>
            <w:tcBorders>
              <w:top w:val="single" w:sz="4" w:space="0" w:color="FFFFFF"/>
              <w:left w:val="single" w:sz="8" w:space="0" w:color="FFFFFF"/>
              <w:right w:val="nil"/>
            </w:tcBorders>
            <w:shd w:val="clear" w:color="000000" w:fill="0077BD"/>
            <w:vAlign w:val="center"/>
            <w:hideMark/>
          </w:tcPr>
          <w:p w14:paraId="6B8BBE4E"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korporacyjni</w:t>
            </w:r>
          </w:p>
        </w:tc>
        <w:tc>
          <w:tcPr>
            <w:tcW w:w="1021" w:type="dxa"/>
            <w:tcBorders>
              <w:top w:val="single" w:sz="4" w:space="0" w:color="FFFFFF"/>
              <w:left w:val="single" w:sz="8" w:space="0" w:color="FFFFFF"/>
              <w:right w:val="nil"/>
            </w:tcBorders>
            <w:shd w:val="clear" w:color="000000" w:fill="0077BD"/>
            <w:vAlign w:val="center"/>
            <w:hideMark/>
          </w:tcPr>
          <w:p w14:paraId="6B10AAB3" w14:textId="77777777" w:rsidR="00007405" w:rsidRPr="00C20D01" w:rsidRDefault="00007405" w:rsidP="00573C04">
            <w:pPr>
              <w:jc w:val="center"/>
              <w:rPr>
                <w:rFonts w:cs="Calibri"/>
                <w:b/>
                <w:bCs/>
                <w:color w:val="FFFFFF"/>
                <w:sz w:val="12"/>
                <w:szCs w:val="12"/>
              </w:rPr>
            </w:pPr>
            <w:r w:rsidRPr="00C20D01">
              <w:rPr>
                <w:rFonts w:cs="Calibri"/>
                <w:b/>
                <w:bCs/>
                <w:color w:val="FFFFFF"/>
                <w:sz w:val="12"/>
                <w:szCs w:val="12"/>
              </w:rPr>
              <w:t>Klienci budżetowi</w:t>
            </w:r>
          </w:p>
        </w:tc>
      </w:tr>
      <w:tr w:rsidR="00007405" w:rsidRPr="00C20D01" w14:paraId="014A97AB" w14:textId="77777777" w:rsidTr="00C867C9">
        <w:trPr>
          <w:trHeight w:val="284"/>
        </w:trPr>
        <w:tc>
          <w:tcPr>
            <w:tcW w:w="0" w:type="auto"/>
            <w:tcBorders>
              <w:left w:val="nil"/>
              <w:bottom w:val="single" w:sz="4" w:space="0" w:color="0077BD"/>
              <w:right w:val="single" w:sz="8" w:space="0" w:color="0077BD"/>
            </w:tcBorders>
            <w:shd w:val="clear" w:color="auto" w:fill="auto"/>
            <w:vAlign w:val="center"/>
            <w:hideMark/>
          </w:tcPr>
          <w:p w14:paraId="103B4673" w14:textId="6C3B0511" w:rsidR="00007405" w:rsidRPr="00C20D01" w:rsidRDefault="00007405" w:rsidP="007E6A0C">
            <w:pPr>
              <w:rPr>
                <w:rFonts w:cs="Calibri"/>
                <w:b/>
                <w:bCs/>
                <w:color w:val="000000" w:themeColor="text1"/>
                <w:sz w:val="12"/>
                <w:szCs w:val="12"/>
              </w:rPr>
            </w:pPr>
            <w:r w:rsidRPr="00C20D01">
              <w:rPr>
                <w:rFonts w:cs="Calibri"/>
                <w:b/>
                <w:bCs/>
                <w:color w:val="000000" w:themeColor="text1"/>
                <w:sz w:val="12"/>
                <w:szCs w:val="12"/>
              </w:rPr>
              <w:t>Depozyty</w:t>
            </w:r>
          </w:p>
        </w:tc>
        <w:tc>
          <w:tcPr>
            <w:tcW w:w="1021" w:type="dxa"/>
            <w:tcBorders>
              <w:left w:val="single" w:sz="8" w:space="0" w:color="0077BD"/>
              <w:bottom w:val="single" w:sz="4" w:space="0" w:color="0077BD"/>
              <w:right w:val="single" w:sz="8" w:space="0" w:color="0077BD"/>
            </w:tcBorders>
            <w:shd w:val="clear" w:color="auto" w:fill="auto"/>
            <w:noWrap/>
            <w:vAlign w:val="center"/>
          </w:tcPr>
          <w:p w14:paraId="4D0A6618" w14:textId="7A5DA927"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1 851 562</w:t>
            </w:r>
          </w:p>
        </w:tc>
        <w:tc>
          <w:tcPr>
            <w:tcW w:w="1021" w:type="dxa"/>
            <w:tcBorders>
              <w:left w:val="nil"/>
              <w:bottom w:val="single" w:sz="4" w:space="0" w:color="0077BD"/>
              <w:right w:val="single" w:sz="8" w:space="0" w:color="0077BD"/>
            </w:tcBorders>
            <w:shd w:val="clear" w:color="auto" w:fill="auto"/>
            <w:noWrap/>
            <w:vAlign w:val="center"/>
          </w:tcPr>
          <w:p w14:paraId="5DFBCDCB" w14:textId="6258FBBE"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97 798 992</w:t>
            </w:r>
          </w:p>
        </w:tc>
        <w:tc>
          <w:tcPr>
            <w:tcW w:w="1021" w:type="dxa"/>
            <w:tcBorders>
              <w:left w:val="nil"/>
              <w:bottom w:val="single" w:sz="4" w:space="0" w:color="0077BD"/>
              <w:right w:val="single" w:sz="8" w:space="0" w:color="0077BD"/>
            </w:tcBorders>
            <w:shd w:val="clear" w:color="auto" w:fill="auto"/>
            <w:noWrap/>
            <w:vAlign w:val="center"/>
          </w:tcPr>
          <w:p w14:paraId="2012DD4F" w14:textId="0ABEA5C2"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65 766 024</w:t>
            </w:r>
          </w:p>
        </w:tc>
        <w:tc>
          <w:tcPr>
            <w:tcW w:w="1021" w:type="dxa"/>
            <w:tcBorders>
              <w:left w:val="nil"/>
              <w:bottom w:val="single" w:sz="4" w:space="0" w:color="0077BD"/>
              <w:right w:val="single" w:sz="8" w:space="0" w:color="0077BD"/>
            </w:tcBorders>
            <w:shd w:val="clear" w:color="auto" w:fill="auto"/>
            <w:noWrap/>
            <w:vAlign w:val="center"/>
          </w:tcPr>
          <w:p w14:paraId="0EC0DD25" w14:textId="4EE9AF02"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31 294 333</w:t>
            </w:r>
          </w:p>
        </w:tc>
        <w:tc>
          <w:tcPr>
            <w:tcW w:w="1021" w:type="dxa"/>
            <w:tcBorders>
              <w:left w:val="nil"/>
              <w:bottom w:val="single" w:sz="4" w:space="0" w:color="0077BD"/>
              <w:right w:val="nil"/>
            </w:tcBorders>
            <w:shd w:val="clear" w:color="auto" w:fill="auto"/>
            <w:noWrap/>
            <w:vAlign w:val="center"/>
          </w:tcPr>
          <w:p w14:paraId="17F085D2" w14:textId="75EBCE0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738 635</w:t>
            </w:r>
          </w:p>
        </w:tc>
      </w:tr>
      <w:tr w:rsidR="00007405" w:rsidRPr="00C20D01" w14:paraId="575DB836" w14:textId="77777777" w:rsidTr="0048054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5A92E73" w14:textId="77777777" w:rsidR="00007405" w:rsidRPr="00C20D01" w:rsidRDefault="00007405" w:rsidP="007E6A0C">
            <w:pPr>
              <w:rPr>
                <w:rFonts w:cs="Calibri"/>
                <w:color w:val="000000" w:themeColor="text1"/>
                <w:sz w:val="12"/>
                <w:szCs w:val="12"/>
              </w:rPr>
            </w:pPr>
            <w:r w:rsidRPr="00C20D01">
              <w:rPr>
                <w:rFonts w:cs="Calibri"/>
                <w:color w:val="000000" w:themeColor="text1"/>
                <w:sz w:val="12"/>
                <w:szCs w:val="12"/>
              </w:rPr>
              <w:t>Rachunki bieżące</w:t>
            </w:r>
          </w:p>
        </w:tc>
        <w:tc>
          <w:tcPr>
            <w:tcW w:w="1021" w:type="dxa"/>
            <w:tcBorders>
              <w:top w:val="nil"/>
              <w:left w:val="single" w:sz="8" w:space="0" w:color="0077BD"/>
              <w:bottom w:val="single" w:sz="4" w:space="0" w:color="0077BD"/>
              <w:right w:val="nil"/>
            </w:tcBorders>
            <w:shd w:val="clear" w:color="auto" w:fill="auto"/>
            <w:noWrap/>
            <w:vAlign w:val="center"/>
          </w:tcPr>
          <w:p w14:paraId="6667B583" w14:textId="346B82DE"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864 189</w:t>
            </w:r>
          </w:p>
        </w:tc>
        <w:tc>
          <w:tcPr>
            <w:tcW w:w="1021" w:type="dxa"/>
            <w:tcBorders>
              <w:top w:val="nil"/>
              <w:left w:val="single" w:sz="8" w:space="0" w:color="0077BD"/>
              <w:bottom w:val="single" w:sz="4" w:space="0" w:color="0077BD"/>
              <w:right w:val="nil"/>
            </w:tcBorders>
            <w:shd w:val="clear" w:color="auto" w:fill="auto"/>
            <w:noWrap/>
            <w:vAlign w:val="center"/>
          </w:tcPr>
          <w:p w14:paraId="7ACB2805" w14:textId="4FDF1A93"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74 122 771</w:t>
            </w:r>
          </w:p>
        </w:tc>
        <w:tc>
          <w:tcPr>
            <w:tcW w:w="1021" w:type="dxa"/>
            <w:tcBorders>
              <w:top w:val="nil"/>
              <w:left w:val="single" w:sz="8" w:space="0" w:color="0077BD"/>
              <w:bottom w:val="single" w:sz="4" w:space="0" w:color="0077BD"/>
              <w:right w:val="nil"/>
            </w:tcBorders>
            <w:shd w:val="clear" w:color="auto" w:fill="auto"/>
            <w:noWrap/>
            <w:vAlign w:val="center"/>
          </w:tcPr>
          <w:p w14:paraId="5ECB3AE8" w14:textId="3D0B4FCC"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52 064 464</w:t>
            </w:r>
          </w:p>
        </w:tc>
        <w:tc>
          <w:tcPr>
            <w:tcW w:w="1021" w:type="dxa"/>
            <w:tcBorders>
              <w:top w:val="nil"/>
              <w:left w:val="single" w:sz="8" w:space="0" w:color="0077BD"/>
              <w:bottom w:val="single" w:sz="4" w:space="0" w:color="0077BD"/>
              <w:right w:val="nil"/>
            </w:tcBorders>
            <w:shd w:val="clear" w:color="auto" w:fill="auto"/>
            <w:noWrap/>
            <w:vAlign w:val="center"/>
          </w:tcPr>
          <w:p w14:paraId="359FB01F" w14:textId="76010924"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21 595 872</w:t>
            </w:r>
          </w:p>
        </w:tc>
        <w:tc>
          <w:tcPr>
            <w:tcW w:w="1021" w:type="dxa"/>
            <w:tcBorders>
              <w:top w:val="nil"/>
              <w:left w:val="single" w:sz="8" w:space="0" w:color="0077BD"/>
              <w:bottom w:val="single" w:sz="4" w:space="0" w:color="0077BD"/>
              <w:right w:val="nil"/>
            </w:tcBorders>
            <w:shd w:val="clear" w:color="auto" w:fill="auto"/>
            <w:noWrap/>
            <w:vAlign w:val="center"/>
          </w:tcPr>
          <w:p w14:paraId="4A3466EF" w14:textId="20C8A796"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462 435</w:t>
            </w:r>
          </w:p>
        </w:tc>
      </w:tr>
      <w:tr w:rsidR="00007405" w:rsidRPr="00C20D01" w14:paraId="6E2DA4D4" w14:textId="77777777" w:rsidTr="0048054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4170E435" w14:textId="77777777" w:rsidR="00007405" w:rsidRPr="00C20D01" w:rsidRDefault="00007405" w:rsidP="007E6A0C">
            <w:pPr>
              <w:rPr>
                <w:rFonts w:cs="Calibri"/>
                <w:color w:val="000000" w:themeColor="text1"/>
                <w:sz w:val="12"/>
                <w:szCs w:val="12"/>
              </w:rPr>
            </w:pPr>
            <w:r w:rsidRPr="00C20D01">
              <w:rPr>
                <w:rFonts w:cs="Calibri"/>
                <w:color w:val="000000" w:themeColor="text1"/>
                <w:sz w:val="12"/>
                <w:szCs w:val="12"/>
              </w:rPr>
              <w:t>Depozyty terminowe</w:t>
            </w:r>
          </w:p>
        </w:tc>
        <w:tc>
          <w:tcPr>
            <w:tcW w:w="1021" w:type="dxa"/>
            <w:tcBorders>
              <w:top w:val="nil"/>
              <w:left w:val="single" w:sz="8" w:space="0" w:color="0077BD"/>
              <w:bottom w:val="single" w:sz="4" w:space="0" w:color="0077BD"/>
              <w:right w:val="nil"/>
            </w:tcBorders>
            <w:shd w:val="clear" w:color="auto" w:fill="auto"/>
            <w:noWrap/>
            <w:vAlign w:val="center"/>
          </w:tcPr>
          <w:p w14:paraId="22EF9102" w14:textId="0C899390"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156 391</w:t>
            </w:r>
          </w:p>
        </w:tc>
        <w:tc>
          <w:tcPr>
            <w:tcW w:w="1021" w:type="dxa"/>
            <w:tcBorders>
              <w:top w:val="nil"/>
              <w:left w:val="single" w:sz="8" w:space="0" w:color="0077BD"/>
              <w:bottom w:val="single" w:sz="4" w:space="0" w:color="0077BD"/>
              <w:right w:val="nil"/>
            </w:tcBorders>
            <w:shd w:val="clear" w:color="auto" w:fill="auto"/>
            <w:noWrap/>
            <w:vAlign w:val="center"/>
          </w:tcPr>
          <w:p w14:paraId="0DE330F4" w14:textId="62585265"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22 963 140</w:t>
            </w:r>
          </w:p>
        </w:tc>
        <w:tc>
          <w:tcPr>
            <w:tcW w:w="1021" w:type="dxa"/>
            <w:tcBorders>
              <w:top w:val="nil"/>
              <w:left w:val="single" w:sz="8" w:space="0" w:color="0077BD"/>
              <w:bottom w:val="single" w:sz="4" w:space="0" w:color="0077BD"/>
              <w:right w:val="nil"/>
            </w:tcBorders>
            <w:shd w:val="clear" w:color="auto" w:fill="auto"/>
            <w:noWrap/>
            <w:vAlign w:val="center"/>
          </w:tcPr>
          <w:p w14:paraId="5FD9AFEB" w14:textId="715DE865"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13 701 560</w:t>
            </w:r>
          </w:p>
        </w:tc>
        <w:tc>
          <w:tcPr>
            <w:tcW w:w="1021" w:type="dxa"/>
            <w:tcBorders>
              <w:top w:val="nil"/>
              <w:left w:val="single" w:sz="8" w:space="0" w:color="0077BD"/>
              <w:bottom w:val="single" w:sz="4" w:space="0" w:color="0077BD"/>
              <w:right w:val="nil"/>
            </w:tcBorders>
            <w:shd w:val="clear" w:color="auto" w:fill="auto"/>
            <w:noWrap/>
            <w:vAlign w:val="center"/>
          </w:tcPr>
          <w:p w14:paraId="3D3EBBD0" w14:textId="3AA966A0"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8 985 380</w:t>
            </w:r>
          </w:p>
        </w:tc>
        <w:tc>
          <w:tcPr>
            <w:tcW w:w="1021" w:type="dxa"/>
            <w:tcBorders>
              <w:top w:val="nil"/>
              <w:left w:val="single" w:sz="8" w:space="0" w:color="0077BD"/>
              <w:bottom w:val="single" w:sz="4" w:space="0" w:color="0077BD"/>
              <w:right w:val="nil"/>
            </w:tcBorders>
            <w:shd w:val="clear" w:color="auto" w:fill="auto"/>
            <w:noWrap/>
            <w:vAlign w:val="center"/>
          </w:tcPr>
          <w:p w14:paraId="2AB7F48E" w14:textId="0FD2CC63"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276 200</w:t>
            </w:r>
          </w:p>
        </w:tc>
      </w:tr>
      <w:tr w:rsidR="00007405" w:rsidRPr="00C20D01" w14:paraId="5D566442" w14:textId="77777777" w:rsidTr="007E6A0C">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8195086" w14:textId="7A656F9A" w:rsidR="00007405" w:rsidRPr="00C20D01" w:rsidRDefault="00DE36CC" w:rsidP="007E6A0C">
            <w:pPr>
              <w:rPr>
                <w:rFonts w:cs="Calibri"/>
                <w:color w:val="000000" w:themeColor="text1"/>
                <w:sz w:val="12"/>
                <w:szCs w:val="12"/>
                <w:lang w:val="en-US"/>
              </w:rPr>
            </w:pPr>
            <w:r>
              <w:rPr>
                <w:rFonts w:cs="Calibri"/>
                <w:color w:val="000000" w:themeColor="text1"/>
                <w:sz w:val="12"/>
                <w:szCs w:val="12"/>
                <w:lang w:val="en-US"/>
              </w:rPr>
              <w:t xml:space="preserve">Transakcje repo / sell/buy </w:t>
            </w:r>
            <w:r w:rsidR="00007405" w:rsidRPr="00C20D01">
              <w:rPr>
                <w:rFonts w:cs="Calibri"/>
                <w:color w:val="000000" w:themeColor="text1"/>
                <w:sz w:val="12"/>
                <w:szCs w:val="12"/>
                <w:lang w:val="en-US"/>
              </w:rPr>
              <w:t>back</w:t>
            </w:r>
          </w:p>
        </w:tc>
        <w:tc>
          <w:tcPr>
            <w:tcW w:w="1021" w:type="dxa"/>
            <w:tcBorders>
              <w:top w:val="nil"/>
              <w:left w:val="single" w:sz="8" w:space="0" w:color="0077BD"/>
              <w:bottom w:val="single" w:sz="4" w:space="0" w:color="0077BD"/>
              <w:right w:val="nil"/>
            </w:tcBorders>
            <w:shd w:val="clear" w:color="auto" w:fill="auto"/>
            <w:noWrap/>
            <w:vAlign w:val="center"/>
          </w:tcPr>
          <w:p w14:paraId="2E331A18" w14:textId="78A6AC0D" w:rsidR="00007405" w:rsidRPr="00C20D01" w:rsidRDefault="00007405" w:rsidP="007E6A0C">
            <w:pPr>
              <w:jc w:val="right"/>
              <w:rPr>
                <w:rFonts w:cs="Calibri"/>
                <w:color w:val="000000" w:themeColor="text1"/>
                <w:sz w:val="12"/>
                <w:szCs w:val="12"/>
                <w:lang w:val="en-US"/>
              </w:rPr>
            </w:pPr>
            <w:r w:rsidRPr="00C20D01">
              <w:rPr>
                <w:rFonts w:cs="Calibri"/>
                <w:color w:val="000000" w:themeColor="text1"/>
                <w:sz w:val="12"/>
                <w:szCs w:val="12"/>
              </w:rPr>
              <w:t>830 982</w:t>
            </w:r>
          </w:p>
        </w:tc>
        <w:tc>
          <w:tcPr>
            <w:tcW w:w="1021" w:type="dxa"/>
            <w:tcBorders>
              <w:top w:val="nil"/>
              <w:left w:val="single" w:sz="8" w:space="0" w:color="0077BD"/>
              <w:bottom w:val="single" w:sz="4" w:space="0" w:color="0077BD"/>
              <w:right w:val="nil"/>
            </w:tcBorders>
            <w:shd w:val="clear" w:color="auto" w:fill="auto"/>
            <w:noWrap/>
            <w:vAlign w:val="center"/>
          </w:tcPr>
          <w:p w14:paraId="555666E4" w14:textId="51D6E014" w:rsidR="00007405" w:rsidRPr="00C20D01" w:rsidRDefault="00007405" w:rsidP="007E6A0C">
            <w:pPr>
              <w:jc w:val="right"/>
              <w:rPr>
                <w:rFonts w:cs="Calibri"/>
                <w:color w:val="000000" w:themeColor="text1"/>
                <w:sz w:val="12"/>
                <w:szCs w:val="12"/>
                <w:lang w:val="en-US"/>
              </w:rPr>
            </w:pPr>
            <w:r w:rsidRPr="00C20D01">
              <w:rPr>
                <w:rFonts w:cs="Calibri"/>
                <w:color w:val="000000" w:themeColor="text1"/>
                <w:sz w:val="12"/>
                <w:szCs w:val="12"/>
              </w:rPr>
              <w:t>713 081</w:t>
            </w:r>
          </w:p>
        </w:tc>
        <w:tc>
          <w:tcPr>
            <w:tcW w:w="1021" w:type="dxa"/>
            <w:tcBorders>
              <w:top w:val="nil"/>
              <w:left w:val="single" w:sz="8" w:space="0" w:color="0077BD"/>
              <w:bottom w:val="single" w:sz="4" w:space="0" w:color="0077BD"/>
              <w:right w:val="nil"/>
            </w:tcBorders>
            <w:shd w:val="clear" w:color="auto" w:fill="auto"/>
            <w:noWrap/>
            <w:vAlign w:val="center"/>
          </w:tcPr>
          <w:p w14:paraId="6EB613F0" w14:textId="3B5F459F" w:rsidR="00007405" w:rsidRPr="00C20D01" w:rsidRDefault="00007405" w:rsidP="007E6A0C">
            <w:pPr>
              <w:jc w:val="right"/>
              <w:rPr>
                <w:rFonts w:cs="Calibri"/>
                <w:color w:val="000000" w:themeColor="text1"/>
                <w:sz w:val="12"/>
                <w:szCs w:val="12"/>
                <w:lang w:val="en-US"/>
              </w:rPr>
            </w:pPr>
            <w:r w:rsidRPr="00C20D01">
              <w:rPr>
                <w:rFonts w:cs="Calibri"/>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5A27D998" w14:textId="50FEB3E3" w:rsidR="00007405" w:rsidRPr="00C20D01" w:rsidRDefault="00007405" w:rsidP="007E6A0C">
            <w:pPr>
              <w:jc w:val="right"/>
              <w:rPr>
                <w:rFonts w:cs="Calibri"/>
                <w:color w:val="000000" w:themeColor="text1"/>
                <w:sz w:val="12"/>
                <w:szCs w:val="12"/>
                <w:lang w:val="en-US"/>
              </w:rPr>
            </w:pPr>
            <w:r w:rsidRPr="00C20D01">
              <w:rPr>
                <w:rFonts w:cs="Calibri"/>
                <w:color w:val="000000" w:themeColor="text1"/>
                <w:sz w:val="12"/>
                <w:szCs w:val="12"/>
              </w:rPr>
              <w:t>713 081</w:t>
            </w:r>
          </w:p>
        </w:tc>
        <w:tc>
          <w:tcPr>
            <w:tcW w:w="1021" w:type="dxa"/>
            <w:tcBorders>
              <w:top w:val="nil"/>
              <w:left w:val="single" w:sz="8" w:space="0" w:color="0077BD"/>
              <w:bottom w:val="single" w:sz="4" w:space="0" w:color="0077BD"/>
              <w:right w:val="nil"/>
            </w:tcBorders>
            <w:shd w:val="clear" w:color="auto" w:fill="auto"/>
            <w:noWrap/>
            <w:vAlign w:val="center"/>
          </w:tcPr>
          <w:p w14:paraId="45D37C5A" w14:textId="5647DE1C" w:rsidR="00007405" w:rsidRPr="00C20D01" w:rsidRDefault="00007405" w:rsidP="007E6A0C">
            <w:pPr>
              <w:jc w:val="right"/>
              <w:rPr>
                <w:rFonts w:cs="Calibri"/>
                <w:color w:val="000000" w:themeColor="text1"/>
                <w:sz w:val="12"/>
                <w:szCs w:val="12"/>
                <w:lang w:val="en-US"/>
              </w:rPr>
            </w:pPr>
            <w:r w:rsidRPr="00C20D01">
              <w:rPr>
                <w:rFonts w:cs="Calibri"/>
                <w:color w:val="000000" w:themeColor="text1"/>
                <w:sz w:val="12"/>
                <w:szCs w:val="12"/>
              </w:rPr>
              <w:t>-</w:t>
            </w:r>
          </w:p>
        </w:tc>
      </w:tr>
      <w:tr w:rsidR="00007405" w:rsidRPr="00C20D01" w14:paraId="1EDCD54E" w14:textId="77777777" w:rsidTr="0048054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6511077" w14:textId="77777777" w:rsidR="00007405" w:rsidRPr="00C20D01" w:rsidRDefault="00007405" w:rsidP="007E6A0C">
            <w:pPr>
              <w:rPr>
                <w:rFonts w:cs="Calibri"/>
                <w:b/>
                <w:bCs/>
                <w:color w:val="000000" w:themeColor="text1"/>
                <w:sz w:val="12"/>
                <w:szCs w:val="12"/>
              </w:rPr>
            </w:pPr>
            <w:r w:rsidRPr="00C20D01">
              <w:rPr>
                <w:rFonts w:cs="Calibri"/>
                <w:b/>
                <w:bCs/>
                <w:color w:val="000000" w:themeColor="text1"/>
                <w:sz w:val="12"/>
                <w:szCs w:val="12"/>
              </w:rPr>
              <w:t>Kredyty i pożyczki otrzymane</w:t>
            </w:r>
          </w:p>
        </w:tc>
        <w:tc>
          <w:tcPr>
            <w:tcW w:w="1021" w:type="dxa"/>
            <w:tcBorders>
              <w:top w:val="nil"/>
              <w:left w:val="single" w:sz="8" w:space="0" w:color="0077BD"/>
              <w:bottom w:val="single" w:sz="4" w:space="0" w:color="0077BD"/>
              <w:right w:val="nil"/>
            </w:tcBorders>
            <w:shd w:val="clear" w:color="auto" w:fill="auto"/>
            <w:noWrap/>
            <w:vAlign w:val="center"/>
          </w:tcPr>
          <w:p w14:paraId="7EF192EC" w14:textId="73ACD8F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747 381</w:t>
            </w:r>
          </w:p>
        </w:tc>
        <w:tc>
          <w:tcPr>
            <w:tcW w:w="1021" w:type="dxa"/>
            <w:tcBorders>
              <w:top w:val="nil"/>
              <w:left w:val="single" w:sz="8" w:space="0" w:color="0077BD"/>
              <w:bottom w:val="single" w:sz="4" w:space="0" w:color="0077BD"/>
              <w:right w:val="nil"/>
            </w:tcBorders>
            <w:shd w:val="clear" w:color="auto" w:fill="auto"/>
            <w:noWrap/>
            <w:vAlign w:val="center"/>
          </w:tcPr>
          <w:p w14:paraId="7A02AC8D" w14:textId="22B821F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3 457 264</w:t>
            </w:r>
          </w:p>
        </w:tc>
        <w:tc>
          <w:tcPr>
            <w:tcW w:w="1021" w:type="dxa"/>
            <w:tcBorders>
              <w:top w:val="nil"/>
              <w:left w:val="single" w:sz="8" w:space="0" w:color="0077BD"/>
              <w:bottom w:val="single" w:sz="4" w:space="0" w:color="0077BD"/>
              <w:right w:val="nil"/>
            </w:tcBorders>
            <w:shd w:val="clear" w:color="auto" w:fill="auto"/>
            <w:noWrap/>
            <w:vAlign w:val="center"/>
          </w:tcPr>
          <w:p w14:paraId="53A2A511" w14:textId="0CFB6F33"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w:t>
            </w:r>
          </w:p>
        </w:tc>
        <w:tc>
          <w:tcPr>
            <w:tcW w:w="1021" w:type="dxa"/>
            <w:tcBorders>
              <w:top w:val="nil"/>
              <w:left w:val="single" w:sz="8" w:space="0" w:color="0077BD"/>
              <w:bottom w:val="single" w:sz="4" w:space="0" w:color="0077BD"/>
              <w:right w:val="nil"/>
            </w:tcBorders>
            <w:shd w:val="clear" w:color="auto" w:fill="auto"/>
            <w:noWrap/>
            <w:vAlign w:val="center"/>
          </w:tcPr>
          <w:p w14:paraId="21A36328" w14:textId="24E5BE09"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3 457 264</w:t>
            </w:r>
          </w:p>
        </w:tc>
        <w:tc>
          <w:tcPr>
            <w:tcW w:w="1021" w:type="dxa"/>
            <w:tcBorders>
              <w:top w:val="nil"/>
              <w:left w:val="single" w:sz="8" w:space="0" w:color="0077BD"/>
              <w:bottom w:val="single" w:sz="4" w:space="0" w:color="0077BD"/>
              <w:right w:val="nil"/>
            </w:tcBorders>
            <w:shd w:val="clear" w:color="auto" w:fill="auto"/>
            <w:noWrap/>
            <w:vAlign w:val="center"/>
          </w:tcPr>
          <w:p w14:paraId="141FB12D" w14:textId="1CB83630"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w:t>
            </w:r>
          </w:p>
        </w:tc>
      </w:tr>
      <w:tr w:rsidR="00007405" w:rsidRPr="00C20D01" w14:paraId="2D068FE6" w14:textId="77777777" w:rsidTr="0048054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18EFCF87" w14:textId="77777777" w:rsidR="00007405" w:rsidRPr="00C20D01" w:rsidRDefault="00007405" w:rsidP="007E6A0C">
            <w:pPr>
              <w:rPr>
                <w:rFonts w:cs="Calibri"/>
                <w:b/>
                <w:bCs/>
                <w:color w:val="000000" w:themeColor="text1"/>
                <w:sz w:val="12"/>
                <w:szCs w:val="12"/>
              </w:rPr>
            </w:pPr>
            <w:r w:rsidRPr="00C20D01">
              <w:rPr>
                <w:rFonts w:cs="Calibri"/>
                <w:b/>
                <w:bCs/>
                <w:color w:val="000000" w:themeColor="text1"/>
                <w:sz w:val="12"/>
                <w:szCs w:val="12"/>
              </w:rPr>
              <w:t>Pozostałe zobowiązania finansowe</w:t>
            </w:r>
          </w:p>
        </w:tc>
        <w:tc>
          <w:tcPr>
            <w:tcW w:w="1021" w:type="dxa"/>
            <w:tcBorders>
              <w:top w:val="nil"/>
              <w:left w:val="single" w:sz="8" w:space="0" w:color="0077BD"/>
              <w:bottom w:val="single" w:sz="4" w:space="0" w:color="0077BD"/>
              <w:right w:val="nil"/>
            </w:tcBorders>
            <w:shd w:val="clear" w:color="auto" w:fill="auto"/>
            <w:noWrap/>
            <w:vAlign w:val="center"/>
          </w:tcPr>
          <w:p w14:paraId="42F93EBE" w14:textId="4CF19E3C"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509 883</w:t>
            </w:r>
          </w:p>
        </w:tc>
        <w:tc>
          <w:tcPr>
            <w:tcW w:w="1021" w:type="dxa"/>
            <w:tcBorders>
              <w:top w:val="nil"/>
              <w:left w:val="single" w:sz="8" w:space="0" w:color="0077BD"/>
              <w:bottom w:val="single" w:sz="4" w:space="0" w:color="0077BD"/>
              <w:right w:val="nil"/>
            </w:tcBorders>
            <w:shd w:val="clear" w:color="auto" w:fill="auto"/>
            <w:noWrap/>
            <w:vAlign w:val="center"/>
          </w:tcPr>
          <w:p w14:paraId="2A1BFA5A" w14:textId="00B4632C"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752 806</w:t>
            </w:r>
          </w:p>
        </w:tc>
        <w:tc>
          <w:tcPr>
            <w:tcW w:w="1021" w:type="dxa"/>
            <w:tcBorders>
              <w:top w:val="nil"/>
              <w:left w:val="single" w:sz="8" w:space="0" w:color="0077BD"/>
              <w:bottom w:val="single" w:sz="4" w:space="0" w:color="0077BD"/>
              <w:right w:val="nil"/>
            </w:tcBorders>
            <w:shd w:val="clear" w:color="auto" w:fill="auto"/>
            <w:noWrap/>
            <w:vAlign w:val="center"/>
          </w:tcPr>
          <w:p w14:paraId="0E602923" w14:textId="234D3294"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157 541</w:t>
            </w:r>
          </w:p>
        </w:tc>
        <w:tc>
          <w:tcPr>
            <w:tcW w:w="1021" w:type="dxa"/>
            <w:tcBorders>
              <w:top w:val="nil"/>
              <w:left w:val="single" w:sz="8" w:space="0" w:color="0077BD"/>
              <w:bottom w:val="single" w:sz="4" w:space="0" w:color="0077BD"/>
              <w:right w:val="nil"/>
            </w:tcBorders>
            <w:shd w:val="clear" w:color="auto" w:fill="auto"/>
            <w:noWrap/>
            <w:vAlign w:val="center"/>
          </w:tcPr>
          <w:p w14:paraId="1A16E069" w14:textId="639A15F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594 706</w:t>
            </w:r>
          </w:p>
        </w:tc>
        <w:tc>
          <w:tcPr>
            <w:tcW w:w="1021" w:type="dxa"/>
            <w:tcBorders>
              <w:top w:val="nil"/>
              <w:left w:val="single" w:sz="8" w:space="0" w:color="0077BD"/>
              <w:bottom w:val="single" w:sz="4" w:space="0" w:color="0077BD"/>
              <w:right w:val="nil"/>
            </w:tcBorders>
            <w:shd w:val="clear" w:color="auto" w:fill="auto"/>
            <w:noWrap/>
            <w:vAlign w:val="center"/>
          </w:tcPr>
          <w:p w14:paraId="7AABD490" w14:textId="29493434"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559</w:t>
            </w:r>
          </w:p>
        </w:tc>
      </w:tr>
      <w:tr w:rsidR="00007405" w:rsidRPr="00C20D01" w14:paraId="43FDD2C4" w14:textId="77777777" w:rsidTr="00480542">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6FCB407F" w14:textId="77777777" w:rsidR="00007405" w:rsidRPr="00C20D01" w:rsidRDefault="00007405" w:rsidP="007E6A0C">
            <w:pPr>
              <w:rPr>
                <w:rFonts w:cs="Calibri"/>
                <w:color w:val="000000" w:themeColor="text1"/>
                <w:sz w:val="12"/>
                <w:szCs w:val="12"/>
              </w:rPr>
            </w:pPr>
            <w:r w:rsidRPr="00C20D01">
              <w:rPr>
                <w:rFonts w:cs="Calibri"/>
                <w:color w:val="000000" w:themeColor="text1"/>
                <w:sz w:val="12"/>
                <w:szCs w:val="12"/>
              </w:rPr>
              <w:t>Zobowiązania z tytułu zabezpieczeń pieniężnych</w:t>
            </w:r>
          </w:p>
        </w:tc>
        <w:tc>
          <w:tcPr>
            <w:tcW w:w="1021" w:type="dxa"/>
            <w:tcBorders>
              <w:top w:val="nil"/>
              <w:left w:val="single" w:sz="8" w:space="0" w:color="0077BD"/>
              <w:bottom w:val="single" w:sz="4" w:space="0" w:color="0077BD"/>
              <w:right w:val="nil"/>
            </w:tcBorders>
            <w:shd w:val="clear" w:color="auto" w:fill="auto"/>
            <w:noWrap/>
            <w:vAlign w:val="center"/>
          </w:tcPr>
          <w:p w14:paraId="63762F16" w14:textId="79638401"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348 776</w:t>
            </w:r>
          </w:p>
        </w:tc>
        <w:tc>
          <w:tcPr>
            <w:tcW w:w="1021" w:type="dxa"/>
            <w:tcBorders>
              <w:top w:val="nil"/>
              <w:left w:val="single" w:sz="8" w:space="0" w:color="0077BD"/>
              <w:bottom w:val="single" w:sz="4" w:space="0" w:color="0077BD"/>
              <w:right w:val="nil"/>
            </w:tcBorders>
            <w:shd w:val="clear" w:color="auto" w:fill="auto"/>
            <w:noWrap/>
            <w:vAlign w:val="center"/>
          </w:tcPr>
          <w:p w14:paraId="68CCDCBF" w14:textId="41977023"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396 704</w:t>
            </w:r>
          </w:p>
        </w:tc>
        <w:tc>
          <w:tcPr>
            <w:tcW w:w="1021" w:type="dxa"/>
            <w:tcBorders>
              <w:top w:val="nil"/>
              <w:left w:val="single" w:sz="8" w:space="0" w:color="0077BD"/>
              <w:bottom w:val="single" w:sz="4" w:space="0" w:color="0077BD"/>
              <w:right w:val="nil"/>
            </w:tcBorders>
            <w:shd w:val="clear" w:color="auto" w:fill="auto"/>
            <w:noWrap/>
            <w:vAlign w:val="center"/>
          </w:tcPr>
          <w:p w14:paraId="163D7BC8" w14:textId="69B5CB19"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51 390</w:t>
            </w:r>
          </w:p>
        </w:tc>
        <w:tc>
          <w:tcPr>
            <w:tcW w:w="1021" w:type="dxa"/>
            <w:tcBorders>
              <w:top w:val="nil"/>
              <w:left w:val="single" w:sz="8" w:space="0" w:color="0077BD"/>
              <w:bottom w:val="single" w:sz="4" w:space="0" w:color="0077BD"/>
              <w:right w:val="nil"/>
            </w:tcBorders>
            <w:shd w:val="clear" w:color="auto" w:fill="auto"/>
            <w:noWrap/>
            <w:vAlign w:val="center"/>
          </w:tcPr>
          <w:p w14:paraId="4FC26CD0" w14:textId="7E3D7CDB"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345 314</w:t>
            </w:r>
          </w:p>
        </w:tc>
        <w:tc>
          <w:tcPr>
            <w:tcW w:w="1021" w:type="dxa"/>
            <w:tcBorders>
              <w:top w:val="nil"/>
              <w:left w:val="single" w:sz="8" w:space="0" w:color="0077BD"/>
              <w:bottom w:val="single" w:sz="4" w:space="0" w:color="0077BD"/>
              <w:right w:val="nil"/>
            </w:tcBorders>
            <w:shd w:val="clear" w:color="auto" w:fill="auto"/>
            <w:noWrap/>
            <w:vAlign w:val="center"/>
          </w:tcPr>
          <w:p w14:paraId="70D55A80" w14:textId="17EBEAA7"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w:t>
            </w:r>
          </w:p>
        </w:tc>
      </w:tr>
      <w:tr w:rsidR="00007405" w:rsidRPr="00C20D01" w14:paraId="2ACFA789" w14:textId="77777777" w:rsidTr="00480542">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C66F85E" w14:textId="77777777" w:rsidR="00007405" w:rsidRPr="00C20D01" w:rsidRDefault="00007405" w:rsidP="007E6A0C">
            <w:pPr>
              <w:rPr>
                <w:rFonts w:cs="Calibri"/>
                <w:color w:val="000000" w:themeColor="text1"/>
                <w:sz w:val="12"/>
                <w:szCs w:val="12"/>
              </w:rPr>
            </w:pPr>
            <w:r w:rsidRPr="00C20D01">
              <w:rPr>
                <w:rFonts w:cs="Calibri"/>
                <w:color w:val="000000" w:themeColor="text1"/>
                <w:sz w:val="12"/>
                <w:szCs w:val="12"/>
              </w:rPr>
              <w:t>Inne</w:t>
            </w:r>
          </w:p>
        </w:tc>
        <w:tc>
          <w:tcPr>
            <w:tcW w:w="1021" w:type="dxa"/>
            <w:tcBorders>
              <w:top w:val="nil"/>
              <w:left w:val="single" w:sz="8" w:space="0" w:color="0077BD"/>
              <w:bottom w:val="single" w:sz="4" w:space="0" w:color="0077BD"/>
              <w:right w:val="nil"/>
            </w:tcBorders>
            <w:shd w:val="clear" w:color="auto" w:fill="auto"/>
            <w:noWrap/>
            <w:vAlign w:val="center"/>
          </w:tcPr>
          <w:p w14:paraId="755310D3" w14:textId="7E989C88" w:rsidR="00007405" w:rsidRPr="00C20D01" w:rsidRDefault="003F5310" w:rsidP="003F5310">
            <w:pPr>
              <w:jc w:val="right"/>
              <w:rPr>
                <w:rFonts w:cs="Calibri"/>
                <w:color w:val="000000" w:themeColor="text1"/>
                <w:sz w:val="12"/>
                <w:szCs w:val="12"/>
              </w:rPr>
            </w:pPr>
            <w:r w:rsidRPr="00C20D01">
              <w:rPr>
                <w:rFonts w:cs="Calibri"/>
                <w:color w:val="000000" w:themeColor="text1"/>
                <w:sz w:val="12"/>
                <w:szCs w:val="12"/>
              </w:rPr>
              <w:t>161</w:t>
            </w:r>
            <w:r w:rsidR="00007405" w:rsidRPr="00C20D01">
              <w:rPr>
                <w:rFonts w:cs="Calibri"/>
                <w:color w:val="000000" w:themeColor="text1"/>
                <w:sz w:val="12"/>
                <w:szCs w:val="12"/>
              </w:rPr>
              <w:t xml:space="preserve"> </w:t>
            </w:r>
            <w:r w:rsidRPr="00C20D01">
              <w:rPr>
                <w:rFonts w:cs="Calibri"/>
                <w:color w:val="000000" w:themeColor="text1"/>
                <w:sz w:val="12"/>
                <w:szCs w:val="12"/>
              </w:rPr>
              <w:t>107</w:t>
            </w:r>
          </w:p>
        </w:tc>
        <w:tc>
          <w:tcPr>
            <w:tcW w:w="1021" w:type="dxa"/>
            <w:tcBorders>
              <w:top w:val="nil"/>
              <w:left w:val="single" w:sz="8" w:space="0" w:color="0077BD"/>
              <w:bottom w:val="single" w:sz="4" w:space="0" w:color="0077BD"/>
              <w:right w:val="nil"/>
            </w:tcBorders>
            <w:shd w:val="clear" w:color="auto" w:fill="auto"/>
            <w:noWrap/>
            <w:vAlign w:val="center"/>
          </w:tcPr>
          <w:p w14:paraId="75BE0377" w14:textId="21ED0C7A" w:rsidR="00007405" w:rsidRPr="00C20D01" w:rsidRDefault="003F5310" w:rsidP="007E6A0C">
            <w:pPr>
              <w:jc w:val="right"/>
              <w:rPr>
                <w:rFonts w:cs="Calibri"/>
                <w:color w:val="000000" w:themeColor="text1"/>
                <w:sz w:val="12"/>
                <w:szCs w:val="12"/>
              </w:rPr>
            </w:pPr>
            <w:r w:rsidRPr="00C20D01">
              <w:rPr>
                <w:rFonts w:cs="Calibri"/>
                <w:color w:val="000000" w:themeColor="text1"/>
                <w:sz w:val="12"/>
                <w:szCs w:val="12"/>
              </w:rPr>
              <w:t>356 102</w:t>
            </w:r>
          </w:p>
        </w:tc>
        <w:tc>
          <w:tcPr>
            <w:tcW w:w="1021" w:type="dxa"/>
            <w:tcBorders>
              <w:top w:val="nil"/>
              <w:left w:val="single" w:sz="8" w:space="0" w:color="0077BD"/>
              <w:bottom w:val="single" w:sz="4" w:space="0" w:color="0077BD"/>
              <w:right w:val="nil"/>
            </w:tcBorders>
            <w:shd w:val="clear" w:color="auto" w:fill="auto"/>
            <w:noWrap/>
            <w:vAlign w:val="center"/>
          </w:tcPr>
          <w:p w14:paraId="1597E4F1" w14:textId="2AF38728" w:rsidR="00007405" w:rsidRPr="00C20D01" w:rsidRDefault="00B824B9" w:rsidP="007E6A0C">
            <w:pPr>
              <w:jc w:val="right"/>
              <w:rPr>
                <w:rFonts w:cs="Calibri"/>
                <w:color w:val="000000" w:themeColor="text1"/>
                <w:sz w:val="12"/>
                <w:szCs w:val="12"/>
              </w:rPr>
            </w:pPr>
            <w:r w:rsidRPr="00C20D01">
              <w:rPr>
                <w:rFonts w:cs="Calibri"/>
                <w:color w:val="000000" w:themeColor="text1"/>
                <w:sz w:val="12"/>
                <w:szCs w:val="12"/>
              </w:rPr>
              <w:t>106 151</w:t>
            </w:r>
          </w:p>
        </w:tc>
        <w:tc>
          <w:tcPr>
            <w:tcW w:w="1021" w:type="dxa"/>
            <w:tcBorders>
              <w:top w:val="nil"/>
              <w:left w:val="single" w:sz="8" w:space="0" w:color="0077BD"/>
              <w:bottom w:val="single" w:sz="4" w:space="0" w:color="0077BD"/>
              <w:right w:val="nil"/>
            </w:tcBorders>
            <w:shd w:val="clear" w:color="auto" w:fill="auto"/>
            <w:noWrap/>
            <w:vAlign w:val="center"/>
          </w:tcPr>
          <w:p w14:paraId="7F36BD00" w14:textId="4988C2A7" w:rsidR="00007405" w:rsidRPr="00C20D01" w:rsidRDefault="00B824B9" w:rsidP="007E6A0C">
            <w:pPr>
              <w:jc w:val="right"/>
              <w:rPr>
                <w:rFonts w:cs="Calibri"/>
                <w:color w:val="000000" w:themeColor="text1"/>
                <w:sz w:val="12"/>
                <w:szCs w:val="12"/>
              </w:rPr>
            </w:pPr>
            <w:r w:rsidRPr="00C20D01">
              <w:rPr>
                <w:rFonts w:cs="Calibri"/>
                <w:color w:val="000000" w:themeColor="text1"/>
                <w:sz w:val="12"/>
                <w:szCs w:val="12"/>
              </w:rPr>
              <w:t>249 392</w:t>
            </w:r>
          </w:p>
        </w:tc>
        <w:tc>
          <w:tcPr>
            <w:tcW w:w="1021" w:type="dxa"/>
            <w:tcBorders>
              <w:top w:val="nil"/>
              <w:left w:val="single" w:sz="8" w:space="0" w:color="0077BD"/>
              <w:bottom w:val="single" w:sz="4" w:space="0" w:color="0077BD"/>
              <w:right w:val="nil"/>
            </w:tcBorders>
            <w:shd w:val="clear" w:color="auto" w:fill="auto"/>
            <w:noWrap/>
            <w:vAlign w:val="center"/>
          </w:tcPr>
          <w:p w14:paraId="71FDA5D4" w14:textId="02449459" w:rsidR="00007405" w:rsidRPr="00C20D01" w:rsidRDefault="00B824B9" w:rsidP="007E6A0C">
            <w:pPr>
              <w:jc w:val="right"/>
              <w:rPr>
                <w:rFonts w:cs="Calibri"/>
                <w:color w:val="000000" w:themeColor="text1"/>
                <w:sz w:val="12"/>
                <w:szCs w:val="12"/>
              </w:rPr>
            </w:pPr>
            <w:r w:rsidRPr="00C20D01">
              <w:rPr>
                <w:rFonts w:cs="Calibri"/>
                <w:color w:val="000000" w:themeColor="text1"/>
                <w:sz w:val="12"/>
                <w:szCs w:val="12"/>
              </w:rPr>
              <w:t>559</w:t>
            </w:r>
          </w:p>
        </w:tc>
      </w:tr>
      <w:tr w:rsidR="00007405" w:rsidRPr="00C20D01" w14:paraId="7A6446D0" w14:textId="77777777" w:rsidTr="007E6A0C">
        <w:trPr>
          <w:trHeight w:val="340"/>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B5AED6F" w14:textId="77777777" w:rsidR="00007405" w:rsidRPr="00C20D01" w:rsidRDefault="00007405" w:rsidP="007E6A0C">
            <w:pPr>
              <w:rPr>
                <w:rFonts w:cs="Calibri"/>
                <w:b/>
                <w:bCs/>
                <w:color w:val="000000" w:themeColor="text1"/>
                <w:sz w:val="12"/>
                <w:szCs w:val="12"/>
              </w:rPr>
            </w:pPr>
            <w:r w:rsidRPr="00C20D01">
              <w:rPr>
                <w:rFonts w:cs="Calibri"/>
                <w:b/>
                <w:bCs/>
                <w:color w:val="000000" w:themeColor="text1"/>
                <w:sz w:val="12"/>
                <w:szCs w:val="12"/>
              </w:rPr>
              <w:t>Wartość bilansowa depozytów oraz pozostałych zobowiązań finansowych</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6A53C424" w14:textId="2F641542"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3 108 826</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106B3857" w14:textId="0463267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102 009 062</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7C5D18C0" w14:textId="6AC702C9"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65 923 565</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1A8B71F7" w14:textId="6FC2C045"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35 346 303</w:t>
            </w:r>
          </w:p>
        </w:tc>
        <w:tc>
          <w:tcPr>
            <w:tcW w:w="1021" w:type="dxa"/>
            <w:tcBorders>
              <w:top w:val="single" w:sz="8" w:space="0" w:color="0077BD"/>
              <w:left w:val="single" w:sz="8" w:space="0" w:color="0077BD"/>
              <w:bottom w:val="single" w:sz="8" w:space="0" w:color="0077BD"/>
              <w:right w:val="nil"/>
            </w:tcBorders>
            <w:shd w:val="clear" w:color="auto" w:fill="auto"/>
            <w:noWrap/>
            <w:vAlign w:val="center"/>
          </w:tcPr>
          <w:p w14:paraId="729FE014" w14:textId="1D56FC99" w:rsidR="00007405" w:rsidRPr="00C20D01" w:rsidRDefault="00007405" w:rsidP="007E6A0C">
            <w:pPr>
              <w:jc w:val="right"/>
              <w:rPr>
                <w:rFonts w:cs="Calibri"/>
                <w:b/>
                <w:bCs/>
                <w:color w:val="000000" w:themeColor="text1"/>
                <w:sz w:val="12"/>
                <w:szCs w:val="12"/>
              </w:rPr>
            </w:pPr>
            <w:r w:rsidRPr="00C20D01">
              <w:rPr>
                <w:rFonts w:cs="Calibri"/>
                <w:b/>
                <w:bCs/>
                <w:color w:val="000000" w:themeColor="text1"/>
                <w:sz w:val="12"/>
                <w:szCs w:val="12"/>
              </w:rPr>
              <w:t>739 194</w:t>
            </w:r>
          </w:p>
        </w:tc>
      </w:tr>
      <w:tr w:rsidR="00007405" w:rsidRPr="00C20D01" w14:paraId="575CA288" w14:textId="77777777" w:rsidTr="00007405">
        <w:trPr>
          <w:trHeight w:val="20"/>
        </w:trPr>
        <w:tc>
          <w:tcPr>
            <w:tcW w:w="0" w:type="auto"/>
            <w:tcBorders>
              <w:top w:val="nil"/>
              <w:left w:val="nil"/>
              <w:bottom w:val="nil"/>
              <w:right w:val="nil"/>
            </w:tcBorders>
            <w:shd w:val="clear" w:color="000000" w:fill="FFFFFF"/>
            <w:vAlign w:val="center"/>
          </w:tcPr>
          <w:p w14:paraId="73FD9AF6" w14:textId="77777777" w:rsidR="00007405" w:rsidRPr="00C20D01" w:rsidRDefault="00007405" w:rsidP="00573C04">
            <w:pPr>
              <w:rPr>
                <w:rFonts w:cs="Calibri"/>
                <w:color w:val="000000" w:themeColor="text1"/>
                <w:sz w:val="12"/>
                <w:szCs w:val="12"/>
              </w:rPr>
            </w:pPr>
          </w:p>
        </w:tc>
        <w:tc>
          <w:tcPr>
            <w:tcW w:w="1021" w:type="dxa"/>
            <w:tcBorders>
              <w:top w:val="nil"/>
              <w:left w:val="nil"/>
              <w:bottom w:val="nil"/>
              <w:right w:val="nil"/>
            </w:tcBorders>
            <w:shd w:val="clear" w:color="auto" w:fill="auto"/>
            <w:noWrap/>
            <w:vAlign w:val="center"/>
          </w:tcPr>
          <w:p w14:paraId="632EC3E1" w14:textId="77777777" w:rsidR="00007405" w:rsidRPr="00C20D01" w:rsidRDefault="00007405" w:rsidP="00573C04">
            <w:pPr>
              <w:rPr>
                <w:rFonts w:cs="Calibri"/>
                <w:color w:val="000000" w:themeColor="text1"/>
                <w:sz w:val="12"/>
                <w:szCs w:val="12"/>
              </w:rPr>
            </w:pPr>
          </w:p>
        </w:tc>
        <w:tc>
          <w:tcPr>
            <w:tcW w:w="1021" w:type="dxa"/>
            <w:tcBorders>
              <w:top w:val="nil"/>
              <w:left w:val="nil"/>
              <w:bottom w:val="single" w:sz="8" w:space="0" w:color="0077BD"/>
              <w:right w:val="nil"/>
            </w:tcBorders>
            <w:shd w:val="clear" w:color="auto" w:fill="auto"/>
            <w:noWrap/>
            <w:vAlign w:val="center"/>
          </w:tcPr>
          <w:p w14:paraId="315CE3B6"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53989588"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1FAD6923" w14:textId="77777777" w:rsidR="00007405" w:rsidRPr="00C20D01" w:rsidRDefault="00007405" w:rsidP="00573C04">
            <w:pPr>
              <w:rPr>
                <w:color w:val="000000" w:themeColor="text1"/>
                <w:sz w:val="12"/>
                <w:szCs w:val="12"/>
              </w:rPr>
            </w:pPr>
          </w:p>
        </w:tc>
        <w:tc>
          <w:tcPr>
            <w:tcW w:w="1021" w:type="dxa"/>
            <w:tcBorders>
              <w:top w:val="nil"/>
              <w:left w:val="nil"/>
              <w:bottom w:val="nil"/>
              <w:right w:val="nil"/>
            </w:tcBorders>
            <w:shd w:val="clear" w:color="auto" w:fill="auto"/>
            <w:noWrap/>
            <w:vAlign w:val="center"/>
          </w:tcPr>
          <w:p w14:paraId="5AA71850" w14:textId="77777777" w:rsidR="00007405" w:rsidRPr="00C20D01" w:rsidRDefault="00007405" w:rsidP="00573C04">
            <w:pPr>
              <w:rPr>
                <w:color w:val="000000" w:themeColor="text1"/>
                <w:sz w:val="12"/>
                <w:szCs w:val="12"/>
              </w:rPr>
            </w:pPr>
          </w:p>
        </w:tc>
      </w:tr>
      <w:tr w:rsidR="00007405" w:rsidRPr="00C20D01" w14:paraId="3E498807" w14:textId="77777777" w:rsidTr="00007405">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17D423B6" w14:textId="77777777" w:rsidR="00007405" w:rsidRPr="00C20D01" w:rsidRDefault="00007405" w:rsidP="00097CE6">
            <w:pPr>
              <w:rPr>
                <w:rFonts w:cs="Calibri"/>
                <w:color w:val="000000" w:themeColor="text1"/>
                <w:sz w:val="12"/>
                <w:szCs w:val="12"/>
              </w:rPr>
            </w:pPr>
            <w:r w:rsidRPr="00C20D01">
              <w:rPr>
                <w:rFonts w:cs="Calibri"/>
                <w:color w:val="000000" w:themeColor="text1"/>
                <w:sz w:val="12"/>
                <w:szCs w:val="12"/>
              </w:rPr>
              <w:t>Krótkoterminowe (do 1 roku)</w:t>
            </w:r>
          </w:p>
        </w:tc>
        <w:tc>
          <w:tcPr>
            <w:tcW w:w="1021"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406AAA99" w14:textId="263FB641" w:rsidR="00007405" w:rsidRPr="00C20D01" w:rsidRDefault="00007405" w:rsidP="007E6A0C">
            <w:pPr>
              <w:jc w:val="right"/>
              <w:rPr>
                <w:rFonts w:cs="Calibri"/>
                <w:color w:val="000000" w:themeColor="text1"/>
                <w:sz w:val="12"/>
                <w:szCs w:val="12"/>
              </w:rPr>
            </w:pPr>
            <w:r w:rsidRPr="00C20D01">
              <w:rPr>
                <w:rFonts w:cs="Calibri"/>
                <w:color w:val="000000" w:themeColor="text1"/>
                <w:sz w:val="12"/>
                <w:szCs w:val="12"/>
              </w:rPr>
              <w:t>2 920 767</w:t>
            </w:r>
          </w:p>
        </w:tc>
        <w:tc>
          <w:tcPr>
            <w:tcW w:w="1021" w:type="dxa"/>
            <w:tcBorders>
              <w:top w:val="single" w:sz="8" w:space="0" w:color="0077BD"/>
              <w:left w:val="single" w:sz="8" w:space="0" w:color="0077BD"/>
              <w:bottom w:val="single" w:sz="8" w:space="0" w:color="0077BD"/>
            </w:tcBorders>
            <w:shd w:val="clear" w:color="auto" w:fill="auto"/>
            <w:noWrap/>
            <w:vAlign w:val="center"/>
            <w:hideMark/>
          </w:tcPr>
          <w:p w14:paraId="17A85E5A" w14:textId="5FEC2B5E" w:rsidR="00007405" w:rsidRPr="00C20D01" w:rsidRDefault="00007405" w:rsidP="00097CE6">
            <w:pPr>
              <w:jc w:val="right"/>
              <w:rPr>
                <w:rFonts w:cs="Calibri"/>
                <w:color w:val="000000" w:themeColor="text1"/>
                <w:sz w:val="12"/>
                <w:szCs w:val="12"/>
              </w:rPr>
            </w:pPr>
            <w:r w:rsidRPr="00C20D01">
              <w:rPr>
                <w:rFonts w:cs="Calibri"/>
                <w:color w:val="000000" w:themeColor="text1"/>
                <w:sz w:val="12"/>
                <w:szCs w:val="12"/>
              </w:rPr>
              <w:t>97 735 387</w:t>
            </w:r>
          </w:p>
        </w:tc>
        <w:tc>
          <w:tcPr>
            <w:tcW w:w="1021" w:type="dxa"/>
            <w:tcBorders>
              <w:top w:val="nil"/>
              <w:left w:val="nil"/>
              <w:bottom w:val="nil"/>
              <w:right w:val="nil"/>
            </w:tcBorders>
            <w:shd w:val="clear" w:color="auto" w:fill="auto"/>
            <w:noWrap/>
            <w:vAlign w:val="center"/>
            <w:hideMark/>
          </w:tcPr>
          <w:p w14:paraId="31385546" w14:textId="77777777" w:rsidR="00007405" w:rsidRPr="00C20D01" w:rsidRDefault="00007405" w:rsidP="00097CE6">
            <w:pPr>
              <w:jc w:val="right"/>
              <w:rPr>
                <w:rFonts w:cs="Calibri"/>
                <w:color w:val="000000" w:themeColor="text1"/>
                <w:sz w:val="12"/>
                <w:szCs w:val="12"/>
              </w:rPr>
            </w:pPr>
          </w:p>
        </w:tc>
        <w:tc>
          <w:tcPr>
            <w:tcW w:w="1021" w:type="dxa"/>
            <w:tcBorders>
              <w:top w:val="nil"/>
              <w:left w:val="nil"/>
              <w:bottom w:val="nil"/>
              <w:right w:val="nil"/>
            </w:tcBorders>
            <w:shd w:val="clear" w:color="auto" w:fill="auto"/>
            <w:noWrap/>
            <w:vAlign w:val="center"/>
            <w:hideMark/>
          </w:tcPr>
          <w:p w14:paraId="592C2935" w14:textId="77777777" w:rsidR="00007405" w:rsidRPr="00C20D01" w:rsidRDefault="00007405" w:rsidP="00097CE6">
            <w:pPr>
              <w:rPr>
                <w:color w:val="000000" w:themeColor="text1"/>
                <w:sz w:val="12"/>
                <w:szCs w:val="12"/>
              </w:rPr>
            </w:pPr>
          </w:p>
        </w:tc>
        <w:tc>
          <w:tcPr>
            <w:tcW w:w="1021" w:type="dxa"/>
            <w:tcBorders>
              <w:top w:val="nil"/>
              <w:left w:val="nil"/>
              <w:bottom w:val="nil"/>
              <w:right w:val="nil"/>
            </w:tcBorders>
            <w:shd w:val="clear" w:color="auto" w:fill="auto"/>
            <w:noWrap/>
            <w:vAlign w:val="center"/>
            <w:hideMark/>
          </w:tcPr>
          <w:p w14:paraId="0E35BABC" w14:textId="77777777" w:rsidR="00007405" w:rsidRPr="00C20D01" w:rsidRDefault="00007405" w:rsidP="00097CE6">
            <w:pPr>
              <w:rPr>
                <w:color w:val="000000" w:themeColor="text1"/>
                <w:sz w:val="12"/>
                <w:szCs w:val="12"/>
              </w:rPr>
            </w:pPr>
          </w:p>
        </w:tc>
      </w:tr>
      <w:tr w:rsidR="00007405" w:rsidRPr="00C20D01" w14:paraId="1B8AAB8E" w14:textId="77777777" w:rsidTr="00007405">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25F44432" w14:textId="77777777" w:rsidR="00007405" w:rsidRPr="00C20D01" w:rsidRDefault="00007405" w:rsidP="00097CE6">
            <w:pPr>
              <w:rPr>
                <w:rFonts w:cs="Calibri"/>
                <w:color w:val="000000" w:themeColor="text1"/>
                <w:sz w:val="12"/>
                <w:szCs w:val="12"/>
              </w:rPr>
            </w:pPr>
            <w:r w:rsidRPr="00C20D01">
              <w:rPr>
                <w:rFonts w:cs="Calibri"/>
                <w:color w:val="000000" w:themeColor="text1"/>
                <w:sz w:val="12"/>
                <w:szCs w:val="12"/>
              </w:rPr>
              <w:t>Długoterminowe (ponad 1 roku)</w:t>
            </w:r>
          </w:p>
        </w:tc>
        <w:tc>
          <w:tcPr>
            <w:tcW w:w="1021" w:type="dxa"/>
            <w:tcBorders>
              <w:top w:val="nil"/>
              <w:left w:val="single" w:sz="8" w:space="0" w:color="0077BD"/>
              <w:bottom w:val="single" w:sz="8" w:space="0" w:color="0077BD"/>
              <w:right w:val="single" w:sz="8" w:space="0" w:color="0077BD"/>
            </w:tcBorders>
            <w:shd w:val="clear" w:color="auto" w:fill="auto"/>
            <w:noWrap/>
            <w:vAlign w:val="center"/>
            <w:hideMark/>
          </w:tcPr>
          <w:p w14:paraId="26E8E8DD" w14:textId="69C31A3C" w:rsidR="00007405" w:rsidRPr="00C20D01" w:rsidRDefault="00007405" w:rsidP="00097CE6">
            <w:pPr>
              <w:jc w:val="right"/>
              <w:rPr>
                <w:rFonts w:cs="Calibri"/>
                <w:color w:val="000000" w:themeColor="text1"/>
                <w:sz w:val="12"/>
                <w:szCs w:val="12"/>
              </w:rPr>
            </w:pPr>
            <w:r w:rsidRPr="00C20D01">
              <w:rPr>
                <w:rFonts w:cs="Calibri"/>
                <w:color w:val="000000" w:themeColor="text1"/>
                <w:sz w:val="12"/>
                <w:szCs w:val="12"/>
              </w:rPr>
              <w:t>188 059</w:t>
            </w:r>
          </w:p>
        </w:tc>
        <w:tc>
          <w:tcPr>
            <w:tcW w:w="1021" w:type="dxa"/>
            <w:tcBorders>
              <w:top w:val="single" w:sz="8" w:space="0" w:color="0077BD"/>
              <w:left w:val="single" w:sz="8" w:space="0" w:color="0077BD"/>
              <w:bottom w:val="single" w:sz="8" w:space="0" w:color="0077BD"/>
            </w:tcBorders>
            <w:shd w:val="clear" w:color="auto" w:fill="auto"/>
            <w:noWrap/>
            <w:vAlign w:val="center"/>
            <w:hideMark/>
          </w:tcPr>
          <w:p w14:paraId="101F5087" w14:textId="3845A7AE" w:rsidR="00007405" w:rsidRPr="00C20D01" w:rsidRDefault="00007405" w:rsidP="00097CE6">
            <w:pPr>
              <w:jc w:val="right"/>
              <w:rPr>
                <w:rFonts w:cs="Calibri"/>
                <w:color w:val="000000" w:themeColor="text1"/>
                <w:sz w:val="12"/>
                <w:szCs w:val="12"/>
              </w:rPr>
            </w:pPr>
            <w:r w:rsidRPr="00C20D01">
              <w:rPr>
                <w:rFonts w:cs="Calibri"/>
                <w:color w:val="000000" w:themeColor="text1"/>
                <w:sz w:val="12"/>
                <w:szCs w:val="12"/>
              </w:rPr>
              <w:t>4 273 675</w:t>
            </w:r>
          </w:p>
        </w:tc>
        <w:tc>
          <w:tcPr>
            <w:tcW w:w="1021" w:type="dxa"/>
            <w:tcBorders>
              <w:top w:val="nil"/>
              <w:left w:val="nil"/>
              <w:bottom w:val="nil"/>
              <w:right w:val="nil"/>
            </w:tcBorders>
            <w:shd w:val="clear" w:color="auto" w:fill="auto"/>
            <w:noWrap/>
            <w:vAlign w:val="center"/>
            <w:hideMark/>
          </w:tcPr>
          <w:p w14:paraId="1C60F275" w14:textId="77777777" w:rsidR="00007405" w:rsidRPr="00C20D01" w:rsidRDefault="00007405" w:rsidP="00097CE6">
            <w:pPr>
              <w:jc w:val="right"/>
              <w:rPr>
                <w:rFonts w:cs="Calibri"/>
                <w:color w:val="000000" w:themeColor="text1"/>
                <w:sz w:val="12"/>
                <w:szCs w:val="12"/>
              </w:rPr>
            </w:pPr>
          </w:p>
        </w:tc>
        <w:tc>
          <w:tcPr>
            <w:tcW w:w="1021" w:type="dxa"/>
            <w:tcBorders>
              <w:top w:val="nil"/>
              <w:left w:val="nil"/>
              <w:bottom w:val="nil"/>
              <w:right w:val="nil"/>
            </w:tcBorders>
            <w:shd w:val="clear" w:color="auto" w:fill="auto"/>
            <w:noWrap/>
            <w:vAlign w:val="center"/>
            <w:hideMark/>
          </w:tcPr>
          <w:p w14:paraId="4E423ACF" w14:textId="77777777" w:rsidR="00007405" w:rsidRPr="00C20D01" w:rsidRDefault="00007405" w:rsidP="00097CE6">
            <w:pPr>
              <w:rPr>
                <w:color w:val="000000" w:themeColor="text1"/>
                <w:sz w:val="12"/>
                <w:szCs w:val="12"/>
              </w:rPr>
            </w:pPr>
          </w:p>
        </w:tc>
        <w:tc>
          <w:tcPr>
            <w:tcW w:w="1021" w:type="dxa"/>
            <w:tcBorders>
              <w:top w:val="nil"/>
              <w:left w:val="nil"/>
              <w:bottom w:val="nil"/>
              <w:right w:val="nil"/>
            </w:tcBorders>
            <w:shd w:val="clear" w:color="auto" w:fill="auto"/>
            <w:noWrap/>
            <w:vAlign w:val="center"/>
            <w:hideMark/>
          </w:tcPr>
          <w:p w14:paraId="5DD6FBE7" w14:textId="77777777" w:rsidR="00007405" w:rsidRPr="00C20D01" w:rsidRDefault="00007405" w:rsidP="00097CE6">
            <w:pPr>
              <w:rPr>
                <w:color w:val="000000" w:themeColor="text1"/>
                <w:sz w:val="12"/>
                <w:szCs w:val="12"/>
              </w:rPr>
            </w:pPr>
          </w:p>
        </w:tc>
      </w:tr>
    </w:tbl>
    <w:p w14:paraId="5017D916" w14:textId="11219634" w:rsidR="00A66DF2" w:rsidRPr="00BB7C9E" w:rsidRDefault="00D71F0C" w:rsidP="00B73887">
      <w:pPr>
        <w:suppressAutoHyphens/>
        <w:spacing w:before="120"/>
        <w:ind w:right="68"/>
        <w:jc w:val="both"/>
        <w:rPr>
          <w:rFonts w:cs="Tahoma"/>
          <w:color w:val="000000" w:themeColor="text1"/>
          <w:sz w:val="18"/>
          <w:szCs w:val="18"/>
        </w:rPr>
      </w:pPr>
      <w:r w:rsidRPr="00D71F0C">
        <w:rPr>
          <w:rFonts w:cs="Tahoma"/>
          <w:color w:val="000000" w:themeColor="text1"/>
          <w:sz w:val="18"/>
          <w:szCs w:val="18"/>
        </w:rPr>
        <w:t>Na dzień 31 grudnia 2018 roku wartość depozytów innych</w:t>
      </w:r>
      <w:r w:rsidRPr="00BB7C9E">
        <w:rPr>
          <w:rFonts w:cs="Tahoma"/>
          <w:color w:val="000000" w:themeColor="text1"/>
          <w:sz w:val="18"/>
          <w:szCs w:val="18"/>
        </w:rPr>
        <w:t xml:space="preserve"> </w:t>
      </w:r>
      <w:r w:rsidRPr="00D71F0C">
        <w:rPr>
          <w:rFonts w:cs="Tahoma"/>
          <w:color w:val="000000" w:themeColor="text1"/>
          <w:sz w:val="18"/>
          <w:szCs w:val="18"/>
        </w:rPr>
        <w:t>banków o stałym oprocentowaniu wyniosła 156 391 tys</w:t>
      </w:r>
      <w:r>
        <w:rPr>
          <w:rFonts w:cs="Tahoma"/>
          <w:color w:val="000000" w:themeColor="text1"/>
          <w:sz w:val="18"/>
          <w:szCs w:val="18"/>
        </w:rPr>
        <w:t>. zł</w:t>
      </w:r>
      <w:r w:rsidR="00A66DF2" w:rsidRPr="00D71F0C">
        <w:rPr>
          <w:rFonts w:cs="Tahoma"/>
          <w:color w:val="000000" w:themeColor="text1"/>
          <w:sz w:val="18"/>
          <w:szCs w:val="18"/>
        </w:rPr>
        <w:t>.</w:t>
      </w:r>
      <w:r>
        <w:rPr>
          <w:rFonts w:cs="Tahoma"/>
          <w:color w:val="000000" w:themeColor="text1"/>
          <w:sz w:val="18"/>
          <w:szCs w:val="18"/>
        </w:rPr>
        <w:t xml:space="preserve"> </w:t>
      </w:r>
    </w:p>
    <w:p w14:paraId="3DF00F36" w14:textId="46B4BE9E" w:rsidR="00A66DF2" w:rsidRPr="00BB7C9E" w:rsidRDefault="002265F7" w:rsidP="00A66DF2">
      <w:pPr>
        <w:suppressAutoHyphens/>
        <w:spacing w:before="120"/>
        <w:ind w:right="68"/>
        <w:jc w:val="both"/>
        <w:rPr>
          <w:rFonts w:cs="Tahoma"/>
          <w:color w:val="000000" w:themeColor="text1"/>
          <w:sz w:val="18"/>
          <w:szCs w:val="18"/>
        </w:rPr>
      </w:pPr>
      <w:r w:rsidRPr="00BB7C9E">
        <w:rPr>
          <w:rFonts w:cs="Tahoma"/>
          <w:color w:val="000000" w:themeColor="text1"/>
          <w:sz w:val="18"/>
          <w:szCs w:val="18"/>
        </w:rPr>
        <w:t>Na dzień 31 grudnia 2019</w:t>
      </w:r>
      <w:r w:rsidR="00A66DF2" w:rsidRPr="00BB7C9E">
        <w:rPr>
          <w:rFonts w:cs="Tahoma"/>
          <w:color w:val="000000" w:themeColor="text1"/>
          <w:sz w:val="18"/>
          <w:szCs w:val="18"/>
        </w:rPr>
        <w:t xml:space="preserve"> </w:t>
      </w:r>
      <w:r w:rsidRPr="00BB7C9E">
        <w:rPr>
          <w:rFonts w:cs="Tahoma"/>
          <w:color w:val="000000" w:themeColor="text1"/>
          <w:sz w:val="18"/>
          <w:szCs w:val="18"/>
        </w:rPr>
        <w:t xml:space="preserve">roku </w:t>
      </w:r>
      <w:r w:rsidR="00A66DF2" w:rsidRPr="00BB7C9E">
        <w:rPr>
          <w:rFonts w:cs="Tahoma"/>
          <w:color w:val="000000" w:themeColor="text1"/>
          <w:sz w:val="18"/>
          <w:szCs w:val="18"/>
        </w:rPr>
        <w:t>i na dzień 31 grudnia 201</w:t>
      </w:r>
      <w:r w:rsidRPr="00BB7C9E">
        <w:rPr>
          <w:rFonts w:cs="Tahoma"/>
          <w:color w:val="000000" w:themeColor="text1"/>
          <w:sz w:val="18"/>
          <w:szCs w:val="18"/>
        </w:rPr>
        <w:t>8</w:t>
      </w:r>
      <w:r w:rsidR="00A66DF2" w:rsidRPr="00BB7C9E">
        <w:rPr>
          <w:rFonts w:cs="Tahoma"/>
          <w:color w:val="000000" w:themeColor="text1"/>
          <w:sz w:val="18"/>
          <w:szCs w:val="18"/>
        </w:rPr>
        <w:t xml:space="preserve"> roku kredyty i pożyczki otrzymane od banków były oprocentowane zmienną stopą procentową.</w:t>
      </w:r>
    </w:p>
    <w:p w14:paraId="3D846BE0" w14:textId="363BFE81" w:rsidR="00A66DF2" w:rsidRPr="00BB7C9E" w:rsidRDefault="00A66DF2" w:rsidP="00A66DF2">
      <w:pPr>
        <w:suppressAutoHyphens/>
        <w:spacing w:before="120"/>
        <w:ind w:right="68"/>
        <w:jc w:val="both"/>
        <w:rPr>
          <w:rFonts w:cs="Tahoma"/>
          <w:color w:val="000000" w:themeColor="text1"/>
          <w:sz w:val="18"/>
          <w:szCs w:val="18"/>
        </w:rPr>
      </w:pPr>
      <w:r w:rsidRPr="0078313D">
        <w:rPr>
          <w:rFonts w:cs="Tahoma"/>
          <w:color w:val="000000" w:themeColor="text1"/>
          <w:sz w:val="18"/>
          <w:szCs w:val="18"/>
        </w:rPr>
        <w:t>Średnie oprocentowanie depozytów i kredy</w:t>
      </w:r>
      <w:r w:rsidR="002265F7" w:rsidRPr="0078313D">
        <w:rPr>
          <w:rFonts w:cs="Tahoma"/>
          <w:color w:val="000000" w:themeColor="text1"/>
          <w:sz w:val="18"/>
          <w:szCs w:val="18"/>
        </w:rPr>
        <w:t>tów otrzymanych od banków w 2019</w:t>
      </w:r>
      <w:r w:rsidRPr="0078313D">
        <w:rPr>
          <w:rFonts w:cs="Tahoma"/>
          <w:color w:val="000000" w:themeColor="text1"/>
          <w:sz w:val="18"/>
          <w:szCs w:val="18"/>
        </w:rPr>
        <w:t xml:space="preserve"> roku </w:t>
      </w:r>
      <w:r w:rsidR="00AF5CD4" w:rsidRPr="0078313D">
        <w:rPr>
          <w:rFonts w:cs="Tahoma"/>
          <w:color w:val="000000" w:themeColor="text1"/>
          <w:sz w:val="18"/>
          <w:szCs w:val="18"/>
        </w:rPr>
        <w:t xml:space="preserve">wynosiło </w:t>
      </w:r>
      <w:r w:rsidR="0078313D" w:rsidRPr="0078313D">
        <w:rPr>
          <w:rFonts w:cs="Tahoma"/>
          <w:color w:val="000000" w:themeColor="text1"/>
          <w:sz w:val="18"/>
          <w:szCs w:val="18"/>
        </w:rPr>
        <w:t>1,30</w:t>
      </w:r>
      <w:r w:rsidRPr="0078313D">
        <w:rPr>
          <w:rFonts w:cs="Tahoma"/>
          <w:color w:val="000000" w:themeColor="text1"/>
          <w:sz w:val="18"/>
          <w:szCs w:val="18"/>
        </w:rPr>
        <w:t>%</w:t>
      </w:r>
      <w:r w:rsidRPr="00BB7C9E">
        <w:rPr>
          <w:rFonts w:cs="Tahoma"/>
          <w:color w:val="000000" w:themeColor="text1"/>
          <w:sz w:val="18"/>
          <w:szCs w:val="18"/>
        </w:rPr>
        <w:t xml:space="preserve"> (31</w:t>
      </w:r>
      <w:r w:rsidR="00AC25CE">
        <w:rPr>
          <w:rFonts w:cs="Tahoma"/>
          <w:color w:val="000000" w:themeColor="text1"/>
          <w:sz w:val="18"/>
          <w:szCs w:val="18"/>
        </w:rPr>
        <w:t> grudnia 2018 roku</w:t>
      </w:r>
      <w:r w:rsidR="002265F7" w:rsidRPr="00BB7C9E">
        <w:rPr>
          <w:rFonts w:cs="Tahoma"/>
          <w:color w:val="000000" w:themeColor="text1"/>
          <w:sz w:val="18"/>
          <w:szCs w:val="18"/>
        </w:rPr>
        <w:t xml:space="preserve"> – 1</w:t>
      </w:r>
      <w:r w:rsidRPr="00BB7C9E">
        <w:rPr>
          <w:rFonts w:cs="Tahoma"/>
          <w:color w:val="000000" w:themeColor="text1"/>
          <w:sz w:val="18"/>
          <w:szCs w:val="18"/>
        </w:rPr>
        <w:t>,</w:t>
      </w:r>
      <w:r w:rsidR="002265F7" w:rsidRPr="00BB7C9E">
        <w:rPr>
          <w:rFonts w:cs="Tahoma"/>
          <w:color w:val="000000" w:themeColor="text1"/>
          <w:sz w:val="18"/>
          <w:szCs w:val="18"/>
        </w:rPr>
        <w:t>09</w:t>
      </w:r>
      <w:r w:rsidRPr="00BB7C9E">
        <w:rPr>
          <w:rFonts w:cs="Tahoma"/>
          <w:color w:val="000000" w:themeColor="text1"/>
          <w:sz w:val="18"/>
          <w:szCs w:val="18"/>
        </w:rPr>
        <w:t>%).</w:t>
      </w:r>
    </w:p>
    <w:p w14:paraId="1C2B4160" w14:textId="0A0BF42E" w:rsidR="00A66DF2" w:rsidRPr="00BB7C9E" w:rsidRDefault="00A66DF2" w:rsidP="00A66DF2">
      <w:pPr>
        <w:spacing w:before="120"/>
        <w:jc w:val="both"/>
        <w:rPr>
          <w:rFonts w:cs="Tahoma"/>
          <w:color w:val="000000" w:themeColor="text1"/>
          <w:sz w:val="18"/>
          <w:szCs w:val="18"/>
        </w:rPr>
      </w:pPr>
      <w:r w:rsidRPr="00BB7C9E">
        <w:rPr>
          <w:rFonts w:cs="Tahoma"/>
          <w:color w:val="000000" w:themeColor="text1"/>
          <w:sz w:val="18"/>
          <w:szCs w:val="18"/>
        </w:rPr>
        <w:t>mBank nie dostarczył zabezpiec</w:t>
      </w:r>
      <w:r w:rsidR="008C623A" w:rsidRPr="00BB7C9E">
        <w:rPr>
          <w:rFonts w:cs="Tahoma"/>
          <w:color w:val="000000" w:themeColor="text1"/>
          <w:sz w:val="18"/>
          <w:szCs w:val="18"/>
        </w:rPr>
        <w:t>zeń kredytów innym bankom. Grupa</w:t>
      </w:r>
      <w:r w:rsidRPr="00BB7C9E">
        <w:rPr>
          <w:rFonts w:cs="Tahoma"/>
          <w:color w:val="000000" w:themeColor="text1"/>
          <w:sz w:val="18"/>
          <w:szCs w:val="18"/>
        </w:rPr>
        <w:t xml:space="preserve"> nie zarejestrował</w:t>
      </w:r>
      <w:r w:rsidR="008C623A" w:rsidRPr="00BB7C9E">
        <w:rPr>
          <w:rFonts w:cs="Tahoma"/>
          <w:color w:val="000000" w:themeColor="text1"/>
          <w:sz w:val="18"/>
          <w:szCs w:val="18"/>
        </w:rPr>
        <w:t>a</w:t>
      </w:r>
      <w:r w:rsidRPr="00BB7C9E">
        <w:rPr>
          <w:rFonts w:cs="Tahoma"/>
          <w:color w:val="000000" w:themeColor="text1"/>
          <w:sz w:val="18"/>
          <w:szCs w:val="18"/>
        </w:rPr>
        <w:t xml:space="preserve"> żadnych naruszeń warunków umownych związanych ze zobowiązaniami z tytułu zaciągniętych pożyczek.</w:t>
      </w:r>
    </w:p>
    <w:p w14:paraId="39A8F302" w14:textId="215593DD" w:rsidR="002F43AC" w:rsidRPr="00BB7C9E" w:rsidRDefault="00CD6A93" w:rsidP="002F43AC">
      <w:pPr>
        <w:spacing w:before="120"/>
        <w:jc w:val="both"/>
        <w:rPr>
          <w:rFonts w:cs="Tahoma"/>
          <w:color w:val="000000" w:themeColor="text1"/>
          <w:sz w:val="18"/>
          <w:szCs w:val="18"/>
        </w:rPr>
      </w:pPr>
      <w:r w:rsidRPr="00BB7C9E">
        <w:rPr>
          <w:rFonts w:cs="Tahoma"/>
          <w:color w:val="000000" w:themeColor="text1"/>
          <w:sz w:val="18"/>
          <w:szCs w:val="18"/>
        </w:rPr>
        <w:t>Na dzień 31 grudnia 201</w:t>
      </w:r>
      <w:r w:rsidR="00867539" w:rsidRPr="00BB7C9E">
        <w:rPr>
          <w:rFonts w:cs="Tahoma"/>
          <w:color w:val="000000" w:themeColor="text1"/>
          <w:sz w:val="18"/>
          <w:szCs w:val="18"/>
        </w:rPr>
        <w:t>9</w:t>
      </w:r>
      <w:r w:rsidR="002F43AC" w:rsidRPr="00BB7C9E">
        <w:rPr>
          <w:rFonts w:cs="Tahoma"/>
          <w:color w:val="000000" w:themeColor="text1"/>
          <w:sz w:val="18"/>
          <w:szCs w:val="18"/>
        </w:rPr>
        <w:t xml:space="preserve"> roku większość depozytów przyjętych od klientów indywidualnych i korporacyjnych stanowiły depozyty na stałą stopę procentową. Średnie oprocentowanie zobowiązań </w:t>
      </w:r>
      <w:r w:rsidR="002F43AC" w:rsidRPr="00ED3E4C">
        <w:rPr>
          <w:rFonts w:cs="Tahoma"/>
          <w:color w:val="000000" w:themeColor="text1"/>
          <w:sz w:val="18"/>
          <w:szCs w:val="18"/>
        </w:rPr>
        <w:t xml:space="preserve">wobec klientów </w:t>
      </w:r>
      <w:r w:rsidR="005814A2" w:rsidRPr="00ED3E4C">
        <w:rPr>
          <w:rFonts w:cs="Tahoma"/>
          <w:color w:val="000000" w:themeColor="text1"/>
          <w:sz w:val="18"/>
          <w:szCs w:val="18"/>
        </w:rPr>
        <w:t>(z wyłączeniem transakcji repo)</w:t>
      </w:r>
      <w:r w:rsidR="00E51A70" w:rsidRPr="00ED3E4C">
        <w:rPr>
          <w:rFonts w:cs="Tahoma"/>
          <w:color w:val="000000" w:themeColor="text1"/>
          <w:sz w:val="18"/>
          <w:szCs w:val="18"/>
        </w:rPr>
        <w:t xml:space="preserve"> </w:t>
      </w:r>
      <w:r w:rsidR="000A6FD4" w:rsidRPr="00ED3E4C">
        <w:rPr>
          <w:rFonts w:cs="Tahoma"/>
          <w:color w:val="000000" w:themeColor="text1"/>
          <w:sz w:val="18"/>
          <w:szCs w:val="18"/>
        </w:rPr>
        <w:t xml:space="preserve">wynosiło </w:t>
      </w:r>
      <w:r w:rsidR="000C5FD7" w:rsidRPr="00ED3E4C">
        <w:rPr>
          <w:rFonts w:cs="Tahoma"/>
          <w:color w:val="000000" w:themeColor="text1"/>
          <w:sz w:val="18"/>
          <w:szCs w:val="18"/>
        </w:rPr>
        <w:t>0</w:t>
      </w:r>
      <w:r w:rsidR="002F43AC" w:rsidRPr="00ED3E4C">
        <w:rPr>
          <w:rFonts w:cs="Tahoma"/>
          <w:color w:val="000000" w:themeColor="text1"/>
          <w:sz w:val="18"/>
          <w:szCs w:val="18"/>
        </w:rPr>
        <w:t>,</w:t>
      </w:r>
      <w:r w:rsidR="00ED3E4C" w:rsidRPr="00ED3E4C">
        <w:rPr>
          <w:rFonts w:cs="Tahoma"/>
          <w:color w:val="000000" w:themeColor="text1"/>
          <w:sz w:val="18"/>
          <w:szCs w:val="18"/>
        </w:rPr>
        <w:t>61</w:t>
      </w:r>
      <w:r w:rsidR="002F43AC" w:rsidRPr="00ED3E4C">
        <w:rPr>
          <w:rFonts w:cs="Tahoma"/>
          <w:color w:val="000000" w:themeColor="text1"/>
          <w:sz w:val="18"/>
          <w:szCs w:val="18"/>
        </w:rPr>
        <w:t>% (31 grudnia 201</w:t>
      </w:r>
      <w:r w:rsidR="00867539" w:rsidRPr="00ED3E4C">
        <w:rPr>
          <w:rFonts w:cs="Tahoma"/>
          <w:color w:val="000000" w:themeColor="text1"/>
          <w:sz w:val="18"/>
          <w:szCs w:val="18"/>
        </w:rPr>
        <w:t>8</w:t>
      </w:r>
      <w:r w:rsidR="00AC25CE">
        <w:rPr>
          <w:rFonts w:cs="Tahoma"/>
          <w:color w:val="000000" w:themeColor="text1"/>
          <w:sz w:val="18"/>
          <w:szCs w:val="18"/>
        </w:rPr>
        <w:t xml:space="preserve"> roku</w:t>
      </w:r>
      <w:r w:rsidR="002F43AC" w:rsidRPr="00ED3E4C">
        <w:rPr>
          <w:rFonts w:cs="Tahoma"/>
          <w:color w:val="000000" w:themeColor="text1"/>
          <w:sz w:val="18"/>
          <w:szCs w:val="18"/>
        </w:rPr>
        <w:t xml:space="preserve"> - </w:t>
      </w:r>
      <w:r w:rsidR="00155DFD" w:rsidRPr="00ED3E4C">
        <w:rPr>
          <w:rFonts w:cs="Tahoma"/>
          <w:color w:val="000000" w:themeColor="text1"/>
          <w:sz w:val="18"/>
          <w:szCs w:val="18"/>
        </w:rPr>
        <w:t>0</w:t>
      </w:r>
      <w:r w:rsidR="002F43AC" w:rsidRPr="00ED3E4C">
        <w:rPr>
          <w:rFonts w:cs="Tahoma"/>
          <w:color w:val="000000" w:themeColor="text1"/>
          <w:sz w:val="18"/>
          <w:szCs w:val="18"/>
        </w:rPr>
        <w:t>,</w:t>
      </w:r>
      <w:r w:rsidR="00CD4186" w:rsidRPr="00ED3E4C">
        <w:rPr>
          <w:rFonts w:cs="Tahoma"/>
          <w:color w:val="000000" w:themeColor="text1"/>
          <w:sz w:val="18"/>
          <w:szCs w:val="18"/>
        </w:rPr>
        <w:t>67</w:t>
      </w:r>
      <w:r w:rsidR="002F43AC" w:rsidRPr="00ED3E4C">
        <w:rPr>
          <w:rFonts w:cs="Tahoma"/>
          <w:color w:val="000000" w:themeColor="text1"/>
          <w:sz w:val="18"/>
          <w:szCs w:val="18"/>
        </w:rPr>
        <w:t>%).</w:t>
      </w:r>
      <w:r w:rsidR="002F43AC" w:rsidRPr="00BB7C9E">
        <w:rPr>
          <w:rFonts w:cs="Tahoma"/>
          <w:color w:val="000000" w:themeColor="text1"/>
          <w:sz w:val="18"/>
          <w:szCs w:val="18"/>
        </w:rPr>
        <w:t xml:space="preserve"> </w:t>
      </w:r>
    </w:p>
    <w:p w14:paraId="217F719D" w14:textId="66D21482" w:rsidR="00456D02" w:rsidRDefault="00867539" w:rsidP="002F43AC">
      <w:pPr>
        <w:spacing w:before="120"/>
        <w:jc w:val="both"/>
        <w:rPr>
          <w:rFonts w:cs="Tahoma"/>
          <w:color w:val="000000" w:themeColor="text1"/>
          <w:sz w:val="18"/>
          <w:szCs w:val="18"/>
        </w:rPr>
      </w:pPr>
      <w:r w:rsidRPr="00BB7C9E">
        <w:rPr>
          <w:rFonts w:cs="Tahoma"/>
          <w:color w:val="000000" w:themeColor="text1"/>
          <w:sz w:val="18"/>
          <w:szCs w:val="18"/>
        </w:rPr>
        <w:t>Na dzień 31 grudnia 2019</w:t>
      </w:r>
      <w:r w:rsidR="002F43AC" w:rsidRPr="00BB7C9E">
        <w:rPr>
          <w:rFonts w:cs="Tahoma"/>
          <w:color w:val="000000" w:themeColor="text1"/>
          <w:sz w:val="18"/>
          <w:szCs w:val="18"/>
        </w:rPr>
        <w:t xml:space="preserve"> kwota kredytów i pożyczek otrzymanych obejmuje kredyt</w:t>
      </w:r>
      <w:r w:rsidR="00155DFD" w:rsidRPr="00BB7C9E">
        <w:rPr>
          <w:rFonts w:cs="Tahoma"/>
          <w:color w:val="000000" w:themeColor="text1"/>
          <w:sz w:val="18"/>
          <w:szCs w:val="18"/>
        </w:rPr>
        <w:t>y otrzymane</w:t>
      </w:r>
      <w:r w:rsidR="002F43AC" w:rsidRPr="00BB7C9E">
        <w:rPr>
          <w:rFonts w:cs="Tahoma"/>
          <w:color w:val="000000" w:themeColor="text1"/>
          <w:sz w:val="18"/>
          <w:szCs w:val="18"/>
        </w:rPr>
        <w:t xml:space="preserve"> z EBI w kwocie </w:t>
      </w:r>
      <w:r w:rsidR="00C738D2" w:rsidRPr="00BB7C9E">
        <w:rPr>
          <w:rFonts w:cs="Tahoma"/>
          <w:color w:val="000000" w:themeColor="text1"/>
          <w:sz w:val="18"/>
          <w:szCs w:val="18"/>
        </w:rPr>
        <w:t>2</w:t>
      </w:r>
      <w:r w:rsidR="00D31B8D" w:rsidRPr="00BB7C9E">
        <w:rPr>
          <w:rFonts w:cs="Tahoma"/>
          <w:color w:val="000000" w:themeColor="text1"/>
          <w:sz w:val="18"/>
          <w:szCs w:val="18"/>
        </w:rPr>
        <w:t> </w:t>
      </w:r>
      <w:r w:rsidR="00C738D2" w:rsidRPr="00BB7C9E">
        <w:rPr>
          <w:rFonts w:cs="Tahoma"/>
          <w:color w:val="000000" w:themeColor="text1"/>
          <w:sz w:val="18"/>
          <w:szCs w:val="18"/>
        </w:rPr>
        <w:t>980</w:t>
      </w:r>
      <w:r w:rsidR="0077316E" w:rsidRPr="00BB7C9E">
        <w:rPr>
          <w:rFonts w:cs="Tahoma"/>
          <w:color w:val="000000" w:themeColor="text1"/>
          <w:sz w:val="18"/>
          <w:szCs w:val="18"/>
        </w:rPr>
        <w:t> </w:t>
      </w:r>
      <w:r w:rsidR="00637D49" w:rsidRPr="00BB7C9E">
        <w:rPr>
          <w:rFonts w:cs="Tahoma"/>
          <w:color w:val="000000" w:themeColor="text1"/>
          <w:sz w:val="18"/>
          <w:szCs w:val="18"/>
        </w:rPr>
        <w:t>2</w:t>
      </w:r>
      <w:r w:rsidR="00C738D2" w:rsidRPr="00BB7C9E">
        <w:rPr>
          <w:rFonts w:cs="Tahoma"/>
          <w:color w:val="000000" w:themeColor="text1"/>
          <w:sz w:val="18"/>
          <w:szCs w:val="18"/>
        </w:rPr>
        <w:t>9</w:t>
      </w:r>
      <w:r w:rsidR="00367935" w:rsidRPr="00BB7C9E">
        <w:rPr>
          <w:rFonts w:cs="Tahoma"/>
          <w:color w:val="000000" w:themeColor="text1"/>
          <w:sz w:val="18"/>
          <w:szCs w:val="18"/>
        </w:rPr>
        <w:t>4</w:t>
      </w:r>
      <w:r w:rsidR="0077316E" w:rsidRPr="00BB7C9E">
        <w:rPr>
          <w:rFonts w:cs="Tahoma"/>
          <w:color w:val="000000" w:themeColor="text1"/>
          <w:sz w:val="18"/>
          <w:szCs w:val="18"/>
        </w:rPr>
        <w:t xml:space="preserve"> </w:t>
      </w:r>
      <w:r w:rsidR="00956D88" w:rsidRPr="00BB7C9E">
        <w:rPr>
          <w:rFonts w:cs="Tahoma"/>
          <w:color w:val="000000" w:themeColor="text1"/>
          <w:sz w:val="18"/>
          <w:szCs w:val="18"/>
        </w:rPr>
        <w:t>tys. zł</w:t>
      </w:r>
      <w:r w:rsidRPr="00BB7C9E">
        <w:rPr>
          <w:rFonts w:cs="Tahoma"/>
          <w:color w:val="000000" w:themeColor="text1"/>
          <w:sz w:val="18"/>
          <w:szCs w:val="18"/>
        </w:rPr>
        <w:t xml:space="preserve"> (31 grudnia 2018</w:t>
      </w:r>
      <w:r w:rsidR="00AC25CE">
        <w:rPr>
          <w:rFonts w:cs="Tahoma"/>
          <w:color w:val="000000" w:themeColor="text1"/>
          <w:sz w:val="18"/>
          <w:szCs w:val="18"/>
        </w:rPr>
        <w:t xml:space="preserve"> roku</w:t>
      </w:r>
      <w:r w:rsidR="002F43AC" w:rsidRPr="00BB7C9E">
        <w:rPr>
          <w:rFonts w:cs="Tahoma"/>
          <w:color w:val="000000" w:themeColor="text1"/>
          <w:sz w:val="18"/>
          <w:szCs w:val="18"/>
        </w:rPr>
        <w:t xml:space="preserve">: </w:t>
      </w:r>
      <w:r w:rsidRPr="00BB7C9E">
        <w:rPr>
          <w:rFonts w:cs="Tahoma"/>
          <w:color w:val="000000" w:themeColor="text1"/>
          <w:sz w:val="18"/>
          <w:szCs w:val="18"/>
        </w:rPr>
        <w:t xml:space="preserve">3 457 264 </w:t>
      </w:r>
      <w:r w:rsidR="002F43AC" w:rsidRPr="00BB7C9E">
        <w:rPr>
          <w:rFonts w:cs="Tahoma"/>
          <w:color w:val="000000" w:themeColor="text1"/>
          <w:sz w:val="18"/>
          <w:szCs w:val="18"/>
        </w:rPr>
        <w:t>t</w:t>
      </w:r>
      <w:r w:rsidR="00155DFD" w:rsidRPr="00BB7C9E">
        <w:rPr>
          <w:rFonts w:cs="Tahoma"/>
          <w:color w:val="000000" w:themeColor="text1"/>
          <w:sz w:val="18"/>
          <w:szCs w:val="18"/>
        </w:rPr>
        <w:t>ys. zł). Zabezpieczeniem kredytów</w:t>
      </w:r>
      <w:r w:rsidR="002F43AC" w:rsidRPr="00BB7C9E">
        <w:rPr>
          <w:rFonts w:cs="Tahoma"/>
          <w:color w:val="000000" w:themeColor="text1"/>
          <w:sz w:val="18"/>
          <w:szCs w:val="18"/>
        </w:rPr>
        <w:t xml:space="preserve"> są</w:t>
      </w:r>
      <w:r w:rsidR="00FE2D57">
        <w:rPr>
          <w:rFonts w:cs="Tahoma"/>
          <w:color w:val="000000" w:themeColor="text1"/>
          <w:sz w:val="18"/>
          <w:szCs w:val="18"/>
        </w:rPr>
        <w:t> </w:t>
      </w:r>
      <w:r w:rsidR="002F43AC" w:rsidRPr="00BB7C9E">
        <w:rPr>
          <w:rFonts w:cs="Tahoma"/>
          <w:color w:val="000000" w:themeColor="text1"/>
          <w:sz w:val="18"/>
          <w:szCs w:val="18"/>
        </w:rPr>
        <w:t>obligacje rządowe, które są wyk</w:t>
      </w:r>
      <w:r w:rsidR="00796219" w:rsidRPr="00BB7C9E">
        <w:rPr>
          <w:rFonts w:cs="Tahoma"/>
          <w:color w:val="000000" w:themeColor="text1"/>
          <w:sz w:val="18"/>
          <w:szCs w:val="18"/>
        </w:rPr>
        <w:t xml:space="preserve">azywane w Nocie </w:t>
      </w:r>
      <w:r w:rsidR="00637D49" w:rsidRPr="00BB7C9E">
        <w:rPr>
          <w:rFonts w:cs="Tahoma"/>
          <w:color w:val="000000" w:themeColor="text1"/>
          <w:sz w:val="18"/>
          <w:szCs w:val="18"/>
        </w:rPr>
        <w:t>22</w:t>
      </w:r>
      <w:r w:rsidR="00796219" w:rsidRPr="00BB7C9E">
        <w:rPr>
          <w:rFonts w:cs="Tahoma"/>
          <w:color w:val="000000" w:themeColor="text1"/>
          <w:sz w:val="18"/>
          <w:szCs w:val="18"/>
        </w:rPr>
        <w:t xml:space="preserve"> i w Nocie </w:t>
      </w:r>
      <w:r w:rsidR="005E1E71" w:rsidRPr="00BB7C9E">
        <w:rPr>
          <w:rFonts w:cs="Tahoma"/>
          <w:color w:val="000000" w:themeColor="text1"/>
          <w:sz w:val="18"/>
          <w:szCs w:val="18"/>
        </w:rPr>
        <w:t>34</w:t>
      </w:r>
      <w:r w:rsidR="00F442A2" w:rsidRPr="00BB7C9E">
        <w:rPr>
          <w:rFonts w:cs="Tahoma"/>
          <w:color w:val="000000" w:themeColor="text1"/>
          <w:sz w:val="18"/>
          <w:szCs w:val="18"/>
        </w:rPr>
        <w:t xml:space="preserve"> jako aktywa zastawione.</w:t>
      </w:r>
    </w:p>
    <w:p w14:paraId="6985C5D6" w14:textId="77777777" w:rsidR="00856529" w:rsidRPr="00856529" w:rsidRDefault="00856529" w:rsidP="00EC6536">
      <w:pPr>
        <w:spacing w:before="120" w:after="120"/>
        <w:rPr>
          <w:sz w:val="18"/>
          <w:szCs w:val="18"/>
          <w:u w:val="single"/>
        </w:rPr>
      </w:pPr>
      <w:r w:rsidRPr="00856529">
        <w:rPr>
          <w:sz w:val="18"/>
          <w:szCs w:val="18"/>
          <w:u w:val="single"/>
        </w:rPr>
        <w:t>Zobowiązania z tytułu leasingu</w:t>
      </w:r>
    </w:p>
    <w:p w14:paraId="4C038400" w14:textId="77777777" w:rsidR="00856529" w:rsidRPr="006653A8" w:rsidRDefault="00856529" w:rsidP="00856529">
      <w:pPr>
        <w:spacing w:before="120" w:after="240"/>
        <w:jc w:val="both"/>
        <w:rPr>
          <w:color w:val="000000" w:themeColor="text1"/>
          <w:sz w:val="18"/>
          <w:szCs w:val="18"/>
        </w:rPr>
      </w:pPr>
      <w:r w:rsidRPr="006653A8">
        <w:rPr>
          <w:color w:val="000000" w:themeColor="text1"/>
          <w:sz w:val="18"/>
          <w:szCs w:val="18"/>
        </w:rPr>
        <w:t>Poniżej przedstawiono zobowiązania z tytułu leasingu według terminów wymagalności.</w:t>
      </w:r>
    </w:p>
    <w:tbl>
      <w:tblPr>
        <w:tblW w:w="9581" w:type="dxa"/>
        <w:tblCellMar>
          <w:left w:w="28" w:type="dxa"/>
          <w:right w:w="28" w:type="dxa"/>
        </w:tblCellMar>
        <w:tblLook w:val="04A0" w:firstRow="1" w:lastRow="0" w:firstColumn="1" w:lastColumn="0" w:noHBand="0" w:noVBand="1"/>
      </w:tblPr>
      <w:tblGrid>
        <w:gridCol w:w="8164"/>
        <w:gridCol w:w="1417"/>
      </w:tblGrid>
      <w:tr w:rsidR="00856529" w:rsidRPr="006C5FE5" w14:paraId="7CE51695" w14:textId="77777777" w:rsidTr="00856529">
        <w:trPr>
          <w:trHeight w:val="284"/>
        </w:trPr>
        <w:tc>
          <w:tcPr>
            <w:tcW w:w="8164" w:type="dxa"/>
            <w:tcBorders>
              <w:top w:val="nil"/>
              <w:left w:val="nil"/>
              <w:right w:val="single" w:sz="8" w:space="0" w:color="FFFFFF"/>
            </w:tcBorders>
            <w:shd w:val="clear" w:color="000000" w:fill="0077BD"/>
            <w:noWrap/>
            <w:vAlign w:val="center"/>
            <w:hideMark/>
          </w:tcPr>
          <w:p w14:paraId="3DEBC4FF" w14:textId="77777777" w:rsidR="00856529" w:rsidRPr="006C5FE5" w:rsidRDefault="00856529" w:rsidP="00856529">
            <w:pPr>
              <w:rPr>
                <w:rFonts w:cs="Calibri"/>
                <w:color w:val="99CCFF"/>
                <w:sz w:val="13"/>
                <w:szCs w:val="16"/>
              </w:rPr>
            </w:pPr>
            <w:r w:rsidRPr="006C5FE5">
              <w:rPr>
                <w:rFonts w:cs="Calibri"/>
                <w:color w:val="99CCFF"/>
                <w:sz w:val="13"/>
                <w:szCs w:val="16"/>
              </w:rPr>
              <w:t> </w:t>
            </w:r>
          </w:p>
        </w:tc>
        <w:tc>
          <w:tcPr>
            <w:tcW w:w="1417" w:type="dxa"/>
            <w:tcBorders>
              <w:top w:val="nil"/>
              <w:left w:val="nil"/>
              <w:right w:val="nil"/>
            </w:tcBorders>
            <w:shd w:val="clear" w:color="000000" w:fill="0077BD"/>
            <w:noWrap/>
            <w:vAlign w:val="center"/>
            <w:hideMark/>
          </w:tcPr>
          <w:p w14:paraId="18F1520A" w14:textId="77777777" w:rsidR="00856529" w:rsidRPr="006C5FE5" w:rsidRDefault="00856529" w:rsidP="00856529">
            <w:pPr>
              <w:jc w:val="right"/>
              <w:rPr>
                <w:rFonts w:cs="Calibri"/>
                <w:b/>
                <w:bCs/>
                <w:color w:val="FFFFFF"/>
                <w:sz w:val="13"/>
                <w:szCs w:val="16"/>
              </w:rPr>
            </w:pPr>
            <w:r w:rsidRPr="006C5FE5">
              <w:rPr>
                <w:rFonts w:cs="Calibri"/>
                <w:b/>
                <w:bCs/>
                <w:color w:val="FFFFFF"/>
                <w:sz w:val="13"/>
                <w:szCs w:val="16"/>
              </w:rPr>
              <w:t>31.12.2019</w:t>
            </w:r>
          </w:p>
        </w:tc>
      </w:tr>
      <w:tr w:rsidR="00856529" w:rsidRPr="006653A8" w14:paraId="4DE596D5" w14:textId="77777777" w:rsidTr="00856529">
        <w:trPr>
          <w:trHeight w:val="284"/>
        </w:trPr>
        <w:tc>
          <w:tcPr>
            <w:tcW w:w="9581" w:type="dxa"/>
            <w:gridSpan w:val="2"/>
            <w:tcBorders>
              <w:left w:val="nil"/>
              <w:bottom w:val="nil"/>
              <w:right w:val="nil"/>
            </w:tcBorders>
            <w:shd w:val="clear" w:color="000000" w:fill="FFFFFF"/>
            <w:vAlign w:val="center"/>
            <w:hideMark/>
          </w:tcPr>
          <w:p w14:paraId="7BA040DF" w14:textId="6F459163" w:rsidR="00856529" w:rsidRPr="003A0CE0" w:rsidRDefault="00856529" w:rsidP="00856529">
            <w:pPr>
              <w:rPr>
                <w:rFonts w:cs="Calibri"/>
                <w:b/>
                <w:bCs/>
                <w:color w:val="000000" w:themeColor="text1"/>
                <w:sz w:val="13"/>
                <w:szCs w:val="16"/>
              </w:rPr>
            </w:pPr>
            <w:r w:rsidRPr="003A0CE0">
              <w:rPr>
                <w:rFonts w:cs="Calibri"/>
                <w:b/>
                <w:bCs/>
                <w:color w:val="000000" w:themeColor="text1"/>
                <w:sz w:val="13"/>
                <w:szCs w:val="16"/>
              </w:rPr>
              <w:t>Zobowiązania z tytułu leasingu według terminów wymagalności (niezdyskontowane)</w:t>
            </w:r>
          </w:p>
        </w:tc>
      </w:tr>
      <w:tr w:rsidR="00B11BCE" w:rsidRPr="006653A8" w14:paraId="68F2BE8F" w14:textId="77777777" w:rsidTr="00916B8B">
        <w:trPr>
          <w:trHeight w:val="284"/>
        </w:trPr>
        <w:tc>
          <w:tcPr>
            <w:tcW w:w="8164" w:type="dxa"/>
            <w:tcBorders>
              <w:top w:val="single" w:sz="8" w:space="0" w:color="0077BD"/>
              <w:left w:val="nil"/>
              <w:bottom w:val="single" w:sz="4" w:space="0" w:color="0077BD"/>
              <w:right w:val="single" w:sz="8" w:space="0" w:color="0077BD"/>
            </w:tcBorders>
            <w:shd w:val="clear" w:color="auto" w:fill="auto"/>
            <w:vAlign w:val="center"/>
            <w:hideMark/>
          </w:tcPr>
          <w:p w14:paraId="7BD851E7" w14:textId="77777777" w:rsidR="00B11BCE" w:rsidRPr="003A0CE0" w:rsidRDefault="00B11BCE" w:rsidP="00B11BCE">
            <w:pPr>
              <w:rPr>
                <w:rFonts w:cs="Calibri"/>
                <w:color w:val="000000" w:themeColor="text1"/>
                <w:sz w:val="13"/>
                <w:szCs w:val="16"/>
              </w:rPr>
            </w:pPr>
            <w:r w:rsidRPr="003A0CE0">
              <w:rPr>
                <w:rFonts w:cs="Calibri"/>
                <w:color w:val="000000" w:themeColor="text1"/>
                <w:sz w:val="13"/>
                <w:szCs w:val="16"/>
              </w:rPr>
              <w:t>Poniżej 3 miesięcy</w:t>
            </w:r>
          </w:p>
        </w:tc>
        <w:tc>
          <w:tcPr>
            <w:tcW w:w="1417" w:type="dxa"/>
            <w:tcBorders>
              <w:top w:val="single" w:sz="8" w:space="0" w:color="0077BD"/>
              <w:left w:val="single" w:sz="8" w:space="0" w:color="0077BD"/>
              <w:bottom w:val="nil"/>
              <w:right w:val="nil"/>
            </w:tcBorders>
            <w:shd w:val="clear" w:color="auto" w:fill="auto"/>
            <w:vAlign w:val="center"/>
          </w:tcPr>
          <w:p w14:paraId="34CAF3AB" w14:textId="5BDF0367" w:rsidR="00B11BCE" w:rsidRPr="00B11BCE" w:rsidRDefault="00B11BCE" w:rsidP="00B11BCE">
            <w:pPr>
              <w:jc w:val="right"/>
              <w:rPr>
                <w:rFonts w:cs="Calibri"/>
                <w:color w:val="000000" w:themeColor="text1"/>
                <w:sz w:val="13"/>
                <w:szCs w:val="13"/>
              </w:rPr>
            </w:pPr>
            <w:r w:rsidRPr="00B11BCE">
              <w:rPr>
                <w:rFonts w:cs="Calibri"/>
                <w:color w:val="201C17"/>
                <w:sz w:val="13"/>
                <w:szCs w:val="13"/>
              </w:rPr>
              <w:t>31 718</w:t>
            </w:r>
          </w:p>
        </w:tc>
      </w:tr>
      <w:tr w:rsidR="00B11BCE" w:rsidRPr="006653A8" w14:paraId="32E329EB" w14:textId="77777777" w:rsidTr="00916B8B">
        <w:trPr>
          <w:trHeight w:val="284"/>
        </w:trPr>
        <w:tc>
          <w:tcPr>
            <w:tcW w:w="8164" w:type="dxa"/>
            <w:tcBorders>
              <w:top w:val="nil"/>
              <w:left w:val="nil"/>
              <w:bottom w:val="single" w:sz="4" w:space="0" w:color="0077BD"/>
              <w:right w:val="single" w:sz="8" w:space="0" w:color="0077BD"/>
            </w:tcBorders>
            <w:shd w:val="clear" w:color="auto" w:fill="auto"/>
            <w:vAlign w:val="center"/>
            <w:hideMark/>
          </w:tcPr>
          <w:p w14:paraId="4385732D" w14:textId="77777777" w:rsidR="00B11BCE" w:rsidRPr="003A0CE0" w:rsidRDefault="00B11BCE" w:rsidP="00B11BCE">
            <w:pPr>
              <w:rPr>
                <w:rFonts w:cs="Calibri"/>
                <w:color w:val="000000" w:themeColor="text1"/>
                <w:sz w:val="13"/>
                <w:szCs w:val="16"/>
              </w:rPr>
            </w:pPr>
            <w:r w:rsidRPr="003A0CE0">
              <w:rPr>
                <w:rFonts w:cs="Calibri"/>
                <w:color w:val="000000" w:themeColor="text1"/>
                <w:sz w:val="13"/>
                <w:szCs w:val="16"/>
              </w:rPr>
              <w:t>Od 3 miesięcy do 1 roku</w:t>
            </w:r>
          </w:p>
        </w:tc>
        <w:tc>
          <w:tcPr>
            <w:tcW w:w="1417" w:type="dxa"/>
            <w:tcBorders>
              <w:top w:val="single" w:sz="4" w:space="0" w:color="0077BD"/>
              <w:left w:val="single" w:sz="8" w:space="0" w:color="0077BD"/>
              <w:bottom w:val="single" w:sz="4" w:space="0" w:color="0077BD"/>
              <w:right w:val="nil"/>
            </w:tcBorders>
            <w:shd w:val="clear" w:color="auto" w:fill="auto"/>
            <w:vAlign w:val="center"/>
          </w:tcPr>
          <w:p w14:paraId="71A06F85" w14:textId="2BEB10FF" w:rsidR="00B11BCE" w:rsidRPr="00B11BCE" w:rsidRDefault="00B11BCE" w:rsidP="00B11BCE">
            <w:pPr>
              <w:jc w:val="right"/>
              <w:rPr>
                <w:rFonts w:cs="Calibri"/>
                <w:color w:val="000000" w:themeColor="text1"/>
                <w:sz w:val="13"/>
                <w:szCs w:val="13"/>
              </w:rPr>
            </w:pPr>
            <w:r w:rsidRPr="00B11BCE">
              <w:rPr>
                <w:rFonts w:cs="Calibri"/>
                <w:color w:val="201C17"/>
                <w:sz w:val="13"/>
                <w:szCs w:val="13"/>
              </w:rPr>
              <w:t>91 137</w:t>
            </w:r>
          </w:p>
        </w:tc>
      </w:tr>
      <w:tr w:rsidR="00B11BCE" w:rsidRPr="006653A8" w14:paraId="0D85BB54" w14:textId="77777777" w:rsidTr="00916B8B">
        <w:trPr>
          <w:trHeight w:val="284"/>
        </w:trPr>
        <w:tc>
          <w:tcPr>
            <w:tcW w:w="8164" w:type="dxa"/>
            <w:tcBorders>
              <w:top w:val="nil"/>
              <w:left w:val="nil"/>
              <w:bottom w:val="single" w:sz="4" w:space="0" w:color="0077BD"/>
              <w:right w:val="single" w:sz="8" w:space="0" w:color="0077BD"/>
            </w:tcBorders>
            <w:shd w:val="clear" w:color="auto" w:fill="auto"/>
            <w:vAlign w:val="center"/>
            <w:hideMark/>
          </w:tcPr>
          <w:p w14:paraId="4FCBE5BA" w14:textId="77777777" w:rsidR="00B11BCE" w:rsidRPr="003A0CE0" w:rsidRDefault="00B11BCE" w:rsidP="00B11BCE">
            <w:pPr>
              <w:rPr>
                <w:rFonts w:cs="Calibri"/>
                <w:color w:val="000000" w:themeColor="text1"/>
                <w:sz w:val="13"/>
                <w:szCs w:val="16"/>
              </w:rPr>
            </w:pPr>
            <w:r w:rsidRPr="003A0CE0">
              <w:rPr>
                <w:rFonts w:cs="Calibri"/>
                <w:color w:val="000000" w:themeColor="text1"/>
                <w:sz w:val="13"/>
                <w:szCs w:val="16"/>
              </w:rPr>
              <w:t>Od 1 roku do 5 lat</w:t>
            </w:r>
          </w:p>
        </w:tc>
        <w:tc>
          <w:tcPr>
            <w:tcW w:w="1417" w:type="dxa"/>
            <w:tcBorders>
              <w:top w:val="nil"/>
              <w:left w:val="single" w:sz="8" w:space="0" w:color="0077BD"/>
              <w:bottom w:val="single" w:sz="4" w:space="0" w:color="0077BD"/>
              <w:right w:val="nil"/>
            </w:tcBorders>
            <w:shd w:val="clear" w:color="auto" w:fill="auto"/>
            <w:vAlign w:val="center"/>
          </w:tcPr>
          <w:p w14:paraId="5C38E3BD" w14:textId="025DF431" w:rsidR="00B11BCE" w:rsidRPr="00B11BCE" w:rsidRDefault="00B11BCE" w:rsidP="00B11BCE">
            <w:pPr>
              <w:jc w:val="right"/>
              <w:rPr>
                <w:rFonts w:cs="Calibri"/>
                <w:color w:val="000000" w:themeColor="text1"/>
                <w:sz w:val="13"/>
                <w:szCs w:val="13"/>
              </w:rPr>
            </w:pPr>
            <w:r w:rsidRPr="00B11BCE">
              <w:rPr>
                <w:rFonts w:cs="Calibri"/>
                <w:color w:val="201C17"/>
                <w:sz w:val="13"/>
                <w:szCs w:val="13"/>
              </w:rPr>
              <w:t>243 730</w:t>
            </w:r>
          </w:p>
        </w:tc>
      </w:tr>
      <w:tr w:rsidR="00B11BCE" w:rsidRPr="006653A8" w14:paraId="5CD10D94" w14:textId="77777777" w:rsidTr="00916B8B">
        <w:trPr>
          <w:trHeight w:val="284"/>
        </w:trPr>
        <w:tc>
          <w:tcPr>
            <w:tcW w:w="8164" w:type="dxa"/>
            <w:tcBorders>
              <w:top w:val="nil"/>
              <w:left w:val="nil"/>
              <w:bottom w:val="single" w:sz="8" w:space="0" w:color="0077BD"/>
              <w:right w:val="single" w:sz="8" w:space="0" w:color="0077BD"/>
            </w:tcBorders>
            <w:shd w:val="clear" w:color="auto" w:fill="auto"/>
            <w:vAlign w:val="center"/>
            <w:hideMark/>
          </w:tcPr>
          <w:p w14:paraId="5E704E0B" w14:textId="77777777" w:rsidR="00B11BCE" w:rsidRPr="003A0CE0" w:rsidRDefault="00B11BCE" w:rsidP="00B11BCE">
            <w:pPr>
              <w:rPr>
                <w:rFonts w:cs="Calibri"/>
                <w:color w:val="000000" w:themeColor="text1"/>
                <w:sz w:val="13"/>
                <w:szCs w:val="16"/>
              </w:rPr>
            </w:pPr>
            <w:r w:rsidRPr="003A0CE0">
              <w:rPr>
                <w:rFonts w:cs="Calibri"/>
                <w:color w:val="000000" w:themeColor="text1"/>
                <w:sz w:val="13"/>
                <w:szCs w:val="16"/>
              </w:rPr>
              <w:t>Powyżej 5 lat</w:t>
            </w:r>
          </w:p>
        </w:tc>
        <w:tc>
          <w:tcPr>
            <w:tcW w:w="1417" w:type="dxa"/>
            <w:tcBorders>
              <w:top w:val="nil"/>
              <w:left w:val="single" w:sz="8" w:space="0" w:color="0077BD"/>
              <w:bottom w:val="single" w:sz="4" w:space="0" w:color="0077BD"/>
              <w:right w:val="nil"/>
            </w:tcBorders>
            <w:shd w:val="clear" w:color="auto" w:fill="auto"/>
            <w:vAlign w:val="center"/>
          </w:tcPr>
          <w:p w14:paraId="156EF59C" w14:textId="31CCF2BE" w:rsidR="00B11BCE" w:rsidRPr="00B11BCE" w:rsidRDefault="00B11BCE" w:rsidP="00B11BCE">
            <w:pPr>
              <w:jc w:val="right"/>
              <w:rPr>
                <w:rFonts w:cs="Calibri"/>
                <w:color w:val="000000" w:themeColor="text1"/>
                <w:sz w:val="13"/>
                <w:szCs w:val="13"/>
              </w:rPr>
            </w:pPr>
            <w:r w:rsidRPr="00B11BCE">
              <w:rPr>
                <w:rFonts w:cs="Calibri"/>
                <w:color w:val="201C17"/>
                <w:sz w:val="13"/>
                <w:szCs w:val="13"/>
              </w:rPr>
              <w:t>169 208</w:t>
            </w:r>
          </w:p>
        </w:tc>
      </w:tr>
      <w:tr w:rsidR="00B11BCE" w:rsidRPr="006653A8" w14:paraId="67FEB0DC" w14:textId="77777777" w:rsidTr="00916B8B">
        <w:trPr>
          <w:trHeight w:val="284"/>
        </w:trPr>
        <w:tc>
          <w:tcPr>
            <w:tcW w:w="8164" w:type="dxa"/>
            <w:tcBorders>
              <w:top w:val="nil"/>
              <w:left w:val="nil"/>
              <w:bottom w:val="single" w:sz="8" w:space="0" w:color="0077BD"/>
              <w:right w:val="single" w:sz="8" w:space="0" w:color="0077BD"/>
            </w:tcBorders>
            <w:shd w:val="clear" w:color="auto" w:fill="auto"/>
            <w:vAlign w:val="center"/>
            <w:hideMark/>
          </w:tcPr>
          <w:p w14:paraId="5B02D18A" w14:textId="77777777" w:rsidR="00B11BCE" w:rsidRPr="003A0CE0" w:rsidRDefault="00B11BCE" w:rsidP="00B11BCE">
            <w:pPr>
              <w:rPr>
                <w:rFonts w:cs="Calibri"/>
                <w:b/>
                <w:bCs/>
                <w:color w:val="000000" w:themeColor="text1"/>
                <w:sz w:val="13"/>
                <w:szCs w:val="16"/>
              </w:rPr>
            </w:pPr>
            <w:r w:rsidRPr="003A0CE0">
              <w:rPr>
                <w:rFonts w:cs="Calibri"/>
                <w:b/>
                <w:bCs/>
                <w:color w:val="000000" w:themeColor="text1"/>
                <w:sz w:val="13"/>
                <w:szCs w:val="16"/>
              </w:rPr>
              <w:t>Razem</w:t>
            </w:r>
          </w:p>
        </w:tc>
        <w:tc>
          <w:tcPr>
            <w:tcW w:w="1417" w:type="dxa"/>
            <w:tcBorders>
              <w:top w:val="single" w:sz="8" w:space="0" w:color="0077BD"/>
              <w:left w:val="single" w:sz="8" w:space="0" w:color="0077BD"/>
              <w:bottom w:val="single" w:sz="8" w:space="0" w:color="0077BD"/>
              <w:right w:val="nil"/>
            </w:tcBorders>
            <w:shd w:val="clear" w:color="auto" w:fill="auto"/>
            <w:noWrap/>
            <w:vAlign w:val="center"/>
          </w:tcPr>
          <w:p w14:paraId="162D6EC1" w14:textId="0F4D3A5A" w:rsidR="00B11BCE" w:rsidRPr="00B11BCE" w:rsidRDefault="00B11BCE" w:rsidP="00B11BCE">
            <w:pPr>
              <w:jc w:val="right"/>
              <w:rPr>
                <w:rFonts w:cs="Calibri"/>
                <w:b/>
                <w:bCs/>
                <w:color w:val="000000" w:themeColor="text1"/>
                <w:sz w:val="13"/>
                <w:szCs w:val="13"/>
              </w:rPr>
            </w:pPr>
            <w:r w:rsidRPr="00B11BCE">
              <w:rPr>
                <w:rFonts w:cs="Calibri"/>
                <w:b/>
                <w:bCs/>
                <w:color w:val="201C17"/>
                <w:sz w:val="13"/>
                <w:szCs w:val="13"/>
              </w:rPr>
              <w:t>535 793</w:t>
            </w:r>
          </w:p>
        </w:tc>
      </w:tr>
    </w:tbl>
    <w:p w14:paraId="0F050A5D" w14:textId="77777777" w:rsidR="00DF68A7" w:rsidRDefault="00DF68A7" w:rsidP="00B73887">
      <w:pPr>
        <w:spacing w:before="120"/>
        <w:rPr>
          <w:b/>
          <w:color w:val="E41E0A"/>
          <w:sz w:val="18"/>
          <w:szCs w:val="18"/>
        </w:rPr>
      </w:pPr>
    </w:p>
    <w:p w14:paraId="63AE5198" w14:textId="77777777" w:rsidR="00DF68A7" w:rsidRDefault="00DF68A7">
      <w:pPr>
        <w:rPr>
          <w:b/>
          <w:color w:val="E41E0A"/>
          <w:sz w:val="18"/>
          <w:szCs w:val="18"/>
        </w:rPr>
      </w:pPr>
      <w:r>
        <w:rPr>
          <w:b/>
          <w:color w:val="E41E0A"/>
          <w:sz w:val="18"/>
          <w:szCs w:val="18"/>
        </w:rPr>
        <w:br w:type="page"/>
      </w:r>
    </w:p>
    <w:p w14:paraId="0F86C309" w14:textId="4F6B5525" w:rsidR="00ED15CE" w:rsidRPr="00795EBF" w:rsidRDefault="00ED15CE" w:rsidP="00DF68A7">
      <w:pPr>
        <w:spacing w:before="120" w:after="120"/>
        <w:rPr>
          <w:b/>
          <w:color w:val="E41E0A"/>
          <w:sz w:val="18"/>
          <w:szCs w:val="18"/>
        </w:rPr>
      </w:pPr>
      <w:r w:rsidRPr="00795EBF">
        <w:rPr>
          <w:b/>
          <w:color w:val="E41E0A"/>
          <w:sz w:val="18"/>
          <w:szCs w:val="18"/>
        </w:rPr>
        <w:lastRenderedPageBreak/>
        <w:t>Zobowiązania z tytułu emisji dłużnych papierów wartościowych</w:t>
      </w:r>
    </w:p>
    <w:tbl>
      <w:tblPr>
        <w:tblW w:w="0" w:type="auto"/>
        <w:tblCellMar>
          <w:left w:w="28" w:type="dxa"/>
          <w:right w:w="28" w:type="dxa"/>
        </w:tblCellMar>
        <w:tblLook w:val="04A0" w:firstRow="1" w:lastRow="0" w:firstColumn="1" w:lastColumn="0" w:noHBand="0" w:noVBand="1"/>
      </w:tblPr>
      <w:tblGrid>
        <w:gridCol w:w="2435"/>
        <w:gridCol w:w="1191"/>
        <w:gridCol w:w="1191"/>
        <w:gridCol w:w="1191"/>
        <w:gridCol w:w="1191"/>
        <w:gridCol w:w="1191"/>
        <w:gridCol w:w="1191"/>
      </w:tblGrid>
      <w:tr w:rsidR="00DB5174" w:rsidRPr="004845D1" w14:paraId="5949F0B4" w14:textId="77777777" w:rsidTr="005176D1">
        <w:trPr>
          <w:trHeight w:val="343"/>
        </w:trPr>
        <w:tc>
          <w:tcPr>
            <w:tcW w:w="0" w:type="auto"/>
            <w:vMerge w:val="restart"/>
            <w:tcBorders>
              <w:top w:val="nil"/>
              <w:left w:val="nil"/>
              <w:bottom w:val="nil"/>
              <w:right w:val="single" w:sz="8" w:space="0" w:color="FFFFFF"/>
            </w:tcBorders>
            <w:shd w:val="clear" w:color="000000" w:fill="0077BD"/>
            <w:vAlign w:val="center"/>
            <w:hideMark/>
          </w:tcPr>
          <w:p w14:paraId="26B7E062" w14:textId="73709256" w:rsidR="00DB5174" w:rsidRPr="004845D1" w:rsidRDefault="00013C09" w:rsidP="00FC2CFC">
            <w:pPr>
              <w:rPr>
                <w:rFonts w:cs="Calibri"/>
                <w:b/>
                <w:bCs/>
                <w:color w:val="FFFFFF"/>
                <w:sz w:val="12"/>
                <w:szCs w:val="12"/>
              </w:rPr>
            </w:pPr>
            <w:r w:rsidRPr="004845D1">
              <w:rPr>
                <w:rFonts w:cs="Calibri"/>
                <w:b/>
                <w:bCs/>
                <w:color w:val="FFFFFF"/>
                <w:sz w:val="12"/>
                <w:szCs w:val="12"/>
              </w:rPr>
              <w:t>31.12.2019</w:t>
            </w:r>
            <w:r w:rsidRPr="004845D1">
              <w:rPr>
                <w:rFonts w:cs="Calibri"/>
                <w:b/>
                <w:bCs/>
                <w:color w:val="FFFFFF"/>
                <w:sz w:val="12"/>
                <w:szCs w:val="12"/>
              </w:rPr>
              <w:br/>
            </w:r>
            <w:r w:rsidR="00DB5174" w:rsidRPr="004845D1">
              <w:rPr>
                <w:rFonts w:cs="Calibri"/>
                <w:b/>
                <w:bCs/>
                <w:color w:val="FFFFFF"/>
                <w:sz w:val="12"/>
                <w:szCs w:val="12"/>
              </w:rPr>
              <w:t>Dłużne instrumenty finansowe wg rodzaju</w:t>
            </w:r>
          </w:p>
        </w:tc>
        <w:tc>
          <w:tcPr>
            <w:tcW w:w="1191" w:type="dxa"/>
            <w:vMerge w:val="restart"/>
            <w:tcBorders>
              <w:top w:val="nil"/>
              <w:left w:val="single" w:sz="8" w:space="0" w:color="FFFFFF"/>
              <w:bottom w:val="nil"/>
              <w:right w:val="single" w:sz="8" w:space="0" w:color="FFFFFF"/>
            </w:tcBorders>
            <w:shd w:val="clear" w:color="000000" w:fill="0077BD"/>
            <w:vAlign w:val="center"/>
            <w:hideMark/>
          </w:tcPr>
          <w:p w14:paraId="7727D103" w14:textId="5E14831A" w:rsidR="00DB5174" w:rsidRPr="004845D1" w:rsidRDefault="00DB5174" w:rsidP="00FC2CFC">
            <w:pPr>
              <w:jc w:val="center"/>
              <w:rPr>
                <w:rFonts w:cs="Calibri"/>
                <w:b/>
                <w:bCs/>
                <w:color w:val="FFFFFF"/>
                <w:sz w:val="12"/>
                <w:szCs w:val="12"/>
              </w:rPr>
            </w:pPr>
            <w:r w:rsidRPr="004845D1">
              <w:rPr>
                <w:rFonts w:cs="Calibri"/>
                <w:b/>
                <w:bCs/>
                <w:color w:val="FFFFFF"/>
                <w:sz w:val="12"/>
                <w:szCs w:val="12"/>
              </w:rPr>
              <w:t>Wartość nominalna</w:t>
            </w:r>
            <w:r w:rsidR="00600EF6" w:rsidRPr="004845D1">
              <w:rPr>
                <w:rFonts w:cs="Calibri"/>
                <w:b/>
                <w:bCs/>
                <w:color w:val="FFFFFF"/>
                <w:sz w:val="12"/>
                <w:szCs w:val="12"/>
              </w:rPr>
              <w:br/>
              <w:t>(w walucie emisji)</w:t>
            </w:r>
          </w:p>
        </w:tc>
        <w:tc>
          <w:tcPr>
            <w:tcW w:w="4764" w:type="dxa"/>
            <w:gridSpan w:val="4"/>
            <w:tcBorders>
              <w:top w:val="nil"/>
              <w:left w:val="nil"/>
              <w:bottom w:val="single" w:sz="6" w:space="0" w:color="FFFFFF"/>
              <w:right w:val="single" w:sz="8" w:space="0" w:color="FFFFFF"/>
            </w:tcBorders>
            <w:shd w:val="clear" w:color="000000" w:fill="0077BD"/>
            <w:vAlign w:val="center"/>
            <w:hideMark/>
          </w:tcPr>
          <w:p w14:paraId="4D8A4FE2" w14:textId="77777777" w:rsidR="00DB5174" w:rsidRPr="004845D1" w:rsidRDefault="00DB5174" w:rsidP="00FC2CFC">
            <w:pPr>
              <w:jc w:val="center"/>
              <w:rPr>
                <w:rFonts w:cs="Calibri"/>
                <w:b/>
                <w:bCs/>
                <w:color w:val="FFFFFF"/>
                <w:sz w:val="12"/>
                <w:szCs w:val="12"/>
              </w:rPr>
            </w:pPr>
            <w:r w:rsidRPr="004845D1">
              <w:rPr>
                <w:rFonts w:cs="Calibri"/>
                <w:b/>
                <w:bCs/>
                <w:color w:val="FFFFFF"/>
                <w:sz w:val="12"/>
                <w:szCs w:val="12"/>
              </w:rPr>
              <w:t>Wartość bilansowa zobowiązania według terminu wykupu</w:t>
            </w:r>
          </w:p>
        </w:tc>
        <w:tc>
          <w:tcPr>
            <w:tcW w:w="1191" w:type="dxa"/>
            <w:vMerge w:val="restart"/>
            <w:tcBorders>
              <w:top w:val="nil"/>
              <w:left w:val="single" w:sz="8" w:space="0" w:color="FFFFFF"/>
              <w:bottom w:val="nil"/>
              <w:right w:val="nil"/>
            </w:tcBorders>
            <w:shd w:val="clear" w:color="000000" w:fill="0077BD"/>
            <w:vAlign w:val="center"/>
            <w:hideMark/>
          </w:tcPr>
          <w:p w14:paraId="4E276B3D" w14:textId="77777777" w:rsidR="00DB5174" w:rsidRPr="004845D1" w:rsidRDefault="00DB5174" w:rsidP="00FC2CFC">
            <w:pPr>
              <w:jc w:val="center"/>
              <w:rPr>
                <w:rFonts w:cs="Calibri"/>
                <w:b/>
                <w:bCs/>
                <w:color w:val="FFFFFF"/>
                <w:sz w:val="12"/>
                <w:szCs w:val="12"/>
              </w:rPr>
            </w:pPr>
            <w:r w:rsidRPr="004845D1">
              <w:rPr>
                <w:rFonts w:cs="Calibri"/>
                <w:b/>
                <w:bCs/>
                <w:color w:val="FFFFFF"/>
                <w:sz w:val="12"/>
                <w:szCs w:val="12"/>
              </w:rPr>
              <w:t>Wartość bilansowa zobowiązania razem</w:t>
            </w:r>
          </w:p>
        </w:tc>
      </w:tr>
      <w:tr w:rsidR="00DB5174" w:rsidRPr="004845D1" w14:paraId="4466D641" w14:textId="77777777" w:rsidTr="0070550B">
        <w:trPr>
          <w:trHeight w:val="340"/>
        </w:trPr>
        <w:tc>
          <w:tcPr>
            <w:tcW w:w="0" w:type="auto"/>
            <w:vMerge/>
            <w:tcBorders>
              <w:top w:val="nil"/>
              <w:left w:val="nil"/>
              <w:right w:val="single" w:sz="8" w:space="0" w:color="FFFFFF"/>
            </w:tcBorders>
            <w:vAlign w:val="center"/>
            <w:hideMark/>
          </w:tcPr>
          <w:p w14:paraId="04A418AA" w14:textId="77777777" w:rsidR="00DB5174" w:rsidRPr="004845D1" w:rsidRDefault="00DB5174" w:rsidP="00FC2CFC">
            <w:pPr>
              <w:rPr>
                <w:rFonts w:cs="Calibri"/>
                <w:b/>
                <w:bCs/>
                <w:color w:val="FFFFFF"/>
                <w:sz w:val="12"/>
                <w:szCs w:val="12"/>
              </w:rPr>
            </w:pPr>
          </w:p>
        </w:tc>
        <w:tc>
          <w:tcPr>
            <w:tcW w:w="1191" w:type="dxa"/>
            <w:vMerge/>
            <w:tcBorders>
              <w:top w:val="nil"/>
              <w:left w:val="single" w:sz="8" w:space="0" w:color="FFFFFF"/>
              <w:right w:val="single" w:sz="8" w:space="0" w:color="FFFFFF"/>
            </w:tcBorders>
            <w:vAlign w:val="center"/>
            <w:hideMark/>
          </w:tcPr>
          <w:p w14:paraId="2652DB1F" w14:textId="77777777" w:rsidR="00DB5174" w:rsidRPr="004845D1" w:rsidRDefault="00DB5174" w:rsidP="00FC2CFC">
            <w:pPr>
              <w:rPr>
                <w:rFonts w:cs="Calibri"/>
                <w:b/>
                <w:bCs/>
                <w:color w:val="FFFFFF"/>
                <w:sz w:val="12"/>
                <w:szCs w:val="12"/>
              </w:rPr>
            </w:pPr>
          </w:p>
        </w:tc>
        <w:tc>
          <w:tcPr>
            <w:tcW w:w="1191" w:type="dxa"/>
            <w:tcBorders>
              <w:top w:val="single" w:sz="6" w:space="0" w:color="FFFFFF"/>
              <w:left w:val="nil"/>
              <w:right w:val="single" w:sz="8" w:space="0" w:color="FFFFFF"/>
            </w:tcBorders>
            <w:shd w:val="clear" w:color="000000" w:fill="0077BD"/>
            <w:vAlign w:val="center"/>
            <w:hideMark/>
          </w:tcPr>
          <w:p w14:paraId="53ACF1ED" w14:textId="77777777" w:rsidR="00DB5174" w:rsidRPr="004845D1" w:rsidRDefault="00DB5174" w:rsidP="00FC2CFC">
            <w:pPr>
              <w:jc w:val="center"/>
              <w:rPr>
                <w:rFonts w:cs="Calibri"/>
                <w:b/>
                <w:bCs/>
                <w:color w:val="FFFFFF"/>
                <w:sz w:val="12"/>
                <w:szCs w:val="12"/>
              </w:rPr>
            </w:pPr>
            <w:r w:rsidRPr="004845D1">
              <w:rPr>
                <w:rFonts w:cs="Calibri"/>
                <w:b/>
                <w:bCs/>
                <w:color w:val="FFFFFF"/>
                <w:sz w:val="12"/>
                <w:szCs w:val="12"/>
              </w:rPr>
              <w:t>Do 3 miesięcy</w:t>
            </w:r>
          </w:p>
        </w:tc>
        <w:tc>
          <w:tcPr>
            <w:tcW w:w="1191" w:type="dxa"/>
            <w:tcBorders>
              <w:top w:val="single" w:sz="6" w:space="0" w:color="FFFFFF"/>
              <w:left w:val="nil"/>
              <w:right w:val="single" w:sz="8" w:space="0" w:color="FFFFFF"/>
            </w:tcBorders>
            <w:shd w:val="clear" w:color="000000" w:fill="0077BD"/>
            <w:vAlign w:val="center"/>
            <w:hideMark/>
          </w:tcPr>
          <w:p w14:paraId="2CC9FDBF" w14:textId="161D53C4" w:rsidR="00DB5174" w:rsidRPr="004845D1" w:rsidRDefault="00DB5174" w:rsidP="00FC2CFC">
            <w:pPr>
              <w:jc w:val="center"/>
              <w:rPr>
                <w:rFonts w:cs="Calibri"/>
                <w:b/>
                <w:bCs/>
                <w:color w:val="FFFFFF"/>
                <w:sz w:val="12"/>
                <w:szCs w:val="12"/>
              </w:rPr>
            </w:pPr>
            <w:r w:rsidRPr="004845D1">
              <w:rPr>
                <w:rFonts w:cs="Calibri"/>
                <w:b/>
                <w:bCs/>
                <w:color w:val="FFFFFF"/>
                <w:sz w:val="12"/>
                <w:szCs w:val="12"/>
              </w:rPr>
              <w:t>Od</w:t>
            </w:r>
            <w:r w:rsidR="005823EA" w:rsidRPr="004845D1">
              <w:rPr>
                <w:rFonts w:cs="Calibri"/>
                <w:b/>
                <w:bCs/>
                <w:color w:val="FFFFFF"/>
                <w:sz w:val="12"/>
                <w:szCs w:val="12"/>
              </w:rPr>
              <w:t xml:space="preserve"> 3 miesięcy do 1 roku</w:t>
            </w:r>
          </w:p>
        </w:tc>
        <w:tc>
          <w:tcPr>
            <w:tcW w:w="1191" w:type="dxa"/>
            <w:tcBorders>
              <w:top w:val="single" w:sz="6" w:space="0" w:color="FFFFFF"/>
              <w:left w:val="nil"/>
              <w:right w:val="single" w:sz="8" w:space="0" w:color="FFFFFF"/>
            </w:tcBorders>
            <w:shd w:val="clear" w:color="000000" w:fill="0077BD"/>
            <w:vAlign w:val="center"/>
            <w:hideMark/>
          </w:tcPr>
          <w:p w14:paraId="5C184A66" w14:textId="77777777" w:rsidR="00DB5174" w:rsidRPr="004845D1" w:rsidRDefault="00DB5174" w:rsidP="00FC2CFC">
            <w:pPr>
              <w:jc w:val="center"/>
              <w:rPr>
                <w:rFonts w:cs="Calibri"/>
                <w:b/>
                <w:bCs/>
                <w:color w:val="FFFFFF"/>
                <w:sz w:val="12"/>
                <w:szCs w:val="12"/>
              </w:rPr>
            </w:pPr>
            <w:r w:rsidRPr="004845D1">
              <w:rPr>
                <w:rFonts w:cs="Calibri"/>
                <w:b/>
                <w:bCs/>
                <w:color w:val="FFFFFF"/>
                <w:sz w:val="12"/>
                <w:szCs w:val="12"/>
              </w:rPr>
              <w:t>Od 1 do 5 lat</w:t>
            </w:r>
          </w:p>
        </w:tc>
        <w:tc>
          <w:tcPr>
            <w:tcW w:w="1191" w:type="dxa"/>
            <w:tcBorders>
              <w:top w:val="single" w:sz="6" w:space="0" w:color="FFFFFF"/>
              <w:left w:val="nil"/>
              <w:right w:val="single" w:sz="8" w:space="0" w:color="FFFFFF"/>
            </w:tcBorders>
            <w:shd w:val="clear" w:color="000000" w:fill="0077BD"/>
            <w:vAlign w:val="center"/>
            <w:hideMark/>
          </w:tcPr>
          <w:p w14:paraId="2AEB05DF" w14:textId="77777777" w:rsidR="00DB5174" w:rsidRPr="004845D1" w:rsidRDefault="00DB5174" w:rsidP="00FC2CFC">
            <w:pPr>
              <w:jc w:val="center"/>
              <w:rPr>
                <w:rFonts w:cs="Calibri"/>
                <w:b/>
                <w:bCs/>
                <w:color w:val="FFFFFF"/>
                <w:sz w:val="12"/>
                <w:szCs w:val="12"/>
              </w:rPr>
            </w:pPr>
            <w:r w:rsidRPr="004845D1">
              <w:rPr>
                <w:rFonts w:cs="Calibri"/>
                <w:b/>
                <w:bCs/>
                <w:color w:val="FFFFFF"/>
                <w:sz w:val="12"/>
                <w:szCs w:val="12"/>
              </w:rPr>
              <w:t>Powyżej 5 lat</w:t>
            </w:r>
          </w:p>
        </w:tc>
        <w:tc>
          <w:tcPr>
            <w:tcW w:w="1191" w:type="dxa"/>
            <w:vMerge/>
            <w:tcBorders>
              <w:top w:val="nil"/>
              <w:left w:val="single" w:sz="8" w:space="0" w:color="FFFFFF"/>
              <w:right w:val="nil"/>
            </w:tcBorders>
            <w:vAlign w:val="center"/>
            <w:hideMark/>
          </w:tcPr>
          <w:p w14:paraId="154CF52F" w14:textId="77777777" w:rsidR="00DB5174" w:rsidRPr="004845D1" w:rsidRDefault="00DB5174" w:rsidP="00FC2CFC">
            <w:pPr>
              <w:rPr>
                <w:rFonts w:cs="Calibri"/>
                <w:b/>
                <w:bCs/>
                <w:color w:val="FFFFFF"/>
                <w:sz w:val="12"/>
                <w:szCs w:val="12"/>
              </w:rPr>
            </w:pPr>
          </w:p>
        </w:tc>
      </w:tr>
      <w:tr w:rsidR="00D462F7" w:rsidRPr="004845D1" w14:paraId="254130D8" w14:textId="77777777" w:rsidTr="0070550B">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8364EB6" w14:textId="77777777" w:rsidR="00D462F7" w:rsidRPr="004845D1" w:rsidRDefault="00D462F7" w:rsidP="00D462F7">
            <w:pPr>
              <w:rPr>
                <w:rFonts w:cs="Calibri"/>
                <w:b/>
                <w:bCs/>
                <w:color w:val="000000" w:themeColor="text1"/>
                <w:sz w:val="12"/>
                <w:szCs w:val="12"/>
              </w:rPr>
            </w:pPr>
            <w:r w:rsidRPr="004845D1">
              <w:rPr>
                <w:rFonts w:cs="Calibri"/>
                <w:b/>
                <w:bCs/>
                <w:color w:val="000000" w:themeColor="text1"/>
                <w:sz w:val="12"/>
                <w:szCs w:val="12"/>
              </w:rPr>
              <w:t>Obligacje, w tym:</w:t>
            </w:r>
          </w:p>
        </w:tc>
        <w:tc>
          <w:tcPr>
            <w:tcW w:w="1191" w:type="dxa"/>
            <w:tcBorders>
              <w:left w:val="single" w:sz="8" w:space="0" w:color="0077BD"/>
              <w:bottom w:val="single" w:sz="4" w:space="0" w:color="0077BD"/>
              <w:right w:val="single" w:sz="8" w:space="0" w:color="0077BD"/>
            </w:tcBorders>
            <w:shd w:val="thinDiagStripe" w:color="auto" w:fill="auto"/>
            <w:vAlign w:val="center"/>
          </w:tcPr>
          <w:p w14:paraId="16766074" w14:textId="4C0B7E3E" w:rsidR="00D462F7" w:rsidRPr="004845D1" w:rsidRDefault="00D462F7" w:rsidP="00D462F7">
            <w:pPr>
              <w:jc w:val="right"/>
              <w:rPr>
                <w:rFonts w:cs="Calibri"/>
                <w:b/>
                <w:bCs/>
                <w:color w:val="000000" w:themeColor="text1"/>
                <w:sz w:val="12"/>
                <w:szCs w:val="12"/>
              </w:rPr>
            </w:pPr>
          </w:p>
        </w:tc>
        <w:tc>
          <w:tcPr>
            <w:tcW w:w="1191" w:type="dxa"/>
            <w:tcBorders>
              <w:top w:val="nil"/>
              <w:left w:val="nil"/>
              <w:bottom w:val="single" w:sz="4" w:space="0" w:color="0077BD"/>
              <w:right w:val="single" w:sz="8" w:space="0" w:color="0077BD"/>
            </w:tcBorders>
            <w:shd w:val="clear" w:color="auto" w:fill="auto"/>
            <w:vAlign w:val="center"/>
          </w:tcPr>
          <w:p w14:paraId="565F0ECB" w14:textId="44C2ADD6"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707 456</w:t>
            </w:r>
          </w:p>
        </w:tc>
        <w:tc>
          <w:tcPr>
            <w:tcW w:w="1191" w:type="dxa"/>
            <w:tcBorders>
              <w:top w:val="nil"/>
              <w:left w:val="nil"/>
              <w:bottom w:val="single" w:sz="4" w:space="0" w:color="0077BD"/>
              <w:right w:val="single" w:sz="8" w:space="0" w:color="0077BD"/>
            </w:tcBorders>
            <w:shd w:val="clear" w:color="auto" w:fill="auto"/>
            <w:vAlign w:val="center"/>
          </w:tcPr>
          <w:p w14:paraId="17C7549F" w14:textId="6E5F6002"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2 439 775</w:t>
            </w:r>
          </w:p>
        </w:tc>
        <w:tc>
          <w:tcPr>
            <w:tcW w:w="1191" w:type="dxa"/>
            <w:tcBorders>
              <w:top w:val="nil"/>
              <w:left w:val="nil"/>
              <w:bottom w:val="single" w:sz="4" w:space="0" w:color="0077BD"/>
              <w:right w:val="single" w:sz="8" w:space="0" w:color="0077BD"/>
            </w:tcBorders>
            <w:shd w:val="clear" w:color="auto" w:fill="auto"/>
            <w:vAlign w:val="center"/>
            <w:hideMark/>
          </w:tcPr>
          <w:p w14:paraId="55060731" w14:textId="162A3099"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6 431 890</w:t>
            </w:r>
          </w:p>
        </w:tc>
        <w:tc>
          <w:tcPr>
            <w:tcW w:w="1191" w:type="dxa"/>
            <w:tcBorders>
              <w:top w:val="nil"/>
              <w:left w:val="nil"/>
              <w:bottom w:val="single" w:sz="4" w:space="0" w:color="0077BD"/>
              <w:right w:val="single" w:sz="8" w:space="0" w:color="0077BD"/>
            </w:tcBorders>
            <w:shd w:val="clear" w:color="auto" w:fill="auto"/>
            <w:vAlign w:val="center"/>
            <w:hideMark/>
          </w:tcPr>
          <w:p w14:paraId="634EBBD0" w14:textId="2377AFE1"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w:t>
            </w:r>
          </w:p>
        </w:tc>
        <w:tc>
          <w:tcPr>
            <w:tcW w:w="1191" w:type="dxa"/>
            <w:tcBorders>
              <w:top w:val="nil"/>
              <w:left w:val="nil"/>
              <w:bottom w:val="single" w:sz="4" w:space="0" w:color="0077BD"/>
              <w:right w:val="nil"/>
            </w:tcBorders>
            <w:shd w:val="clear" w:color="auto" w:fill="auto"/>
            <w:vAlign w:val="center"/>
          </w:tcPr>
          <w:p w14:paraId="5E8812AC" w14:textId="42B9195F"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9 579 121</w:t>
            </w:r>
          </w:p>
        </w:tc>
      </w:tr>
      <w:tr w:rsidR="00835079" w:rsidRPr="004845D1" w14:paraId="63298308" w14:textId="77777777" w:rsidTr="008E59F9">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0FB9892" w14:textId="77777777" w:rsidR="00835079" w:rsidRPr="004845D1" w:rsidRDefault="00835079" w:rsidP="00835079">
            <w:pPr>
              <w:rPr>
                <w:rFonts w:cs="Calibri"/>
                <w:color w:val="000000" w:themeColor="text1"/>
                <w:sz w:val="12"/>
                <w:szCs w:val="12"/>
              </w:rPr>
            </w:pPr>
            <w:r w:rsidRPr="004845D1">
              <w:rPr>
                <w:rFonts w:cs="Calibri"/>
                <w:color w:val="000000" w:themeColor="text1"/>
                <w:sz w:val="12"/>
                <w:szCs w:val="12"/>
              </w:rPr>
              <w:t>- PLN</w:t>
            </w:r>
          </w:p>
        </w:tc>
        <w:tc>
          <w:tcPr>
            <w:tcW w:w="119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F190B87" w14:textId="3D12BDBA" w:rsidR="00835079" w:rsidRPr="00835079" w:rsidRDefault="00835079" w:rsidP="00835079">
            <w:pPr>
              <w:jc w:val="right"/>
              <w:rPr>
                <w:rFonts w:cs="Calibri"/>
                <w:color w:val="000000" w:themeColor="text1"/>
                <w:sz w:val="12"/>
                <w:szCs w:val="12"/>
              </w:rPr>
            </w:pPr>
            <w:r w:rsidRPr="00835079">
              <w:rPr>
                <w:rFonts w:cs="Calibri"/>
                <w:color w:val="000000" w:themeColor="text1"/>
                <w:sz w:val="12"/>
                <w:szCs w:val="12"/>
              </w:rPr>
              <w:t>1 165 200</w:t>
            </w:r>
          </w:p>
        </w:tc>
        <w:tc>
          <w:tcPr>
            <w:tcW w:w="1191" w:type="dxa"/>
            <w:tcBorders>
              <w:top w:val="nil"/>
              <w:left w:val="nil"/>
              <w:bottom w:val="single" w:sz="4" w:space="0" w:color="0077BD"/>
              <w:right w:val="single" w:sz="8" w:space="0" w:color="0077BD"/>
            </w:tcBorders>
            <w:shd w:val="clear" w:color="auto" w:fill="auto"/>
            <w:vAlign w:val="center"/>
          </w:tcPr>
          <w:p w14:paraId="5EDC28DC" w14:textId="63AD7E4F"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701 476</w:t>
            </w:r>
          </w:p>
        </w:tc>
        <w:tc>
          <w:tcPr>
            <w:tcW w:w="1191" w:type="dxa"/>
            <w:tcBorders>
              <w:top w:val="nil"/>
              <w:left w:val="nil"/>
              <w:bottom w:val="single" w:sz="4" w:space="0" w:color="0077BD"/>
              <w:right w:val="single" w:sz="8" w:space="0" w:color="0077BD"/>
            </w:tcBorders>
            <w:shd w:val="clear" w:color="auto" w:fill="auto"/>
            <w:vAlign w:val="center"/>
          </w:tcPr>
          <w:p w14:paraId="3F187290" w14:textId="7D8AA359"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299 424</w:t>
            </w:r>
          </w:p>
        </w:tc>
        <w:tc>
          <w:tcPr>
            <w:tcW w:w="1191" w:type="dxa"/>
            <w:tcBorders>
              <w:top w:val="nil"/>
              <w:left w:val="nil"/>
              <w:bottom w:val="single" w:sz="4" w:space="0" w:color="0077BD"/>
              <w:right w:val="single" w:sz="8" w:space="0" w:color="0077BD"/>
            </w:tcBorders>
            <w:shd w:val="clear" w:color="auto" w:fill="auto"/>
            <w:vAlign w:val="center"/>
            <w:hideMark/>
          </w:tcPr>
          <w:p w14:paraId="27EFD4B5" w14:textId="6265F805"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162 545</w:t>
            </w:r>
          </w:p>
        </w:tc>
        <w:tc>
          <w:tcPr>
            <w:tcW w:w="1191" w:type="dxa"/>
            <w:tcBorders>
              <w:top w:val="nil"/>
              <w:left w:val="nil"/>
              <w:bottom w:val="single" w:sz="4" w:space="0" w:color="0077BD"/>
              <w:right w:val="single" w:sz="8" w:space="0" w:color="0077BD"/>
            </w:tcBorders>
            <w:shd w:val="clear" w:color="auto" w:fill="auto"/>
            <w:vAlign w:val="center"/>
            <w:hideMark/>
          </w:tcPr>
          <w:p w14:paraId="36BFE7CA" w14:textId="07CE965E"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nil"/>
            </w:tcBorders>
            <w:shd w:val="clear" w:color="auto" w:fill="auto"/>
            <w:vAlign w:val="center"/>
          </w:tcPr>
          <w:p w14:paraId="7B2C0785" w14:textId="7F2E8534"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1 163 445</w:t>
            </w:r>
          </w:p>
        </w:tc>
      </w:tr>
      <w:tr w:rsidR="00835079" w:rsidRPr="004845D1" w14:paraId="51D56F53" w14:textId="77777777" w:rsidTr="008E59F9">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4A94C4B7" w14:textId="77777777" w:rsidR="00835079" w:rsidRPr="004845D1" w:rsidRDefault="00835079" w:rsidP="00835079">
            <w:pPr>
              <w:rPr>
                <w:rFonts w:cs="Calibri"/>
                <w:color w:val="000000" w:themeColor="text1"/>
                <w:sz w:val="12"/>
                <w:szCs w:val="12"/>
              </w:rPr>
            </w:pPr>
            <w:r w:rsidRPr="004845D1">
              <w:rPr>
                <w:rFonts w:cs="Calibri"/>
                <w:color w:val="000000" w:themeColor="text1"/>
                <w:sz w:val="12"/>
                <w:szCs w:val="12"/>
              </w:rPr>
              <w:t>- EUR</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484B6F28" w14:textId="4EA33E94" w:rsidR="00835079" w:rsidRPr="00835079" w:rsidRDefault="00835079" w:rsidP="00835079">
            <w:pPr>
              <w:jc w:val="right"/>
              <w:rPr>
                <w:rFonts w:cs="Calibri"/>
                <w:color w:val="000000" w:themeColor="text1"/>
                <w:sz w:val="12"/>
                <w:szCs w:val="12"/>
              </w:rPr>
            </w:pPr>
            <w:r w:rsidRPr="00835079">
              <w:rPr>
                <w:rFonts w:cs="Calibri"/>
                <w:color w:val="000000" w:themeColor="text1"/>
                <w:sz w:val="12"/>
                <w:szCs w:val="12"/>
              </w:rPr>
              <w:t>1 500 000</w:t>
            </w:r>
          </w:p>
        </w:tc>
        <w:tc>
          <w:tcPr>
            <w:tcW w:w="1191" w:type="dxa"/>
            <w:tcBorders>
              <w:top w:val="nil"/>
              <w:left w:val="nil"/>
              <w:bottom w:val="single" w:sz="4" w:space="0" w:color="0077BD"/>
              <w:right w:val="single" w:sz="8" w:space="0" w:color="0077BD"/>
            </w:tcBorders>
            <w:shd w:val="clear" w:color="auto" w:fill="auto"/>
            <w:vAlign w:val="center"/>
            <w:hideMark/>
          </w:tcPr>
          <w:p w14:paraId="10F420BC" w14:textId="3BA0B94C"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single" w:sz="8" w:space="0" w:color="0077BD"/>
            </w:tcBorders>
            <w:shd w:val="clear" w:color="auto" w:fill="auto"/>
            <w:noWrap/>
            <w:vAlign w:val="center"/>
            <w:hideMark/>
          </w:tcPr>
          <w:p w14:paraId="00987F8D" w14:textId="0BCF0251"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2 140 351</w:t>
            </w:r>
          </w:p>
        </w:tc>
        <w:tc>
          <w:tcPr>
            <w:tcW w:w="1191" w:type="dxa"/>
            <w:tcBorders>
              <w:top w:val="nil"/>
              <w:left w:val="nil"/>
              <w:bottom w:val="single" w:sz="4" w:space="0" w:color="0077BD"/>
              <w:right w:val="single" w:sz="8" w:space="0" w:color="0077BD"/>
            </w:tcBorders>
            <w:shd w:val="clear" w:color="auto" w:fill="auto"/>
            <w:noWrap/>
            <w:vAlign w:val="center"/>
          </w:tcPr>
          <w:p w14:paraId="756200FD" w14:textId="3B0CFED1"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4 282 473</w:t>
            </w:r>
          </w:p>
        </w:tc>
        <w:tc>
          <w:tcPr>
            <w:tcW w:w="1191" w:type="dxa"/>
            <w:tcBorders>
              <w:top w:val="nil"/>
              <w:left w:val="nil"/>
              <w:bottom w:val="single" w:sz="4" w:space="0" w:color="0077BD"/>
              <w:right w:val="single" w:sz="8" w:space="0" w:color="0077BD"/>
            </w:tcBorders>
            <w:shd w:val="clear" w:color="auto" w:fill="auto"/>
            <w:vAlign w:val="center"/>
            <w:hideMark/>
          </w:tcPr>
          <w:p w14:paraId="4BCCCFAA" w14:textId="7B8B6953"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nil"/>
            </w:tcBorders>
            <w:shd w:val="clear" w:color="auto" w:fill="auto"/>
            <w:vAlign w:val="center"/>
          </w:tcPr>
          <w:p w14:paraId="0B478567" w14:textId="7E71101D"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6 422 824</w:t>
            </w:r>
          </w:p>
        </w:tc>
      </w:tr>
      <w:tr w:rsidR="00835079" w:rsidRPr="004845D1" w14:paraId="368C1DDA" w14:textId="77777777" w:rsidTr="00600EF6">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41C91C2" w14:textId="77777777" w:rsidR="00835079" w:rsidRPr="004845D1" w:rsidRDefault="00835079" w:rsidP="00835079">
            <w:pPr>
              <w:rPr>
                <w:rFonts w:cs="Calibri"/>
                <w:color w:val="000000" w:themeColor="text1"/>
                <w:sz w:val="12"/>
                <w:szCs w:val="12"/>
              </w:rPr>
            </w:pPr>
            <w:r w:rsidRPr="004845D1">
              <w:rPr>
                <w:rFonts w:cs="Calibri"/>
                <w:color w:val="000000" w:themeColor="text1"/>
                <w:sz w:val="12"/>
                <w:szCs w:val="12"/>
              </w:rPr>
              <w:t>- CHF</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57106158" w14:textId="2E3E0BF7" w:rsidR="00835079" w:rsidRPr="00835079" w:rsidRDefault="00835079" w:rsidP="00835079">
            <w:pPr>
              <w:jc w:val="right"/>
              <w:rPr>
                <w:rFonts w:cs="Calibri"/>
                <w:color w:val="000000" w:themeColor="text1"/>
                <w:sz w:val="12"/>
                <w:szCs w:val="12"/>
              </w:rPr>
            </w:pPr>
            <w:r w:rsidRPr="00835079">
              <w:rPr>
                <w:rFonts w:cs="Calibri"/>
                <w:color w:val="000000" w:themeColor="text1"/>
                <w:sz w:val="12"/>
                <w:szCs w:val="12"/>
              </w:rPr>
              <w:t>505 109</w:t>
            </w:r>
          </w:p>
        </w:tc>
        <w:tc>
          <w:tcPr>
            <w:tcW w:w="1191" w:type="dxa"/>
            <w:tcBorders>
              <w:top w:val="nil"/>
              <w:left w:val="nil"/>
              <w:bottom w:val="single" w:sz="4" w:space="0" w:color="0077BD"/>
              <w:right w:val="single" w:sz="8" w:space="0" w:color="0077BD"/>
            </w:tcBorders>
            <w:shd w:val="clear" w:color="auto" w:fill="auto"/>
            <w:vAlign w:val="center"/>
            <w:hideMark/>
          </w:tcPr>
          <w:p w14:paraId="2A734AB5" w14:textId="52F43949"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5 980</w:t>
            </w:r>
          </w:p>
        </w:tc>
        <w:tc>
          <w:tcPr>
            <w:tcW w:w="1191" w:type="dxa"/>
            <w:tcBorders>
              <w:top w:val="nil"/>
              <w:left w:val="nil"/>
              <w:bottom w:val="single" w:sz="4" w:space="0" w:color="0077BD"/>
              <w:right w:val="single" w:sz="8" w:space="0" w:color="0077BD"/>
            </w:tcBorders>
            <w:shd w:val="clear" w:color="auto" w:fill="auto"/>
            <w:vAlign w:val="center"/>
            <w:hideMark/>
          </w:tcPr>
          <w:p w14:paraId="2405BE26" w14:textId="707FC161"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single" w:sz="8" w:space="0" w:color="0077BD"/>
            </w:tcBorders>
            <w:shd w:val="clear" w:color="auto" w:fill="auto"/>
            <w:vAlign w:val="center"/>
          </w:tcPr>
          <w:p w14:paraId="0B5C7AB8" w14:textId="2F069163"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1 986 872</w:t>
            </w:r>
          </w:p>
        </w:tc>
        <w:tc>
          <w:tcPr>
            <w:tcW w:w="1191" w:type="dxa"/>
            <w:tcBorders>
              <w:top w:val="nil"/>
              <w:left w:val="nil"/>
              <w:bottom w:val="single" w:sz="4" w:space="0" w:color="0077BD"/>
              <w:right w:val="single" w:sz="8" w:space="0" w:color="0077BD"/>
            </w:tcBorders>
            <w:shd w:val="clear" w:color="auto" w:fill="auto"/>
            <w:vAlign w:val="center"/>
            <w:hideMark/>
          </w:tcPr>
          <w:p w14:paraId="75DCA02F" w14:textId="0080C984"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nil"/>
            </w:tcBorders>
            <w:shd w:val="clear" w:color="auto" w:fill="auto"/>
            <w:vAlign w:val="center"/>
          </w:tcPr>
          <w:p w14:paraId="2BFA25E2" w14:textId="3AD0F510" w:rsidR="00835079" w:rsidRPr="004845D1" w:rsidRDefault="00835079" w:rsidP="00835079">
            <w:pPr>
              <w:jc w:val="right"/>
              <w:rPr>
                <w:rFonts w:cs="Calibri"/>
                <w:color w:val="000000" w:themeColor="text1"/>
                <w:sz w:val="12"/>
                <w:szCs w:val="12"/>
              </w:rPr>
            </w:pPr>
            <w:r w:rsidRPr="004845D1">
              <w:rPr>
                <w:rFonts w:cs="Calibri"/>
                <w:color w:val="000000" w:themeColor="text1"/>
                <w:sz w:val="12"/>
                <w:szCs w:val="12"/>
              </w:rPr>
              <w:t>1 992 852</w:t>
            </w:r>
          </w:p>
        </w:tc>
      </w:tr>
      <w:tr w:rsidR="00D462F7" w:rsidRPr="004845D1" w14:paraId="53D2E1C8" w14:textId="77777777" w:rsidTr="00600EF6">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8620A5D" w14:textId="35A3EE0C" w:rsidR="00D462F7" w:rsidRPr="004845D1" w:rsidRDefault="00766823" w:rsidP="00D462F7">
            <w:pPr>
              <w:rPr>
                <w:rFonts w:cs="Calibri"/>
                <w:b/>
                <w:bCs/>
                <w:color w:val="000000" w:themeColor="text1"/>
                <w:sz w:val="12"/>
                <w:szCs w:val="12"/>
              </w:rPr>
            </w:pPr>
            <w:r>
              <w:rPr>
                <w:rFonts w:cs="Calibri"/>
                <w:b/>
                <w:bCs/>
                <w:color w:val="000000" w:themeColor="text1"/>
                <w:sz w:val="12"/>
                <w:szCs w:val="12"/>
              </w:rPr>
              <w:t>Listy zastawne (p</w:t>
            </w:r>
            <w:r w:rsidR="00D462F7" w:rsidRPr="004845D1">
              <w:rPr>
                <w:rFonts w:cs="Calibri"/>
                <w:b/>
                <w:bCs/>
                <w:color w:val="000000" w:themeColor="text1"/>
                <w:sz w:val="12"/>
                <w:szCs w:val="12"/>
              </w:rPr>
              <w:t>ubliczne), w tym:</w:t>
            </w:r>
          </w:p>
        </w:tc>
        <w:tc>
          <w:tcPr>
            <w:tcW w:w="1191" w:type="dxa"/>
            <w:tcBorders>
              <w:top w:val="single" w:sz="4" w:space="0" w:color="0077BD"/>
              <w:left w:val="single" w:sz="8" w:space="0" w:color="0077BD"/>
              <w:bottom w:val="single" w:sz="4" w:space="0" w:color="0077BD"/>
              <w:right w:val="single" w:sz="8" w:space="0" w:color="0077BD"/>
            </w:tcBorders>
            <w:shd w:val="thinDiagStripe" w:color="auto" w:fill="auto"/>
            <w:vAlign w:val="center"/>
          </w:tcPr>
          <w:p w14:paraId="24346748" w14:textId="4E8468F1" w:rsidR="00D462F7" w:rsidRPr="004845D1" w:rsidRDefault="00D462F7" w:rsidP="00D462F7">
            <w:pPr>
              <w:jc w:val="right"/>
              <w:rPr>
                <w:rFonts w:cs="Calibri"/>
                <w:b/>
                <w:bCs/>
                <w:color w:val="000000" w:themeColor="text1"/>
                <w:sz w:val="12"/>
                <w:szCs w:val="12"/>
              </w:rPr>
            </w:pPr>
          </w:p>
        </w:tc>
        <w:tc>
          <w:tcPr>
            <w:tcW w:w="1191" w:type="dxa"/>
            <w:tcBorders>
              <w:top w:val="nil"/>
              <w:left w:val="nil"/>
              <w:bottom w:val="single" w:sz="4" w:space="0" w:color="0077BD"/>
              <w:right w:val="single" w:sz="8" w:space="0" w:color="0077BD"/>
            </w:tcBorders>
            <w:shd w:val="clear" w:color="auto" w:fill="auto"/>
            <w:vAlign w:val="center"/>
            <w:hideMark/>
          </w:tcPr>
          <w:p w14:paraId="096AF24D" w14:textId="793F1A08"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w:t>
            </w:r>
          </w:p>
        </w:tc>
        <w:tc>
          <w:tcPr>
            <w:tcW w:w="1191" w:type="dxa"/>
            <w:tcBorders>
              <w:top w:val="nil"/>
              <w:left w:val="nil"/>
              <w:bottom w:val="single" w:sz="4" w:space="0" w:color="0077BD"/>
              <w:right w:val="single" w:sz="8" w:space="0" w:color="0077BD"/>
            </w:tcBorders>
            <w:shd w:val="clear" w:color="auto" w:fill="auto"/>
            <w:vAlign w:val="center"/>
          </w:tcPr>
          <w:p w14:paraId="66DE2FD7" w14:textId="369AB6C0"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911 455</w:t>
            </w:r>
          </w:p>
        </w:tc>
        <w:tc>
          <w:tcPr>
            <w:tcW w:w="1191" w:type="dxa"/>
            <w:tcBorders>
              <w:top w:val="nil"/>
              <w:left w:val="nil"/>
              <w:bottom w:val="single" w:sz="4" w:space="0" w:color="0077BD"/>
              <w:right w:val="single" w:sz="8" w:space="0" w:color="0077BD"/>
            </w:tcBorders>
            <w:shd w:val="clear" w:color="auto" w:fill="auto"/>
            <w:vAlign w:val="center"/>
          </w:tcPr>
          <w:p w14:paraId="74DE29F6" w14:textId="052F6403"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3 776 152</w:t>
            </w:r>
          </w:p>
        </w:tc>
        <w:tc>
          <w:tcPr>
            <w:tcW w:w="1191" w:type="dxa"/>
            <w:tcBorders>
              <w:top w:val="nil"/>
              <w:left w:val="nil"/>
              <w:bottom w:val="single" w:sz="4" w:space="0" w:color="0077BD"/>
              <w:right w:val="single" w:sz="8" w:space="0" w:color="0077BD"/>
            </w:tcBorders>
            <w:shd w:val="clear" w:color="auto" w:fill="auto"/>
            <w:vAlign w:val="center"/>
          </w:tcPr>
          <w:p w14:paraId="09FCC0ED" w14:textId="0B5AD816"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3 168 415</w:t>
            </w:r>
          </w:p>
        </w:tc>
        <w:tc>
          <w:tcPr>
            <w:tcW w:w="1191" w:type="dxa"/>
            <w:tcBorders>
              <w:top w:val="nil"/>
              <w:left w:val="nil"/>
              <w:bottom w:val="single" w:sz="4" w:space="0" w:color="0077BD"/>
              <w:right w:val="nil"/>
            </w:tcBorders>
            <w:shd w:val="clear" w:color="auto" w:fill="auto"/>
            <w:vAlign w:val="center"/>
          </w:tcPr>
          <w:p w14:paraId="4081EFA2" w14:textId="75AD9014" w:rsidR="00D462F7" w:rsidRPr="004845D1" w:rsidRDefault="00D462F7" w:rsidP="00D462F7">
            <w:pPr>
              <w:jc w:val="right"/>
              <w:rPr>
                <w:rFonts w:cs="Calibri"/>
                <w:b/>
                <w:bCs/>
                <w:color w:val="000000" w:themeColor="text1"/>
                <w:sz w:val="12"/>
                <w:szCs w:val="12"/>
              </w:rPr>
            </w:pPr>
            <w:r w:rsidRPr="004845D1">
              <w:rPr>
                <w:rFonts w:cs="Calibri"/>
                <w:b/>
                <w:bCs/>
                <w:color w:val="000000" w:themeColor="text1"/>
                <w:sz w:val="12"/>
                <w:szCs w:val="12"/>
              </w:rPr>
              <w:t>7 856 022</w:t>
            </w:r>
          </w:p>
        </w:tc>
      </w:tr>
      <w:tr w:rsidR="00D462F7" w:rsidRPr="004845D1" w14:paraId="0C21D511" w14:textId="77777777" w:rsidTr="00600EF6">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5C2C9DE1" w14:textId="77777777" w:rsidR="00D462F7" w:rsidRPr="004845D1" w:rsidRDefault="00D462F7" w:rsidP="00D462F7">
            <w:pPr>
              <w:rPr>
                <w:rFonts w:cs="Calibri"/>
                <w:color w:val="000000" w:themeColor="text1"/>
                <w:sz w:val="12"/>
                <w:szCs w:val="12"/>
              </w:rPr>
            </w:pPr>
            <w:r w:rsidRPr="004845D1">
              <w:rPr>
                <w:rFonts w:cs="Calibri"/>
                <w:color w:val="000000" w:themeColor="text1"/>
                <w:sz w:val="12"/>
                <w:szCs w:val="12"/>
              </w:rPr>
              <w:t>- PLN</w:t>
            </w:r>
          </w:p>
        </w:tc>
        <w:tc>
          <w:tcPr>
            <w:tcW w:w="1191" w:type="dxa"/>
            <w:tcBorders>
              <w:top w:val="nil"/>
              <w:left w:val="single" w:sz="8" w:space="0" w:color="0077BD"/>
              <w:bottom w:val="single" w:sz="4" w:space="0" w:color="0077BD"/>
              <w:right w:val="single" w:sz="8" w:space="0" w:color="0077BD"/>
            </w:tcBorders>
            <w:shd w:val="clear" w:color="auto" w:fill="auto"/>
            <w:noWrap/>
            <w:vAlign w:val="center"/>
          </w:tcPr>
          <w:p w14:paraId="36B1B3FB" w14:textId="47CBE6DC"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3 700 800</w:t>
            </w:r>
          </w:p>
        </w:tc>
        <w:tc>
          <w:tcPr>
            <w:tcW w:w="1191" w:type="dxa"/>
            <w:tcBorders>
              <w:top w:val="nil"/>
              <w:left w:val="nil"/>
              <w:bottom w:val="single" w:sz="4" w:space="0" w:color="0077BD"/>
              <w:right w:val="single" w:sz="8" w:space="0" w:color="0077BD"/>
            </w:tcBorders>
            <w:shd w:val="clear" w:color="auto" w:fill="auto"/>
            <w:vAlign w:val="center"/>
            <w:hideMark/>
          </w:tcPr>
          <w:p w14:paraId="5A526598" w14:textId="4C698E9A"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4" w:space="0" w:color="0077BD"/>
              <w:right w:val="single" w:sz="8" w:space="0" w:color="0077BD"/>
            </w:tcBorders>
            <w:shd w:val="clear" w:color="auto" w:fill="auto"/>
            <w:noWrap/>
            <w:vAlign w:val="center"/>
          </w:tcPr>
          <w:p w14:paraId="26106803" w14:textId="2CEE32BE"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569 282</w:t>
            </w:r>
          </w:p>
        </w:tc>
        <w:tc>
          <w:tcPr>
            <w:tcW w:w="1191" w:type="dxa"/>
            <w:tcBorders>
              <w:top w:val="nil"/>
              <w:left w:val="nil"/>
              <w:bottom w:val="single" w:sz="4" w:space="0" w:color="0077BD"/>
              <w:right w:val="single" w:sz="8" w:space="0" w:color="0077BD"/>
            </w:tcBorders>
            <w:shd w:val="clear" w:color="auto" w:fill="auto"/>
            <w:noWrap/>
            <w:vAlign w:val="center"/>
          </w:tcPr>
          <w:p w14:paraId="5E73153A" w14:textId="08EA9761"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3 072 759</w:t>
            </w:r>
          </w:p>
        </w:tc>
        <w:tc>
          <w:tcPr>
            <w:tcW w:w="1191" w:type="dxa"/>
            <w:tcBorders>
              <w:top w:val="nil"/>
              <w:left w:val="nil"/>
              <w:bottom w:val="single" w:sz="4" w:space="0" w:color="0077BD"/>
              <w:right w:val="single" w:sz="8" w:space="0" w:color="0077BD"/>
            </w:tcBorders>
            <w:shd w:val="clear" w:color="auto" w:fill="auto"/>
            <w:noWrap/>
            <w:vAlign w:val="center"/>
          </w:tcPr>
          <w:p w14:paraId="00023F9F" w14:textId="5841E8EE"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161 725</w:t>
            </w:r>
          </w:p>
        </w:tc>
        <w:tc>
          <w:tcPr>
            <w:tcW w:w="1191" w:type="dxa"/>
            <w:tcBorders>
              <w:top w:val="nil"/>
              <w:left w:val="nil"/>
              <w:bottom w:val="single" w:sz="4" w:space="0" w:color="0077BD"/>
              <w:right w:val="nil"/>
            </w:tcBorders>
            <w:shd w:val="clear" w:color="auto" w:fill="auto"/>
            <w:noWrap/>
            <w:vAlign w:val="center"/>
          </w:tcPr>
          <w:p w14:paraId="714F594D" w14:textId="3BE17170"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3 803 766</w:t>
            </w:r>
          </w:p>
        </w:tc>
      </w:tr>
      <w:tr w:rsidR="00D462F7" w:rsidRPr="004845D1" w14:paraId="644A2D1E" w14:textId="77777777" w:rsidTr="00600EF6">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08F7926B" w14:textId="77777777" w:rsidR="00D462F7" w:rsidRPr="004845D1" w:rsidRDefault="00D462F7" w:rsidP="00D462F7">
            <w:pPr>
              <w:rPr>
                <w:rFonts w:cs="Calibri"/>
                <w:color w:val="000000" w:themeColor="text1"/>
                <w:sz w:val="12"/>
                <w:szCs w:val="12"/>
              </w:rPr>
            </w:pPr>
            <w:r w:rsidRPr="004845D1">
              <w:rPr>
                <w:rFonts w:cs="Calibri"/>
                <w:color w:val="000000" w:themeColor="text1"/>
                <w:sz w:val="12"/>
                <w:szCs w:val="12"/>
              </w:rPr>
              <w:t>- EUR</w:t>
            </w:r>
          </w:p>
        </w:tc>
        <w:tc>
          <w:tcPr>
            <w:tcW w:w="1191" w:type="dxa"/>
            <w:tcBorders>
              <w:top w:val="nil"/>
              <w:left w:val="single" w:sz="8" w:space="0" w:color="0077BD"/>
              <w:bottom w:val="single" w:sz="8" w:space="0" w:color="0077BD"/>
              <w:right w:val="single" w:sz="8" w:space="0" w:color="0077BD"/>
            </w:tcBorders>
            <w:shd w:val="clear" w:color="auto" w:fill="auto"/>
            <w:vAlign w:val="center"/>
          </w:tcPr>
          <w:p w14:paraId="1CB8D0EA" w14:textId="4F03C49F" w:rsidR="00D462F7" w:rsidRPr="004845D1" w:rsidRDefault="005176D1" w:rsidP="00D462F7">
            <w:pPr>
              <w:jc w:val="right"/>
              <w:rPr>
                <w:rFonts w:cs="Calibri"/>
                <w:color w:val="000000" w:themeColor="text1"/>
                <w:sz w:val="12"/>
                <w:szCs w:val="12"/>
              </w:rPr>
            </w:pPr>
            <w:r>
              <w:rPr>
                <w:rFonts w:cs="Calibri"/>
                <w:color w:val="000000" w:themeColor="text1"/>
                <w:sz w:val="12"/>
                <w:szCs w:val="12"/>
              </w:rPr>
              <w:t>946 900</w:t>
            </w:r>
          </w:p>
        </w:tc>
        <w:tc>
          <w:tcPr>
            <w:tcW w:w="1191" w:type="dxa"/>
            <w:tcBorders>
              <w:top w:val="nil"/>
              <w:left w:val="nil"/>
              <w:bottom w:val="single" w:sz="8" w:space="0" w:color="0077BD"/>
              <w:right w:val="single" w:sz="8" w:space="0" w:color="0077BD"/>
            </w:tcBorders>
            <w:shd w:val="clear" w:color="auto" w:fill="auto"/>
            <w:vAlign w:val="center"/>
            <w:hideMark/>
          </w:tcPr>
          <w:p w14:paraId="793363C4" w14:textId="7079D034"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w:t>
            </w:r>
          </w:p>
        </w:tc>
        <w:tc>
          <w:tcPr>
            <w:tcW w:w="1191" w:type="dxa"/>
            <w:tcBorders>
              <w:top w:val="nil"/>
              <w:left w:val="nil"/>
              <w:bottom w:val="single" w:sz="8" w:space="0" w:color="0077BD"/>
              <w:right w:val="single" w:sz="8" w:space="0" w:color="0077BD"/>
            </w:tcBorders>
            <w:shd w:val="clear" w:color="auto" w:fill="auto"/>
            <w:noWrap/>
            <w:vAlign w:val="center"/>
          </w:tcPr>
          <w:p w14:paraId="43875056" w14:textId="722EA4EB"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342 173</w:t>
            </w:r>
          </w:p>
        </w:tc>
        <w:tc>
          <w:tcPr>
            <w:tcW w:w="1191" w:type="dxa"/>
            <w:tcBorders>
              <w:top w:val="nil"/>
              <w:left w:val="nil"/>
              <w:bottom w:val="single" w:sz="8" w:space="0" w:color="0077BD"/>
              <w:right w:val="single" w:sz="8" w:space="0" w:color="0077BD"/>
            </w:tcBorders>
            <w:shd w:val="clear" w:color="auto" w:fill="auto"/>
            <w:noWrap/>
            <w:vAlign w:val="center"/>
          </w:tcPr>
          <w:p w14:paraId="3921D014" w14:textId="1147E8FC"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703 393</w:t>
            </w:r>
          </w:p>
        </w:tc>
        <w:tc>
          <w:tcPr>
            <w:tcW w:w="1191" w:type="dxa"/>
            <w:tcBorders>
              <w:top w:val="nil"/>
              <w:left w:val="nil"/>
              <w:bottom w:val="single" w:sz="8" w:space="0" w:color="0077BD"/>
              <w:right w:val="single" w:sz="8" w:space="0" w:color="0077BD"/>
            </w:tcBorders>
            <w:shd w:val="clear" w:color="auto" w:fill="auto"/>
            <w:noWrap/>
            <w:vAlign w:val="center"/>
          </w:tcPr>
          <w:p w14:paraId="61386B20" w14:textId="38ECDBD0"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3 006 690</w:t>
            </w:r>
          </w:p>
        </w:tc>
        <w:tc>
          <w:tcPr>
            <w:tcW w:w="1191" w:type="dxa"/>
            <w:tcBorders>
              <w:top w:val="nil"/>
              <w:left w:val="nil"/>
              <w:bottom w:val="single" w:sz="8" w:space="0" w:color="0077BD"/>
              <w:right w:val="nil"/>
            </w:tcBorders>
            <w:shd w:val="clear" w:color="auto" w:fill="auto"/>
            <w:vAlign w:val="center"/>
          </w:tcPr>
          <w:p w14:paraId="4C729EFD" w14:textId="77A18389" w:rsidR="00D462F7" w:rsidRPr="004845D1" w:rsidRDefault="00D462F7" w:rsidP="00D462F7">
            <w:pPr>
              <w:jc w:val="right"/>
              <w:rPr>
                <w:rFonts w:cs="Calibri"/>
                <w:color w:val="000000" w:themeColor="text1"/>
                <w:sz w:val="12"/>
                <w:szCs w:val="12"/>
              </w:rPr>
            </w:pPr>
            <w:r w:rsidRPr="004845D1">
              <w:rPr>
                <w:rFonts w:cs="Calibri"/>
                <w:color w:val="000000" w:themeColor="text1"/>
                <w:sz w:val="12"/>
                <w:szCs w:val="12"/>
              </w:rPr>
              <w:t>4 052 256</w:t>
            </w:r>
          </w:p>
        </w:tc>
      </w:tr>
      <w:tr w:rsidR="00600EF6" w:rsidRPr="004845D1" w14:paraId="50811960" w14:textId="77777777" w:rsidTr="00600EF6">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tcPr>
          <w:p w14:paraId="1B27CC92" w14:textId="53EEBCFB" w:rsidR="00600EF6" w:rsidRPr="004845D1" w:rsidRDefault="00600EF6" w:rsidP="00600EF6">
            <w:pPr>
              <w:rPr>
                <w:rFonts w:cs="Calibri"/>
                <w:b/>
                <w:color w:val="000000" w:themeColor="text1"/>
                <w:sz w:val="12"/>
                <w:szCs w:val="12"/>
              </w:rPr>
            </w:pPr>
            <w:r w:rsidRPr="004845D1">
              <w:rPr>
                <w:rFonts w:cs="Calibri"/>
                <w:b/>
                <w:color w:val="000000" w:themeColor="text1"/>
                <w:sz w:val="12"/>
                <w:szCs w:val="12"/>
              </w:rPr>
              <w:t>Razem</w:t>
            </w:r>
          </w:p>
        </w:tc>
        <w:tc>
          <w:tcPr>
            <w:tcW w:w="1191" w:type="dxa"/>
            <w:tcBorders>
              <w:top w:val="single" w:sz="8" w:space="0" w:color="0077BD"/>
              <w:left w:val="single" w:sz="8" w:space="0" w:color="0077BD"/>
              <w:bottom w:val="single" w:sz="8" w:space="0" w:color="0077BD"/>
              <w:right w:val="single" w:sz="8" w:space="0" w:color="0077BD"/>
            </w:tcBorders>
            <w:shd w:val="thinDiagStripe" w:color="auto" w:fill="auto"/>
            <w:vAlign w:val="center"/>
          </w:tcPr>
          <w:p w14:paraId="60DFB5D5" w14:textId="77777777" w:rsidR="00600EF6" w:rsidRPr="004845D1" w:rsidRDefault="00600EF6" w:rsidP="00600EF6">
            <w:pPr>
              <w:jc w:val="right"/>
              <w:rPr>
                <w:rFonts w:cs="Calibri"/>
                <w:b/>
                <w:color w:val="000000" w:themeColor="text1"/>
                <w:sz w:val="12"/>
                <w:szCs w:val="12"/>
              </w:rPr>
            </w:pPr>
          </w:p>
        </w:tc>
        <w:tc>
          <w:tcPr>
            <w:tcW w:w="119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014FA072" w14:textId="3A638A1D" w:rsidR="00600EF6" w:rsidRPr="004845D1" w:rsidRDefault="00600EF6" w:rsidP="00600EF6">
            <w:pPr>
              <w:jc w:val="right"/>
              <w:rPr>
                <w:rFonts w:cs="Calibri"/>
                <w:b/>
                <w:color w:val="000000" w:themeColor="text1"/>
                <w:sz w:val="12"/>
                <w:szCs w:val="12"/>
              </w:rPr>
            </w:pPr>
            <w:r w:rsidRPr="004845D1">
              <w:rPr>
                <w:rFonts w:cs="Calibri"/>
                <w:b/>
                <w:bCs/>
                <w:color w:val="000000" w:themeColor="text1"/>
                <w:sz w:val="12"/>
                <w:szCs w:val="12"/>
              </w:rPr>
              <w:t>707 456</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66CAF6C0" w14:textId="17B65ECB" w:rsidR="00600EF6" w:rsidRPr="004845D1" w:rsidRDefault="00600EF6" w:rsidP="00600EF6">
            <w:pPr>
              <w:jc w:val="right"/>
              <w:rPr>
                <w:rFonts w:cs="Calibri"/>
                <w:b/>
                <w:color w:val="000000" w:themeColor="text1"/>
                <w:sz w:val="12"/>
                <w:szCs w:val="12"/>
              </w:rPr>
            </w:pPr>
            <w:r w:rsidRPr="004845D1">
              <w:rPr>
                <w:rFonts w:cs="Calibri"/>
                <w:b/>
                <w:bCs/>
                <w:color w:val="000000" w:themeColor="text1"/>
                <w:sz w:val="12"/>
                <w:szCs w:val="12"/>
              </w:rPr>
              <w:t>3 351 230</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13690C94" w14:textId="4A5F4692" w:rsidR="00600EF6" w:rsidRPr="004845D1" w:rsidRDefault="00600EF6" w:rsidP="00600EF6">
            <w:pPr>
              <w:jc w:val="right"/>
              <w:rPr>
                <w:rFonts w:cs="Calibri"/>
                <w:b/>
                <w:color w:val="000000" w:themeColor="text1"/>
                <w:sz w:val="12"/>
                <w:szCs w:val="12"/>
              </w:rPr>
            </w:pPr>
            <w:r w:rsidRPr="004845D1">
              <w:rPr>
                <w:rFonts w:cs="Calibri"/>
                <w:b/>
                <w:bCs/>
                <w:color w:val="000000" w:themeColor="text1"/>
                <w:sz w:val="12"/>
                <w:szCs w:val="12"/>
              </w:rPr>
              <w:t>10 208 042</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40144D20" w14:textId="44232B0D" w:rsidR="00600EF6" w:rsidRPr="004845D1" w:rsidRDefault="00600EF6" w:rsidP="00600EF6">
            <w:pPr>
              <w:jc w:val="right"/>
              <w:rPr>
                <w:rFonts w:cs="Calibri"/>
                <w:b/>
                <w:color w:val="000000" w:themeColor="text1"/>
                <w:sz w:val="12"/>
                <w:szCs w:val="12"/>
              </w:rPr>
            </w:pPr>
            <w:r w:rsidRPr="004845D1">
              <w:rPr>
                <w:rFonts w:cs="Calibri"/>
                <w:b/>
                <w:bCs/>
                <w:color w:val="000000" w:themeColor="text1"/>
                <w:sz w:val="12"/>
                <w:szCs w:val="12"/>
              </w:rPr>
              <w:t>3 168 415</w:t>
            </w:r>
          </w:p>
        </w:tc>
        <w:tc>
          <w:tcPr>
            <w:tcW w:w="1191" w:type="dxa"/>
            <w:tcBorders>
              <w:top w:val="single" w:sz="8" w:space="0" w:color="0077BD"/>
              <w:left w:val="nil"/>
              <w:bottom w:val="single" w:sz="8" w:space="0" w:color="0077BD"/>
              <w:right w:val="nil"/>
            </w:tcBorders>
            <w:shd w:val="clear" w:color="auto" w:fill="auto"/>
            <w:vAlign w:val="center"/>
          </w:tcPr>
          <w:p w14:paraId="65DFA9C7" w14:textId="6C6A0E4D" w:rsidR="00600EF6" w:rsidRPr="004845D1" w:rsidRDefault="00600EF6" w:rsidP="00600EF6">
            <w:pPr>
              <w:jc w:val="right"/>
              <w:rPr>
                <w:rFonts w:cs="Calibri"/>
                <w:b/>
                <w:color w:val="000000" w:themeColor="text1"/>
                <w:sz w:val="12"/>
                <w:szCs w:val="12"/>
              </w:rPr>
            </w:pPr>
            <w:r w:rsidRPr="004845D1">
              <w:rPr>
                <w:rFonts w:cs="Calibri"/>
                <w:b/>
                <w:color w:val="000000" w:themeColor="text1"/>
                <w:sz w:val="12"/>
                <w:szCs w:val="12"/>
              </w:rPr>
              <w:t>17 435 143</w:t>
            </w:r>
          </w:p>
        </w:tc>
      </w:tr>
    </w:tbl>
    <w:p w14:paraId="2E1E106F" w14:textId="01136FBD" w:rsidR="00155DFD" w:rsidRPr="00DF68A7" w:rsidRDefault="00155DFD" w:rsidP="00867539">
      <w:pPr>
        <w:jc w:val="both"/>
        <w:rPr>
          <w:sz w:val="10"/>
          <w:szCs w:val="10"/>
        </w:rPr>
      </w:pPr>
    </w:p>
    <w:tbl>
      <w:tblPr>
        <w:tblW w:w="0" w:type="auto"/>
        <w:tblCellMar>
          <w:left w:w="28" w:type="dxa"/>
          <w:right w:w="28" w:type="dxa"/>
        </w:tblCellMar>
        <w:tblLook w:val="04A0" w:firstRow="1" w:lastRow="0" w:firstColumn="1" w:lastColumn="0" w:noHBand="0" w:noVBand="1"/>
      </w:tblPr>
      <w:tblGrid>
        <w:gridCol w:w="2435"/>
        <w:gridCol w:w="1191"/>
        <w:gridCol w:w="1191"/>
        <w:gridCol w:w="1191"/>
        <w:gridCol w:w="1191"/>
        <w:gridCol w:w="1191"/>
        <w:gridCol w:w="1191"/>
      </w:tblGrid>
      <w:tr w:rsidR="001709F1" w:rsidRPr="004845D1" w14:paraId="2A5B212B" w14:textId="77777777" w:rsidTr="006B56E5">
        <w:trPr>
          <w:trHeight w:val="343"/>
        </w:trPr>
        <w:tc>
          <w:tcPr>
            <w:tcW w:w="0" w:type="auto"/>
            <w:vMerge w:val="restart"/>
            <w:tcBorders>
              <w:top w:val="nil"/>
              <w:left w:val="nil"/>
              <w:bottom w:val="nil"/>
              <w:right w:val="single" w:sz="8" w:space="0" w:color="FFFFFF"/>
            </w:tcBorders>
            <w:shd w:val="clear" w:color="000000" w:fill="0077BD"/>
            <w:vAlign w:val="center"/>
            <w:hideMark/>
          </w:tcPr>
          <w:p w14:paraId="2E30842E" w14:textId="651159C0" w:rsidR="001709F1" w:rsidRPr="004845D1" w:rsidRDefault="001709F1" w:rsidP="006B56E5">
            <w:pPr>
              <w:rPr>
                <w:rFonts w:cs="Calibri"/>
                <w:b/>
                <w:bCs/>
                <w:color w:val="FFFFFF"/>
                <w:sz w:val="12"/>
                <w:szCs w:val="12"/>
              </w:rPr>
            </w:pPr>
            <w:r>
              <w:rPr>
                <w:rFonts w:cs="Calibri"/>
                <w:b/>
                <w:bCs/>
                <w:color w:val="FFFFFF"/>
                <w:sz w:val="12"/>
                <w:szCs w:val="12"/>
              </w:rPr>
              <w:t>31.12.2018</w:t>
            </w:r>
            <w:r w:rsidRPr="004845D1">
              <w:rPr>
                <w:rFonts w:cs="Calibri"/>
                <w:b/>
                <w:bCs/>
                <w:color w:val="FFFFFF"/>
                <w:sz w:val="12"/>
                <w:szCs w:val="12"/>
              </w:rPr>
              <w:br/>
              <w:t>Dłużne instrumenty finansowe wg rodzaju</w:t>
            </w:r>
          </w:p>
        </w:tc>
        <w:tc>
          <w:tcPr>
            <w:tcW w:w="1191" w:type="dxa"/>
            <w:vMerge w:val="restart"/>
            <w:tcBorders>
              <w:top w:val="nil"/>
              <w:left w:val="single" w:sz="8" w:space="0" w:color="FFFFFF"/>
              <w:bottom w:val="nil"/>
              <w:right w:val="single" w:sz="8" w:space="0" w:color="FFFFFF"/>
            </w:tcBorders>
            <w:shd w:val="clear" w:color="000000" w:fill="0077BD"/>
            <w:vAlign w:val="center"/>
            <w:hideMark/>
          </w:tcPr>
          <w:p w14:paraId="164B9B2D"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Wartość nominalna</w:t>
            </w:r>
            <w:r w:rsidRPr="004845D1">
              <w:rPr>
                <w:rFonts w:cs="Calibri"/>
                <w:b/>
                <w:bCs/>
                <w:color w:val="FFFFFF"/>
                <w:sz w:val="12"/>
                <w:szCs w:val="12"/>
              </w:rPr>
              <w:br/>
              <w:t>(w walucie emisji)</w:t>
            </w:r>
          </w:p>
        </w:tc>
        <w:tc>
          <w:tcPr>
            <w:tcW w:w="4764" w:type="dxa"/>
            <w:gridSpan w:val="4"/>
            <w:tcBorders>
              <w:top w:val="nil"/>
              <w:left w:val="nil"/>
              <w:bottom w:val="single" w:sz="6" w:space="0" w:color="FFFFFF"/>
              <w:right w:val="single" w:sz="8" w:space="0" w:color="FFFFFF"/>
            </w:tcBorders>
            <w:shd w:val="clear" w:color="000000" w:fill="0077BD"/>
            <w:vAlign w:val="center"/>
            <w:hideMark/>
          </w:tcPr>
          <w:p w14:paraId="6D8CC53E"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Wartość bilansowa zobowiązania według terminu wykupu</w:t>
            </w:r>
          </w:p>
        </w:tc>
        <w:tc>
          <w:tcPr>
            <w:tcW w:w="1191" w:type="dxa"/>
            <w:vMerge w:val="restart"/>
            <w:tcBorders>
              <w:top w:val="nil"/>
              <w:left w:val="single" w:sz="8" w:space="0" w:color="FFFFFF"/>
              <w:bottom w:val="nil"/>
              <w:right w:val="nil"/>
            </w:tcBorders>
            <w:shd w:val="clear" w:color="000000" w:fill="0077BD"/>
            <w:vAlign w:val="center"/>
            <w:hideMark/>
          </w:tcPr>
          <w:p w14:paraId="4C77C8B2"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Wartość bilansowa zobowiązania razem</w:t>
            </w:r>
          </w:p>
        </w:tc>
      </w:tr>
      <w:tr w:rsidR="001709F1" w:rsidRPr="004845D1" w14:paraId="58B57C5F" w14:textId="77777777" w:rsidTr="0070550B">
        <w:trPr>
          <w:trHeight w:val="340"/>
        </w:trPr>
        <w:tc>
          <w:tcPr>
            <w:tcW w:w="0" w:type="auto"/>
            <w:vMerge/>
            <w:tcBorders>
              <w:top w:val="nil"/>
              <w:left w:val="nil"/>
              <w:right w:val="single" w:sz="8" w:space="0" w:color="FFFFFF"/>
            </w:tcBorders>
            <w:vAlign w:val="center"/>
            <w:hideMark/>
          </w:tcPr>
          <w:p w14:paraId="0514338F" w14:textId="77777777" w:rsidR="001709F1" w:rsidRPr="004845D1" w:rsidRDefault="001709F1" w:rsidP="006B56E5">
            <w:pPr>
              <w:rPr>
                <w:rFonts w:cs="Calibri"/>
                <w:b/>
                <w:bCs/>
                <w:color w:val="FFFFFF"/>
                <w:sz w:val="12"/>
                <w:szCs w:val="12"/>
              </w:rPr>
            </w:pPr>
          </w:p>
        </w:tc>
        <w:tc>
          <w:tcPr>
            <w:tcW w:w="1191" w:type="dxa"/>
            <w:vMerge/>
            <w:tcBorders>
              <w:top w:val="nil"/>
              <w:left w:val="single" w:sz="8" w:space="0" w:color="FFFFFF"/>
              <w:right w:val="single" w:sz="8" w:space="0" w:color="FFFFFF"/>
            </w:tcBorders>
            <w:vAlign w:val="center"/>
            <w:hideMark/>
          </w:tcPr>
          <w:p w14:paraId="730AAC9E" w14:textId="77777777" w:rsidR="001709F1" w:rsidRPr="004845D1" w:rsidRDefault="001709F1" w:rsidP="006B56E5">
            <w:pPr>
              <w:rPr>
                <w:rFonts w:cs="Calibri"/>
                <w:b/>
                <w:bCs/>
                <w:color w:val="FFFFFF"/>
                <w:sz w:val="12"/>
                <w:szCs w:val="12"/>
              </w:rPr>
            </w:pPr>
          </w:p>
        </w:tc>
        <w:tc>
          <w:tcPr>
            <w:tcW w:w="1191" w:type="dxa"/>
            <w:tcBorders>
              <w:top w:val="single" w:sz="6" w:space="0" w:color="FFFFFF"/>
              <w:left w:val="nil"/>
              <w:right w:val="single" w:sz="8" w:space="0" w:color="FFFFFF"/>
            </w:tcBorders>
            <w:shd w:val="clear" w:color="000000" w:fill="0077BD"/>
            <w:vAlign w:val="center"/>
            <w:hideMark/>
          </w:tcPr>
          <w:p w14:paraId="7B8D2806"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Do 3 miesięcy</w:t>
            </w:r>
          </w:p>
        </w:tc>
        <w:tc>
          <w:tcPr>
            <w:tcW w:w="1191" w:type="dxa"/>
            <w:tcBorders>
              <w:top w:val="single" w:sz="6" w:space="0" w:color="FFFFFF"/>
              <w:left w:val="nil"/>
              <w:right w:val="single" w:sz="8" w:space="0" w:color="FFFFFF"/>
            </w:tcBorders>
            <w:shd w:val="clear" w:color="000000" w:fill="0077BD"/>
            <w:vAlign w:val="center"/>
            <w:hideMark/>
          </w:tcPr>
          <w:p w14:paraId="71456D7B"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Od 3 miesięcy do 1 roku</w:t>
            </w:r>
          </w:p>
        </w:tc>
        <w:tc>
          <w:tcPr>
            <w:tcW w:w="1191" w:type="dxa"/>
            <w:tcBorders>
              <w:top w:val="single" w:sz="6" w:space="0" w:color="FFFFFF"/>
              <w:left w:val="nil"/>
              <w:right w:val="single" w:sz="8" w:space="0" w:color="FFFFFF"/>
            </w:tcBorders>
            <w:shd w:val="clear" w:color="000000" w:fill="0077BD"/>
            <w:vAlign w:val="center"/>
            <w:hideMark/>
          </w:tcPr>
          <w:p w14:paraId="0F85F8E7"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Od 1 do 5 lat</w:t>
            </w:r>
          </w:p>
        </w:tc>
        <w:tc>
          <w:tcPr>
            <w:tcW w:w="1191" w:type="dxa"/>
            <w:tcBorders>
              <w:top w:val="single" w:sz="6" w:space="0" w:color="FFFFFF"/>
              <w:left w:val="nil"/>
              <w:right w:val="single" w:sz="8" w:space="0" w:color="FFFFFF"/>
            </w:tcBorders>
            <w:shd w:val="clear" w:color="000000" w:fill="0077BD"/>
            <w:vAlign w:val="center"/>
            <w:hideMark/>
          </w:tcPr>
          <w:p w14:paraId="21AA7B14" w14:textId="77777777" w:rsidR="001709F1" w:rsidRPr="004845D1" w:rsidRDefault="001709F1" w:rsidP="006B56E5">
            <w:pPr>
              <w:jc w:val="center"/>
              <w:rPr>
                <w:rFonts w:cs="Calibri"/>
                <w:b/>
                <w:bCs/>
                <w:color w:val="FFFFFF"/>
                <w:sz w:val="12"/>
                <w:szCs w:val="12"/>
              </w:rPr>
            </w:pPr>
            <w:r w:rsidRPr="004845D1">
              <w:rPr>
                <w:rFonts w:cs="Calibri"/>
                <w:b/>
                <w:bCs/>
                <w:color w:val="FFFFFF"/>
                <w:sz w:val="12"/>
                <w:szCs w:val="12"/>
              </w:rPr>
              <w:t>Powyżej 5 lat</w:t>
            </w:r>
          </w:p>
        </w:tc>
        <w:tc>
          <w:tcPr>
            <w:tcW w:w="1191" w:type="dxa"/>
            <w:vMerge/>
            <w:tcBorders>
              <w:top w:val="nil"/>
              <w:left w:val="single" w:sz="8" w:space="0" w:color="FFFFFF"/>
              <w:right w:val="nil"/>
            </w:tcBorders>
            <w:vAlign w:val="center"/>
            <w:hideMark/>
          </w:tcPr>
          <w:p w14:paraId="24407AD8" w14:textId="77777777" w:rsidR="001709F1" w:rsidRPr="004845D1" w:rsidRDefault="001709F1" w:rsidP="006B56E5">
            <w:pPr>
              <w:rPr>
                <w:rFonts w:cs="Calibri"/>
                <w:b/>
                <w:bCs/>
                <w:color w:val="FFFFFF"/>
                <w:sz w:val="12"/>
                <w:szCs w:val="12"/>
              </w:rPr>
            </w:pPr>
          </w:p>
        </w:tc>
      </w:tr>
      <w:tr w:rsidR="001709F1" w:rsidRPr="004845D1" w14:paraId="57E171B6" w14:textId="77777777" w:rsidTr="0070550B">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4571226D" w14:textId="77777777" w:rsidR="001709F1" w:rsidRPr="004845D1" w:rsidRDefault="001709F1" w:rsidP="001709F1">
            <w:pPr>
              <w:rPr>
                <w:rFonts w:cs="Calibri"/>
                <w:b/>
                <w:bCs/>
                <w:color w:val="000000" w:themeColor="text1"/>
                <w:sz w:val="12"/>
                <w:szCs w:val="12"/>
              </w:rPr>
            </w:pPr>
            <w:r w:rsidRPr="004845D1">
              <w:rPr>
                <w:rFonts w:cs="Calibri"/>
                <w:b/>
                <w:bCs/>
                <w:color w:val="000000" w:themeColor="text1"/>
                <w:sz w:val="12"/>
                <w:szCs w:val="12"/>
              </w:rPr>
              <w:t>Obligacje, w tym:</w:t>
            </w:r>
          </w:p>
        </w:tc>
        <w:tc>
          <w:tcPr>
            <w:tcW w:w="1191" w:type="dxa"/>
            <w:tcBorders>
              <w:left w:val="single" w:sz="8" w:space="0" w:color="0077BD"/>
              <w:bottom w:val="single" w:sz="4" w:space="0" w:color="0077BD"/>
              <w:right w:val="single" w:sz="8" w:space="0" w:color="0077BD"/>
            </w:tcBorders>
            <w:shd w:val="thinDiagStripe" w:color="auto" w:fill="auto"/>
            <w:vAlign w:val="center"/>
          </w:tcPr>
          <w:p w14:paraId="2042883D" w14:textId="77777777" w:rsidR="001709F1" w:rsidRPr="004845D1" w:rsidRDefault="001709F1" w:rsidP="001709F1">
            <w:pPr>
              <w:jc w:val="right"/>
              <w:rPr>
                <w:rFonts w:cs="Calibri"/>
                <w:b/>
                <w:bCs/>
                <w:color w:val="000000" w:themeColor="text1"/>
                <w:sz w:val="12"/>
                <w:szCs w:val="12"/>
              </w:rPr>
            </w:pP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3371616E" w14:textId="5FD3749C"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631 768</w:t>
            </w:r>
          </w:p>
        </w:tc>
        <w:tc>
          <w:tcPr>
            <w:tcW w:w="1191" w:type="dxa"/>
            <w:tcBorders>
              <w:top w:val="nil"/>
              <w:left w:val="nil"/>
              <w:bottom w:val="single" w:sz="4" w:space="0" w:color="0077BD"/>
              <w:right w:val="single" w:sz="8" w:space="0" w:color="0077BD"/>
            </w:tcBorders>
            <w:shd w:val="clear" w:color="auto" w:fill="auto"/>
            <w:vAlign w:val="center"/>
          </w:tcPr>
          <w:p w14:paraId="1FB38790" w14:textId="3E4790FC"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2 698 551</w:t>
            </w:r>
          </w:p>
        </w:tc>
        <w:tc>
          <w:tcPr>
            <w:tcW w:w="1191" w:type="dxa"/>
            <w:tcBorders>
              <w:top w:val="nil"/>
              <w:left w:val="nil"/>
              <w:bottom w:val="single" w:sz="4" w:space="0" w:color="0077BD"/>
              <w:right w:val="single" w:sz="8" w:space="0" w:color="0077BD"/>
            </w:tcBorders>
            <w:shd w:val="clear" w:color="auto" w:fill="auto"/>
            <w:vAlign w:val="center"/>
            <w:hideMark/>
          </w:tcPr>
          <w:p w14:paraId="4564678B" w14:textId="2BF37923"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7 977 091</w:t>
            </w:r>
          </w:p>
        </w:tc>
        <w:tc>
          <w:tcPr>
            <w:tcW w:w="1191" w:type="dxa"/>
            <w:tcBorders>
              <w:top w:val="nil"/>
              <w:left w:val="nil"/>
              <w:bottom w:val="single" w:sz="4" w:space="0" w:color="0077BD"/>
              <w:right w:val="single" w:sz="8" w:space="0" w:color="0077BD"/>
            </w:tcBorders>
            <w:shd w:val="clear" w:color="auto" w:fill="auto"/>
            <w:vAlign w:val="center"/>
            <w:hideMark/>
          </w:tcPr>
          <w:p w14:paraId="37E51D3B" w14:textId="285F624C"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w:t>
            </w:r>
          </w:p>
        </w:tc>
        <w:tc>
          <w:tcPr>
            <w:tcW w:w="1191" w:type="dxa"/>
            <w:tcBorders>
              <w:top w:val="nil"/>
              <w:left w:val="nil"/>
              <w:bottom w:val="single" w:sz="4" w:space="0" w:color="0077BD"/>
              <w:right w:val="nil"/>
            </w:tcBorders>
            <w:shd w:val="clear" w:color="auto" w:fill="auto"/>
            <w:vAlign w:val="center"/>
          </w:tcPr>
          <w:p w14:paraId="6B9F4330" w14:textId="443E963B"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11 307 410</w:t>
            </w:r>
          </w:p>
        </w:tc>
      </w:tr>
      <w:tr w:rsidR="001709F1" w:rsidRPr="004845D1" w14:paraId="757B7C3D" w14:textId="77777777" w:rsidTr="006B56E5">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7ED434E5" w14:textId="77777777" w:rsidR="001709F1" w:rsidRPr="004845D1" w:rsidRDefault="001709F1" w:rsidP="001709F1">
            <w:pPr>
              <w:rPr>
                <w:rFonts w:cs="Calibri"/>
                <w:color w:val="000000" w:themeColor="text1"/>
                <w:sz w:val="12"/>
                <w:szCs w:val="12"/>
              </w:rPr>
            </w:pPr>
            <w:r w:rsidRPr="004845D1">
              <w:rPr>
                <w:rFonts w:cs="Calibri"/>
                <w:color w:val="000000" w:themeColor="text1"/>
                <w:sz w:val="12"/>
                <w:szCs w:val="12"/>
              </w:rPr>
              <w:t>- PLN</w:t>
            </w:r>
          </w:p>
        </w:tc>
        <w:tc>
          <w:tcPr>
            <w:tcW w:w="1191" w:type="dxa"/>
            <w:tcBorders>
              <w:top w:val="single" w:sz="4" w:space="0" w:color="0077BD"/>
              <w:left w:val="single" w:sz="8" w:space="0" w:color="0077BD"/>
              <w:bottom w:val="single" w:sz="4" w:space="0" w:color="0077BD"/>
              <w:right w:val="single" w:sz="8" w:space="0" w:color="0077BD"/>
            </w:tcBorders>
            <w:shd w:val="clear" w:color="auto" w:fill="auto"/>
            <w:vAlign w:val="center"/>
          </w:tcPr>
          <w:p w14:paraId="2DFE36F8" w14:textId="67A750ED" w:rsidR="001709F1" w:rsidRPr="001709F1" w:rsidRDefault="001709F1" w:rsidP="001709F1">
            <w:pPr>
              <w:jc w:val="right"/>
              <w:rPr>
                <w:rFonts w:cs="Calibri"/>
                <w:color w:val="000000" w:themeColor="text1"/>
                <w:sz w:val="12"/>
                <w:szCs w:val="12"/>
              </w:rPr>
            </w:pPr>
            <w:r w:rsidRPr="001709F1">
              <w:rPr>
                <w:rFonts w:cs="Calibri"/>
                <w:color w:val="000000"/>
                <w:sz w:val="12"/>
                <w:szCs w:val="12"/>
              </w:rPr>
              <w:t>1 192 600</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0C8F92A7" w14:textId="5E376111" w:rsidR="001709F1" w:rsidRPr="001709F1" w:rsidRDefault="001709F1" w:rsidP="001709F1">
            <w:pPr>
              <w:jc w:val="right"/>
              <w:rPr>
                <w:rFonts w:cs="Calibri"/>
                <w:color w:val="000000" w:themeColor="text1"/>
                <w:sz w:val="12"/>
                <w:szCs w:val="12"/>
              </w:rPr>
            </w:pPr>
            <w:r w:rsidRPr="001709F1">
              <w:rPr>
                <w:rFonts w:cs="Calibri"/>
                <w:color w:val="000000"/>
                <w:sz w:val="12"/>
                <w:szCs w:val="12"/>
              </w:rPr>
              <w:t>631 768</w:t>
            </w:r>
          </w:p>
        </w:tc>
        <w:tc>
          <w:tcPr>
            <w:tcW w:w="1191" w:type="dxa"/>
            <w:tcBorders>
              <w:top w:val="nil"/>
              <w:left w:val="nil"/>
              <w:bottom w:val="single" w:sz="4" w:space="0" w:color="0077BD"/>
              <w:right w:val="single" w:sz="8" w:space="0" w:color="0077BD"/>
            </w:tcBorders>
            <w:shd w:val="clear" w:color="auto" w:fill="auto"/>
            <w:vAlign w:val="center"/>
          </w:tcPr>
          <w:p w14:paraId="7AF9B9E0" w14:textId="749F5996" w:rsidR="001709F1" w:rsidRPr="001709F1" w:rsidRDefault="001709F1" w:rsidP="001709F1">
            <w:pPr>
              <w:jc w:val="right"/>
              <w:rPr>
                <w:rFonts w:cs="Calibri"/>
                <w:color w:val="000000" w:themeColor="text1"/>
                <w:sz w:val="12"/>
                <w:szCs w:val="12"/>
              </w:rPr>
            </w:pPr>
            <w:r w:rsidRPr="001709F1">
              <w:rPr>
                <w:rFonts w:cs="Calibri"/>
                <w:color w:val="000000"/>
                <w:sz w:val="12"/>
                <w:szCs w:val="12"/>
              </w:rPr>
              <w:t>510 907</w:t>
            </w:r>
          </w:p>
        </w:tc>
        <w:tc>
          <w:tcPr>
            <w:tcW w:w="1191" w:type="dxa"/>
            <w:tcBorders>
              <w:top w:val="nil"/>
              <w:left w:val="nil"/>
              <w:bottom w:val="single" w:sz="4" w:space="0" w:color="0077BD"/>
              <w:right w:val="single" w:sz="8" w:space="0" w:color="0077BD"/>
            </w:tcBorders>
            <w:shd w:val="clear" w:color="auto" w:fill="auto"/>
            <w:vAlign w:val="center"/>
            <w:hideMark/>
          </w:tcPr>
          <w:p w14:paraId="595CC2D4" w14:textId="57633822" w:rsidR="001709F1" w:rsidRPr="001709F1" w:rsidRDefault="001709F1" w:rsidP="001709F1">
            <w:pPr>
              <w:jc w:val="right"/>
              <w:rPr>
                <w:rFonts w:cs="Calibri"/>
                <w:color w:val="000000" w:themeColor="text1"/>
                <w:sz w:val="12"/>
                <w:szCs w:val="12"/>
              </w:rPr>
            </w:pPr>
            <w:r w:rsidRPr="001709F1">
              <w:rPr>
                <w:rFonts w:cs="Calibri"/>
                <w:color w:val="000000"/>
                <w:sz w:val="12"/>
                <w:szCs w:val="12"/>
              </w:rPr>
              <w:t>50 224</w:t>
            </w:r>
          </w:p>
        </w:tc>
        <w:tc>
          <w:tcPr>
            <w:tcW w:w="1191" w:type="dxa"/>
            <w:tcBorders>
              <w:top w:val="nil"/>
              <w:left w:val="nil"/>
              <w:bottom w:val="single" w:sz="4" w:space="0" w:color="0077BD"/>
              <w:right w:val="single" w:sz="8" w:space="0" w:color="0077BD"/>
            </w:tcBorders>
            <w:shd w:val="clear" w:color="auto" w:fill="auto"/>
            <w:vAlign w:val="center"/>
            <w:hideMark/>
          </w:tcPr>
          <w:p w14:paraId="56AB33FA" w14:textId="441C796C"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nil"/>
            </w:tcBorders>
            <w:shd w:val="clear" w:color="auto" w:fill="auto"/>
            <w:vAlign w:val="center"/>
          </w:tcPr>
          <w:p w14:paraId="00F5EC6B" w14:textId="0D063508" w:rsidR="001709F1" w:rsidRPr="001709F1" w:rsidRDefault="001709F1" w:rsidP="001709F1">
            <w:pPr>
              <w:jc w:val="right"/>
              <w:rPr>
                <w:rFonts w:cs="Calibri"/>
                <w:color w:val="000000" w:themeColor="text1"/>
                <w:sz w:val="12"/>
                <w:szCs w:val="12"/>
              </w:rPr>
            </w:pPr>
            <w:r w:rsidRPr="001709F1">
              <w:rPr>
                <w:rFonts w:cs="Calibri"/>
                <w:color w:val="000000"/>
                <w:sz w:val="12"/>
                <w:szCs w:val="12"/>
              </w:rPr>
              <w:t>1 192 899</w:t>
            </w:r>
          </w:p>
        </w:tc>
      </w:tr>
      <w:tr w:rsidR="001709F1" w:rsidRPr="004845D1" w14:paraId="1987D1AC" w14:textId="77777777" w:rsidTr="006B56E5">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1D5A3948" w14:textId="77777777" w:rsidR="001709F1" w:rsidRPr="004845D1" w:rsidRDefault="001709F1" w:rsidP="001709F1">
            <w:pPr>
              <w:rPr>
                <w:rFonts w:cs="Calibri"/>
                <w:color w:val="000000" w:themeColor="text1"/>
                <w:sz w:val="12"/>
                <w:szCs w:val="12"/>
              </w:rPr>
            </w:pPr>
            <w:r w:rsidRPr="004845D1">
              <w:rPr>
                <w:rFonts w:cs="Calibri"/>
                <w:color w:val="000000" w:themeColor="text1"/>
                <w:sz w:val="12"/>
                <w:szCs w:val="12"/>
              </w:rPr>
              <w:t>- EUR</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29544D9C" w14:textId="46904D39" w:rsidR="001709F1" w:rsidRPr="001709F1" w:rsidRDefault="001709F1" w:rsidP="001709F1">
            <w:pPr>
              <w:jc w:val="right"/>
              <w:rPr>
                <w:rFonts w:cs="Calibri"/>
                <w:color w:val="000000" w:themeColor="text1"/>
                <w:sz w:val="12"/>
                <w:szCs w:val="12"/>
              </w:rPr>
            </w:pPr>
            <w:r w:rsidRPr="001709F1">
              <w:rPr>
                <w:rFonts w:cs="Calibri"/>
                <w:color w:val="000000"/>
                <w:sz w:val="12"/>
                <w:szCs w:val="12"/>
              </w:rPr>
              <w:t>2 000 000</w:t>
            </w:r>
          </w:p>
        </w:tc>
        <w:tc>
          <w:tcPr>
            <w:tcW w:w="1191" w:type="dxa"/>
            <w:tcBorders>
              <w:top w:val="nil"/>
              <w:left w:val="single" w:sz="8" w:space="0" w:color="0077BD"/>
              <w:bottom w:val="single" w:sz="4" w:space="0" w:color="0077BD"/>
              <w:right w:val="single" w:sz="8" w:space="0" w:color="0077BD"/>
            </w:tcBorders>
            <w:shd w:val="clear" w:color="auto" w:fill="auto"/>
            <w:vAlign w:val="center"/>
            <w:hideMark/>
          </w:tcPr>
          <w:p w14:paraId="223213F8" w14:textId="59EAC529"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single" w:sz="8" w:space="0" w:color="0077BD"/>
            </w:tcBorders>
            <w:shd w:val="clear" w:color="auto" w:fill="auto"/>
            <w:noWrap/>
            <w:vAlign w:val="center"/>
            <w:hideMark/>
          </w:tcPr>
          <w:p w14:paraId="7634D0B4" w14:textId="2AFECBAB" w:rsidR="001709F1" w:rsidRPr="001709F1" w:rsidRDefault="001709F1" w:rsidP="001709F1">
            <w:pPr>
              <w:jc w:val="right"/>
              <w:rPr>
                <w:rFonts w:cs="Calibri"/>
                <w:color w:val="000000" w:themeColor="text1"/>
                <w:sz w:val="12"/>
                <w:szCs w:val="12"/>
              </w:rPr>
            </w:pPr>
            <w:r w:rsidRPr="001709F1">
              <w:rPr>
                <w:rFonts w:cs="Calibri"/>
                <w:color w:val="000000"/>
                <w:sz w:val="12"/>
                <w:szCs w:val="12"/>
              </w:rPr>
              <w:t>2 187 644</w:t>
            </w:r>
          </w:p>
        </w:tc>
        <w:tc>
          <w:tcPr>
            <w:tcW w:w="1191" w:type="dxa"/>
            <w:tcBorders>
              <w:top w:val="nil"/>
              <w:left w:val="nil"/>
              <w:bottom w:val="single" w:sz="4" w:space="0" w:color="0077BD"/>
              <w:right w:val="single" w:sz="8" w:space="0" w:color="0077BD"/>
            </w:tcBorders>
            <w:shd w:val="clear" w:color="auto" w:fill="auto"/>
            <w:noWrap/>
            <w:vAlign w:val="center"/>
          </w:tcPr>
          <w:p w14:paraId="633791C2" w14:textId="7EA9C295" w:rsidR="001709F1" w:rsidRPr="001709F1" w:rsidRDefault="001709F1" w:rsidP="001709F1">
            <w:pPr>
              <w:jc w:val="right"/>
              <w:rPr>
                <w:rFonts w:cs="Calibri"/>
                <w:color w:val="000000" w:themeColor="text1"/>
                <w:sz w:val="12"/>
                <w:szCs w:val="12"/>
              </w:rPr>
            </w:pPr>
            <w:r w:rsidRPr="001709F1">
              <w:rPr>
                <w:rFonts w:cs="Calibri"/>
                <w:color w:val="000000"/>
                <w:sz w:val="12"/>
                <w:szCs w:val="12"/>
              </w:rPr>
              <w:t>6 467 128</w:t>
            </w:r>
          </w:p>
        </w:tc>
        <w:tc>
          <w:tcPr>
            <w:tcW w:w="1191" w:type="dxa"/>
            <w:tcBorders>
              <w:top w:val="nil"/>
              <w:left w:val="nil"/>
              <w:bottom w:val="single" w:sz="4" w:space="0" w:color="0077BD"/>
              <w:right w:val="single" w:sz="8" w:space="0" w:color="0077BD"/>
            </w:tcBorders>
            <w:shd w:val="clear" w:color="auto" w:fill="auto"/>
            <w:vAlign w:val="center"/>
            <w:hideMark/>
          </w:tcPr>
          <w:p w14:paraId="65DFAFCB" w14:textId="3A29CD37"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nil"/>
            </w:tcBorders>
            <w:shd w:val="clear" w:color="auto" w:fill="auto"/>
            <w:vAlign w:val="center"/>
          </w:tcPr>
          <w:p w14:paraId="5167E34D" w14:textId="0E7BADAE" w:rsidR="001709F1" w:rsidRPr="001709F1" w:rsidRDefault="001709F1" w:rsidP="001709F1">
            <w:pPr>
              <w:jc w:val="right"/>
              <w:rPr>
                <w:rFonts w:cs="Calibri"/>
                <w:color w:val="000000" w:themeColor="text1"/>
                <w:sz w:val="12"/>
                <w:szCs w:val="12"/>
              </w:rPr>
            </w:pPr>
            <w:r w:rsidRPr="001709F1">
              <w:rPr>
                <w:rFonts w:cs="Calibri"/>
                <w:color w:val="000000"/>
                <w:sz w:val="12"/>
                <w:szCs w:val="12"/>
              </w:rPr>
              <w:t>8 654 772</w:t>
            </w:r>
          </w:p>
        </w:tc>
      </w:tr>
      <w:tr w:rsidR="001709F1" w:rsidRPr="004845D1" w14:paraId="53B35CD7" w14:textId="77777777" w:rsidTr="006B56E5">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A837F04" w14:textId="77777777" w:rsidR="001709F1" w:rsidRPr="004845D1" w:rsidRDefault="001709F1" w:rsidP="001709F1">
            <w:pPr>
              <w:rPr>
                <w:rFonts w:cs="Calibri"/>
                <w:color w:val="000000" w:themeColor="text1"/>
                <w:sz w:val="12"/>
                <w:szCs w:val="12"/>
              </w:rPr>
            </w:pPr>
            <w:r w:rsidRPr="004845D1">
              <w:rPr>
                <w:rFonts w:cs="Calibri"/>
                <w:color w:val="000000" w:themeColor="text1"/>
                <w:sz w:val="12"/>
                <w:szCs w:val="12"/>
              </w:rPr>
              <w:t>- CHF</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71AC7386" w14:textId="036E63D1" w:rsidR="001709F1" w:rsidRPr="001709F1" w:rsidRDefault="001709F1" w:rsidP="001709F1">
            <w:pPr>
              <w:jc w:val="right"/>
              <w:rPr>
                <w:rFonts w:cs="Calibri"/>
                <w:color w:val="000000" w:themeColor="text1"/>
                <w:sz w:val="12"/>
                <w:szCs w:val="12"/>
              </w:rPr>
            </w:pPr>
            <w:r w:rsidRPr="001709F1">
              <w:rPr>
                <w:rFonts w:cs="Calibri"/>
                <w:color w:val="000000"/>
                <w:sz w:val="12"/>
                <w:szCs w:val="12"/>
              </w:rPr>
              <w:t>379 957</w:t>
            </w:r>
          </w:p>
        </w:tc>
        <w:tc>
          <w:tcPr>
            <w:tcW w:w="1191" w:type="dxa"/>
            <w:tcBorders>
              <w:top w:val="nil"/>
              <w:left w:val="single" w:sz="8" w:space="0" w:color="0077BD"/>
              <w:bottom w:val="single" w:sz="4" w:space="0" w:color="0077BD"/>
              <w:right w:val="single" w:sz="8" w:space="0" w:color="0077BD"/>
            </w:tcBorders>
            <w:shd w:val="clear" w:color="auto" w:fill="auto"/>
            <w:vAlign w:val="center"/>
            <w:hideMark/>
          </w:tcPr>
          <w:p w14:paraId="7FD8C8EC" w14:textId="7938C2D5"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single" w:sz="8" w:space="0" w:color="0077BD"/>
            </w:tcBorders>
            <w:shd w:val="clear" w:color="auto" w:fill="auto"/>
            <w:vAlign w:val="center"/>
            <w:hideMark/>
          </w:tcPr>
          <w:p w14:paraId="3AA0FFA5" w14:textId="770163CE"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single" w:sz="8" w:space="0" w:color="0077BD"/>
            </w:tcBorders>
            <w:shd w:val="clear" w:color="auto" w:fill="auto"/>
            <w:vAlign w:val="center"/>
          </w:tcPr>
          <w:p w14:paraId="4D7C24CC" w14:textId="4FC4B546" w:rsidR="001709F1" w:rsidRPr="001709F1" w:rsidRDefault="001709F1" w:rsidP="001709F1">
            <w:pPr>
              <w:jc w:val="right"/>
              <w:rPr>
                <w:rFonts w:cs="Calibri"/>
                <w:color w:val="000000" w:themeColor="text1"/>
                <w:sz w:val="12"/>
                <w:szCs w:val="12"/>
              </w:rPr>
            </w:pPr>
            <w:r w:rsidRPr="001709F1">
              <w:rPr>
                <w:rFonts w:cs="Calibri"/>
                <w:color w:val="000000"/>
                <w:sz w:val="12"/>
                <w:szCs w:val="12"/>
              </w:rPr>
              <w:t>1 459 739</w:t>
            </w:r>
          </w:p>
        </w:tc>
        <w:tc>
          <w:tcPr>
            <w:tcW w:w="1191" w:type="dxa"/>
            <w:tcBorders>
              <w:top w:val="nil"/>
              <w:left w:val="nil"/>
              <w:bottom w:val="single" w:sz="4" w:space="0" w:color="0077BD"/>
              <w:right w:val="single" w:sz="8" w:space="0" w:color="0077BD"/>
            </w:tcBorders>
            <w:shd w:val="clear" w:color="auto" w:fill="auto"/>
            <w:vAlign w:val="center"/>
            <w:hideMark/>
          </w:tcPr>
          <w:p w14:paraId="2E9C875E" w14:textId="509FF474"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nil"/>
            </w:tcBorders>
            <w:shd w:val="clear" w:color="auto" w:fill="auto"/>
            <w:vAlign w:val="center"/>
          </w:tcPr>
          <w:p w14:paraId="4601F225" w14:textId="616B6035" w:rsidR="001709F1" w:rsidRPr="001709F1" w:rsidRDefault="001709F1" w:rsidP="001709F1">
            <w:pPr>
              <w:jc w:val="right"/>
              <w:rPr>
                <w:rFonts w:cs="Calibri"/>
                <w:color w:val="000000" w:themeColor="text1"/>
                <w:sz w:val="12"/>
                <w:szCs w:val="12"/>
              </w:rPr>
            </w:pPr>
            <w:r w:rsidRPr="001709F1">
              <w:rPr>
                <w:rFonts w:cs="Calibri"/>
                <w:color w:val="000000"/>
                <w:sz w:val="12"/>
                <w:szCs w:val="12"/>
              </w:rPr>
              <w:t>1 459 739</w:t>
            </w:r>
          </w:p>
        </w:tc>
      </w:tr>
      <w:tr w:rsidR="001709F1" w:rsidRPr="004845D1" w14:paraId="650BB17B" w14:textId="77777777" w:rsidTr="006B56E5">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2FD976C" w14:textId="6A3196E9" w:rsidR="001709F1" w:rsidRPr="004845D1" w:rsidRDefault="00766823" w:rsidP="001709F1">
            <w:pPr>
              <w:rPr>
                <w:rFonts w:cs="Calibri"/>
                <w:b/>
                <w:bCs/>
                <w:color w:val="000000" w:themeColor="text1"/>
                <w:sz w:val="12"/>
                <w:szCs w:val="12"/>
              </w:rPr>
            </w:pPr>
            <w:r>
              <w:rPr>
                <w:rFonts w:cs="Calibri"/>
                <w:b/>
                <w:bCs/>
                <w:color w:val="000000" w:themeColor="text1"/>
                <w:sz w:val="12"/>
                <w:szCs w:val="12"/>
              </w:rPr>
              <w:t>Listy zastawne (p</w:t>
            </w:r>
            <w:r w:rsidR="001709F1" w:rsidRPr="004845D1">
              <w:rPr>
                <w:rFonts w:cs="Calibri"/>
                <w:b/>
                <w:bCs/>
                <w:color w:val="000000" w:themeColor="text1"/>
                <w:sz w:val="12"/>
                <w:szCs w:val="12"/>
              </w:rPr>
              <w:t>ubliczne), w tym:</w:t>
            </w:r>
          </w:p>
        </w:tc>
        <w:tc>
          <w:tcPr>
            <w:tcW w:w="1191" w:type="dxa"/>
            <w:tcBorders>
              <w:top w:val="single" w:sz="4" w:space="0" w:color="0077BD"/>
              <w:left w:val="single" w:sz="8" w:space="0" w:color="0077BD"/>
              <w:bottom w:val="single" w:sz="4" w:space="0" w:color="0077BD"/>
              <w:right w:val="single" w:sz="8" w:space="0" w:color="0077BD"/>
            </w:tcBorders>
            <w:shd w:val="thinDiagStripe" w:color="auto" w:fill="auto"/>
            <w:vAlign w:val="center"/>
          </w:tcPr>
          <w:p w14:paraId="75A6D29D" w14:textId="77777777" w:rsidR="001709F1" w:rsidRPr="004845D1" w:rsidRDefault="001709F1" w:rsidP="001709F1">
            <w:pPr>
              <w:jc w:val="right"/>
              <w:rPr>
                <w:rFonts w:cs="Calibri"/>
                <w:b/>
                <w:bCs/>
                <w:color w:val="000000" w:themeColor="text1"/>
                <w:sz w:val="12"/>
                <w:szCs w:val="12"/>
              </w:rPr>
            </w:pPr>
          </w:p>
        </w:tc>
        <w:tc>
          <w:tcPr>
            <w:tcW w:w="1191" w:type="dxa"/>
            <w:tcBorders>
              <w:top w:val="nil"/>
              <w:left w:val="single" w:sz="8" w:space="0" w:color="0077BD"/>
              <w:bottom w:val="single" w:sz="4" w:space="0" w:color="0077BD"/>
              <w:right w:val="single" w:sz="8" w:space="0" w:color="0077BD"/>
            </w:tcBorders>
            <w:shd w:val="clear" w:color="auto" w:fill="auto"/>
            <w:vAlign w:val="center"/>
            <w:hideMark/>
          </w:tcPr>
          <w:p w14:paraId="1BEABCB6" w14:textId="702CECFE"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w:t>
            </w:r>
          </w:p>
        </w:tc>
        <w:tc>
          <w:tcPr>
            <w:tcW w:w="1191" w:type="dxa"/>
            <w:tcBorders>
              <w:top w:val="nil"/>
              <w:left w:val="nil"/>
              <w:bottom w:val="single" w:sz="4" w:space="0" w:color="0077BD"/>
              <w:right w:val="single" w:sz="8" w:space="0" w:color="0077BD"/>
            </w:tcBorders>
            <w:shd w:val="clear" w:color="auto" w:fill="auto"/>
            <w:vAlign w:val="center"/>
          </w:tcPr>
          <w:p w14:paraId="17564658" w14:textId="618A81B4"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295 222</w:t>
            </w:r>
          </w:p>
        </w:tc>
        <w:tc>
          <w:tcPr>
            <w:tcW w:w="1191" w:type="dxa"/>
            <w:tcBorders>
              <w:top w:val="nil"/>
              <w:left w:val="nil"/>
              <w:bottom w:val="single" w:sz="4" w:space="0" w:color="0077BD"/>
              <w:right w:val="single" w:sz="8" w:space="0" w:color="0077BD"/>
            </w:tcBorders>
            <w:shd w:val="clear" w:color="auto" w:fill="auto"/>
            <w:vAlign w:val="center"/>
          </w:tcPr>
          <w:p w14:paraId="63D56898" w14:textId="7CACC19F"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4 247 848</w:t>
            </w:r>
          </w:p>
        </w:tc>
        <w:tc>
          <w:tcPr>
            <w:tcW w:w="1191" w:type="dxa"/>
            <w:tcBorders>
              <w:top w:val="nil"/>
              <w:left w:val="nil"/>
              <w:bottom w:val="single" w:sz="4" w:space="0" w:color="0077BD"/>
              <w:right w:val="single" w:sz="8" w:space="0" w:color="0077BD"/>
            </w:tcBorders>
            <w:shd w:val="clear" w:color="auto" w:fill="auto"/>
            <w:vAlign w:val="center"/>
          </w:tcPr>
          <w:p w14:paraId="0D1A8C21" w14:textId="5B782BE3"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2 199 103</w:t>
            </w:r>
          </w:p>
        </w:tc>
        <w:tc>
          <w:tcPr>
            <w:tcW w:w="1191" w:type="dxa"/>
            <w:tcBorders>
              <w:top w:val="nil"/>
              <w:left w:val="nil"/>
              <w:bottom w:val="single" w:sz="4" w:space="0" w:color="0077BD"/>
              <w:right w:val="nil"/>
            </w:tcBorders>
            <w:shd w:val="clear" w:color="auto" w:fill="auto"/>
            <w:vAlign w:val="center"/>
          </w:tcPr>
          <w:p w14:paraId="4E7E7999" w14:textId="11B56246" w:rsidR="001709F1" w:rsidRPr="001709F1" w:rsidRDefault="001709F1" w:rsidP="001709F1">
            <w:pPr>
              <w:jc w:val="right"/>
              <w:rPr>
                <w:rFonts w:cs="Calibri"/>
                <w:b/>
                <w:bCs/>
                <w:color w:val="000000" w:themeColor="text1"/>
                <w:sz w:val="12"/>
                <w:szCs w:val="12"/>
              </w:rPr>
            </w:pPr>
            <w:r w:rsidRPr="001709F1">
              <w:rPr>
                <w:rFonts w:cs="Calibri"/>
                <w:b/>
                <w:bCs/>
                <w:color w:val="000000"/>
                <w:sz w:val="12"/>
                <w:szCs w:val="12"/>
              </w:rPr>
              <w:t>6 742 173</w:t>
            </w:r>
          </w:p>
        </w:tc>
      </w:tr>
      <w:tr w:rsidR="001709F1" w:rsidRPr="004845D1" w14:paraId="038B0FF6" w14:textId="77777777" w:rsidTr="006B56E5">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0CA49FCB" w14:textId="77777777" w:rsidR="001709F1" w:rsidRPr="004845D1" w:rsidRDefault="001709F1" w:rsidP="001709F1">
            <w:pPr>
              <w:rPr>
                <w:rFonts w:cs="Calibri"/>
                <w:color w:val="000000" w:themeColor="text1"/>
                <w:sz w:val="12"/>
                <w:szCs w:val="12"/>
              </w:rPr>
            </w:pPr>
            <w:r w:rsidRPr="004845D1">
              <w:rPr>
                <w:rFonts w:cs="Calibri"/>
                <w:color w:val="000000" w:themeColor="text1"/>
                <w:sz w:val="12"/>
                <w:szCs w:val="12"/>
              </w:rPr>
              <w:t>- PLN</w:t>
            </w:r>
          </w:p>
        </w:tc>
        <w:tc>
          <w:tcPr>
            <w:tcW w:w="1191"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2292D5A3" w14:textId="7F215CF4" w:rsidR="001709F1" w:rsidRPr="001709F1" w:rsidRDefault="001709F1" w:rsidP="001709F1">
            <w:pPr>
              <w:jc w:val="right"/>
              <w:rPr>
                <w:rFonts w:cs="Calibri"/>
                <w:color w:val="000000" w:themeColor="text1"/>
                <w:sz w:val="12"/>
                <w:szCs w:val="12"/>
              </w:rPr>
            </w:pPr>
            <w:r w:rsidRPr="001709F1">
              <w:rPr>
                <w:rFonts w:cs="Calibri"/>
                <w:color w:val="000000"/>
                <w:sz w:val="12"/>
                <w:szCs w:val="12"/>
              </w:rPr>
              <w:t>3 679 100</w:t>
            </w:r>
          </w:p>
        </w:tc>
        <w:tc>
          <w:tcPr>
            <w:tcW w:w="1191" w:type="dxa"/>
            <w:tcBorders>
              <w:top w:val="nil"/>
              <w:left w:val="single" w:sz="8" w:space="0" w:color="0077BD"/>
              <w:bottom w:val="single" w:sz="4" w:space="0" w:color="0077BD"/>
              <w:right w:val="single" w:sz="8" w:space="0" w:color="0077BD"/>
            </w:tcBorders>
            <w:shd w:val="clear" w:color="auto" w:fill="auto"/>
            <w:vAlign w:val="center"/>
            <w:hideMark/>
          </w:tcPr>
          <w:p w14:paraId="761A8C1A" w14:textId="535D4DFF"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single" w:sz="8" w:space="0" w:color="0077BD"/>
            </w:tcBorders>
            <w:shd w:val="clear" w:color="auto" w:fill="auto"/>
            <w:noWrap/>
            <w:vAlign w:val="center"/>
          </w:tcPr>
          <w:p w14:paraId="737DC2FE" w14:textId="5888719D" w:rsidR="001709F1" w:rsidRPr="001709F1" w:rsidRDefault="001709F1" w:rsidP="001709F1">
            <w:pPr>
              <w:jc w:val="right"/>
              <w:rPr>
                <w:rFonts w:cs="Calibri"/>
                <w:color w:val="000000" w:themeColor="text1"/>
                <w:sz w:val="12"/>
                <w:szCs w:val="12"/>
              </w:rPr>
            </w:pPr>
            <w:r w:rsidRPr="001709F1">
              <w:rPr>
                <w:rFonts w:cs="Calibri"/>
                <w:color w:val="000000"/>
                <w:sz w:val="12"/>
                <w:szCs w:val="12"/>
              </w:rPr>
              <w:t>80 061</w:t>
            </w:r>
          </w:p>
        </w:tc>
        <w:tc>
          <w:tcPr>
            <w:tcW w:w="1191" w:type="dxa"/>
            <w:tcBorders>
              <w:top w:val="nil"/>
              <w:left w:val="nil"/>
              <w:bottom w:val="single" w:sz="4" w:space="0" w:color="0077BD"/>
              <w:right w:val="single" w:sz="8" w:space="0" w:color="0077BD"/>
            </w:tcBorders>
            <w:shd w:val="clear" w:color="auto" w:fill="auto"/>
            <w:noWrap/>
            <w:vAlign w:val="center"/>
          </w:tcPr>
          <w:p w14:paraId="3AAE8CB9" w14:textId="6DD39DC8" w:rsidR="001709F1" w:rsidRPr="001709F1" w:rsidRDefault="001709F1" w:rsidP="001709F1">
            <w:pPr>
              <w:jc w:val="right"/>
              <w:rPr>
                <w:rFonts w:cs="Calibri"/>
                <w:color w:val="000000" w:themeColor="text1"/>
                <w:sz w:val="12"/>
                <w:szCs w:val="12"/>
              </w:rPr>
            </w:pPr>
            <w:r w:rsidRPr="001709F1">
              <w:rPr>
                <w:rFonts w:cs="Calibri"/>
                <w:color w:val="000000"/>
                <w:sz w:val="12"/>
                <w:szCs w:val="12"/>
              </w:rPr>
              <w:t>3 294 353</w:t>
            </w:r>
          </w:p>
        </w:tc>
        <w:tc>
          <w:tcPr>
            <w:tcW w:w="1191" w:type="dxa"/>
            <w:tcBorders>
              <w:top w:val="nil"/>
              <w:left w:val="nil"/>
              <w:bottom w:val="single" w:sz="4" w:space="0" w:color="0077BD"/>
              <w:right w:val="single" w:sz="8" w:space="0" w:color="0077BD"/>
            </w:tcBorders>
            <w:shd w:val="clear" w:color="auto" w:fill="auto"/>
            <w:noWrap/>
            <w:vAlign w:val="center"/>
          </w:tcPr>
          <w:p w14:paraId="55597830" w14:textId="72CEB07F" w:rsidR="001709F1" w:rsidRPr="001709F1" w:rsidRDefault="001709F1" w:rsidP="001709F1">
            <w:pPr>
              <w:jc w:val="right"/>
              <w:rPr>
                <w:rFonts w:cs="Calibri"/>
                <w:color w:val="000000" w:themeColor="text1"/>
                <w:sz w:val="12"/>
                <w:szCs w:val="12"/>
              </w:rPr>
            </w:pPr>
            <w:r w:rsidRPr="001709F1">
              <w:rPr>
                <w:rFonts w:cs="Calibri"/>
                <w:color w:val="000000"/>
                <w:sz w:val="12"/>
                <w:szCs w:val="12"/>
              </w:rPr>
              <w:t>309 697</w:t>
            </w:r>
          </w:p>
        </w:tc>
        <w:tc>
          <w:tcPr>
            <w:tcW w:w="1191" w:type="dxa"/>
            <w:tcBorders>
              <w:top w:val="nil"/>
              <w:left w:val="nil"/>
              <w:bottom w:val="single" w:sz="4" w:space="0" w:color="0077BD"/>
              <w:right w:val="nil"/>
            </w:tcBorders>
            <w:shd w:val="clear" w:color="auto" w:fill="auto"/>
            <w:noWrap/>
            <w:vAlign w:val="center"/>
          </w:tcPr>
          <w:p w14:paraId="6464A140" w14:textId="3F50BF87" w:rsidR="001709F1" w:rsidRPr="001709F1" w:rsidRDefault="001709F1" w:rsidP="001709F1">
            <w:pPr>
              <w:jc w:val="right"/>
              <w:rPr>
                <w:rFonts w:cs="Calibri"/>
                <w:color w:val="000000" w:themeColor="text1"/>
                <w:sz w:val="12"/>
                <w:szCs w:val="12"/>
              </w:rPr>
            </w:pPr>
            <w:r w:rsidRPr="001709F1">
              <w:rPr>
                <w:rFonts w:cs="Calibri"/>
                <w:color w:val="000000"/>
                <w:sz w:val="12"/>
                <w:szCs w:val="12"/>
              </w:rPr>
              <w:t>3 684 111</w:t>
            </w:r>
          </w:p>
        </w:tc>
      </w:tr>
      <w:tr w:rsidR="001709F1" w:rsidRPr="004845D1" w14:paraId="7452A581" w14:textId="77777777" w:rsidTr="006B56E5">
        <w:trPr>
          <w:trHeight w:val="284"/>
        </w:trPr>
        <w:tc>
          <w:tcPr>
            <w:tcW w:w="0" w:type="auto"/>
            <w:tcBorders>
              <w:top w:val="nil"/>
              <w:left w:val="nil"/>
              <w:bottom w:val="single" w:sz="8" w:space="0" w:color="0077BD"/>
              <w:right w:val="single" w:sz="8" w:space="0" w:color="0077BD"/>
            </w:tcBorders>
            <w:shd w:val="clear" w:color="auto" w:fill="auto"/>
            <w:vAlign w:val="center"/>
            <w:hideMark/>
          </w:tcPr>
          <w:p w14:paraId="08EFFF93" w14:textId="77777777" w:rsidR="001709F1" w:rsidRPr="004845D1" w:rsidRDefault="001709F1" w:rsidP="001709F1">
            <w:pPr>
              <w:rPr>
                <w:rFonts w:cs="Calibri"/>
                <w:color w:val="000000" w:themeColor="text1"/>
                <w:sz w:val="12"/>
                <w:szCs w:val="12"/>
              </w:rPr>
            </w:pPr>
            <w:r w:rsidRPr="004845D1">
              <w:rPr>
                <w:rFonts w:cs="Calibri"/>
                <w:color w:val="000000" w:themeColor="text1"/>
                <w:sz w:val="12"/>
                <w:szCs w:val="12"/>
              </w:rPr>
              <w:t>- EUR</w:t>
            </w:r>
          </w:p>
        </w:tc>
        <w:tc>
          <w:tcPr>
            <w:tcW w:w="1191" w:type="dxa"/>
            <w:tcBorders>
              <w:top w:val="nil"/>
              <w:left w:val="single" w:sz="8" w:space="0" w:color="0077BD"/>
              <w:bottom w:val="single" w:sz="4" w:space="0" w:color="0077BD"/>
              <w:right w:val="single" w:sz="8" w:space="0" w:color="0077BD"/>
            </w:tcBorders>
            <w:shd w:val="clear" w:color="auto" w:fill="auto"/>
            <w:vAlign w:val="center"/>
          </w:tcPr>
          <w:p w14:paraId="7A2C6E82" w14:textId="6E3B75BF" w:rsidR="001709F1" w:rsidRPr="001709F1" w:rsidRDefault="001709F1" w:rsidP="001709F1">
            <w:pPr>
              <w:jc w:val="right"/>
              <w:rPr>
                <w:rFonts w:cs="Calibri"/>
                <w:color w:val="000000" w:themeColor="text1"/>
                <w:sz w:val="12"/>
                <w:szCs w:val="12"/>
              </w:rPr>
            </w:pPr>
            <w:r w:rsidRPr="001709F1">
              <w:rPr>
                <w:rFonts w:cs="Calibri"/>
                <w:color w:val="000000"/>
                <w:sz w:val="12"/>
                <w:szCs w:val="12"/>
              </w:rPr>
              <w:t>696 900</w:t>
            </w:r>
          </w:p>
        </w:tc>
        <w:tc>
          <w:tcPr>
            <w:tcW w:w="1191" w:type="dxa"/>
            <w:tcBorders>
              <w:top w:val="nil"/>
              <w:left w:val="single" w:sz="8" w:space="0" w:color="0077BD"/>
              <w:bottom w:val="single" w:sz="4" w:space="0" w:color="0077BD"/>
              <w:right w:val="single" w:sz="8" w:space="0" w:color="0077BD"/>
            </w:tcBorders>
            <w:shd w:val="clear" w:color="auto" w:fill="auto"/>
            <w:vAlign w:val="center"/>
            <w:hideMark/>
          </w:tcPr>
          <w:p w14:paraId="159875B4" w14:textId="337CEBCF" w:rsidR="001709F1" w:rsidRPr="001709F1" w:rsidRDefault="001709F1" w:rsidP="001709F1">
            <w:pPr>
              <w:jc w:val="right"/>
              <w:rPr>
                <w:rFonts w:cs="Calibri"/>
                <w:color w:val="000000" w:themeColor="text1"/>
                <w:sz w:val="12"/>
                <w:szCs w:val="12"/>
              </w:rPr>
            </w:pPr>
            <w:r w:rsidRPr="001709F1">
              <w:rPr>
                <w:rFonts w:cs="Calibri"/>
                <w:color w:val="000000"/>
                <w:sz w:val="12"/>
                <w:szCs w:val="12"/>
              </w:rPr>
              <w:t>-</w:t>
            </w:r>
          </w:p>
        </w:tc>
        <w:tc>
          <w:tcPr>
            <w:tcW w:w="1191" w:type="dxa"/>
            <w:tcBorders>
              <w:top w:val="nil"/>
              <w:left w:val="nil"/>
              <w:bottom w:val="single" w:sz="4" w:space="0" w:color="0077BD"/>
              <w:right w:val="single" w:sz="8" w:space="0" w:color="0077BD"/>
            </w:tcBorders>
            <w:shd w:val="clear" w:color="auto" w:fill="auto"/>
            <w:noWrap/>
            <w:vAlign w:val="center"/>
          </w:tcPr>
          <w:p w14:paraId="14E83344" w14:textId="77CBA164" w:rsidR="001709F1" w:rsidRPr="001709F1" w:rsidRDefault="001709F1" w:rsidP="001709F1">
            <w:pPr>
              <w:jc w:val="right"/>
              <w:rPr>
                <w:rFonts w:cs="Calibri"/>
                <w:color w:val="000000" w:themeColor="text1"/>
                <w:sz w:val="12"/>
                <w:szCs w:val="12"/>
              </w:rPr>
            </w:pPr>
            <w:r w:rsidRPr="001709F1">
              <w:rPr>
                <w:rFonts w:cs="Calibri"/>
                <w:color w:val="000000"/>
                <w:sz w:val="12"/>
                <w:szCs w:val="12"/>
              </w:rPr>
              <w:t>215 161</w:t>
            </w:r>
          </w:p>
        </w:tc>
        <w:tc>
          <w:tcPr>
            <w:tcW w:w="1191" w:type="dxa"/>
            <w:tcBorders>
              <w:top w:val="nil"/>
              <w:left w:val="nil"/>
              <w:bottom w:val="single" w:sz="4" w:space="0" w:color="0077BD"/>
              <w:right w:val="single" w:sz="8" w:space="0" w:color="0077BD"/>
            </w:tcBorders>
            <w:shd w:val="clear" w:color="auto" w:fill="auto"/>
            <w:noWrap/>
            <w:vAlign w:val="center"/>
          </w:tcPr>
          <w:p w14:paraId="2B036603" w14:textId="1BCED20F" w:rsidR="001709F1" w:rsidRPr="001709F1" w:rsidRDefault="001709F1" w:rsidP="001709F1">
            <w:pPr>
              <w:jc w:val="right"/>
              <w:rPr>
                <w:rFonts w:cs="Calibri"/>
                <w:color w:val="000000" w:themeColor="text1"/>
                <w:sz w:val="12"/>
                <w:szCs w:val="12"/>
              </w:rPr>
            </w:pPr>
            <w:r w:rsidRPr="001709F1">
              <w:rPr>
                <w:rFonts w:cs="Calibri"/>
                <w:color w:val="000000"/>
                <w:sz w:val="12"/>
                <w:szCs w:val="12"/>
              </w:rPr>
              <w:t>953 495</w:t>
            </w:r>
          </w:p>
        </w:tc>
        <w:tc>
          <w:tcPr>
            <w:tcW w:w="1191" w:type="dxa"/>
            <w:tcBorders>
              <w:top w:val="nil"/>
              <w:left w:val="nil"/>
              <w:bottom w:val="single" w:sz="4" w:space="0" w:color="0077BD"/>
              <w:right w:val="single" w:sz="8" w:space="0" w:color="0077BD"/>
            </w:tcBorders>
            <w:shd w:val="clear" w:color="auto" w:fill="auto"/>
            <w:noWrap/>
            <w:vAlign w:val="center"/>
          </w:tcPr>
          <w:p w14:paraId="3C6D3E4F" w14:textId="5BD1C373" w:rsidR="001709F1" w:rsidRPr="001709F1" w:rsidRDefault="001709F1" w:rsidP="001709F1">
            <w:pPr>
              <w:jc w:val="right"/>
              <w:rPr>
                <w:rFonts w:cs="Calibri"/>
                <w:color w:val="000000" w:themeColor="text1"/>
                <w:sz w:val="12"/>
                <w:szCs w:val="12"/>
              </w:rPr>
            </w:pPr>
            <w:r w:rsidRPr="001709F1">
              <w:rPr>
                <w:rFonts w:cs="Calibri"/>
                <w:color w:val="000000"/>
                <w:sz w:val="12"/>
                <w:szCs w:val="12"/>
              </w:rPr>
              <w:t>1 889 406</w:t>
            </w:r>
          </w:p>
        </w:tc>
        <w:tc>
          <w:tcPr>
            <w:tcW w:w="1191" w:type="dxa"/>
            <w:tcBorders>
              <w:top w:val="nil"/>
              <w:left w:val="nil"/>
              <w:bottom w:val="single" w:sz="4" w:space="0" w:color="0077BD"/>
              <w:right w:val="nil"/>
            </w:tcBorders>
            <w:shd w:val="clear" w:color="auto" w:fill="auto"/>
            <w:vAlign w:val="center"/>
          </w:tcPr>
          <w:p w14:paraId="45FC1F89" w14:textId="600F8197" w:rsidR="001709F1" w:rsidRPr="001709F1" w:rsidRDefault="001709F1" w:rsidP="001709F1">
            <w:pPr>
              <w:jc w:val="right"/>
              <w:rPr>
                <w:rFonts w:cs="Calibri"/>
                <w:color w:val="000000" w:themeColor="text1"/>
                <w:sz w:val="12"/>
                <w:szCs w:val="12"/>
              </w:rPr>
            </w:pPr>
            <w:r w:rsidRPr="001709F1">
              <w:rPr>
                <w:rFonts w:cs="Calibri"/>
                <w:color w:val="000000"/>
                <w:sz w:val="12"/>
                <w:szCs w:val="12"/>
              </w:rPr>
              <w:t>3 058 062</w:t>
            </w:r>
          </w:p>
        </w:tc>
      </w:tr>
      <w:tr w:rsidR="001709F1" w:rsidRPr="004845D1" w14:paraId="09A8306C" w14:textId="77777777" w:rsidTr="006B56E5">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tcPr>
          <w:p w14:paraId="21A444CB" w14:textId="77777777" w:rsidR="001709F1" w:rsidRPr="004845D1" w:rsidRDefault="001709F1" w:rsidP="001709F1">
            <w:pPr>
              <w:rPr>
                <w:rFonts w:cs="Calibri"/>
                <w:b/>
                <w:color w:val="000000" w:themeColor="text1"/>
                <w:sz w:val="12"/>
                <w:szCs w:val="12"/>
              </w:rPr>
            </w:pPr>
            <w:r w:rsidRPr="004845D1">
              <w:rPr>
                <w:rFonts w:cs="Calibri"/>
                <w:b/>
                <w:color w:val="000000" w:themeColor="text1"/>
                <w:sz w:val="12"/>
                <w:szCs w:val="12"/>
              </w:rPr>
              <w:t>Razem</w:t>
            </w:r>
          </w:p>
        </w:tc>
        <w:tc>
          <w:tcPr>
            <w:tcW w:w="1191" w:type="dxa"/>
            <w:tcBorders>
              <w:top w:val="single" w:sz="8" w:space="0" w:color="0077BD"/>
              <w:left w:val="single" w:sz="8" w:space="0" w:color="0077BD"/>
              <w:bottom w:val="single" w:sz="8" w:space="0" w:color="0077BD"/>
              <w:right w:val="single" w:sz="8" w:space="0" w:color="0077BD"/>
            </w:tcBorders>
            <w:shd w:val="thinDiagStripe" w:color="auto" w:fill="auto"/>
            <w:vAlign w:val="center"/>
          </w:tcPr>
          <w:p w14:paraId="35EFEE32" w14:textId="77777777" w:rsidR="001709F1" w:rsidRPr="004845D1" w:rsidRDefault="001709F1" w:rsidP="001709F1">
            <w:pPr>
              <w:jc w:val="right"/>
              <w:rPr>
                <w:rFonts w:cs="Calibri"/>
                <w:b/>
                <w:color w:val="000000" w:themeColor="text1"/>
                <w:sz w:val="12"/>
                <w:szCs w:val="12"/>
              </w:rPr>
            </w:pPr>
          </w:p>
        </w:tc>
        <w:tc>
          <w:tcPr>
            <w:tcW w:w="1191"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091D4D2" w14:textId="5D5002A1" w:rsidR="001709F1" w:rsidRPr="001709F1" w:rsidRDefault="001709F1" w:rsidP="001709F1">
            <w:pPr>
              <w:jc w:val="right"/>
              <w:rPr>
                <w:rFonts w:cs="Calibri"/>
                <w:b/>
                <w:color w:val="000000" w:themeColor="text1"/>
                <w:sz w:val="12"/>
                <w:szCs w:val="12"/>
              </w:rPr>
            </w:pPr>
            <w:r w:rsidRPr="001709F1">
              <w:rPr>
                <w:rFonts w:cs="Calibri"/>
                <w:b/>
                <w:bCs/>
                <w:color w:val="000000"/>
                <w:sz w:val="12"/>
                <w:szCs w:val="12"/>
              </w:rPr>
              <w:t>631 768</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059E6245" w14:textId="4B1787D9" w:rsidR="001709F1" w:rsidRPr="001709F1" w:rsidRDefault="001709F1" w:rsidP="001709F1">
            <w:pPr>
              <w:jc w:val="right"/>
              <w:rPr>
                <w:rFonts w:cs="Calibri"/>
                <w:b/>
                <w:color w:val="000000" w:themeColor="text1"/>
                <w:sz w:val="12"/>
                <w:szCs w:val="12"/>
              </w:rPr>
            </w:pPr>
            <w:r w:rsidRPr="001709F1">
              <w:rPr>
                <w:rFonts w:cs="Calibri"/>
                <w:b/>
                <w:bCs/>
                <w:color w:val="000000"/>
                <w:sz w:val="12"/>
                <w:szCs w:val="12"/>
              </w:rPr>
              <w:t>2 993 773</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282CACB6" w14:textId="42976A38" w:rsidR="001709F1" w:rsidRPr="001709F1" w:rsidRDefault="001709F1" w:rsidP="001709F1">
            <w:pPr>
              <w:jc w:val="right"/>
              <w:rPr>
                <w:rFonts w:cs="Calibri"/>
                <w:b/>
                <w:color w:val="000000" w:themeColor="text1"/>
                <w:sz w:val="12"/>
                <w:szCs w:val="12"/>
              </w:rPr>
            </w:pPr>
            <w:r w:rsidRPr="001709F1">
              <w:rPr>
                <w:rFonts w:cs="Calibri"/>
                <w:b/>
                <w:bCs/>
                <w:color w:val="000000"/>
                <w:sz w:val="12"/>
                <w:szCs w:val="12"/>
              </w:rPr>
              <w:t>12 224 939</w:t>
            </w:r>
          </w:p>
        </w:tc>
        <w:tc>
          <w:tcPr>
            <w:tcW w:w="1191" w:type="dxa"/>
            <w:tcBorders>
              <w:top w:val="single" w:sz="8" w:space="0" w:color="0077BD"/>
              <w:left w:val="nil"/>
              <w:bottom w:val="single" w:sz="8" w:space="0" w:color="0077BD"/>
              <w:right w:val="single" w:sz="8" w:space="0" w:color="0077BD"/>
            </w:tcBorders>
            <w:shd w:val="clear" w:color="auto" w:fill="auto"/>
            <w:noWrap/>
            <w:vAlign w:val="center"/>
          </w:tcPr>
          <w:p w14:paraId="54EA8C12" w14:textId="4035077B" w:rsidR="001709F1" w:rsidRPr="001709F1" w:rsidRDefault="001709F1" w:rsidP="001709F1">
            <w:pPr>
              <w:jc w:val="right"/>
              <w:rPr>
                <w:rFonts w:cs="Calibri"/>
                <w:b/>
                <w:color w:val="000000" w:themeColor="text1"/>
                <w:sz w:val="12"/>
                <w:szCs w:val="12"/>
              </w:rPr>
            </w:pPr>
            <w:r w:rsidRPr="001709F1">
              <w:rPr>
                <w:rFonts w:cs="Calibri"/>
                <w:b/>
                <w:bCs/>
                <w:color w:val="000000"/>
                <w:sz w:val="12"/>
                <w:szCs w:val="12"/>
              </w:rPr>
              <w:t>2 199 103</w:t>
            </w:r>
          </w:p>
        </w:tc>
        <w:tc>
          <w:tcPr>
            <w:tcW w:w="1191" w:type="dxa"/>
            <w:tcBorders>
              <w:top w:val="single" w:sz="8" w:space="0" w:color="0077BD"/>
              <w:left w:val="nil"/>
              <w:bottom w:val="single" w:sz="8" w:space="0" w:color="0077BD"/>
              <w:right w:val="nil"/>
            </w:tcBorders>
            <w:shd w:val="clear" w:color="auto" w:fill="auto"/>
            <w:vAlign w:val="center"/>
          </w:tcPr>
          <w:p w14:paraId="450C7318" w14:textId="626EB3B0" w:rsidR="001709F1" w:rsidRPr="001709F1" w:rsidRDefault="001709F1" w:rsidP="001709F1">
            <w:pPr>
              <w:jc w:val="right"/>
              <w:rPr>
                <w:rFonts w:cs="Calibri"/>
                <w:b/>
                <w:color w:val="000000" w:themeColor="text1"/>
                <w:sz w:val="12"/>
                <w:szCs w:val="12"/>
              </w:rPr>
            </w:pPr>
            <w:r w:rsidRPr="001709F1">
              <w:rPr>
                <w:rFonts w:cs="Calibri"/>
                <w:b/>
                <w:bCs/>
                <w:color w:val="000000"/>
                <w:sz w:val="12"/>
                <w:szCs w:val="12"/>
              </w:rPr>
              <w:t>18 049 583</w:t>
            </w:r>
          </w:p>
        </w:tc>
      </w:tr>
    </w:tbl>
    <w:p w14:paraId="051A4F29" w14:textId="7C7117EC" w:rsidR="00A71014" w:rsidRPr="00BB7C9E" w:rsidRDefault="0059181C" w:rsidP="001709F1">
      <w:pPr>
        <w:spacing w:before="120"/>
        <w:jc w:val="both"/>
        <w:rPr>
          <w:color w:val="000000" w:themeColor="text1"/>
          <w:sz w:val="18"/>
          <w:szCs w:val="18"/>
        </w:rPr>
      </w:pPr>
      <w:r w:rsidRPr="00BB7C9E">
        <w:rPr>
          <w:color w:val="000000" w:themeColor="text1"/>
          <w:sz w:val="18"/>
          <w:szCs w:val="18"/>
        </w:rPr>
        <w:t>Szczegółowe informacje dotyczące emisji listów zastawnych znajdują się poniżej w niniejszej</w:t>
      </w:r>
      <w:r w:rsidR="001F60E6" w:rsidRPr="00BB7C9E">
        <w:rPr>
          <w:color w:val="000000" w:themeColor="text1"/>
          <w:sz w:val="18"/>
          <w:szCs w:val="18"/>
        </w:rPr>
        <w:t xml:space="preserve"> nocie</w:t>
      </w:r>
      <w:r w:rsidRPr="00BB7C9E">
        <w:rPr>
          <w:color w:val="000000" w:themeColor="text1"/>
          <w:sz w:val="18"/>
          <w:szCs w:val="18"/>
        </w:rPr>
        <w:t>.</w:t>
      </w:r>
    </w:p>
    <w:p w14:paraId="1614B0A3" w14:textId="77777777" w:rsidR="00023A06" w:rsidRPr="00BB7C9E" w:rsidRDefault="00ED15CE" w:rsidP="00ED15CE">
      <w:pPr>
        <w:spacing w:before="120"/>
        <w:jc w:val="both"/>
        <w:rPr>
          <w:rFonts w:cs="Tahoma"/>
          <w:color w:val="000000" w:themeColor="text1"/>
          <w:sz w:val="18"/>
          <w:szCs w:val="18"/>
        </w:rPr>
      </w:pPr>
      <w:r w:rsidRPr="00BB7C9E">
        <w:rPr>
          <w:rFonts w:cs="Tahoma"/>
          <w:color w:val="000000" w:themeColor="text1"/>
          <w:sz w:val="18"/>
          <w:szCs w:val="18"/>
        </w:rPr>
        <w:t>Grupa nie zarejestrowała żadnych naruszeń warunków umownych związanych ze zobowiązaniami z</w:t>
      </w:r>
      <w:r w:rsidR="00875F51" w:rsidRPr="00BB7C9E">
        <w:rPr>
          <w:rFonts w:cs="Tahoma"/>
          <w:color w:val="000000" w:themeColor="text1"/>
          <w:sz w:val="18"/>
          <w:szCs w:val="18"/>
        </w:rPr>
        <w:t> </w:t>
      </w:r>
      <w:r w:rsidRPr="00BB7C9E">
        <w:rPr>
          <w:rFonts w:cs="Tahoma"/>
          <w:color w:val="000000" w:themeColor="text1"/>
          <w:sz w:val="18"/>
          <w:szCs w:val="18"/>
        </w:rPr>
        <w:t>tytułu wyemitowanych papierów dłużnych.</w:t>
      </w:r>
    </w:p>
    <w:p w14:paraId="35B8F8BA" w14:textId="12737AE6" w:rsidR="0027212C" w:rsidRPr="00BB7C9E" w:rsidRDefault="0027212C" w:rsidP="00B6535F">
      <w:pPr>
        <w:spacing w:before="120" w:after="120"/>
        <w:jc w:val="both"/>
        <w:rPr>
          <w:rFonts w:cs="Tahoma"/>
          <w:b/>
          <w:color w:val="000000" w:themeColor="text1"/>
          <w:sz w:val="18"/>
          <w:szCs w:val="18"/>
        </w:rPr>
      </w:pPr>
      <w:r w:rsidRPr="00BB7C9E">
        <w:rPr>
          <w:rFonts w:cs="Tahoma"/>
          <w:b/>
          <w:color w:val="000000" w:themeColor="text1"/>
          <w:sz w:val="18"/>
          <w:szCs w:val="18"/>
        </w:rPr>
        <w:t>Zmiana stanu wyemitowanych dłużnych papierów wartościowych</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45143" w:rsidRPr="00945143" w14:paraId="02A718E8" w14:textId="77777777" w:rsidTr="00A62D58">
        <w:trPr>
          <w:trHeight w:val="284"/>
        </w:trPr>
        <w:tc>
          <w:tcPr>
            <w:tcW w:w="6747" w:type="dxa"/>
            <w:tcBorders>
              <w:top w:val="nil"/>
              <w:left w:val="nil"/>
              <w:bottom w:val="nil"/>
              <w:right w:val="single" w:sz="8" w:space="0" w:color="FFFFFF"/>
            </w:tcBorders>
            <w:shd w:val="clear" w:color="000000" w:fill="0077BD"/>
            <w:noWrap/>
            <w:vAlign w:val="center"/>
            <w:hideMark/>
          </w:tcPr>
          <w:p w14:paraId="01C4BE1D" w14:textId="2E50338E" w:rsidR="00945143" w:rsidRPr="00EF7B4A" w:rsidRDefault="00945143" w:rsidP="00945143">
            <w:pPr>
              <w:rPr>
                <w:rFonts w:cs="Calibri"/>
                <w:b/>
                <w:color w:val="FFFFFF" w:themeColor="background1"/>
                <w:sz w:val="13"/>
                <w:szCs w:val="13"/>
              </w:rPr>
            </w:pPr>
            <w:r w:rsidRPr="00EF7B4A">
              <w:rPr>
                <w:rFonts w:cs="Calibri"/>
                <w:b/>
                <w:color w:val="FFFFFF" w:themeColor="background1"/>
                <w:sz w:val="13"/>
                <w:szCs w:val="13"/>
              </w:rPr>
              <w:t> </w:t>
            </w:r>
            <w:r w:rsidR="00EF7B4A" w:rsidRPr="00EF7B4A">
              <w:rPr>
                <w:rFonts w:cs="Calibri"/>
                <w:b/>
                <w:color w:val="FFFFFF" w:themeColor="background1"/>
                <w:sz w:val="13"/>
                <w:szCs w:val="13"/>
              </w:rPr>
              <w:t>Zmiana w okresie od 1 stycznia do 31 grudnia</w:t>
            </w:r>
          </w:p>
        </w:tc>
        <w:tc>
          <w:tcPr>
            <w:tcW w:w="1418" w:type="dxa"/>
            <w:tcBorders>
              <w:top w:val="nil"/>
              <w:left w:val="nil"/>
              <w:bottom w:val="nil"/>
              <w:right w:val="nil"/>
            </w:tcBorders>
            <w:shd w:val="clear" w:color="000000" w:fill="0077BD"/>
            <w:noWrap/>
            <w:vAlign w:val="center"/>
            <w:hideMark/>
          </w:tcPr>
          <w:p w14:paraId="73BE13A8" w14:textId="3875EEFD" w:rsidR="00945143" w:rsidRPr="00945143" w:rsidRDefault="00945143" w:rsidP="00945143">
            <w:pPr>
              <w:jc w:val="right"/>
              <w:rPr>
                <w:rFonts w:cs="Calibri"/>
                <w:b/>
                <w:bCs/>
                <w:color w:val="FFFFFF"/>
                <w:sz w:val="13"/>
                <w:szCs w:val="13"/>
              </w:rPr>
            </w:pPr>
            <w:r w:rsidRPr="00945143">
              <w:rPr>
                <w:rFonts w:cs="Calibri"/>
                <w:b/>
                <w:bCs/>
                <w:color w:val="FFFFFF"/>
                <w:sz w:val="13"/>
                <w:szCs w:val="13"/>
              </w:rPr>
              <w:t>2019</w:t>
            </w:r>
          </w:p>
        </w:tc>
        <w:tc>
          <w:tcPr>
            <w:tcW w:w="1418" w:type="dxa"/>
            <w:tcBorders>
              <w:top w:val="nil"/>
              <w:left w:val="single" w:sz="8" w:space="0" w:color="FFFFFF"/>
              <w:bottom w:val="nil"/>
              <w:right w:val="nil"/>
            </w:tcBorders>
            <w:shd w:val="clear" w:color="000000" w:fill="0077BD"/>
            <w:noWrap/>
            <w:vAlign w:val="center"/>
            <w:hideMark/>
          </w:tcPr>
          <w:p w14:paraId="5E050BEB" w14:textId="3B5FB4F3" w:rsidR="00945143" w:rsidRPr="00945143" w:rsidRDefault="00945143" w:rsidP="00945143">
            <w:pPr>
              <w:jc w:val="right"/>
              <w:rPr>
                <w:rFonts w:cs="Calibri"/>
                <w:b/>
                <w:bCs/>
                <w:color w:val="FFFFFF"/>
                <w:sz w:val="13"/>
                <w:szCs w:val="13"/>
              </w:rPr>
            </w:pPr>
            <w:r w:rsidRPr="00945143">
              <w:rPr>
                <w:rFonts w:cs="Calibri"/>
                <w:b/>
                <w:bCs/>
                <w:color w:val="FFFFFF"/>
                <w:sz w:val="13"/>
                <w:szCs w:val="13"/>
              </w:rPr>
              <w:t>2018</w:t>
            </w:r>
          </w:p>
        </w:tc>
      </w:tr>
      <w:tr w:rsidR="00B5324C" w:rsidRPr="00BB7C9E" w14:paraId="385253E3" w14:textId="77777777" w:rsidTr="00A62D58">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5F732A49" w14:textId="77777777" w:rsidR="00945143" w:rsidRPr="00BB7C9E" w:rsidRDefault="00945143" w:rsidP="00945143">
            <w:pPr>
              <w:rPr>
                <w:rFonts w:cs="Calibri"/>
                <w:b/>
                <w:bCs/>
                <w:color w:val="000000" w:themeColor="text1"/>
                <w:sz w:val="13"/>
                <w:szCs w:val="13"/>
              </w:rPr>
            </w:pPr>
            <w:r w:rsidRPr="00BB7C9E">
              <w:rPr>
                <w:rFonts w:cs="Calibri"/>
                <w:b/>
                <w:bCs/>
                <w:color w:val="000000" w:themeColor="text1"/>
                <w:sz w:val="13"/>
                <w:szCs w:val="13"/>
              </w:rPr>
              <w:t>Stan na początek okresu</w:t>
            </w:r>
          </w:p>
        </w:tc>
        <w:tc>
          <w:tcPr>
            <w:tcW w:w="1418" w:type="dxa"/>
            <w:tcBorders>
              <w:top w:val="nil"/>
              <w:left w:val="nil"/>
              <w:bottom w:val="single" w:sz="8" w:space="0" w:color="0077BD"/>
              <w:right w:val="nil"/>
            </w:tcBorders>
            <w:shd w:val="clear" w:color="auto" w:fill="auto"/>
            <w:noWrap/>
            <w:vAlign w:val="center"/>
            <w:hideMark/>
          </w:tcPr>
          <w:p w14:paraId="602A2097" w14:textId="77777777" w:rsidR="00945143" w:rsidRPr="00BB7C9E" w:rsidRDefault="00945143" w:rsidP="00945143">
            <w:pPr>
              <w:jc w:val="right"/>
              <w:rPr>
                <w:rFonts w:cs="Calibri"/>
                <w:b/>
                <w:bCs/>
                <w:color w:val="000000" w:themeColor="text1"/>
                <w:sz w:val="13"/>
                <w:szCs w:val="13"/>
              </w:rPr>
            </w:pPr>
            <w:r w:rsidRPr="00BB7C9E">
              <w:rPr>
                <w:rFonts w:cs="Calibri"/>
                <w:b/>
                <w:bCs/>
                <w:color w:val="000000" w:themeColor="text1"/>
                <w:sz w:val="13"/>
                <w:szCs w:val="13"/>
              </w:rPr>
              <w:t>18 049 583</w:t>
            </w:r>
          </w:p>
        </w:tc>
        <w:tc>
          <w:tcPr>
            <w:tcW w:w="1418" w:type="dxa"/>
            <w:tcBorders>
              <w:top w:val="nil"/>
              <w:left w:val="single" w:sz="8" w:space="0" w:color="0077BD"/>
              <w:bottom w:val="single" w:sz="8" w:space="0" w:color="0077BD"/>
              <w:right w:val="nil"/>
            </w:tcBorders>
            <w:shd w:val="clear" w:color="auto" w:fill="auto"/>
            <w:noWrap/>
            <w:vAlign w:val="center"/>
            <w:hideMark/>
          </w:tcPr>
          <w:p w14:paraId="4B312B2E" w14:textId="77777777" w:rsidR="00945143" w:rsidRPr="00BB7C9E" w:rsidRDefault="00945143" w:rsidP="00945143">
            <w:pPr>
              <w:jc w:val="right"/>
              <w:rPr>
                <w:rFonts w:cs="Calibri"/>
                <w:b/>
                <w:bCs/>
                <w:color w:val="000000" w:themeColor="text1"/>
                <w:sz w:val="13"/>
                <w:szCs w:val="13"/>
              </w:rPr>
            </w:pPr>
            <w:r w:rsidRPr="00BB7C9E">
              <w:rPr>
                <w:rFonts w:cs="Calibri"/>
                <w:b/>
                <w:bCs/>
                <w:color w:val="000000" w:themeColor="text1"/>
                <w:sz w:val="13"/>
                <w:szCs w:val="13"/>
              </w:rPr>
              <w:t>14 322 852</w:t>
            </w:r>
          </w:p>
        </w:tc>
      </w:tr>
      <w:tr w:rsidR="00D4091B" w:rsidRPr="00BB7C9E" w14:paraId="1849E337" w14:textId="77777777" w:rsidTr="00520AAC">
        <w:trPr>
          <w:trHeight w:val="284"/>
        </w:trPr>
        <w:tc>
          <w:tcPr>
            <w:tcW w:w="6747" w:type="dxa"/>
            <w:tcBorders>
              <w:top w:val="nil"/>
              <w:left w:val="nil"/>
              <w:bottom w:val="nil"/>
              <w:right w:val="single" w:sz="8" w:space="0" w:color="0077BD"/>
            </w:tcBorders>
            <w:shd w:val="clear" w:color="auto" w:fill="auto"/>
            <w:vAlign w:val="center"/>
            <w:hideMark/>
          </w:tcPr>
          <w:p w14:paraId="4968EC94" w14:textId="77777777" w:rsidR="00D4091B" w:rsidRPr="00BB7C9E" w:rsidRDefault="00D4091B" w:rsidP="00D4091B">
            <w:pPr>
              <w:rPr>
                <w:rFonts w:cs="Calibri"/>
                <w:color w:val="000000" w:themeColor="text1"/>
                <w:sz w:val="13"/>
                <w:szCs w:val="13"/>
              </w:rPr>
            </w:pPr>
            <w:r w:rsidRPr="00BB7C9E">
              <w:rPr>
                <w:rFonts w:cs="Calibri"/>
                <w:color w:val="000000" w:themeColor="text1"/>
                <w:sz w:val="13"/>
                <w:szCs w:val="13"/>
              </w:rPr>
              <w:t>Zwiększenia (emisja)</w:t>
            </w:r>
          </w:p>
        </w:tc>
        <w:tc>
          <w:tcPr>
            <w:tcW w:w="1418" w:type="dxa"/>
            <w:tcBorders>
              <w:top w:val="single" w:sz="8" w:space="0" w:color="0077BD"/>
              <w:left w:val="single" w:sz="8" w:space="0" w:color="0077BD"/>
              <w:bottom w:val="nil"/>
              <w:right w:val="nil"/>
            </w:tcBorders>
            <w:shd w:val="clear" w:color="auto" w:fill="auto"/>
            <w:noWrap/>
            <w:vAlign w:val="center"/>
            <w:hideMark/>
          </w:tcPr>
          <w:p w14:paraId="5948BDAF" w14:textId="17C65535" w:rsidR="00D4091B" w:rsidRPr="00D4091B" w:rsidRDefault="00D4091B" w:rsidP="00B5029C">
            <w:pPr>
              <w:jc w:val="right"/>
              <w:rPr>
                <w:rFonts w:cs="Calibri"/>
                <w:color w:val="000000" w:themeColor="text1"/>
                <w:sz w:val="13"/>
                <w:szCs w:val="13"/>
              </w:rPr>
            </w:pPr>
            <w:r w:rsidRPr="00D4091B">
              <w:rPr>
                <w:rFonts w:cs="Calibri"/>
                <w:sz w:val="13"/>
                <w:szCs w:val="13"/>
              </w:rPr>
              <w:t>5 0</w:t>
            </w:r>
            <w:r w:rsidR="00B5029C">
              <w:rPr>
                <w:rFonts w:cs="Calibri"/>
                <w:sz w:val="13"/>
                <w:szCs w:val="13"/>
              </w:rPr>
              <w:t>60</w:t>
            </w:r>
            <w:r w:rsidRPr="00D4091B">
              <w:rPr>
                <w:rFonts w:cs="Calibri"/>
                <w:sz w:val="13"/>
                <w:szCs w:val="13"/>
              </w:rPr>
              <w:t xml:space="preserve"> </w:t>
            </w:r>
            <w:r w:rsidR="00B5029C">
              <w:rPr>
                <w:rFonts w:cs="Calibri"/>
                <w:sz w:val="13"/>
                <w:szCs w:val="13"/>
              </w:rPr>
              <w:t>106</w:t>
            </w:r>
          </w:p>
        </w:tc>
        <w:tc>
          <w:tcPr>
            <w:tcW w:w="1418" w:type="dxa"/>
            <w:tcBorders>
              <w:top w:val="nil"/>
              <w:left w:val="single" w:sz="8" w:space="0" w:color="0077BD"/>
              <w:bottom w:val="nil"/>
              <w:right w:val="nil"/>
            </w:tcBorders>
            <w:shd w:val="clear" w:color="auto" w:fill="auto"/>
            <w:noWrap/>
            <w:vAlign w:val="center"/>
            <w:hideMark/>
          </w:tcPr>
          <w:p w14:paraId="56A1CD32" w14:textId="77777777" w:rsidR="00D4091B" w:rsidRPr="00BB7C9E" w:rsidRDefault="00D4091B" w:rsidP="00D4091B">
            <w:pPr>
              <w:jc w:val="right"/>
              <w:rPr>
                <w:rFonts w:cs="Calibri"/>
                <w:color w:val="000000" w:themeColor="text1"/>
                <w:sz w:val="13"/>
                <w:szCs w:val="13"/>
              </w:rPr>
            </w:pPr>
            <w:r w:rsidRPr="00BB7C9E">
              <w:rPr>
                <w:rFonts w:cs="Calibri"/>
                <w:color w:val="000000" w:themeColor="text1"/>
                <w:sz w:val="13"/>
                <w:szCs w:val="13"/>
              </w:rPr>
              <w:t>7 859 225</w:t>
            </w:r>
          </w:p>
        </w:tc>
      </w:tr>
      <w:tr w:rsidR="00D4091B" w:rsidRPr="00BB7C9E" w14:paraId="2AFBC62F" w14:textId="77777777" w:rsidTr="00520AAC">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659E659B" w14:textId="77777777" w:rsidR="00D4091B" w:rsidRPr="00BB7C9E" w:rsidRDefault="00D4091B" w:rsidP="00D4091B">
            <w:pPr>
              <w:rPr>
                <w:rFonts w:cs="Calibri"/>
                <w:color w:val="000000" w:themeColor="text1"/>
                <w:sz w:val="13"/>
                <w:szCs w:val="13"/>
              </w:rPr>
            </w:pPr>
            <w:r w:rsidRPr="00BB7C9E">
              <w:rPr>
                <w:rFonts w:cs="Calibri"/>
                <w:color w:val="000000" w:themeColor="text1"/>
                <w:sz w:val="13"/>
                <w:szCs w:val="13"/>
              </w:rPr>
              <w:t>Zmniejszenia (wykup)</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08ACE718" w14:textId="50BB25AE" w:rsidR="00D4091B" w:rsidRPr="00D4091B" w:rsidRDefault="00B5029C" w:rsidP="00B5029C">
            <w:pPr>
              <w:jc w:val="right"/>
              <w:rPr>
                <w:rFonts w:cs="Calibri"/>
                <w:color w:val="000000" w:themeColor="text1"/>
                <w:sz w:val="13"/>
                <w:szCs w:val="13"/>
              </w:rPr>
            </w:pPr>
            <w:r>
              <w:rPr>
                <w:rFonts w:cs="Calibri"/>
                <w:sz w:val="13"/>
                <w:szCs w:val="13"/>
              </w:rPr>
              <w:t>(5 66</w:t>
            </w:r>
            <w:r w:rsidR="00D4091B" w:rsidRPr="00D4091B">
              <w:rPr>
                <w:rFonts w:cs="Calibri"/>
                <w:sz w:val="13"/>
                <w:szCs w:val="13"/>
              </w:rPr>
              <w:t>9 6</w:t>
            </w:r>
            <w:r>
              <w:rPr>
                <w:rFonts w:cs="Calibri"/>
                <w:sz w:val="13"/>
                <w:szCs w:val="13"/>
              </w:rPr>
              <w:t>88</w:t>
            </w:r>
            <w:r w:rsidR="00D4091B" w:rsidRPr="00D4091B">
              <w:rPr>
                <w:rFonts w:cs="Calibri"/>
                <w:sz w:val="13"/>
                <w:szCs w:val="13"/>
              </w:rPr>
              <w:t>)</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6C2A39E4" w14:textId="77777777" w:rsidR="00D4091B" w:rsidRPr="00BB7C9E" w:rsidRDefault="00D4091B" w:rsidP="00D4091B">
            <w:pPr>
              <w:jc w:val="right"/>
              <w:rPr>
                <w:rFonts w:cs="Calibri"/>
                <w:color w:val="000000" w:themeColor="text1"/>
                <w:sz w:val="13"/>
                <w:szCs w:val="13"/>
              </w:rPr>
            </w:pPr>
            <w:r w:rsidRPr="00BB7C9E">
              <w:rPr>
                <w:rFonts w:cs="Calibri"/>
                <w:color w:val="000000" w:themeColor="text1"/>
                <w:sz w:val="13"/>
                <w:szCs w:val="13"/>
              </w:rPr>
              <w:t>(4 594 996)</w:t>
            </w:r>
          </w:p>
        </w:tc>
      </w:tr>
      <w:tr w:rsidR="00D4091B" w:rsidRPr="00BB7C9E" w14:paraId="05757D18" w14:textId="77777777" w:rsidTr="00520AAC">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9F1C06D" w14:textId="77777777" w:rsidR="00D4091B" w:rsidRPr="00BB7C9E" w:rsidRDefault="00D4091B" w:rsidP="00D4091B">
            <w:pPr>
              <w:rPr>
                <w:rFonts w:cs="Calibri"/>
                <w:color w:val="000000" w:themeColor="text1"/>
                <w:sz w:val="13"/>
                <w:szCs w:val="13"/>
              </w:rPr>
            </w:pPr>
            <w:r w:rsidRPr="00BB7C9E">
              <w:rPr>
                <w:rFonts w:cs="Calibri"/>
                <w:color w:val="000000" w:themeColor="text1"/>
                <w:sz w:val="13"/>
                <w:szCs w:val="13"/>
              </w:rPr>
              <w:t>Różnice kursowe</w:t>
            </w:r>
          </w:p>
        </w:tc>
        <w:tc>
          <w:tcPr>
            <w:tcW w:w="1418" w:type="dxa"/>
            <w:tcBorders>
              <w:top w:val="nil"/>
              <w:left w:val="single" w:sz="8" w:space="0" w:color="0077BD"/>
              <w:bottom w:val="single" w:sz="4" w:space="0" w:color="0077BD"/>
              <w:right w:val="nil"/>
            </w:tcBorders>
            <w:shd w:val="clear" w:color="auto" w:fill="auto"/>
            <w:noWrap/>
            <w:vAlign w:val="center"/>
            <w:hideMark/>
          </w:tcPr>
          <w:p w14:paraId="7A6FF9A0" w14:textId="109F46C3" w:rsidR="00D4091B" w:rsidRPr="00D4091B" w:rsidRDefault="00D4091B" w:rsidP="00D4091B">
            <w:pPr>
              <w:jc w:val="right"/>
              <w:rPr>
                <w:rFonts w:cs="Calibri"/>
                <w:color w:val="000000" w:themeColor="text1"/>
                <w:sz w:val="13"/>
                <w:szCs w:val="13"/>
              </w:rPr>
            </w:pPr>
            <w:r w:rsidRPr="00D4091B">
              <w:rPr>
                <w:rFonts w:cs="Calibri"/>
                <w:sz w:val="13"/>
                <w:szCs w:val="13"/>
              </w:rPr>
              <w:t>(42 207)</w:t>
            </w:r>
          </w:p>
        </w:tc>
        <w:tc>
          <w:tcPr>
            <w:tcW w:w="1418" w:type="dxa"/>
            <w:tcBorders>
              <w:top w:val="nil"/>
              <w:left w:val="single" w:sz="8" w:space="0" w:color="0077BD"/>
              <w:bottom w:val="single" w:sz="4" w:space="0" w:color="0077BD"/>
              <w:right w:val="nil"/>
            </w:tcBorders>
            <w:shd w:val="clear" w:color="auto" w:fill="auto"/>
            <w:noWrap/>
            <w:vAlign w:val="center"/>
            <w:hideMark/>
          </w:tcPr>
          <w:p w14:paraId="34C85BC6" w14:textId="77777777" w:rsidR="00D4091B" w:rsidRPr="00BB7C9E" w:rsidRDefault="00D4091B" w:rsidP="00D4091B">
            <w:pPr>
              <w:jc w:val="right"/>
              <w:rPr>
                <w:rFonts w:cs="Calibri"/>
                <w:color w:val="000000" w:themeColor="text1"/>
                <w:sz w:val="13"/>
                <w:szCs w:val="13"/>
              </w:rPr>
            </w:pPr>
            <w:r w:rsidRPr="00BB7C9E">
              <w:rPr>
                <w:rFonts w:cs="Calibri"/>
                <w:color w:val="000000" w:themeColor="text1"/>
                <w:sz w:val="13"/>
                <w:szCs w:val="13"/>
              </w:rPr>
              <w:t>309 692</w:t>
            </w:r>
          </w:p>
        </w:tc>
      </w:tr>
      <w:tr w:rsidR="00D4091B" w:rsidRPr="00BB7C9E" w14:paraId="28C42DEE" w14:textId="77777777" w:rsidTr="00520AAC">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074CC41C" w14:textId="77777777" w:rsidR="00D4091B" w:rsidRPr="00BB7C9E" w:rsidRDefault="00D4091B" w:rsidP="00D4091B">
            <w:pPr>
              <w:rPr>
                <w:rFonts w:cs="Calibri"/>
                <w:color w:val="000000" w:themeColor="text1"/>
                <w:sz w:val="13"/>
                <w:szCs w:val="13"/>
              </w:rPr>
            </w:pPr>
            <w:r w:rsidRPr="00BB7C9E">
              <w:rPr>
                <w:rFonts w:cs="Calibri"/>
                <w:color w:val="000000" w:themeColor="text1"/>
                <w:sz w:val="13"/>
                <w:szCs w:val="13"/>
              </w:rPr>
              <w:t>Inne zmiany</w:t>
            </w:r>
          </w:p>
        </w:tc>
        <w:tc>
          <w:tcPr>
            <w:tcW w:w="1418" w:type="dxa"/>
            <w:tcBorders>
              <w:top w:val="nil"/>
              <w:left w:val="single" w:sz="8" w:space="0" w:color="0077BD"/>
              <w:bottom w:val="single" w:sz="8" w:space="0" w:color="0077BD"/>
              <w:right w:val="nil"/>
            </w:tcBorders>
            <w:shd w:val="clear" w:color="auto" w:fill="auto"/>
            <w:noWrap/>
            <w:vAlign w:val="center"/>
            <w:hideMark/>
          </w:tcPr>
          <w:p w14:paraId="270C171A" w14:textId="3797EB7B" w:rsidR="00D4091B" w:rsidRPr="00D4091B" w:rsidRDefault="00840C2A" w:rsidP="00840C2A">
            <w:pPr>
              <w:jc w:val="right"/>
              <w:rPr>
                <w:rFonts w:cs="Calibri"/>
                <w:color w:val="000000" w:themeColor="text1"/>
                <w:sz w:val="13"/>
                <w:szCs w:val="13"/>
              </w:rPr>
            </w:pPr>
            <w:r>
              <w:rPr>
                <w:rFonts w:cs="Calibri"/>
                <w:sz w:val="13"/>
                <w:szCs w:val="13"/>
              </w:rPr>
              <w:t>37</w:t>
            </w:r>
            <w:r w:rsidR="00D4091B" w:rsidRPr="00D4091B">
              <w:rPr>
                <w:rFonts w:cs="Calibri"/>
                <w:sz w:val="13"/>
                <w:szCs w:val="13"/>
              </w:rPr>
              <w:t xml:space="preserve"> </w:t>
            </w:r>
            <w:r>
              <w:rPr>
                <w:rFonts w:cs="Calibri"/>
                <w:sz w:val="13"/>
                <w:szCs w:val="13"/>
              </w:rPr>
              <w:t>349</w:t>
            </w:r>
          </w:p>
        </w:tc>
        <w:tc>
          <w:tcPr>
            <w:tcW w:w="1418" w:type="dxa"/>
            <w:tcBorders>
              <w:top w:val="nil"/>
              <w:left w:val="single" w:sz="8" w:space="0" w:color="0077BD"/>
              <w:bottom w:val="single" w:sz="8" w:space="0" w:color="0077BD"/>
              <w:right w:val="nil"/>
            </w:tcBorders>
            <w:shd w:val="clear" w:color="auto" w:fill="auto"/>
            <w:noWrap/>
            <w:vAlign w:val="center"/>
            <w:hideMark/>
          </w:tcPr>
          <w:p w14:paraId="15DF0B60" w14:textId="77777777" w:rsidR="00D4091B" w:rsidRPr="00BB7C9E" w:rsidRDefault="00D4091B" w:rsidP="00D4091B">
            <w:pPr>
              <w:jc w:val="right"/>
              <w:rPr>
                <w:rFonts w:cs="Calibri"/>
                <w:color w:val="000000" w:themeColor="text1"/>
                <w:sz w:val="13"/>
                <w:szCs w:val="13"/>
              </w:rPr>
            </w:pPr>
            <w:r w:rsidRPr="00BB7C9E">
              <w:rPr>
                <w:rFonts w:cs="Calibri"/>
                <w:color w:val="000000" w:themeColor="text1"/>
                <w:sz w:val="13"/>
                <w:szCs w:val="13"/>
              </w:rPr>
              <w:t>152 810</w:t>
            </w:r>
          </w:p>
        </w:tc>
      </w:tr>
      <w:tr w:rsidR="00D4091B" w:rsidRPr="00BB7C9E" w14:paraId="1354E435" w14:textId="77777777" w:rsidTr="00520AAC">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0922C4F4" w14:textId="77777777" w:rsidR="00D4091B" w:rsidRPr="00BB7C9E" w:rsidRDefault="00D4091B" w:rsidP="00D4091B">
            <w:pPr>
              <w:rPr>
                <w:rFonts w:cs="Calibri"/>
                <w:b/>
                <w:bCs/>
                <w:color w:val="000000" w:themeColor="text1"/>
                <w:sz w:val="13"/>
                <w:szCs w:val="13"/>
              </w:rPr>
            </w:pPr>
            <w:r w:rsidRPr="00BB7C9E">
              <w:rPr>
                <w:rFonts w:cs="Calibri"/>
                <w:b/>
                <w:bCs/>
                <w:color w:val="000000" w:themeColor="text1"/>
                <w:sz w:val="13"/>
                <w:szCs w:val="13"/>
              </w:rPr>
              <w:t>Stan zobowiązań z tytułu emisji dłużnych papierów wartościowych na koniec okresu</w:t>
            </w:r>
          </w:p>
        </w:tc>
        <w:tc>
          <w:tcPr>
            <w:tcW w:w="1418" w:type="dxa"/>
            <w:tcBorders>
              <w:top w:val="nil"/>
              <w:left w:val="single" w:sz="8" w:space="0" w:color="0077BD"/>
              <w:bottom w:val="single" w:sz="8" w:space="0" w:color="0077BD"/>
              <w:right w:val="nil"/>
            </w:tcBorders>
            <w:shd w:val="clear" w:color="auto" w:fill="auto"/>
            <w:noWrap/>
            <w:vAlign w:val="center"/>
            <w:hideMark/>
          </w:tcPr>
          <w:p w14:paraId="15EA6EAE" w14:textId="7F45FCB5" w:rsidR="00D4091B" w:rsidRPr="00D4091B" w:rsidRDefault="00D4091B" w:rsidP="00D4091B">
            <w:pPr>
              <w:jc w:val="right"/>
              <w:rPr>
                <w:rFonts w:cs="Calibri"/>
                <w:b/>
                <w:bCs/>
                <w:color w:val="000000" w:themeColor="text1"/>
                <w:sz w:val="13"/>
                <w:szCs w:val="13"/>
              </w:rPr>
            </w:pPr>
            <w:r w:rsidRPr="00D4091B">
              <w:rPr>
                <w:rFonts w:cs="Calibri"/>
                <w:b/>
                <w:bCs/>
                <w:sz w:val="13"/>
                <w:szCs w:val="13"/>
              </w:rPr>
              <w:t>17 435 143</w:t>
            </w:r>
          </w:p>
        </w:tc>
        <w:tc>
          <w:tcPr>
            <w:tcW w:w="1418" w:type="dxa"/>
            <w:tcBorders>
              <w:top w:val="nil"/>
              <w:left w:val="single" w:sz="8" w:space="0" w:color="0077BD"/>
              <w:bottom w:val="single" w:sz="8" w:space="0" w:color="0077BD"/>
              <w:right w:val="nil"/>
            </w:tcBorders>
            <w:shd w:val="clear" w:color="auto" w:fill="auto"/>
            <w:noWrap/>
            <w:vAlign w:val="center"/>
            <w:hideMark/>
          </w:tcPr>
          <w:p w14:paraId="5DA4B8DD" w14:textId="77777777" w:rsidR="00D4091B" w:rsidRPr="00BB7C9E" w:rsidRDefault="00D4091B" w:rsidP="00D4091B">
            <w:pPr>
              <w:jc w:val="right"/>
              <w:rPr>
                <w:rFonts w:cs="Calibri"/>
                <w:b/>
                <w:bCs/>
                <w:color w:val="000000" w:themeColor="text1"/>
                <w:sz w:val="13"/>
                <w:szCs w:val="13"/>
              </w:rPr>
            </w:pPr>
            <w:r w:rsidRPr="00BB7C9E">
              <w:rPr>
                <w:rFonts w:cs="Calibri"/>
                <w:b/>
                <w:bCs/>
                <w:color w:val="000000" w:themeColor="text1"/>
                <w:sz w:val="13"/>
                <w:szCs w:val="13"/>
              </w:rPr>
              <w:t>18 049 583</w:t>
            </w:r>
          </w:p>
        </w:tc>
      </w:tr>
    </w:tbl>
    <w:p w14:paraId="1FA1860F" w14:textId="31D09439" w:rsidR="0059181C" w:rsidRPr="00BB7C9E" w:rsidRDefault="0059181C" w:rsidP="007C7818">
      <w:pPr>
        <w:suppressAutoHyphens/>
        <w:spacing w:before="120" w:after="120"/>
        <w:jc w:val="both"/>
        <w:rPr>
          <w:rFonts w:cs="Tahoma"/>
          <w:b/>
          <w:color w:val="000000" w:themeColor="text1"/>
          <w:sz w:val="18"/>
          <w:szCs w:val="18"/>
          <w:lang w:eastAsia="en-US"/>
        </w:rPr>
      </w:pPr>
      <w:r w:rsidRPr="00BB7C9E">
        <w:rPr>
          <w:rFonts w:cs="Tahoma"/>
          <w:b/>
          <w:color w:val="000000" w:themeColor="text1"/>
          <w:sz w:val="18"/>
          <w:szCs w:val="18"/>
          <w:lang w:eastAsia="en-US"/>
        </w:rPr>
        <w:t>Emisje w 2019 roku</w:t>
      </w:r>
    </w:p>
    <w:p w14:paraId="2B96977C" w14:textId="77777777" w:rsidR="00B051CC" w:rsidRPr="00B051CC" w:rsidRDefault="00FC2CFC" w:rsidP="00B051CC">
      <w:pPr>
        <w:pStyle w:val="Tekstpodstawowy"/>
        <w:numPr>
          <w:ilvl w:val="0"/>
          <w:numId w:val="36"/>
        </w:numPr>
        <w:spacing w:before="60" w:after="0"/>
        <w:ind w:left="284" w:hanging="284"/>
        <w:jc w:val="both"/>
        <w:rPr>
          <w:color w:val="000000" w:themeColor="text1"/>
          <w:sz w:val="18"/>
          <w:szCs w:val="18"/>
        </w:rPr>
      </w:pPr>
      <w:r w:rsidRPr="00BB7C9E">
        <w:rPr>
          <w:color w:val="000000" w:themeColor="text1"/>
          <w:sz w:val="18"/>
          <w:szCs w:val="18"/>
        </w:rPr>
        <w:t xml:space="preserve">W dniu 5 kwietnia 2019 roku mBank wyemitował w ramach Programu Emisji Euroobligacji (nowy program EMTN opisany poniżej) obligacje o wartości </w:t>
      </w:r>
      <w:r w:rsidRPr="00BB7C9E">
        <w:rPr>
          <w:rFonts w:cs="Tahoma"/>
          <w:color w:val="000000" w:themeColor="text1"/>
          <w:sz w:val="18"/>
          <w:szCs w:val="18"/>
          <w:lang w:eastAsia="en-US"/>
        </w:rPr>
        <w:t>nominalnej 125 000 tys. CHF (równowartość 477 775 tys. zł według średniego kursu NBP z dnia 5 kwietnia 2019 roku), z terminem zapadalności w dniu 4 października 2024 roku.</w:t>
      </w:r>
    </w:p>
    <w:p w14:paraId="00A4F96E" w14:textId="4932593F" w:rsidR="007C7818" w:rsidRPr="00B051CC" w:rsidRDefault="007C7818" w:rsidP="00B051CC">
      <w:pPr>
        <w:pStyle w:val="Tekstpodstawowy"/>
        <w:numPr>
          <w:ilvl w:val="0"/>
          <w:numId w:val="36"/>
        </w:numPr>
        <w:spacing w:before="60" w:after="0"/>
        <w:ind w:left="284" w:hanging="284"/>
        <w:jc w:val="both"/>
        <w:rPr>
          <w:color w:val="000000" w:themeColor="text1"/>
          <w:sz w:val="18"/>
          <w:szCs w:val="18"/>
        </w:rPr>
      </w:pPr>
      <w:r w:rsidRPr="00B051CC">
        <w:rPr>
          <w:sz w:val="18"/>
          <w:szCs w:val="18"/>
        </w:rPr>
        <w:t>W 2019 roku mBank Hipoteczny S.A. (mBH) dokonał następujących emisji dłużnych papierów wartościowych:</w:t>
      </w:r>
    </w:p>
    <w:p w14:paraId="5E1F6D95" w14:textId="0A520620" w:rsidR="007C7818" w:rsidRP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hipotecznych listów zastawnych w kwocie 100 000 tys. zł z polskiego programu emisji hipotecznych listów zastawnych;</w:t>
      </w:r>
    </w:p>
    <w:p w14:paraId="76BBDF9E" w14:textId="77777777" w:rsidR="007C7818" w:rsidRPr="00E922F7" w:rsidRDefault="007C7818" w:rsidP="00456D02">
      <w:pPr>
        <w:spacing w:before="120" w:after="120"/>
        <w:ind w:left="426" w:hanging="284"/>
        <w:contextualSpacing/>
        <w:jc w:val="both"/>
        <w:rPr>
          <w:sz w:val="8"/>
          <w:szCs w:val="8"/>
        </w:rPr>
      </w:pPr>
    </w:p>
    <w:p w14:paraId="207E9F38" w14:textId="05D594A0" w:rsid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hipotecznych listów zastawnych w kwocie 300 000 tys. EUR z międzynarodowego programu emisji hipotecznych listów zastawnych (równowartość 1 283 640 tys. zł według średniego kursu NBP z dnia 12 listopada 2019 roku);</w:t>
      </w:r>
    </w:p>
    <w:p w14:paraId="4FF11C25" w14:textId="15A1BFBA" w:rsidR="004C64C7" w:rsidRPr="00E922F7" w:rsidRDefault="004C64C7" w:rsidP="004C64C7">
      <w:pPr>
        <w:spacing w:before="120" w:after="120" w:line="259" w:lineRule="auto"/>
        <w:contextualSpacing/>
        <w:jc w:val="both"/>
        <w:rPr>
          <w:sz w:val="8"/>
          <w:szCs w:val="8"/>
        </w:rPr>
      </w:pPr>
    </w:p>
    <w:p w14:paraId="4CA4C702" w14:textId="09A5759A" w:rsidR="004C64C7" w:rsidRPr="007C7818" w:rsidRDefault="004C64C7" w:rsidP="004C64C7">
      <w:pPr>
        <w:numPr>
          <w:ilvl w:val="0"/>
          <w:numId w:val="64"/>
        </w:numPr>
        <w:spacing w:before="120" w:after="120" w:line="259" w:lineRule="auto"/>
        <w:ind w:left="426" w:hanging="284"/>
        <w:contextualSpacing/>
        <w:jc w:val="both"/>
        <w:rPr>
          <w:sz w:val="18"/>
          <w:szCs w:val="18"/>
        </w:rPr>
      </w:pPr>
      <w:r w:rsidRPr="007C7818">
        <w:rPr>
          <w:sz w:val="18"/>
          <w:szCs w:val="18"/>
        </w:rPr>
        <w:t>obligacji długoterminowych o wartości nomi</w:t>
      </w:r>
      <w:r>
        <w:rPr>
          <w:sz w:val="18"/>
          <w:szCs w:val="18"/>
        </w:rPr>
        <w:t>nalnej 1</w:t>
      </w:r>
      <w:r w:rsidRPr="007C7818">
        <w:rPr>
          <w:sz w:val="18"/>
          <w:szCs w:val="18"/>
        </w:rPr>
        <w:t>65 000 tys. zł;</w:t>
      </w:r>
    </w:p>
    <w:p w14:paraId="34AEF3B2" w14:textId="77777777" w:rsidR="007C7818" w:rsidRPr="00E922F7" w:rsidRDefault="007C7818" w:rsidP="00456D02">
      <w:pPr>
        <w:spacing w:before="120" w:after="120"/>
        <w:ind w:left="426" w:hanging="284"/>
        <w:contextualSpacing/>
        <w:jc w:val="both"/>
        <w:rPr>
          <w:sz w:val="8"/>
          <w:szCs w:val="8"/>
        </w:rPr>
      </w:pPr>
    </w:p>
    <w:p w14:paraId="36C7D107" w14:textId="7C2E06D4" w:rsid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obligacji długoterminowych o wartości nomi</w:t>
      </w:r>
      <w:r w:rsidR="004C64C7">
        <w:rPr>
          <w:sz w:val="18"/>
          <w:szCs w:val="18"/>
        </w:rPr>
        <w:t>nalnej 300</w:t>
      </w:r>
      <w:r w:rsidR="00BF4C3C">
        <w:rPr>
          <w:sz w:val="18"/>
          <w:szCs w:val="18"/>
        </w:rPr>
        <w:t> 000 tys. zł.</w:t>
      </w:r>
    </w:p>
    <w:p w14:paraId="3B971032" w14:textId="2F4F8BD7" w:rsidR="008D6BDA" w:rsidRDefault="008D6BDA" w:rsidP="008D6BDA">
      <w:pPr>
        <w:pStyle w:val="Tekstpodstawowy"/>
        <w:numPr>
          <w:ilvl w:val="0"/>
          <w:numId w:val="36"/>
        </w:numPr>
        <w:spacing w:before="60" w:after="0"/>
        <w:ind w:left="284" w:hanging="284"/>
        <w:jc w:val="both"/>
        <w:rPr>
          <w:sz w:val="18"/>
          <w:szCs w:val="18"/>
        </w:rPr>
      </w:pPr>
      <w:r>
        <w:rPr>
          <w:sz w:val="18"/>
          <w:szCs w:val="18"/>
        </w:rPr>
        <w:lastRenderedPageBreak/>
        <w:t xml:space="preserve">W 2019 roku </w:t>
      </w:r>
      <w:r w:rsidRPr="008D6BDA">
        <w:rPr>
          <w:sz w:val="18"/>
          <w:szCs w:val="18"/>
        </w:rPr>
        <w:t xml:space="preserve">spółka mLeasing Sp. z o.o. </w:t>
      </w:r>
      <w:r w:rsidR="00CD4D76">
        <w:rPr>
          <w:sz w:val="18"/>
          <w:szCs w:val="18"/>
        </w:rPr>
        <w:t xml:space="preserve">(mLeasing) </w:t>
      </w:r>
      <w:r w:rsidRPr="008D6BDA">
        <w:rPr>
          <w:sz w:val="18"/>
          <w:szCs w:val="18"/>
        </w:rPr>
        <w:t>dokonała emisji obligacji krótkoterminowych w kwocie 2</w:t>
      </w:r>
      <w:r>
        <w:rPr>
          <w:sz w:val="18"/>
          <w:szCs w:val="18"/>
        </w:rPr>
        <w:t> </w:t>
      </w:r>
      <w:r w:rsidRPr="008D6BDA">
        <w:rPr>
          <w:sz w:val="18"/>
          <w:szCs w:val="18"/>
        </w:rPr>
        <w:t>649</w:t>
      </w:r>
      <w:r>
        <w:rPr>
          <w:sz w:val="18"/>
          <w:szCs w:val="18"/>
        </w:rPr>
        <w:t> </w:t>
      </w:r>
      <w:r w:rsidRPr="008D6BDA">
        <w:rPr>
          <w:sz w:val="18"/>
          <w:szCs w:val="18"/>
        </w:rPr>
        <w:t>600</w:t>
      </w:r>
      <w:r>
        <w:rPr>
          <w:sz w:val="18"/>
          <w:szCs w:val="18"/>
        </w:rPr>
        <w:t> </w:t>
      </w:r>
      <w:r w:rsidRPr="008D6BDA">
        <w:rPr>
          <w:sz w:val="18"/>
          <w:szCs w:val="18"/>
        </w:rPr>
        <w:t>tys. zł</w:t>
      </w:r>
      <w:r>
        <w:rPr>
          <w:sz w:val="18"/>
          <w:szCs w:val="18"/>
        </w:rPr>
        <w:t>.</w:t>
      </w:r>
    </w:p>
    <w:p w14:paraId="79BD7B91" w14:textId="77777777" w:rsidR="007C7818" w:rsidRPr="007C7818" w:rsidRDefault="007C7818" w:rsidP="00CD4D76">
      <w:pPr>
        <w:suppressAutoHyphens/>
        <w:spacing w:before="240" w:after="120"/>
        <w:jc w:val="both"/>
        <w:rPr>
          <w:rFonts w:cs="Tahoma"/>
          <w:b/>
          <w:sz w:val="18"/>
          <w:szCs w:val="18"/>
          <w:lang w:eastAsia="en-US"/>
        </w:rPr>
      </w:pPr>
      <w:r w:rsidRPr="007C7818">
        <w:rPr>
          <w:rFonts w:cs="Tahoma"/>
          <w:b/>
          <w:sz w:val="18"/>
          <w:szCs w:val="18"/>
          <w:lang w:eastAsia="en-US"/>
        </w:rPr>
        <w:t>Wykupy w 2019 roku</w:t>
      </w:r>
    </w:p>
    <w:p w14:paraId="753A64EE" w14:textId="77777777" w:rsidR="007C7818" w:rsidRPr="007C7818" w:rsidRDefault="007C7818" w:rsidP="00526DF1">
      <w:pPr>
        <w:numPr>
          <w:ilvl w:val="0"/>
          <w:numId w:val="36"/>
        </w:numPr>
        <w:spacing w:after="120"/>
        <w:ind w:left="284" w:hanging="284"/>
        <w:jc w:val="both"/>
        <w:rPr>
          <w:spacing w:val="-4"/>
          <w:sz w:val="18"/>
          <w:szCs w:val="18"/>
        </w:rPr>
      </w:pPr>
      <w:r w:rsidRPr="007C7818">
        <w:rPr>
          <w:sz w:val="18"/>
          <w:szCs w:val="18"/>
        </w:rPr>
        <w:t>W 2019 roku mBH dokonał następujących wykupów wyemitowanych dłużnych</w:t>
      </w:r>
      <w:r w:rsidRPr="007C7818">
        <w:rPr>
          <w:spacing w:val="-4"/>
          <w:sz w:val="18"/>
          <w:szCs w:val="18"/>
        </w:rPr>
        <w:t xml:space="preserve"> papierów wartościowych:</w:t>
      </w:r>
    </w:p>
    <w:p w14:paraId="76975EB1" w14:textId="08F6D43E" w:rsidR="007C7818" w:rsidRP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wykupu zgodnie z warunkami emisji hipotecznych listów zastawnych w kwocie 80 000 ty</w:t>
      </w:r>
      <w:r w:rsidR="00FE2D57">
        <w:rPr>
          <w:sz w:val="18"/>
          <w:szCs w:val="18"/>
        </w:rPr>
        <w:t>s. zł wyemitowanych w 2013 roku,</w:t>
      </w:r>
    </w:p>
    <w:p w14:paraId="2818B160" w14:textId="77777777" w:rsidR="007C7818" w:rsidRPr="00E922F7" w:rsidRDefault="007C7818" w:rsidP="00456D02">
      <w:pPr>
        <w:spacing w:before="120" w:after="120"/>
        <w:ind w:left="426" w:hanging="284"/>
        <w:contextualSpacing/>
        <w:jc w:val="both"/>
        <w:rPr>
          <w:sz w:val="8"/>
          <w:szCs w:val="8"/>
        </w:rPr>
      </w:pPr>
    </w:p>
    <w:p w14:paraId="56597A21" w14:textId="15295CCE" w:rsidR="007C7818" w:rsidRP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wykupu zgodnie z warunkami emisji hipotecznych listów zastawnych w kwocie 50 000 tys</w:t>
      </w:r>
      <w:r w:rsidR="00FE2D57">
        <w:rPr>
          <w:sz w:val="18"/>
          <w:szCs w:val="18"/>
        </w:rPr>
        <w:t>. EUR wyemitowanych w 2014 roku,</w:t>
      </w:r>
    </w:p>
    <w:p w14:paraId="41AF1E0D" w14:textId="77777777" w:rsidR="007C7818" w:rsidRPr="00E922F7" w:rsidRDefault="007C7818" w:rsidP="00456D02">
      <w:pPr>
        <w:spacing w:before="120" w:after="120"/>
        <w:ind w:left="426" w:hanging="284"/>
        <w:contextualSpacing/>
        <w:jc w:val="both"/>
        <w:rPr>
          <w:sz w:val="8"/>
          <w:szCs w:val="8"/>
        </w:rPr>
      </w:pPr>
    </w:p>
    <w:p w14:paraId="7620BF4C" w14:textId="0E0AE4CD" w:rsidR="007C7818" w:rsidRPr="007C7818" w:rsidRDefault="007C7818" w:rsidP="00456D02">
      <w:pPr>
        <w:numPr>
          <w:ilvl w:val="0"/>
          <w:numId w:val="64"/>
        </w:numPr>
        <w:spacing w:before="120" w:after="120" w:line="259" w:lineRule="auto"/>
        <w:ind w:left="426" w:hanging="284"/>
        <w:contextualSpacing/>
        <w:jc w:val="both"/>
        <w:rPr>
          <w:sz w:val="18"/>
          <w:szCs w:val="18"/>
        </w:rPr>
      </w:pPr>
      <w:r w:rsidRPr="007C7818">
        <w:rPr>
          <w:sz w:val="18"/>
          <w:szCs w:val="18"/>
        </w:rPr>
        <w:t>wykupu zgodnie z warunkami emisji długoterminowych obligacji o wartości nominalnej 80 000 ty</w:t>
      </w:r>
      <w:r w:rsidR="00FE2D57">
        <w:rPr>
          <w:sz w:val="18"/>
          <w:szCs w:val="18"/>
        </w:rPr>
        <w:t>s. zł wyemitowanych w 2014 roku,</w:t>
      </w:r>
    </w:p>
    <w:p w14:paraId="6157B9FF" w14:textId="77777777" w:rsidR="007C7818" w:rsidRPr="00E922F7" w:rsidRDefault="007C7818" w:rsidP="00456D02">
      <w:pPr>
        <w:spacing w:before="120" w:after="120"/>
        <w:ind w:left="426" w:hanging="284"/>
        <w:contextualSpacing/>
        <w:jc w:val="both"/>
        <w:rPr>
          <w:sz w:val="8"/>
          <w:szCs w:val="8"/>
        </w:rPr>
      </w:pPr>
    </w:p>
    <w:p w14:paraId="7D876158" w14:textId="6D9F2459" w:rsidR="007C7818" w:rsidRPr="007C7818" w:rsidRDefault="007C7818" w:rsidP="00961322">
      <w:pPr>
        <w:numPr>
          <w:ilvl w:val="0"/>
          <w:numId w:val="64"/>
        </w:numPr>
        <w:spacing w:before="120" w:after="120"/>
        <w:ind w:left="426" w:hanging="284"/>
        <w:contextualSpacing/>
        <w:jc w:val="both"/>
        <w:rPr>
          <w:sz w:val="18"/>
          <w:szCs w:val="18"/>
        </w:rPr>
      </w:pPr>
      <w:r w:rsidRPr="007C7818">
        <w:rPr>
          <w:sz w:val="18"/>
          <w:szCs w:val="18"/>
        </w:rPr>
        <w:t>wykupu zgodnie z warunkami emisji krótkoterminowych obligacji o wartości nominalnej 500</w:t>
      </w:r>
      <w:r w:rsidR="00456D02">
        <w:rPr>
          <w:sz w:val="18"/>
          <w:szCs w:val="18"/>
        </w:rPr>
        <w:t> </w:t>
      </w:r>
      <w:r w:rsidRPr="007C7818">
        <w:rPr>
          <w:sz w:val="18"/>
          <w:szCs w:val="18"/>
        </w:rPr>
        <w:t>000</w:t>
      </w:r>
      <w:r w:rsidR="00456D02">
        <w:rPr>
          <w:sz w:val="18"/>
          <w:szCs w:val="18"/>
        </w:rPr>
        <w:t> </w:t>
      </w:r>
      <w:r w:rsidRPr="007C7818">
        <w:rPr>
          <w:sz w:val="18"/>
          <w:szCs w:val="18"/>
        </w:rPr>
        <w:t>tys.</w:t>
      </w:r>
      <w:r w:rsidR="00456D02">
        <w:rPr>
          <w:sz w:val="18"/>
          <w:szCs w:val="18"/>
        </w:rPr>
        <w:t> </w:t>
      </w:r>
      <w:r w:rsidRPr="007C7818">
        <w:rPr>
          <w:sz w:val="18"/>
          <w:szCs w:val="18"/>
        </w:rPr>
        <w:t>zł wyemitowanych w 2018 roku.</w:t>
      </w:r>
    </w:p>
    <w:p w14:paraId="19CB191C" w14:textId="56BB2E93" w:rsidR="007C7818" w:rsidRPr="009C018E" w:rsidRDefault="007C7818" w:rsidP="007C7818">
      <w:pPr>
        <w:suppressAutoHyphens/>
        <w:jc w:val="both"/>
        <w:rPr>
          <w:rFonts w:cs="Tahoma"/>
          <w:b/>
          <w:color w:val="000000" w:themeColor="text1"/>
          <w:sz w:val="8"/>
          <w:szCs w:val="8"/>
          <w:lang w:eastAsia="en-US"/>
        </w:rPr>
      </w:pPr>
    </w:p>
    <w:p w14:paraId="531B5B7C" w14:textId="6CFEB6DF" w:rsidR="009C018E" w:rsidRPr="00BB7C9E" w:rsidRDefault="009C018E" w:rsidP="009C018E">
      <w:pPr>
        <w:pStyle w:val="Tekstpodstawowy"/>
        <w:numPr>
          <w:ilvl w:val="0"/>
          <w:numId w:val="36"/>
        </w:numPr>
        <w:spacing w:after="0"/>
        <w:ind w:left="284" w:hanging="284"/>
        <w:jc w:val="both"/>
        <w:rPr>
          <w:color w:val="000000" w:themeColor="text1"/>
          <w:sz w:val="18"/>
          <w:szCs w:val="18"/>
        </w:rPr>
      </w:pPr>
      <w:r>
        <w:rPr>
          <w:color w:val="000000" w:themeColor="text1"/>
          <w:spacing w:val="0"/>
          <w:sz w:val="18"/>
          <w:szCs w:val="18"/>
        </w:rPr>
        <w:t>W 2019</w:t>
      </w:r>
      <w:r w:rsidRPr="00BB7C9E">
        <w:rPr>
          <w:color w:val="000000" w:themeColor="text1"/>
          <w:spacing w:val="0"/>
          <w:sz w:val="18"/>
          <w:szCs w:val="18"/>
        </w:rPr>
        <w:t xml:space="preserve"> roku </w:t>
      </w:r>
      <w:r w:rsidRPr="00BB7C9E">
        <w:rPr>
          <w:rFonts w:cs="Tahoma"/>
          <w:color w:val="000000" w:themeColor="text1"/>
          <w:sz w:val="18"/>
          <w:szCs w:val="18"/>
          <w:lang w:eastAsia="en-US"/>
        </w:rPr>
        <w:t>spółka mFinance France S.A. (mFF)</w:t>
      </w:r>
      <w:r w:rsidRPr="00BB7C9E">
        <w:rPr>
          <w:color w:val="000000" w:themeColor="text1"/>
          <w:spacing w:val="0"/>
          <w:sz w:val="18"/>
          <w:szCs w:val="18"/>
        </w:rPr>
        <w:t xml:space="preserve"> dokonała wykupu:</w:t>
      </w:r>
    </w:p>
    <w:p w14:paraId="5B918E98" w14:textId="63896E27" w:rsidR="009C018E" w:rsidRDefault="009C018E" w:rsidP="00412188">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obligacji o wart</w:t>
      </w:r>
      <w:r>
        <w:rPr>
          <w:color w:val="000000" w:themeColor="text1"/>
          <w:sz w:val="18"/>
          <w:szCs w:val="18"/>
        </w:rPr>
        <w:t>ości nominalnej 500 000 tys. EUR</w:t>
      </w:r>
      <w:r w:rsidRPr="00BB7C9E">
        <w:rPr>
          <w:color w:val="000000" w:themeColor="text1"/>
          <w:sz w:val="18"/>
          <w:szCs w:val="18"/>
        </w:rPr>
        <w:t xml:space="preserve"> wyemitowanych w dniu</w:t>
      </w:r>
      <w:r w:rsidR="00BF7D51">
        <w:rPr>
          <w:color w:val="000000" w:themeColor="text1"/>
          <w:sz w:val="18"/>
          <w:szCs w:val="18"/>
        </w:rPr>
        <w:t xml:space="preserve"> 24</w:t>
      </w:r>
      <w:r w:rsidRPr="00BB7C9E">
        <w:rPr>
          <w:color w:val="000000" w:themeColor="text1"/>
          <w:sz w:val="18"/>
          <w:szCs w:val="18"/>
        </w:rPr>
        <w:t xml:space="preserve"> </w:t>
      </w:r>
      <w:r w:rsidR="00BF7D51">
        <w:rPr>
          <w:color w:val="000000" w:themeColor="text1"/>
          <w:sz w:val="18"/>
          <w:szCs w:val="18"/>
        </w:rPr>
        <w:t>marca 2014</w:t>
      </w:r>
      <w:r w:rsidR="00ED5CBE">
        <w:rPr>
          <w:color w:val="000000" w:themeColor="text1"/>
          <w:sz w:val="18"/>
          <w:szCs w:val="18"/>
        </w:rPr>
        <w:t xml:space="preserve"> roku.</w:t>
      </w:r>
    </w:p>
    <w:p w14:paraId="1BD82723" w14:textId="7451EFC8" w:rsidR="00D5644D" w:rsidRDefault="00D5644D" w:rsidP="00D5644D">
      <w:pPr>
        <w:pStyle w:val="Tekstpodstawowy"/>
        <w:numPr>
          <w:ilvl w:val="0"/>
          <w:numId w:val="36"/>
        </w:numPr>
        <w:spacing w:before="60" w:after="0"/>
        <w:ind w:left="284" w:hanging="284"/>
        <w:jc w:val="both"/>
        <w:rPr>
          <w:sz w:val="18"/>
          <w:szCs w:val="18"/>
        </w:rPr>
      </w:pPr>
      <w:r>
        <w:rPr>
          <w:sz w:val="18"/>
          <w:szCs w:val="18"/>
        </w:rPr>
        <w:t xml:space="preserve">W 2019 roku </w:t>
      </w:r>
      <w:r w:rsidRPr="008D6BDA">
        <w:rPr>
          <w:sz w:val="18"/>
          <w:szCs w:val="18"/>
        </w:rPr>
        <w:t>spółka mLe</w:t>
      </w:r>
      <w:r>
        <w:rPr>
          <w:sz w:val="18"/>
          <w:szCs w:val="18"/>
        </w:rPr>
        <w:t>asing dokonała wykupu</w:t>
      </w:r>
      <w:r w:rsidRPr="008D6BDA">
        <w:rPr>
          <w:sz w:val="18"/>
          <w:szCs w:val="18"/>
        </w:rPr>
        <w:t xml:space="preserve"> obligacji krótkoterminowych w kwocie 2</w:t>
      </w:r>
      <w:r>
        <w:rPr>
          <w:sz w:val="18"/>
          <w:szCs w:val="18"/>
        </w:rPr>
        <w:t> 532 2</w:t>
      </w:r>
      <w:r w:rsidRPr="008D6BDA">
        <w:rPr>
          <w:sz w:val="18"/>
          <w:szCs w:val="18"/>
        </w:rPr>
        <w:t>00</w:t>
      </w:r>
      <w:r>
        <w:rPr>
          <w:sz w:val="18"/>
          <w:szCs w:val="18"/>
        </w:rPr>
        <w:t> </w:t>
      </w:r>
      <w:r w:rsidRPr="008D6BDA">
        <w:rPr>
          <w:sz w:val="18"/>
          <w:szCs w:val="18"/>
        </w:rPr>
        <w:t>tys. zł</w:t>
      </w:r>
      <w:r>
        <w:rPr>
          <w:sz w:val="18"/>
          <w:szCs w:val="18"/>
        </w:rPr>
        <w:t>.</w:t>
      </w:r>
    </w:p>
    <w:p w14:paraId="5F832478" w14:textId="0623784F" w:rsidR="00023A06" w:rsidRPr="00BB7C9E" w:rsidRDefault="00023A06" w:rsidP="00CD4D76">
      <w:pPr>
        <w:suppressAutoHyphens/>
        <w:spacing w:before="240" w:after="120"/>
        <w:jc w:val="both"/>
        <w:rPr>
          <w:rFonts w:cs="Tahoma"/>
          <w:b/>
          <w:color w:val="000000" w:themeColor="text1"/>
          <w:sz w:val="18"/>
          <w:szCs w:val="18"/>
          <w:lang w:eastAsia="en-US"/>
        </w:rPr>
      </w:pPr>
      <w:r w:rsidRPr="00BB7C9E">
        <w:rPr>
          <w:rFonts w:cs="Tahoma"/>
          <w:b/>
          <w:color w:val="000000" w:themeColor="text1"/>
          <w:sz w:val="18"/>
          <w:szCs w:val="18"/>
          <w:lang w:eastAsia="en-US"/>
        </w:rPr>
        <w:t>Emisje w 2018 roku</w:t>
      </w:r>
    </w:p>
    <w:p w14:paraId="37137C0E" w14:textId="77777777" w:rsidR="000632C9" w:rsidRPr="00BB7C9E" w:rsidRDefault="000632C9" w:rsidP="00526DF1">
      <w:pPr>
        <w:pStyle w:val="Tekstpodstawowy"/>
        <w:numPr>
          <w:ilvl w:val="0"/>
          <w:numId w:val="36"/>
        </w:numPr>
        <w:spacing w:before="60" w:after="0"/>
        <w:ind w:left="284" w:hanging="284"/>
        <w:jc w:val="both"/>
        <w:rPr>
          <w:color w:val="000000" w:themeColor="text1"/>
          <w:sz w:val="18"/>
          <w:szCs w:val="18"/>
        </w:rPr>
      </w:pPr>
      <w:r w:rsidRPr="00BB7C9E">
        <w:rPr>
          <w:color w:val="000000" w:themeColor="text1"/>
          <w:sz w:val="18"/>
          <w:szCs w:val="18"/>
        </w:rPr>
        <w:t>Nowy program emisji papierów dłużnych (EMTN)</w:t>
      </w:r>
    </w:p>
    <w:p w14:paraId="018B0573" w14:textId="6503D1C0" w:rsidR="000632C9" w:rsidRPr="00BB7C9E" w:rsidRDefault="000632C9" w:rsidP="000632C9">
      <w:pPr>
        <w:spacing w:before="120"/>
        <w:ind w:left="284"/>
        <w:jc w:val="both"/>
        <w:rPr>
          <w:color w:val="000000" w:themeColor="text1"/>
          <w:sz w:val="18"/>
          <w:szCs w:val="18"/>
        </w:rPr>
      </w:pPr>
      <w:r w:rsidRPr="00BB7C9E">
        <w:rPr>
          <w:color w:val="000000" w:themeColor="text1"/>
          <w:sz w:val="18"/>
          <w:szCs w:val="18"/>
        </w:rPr>
        <w:t>W dniu 11 kwietnia 2018 roku Zarząd mBanku S.A. podjął uchwałę, w której wyraził zgodę na</w:t>
      </w:r>
      <w:r w:rsidR="004839DB">
        <w:rPr>
          <w:color w:val="000000" w:themeColor="text1"/>
          <w:sz w:val="18"/>
          <w:szCs w:val="18"/>
        </w:rPr>
        <w:t> </w:t>
      </w:r>
      <w:r w:rsidRPr="00BB7C9E">
        <w:rPr>
          <w:color w:val="000000" w:themeColor="text1"/>
          <w:sz w:val="18"/>
          <w:szCs w:val="18"/>
        </w:rPr>
        <w:t>ustanowienie nowego programu emisji papierów dłużnych (Euro Medium Term Note Programme) bezpośrednio przez Bank, w wielu transzach i walutach, o różnej strukturze odsetkowej i zapadalności, o maksymalnej wartości kwoty głównej 3 000 000 tys. EUR ("Nowy Program EMTN"), co jest równowartością 12 573 300 tys. zł według kursu średniego NBP z dnia 11 kwietnia 2018 roku.</w:t>
      </w:r>
    </w:p>
    <w:p w14:paraId="4D5CB085" w14:textId="2FFE9CBB" w:rsidR="000632C9" w:rsidRPr="00BB7C9E" w:rsidRDefault="000632C9" w:rsidP="000632C9">
      <w:pPr>
        <w:spacing w:before="120"/>
        <w:ind w:left="284"/>
        <w:jc w:val="both"/>
        <w:rPr>
          <w:color w:val="000000" w:themeColor="text1"/>
          <w:sz w:val="18"/>
          <w:szCs w:val="18"/>
        </w:rPr>
      </w:pPr>
      <w:r w:rsidRPr="00BB7C9E">
        <w:rPr>
          <w:color w:val="000000" w:themeColor="text1"/>
          <w:sz w:val="18"/>
          <w:szCs w:val="18"/>
        </w:rPr>
        <w:t>Nowy Program EMTN został ustanowiony przez aktualizację istniejącego programu emisji papierów dłużnych mFinance France SA (mFF), spółki zależnej od mBanku S.A. Aktualizacja nie wpływa na</w:t>
      </w:r>
      <w:r w:rsidR="004839DB">
        <w:rPr>
          <w:color w:val="000000" w:themeColor="text1"/>
          <w:sz w:val="18"/>
          <w:szCs w:val="18"/>
        </w:rPr>
        <w:t> </w:t>
      </w:r>
      <w:r w:rsidRPr="00BB7C9E">
        <w:rPr>
          <w:color w:val="000000" w:themeColor="text1"/>
          <w:sz w:val="18"/>
          <w:szCs w:val="18"/>
        </w:rPr>
        <w:t>istnienie już wyemitowanych przez mFF papierów wartościowych oraz ważność gwarancji udzielonej przez Bank co do tych papierów.</w:t>
      </w:r>
    </w:p>
    <w:p w14:paraId="77ECAA71" w14:textId="77777777" w:rsidR="000632C9" w:rsidRPr="00BB7C9E" w:rsidRDefault="000632C9" w:rsidP="000632C9">
      <w:pPr>
        <w:spacing w:before="120"/>
        <w:ind w:left="284"/>
        <w:jc w:val="both"/>
        <w:rPr>
          <w:color w:val="000000" w:themeColor="text1"/>
          <w:sz w:val="18"/>
          <w:szCs w:val="18"/>
        </w:rPr>
      </w:pPr>
      <w:r w:rsidRPr="00BB7C9E">
        <w:rPr>
          <w:color w:val="000000" w:themeColor="text1"/>
          <w:sz w:val="18"/>
          <w:szCs w:val="18"/>
        </w:rPr>
        <w:t>W ramach Nowego Programu EMTN, Bank dokonał dwóch emisji:</w:t>
      </w:r>
    </w:p>
    <w:p w14:paraId="4D53AB55" w14:textId="610339A8" w:rsidR="000632C9" w:rsidRDefault="000632C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 dniu 7 czerwca 2018 roku Bank wyemitował obligacje o łącznej wartości 180 000 tys. CHF (równowartość 660 906 tys. zł według średniego kursu NBP z dnia 7 czerwca 2018 roku), z terminem zapadalności w dniu 7 czerwca 2022 roku,</w:t>
      </w:r>
    </w:p>
    <w:p w14:paraId="53C7C802" w14:textId="77777777" w:rsidR="00E922F7" w:rsidRPr="00E922F7" w:rsidRDefault="00E922F7" w:rsidP="00E922F7">
      <w:pPr>
        <w:pStyle w:val="Akapitzlist"/>
        <w:spacing w:before="120" w:after="120"/>
        <w:ind w:left="426"/>
        <w:jc w:val="both"/>
        <w:rPr>
          <w:color w:val="000000" w:themeColor="text1"/>
          <w:sz w:val="8"/>
          <w:szCs w:val="8"/>
        </w:rPr>
      </w:pPr>
    </w:p>
    <w:p w14:paraId="532C088C" w14:textId="77777777" w:rsidR="000632C9" w:rsidRPr="00BB7C9E" w:rsidRDefault="000632C9" w:rsidP="00456D02">
      <w:pPr>
        <w:pStyle w:val="Akapitzlist"/>
        <w:numPr>
          <w:ilvl w:val="0"/>
          <w:numId w:val="64"/>
        </w:numPr>
        <w:spacing w:before="120"/>
        <w:ind w:left="426" w:hanging="284"/>
        <w:jc w:val="both"/>
        <w:rPr>
          <w:color w:val="000000" w:themeColor="text1"/>
          <w:sz w:val="18"/>
          <w:szCs w:val="18"/>
        </w:rPr>
      </w:pPr>
      <w:r w:rsidRPr="00BB7C9E">
        <w:rPr>
          <w:color w:val="000000" w:themeColor="text1"/>
          <w:sz w:val="18"/>
          <w:szCs w:val="18"/>
        </w:rPr>
        <w:t>w dniu 5 września 2018 roku Bank wyemitował obligacje o łącznej wartości 500 000 tys. EUR (równowartość 2 159 150 tys. zł według średniego kursu NBP z dnia 5 września 2018 roku), z terminem zapadalności w dniu 5 września 2022 roku.</w:t>
      </w:r>
    </w:p>
    <w:p w14:paraId="47ED7E63" w14:textId="77777777" w:rsidR="00292729" w:rsidRPr="00BB7C9E" w:rsidRDefault="00292729" w:rsidP="00526DF1">
      <w:pPr>
        <w:pStyle w:val="Tekstpodstawowy"/>
        <w:numPr>
          <w:ilvl w:val="0"/>
          <w:numId w:val="36"/>
        </w:numPr>
        <w:spacing w:before="60" w:after="0"/>
        <w:ind w:left="284" w:hanging="284"/>
        <w:jc w:val="both"/>
        <w:rPr>
          <w:color w:val="000000" w:themeColor="text1"/>
          <w:sz w:val="18"/>
          <w:szCs w:val="18"/>
        </w:rPr>
      </w:pPr>
      <w:r w:rsidRPr="00BB7C9E">
        <w:rPr>
          <w:color w:val="000000" w:themeColor="text1"/>
          <w:sz w:val="18"/>
          <w:szCs w:val="18"/>
        </w:rPr>
        <w:t>W 2018 roku mBank Hipoteczny S.A. (mBH) dokonał następujących emisji dłużnych papierów wartościowych:</w:t>
      </w:r>
    </w:p>
    <w:p w14:paraId="7D1676A0" w14:textId="16A090DF"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pierwszej emisji listów zastawnych w</w:t>
      </w:r>
      <w:r w:rsidR="00FB683A" w:rsidRPr="00BB7C9E">
        <w:rPr>
          <w:color w:val="000000" w:themeColor="text1"/>
          <w:sz w:val="18"/>
          <w:szCs w:val="18"/>
        </w:rPr>
        <w:t xml:space="preserve"> kwocie 300 </w:t>
      </w:r>
      <w:r w:rsidRPr="00BB7C9E">
        <w:rPr>
          <w:color w:val="000000" w:themeColor="text1"/>
          <w:sz w:val="18"/>
          <w:szCs w:val="18"/>
        </w:rPr>
        <w:t>000 tys. EUR z międzynarodowego programu emisji hipotecznych li</w:t>
      </w:r>
      <w:r w:rsidR="00FB683A" w:rsidRPr="00BB7C9E">
        <w:rPr>
          <w:color w:val="000000" w:themeColor="text1"/>
          <w:sz w:val="18"/>
          <w:szCs w:val="18"/>
        </w:rPr>
        <w:t>stów zastawnych (równowartość 1 271 </w:t>
      </w:r>
      <w:r w:rsidRPr="00BB7C9E">
        <w:rPr>
          <w:color w:val="000000" w:themeColor="text1"/>
          <w:sz w:val="18"/>
          <w:szCs w:val="18"/>
        </w:rPr>
        <w:t xml:space="preserve">760 tys. zł według średniego kursu NBP z dnia </w:t>
      </w:r>
      <w:r w:rsidR="00C44BFA" w:rsidRPr="00BB7C9E">
        <w:rPr>
          <w:color w:val="000000" w:themeColor="text1"/>
          <w:sz w:val="18"/>
          <w:szCs w:val="18"/>
        </w:rPr>
        <w:t>26 kwietnia</w:t>
      </w:r>
      <w:r w:rsidR="00FE2D57">
        <w:rPr>
          <w:color w:val="000000" w:themeColor="text1"/>
          <w:sz w:val="18"/>
          <w:szCs w:val="18"/>
        </w:rPr>
        <w:t xml:space="preserve"> 2018 roku),</w:t>
      </w:r>
    </w:p>
    <w:p w14:paraId="62876ABB" w14:textId="77777777" w:rsidR="00292729" w:rsidRPr="00E922F7" w:rsidRDefault="00292729" w:rsidP="00456D02">
      <w:pPr>
        <w:pStyle w:val="Akapitzlist"/>
        <w:spacing w:before="120" w:after="120"/>
        <w:ind w:left="426" w:hanging="284"/>
        <w:jc w:val="both"/>
        <w:rPr>
          <w:color w:val="000000" w:themeColor="text1"/>
          <w:sz w:val="8"/>
          <w:szCs w:val="8"/>
        </w:rPr>
      </w:pPr>
    </w:p>
    <w:p w14:paraId="61D1D015" w14:textId="2D64C6CE"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emisji</w:t>
      </w:r>
      <w:r w:rsidR="00FB683A" w:rsidRPr="00BB7C9E">
        <w:rPr>
          <w:color w:val="000000" w:themeColor="text1"/>
          <w:sz w:val="18"/>
          <w:szCs w:val="18"/>
        </w:rPr>
        <w:t xml:space="preserve"> listów zastawnych w kwocie 310 </w:t>
      </w:r>
      <w:r w:rsidRPr="00BB7C9E">
        <w:rPr>
          <w:color w:val="000000" w:themeColor="text1"/>
          <w:sz w:val="18"/>
          <w:szCs w:val="18"/>
        </w:rPr>
        <w:t>000 tys. zł z polskiego programu emisji</w:t>
      </w:r>
      <w:r w:rsidR="00FE2D57">
        <w:rPr>
          <w:color w:val="000000" w:themeColor="text1"/>
          <w:sz w:val="18"/>
          <w:szCs w:val="18"/>
        </w:rPr>
        <w:t xml:space="preserve"> hipotecznych listów zastawnych,</w:t>
      </w:r>
    </w:p>
    <w:p w14:paraId="75C019F4" w14:textId="77777777" w:rsidR="00292729" w:rsidRPr="00E922F7" w:rsidRDefault="00292729" w:rsidP="00456D02">
      <w:pPr>
        <w:pStyle w:val="Akapitzlist"/>
        <w:spacing w:before="120" w:after="120"/>
        <w:ind w:left="426" w:hanging="284"/>
        <w:rPr>
          <w:color w:val="000000" w:themeColor="text1"/>
          <w:sz w:val="8"/>
          <w:szCs w:val="8"/>
        </w:rPr>
      </w:pPr>
    </w:p>
    <w:p w14:paraId="4928AE7D" w14:textId="55D567BB" w:rsidR="00292729"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emisji obligacji krótkotermin</w:t>
      </w:r>
      <w:r w:rsidR="00FB683A" w:rsidRPr="00BB7C9E">
        <w:rPr>
          <w:color w:val="000000" w:themeColor="text1"/>
          <w:sz w:val="18"/>
          <w:szCs w:val="18"/>
        </w:rPr>
        <w:t>owych o wartości nominalnej 622 </w:t>
      </w:r>
      <w:r w:rsidRPr="00BB7C9E">
        <w:rPr>
          <w:color w:val="000000" w:themeColor="text1"/>
          <w:sz w:val="18"/>
          <w:szCs w:val="18"/>
        </w:rPr>
        <w:t>000 tys. zł oraz obligacji długotermin</w:t>
      </w:r>
      <w:r w:rsidR="00FB683A" w:rsidRPr="00BB7C9E">
        <w:rPr>
          <w:color w:val="000000" w:themeColor="text1"/>
          <w:sz w:val="18"/>
          <w:szCs w:val="18"/>
        </w:rPr>
        <w:t>owych o wartości nominalnej 250 </w:t>
      </w:r>
      <w:r w:rsidRPr="00BB7C9E">
        <w:rPr>
          <w:color w:val="000000" w:themeColor="text1"/>
          <w:sz w:val="18"/>
          <w:szCs w:val="18"/>
        </w:rPr>
        <w:t>000 tys. zł</w:t>
      </w:r>
      <w:r w:rsidR="009D3FBE" w:rsidRPr="00BB7C9E">
        <w:rPr>
          <w:color w:val="000000" w:themeColor="text1"/>
          <w:sz w:val="18"/>
          <w:szCs w:val="18"/>
        </w:rPr>
        <w:t>.</w:t>
      </w:r>
    </w:p>
    <w:p w14:paraId="2F7B1A8E" w14:textId="2312ED92" w:rsidR="00A36A53" w:rsidRDefault="00A36A53" w:rsidP="00A36A53">
      <w:pPr>
        <w:pStyle w:val="Tekstpodstawowy"/>
        <w:numPr>
          <w:ilvl w:val="0"/>
          <w:numId w:val="36"/>
        </w:numPr>
        <w:spacing w:before="60" w:after="0"/>
        <w:ind w:left="284" w:hanging="284"/>
        <w:jc w:val="both"/>
        <w:rPr>
          <w:sz w:val="18"/>
          <w:szCs w:val="18"/>
        </w:rPr>
      </w:pPr>
      <w:r>
        <w:rPr>
          <w:sz w:val="18"/>
          <w:szCs w:val="18"/>
        </w:rPr>
        <w:t xml:space="preserve">W 2018 roku </w:t>
      </w:r>
      <w:r w:rsidR="00CD4D76">
        <w:rPr>
          <w:sz w:val="18"/>
          <w:szCs w:val="18"/>
        </w:rPr>
        <w:t>spółka mLeasing</w:t>
      </w:r>
      <w:r w:rsidRPr="008D6BDA">
        <w:rPr>
          <w:sz w:val="18"/>
          <w:szCs w:val="18"/>
        </w:rPr>
        <w:t xml:space="preserve"> dokonała emisji obligacji krótkoterminowych w kwocie 2</w:t>
      </w:r>
      <w:r>
        <w:rPr>
          <w:sz w:val="18"/>
          <w:szCs w:val="18"/>
        </w:rPr>
        <w:t> 657 9</w:t>
      </w:r>
      <w:r w:rsidRPr="008D6BDA">
        <w:rPr>
          <w:sz w:val="18"/>
          <w:szCs w:val="18"/>
        </w:rPr>
        <w:t>00</w:t>
      </w:r>
      <w:r>
        <w:rPr>
          <w:sz w:val="18"/>
          <w:szCs w:val="18"/>
        </w:rPr>
        <w:t> </w:t>
      </w:r>
      <w:r w:rsidRPr="008D6BDA">
        <w:rPr>
          <w:sz w:val="18"/>
          <w:szCs w:val="18"/>
        </w:rPr>
        <w:t>tys. zł</w:t>
      </w:r>
      <w:r>
        <w:rPr>
          <w:sz w:val="18"/>
          <w:szCs w:val="18"/>
        </w:rPr>
        <w:t>.</w:t>
      </w:r>
    </w:p>
    <w:p w14:paraId="76F94D04" w14:textId="59646483" w:rsidR="00A36A53" w:rsidRDefault="00A36A53">
      <w:pPr>
        <w:rPr>
          <w:color w:val="000000" w:themeColor="text1"/>
          <w:sz w:val="18"/>
          <w:szCs w:val="18"/>
        </w:rPr>
      </w:pPr>
      <w:r>
        <w:rPr>
          <w:color w:val="000000" w:themeColor="text1"/>
          <w:sz w:val="18"/>
          <w:szCs w:val="18"/>
        </w:rPr>
        <w:br w:type="page"/>
      </w:r>
    </w:p>
    <w:p w14:paraId="4A707533" w14:textId="412F7C56" w:rsidR="00292729" w:rsidRPr="00BB7C9E" w:rsidRDefault="00292729" w:rsidP="00292729">
      <w:pPr>
        <w:suppressAutoHyphens/>
        <w:spacing w:before="240" w:after="120"/>
        <w:jc w:val="both"/>
        <w:rPr>
          <w:rFonts w:cs="Tahoma"/>
          <w:b/>
          <w:color w:val="000000" w:themeColor="text1"/>
          <w:sz w:val="18"/>
          <w:szCs w:val="18"/>
          <w:lang w:eastAsia="en-US"/>
        </w:rPr>
      </w:pPr>
      <w:r w:rsidRPr="00BB7C9E">
        <w:rPr>
          <w:rFonts w:cs="Tahoma"/>
          <w:b/>
          <w:color w:val="000000" w:themeColor="text1"/>
          <w:sz w:val="18"/>
          <w:szCs w:val="18"/>
          <w:lang w:eastAsia="en-US"/>
        </w:rPr>
        <w:lastRenderedPageBreak/>
        <w:t>Wykupy w 2018 roku</w:t>
      </w:r>
    </w:p>
    <w:p w14:paraId="34E3DAA8" w14:textId="77777777" w:rsidR="0059181C" w:rsidRPr="00BB7C9E" w:rsidRDefault="0059181C" w:rsidP="00526DF1">
      <w:pPr>
        <w:pStyle w:val="Tekstpodstawowy"/>
        <w:numPr>
          <w:ilvl w:val="0"/>
          <w:numId w:val="36"/>
        </w:numPr>
        <w:spacing w:after="0"/>
        <w:ind w:left="284" w:hanging="284"/>
        <w:jc w:val="both"/>
        <w:rPr>
          <w:color w:val="000000" w:themeColor="text1"/>
          <w:sz w:val="18"/>
          <w:szCs w:val="18"/>
        </w:rPr>
      </w:pPr>
      <w:r w:rsidRPr="00BB7C9E">
        <w:rPr>
          <w:color w:val="000000" w:themeColor="text1"/>
          <w:spacing w:val="0"/>
          <w:sz w:val="18"/>
          <w:szCs w:val="18"/>
        </w:rPr>
        <w:t xml:space="preserve">W 2018 roku </w:t>
      </w:r>
      <w:r w:rsidRPr="00BB7C9E">
        <w:rPr>
          <w:rFonts w:cs="Tahoma"/>
          <w:color w:val="000000" w:themeColor="text1"/>
          <w:sz w:val="18"/>
          <w:szCs w:val="18"/>
          <w:lang w:eastAsia="en-US"/>
        </w:rPr>
        <w:t>spółka mFinance France S.A. (mFF)</w:t>
      </w:r>
      <w:r w:rsidRPr="00BB7C9E">
        <w:rPr>
          <w:color w:val="000000" w:themeColor="text1"/>
          <w:spacing w:val="0"/>
          <w:sz w:val="18"/>
          <w:szCs w:val="18"/>
        </w:rPr>
        <w:t xml:space="preserve"> dokonała wykupu:</w:t>
      </w:r>
    </w:p>
    <w:p w14:paraId="24482012" w14:textId="77777777" w:rsidR="0059181C" w:rsidRPr="00BB7C9E" w:rsidRDefault="0059181C"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obligacji o wartości nominalnej 500 000 tys. CHF wyemitowanych w dniu 8 października 2013 roku,</w:t>
      </w:r>
    </w:p>
    <w:p w14:paraId="7E031F7D" w14:textId="77777777" w:rsidR="0059181C" w:rsidRPr="00E922F7" w:rsidRDefault="0059181C" w:rsidP="00456D02">
      <w:pPr>
        <w:pStyle w:val="Akapitzlist"/>
        <w:spacing w:before="120" w:after="120"/>
        <w:ind w:left="426" w:hanging="284"/>
        <w:jc w:val="both"/>
        <w:rPr>
          <w:color w:val="000000" w:themeColor="text1"/>
          <w:sz w:val="8"/>
          <w:szCs w:val="8"/>
        </w:rPr>
      </w:pPr>
    </w:p>
    <w:p w14:paraId="58DBED27" w14:textId="77777777" w:rsidR="0059181C" w:rsidRPr="00BB7C9E" w:rsidRDefault="0059181C"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obligacji o wartości nominalnej 200 000 tys. CZK wyemitowanych w dniu 6 grudnia 2013 roku.</w:t>
      </w:r>
    </w:p>
    <w:p w14:paraId="5A89C766" w14:textId="62933D74" w:rsidR="00292729" w:rsidRPr="00BB7C9E" w:rsidRDefault="00292729" w:rsidP="00526DF1">
      <w:pPr>
        <w:pStyle w:val="Tekstpodstawowy"/>
        <w:numPr>
          <w:ilvl w:val="0"/>
          <w:numId w:val="36"/>
        </w:numPr>
        <w:spacing w:before="60" w:after="0"/>
        <w:ind w:left="284" w:hanging="284"/>
        <w:jc w:val="both"/>
        <w:rPr>
          <w:color w:val="000000" w:themeColor="text1"/>
          <w:sz w:val="18"/>
          <w:szCs w:val="18"/>
        </w:rPr>
      </w:pPr>
      <w:r w:rsidRPr="00BB7C9E">
        <w:rPr>
          <w:color w:val="000000" w:themeColor="text1"/>
          <w:spacing w:val="0"/>
          <w:sz w:val="18"/>
          <w:szCs w:val="18"/>
        </w:rPr>
        <w:t>W 2018 roku mBH dokonał następujących wykupów wyemitowanych dłużnych</w:t>
      </w:r>
      <w:r w:rsidRPr="00BB7C9E">
        <w:rPr>
          <w:color w:val="000000" w:themeColor="text1"/>
          <w:sz w:val="18"/>
          <w:szCs w:val="18"/>
        </w:rPr>
        <w:t xml:space="preserve"> papierów wartościowych:</w:t>
      </w:r>
    </w:p>
    <w:p w14:paraId="6AA8238C" w14:textId="70E69CD3"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wykupu zgodnie z warunkami emisji hipoteczny</w:t>
      </w:r>
      <w:r w:rsidR="00FB683A" w:rsidRPr="00BB7C9E">
        <w:rPr>
          <w:color w:val="000000" w:themeColor="text1"/>
          <w:sz w:val="18"/>
          <w:szCs w:val="18"/>
        </w:rPr>
        <w:t xml:space="preserve">ch listów zastawnych w kwocie </w:t>
      </w:r>
      <w:r w:rsidR="007C7818">
        <w:rPr>
          <w:color w:val="000000" w:themeColor="text1"/>
          <w:sz w:val="18"/>
          <w:szCs w:val="18"/>
        </w:rPr>
        <w:t>2</w:t>
      </w:r>
      <w:r w:rsidR="00FB683A" w:rsidRPr="00BB7C9E">
        <w:rPr>
          <w:color w:val="000000" w:themeColor="text1"/>
          <w:sz w:val="18"/>
          <w:szCs w:val="18"/>
        </w:rPr>
        <w:t>7 </w:t>
      </w:r>
      <w:r w:rsidRPr="00BB7C9E">
        <w:rPr>
          <w:color w:val="000000" w:themeColor="text1"/>
          <w:sz w:val="18"/>
          <w:szCs w:val="18"/>
        </w:rPr>
        <w:t>500 tys. EUR wyemitowanych w 2014 roku,</w:t>
      </w:r>
    </w:p>
    <w:p w14:paraId="0592837C" w14:textId="77777777" w:rsidR="00292729" w:rsidRPr="00E922F7" w:rsidRDefault="00292729" w:rsidP="00456D02">
      <w:pPr>
        <w:pStyle w:val="Akapitzlist"/>
        <w:spacing w:before="120" w:after="120"/>
        <w:ind w:left="426" w:hanging="284"/>
        <w:jc w:val="both"/>
        <w:rPr>
          <w:color w:val="000000" w:themeColor="text1"/>
          <w:sz w:val="8"/>
          <w:szCs w:val="8"/>
        </w:rPr>
      </w:pPr>
    </w:p>
    <w:p w14:paraId="7D58EEEE" w14:textId="456CFD53"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wykupu zgodnie z warunkami emisji hipotecznyc</w:t>
      </w:r>
      <w:r w:rsidR="00FB683A" w:rsidRPr="00BB7C9E">
        <w:rPr>
          <w:color w:val="000000" w:themeColor="text1"/>
          <w:sz w:val="18"/>
          <w:szCs w:val="18"/>
        </w:rPr>
        <w:t>h listów zastawnych w kwocie 50 </w:t>
      </w:r>
      <w:r w:rsidRPr="00BB7C9E">
        <w:rPr>
          <w:color w:val="000000" w:themeColor="text1"/>
          <w:sz w:val="18"/>
          <w:szCs w:val="18"/>
        </w:rPr>
        <w:t>000 tys. EUR wyemitowanych w 2013 roku,</w:t>
      </w:r>
    </w:p>
    <w:p w14:paraId="537AE5E8" w14:textId="77777777" w:rsidR="00292729" w:rsidRPr="00E922F7" w:rsidRDefault="00292729" w:rsidP="00456D02">
      <w:pPr>
        <w:pStyle w:val="Akapitzlist"/>
        <w:spacing w:before="120" w:after="120"/>
        <w:ind w:left="426" w:hanging="284"/>
        <w:rPr>
          <w:color w:val="000000" w:themeColor="text1"/>
          <w:sz w:val="8"/>
          <w:szCs w:val="8"/>
        </w:rPr>
      </w:pPr>
    </w:p>
    <w:p w14:paraId="57D326CE" w14:textId="724058AC"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wykupu zgodnie z warunkami emisji hipotecznych</w:t>
      </w:r>
      <w:r w:rsidR="00FB683A" w:rsidRPr="00BB7C9E">
        <w:rPr>
          <w:color w:val="000000" w:themeColor="text1"/>
          <w:sz w:val="18"/>
          <w:szCs w:val="18"/>
        </w:rPr>
        <w:t xml:space="preserve"> listów zastawnych w kwocie 200 </w:t>
      </w:r>
      <w:r w:rsidRPr="00BB7C9E">
        <w:rPr>
          <w:color w:val="000000" w:themeColor="text1"/>
          <w:sz w:val="18"/>
          <w:szCs w:val="18"/>
        </w:rPr>
        <w:t>000 tys. zł wyemitowanych w 2012 roku,</w:t>
      </w:r>
    </w:p>
    <w:p w14:paraId="7D86C707" w14:textId="77777777" w:rsidR="00292729" w:rsidRPr="00E922F7" w:rsidRDefault="00292729" w:rsidP="00456D02">
      <w:pPr>
        <w:pStyle w:val="Akapitzlist"/>
        <w:spacing w:before="120" w:after="120"/>
        <w:ind w:left="426" w:hanging="284"/>
        <w:rPr>
          <w:color w:val="000000" w:themeColor="text1"/>
          <w:sz w:val="8"/>
          <w:szCs w:val="8"/>
        </w:rPr>
      </w:pPr>
    </w:p>
    <w:p w14:paraId="2D1D7F42" w14:textId="0ED55661" w:rsidR="00292729" w:rsidRPr="00BB7C9E"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wykupu krótkoterminowych obligacji o wartości nominalnej 32</w:t>
      </w:r>
      <w:r w:rsidR="00FB683A" w:rsidRPr="00BB7C9E">
        <w:rPr>
          <w:color w:val="000000" w:themeColor="text1"/>
          <w:sz w:val="18"/>
          <w:szCs w:val="18"/>
        </w:rPr>
        <w:t>2 </w:t>
      </w:r>
      <w:r w:rsidRPr="00BB7C9E">
        <w:rPr>
          <w:color w:val="000000" w:themeColor="text1"/>
          <w:sz w:val="18"/>
          <w:szCs w:val="18"/>
        </w:rPr>
        <w:t>000 tys. zł wyemitowanych w 2018 roku,</w:t>
      </w:r>
    </w:p>
    <w:p w14:paraId="4DAE0D75" w14:textId="77777777" w:rsidR="00292729" w:rsidRPr="00E922F7" w:rsidRDefault="00292729" w:rsidP="00456D02">
      <w:pPr>
        <w:pStyle w:val="Akapitzlist"/>
        <w:spacing w:before="120" w:after="120"/>
        <w:ind w:left="426" w:hanging="284"/>
        <w:rPr>
          <w:color w:val="000000" w:themeColor="text1"/>
          <w:sz w:val="8"/>
          <w:szCs w:val="8"/>
        </w:rPr>
      </w:pPr>
    </w:p>
    <w:p w14:paraId="5FA7C970" w14:textId="33CF9DCC" w:rsidR="00292729" w:rsidRDefault="00292729" w:rsidP="00456D02">
      <w:pPr>
        <w:pStyle w:val="Akapitzlist"/>
        <w:numPr>
          <w:ilvl w:val="0"/>
          <w:numId w:val="64"/>
        </w:numPr>
        <w:spacing w:before="120" w:after="120"/>
        <w:ind w:left="426" w:hanging="284"/>
        <w:jc w:val="both"/>
        <w:rPr>
          <w:color w:val="000000" w:themeColor="text1"/>
          <w:sz w:val="18"/>
          <w:szCs w:val="18"/>
        </w:rPr>
      </w:pPr>
      <w:r w:rsidRPr="00BB7C9E">
        <w:rPr>
          <w:color w:val="000000" w:themeColor="text1"/>
          <w:sz w:val="18"/>
          <w:szCs w:val="18"/>
        </w:rPr>
        <w:t>wykupu krótkoterminowych obli</w:t>
      </w:r>
      <w:r w:rsidR="00FB683A" w:rsidRPr="00BB7C9E">
        <w:rPr>
          <w:color w:val="000000" w:themeColor="text1"/>
          <w:sz w:val="18"/>
          <w:szCs w:val="18"/>
        </w:rPr>
        <w:t>gacji o wartości nominalnej 500 </w:t>
      </w:r>
      <w:r w:rsidRPr="00BB7C9E">
        <w:rPr>
          <w:color w:val="000000" w:themeColor="text1"/>
          <w:sz w:val="18"/>
          <w:szCs w:val="18"/>
        </w:rPr>
        <w:t>700 tys. zł wyemitowanych w 2017 roku.</w:t>
      </w:r>
    </w:p>
    <w:p w14:paraId="3EE57746" w14:textId="196DBEE9" w:rsidR="00B925A9" w:rsidRPr="00CE2787" w:rsidRDefault="00A36A53" w:rsidP="00B925A9">
      <w:pPr>
        <w:pStyle w:val="Tekstpodstawowy"/>
        <w:numPr>
          <w:ilvl w:val="0"/>
          <w:numId w:val="36"/>
        </w:numPr>
        <w:spacing w:before="60" w:after="0"/>
        <w:ind w:left="284" w:hanging="284"/>
        <w:jc w:val="both"/>
        <w:rPr>
          <w:color w:val="000000" w:themeColor="text1"/>
          <w:spacing w:val="0"/>
          <w:sz w:val="18"/>
          <w:szCs w:val="18"/>
        </w:rPr>
      </w:pPr>
      <w:r>
        <w:rPr>
          <w:color w:val="000000" w:themeColor="text1"/>
          <w:spacing w:val="0"/>
          <w:sz w:val="18"/>
          <w:szCs w:val="18"/>
        </w:rPr>
        <w:t>W 2018</w:t>
      </w:r>
      <w:r w:rsidR="00CD4D76">
        <w:rPr>
          <w:color w:val="000000" w:themeColor="text1"/>
          <w:spacing w:val="0"/>
          <w:sz w:val="18"/>
          <w:szCs w:val="18"/>
        </w:rPr>
        <w:t xml:space="preserve"> roku spółka mLeasing</w:t>
      </w:r>
      <w:r w:rsidR="00B925A9" w:rsidRPr="00B925A9">
        <w:rPr>
          <w:color w:val="000000" w:themeColor="text1"/>
          <w:spacing w:val="0"/>
          <w:sz w:val="18"/>
          <w:szCs w:val="18"/>
        </w:rPr>
        <w:t xml:space="preserve"> dokonała </w:t>
      </w:r>
      <w:r w:rsidR="00B925A9" w:rsidRPr="00CE2787">
        <w:rPr>
          <w:color w:val="000000" w:themeColor="text1"/>
          <w:spacing w:val="0"/>
          <w:sz w:val="18"/>
          <w:szCs w:val="18"/>
        </w:rPr>
        <w:t xml:space="preserve">wykupu obligacji krótkoterminowych w kwocie </w:t>
      </w:r>
      <w:r w:rsidR="00CE2787">
        <w:rPr>
          <w:color w:val="000000" w:themeColor="text1"/>
          <w:spacing w:val="0"/>
          <w:sz w:val="18"/>
          <w:szCs w:val="18"/>
        </w:rPr>
        <w:t>2 630</w:t>
      </w:r>
      <w:r w:rsidR="00CD4D76">
        <w:rPr>
          <w:color w:val="000000" w:themeColor="text1"/>
          <w:spacing w:val="0"/>
          <w:sz w:val="18"/>
          <w:szCs w:val="18"/>
        </w:rPr>
        <w:t> </w:t>
      </w:r>
      <w:r w:rsidR="00CE2787">
        <w:rPr>
          <w:color w:val="000000" w:themeColor="text1"/>
          <w:spacing w:val="0"/>
          <w:sz w:val="18"/>
          <w:szCs w:val="18"/>
        </w:rPr>
        <w:t>300</w:t>
      </w:r>
      <w:r w:rsidR="00CD4D76">
        <w:rPr>
          <w:color w:val="000000" w:themeColor="text1"/>
          <w:spacing w:val="0"/>
          <w:sz w:val="18"/>
          <w:szCs w:val="18"/>
        </w:rPr>
        <w:t> </w:t>
      </w:r>
      <w:r>
        <w:rPr>
          <w:color w:val="000000" w:themeColor="text1"/>
          <w:spacing w:val="0"/>
          <w:sz w:val="18"/>
          <w:szCs w:val="18"/>
        </w:rPr>
        <w:t>tys.</w:t>
      </w:r>
      <w:r w:rsidR="00CD4D76">
        <w:rPr>
          <w:color w:val="000000" w:themeColor="text1"/>
          <w:spacing w:val="0"/>
          <w:sz w:val="18"/>
          <w:szCs w:val="18"/>
        </w:rPr>
        <w:t> </w:t>
      </w:r>
      <w:r>
        <w:rPr>
          <w:color w:val="000000" w:themeColor="text1"/>
          <w:spacing w:val="0"/>
          <w:sz w:val="18"/>
          <w:szCs w:val="18"/>
        </w:rPr>
        <w:t>zł</w:t>
      </w:r>
      <w:r w:rsidR="00B925A9" w:rsidRPr="00CE2787">
        <w:rPr>
          <w:color w:val="000000" w:themeColor="text1"/>
          <w:spacing w:val="0"/>
          <w:sz w:val="18"/>
          <w:szCs w:val="18"/>
        </w:rPr>
        <w:t>.</w:t>
      </w:r>
    </w:p>
    <w:p w14:paraId="70FA5DFC" w14:textId="77777777" w:rsidR="007C7818" w:rsidRPr="007C7818" w:rsidRDefault="007C7818" w:rsidP="007C7818">
      <w:pPr>
        <w:spacing w:before="120"/>
        <w:jc w:val="both"/>
        <w:rPr>
          <w:rFonts w:eastAsia="Calibri"/>
          <w:color w:val="000000" w:themeColor="text1"/>
          <w:sz w:val="18"/>
          <w:szCs w:val="18"/>
          <w:lang w:eastAsia="en-US"/>
        </w:rPr>
      </w:pPr>
      <w:r w:rsidRPr="007C7818">
        <w:rPr>
          <w:rFonts w:eastAsia="Calibri"/>
          <w:color w:val="000000" w:themeColor="text1"/>
          <w:sz w:val="18"/>
          <w:szCs w:val="18"/>
          <w:lang w:eastAsia="en-US"/>
        </w:rPr>
        <w:t>Zgodnie z ustawą o listach zastawnych i bankach hipotecznych ze środków uzyskanych z emisji listów zastawnych Bank może refinansować kredyty zabezpieczone hipoteką oraz nabyte wierzytelności innych banków z tytułu udzielonych przez nie kredytów zabezpieczonych hipoteką; refinansowanie w odniesieniu do pojedynczego kredytu lub pojedynczej wierzytelności nie może jednak przekroczyć kwoty odpowiadającej 60% bankowo-hipotecznej wartości nieruchomości, a w przypadku nieruchomości mieszkalnych 80% bankowo-hipotecznej wartości nieruchomości.</w:t>
      </w:r>
    </w:p>
    <w:p w14:paraId="4FF48CD3" w14:textId="44DC8E88" w:rsidR="007C7818" w:rsidRPr="007C7818" w:rsidRDefault="007C7818" w:rsidP="007C7818">
      <w:pPr>
        <w:spacing w:before="120"/>
        <w:jc w:val="both"/>
        <w:rPr>
          <w:rFonts w:eastAsia="Calibri"/>
          <w:color w:val="000000" w:themeColor="text1"/>
          <w:sz w:val="18"/>
          <w:szCs w:val="18"/>
          <w:lang w:eastAsia="en-US"/>
        </w:rPr>
      </w:pPr>
      <w:r w:rsidRPr="007C7818">
        <w:rPr>
          <w:rFonts w:eastAsia="Calibri"/>
          <w:color w:val="000000" w:themeColor="text1"/>
          <w:sz w:val="18"/>
          <w:szCs w:val="18"/>
          <w:lang w:eastAsia="en-US"/>
        </w:rPr>
        <w:t>Bank utrzymuje dla hipotecznych listów zastawnych utworzoną ze środków stanowiących Zabezpieczenie zastępcze, nadwyżkę w wysokości nie niższej niż łączna kwota nominalnych wartości odsetek od</w:t>
      </w:r>
      <w:r w:rsidR="002C4205">
        <w:rPr>
          <w:rFonts w:eastAsia="Calibri"/>
          <w:color w:val="000000" w:themeColor="text1"/>
          <w:sz w:val="18"/>
          <w:szCs w:val="18"/>
          <w:lang w:eastAsia="en-US"/>
        </w:rPr>
        <w:t> </w:t>
      </w:r>
      <w:r w:rsidRPr="007C7818">
        <w:rPr>
          <w:rFonts w:eastAsia="Calibri"/>
          <w:color w:val="000000" w:themeColor="text1"/>
          <w:sz w:val="18"/>
          <w:szCs w:val="18"/>
          <w:lang w:eastAsia="en-US"/>
        </w:rPr>
        <w:t>znajdujących się w obrocie hipotecznych listów zastawnych przypadających do wypłaty w okresie kolejnych 6 miesięcy (zwaną dalej „Nadwyżką”). Środki stanowiące Nadwyżkę nie mogą stanowić podstawy emisji listów zastawnych.</w:t>
      </w:r>
    </w:p>
    <w:p w14:paraId="62531176" w14:textId="21648B9A" w:rsidR="00207183" w:rsidRPr="00BB7C9E" w:rsidRDefault="007C7818" w:rsidP="007C7818">
      <w:pPr>
        <w:spacing w:before="120"/>
        <w:jc w:val="both"/>
        <w:rPr>
          <w:rFonts w:eastAsia="Calibri"/>
          <w:color w:val="000000" w:themeColor="text1"/>
          <w:sz w:val="18"/>
          <w:szCs w:val="18"/>
          <w:lang w:eastAsia="en-US"/>
        </w:rPr>
      </w:pPr>
      <w:r w:rsidRPr="007C7818">
        <w:rPr>
          <w:rFonts w:eastAsia="Calibri"/>
          <w:color w:val="000000" w:themeColor="text1"/>
          <w:sz w:val="18"/>
          <w:szCs w:val="18"/>
          <w:lang w:eastAsia="en-US"/>
        </w:rPr>
        <w:t>Suma nominalnych kwot wierzytelności mBH z tytułu kredytów zabezpieczonych hipoteką oraz Zabezpieczenia zastępczego, wpisanych do rejestru zabezpieczenia listów zastawnych, stanowiących podstawę emisji hipotecznych listów zastawnych nie może być niższa niż 110% łącznej kwoty nominalnych wartości znajdujących się w obrocie hipotecznych listów zastawnych, przy czym suma nominalnych kwot wierzytelności Banku zabezpieczonych hipoteką, stanowiących podstawę emisji hipotecznych listów zastawnych, nie może być niższa niż 85% łącznej kwoty nominalnych wartości znajdujących się w obrocie hipotecznych listów zastawnych.</w:t>
      </w:r>
    </w:p>
    <w:p w14:paraId="659FA5D9" w14:textId="7C329C4C" w:rsidR="004100E6" w:rsidRPr="00BB7C9E" w:rsidRDefault="004100E6" w:rsidP="009C43B3">
      <w:pPr>
        <w:suppressAutoHyphens/>
        <w:spacing w:before="120"/>
        <w:jc w:val="both"/>
        <w:rPr>
          <w:rFonts w:cs="Tahoma"/>
          <w:color w:val="000000" w:themeColor="text1"/>
          <w:sz w:val="18"/>
          <w:szCs w:val="18"/>
          <w:lang w:eastAsia="en-US"/>
        </w:rPr>
      </w:pPr>
      <w:r w:rsidRPr="00BB7C9E">
        <w:rPr>
          <w:rFonts w:cs="Tahoma"/>
          <w:color w:val="000000" w:themeColor="text1"/>
          <w:sz w:val="18"/>
          <w:szCs w:val="18"/>
          <w:lang w:eastAsia="en-US"/>
        </w:rPr>
        <w:t>W tabelach poniżej zostały przedstawione dane związane z emisją listów zastawnych</w:t>
      </w:r>
      <w:r w:rsidR="0035235F">
        <w:rPr>
          <w:rFonts w:cs="Tahoma"/>
          <w:color w:val="000000" w:themeColor="text1"/>
          <w:sz w:val="18"/>
          <w:szCs w:val="18"/>
          <w:lang w:eastAsia="en-US"/>
        </w:rPr>
        <w:t>.</w:t>
      </w:r>
      <w:r w:rsidRPr="00BB7C9E">
        <w:rPr>
          <w:rFonts w:cs="Tahoma"/>
          <w:color w:val="000000" w:themeColor="text1"/>
          <w:sz w:val="18"/>
          <w:szCs w:val="18"/>
          <w:lang w:eastAsia="en-US"/>
        </w:rPr>
        <w:t xml:space="preserve"> </w:t>
      </w:r>
    </w:p>
    <w:p w14:paraId="27C15DE6" w14:textId="77777777" w:rsidR="0004696D" w:rsidRPr="00BB7C9E" w:rsidRDefault="0004696D" w:rsidP="0004696D">
      <w:pPr>
        <w:suppressAutoHyphens/>
        <w:jc w:val="both"/>
        <w:rPr>
          <w:rFonts w:cs="Tahoma"/>
          <w:color w:val="000000" w:themeColor="text1"/>
          <w:sz w:val="18"/>
          <w:szCs w:val="18"/>
          <w:lang w:eastAsia="en-US"/>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D20EE7" w:rsidRPr="0004696D" w14:paraId="1409C9A3" w14:textId="77777777" w:rsidTr="00B5324C">
        <w:trPr>
          <w:trHeight w:val="284"/>
        </w:trPr>
        <w:tc>
          <w:tcPr>
            <w:tcW w:w="6747" w:type="dxa"/>
            <w:vMerge w:val="restart"/>
            <w:tcBorders>
              <w:top w:val="nil"/>
              <w:left w:val="nil"/>
              <w:right w:val="single" w:sz="8" w:space="0" w:color="FFFFFF"/>
            </w:tcBorders>
            <w:shd w:val="clear" w:color="000000" w:fill="0077BD"/>
            <w:noWrap/>
            <w:vAlign w:val="center"/>
          </w:tcPr>
          <w:p w14:paraId="7A5567CF" w14:textId="252EED70" w:rsidR="00D20EE7" w:rsidRPr="0004696D" w:rsidRDefault="00D20EE7" w:rsidP="0004696D">
            <w:pPr>
              <w:rPr>
                <w:rFonts w:cs="Calibri"/>
                <w:color w:val="99CCFF"/>
                <w:sz w:val="13"/>
                <w:szCs w:val="13"/>
              </w:rPr>
            </w:pPr>
          </w:p>
        </w:tc>
        <w:tc>
          <w:tcPr>
            <w:tcW w:w="1418" w:type="dxa"/>
            <w:tcBorders>
              <w:top w:val="nil"/>
              <w:left w:val="nil"/>
              <w:bottom w:val="single" w:sz="6" w:space="0" w:color="FFFFFF"/>
              <w:right w:val="single" w:sz="8" w:space="0" w:color="FFFFFF"/>
            </w:tcBorders>
            <w:shd w:val="clear" w:color="000000" w:fill="0077BD"/>
            <w:vAlign w:val="center"/>
            <w:hideMark/>
          </w:tcPr>
          <w:p w14:paraId="397C6BAF"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31.12.2019</w:t>
            </w:r>
          </w:p>
        </w:tc>
        <w:tc>
          <w:tcPr>
            <w:tcW w:w="1418" w:type="dxa"/>
            <w:tcBorders>
              <w:top w:val="nil"/>
              <w:left w:val="nil"/>
              <w:bottom w:val="single" w:sz="6" w:space="0" w:color="FFFFFF"/>
              <w:right w:val="nil"/>
            </w:tcBorders>
            <w:shd w:val="clear" w:color="000000" w:fill="0077BD"/>
            <w:vAlign w:val="center"/>
            <w:hideMark/>
          </w:tcPr>
          <w:p w14:paraId="753BD93C"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31.12.2018</w:t>
            </w:r>
          </w:p>
        </w:tc>
      </w:tr>
      <w:tr w:rsidR="00D20EE7" w:rsidRPr="0004696D" w14:paraId="1A4E08FB" w14:textId="77777777" w:rsidTr="00B5324C">
        <w:trPr>
          <w:trHeight w:val="397"/>
        </w:trPr>
        <w:tc>
          <w:tcPr>
            <w:tcW w:w="6747" w:type="dxa"/>
            <w:vMerge/>
            <w:tcBorders>
              <w:left w:val="nil"/>
              <w:bottom w:val="nil"/>
              <w:right w:val="single" w:sz="8" w:space="0" w:color="FFFFFF"/>
            </w:tcBorders>
            <w:shd w:val="clear" w:color="000000" w:fill="0077BD"/>
            <w:noWrap/>
            <w:vAlign w:val="center"/>
            <w:hideMark/>
          </w:tcPr>
          <w:p w14:paraId="568928FD" w14:textId="57B09AF5" w:rsidR="00D20EE7" w:rsidRPr="0004696D" w:rsidRDefault="00D20EE7" w:rsidP="0004696D">
            <w:pPr>
              <w:rPr>
                <w:rFonts w:cs="Calibri"/>
                <w:color w:val="99CCFF"/>
                <w:sz w:val="13"/>
                <w:szCs w:val="13"/>
              </w:rPr>
            </w:pPr>
          </w:p>
        </w:tc>
        <w:tc>
          <w:tcPr>
            <w:tcW w:w="1418" w:type="dxa"/>
            <w:tcBorders>
              <w:top w:val="single" w:sz="6" w:space="0" w:color="FFFFFF"/>
              <w:left w:val="nil"/>
              <w:bottom w:val="nil"/>
              <w:right w:val="single" w:sz="8" w:space="0" w:color="FFFFFF"/>
            </w:tcBorders>
            <w:shd w:val="clear" w:color="000000" w:fill="0077BD"/>
            <w:vAlign w:val="center"/>
            <w:hideMark/>
          </w:tcPr>
          <w:p w14:paraId="66F64348"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Hipoteczne listy zastawne</w:t>
            </w:r>
          </w:p>
        </w:tc>
        <w:tc>
          <w:tcPr>
            <w:tcW w:w="1418" w:type="dxa"/>
            <w:tcBorders>
              <w:top w:val="single" w:sz="6" w:space="0" w:color="FFFFFF"/>
              <w:left w:val="nil"/>
              <w:bottom w:val="nil"/>
              <w:right w:val="nil"/>
            </w:tcBorders>
            <w:shd w:val="clear" w:color="000000" w:fill="0077BD"/>
            <w:vAlign w:val="center"/>
            <w:hideMark/>
          </w:tcPr>
          <w:p w14:paraId="1080050A"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Hipoteczne listy zastawne</w:t>
            </w:r>
          </w:p>
        </w:tc>
      </w:tr>
      <w:tr w:rsidR="00AA0243" w:rsidRPr="00BB7C9E" w14:paraId="5E039C8A" w14:textId="77777777" w:rsidTr="00BD3DB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EBB4F70" w14:textId="77777777" w:rsidR="00AA0243" w:rsidRPr="00B20994" w:rsidRDefault="00AA0243" w:rsidP="00AA0243">
            <w:pPr>
              <w:rPr>
                <w:rFonts w:cs="Calibri"/>
                <w:color w:val="000000" w:themeColor="text1"/>
                <w:sz w:val="13"/>
                <w:szCs w:val="13"/>
              </w:rPr>
            </w:pPr>
            <w:r w:rsidRPr="00B20994">
              <w:rPr>
                <w:rFonts w:cs="Calibri"/>
                <w:color w:val="000000" w:themeColor="text1"/>
                <w:sz w:val="13"/>
                <w:szCs w:val="13"/>
              </w:rPr>
              <w:t>1. Wartość nominalna listów zastawnych w obrocie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2E355C1" w14:textId="7C7DDC7C" w:rsidR="00AA0243" w:rsidRPr="0011742C" w:rsidRDefault="008E40FA" w:rsidP="008E40FA">
            <w:pPr>
              <w:jc w:val="right"/>
              <w:rPr>
                <w:rFonts w:cs="Calibri"/>
                <w:color w:val="000000" w:themeColor="text1"/>
                <w:sz w:val="13"/>
                <w:szCs w:val="13"/>
              </w:rPr>
            </w:pPr>
            <w:r>
              <w:rPr>
                <w:rFonts w:cs="Calibri"/>
                <w:color w:val="000000" w:themeColor="text1"/>
                <w:sz w:val="13"/>
                <w:szCs w:val="13"/>
              </w:rPr>
              <w:t>8 2</w:t>
            </w:r>
            <w:r w:rsidR="00AA0243" w:rsidRPr="0011742C">
              <w:rPr>
                <w:rFonts w:cs="Calibri"/>
                <w:color w:val="000000" w:themeColor="text1"/>
                <w:sz w:val="13"/>
                <w:szCs w:val="13"/>
              </w:rPr>
              <w:t>25 12</w:t>
            </w:r>
            <w:r>
              <w:rPr>
                <w:rFonts w:cs="Calibri"/>
                <w:color w:val="000000" w:themeColor="text1"/>
                <w:sz w:val="13"/>
                <w:szCs w:val="13"/>
              </w:rPr>
              <w:t>9</w:t>
            </w:r>
          </w:p>
        </w:tc>
        <w:tc>
          <w:tcPr>
            <w:tcW w:w="1418" w:type="dxa"/>
            <w:tcBorders>
              <w:top w:val="nil"/>
              <w:left w:val="nil"/>
              <w:bottom w:val="single" w:sz="4" w:space="0" w:color="0077BD"/>
              <w:right w:val="nil"/>
            </w:tcBorders>
            <w:shd w:val="clear" w:color="auto" w:fill="auto"/>
            <w:noWrap/>
            <w:vAlign w:val="center"/>
            <w:hideMark/>
          </w:tcPr>
          <w:p w14:paraId="565D8D53"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7 170 670</w:t>
            </w:r>
          </w:p>
        </w:tc>
      </w:tr>
      <w:tr w:rsidR="00AA0243" w:rsidRPr="00BB7C9E" w14:paraId="4DE552E4" w14:textId="77777777" w:rsidTr="00BD3DBA">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4B994FD8" w14:textId="77777777" w:rsidR="00AA0243" w:rsidRPr="00B20994" w:rsidRDefault="00AA0243" w:rsidP="00AA0243">
            <w:pPr>
              <w:rPr>
                <w:rFonts w:cs="Calibri"/>
                <w:color w:val="000000" w:themeColor="text1"/>
                <w:sz w:val="13"/>
                <w:szCs w:val="13"/>
              </w:rPr>
            </w:pPr>
            <w:r w:rsidRPr="00B20994">
              <w:rPr>
                <w:rFonts w:cs="Calibri"/>
                <w:color w:val="000000" w:themeColor="text1"/>
                <w:sz w:val="13"/>
                <w:szCs w:val="13"/>
              </w:rPr>
              <w:t>2. Wartość nominalna wierzytelności wpisanych do rejestru zabezpieczenia listów zastawnych stanowiących podstawę emisji listów zastawnych (wartość kapitału niezapadłego)</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398F905" w14:textId="1717BBE7" w:rsidR="00AA0243" w:rsidRPr="0011742C" w:rsidRDefault="008E40FA" w:rsidP="00AA0243">
            <w:pPr>
              <w:jc w:val="right"/>
              <w:rPr>
                <w:rFonts w:cs="Calibri"/>
                <w:color w:val="000000" w:themeColor="text1"/>
                <w:sz w:val="13"/>
                <w:szCs w:val="13"/>
              </w:rPr>
            </w:pPr>
            <w:r>
              <w:rPr>
                <w:rFonts w:cs="Calibri"/>
                <w:color w:val="000000" w:themeColor="text1"/>
                <w:sz w:val="13"/>
                <w:szCs w:val="13"/>
              </w:rPr>
              <w:t>10 232</w:t>
            </w:r>
            <w:r w:rsidR="00AA0243" w:rsidRPr="0011742C">
              <w:rPr>
                <w:rFonts w:cs="Calibri"/>
                <w:color w:val="000000" w:themeColor="text1"/>
                <w:sz w:val="13"/>
                <w:szCs w:val="13"/>
              </w:rPr>
              <w:t xml:space="preserve"> 614</w:t>
            </w:r>
          </w:p>
        </w:tc>
        <w:tc>
          <w:tcPr>
            <w:tcW w:w="1418" w:type="dxa"/>
            <w:tcBorders>
              <w:top w:val="nil"/>
              <w:left w:val="nil"/>
              <w:bottom w:val="single" w:sz="4" w:space="0" w:color="0077BD"/>
              <w:right w:val="nil"/>
            </w:tcBorders>
            <w:shd w:val="clear" w:color="auto" w:fill="auto"/>
            <w:noWrap/>
            <w:vAlign w:val="center"/>
            <w:hideMark/>
          </w:tcPr>
          <w:p w14:paraId="2E960FB5"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9 349 392</w:t>
            </w:r>
          </w:p>
        </w:tc>
      </w:tr>
      <w:tr w:rsidR="00AA0243" w:rsidRPr="00BB7C9E" w14:paraId="44D84EF8" w14:textId="77777777" w:rsidTr="00BD3DBA">
        <w:trPr>
          <w:trHeight w:val="397"/>
        </w:trPr>
        <w:tc>
          <w:tcPr>
            <w:tcW w:w="6747" w:type="dxa"/>
            <w:tcBorders>
              <w:top w:val="nil"/>
              <w:left w:val="nil"/>
              <w:bottom w:val="single" w:sz="4" w:space="0" w:color="0077BD"/>
              <w:right w:val="single" w:sz="8" w:space="0" w:color="0077BD"/>
            </w:tcBorders>
            <w:shd w:val="clear" w:color="auto" w:fill="auto"/>
            <w:vAlign w:val="center"/>
            <w:hideMark/>
          </w:tcPr>
          <w:p w14:paraId="71A9E13F" w14:textId="77777777" w:rsidR="00AA0243" w:rsidRPr="00B20994" w:rsidRDefault="00AA0243" w:rsidP="00AA0243">
            <w:pPr>
              <w:rPr>
                <w:rFonts w:cs="Calibri"/>
                <w:color w:val="000000" w:themeColor="text1"/>
                <w:sz w:val="13"/>
                <w:szCs w:val="13"/>
              </w:rPr>
            </w:pPr>
            <w:r w:rsidRPr="00B20994">
              <w:rPr>
                <w:rFonts w:cs="Calibri"/>
                <w:color w:val="000000" w:themeColor="text1"/>
                <w:sz w:val="13"/>
                <w:szCs w:val="13"/>
              </w:rPr>
              <w:t>3. Środki Banku, w postaci obligacji skarbowych, wpisane do rejestru zabezpieczenia listów zastawnych, stanowiące dodatkową podstawę emisji listów zastawnych  (Zabezpieczenie zastępcze)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D3327B9" w14:textId="51902429"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118 409</w:t>
            </w:r>
          </w:p>
        </w:tc>
        <w:tc>
          <w:tcPr>
            <w:tcW w:w="1418" w:type="dxa"/>
            <w:tcBorders>
              <w:top w:val="nil"/>
              <w:left w:val="nil"/>
              <w:bottom w:val="single" w:sz="4" w:space="0" w:color="0077BD"/>
              <w:right w:val="nil"/>
            </w:tcBorders>
            <w:shd w:val="clear" w:color="auto" w:fill="auto"/>
            <w:noWrap/>
            <w:vAlign w:val="center"/>
            <w:hideMark/>
          </w:tcPr>
          <w:p w14:paraId="4E87A52B"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119 500</w:t>
            </w:r>
          </w:p>
        </w:tc>
      </w:tr>
      <w:tr w:rsidR="00AA0243" w:rsidRPr="00BB7C9E" w14:paraId="1420F12E" w14:textId="77777777" w:rsidTr="00BD3DB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95A4C99" w14:textId="77777777" w:rsidR="00AA0243" w:rsidRPr="00B20994" w:rsidRDefault="00AA0243" w:rsidP="00AA0243">
            <w:pPr>
              <w:rPr>
                <w:rFonts w:cs="Calibri"/>
                <w:color w:val="000000" w:themeColor="text1"/>
                <w:sz w:val="13"/>
                <w:szCs w:val="13"/>
              </w:rPr>
            </w:pPr>
            <w:r w:rsidRPr="00B20994">
              <w:rPr>
                <w:rFonts w:cs="Calibri"/>
                <w:color w:val="000000" w:themeColor="text1"/>
                <w:sz w:val="13"/>
                <w:szCs w:val="13"/>
              </w:rPr>
              <w:t>4. Poziom zabezpieczenia listów zastawnych wierzytelnościami (2/1)</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8394E84" w14:textId="7C27098B" w:rsidR="00AA0243" w:rsidRPr="0011742C" w:rsidRDefault="008E40FA" w:rsidP="008E40FA">
            <w:pPr>
              <w:jc w:val="right"/>
              <w:rPr>
                <w:rFonts w:cs="Calibri"/>
                <w:color w:val="000000" w:themeColor="text1"/>
                <w:sz w:val="13"/>
                <w:szCs w:val="13"/>
              </w:rPr>
            </w:pPr>
            <w:r>
              <w:rPr>
                <w:rFonts w:cs="Calibri"/>
                <w:color w:val="000000" w:themeColor="text1"/>
                <w:sz w:val="13"/>
                <w:szCs w:val="13"/>
              </w:rPr>
              <w:t>124</w:t>
            </w:r>
            <w:r w:rsidR="00AA0243" w:rsidRPr="0011742C">
              <w:rPr>
                <w:rFonts w:cs="Calibri"/>
                <w:color w:val="000000" w:themeColor="text1"/>
                <w:sz w:val="13"/>
                <w:szCs w:val="13"/>
              </w:rPr>
              <w:t>,</w:t>
            </w:r>
            <w:r>
              <w:rPr>
                <w:rFonts w:cs="Calibri"/>
                <w:color w:val="000000" w:themeColor="text1"/>
                <w:sz w:val="13"/>
                <w:szCs w:val="13"/>
              </w:rPr>
              <w:t>41</w:t>
            </w:r>
            <w:r w:rsidR="00AA0243" w:rsidRPr="0011742C">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2985FBFD"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130,38%</w:t>
            </w:r>
          </w:p>
        </w:tc>
      </w:tr>
      <w:tr w:rsidR="00AA0243" w:rsidRPr="00BB7C9E" w14:paraId="7DB412B2" w14:textId="77777777" w:rsidTr="00BD3DBA">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ED12423" w14:textId="77777777" w:rsidR="00AA0243" w:rsidRPr="00B20994" w:rsidRDefault="00AA0243" w:rsidP="00AA0243">
            <w:pPr>
              <w:rPr>
                <w:rFonts w:cs="Calibri"/>
                <w:color w:val="000000" w:themeColor="text1"/>
                <w:sz w:val="13"/>
                <w:szCs w:val="13"/>
              </w:rPr>
            </w:pPr>
            <w:r w:rsidRPr="00B20994">
              <w:rPr>
                <w:rFonts w:cs="Calibri"/>
                <w:color w:val="000000" w:themeColor="text1"/>
                <w:sz w:val="13"/>
                <w:szCs w:val="13"/>
              </w:rPr>
              <w:t>5. Łączny poziom zabezpieczenia listów zastawnych (2+3) / 1</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86435EB" w14:textId="2C486EDB" w:rsidR="00AA0243" w:rsidRPr="0011742C" w:rsidRDefault="008E40FA" w:rsidP="00AA0243">
            <w:pPr>
              <w:jc w:val="right"/>
              <w:rPr>
                <w:rFonts w:cs="Calibri"/>
                <w:color w:val="000000" w:themeColor="text1"/>
                <w:sz w:val="13"/>
                <w:szCs w:val="13"/>
              </w:rPr>
            </w:pPr>
            <w:r>
              <w:rPr>
                <w:rFonts w:cs="Calibri"/>
                <w:color w:val="000000" w:themeColor="text1"/>
                <w:sz w:val="13"/>
                <w:szCs w:val="13"/>
              </w:rPr>
              <w:t>125,85</w:t>
            </w:r>
            <w:r w:rsidR="00AA0243" w:rsidRPr="0011742C">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47756518"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132,05%</w:t>
            </w:r>
          </w:p>
        </w:tc>
      </w:tr>
      <w:tr w:rsidR="00AA0243" w:rsidRPr="00BB7C9E" w14:paraId="76FD0DB2" w14:textId="77777777" w:rsidTr="00B417A4">
        <w:trPr>
          <w:trHeight w:val="510"/>
        </w:trPr>
        <w:tc>
          <w:tcPr>
            <w:tcW w:w="6747" w:type="dxa"/>
            <w:tcBorders>
              <w:top w:val="nil"/>
              <w:left w:val="nil"/>
              <w:bottom w:val="single" w:sz="4" w:space="0" w:color="0077BD"/>
              <w:right w:val="single" w:sz="8" w:space="0" w:color="0077BD"/>
            </w:tcBorders>
            <w:shd w:val="clear" w:color="auto" w:fill="auto"/>
            <w:vAlign w:val="center"/>
            <w:hideMark/>
          </w:tcPr>
          <w:p w14:paraId="003E33B9" w14:textId="1E3F0226" w:rsidR="00AA0243" w:rsidRPr="00B20994" w:rsidRDefault="00AA0243" w:rsidP="00AA0243">
            <w:pPr>
              <w:rPr>
                <w:rFonts w:cs="Calibri"/>
                <w:color w:val="000000" w:themeColor="text1"/>
                <w:sz w:val="13"/>
                <w:szCs w:val="13"/>
              </w:rPr>
            </w:pPr>
            <w:r w:rsidRPr="00B20994">
              <w:rPr>
                <w:rFonts w:cs="Calibri"/>
                <w:color w:val="000000" w:themeColor="text1"/>
                <w:sz w:val="13"/>
                <w:szCs w:val="13"/>
              </w:rPr>
              <w:t xml:space="preserve">6. Wartość wierzytelności stanowiących zabezpieczenie emisji hipotecznych listów zastawnych </w:t>
            </w:r>
            <w:r w:rsidRPr="00B20994">
              <w:rPr>
                <w:rFonts w:cs="Calibri"/>
                <w:color w:val="000000" w:themeColor="text1"/>
                <w:sz w:val="13"/>
                <w:szCs w:val="13"/>
              </w:rPr>
              <w:br/>
              <w:t>w części nieprzekraczającej 60% wartości bankowo-hipotecznej nieruchomości w przypadku nieruchomości komercyjnych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D52F9D3" w14:textId="6F4CB4CB" w:rsidR="00AA0243" w:rsidRPr="0011742C" w:rsidRDefault="008E40FA" w:rsidP="00AA0243">
            <w:pPr>
              <w:jc w:val="right"/>
              <w:rPr>
                <w:rFonts w:cs="Calibri"/>
                <w:color w:val="000000" w:themeColor="text1"/>
                <w:sz w:val="13"/>
                <w:szCs w:val="13"/>
              </w:rPr>
            </w:pPr>
            <w:r>
              <w:rPr>
                <w:rFonts w:cs="Calibri"/>
                <w:color w:val="000000" w:themeColor="text1"/>
                <w:sz w:val="13"/>
                <w:szCs w:val="13"/>
              </w:rPr>
              <w:t>3 301 72</w:t>
            </w:r>
            <w:r w:rsidR="00AA0243" w:rsidRPr="0011742C">
              <w:rPr>
                <w:rFonts w:cs="Calibri"/>
                <w:color w:val="000000" w:themeColor="text1"/>
                <w:sz w:val="13"/>
                <w:szCs w:val="13"/>
              </w:rPr>
              <w:t>9</w:t>
            </w:r>
          </w:p>
        </w:tc>
        <w:tc>
          <w:tcPr>
            <w:tcW w:w="1418" w:type="dxa"/>
            <w:tcBorders>
              <w:top w:val="nil"/>
              <w:left w:val="nil"/>
              <w:bottom w:val="single" w:sz="4" w:space="0" w:color="0077BD"/>
              <w:right w:val="nil"/>
            </w:tcBorders>
            <w:shd w:val="clear" w:color="auto" w:fill="auto"/>
            <w:noWrap/>
            <w:vAlign w:val="center"/>
            <w:hideMark/>
          </w:tcPr>
          <w:p w14:paraId="234707A5"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3 502 082</w:t>
            </w:r>
          </w:p>
        </w:tc>
      </w:tr>
      <w:tr w:rsidR="00AA0243" w:rsidRPr="00BB7C9E" w14:paraId="0EA9EBA2" w14:textId="77777777" w:rsidTr="00B417A4">
        <w:trPr>
          <w:trHeight w:val="510"/>
        </w:trPr>
        <w:tc>
          <w:tcPr>
            <w:tcW w:w="6747" w:type="dxa"/>
            <w:tcBorders>
              <w:top w:val="single" w:sz="4" w:space="0" w:color="0077BD"/>
              <w:left w:val="nil"/>
              <w:bottom w:val="single" w:sz="6" w:space="0" w:color="0077BD"/>
              <w:right w:val="single" w:sz="8" w:space="0" w:color="0077BD"/>
            </w:tcBorders>
            <w:shd w:val="clear" w:color="auto" w:fill="auto"/>
            <w:vAlign w:val="center"/>
            <w:hideMark/>
          </w:tcPr>
          <w:p w14:paraId="65034DD0" w14:textId="7A49C786" w:rsidR="00AA0243" w:rsidRPr="00B20994" w:rsidRDefault="00AA0243" w:rsidP="00AA0243">
            <w:pPr>
              <w:rPr>
                <w:rFonts w:cs="Calibri"/>
                <w:color w:val="000000" w:themeColor="text1"/>
                <w:sz w:val="13"/>
                <w:szCs w:val="13"/>
              </w:rPr>
            </w:pPr>
            <w:r w:rsidRPr="00B20994">
              <w:rPr>
                <w:rFonts w:cs="Calibri"/>
                <w:color w:val="000000" w:themeColor="text1"/>
                <w:sz w:val="13"/>
                <w:szCs w:val="13"/>
              </w:rPr>
              <w:t xml:space="preserve">7. Wartość wierzytelności stanowiących zabezpieczenie emisji hipotecznych listów zastawnych </w:t>
            </w:r>
            <w:r w:rsidRPr="00B20994">
              <w:rPr>
                <w:rFonts w:cs="Calibri"/>
                <w:color w:val="000000" w:themeColor="text1"/>
                <w:sz w:val="13"/>
                <w:szCs w:val="13"/>
              </w:rPr>
              <w:br/>
              <w:t>w części nieprzekraczającej 80% wartości bankowo-hipotecznej nieruchomości w przypadku nieruchomości mieszkalnych</w:t>
            </w:r>
          </w:p>
        </w:tc>
        <w:tc>
          <w:tcPr>
            <w:tcW w:w="1418" w:type="dxa"/>
            <w:tcBorders>
              <w:top w:val="single" w:sz="4" w:space="0" w:color="0077BD"/>
              <w:left w:val="single" w:sz="8" w:space="0" w:color="0077BD"/>
              <w:bottom w:val="single" w:sz="6" w:space="0" w:color="0077BD"/>
              <w:right w:val="single" w:sz="8" w:space="0" w:color="0077BD"/>
            </w:tcBorders>
            <w:shd w:val="clear" w:color="auto" w:fill="auto"/>
            <w:noWrap/>
            <w:vAlign w:val="center"/>
          </w:tcPr>
          <w:p w14:paraId="4ACD10FC" w14:textId="4E6BA44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6 098 962</w:t>
            </w:r>
          </w:p>
        </w:tc>
        <w:tc>
          <w:tcPr>
            <w:tcW w:w="1418" w:type="dxa"/>
            <w:tcBorders>
              <w:top w:val="single" w:sz="4" w:space="0" w:color="0077BD"/>
              <w:left w:val="nil"/>
              <w:bottom w:val="single" w:sz="6" w:space="0" w:color="0077BD"/>
              <w:right w:val="nil"/>
            </w:tcBorders>
            <w:shd w:val="clear" w:color="auto" w:fill="auto"/>
            <w:noWrap/>
            <w:vAlign w:val="center"/>
            <w:hideMark/>
          </w:tcPr>
          <w:p w14:paraId="38116705" w14:textId="77777777" w:rsidR="00AA0243" w:rsidRPr="0011742C" w:rsidRDefault="00AA0243" w:rsidP="00AA0243">
            <w:pPr>
              <w:jc w:val="right"/>
              <w:rPr>
                <w:rFonts w:cs="Calibri"/>
                <w:color w:val="000000" w:themeColor="text1"/>
                <w:sz w:val="13"/>
                <w:szCs w:val="13"/>
              </w:rPr>
            </w:pPr>
            <w:r w:rsidRPr="0011742C">
              <w:rPr>
                <w:rFonts w:cs="Calibri"/>
                <w:color w:val="000000" w:themeColor="text1"/>
                <w:sz w:val="13"/>
                <w:szCs w:val="13"/>
              </w:rPr>
              <w:t>4 927 634</w:t>
            </w:r>
          </w:p>
        </w:tc>
      </w:tr>
    </w:tbl>
    <w:p w14:paraId="6B53C74B" w14:textId="77777777" w:rsidR="00191EF0" w:rsidRDefault="00191EF0">
      <w:pPr>
        <w:rPr>
          <w:rFonts w:cs="Tahoma"/>
          <w:sz w:val="18"/>
          <w:szCs w:val="18"/>
          <w:lang w:eastAsia="en-US"/>
        </w:rPr>
      </w:pPr>
      <w:r>
        <w:rPr>
          <w:rFonts w:cs="Tahoma"/>
          <w:sz w:val="18"/>
          <w:szCs w:val="18"/>
          <w:lang w:eastAsia="en-US"/>
        </w:rPr>
        <w:br w:type="page"/>
      </w:r>
    </w:p>
    <w:tbl>
      <w:tblPr>
        <w:tblW w:w="9639" w:type="dxa"/>
        <w:tblLayout w:type="fixed"/>
        <w:tblCellMar>
          <w:left w:w="28" w:type="dxa"/>
          <w:right w:w="28" w:type="dxa"/>
        </w:tblCellMar>
        <w:tblLook w:val="04A0" w:firstRow="1" w:lastRow="0" w:firstColumn="1" w:lastColumn="0" w:noHBand="0" w:noVBand="1"/>
      </w:tblPr>
      <w:tblGrid>
        <w:gridCol w:w="6776"/>
        <w:gridCol w:w="1432"/>
        <w:gridCol w:w="1431"/>
      </w:tblGrid>
      <w:tr w:rsidR="00D20EE7" w:rsidRPr="0004696D" w14:paraId="52E157F5" w14:textId="77777777" w:rsidTr="00191EF0">
        <w:trPr>
          <w:trHeight w:val="284"/>
        </w:trPr>
        <w:tc>
          <w:tcPr>
            <w:tcW w:w="6776" w:type="dxa"/>
            <w:vMerge w:val="restart"/>
            <w:tcBorders>
              <w:top w:val="nil"/>
              <w:left w:val="nil"/>
              <w:right w:val="single" w:sz="8" w:space="0" w:color="FFFFFF"/>
            </w:tcBorders>
            <w:shd w:val="clear" w:color="000000" w:fill="0077BD"/>
            <w:noWrap/>
            <w:vAlign w:val="center"/>
          </w:tcPr>
          <w:p w14:paraId="36E06858" w14:textId="70BDFF91" w:rsidR="00D20EE7" w:rsidRPr="0004696D" w:rsidRDefault="00D20EE7" w:rsidP="0004696D">
            <w:pPr>
              <w:rPr>
                <w:rFonts w:cs="Calibri"/>
                <w:color w:val="99CCFF"/>
                <w:sz w:val="13"/>
                <w:szCs w:val="13"/>
              </w:rPr>
            </w:pPr>
          </w:p>
        </w:tc>
        <w:tc>
          <w:tcPr>
            <w:tcW w:w="1432" w:type="dxa"/>
            <w:tcBorders>
              <w:top w:val="nil"/>
              <w:left w:val="nil"/>
              <w:bottom w:val="single" w:sz="6" w:space="0" w:color="FFFFFF"/>
              <w:right w:val="single" w:sz="8" w:space="0" w:color="FFFFFF"/>
            </w:tcBorders>
            <w:shd w:val="clear" w:color="000000" w:fill="0077BD"/>
            <w:vAlign w:val="center"/>
            <w:hideMark/>
          </w:tcPr>
          <w:p w14:paraId="5A0FC3B8"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31.12.2019</w:t>
            </w:r>
          </w:p>
        </w:tc>
        <w:tc>
          <w:tcPr>
            <w:tcW w:w="1431" w:type="dxa"/>
            <w:tcBorders>
              <w:top w:val="nil"/>
              <w:left w:val="nil"/>
              <w:bottom w:val="single" w:sz="6" w:space="0" w:color="FFFFFF"/>
              <w:right w:val="nil"/>
            </w:tcBorders>
            <w:shd w:val="clear" w:color="000000" w:fill="0077BD"/>
            <w:vAlign w:val="center"/>
            <w:hideMark/>
          </w:tcPr>
          <w:p w14:paraId="29D45C30"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31.12.2018</w:t>
            </w:r>
          </w:p>
        </w:tc>
      </w:tr>
      <w:tr w:rsidR="00D20EE7" w:rsidRPr="0004696D" w14:paraId="6324986C" w14:textId="77777777" w:rsidTr="00191EF0">
        <w:trPr>
          <w:trHeight w:val="397"/>
        </w:trPr>
        <w:tc>
          <w:tcPr>
            <w:tcW w:w="6776" w:type="dxa"/>
            <w:vMerge/>
            <w:tcBorders>
              <w:left w:val="nil"/>
              <w:bottom w:val="nil"/>
              <w:right w:val="single" w:sz="8" w:space="0" w:color="FFFFFF"/>
            </w:tcBorders>
            <w:shd w:val="clear" w:color="000000" w:fill="0077BD"/>
            <w:noWrap/>
            <w:vAlign w:val="center"/>
            <w:hideMark/>
          </w:tcPr>
          <w:p w14:paraId="29F82686" w14:textId="2139F5A7" w:rsidR="00D20EE7" w:rsidRPr="0004696D" w:rsidRDefault="00D20EE7" w:rsidP="0004696D">
            <w:pPr>
              <w:rPr>
                <w:rFonts w:cs="Calibri"/>
                <w:color w:val="99CCFF"/>
                <w:sz w:val="13"/>
                <w:szCs w:val="13"/>
              </w:rPr>
            </w:pPr>
          </w:p>
        </w:tc>
        <w:tc>
          <w:tcPr>
            <w:tcW w:w="1432" w:type="dxa"/>
            <w:tcBorders>
              <w:top w:val="single" w:sz="6" w:space="0" w:color="FFFFFF"/>
              <w:left w:val="nil"/>
              <w:bottom w:val="nil"/>
              <w:right w:val="single" w:sz="8" w:space="0" w:color="FFFFFF"/>
            </w:tcBorders>
            <w:shd w:val="clear" w:color="000000" w:fill="0077BD"/>
            <w:vAlign w:val="center"/>
            <w:hideMark/>
          </w:tcPr>
          <w:p w14:paraId="2FEAB853"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Hipoteczne listy zastawne</w:t>
            </w:r>
          </w:p>
        </w:tc>
        <w:tc>
          <w:tcPr>
            <w:tcW w:w="1431" w:type="dxa"/>
            <w:tcBorders>
              <w:top w:val="single" w:sz="6" w:space="0" w:color="FFFFFF"/>
              <w:left w:val="nil"/>
              <w:bottom w:val="nil"/>
              <w:right w:val="nil"/>
            </w:tcBorders>
            <w:shd w:val="clear" w:color="000000" w:fill="0077BD"/>
            <w:vAlign w:val="center"/>
            <w:hideMark/>
          </w:tcPr>
          <w:p w14:paraId="5AAE133B" w14:textId="77777777" w:rsidR="00D20EE7" w:rsidRPr="0004696D" w:rsidRDefault="00D20EE7" w:rsidP="0004696D">
            <w:pPr>
              <w:jc w:val="right"/>
              <w:rPr>
                <w:rFonts w:cs="Calibri"/>
                <w:b/>
                <w:bCs/>
                <w:color w:val="FFFFFF"/>
                <w:sz w:val="13"/>
                <w:szCs w:val="13"/>
              </w:rPr>
            </w:pPr>
            <w:r w:rsidRPr="0004696D">
              <w:rPr>
                <w:rFonts w:cs="Calibri"/>
                <w:b/>
                <w:bCs/>
                <w:color w:val="FFFFFF"/>
                <w:sz w:val="13"/>
                <w:szCs w:val="13"/>
              </w:rPr>
              <w:t>Hipoteczne listy zastawne</w:t>
            </w:r>
          </w:p>
        </w:tc>
      </w:tr>
      <w:tr w:rsidR="00284E5A" w:rsidRPr="00BB7C9E" w14:paraId="137A7896" w14:textId="77777777" w:rsidTr="00191EF0">
        <w:trPr>
          <w:trHeight w:val="284"/>
        </w:trPr>
        <w:tc>
          <w:tcPr>
            <w:tcW w:w="6776" w:type="dxa"/>
            <w:tcBorders>
              <w:top w:val="nil"/>
              <w:left w:val="nil"/>
              <w:bottom w:val="single" w:sz="4" w:space="0" w:color="0077BD"/>
              <w:right w:val="single" w:sz="8" w:space="0" w:color="0077BD"/>
            </w:tcBorders>
            <w:shd w:val="clear" w:color="auto" w:fill="auto"/>
            <w:vAlign w:val="center"/>
            <w:hideMark/>
          </w:tcPr>
          <w:p w14:paraId="0DF846D9" w14:textId="77777777" w:rsidR="00284E5A" w:rsidRPr="00BB7C9E" w:rsidRDefault="00284E5A" w:rsidP="00284E5A">
            <w:pPr>
              <w:rPr>
                <w:rFonts w:cs="Calibri"/>
                <w:color w:val="000000" w:themeColor="text1"/>
                <w:sz w:val="13"/>
                <w:szCs w:val="13"/>
              </w:rPr>
            </w:pPr>
            <w:r w:rsidRPr="00BB7C9E">
              <w:rPr>
                <w:rFonts w:cs="Calibri"/>
                <w:color w:val="000000" w:themeColor="text1"/>
                <w:sz w:val="13"/>
                <w:szCs w:val="13"/>
              </w:rPr>
              <w:t>1. Środki ulokowane w obligacjach skarbowych</w:t>
            </w:r>
          </w:p>
        </w:tc>
        <w:tc>
          <w:tcPr>
            <w:tcW w:w="1432" w:type="dxa"/>
            <w:tcBorders>
              <w:top w:val="nil"/>
              <w:left w:val="single" w:sz="8" w:space="0" w:color="0077BD"/>
              <w:bottom w:val="single" w:sz="4" w:space="0" w:color="0077BD"/>
              <w:right w:val="single" w:sz="8" w:space="0" w:color="0077BD"/>
            </w:tcBorders>
            <w:shd w:val="clear" w:color="auto" w:fill="auto"/>
            <w:noWrap/>
            <w:vAlign w:val="center"/>
          </w:tcPr>
          <w:p w14:paraId="08C29D9F" w14:textId="6464DD29" w:rsidR="00284E5A" w:rsidRPr="0011742C" w:rsidRDefault="00284E5A" w:rsidP="00284E5A">
            <w:pPr>
              <w:jc w:val="right"/>
              <w:rPr>
                <w:rFonts w:cs="Calibri"/>
                <w:color w:val="000000" w:themeColor="text1"/>
                <w:sz w:val="13"/>
                <w:szCs w:val="13"/>
              </w:rPr>
            </w:pPr>
            <w:r w:rsidRPr="0011742C">
              <w:rPr>
                <w:rFonts w:cs="Calibri"/>
                <w:color w:val="000000" w:themeColor="text1"/>
                <w:sz w:val="13"/>
                <w:szCs w:val="13"/>
              </w:rPr>
              <w:t>200 000</w:t>
            </w:r>
          </w:p>
        </w:tc>
        <w:tc>
          <w:tcPr>
            <w:tcW w:w="1431" w:type="dxa"/>
            <w:tcBorders>
              <w:top w:val="nil"/>
              <w:left w:val="nil"/>
              <w:bottom w:val="single" w:sz="4" w:space="0" w:color="0077BD"/>
              <w:right w:val="nil"/>
            </w:tcBorders>
            <w:shd w:val="clear" w:color="auto" w:fill="auto"/>
            <w:noWrap/>
            <w:vAlign w:val="center"/>
            <w:hideMark/>
          </w:tcPr>
          <w:p w14:paraId="2D258560" w14:textId="77777777" w:rsidR="00284E5A" w:rsidRPr="0011742C" w:rsidRDefault="00284E5A" w:rsidP="00284E5A">
            <w:pPr>
              <w:jc w:val="right"/>
              <w:rPr>
                <w:rFonts w:cs="Calibri"/>
                <w:color w:val="000000" w:themeColor="text1"/>
                <w:sz w:val="13"/>
                <w:szCs w:val="13"/>
              </w:rPr>
            </w:pPr>
            <w:r w:rsidRPr="0011742C">
              <w:rPr>
                <w:rFonts w:cs="Calibri"/>
                <w:color w:val="000000" w:themeColor="text1"/>
                <w:sz w:val="13"/>
                <w:szCs w:val="13"/>
              </w:rPr>
              <w:t>200 000</w:t>
            </w:r>
          </w:p>
        </w:tc>
      </w:tr>
      <w:tr w:rsidR="00284E5A" w:rsidRPr="00BB7C9E" w14:paraId="43996431" w14:textId="77777777" w:rsidTr="00191EF0">
        <w:trPr>
          <w:trHeight w:val="284"/>
        </w:trPr>
        <w:tc>
          <w:tcPr>
            <w:tcW w:w="6776" w:type="dxa"/>
            <w:tcBorders>
              <w:top w:val="nil"/>
              <w:left w:val="nil"/>
              <w:bottom w:val="nil"/>
              <w:right w:val="single" w:sz="8" w:space="0" w:color="0077BD"/>
            </w:tcBorders>
            <w:shd w:val="clear" w:color="auto" w:fill="auto"/>
            <w:vAlign w:val="center"/>
            <w:hideMark/>
          </w:tcPr>
          <w:p w14:paraId="5C70DB9F" w14:textId="0262F28E" w:rsidR="00284E5A" w:rsidRPr="00BB7C9E" w:rsidRDefault="00284E5A" w:rsidP="00284E5A">
            <w:pPr>
              <w:rPr>
                <w:rFonts w:cs="Calibri"/>
                <w:color w:val="000000" w:themeColor="text1"/>
                <w:sz w:val="13"/>
                <w:szCs w:val="13"/>
              </w:rPr>
            </w:pPr>
            <w:r w:rsidRPr="00BB7C9E">
              <w:rPr>
                <w:rFonts w:cs="Calibri"/>
                <w:color w:val="000000" w:themeColor="text1"/>
                <w:sz w:val="13"/>
                <w:szCs w:val="13"/>
              </w:rPr>
              <w:t>2. Odsetki od listów zastawnych w obrocie przypadające do wypłaty w okresie 6 miesięcy (Nadwyżka)</w:t>
            </w:r>
          </w:p>
        </w:tc>
        <w:tc>
          <w:tcPr>
            <w:tcW w:w="1432" w:type="dxa"/>
            <w:tcBorders>
              <w:top w:val="nil"/>
              <w:left w:val="single" w:sz="8" w:space="0" w:color="0077BD"/>
              <w:bottom w:val="nil"/>
              <w:right w:val="single" w:sz="8" w:space="0" w:color="0077BD"/>
            </w:tcBorders>
            <w:shd w:val="clear" w:color="auto" w:fill="auto"/>
            <w:noWrap/>
            <w:vAlign w:val="center"/>
          </w:tcPr>
          <w:p w14:paraId="70A64763" w14:textId="0C855141" w:rsidR="00284E5A" w:rsidRPr="0011742C" w:rsidRDefault="00284E5A" w:rsidP="00284E5A">
            <w:pPr>
              <w:jc w:val="right"/>
              <w:rPr>
                <w:rFonts w:cs="Calibri"/>
                <w:color w:val="000000" w:themeColor="text1"/>
                <w:sz w:val="13"/>
                <w:szCs w:val="13"/>
              </w:rPr>
            </w:pPr>
            <w:r w:rsidRPr="0011742C">
              <w:rPr>
                <w:rFonts w:cs="Calibri"/>
                <w:color w:val="000000" w:themeColor="text1"/>
                <w:sz w:val="13"/>
                <w:szCs w:val="13"/>
              </w:rPr>
              <w:t>81 591</w:t>
            </w:r>
          </w:p>
        </w:tc>
        <w:tc>
          <w:tcPr>
            <w:tcW w:w="1431" w:type="dxa"/>
            <w:tcBorders>
              <w:top w:val="nil"/>
              <w:left w:val="nil"/>
              <w:bottom w:val="nil"/>
              <w:right w:val="nil"/>
            </w:tcBorders>
            <w:shd w:val="clear" w:color="auto" w:fill="auto"/>
            <w:noWrap/>
            <w:vAlign w:val="center"/>
            <w:hideMark/>
          </w:tcPr>
          <w:p w14:paraId="360D9EFF" w14:textId="77777777" w:rsidR="00284E5A" w:rsidRPr="0011742C" w:rsidRDefault="00284E5A" w:rsidP="00284E5A">
            <w:pPr>
              <w:jc w:val="right"/>
              <w:rPr>
                <w:rFonts w:cs="Calibri"/>
                <w:color w:val="000000" w:themeColor="text1"/>
                <w:sz w:val="13"/>
                <w:szCs w:val="13"/>
              </w:rPr>
            </w:pPr>
            <w:r w:rsidRPr="0011742C">
              <w:rPr>
                <w:rFonts w:cs="Calibri"/>
                <w:color w:val="000000" w:themeColor="text1"/>
                <w:sz w:val="13"/>
                <w:szCs w:val="13"/>
              </w:rPr>
              <w:t>80 500</w:t>
            </w:r>
          </w:p>
        </w:tc>
      </w:tr>
      <w:tr w:rsidR="00284E5A" w:rsidRPr="00BB7C9E" w14:paraId="3A3EB823" w14:textId="77777777" w:rsidTr="00191EF0">
        <w:trPr>
          <w:trHeight w:val="284"/>
        </w:trPr>
        <w:tc>
          <w:tcPr>
            <w:tcW w:w="6776" w:type="dxa"/>
            <w:tcBorders>
              <w:top w:val="single" w:sz="8" w:space="0" w:color="0077BD"/>
              <w:left w:val="nil"/>
              <w:bottom w:val="single" w:sz="8" w:space="0" w:color="0077BD"/>
              <w:right w:val="single" w:sz="8" w:space="0" w:color="0077BD"/>
            </w:tcBorders>
            <w:shd w:val="clear" w:color="auto" w:fill="auto"/>
            <w:vAlign w:val="center"/>
            <w:hideMark/>
          </w:tcPr>
          <w:p w14:paraId="6EA5978C" w14:textId="77777777" w:rsidR="00284E5A" w:rsidRPr="00BB7C9E" w:rsidRDefault="00284E5A" w:rsidP="00284E5A">
            <w:pPr>
              <w:rPr>
                <w:rFonts w:cs="Calibri"/>
                <w:color w:val="000000" w:themeColor="text1"/>
                <w:sz w:val="13"/>
                <w:szCs w:val="13"/>
              </w:rPr>
            </w:pPr>
            <w:r w:rsidRPr="00BB7C9E">
              <w:rPr>
                <w:rFonts w:cs="Calibri"/>
                <w:color w:val="000000" w:themeColor="text1"/>
                <w:sz w:val="13"/>
                <w:szCs w:val="13"/>
              </w:rPr>
              <w:t>3. Dopuszczalna wysokość Zabezpieczenia zastępczego (1-2)</w:t>
            </w:r>
          </w:p>
        </w:tc>
        <w:tc>
          <w:tcPr>
            <w:tcW w:w="1432"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1B3B757" w14:textId="718AD88B" w:rsidR="00284E5A" w:rsidRPr="0011742C" w:rsidRDefault="00284E5A" w:rsidP="00284E5A">
            <w:pPr>
              <w:jc w:val="right"/>
              <w:rPr>
                <w:rFonts w:cs="Calibri"/>
                <w:color w:val="000000" w:themeColor="text1"/>
                <w:sz w:val="13"/>
                <w:szCs w:val="13"/>
              </w:rPr>
            </w:pPr>
            <w:r w:rsidRPr="0011742C">
              <w:rPr>
                <w:rFonts w:cs="Calibri"/>
                <w:color w:val="000000" w:themeColor="text1"/>
                <w:sz w:val="13"/>
                <w:szCs w:val="13"/>
              </w:rPr>
              <w:t>118 409</w:t>
            </w:r>
          </w:p>
        </w:tc>
        <w:tc>
          <w:tcPr>
            <w:tcW w:w="1431" w:type="dxa"/>
            <w:tcBorders>
              <w:top w:val="single" w:sz="8" w:space="0" w:color="0077BD"/>
              <w:left w:val="nil"/>
              <w:bottom w:val="single" w:sz="8" w:space="0" w:color="0077BD"/>
              <w:right w:val="nil"/>
            </w:tcBorders>
            <w:shd w:val="clear" w:color="auto" w:fill="auto"/>
            <w:noWrap/>
            <w:vAlign w:val="center"/>
            <w:hideMark/>
          </w:tcPr>
          <w:p w14:paraId="468D6A95" w14:textId="73FC6CE6" w:rsidR="00284E5A" w:rsidRPr="0011742C" w:rsidRDefault="00D462F7" w:rsidP="00D462F7">
            <w:pPr>
              <w:jc w:val="right"/>
              <w:rPr>
                <w:rFonts w:cs="Calibri"/>
                <w:color w:val="000000" w:themeColor="text1"/>
                <w:sz w:val="13"/>
                <w:szCs w:val="13"/>
              </w:rPr>
            </w:pPr>
            <w:r w:rsidRPr="0011742C">
              <w:rPr>
                <w:rFonts w:cs="Calibri"/>
                <w:color w:val="000000" w:themeColor="text1"/>
                <w:sz w:val="13"/>
                <w:szCs w:val="13"/>
              </w:rPr>
              <w:t>119</w:t>
            </w:r>
            <w:r w:rsidR="00284E5A" w:rsidRPr="0011742C">
              <w:rPr>
                <w:rFonts w:cs="Calibri"/>
                <w:color w:val="000000" w:themeColor="text1"/>
                <w:sz w:val="13"/>
                <w:szCs w:val="13"/>
              </w:rPr>
              <w:t xml:space="preserve"> </w:t>
            </w:r>
            <w:r w:rsidRPr="0011742C">
              <w:rPr>
                <w:rFonts w:cs="Calibri"/>
                <w:color w:val="000000" w:themeColor="text1"/>
                <w:sz w:val="13"/>
                <w:szCs w:val="13"/>
              </w:rPr>
              <w:t>500</w:t>
            </w:r>
          </w:p>
        </w:tc>
      </w:tr>
    </w:tbl>
    <w:p w14:paraId="20ECDC33" w14:textId="00498741" w:rsidR="00D31A3F" w:rsidRDefault="00D31A3F" w:rsidP="00191EF0">
      <w:pPr>
        <w:spacing w:before="120" w:after="120"/>
        <w:jc w:val="both"/>
        <w:rPr>
          <w:rFonts w:cs="Tahoma"/>
          <w:color w:val="000000" w:themeColor="text1"/>
          <w:sz w:val="18"/>
          <w:szCs w:val="18"/>
        </w:rPr>
      </w:pPr>
      <w:r w:rsidRPr="00BB7C9E">
        <w:rPr>
          <w:rFonts w:cs="Tahoma"/>
          <w:color w:val="000000" w:themeColor="text1"/>
          <w:sz w:val="18"/>
          <w:szCs w:val="18"/>
        </w:rPr>
        <w:t>Transakcje dotyczące obligacji Banku zaliczanych do zobowiązań podporządkow</w:t>
      </w:r>
      <w:r w:rsidR="00A54E57" w:rsidRPr="00BB7C9E">
        <w:rPr>
          <w:rFonts w:cs="Tahoma"/>
          <w:color w:val="000000" w:themeColor="text1"/>
          <w:sz w:val="18"/>
          <w:szCs w:val="18"/>
        </w:rPr>
        <w:t xml:space="preserve">anych zostały opisane </w:t>
      </w:r>
      <w:r w:rsidRPr="00BB7C9E">
        <w:rPr>
          <w:rFonts w:cs="Tahoma"/>
          <w:color w:val="000000" w:themeColor="text1"/>
          <w:sz w:val="18"/>
          <w:szCs w:val="18"/>
        </w:rPr>
        <w:t>poniżej.</w:t>
      </w:r>
    </w:p>
    <w:p w14:paraId="5386A4CB" w14:textId="77777777" w:rsidR="00052FD1" w:rsidRPr="00795EBF" w:rsidRDefault="00052FD1" w:rsidP="00795EBF">
      <w:pPr>
        <w:rPr>
          <w:b/>
          <w:color w:val="E41E0A"/>
          <w:sz w:val="18"/>
          <w:szCs w:val="18"/>
        </w:rPr>
      </w:pPr>
      <w:r w:rsidRPr="00795EBF">
        <w:rPr>
          <w:b/>
          <w:color w:val="E41E0A"/>
          <w:sz w:val="18"/>
          <w:szCs w:val="18"/>
        </w:rPr>
        <w:t>Zobowiązania podporządkowane</w:t>
      </w:r>
    </w:p>
    <w:p w14:paraId="6F6CD889" w14:textId="77777777" w:rsidR="00867F75" w:rsidRDefault="00867F75" w:rsidP="00052FD1">
      <w:pPr>
        <w:jc w:val="both"/>
        <w:rPr>
          <w:rFonts w:cs="Tahoma"/>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1985"/>
        <w:gridCol w:w="1247"/>
        <w:gridCol w:w="1247"/>
        <w:gridCol w:w="1361"/>
        <w:gridCol w:w="1247"/>
        <w:gridCol w:w="1247"/>
        <w:gridCol w:w="1247"/>
      </w:tblGrid>
      <w:tr w:rsidR="00AC6786" w:rsidRPr="00AC6786" w14:paraId="7AEDF387" w14:textId="77777777" w:rsidTr="0048129D">
        <w:trPr>
          <w:trHeight w:val="510"/>
        </w:trPr>
        <w:tc>
          <w:tcPr>
            <w:tcW w:w="1985" w:type="dxa"/>
            <w:tcBorders>
              <w:top w:val="nil"/>
              <w:left w:val="single" w:sz="4" w:space="0" w:color="FFFFFF"/>
              <w:bottom w:val="nil"/>
              <w:right w:val="single" w:sz="8" w:space="0" w:color="FFFFFF"/>
            </w:tcBorders>
            <w:shd w:val="clear" w:color="000000" w:fill="0077BD"/>
            <w:vAlign w:val="center"/>
            <w:hideMark/>
          </w:tcPr>
          <w:p w14:paraId="6641B39C" w14:textId="4FEB8F85" w:rsidR="00AC6786" w:rsidRPr="00AC6786" w:rsidRDefault="00947C42" w:rsidP="009B4632">
            <w:pPr>
              <w:rPr>
                <w:rFonts w:cs="Calibri"/>
                <w:b/>
                <w:bCs/>
                <w:color w:val="FFFFFF"/>
                <w:sz w:val="12"/>
                <w:szCs w:val="12"/>
              </w:rPr>
            </w:pPr>
            <w:r>
              <w:rPr>
                <w:rFonts w:cs="Calibri"/>
                <w:b/>
                <w:bCs/>
                <w:color w:val="FFFFFF"/>
                <w:sz w:val="12"/>
                <w:szCs w:val="12"/>
              </w:rPr>
              <w:t>31.12.2019</w:t>
            </w:r>
          </w:p>
        </w:tc>
        <w:tc>
          <w:tcPr>
            <w:tcW w:w="1247" w:type="dxa"/>
            <w:tcBorders>
              <w:top w:val="nil"/>
              <w:left w:val="nil"/>
              <w:bottom w:val="nil"/>
              <w:right w:val="single" w:sz="8" w:space="0" w:color="FFFFFF"/>
            </w:tcBorders>
            <w:shd w:val="clear" w:color="000000" w:fill="0077BD"/>
            <w:vAlign w:val="center"/>
            <w:hideMark/>
          </w:tcPr>
          <w:p w14:paraId="01944616" w14:textId="77777777" w:rsidR="00AC6786" w:rsidRPr="00AC6786" w:rsidRDefault="00AC6786" w:rsidP="00AF41FE">
            <w:pPr>
              <w:jc w:val="center"/>
              <w:rPr>
                <w:rFonts w:cs="Calibri"/>
                <w:b/>
                <w:bCs/>
                <w:color w:val="FFFFFF"/>
                <w:sz w:val="12"/>
                <w:szCs w:val="12"/>
              </w:rPr>
            </w:pPr>
            <w:r w:rsidRPr="00AC6786">
              <w:rPr>
                <w:rFonts w:cs="Calibri"/>
                <w:b/>
                <w:bCs/>
                <w:color w:val="FFFFFF"/>
                <w:sz w:val="12"/>
                <w:szCs w:val="12"/>
              </w:rPr>
              <w:t xml:space="preserve">Wartość nominalna </w:t>
            </w:r>
          </w:p>
        </w:tc>
        <w:tc>
          <w:tcPr>
            <w:tcW w:w="1247" w:type="dxa"/>
            <w:tcBorders>
              <w:top w:val="nil"/>
              <w:left w:val="nil"/>
              <w:bottom w:val="nil"/>
              <w:right w:val="single" w:sz="8" w:space="0" w:color="FFFFFF"/>
            </w:tcBorders>
            <w:shd w:val="clear" w:color="000000" w:fill="0077BD"/>
            <w:vAlign w:val="center"/>
            <w:hideMark/>
          </w:tcPr>
          <w:p w14:paraId="30516860" w14:textId="77777777" w:rsidR="00AC6786" w:rsidRPr="00AC6786" w:rsidRDefault="00AC6786" w:rsidP="00AF41FE">
            <w:pPr>
              <w:jc w:val="center"/>
              <w:rPr>
                <w:rFonts w:cs="Calibri"/>
                <w:b/>
                <w:bCs/>
                <w:color w:val="FFFFFF"/>
                <w:sz w:val="12"/>
                <w:szCs w:val="12"/>
              </w:rPr>
            </w:pPr>
            <w:r w:rsidRPr="00AC6786">
              <w:rPr>
                <w:rFonts w:cs="Calibri"/>
                <w:b/>
                <w:bCs/>
                <w:color w:val="FFFFFF"/>
                <w:sz w:val="12"/>
                <w:szCs w:val="12"/>
              </w:rPr>
              <w:t xml:space="preserve">Waluta </w:t>
            </w:r>
          </w:p>
        </w:tc>
        <w:tc>
          <w:tcPr>
            <w:tcW w:w="1361" w:type="dxa"/>
            <w:tcBorders>
              <w:top w:val="nil"/>
              <w:left w:val="nil"/>
              <w:bottom w:val="nil"/>
              <w:right w:val="single" w:sz="8" w:space="0" w:color="FFFFFF"/>
            </w:tcBorders>
            <w:shd w:val="clear" w:color="000000" w:fill="0077BD"/>
            <w:vAlign w:val="center"/>
            <w:hideMark/>
          </w:tcPr>
          <w:p w14:paraId="3E1DEF10" w14:textId="77777777" w:rsidR="00AC6786" w:rsidRPr="00AC6786" w:rsidRDefault="00AC6786" w:rsidP="00AF41FE">
            <w:pPr>
              <w:jc w:val="center"/>
              <w:rPr>
                <w:rFonts w:cs="Calibri"/>
                <w:b/>
                <w:bCs/>
                <w:color w:val="FFFFFF"/>
                <w:sz w:val="12"/>
                <w:szCs w:val="12"/>
              </w:rPr>
            </w:pPr>
            <w:r w:rsidRPr="00AC6786">
              <w:rPr>
                <w:rFonts w:cs="Calibri"/>
                <w:b/>
                <w:bCs/>
                <w:color w:val="FFFFFF"/>
                <w:sz w:val="12"/>
                <w:szCs w:val="12"/>
              </w:rPr>
              <w:t>Warunki oprocentowania (%)</w:t>
            </w:r>
          </w:p>
        </w:tc>
        <w:tc>
          <w:tcPr>
            <w:tcW w:w="1247" w:type="dxa"/>
            <w:tcBorders>
              <w:top w:val="nil"/>
              <w:left w:val="nil"/>
              <w:bottom w:val="nil"/>
              <w:right w:val="single" w:sz="8" w:space="0" w:color="FFFFFF"/>
            </w:tcBorders>
            <w:shd w:val="clear" w:color="000000" w:fill="0077BD"/>
            <w:vAlign w:val="center"/>
            <w:hideMark/>
          </w:tcPr>
          <w:p w14:paraId="1D690308" w14:textId="77777777" w:rsidR="00AC6786" w:rsidRPr="00AC6786" w:rsidRDefault="00AC6786" w:rsidP="00AF41FE">
            <w:pPr>
              <w:jc w:val="center"/>
              <w:rPr>
                <w:rFonts w:cs="Calibri"/>
                <w:b/>
                <w:bCs/>
                <w:color w:val="FFFFFF"/>
                <w:sz w:val="12"/>
                <w:szCs w:val="12"/>
              </w:rPr>
            </w:pPr>
            <w:r w:rsidRPr="00AC6786">
              <w:rPr>
                <w:rFonts w:cs="Calibri"/>
                <w:b/>
                <w:bCs/>
                <w:color w:val="FFFFFF"/>
                <w:sz w:val="12"/>
                <w:szCs w:val="12"/>
              </w:rPr>
              <w:t>Efektywne oprocentowanie</w:t>
            </w:r>
            <w:r w:rsidRPr="00AC6786">
              <w:rPr>
                <w:rFonts w:cs="Calibri"/>
                <w:b/>
                <w:bCs/>
                <w:color w:val="FFFFFF"/>
                <w:sz w:val="12"/>
                <w:szCs w:val="12"/>
              </w:rPr>
              <w:br/>
              <w:t>(%)</w:t>
            </w:r>
          </w:p>
        </w:tc>
        <w:tc>
          <w:tcPr>
            <w:tcW w:w="1247" w:type="dxa"/>
            <w:tcBorders>
              <w:top w:val="nil"/>
              <w:left w:val="nil"/>
              <w:bottom w:val="nil"/>
              <w:right w:val="single" w:sz="8" w:space="0" w:color="FFFFFF"/>
            </w:tcBorders>
            <w:shd w:val="clear" w:color="000000" w:fill="0077BD"/>
            <w:vAlign w:val="center"/>
            <w:hideMark/>
          </w:tcPr>
          <w:p w14:paraId="60A60D57" w14:textId="77777777" w:rsidR="00AC6786" w:rsidRPr="00AC6786" w:rsidRDefault="00AC6786" w:rsidP="00AF41FE">
            <w:pPr>
              <w:jc w:val="center"/>
              <w:rPr>
                <w:rFonts w:cs="Calibri"/>
                <w:b/>
                <w:bCs/>
                <w:color w:val="FFFFFF"/>
                <w:sz w:val="12"/>
                <w:szCs w:val="12"/>
              </w:rPr>
            </w:pPr>
            <w:r w:rsidRPr="00AC6786">
              <w:rPr>
                <w:rFonts w:cs="Calibri"/>
                <w:b/>
                <w:bCs/>
                <w:color w:val="FFFFFF"/>
                <w:sz w:val="12"/>
                <w:szCs w:val="12"/>
              </w:rPr>
              <w:t>Termin wymagalności/ wykupu</w:t>
            </w:r>
          </w:p>
        </w:tc>
        <w:tc>
          <w:tcPr>
            <w:tcW w:w="1247" w:type="dxa"/>
            <w:tcBorders>
              <w:top w:val="nil"/>
              <w:left w:val="nil"/>
              <w:bottom w:val="nil"/>
              <w:right w:val="nil"/>
            </w:tcBorders>
            <w:shd w:val="clear" w:color="000000" w:fill="0077BD"/>
            <w:vAlign w:val="center"/>
            <w:hideMark/>
          </w:tcPr>
          <w:p w14:paraId="5D5AAEBA" w14:textId="0542A49F" w:rsidR="00AC6786" w:rsidRPr="00AC6786" w:rsidRDefault="00CC6146" w:rsidP="00AF41FE">
            <w:pPr>
              <w:jc w:val="center"/>
              <w:rPr>
                <w:rFonts w:cs="Calibri"/>
                <w:b/>
                <w:bCs/>
                <w:color w:val="FFFFFF"/>
                <w:sz w:val="12"/>
                <w:szCs w:val="12"/>
              </w:rPr>
            </w:pPr>
            <w:r>
              <w:rPr>
                <w:rFonts w:cs="Calibri"/>
                <w:b/>
                <w:bCs/>
                <w:color w:val="FFFFFF"/>
                <w:sz w:val="12"/>
                <w:szCs w:val="12"/>
              </w:rPr>
              <w:t>Stan zobowiązania</w:t>
            </w:r>
          </w:p>
        </w:tc>
      </w:tr>
      <w:tr w:rsidR="000D1F0F" w:rsidRPr="00BB7C9E" w14:paraId="142CD880" w14:textId="77777777" w:rsidTr="0011742C">
        <w:trPr>
          <w:trHeight w:val="284"/>
        </w:trPr>
        <w:tc>
          <w:tcPr>
            <w:tcW w:w="1985" w:type="dxa"/>
            <w:tcBorders>
              <w:top w:val="single" w:sz="8" w:space="0" w:color="0077BD"/>
              <w:left w:val="nil"/>
              <w:bottom w:val="single" w:sz="4" w:space="0" w:color="0077BD"/>
              <w:right w:val="single" w:sz="8" w:space="0" w:color="0077BD"/>
            </w:tcBorders>
            <w:shd w:val="clear" w:color="auto" w:fill="auto"/>
            <w:vAlign w:val="center"/>
            <w:hideMark/>
          </w:tcPr>
          <w:p w14:paraId="32FE2E04"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 Commerzbank AG</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5C382D0A"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250 000</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7224AD73" w14:textId="77777777" w:rsidR="00AC6786" w:rsidRPr="003A0CE0" w:rsidRDefault="00AC6786" w:rsidP="00AF41FE">
            <w:pPr>
              <w:jc w:val="center"/>
              <w:rPr>
                <w:rFonts w:cs="Calibri"/>
                <w:color w:val="000000" w:themeColor="text1"/>
                <w:sz w:val="12"/>
                <w:szCs w:val="12"/>
              </w:rPr>
            </w:pPr>
            <w:r w:rsidRPr="003A0CE0">
              <w:rPr>
                <w:rFonts w:cs="Calibri"/>
                <w:color w:val="000000" w:themeColor="text1"/>
                <w:sz w:val="12"/>
                <w:szCs w:val="12"/>
              </w:rPr>
              <w:t>CHF</w:t>
            </w:r>
          </w:p>
        </w:tc>
        <w:tc>
          <w:tcPr>
            <w:tcW w:w="1361" w:type="dxa"/>
            <w:tcBorders>
              <w:top w:val="single" w:sz="8" w:space="0" w:color="0077BD"/>
              <w:left w:val="nil"/>
              <w:bottom w:val="single" w:sz="4" w:space="0" w:color="0077BD"/>
              <w:right w:val="single" w:sz="8" w:space="0" w:color="0077BD"/>
            </w:tcBorders>
            <w:shd w:val="clear" w:color="auto" w:fill="auto"/>
            <w:noWrap/>
            <w:vAlign w:val="center"/>
            <w:hideMark/>
          </w:tcPr>
          <w:p w14:paraId="041F064C" w14:textId="36D2C6ED" w:rsidR="00AC6786" w:rsidRPr="003A0CE0" w:rsidRDefault="00AC6786" w:rsidP="00AF41FE">
            <w:pPr>
              <w:rPr>
                <w:rFonts w:cs="Calibri"/>
                <w:color w:val="000000" w:themeColor="text1"/>
                <w:sz w:val="12"/>
                <w:szCs w:val="12"/>
              </w:rPr>
            </w:pPr>
            <w:r w:rsidRPr="003A0CE0">
              <w:rPr>
                <w:rFonts w:cs="Calibri"/>
                <w:color w:val="000000" w:themeColor="text1"/>
                <w:sz w:val="12"/>
                <w:szCs w:val="12"/>
              </w:rPr>
              <w:t>3M LIBOR + 2,75</w:t>
            </w:r>
            <w:r w:rsidR="00B20994">
              <w:rPr>
                <w:rFonts w:cs="Calibri"/>
                <w:color w:val="000000" w:themeColor="text1"/>
                <w:sz w:val="12"/>
                <w:szCs w:val="12"/>
              </w:rPr>
              <w:t>%</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35414C47" w14:textId="666EE991" w:rsidR="00AC6786" w:rsidRPr="003A0CE0" w:rsidRDefault="00AC6786" w:rsidP="001B0E40">
            <w:pPr>
              <w:jc w:val="right"/>
              <w:rPr>
                <w:rFonts w:cs="Calibri"/>
                <w:color w:val="000000" w:themeColor="text1"/>
                <w:sz w:val="12"/>
                <w:szCs w:val="12"/>
              </w:rPr>
            </w:pPr>
            <w:r w:rsidRPr="003A0CE0">
              <w:rPr>
                <w:rFonts w:cs="Calibri"/>
                <w:color w:val="000000" w:themeColor="text1"/>
                <w:sz w:val="12"/>
                <w:szCs w:val="12"/>
              </w:rPr>
              <w:t>2,0</w:t>
            </w:r>
            <w:r w:rsidR="001B0E40" w:rsidRPr="003A0CE0">
              <w:rPr>
                <w:rFonts w:cs="Calibri"/>
                <w:color w:val="000000" w:themeColor="text1"/>
                <w:sz w:val="12"/>
                <w:szCs w:val="12"/>
              </w:rPr>
              <w:t>2</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25182240"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21.03.2028</w:t>
            </w:r>
          </w:p>
        </w:tc>
        <w:tc>
          <w:tcPr>
            <w:tcW w:w="1247" w:type="dxa"/>
            <w:tcBorders>
              <w:top w:val="single" w:sz="8" w:space="0" w:color="0077BD"/>
              <w:left w:val="nil"/>
              <w:bottom w:val="single" w:sz="4" w:space="0" w:color="0077BD"/>
              <w:right w:val="nil"/>
            </w:tcBorders>
            <w:shd w:val="clear" w:color="auto" w:fill="auto"/>
            <w:noWrap/>
            <w:vAlign w:val="center"/>
          </w:tcPr>
          <w:p w14:paraId="29E6BEA7" w14:textId="15672B7D" w:rsidR="00AC6786" w:rsidRPr="003A0CE0" w:rsidRDefault="00951F1D" w:rsidP="00AF41FE">
            <w:pPr>
              <w:jc w:val="right"/>
              <w:rPr>
                <w:rFonts w:cs="Calibri"/>
                <w:color w:val="000000" w:themeColor="text1"/>
                <w:sz w:val="12"/>
                <w:szCs w:val="12"/>
              </w:rPr>
            </w:pPr>
            <w:r w:rsidRPr="003A0CE0">
              <w:rPr>
                <w:rFonts w:cs="Calibri"/>
                <w:color w:val="000000" w:themeColor="text1"/>
                <w:sz w:val="12"/>
                <w:szCs w:val="12"/>
              </w:rPr>
              <w:t>980 771</w:t>
            </w:r>
          </w:p>
        </w:tc>
      </w:tr>
      <w:tr w:rsidR="000D1F0F" w:rsidRPr="00BB7C9E" w14:paraId="161B8FFE" w14:textId="77777777" w:rsidTr="0011742C">
        <w:trPr>
          <w:trHeight w:val="340"/>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177A5316"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4AD22964"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550 000</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7B8AB638" w14:textId="77777777" w:rsidR="00AC6786" w:rsidRPr="003A0CE0" w:rsidRDefault="00AC6786" w:rsidP="00AF41FE">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4" w:space="0" w:color="0077BD"/>
              <w:right w:val="single" w:sz="8" w:space="0" w:color="0077BD"/>
            </w:tcBorders>
            <w:shd w:val="clear" w:color="auto" w:fill="auto"/>
            <w:noWrap/>
            <w:vAlign w:val="center"/>
            <w:hideMark/>
          </w:tcPr>
          <w:p w14:paraId="137D7AD5"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6M WIBOR + 1,8%</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4FDDF3DA" w14:textId="206A2A0C" w:rsidR="00AC6786" w:rsidRPr="003A0CE0" w:rsidRDefault="00AC6786" w:rsidP="00E5312B">
            <w:pPr>
              <w:jc w:val="right"/>
              <w:rPr>
                <w:rFonts w:cs="Calibri"/>
                <w:color w:val="000000" w:themeColor="text1"/>
                <w:sz w:val="12"/>
                <w:szCs w:val="12"/>
              </w:rPr>
            </w:pPr>
            <w:r w:rsidRPr="003A0CE0">
              <w:rPr>
                <w:rFonts w:cs="Calibri"/>
                <w:color w:val="000000" w:themeColor="text1"/>
                <w:sz w:val="12"/>
                <w:szCs w:val="12"/>
              </w:rPr>
              <w:t>3,59</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10E0CE10"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 xml:space="preserve">10.10.2028 </w:t>
            </w:r>
            <w:r w:rsidRPr="003A0CE0">
              <w:rPr>
                <w:rFonts w:cs="Calibri"/>
                <w:color w:val="000000" w:themeColor="text1"/>
                <w:sz w:val="12"/>
                <w:szCs w:val="12"/>
                <w:vertAlign w:val="superscript"/>
              </w:rPr>
              <w:t>1)</w:t>
            </w:r>
          </w:p>
        </w:tc>
        <w:tc>
          <w:tcPr>
            <w:tcW w:w="1247" w:type="dxa"/>
            <w:tcBorders>
              <w:top w:val="single" w:sz="4" w:space="0" w:color="0077BD"/>
              <w:left w:val="nil"/>
              <w:bottom w:val="single" w:sz="4" w:space="0" w:color="0077BD"/>
              <w:right w:val="nil"/>
            </w:tcBorders>
            <w:shd w:val="clear" w:color="auto" w:fill="auto"/>
            <w:noWrap/>
            <w:vAlign w:val="center"/>
          </w:tcPr>
          <w:p w14:paraId="1B4DE374" w14:textId="24C35263" w:rsidR="00AC6786" w:rsidRPr="003A0CE0" w:rsidRDefault="00951F1D" w:rsidP="00AF41FE">
            <w:pPr>
              <w:jc w:val="right"/>
              <w:rPr>
                <w:rFonts w:cs="Calibri"/>
                <w:color w:val="000000" w:themeColor="text1"/>
                <w:sz w:val="12"/>
                <w:szCs w:val="12"/>
              </w:rPr>
            </w:pPr>
            <w:r w:rsidRPr="003A0CE0">
              <w:rPr>
                <w:rFonts w:cs="Calibri"/>
                <w:color w:val="000000" w:themeColor="text1"/>
                <w:sz w:val="12"/>
                <w:szCs w:val="12"/>
              </w:rPr>
              <w:t>554 418</w:t>
            </w:r>
          </w:p>
        </w:tc>
      </w:tr>
      <w:tr w:rsidR="000D1F0F" w:rsidRPr="00BB7C9E" w14:paraId="614BA86F" w14:textId="77777777" w:rsidTr="0011742C">
        <w:trPr>
          <w:trHeight w:val="340"/>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3A6FB540"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6A893802"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200 000</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2D3683D0" w14:textId="77777777" w:rsidR="00AC6786" w:rsidRPr="003A0CE0" w:rsidRDefault="00AC6786" w:rsidP="00AF41FE">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4" w:space="0" w:color="0077BD"/>
              <w:right w:val="single" w:sz="8" w:space="0" w:color="0077BD"/>
            </w:tcBorders>
            <w:shd w:val="clear" w:color="auto" w:fill="auto"/>
            <w:noWrap/>
            <w:vAlign w:val="center"/>
            <w:hideMark/>
          </w:tcPr>
          <w:p w14:paraId="1F6B894C"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6M WIBOR + 1,95%</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7B7EEE11" w14:textId="16667CE2" w:rsidR="00AC6786" w:rsidRPr="003A0CE0" w:rsidRDefault="00AC6786" w:rsidP="00E5312B">
            <w:pPr>
              <w:jc w:val="right"/>
              <w:rPr>
                <w:rFonts w:cs="Calibri"/>
                <w:color w:val="000000" w:themeColor="text1"/>
                <w:sz w:val="12"/>
                <w:szCs w:val="12"/>
              </w:rPr>
            </w:pPr>
            <w:r w:rsidRPr="003A0CE0">
              <w:rPr>
                <w:rFonts w:cs="Calibri"/>
                <w:color w:val="000000" w:themeColor="text1"/>
                <w:sz w:val="12"/>
                <w:szCs w:val="12"/>
              </w:rPr>
              <w:t>3,74</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4F7FEAA0"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 xml:space="preserve">10.10.2030 </w:t>
            </w:r>
            <w:r w:rsidRPr="003A0CE0">
              <w:rPr>
                <w:rFonts w:cs="Calibri"/>
                <w:color w:val="000000" w:themeColor="text1"/>
                <w:sz w:val="12"/>
                <w:szCs w:val="12"/>
                <w:vertAlign w:val="superscript"/>
              </w:rPr>
              <w:t>1)</w:t>
            </w:r>
          </w:p>
        </w:tc>
        <w:tc>
          <w:tcPr>
            <w:tcW w:w="1247" w:type="dxa"/>
            <w:tcBorders>
              <w:top w:val="single" w:sz="4" w:space="0" w:color="0077BD"/>
              <w:left w:val="nil"/>
              <w:bottom w:val="single" w:sz="4" w:space="0" w:color="0077BD"/>
              <w:right w:val="nil"/>
            </w:tcBorders>
            <w:shd w:val="clear" w:color="auto" w:fill="auto"/>
            <w:noWrap/>
            <w:vAlign w:val="center"/>
          </w:tcPr>
          <w:p w14:paraId="7958DE0E" w14:textId="01A28405" w:rsidR="00AC6786" w:rsidRPr="003A0CE0" w:rsidRDefault="00951F1D" w:rsidP="00AF41FE">
            <w:pPr>
              <w:jc w:val="right"/>
              <w:rPr>
                <w:rFonts w:cs="Calibri"/>
                <w:color w:val="000000" w:themeColor="text1"/>
                <w:sz w:val="12"/>
                <w:szCs w:val="12"/>
              </w:rPr>
            </w:pPr>
            <w:r w:rsidRPr="003A0CE0">
              <w:rPr>
                <w:rFonts w:cs="Calibri"/>
                <w:color w:val="000000" w:themeColor="text1"/>
                <w:sz w:val="12"/>
                <w:szCs w:val="12"/>
              </w:rPr>
              <w:t>201 674</w:t>
            </w:r>
          </w:p>
        </w:tc>
      </w:tr>
      <w:tr w:rsidR="000D1F0F" w:rsidRPr="00BB7C9E" w14:paraId="182D3B1F" w14:textId="77777777" w:rsidTr="0011742C">
        <w:trPr>
          <w:trHeight w:val="340"/>
        </w:trPr>
        <w:tc>
          <w:tcPr>
            <w:tcW w:w="1985" w:type="dxa"/>
            <w:tcBorders>
              <w:top w:val="single" w:sz="4" w:space="0" w:color="0077BD"/>
              <w:left w:val="nil"/>
              <w:bottom w:val="single" w:sz="8" w:space="0" w:color="0077BD"/>
              <w:right w:val="single" w:sz="8" w:space="0" w:color="0077BD"/>
            </w:tcBorders>
            <w:shd w:val="clear" w:color="auto" w:fill="auto"/>
            <w:vAlign w:val="center"/>
            <w:hideMark/>
          </w:tcPr>
          <w:p w14:paraId="2E899326"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6EDEF710"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750 000</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7AB90DFB" w14:textId="77777777" w:rsidR="00AC6786" w:rsidRPr="003A0CE0" w:rsidRDefault="00AC6786" w:rsidP="00AF41FE">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8" w:space="0" w:color="0077BD"/>
              <w:right w:val="single" w:sz="8" w:space="0" w:color="0077BD"/>
            </w:tcBorders>
            <w:shd w:val="clear" w:color="auto" w:fill="auto"/>
            <w:noWrap/>
            <w:vAlign w:val="center"/>
            <w:hideMark/>
          </w:tcPr>
          <w:p w14:paraId="285A490D" w14:textId="77777777" w:rsidR="00AC6786" w:rsidRPr="003A0CE0" w:rsidRDefault="00AC6786" w:rsidP="00AF41FE">
            <w:pPr>
              <w:rPr>
                <w:rFonts w:cs="Calibri"/>
                <w:color w:val="000000" w:themeColor="text1"/>
                <w:sz w:val="12"/>
                <w:szCs w:val="12"/>
              </w:rPr>
            </w:pPr>
            <w:r w:rsidRPr="003A0CE0">
              <w:rPr>
                <w:rFonts w:cs="Calibri"/>
                <w:color w:val="000000" w:themeColor="text1"/>
                <w:sz w:val="12"/>
                <w:szCs w:val="12"/>
              </w:rPr>
              <w:t>6M WIBOR + 2,1%</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2AB13CBC" w14:textId="46D2CABC" w:rsidR="00AC6786" w:rsidRPr="003A0CE0" w:rsidRDefault="00AC6786" w:rsidP="003B16F1">
            <w:pPr>
              <w:jc w:val="right"/>
              <w:rPr>
                <w:rFonts w:cs="Calibri"/>
                <w:color w:val="000000" w:themeColor="text1"/>
                <w:sz w:val="12"/>
                <w:szCs w:val="12"/>
              </w:rPr>
            </w:pPr>
            <w:r w:rsidRPr="003A0CE0">
              <w:rPr>
                <w:rFonts w:cs="Calibri"/>
                <w:color w:val="000000" w:themeColor="text1"/>
                <w:sz w:val="12"/>
                <w:szCs w:val="12"/>
              </w:rPr>
              <w:t>3,</w:t>
            </w:r>
            <w:r w:rsidR="003B16F1" w:rsidRPr="003A0CE0">
              <w:rPr>
                <w:rFonts w:cs="Calibri"/>
                <w:color w:val="000000" w:themeColor="text1"/>
                <w:sz w:val="12"/>
                <w:szCs w:val="12"/>
              </w:rPr>
              <w:t>89</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6C73B6EF" w14:textId="77777777" w:rsidR="00AC6786" w:rsidRPr="003A0CE0" w:rsidRDefault="00AC6786" w:rsidP="00AF41FE">
            <w:pPr>
              <w:jc w:val="right"/>
              <w:rPr>
                <w:rFonts w:cs="Calibri"/>
                <w:color w:val="000000" w:themeColor="text1"/>
                <w:sz w:val="12"/>
                <w:szCs w:val="12"/>
              </w:rPr>
            </w:pPr>
            <w:r w:rsidRPr="003A0CE0">
              <w:rPr>
                <w:rFonts w:cs="Calibri"/>
                <w:color w:val="000000" w:themeColor="text1"/>
                <w:sz w:val="12"/>
                <w:szCs w:val="12"/>
              </w:rPr>
              <w:t>17.01.2025</w:t>
            </w:r>
          </w:p>
        </w:tc>
        <w:tc>
          <w:tcPr>
            <w:tcW w:w="1247" w:type="dxa"/>
            <w:tcBorders>
              <w:top w:val="single" w:sz="4" w:space="0" w:color="0077BD"/>
              <w:left w:val="nil"/>
              <w:bottom w:val="single" w:sz="8" w:space="0" w:color="0077BD"/>
              <w:right w:val="nil"/>
            </w:tcBorders>
            <w:shd w:val="clear" w:color="auto" w:fill="auto"/>
            <w:noWrap/>
            <w:vAlign w:val="center"/>
          </w:tcPr>
          <w:p w14:paraId="2E3DE955" w14:textId="288A012B" w:rsidR="00AC6786" w:rsidRPr="003A0CE0" w:rsidRDefault="00951F1D" w:rsidP="00AF41FE">
            <w:pPr>
              <w:jc w:val="right"/>
              <w:rPr>
                <w:rFonts w:cs="Calibri"/>
                <w:color w:val="000000" w:themeColor="text1"/>
                <w:sz w:val="12"/>
                <w:szCs w:val="12"/>
              </w:rPr>
            </w:pPr>
            <w:r w:rsidRPr="003A0CE0">
              <w:rPr>
                <w:rFonts w:cs="Calibri"/>
                <w:color w:val="000000" w:themeColor="text1"/>
                <w:sz w:val="12"/>
                <w:szCs w:val="12"/>
              </w:rPr>
              <w:t>763 354</w:t>
            </w:r>
          </w:p>
        </w:tc>
      </w:tr>
      <w:tr w:rsidR="000D1F0F" w:rsidRPr="00BB7C9E" w14:paraId="717E4F8B" w14:textId="77777777" w:rsidTr="0048129D">
        <w:trPr>
          <w:trHeight w:val="284"/>
        </w:trPr>
        <w:tc>
          <w:tcPr>
            <w:tcW w:w="1985" w:type="dxa"/>
            <w:tcBorders>
              <w:top w:val="nil"/>
              <w:left w:val="nil"/>
              <w:bottom w:val="nil"/>
              <w:right w:val="nil"/>
            </w:tcBorders>
            <w:shd w:val="clear" w:color="auto" w:fill="auto"/>
            <w:vAlign w:val="center"/>
            <w:hideMark/>
          </w:tcPr>
          <w:p w14:paraId="1A41D48E" w14:textId="77777777" w:rsidR="00AC6786" w:rsidRPr="003A0CE0" w:rsidRDefault="00AC6786" w:rsidP="00AF41FE">
            <w:pPr>
              <w:jc w:val="right"/>
              <w:rPr>
                <w:rFonts w:cs="Calibri"/>
                <w:color w:val="000000" w:themeColor="text1"/>
                <w:sz w:val="12"/>
                <w:szCs w:val="12"/>
              </w:rPr>
            </w:pPr>
          </w:p>
        </w:tc>
        <w:tc>
          <w:tcPr>
            <w:tcW w:w="1247" w:type="dxa"/>
            <w:tcBorders>
              <w:top w:val="nil"/>
              <w:left w:val="nil"/>
              <w:bottom w:val="nil"/>
              <w:right w:val="nil"/>
            </w:tcBorders>
            <w:shd w:val="clear" w:color="auto" w:fill="auto"/>
            <w:noWrap/>
            <w:vAlign w:val="center"/>
            <w:hideMark/>
          </w:tcPr>
          <w:p w14:paraId="6A83F937" w14:textId="77777777" w:rsidR="00AC6786" w:rsidRPr="003A0CE0" w:rsidRDefault="00AC6786" w:rsidP="00AF41FE">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63FCA492" w14:textId="77777777" w:rsidR="00AC6786" w:rsidRPr="003A0CE0" w:rsidRDefault="00AC6786" w:rsidP="00AF41FE">
            <w:pPr>
              <w:rPr>
                <w:color w:val="000000" w:themeColor="text1"/>
                <w:sz w:val="12"/>
                <w:szCs w:val="12"/>
              </w:rPr>
            </w:pPr>
          </w:p>
        </w:tc>
        <w:tc>
          <w:tcPr>
            <w:tcW w:w="1361" w:type="dxa"/>
            <w:tcBorders>
              <w:top w:val="nil"/>
              <w:left w:val="nil"/>
              <w:bottom w:val="nil"/>
              <w:right w:val="nil"/>
            </w:tcBorders>
            <w:shd w:val="clear" w:color="auto" w:fill="auto"/>
            <w:noWrap/>
            <w:vAlign w:val="center"/>
            <w:hideMark/>
          </w:tcPr>
          <w:p w14:paraId="6E425CF6" w14:textId="77777777" w:rsidR="00AC6786" w:rsidRPr="003A0CE0" w:rsidRDefault="00AC6786" w:rsidP="00AF41FE">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02F5471A" w14:textId="77777777" w:rsidR="00AC6786" w:rsidRPr="003A0CE0" w:rsidRDefault="00AC6786" w:rsidP="00AF41FE">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16B55C22" w14:textId="77777777" w:rsidR="00AC6786" w:rsidRPr="003A0CE0" w:rsidRDefault="00AC6786" w:rsidP="00AF41FE">
            <w:pPr>
              <w:rPr>
                <w:color w:val="000000" w:themeColor="text1"/>
                <w:sz w:val="12"/>
                <w:szCs w:val="12"/>
              </w:rPr>
            </w:pPr>
          </w:p>
        </w:tc>
        <w:tc>
          <w:tcPr>
            <w:tcW w:w="1247" w:type="dxa"/>
            <w:tcBorders>
              <w:top w:val="nil"/>
              <w:left w:val="nil"/>
              <w:bottom w:val="single" w:sz="8" w:space="0" w:color="0077BD"/>
              <w:right w:val="nil"/>
            </w:tcBorders>
            <w:shd w:val="clear" w:color="auto" w:fill="auto"/>
            <w:noWrap/>
            <w:vAlign w:val="center"/>
          </w:tcPr>
          <w:p w14:paraId="469C33DC" w14:textId="03644A99" w:rsidR="00AC6786" w:rsidRPr="003A0CE0" w:rsidRDefault="00951F1D" w:rsidP="00AF41FE">
            <w:pPr>
              <w:jc w:val="right"/>
              <w:rPr>
                <w:rFonts w:cs="Calibri"/>
                <w:b/>
                <w:bCs/>
                <w:color w:val="000000" w:themeColor="text1"/>
                <w:sz w:val="12"/>
                <w:szCs w:val="12"/>
              </w:rPr>
            </w:pPr>
            <w:r w:rsidRPr="003A0CE0">
              <w:rPr>
                <w:rFonts w:cs="Calibri"/>
                <w:b/>
                <w:bCs/>
                <w:color w:val="000000" w:themeColor="text1"/>
                <w:sz w:val="12"/>
                <w:szCs w:val="12"/>
              </w:rPr>
              <w:t>2 500 217</w:t>
            </w:r>
          </w:p>
        </w:tc>
      </w:tr>
    </w:tbl>
    <w:p w14:paraId="5EA34432" w14:textId="77777777" w:rsidR="00AC6786" w:rsidRPr="00961322" w:rsidRDefault="00AC6786" w:rsidP="00052FD1">
      <w:pPr>
        <w:jc w:val="both"/>
        <w:rPr>
          <w:rFonts w:cs="Tahoma"/>
          <w:color w:val="000000" w:themeColor="text1"/>
          <w:sz w:val="12"/>
          <w:szCs w:val="12"/>
        </w:rPr>
      </w:pPr>
    </w:p>
    <w:tbl>
      <w:tblPr>
        <w:tblW w:w="0" w:type="auto"/>
        <w:tblCellMar>
          <w:left w:w="28" w:type="dxa"/>
          <w:right w:w="28" w:type="dxa"/>
        </w:tblCellMar>
        <w:tblLook w:val="04A0" w:firstRow="1" w:lastRow="0" w:firstColumn="1" w:lastColumn="0" w:noHBand="0" w:noVBand="1"/>
      </w:tblPr>
      <w:tblGrid>
        <w:gridCol w:w="1980"/>
        <w:gridCol w:w="1247"/>
        <w:gridCol w:w="1247"/>
        <w:gridCol w:w="1361"/>
        <w:gridCol w:w="1247"/>
        <w:gridCol w:w="1247"/>
        <w:gridCol w:w="1247"/>
      </w:tblGrid>
      <w:tr w:rsidR="009B4632" w:rsidRPr="00AC6786" w14:paraId="34801837" w14:textId="77777777" w:rsidTr="0048129D">
        <w:trPr>
          <w:trHeight w:val="510"/>
        </w:trPr>
        <w:tc>
          <w:tcPr>
            <w:tcW w:w="1985" w:type="dxa"/>
            <w:tcBorders>
              <w:top w:val="nil"/>
              <w:left w:val="single" w:sz="4" w:space="0" w:color="FFFFFF"/>
              <w:bottom w:val="nil"/>
              <w:right w:val="single" w:sz="8" w:space="0" w:color="FFFFFF"/>
            </w:tcBorders>
            <w:shd w:val="clear" w:color="000000" w:fill="0077BD"/>
            <w:vAlign w:val="center"/>
            <w:hideMark/>
          </w:tcPr>
          <w:p w14:paraId="0B2BE7C5" w14:textId="38B4434F" w:rsidR="009B4632" w:rsidRPr="00AC6786" w:rsidRDefault="00947C42" w:rsidP="009B4632">
            <w:pPr>
              <w:rPr>
                <w:rFonts w:cs="Calibri"/>
                <w:b/>
                <w:bCs/>
                <w:color w:val="FFFFFF"/>
                <w:sz w:val="12"/>
                <w:szCs w:val="12"/>
              </w:rPr>
            </w:pPr>
            <w:r>
              <w:rPr>
                <w:rFonts w:cs="Calibri"/>
                <w:b/>
                <w:bCs/>
                <w:color w:val="FFFFFF"/>
                <w:sz w:val="12"/>
                <w:szCs w:val="12"/>
              </w:rPr>
              <w:t>31.12.2018</w:t>
            </w:r>
          </w:p>
        </w:tc>
        <w:tc>
          <w:tcPr>
            <w:tcW w:w="1247" w:type="dxa"/>
            <w:tcBorders>
              <w:top w:val="nil"/>
              <w:left w:val="nil"/>
              <w:bottom w:val="nil"/>
              <w:right w:val="single" w:sz="8" w:space="0" w:color="FFFFFF"/>
            </w:tcBorders>
            <w:shd w:val="clear" w:color="000000" w:fill="0077BD"/>
            <w:vAlign w:val="center"/>
            <w:hideMark/>
          </w:tcPr>
          <w:p w14:paraId="2E6734D4" w14:textId="77777777" w:rsidR="009B4632" w:rsidRPr="00AC6786" w:rsidRDefault="009B4632" w:rsidP="009B4632">
            <w:pPr>
              <w:jc w:val="center"/>
              <w:rPr>
                <w:rFonts w:cs="Calibri"/>
                <w:b/>
                <w:bCs/>
                <w:color w:val="FFFFFF"/>
                <w:sz w:val="12"/>
                <w:szCs w:val="12"/>
              </w:rPr>
            </w:pPr>
            <w:r w:rsidRPr="00AC6786">
              <w:rPr>
                <w:rFonts w:cs="Calibri"/>
                <w:b/>
                <w:bCs/>
                <w:color w:val="FFFFFF"/>
                <w:sz w:val="12"/>
                <w:szCs w:val="12"/>
              </w:rPr>
              <w:t xml:space="preserve">Wartość nominalna </w:t>
            </w:r>
          </w:p>
        </w:tc>
        <w:tc>
          <w:tcPr>
            <w:tcW w:w="1247" w:type="dxa"/>
            <w:tcBorders>
              <w:top w:val="nil"/>
              <w:left w:val="nil"/>
              <w:bottom w:val="nil"/>
              <w:right w:val="single" w:sz="8" w:space="0" w:color="FFFFFF"/>
            </w:tcBorders>
            <w:shd w:val="clear" w:color="000000" w:fill="0077BD"/>
            <w:vAlign w:val="center"/>
            <w:hideMark/>
          </w:tcPr>
          <w:p w14:paraId="48626EB3" w14:textId="77777777" w:rsidR="009B4632" w:rsidRPr="00AC6786" w:rsidRDefault="009B4632" w:rsidP="009B4632">
            <w:pPr>
              <w:jc w:val="center"/>
              <w:rPr>
                <w:rFonts w:cs="Calibri"/>
                <w:b/>
                <w:bCs/>
                <w:color w:val="FFFFFF"/>
                <w:sz w:val="12"/>
                <w:szCs w:val="12"/>
              </w:rPr>
            </w:pPr>
            <w:r w:rsidRPr="00AC6786">
              <w:rPr>
                <w:rFonts w:cs="Calibri"/>
                <w:b/>
                <w:bCs/>
                <w:color w:val="FFFFFF"/>
                <w:sz w:val="12"/>
                <w:szCs w:val="12"/>
              </w:rPr>
              <w:t xml:space="preserve">Waluta </w:t>
            </w:r>
          </w:p>
        </w:tc>
        <w:tc>
          <w:tcPr>
            <w:tcW w:w="1361" w:type="dxa"/>
            <w:tcBorders>
              <w:top w:val="nil"/>
              <w:left w:val="nil"/>
              <w:bottom w:val="nil"/>
              <w:right w:val="single" w:sz="8" w:space="0" w:color="FFFFFF"/>
            </w:tcBorders>
            <w:shd w:val="clear" w:color="000000" w:fill="0077BD"/>
            <w:vAlign w:val="center"/>
            <w:hideMark/>
          </w:tcPr>
          <w:p w14:paraId="033DA006" w14:textId="77777777" w:rsidR="009B4632" w:rsidRPr="00AC6786" w:rsidRDefault="009B4632" w:rsidP="009B4632">
            <w:pPr>
              <w:jc w:val="center"/>
              <w:rPr>
                <w:rFonts w:cs="Calibri"/>
                <w:b/>
                <w:bCs/>
                <w:color w:val="FFFFFF"/>
                <w:sz w:val="12"/>
                <w:szCs w:val="12"/>
              </w:rPr>
            </w:pPr>
            <w:r w:rsidRPr="00AC6786">
              <w:rPr>
                <w:rFonts w:cs="Calibri"/>
                <w:b/>
                <w:bCs/>
                <w:color w:val="FFFFFF"/>
                <w:sz w:val="12"/>
                <w:szCs w:val="12"/>
              </w:rPr>
              <w:t>Warunki oprocentowania (%)</w:t>
            </w:r>
          </w:p>
        </w:tc>
        <w:tc>
          <w:tcPr>
            <w:tcW w:w="1247" w:type="dxa"/>
            <w:tcBorders>
              <w:top w:val="nil"/>
              <w:left w:val="nil"/>
              <w:bottom w:val="nil"/>
              <w:right w:val="single" w:sz="8" w:space="0" w:color="FFFFFF"/>
            </w:tcBorders>
            <w:shd w:val="clear" w:color="000000" w:fill="0077BD"/>
            <w:vAlign w:val="center"/>
            <w:hideMark/>
          </w:tcPr>
          <w:p w14:paraId="6E30B53B" w14:textId="77777777" w:rsidR="009B4632" w:rsidRPr="00AC6786" w:rsidRDefault="009B4632" w:rsidP="009B4632">
            <w:pPr>
              <w:jc w:val="center"/>
              <w:rPr>
                <w:rFonts w:cs="Calibri"/>
                <w:b/>
                <w:bCs/>
                <w:color w:val="FFFFFF"/>
                <w:sz w:val="12"/>
                <w:szCs w:val="12"/>
              </w:rPr>
            </w:pPr>
            <w:r w:rsidRPr="00AC6786">
              <w:rPr>
                <w:rFonts w:cs="Calibri"/>
                <w:b/>
                <w:bCs/>
                <w:color w:val="FFFFFF"/>
                <w:sz w:val="12"/>
                <w:szCs w:val="12"/>
              </w:rPr>
              <w:t>Efektywne oprocentowanie</w:t>
            </w:r>
            <w:r w:rsidRPr="00AC6786">
              <w:rPr>
                <w:rFonts w:cs="Calibri"/>
                <w:b/>
                <w:bCs/>
                <w:color w:val="FFFFFF"/>
                <w:sz w:val="12"/>
                <w:szCs w:val="12"/>
              </w:rPr>
              <w:br/>
              <w:t>(%)</w:t>
            </w:r>
          </w:p>
        </w:tc>
        <w:tc>
          <w:tcPr>
            <w:tcW w:w="1247" w:type="dxa"/>
            <w:tcBorders>
              <w:top w:val="nil"/>
              <w:left w:val="nil"/>
              <w:bottom w:val="nil"/>
              <w:right w:val="single" w:sz="8" w:space="0" w:color="FFFFFF"/>
            </w:tcBorders>
            <w:shd w:val="clear" w:color="000000" w:fill="0077BD"/>
            <w:vAlign w:val="center"/>
            <w:hideMark/>
          </w:tcPr>
          <w:p w14:paraId="5DA59B56" w14:textId="77777777" w:rsidR="009B4632" w:rsidRPr="00AC6786" w:rsidRDefault="009B4632" w:rsidP="009B4632">
            <w:pPr>
              <w:jc w:val="center"/>
              <w:rPr>
                <w:rFonts w:cs="Calibri"/>
                <w:b/>
                <w:bCs/>
                <w:color w:val="FFFFFF"/>
                <w:sz w:val="12"/>
                <w:szCs w:val="12"/>
              </w:rPr>
            </w:pPr>
            <w:r w:rsidRPr="00AC6786">
              <w:rPr>
                <w:rFonts w:cs="Calibri"/>
                <w:b/>
                <w:bCs/>
                <w:color w:val="FFFFFF"/>
                <w:sz w:val="12"/>
                <w:szCs w:val="12"/>
              </w:rPr>
              <w:t>Termin wymagalności/ wykupu</w:t>
            </w:r>
          </w:p>
        </w:tc>
        <w:tc>
          <w:tcPr>
            <w:tcW w:w="1247" w:type="dxa"/>
            <w:tcBorders>
              <w:top w:val="nil"/>
              <w:left w:val="nil"/>
              <w:bottom w:val="nil"/>
              <w:right w:val="nil"/>
            </w:tcBorders>
            <w:shd w:val="clear" w:color="000000" w:fill="0077BD"/>
            <w:vAlign w:val="center"/>
            <w:hideMark/>
          </w:tcPr>
          <w:p w14:paraId="3545093C" w14:textId="18304F0C" w:rsidR="009B4632" w:rsidRPr="00AC6786" w:rsidRDefault="00CC6146" w:rsidP="009B4632">
            <w:pPr>
              <w:jc w:val="center"/>
              <w:rPr>
                <w:rFonts w:cs="Calibri"/>
                <w:b/>
                <w:bCs/>
                <w:color w:val="FFFFFF"/>
                <w:sz w:val="12"/>
                <w:szCs w:val="12"/>
              </w:rPr>
            </w:pPr>
            <w:r>
              <w:rPr>
                <w:rFonts w:cs="Calibri"/>
                <w:b/>
                <w:bCs/>
                <w:color w:val="FFFFFF"/>
                <w:sz w:val="12"/>
                <w:szCs w:val="12"/>
              </w:rPr>
              <w:t>Stan zobowiązania</w:t>
            </w:r>
          </w:p>
        </w:tc>
      </w:tr>
      <w:tr w:rsidR="00AC6786" w:rsidRPr="00BB7C9E" w14:paraId="4C048B18" w14:textId="77777777" w:rsidTr="0011742C">
        <w:trPr>
          <w:trHeight w:val="284"/>
        </w:trPr>
        <w:tc>
          <w:tcPr>
            <w:tcW w:w="1985" w:type="dxa"/>
            <w:tcBorders>
              <w:top w:val="single" w:sz="8" w:space="0" w:color="0077BD"/>
              <w:left w:val="nil"/>
              <w:bottom w:val="single" w:sz="4" w:space="0" w:color="0077BD"/>
              <w:right w:val="single" w:sz="8" w:space="0" w:color="0077BD"/>
            </w:tcBorders>
            <w:shd w:val="clear" w:color="auto" w:fill="auto"/>
            <w:vAlign w:val="center"/>
            <w:hideMark/>
          </w:tcPr>
          <w:p w14:paraId="1E45F838"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 Commerzbank AG</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7D503F54"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250 000</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0A9A6232" w14:textId="77777777" w:rsidR="00AC6786" w:rsidRPr="003A0CE0" w:rsidRDefault="00AC6786" w:rsidP="00AC6786">
            <w:pPr>
              <w:jc w:val="center"/>
              <w:rPr>
                <w:rFonts w:cs="Calibri"/>
                <w:color w:val="000000" w:themeColor="text1"/>
                <w:sz w:val="12"/>
                <w:szCs w:val="12"/>
              </w:rPr>
            </w:pPr>
            <w:r w:rsidRPr="003A0CE0">
              <w:rPr>
                <w:rFonts w:cs="Calibri"/>
                <w:color w:val="000000" w:themeColor="text1"/>
                <w:sz w:val="12"/>
                <w:szCs w:val="12"/>
              </w:rPr>
              <w:t>CHF</w:t>
            </w:r>
          </w:p>
        </w:tc>
        <w:tc>
          <w:tcPr>
            <w:tcW w:w="1361" w:type="dxa"/>
            <w:tcBorders>
              <w:top w:val="single" w:sz="8" w:space="0" w:color="0077BD"/>
              <w:left w:val="nil"/>
              <w:bottom w:val="single" w:sz="4" w:space="0" w:color="0077BD"/>
              <w:right w:val="single" w:sz="8" w:space="0" w:color="0077BD"/>
            </w:tcBorders>
            <w:shd w:val="clear" w:color="auto" w:fill="auto"/>
            <w:noWrap/>
            <w:vAlign w:val="center"/>
            <w:hideMark/>
          </w:tcPr>
          <w:p w14:paraId="5FB5C232" w14:textId="01369C34" w:rsidR="00AC6786" w:rsidRPr="003A0CE0" w:rsidRDefault="00AC6786" w:rsidP="00AC6786">
            <w:pPr>
              <w:rPr>
                <w:rFonts w:cs="Calibri"/>
                <w:color w:val="000000" w:themeColor="text1"/>
                <w:sz w:val="12"/>
                <w:szCs w:val="12"/>
              </w:rPr>
            </w:pPr>
            <w:r w:rsidRPr="003A0CE0">
              <w:rPr>
                <w:rFonts w:cs="Calibri"/>
                <w:color w:val="000000" w:themeColor="text1"/>
                <w:sz w:val="12"/>
                <w:szCs w:val="12"/>
              </w:rPr>
              <w:t>3M LIBOR + 2,75</w:t>
            </w:r>
            <w:r w:rsidR="00C11D37">
              <w:rPr>
                <w:rFonts w:cs="Calibri"/>
                <w:color w:val="000000" w:themeColor="text1"/>
                <w:sz w:val="12"/>
                <w:szCs w:val="12"/>
              </w:rPr>
              <w:t>%</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5AE7F48B" w14:textId="5F7B2EAF" w:rsidR="00AC6786" w:rsidRPr="003A0CE0" w:rsidRDefault="00E5312B" w:rsidP="000B1F52">
            <w:pPr>
              <w:jc w:val="right"/>
              <w:rPr>
                <w:rFonts w:cs="Calibri"/>
                <w:color w:val="000000" w:themeColor="text1"/>
                <w:sz w:val="12"/>
                <w:szCs w:val="12"/>
              </w:rPr>
            </w:pPr>
            <w:r w:rsidRPr="003A0CE0">
              <w:rPr>
                <w:rFonts w:cs="Calibri"/>
                <w:color w:val="000000" w:themeColor="text1"/>
                <w:sz w:val="12"/>
                <w:szCs w:val="12"/>
              </w:rPr>
              <w:t>2,0</w:t>
            </w:r>
            <w:r w:rsidR="000B1F52">
              <w:rPr>
                <w:rFonts w:cs="Calibri"/>
                <w:color w:val="000000" w:themeColor="text1"/>
                <w:sz w:val="12"/>
                <w:szCs w:val="12"/>
              </w:rPr>
              <w:t>1</w:t>
            </w:r>
          </w:p>
        </w:tc>
        <w:tc>
          <w:tcPr>
            <w:tcW w:w="1247" w:type="dxa"/>
            <w:tcBorders>
              <w:top w:val="single" w:sz="8" w:space="0" w:color="0077BD"/>
              <w:left w:val="nil"/>
              <w:bottom w:val="single" w:sz="4" w:space="0" w:color="0077BD"/>
              <w:right w:val="single" w:sz="8" w:space="0" w:color="0077BD"/>
            </w:tcBorders>
            <w:shd w:val="clear" w:color="auto" w:fill="auto"/>
            <w:noWrap/>
            <w:vAlign w:val="center"/>
            <w:hideMark/>
          </w:tcPr>
          <w:p w14:paraId="0F9D666B"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21.03.2028</w:t>
            </w:r>
          </w:p>
        </w:tc>
        <w:tc>
          <w:tcPr>
            <w:tcW w:w="1247" w:type="dxa"/>
            <w:tcBorders>
              <w:top w:val="single" w:sz="8" w:space="0" w:color="0077BD"/>
              <w:left w:val="nil"/>
              <w:bottom w:val="single" w:sz="4" w:space="0" w:color="0077BD"/>
              <w:right w:val="nil"/>
            </w:tcBorders>
            <w:shd w:val="clear" w:color="auto" w:fill="auto"/>
            <w:noWrap/>
            <w:vAlign w:val="center"/>
            <w:hideMark/>
          </w:tcPr>
          <w:p w14:paraId="246EDC42"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954 684</w:t>
            </w:r>
          </w:p>
        </w:tc>
      </w:tr>
      <w:tr w:rsidR="00AC6786" w:rsidRPr="00BB7C9E" w14:paraId="036F2FF6" w14:textId="77777777" w:rsidTr="0011742C">
        <w:trPr>
          <w:trHeight w:val="340"/>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6558FD9F"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220697CD"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550 000</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71FA618C" w14:textId="77777777" w:rsidR="00AC6786" w:rsidRPr="003A0CE0" w:rsidRDefault="00AC6786" w:rsidP="00AC6786">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4" w:space="0" w:color="0077BD"/>
              <w:right w:val="single" w:sz="8" w:space="0" w:color="0077BD"/>
            </w:tcBorders>
            <w:shd w:val="clear" w:color="auto" w:fill="auto"/>
            <w:noWrap/>
            <w:vAlign w:val="center"/>
            <w:hideMark/>
          </w:tcPr>
          <w:p w14:paraId="2D7D1C0A"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6M WIBOR + 1,8%</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33A97FEE" w14:textId="042B2462" w:rsidR="00AC6786" w:rsidRPr="003A0CE0" w:rsidRDefault="00E5312B" w:rsidP="00AC6786">
            <w:pPr>
              <w:jc w:val="right"/>
              <w:rPr>
                <w:rFonts w:cs="Calibri"/>
                <w:color w:val="000000" w:themeColor="text1"/>
                <w:sz w:val="12"/>
                <w:szCs w:val="12"/>
              </w:rPr>
            </w:pPr>
            <w:r w:rsidRPr="003A0CE0">
              <w:rPr>
                <w:rFonts w:cs="Calibri"/>
                <w:color w:val="000000" w:themeColor="text1"/>
                <w:sz w:val="12"/>
                <w:szCs w:val="12"/>
              </w:rPr>
              <w:t>3,59</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089D8E34"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 xml:space="preserve">10.10.2028 </w:t>
            </w:r>
            <w:r w:rsidRPr="003A0CE0">
              <w:rPr>
                <w:rFonts w:cs="Calibri"/>
                <w:color w:val="000000" w:themeColor="text1"/>
                <w:sz w:val="12"/>
                <w:szCs w:val="12"/>
                <w:vertAlign w:val="superscript"/>
              </w:rPr>
              <w:t>1)</w:t>
            </w:r>
          </w:p>
        </w:tc>
        <w:tc>
          <w:tcPr>
            <w:tcW w:w="1247" w:type="dxa"/>
            <w:tcBorders>
              <w:top w:val="single" w:sz="4" w:space="0" w:color="0077BD"/>
              <w:left w:val="nil"/>
              <w:bottom w:val="single" w:sz="4" w:space="0" w:color="0077BD"/>
              <w:right w:val="nil"/>
            </w:tcBorders>
            <w:shd w:val="clear" w:color="auto" w:fill="auto"/>
            <w:noWrap/>
            <w:vAlign w:val="center"/>
            <w:hideMark/>
          </w:tcPr>
          <w:p w14:paraId="1F6511F9"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554 469</w:t>
            </w:r>
          </w:p>
        </w:tc>
      </w:tr>
      <w:tr w:rsidR="00AC6786" w:rsidRPr="00BB7C9E" w14:paraId="1FA18770" w14:textId="77777777" w:rsidTr="0011742C">
        <w:trPr>
          <w:trHeight w:val="340"/>
        </w:trPr>
        <w:tc>
          <w:tcPr>
            <w:tcW w:w="1985" w:type="dxa"/>
            <w:tcBorders>
              <w:top w:val="single" w:sz="4" w:space="0" w:color="0077BD"/>
              <w:left w:val="nil"/>
              <w:bottom w:val="single" w:sz="4" w:space="0" w:color="0077BD"/>
              <w:right w:val="single" w:sz="8" w:space="0" w:color="0077BD"/>
            </w:tcBorders>
            <w:shd w:val="clear" w:color="auto" w:fill="auto"/>
            <w:vAlign w:val="center"/>
            <w:hideMark/>
          </w:tcPr>
          <w:p w14:paraId="5B8FB42D"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33000AF3"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200 000</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23B0D5A2" w14:textId="77777777" w:rsidR="00AC6786" w:rsidRPr="003A0CE0" w:rsidRDefault="00AC6786" w:rsidP="00AC6786">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4" w:space="0" w:color="0077BD"/>
              <w:right w:val="single" w:sz="8" w:space="0" w:color="0077BD"/>
            </w:tcBorders>
            <w:shd w:val="clear" w:color="auto" w:fill="auto"/>
            <w:noWrap/>
            <w:vAlign w:val="center"/>
            <w:hideMark/>
          </w:tcPr>
          <w:p w14:paraId="52007B05"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6M WIBOR + 1,95%</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777C607B" w14:textId="226C06DB" w:rsidR="00AC6786" w:rsidRPr="003A0CE0" w:rsidRDefault="00AC6786" w:rsidP="00E5312B">
            <w:pPr>
              <w:jc w:val="right"/>
              <w:rPr>
                <w:rFonts w:cs="Calibri"/>
                <w:color w:val="000000" w:themeColor="text1"/>
                <w:sz w:val="12"/>
                <w:szCs w:val="12"/>
              </w:rPr>
            </w:pPr>
            <w:r w:rsidRPr="003A0CE0">
              <w:rPr>
                <w:rFonts w:cs="Calibri"/>
                <w:color w:val="000000" w:themeColor="text1"/>
                <w:sz w:val="12"/>
                <w:szCs w:val="12"/>
              </w:rPr>
              <w:t>3,74</w:t>
            </w:r>
          </w:p>
        </w:tc>
        <w:tc>
          <w:tcPr>
            <w:tcW w:w="1247" w:type="dxa"/>
            <w:tcBorders>
              <w:top w:val="single" w:sz="4" w:space="0" w:color="0077BD"/>
              <w:left w:val="nil"/>
              <w:bottom w:val="single" w:sz="4" w:space="0" w:color="0077BD"/>
              <w:right w:val="single" w:sz="8" w:space="0" w:color="0077BD"/>
            </w:tcBorders>
            <w:shd w:val="clear" w:color="auto" w:fill="auto"/>
            <w:noWrap/>
            <w:vAlign w:val="center"/>
            <w:hideMark/>
          </w:tcPr>
          <w:p w14:paraId="798E3D93"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 xml:space="preserve">10.10.2030 </w:t>
            </w:r>
            <w:r w:rsidRPr="003A0CE0">
              <w:rPr>
                <w:rFonts w:cs="Calibri"/>
                <w:color w:val="000000" w:themeColor="text1"/>
                <w:sz w:val="12"/>
                <w:szCs w:val="12"/>
                <w:vertAlign w:val="superscript"/>
              </w:rPr>
              <w:t>1)</w:t>
            </w:r>
          </w:p>
        </w:tc>
        <w:tc>
          <w:tcPr>
            <w:tcW w:w="1247" w:type="dxa"/>
            <w:tcBorders>
              <w:top w:val="single" w:sz="4" w:space="0" w:color="0077BD"/>
              <w:left w:val="nil"/>
              <w:bottom w:val="single" w:sz="4" w:space="0" w:color="0077BD"/>
              <w:right w:val="nil"/>
            </w:tcBorders>
            <w:shd w:val="clear" w:color="auto" w:fill="auto"/>
            <w:noWrap/>
            <w:vAlign w:val="center"/>
            <w:hideMark/>
          </w:tcPr>
          <w:p w14:paraId="60DD2A02"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201 693</w:t>
            </w:r>
          </w:p>
        </w:tc>
      </w:tr>
      <w:tr w:rsidR="00AC6786" w:rsidRPr="00BB7C9E" w14:paraId="236BF06F" w14:textId="77777777" w:rsidTr="0011742C">
        <w:trPr>
          <w:trHeight w:val="340"/>
        </w:trPr>
        <w:tc>
          <w:tcPr>
            <w:tcW w:w="1985" w:type="dxa"/>
            <w:tcBorders>
              <w:top w:val="single" w:sz="4" w:space="0" w:color="0077BD"/>
              <w:left w:val="nil"/>
              <w:bottom w:val="single" w:sz="8" w:space="0" w:color="0077BD"/>
              <w:right w:val="single" w:sz="8" w:space="0" w:color="0077BD"/>
            </w:tcBorders>
            <w:shd w:val="clear" w:color="auto" w:fill="auto"/>
            <w:vAlign w:val="center"/>
            <w:hideMark/>
          </w:tcPr>
          <w:p w14:paraId="12D59F12"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 xml:space="preserve">- Inwestorzy nie związani z </w:t>
            </w:r>
            <w:r w:rsidRPr="003A0CE0">
              <w:rPr>
                <w:rFonts w:cs="Calibri"/>
                <w:color w:val="000000" w:themeColor="text1"/>
                <w:sz w:val="12"/>
                <w:szCs w:val="12"/>
              </w:rPr>
              <w:br/>
              <w:t xml:space="preserve">  mBankiem </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28441EAD"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750 000</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5859A1F9" w14:textId="77777777" w:rsidR="00AC6786" w:rsidRPr="003A0CE0" w:rsidRDefault="00AC6786" w:rsidP="00AC6786">
            <w:pPr>
              <w:jc w:val="center"/>
              <w:rPr>
                <w:rFonts w:cs="Calibri"/>
                <w:color w:val="000000" w:themeColor="text1"/>
                <w:sz w:val="12"/>
                <w:szCs w:val="12"/>
              </w:rPr>
            </w:pPr>
            <w:r w:rsidRPr="003A0CE0">
              <w:rPr>
                <w:rFonts w:cs="Calibri"/>
                <w:color w:val="000000" w:themeColor="text1"/>
                <w:sz w:val="12"/>
                <w:szCs w:val="12"/>
              </w:rPr>
              <w:t>PLN</w:t>
            </w:r>
          </w:p>
        </w:tc>
        <w:tc>
          <w:tcPr>
            <w:tcW w:w="1361" w:type="dxa"/>
            <w:tcBorders>
              <w:top w:val="single" w:sz="4" w:space="0" w:color="0077BD"/>
              <w:left w:val="nil"/>
              <w:bottom w:val="single" w:sz="8" w:space="0" w:color="0077BD"/>
              <w:right w:val="single" w:sz="8" w:space="0" w:color="0077BD"/>
            </w:tcBorders>
            <w:shd w:val="clear" w:color="auto" w:fill="auto"/>
            <w:noWrap/>
            <w:vAlign w:val="center"/>
            <w:hideMark/>
          </w:tcPr>
          <w:p w14:paraId="01A7A01B" w14:textId="77777777" w:rsidR="00AC6786" w:rsidRPr="003A0CE0" w:rsidRDefault="00AC6786" w:rsidP="00AC6786">
            <w:pPr>
              <w:rPr>
                <w:rFonts w:cs="Calibri"/>
                <w:color w:val="000000" w:themeColor="text1"/>
                <w:sz w:val="12"/>
                <w:szCs w:val="12"/>
              </w:rPr>
            </w:pPr>
            <w:r w:rsidRPr="003A0CE0">
              <w:rPr>
                <w:rFonts w:cs="Calibri"/>
                <w:color w:val="000000" w:themeColor="text1"/>
                <w:sz w:val="12"/>
                <w:szCs w:val="12"/>
              </w:rPr>
              <w:t>6M WIBOR + 2,1%</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16B5ECB3" w14:textId="3CEB5E39" w:rsidR="00AC6786" w:rsidRPr="003A0CE0" w:rsidRDefault="00621AC0" w:rsidP="000B1F52">
            <w:pPr>
              <w:jc w:val="right"/>
              <w:rPr>
                <w:rFonts w:cs="Calibri"/>
                <w:color w:val="000000" w:themeColor="text1"/>
                <w:sz w:val="12"/>
                <w:szCs w:val="12"/>
              </w:rPr>
            </w:pPr>
            <w:r w:rsidRPr="003A0CE0">
              <w:rPr>
                <w:rFonts w:cs="Calibri"/>
                <w:color w:val="000000" w:themeColor="text1"/>
                <w:sz w:val="12"/>
                <w:szCs w:val="12"/>
              </w:rPr>
              <w:t>3,</w:t>
            </w:r>
            <w:r w:rsidR="000B1F52">
              <w:rPr>
                <w:rFonts w:cs="Calibri"/>
                <w:color w:val="000000" w:themeColor="text1"/>
                <w:sz w:val="12"/>
                <w:szCs w:val="12"/>
              </w:rPr>
              <w:t>91</w:t>
            </w:r>
          </w:p>
        </w:tc>
        <w:tc>
          <w:tcPr>
            <w:tcW w:w="1247" w:type="dxa"/>
            <w:tcBorders>
              <w:top w:val="single" w:sz="4" w:space="0" w:color="0077BD"/>
              <w:left w:val="nil"/>
              <w:bottom w:val="single" w:sz="8" w:space="0" w:color="0077BD"/>
              <w:right w:val="single" w:sz="8" w:space="0" w:color="0077BD"/>
            </w:tcBorders>
            <w:shd w:val="clear" w:color="auto" w:fill="auto"/>
            <w:noWrap/>
            <w:vAlign w:val="center"/>
            <w:hideMark/>
          </w:tcPr>
          <w:p w14:paraId="5C464E0B"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17.01.2025</w:t>
            </w:r>
          </w:p>
        </w:tc>
        <w:tc>
          <w:tcPr>
            <w:tcW w:w="1247" w:type="dxa"/>
            <w:tcBorders>
              <w:top w:val="single" w:sz="4" w:space="0" w:color="0077BD"/>
              <w:left w:val="nil"/>
              <w:bottom w:val="single" w:sz="8" w:space="0" w:color="0077BD"/>
              <w:right w:val="nil"/>
            </w:tcBorders>
            <w:shd w:val="clear" w:color="auto" w:fill="auto"/>
            <w:noWrap/>
            <w:vAlign w:val="center"/>
            <w:hideMark/>
          </w:tcPr>
          <w:p w14:paraId="102CD820" w14:textId="77777777" w:rsidR="00AC6786" w:rsidRPr="003A0CE0" w:rsidRDefault="00AC6786" w:rsidP="00AC6786">
            <w:pPr>
              <w:jc w:val="right"/>
              <w:rPr>
                <w:rFonts w:cs="Calibri"/>
                <w:color w:val="000000" w:themeColor="text1"/>
                <w:sz w:val="12"/>
                <w:szCs w:val="12"/>
              </w:rPr>
            </w:pPr>
            <w:r w:rsidRPr="003A0CE0">
              <w:rPr>
                <w:rFonts w:cs="Calibri"/>
                <w:color w:val="000000" w:themeColor="text1"/>
                <w:sz w:val="12"/>
                <w:szCs w:val="12"/>
              </w:rPr>
              <w:t>763 317</w:t>
            </w:r>
          </w:p>
        </w:tc>
      </w:tr>
      <w:tr w:rsidR="00AC6786" w:rsidRPr="00BB7C9E" w14:paraId="632D37C4" w14:textId="77777777" w:rsidTr="0048129D">
        <w:trPr>
          <w:trHeight w:val="284"/>
        </w:trPr>
        <w:tc>
          <w:tcPr>
            <w:tcW w:w="1985" w:type="dxa"/>
            <w:tcBorders>
              <w:top w:val="nil"/>
              <w:left w:val="nil"/>
              <w:bottom w:val="nil"/>
              <w:right w:val="nil"/>
            </w:tcBorders>
            <w:shd w:val="clear" w:color="auto" w:fill="auto"/>
            <w:vAlign w:val="center"/>
            <w:hideMark/>
          </w:tcPr>
          <w:p w14:paraId="7EF39DA0" w14:textId="77777777" w:rsidR="00AC6786" w:rsidRPr="003A0CE0" w:rsidRDefault="00AC6786" w:rsidP="00AC6786">
            <w:pPr>
              <w:jc w:val="right"/>
              <w:rPr>
                <w:rFonts w:cs="Calibri"/>
                <w:color w:val="000000" w:themeColor="text1"/>
                <w:sz w:val="12"/>
                <w:szCs w:val="12"/>
              </w:rPr>
            </w:pPr>
          </w:p>
        </w:tc>
        <w:tc>
          <w:tcPr>
            <w:tcW w:w="1247" w:type="dxa"/>
            <w:tcBorders>
              <w:top w:val="nil"/>
              <w:left w:val="nil"/>
              <w:bottom w:val="nil"/>
              <w:right w:val="nil"/>
            </w:tcBorders>
            <w:shd w:val="clear" w:color="auto" w:fill="auto"/>
            <w:noWrap/>
            <w:vAlign w:val="center"/>
            <w:hideMark/>
          </w:tcPr>
          <w:p w14:paraId="62F2F204" w14:textId="77777777" w:rsidR="00AC6786" w:rsidRPr="003A0CE0" w:rsidRDefault="00AC6786" w:rsidP="00AC6786">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1D3B7D10" w14:textId="77777777" w:rsidR="00AC6786" w:rsidRPr="003A0CE0" w:rsidRDefault="00AC6786" w:rsidP="00AC6786">
            <w:pPr>
              <w:rPr>
                <w:color w:val="000000" w:themeColor="text1"/>
                <w:sz w:val="12"/>
                <w:szCs w:val="12"/>
              </w:rPr>
            </w:pPr>
          </w:p>
        </w:tc>
        <w:tc>
          <w:tcPr>
            <w:tcW w:w="1361" w:type="dxa"/>
            <w:tcBorders>
              <w:top w:val="nil"/>
              <w:left w:val="nil"/>
              <w:bottom w:val="nil"/>
              <w:right w:val="nil"/>
            </w:tcBorders>
            <w:shd w:val="clear" w:color="auto" w:fill="auto"/>
            <w:noWrap/>
            <w:vAlign w:val="center"/>
            <w:hideMark/>
          </w:tcPr>
          <w:p w14:paraId="0E39A116" w14:textId="77777777" w:rsidR="00AC6786" w:rsidRPr="003A0CE0" w:rsidRDefault="00AC6786" w:rsidP="00AC6786">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53E58D67" w14:textId="77777777" w:rsidR="00AC6786" w:rsidRPr="003A0CE0" w:rsidRDefault="00AC6786" w:rsidP="00AC6786">
            <w:pPr>
              <w:rPr>
                <w:color w:val="000000" w:themeColor="text1"/>
                <w:sz w:val="12"/>
                <w:szCs w:val="12"/>
              </w:rPr>
            </w:pPr>
          </w:p>
        </w:tc>
        <w:tc>
          <w:tcPr>
            <w:tcW w:w="1247" w:type="dxa"/>
            <w:tcBorders>
              <w:top w:val="nil"/>
              <w:left w:val="nil"/>
              <w:bottom w:val="nil"/>
              <w:right w:val="nil"/>
            </w:tcBorders>
            <w:shd w:val="clear" w:color="auto" w:fill="auto"/>
            <w:noWrap/>
            <w:vAlign w:val="center"/>
            <w:hideMark/>
          </w:tcPr>
          <w:p w14:paraId="286E7C0A" w14:textId="77777777" w:rsidR="00AC6786" w:rsidRPr="003A0CE0" w:rsidRDefault="00AC6786" w:rsidP="00AC6786">
            <w:pPr>
              <w:rPr>
                <w:color w:val="000000" w:themeColor="text1"/>
                <w:sz w:val="12"/>
                <w:szCs w:val="12"/>
              </w:rPr>
            </w:pPr>
          </w:p>
        </w:tc>
        <w:tc>
          <w:tcPr>
            <w:tcW w:w="1247" w:type="dxa"/>
            <w:tcBorders>
              <w:top w:val="nil"/>
              <w:left w:val="nil"/>
              <w:bottom w:val="single" w:sz="8" w:space="0" w:color="0077BD"/>
              <w:right w:val="nil"/>
            </w:tcBorders>
            <w:shd w:val="clear" w:color="auto" w:fill="auto"/>
            <w:noWrap/>
            <w:vAlign w:val="center"/>
            <w:hideMark/>
          </w:tcPr>
          <w:p w14:paraId="31995A62" w14:textId="77777777" w:rsidR="00AC6786" w:rsidRPr="003A0CE0" w:rsidRDefault="00AC6786" w:rsidP="00AC6786">
            <w:pPr>
              <w:jc w:val="right"/>
              <w:rPr>
                <w:rFonts w:cs="Calibri"/>
                <w:b/>
                <w:bCs/>
                <w:color w:val="000000" w:themeColor="text1"/>
                <w:sz w:val="12"/>
                <w:szCs w:val="12"/>
              </w:rPr>
            </w:pPr>
            <w:r w:rsidRPr="003A0CE0">
              <w:rPr>
                <w:rFonts w:cs="Calibri"/>
                <w:b/>
                <w:bCs/>
                <w:color w:val="000000" w:themeColor="text1"/>
                <w:sz w:val="12"/>
                <w:szCs w:val="12"/>
              </w:rPr>
              <w:t>2 474 163</w:t>
            </w:r>
          </w:p>
        </w:tc>
      </w:tr>
    </w:tbl>
    <w:p w14:paraId="5FEEB341" w14:textId="5CDB6643" w:rsidR="00637D49" w:rsidRPr="00BB7C9E" w:rsidRDefault="00637D49" w:rsidP="00526DF1">
      <w:pPr>
        <w:pStyle w:val="Akapitzlist"/>
        <w:numPr>
          <w:ilvl w:val="0"/>
          <w:numId w:val="63"/>
        </w:numPr>
        <w:spacing w:before="120"/>
        <w:jc w:val="both"/>
        <w:rPr>
          <w:rFonts w:cs="Tahoma"/>
          <w:color w:val="000000" w:themeColor="text1"/>
          <w:szCs w:val="16"/>
        </w:rPr>
      </w:pPr>
      <w:r w:rsidRPr="00BB7C9E">
        <w:rPr>
          <w:rFonts w:cs="Tahoma"/>
          <w:color w:val="000000" w:themeColor="text1"/>
          <w:szCs w:val="16"/>
        </w:rPr>
        <w:t>Warunki emisji zakładają możliwość wcześniejszego wykupu obligacji o wartości nominalnej 550 000 ty</w:t>
      </w:r>
      <w:r w:rsidR="00592AD6" w:rsidRPr="00BB7C9E">
        <w:rPr>
          <w:rFonts w:cs="Tahoma"/>
          <w:color w:val="000000" w:themeColor="text1"/>
          <w:szCs w:val="16"/>
        </w:rPr>
        <w:t>s. zł w dniu 10 października 202</w:t>
      </w:r>
      <w:r w:rsidRPr="00BB7C9E">
        <w:rPr>
          <w:rFonts w:cs="Tahoma"/>
          <w:color w:val="000000" w:themeColor="text1"/>
          <w:szCs w:val="16"/>
        </w:rPr>
        <w:t>3 roku, oraz obligacji o wartości nominalnej 200 000 tys. zł w dniu 10 października 2025 roku.</w:t>
      </w:r>
    </w:p>
    <w:p w14:paraId="1FA17A35" w14:textId="77777777" w:rsidR="00E922F7" w:rsidRDefault="00E922F7" w:rsidP="00E922F7">
      <w:pPr>
        <w:jc w:val="both"/>
        <w:rPr>
          <w:rFonts w:cs="Tahoma"/>
          <w:b/>
          <w:color w:val="000000" w:themeColor="text1"/>
          <w:sz w:val="18"/>
          <w:szCs w:val="18"/>
        </w:rPr>
      </w:pPr>
    </w:p>
    <w:p w14:paraId="6F567C80" w14:textId="358738F9" w:rsidR="0011742C" w:rsidRPr="00BB7C9E" w:rsidRDefault="0011742C" w:rsidP="0011742C">
      <w:pPr>
        <w:spacing w:after="120"/>
        <w:jc w:val="both"/>
        <w:rPr>
          <w:rFonts w:cs="Tahoma"/>
          <w:b/>
          <w:color w:val="000000" w:themeColor="text1"/>
          <w:sz w:val="18"/>
          <w:szCs w:val="18"/>
        </w:rPr>
      </w:pPr>
      <w:r w:rsidRPr="00BB7C9E">
        <w:rPr>
          <w:rFonts w:cs="Tahoma"/>
          <w:b/>
          <w:color w:val="000000" w:themeColor="text1"/>
          <w:sz w:val="18"/>
          <w:szCs w:val="18"/>
        </w:rPr>
        <w:t>Zmiana stanu zobowiązań podporządkowanych</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11742C" w:rsidRPr="000D1F0F" w14:paraId="58E5FCDC" w14:textId="77777777" w:rsidTr="005153F9">
        <w:trPr>
          <w:trHeight w:val="284"/>
        </w:trPr>
        <w:tc>
          <w:tcPr>
            <w:tcW w:w="6747" w:type="dxa"/>
            <w:tcBorders>
              <w:top w:val="nil"/>
              <w:left w:val="nil"/>
              <w:bottom w:val="nil"/>
              <w:right w:val="single" w:sz="8" w:space="0" w:color="FFFFFF"/>
            </w:tcBorders>
            <w:shd w:val="clear" w:color="000000" w:fill="0077BD"/>
            <w:noWrap/>
            <w:vAlign w:val="center"/>
            <w:hideMark/>
          </w:tcPr>
          <w:p w14:paraId="6F26F5BE" w14:textId="77777777" w:rsidR="0011742C" w:rsidRPr="00E60E14" w:rsidRDefault="0011742C" w:rsidP="005153F9">
            <w:pPr>
              <w:rPr>
                <w:rFonts w:cs="Calibri"/>
                <w:b/>
                <w:color w:val="FFFFFF" w:themeColor="background1"/>
                <w:sz w:val="13"/>
                <w:szCs w:val="13"/>
              </w:rPr>
            </w:pPr>
            <w:r w:rsidRPr="00E60E14">
              <w:rPr>
                <w:rFonts w:cs="Calibri"/>
                <w:b/>
                <w:color w:val="FFFFFF" w:themeColor="background1"/>
                <w:sz w:val="13"/>
                <w:szCs w:val="13"/>
              </w:rPr>
              <w:t>Zmiana stanu w okresie od 1 stycznia do 31 grudnia</w:t>
            </w:r>
          </w:p>
        </w:tc>
        <w:tc>
          <w:tcPr>
            <w:tcW w:w="1418" w:type="dxa"/>
            <w:tcBorders>
              <w:top w:val="nil"/>
              <w:left w:val="nil"/>
              <w:bottom w:val="nil"/>
              <w:right w:val="nil"/>
            </w:tcBorders>
            <w:shd w:val="clear" w:color="000000" w:fill="0077BD"/>
            <w:noWrap/>
            <w:vAlign w:val="center"/>
            <w:hideMark/>
          </w:tcPr>
          <w:p w14:paraId="44AE6C37" w14:textId="77777777" w:rsidR="0011742C" w:rsidRPr="000D1F0F" w:rsidRDefault="0011742C" w:rsidP="005153F9">
            <w:pPr>
              <w:jc w:val="right"/>
              <w:rPr>
                <w:rFonts w:cs="Calibri"/>
                <w:b/>
                <w:bCs/>
                <w:color w:val="FFFFFF"/>
                <w:sz w:val="13"/>
                <w:szCs w:val="13"/>
              </w:rPr>
            </w:pPr>
            <w:r w:rsidRPr="000D1F0F">
              <w:rPr>
                <w:rFonts w:cs="Calibri"/>
                <w:b/>
                <w:bCs/>
                <w:color w:val="FFFFFF"/>
                <w:sz w:val="13"/>
                <w:szCs w:val="13"/>
              </w:rPr>
              <w:t>2019</w:t>
            </w:r>
          </w:p>
        </w:tc>
        <w:tc>
          <w:tcPr>
            <w:tcW w:w="1418" w:type="dxa"/>
            <w:tcBorders>
              <w:top w:val="nil"/>
              <w:left w:val="single" w:sz="8" w:space="0" w:color="FFFFFF"/>
              <w:bottom w:val="nil"/>
              <w:right w:val="nil"/>
            </w:tcBorders>
            <w:shd w:val="clear" w:color="000000" w:fill="0077BD"/>
            <w:noWrap/>
            <w:vAlign w:val="center"/>
            <w:hideMark/>
          </w:tcPr>
          <w:p w14:paraId="727A4CEC" w14:textId="77777777" w:rsidR="0011742C" w:rsidRPr="000D1F0F" w:rsidRDefault="0011742C" w:rsidP="005153F9">
            <w:pPr>
              <w:jc w:val="right"/>
              <w:rPr>
                <w:rFonts w:cs="Calibri"/>
                <w:b/>
                <w:bCs/>
                <w:color w:val="FFFFFF"/>
                <w:sz w:val="13"/>
                <w:szCs w:val="13"/>
              </w:rPr>
            </w:pPr>
            <w:r w:rsidRPr="000D1F0F">
              <w:rPr>
                <w:rFonts w:cs="Calibri"/>
                <w:b/>
                <w:bCs/>
                <w:color w:val="FFFFFF"/>
                <w:sz w:val="13"/>
                <w:szCs w:val="13"/>
              </w:rPr>
              <w:t>2018</w:t>
            </w:r>
          </w:p>
        </w:tc>
      </w:tr>
      <w:tr w:rsidR="0011742C" w:rsidRPr="00BB7C9E" w14:paraId="7ABE5B6E" w14:textId="77777777" w:rsidTr="005153F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0A2258F8" w14:textId="77777777" w:rsidR="0011742C" w:rsidRPr="00BB7C9E" w:rsidRDefault="0011742C" w:rsidP="005153F9">
            <w:pPr>
              <w:rPr>
                <w:rFonts w:cs="Calibri"/>
                <w:b/>
                <w:bCs/>
                <w:color w:val="000000" w:themeColor="text1"/>
                <w:sz w:val="13"/>
                <w:szCs w:val="13"/>
              </w:rPr>
            </w:pPr>
            <w:r w:rsidRPr="00BB7C9E">
              <w:rPr>
                <w:rFonts w:cs="Calibri"/>
                <w:b/>
                <w:bCs/>
                <w:color w:val="000000" w:themeColor="text1"/>
                <w:sz w:val="13"/>
                <w:szCs w:val="13"/>
              </w:rPr>
              <w:t>Stan na początek okresu</w:t>
            </w:r>
          </w:p>
        </w:tc>
        <w:tc>
          <w:tcPr>
            <w:tcW w:w="1418" w:type="dxa"/>
            <w:tcBorders>
              <w:top w:val="nil"/>
              <w:left w:val="nil"/>
              <w:bottom w:val="single" w:sz="8" w:space="0" w:color="0077BD"/>
              <w:right w:val="single" w:sz="8" w:space="0" w:color="0077BD"/>
            </w:tcBorders>
            <w:shd w:val="clear" w:color="auto" w:fill="auto"/>
            <w:noWrap/>
            <w:vAlign w:val="center"/>
            <w:hideMark/>
          </w:tcPr>
          <w:p w14:paraId="62BBDBC9" w14:textId="77777777" w:rsidR="0011742C" w:rsidRPr="00BB7C9E" w:rsidRDefault="0011742C" w:rsidP="005153F9">
            <w:pPr>
              <w:jc w:val="right"/>
              <w:rPr>
                <w:rFonts w:cs="Calibri"/>
                <w:b/>
                <w:bCs/>
                <w:color w:val="000000" w:themeColor="text1"/>
                <w:sz w:val="13"/>
                <w:szCs w:val="13"/>
              </w:rPr>
            </w:pPr>
            <w:r w:rsidRPr="00BB7C9E">
              <w:rPr>
                <w:rFonts w:cs="Calibri"/>
                <w:b/>
                <w:bCs/>
                <w:color w:val="000000" w:themeColor="text1"/>
                <w:sz w:val="13"/>
                <w:szCs w:val="13"/>
              </w:rPr>
              <w:t>2 474 163</w:t>
            </w:r>
          </w:p>
        </w:tc>
        <w:tc>
          <w:tcPr>
            <w:tcW w:w="1418" w:type="dxa"/>
            <w:tcBorders>
              <w:top w:val="nil"/>
              <w:left w:val="nil"/>
              <w:bottom w:val="single" w:sz="8" w:space="0" w:color="0077BD"/>
              <w:right w:val="nil"/>
            </w:tcBorders>
            <w:shd w:val="clear" w:color="auto" w:fill="auto"/>
            <w:noWrap/>
            <w:vAlign w:val="center"/>
            <w:hideMark/>
          </w:tcPr>
          <w:p w14:paraId="5BEBA8FA" w14:textId="77777777" w:rsidR="0011742C" w:rsidRPr="00BB7C9E" w:rsidRDefault="0011742C" w:rsidP="005153F9">
            <w:pPr>
              <w:jc w:val="right"/>
              <w:rPr>
                <w:rFonts w:cs="Calibri"/>
                <w:b/>
                <w:bCs/>
                <w:color w:val="000000" w:themeColor="text1"/>
                <w:sz w:val="13"/>
                <w:szCs w:val="13"/>
              </w:rPr>
            </w:pPr>
            <w:r w:rsidRPr="00BB7C9E">
              <w:rPr>
                <w:rFonts w:cs="Calibri"/>
                <w:b/>
                <w:bCs/>
                <w:color w:val="000000" w:themeColor="text1"/>
                <w:sz w:val="13"/>
                <w:szCs w:val="13"/>
              </w:rPr>
              <w:t>2 158 143</w:t>
            </w:r>
          </w:p>
        </w:tc>
      </w:tr>
      <w:tr w:rsidR="0011742C" w:rsidRPr="00BB7C9E" w14:paraId="108F1A16" w14:textId="77777777" w:rsidTr="005153F9">
        <w:trPr>
          <w:trHeight w:val="284"/>
        </w:trPr>
        <w:tc>
          <w:tcPr>
            <w:tcW w:w="6747" w:type="dxa"/>
            <w:tcBorders>
              <w:top w:val="nil"/>
              <w:left w:val="nil"/>
              <w:bottom w:val="nil"/>
              <w:right w:val="single" w:sz="8" w:space="0" w:color="0077BD"/>
            </w:tcBorders>
            <w:shd w:val="clear" w:color="auto" w:fill="auto"/>
            <w:vAlign w:val="center"/>
            <w:hideMark/>
          </w:tcPr>
          <w:p w14:paraId="73C67847" w14:textId="77777777" w:rsidR="0011742C" w:rsidRPr="00BB7C9E" w:rsidRDefault="0011742C" w:rsidP="005153F9">
            <w:pPr>
              <w:rPr>
                <w:rFonts w:cs="Calibri"/>
                <w:color w:val="000000" w:themeColor="text1"/>
                <w:sz w:val="13"/>
                <w:szCs w:val="13"/>
              </w:rPr>
            </w:pPr>
            <w:r w:rsidRPr="00BB7C9E">
              <w:rPr>
                <w:rFonts w:cs="Calibri"/>
                <w:color w:val="000000" w:themeColor="text1"/>
                <w:sz w:val="13"/>
                <w:szCs w:val="13"/>
              </w:rPr>
              <w:t>Zwiększenia (emisja)</w:t>
            </w:r>
          </w:p>
        </w:tc>
        <w:tc>
          <w:tcPr>
            <w:tcW w:w="1418" w:type="dxa"/>
            <w:tcBorders>
              <w:top w:val="single" w:sz="8" w:space="0" w:color="0077BD"/>
              <w:left w:val="single" w:sz="8" w:space="0" w:color="0077BD"/>
              <w:bottom w:val="nil"/>
              <w:right w:val="single" w:sz="8" w:space="0" w:color="0077BD"/>
            </w:tcBorders>
            <w:shd w:val="clear" w:color="auto" w:fill="auto"/>
            <w:noWrap/>
            <w:vAlign w:val="center"/>
          </w:tcPr>
          <w:p w14:paraId="20013C99"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nil"/>
              <w:right w:val="nil"/>
            </w:tcBorders>
            <w:shd w:val="clear" w:color="auto" w:fill="auto"/>
            <w:noWrap/>
            <w:vAlign w:val="center"/>
            <w:hideMark/>
          </w:tcPr>
          <w:p w14:paraId="6A7E7659"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1 655 125</w:t>
            </w:r>
          </w:p>
        </w:tc>
      </w:tr>
      <w:tr w:rsidR="0011742C" w:rsidRPr="00BB7C9E" w14:paraId="4D38584A" w14:textId="77777777" w:rsidTr="005153F9">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5CE88B18" w14:textId="77777777" w:rsidR="0011742C" w:rsidRPr="00BB7C9E" w:rsidRDefault="0011742C" w:rsidP="005153F9">
            <w:pPr>
              <w:rPr>
                <w:rFonts w:cs="Calibri"/>
                <w:color w:val="000000" w:themeColor="text1"/>
                <w:sz w:val="13"/>
                <w:szCs w:val="13"/>
              </w:rPr>
            </w:pPr>
            <w:r w:rsidRPr="00BB7C9E">
              <w:rPr>
                <w:rFonts w:cs="Calibri"/>
                <w:color w:val="000000" w:themeColor="text1"/>
                <w:sz w:val="13"/>
                <w:szCs w:val="13"/>
              </w:rPr>
              <w:t>Zmniejszenia (wykup)</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602CEE09"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single" w:sz="4" w:space="0" w:color="0077BD"/>
              <w:left w:val="nil"/>
              <w:bottom w:val="single" w:sz="4" w:space="0" w:color="0077BD"/>
              <w:right w:val="nil"/>
            </w:tcBorders>
            <w:shd w:val="clear" w:color="auto" w:fill="auto"/>
            <w:noWrap/>
            <w:vAlign w:val="center"/>
            <w:hideMark/>
          </w:tcPr>
          <w:p w14:paraId="36B4B2B3"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(1 405 125)</w:t>
            </w:r>
          </w:p>
        </w:tc>
      </w:tr>
      <w:tr w:rsidR="0011742C" w:rsidRPr="00BB7C9E" w14:paraId="6EF687F3" w14:textId="77777777" w:rsidTr="005153F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59FF1DE" w14:textId="77777777" w:rsidR="0011742C" w:rsidRPr="00BB7C9E" w:rsidRDefault="0011742C" w:rsidP="005153F9">
            <w:pPr>
              <w:rPr>
                <w:rFonts w:cs="Calibri"/>
                <w:color w:val="000000" w:themeColor="text1"/>
                <w:sz w:val="13"/>
                <w:szCs w:val="13"/>
              </w:rPr>
            </w:pPr>
            <w:r w:rsidRPr="00BB7C9E">
              <w:rPr>
                <w:rFonts w:cs="Calibri"/>
                <w:color w:val="000000" w:themeColor="text1"/>
                <w:sz w:val="13"/>
                <w:szCs w:val="13"/>
              </w:rPr>
              <w:t>Różnice kursowe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40E8319"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26 175</w:t>
            </w:r>
          </w:p>
        </w:tc>
        <w:tc>
          <w:tcPr>
            <w:tcW w:w="1418" w:type="dxa"/>
            <w:tcBorders>
              <w:top w:val="nil"/>
              <w:left w:val="nil"/>
              <w:bottom w:val="single" w:sz="4" w:space="0" w:color="0077BD"/>
              <w:right w:val="nil"/>
            </w:tcBorders>
            <w:shd w:val="clear" w:color="auto" w:fill="auto"/>
            <w:noWrap/>
            <w:vAlign w:val="center"/>
            <w:hideMark/>
          </w:tcPr>
          <w:p w14:paraId="1BC851CB"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65 850</w:t>
            </w:r>
          </w:p>
        </w:tc>
      </w:tr>
      <w:tr w:rsidR="0011742C" w:rsidRPr="00BB7C9E" w14:paraId="5A1E4518" w14:textId="77777777" w:rsidTr="005153F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02CA5FC1" w14:textId="77777777" w:rsidR="0011742C" w:rsidRPr="00BB7C9E" w:rsidRDefault="0011742C" w:rsidP="005153F9">
            <w:pPr>
              <w:rPr>
                <w:rFonts w:cs="Calibri"/>
                <w:color w:val="000000" w:themeColor="text1"/>
                <w:sz w:val="13"/>
                <w:szCs w:val="13"/>
              </w:rPr>
            </w:pPr>
            <w:r w:rsidRPr="00BB7C9E">
              <w:rPr>
                <w:rFonts w:cs="Calibri"/>
                <w:color w:val="000000" w:themeColor="text1"/>
                <w:sz w:val="13"/>
                <w:szCs w:val="13"/>
              </w:rPr>
              <w:t>Inne zmiany</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28C826F0"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(121)</w:t>
            </w:r>
          </w:p>
        </w:tc>
        <w:tc>
          <w:tcPr>
            <w:tcW w:w="1418" w:type="dxa"/>
            <w:tcBorders>
              <w:top w:val="nil"/>
              <w:left w:val="nil"/>
              <w:bottom w:val="single" w:sz="8" w:space="0" w:color="0077BD"/>
              <w:right w:val="nil"/>
            </w:tcBorders>
            <w:shd w:val="clear" w:color="auto" w:fill="auto"/>
            <w:noWrap/>
            <w:vAlign w:val="center"/>
            <w:hideMark/>
          </w:tcPr>
          <w:p w14:paraId="218A8508" w14:textId="77777777" w:rsidR="0011742C" w:rsidRPr="00BB7C9E" w:rsidRDefault="0011742C" w:rsidP="005153F9">
            <w:pPr>
              <w:jc w:val="right"/>
              <w:rPr>
                <w:rFonts w:cs="Calibri"/>
                <w:color w:val="000000" w:themeColor="text1"/>
                <w:sz w:val="13"/>
                <w:szCs w:val="13"/>
              </w:rPr>
            </w:pPr>
            <w:r w:rsidRPr="00BB7C9E">
              <w:rPr>
                <w:rFonts w:cs="Calibri"/>
                <w:color w:val="000000" w:themeColor="text1"/>
                <w:sz w:val="13"/>
                <w:szCs w:val="13"/>
              </w:rPr>
              <w:t>170</w:t>
            </w:r>
          </w:p>
        </w:tc>
      </w:tr>
      <w:tr w:rsidR="0011742C" w:rsidRPr="00BB7C9E" w14:paraId="6581E84E" w14:textId="77777777" w:rsidTr="005153F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564D849B" w14:textId="77777777" w:rsidR="0011742C" w:rsidRPr="00BB7C9E" w:rsidRDefault="0011742C" w:rsidP="005153F9">
            <w:pPr>
              <w:rPr>
                <w:rFonts w:cs="Calibri"/>
                <w:b/>
                <w:bCs/>
                <w:color w:val="000000" w:themeColor="text1"/>
                <w:sz w:val="13"/>
                <w:szCs w:val="13"/>
              </w:rPr>
            </w:pPr>
            <w:r w:rsidRPr="00BB7C9E">
              <w:rPr>
                <w:rFonts w:cs="Calibri"/>
                <w:b/>
                <w:bCs/>
                <w:color w:val="000000" w:themeColor="text1"/>
                <w:sz w:val="13"/>
                <w:szCs w:val="13"/>
              </w:rPr>
              <w:t>Stan zobowiązań podporządkowanych na koniec okresu</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76E514CF" w14:textId="77777777" w:rsidR="0011742C" w:rsidRPr="00BB7C9E" w:rsidRDefault="0011742C" w:rsidP="005153F9">
            <w:pPr>
              <w:jc w:val="right"/>
              <w:rPr>
                <w:rFonts w:cs="Calibri"/>
                <w:b/>
                <w:bCs/>
                <w:color w:val="000000" w:themeColor="text1"/>
                <w:sz w:val="13"/>
                <w:szCs w:val="13"/>
              </w:rPr>
            </w:pPr>
            <w:r w:rsidRPr="00BB7C9E">
              <w:rPr>
                <w:rFonts w:cs="Calibri"/>
                <w:b/>
                <w:bCs/>
                <w:color w:val="000000" w:themeColor="text1"/>
                <w:sz w:val="13"/>
                <w:szCs w:val="13"/>
              </w:rPr>
              <w:t>2 500 217</w:t>
            </w:r>
          </w:p>
        </w:tc>
        <w:tc>
          <w:tcPr>
            <w:tcW w:w="1418" w:type="dxa"/>
            <w:tcBorders>
              <w:top w:val="nil"/>
              <w:left w:val="nil"/>
              <w:bottom w:val="single" w:sz="8" w:space="0" w:color="0077BD"/>
              <w:right w:val="nil"/>
            </w:tcBorders>
            <w:shd w:val="clear" w:color="auto" w:fill="auto"/>
            <w:noWrap/>
            <w:vAlign w:val="center"/>
            <w:hideMark/>
          </w:tcPr>
          <w:p w14:paraId="4D5C359F" w14:textId="77777777" w:rsidR="0011742C" w:rsidRPr="00BB7C9E" w:rsidRDefault="0011742C" w:rsidP="005153F9">
            <w:pPr>
              <w:jc w:val="right"/>
              <w:rPr>
                <w:rFonts w:cs="Calibri"/>
                <w:b/>
                <w:bCs/>
                <w:color w:val="000000" w:themeColor="text1"/>
                <w:sz w:val="13"/>
                <w:szCs w:val="13"/>
              </w:rPr>
            </w:pPr>
            <w:r w:rsidRPr="00BB7C9E">
              <w:rPr>
                <w:rFonts w:cs="Calibri"/>
                <w:b/>
                <w:bCs/>
                <w:color w:val="000000" w:themeColor="text1"/>
                <w:sz w:val="13"/>
                <w:szCs w:val="13"/>
              </w:rPr>
              <w:t>2 474 163</w:t>
            </w:r>
          </w:p>
        </w:tc>
      </w:tr>
      <w:tr w:rsidR="0011742C" w:rsidRPr="00502887" w14:paraId="29E1656E" w14:textId="77777777" w:rsidTr="005153F9">
        <w:trPr>
          <w:trHeight w:val="20"/>
        </w:trPr>
        <w:tc>
          <w:tcPr>
            <w:tcW w:w="6747" w:type="dxa"/>
            <w:tcBorders>
              <w:top w:val="nil"/>
              <w:left w:val="nil"/>
              <w:bottom w:val="nil"/>
              <w:right w:val="nil"/>
            </w:tcBorders>
            <w:shd w:val="clear" w:color="auto" w:fill="auto"/>
            <w:vAlign w:val="center"/>
          </w:tcPr>
          <w:p w14:paraId="43B9E67B" w14:textId="77777777" w:rsidR="0011742C" w:rsidRPr="00502887" w:rsidRDefault="0011742C" w:rsidP="005153F9">
            <w:pPr>
              <w:jc w:val="right"/>
              <w:rPr>
                <w:rFonts w:cs="Calibri"/>
                <w:b/>
                <w:bCs/>
                <w:color w:val="000000" w:themeColor="text1"/>
                <w:sz w:val="8"/>
                <w:szCs w:val="8"/>
              </w:rPr>
            </w:pPr>
          </w:p>
        </w:tc>
        <w:tc>
          <w:tcPr>
            <w:tcW w:w="1418" w:type="dxa"/>
            <w:tcBorders>
              <w:top w:val="nil"/>
              <w:left w:val="nil"/>
              <w:bottom w:val="nil"/>
              <w:right w:val="nil"/>
            </w:tcBorders>
            <w:shd w:val="clear" w:color="auto" w:fill="auto"/>
            <w:vAlign w:val="center"/>
          </w:tcPr>
          <w:p w14:paraId="4DCBD6F9" w14:textId="77777777" w:rsidR="0011742C" w:rsidRPr="00502887" w:rsidRDefault="0011742C" w:rsidP="005153F9">
            <w:pPr>
              <w:jc w:val="right"/>
              <w:rPr>
                <w:rFonts w:ascii="Times New Roman" w:hAnsi="Times New Roman"/>
                <w:color w:val="000000" w:themeColor="text1"/>
                <w:sz w:val="8"/>
                <w:szCs w:val="8"/>
              </w:rPr>
            </w:pPr>
          </w:p>
        </w:tc>
        <w:tc>
          <w:tcPr>
            <w:tcW w:w="1418" w:type="dxa"/>
            <w:tcBorders>
              <w:top w:val="nil"/>
              <w:left w:val="nil"/>
              <w:bottom w:val="nil"/>
              <w:right w:val="nil"/>
            </w:tcBorders>
            <w:shd w:val="clear" w:color="auto" w:fill="auto"/>
            <w:vAlign w:val="center"/>
          </w:tcPr>
          <w:p w14:paraId="2002E394" w14:textId="77777777" w:rsidR="0011742C" w:rsidRPr="00502887" w:rsidRDefault="0011742C" w:rsidP="005153F9">
            <w:pPr>
              <w:jc w:val="right"/>
              <w:rPr>
                <w:rFonts w:ascii="Times New Roman" w:hAnsi="Times New Roman"/>
                <w:color w:val="000000" w:themeColor="text1"/>
                <w:sz w:val="8"/>
                <w:szCs w:val="8"/>
              </w:rPr>
            </w:pPr>
          </w:p>
        </w:tc>
      </w:tr>
      <w:tr w:rsidR="0011742C" w:rsidRPr="009B3A93" w14:paraId="01225C43" w14:textId="77777777" w:rsidTr="005153F9">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6FCFD6F" w14:textId="77777777" w:rsidR="0011742C" w:rsidRPr="009B3A93" w:rsidRDefault="0011742C" w:rsidP="005153F9">
            <w:pPr>
              <w:rPr>
                <w:rFonts w:cs="Calibri"/>
                <w:bCs/>
                <w:color w:val="000000" w:themeColor="text1"/>
                <w:sz w:val="13"/>
                <w:szCs w:val="13"/>
              </w:rPr>
            </w:pPr>
            <w:r w:rsidRPr="009B3A93">
              <w:rPr>
                <w:rFonts w:cs="Calibri"/>
                <w:bCs/>
                <w:color w:val="000000" w:themeColor="text1"/>
                <w:sz w:val="13"/>
                <w:szCs w:val="13"/>
              </w:rPr>
              <w:t>Krótkoterminowe (do 1 roku)</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293684F" w14:textId="77777777" w:rsidR="0011742C" w:rsidRPr="009B3A93" w:rsidRDefault="0011742C" w:rsidP="005153F9">
            <w:pPr>
              <w:jc w:val="right"/>
              <w:rPr>
                <w:rFonts w:cs="Calibri"/>
                <w:bCs/>
                <w:color w:val="000000" w:themeColor="text1"/>
                <w:sz w:val="13"/>
                <w:szCs w:val="13"/>
              </w:rPr>
            </w:pPr>
            <w:r w:rsidRPr="009B3A93">
              <w:rPr>
                <w:rFonts w:cs="Calibri"/>
                <w:bCs/>
                <w:color w:val="000000" w:themeColor="text1"/>
                <w:sz w:val="13"/>
                <w:szCs w:val="13"/>
              </w:rPr>
              <w:t>19 892</w:t>
            </w:r>
          </w:p>
        </w:tc>
        <w:tc>
          <w:tcPr>
            <w:tcW w:w="1418" w:type="dxa"/>
            <w:tcBorders>
              <w:top w:val="single" w:sz="8" w:space="0" w:color="0077BD"/>
              <w:left w:val="nil"/>
              <w:bottom w:val="single" w:sz="8" w:space="0" w:color="0077BD"/>
              <w:right w:val="nil"/>
            </w:tcBorders>
            <w:shd w:val="clear" w:color="auto" w:fill="auto"/>
            <w:noWrap/>
            <w:vAlign w:val="center"/>
            <w:hideMark/>
          </w:tcPr>
          <w:p w14:paraId="1C158880" w14:textId="77777777" w:rsidR="0011742C" w:rsidRPr="009B3A93" w:rsidRDefault="0011742C" w:rsidP="005153F9">
            <w:pPr>
              <w:jc w:val="right"/>
              <w:rPr>
                <w:rFonts w:cs="Calibri"/>
                <w:bCs/>
                <w:color w:val="000000" w:themeColor="text1"/>
                <w:sz w:val="13"/>
                <w:szCs w:val="13"/>
              </w:rPr>
            </w:pPr>
            <w:r w:rsidRPr="009B3A93">
              <w:rPr>
                <w:rFonts w:cs="Calibri"/>
                <w:bCs/>
                <w:color w:val="000000" w:themeColor="text1"/>
                <w:sz w:val="13"/>
                <w:szCs w:val="13"/>
              </w:rPr>
              <w:t>20 012</w:t>
            </w:r>
          </w:p>
        </w:tc>
      </w:tr>
      <w:tr w:rsidR="0011742C" w:rsidRPr="009B3A93" w14:paraId="585CCBF2" w14:textId="77777777" w:rsidTr="005153F9">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1E3A2DF0" w14:textId="77777777" w:rsidR="0011742C" w:rsidRPr="009B3A93" w:rsidRDefault="0011742C" w:rsidP="005153F9">
            <w:pPr>
              <w:rPr>
                <w:rFonts w:cs="Calibri"/>
                <w:bCs/>
                <w:color w:val="000000" w:themeColor="text1"/>
                <w:sz w:val="13"/>
                <w:szCs w:val="13"/>
              </w:rPr>
            </w:pPr>
            <w:r w:rsidRPr="009B3A93">
              <w:rPr>
                <w:rFonts w:cs="Calibri"/>
                <w:bCs/>
                <w:color w:val="000000" w:themeColor="text1"/>
                <w:sz w:val="13"/>
                <w:szCs w:val="13"/>
              </w:rPr>
              <w:t>Długoterminowe (powyżej 1 roku)</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3901217D" w14:textId="77777777" w:rsidR="0011742C" w:rsidRPr="009B3A93" w:rsidRDefault="0011742C" w:rsidP="005153F9">
            <w:pPr>
              <w:jc w:val="right"/>
              <w:rPr>
                <w:rFonts w:cs="Calibri"/>
                <w:bCs/>
                <w:color w:val="000000" w:themeColor="text1"/>
                <w:sz w:val="13"/>
                <w:szCs w:val="13"/>
              </w:rPr>
            </w:pPr>
            <w:r w:rsidRPr="009B3A93">
              <w:rPr>
                <w:rFonts w:cs="Calibri"/>
                <w:bCs/>
                <w:color w:val="000000" w:themeColor="text1"/>
                <w:sz w:val="13"/>
                <w:szCs w:val="13"/>
              </w:rPr>
              <w:t>2 480 325</w:t>
            </w:r>
          </w:p>
        </w:tc>
        <w:tc>
          <w:tcPr>
            <w:tcW w:w="1418" w:type="dxa"/>
            <w:tcBorders>
              <w:top w:val="nil"/>
              <w:left w:val="nil"/>
              <w:bottom w:val="single" w:sz="8" w:space="0" w:color="0077BD"/>
              <w:right w:val="nil"/>
            </w:tcBorders>
            <w:shd w:val="clear" w:color="auto" w:fill="auto"/>
            <w:noWrap/>
            <w:vAlign w:val="center"/>
            <w:hideMark/>
          </w:tcPr>
          <w:p w14:paraId="7B6E7A75" w14:textId="77777777" w:rsidR="0011742C" w:rsidRPr="009B3A93" w:rsidRDefault="0011742C" w:rsidP="005153F9">
            <w:pPr>
              <w:jc w:val="right"/>
              <w:rPr>
                <w:rFonts w:cs="Calibri"/>
                <w:bCs/>
                <w:color w:val="000000" w:themeColor="text1"/>
                <w:sz w:val="13"/>
                <w:szCs w:val="13"/>
              </w:rPr>
            </w:pPr>
            <w:r w:rsidRPr="009B3A93">
              <w:rPr>
                <w:rFonts w:cs="Calibri"/>
                <w:bCs/>
                <w:color w:val="000000" w:themeColor="text1"/>
                <w:sz w:val="13"/>
                <w:szCs w:val="13"/>
              </w:rPr>
              <w:t>2 454 151</w:t>
            </w:r>
          </w:p>
        </w:tc>
      </w:tr>
    </w:tbl>
    <w:p w14:paraId="1A26684D" w14:textId="50862EE1" w:rsidR="00C56EE7" w:rsidRPr="00BB7C9E" w:rsidRDefault="00C56EE7" w:rsidP="00C56EE7">
      <w:pPr>
        <w:spacing w:before="120"/>
        <w:jc w:val="both"/>
        <w:rPr>
          <w:color w:val="000000" w:themeColor="text1"/>
          <w:sz w:val="18"/>
          <w:szCs w:val="18"/>
        </w:rPr>
      </w:pPr>
      <w:r w:rsidRPr="00BB7C9E">
        <w:rPr>
          <w:color w:val="000000" w:themeColor="text1"/>
          <w:sz w:val="18"/>
          <w:szCs w:val="18"/>
        </w:rPr>
        <w:t>Efektywne oprocentowanie podane w tabelach powyżej oznacza oprocentowanie na dzień rozpoczęcia ostatniego okresu odsetkowego.</w:t>
      </w:r>
    </w:p>
    <w:p w14:paraId="4E7C030D" w14:textId="1E366B06" w:rsidR="00C56EE7" w:rsidRPr="00BB7C9E" w:rsidRDefault="00C56EE7" w:rsidP="00C56EE7">
      <w:pPr>
        <w:spacing w:before="120"/>
        <w:jc w:val="both"/>
        <w:rPr>
          <w:color w:val="000000" w:themeColor="text1"/>
          <w:sz w:val="18"/>
          <w:szCs w:val="18"/>
        </w:rPr>
      </w:pPr>
      <w:r w:rsidRPr="00BB7C9E">
        <w:rPr>
          <w:color w:val="000000" w:themeColor="text1"/>
          <w:sz w:val="18"/>
          <w:szCs w:val="18"/>
        </w:rPr>
        <w:t xml:space="preserve">W dniu 21 marca 2018 roku Bank dokonał wcześniejszego wykupu dwóch serii wieczystych obligacji podporządkowanych o łącznej wartości nominalnej równej 250 000 tys. CHF (równowartość 905 125 tys. zł według kursu NBP z dnia 21 marca 2018 roku). Obligacje były w całości objęte przez Commerzbank AG. Z dniem wykupu obligacje zostały umorzone. Bank dokonał wcześniejszej spłaty, ponieważ środki pozyskane z tych obligacji nie były dłużej uwzględniane w kapitale Tier II, zgodnie z postanowieniami art. 490 Rozporządzenia </w:t>
      </w:r>
      <w:r w:rsidR="0078097A">
        <w:rPr>
          <w:color w:val="000000" w:themeColor="text1"/>
          <w:sz w:val="18"/>
          <w:szCs w:val="18"/>
        </w:rPr>
        <w:t>CRR</w:t>
      </w:r>
      <w:r w:rsidRPr="00BB7C9E">
        <w:rPr>
          <w:color w:val="000000" w:themeColor="text1"/>
          <w:sz w:val="18"/>
          <w:szCs w:val="18"/>
        </w:rPr>
        <w:t>.</w:t>
      </w:r>
    </w:p>
    <w:p w14:paraId="068DE297" w14:textId="760F5792" w:rsidR="00C56EE7" w:rsidRPr="00BB7C9E" w:rsidRDefault="00C56EE7" w:rsidP="00C56EE7">
      <w:pPr>
        <w:spacing w:before="120"/>
        <w:jc w:val="both"/>
        <w:rPr>
          <w:color w:val="000000" w:themeColor="text1"/>
          <w:sz w:val="18"/>
          <w:szCs w:val="18"/>
        </w:rPr>
      </w:pPr>
      <w:r w:rsidRPr="00BB7C9E">
        <w:rPr>
          <w:color w:val="000000" w:themeColor="text1"/>
          <w:sz w:val="18"/>
          <w:szCs w:val="18"/>
        </w:rPr>
        <w:t xml:space="preserve">Dodatkowo w dniu 21 marca 2018 roku Bank dokonał ciągnienia pożyczki podporządkowanej w kwocie 250 000 tys. CHF (równowartość 905 125 tys. zł według kursu NBP z dnia 21 marca 2018 roku), na podstawie umowy pożyczki podporządkowanej zawartej z Commerzbankiem w dniu 27 listopada </w:t>
      </w:r>
      <w:r w:rsidR="00434491">
        <w:rPr>
          <w:color w:val="000000" w:themeColor="text1"/>
          <w:sz w:val="18"/>
          <w:szCs w:val="18"/>
        </w:rPr>
        <w:t xml:space="preserve">2017 </w:t>
      </w:r>
      <w:r w:rsidR="00434491">
        <w:rPr>
          <w:color w:val="000000" w:themeColor="text1"/>
          <w:sz w:val="18"/>
          <w:szCs w:val="18"/>
        </w:rPr>
        <w:lastRenderedPageBreak/>
        <w:t>roku. Zgodnie z warunkami u</w:t>
      </w:r>
      <w:r w:rsidRPr="00BB7C9E">
        <w:rPr>
          <w:color w:val="000000" w:themeColor="text1"/>
          <w:sz w:val="18"/>
          <w:szCs w:val="18"/>
        </w:rPr>
        <w:t>mowy wypłata środków z tytułu pożyczki oraz wykup obligacji podporządkowanych nastąpił w formie skompensowania wierzytelności.</w:t>
      </w:r>
    </w:p>
    <w:p w14:paraId="12C9E96B" w14:textId="1E06C695" w:rsidR="0059274E" w:rsidRPr="00BB7C9E" w:rsidRDefault="0059274E" w:rsidP="00C56EE7">
      <w:pPr>
        <w:spacing w:before="120"/>
        <w:jc w:val="both"/>
        <w:rPr>
          <w:color w:val="000000" w:themeColor="text1"/>
          <w:sz w:val="18"/>
          <w:szCs w:val="18"/>
        </w:rPr>
      </w:pPr>
      <w:r w:rsidRPr="00BB7C9E">
        <w:rPr>
          <w:color w:val="000000" w:themeColor="text1"/>
          <w:sz w:val="18"/>
          <w:szCs w:val="18"/>
        </w:rPr>
        <w:t>W dniu 29 marca 2018 roku Komisja Nadzoru Finansowego udzieliła zgody na zakwalifikowanie przez Bank środków pieniężnych w kwocie 250 000 tys. CHF z tytułu pożyczki podporządkowanej jako instrumentów w kapitale Tier II Banku. Kwota 250 000 tys. CHF według średniego kursu Narodowego Banku Polskiego z</w:t>
      </w:r>
      <w:r w:rsidR="00961322">
        <w:rPr>
          <w:color w:val="000000" w:themeColor="text1"/>
          <w:sz w:val="18"/>
          <w:szCs w:val="18"/>
        </w:rPr>
        <w:t> </w:t>
      </w:r>
      <w:r w:rsidR="00AC25CE">
        <w:rPr>
          <w:color w:val="000000" w:themeColor="text1"/>
          <w:sz w:val="18"/>
          <w:szCs w:val="18"/>
        </w:rPr>
        <w:t>dnia 29 marca 2018 roku</w:t>
      </w:r>
      <w:r w:rsidRPr="00BB7C9E">
        <w:rPr>
          <w:color w:val="000000" w:themeColor="text1"/>
          <w:sz w:val="18"/>
          <w:szCs w:val="18"/>
        </w:rPr>
        <w:t xml:space="preserve"> stanowi równowartość 893 200 tys. zł.</w:t>
      </w:r>
    </w:p>
    <w:p w14:paraId="7877459B" w14:textId="1A83DD95" w:rsidR="0059274E" w:rsidRPr="00BB7C9E" w:rsidRDefault="00C56EE7" w:rsidP="0059274E">
      <w:pPr>
        <w:spacing w:before="120"/>
        <w:jc w:val="both"/>
        <w:rPr>
          <w:rFonts w:cs="Tahoma"/>
          <w:color w:val="000000" w:themeColor="text1"/>
          <w:spacing w:val="-2"/>
          <w:sz w:val="18"/>
          <w:szCs w:val="18"/>
          <w:lang w:eastAsia="en-US"/>
        </w:rPr>
      </w:pPr>
      <w:r w:rsidRPr="00BB7C9E">
        <w:rPr>
          <w:rFonts w:cs="Tahoma"/>
          <w:color w:val="000000" w:themeColor="text1"/>
          <w:spacing w:val="-2"/>
          <w:sz w:val="18"/>
          <w:szCs w:val="18"/>
          <w:lang w:eastAsia="en-US"/>
        </w:rPr>
        <w:t>W dniu 9 października 2018 roku mBank S.A. wyemitował dwie serie obligacji podporządkowanych o łącznej wartości nominalnej 750 000 tys. zł. Wyemitowano 1 100 sztuk 10-letnich obligacji podporządkowanych o wartości nominalnej 500 tys. zł każda, z terminem wykupu w dniu 10 października 2028 roku, oraz</w:t>
      </w:r>
      <w:r w:rsidR="00697320">
        <w:rPr>
          <w:rFonts w:cs="Tahoma"/>
          <w:color w:val="000000" w:themeColor="text1"/>
          <w:spacing w:val="-2"/>
          <w:sz w:val="18"/>
          <w:szCs w:val="18"/>
          <w:lang w:eastAsia="en-US"/>
        </w:rPr>
        <w:t> </w:t>
      </w:r>
      <w:r w:rsidRPr="00BB7C9E">
        <w:rPr>
          <w:rFonts w:cs="Tahoma"/>
          <w:color w:val="000000" w:themeColor="text1"/>
          <w:spacing w:val="-2"/>
          <w:sz w:val="18"/>
          <w:szCs w:val="18"/>
          <w:lang w:eastAsia="en-US"/>
        </w:rPr>
        <w:t>400 sztuk 12-letnich obligacji podporządkowanych o wartości nominalnej 500 tys. zł każda, z terminem wykupu w dniu 10 października 2030 roku.</w:t>
      </w:r>
    </w:p>
    <w:p w14:paraId="3B1A285C" w14:textId="045E5DF7" w:rsidR="00C56EE7" w:rsidRPr="00BB7C9E" w:rsidRDefault="00C56EE7" w:rsidP="0059274E">
      <w:pPr>
        <w:spacing w:before="120"/>
        <w:jc w:val="both"/>
        <w:rPr>
          <w:rFonts w:cs="Tahoma"/>
          <w:color w:val="000000" w:themeColor="text1"/>
          <w:sz w:val="18"/>
          <w:szCs w:val="18"/>
        </w:rPr>
      </w:pPr>
      <w:r w:rsidRPr="00BB7C9E">
        <w:rPr>
          <w:rFonts w:cs="Tahoma"/>
          <w:color w:val="000000" w:themeColor="text1"/>
          <w:spacing w:val="-2"/>
          <w:sz w:val="18"/>
          <w:szCs w:val="18"/>
          <w:lang w:eastAsia="en-US"/>
        </w:rPr>
        <w:t xml:space="preserve">W odniesieniu </w:t>
      </w:r>
      <w:r w:rsidR="008252F8">
        <w:rPr>
          <w:rFonts w:cs="Tahoma"/>
          <w:color w:val="000000" w:themeColor="text1"/>
          <w:spacing w:val="-2"/>
          <w:sz w:val="18"/>
          <w:szCs w:val="18"/>
          <w:lang w:eastAsia="en-US"/>
        </w:rPr>
        <w:t xml:space="preserve">do </w:t>
      </w:r>
      <w:r w:rsidRPr="00BB7C9E">
        <w:rPr>
          <w:rFonts w:cs="Tahoma"/>
          <w:color w:val="000000" w:themeColor="text1"/>
          <w:spacing w:val="-2"/>
          <w:sz w:val="18"/>
          <w:szCs w:val="18"/>
          <w:lang w:eastAsia="en-US"/>
        </w:rPr>
        <w:t>emisji z dnia 9 października 2018 roku Bank wystąpił do Komisji Nadzoru Finansowego o</w:t>
      </w:r>
      <w:r w:rsidR="00961322">
        <w:rPr>
          <w:rFonts w:cs="Tahoma"/>
          <w:color w:val="000000" w:themeColor="text1"/>
          <w:spacing w:val="-2"/>
          <w:sz w:val="18"/>
          <w:szCs w:val="18"/>
          <w:lang w:eastAsia="en-US"/>
        </w:rPr>
        <w:t> </w:t>
      </w:r>
      <w:r w:rsidRPr="00BB7C9E">
        <w:rPr>
          <w:rFonts w:cs="Tahoma"/>
          <w:color w:val="000000" w:themeColor="text1"/>
          <w:spacing w:val="-2"/>
          <w:sz w:val="18"/>
          <w:szCs w:val="18"/>
          <w:lang w:eastAsia="en-US"/>
        </w:rPr>
        <w:t xml:space="preserve">wyrażenie zgody na zaliczenie do funduszy uzupełniających Banku, zgodnie z art. 127 ust. 3 pkt 2 lit b) ustawy Prawo bankowe, zobowiązania pieniężnego w kwocie 750 000 tys. zł pozyskanego przez Bank z tytułu wyżej wymienionej emisji obligacji podporządkowanych i uzyskał taką zgodę w dniu 28 listopada 2018 roku. </w:t>
      </w:r>
    </w:p>
    <w:p w14:paraId="758B1AC6" w14:textId="77777777" w:rsidR="00C56EE7" w:rsidRPr="00BB7C9E" w:rsidRDefault="00C56EE7" w:rsidP="00C56EE7">
      <w:pPr>
        <w:suppressAutoHyphens/>
        <w:spacing w:before="120"/>
        <w:jc w:val="both"/>
        <w:rPr>
          <w:rFonts w:cs="Tahoma"/>
          <w:color w:val="000000" w:themeColor="text1"/>
          <w:spacing w:val="-2"/>
          <w:sz w:val="18"/>
          <w:szCs w:val="18"/>
          <w:lang w:eastAsia="en-US"/>
        </w:rPr>
      </w:pPr>
      <w:r w:rsidRPr="00BB7C9E">
        <w:rPr>
          <w:rFonts w:cs="Tahoma"/>
          <w:color w:val="000000" w:themeColor="text1"/>
          <w:spacing w:val="-2"/>
          <w:sz w:val="18"/>
          <w:szCs w:val="18"/>
          <w:lang w:eastAsia="en-US"/>
        </w:rPr>
        <w:t>W dniu 20 grudnia 2018 roku, po uzyskaniu stosownej zgody Komisji Nadzoru Finansowego, Bank dokonał wcześniejszego wykupu obligacji podporządkowanych wyemitowanych w dniu 3 grudnia 2013 roku o łącznej wartości nominalnej 500 000 tys. zł.</w:t>
      </w:r>
    </w:p>
    <w:p w14:paraId="3083FBAF" w14:textId="77777777" w:rsidR="00C56EE7" w:rsidRPr="00BB7C9E" w:rsidRDefault="00C56EE7" w:rsidP="00C56EE7">
      <w:pPr>
        <w:spacing w:before="120"/>
        <w:jc w:val="both"/>
        <w:rPr>
          <w:color w:val="000000" w:themeColor="text1"/>
          <w:sz w:val="18"/>
          <w:szCs w:val="18"/>
        </w:rPr>
      </w:pPr>
      <w:r w:rsidRPr="00BB7C9E">
        <w:rPr>
          <w:color w:val="000000" w:themeColor="text1"/>
          <w:sz w:val="18"/>
          <w:szCs w:val="18"/>
        </w:rPr>
        <w:t>Zgodnie z decyzją z dnia 8 stycznia 2015 roku mBank uzyskał zezwolenie KNF na zaliczenie do kapitału Tier II kwoty 750 000 tys. zł, stanowiącej zobowiązanie podporządkowane z tytułu przeprowadzonej w dniu 17 grudnia 2014 roku przez mBank emisji obligacji podporządkowanych na warunkach spełniających wymagania wynikające z postanowień Rozporządzenia CRR o łącznej wartości nominalnej 750 000 tys. zł z terminem wykupu 17 stycznia 2025 roku.</w:t>
      </w:r>
    </w:p>
    <w:p w14:paraId="07FF6A2C" w14:textId="3615D7F0" w:rsidR="00947E5E" w:rsidRDefault="000D1F0F" w:rsidP="00947E5E">
      <w:pPr>
        <w:suppressAutoHyphens/>
        <w:spacing w:before="120"/>
        <w:jc w:val="both"/>
        <w:rPr>
          <w:rFonts w:cs="Tahoma"/>
          <w:color w:val="000000" w:themeColor="text1"/>
          <w:sz w:val="18"/>
          <w:szCs w:val="18"/>
        </w:rPr>
      </w:pPr>
      <w:r w:rsidRPr="00BB7C9E">
        <w:rPr>
          <w:rFonts w:cs="Tahoma"/>
          <w:color w:val="000000" w:themeColor="text1"/>
          <w:sz w:val="18"/>
          <w:szCs w:val="18"/>
        </w:rPr>
        <w:t>W 2019 roku i w 2018</w:t>
      </w:r>
      <w:r w:rsidR="00947E5E" w:rsidRPr="00BB7C9E">
        <w:rPr>
          <w:rFonts w:cs="Tahoma"/>
          <w:color w:val="000000" w:themeColor="text1"/>
          <w:sz w:val="18"/>
          <w:szCs w:val="18"/>
        </w:rPr>
        <w:t xml:space="preserve"> roku Grupa nie odnotowała żadnych opóźnień w płatnościach rat odsetkowych ani</w:t>
      </w:r>
      <w:r w:rsidR="00697320">
        <w:rPr>
          <w:rFonts w:cs="Tahoma"/>
          <w:color w:val="000000" w:themeColor="text1"/>
          <w:sz w:val="18"/>
          <w:szCs w:val="18"/>
        </w:rPr>
        <w:t> </w:t>
      </w:r>
      <w:r w:rsidR="00947E5E" w:rsidRPr="00BB7C9E">
        <w:rPr>
          <w:rFonts w:cs="Tahoma"/>
          <w:color w:val="000000" w:themeColor="text1"/>
          <w:sz w:val="18"/>
          <w:szCs w:val="18"/>
        </w:rPr>
        <w:t>nie naruszyła żadnych innych postanowień umownych wynikających ze swoich zobowiązań podporządkowanych.</w:t>
      </w:r>
    </w:p>
    <w:p w14:paraId="0D0F6B4B" w14:textId="77777777" w:rsidR="002A363C" w:rsidRPr="00BB7C9E" w:rsidRDefault="002A363C" w:rsidP="002A363C">
      <w:pPr>
        <w:suppressAutoHyphens/>
        <w:jc w:val="both"/>
        <w:rPr>
          <w:rFonts w:cs="Tahoma"/>
          <w:color w:val="000000" w:themeColor="text1"/>
          <w:sz w:val="18"/>
          <w:szCs w:val="18"/>
        </w:rPr>
      </w:pPr>
    </w:p>
    <w:p w14:paraId="7924F5CE" w14:textId="052DC279" w:rsidR="00780449" w:rsidRDefault="000B258D"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50" w:name="_Toc32999860"/>
      <w:r>
        <w:rPr>
          <w:rFonts w:cs="Tahoma"/>
          <w:bCs w:val="0"/>
          <w:iCs w:val="0"/>
          <w:color w:val="E41E0A"/>
          <w:sz w:val="18"/>
          <w:szCs w:val="18"/>
        </w:rPr>
        <w:t>Inne</w:t>
      </w:r>
      <w:r w:rsidR="00780449">
        <w:rPr>
          <w:rFonts w:cs="Tahoma"/>
          <w:bCs w:val="0"/>
          <w:iCs w:val="0"/>
          <w:color w:val="E41E0A"/>
          <w:sz w:val="18"/>
          <w:szCs w:val="18"/>
        </w:rPr>
        <w:t xml:space="preserve"> zobowiązania</w:t>
      </w:r>
      <w:bookmarkEnd w:id="150"/>
      <w:r w:rsidR="00780449">
        <w:rPr>
          <w:rFonts w:cs="Tahoma"/>
          <w:bCs w:val="0"/>
          <w:iCs w:val="0"/>
          <w:color w:val="E41E0A"/>
          <w:sz w:val="18"/>
          <w:szCs w:val="18"/>
        </w:rPr>
        <w:t xml:space="preserve"> </w:t>
      </w:r>
    </w:p>
    <w:p w14:paraId="731AE179" w14:textId="77777777" w:rsidR="001C3DA0" w:rsidRPr="001C3DA0" w:rsidRDefault="001C3DA0" w:rsidP="001C3DA0"/>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1C3DA0" w:rsidRPr="001C3DA0" w14:paraId="71EF6D81" w14:textId="77777777" w:rsidTr="007563C2">
        <w:trPr>
          <w:trHeight w:val="343"/>
        </w:trPr>
        <w:tc>
          <w:tcPr>
            <w:tcW w:w="6747" w:type="dxa"/>
            <w:tcBorders>
              <w:top w:val="nil"/>
              <w:left w:val="nil"/>
              <w:bottom w:val="nil"/>
              <w:right w:val="single" w:sz="8" w:space="0" w:color="FFFFFF"/>
            </w:tcBorders>
            <w:shd w:val="clear" w:color="000000" w:fill="0077BD"/>
            <w:noWrap/>
            <w:vAlign w:val="center"/>
            <w:hideMark/>
          </w:tcPr>
          <w:p w14:paraId="3BFB5438" w14:textId="77777777" w:rsidR="001C3DA0" w:rsidRPr="001C3DA0" w:rsidRDefault="001C3DA0" w:rsidP="001C3DA0">
            <w:pPr>
              <w:rPr>
                <w:rFonts w:cs="Calibri"/>
                <w:color w:val="99CCFF"/>
                <w:sz w:val="13"/>
                <w:szCs w:val="13"/>
              </w:rPr>
            </w:pPr>
            <w:r w:rsidRPr="001C3DA0">
              <w:rPr>
                <w:rFonts w:cs="Calibri"/>
                <w:color w:val="99CCFF"/>
                <w:sz w:val="13"/>
                <w:szCs w:val="13"/>
              </w:rPr>
              <w:t> </w:t>
            </w:r>
          </w:p>
        </w:tc>
        <w:tc>
          <w:tcPr>
            <w:tcW w:w="1418" w:type="dxa"/>
            <w:tcBorders>
              <w:top w:val="nil"/>
              <w:left w:val="nil"/>
              <w:bottom w:val="nil"/>
              <w:right w:val="nil"/>
            </w:tcBorders>
            <w:shd w:val="clear" w:color="000000" w:fill="0077BD"/>
            <w:noWrap/>
            <w:vAlign w:val="center"/>
            <w:hideMark/>
          </w:tcPr>
          <w:p w14:paraId="33DAB6B8" w14:textId="77777777" w:rsidR="001C3DA0" w:rsidRPr="001C3DA0" w:rsidRDefault="001C3DA0" w:rsidP="001C3DA0">
            <w:pPr>
              <w:jc w:val="right"/>
              <w:rPr>
                <w:rFonts w:cs="Calibri"/>
                <w:b/>
                <w:bCs/>
                <w:color w:val="FFFFFF"/>
                <w:sz w:val="13"/>
                <w:szCs w:val="13"/>
              </w:rPr>
            </w:pPr>
            <w:r w:rsidRPr="001C3DA0">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68A08A88" w14:textId="77777777" w:rsidR="001C3DA0" w:rsidRPr="001C3DA0" w:rsidRDefault="001C3DA0" w:rsidP="001C3DA0">
            <w:pPr>
              <w:jc w:val="right"/>
              <w:rPr>
                <w:rFonts w:cs="Calibri"/>
                <w:b/>
                <w:bCs/>
                <w:color w:val="FFFFFF"/>
                <w:sz w:val="13"/>
                <w:szCs w:val="13"/>
              </w:rPr>
            </w:pPr>
            <w:r w:rsidRPr="001C3DA0">
              <w:rPr>
                <w:rFonts w:cs="Calibri"/>
                <w:b/>
                <w:bCs/>
                <w:color w:val="FFFFFF"/>
                <w:sz w:val="13"/>
                <w:szCs w:val="13"/>
              </w:rPr>
              <w:t>31.12.2018</w:t>
            </w:r>
          </w:p>
        </w:tc>
      </w:tr>
      <w:tr w:rsidR="003B3DF7" w:rsidRPr="00BB7C9E" w14:paraId="2F40C118" w14:textId="77777777" w:rsidTr="007563C2">
        <w:trPr>
          <w:trHeight w:val="284"/>
        </w:trPr>
        <w:tc>
          <w:tcPr>
            <w:tcW w:w="6747" w:type="dxa"/>
            <w:tcBorders>
              <w:top w:val="nil"/>
              <w:left w:val="nil"/>
              <w:bottom w:val="nil"/>
              <w:right w:val="nil"/>
            </w:tcBorders>
            <w:shd w:val="clear" w:color="auto" w:fill="auto"/>
            <w:vAlign w:val="center"/>
            <w:hideMark/>
          </w:tcPr>
          <w:p w14:paraId="0948CF80" w14:textId="3882190C" w:rsidR="001C3DA0" w:rsidRPr="00BB7C9E" w:rsidRDefault="001C3DA0" w:rsidP="001C3DA0">
            <w:pPr>
              <w:rPr>
                <w:rFonts w:cs="Calibri"/>
                <w:b/>
                <w:bCs/>
                <w:color w:val="000000" w:themeColor="text1"/>
                <w:sz w:val="13"/>
                <w:szCs w:val="13"/>
              </w:rPr>
            </w:pPr>
            <w:r w:rsidRPr="00BB7C9E">
              <w:rPr>
                <w:rFonts w:cs="Calibri"/>
                <w:b/>
                <w:bCs/>
                <w:color w:val="000000" w:themeColor="text1"/>
                <w:sz w:val="13"/>
                <w:szCs w:val="13"/>
              </w:rPr>
              <w:t>P</w:t>
            </w:r>
            <w:r w:rsidR="00A75648">
              <w:rPr>
                <w:rFonts w:cs="Calibri"/>
                <w:b/>
                <w:bCs/>
                <w:color w:val="000000" w:themeColor="text1"/>
                <w:sz w:val="13"/>
                <w:szCs w:val="13"/>
              </w:rPr>
              <w:t>ozostałe zobowiązania</w:t>
            </w:r>
          </w:p>
        </w:tc>
        <w:tc>
          <w:tcPr>
            <w:tcW w:w="1418" w:type="dxa"/>
            <w:tcBorders>
              <w:top w:val="nil"/>
              <w:left w:val="nil"/>
              <w:bottom w:val="nil"/>
              <w:right w:val="nil"/>
            </w:tcBorders>
            <w:shd w:val="clear" w:color="auto" w:fill="auto"/>
            <w:noWrap/>
            <w:vAlign w:val="center"/>
          </w:tcPr>
          <w:p w14:paraId="494D08B0" w14:textId="77777777" w:rsidR="001C3DA0" w:rsidRPr="00BB7C9E" w:rsidRDefault="001C3DA0" w:rsidP="001C3DA0">
            <w:pPr>
              <w:rPr>
                <w:rFonts w:cs="Calibri"/>
                <w:b/>
                <w:bCs/>
                <w:color w:val="000000" w:themeColor="text1"/>
                <w:sz w:val="13"/>
                <w:szCs w:val="13"/>
              </w:rPr>
            </w:pPr>
          </w:p>
        </w:tc>
        <w:tc>
          <w:tcPr>
            <w:tcW w:w="1418" w:type="dxa"/>
            <w:tcBorders>
              <w:top w:val="nil"/>
              <w:left w:val="nil"/>
              <w:bottom w:val="nil"/>
              <w:right w:val="nil"/>
            </w:tcBorders>
            <w:shd w:val="clear" w:color="auto" w:fill="auto"/>
            <w:noWrap/>
            <w:vAlign w:val="center"/>
          </w:tcPr>
          <w:p w14:paraId="2B5321B4" w14:textId="77777777" w:rsidR="001C3DA0" w:rsidRPr="00BB7C9E" w:rsidRDefault="001C3DA0" w:rsidP="001C3DA0">
            <w:pPr>
              <w:rPr>
                <w:color w:val="000000" w:themeColor="text1"/>
                <w:sz w:val="13"/>
                <w:szCs w:val="13"/>
              </w:rPr>
            </w:pPr>
          </w:p>
        </w:tc>
      </w:tr>
      <w:tr w:rsidR="007563C2" w:rsidRPr="00BB7C9E" w14:paraId="39FC1B54" w14:textId="77777777" w:rsidTr="007563C2">
        <w:trPr>
          <w:trHeight w:val="284"/>
        </w:trPr>
        <w:tc>
          <w:tcPr>
            <w:tcW w:w="6747" w:type="dxa"/>
            <w:tcBorders>
              <w:top w:val="single" w:sz="8" w:space="0" w:color="0077BD"/>
              <w:left w:val="nil"/>
              <w:bottom w:val="single" w:sz="4" w:space="0" w:color="0077BD"/>
              <w:right w:val="single" w:sz="8" w:space="0" w:color="0077BD"/>
            </w:tcBorders>
            <w:shd w:val="clear" w:color="auto" w:fill="auto"/>
            <w:vAlign w:val="center"/>
            <w:hideMark/>
          </w:tcPr>
          <w:p w14:paraId="623C933A"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zobowiązania z tytułu podatków</w:t>
            </w:r>
          </w:p>
        </w:tc>
        <w:tc>
          <w:tcPr>
            <w:tcW w:w="1418" w:type="dxa"/>
            <w:tcBorders>
              <w:top w:val="single" w:sz="8" w:space="0" w:color="0077BD"/>
              <w:left w:val="single" w:sz="8" w:space="0" w:color="0077BD"/>
              <w:bottom w:val="single" w:sz="4" w:space="0" w:color="0077BD"/>
              <w:right w:val="single" w:sz="8" w:space="0" w:color="0077BD"/>
            </w:tcBorders>
            <w:shd w:val="clear" w:color="auto" w:fill="auto"/>
            <w:vAlign w:val="center"/>
          </w:tcPr>
          <w:p w14:paraId="48E90C49" w14:textId="78BE68CA" w:rsidR="007563C2" w:rsidRPr="00BB7C9E" w:rsidRDefault="00A75648" w:rsidP="007563C2">
            <w:pPr>
              <w:jc w:val="right"/>
              <w:rPr>
                <w:rFonts w:cs="Calibri"/>
                <w:color w:val="000000" w:themeColor="text1"/>
                <w:sz w:val="13"/>
                <w:szCs w:val="13"/>
              </w:rPr>
            </w:pPr>
            <w:r>
              <w:rPr>
                <w:rFonts w:cs="Calibri"/>
                <w:color w:val="000000" w:themeColor="text1"/>
                <w:sz w:val="13"/>
                <w:szCs w:val="13"/>
              </w:rPr>
              <w:t>234 298</w:t>
            </w:r>
          </w:p>
        </w:tc>
        <w:tc>
          <w:tcPr>
            <w:tcW w:w="1418" w:type="dxa"/>
            <w:tcBorders>
              <w:top w:val="single" w:sz="8" w:space="0" w:color="0077BD"/>
              <w:left w:val="nil"/>
              <w:bottom w:val="single" w:sz="4" w:space="0" w:color="0077BD"/>
              <w:right w:val="nil"/>
            </w:tcBorders>
            <w:shd w:val="clear" w:color="auto" w:fill="auto"/>
            <w:vAlign w:val="center"/>
            <w:hideMark/>
          </w:tcPr>
          <w:p w14:paraId="2F891BCC" w14:textId="107078DF"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198 379</w:t>
            </w:r>
          </w:p>
        </w:tc>
      </w:tr>
      <w:tr w:rsidR="007563C2" w:rsidRPr="00BB7C9E" w14:paraId="25B52E5F"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7B14487"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rozrachunki międzybankowe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069EAED0" w14:textId="45D9B9DC"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848 300</w:t>
            </w:r>
          </w:p>
        </w:tc>
        <w:tc>
          <w:tcPr>
            <w:tcW w:w="1418" w:type="dxa"/>
            <w:tcBorders>
              <w:top w:val="nil"/>
              <w:left w:val="nil"/>
              <w:bottom w:val="single" w:sz="4" w:space="0" w:color="0077BD"/>
              <w:right w:val="nil"/>
            </w:tcBorders>
            <w:shd w:val="clear" w:color="auto" w:fill="auto"/>
            <w:vAlign w:val="center"/>
            <w:hideMark/>
          </w:tcPr>
          <w:p w14:paraId="10A504C8" w14:textId="6422BB19"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776 259</w:t>
            </w:r>
          </w:p>
        </w:tc>
      </w:tr>
      <w:tr w:rsidR="007563C2" w:rsidRPr="00BB7C9E" w14:paraId="56D81744"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EA554B4" w14:textId="479187A0" w:rsidR="007563C2" w:rsidRPr="00BB7C9E" w:rsidRDefault="007563C2" w:rsidP="007563C2">
            <w:pPr>
              <w:rPr>
                <w:rFonts w:cs="Calibri"/>
                <w:color w:val="000000" w:themeColor="text1"/>
                <w:sz w:val="13"/>
                <w:szCs w:val="13"/>
              </w:rPr>
            </w:pPr>
            <w:r w:rsidRPr="00BB7C9E">
              <w:rPr>
                <w:rFonts w:cs="Calibri"/>
                <w:color w:val="000000" w:themeColor="text1"/>
                <w:sz w:val="13"/>
                <w:szCs w:val="13"/>
              </w:rPr>
              <w:t>- wierzyciele, w tym:</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7AF68EA" w14:textId="0D1F912D" w:rsidR="007563C2" w:rsidRPr="00BB7C9E" w:rsidRDefault="00A75648" w:rsidP="007563C2">
            <w:pPr>
              <w:jc w:val="right"/>
              <w:rPr>
                <w:rFonts w:cs="Calibri"/>
                <w:color w:val="000000" w:themeColor="text1"/>
                <w:sz w:val="13"/>
                <w:szCs w:val="13"/>
              </w:rPr>
            </w:pPr>
            <w:r>
              <w:rPr>
                <w:rFonts w:cs="Calibri"/>
                <w:color w:val="000000" w:themeColor="text1"/>
                <w:sz w:val="13"/>
                <w:szCs w:val="13"/>
              </w:rPr>
              <w:t>968 567</w:t>
            </w:r>
          </w:p>
        </w:tc>
        <w:tc>
          <w:tcPr>
            <w:tcW w:w="1418" w:type="dxa"/>
            <w:tcBorders>
              <w:top w:val="nil"/>
              <w:left w:val="nil"/>
              <w:bottom w:val="single" w:sz="4" w:space="0" w:color="0077BD"/>
              <w:right w:val="nil"/>
            </w:tcBorders>
            <w:shd w:val="clear" w:color="auto" w:fill="auto"/>
            <w:vAlign w:val="center"/>
            <w:hideMark/>
          </w:tcPr>
          <w:p w14:paraId="0F58A5AA" w14:textId="6AB96603"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1 478 745</w:t>
            </w:r>
          </w:p>
        </w:tc>
      </w:tr>
      <w:tr w:rsidR="007563C2" w:rsidRPr="00BB7C9E" w14:paraId="05E5BF23"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tcPr>
          <w:p w14:paraId="3EB133BA" w14:textId="350CDA18" w:rsidR="007563C2" w:rsidRPr="00BB7C9E" w:rsidRDefault="007563C2" w:rsidP="007563C2">
            <w:pPr>
              <w:rPr>
                <w:rFonts w:cs="Calibri"/>
                <w:i/>
                <w:color w:val="000000" w:themeColor="text1"/>
                <w:sz w:val="13"/>
                <w:szCs w:val="13"/>
              </w:rPr>
            </w:pPr>
            <w:r w:rsidRPr="00BB7C9E">
              <w:rPr>
                <w:rFonts w:cs="Calibri"/>
                <w:i/>
                <w:color w:val="000000" w:themeColor="text1"/>
                <w:sz w:val="13"/>
                <w:szCs w:val="13"/>
              </w:rPr>
              <w:t xml:space="preserve">   - rozliczenia z tytułu kart płatniczych</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2F1A2F67" w14:textId="658B78F9" w:rsidR="007563C2" w:rsidRPr="00BB7C9E" w:rsidRDefault="007563C2" w:rsidP="007563C2">
            <w:pPr>
              <w:jc w:val="right"/>
              <w:rPr>
                <w:rFonts w:cs="Calibri"/>
                <w:i/>
                <w:color w:val="000000" w:themeColor="text1"/>
                <w:sz w:val="13"/>
                <w:szCs w:val="13"/>
              </w:rPr>
            </w:pPr>
            <w:r w:rsidRPr="00BB7C9E">
              <w:rPr>
                <w:rFonts w:cs="Calibri"/>
                <w:i/>
                <w:iCs/>
                <w:color w:val="000000" w:themeColor="text1"/>
                <w:sz w:val="13"/>
                <w:szCs w:val="13"/>
              </w:rPr>
              <w:t>167 642</w:t>
            </w:r>
          </w:p>
        </w:tc>
        <w:tc>
          <w:tcPr>
            <w:tcW w:w="1418" w:type="dxa"/>
            <w:tcBorders>
              <w:top w:val="nil"/>
              <w:left w:val="nil"/>
              <w:bottom w:val="single" w:sz="4" w:space="0" w:color="0077BD"/>
              <w:right w:val="nil"/>
            </w:tcBorders>
            <w:shd w:val="clear" w:color="auto" w:fill="auto"/>
            <w:vAlign w:val="center"/>
          </w:tcPr>
          <w:p w14:paraId="1A994B2D" w14:textId="32ACDA46" w:rsidR="007563C2" w:rsidRPr="00BB7C9E" w:rsidRDefault="007563C2" w:rsidP="007563C2">
            <w:pPr>
              <w:jc w:val="right"/>
              <w:rPr>
                <w:rFonts w:cs="Calibri"/>
                <w:i/>
                <w:color w:val="000000" w:themeColor="text1"/>
                <w:sz w:val="13"/>
                <w:szCs w:val="13"/>
              </w:rPr>
            </w:pPr>
            <w:r w:rsidRPr="00BB7C9E">
              <w:rPr>
                <w:rFonts w:cs="Calibri"/>
                <w:i/>
                <w:iCs/>
                <w:color w:val="000000" w:themeColor="text1"/>
                <w:sz w:val="13"/>
                <w:szCs w:val="13"/>
              </w:rPr>
              <w:t>586 308</w:t>
            </w:r>
          </w:p>
        </w:tc>
      </w:tr>
      <w:tr w:rsidR="007563C2" w:rsidRPr="00BB7C9E" w14:paraId="18DF3F71"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tcPr>
          <w:p w14:paraId="59E2679F" w14:textId="4917A3CF" w:rsidR="007563C2" w:rsidRPr="00BB7C9E" w:rsidRDefault="007563C2" w:rsidP="007563C2">
            <w:pPr>
              <w:rPr>
                <w:rFonts w:cs="Calibri"/>
                <w:i/>
                <w:color w:val="000000" w:themeColor="text1"/>
                <w:sz w:val="13"/>
                <w:szCs w:val="13"/>
              </w:rPr>
            </w:pPr>
            <w:r w:rsidRPr="00BB7C9E">
              <w:rPr>
                <w:rFonts w:cs="Calibri"/>
                <w:i/>
                <w:color w:val="000000" w:themeColor="text1"/>
                <w:sz w:val="13"/>
                <w:szCs w:val="13"/>
              </w:rPr>
              <w:t xml:space="preserve">   - zobowiązania do zapłaty wobec BFG</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5DAE2AA8" w14:textId="2C3E85E6" w:rsidR="007563C2" w:rsidRPr="00BB7C9E" w:rsidRDefault="007563C2" w:rsidP="007563C2">
            <w:pPr>
              <w:jc w:val="right"/>
              <w:rPr>
                <w:rFonts w:cs="Calibri"/>
                <w:i/>
                <w:color w:val="000000" w:themeColor="text1"/>
                <w:sz w:val="13"/>
                <w:szCs w:val="13"/>
              </w:rPr>
            </w:pPr>
            <w:r w:rsidRPr="00BB7C9E">
              <w:rPr>
                <w:rFonts w:cs="Calibri"/>
                <w:i/>
                <w:iCs/>
                <w:color w:val="000000" w:themeColor="text1"/>
                <w:sz w:val="13"/>
                <w:szCs w:val="13"/>
              </w:rPr>
              <w:t>175 632</w:t>
            </w:r>
          </w:p>
        </w:tc>
        <w:tc>
          <w:tcPr>
            <w:tcW w:w="1418" w:type="dxa"/>
            <w:tcBorders>
              <w:top w:val="nil"/>
              <w:left w:val="nil"/>
              <w:bottom w:val="single" w:sz="4" w:space="0" w:color="0077BD"/>
              <w:right w:val="nil"/>
            </w:tcBorders>
            <w:shd w:val="clear" w:color="auto" w:fill="auto"/>
            <w:vAlign w:val="center"/>
          </w:tcPr>
          <w:p w14:paraId="7DA75E72" w14:textId="75A3938E" w:rsidR="007563C2" w:rsidRPr="00BB7C9E" w:rsidRDefault="007563C2" w:rsidP="007563C2">
            <w:pPr>
              <w:jc w:val="right"/>
              <w:rPr>
                <w:rFonts w:cs="Calibri"/>
                <w:i/>
                <w:color w:val="000000" w:themeColor="text1"/>
                <w:sz w:val="13"/>
                <w:szCs w:val="13"/>
              </w:rPr>
            </w:pPr>
            <w:r w:rsidRPr="00BB7C9E">
              <w:rPr>
                <w:rFonts w:cs="Calibri"/>
                <w:i/>
                <w:iCs/>
                <w:color w:val="000000" w:themeColor="text1"/>
                <w:sz w:val="13"/>
                <w:szCs w:val="13"/>
              </w:rPr>
              <w:t>105 021</w:t>
            </w:r>
          </w:p>
        </w:tc>
      </w:tr>
      <w:tr w:rsidR="007563C2" w:rsidRPr="00BB7C9E" w14:paraId="1800E45E"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B01617F"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bierne rozliczenia międzyokresowe kosztów</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F061E27" w14:textId="1F60A7F9"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213 929</w:t>
            </w:r>
          </w:p>
        </w:tc>
        <w:tc>
          <w:tcPr>
            <w:tcW w:w="1418" w:type="dxa"/>
            <w:tcBorders>
              <w:top w:val="nil"/>
              <w:left w:val="nil"/>
              <w:bottom w:val="single" w:sz="4" w:space="0" w:color="0077BD"/>
              <w:right w:val="nil"/>
            </w:tcBorders>
            <w:shd w:val="clear" w:color="auto" w:fill="auto"/>
            <w:vAlign w:val="center"/>
            <w:hideMark/>
          </w:tcPr>
          <w:p w14:paraId="68BF8FEA" w14:textId="0177476E"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236 863</w:t>
            </w:r>
          </w:p>
        </w:tc>
      </w:tr>
      <w:tr w:rsidR="007563C2" w:rsidRPr="00BB7C9E" w14:paraId="5294ECF6"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545B440"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przychody przyszłych okresów</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0E20EDBE" w14:textId="57FBF318"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401 479</w:t>
            </w:r>
          </w:p>
        </w:tc>
        <w:tc>
          <w:tcPr>
            <w:tcW w:w="1418" w:type="dxa"/>
            <w:tcBorders>
              <w:top w:val="nil"/>
              <w:left w:val="nil"/>
              <w:bottom w:val="single" w:sz="4" w:space="0" w:color="0077BD"/>
              <w:right w:val="nil"/>
            </w:tcBorders>
            <w:shd w:val="clear" w:color="auto" w:fill="auto"/>
            <w:vAlign w:val="center"/>
            <w:hideMark/>
          </w:tcPr>
          <w:p w14:paraId="204D5A7B" w14:textId="452C60FE"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426 325</w:t>
            </w:r>
          </w:p>
        </w:tc>
      </w:tr>
      <w:tr w:rsidR="007563C2" w:rsidRPr="00BB7C9E" w14:paraId="70C87A4E"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6536FC3"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rezerwa na świadczenia pracownicze po okresie zatrudnienia</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9F34FE0" w14:textId="5291B821"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25 116</w:t>
            </w:r>
          </w:p>
        </w:tc>
        <w:tc>
          <w:tcPr>
            <w:tcW w:w="1418" w:type="dxa"/>
            <w:tcBorders>
              <w:top w:val="nil"/>
              <w:left w:val="nil"/>
              <w:bottom w:val="single" w:sz="4" w:space="0" w:color="0077BD"/>
              <w:right w:val="nil"/>
            </w:tcBorders>
            <w:shd w:val="clear" w:color="auto" w:fill="auto"/>
            <w:vAlign w:val="center"/>
            <w:hideMark/>
          </w:tcPr>
          <w:p w14:paraId="464C1B84" w14:textId="472360E2"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21 827</w:t>
            </w:r>
          </w:p>
        </w:tc>
      </w:tr>
      <w:tr w:rsidR="007563C2" w:rsidRPr="00BB7C9E" w14:paraId="184B532F"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608FCFE"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rezerwa na niewykorzystane urlopy</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31DE8373" w14:textId="3348A581"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30 870</w:t>
            </w:r>
          </w:p>
        </w:tc>
        <w:tc>
          <w:tcPr>
            <w:tcW w:w="1418" w:type="dxa"/>
            <w:tcBorders>
              <w:top w:val="nil"/>
              <w:left w:val="nil"/>
              <w:bottom w:val="single" w:sz="4" w:space="0" w:color="0077BD"/>
              <w:right w:val="nil"/>
            </w:tcBorders>
            <w:shd w:val="clear" w:color="auto" w:fill="auto"/>
            <w:vAlign w:val="center"/>
            <w:hideMark/>
          </w:tcPr>
          <w:p w14:paraId="4065B130" w14:textId="3B98A44F"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28 842</w:t>
            </w:r>
          </w:p>
        </w:tc>
      </w:tr>
      <w:tr w:rsidR="007563C2" w:rsidRPr="00BB7C9E" w14:paraId="5802BC92" w14:textId="77777777" w:rsidTr="007563C2">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1CC2F643"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rezerwy na pozostałe zobowiązania wobec pracowników</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E6E270D" w14:textId="69E43001"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186 103</w:t>
            </w:r>
          </w:p>
        </w:tc>
        <w:tc>
          <w:tcPr>
            <w:tcW w:w="1418" w:type="dxa"/>
            <w:tcBorders>
              <w:top w:val="nil"/>
              <w:left w:val="nil"/>
              <w:bottom w:val="single" w:sz="4" w:space="0" w:color="0077BD"/>
              <w:right w:val="nil"/>
            </w:tcBorders>
            <w:shd w:val="clear" w:color="auto" w:fill="auto"/>
            <w:vAlign w:val="center"/>
            <w:hideMark/>
          </w:tcPr>
          <w:p w14:paraId="62DD1F32" w14:textId="4E40E92F"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178 419</w:t>
            </w:r>
          </w:p>
        </w:tc>
      </w:tr>
      <w:tr w:rsidR="007563C2" w:rsidRPr="00BB7C9E" w14:paraId="18EE06B3" w14:textId="77777777" w:rsidTr="007563C2">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C090D18" w14:textId="77777777" w:rsidR="007563C2" w:rsidRPr="00BB7C9E" w:rsidRDefault="007563C2" w:rsidP="007563C2">
            <w:pPr>
              <w:rPr>
                <w:rFonts w:cs="Calibri"/>
                <w:color w:val="000000" w:themeColor="text1"/>
                <w:sz w:val="13"/>
                <w:szCs w:val="13"/>
              </w:rPr>
            </w:pPr>
            <w:r w:rsidRPr="00BB7C9E">
              <w:rPr>
                <w:rFonts w:cs="Calibri"/>
                <w:color w:val="000000" w:themeColor="text1"/>
                <w:sz w:val="13"/>
                <w:szCs w:val="13"/>
              </w:rPr>
              <w:t>- pozostałe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02484CAE" w14:textId="2B3E8AD0"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44 120</w:t>
            </w:r>
          </w:p>
        </w:tc>
        <w:tc>
          <w:tcPr>
            <w:tcW w:w="1418" w:type="dxa"/>
            <w:tcBorders>
              <w:top w:val="nil"/>
              <w:left w:val="nil"/>
              <w:bottom w:val="single" w:sz="8" w:space="0" w:color="0077BD"/>
              <w:right w:val="nil"/>
            </w:tcBorders>
            <w:shd w:val="clear" w:color="auto" w:fill="auto"/>
            <w:vAlign w:val="center"/>
            <w:hideMark/>
          </w:tcPr>
          <w:p w14:paraId="2AB26589" w14:textId="18A38E4B" w:rsidR="007563C2" w:rsidRPr="00BB7C9E" w:rsidRDefault="007563C2" w:rsidP="007563C2">
            <w:pPr>
              <w:jc w:val="right"/>
              <w:rPr>
                <w:rFonts w:cs="Calibri"/>
                <w:color w:val="000000" w:themeColor="text1"/>
                <w:sz w:val="13"/>
                <w:szCs w:val="13"/>
              </w:rPr>
            </w:pPr>
            <w:r w:rsidRPr="00BB7C9E">
              <w:rPr>
                <w:rFonts w:cs="Calibri"/>
                <w:color w:val="000000" w:themeColor="text1"/>
                <w:sz w:val="13"/>
                <w:szCs w:val="13"/>
              </w:rPr>
              <w:t>29 613</w:t>
            </w:r>
          </w:p>
        </w:tc>
      </w:tr>
      <w:tr w:rsidR="007563C2" w:rsidRPr="00BB7C9E" w14:paraId="5C4F8E81" w14:textId="77777777" w:rsidTr="007563C2">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E83C7E8" w14:textId="77777777" w:rsidR="007563C2" w:rsidRPr="00BB7C9E" w:rsidRDefault="007563C2" w:rsidP="007563C2">
            <w:pPr>
              <w:rPr>
                <w:rFonts w:cs="Calibri"/>
                <w:b/>
                <w:bCs/>
                <w:color w:val="000000" w:themeColor="text1"/>
                <w:sz w:val="13"/>
                <w:szCs w:val="13"/>
              </w:rPr>
            </w:pPr>
            <w:r w:rsidRPr="00BB7C9E">
              <w:rPr>
                <w:rFonts w:cs="Calibri"/>
                <w:b/>
                <w:bCs/>
                <w:color w:val="000000" w:themeColor="text1"/>
                <w:sz w:val="13"/>
                <w:szCs w:val="13"/>
              </w:rPr>
              <w:t>Pozostałe zobowiązania, razem</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2099090B" w14:textId="55967F9A" w:rsidR="007563C2" w:rsidRPr="00BB7C9E" w:rsidRDefault="007563C2" w:rsidP="007563C2">
            <w:pPr>
              <w:jc w:val="right"/>
              <w:rPr>
                <w:rFonts w:cs="Calibri"/>
                <w:b/>
                <w:bCs/>
                <w:color w:val="000000" w:themeColor="text1"/>
                <w:sz w:val="13"/>
                <w:szCs w:val="13"/>
              </w:rPr>
            </w:pPr>
            <w:r w:rsidRPr="00BB7C9E">
              <w:rPr>
                <w:rFonts w:cs="Calibri"/>
                <w:b/>
                <w:bCs/>
                <w:color w:val="000000" w:themeColor="text1"/>
                <w:sz w:val="13"/>
                <w:szCs w:val="13"/>
              </w:rPr>
              <w:t>2 952 782</w:t>
            </w:r>
          </w:p>
        </w:tc>
        <w:tc>
          <w:tcPr>
            <w:tcW w:w="1418" w:type="dxa"/>
            <w:tcBorders>
              <w:top w:val="nil"/>
              <w:left w:val="nil"/>
              <w:bottom w:val="single" w:sz="8" w:space="0" w:color="0077BD"/>
              <w:right w:val="nil"/>
            </w:tcBorders>
            <w:shd w:val="clear" w:color="auto" w:fill="auto"/>
            <w:noWrap/>
            <w:vAlign w:val="center"/>
            <w:hideMark/>
          </w:tcPr>
          <w:p w14:paraId="29FCA4EB" w14:textId="5F609D83" w:rsidR="007563C2" w:rsidRPr="00BB7C9E" w:rsidRDefault="007563C2" w:rsidP="007563C2">
            <w:pPr>
              <w:jc w:val="right"/>
              <w:rPr>
                <w:rFonts w:cs="Calibri"/>
                <w:b/>
                <w:bCs/>
                <w:color w:val="000000" w:themeColor="text1"/>
                <w:sz w:val="13"/>
                <w:szCs w:val="13"/>
              </w:rPr>
            </w:pPr>
            <w:r w:rsidRPr="00BB7C9E">
              <w:rPr>
                <w:rFonts w:cs="Calibri"/>
                <w:b/>
                <w:bCs/>
                <w:color w:val="000000" w:themeColor="text1"/>
                <w:sz w:val="13"/>
                <w:szCs w:val="13"/>
              </w:rPr>
              <w:t>3 375 272</w:t>
            </w:r>
          </w:p>
        </w:tc>
      </w:tr>
    </w:tbl>
    <w:p w14:paraId="46155BDF" w14:textId="1D6DA441" w:rsidR="005D2E70" w:rsidRDefault="00780449" w:rsidP="00780449">
      <w:pPr>
        <w:spacing w:before="120"/>
        <w:jc w:val="both"/>
        <w:rPr>
          <w:rFonts w:cs="Tahoma"/>
          <w:color w:val="000000" w:themeColor="text1"/>
          <w:sz w:val="18"/>
          <w:szCs w:val="18"/>
        </w:rPr>
      </w:pPr>
      <w:r w:rsidRPr="00BB7C9E">
        <w:rPr>
          <w:rFonts w:cs="Tahoma"/>
          <w:color w:val="000000" w:themeColor="text1"/>
          <w:sz w:val="18"/>
          <w:szCs w:val="18"/>
        </w:rPr>
        <w:t>Na dzień 31 grudnia 201</w:t>
      </w:r>
      <w:r w:rsidR="001C3DA0" w:rsidRPr="00BB7C9E">
        <w:rPr>
          <w:rFonts w:cs="Tahoma"/>
          <w:color w:val="000000" w:themeColor="text1"/>
          <w:sz w:val="18"/>
          <w:szCs w:val="18"/>
        </w:rPr>
        <w:t>9</w:t>
      </w:r>
      <w:r w:rsidRPr="00BB7C9E">
        <w:rPr>
          <w:rFonts w:cs="Tahoma"/>
          <w:color w:val="000000" w:themeColor="text1"/>
          <w:sz w:val="18"/>
          <w:szCs w:val="18"/>
        </w:rPr>
        <w:t xml:space="preserve"> roku powyższa nota zawiera zobowiązania finansowe w kwocie </w:t>
      </w:r>
      <w:r w:rsidR="00E82238" w:rsidRPr="00BB7C9E">
        <w:rPr>
          <w:rFonts w:cs="Tahoma"/>
          <w:color w:val="000000" w:themeColor="text1"/>
          <w:sz w:val="18"/>
          <w:szCs w:val="18"/>
        </w:rPr>
        <w:t>2</w:t>
      </w:r>
      <w:r w:rsidR="002421A6" w:rsidRPr="00BB7C9E">
        <w:rPr>
          <w:rFonts w:cs="Tahoma"/>
          <w:color w:val="000000" w:themeColor="text1"/>
          <w:sz w:val="18"/>
          <w:szCs w:val="18"/>
        </w:rPr>
        <w:t> </w:t>
      </w:r>
      <w:r w:rsidR="0090066D">
        <w:rPr>
          <w:rFonts w:cs="Tahoma"/>
          <w:color w:val="000000" w:themeColor="text1"/>
          <w:sz w:val="18"/>
          <w:szCs w:val="18"/>
        </w:rPr>
        <w:t>030</w:t>
      </w:r>
      <w:r w:rsidR="00643496" w:rsidRPr="00BB7C9E">
        <w:rPr>
          <w:rFonts w:cs="Tahoma"/>
          <w:color w:val="000000" w:themeColor="text1"/>
          <w:sz w:val="18"/>
          <w:szCs w:val="18"/>
        </w:rPr>
        <w:t> </w:t>
      </w:r>
      <w:r w:rsidR="0090066D">
        <w:rPr>
          <w:rFonts w:cs="Tahoma"/>
          <w:color w:val="000000" w:themeColor="text1"/>
          <w:sz w:val="18"/>
          <w:szCs w:val="18"/>
        </w:rPr>
        <w:t>796</w:t>
      </w:r>
      <w:r w:rsidR="00C47531" w:rsidRPr="00BB7C9E">
        <w:rPr>
          <w:rFonts w:cs="Tahoma"/>
          <w:color w:val="000000" w:themeColor="text1"/>
          <w:sz w:val="18"/>
          <w:szCs w:val="18"/>
        </w:rPr>
        <w:t xml:space="preserve"> tys.</w:t>
      </w:r>
      <w:r w:rsidR="00DC3EC3" w:rsidRPr="00BB7C9E">
        <w:rPr>
          <w:rFonts w:cs="Tahoma"/>
          <w:color w:val="000000" w:themeColor="text1"/>
          <w:sz w:val="18"/>
          <w:szCs w:val="18"/>
        </w:rPr>
        <w:t> </w:t>
      </w:r>
      <w:r w:rsidR="00314427" w:rsidRPr="00BB7C9E">
        <w:rPr>
          <w:rFonts w:cs="Tahoma"/>
          <w:color w:val="000000" w:themeColor="text1"/>
          <w:sz w:val="18"/>
          <w:szCs w:val="18"/>
        </w:rPr>
        <w:t xml:space="preserve">zł (31 grudnia </w:t>
      </w:r>
      <w:r w:rsidR="001C3DA0" w:rsidRPr="00BB7C9E">
        <w:rPr>
          <w:rFonts w:cs="Tahoma"/>
          <w:color w:val="000000" w:themeColor="text1"/>
          <w:sz w:val="18"/>
          <w:szCs w:val="18"/>
        </w:rPr>
        <w:t>2018</w:t>
      </w:r>
      <w:r w:rsidR="00AC25CE">
        <w:rPr>
          <w:rFonts w:cs="Tahoma"/>
          <w:color w:val="000000" w:themeColor="text1"/>
          <w:sz w:val="18"/>
          <w:szCs w:val="18"/>
        </w:rPr>
        <w:t xml:space="preserve"> roku</w:t>
      </w:r>
      <w:r w:rsidRPr="00BB7C9E">
        <w:rPr>
          <w:rFonts w:cs="Tahoma"/>
          <w:color w:val="000000" w:themeColor="text1"/>
          <w:sz w:val="18"/>
          <w:szCs w:val="18"/>
        </w:rPr>
        <w:t xml:space="preserve">: </w:t>
      </w:r>
      <w:r w:rsidR="001C3DA0" w:rsidRPr="00BB7C9E">
        <w:rPr>
          <w:rFonts w:cs="Tahoma"/>
          <w:color w:val="000000" w:themeColor="text1"/>
          <w:sz w:val="18"/>
          <w:szCs w:val="18"/>
        </w:rPr>
        <w:t xml:space="preserve">2 491 867 </w:t>
      </w:r>
      <w:r w:rsidRPr="00BB7C9E">
        <w:rPr>
          <w:rFonts w:cs="Tahoma"/>
          <w:color w:val="000000" w:themeColor="text1"/>
          <w:sz w:val="18"/>
          <w:szCs w:val="18"/>
        </w:rPr>
        <w:t xml:space="preserve">tys. zł), których wymagalność została zaprezentowana w Nocie </w:t>
      </w:r>
      <w:r w:rsidR="00A916E8" w:rsidRPr="00BB7C9E">
        <w:rPr>
          <w:rFonts w:cs="Tahoma"/>
          <w:color w:val="000000" w:themeColor="text1"/>
          <w:sz w:val="18"/>
          <w:szCs w:val="18"/>
        </w:rPr>
        <w:t>3.8</w:t>
      </w:r>
      <w:r w:rsidRPr="00BB7C9E">
        <w:rPr>
          <w:rFonts w:cs="Tahoma"/>
          <w:color w:val="000000" w:themeColor="text1"/>
          <w:sz w:val="18"/>
          <w:szCs w:val="18"/>
        </w:rPr>
        <w:t>.1. Pozostałe składniki omawianych zobowiązań, za wyjątkiem części rezerw na odprawy emerytalne wyliczanych aktuarialnie, mają, co do zasady, charakter krótkoterminowy.</w:t>
      </w:r>
    </w:p>
    <w:p w14:paraId="011A55B3" w14:textId="77777777" w:rsidR="005D2E70" w:rsidRDefault="005D2E70">
      <w:pPr>
        <w:rPr>
          <w:rFonts w:cs="Tahoma"/>
          <w:color w:val="000000" w:themeColor="text1"/>
          <w:sz w:val="18"/>
          <w:szCs w:val="18"/>
        </w:rPr>
      </w:pPr>
      <w:r>
        <w:rPr>
          <w:rFonts w:cs="Tahoma"/>
          <w:color w:val="000000" w:themeColor="text1"/>
          <w:sz w:val="18"/>
          <w:szCs w:val="18"/>
        </w:rPr>
        <w:br w:type="page"/>
      </w:r>
    </w:p>
    <w:p w14:paraId="3C7255A6" w14:textId="77777777" w:rsidR="008B7E19" w:rsidRPr="00BB7C9E" w:rsidRDefault="008B7E19" w:rsidP="00D63A49">
      <w:pPr>
        <w:spacing w:before="120" w:after="120"/>
        <w:jc w:val="both"/>
        <w:rPr>
          <w:b/>
          <w:color w:val="000000" w:themeColor="text1"/>
          <w:sz w:val="18"/>
          <w:szCs w:val="18"/>
        </w:rPr>
      </w:pPr>
      <w:r w:rsidRPr="00BB7C9E">
        <w:rPr>
          <w:b/>
          <w:color w:val="000000" w:themeColor="text1"/>
          <w:sz w:val="18"/>
          <w:szCs w:val="18"/>
        </w:rPr>
        <w:lastRenderedPageBreak/>
        <w:t>Zmiana stanu rezerw na świadczenia pracownicze po okresie zatrudnienia</w:t>
      </w:r>
    </w:p>
    <w:tbl>
      <w:tblPr>
        <w:tblW w:w="9584" w:type="dxa"/>
        <w:tblInd w:w="-10"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745D79" w:rsidRPr="00745D79" w14:paraId="08BF158A" w14:textId="77777777" w:rsidTr="00E116C5">
        <w:trPr>
          <w:trHeight w:val="284"/>
        </w:trPr>
        <w:tc>
          <w:tcPr>
            <w:tcW w:w="3912" w:type="dxa"/>
            <w:tcBorders>
              <w:top w:val="nil"/>
              <w:left w:val="single" w:sz="8" w:space="0" w:color="FFFFFF"/>
              <w:right w:val="single" w:sz="8" w:space="0" w:color="FFFFFF"/>
            </w:tcBorders>
            <w:shd w:val="clear" w:color="000000" w:fill="0077BD"/>
            <w:vAlign w:val="center"/>
            <w:hideMark/>
          </w:tcPr>
          <w:p w14:paraId="3CAA0ED2" w14:textId="77777777" w:rsidR="00745D79" w:rsidRPr="00745D79" w:rsidRDefault="00745D79" w:rsidP="00745D79">
            <w:pPr>
              <w:rPr>
                <w:rFonts w:cs="Calibri"/>
                <w:b/>
                <w:bCs/>
                <w:color w:val="FFFFFF"/>
                <w:sz w:val="13"/>
                <w:szCs w:val="13"/>
              </w:rPr>
            </w:pPr>
            <w:r w:rsidRPr="00745D79">
              <w:rPr>
                <w:rFonts w:cs="Calibri"/>
                <w:b/>
                <w:bCs/>
                <w:color w:val="FFFFFF"/>
                <w:sz w:val="13"/>
                <w:szCs w:val="13"/>
              </w:rPr>
              <w:t>Okres od 1 stycznia do 31 grudnia 2019 roku</w:t>
            </w:r>
          </w:p>
        </w:tc>
        <w:tc>
          <w:tcPr>
            <w:tcW w:w="1418" w:type="dxa"/>
            <w:tcBorders>
              <w:top w:val="nil"/>
              <w:left w:val="nil"/>
              <w:right w:val="single" w:sz="8" w:space="0" w:color="FFFFFF"/>
            </w:tcBorders>
            <w:shd w:val="clear" w:color="000000" w:fill="0077BD"/>
            <w:vAlign w:val="center"/>
            <w:hideMark/>
          </w:tcPr>
          <w:p w14:paraId="63075399"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emerytalno-rentowa</w:t>
            </w:r>
          </w:p>
        </w:tc>
        <w:tc>
          <w:tcPr>
            <w:tcW w:w="1418" w:type="dxa"/>
            <w:tcBorders>
              <w:top w:val="nil"/>
              <w:left w:val="nil"/>
              <w:right w:val="nil"/>
            </w:tcBorders>
            <w:shd w:val="clear" w:color="000000" w:fill="0077BD"/>
            <w:vAlign w:val="center"/>
            <w:hideMark/>
          </w:tcPr>
          <w:p w14:paraId="2B1EEF19"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pośmiertna</w:t>
            </w:r>
          </w:p>
        </w:tc>
        <w:tc>
          <w:tcPr>
            <w:tcW w:w="1418" w:type="dxa"/>
            <w:tcBorders>
              <w:top w:val="nil"/>
              <w:left w:val="single" w:sz="8" w:space="0" w:color="FFFFFF"/>
              <w:right w:val="nil"/>
            </w:tcBorders>
            <w:shd w:val="clear" w:color="000000" w:fill="0077BD"/>
            <w:vAlign w:val="center"/>
            <w:hideMark/>
          </w:tcPr>
          <w:p w14:paraId="5CC755BE"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na świadczenia  ZFŚS</w:t>
            </w:r>
          </w:p>
        </w:tc>
        <w:tc>
          <w:tcPr>
            <w:tcW w:w="1418" w:type="dxa"/>
            <w:tcBorders>
              <w:top w:val="nil"/>
              <w:left w:val="single" w:sz="8" w:space="0" w:color="FFFFFF"/>
              <w:right w:val="nil"/>
            </w:tcBorders>
            <w:shd w:val="clear" w:color="000000" w:fill="0077BD"/>
            <w:vAlign w:val="center"/>
            <w:hideMark/>
          </w:tcPr>
          <w:p w14:paraId="663134AF"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Razem</w:t>
            </w:r>
          </w:p>
        </w:tc>
      </w:tr>
      <w:tr w:rsidR="004D11EB" w:rsidRPr="00BB7C9E" w14:paraId="149A2493" w14:textId="77777777" w:rsidTr="00B6593C">
        <w:trPr>
          <w:trHeight w:val="255"/>
        </w:trPr>
        <w:tc>
          <w:tcPr>
            <w:tcW w:w="6748" w:type="dxa"/>
            <w:gridSpan w:val="3"/>
            <w:tcBorders>
              <w:left w:val="nil"/>
              <w:bottom w:val="nil"/>
              <w:right w:val="nil"/>
            </w:tcBorders>
            <w:shd w:val="clear" w:color="auto" w:fill="auto"/>
            <w:vAlign w:val="center"/>
            <w:hideMark/>
          </w:tcPr>
          <w:p w14:paraId="25A9FB31" w14:textId="77777777" w:rsidR="00745D79" w:rsidRPr="00BB7C9E" w:rsidRDefault="00745D79" w:rsidP="00745D79">
            <w:pPr>
              <w:rPr>
                <w:rFonts w:cs="Calibri"/>
                <w:b/>
                <w:bCs/>
                <w:color w:val="000000" w:themeColor="text1"/>
                <w:sz w:val="13"/>
                <w:szCs w:val="13"/>
              </w:rPr>
            </w:pPr>
            <w:r w:rsidRPr="00BB7C9E">
              <w:rPr>
                <w:rFonts w:cs="Calibri"/>
                <w:b/>
                <w:bCs/>
                <w:color w:val="000000" w:themeColor="text1"/>
                <w:sz w:val="13"/>
                <w:szCs w:val="13"/>
              </w:rPr>
              <w:t>Rezerwa na świadczenia pracownicze po okresie zatrudnienia</w:t>
            </w:r>
          </w:p>
        </w:tc>
        <w:tc>
          <w:tcPr>
            <w:tcW w:w="1418" w:type="dxa"/>
            <w:tcBorders>
              <w:left w:val="nil"/>
              <w:bottom w:val="nil"/>
              <w:right w:val="nil"/>
            </w:tcBorders>
            <w:shd w:val="clear" w:color="auto" w:fill="auto"/>
            <w:vAlign w:val="center"/>
          </w:tcPr>
          <w:p w14:paraId="05165927" w14:textId="44D24F6A" w:rsidR="00745D79" w:rsidRPr="00BB7C9E" w:rsidRDefault="00745D79" w:rsidP="00745D79">
            <w:pPr>
              <w:rPr>
                <w:rFonts w:cs="Calibri"/>
                <w:b/>
                <w:bCs/>
                <w:color w:val="000000" w:themeColor="text1"/>
                <w:sz w:val="13"/>
                <w:szCs w:val="13"/>
              </w:rPr>
            </w:pPr>
          </w:p>
        </w:tc>
        <w:tc>
          <w:tcPr>
            <w:tcW w:w="1418" w:type="dxa"/>
            <w:tcBorders>
              <w:left w:val="nil"/>
              <w:bottom w:val="nil"/>
              <w:right w:val="nil"/>
            </w:tcBorders>
            <w:shd w:val="clear" w:color="auto" w:fill="auto"/>
            <w:vAlign w:val="center"/>
          </w:tcPr>
          <w:p w14:paraId="4566D22F" w14:textId="752FC62B" w:rsidR="00745D79" w:rsidRPr="00BB7C9E" w:rsidRDefault="00745D79" w:rsidP="00745D79">
            <w:pPr>
              <w:rPr>
                <w:rFonts w:cs="Calibri"/>
                <w:b/>
                <w:bCs/>
                <w:color w:val="000000" w:themeColor="text1"/>
                <w:sz w:val="13"/>
                <w:szCs w:val="13"/>
              </w:rPr>
            </w:pPr>
          </w:p>
        </w:tc>
      </w:tr>
      <w:tr w:rsidR="00E116C5" w:rsidRPr="00BB7C9E" w14:paraId="64F4E1E0" w14:textId="77777777" w:rsidTr="00B6593C">
        <w:trPr>
          <w:trHeight w:val="255"/>
        </w:trPr>
        <w:tc>
          <w:tcPr>
            <w:tcW w:w="3912" w:type="dxa"/>
            <w:tcBorders>
              <w:top w:val="single" w:sz="8" w:space="0" w:color="0077BD"/>
              <w:left w:val="nil"/>
              <w:bottom w:val="single" w:sz="8" w:space="0" w:color="0077BD"/>
              <w:right w:val="single" w:sz="4" w:space="0" w:color="0077BD"/>
            </w:tcBorders>
            <w:shd w:val="clear" w:color="auto" w:fill="auto"/>
            <w:vAlign w:val="center"/>
            <w:hideMark/>
          </w:tcPr>
          <w:p w14:paraId="7879EA86" w14:textId="77777777" w:rsidR="00E116C5" w:rsidRPr="00BB7C9E" w:rsidRDefault="00E116C5" w:rsidP="00E116C5">
            <w:pPr>
              <w:rPr>
                <w:rFonts w:cs="Calibri"/>
                <w:b/>
                <w:bCs/>
                <w:color w:val="000000" w:themeColor="text1"/>
                <w:sz w:val="13"/>
                <w:szCs w:val="13"/>
              </w:rPr>
            </w:pPr>
            <w:r w:rsidRPr="00BB7C9E">
              <w:rPr>
                <w:rFonts w:cs="Calibri"/>
                <w:b/>
                <w:bCs/>
                <w:color w:val="000000" w:themeColor="text1"/>
                <w:sz w:val="13"/>
                <w:szCs w:val="13"/>
              </w:rPr>
              <w:t>Stan rezerw na początek okresu</w:t>
            </w:r>
          </w:p>
        </w:tc>
        <w:tc>
          <w:tcPr>
            <w:tcW w:w="1418" w:type="dxa"/>
            <w:tcBorders>
              <w:top w:val="single" w:sz="8" w:space="0" w:color="0077BD"/>
              <w:left w:val="single" w:sz="4" w:space="0" w:color="0077BD"/>
              <w:bottom w:val="single" w:sz="8" w:space="0" w:color="0077BD"/>
              <w:right w:val="single" w:sz="4" w:space="0" w:color="0077BD"/>
            </w:tcBorders>
            <w:shd w:val="clear" w:color="auto" w:fill="auto"/>
            <w:noWrap/>
            <w:vAlign w:val="center"/>
            <w:hideMark/>
          </w:tcPr>
          <w:p w14:paraId="78270FB0" w14:textId="460B8BC5"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11 106</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0D91BA44" w14:textId="7E9D3E30"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4 714</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2AA388C3" w14:textId="34C8CBA2"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6 007</w:t>
            </w:r>
          </w:p>
        </w:tc>
        <w:tc>
          <w:tcPr>
            <w:tcW w:w="1418" w:type="dxa"/>
            <w:tcBorders>
              <w:top w:val="single" w:sz="8" w:space="0" w:color="0077BD"/>
              <w:left w:val="nil"/>
              <w:bottom w:val="single" w:sz="8" w:space="0" w:color="0077BD"/>
              <w:right w:val="nil"/>
            </w:tcBorders>
            <w:shd w:val="clear" w:color="auto" w:fill="auto"/>
            <w:noWrap/>
            <w:vAlign w:val="center"/>
            <w:hideMark/>
          </w:tcPr>
          <w:p w14:paraId="5EC2744F" w14:textId="1ED35C02"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21 827</w:t>
            </w:r>
          </w:p>
        </w:tc>
      </w:tr>
      <w:tr w:rsidR="00E116C5" w:rsidRPr="000E7704" w14:paraId="6C8B8537" w14:textId="77777777" w:rsidTr="00B6593C">
        <w:trPr>
          <w:trHeight w:val="255"/>
        </w:trPr>
        <w:tc>
          <w:tcPr>
            <w:tcW w:w="3912" w:type="dxa"/>
            <w:tcBorders>
              <w:top w:val="nil"/>
              <w:left w:val="nil"/>
              <w:bottom w:val="single" w:sz="8" w:space="0" w:color="0077BD"/>
              <w:right w:val="single" w:sz="4" w:space="0" w:color="0077BD"/>
            </w:tcBorders>
            <w:shd w:val="clear" w:color="auto" w:fill="auto"/>
            <w:vAlign w:val="center"/>
            <w:hideMark/>
          </w:tcPr>
          <w:p w14:paraId="218A2CC9" w14:textId="77777777" w:rsidR="00E116C5" w:rsidRPr="000E7704" w:rsidRDefault="00E116C5" w:rsidP="00E116C5">
            <w:pPr>
              <w:rPr>
                <w:rFonts w:cs="Calibri"/>
                <w:b/>
                <w:bCs/>
                <w:color w:val="000000" w:themeColor="text1"/>
                <w:sz w:val="13"/>
                <w:szCs w:val="13"/>
              </w:rPr>
            </w:pPr>
            <w:r w:rsidRPr="000E7704">
              <w:rPr>
                <w:rFonts w:cs="Calibri"/>
                <w:b/>
                <w:bCs/>
                <w:color w:val="000000" w:themeColor="text1"/>
                <w:sz w:val="13"/>
                <w:szCs w:val="13"/>
              </w:rPr>
              <w:t>Zmiana w okresie, z tytułu:</w:t>
            </w:r>
          </w:p>
        </w:tc>
        <w:tc>
          <w:tcPr>
            <w:tcW w:w="1418" w:type="dxa"/>
            <w:tcBorders>
              <w:top w:val="nil"/>
              <w:left w:val="single" w:sz="4" w:space="0" w:color="0077BD"/>
              <w:bottom w:val="single" w:sz="8" w:space="0" w:color="0077BD"/>
              <w:right w:val="single" w:sz="4" w:space="0" w:color="0077BD"/>
            </w:tcBorders>
            <w:shd w:val="clear" w:color="auto" w:fill="auto"/>
            <w:noWrap/>
            <w:vAlign w:val="center"/>
          </w:tcPr>
          <w:p w14:paraId="4CE4EFC3" w14:textId="2D7D8CB9" w:rsidR="00E116C5" w:rsidRPr="000E7704" w:rsidRDefault="00E116C5" w:rsidP="00E116C5">
            <w:pPr>
              <w:jc w:val="right"/>
              <w:rPr>
                <w:rFonts w:cs="Calibri"/>
                <w:b/>
                <w:color w:val="000000" w:themeColor="text1"/>
                <w:sz w:val="13"/>
                <w:szCs w:val="13"/>
              </w:rPr>
            </w:pPr>
            <w:r w:rsidRPr="000E7704">
              <w:rPr>
                <w:rFonts w:cs="Calibri"/>
                <w:b/>
                <w:color w:val="000000" w:themeColor="text1"/>
                <w:sz w:val="13"/>
                <w:szCs w:val="13"/>
              </w:rPr>
              <w:t>1 203</w:t>
            </w:r>
          </w:p>
        </w:tc>
        <w:tc>
          <w:tcPr>
            <w:tcW w:w="1418" w:type="dxa"/>
            <w:tcBorders>
              <w:top w:val="nil"/>
              <w:left w:val="nil"/>
              <w:bottom w:val="single" w:sz="8" w:space="0" w:color="0077BD"/>
              <w:right w:val="single" w:sz="4" w:space="0" w:color="0077BD"/>
            </w:tcBorders>
            <w:shd w:val="clear" w:color="auto" w:fill="auto"/>
            <w:noWrap/>
            <w:vAlign w:val="center"/>
          </w:tcPr>
          <w:p w14:paraId="05CEF664" w14:textId="448C606F" w:rsidR="00E116C5" w:rsidRPr="000E7704" w:rsidRDefault="00E116C5" w:rsidP="00E116C5">
            <w:pPr>
              <w:jc w:val="right"/>
              <w:rPr>
                <w:rFonts w:cs="Calibri"/>
                <w:b/>
                <w:color w:val="000000" w:themeColor="text1"/>
                <w:sz w:val="13"/>
                <w:szCs w:val="13"/>
              </w:rPr>
            </w:pPr>
            <w:r w:rsidRPr="000E7704">
              <w:rPr>
                <w:rFonts w:cs="Calibri"/>
                <w:b/>
                <w:color w:val="000000" w:themeColor="text1"/>
                <w:sz w:val="13"/>
                <w:szCs w:val="13"/>
              </w:rPr>
              <w:t>525</w:t>
            </w:r>
          </w:p>
        </w:tc>
        <w:tc>
          <w:tcPr>
            <w:tcW w:w="1418" w:type="dxa"/>
            <w:tcBorders>
              <w:top w:val="nil"/>
              <w:left w:val="nil"/>
              <w:bottom w:val="single" w:sz="8" w:space="0" w:color="0077BD"/>
              <w:right w:val="single" w:sz="4" w:space="0" w:color="0077BD"/>
            </w:tcBorders>
            <w:shd w:val="clear" w:color="auto" w:fill="auto"/>
            <w:noWrap/>
            <w:vAlign w:val="center"/>
          </w:tcPr>
          <w:p w14:paraId="6FCF190A" w14:textId="585C6A40" w:rsidR="00E116C5" w:rsidRPr="000E7704" w:rsidRDefault="00E116C5" w:rsidP="00E116C5">
            <w:pPr>
              <w:jc w:val="right"/>
              <w:rPr>
                <w:rFonts w:cs="Calibri"/>
                <w:b/>
                <w:color w:val="000000" w:themeColor="text1"/>
                <w:sz w:val="13"/>
                <w:szCs w:val="13"/>
              </w:rPr>
            </w:pPr>
            <w:r w:rsidRPr="000E7704">
              <w:rPr>
                <w:rFonts w:cs="Calibri"/>
                <w:b/>
                <w:color w:val="000000" w:themeColor="text1"/>
                <w:sz w:val="13"/>
                <w:szCs w:val="13"/>
              </w:rPr>
              <w:t>1 561</w:t>
            </w:r>
          </w:p>
        </w:tc>
        <w:tc>
          <w:tcPr>
            <w:tcW w:w="1418" w:type="dxa"/>
            <w:tcBorders>
              <w:top w:val="nil"/>
              <w:left w:val="nil"/>
              <w:bottom w:val="single" w:sz="8" w:space="0" w:color="0077BD"/>
              <w:right w:val="nil"/>
            </w:tcBorders>
            <w:shd w:val="clear" w:color="auto" w:fill="auto"/>
            <w:noWrap/>
            <w:vAlign w:val="center"/>
          </w:tcPr>
          <w:p w14:paraId="7700961B" w14:textId="6C64F09D" w:rsidR="00E116C5" w:rsidRPr="000E7704" w:rsidRDefault="00E116C5" w:rsidP="00E116C5">
            <w:pPr>
              <w:jc w:val="right"/>
              <w:rPr>
                <w:rFonts w:cs="Calibri"/>
                <w:b/>
                <w:color w:val="000000" w:themeColor="text1"/>
                <w:sz w:val="13"/>
                <w:szCs w:val="13"/>
              </w:rPr>
            </w:pPr>
            <w:r w:rsidRPr="000E7704">
              <w:rPr>
                <w:rFonts w:cs="Calibri"/>
                <w:b/>
                <w:color w:val="000000" w:themeColor="text1"/>
                <w:sz w:val="13"/>
                <w:szCs w:val="13"/>
              </w:rPr>
              <w:t>3 289</w:t>
            </w:r>
          </w:p>
        </w:tc>
      </w:tr>
      <w:tr w:rsidR="00E116C5" w:rsidRPr="00BB7C9E" w14:paraId="46FEE2CD"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3F826F1D" w14:textId="77777777" w:rsidR="00E116C5" w:rsidRPr="00BB7C9E" w:rsidRDefault="00E116C5" w:rsidP="00E116C5">
            <w:pPr>
              <w:rPr>
                <w:rFonts w:cs="Calibri"/>
                <w:color w:val="000000" w:themeColor="text1"/>
                <w:sz w:val="13"/>
                <w:szCs w:val="13"/>
              </w:rPr>
            </w:pPr>
            <w:r w:rsidRPr="00BB7C9E">
              <w:rPr>
                <w:rFonts w:cs="Calibri"/>
                <w:color w:val="000000" w:themeColor="text1"/>
                <w:sz w:val="13"/>
                <w:szCs w:val="13"/>
              </w:rPr>
              <w:t>Odpis na rezerwę</w:t>
            </w:r>
          </w:p>
        </w:tc>
        <w:tc>
          <w:tcPr>
            <w:tcW w:w="1418" w:type="dxa"/>
            <w:tcBorders>
              <w:top w:val="nil"/>
              <w:left w:val="single" w:sz="4" w:space="0" w:color="0077BD"/>
              <w:bottom w:val="single" w:sz="4" w:space="0" w:color="0077BD"/>
              <w:right w:val="single" w:sz="4" w:space="0" w:color="0077BD"/>
            </w:tcBorders>
            <w:shd w:val="clear" w:color="auto" w:fill="auto"/>
            <w:noWrap/>
            <w:vAlign w:val="center"/>
          </w:tcPr>
          <w:p w14:paraId="09ED872D" w14:textId="776FAF4B"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717</w:t>
            </w:r>
          </w:p>
        </w:tc>
        <w:tc>
          <w:tcPr>
            <w:tcW w:w="1418" w:type="dxa"/>
            <w:tcBorders>
              <w:top w:val="nil"/>
              <w:left w:val="nil"/>
              <w:bottom w:val="single" w:sz="4" w:space="0" w:color="0077BD"/>
              <w:right w:val="single" w:sz="4" w:space="0" w:color="0077BD"/>
            </w:tcBorders>
            <w:shd w:val="clear" w:color="auto" w:fill="auto"/>
            <w:noWrap/>
            <w:vAlign w:val="center"/>
          </w:tcPr>
          <w:p w14:paraId="78678271" w14:textId="12A4BE9E"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128</w:t>
            </w:r>
          </w:p>
        </w:tc>
        <w:tc>
          <w:tcPr>
            <w:tcW w:w="1418" w:type="dxa"/>
            <w:tcBorders>
              <w:top w:val="nil"/>
              <w:left w:val="nil"/>
              <w:bottom w:val="single" w:sz="4" w:space="0" w:color="0077BD"/>
              <w:right w:val="single" w:sz="4" w:space="0" w:color="0077BD"/>
            </w:tcBorders>
            <w:shd w:val="clear" w:color="auto" w:fill="auto"/>
            <w:noWrap/>
            <w:vAlign w:val="center"/>
          </w:tcPr>
          <w:p w14:paraId="360412A0" w14:textId="55317C4D"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269</w:t>
            </w:r>
          </w:p>
        </w:tc>
        <w:tc>
          <w:tcPr>
            <w:tcW w:w="1418" w:type="dxa"/>
            <w:tcBorders>
              <w:top w:val="nil"/>
              <w:left w:val="nil"/>
              <w:bottom w:val="single" w:sz="4" w:space="0" w:color="0077BD"/>
              <w:right w:val="nil"/>
            </w:tcBorders>
            <w:shd w:val="clear" w:color="auto" w:fill="auto"/>
            <w:noWrap/>
            <w:vAlign w:val="center"/>
            <w:hideMark/>
          </w:tcPr>
          <w:p w14:paraId="554B5B6A" w14:textId="065BFF7B"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1 114</w:t>
            </w:r>
          </w:p>
        </w:tc>
      </w:tr>
      <w:tr w:rsidR="00E116C5" w:rsidRPr="00BB7C9E" w14:paraId="1BCF8E2D"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3B4F9E87" w14:textId="77777777" w:rsidR="00E116C5" w:rsidRPr="00BB7C9E" w:rsidRDefault="00E116C5" w:rsidP="00E116C5">
            <w:pPr>
              <w:rPr>
                <w:rFonts w:cs="Calibri"/>
                <w:color w:val="000000" w:themeColor="text1"/>
                <w:sz w:val="13"/>
                <w:szCs w:val="13"/>
              </w:rPr>
            </w:pPr>
            <w:r w:rsidRPr="00BB7C9E">
              <w:rPr>
                <w:rFonts w:cs="Calibri"/>
                <w:color w:val="000000" w:themeColor="text1"/>
                <w:sz w:val="13"/>
                <w:szCs w:val="13"/>
              </w:rPr>
              <w:t>Koszt odsetkowy</w:t>
            </w:r>
          </w:p>
        </w:tc>
        <w:tc>
          <w:tcPr>
            <w:tcW w:w="1418" w:type="dxa"/>
            <w:tcBorders>
              <w:top w:val="nil"/>
              <w:left w:val="single" w:sz="4" w:space="0" w:color="0077BD"/>
              <w:bottom w:val="single" w:sz="4" w:space="0" w:color="0077BD"/>
              <w:right w:val="single" w:sz="4" w:space="0" w:color="0077BD"/>
            </w:tcBorders>
            <w:shd w:val="clear" w:color="auto" w:fill="auto"/>
            <w:noWrap/>
            <w:vAlign w:val="center"/>
          </w:tcPr>
          <w:p w14:paraId="78816287" w14:textId="1264D7F8"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289</w:t>
            </w:r>
          </w:p>
        </w:tc>
        <w:tc>
          <w:tcPr>
            <w:tcW w:w="1418" w:type="dxa"/>
            <w:tcBorders>
              <w:top w:val="nil"/>
              <w:left w:val="nil"/>
              <w:bottom w:val="single" w:sz="4" w:space="0" w:color="0077BD"/>
              <w:right w:val="single" w:sz="4" w:space="0" w:color="0077BD"/>
            </w:tcBorders>
            <w:shd w:val="clear" w:color="auto" w:fill="auto"/>
            <w:noWrap/>
            <w:vAlign w:val="center"/>
          </w:tcPr>
          <w:p w14:paraId="16ADCBCF" w14:textId="41BE071B"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134</w:t>
            </w:r>
          </w:p>
        </w:tc>
        <w:tc>
          <w:tcPr>
            <w:tcW w:w="1418" w:type="dxa"/>
            <w:tcBorders>
              <w:top w:val="nil"/>
              <w:left w:val="nil"/>
              <w:bottom w:val="single" w:sz="4" w:space="0" w:color="0077BD"/>
              <w:right w:val="single" w:sz="4" w:space="0" w:color="0077BD"/>
            </w:tcBorders>
            <w:shd w:val="clear" w:color="auto" w:fill="auto"/>
            <w:noWrap/>
            <w:vAlign w:val="center"/>
          </w:tcPr>
          <w:p w14:paraId="247073EE" w14:textId="3223719F"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169</w:t>
            </w:r>
          </w:p>
        </w:tc>
        <w:tc>
          <w:tcPr>
            <w:tcW w:w="1418" w:type="dxa"/>
            <w:tcBorders>
              <w:top w:val="nil"/>
              <w:left w:val="nil"/>
              <w:bottom w:val="single" w:sz="4" w:space="0" w:color="0077BD"/>
              <w:right w:val="nil"/>
            </w:tcBorders>
            <w:shd w:val="clear" w:color="auto" w:fill="auto"/>
            <w:noWrap/>
            <w:vAlign w:val="center"/>
            <w:hideMark/>
          </w:tcPr>
          <w:p w14:paraId="091C3FFD" w14:textId="413FEDCA"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592</w:t>
            </w:r>
          </w:p>
        </w:tc>
      </w:tr>
      <w:tr w:rsidR="00E116C5" w:rsidRPr="00BB7C9E" w14:paraId="09C01E56" w14:textId="77777777" w:rsidTr="00E116C5">
        <w:trPr>
          <w:trHeight w:val="397"/>
        </w:trPr>
        <w:tc>
          <w:tcPr>
            <w:tcW w:w="3912" w:type="dxa"/>
            <w:tcBorders>
              <w:top w:val="nil"/>
              <w:left w:val="nil"/>
              <w:bottom w:val="single" w:sz="4" w:space="0" w:color="0077BD"/>
              <w:right w:val="single" w:sz="4" w:space="0" w:color="0077BD"/>
            </w:tcBorders>
            <w:shd w:val="clear" w:color="auto" w:fill="auto"/>
            <w:vAlign w:val="center"/>
            <w:hideMark/>
          </w:tcPr>
          <w:p w14:paraId="048E0FD8" w14:textId="77777777" w:rsidR="00E116C5" w:rsidRPr="00BB7C9E" w:rsidRDefault="00E116C5" w:rsidP="00E116C5">
            <w:pPr>
              <w:rPr>
                <w:rFonts w:cs="Calibri"/>
                <w:color w:val="000000" w:themeColor="text1"/>
                <w:sz w:val="13"/>
                <w:szCs w:val="13"/>
              </w:rPr>
            </w:pPr>
            <w:r w:rsidRPr="00BB7C9E">
              <w:rPr>
                <w:rFonts w:cs="Calibri"/>
                <w:color w:val="000000" w:themeColor="text1"/>
                <w:sz w:val="13"/>
                <w:szCs w:val="13"/>
              </w:rPr>
              <w:t>Zyski i straty aktuarialne ujmowane w pozostałych dochodach całkowitych (Nota 18), w tym:</w:t>
            </w:r>
          </w:p>
        </w:tc>
        <w:tc>
          <w:tcPr>
            <w:tcW w:w="1418" w:type="dxa"/>
            <w:tcBorders>
              <w:top w:val="nil"/>
              <w:left w:val="single" w:sz="4" w:space="0" w:color="0077BD"/>
              <w:bottom w:val="single" w:sz="4" w:space="0" w:color="0077BD"/>
              <w:right w:val="single" w:sz="4" w:space="0" w:color="0077BD"/>
            </w:tcBorders>
            <w:shd w:val="clear" w:color="auto" w:fill="auto"/>
            <w:noWrap/>
            <w:vAlign w:val="center"/>
          </w:tcPr>
          <w:p w14:paraId="59028D7C" w14:textId="4C92317A"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608</w:t>
            </w:r>
          </w:p>
        </w:tc>
        <w:tc>
          <w:tcPr>
            <w:tcW w:w="1418" w:type="dxa"/>
            <w:tcBorders>
              <w:top w:val="nil"/>
              <w:left w:val="nil"/>
              <w:bottom w:val="single" w:sz="4" w:space="0" w:color="0077BD"/>
              <w:right w:val="single" w:sz="4" w:space="0" w:color="0077BD"/>
            </w:tcBorders>
            <w:shd w:val="clear" w:color="auto" w:fill="auto"/>
            <w:noWrap/>
            <w:vAlign w:val="center"/>
          </w:tcPr>
          <w:p w14:paraId="51FABAD8" w14:textId="1F810005"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266</w:t>
            </w:r>
          </w:p>
        </w:tc>
        <w:tc>
          <w:tcPr>
            <w:tcW w:w="1418" w:type="dxa"/>
            <w:tcBorders>
              <w:top w:val="nil"/>
              <w:left w:val="nil"/>
              <w:bottom w:val="single" w:sz="4" w:space="0" w:color="0077BD"/>
              <w:right w:val="single" w:sz="4" w:space="0" w:color="0077BD"/>
            </w:tcBorders>
            <w:shd w:val="clear" w:color="auto" w:fill="auto"/>
            <w:noWrap/>
            <w:vAlign w:val="center"/>
          </w:tcPr>
          <w:p w14:paraId="1ADEC06B" w14:textId="32EA8C78"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1 609</w:t>
            </w:r>
          </w:p>
        </w:tc>
        <w:tc>
          <w:tcPr>
            <w:tcW w:w="1418" w:type="dxa"/>
            <w:tcBorders>
              <w:top w:val="nil"/>
              <w:left w:val="nil"/>
              <w:bottom w:val="single" w:sz="4" w:space="0" w:color="0077BD"/>
              <w:right w:val="nil"/>
            </w:tcBorders>
            <w:shd w:val="clear" w:color="auto" w:fill="auto"/>
            <w:noWrap/>
            <w:vAlign w:val="center"/>
            <w:hideMark/>
          </w:tcPr>
          <w:p w14:paraId="6E889B71" w14:textId="1F676D07"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2 483</w:t>
            </w:r>
          </w:p>
        </w:tc>
      </w:tr>
      <w:tr w:rsidR="00E116C5" w:rsidRPr="00BB7C9E" w14:paraId="6DD16DC6"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2A588C74" w14:textId="77777777" w:rsidR="00E116C5" w:rsidRPr="00BB7C9E" w:rsidRDefault="00E116C5" w:rsidP="00E116C5">
            <w:pPr>
              <w:ind w:firstLineChars="100" w:firstLine="130"/>
              <w:rPr>
                <w:rFonts w:cs="Calibri"/>
                <w:i/>
                <w:iCs/>
                <w:color w:val="000000" w:themeColor="text1"/>
                <w:sz w:val="13"/>
                <w:szCs w:val="13"/>
              </w:rPr>
            </w:pPr>
            <w:r w:rsidRPr="00BB7C9E">
              <w:rPr>
                <w:rFonts w:cs="Calibri"/>
                <w:i/>
                <w:iCs/>
                <w:color w:val="000000" w:themeColor="text1"/>
                <w:sz w:val="13"/>
                <w:szCs w:val="13"/>
              </w:rPr>
              <w:t>- Zmiana założeń finansowych</w:t>
            </w:r>
          </w:p>
        </w:tc>
        <w:tc>
          <w:tcPr>
            <w:tcW w:w="1418" w:type="dxa"/>
            <w:tcBorders>
              <w:top w:val="nil"/>
              <w:left w:val="single" w:sz="4" w:space="0" w:color="0077BD"/>
              <w:bottom w:val="single" w:sz="4" w:space="0" w:color="0077BD"/>
              <w:right w:val="single" w:sz="4" w:space="0" w:color="0077BD"/>
            </w:tcBorders>
            <w:shd w:val="clear" w:color="auto" w:fill="auto"/>
            <w:vAlign w:val="center"/>
          </w:tcPr>
          <w:p w14:paraId="2211155C" w14:textId="5DCE5845"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905</w:t>
            </w:r>
          </w:p>
        </w:tc>
        <w:tc>
          <w:tcPr>
            <w:tcW w:w="1418" w:type="dxa"/>
            <w:tcBorders>
              <w:top w:val="nil"/>
              <w:left w:val="nil"/>
              <w:bottom w:val="single" w:sz="4" w:space="0" w:color="0077BD"/>
              <w:right w:val="single" w:sz="4" w:space="0" w:color="0077BD"/>
            </w:tcBorders>
            <w:shd w:val="clear" w:color="auto" w:fill="auto"/>
            <w:vAlign w:val="center"/>
          </w:tcPr>
          <w:p w14:paraId="046D2E63" w14:textId="501D27C8"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421</w:t>
            </w:r>
          </w:p>
        </w:tc>
        <w:tc>
          <w:tcPr>
            <w:tcW w:w="1418" w:type="dxa"/>
            <w:tcBorders>
              <w:top w:val="nil"/>
              <w:left w:val="nil"/>
              <w:bottom w:val="single" w:sz="4" w:space="0" w:color="0077BD"/>
              <w:right w:val="single" w:sz="4" w:space="0" w:color="0077BD"/>
            </w:tcBorders>
            <w:shd w:val="clear" w:color="auto" w:fill="auto"/>
            <w:vAlign w:val="center"/>
          </w:tcPr>
          <w:p w14:paraId="6B9935C6" w14:textId="098BFFE6"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1 286</w:t>
            </w:r>
          </w:p>
        </w:tc>
        <w:tc>
          <w:tcPr>
            <w:tcW w:w="1418" w:type="dxa"/>
            <w:tcBorders>
              <w:top w:val="nil"/>
              <w:left w:val="nil"/>
              <w:bottom w:val="single" w:sz="4" w:space="0" w:color="0077BD"/>
              <w:right w:val="nil"/>
            </w:tcBorders>
            <w:shd w:val="clear" w:color="auto" w:fill="auto"/>
            <w:vAlign w:val="center"/>
            <w:hideMark/>
          </w:tcPr>
          <w:p w14:paraId="6FB0D467" w14:textId="14739518"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2 612</w:t>
            </w:r>
          </w:p>
        </w:tc>
      </w:tr>
      <w:tr w:rsidR="00E116C5" w:rsidRPr="00BB7C9E" w14:paraId="27881101"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166D3699" w14:textId="77777777" w:rsidR="00E116C5" w:rsidRPr="00BB7C9E" w:rsidRDefault="00E116C5" w:rsidP="00E116C5">
            <w:pPr>
              <w:ind w:firstLineChars="100" w:firstLine="130"/>
              <w:rPr>
                <w:rFonts w:cs="Calibri"/>
                <w:i/>
                <w:iCs/>
                <w:color w:val="000000" w:themeColor="text1"/>
                <w:sz w:val="13"/>
                <w:szCs w:val="13"/>
              </w:rPr>
            </w:pPr>
            <w:r w:rsidRPr="00BB7C9E">
              <w:rPr>
                <w:rFonts w:cs="Calibri"/>
                <w:i/>
                <w:iCs/>
                <w:color w:val="000000" w:themeColor="text1"/>
                <w:sz w:val="13"/>
                <w:szCs w:val="13"/>
              </w:rPr>
              <w:t>- Zmiana założeń demograficznych</w:t>
            </w:r>
          </w:p>
        </w:tc>
        <w:tc>
          <w:tcPr>
            <w:tcW w:w="1418" w:type="dxa"/>
            <w:tcBorders>
              <w:top w:val="nil"/>
              <w:left w:val="single" w:sz="4" w:space="0" w:color="0077BD"/>
              <w:bottom w:val="single" w:sz="4" w:space="0" w:color="0077BD"/>
              <w:right w:val="single" w:sz="4" w:space="0" w:color="0077BD"/>
            </w:tcBorders>
            <w:shd w:val="clear" w:color="auto" w:fill="auto"/>
            <w:vAlign w:val="center"/>
          </w:tcPr>
          <w:p w14:paraId="76D4542F" w14:textId="312B6D92"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194</w:t>
            </w:r>
          </w:p>
        </w:tc>
        <w:tc>
          <w:tcPr>
            <w:tcW w:w="1418" w:type="dxa"/>
            <w:tcBorders>
              <w:top w:val="nil"/>
              <w:left w:val="nil"/>
              <w:bottom w:val="single" w:sz="4" w:space="0" w:color="0077BD"/>
              <w:right w:val="single" w:sz="4" w:space="0" w:color="0077BD"/>
            </w:tcBorders>
            <w:shd w:val="clear" w:color="auto" w:fill="auto"/>
            <w:vAlign w:val="center"/>
          </w:tcPr>
          <w:p w14:paraId="4AAE8FA7" w14:textId="6A174830"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93</w:t>
            </w:r>
          </w:p>
        </w:tc>
        <w:tc>
          <w:tcPr>
            <w:tcW w:w="1418" w:type="dxa"/>
            <w:tcBorders>
              <w:top w:val="nil"/>
              <w:left w:val="nil"/>
              <w:bottom w:val="single" w:sz="4" w:space="0" w:color="0077BD"/>
              <w:right w:val="single" w:sz="4" w:space="0" w:color="0077BD"/>
            </w:tcBorders>
            <w:shd w:val="clear" w:color="auto" w:fill="auto"/>
            <w:vAlign w:val="center"/>
          </w:tcPr>
          <w:p w14:paraId="25C9C7D2" w14:textId="1A394496"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65</w:t>
            </w:r>
          </w:p>
        </w:tc>
        <w:tc>
          <w:tcPr>
            <w:tcW w:w="1418" w:type="dxa"/>
            <w:tcBorders>
              <w:top w:val="nil"/>
              <w:left w:val="nil"/>
              <w:bottom w:val="single" w:sz="4" w:space="0" w:color="0077BD"/>
              <w:right w:val="nil"/>
            </w:tcBorders>
            <w:shd w:val="clear" w:color="auto" w:fill="auto"/>
            <w:vAlign w:val="center"/>
            <w:hideMark/>
          </w:tcPr>
          <w:p w14:paraId="49038813" w14:textId="4E1BC75D"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352</w:t>
            </w:r>
          </w:p>
        </w:tc>
      </w:tr>
      <w:tr w:rsidR="00E116C5" w:rsidRPr="00BB7C9E" w14:paraId="6A0470B8"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2A010D82" w14:textId="77777777" w:rsidR="00E116C5" w:rsidRPr="00BB7C9E" w:rsidRDefault="00E116C5" w:rsidP="00E116C5">
            <w:pPr>
              <w:ind w:firstLineChars="100" w:firstLine="130"/>
              <w:rPr>
                <w:rFonts w:cs="Calibri"/>
                <w:i/>
                <w:iCs/>
                <w:color w:val="000000" w:themeColor="text1"/>
                <w:sz w:val="13"/>
                <w:szCs w:val="13"/>
              </w:rPr>
            </w:pPr>
            <w:r w:rsidRPr="00BB7C9E">
              <w:rPr>
                <w:rFonts w:cs="Calibri"/>
                <w:i/>
                <w:iCs/>
                <w:color w:val="000000" w:themeColor="text1"/>
                <w:sz w:val="13"/>
                <w:szCs w:val="13"/>
              </w:rPr>
              <w:t>- Pozostałe zmiany</w:t>
            </w:r>
          </w:p>
        </w:tc>
        <w:tc>
          <w:tcPr>
            <w:tcW w:w="1418" w:type="dxa"/>
            <w:tcBorders>
              <w:top w:val="nil"/>
              <w:left w:val="single" w:sz="4" w:space="0" w:color="0077BD"/>
              <w:bottom w:val="single" w:sz="4" w:space="0" w:color="0077BD"/>
              <w:right w:val="single" w:sz="4" w:space="0" w:color="0077BD"/>
            </w:tcBorders>
            <w:shd w:val="clear" w:color="auto" w:fill="auto"/>
            <w:vAlign w:val="center"/>
          </w:tcPr>
          <w:p w14:paraId="05700C45" w14:textId="1ABC12D4"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(491)</w:t>
            </w:r>
          </w:p>
        </w:tc>
        <w:tc>
          <w:tcPr>
            <w:tcW w:w="1418" w:type="dxa"/>
            <w:tcBorders>
              <w:top w:val="nil"/>
              <w:left w:val="nil"/>
              <w:bottom w:val="single" w:sz="4" w:space="0" w:color="0077BD"/>
              <w:right w:val="single" w:sz="4" w:space="0" w:color="0077BD"/>
            </w:tcBorders>
            <w:shd w:val="clear" w:color="auto" w:fill="auto"/>
            <w:vAlign w:val="center"/>
          </w:tcPr>
          <w:p w14:paraId="369376F4" w14:textId="3C2B12E7"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(248)</w:t>
            </w:r>
          </w:p>
        </w:tc>
        <w:tc>
          <w:tcPr>
            <w:tcW w:w="1418" w:type="dxa"/>
            <w:tcBorders>
              <w:top w:val="nil"/>
              <w:left w:val="nil"/>
              <w:bottom w:val="single" w:sz="4" w:space="0" w:color="0077BD"/>
              <w:right w:val="single" w:sz="4" w:space="0" w:color="0077BD"/>
            </w:tcBorders>
            <w:shd w:val="clear" w:color="auto" w:fill="auto"/>
            <w:vAlign w:val="center"/>
          </w:tcPr>
          <w:p w14:paraId="524737D8" w14:textId="5B80F11F"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258</w:t>
            </w:r>
          </w:p>
        </w:tc>
        <w:tc>
          <w:tcPr>
            <w:tcW w:w="1418" w:type="dxa"/>
            <w:tcBorders>
              <w:top w:val="nil"/>
              <w:left w:val="nil"/>
              <w:bottom w:val="single" w:sz="4" w:space="0" w:color="0077BD"/>
              <w:right w:val="nil"/>
            </w:tcBorders>
            <w:shd w:val="clear" w:color="auto" w:fill="auto"/>
            <w:vAlign w:val="center"/>
            <w:hideMark/>
          </w:tcPr>
          <w:p w14:paraId="11364512" w14:textId="65195477" w:rsidR="00E116C5" w:rsidRPr="00BB7C9E" w:rsidRDefault="00E116C5" w:rsidP="00E116C5">
            <w:pPr>
              <w:jc w:val="right"/>
              <w:rPr>
                <w:rFonts w:cs="Calibri"/>
                <w:i/>
                <w:iCs/>
                <w:color w:val="000000" w:themeColor="text1"/>
                <w:sz w:val="13"/>
                <w:szCs w:val="13"/>
              </w:rPr>
            </w:pPr>
            <w:r w:rsidRPr="00BB7C9E">
              <w:rPr>
                <w:rFonts w:cs="Calibri"/>
                <w:i/>
                <w:iCs/>
                <w:color w:val="000000" w:themeColor="text1"/>
                <w:sz w:val="13"/>
                <w:szCs w:val="13"/>
              </w:rPr>
              <w:t>(481)</w:t>
            </w:r>
          </w:p>
        </w:tc>
      </w:tr>
      <w:tr w:rsidR="00E116C5" w:rsidRPr="00BB7C9E" w14:paraId="430F1D88" w14:textId="77777777" w:rsidTr="00B6593C">
        <w:trPr>
          <w:trHeight w:val="255"/>
        </w:trPr>
        <w:tc>
          <w:tcPr>
            <w:tcW w:w="3912" w:type="dxa"/>
            <w:tcBorders>
              <w:top w:val="nil"/>
              <w:left w:val="nil"/>
              <w:bottom w:val="nil"/>
              <w:right w:val="single" w:sz="4" w:space="0" w:color="0077BD"/>
            </w:tcBorders>
            <w:shd w:val="clear" w:color="auto" w:fill="auto"/>
            <w:vAlign w:val="center"/>
            <w:hideMark/>
          </w:tcPr>
          <w:p w14:paraId="71E36F44" w14:textId="77777777" w:rsidR="00E116C5" w:rsidRPr="00BB7C9E" w:rsidRDefault="00E116C5" w:rsidP="00E116C5">
            <w:pPr>
              <w:rPr>
                <w:rFonts w:cs="Calibri"/>
                <w:color w:val="000000" w:themeColor="text1"/>
                <w:sz w:val="13"/>
                <w:szCs w:val="13"/>
              </w:rPr>
            </w:pPr>
            <w:r w:rsidRPr="00BB7C9E">
              <w:rPr>
                <w:rFonts w:cs="Calibri"/>
                <w:color w:val="000000" w:themeColor="text1"/>
                <w:sz w:val="13"/>
                <w:szCs w:val="13"/>
              </w:rPr>
              <w:t>Świadczenia wypłacone</w:t>
            </w:r>
          </w:p>
        </w:tc>
        <w:tc>
          <w:tcPr>
            <w:tcW w:w="1418" w:type="dxa"/>
            <w:tcBorders>
              <w:top w:val="nil"/>
              <w:left w:val="single" w:sz="4" w:space="0" w:color="0077BD"/>
              <w:bottom w:val="nil"/>
              <w:right w:val="single" w:sz="4" w:space="0" w:color="0077BD"/>
            </w:tcBorders>
            <w:shd w:val="clear" w:color="auto" w:fill="auto"/>
            <w:vAlign w:val="center"/>
          </w:tcPr>
          <w:p w14:paraId="3D3076CB" w14:textId="15F18B39"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(411)</w:t>
            </w:r>
          </w:p>
        </w:tc>
        <w:tc>
          <w:tcPr>
            <w:tcW w:w="1418" w:type="dxa"/>
            <w:tcBorders>
              <w:top w:val="nil"/>
              <w:left w:val="nil"/>
              <w:bottom w:val="nil"/>
              <w:right w:val="single" w:sz="4" w:space="0" w:color="0077BD"/>
            </w:tcBorders>
            <w:shd w:val="clear" w:color="auto" w:fill="auto"/>
            <w:vAlign w:val="center"/>
          </w:tcPr>
          <w:p w14:paraId="074A2397" w14:textId="6E76CF03"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(3)</w:t>
            </w:r>
          </w:p>
        </w:tc>
        <w:tc>
          <w:tcPr>
            <w:tcW w:w="1418" w:type="dxa"/>
            <w:tcBorders>
              <w:top w:val="nil"/>
              <w:left w:val="nil"/>
              <w:bottom w:val="nil"/>
              <w:right w:val="single" w:sz="4" w:space="0" w:color="0077BD"/>
            </w:tcBorders>
            <w:shd w:val="clear" w:color="auto" w:fill="auto"/>
            <w:vAlign w:val="center"/>
          </w:tcPr>
          <w:p w14:paraId="4244032A" w14:textId="5EF0A6F7"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(486)</w:t>
            </w:r>
          </w:p>
        </w:tc>
        <w:tc>
          <w:tcPr>
            <w:tcW w:w="1418" w:type="dxa"/>
            <w:tcBorders>
              <w:top w:val="nil"/>
              <w:left w:val="nil"/>
              <w:bottom w:val="nil"/>
              <w:right w:val="nil"/>
            </w:tcBorders>
            <w:shd w:val="clear" w:color="auto" w:fill="auto"/>
            <w:vAlign w:val="center"/>
            <w:hideMark/>
          </w:tcPr>
          <w:p w14:paraId="463A3BA6" w14:textId="74FB35C6"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(900)</w:t>
            </w:r>
          </w:p>
        </w:tc>
      </w:tr>
      <w:tr w:rsidR="00E116C5" w:rsidRPr="00BB7C9E" w14:paraId="6064C4EB" w14:textId="77777777" w:rsidTr="00B6593C">
        <w:trPr>
          <w:trHeight w:val="255"/>
        </w:trPr>
        <w:tc>
          <w:tcPr>
            <w:tcW w:w="3912" w:type="dxa"/>
            <w:tcBorders>
              <w:top w:val="single" w:sz="8" w:space="0" w:color="0077BD"/>
              <w:left w:val="nil"/>
              <w:bottom w:val="single" w:sz="8" w:space="0" w:color="0077BD"/>
              <w:right w:val="single" w:sz="4" w:space="0" w:color="0077BD"/>
            </w:tcBorders>
            <w:shd w:val="clear" w:color="auto" w:fill="auto"/>
            <w:vAlign w:val="center"/>
            <w:hideMark/>
          </w:tcPr>
          <w:p w14:paraId="35ECB629" w14:textId="77777777" w:rsidR="00E116C5" w:rsidRPr="00BB7C9E" w:rsidRDefault="00E116C5" w:rsidP="00E116C5">
            <w:pPr>
              <w:rPr>
                <w:rFonts w:cs="Calibri"/>
                <w:b/>
                <w:bCs/>
                <w:color w:val="000000" w:themeColor="text1"/>
                <w:sz w:val="13"/>
                <w:szCs w:val="13"/>
              </w:rPr>
            </w:pPr>
            <w:r w:rsidRPr="00BB7C9E">
              <w:rPr>
                <w:rFonts w:cs="Calibri"/>
                <w:b/>
                <w:bCs/>
                <w:color w:val="000000" w:themeColor="text1"/>
                <w:sz w:val="13"/>
                <w:szCs w:val="13"/>
              </w:rPr>
              <w:t>Stan rezerw na koniec okresu</w:t>
            </w:r>
          </w:p>
        </w:tc>
        <w:tc>
          <w:tcPr>
            <w:tcW w:w="1418" w:type="dxa"/>
            <w:tcBorders>
              <w:top w:val="single" w:sz="8" w:space="0" w:color="0077BD"/>
              <w:left w:val="single" w:sz="4" w:space="0" w:color="0077BD"/>
              <w:bottom w:val="single" w:sz="8" w:space="0" w:color="0077BD"/>
              <w:right w:val="single" w:sz="4" w:space="0" w:color="0077BD"/>
            </w:tcBorders>
            <w:shd w:val="clear" w:color="auto" w:fill="auto"/>
            <w:noWrap/>
            <w:vAlign w:val="center"/>
            <w:hideMark/>
          </w:tcPr>
          <w:p w14:paraId="55150EDF" w14:textId="283BD153"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12 309</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23E861E5" w14:textId="636860D9"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5 239</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250062B6" w14:textId="76AA8D24"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7 568</w:t>
            </w:r>
          </w:p>
        </w:tc>
        <w:tc>
          <w:tcPr>
            <w:tcW w:w="1418" w:type="dxa"/>
            <w:tcBorders>
              <w:top w:val="single" w:sz="8" w:space="0" w:color="0077BD"/>
              <w:left w:val="nil"/>
              <w:bottom w:val="single" w:sz="8" w:space="0" w:color="0077BD"/>
              <w:right w:val="nil"/>
            </w:tcBorders>
            <w:shd w:val="clear" w:color="auto" w:fill="auto"/>
            <w:noWrap/>
            <w:vAlign w:val="center"/>
            <w:hideMark/>
          </w:tcPr>
          <w:p w14:paraId="1AD7B5C3" w14:textId="709B91CE" w:rsidR="00E116C5" w:rsidRPr="00BB7C9E" w:rsidRDefault="00E116C5" w:rsidP="00E116C5">
            <w:pPr>
              <w:jc w:val="right"/>
              <w:rPr>
                <w:rFonts w:cs="Calibri"/>
                <w:b/>
                <w:bCs/>
                <w:color w:val="000000" w:themeColor="text1"/>
                <w:sz w:val="13"/>
                <w:szCs w:val="13"/>
              </w:rPr>
            </w:pPr>
            <w:r w:rsidRPr="00BB7C9E">
              <w:rPr>
                <w:rFonts w:cs="Calibri"/>
                <w:b/>
                <w:bCs/>
                <w:color w:val="000000" w:themeColor="text1"/>
                <w:sz w:val="13"/>
                <w:szCs w:val="13"/>
              </w:rPr>
              <w:t>25 116</w:t>
            </w:r>
          </w:p>
        </w:tc>
      </w:tr>
      <w:tr w:rsidR="004D11EB" w:rsidRPr="00D63A49" w14:paraId="5A5D9FB3" w14:textId="77777777" w:rsidTr="00E116C5">
        <w:trPr>
          <w:trHeight w:val="20"/>
        </w:trPr>
        <w:tc>
          <w:tcPr>
            <w:tcW w:w="3912" w:type="dxa"/>
            <w:tcBorders>
              <w:top w:val="single" w:sz="8" w:space="0" w:color="0077BD"/>
              <w:left w:val="nil"/>
              <w:bottom w:val="single" w:sz="8" w:space="0" w:color="0077BD"/>
            </w:tcBorders>
            <w:shd w:val="clear" w:color="auto" w:fill="auto"/>
            <w:noWrap/>
            <w:vAlign w:val="center"/>
          </w:tcPr>
          <w:p w14:paraId="14E3455D" w14:textId="76CD731F" w:rsidR="00745D79" w:rsidRPr="00D63A49" w:rsidRDefault="00745D79" w:rsidP="00745D79">
            <w:pP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6DE8BA07" w14:textId="6F504E01" w:rsidR="00745D79" w:rsidRPr="00D63A49" w:rsidRDefault="00745D79" w:rsidP="00745D79">
            <w:pP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1435960E" w14:textId="71AF5B59" w:rsidR="00745D79" w:rsidRPr="00D63A49" w:rsidRDefault="00745D79" w:rsidP="00745D79">
            <w:pPr>
              <w:jc w:val="cente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66CA6622" w14:textId="57E11A00" w:rsidR="00745D79" w:rsidRPr="00D63A49" w:rsidRDefault="00745D79" w:rsidP="00745D79">
            <w:pPr>
              <w:jc w:val="center"/>
              <w:rPr>
                <w:rFonts w:cs="Calibri"/>
                <w:color w:val="000000" w:themeColor="text1"/>
                <w:sz w:val="8"/>
                <w:szCs w:val="8"/>
              </w:rPr>
            </w:pPr>
          </w:p>
        </w:tc>
        <w:tc>
          <w:tcPr>
            <w:tcW w:w="1418" w:type="dxa"/>
            <w:tcBorders>
              <w:top w:val="single" w:sz="8" w:space="0" w:color="0077BD"/>
              <w:bottom w:val="single" w:sz="8" w:space="0" w:color="0077BD"/>
              <w:right w:val="nil"/>
            </w:tcBorders>
            <w:shd w:val="clear" w:color="auto" w:fill="auto"/>
            <w:noWrap/>
            <w:vAlign w:val="center"/>
          </w:tcPr>
          <w:p w14:paraId="7DBD1864" w14:textId="0953333B" w:rsidR="00745D79" w:rsidRPr="00D63A49" w:rsidRDefault="00745D79" w:rsidP="00745D79">
            <w:pPr>
              <w:jc w:val="center"/>
              <w:rPr>
                <w:rFonts w:cs="Calibri"/>
                <w:color w:val="000000" w:themeColor="text1"/>
                <w:sz w:val="8"/>
                <w:szCs w:val="8"/>
              </w:rPr>
            </w:pPr>
          </w:p>
        </w:tc>
      </w:tr>
      <w:tr w:rsidR="00E116C5" w:rsidRPr="00BB7C9E" w14:paraId="6C2DC17E" w14:textId="77777777" w:rsidTr="00B6593C">
        <w:trPr>
          <w:trHeight w:val="255"/>
        </w:trPr>
        <w:tc>
          <w:tcPr>
            <w:tcW w:w="3912" w:type="dxa"/>
            <w:tcBorders>
              <w:top w:val="single" w:sz="8" w:space="0" w:color="0077BD"/>
              <w:left w:val="nil"/>
              <w:bottom w:val="single" w:sz="4" w:space="0" w:color="0077BD"/>
              <w:right w:val="single" w:sz="4" w:space="0" w:color="0077BD"/>
            </w:tcBorders>
            <w:shd w:val="clear" w:color="auto" w:fill="auto"/>
            <w:vAlign w:val="center"/>
            <w:hideMark/>
          </w:tcPr>
          <w:p w14:paraId="54C47B1B" w14:textId="77777777" w:rsidR="00E116C5" w:rsidRPr="00BB7C9E" w:rsidRDefault="00E116C5" w:rsidP="00E116C5">
            <w:pPr>
              <w:rPr>
                <w:rFonts w:cs="Calibri"/>
                <w:bCs/>
                <w:color w:val="000000" w:themeColor="text1"/>
                <w:sz w:val="13"/>
                <w:szCs w:val="13"/>
              </w:rPr>
            </w:pPr>
            <w:r w:rsidRPr="00BB7C9E">
              <w:rPr>
                <w:rFonts w:cs="Calibri"/>
                <w:bCs/>
                <w:color w:val="000000" w:themeColor="text1"/>
                <w:sz w:val="13"/>
                <w:szCs w:val="13"/>
              </w:rPr>
              <w:t>Krótkoterminowe (do 1 roku)</w:t>
            </w:r>
          </w:p>
        </w:tc>
        <w:tc>
          <w:tcPr>
            <w:tcW w:w="1418" w:type="dxa"/>
            <w:tcBorders>
              <w:top w:val="single" w:sz="8" w:space="0" w:color="0077BD"/>
              <w:left w:val="single" w:sz="4" w:space="0" w:color="0077BD"/>
              <w:bottom w:val="single" w:sz="4" w:space="0" w:color="0077BD"/>
              <w:right w:val="single" w:sz="4" w:space="0" w:color="0077BD"/>
            </w:tcBorders>
            <w:shd w:val="clear" w:color="auto" w:fill="auto"/>
            <w:noWrap/>
            <w:vAlign w:val="center"/>
          </w:tcPr>
          <w:p w14:paraId="10B395ED" w14:textId="0545F40D" w:rsidR="00E116C5" w:rsidRPr="00BB7C9E" w:rsidRDefault="00E116C5" w:rsidP="000E7704">
            <w:pPr>
              <w:jc w:val="right"/>
              <w:rPr>
                <w:rFonts w:cs="Calibri"/>
                <w:color w:val="000000" w:themeColor="text1"/>
                <w:sz w:val="13"/>
                <w:szCs w:val="13"/>
              </w:rPr>
            </w:pPr>
            <w:r w:rsidRPr="00BB7C9E">
              <w:rPr>
                <w:rFonts w:cs="Calibri"/>
                <w:color w:val="000000" w:themeColor="text1"/>
                <w:sz w:val="13"/>
                <w:szCs w:val="13"/>
              </w:rPr>
              <w:t>1 57</w:t>
            </w:r>
            <w:r w:rsidR="000E7704">
              <w:rPr>
                <w:rFonts w:cs="Calibri"/>
                <w:color w:val="000000" w:themeColor="text1"/>
                <w:sz w:val="13"/>
                <w:szCs w:val="13"/>
              </w:rPr>
              <w:t>2</w:t>
            </w:r>
          </w:p>
        </w:tc>
        <w:tc>
          <w:tcPr>
            <w:tcW w:w="1418" w:type="dxa"/>
            <w:tcBorders>
              <w:top w:val="single" w:sz="8" w:space="0" w:color="0077BD"/>
              <w:left w:val="nil"/>
              <w:bottom w:val="single" w:sz="4" w:space="0" w:color="0077BD"/>
              <w:right w:val="single" w:sz="4" w:space="0" w:color="0077BD"/>
            </w:tcBorders>
            <w:shd w:val="clear" w:color="auto" w:fill="auto"/>
            <w:noWrap/>
            <w:vAlign w:val="center"/>
          </w:tcPr>
          <w:p w14:paraId="548B53C7" w14:textId="45583679" w:rsidR="00E116C5" w:rsidRPr="00BB7C9E" w:rsidRDefault="00E116C5" w:rsidP="000E7704">
            <w:pPr>
              <w:jc w:val="right"/>
              <w:rPr>
                <w:rFonts w:cs="Calibri"/>
                <w:color w:val="000000" w:themeColor="text1"/>
                <w:sz w:val="13"/>
                <w:szCs w:val="13"/>
              </w:rPr>
            </w:pPr>
            <w:r w:rsidRPr="00BB7C9E">
              <w:rPr>
                <w:rFonts w:cs="Calibri"/>
                <w:color w:val="000000" w:themeColor="text1"/>
                <w:sz w:val="13"/>
                <w:szCs w:val="13"/>
              </w:rPr>
              <w:t>31</w:t>
            </w:r>
            <w:r w:rsidR="000E7704">
              <w:rPr>
                <w:rFonts w:cs="Calibri"/>
                <w:color w:val="000000" w:themeColor="text1"/>
                <w:sz w:val="13"/>
                <w:szCs w:val="13"/>
              </w:rPr>
              <w:t>2</w:t>
            </w:r>
          </w:p>
        </w:tc>
        <w:tc>
          <w:tcPr>
            <w:tcW w:w="1418" w:type="dxa"/>
            <w:tcBorders>
              <w:top w:val="single" w:sz="8" w:space="0" w:color="0077BD"/>
              <w:left w:val="nil"/>
              <w:bottom w:val="single" w:sz="4" w:space="0" w:color="0077BD"/>
              <w:right w:val="single" w:sz="4" w:space="0" w:color="0077BD"/>
            </w:tcBorders>
            <w:shd w:val="clear" w:color="auto" w:fill="auto"/>
            <w:noWrap/>
            <w:vAlign w:val="center"/>
          </w:tcPr>
          <w:p w14:paraId="0019D95B" w14:textId="740F8C0E" w:rsidR="00E116C5" w:rsidRPr="00BB7C9E" w:rsidRDefault="00E116C5" w:rsidP="000E7704">
            <w:pPr>
              <w:jc w:val="right"/>
              <w:rPr>
                <w:rFonts w:cs="Calibri"/>
                <w:color w:val="000000" w:themeColor="text1"/>
                <w:sz w:val="13"/>
                <w:szCs w:val="13"/>
              </w:rPr>
            </w:pPr>
            <w:r w:rsidRPr="00BB7C9E">
              <w:rPr>
                <w:rFonts w:cs="Calibri"/>
                <w:color w:val="000000" w:themeColor="text1"/>
                <w:sz w:val="13"/>
                <w:szCs w:val="13"/>
              </w:rPr>
              <w:t>8</w:t>
            </w:r>
            <w:r w:rsidR="000E7704">
              <w:rPr>
                <w:rFonts w:cs="Calibri"/>
                <w:color w:val="000000" w:themeColor="text1"/>
                <w:sz w:val="13"/>
                <w:szCs w:val="13"/>
              </w:rPr>
              <w:t>4</w:t>
            </w:r>
          </w:p>
        </w:tc>
        <w:tc>
          <w:tcPr>
            <w:tcW w:w="1418" w:type="dxa"/>
            <w:tcBorders>
              <w:top w:val="single" w:sz="8" w:space="0" w:color="0077BD"/>
              <w:left w:val="nil"/>
              <w:bottom w:val="single" w:sz="4" w:space="0" w:color="0077BD"/>
              <w:right w:val="nil"/>
            </w:tcBorders>
            <w:shd w:val="clear" w:color="auto" w:fill="auto"/>
            <w:noWrap/>
            <w:vAlign w:val="center"/>
            <w:hideMark/>
          </w:tcPr>
          <w:p w14:paraId="7AB42649" w14:textId="198FD55E"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1 968</w:t>
            </w:r>
          </w:p>
        </w:tc>
      </w:tr>
      <w:tr w:rsidR="00E116C5" w:rsidRPr="00BB7C9E" w14:paraId="437EAC2E" w14:textId="77777777" w:rsidTr="00B6593C">
        <w:trPr>
          <w:trHeight w:val="255"/>
        </w:trPr>
        <w:tc>
          <w:tcPr>
            <w:tcW w:w="3912" w:type="dxa"/>
            <w:tcBorders>
              <w:top w:val="nil"/>
              <w:left w:val="nil"/>
              <w:bottom w:val="single" w:sz="8" w:space="0" w:color="0077BD"/>
              <w:right w:val="single" w:sz="4" w:space="0" w:color="0077BD"/>
            </w:tcBorders>
            <w:shd w:val="clear" w:color="auto" w:fill="auto"/>
            <w:vAlign w:val="center"/>
            <w:hideMark/>
          </w:tcPr>
          <w:p w14:paraId="3264F9E2" w14:textId="77777777" w:rsidR="00E116C5" w:rsidRPr="00BB7C9E" w:rsidRDefault="00E116C5" w:rsidP="00E116C5">
            <w:pPr>
              <w:rPr>
                <w:rFonts w:cs="Calibri"/>
                <w:bCs/>
                <w:color w:val="000000" w:themeColor="text1"/>
                <w:sz w:val="13"/>
                <w:szCs w:val="13"/>
              </w:rPr>
            </w:pPr>
            <w:r w:rsidRPr="00BB7C9E">
              <w:rPr>
                <w:rFonts w:cs="Calibri"/>
                <w:bCs/>
                <w:color w:val="000000" w:themeColor="text1"/>
                <w:sz w:val="13"/>
                <w:szCs w:val="13"/>
              </w:rPr>
              <w:t>Długoterminowe (powyżej 1 roku)</w:t>
            </w:r>
          </w:p>
        </w:tc>
        <w:tc>
          <w:tcPr>
            <w:tcW w:w="1418" w:type="dxa"/>
            <w:tcBorders>
              <w:top w:val="nil"/>
              <w:left w:val="single" w:sz="4" w:space="0" w:color="0077BD"/>
              <w:bottom w:val="single" w:sz="8" w:space="0" w:color="0077BD"/>
              <w:right w:val="single" w:sz="4" w:space="0" w:color="0077BD"/>
            </w:tcBorders>
            <w:shd w:val="clear" w:color="auto" w:fill="auto"/>
            <w:noWrap/>
            <w:vAlign w:val="center"/>
          </w:tcPr>
          <w:p w14:paraId="66D3175C" w14:textId="3DF92827"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10 737</w:t>
            </w:r>
          </w:p>
        </w:tc>
        <w:tc>
          <w:tcPr>
            <w:tcW w:w="1418" w:type="dxa"/>
            <w:tcBorders>
              <w:top w:val="nil"/>
              <w:left w:val="nil"/>
              <w:bottom w:val="single" w:sz="8" w:space="0" w:color="0077BD"/>
              <w:right w:val="single" w:sz="4" w:space="0" w:color="0077BD"/>
            </w:tcBorders>
            <w:shd w:val="clear" w:color="auto" w:fill="auto"/>
            <w:noWrap/>
            <w:vAlign w:val="center"/>
          </w:tcPr>
          <w:p w14:paraId="4B341078" w14:textId="1A863211"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4 927</w:t>
            </w:r>
          </w:p>
        </w:tc>
        <w:tc>
          <w:tcPr>
            <w:tcW w:w="1418" w:type="dxa"/>
            <w:tcBorders>
              <w:top w:val="nil"/>
              <w:left w:val="nil"/>
              <w:bottom w:val="single" w:sz="8" w:space="0" w:color="0077BD"/>
              <w:right w:val="single" w:sz="4" w:space="0" w:color="0077BD"/>
            </w:tcBorders>
            <w:shd w:val="clear" w:color="auto" w:fill="auto"/>
            <w:noWrap/>
            <w:vAlign w:val="center"/>
          </w:tcPr>
          <w:p w14:paraId="2768A296" w14:textId="293B7E1C"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7 484</w:t>
            </w:r>
          </w:p>
        </w:tc>
        <w:tc>
          <w:tcPr>
            <w:tcW w:w="1418" w:type="dxa"/>
            <w:tcBorders>
              <w:top w:val="nil"/>
              <w:left w:val="nil"/>
              <w:bottom w:val="single" w:sz="8" w:space="0" w:color="0077BD"/>
              <w:right w:val="nil"/>
            </w:tcBorders>
            <w:shd w:val="clear" w:color="auto" w:fill="auto"/>
            <w:noWrap/>
            <w:vAlign w:val="center"/>
            <w:hideMark/>
          </w:tcPr>
          <w:p w14:paraId="743229E8" w14:textId="422AB825" w:rsidR="00E116C5" w:rsidRPr="00BB7C9E" w:rsidRDefault="00E116C5" w:rsidP="00E116C5">
            <w:pPr>
              <w:jc w:val="right"/>
              <w:rPr>
                <w:rFonts w:cs="Calibri"/>
                <w:color w:val="000000" w:themeColor="text1"/>
                <w:sz w:val="13"/>
                <w:szCs w:val="13"/>
              </w:rPr>
            </w:pPr>
            <w:r w:rsidRPr="00BB7C9E">
              <w:rPr>
                <w:rFonts w:cs="Calibri"/>
                <w:color w:val="000000" w:themeColor="text1"/>
                <w:sz w:val="13"/>
                <w:szCs w:val="13"/>
              </w:rPr>
              <w:t>23 148</w:t>
            </w:r>
          </w:p>
        </w:tc>
      </w:tr>
    </w:tbl>
    <w:p w14:paraId="025299E8" w14:textId="2F7AAF36" w:rsidR="00B051CC" w:rsidRDefault="00B051CC" w:rsidP="00FD3B29">
      <w:pPr>
        <w:jc w:val="both"/>
        <w:rPr>
          <w:rFonts w:cs="Tahoma"/>
          <w:color w:val="000000" w:themeColor="text1"/>
          <w:sz w:val="18"/>
          <w:szCs w:val="18"/>
        </w:rPr>
      </w:pPr>
    </w:p>
    <w:tbl>
      <w:tblPr>
        <w:tblW w:w="9584" w:type="dxa"/>
        <w:tblInd w:w="-10"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745D79" w:rsidRPr="00745D79" w14:paraId="0E34A855" w14:textId="77777777" w:rsidTr="003B3DF7">
        <w:trPr>
          <w:trHeight w:val="284"/>
        </w:trPr>
        <w:tc>
          <w:tcPr>
            <w:tcW w:w="3912" w:type="dxa"/>
            <w:tcBorders>
              <w:top w:val="nil"/>
              <w:left w:val="single" w:sz="8" w:space="0" w:color="FFFFFF"/>
              <w:right w:val="single" w:sz="8" w:space="0" w:color="FFFFFF"/>
            </w:tcBorders>
            <w:shd w:val="clear" w:color="000000" w:fill="0077BD"/>
            <w:vAlign w:val="center"/>
            <w:hideMark/>
          </w:tcPr>
          <w:p w14:paraId="6F300475" w14:textId="747A2CCC" w:rsidR="00745D79" w:rsidRPr="00745D79" w:rsidRDefault="00745D79" w:rsidP="007976E9">
            <w:pPr>
              <w:rPr>
                <w:rFonts w:cs="Calibri"/>
                <w:b/>
                <w:bCs/>
                <w:color w:val="FFFFFF"/>
                <w:sz w:val="13"/>
                <w:szCs w:val="13"/>
              </w:rPr>
            </w:pPr>
            <w:r w:rsidRPr="00745D79">
              <w:rPr>
                <w:rFonts w:cs="Calibri"/>
                <w:b/>
                <w:bCs/>
                <w:color w:val="FFFFFF"/>
                <w:sz w:val="13"/>
                <w:szCs w:val="13"/>
              </w:rPr>
              <w:t xml:space="preserve">Okres </w:t>
            </w:r>
            <w:r>
              <w:rPr>
                <w:rFonts w:cs="Calibri"/>
                <w:b/>
                <w:bCs/>
                <w:color w:val="FFFFFF"/>
                <w:sz w:val="13"/>
                <w:szCs w:val="13"/>
              </w:rPr>
              <w:t>od 1 stycznia do 31 grudnia 2018</w:t>
            </w:r>
            <w:r w:rsidRPr="00745D79">
              <w:rPr>
                <w:rFonts w:cs="Calibri"/>
                <w:b/>
                <w:bCs/>
                <w:color w:val="FFFFFF"/>
                <w:sz w:val="13"/>
                <w:szCs w:val="13"/>
              </w:rPr>
              <w:t xml:space="preserve"> roku</w:t>
            </w:r>
          </w:p>
        </w:tc>
        <w:tc>
          <w:tcPr>
            <w:tcW w:w="1418" w:type="dxa"/>
            <w:tcBorders>
              <w:top w:val="nil"/>
              <w:left w:val="nil"/>
              <w:right w:val="single" w:sz="8" w:space="0" w:color="FFFFFF"/>
            </w:tcBorders>
            <w:shd w:val="clear" w:color="000000" w:fill="0077BD"/>
            <w:vAlign w:val="center"/>
            <w:hideMark/>
          </w:tcPr>
          <w:p w14:paraId="2027E8ED"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emerytalno-rentowa</w:t>
            </w:r>
          </w:p>
        </w:tc>
        <w:tc>
          <w:tcPr>
            <w:tcW w:w="1418" w:type="dxa"/>
            <w:tcBorders>
              <w:top w:val="nil"/>
              <w:left w:val="nil"/>
              <w:right w:val="nil"/>
            </w:tcBorders>
            <w:shd w:val="clear" w:color="000000" w:fill="0077BD"/>
            <w:vAlign w:val="center"/>
            <w:hideMark/>
          </w:tcPr>
          <w:p w14:paraId="361F9FA5"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pośmiertna</w:t>
            </w:r>
          </w:p>
        </w:tc>
        <w:tc>
          <w:tcPr>
            <w:tcW w:w="1418" w:type="dxa"/>
            <w:tcBorders>
              <w:top w:val="nil"/>
              <w:left w:val="single" w:sz="8" w:space="0" w:color="FFFFFF"/>
              <w:right w:val="nil"/>
            </w:tcBorders>
            <w:shd w:val="clear" w:color="000000" w:fill="0077BD"/>
            <w:vAlign w:val="center"/>
            <w:hideMark/>
          </w:tcPr>
          <w:p w14:paraId="763C44B8"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Rezerwa na świadczenia  ZFŚS</w:t>
            </w:r>
          </w:p>
        </w:tc>
        <w:tc>
          <w:tcPr>
            <w:tcW w:w="1418" w:type="dxa"/>
            <w:tcBorders>
              <w:top w:val="nil"/>
              <w:left w:val="single" w:sz="8" w:space="0" w:color="FFFFFF"/>
              <w:right w:val="nil"/>
            </w:tcBorders>
            <w:shd w:val="clear" w:color="000000" w:fill="0077BD"/>
            <w:vAlign w:val="center"/>
            <w:hideMark/>
          </w:tcPr>
          <w:p w14:paraId="01254780" w14:textId="77777777" w:rsidR="00745D79" w:rsidRPr="00745D79" w:rsidRDefault="00745D79" w:rsidP="00EC4EED">
            <w:pPr>
              <w:jc w:val="right"/>
              <w:rPr>
                <w:rFonts w:cs="Calibri"/>
                <w:b/>
                <w:bCs/>
                <w:color w:val="FFFFFF"/>
                <w:sz w:val="13"/>
                <w:szCs w:val="13"/>
              </w:rPr>
            </w:pPr>
            <w:r w:rsidRPr="00745D79">
              <w:rPr>
                <w:rFonts w:cs="Calibri"/>
                <w:b/>
                <w:bCs/>
                <w:color w:val="FFFFFF"/>
                <w:sz w:val="13"/>
                <w:szCs w:val="13"/>
              </w:rPr>
              <w:t>Razem</w:t>
            </w:r>
          </w:p>
        </w:tc>
      </w:tr>
      <w:tr w:rsidR="004D11EB" w:rsidRPr="00BB7C9E" w14:paraId="7B727223" w14:textId="77777777" w:rsidTr="00B6593C">
        <w:trPr>
          <w:trHeight w:val="255"/>
        </w:trPr>
        <w:tc>
          <w:tcPr>
            <w:tcW w:w="6748" w:type="dxa"/>
            <w:gridSpan w:val="3"/>
            <w:tcBorders>
              <w:left w:val="nil"/>
              <w:bottom w:val="nil"/>
              <w:right w:val="nil"/>
            </w:tcBorders>
            <w:shd w:val="clear" w:color="auto" w:fill="auto"/>
            <w:vAlign w:val="center"/>
            <w:hideMark/>
          </w:tcPr>
          <w:p w14:paraId="152A8C84" w14:textId="77777777" w:rsidR="00745D79" w:rsidRPr="00BB7C9E" w:rsidRDefault="00745D79" w:rsidP="007976E9">
            <w:pPr>
              <w:rPr>
                <w:rFonts w:cs="Calibri"/>
                <w:b/>
                <w:bCs/>
                <w:color w:val="000000" w:themeColor="text1"/>
                <w:sz w:val="13"/>
                <w:szCs w:val="13"/>
              </w:rPr>
            </w:pPr>
            <w:r w:rsidRPr="00BB7C9E">
              <w:rPr>
                <w:rFonts w:cs="Calibri"/>
                <w:b/>
                <w:bCs/>
                <w:color w:val="000000" w:themeColor="text1"/>
                <w:sz w:val="13"/>
                <w:szCs w:val="13"/>
              </w:rPr>
              <w:t>Rezerwa na świadczenia pracownicze po okresie zatrudnienia</w:t>
            </w:r>
          </w:p>
        </w:tc>
        <w:tc>
          <w:tcPr>
            <w:tcW w:w="1418" w:type="dxa"/>
            <w:tcBorders>
              <w:left w:val="nil"/>
              <w:bottom w:val="nil"/>
              <w:right w:val="nil"/>
            </w:tcBorders>
            <w:shd w:val="clear" w:color="auto" w:fill="auto"/>
            <w:vAlign w:val="center"/>
          </w:tcPr>
          <w:p w14:paraId="1C5D5572" w14:textId="12F8A38F" w:rsidR="00745D79" w:rsidRPr="00BB7C9E" w:rsidRDefault="00745D79" w:rsidP="007976E9">
            <w:pPr>
              <w:rPr>
                <w:rFonts w:cs="Calibri"/>
                <w:b/>
                <w:bCs/>
                <w:color w:val="000000" w:themeColor="text1"/>
                <w:sz w:val="13"/>
                <w:szCs w:val="13"/>
              </w:rPr>
            </w:pPr>
          </w:p>
        </w:tc>
        <w:tc>
          <w:tcPr>
            <w:tcW w:w="1418" w:type="dxa"/>
            <w:tcBorders>
              <w:left w:val="nil"/>
              <w:bottom w:val="nil"/>
              <w:right w:val="nil"/>
            </w:tcBorders>
            <w:shd w:val="clear" w:color="auto" w:fill="auto"/>
            <w:vAlign w:val="center"/>
          </w:tcPr>
          <w:p w14:paraId="43A3BC0F" w14:textId="7FD113FC" w:rsidR="00745D79" w:rsidRPr="00BB7C9E" w:rsidRDefault="00745D79" w:rsidP="007976E9">
            <w:pPr>
              <w:rPr>
                <w:rFonts w:cs="Calibri"/>
                <w:b/>
                <w:bCs/>
                <w:color w:val="000000" w:themeColor="text1"/>
                <w:sz w:val="13"/>
                <w:szCs w:val="13"/>
              </w:rPr>
            </w:pPr>
          </w:p>
        </w:tc>
      </w:tr>
      <w:tr w:rsidR="004D11EB" w:rsidRPr="00BB7C9E" w14:paraId="5FA3389E" w14:textId="77777777" w:rsidTr="00B6593C">
        <w:trPr>
          <w:trHeight w:val="255"/>
        </w:trPr>
        <w:tc>
          <w:tcPr>
            <w:tcW w:w="3912" w:type="dxa"/>
            <w:tcBorders>
              <w:top w:val="single" w:sz="8" w:space="0" w:color="0077BD"/>
              <w:left w:val="nil"/>
              <w:bottom w:val="single" w:sz="8" w:space="0" w:color="0077BD"/>
              <w:right w:val="single" w:sz="4" w:space="0" w:color="0077BD"/>
            </w:tcBorders>
            <w:shd w:val="clear" w:color="auto" w:fill="auto"/>
            <w:vAlign w:val="center"/>
            <w:hideMark/>
          </w:tcPr>
          <w:p w14:paraId="70919369" w14:textId="77777777" w:rsidR="00745D79" w:rsidRPr="00BB7C9E" w:rsidRDefault="00745D79" w:rsidP="00745D79">
            <w:pPr>
              <w:rPr>
                <w:rFonts w:cs="Calibri"/>
                <w:b/>
                <w:bCs/>
                <w:color w:val="000000" w:themeColor="text1"/>
                <w:sz w:val="13"/>
                <w:szCs w:val="13"/>
              </w:rPr>
            </w:pPr>
            <w:r w:rsidRPr="00BB7C9E">
              <w:rPr>
                <w:rFonts w:cs="Calibri"/>
                <w:b/>
                <w:bCs/>
                <w:color w:val="000000" w:themeColor="text1"/>
                <w:sz w:val="13"/>
                <w:szCs w:val="13"/>
              </w:rPr>
              <w:t>Stan rezerw na początek okresu</w:t>
            </w:r>
          </w:p>
        </w:tc>
        <w:tc>
          <w:tcPr>
            <w:tcW w:w="1418" w:type="dxa"/>
            <w:tcBorders>
              <w:top w:val="single" w:sz="8" w:space="0" w:color="0077BD"/>
              <w:left w:val="single" w:sz="4" w:space="0" w:color="0077BD"/>
              <w:bottom w:val="single" w:sz="8" w:space="0" w:color="0077BD"/>
              <w:right w:val="single" w:sz="4" w:space="0" w:color="0077BD"/>
            </w:tcBorders>
            <w:shd w:val="clear" w:color="auto" w:fill="auto"/>
            <w:noWrap/>
            <w:vAlign w:val="center"/>
            <w:hideMark/>
          </w:tcPr>
          <w:p w14:paraId="1BD11629" w14:textId="0E4E4641"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9 362</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3F4BF5D7" w14:textId="04BBD711"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4 103</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602315DD" w14:textId="030C75A7"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4 783</w:t>
            </w:r>
          </w:p>
        </w:tc>
        <w:tc>
          <w:tcPr>
            <w:tcW w:w="1418" w:type="dxa"/>
            <w:tcBorders>
              <w:top w:val="single" w:sz="8" w:space="0" w:color="0077BD"/>
              <w:left w:val="nil"/>
              <w:bottom w:val="single" w:sz="8" w:space="0" w:color="0077BD"/>
              <w:right w:val="nil"/>
            </w:tcBorders>
            <w:shd w:val="clear" w:color="auto" w:fill="auto"/>
            <w:noWrap/>
            <w:vAlign w:val="center"/>
            <w:hideMark/>
          </w:tcPr>
          <w:p w14:paraId="3D0ABA8B" w14:textId="7266994E"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18 248</w:t>
            </w:r>
          </w:p>
        </w:tc>
      </w:tr>
      <w:tr w:rsidR="004D11EB" w:rsidRPr="000E7704" w14:paraId="165EE0D0" w14:textId="77777777" w:rsidTr="00B6593C">
        <w:trPr>
          <w:trHeight w:val="255"/>
        </w:trPr>
        <w:tc>
          <w:tcPr>
            <w:tcW w:w="3912" w:type="dxa"/>
            <w:tcBorders>
              <w:top w:val="nil"/>
              <w:left w:val="nil"/>
              <w:bottom w:val="single" w:sz="8" w:space="0" w:color="0077BD"/>
              <w:right w:val="single" w:sz="4" w:space="0" w:color="0077BD"/>
            </w:tcBorders>
            <w:shd w:val="clear" w:color="auto" w:fill="auto"/>
            <w:vAlign w:val="center"/>
            <w:hideMark/>
          </w:tcPr>
          <w:p w14:paraId="13BFE23D" w14:textId="77777777" w:rsidR="00745D79" w:rsidRPr="000E7704" w:rsidRDefault="00745D79" w:rsidP="00745D79">
            <w:pPr>
              <w:rPr>
                <w:rFonts w:cs="Calibri"/>
                <w:b/>
                <w:bCs/>
                <w:color w:val="000000" w:themeColor="text1"/>
                <w:sz w:val="13"/>
                <w:szCs w:val="13"/>
              </w:rPr>
            </w:pPr>
            <w:r w:rsidRPr="000E7704">
              <w:rPr>
                <w:rFonts w:cs="Calibri"/>
                <w:b/>
                <w:bCs/>
                <w:color w:val="000000" w:themeColor="text1"/>
                <w:sz w:val="13"/>
                <w:szCs w:val="13"/>
              </w:rPr>
              <w:t>Zmiana w okresie, z tytułu:</w:t>
            </w:r>
          </w:p>
        </w:tc>
        <w:tc>
          <w:tcPr>
            <w:tcW w:w="1418" w:type="dxa"/>
            <w:tcBorders>
              <w:top w:val="nil"/>
              <w:left w:val="single" w:sz="4" w:space="0" w:color="0077BD"/>
              <w:bottom w:val="single" w:sz="8" w:space="0" w:color="0077BD"/>
              <w:right w:val="single" w:sz="4" w:space="0" w:color="0077BD"/>
            </w:tcBorders>
            <w:shd w:val="clear" w:color="auto" w:fill="auto"/>
            <w:noWrap/>
            <w:vAlign w:val="center"/>
            <w:hideMark/>
          </w:tcPr>
          <w:p w14:paraId="4356F3A9" w14:textId="531ECF16" w:rsidR="00745D79" w:rsidRPr="000E7704" w:rsidRDefault="00745D79" w:rsidP="00745D79">
            <w:pPr>
              <w:jc w:val="right"/>
              <w:rPr>
                <w:rFonts w:cs="Calibri"/>
                <w:b/>
                <w:color w:val="000000" w:themeColor="text1"/>
                <w:sz w:val="13"/>
                <w:szCs w:val="13"/>
              </w:rPr>
            </w:pPr>
            <w:r w:rsidRPr="000E7704">
              <w:rPr>
                <w:rFonts w:cs="Calibri"/>
                <w:b/>
                <w:color w:val="000000" w:themeColor="text1"/>
                <w:sz w:val="13"/>
                <w:szCs w:val="13"/>
              </w:rPr>
              <w:t>1 744</w:t>
            </w:r>
          </w:p>
        </w:tc>
        <w:tc>
          <w:tcPr>
            <w:tcW w:w="1418" w:type="dxa"/>
            <w:tcBorders>
              <w:top w:val="nil"/>
              <w:left w:val="nil"/>
              <w:bottom w:val="single" w:sz="8" w:space="0" w:color="0077BD"/>
              <w:right w:val="single" w:sz="4" w:space="0" w:color="0077BD"/>
            </w:tcBorders>
            <w:shd w:val="clear" w:color="auto" w:fill="auto"/>
            <w:noWrap/>
            <w:vAlign w:val="center"/>
            <w:hideMark/>
          </w:tcPr>
          <w:p w14:paraId="79CE6864" w14:textId="4ABC3BD5" w:rsidR="00745D79" w:rsidRPr="000E7704" w:rsidRDefault="00745D79" w:rsidP="00745D79">
            <w:pPr>
              <w:jc w:val="right"/>
              <w:rPr>
                <w:rFonts w:cs="Calibri"/>
                <w:b/>
                <w:color w:val="000000" w:themeColor="text1"/>
                <w:sz w:val="13"/>
                <w:szCs w:val="13"/>
              </w:rPr>
            </w:pPr>
            <w:r w:rsidRPr="000E7704">
              <w:rPr>
                <w:rFonts w:cs="Calibri"/>
                <w:b/>
                <w:color w:val="000000" w:themeColor="text1"/>
                <w:sz w:val="13"/>
                <w:szCs w:val="13"/>
              </w:rPr>
              <w:t>611</w:t>
            </w:r>
          </w:p>
        </w:tc>
        <w:tc>
          <w:tcPr>
            <w:tcW w:w="1418" w:type="dxa"/>
            <w:tcBorders>
              <w:top w:val="nil"/>
              <w:left w:val="nil"/>
              <w:bottom w:val="single" w:sz="8" w:space="0" w:color="0077BD"/>
              <w:right w:val="single" w:sz="4" w:space="0" w:color="0077BD"/>
            </w:tcBorders>
            <w:shd w:val="clear" w:color="auto" w:fill="auto"/>
            <w:noWrap/>
            <w:vAlign w:val="center"/>
            <w:hideMark/>
          </w:tcPr>
          <w:p w14:paraId="7E87C7E6" w14:textId="4A2C774D" w:rsidR="00745D79" w:rsidRPr="000E7704" w:rsidRDefault="00745D79" w:rsidP="00745D79">
            <w:pPr>
              <w:jc w:val="right"/>
              <w:rPr>
                <w:rFonts w:cs="Calibri"/>
                <w:b/>
                <w:color w:val="000000" w:themeColor="text1"/>
                <w:sz w:val="13"/>
                <w:szCs w:val="13"/>
              </w:rPr>
            </w:pPr>
            <w:r w:rsidRPr="000E7704">
              <w:rPr>
                <w:rFonts w:cs="Calibri"/>
                <w:b/>
                <w:color w:val="000000" w:themeColor="text1"/>
                <w:sz w:val="13"/>
                <w:szCs w:val="13"/>
              </w:rPr>
              <w:t>1 224</w:t>
            </w:r>
          </w:p>
        </w:tc>
        <w:tc>
          <w:tcPr>
            <w:tcW w:w="1418" w:type="dxa"/>
            <w:tcBorders>
              <w:top w:val="nil"/>
              <w:left w:val="nil"/>
              <w:bottom w:val="single" w:sz="8" w:space="0" w:color="0077BD"/>
              <w:right w:val="nil"/>
            </w:tcBorders>
            <w:shd w:val="clear" w:color="auto" w:fill="auto"/>
            <w:noWrap/>
            <w:vAlign w:val="center"/>
            <w:hideMark/>
          </w:tcPr>
          <w:p w14:paraId="3A0CC142" w14:textId="69F494F3" w:rsidR="00745D79" w:rsidRPr="000E7704" w:rsidRDefault="00745D79" w:rsidP="00745D79">
            <w:pPr>
              <w:jc w:val="right"/>
              <w:rPr>
                <w:rFonts w:cs="Calibri"/>
                <w:b/>
                <w:color w:val="000000" w:themeColor="text1"/>
                <w:sz w:val="13"/>
                <w:szCs w:val="13"/>
              </w:rPr>
            </w:pPr>
            <w:r w:rsidRPr="000E7704">
              <w:rPr>
                <w:rFonts w:cs="Calibri"/>
                <w:b/>
                <w:color w:val="000000" w:themeColor="text1"/>
                <w:sz w:val="13"/>
                <w:szCs w:val="13"/>
              </w:rPr>
              <w:t>3 579</w:t>
            </w:r>
          </w:p>
        </w:tc>
      </w:tr>
      <w:tr w:rsidR="004D11EB" w:rsidRPr="00BB7C9E" w14:paraId="1DF1432A"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50E34B40" w14:textId="77777777" w:rsidR="00745D79" w:rsidRPr="00BB7C9E" w:rsidRDefault="00745D79" w:rsidP="00745D79">
            <w:pPr>
              <w:rPr>
                <w:rFonts w:cs="Calibri"/>
                <w:color w:val="000000" w:themeColor="text1"/>
                <w:sz w:val="13"/>
                <w:szCs w:val="13"/>
              </w:rPr>
            </w:pPr>
            <w:r w:rsidRPr="00BB7C9E">
              <w:rPr>
                <w:rFonts w:cs="Calibri"/>
                <w:color w:val="000000" w:themeColor="text1"/>
                <w:sz w:val="13"/>
                <w:szCs w:val="13"/>
              </w:rPr>
              <w:t>Odpis na rezerwę</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3ACABF3A" w14:textId="7E68E9E1"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686</w:t>
            </w:r>
          </w:p>
        </w:tc>
        <w:tc>
          <w:tcPr>
            <w:tcW w:w="1418" w:type="dxa"/>
            <w:tcBorders>
              <w:top w:val="nil"/>
              <w:left w:val="nil"/>
              <w:bottom w:val="single" w:sz="4" w:space="0" w:color="0077BD"/>
              <w:right w:val="single" w:sz="4" w:space="0" w:color="0077BD"/>
            </w:tcBorders>
            <w:shd w:val="clear" w:color="auto" w:fill="auto"/>
            <w:noWrap/>
            <w:vAlign w:val="center"/>
            <w:hideMark/>
          </w:tcPr>
          <w:p w14:paraId="0F16D9E8" w14:textId="76EAED88"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161</w:t>
            </w:r>
          </w:p>
        </w:tc>
        <w:tc>
          <w:tcPr>
            <w:tcW w:w="1418" w:type="dxa"/>
            <w:tcBorders>
              <w:top w:val="nil"/>
              <w:left w:val="nil"/>
              <w:bottom w:val="single" w:sz="4" w:space="0" w:color="0077BD"/>
              <w:right w:val="single" w:sz="4" w:space="0" w:color="0077BD"/>
            </w:tcBorders>
            <w:shd w:val="clear" w:color="auto" w:fill="auto"/>
            <w:noWrap/>
            <w:vAlign w:val="center"/>
            <w:hideMark/>
          </w:tcPr>
          <w:p w14:paraId="7AB257D8" w14:textId="0C45ADF0"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213</w:t>
            </w:r>
          </w:p>
        </w:tc>
        <w:tc>
          <w:tcPr>
            <w:tcW w:w="1418" w:type="dxa"/>
            <w:tcBorders>
              <w:top w:val="nil"/>
              <w:left w:val="nil"/>
              <w:bottom w:val="single" w:sz="4" w:space="0" w:color="0077BD"/>
              <w:right w:val="nil"/>
            </w:tcBorders>
            <w:shd w:val="clear" w:color="auto" w:fill="auto"/>
            <w:noWrap/>
            <w:vAlign w:val="center"/>
            <w:hideMark/>
          </w:tcPr>
          <w:p w14:paraId="26E0ED03" w14:textId="5C9A75A0"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1 060</w:t>
            </w:r>
          </w:p>
        </w:tc>
      </w:tr>
      <w:tr w:rsidR="004D11EB" w:rsidRPr="00BB7C9E" w14:paraId="424114D2"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4BAA6924" w14:textId="77777777" w:rsidR="00745D79" w:rsidRPr="00BB7C9E" w:rsidRDefault="00745D79" w:rsidP="00745D79">
            <w:pPr>
              <w:rPr>
                <w:rFonts w:cs="Calibri"/>
                <w:color w:val="000000" w:themeColor="text1"/>
                <w:sz w:val="13"/>
                <w:szCs w:val="13"/>
              </w:rPr>
            </w:pPr>
            <w:r w:rsidRPr="00BB7C9E">
              <w:rPr>
                <w:rFonts w:cs="Calibri"/>
                <w:color w:val="000000" w:themeColor="text1"/>
                <w:sz w:val="13"/>
                <w:szCs w:val="13"/>
              </w:rPr>
              <w:t>Koszt odsetkowy</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63905D79" w14:textId="7993A1FE"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290</w:t>
            </w:r>
          </w:p>
        </w:tc>
        <w:tc>
          <w:tcPr>
            <w:tcW w:w="1418" w:type="dxa"/>
            <w:tcBorders>
              <w:top w:val="nil"/>
              <w:left w:val="nil"/>
              <w:bottom w:val="single" w:sz="4" w:space="0" w:color="0077BD"/>
              <w:right w:val="single" w:sz="4" w:space="0" w:color="0077BD"/>
            </w:tcBorders>
            <w:shd w:val="clear" w:color="auto" w:fill="auto"/>
            <w:noWrap/>
            <w:vAlign w:val="center"/>
            <w:hideMark/>
          </w:tcPr>
          <w:p w14:paraId="345ECB2A" w14:textId="20349147"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127</w:t>
            </w:r>
          </w:p>
        </w:tc>
        <w:tc>
          <w:tcPr>
            <w:tcW w:w="1418" w:type="dxa"/>
            <w:tcBorders>
              <w:top w:val="nil"/>
              <w:left w:val="nil"/>
              <w:bottom w:val="single" w:sz="4" w:space="0" w:color="0077BD"/>
              <w:right w:val="single" w:sz="4" w:space="0" w:color="0077BD"/>
            </w:tcBorders>
            <w:shd w:val="clear" w:color="auto" w:fill="auto"/>
            <w:noWrap/>
            <w:vAlign w:val="center"/>
            <w:hideMark/>
          </w:tcPr>
          <w:p w14:paraId="33A4ECCA" w14:textId="32FF2385"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150</w:t>
            </w:r>
          </w:p>
        </w:tc>
        <w:tc>
          <w:tcPr>
            <w:tcW w:w="1418" w:type="dxa"/>
            <w:tcBorders>
              <w:top w:val="nil"/>
              <w:left w:val="nil"/>
              <w:bottom w:val="single" w:sz="4" w:space="0" w:color="0077BD"/>
              <w:right w:val="nil"/>
            </w:tcBorders>
            <w:shd w:val="clear" w:color="auto" w:fill="auto"/>
            <w:noWrap/>
            <w:vAlign w:val="center"/>
            <w:hideMark/>
          </w:tcPr>
          <w:p w14:paraId="591CD5C0" w14:textId="5811507C"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567</w:t>
            </w:r>
          </w:p>
        </w:tc>
      </w:tr>
      <w:tr w:rsidR="004D11EB" w:rsidRPr="00BB7C9E" w14:paraId="66FF5090" w14:textId="77777777" w:rsidTr="003B3DF7">
        <w:trPr>
          <w:trHeight w:val="397"/>
        </w:trPr>
        <w:tc>
          <w:tcPr>
            <w:tcW w:w="3912" w:type="dxa"/>
            <w:tcBorders>
              <w:top w:val="nil"/>
              <w:left w:val="nil"/>
              <w:bottom w:val="single" w:sz="4" w:space="0" w:color="0077BD"/>
              <w:right w:val="single" w:sz="4" w:space="0" w:color="0077BD"/>
            </w:tcBorders>
            <w:shd w:val="clear" w:color="auto" w:fill="auto"/>
            <w:vAlign w:val="center"/>
            <w:hideMark/>
          </w:tcPr>
          <w:p w14:paraId="55C88F9C" w14:textId="77777777" w:rsidR="00745D79" w:rsidRPr="00BB7C9E" w:rsidRDefault="00745D79" w:rsidP="00745D79">
            <w:pPr>
              <w:rPr>
                <w:rFonts w:cs="Calibri"/>
                <w:color w:val="000000" w:themeColor="text1"/>
                <w:sz w:val="13"/>
                <w:szCs w:val="13"/>
              </w:rPr>
            </w:pPr>
            <w:r w:rsidRPr="00BB7C9E">
              <w:rPr>
                <w:rFonts w:cs="Calibri"/>
                <w:color w:val="000000" w:themeColor="text1"/>
                <w:sz w:val="13"/>
                <w:szCs w:val="13"/>
              </w:rPr>
              <w:t>Zyski i straty aktuarialne ujmowane w pozostałych dochodach całkowitych (Nota 18), w tym:</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0A3A2CEA" w14:textId="41CB971B"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1 420</w:t>
            </w:r>
          </w:p>
        </w:tc>
        <w:tc>
          <w:tcPr>
            <w:tcW w:w="1418" w:type="dxa"/>
            <w:tcBorders>
              <w:top w:val="nil"/>
              <w:left w:val="nil"/>
              <w:bottom w:val="single" w:sz="4" w:space="0" w:color="0077BD"/>
              <w:right w:val="single" w:sz="4" w:space="0" w:color="0077BD"/>
            </w:tcBorders>
            <w:shd w:val="clear" w:color="auto" w:fill="auto"/>
            <w:noWrap/>
            <w:vAlign w:val="center"/>
            <w:hideMark/>
          </w:tcPr>
          <w:p w14:paraId="74D9CD4B" w14:textId="0FB5D359"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332</w:t>
            </w:r>
          </w:p>
        </w:tc>
        <w:tc>
          <w:tcPr>
            <w:tcW w:w="1418" w:type="dxa"/>
            <w:tcBorders>
              <w:top w:val="nil"/>
              <w:left w:val="nil"/>
              <w:bottom w:val="single" w:sz="4" w:space="0" w:color="0077BD"/>
              <w:right w:val="single" w:sz="4" w:space="0" w:color="0077BD"/>
            </w:tcBorders>
            <w:shd w:val="clear" w:color="auto" w:fill="auto"/>
            <w:noWrap/>
            <w:vAlign w:val="center"/>
            <w:hideMark/>
          </w:tcPr>
          <w:p w14:paraId="62A5B09A" w14:textId="4ECBDA87"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1 383</w:t>
            </w:r>
          </w:p>
        </w:tc>
        <w:tc>
          <w:tcPr>
            <w:tcW w:w="1418" w:type="dxa"/>
            <w:tcBorders>
              <w:top w:val="nil"/>
              <w:left w:val="nil"/>
              <w:bottom w:val="single" w:sz="4" w:space="0" w:color="0077BD"/>
              <w:right w:val="nil"/>
            </w:tcBorders>
            <w:shd w:val="clear" w:color="auto" w:fill="auto"/>
            <w:noWrap/>
            <w:vAlign w:val="center"/>
            <w:hideMark/>
          </w:tcPr>
          <w:p w14:paraId="0974F59D" w14:textId="64FCC8D2"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3 135</w:t>
            </w:r>
          </w:p>
        </w:tc>
      </w:tr>
      <w:tr w:rsidR="004D11EB" w:rsidRPr="00BB7C9E" w14:paraId="0A88D3DA"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6BC29DEB" w14:textId="77777777" w:rsidR="00745D79" w:rsidRPr="00BB7C9E" w:rsidRDefault="00745D79" w:rsidP="00745D79">
            <w:pPr>
              <w:ind w:firstLineChars="100" w:firstLine="130"/>
              <w:rPr>
                <w:rFonts w:cs="Calibri"/>
                <w:i/>
                <w:iCs/>
                <w:color w:val="000000" w:themeColor="text1"/>
                <w:sz w:val="13"/>
                <w:szCs w:val="13"/>
              </w:rPr>
            </w:pPr>
            <w:r w:rsidRPr="00BB7C9E">
              <w:rPr>
                <w:rFonts w:cs="Calibri"/>
                <w:i/>
                <w:iCs/>
                <w:color w:val="000000" w:themeColor="text1"/>
                <w:sz w:val="13"/>
                <w:szCs w:val="13"/>
              </w:rPr>
              <w:t>- Zmiana założeń finansowych</w:t>
            </w:r>
          </w:p>
        </w:tc>
        <w:tc>
          <w:tcPr>
            <w:tcW w:w="1418" w:type="dxa"/>
            <w:tcBorders>
              <w:top w:val="nil"/>
              <w:left w:val="single" w:sz="4" w:space="0" w:color="0077BD"/>
              <w:bottom w:val="single" w:sz="4" w:space="0" w:color="0077BD"/>
              <w:right w:val="single" w:sz="4" w:space="0" w:color="0077BD"/>
            </w:tcBorders>
            <w:shd w:val="clear" w:color="auto" w:fill="auto"/>
            <w:vAlign w:val="center"/>
            <w:hideMark/>
          </w:tcPr>
          <w:p w14:paraId="24313902" w14:textId="33D6EEDD"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350</w:t>
            </w:r>
          </w:p>
        </w:tc>
        <w:tc>
          <w:tcPr>
            <w:tcW w:w="1418" w:type="dxa"/>
            <w:tcBorders>
              <w:top w:val="nil"/>
              <w:left w:val="nil"/>
              <w:bottom w:val="single" w:sz="4" w:space="0" w:color="0077BD"/>
              <w:right w:val="single" w:sz="4" w:space="0" w:color="0077BD"/>
            </w:tcBorders>
            <w:shd w:val="clear" w:color="auto" w:fill="auto"/>
            <w:vAlign w:val="center"/>
            <w:hideMark/>
          </w:tcPr>
          <w:p w14:paraId="0F64C64A" w14:textId="3FACE313"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152</w:t>
            </w:r>
          </w:p>
        </w:tc>
        <w:tc>
          <w:tcPr>
            <w:tcW w:w="1418" w:type="dxa"/>
            <w:tcBorders>
              <w:top w:val="nil"/>
              <w:left w:val="nil"/>
              <w:bottom w:val="single" w:sz="4" w:space="0" w:color="0077BD"/>
              <w:right w:val="single" w:sz="4" w:space="0" w:color="0077BD"/>
            </w:tcBorders>
            <w:shd w:val="clear" w:color="auto" w:fill="auto"/>
            <w:vAlign w:val="center"/>
            <w:hideMark/>
          </w:tcPr>
          <w:p w14:paraId="2817C014" w14:textId="4428297D"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477</w:t>
            </w:r>
          </w:p>
        </w:tc>
        <w:tc>
          <w:tcPr>
            <w:tcW w:w="1418" w:type="dxa"/>
            <w:tcBorders>
              <w:top w:val="nil"/>
              <w:left w:val="nil"/>
              <w:bottom w:val="single" w:sz="4" w:space="0" w:color="0077BD"/>
              <w:right w:val="nil"/>
            </w:tcBorders>
            <w:shd w:val="clear" w:color="auto" w:fill="auto"/>
            <w:vAlign w:val="center"/>
            <w:hideMark/>
          </w:tcPr>
          <w:p w14:paraId="323085C6" w14:textId="6583860B"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979</w:t>
            </w:r>
          </w:p>
        </w:tc>
      </w:tr>
      <w:tr w:rsidR="004D11EB" w:rsidRPr="00BB7C9E" w14:paraId="2026355A"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3E33FA48" w14:textId="77777777" w:rsidR="00745D79" w:rsidRPr="00BB7C9E" w:rsidRDefault="00745D79" w:rsidP="00745D79">
            <w:pPr>
              <w:ind w:firstLineChars="100" w:firstLine="130"/>
              <w:rPr>
                <w:rFonts w:cs="Calibri"/>
                <w:i/>
                <w:iCs/>
                <w:color w:val="000000" w:themeColor="text1"/>
                <w:sz w:val="13"/>
                <w:szCs w:val="13"/>
              </w:rPr>
            </w:pPr>
            <w:r w:rsidRPr="00BB7C9E">
              <w:rPr>
                <w:rFonts w:cs="Calibri"/>
                <w:i/>
                <w:iCs/>
                <w:color w:val="000000" w:themeColor="text1"/>
                <w:sz w:val="13"/>
                <w:szCs w:val="13"/>
              </w:rPr>
              <w:t>- Zmiana założeń demograficznych</w:t>
            </w:r>
          </w:p>
        </w:tc>
        <w:tc>
          <w:tcPr>
            <w:tcW w:w="1418" w:type="dxa"/>
            <w:tcBorders>
              <w:top w:val="nil"/>
              <w:left w:val="single" w:sz="4" w:space="0" w:color="0077BD"/>
              <w:bottom w:val="single" w:sz="4" w:space="0" w:color="0077BD"/>
              <w:right w:val="single" w:sz="4" w:space="0" w:color="0077BD"/>
            </w:tcBorders>
            <w:shd w:val="clear" w:color="auto" w:fill="auto"/>
            <w:vAlign w:val="center"/>
            <w:hideMark/>
          </w:tcPr>
          <w:p w14:paraId="6B157CD0" w14:textId="5FCAAD69"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123</w:t>
            </w:r>
          </w:p>
        </w:tc>
        <w:tc>
          <w:tcPr>
            <w:tcW w:w="1418" w:type="dxa"/>
            <w:tcBorders>
              <w:top w:val="nil"/>
              <w:left w:val="nil"/>
              <w:bottom w:val="single" w:sz="4" w:space="0" w:color="0077BD"/>
              <w:right w:val="single" w:sz="4" w:space="0" w:color="0077BD"/>
            </w:tcBorders>
            <w:shd w:val="clear" w:color="auto" w:fill="auto"/>
            <w:vAlign w:val="center"/>
            <w:hideMark/>
          </w:tcPr>
          <w:p w14:paraId="32621D8B" w14:textId="2095BF4E"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(17)</w:t>
            </w:r>
          </w:p>
        </w:tc>
        <w:tc>
          <w:tcPr>
            <w:tcW w:w="1418" w:type="dxa"/>
            <w:tcBorders>
              <w:top w:val="nil"/>
              <w:left w:val="nil"/>
              <w:bottom w:val="single" w:sz="4" w:space="0" w:color="0077BD"/>
              <w:right w:val="single" w:sz="4" w:space="0" w:color="0077BD"/>
            </w:tcBorders>
            <w:shd w:val="clear" w:color="auto" w:fill="auto"/>
            <w:vAlign w:val="center"/>
            <w:hideMark/>
          </w:tcPr>
          <w:p w14:paraId="79141936" w14:textId="3A9FB993"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25</w:t>
            </w:r>
          </w:p>
        </w:tc>
        <w:tc>
          <w:tcPr>
            <w:tcW w:w="1418" w:type="dxa"/>
            <w:tcBorders>
              <w:top w:val="nil"/>
              <w:left w:val="nil"/>
              <w:bottom w:val="single" w:sz="4" w:space="0" w:color="0077BD"/>
              <w:right w:val="nil"/>
            </w:tcBorders>
            <w:shd w:val="clear" w:color="auto" w:fill="auto"/>
            <w:vAlign w:val="center"/>
            <w:hideMark/>
          </w:tcPr>
          <w:p w14:paraId="131823E8" w14:textId="1CA3EB87"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131</w:t>
            </w:r>
          </w:p>
        </w:tc>
      </w:tr>
      <w:tr w:rsidR="004D11EB" w:rsidRPr="00BB7C9E" w14:paraId="0AC39710"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74D98EC4" w14:textId="77777777" w:rsidR="00745D79" w:rsidRPr="00BB7C9E" w:rsidRDefault="00745D79" w:rsidP="00745D79">
            <w:pPr>
              <w:ind w:firstLineChars="100" w:firstLine="130"/>
              <w:rPr>
                <w:rFonts w:cs="Calibri"/>
                <w:i/>
                <w:iCs/>
                <w:color w:val="000000" w:themeColor="text1"/>
                <w:sz w:val="13"/>
                <w:szCs w:val="13"/>
              </w:rPr>
            </w:pPr>
            <w:r w:rsidRPr="00BB7C9E">
              <w:rPr>
                <w:rFonts w:cs="Calibri"/>
                <w:i/>
                <w:iCs/>
                <w:color w:val="000000" w:themeColor="text1"/>
                <w:sz w:val="13"/>
                <w:szCs w:val="13"/>
              </w:rPr>
              <w:t>- Pozostałe zmiany</w:t>
            </w:r>
          </w:p>
        </w:tc>
        <w:tc>
          <w:tcPr>
            <w:tcW w:w="1418" w:type="dxa"/>
            <w:tcBorders>
              <w:top w:val="nil"/>
              <w:left w:val="single" w:sz="4" w:space="0" w:color="0077BD"/>
              <w:bottom w:val="single" w:sz="4" w:space="0" w:color="0077BD"/>
              <w:right w:val="single" w:sz="4" w:space="0" w:color="0077BD"/>
            </w:tcBorders>
            <w:shd w:val="clear" w:color="auto" w:fill="auto"/>
            <w:vAlign w:val="center"/>
            <w:hideMark/>
          </w:tcPr>
          <w:p w14:paraId="5946E392" w14:textId="31D11FA4"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947</w:t>
            </w:r>
          </w:p>
        </w:tc>
        <w:tc>
          <w:tcPr>
            <w:tcW w:w="1418" w:type="dxa"/>
            <w:tcBorders>
              <w:top w:val="nil"/>
              <w:left w:val="nil"/>
              <w:bottom w:val="single" w:sz="4" w:space="0" w:color="0077BD"/>
              <w:right w:val="single" w:sz="4" w:space="0" w:color="0077BD"/>
            </w:tcBorders>
            <w:shd w:val="clear" w:color="auto" w:fill="auto"/>
            <w:vAlign w:val="center"/>
            <w:hideMark/>
          </w:tcPr>
          <w:p w14:paraId="0F954750" w14:textId="27960EF1"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197</w:t>
            </w:r>
          </w:p>
        </w:tc>
        <w:tc>
          <w:tcPr>
            <w:tcW w:w="1418" w:type="dxa"/>
            <w:tcBorders>
              <w:top w:val="nil"/>
              <w:left w:val="nil"/>
              <w:bottom w:val="single" w:sz="4" w:space="0" w:color="0077BD"/>
              <w:right w:val="single" w:sz="4" w:space="0" w:color="0077BD"/>
            </w:tcBorders>
            <w:shd w:val="clear" w:color="auto" w:fill="auto"/>
            <w:vAlign w:val="center"/>
            <w:hideMark/>
          </w:tcPr>
          <w:p w14:paraId="6CDD716C" w14:textId="0DA59ECD"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881</w:t>
            </w:r>
          </w:p>
        </w:tc>
        <w:tc>
          <w:tcPr>
            <w:tcW w:w="1418" w:type="dxa"/>
            <w:tcBorders>
              <w:top w:val="nil"/>
              <w:left w:val="nil"/>
              <w:bottom w:val="single" w:sz="4" w:space="0" w:color="0077BD"/>
              <w:right w:val="nil"/>
            </w:tcBorders>
            <w:shd w:val="clear" w:color="auto" w:fill="auto"/>
            <w:vAlign w:val="center"/>
            <w:hideMark/>
          </w:tcPr>
          <w:p w14:paraId="06552044" w14:textId="491DF93E" w:rsidR="00745D79" w:rsidRPr="00BB7C9E" w:rsidRDefault="00745D79" w:rsidP="00745D79">
            <w:pPr>
              <w:jc w:val="right"/>
              <w:rPr>
                <w:rFonts w:cs="Calibri"/>
                <w:i/>
                <w:iCs/>
                <w:color w:val="000000" w:themeColor="text1"/>
                <w:sz w:val="13"/>
                <w:szCs w:val="13"/>
              </w:rPr>
            </w:pPr>
            <w:r w:rsidRPr="00BB7C9E">
              <w:rPr>
                <w:rFonts w:cs="Calibri"/>
                <w:i/>
                <w:iCs/>
                <w:color w:val="000000" w:themeColor="text1"/>
                <w:sz w:val="13"/>
                <w:szCs w:val="13"/>
              </w:rPr>
              <w:t>2 025</w:t>
            </w:r>
          </w:p>
        </w:tc>
      </w:tr>
      <w:tr w:rsidR="004D11EB" w:rsidRPr="00BB7C9E" w14:paraId="10A377AA" w14:textId="77777777" w:rsidTr="00B6593C">
        <w:trPr>
          <w:trHeight w:val="255"/>
        </w:trPr>
        <w:tc>
          <w:tcPr>
            <w:tcW w:w="3912" w:type="dxa"/>
            <w:tcBorders>
              <w:top w:val="nil"/>
              <w:left w:val="nil"/>
              <w:bottom w:val="single" w:sz="4" w:space="0" w:color="0077BD"/>
              <w:right w:val="single" w:sz="4" w:space="0" w:color="0077BD"/>
            </w:tcBorders>
            <w:shd w:val="clear" w:color="auto" w:fill="auto"/>
            <w:vAlign w:val="center"/>
            <w:hideMark/>
          </w:tcPr>
          <w:p w14:paraId="0C8709CC" w14:textId="77777777" w:rsidR="00745D79" w:rsidRPr="00BB7C9E" w:rsidRDefault="00745D79" w:rsidP="00745D79">
            <w:pPr>
              <w:rPr>
                <w:rFonts w:cs="Calibri"/>
                <w:color w:val="000000" w:themeColor="text1"/>
                <w:sz w:val="13"/>
                <w:szCs w:val="13"/>
              </w:rPr>
            </w:pPr>
            <w:r w:rsidRPr="00BB7C9E">
              <w:rPr>
                <w:rFonts w:cs="Calibri"/>
                <w:color w:val="000000" w:themeColor="text1"/>
                <w:sz w:val="13"/>
                <w:szCs w:val="13"/>
              </w:rPr>
              <w:t>Redukcja/ likwidacja planu</w:t>
            </w:r>
          </w:p>
        </w:tc>
        <w:tc>
          <w:tcPr>
            <w:tcW w:w="1418" w:type="dxa"/>
            <w:tcBorders>
              <w:top w:val="nil"/>
              <w:left w:val="single" w:sz="4" w:space="0" w:color="0077BD"/>
              <w:bottom w:val="single" w:sz="4" w:space="0" w:color="0077BD"/>
              <w:right w:val="single" w:sz="4" w:space="0" w:color="0077BD"/>
            </w:tcBorders>
            <w:shd w:val="clear" w:color="auto" w:fill="auto"/>
            <w:vAlign w:val="center"/>
            <w:hideMark/>
          </w:tcPr>
          <w:p w14:paraId="338F8770" w14:textId="0EDDB3CD"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(230)</w:t>
            </w:r>
          </w:p>
        </w:tc>
        <w:tc>
          <w:tcPr>
            <w:tcW w:w="1418" w:type="dxa"/>
            <w:tcBorders>
              <w:top w:val="nil"/>
              <w:left w:val="nil"/>
              <w:bottom w:val="single" w:sz="4" w:space="0" w:color="0077BD"/>
              <w:right w:val="single" w:sz="4" w:space="0" w:color="0077BD"/>
            </w:tcBorders>
            <w:shd w:val="clear" w:color="auto" w:fill="auto"/>
            <w:vAlign w:val="center"/>
            <w:hideMark/>
          </w:tcPr>
          <w:p w14:paraId="244BB399" w14:textId="5336D8C2"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4" w:space="0" w:color="0077BD"/>
            </w:tcBorders>
            <w:shd w:val="clear" w:color="auto" w:fill="auto"/>
            <w:vAlign w:val="center"/>
            <w:hideMark/>
          </w:tcPr>
          <w:p w14:paraId="0735BB3E" w14:textId="2E114708"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vAlign w:val="center"/>
            <w:hideMark/>
          </w:tcPr>
          <w:p w14:paraId="335CF804" w14:textId="66DA3C2A"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(230)</w:t>
            </w:r>
          </w:p>
        </w:tc>
      </w:tr>
      <w:tr w:rsidR="004D11EB" w:rsidRPr="00BB7C9E" w14:paraId="57B2EA1A" w14:textId="77777777" w:rsidTr="00B6593C">
        <w:trPr>
          <w:trHeight w:val="255"/>
        </w:trPr>
        <w:tc>
          <w:tcPr>
            <w:tcW w:w="3912" w:type="dxa"/>
            <w:tcBorders>
              <w:top w:val="nil"/>
              <w:left w:val="nil"/>
              <w:bottom w:val="nil"/>
              <w:right w:val="single" w:sz="4" w:space="0" w:color="0077BD"/>
            </w:tcBorders>
            <w:shd w:val="clear" w:color="auto" w:fill="auto"/>
            <w:vAlign w:val="center"/>
            <w:hideMark/>
          </w:tcPr>
          <w:p w14:paraId="6A326FCD" w14:textId="77777777" w:rsidR="00745D79" w:rsidRPr="00BB7C9E" w:rsidRDefault="00745D79" w:rsidP="00745D79">
            <w:pPr>
              <w:rPr>
                <w:rFonts w:cs="Calibri"/>
                <w:color w:val="000000" w:themeColor="text1"/>
                <w:sz w:val="13"/>
                <w:szCs w:val="13"/>
              </w:rPr>
            </w:pPr>
            <w:r w:rsidRPr="00BB7C9E">
              <w:rPr>
                <w:rFonts w:cs="Calibri"/>
                <w:color w:val="000000" w:themeColor="text1"/>
                <w:sz w:val="13"/>
                <w:szCs w:val="13"/>
              </w:rPr>
              <w:t>Świadczenia wypłacone</w:t>
            </w:r>
          </w:p>
        </w:tc>
        <w:tc>
          <w:tcPr>
            <w:tcW w:w="1418" w:type="dxa"/>
            <w:tcBorders>
              <w:top w:val="nil"/>
              <w:left w:val="single" w:sz="4" w:space="0" w:color="0077BD"/>
              <w:bottom w:val="nil"/>
              <w:right w:val="single" w:sz="4" w:space="0" w:color="0077BD"/>
            </w:tcBorders>
            <w:shd w:val="clear" w:color="auto" w:fill="auto"/>
            <w:vAlign w:val="center"/>
            <w:hideMark/>
          </w:tcPr>
          <w:p w14:paraId="2BF7EA69" w14:textId="719D1EE6"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(422)</w:t>
            </w:r>
          </w:p>
        </w:tc>
        <w:tc>
          <w:tcPr>
            <w:tcW w:w="1418" w:type="dxa"/>
            <w:tcBorders>
              <w:top w:val="nil"/>
              <w:left w:val="nil"/>
              <w:bottom w:val="nil"/>
              <w:right w:val="single" w:sz="4" w:space="0" w:color="0077BD"/>
            </w:tcBorders>
            <w:shd w:val="clear" w:color="auto" w:fill="auto"/>
            <w:vAlign w:val="center"/>
            <w:hideMark/>
          </w:tcPr>
          <w:p w14:paraId="60E876F0" w14:textId="1B52BBB6"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(9)</w:t>
            </w:r>
          </w:p>
        </w:tc>
        <w:tc>
          <w:tcPr>
            <w:tcW w:w="1418" w:type="dxa"/>
            <w:tcBorders>
              <w:top w:val="nil"/>
              <w:left w:val="nil"/>
              <w:bottom w:val="nil"/>
              <w:right w:val="single" w:sz="4" w:space="0" w:color="0077BD"/>
            </w:tcBorders>
            <w:shd w:val="clear" w:color="auto" w:fill="auto"/>
            <w:vAlign w:val="center"/>
            <w:hideMark/>
          </w:tcPr>
          <w:p w14:paraId="5127C940" w14:textId="75CAF391"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(522)</w:t>
            </w:r>
          </w:p>
        </w:tc>
        <w:tc>
          <w:tcPr>
            <w:tcW w:w="1418" w:type="dxa"/>
            <w:tcBorders>
              <w:top w:val="nil"/>
              <w:left w:val="nil"/>
              <w:bottom w:val="nil"/>
              <w:right w:val="nil"/>
            </w:tcBorders>
            <w:shd w:val="clear" w:color="auto" w:fill="auto"/>
            <w:vAlign w:val="center"/>
            <w:hideMark/>
          </w:tcPr>
          <w:p w14:paraId="7E6083F3" w14:textId="3CB7CB74"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(953)</w:t>
            </w:r>
          </w:p>
        </w:tc>
      </w:tr>
      <w:tr w:rsidR="004D11EB" w:rsidRPr="00BB7C9E" w14:paraId="2BCB99DE" w14:textId="77777777" w:rsidTr="00B6593C">
        <w:trPr>
          <w:trHeight w:val="255"/>
        </w:trPr>
        <w:tc>
          <w:tcPr>
            <w:tcW w:w="3912" w:type="dxa"/>
            <w:tcBorders>
              <w:top w:val="single" w:sz="8" w:space="0" w:color="0077BD"/>
              <w:left w:val="nil"/>
              <w:bottom w:val="single" w:sz="8" w:space="0" w:color="0077BD"/>
              <w:right w:val="single" w:sz="4" w:space="0" w:color="0077BD"/>
            </w:tcBorders>
            <w:shd w:val="clear" w:color="auto" w:fill="auto"/>
            <w:vAlign w:val="center"/>
            <w:hideMark/>
          </w:tcPr>
          <w:p w14:paraId="05CBC5C9" w14:textId="77777777" w:rsidR="00745D79" w:rsidRPr="00BB7C9E" w:rsidRDefault="00745D79" w:rsidP="00745D79">
            <w:pPr>
              <w:rPr>
                <w:rFonts w:cs="Calibri"/>
                <w:b/>
                <w:bCs/>
                <w:color w:val="000000" w:themeColor="text1"/>
                <w:sz w:val="13"/>
                <w:szCs w:val="13"/>
              </w:rPr>
            </w:pPr>
            <w:r w:rsidRPr="00BB7C9E">
              <w:rPr>
                <w:rFonts w:cs="Calibri"/>
                <w:b/>
                <w:bCs/>
                <w:color w:val="000000" w:themeColor="text1"/>
                <w:sz w:val="13"/>
                <w:szCs w:val="13"/>
              </w:rPr>
              <w:t>Stan rezerw na koniec okresu</w:t>
            </w:r>
          </w:p>
        </w:tc>
        <w:tc>
          <w:tcPr>
            <w:tcW w:w="1418" w:type="dxa"/>
            <w:tcBorders>
              <w:top w:val="single" w:sz="8" w:space="0" w:color="0077BD"/>
              <w:left w:val="single" w:sz="4" w:space="0" w:color="0077BD"/>
              <w:bottom w:val="single" w:sz="8" w:space="0" w:color="0077BD"/>
              <w:right w:val="single" w:sz="4" w:space="0" w:color="0077BD"/>
            </w:tcBorders>
            <w:shd w:val="clear" w:color="auto" w:fill="auto"/>
            <w:noWrap/>
            <w:vAlign w:val="center"/>
            <w:hideMark/>
          </w:tcPr>
          <w:p w14:paraId="756F576E" w14:textId="4522D516"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11 106</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4B7A05A1" w14:textId="415E9CD3"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4 714</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2336D645" w14:textId="2588BC11"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6 007</w:t>
            </w:r>
          </w:p>
        </w:tc>
        <w:tc>
          <w:tcPr>
            <w:tcW w:w="1418" w:type="dxa"/>
            <w:tcBorders>
              <w:top w:val="single" w:sz="8" w:space="0" w:color="0077BD"/>
              <w:left w:val="nil"/>
              <w:bottom w:val="single" w:sz="8" w:space="0" w:color="0077BD"/>
              <w:right w:val="nil"/>
            </w:tcBorders>
            <w:shd w:val="clear" w:color="auto" w:fill="auto"/>
            <w:noWrap/>
            <w:vAlign w:val="center"/>
            <w:hideMark/>
          </w:tcPr>
          <w:p w14:paraId="09C6D44F" w14:textId="6544F3E7" w:rsidR="00745D79" w:rsidRPr="00BB7C9E" w:rsidRDefault="00745D79" w:rsidP="00745D79">
            <w:pPr>
              <w:jc w:val="right"/>
              <w:rPr>
                <w:rFonts w:cs="Calibri"/>
                <w:b/>
                <w:bCs/>
                <w:color w:val="000000" w:themeColor="text1"/>
                <w:sz w:val="13"/>
                <w:szCs w:val="13"/>
              </w:rPr>
            </w:pPr>
            <w:r w:rsidRPr="00BB7C9E">
              <w:rPr>
                <w:rFonts w:cs="Calibri"/>
                <w:b/>
                <w:bCs/>
                <w:color w:val="000000" w:themeColor="text1"/>
                <w:sz w:val="13"/>
                <w:szCs w:val="13"/>
              </w:rPr>
              <w:t>21 827</w:t>
            </w:r>
          </w:p>
        </w:tc>
      </w:tr>
      <w:tr w:rsidR="004D11EB" w:rsidRPr="00D63A49" w14:paraId="103E92BD" w14:textId="77777777" w:rsidTr="003B3DF7">
        <w:trPr>
          <w:trHeight w:val="20"/>
        </w:trPr>
        <w:tc>
          <w:tcPr>
            <w:tcW w:w="3912" w:type="dxa"/>
            <w:tcBorders>
              <w:top w:val="single" w:sz="8" w:space="0" w:color="0077BD"/>
              <w:left w:val="nil"/>
              <w:bottom w:val="single" w:sz="8" w:space="0" w:color="0077BD"/>
            </w:tcBorders>
            <w:shd w:val="clear" w:color="auto" w:fill="auto"/>
            <w:noWrap/>
            <w:vAlign w:val="center"/>
          </w:tcPr>
          <w:p w14:paraId="3CDA91D8" w14:textId="77777777" w:rsidR="00745D79" w:rsidRPr="00D63A49" w:rsidRDefault="00745D79" w:rsidP="00745D79">
            <w:pP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2819EE27" w14:textId="60FA8BB0" w:rsidR="00745D79" w:rsidRPr="00D63A49" w:rsidRDefault="00745D79" w:rsidP="00745D79">
            <w:pP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05D20A1D" w14:textId="49A52EA0" w:rsidR="00745D79" w:rsidRPr="00D63A49" w:rsidRDefault="00745D79" w:rsidP="00745D79">
            <w:pPr>
              <w:jc w:val="center"/>
              <w:rPr>
                <w:rFonts w:cs="Calibri"/>
                <w:color w:val="000000" w:themeColor="text1"/>
                <w:sz w:val="8"/>
                <w:szCs w:val="8"/>
              </w:rPr>
            </w:pPr>
          </w:p>
        </w:tc>
        <w:tc>
          <w:tcPr>
            <w:tcW w:w="1418" w:type="dxa"/>
            <w:tcBorders>
              <w:top w:val="single" w:sz="8" w:space="0" w:color="0077BD"/>
              <w:bottom w:val="single" w:sz="8" w:space="0" w:color="0077BD"/>
            </w:tcBorders>
            <w:shd w:val="clear" w:color="auto" w:fill="auto"/>
            <w:noWrap/>
            <w:vAlign w:val="center"/>
          </w:tcPr>
          <w:p w14:paraId="65DAB9FF" w14:textId="6A43E496" w:rsidR="00745D79" w:rsidRPr="00D63A49" w:rsidRDefault="00745D79" w:rsidP="00745D79">
            <w:pPr>
              <w:jc w:val="center"/>
              <w:rPr>
                <w:rFonts w:cs="Calibri"/>
                <w:color w:val="000000" w:themeColor="text1"/>
                <w:sz w:val="8"/>
                <w:szCs w:val="8"/>
              </w:rPr>
            </w:pPr>
          </w:p>
        </w:tc>
        <w:tc>
          <w:tcPr>
            <w:tcW w:w="1418" w:type="dxa"/>
            <w:tcBorders>
              <w:top w:val="single" w:sz="8" w:space="0" w:color="0077BD"/>
              <w:bottom w:val="single" w:sz="8" w:space="0" w:color="0077BD"/>
              <w:right w:val="nil"/>
            </w:tcBorders>
            <w:shd w:val="clear" w:color="auto" w:fill="auto"/>
            <w:noWrap/>
            <w:vAlign w:val="center"/>
          </w:tcPr>
          <w:p w14:paraId="131E6613" w14:textId="6F1DEE17" w:rsidR="00745D79" w:rsidRPr="00D63A49" w:rsidRDefault="00745D79" w:rsidP="00745D79">
            <w:pPr>
              <w:jc w:val="center"/>
              <w:rPr>
                <w:rFonts w:cs="Calibri"/>
                <w:color w:val="000000" w:themeColor="text1"/>
                <w:sz w:val="8"/>
                <w:szCs w:val="8"/>
              </w:rPr>
            </w:pPr>
          </w:p>
        </w:tc>
      </w:tr>
      <w:tr w:rsidR="004D11EB" w:rsidRPr="00BB7C9E" w14:paraId="720C2FBE" w14:textId="77777777" w:rsidTr="00B6593C">
        <w:trPr>
          <w:trHeight w:val="255"/>
        </w:trPr>
        <w:tc>
          <w:tcPr>
            <w:tcW w:w="3912" w:type="dxa"/>
            <w:tcBorders>
              <w:top w:val="single" w:sz="8" w:space="0" w:color="0077BD"/>
              <w:left w:val="nil"/>
              <w:bottom w:val="single" w:sz="4" w:space="0" w:color="0077BD"/>
              <w:right w:val="single" w:sz="4" w:space="0" w:color="0077BD"/>
            </w:tcBorders>
            <w:shd w:val="clear" w:color="auto" w:fill="auto"/>
            <w:vAlign w:val="center"/>
            <w:hideMark/>
          </w:tcPr>
          <w:p w14:paraId="4B901A1A" w14:textId="77777777" w:rsidR="00745D79" w:rsidRPr="00BB7C9E" w:rsidRDefault="00745D79" w:rsidP="00745D79">
            <w:pPr>
              <w:rPr>
                <w:rFonts w:cs="Calibri"/>
                <w:bCs/>
                <w:color w:val="000000" w:themeColor="text1"/>
                <w:sz w:val="13"/>
                <w:szCs w:val="13"/>
              </w:rPr>
            </w:pPr>
            <w:r w:rsidRPr="00BB7C9E">
              <w:rPr>
                <w:rFonts w:cs="Calibri"/>
                <w:bCs/>
                <w:color w:val="000000" w:themeColor="text1"/>
                <w:sz w:val="13"/>
                <w:szCs w:val="13"/>
              </w:rPr>
              <w:t>Krótkoterminowe (do 1 roku)</w:t>
            </w:r>
          </w:p>
        </w:tc>
        <w:tc>
          <w:tcPr>
            <w:tcW w:w="1418" w:type="dxa"/>
            <w:tcBorders>
              <w:top w:val="single" w:sz="8" w:space="0" w:color="0077BD"/>
              <w:left w:val="single" w:sz="4" w:space="0" w:color="0077BD"/>
              <w:bottom w:val="single" w:sz="4" w:space="0" w:color="0077BD"/>
              <w:right w:val="single" w:sz="4" w:space="0" w:color="0077BD"/>
            </w:tcBorders>
            <w:shd w:val="clear" w:color="auto" w:fill="auto"/>
            <w:noWrap/>
            <w:vAlign w:val="center"/>
            <w:hideMark/>
          </w:tcPr>
          <w:p w14:paraId="72462F2F" w14:textId="05BA400A"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9 063</w:t>
            </w:r>
          </w:p>
        </w:tc>
        <w:tc>
          <w:tcPr>
            <w:tcW w:w="1418" w:type="dxa"/>
            <w:tcBorders>
              <w:top w:val="single" w:sz="8" w:space="0" w:color="0077BD"/>
              <w:left w:val="nil"/>
              <w:bottom w:val="single" w:sz="4" w:space="0" w:color="0077BD"/>
              <w:right w:val="single" w:sz="4" w:space="0" w:color="0077BD"/>
            </w:tcBorders>
            <w:shd w:val="clear" w:color="auto" w:fill="auto"/>
            <w:noWrap/>
            <w:vAlign w:val="center"/>
            <w:hideMark/>
          </w:tcPr>
          <w:p w14:paraId="098D12D1" w14:textId="4B92877B"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305</w:t>
            </w:r>
          </w:p>
        </w:tc>
        <w:tc>
          <w:tcPr>
            <w:tcW w:w="1418" w:type="dxa"/>
            <w:tcBorders>
              <w:top w:val="single" w:sz="8" w:space="0" w:color="0077BD"/>
              <w:left w:val="nil"/>
              <w:bottom w:val="single" w:sz="4" w:space="0" w:color="0077BD"/>
              <w:right w:val="single" w:sz="4" w:space="0" w:color="0077BD"/>
            </w:tcBorders>
            <w:shd w:val="clear" w:color="auto" w:fill="auto"/>
            <w:noWrap/>
            <w:vAlign w:val="center"/>
            <w:hideMark/>
          </w:tcPr>
          <w:p w14:paraId="04178F68" w14:textId="5804806B"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76</w:t>
            </w:r>
          </w:p>
        </w:tc>
        <w:tc>
          <w:tcPr>
            <w:tcW w:w="1418" w:type="dxa"/>
            <w:tcBorders>
              <w:top w:val="single" w:sz="8" w:space="0" w:color="0077BD"/>
              <w:left w:val="nil"/>
              <w:bottom w:val="single" w:sz="4" w:space="0" w:color="0077BD"/>
              <w:right w:val="nil"/>
            </w:tcBorders>
            <w:shd w:val="clear" w:color="auto" w:fill="auto"/>
            <w:noWrap/>
            <w:vAlign w:val="center"/>
            <w:hideMark/>
          </w:tcPr>
          <w:p w14:paraId="16E53418" w14:textId="2DA4E17F"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9 444</w:t>
            </w:r>
          </w:p>
        </w:tc>
      </w:tr>
      <w:tr w:rsidR="004D11EB" w:rsidRPr="00BB7C9E" w14:paraId="35A9DC34" w14:textId="77777777" w:rsidTr="00B6593C">
        <w:trPr>
          <w:trHeight w:val="255"/>
        </w:trPr>
        <w:tc>
          <w:tcPr>
            <w:tcW w:w="3912" w:type="dxa"/>
            <w:tcBorders>
              <w:top w:val="nil"/>
              <w:left w:val="nil"/>
              <w:bottom w:val="single" w:sz="8" w:space="0" w:color="0077BD"/>
              <w:right w:val="single" w:sz="4" w:space="0" w:color="0077BD"/>
            </w:tcBorders>
            <w:shd w:val="clear" w:color="auto" w:fill="auto"/>
            <w:vAlign w:val="center"/>
            <w:hideMark/>
          </w:tcPr>
          <w:p w14:paraId="5890809C" w14:textId="77777777" w:rsidR="00745D79" w:rsidRPr="00BB7C9E" w:rsidRDefault="00745D79" w:rsidP="00745D79">
            <w:pPr>
              <w:rPr>
                <w:rFonts w:cs="Calibri"/>
                <w:bCs/>
                <w:color w:val="000000" w:themeColor="text1"/>
                <w:sz w:val="13"/>
                <w:szCs w:val="13"/>
              </w:rPr>
            </w:pPr>
            <w:r w:rsidRPr="00BB7C9E">
              <w:rPr>
                <w:rFonts w:cs="Calibri"/>
                <w:bCs/>
                <w:color w:val="000000" w:themeColor="text1"/>
                <w:sz w:val="13"/>
                <w:szCs w:val="13"/>
              </w:rPr>
              <w:t>Długoterminowe (powyżej 1 roku)</w:t>
            </w:r>
          </w:p>
        </w:tc>
        <w:tc>
          <w:tcPr>
            <w:tcW w:w="1418" w:type="dxa"/>
            <w:tcBorders>
              <w:top w:val="nil"/>
              <w:left w:val="single" w:sz="4" w:space="0" w:color="0077BD"/>
              <w:bottom w:val="single" w:sz="8" w:space="0" w:color="0077BD"/>
              <w:right w:val="single" w:sz="4" w:space="0" w:color="0077BD"/>
            </w:tcBorders>
            <w:shd w:val="clear" w:color="auto" w:fill="auto"/>
            <w:noWrap/>
            <w:vAlign w:val="center"/>
            <w:hideMark/>
          </w:tcPr>
          <w:p w14:paraId="3AA2D2CA" w14:textId="1D99D2B5"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2 044</w:t>
            </w:r>
          </w:p>
        </w:tc>
        <w:tc>
          <w:tcPr>
            <w:tcW w:w="1418" w:type="dxa"/>
            <w:tcBorders>
              <w:top w:val="nil"/>
              <w:left w:val="nil"/>
              <w:bottom w:val="single" w:sz="8" w:space="0" w:color="0077BD"/>
              <w:right w:val="single" w:sz="4" w:space="0" w:color="0077BD"/>
            </w:tcBorders>
            <w:shd w:val="clear" w:color="auto" w:fill="auto"/>
            <w:noWrap/>
            <w:vAlign w:val="center"/>
            <w:hideMark/>
          </w:tcPr>
          <w:p w14:paraId="137D5B5D" w14:textId="5E10EDB5"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4 408</w:t>
            </w:r>
          </w:p>
        </w:tc>
        <w:tc>
          <w:tcPr>
            <w:tcW w:w="1418" w:type="dxa"/>
            <w:tcBorders>
              <w:top w:val="nil"/>
              <w:left w:val="nil"/>
              <w:bottom w:val="single" w:sz="8" w:space="0" w:color="0077BD"/>
              <w:right w:val="single" w:sz="4" w:space="0" w:color="0077BD"/>
            </w:tcBorders>
            <w:shd w:val="clear" w:color="auto" w:fill="auto"/>
            <w:noWrap/>
            <w:vAlign w:val="center"/>
            <w:hideMark/>
          </w:tcPr>
          <w:p w14:paraId="4B26B94E" w14:textId="16D08CA6"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5 931</w:t>
            </w:r>
          </w:p>
        </w:tc>
        <w:tc>
          <w:tcPr>
            <w:tcW w:w="1418" w:type="dxa"/>
            <w:tcBorders>
              <w:top w:val="nil"/>
              <w:left w:val="nil"/>
              <w:bottom w:val="single" w:sz="8" w:space="0" w:color="0077BD"/>
              <w:right w:val="nil"/>
            </w:tcBorders>
            <w:shd w:val="clear" w:color="auto" w:fill="auto"/>
            <w:noWrap/>
            <w:vAlign w:val="center"/>
            <w:hideMark/>
          </w:tcPr>
          <w:p w14:paraId="279FB9DB" w14:textId="63AE3B71" w:rsidR="00745D79" w:rsidRPr="00BB7C9E" w:rsidRDefault="00745D79" w:rsidP="00745D79">
            <w:pPr>
              <w:jc w:val="right"/>
              <w:rPr>
                <w:rFonts w:cs="Calibri"/>
                <w:color w:val="000000" w:themeColor="text1"/>
                <w:sz w:val="13"/>
                <w:szCs w:val="13"/>
              </w:rPr>
            </w:pPr>
            <w:r w:rsidRPr="00BB7C9E">
              <w:rPr>
                <w:rFonts w:cs="Calibri"/>
                <w:color w:val="000000" w:themeColor="text1"/>
                <w:sz w:val="13"/>
                <w:szCs w:val="13"/>
              </w:rPr>
              <w:t>12 383</w:t>
            </w:r>
          </w:p>
        </w:tc>
      </w:tr>
    </w:tbl>
    <w:p w14:paraId="79C0B3B9" w14:textId="06FCDC7D" w:rsidR="00560414" w:rsidRPr="00BB7C9E" w:rsidRDefault="00AE452A" w:rsidP="00CC5C0D">
      <w:pPr>
        <w:spacing w:before="120"/>
        <w:jc w:val="both"/>
        <w:rPr>
          <w:rFonts w:cs="Tahoma"/>
          <w:color w:val="000000" w:themeColor="text1"/>
          <w:sz w:val="18"/>
          <w:szCs w:val="18"/>
        </w:rPr>
      </w:pPr>
      <w:r w:rsidRPr="00BB7C9E">
        <w:rPr>
          <w:rFonts w:cs="Tahoma"/>
          <w:color w:val="000000" w:themeColor="text1"/>
          <w:sz w:val="18"/>
          <w:szCs w:val="18"/>
        </w:rPr>
        <w:t xml:space="preserve">Stopa dyskonta jest jednym z kluczowych założeń używanych w wycenie aktuarialnej rezerw na świadczenia pracownicze po okresie zatrudnienia. W przypadku, gdyby stopa dyskonta użyta przy wyliczeniu tych rezerw na dzień </w:t>
      </w:r>
      <w:r w:rsidR="001C3DA0" w:rsidRPr="00BB7C9E">
        <w:rPr>
          <w:rFonts w:cs="Tahoma"/>
          <w:color w:val="000000" w:themeColor="text1"/>
          <w:sz w:val="18"/>
          <w:szCs w:val="18"/>
        </w:rPr>
        <w:t>31 grudnia 2019</w:t>
      </w:r>
      <w:r w:rsidRPr="00BB7C9E">
        <w:rPr>
          <w:rFonts w:cs="Tahoma"/>
          <w:color w:val="000000" w:themeColor="text1"/>
          <w:sz w:val="18"/>
          <w:szCs w:val="18"/>
        </w:rPr>
        <w:t xml:space="preserve"> roku została obniżona o 0,5 p.p</w:t>
      </w:r>
      <w:r w:rsidR="00A910FD">
        <w:rPr>
          <w:rFonts w:cs="Tahoma"/>
          <w:color w:val="000000" w:themeColor="text1"/>
          <w:sz w:val="18"/>
          <w:szCs w:val="18"/>
        </w:rPr>
        <w:t>. wartość rezerw wzrosłaby o 1 777</w:t>
      </w:r>
      <w:r w:rsidRPr="00BB7C9E">
        <w:rPr>
          <w:rFonts w:cs="Tahoma"/>
          <w:color w:val="000000" w:themeColor="text1"/>
          <w:sz w:val="18"/>
          <w:szCs w:val="18"/>
        </w:rPr>
        <w:t xml:space="preserve"> tys. zł, a w przypadku podwyższenia stopy dyskonta o 0,5 p.p. war</w:t>
      </w:r>
      <w:r w:rsidR="00583DEE" w:rsidRPr="00BB7C9E">
        <w:rPr>
          <w:rFonts w:cs="Tahoma"/>
          <w:color w:val="000000" w:themeColor="text1"/>
          <w:sz w:val="18"/>
          <w:szCs w:val="18"/>
        </w:rPr>
        <w:t>tość rezerw spadłaby o</w:t>
      </w:r>
      <w:r w:rsidR="000D5F49" w:rsidRPr="00BB7C9E">
        <w:rPr>
          <w:rFonts w:cs="Tahoma"/>
          <w:color w:val="000000" w:themeColor="text1"/>
          <w:sz w:val="18"/>
          <w:szCs w:val="18"/>
        </w:rPr>
        <w:t> </w:t>
      </w:r>
      <w:r w:rsidR="00A910FD">
        <w:rPr>
          <w:rFonts w:cs="Tahoma"/>
          <w:color w:val="000000" w:themeColor="text1"/>
          <w:sz w:val="18"/>
          <w:szCs w:val="18"/>
        </w:rPr>
        <w:t>1 573</w:t>
      </w:r>
      <w:r w:rsidR="004B71A2" w:rsidRPr="00BB7C9E">
        <w:rPr>
          <w:rFonts w:cs="Tahoma"/>
          <w:color w:val="000000" w:themeColor="text1"/>
          <w:sz w:val="18"/>
          <w:szCs w:val="18"/>
        </w:rPr>
        <w:t> </w:t>
      </w:r>
      <w:r w:rsidR="00085DC9" w:rsidRPr="00BB7C9E">
        <w:rPr>
          <w:rFonts w:cs="Tahoma"/>
          <w:color w:val="000000" w:themeColor="text1"/>
          <w:sz w:val="18"/>
          <w:szCs w:val="18"/>
        </w:rPr>
        <w:t>tys. </w:t>
      </w:r>
      <w:r w:rsidRPr="00BB7C9E">
        <w:rPr>
          <w:rFonts w:cs="Tahoma"/>
          <w:color w:val="000000" w:themeColor="text1"/>
          <w:sz w:val="18"/>
          <w:szCs w:val="18"/>
        </w:rPr>
        <w:t>zł.</w:t>
      </w:r>
    </w:p>
    <w:p w14:paraId="72B4BE35" w14:textId="77777777" w:rsidR="00C2295D" w:rsidRDefault="00C2295D" w:rsidP="006D7B8E">
      <w:pPr>
        <w:jc w:val="both"/>
        <w:rPr>
          <w:color w:val="201C17"/>
          <w:sz w:val="18"/>
          <w:szCs w:val="18"/>
        </w:rPr>
      </w:pPr>
    </w:p>
    <w:p w14:paraId="65F2D434" w14:textId="77777777" w:rsidR="00780449" w:rsidRDefault="00780449"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51" w:name="_Toc32999861"/>
      <w:r>
        <w:rPr>
          <w:rFonts w:cs="Tahoma"/>
          <w:bCs w:val="0"/>
          <w:iCs w:val="0"/>
          <w:color w:val="E41E0A"/>
          <w:sz w:val="18"/>
          <w:szCs w:val="18"/>
        </w:rPr>
        <w:t>Rezerwy</w:t>
      </w:r>
      <w:bookmarkEnd w:id="151"/>
    </w:p>
    <w:p w14:paraId="0221091B" w14:textId="31F8E2F6" w:rsidR="00780449" w:rsidRDefault="00780449" w:rsidP="00C2295D">
      <w:pPr>
        <w:jc w:val="both"/>
        <w:rPr>
          <w:noProof/>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754AF1" w:rsidRPr="00754AF1" w14:paraId="2506FCB8" w14:textId="77777777" w:rsidTr="002C4418">
        <w:trPr>
          <w:trHeight w:val="284"/>
        </w:trPr>
        <w:tc>
          <w:tcPr>
            <w:tcW w:w="6747" w:type="dxa"/>
            <w:tcBorders>
              <w:top w:val="nil"/>
              <w:left w:val="nil"/>
              <w:bottom w:val="single" w:sz="4" w:space="0" w:color="0077BD"/>
              <w:right w:val="single" w:sz="8" w:space="0" w:color="FFFFFF"/>
            </w:tcBorders>
            <w:shd w:val="clear" w:color="000000" w:fill="0077BD"/>
            <w:vAlign w:val="center"/>
            <w:hideMark/>
          </w:tcPr>
          <w:p w14:paraId="2BC2D96A" w14:textId="77777777" w:rsidR="00754AF1" w:rsidRPr="00754AF1" w:rsidRDefault="00754AF1" w:rsidP="00754AF1">
            <w:pPr>
              <w:rPr>
                <w:rFonts w:cs="Calibri"/>
                <w:b/>
                <w:bCs/>
                <w:color w:val="FFFFFF"/>
                <w:sz w:val="13"/>
                <w:szCs w:val="13"/>
              </w:rPr>
            </w:pPr>
            <w:r w:rsidRPr="00754AF1">
              <w:rPr>
                <w:rFonts w:cs="Calibri"/>
                <w:b/>
                <w:bCs/>
                <w:color w:val="FFFFFF"/>
                <w:sz w:val="13"/>
                <w:szCs w:val="13"/>
              </w:rPr>
              <w:t> </w:t>
            </w:r>
          </w:p>
        </w:tc>
        <w:tc>
          <w:tcPr>
            <w:tcW w:w="1418" w:type="dxa"/>
            <w:tcBorders>
              <w:top w:val="nil"/>
              <w:left w:val="nil"/>
              <w:bottom w:val="nil"/>
              <w:right w:val="nil"/>
            </w:tcBorders>
            <w:shd w:val="clear" w:color="000000" w:fill="0077BD"/>
            <w:noWrap/>
            <w:vAlign w:val="center"/>
            <w:hideMark/>
          </w:tcPr>
          <w:p w14:paraId="6D1B8668" w14:textId="77777777" w:rsidR="00754AF1" w:rsidRPr="00754AF1" w:rsidRDefault="00754AF1" w:rsidP="00754AF1">
            <w:pPr>
              <w:jc w:val="right"/>
              <w:rPr>
                <w:rFonts w:cs="Calibri"/>
                <w:b/>
                <w:bCs/>
                <w:color w:val="FFFFFF"/>
                <w:sz w:val="13"/>
                <w:szCs w:val="13"/>
              </w:rPr>
            </w:pPr>
            <w:r w:rsidRPr="00754AF1">
              <w:rPr>
                <w:rFonts w:cs="Calibri"/>
                <w:b/>
                <w:bCs/>
                <w:color w:val="FFFFFF"/>
                <w:sz w:val="13"/>
                <w:szCs w:val="13"/>
              </w:rPr>
              <w:t>31.12.2019</w:t>
            </w:r>
          </w:p>
        </w:tc>
        <w:tc>
          <w:tcPr>
            <w:tcW w:w="1418" w:type="dxa"/>
            <w:tcBorders>
              <w:top w:val="nil"/>
              <w:left w:val="single" w:sz="8" w:space="0" w:color="FFFFFF"/>
              <w:bottom w:val="nil"/>
              <w:right w:val="nil"/>
            </w:tcBorders>
            <w:shd w:val="clear" w:color="000000" w:fill="0077BD"/>
            <w:noWrap/>
            <w:vAlign w:val="center"/>
            <w:hideMark/>
          </w:tcPr>
          <w:p w14:paraId="540027E2" w14:textId="77777777" w:rsidR="00754AF1" w:rsidRPr="00754AF1" w:rsidRDefault="00754AF1" w:rsidP="00754AF1">
            <w:pPr>
              <w:jc w:val="right"/>
              <w:rPr>
                <w:rFonts w:cs="Calibri"/>
                <w:b/>
                <w:bCs/>
                <w:color w:val="FFFFFF"/>
                <w:sz w:val="13"/>
                <w:szCs w:val="13"/>
              </w:rPr>
            </w:pPr>
            <w:r w:rsidRPr="00754AF1">
              <w:rPr>
                <w:rFonts w:cs="Calibri"/>
                <w:b/>
                <w:bCs/>
                <w:color w:val="FFFFFF"/>
                <w:sz w:val="13"/>
                <w:szCs w:val="13"/>
              </w:rPr>
              <w:t>31.12.2018</w:t>
            </w:r>
          </w:p>
        </w:tc>
      </w:tr>
      <w:tr w:rsidR="003A0CE0" w:rsidRPr="003A0CE0" w14:paraId="35085419" w14:textId="77777777" w:rsidTr="00B6593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D9CF1EE" w14:textId="1FFB785E" w:rsidR="00E116C5" w:rsidRPr="003A0CE0" w:rsidRDefault="00E116C5" w:rsidP="00E116C5">
            <w:pPr>
              <w:rPr>
                <w:rFonts w:cs="Calibri"/>
                <w:color w:val="000000" w:themeColor="text1"/>
                <w:sz w:val="13"/>
                <w:szCs w:val="13"/>
              </w:rPr>
            </w:pPr>
            <w:r w:rsidRPr="003A0CE0">
              <w:rPr>
                <w:rFonts w:cs="Calibri"/>
                <w:color w:val="000000" w:themeColor="text1"/>
                <w:sz w:val="13"/>
                <w:szCs w:val="13"/>
              </w:rPr>
              <w:t>Rezerwy na sprawy sporne</w:t>
            </w:r>
            <w:r w:rsidR="005B23D8" w:rsidRPr="003A0CE0">
              <w:rPr>
                <w:rFonts w:cs="Calibri"/>
                <w:color w:val="000000" w:themeColor="text1"/>
                <w:sz w:val="13"/>
                <w:szCs w:val="13"/>
              </w:rPr>
              <w:t>, w tym:</w:t>
            </w:r>
            <w:r w:rsidRPr="003A0CE0">
              <w:rPr>
                <w:rFonts w:cs="Calibri"/>
                <w:color w:val="000000" w:themeColor="text1"/>
                <w:sz w:val="13"/>
                <w:szCs w:val="13"/>
              </w:rPr>
              <w:t xml:space="preserve"> </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38FA3711" w14:textId="7103444B" w:rsidR="00E116C5" w:rsidRPr="003A0CE0" w:rsidRDefault="00E116C5" w:rsidP="00E116C5">
            <w:pPr>
              <w:jc w:val="right"/>
              <w:rPr>
                <w:rFonts w:cs="Calibri"/>
                <w:color w:val="000000" w:themeColor="text1"/>
                <w:sz w:val="13"/>
                <w:szCs w:val="13"/>
              </w:rPr>
            </w:pPr>
            <w:r w:rsidRPr="003A0CE0">
              <w:rPr>
                <w:rFonts w:cs="Calibri"/>
                <w:color w:val="000000" w:themeColor="text1"/>
                <w:sz w:val="13"/>
                <w:szCs w:val="13"/>
              </w:rPr>
              <w:t>484 760</w:t>
            </w:r>
          </w:p>
        </w:tc>
        <w:tc>
          <w:tcPr>
            <w:tcW w:w="1418" w:type="dxa"/>
            <w:tcBorders>
              <w:top w:val="nil"/>
              <w:left w:val="single" w:sz="8" w:space="0" w:color="0077BD"/>
              <w:bottom w:val="single" w:sz="4" w:space="0" w:color="0077BD"/>
              <w:right w:val="nil"/>
            </w:tcBorders>
            <w:shd w:val="clear" w:color="auto" w:fill="auto"/>
            <w:noWrap/>
            <w:vAlign w:val="center"/>
            <w:hideMark/>
          </w:tcPr>
          <w:p w14:paraId="721F4789" w14:textId="77777777" w:rsidR="00E116C5" w:rsidRPr="003A0CE0" w:rsidRDefault="00E116C5" w:rsidP="00E116C5">
            <w:pPr>
              <w:jc w:val="right"/>
              <w:rPr>
                <w:rFonts w:cs="Calibri"/>
                <w:color w:val="000000" w:themeColor="text1"/>
                <w:sz w:val="13"/>
                <w:szCs w:val="13"/>
              </w:rPr>
            </w:pPr>
            <w:r w:rsidRPr="003A0CE0">
              <w:rPr>
                <w:rFonts w:cs="Calibri"/>
                <w:color w:val="000000" w:themeColor="text1"/>
                <w:sz w:val="13"/>
                <w:szCs w:val="13"/>
              </w:rPr>
              <w:t>106 321</w:t>
            </w:r>
          </w:p>
        </w:tc>
      </w:tr>
      <w:tr w:rsidR="003A0CE0" w:rsidRPr="003A0CE0" w14:paraId="05BBBD55" w14:textId="77777777" w:rsidTr="00977E53">
        <w:trPr>
          <w:trHeight w:val="284"/>
        </w:trPr>
        <w:tc>
          <w:tcPr>
            <w:tcW w:w="6747" w:type="dxa"/>
            <w:tcBorders>
              <w:top w:val="nil"/>
              <w:left w:val="nil"/>
              <w:bottom w:val="single" w:sz="4" w:space="0" w:color="0077BD"/>
              <w:right w:val="single" w:sz="8" w:space="0" w:color="0077BD"/>
            </w:tcBorders>
            <w:shd w:val="clear" w:color="auto" w:fill="auto"/>
            <w:vAlign w:val="center"/>
          </w:tcPr>
          <w:p w14:paraId="2F58D7A3" w14:textId="3A3EA474" w:rsidR="00B6593C" w:rsidRPr="003A0CE0" w:rsidRDefault="00B6593C" w:rsidP="00B6593C">
            <w:pPr>
              <w:ind w:left="110" w:hanging="110"/>
              <w:rPr>
                <w:rFonts w:cs="Calibri"/>
                <w:i/>
                <w:color w:val="000000" w:themeColor="text1"/>
                <w:sz w:val="13"/>
                <w:szCs w:val="13"/>
              </w:rPr>
            </w:pPr>
            <w:r w:rsidRPr="003A0CE0">
              <w:rPr>
                <w:rFonts w:cs="Calibri"/>
                <w:i/>
                <w:color w:val="000000" w:themeColor="text1"/>
                <w:sz w:val="13"/>
                <w:szCs w:val="13"/>
              </w:rPr>
              <w:t>- rezerwy na indywidualne sprawy sądowe dotyczące klauzul indeksacyjnych w kredytach    hipotecznych</w:t>
            </w:r>
            <w:r w:rsidR="000E7704">
              <w:rPr>
                <w:rFonts w:cs="Calibri"/>
                <w:i/>
                <w:color w:val="000000" w:themeColor="text1"/>
                <w:sz w:val="13"/>
                <w:szCs w:val="13"/>
              </w:rPr>
              <w:t xml:space="preserve"> i mieszkaniowych w CHF</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7E555C93" w14:textId="0C2311F7"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417 653</w:t>
            </w:r>
          </w:p>
        </w:tc>
        <w:tc>
          <w:tcPr>
            <w:tcW w:w="1418" w:type="dxa"/>
            <w:tcBorders>
              <w:top w:val="single" w:sz="4" w:space="0" w:color="0077BD"/>
              <w:left w:val="nil"/>
              <w:bottom w:val="single" w:sz="4" w:space="0" w:color="0077BD"/>
              <w:right w:val="nil"/>
            </w:tcBorders>
            <w:shd w:val="clear" w:color="auto" w:fill="auto"/>
            <w:noWrap/>
            <w:vAlign w:val="center"/>
          </w:tcPr>
          <w:p w14:paraId="2BCD8032" w14:textId="3874F4B1"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30 565</w:t>
            </w:r>
          </w:p>
        </w:tc>
      </w:tr>
      <w:tr w:rsidR="003A0CE0" w:rsidRPr="003A0CE0" w14:paraId="438C8F27" w14:textId="77777777" w:rsidTr="00B6593C">
        <w:trPr>
          <w:trHeight w:val="255"/>
        </w:trPr>
        <w:tc>
          <w:tcPr>
            <w:tcW w:w="6747" w:type="dxa"/>
            <w:tcBorders>
              <w:top w:val="nil"/>
              <w:left w:val="nil"/>
              <w:bottom w:val="single" w:sz="4" w:space="0" w:color="0077BD"/>
              <w:right w:val="single" w:sz="8" w:space="0" w:color="0077BD"/>
            </w:tcBorders>
            <w:shd w:val="clear" w:color="auto" w:fill="auto"/>
            <w:vAlign w:val="center"/>
          </w:tcPr>
          <w:p w14:paraId="0E5B1E14" w14:textId="4CE70661" w:rsidR="00B6593C" w:rsidRPr="003A0CE0" w:rsidRDefault="00B6593C" w:rsidP="00B6593C">
            <w:pPr>
              <w:rPr>
                <w:rFonts w:cs="Calibri"/>
                <w:i/>
                <w:color w:val="000000" w:themeColor="text1"/>
                <w:sz w:val="13"/>
                <w:szCs w:val="13"/>
              </w:rPr>
            </w:pPr>
            <w:r w:rsidRPr="003A0CE0">
              <w:rPr>
                <w:rFonts w:cs="Calibri"/>
                <w:i/>
                <w:color w:val="000000" w:themeColor="text1"/>
                <w:sz w:val="13"/>
                <w:szCs w:val="13"/>
              </w:rPr>
              <w:t>- rezerwy na pozostałe sprawy sądowe związane z kredytami walutowymi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89DA195" w14:textId="79DBFA79"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61 103</w:t>
            </w:r>
          </w:p>
        </w:tc>
        <w:tc>
          <w:tcPr>
            <w:tcW w:w="1418" w:type="dxa"/>
            <w:tcBorders>
              <w:top w:val="nil"/>
              <w:left w:val="nil"/>
              <w:bottom w:val="single" w:sz="4" w:space="0" w:color="0077BD"/>
              <w:right w:val="nil"/>
            </w:tcBorders>
            <w:shd w:val="clear" w:color="auto" w:fill="auto"/>
            <w:noWrap/>
            <w:vAlign w:val="center"/>
          </w:tcPr>
          <w:p w14:paraId="324CB370" w14:textId="0724DB70"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67 258</w:t>
            </w:r>
          </w:p>
        </w:tc>
      </w:tr>
      <w:tr w:rsidR="003A0CE0" w:rsidRPr="003A0CE0" w14:paraId="5D97FC07" w14:textId="77777777" w:rsidTr="00B6593C">
        <w:trPr>
          <w:trHeight w:val="255"/>
        </w:trPr>
        <w:tc>
          <w:tcPr>
            <w:tcW w:w="6747" w:type="dxa"/>
            <w:tcBorders>
              <w:top w:val="nil"/>
              <w:left w:val="nil"/>
              <w:bottom w:val="single" w:sz="4" w:space="0" w:color="0077BD"/>
              <w:right w:val="single" w:sz="8" w:space="0" w:color="0077BD"/>
            </w:tcBorders>
            <w:shd w:val="clear" w:color="auto" w:fill="auto"/>
            <w:vAlign w:val="center"/>
          </w:tcPr>
          <w:p w14:paraId="025C9F3E" w14:textId="1A61B1D8" w:rsidR="00B6593C" w:rsidRPr="003A0CE0" w:rsidRDefault="00B6593C" w:rsidP="00B6593C">
            <w:pPr>
              <w:rPr>
                <w:rFonts w:cs="Calibri"/>
                <w:i/>
                <w:color w:val="000000" w:themeColor="text1"/>
                <w:sz w:val="13"/>
                <w:szCs w:val="13"/>
              </w:rPr>
            </w:pPr>
            <w:r w:rsidRPr="003A0CE0">
              <w:rPr>
                <w:rFonts w:cs="Calibri"/>
                <w:i/>
                <w:color w:val="000000" w:themeColor="text1"/>
                <w:sz w:val="13"/>
                <w:szCs w:val="13"/>
              </w:rPr>
              <w:t>- pozostałe rezerwy sprawy sporne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655B95B" w14:textId="2C030552"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6 004</w:t>
            </w:r>
          </w:p>
        </w:tc>
        <w:tc>
          <w:tcPr>
            <w:tcW w:w="1418" w:type="dxa"/>
            <w:tcBorders>
              <w:top w:val="nil"/>
              <w:left w:val="nil"/>
              <w:bottom w:val="single" w:sz="4" w:space="0" w:color="0077BD"/>
              <w:right w:val="nil"/>
            </w:tcBorders>
            <w:shd w:val="clear" w:color="auto" w:fill="auto"/>
            <w:noWrap/>
            <w:vAlign w:val="center"/>
          </w:tcPr>
          <w:p w14:paraId="11B4BBDE" w14:textId="0AEFE605" w:rsidR="00B6593C" w:rsidRPr="003A0CE0" w:rsidRDefault="00B6593C" w:rsidP="00B6593C">
            <w:pPr>
              <w:jc w:val="right"/>
              <w:rPr>
                <w:rFonts w:cs="Calibri"/>
                <w:i/>
                <w:color w:val="000000" w:themeColor="text1"/>
                <w:sz w:val="13"/>
                <w:szCs w:val="13"/>
              </w:rPr>
            </w:pPr>
            <w:r w:rsidRPr="003A0CE0">
              <w:rPr>
                <w:rFonts w:cs="Calibri"/>
                <w:i/>
                <w:iCs/>
                <w:color w:val="000000" w:themeColor="text1"/>
                <w:sz w:val="13"/>
                <w:szCs w:val="13"/>
              </w:rPr>
              <w:t>8 498</w:t>
            </w:r>
          </w:p>
        </w:tc>
      </w:tr>
      <w:tr w:rsidR="003A0CE0" w:rsidRPr="003A0CE0" w14:paraId="632779EC" w14:textId="77777777" w:rsidTr="00B6593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B8F0A57" w14:textId="77777777" w:rsidR="002776AD" w:rsidRPr="003A0CE0" w:rsidRDefault="002776AD" w:rsidP="002776AD">
            <w:pPr>
              <w:rPr>
                <w:rFonts w:cs="Calibri"/>
                <w:color w:val="000000" w:themeColor="text1"/>
                <w:sz w:val="13"/>
                <w:szCs w:val="13"/>
              </w:rPr>
            </w:pPr>
            <w:r w:rsidRPr="003A0CE0">
              <w:rPr>
                <w:rFonts w:cs="Calibri"/>
                <w:color w:val="000000" w:themeColor="text1"/>
                <w:sz w:val="13"/>
                <w:szCs w:val="13"/>
              </w:rPr>
              <w:t>Pozabilansowe udzielone zobowiązania i gwarancje</w:t>
            </w:r>
          </w:p>
        </w:tc>
        <w:tc>
          <w:tcPr>
            <w:tcW w:w="1418" w:type="dxa"/>
            <w:tcBorders>
              <w:top w:val="nil"/>
              <w:left w:val="single" w:sz="8" w:space="0" w:color="0077BD"/>
              <w:bottom w:val="single" w:sz="4" w:space="0" w:color="0077BD"/>
              <w:right w:val="nil"/>
            </w:tcBorders>
            <w:shd w:val="clear" w:color="auto" w:fill="auto"/>
            <w:noWrap/>
            <w:vAlign w:val="center"/>
          </w:tcPr>
          <w:p w14:paraId="598C7B7A" w14:textId="255FF280" w:rsidR="002776AD" w:rsidRPr="003A0CE0" w:rsidRDefault="002776AD" w:rsidP="002776AD">
            <w:pPr>
              <w:jc w:val="right"/>
              <w:rPr>
                <w:rFonts w:cs="Calibri"/>
                <w:color w:val="000000" w:themeColor="text1"/>
                <w:sz w:val="13"/>
                <w:szCs w:val="13"/>
              </w:rPr>
            </w:pPr>
            <w:r w:rsidRPr="003A0CE0">
              <w:rPr>
                <w:rFonts w:cs="Calibri"/>
                <w:color w:val="000000" w:themeColor="text1"/>
                <w:sz w:val="13"/>
                <w:szCs w:val="13"/>
              </w:rPr>
              <w:t>153 432</w:t>
            </w:r>
          </w:p>
        </w:tc>
        <w:tc>
          <w:tcPr>
            <w:tcW w:w="1418" w:type="dxa"/>
            <w:tcBorders>
              <w:top w:val="nil"/>
              <w:left w:val="single" w:sz="8" w:space="0" w:color="0077BD"/>
              <w:bottom w:val="single" w:sz="4" w:space="0" w:color="0077BD"/>
              <w:right w:val="nil"/>
            </w:tcBorders>
            <w:shd w:val="clear" w:color="auto" w:fill="auto"/>
            <w:noWrap/>
            <w:vAlign w:val="center"/>
            <w:hideMark/>
          </w:tcPr>
          <w:p w14:paraId="7D69E948" w14:textId="77777777" w:rsidR="002776AD" w:rsidRPr="003A0CE0" w:rsidRDefault="002776AD" w:rsidP="002776AD">
            <w:pPr>
              <w:jc w:val="right"/>
              <w:rPr>
                <w:rFonts w:cs="Calibri"/>
                <w:color w:val="000000" w:themeColor="text1"/>
                <w:sz w:val="13"/>
                <w:szCs w:val="13"/>
              </w:rPr>
            </w:pPr>
            <w:r w:rsidRPr="003A0CE0">
              <w:rPr>
                <w:rFonts w:cs="Calibri"/>
                <w:color w:val="000000" w:themeColor="text1"/>
                <w:sz w:val="13"/>
                <w:szCs w:val="13"/>
              </w:rPr>
              <w:t>109 409</w:t>
            </w:r>
          </w:p>
        </w:tc>
      </w:tr>
      <w:tr w:rsidR="003A0CE0" w:rsidRPr="003A0CE0" w14:paraId="51709BA7" w14:textId="77777777" w:rsidTr="00B6593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C7D3BDB" w14:textId="77777777" w:rsidR="002776AD" w:rsidRPr="003A0CE0" w:rsidRDefault="002776AD" w:rsidP="002776AD">
            <w:pPr>
              <w:rPr>
                <w:rFonts w:cs="Calibri"/>
                <w:color w:val="000000" w:themeColor="text1"/>
                <w:sz w:val="13"/>
                <w:szCs w:val="13"/>
              </w:rPr>
            </w:pPr>
            <w:r w:rsidRPr="003A0CE0">
              <w:rPr>
                <w:rFonts w:cs="Calibri"/>
                <w:color w:val="000000" w:themeColor="text1"/>
                <w:sz w:val="13"/>
                <w:szCs w:val="13"/>
              </w:rPr>
              <w:t>Inne rezerwy</w:t>
            </w:r>
          </w:p>
        </w:tc>
        <w:tc>
          <w:tcPr>
            <w:tcW w:w="1418" w:type="dxa"/>
            <w:tcBorders>
              <w:top w:val="nil"/>
              <w:left w:val="single" w:sz="8" w:space="0" w:color="0077BD"/>
              <w:bottom w:val="single" w:sz="4" w:space="0" w:color="0077BD"/>
              <w:right w:val="nil"/>
            </w:tcBorders>
            <w:shd w:val="clear" w:color="auto" w:fill="auto"/>
            <w:noWrap/>
            <w:vAlign w:val="center"/>
          </w:tcPr>
          <w:p w14:paraId="6B6E3AB0" w14:textId="6CE6D8B6" w:rsidR="002776AD" w:rsidRPr="003A0CE0" w:rsidRDefault="002776AD" w:rsidP="002776AD">
            <w:pPr>
              <w:jc w:val="right"/>
              <w:rPr>
                <w:rFonts w:cs="Calibri"/>
                <w:color w:val="000000" w:themeColor="text1"/>
                <w:sz w:val="13"/>
                <w:szCs w:val="13"/>
              </w:rPr>
            </w:pPr>
            <w:r w:rsidRPr="003A0CE0">
              <w:rPr>
                <w:rFonts w:cs="Calibri"/>
                <w:color w:val="000000" w:themeColor="text1"/>
                <w:sz w:val="13"/>
                <w:szCs w:val="13"/>
              </w:rPr>
              <w:t>101 104</w:t>
            </w:r>
          </w:p>
        </w:tc>
        <w:tc>
          <w:tcPr>
            <w:tcW w:w="1418" w:type="dxa"/>
            <w:tcBorders>
              <w:top w:val="nil"/>
              <w:left w:val="single" w:sz="8" w:space="0" w:color="0077BD"/>
              <w:bottom w:val="single" w:sz="4" w:space="0" w:color="0077BD"/>
              <w:right w:val="nil"/>
            </w:tcBorders>
            <w:shd w:val="clear" w:color="auto" w:fill="auto"/>
            <w:noWrap/>
            <w:vAlign w:val="center"/>
            <w:hideMark/>
          </w:tcPr>
          <w:p w14:paraId="7ECE7522" w14:textId="77777777" w:rsidR="002776AD" w:rsidRPr="003A0CE0" w:rsidRDefault="002776AD" w:rsidP="002776AD">
            <w:pPr>
              <w:jc w:val="right"/>
              <w:rPr>
                <w:rFonts w:cs="Calibri"/>
                <w:color w:val="000000" w:themeColor="text1"/>
                <w:sz w:val="13"/>
                <w:szCs w:val="13"/>
              </w:rPr>
            </w:pPr>
            <w:r w:rsidRPr="003A0CE0">
              <w:rPr>
                <w:rFonts w:cs="Calibri"/>
                <w:color w:val="000000" w:themeColor="text1"/>
                <w:sz w:val="13"/>
                <w:szCs w:val="13"/>
              </w:rPr>
              <w:t>42 553</w:t>
            </w:r>
          </w:p>
        </w:tc>
      </w:tr>
      <w:tr w:rsidR="003A0CE0" w:rsidRPr="003A0CE0" w14:paraId="70ADAC29" w14:textId="77777777" w:rsidTr="00977E53">
        <w:trPr>
          <w:trHeight w:val="284"/>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68102AB6" w14:textId="77777777" w:rsidR="002776AD" w:rsidRPr="003A0CE0" w:rsidRDefault="002776AD" w:rsidP="002776AD">
            <w:pPr>
              <w:rPr>
                <w:rFonts w:cs="Calibri"/>
                <w:b/>
                <w:bCs/>
                <w:color w:val="000000" w:themeColor="text1"/>
                <w:sz w:val="13"/>
                <w:szCs w:val="13"/>
              </w:rPr>
            </w:pPr>
            <w:r w:rsidRPr="003A0CE0">
              <w:rPr>
                <w:rFonts w:cs="Calibri"/>
                <w:b/>
                <w:bCs/>
                <w:color w:val="000000" w:themeColor="text1"/>
                <w:sz w:val="13"/>
                <w:szCs w:val="13"/>
              </w:rPr>
              <w:t>Rezerwy,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F43682D" w14:textId="6F14B181" w:rsidR="002776AD" w:rsidRPr="003A0CE0" w:rsidRDefault="002776AD" w:rsidP="002776AD">
            <w:pPr>
              <w:jc w:val="right"/>
              <w:rPr>
                <w:rFonts w:cs="Calibri"/>
                <w:b/>
                <w:bCs/>
                <w:color w:val="000000" w:themeColor="text1"/>
                <w:sz w:val="13"/>
                <w:szCs w:val="13"/>
              </w:rPr>
            </w:pPr>
            <w:r w:rsidRPr="003A0CE0">
              <w:rPr>
                <w:rFonts w:cs="Calibri"/>
                <w:b/>
                <w:bCs/>
                <w:color w:val="000000" w:themeColor="text1"/>
                <w:sz w:val="13"/>
                <w:szCs w:val="13"/>
              </w:rPr>
              <w:t>739 296</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8005AF1" w14:textId="77777777" w:rsidR="002776AD" w:rsidRPr="003A0CE0" w:rsidRDefault="002776AD" w:rsidP="002776AD">
            <w:pPr>
              <w:jc w:val="right"/>
              <w:rPr>
                <w:rFonts w:cs="Calibri"/>
                <w:b/>
                <w:bCs/>
                <w:color w:val="000000" w:themeColor="text1"/>
                <w:sz w:val="13"/>
                <w:szCs w:val="13"/>
              </w:rPr>
            </w:pPr>
            <w:r w:rsidRPr="003A0CE0">
              <w:rPr>
                <w:rFonts w:cs="Calibri"/>
                <w:b/>
                <w:bCs/>
                <w:color w:val="000000" w:themeColor="text1"/>
                <w:sz w:val="13"/>
                <w:szCs w:val="13"/>
              </w:rPr>
              <w:t>258 283</w:t>
            </w:r>
          </w:p>
        </w:tc>
      </w:tr>
    </w:tbl>
    <w:p w14:paraId="34D1228A" w14:textId="1166E8D4" w:rsidR="005A26D5" w:rsidRPr="003A0CE0" w:rsidRDefault="005A26D5" w:rsidP="005A26D5">
      <w:pPr>
        <w:pStyle w:val="DefaultText"/>
        <w:suppressAutoHyphens/>
        <w:spacing w:before="120" w:after="0"/>
        <w:rPr>
          <w:rFonts w:ascii="Verdana" w:hAnsi="Verdana" w:cs="Tahoma"/>
          <w:color w:val="000000" w:themeColor="text1"/>
          <w:sz w:val="18"/>
          <w:szCs w:val="18"/>
          <w:lang w:val="pl-PL"/>
        </w:rPr>
      </w:pPr>
      <w:r w:rsidRPr="003A0CE0">
        <w:rPr>
          <w:rFonts w:ascii="Verdana" w:hAnsi="Verdana" w:cs="Tahoma"/>
          <w:color w:val="000000" w:themeColor="text1"/>
          <w:sz w:val="18"/>
          <w:szCs w:val="18"/>
          <w:lang w:val="pl-PL"/>
        </w:rPr>
        <w:t>Szacunkowe terminy realizacji udzielonych zobowiązań warunkowych z</w:t>
      </w:r>
      <w:r w:rsidR="00F933B4" w:rsidRPr="003A0CE0">
        <w:rPr>
          <w:rFonts w:ascii="Verdana" w:hAnsi="Verdana" w:cs="Tahoma"/>
          <w:color w:val="000000" w:themeColor="text1"/>
          <w:sz w:val="18"/>
          <w:szCs w:val="18"/>
          <w:lang w:val="pl-PL"/>
        </w:rPr>
        <w:t xml:space="preserve">ostały zaprezentowane w Nocie </w:t>
      </w:r>
      <w:r w:rsidR="00A7603D" w:rsidRPr="003A0CE0">
        <w:rPr>
          <w:rFonts w:ascii="Verdana" w:hAnsi="Verdana" w:cs="Tahoma"/>
          <w:color w:val="000000" w:themeColor="text1"/>
          <w:sz w:val="18"/>
          <w:szCs w:val="18"/>
          <w:lang w:val="pl-PL"/>
        </w:rPr>
        <w:t>34</w:t>
      </w:r>
      <w:r w:rsidRPr="003A0CE0">
        <w:rPr>
          <w:rFonts w:ascii="Verdana" w:hAnsi="Verdana" w:cs="Tahoma"/>
          <w:color w:val="000000" w:themeColor="text1"/>
          <w:sz w:val="18"/>
          <w:szCs w:val="18"/>
          <w:lang w:val="pl-PL"/>
        </w:rPr>
        <w:t>.</w:t>
      </w:r>
    </w:p>
    <w:p w14:paraId="5626C593" w14:textId="3B114637" w:rsidR="005F30EE" w:rsidRDefault="005A26D5" w:rsidP="005A26D5">
      <w:pPr>
        <w:spacing w:before="120"/>
        <w:jc w:val="both"/>
        <w:rPr>
          <w:rFonts w:cs="Tahoma"/>
          <w:color w:val="000000" w:themeColor="text1"/>
          <w:sz w:val="18"/>
          <w:szCs w:val="18"/>
        </w:rPr>
      </w:pPr>
      <w:r w:rsidRPr="003A0CE0">
        <w:rPr>
          <w:rFonts w:cs="Tahoma"/>
          <w:color w:val="000000" w:themeColor="text1"/>
          <w:sz w:val="18"/>
          <w:szCs w:val="18"/>
        </w:rPr>
        <w:lastRenderedPageBreak/>
        <w:t>Szacunkowe terminy ewentualnej realizacji przepływów dotyczących rezerw na sprawy sporne oraz pozostałych rezerw, co do zasady, wynoszą powyżej 1 roku.</w:t>
      </w:r>
    </w:p>
    <w:p w14:paraId="20BF76FC" w14:textId="370C486C" w:rsidR="000E7704" w:rsidRDefault="000E7704" w:rsidP="005A26D5">
      <w:pPr>
        <w:spacing w:before="120"/>
        <w:jc w:val="both"/>
        <w:rPr>
          <w:rFonts w:cs="Tahoma"/>
          <w:color w:val="000000" w:themeColor="text1"/>
          <w:sz w:val="18"/>
          <w:szCs w:val="18"/>
        </w:rPr>
      </w:pPr>
      <w:r>
        <w:rPr>
          <w:rFonts w:cs="Tahoma"/>
          <w:color w:val="000000" w:themeColor="text1"/>
          <w:sz w:val="18"/>
          <w:szCs w:val="18"/>
        </w:rPr>
        <w:t>Opis dotyczący indywidualnych spraw sądowych dotyczących klauzul indeksacyjnych w kredytach hipotecznych i mieszkaniowych w CHF został przedstawiony w Nocie 32</w:t>
      </w:r>
      <w:r w:rsidR="00FF1DCE">
        <w:rPr>
          <w:rFonts w:cs="Tahoma"/>
          <w:color w:val="000000" w:themeColor="text1"/>
          <w:sz w:val="18"/>
          <w:szCs w:val="18"/>
        </w:rPr>
        <w:t xml:space="preserve">. </w:t>
      </w:r>
    </w:p>
    <w:p w14:paraId="42B90F03" w14:textId="1D3DB7CD" w:rsidR="00642F70" w:rsidRDefault="00642F70" w:rsidP="005A26D5">
      <w:pPr>
        <w:spacing w:before="120"/>
        <w:jc w:val="both"/>
        <w:rPr>
          <w:rFonts w:cs="Tahoma"/>
          <w:color w:val="000000" w:themeColor="text1"/>
          <w:sz w:val="18"/>
          <w:szCs w:val="18"/>
        </w:rPr>
      </w:pPr>
      <w:r>
        <w:rPr>
          <w:rFonts w:cs="Tahoma"/>
          <w:color w:val="000000" w:themeColor="text1"/>
          <w:sz w:val="18"/>
          <w:szCs w:val="18"/>
        </w:rPr>
        <w:t>Metodologia kalkulacji rezerwy na indywidualne sprawy sądowe dotyczące klauzul indeksacyjnych w</w:t>
      </w:r>
      <w:r w:rsidR="005153F9">
        <w:rPr>
          <w:rFonts w:cs="Tahoma"/>
          <w:color w:val="000000" w:themeColor="text1"/>
          <w:sz w:val="18"/>
          <w:szCs w:val="18"/>
        </w:rPr>
        <w:t> </w:t>
      </w:r>
      <w:r>
        <w:rPr>
          <w:rFonts w:cs="Tahoma"/>
          <w:color w:val="000000" w:themeColor="text1"/>
          <w:sz w:val="18"/>
          <w:szCs w:val="18"/>
        </w:rPr>
        <w:t>kredytach hipotecznych i mieszkaniowych w CHF zostały przedstawione w Noc</w:t>
      </w:r>
      <w:r w:rsidR="005153F9">
        <w:rPr>
          <w:rFonts w:cs="Tahoma"/>
          <w:color w:val="000000" w:themeColor="text1"/>
          <w:sz w:val="18"/>
          <w:szCs w:val="18"/>
        </w:rPr>
        <w:t>i</w:t>
      </w:r>
      <w:r>
        <w:rPr>
          <w:rFonts w:cs="Tahoma"/>
          <w:color w:val="000000" w:themeColor="text1"/>
          <w:sz w:val="18"/>
          <w:szCs w:val="18"/>
        </w:rPr>
        <w:t>e 4.</w:t>
      </w:r>
    </w:p>
    <w:p w14:paraId="63C0FA81" w14:textId="1BA56379" w:rsidR="00581464" w:rsidRPr="003A0CE0" w:rsidRDefault="00581464" w:rsidP="005A26D5">
      <w:pPr>
        <w:spacing w:before="120"/>
        <w:jc w:val="both"/>
        <w:rPr>
          <w:rFonts w:cs="Tahoma"/>
          <w:color w:val="000000" w:themeColor="text1"/>
          <w:sz w:val="18"/>
          <w:szCs w:val="18"/>
        </w:rPr>
      </w:pPr>
      <w:r w:rsidRPr="00581464">
        <w:rPr>
          <w:rFonts w:cs="Tahoma"/>
          <w:color w:val="000000" w:themeColor="text1"/>
          <w:sz w:val="18"/>
          <w:szCs w:val="18"/>
        </w:rPr>
        <w:t xml:space="preserve">Pozycja </w:t>
      </w:r>
      <w:r w:rsidR="00A82F8C">
        <w:rPr>
          <w:rFonts w:cs="Tahoma"/>
          <w:color w:val="000000" w:themeColor="text1"/>
          <w:sz w:val="18"/>
          <w:szCs w:val="18"/>
        </w:rPr>
        <w:t>„</w:t>
      </w:r>
      <w:r w:rsidRPr="00581464">
        <w:rPr>
          <w:rFonts w:cs="Tahoma"/>
          <w:color w:val="000000" w:themeColor="text1"/>
          <w:sz w:val="18"/>
          <w:szCs w:val="18"/>
        </w:rPr>
        <w:t>Inne rezerwy</w:t>
      </w:r>
      <w:r w:rsidR="00A82F8C">
        <w:rPr>
          <w:rFonts w:cs="Tahoma"/>
          <w:color w:val="000000" w:themeColor="text1"/>
          <w:sz w:val="18"/>
          <w:szCs w:val="18"/>
        </w:rPr>
        <w:t>”</w:t>
      </w:r>
      <w:r w:rsidRPr="00581464">
        <w:rPr>
          <w:rFonts w:cs="Tahoma"/>
          <w:color w:val="000000" w:themeColor="text1"/>
          <w:sz w:val="18"/>
          <w:szCs w:val="18"/>
        </w:rPr>
        <w:t xml:space="preserve"> zawiera rezerwy ujęte związane z wyrokiem TSUE dotyczącym zwrotów prowizji w</w:t>
      </w:r>
      <w:r w:rsidR="00C74EF9">
        <w:rPr>
          <w:rFonts w:cs="Tahoma"/>
          <w:color w:val="000000" w:themeColor="text1"/>
          <w:sz w:val="18"/>
          <w:szCs w:val="18"/>
        </w:rPr>
        <w:t> </w:t>
      </w:r>
      <w:r w:rsidRPr="00581464">
        <w:rPr>
          <w:rFonts w:cs="Tahoma"/>
          <w:color w:val="000000" w:themeColor="text1"/>
          <w:sz w:val="18"/>
          <w:szCs w:val="18"/>
        </w:rPr>
        <w:t>przypadku wcześniejszych spłat kredytów, które szczegółowo opisano w Nocie 4.</w:t>
      </w:r>
    </w:p>
    <w:p w14:paraId="28767025" w14:textId="461EB206" w:rsidR="005A26D5" w:rsidRPr="00BB7C9E" w:rsidRDefault="005A26D5" w:rsidP="00D63A49">
      <w:pPr>
        <w:spacing w:before="120" w:after="120"/>
        <w:jc w:val="both"/>
        <w:rPr>
          <w:rFonts w:cs="Tahoma"/>
          <w:b/>
          <w:color w:val="000000" w:themeColor="text1"/>
          <w:sz w:val="18"/>
          <w:szCs w:val="18"/>
        </w:rPr>
      </w:pPr>
      <w:r w:rsidRPr="00BB7C9E">
        <w:rPr>
          <w:rFonts w:cs="Tahoma"/>
          <w:b/>
          <w:color w:val="000000" w:themeColor="text1"/>
          <w:sz w:val="18"/>
          <w:szCs w:val="18"/>
        </w:rPr>
        <w:t>Zmiana stanu rezerw</w:t>
      </w:r>
    </w:p>
    <w:tbl>
      <w:tblPr>
        <w:tblW w:w="9641" w:type="dxa"/>
        <w:tblLayout w:type="fixed"/>
        <w:tblCellMar>
          <w:left w:w="28" w:type="dxa"/>
          <w:right w:w="28" w:type="dxa"/>
        </w:tblCellMar>
        <w:tblLook w:val="04A0" w:firstRow="1" w:lastRow="0" w:firstColumn="1" w:lastColumn="0" w:noHBand="0" w:noVBand="1"/>
      </w:tblPr>
      <w:tblGrid>
        <w:gridCol w:w="3969"/>
        <w:gridCol w:w="1418"/>
        <w:gridCol w:w="1418"/>
        <w:gridCol w:w="1418"/>
        <w:gridCol w:w="1418"/>
      </w:tblGrid>
      <w:tr w:rsidR="004D6D05" w:rsidRPr="004D6D05" w14:paraId="1EF40031" w14:textId="77777777" w:rsidTr="00934B3C">
        <w:trPr>
          <w:trHeight w:val="284"/>
        </w:trPr>
        <w:tc>
          <w:tcPr>
            <w:tcW w:w="3969" w:type="dxa"/>
            <w:vMerge w:val="restart"/>
            <w:tcBorders>
              <w:top w:val="nil"/>
              <w:left w:val="single" w:sz="8" w:space="0" w:color="FFFFFF"/>
              <w:bottom w:val="nil"/>
              <w:right w:val="single" w:sz="8" w:space="0" w:color="FFFFFF"/>
            </w:tcBorders>
            <w:shd w:val="clear" w:color="000000" w:fill="0077BD"/>
            <w:vAlign w:val="center"/>
            <w:hideMark/>
          </w:tcPr>
          <w:p w14:paraId="6A036D1E" w14:textId="77777777" w:rsidR="004D6D05" w:rsidRPr="004D6D05" w:rsidRDefault="004D6D05" w:rsidP="004D6D05">
            <w:pPr>
              <w:rPr>
                <w:rFonts w:cs="Calibri"/>
                <w:b/>
                <w:bCs/>
                <w:color w:val="FFFFFF"/>
                <w:sz w:val="12"/>
                <w:szCs w:val="12"/>
              </w:rPr>
            </w:pPr>
            <w:r w:rsidRPr="004D6D05">
              <w:rPr>
                <w:rFonts w:cs="Calibri"/>
                <w:b/>
                <w:bCs/>
                <w:color w:val="FFFFFF"/>
                <w:sz w:val="12"/>
                <w:szCs w:val="12"/>
              </w:rPr>
              <w:t>Zmiana w okresie od 1 stycznia do 31 grudnia</w:t>
            </w:r>
          </w:p>
        </w:tc>
        <w:tc>
          <w:tcPr>
            <w:tcW w:w="5672" w:type="dxa"/>
            <w:gridSpan w:val="4"/>
            <w:tcBorders>
              <w:top w:val="nil"/>
              <w:left w:val="nil"/>
              <w:bottom w:val="single" w:sz="6" w:space="0" w:color="FFFFFF"/>
              <w:right w:val="nil"/>
            </w:tcBorders>
            <w:shd w:val="clear" w:color="000000" w:fill="0077BD"/>
            <w:vAlign w:val="center"/>
            <w:hideMark/>
          </w:tcPr>
          <w:p w14:paraId="207E0E36" w14:textId="77777777" w:rsidR="004D6D05" w:rsidRPr="004D6D05" w:rsidRDefault="004D6D05" w:rsidP="004D6D05">
            <w:pPr>
              <w:jc w:val="center"/>
              <w:rPr>
                <w:rFonts w:cs="Calibri"/>
                <w:b/>
                <w:bCs/>
                <w:color w:val="FFFFFF"/>
                <w:sz w:val="12"/>
                <w:szCs w:val="12"/>
              </w:rPr>
            </w:pPr>
            <w:r w:rsidRPr="004D6D05">
              <w:rPr>
                <w:rFonts w:cs="Calibri"/>
                <w:b/>
                <w:bCs/>
                <w:color w:val="FFFFFF"/>
                <w:sz w:val="12"/>
                <w:szCs w:val="12"/>
              </w:rPr>
              <w:t>2019</w:t>
            </w:r>
          </w:p>
        </w:tc>
      </w:tr>
      <w:tr w:rsidR="004D6D05" w:rsidRPr="004D6D05" w14:paraId="70A8C36D" w14:textId="77777777" w:rsidTr="00934B3C">
        <w:trPr>
          <w:trHeight w:val="918"/>
        </w:trPr>
        <w:tc>
          <w:tcPr>
            <w:tcW w:w="3969" w:type="dxa"/>
            <w:vMerge/>
            <w:tcBorders>
              <w:top w:val="nil"/>
              <w:left w:val="single" w:sz="8" w:space="0" w:color="FFFFFF"/>
              <w:bottom w:val="nil"/>
              <w:right w:val="single" w:sz="8" w:space="0" w:color="FFFFFF"/>
            </w:tcBorders>
            <w:vAlign w:val="center"/>
            <w:hideMark/>
          </w:tcPr>
          <w:p w14:paraId="11B811B9" w14:textId="77777777" w:rsidR="004D6D05" w:rsidRPr="004D6D05" w:rsidRDefault="004D6D05" w:rsidP="004D6D05">
            <w:pPr>
              <w:rPr>
                <w:rFonts w:cs="Calibri"/>
                <w:b/>
                <w:bCs/>
                <w:color w:val="FFFFFF"/>
                <w:sz w:val="12"/>
                <w:szCs w:val="12"/>
              </w:rPr>
            </w:pPr>
          </w:p>
        </w:tc>
        <w:tc>
          <w:tcPr>
            <w:tcW w:w="1418" w:type="dxa"/>
            <w:tcBorders>
              <w:top w:val="single" w:sz="6" w:space="0" w:color="FFFFFF"/>
              <w:left w:val="nil"/>
              <w:bottom w:val="nil"/>
              <w:right w:val="single" w:sz="8" w:space="0" w:color="FFFFFF"/>
            </w:tcBorders>
            <w:shd w:val="clear" w:color="000000" w:fill="0077BD"/>
            <w:vAlign w:val="center"/>
            <w:hideMark/>
          </w:tcPr>
          <w:p w14:paraId="5D8CA957" w14:textId="77777777" w:rsidR="004D6D05" w:rsidRPr="00B051CC" w:rsidRDefault="004D6D05" w:rsidP="004D6D05">
            <w:pPr>
              <w:jc w:val="right"/>
              <w:rPr>
                <w:rFonts w:cs="Calibri"/>
                <w:b/>
                <w:bCs/>
                <w:color w:val="FFFFFF"/>
                <w:sz w:val="10"/>
                <w:szCs w:val="12"/>
              </w:rPr>
            </w:pPr>
            <w:r w:rsidRPr="00B051CC">
              <w:rPr>
                <w:rFonts w:cs="Calibri"/>
                <w:b/>
                <w:bCs/>
                <w:color w:val="FFFFFF"/>
                <w:sz w:val="10"/>
                <w:szCs w:val="12"/>
              </w:rPr>
              <w:t>Rezerwy na indywidualne sprawy sądowe dotyczące klauzul indeksacyjnych w kredytach hipotecznych i mieszkaniowych w CHF</w:t>
            </w:r>
          </w:p>
        </w:tc>
        <w:tc>
          <w:tcPr>
            <w:tcW w:w="1418" w:type="dxa"/>
            <w:tcBorders>
              <w:top w:val="single" w:sz="6" w:space="0" w:color="FFFFFF"/>
              <w:left w:val="nil"/>
              <w:bottom w:val="nil"/>
              <w:right w:val="single" w:sz="8" w:space="0" w:color="FFFFFF"/>
            </w:tcBorders>
            <w:shd w:val="clear" w:color="000000" w:fill="0077BD"/>
            <w:vAlign w:val="center"/>
            <w:hideMark/>
          </w:tcPr>
          <w:p w14:paraId="78496537" w14:textId="77777777" w:rsidR="004D6D05" w:rsidRPr="00B051CC" w:rsidRDefault="004D6D05" w:rsidP="004D6D05">
            <w:pPr>
              <w:jc w:val="right"/>
              <w:rPr>
                <w:rFonts w:cs="Calibri"/>
                <w:b/>
                <w:bCs/>
                <w:color w:val="FFFFFF"/>
                <w:sz w:val="10"/>
                <w:szCs w:val="12"/>
              </w:rPr>
            </w:pPr>
            <w:r w:rsidRPr="00B051CC">
              <w:rPr>
                <w:rFonts w:cs="Calibri"/>
                <w:b/>
                <w:bCs/>
                <w:color w:val="FFFFFF"/>
                <w:sz w:val="10"/>
                <w:szCs w:val="12"/>
              </w:rPr>
              <w:t>Rezerwy na pozostałe sprawy sądowe związane z kredytami walutowymi</w:t>
            </w:r>
          </w:p>
        </w:tc>
        <w:tc>
          <w:tcPr>
            <w:tcW w:w="1418" w:type="dxa"/>
            <w:tcBorders>
              <w:top w:val="single" w:sz="6" w:space="0" w:color="FFFFFF"/>
              <w:left w:val="nil"/>
              <w:bottom w:val="nil"/>
              <w:right w:val="nil"/>
            </w:tcBorders>
            <w:shd w:val="clear" w:color="000000" w:fill="0077BD"/>
            <w:vAlign w:val="center"/>
            <w:hideMark/>
          </w:tcPr>
          <w:p w14:paraId="32BCDD6D" w14:textId="53C01B48" w:rsidR="004D6D05" w:rsidRPr="00B051CC" w:rsidRDefault="004D6D05" w:rsidP="004D6D05">
            <w:pPr>
              <w:jc w:val="right"/>
              <w:rPr>
                <w:rFonts w:cs="Calibri"/>
                <w:b/>
                <w:bCs/>
                <w:color w:val="FFFFFF"/>
                <w:sz w:val="10"/>
                <w:szCs w:val="12"/>
              </w:rPr>
            </w:pPr>
            <w:r w:rsidRPr="00B051CC">
              <w:rPr>
                <w:rFonts w:cs="Calibri"/>
                <w:b/>
                <w:bCs/>
                <w:color w:val="FFFFFF"/>
                <w:sz w:val="10"/>
                <w:szCs w:val="12"/>
              </w:rPr>
              <w:t>Pozostałe rezerwy na sprawy sporne</w:t>
            </w:r>
          </w:p>
        </w:tc>
        <w:tc>
          <w:tcPr>
            <w:tcW w:w="1418" w:type="dxa"/>
            <w:tcBorders>
              <w:top w:val="single" w:sz="6" w:space="0" w:color="FFFFFF"/>
              <w:left w:val="single" w:sz="8" w:space="0" w:color="FFFFFF"/>
              <w:bottom w:val="nil"/>
              <w:right w:val="nil"/>
            </w:tcBorders>
            <w:shd w:val="clear" w:color="000000" w:fill="0077BD"/>
            <w:vAlign w:val="center"/>
            <w:hideMark/>
          </w:tcPr>
          <w:p w14:paraId="12876E8D" w14:textId="77777777" w:rsidR="004D6D05" w:rsidRPr="00B051CC" w:rsidRDefault="004D6D05" w:rsidP="004D6D05">
            <w:pPr>
              <w:jc w:val="right"/>
              <w:rPr>
                <w:rFonts w:cs="Calibri"/>
                <w:b/>
                <w:bCs/>
                <w:color w:val="FFFFFF"/>
                <w:sz w:val="10"/>
                <w:szCs w:val="12"/>
              </w:rPr>
            </w:pPr>
            <w:r w:rsidRPr="00B051CC">
              <w:rPr>
                <w:rFonts w:cs="Calibri"/>
                <w:b/>
                <w:bCs/>
                <w:color w:val="FFFFFF"/>
                <w:sz w:val="10"/>
                <w:szCs w:val="12"/>
              </w:rPr>
              <w:t>Inne rezerwy</w:t>
            </w:r>
          </w:p>
        </w:tc>
      </w:tr>
      <w:tr w:rsidR="004D6D05" w:rsidRPr="004D6D05" w14:paraId="27C34C1D" w14:textId="77777777" w:rsidTr="004D6D05">
        <w:trPr>
          <w:trHeight w:val="284"/>
        </w:trPr>
        <w:tc>
          <w:tcPr>
            <w:tcW w:w="3969" w:type="dxa"/>
            <w:tcBorders>
              <w:top w:val="nil"/>
              <w:left w:val="nil"/>
              <w:bottom w:val="single" w:sz="8" w:space="0" w:color="0077BD"/>
              <w:right w:val="single" w:sz="4" w:space="0" w:color="0077BD"/>
            </w:tcBorders>
            <w:shd w:val="clear" w:color="auto" w:fill="auto"/>
            <w:vAlign w:val="center"/>
            <w:hideMark/>
          </w:tcPr>
          <w:p w14:paraId="155E333F" w14:textId="77777777" w:rsidR="004D6D05" w:rsidRPr="004D6D05" w:rsidRDefault="004D6D05" w:rsidP="004D6D05">
            <w:pPr>
              <w:rPr>
                <w:rFonts w:cs="Calibri"/>
                <w:b/>
                <w:bCs/>
                <w:sz w:val="12"/>
                <w:szCs w:val="12"/>
              </w:rPr>
            </w:pPr>
            <w:r w:rsidRPr="004D6D05">
              <w:rPr>
                <w:rFonts w:cs="Calibri"/>
                <w:b/>
                <w:bCs/>
                <w:sz w:val="12"/>
                <w:szCs w:val="12"/>
              </w:rPr>
              <w:t>Stan rezerw na początek okresu</w:t>
            </w:r>
          </w:p>
        </w:tc>
        <w:tc>
          <w:tcPr>
            <w:tcW w:w="1418" w:type="dxa"/>
            <w:tcBorders>
              <w:top w:val="nil"/>
              <w:left w:val="nil"/>
              <w:bottom w:val="single" w:sz="8" w:space="0" w:color="0077BD"/>
              <w:right w:val="single" w:sz="4" w:space="0" w:color="0077BD"/>
            </w:tcBorders>
            <w:shd w:val="clear" w:color="auto" w:fill="auto"/>
            <w:noWrap/>
            <w:vAlign w:val="center"/>
            <w:hideMark/>
          </w:tcPr>
          <w:p w14:paraId="59E0BB19" w14:textId="77777777" w:rsidR="004D6D05" w:rsidRPr="004D6D05" w:rsidRDefault="004D6D05" w:rsidP="004D6D05">
            <w:pPr>
              <w:jc w:val="right"/>
              <w:rPr>
                <w:rFonts w:cs="Calibri"/>
                <w:b/>
                <w:bCs/>
                <w:sz w:val="12"/>
                <w:szCs w:val="12"/>
              </w:rPr>
            </w:pPr>
            <w:r w:rsidRPr="004D6D05">
              <w:rPr>
                <w:rFonts w:cs="Calibri"/>
                <w:b/>
                <w:bCs/>
                <w:sz w:val="12"/>
                <w:szCs w:val="12"/>
              </w:rPr>
              <w:t>30 565</w:t>
            </w:r>
          </w:p>
        </w:tc>
        <w:tc>
          <w:tcPr>
            <w:tcW w:w="1418" w:type="dxa"/>
            <w:tcBorders>
              <w:top w:val="nil"/>
              <w:left w:val="nil"/>
              <w:bottom w:val="single" w:sz="8" w:space="0" w:color="0077BD"/>
              <w:right w:val="single" w:sz="4" w:space="0" w:color="0077BD"/>
            </w:tcBorders>
            <w:shd w:val="clear" w:color="auto" w:fill="auto"/>
            <w:noWrap/>
            <w:vAlign w:val="center"/>
            <w:hideMark/>
          </w:tcPr>
          <w:p w14:paraId="1D76854D" w14:textId="77777777" w:rsidR="004D6D05" w:rsidRPr="004D6D05" w:rsidRDefault="004D6D05" w:rsidP="004D6D05">
            <w:pPr>
              <w:jc w:val="right"/>
              <w:rPr>
                <w:rFonts w:cs="Calibri"/>
                <w:b/>
                <w:bCs/>
                <w:sz w:val="12"/>
                <w:szCs w:val="12"/>
              </w:rPr>
            </w:pPr>
            <w:r w:rsidRPr="004D6D05">
              <w:rPr>
                <w:rFonts w:cs="Calibri"/>
                <w:b/>
                <w:bCs/>
                <w:sz w:val="12"/>
                <w:szCs w:val="12"/>
              </w:rPr>
              <w:t>67 258</w:t>
            </w:r>
          </w:p>
        </w:tc>
        <w:tc>
          <w:tcPr>
            <w:tcW w:w="1418" w:type="dxa"/>
            <w:tcBorders>
              <w:top w:val="nil"/>
              <w:left w:val="nil"/>
              <w:bottom w:val="single" w:sz="8" w:space="0" w:color="0077BD"/>
              <w:right w:val="single" w:sz="4" w:space="0" w:color="0077BD"/>
            </w:tcBorders>
            <w:shd w:val="clear" w:color="auto" w:fill="auto"/>
            <w:noWrap/>
            <w:vAlign w:val="center"/>
            <w:hideMark/>
          </w:tcPr>
          <w:p w14:paraId="66E49EEE" w14:textId="77777777" w:rsidR="004D6D05" w:rsidRPr="004D6D05" w:rsidRDefault="004D6D05" w:rsidP="004D6D05">
            <w:pPr>
              <w:jc w:val="right"/>
              <w:rPr>
                <w:rFonts w:cs="Calibri"/>
                <w:b/>
                <w:bCs/>
                <w:sz w:val="12"/>
                <w:szCs w:val="12"/>
              </w:rPr>
            </w:pPr>
            <w:r w:rsidRPr="004D6D05">
              <w:rPr>
                <w:rFonts w:cs="Calibri"/>
                <w:b/>
                <w:bCs/>
                <w:sz w:val="12"/>
                <w:szCs w:val="12"/>
              </w:rPr>
              <w:t>8 498</w:t>
            </w:r>
          </w:p>
        </w:tc>
        <w:tc>
          <w:tcPr>
            <w:tcW w:w="1418" w:type="dxa"/>
            <w:tcBorders>
              <w:top w:val="nil"/>
              <w:left w:val="nil"/>
              <w:bottom w:val="single" w:sz="8" w:space="0" w:color="0077BD"/>
              <w:right w:val="nil"/>
            </w:tcBorders>
            <w:shd w:val="clear" w:color="auto" w:fill="auto"/>
            <w:noWrap/>
            <w:vAlign w:val="center"/>
            <w:hideMark/>
          </w:tcPr>
          <w:p w14:paraId="6BB206FF" w14:textId="77777777" w:rsidR="004D6D05" w:rsidRPr="004D6D05" w:rsidRDefault="004D6D05" w:rsidP="004D6D05">
            <w:pPr>
              <w:jc w:val="right"/>
              <w:rPr>
                <w:rFonts w:cs="Calibri"/>
                <w:b/>
                <w:bCs/>
                <w:sz w:val="12"/>
                <w:szCs w:val="12"/>
              </w:rPr>
            </w:pPr>
            <w:r w:rsidRPr="004D6D05">
              <w:rPr>
                <w:rFonts w:cs="Calibri"/>
                <w:b/>
                <w:bCs/>
                <w:sz w:val="12"/>
                <w:szCs w:val="12"/>
              </w:rPr>
              <w:t>42 553</w:t>
            </w:r>
          </w:p>
        </w:tc>
      </w:tr>
      <w:tr w:rsidR="004D6D05" w:rsidRPr="005153F9" w14:paraId="2730212E" w14:textId="77777777" w:rsidTr="004D6D05">
        <w:trPr>
          <w:trHeight w:val="284"/>
        </w:trPr>
        <w:tc>
          <w:tcPr>
            <w:tcW w:w="3969" w:type="dxa"/>
            <w:tcBorders>
              <w:top w:val="nil"/>
              <w:left w:val="nil"/>
              <w:bottom w:val="single" w:sz="8" w:space="0" w:color="0077BD"/>
              <w:right w:val="single" w:sz="4" w:space="0" w:color="0077BD"/>
            </w:tcBorders>
            <w:shd w:val="clear" w:color="auto" w:fill="auto"/>
            <w:vAlign w:val="center"/>
            <w:hideMark/>
          </w:tcPr>
          <w:p w14:paraId="0A4BC889" w14:textId="77777777" w:rsidR="004D6D05" w:rsidRPr="005153F9" w:rsidRDefault="004D6D05" w:rsidP="004D6D05">
            <w:pPr>
              <w:rPr>
                <w:rFonts w:cs="Calibri"/>
                <w:b/>
                <w:bCs/>
                <w:sz w:val="12"/>
                <w:szCs w:val="12"/>
              </w:rPr>
            </w:pPr>
            <w:r w:rsidRPr="005153F9">
              <w:rPr>
                <w:rFonts w:cs="Calibri"/>
                <w:b/>
                <w:bCs/>
                <w:sz w:val="12"/>
                <w:szCs w:val="12"/>
              </w:rPr>
              <w:t>Zmiana w okresie, z tytułu:</w:t>
            </w:r>
          </w:p>
        </w:tc>
        <w:tc>
          <w:tcPr>
            <w:tcW w:w="1418" w:type="dxa"/>
            <w:tcBorders>
              <w:top w:val="nil"/>
              <w:left w:val="nil"/>
              <w:bottom w:val="single" w:sz="8" w:space="0" w:color="0077BD"/>
              <w:right w:val="single" w:sz="4" w:space="0" w:color="0077BD"/>
            </w:tcBorders>
            <w:shd w:val="clear" w:color="auto" w:fill="auto"/>
            <w:noWrap/>
            <w:vAlign w:val="center"/>
            <w:hideMark/>
          </w:tcPr>
          <w:p w14:paraId="1858D4A3" w14:textId="77777777" w:rsidR="004D6D05" w:rsidRPr="005153F9" w:rsidRDefault="004D6D05" w:rsidP="004D6D05">
            <w:pPr>
              <w:jc w:val="right"/>
              <w:rPr>
                <w:rFonts w:cs="Calibri"/>
                <w:b/>
                <w:sz w:val="12"/>
                <w:szCs w:val="12"/>
              </w:rPr>
            </w:pPr>
            <w:r w:rsidRPr="005153F9">
              <w:rPr>
                <w:rFonts w:cs="Calibri"/>
                <w:b/>
                <w:sz w:val="12"/>
                <w:szCs w:val="12"/>
              </w:rPr>
              <w:t>387 088</w:t>
            </w:r>
          </w:p>
        </w:tc>
        <w:tc>
          <w:tcPr>
            <w:tcW w:w="1418" w:type="dxa"/>
            <w:tcBorders>
              <w:top w:val="nil"/>
              <w:left w:val="nil"/>
              <w:bottom w:val="single" w:sz="8" w:space="0" w:color="0077BD"/>
              <w:right w:val="single" w:sz="4" w:space="0" w:color="0077BD"/>
            </w:tcBorders>
            <w:shd w:val="clear" w:color="auto" w:fill="auto"/>
            <w:noWrap/>
            <w:vAlign w:val="center"/>
            <w:hideMark/>
          </w:tcPr>
          <w:p w14:paraId="22E232C7" w14:textId="77777777" w:rsidR="004D6D05" w:rsidRPr="005153F9" w:rsidRDefault="004D6D05" w:rsidP="004D6D05">
            <w:pPr>
              <w:jc w:val="right"/>
              <w:rPr>
                <w:rFonts w:cs="Calibri"/>
                <w:b/>
                <w:sz w:val="12"/>
                <w:szCs w:val="12"/>
              </w:rPr>
            </w:pPr>
            <w:r w:rsidRPr="005153F9">
              <w:rPr>
                <w:rFonts w:cs="Calibri"/>
                <w:b/>
                <w:sz w:val="12"/>
                <w:szCs w:val="12"/>
              </w:rPr>
              <w:t>(6 155)</w:t>
            </w:r>
          </w:p>
        </w:tc>
        <w:tc>
          <w:tcPr>
            <w:tcW w:w="1418" w:type="dxa"/>
            <w:tcBorders>
              <w:top w:val="nil"/>
              <w:left w:val="nil"/>
              <w:bottom w:val="single" w:sz="8" w:space="0" w:color="0077BD"/>
              <w:right w:val="single" w:sz="4" w:space="0" w:color="0077BD"/>
            </w:tcBorders>
            <w:shd w:val="clear" w:color="auto" w:fill="auto"/>
            <w:noWrap/>
            <w:vAlign w:val="center"/>
            <w:hideMark/>
          </w:tcPr>
          <w:p w14:paraId="5AC2D3A8" w14:textId="77777777" w:rsidR="004D6D05" w:rsidRPr="005153F9" w:rsidRDefault="004D6D05" w:rsidP="004D6D05">
            <w:pPr>
              <w:jc w:val="right"/>
              <w:rPr>
                <w:rFonts w:cs="Calibri"/>
                <w:b/>
                <w:sz w:val="12"/>
                <w:szCs w:val="12"/>
              </w:rPr>
            </w:pPr>
            <w:r w:rsidRPr="005153F9">
              <w:rPr>
                <w:rFonts w:cs="Calibri"/>
                <w:b/>
                <w:sz w:val="12"/>
                <w:szCs w:val="12"/>
              </w:rPr>
              <w:t>(2 494)</w:t>
            </w:r>
          </w:p>
        </w:tc>
        <w:tc>
          <w:tcPr>
            <w:tcW w:w="1418" w:type="dxa"/>
            <w:tcBorders>
              <w:top w:val="nil"/>
              <w:left w:val="nil"/>
              <w:bottom w:val="single" w:sz="8" w:space="0" w:color="0077BD"/>
              <w:right w:val="nil"/>
            </w:tcBorders>
            <w:shd w:val="clear" w:color="auto" w:fill="auto"/>
            <w:noWrap/>
            <w:vAlign w:val="center"/>
            <w:hideMark/>
          </w:tcPr>
          <w:p w14:paraId="7F3ECC4A" w14:textId="77777777" w:rsidR="004D6D05" w:rsidRPr="005153F9" w:rsidRDefault="004D6D05" w:rsidP="004D6D05">
            <w:pPr>
              <w:jc w:val="right"/>
              <w:rPr>
                <w:rFonts w:cs="Calibri"/>
                <w:b/>
                <w:sz w:val="12"/>
                <w:szCs w:val="12"/>
              </w:rPr>
            </w:pPr>
            <w:r w:rsidRPr="005153F9">
              <w:rPr>
                <w:rFonts w:cs="Calibri"/>
                <w:b/>
                <w:sz w:val="12"/>
                <w:szCs w:val="12"/>
              </w:rPr>
              <w:t>58 551</w:t>
            </w:r>
          </w:p>
        </w:tc>
      </w:tr>
      <w:tr w:rsidR="004D6D05" w:rsidRPr="004D6D05" w14:paraId="59B120E2" w14:textId="77777777" w:rsidTr="004D6D05">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7C75A392" w14:textId="77777777" w:rsidR="004D6D05" w:rsidRPr="004D6D05" w:rsidRDefault="004D6D05" w:rsidP="004D6D05">
            <w:pPr>
              <w:rPr>
                <w:rFonts w:cs="Calibri"/>
                <w:sz w:val="12"/>
                <w:szCs w:val="12"/>
              </w:rPr>
            </w:pPr>
            <w:r w:rsidRPr="004D6D05">
              <w:rPr>
                <w:rFonts w:cs="Calibri"/>
                <w:sz w:val="12"/>
                <w:szCs w:val="12"/>
              </w:rPr>
              <w:t>- odpis w koszty</w:t>
            </w:r>
          </w:p>
        </w:tc>
        <w:tc>
          <w:tcPr>
            <w:tcW w:w="1418" w:type="dxa"/>
            <w:tcBorders>
              <w:top w:val="nil"/>
              <w:left w:val="nil"/>
              <w:bottom w:val="single" w:sz="4" w:space="0" w:color="0077BD"/>
              <w:right w:val="single" w:sz="4" w:space="0" w:color="0077BD"/>
            </w:tcBorders>
            <w:shd w:val="clear" w:color="auto" w:fill="auto"/>
            <w:noWrap/>
            <w:vAlign w:val="center"/>
            <w:hideMark/>
          </w:tcPr>
          <w:p w14:paraId="48110B47" w14:textId="77777777" w:rsidR="004D6D05" w:rsidRPr="004D6D05" w:rsidRDefault="004D6D05" w:rsidP="004D6D05">
            <w:pPr>
              <w:jc w:val="right"/>
              <w:rPr>
                <w:rFonts w:cs="Calibri"/>
                <w:sz w:val="12"/>
                <w:szCs w:val="12"/>
              </w:rPr>
            </w:pPr>
            <w:r w:rsidRPr="004D6D05">
              <w:rPr>
                <w:rFonts w:cs="Calibri"/>
                <w:sz w:val="12"/>
                <w:szCs w:val="12"/>
              </w:rPr>
              <w:t>387 855</w:t>
            </w:r>
          </w:p>
        </w:tc>
        <w:tc>
          <w:tcPr>
            <w:tcW w:w="1418" w:type="dxa"/>
            <w:tcBorders>
              <w:top w:val="nil"/>
              <w:left w:val="nil"/>
              <w:bottom w:val="single" w:sz="4" w:space="0" w:color="0077BD"/>
              <w:right w:val="single" w:sz="4" w:space="0" w:color="0077BD"/>
            </w:tcBorders>
            <w:shd w:val="clear" w:color="auto" w:fill="auto"/>
            <w:noWrap/>
            <w:vAlign w:val="center"/>
            <w:hideMark/>
          </w:tcPr>
          <w:p w14:paraId="50EA8AB8" w14:textId="77777777" w:rsidR="004D6D05" w:rsidRPr="004D6D05" w:rsidRDefault="004D6D05" w:rsidP="004D6D05">
            <w:pPr>
              <w:jc w:val="right"/>
              <w:rPr>
                <w:rFonts w:cs="Calibri"/>
                <w:sz w:val="12"/>
                <w:szCs w:val="12"/>
              </w:rPr>
            </w:pPr>
            <w:r w:rsidRPr="004D6D05">
              <w:rPr>
                <w:rFonts w:cs="Calibri"/>
                <w:sz w:val="12"/>
                <w:szCs w:val="12"/>
              </w:rPr>
              <w:t>3 776</w:t>
            </w:r>
          </w:p>
        </w:tc>
        <w:tc>
          <w:tcPr>
            <w:tcW w:w="1418" w:type="dxa"/>
            <w:tcBorders>
              <w:top w:val="nil"/>
              <w:left w:val="nil"/>
              <w:bottom w:val="single" w:sz="4" w:space="0" w:color="0077BD"/>
              <w:right w:val="single" w:sz="4" w:space="0" w:color="0077BD"/>
            </w:tcBorders>
            <w:shd w:val="clear" w:color="auto" w:fill="auto"/>
            <w:noWrap/>
            <w:vAlign w:val="center"/>
            <w:hideMark/>
          </w:tcPr>
          <w:p w14:paraId="50D88C36" w14:textId="495AD2B1" w:rsidR="004D6D05" w:rsidRPr="004D6D05" w:rsidRDefault="00D30671" w:rsidP="004D6D05">
            <w:pPr>
              <w:jc w:val="right"/>
              <w:rPr>
                <w:rFonts w:cs="Calibri"/>
                <w:sz w:val="12"/>
                <w:szCs w:val="12"/>
              </w:rPr>
            </w:pPr>
            <w:r>
              <w:rPr>
                <w:rFonts w:cs="Calibri"/>
                <w:sz w:val="12"/>
                <w:szCs w:val="12"/>
              </w:rPr>
              <w:t xml:space="preserve">2 </w:t>
            </w:r>
            <w:r w:rsidR="004D6D05" w:rsidRPr="004D6D05">
              <w:rPr>
                <w:rFonts w:cs="Calibri"/>
                <w:sz w:val="12"/>
                <w:szCs w:val="12"/>
              </w:rPr>
              <w:t>114</w:t>
            </w:r>
          </w:p>
        </w:tc>
        <w:tc>
          <w:tcPr>
            <w:tcW w:w="1418" w:type="dxa"/>
            <w:tcBorders>
              <w:top w:val="nil"/>
              <w:left w:val="nil"/>
              <w:bottom w:val="single" w:sz="4" w:space="0" w:color="0077BD"/>
              <w:right w:val="nil"/>
            </w:tcBorders>
            <w:shd w:val="clear" w:color="auto" w:fill="auto"/>
            <w:noWrap/>
            <w:vAlign w:val="center"/>
            <w:hideMark/>
          </w:tcPr>
          <w:p w14:paraId="1E87C584" w14:textId="77777777" w:rsidR="004D6D05" w:rsidRPr="004D6D05" w:rsidRDefault="004D6D05" w:rsidP="004D6D05">
            <w:pPr>
              <w:jc w:val="right"/>
              <w:rPr>
                <w:rFonts w:cs="Calibri"/>
                <w:sz w:val="12"/>
                <w:szCs w:val="12"/>
              </w:rPr>
            </w:pPr>
            <w:r w:rsidRPr="004D6D05">
              <w:rPr>
                <w:rFonts w:cs="Calibri"/>
                <w:sz w:val="12"/>
                <w:szCs w:val="12"/>
              </w:rPr>
              <w:t>136 179</w:t>
            </w:r>
          </w:p>
        </w:tc>
      </w:tr>
      <w:tr w:rsidR="004D6D05" w:rsidRPr="004D6D05" w14:paraId="1B5C9374" w14:textId="77777777" w:rsidTr="004D6D05">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7B476653" w14:textId="77777777" w:rsidR="004D6D05" w:rsidRPr="004D6D05" w:rsidRDefault="004D6D05" w:rsidP="004D6D05">
            <w:pPr>
              <w:rPr>
                <w:rFonts w:cs="Calibri"/>
                <w:sz w:val="12"/>
                <w:szCs w:val="12"/>
              </w:rPr>
            </w:pPr>
            <w:r w:rsidRPr="004D6D05">
              <w:rPr>
                <w:rFonts w:cs="Calibri"/>
                <w:sz w:val="12"/>
                <w:szCs w:val="12"/>
              </w:rPr>
              <w:t>- rozwiązanie rezerw</w:t>
            </w:r>
          </w:p>
        </w:tc>
        <w:tc>
          <w:tcPr>
            <w:tcW w:w="1418" w:type="dxa"/>
            <w:tcBorders>
              <w:top w:val="nil"/>
              <w:left w:val="nil"/>
              <w:bottom w:val="single" w:sz="4" w:space="0" w:color="0077BD"/>
              <w:right w:val="single" w:sz="4" w:space="0" w:color="0077BD"/>
            </w:tcBorders>
            <w:shd w:val="clear" w:color="auto" w:fill="auto"/>
            <w:noWrap/>
            <w:vAlign w:val="center"/>
            <w:hideMark/>
          </w:tcPr>
          <w:p w14:paraId="7D2D7163" w14:textId="77777777" w:rsidR="004D6D05" w:rsidRPr="004D6D05" w:rsidRDefault="004D6D05" w:rsidP="004D6D05">
            <w:pPr>
              <w:jc w:val="right"/>
              <w:rPr>
                <w:rFonts w:cs="Calibri"/>
                <w:sz w:val="12"/>
                <w:szCs w:val="12"/>
              </w:rPr>
            </w:pPr>
            <w:r w:rsidRPr="004D6D05">
              <w:rPr>
                <w:rFonts w:cs="Calibri"/>
                <w:sz w:val="12"/>
                <w:szCs w:val="12"/>
              </w:rPr>
              <w:t>(339)</w:t>
            </w:r>
          </w:p>
        </w:tc>
        <w:tc>
          <w:tcPr>
            <w:tcW w:w="1418" w:type="dxa"/>
            <w:tcBorders>
              <w:top w:val="nil"/>
              <w:left w:val="nil"/>
              <w:bottom w:val="single" w:sz="4" w:space="0" w:color="0077BD"/>
              <w:right w:val="single" w:sz="4" w:space="0" w:color="0077BD"/>
            </w:tcBorders>
            <w:shd w:val="clear" w:color="auto" w:fill="auto"/>
            <w:noWrap/>
            <w:vAlign w:val="center"/>
            <w:hideMark/>
          </w:tcPr>
          <w:p w14:paraId="5363F141" w14:textId="77777777" w:rsidR="004D6D05" w:rsidRPr="004D6D05" w:rsidRDefault="004D6D05" w:rsidP="004D6D05">
            <w:pPr>
              <w:jc w:val="right"/>
              <w:rPr>
                <w:rFonts w:cs="Calibri"/>
                <w:sz w:val="12"/>
                <w:szCs w:val="12"/>
              </w:rPr>
            </w:pPr>
            <w:r w:rsidRPr="004D6D05">
              <w:rPr>
                <w:rFonts w:cs="Calibri"/>
                <w:sz w:val="12"/>
                <w:szCs w:val="12"/>
              </w:rPr>
              <w:t>(3 506)</w:t>
            </w:r>
          </w:p>
        </w:tc>
        <w:tc>
          <w:tcPr>
            <w:tcW w:w="1418" w:type="dxa"/>
            <w:tcBorders>
              <w:top w:val="nil"/>
              <w:left w:val="nil"/>
              <w:bottom w:val="single" w:sz="4" w:space="0" w:color="0077BD"/>
              <w:right w:val="single" w:sz="4" w:space="0" w:color="0077BD"/>
            </w:tcBorders>
            <w:shd w:val="clear" w:color="auto" w:fill="auto"/>
            <w:noWrap/>
            <w:vAlign w:val="center"/>
            <w:hideMark/>
          </w:tcPr>
          <w:p w14:paraId="3C2B220E" w14:textId="77777777" w:rsidR="004D6D05" w:rsidRPr="004D6D05" w:rsidRDefault="004D6D05" w:rsidP="004D6D05">
            <w:pPr>
              <w:jc w:val="right"/>
              <w:rPr>
                <w:rFonts w:cs="Calibri"/>
                <w:sz w:val="12"/>
                <w:szCs w:val="12"/>
              </w:rPr>
            </w:pPr>
            <w:r w:rsidRPr="004D6D05">
              <w:rPr>
                <w:rFonts w:cs="Calibri"/>
                <w:sz w:val="12"/>
                <w:szCs w:val="12"/>
              </w:rPr>
              <w:t>(2 894)</w:t>
            </w:r>
          </w:p>
        </w:tc>
        <w:tc>
          <w:tcPr>
            <w:tcW w:w="1418" w:type="dxa"/>
            <w:tcBorders>
              <w:top w:val="nil"/>
              <w:left w:val="nil"/>
              <w:bottom w:val="single" w:sz="4" w:space="0" w:color="0077BD"/>
              <w:right w:val="nil"/>
            </w:tcBorders>
            <w:shd w:val="clear" w:color="auto" w:fill="auto"/>
            <w:noWrap/>
            <w:vAlign w:val="center"/>
            <w:hideMark/>
          </w:tcPr>
          <w:p w14:paraId="5DC64BF3" w14:textId="77777777" w:rsidR="004D6D05" w:rsidRPr="004D6D05" w:rsidRDefault="004D6D05" w:rsidP="004D6D05">
            <w:pPr>
              <w:jc w:val="right"/>
              <w:rPr>
                <w:rFonts w:cs="Calibri"/>
                <w:sz w:val="12"/>
                <w:szCs w:val="12"/>
              </w:rPr>
            </w:pPr>
            <w:r w:rsidRPr="004D6D05">
              <w:rPr>
                <w:rFonts w:cs="Calibri"/>
                <w:sz w:val="12"/>
                <w:szCs w:val="12"/>
              </w:rPr>
              <w:t>(5 947)</w:t>
            </w:r>
          </w:p>
        </w:tc>
      </w:tr>
      <w:tr w:rsidR="004D6D05" w:rsidRPr="004D6D05" w14:paraId="621DFC35" w14:textId="77777777" w:rsidTr="004D6D05">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62357C66" w14:textId="77777777" w:rsidR="004D6D05" w:rsidRPr="004D6D05" w:rsidRDefault="004D6D05" w:rsidP="004D6D05">
            <w:pPr>
              <w:rPr>
                <w:rFonts w:cs="Calibri"/>
                <w:sz w:val="12"/>
                <w:szCs w:val="12"/>
              </w:rPr>
            </w:pPr>
            <w:r w:rsidRPr="004D6D05">
              <w:rPr>
                <w:rFonts w:cs="Calibri"/>
                <w:sz w:val="12"/>
                <w:szCs w:val="12"/>
              </w:rPr>
              <w:t>- wykorzystanie</w:t>
            </w:r>
          </w:p>
        </w:tc>
        <w:tc>
          <w:tcPr>
            <w:tcW w:w="1418" w:type="dxa"/>
            <w:tcBorders>
              <w:top w:val="nil"/>
              <w:left w:val="nil"/>
              <w:bottom w:val="single" w:sz="4" w:space="0" w:color="0077BD"/>
              <w:right w:val="single" w:sz="4" w:space="0" w:color="0077BD"/>
            </w:tcBorders>
            <w:shd w:val="clear" w:color="auto" w:fill="auto"/>
            <w:vAlign w:val="center"/>
            <w:hideMark/>
          </w:tcPr>
          <w:p w14:paraId="38F23929" w14:textId="77777777" w:rsidR="004D6D05" w:rsidRPr="004D6D05" w:rsidRDefault="004D6D05" w:rsidP="004D6D05">
            <w:pPr>
              <w:jc w:val="right"/>
              <w:rPr>
                <w:rFonts w:cs="Calibri"/>
                <w:iCs/>
                <w:sz w:val="12"/>
                <w:szCs w:val="12"/>
              </w:rPr>
            </w:pPr>
            <w:r w:rsidRPr="004D6D05">
              <w:rPr>
                <w:rFonts w:cs="Calibri"/>
                <w:iCs/>
                <w:sz w:val="12"/>
                <w:szCs w:val="12"/>
              </w:rPr>
              <w:t>(428)</w:t>
            </w:r>
          </w:p>
        </w:tc>
        <w:tc>
          <w:tcPr>
            <w:tcW w:w="1418" w:type="dxa"/>
            <w:tcBorders>
              <w:top w:val="nil"/>
              <w:left w:val="nil"/>
              <w:bottom w:val="single" w:sz="4" w:space="0" w:color="0077BD"/>
              <w:right w:val="single" w:sz="4" w:space="0" w:color="0077BD"/>
            </w:tcBorders>
            <w:shd w:val="clear" w:color="auto" w:fill="auto"/>
            <w:vAlign w:val="center"/>
            <w:hideMark/>
          </w:tcPr>
          <w:p w14:paraId="3F87A725" w14:textId="77777777" w:rsidR="004D6D05" w:rsidRPr="004D6D05" w:rsidRDefault="004D6D05" w:rsidP="004D6D05">
            <w:pPr>
              <w:jc w:val="right"/>
              <w:rPr>
                <w:rFonts w:cs="Calibri"/>
                <w:iCs/>
                <w:sz w:val="12"/>
                <w:szCs w:val="12"/>
              </w:rPr>
            </w:pPr>
            <w:r w:rsidRPr="004D6D05">
              <w:rPr>
                <w:rFonts w:cs="Calibri"/>
                <w:iCs/>
                <w:sz w:val="12"/>
                <w:szCs w:val="12"/>
              </w:rPr>
              <w:t>(6 425)</w:t>
            </w:r>
          </w:p>
        </w:tc>
        <w:tc>
          <w:tcPr>
            <w:tcW w:w="1418" w:type="dxa"/>
            <w:tcBorders>
              <w:top w:val="nil"/>
              <w:left w:val="nil"/>
              <w:bottom w:val="single" w:sz="4" w:space="0" w:color="0077BD"/>
              <w:right w:val="single" w:sz="4" w:space="0" w:color="0077BD"/>
            </w:tcBorders>
            <w:shd w:val="clear" w:color="auto" w:fill="auto"/>
            <w:vAlign w:val="center"/>
            <w:hideMark/>
          </w:tcPr>
          <w:p w14:paraId="52241AB2" w14:textId="77777777" w:rsidR="004D6D05" w:rsidRPr="004D6D05" w:rsidRDefault="004D6D05" w:rsidP="004D6D05">
            <w:pPr>
              <w:jc w:val="right"/>
              <w:rPr>
                <w:rFonts w:cs="Calibri"/>
                <w:iCs/>
                <w:sz w:val="12"/>
                <w:szCs w:val="12"/>
              </w:rPr>
            </w:pPr>
            <w:r w:rsidRPr="004D6D05">
              <w:rPr>
                <w:rFonts w:cs="Calibri"/>
                <w:iCs/>
                <w:sz w:val="12"/>
                <w:szCs w:val="12"/>
              </w:rPr>
              <w:t>(1 714)</w:t>
            </w:r>
          </w:p>
        </w:tc>
        <w:tc>
          <w:tcPr>
            <w:tcW w:w="1418" w:type="dxa"/>
            <w:tcBorders>
              <w:top w:val="nil"/>
              <w:left w:val="nil"/>
              <w:bottom w:val="single" w:sz="4" w:space="0" w:color="0077BD"/>
              <w:right w:val="nil"/>
            </w:tcBorders>
            <w:shd w:val="clear" w:color="auto" w:fill="auto"/>
            <w:vAlign w:val="center"/>
            <w:hideMark/>
          </w:tcPr>
          <w:p w14:paraId="4E20F9DA" w14:textId="4B803AC3" w:rsidR="004D6D05" w:rsidRPr="004D6D05" w:rsidRDefault="00B5751D" w:rsidP="004D6D05">
            <w:pPr>
              <w:jc w:val="right"/>
              <w:rPr>
                <w:rFonts w:cs="Calibri"/>
                <w:iCs/>
                <w:sz w:val="12"/>
                <w:szCs w:val="12"/>
              </w:rPr>
            </w:pPr>
            <w:r>
              <w:rPr>
                <w:rFonts w:cs="Calibri"/>
                <w:iCs/>
                <w:sz w:val="12"/>
                <w:szCs w:val="12"/>
              </w:rPr>
              <w:t>(71 985)</w:t>
            </w:r>
          </w:p>
        </w:tc>
      </w:tr>
      <w:tr w:rsidR="004D6D05" w:rsidRPr="004D6D05" w14:paraId="1FEE879B" w14:textId="77777777" w:rsidTr="004D6D05">
        <w:trPr>
          <w:trHeight w:val="340"/>
        </w:trPr>
        <w:tc>
          <w:tcPr>
            <w:tcW w:w="3969" w:type="dxa"/>
            <w:tcBorders>
              <w:top w:val="nil"/>
              <w:left w:val="nil"/>
              <w:bottom w:val="single" w:sz="4" w:space="0" w:color="0077BD"/>
              <w:right w:val="single" w:sz="4" w:space="0" w:color="0077BD"/>
            </w:tcBorders>
            <w:shd w:val="clear" w:color="auto" w:fill="auto"/>
            <w:vAlign w:val="center"/>
            <w:hideMark/>
          </w:tcPr>
          <w:p w14:paraId="33615931" w14:textId="77777777" w:rsidR="004D6D05" w:rsidRPr="004D6D05" w:rsidRDefault="004D6D05" w:rsidP="004D6D05">
            <w:pPr>
              <w:rPr>
                <w:rFonts w:cs="Calibri"/>
                <w:sz w:val="12"/>
                <w:szCs w:val="12"/>
              </w:rPr>
            </w:pPr>
            <w:r w:rsidRPr="004D6D05">
              <w:rPr>
                <w:rFonts w:cs="Calibri"/>
                <w:sz w:val="12"/>
                <w:szCs w:val="12"/>
              </w:rPr>
              <w:t>- przeniesienie do innych pozycji sprawozdania z sytuacji</w:t>
            </w:r>
            <w:r w:rsidRPr="004D6D05">
              <w:rPr>
                <w:rFonts w:cs="Calibri"/>
                <w:sz w:val="12"/>
                <w:szCs w:val="12"/>
              </w:rPr>
              <w:br/>
              <w:t xml:space="preserve">  finansowej</w:t>
            </w:r>
          </w:p>
        </w:tc>
        <w:tc>
          <w:tcPr>
            <w:tcW w:w="1418" w:type="dxa"/>
            <w:tcBorders>
              <w:top w:val="nil"/>
              <w:left w:val="nil"/>
              <w:bottom w:val="single" w:sz="4" w:space="0" w:color="0077BD"/>
              <w:right w:val="single" w:sz="4" w:space="0" w:color="0077BD"/>
            </w:tcBorders>
            <w:shd w:val="clear" w:color="auto" w:fill="auto"/>
            <w:vAlign w:val="center"/>
            <w:hideMark/>
          </w:tcPr>
          <w:p w14:paraId="38A781C5"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vAlign w:val="center"/>
            <w:hideMark/>
          </w:tcPr>
          <w:p w14:paraId="0D2A3BA9"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vAlign w:val="center"/>
            <w:hideMark/>
          </w:tcPr>
          <w:p w14:paraId="283F74C0"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nil"/>
            </w:tcBorders>
            <w:shd w:val="clear" w:color="auto" w:fill="auto"/>
            <w:vAlign w:val="center"/>
            <w:hideMark/>
          </w:tcPr>
          <w:p w14:paraId="256E9FA0" w14:textId="77777777" w:rsidR="004D6D05" w:rsidRPr="004D6D05" w:rsidRDefault="004D6D05" w:rsidP="004D6D05">
            <w:pPr>
              <w:jc w:val="right"/>
              <w:rPr>
                <w:rFonts w:cs="Calibri"/>
                <w:sz w:val="12"/>
                <w:szCs w:val="12"/>
              </w:rPr>
            </w:pPr>
            <w:r w:rsidRPr="004D6D05">
              <w:rPr>
                <w:rFonts w:cs="Calibri"/>
                <w:sz w:val="12"/>
                <w:szCs w:val="12"/>
              </w:rPr>
              <w:t>302</w:t>
            </w:r>
          </w:p>
        </w:tc>
      </w:tr>
      <w:tr w:rsidR="004D6D05" w:rsidRPr="004D6D05" w14:paraId="070136E0" w14:textId="77777777" w:rsidTr="004D6D05">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080B4F6F" w14:textId="77777777" w:rsidR="004D6D05" w:rsidRPr="004D6D05" w:rsidRDefault="004D6D05" w:rsidP="004D6D05">
            <w:pPr>
              <w:rPr>
                <w:rFonts w:cs="Calibri"/>
                <w:sz w:val="12"/>
                <w:szCs w:val="12"/>
              </w:rPr>
            </w:pPr>
            <w:r w:rsidRPr="004D6D05">
              <w:rPr>
                <w:rFonts w:cs="Calibri"/>
                <w:sz w:val="12"/>
                <w:szCs w:val="12"/>
              </w:rPr>
              <w:t>- różnice kursowe</w:t>
            </w:r>
          </w:p>
        </w:tc>
        <w:tc>
          <w:tcPr>
            <w:tcW w:w="1418" w:type="dxa"/>
            <w:tcBorders>
              <w:top w:val="nil"/>
              <w:left w:val="nil"/>
              <w:bottom w:val="single" w:sz="4" w:space="0" w:color="0077BD"/>
              <w:right w:val="single" w:sz="4" w:space="0" w:color="0077BD"/>
            </w:tcBorders>
            <w:shd w:val="clear" w:color="auto" w:fill="auto"/>
            <w:vAlign w:val="center"/>
            <w:hideMark/>
          </w:tcPr>
          <w:p w14:paraId="34F31936"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vAlign w:val="center"/>
            <w:hideMark/>
          </w:tcPr>
          <w:p w14:paraId="6D1AF5D2"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vAlign w:val="center"/>
            <w:hideMark/>
          </w:tcPr>
          <w:p w14:paraId="3E5564E3" w14:textId="77777777"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nil"/>
            </w:tcBorders>
            <w:shd w:val="clear" w:color="auto" w:fill="auto"/>
            <w:vAlign w:val="center"/>
            <w:hideMark/>
          </w:tcPr>
          <w:p w14:paraId="6D0C2C02" w14:textId="77777777" w:rsidR="004D6D05" w:rsidRPr="004D6D05" w:rsidRDefault="004D6D05" w:rsidP="004D6D05">
            <w:pPr>
              <w:jc w:val="right"/>
              <w:rPr>
                <w:rFonts w:cs="Calibri"/>
                <w:sz w:val="12"/>
                <w:szCs w:val="12"/>
              </w:rPr>
            </w:pPr>
            <w:r w:rsidRPr="004D6D05">
              <w:rPr>
                <w:rFonts w:cs="Calibri"/>
                <w:sz w:val="12"/>
                <w:szCs w:val="12"/>
              </w:rPr>
              <w:t>2</w:t>
            </w:r>
          </w:p>
        </w:tc>
      </w:tr>
      <w:tr w:rsidR="004D6D05" w:rsidRPr="004D6D05" w14:paraId="6F9DD0B0" w14:textId="77777777" w:rsidTr="004D6D05">
        <w:trPr>
          <w:trHeight w:val="284"/>
        </w:trPr>
        <w:tc>
          <w:tcPr>
            <w:tcW w:w="3969" w:type="dxa"/>
            <w:tcBorders>
              <w:top w:val="single" w:sz="8" w:space="0" w:color="0077BD"/>
              <w:left w:val="nil"/>
              <w:bottom w:val="single" w:sz="8" w:space="0" w:color="0077BD"/>
              <w:right w:val="single" w:sz="4" w:space="0" w:color="0077BD"/>
            </w:tcBorders>
            <w:shd w:val="clear" w:color="auto" w:fill="auto"/>
            <w:vAlign w:val="center"/>
            <w:hideMark/>
          </w:tcPr>
          <w:p w14:paraId="3600312F" w14:textId="77777777" w:rsidR="004D6D05" w:rsidRPr="004D6D05" w:rsidRDefault="004D6D05" w:rsidP="004D6D05">
            <w:pPr>
              <w:rPr>
                <w:rFonts w:cs="Calibri"/>
                <w:b/>
                <w:bCs/>
                <w:sz w:val="12"/>
                <w:szCs w:val="12"/>
              </w:rPr>
            </w:pPr>
            <w:r w:rsidRPr="004D6D05">
              <w:rPr>
                <w:rFonts w:cs="Calibri"/>
                <w:b/>
                <w:bCs/>
                <w:sz w:val="12"/>
                <w:szCs w:val="12"/>
              </w:rPr>
              <w:t>Stan rezerw na koniec okresu</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406BA148" w14:textId="77777777" w:rsidR="004D6D05" w:rsidRPr="004D6D05" w:rsidRDefault="004D6D05" w:rsidP="004D6D05">
            <w:pPr>
              <w:jc w:val="right"/>
              <w:rPr>
                <w:rFonts w:cs="Calibri"/>
                <w:b/>
                <w:bCs/>
                <w:sz w:val="12"/>
                <w:szCs w:val="12"/>
              </w:rPr>
            </w:pPr>
            <w:r w:rsidRPr="004D6D05">
              <w:rPr>
                <w:rFonts w:cs="Calibri"/>
                <w:b/>
                <w:bCs/>
                <w:sz w:val="12"/>
                <w:szCs w:val="12"/>
              </w:rPr>
              <w:t>417 653</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7C170C63" w14:textId="77777777" w:rsidR="004D6D05" w:rsidRPr="004D6D05" w:rsidRDefault="004D6D05" w:rsidP="004D6D05">
            <w:pPr>
              <w:jc w:val="right"/>
              <w:rPr>
                <w:rFonts w:cs="Calibri"/>
                <w:b/>
                <w:bCs/>
                <w:sz w:val="12"/>
                <w:szCs w:val="12"/>
              </w:rPr>
            </w:pPr>
            <w:r w:rsidRPr="004D6D05">
              <w:rPr>
                <w:rFonts w:cs="Calibri"/>
                <w:b/>
                <w:bCs/>
                <w:sz w:val="12"/>
                <w:szCs w:val="12"/>
              </w:rPr>
              <w:t>61 103</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1B432BE0" w14:textId="77777777" w:rsidR="004D6D05" w:rsidRPr="004D6D05" w:rsidRDefault="004D6D05" w:rsidP="004D6D05">
            <w:pPr>
              <w:jc w:val="right"/>
              <w:rPr>
                <w:rFonts w:cs="Calibri"/>
                <w:b/>
                <w:bCs/>
                <w:sz w:val="12"/>
                <w:szCs w:val="12"/>
              </w:rPr>
            </w:pPr>
            <w:r w:rsidRPr="004D6D05">
              <w:rPr>
                <w:rFonts w:cs="Calibri"/>
                <w:b/>
                <w:bCs/>
                <w:sz w:val="12"/>
                <w:szCs w:val="12"/>
              </w:rPr>
              <w:t>6 004</w:t>
            </w:r>
          </w:p>
        </w:tc>
        <w:tc>
          <w:tcPr>
            <w:tcW w:w="1418" w:type="dxa"/>
            <w:tcBorders>
              <w:top w:val="single" w:sz="8" w:space="0" w:color="0077BD"/>
              <w:left w:val="nil"/>
              <w:bottom w:val="single" w:sz="8" w:space="0" w:color="0077BD"/>
              <w:right w:val="nil"/>
            </w:tcBorders>
            <w:shd w:val="clear" w:color="auto" w:fill="auto"/>
            <w:noWrap/>
            <w:vAlign w:val="center"/>
            <w:hideMark/>
          </w:tcPr>
          <w:p w14:paraId="7AF6F83A" w14:textId="77777777" w:rsidR="004D6D05" w:rsidRPr="004D6D05" w:rsidRDefault="004D6D05" w:rsidP="004D6D05">
            <w:pPr>
              <w:jc w:val="right"/>
              <w:rPr>
                <w:rFonts w:cs="Calibri"/>
                <w:b/>
                <w:bCs/>
                <w:sz w:val="12"/>
                <w:szCs w:val="12"/>
              </w:rPr>
            </w:pPr>
            <w:r w:rsidRPr="004D6D05">
              <w:rPr>
                <w:rFonts w:cs="Calibri"/>
                <w:b/>
                <w:bCs/>
                <w:sz w:val="12"/>
                <w:szCs w:val="12"/>
              </w:rPr>
              <w:t>101 104</w:t>
            </w:r>
          </w:p>
        </w:tc>
      </w:tr>
    </w:tbl>
    <w:p w14:paraId="52F9152C" w14:textId="77777777" w:rsidR="004D6D05" w:rsidRPr="004D6D05" w:rsidRDefault="004D6D05" w:rsidP="004D6D05">
      <w:pPr>
        <w:jc w:val="both"/>
        <w:rPr>
          <w:rFonts w:cs="Tahoma"/>
          <w:color w:val="000000" w:themeColor="text1"/>
          <w:sz w:val="18"/>
          <w:szCs w:val="18"/>
        </w:rPr>
      </w:pPr>
    </w:p>
    <w:tbl>
      <w:tblPr>
        <w:tblW w:w="9641" w:type="dxa"/>
        <w:tblLayout w:type="fixed"/>
        <w:tblCellMar>
          <w:left w:w="28" w:type="dxa"/>
          <w:right w:w="28" w:type="dxa"/>
        </w:tblCellMar>
        <w:tblLook w:val="04A0" w:firstRow="1" w:lastRow="0" w:firstColumn="1" w:lastColumn="0" w:noHBand="0" w:noVBand="1"/>
      </w:tblPr>
      <w:tblGrid>
        <w:gridCol w:w="3969"/>
        <w:gridCol w:w="1418"/>
        <w:gridCol w:w="1418"/>
        <w:gridCol w:w="1418"/>
        <w:gridCol w:w="1418"/>
      </w:tblGrid>
      <w:tr w:rsidR="004D6D05" w:rsidRPr="004D6D05" w14:paraId="6336C167" w14:textId="77777777" w:rsidTr="00934B3C">
        <w:trPr>
          <w:trHeight w:val="284"/>
        </w:trPr>
        <w:tc>
          <w:tcPr>
            <w:tcW w:w="3969" w:type="dxa"/>
            <w:vMerge w:val="restart"/>
            <w:tcBorders>
              <w:top w:val="nil"/>
              <w:left w:val="single" w:sz="8" w:space="0" w:color="FFFFFF"/>
              <w:bottom w:val="nil"/>
              <w:right w:val="single" w:sz="8" w:space="0" w:color="FFFFFF"/>
            </w:tcBorders>
            <w:shd w:val="clear" w:color="000000" w:fill="0077BD"/>
            <w:vAlign w:val="center"/>
            <w:hideMark/>
          </w:tcPr>
          <w:p w14:paraId="33D27CDD" w14:textId="77777777" w:rsidR="004D6D05" w:rsidRPr="004D6D05" w:rsidRDefault="004D6D05" w:rsidP="00FD33F8">
            <w:pPr>
              <w:rPr>
                <w:rFonts w:cs="Calibri"/>
                <w:b/>
                <w:bCs/>
                <w:color w:val="FFFFFF"/>
                <w:sz w:val="12"/>
                <w:szCs w:val="12"/>
              </w:rPr>
            </w:pPr>
            <w:r w:rsidRPr="004D6D05">
              <w:rPr>
                <w:rFonts w:cs="Calibri"/>
                <w:b/>
                <w:bCs/>
                <w:color w:val="FFFFFF"/>
                <w:sz w:val="12"/>
                <w:szCs w:val="12"/>
              </w:rPr>
              <w:t>Zmiana w okresie od 1 stycznia do 31 grudnia</w:t>
            </w:r>
          </w:p>
        </w:tc>
        <w:tc>
          <w:tcPr>
            <w:tcW w:w="5672" w:type="dxa"/>
            <w:gridSpan w:val="4"/>
            <w:tcBorders>
              <w:top w:val="nil"/>
              <w:left w:val="nil"/>
              <w:bottom w:val="single" w:sz="6" w:space="0" w:color="FFFFFF"/>
              <w:right w:val="nil"/>
            </w:tcBorders>
            <w:shd w:val="clear" w:color="000000" w:fill="0077BD"/>
            <w:vAlign w:val="center"/>
            <w:hideMark/>
          </w:tcPr>
          <w:p w14:paraId="2D0CE841" w14:textId="367C1251" w:rsidR="004D6D05" w:rsidRPr="004D6D05" w:rsidRDefault="004D6D05" w:rsidP="00FD33F8">
            <w:pPr>
              <w:jc w:val="center"/>
              <w:rPr>
                <w:rFonts w:cs="Calibri"/>
                <w:b/>
                <w:bCs/>
                <w:color w:val="FFFFFF"/>
                <w:sz w:val="12"/>
                <w:szCs w:val="12"/>
              </w:rPr>
            </w:pPr>
            <w:r>
              <w:rPr>
                <w:rFonts w:cs="Calibri"/>
                <w:b/>
                <w:bCs/>
                <w:color w:val="FFFFFF"/>
                <w:sz w:val="12"/>
                <w:szCs w:val="12"/>
              </w:rPr>
              <w:t>2018</w:t>
            </w:r>
          </w:p>
        </w:tc>
      </w:tr>
      <w:tr w:rsidR="004D6D05" w:rsidRPr="004D6D05" w14:paraId="1BC68688" w14:textId="77777777" w:rsidTr="00934B3C">
        <w:trPr>
          <w:trHeight w:val="990"/>
        </w:trPr>
        <w:tc>
          <w:tcPr>
            <w:tcW w:w="3969" w:type="dxa"/>
            <w:vMerge/>
            <w:tcBorders>
              <w:top w:val="nil"/>
              <w:left w:val="single" w:sz="8" w:space="0" w:color="FFFFFF"/>
              <w:bottom w:val="nil"/>
              <w:right w:val="single" w:sz="8" w:space="0" w:color="FFFFFF"/>
            </w:tcBorders>
            <w:vAlign w:val="center"/>
            <w:hideMark/>
          </w:tcPr>
          <w:p w14:paraId="46A68AAC" w14:textId="77777777" w:rsidR="004D6D05" w:rsidRPr="004D6D05" w:rsidRDefault="004D6D05" w:rsidP="00FD33F8">
            <w:pPr>
              <w:rPr>
                <w:rFonts w:cs="Calibri"/>
                <w:b/>
                <w:bCs/>
                <w:color w:val="FFFFFF"/>
                <w:sz w:val="12"/>
                <w:szCs w:val="12"/>
              </w:rPr>
            </w:pPr>
          </w:p>
        </w:tc>
        <w:tc>
          <w:tcPr>
            <w:tcW w:w="1418" w:type="dxa"/>
            <w:tcBorders>
              <w:top w:val="single" w:sz="6" w:space="0" w:color="FFFFFF"/>
              <w:left w:val="nil"/>
              <w:bottom w:val="nil"/>
              <w:right w:val="single" w:sz="8" w:space="0" w:color="FFFFFF"/>
            </w:tcBorders>
            <w:shd w:val="clear" w:color="000000" w:fill="0077BD"/>
            <w:vAlign w:val="center"/>
            <w:hideMark/>
          </w:tcPr>
          <w:p w14:paraId="7E22C4CB" w14:textId="77777777" w:rsidR="004D6D05" w:rsidRPr="00B051CC" w:rsidRDefault="004D6D05" w:rsidP="00FD33F8">
            <w:pPr>
              <w:jc w:val="right"/>
              <w:rPr>
                <w:rFonts w:cs="Calibri"/>
                <w:b/>
                <w:bCs/>
                <w:color w:val="FFFFFF"/>
                <w:sz w:val="10"/>
                <w:szCs w:val="12"/>
              </w:rPr>
            </w:pPr>
            <w:r w:rsidRPr="00B051CC">
              <w:rPr>
                <w:rFonts w:cs="Calibri"/>
                <w:b/>
                <w:bCs/>
                <w:color w:val="FFFFFF"/>
                <w:sz w:val="10"/>
                <w:szCs w:val="12"/>
              </w:rPr>
              <w:t>Rezerwy na indywidualne sprawy sądowe dotyczące klauzul indeksacyjnych w kredytach hipotecznych i mieszkaniowych w CHF</w:t>
            </w:r>
          </w:p>
        </w:tc>
        <w:tc>
          <w:tcPr>
            <w:tcW w:w="1418" w:type="dxa"/>
            <w:tcBorders>
              <w:top w:val="single" w:sz="6" w:space="0" w:color="FFFFFF"/>
              <w:left w:val="nil"/>
              <w:bottom w:val="nil"/>
              <w:right w:val="single" w:sz="8" w:space="0" w:color="FFFFFF"/>
            </w:tcBorders>
            <w:shd w:val="clear" w:color="000000" w:fill="0077BD"/>
            <w:vAlign w:val="center"/>
            <w:hideMark/>
          </w:tcPr>
          <w:p w14:paraId="16E4978F" w14:textId="77777777" w:rsidR="004D6D05" w:rsidRPr="00B051CC" w:rsidRDefault="004D6D05" w:rsidP="00FD33F8">
            <w:pPr>
              <w:jc w:val="right"/>
              <w:rPr>
                <w:rFonts w:cs="Calibri"/>
                <w:b/>
                <w:bCs/>
                <w:color w:val="FFFFFF"/>
                <w:sz w:val="10"/>
                <w:szCs w:val="12"/>
              </w:rPr>
            </w:pPr>
            <w:r w:rsidRPr="00B051CC">
              <w:rPr>
                <w:rFonts w:cs="Calibri"/>
                <w:b/>
                <w:bCs/>
                <w:color w:val="FFFFFF"/>
                <w:sz w:val="10"/>
                <w:szCs w:val="12"/>
              </w:rPr>
              <w:t>Rezerwy na pozostałe sprawy sądowe związane z kredytami walutowymi</w:t>
            </w:r>
          </w:p>
        </w:tc>
        <w:tc>
          <w:tcPr>
            <w:tcW w:w="1418" w:type="dxa"/>
            <w:tcBorders>
              <w:top w:val="single" w:sz="6" w:space="0" w:color="FFFFFF"/>
              <w:left w:val="nil"/>
              <w:bottom w:val="nil"/>
              <w:right w:val="nil"/>
            </w:tcBorders>
            <w:shd w:val="clear" w:color="000000" w:fill="0077BD"/>
            <w:vAlign w:val="center"/>
            <w:hideMark/>
          </w:tcPr>
          <w:p w14:paraId="5A970D82" w14:textId="77777777" w:rsidR="004D6D05" w:rsidRPr="00B051CC" w:rsidRDefault="004D6D05" w:rsidP="00FD33F8">
            <w:pPr>
              <w:jc w:val="right"/>
              <w:rPr>
                <w:rFonts w:cs="Calibri"/>
                <w:b/>
                <w:bCs/>
                <w:color w:val="FFFFFF"/>
                <w:sz w:val="10"/>
                <w:szCs w:val="12"/>
              </w:rPr>
            </w:pPr>
            <w:r w:rsidRPr="00B051CC">
              <w:rPr>
                <w:rFonts w:cs="Calibri"/>
                <w:b/>
                <w:bCs/>
                <w:color w:val="FFFFFF"/>
                <w:sz w:val="10"/>
                <w:szCs w:val="12"/>
              </w:rPr>
              <w:t>Pozostałe rezerwy na sprawy sporne</w:t>
            </w:r>
          </w:p>
        </w:tc>
        <w:tc>
          <w:tcPr>
            <w:tcW w:w="1418" w:type="dxa"/>
            <w:tcBorders>
              <w:top w:val="single" w:sz="6" w:space="0" w:color="FFFFFF"/>
              <w:left w:val="single" w:sz="8" w:space="0" w:color="FFFFFF"/>
              <w:bottom w:val="nil"/>
              <w:right w:val="nil"/>
            </w:tcBorders>
            <w:shd w:val="clear" w:color="000000" w:fill="0077BD"/>
            <w:vAlign w:val="center"/>
            <w:hideMark/>
          </w:tcPr>
          <w:p w14:paraId="6FEE15C8" w14:textId="77777777" w:rsidR="004D6D05" w:rsidRPr="00B051CC" w:rsidRDefault="004D6D05" w:rsidP="00FD33F8">
            <w:pPr>
              <w:jc w:val="right"/>
              <w:rPr>
                <w:rFonts w:cs="Calibri"/>
                <w:b/>
                <w:bCs/>
                <w:color w:val="FFFFFF"/>
                <w:sz w:val="10"/>
                <w:szCs w:val="12"/>
              </w:rPr>
            </w:pPr>
            <w:r w:rsidRPr="00B051CC">
              <w:rPr>
                <w:rFonts w:cs="Calibri"/>
                <w:b/>
                <w:bCs/>
                <w:color w:val="FFFFFF"/>
                <w:sz w:val="10"/>
                <w:szCs w:val="12"/>
              </w:rPr>
              <w:t>Inne rezerwy</w:t>
            </w:r>
          </w:p>
        </w:tc>
      </w:tr>
      <w:tr w:rsidR="004D6D05" w:rsidRPr="004D6D05" w14:paraId="3C0369C9" w14:textId="77777777" w:rsidTr="00FD33F8">
        <w:trPr>
          <w:trHeight w:val="284"/>
        </w:trPr>
        <w:tc>
          <w:tcPr>
            <w:tcW w:w="3969" w:type="dxa"/>
            <w:tcBorders>
              <w:top w:val="nil"/>
              <w:left w:val="nil"/>
              <w:bottom w:val="single" w:sz="8" w:space="0" w:color="0077BD"/>
              <w:right w:val="single" w:sz="4" w:space="0" w:color="0077BD"/>
            </w:tcBorders>
            <w:shd w:val="clear" w:color="auto" w:fill="auto"/>
            <w:vAlign w:val="center"/>
            <w:hideMark/>
          </w:tcPr>
          <w:p w14:paraId="2A23C009" w14:textId="77777777" w:rsidR="004D6D05" w:rsidRPr="004D6D05" w:rsidRDefault="004D6D05" w:rsidP="004D6D05">
            <w:pPr>
              <w:rPr>
                <w:rFonts w:cs="Calibri"/>
                <w:b/>
                <w:bCs/>
                <w:sz w:val="12"/>
                <w:szCs w:val="12"/>
              </w:rPr>
            </w:pPr>
            <w:r w:rsidRPr="004D6D05">
              <w:rPr>
                <w:rFonts w:cs="Calibri"/>
                <w:b/>
                <w:bCs/>
                <w:sz w:val="12"/>
                <w:szCs w:val="12"/>
              </w:rPr>
              <w:t>Stan rezerw na początek okresu</w:t>
            </w:r>
          </w:p>
        </w:tc>
        <w:tc>
          <w:tcPr>
            <w:tcW w:w="1418" w:type="dxa"/>
            <w:tcBorders>
              <w:top w:val="nil"/>
              <w:left w:val="single" w:sz="4" w:space="0" w:color="0077BD"/>
              <w:bottom w:val="single" w:sz="8" w:space="0" w:color="0077BD"/>
              <w:right w:val="single" w:sz="4" w:space="0" w:color="0077BD"/>
            </w:tcBorders>
            <w:shd w:val="clear" w:color="auto" w:fill="auto"/>
            <w:noWrap/>
            <w:vAlign w:val="center"/>
            <w:hideMark/>
          </w:tcPr>
          <w:p w14:paraId="388AEEB0" w14:textId="279C4616" w:rsidR="004D6D05" w:rsidRPr="004D6D05" w:rsidRDefault="004D6D05" w:rsidP="004D6D05">
            <w:pPr>
              <w:jc w:val="right"/>
              <w:rPr>
                <w:rFonts w:cs="Calibri"/>
                <w:b/>
                <w:bCs/>
                <w:sz w:val="12"/>
                <w:szCs w:val="12"/>
              </w:rPr>
            </w:pPr>
            <w:r w:rsidRPr="004D6D05">
              <w:rPr>
                <w:rFonts w:cs="Calibri"/>
                <w:b/>
                <w:bCs/>
                <w:sz w:val="12"/>
                <w:szCs w:val="12"/>
              </w:rPr>
              <w:t>14 696</w:t>
            </w:r>
          </w:p>
        </w:tc>
        <w:tc>
          <w:tcPr>
            <w:tcW w:w="1418" w:type="dxa"/>
            <w:tcBorders>
              <w:top w:val="nil"/>
              <w:left w:val="nil"/>
              <w:bottom w:val="single" w:sz="8" w:space="0" w:color="0077BD"/>
              <w:right w:val="single" w:sz="4" w:space="0" w:color="0077BD"/>
            </w:tcBorders>
            <w:shd w:val="clear" w:color="auto" w:fill="auto"/>
            <w:noWrap/>
            <w:vAlign w:val="center"/>
            <w:hideMark/>
          </w:tcPr>
          <w:p w14:paraId="44F3B279" w14:textId="07D81057" w:rsidR="004D6D05" w:rsidRPr="004D6D05" w:rsidRDefault="004D6D05" w:rsidP="004D6D05">
            <w:pPr>
              <w:jc w:val="right"/>
              <w:rPr>
                <w:rFonts w:cs="Calibri"/>
                <w:b/>
                <w:bCs/>
                <w:sz w:val="12"/>
                <w:szCs w:val="12"/>
              </w:rPr>
            </w:pPr>
            <w:r w:rsidRPr="004D6D05">
              <w:rPr>
                <w:rFonts w:cs="Calibri"/>
                <w:b/>
                <w:bCs/>
                <w:sz w:val="12"/>
                <w:szCs w:val="12"/>
              </w:rPr>
              <w:t>72 701</w:t>
            </w:r>
          </w:p>
        </w:tc>
        <w:tc>
          <w:tcPr>
            <w:tcW w:w="1418" w:type="dxa"/>
            <w:tcBorders>
              <w:top w:val="nil"/>
              <w:left w:val="nil"/>
              <w:bottom w:val="single" w:sz="8" w:space="0" w:color="0077BD"/>
              <w:right w:val="single" w:sz="4" w:space="0" w:color="0077BD"/>
            </w:tcBorders>
            <w:shd w:val="clear" w:color="auto" w:fill="auto"/>
            <w:noWrap/>
            <w:vAlign w:val="center"/>
            <w:hideMark/>
          </w:tcPr>
          <w:p w14:paraId="5412B24F" w14:textId="6308C37F" w:rsidR="004D6D05" w:rsidRPr="004D6D05" w:rsidRDefault="004D6D05" w:rsidP="004D6D05">
            <w:pPr>
              <w:jc w:val="right"/>
              <w:rPr>
                <w:rFonts w:cs="Calibri"/>
                <w:b/>
                <w:bCs/>
                <w:sz w:val="12"/>
                <w:szCs w:val="12"/>
              </w:rPr>
            </w:pPr>
            <w:r w:rsidRPr="004D6D05">
              <w:rPr>
                <w:rFonts w:cs="Calibri"/>
                <w:b/>
                <w:bCs/>
                <w:sz w:val="12"/>
                <w:szCs w:val="12"/>
              </w:rPr>
              <w:t>7 885</w:t>
            </w:r>
          </w:p>
        </w:tc>
        <w:tc>
          <w:tcPr>
            <w:tcW w:w="1418" w:type="dxa"/>
            <w:tcBorders>
              <w:top w:val="nil"/>
              <w:left w:val="nil"/>
              <w:bottom w:val="single" w:sz="8" w:space="0" w:color="0077BD"/>
              <w:right w:val="nil"/>
            </w:tcBorders>
            <w:shd w:val="clear" w:color="auto" w:fill="auto"/>
            <w:noWrap/>
            <w:vAlign w:val="center"/>
            <w:hideMark/>
          </w:tcPr>
          <w:p w14:paraId="6C4F5F2E" w14:textId="6A0D6915" w:rsidR="004D6D05" w:rsidRPr="004D6D05" w:rsidRDefault="004D6D05" w:rsidP="004D6D05">
            <w:pPr>
              <w:jc w:val="right"/>
              <w:rPr>
                <w:rFonts w:cs="Calibri"/>
                <w:b/>
                <w:bCs/>
                <w:sz w:val="12"/>
                <w:szCs w:val="12"/>
              </w:rPr>
            </w:pPr>
            <w:r w:rsidRPr="004D6D05">
              <w:rPr>
                <w:rFonts w:cs="Calibri"/>
                <w:b/>
                <w:bCs/>
                <w:sz w:val="12"/>
                <w:szCs w:val="12"/>
              </w:rPr>
              <w:t>19 978</w:t>
            </w:r>
          </w:p>
        </w:tc>
      </w:tr>
      <w:tr w:rsidR="004D6D05" w:rsidRPr="004D6D05" w14:paraId="462F11F5" w14:textId="77777777" w:rsidTr="00FD33F8">
        <w:trPr>
          <w:trHeight w:val="284"/>
        </w:trPr>
        <w:tc>
          <w:tcPr>
            <w:tcW w:w="3969" w:type="dxa"/>
            <w:tcBorders>
              <w:top w:val="nil"/>
              <w:left w:val="nil"/>
              <w:bottom w:val="single" w:sz="8" w:space="0" w:color="0077BD"/>
              <w:right w:val="single" w:sz="4" w:space="0" w:color="0077BD"/>
            </w:tcBorders>
            <w:shd w:val="clear" w:color="auto" w:fill="auto"/>
            <w:vAlign w:val="center"/>
            <w:hideMark/>
          </w:tcPr>
          <w:p w14:paraId="69FE2A72" w14:textId="77777777" w:rsidR="004D6D05" w:rsidRPr="004D6D05" w:rsidRDefault="004D6D05" w:rsidP="004D6D05">
            <w:pPr>
              <w:rPr>
                <w:rFonts w:cs="Calibri"/>
                <w:b/>
                <w:bCs/>
                <w:sz w:val="12"/>
                <w:szCs w:val="12"/>
              </w:rPr>
            </w:pPr>
            <w:r w:rsidRPr="004D6D05">
              <w:rPr>
                <w:rFonts w:cs="Calibri"/>
                <w:b/>
                <w:bCs/>
                <w:sz w:val="12"/>
                <w:szCs w:val="12"/>
              </w:rPr>
              <w:t>Zmiana w okresie, z tytułu:</w:t>
            </w:r>
          </w:p>
        </w:tc>
        <w:tc>
          <w:tcPr>
            <w:tcW w:w="1418" w:type="dxa"/>
            <w:tcBorders>
              <w:top w:val="nil"/>
              <w:left w:val="single" w:sz="4" w:space="0" w:color="0077BD"/>
              <w:bottom w:val="single" w:sz="8" w:space="0" w:color="0077BD"/>
              <w:right w:val="single" w:sz="4" w:space="0" w:color="0077BD"/>
            </w:tcBorders>
            <w:shd w:val="clear" w:color="auto" w:fill="auto"/>
            <w:noWrap/>
            <w:vAlign w:val="center"/>
            <w:hideMark/>
          </w:tcPr>
          <w:p w14:paraId="56AF3CDE" w14:textId="54F6DD2F" w:rsidR="004D6D05" w:rsidRPr="004D6D05" w:rsidRDefault="004D6D05" w:rsidP="004D6D05">
            <w:pPr>
              <w:jc w:val="right"/>
              <w:rPr>
                <w:rFonts w:cs="Calibri"/>
                <w:sz w:val="12"/>
                <w:szCs w:val="12"/>
              </w:rPr>
            </w:pPr>
            <w:r w:rsidRPr="004D6D05">
              <w:rPr>
                <w:rFonts w:cs="Calibri"/>
                <w:sz w:val="12"/>
                <w:szCs w:val="12"/>
              </w:rPr>
              <w:t>15 869</w:t>
            </w:r>
          </w:p>
        </w:tc>
        <w:tc>
          <w:tcPr>
            <w:tcW w:w="1418" w:type="dxa"/>
            <w:tcBorders>
              <w:top w:val="nil"/>
              <w:left w:val="nil"/>
              <w:bottom w:val="single" w:sz="8" w:space="0" w:color="0077BD"/>
              <w:right w:val="single" w:sz="4" w:space="0" w:color="0077BD"/>
            </w:tcBorders>
            <w:shd w:val="clear" w:color="auto" w:fill="auto"/>
            <w:noWrap/>
            <w:vAlign w:val="center"/>
            <w:hideMark/>
          </w:tcPr>
          <w:p w14:paraId="1BBEE83E" w14:textId="3F581A84" w:rsidR="004D6D05" w:rsidRPr="004D6D05" w:rsidRDefault="004D6D05" w:rsidP="004D6D05">
            <w:pPr>
              <w:jc w:val="right"/>
              <w:rPr>
                <w:rFonts w:cs="Calibri"/>
                <w:sz w:val="12"/>
                <w:szCs w:val="12"/>
              </w:rPr>
            </w:pPr>
            <w:r w:rsidRPr="004D6D05">
              <w:rPr>
                <w:rFonts w:cs="Calibri"/>
                <w:sz w:val="12"/>
                <w:szCs w:val="12"/>
              </w:rPr>
              <w:t>(5 443)</w:t>
            </w:r>
          </w:p>
        </w:tc>
        <w:tc>
          <w:tcPr>
            <w:tcW w:w="1418" w:type="dxa"/>
            <w:tcBorders>
              <w:top w:val="nil"/>
              <w:left w:val="nil"/>
              <w:bottom w:val="single" w:sz="8" w:space="0" w:color="0077BD"/>
              <w:right w:val="single" w:sz="4" w:space="0" w:color="0077BD"/>
            </w:tcBorders>
            <w:shd w:val="clear" w:color="auto" w:fill="auto"/>
            <w:noWrap/>
            <w:vAlign w:val="center"/>
            <w:hideMark/>
          </w:tcPr>
          <w:p w14:paraId="05E052F7" w14:textId="7B69C2FE" w:rsidR="004D6D05" w:rsidRPr="004D6D05" w:rsidRDefault="004D6D05" w:rsidP="004D6D05">
            <w:pPr>
              <w:jc w:val="right"/>
              <w:rPr>
                <w:rFonts w:cs="Calibri"/>
                <w:sz w:val="12"/>
                <w:szCs w:val="12"/>
              </w:rPr>
            </w:pPr>
            <w:r w:rsidRPr="004D6D05">
              <w:rPr>
                <w:rFonts w:cs="Calibri"/>
                <w:sz w:val="12"/>
                <w:szCs w:val="12"/>
              </w:rPr>
              <w:t>613</w:t>
            </w:r>
          </w:p>
        </w:tc>
        <w:tc>
          <w:tcPr>
            <w:tcW w:w="1418" w:type="dxa"/>
            <w:tcBorders>
              <w:top w:val="nil"/>
              <w:left w:val="nil"/>
              <w:bottom w:val="single" w:sz="8" w:space="0" w:color="0077BD"/>
              <w:right w:val="nil"/>
            </w:tcBorders>
            <w:shd w:val="clear" w:color="auto" w:fill="auto"/>
            <w:noWrap/>
            <w:vAlign w:val="center"/>
            <w:hideMark/>
          </w:tcPr>
          <w:p w14:paraId="09DB894D" w14:textId="4832A8CC" w:rsidR="004D6D05" w:rsidRPr="004D6D05" w:rsidRDefault="004D6D05" w:rsidP="004D6D05">
            <w:pPr>
              <w:jc w:val="right"/>
              <w:rPr>
                <w:rFonts w:cs="Calibri"/>
                <w:sz w:val="12"/>
                <w:szCs w:val="12"/>
              </w:rPr>
            </w:pPr>
            <w:r w:rsidRPr="004D6D05">
              <w:rPr>
                <w:rFonts w:cs="Calibri"/>
                <w:sz w:val="12"/>
                <w:szCs w:val="12"/>
              </w:rPr>
              <w:t>22 575</w:t>
            </w:r>
          </w:p>
        </w:tc>
      </w:tr>
      <w:tr w:rsidR="004D6D05" w:rsidRPr="004D6D05" w14:paraId="27EE2C73" w14:textId="77777777" w:rsidTr="00FD33F8">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16D0CCAE" w14:textId="77777777" w:rsidR="004D6D05" w:rsidRPr="004D6D05" w:rsidRDefault="004D6D05" w:rsidP="004D6D05">
            <w:pPr>
              <w:rPr>
                <w:rFonts w:cs="Calibri"/>
                <w:sz w:val="12"/>
                <w:szCs w:val="12"/>
              </w:rPr>
            </w:pPr>
            <w:r w:rsidRPr="004D6D05">
              <w:rPr>
                <w:rFonts w:cs="Calibri"/>
                <w:sz w:val="12"/>
                <w:szCs w:val="12"/>
              </w:rPr>
              <w:t>- odpis w koszty</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6348FF88" w14:textId="577C3BE8" w:rsidR="004D6D05" w:rsidRPr="004D6D05" w:rsidRDefault="004D6D05" w:rsidP="004D6D05">
            <w:pPr>
              <w:jc w:val="right"/>
              <w:rPr>
                <w:rFonts w:cs="Calibri"/>
                <w:sz w:val="12"/>
                <w:szCs w:val="12"/>
              </w:rPr>
            </w:pPr>
            <w:r w:rsidRPr="004D6D05">
              <w:rPr>
                <w:rFonts w:cs="Calibri"/>
                <w:sz w:val="12"/>
                <w:szCs w:val="12"/>
              </w:rPr>
              <w:t>19 544</w:t>
            </w:r>
          </w:p>
        </w:tc>
        <w:tc>
          <w:tcPr>
            <w:tcW w:w="1418" w:type="dxa"/>
            <w:tcBorders>
              <w:top w:val="nil"/>
              <w:left w:val="nil"/>
              <w:bottom w:val="single" w:sz="4" w:space="0" w:color="0077BD"/>
              <w:right w:val="single" w:sz="4" w:space="0" w:color="0077BD"/>
            </w:tcBorders>
            <w:shd w:val="clear" w:color="auto" w:fill="auto"/>
            <w:noWrap/>
            <w:vAlign w:val="center"/>
            <w:hideMark/>
          </w:tcPr>
          <w:p w14:paraId="027FF9D3" w14:textId="7E0FE035" w:rsidR="004D6D05" w:rsidRPr="004D6D05" w:rsidRDefault="004D6D05" w:rsidP="004D6D05">
            <w:pPr>
              <w:jc w:val="right"/>
              <w:rPr>
                <w:rFonts w:cs="Calibri"/>
                <w:sz w:val="12"/>
                <w:szCs w:val="12"/>
              </w:rPr>
            </w:pPr>
            <w:r w:rsidRPr="004D6D05">
              <w:rPr>
                <w:rFonts w:cs="Calibri"/>
                <w:sz w:val="12"/>
                <w:szCs w:val="12"/>
              </w:rPr>
              <w:t>3 431</w:t>
            </w:r>
          </w:p>
        </w:tc>
        <w:tc>
          <w:tcPr>
            <w:tcW w:w="1418" w:type="dxa"/>
            <w:tcBorders>
              <w:top w:val="nil"/>
              <w:left w:val="nil"/>
              <w:bottom w:val="single" w:sz="4" w:space="0" w:color="0077BD"/>
              <w:right w:val="single" w:sz="4" w:space="0" w:color="0077BD"/>
            </w:tcBorders>
            <w:shd w:val="clear" w:color="auto" w:fill="auto"/>
            <w:noWrap/>
            <w:vAlign w:val="center"/>
            <w:hideMark/>
          </w:tcPr>
          <w:p w14:paraId="029FB8F9" w14:textId="6259502D" w:rsidR="004D6D05" w:rsidRPr="004D6D05" w:rsidRDefault="004D6D05" w:rsidP="004D6D05">
            <w:pPr>
              <w:jc w:val="right"/>
              <w:rPr>
                <w:rFonts w:cs="Calibri"/>
                <w:sz w:val="12"/>
                <w:szCs w:val="12"/>
              </w:rPr>
            </w:pPr>
            <w:r w:rsidRPr="004D6D05">
              <w:rPr>
                <w:rFonts w:cs="Calibri"/>
                <w:sz w:val="12"/>
                <w:szCs w:val="12"/>
              </w:rPr>
              <w:t>613</w:t>
            </w:r>
          </w:p>
        </w:tc>
        <w:tc>
          <w:tcPr>
            <w:tcW w:w="1418" w:type="dxa"/>
            <w:tcBorders>
              <w:top w:val="nil"/>
              <w:left w:val="nil"/>
              <w:bottom w:val="single" w:sz="4" w:space="0" w:color="0077BD"/>
              <w:right w:val="nil"/>
            </w:tcBorders>
            <w:shd w:val="clear" w:color="auto" w:fill="auto"/>
            <w:noWrap/>
            <w:vAlign w:val="center"/>
            <w:hideMark/>
          </w:tcPr>
          <w:p w14:paraId="4487C71B" w14:textId="32A722F7" w:rsidR="004D6D05" w:rsidRPr="004D6D05" w:rsidRDefault="004D6D05" w:rsidP="004D6D05">
            <w:pPr>
              <w:jc w:val="right"/>
              <w:rPr>
                <w:rFonts w:cs="Calibri"/>
                <w:sz w:val="12"/>
                <w:szCs w:val="12"/>
              </w:rPr>
            </w:pPr>
            <w:r w:rsidRPr="004D6D05">
              <w:rPr>
                <w:rFonts w:cs="Calibri"/>
                <w:sz w:val="12"/>
                <w:szCs w:val="12"/>
              </w:rPr>
              <w:t>27 890</w:t>
            </w:r>
          </w:p>
        </w:tc>
      </w:tr>
      <w:tr w:rsidR="004D6D05" w:rsidRPr="004D6D05" w14:paraId="079EE159" w14:textId="77777777" w:rsidTr="00FD33F8">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772BFB36" w14:textId="77777777" w:rsidR="004D6D05" w:rsidRPr="004D6D05" w:rsidRDefault="004D6D05" w:rsidP="004D6D05">
            <w:pPr>
              <w:rPr>
                <w:rFonts w:cs="Calibri"/>
                <w:sz w:val="12"/>
                <w:szCs w:val="12"/>
              </w:rPr>
            </w:pPr>
            <w:r w:rsidRPr="004D6D05">
              <w:rPr>
                <w:rFonts w:cs="Calibri"/>
                <w:sz w:val="12"/>
                <w:szCs w:val="12"/>
              </w:rPr>
              <w:t>- rozwiązanie rezerw</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6D5132BC" w14:textId="65E6C14F"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noWrap/>
            <w:vAlign w:val="center"/>
            <w:hideMark/>
          </w:tcPr>
          <w:p w14:paraId="5F145AB2" w14:textId="7FC6608B" w:rsidR="004D6D05" w:rsidRPr="004D6D05" w:rsidRDefault="004D6D05" w:rsidP="004D6D05">
            <w:pPr>
              <w:jc w:val="right"/>
              <w:rPr>
                <w:rFonts w:cs="Calibri"/>
                <w:sz w:val="12"/>
                <w:szCs w:val="12"/>
              </w:rPr>
            </w:pPr>
            <w:r w:rsidRPr="004D6D05">
              <w:rPr>
                <w:rFonts w:cs="Calibri"/>
                <w:sz w:val="12"/>
                <w:szCs w:val="12"/>
              </w:rPr>
              <w:t>(2 626)</w:t>
            </w:r>
          </w:p>
        </w:tc>
        <w:tc>
          <w:tcPr>
            <w:tcW w:w="1418" w:type="dxa"/>
            <w:tcBorders>
              <w:top w:val="nil"/>
              <w:left w:val="nil"/>
              <w:bottom w:val="single" w:sz="4" w:space="0" w:color="0077BD"/>
              <w:right w:val="single" w:sz="4" w:space="0" w:color="0077BD"/>
            </w:tcBorders>
            <w:shd w:val="clear" w:color="auto" w:fill="auto"/>
            <w:noWrap/>
            <w:vAlign w:val="center"/>
            <w:hideMark/>
          </w:tcPr>
          <w:p w14:paraId="2AE83702" w14:textId="6509577F" w:rsidR="004D6D05" w:rsidRPr="004D6D05" w:rsidRDefault="004D6D05" w:rsidP="004D6D05">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nil"/>
            </w:tcBorders>
            <w:shd w:val="clear" w:color="auto" w:fill="auto"/>
            <w:noWrap/>
            <w:vAlign w:val="center"/>
            <w:hideMark/>
          </w:tcPr>
          <w:p w14:paraId="29930120" w14:textId="57C825EF" w:rsidR="004D6D05" w:rsidRPr="004D6D05" w:rsidRDefault="004D6D05" w:rsidP="004D6D05">
            <w:pPr>
              <w:jc w:val="right"/>
              <w:rPr>
                <w:rFonts w:cs="Calibri"/>
                <w:sz w:val="12"/>
                <w:szCs w:val="12"/>
              </w:rPr>
            </w:pPr>
            <w:r w:rsidRPr="004D6D05">
              <w:rPr>
                <w:rFonts w:cs="Calibri"/>
                <w:sz w:val="12"/>
                <w:szCs w:val="12"/>
              </w:rPr>
              <w:t>(649)</w:t>
            </w:r>
          </w:p>
        </w:tc>
      </w:tr>
      <w:tr w:rsidR="0051767B" w:rsidRPr="004D6D05" w14:paraId="27ECEBB1" w14:textId="77777777" w:rsidTr="00FD33F8">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7537DA10" w14:textId="77777777" w:rsidR="0051767B" w:rsidRPr="004D6D05" w:rsidRDefault="0051767B" w:rsidP="0051767B">
            <w:pPr>
              <w:rPr>
                <w:rFonts w:cs="Calibri"/>
                <w:sz w:val="12"/>
                <w:szCs w:val="12"/>
              </w:rPr>
            </w:pPr>
            <w:r w:rsidRPr="004D6D05">
              <w:rPr>
                <w:rFonts w:cs="Calibri"/>
                <w:sz w:val="12"/>
                <w:szCs w:val="12"/>
              </w:rPr>
              <w:t>- spisanie w ciężar utworzonej rezerwy</w:t>
            </w:r>
          </w:p>
        </w:tc>
        <w:tc>
          <w:tcPr>
            <w:tcW w:w="1418" w:type="dxa"/>
            <w:tcBorders>
              <w:top w:val="nil"/>
              <w:left w:val="single" w:sz="4" w:space="0" w:color="0077BD"/>
              <w:bottom w:val="single" w:sz="4" w:space="0" w:color="0077BD"/>
              <w:right w:val="single" w:sz="4" w:space="0" w:color="0077BD"/>
            </w:tcBorders>
            <w:shd w:val="clear" w:color="auto" w:fill="auto"/>
            <w:noWrap/>
            <w:vAlign w:val="center"/>
            <w:hideMark/>
          </w:tcPr>
          <w:p w14:paraId="7AB583A2" w14:textId="432DEC2A" w:rsidR="0051767B" w:rsidRPr="004D6D05" w:rsidRDefault="0051767B" w:rsidP="0051767B">
            <w:pPr>
              <w:jc w:val="right"/>
              <w:rPr>
                <w:rFonts w:cs="Calibri"/>
                <w:sz w:val="12"/>
                <w:szCs w:val="12"/>
              </w:rPr>
            </w:pPr>
            <w:r w:rsidRPr="004D6D05">
              <w:rPr>
                <w:rFonts w:cs="Calibri"/>
                <w:sz w:val="12"/>
                <w:szCs w:val="12"/>
              </w:rPr>
              <w:t>(3 714)</w:t>
            </w:r>
          </w:p>
        </w:tc>
        <w:tc>
          <w:tcPr>
            <w:tcW w:w="1418" w:type="dxa"/>
            <w:tcBorders>
              <w:top w:val="nil"/>
              <w:left w:val="nil"/>
              <w:bottom w:val="single" w:sz="4" w:space="0" w:color="0077BD"/>
              <w:right w:val="single" w:sz="4" w:space="0" w:color="0077BD"/>
            </w:tcBorders>
            <w:shd w:val="clear" w:color="auto" w:fill="auto"/>
            <w:noWrap/>
            <w:vAlign w:val="center"/>
            <w:hideMark/>
          </w:tcPr>
          <w:p w14:paraId="2087C661" w14:textId="00F8C2D7" w:rsidR="0051767B" w:rsidRPr="004D6D05" w:rsidRDefault="0051767B" w:rsidP="0051767B">
            <w:pPr>
              <w:jc w:val="right"/>
              <w:rPr>
                <w:rFonts w:cs="Calibri"/>
                <w:sz w:val="12"/>
                <w:szCs w:val="12"/>
              </w:rPr>
            </w:pPr>
            <w:r w:rsidRPr="004D6D05">
              <w:rPr>
                <w:rFonts w:cs="Calibri"/>
                <w:sz w:val="12"/>
                <w:szCs w:val="12"/>
              </w:rPr>
              <w:t>(6 248)</w:t>
            </w:r>
          </w:p>
        </w:tc>
        <w:tc>
          <w:tcPr>
            <w:tcW w:w="1418" w:type="dxa"/>
            <w:tcBorders>
              <w:top w:val="nil"/>
              <w:left w:val="nil"/>
              <w:bottom w:val="single" w:sz="4" w:space="0" w:color="0077BD"/>
              <w:right w:val="single" w:sz="4" w:space="0" w:color="0077BD"/>
            </w:tcBorders>
            <w:shd w:val="clear" w:color="auto" w:fill="auto"/>
            <w:noWrap/>
            <w:vAlign w:val="center"/>
            <w:hideMark/>
          </w:tcPr>
          <w:p w14:paraId="13D239B4" w14:textId="2C55FC7E" w:rsidR="0051767B" w:rsidRPr="004D6D05" w:rsidRDefault="0051767B" w:rsidP="0051767B">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nil"/>
            </w:tcBorders>
            <w:shd w:val="clear" w:color="auto" w:fill="auto"/>
            <w:noWrap/>
            <w:vAlign w:val="center"/>
            <w:hideMark/>
          </w:tcPr>
          <w:p w14:paraId="02FC664B" w14:textId="79470BDA" w:rsidR="0051767B" w:rsidRPr="004D6D05" w:rsidRDefault="0051767B" w:rsidP="0051767B">
            <w:pPr>
              <w:jc w:val="right"/>
              <w:rPr>
                <w:rFonts w:cs="Calibri"/>
                <w:sz w:val="12"/>
                <w:szCs w:val="12"/>
              </w:rPr>
            </w:pPr>
            <w:r w:rsidRPr="004D6D05">
              <w:rPr>
                <w:rFonts w:cs="Calibri"/>
                <w:sz w:val="12"/>
                <w:szCs w:val="12"/>
              </w:rPr>
              <w:t>(4 700)</w:t>
            </w:r>
          </w:p>
        </w:tc>
      </w:tr>
      <w:tr w:rsidR="004D6D05" w:rsidRPr="004D6D05" w14:paraId="4ACE2C42" w14:textId="77777777" w:rsidTr="00FD33F8">
        <w:trPr>
          <w:trHeight w:val="284"/>
        </w:trPr>
        <w:tc>
          <w:tcPr>
            <w:tcW w:w="3969" w:type="dxa"/>
            <w:tcBorders>
              <w:top w:val="nil"/>
              <w:left w:val="nil"/>
              <w:bottom w:val="single" w:sz="4" w:space="0" w:color="0077BD"/>
              <w:right w:val="single" w:sz="4" w:space="0" w:color="0077BD"/>
            </w:tcBorders>
            <w:shd w:val="clear" w:color="auto" w:fill="auto"/>
            <w:vAlign w:val="center"/>
            <w:hideMark/>
          </w:tcPr>
          <w:p w14:paraId="18EFDD88" w14:textId="77777777" w:rsidR="004D6D05" w:rsidRPr="004D6D05" w:rsidRDefault="004D6D05" w:rsidP="00FD33F8">
            <w:pPr>
              <w:rPr>
                <w:rFonts w:cs="Calibri"/>
                <w:sz w:val="12"/>
                <w:szCs w:val="12"/>
              </w:rPr>
            </w:pPr>
            <w:r w:rsidRPr="004D6D05">
              <w:rPr>
                <w:rFonts w:cs="Calibri"/>
                <w:sz w:val="12"/>
                <w:szCs w:val="12"/>
              </w:rPr>
              <w:t>- różnice kursowe</w:t>
            </w:r>
          </w:p>
        </w:tc>
        <w:tc>
          <w:tcPr>
            <w:tcW w:w="1418" w:type="dxa"/>
            <w:tcBorders>
              <w:top w:val="nil"/>
              <w:left w:val="nil"/>
              <w:bottom w:val="single" w:sz="4" w:space="0" w:color="0077BD"/>
              <w:right w:val="single" w:sz="4" w:space="0" w:color="0077BD"/>
            </w:tcBorders>
            <w:shd w:val="clear" w:color="auto" w:fill="auto"/>
            <w:vAlign w:val="center"/>
            <w:hideMark/>
          </w:tcPr>
          <w:p w14:paraId="45126812" w14:textId="474D17F1" w:rsidR="004D6D05" w:rsidRPr="004D6D05" w:rsidRDefault="001E4F6C" w:rsidP="00FD33F8">
            <w:pPr>
              <w:jc w:val="right"/>
              <w:rPr>
                <w:rFonts w:cs="Calibri"/>
                <w:sz w:val="12"/>
                <w:szCs w:val="12"/>
              </w:rPr>
            </w:pPr>
            <w:r>
              <w:rPr>
                <w:rFonts w:cs="Calibri"/>
                <w:sz w:val="12"/>
                <w:szCs w:val="12"/>
              </w:rPr>
              <w:t>39</w:t>
            </w:r>
          </w:p>
        </w:tc>
        <w:tc>
          <w:tcPr>
            <w:tcW w:w="1418" w:type="dxa"/>
            <w:tcBorders>
              <w:top w:val="nil"/>
              <w:left w:val="nil"/>
              <w:bottom w:val="single" w:sz="4" w:space="0" w:color="0077BD"/>
              <w:right w:val="single" w:sz="4" w:space="0" w:color="0077BD"/>
            </w:tcBorders>
            <w:shd w:val="clear" w:color="auto" w:fill="auto"/>
            <w:vAlign w:val="center"/>
            <w:hideMark/>
          </w:tcPr>
          <w:p w14:paraId="6E2F672F" w14:textId="77777777" w:rsidR="004D6D05" w:rsidRPr="004D6D05" w:rsidRDefault="004D6D05" w:rsidP="00FD33F8">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single" w:sz="4" w:space="0" w:color="0077BD"/>
            </w:tcBorders>
            <w:shd w:val="clear" w:color="auto" w:fill="auto"/>
            <w:vAlign w:val="center"/>
            <w:hideMark/>
          </w:tcPr>
          <w:p w14:paraId="2B965E73" w14:textId="77777777" w:rsidR="004D6D05" w:rsidRPr="004D6D05" w:rsidRDefault="004D6D05" w:rsidP="00FD33F8">
            <w:pPr>
              <w:jc w:val="right"/>
              <w:rPr>
                <w:rFonts w:cs="Calibri"/>
                <w:sz w:val="12"/>
                <w:szCs w:val="12"/>
              </w:rPr>
            </w:pPr>
            <w:r w:rsidRPr="004D6D05">
              <w:rPr>
                <w:rFonts w:cs="Calibri"/>
                <w:sz w:val="12"/>
                <w:szCs w:val="12"/>
              </w:rPr>
              <w:t>-</w:t>
            </w:r>
          </w:p>
        </w:tc>
        <w:tc>
          <w:tcPr>
            <w:tcW w:w="1418" w:type="dxa"/>
            <w:tcBorders>
              <w:top w:val="nil"/>
              <w:left w:val="nil"/>
              <w:bottom w:val="single" w:sz="4" w:space="0" w:color="0077BD"/>
              <w:right w:val="nil"/>
            </w:tcBorders>
            <w:shd w:val="clear" w:color="auto" w:fill="auto"/>
            <w:vAlign w:val="center"/>
            <w:hideMark/>
          </w:tcPr>
          <w:p w14:paraId="42B23CAA" w14:textId="6891213D" w:rsidR="004D6D05" w:rsidRPr="004D6D05" w:rsidRDefault="004D6D05" w:rsidP="00FD33F8">
            <w:pPr>
              <w:jc w:val="right"/>
              <w:rPr>
                <w:rFonts w:cs="Calibri"/>
                <w:sz w:val="12"/>
                <w:szCs w:val="12"/>
              </w:rPr>
            </w:pPr>
            <w:r>
              <w:rPr>
                <w:rFonts w:cs="Calibri"/>
                <w:sz w:val="12"/>
                <w:szCs w:val="12"/>
              </w:rPr>
              <w:t>34</w:t>
            </w:r>
          </w:p>
        </w:tc>
      </w:tr>
      <w:tr w:rsidR="001E4F6C" w:rsidRPr="004D6D05" w14:paraId="0AD0484B" w14:textId="77777777" w:rsidTr="00FD33F8">
        <w:trPr>
          <w:trHeight w:val="284"/>
        </w:trPr>
        <w:tc>
          <w:tcPr>
            <w:tcW w:w="3969" w:type="dxa"/>
            <w:tcBorders>
              <w:top w:val="single" w:sz="8" w:space="0" w:color="0077BD"/>
              <w:left w:val="nil"/>
              <w:bottom w:val="single" w:sz="8" w:space="0" w:color="0077BD"/>
              <w:right w:val="single" w:sz="4" w:space="0" w:color="0077BD"/>
            </w:tcBorders>
            <w:shd w:val="clear" w:color="auto" w:fill="auto"/>
            <w:vAlign w:val="center"/>
            <w:hideMark/>
          </w:tcPr>
          <w:p w14:paraId="6284CC65" w14:textId="77777777" w:rsidR="001E4F6C" w:rsidRPr="004D6D05" w:rsidRDefault="001E4F6C" w:rsidP="001E4F6C">
            <w:pPr>
              <w:rPr>
                <w:rFonts w:cs="Calibri"/>
                <w:b/>
                <w:bCs/>
                <w:sz w:val="12"/>
                <w:szCs w:val="12"/>
              </w:rPr>
            </w:pPr>
            <w:r w:rsidRPr="004D6D05">
              <w:rPr>
                <w:rFonts w:cs="Calibri"/>
                <w:b/>
                <w:bCs/>
                <w:sz w:val="12"/>
                <w:szCs w:val="12"/>
              </w:rPr>
              <w:t>Stan rezerw na koniec okresu</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1BA23887" w14:textId="747408D5" w:rsidR="001E4F6C" w:rsidRPr="004D6D05" w:rsidRDefault="001E4F6C" w:rsidP="001E4F6C">
            <w:pPr>
              <w:jc w:val="right"/>
              <w:rPr>
                <w:rFonts w:cs="Calibri"/>
                <w:b/>
                <w:bCs/>
                <w:sz w:val="12"/>
                <w:szCs w:val="12"/>
              </w:rPr>
            </w:pPr>
            <w:r w:rsidRPr="004D6D05">
              <w:rPr>
                <w:rFonts w:cs="Calibri"/>
                <w:b/>
                <w:bCs/>
                <w:sz w:val="12"/>
                <w:szCs w:val="12"/>
              </w:rPr>
              <w:t>30 565</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395F53DB" w14:textId="343F44FC" w:rsidR="001E4F6C" w:rsidRPr="004D6D05" w:rsidRDefault="001E4F6C" w:rsidP="001E4F6C">
            <w:pPr>
              <w:jc w:val="right"/>
              <w:rPr>
                <w:rFonts w:cs="Calibri"/>
                <w:b/>
                <w:bCs/>
                <w:sz w:val="12"/>
                <w:szCs w:val="12"/>
              </w:rPr>
            </w:pPr>
            <w:r w:rsidRPr="004D6D05">
              <w:rPr>
                <w:rFonts w:cs="Calibri"/>
                <w:b/>
                <w:bCs/>
                <w:sz w:val="12"/>
                <w:szCs w:val="12"/>
              </w:rPr>
              <w:t>67 258</w:t>
            </w:r>
          </w:p>
        </w:tc>
        <w:tc>
          <w:tcPr>
            <w:tcW w:w="1418" w:type="dxa"/>
            <w:tcBorders>
              <w:top w:val="single" w:sz="8" w:space="0" w:color="0077BD"/>
              <w:left w:val="nil"/>
              <w:bottom w:val="single" w:sz="8" w:space="0" w:color="0077BD"/>
              <w:right w:val="single" w:sz="4" w:space="0" w:color="0077BD"/>
            </w:tcBorders>
            <w:shd w:val="clear" w:color="auto" w:fill="auto"/>
            <w:noWrap/>
            <w:vAlign w:val="center"/>
            <w:hideMark/>
          </w:tcPr>
          <w:p w14:paraId="1920D6F9" w14:textId="771D2F97" w:rsidR="001E4F6C" w:rsidRPr="004D6D05" w:rsidRDefault="001E4F6C" w:rsidP="001E4F6C">
            <w:pPr>
              <w:jc w:val="right"/>
              <w:rPr>
                <w:rFonts w:cs="Calibri"/>
                <w:b/>
                <w:bCs/>
                <w:sz w:val="12"/>
                <w:szCs w:val="12"/>
              </w:rPr>
            </w:pPr>
            <w:r w:rsidRPr="004D6D05">
              <w:rPr>
                <w:rFonts w:cs="Calibri"/>
                <w:b/>
                <w:bCs/>
                <w:sz w:val="12"/>
                <w:szCs w:val="12"/>
              </w:rPr>
              <w:t>8 498</w:t>
            </w:r>
          </w:p>
        </w:tc>
        <w:tc>
          <w:tcPr>
            <w:tcW w:w="1418" w:type="dxa"/>
            <w:tcBorders>
              <w:top w:val="single" w:sz="8" w:space="0" w:color="0077BD"/>
              <w:left w:val="nil"/>
              <w:bottom w:val="single" w:sz="8" w:space="0" w:color="0077BD"/>
              <w:right w:val="nil"/>
            </w:tcBorders>
            <w:shd w:val="clear" w:color="auto" w:fill="auto"/>
            <w:noWrap/>
            <w:vAlign w:val="center"/>
            <w:hideMark/>
          </w:tcPr>
          <w:p w14:paraId="1BE3BCD7" w14:textId="625E4263" w:rsidR="001E4F6C" w:rsidRPr="004D6D05" w:rsidRDefault="001E4F6C" w:rsidP="001E4F6C">
            <w:pPr>
              <w:jc w:val="right"/>
              <w:rPr>
                <w:rFonts w:cs="Calibri"/>
                <w:b/>
                <w:bCs/>
                <w:sz w:val="12"/>
                <w:szCs w:val="12"/>
              </w:rPr>
            </w:pPr>
            <w:r w:rsidRPr="004D6D05">
              <w:rPr>
                <w:rFonts w:cs="Calibri"/>
                <w:b/>
                <w:bCs/>
                <w:sz w:val="12"/>
                <w:szCs w:val="12"/>
              </w:rPr>
              <w:t>42 553</w:t>
            </w:r>
          </w:p>
        </w:tc>
      </w:tr>
    </w:tbl>
    <w:p w14:paraId="2F9A99A6" w14:textId="77777777" w:rsidR="002C2105" w:rsidRDefault="002C2105" w:rsidP="00D63A49">
      <w:pPr>
        <w:spacing w:before="120" w:after="120"/>
        <w:jc w:val="both"/>
        <w:rPr>
          <w:rFonts w:cs="Tahoma"/>
          <w:b/>
          <w:color w:val="000000" w:themeColor="text1"/>
          <w:sz w:val="18"/>
          <w:szCs w:val="18"/>
        </w:rPr>
      </w:pPr>
    </w:p>
    <w:p w14:paraId="38D1919C" w14:textId="77777777" w:rsidR="002C2105" w:rsidRDefault="002C2105">
      <w:pPr>
        <w:rPr>
          <w:rFonts w:cs="Tahoma"/>
          <w:b/>
          <w:color w:val="000000" w:themeColor="text1"/>
          <w:sz w:val="18"/>
          <w:szCs w:val="18"/>
        </w:rPr>
      </w:pPr>
      <w:r>
        <w:rPr>
          <w:rFonts w:cs="Tahoma"/>
          <w:b/>
          <w:color w:val="000000" w:themeColor="text1"/>
          <w:sz w:val="18"/>
          <w:szCs w:val="18"/>
        </w:rPr>
        <w:br w:type="page"/>
      </w:r>
    </w:p>
    <w:p w14:paraId="18983583" w14:textId="59053BBC" w:rsidR="003A40D9" w:rsidRPr="00BB7C9E" w:rsidRDefault="003A40D9" w:rsidP="00D63A49">
      <w:pPr>
        <w:spacing w:before="120" w:after="120"/>
        <w:jc w:val="both"/>
        <w:rPr>
          <w:rFonts w:cs="Tahoma"/>
          <w:b/>
          <w:color w:val="000000" w:themeColor="text1"/>
          <w:sz w:val="18"/>
          <w:szCs w:val="18"/>
        </w:rPr>
      </w:pPr>
      <w:r w:rsidRPr="00BB7C9E">
        <w:rPr>
          <w:rFonts w:cs="Tahoma"/>
          <w:b/>
          <w:color w:val="000000" w:themeColor="text1"/>
          <w:sz w:val="18"/>
          <w:szCs w:val="18"/>
        </w:rPr>
        <w:lastRenderedPageBreak/>
        <w:t>Zmiana stanu rezerw na zobowiązania do udzielenia kredytu, gwarancje i inne produkty finansowe oraz pozostałe zobowiązania</w:t>
      </w:r>
    </w:p>
    <w:tbl>
      <w:tblPr>
        <w:tblW w:w="9576" w:type="dxa"/>
        <w:tblLayout w:type="fixed"/>
        <w:tblCellMar>
          <w:left w:w="28" w:type="dxa"/>
          <w:right w:w="28" w:type="dxa"/>
        </w:tblCellMar>
        <w:tblLook w:val="04A0" w:firstRow="1" w:lastRow="0" w:firstColumn="1" w:lastColumn="0" w:noHBand="0" w:noVBand="1"/>
      </w:tblPr>
      <w:tblGrid>
        <w:gridCol w:w="1408"/>
        <w:gridCol w:w="1021"/>
        <w:gridCol w:w="1021"/>
        <w:gridCol w:w="1021"/>
        <w:gridCol w:w="1021"/>
        <w:gridCol w:w="1021"/>
        <w:gridCol w:w="1021"/>
        <w:gridCol w:w="1021"/>
        <w:gridCol w:w="1021"/>
      </w:tblGrid>
      <w:tr w:rsidR="00190BD3" w:rsidRPr="00E63782" w14:paraId="352B2970" w14:textId="77777777" w:rsidTr="00030EAA">
        <w:trPr>
          <w:trHeight w:val="737"/>
        </w:trPr>
        <w:tc>
          <w:tcPr>
            <w:tcW w:w="1408" w:type="dxa"/>
            <w:tcBorders>
              <w:top w:val="single" w:sz="8" w:space="0" w:color="FFFFFF"/>
              <w:left w:val="single" w:sz="8" w:space="0" w:color="FFFFFF"/>
              <w:bottom w:val="single" w:sz="4" w:space="0" w:color="FFFFFF"/>
              <w:right w:val="single" w:sz="8" w:space="0" w:color="FFFFFF"/>
            </w:tcBorders>
            <w:shd w:val="clear" w:color="000000" w:fill="0077BD"/>
            <w:vAlign w:val="center"/>
            <w:hideMark/>
          </w:tcPr>
          <w:p w14:paraId="23F89553" w14:textId="6005BA79" w:rsidR="00190BD3" w:rsidRPr="00E63782" w:rsidRDefault="00190BD3" w:rsidP="00B0129E">
            <w:pPr>
              <w:rPr>
                <w:rFonts w:cs="Calibri"/>
                <w:b/>
                <w:bCs/>
                <w:color w:val="FFFFFF"/>
                <w:sz w:val="11"/>
                <w:szCs w:val="11"/>
              </w:rPr>
            </w:pPr>
            <w:r>
              <w:rPr>
                <w:rFonts w:cs="Calibri"/>
                <w:b/>
                <w:bCs/>
                <w:color w:val="FFFFFF"/>
                <w:sz w:val="11"/>
                <w:szCs w:val="11"/>
              </w:rPr>
              <w:t>Okres od 1 stycznia do 31 grudnia 2019 r.</w:t>
            </w:r>
          </w:p>
        </w:tc>
        <w:tc>
          <w:tcPr>
            <w:tcW w:w="1021" w:type="dxa"/>
            <w:tcBorders>
              <w:top w:val="single" w:sz="8" w:space="0" w:color="FFFFFF"/>
              <w:left w:val="nil"/>
              <w:bottom w:val="single" w:sz="4" w:space="0" w:color="FFFFFF"/>
              <w:right w:val="single" w:sz="8" w:space="0" w:color="FFFFFF"/>
            </w:tcBorders>
            <w:shd w:val="clear" w:color="000000" w:fill="0077BD"/>
            <w:vAlign w:val="center"/>
            <w:hideMark/>
          </w:tcPr>
          <w:p w14:paraId="128561A1"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Bilans otwarcia</w:t>
            </w:r>
          </w:p>
        </w:tc>
        <w:tc>
          <w:tcPr>
            <w:tcW w:w="1021" w:type="dxa"/>
            <w:tcBorders>
              <w:top w:val="single" w:sz="8" w:space="0" w:color="FFFFFF"/>
              <w:left w:val="nil"/>
              <w:bottom w:val="single" w:sz="4" w:space="0" w:color="FFFFFF"/>
              <w:right w:val="single" w:sz="8" w:space="0" w:color="FFFFFF"/>
            </w:tcBorders>
            <w:shd w:val="clear" w:color="000000" w:fill="0077BD"/>
            <w:vAlign w:val="center"/>
            <w:hideMark/>
          </w:tcPr>
          <w:p w14:paraId="21FF141D"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Transfer do Koszyka 1</w:t>
            </w:r>
          </w:p>
        </w:tc>
        <w:tc>
          <w:tcPr>
            <w:tcW w:w="1021" w:type="dxa"/>
            <w:tcBorders>
              <w:top w:val="single" w:sz="8" w:space="0" w:color="FFFFFF"/>
              <w:left w:val="nil"/>
              <w:bottom w:val="single" w:sz="4" w:space="0" w:color="FFFFFF"/>
              <w:right w:val="single" w:sz="8" w:space="0" w:color="FFFFFF"/>
            </w:tcBorders>
            <w:shd w:val="clear" w:color="000000" w:fill="0077BD"/>
            <w:vAlign w:val="center"/>
            <w:hideMark/>
          </w:tcPr>
          <w:p w14:paraId="51B35FF8"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Transfer do Koszyka 2</w:t>
            </w:r>
          </w:p>
        </w:tc>
        <w:tc>
          <w:tcPr>
            <w:tcW w:w="1021" w:type="dxa"/>
            <w:tcBorders>
              <w:top w:val="single" w:sz="8" w:space="0" w:color="FFFFFF"/>
              <w:left w:val="nil"/>
              <w:bottom w:val="single" w:sz="4" w:space="0" w:color="FFFFFF"/>
              <w:right w:val="single" w:sz="8" w:space="0" w:color="FFFFFF"/>
            </w:tcBorders>
            <w:shd w:val="clear" w:color="000000" w:fill="0077BD"/>
            <w:vAlign w:val="center"/>
            <w:hideMark/>
          </w:tcPr>
          <w:p w14:paraId="69759937"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Transfer do Koszyka 3</w:t>
            </w:r>
          </w:p>
        </w:tc>
        <w:tc>
          <w:tcPr>
            <w:tcW w:w="1021" w:type="dxa"/>
            <w:tcBorders>
              <w:top w:val="single" w:sz="8" w:space="0" w:color="FFFFFF"/>
              <w:left w:val="nil"/>
              <w:right w:val="single" w:sz="8" w:space="0" w:color="FFFFFF"/>
            </w:tcBorders>
            <w:shd w:val="clear" w:color="000000" w:fill="0077BD"/>
            <w:vAlign w:val="center"/>
            <w:hideMark/>
          </w:tcPr>
          <w:p w14:paraId="5F83B0F0"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Zwiększenia spowodowane udzieleniem oraz przejęciem</w:t>
            </w:r>
          </w:p>
        </w:tc>
        <w:tc>
          <w:tcPr>
            <w:tcW w:w="1021" w:type="dxa"/>
            <w:tcBorders>
              <w:top w:val="single" w:sz="8" w:space="0" w:color="FFFFFF"/>
              <w:left w:val="nil"/>
              <w:right w:val="single" w:sz="8" w:space="0" w:color="FFFFFF"/>
            </w:tcBorders>
            <w:shd w:val="clear" w:color="000000" w:fill="0077BD"/>
            <w:vAlign w:val="center"/>
            <w:hideMark/>
          </w:tcPr>
          <w:p w14:paraId="5A27DED9"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Zmniejszenia spowodowane usunięciem z bilansu</w:t>
            </w:r>
          </w:p>
        </w:tc>
        <w:tc>
          <w:tcPr>
            <w:tcW w:w="1021" w:type="dxa"/>
            <w:tcBorders>
              <w:top w:val="single" w:sz="8" w:space="0" w:color="FFFFFF"/>
              <w:left w:val="nil"/>
              <w:right w:val="single" w:sz="8" w:space="0" w:color="FFFFFF"/>
            </w:tcBorders>
            <w:shd w:val="clear" w:color="000000" w:fill="0077BD"/>
            <w:vAlign w:val="center"/>
            <w:hideMark/>
          </w:tcPr>
          <w:p w14:paraId="469D07BE" w14:textId="77777777" w:rsidR="00190BD3" w:rsidRPr="00E63782" w:rsidRDefault="00190BD3" w:rsidP="00B0129E">
            <w:pPr>
              <w:jc w:val="center"/>
              <w:rPr>
                <w:rFonts w:cs="Calibri"/>
                <w:b/>
                <w:bCs/>
                <w:color w:val="FFFFFF"/>
                <w:sz w:val="11"/>
                <w:szCs w:val="11"/>
              </w:rPr>
            </w:pPr>
            <w:r w:rsidRPr="00E63782">
              <w:rPr>
                <w:rFonts w:cs="Calibri"/>
                <w:b/>
                <w:bCs/>
                <w:color w:val="FFFFFF"/>
                <w:sz w:val="11"/>
                <w:szCs w:val="11"/>
              </w:rPr>
              <w:t>Zmiany spowodowane zmianą ryzyka kredytowego (netto)</w:t>
            </w:r>
          </w:p>
        </w:tc>
        <w:tc>
          <w:tcPr>
            <w:tcW w:w="1021" w:type="dxa"/>
            <w:tcBorders>
              <w:top w:val="single" w:sz="8" w:space="0" w:color="FFFFFF"/>
              <w:left w:val="single" w:sz="6" w:space="0" w:color="FFFFFF"/>
              <w:bottom w:val="single" w:sz="4" w:space="0" w:color="FFFFFF"/>
              <w:right w:val="nil"/>
            </w:tcBorders>
            <w:shd w:val="clear" w:color="000000" w:fill="0077BD"/>
            <w:vAlign w:val="center"/>
            <w:hideMark/>
          </w:tcPr>
          <w:p w14:paraId="113EE6DB" w14:textId="56FA61FB" w:rsidR="00190BD3" w:rsidRPr="00E63782" w:rsidRDefault="00190BD3" w:rsidP="00B0129E">
            <w:pPr>
              <w:jc w:val="center"/>
              <w:rPr>
                <w:rFonts w:cs="Calibri"/>
                <w:b/>
                <w:bCs/>
                <w:color w:val="FFFFFF"/>
                <w:sz w:val="11"/>
                <w:szCs w:val="11"/>
              </w:rPr>
            </w:pPr>
            <w:r w:rsidRPr="00E63782">
              <w:rPr>
                <w:rFonts w:cs="Calibri"/>
                <w:b/>
                <w:bCs/>
                <w:color w:val="FFFFFF"/>
                <w:sz w:val="11"/>
                <w:szCs w:val="11"/>
              </w:rPr>
              <w:t>Bilans zamknięcia</w:t>
            </w:r>
          </w:p>
        </w:tc>
      </w:tr>
      <w:tr w:rsidR="001B0EE5" w:rsidRPr="00BB7C9E" w14:paraId="43B70D54" w14:textId="77777777" w:rsidTr="00030EAA">
        <w:trPr>
          <w:trHeight w:val="312"/>
        </w:trPr>
        <w:tc>
          <w:tcPr>
            <w:tcW w:w="1408" w:type="dxa"/>
            <w:tcBorders>
              <w:top w:val="single" w:sz="4" w:space="0" w:color="FFFFFF"/>
              <w:left w:val="single" w:sz="4" w:space="0" w:color="FFFFFF"/>
              <w:bottom w:val="single" w:sz="8" w:space="0" w:color="0077BD"/>
              <w:right w:val="nil"/>
            </w:tcBorders>
            <w:shd w:val="clear" w:color="auto" w:fill="auto"/>
            <w:vAlign w:val="center"/>
            <w:hideMark/>
          </w:tcPr>
          <w:p w14:paraId="53E18B46" w14:textId="77777777" w:rsidR="001B0EE5" w:rsidRPr="00BB7C9E" w:rsidRDefault="001B0EE5" w:rsidP="001B0EE5">
            <w:pPr>
              <w:rPr>
                <w:rFonts w:cs="Calibri"/>
                <w:b/>
                <w:bCs/>
                <w:color w:val="000000" w:themeColor="text1"/>
                <w:sz w:val="11"/>
                <w:szCs w:val="11"/>
              </w:rPr>
            </w:pPr>
            <w:r w:rsidRPr="00BB7C9E">
              <w:rPr>
                <w:rFonts w:cs="Calibri"/>
                <w:b/>
                <w:bCs/>
                <w:color w:val="000000" w:themeColor="text1"/>
                <w:sz w:val="11"/>
                <w:szCs w:val="11"/>
              </w:rPr>
              <w:t>Zobowiązania do udzielenia kredytu</w:t>
            </w:r>
          </w:p>
        </w:tc>
        <w:tc>
          <w:tcPr>
            <w:tcW w:w="1021" w:type="dxa"/>
            <w:tcBorders>
              <w:top w:val="single" w:sz="4" w:space="0" w:color="FFFFFF"/>
              <w:left w:val="single" w:sz="8" w:space="0" w:color="0077BD"/>
              <w:bottom w:val="single" w:sz="8" w:space="0" w:color="0077BD"/>
              <w:right w:val="nil"/>
            </w:tcBorders>
            <w:shd w:val="clear" w:color="auto" w:fill="auto"/>
            <w:vAlign w:val="center"/>
          </w:tcPr>
          <w:p w14:paraId="0EA8D140" w14:textId="0B602C1F" w:rsidR="001B0EE5" w:rsidRPr="00BB7C9E" w:rsidRDefault="001B0EE5" w:rsidP="001B0EE5">
            <w:pPr>
              <w:jc w:val="right"/>
              <w:rPr>
                <w:rFonts w:cs="Calibri"/>
                <w:b/>
                <w:bCs/>
                <w:color w:val="000000" w:themeColor="text1"/>
                <w:sz w:val="13"/>
                <w:szCs w:val="13"/>
              </w:rPr>
            </w:pPr>
            <w:r w:rsidRPr="00BB7C9E">
              <w:rPr>
                <w:rFonts w:cs="Calibri"/>
                <w:b/>
                <w:bCs/>
                <w:color w:val="000000" w:themeColor="text1"/>
                <w:sz w:val="11"/>
                <w:szCs w:val="11"/>
              </w:rPr>
              <w:t>57 914</w:t>
            </w:r>
          </w:p>
        </w:tc>
        <w:tc>
          <w:tcPr>
            <w:tcW w:w="1021" w:type="dxa"/>
            <w:tcBorders>
              <w:top w:val="single" w:sz="4" w:space="0" w:color="FFFFFF"/>
              <w:left w:val="single" w:sz="8" w:space="0" w:color="0077BD"/>
              <w:bottom w:val="single" w:sz="8" w:space="0" w:color="0077BD"/>
              <w:right w:val="nil"/>
            </w:tcBorders>
            <w:shd w:val="clear" w:color="auto" w:fill="auto"/>
            <w:vAlign w:val="center"/>
          </w:tcPr>
          <w:p w14:paraId="7D704F66" w14:textId="63276999"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4" w:space="0" w:color="FFFFFF"/>
              <w:left w:val="single" w:sz="8" w:space="0" w:color="0077BD"/>
              <w:bottom w:val="single" w:sz="8" w:space="0" w:color="0077BD"/>
              <w:right w:val="nil"/>
            </w:tcBorders>
            <w:shd w:val="clear" w:color="auto" w:fill="auto"/>
            <w:vAlign w:val="center"/>
          </w:tcPr>
          <w:p w14:paraId="58A30360" w14:textId="7A0B0E49"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4" w:space="0" w:color="FFFFFF"/>
              <w:left w:val="single" w:sz="8" w:space="0" w:color="0077BD"/>
              <w:bottom w:val="single" w:sz="8" w:space="0" w:color="0077BD"/>
              <w:right w:val="nil"/>
            </w:tcBorders>
            <w:shd w:val="clear" w:color="auto" w:fill="auto"/>
            <w:vAlign w:val="center"/>
          </w:tcPr>
          <w:p w14:paraId="00C55584" w14:textId="15300274"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left w:val="single" w:sz="8" w:space="0" w:color="0077BD"/>
              <w:bottom w:val="single" w:sz="8" w:space="0" w:color="0077BD"/>
              <w:right w:val="nil"/>
            </w:tcBorders>
            <w:shd w:val="clear" w:color="auto" w:fill="auto"/>
            <w:vAlign w:val="center"/>
          </w:tcPr>
          <w:p w14:paraId="2D6E620D" w14:textId="27AD62D8" w:rsidR="001B0EE5" w:rsidRPr="001B0EE5" w:rsidRDefault="001B0EE5" w:rsidP="001B0EE5">
            <w:pPr>
              <w:jc w:val="right"/>
              <w:rPr>
                <w:rFonts w:cs="Calibri"/>
                <w:b/>
                <w:bCs/>
                <w:color w:val="000000" w:themeColor="text1"/>
                <w:sz w:val="11"/>
                <w:szCs w:val="11"/>
              </w:rPr>
            </w:pPr>
            <w:r w:rsidRPr="001B0EE5">
              <w:rPr>
                <w:b/>
                <w:bCs/>
                <w:sz w:val="11"/>
                <w:szCs w:val="11"/>
              </w:rPr>
              <w:t>36 450</w:t>
            </w:r>
          </w:p>
        </w:tc>
        <w:tc>
          <w:tcPr>
            <w:tcW w:w="1021" w:type="dxa"/>
            <w:tcBorders>
              <w:left w:val="single" w:sz="8" w:space="0" w:color="0077BD"/>
              <w:bottom w:val="single" w:sz="8" w:space="0" w:color="0077BD"/>
              <w:right w:val="nil"/>
            </w:tcBorders>
            <w:shd w:val="clear" w:color="auto" w:fill="auto"/>
            <w:vAlign w:val="center"/>
          </w:tcPr>
          <w:p w14:paraId="7EB44FEE" w14:textId="76C518B4" w:rsidR="001B0EE5" w:rsidRPr="001B0EE5" w:rsidRDefault="001B0EE5" w:rsidP="001B0EE5">
            <w:pPr>
              <w:jc w:val="right"/>
              <w:rPr>
                <w:rFonts w:cs="Calibri"/>
                <w:b/>
                <w:bCs/>
                <w:color w:val="000000" w:themeColor="text1"/>
                <w:sz w:val="11"/>
                <w:szCs w:val="11"/>
              </w:rPr>
            </w:pPr>
            <w:r w:rsidRPr="001B0EE5">
              <w:rPr>
                <w:b/>
                <w:bCs/>
                <w:sz w:val="11"/>
                <w:szCs w:val="11"/>
              </w:rPr>
              <w:t>(43 974)</w:t>
            </w:r>
          </w:p>
        </w:tc>
        <w:tc>
          <w:tcPr>
            <w:tcW w:w="1021" w:type="dxa"/>
            <w:tcBorders>
              <w:left w:val="single" w:sz="8" w:space="0" w:color="0077BD"/>
              <w:bottom w:val="single" w:sz="8" w:space="0" w:color="0077BD"/>
              <w:right w:val="nil"/>
            </w:tcBorders>
            <w:shd w:val="clear" w:color="auto" w:fill="auto"/>
            <w:vAlign w:val="center"/>
          </w:tcPr>
          <w:p w14:paraId="666B668A" w14:textId="1489B536" w:rsidR="001B0EE5" w:rsidRPr="001B0EE5" w:rsidRDefault="001B0EE5" w:rsidP="001B0EE5">
            <w:pPr>
              <w:jc w:val="right"/>
              <w:rPr>
                <w:rFonts w:cs="Calibri"/>
                <w:b/>
                <w:bCs/>
                <w:color w:val="000000" w:themeColor="text1"/>
                <w:sz w:val="11"/>
                <w:szCs w:val="11"/>
              </w:rPr>
            </w:pPr>
            <w:r w:rsidRPr="001B0EE5">
              <w:rPr>
                <w:b/>
                <w:bCs/>
                <w:sz w:val="11"/>
                <w:szCs w:val="11"/>
              </w:rPr>
              <w:t>13 474</w:t>
            </w:r>
          </w:p>
        </w:tc>
        <w:tc>
          <w:tcPr>
            <w:tcW w:w="1021" w:type="dxa"/>
            <w:tcBorders>
              <w:top w:val="single" w:sz="4" w:space="0" w:color="FFFFFF"/>
              <w:left w:val="single" w:sz="8" w:space="0" w:color="0077BD"/>
              <w:bottom w:val="single" w:sz="8" w:space="0" w:color="0077BD"/>
              <w:right w:val="nil"/>
            </w:tcBorders>
            <w:shd w:val="clear" w:color="auto" w:fill="auto"/>
            <w:vAlign w:val="center"/>
          </w:tcPr>
          <w:p w14:paraId="4149B524" w14:textId="1589B2A1" w:rsidR="001B0EE5" w:rsidRPr="006A048A" w:rsidRDefault="001B0EE5" w:rsidP="001B0EE5">
            <w:pPr>
              <w:jc w:val="right"/>
              <w:rPr>
                <w:rFonts w:cs="Calibri"/>
                <w:b/>
                <w:bCs/>
                <w:color w:val="000000" w:themeColor="text1"/>
                <w:sz w:val="11"/>
                <w:szCs w:val="11"/>
              </w:rPr>
            </w:pPr>
            <w:r w:rsidRPr="006A048A">
              <w:rPr>
                <w:rFonts w:cs="Calibri"/>
                <w:b/>
                <w:bCs/>
                <w:sz w:val="11"/>
                <w:szCs w:val="11"/>
              </w:rPr>
              <w:t>63 864</w:t>
            </w:r>
          </w:p>
        </w:tc>
      </w:tr>
      <w:tr w:rsidR="001B0EE5" w:rsidRPr="00BB7C9E" w14:paraId="31134F11" w14:textId="77777777" w:rsidTr="00030EAA">
        <w:trPr>
          <w:trHeight w:val="255"/>
        </w:trPr>
        <w:tc>
          <w:tcPr>
            <w:tcW w:w="1408" w:type="dxa"/>
            <w:tcBorders>
              <w:top w:val="single" w:sz="8" w:space="0" w:color="0077BD"/>
              <w:left w:val="single" w:sz="4" w:space="0" w:color="FFFFFF"/>
              <w:bottom w:val="nil"/>
              <w:right w:val="nil"/>
            </w:tcBorders>
            <w:shd w:val="clear" w:color="auto" w:fill="auto"/>
            <w:vAlign w:val="center"/>
            <w:hideMark/>
          </w:tcPr>
          <w:p w14:paraId="608734E4"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nil"/>
              <w:right w:val="nil"/>
            </w:tcBorders>
            <w:shd w:val="clear" w:color="auto" w:fill="auto"/>
            <w:vAlign w:val="center"/>
          </w:tcPr>
          <w:p w14:paraId="3E0505D1" w14:textId="48A11005"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32 575</w:t>
            </w:r>
          </w:p>
        </w:tc>
        <w:tc>
          <w:tcPr>
            <w:tcW w:w="1021" w:type="dxa"/>
            <w:tcBorders>
              <w:top w:val="single" w:sz="8" w:space="0" w:color="0077BD"/>
              <w:left w:val="single" w:sz="8" w:space="0" w:color="0077BD"/>
              <w:bottom w:val="nil"/>
              <w:right w:val="nil"/>
            </w:tcBorders>
            <w:shd w:val="clear" w:color="auto" w:fill="auto"/>
            <w:vAlign w:val="center"/>
          </w:tcPr>
          <w:p w14:paraId="61BCE77C" w14:textId="5E9699E9" w:rsidR="001B0EE5" w:rsidRPr="006A048A" w:rsidRDefault="001B0EE5" w:rsidP="001B0EE5">
            <w:pPr>
              <w:jc w:val="right"/>
              <w:rPr>
                <w:rFonts w:cs="Calibri"/>
                <w:color w:val="000000" w:themeColor="text1"/>
                <w:sz w:val="11"/>
                <w:szCs w:val="11"/>
              </w:rPr>
            </w:pPr>
            <w:r w:rsidRPr="006A048A">
              <w:rPr>
                <w:rFonts w:cs="Calibri"/>
                <w:sz w:val="11"/>
                <w:szCs w:val="11"/>
              </w:rPr>
              <w:t>32 226</w:t>
            </w:r>
          </w:p>
        </w:tc>
        <w:tc>
          <w:tcPr>
            <w:tcW w:w="1021" w:type="dxa"/>
            <w:tcBorders>
              <w:top w:val="single" w:sz="8" w:space="0" w:color="0077BD"/>
              <w:left w:val="single" w:sz="8" w:space="0" w:color="0077BD"/>
              <w:bottom w:val="nil"/>
              <w:right w:val="nil"/>
            </w:tcBorders>
            <w:shd w:val="clear" w:color="auto" w:fill="auto"/>
            <w:vAlign w:val="center"/>
          </w:tcPr>
          <w:p w14:paraId="2709619B" w14:textId="529B6E2A" w:rsidR="001B0EE5" w:rsidRPr="006A048A" w:rsidRDefault="001B0EE5" w:rsidP="001B0EE5">
            <w:pPr>
              <w:jc w:val="right"/>
              <w:rPr>
                <w:rFonts w:cs="Calibri"/>
                <w:color w:val="000000" w:themeColor="text1"/>
                <w:sz w:val="11"/>
                <w:szCs w:val="11"/>
              </w:rPr>
            </w:pPr>
            <w:r w:rsidRPr="006A048A">
              <w:rPr>
                <w:rFonts w:cs="Calibri"/>
                <w:sz w:val="11"/>
                <w:szCs w:val="11"/>
              </w:rPr>
              <w:t>(4 616)</w:t>
            </w:r>
          </w:p>
        </w:tc>
        <w:tc>
          <w:tcPr>
            <w:tcW w:w="1021" w:type="dxa"/>
            <w:tcBorders>
              <w:top w:val="single" w:sz="8" w:space="0" w:color="0077BD"/>
              <w:left w:val="single" w:sz="8" w:space="0" w:color="0077BD"/>
              <w:bottom w:val="nil"/>
              <w:right w:val="nil"/>
            </w:tcBorders>
            <w:shd w:val="clear" w:color="auto" w:fill="auto"/>
            <w:vAlign w:val="center"/>
          </w:tcPr>
          <w:p w14:paraId="2DF23DD1" w14:textId="2FDE1807" w:rsidR="001B0EE5" w:rsidRPr="006A048A" w:rsidRDefault="001B0EE5" w:rsidP="001B0EE5">
            <w:pPr>
              <w:jc w:val="right"/>
              <w:rPr>
                <w:rFonts w:cs="Calibri"/>
                <w:color w:val="000000" w:themeColor="text1"/>
                <w:sz w:val="11"/>
                <w:szCs w:val="11"/>
              </w:rPr>
            </w:pPr>
            <w:r w:rsidRPr="006A048A">
              <w:rPr>
                <w:rFonts w:cs="Calibri"/>
                <w:sz w:val="11"/>
                <w:szCs w:val="11"/>
              </w:rPr>
              <w:t>(112)</w:t>
            </w:r>
          </w:p>
        </w:tc>
        <w:tc>
          <w:tcPr>
            <w:tcW w:w="1021" w:type="dxa"/>
            <w:tcBorders>
              <w:top w:val="single" w:sz="8" w:space="0" w:color="0077BD"/>
              <w:left w:val="single" w:sz="8" w:space="0" w:color="0077BD"/>
              <w:bottom w:val="nil"/>
              <w:right w:val="nil"/>
            </w:tcBorders>
            <w:shd w:val="clear" w:color="auto" w:fill="auto"/>
            <w:vAlign w:val="center"/>
          </w:tcPr>
          <w:p w14:paraId="413A51D8" w14:textId="5E40F4BA" w:rsidR="001B0EE5" w:rsidRPr="001B0EE5" w:rsidRDefault="001B0EE5" w:rsidP="001B0EE5">
            <w:pPr>
              <w:jc w:val="right"/>
              <w:rPr>
                <w:rFonts w:cs="Calibri"/>
                <w:color w:val="000000" w:themeColor="text1"/>
                <w:sz w:val="11"/>
                <w:szCs w:val="11"/>
              </w:rPr>
            </w:pPr>
            <w:r w:rsidRPr="001B0EE5">
              <w:rPr>
                <w:sz w:val="11"/>
                <w:szCs w:val="11"/>
              </w:rPr>
              <w:t>22 736</w:t>
            </w:r>
          </w:p>
        </w:tc>
        <w:tc>
          <w:tcPr>
            <w:tcW w:w="1021" w:type="dxa"/>
            <w:tcBorders>
              <w:top w:val="single" w:sz="8" w:space="0" w:color="0077BD"/>
              <w:left w:val="single" w:sz="8" w:space="0" w:color="0077BD"/>
              <w:bottom w:val="nil"/>
              <w:right w:val="nil"/>
            </w:tcBorders>
            <w:shd w:val="clear" w:color="auto" w:fill="auto"/>
            <w:vAlign w:val="center"/>
          </w:tcPr>
          <w:p w14:paraId="756299EA" w14:textId="08B1C918" w:rsidR="001B0EE5" w:rsidRPr="001B0EE5" w:rsidRDefault="001B0EE5" w:rsidP="001B0EE5">
            <w:pPr>
              <w:jc w:val="right"/>
              <w:rPr>
                <w:rFonts w:cs="Calibri"/>
                <w:color w:val="000000" w:themeColor="text1"/>
                <w:sz w:val="11"/>
                <w:szCs w:val="11"/>
              </w:rPr>
            </w:pPr>
            <w:r w:rsidRPr="001B0EE5">
              <w:rPr>
                <w:sz w:val="11"/>
                <w:szCs w:val="11"/>
              </w:rPr>
              <w:t>(13 204)</w:t>
            </w:r>
          </w:p>
        </w:tc>
        <w:tc>
          <w:tcPr>
            <w:tcW w:w="1021" w:type="dxa"/>
            <w:tcBorders>
              <w:top w:val="single" w:sz="8" w:space="0" w:color="0077BD"/>
              <w:left w:val="single" w:sz="8" w:space="0" w:color="0077BD"/>
              <w:bottom w:val="nil"/>
              <w:right w:val="nil"/>
            </w:tcBorders>
            <w:shd w:val="clear" w:color="auto" w:fill="auto"/>
            <w:vAlign w:val="center"/>
          </w:tcPr>
          <w:p w14:paraId="62B7AD07" w14:textId="68ADEC8A" w:rsidR="001B0EE5" w:rsidRPr="001B0EE5" w:rsidRDefault="001B0EE5" w:rsidP="001B0EE5">
            <w:pPr>
              <w:jc w:val="right"/>
              <w:rPr>
                <w:rFonts w:cs="Calibri"/>
                <w:color w:val="000000" w:themeColor="text1"/>
                <w:sz w:val="11"/>
                <w:szCs w:val="11"/>
              </w:rPr>
            </w:pPr>
            <w:r w:rsidRPr="001B0EE5">
              <w:rPr>
                <w:sz w:val="11"/>
                <w:szCs w:val="11"/>
              </w:rPr>
              <w:t>(33 897)</w:t>
            </w:r>
          </w:p>
        </w:tc>
        <w:tc>
          <w:tcPr>
            <w:tcW w:w="1021" w:type="dxa"/>
            <w:tcBorders>
              <w:top w:val="single" w:sz="8" w:space="0" w:color="0077BD"/>
              <w:left w:val="single" w:sz="8" w:space="0" w:color="0077BD"/>
              <w:bottom w:val="nil"/>
              <w:right w:val="nil"/>
            </w:tcBorders>
            <w:shd w:val="clear" w:color="auto" w:fill="auto"/>
            <w:vAlign w:val="center"/>
          </w:tcPr>
          <w:p w14:paraId="3B75CBAC" w14:textId="75818FDA" w:rsidR="001B0EE5" w:rsidRPr="006A048A" w:rsidRDefault="001B0EE5" w:rsidP="001B0EE5">
            <w:pPr>
              <w:jc w:val="right"/>
              <w:rPr>
                <w:rFonts w:cs="Calibri"/>
                <w:color w:val="000000" w:themeColor="text1"/>
                <w:sz w:val="11"/>
                <w:szCs w:val="11"/>
              </w:rPr>
            </w:pPr>
            <w:r w:rsidRPr="006A048A">
              <w:rPr>
                <w:rFonts w:cs="Calibri"/>
                <w:sz w:val="11"/>
                <w:szCs w:val="11"/>
              </w:rPr>
              <w:t>35 708</w:t>
            </w:r>
          </w:p>
        </w:tc>
      </w:tr>
      <w:tr w:rsidR="001B0EE5" w:rsidRPr="00BB7C9E" w14:paraId="0FE77AB4"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4CCD00E3"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2</w:t>
            </w:r>
          </w:p>
        </w:tc>
        <w:tc>
          <w:tcPr>
            <w:tcW w:w="1021" w:type="dxa"/>
            <w:tcBorders>
              <w:top w:val="single" w:sz="4" w:space="0" w:color="0077BD"/>
              <w:left w:val="single" w:sz="8" w:space="0" w:color="0077BD"/>
              <w:bottom w:val="nil"/>
              <w:right w:val="nil"/>
            </w:tcBorders>
            <w:shd w:val="clear" w:color="auto" w:fill="auto"/>
            <w:vAlign w:val="center"/>
          </w:tcPr>
          <w:p w14:paraId="6FA7E9C4" w14:textId="51E17169"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18 247</w:t>
            </w:r>
          </w:p>
        </w:tc>
        <w:tc>
          <w:tcPr>
            <w:tcW w:w="1021" w:type="dxa"/>
            <w:tcBorders>
              <w:top w:val="single" w:sz="4" w:space="0" w:color="0077BD"/>
              <w:left w:val="single" w:sz="8" w:space="0" w:color="0077BD"/>
              <w:bottom w:val="nil"/>
              <w:right w:val="nil"/>
            </w:tcBorders>
            <w:shd w:val="clear" w:color="auto" w:fill="auto"/>
            <w:vAlign w:val="center"/>
          </w:tcPr>
          <w:p w14:paraId="17BFF439" w14:textId="0678A140" w:rsidR="001B0EE5" w:rsidRPr="006A048A" w:rsidRDefault="001B0EE5" w:rsidP="001B0EE5">
            <w:pPr>
              <w:jc w:val="right"/>
              <w:rPr>
                <w:rFonts w:cs="Calibri"/>
                <w:color w:val="000000" w:themeColor="text1"/>
                <w:sz w:val="11"/>
                <w:szCs w:val="11"/>
              </w:rPr>
            </w:pPr>
            <w:r w:rsidRPr="006A048A">
              <w:rPr>
                <w:rFonts w:cs="Calibri"/>
                <w:sz w:val="11"/>
                <w:szCs w:val="11"/>
              </w:rPr>
              <w:t>(32 226)</w:t>
            </w:r>
          </w:p>
        </w:tc>
        <w:tc>
          <w:tcPr>
            <w:tcW w:w="1021" w:type="dxa"/>
            <w:tcBorders>
              <w:top w:val="single" w:sz="4" w:space="0" w:color="0077BD"/>
              <w:left w:val="single" w:sz="8" w:space="0" w:color="0077BD"/>
              <w:bottom w:val="nil"/>
              <w:right w:val="nil"/>
            </w:tcBorders>
            <w:shd w:val="clear" w:color="auto" w:fill="auto"/>
            <w:vAlign w:val="center"/>
          </w:tcPr>
          <w:p w14:paraId="3A08F777" w14:textId="5CCEBBE3" w:rsidR="001B0EE5" w:rsidRPr="006A048A" w:rsidRDefault="001B0EE5" w:rsidP="001B0EE5">
            <w:pPr>
              <w:jc w:val="right"/>
              <w:rPr>
                <w:rFonts w:cs="Calibri"/>
                <w:color w:val="000000" w:themeColor="text1"/>
                <w:sz w:val="11"/>
                <w:szCs w:val="11"/>
              </w:rPr>
            </w:pPr>
            <w:r w:rsidRPr="006A048A">
              <w:rPr>
                <w:rFonts w:cs="Calibri"/>
                <w:sz w:val="11"/>
                <w:szCs w:val="11"/>
              </w:rPr>
              <w:t>4 688</w:t>
            </w:r>
          </w:p>
        </w:tc>
        <w:tc>
          <w:tcPr>
            <w:tcW w:w="1021" w:type="dxa"/>
            <w:tcBorders>
              <w:top w:val="single" w:sz="4" w:space="0" w:color="0077BD"/>
              <w:left w:val="single" w:sz="8" w:space="0" w:color="0077BD"/>
              <w:bottom w:val="nil"/>
              <w:right w:val="nil"/>
            </w:tcBorders>
            <w:shd w:val="clear" w:color="auto" w:fill="auto"/>
            <w:vAlign w:val="center"/>
          </w:tcPr>
          <w:p w14:paraId="050A5205" w14:textId="020AD0AE" w:rsidR="001B0EE5" w:rsidRPr="006A048A" w:rsidRDefault="001B0EE5" w:rsidP="001B0EE5">
            <w:pPr>
              <w:jc w:val="right"/>
              <w:rPr>
                <w:rFonts w:cs="Calibri"/>
                <w:color w:val="000000" w:themeColor="text1"/>
                <w:sz w:val="11"/>
                <w:szCs w:val="11"/>
              </w:rPr>
            </w:pPr>
            <w:r w:rsidRPr="006A048A">
              <w:rPr>
                <w:rFonts w:cs="Calibri"/>
                <w:sz w:val="11"/>
                <w:szCs w:val="11"/>
              </w:rPr>
              <w:t>(145)</w:t>
            </w:r>
          </w:p>
        </w:tc>
        <w:tc>
          <w:tcPr>
            <w:tcW w:w="1021" w:type="dxa"/>
            <w:tcBorders>
              <w:top w:val="single" w:sz="4" w:space="0" w:color="0077BD"/>
              <w:left w:val="single" w:sz="8" w:space="0" w:color="0077BD"/>
              <w:bottom w:val="nil"/>
              <w:right w:val="nil"/>
            </w:tcBorders>
            <w:shd w:val="clear" w:color="auto" w:fill="auto"/>
            <w:vAlign w:val="center"/>
          </w:tcPr>
          <w:p w14:paraId="77F94FB9" w14:textId="1ECF5B21" w:rsidR="001B0EE5" w:rsidRPr="001B0EE5" w:rsidRDefault="001B0EE5" w:rsidP="001B0EE5">
            <w:pPr>
              <w:jc w:val="right"/>
              <w:rPr>
                <w:rFonts w:cs="Calibri"/>
                <w:color w:val="000000" w:themeColor="text1"/>
                <w:sz w:val="11"/>
                <w:szCs w:val="11"/>
              </w:rPr>
            </w:pPr>
            <w:r w:rsidRPr="001B0EE5">
              <w:rPr>
                <w:sz w:val="11"/>
                <w:szCs w:val="11"/>
              </w:rPr>
              <w:t>10 844</w:t>
            </w:r>
          </w:p>
        </w:tc>
        <w:tc>
          <w:tcPr>
            <w:tcW w:w="1021" w:type="dxa"/>
            <w:tcBorders>
              <w:top w:val="single" w:sz="4" w:space="0" w:color="0077BD"/>
              <w:left w:val="single" w:sz="8" w:space="0" w:color="0077BD"/>
              <w:bottom w:val="nil"/>
              <w:right w:val="nil"/>
            </w:tcBorders>
            <w:shd w:val="clear" w:color="auto" w:fill="auto"/>
            <w:vAlign w:val="center"/>
          </w:tcPr>
          <w:p w14:paraId="3274581B" w14:textId="3B6A863F" w:rsidR="001B0EE5" w:rsidRPr="001B0EE5" w:rsidRDefault="001B0EE5" w:rsidP="001B0EE5">
            <w:pPr>
              <w:jc w:val="right"/>
              <w:rPr>
                <w:rFonts w:cs="Calibri"/>
                <w:color w:val="000000" w:themeColor="text1"/>
                <w:sz w:val="11"/>
                <w:szCs w:val="11"/>
              </w:rPr>
            </w:pPr>
            <w:r w:rsidRPr="001B0EE5">
              <w:rPr>
                <w:sz w:val="11"/>
                <w:szCs w:val="11"/>
              </w:rPr>
              <w:t>(11 234)</w:t>
            </w:r>
          </w:p>
        </w:tc>
        <w:tc>
          <w:tcPr>
            <w:tcW w:w="1021" w:type="dxa"/>
            <w:tcBorders>
              <w:top w:val="single" w:sz="4" w:space="0" w:color="0077BD"/>
              <w:left w:val="single" w:sz="8" w:space="0" w:color="0077BD"/>
              <w:bottom w:val="nil"/>
              <w:right w:val="nil"/>
            </w:tcBorders>
            <w:shd w:val="clear" w:color="auto" w:fill="auto"/>
            <w:vAlign w:val="center"/>
          </w:tcPr>
          <w:p w14:paraId="3464CCDD" w14:textId="0781013A" w:rsidR="001B0EE5" w:rsidRPr="001B0EE5" w:rsidRDefault="001B0EE5" w:rsidP="001B0EE5">
            <w:pPr>
              <w:jc w:val="right"/>
              <w:rPr>
                <w:rFonts w:cs="Calibri"/>
                <w:color w:val="000000" w:themeColor="text1"/>
                <w:sz w:val="11"/>
                <w:szCs w:val="11"/>
              </w:rPr>
            </w:pPr>
            <w:r w:rsidRPr="001B0EE5">
              <w:rPr>
                <w:sz w:val="11"/>
                <w:szCs w:val="11"/>
              </w:rPr>
              <w:t>33 465</w:t>
            </w:r>
          </w:p>
        </w:tc>
        <w:tc>
          <w:tcPr>
            <w:tcW w:w="1021" w:type="dxa"/>
            <w:tcBorders>
              <w:top w:val="single" w:sz="4" w:space="0" w:color="0077BD"/>
              <w:left w:val="single" w:sz="8" w:space="0" w:color="0077BD"/>
              <w:bottom w:val="nil"/>
              <w:right w:val="nil"/>
            </w:tcBorders>
            <w:shd w:val="clear" w:color="auto" w:fill="auto"/>
            <w:vAlign w:val="center"/>
          </w:tcPr>
          <w:p w14:paraId="1A1417F3" w14:textId="6FD95733" w:rsidR="001B0EE5" w:rsidRPr="006A048A" w:rsidRDefault="001B0EE5" w:rsidP="001B0EE5">
            <w:pPr>
              <w:jc w:val="right"/>
              <w:rPr>
                <w:rFonts w:cs="Calibri"/>
                <w:color w:val="000000" w:themeColor="text1"/>
                <w:sz w:val="11"/>
                <w:szCs w:val="11"/>
              </w:rPr>
            </w:pPr>
            <w:r w:rsidRPr="006A048A">
              <w:rPr>
                <w:rFonts w:cs="Calibri"/>
                <w:sz w:val="11"/>
                <w:szCs w:val="11"/>
              </w:rPr>
              <w:t>23 639</w:t>
            </w:r>
          </w:p>
        </w:tc>
      </w:tr>
      <w:tr w:rsidR="001B0EE5" w:rsidRPr="00BB7C9E" w14:paraId="7D730B96"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3E5B126C"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3</w:t>
            </w:r>
          </w:p>
        </w:tc>
        <w:tc>
          <w:tcPr>
            <w:tcW w:w="1021" w:type="dxa"/>
            <w:tcBorders>
              <w:top w:val="single" w:sz="4" w:space="0" w:color="0077BD"/>
              <w:left w:val="single" w:sz="8" w:space="0" w:color="0077BD"/>
              <w:bottom w:val="nil"/>
              <w:right w:val="nil"/>
            </w:tcBorders>
            <w:shd w:val="clear" w:color="auto" w:fill="auto"/>
            <w:vAlign w:val="center"/>
          </w:tcPr>
          <w:p w14:paraId="46DE9A91" w14:textId="3E495663"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6 231</w:t>
            </w:r>
          </w:p>
        </w:tc>
        <w:tc>
          <w:tcPr>
            <w:tcW w:w="1021" w:type="dxa"/>
            <w:tcBorders>
              <w:top w:val="single" w:sz="4" w:space="0" w:color="0077BD"/>
              <w:left w:val="single" w:sz="8" w:space="0" w:color="0077BD"/>
              <w:bottom w:val="nil"/>
              <w:right w:val="nil"/>
            </w:tcBorders>
            <w:shd w:val="clear" w:color="auto" w:fill="auto"/>
            <w:vAlign w:val="center"/>
          </w:tcPr>
          <w:p w14:paraId="64DC84A4" w14:textId="7FF32427"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7AD96ADB" w14:textId="2DBEEA46" w:rsidR="001B0EE5" w:rsidRPr="006A048A" w:rsidRDefault="001B0EE5" w:rsidP="001B0EE5">
            <w:pPr>
              <w:jc w:val="right"/>
              <w:rPr>
                <w:rFonts w:cs="Calibri"/>
                <w:color w:val="000000" w:themeColor="text1"/>
                <w:sz w:val="11"/>
                <w:szCs w:val="11"/>
              </w:rPr>
            </w:pPr>
            <w:r w:rsidRPr="006A048A">
              <w:rPr>
                <w:rFonts w:cs="Calibri"/>
                <w:sz w:val="11"/>
                <w:szCs w:val="11"/>
              </w:rPr>
              <w:t>(72)</w:t>
            </w:r>
          </w:p>
        </w:tc>
        <w:tc>
          <w:tcPr>
            <w:tcW w:w="1021" w:type="dxa"/>
            <w:tcBorders>
              <w:top w:val="single" w:sz="4" w:space="0" w:color="0077BD"/>
              <w:left w:val="single" w:sz="8" w:space="0" w:color="0077BD"/>
              <w:bottom w:val="nil"/>
              <w:right w:val="nil"/>
            </w:tcBorders>
            <w:shd w:val="clear" w:color="auto" w:fill="auto"/>
            <w:vAlign w:val="center"/>
          </w:tcPr>
          <w:p w14:paraId="01E54741" w14:textId="102E4DE2" w:rsidR="001B0EE5" w:rsidRPr="006A048A" w:rsidRDefault="001B0EE5" w:rsidP="001B0EE5">
            <w:pPr>
              <w:jc w:val="right"/>
              <w:rPr>
                <w:rFonts w:cs="Calibri"/>
                <w:color w:val="000000" w:themeColor="text1"/>
                <w:sz w:val="11"/>
                <w:szCs w:val="11"/>
              </w:rPr>
            </w:pPr>
            <w:r w:rsidRPr="006A048A">
              <w:rPr>
                <w:rFonts w:cs="Calibri"/>
                <w:sz w:val="11"/>
                <w:szCs w:val="11"/>
              </w:rPr>
              <w:t>257</w:t>
            </w:r>
          </w:p>
        </w:tc>
        <w:tc>
          <w:tcPr>
            <w:tcW w:w="1021" w:type="dxa"/>
            <w:tcBorders>
              <w:top w:val="single" w:sz="4" w:space="0" w:color="0077BD"/>
              <w:left w:val="single" w:sz="8" w:space="0" w:color="0077BD"/>
              <w:bottom w:val="nil"/>
              <w:right w:val="nil"/>
            </w:tcBorders>
            <w:shd w:val="clear" w:color="auto" w:fill="auto"/>
            <w:vAlign w:val="center"/>
          </w:tcPr>
          <w:p w14:paraId="53EB271C" w14:textId="01A8DF4F" w:rsidR="001B0EE5" w:rsidRPr="001B0EE5" w:rsidRDefault="001B0EE5" w:rsidP="001B0EE5">
            <w:pPr>
              <w:jc w:val="right"/>
              <w:rPr>
                <w:rFonts w:cs="Calibri"/>
                <w:color w:val="000000" w:themeColor="text1"/>
                <w:sz w:val="11"/>
                <w:szCs w:val="11"/>
              </w:rPr>
            </w:pPr>
            <w:r w:rsidRPr="001B0EE5">
              <w:rPr>
                <w:sz w:val="11"/>
                <w:szCs w:val="11"/>
              </w:rPr>
              <w:t>1 695</w:t>
            </w:r>
          </w:p>
        </w:tc>
        <w:tc>
          <w:tcPr>
            <w:tcW w:w="1021" w:type="dxa"/>
            <w:tcBorders>
              <w:top w:val="single" w:sz="4" w:space="0" w:color="0077BD"/>
              <w:left w:val="single" w:sz="8" w:space="0" w:color="0077BD"/>
              <w:bottom w:val="nil"/>
              <w:right w:val="nil"/>
            </w:tcBorders>
            <w:shd w:val="clear" w:color="auto" w:fill="auto"/>
            <w:vAlign w:val="center"/>
          </w:tcPr>
          <w:p w14:paraId="7F48343D" w14:textId="7490F38D" w:rsidR="001B0EE5" w:rsidRPr="001B0EE5" w:rsidRDefault="001B0EE5" w:rsidP="001B0EE5">
            <w:pPr>
              <w:jc w:val="right"/>
              <w:rPr>
                <w:rFonts w:cs="Calibri"/>
                <w:color w:val="000000" w:themeColor="text1"/>
                <w:sz w:val="11"/>
                <w:szCs w:val="11"/>
              </w:rPr>
            </w:pPr>
            <w:r w:rsidRPr="001B0EE5">
              <w:rPr>
                <w:sz w:val="11"/>
                <w:szCs w:val="11"/>
              </w:rPr>
              <w:t>(19 479)</w:t>
            </w:r>
          </w:p>
        </w:tc>
        <w:tc>
          <w:tcPr>
            <w:tcW w:w="1021" w:type="dxa"/>
            <w:tcBorders>
              <w:top w:val="single" w:sz="4" w:space="0" w:color="0077BD"/>
              <w:left w:val="single" w:sz="8" w:space="0" w:color="0077BD"/>
              <w:bottom w:val="nil"/>
              <w:right w:val="nil"/>
            </w:tcBorders>
            <w:shd w:val="clear" w:color="auto" w:fill="auto"/>
            <w:vAlign w:val="center"/>
          </w:tcPr>
          <w:p w14:paraId="1008FB8E" w14:textId="5A7CF35A" w:rsidR="001B0EE5" w:rsidRPr="001B0EE5" w:rsidRDefault="001B0EE5" w:rsidP="001B0EE5">
            <w:pPr>
              <w:jc w:val="right"/>
              <w:rPr>
                <w:rFonts w:cs="Calibri"/>
                <w:color w:val="000000" w:themeColor="text1"/>
                <w:sz w:val="11"/>
                <w:szCs w:val="11"/>
              </w:rPr>
            </w:pPr>
            <w:r w:rsidRPr="001B0EE5">
              <w:rPr>
                <w:sz w:val="11"/>
                <w:szCs w:val="11"/>
              </w:rPr>
              <w:t>13 504</w:t>
            </w:r>
          </w:p>
        </w:tc>
        <w:tc>
          <w:tcPr>
            <w:tcW w:w="1021" w:type="dxa"/>
            <w:tcBorders>
              <w:top w:val="single" w:sz="4" w:space="0" w:color="0077BD"/>
              <w:left w:val="single" w:sz="8" w:space="0" w:color="0077BD"/>
              <w:bottom w:val="nil"/>
              <w:right w:val="nil"/>
            </w:tcBorders>
            <w:shd w:val="clear" w:color="auto" w:fill="auto"/>
            <w:vAlign w:val="center"/>
          </w:tcPr>
          <w:p w14:paraId="43A71F92" w14:textId="17018C1B" w:rsidR="001B0EE5" w:rsidRPr="006A048A" w:rsidRDefault="001B0EE5" w:rsidP="001B0EE5">
            <w:pPr>
              <w:jc w:val="right"/>
              <w:rPr>
                <w:rFonts w:cs="Calibri"/>
                <w:color w:val="000000" w:themeColor="text1"/>
                <w:sz w:val="11"/>
                <w:szCs w:val="11"/>
              </w:rPr>
            </w:pPr>
            <w:r w:rsidRPr="006A048A">
              <w:rPr>
                <w:rFonts w:cs="Calibri"/>
                <w:sz w:val="11"/>
                <w:szCs w:val="11"/>
              </w:rPr>
              <w:t>2 136</w:t>
            </w:r>
          </w:p>
        </w:tc>
      </w:tr>
      <w:tr w:rsidR="001B0EE5" w:rsidRPr="00BB7C9E" w14:paraId="2A73850C"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41907ABE"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POCI</w:t>
            </w:r>
          </w:p>
        </w:tc>
        <w:tc>
          <w:tcPr>
            <w:tcW w:w="1021" w:type="dxa"/>
            <w:tcBorders>
              <w:top w:val="single" w:sz="4" w:space="0" w:color="0077BD"/>
              <w:left w:val="single" w:sz="8" w:space="0" w:color="0077BD"/>
              <w:bottom w:val="nil"/>
              <w:right w:val="nil"/>
            </w:tcBorders>
            <w:shd w:val="clear" w:color="auto" w:fill="auto"/>
            <w:vAlign w:val="center"/>
          </w:tcPr>
          <w:p w14:paraId="5EC1B199" w14:textId="485D7174"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861</w:t>
            </w:r>
          </w:p>
        </w:tc>
        <w:tc>
          <w:tcPr>
            <w:tcW w:w="1021" w:type="dxa"/>
            <w:tcBorders>
              <w:top w:val="single" w:sz="4" w:space="0" w:color="0077BD"/>
              <w:left w:val="single" w:sz="8" w:space="0" w:color="0077BD"/>
              <w:bottom w:val="nil"/>
              <w:right w:val="nil"/>
            </w:tcBorders>
            <w:shd w:val="clear" w:color="auto" w:fill="auto"/>
            <w:vAlign w:val="center"/>
          </w:tcPr>
          <w:p w14:paraId="47C72DF9" w14:textId="3168B882"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3F3B78CE" w14:textId="197B1EC2"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67965E62" w14:textId="2357AF8D"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0EAFD6DB" w14:textId="74BEE506" w:rsidR="001B0EE5" w:rsidRPr="001B0EE5" w:rsidRDefault="001B0EE5" w:rsidP="001B0EE5">
            <w:pPr>
              <w:jc w:val="right"/>
              <w:rPr>
                <w:rFonts w:cs="Calibri"/>
                <w:color w:val="000000" w:themeColor="text1"/>
                <w:sz w:val="11"/>
                <w:szCs w:val="11"/>
              </w:rPr>
            </w:pPr>
            <w:r w:rsidRPr="001B0EE5">
              <w:rPr>
                <w:sz w:val="11"/>
                <w:szCs w:val="11"/>
              </w:rPr>
              <w:t>1 175</w:t>
            </w:r>
          </w:p>
        </w:tc>
        <w:tc>
          <w:tcPr>
            <w:tcW w:w="1021" w:type="dxa"/>
            <w:tcBorders>
              <w:top w:val="single" w:sz="4" w:space="0" w:color="0077BD"/>
              <w:left w:val="single" w:sz="8" w:space="0" w:color="0077BD"/>
              <w:bottom w:val="nil"/>
              <w:right w:val="nil"/>
            </w:tcBorders>
            <w:shd w:val="clear" w:color="auto" w:fill="auto"/>
            <w:vAlign w:val="center"/>
          </w:tcPr>
          <w:p w14:paraId="0AD24FB3" w14:textId="7408134B" w:rsidR="001B0EE5" w:rsidRPr="001B0EE5" w:rsidRDefault="001B0EE5" w:rsidP="001B0EE5">
            <w:pPr>
              <w:jc w:val="right"/>
              <w:rPr>
                <w:rFonts w:cs="Calibri"/>
                <w:color w:val="000000" w:themeColor="text1"/>
                <w:sz w:val="11"/>
                <w:szCs w:val="11"/>
              </w:rPr>
            </w:pPr>
            <w:r w:rsidRPr="001B0EE5">
              <w:rPr>
                <w:sz w:val="11"/>
                <w:szCs w:val="11"/>
              </w:rPr>
              <w:t>(57)</w:t>
            </w:r>
          </w:p>
        </w:tc>
        <w:tc>
          <w:tcPr>
            <w:tcW w:w="1021" w:type="dxa"/>
            <w:tcBorders>
              <w:top w:val="single" w:sz="4" w:space="0" w:color="0077BD"/>
              <w:left w:val="single" w:sz="8" w:space="0" w:color="0077BD"/>
              <w:bottom w:val="nil"/>
              <w:right w:val="nil"/>
            </w:tcBorders>
            <w:shd w:val="clear" w:color="auto" w:fill="auto"/>
            <w:vAlign w:val="center"/>
          </w:tcPr>
          <w:p w14:paraId="41484C16" w14:textId="47559899" w:rsidR="001B0EE5" w:rsidRPr="001B0EE5" w:rsidRDefault="001B0EE5" w:rsidP="001B0EE5">
            <w:pPr>
              <w:jc w:val="right"/>
              <w:rPr>
                <w:rFonts w:cs="Calibri"/>
                <w:color w:val="000000" w:themeColor="text1"/>
                <w:sz w:val="11"/>
                <w:szCs w:val="11"/>
              </w:rPr>
            </w:pPr>
            <w:r w:rsidRPr="001B0EE5">
              <w:rPr>
                <w:sz w:val="11"/>
                <w:szCs w:val="11"/>
              </w:rPr>
              <w:t>402</w:t>
            </w:r>
          </w:p>
        </w:tc>
        <w:tc>
          <w:tcPr>
            <w:tcW w:w="1021" w:type="dxa"/>
            <w:tcBorders>
              <w:top w:val="single" w:sz="4" w:space="0" w:color="0077BD"/>
              <w:left w:val="single" w:sz="8" w:space="0" w:color="0077BD"/>
              <w:bottom w:val="nil"/>
              <w:right w:val="nil"/>
            </w:tcBorders>
            <w:shd w:val="clear" w:color="auto" w:fill="auto"/>
            <w:vAlign w:val="center"/>
          </w:tcPr>
          <w:p w14:paraId="0D9BBB77" w14:textId="4D184B4B" w:rsidR="001B0EE5" w:rsidRPr="006A048A" w:rsidRDefault="001B0EE5" w:rsidP="001B0EE5">
            <w:pPr>
              <w:jc w:val="right"/>
              <w:rPr>
                <w:rFonts w:cs="Calibri"/>
                <w:color w:val="000000" w:themeColor="text1"/>
                <w:sz w:val="11"/>
                <w:szCs w:val="11"/>
              </w:rPr>
            </w:pPr>
            <w:r w:rsidRPr="006A048A">
              <w:rPr>
                <w:rFonts w:cs="Calibri"/>
                <w:sz w:val="11"/>
                <w:szCs w:val="11"/>
              </w:rPr>
              <w:t>2 381</w:t>
            </w:r>
          </w:p>
        </w:tc>
      </w:tr>
      <w:tr w:rsidR="001B0EE5" w:rsidRPr="00BB7C9E" w14:paraId="111CF3AB" w14:textId="77777777" w:rsidTr="001B0EE5">
        <w:trPr>
          <w:trHeight w:val="312"/>
        </w:trPr>
        <w:tc>
          <w:tcPr>
            <w:tcW w:w="1408" w:type="dxa"/>
            <w:tcBorders>
              <w:top w:val="single" w:sz="8" w:space="0" w:color="0077BD"/>
              <w:left w:val="single" w:sz="4" w:space="0" w:color="FFFFFF"/>
              <w:bottom w:val="nil"/>
              <w:right w:val="nil"/>
            </w:tcBorders>
            <w:shd w:val="clear" w:color="auto" w:fill="auto"/>
            <w:vAlign w:val="center"/>
            <w:hideMark/>
          </w:tcPr>
          <w:p w14:paraId="2CC3D568" w14:textId="77777777" w:rsidR="001B0EE5" w:rsidRPr="00BB7C9E" w:rsidRDefault="001B0EE5" w:rsidP="001B0EE5">
            <w:pPr>
              <w:rPr>
                <w:rFonts w:cs="Calibri"/>
                <w:b/>
                <w:bCs/>
                <w:color w:val="000000" w:themeColor="text1"/>
                <w:sz w:val="11"/>
                <w:szCs w:val="11"/>
              </w:rPr>
            </w:pPr>
            <w:r w:rsidRPr="00BB7C9E">
              <w:rPr>
                <w:rFonts w:cs="Calibri"/>
                <w:b/>
                <w:bCs/>
                <w:color w:val="000000" w:themeColor="text1"/>
                <w:sz w:val="11"/>
                <w:szCs w:val="11"/>
              </w:rPr>
              <w:t>Gwarancje i inne produkty finansowe</w:t>
            </w:r>
          </w:p>
        </w:tc>
        <w:tc>
          <w:tcPr>
            <w:tcW w:w="1021" w:type="dxa"/>
            <w:tcBorders>
              <w:top w:val="single" w:sz="8" w:space="0" w:color="0077BD"/>
              <w:left w:val="single" w:sz="8" w:space="0" w:color="0077BD"/>
              <w:bottom w:val="nil"/>
              <w:right w:val="nil"/>
            </w:tcBorders>
            <w:shd w:val="clear" w:color="auto" w:fill="auto"/>
            <w:vAlign w:val="center"/>
          </w:tcPr>
          <w:p w14:paraId="6FDECB86" w14:textId="0EC61657" w:rsidR="001B0EE5" w:rsidRPr="00BB7C9E" w:rsidRDefault="001B0EE5" w:rsidP="001B0EE5">
            <w:pPr>
              <w:jc w:val="right"/>
              <w:rPr>
                <w:rFonts w:cs="Calibri"/>
                <w:b/>
                <w:bCs/>
                <w:color w:val="000000" w:themeColor="text1"/>
                <w:sz w:val="13"/>
                <w:szCs w:val="13"/>
              </w:rPr>
            </w:pPr>
            <w:r w:rsidRPr="00BB7C9E">
              <w:rPr>
                <w:rFonts w:cs="Calibri"/>
                <w:b/>
                <w:bCs/>
                <w:color w:val="000000" w:themeColor="text1"/>
                <w:sz w:val="11"/>
                <w:szCs w:val="11"/>
              </w:rPr>
              <w:t>51 495</w:t>
            </w:r>
          </w:p>
        </w:tc>
        <w:tc>
          <w:tcPr>
            <w:tcW w:w="1021" w:type="dxa"/>
            <w:tcBorders>
              <w:top w:val="single" w:sz="8" w:space="0" w:color="0077BD"/>
              <w:left w:val="single" w:sz="8" w:space="0" w:color="0077BD"/>
              <w:bottom w:val="nil"/>
              <w:right w:val="nil"/>
            </w:tcBorders>
            <w:shd w:val="clear" w:color="auto" w:fill="auto"/>
            <w:vAlign w:val="center"/>
          </w:tcPr>
          <w:p w14:paraId="5132BE3A" w14:textId="380D6AB1"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22B89C4D" w14:textId="75C2D819"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1F50F8A9" w14:textId="4EE92214"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00603833" w14:textId="6354956B" w:rsidR="001B0EE5" w:rsidRPr="001B0EE5" w:rsidRDefault="001B0EE5" w:rsidP="001B0EE5">
            <w:pPr>
              <w:jc w:val="right"/>
              <w:rPr>
                <w:rFonts w:cs="Calibri"/>
                <w:b/>
                <w:bCs/>
                <w:color w:val="000000" w:themeColor="text1"/>
                <w:sz w:val="11"/>
                <w:szCs w:val="11"/>
              </w:rPr>
            </w:pPr>
            <w:r w:rsidRPr="001B0EE5">
              <w:rPr>
                <w:b/>
                <w:bCs/>
                <w:sz w:val="11"/>
                <w:szCs w:val="11"/>
              </w:rPr>
              <w:t>60 502</w:t>
            </w:r>
          </w:p>
        </w:tc>
        <w:tc>
          <w:tcPr>
            <w:tcW w:w="1021" w:type="dxa"/>
            <w:tcBorders>
              <w:top w:val="single" w:sz="8" w:space="0" w:color="0077BD"/>
              <w:left w:val="single" w:sz="8" w:space="0" w:color="0077BD"/>
              <w:bottom w:val="nil"/>
              <w:right w:val="nil"/>
            </w:tcBorders>
            <w:shd w:val="clear" w:color="auto" w:fill="auto"/>
            <w:vAlign w:val="center"/>
          </w:tcPr>
          <w:p w14:paraId="0658B6FA" w14:textId="5E1CAF6B" w:rsidR="001B0EE5" w:rsidRPr="001B0EE5" w:rsidRDefault="001B0EE5" w:rsidP="001B0EE5">
            <w:pPr>
              <w:jc w:val="right"/>
              <w:rPr>
                <w:rFonts w:cs="Calibri"/>
                <w:b/>
                <w:bCs/>
                <w:color w:val="000000" w:themeColor="text1"/>
                <w:sz w:val="11"/>
                <w:szCs w:val="11"/>
              </w:rPr>
            </w:pPr>
            <w:r w:rsidRPr="001B0EE5">
              <w:rPr>
                <w:b/>
                <w:bCs/>
                <w:sz w:val="11"/>
                <w:szCs w:val="11"/>
              </w:rPr>
              <w:t>(28 484)</w:t>
            </w:r>
          </w:p>
        </w:tc>
        <w:tc>
          <w:tcPr>
            <w:tcW w:w="1021" w:type="dxa"/>
            <w:tcBorders>
              <w:top w:val="single" w:sz="8" w:space="0" w:color="0077BD"/>
              <w:left w:val="single" w:sz="8" w:space="0" w:color="0077BD"/>
              <w:bottom w:val="nil"/>
              <w:right w:val="nil"/>
            </w:tcBorders>
            <w:shd w:val="clear" w:color="auto" w:fill="auto"/>
            <w:vAlign w:val="center"/>
          </w:tcPr>
          <w:p w14:paraId="14703C03" w14:textId="62F00182" w:rsidR="001B0EE5" w:rsidRPr="001B0EE5" w:rsidRDefault="001B0EE5" w:rsidP="001B0EE5">
            <w:pPr>
              <w:jc w:val="right"/>
              <w:rPr>
                <w:rFonts w:cs="Calibri"/>
                <w:b/>
                <w:bCs/>
                <w:color w:val="000000" w:themeColor="text1"/>
                <w:sz w:val="11"/>
                <w:szCs w:val="11"/>
              </w:rPr>
            </w:pPr>
            <w:r w:rsidRPr="001B0EE5">
              <w:rPr>
                <w:b/>
                <w:bCs/>
                <w:sz w:val="11"/>
                <w:szCs w:val="11"/>
              </w:rPr>
              <w:t>6 055</w:t>
            </w:r>
          </w:p>
        </w:tc>
        <w:tc>
          <w:tcPr>
            <w:tcW w:w="1021" w:type="dxa"/>
            <w:tcBorders>
              <w:top w:val="single" w:sz="8" w:space="0" w:color="0077BD"/>
              <w:left w:val="single" w:sz="8" w:space="0" w:color="0077BD"/>
              <w:bottom w:val="nil"/>
              <w:right w:val="nil"/>
            </w:tcBorders>
            <w:shd w:val="clear" w:color="auto" w:fill="auto"/>
            <w:vAlign w:val="center"/>
          </w:tcPr>
          <w:p w14:paraId="30BB00DD" w14:textId="436FC910" w:rsidR="001B0EE5" w:rsidRPr="006A048A" w:rsidRDefault="001B0EE5" w:rsidP="001B0EE5">
            <w:pPr>
              <w:jc w:val="right"/>
              <w:rPr>
                <w:rFonts w:cs="Calibri"/>
                <w:b/>
                <w:bCs/>
                <w:color w:val="000000" w:themeColor="text1"/>
                <w:sz w:val="11"/>
                <w:szCs w:val="11"/>
              </w:rPr>
            </w:pPr>
            <w:r w:rsidRPr="006A048A">
              <w:rPr>
                <w:rFonts w:cs="Calibri"/>
                <w:b/>
                <w:bCs/>
                <w:sz w:val="11"/>
                <w:szCs w:val="11"/>
              </w:rPr>
              <w:t>89 568</w:t>
            </w:r>
          </w:p>
        </w:tc>
      </w:tr>
      <w:tr w:rsidR="001B0EE5" w:rsidRPr="00BB7C9E" w14:paraId="3BC50052" w14:textId="77777777" w:rsidTr="001B0EE5">
        <w:trPr>
          <w:trHeight w:val="255"/>
        </w:trPr>
        <w:tc>
          <w:tcPr>
            <w:tcW w:w="1408" w:type="dxa"/>
            <w:tcBorders>
              <w:top w:val="single" w:sz="8" w:space="0" w:color="0077BD"/>
              <w:left w:val="single" w:sz="4" w:space="0" w:color="FFFFFF"/>
              <w:bottom w:val="nil"/>
              <w:right w:val="nil"/>
            </w:tcBorders>
            <w:shd w:val="clear" w:color="auto" w:fill="auto"/>
            <w:vAlign w:val="center"/>
            <w:hideMark/>
          </w:tcPr>
          <w:p w14:paraId="1EBCACFE"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nil"/>
              <w:right w:val="nil"/>
            </w:tcBorders>
            <w:shd w:val="clear" w:color="auto" w:fill="auto"/>
            <w:vAlign w:val="center"/>
          </w:tcPr>
          <w:p w14:paraId="47456181" w14:textId="0A730151"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2 784</w:t>
            </w:r>
          </w:p>
        </w:tc>
        <w:tc>
          <w:tcPr>
            <w:tcW w:w="1021" w:type="dxa"/>
            <w:tcBorders>
              <w:top w:val="single" w:sz="8" w:space="0" w:color="0077BD"/>
              <w:left w:val="single" w:sz="8" w:space="0" w:color="0077BD"/>
              <w:bottom w:val="nil"/>
              <w:right w:val="nil"/>
            </w:tcBorders>
            <w:shd w:val="clear" w:color="auto" w:fill="auto"/>
            <w:vAlign w:val="center"/>
          </w:tcPr>
          <w:p w14:paraId="4BBA7029" w14:textId="328152BD" w:rsidR="001B0EE5" w:rsidRPr="006A048A" w:rsidRDefault="001B0EE5" w:rsidP="001B0EE5">
            <w:pPr>
              <w:jc w:val="right"/>
              <w:rPr>
                <w:rFonts w:cs="Calibri"/>
                <w:color w:val="000000" w:themeColor="text1"/>
                <w:sz w:val="11"/>
                <w:szCs w:val="11"/>
              </w:rPr>
            </w:pPr>
            <w:r w:rsidRPr="006A048A">
              <w:rPr>
                <w:rFonts w:cs="Calibri"/>
                <w:sz w:val="11"/>
                <w:szCs w:val="11"/>
              </w:rPr>
              <w:t>1 484</w:t>
            </w:r>
          </w:p>
        </w:tc>
        <w:tc>
          <w:tcPr>
            <w:tcW w:w="1021" w:type="dxa"/>
            <w:tcBorders>
              <w:top w:val="single" w:sz="8" w:space="0" w:color="0077BD"/>
              <w:left w:val="single" w:sz="8" w:space="0" w:color="0077BD"/>
              <w:bottom w:val="nil"/>
              <w:right w:val="nil"/>
            </w:tcBorders>
            <w:shd w:val="clear" w:color="auto" w:fill="auto"/>
            <w:vAlign w:val="center"/>
          </w:tcPr>
          <w:p w14:paraId="4A6DB268" w14:textId="264FF407" w:rsidR="001B0EE5" w:rsidRPr="006A048A" w:rsidRDefault="001B0EE5" w:rsidP="001B0EE5">
            <w:pPr>
              <w:jc w:val="right"/>
              <w:rPr>
                <w:rFonts w:cs="Calibri"/>
                <w:color w:val="000000" w:themeColor="text1"/>
                <w:sz w:val="11"/>
                <w:szCs w:val="11"/>
              </w:rPr>
            </w:pPr>
            <w:r w:rsidRPr="006A048A">
              <w:rPr>
                <w:rFonts w:cs="Calibri"/>
                <w:sz w:val="11"/>
                <w:szCs w:val="11"/>
              </w:rPr>
              <w:t>(674)</w:t>
            </w:r>
          </w:p>
        </w:tc>
        <w:tc>
          <w:tcPr>
            <w:tcW w:w="1021" w:type="dxa"/>
            <w:tcBorders>
              <w:top w:val="single" w:sz="8" w:space="0" w:color="0077BD"/>
              <w:left w:val="single" w:sz="8" w:space="0" w:color="0077BD"/>
              <w:bottom w:val="nil"/>
              <w:right w:val="nil"/>
            </w:tcBorders>
            <w:shd w:val="clear" w:color="auto" w:fill="auto"/>
            <w:vAlign w:val="center"/>
          </w:tcPr>
          <w:p w14:paraId="6D620DA1" w14:textId="64518270" w:rsidR="001B0EE5" w:rsidRPr="006A048A" w:rsidRDefault="001B0EE5" w:rsidP="001B0EE5">
            <w:pPr>
              <w:jc w:val="right"/>
              <w:rPr>
                <w:rFonts w:cs="Calibri"/>
                <w:color w:val="000000" w:themeColor="text1"/>
                <w:sz w:val="11"/>
                <w:szCs w:val="11"/>
              </w:rPr>
            </w:pPr>
            <w:r w:rsidRPr="006A048A">
              <w:rPr>
                <w:rFonts w:cs="Calibri"/>
                <w:sz w:val="11"/>
                <w:szCs w:val="11"/>
              </w:rPr>
              <w:t>(3)</w:t>
            </w:r>
          </w:p>
        </w:tc>
        <w:tc>
          <w:tcPr>
            <w:tcW w:w="1021" w:type="dxa"/>
            <w:tcBorders>
              <w:top w:val="single" w:sz="8" w:space="0" w:color="0077BD"/>
              <w:left w:val="single" w:sz="8" w:space="0" w:color="0077BD"/>
              <w:bottom w:val="nil"/>
              <w:right w:val="nil"/>
            </w:tcBorders>
            <w:shd w:val="clear" w:color="auto" w:fill="auto"/>
            <w:vAlign w:val="center"/>
          </w:tcPr>
          <w:p w14:paraId="65B1CF20" w14:textId="645A1CA7" w:rsidR="001B0EE5" w:rsidRPr="001B0EE5" w:rsidRDefault="001B0EE5" w:rsidP="001B0EE5">
            <w:pPr>
              <w:jc w:val="right"/>
              <w:rPr>
                <w:rFonts w:cs="Calibri"/>
                <w:color w:val="000000" w:themeColor="text1"/>
                <w:sz w:val="11"/>
                <w:szCs w:val="11"/>
              </w:rPr>
            </w:pPr>
            <w:r w:rsidRPr="001B0EE5">
              <w:rPr>
                <w:sz w:val="11"/>
                <w:szCs w:val="11"/>
              </w:rPr>
              <w:t>13 852</w:t>
            </w:r>
          </w:p>
        </w:tc>
        <w:tc>
          <w:tcPr>
            <w:tcW w:w="1021" w:type="dxa"/>
            <w:tcBorders>
              <w:top w:val="single" w:sz="8" w:space="0" w:color="0077BD"/>
              <w:left w:val="single" w:sz="8" w:space="0" w:color="0077BD"/>
              <w:bottom w:val="nil"/>
              <w:right w:val="nil"/>
            </w:tcBorders>
            <w:shd w:val="clear" w:color="auto" w:fill="auto"/>
            <w:vAlign w:val="center"/>
          </w:tcPr>
          <w:p w14:paraId="7163DF5B" w14:textId="4D2FA1A8" w:rsidR="001B0EE5" w:rsidRPr="001B0EE5" w:rsidRDefault="001B0EE5" w:rsidP="001B0EE5">
            <w:pPr>
              <w:jc w:val="right"/>
              <w:rPr>
                <w:rFonts w:cs="Calibri"/>
                <w:color w:val="000000" w:themeColor="text1"/>
                <w:sz w:val="11"/>
                <w:szCs w:val="11"/>
              </w:rPr>
            </w:pPr>
            <w:r w:rsidRPr="001B0EE5">
              <w:rPr>
                <w:sz w:val="11"/>
                <w:szCs w:val="11"/>
              </w:rPr>
              <w:t>(7 847)</w:t>
            </w:r>
          </w:p>
        </w:tc>
        <w:tc>
          <w:tcPr>
            <w:tcW w:w="1021" w:type="dxa"/>
            <w:tcBorders>
              <w:top w:val="single" w:sz="8" w:space="0" w:color="0077BD"/>
              <w:left w:val="single" w:sz="8" w:space="0" w:color="0077BD"/>
              <w:bottom w:val="nil"/>
              <w:right w:val="nil"/>
            </w:tcBorders>
            <w:shd w:val="clear" w:color="auto" w:fill="auto"/>
            <w:vAlign w:val="center"/>
          </w:tcPr>
          <w:p w14:paraId="1F7C9302" w14:textId="0002553D" w:rsidR="001B0EE5" w:rsidRPr="001B0EE5" w:rsidRDefault="001B0EE5" w:rsidP="001B0EE5">
            <w:pPr>
              <w:jc w:val="right"/>
              <w:rPr>
                <w:rFonts w:cs="Calibri"/>
                <w:color w:val="000000" w:themeColor="text1"/>
                <w:sz w:val="11"/>
                <w:szCs w:val="11"/>
              </w:rPr>
            </w:pPr>
            <w:r w:rsidRPr="001B0EE5">
              <w:rPr>
                <w:sz w:val="11"/>
                <w:szCs w:val="11"/>
              </w:rPr>
              <w:t>(4 815)</w:t>
            </w:r>
          </w:p>
        </w:tc>
        <w:tc>
          <w:tcPr>
            <w:tcW w:w="1021" w:type="dxa"/>
            <w:tcBorders>
              <w:top w:val="single" w:sz="8" w:space="0" w:color="0077BD"/>
              <w:left w:val="single" w:sz="8" w:space="0" w:color="0077BD"/>
              <w:bottom w:val="nil"/>
              <w:right w:val="nil"/>
            </w:tcBorders>
            <w:shd w:val="clear" w:color="auto" w:fill="auto"/>
            <w:vAlign w:val="center"/>
          </w:tcPr>
          <w:p w14:paraId="09206B67" w14:textId="14BD55A7" w:rsidR="001B0EE5" w:rsidRPr="006A048A" w:rsidRDefault="001B0EE5" w:rsidP="001B0EE5">
            <w:pPr>
              <w:jc w:val="right"/>
              <w:rPr>
                <w:rFonts w:cs="Calibri"/>
                <w:color w:val="000000" w:themeColor="text1"/>
                <w:sz w:val="11"/>
                <w:szCs w:val="11"/>
              </w:rPr>
            </w:pPr>
            <w:r w:rsidRPr="006A048A">
              <w:rPr>
                <w:rFonts w:cs="Calibri"/>
                <w:sz w:val="11"/>
                <w:szCs w:val="11"/>
              </w:rPr>
              <w:t>4 781</w:t>
            </w:r>
          </w:p>
        </w:tc>
      </w:tr>
      <w:tr w:rsidR="001B0EE5" w:rsidRPr="00BB7C9E" w14:paraId="7C121355"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0FAA2295"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2</w:t>
            </w:r>
          </w:p>
        </w:tc>
        <w:tc>
          <w:tcPr>
            <w:tcW w:w="1021" w:type="dxa"/>
            <w:tcBorders>
              <w:top w:val="single" w:sz="4" w:space="0" w:color="0077BD"/>
              <w:left w:val="single" w:sz="8" w:space="0" w:color="0077BD"/>
              <w:bottom w:val="single" w:sz="4" w:space="0" w:color="0077BD"/>
              <w:right w:val="nil"/>
            </w:tcBorders>
            <w:shd w:val="clear" w:color="auto" w:fill="auto"/>
            <w:vAlign w:val="center"/>
          </w:tcPr>
          <w:p w14:paraId="0CFD6AF9" w14:textId="7F88E4FF"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4 994</w:t>
            </w:r>
          </w:p>
        </w:tc>
        <w:tc>
          <w:tcPr>
            <w:tcW w:w="1021" w:type="dxa"/>
            <w:tcBorders>
              <w:top w:val="single" w:sz="4" w:space="0" w:color="0077BD"/>
              <w:left w:val="single" w:sz="8" w:space="0" w:color="0077BD"/>
              <w:bottom w:val="nil"/>
              <w:right w:val="nil"/>
            </w:tcBorders>
            <w:shd w:val="clear" w:color="auto" w:fill="auto"/>
            <w:vAlign w:val="center"/>
          </w:tcPr>
          <w:p w14:paraId="70FD98D0" w14:textId="3E8B9B72" w:rsidR="001B0EE5" w:rsidRPr="006A048A" w:rsidRDefault="001B0EE5" w:rsidP="001B0EE5">
            <w:pPr>
              <w:jc w:val="right"/>
              <w:rPr>
                <w:rFonts w:cs="Calibri"/>
                <w:color w:val="000000" w:themeColor="text1"/>
                <w:sz w:val="11"/>
                <w:szCs w:val="11"/>
              </w:rPr>
            </w:pPr>
            <w:r w:rsidRPr="006A048A">
              <w:rPr>
                <w:rFonts w:cs="Calibri"/>
                <w:sz w:val="11"/>
                <w:szCs w:val="11"/>
              </w:rPr>
              <w:t>(1 484)</w:t>
            </w:r>
          </w:p>
        </w:tc>
        <w:tc>
          <w:tcPr>
            <w:tcW w:w="1021" w:type="dxa"/>
            <w:tcBorders>
              <w:top w:val="single" w:sz="4" w:space="0" w:color="0077BD"/>
              <w:left w:val="single" w:sz="8" w:space="0" w:color="0077BD"/>
              <w:bottom w:val="nil"/>
              <w:right w:val="nil"/>
            </w:tcBorders>
            <w:shd w:val="clear" w:color="auto" w:fill="auto"/>
            <w:vAlign w:val="center"/>
          </w:tcPr>
          <w:p w14:paraId="4BDC52E8" w14:textId="0CD72B99" w:rsidR="001B0EE5" w:rsidRPr="006A048A" w:rsidRDefault="001B0EE5" w:rsidP="001B0EE5">
            <w:pPr>
              <w:jc w:val="right"/>
              <w:rPr>
                <w:rFonts w:cs="Calibri"/>
                <w:color w:val="000000" w:themeColor="text1"/>
                <w:sz w:val="11"/>
                <w:szCs w:val="11"/>
              </w:rPr>
            </w:pPr>
            <w:r w:rsidRPr="006A048A">
              <w:rPr>
                <w:rFonts w:cs="Calibri"/>
                <w:sz w:val="11"/>
                <w:szCs w:val="11"/>
              </w:rPr>
              <w:t>674</w:t>
            </w:r>
          </w:p>
        </w:tc>
        <w:tc>
          <w:tcPr>
            <w:tcW w:w="1021" w:type="dxa"/>
            <w:tcBorders>
              <w:top w:val="single" w:sz="4" w:space="0" w:color="0077BD"/>
              <w:left w:val="single" w:sz="8" w:space="0" w:color="0077BD"/>
              <w:bottom w:val="nil"/>
              <w:right w:val="nil"/>
            </w:tcBorders>
            <w:shd w:val="clear" w:color="auto" w:fill="auto"/>
            <w:vAlign w:val="center"/>
          </w:tcPr>
          <w:p w14:paraId="5E65651F" w14:textId="35B0557D" w:rsidR="001B0EE5" w:rsidRPr="006A048A" w:rsidRDefault="001B0EE5" w:rsidP="001B0EE5">
            <w:pPr>
              <w:jc w:val="right"/>
              <w:rPr>
                <w:rFonts w:cs="Calibri"/>
                <w:color w:val="000000" w:themeColor="text1"/>
                <w:sz w:val="11"/>
                <w:szCs w:val="11"/>
              </w:rPr>
            </w:pPr>
            <w:r w:rsidRPr="006A048A">
              <w:rPr>
                <w:rFonts w:cs="Calibri"/>
                <w:sz w:val="11"/>
                <w:szCs w:val="11"/>
              </w:rPr>
              <w:t>(189)</w:t>
            </w:r>
          </w:p>
        </w:tc>
        <w:tc>
          <w:tcPr>
            <w:tcW w:w="1021" w:type="dxa"/>
            <w:tcBorders>
              <w:top w:val="single" w:sz="4" w:space="0" w:color="0077BD"/>
              <w:left w:val="single" w:sz="8" w:space="0" w:color="0077BD"/>
              <w:bottom w:val="nil"/>
              <w:right w:val="nil"/>
            </w:tcBorders>
            <w:shd w:val="clear" w:color="auto" w:fill="auto"/>
            <w:vAlign w:val="center"/>
          </w:tcPr>
          <w:p w14:paraId="72E5441B" w14:textId="572C4486" w:rsidR="001B0EE5" w:rsidRPr="001B0EE5" w:rsidRDefault="001B0EE5" w:rsidP="001B0EE5">
            <w:pPr>
              <w:jc w:val="right"/>
              <w:rPr>
                <w:rFonts w:cs="Calibri"/>
                <w:color w:val="000000" w:themeColor="text1"/>
                <w:sz w:val="11"/>
                <w:szCs w:val="11"/>
              </w:rPr>
            </w:pPr>
            <w:r w:rsidRPr="001B0EE5">
              <w:rPr>
                <w:sz w:val="11"/>
                <w:szCs w:val="11"/>
              </w:rPr>
              <w:t>2 773</w:t>
            </w:r>
          </w:p>
        </w:tc>
        <w:tc>
          <w:tcPr>
            <w:tcW w:w="1021" w:type="dxa"/>
            <w:tcBorders>
              <w:top w:val="single" w:sz="4" w:space="0" w:color="0077BD"/>
              <w:left w:val="single" w:sz="8" w:space="0" w:color="0077BD"/>
              <w:bottom w:val="nil"/>
              <w:right w:val="nil"/>
            </w:tcBorders>
            <w:shd w:val="clear" w:color="auto" w:fill="auto"/>
            <w:vAlign w:val="center"/>
          </w:tcPr>
          <w:p w14:paraId="6072A496" w14:textId="35F05386" w:rsidR="001B0EE5" w:rsidRPr="001B0EE5" w:rsidRDefault="001B0EE5" w:rsidP="001B0EE5">
            <w:pPr>
              <w:jc w:val="right"/>
              <w:rPr>
                <w:rFonts w:cs="Calibri"/>
                <w:color w:val="000000" w:themeColor="text1"/>
                <w:sz w:val="11"/>
                <w:szCs w:val="11"/>
              </w:rPr>
            </w:pPr>
            <w:r w:rsidRPr="001B0EE5">
              <w:rPr>
                <w:sz w:val="11"/>
                <w:szCs w:val="11"/>
              </w:rPr>
              <w:t>(1 755)</w:t>
            </w:r>
          </w:p>
        </w:tc>
        <w:tc>
          <w:tcPr>
            <w:tcW w:w="1021" w:type="dxa"/>
            <w:tcBorders>
              <w:top w:val="single" w:sz="4" w:space="0" w:color="0077BD"/>
              <w:left w:val="single" w:sz="8" w:space="0" w:color="0077BD"/>
              <w:bottom w:val="nil"/>
              <w:right w:val="nil"/>
            </w:tcBorders>
            <w:shd w:val="clear" w:color="auto" w:fill="auto"/>
            <w:vAlign w:val="center"/>
          </w:tcPr>
          <w:p w14:paraId="2920F42C" w14:textId="0B2FFA57" w:rsidR="001B0EE5" w:rsidRPr="001B0EE5" w:rsidRDefault="001B0EE5" w:rsidP="001B0EE5">
            <w:pPr>
              <w:jc w:val="right"/>
              <w:rPr>
                <w:rFonts w:cs="Calibri"/>
                <w:color w:val="000000" w:themeColor="text1"/>
                <w:sz w:val="11"/>
                <w:szCs w:val="11"/>
              </w:rPr>
            </w:pPr>
            <w:r w:rsidRPr="001B0EE5">
              <w:rPr>
                <w:sz w:val="11"/>
                <w:szCs w:val="11"/>
              </w:rPr>
              <w:t>(300)</w:t>
            </w:r>
          </w:p>
        </w:tc>
        <w:tc>
          <w:tcPr>
            <w:tcW w:w="1021" w:type="dxa"/>
            <w:tcBorders>
              <w:top w:val="single" w:sz="4" w:space="0" w:color="0077BD"/>
              <w:left w:val="single" w:sz="8" w:space="0" w:color="0077BD"/>
              <w:bottom w:val="single" w:sz="4" w:space="0" w:color="0077BD"/>
              <w:right w:val="nil"/>
            </w:tcBorders>
            <w:shd w:val="clear" w:color="auto" w:fill="auto"/>
            <w:vAlign w:val="center"/>
          </w:tcPr>
          <w:p w14:paraId="7044021D" w14:textId="3C030622" w:rsidR="001B0EE5" w:rsidRPr="006A048A" w:rsidRDefault="001B0EE5" w:rsidP="001B0EE5">
            <w:pPr>
              <w:jc w:val="right"/>
              <w:rPr>
                <w:rFonts w:cs="Calibri"/>
                <w:color w:val="000000" w:themeColor="text1"/>
                <w:sz w:val="11"/>
                <w:szCs w:val="11"/>
              </w:rPr>
            </w:pPr>
            <w:r w:rsidRPr="006A048A">
              <w:rPr>
                <w:rFonts w:cs="Calibri"/>
                <w:sz w:val="11"/>
                <w:szCs w:val="11"/>
              </w:rPr>
              <w:t>4 713</w:t>
            </w:r>
          </w:p>
        </w:tc>
      </w:tr>
      <w:tr w:rsidR="001B0EE5" w:rsidRPr="00BB7C9E" w14:paraId="756EAF75"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5C7CAD5F"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3</w:t>
            </w:r>
          </w:p>
        </w:tc>
        <w:tc>
          <w:tcPr>
            <w:tcW w:w="1021" w:type="dxa"/>
            <w:tcBorders>
              <w:top w:val="nil"/>
              <w:left w:val="single" w:sz="8" w:space="0" w:color="0077BD"/>
              <w:bottom w:val="nil"/>
              <w:right w:val="nil"/>
            </w:tcBorders>
            <w:shd w:val="clear" w:color="auto" w:fill="auto"/>
            <w:vAlign w:val="center"/>
          </w:tcPr>
          <w:p w14:paraId="3613FB57" w14:textId="67CE1281"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47 154</w:t>
            </w:r>
          </w:p>
        </w:tc>
        <w:tc>
          <w:tcPr>
            <w:tcW w:w="1021" w:type="dxa"/>
            <w:tcBorders>
              <w:top w:val="single" w:sz="4" w:space="0" w:color="0077BD"/>
              <w:left w:val="single" w:sz="8" w:space="0" w:color="0077BD"/>
              <w:bottom w:val="nil"/>
              <w:right w:val="nil"/>
            </w:tcBorders>
            <w:shd w:val="clear" w:color="auto" w:fill="auto"/>
            <w:vAlign w:val="center"/>
          </w:tcPr>
          <w:p w14:paraId="379E0CAD" w14:textId="5B0F25E2"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45591B0B" w14:textId="6F2D3FA4"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066F58CE" w14:textId="35EF700A" w:rsidR="001B0EE5" w:rsidRPr="006A048A" w:rsidRDefault="001B0EE5" w:rsidP="001B0EE5">
            <w:pPr>
              <w:jc w:val="right"/>
              <w:rPr>
                <w:rFonts w:cs="Calibri"/>
                <w:color w:val="000000" w:themeColor="text1"/>
                <w:sz w:val="11"/>
                <w:szCs w:val="11"/>
              </w:rPr>
            </w:pPr>
            <w:r w:rsidRPr="006A048A">
              <w:rPr>
                <w:rFonts w:cs="Calibri"/>
                <w:sz w:val="11"/>
                <w:szCs w:val="11"/>
              </w:rPr>
              <w:t>192</w:t>
            </w:r>
          </w:p>
        </w:tc>
        <w:tc>
          <w:tcPr>
            <w:tcW w:w="1021" w:type="dxa"/>
            <w:tcBorders>
              <w:top w:val="single" w:sz="4" w:space="0" w:color="0077BD"/>
              <w:left w:val="single" w:sz="8" w:space="0" w:color="0077BD"/>
              <w:bottom w:val="nil"/>
              <w:right w:val="nil"/>
            </w:tcBorders>
            <w:shd w:val="clear" w:color="auto" w:fill="auto"/>
            <w:vAlign w:val="center"/>
          </w:tcPr>
          <w:p w14:paraId="78AE8836" w14:textId="7FF42774" w:rsidR="001B0EE5" w:rsidRPr="001B0EE5" w:rsidRDefault="001B0EE5" w:rsidP="001B0EE5">
            <w:pPr>
              <w:jc w:val="right"/>
              <w:rPr>
                <w:rFonts w:cs="Calibri"/>
                <w:color w:val="000000" w:themeColor="text1"/>
                <w:sz w:val="11"/>
                <w:szCs w:val="11"/>
              </w:rPr>
            </w:pPr>
            <w:r w:rsidRPr="001B0EE5">
              <w:rPr>
                <w:sz w:val="11"/>
                <w:szCs w:val="11"/>
              </w:rPr>
              <w:t>43 877</w:t>
            </w:r>
          </w:p>
        </w:tc>
        <w:tc>
          <w:tcPr>
            <w:tcW w:w="1021" w:type="dxa"/>
            <w:tcBorders>
              <w:top w:val="single" w:sz="4" w:space="0" w:color="0077BD"/>
              <w:left w:val="single" w:sz="8" w:space="0" w:color="0077BD"/>
              <w:bottom w:val="nil"/>
              <w:right w:val="nil"/>
            </w:tcBorders>
            <w:shd w:val="clear" w:color="auto" w:fill="auto"/>
            <w:vAlign w:val="center"/>
          </w:tcPr>
          <w:p w14:paraId="5AAC745B" w14:textId="4605538C" w:rsidR="001B0EE5" w:rsidRPr="001B0EE5" w:rsidRDefault="001B0EE5" w:rsidP="001B0EE5">
            <w:pPr>
              <w:jc w:val="right"/>
              <w:rPr>
                <w:rFonts w:cs="Calibri"/>
                <w:color w:val="000000" w:themeColor="text1"/>
                <w:sz w:val="11"/>
                <w:szCs w:val="11"/>
              </w:rPr>
            </w:pPr>
            <w:r w:rsidRPr="001B0EE5">
              <w:rPr>
                <w:sz w:val="11"/>
                <w:szCs w:val="11"/>
              </w:rPr>
              <w:t>(20 477)</w:t>
            </w:r>
          </w:p>
        </w:tc>
        <w:tc>
          <w:tcPr>
            <w:tcW w:w="1021" w:type="dxa"/>
            <w:tcBorders>
              <w:top w:val="single" w:sz="4" w:space="0" w:color="0077BD"/>
              <w:left w:val="single" w:sz="8" w:space="0" w:color="0077BD"/>
              <w:bottom w:val="nil"/>
              <w:right w:val="nil"/>
            </w:tcBorders>
            <w:shd w:val="clear" w:color="auto" w:fill="auto"/>
            <w:vAlign w:val="center"/>
          </w:tcPr>
          <w:p w14:paraId="24F8A0E6" w14:textId="50310147" w:rsidR="001B0EE5" w:rsidRPr="001B0EE5" w:rsidRDefault="001B0EE5" w:rsidP="001B0EE5">
            <w:pPr>
              <w:jc w:val="right"/>
              <w:rPr>
                <w:rFonts w:cs="Calibri"/>
                <w:color w:val="000000" w:themeColor="text1"/>
                <w:sz w:val="11"/>
                <w:szCs w:val="11"/>
              </w:rPr>
            </w:pPr>
            <w:r w:rsidRPr="001B0EE5">
              <w:rPr>
                <w:sz w:val="11"/>
                <w:szCs w:val="11"/>
              </w:rPr>
              <w:t>8 938</w:t>
            </w:r>
          </w:p>
        </w:tc>
        <w:tc>
          <w:tcPr>
            <w:tcW w:w="1021" w:type="dxa"/>
            <w:tcBorders>
              <w:top w:val="nil"/>
              <w:left w:val="single" w:sz="8" w:space="0" w:color="0077BD"/>
              <w:bottom w:val="nil"/>
              <w:right w:val="nil"/>
            </w:tcBorders>
            <w:shd w:val="clear" w:color="auto" w:fill="auto"/>
            <w:vAlign w:val="center"/>
          </w:tcPr>
          <w:p w14:paraId="71416939" w14:textId="3DE51DF3" w:rsidR="001B0EE5" w:rsidRPr="006A048A" w:rsidRDefault="001B0EE5" w:rsidP="001B0EE5">
            <w:pPr>
              <w:jc w:val="right"/>
              <w:rPr>
                <w:rFonts w:cs="Calibri"/>
                <w:color w:val="000000" w:themeColor="text1"/>
                <w:sz w:val="11"/>
                <w:szCs w:val="11"/>
              </w:rPr>
            </w:pPr>
            <w:r w:rsidRPr="006A048A">
              <w:rPr>
                <w:rFonts w:cs="Calibri"/>
                <w:sz w:val="11"/>
                <w:szCs w:val="11"/>
              </w:rPr>
              <w:t>79 684</w:t>
            </w:r>
          </w:p>
        </w:tc>
      </w:tr>
      <w:tr w:rsidR="001B0EE5" w:rsidRPr="00BB7C9E" w14:paraId="6DAC88D7" w14:textId="77777777" w:rsidTr="001B0EE5">
        <w:trPr>
          <w:trHeight w:val="255"/>
        </w:trPr>
        <w:tc>
          <w:tcPr>
            <w:tcW w:w="1408" w:type="dxa"/>
            <w:tcBorders>
              <w:top w:val="single" w:sz="4" w:space="0" w:color="0077BD"/>
              <w:left w:val="single" w:sz="4" w:space="0" w:color="FFFFFF"/>
              <w:bottom w:val="nil"/>
              <w:right w:val="nil"/>
            </w:tcBorders>
            <w:shd w:val="clear" w:color="auto" w:fill="auto"/>
            <w:vAlign w:val="center"/>
            <w:hideMark/>
          </w:tcPr>
          <w:p w14:paraId="324E102B"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POCI</w:t>
            </w:r>
          </w:p>
        </w:tc>
        <w:tc>
          <w:tcPr>
            <w:tcW w:w="1021" w:type="dxa"/>
            <w:tcBorders>
              <w:top w:val="single" w:sz="4" w:space="0" w:color="0077BD"/>
              <w:left w:val="single" w:sz="8" w:space="0" w:color="0077BD"/>
              <w:bottom w:val="single" w:sz="8" w:space="0" w:color="0077BD"/>
              <w:right w:val="nil"/>
            </w:tcBorders>
            <w:shd w:val="clear" w:color="auto" w:fill="auto"/>
            <w:vAlign w:val="center"/>
          </w:tcPr>
          <w:p w14:paraId="77CF146A" w14:textId="4F6C3B6E"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(3 437)</w:t>
            </w:r>
          </w:p>
        </w:tc>
        <w:tc>
          <w:tcPr>
            <w:tcW w:w="1021" w:type="dxa"/>
            <w:tcBorders>
              <w:top w:val="single" w:sz="4" w:space="0" w:color="0077BD"/>
              <w:left w:val="single" w:sz="8" w:space="0" w:color="0077BD"/>
              <w:bottom w:val="nil"/>
              <w:right w:val="nil"/>
            </w:tcBorders>
            <w:shd w:val="clear" w:color="auto" w:fill="auto"/>
            <w:vAlign w:val="center"/>
          </w:tcPr>
          <w:p w14:paraId="5E4F1BB2" w14:textId="19BAD6C9"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1BE658CD" w14:textId="2FCE98E3"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6EE981D8" w14:textId="23CC1B53"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0F271F5A" w14:textId="53FC18CE" w:rsidR="001B0EE5" w:rsidRPr="001B0EE5" w:rsidRDefault="001B0EE5" w:rsidP="001B0EE5">
            <w:pPr>
              <w:jc w:val="right"/>
              <w:rPr>
                <w:rFonts w:cs="Calibri"/>
                <w:color w:val="000000" w:themeColor="text1"/>
                <w:sz w:val="11"/>
                <w:szCs w:val="11"/>
              </w:rPr>
            </w:pPr>
            <w:r w:rsidRPr="001B0EE5">
              <w:rPr>
                <w:sz w:val="11"/>
                <w:szCs w:val="11"/>
              </w:rPr>
              <w:t>-</w:t>
            </w:r>
          </w:p>
        </w:tc>
        <w:tc>
          <w:tcPr>
            <w:tcW w:w="1021" w:type="dxa"/>
            <w:tcBorders>
              <w:top w:val="single" w:sz="4" w:space="0" w:color="0077BD"/>
              <w:left w:val="single" w:sz="8" w:space="0" w:color="0077BD"/>
              <w:bottom w:val="nil"/>
              <w:right w:val="nil"/>
            </w:tcBorders>
            <w:shd w:val="clear" w:color="auto" w:fill="auto"/>
            <w:vAlign w:val="center"/>
          </w:tcPr>
          <w:p w14:paraId="6AEA781D" w14:textId="6F8F138B" w:rsidR="001B0EE5" w:rsidRPr="001B0EE5" w:rsidRDefault="001B0EE5" w:rsidP="001B0EE5">
            <w:pPr>
              <w:jc w:val="right"/>
              <w:rPr>
                <w:rFonts w:cs="Calibri"/>
                <w:color w:val="000000" w:themeColor="text1"/>
                <w:sz w:val="11"/>
                <w:szCs w:val="11"/>
              </w:rPr>
            </w:pPr>
            <w:r w:rsidRPr="001B0EE5">
              <w:rPr>
                <w:sz w:val="11"/>
                <w:szCs w:val="11"/>
              </w:rPr>
              <w:t>1 595</w:t>
            </w:r>
          </w:p>
        </w:tc>
        <w:tc>
          <w:tcPr>
            <w:tcW w:w="1021" w:type="dxa"/>
            <w:tcBorders>
              <w:top w:val="single" w:sz="4" w:space="0" w:color="0077BD"/>
              <w:left w:val="single" w:sz="8" w:space="0" w:color="0077BD"/>
              <w:bottom w:val="nil"/>
              <w:right w:val="nil"/>
            </w:tcBorders>
            <w:shd w:val="clear" w:color="auto" w:fill="auto"/>
            <w:vAlign w:val="center"/>
          </w:tcPr>
          <w:p w14:paraId="400EE81F" w14:textId="603E1FAC" w:rsidR="001B0EE5" w:rsidRPr="001B0EE5" w:rsidRDefault="001B0EE5" w:rsidP="001B0EE5">
            <w:pPr>
              <w:jc w:val="right"/>
              <w:rPr>
                <w:rFonts w:cs="Calibri"/>
                <w:color w:val="000000" w:themeColor="text1"/>
                <w:sz w:val="11"/>
                <w:szCs w:val="11"/>
              </w:rPr>
            </w:pPr>
            <w:r w:rsidRPr="001B0EE5">
              <w:rPr>
                <w:sz w:val="11"/>
                <w:szCs w:val="11"/>
              </w:rPr>
              <w:t>2 232</w:t>
            </w:r>
          </w:p>
        </w:tc>
        <w:tc>
          <w:tcPr>
            <w:tcW w:w="1021" w:type="dxa"/>
            <w:tcBorders>
              <w:top w:val="single" w:sz="4" w:space="0" w:color="0077BD"/>
              <w:left w:val="single" w:sz="8" w:space="0" w:color="0077BD"/>
              <w:bottom w:val="single" w:sz="8" w:space="0" w:color="0077BD"/>
              <w:right w:val="nil"/>
            </w:tcBorders>
            <w:shd w:val="clear" w:color="auto" w:fill="auto"/>
            <w:vAlign w:val="center"/>
          </w:tcPr>
          <w:p w14:paraId="16EBC335" w14:textId="4B7565F2" w:rsidR="001B0EE5" w:rsidRPr="006A048A" w:rsidRDefault="001B0EE5" w:rsidP="001B0EE5">
            <w:pPr>
              <w:jc w:val="right"/>
              <w:rPr>
                <w:rFonts w:cs="Calibri"/>
                <w:color w:val="000000" w:themeColor="text1"/>
                <w:sz w:val="11"/>
                <w:szCs w:val="11"/>
              </w:rPr>
            </w:pPr>
            <w:r w:rsidRPr="006A048A">
              <w:rPr>
                <w:rFonts w:cs="Calibri"/>
                <w:sz w:val="11"/>
                <w:szCs w:val="11"/>
              </w:rPr>
              <w:t>390</w:t>
            </w:r>
          </w:p>
        </w:tc>
      </w:tr>
      <w:tr w:rsidR="001B0EE5" w:rsidRPr="00BB7C9E" w14:paraId="1A562948" w14:textId="77777777" w:rsidTr="001B0EE5">
        <w:trPr>
          <w:trHeight w:val="312"/>
        </w:trPr>
        <w:tc>
          <w:tcPr>
            <w:tcW w:w="1408" w:type="dxa"/>
            <w:tcBorders>
              <w:top w:val="single" w:sz="8" w:space="0" w:color="0077BD"/>
              <w:left w:val="single" w:sz="4" w:space="0" w:color="FFFFFF"/>
              <w:bottom w:val="nil"/>
              <w:right w:val="nil"/>
            </w:tcBorders>
            <w:shd w:val="clear" w:color="auto" w:fill="auto"/>
            <w:vAlign w:val="center"/>
            <w:hideMark/>
          </w:tcPr>
          <w:p w14:paraId="0F0A8FFA" w14:textId="77777777" w:rsidR="001B0EE5" w:rsidRPr="00BB7C9E" w:rsidRDefault="001B0EE5" w:rsidP="001B0EE5">
            <w:pPr>
              <w:rPr>
                <w:rFonts w:cs="Calibri"/>
                <w:b/>
                <w:bCs/>
                <w:color w:val="000000" w:themeColor="text1"/>
                <w:sz w:val="11"/>
                <w:szCs w:val="11"/>
              </w:rPr>
            </w:pPr>
            <w:r w:rsidRPr="00BB7C9E">
              <w:rPr>
                <w:rFonts w:cs="Calibri"/>
                <w:b/>
                <w:bCs/>
                <w:color w:val="000000" w:themeColor="text1"/>
                <w:sz w:val="11"/>
                <w:szCs w:val="11"/>
              </w:rPr>
              <w:t>Pozostałe zobowiązania</w:t>
            </w:r>
          </w:p>
        </w:tc>
        <w:tc>
          <w:tcPr>
            <w:tcW w:w="1021" w:type="dxa"/>
            <w:tcBorders>
              <w:top w:val="nil"/>
              <w:left w:val="single" w:sz="8" w:space="0" w:color="0077BD"/>
              <w:bottom w:val="single" w:sz="8" w:space="0" w:color="0077BD"/>
              <w:right w:val="nil"/>
            </w:tcBorders>
            <w:shd w:val="clear" w:color="auto" w:fill="auto"/>
            <w:vAlign w:val="center"/>
          </w:tcPr>
          <w:p w14:paraId="234224A4" w14:textId="1BB7F315" w:rsidR="001B0EE5" w:rsidRPr="00BB7C9E" w:rsidRDefault="001B0EE5" w:rsidP="001B0EE5">
            <w:pPr>
              <w:jc w:val="right"/>
              <w:rPr>
                <w:rFonts w:cs="Calibri"/>
                <w:b/>
                <w:bCs/>
                <w:color w:val="000000" w:themeColor="text1"/>
                <w:sz w:val="13"/>
                <w:szCs w:val="13"/>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3B84719C" w14:textId="71D4E049"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630732D4" w14:textId="0EAD3587"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2635E1F5" w14:textId="25EB29D3"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7C2A3FE7" w14:textId="42D85555" w:rsidR="001B0EE5" w:rsidRPr="001B0EE5" w:rsidRDefault="001B0EE5" w:rsidP="001B0EE5">
            <w:pPr>
              <w:jc w:val="right"/>
              <w:rPr>
                <w:rFonts w:cs="Calibri"/>
                <w:b/>
                <w:bCs/>
                <w:color w:val="000000" w:themeColor="text1"/>
                <w:sz w:val="11"/>
                <w:szCs w:val="11"/>
              </w:rPr>
            </w:pPr>
            <w:r w:rsidRPr="001B0EE5">
              <w:rPr>
                <w:b/>
                <w:bCs/>
                <w:sz w:val="11"/>
                <w:szCs w:val="11"/>
              </w:rPr>
              <w:t>109</w:t>
            </w:r>
          </w:p>
        </w:tc>
        <w:tc>
          <w:tcPr>
            <w:tcW w:w="1021" w:type="dxa"/>
            <w:tcBorders>
              <w:top w:val="single" w:sz="8" w:space="0" w:color="0077BD"/>
              <w:left w:val="single" w:sz="8" w:space="0" w:color="0077BD"/>
              <w:bottom w:val="nil"/>
              <w:right w:val="nil"/>
            </w:tcBorders>
            <w:shd w:val="clear" w:color="auto" w:fill="auto"/>
            <w:vAlign w:val="center"/>
          </w:tcPr>
          <w:p w14:paraId="7BE28131" w14:textId="5DD4F9B2" w:rsidR="001B0EE5" w:rsidRPr="001B0EE5" w:rsidRDefault="001B0EE5" w:rsidP="001B0EE5">
            <w:pPr>
              <w:jc w:val="right"/>
              <w:rPr>
                <w:rFonts w:cs="Calibri"/>
                <w:b/>
                <w:bCs/>
                <w:color w:val="000000" w:themeColor="text1"/>
                <w:sz w:val="11"/>
                <w:szCs w:val="11"/>
              </w:rPr>
            </w:pPr>
            <w:r w:rsidRPr="001B0EE5">
              <w:rPr>
                <w:b/>
                <w:bCs/>
                <w:sz w:val="11"/>
                <w:szCs w:val="11"/>
              </w:rPr>
              <w:t>(109)</w:t>
            </w:r>
          </w:p>
        </w:tc>
        <w:tc>
          <w:tcPr>
            <w:tcW w:w="1021" w:type="dxa"/>
            <w:tcBorders>
              <w:top w:val="single" w:sz="8" w:space="0" w:color="0077BD"/>
              <w:left w:val="single" w:sz="8" w:space="0" w:color="0077BD"/>
              <w:bottom w:val="nil"/>
              <w:right w:val="nil"/>
            </w:tcBorders>
            <w:shd w:val="clear" w:color="auto" w:fill="auto"/>
            <w:vAlign w:val="center"/>
          </w:tcPr>
          <w:p w14:paraId="3B8333CE" w14:textId="064F79B5" w:rsidR="001B0EE5" w:rsidRPr="001B0EE5" w:rsidRDefault="001B0EE5" w:rsidP="001B0EE5">
            <w:pPr>
              <w:jc w:val="right"/>
              <w:rPr>
                <w:rFonts w:cs="Calibri"/>
                <w:b/>
                <w:bCs/>
                <w:color w:val="000000" w:themeColor="text1"/>
                <w:sz w:val="11"/>
                <w:szCs w:val="11"/>
              </w:rPr>
            </w:pPr>
            <w:r w:rsidRPr="001B0EE5">
              <w:rPr>
                <w:b/>
                <w:bCs/>
                <w:sz w:val="11"/>
                <w:szCs w:val="11"/>
              </w:rPr>
              <w:t>-</w:t>
            </w:r>
          </w:p>
        </w:tc>
        <w:tc>
          <w:tcPr>
            <w:tcW w:w="1021" w:type="dxa"/>
            <w:tcBorders>
              <w:top w:val="nil"/>
              <w:left w:val="single" w:sz="8" w:space="0" w:color="0077BD"/>
              <w:bottom w:val="single" w:sz="8" w:space="0" w:color="0077BD"/>
              <w:right w:val="nil"/>
            </w:tcBorders>
            <w:shd w:val="clear" w:color="auto" w:fill="auto"/>
            <w:vAlign w:val="center"/>
          </w:tcPr>
          <w:p w14:paraId="33673B2E" w14:textId="4206C23F"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r>
      <w:tr w:rsidR="001B0EE5" w:rsidRPr="00BB7C9E" w14:paraId="08062D92" w14:textId="77777777" w:rsidTr="001B0EE5">
        <w:trPr>
          <w:trHeight w:val="255"/>
        </w:trPr>
        <w:tc>
          <w:tcPr>
            <w:tcW w:w="1408" w:type="dxa"/>
            <w:tcBorders>
              <w:top w:val="single" w:sz="8" w:space="0" w:color="0077BD"/>
              <w:left w:val="single" w:sz="4" w:space="0" w:color="FFFFFF"/>
              <w:bottom w:val="nil"/>
              <w:right w:val="nil"/>
            </w:tcBorders>
            <w:shd w:val="clear" w:color="auto" w:fill="auto"/>
            <w:vAlign w:val="center"/>
            <w:hideMark/>
          </w:tcPr>
          <w:p w14:paraId="767A7343" w14:textId="77777777" w:rsidR="001B0EE5" w:rsidRPr="00BB7C9E" w:rsidRDefault="001B0EE5" w:rsidP="001B0EE5">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52A4D5D0" w14:textId="2A1C8F20" w:rsidR="001B0EE5" w:rsidRPr="00BB7C9E" w:rsidRDefault="001B0EE5" w:rsidP="001B0EE5">
            <w:pPr>
              <w:jc w:val="right"/>
              <w:rPr>
                <w:rFonts w:cs="Calibri"/>
                <w:color w:val="000000" w:themeColor="text1"/>
                <w:sz w:val="13"/>
                <w:szCs w:val="13"/>
              </w:rPr>
            </w:pPr>
            <w:r w:rsidRPr="00BB7C9E">
              <w:rPr>
                <w:rFonts w:cs="Calibri"/>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18AB6BCD" w14:textId="1856B07F"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035345C8" w14:textId="50BDC829"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2CA8C6E0" w14:textId="1BB4A670" w:rsidR="001B0EE5" w:rsidRPr="006A048A" w:rsidRDefault="001B0EE5" w:rsidP="001B0EE5">
            <w:pPr>
              <w:jc w:val="right"/>
              <w:rPr>
                <w:rFonts w:cs="Calibri"/>
                <w:color w:val="000000" w:themeColor="text1"/>
                <w:sz w:val="11"/>
                <w:szCs w:val="11"/>
              </w:rPr>
            </w:pPr>
            <w:r w:rsidRPr="006A048A">
              <w:rPr>
                <w:rFonts w:cs="Calibri"/>
                <w:sz w:val="11"/>
                <w:szCs w:val="11"/>
              </w:rPr>
              <w:t>-</w:t>
            </w:r>
          </w:p>
        </w:tc>
        <w:tc>
          <w:tcPr>
            <w:tcW w:w="1021" w:type="dxa"/>
            <w:tcBorders>
              <w:top w:val="single" w:sz="8" w:space="0" w:color="0077BD"/>
              <w:left w:val="single" w:sz="8" w:space="0" w:color="0077BD"/>
              <w:bottom w:val="nil"/>
              <w:right w:val="nil"/>
            </w:tcBorders>
            <w:shd w:val="clear" w:color="auto" w:fill="auto"/>
            <w:vAlign w:val="center"/>
          </w:tcPr>
          <w:p w14:paraId="61E24236" w14:textId="4BC51825" w:rsidR="001B0EE5" w:rsidRPr="001B0EE5" w:rsidRDefault="001B0EE5" w:rsidP="001B0EE5">
            <w:pPr>
              <w:jc w:val="right"/>
              <w:rPr>
                <w:rFonts w:cs="Calibri"/>
                <w:color w:val="000000" w:themeColor="text1"/>
                <w:sz w:val="11"/>
                <w:szCs w:val="11"/>
              </w:rPr>
            </w:pPr>
            <w:r w:rsidRPr="001B0EE5">
              <w:rPr>
                <w:sz w:val="11"/>
                <w:szCs w:val="11"/>
              </w:rPr>
              <w:t>109</w:t>
            </w:r>
          </w:p>
        </w:tc>
        <w:tc>
          <w:tcPr>
            <w:tcW w:w="1021" w:type="dxa"/>
            <w:tcBorders>
              <w:top w:val="single" w:sz="8" w:space="0" w:color="0077BD"/>
              <w:left w:val="single" w:sz="8" w:space="0" w:color="0077BD"/>
              <w:bottom w:val="nil"/>
              <w:right w:val="nil"/>
            </w:tcBorders>
            <w:shd w:val="clear" w:color="auto" w:fill="auto"/>
            <w:vAlign w:val="center"/>
          </w:tcPr>
          <w:p w14:paraId="4013035C" w14:textId="15B4B3E4" w:rsidR="001B0EE5" w:rsidRPr="001B0EE5" w:rsidRDefault="001B0EE5" w:rsidP="001B0EE5">
            <w:pPr>
              <w:jc w:val="right"/>
              <w:rPr>
                <w:rFonts w:cs="Calibri"/>
                <w:color w:val="000000" w:themeColor="text1"/>
                <w:sz w:val="11"/>
                <w:szCs w:val="11"/>
              </w:rPr>
            </w:pPr>
            <w:r w:rsidRPr="001B0EE5">
              <w:rPr>
                <w:sz w:val="11"/>
                <w:szCs w:val="11"/>
              </w:rPr>
              <w:t>(109)</w:t>
            </w:r>
          </w:p>
        </w:tc>
        <w:tc>
          <w:tcPr>
            <w:tcW w:w="1021" w:type="dxa"/>
            <w:tcBorders>
              <w:top w:val="single" w:sz="8" w:space="0" w:color="0077BD"/>
              <w:left w:val="single" w:sz="8" w:space="0" w:color="0077BD"/>
              <w:bottom w:val="nil"/>
              <w:right w:val="nil"/>
            </w:tcBorders>
            <w:shd w:val="clear" w:color="auto" w:fill="auto"/>
            <w:vAlign w:val="center"/>
          </w:tcPr>
          <w:p w14:paraId="3474AFEC" w14:textId="6F9F1891" w:rsidR="001B0EE5" w:rsidRPr="001B0EE5" w:rsidRDefault="001B0EE5" w:rsidP="001B0EE5">
            <w:pPr>
              <w:jc w:val="right"/>
              <w:rPr>
                <w:rFonts w:cs="Calibri"/>
                <w:color w:val="000000" w:themeColor="text1"/>
                <w:sz w:val="11"/>
                <w:szCs w:val="11"/>
              </w:rPr>
            </w:pPr>
            <w:r w:rsidRPr="001B0EE5">
              <w:rPr>
                <w:sz w:val="11"/>
                <w:szCs w:val="11"/>
              </w:rPr>
              <w:t>-</w:t>
            </w:r>
          </w:p>
        </w:tc>
        <w:tc>
          <w:tcPr>
            <w:tcW w:w="1021" w:type="dxa"/>
            <w:tcBorders>
              <w:top w:val="nil"/>
              <w:left w:val="single" w:sz="8" w:space="0" w:color="0077BD"/>
              <w:bottom w:val="single" w:sz="8" w:space="0" w:color="0077BD"/>
              <w:right w:val="nil"/>
            </w:tcBorders>
            <w:shd w:val="clear" w:color="auto" w:fill="auto"/>
            <w:vAlign w:val="center"/>
          </w:tcPr>
          <w:p w14:paraId="7B8DBFDB" w14:textId="0A81BF52" w:rsidR="001B0EE5" w:rsidRPr="006A048A" w:rsidRDefault="001B0EE5" w:rsidP="001B0EE5">
            <w:pPr>
              <w:jc w:val="right"/>
              <w:rPr>
                <w:rFonts w:cs="Calibri"/>
                <w:color w:val="000000" w:themeColor="text1"/>
                <w:sz w:val="11"/>
                <w:szCs w:val="11"/>
              </w:rPr>
            </w:pPr>
            <w:r w:rsidRPr="006A048A">
              <w:rPr>
                <w:rFonts w:cs="Calibri"/>
                <w:sz w:val="11"/>
                <w:szCs w:val="11"/>
              </w:rPr>
              <w:t>-</w:t>
            </w:r>
          </w:p>
        </w:tc>
      </w:tr>
      <w:tr w:rsidR="001B0EE5" w:rsidRPr="00BB7C9E" w14:paraId="42FC3EE2" w14:textId="77777777" w:rsidTr="001B0EE5">
        <w:trPr>
          <w:trHeight w:val="454"/>
        </w:trPr>
        <w:tc>
          <w:tcPr>
            <w:tcW w:w="1408" w:type="dxa"/>
            <w:tcBorders>
              <w:top w:val="single" w:sz="8" w:space="0" w:color="0077BD"/>
              <w:left w:val="single" w:sz="4" w:space="0" w:color="FFFFFF"/>
              <w:bottom w:val="single" w:sz="8" w:space="0" w:color="0077BD"/>
              <w:right w:val="nil"/>
            </w:tcBorders>
            <w:shd w:val="clear" w:color="auto" w:fill="auto"/>
            <w:vAlign w:val="center"/>
            <w:hideMark/>
          </w:tcPr>
          <w:p w14:paraId="700EFB00" w14:textId="3F54982A" w:rsidR="001B0EE5" w:rsidRPr="00BB7C9E" w:rsidRDefault="001B0EE5" w:rsidP="001B0EE5">
            <w:pPr>
              <w:rPr>
                <w:rFonts w:cs="Calibri"/>
                <w:b/>
                <w:bCs/>
                <w:color w:val="000000" w:themeColor="text1"/>
                <w:sz w:val="11"/>
                <w:szCs w:val="11"/>
              </w:rPr>
            </w:pPr>
            <w:r w:rsidRPr="00BB7C9E">
              <w:rPr>
                <w:rFonts w:cs="Calibri"/>
                <w:b/>
                <w:bCs/>
                <w:color w:val="000000" w:themeColor="text1"/>
                <w:sz w:val="11"/>
                <w:szCs w:val="11"/>
              </w:rPr>
              <w:t>Rezerwy dotyczące ekspozycji pozabilansowych</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09C01B5A" w14:textId="66669A81" w:rsidR="001B0EE5" w:rsidRPr="00BB7C9E" w:rsidRDefault="001B0EE5" w:rsidP="001B0EE5">
            <w:pPr>
              <w:jc w:val="right"/>
              <w:rPr>
                <w:rFonts w:cs="Calibri"/>
                <w:b/>
                <w:bCs/>
                <w:color w:val="000000" w:themeColor="text1"/>
                <w:sz w:val="13"/>
                <w:szCs w:val="13"/>
              </w:rPr>
            </w:pPr>
            <w:r w:rsidRPr="00BB7C9E">
              <w:rPr>
                <w:rFonts w:cs="Calibri"/>
                <w:b/>
                <w:bCs/>
                <w:color w:val="000000" w:themeColor="text1"/>
                <w:sz w:val="11"/>
                <w:szCs w:val="11"/>
              </w:rPr>
              <w:t>109 409</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29E5F1FC" w14:textId="2E956031"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7581236A" w14:textId="33980281"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763895A9" w14:textId="69A4EC5F" w:rsidR="001B0EE5" w:rsidRPr="006A048A" w:rsidRDefault="001B0EE5" w:rsidP="001B0EE5">
            <w:pPr>
              <w:jc w:val="right"/>
              <w:rPr>
                <w:rFonts w:cs="Calibri"/>
                <w:b/>
                <w:bCs/>
                <w:color w:val="000000" w:themeColor="text1"/>
                <w:sz w:val="11"/>
                <w:szCs w:val="11"/>
              </w:rPr>
            </w:pPr>
            <w:r w:rsidRPr="006A048A">
              <w:rPr>
                <w:rFonts w:cs="Calibri"/>
                <w:b/>
                <w:bCs/>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73D273D8" w14:textId="1CC82D8F" w:rsidR="001B0EE5" w:rsidRPr="001B0EE5" w:rsidRDefault="001B0EE5" w:rsidP="001B0EE5">
            <w:pPr>
              <w:jc w:val="right"/>
              <w:rPr>
                <w:rFonts w:cs="Calibri"/>
                <w:b/>
                <w:bCs/>
                <w:color w:val="000000" w:themeColor="text1"/>
                <w:sz w:val="11"/>
                <w:szCs w:val="11"/>
              </w:rPr>
            </w:pPr>
            <w:r w:rsidRPr="001B0EE5">
              <w:rPr>
                <w:b/>
                <w:bCs/>
                <w:sz w:val="11"/>
                <w:szCs w:val="11"/>
              </w:rPr>
              <w:t>97 061</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6BB3249F" w14:textId="7C7A1D04" w:rsidR="001B0EE5" w:rsidRPr="001B0EE5" w:rsidRDefault="001B0EE5" w:rsidP="001B0EE5">
            <w:pPr>
              <w:jc w:val="right"/>
              <w:rPr>
                <w:rFonts w:cs="Calibri"/>
                <w:b/>
                <w:bCs/>
                <w:color w:val="000000" w:themeColor="text1"/>
                <w:sz w:val="11"/>
                <w:szCs w:val="11"/>
              </w:rPr>
            </w:pPr>
            <w:r w:rsidRPr="001B0EE5">
              <w:rPr>
                <w:b/>
                <w:bCs/>
                <w:sz w:val="11"/>
                <w:szCs w:val="11"/>
              </w:rPr>
              <w:t>(72 567)</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5290CB0A" w14:textId="7AAEB1D8" w:rsidR="001B0EE5" w:rsidRPr="001B0EE5" w:rsidRDefault="001B0EE5" w:rsidP="001B0EE5">
            <w:pPr>
              <w:jc w:val="right"/>
              <w:rPr>
                <w:rFonts w:cs="Calibri"/>
                <w:b/>
                <w:bCs/>
                <w:color w:val="000000" w:themeColor="text1"/>
                <w:sz w:val="11"/>
                <w:szCs w:val="11"/>
              </w:rPr>
            </w:pPr>
            <w:r w:rsidRPr="001B0EE5">
              <w:rPr>
                <w:b/>
                <w:bCs/>
                <w:sz w:val="11"/>
                <w:szCs w:val="11"/>
              </w:rPr>
              <w:t>19 529</w:t>
            </w:r>
          </w:p>
        </w:tc>
        <w:tc>
          <w:tcPr>
            <w:tcW w:w="1021" w:type="dxa"/>
            <w:tcBorders>
              <w:top w:val="single" w:sz="8" w:space="0" w:color="0077BD"/>
              <w:left w:val="single" w:sz="8" w:space="0" w:color="0077BD"/>
              <w:bottom w:val="single" w:sz="8" w:space="0" w:color="0077BD"/>
              <w:right w:val="nil"/>
            </w:tcBorders>
            <w:shd w:val="clear" w:color="auto" w:fill="auto"/>
            <w:vAlign w:val="center"/>
          </w:tcPr>
          <w:p w14:paraId="17CA3266" w14:textId="5C6335D7" w:rsidR="001B0EE5" w:rsidRPr="006A048A" w:rsidRDefault="001B0EE5" w:rsidP="001B0EE5">
            <w:pPr>
              <w:jc w:val="right"/>
              <w:rPr>
                <w:rFonts w:cs="Calibri"/>
                <w:b/>
                <w:bCs/>
                <w:color w:val="000000" w:themeColor="text1"/>
                <w:sz w:val="11"/>
                <w:szCs w:val="11"/>
              </w:rPr>
            </w:pPr>
            <w:r w:rsidRPr="006A048A">
              <w:rPr>
                <w:rFonts w:cs="Calibri"/>
                <w:b/>
                <w:bCs/>
                <w:sz w:val="11"/>
                <w:szCs w:val="11"/>
              </w:rPr>
              <w:t>153 432</w:t>
            </w:r>
          </w:p>
        </w:tc>
      </w:tr>
    </w:tbl>
    <w:p w14:paraId="051C533A" w14:textId="418FC2B1" w:rsidR="002564C5" w:rsidRDefault="002564C5">
      <w:pPr>
        <w:rPr>
          <w:noProof/>
          <w:color w:val="000000" w:themeColor="text1"/>
        </w:rPr>
      </w:pPr>
    </w:p>
    <w:tbl>
      <w:tblPr>
        <w:tblW w:w="0" w:type="auto"/>
        <w:tblCellMar>
          <w:left w:w="28" w:type="dxa"/>
          <w:right w:w="28" w:type="dxa"/>
        </w:tblCellMar>
        <w:tblLook w:val="04A0" w:firstRow="1" w:lastRow="0" w:firstColumn="1" w:lastColumn="0" w:noHBand="0" w:noVBand="1"/>
      </w:tblPr>
      <w:tblGrid>
        <w:gridCol w:w="1403"/>
        <w:gridCol w:w="1021"/>
        <w:gridCol w:w="1021"/>
        <w:gridCol w:w="1021"/>
        <w:gridCol w:w="1021"/>
        <w:gridCol w:w="1021"/>
        <w:gridCol w:w="1021"/>
        <w:gridCol w:w="1021"/>
        <w:gridCol w:w="1021"/>
      </w:tblGrid>
      <w:tr w:rsidR="00E63782" w:rsidRPr="00E63782" w14:paraId="202B47EE" w14:textId="77777777" w:rsidTr="004D11EB">
        <w:trPr>
          <w:trHeight w:val="737"/>
        </w:trPr>
        <w:tc>
          <w:tcPr>
            <w:tcW w:w="0" w:type="auto"/>
            <w:tcBorders>
              <w:top w:val="single" w:sz="8" w:space="0" w:color="FFFFFF"/>
              <w:left w:val="single" w:sz="8" w:space="0" w:color="FFFFFF"/>
              <w:right w:val="single" w:sz="8" w:space="0" w:color="FFFFFF"/>
            </w:tcBorders>
            <w:shd w:val="clear" w:color="000000" w:fill="0077BD"/>
            <w:vAlign w:val="center"/>
            <w:hideMark/>
          </w:tcPr>
          <w:p w14:paraId="4D3AB1A5" w14:textId="638F86BE" w:rsidR="00B0129E" w:rsidRPr="00E63782" w:rsidRDefault="00B0129E" w:rsidP="00E63782">
            <w:pPr>
              <w:rPr>
                <w:rFonts w:cs="Calibri"/>
                <w:b/>
                <w:bCs/>
                <w:color w:val="FFFFFF"/>
                <w:sz w:val="11"/>
                <w:szCs w:val="11"/>
              </w:rPr>
            </w:pPr>
            <w:r>
              <w:rPr>
                <w:rFonts w:cs="Calibri"/>
                <w:b/>
                <w:bCs/>
                <w:color w:val="FFFFFF"/>
                <w:sz w:val="11"/>
                <w:szCs w:val="11"/>
              </w:rPr>
              <w:t>Okres od 1 stycznia do 31 grudnia 2018 r.</w:t>
            </w:r>
          </w:p>
        </w:tc>
        <w:tc>
          <w:tcPr>
            <w:tcW w:w="1021" w:type="dxa"/>
            <w:tcBorders>
              <w:top w:val="single" w:sz="8" w:space="0" w:color="FFFFFF"/>
              <w:left w:val="nil"/>
              <w:right w:val="single" w:sz="8" w:space="0" w:color="FFFFFF"/>
            </w:tcBorders>
            <w:shd w:val="clear" w:color="000000" w:fill="0077BD"/>
            <w:vAlign w:val="center"/>
            <w:hideMark/>
          </w:tcPr>
          <w:p w14:paraId="5FBDF65C"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Bilans otwarcia</w:t>
            </w:r>
          </w:p>
        </w:tc>
        <w:tc>
          <w:tcPr>
            <w:tcW w:w="1021" w:type="dxa"/>
            <w:tcBorders>
              <w:top w:val="single" w:sz="8" w:space="0" w:color="FFFFFF"/>
              <w:left w:val="nil"/>
              <w:right w:val="single" w:sz="8" w:space="0" w:color="FFFFFF"/>
            </w:tcBorders>
            <w:shd w:val="clear" w:color="000000" w:fill="0077BD"/>
            <w:vAlign w:val="center"/>
            <w:hideMark/>
          </w:tcPr>
          <w:p w14:paraId="15A10516"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Transfer do Koszyka 1</w:t>
            </w:r>
          </w:p>
        </w:tc>
        <w:tc>
          <w:tcPr>
            <w:tcW w:w="1021" w:type="dxa"/>
            <w:tcBorders>
              <w:top w:val="single" w:sz="8" w:space="0" w:color="FFFFFF"/>
              <w:left w:val="nil"/>
              <w:right w:val="single" w:sz="8" w:space="0" w:color="FFFFFF"/>
            </w:tcBorders>
            <w:shd w:val="clear" w:color="000000" w:fill="0077BD"/>
            <w:vAlign w:val="center"/>
            <w:hideMark/>
          </w:tcPr>
          <w:p w14:paraId="5D4CD26A"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Transfer do Koszyka 2</w:t>
            </w:r>
          </w:p>
        </w:tc>
        <w:tc>
          <w:tcPr>
            <w:tcW w:w="1021" w:type="dxa"/>
            <w:tcBorders>
              <w:top w:val="single" w:sz="8" w:space="0" w:color="FFFFFF"/>
              <w:left w:val="nil"/>
              <w:right w:val="single" w:sz="8" w:space="0" w:color="FFFFFF"/>
            </w:tcBorders>
            <w:shd w:val="clear" w:color="000000" w:fill="0077BD"/>
            <w:vAlign w:val="center"/>
            <w:hideMark/>
          </w:tcPr>
          <w:p w14:paraId="673119E7"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Transfer do Koszyka 3</w:t>
            </w:r>
          </w:p>
        </w:tc>
        <w:tc>
          <w:tcPr>
            <w:tcW w:w="1021" w:type="dxa"/>
            <w:tcBorders>
              <w:top w:val="single" w:sz="8" w:space="0" w:color="FFFFFF"/>
              <w:left w:val="nil"/>
              <w:right w:val="single" w:sz="8" w:space="0" w:color="FFFFFF"/>
            </w:tcBorders>
            <w:shd w:val="clear" w:color="000000" w:fill="0077BD"/>
            <w:vAlign w:val="center"/>
            <w:hideMark/>
          </w:tcPr>
          <w:p w14:paraId="61BB9440"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Zwiększenia spowodowane udzieleniem oraz przejęciem</w:t>
            </w:r>
          </w:p>
        </w:tc>
        <w:tc>
          <w:tcPr>
            <w:tcW w:w="1021" w:type="dxa"/>
            <w:tcBorders>
              <w:top w:val="single" w:sz="8" w:space="0" w:color="FFFFFF"/>
              <w:left w:val="nil"/>
              <w:right w:val="single" w:sz="8" w:space="0" w:color="FFFFFF"/>
            </w:tcBorders>
            <w:shd w:val="clear" w:color="000000" w:fill="0077BD"/>
            <w:vAlign w:val="center"/>
            <w:hideMark/>
          </w:tcPr>
          <w:p w14:paraId="74333337"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Zmniejszenia spowodowane usunięciem z bilansu</w:t>
            </w:r>
          </w:p>
        </w:tc>
        <w:tc>
          <w:tcPr>
            <w:tcW w:w="1021" w:type="dxa"/>
            <w:tcBorders>
              <w:top w:val="single" w:sz="8" w:space="0" w:color="FFFFFF"/>
              <w:left w:val="nil"/>
              <w:right w:val="single" w:sz="8" w:space="0" w:color="FFFFFF"/>
            </w:tcBorders>
            <w:shd w:val="clear" w:color="000000" w:fill="0077BD"/>
            <w:vAlign w:val="center"/>
            <w:hideMark/>
          </w:tcPr>
          <w:p w14:paraId="6B40A842"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Zmiany spowodowane zmianą ryzyka kredytowego (netto)</w:t>
            </w:r>
          </w:p>
        </w:tc>
        <w:tc>
          <w:tcPr>
            <w:tcW w:w="1021" w:type="dxa"/>
            <w:tcBorders>
              <w:top w:val="single" w:sz="8" w:space="0" w:color="FFFFFF"/>
              <w:left w:val="nil"/>
              <w:right w:val="nil"/>
            </w:tcBorders>
            <w:shd w:val="clear" w:color="000000" w:fill="0077BD"/>
            <w:vAlign w:val="center"/>
            <w:hideMark/>
          </w:tcPr>
          <w:p w14:paraId="2A83DFBE" w14:textId="77777777" w:rsidR="00E63782" w:rsidRPr="00E63782" w:rsidRDefault="00E63782" w:rsidP="00E63782">
            <w:pPr>
              <w:jc w:val="center"/>
              <w:rPr>
                <w:rFonts w:cs="Calibri"/>
                <w:b/>
                <w:bCs/>
                <w:color w:val="FFFFFF"/>
                <w:sz w:val="11"/>
                <w:szCs w:val="11"/>
              </w:rPr>
            </w:pPr>
            <w:r w:rsidRPr="00E63782">
              <w:rPr>
                <w:rFonts w:cs="Calibri"/>
                <w:b/>
                <w:bCs/>
                <w:color w:val="FFFFFF"/>
                <w:sz w:val="11"/>
                <w:szCs w:val="11"/>
              </w:rPr>
              <w:t>Bilans zamknięcia</w:t>
            </w:r>
          </w:p>
        </w:tc>
      </w:tr>
      <w:tr w:rsidR="00D50835" w:rsidRPr="00BB7C9E" w14:paraId="2BD39E57" w14:textId="77777777" w:rsidTr="004879AB">
        <w:trPr>
          <w:trHeight w:val="312"/>
        </w:trPr>
        <w:tc>
          <w:tcPr>
            <w:tcW w:w="0" w:type="auto"/>
            <w:tcBorders>
              <w:left w:val="single" w:sz="4" w:space="0" w:color="FFFFFF"/>
              <w:bottom w:val="single" w:sz="8" w:space="0" w:color="0077BD"/>
              <w:right w:val="nil"/>
            </w:tcBorders>
            <w:shd w:val="clear" w:color="auto" w:fill="auto"/>
            <w:vAlign w:val="center"/>
            <w:hideMark/>
          </w:tcPr>
          <w:p w14:paraId="37732903" w14:textId="77777777" w:rsidR="00E63782" w:rsidRPr="00BB7C9E" w:rsidRDefault="00E63782" w:rsidP="00E63782">
            <w:pPr>
              <w:rPr>
                <w:rFonts w:cs="Calibri"/>
                <w:b/>
                <w:bCs/>
                <w:color w:val="000000" w:themeColor="text1"/>
                <w:sz w:val="11"/>
                <w:szCs w:val="11"/>
              </w:rPr>
            </w:pPr>
            <w:r w:rsidRPr="00BB7C9E">
              <w:rPr>
                <w:rFonts w:cs="Calibri"/>
                <w:b/>
                <w:bCs/>
                <w:color w:val="000000" w:themeColor="text1"/>
                <w:sz w:val="11"/>
                <w:szCs w:val="11"/>
              </w:rPr>
              <w:t>Zobowiązania do udzielenia kredytu</w:t>
            </w:r>
          </w:p>
        </w:tc>
        <w:tc>
          <w:tcPr>
            <w:tcW w:w="1021" w:type="dxa"/>
            <w:tcBorders>
              <w:left w:val="single" w:sz="8" w:space="0" w:color="0077BD"/>
              <w:bottom w:val="single" w:sz="8" w:space="0" w:color="0077BD"/>
              <w:right w:val="nil"/>
            </w:tcBorders>
            <w:shd w:val="clear" w:color="auto" w:fill="auto"/>
            <w:vAlign w:val="center"/>
            <w:hideMark/>
          </w:tcPr>
          <w:p w14:paraId="57F930BB"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47 466</w:t>
            </w:r>
          </w:p>
        </w:tc>
        <w:tc>
          <w:tcPr>
            <w:tcW w:w="1021" w:type="dxa"/>
            <w:tcBorders>
              <w:left w:val="single" w:sz="8" w:space="0" w:color="0077BD"/>
              <w:bottom w:val="single" w:sz="8" w:space="0" w:color="0077BD"/>
              <w:right w:val="nil"/>
            </w:tcBorders>
            <w:shd w:val="clear" w:color="auto" w:fill="auto"/>
            <w:vAlign w:val="center"/>
            <w:hideMark/>
          </w:tcPr>
          <w:p w14:paraId="0DCF4B35"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left w:val="single" w:sz="8" w:space="0" w:color="0077BD"/>
              <w:bottom w:val="single" w:sz="8" w:space="0" w:color="0077BD"/>
              <w:right w:val="nil"/>
            </w:tcBorders>
            <w:shd w:val="clear" w:color="auto" w:fill="auto"/>
            <w:vAlign w:val="center"/>
            <w:hideMark/>
          </w:tcPr>
          <w:p w14:paraId="6484D87D"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left w:val="single" w:sz="8" w:space="0" w:color="0077BD"/>
              <w:bottom w:val="single" w:sz="8" w:space="0" w:color="0077BD"/>
              <w:right w:val="nil"/>
            </w:tcBorders>
            <w:shd w:val="clear" w:color="auto" w:fill="auto"/>
            <w:vAlign w:val="center"/>
            <w:hideMark/>
          </w:tcPr>
          <w:p w14:paraId="57722201"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left w:val="single" w:sz="8" w:space="0" w:color="0077BD"/>
              <w:bottom w:val="single" w:sz="8" w:space="0" w:color="0077BD"/>
              <w:right w:val="nil"/>
            </w:tcBorders>
            <w:shd w:val="clear" w:color="auto" w:fill="auto"/>
            <w:vAlign w:val="center"/>
            <w:hideMark/>
          </w:tcPr>
          <w:p w14:paraId="508F5E19"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24 477</w:t>
            </w:r>
          </w:p>
        </w:tc>
        <w:tc>
          <w:tcPr>
            <w:tcW w:w="1021" w:type="dxa"/>
            <w:tcBorders>
              <w:left w:val="single" w:sz="8" w:space="0" w:color="0077BD"/>
              <w:bottom w:val="single" w:sz="8" w:space="0" w:color="0077BD"/>
              <w:right w:val="nil"/>
            </w:tcBorders>
            <w:shd w:val="clear" w:color="auto" w:fill="auto"/>
            <w:vAlign w:val="center"/>
            <w:hideMark/>
          </w:tcPr>
          <w:p w14:paraId="2719C7D7"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(16 989)</w:t>
            </w:r>
          </w:p>
        </w:tc>
        <w:tc>
          <w:tcPr>
            <w:tcW w:w="1021" w:type="dxa"/>
            <w:tcBorders>
              <w:left w:val="single" w:sz="8" w:space="0" w:color="0077BD"/>
              <w:bottom w:val="single" w:sz="8" w:space="0" w:color="0077BD"/>
              <w:right w:val="nil"/>
            </w:tcBorders>
            <w:shd w:val="clear" w:color="auto" w:fill="auto"/>
            <w:vAlign w:val="center"/>
            <w:hideMark/>
          </w:tcPr>
          <w:p w14:paraId="23144605"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2 960</w:t>
            </w:r>
          </w:p>
        </w:tc>
        <w:tc>
          <w:tcPr>
            <w:tcW w:w="1021" w:type="dxa"/>
            <w:tcBorders>
              <w:left w:val="single" w:sz="8" w:space="0" w:color="0077BD"/>
              <w:bottom w:val="single" w:sz="8" w:space="0" w:color="0077BD"/>
              <w:right w:val="nil"/>
            </w:tcBorders>
            <w:shd w:val="clear" w:color="auto" w:fill="auto"/>
            <w:vAlign w:val="center"/>
            <w:hideMark/>
          </w:tcPr>
          <w:p w14:paraId="5BCEE929"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57 914</w:t>
            </w:r>
          </w:p>
        </w:tc>
      </w:tr>
      <w:tr w:rsidR="00D50835" w:rsidRPr="00BB7C9E" w14:paraId="21B42BD6" w14:textId="77777777" w:rsidTr="00D63A49">
        <w:trPr>
          <w:trHeight w:val="255"/>
        </w:trPr>
        <w:tc>
          <w:tcPr>
            <w:tcW w:w="0" w:type="auto"/>
            <w:tcBorders>
              <w:top w:val="single" w:sz="8" w:space="0" w:color="0077BD"/>
              <w:left w:val="single" w:sz="4" w:space="0" w:color="FFFFFF"/>
              <w:bottom w:val="nil"/>
              <w:right w:val="nil"/>
            </w:tcBorders>
            <w:shd w:val="clear" w:color="auto" w:fill="auto"/>
            <w:vAlign w:val="center"/>
            <w:hideMark/>
          </w:tcPr>
          <w:p w14:paraId="706E3E47"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nil"/>
              <w:right w:val="nil"/>
            </w:tcBorders>
            <w:shd w:val="clear" w:color="auto" w:fill="auto"/>
            <w:vAlign w:val="center"/>
            <w:hideMark/>
          </w:tcPr>
          <w:p w14:paraId="50581F5B"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29 409</w:t>
            </w:r>
          </w:p>
        </w:tc>
        <w:tc>
          <w:tcPr>
            <w:tcW w:w="1021" w:type="dxa"/>
            <w:tcBorders>
              <w:top w:val="single" w:sz="8" w:space="0" w:color="0077BD"/>
              <w:left w:val="single" w:sz="8" w:space="0" w:color="0077BD"/>
              <w:bottom w:val="nil"/>
              <w:right w:val="nil"/>
            </w:tcBorders>
            <w:shd w:val="clear" w:color="auto" w:fill="auto"/>
            <w:vAlign w:val="center"/>
            <w:hideMark/>
          </w:tcPr>
          <w:p w14:paraId="5FB7BFBF"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17 523</w:t>
            </w:r>
          </w:p>
        </w:tc>
        <w:tc>
          <w:tcPr>
            <w:tcW w:w="1021" w:type="dxa"/>
            <w:tcBorders>
              <w:top w:val="single" w:sz="8" w:space="0" w:color="0077BD"/>
              <w:left w:val="single" w:sz="8" w:space="0" w:color="0077BD"/>
              <w:bottom w:val="nil"/>
              <w:right w:val="nil"/>
            </w:tcBorders>
            <w:shd w:val="clear" w:color="auto" w:fill="auto"/>
            <w:vAlign w:val="center"/>
            <w:hideMark/>
          </w:tcPr>
          <w:p w14:paraId="2743EC7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(2 846)</w:t>
            </w:r>
          </w:p>
        </w:tc>
        <w:tc>
          <w:tcPr>
            <w:tcW w:w="1021" w:type="dxa"/>
            <w:tcBorders>
              <w:top w:val="single" w:sz="8" w:space="0" w:color="0077BD"/>
              <w:left w:val="single" w:sz="8" w:space="0" w:color="0077BD"/>
              <w:bottom w:val="nil"/>
              <w:right w:val="nil"/>
            </w:tcBorders>
            <w:shd w:val="clear" w:color="auto" w:fill="auto"/>
            <w:vAlign w:val="center"/>
            <w:hideMark/>
          </w:tcPr>
          <w:p w14:paraId="73D432A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w:t>
            </w:r>
          </w:p>
        </w:tc>
        <w:tc>
          <w:tcPr>
            <w:tcW w:w="1021" w:type="dxa"/>
            <w:tcBorders>
              <w:top w:val="single" w:sz="8" w:space="0" w:color="0077BD"/>
              <w:left w:val="single" w:sz="8" w:space="0" w:color="0077BD"/>
              <w:bottom w:val="nil"/>
              <w:right w:val="nil"/>
            </w:tcBorders>
            <w:shd w:val="clear" w:color="auto" w:fill="auto"/>
            <w:vAlign w:val="center"/>
            <w:hideMark/>
          </w:tcPr>
          <w:p w14:paraId="2EA90AB0"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18 637</w:t>
            </w:r>
          </w:p>
        </w:tc>
        <w:tc>
          <w:tcPr>
            <w:tcW w:w="1021" w:type="dxa"/>
            <w:tcBorders>
              <w:top w:val="single" w:sz="8" w:space="0" w:color="0077BD"/>
              <w:left w:val="single" w:sz="8" w:space="0" w:color="0077BD"/>
              <w:bottom w:val="nil"/>
              <w:right w:val="nil"/>
            </w:tcBorders>
            <w:shd w:val="clear" w:color="auto" w:fill="auto"/>
            <w:vAlign w:val="center"/>
            <w:hideMark/>
          </w:tcPr>
          <w:p w14:paraId="260BD4E3"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(9 198)</w:t>
            </w:r>
          </w:p>
        </w:tc>
        <w:tc>
          <w:tcPr>
            <w:tcW w:w="1021" w:type="dxa"/>
            <w:tcBorders>
              <w:top w:val="single" w:sz="8" w:space="0" w:color="0077BD"/>
              <w:left w:val="single" w:sz="8" w:space="0" w:color="0077BD"/>
              <w:bottom w:val="nil"/>
              <w:right w:val="nil"/>
            </w:tcBorders>
            <w:shd w:val="clear" w:color="auto" w:fill="auto"/>
            <w:vAlign w:val="center"/>
            <w:hideMark/>
          </w:tcPr>
          <w:p w14:paraId="2EF2BED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(20 946)</w:t>
            </w:r>
          </w:p>
        </w:tc>
        <w:tc>
          <w:tcPr>
            <w:tcW w:w="1021" w:type="dxa"/>
            <w:tcBorders>
              <w:top w:val="single" w:sz="8" w:space="0" w:color="0077BD"/>
              <w:left w:val="single" w:sz="8" w:space="0" w:color="0077BD"/>
              <w:bottom w:val="nil"/>
              <w:right w:val="nil"/>
            </w:tcBorders>
            <w:shd w:val="clear" w:color="auto" w:fill="auto"/>
            <w:vAlign w:val="center"/>
            <w:hideMark/>
          </w:tcPr>
          <w:p w14:paraId="3190F92E"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32 575</w:t>
            </w:r>
          </w:p>
        </w:tc>
      </w:tr>
      <w:tr w:rsidR="00E63782" w:rsidRPr="00BB7C9E" w14:paraId="4BD0E0ED"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18026738"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2</w:t>
            </w:r>
          </w:p>
        </w:tc>
        <w:tc>
          <w:tcPr>
            <w:tcW w:w="1021" w:type="dxa"/>
            <w:tcBorders>
              <w:top w:val="single" w:sz="4" w:space="0" w:color="0077BD"/>
              <w:left w:val="single" w:sz="8" w:space="0" w:color="0077BD"/>
              <w:bottom w:val="nil"/>
              <w:right w:val="nil"/>
            </w:tcBorders>
            <w:shd w:val="clear" w:color="auto" w:fill="auto"/>
            <w:vAlign w:val="center"/>
            <w:hideMark/>
          </w:tcPr>
          <w:p w14:paraId="2F3E84D8"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17 626</w:t>
            </w:r>
          </w:p>
        </w:tc>
        <w:tc>
          <w:tcPr>
            <w:tcW w:w="1021" w:type="dxa"/>
            <w:tcBorders>
              <w:top w:val="single" w:sz="4" w:space="0" w:color="0077BD"/>
              <w:left w:val="single" w:sz="8" w:space="0" w:color="0077BD"/>
              <w:bottom w:val="nil"/>
              <w:right w:val="nil"/>
            </w:tcBorders>
            <w:shd w:val="clear" w:color="auto" w:fill="auto"/>
            <w:vAlign w:val="center"/>
            <w:hideMark/>
          </w:tcPr>
          <w:p w14:paraId="0C7B2079"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(17 523)</w:t>
            </w:r>
          </w:p>
        </w:tc>
        <w:tc>
          <w:tcPr>
            <w:tcW w:w="1021" w:type="dxa"/>
            <w:tcBorders>
              <w:top w:val="single" w:sz="4" w:space="0" w:color="0077BD"/>
              <w:left w:val="single" w:sz="8" w:space="0" w:color="0077BD"/>
              <w:bottom w:val="nil"/>
              <w:right w:val="nil"/>
            </w:tcBorders>
            <w:shd w:val="clear" w:color="auto" w:fill="auto"/>
            <w:vAlign w:val="center"/>
            <w:hideMark/>
          </w:tcPr>
          <w:p w14:paraId="6A9978C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2 846</w:t>
            </w:r>
          </w:p>
        </w:tc>
        <w:tc>
          <w:tcPr>
            <w:tcW w:w="1021" w:type="dxa"/>
            <w:tcBorders>
              <w:top w:val="single" w:sz="4" w:space="0" w:color="0077BD"/>
              <w:left w:val="single" w:sz="8" w:space="0" w:color="0077BD"/>
              <w:bottom w:val="nil"/>
              <w:right w:val="nil"/>
            </w:tcBorders>
            <w:shd w:val="clear" w:color="auto" w:fill="auto"/>
            <w:vAlign w:val="center"/>
            <w:hideMark/>
          </w:tcPr>
          <w:p w14:paraId="1CBC4F2E"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(11)</w:t>
            </w:r>
          </w:p>
        </w:tc>
        <w:tc>
          <w:tcPr>
            <w:tcW w:w="1021" w:type="dxa"/>
            <w:tcBorders>
              <w:top w:val="single" w:sz="4" w:space="0" w:color="0077BD"/>
              <w:left w:val="single" w:sz="8" w:space="0" w:color="0077BD"/>
              <w:bottom w:val="nil"/>
              <w:right w:val="nil"/>
            </w:tcBorders>
            <w:shd w:val="clear" w:color="auto" w:fill="auto"/>
            <w:vAlign w:val="center"/>
            <w:hideMark/>
          </w:tcPr>
          <w:p w14:paraId="7F36511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3 972</w:t>
            </w:r>
          </w:p>
        </w:tc>
        <w:tc>
          <w:tcPr>
            <w:tcW w:w="1021" w:type="dxa"/>
            <w:tcBorders>
              <w:top w:val="single" w:sz="4" w:space="0" w:color="0077BD"/>
              <w:left w:val="single" w:sz="8" w:space="0" w:color="0077BD"/>
              <w:bottom w:val="nil"/>
              <w:right w:val="nil"/>
            </w:tcBorders>
            <w:shd w:val="clear" w:color="auto" w:fill="auto"/>
            <w:vAlign w:val="center"/>
            <w:hideMark/>
          </w:tcPr>
          <w:p w14:paraId="61D257E4"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(6 353)</w:t>
            </w:r>
          </w:p>
        </w:tc>
        <w:tc>
          <w:tcPr>
            <w:tcW w:w="1021" w:type="dxa"/>
            <w:tcBorders>
              <w:top w:val="single" w:sz="4" w:space="0" w:color="0077BD"/>
              <w:left w:val="single" w:sz="8" w:space="0" w:color="0077BD"/>
              <w:bottom w:val="nil"/>
              <w:right w:val="nil"/>
            </w:tcBorders>
            <w:shd w:val="clear" w:color="auto" w:fill="auto"/>
            <w:vAlign w:val="center"/>
            <w:hideMark/>
          </w:tcPr>
          <w:p w14:paraId="5D82B2FF"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17 690</w:t>
            </w:r>
          </w:p>
        </w:tc>
        <w:tc>
          <w:tcPr>
            <w:tcW w:w="1021" w:type="dxa"/>
            <w:tcBorders>
              <w:top w:val="single" w:sz="4" w:space="0" w:color="0077BD"/>
              <w:left w:val="single" w:sz="8" w:space="0" w:color="0077BD"/>
              <w:bottom w:val="nil"/>
              <w:right w:val="nil"/>
            </w:tcBorders>
            <w:shd w:val="clear" w:color="auto" w:fill="auto"/>
            <w:vAlign w:val="center"/>
            <w:hideMark/>
          </w:tcPr>
          <w:p w14:paraId="7A19D36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18 247</w:t>
            </w:r>
          </w:p>
        </w:tc>
      </w:tr>
      <w:tr w:rsidR="00E63782" w:rsidRPr="00BB7C9E" w14:paraId="29014442"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2751C655"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3</w:t>
            </w:r>
          </w:p>
        </w:tc>
        <w:tc>
          <w:tcPr>
            <w:tcW w:w="1021" w:type="dxa"/>
            <w:tcBorders>
              <w:top w:val="single" w:sz="4" w:space="0" w:color="0077BD"/>
              <w:left w:val="single" w:sz="8" w:space="0" w:color="0077BD"/>
              <w:bottom w:val="nil"/>
              <w:right w:val="nil"/>
            </w:tcBorders>
            <w:shd w:val="clear" w:color="auto" w:fill="auto"/>
            <w:vAlign w:val="center"/>
            <w:hideMark/>
          </w:tcPr>
          <w:p w14:paraId="0732636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431</w:t>
            </w:r>
          </w:p>
        </w:tc>
        <w:tc>
          <w:tcPr>
            <w:tcW w:w="1021" w:type="dxa"/>
            <w:tcBorders>
              <w:top w:val="single" w:sz="4" w:space="0" w:color="0077BD"/>
              <w:left w:val="single" w:sz="8" w:space="0" w:color="0077BD"/>
              <w:bottom w:val="nil"/>
              <w:right w:val="nil"/>
            </w:tcBorders>
            <w:shd w:val="clear" w:color="auto" w:fill="auto"/>
            <w:vAlign w:val="center"/>
            <w:hideMark/>
          </w:tcPr>
          <w:p w14:paraId="331B321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355C8800"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39DA28F7"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15</w:t>
            </w:r>
          </w:p>
        </w:tc>
        <w:tc>
          <w:tcPr>
            <w:tcW w:w="1021" w:type="dxa"/>
            <w:tcBorders>
              <w:top w:val="single" w:sz="4" w:space="0" w:color="0077BD"/>
              <w:left w:val="single" w:sz="8" w:space="0" w:color="0077BD"/>
              <w:bottom w:val="nil"/>
              <w:right w:val="nil"/>
            </w:tcBorders>
            <w:shd w:val="clear" w:color="auto" w:fill="auto"/>
            <w:vAlign w:val="center"/>
            <w:hideMark/>
          </w:tcPr>
          <w:p w14:paraId="016251B8"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1 014</w:t>
            </w:r>
          </w:p>
        </w:tc>
        <w:tc>
          <w:tcPr>
            <w:tcW w:w="1021" w:type="dxa"/>
            <w:tcBorders>
              <w:top w:val="single" w:sz="4" w:space="0" w:color="0077BD"/>
              <w:left w:val="single" w:sz="8" w:space="0" w:color="0077BD"/>
              <w:bottom w:val="nil"/>
              <w:right w:val="nil"/>
            </w:tcBorders>
            <w:shd w:val="clear" w:color="auto" w:fill="auto"/>
            <w:vAlign w:val="center"/>
            <w:hideMark/>
          </w:tcPr>
          <w:p w14:paraId="33E5A5F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(1 438)</w:t>
            </w:r>
          </w:p>
        </w:tc>
        <w:tc>
          <w:tcPr>
            <w:tcW w:w="1021" w:type="dxa"/>
            <w:tcBorders>
              <w:top w:val="single" w:sz="4" w:space="0" w:color="0077BD"/>
              <w:left w:val="single" w:sz="8" w:space="0" w:color="0077BD"/>
              <w:bottom w:val="nil"/>
              <w:right w:val="nil"/>
            </w:tcBorders>
            <w:shd w:val="clear" w:color="auto" w:fill="auto"/>
            <w:vAlign w:val="center"/>
            <w:hideMark/>
          </w:tcPr>
          <w:p w14:paraId="0C1D797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6 209</w:t>
            </w:r>
          </w:p>
        </w:tc>
        <w:tc>
          <w:tcPr>
            <w:tcW w:w="1021" w:type="dxa"/>
            <w:tcBorders>
              <w:top w:val="single" w:sz="4" w:space="0" w:color="0077BD"/>
              <w:left w:val="single" w:sz="8" w:space="0" w:color="0077BD"/>
              <w:bottom w:val="nil"/>
              <w:right w:val="nil"/>
            </w:tcBorders>
            <w:shd w:val="clear" w:color="auto" w:fill="auto"/>
            <w:vAlign w:val="center"/>
            <w:hideMark/>
          </w:tcPr>
          <w:p w14:paraId="61CA4D38"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6 231</w:t>
            </w:r>
          </w:p>
        </w:tc>
      </w:tr>
      <w:tr w:rsidR="00E63782" w:rsidRPr="00BB7C9E" w14:paraId="1C4B1FA7"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30A47124"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POCI</w:t>
            </w:r>
          </w:p>
        </w:tc>
        <w:tc>
          <w:tcPr>
            <w:tcW w:w="1021" w:type="dxa"/>
            <w:tcBorders>
              <w:top w:val="single" w:sz="4" w:space="0" w:color="0077BD"/>
              <w:left w:val="single" w:sz="8" w:space="0" w:color="0077BD"/>
              <w:bottom w:val="nil"/>
              <w:right w:val="nil"/>
            </w:tcBorders>
            <w:shd w:val="clear" w:color="auto" w:fill="auto"/>
            <w:vAlign w:val="center"/>
            <w:hideMark/>
          </w:tcPr>
          <w:p w14:paraId="2F9551C3"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0E6E7DF5"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3FE2EAD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7F58BF0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0AA47557"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854</w:t>
            </w:r>
          </w:p>
        </w:tc>
        <w:tc>
          <w:tcPr>
            <w:tcW w:w="1021" w:type="dxa"/>
            <w:tcBorders>
              <w:top w:val="single" w:sz="4" w:space="0" w:color="0077BD"/>
              <w:left w:val="single" w:sz="8" w:space="0" w:color="0077BD"/>
              <w:bottom w:val="nil"/>
              <w:right w:val="nil"/>
            </w:tcBorders>
            <w:shd w:val="clear" w:color="auto" w:fill="auto"/>
            <w:vAlign w:val="center"/>
            <w:hideMark/>
          </w:tcPr>
          <w:p w14:paraId="62363457"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5482CE1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7</w:t>
            </w:r>
          </w:p>
        </w:tc>
        <w:tc>
          <w:tcPr>
            <w:tcW w:w="1021" w:type="dxa"/>
            <w:tcBorders>
              <w:top w:val="single" w:sz="4" w:space="0" w:color="0077BD"/>
              <w:left w:val="single" w:sz="8" w:space="0" w:color="0077BD"/>
              <w:bottom w:val="nil"/>
              <w:right w:val="nil"/>
            </w:tcBorders>
            <w:shd w:val="clear" w:color="auto" w:fill="auto"/>
            <w:vAlign w:val="center"/>
            <w:hideMark/>
          </w:tcPr>
          <w:p w14:paraId="392A0694"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861</w:t>
            </w:r>
          </w:p>
        </w:tc>
      </w:tr>
      <w:tr w:rsidR="00E63782" w:rsidRPr="00BB7C9E" w14:paraId="254260FB" w14:textId="77777777" w:rsidTr="004879AB">
        <w:trPr>
          <w:trHeight w:val="312"/>
        </w:trPr>
        <w:tc>
          <w:tcPr>
            <w:tcW w:w="0" w:type="auto"/>
            <w:tcBorders>
              <w:top w:val="single" w:sz="8" w:space="0" w:color="0077BD"/>
              <w:left w:val="single" w:sz="4" w:space="0" w:color="FFFFFF"/>
              <w:bottom w:val="nil"/>
              <w:right w:val="nil"/>
            </w:tcBorders>
            <w:shd w:val="clear" w:color="auto" w:fill="auto"/>
            <w:vAlign w:val="center"/>
            <w:hideMark/>
          </w:tcPr>
          <w:p w14:paraId="090A12E0" w14:textId="77777777" w:rsidR="00E63782" w:rsidRPr="00BB7C9E" w:rsidRDefault="00E63782" w:rsidP="00E63782">
            <w:pPr>
              <w:rPr>
                <w:rFonts w:cs="Calibri"/>
                <w:b/>
                <w:bCs/>
                <w:color w:val="000000" w:themeColor="text1"/>
                <w:sz w:val="11"/>
                <w:szCs w:val="11"/>
              </w:rPr>
            </w:pPr>
            <w:r w:rsidRPr="00BB7C9E">
              <w:rPr>
                <w:rFonts w:cs="Calibri"/>
                <w:b/>
                <w:bCs/>
                <w:color w:val="000000" w:themeColor="text1"/>
                <w:sz w:val="11"/>
                <w:szCs w:val="11"/>
              </w:rPr>
              <w:t>Gwarancje i inne produkty finansowe</w:t>
            </w:r>
          </w:p>
        </w:tc>
        <w:tc>
          <w:tcPr>
            <w:tcW w:w="1021" w:type="dxa"/>
            <w:tcBorders>
              <w:top w:val="single" w:sz="8" w:space="0" w:color="0077BD"/>
              <w:left w:val="single" w:sz="8" w:space="0" w:color="0077BD"/>
              <w:bottom w:val="nil"/>
              <w:right w:val="nil"/>
            </w:tcBorders>
            <w:shd w:val="clear" w:color="auto" w:fill="auto"/>
            <w:vAlign w:val="center"/>
            <w:hideMark/>
          </w:tcPr>
          <w:p w14:paraId="6282E09B"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72 426</w:t>
            </w:r>
          </w:p>
        </w:tc>
        <w:tc>
          <w:tcPr>
            <w:tcW w:w="1021" w:type="dxa"/>
            <w:tcBorders>
              <w:top w:val="single" w:sz="8" w:space="0" w:color="0077BD"/>
              <w:left w:val="single" w:sz="8" w:space="0" w:color="0077BD"/>
              <w:bottom w:val="nil"/>
              <w:right w:val="nil"/>
            </w:tcBorders>
            <w:shd w:val="clear" w:color="auto" w:fill="auto"/>
            <w:vAlign w:val="center"/>
            <w:hideMark/>
          </w:tcPr>
          <w:p w14:paraId="51EF9437"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6F15F01F"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37A9D5EA"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09804734"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11 156</w:t>
            </w:r>
          </w:p>
        </w:tc>
        <w:tc>
          <w:tcPr>
            <w:tcW w:w="1021" w:type="dxa"/>
            <w:tcBorders>
              <w:top w:val="single" w:sz="8" w:space="0" w:color="0077BD"/>
              <w:left w:val="single" w:sz="8" w:space="0" w:color="0077BD"/>
              <w:bottom w:val="nil"/>
              <w:right w:val="nil"/>
            </w:tcBorders>
            <w:shd w:val="clear" w:color="auto" w:fill="auto"/>
            <w:vAlign w:val="center"/>
            <w:hideMark/>
          </w:tcPr>
          <w:p w14:paraId="19385D86"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(14 588)</w:t>
            </w:r>
          </w:p>
        </w:tc>
        <w:tc>
          <w:tcPr>
            <w:tcW w:w="1021" w:type="dxa"/>
            <w:tcBorders>
              <w:top w:val="single" w:sz="8" w:space="0" w:color="0077BD"/>
              <w:left w:val="single" w:sz="8" w:space="0" w:color="0077BD"/>
              <w:bottom w:val="nil"/>
              <w:right w:val="nil"/>
            </w:tcBorders>
            <w:shd w:val="clear" w:color="auto" w:fill="auto"/>
            <w:vAlign w:val="center"/>
            <w:hideMark/>
          </w:tcPr>
          <w:p w14:paraId="2268AA09"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(17 499)</w:t>
            </w:r>
          </w:p>
        </w:tc>
        <w:tc>
          <w:tcPr>
            <w:tcW w:w="1021" w:type="dxa"/>
            <w:tcBorders>
              <w:top w:val="single" w:sz="8" w:space="0" w:color="0077BD"/>
              <w:left w:val="single" w:sz="8" w:space="0" w:color="0077BD"/>
              <w:bottom w:val="nil"/>
              <w:right w:val="nil"/>
            </w:tcBorders>
            <w:shd w:val="clear" w:color="auto" w:fill="auto"/>
            <w:vAlign w:val="center"/>
            <w:hideMark/>
          </w:tcPr>
          <w:p w14:paraId="244FD245"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51 495</w:t>
            </w:r>
          </w:p>
        </w:tc>
      </w:tr>
      <w:tr w:rsidR="00E63782" w:rsidRPr="00BB7C9E" w14:paraId="60FB4CCA" w14:textId="77777777" w:rsidTr="00D63A49">
        <w:trPr>
          <w:trHeight w:val="255"/>
        </w:trPr>
        <w:tc>
          <w:tcPr>
            <w:tcW w:w="0" w:type="auto"/>
            <w:tcBorders>
              <w:top w:val="single" w:sz="8" w:space="0" w:color="0077BD"/>
              <w:left w:val="single" w:sz="4" w:space="0" w:color="FFFFFF"/>
              <w:bottom w:val="nil"/>
              <w:right w:val="nil"/>
            </w:tcBorders>
            <w:shd w:val="clear" w:color="auto" w:fill="auto"/>
            <w:vAlign w:val="center"/>
            <w:hideMark/>
          </w:tcPr>
          <w:p w14:paraId="7E8F54B2"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nil"/>
              <w:right w:val="nil"/>
            </w:tcBorders>
            <w:shd w:val="clear" w:color="auto" w:fill="auto"/>
            <w:vAlign w:val="center"/>
            <w:hideMark/>
          </w:tcPr>
          <w:p w14:paraId="5BB136D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5 130</w:t>
            </w:r>
          </w:p>
        </w:tc>
        <w:tc>
          <w:tcPr>
            <w:tcW w:w="1021" w:type="dxa"/>
            <w:tcBorders>
              <w:top w:val="single" w:sz="8" w:space="0" w:color="0077BD"/>
              <w:left w:val="single" w:sz="8" w:space="0" w:color="0077BD"/>
              <w:bottom w:val="nil"/>
              <w:right w:val="nil"/>
            </w:tcBorders>
            <w:shd w:val="clear" w:color="auto" w:fill="auto"/>
            <w:vAlign w:val="center"/>
            <w:hideMark/>
          </w:tcPr>
          <w:p w14:paraId="38927C0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322</w:t>
            </w:r>
          </w:p>
        </w:tc>
        <w:tc>
          <w:tcPr>
            <w:tcW w:w="1021" w:type="dxa"/>
            <w:tcBorders>
              <w:top w:val="single" w:sz="8" w:space="0" w:color="0077BD"/>
              <w:left w:val="single" w:sz="8" w:space="0" w:color="0077BD"/>
              <w:bottom w:val="nil"/>
              <w:right w:val="nil"/>
            </w:tcBorders>
            <w:shd w:val="clear" w:color="auto" w:fill="auto"/>
            <w:vAlign w:val="center"/>
            <w:hideMark/>
          </w:tcPr>
          <w:p w14:paraId="66ADC84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(324)</w:t>
            </w:r>
          </w:p>
        </w:tc>
        <w:tc>
          <w:tcPr>
            <w:tcW w:w="1021" w:type="dxa"/>
            <w:tcBorders>
              <w:top w:val="single" w:sz="8" w:space="0" w:color="0077BD"/>
              <w:left w:val="single" w:sz="8" w:space="0" w:color="0077BD"/>
              <w:bottom w:val="nil"/>
              <w:right w:val="nil"/>
            </w:tcBorders>
            <w:shd w:val="clear" w:color="auto" w:fill="auto"/>
            <w:vAlign w:val="center"/>
            <w:hideMark/>
          </w:tcPr>
          <w:p w14:paraId="33EA1A0D"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w:t>
            </w:r>
          </w:p>
        </w:tc>
        <w:tc>
          <w:tcPr>
            <w:tcW w:w="1021" w:type="dxa"/>
            <w:tcBorders>
              <w:top w:val="single" w:sz="8" w:space="0" w:color="0077BD"/>
              <w:left w:val="single" w:sz="8" w:space="0" w:color="0077BD"/>
              <w:bottom w:val="nil"/>
              <w:right w:val="nil"/>
            </w:tcBorders>
            <w:shd w:val="clear" w:color="auto" w:fill="auto"/>
            <w:vAlign w:val="center"/>
            <w:hideMark/>
          </w:tcPr>
          <w:p w14:paraId="36F623A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4 994</w:t>
            </w:r>
          </w:p>
        </w:tc>
        <w:tc>
          <w:tcPr>
            <w:tcW w:w="1021" w:type="dxa"/>
            <w:tcBorders>
              <w:top w:val="single" w:sz="8" w:space="0" w:color="0077BD"/>
              <w:left w:val="single" w:sz="8" w:space="0" w:color="0077BD"/>
              <w:bottom w:val="nil"/>
              <w:right w:val="nil"/>
            </w:tcBorders>
            <w:shd w:val="clear" w:color="auto" w:fill="auto"/>
            <w:vAlign w:val="center"/>
            <w:hideMark/>
          </w:tcPr>
          <w:p w14:paraId="1BC2FA6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(6 792)</w:t>
            </w:r>
          </w:p>
        </w:tc>
        <w:tc>
          <w:tcPr>
            <w:tcW w:w="1021" w:type="dxa"/>
            <w:tcBorders>
              <w:top w:val="single" w:sz="8" w:space="0" w:color="0077BD"/>
              <w:left w:val="single" w:sz="8" w:space="0" w:color="0077BD"/>
              <w:bottom w:val="nil"/>
              <w:right w:val="nil"/>
            </w:tcBorders>
            <w:shd w:val="clear" w:color="auto" w:fill="auto"/>
            <w:vAlign w:val="center"/>
            <w:hideMark/>
          </w:tcPr>
          <w:p w14:paraId="220D7D3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(543)</w:t>
            </w:r>
          </w:p>
        </w:tc>
        <w:tc>
          <w:tcPr>
            <w:tcW w:w="1021" w:type="dxa"/>
            <w:tcBorders>
              <w:top w:val="single" w:sz="8" w:space="0" w:color="0077BD"/>
              <w:left w:val="single" w:sz="8" w:space="0" w:color="0077BD"/>
              <w:bottom w:val="nil"/>
              <w:right w:val="nil"/>
            </w:tcBorders>
            <w:shd w:val="clear" w:color="auto" w:fill="auto"/>
            <w:vAlign w:val="center"/>
            <w:hideMark/>
          </w:tcPr>
          <w:p w14:paraId="7A887B9E"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2 784</w:t>
            </w:r>
          </w:p>
        </w:tc>
      </w:tr>
      <w:tr w:rsidR="00E63782" w:rsidRPr="00BB7C9E" w14:paraId="7EC017B4"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23BDCCE8"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2</w:t>
            </w:r>
          </w:p>
        </w:tc>
        <w:tc>
          <w:tcPr>
            <w:tcW w:w="1021" w:type="dxa"/>
            <w:tcBorders>
              <w:top w:val="single" w:sz="4" w:space="0" w:color="0077BD"/>
              <w:left w:val="single" w:sz="8" w:space="0" w:color="0077BD"/>
              <w:bottom w:val="nil"/>
              <w:right w:val="nil"/>
            </w:tcBorders>
            <w:shd w:val="clear" w:color="auto" w:fill="auto"/>
            <w:vAlign w:val="center"/>
            <w:hideMark/>
          </w:tcPr>
          <w:p w14:paraId="436AACD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1 806</w:t>
            </w:r>
          </w:p>
        </w:tc>
        <w:tc>
          <w:tcPr>
            <w:tcW w:w="1021" w:type="dxa"/>
            <w:tcBorders>
              <w:top w:val="single" w:sz="4" w:space="0" w:color="0077BD"/>
              <w:left w:val="single" w:sz="8" w:space="0" w:color="0077BD"/>
              <w:bottom w:val="nil"/>
              <w:right w:val="nil"/>
            </w:tcBorders>
            <w:shd w:val="clear" w:color="auto" w:fill="auto"/>
            <w:vAlign w:val="center"/>
            <w:hideMark/>
          </w:tcPr>
          <w:p w14:paraId="6E763FD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(322)</w:t>
            </w:r>
          </w:p>
        </w:tc>
        <w:tc>
          <w:tcPr>
            <w:tcW w:w="1021" w:type="dxa"/>
            <w:tcBorders>
              <w:top w:val="single" w:sz="4" w:space="0" w:color="0077BD"/>
              <w:left w:val="single" w:sz="8" w:space="0" w:color="0077BD"/>
              <w:bottom w:val="nil"/>
              <w:right w:val="nil"/>
            </w:tcBorders>
            <w:shd w:val="clear" w:color="auto" w:fill="auto"/>
            <w:vAlign w:val="center"/>
            <w:hideMark/>
          </w:tcPr>
          <w:p w14:paraId="497B5B9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419</w:t>
            </w:r>
          </w:p>
        </w:tc>
        <w:tc>
          <w:tcPr>
            <w:tcW w:w="1021" w:type="dxa"/>
            <w:tcBorders>
              <w:top w:val="single" w:sz="4" w:space="0" w:color="0077BD"/>
              <w:left w:val="single" w:sz="8" w:space="0" w:color="0077BD"/>
              <w:bottom w:val="nil"/>
              <w:right w:val="nil"/>
            </w:tcBorders>
            <w:shd w:val="clear" w:color="auto" w:fill="auto"/>
            <w:vAlign w:val="center"/>
            <w:hideMark/>
          </w:tcPr>
          <w:p w14:paraId="1C74A25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4183D2B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1 860</w:t>
            </w:r>
          </w:p>
        </w:tc>
        <w:tc>
          <w:tcPr>
            <w:tcW w:w="1021" w:type="dxa"/>
            <w:tcBorders>
              <w:top w:val="single" w:sz="4" w:space="0" w:color="0077BD"/>
              <w:left w:val="single" w:sz="8" w:space="0" w:color="0077BD"/>
              <w:bottom w:val="nil"/>
              <w:right w:val="nil"/>
            </w:tcBorders>
            <w:shd w:val="clear" w:color="auto" w:fill="auto"/>
            <w:vAlign w:val="center"/>
            <w:hideMark/>
          </w:tcPr>
          <w:p w14:paraId="7936C543"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(1 050)</w:t>
            </w:r>
          </w:p>
        </w:tc>
        <w:tc>
          <w:tcPr>
            <w:tcW w:w="1021" w:type="dxa"/>
            <w:tcBorders>
              <w:top w:val="single" w:sz="4" w:space="0" w:color="0077BD"/>
              <w:left w:val="single" w:sz="8" w:space="0" w:color="0077BD"/>
              <w:bottom w:val="nil"/>
              <w:right w:val="nil"/>
            </w:tcBorders>
            <w:shd w:val="clear" w:color="auto" w:fill="auto"/>
            <w:vAlign w:val="center"/>
            <w:hideMark/>
          </w:tcPr>
          <w:p w14:paraId="453A89EF"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2 281</w:t>
            </w:r>
          </w:p>
        </w:tc>
        <w:tc>
          <w:tcPr>
            <w:tcW w:w="1021" w:type="dxa"/>
            <w:tcBorders>
              <w:top w:val="single" w:sz="4" w:space="0" w:color="0077BD"/>
              <w:left w:val="single" w:sz="8" w:space="0" w:color="0077BD"/>
              <w:bottom w:val="single" w:sz="4" w:space="0" w:color="0077BD"/>
              <w:right w:val="nil"/>
            </w:tcBorders>
            <w:shd w:val="clear" w:color="auto" w:fill="auto"/>
            <w:vAlign w:val="center"/>
            <w:hideMark/>
          </w:tcPr>
          <w:p w14:paraId="71CA738F"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4 994</w:t>
            </w:r>
          </w:p>
        </w:tc>
      </w:tr>
      <w:tr w:rsidR="00E63782" w:rsidRPr="00BB7C9E" w14:paraId="6E55F82A"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2A5A3DD1"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3</w:t>
            </w:r>
          </w:p>
        </w:tc>
        <w:tc>
          <w:tcPr>
            <w:tcW w:w="1021" w:type="dxa"/>
            <w:tcBorders>
              <w:top w:val="single" w:sz="4" w:space="0" w:color="0077BD"/>
              <w:left w:val="single" w:sz="8" w:space="0" w:color="0077BD"/>
              <w:bottom w:val="nil"/>
              <w:right w:val="nil"/>
            </w:tcBorders>
            <w:shd w:val="clear" w:color="auto" w:fill="auto"/>
            <w:vAlign w:val="center"/>
            <w:hideMark/>
          </w:tcPr>
          <w:p w14:paraId="63024447"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65 490</w:t>
            </w:r>
          </w:p>
        </w:tc>
        <w:tc>
          <w:tcPr>
            <w:tcW w:w="1021" w:type="dxa"/>
            <w:tcBorders>
              <w:top w:val="single" w:sz="4" w:space="0" w:color="0077BD"/>
              <w:left w:val="single" w:sz="8" w:space="0" w:color="0077BD"/>
              <w:bottom w:val="nil"/>
              <w:right w:val="nil"/>
            </w:tcBorders>
            <w:shd w:val="clear" w:color="auto" w:fill="auto"/>
            <w:vAlign w:val="center"/>
            <w:hideMark/>
          </w:tcPr>
          <w:p w14:paraId="69025153"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18F6CED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(95)</w:t>
            </w:r>
          </w:p>
        </w:tc>
        <w:tc>
          <w:tcPr>
            <w:tcW w:w="1021" w:type="dxa"/>
            <w:tcBorders>
              <w:top w:val="single" w:sz="4" w:space="0" w:color="0077BD"/>
              <w:left w:val="single" w:sz="8" w:space="0" w:color="0077BD"/>
              <w:bottom w:val="nil"/>
              <w:right w:val="nil"/>
            </w:tcBorders>
            <w:shd w:val="clear" w:color="auto" w:fill="auto"/>
            <w:vAlign w:val="center"/>
            <w:hideMark/>
          </w:tcPr>
          <w:p w14:paraId="4F6916D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w:t>
            </w:r>
          </w:p>
        </w:tc>
        <w:tc>
          <w:tcPr>
            <w:tcW w:w="1021" w:type="dxa"/>
            <w:tcBorders>
              <w:top w:val="single" w:sz="4" w:space="0" w:color="0077BD"/>
              <w:left w:val="single" w:sz="8" w:space="0" w:color="0077BD"/>
              <w:bottom w:val="nil"/>
              <w:right w:val="nil"/>
            </w:tcBorders>
            <w:shd w:val="clear" w:color="auto" w:fill="auto"/>
            <w:vAlign w:val="center"/>
            <w:hideMark/>
          </w:tcPr>
          <w:p w14:paraId="0D9D498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5 313</w:t>
            </w:r>
          </w:p>
        </w:tc>
        <w:tc>
          <w:tcPr>
            <w:tcW w:w="1021" w:type="dxa"/>
            <w:tcBorders>
              <w:top w:val="single" w:sz="4" w:space="0" w:color="0077BD"/>
              <w:left w:val="single" w:sz="8" w:space="0" w:color="0077BD"/>
              <w:bottom w:val="nil"/>
              <w:right w:val="nil"/>
            </w:tcBorders>
            <w:shd w:val="clear" w:color="auto" w:fill="auto"/>
            <w:vAlign w:val="center"/>
            <w:hideMark/>
          </w:tcPr>
          <w:p w14:paraId="661ADF0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(6 745)</w:t>
            </w:r>
          </w:p>
        </w:tc>
        <w:tc>
          <w:tcPr>
            <w:tcW w:w="1021" w:type="dxa"/>
            <w:tcBorders>
              <w:top w:val="single" w:sz="4" w:space="0" w:color="0077BD"/>
              <w:left w:val="single" w:sz="8" w:space="0" w:color="0077BD"/>
              <w:bottom w:val="nil"/>
              <w:right w:val="nil"/>
            </w:tcBorders>
            <w:shd w:val="clear" w:color="auto" w:fill="auto"/>
            <w:vAlign w:val="center"/>
            <w:hideMark/>
          </w:tcPr>
          <w:p w14:paraId="2FEB6D68"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(16 812)</w:t>
            </w:r>
          </w:p>
        </w:tc>
        <w:tc>
          <w:tcPr>
            <w:tcW w:w="1021" w:type="dxa"/>
            <w:tcBorders>
              <w:top w:val="nil"/>
              <w:left w:val="single" w:sz="8" w:space="0" w:color="0077BD"/>
              <w:bottom w:val="nil"/>
              <w:right w:val="nil"/>
            </w:tcBorders>
            <w:shd w:val="clear" w:color="auto" w:fill="auto"/>
            <w:vAlign w:val="center"/>
            <w:hideMark/>
          </w:tcPr>
          <w:p w14:paraId="75D10266"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47 154</w:t>
            </w:r>
          </w:p>
        </w:tc>
      </w:tr>
      <w:tr w:rsidR="00E63782" w:rsidRPr="00BB7C9E" w14:paraId="01463442" w14:textId="77777777" w:rsidTr="00D63A49">
        <w:trPr>
          <w:trHeight w:val="255"/>
        </w:trPr>
        <w:tc>
          <w:tcPr>
            <w:tcW w:w="0" w:type="auto"/>
            <w:tcBorders>
              <w:top w:val="single" w:sz="4" w:space="0" w:color="0077BD"/>
              <w:left w:val="single" w:sz="4" w:space="0" w:color="FFFFFF"/>
              <w:bottom w:val="nil"/>
              <w:right w:val="nil"/>
            </w:tcBorders>
            <w:shd w:val="clear" w:color="auto" w:fill="auto"/>
            <w:vAlign w:val="center"/>
            <w:hideMark/>
          </w:tcPr>
          <w:p w14:paraId="731E5FDC"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POCI</w:t>
            </w:r>
          </w:p>
        </w:tc>
        <w:tc>
          <w:tcPr>
            <w:tcW w:w="1021" w:type="dxa"/>
            <w:tcBorders>
              <w:top w:val="single" w:sz="4" w:space="0" w:color="0077BD"/>
              <w:left w:val="single" w:sz="8" w:space="0" w:color="0077BD"/>
              <w:bottom w:val="nil"/>
              <w:right w:val="nil"/>
            </w:tcBorders>
            <w:shd w:val="clear" w:color="auto" w:fill="auto"/>
            <w:vAlign w:val="center"/>
            <w:hideMark/>
          </w:tcPr>
          <w:p w14:paraId="6F507DD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7DF7C7B6"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25B59D03"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4355345C"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4" w:space="0" w:color="0077BD"/>
              <w:left w:val="single" w:sz="8" w:space="0" w:color="0077BD"/>
              <w:bottom w:val="nil"/>
              <w:right w:val="nil"/>
            </w:tcBorders>
            <w:shd w:val="clear" w:color="auto" w:fill="auto"/>
            <w:vAlign w:val="center"/>
            <w:hideMark/>
          </w:tcPr>
          <w:p w14:paraId="36C6971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(1 011)</w:t>
            </w:r>
          </w:p>
        </w:tc>
        <w:tc>
          <w:tcPr>
            <w:tcW w:w="1021" w:type="dxa"/>
            <w:tcBorders>
              <w:top w:val="single" w:sz="4" w:space="0" w:color="0077BD"/>
              <w:left w:val="single" w:sz="8" w:space="0" w:color="0077BD"/>
              <w:bottom w:val="nil"/>
              <w:right w:val="nil"/>
            </w:tcBorders>
            <w:shd w:val="clear" w:color="auto" w:fill="auto"/>
            <w:vAlign w:val="center"/>
            <w:hideMark/>
          </w:tcPr>
          <w:p w14:paraId="7B9E6BB8"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w:t>
            </w:r>
          </w:p>
        </w:tc>
        <w:tc>
          <w:tcPr>
            <w:tcW w:w="1021" w:type="dxa"/>
            <w:tcBorders>
              <w:top w:val="single" w:sz="4" w:space="0" w:color="0077BD"/>
              <w:left w:val="single" w:sz="8" w:space="0" w:color="0077BD"/>
              <w:bottom w:val="nil"/>
              <w:right w:val="nil"/>
            </w:tcBorders>
            <w:shd w:val="clear" w:color="auto" w:fill="auto"/>
            <w:vAlign w:val="center"/>
            <w:hideMark/>
          </w:tcPr>
          <w:p w14:paraId="07977E6A"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(2 425)</w:t>
            </w:r>
          </w:p>
        </w:tc>
        <w:tc>
          <w:tcPr>
            <w:tcW w:w="1021" w:type="dxa"/>
            <w:tcBorders>
              <w:top w:val="single" w:sz="4" w:space="0" w:color="0077BD"/>
              <w:left w:val="single" w:sz="8" w:space="0" w:color="0077BD"/>
              <w:bottom w:val="single" w:sz="8" w:space="0" w:color="0077BD"/>
              <w:right w:val="nil"/>
            </w:tcBorders>
            <w:shd w:val="clear" w:color="auto" w:fill="auto"/>
            <w:vAlign w:val="center"/>
            <w:hideMark/>
          </w:tcPr>
          <w:p w14:paraId="59D952B1"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(3 437)</w:t>
            </w:r>
          </w:p>
        </w:tc>
      </w:tr>
      <w:tr w:rsidR="00E63782" w:rsidRPr="00BB7C9E" w14:paraId="0C6175BF" w14:textId="77777777" w:rsidTr="004879AB">
        <w:trPr>
          <w:trHeight w:val="312"/>
        </w:trPr>
        <w:tc>
          <w:tcPr>
            <w:tcW w:w="0" w:type="auto"/>
            <w:tcBorders>
              <w:top w:val="single" w:sz="8" w:space="0" w:color="0077BD"/>
              <w:left w:val="single" w:sz="4" w:space="0" w:color="FFFFFF"/>
              <w:bottom w:val="nil"/>
              <w:right w:val="nil"/>
            </w:tcBorders>
            <w:shd w:val="clear" w:color="auto" w:fill="auto"/>
            <w:vAlign w:val="center"/>
            <w:hideMark/>
          </w:tcPr>
          <w:p w14:paraId="7D4F874A" w14:textId="77777777" w:rsidR="00E63782" w:rsidRPr="00BB7C9E" w:rsidRDefault="00E63782" w:rsidP="00E63782">
            <w:pPr>
              <w:rPr>
                <w:rFonts w:cs="Calibri"/>
                <w:b/>
                <w:bCs/>
                <w:color w:val="000000" w:themeColor="text1"/>
                <w:sz w:val="11"/>
                <w:szCs w:val="11"/>
              </w:rPr>
            </w:pPr>
            <w:r w:rsidRPr="00BB7C9E">
              <w:rPr>
                <w:rFonts w:cs="Calibri"/>
                <w:b/>
                <w:bCs/>
                <w:color w:val="000000" w:themeColor="text1"/>
                <w:sz w:val="11"/>
                <w:szCs w:val="11"/>
              </w:rPr>
              <w:t>Pozostałe zobowiązania</w:t>
            </w:r>
          </w:p>
        </w:tc>
        <w:tc>
          <w:tcPr>
            <w:tcW w:w="1021" w:type="dxa"/>
            <w:tcBorders>
              <w:top w:val="single" w:sz="8" w:space="0" w:color="0077BD"/>
              <w:left w:val="single" w:sz="8" w:space="0" w:color="0077BD"/>
              <w:bottom w:val="nil"/>
              <w:right w:val="nil"/>
            </w:tcBorders>
            <w:shd w:val="clear" w:color="auto" w:fill="auto"/>
            <w:vAlign w:val="center"/>
            <w:hideMark/>
          </w:tcPr>
          <w:p w14:paraId="6F060E61"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147</w:t>
            </w:r>
          </w:p>
        </w:tc>
        <w:tc>
          <w:tcPr>
            <w:tcW w:w="1021" w:type="dxa"/>
            <w:tcBorders>
              <w:top w:val="single" w:sz="8" w:space="0" w:color="0077BD"/>
              <w:left w:val="single" w:sz="8" w:space="0" w:color="0077BD"/>
              <w:bottom w:val="nil"/>
              <w:right w:val="nil"/>
            </w:tcBorders>
            <w:shd w:val="clear" w:color="auto" w:fill="auto"/>
            <w:vAlign w:val="center"/>
            <w:hideMark/>
          </w:tcPr>
          <w:p w14:paraId="56628537"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1C9D7110"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5F0743BC"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34BE63BB"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0704CE03"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(152)</w:t>
            </w:r>
          </w:p>
        </w:tc>
        <w:tc>
          <w:tcPr>
            <w:tcW w:w="1021" w:type="dxa"/>
            <w:tcBorders>
              <w:top w:val="single" w:sz="8" w:space="0" w:color="0077BD"/>
              <w:left w:val="single" w:sz="8" w:space="0" w:color="0077BD"/>
              <w:bottom w:val="nil"/>
              <w:right w:val="nil"/>
            </w:tcBorders>
            <w:shd w:val="clear" w:color="auto" w:fill="auto"/>
            <w:vAlign w:val="center"/>
            <w:hideMark/>
          </w:tcPr>
          <w:p w14:paraId="5E5FEABB"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5</w:t>
            </w:r>
          </w:p>
        </w:tc>
        <w:tc>
          <w:tcPr>
            <w:tcW w:w="1021" w:type="dxa"/>
            <w:tcBorders>
              <w:top w:val="nil"/>
              <w:left w:val="single" w:sz="8" w:space="0" w:color="0077BD"/>
              <w:bottom w:val="single" w:sz="8" w:space="0" w:color="0077BD"/>
              <w:right w:val="nil"/>
            </w:tcBorders>
            <w:shd w:val="clear" w:color="auto" w:fill="auto"/>
            <w:vAlign w:val="center"/>
            <w:hideMark/>
          </w:tcPr>
          <w:p w14:paraId="20BCF721"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r>
      <w:tr w:rsidR="00E63782" w:rsidRPr="00BB7C9E" w14:paraId="2559285B" w14:textId="77777777" w:rsidTr="00D63A49">
        <w:trPr>
          <w:trHeight w:val="255"/>
        </w:trPr>
        <w:tc>
          <w:tcPr>
            <w:tcW w:w="0" w:type="auto"/>
            <w:tcBorders>
              <w:top w:val="single" w:sz="8" w:space="0" w:color="0077BD"/>
              <w:left w:val="single" w:sz="4" w:space="0" w:color="FFFFFF"/>
              <w:bottom w:val="nil"/>
              <w:right w:val="nil"/>
            </w:tcBorders>
            <w:shd w:val="clear" w:color="auto" w:fill="auto"/>
            <w:vAlign w:val="center"/>
            <w:hideMark/>
          </w:tcPr>
          <w:p w14:paraId="11EEE22D" w14:textId="77777777" w:rsidR="00E63782" w:rsidRPr="00BB7C9E" w:rsidRDefault="00E63782" w:rsidP="00E63782">
            <w:pPr>
              <w:rPr>
                <w:rFonts w:cs="Calibri"/>
                <w:color w:val="000000" w:themeColor="text1"/>
                <w:sz w:val="11"/>
                <w:szCs w:val="11"/>
              </w:rPr>
            </w:pPr>
            <w:r w:rsidRPr="00BB7C9E">
              <w:rPr>
                <w:rFonts w:cs="Calibri"/>
                <w:color w:val="000000" w:themeColor="text1"/>
                <w:sz w:val="11"/>
                <w:szCs w:val="11"/>
              </w:rPr>
              <w:t>Koszyk 1</w:t>
            </w:r>
          </w:p>
        </w:tc>
        <w:tc>
          <w:tcPr>
            <w:tcW w:w="1021" w:type="dxa"/>
            <w:tcBorders>
              <w:top w:val="single" w:sz="8" w:space="0" w:color="0077BD"/>
              <w:left w:val="single" w:sz="8" w:space="0" w:color="0077BD"/>
              <w:bottom w:val="nil"/>
              <w:right w:val="nil"/>
            </w:tcBorders>
            <w:shd w:val="clear" w:color="auto" w:fill="auto"/>
            <w:vAlign w:val="center"/>
            <w:hideMark/>
          </w:tcPr>
          <w:p w14:paraId="14679E4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147</w:t>
            </w:r>
          </w:p>
        </w:tc>
        <w:tc>
          <w:tcPr>
            <w:tcW w:w="1021" w:type="dxa"/>
            <w:tcBorders>
              <w:top w:val="single" w:sz="8" w:space="0" w:color="0077BD"/>
              <w:left w:val="single" w:sz="8" w:space="0" w:color="0077BD"/>
              <w:bottom w:val="nil"/>
              <w:right w:val="nil"/>
            </w:tcBorders>
            <w:shd w:val="clear" w:color="auto" w:fill="auto"/>
            <w:vAlign w:val="center"/>
            <w:hideMark/>
          </w:tcPr>
          <w:p w14:paraId="662F0F8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3672DDA5"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6FADE099"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7C8E4FBB"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c>
          <w:tcPr>
            <w:tcW w:w="1021" w:type="dxa"/>
            <w:tcBorders>
              <w:top w:val="single" w:sz="8" w:space="0" w:color="0077BD"/>
              <w:left w:val="single" w:sz="8" w:space="0" w:color="0077BD"/>
              <w:bottom w:val="nil"/>
              <w:right w:val="nil"/>
            </w:tcBorders>
            <w:shd w:val="clear" w:color="auto" w:fill="auto"/>
            <w:vAlign w:val="center"/>
            <w:hideMark/>
          </w:tcPr>
          <w:p w14:paraId="7A95A667"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(152)</w:t>
            </w:r>
          </w:p>
        </w:tc>
        <w:tc>
          <w:tcPr>
            <w:tcW w:w="1021" w:type="dxa"/>
            <w:tcBorders>
              <w:top w:val="single" w:sz="8" w:space="0" w:color="0077BD"/>
              <w:left w:val="single" w:sz="8" w:space="0" w:color="0077BD"/>
              <w:bottom w:val="nil"/>
              <w:right w:val="nil"/>
            </w:tcBorders>
            <w:shd w:val="clear" w:color="auto" w:fill="auto"/>
            <w:vAlign w:val="center"/>
            <w:hideMark/>
          </w:tcPr>
          <w:p w14:paraId="5A1DA5CB"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5</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3E6E37A2" w14:textId="77777777" w:rsidR="00E63782" w:rsidRPr="00BB7C9E" w:rsidRDefault="00E63782" w:rsidP="00E63782">
            <w:pPr>
              <w:jc w:val="right"/>
              <w:rPr>
                <w:rFonts w:cs="Calibri"/>
                <w:color w:val="000000" w:themeColor="text1"/>
                <w:sz w:val="11"/>
                <w:szCs w:val="11"/>
              </w:rPr>
            </w:pPr>
            <w:r w:rsidRPr="00BB7C9E">
              <w:rPr>
                <w:rFonts w:cs="Calibri"/>
                <w:color w:val="000000" w:themeColor="text1"/>
                <w:sz w:val="11"/>
                <w:szCs w:val="11"/>
              </w:rPr>
              <w:t>-</w:t>
            </w:r>
          </w:p>
        </w:tc>
      </w:tr>
      <w:tr w:rsidR="00E63782" w:rsidRPr="00BB7C9E" w14:paraId="21AC5052" w14:textId="77777777" w:rsidTr="006D53E3">
        <w:trPr>
          <w:trHeight w:val="454"/>
        </w:trPr>
        <w:tc>
          <w:tcPr>
            <w:tcW w:w="0" w:type="auto"/>
            <w:tcBorders>
              <w:top w:val="single" w:sz="8" w:space="0" w:color="0077BD"/>
              <w:left w:val="single" w:sz="4" w:space="0" w:color="FFFFFF"/>
              <w:bottom w:val="single" w:sz="8" w:space="0" w:color="0077BD"/>
              <w:right w:val="nil"/>
            </w:tcBorders>
            <w:shd w:val="clear" w:color="auto" w:fill="auto"/>
            <w:vAlign w:val="center"/>
            <w:hideMark/>
          </w:tcPr>
          <w:p w14:paraId="086305DE" w14:textId="1180E59B" w:rsidR="00E63782" w:rsidRPr="00BB7C9E" w:rsidRDefault="00E63782" w:rsidP="00E63782">
            <w:pPr>
              <w:rPr>
                <w:rFonts w:cs="Calibri"/>
                <w:b/>
                <w:bCs/>
                <w:color w:val="000000" w:themeColor="text1"/>
                <w:sz w:val="11"/>
                <w:szCs w:val="11"/>
              </w:rPr>
            </w:pPr>
            <w:r w:rsidRPr="00BB7C9E">
              <w:rPr>
                <w:rFonts w:cs="Calibri"/>
                <w:b/>
                <w:bCs/>
                <w:color w:val="000000" w:themeColor="text1"/>
                <w:sz w:val="11"/>
                <w:szCs w:val="11"/>
              </w:rPr>
              <w:t>Rezerwy dotyczące ekspozycji pozabilan</w:t>
            </w:r>
            <w:r w:rsidR="00D50835" w:rsidRPr="00BB7C9E">
              <w:rPr>
                <w:rFonts w:cs="Calibri"/>
                <w:b/>
                <w:bCs/>
                <w:color w:val="000000" w:themeColor="text1"/>
                <w:sz w:val="11"/>
                <w:szCs w:val="11"/>
              </w:rPr>
              <w:t>s</w:t>
            </w:r>
            <w:r w:rsidRPr="00BB7C9E">
              <w:rPr>
                <w:rFonts w:cs="Calibri"/>
                <w:b/>
                <w:bCs/>
                <w:color w:val="000000" w:themeColor="text1"/>
                <w:sz w:val="11"/>
                <w:szCs w:val="11"/>
              </w:rPr>
              <w:t>owych</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59E4B86B"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120 039</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3683B622"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75EEF5AA"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6B536740"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79AD030C"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35 633</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7D5AECD9"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(31 729)</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243D4D06"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(14 534)</w:t>
            </w:r>
          </w:p>
        </w:tc>
        <w:tc>
          <w:tcPr>
            <w:tcW w:w="1021" w:type="dxa"/>
            <w:tcBorders>
              <w:top w:val="single" w:sz="8" w:space="0" w:color="0077BD"/>
              <w:left w:val="single" w:sz="8" w:space="0" w:color="0077BD"/>
              <w:bottom w:val="single" w:sz="8" w:space="0" w:color="0077BD"/>
              <w:right w:val="nil"/>
            </w:tcBorders>
            <w:shd w:val="clear" w:color="auto" w:fill="auto"/>
            <w:vAlign w:val="center"/>
            <w:hideMark/>
          </w:tcPr>
          <w:p w14:paraId="5EC0B353" w14:textId="77777777" w:rsidR="00E63782" w:rsidRPr="00BB7C9E" w:rsidRDefault="00E63782" w:rsidP="00E63782">
            <w:pPr>
              <w:jc w:val="right"/>
              <w:rPr>
                <w:rFonts w:cs="Calibri"/>
                <w:b/>
                <w:bCs/>
                <w:color w:val="000000" w:themeColor="text1"/>
                <w:sz w:val="11"/>
                <w:szCs w:val="11"/>
              </w:rPr>
            </w:pPr>
            <w:r w:rsidRPr="00BB7C9E">
              <w:rPr>
                <w:rFonts w:cs="Calibri"/>
                <w:b/>
                <w:bCs/>
                <w:color w:val="000000" w:themeColor="text1"/>
                <w:sz w:val="11"/>
                <w:szCs w:val="11"/>
              </w:rPr>
              <w:t>109 409</w:t>
            </w:r>
          </w:p>
        </w:tc>
      </w:tr>
    </w:tbl>
    <w:p w14:paraId="07A6E5AB" w14:textId="0C4C7058" w:rsidR="00FD33F8" w:rsidRDefault="00FD33F8" w:rsidP="006224F6"/>
    <w:p w14:paraId="40DB4418" w14:textId="26A44990" w:rsidR="005A26D5" w:rsidRDefault="005A26D5" w:rsidP="00526DF1">
      <w:pPr>
        <w:pStyle w:val="Nagwek2"/>
        <w:numPr>
          <w:ilvl w:val="0"/>
          <w:numId w:val="44"/>
        </w:numPr>
        <w:suppressAutoHyphens/>
        <w:spacing w:before="0"/>
        <w:ind w:left="425" w:hanging="425"/>
        <w:jc w:val="both"/>
        <w:rPr>
          <w:rFonts w:cs="Tahoma"/>
          <w:bCs w:val="0"/>
          <w:iCs w:val="0"/>
          <w:color w:val="E41E0A"/>
          <w:sz w:val="18"/>
          <w:szCs w:val="18"/>
        </w:rPr>
      </w:pPr>
      <w:bookmarkStart w:id="152" w:name="_Toc32999862"/>
      <w:r>
        <w:rPr>
          <w:rFonts w:cs="Tahoma"/>
          <w:bCs w:val="0"/>
          <w:iCs w:val="0"/>
          <w:color w:val="E41E0A"/>
          <w:sz w:val="18"/>
          <w:szCs w:val="18"/>
        </w:rPr>
        <w:t>Aktywa i rezerwy z tytułu odroczonego podatku dochodowego</w:t>
      </w:r>
      <w:bookmarkEnd w:id="152"/>
    </w:p>
    <w:p w14:paraId="36D02B6E" w14:textId="75445F0B" w:rsidR="005A26D5" w:rsidRPr="00BB7C9E" w:rsidRDefault="005A26D5" w:rsidP="005A26D5">
      <w:pPr>
        <w:suppressAutoHyphens/>
        <w:spacing w:before="120"/>
        <w:ind w:right="142"/>
        <w:jc w:val="both"/>
        <w:rPr>
          <w:rFonts w:cs="Tahoma"/>
          <w:color w:val="000000" w:themeColor="text1"/>
          <w:sz w:val="18"/>
          <w:szCs w:val="18"/>
        </w:rPr>
      </w:pPr>
      <w:r w:rsidRPr="00BB7C9E">
        <w:rPr>
          <w:rFonts w:cs="Tahoma"/>
          <w:color w:val="000000" w:themeColor="text1"/>
          <w:sz w:val="18"/>
          <w:szCs w:val="18"/>
        </w:rPr>
        <w:t>Aktywa i rezerwy z tytułu odroczonego podatku dochodowego obliczane są w stosunku do wszystkich różnic przejściowych zgodnie z metodą bilansową przy zastosowaniu stawki podatku dochodowego, która</w:t>
      </w:r>
      <w:r w:rsidR="002F2689">
        <w:rPr>
          <w:rFonts w:cs="Tahoma"/>
          <w:color w:val="000000" w:themeColor="text1"/>
          <w:sz w:val="18"/>
          <w:szCs w:val="18"/>
        </w:rPr>
        <w:t> </w:t>
      </w:r>
      <w:r w:rsidRPr="00BB7C9E">
        <w:rPr>
          <w:rFonts w:cs="Tahoma"/>
          <w:color w:val="000000" w:themeColor="text1"/>
          <w:sz w:val="18"/>
          <w:szCs w:val="18"/>
        </w:rPr>
        <w:t>będzie obowiązywać w roku powstania obowiązku podatkowego (201</w:t>
      </w:r>
      <w:r w:rsidR="00CE38E4" w:rsidRPr="00BB7C9E">
        <w:rPr>
          <w:rFonts w:cs="Tahoma"/>
          <w:color w:val="000000" w:themeColor="text1"/>
          <w:sz w:val="18"/>
          <w:szCs w:val="18"/>
        </w:rPr>
        <w:t>9</w:t>
      </w:r>
      <w:r w:rsidR="00AC25CE">
        <w:rPr>
          <w:rFonts w:cs="Tahoma"/>
          <w:color w:val="000000" w:themeColor="text1"/>
          <w:sz w:val="18"/>
          <w:szCs w:val="18"/>
        </w:rPr>
        <w:t xml:space="preserve"> rok</w:t>
      </w:r>
      <w:r w:rsidRPr="00BB7C9E">
        <w:rPr>
          <w:rFonts w:cs="Tahoma"/>
          <w:color w:val="000000" w:themeColor="text1"/>
          <w:sz w:val="18"/>
          <w:szCs w:val="18"/>
        </w:rPr>
        <w:t xml:space="preserve"> i 201</w:t>
      </w:r>
      <w:r w:rsidR="00CE38E4" w:rsidRPr="00BB7C9E">
        <w:rPr>
          <w:rFonts w:cs="Tahoma"/>
          <w:color w:val="000000" w:themeColor="text1"/>
          <w:sz w:val="18"/>
          <w:szCs w:val="18"/>
        </w:rPr>
        <w:t>8</w:t>
      </w:r>
      <w:r w:rsidR="00AC25CE">
        <w:rPr>
          <w:rFonts w:cs="Tahoma"/>
          <w:color w:val="000000" w:themeColor="text1"/>
          <w:sz w:val="18"/>
          <w:szCs w:val="18"/>
        </w:rPr>
        <w:t xml:space="preserve"> rok</w:t>
      </w:r>
      <w:r w:rsidRPr="00BB7C9E">
        <w:rPr>
          <w:rFonts w:cs="Tahoma"/>
          <w:color w:val="000000" w:themeColor="text1"/>
          <w:sz w:val="18"/>
          <w:szCs w:val="18"/>
        </w:rPr>
        <w:t xml:space="preserve">: 19%). </w:t>
      </w:r>
    </w:p>
    <w:p w14:paraId="6B1EE536" w14:textId="214269DD" w:rsidR="00E344E2" w:rsidRDefault="0072261C" w:rsidP="005A26D5">
      <w:pPr>
        <w:suppressAutoHyphens/>
        <w:spacing w:before="120"/>
        <w:ind w:right="142"/>
        <w:jc w:val="both"/>
        <w:rPr>
          <w:rFonts w:cs="Tahoma"/>
          <w:color w:val="000000" w:themeColor="text1"/>
          <w:sz w:val="18"/>
          <w:szCs w:val="18"/>
        </w:rPr>
      </w:pPr>
      <w:r w:rsidRPr="00BB7C9E">
        <w:rPr>
          <w:rFonts w:cs="Tahoma"/>
          <w:color w:val="000000" w:themeColor="text1"/>
          <w:sz w:val="18"/>
          <w:szCs w:val="18"/>
        </w:rPr>
        <w:t>Aktywów i rezerw</w:t>
      </w:r>
      <w:r w:rsidR="006E3C88" w:rsidRPr="00BB7C9E">
        <w:rPr>
          <w:rFonts w:cs="Tahoma"/>
          <w:color w:val="000000" w:themeColor="text1"/>
          <w:sz w:val="18"/>
          <w:szCs w:val="18"/>
        </w:rPr>
        <w:t xml:space="preserve"> z tytułu odroczonego podatku dochodowego nie zalicza się do aktywów i zobowiązań krótkoterminowych.</w:t>
      </w:r>
    </w:p>
    <w:p w14:paraId="10BCF7C3" w14:textId="77777777" w:rsidR="002C2105" w:rsidRDefault="002C2105">
      <w:pPr>
        <w:rPr>
          <w:rFonts w:cs="Tahoma"/>
          <w:color w:val="000000" w:themeColor="text1"/>
          <w:sz w:val="18"/>
          <w:szCs w:val="18"/>
        </w:rPr>
      </w:pPr>
      <w:r>
        <w:rPr>
          <w:rFonts w:cs="Tahoma"/>
          <w:color w:val="000000" w:themeColor="text1"/>
          <w:sz w:val="18"/>
          <w:szCs w:val="18"/>
        </w:rPr>
        <w:br w:type="page"/>
      </w:r>
    </w:p>
    <w:p w14:paraId="1B4C490C" w14:textId="3E1041E6" w:rsidR="005A26D5" w:rsidRPr="00BB7C9E" w:rsidRDefault="005A26D5" w:rsidP="00D63A49">
      <w:pPr>
        <w:suppressAutoHyphens/>
        <w:spacing w:before="120" w:after="120"/>
        <w:jc w:val="both"/>
        <w:rPr>
          <w:rFonts w:cs="Tahoma"/>
          <w:color w:val="000000" w:themeColor="text1"/>
          <w:sz w:val="18"/>
          <w:szCs w:val="18"/>
        </w:rPr>
      </w:pPr>
      <w:r w:rsidRPr="00BB7C9E">
        <w:rPr>
          <w:rFonts w:cs="Tahoma"/>
          <w:color w:val="000000" w:themeColor="text1"/>
          <w:sz w:val="18"/>
          <w:szCs w:val="18"/>
        </w:rPr>
        <w:lastRenderedPageBreak/>
        <w:t>Poniżej przedstawiono zmiany dotyczące aktywów i rezerw z tytułu odroczonego podatku dochodowego:</w:t>
      </w:r>
    </w:p>
    <w:tbl>
      <w:tblPr>
        <w:tblW w:w="0" w:type="auto"/>
        <w:tblLayout w:type="fixed"/>
        <w:tblCellMar>
          <w:left w:w="28" w:type="dxa"/>
          <w:right w:w="28" w:type="dxa"/>
        </w:tblCellMar>
        <w:tblLook w:val="04A0" w:firstRow="1" w:lastRow="0" w:firstColumn="1" w:lastColumn="0" w:noHBand="0" w:noVBand="1"/>
      </w:tblPr>
      <w:tblGrid>
        <w:gridCol w:w="3911"/>
        <w:gridCol w:w="1134"/>
        <w:gridCol w:w="1134"/>
        <w:gridCol w:w="1134"/>
        <w:gridCol w:w="1134"/>
        <w:gridCol w:w="1134"/>
      </w:tblGrid>
      <w:tr w:rsidR="00EC46C9" w:rsidRPr="0096076C" w14:paraId="0246B6CA" w14:textId="77777777" w:rsidTr="00E470FD">
        <w:trPr>
          <w:trHeight w:val="454"/>
        </w:trPr>
        <w:tc>
          <w:tcPr>
            <w:tcW w:w="3911" w:type="dxa"/>
            <w:tcBorders>
              <w:top w:val="nil"/>
              <w:left w:val="nil"/>
              <w:right w:val="single" w:sz="8" w:space="0" w:color="FFFFFF"/>
            </w:tcBorders>
            <w:shd w:val="clear" w:color="000000" w:fill="0077BD"/>
            <w:vAlign w:val="center"/>
            <w:hideMark/>
          </w:tcPr>
          <w:p w14:paraId="557C9D20" w14:textId="77777777" w:rsidR="00EC46C9" w:rsidRPr="0096076C" w:rsidRDefault="00EC46C9" w:rsidP="00841A0F">
            <w:pPr>
              <w:rPr>
                <w:rFonts w:cs="Calibri"/>
                <w:b/>
                <w:bCs/>
                <w:color w:val="FFFFFF"/>
                <w:sz w:val="12"/>
                <w:szCs w:val="12"/>
              </w:rPr>
            </w:pPr>
            <w:r w:rsidRPr="0096076C">
              <w:rPr>
                <w:rFonts w:cs="Calibri"/>
                <w:b/>
                <w:bCs/>
                <w:color w:val="FFFFFF"/>
                <w:sz w:val="12"/>
                <w:szCs w:val="12"/>
              </w:rPr>
              <w:t>Aktywa z tytułu odroczonego podatku dochodowego</w:t>
            </w:r>
          </w:p>
        </w:tc>
        <w:tc>
          <w:tcPr>
            <w:tcW w:w="1134" w:type="dxa"/>
            <w:tcBorders>
              <w:top w:val="nil"/>
              <w:left w:val="nil"/>
              <w:right w:val="single" w:sz="8" w:space="0" w:color="FFFFFF"/>
            </w:tcBorders>
            <w:shd w:val="clear" w:color="000000" w:fill="0077BD"/>
            <w:vAlign w:val="center"/>
            <w:hideMark/>
          </w:tcPr>
          <w:p w14:paraId="28A4B2BD" w14:textId="388E4C2C" w:rsidR="00EC46C9" w:rsidRPr="0096076C" w:rsidRDefault="00EC46C9" w:rsidP="00841A0F">
            <w:pPr>
              <w:jc w:val="center"/>
              <w:rPr>
                <w:rFonts w:cs="Calibri"/>
                <w:b/>
                <w:bCs/>
                <w:color w:val="FFFFFF"/>
                <w:sz w:val="12"/>
                <w:szCs w:val="12"/>
              </w:rPr>
            </w:pPr>
            <w:r>
              <w:rPr>
                <w:rFonts w:cs="Calibri"/>
                <w:b/>
                <w:bCs/>
                <w:color w:val="FFFFFF"/>
                <w:sz w:val="12"/>
                <w:szCs w:val="12"/>
              </w:rPr>
              <w:t>Stan na 01.01.2019</w:t>
            </w:r>
          </w:p>
        </w:tc>
        <w:tc>
          <w:tcPr>
            <w:tcW w:w="1134" w:type="dxa"/>
            <w:tcBorders>
              <w:top w:val="nil"/>
              <w:left w:val="nil"/>
              <w:right w:val="single" w:sz="8" w:space="0" w:color="FFFFFF"/>
            </w:tcBorders>
            <w:shd w:val="clear" w:color="000000" w:fill="0077BD"/>
            <w:vAlign w:val="center"/>
            <w:hideMark/>
          </w:tcPr>
          <w:p w14:paraId="65C4777B" w14:textId="77777777" w:rsidR="00EC46C9" w:rsidRPr="0096076C" w:rsidRDefault="00EC46C9" w:rsidP="00841A0F">
            <w:pPr>
              <w:jc w:val="center"/>
              <w:rPr>
                <w:rFonts w:cs="Calibri"/>
                <w:b/>
                <w:bCs/>
                <w:color w:val="FFFFFF"/>
                <w:sz w:val="12"/>
                <w:szCs w:val="12"/>
              </w:rPr>
            </w:pPr>
            <w:r w:rsidRPr="0096076C">
              <w:rPr>
                <w:rFonts w:cs="Calibri"/>
                <w:b/>
                <w:bCs/>
                <w:color w:val="FFFFFF"/>
                <w:sz w:val="12"/>
                <w:szCs w:val="12"/>
              </w:rPr>
              <w:t>Przez rachunek zysków i strat</w:t>
            </w:r>
          </w:p>
        </w:tc>
        <w:tc>
          <w:tcPr>
            <w:tcW w:w="1134" w:type="dxa"/>
            <w:tcBorders>
              <w:top w:val="nil"/>
              <w:left w:val="nil"/>
              <w:right w:val="single" w:sz="8" w:space="0" w:color="FFFFFF"/>
            </w:tcBorders>
            <w:shd w:val="clear" w:color="000000" w:fill="0077BD"/>
            <w:vAlign w:val="center"/>
            <w:hideMark/>
          </w:tcPr>
          <w:p w14:paraId="3D2892E2" w14:textId="77777777" w:rsidR="00EC46C9" w:rsidRPr="0096076C" w:rsidRDefault="00EC46C9" w:rsidP="00841A0F">
            <w:pPr>
              <w:jc w:val="center"/>
              <w:rPr>
                <w:rFonts w:cs="Calibri"/>
                <w:b/>
                <w:bCs/>
                <w:color w:val="FFFFFF"/>
                <w:sz w:val="12"/>
                <w:szCs w:val="12"/>
              </w:rPr>
            </w:pPr>
            <w:r w:rsidRPr="0096076C">
              <w:rPr>
                <w:rFonts w:cs="Calibri"/>
                <w:b/>
                <w:bCs/>
                <w:color w:val="FFFFFF"/>
                <w:sz w:val="12"/>
                <w:szCs w:val="12"/>
              </w:rPr>
              <w:t>Przez pozostałe całkowite dochody</w:t>
            </w:r>
          </w:p>
        </w:tc>
        <w:tc>
          <w:tcPr>
            <w:tcW w:w="1134" w:type="dxa"/>
            <w:tcBorders>
              <w:top w:val="nil"/>
              <w:left w:val="nil"/>
              <w:right w:val="single" w:sz="8" w:space="0" w:color="FFFFFF"/>
            </w:tcBorders>
            <w:shd w:val="clear" w:color="000000" w:fill="0077BD"/>
            <w:vAlign w:val="center"/>
            <w:hideMark/>
          </w:tcPr>
          <w:p w14:paraId="5897C2D7" w14:textId="77777777" w:rsidR="00EC46C9" w:rsidRPr="0096076C" w:rsidRDefault="00EC46C9" w:rsidP="00841A0F">
            <w:pPr>
              <w:jc w:val="center"/>
              <w:rPr>
                <w:rFonts w:cs="Calibri"/>
                <w:b/>
                <w:bCs/>
                <w:color w:val="FFFFFF"/>
                <w:sz w:val="12"/>
                <w:szCs w:val="12"/>
              </w:rPr>
            </w:pPr>
            <w:r w:rsidRPr="0096076C">
              <w:rPr>
                <w:rFonts w:cs="Calibri"/>
                <w:b/>
                <w:bCs/>
                <w:color w:val="FFFFFF"/>
                <w:sz w:val="12"/>
                <w:szCs w:val="12"/>
              </w:rPr>
              <w:t>Pozostałe zmiany</w:t>
            </w:r>
          </w:p>
        </w:tc>
        <w:tc>
          <w:tcPr>
            <w:tcW w:w="1134" w:type="dxa"/>
            <w:tcBorders>
              <w:top w:val="nil"/>
              <w:left w:val="nil"/>
              <w:right w:val="nil"/>
            </w:tcBorders>
            <w:shd w:val="clear" w:color="000000" w:fill="0077BD"/>
            <w:vAlign w:val="center"/>
            <w:hideMark/>
          </w:tcPr>
          <w:p w14:paraId="511A8AAC" w14:textId="7E17667A" w:rsidR="00EC46C9" w:rsidRPr="0096076C" w:rsidRDefault="00EC46C9" w:rsidP="00841A0F">
            <w:pPr>
              <w:jc w:val="center"/>
              <w:rPr>
                <w:rFonts w:cs="Calibri"/>
                <w:b/>
                <w:bCs/>
                <w:color w:val="FFFFFF"/>
                <w:sz w:val="12"/>
                <w:szCs w:val="12"/>
              </w:rPr>
            </w:pPr>
            <w:r>
              <w:rPr>
                <w:rFonts w:cs="Calibri"/>
                <w:b/>
                <w:bCs/>
                <w:color w:val="FFFFFF"/>
                <w:sz w:val="12"/>
                <w:szCs w:val="12"/>
              </w:rPr>
              <w:t>Stan na 31.12.2019</w:t>
            </w:r>
          </w:p>
        </w:tc>
      </w:tr>
      <w:tr w:rsidR="00D63A49" w:rsidRPr="00BB7C9E" w14:paraId="6886ED68" w14:textId="77777777" w:rsidTr="00E470FD">
        <w:trPr>
          <w:trHeight w:val="255"/>
        </w:trPr>
        <w:tc>
          <w:tcPr>
            <w:tcW w:w="3911" w:type="dxa"/>
            <w:tcBorders>
              <w:left w:val="nil"/>
              <w:bottom w:val="single" w:sz="4" w:space="0" w:color="0077BD"/>
              <w:right w:val="single" w:sz="8" w:space="0" w:color="0077BD"/>
            </w:tcBorders>
            <w:shd w:val="clear" w:color="auto" w:fill="auto"/>
            <w:vAlign w:val="center"/>
            <w:hideMark/>
          </w:tcPr>
          <w:p w14:paraId="6DDF0FBD"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Odsetki naliczone</w:t>
            </w:r>
          </w:p>
        </w:tc>
        <w:tc>
          <w:tcPr>
            <w:tcW w:w="1134" w:type="dxa"/>
            <w:tcBorders>
              <w:left w:val="nil"/>
              <w:bottom w:val="single" w:sz="4" w:space="0" w:color="0077BD"/>
              <w:right w:val="single" w:sz="8" w:space="0" w:color="0077BD"/>
            </w:tcBorders>
            <w:shd w:val="clear" w:color="auto" w:fill="auto"/>
            <w:vAlign w:val="center"/>
            <w:hideMark/>
          </w:tcPr>
          <w:p w14:paraId="216BB3E2" w14:textId="35F9A1B8"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137 086</w:t>
            </w:r>
          </w:p>
        </w:tc>
        <w:tc>
          <w:tcPr>
            <w:tcW w:w="1134" w:type="dxa"/>
            <w:tcBorders>
              <w:left w:val="nil"/>
              <w:bottom w:val="single" w:sz="4" w:space="0" w:color="0077BD"/>
              <w:right w:val="single" w:sz="8" w:space="0" w:color="0077BD"/>
            </w:tcBorders>
            <w:shd w:val="clear" w:color="auto" w:fill="auto"/>
            <w:vAlign w:val="center"/>
          </w:tcPr>
          <w:p w14:paraId="47E98CB0" w14:textId="0EEA8550" w:rsidR="00D63A49" w:rsidRPr="00436D99" w:rsidRDefault="00D63A49" w:rsidP="00D63A49">
            <w:pPr>
              <w:jc w:val="right"/>
              <w:rPr>
                <w:rFonts w:cs="Calibri"/>
                <w:color w:val="000000" w:themeColor="text1"/>
                <w:sz w:val="12"/>
                <w:szCs w:val="12"/>
              </w:rPr>
            </w:pPr>
            <w:r w:rsidRPr="00436D99">
              <w:rPr>
                <w:color w:val="000000" w:themeColor="text1"/>
                <w:sz w:val="12"/>
                <w:szCs w:val="12"/>
              </w:rPr>
              <w:t>10 247</w:t>
            </w:r>
          </w:p>
        </w:tc>
        <w:tc>
          <w:tcPr>
            <w:tcW w:w="1134" w:type="dxa"/>
            <w:tcBorders>
              <w:left w:val="nil"/>
              <w:bottom w:val="single" w:sz="4" w:space="0" w:color="0077BD"/>
              <w:right w:val="single" w:sz="8" w:space="0" w:color="0077BD"/>
            </w:tcBorders>
            <w:shd w:val="clear" w:color="auto" w:fill="auto"/>
            <w:vAlign w:val="center"/>
            <w:hideMark/>
          </w:tcPr>
          <w:p w14:paraId="65C708D0" w14:textId="3607F4B7"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left w:val="nil"/>
              <w:bottom w:val="single" w:sz="4" w:space="0" w:color="0077BD"/>
              <w:right w:val="single" w:sz="8" w:space="0" w:color="0077BD"/>
            </w:tcBorders>
            <w:shd w:val="clear" w:color="auto" w:fill="auto"/>
            <w:vAlign w:val="center"/>
            <w:hideMark/>
          </w:tcPr>
          <w:p w14:paraId="1FA9FB57" w14:textId="48B53227"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left w:val="nil"/>
              <w:bottom w:val="single" w:sz="4" w:space="0" w:color="0077BD"/>
              <w:right w:val="nil"/>
            </w:tcBorders>
            <w:shd w:val="clear" w:color="auto" w:fill="auto"/>
            <w:vAlign w:val="center"/>
          </w:tcPr>
          <w:p w14:paraId="571C0209" w14:textId="6A51E2C0" w:rsidR="00D63A49" w:rsidRPr="00436D99" w:rsidRDefault="00D63A49" w:rsidP="00D63A49">
            <w:pPr>
              <w:jc w:val="right"/>
              <w:rPr>
                <w:rFonts w:cs="Calibri"/>
                <w:color w:val="000000" w:themeColor="text1"/>
                <w:sz w:val="12"/>
                <w:szCs w:val="12"/>
              </w:rPr>
            </w:pPr>
            <w:r w:rsidRPr="00436D99">
              <w:rPr>
                <w:color w:val="000000" w:themeColor="text1"/>
                <w:sz w:val="12"/>
                <w:szCs w:val="12"/>
              </w:rPr>
              <w:t>147 333</w:t>
            </w:r>
          </w:p>
        </w:tc>
      </w:tr>
      <w:tr w:rsidR="00D63A49" w:rsidRPr="00BB7C9E" w14:paraId="256BED40"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1B4E9C54"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Wycena pochodnych instrumentów finansowych</w:t>
            </w:r>
          </w:p>
        </w:tc>
        <w:tc>
          <w:tcPr>
            <w:tcW w:w="1134" w:type="dxa"/>
            <w:tcBorders>
              <w:top w:val="nil"/>
              <w:left w:val="nil"/>
              <w:bottom w:val="single" w:sz="4" w:space="0" w:color="0077BD"/>
              <w:right w:val="single" w:sz="8" w:space="0" w:color="0077BD"/>
            </w:tcBorders>
            <w:shd w:val="clear" w:color="auto" w:fill="auto"/>
            <w:vAlign w:val="center"/>
            <w:hideMark/>
          </w:tcPr>
          <w:p w14:paraId="31D00B6C" w14:textId="41A153F1"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1 274</w:t>
            </w:r>
          </w:p>
        </w:tc>
        <w:tc>
          <w:tcPr>
            <w:tcW w:w="1134" w:type="dxa"/>
            <w:tcBorders>
              <w:top w:val="nil"/>
              <w:left w:val="nil"/>
              <w:bottom w:val="single" w:sz="4" w:space="0" w:color="0077BD"/>
              <w:right w:val="single" w:sz="8" w:space="0" w:color="0077BD"/>
            </w:tcBorders>
            <w:shd w:val="clear" w:color="auto" w:fill="auto"/>
            <w:vAlign w:val="center"/>
          </w:tcPr>
          <w:p w14:paraId="1F07138E" w14:textId="6274BEC2" w:rsidR="00D63A49" w:rsidRPr="00436D99" w:rsidRDefault="00D63A49" w:rsidP="00D63A49">
            <w:pPr>
              <w:jc w:val="right"/>
              <w:rPr>
                <w:rFonts w:cs="Calibri"/>
                <w:color w:val="000000" w:themeColor="text1"/>
                <w:sz w:val="12"/>
                <w:szCs w:val="12"/>
              </w:rPr>
            </w:pPr>
            <w:r w:rsidRPr="00436D99">
              <w:rPr>
                <w:color w:val="000000" w:themeColor="text1"/>
                <w:sz w:val="12"/>
                <w:szCs w:val="12"/>
              </w:rPr>
              <w:t>(1 030)</w:t>
            </w:r>
          </w:p>
        </w:tc>
        <w:tc>
          <w:tcPr>
            <w:tcW w:w="1134" w:type="dxa"/>
            <w:tcBorders>
              <w:top w:val="nil"/>
              <w:left w:val="nil"/>
              <w:bottom w:val="single" w:sz="4" w:space="0" w:color="0077BD"/>
              <w:right w:val="single" w:sz="8" w:space="0" w:color="0077BD"/>
            </w:tcBorders>
            <w:shd w:val="clear" w:color="auto" w:fill="auto"/>
            <w:vAlign w:val="center"/>
            <w:hideMark/>
          </w:tcPr>
          <w:p w14:paraId="6D85F098" w14:textId="742249E3" w:rsidR="00D63A49" w:rsidRPr="00436D99" w:rsidRDefault="00D63A49" w:rsidP="00D63A49">
            <w:pPr>
              <w:jc w:val="right"/>
              <w:rPr>
                <w:rFonts w:cs="Calibri"/>
                <w:color w:val="000000" w:themeColor="text1"/>
                <w:sz w:val="12"/>
                <w:szCs w:val="12"/>
              </w:rPr>
            </w:pPr>
            <w:r w:rsidRPr="00436D99">
              <w:rPr>
                <w:color w:val="000000" w:themeColor="text1"/>
                <w:sz w:val="12"/>
                <w:szCs w:val="12"/>
              </w:rPr>
              <w:t>745</w:t>
            </w:r>
          </w:p>
        </w:tc>
        <w:tc>
          <w:tcPr>
            <w:tcW w:w="1134" w:type="dxa"/>
            <w:tcBorders>
              <w:top w:val="nil"/>
              <w:left w:val="nil"/>
              <w:bottom w:val="single" w:sz="4" w:space="0" w:color="0077BD"/>
              <w:right w:val="single" w:sz="8" w:space="0" w:color="0077BD"/>
            </w:tcBorders>
            <w:shd w:val="clear" w:color="auto" w:fill="auto"/>
            <w:vAlign w:val="center"/>
            <w:hideMark/>
          </w:tcPr>
          <w:p w14:paraId="466BF865" w14:textId="6805A082"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37251A3A" w14:textId="3AEB9237" w:rsidR="00D63A49" w:rsidRPr="00436D99" w:rsidRDefault="00D63A49" w:rsidP="00D63A49">
            <w:pPr>
              <w:jc w:val="right"/>
              <w:rPr>
                <w:rFonts w:cs="Calibri"/>
                <w:color w:val="000000" w:themeColor="text1"/>
                <w:sz w:val="12"/>
                <w:szCs w:val="12"/>
              </w:rPr>
            </w:pPr>
            <w:r w:rsidRPr="00436D99">
              <w:rPr>
                <w:color w:val="000000" w:themeColor="text1"/>
                <w:sz w:val="12"/>
                <w:szCs w:val="12"/>
              </w:rPr>
              <w:t>989</w:t>
            </w:r>
          </w:p>
        </w:tc>
      </w:tr>
      <w:tr w:rsidR="00D63A49" w:rsidRPr="00BB7C9E" w14:paraId="39543B16"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38798359"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Wycena papierów wartościowych</w:t>
            </w:r>
          </w:p>
        </w:tc>
        <w:tc>
          <w:tcPr>
            <w:tcW w:w="1134" w:type="dxa"/>
            <w:tcBorders>
              <w:top w:val="nil"/>
              <w:left w:val="nil"/>
              <w:bottom w:val="single" w:sz="4" w:space="0" w:color="0077BD"/>
              <w:right w:val="single" w:sz="8" w:space="0" w:color="0077BD"/>
            </w:tcBorders>
            <w:shd w:val="clear" w:color="auto" w:fill="auto"/>
            <w:vAlign w:val="center"/>
            <w:hideMark/>
          </w:tcPr>
          <w:p w14:paraId="28B0B1AB" w14:textId="4D6A0C0E"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38 845</w:t>
            </w:r>
          </w:p>
        </w:tc>
        <w:tc>
          <w:tcPr>
            <w:tcW w:w="1134" w:type="dxa"/>
            <w:tcBorders>
              <w:top w:val="nil"/>
              <w:left w:val="nil"/>
              <w:bottom w:val="single" w:sz="4" w:space="0" w:color="0077BD"/>
              <w:right w:val="single" w:sz="8" w:space="0" w:color="0077BD"/>
            </w:tcBorders>
            <w:shd w:val="clear" w:color="auto" w:fill="auto"/>
            <w:vAlign w:val="center"/>
          </w:tcPr>
          <w:p w14:paraId="43F19544" w14:textId="7A550C89" w:rsidR="00D63A49" w:rsidRPr="00436D99" w:rsidRDefault="00D63A49" w:rsidP="00D63A49">
            <w:pPr>
              <w:jc w:val="right"/>
              <w:rPr>
                <w:rFonts w:cs="Calibri"/>
                <w:color w:val="000000" w:themeColor="text1"/>
                <w:sz w:val="12"/>
                <w:szCs w:val="12"/>
              </w:rPr>
            </w:pPr>
            <w:r w:rsidRPr="00436D99">
              <w:rPr>
                <w:color w:val="000000" w:themeColor="text1"/>
                <w:sz w:val="12"/>
                <w:szCs w:val="12"/>
              </w:rPr>
              <w:t>11 788</w:t>
            </w:r>
          </w:p>
        </w:tc>
        <w:tc>
          <w:tcPr>
            <w:tcW w:w="1134" w:type="dxa"/>
            <w:tcBorders>
              <w:top w:val="nil"/>
              <w:left w:val="nil"/>
              <w:bottom w:val="single" w:sz="4" w:space="0" w:color="0077BD"/>
              <w:right w:val="single" w:sz="8" w:space="0" w:color="0077BD"/>
            </w:tcBorders>
            <w:shd w:val="clear" w:color="auto" w:fill="auto"/>
            <w:vAlign w:val="center"/>
          </w:tcPr>
          <w:p w14:paraId="25F82AB8" w14:textId="2BCEEBB1" w:rsidR="00D63A49" w:rsidRPr="00436D99" w:rsidRDefault="00D63A49" w:rsidP="00D63A49">
            <w:pPr>
              <w:jc w:val="right"/>
              <w:rPr>
                <w:rFonts w:cs="Calibri"/>
                <w:color w:val="000000" w:themeColor="text1"/>
                <w:sz w:val="12"/>
                <w:szCs w:val="12"/>
              </w:rPr>
            </w:pPr>
            <w:r w:rsidRPr="00436D99">
              <w:rPr>
                <w:color w:val="000000" w:themeColor="text1"/>
                <w:sz w:val="12"/>
                <w:szCs w:val="12"/>
              </w:rPr>
              <w:t>(375)</w:t>
            </w:r>
          </w:p>
        </w:tc>
        <w:tc>
          <w:tcPr>
            <w:tcW w:w="1134" w:type="dxa"/>
            <w:tcBorders>
              <w:top w:val="nil"/>
              <w:left w:val="nil"/>
              <w:bottom w:val="single" w:sz="4" w:space="0" w:color="0077BD"/>
              <w:right w:val="single" w:sz="8" w:space="0" w:color="0077BD"/>
            </w:tcBorders>
            <w:shd w:val="clear" w:color="auto" w:fill="auto"/>
            <w:vAlign w:val="center"/>
            <w:hideMark/>
          </w:tcPr>
          <w:p w14:paraId="3C8BA697" w14:textId="4BB5BADB"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5482CF36" w14:textId="15CE5022" w:rsidR="00D63A49" w:rsidRPr="00436D99" w:rsidRDefault="00D63A49" w:rsidP="00D63A49">
            <w:pPr>
              <w:jc w:val="right"/>
              <w:rPr>
                <w:rFonts w:cs="Calibri"/>
                <w:color w:val="000000" w:themeColor="text1"/>
                <w:sz w:val="12"/>
                <w:szCs w:val="12"/>
              </w:rPr>
            </w:pPr>
            <w:r w:rsidRPr="00436D99">
              <w:rPr>
                <w:color w:val="000000" w:themeColor="text1"/>
                <w:sz w:val="12"/>
                <w:szCs w:val="12"/>
              </w:rPr>
              <w:t>50 258</w:t>
            </w:r>
          </w:p>
        </w:tc>
      </w:tr>
      <w:tr w:rsidR="00D63A49" w:rsidRPr="00BB7C9E" w14:paraId="60009188"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6F6B871E"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Rezerwy na utratę wartości kredytów i pożyczek</w:t>
            </w:r>
          </w:p>
        </w:tc>
        <w:tc>
          <w:tcPr>
            <w:tcW w:w="1134" w:type="dxa"/>
            <w:tcBorders>
              <w:top w:val="nil"/>
              <w:left w:val="nil"/>
              <w:bottom w:val="single" w:sz="4" w:space="0" w:color="0077BD"/>
              <w:right w:val="single" w:sz="8" w:space="0" w:color="0077BD"/>
            </w:tcBorders>
            <w:shd w:val="clear" w:color="auto" w:fill="auto"/>
            <w:vAlign w:val="center"/>
            <w:hideMark/>
          </w:tcPr>
          <w:p w14:paraId="0B2B78B9" w14:textId="2E7BADD7"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471 615</w:t>
            </w:r>
          </w:p>
        </w:tc>
        <w:tc>
          <w:tcPr>
            <w:tcW w:w="1134" w:type="dxa"/>
            <w:tcBorders>
              <w:top w:val="nil"/>
              <w:left w:val="nil"/>
              <w:bottom w:val="single" w:sz="4" w:space="0" w:color="0077BD"/>
              <w:right w:val="single" w:sz="8" w:space="0" w:color="0077BD"/>
            </w:tcBorders>
            <w:shd w:val="clear" w:color="auto" w:fill="auto"/>
            <w:vAlign w:val="center"/>
          </w:tcPr>
          <w:p w14:paraId="0E76F8F6" w14:textId="26E4E366" w:rsidR="00D63A49" w:rsidRPr="00436D99" w:rsidRDefault="00D63A49" w:rsidP="00D63A49">
            <w:pPr>
              <w:jc w:val="right"/>
              <w:rPr>
                <w:rFonts w:cs="Calibri"/>
                <w:color w:val="000000" w:themeColor="text1"/>
                <w:sz w:val="12"/>
                <w:szCs w:val="12"/>
              </w:rPr>
            </w:pPr>
            <w:r w:rsidRPr="00436D99">
              <w:rPr>
                <w:color w:val="000000" w:themeColor="text1"/>
                <w:sz w:val="12"/>
                <w:szCs w:val="12"/>
              </w:rPr>
              <w:t>14 467</w:t>
            </w:r>
          </w:p>
        </w:tc>
        <w:tc>
          <w:tcPr>
            <w:tcW w:w="1134" w:type="dxa"/>
            <w:tcBorders>
              <w:top w:val="nil"/>
              <w:left w:val="nil"/>
              <w:bottom w:val="single" w:sz="4" w:space="0" w:color="0077BD"/>
              <w:right w:val="single" w:sz="8" w:space="0" w:color="0077BD"/>
            </w:tcBorders>
            <w:shd w:val="clear" w:color="auto" w:fill="auto"/>
            <w:vAlign w:val="center"/>
          </w:tcPr>
          <w:p w14:paraId="0539A686" w14:textId="35F478A0"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0FB61C27" w14:textId="513ACB38" w:rsidR="00D63A49" w:rsidRPr="00436D99" w:rsidRDefault="00D63A49" w:rsidP="00D63A49">
            <w:pPr>
              <w:jc w:val="right"/>
              <w:rPr>
                <w:rFonts w:cs="Calibri"/>
                <w:color w:val="000000" w:themeColor="text1"/>
                <w:sz w:val="12"/>
                <w:szCs w:val="12"/>
              </w:rPr>
            </w:pPr>
            <w:r w:rsidRPr="00436D99">
              <w:rPr>
                <w:color w:val="000000" w:themeColor="text1"/>
                <w:sz w:val="12"/>
                <w:szCs w:val="12"/>
              </w:rPr>
              <w:t>1 364</w:t>
            </w:r>
          </w:p>
        </w:tc>
        <w:tc>
          <w:tcPr>
            <w:tcW w:w="1134" w:type="dxa"/>
            <w:tcBorders>
              <w:top w:val="nil"/>
              <w:left w:val="nil"/>
              <w:bottom w:val="single" w:sz="4" w:space="0" w:color="0077BD"/>
              <w:right w:val="nil"/>
            </w:tcBorders>
            <w:shd w:val="clear" w:color="auto" w:fill="auto"/>
            <w:vAlign w:val="center"/>
          </w:tcPr>
          <w:p w14:paraId="5862C3DB" w14:textId="57930B1E" w:rsidR="00D63A49" w:rsidRPr="00436D99" w:rsidRDefault="00D63A49" w:rsidP="00D63A49">
            <w:pPr>
              <w:jc w:val="right"/>
              <w:rPr>
                <w:rFonts w:cs="Calibri"/>
                <w:color w:val="000000" w:themeColor="text1"/>
                <w:sz w:val="12"/>
                <w:szCs w:val="12"/>
              </w:rPr>
            </w:pPr>
            <w:r w:rsidRPr="00436D99">
              <w:rPr>
                <w:color w:val="000000" w:themeColor="text1"/>
                <w:sz w:val="12"/>
                <w:szCs w:val="12"/>
              </w:rPr>
              <w:t>487 446</w:t>
            </w:r>
          </w:p>
        </w:tc>
      </w:tr>
      <w:tr w:rsidR="00D63A49" w:rsidRPr="00BB7C9E" w14:paraId="4E091016"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10DBFA9B"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Rezerwy na świadczenia pracownicze</w:t>
            </w:r>
          </w:p>
        </w:tc>
        <w:tc>
          <w:tcPr>
            <w:tcW w:w="1134" w:type="dxa"/>
            <w:tcBorders>
              <w:top w:val="nil"/>
              <w:left w:val="nil"/>
              <w:bottom w:val="single" w:sz="4" w:space="0" w:color="0077BD"/>
              <w:right w:val="single" w:sz="8" w:space="0" w:color="0077BD"/>
            </w:tcBorders>
            <w:shd w:val="clear" w:color="auto" w:fill="auto"/>
            <w:vAlign w:val="center"/>
            <w:hideMark/>
          </w:tcPr>
          <w:p w14:paraId="6229CADF" w14:textId="0A40AABB"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43 662</w:t>
            </w:r>
          </w:p>
        </w:tc>
        <w:tc>
          <w:tcPr>
            <w:tcW w:w="1134" w:type="dxa"/>
            <w:tcBorders>
              <w:top w:val="nil"/>
              <w:left w:val="nil"/>
              <w:bottom w:val="single" w:sz="4" w:space="0" w:color="0077BD"/>
              <w:right w:val="single" w:sz="8" w:space="0" w:color="0077BD"/>
            </w:tcBorders>
            <w:shd w:val="clear" w:color="auto" w:fill="auto"/>
            <w:vAlign w:val="center"/>
          </w:tcPr>
          <w:p w14:paraId="459C609C" w14:textId="3F1E6DB1" w:rsidR="00D63A49" w:rsidRPr="00436D99" w:rsidRDefault="00D63A49" w:rsidP="00D63A49">
            <w:pPr>
              <w:jc w:val="right"/>
              <w:rPr>
                <w:rFonts w:cs="Calibri"/>
                <w:color w:val="000000" w:themeColor="text1"/>
                <w:sz w:val="12"/>
                <w:szCs w:val="12"/>
              </w:rPr>
            </w:pPr>
            <w:r w:rsidRPr="00436D99">
              <w:rPr>
                <w:color w:val="000000" w:themeColor="text1"/>
                <w:sz w:val="12"/>
                <w:szCs w:val="12"/>
              </w:rPr>
              <w:t>1 401</w:t>
            </w:r>
          </w:p>
        </w:tc>
        <w:tc>
          <w:tcPr>
            <w:tcW w:w="1134" w:type="dxa"/>
            <w:tcBorders>
              <w:top w:val="nil"/>
              <w:left w:val="nil"/>
              <w:bottom w:val="single" w:sz="4" w:space="0" w:color="0077BD"/>
              <w:right w:val="single" w:sz="8" w:space="0" w:color="0077BD"/>
            </w:tcBorders>
            <w:shd w:val="clear" w:color="auto" w:fill="auto"/>
            <w:vAlign w:val="center"/>
          </w:tcPr>
          <w:p w14:paraId="1B33235B" w14:textId="0D62F971" w:rsidR="00D63A49" w:rsidRPr="00436D99" w:rsidRDefault="00D63A49" w:rsidP="00D63A49">
            <w:pPr>
              <w:jc w:val="right"/>
              <w:rPr>
                <w:rFonts w:cs="Calibri"/>
                <w:color w:val="000000" w:themeColor="text1"/>
                <w:sz w:val="12"/>
                <w:szCs w:val="12"/>
              </w:rPr>
            </w:pPr>
            <w:r w:rsidRPr="00436D99">
              <w:rPr>
                <w:color w:val="000000" w:themeColor="text1"/>
                <w:sz w:val="12"/>
                <w:szCs w:val="12"/>
              </w:rPr>
              <w:t>485</w:t>
            </w:r>
          </w:p>
        </w:tc>
        <w:tc>
          <w:tcPr>
            <w:tcW w:w="1134" w:type="dxa"/>
            <w:tcBorders>
              <w:top w:val="nil"/>
              <w:left w:val="nil"/>
              <w:bottom w:val="single" w:sz="4" w:space="0" w:color="0077BD"/>
              <w:right w:val="single" w:sz="8" w:space="0" w:color="0077BD"/>
            </w:tcBorders>
            <w:shd w:val="clear" w:color="auto" w:fill="auto"/>
            <w:vAlign w:val="center"/>
            <w:hideMark/>
          </w:tcPr>
          <w:p w14:paraId="13E01601" w14:textId="396F65B4" w:rsidR="00D63A49" w:rsidRPr="00436D99" w:rsidRDefault="00D63A49" w:rsidP="00D63A49">
            <w:pPr>
              <w:jc w:val="right"/>
              <w:rPr>
                <w:rFonts w:cs="Calibri"/>
                <w:color w:val="000000" w:themeColor="text1"/>
                <w:sz w:val="12"/>
                <w:szCs w:val="12"/>
              </w:rPr>
            </w:pPr>
            <w:r w:rsidRPr="00436D99">
              <w:rPr>
                <w:color w:val="000000" w:themeColor="text1"/>
                <w:sz w:val="12"/>
                <w:szCs w:val="12"/>
              </w:rPr>
              <w:t>16</w:t>
            </w:r>
          </w:p>
        </w:tc>
        <w:tc>
          <w:tcPr>
            <w:tcW w:w="1134" w:type="dxa"/>
            <w:tcBorders>
              <w:top w:val="nil"/>
              <w:left w:val="nil"/>
              <w:bottom w:val="single" w:sz="4" w:space="0" w:color="0077BD"/>
              <w:right w:val="nil"/>
            </w:tcBorders>
            <w:shd w:val="clear" w:color="auto" w:fill="auto"/>
            <w:vAlign w:val="center"/>
          </w:tcPr>
          <w:p w14:paraId="16B8E3D5" w14:textId="019D7A1E" w:rsidR="00D63A49" w:rsidRPr="00436D99" w:rsidRDefault="00D63A49" w:rsidP="00D63A49">
            <w:pPr>
              <w:jc w:val="right"/>
              <w:rPr>
                <w:rFonts w:cs="Calibri"/>
                <w:color w:val="000000" w:themeColor="text1"/>
                <w:sz w:val="12"/>
                <w:szCs w:val="12"/>
              </w:rPr>
            </w:pPr>
            <w:r w:rsidRPr="00436D99">
              <w:rPr>
                <w:color w:val="000000" w:themeColor="text1"/>
                <w:sz w:val="12"/>
                <w:szCs w:val="12"/>
              </w:rPr>
              <w:t>45 564</w:t>
            </w:r>
          </w:p>
        </w:tc>
      </w:tr>
      <w:tr w:rsidR="00D63A49" w:rsidRPr="00BB7C9E" w14:paraId="7C148826"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4CBAEE30"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Pozostałe rezerwy</w:t>
            </w:r>
          </w:p>
        </w:tc>
        <w:tc>
          <w:tcPr>
            <w:tcW w:w="1134" w:type="dxa"/>
            <w:tcBorders>
              <w:top w:val="nil"/>
              <w:left w:val="nil"/>
              <w:bottom w:val="single" w:sz="4" w:space="0" w:color="0077BD"/>
              <w:right w:val="single" w:sz="8" w:space="0" w:color="0077BD"/>
            </w:tcBorders>
            <w:shd w:val="clear" w:color="auto" w:fill="auto"/>
            <w:vAlign w:val="center"/>
            <w:hideMark/>
          </w:tcPr>
          <w:p w14:paraId="3A508B3E" w14:textId="23FE8452"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60 003</w:t>
            </w:r>
          </w:p>
        </w:tc>
        <w:tc>
          <w:tcPr>
            <w:tcW w:w="1134" w:type="dxa"/>
            <w:tcBorders>
              <w:top w:val="nil"/>
              <w:left w:val="nil"/>
              <w:bottom w:val="single" w:sz="4" w:space="0" w:color="0077BD"/>
              <w:right w:val="single" w:sz="8" w:space="0" w:color="0077BD"/>
            </w:tcBorders>
            <w:shd w:val="clear" w:color="auto" w:fill="auto"/>
            <w:vAlign w:val="center"/>
          </w:tcPr>
          <w:p w14:paraId="76E9E4F4" w14:textId="11628E91" w:rsidR="00D63A49" w:rsidRPr="00436D99" w:rsidRDefault="00D63A49" w:rsidP="00D63A49">
            <w:pPr>
              <w:jc w:val="right"/>
              <w:rPr>
                <w:rFonts w:cs="Calibri"/>
                <w:color w:val="000000" w:themeColor="text1"/>
                <w:sz w:val="12"/>
                <w:szCs w:val="12"/>
              </w:rPr>
            </w:pPr>
            <w:r w:rsidRPr="00436D99">
              <w:rPr>
                <w:color w:val="000000" w:themeColor="text1"/>
                <w:sz w:val="12"/>
                <w:szCs w:val="12"/>
              </w:rPr>
              <w:t>13 389</w:t>
            </w:r>
          </w:p>
        </w:tc>
        <w:tc>
          <w:tcPr>
            <w:tcW w:w="1134" w:type="dxa"/>
            <w:tcBorders>
              <w:top w:val="nil"/>
              <w:left w:val="nil"/>
              <w:bottom w:val="single" w:sz="4" w:space="0" w:color="0077BD"/>
              <w:right w:val="single" w:sz="8" w:space="0" w:color="0077BD"/>
            </w:tcBorders>
            <w:shd w:val="clear" w:color="auto" w:fill="auto"/>
            <w:vAlign w:val="center"/>
          </w:tcPr>
          <w:p w14:paraId="06014EBE" w14:textId="0D0416F7"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7B368A4A" w14:textId="01E8A934"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76642CB8" w14:textId="55AFE982" w:rsidR="00D63A49" w:rsidRPr="00436D99" w:rsidRDefault="00D63A49" w:rsidP="00D63A49">
            <w:pPr>
              <w:jc w:val="right"/>
              <w:rPr>
                <w:rFonts w:cs="Calibri"/>
                <w:color w:val="000000" w:themeColor="text1"/>
                <w:sz w:val="12"/>
                <w:szCs w:val="12"/>
              </w:rPr>
            </w:pPr>
            <w:r w:rsidRPr="00436D99">
              <w:rPr>
                <w:color w:val="000000" w:themeColor="text1"/>
                <w:sz w:val="12"/>
                <w:szCs w:val="12"/>
              </w:rPr>
              <w:t>73 392</w:t>
            </w:r>
          </w:p>
        </w:tc>
      </w:tr>
      <w:tr w:rsidR="00D63A49" w:rsidRPr="00BB7C9E" w14:paraId="14102443"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3AB81D01"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Rozliczenia międzyokresowe kosztów</w:t>
            </w:r>
          </w:p>
        </w:tc>
        <w:tc>
          <w:tcPr>
            <w:tcW w:w="1134" w:type="dxa"/>
            <w:tcBorders>
              <w:top w:val="nil"/>
              <w:left w:val="nil"/>
              <w:bottom w:val="single" w:sz="4" w:space="0" w:color="0077BD"/>
              <w:right w:val="single" w:sz="8" w:space="0" w:color="0077BD"/>
            </w:tcBorders>
            <w:shd w:val="clear" w:color="auto" w:fill="auto"/>
            <w:vAlign w:val="center"/>
            <w:hideMark/>
          </w:tcPr>
          <w:p w14:paraId="443D8B4D" w14:textId="504480E4"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67 913</w:t>
            </w:r>
          </w:p>
        </w:tc>
        <w:tc>
          <w:tcPr>
            <w:tcW w:w="1134" w:type="dxa"/>
            <w:tcBorders>
              <w:top w:val="nil"/>
              <w:left w:val="nil"/>
              <w:bottom w:val="single" w:sz="4" w:space="0" w:color="0077BD"/>
              <w:right w:val="single" w:sz="8" w:space="0" w:color="0077BD"/>
            </w:tcBorders>
            <w:shd w:val="clear" w:color="auto" w:fill="auto"/>
            <w:vAlign w:val="center"/>
          </w:tcPr>
          <w:p w14:paraId="20C64F4C" w14:textId="589E1437" w:rsidR="00D63A49" w:rsidRPr="00436D99" w:rsidRDefault="00D63A49" w:rsidP="00D63A49">
            <w:pPr>
              <w:jc w:val="right"/>
              <w:rPr>
                <w:rFonts w:cs="Calibri"/>
                <w:color w:val="000000" w:themeColor="text1"/>
                <w:sz w:val="12"/>
                <w:szCs w:val="12"/>
              </w:rPr>
            </w:pPr>
            <w:r w:rsidRPr="00436D99">
              <w:rPr>
                <w:color w:val="000000" w:themeColor="text1"/>
                <w:sz w:val="12"/>
                <w:szCs w:val="12"/>
              </w:rPr>
              <w:t>(32 845)</w:t>
            </w:r>
          </w:p>
        </w:tc>
        <w:tc>
          <w:tcPr>
            <w:tcW w:w="1134" w:type="dxa"/>
            <w:tcBorders>
              <w:top w:val="nil"/>
              <w:left w:val="nil"/>
              <w:bottom w:val="single" w:sz="4" w:space="0" w:color="0077BD"/>
              <w:right w:val="single" w:sz="8" w:space="0" w:color="0077BD"/>
            </w:tcBorders>
            <w:shd w:val="clear" w:color="auto" w:fill="auto"/>
            <w:vAlign w:val="center"/>
          </w:tcPr>
          <w:p w14:paraId="72DCCC7B" w14:textId="437A79B7"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1B9D7B87" w14:textId="221DB922" w:rsidR="00D63A49" w:rsidRPr="00436D99" w:rsidRDefault="00D63A49" w:rsidP="00D63A49">
            <w:pPr>
              <w:jc w:val="right"/>
              <w:rPr>
                <w:rFonts w:cs="Calibri"/>
                <w:color w:val="000000" w:themeColor="text1"/>
                <w:sz w:val="12"/>
                <w:szCs w:val="12"/>
              </w:rPr>
            </w:pPr>
            <w:r w:rsidRPr="00436D99">
              <w:rPr>
                <w:color w:val="000000" w:themeColor="text1"/>
                <w:sz w:val="12"/>
                <w:szCs w:val="12"/>
              </w:rPr>
              <w:t>148</w:t>
            </w:r>
          </w:p>
        </w:tc>
        <w:tc>
          <w:tcPr>
            <w:tcW w:w="1134" w:type="dxa"/>
            <w:tcBorders>
              <w:top w:val="nil"/>
              <w:left w:val="nil"/>
              <w:bottom w:val="single" w:sz="4" w:space="0" w:color="0077BD"/>
              <w:right w:val="nil"/>
            </w:tcBorders>
            <w:shd w:val="clear" w:color="auto" w:fill="auto"/>
            <w:vAlign w:val="center"/>
          </w:tcPr>
          <w:p w14:paraId="0398B2CD" w14:textId="6954179A" w:rsidR="00D63A49" w:rsidRPr="00436D99" w:rsidRDefault="00D63A49" w:rsidP="00D63A49">
            <w:pPr>
              <w:jc w:val="right"/>
              <w:rPr>
                <w:rFonts w:cs="Calibri"/>
                <w:color w:val="000000" w:themeColor="text1"/>
                <w:sz w:val="12"/>
                <w:szCs w:val="12"/>
              </w:rPr>
            </w:pPr>
            <w:r w:rsidRPr="00436D99">
              <w:rPr>
                <w:color w:val="000000" w:themeColor="text1"/>
                <w:sz w:val="12"/>
                <w:szCs w:val="12"/>
              </w:rPr>
              <w:t>35 216</w:t>
            </w:r>
          </w:p>
        </w:tc>
      </w:tr>
      <w:tr w:rsidR="00D63A49" w:rsidRPr="00BB7C9E" w14:paraId="4DFC3355" w14:textId="77777777" w:rsidTr="00D63A49">
        <w:trPr>
          <w:trHeight w:val="340"/>
        </w:trPr>
        <w:tc>
          <w:tcPr>
            <w:tcW w:w="3911" w:type="dxa"/>
            <w:tcBorders>
              <w:top w:val="nil"/>
              <w:left w:val="nil"/>
              <w:bottom w:val="single" w:sz="4" w:space="0" w:color="0077BD"/>
              <w:right w:val="single" w:sz="8" w:space="0" w:color="0077BD"/>
            </w:tcBorders>
            <w:shd w:val="clear" w:color="auto" w:fill="auto"/>
            <w:vAlign w:val="center"/>
            <w:hideMark/>
          </w:tcPr>
          <w:p w14:paraId="4A4BE43F"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Straty podatkowe pozostałe do rozliczenia w następnych okresach</w:t>
            </w:r>
          </w:p>
        </w:tc>
        <w:tc>
          <w:tcPr>
            <w:tcW w:w="1134" w:type="dxa"/>
            <w:tcBorders>
              <w:top w:val="nil"/>
              <w:left w:val="nil"/>
              <w:bottom w:val="single" w:sz="4" w:space="0" w:color="0077BD"/>
              <w:right w:val="single" w:sz="8" w:space="0" w:color="0077BD"/>
            </w:tcBorders>
            <w:shd w:val="clear" w:color="auto" w:fill="auto"/>
            <w:vAlign w:val="center"/>
            <w:hideMark/>
          </w:tcPr>
          <w:p w14:paraId="5C8030C8" w14:textId="0DE1E862"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tcPr>
          <w:p w14:paraId="62D4A619" w14:textId="5A1A6F5F" w:rsidR="00D63A49" w:rsidRPr="00436D99" w:rsidRDefault="00D63A49" w:rsidP="00D63A49">
            <w:pPr>
              <w:jc w:val="right"/>
              <w:rPr>
                <w:rFonts w:cs="Calibri"/>
                <w:color w:val="000000" w:themeColor="text1"/>
                <w:sz w:val="12"/>
                <w:szCs w:val="12"/>
              </w:rPr>
            </w:pPr>
            <w:r w:rsidRPr="00436D99">
              <w:rPr>
                <w:color w:val="000000" w:themeColor="text1"/>
                <w:sz w:val="12"/>
                <w:szCs w:val="12"/>
              </w:rPr>
              <w:t>2 123</w:t>
            </w:r>
          </w:p>
        </w:tc>
        <w:tc>
          <w:tcPr>
            <w:tcW w:w="1134" w:type="dxa"/>
            <w:tcBorders>
              <w:top w:val="nil"/>
              <w:left w:val="nil"/>
              <w:bottom w:val="single" w:sz="4" w:space="0" w:color="0077BD"/>
              <w:right w:val="single" w:sz="8" w:space="0" w:color="0077BD"/>
            </w:tcBorders>
            <w:shd w:val="clear" w:color="auto" w:fill="auto"/>
            <w:vAlign w:val="center"/>
          </w:tcPr>
          <w:p w14:paraId="12F4FA8E" w14:textId="432F7617"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5B3CDB86" w14:textId="2DBE07F4" w:rsidR="00D63A49" w:rsidRPr="00436D99" w:rsidRDefault="00D63A49" w:rsidP="00D63A49">
            <w:pPr>
              <w:jc w:val="right"/>
              <w:rPr>
                <w:rFonts w:cs="Calibri"/>
                <w:color w:val="000000" w:themeColor="text1"/>
                <w:sz w:val="12"/>
                <w:szCs w:val="12"/>
              </w:rPr>
            </w:pPr>
            <w:r w:rsidRPr="00436D99">
              <w:rPr>
                <w:color w:val="000000" w:themeColor="text1"/>
                <w:sz w:val="12"/>
                <w:szCs w:val="12"/>
              </w:rPr>
              <w:t>2 308</w:t>
            </w:r>
          </w:p>
        </w:tc>
        <w:tc>
          <w:tcPr>
            <w:tcW w:w="1134" w:type="dxa"/>
            <w:tcBorders>
              <w:top w:val="nil"/>
              <w:left w:val="nil"/>
              <w:bottom w:val="single" w:sz="4" w:space="0" w:color="0077BD"/>
              <w:right w:val="nil"/>
            </w:tcBorders>
            <w:shd w:val="clear" w:color="auto" w:fill="auto"/>
            <w:vAlign w:val="center"/>
          </w:tcPr>
          <w:p w14:paraId="48BE7786" w14:textId="6E43DCD3" w:rsidR="00D63A49" w:rsidRPr="00436D99" w:rsidRDefault="00D63A49" w:rsidP="00D63A49">
            <w:pPr>
              <w:jc w:val="right"/>
              <w:rPr>
                <w:rFonts w:cs="Calibri"/>
                <w:color w:val="000000" w:themeColor="text1"/>
                <w:sz w:val="12"/>
                <w:szCs w:val="12"/>
              </w:rPr>
            </w:pPr>
            <w:r w:rsidRPr="00436D99">
              <w:rPr>
                <w:color w:val="000000" w:themeColor="text1"/>
                <w:sz w:val="12"/>
                <w:szCs w:val="12"/>
              </w:rPr>
              <w:t>4 431</w:t>
            </w:r>
          </w:p>
        </w:tc>
      </w:tr>
      <w:tr w:rsidR="00D63A49" w:rsidRPr="00BB7C9E" w14:paraId="60F51713"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5F4A340C"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Różnica między wartością bilansową i podatkową leasingu</w:t>
            </w:r>
          </w:p>
        </w:tc>
        <w:tc>
          <w:tcPr>
            <w:tcW w:w="1134" w:type="dxa"/>
            <w:tcBorders>
              <w:top w:val="nil"/>
              <w:left w:val="nil"/>
              <w:bottom w:val="single" w:sz="4" w:space="0" w:color="0077BD"/>
              <w:right w:val="single" w:sz="8" w:space="0" w:color="0077BD"/>
            </w:tcBorders>
            <w:shd w:val="clear" w:color="auto" w:fill="auto"/>
            <w:vAlign w:val="center"/>
            <w:hideMark/>
          </w:tcPr>
          <w:p w14:paraId="3CBB86FA" w14:textId="4C2AE6A0"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449 658</w:t>
            </w:r>
          </w:p>
        </w:tc>
        <w:tc>
          <w:tcPr>
            <w:tcW w:w="1134" w:type="dxa"/>
            <w:tcBorders>
              <w:top w:val="nil"/>
              <w:left w:val="nil"/>
              <w:bottom w:val="single" w:sz="4" w:space="0" w:color="0077BD"/>
              <w:right w:val="single" w:sz="8" w:space="0" w:color="0077BD"/>
            </w:tcBorders>
            <w:shd w:val="clear" w:color="auto" w:fill="auto"/>
            <w:vAlign w:val="center"/>
          </w:tcPr>
          <w:p w14:paraId="48064DE1" w14:textId="3C7B8BE7" w:rsidR="00D63A49" w:rsidRPr="00436D99" w:rsidRDefault="00D63A49" w:rsidP="00D63A49">
            <w:pPr>
              <w:jc w:val="right"/>
              <w:rPr>
                <w:rFonts w:cs="Calibri"/>
                <w:color w:val="000000" w:themeColor="text1"/>
                <w:sz w:val="12"/>
                <w:szCs w:val="12"/>
              </w:rPr>
            </w:pPr>
            <w:r w:rsidRPr="00436D99">
              <w:rPr>
                <w:color w:val="000000" w:themeColor="text1"/>
                <w:sz w:val="12"/>
                <w:szCs w:val="12"/>
              </w:rPr>
              <w:t>8 418</w:t>
            </w:r>
          </w:p>
        </w:tc>
        <w:tc>
          <w:tcPr>
            <w:tcW w:w="1134" w:type="dxa"/>
            <w:tcBorders>
              <w:top w:val="nil"/>
              <w:left w:val="nil"/>
              <w:bottom w:val="single" w:sz="4" w:space="0" w:color="0077BD"/>
              <w:right w:val="single" w:sz="8" w:space="0" w:color="0077BD"/>
            </w:tcBorders>
            <w:shd w:val="clear" w:color="auto" w:fill="auto"/>
            <w:vAlign w:val="center"/>
          </w:tcPr>
          <w:p w14:paraId="34E685F8" w14:textId="6AB3037E"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0AAE595B" w14:textId="5C05D69B"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5DA6BEDD" w14:textId="6706DFEF" w:rsidR="00D63A49" w:rsidRPr="00436D99" w:rsidRDefault="00D63A49" w:rsidP="00D63A49">
            <w:pPr>
              <w:jc w:val="right"/>
              <w:rPr>
                <w:rFonts w:cs="Calibri"/>
                <w:color w:val="000000" w:themeColor="text1"/>
                <w:sz w:val="12"/>
                <w:szCs w:val="12"/>
              </w:rPr>
            </w:pPr>
            <w:r w:rsidRPr="00436D99">
              <w:rPr>
                <w:color w:val="000000" w:themeColor="text1"/>
                <w:sz w:val="12"/>
                <w:szCs w:val="12"/>
              </w:rPr>
              <w:t>458 076</w:t>
            </w:r>
          </w:p>
        </w:tc>
      </w:tr>
      <w:tr w:rsidR="00D63A49" w:rsidRPr="00BB7C9E" w14:paraId="17BAAA26" w14:textId="77777777" w:rsidTr="00D63A49">
        <w:trPr>
          <w:trHeight w:val="340"/>
        </w:trPr>
        <w:tc>
          <w:tcPr>
            <w:tcW w:w="3911" w:type="dxa"/>
            <w:tcBorders>
              <w:top w:val="nil"/>
              <w:left w:val="nil"/>
              <w:bottom w:val="single" w:sz="4" w:space="0" w:color="0077BD"/>
              <w:right w:val="single" w:sz="8" w:space="0" w:color="0077BD"/>
            </w:tcBorders>
            <w:shd w:val="clear" w:color="auto" w:fill="auto"/>
            <w:vAlign w:val="center"/>
          </w:tcPr>
          <w:p w14:paraId="7DC49F9C" w14:textId="4880AB50" w:rsidR="00D63A49" w:rsidRPr="00436D99" w:rsidRDefault="00D63A49" w:rsidP="00D63A49">
            <w:pPr>
              <w:rPr>
                <w:rFonts w:cs="Calibri"/>
                <w:color w:val="000000" w:themeColor="text1"/>
                <w:sz w:val="12"/>
                <w:szCs w:val="12"/>
              </w:rPr>
            </w:pPr>
            <w:r w:rsidRPr="00436D99">
              <w:rPr>
                <w:rFonts w:cs="Calibri"/>
                <w:color w:val="000000" w:themeColor="text1"/>
                <w:sz w:val="12"/>
                <w:szCs w:val="12"/>
              </w:rPr>
              <w:t>Różnica między wartością bilansową i podatkową rzeczowych aktywów trwałych oraz wartości niematerialnych*</w:t>
            </w:r>
          </w:p>
        </w:tc>
        <w:tc>
          <w:tcPr>
            <w:tcW w:w="1134" w:type="dxa"/>
            <w:tcBorders>
              <w:top w:val="nil"/>
              <w:left w:val="nil"/>
              <w:bottom w:val="single" w:sz="4" w:space="0" w:color="0077BD"/>
              <w:right w:val="single" w:sz="8" w:space="0" w:color="0077BD"/>
            </w:tcBorders>
            <w:shd w:val="clear" w:color="auto" w:fill="auto"/>
            <w:vAlign w:val="center"/>
          </w:tcPr>
          <w:p w14:paraId="7B2C261E" w14:textId="7F287C7B"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tcPr>
          <w:p w14:paraId="67BF563D" w14:textId="0DC9B5AF" w:rsidR="00D63A49" w:rsidRPr="00436D99" w:rsidRDefault="00D63A49" w:rsidP="00D63A49">
            <w:pPr>
              <w:jc w:val="right"/>
              <w:rPr>
                <w:rFonts w:cs="Calibri"/>
                <w:color w:val="000000" w:themeColor="text1"/>
                <w:sz w:val="12"/>
                <w:szCs w:val="12"/>
              </w:rPr>
            </w:pPr>
            <w:r w:rsidRPr="00436D99">
              <w:rPr>
                <w:color w:val="000000" w:themeColor="text1"/>
                <w:sz w:val="12"/>
                <w:szCs w:val="12"/>
              </w:rPr>
              <w:t>91 601</w:t>
            </w:r>
          </w:p>
        </w:tc>
        <w:tc>
          <w:tcPr>
            <w:tcW w:w="1134" w:type="dxa"/>
            <w:tcBorders>
              <w:top w:val="nil"/>
              <w:left w:val="nil"/>
              <w:bottom w:val="single" w:sz="4" w:space="0" w:color="0077BD"/>
              <w:right w:val="single" w:sz="8" w:space="0" w:color="0077BD"/>
            </w:tcBorders>
            <w:shd w:val="clear" w:color="auto" w:fill="auto"/>
            <w:vAlign w:val="center"/>
          </w:tcPr>
          <w:p w14:paraId="325C606A" w14:textId="0E4BB698"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tcPr>
          <w:p w14:paraId="1CEB9ED2" w14:textId="09A8ABA8"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1638AFBD" w14:textId="26CDF59E" w:rsidR="00D63A49" w:rsidRPr="00436D99" w:rsidRDefault="00D63A49" w:rsidP="00D63A49">
            <w:pPr>
              <w:jc w:val="right"/>
              <w:rPr>
                <w:rFonts w:cs="Calibri"/>
                <w:color w:val="000000" w:themeColor="text1"/>
                <w:sz w:val="12"/>
                <w:szCs w:val="12"/>
              </w:rPr>
            </w:pPr>
            <w:r w:rsidRPr="00436D99">
              <w:rPr>
                <w:color w:val="000000" w:themeColor="text1"/>
                <w:sz w:val="12"/>
                <w:szCs w:val="12"/>
              </w:rPr>
              <w:t>91 601</w:t>
            </w:r>
          </w:p>
        </w:tc>
      </w:tr>
      <w:tr w:rsidR="00D63A49" w:rsidRPr="00BB7C9E" w14:paraId="3B0B1C12" w14:textId="77777777" w:rsidTr="00D63A49">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3583183B" w14:textId="77777777" w:rsidR="00D63A49" w:rsidRPr="00436D99" w:rsidRDefault="00D63A49" w:rsidP="00D63A49">
            <w:pPr>
              <w:rPr>
                <w:rFonts w:cs="Calibri"/>
                <w:color w:val="000000" w:themeColor="text1"/>
                <w:sz w:val="12"/>
                <w:szCs w:val="12"/>
              </w:rPr>
            </w:pPr>
            <w:r w:rsidRPr="00436D99">
              <w:rPr>
                <w:rFonts w:cs="Calibri"/>
                <w:color w:val="000000" w:themeColor="text1"/>
                <w:sz w:val="12"/>
                <w:szCs w:val="12"/>
              </w:rPr>
              <w:t>Pozostałe ujemne różnice przejściowe</w:t>
            </w:r>
          </w:p>
        </w:tc>
        <w:tc>
          <w:tcPr>
            <w:tcW w:w="1134" w:type="dxa"/>
            <w:tcBorders>
              <w:top w:val="nil"/>
              <w:left w:val="nil"/>
              <w:bottom w:val="single" w:sz="4" w:space="0" w:color="0077BD"/>
              <w:right w:val="single" w:sz="8" w:space="0" w:color="0077BD"/>
            </w:tcBorders>
            <w:shd w:val="clear" w:color="auto" w:fill="auto"/>
            <w:vAlign w:val="center"/>
            <w:hideMark/>
          </w:tcPr>
          <w:p w14:paraId="01457198" w14:textId="03D6C198" w:rsidR="00D63A49" w:rsidRPr="00436D99" w:rsidRDefault="00D63A49" w:rsidP="00D63A49">
            <w:pPr>
              <w:jc w:val="right"/>
              <w:rPr>
                <w:rFonts w:cs="Calibri"/>
                <w:color w:val="000000" w:themeColor="text1"/>
                <w:sz w:val="12"/>
                <w:szCs w:val="12"/>
              </w:rPr>
            </w:pPr>
            <w:r w:rsidRPr="00436D99">
              <w:rPr>
                <w:rFonts w:cs="Calibri"/>
                <w:color w:val="000000" w:themeColor="text1"/>
                <w:sz w:val="12"/>
                <w:szCs w:val="12"/>
              </w:rPr>
              <w:t>73 981</w:t>
            </w:r>
          </w:p>
        </w:tc>
        <w:tc>
          <w:tcPr>
            <w:tcW w:w="1134" w:type="dxa"/>
            <w:tcBorders>
              <w:top w:val="nil"/>
              <w:left w:val="nil"/>
              <w:bottom w:val="single" w:sz="4" w:space="0" w:color="0077BD"/>
              <w:right w:val="single" w:sz="8" w:space="0" w:color="0077BD"/>
            </w:tcBorders>
            <w:shd w:val="clear" w:color="auto" w:fill="auto"/>
            <w:vAlign w:val="center"/>
          </w:tcPr>
          <w:p w14:paraId="118FCBF1" w14:textId="465480F8" w:rsidR="00D63A49" w:rsidRPr="00436D99" w:rsidRDefault="00D63A49" w:rsidP="00D63A49">
            <w:pPr>
              <w:jc w:val="right"/>
              <w:rPr>
                <w:rFonts w:cs="Calibri"/>
                <w:color w:val="000000" w:themeColor="text1"/>
                <w:sz w:val="12"/>
                <w:szCs w:val="12"/>
              </w:rPr>
            </w:pPr>
            <w:r w:rsidRPr="00436D99">
              <w:rPr>
                <w:color w:val="000000" w:themeColor="text1"/>
                <w:sz w:val="12"/>
                <w:szCs w:val="12"/>
              </w:rPr>
              <w:t>4 623</w:t>
            </w:r>
          </w:p>
        </w:tc>
        <w:tc>
          <w:tcPr>
            <w:tcW w:w="1134" w:type="dxa"/>
            <w:tcBorders>
              <w:top w:val="nil"/>
              <w:left w:val="nil"/>
              <w:bottom w:val="single" w:sz="4" w:space="0" w:color="0077BD"/>
              <w:right w:val="single" w:sz="8" w:space="0" w:color="0077BD"/>
            </w:tcBorders>
            <w:shd w:val="clear" w:color="auto" w:fill="auto"/>
            <w:vAlign w:val="center"/>
          </w:tcPr>
          <w:p w14:paraId="548F9904" w14:textId="32E48A61" w:rsidR="00D63A49" w:rsidRPr="00436D99" w:rsidRDefault="00D63A49" w:rsidP="00D63A49">
            <w:pPr>
              <w:jc w:val="right"/>
              <w:rPr>
                <w:rFonts w:cs="Calibri"/>
                <w:color w:val="000000" w:themeColor="text1"/>
                <w:sz w:val="12"/>
                <w:szCs w:val="12"/>
              </w:rPr>
            </w:pPr>
            <w:r w:rsidRPr="00436D99">
              <w:rPr>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tcPr>
          <w:p w14:paraId="23EE1EB3" w14:textId="049D6E61" w:rsidR="00D63A49" w:rsidRPr="00436D99" w:rsidRDefault="00D63A49" w:rsidP="00D63A49">
            <w:pPr>
              <w:jc w:val="right"/>
              <w:rPr>
                <w:rFonts w:cs="Calibri"/>
                <w:color w:val="000000" w:themeColor="text1"/>
                <w:sz w:val="12"/>
                <w:szCs w:val="12"/>
              </w:rPr>
            </w:pPr>
            <w:r w:rsidRPr="00436D99">
              <w:rPr>
                <w:color w:val="000000" w:themeColor="text1"/>
                <w:sz w:val="12"/>
                <w:szCs w:val="12"/>
              </w:rPr>
              <w:t>880</w:t>
            </w:r>
          </w:p>
        </w:tc>
        <w:tc>
          <w:tcPr>
            <w:tcW w:w="1134" w:type="dxa"/>
            <w:tcBorders>
              <w:top w:val="nil"/>
              <w:left w:val="nil"/>
              <w:bottom w:val="single" w:sz="4" w:space="0" w:color="0077BD"/>
              <w:right w:val="nil"/>
            </w:tcBorders>
            <w:shd w:val="clear" w:color="auto" w:fill="auto"/>
            <w:vAlign w:val="center"/>
          </w:tcPr>
          <w:p w14:paraId="011C7041" w14:textId="26A02920" w:rsidR="00D63A49" w:rsidRPr="00436D99" w:rsidRDefault="00D63A49" w:rsidP="00D63A49">
            <w:pPr>
              <w:jc w:val="right"/>
              <w:rPr>
                <w:rFonts w:cs="Calibri"/>
                <w:color w:val="000000" w:themeColor="text1"/>
                <w:sz w:val="12"/>
                <w:szCs w:val="12"/>
              </w:rPr>
            </w:pPr>
            <w:r w:rsidRPr="00436D99">
              <w:rPr>
                <w:color w:val="000000" w:themeColor="text1"/>
                <w:sz w:val="12"/>
                <w:szCs w:val="12"/>
              </w:rPr>
              <w:t>79 484</w:t>
            </w:r>
          </w:p>
        </w:tc>
      </w:tr>
      <w:tr w:rsidR="00D63A49" w:rsidRPr="00BB7C9E" w14:paraId="7447FA5C" w14:textId="77777777" w:rsidTr="00D63A49">
        <w:trPr>
          <w:trHeight w:val="255"/>
        </w:trPr>
        <w:tc>
          <w:tcPr>
            <w:tcW w:w="3911" w:type="dxa"/>
            <w:tcBorders>
              <w:top w:val="single" w:sz="8" w:space="0" w:color="0077BD"/>
              <w:left w:val="nil"/>
              <w:bottom w:val="single" w:sz="8" w:space="0" w:color="0077BD"/>
              <w:right w:val="single" w:sz="8" w:space="0" w:color="0077BD"/>
            </w:tcBorders>
            <w:shd w:val="clear" w:color="auto" w:fill="auto"/>
            <w:vAlign w:val="center"/>
            <w:hideMark/>
          </w:tcPr>
          <w:p w14:paraId="3440A9B2" w14:textId="77777777" w:rsidR="00D63A49" w:rsidRPr="00436D99" w:rsidRDefault="00D63A49" w:rsidP="00D63A49">
            <w:pPr>
              <w:rPr>
                <w:rFonts w:cs="Calibri"/>
                <w:b/>
                <w:bCs/>
                <w:color w:val="000000" w:themeColor="text1"/>
                <w:sz w:val="12"/>
                <w:szCs w:val="12"/>
              </w:rPr>
            </w:pPr>
            <w:r w:rsidRPr="00436D99">
              <w:rPr>
                <w:rFonts w:cs="Calibri"/>
                <w:b/>
                <w:bCs/>
                <w:color w:val="000000" w:themeColor="text1"/>
                <w:sz w:val="12"/>
                <w:szCs w:val="12"/>
              </w:rPr>
              <w:t>Razem</w:t>
            </w:r>
          </w:p>
        </w:tc>
        <w:tc>
          <w:tcPr>
            <w:tcW w:w="1134" w:type="dxa"/>
            <w:tcBorders>
              <w:top w:val="single" w:sz="8" w:space="0" w:color="0077BD"/>
              <w:left w:val="nil"/>
              <w:bottom w:val="single" w:sz="8" w:space="0" w:color="0077BD"/>
              <w:right w:val="single" w:sz="8" w:space="0" w:color="0077BD"/>
            </w:tcBorders>
            <w:shd w:val="clear" w:color="auto" w:fill="auto"/>
            <w:vAlign w:val="center"/>
            <w:hideMark/>
          </w:tcPr>
          <w:p w14:paraId="2FBAD7B9" w14:textId="4A63D7C9" w:rsidR="00D63A49" w:rsidRPr="00436D99" w:rsidRDefault="00D63A49" w:rsidP="00D63A49">
            <w:pPr>
              <w:jc w:val="right"/>
              <w:rPr>
                <w:rFonts w:cs="Calibri"/>
                <w:b/>
                <w:bCs/>
                <w:color w:val="000000" w:themeColor="text1"/>
                <w:sz w:val="12"/>
                <w:szCs w:val="12"/>
              </w:rPr>
            </w:pPr>
            <w:r w:rsidRPr="00436D99">
              <w:rPr>
                <w:rFonts w:cs="Calibri"/>
                <w:b/>
                <w:bCs/>
                <w:color w:val="000000" w:themeColor="text1"/>
                <w:sz w:val="12"/>
                <w:szCs w:val="12"/>
              </w:rPr>
              <w:t>1 344 037</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0D70E798" w14:textId="695678B4" w:rsidR="00D63A49" w:rsidRPr="00436D99" w:rsidRDefault="00D63A49" w:rsidP="00D63A49">
            <w:pPr>
              <w:jc w:val="right"/>
              <w:rPr>
                <w:rFonts w:cs="Calibri"/>
                <w:b/>
                <w:bCs/>
                <w:color w:val="000000" w:themeColor="text1"/>
                <w:sz w:val="12"/>
                <w:szCs w:val="12"/>
              </w:rPr>
            </w:pPr>
            <w:r w:rsidRPr="00436D99">
              <w:rPr>
                <w:b/>
                <w:color w:val="000000" w:themeColor="text1"/>
                <w:sz w:val="12"/>
                <w:szCs w:val="12"/>
              </w:rPr>
              <w:t>124 182</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3F71609A" w14:textId="3561878E" w:rsidR="00D63A49" w:rsidRPr="00436D99" w:rsidRDefault="00D63A49" w:rsidP="00D63A49">
            <w:pPr>
              <w:jc w:val="right"/>
              <w:rPr>
                <w:rFonts w:cs="Calibri"/>
                <w:b/>
                <w:bCs/>
                <w:color w:val="000000" w:themeColor="text1"/>
                <w:sz w:val="12"/>
                <w:szCs w:val="12"/>
              </w:rPr>
            </w:pPr>
            <w:r w:rsidRPr="00436D99">
              <w:rPr>
                <w:b/>
                <w:color w:val="000000" w:themeColor="text1"/>
                <w:sz w:val="12"/>
                <w:szCs w:val="12"/>
              </w:rPr>
              <w:t>855</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7B93B820" w14:textId="799A1738" w:rsidR="00D63A49" w:rsidRPr="00436D99" w:rsidRDefault="00D63A49" w:rsidP="00D63A49">
            <w:pPr>
              <w:jc w:val="right"/>
              <w:rPr>
                <w:rFonts w:cs="Calibri"/>
                <w:b/>
                <w:bCs/>
                <w:color w:val="000000" w:themeColor="text1"/>
                <w:sz w:val="12"/>
                <w:szCs w:val="12"/>
              </w:rPr>
            </w:pPr>
            <w:r w:rsidRPr="00436D99">
              <w:rPr>
                <w:b/>
                <w:color w:val="000000" w:themeColor="text1"/>
                <w:sz w:val="12"/>
                <w:szCs w:val="12"/>
              </w:rPr>
              <w:t>4 716</w:t>
            </w:r>
          </w:p>
        </w:tc>
        <w:tc>
          <w:tcPr>
            <w:tcW w:w="1134" w:type="dxa"/>
            <w:tcBorders>
              <w:top w:val="single" w:sz="8" w:space="0" w:color="0077BD"/>
              <w:left w:val="nil"/>
              <w:bottom w:val="single" w:sz="8" w:space="0" w:color="0077BD"/>
              <w:right w:val="nil"/>
            </w:tcBorders>
            <w:shd w:val="clear" w:color="auto" w:fill="auto"/>
            <w:vAlign w:val="center"/>
          </w:tcPr>
          <w:p w14:paraId="6D0BAF10" w14:textId="2779A7DF" w:rsidR="00D63A49" w:rsidRPr="00436D99" w:rsidRDefault="00D63A49" w:rsidP="00D63A49">
            <w:pPr>
              <w:jc w:val="right"/>
              <w:rPr>
                <w:rFonts w:cs="Calibri"/>
                <w:b/>
                <w:bCs/>
                <w:color w:val="000000" w:themeColor="text1"/>
                <w:sz w:val="12"/>
                <w:szCs w:val="12"/>
              </w:rPr>
            </w:pPr>
            <w:r w:rsidRPr="00436D99">
              <w:rPr>
                <w:b/>
                <w:color w:val="000000" w:themeColor="text1"/>
                <w:sz w:val="12"/>
                <w:szCs w:val="12"/>
              </w:rPr>
              <w:t>1 473 790</w:t>
            </w:r>
          </w:p>
        </w:tc>
      </w:tr>
    </w:tbl>
    <w:p w14:paraId="69FAC2A2" w14:textId="48CCCFA1" w:rsidR="00841A0F" w:rsidRDefault="00D63A49" w:rsidP="00D63A49">
      <w:pPr>
        <w:suppressAutoHyphens/>
        <w:spacing w:before="120" w:after="120"/>
        <w:jc w:val="both"/>
        <w:rPr>
          <w:rFonts w:cs="Tahoma"/>
          <w:color w:val="000000" w:themeColor="text1"/>
          <w:szCs w:val="16"/>
        </w:rPr>
      </w:pPr>
      <w:r w:rsidRPr="00D63A49">
        <w:rPr>
          <w:rFonts w:cs="Tahoma"/>
          <w:color w:val="000000" w:themeColor="text1"/>
          <w:szCs w:val="16"/>
        </w:rPr>
        <w:t>* pozycja zawiera wpływ MSSF 16 na podatek odroczony</w:t>
      </w:r>
    </w:p>
    <w:tbl>
      <w:tblPr>
        <w:tblW w:w="0" w:type="auto"/>
        <w:tblLayout w:type="fixed"/>
        <w:tblCellMar>
          <w:left w:w="28" w:type="dxa"/>
          <w:right w:w="28" w:type="dxa"/>
        </w:tblCellMar>
        <w:tblLook w:val="04A0" w:firstRow="1" w:lastRow="0" w:firstColumn="1" w:lastColumn="0" w:noHBand="0" w:noVBand="1"/>
      </w:tblPr>
      <w:tblGrid>
        <w:gridCol w:w="3911"/>
        <w:gridCol w:w="1134"/>
        <w:gridCol w:w="1134"/>
        <w:gridCol w:w="1134"/>
        <w:gridCol w:w="1134"/>
        <w:gridCol w:w="1134"/>
      </w:tblGrid>
      <w:tr w:rsidR="00E60E38" w:rsidRPr="0096076C" w14:paraId="112216B2" w14:textId="77777777" w:rsidTr="00E470FD">
        <w:trPr>
          <w:trHeight w:val="454"/>
        </w:trPr>
        <w:tc>
          <w:tcPr>
            <w:tcW w:w="3911" w:type="dxa"/>
            <w:tcBorders>
              <w:top w:val="nil"/>
              <w:left w:val="nil"/>
              <w:right w:val="single" w:sz="8" w:space="0" w:color="FFFFFF"/>
            </w:tcBorders>
            <w:shd w:val="clear" w:color="000000" w:fill="0077BD"/>
            <w:vAlign w:val="center"/>
            <w:hideMark/>
          </w:tcPr>
          <w:p w14:paraId="45C5A761" w14:textId="361635D7" w:rsidR="00E60E38" w:rsidRPr="0096076C" w:rsidRDefault="00E60E38" w:rsidP="00217B9E">
            <w:pPr>
              <w:rPr>
                <w:rFonts w:cs="Calibri"/>
                <w:b/>
                <w:bCs/>
                <w:color w:val="FFFFFF"/>
                <w:sz w:val="12"/>
                <w:szCs w:val="12"/>
              </w:rPr>
            </w:pPr>
            <w:r>
              <w:rPr>
                <w:rFonts w:cs="Calibri"/>
                <w:b/>
                <w:bCs/>
                <w:color w:val="FFFFFF"/>
                <w:sz w:val="12"/>
                <w:szCs w:val="12"/>
              </w:rPr>
              <w:t>Rezerwa</w:t>
            </w:r>
            <w:r w:rsidRPr="0096076C">
              <w:rPr>
                <w:rFonts w:cs="Calibri"/>
                <w:b/>
                <w:bCs/>
                <w:color w:val="FFFFFF"/>
                <w:sz w:val="12"/>
                <w:szCs w:val="12"/>
              </w:rPr>
              <w:t xml:space="preserve"> z tytułu odroczonego podatku dochodowego</w:t>
            </w:r>
          </w:p>
        </w:tc>
        <w:tc>
          <w:tcPr>
            <w:tcW w:w="1134" w:type="dxa"/>
            <w:tcBorders>
              <w:top w:val="nil"/>
              <w:left w:val="nil"/>
              <w:right w:val="single" w:sz="8" w:space="0" w:color="FFFFFF"/>
            </w:tcBorders>
            <w:shd w:val="clear" w:color="000000" w:fill="0077BD"/>
            <w:vAlign w:val="center"/>
            <w:hideMark/>
          </w:tcPr>
          <w:p w14:paraId="4AB30396" w14:textId="77777777" w:rsidR="00E60E38" w:rsidRPr="0096076C" w:rsidRDefault="00E60E38" w:rsidP="00217B9E">
            <w:pPr>
              <w:jc w:val="center"/>
              <w:rPr>
                <w:rFonts w:cs="Calibri"/>
                <w:b/>
                <w:bCs/>
                <w:color w:val="FFFFFF"/>
                <w:sz w:val="12"/>
                <w:szCs w:val="12"/>
              </w:rPr>
            </w:pPr>
            <w:r>
              <w:rPr>
                <w:rFonts w:cs="Calibri"/>
                <w:b/>
                <w:bCs/>
                <w:color w:val="FFFFFF"/>
                <w:sz w:val="12"/>
                <w:szCs w:val="12"/>
              </w:rPr>
              <w:t>Stan na 01.01.2019</w:t>
            </w:r>
          </w:p>
        </w:tc>
        <w:tc>
          <w:tcPr>
            <w:tcW w:w="1134" w:type="dxa"/>
            <w:tcBorders>
              <w:top w:val="nil"/>
              <w:left w:val="nil"/>
              <w:right w:val="single" w:sz="8" w:space="0" w:color="FFFFFF"/>
            </w:tcBorders>
            <w:shd w:val="clear" w:color="000000" w:fill="0077BD"/>
            <w:vAlign w:val="center"/>
            <w:hideMark/>
          </w:tcPr>
          <w:p w14:paraId="509D790B" w14:textId="77777777" w:rsidR="00E60E38" w:rsidRPr="0096076C" w:rsidRDefault="00E60E38" w:rsidP="00217B9E">
            <w:pPr>
              <w:jc w:val="center"/>
              <w:rPr>
                <w:rFonts w:cs="Calibri"/>
                <w:b/>
                <w:bCs/>
                <w:color w:val="FFFFFF"/>
                <w:sz w:val="12"/>
                <w:szCs w:val="12"/>
              </w:rPr>
            </w:pPr>
            <w:r w:rsidRPr="0096076C">
              <w:rPr>
                <w:rFonts w:cs="Calibri"/>
                <w:b/>
                <w:bCs/>
                <w:color w:val="FFFFFF"/>
                <w:sz w:val="12"/>
                <w:szCs w:val="12"/>
              </w:rPr>
              <w:t>Przez rachunek zysków i strat</w:t>
            </w:r>
          </w:p>
        </w:tc>
        <w:tc>
          <w:tcPr>
            <w:tcW w:w="1134" w:type="dxa"/>
            <w:tcBorders>
              <w:top w:val="nil"/>
              <w:left w:val="nil"/>
              <w:right w:val="single" w:sz="8" w:space="0" w:color="FFFFFF"/>
            </w:tcBorders>
            <w:shd w:val="clear" w:color="000000" w:fill="0077BD"/>
            <w:vAlign w:val="center"/>
            <w:hideMark/>
          </w:tcPr>
          <w:p w14:paraId="443975E2" w14:textId="77777777" w:rsidR="00E60E38" w:rsidRPr="0096076C" w:rsidRDefault="00E60E38" w:rsidP="00217B9E">
            <w:pPr>
              <w:jc w:val="center"/>
              <w:rPr>
                <w:rFonts w:cs="Calibri"/>
                <w:b/>
                <w:bCs/>
                <w:color w:val="FFFFFF"/>
                <w:sz w:val="12"/>
                <w:szCs w:val="12"/>
              </w:rPr>
            </w:pPr>
            <w:r w:rsidRPr="0096076C">
              <w:rPr>
                <w:rFonts w:cs="Calibri"/>
                <w:b/>
                <w:bCs/>
                <w:color w:val="FFFFFF"/>
                <w:sz w:val="12"/>
                <w:szCs w:val="12"/>
              </w:rPr>
              <w:t>Przez pozostałe całkowite dochody</w:t>
            </w:r>
          </w:p>
        </w:tc>
        <w:tc>
          <w:tcPr>
            <w:tcW w:w="1134" w:type="dxa"/>
            <w:tcBorders>
              <w:top w:val="nil"/>
              <w:left w:val="nil"/>
              <w:right w:val="single" w:sz="8" w:space="0" w:color="FFFFFF"/>
            </w:tcBorders>
            <w:shd w:val="clear" w:color="000000" w:fill="0077BD"/>
            <w:vAlign w:val="center"/>
            <w:hideMark/>
          </w:tcPr>
          <w:p w14:paraId="6B6C459A" w14:textId="77777777" w:rsidR="00E60E38" w:rsidRPr="0096076C" w:rsidRDefault="00E60E38" w:rsidP="00217B9E">
            <w:pPr>
              <w:jc w:val="center"/>
              <w:rPr>
                <w:rFonts w:cs="Calibri"/>
                <w:b/>
                <w:bCs/>
                <w:color w:val="FFFFFF"/>
                <w:sz w:val="12"/>
                <w:szCs w:val="12"/>
              </w:rPr>
            </w:pPr>
            <w:r w:rsidRPr="0096076C">
              <w:rPr>
                <w:rFonts w:cs="Calibri"/>
                <w:b/>
                <w:bCs/>
                <w:color w:val="FFFFFF"/>
                <w:sz w:val="12"/>
                <w:szCs w:val="12"/>
              </w:rPr>
              <w:t>Pozostałe zmiany</w:t>
            </w:r>
          </w:p>
        </w:tc>
        <w:tc>
          <w:tcPr>
            <w:tcW w:w="1134" w:type="dxa"/>
            <w:tcBorders>
              <w:top w:val="nil"/>
              <w:left w:val="nil"/>
              <w:right w:val="nil"/>
            </w:tcBorders>
            <w:shd w:val="clear" w:color="000000" w:fill="0077BD"/>
            <w:vAlign w:val="center"/>
            <w:hideMark/>
          </w:tcPr>
          <w:p w14:paraId="33B7115E" w14:textId="77777777" w:rsidR="00E60E38" w:rsidRPr="0096076C" w:rsidRDefault="00E60E38" w:rsidP="00217B9E">
            <w:pPr>
              <w:jc w:val="center"/>
              <w:rPr>
                <w:rFonts w:cs="Calibri"/>
                <w:b/>
                <w:bCs/>
                <w:color w:val="FFFFFF"/>
                <w:sz w:val="12"/>
                <w:szCs w:val="12"/>
              </w:rPr>
            </w:pPr>
            <w:r>
              <w:rPr>
                <w:rFonts w:cs="Calibri"/>
                <w:b/>
                <w:bCs/>
                <w:color w:val="FFFFFF"/>
                <w:sz w:val="12"/>
                <w:szCs w:val="12"/>
              </w:rPr>
              <w:t>Stan na 31.12.2019</w:t>
            </w:r>
          </w:p>
        </w:tc>
      </w:tr>
      <w:tr w:rsidR="00E60E38" w:rsidRPr="00BB7C9E" w14:paraId="19505BE6" w14:textId="77777777" w:rsidTr="00E470FD">
        <w:trPr>
          <w:trHeight w:val="255"/>
        </w:trPr>
        <w:tc>
          <w:tcPr>
            <w:tcW w:w="3911" w:type="dxa"/>
            <w:tcBorders>
              <w:left w:val="nil"/>
              <w:bottom w:val="single" w:sz="4" w:space="0" w:color="0077BD"/>
              <w:right w:val="single" w:sz="8" w:space="0" w:color="0077BD"/>
            </w:tcBorders>
            <w:shd w:val="clear" w:color="auto" w:fill="auto"/>
            <w:vAlign w:val="center"/>
            <w:hideMark/>
          </w:tcPr>
          <w:p w14:paraId="63CD7272" w14:textId="77777777" w:rsidR="00E60E38" w:rsidRPr="00436D99" w:rsidRDefault="00E60E38" w:rsidP="00E60E38">
            <w:pPr>
              <w:rPr>
                <w:rFonts w:cs="Calibri"/>
                <w:color w:val="000000" w:themeColor="text1"/>
                <w:sz w:val="12"/>
                <w:szCs w:val="12"/>
              </w:rPr>
            </w:pPr>
            <w:r w:rsidRPr="00436D99">
              <w:rPr>
                <w:rFonts w:cs="Calibri"/>
                <w:color w:val="000000" w:themeColor="text1"/>
                <w:sz w:val="12"/>
                <w:szCs w:val="12"/>
              </w:rPr>
              <w:t>Odsetki naliczone</w:t>
            </w:r>
          </w:p>
        </w:tc>
        <w:tc>
          <w:tcPr>
            <w:tcW w:w="1134" w:type="dxa"/>
            <w:tcBorders>
              <w:left w:val="single" w:sz="8" w:space="0" w:color="0077BD"/>
              <w:bottom w:val="single" w:sz="4" w:space="0" w:color="0077BD"/>
              <w:right w:val="single" w:sz="8" w:space="0" w:color="0077BD"/>
            </w:tcBorders>
            <w:shd w:val="clear" w:color="auto" w:fill="auto"/>
            <w:vAlign w:val="center"/>
            <w:hideMark/>
          </w:tcPr>
          <w:p w14:paraId="5BAC59B4" w14:textId="7903539B"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(76 721)</w:t>
            </w:r>
          </w:p>
        </w:tc>
        <w:tc>
          <w:tcPr>
            <w:tcW w:w="1134" w:type="dxa"/>
            <w:tcBorders>
              <w:left w:val="nil"/>
              <w:bottom w:val="single" w:sz="4" w:space="0" w:color="0077BD"/>
              <w:right w:val="single" w:sz="8" w:space="0" w:color="0077BD"/>
            </w:tcBorders>
            <w:shd w:val="clear" w:color="auto" w:fill="auto"/>
            <w:vAlign w:val="center"/>
          </w:tcPr>
          <w:p w14:paraId="7DFA2381" w14:textId="39141B04"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(13 066)</w:t>
            </w:r>
          </w:p>
        </w:tc>
        <w:tc>
          <w:tcPr>
            <w:tcW w:w="1134" w:type="dxa"/>
            <w:tcBorders>
              <w:left w:val="nil"/>
              <w:bottom w:val="single" w:sz="4" w:space="0" w:color="0077BD"/>
              <w:right w:val="single" w:sz="8" w:space="0" w:color="0077BD"/>
            </w:tcBorders>
            <w:shd w:val="clear" w:color="auto" w:fill="auto"/>
            <w:vAlign w:val="center"/>
            <w:hideMark/>
          </w:tcPr>
          <w:p w14:paraId="00311942" w14:textId="3994822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left w:val="nil"/>
              <w:bottom w:val="single" w:sz="4" w:space="0" w:color="0077BD"/>
              <w:right w:val="single" w:sz="8" w:space="0" w:color="0077BD"/>
            </w:tcBorders>
            <w:shd w:val="clear" w:color="auto" w:fill="auto"/>
            <w:vAlign w:val="center"/>
            <w:hideMark/>
          </w:tcPr>
          <w:p w14:paraId="76A2A328" w14:textId="777A0786"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(2)</w:t>
            </w:r>
          </w:p>
        </w:tc>
        <w:tc>
          <w:tcPr>
            <w:tcW w:w="1134" w:type="dxa"/>
            <w:tcBorders>
              <w:left w:val="nil"/>
              <w:bottom w:val="single" w:sz="4" w:space="0" w:color="0077BD"/>
              <w:right w:val="nil"/>
            </w:tcBorders>
            <w:shd w:val="clear" w:color="auto" w:fill="auto"/>
            <w:vAlign w:val="center"/>
          </w:tcPr>
          <w:p w14:paraId="585A3FD9" w14:textId="7B7671AE"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(89 789)</w:t>
            </w:r>
          </w:p>
        </w:tc>
      </w:tr>
      <w:tr w:rsidR="00E60E38" w:rsidRPr="00BB7C9E" w14:paraId="33380F9A"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3AE247E5" w14:textId="77777777" w:rsidR="00E60E38" w:rsidRPr="00436D99" w:rsidRDefault="00E60E38" w:rsidP="00E60E38">
            <w:pPr>
              <w:rPr>
                <w:rFonts w:cs="Calibri"/>
                <w:color w:val="000000" w:themeColor="text1"/>
                <w:sz w:val="12"/>
                <w:szCs w:val="12"/>
              </w:rPr>
            </w:pPr>
            <w:r w:rsidRPr="00436D99">
              <w:rPr>
                <w:rFonts w:cs="Calibri"/>
                <w:color w:val="000000" w:themeColor="text1"/>
                <w:sz w:val="12"/>
                <w:szCs w:val="12"/>
              </w:rPr>
              <w:t>Wycena pochodnych instrumentów finansowych</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15ECDEA8" w14:textId="739B0AB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(57 506)</w:t>
            </w:r>
          </w:p>
        </w:tc>
        <w:tc>
          <w:tcPr>
            <w:tcW w:w="1134" w:type="dxa"/>
            <w:tcBorders>
              <w:top w:val="nil"/>
              <w:left w:val="nil"/>
              <w:bottom w:val="single" w:sz="4" w:space="0" w:color="0077BD"/>
              <w:right w:val="single" w:sz="8" w:space="0" w:color="0077BD"/>
            </w:tcBorders>
            <w:shd w:val="clear" w:color="auto" w:fill="auto"/>
            <w:vAlign w:val="center"/>
          </w:tcPr>
          <w:p w14:paraId="3B268AEE" w14:textId="129D4E87"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(20 145)</w:t>
            </w:r>
          </w:p>
        </w:tc>
        <w:tc>
          <w:tcPr>
            <w:tcW w:w="1134" w:type="dxa"/>
            <w:tcBorders>
              <w:top w:val="nil"/>
              <w:left w:val="nil"/>
              <w:bottom w:val="single" w:sz="4" w:space="0" w:color="0077BD"/>
              <w:right w:val="single" w:sz="8" w:space="0" w:color="0077BD"/>
            </w:tcBorders>
            <w:shd w:val="clear" w:color="auto" w:fill="auto"/>
            <w:vAlign w:val="center"/>
            <w:hideMark/>
          </w:tcPr>
          <w:p w14:paraId="50AC9344" w14:textId="4AEB1AD8"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(9 032)</w:t>
            </w:r>
          </w:p>
        </w:tc>
        <w:tc>
          <w:tcPr>
            <w:tcW w:w="1134" w:type="dxa"/>
            <w:tcBorders>
              <w:top w:val="nil"/>
              <w:left w:val="nil"/>
              <w:bottom w:val="single" w:sz="4" w:space="0" w:color="0077BD"/>
              <w:right w:val="single" w:sz="8" w:space="0" w:color="0077BD"/>
            </w:tcBorders>
            <w:shd w:val="clear" w:color="auto" w:fill="auto"/>
            <w:vAlign w:val="center"/>
            <w:hideMark/>
          </w:tcPr>
          <w:p w14:paraId="079A8A7F" w14:textId="79CADF7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4EBFE81A" w14:textId="36F9363E"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(86 683)</w:t>
            </w:r>
          </w:p>
        </w:tc>
      </w:tr>
      <w:tr w:rsidR="00E60E38" w:rsidRPr="00BB7C9E" w14:paraId="15A11BA5"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08BB5ED7" w14:textId="77777777" w:rsidR="00E60E38" w:rsidRPr="00436D99" w:rsidRDefault="00E60E38" w:rsidP="00E60E38">
            <w:pPr>
              <w:rPr>
                <w:rFonts w:cs="Calibri"/>
                <w:color w:val="000000" w:themeColor="text1"/>
                <w:sz w:val="12"/>
                <w:szCs w:val="12"/>
              </w:rPr>
            </w:pPr>
            <w:r w:rsidRPr="00436D99">
              <w:rPr>
                <w:rFonts w:cs="Calibri"/>
                <w:color w:val="000000" w:themeColor="text1"/>
                <w:sz w:val="12"/>
                <w:szCs w:val="12"/>
              </w:rPr>
              <w:t>Wycena papierów wartościowych</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1732140F" w14:textId="2BCDBE0C"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(110 804)</w:t>
            </w:r>
          </w:p>
        </w:tc>
        <w:tc>
          <w:tcPr>
            <w:tcW w:w="1134" w:type="dxa"/>
            <w:tcBorders>
              <w:top w:val="nil"/>
              <w:left w:val="nil"/>
              <w:bottom w:val="single" w:sz="4" w:space="0" w:color="0077BD"/>
              <w:right w:val="single" w:sz="8" w:space="0" w:color="0077BD"/>
            </w:tcBorders>
            <w:shd w:val="clear" w:color="auto" w:fill="auto"/>
            <w:vAlign w:val="center"/>
          </w:tcPr>
          <w:p w14:paraId="77382E88" w14:textId="22E46B5D"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(20 428)</w:t>
            </w:r>
          </w:p>
        </w:tc>
        <w:tc>
          <w:tcPr>
            <w:tcW w:w="1134" w:type="dxa"/>
            <w:tcBorders>
              <w:top w:val="nil"/>
              <w:left w:val="nil"/>
              <w:bottom w:val="single" w:sz="4" w:space="0" w:color="0077BD"/>
              <w:right w:val="single" w:sz="8" w:space="0" w:color="0077BD"/>
            </w:tcBorders>
            <w:shd w:val="clear" w:color="auto" w:fill="auto"/>
            <w:vAlign w:val="center"/>
          </w:tcPr>
          <w:p w14:paraId="415E0241" w14:textId="47FEF6F9"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(2 194)</w:t>
            </w:r>
          </w:p>
        </w:tc>
        <w:tc>
          <w:tcPr>
            <w:tcW w:w="1134" w:type="dxa"/>
            <w:tcBorders>
              <w:top w:val="nil"/>
              <w:left w:val="nil"/>
              <w:bottom w:val="single" w:sz="4" w:space="0" w:color="0077BD"/>
              <w:right w:val="single" w:sz="8" w:space="0" w:color="0077BD"/>
            </w:tcBorders>
            <w:shd w:val="clear" w:color="auto" w:fill="auto"/>
            <w:vAlign w:val="center"/>
            <w:hideMark/>
          </w:tcPr>
          <w:p w14:paraId="4E89525A" w14:textId="3C8B4F9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05291F44" w14:textId="75917A9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(133 426)</w:t>
            </w:r>
          </w:p>
        </w:tc>
      </w:tr>
      <w:tr w:rsidR="00E60E38" w:rsidRPr="00E60E38" w14:paraId="28D19019"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60AE354C" w14:textId="1500913E" w:rsidR="00E60E38" w:rsidRPr="00436D99" w:rsidRDefault="00E60E38" w:rsidP="00E60E38">
            <w:pPr>
              <w:rPr>
                <w:rFonts w:cs="Calibri"/>
                <w:color w:val="000000" w:themeColor="text1"/>
                <w:sz w:val="12"/>
                <w:szCs w:val="12"/>
              </w:rPr>
            </w:pPr>
            <w:r w:rsidRPr="00436D99">
              <w:rPr>
                <w:color w:val="000000" w:themeColor="text1"/>
                <w:sz w:val="12"/>
                <w:szCs w:val="12"/>
              </w:rPr>
              <w:t>Odsetki i prowizje pobrane z góry</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163F92D5" w14:textId="65A2A785"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(6 962)</w:t>
            </w:r>
          </w:p>
        </w:tc>
        <w:tc>
          <w:tcPr>
            <w:tcW w:w="1134" w:type="dxa"/>
            <w:tcBorders>
              <w:top w:val="nil"/>
              <w:left w:val="nil"/>
              <w:bottom w:val="single" w:sz="4" w:space="0" w:color="0077BD"/>
              <w:right w:val="single" w:sz="8" w:space="0" w:color="0077BD"/>
            </w:tcBorders>
            <w:shd w:val="clear" w:color="auto" w:fill="auto"/>
            <w:vAlign w:val="center"/>
          </w:tcPr>
          <w:p w14:paraId="1FF0B046" w14:textId="51C7D361"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(9 451)</w:t>
            </w:r>
          </w:p>
        </w:tc>
        <w:tc>
          <w:tcPr>
            <w:tcW w:w="1134" w:type="dxa"/>
            <w:tcBorders>
              <w:top w:val="nil"/>
              <w:left w:val="nil"/>
              <w:bottom w:val="single" w:sz="4" w:space="0" w:color="0077BD"/>
              <w:right w:val="single" w:sz="8" w:space="0" w:color="0077BD"/>
            </w:tcBorders>
            <w:shd w:val="clear" w:color="auto" w:fill="auto"/>
            <w:vAlign w:val="center"/>
          </w:tcPr>
          <w:p w14:paraId="6FA73E6D" w14:textId="2FB6838D"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(5)</w:t>
            </w:r>
          </w:p>
        </w:tc>
        <w:tc>
          <w:tcPr>
            <w:tcW w:w="1134" w:type="dxa"/>
            <w:tcBorders>
              <w:top w:val="nil"/>
              <w:left w:val="nil"/>
              <w:bottom w:val="single" w:sz="4" w:space="0" w:color="0077BD"/>
              <w:right w:val="single" w:sz="8" w:space="0" w:color="0077BD"/>
            </w:tcBorders>
            <w:shd w:val="clear" w:color="auto" w:fill="auto"/>
            <w:vAlign w:val="center"/>
            <w:hideMark/>
          </w:tcPr>
          <w:p w14:paraId="7E12C2FF" w14:textId="6F1E35FD"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30CFA3F4" w14:textId="1FDA63AB"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(16 418)</w:t>
            </w:r>
          </w:p>
        </w:tc>
      </w:tr>
      <w:tr w:rsidR="00E60E38" w:rsidRPr="00E60E38" w14:paraId="4E42AB69"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0A91DB5D" w14:textId="4CBE765D" w:rsidR="00E60E38" w:rsidRPr="00436D99" w:rsidRDefault="00E60E38" w:rsidP="00E60E38">
            <w:pPr>
              <w:rPr>
                <w:rFonts w:cs="Calibri"/>
                <w:color w:val="000000" w:themeColor="text1"/>
                <w:sz w:val="12"/>
                <w:szCs w:val="12"/>
              </w:rPr>
            </w:pPr>
            <w:r w:rsidRPr="00436D99">
              <w:rPr>
                <w:color w:val="000000" w:themeColor="text1"/>
                <w:sz w:val="12"/>
                <w:szCs w:val="12"/>
              </w:rPr>
              <w:t>Różnica między wartością bilansową i podatkową rzeczowych aktywów trwałych oraz wartości niematerialnych*</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18992ED1" w14:textId="436F1B90"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(42 795)</w:t>
            </w:r>
          </w:p>
        </w:tc>
        <w:tc>
          <w:tcPr>
            <w:tcW w:w="1134" w:type="dxa"/>
            <w:tcBorders>
              <w:top w:val="nil"/>
              <w:left w:val="nil"/>
              <w:bottom w:val="single" w:sz="4" w:space="0" w:color="0077BD"/>
              <w:right w:val="single" w:sz="8" w:space="0" w:color="0077BD"/>
            </w:tcBorders>
            <w:shd w:val="clear" w:color="auto" w:fill="auto"/>
            <w:vAlign w:val="center"/>
          </w:tcPr>
          <w:p w14:paraId="47A5CBF6" w14:textId="3295018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(79 211)</w:t>
            </w:r>
          </w:p>
        </w:tc>
        <w:tc>
          <w:tcPr>
            <w:tcW w:w="1134" w:type="dxa"/>
            <w:tcBorders>
              <w:top w:val="nil"/>
              <w:left w:val="nil"/>
              <w:bottom w:val="single" w:sz="4" w:space="0" w:color="0077BD"/>
              <w:right w:val="single" w:sz="8" w:space="0" w:color="0077BD"/>
            </w:tcBorders>
            <w:shd w:val="clear" w:color="auto" w:fill="auto"/>
            <w:vAlign w:val="center"/>
          </w:tcPr>
          <w:p w14:paraId="3E8E7382" w14:textId="3D90E088"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79F22594" w14:textId="52F33B93"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5998996C" w14:textId="5B1DBE4D"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(122 006)</w:t>
            </w:r>
          </w:p>
        </w:tc>
      </w:tr>
      <w:tr w:rsidR="00E60E38" w:rsidRPr="00E60E38" w14:paraId="23827CDB"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6EB6B98D" w14:textId="54BAC9AD" w:rsidR="00E60E38" w:rsidRPr="00436D99" w:rsidRDefault="00E60E38" w:rsidP="00E60E38">
            <w:pPr>
              <w:rPr>
                <w:rFonts w:cs="Calibri"/>
                <w:color w:val="000000" w:themeColor="text1"/>
                <w:sz w:val="12"/>
                <w:szCs w:val="12"/>
              </w:rPr>
            </w:pPr>
            <w:r w:rsidRPr="00436D99">
              <w:rPr>
                <w:color w:val="000000" w:themeColor="text1"/>
                <w:sz w:val="12"/>
                <w:szCs w:val="12"/>
              </w:rPr>
              <w:t>Rozliczenia międzyokresowe dotyczące amortyzacji z tytułu zastosowanej ulgi inwestycyjnej</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72F95154" w14:textId="5382606C"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(18 657)</w:t>
            </w:r>
          </w:p>
        </w:tc>
        <w:tc>
          <w:tcPr>
            <w:tcW w:w="1134" w:type="dxa"/>
            <w:tcBorders>
              <w:top w:val="nil"/>
              <w:left w:val="nil"/>
              <w:bottom w:val="single" w:sz="4" w:space="0" w:color="0077BD"/>
              <w:right w:val="single" w:sz="8" w:space="0" w:color="0077BD"/>
            </w:tcBorders>
            <w:shd w:val="clear" w:color="auto" w:fill="auto"/>
            <w:vAlign w:val="center"/>
          </w:tcPr>
          <w:p w14:paraId="61B1EE23" w14:textId="38F82F81"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tcPr>
          <w:p w14:paraId="0209A0D7" w14:textId="3F7C5342"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466C0FB4" w14:textId="609D8064"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nil"/>
            </w:tcBorders>
            <w:shd w:val="clear" w:color="auto" w:fill="auto"/>
            <w:vAlign w:val="center"/>
          </w:tcPr>
          <w:p w14:paraId="3AA33DB1" w14:textId="3ACCADE5"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(18 657)</w:t>
            </w:r>
          </w:p>
        </w:tc>
      </w:tr>
      <w:tr w:rsidR="00E60E38" w:rsidRPr="00E60E38" w14:paraId="4BF281B6" w14:textId="77777777" w:rsidTr="00217B9E">
        <w:trPr>
          <w:trHeight w:val="255"/>
        </w:trPr>
        <w:tc>
          <w:tcPr>
            <w:tcW w:w="3911" w:type="dxa"/>
            <w:tcBorders>
              <w:top w:val="nil"/>
              <w:left w:val="nil"/>
              <w:bottom w:val="single" w:sz="4" w:space="0" w:color="0077BD"/>
              <w:right w:val="single" w:sz="8" w:space="0" w:color="0077BD"/>
            </w:tcBorders>
            <w:shd w:val="clear" w:color="auto" w:fill="auto"/>
            <w:vAlign w:val="center"/>
            <w:hideMark/>
          </w:tcPr>
          <w:p w14:paraId="5FFC90F5" w14:textId="218AC420" w:rsidR="00E60E38" w:rsidRPr="00436D99" w:rsidRDefault="00E60E38" w:rsidP="00E60E38">
            <w:pPr>
              <w:rPr>
                <w:rFonts w:cs="Calibri"/>
                <w:color w:val="000000" w:themeColor="text1"/>
                <w:sz w:val="12"/>
                <w:szCs w:val="12"/>
              </w:rPr>
            </w:pPr>
            <w:r w:rsidRPr="00436D99">
              <w:rPr>
                <w:color w:val="000000" w:themeColor="text1"/>
                <w:sz w:val="12"/>
                <w:szCs w:val="12"/>
              </w:rPr>
              <w:t>Pozostałe dodatnie różnice przejściowe**</w:t>
            </w:r>
          </w:p>
        </w:tc>
        <w:tc>
          <w:tcPr>
            <w:tcW w:w="1134" w:type="dxa"/>
            <w:tcBorders>
              <w:top w:val="nil"/>
              <w:left w:val="single" w:sz="8" w:space="0" w:color="0077BD"/>
              <w:bottom w:val="single" w:sz="4" w:space="0" w:color="0077BD"/>
              <w:right w:val="single" w:sz="8" w:space="0" w:color="0077BD"/>
            </w:tcBorders>
            <w:shd w:val="clear" w:color="auto" w:fill="auto"/>
            <w:vAlign w:val="center"/>
            <w:hideMark/>
          </w:tcPr>
          <w:p w14:paraId="7751F811" w14:textId="544780DB"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(71 599)</w:t>
            </w:r>
          </w:p>
        </w:tc>
        <w:tc>
          <w:tcPr>
            <w:tcW w:w="1134" w:type="dxa"/>
            <w:tcBorders>
              <w:top w:val="nil"/>
              <w:left w:val="nil"/>
              <w:bottom w:val="single" w:sz="4" w:space="0" w:color="0077BD"/>
              <w:right w:val="single" w:sz="8" w:space="0" w:color="0077BD"/>
            </w:tcBorders>
            <w:shd w:val="clear" w:color="auto" w:fill="auto"/>
            <w:vAlign w:val="center"/>
          </w:tcPr>
          <w:p w14:paraId="1EA6A80D" w14:textId="36EF82C8"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6 045</w:t>
            </w:r>
          </w:p>
        </w:tc>
        <w:tc>
          <w:tcPr>
            <w:tcW w:w="1134" w:type="dxa"/>
            <w:tcBorders>
              <w:top w:val="nil"/>
              <w:left w:val="nil"/>
              <w:bottom w:val="single" w:sz="4" w:space="0" w:color="0077BD"/>
              <w:right w:val="single" w:sz="8" w:space="0" w:color="0077BD"/>
            </w:tcBorders>
            <w:shd w:val="clear" w:color="auto" w:fill="auto"/>
            <w:vAlign w:val="center"/>
          </w:tcPr>
          <w:p w14:paraId="7A89C892" w14:textId="450CD666"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w:t>
            </w:r>
          </w:p>
        </w:tc>
        <w:tc>
          <w:tcPr>
            <w:tcW w:w="1134" w:type="dxa"/>
            <w:tcBorders>
              <w:top w:val="nil"/>
              <w:left w:val="nil"/>
              <w:bottom w:val="single" w:sz="4" w:space="0" w:color="0077BD"/>
              <w:right w:val="single" w:sz="8" w:space="0" w:color="0077BD"/>
            </w:tcBorders>
            <w:shd w:val="clear" w:color="auto" w:fill="auto"/>
            <w:vAlign w:val="center"/>
            <w:hideMark/>
          </w:tcPr>
          <w:p w14:paraId="12E07EAE" w14:textId="7CDBBEFB"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(3 627)</w:t>
            </w:r>
          </w:p>
        </w:tc>
        <w:tc>
          <w:tcPr>
            <w:tcW w:w="1134" w:type="dxa"/>
            <w:tcBorders>
              <w:top w:val="nil"/>
              <w:left w:val="nil"/>
              <w:bottom w:val="single" w:sz="4" w:space="0" w:color="0077BD"/>
              <w:right w:val="nil"/>
            </w:tcBorders>
            <w:shd w:val="clear" w:color="auto" w:fill="auto"/>
            <w:vAlign w:val="center"/>
          </w:tcPr>
          <w:p w14:paraId="49689394" w14:textId="0441EE3C" w:rsidR="00E60E38" w:rsidRPr="00436D99" w:rsidRDefault="00E60E38" w:rsidP="00E60E38">
            <w:pPr>
              <w:jc w:val="right"/>
              <w:rPr>
                <w:rFonts w:cs="Calibri"/>
                <w:color w:val="000000" w:themeColor="text1"/>
                <w:sz w:val="12"/>
                <w:szCs w:val="12"/>
              </w:rPr>
            </w:pPr>
            <w:r w:rsidRPr="00436D99">
              <w:rPr>
                <w:rFonts w:cs="Calibri"/>
                <w:color w:val="000000" w:themeColor="text1"/>
                <w:sz w:val="12"/>
                <w:szCs w:val="12"/>
              </w:rPr>
              <w:t>(69 181)</w:t>
            </w:r>
          </w:p>
        </w:tc>
      </w:tr>
      <w:tr w:rsidR="00E60E38" w:rsidRPr="00BB7C9E" w14:paraId="52C5E52A" w14:textId="77777777" w:rsidTr="00217B9E">
        <w:trPr>
          <w:trHeight w:val="255"/>
        </w:trPr>
        <w:tc>
          <w:tcPr>
            <w:tcW w:w="3911" w:type="dxa"/>
            <w:tcBorders>
              <w:top w:val="single" w:sz="8" w:space="0" w:color="0077BD"/>
              <w:left w:val="nil"/>
              <w:bottom w:val="single" w:sz="8" w:space="0" w:color="0077BD"/>
              <w:right w:val="single" w:sz="8" w:space="0" w:color="0077BD"/>
            </w:tcBorders>
            <w:shd w:val="clear" w:color="auto" w:fill="auto"/>
            <w:vAlign w:val="center"/>
            <w:hideMark/>
          </w:tcPr>
          <w:p w14:paraId="4AE93D55" w14:textId="77777777" w:rsidR="00E60E38" w:rsidRPr="00436D99" w:rsidRDefault="00E60E38" w:rsidP="00E60E38">
            <w:pPr>
              <w:rPr>
                <w:rFonts w:cs="Calibri"/>
                <w:b/>
                <w:bCs/>
                <w:color w:val="000000" w:themeColor="text1"/>
                <w:sz w:val="12"/>
                <w:szCs w:val="12"/>
              </w:rPr>
            </w:pPr>
            <w:r w:rsidRPr="00436D99">
              <w:rPr>
                <w:rFonts w:cs="Calibri"/>
                <w:b/>
                <w:bCs/>
                <w:color w:val="000000" w:themeColor="text1"/>
                <w:sz w:val="12"/>
                <w:szCs w:val="12"/>
              </w:rPr>
              <w:t>Razem</w:t>
            </w:r>
          </w:p>
        </w:tc>
        <w:tc>
          <w:tcPr>
            <w:tcW w:w="1134" w:type="dxa"/>
            <w:tcBorders>
              <w:top w:val="single" w:sz="8" w:space="0" w:color="0077BD"/>
              <w:left w:val="single" w:sz="8" w:space="0" w:color="0077BD"/>
              <w:bottom w:val="single" w:sz="8" w:space="0" w:color="0077BD"/>
              <w:right w:val="single" w:sz="8" w:space="0" w:color="0077BD"/>
            </w:tcBorders>
            <w:shd w:val="clear" w:color="auto" w:fill="auto"/>
            <w:vAlign w:val="center"/>
            <w:hideMark/>
          </w:tcPr>
          <w:p w14:paraId="70E2C808" w14:textId="41119618" w:rsidR="00E60E38" w:rsidRPr="00436D99" w:rsidRDefault="00E60E38" w:rsidP="00E60E38">
            <w:pPr>
              <w:jc w:val="right"/>
              <w:rPr>
                <w:rFonts w:cs="Calibri"/>
                <w:b/>
                <w:bCs/>
                <w:color w:val="000000" w:themeColor="text1"/>
                <w:sz w:val="12"/>
                <w:szCs w:val="12"/>
              </w:rPr>
            </w:pPr>
            <w:r w:rsidRPr="00436D99">
              <w:rPr>
                <w:rFonts w:cs="Calibri"/>
                <w:b/>
                <w:bCs/>
                <w:color w:val="000000" w:themeColor="text1"/>
                <w:sz w:val="12"/>
                <w:szCs w:val="12"/>
              </w:rPr>
              <w:t>(385 044)</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4720D929" w14:textId="5BA0461F" w:rsidR="00E60E38" w:rsidRPr="00436D99" w:rsidRDefault="00E60E38" w:rsidP="00E60E38">
            <w:pPr>
              <w:jc w:val="right"/>
              <w:rPr>
                <w:rFonts w:cs="Calibri"/>
                <w:b/>
                <w:bCs/>
                <w:color w:val="000000" w:themeColor="text1"/>
                <w:sz w:val="12"/>
                <w:szCs w:val="12"/>
              </w:rPr>
            </w:pPr>
            <w:r w:rsidRPr="00436D99">
              <w:rPr>
                <w:rFonts w:cs="Calibri"/>
                <w:b/>
                <w:bCs/>
                <w:color w:val="000000" w:themeColor="text1"/>
                <w:sz w:val="12"/>
                <w:szCs w:val="12"/>
              </w:rPr>
              <w:t>(136 256)</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5237D648" w14:textId="0BB3231E" w:rsidR="00E60E38" w:rsidRPr="00436D99" w:rsidRDefault="00E60E38" w:rsidP="00E60E38">
            <w:pPr>
              <w:jc w:val="right"/>
              <w:rPr>
                <w:rFonts w:cs="Calibri"/>
                <w:b/>
                <w:bCs/>
                <w:color w:val="000000" w:themeColor="text1"/>
                <w:sz w:val="12"/>
                <w:szCs w:val="12"/>
              </w:rPr>
            </w:pPr>
            <w:r w:rsidRPr="00436D99">
              <w:rPr>
                <w:rFonts w:cs="Calibri"/>
                <w:b/>
                <w:bCs/>
                <w:color w:val="000000" w:themeColor="text1"/>
                <w:sz w:val="12"/>
                <w:szCs w:val="12"/>
              </w:rPr>
              <w:t>(11 231)</w:t>
            </w:r>
          </w:p>
        </w:tc>
        <w:tc>
          <w:tcPr>
            <w:tcW w:w="1134" w:type="dxa"/>
            <w:tcBorders>
              <w:top w:val="single" w:sz="8" w:space="0" w:color="0077BD"/>
              <w:left w:val="nil"/>
              <w:bottom w:val="single" w:sz="8" w:space="0" w:color="0077BD"/>
              <w:right w:val="single" w:sz="8" w:space="0" w:color="0077BD"/>
            </w:tcBorders>
            <w:shd w:val="clear" w:color="auto" w:fill="auto"/>
            <w:vAlign w:val="center"/>
          </w:tcPr>
          <w:p w14:paraId="43246092" w14:textId="08FF33AD" w:rsidR="00E60E38" w:rsidRPr="00436D99" w:rsidRDefault="00E60E38" w:rsidP="00E60E38">
            <w:pPr>
              <w:jc w:val="right"/>
              <w:rPr>
                <w:rFonts w:cs="Calibri"/>
                <w:b/>
                <w:bCs/>
                <w:color w:val="000000" w:themeColor="text1"/>
                <w:sz w:val="12"/>
                <w:szCs w:val="12"/>
              </w:rPr>
            </w:pPr>
            <w:r w:rsidRPr="00436D99">
              <w:rPr>
                <w:rFonts w:cs="Calibri"/>
                <w:b/>
                <w:bCs/>
                <w:color w:val="000000" w:themeColor="text1"/>
                <w:sz w:val="12"/>
                <w:szCs w:val="12"/>
              </w:rPr>
              <w:t>(3 629)</w:t>
            </w:r>
          </w:p>
        </w:tc>
        <w:tc>
          <w:tcPr>
            <w:tcW w:w="1134" w:type="dxa"/>
            <w:tcBorders>
              <w:top w:val="single" w:sz="8" w:space="0" w:color="0077BD"/>
              <w:left w:val="nil"/>
              <w:bottom w:val="single" w:sz="8" w:space="0" w:color="0077BD"/>
              <w:right w:val="nil"/>
            </w:tcBorders>
            <w:shd w:val="clear" w:color="auto" w:fill="auto"/>
            <w:vAlign w:val="center"/>
          </w:tcPr>
          <w:p w14:paraId="6599A7C4" w14:textId="381B8184" w:rsidR="00E60E38" w:rsidRPr="00436D99" w:rsidRDefault="00E60E38" w:rsidP="00E60E38">
            <w:pPr>
              <w:jc w:val="right"/>
              <w:rPr>
                <w:rFonts w:cs="Calibri"/>
                <w:b/>
                <w:bCs/>
                <w:color w:val="000000" w:themeColor="text1"/>
                <w:sz w:val="12"/>
                <w:szCs w:val="12"/>
              </w:rPr>
            </w:pPr>
            <w:r w:rsidRPr="00436D99">
              <w:rPr>
                <w:rFonts w:cs="Calibri"/>
                <w:b/>
                <w:bCs/>
                <w:color w:val="000000" w:themeColor="text1"/>
                <w:sz w:val="12"/>
                <w:szCs w:val="12"/>
              </w:rPr>
              <w:t>(536 160)</w:t>
            </w:r>
          </w:p>
        </w:tc>
      </w:tr>
    </w:tbl>
    <w:p w14:paraId="3088D704" w14:textId="284C9C1B" w:rsidR="00E60E38" w:rsidRDefault="00E60E38">
      <w:pPr>
        <w:rPr>
          <w:rFonts w:cs="Tahoma"/>
          <w:color w:val="000000" w:themeColor="text1"/>
          <w:szCs w:val="16"/>
        </w:rPr>
      </w:pPr>
    </w:p>
    <w:tbl>
      <w:tblPr>
        <w:tblW w:w="0" w:type="auto"/>
        <w:tblCellMar>
          <w:left w:w="28" w:type="dxa"/>
          <w:right w:w="28" w:type="dxa"/>
        </w:tblCellMar>
        <w:tblLook w:val="04A0" w:firstRow="1" w:lastRow="0" w:firstColumn="1" w:lastColumn="0" w:noHBand="0" w:noVBand="1"/>
      </w:tblPr>
      <w:tblGrid>
        <w:gridCol w:w="2827"/>
        <w:gridCol w:w="964"/>
        <w:gridCol w:w="964"/>
        <w:gridCol w:w="970"/>
        <w:gridCol w:w="964"/>
        <w:gridCol w:w="964"/>
        <w:gridCol w:w="964"/>
        <w:gridCol w:w="964"/>
      </w:tblGrid>
      <w:tr w:rsidR="00E60E38" w:rsidRPr="00841A0F" w14:paraId="75AC7ED1" w14:textId="77777777" w:rsidTr="00217B9E">
        <w:trPr>
          <w:trHeight w:val="624"/>
        </w:trPr>
        <w:tc>
          <w:tcPr>
            <w:tcW w:w="0" w:type="auto"/>
            <w:tcBorders>
              <w:top w:val="nil"/>
              <w:left w:val="nil"/>
              <w:bottom w:val="nil"/>
              <w:right w:val="single" w:sz="8" w:space="0" w:color="FFFFFF"/>
            </w:tcBorders>
            <w:shd w:val="clear" w:color="000000" w:fill="0077BD"/>
            <w:vAlign w:val="center"/>
            <w:hideMark/>
          </w:tcPr>
          <w:p w14:paraId="773BB3D8" w14:textId="63713774" w:rsidR="00E60E38" w:rsidRPr="00841A0F" w:rsidRDefault="00E60E38" w:rsidP="00217B9E">
            <w:pPr>
              <w:rPr>
                <w:rFonts w:cs="Calibri"/>
                <w:b/>
                <w:bCs/>
                <w:color w:val="FFFFFF"/>
                <w:sz w:val="12"/>
                <w:szCs w:val="12"/>
              </w:rPr>
            </w:pPr>
            <w:r>
              <w:rPr>
                <w:rFonts w:cs="Tahoma"/>
                <w:color w:val="201C17"/>
                <w:sz w:val="18"/>
                <w:szCs w:val="18"/>
              </w:rPr>
              <w:br w:type="page"/>
            </w:r>
            <w:r w:rsidR="00104455">
              <w:rPr>
                <w:rFonts w:cs="Calibri"/>
                <w:b/>
                <w:bCs/>
                <w:color w:val="FFFFFF"/>
                <w:sz w:val="12"/>
                <w:szCs w:val="12"/>
              </w:rPr>
              <w:t>Aktywa</w:t>
            </w:r>
            <w:r w:rsidRPr="00841A0F">
              <w:rPr>
                <w:rFonts w:cs="Calibri"/>
                <w:b/>
                <w:bCs/>
                <w:color w:val="FFFFFF"/>
                <w:sz w:val="12"/>
                <w:szCs w:val="12"/>
              </w:rPr>
              <w:t xml:space="preserve"> z tytułu odroczonego podatku dochodowego</w:t>
            </w:r>
          </w:p>
        </w:tc>
        <w:tc>
          <w:tcPr>
            <w:tcW w:w="964" w:type="dxa"/>
            <w:tcBorders>
              <w:top w:val="nil"/>
              <w:left w:val="nil"/>
              <w:bottom w:val="nil"/>
              <w:right w:val="single" w:sz="8" w:space="0" w:color="FFFFFF"/>
            </w:tcBorders>
            <w:shd w:val="clear" w:color="000000" w:fill="0077BD"/>
            <w:vAlign w:val="center"/>
            <w:hideMark/>
          </w:tcPr>
          <w:p w14:paraId="486F55F0" w14:textId="3DDE4408" w:rsidR="00E60E38" w:rsidRPr="00841A0F" w:rsidRDefault="00E60E38" w:rsidP="00E60E38">
            <w:pPr>
              <w:jc w:val="center"/>
              <w:rPr>
                <w:rFonts w:cs="Calibri"/>
                <w:b/>
                <w:bCs/>
                <w:color w:val="FFFFFF"/>
                <w:sz w:val="12"/>
                <w:szCs w:val="12"/>
              </w:rPr>
            </w:pPr>
            <w:r w:rsidRPr="00841A0F">
              <w:rPr>
                <w:rFonts w:cs="Calibri"/>
                <w:b/>
                <w:bCs/>
                <w:color w:val="FFFFFF"/>
                <w:sz w:val="12"/>
                <w:szCs w:val="12"/>
              </w:rPr>
              <w:t>Stan na 01.01.201</w:t>
            </w:r>
            <w:r w:rsidR="00104455">
              <w:rPr>
                <w:rFonts w:cs="Calibri"/>
                <w:b/>
                <w:bCs/>
                <w:color w:val="FFFFFF"/>
                <w:sz w:val="12"/>
                <w:szCs w:val="12"/>
              </w:rPr>
              <w:t>8</w:t>
            </w:r>
          </w:p>
        </w:tc>
        <w:tc>
          <w:tcPr>
            <w:tcW w:w="964" w:type="dxa"/>
            <w:tcBorders>
              <w:top w:val="nil"/>
              <w:left w:val="nil"/>
              <w:bottom w:val="nil"/>
              <w:right w:val="single" w:sz="8" w:space="0" w:color="FFFFFF"/>
            </w:tcBorders>
            <w:shd w:val="clear" w:color="000000" w:fill="0077BD"/>
            <w:vAlign w:val="center"/>
            <w:hideMark/>
          </w:tcPr>
          <w:p w14:paraId="7240A463" w14:textId="77777777" w:rsidR="00E60E38" w:rsidRPr="00841A0F" w:rsidRDefault="00E60E38" w:rsidP="00217B9E">
            <w:pPr>
              <w:jc w:val="center"/>
              <w:rPr>
                <w:rFonts w:cs="Calibri"/>
                <w:b/>
                <w:bCs/>
                <w:color w:val="FFFFFF"/>
                <w:sz w:val="12"/>
                <w:szCs w:val="12"/>
              </w:rPr>
            </w:pPr>
            <w:r w:rsidRPr="00841A0F">
              <w:rPr>
                <w:rFonts w:cs="Calibri"/>
                <w:b/>
                <w:bCs/>
                <w:color w:val="FFFFFF"/>
                <w:sz w:val="12"/>
                <w:szCs w:val="12"/>
              </w:rPr>
              <w:t xml:space="preserve">Wpływ wdrożenia MSSF 9 </w:t>
            </w:r>
          </w:p>
        </w:tc>
        <w:tc>
          <w:tcPr>
            <w:tcW w:w="970" w:type="dxa"/>
            <w:tcBorders>
              <w:top w:val="nil"/>
              <w:left w:val="nil"/>
              <w:bottom w:val="nil"/>
              <w:right w:val="single" w:sz="8" w:space="0" w:color="FFFFFF"/>
            </w:tcBorders>
            <w:shd w:val="clear" w:color="000000" w:fill="0077BD"/>
            <w:vAlign w:val="center"/>
            <w:hideMark/>
          </w:tcPr>
          <w:p w14:paraId="34EF5FC1" w14:textId="77777777" w:rsidR="00E60E38" w:rsidRPr="00841A0F" w:rsidRDefault="00E60E38" w:rsidP="00217B9E">
            <w:pPr>
              <w:jc w:val="center"/>
              <w:rPr>
                <w:rFonts w:cs="Calibri"/>
                <w:b/>
                <w:bCs/>
                <w:color w:val="FFFFFF"/>
                <w:sz w:val="12"/>
                <w:szCs w:val="12"/>
              </w:rPr>
            </w:pPr>
            <w:r w:rsidRPr="00841A0F">
              <w:rPr>
                <w:rFonts w:cs="Calibri"/>
                <w:b/>
                <w:bCs/>
                <w:color w:val="FFFFFF"/>
                <w:sz w:val="12"/>
                <w:szCs w:val="12"/>
              </w:rPr>
              <w:t>Skorygowany stan na początek okresu</w:t>
            </w:r>
          </w:p>
        </w:tc>
        <w:tc>
          <w:tcPr>
            <w:tcW w:w="964" w:type="dxa"/>
            <w:tcBorders>
              <w:top w:val="nil"/>
              <w:left w:val="nil"/>
              <w:bottom w:val="nil"/>
              <w:right w:val="single" w:sz="8" w:space="0" w:color="FFFFFF"/>
            </w:tcBorders>
            <w:shd w:val="clear" w:color="000000" w:fill="0077BD"/>
            <w:vAlign w:val="center"/>
            <w:hideMark/>
          </w:tcPr>
          <w:p w14:paraId="5E393745" w14:textId="77777777" w:rsidR="00E60E38" w:rsidRPr="00841A0F" w:rsidRDefault="00E60E38" w:rsidP="00217B9E">
            <w:pPr>
              <w:jc w:val="center"/>
              <w:rPr>
                <w:rFonts w:cs="Calibri"/>
                <w:b/>
                <w:bCs/>
                <w:color w:val="FFFFFF"/>
                <w:sz w:val="12"/>
                <w:szCs w:val="12"/>
              </w:rPr>
            </w:pPr>
            <w:r w:rsidRPr="00841A0F">
              <w:rPr>
                <w:rFonts w:cs="Calibri"/>
                <w:b/>
                <w:bCs/>
                <w:color w:val="FFFFFF"/>
                <w:sz w:val="12"/>
                <w:szCs w:val="12"/>
              </w:rPr>
              <w:t>Przez rachunek zysków i strat</w:t>
            </w:r>
          </w:p>
        </w:tc>
        <w:tc>
          <w:tcPr>
            <w:tcW w:w="964" w:type="dxa"/>
            <w:tcBorders>
              <w:top w:val="nil"/>
              <w:left w:val="nil"/>
              <w:bottom w:val="nil"/>
              <w:right w:val="single" w:sz="8" w:space="0" w:color="FFFFFF"/>
            </w:tcBorders>
            <w:shd w:val="clear" w:color="000000" w:fill="0077BD"/>
            <w:vAlign w:val="center"/>
            <w:hideMark/>
          </w:tcPr>
          <w:p w14:paraId="540A28D5" w14:textId="77777777" w:rsidR="00E60E38" w:rsidRPr="00841A0F" w:rsidRDefault="00E60E38" w:rsidP="00217B9E">
            <w:pPr>
              <w:jc w:val="center"/>
              <w:rPr>
                <w:rFonts w:cs="Calibri"/>
                <w:b/>
                <w:bCs/>
                <w:color w:val="FFFFFF"/>
                <w:sz w:val="12"/>
                <w:szCs w:val="12"/>
              </w:rPr>
            </w:pPr>
            <w:r w:rsidRPr="00841A0F">
              <w:rPr>
                <w:rFonts w:cs="Calibri"/>
                <w:b/>
                <w:bCs/>
                <w:color w:val="FFFFFF"/>
                <w:sz w:val="12"/>
                <w:szCs w:val="12"/>
              </w:rPr>
              <w:t>Przez pozostałe całkowite dochody</w:t>
            </w:r>
          </w:p>
        </w:tc>
        <w:tc>
          <w:tcPr>
            <w:tcW w:w="964" w:type="dxa"/>
            <w:tcBorders>
              <w:top w:val="nil"/>
              <w:left w:val="nil"/>
              <w:bottom w:val="nil"/>
              <w:right w:val="single" w:sz="8" w:space="0" w:color="FFFFFF"/>
            </w:tcBorders>
            <w:shd w:val="clear" w:color="000000" w:fill="0077BD"/>
            <w:vAlign w:val="center"/>
            <w:hideMark/>
          </w:tcPr>
          <w:p w14:paraId="24CD5A42" w14:textId="77777777" w:rsidR="00E60E38" w:rsidRPr="00841A0F" w:rsidRDefault="00E60E38" w:rsidP="00217B9E">
            <w:pPr>
              <w:jc w:val="center"/>
              <w:rPr>
                <w:rFonts w:cs="Calibri"/>
                <w:b/>
                <w:bCs/>
                <w:color w:val="FFFFFF"/>
                <w:sz w:val="12"/>
                <w:szCs w:val="12"/>
              </w:rPr>
            </w:pPr>
            <w:r w:rsidRPr="00841A0F">
              <w:rPr>
                <w:rFonts w:cs="Calibri"/>
                <w:b/>
                <w:bCs/>
                <w:color w:val="FFFFFF"/>
                <w:sz w:val="12"/>
                <w:szCs w:val="12"/>
              </w:rPr>
              <w:t>Pozostałe zmiany</w:t>
            </w:r>
          </w:p>
        </w:tc>
        <w:tc>
          <w:tcPr>
            <w:tcW w:w="964" w:type="dxa"/>
            <w:tcBorders>
              <w:top w:val="nil"/>
              <w:left w:val="nil"/>
              <w:bottom w:val="nil"/>
              <w:right w:val="nil"/>
            </w:tcBorders>
            <w:shd w:val="clear" w:color="000000" w:fill="0077BD"/>
            <w:vAlign w:val="center"/>
            <w:hideMark/>
          </w:tcPr>
          <w:p w14:paraId="750C5883" w14:textId="0E3811DA" w:rsidR="00E60E38" w:rsidRPr="00841A0F" w:rsidRDefault="00E60E38" w:rsidP="00E60E38">
            <w:pPr>
              <w:jc w:val="center"/>
              <w:rPr>
                <w:rFonts w:cs="Calibri"/>
                <w:b/>
                <w:bCs/>
                <w:color w:val="FFFFFF"/>
                <w:sz w:val="12"/>
                <w:szCs w:val="12"/>
              </w:rPr>
            </w:pPr>
            <w:r w:rsidRPr="00841A0F">
              <w:rPr>
                <w:rFonts w:cs="Calibri"/>
                <w:b/>
                <w:bCs/>
                <w:color w:val="FFFFFF"/>
                <w:sz w:val="12"/>
                <w:szCs w:val="12"/>
              </w:rPr>
              <w:t>Stan na 31.12.201</w:t>
            </w:r>
            <w:r w:rsidR="00104455">
              <w:rPr>
                <w:rFonts w:cs="Calibri"/>
                <w:b/>
                <w:bCs/>
                <w:color w:val="FFFFFF"/>
                <w:sz w:val="12"/>
                <w:szCs w:val="12"/>
              </w:rPr>
              <w:t>8</w:t>
            </w:r>
          </w:p>
        </w:tc>
      </w:tr>
      <w:tr w:rsidR="00104455" w:rsidRPr="00BB7C9E" w14:paraId="3718BC87" w14:textId="77777777" w:rsidTr="00217B9E">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758A010C" w14:textId="77777777" w:rsidR="00104455" w:rsidRPr="00312186" w:rsidRDefault="00104455" w:rsidP="00104455">
            <w:pPr>
              <w:rPr>
                <w:rFonts w:cs="Calibri"/>
                <w:color w:val="000000" w:themeColor="text1"/>
                <w:sz w:val="12"/>
                <w:szCs w:val="12"/>
              </w:rPr>
            </w:pPr>
            <w:r w:rsidRPr="00312186">
              <w:rPr>
                <w:rFonts w:cs="Calibri"/>
                <w:color w:val="000000" w:themeColor="text1"/>
                <w:sz w:val="12"/>
                <w:szCs w:val="12"/>
              </w:rPr>
              <w:t>Odsetki naliczone</w:t>
            </w:r>
          </w:p>
        </w:tc>
        <w:tc>
          <w:tcPr>
            <w:tcW w:w="964" w:type="dxa"/>
            <w:tcBorders>
              <w:top w:val="single" w:sz="4" w:space="0" w:color="0077BD"/>
              <w:left w:val="single" w:sz="8" w:space="0" w:color="0077BD"/>
              <w:bottom w:val="single" w:sz="4" w:space="0" w:color="0077BD"/>
              <w:right w:val="single" w:sz="8" w:space="0" w:color="0077BD"/>
            </w:tcBorders>
            <w:shd w:val="clear" w:color="auto" w:fill="auto"/>
            <w:vAlign w:val="center"/>
          </w:tcPr>
          <w:p w14:paraId="4A572391" w14:textId="158CBC5B"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114 653</w:t>
            </w:r>
          </w:p>
        </w:tc>
        <w:tc>
          <w:tcPr>
            <w:tcW w:w="964" w:type="dxa"/>
            <w:tcBorders>
              <w:top w:val="single" w:sz="4" w:space="0" w:color="0077BD"/>
              <w:left w:val="nil"/>
              <w:bottom w:val="single" w:sz="4" w:space="0" w:color="0077BD"/>
              <w:right w:val="single" w:sz="8" w:space="0" w:color="0077BD"/>
            </w:tcBorders>
            <w:shd w:val="clear" w:color="auto" w:fill="auto"/>
            <w:vAlign w:val="center"/>
          </w:tcPr>
          <w:p w14:paraId="0BFC5569" w14:textId="5322BAE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single" w:sz="4" w:space="0" w:color="0077BD"/>
              <w:left w:val="nil"/>
              <w:bottom w:val="single" w:sz="4" w:space="0" w:color="0077BD"/>
              <w:right w:val="single" w:sz="8" w:space="0" w:color="0077BD"/>
            </w:tcBorders>
            <w:shd w:val="clear" w:color="auto" w:fill="auto"/>
            <w:vAlign w:val="center"/>
          </w:tcPr>
          <w:p w14:paraId="6A65478D" w14:textId="76686968"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114 653</w:t>
            </w:r>
          </w:p>
        </w:tc>
        <w:tc>
          <w:tcPr>
            <w:tcW w:w="964" w:type="dxa"/>
            <w:tcBorders>
              <w:top w:val="single" w:sz="4" w:space="0" w:color="0077BD"/>
              <w:left w:val="nil"/>
              <w:bottom w:val="single" w:sz="4" w:space="0" w:color="0077BD"/>
              <w:right w:val="single" w:sz="8" w:space="0" w:color="0077BD"/>
            </w:tcBorders>
            <w:shd w:val="clear" w:color="auto" w:fill="auto"/>
            <w:vAlign w:val="center"/>
          </w:tcPr>
          <w:p w14:paraId="4A76E515" w14:textId="1EA0BDE8"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22 433</w:t>
            </w:r>
          </w:p>
        </w:tc>
        <w:tc>
          <w:tcPr>
            <w:tcW w:w="964" w:type="dxa"/>
            <w:tcBorders>
              <w:top w:val="single" w:sz="4" w:space="0" w:color="0077BD"/>
              <w:left w:val="nil"/>
              <w:bottom w:val="single" w:sz="4" w:space="0" w:color="0077BD"/>
              <w:right w:val="single" w:sz="8" w:space="0" w:color="0077BD"/>
            </w:tcBorders>
            <w:shd w:val="clear" w:color="auto" w:fill="auto"/>
            <w:vAlign w:val="center"/>
          </w:tcPr>
          <w:p w14:paraId="4E3F2FF1" w14:textId="17A2425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single" w:sz="4" w:space="0" w:color="0077BD"/>
              <w:left w:val="nil"/>
              <w:bottom w:val="single" w:sz="4" w:space="0" w:color="0077BD"/>
              <w:right w:val="single" w:sz="8" w:space="0" w:color="0077BD"/>
            </w:tcBorders>
            <w:shd w:val="clear" w:color="auto" w:fill="auto"/>
            <w:vAlign w:val="center"/>
          </w:tcPr>
          <w:p w14:paraId="691F1E2B" w14:textId="46D74A3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single" w:sz="4" w:space="0" w:color="0077BD"/>
              <w:left w:val="nil"/>
              <w:bottom w:val="single" w:sz="4" w:space="0" w:color="0077BD"/>
              <w:right w:val="nil"/>
            </w:tcBorders>
            <w:shd w:val="clear" w:color="auto" w:fill="auto"/>
            <w:vAlign w:val="center"/>
          </w:tcPr>
          <w:p w14:paraId="69D54DDB" w14:textId="4C46CE3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137 086</w:t>
            </w:r>
          </w:p>
        </w:tc>
      </w:tr>
      <w:tr w:rsidR="00104455" w:rsidRPr="00BB7C9E" w14:paraId="641C5BA3" w14:textId="77777777" w:rsidTr="00217B9E">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4B054515" w14:textId="77777777" w:rsidR="00104455" w:rsidRPr="00312186" w:rsidRDefault="00104455" w:rsidP="00104455">
            <w:pPr>
              <w:rPr>
                <w:rFonts w:cs="Calibri"/>
                <w:color w:val="000000" w:themeColor="text1"/>
                <w:sz w:val="12"/>
                <w:szCs w:val="12"/>
              </w:rPr>
            </w:pPr>
            <w:r w:rsidRPr="00312186">
              <w:rPr>
                <w:rFonts w:cs="Calibri"/>
                <w:color w:val="000000" w:themeColor="text1"/>
                <w:sz w:val="12"/>
                <w:szCs w:val="12"/>
              </w:rPr>
              <w:t>Wycena pochodnych instrumentów finansowych</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24381FC1" w14:textId="5361CA3A"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2 639</w:t>
            </w:r>
          </w:p>
        </w:tc>
        <w:tc>
          <w:tcPr>
            <w:tcW w:w="964" w:type="dxa"/>
            <w:tcBorders>
              <w:top w:val="nil"/>
              <w:left w:val="nil"/>
              <w:bottom w:val="single" w:sz="4" w:space="0" w:color="0077BD"/>
              <w:right w:val="single" w:sz="8" w:space="0" w:color="0077BD"/>
            </w:tcBorders>
            <w:shd w:val="clear" w:color="auto" w:fill="auto"/>
            <w:vAlign w:val="center"/>
          </w:tcPr>
          <w:p w14:paraId="182702E3" w14:textId="6998006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2BA674CA" w14:textId="0753D6B2"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2 639</w:t>
            </w:r>
          </w:p>
        </w:tc>
        <w:tc>
          <w:tcPr>
            <w:tcW w:w="964" w:type="dxa"/>
            <w:tcBorders>
              <w:top w:val="nil"/>
              <w:left w:val="nil"/>
              <w:bottom w:val="single" w:sz="4" w:space="0" w:color="0077BD"/>
              <w:right w:val="single" w:sz="8" w:space="0" w:color="0077BD"/>
            </w:tcBorders>
            <w:shd w:val="clear" w:color="auto" w:fill="auto"/>
            <w:vAlign w:val="center"/>
          </w:tcPr>
          <w:p w14:paraId="2BDB374F" w14:textId="3660206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(1 365)</w:t>
            </w:r>
          </w:p>
        </w:tc>
        <w:tc>
          <w:tcPr>
            <w:tcW w:w="964" w:type="dxa"/>
            <w:tcBorders>
              <w:top w:val="nil"/>
              <w:left w:val="nil"/>
              <w:bottom w:val="single" w:sz="4" w:space="0" w:color="0077BD"/>
              <w:right w:val="single" w:sz="8" w:space="0" w:color="0077BD"/>
            </w:tcBorders>
            <w:shd w:val="clear" w:color="auto" w:fill="auto"/>
            <w:vAlign w:val="center"/>
          </w:tcPr>
          <w:p w14:paraId="13E5A7F2" w14:textId="20C758D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6C68A503" w14:textId="1AA933DD"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058F437A" w14:textId="68375862"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1 274</w:t>
            </w:r>
          </w:p>
        </w:tc>
      </w:tr>
      <w:tr w:rsidR="00104455" w:rsidRPr="00BB7C9E" w14:paraId="2A192BE9" w14:textId="77777777" w:rsidTr="00217B9E">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tcPr>
          <w:p w14:paraId="292E4AC6" w14:textId="7B0B2A4C" w:rsidR="00104455" w:rsidRPr="00312186" w:rsidRDefault="00104455" w:rsidP="00104455">
            <w:pPr>
              <w:rPr>
                <w:rFonts w:cs="Calibri"/>
                <w:color w:val="000000" w:themeColor="text1"/>
                <w:sz w:val="12"/>
                <w:szCs w:val="12"/>
              </w:rPr>
            </w:pPr>
            <w:r w:rsidRPr="00312186">
              <w:rPr>
                <w:rFonts w:cs="Calibri"/>
                <w:color w:val="000000" w:themeColor="text1"/>
                <w:sz w:val="12"/>
                <w:szCs w:val="12"/>
              </w:rPr>
              <w:t>Wycena papierów wartościowych</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6FF76452" w14:textId="2E46A32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32 282</w:t>
            </w:r>
          </w:p>
        </w:tc>
        <w:tc>
          <w:tcPr>
            <w:tcW w:w="964" w:type="dxa"/>
            <w:tcBorders>
              <w:top w:val="nil"/>
              <w:left w:val="nil"/>
              <w:bottom w:val="single" w:sz="4" w:space="0" w:color="0077BD"/>
              <w:right w:val="single" w:sz="8" w:space="0" w:color="0077BD"/>
            </w:tcBorders>
            <w:shd w:val="clear" w:color="auto" w:fill="auto"/>
            <w:vAlign w:val="center"/>
          </w:tcPr>
          <w:p w14:paraId="00D08831" w14:textId="66EE238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5B057094" w14:textId="58D5BE65"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32 282</w:t>
            </w:r>
          </w:p>
        </w:tc>
        <w:tc>
          <w:tcPr>
            <w:tcW w:w="964" w:type="dxa"/>
            <w:tcBorders>
              <w:top w:val="nil"/>
              <w:left w:val="nil"/>
              <w:bottom w:val="single" w:sz="4" w:space="0" w:color="0077BD"/>
              <w:right w:val="single" w:sz="8" w:space="0" w:color="0077BD"/>
            </w:tcBorders>
            <w:shd w:val="clear" w:color="auto" w:fill="auto"/>
            <w:vAlign w:val="center"/>
          </w:tcPr>
          <w:p w14:paraId="7ABCC11E" w14:textId="1AF6060E"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6 324</w:t>
            </w:r>
          </w:p>
        </w:tc>
        <w:tc>
          <w:tcPr>
            <w:tcW w:w="964" w:type="dxa"/>
            <w:tcBorders>
              <w:top w:val="nil"/>
              <w:left w:val="nil"/>
              <w:bottom w:val="single" w:sz="4" w:space="0" w:color="0077BD"/>
              <w:right w:val="single" w:sz="8" w:space="0" w:color="0077BD"/>
            </w:tcBorders>
            <w:shd w:val="clear" w:color="auto" w:fill="auto"/>
            <w:vAlign w:val="center"/>
          </w:tcPr>
          <w:p w14:paraId="3649A205" w14:textId="6B5306F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239</w:t>
            </w:r>
          </w:p>
        </w:tc>
        <w:tc>
          <w:tcPr>
            <w:tcW w:w="964" w:type="dxa"/>
            <w:tcBorders>
              <w:top w:val="nil"/>
              <w:left w:val="nil"/>
              <w:bottom w:val="single" w:sz="4" w:space="0" w:color="0077BD"/>
              <w:right w:val="single" w:sz="8" w:space="0" w:color="0077BD"/>
            </w:tcBorders>
            <w:shd w:val="clear" w:color="auto" w:fill="auto"/>
            <w:vAlign w:val="center"/>
          </w:tcPr>
          <w:p w14:paraId="41D9790D" w14:textId="6B40628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4F05BC64" w14:textId="201041CA"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38 845</w:t>
            </w:r>
          </w:p>
        </w:tc>
      </w:tr>
      <w:tr w:rsidR="00104455" w:rsidRPr="00BB7C9E" w14:paraId="0964617B" w14:textId="77777777" w:rsidTr="00217B9E">
        <w:trPr>
          <w:trHeight w:val="340"/>
        </w:trPr>
        <w:tc>
          <w:tcPr>
            <w:tcW w:w="0" w:type="auto"/>
            <w:tcBorders>
              <w:top w:val="nil"/>
              <w:left w:val="nil"/>
              <w:bottom w:val="single" w:sz="4" w:space="0" w:color="0077BD"/>
              <w:right w:val="single" w:sz="8" w:space="0" w:color="0077BD"/>
            </w:tcBorders>
            <w:shd w:val="clear" w:color="auto" w:fill="auto"/>
            <w:vAlign w:val="center"/>
          </w:tcPr>
          <w:p w14:paraId="22B64C7C" w14:textId="76629C25" w:rsidR="00104455" w:rsidRPr="00312186" w:rsidRDefault="00104455" w:rsidP="00104455">
            <w:pPr>
              <w:rPr>
                <w:rFonts w:cs="Calibri"/>
                <w:color w:val="000000" w:themeColor="text1"/>
                <w:sz w:val="12"/>
                <w:szCs w:val="12"/>
              </w:rPr>
            </w:pPr>
            <w:r w:rsidRPr="00312186">
              <w:rPr>
                <w:rFonts w:cs="Calibri"/>
                <w:color w:val="000000" w:themeColor="text1"/>
                <w:sz w:val="12"/>
                <w:szCs w:val="12"/>
              </w:rPr>
              <w:t>Rezerwy na utratę wartości kredytów i pożyczek</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46A0E56C" w14:textId="2AB8A22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279 631</w:t>
            </w:r>
          </w:p>
        </w:tc>
        <w:tc>
          <w:tcPr>
            <w:tcW w:w="964" w:type="dxa"/>
            <w:tcBorders>
              <w:top w:val="nil"/>
              <w:left w:val="nil"/>
              <w:bottom w:val="single" w:sz="4" w:space="0" w:color="0077BD"/>
              <w:right w:val="single" w:sz="8" w:space="0" w:color="0077BD"/>
            </w:tcBorders>
            <w:shd w:val="clear" w:color="auto" w:fill="auto"/>
            <w:vAlign w:val="center"/>
          </w:tcPr>
          <w:p w14:paraId="258E38CD" w14:textId="0831556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109 632</w:t>
            </w:r>
          </w:p>
        </w:tc>
        <w:tc>
          <w:tcPr>
            <w:tcW w:w="970" w:type="dxa"/>
            <w:tcBorders>
              <w:top w:val="nil"/>
              <w:left w:val="nil"/>
              <w:bottom w:val="single" w:sz="4" w:space="0" w:color="0077BD"/>
              <w:right w:val="single" w:sz="8" w:space="0" w:color="0077BD"/>
            </w:tcBorders>
            <w:shd w:val="clear" w:color="auto" w:fill="auto"/>
            <w:vAlign w:val="center"/>
          </w:tcPr>
          <w:p w14:paraId="5C25DEC5" w14:textId="67A578AD"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389 263</w:t>
            </w:r>
          </w:p>
        </w:tc>
        <w:tc>
          <w:tcPr>
            <w:tcW w:w="964" w:type="dxa"/>
            <w:tcBorders>
              <w:top w:val="nil"/>
              <w:left w:val="nil"/>
              <w:bottom w:val="single" w:sz="4" w:space="0" w:color="0077BD"/>
              <w:right w:val="single" w:sz="8" w:space="0" w:color="0077BD"/>
            </w:tcBorders>
            <w:shd w:val="clear" w:color="auto" w:fill="auto"/>
            <w:vAlign w:val="center"/>
          </w:tcPr>
          <w:p w14:paraId="33E024A7" w14:textId="52136A2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82 352</w:t>
            </w:r>
          </w:p>
        </w:tc>
        <w:tc>
          <w:tcPr>
            <w:tcW w:w="964" w:type="dxa"/>
            <w:tcBorders>
              <w:top w:val="nil"/>
              <w:left w:val="nil"/>
              <w:bottom w:val="single" w:sz="4" w:space="0" w:color="0077BD"/>
              <w:right w:val="single" w:sz="8" w:space="0" w:color="0077BD"/>
            </w:tcBorders>
            <w:shd w:val="clear" w:color="auto" w:fill="auto"/>
            <w:vAlign w:val="center"/>
          </w:tcPr>
          <w:p w14:paraId="38EAE286" w14:textId="4DDC23D2"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26010FF0" w14:textId="11571E56"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11CD3B30" w14:textId="5633840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471 615</w:t>
            </w:r>
          </w:p>
        </w:tc>
      </w:tr>
      <w:tr w:rsidR="00104455" w:rsidRPr="00BB7C9E" w14:paraId="2FF99BC3" w14:textId="77777777" w:rsidTr="00217B9E">
        <w:trPr>
          <w:trHeight w:val="284"/>
        </w:trPr>
        <w:tc>
          <w:tcPr>
            <w:tcW w:w="0" w:type="auto"/>
            <w:tcBorders>
              <w:top w:val="nil"/>
              <w:left w:val="nil"/>
              <w:bottom w:val="single" w:sz="4" w:space="0" w:color="0077BD"/>
              <w:right w:val="single" w:sz="8" w:space="0" w:color="0077BD"/>
            </w:tcBorders>
            <w:shd w:val="clear" w:color="auto" w:fill="auto"/>
            <w:vAlign w:val="center"/>
          </w:tcPr>
          <w:p w14:paraId="678DFAA0" w14:textId="400D1F11" w:rsidR="00104455" w:rsidRPr="00312186" w:rsidRDefault="00104455" w:rsidP="00104455">
            <w:pPr>
              <w:rPr>
                <w:rFonts w:cs="Calibri"/>
                <w:color w:val="000000" w:themeColor="text1"/>
                <w:sz w:val="12"/>
                <w:szCs w:val="12"/>
              </w:rPr>
            </w:pPr>
            <w:r w:rsidRPr="00312186">
              <w:rPr>
                <w:rFonts w:cs="Calibri"/>
                <w:color w:val="000000" w:themeColor="text1"/>
                <w:sz w:val="12"/>
                <w:szCs w:val="12"/>
              </w:rPr>
              <w:t>Rezerwy na świadczenia pracownicze</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4CD4AC7B" w14:textId="115E23D8"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39 221</w:t>
            </w:r>
          </w:p>
        </w:tc>
        <w:tc>
          <w:tcPr>
            <w:tcW w:w="964" w:type="dxa"/>
            <w:tcBorders>
              <w:top w:val="nil"/>
              <w:left w:val="nil"/>
              <w:bottom w:val="single" w:sz="4" w:space="0" w:color="0077BD"/>
              <w:right w:val="single" w:sz="8" w:space="0" w:color="0077BD"/>
            </w:tcBorders>
            <w:shd w:val="clear" w:color="auto" w:fill="auto"/>
            <w:vAlign w:val="center"/>
          </w:tcPr>
          <w:p w14:paraId="15E9DB27" w14:textId="6391DAA0"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4789334C" w14:textId="6D7D1F10"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39 221</w:t>
            </w:r>
          </w:p>
        </w:tc>
        <w:tc>
          <w:tcPr>
            <w:tcW w:w="964" w:type="dxa"/>
            <w:tcBorders>
              <w:top w:val="nil"/>
              <w:left w:val="nil"/>
              <w:bottom w:val="single" w:sz="4" w:space="0" w:color="0077BD"/>
              <w:right w:val="single" w:sz="8" w:space="0" w:color="0077BD"/>
            </w:tcBorders>
            <w:shd w:val="clear" w:color="auto" w:fill="auto"/>
            <w:vAlign w:val="center"/>
          </w:tcPr>
          <w:p w14:paraId="7581B310" w14:textId="741D9B1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3 842</w:t>
            </w:r>
          </w:p>
        </w:tc>
        <w:tc>
          <w:tcPr>
            <w:tcW w:w="964" w:type="dxa"/>
            <w:tcBorders>
              <w:top w:val="nil"/>
              <w:left w:val="nil"/>
              <w:bottom w:val="single" w:sz="4" w:space="0" w:color="0077BD"/>
              <w:right w:val="single" w:sz="8" w:space="0" w:color="0077BD"/>
            </w:tcBorders>
            <w:shd w:val="clear" w:color="auto" w:fill="auto"/>
            <w:vAlign w:val="center"/>
          </w:tcPr>
          <w:p w14:paraId="0BBF5F75" w14:textId="2ED32842"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599</w:t>
            </w:r>
          </w:p>
        </w:tc>
        <w:tc>
          <w:tcPr>
            <w:tcW w:w="964" w:type="dxa"/>
            <w:tcBorders>
              <w:top w:val="nil"/>
              <w:left w:val="nil"/>
              <w:bottom w:val="single" w:sz="4" w:space="0" w:color="0077BD"/>
              <w:right w:val="single" w:sz="8" w:space="0" w:color="0077BD"/>
            </w:tcBorders>
            <w:shd w:val="clear" w:color="auto" w:fill="auto"/>
            <w:vAlign w:val="center"/>
          </w:tcPr>
          <w:p w14:paraId="47BDBBAF" w14:textId="75BC254B"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54D5FA8B" w14:textId="4DEFACB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43 662</w:t>
            </w:r>
          </w:p>
        </w:tc>
      </w:tr>
      <w:tr w:rsidR="00104455" w:rsidRPr="00BB7C9E" w14:paraId="13739334" w14:textId="77777777" w:rsidTr="00217B9E">
        <w:trPr>
          <w:trHeight w:val="284"/>
        </w:trPr>
        <w:tc>
          <w:tcPr>
            <w:tcW w:w="0" w:type="auto"/>
            <w:tcBorders>
              <w:top w:val="nil"/>
              <w:left w:val="nil"/>
              <w:bottom w:val="single" w:sz="4" w:space="0" w:color="0077BD"/>
              <w:right w:val="single" w:sz="8" w:space="0" w:color="0077BD"/>
            </w:tcBorders>
            <w:shd w:val="clear" w:color="auto" w:fill="auto"/>
            <w:vAlign w:val="center"/>
          </w:tcPr>
          <w:p w14:paraId="6AFC5245" w14:textId="526DB11B" w:rsidR="00104455" w:rsidRPr="00312186" w:rsidRDefault="00104455" w:rsidP="00104455">
            <w:pPr>
              <w:rPr>
                <w:rFonts w:cs="Calibri"/>
                <w:color w:val="000000" w:themeColor="text1"/>
                <w:sz w:val="12"/>
                <w:szCs w:val="12"/>
              </w:rPr>
            </w:pPr>
            <w:r w:rsidRPr="00312186">
              <w:rPr>
                <w:rFonts w:cs="Calibri"/>
                <w:color w:val="000000" w:themeColor="text1"/>
                <w:sz w:val="12"/>
                <w:szCs w:val="12"/>
              </w:rPr>
              <w:t>Pozostałe rezerwy</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6CED0FCF" w14:textId="7EC2266C"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33 164</w:t>
            </w:r>
          </w:p>
        </w:tc>
        <w:tc>
          <w:tcPr>
            <w:tcW w:w="964" w:type="dxa"/>
            <w:tcBorders>
              <w:top w:val="nil"/>
              <w:left w:val="nil"/>
              <w:bottom w:val="single" w:sz="4" w:space="0" w:color="0077BD"/>
              <w:right w:val="single" w:sz="8" w:space="0" w:color="0077BD"/>
            </w:tcBorders>
            <w:shd w:val="clear" w:color="auto" w:fill="auto"/>
            <w:vAlign w:val="center"/>
          </w:tcPr>
          <w:p w14:paraId="5D846405" w14:textId="7948E8AE"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3AFDFC58" w14:textId="7D13475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33 164</w:t>
            </w:r>
          </w:p>
        </w:tc>
        <w:tc>
          <w:tcPr>
            <w:tcW w:w="964" w:type="dxa"/>
            <w:tcBorders>
              <w:top w:val="nil"/>
              <w:left w:val="nil"/>
              <w:bottom w:val="single" w:sz="4" w:space="0" w:color="0077BD"/>
              <w:right w:val="single" w:sz="8" w:space="0" w:color="0077BD"/>
            </w:tcBorders>
            <w:shd w:val="clear" w:color="auto" w:fill="auto"/>
            <w:vAlign w:val="center"/>
          </w:tcPr>
          <w:p w14:paraId="3CC67E5B" w14:textId="67A465E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26 839</w:t>
            </w:r>
          </w:p>
        </w:tc>
        <w:tc>
          <w:tcPr>
            <w:tcW w:w="964" w:type="dxa"/>
            <w:tcBorders>
              <w:top w:val="nil"/>
              <w:left w:val="nil"/>
              <w:bottom w:val="single" w:sz="4" w:space="0" w:color="0077BD"/>
              <w:right w:val="single" w:sz="8" w:space="0" w:color="0077BD"/>
            </w:tcBorders>
            <w:shd w:val="clear" w:color="auto" w:fill="auto"/>
            <w:vAlign w:val="center"/>
          </w:tcPr>
          <w:p w14:paraId="25EA405A" w14:textId="28E69A5A"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26B387A0" w14:textId="31BC2817"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5066D12D" w14:textId="1A5AD971"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60 003</w:t>
            </w:r>
          </w:p>
        </w:tc>
      </w:tr>
      <w:tr w:rsidR="00104455" w:rsidRPr="00BB7C9E" w14:paraId="0CFCA846" w14:textId="77777777" w:rsidTr="00217B9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2EF45E86" w14:textId="3766E135" w:rsidR="00104455" w:rsidRPr="00312186" w:rsidRDefault="00104455" w:rsidP="00104455">
            <w:pPr>
              <w:rPr>
                <w:rFonts w:cs="Calibri"/>
                <w:color w:val="000000" w:themeColor="text1"/>
                <w:sz w:val="12"/>
                <w:szCs w:val="12"/>
              </w:rPr>
            </w:pPr>
            <w:r w:rsidRPr="00312186">
              <w:rPr>
                <w:rFonts w:cs="Calibri"/>
                <w:color w:val="000000" w:themeColor="text1"/>
                <w:sz w:val="12"/>
                <w:szCs w:val="12"/>
              </w:rPr>
              <w:t>Rozliczenia międzyokresowe kosztów</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6FDAFA24" w14:textId="2A548AC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32 790</w:t>
            </w:r>
          </w:p>
        </w:tc>
        <w:tc>
          <w:tcPr>
            <w:tcW w:w="964" w:type="dxa"/>
            <w:tcBorders>
              <w:top w:val="nil"/>
              <w:left w:val="nil"/>
              <w:bottom w:val="single" w:sz="4" w:space="0" w:color="0077BD"/>
              <w:right w:val="single" w:sz="8" w:space="0" w:color="0077BD"/>
            </w:tcBorders>
            <w:shd w:val="clear" w:color="auto" w:fill="auto"/>
            <w:vAlign w:val="center"/>
          </w:tcPr>
          <w:p w14:paraId="3EBB3183" w14:textId="085D067B"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2E6740F0" w14:textId="73CE5EC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32 790</w:t>
            </w:r>
          </w:p>
        </w:tc>
        <w:tc>
          <w:tcPr>
            <w:tcW w:w="964" w:type="dxa"/>
            <w:tcBorders>
              <w:top w:val="nil"/>
              <w:left w:val="nil"/>
              <w:bottom w:val="single" w:sz="4" w:space="0" w:color="0077BD"/>
              <w:right w:val="single" w:sz="8" w:space="0" w:color="0077BD"/>
            </w:tcBorders>
            <w:shd w:val="clear" w:color="auto" w:fill="auto"/>
            <w:vAlign w:val="center"/>
          </w:tcPr>
          <w:p w14:paraId="4A330291" w14:textId="4F168D5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35 123</w:t>
            </w:r>
          </w:p>
        </w:tc>
        <w:tc>
          <w:tcPr>
            <w:tcW w:w="964" w:type="dxa"/>
            <w:tcBorders>
              <w:top w:val="nil"/>
              <w:left w:val="nil"/>
              <w:bottom w:val="single" w:sz="4" w:space="0" w:color="0077BD"/>
              <w:right w:val="single" w:sz="8" w:space="0" w:color="0077BD"/>
            </w:tcBorders>
            <w:shd w:val="clear" w:color="auto" w:fill="auto"/>
            <w:vAlign w:val="center"/>
          </w:tcPr>
          <w:p w14:paraId="21F6442D" w14:textId="2F396AD2"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7FA24178" w14:textId="48C3CBD0"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0EB6919B" w14:textId="1A6EB605"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67 913</w:t>
            </w:r>
          </w:p>
        </w:tc>
      </w:tr>
      <w:tr w:rsidR="00104455" w:rsidRPr="00BB7C9E" w14:paraId="364C0665" w14:textId="77777777" w:rsidTr="00217B9E">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53D04B69" w14:textId="5936C2D0" w:rsidR="00104455" w:rsidRPr="00312186" w:rsidRDefault="00104455" w:rsidP="00104455">
            <w:pPr>
              <w:rPr>
                <w:rFonts w:cs="Calibri"/>
                <w:color w:val="000000" w:themeColor="text1"/>
                <w:sz w:val="12"/>
                <w:szCs w:val="12"/>
              </w:rPr>
            </w:pPr>
            <w:r w:rsidRPr="00312186">
              <w:rPr>
                <w:rFonts w:cs="Calibri"/>
                <w:color w:val="000000" w:themeColor="text1"/>
                <w:sz w:val="12"/>
                <w:szCs w:val="12"/>
              </w:rPr>
              <w:t>Straty podatkowe pozostałe do rozliczenia w następnych okresach</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78E9EE02" w14:textId="24498DEC"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78</w:t>
            </w:r>
          </w:p>
        </w:tc>
        <w:tc>
          <w:tcPr>
            <w:tcW w:w="964" w:type="dxa"/>
            <w:tcBorders>
              <w:top w:val="nil"/>
              <w:left w:val="nil"/>
              <w:bottom w:val="single" w:sz="4" w:space="0" w:color="0077BD"/>
              <w:right w:val="single" w:sz="8" w:space="0" w:color="0077BD"/>
            </w:tcBorders>
            <w:shd w:val="clear" w:color="auto" w:fill="auto"/>
            <w:vAlign w:val="center"/>
          </w:tcPr>
          <w:p w14:paraId="415CAE06" w14:textId="34D661BD"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1B8CFA38" w14:textId="1F7062A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78</w:t>
            </w:r>
          </w:p>
        </w:tc>
        <w:tc>
          <w:tcPr>
            <w:tcW w:w="964" w:type="dxa"/>
            <w:tcBorders>
              <w:top w:val="nil"/>
              <w:left w:val="nil"/>
              <w:bottom w:val="single" w:sz="4" w:space="0" w:color="0077BD"/>
              <w:right w:val="single" w:sz="8" w:space="0" w:color="0077BD"/>
            </w:tcBorders>
            <w:shd w:val="clear" w:color="auto" w:fill="auto"/>
            <w:vAlign w:val="center"/>
          </w:tcPr>
          <w:p w14:paraId="0A67E840" w14:textId="358690F1"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(78)</w:t>
            </w:r>
          </w:p>
        </w:tc>
        <w:tc>
          <w:tcPr>
            <w:tcW w:w="964" w:type="dxa"/>
            <w:tcBorders>
              <w:top w:val="nil"/>
              <w:left w:val="nil"/>
              <w:bottom w:val="single" w:sz="4" w:space="0" w:color="0077BD"/>
              <w:right w:val="single" w:sz="8" w:space="0" w:color="0077BD"/>
            </w:tcBorders>
            <w:shd w:val="clear" w:color="auto" w:fill="auto"/>
            <w:vAlign w:val="center"/>
          </w:tcPr>
          <w:p w14:paraId="4F4591AD" w14:textId="06733E5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3AF27D0E" w14:textId="0E2AC8A7"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03B44873" w14:textId="1A60619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r>
      <w:tr w:rsidR="00104455" w:rsidRPr="00BB7C9E" w14:paraId="44737051" w14:textId="77777777" w:rsidTr="00217B9E">
        <w:trPr>
          <w:trHeight w:val="340"/>
        </w:trPr>
        <w:tc>
          <w:tcPr>
            <w:tcW w:w="0" w:type="auto"/>
            <w:tcBorders>
              <w:top w:val="nil"/>
              <w:left w:val="nil"/>
              <w:bottom w:val="single" w:sz="4" w:space="0" w:color="0077BD"/>
              <w:right w:val="single" w:sz="8" w:space="0" w:color="0077BD"/>
            </w:tcBorders>
            <w:shd w:val="clear" w:color="auto" w:fill="auto"/>
            <w:vAlign w:val="center"/>
            <w:hideMark/>
          </w:tcPr>
          <w:p w14:paraId="1D9E2763" w14:textId="3DB0E5C8" w:rsidR="00104455" w:rsidRPr="00312186" w:rsidRDefault="00104455" w:rsidP="00104455">
            <w:pPr>
              <w:rPr>
                <w:rFonts w:cs="Calibri"/>
                <w:color w:val="000000" w:themeColor="text1"/>
                <w:sz w:val="12"/>
                <w:szCs w:val="12"/>
              </w:rPr>
            </w:pPr>
            <w:r w:rsidRPr="00312186">
              <w:rPr>
                <w:rFonts w:cs="Calibri"/>
                <w:color w:val="000000" w:themeColor="text1"/>
                <w:sz w:val="12"/>
                <w:szCs w:val="12"/>
              </w:rPr>
              <w:t>Różnica między wartością bilansową i podatkową leasingu</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5759BA82" w14:textId="7E8DD80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350 124</w:t>
            </w:r>
          </w:p>
        </w:tc>
        <w:tc>
          <w:tcPr>
            <w:tcW w:w="964" w:type="dxa"/>
            <w:tcBorders>
              <w:top w:val="nil"/>
              <w:left w:val="nil"/>
              <w:bottom w:val="single" w:sz="4" w:space="0" w:color="0077BD"/>
              <w:right w:val="single" w:sz="8" w:space="0" w:color="0077BD"/>
            </w:tcBorders>
            <w:shd w:val="clear" w:color="auto" w:fill="auto"/>
            <w:vAlign w:val="center"/>
          </w:tcPr>
          <w:p w14:paraId="2854FA40" w14:textId="22A507B1"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5F1127BD" w14:textId="3024DD0E"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350 124</w:t>
            </w:r>
          </w:p>
        </w:tc>
        <w:tc>
          <w:tcPr>
            <w:tcW w:w="964" w:type="dxa"/>
            <w:tcBorders>
              <w:top w:val="nil"/>
              <w:left w:val="nil"/>
              <w:bottom w:val="single" w:sz="4" w:space="0" w:color="0077BD"/>
              <w:right w:val="single" w:sz="8" w:space="0" w:color="0077BD"/>
            </w:tcBorders>
            <w:shd w:val="clear" w:color="auto" w:fill="auto"/>
            <w:vAlign w:val="center"/>
          </w:tcPr>
          <w:p w14:paraId="302E6A3C" w14:textId="11412E11"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99 534</w:t>
            </w:r>
          </w:p>
        </w:tc>
        <w:tc>
          <w:tcPr>
            <w:tcW w:w="964" w:type="dxa"/>
            <w:tcBorders>
              <w:top w:val="nil"/>
              <w:left w:val="nil"/>
              <w:bottom w:val="single" w:sz="4" w:space="0" w:color="0077BD"/>
              <w:right w:val="single" w:sz="8" w:space="0" w:color="0077BD"/>
            </w:tcBorders>
            <w:shd w:val="clear" w:color="auto" w:fill="auto"/>
            <w:vAlign w:val="center"/>
          </w:tcPr>
          <w:p w14:paraId="7FAE3AD6" w14:textId="0C90FCB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tcPr>
          <w:p w14:paraId="5A14290A" w14:textId="313B0D2F"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tcPr>
          <w:p w14:paraId="527743DE" w14:textId="417599B8"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449 658</w:t>
            </w:r>
          </w:p>
        </w:tc>
      </w:tr>
      <w:tr w:rsidR="00104455" w:rsidRPr="00BB7C9E" w14:paraId="6215F053" w14:textId="77777777" w:rsidTr="00217B9E">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14E524AF" w14:textId="7936AD98" w:rsidR="00104455" w:rsidRPr="00312186" w:rsidRDefault="00104455" w:rsidP="00104455">
            <w:pPr>
              <w:rPr>
                <w:rFonts w:cs="Calibri"/>
                <w:color w:val="000000" w:themeColor="text1"/>
                <w:sz w:val="12"/>
                <w:szCs w:val="12"/>
              </w:rPr>
            </w:pPr>
            <w:r w:rsidRPr="00312186">
              <w:rPr>
                <w:rFonts w:cs="Calibri"/>
                <w:color w:val="000000" w:themeColor="text1"/>
                <w:sz w:val="12"/>
                <w:szCs w:val="12"/>
              </w:rPr>
              <w:t>Pozostałe ujemne różnice przejściowe</w:t>
            </w:r>
          </w:p>
        </w:tc>
        <w:tc>
          <w:tcPr>
            <w:tcW w:w="964" w:type="dxa"/>
            <w:tcBorders>
              <w:top w:val="nil"/>
              <w:left w:val="single" w:sz="8" w:space="0" w:color="0077BD"/>
              <w:bottom w:val="single" w:sz="4" w:space="0" w:color="0077BD"/>
              <w:right w:val="single" w:sz="8" w:space="0" w:color="0077BD"/>
            </w:tcBorders>
            <w:shd w:val="clear" w:color="auto" w:fill="auto"/>
            <w:vAlign w:val="center"/>
          </w:tcPr>
          <w:p w14:paraId="35BD1A87" w14:textId="5796F2EC"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76 096</w:t>
            </w:r>
          </w:p>
        </w:tc>
        <w:tc>
          <w:tcPr>
            <w:tcW w:w="964" w:type="dxa"/>
            <w:tcBorders>
              <w:top w:val="nil"/>
              <w:left w:val="nil"/>
              <w:bottom w:val="single" w:sz="4" w:space="0" w:color="0077BD"/>
              <w:right w:val="single" w:sz="8" w:space="0" w:color="0077BD"/>
            </w:tcBorders>
            <w:shd w:val="clear" w:color="auto" w:fill="auto"/>
            <w:vAlign w:val="center"/>
          </w:tcPr>
          <w:p w14:paraId="32AF756D" w14:textId="54F221B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tcPr>
          <w:p w14:paraId="10389BE9" w14:textId="680495D0"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76 096</w:t>
            </w:r>
          </w:p>
        </w:tc>
        <w:tc>
          <w:tcPr>
            <w:tcW w:w="964" w:type="dxa"/>
            <w:tcBorders>
              <w:top w:val="nil"/>
              <w:left w:val="nil"/>
              <w:bottom w:val="single" w:sz="4" w:space="0" w:color="0077BD"/>
              <w:right w:val="single" w:sz="8" w:space="0" w:color="0077BD"/>
            </w:tcBorders>
            <w:shd w:val="clear" w:color="auto" w:fill="auto"/>
            <w:vAlign w:val="center"/>
          </w:tcPr>
          <w:p w14:paraId="66C1EDCB" w14:textId="12F44414"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(2 637)</w:t>
            </w:r>
          </w:p>
        </w:tc>
        <w:tc>
          <w:tcPr>
            <w:tcW w:w="964" w:type="dxa"/>
            <w:tcBorders>
              <w:top w:val="nil"/>
              <w:left w:val="nil"/>
              <w:bottom w:val="single" w:sz="4" w:space="0" w:color="0077BD"/>
              <w:right w:val="single" w:sz="8" w:space="0" w:color="0077BD"/>
            </w:tcBorders>
            <w:shd w:val="clear" w:color="auto" w:fill="auto"/>
            <w:vAlign w:val="center"/>
          </w:tcPr>
          <w:p w14:paraId="38CC6EC5" w14:textId="3FE45BE1"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134</w:t>
            </w:r>
          </w:p>
        </w:tc>
        <w:tc>
          <w:tcPr>
            <w:tcW w:w="964" w:type="dxa"/>
            <w:tcBorders>
              <w:top w:val="nil"/>
              <w:left w:val="nil"/>
              <w:bottom w:val="single" w:sz="4" w:space="0" w:color="0077BD"/>
              <w:right w:val="single" w:sz="8" w:space="0" w:color="0077BD"/>
            </w:tcBorders>
            <w:shd w:val="clear" w:color="auto" w:fill="auto"/>
            <w:vAlign w:val="center"/>
          </w:tcPr>
          <w:p w14:paraId="15C2563C" w14:textId="36A58B73"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388</w:t>
            </w:r>
          </w:p>
        </w:tc>
        <w:tc>
          <w:tcPr>
            <w:tcW w:w="964" w:type="dxa"/>
            <w:tcBorders>
              <w:top w:val="nil"/>
              <w:left w:val="nil"/>
              <w:bottom w:val="single" w:sz="4" w:space="0" w:color="0077BD"/>
              <w:right w:val="nil"/>
            </w:tcBorders>
            <w:shd w:val="clear" w:color="auto" w:fill="auto"/>
            <w:vAlign w:val="center"/>
          </w:tcPr>
          <w:p w14:paraId="5B72E707" w14:textId="07E383E9" w:rsidR="00104455" w:rsidRPr="00312186" w:rsidRDefault="00104455" w:rsidP="00104455">
            <w:pPr>
              <w:jc w:val="right"/>
              <w:rPr>
                <w:rFonts w:cs="Calibri"/>
                <w:color w:val="000000" w:themeColor="text1"/>
                <w:sz w:val="12"/>
                <w:szCs w:val="12"/>
              </w:rPr>
            </w:pPr>
            <w:r w:rsidRPr="00312186">
              <w:rPr>
                <w:rFonts w:cs="Calibri"/>
                <w:color w:val="000000" w:themeColor="text1"/>
                <w:sz w:val="12"/>
                <w:szCs w:val="12"/>
              </w:rPr>
              <w:t>73 981</w:t>
            </w:r>
          </w:p>
        </w:tc>
      </w:tr>
      <w:tr w:rsidR="00104455" w:rsidRPr="00BB7C9E" w14:paraId="79F66516" w14:textId="77777777" w:rsidTr="00217B9E">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7EB198DC" w14:textId="77777777" w:rsidR="00104455" w:rsidRPr="00312186" w:rsidRDefault="00104455" w:rsidP="00104455">
            <w:pPr>
              <w:rPr>
                <w:rFonts w:cs="Calibri"/>
                <w:b/>
                <w:bCs/>
                <w:color w:val="000000" w:themeColor="text1"/>
                <w:sz w:val="12"/>
                <w:szCs w:val="12"/>
              </w:rPr>
            </w:pPr>
            <w:r w:rsidRPr="00312186">
              <w:rPr>
                <w:rFonts w:cs="Calibri"/>
                <w:b/>
                <w:bCs/>
                <w:color w:val="000000" w:themeColor="text1"/>
                <w:sz w:val="12"/>
                <w:szCs w:val="12"/>
              </w:rPr>
              <w:t>Razem</w:t>
            </w:r>
          </w:p>
        </w:tc>
        <w:tc>
          <w:tcPr>
            <w:tcW w:w="964" w:type="dxa"/>
            <w:tcBorders>
              <w:top w:val="single" w:sz="8" w:space="0" w:color="0077BD"/>
              <w:left w:val="single" w:sz="8" w:space="0" w:color="0077BD"/>
              <w:bottom w:val="single" w:sz="8" w:space="0" w:color="0077BD"/>
              <w:right w:val="single" w:sz="8" w:space="0" w:color="0077BD"/>
            </w:tcBorders>
            <w:shd w:val="clear" w:color="auto" w:fill="auto"/>
            <w:vAlign w:val="center"/>
          </w:tcPr>
          <w:p w14:paraId="7E4221A9" w14:textId="3E483FE9"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960 678</w:t>
            </w:r>
          </w:p>
        </w:tc>
        <w:tc>
          <w:tcPr>
            <w:tcW w:w="964" w:type="dxa"/>
            <w:tcBorders>
              <w:top w:val="single" w:sz="8" w:space="0" w:color="0077BD"/>
              <w:left w:val="nil"/>
              <w:bottom w:val="single" w:sz="8" w:space="0" w:color="0077BD"/>
              <w:right w:val="single" w:sz="8" w:space="0" w:color="0077BD"/>
            </w:tcBorders>
            <w:shd w:val="clear" w:color="auto" w:fill="auto"/>
            <w:vAlign w:val="center"/>
          </w:tcPr>
          <w:p w14:paraId="4A124668" w14:textId="74C8A54F"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109 632</w:t>
            </w:r>
          </w:p>
        </w:tc>
        <w:tc>
          <w:tcPr>
            <w:tcW w:w="970" w:type="dxa"/>
            <w:tcBorders>
              <w:top w:val="single" w:sz="8" w:space="0" w:color="0077BD"/>
              <w:left w:val="nil"/>
              <w:bottom w:val="single" w:sz="8" w:space="0" w:color="0077BD"/>
              <w:right w:val="single" w:sz="8" w:space="0" w:color="0077BD"/>
            </w:tcBorders>
            <w:shd w:val="clear" w:color="auto" w:fill="auto"/>
            <w:vAlign w:val="center"/>
          </w:tcPr>
          <w:p w14:paraId="3A23E0EB" w14:textId="507AB578"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1 070 310</w:t>
            </w:r>
          </w:p>
        </w:tc>
        <w:tc>
          <w:tcPr>
            <w:tcW w:w="964" w:type="dxa"/>
            <w:tcBorders>
              <w:top w:val="single" w:sz="8" w:space="0" w:color="0077BD"/>
              <w:left w:val="nil"/>
              <w:bottom w:val="single" w:sz="8" w:space="0" w:color="0077BD"/>
              <w:right w:val="single" w:sz="8" w:space="0" w:color="0077BD"/>
            </w:tcBorders>
            <w:shd w:val="clear" w:color="auto" w:fill="auto"/>
            <w:vAlign w:val="center"/>
          </w:tcPr>
          <w:p w14:paraId="0D7868BF" w14:textId="0E909A7B"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272 367</w:t>
            </w:r>
          </w:p>
        </w:tc>
        <w:tc>
          <w:tcPr>
            <w:tcW w:w="964" w:type="dxa"/>
            <w:tcBorders>
              <w:top w:val="single" w:sz="8" w:space="0" w:color="0077BD"/>
              <w:left w:val="nil"/>
              <w:bottom w:val="single" w:sz="8" w:space="0" w:color="0077BD"/>
              <w:right w:val="single" w:sz="8" w:space="0" w:color="0077BD"/>
            </w:tcBorders>
            <w:shd w:val="clear" w:color="auto" w:fill="auto"/>
            <w:vAlign w:val="center"/>
          </w:tcPr>
          <w:p w14:paraId="5F5724E7" w14:textId="5C832B03"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972</w:t>
            </w:r>
          </w:p>
        </w:tc>
        <w:tc>
          <w:tcPr>
            <w:tcW w:w="964" w:type="dxa"/>
            <w:tcBorders>
              <w:top w:val="single" w:sz="8" w:space="0" w:color="0077BD"/>
              <w:left w:val="nil"/>
              <w:bottom w:val="single" w:sz="8" w:space="0" w:color="0077BD"/>
              <w:right w:val="single" w:sz="8" w:space="0" w:color="0077BD"/>
            </w:tcBorders>
            <w:shd w:val="clear" w:color="auto" w:fill="auto"/>
            <w:vAlign w:val="center"/>
          </w:tcPr>
          <w:p w14:paraId="2D2F90A1" w14:textId="2F15F320"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388</w:t>
            </w:r>
          </w:p>
        </w:tc>
        <w:tc>
          <w:tcPr>
            <w:tcW w:w="964" w:type="dxa"/>
            <w:tcBorders>
              <w:top w:val="single" w:sz="8" w:space="0" w:color="0077BD"/>
              <w:left w:val="nil"/>
              <w:bottom w:val="single" w:sz="8" w:space="0" w:color="0077BD"/>
              <w:right w:val="nil"/>
            </w:tcBorders>
            <w:shd w:val="clear" w:color="auto" w:fill="auto"/>
            <w:vAlign w:val="center"/>
          </w:tcPr>
          <w:p w14:paraId="14CC3ABF" w14:textId="781CCEB7" w:rsidR="00104455" w:rsidRPr="00312186" w:rsidRDefault="00104455" w:rsidP="00104455">
            <w:pPr>
              <w:jc w:val="right"/>
              <w:rPr>
                <w:rFonts w:cs="Calibri"/>
                <w:b/>
                <w:bCs/>
                <w:color w:val="000000" w:themeColor="text1"/>
                <w:sz w:val="12"/>
                <w:szCs w:val="12"/>
              </w:rPr>
            </w:pPr>
            <w:r w:rsidRPr="00312186">
              <w:rPr>
                <w:rFonts w:cs="Calibri"/>
                <w:b/>
                <w:bCs/>
                <w:color w:val="000000" w:themeColor="text1"/>
                <w:sz w:val="12"/>
                <w:szCs w:val="12"/>
              </w:rPr>
              <w:t>1 344 037</w:t>
            </w:r>
          </w:p>
        </w:tc>
      </w:tr>
    </w:tbl>
    <w:p w14:paraId="25C53F7B" w14:textId="05B68240" w:rsidR="002C2105" w:rsidRDefault="002C2105" w:rsidP="00841A0F">
      <w:pPr>
        <w:suppressAutoHyphens/>
        <w:jc w:val="both"/>
        <w:rPr>
          <w:rFonts w:cs="Tahoma"/>
          <w:color w:val="201C17"/>
          <w:sz w:val="18"/>
          <w:szCs w:val="18"/>
        </w:rPr>
      </w:pPr>
    </w:p>
    <w:p w14:paraId="45AF906A" w14:textId="77777777" w:rsidR="002C2105" w:rsidRDefault="002C2105">
      <w:pPr>
        <w:rPr>
          <w:rFonts w:cs="Tahoma"/>
          <w:color w:val="201C17"/>
          <w:sz w:val="18"/>
          <w:szCs w:val="18"/>
        </w:rPr>
      </w:pPr>
      <w:r>
        <w:rPr>
          <w:rFonts w:cs="Tahoma"/>
          <w:color w:val="201C17"/>
          <w:sz w:val="18"/>
          <w:szCs w:val="18"/>
        </w:rPr>
        <w:br w:type="page"/>
      </w:r>
    </w:p>
    <w:tbl>
      <w:tblPr>
        <w:tblW w:w="0" w:type="auto"/>
        <w:tblCellMar>
          <w:left w:w="28" w:type="dxa"/>
          <w:right w:w="28" w:type="dxa"/>
        </w:tblCellMar>
        <w:tblLook w:val="04A0" w:firstRow="1" w:lastRow="0" w:firstColumn="1" w:lastColumn="0" w:noHBand="0" w:noVBand="1"/>
      </w:tblPr>
      <w:tblGrid>
        <w:gridCol w:w="2827"/>
        <w:gridCol w:w="964"/>
        <w:gridCol w:w="964"/>
        <w:gridCol w:w="970"/>
        <w:gridCol w:w="964"/>
        <w:gridCol w:w="964"/>
        <w:gridCol w:w="964"/>
        <w:gridCol w:w="964"/>
      </w:tblGrid>
      <w:tr w:rsidR="00841A0F" w:rsidRPr="00841A0F" w14:paraId="06D1C734" w14:textId="77777777" w:rsidTr="00FD33F8">
        <w:trPr>
          <w:trHeight w:val="624"/>
        </w:trPr>
        <w:tc>
          <w:tcPr>
            <w:tcW w:w="0" w:type="auto"/>
            <w:tcBorders>
              <w:top w:val="nil"/>
              <w:left w:val="nil"/>
              <w:bottom w:val="nil"/>
              <w:right w:val="single" w:sz="8" w:space="0" w:color="FFFFFF"/>
            </w:tcBorders>
            <w:shd w:val="clear" w:color="000000" w:fill="0077BD"/>
            <w:vAlign w:val="center"/>
            <w:hideMark/>
          </w:tcPr>
          <w:p w14:paraId="57656983" w14:textId="5802D9F8" w:rsidR="00841A0F" w:rsidRPr="00841A0F" w:rsidRDefault="00FD33F8" w:rsidP="00841A0F">
            <w:pPr>
              <w:rPr>
                <w:rFonts w:cs="Calibri"/>
                <w:b/>
                <w:bCs/>
                <w:color w:val="FFFFFF"/>
                <w:sz w:val="12"/>
                <w:szCs w:val="12"/>
              </w:rPr>
            </w:pPr>
            <w:r>
              <w:rPr>
                <w:rFonts w:cs="Tahoma"/>
                <w:color w:val="201C17"/>
                <w:sz w:val="18"/>
                <w:szCs w:val="18"/>
              </w:rPr>
              <w:lastRenderedPageBreak/>
              <w:br w:type="page"/>
            </w:r>
            <w:r w:rsidR="00841A0F" w:rsidRPr="00841A0F">
              <w:rPr>
                <w:rFonts w:cs="Calibri"/>
                <w:b/>
                <w:bCs/>
                <w:color w:val="FFFFFF"/>
                <w:sz w:val="12"/>
                <w:szCs w:val="12"/>
              </w:rPr>
              <w:t>Rezerwa z tytułu odroczonego podatku dochodowego</w:t>
            </w:r>
          </w:p>
        </w:tc>
        <w:tc>
          <w:tcPr>
            <w:tcW w:w="964" w:type="dxa"/>
            <w:tcBorders>
              <w:top w:val="nil"/>
              <w:left w:val="nil"/>
              <w:bottom w:val="nil"/>
              <w:right w:val="single" w:sz="8" w:space="0" w:color="FFFFFF"/>
            </w:tcBorders>
            <w:shd w:val="clear" w:color="000000" w:fill="0077BD"/>
            <w:vAlign w:val="center"/>
            <w:hideMark/>
          </w:tcPr>
          <w:p w14:paraId="688DA778"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Stan na 01.01.2018</w:t>
            </w:r>
          </w:p>
        </w:tc>
        <w:tc>
          <w:tcPr>
            <w:tcW w:w="964" w:type="dxa"/>
            <w:tcBorders>
              <w:top w:val="nil"/>
              <w:left w:val="nil"/>
              <w:bottom w:val="nil"/>
              <w:right w:val="single" w:sz="8" w:space="0" w:color="FFFFFF"/>
            </w:tcBorders>
            <w:shd w:val="clear" w:color="000000" w:fill="0077BD"/>
            <w:vAlign w:val="center"/>
            <w:hideMark/>
          </w:tcPr>
          <w:p w14:paraId="1D5EA17B"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 xml:space="preserve">Wpływ wdrożenia MSSF 9 </w:t>
            </w:r>
          </w:p>
        </w:tc>
        <w:tc>
          <w:tcPr>
            <w:tcW w:w="970" w:type="dxa"/>
            <w:tcBorders>
              <w:top w:val="nil"/>
              <w:left w:val="nil"/>
              <w:bottom w:val="nil"/>
              <w:right w:val="single" w:sz="8" w:space="0" w:color="FFFFFF"/>
            </w:tcBorders>
            <w:shd w:val="clear" w:color="000000" w:fill="0077BD"/>
            <w:vAlign w:val="center"/>
            <w:hideMark/>
          </w:tcPr>
          <w:p w14:paraId="52659AF6"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Skorygowany stan na początek okresu</w:t>
            </w:r>
          </w:p>
        </w:tc>
        <w:tc>
          <w:tcPr>
            <w:tcW w:w="964" w:type="dxa"/>
            <w:tcBorders>
              <w:top w:val="nil"/>
              <w:left w:val="nil"/>
              <w:bottom w:val="nil"/>
              <w:right w:val="single" w:sz="8" w:space="0" w:color="FFFFFF"/>
            </w:tcBorders>
            <w:shd w:val="clear" w:color="000000" w:fill="0077BD"/>
            <w:vAlign w:val="center"/>
            <w:hideMark/>
          </w:tcPr>
          <w:p w14:paraId="1EF6C0D0"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Przez rachunek zysków i strat</w:t>
            </w:r>
          </w:p>
        </w:tc>
        <w:tc>
          <w:tcPr>
            <w:tcW w:w="964" w:type="dxa"/>
            <w:tcBorders>
              <w:top w:val="nil"/>
              <w:left w:val="nil"/>
              <w:bottom w:val="nil"/>
              <w:right w:val="single" w:sz="8" w:space="0" w:color="FFFFFF"/>
            </w:tcBorders>
            <w:shd w:val="clear" w:color="000000" w:fill="0077BD"/>
            <w:vAlign w:val="center"/>
            <w:hideMark/>
          </w:tcPr>
          <w:p w14:paraId="7B4F9F2F"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Przez pozostałe całkowite dochody</w:t>
            </w:r>
          </w:p>
        </w:tc>
        <w:tc>
          <w:tcPr>
            <w:tcW w:w="964" w:type="dxa"/>
            <w:tcBorders>
              <w:top w:val="nil"/>
              <w:left w:val="nil"/>
              <w:bottom w:val="nil"/>
              <w:right w:val="single" w:sz="8" w:space="0" w:color="FFFFFF"/>
            </w:tcBorders>
            <w:shd w:val="clear" w:color="000000" w:fill="0077BD"/>
            <w:vAlign w:val="center"/>
            <w:hideMark/>
          </w:tcPr>
          <w:p w14:paraId="389AD40C"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Pozostałe zmiany</w:t>
            </w:r>
          </w:p>
        </w:tc>
        <w:tc>
          <w:tcPr>
            <w:tcW w:w="964" w:type="dxa"/>
            <w:tcBorders>
              <w:top w:val="nil"/>
              <w:left w:val="nil"/>
              <w:bottom w:val="nil"/>
              <w:right w:val="nil"/>
            </w:tcBorders>
            <w:shd w:val="clear" w:color="000000" w:fill="0077BD"/>
            <w:vAlign w:val="center"/>
            <w:hideMark/>
          </w:tcPr>
          <w:p w14:paraId="26C5A182" w14:textId="77777777" w:rsidR="00841A0F" w:rsidRPr="00841A0F" w:rsidRDefault="00841A0F" w:rsidP="00841A0F">
            <w:pPr>
              <w:jc w:val="center"/>
              <w:rPr>
                <w:rFonts w:cs="Calibri"/>
                <w:b/>
                <w:bCs/>
                <w:color w:val="FFFFFF"/>
                <w:sz w:val="12"/>
                <w:szCs w:val="12"/>
              </w:rPr>
            </w:pPr>
            <w:r w:rsidRPr="00841A0F">
              <w:rPr>
                <w:rFonts w:cs="Calibri"/>
                <w:b/>
                <w:bCs/>
                <w:color w:val="FFFFFF"/>
                <w:sz w:val="12"/>
                <w:szCs w:val="12"/>
              </w:rPr>
              <w:t>Stan na 31.12.2018</w:t>
            </w:r>
          </w:p>
        </w:tc>
      </w:tr>
      <w:tr w:rsidR="00841A0F" w:rsidRPr="00BB7C9E" w14:paraId="3189DCC8" w14:textId="77777777" w:rsidTr="00FD33F8">
        <w:trPr>
          <w:trHeight w:val="284"/>
        </w:trPr>
        <w:tc>
          <w:tcPr>
            <w:tcW w:w="0" w:type="auto"/>
            <w:tcBorders>
              <w:top w:val="single" w:sz="4" w:space="0" w:color="0077BD"/>
              <w:left w:val="nil"/>
              <w:bottom w:val="single" w:sz="4" w:space="0" w:color="0077BD"/>
              <w:right w:val="single" w:sz="8" w:space="0" w:color="0077BD"/>
            </w:tcBorders>
            <w:shd w:val="clear" w:color="auto" w:fill="auto"/>
            <w:vAlign w:val="center"/>
            <w:hideMark/>
          </w:tcPr>
          <w:p w14:paraId="38D3DA9A"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Odsetki naliczone</w:t>
            </w:r>
          </w:p>
        </w:tc>
        <w:tc>
          <w:tcPr>
            <w:tcW w:w="964" w:type="dxa"/>
            <w:tcBorders>
              <w:top w:val="single" w:sz="4" w:space="0" w:color="0077BD"/>
              <w:left w:val="nil"/>
              <w:bottom w:val="single" w:sz="4" w:space="0" w:color="0077BD"/>
              <w:right w:val="single" w:sz="8" w:space="0" w:color="0077BD"/>
            </w:tcBorders>
            <w:shd w:val="clear" w:color="auto" w:fill="auto"/>
            <w:vAlign w:val="center"/>
            <w:hideMark/>
          </w:tcPr>
          <w:p w14:paraId="32760F14"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(77 950)</w:t>
            </w:r>
          </w:p>
        </w:tc>
        <w:tc>
          <w:tcPr>
            <w:tcW w:w="964" w:type="dxa"/>
            <w:tcBorders>
              <w:top w:val="single" w:sz="4" w:space="0" w:color="0077BD"/>
              <w:left w:val="nil"/>
              <w:bottom w:val="single" w:sz="4" w:space="0" w:color="0077BD"/>
              <w:right w:val="single" w:sz="8" w:space="0" w:color="0077BD"/>
            </w:tcBorders>
            <w:shd w:val="clear" w:color="auto" w:fill="auto"/>
            <w:vAlign w:val="center"/>
            <w:hideMark/>
          </w:tcPr>
          <w:p w14:paraId="762D3087"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single" w:sz="4" w:space="0" w:color="0077BD"/>
              <w:left w:val="nil"/>
              <w:bottom w:val="single" w:sz="4" w:space="0" w:color="0077BD"/>
              <w:right w:val="single" w:sz="8" w:space="0" w:color="0077BD"/>
            </w:tcBorders>
            <w:shd w:val="clear" w:color="auto" w:fill="auto"/>
            <w:vAlign w:val="center"/>
            <w:hideMark/>
          </w:tcPr>
          <w:p w14:paraId="3EABA913"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(77 950)</w:t>
            </w:r>
          </w:p>
        </w:tc>
        <w:tc>
          <w:tcPr>
            <w:tcW w:w="964" w:type="dxa"/>
            <w:tcBorders>
              <w:top w:val="single" w:sz="4" w:space="0" w:color="0077BD"/>
              <w:left w:val="nil"/>
              <w:bottom w:val="single" w:sz="4" w:space="0" w:color="0077BD"/>
              <w:right w:val="single" w:sz="8" w:space="0" w:color="0077BD"/>
            </w:tcBorders>
            <w:shd w:val="clear" w:color="auto" w:fill="auto"/>
            <w:vAlign w:val="center"/>
            <w:hideMark/>
          </w:tcPr>
          <w:p w14:paraId="5A820575"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1 229</w:t>
            </w:r>
          </w:p>
        </w:tc>
        <w:tc>
          <w:tcPr>
            <w:tcW w:w="964" w:type="dxa"/>
            <w:tcBorders>
              <w:top w:val="single" w:sz="4" w:space="0" w:color="0077BD"/>
              <w:left w:val="nil"/>
              <w:bottom w:val="single" w:sz="4" w:space="0" w:color="0077BD"/>
              <w:right w:val="single" w:sz="8" w:space="0" w:color="0077BD"/>
            </w:tcBorders>
            <w:shd w:val="clear" w:color="auto" w:fill="auto"/>
            <w:vAlign w:val="center"/>
            <w:hideMark/>
          </w:tcPr>
          <w:p w14:paraId="49184540"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single" w:sz="4" w:space="0" w:color="0077BD"/>
              <w:left w:val="nil"/>
              <w:bottom w:val="single" w:sz="4" w:space="0" w:color="0077BD"/>
              <w:right w:val="single" w:sz="8" w:space="0" w:color="0077BD"/>
            </w:tcBorders>
            <w:shd w:val="clear" w:color="auto" w:fill="auto"/>
            <w:vAlign w:val="center"/>
            <w:hideMark/>
          </w:tcPr>
          <w:p w14:paraId="432589BB"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single" w:sz="4" w:space="0" w:color="0077BD"/>
              <w:left w:val="nil"/>
              <w:bottom w:val="single" w:sz="4" w:space="0" w:color="0077BD"/>
              <w:right w:val="nil"/>
            </w:tcBorders>
            <w:shd w:val="clear" w:color="auto" w:fill="auto"/>
            <w:vAlign w:val="center"/>
            <w:hideMark/>
          </w:tcPr>
          <w:p w14:paraId="1221B0D7"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(76 721)</w:t>
            </w:r>
          </w:p>
        </w:tc>
      </w:tr>
      <w:tr w:rsidR="00841A0F" w:rsidRPr="00BB7C9E" w14:paraId="42B2CC09" w14:textId="77777777" w:rsidTr="00FD33F8">
        <w:trPr>
          <w:trHeight w:val="397"/>
        </w:trPr>
        <w:tc>
          <w:tcPr>
            <w:tcW w:w="0" w:type="auto"/>
            <w:tcBorders>
              <w:top w:val="nil"/>
              <w:left w:val="nil"/>
              <w:bottom w:val="single" w:sz="4" w:space="0" w:color="0077BD"/>
              <w:right w:val="single" w:sz="8" w:space="0" w:color="0077BD"/>
            </w:tcBorders>
            <w:shd w:val="clear" w:color="auto" w:fill="auto"/>
            <w:vAlign w:val="center"/>
            <w:hideMark/>
          </w:tcPr>
          <w:p w14:paraId="10E7B2BC"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Wycena pochodnych instrumentów finansowych</w:t>
            </w:r>
          </w:p>
        </w:tc>
        <w:tc>
          <w:tcPr>
            <w:tcW w:w="964" w:type="dxa"/>
            <w:tcBorders>
              <w:top w:val="nil"/>
              <w:left w:val="nil"/>
              <w:bottom w:val="single" w:sz="4" w:space="0" w:color="0077BD"/>
              <w:right w:val="single" w:sz="8" w:space="0" w:color="0077BD"/>
            </w:tcBorders>
            <w:shd w:val="clear" w:color="auto" w:fill="auto"/>
            <w:vAlign w:val="center"/>
            <w:hideMark/>
          </w:tcPr>
          <w:p w14:paraId="23C0941D"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(26 124)</w:t>
            </w:r>
          </w:p>
        </w:tc>
        <w:tc>
          <w:tcPr>
            <w:tcW w:w="964" w:type="dxa"/>
            <w:tcBorders>
              <w:top w:val="nil"/>
              <w:left w:val="nil"/>
              <w:bottom w:val="single" w:sz="4" w:space="0" w:color="0077BD"/>
              <w:right w:val="single" w:sz="8" w:space="0" w:color="0077BD"/>
            </w:tcBorders>
            <w:shd w:val="clear" w:color="auto" w:fill="auto"/>
            <w:vAlign w:val="center"/>
            <w:hideMark/>
          </w:tcPr>
          <w:p w14:paraId="2DFEF0C2"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hideMark/>
          </w:tcPr>
          <w:p w14:paraId="2866FC3F"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(26 124)</w:t>
            </w:r>
          </w:p>
        </w:tc>
        <w:tc>
          <w:tcPr>
            <w:tcW w:w="964" w:type="dxa"/>
            <w:tcBorders>
              <w:top w:val="nil"/>
              <w:left w:val="nil"/>
              <w:bottom w:val="single" w:sz="4" w:space="0" w:color="0077BD"/>
              <w:right w:val="single" w:sz="8" w:space="0" w:color="0077BD"/>
            </w:tcBorders>
            <w:shd w:val="clear" w:color="auto" w:fill="auto"/>
            <w:vAlign w:val="center"/>
            <w:hideMark/>
          </w:tcPr>
          <w:p w14:paraId="11E7D874"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(10 542)</w:t>
            </w:r>
          </w:p>
        </w:tc>
        <w:tc>
          <w:tcPr>
            <w:tcW w:w="964" w:type="dxa"/>
            <w:tcBorders>
              <w:top w:val="nil"/>
              <w:left w:val="nil"/>
              <w:bottom w:val="single" w:sz="4" w:space="0" w:color="0077BD"/>
              <w:right w:val="single" w:sz="8" w:space="0" w:color="0077BD"/>
            </w:tcBorders>
            <w:shd w:val="clear" w:color="auto" w:fill="auto"/>
            <w:vAlign w:val="center"/>
            <w:hideMark/>
          </w:tcPr>
          <w:p w14:paraId="06678C46"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(20 840)</w:t>
            </w:r>
          </w:p>
        </w:tc>
        <w:tc>
          <w:tcPr>
            <w:tcW w:w="964" w:type="dxa"/>
            <w:tcBorders>
              <w:top w:val="nil"/>
              <w:left w:val="nil"/>
              <w:bottom w:val="single" w:sz="4" w:space="0" w:color="0077BD"/>
              <w:right w:val="single" w:sz="8" w:space="0" w:color="0077BD"/>
            </w:tcBorders>
            <w:shd w:val="clear" w:color="auto" w:fill="auto"/>
            <w:vAlign w:val="center"/>
            <w:hideMark/>
          </w:tcPr>
          <w:p w14:paraId="4D7CFA66"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hideMark/>
          </w:tcPr>
          <w:p w14:paraId="4E9EF1E5"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(57 506)</w:t>
            </w:r>
          </w:p>
        </w:tc>
      </w:tr>
      <w:tr w:rsidR="00841A0F" w:rsidRPr="00BB7C9E" w14:paraId="793D3383" w14:textId="77777777" w:rsidTr="00FD33F8">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604A5A0C"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Wycena papierów wartościowych</w:t>
            </w:r>
          </w:p>
        </w:tc>
        <w:tc>
          <w:tcPr>
            <w:tcW w:w="964" w:type="dxa"/>
            <w:tcBorders>
              <w:top w:val="nil"/>
              <w:left w:val="nil"/>
              <w:bottom w:val="single" w:sz="4" w:space="0" w:color="0077BD"/>
              <w:right w:val="single" w:sz="8" w:space="0" w:color="0077BD"/>
            </w:tcBorders>
            <w:shd w:val="clear" w:color="auto" w:fill="auto"/>
            <w:vAlign w:val="center"/>
            <w:hideMark/>
          </w:tcPr>
          <w:p w14:paraId="1F6D63F7"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(116 192)</w:t>
            </w:r>
          </w:p>
        </w:tc>
        <w:tc>
          <w:tcPr>
            <w:tcW w:w="964" w:type="dxa"/>
            <w:tcBorders>
              <w:top w:val="nil"/>
              <w:left w:val="nil"/>
              <w:bottom w:val="single" w:sz="4" w:space="0" w:color="0077BD"/>
              <w:right w:val="single" w:sz="8" w:space="0" w:color="0077BD"/>
            </w:tcBorders>
            <w:shd w:val="clear" w:color="auto" w:fill="auto"/>
            <w:vAlign w:val="center"/>
            <w:hideMark/>
          </w:tcPr>
          <w:p w14:paraId="42A0B9E5"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9 582</w:t>
            </w:r>
          </w:p>
        </w:tc>
        <w:tc>
          <w:tcPr>
            <w:tcW w:w="970" w:type="dxa"/>
            <w:tcBorders>
              <w:top w:val="nil"/>
              <w:left w:val="nil"/>
              <w:bottom w:val="single" w:sz="4" w:space="0" w:color="0077BD"/>
              <w:right w:val="single" w:sz="8" w:space="0" w:color="0077BD"/>
            </w:tcBorders>
            <w:shd w:val="clear" w:color="auto" w:fill="auto"/>
            <w:vAlign w:val="center"/>
            <w:hideMark/>
          </w:tcPr>
          <w:p w14:paraId="2B0864C1"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(106 610)</w:t>
            </w:r>
          </w:p>
        </w:tc>
        <w:tc>
          <w:tcPr>
            <w:tcW w:w="964" w:type="dxa"/>
            <w:tcBorders>
              <w:top w:val="nil"/>
              <w:left w:val="nil"/>
              <w:bottom w:val="single" w:sz="4" w:space="0" w:color="0077BD"/>
              <w:right w:val="single" w:sz="8" w:space="0" w:color="0077BD"/>
            </w:tcBorders>
            <w:shd w:val="clear" w:color="auto" w:fill="auto"/>
            <w:vAlign w:val="center"/>
            <w:hideMark/>
          </w:tcPr>
          <w:p w14:paraId="7C0DFC6D"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2 218</w:t>
            </w:r>
          </w:p>
        </w:tc>
        <w:tc>
          <w:tcPr>
            <w:tcW w:w="964" w:type="dxa"/>
            <w:tcBorders>
              <w:top w:val="nil"/>
              <w:left w:val="nil"/>
              <w:bottom w:val="single" w:sz="4" w:space="0" w:color="0077BD"/>
              <w:right w:val="single" w:sz="8" w:space="0" w:color="0077BD"/>
            </w:tcBorders>
            <w:shd w:val="clear" w:color="auto" w:fill="auto"/>
            <w:vAlign w:val="center"/>
            <w:hideMark/>
          </w:tcPr>
          <w:p w14:paraId="3F99EA44"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(6 412)</w:t>
            </w:r>
          </w:p>
        </w:tc>
        <w:tc>
          <w:tcPr>
            <w:tcW w:w="964" w:type="dxa"/>
            <w:tcBorders>
              <w:top w:val="nil"/>
              <w:left w:val="nil"/>
              <w:bottom w:val="single" w:sz="4" w:space="0" w:color="0077BD"/>
              <w:right w:val="single" w:sz="8" w:space="0" w:color="0077BD"/>
            </w:tcBorders>
            <w:shd w:val="clear" w:color="auto" w:fill="auto"/>
            <w:vAlign w:val="center"/>
            <w:hideMark/>
          </w:tcPr>
          <w:p w14:paraId="0EBD1889"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hideMark/>
          </w:tcPr>
          <w:p w14:paraId="0762ED7B"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(110 804)</w:t>
            </w:r>
          </w:p>
        </w:tc>
      </w:tr>
      <w:tr w:rsidR="00841A0F" w:rsidRPr="00BB7C9E" w14:paraId="7D141746" w14:textId="77777777" w:rsidTr="00FD33F8">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3BEE32C2"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Odsetki i prowizje pobrane z góry</w:t>
            </w:r>
          </w:p>
        </w:tc>
        <w:tc>
          <w:tcPr>
            <w:tcW w:w="964" w:type="dxa"/>
            <w:tcBorders>
              <w:top w:val="nil"/>
              <w:left w:val="nil"/>
              <w:bottom w:val="single" w:sz="4" w:space="0" w:color="0077BD"/>
              <w:right w:val="single" w:sz="8" w:space="0" w:color="0077BD"/>
            </w:tcBorders>
            <w:shd w:val="clear" w:color="auto" w:fill="auto"/>
            <w:vAlign w:val="center"/>
            <w:hideMark/>
          </w:tcPr>
          <w:p w14:paraId="3C1E1438"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(1 538)</w:t>
            </w:r>
          </w:p>
        </w:tc>
        <w:tc>
          <w:tcPr>
            <w:tcW w:w="964" w:type="dxa"/>
            <w:tcBorders>
              <w:top w:val="nil"/>
              <w:left w:val="nil"/>
              <w:bottom w:val="single" w:sz="4" w:space="0" w:color="0077BD"/>
              <w:right w:val="single" w:sz="8" w:space="0" w:color="0077BD"/>
            </w:tcBorders>
            <w:shd w:val="clear" w:color="auto" w:fill="auto"/>
            <w:vAlign w:val="center"/>
            <w:hideMark/>
          </w:tcPr>
          <w:p w14:paraId="68FA76B7"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hideMark/>
          </w:tcPr>
          <w:p w14:paraId="6BA94A88"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(1 538)</w:t>
            </w:r>
          </w:p>
        </w:tc>
        <w:tc>
          <w:tcPr>
            <w:tcW w:w="964" w:type="dxa"/>
            <w:tcBorders>
              <w:top w:val="nil"/>
              <w:left w:val="nil"/>
              <w:bottom w:val="single" w:sz="4" w:space="0" w:color="0077BD"/>
              <w:right w:val="single" w:sz="8" w:space="0" w:color="0077BD"/>
            </w:tcBorders>
            <w:shd w:val="clear" w:color="auto" w:fill="auto"/>
            <w:vAlign w:val="center"/>
            <w:hideMark/>
          </w:tcPr>
          <w:p w14:paraId="589D2D81"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(5 424)</w:t>
            </w:r>
          </w:p>
        </w:tc>
        <w:tc>
          <w:tcPr>
            <w:tcW w:w="964" w:type="dxa"/>
            <w:tcBorders>
              <w:top w:val="nil"/>
              <w:left w:val="nil"/>
              <w:bottom w:val="single" w:sz="4" w:space="0" w:color="0077BD"/>
              <w:right w:val="single" w:sz="8" w:space="0" w:color="0077BD"/>
            </w:tcBorders>
            <w:shd w:val="clear" w:color="auto" w:fill="auto"/>
            <w:vAlign w:val="center"/>
            <w:hideMark/>
          </w:tcPr>
          <w:p w14:paraId="20E78F7F"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hideMark/>
          </w:tcPr>
          <w:p w14:paraId="6E78C89C"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hideMark/>
          </w:tcPr>
          <w:p w14:paraId="2AB501D5"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(6 962)</w:t>
            </w:r>
          </w:p>
        </w:tc>
      </w:tr>
      <w:tr w:rsidR="00841A0F" w:rsidRPr="00BB7C9E" w14:paraId="62F563D9" w14:textId="77777777" w:rsidTr="00FD33F8">
        <w:trPr>
          <w:trHeight w:val="498"/>
        </w:trPr>
        <w:tc>
          <w:tcPr>
            <w:tcW w:w="0" w:type="auto"/>
            <w:tcBorders>
              <w:top w:val="nil"/>
              <w:left w:val="nil"/>
              <w:bottom w:val="single" w:sz="4" w:space="0" w:color="0077BD"/>
              <w:right w:val="single" w:sz="8" w:space="0" w:color="0077BD"/>
            </w:tcBorders>
            <w:shd w:val="clear" w:color="auto" w:fill="auto"/>
            <w:vAlign w:val="center"/>
            <w:hideMark/>
          </w:tcPr>
          <w:p w14:paraId="06CDE2E7"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Różnica między wartością bilansową i podatkową rzeczowych aktywów trwałych oraz wartości niematerialnych</w:t>
            </w:r>
          </w:p>
        </w:tc>
        <w:tc>
          <w:tcPr>
            <w:tcW w:w="964" w:type="dxa"/>
            <w:tcBorders>
              <w:top w:val="nil"/>
              <w:left w:val="nil"/>
              <w:bottom w:val="single" w:sz="4" w:space="0" w:color="0077BD"/>
              <w:right w:val="single" w:sz="8" w:space="0" w:color="0077BD"/>
            </w:tcBorders>
            <w:shd w:val="clear" w:color="auto" w:fill="auto"/>
            <w:vAlign w:val="center"/>
            <w:hideMark/>
          </w:tcPr>
          <w:p w14:paraId="23865ECF"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(45 749)</w:t>
            </w:r>
          </w:p>
        </w:tc>
        <w:tc>
          <w:tcPr>
            <w:tcW w:w="964" w:type="dxa"/>
            <w:tcBorders>
              <w:top w:val="nil"/>
              <w:left w:val="nil"/>
              <w:bottom w:val="single" w:sz="4" w:space="0" w:color="0077BD"/>
              <w:right w:val="single" w:sz="8" w:space="0" w:color="0077BD"/>
            </w:tcBorders>
            <w:shd w:val="clear" w:color="auto" w:fill="auto"/>
            <w:vAlign w:val="center"/>
            <w:hideMark/>
          </w:tcPr>
          <w:p w14:paraId="74EFE916"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hideMark/>
          </w:tcPr>
          <w:p w14:paraId="32CDF28B"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(45 749)</w:t>
            </w:r>
          </w:p>
        </w:tc>
        <w:tc>
          <w:tcPr>
            <w:tcW w:w="964" w:type="dxa"/>
            <w:tcBorders>
              <w:top w:val="nil"/>
              <w:left w:val="nil"/>
              <w:bottom w:val="single" w:sz="4" w:space="0" w:color="0077BD"/>
              <w:right w:val="single" w:sz="8" w:space="0" w:color="0077BD"/>
            </w:tcBorders>
            <w:shd w:val="clear" w:color="auto" w:fill="auto"/>
            <w:vAlign w:val="center"/>
            <w:hideMark/>
          </w:tcPr>
          <w:p w14:paraId="21DE9A96"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2 954</w:t>
            </w:r>
          </w:p>
        </w:tc>
        <w:tc>
          <w:tcPr>
            <w:tcW w:w="964" w:type="dxa"/>
            <w:tcBorders>
              <w:top w:val="nil"/>
              <w:left w:val="nil"/>
              <w:bottom w:val="single" w:sz="4" w:space="0" w:color="0077BD"/>
              <w:right w:val="single" w:sz="8" w:space="0" w:color="0077BD"/>
            </w:tcBorders>
            <w:shd w:val="clear" w:color="auto" w:fill="auto"/>
            <w:vAlign w:val="center"/>
            <w:hideMark/>
          </w:tcPr>
          <w:p w14:paraId="73DD2908"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hideMark/>
          </w:tcPr>
          <w:p w14:paraId="067C0F1F"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hideMark/>
          </w:tcPr>
          <w:p w14:paraId="605CCB70"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(42 795)</w:t>
            </w:r>
          </w:p>
        </w:tc>
      </w:tr>
      <w:tr w:rsidR="00841A0F" w:rsidRPr="00BB7C9E" w14:paraId="3A5A9989" w14:textId="77777777" w:rsidTr="00FD33F8">
        <w:trPr>
          <w:trHeight w:val="498"/>
        </w:trPr>
        <w:tc>
          <w:tcPr>
            <w:tcW w:w="0" w:type="auto"/>
            <w:tcBorders>
              <w:top w:val="nil"/>
              <w:left w:val="nil"/>
              <w:bottom w:val="single" w:sz="4" w:space="0" w:color="0077BD"/>
              <w:right w:val="single" w:sz="8" w:space="0" w:color="0077BD"/>
            </w:tcBorders>
            <w:shd w:val="clear" w:color="auto" w:fill="auto"/>
            <w:vAlign w:val="center"/>
            <w:hideMark/>
          </w:tcPr>
          <w:p w14:paraId="7B0465B4" w14:textId="77777777" w:rsidR="00841A0F" w:rsidRPr="00312186" w:rsidRDefault="00841A0F" w:rsidP="00841A0F">
            <w:pPr>
              <w:rPr>
                <w:rFonts w:cs="Calibri"/>
                <w:color w:val="000000" w:themeColor="text1"/>
                <w:sz w:val="12"/>
                <w:szCs w:val="12"/>
              </w:rPr>
            </w:pPr>
            <w:r w:rsidRPr="00312186">
              <w:rPr>
                <w:rFonts w:cs="Calibri"/>
                <w:color w:val="000000" w:themeColor="text1"/>
                <w:sz w:val="12"/>
                <w:szCs w:val="12"/>
              </w:rPr>
              <w:t>Rozliczenia międzyokresowe dotyczące amortyzacji z tytułu zastosowanej ulgi inwestycyjnej</w:t>
            </w:r>
          </w:p>
        </w:tc>
        <w:tc>
          <w:tcPr>
            <w:tcW w:w="964" w:type="dxa"/>
            <w:tcBorders>
              <w:top w:val="nil"/>
              <w:left w:val="nil"/>
              <w:bottom w:val="single" w:sz="4" w:space="0" w:color="0077BD"/>
              <w:right w:val="single" w:sz="8" w:space="0" w:color="0077BD"/>
            </w:tcBorders>
            <w:shd w:val="clear" w:color="auto" w:fill="auto"/>
            <w:vAlign w:val="center"/>
            <w:hideMark/>
          </w:tcPr>
          <w:p w14:paraId="72BE9D7A"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(18 657)</w:t>
            </w:r>
          </w:p>
        </w:tc>
        <w:tc>
          <w:tcPr>
            <w:tcW w:w="964" w:type="dxa"/>
            <w:tcBorders>
              <w:top w:val="nil"/>
              <w:left w:val="nil"/>
              <w:bottom w:val="single" w:sz="4" w:space="0" w:color="0077BD"/>
              <w:right w:val="single" w:sz="8" w:space="0" w:color="0077BD"/>
            </w:tcBorders>
            <w:shd w:val="clear" w:color="auto" w:fill="auto"/>
            <w:vAlign w:val="center"/>
            <w:hideMark/>
          </w:tcPr>
          <w:p w14:paraId="15AC5187"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70" w:type="dxa"/>
            <w:tcBorders>
              <w:top w:val="nil"/>
              <w:left w:val="nil"/>
              <w:bottom w:val="single" w:sz="4" w:space="0" w:color="0077BD"/>
              <w:right w:val="single" w:sz="8" w:space="0" w:color="0077BD"/>
            </w:tcBorders>
            <w:shd w:val="clear" w:color="auto" w:fill="auto"/>
            <w:vAlign w:val="center"/>
            <w:hideMark/>
          </w:tcPr>
          <w:p w14:paraId="0EC0536E"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(18 657)</w:t>
            </w:r>
          </w:p>
        </w:tc>
        <w:tc>
          <w:tcPr>
            <w:tcW w:w="964" w:type="dxa"/>
            <w:tcBorders>
              <w:top w:val="nil"/>
              <w:left w:val="nil"/>
              <w:bottom w:val="single" w:sz="4" w:space="0" w:color="0077BD"/>
              <w:right w:val="single" w:sz="8" w:space="0" w:color="0077BD"/>
            </w:tcBorders>
            <w:shd w:val="clear" w:color="auto" w:fill="auto"/>
            <w:vAlign w:val="center"/>
            <w:hideMark/>
          </w:tcPr>
          <w:p w14:paraId="034D5CF6"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hideMark/>
          </w:tcPr>
          <w:p w14:paraId="49F3ED1C"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hideMark/>
          </w:tcPr>
          <w:p w14:paraId="2DDC174E"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nil"/>
            </w:tcBorders>
            <w:shd w:val="clear" w:color="auto" w:fill="auto"/>
            <w:vAlign w:val="center"/>
            <w:hideMark/>
          </w:tcPr>
          <w:p w14:paraId="6F76C46E"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(18 657)</w:t>
            </w:r>
          </w:p>
        </w:tc>
      </w:tr>
      <w:tr w:rsidR="00841A0F" w:rsidRPr="00BB7C9E" w14:paraId="606483CB" w14:textId="77777777" w:rsidTr="00FD33F8">
        <w:trPr>
          <w:trHeight w:val="284"/>
        </w:trPr>
        <w:tc>
          <w:tcPr>
            <w:tcW w:w="0" w:type="auto"/>
            <w:tcBorders>
              <w:top w:val="nil"/>
              <w:left w:val="nil"/>
              <w:bottom w:val="single" w:sz="4" w:space="0" w:color="0077BD"/>
              <w:right w:val="single" w:sz="8" w:space="0" w:color="0077BD"/>
            </w:tcBorders>
            <w:shd w:val="clear" w:color="auto" w:fill="auto"/>
            <w:vAlign w:val="center"/>
            <w:hideMark/>
          </w:tcPr>
          <w:p w14:paraId="40C0F410" w14:textId="6A953D65" w:rsidR="00841A0F" w:rsidRPr="00312186" w:rsidRDefault="00841A0F" w:rsidP="00841A0F">
            <w:pPr>
              <w:rPr>
                <w:rFonts w:cs="Calibri"/>
                <w:color w:val="000000" w:themeColor="text1"/>
                <w:sz w:val="12"/>
                <w:szCs w:val="12"/>
              </w:rPr>
            </w:pPr>
            <w:r w:rsidRPr="00312186">
              <w:rPr>
                <w:rFonts w:cs="Calibri"/>
                <w:color w:val="000000" w:themeColor="text1"/>
                <w:sz w:val="12"/>
                <w:szCs w:val="12"/>
              </w:rPr>
              <w:t>Pozostałe dodatnie różn</w:t>
            </w:r>
            <w:r w:rsidR="00392D59" w:rsidRPr="00312186">
              <w:rPr>
                <w:rFonts w:cs="Calibri"/>
                <w:color w:val="000000" w:themeColor="text1"/>
                <w:sz w:val="12"/>
                <w:szCs w:val="12"/>
              </w:rPr>
              <w:t>ice przejściowe</w:t>
            </w:r>
          </w:p>
        </w:tc>
        <w:tc>
          <w:tcPr>
            <w:tcW w:w="964" w:type="dxa"/>
            <w:tcBorders>
              <w:top w:val="nil"/>
              <w:left w:val="nil"/>
              <w:bottom w:val="single" w:sz="4" w:space="0" w:color="0077BD"/>
              <w:right w:val="single" w:sz="8" w:space="0" w:color="0077BD"/>
            </w:tcBorders>
            <w:shd w:val="clear" w:color="auto" w:fill="auto"/>
            <w:vAlign w:val="center"/>
            <w:hideMark/>
          </w:tcPr>
          <w:p w14:paraId="455FD4BE"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(45 299)</w:t>
            </w:r>
          </w:p>
        </w:tc>
        <w:tc>
          <w:tcPr>
            <w:tcW w:w="964" w:type="dxa"/>
            <w:tcBorders>
              <w:top w:val="nil"/>
              <w:left w:val="nil"/>
              <w:bottom w:val="single" w:sz="4" w:space="0" w:color="0077BD"/>
              <w:right w:val="single" w:sz="8" w:space="0" w:color="0077BD"/>
            </w:tcBorders>
            <w:shd w:val="clear" w:color="auto" w:fill="auto"/>
            <w:vAlign w:val="center"/>
            <w:hideMark/>
          </w:tcPr>
          <w:p w14:paraId="08714914"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(49 825)</w:t>
            </w:r>
          </w:p>
        </w:tc>
        <w:tc>
          <w:tcPr>
            <w:tcW w:w="970" w:type="dxa"/>
            <w:tcBorders>
              <w:top w:val="nil"/>
              <w:left w:val="nil"/>
              <w:bottom w:val="single" w:sz="4" w:space="0" w:color="0077BD"/>
              <w:right w:val="single" w:sz="8" w:space="0" w:color="0077BD"/>
            </w:tcBorders>
            <w:shd w:val="clear" w:color="auto" w:fill="auto"/>
            <w:vAlign w:val="center"/>
            <w:hideMark/>
          </w:tcPr>
          <w:p w14:paraId="7D0D45C0"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(95 124)</w:t>
            </w:r>
          </w:p>
        </w:tc>
        <w:tc>
          <w:tcPr>
            <w:tcW w:w="964" w:type="dxa"/>
            <w:tcBorders>
              <w:top w:val="nil"/>
              <w:left w:val="nil"/>
              <w:bottom w:val="single" w:sz="4" w:space="0" w:color="0077BD"/>
              <w:right w:val="single" w:sz="8" w:space="0" w:color="0077BD"/>
            </w:tcBorders>
            <w:shd w:val="clear" w:color="auto" w:fill="auto"/>
            <w:vAlign w:val="center"/>
            <w:hideMark/>
          </w:tcPr>
          <w:p w14:paraId="0139CD84"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20 470</w:t>
            </w:r>
          </w:p>
        </w:tc>
        <w:tc>
          <w:tcPr>
            <w:tcW w:w="964" w:type="dxa"/>
            <w:tcBorders>
              <w:top w:val="nil"/>
              <w:left w:val="nil"/>
              <w:bottom w:val="single" w:sz="4" w:space="0" w:color="0077BD"/>
              <w:right w:val="single" w:sz="8" w:space="0" w:color="0077BD"/>
            </w:tcBorders>
            <w:shd w:val="clear" w:color="auto" w:fill="auto"/>
            <w:vAlign w:val="center"/>
            <w:hideMark/>
          </w:tcPr>
          <w:p w14:paraId="218DF0AF"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w:t>
            </w:r>
          </w:p>
        </w:tc>
        <w:tc>
          <w:tcPr>
            <w:tcW w:w="964" w:type="dxa"/>
            <w:tcBorders>
              <w:top w:val="nil"/>
              <w:left w:val="nil"/>
              <w:bottom w:val="single" w:sz="4" w:space="0" w:color="0077BD"/>
              <w:right w:val="single" w:sz="8" w:space="0" w:color="0077BD"/>
            </w:tcBorders>
            <w:shd w:val="clear" w:color="auto" w:fill="auto"/>
            <w:vAlign w:val="center"/>
            <w:hideMark/>
          </w:tcPr>
          <w:p w14:paraId="5D573819"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3 055</w:t>
            </w:r>
          </w:p>
        </w:tc>
        <w:tc>
          <w:tcPr>
            <w:tcW w:w="964" w:type="dxa"/>
            <w:tcBorders>
              <w:top w:val="nil"/>
              <w:left w:val="nil"/>
              <w:bottom w:val="single" w:sz="4" w:space="0" w:color="0077BD"/>
              <w:right w:val="nil"/>
            </w:tcBorders>
            <w:shd w:val="clear" w:color="auto" w:fill="auto"/>
            <w:vAlign w:val="center"/>
            <w:hideMark/>
          </w:tcPr>
          <w:p w14:paraId="76100A35" w14:textId="77777777" w:rsidR="00841A0F" w:rsidRPr="00312186" w:rsidRDefault="00841A0F" w:rsidP="00841A0F">
            <w:pPr>
              <w:jc w:val="right"/>
              <w:rPr>
                <w:rFonts w:cs="Calibri"/>
                <w:color w:val="000000" w:themeColor="text1"/>
                <w:sz w:val="12"/>
                <w:szCs w:val="12"/>
              </w:rPr>
            </w:pPr>
            <w:r w:rsidRPr="00312186">
              <w:rPr>
                <w:rFonts w:cs="Calibri"/>
                <w:color w:val="000000" w:themeColor="text1"/>
                <w:sz w:val="12"/>
                <w:szCs w:val="12"/>
              </w:rPr>
              <w:t>(71 599)</w:t>
            </w:r>
          </w:p>
        </w:tc>
      </w:tr>
      <w:tr w:rsidR="00841A0F" w:rsidRPr="00BB7C9E" w14:paraId="5BD6A90A" w14:textId="77777777" w:rsidTr="00FD33F8">
        <w:trPr>
          <w:trHeight w:val="284"/>
        </w:trPr>
        <w:tc>
          <w:tcPr>
            <w:tcW w:w="0" w:type="auto"/>
            <w:tcBorders>
              <w:top w:val="single" w:sz="8" w:space="0" w:color="0077BD"/>
              <w:left w:val="nil"/>
              <w:bottom w:val="single" w:sz="8" w:space="0" w:color="0077BD"/>
              <w:right w:val="single" w:sz="8" w:space="0" w:color="0077BD"/>
            </w:tcBorders>
            <w:shd w:val="clear" w:color="auto" w:fill="auto"/>
            <w:vAlign w:val="center"/>
            <w:hideMark/>
          </w:tcPr>
          <w:p w14:paraId="0B20FC5C" w14:textId="77777777" w:rsidR="00841A0F" w:rsidRPr="00312186" w:rsidRDefault="00841A0F" w:rsidP="00841A0F">
            <w:pPr>
              <w:rPr>
                <w:rFonts w:cs="Calibri"/>
                <w:b/>
                <w:bCs/>
                <w:color w:val="000000" w:themeColor="text1"/>
                <w:sz w:val="12"/>
                <w:szCs w:val="12"/>
              </w:rPr>
            </w:pPr>
            <w:r w:rsidRPr="00312186">
              <w:rPr>
                <w:rFonts w:cs="Calibri"/>
                <w:b/>
                <w:bCs/>
                <w:color w:val="000000" w:themeColor="text1"/>
                <w:sz w:val="12"/>
                <w:szCs w:val="12"/>
              </w:rPr>
              <w:t>Razem</w:t>
            </w:r>
          </w:p>
        </w:tc>
        <w:tc>
          <w:tcPr>
            <w:tcW w:w="964" w:type="dxa"/>
            <w:tcBorders>
              <w:top w:val="single" w:sz="8" w:space="0" w:color="0077BD"/>
              <w:left w:val="nil"/>
              <w:bottom w:val="single" w:sz="8" w:space="0" w:color="0077BD"/>
              <w:right w:val="single" w:sz="8" w:space="0" w:color="0077BD"/>
            </w:tcBorders>
            <w:shd w:val="clear" w:color="auto" w:fill="auto"/>
            <w:vAlign w:val="center"/>
            <w:hideMark/>
          </w:tcPr>
          <w:p w14:paraId="0B7E0155"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(331 509)</w:t>
            </w:r>
          </w:p>
        </w:tc>
        <w:tc>
          <w:tcPr>
            <w:tcW w:w="964" w:type="dxa"/>
            <w:tcBorders>
              <w:top w:val="single" w:sz="8" w:space="0" w:color="0077BD"/>
              <w:left w:val="nil"/>
              <w:bottom w:val="single" w:sz="8" w:space="0" w:color="0077BD"/>
              <w:right w:val="single" w:sz="8" w:space="0" w:color="0077BD"/>
            </w:tcBorders>
            <w:shd w:val="clear" w:color="auto" w:fill="auto"/>
            <w:vAlign w:val="center"/>
            <w:hideMark/>
          </w:tcPr>
          <w:p w14:paraId="7C05DE49"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(40 243)</w:t>
            </w:r>
          </w:p>
        </w:tc>
        <w:tc>
          <w:tcPr>
            <w:tcW w:w="970" w:type="dxa"/>
            <w:tcBorders>
              <w:top w:val="single" w:sz="8" w:space="0" w:color="0077BD"/>
              <w:left w:val="nil"/>
              <w:bottom w:val="single" w:sz="8" w:space="0" w:color="0077BD"/>
              <w:right w:val="single" w:sz="8" w:space="0" w:color="0077BD"/>
            </w:tcBorders>
            <w:shd w:val="clear" w:color="auto" w:fill="auto"/>
            <w:vAlign w:val="center"/>
            <w:hideMark/>
          </w:tcPr>
          <w:p w14:paraId="082D9082"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(371 752)</w:t>
            </w:r>
          </w:p>
        </w:tc>
        <w:tc>
          <w:tcPr>
            <w:tcW w:w="964" w:type="dxa"/>
            <w:tcBorders>
              <w:top w:val="single" w:sz="8" w:space="0" w:color="0077BD"/>
              <w:left w:val="nil"/>
              <w:bottom w:val="single" w:sz="8" w:space="0" w:color="0077BD"/>
              <w:right w:val="single" w:sz="8" w:space="0" w:color="0077BD"/>
            </w:tcBorders>
            <w:shd w:val="clear" w:color="auto" w:fill="auto"/>
            <w:vAlign w:val="center"/>
            <w:hideMark/>
          </w:tcPr>
          <w:p w14:paraId="570D739D"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10 905</w:t>
            </w:r>
          </w:p>
        </w:tc>
        <w:tc>
          <w:tcPr>
            <w:tcW w:w="964" w:type="dxa"/>
            <w:tcBorders>
              <w:top w:val="single" w:sz="8" w:space="0" w:color="0077BD"/>
              <w:left w:val="nil"/>
              <w:bottom w:val="single" w:sz="8" w:space="0" w:color="0077BD"/>
              <w:right w:val="single" w:sz="8" w:space="0" w:color="0077BD"/>
            </w:tcBorders>
            <w:shd w:val="clear" w:color="auto" w:fill="auto"/>
            <w:vAlign w:val="center"/>
            <w:hideMark/>
          </w:tcPr>
          <w:p w14:paraId="3A192434"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(27 252)</w:t>
            </w:r>
          </w:p>
        </w:tc>
        <w:tc>
          <w:tcPr>
            <w:tcW w:w="964" w:type="dxa"/>
            <w:tcBorders>
              <w:top w:val="single" w:sz="8" w:space="0" w:color="0077BD"/>
              <w:left w:val="nil"/>
              <w:bottom w:val="single" w:sz="8" w:space="0" w:color="0077BD"/>
              <w:right w:val="single" w:sz="8" w:space="0" w:color="0077BD"/>
            </w:tcBorders>
            <w:shd w:val="clear" w:color="auto" w:fill="auto"/>
            <w:vAlign w:val="center"/>
            <w:hideMark/>
          </w:tcPr>
          <w:p w14:paraId="718EB462"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3 055</w:t>
            </w:r>
          </w:p>
        </w:tc>
        <w:tc>
          <w:tcPr>
            <w:tcW w:w="964" w:type="dxa"/>
            <w:tcBorders>
              <w:top w:val="single" w:sz="8" w:space="0" w:color="0077BD"/>
              <w:left w:val="nil"/>
              <w:bottom w:val="single" w:sz="8" w:space="0" w:color="0077BD"/>
              <w:right w:val="nil"/>
            </w:tcBorders>
            <w:shd w:val="clear" w:color="auto" w:fill="auto"/>
            <w:vAlign w:val="center"/>
            <w:hideMark/>
          </w:tcPr>
          <w:p w14:paraId="0AAAF71C" w14:textId="77777777" w:rsidR="00841A0F" w:rsidRPr="00312186" w:rsidRDefault="00841A0F" w:rsidP="00841A0F">
            <w:pPr>
              <w:jc w:val="right"/>
              <w:rPr>
                <w:rFonts w:cs="Calibri"/>
                <w:b/>
                <w:bCs/>
                <w:color w:val="000000" w:themeColor="text1"/>
                <w:sz w:val="12"/>
                <w:szCs w:val="12"/>
              </w:rPr>
            </w:pPr>
            <w:r w:rsidRPr="00312186">
              <w:rPr>
                <w:rFonts w:cs="Calibri"/>
                <w:b/>
                <w:bCs/>
                <w:color w:val="000000" w:themeColor="text1"/>
                <w:sz w:val="12"/>
                <w:szCs w:val="12"/>
              </w:rPr>
              <w:t>(385 044)</w:t>
            </w:r>
          </w:p>
        </w:tc>
      </w:tr>
    </w:tbl>
    <w:p w14:paraId="1B211FC3" w14:textId="77777777" w:rsidR="00190827" w:rsidRPr="00D50835" w:rsidRDefault="00190827" w:rsidP="00190827">
      <w:pPr>
        <w:suppressAutoHyphens/>
        <w:jc w:val="both"/>
        <w:rPr>
          <w:rFonts w:cs="Tahoma"/>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F3723D" w:rsidRPr="00F3723D" w14:paraId="21CF066C" w14:textId="77777777" w:rsidTr="00D50835">
        <w:trPr>
          <w:trHeight w:val="284"/>
        </w:trPr>
        <w:tc>
          <w:tcPr>
            <w:tcW w:w="6747" w:type="dxa"/>
            <w:tcBorders>
              <w:top w:val="nil"/>
              <w:left w:val="nil"/>
              <w:bottom w:val="nil"/>
              <w:right w:val="single" w:sz="8" w:space="0" w:color="FFFFFF"/>
            </w:tcBorders>
            <w:shd w:val="clear" w:color="000000" w:fill="0077BD"/>
            <w:vAlign w:val="center"/>
            <w:hideMark/>
          </w:tcPr>
          <w:p w14:paraId="481E1F6E" w14:textId="77777777" w:rsidR="00F3723D" w:rsidRPr="00F3723D" w:rsidRDefault="00F3723D" w:rsidP="00F3723D">
            <w:pPr>
              <w:rPr>
                <w:rFonts w:cs="Calibri"/>
                <w:b/>
                <w:bCs/>
                <w:color w:val="FFFFFF"/>
                <w:sz w:val="13"/>
                <w:szCs w:val="13"/>
              </w:rPr>
            </w:pPr>
            <w:r w:rsidRPr="00F3723D">
              <w:rPr>
                <w:rFonts w:cs="Calibri"/>
                <w:b/>
                <w:bCs/>
                <w:color w:val="FFFFFF"/>
                <w:sz w:val="13"/>
                <w:szCs w:val="13"/>
              </w:rPr>
              <w:t> </w:t>
            </w:r>
          </w:p>
        </w:tc>
        <w:tc>
          <w:tcPr>
            <w:tcW w:w="1418" w:type="dxa"/>
            <w:tcBorders>
              <w:top w:val="nil"/>
              <w:left w:val="nil"/>
              <w:bottom w:val="nil"/>
              <w:right w:val="single" w:sz="8" w:space="0" w:color="FFFFFF"/>
            </w:tcBorders>
            <w:shd w:val="clear" w:color="000000" w:fill="0077BD"/>
            <w:vAlign w:val="center"/>
            <w:hideMark/>
          </w:tcPr>
          <w:p w14:paraId="46A890DC" w14:textId="77777777" w:rsidR="00F3723D" w:rsidRPr="00F3723D" w:rsidRDefault="00F3723D" w:rsidP="00F3723D">
            <w:pPr>
              <w:jc w:val="right"/>
              <w:rPr>
                <w:rFonts w:cs="Calibri"/>
                <w:b/>
                <w:bCs/>
                <w:color w:val="FFFFFF"/>
                <w:sz w:val="13"/>
                <w:szCs w:val="13"/>
              </w:rPr>
            </w:pPr>
            <w:r w:rsidRPr="00F3723D">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4BCA0FDA" w14:textId="77777777" w:rsidR="00F3723D" w:rsidRPr="00F3723D" w:rsidRDefault="00F3723D" w:rsidP="00F3723D">
            <w:pPr>
              <w:jc w:val="right"/>
              <w:rPr>
                <w:rFonts w:cs="Calibri"/>
                <w:b/>
                <w:bCs/>
                <w:color w:val="FFFFFF"/>
                <w:sz w:val="13"/>
                <w:szCs w:val="13"/>
              </w:rPr>
            </w:pPr>
            <w:r w:rsidRPr="00F3723D">
              <w:rPr>
                <w:rFonts w:cs="Calibri"/>
                <w:b/>
                <w:bCs/>
                <w:color w:val="FFFFFF"/>
                <w:sz w:val="13"/>
                <w:szCs w:val="13"/>
              </w:rPr>
              <w:t>31.12.2018</w:t>
            </w:r>
          </w:p>
        </w:tc>
      </w:tr>
      <w:tr w:rsidR="00392D59" w:rsidRPr="00BB7C9E" w14:paraId="5659F3E4" w14:textId="77777777" w:rsidTr="00542510">
        <w:trPr>
          <w:trHeight w:val="255"/>
        </w:trPr>
        <w:tc>
          <w:tcPr>
            <w:tcW w:w="6747" w:type="dxa"/>
            <w:tcBorders>
              <w:top w:val="nil"/>
              <w:left w:val="nil"/>
              <w:bottom w:val="nil"/>
              <w:right w:val="single" w:sz="8" w:space="0" w:color="0077BD"/>
            </w:tcBorders>
            <w:shd w:val="clear" w:color="auto" w:fill="auto"/>
            <w:vAlign w:val="center"/>
            <w:hideMark/>
          </w:tcPr>
          <w:p w14:paraId="1E362A1D"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Odsetki naliczone</w:t>
            </w:r>
          </w:p>
        </w:tc>
        <w:tc>
          <w:tcPr>
            <w:tcW w:w="1418" w:type="dxa"/>
            <w:tcBorders>
              <w:top w:val="nil"/>
              <w:left w:val="nil"/>
              <w:bottom w:val="nil"/>
              <w:right w:val="single" w:sz="8" w:space="0" w:color="0077BD"/>
            </w:tcBorders>
            <w:shd w:val="clear" w:color="auto" w:fill="auto"/>
            <w:vAlign w:val="center"/>
          </w:tcPr>
          <w:p w14:paraId="1EFA5BF3" w14:textId="12FA1D87" w:rsidR="00392D59" w:rsidRPr="00312186" w:rsidRDefault="00392D59" w:rsidP="00392D59">
            <w:pPr>
              <w:jc w:val="right"/>
              <w:rPr>
                <w:rFonts w:cs="Calibri"/>
                <w:color w:val="000000" w:themeColor="text1"/>
                <w:sz w:val="13"/>
                <w:szCs w:val="13"/>
              </w:rPr>
            </w:pPr>
            <w:r w:rsidRPr="00312186">
              <w:rPr>
                <w:color w:val="000000" w:themeColor="text1"/>
                <w:sz w:val="13"/>
                <w:szCs w:val="13"/>
              </w:rPr>
              <w:t>(2 819)</w:t>
            </w:r>
          </w:p>
        </w:tc>
        <w:tc>
          <w:tcPr>
            <w:tcW w:w="1418" w:type="dxa"/>
            <w:tcBorders>
              <w:top w:val="nil"/>
              <w:left w:val="nil"/>
              <w:bottom w:val="nil"/>
              <w:right w:val="nil"/>
            </w:tcBorders>
            <w:shd w:val="clear" w:color="auto" w:fill="auto"/>
            <w:vAlign w:val="center"/>
            <w:hideMark/>
          </w:tcPr>
          <w:p w14:paraId="05A642B6"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23 662</w:t>
            </w:r>
          </w:p>
        </w:tc>
      </w:tr>
      <w:tr w:rsidR="00392D59" w:rsidRPr="00BB7C9E" w14:paraId="6A49B344" w14:textId="77777777" w:rsidTr="00542510">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53EE5F5F"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Wycena pochodnych instrumentów finansowych</w:t>
            </w:r>
          </w:p>
        </w:tc>
        <w:tc>
          <w:tcPr>
            <w:tcW w:w="1418" w:type="dxa"/>
            <w:tcBorders>
              <w:top w:val="single" w:sz="4" w:space="0" w:color="0077BD"/>
              <w:left w:val="nil"/>
              <w:bottom w:val="single" w:sz="4" w:space="0" w:color="0077BD"/>
              <w:right w:val="single" w:sz="8" w:space="0" w:color="0077BD"/>
            </w:tcBorders>
            <w:shd w:val="clear" w:color="auto" w:fill="auto"/>
            <w:vAlign w:val="center"/>
          </w:tcPr>
          <w:p w14:paraId="7ACDAEC7" w14:textId="204B72A7" w:rsidR="00392D59" w:rsidRPr="00312186" w:rsidRDefault="00392D59" w:rsidP="00392D59">
            <w:pPr>
              <w:jc w:val="right"/>
              <w:rPr>
                <w:rFonts w:cs="Calibri"/>
                <w:color w:val="000000" w:themeColor="text1"/>
                <w:sz w:val="13"/>
                <w:szCs w:val="13"/>
              </w:rPr>
            </w:pPr>
            <w:r w:rsidRPr="00312186">
              <w:rPr>
                <w:color w:val="000000" w:themeColor="text1"/>
                <w:sz w:val="13"/>
                <w:szCs w:val="13"/>
              </w:rPr>
              <w:t>(21 175)</w:t>
            </w:r>
          </w:p>
        </w:tc>
        <w:tc>
          <w:tcPr>
            <w:tcW w:w="1418" w:type="dxa"/>
            <w:tcBorders>
              <w:top w:val="single" w:sz="4" w:space="0" w:color="0077BD"/>
              <w:left w:val="nil"/>
              <w:bottom w:val="single" w:sz="4" w:space="0" w:color="0077BD"/>
              <w:right w:val="nil"/>
            </w:tcBorders>
            <w:shd w:val="clear" w:color="auto" w:fill="auto"/>
            <w:vAlign w:val="center"/>
            <w:hideMark/>
          </w:tcPr>
          <w:p w14:paraId="3FB6FE61"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(11 907)</w:t>
            </w:r>
          </w:p>
        </w:tc>
      </w:tr>
      <w:tr w:rsidR="00392D59" w:rsidRPr="00BB7C9E" w14:paraId="1B70CE36"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86F245A"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Wycena papierów wartościowych</w:t>
            </w:r>
          </w:p>
        </w:tc>
        <w:tc>
          <w:tcPr>
            <w:tcW w:w="1418" w:type="dxa"/>
            <w:tcBorders>
              <w:top w:val="nil"/>
              <w:left w:val="nil"/>
              <w:bottom w:val="single" w:sz="4" w:space="0" w:color="0077BD"/>
              <w:right w:val="single" w:sz="8" w:space="0" w:color="0077BD"/>
            </w:tcBorders>
            <w:shd w:val="clear" w:color="auto" w:fill="auto"/>
            <w:vAlign w:val="center"/>
          </w:tcPr>
          <w:p w14:paraId="4AD252B5" w14:textId="097A2366" w:rsidR="00392D59" w:rsidRPr="00312186" w:rsidRDefault="00392D59" w:rsidP="00392D59">
            <w:pPr>
              <w:jc w:val="right"/>
              <w:rPr>
                <w:rFonts w:cs="Calibri"/>
                <w:color w:val="000000" w:themeColor="text1"/>
                <w:sz w:val="13"/>
                <w:szCs w:val="13"/>
              </w:rPr>
            </w:pPr>
            <w:r w:rsidRPr="00312186">
              <w:rPr>
                <w:color w:val="000000" w:themeColor="text1"/>
                <w:sz w:val="13"/>
                <w:szCs w:val="13"/>
              </w:rPr>
              <w:t>(8 640)</w:t>
            </w:r>
          </w:p>
        </w:tc>
        <w:tc>
          <w:tcPr>
            <w:tcW w:w="1418" w:type="dxa"/>
            <w:tcBorders>
              <w:top w:val="nil"/>
              <w:left w:val="nil"/>
              <w:bottom w:val="single" w:sz="4" w:space="0" w:color="0077BD"/>
              <w:right w:val="nil"/>
            </w:tcBorders>
            <w:shd w:val="clear" w:color="auto" w:fill="auto"/>
            <w:vAlign w:val="center"/>
            <w:hideMark/>
          </w:tcPr>
          <w:p w14:paraId="01BBC492"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8 542</w:t>
            </w:r>
          </w:p>
        </w:tc>
      </w:tr>
      <w:tr w:rsidR="00392D59" w:rsidRPr="00BB7C9E" w14:paraId="50C60AF1"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1A3B7CC"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Rezerwy na utratę wartości kredytów i pożyczek</w:t>
            </w:r>
          </w:p>
        </w:tc>
        <w:tc>
          <w:tcPr>
            <w:tcW w:w="1418" w:type="dxa"/>
            <w:tcBorders>
              <w:top w:val="nil"/>
              <w:left w:val="nil"/>
              <w:bottom w:val="single" w:sz="4" w:space="0" w:color="0077BD"/>
              <w:right w:val="single" w:sz="8" w:space="0" w:color="0077BD"/>
            </w:tcBorders>
            <w:shd w:val="clear" w:color="auto" w:fill="auto"/>
            <w:vAlign w:val="center"/>
          </w:tcPr>
          <w:p w14:paraId="10CEF736" w14:textId="2DACB268" w:rsidR="00392D59" w:rsidRPr="00312186" w:rsidRDefault="00392D59" w:rsidP="00392D59">
            <w:pPr>
              <w:jc w:val="right"/>
              <w:rPr>
                <w:rFonts w:cs="Calibri"/>
                <w:color w:val="000000" w:themeColor="text1"/>
                <w:sz w:val="13"/>
                <w:szCs w:val="13"/>
              </w:rPr>
            </w:pPr>
            <w:r w:rsidRPr="00312186">
              <w:rPr>
                <w:color w:val="000000" w:themeColor="text1"/>
                <w:sz w:val="13"/>
                <w:szCs w:val="13"/>
              </w:rPr>
              <w:t>14 467</w:t>
            </w:r>
          </w:p>
        </w:tc>
        <w:tc>
          <w:tcPr>
            <w:tcW w:w="1418" w:type="dxa"/>
            <w:tcBorders>
              <w:top w:val="nil"/>
              <w:left w:val="nil"/>
              <w:bottom w:val="single" w:sz="4" w:space="0" w:color="0077BD"/>
              <w:right w:val="nil"/>
            </w:tcBorders>
            <w:shd w:val="clear" w:color="auto" w:fill="auto"/>
            <w:vAlign w:val="center"/>
            <w:hideMark/>
          </w:tcPr>
          <w:p w14:paraId="6EEE8DE2"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82 352</w:t>
            </w:r>
          </w:p>
        </w:tc>
      </w:tr>
      <w:tr w:rsidR="00392D59" w:rsidRPr="00BB7C9E" w14:paraId="671B87E6"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89E927F"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Rezerwy na świadczenia pracownicze</w:t>
            </w:r>
          </w:p>
        </w:tc>
        <w:tc>
          <w:tcPr>
            <w:tcW w:w="1418" w:type="dxa"/>
            <w:tcBorders>
              <w:top w:val="nil"/>
              <w:left w:val="nil"/>
              <w:bottom w:val="single" w:sz="4" w:space="0" w:color="0077BD"/>
              <w:right w:val="single" w:sz="8" w:space="0" w:color="0077BD"/>
            </w:tcBorders>
            <w:shd w:val="clear" w:color="auto" w:fill="auto"/>
            <w:vAlign w:val="center"/>
          </w:tcPr>
          <w:p w14:paraId="5666EEE6" w14:textId="55451C04" w:rsidR="00392D59" w:rsidRPr="00312186" w:rsidRDefault="00392D59" w:rsidP="00392D59">
            <w:pPr>
              <w:jc w:val="right"/>
              <w:rPr>
                <w:rFonts w:cs="Calibri"/>
                <w:color w:val="000000" w:themeColor="text1"/>
                <w:sz w:val="13"/>
                <w:szCs w:val="13"/>
              </w:rPr>
            </w:pPr>
            <w:r w:rsidRPr="00312186">
              <w:rPr>
                <w:color w:val="000000" w:themeColor="text1"/>
                <w:sz w:val="13"/>
                <w:szCs w:val="13"/>
              </w:rPr>
              <w:t>1 401</w:t>
            </w:r>
          </w:p>
        </w:tc>
        <w:tc>
          <w:tcPr>
            <w:tcW w:w="1418" w:type="dxa"/>
            <w:tcBorders>
              <w:top w:val="nil"/>
              <w:left w:val="nil"/>
              <w:bottom w:val="single" w:sz="4" w:space="0" w:color="0077BD"/>
              <w:right w:val="nil"/>
            </w:tcBorders>
            <w:shd w:val="clear" w:color="auto" w:fill="auto"/>
            <w:vAlign w:val="center"/>
            <w:hideMark/>
          </w:tcPr>
          <w:p w14:paraId="45E7C273"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3 842</w:t>
            </w:r>
          </w:p>
        </w:tc>
      </w:tr>
      <w:tr w:rsidR="00392D59" w:rsidRPr="00BB7C9E" w14:paraId="4CA679AF"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6395F65"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Pozostałe rezerwy</w:t>
            </w:r>
          </w:p>
        </w:tc>
        <w:tc>
          <w:tcPr>
            <w:tcW w:w="1418" w:type="dxa"/>
            <w:tcBorders>
              <w:top w:val="nil"/>
              <w:left w:val="nil"/>
              <w:bottom w:val="single" w:sz="4" w:space="0" w:color="0077BD"/>
              <w:right w:val="single" w:sz="8" w:space="0" w:color="0077BD"/>
            </w:tcBorders>
            <w:shd w:val="clear" w:color="auto" w:fill="auto"/>
            <w:vAlign w:val="center"/>
          </w:tcPr>
          <w:p w14:paraId="020D5B32" w14:textId="5750B64B" w:rsidR="00392D59" w:rsidRPr="00312186" w:rsidRDefault="00392D59" w:rsidP="00392D59">
            <w:pPr>
              <w:jc w:val="right"/>
              <w:rPr>
                <w:rFonts w:cs="Calibri"/>
                <w:color w:val="000000" w:themeColor="text1"/>
                <w:sz w:val="13"/>
                <w:szCs w:val="13"/>
              </w:rPr>
            </w:pPr>
            <w:r w:rsidRPr="00312186">
              <w:rPr>
                <w:color w:val="000000" w:themeColor="text1"/>
                <w:sz w:val="13"/>
                <w:szCs w:val="13"/>
              </w:rPr>
              <w:t>13 389</w:t>
            </w:r>
          </w:p>
        </w:tc>
        <w:tc>
          <w:tcPr>
            <w:tcW w:w="1418" w:type="dxa"/>
            <w:tcBorders>
              <w:top w:val="nil"/>
              <w:left w:val="nil"/>
              <w:bottom w:val="single" w:sz="4" w:space="0" w:color="0077BD"/>
              <w:right w:val="nil"/>
            </w:tcBorders>
            <w:shd w:val="clear" w:color="auto" w:fill="auto"/>
            <w:vAlign w:val="center"/>
            <w:hideMark/>
          </w:tcPr>
          <w:p w14:paraId="557034CD"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26 839</w:t>
            </w:r>
          </w:p>
        </w:tc>
      </w:tr>
      <w:tr w:rsidR="00392D59" w:rsidRPr="00BB7C9E" w14:paraId="3E9F1FDD"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9971DEB"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Rozliczenia międzyokresowe kosztów</w:t>
            </w:r>
          </w:p>
        </w:tc>
        <w:tc>
          <w:tcPr>
            <w:tcW w:w="1418" w:type="dxa"/>
            <w:tcBorders>
              <w:top w:val="nil"/>
              <w:left w:val="nil"/>
              <w:bottom w:val="single" w:sz="4" w:space="0" w:color="0077BD"/>
              <w:right w:val="single" w:sz="8" w:space="0" w:color="0077BD"/>
            </w:tcBorders>
            <w:shd w:val="clear" w:color="auto" w:fill="auto"/>
            <w:vAlign w:val="center"/>
          </w:tcPr>
          <w:p w14:paraId="25639711" w14:textId="4E6E4A37" w:rsidR="00392D59" w:rsidRPr="00312186" w:rsidRDefault="00392D59" w:rsidP="00392D59">
            <w:pPr>
              <w:jc w:val="right"/>
              <w:rPr>
                <w:rFonts w:cs="Calibri"/>
                <w:color w:val="000000" w:themeColor="text1"/>
                <w:sz w:val="13"/>
                <w:szCs w:val="13"/>
              </w:rPr>
            </w:pPr>
            <w:r w:rsidRPr="00312186">
              <w:rPr>
                <w:color w:val="000000" w:themeColor="text1"/>
                <w:sz w:val="13"/>
                <w:szCs w:val="13"/>
              </w:rPr>
              <w:t>(32 845)</w:t>
            </w:r>
          </w:p>
        </w:tc>
        <w:tc>
          <w:tcPr>
            <w:tcW w:w="1418" w:type="dxa"/>
            <w:tcBorders>
              <w:top w:val="nil"/>
              <w:left w:val="nil"/>
              <w:bottom w:val="single" w:sz="4" w:space="0" w:color="0077BD"/>
              <w:right w:val="nil"/>
            </w:tcBorders>
            <w:shd w:val="clear" w:color="auto" w:fill="auto"/>
            <w:vAlign w:val="center"/>
            <w:hideMark/>
          </w:tcPr>
          <w:p w14:paraId="78A720B8"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35 123</w:t>
            </w:r>
          </w:p>
        </w:tc>
      </w:tr>
      <w:tr w:rsidR="00392D59" w:rsidRPr="00BB7C9E" w14:paraId="37D180FA"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9964636"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Odsetki i prowizje pobrane z góry</w:t>
            </w:r>
          </w:p>
        </w:tc>
        <w:tc>
          <w:tcPr>
            <w:tcW w:w="1418" w:type="dxa"/>
            <w:tcBorders>
              <w:top w:val="nil"/>
              <w:left w:val="nil"/>
              <w:bottom w:val="single" w:sz="4" w:space="0" w:color="0077BD"/>
              <w:right w:val="single" w:sz="8" w:space="0" w:color="0077BD"/>
            </w:tcBorders>
            <w:shd w:val="clear" w:color="auto" w:fill="auto"/>
            <w:vAlign w:val="center"/>
          </w:tcPr>
          <w:p w14:paraId="15107929" w14:textId="7821FA31" w:rsidR="00392D59" w:rsidRPr="00312186" w:rsidRDefault="00392D59" w:rsidP="00392D59">
            <w:pPr>
              <w:jc w:val="right"/>
              <w:rPr>
                <w:rFonts w:cs="Calibri"/>
                <w:color w:val="000000" w:themeColor="text1"/>
                <w:sz w:val="13"/>
                <w:szCs w:val="13"/>
              </w:rPr>
            </w:pPr>
            <w:r w:rsidRPr="00312186">
              <w:rPr>
                <w:color w:val="000000" w:themeColor="text1"/>
                <w:sz w:val="13"/>
                <w:szCs w:val="13"/>
              </w:rPr>
              <w:t>(9 451)</w:t>
            </w:r>
          </w:p>
        </w:tc>
        <w:tc>
          <w:tcPr>
            <w:tcW w:w="1418" w:type="dxa"/>
            <w:tcBorders>
              <w:top w:val="nil"/>
              <w:left w:val="nil"/>
              <w:bottom w:val="single" w:sz="4" w:space="0" w:color="0077BD"/>
              <w:right w:val="nil"/>
            </w:tcBorders>
            <w:shd w:val="clear" w:color="auto" w:fill="auto"/>
            <w:vAlign w:val="center"/>
            <w:hideMark/>
          </w:tcPr>
          <w:p w14:paraId="3404D0F8"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(5 424)</w:t>
            </w:r>
          </w:p>
        </w:tc>
      </w:tr>
      <w:tr w:rsidR="00392D59" w:rsidRPr="00BB7C9E" w14:paraId="2F933241" w14:textId="77777777" w:rsidTr="00392D59">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16A2DCF"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Różnica między wartością bilansową i podatkową rzeczowych aktywów trwałych oraz wartości niematerialnych</w:t>
            </w:r>
          </w:p>
        </w:tc>
        <w:tc>
          <w:tcPr>
            <w:tcW w:w="1418" w:type="dxa"/>
            <w:tcBorders>
              <w:top w:val="nil"/>
              <w:left w:val="nil"/>
              <w:bottom w:val="single" w:sz="4" w:space="0" w:color="0077BD"/>
              <w:right w:val="single" w:sz="8" w:space="0" w:color="0077BD"/>
            </w:tcBorders>
            <w:shd w:val="clear" w:color="auto" w:fill="auto"/>
            <w:vAlign w:val="center"/>
          </w:tcPr>
          <w:p w14:paraId="016C2D67" w14:textId="4A881E50" w:rsidR="00392D59" w:rsidRPr="00312186" w:rsidRDefault="00392D59" w:rsidP="00392D59">
            <w:pPr>
              <w:jc w:val="right"/>
              <w:rPr>
                <w:rFonts w:cs="Calibri"/>
                <w:color w:val="000000" w:themeColor="text1"/>
                <w:sz w:val="13"/>
                <w:szCs w:val="13"/>
              </w:rPr>
            </w:pPr>
            <w:r w:rsidRPr="00312186">
              <w:rPr>
                <w:color w:val="000000" w:themeColor="text1"/>
                <w:sz w:val="13"/>
                <w:szCs w:val="13"/>
              </w:rPr>
              <w:t>12 390</w:t>
            </w:r>
          </w:p>
        </w:tc>
        <w:tc>
          <w:tcPr>
            <w:tcW w:w="1418" w:type="dxa"/>
            <w:tcBorders>
              <w:top w:val="nil"/>
              <w:left w:val="nil"/>
              <w:bottom w:val="single" w:sz="4" w:space="0" w:color="0077BD"/>
              <w:right w:val="nil"/>
            </w:tcBorders>
            <w:shd w:val="clear" w:color="auto" w:fill="auto"/>
            <w:vAlign w:val="center"/>
            <w:hideMark/>
          </w:tcPr>
          <w:p w14:paraId="2E167BAC"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2 954</w:t>
            </w:r>
          </w:p>
        </w:tc>
      </w:tr>
      <w:tr w:rsidR="00392D59" w:rsidRPr="00BB7C9E" w14:paraId="46DF9259"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CFBB281"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Różnica między wartością bilansową i podatkową leasingu</w:t>
            </w:r>
          </w:p>
        </w:tc>
        <w:tc>
          <w:tcPr>
            <w:tcW w:w="1418" w:type="dxa"/>
            <w:tcBorders>
              <w:top w:val="nil"/>
              <w:left w:val="nil"/>
              <w:bottom w:val="single" w:sz="4" w:space="0" w:color="0077BD"/>
              <w:right w:val="single" w:sz="8" w:space="0" w:color="0077BD"/>
            </w:tcBorders>
            <w:shd w:val="clear" w:color="auto" w:fill="auto"/>
            <w:vAlign w:val="center"/>
          </w:tcPr>
          <w:p w14:paraId="1EFBDA9E" w14:textId="62FFCE48" w:rsidR="00392D59" w:rsidRPr="00312186" w:rsidRDefault="00392D59" w:rsidP="00392D59">
            <w:pPr>
              <w:jc w:val="right"/>
              <w:rPr>
                <w:rFonts w:cs="Calibri"/>
                <w:color w:val="000000" w:themeColor="text1"/>
                <w:sz w:val="13"/>
                <w:szCs w:val="13"/>
              </w:rPr>
            </w:pPr>
            <w:r w:rsidRPr="00312186">
              <w:rPr>
                <w:color w:val="000000" w:themeColor="text1"/>
                <w:sz w:val="13"/>
                <w:szCs w:val="13"/>
              </w:rPr>
              <w:t>8 418</w:t>
            </w:r>
          </w:p>
        </w:tc>
        <w:tc>
          <w:tcPr>
            <w:tcW w:w="1418" w:type="dxa"/>
            <w:tcBorders>
              <w:top w:val="nil"/>
              <w:left w:val="nil"/>
              <w:bottom w:val="single" w:sz="4" w:space="0" w:color="0077BD"/>
              <w:right w:val="nil"/>
            </w:tcBorders>
            <w:shd w:val="clear" w:color="auto" w:fill="auto"/>
            <w:vAlign w:val="center"/>
            <w:hideMark/>
          </w:tcPr>
          <w:p w14:paraId="3EFE8FCD"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99 534</w:t>
            </w:r>
          </w:p>
        </w:tc>
      </w:tr>
      <w:tr w:rsidR="00392D59" w:rsidRPr="00BB7C9E" w14:paraId="3EC5B75E" w14:textId="77777777" w:rsidTr="00542510">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9FE493C"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Straty podatkowe pozostałe do rozliczenia w następnych okresach</w:t>
            </w:r>
          </w:p>
        </w:tc>
        <w:tc>
          <w:tcPr>
            <w:tcW w:w="1418" w:type="dxa"/>
            <w:tcBorders>
              <w:top w:val="nil"/>
              <w:left w:val="nil"/>
              <w:bottom w:val="single" w:sz="4" w:space="0" w:color="0077BD"/>
              <w:right w:val="single" w:sz="8" w:space="0" w:color="0077BD"/>
            </w:tcBorders>
            <w:shd w:val="clear" w:color="auto" w:fill="auto"/>
            <w:vAlign w:val="center"/>
          </w:tcPr>
          <w:p w14:paraId="7B4C41A9" w14:textId="0A999D97" w:rsidR="00392D59" w:rsidRPr="00312186" w:rsidRDefault="00392D59" w:rsidP="00392D59">
            <w:pPr>
              <w:jc w:val="right"/>
              <w:rPr>
                <w:rFonts w:cs="Calibri"/>
                <w:color w:val="000000" w:themeColor="text1"/>
                <w:sz w:val="13"/>
                <w:szCs w:val="13"/>
              </w:rPr>
            </w:pPr>
            <w:r w:rsidRPr="00312186">
              <w:rPr>
                <w:color w:val="000000" w:themeColor="text1"/>
                <w:sz w:val="13"/>
                <w:szCs w:val="13"/>
              </w:rPr>
              <w:t>2 123</w:t>
            </w:r>
          </w:p>
        </w:tc>
        <w:tc>
          <w:tcPr>
            <w:tcW w:w="1418" w:type="dxa"/>
            <w:tcBorders>
              <w:top w:val="nil"/>
              <w:left w:val="nil"/>
              <w:bottom w:val="single" w:sz="4" w:space="0" w:color="0077BD"/>
              <w:right w:val="nil"/>
            </w:tcBorders>
            <w:shd w:val="clear" w:color="auto" w:fill="auto"/>
            <w:vAlign w:val="center"/>
            <w:hideMark/>
          </w:tcPr>
          <w:p w14:paraId="377FD972"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(78)</w:t>
            </w:r>
          </w:p>
        </w:tc>
      </w:tr>
      <w:tr w:rsidR="00392D59" w:rsidRPr="00BB7C9E" w14:paraId="3E4EFB4C" w14:textId="77777777" w:rsidTr="00542510">
        <w:trPr>
          <w:trHeight w:val="255"/>
        </w:trPr>
        <w:tc>
          <w:tcPr>
            <w:tcW w:w="6747" w:type="dxa"/>
            <w:tcBorders>
              <w:top w:val="nil"/>
              <w:left w:val="nil"/>
              <w:bottom w:val="nil"/>
              <w:right w:val="single" w:sz="8" w:space="0" w:color="0077BD"/>
            </w:tcBorders>
            <w:shd w:val="clear" w:color="auto" w:fill="auto"/>
            <w:vAlign w:val="center"/>
            <w:hideMark/>
          </w:tcPr>
          <w:p w14:paraId="42185988" w14:textId="77777777" w:rsidR="00392D59" w:rsidRPr="00312186" w:rsidRDefault="00392D59" w:rsidP="00392D59">
            <w:pPr>
              <w:rPr>
                <w:rFonts w:cs="Calibri"/>
                <w:color w:val="000000" w:themeColor="text1"/>
                <w:sz w:val="13"/>
                <w:szCs w:val="13"/>
              </w:rPr>
            </w:pPr>
            <w:r w:rsidRPr="00312186">
              <w:rPr>
                <w:rFonts w:cs="Calibri"/>
                <w:color w:val="000000" w:themeColor="text1"/>
                <w:sz w:val="13"/>
                <w:szCs w:val="13"/>
              </w:rPr>
              <w:t>Pozostałe różnice przejściowe</w:t>
            </w:r>
          </w:p>
        </w:tc>
        <w:tc>
          <w:tcPr>
            <w:tcW w:w="1418" w:type="dxa"/>
            <w:tcBorders>
              <w:top w:val="nil"/>
              <w:left w:val="nil"/>
              <w:bottom w:val="nil"/>
              <w:right w:val="single" w:sz="8" w:space="0" w:color="0077BD"/>
            </w:tcBorders>
            <w:shd w:val="clear" w:color="auto" w:fill="auto"/>
            <w:vAlign w:val="center"/>
          </w:tcPr>
          <w:p w14:paraId="3B2F7BB7" w14:textId="423F5FE1" w:rsidR="00392D59" w:rsidRPr="00312186" w:rsidRDefault="00392D59" w:rsidP="00392D59">
            <w:pPr>
              <w:jc w:val="right"/>
              <w:rPr>
                <w:rFonts w:cs="Calibri"/>
                <w:color w:val="000000" w:themeColor="text1"/>
                <w:sz w:val="13"/>
                <w:szCs w:val="13"/>
              </w:rPr>
            </w:pPr>
            <w:r w:rsidRPr="00312186">
              <w:rPr>
                <w:color w:val="000000" w:themeColor="text1"/>
                <w:sz w:val="13"/>
                <w:szCs w:val="13"/>
              </w:rPr>
              <w:t>10 668</w:t>
            </w:r>
          </w:p>
        </w:tc>
        <w:tc>
          <w:tcPr>
            <w:tcW w:w="1418" w:type="dxa"/>
            <w:tcBorders>
              <w:top w:val="nil"/>
              <w:left w:val="nil"/>
              <w:bottom w:val="nil"/>
              <w:right w:val="nil"/>
            </w:tcBorders>
            <w:shd w:val="clear" w:color="auto" w:fill="auto"/>
            <w:vAlign w:val="center"/>
            <w:hideMark/>
          </w:tcPr>
          <w:p w14:paraId="27A9F5FF" w14:textId="77777777" w:rsidR="00392D59" w:rsidRPr="00312186" w:rsidRDefault="00392D59" w:rsidP="00392D59">
            <w:pPr>
              <w:jc w:val="right"/>
              <w:rPr>
                <w:rFonts w:cs="Calibri"/>
                <w:color w:val="000000" w:themeColor="text1"/>
                <w:sz w:val="13"/>
                <w:szCs w:val="13"/>
              </w:rPr>
            </w:pPr>
            <w:r w:rsidRPr="00312186">
              <w:rPr>
                <w:rFonts w:cs="Calibri"/>
                <w:color w:val="000000" w:themeColor="text1"/>
                <w:sz w:val="13"/>
                <w:szCs w:val="13"/>
              </w:rPr>
              <w:t>17 833</w:t>
            </w:r>
          </w:p>
        </w:tc>
      </w:tr>
      <w:tr w:rsidR="00392D59" w:rsidRPr="00BB7C9E" w14:paraId="013383F4" w14:textId="77777777" w:rsidTr="00542510">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70B6D45" w14:textId="77777777" w:rsidR="00392D59" w:rsidRPr="00312186" w:rsidRDefault="00392D59" w:rsidP="00392D59">
            <w:pPr>
              <w:rPr>
                <w:rFonts w:cs="Calibri"/>
                <w:b/>
                <w:bCs/>
                <w:color w:val="000000" w:themeColor="text1"/>
                <w:sz w:val="13"/>
                <w:szCs w:val="13"/>
              </w:rPr>
            </w:pPr>
            <w:r w:rsidRPr="00312186">
              <w:rPr>
                <w:rFonts w:cs="Calibri"/>
                <w:b/>
                <w:bCs/>
                <w:color w:val="000000" w:themeColor="text1"/>
                <w:sz w:val="13"/>
                <w:szCs w:val="13"/>
              </w:rPr>
              <w:t>Razem podatek odroczony ujęty w rachunku zysków i strat (Nota 16)</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0C6BE808" w14:textId="144E1328" w:rsidR="00392D59" w:rsidRPr="00312186" w:rsidRDefault="00392D59" w:rsidP="00392D59">
            <w:pPr>
              <w:jc w:val="right"/>
              <w:rPr>
                <w:rFonts w:cs="Calibri"/>
                <w:b/>
                <w:bCs/>
                <w:color w:val="000000" w:themeColor="text1"/>
                <w:sz w:val="13"/>
                <w:szCs w:val="13"/>
              </w:rPr>
            </w:pPr>
            <w:r w:rsidRPr="00312186">
              <w:rPr>
                <w:b/>
                <w:color w:val="000000" w:themeColor="text1"/>
                <w:sz w:val="13"/>
                <w:szCs w:val="13"/>
              </w:rPr>
              <w:t>(12 074)</w:t>
            </w:r>
          </w:p>
        </w:tc>
        <w:tc>
          <w:tcPr>
            <w:tcW w:w="1418" w:type="dxa"/>
            <w:tcBorders>
              <w:top w:val="single" w:sz="8" w:space="0" w:color="0077BD"/>
              <w:left w:val="nil"/>
              <w:bottom w:val="single" w:sz="8" w:space="0" w:color="0077BD"/>
              <w:right w:val="nil"/>
            </w:tcBorders>
            <w:shd w:val="clear" w:color="auto" w:fill="auto"/>
            <w:vAlign w:val="center"/>
            <w:hideMark/>
          </w:tcPr>
          <w:p w14:paraId="22B1270B" w14:textId="77777777" w:rsidR="00392D59" w:rsidRPr="00312186" w:rsidRDefault="00392D59" w:rsidP="00392D59">
            <w:pPr>
              <w:jc w:val="right"/>
              <w:rPr>
                <w:rFonts w:cs="Calibri"/>
                <w:b/>
                <w:bCs/>
                <w:color w:val="000000" w:themeColor="text1"/>
                <w:sz w:val="13"/>
                <w:szCs w:val="13"/>
              </w:rPr>
            </w:pPr>
            <w:r w:rsidRPr="00312186">
              <w:rPr>
                <w:rFonts w:cs="Calibri"/>
                <w:b/>
                <w:bCs/>
                <w:color w:val="000000" w:themeColor="text1"/>
                <w:sz w:val="13"/>
                <w:szCs w:val="13"/>
              </w:rPr>
              <w:t>283 272</w:t>
            </w:r>
          </w:p>
        </w:tc>
      </w:tr>
    </w:tbl>
    <w:p w14:paraId="79FCFFEE" w14:textId="4F09B274" w:rsidR="00E05D4D" w:rsidRPr="00BB7C9E" w:rsidRDefault="00392D59" w:rsidP="005A26D5">
      <w:pPr>
        <w:suppressAutoHyphens/>
        <w:spacing w:before="120"/>
        <w:jc w:val="both"/>
        <w:rPr>
          <w:rFonts w:cs="Tahoma"/>
          <w:color w:val="000000" w:themeColor="text1"/>
          <w:sz w:val="18"/>
          <w:szCs w:val="18"/>
        </w:rPr>
      </w:pPr>
      <w:r>
        <w:rPr>
          <w:rFonts w:cs="Tahoma"/>
          <w:color w:val="000000" w:themeColor="text1"/>
          <w:sz w:val="18"/>
          <w:szCs w:val="18"/>
        </w:rPr>
        <w:t>P</w:t>
      </w:r>
      <w:r w:rsidRPr="00392D59">
        <w:rPr>
          <w:rFonts w:cs="Tahoma"/>
          <w:color w:val="000000" w:themeColor="text1"/>
          <w:sz w:val="18"/>
          <w:szCs w:val="18"/>
        </w:rPr>
        <w:t>ozycja „Pozostałe dodatnie</w:t>
      </w:r>
      <w:r>
        <w:rPr>
          <w:rFonts w:cs="Tahoma"/>
          <w:color w:val="000000" w:themeColor="text1"/>
          <w:sz w:val="18"/>
          <w:szCs w:val="18"/>
        </w:rPr>
        <w:t xml:space="preserve"> różnice przejściowe” zawiera między innymi</w:t>
      </w:r>
      <w:r w:rsidRPr="00392D59">
        <w:rPr>
          <w:rFonts w:cs="Tahoma"/>
          <w:color w:val="000000" w:themeColor="text1"/>
          <w:sz w:val="18"/>
          <w:szCs w:val="18"/>
        </w:rPr>
        <w:t xml:space="preserve"> wpływ utworzenia rezerwy z</w:t>
      </w:r>
      <w:r>
        <w:rPr>
          <w:rFonts w:cs="Tahoma"/>
          <w:color w:val="000000" w:themeColor="text1"/>
          <w:sz w:val="18"/>
          <w:szCs w:val="18"/>
        </w:rPr>
        <w:t> </w:t>
      </w:r>
      <w:r w:rsidRPr="00392D59">
        <w:rPr>
          <w:rFonts w:cs="Tahoma"/>
          <w:color w:val="000000" w:themeColor="text1"/>
          <w:sz w:val="18"/>
          <w:szCs w:val="18"/>
        </w:rPr>
        <w:t>tytułu pod</w:t>
      </w:r>
      <w:r>
        <w:rPr>
          <w:rFonts w:cs="Tahoma"/>
          <w:color w:val="000000" w:themeColor="text1"/>
          <w:sz w:val="18"/>
          <w:szCs w:val="18"/>
        </w:rPr>
        <w:t>atku odroczonego w wysokości 18 </w:t>
      </w:r>
      <w:r w:rsidRPr="00392D59">
        <w:rPr>
          <w:rFonts w:cs="Tahoma"/>
          <w:color w:val="000000" w:themeColor="text1"/>
          <w:sz w:val="18"/>
          <w:szCs w:val="18"/>
        </w:rPr>
        <w:t>774 tys</w:t>
      </w:r>
      <w:r>
        <w:rPr>
          <w:rFonts w:cs="Tahoma"/>
          <w:color w:val="000000" w:themeColor="text1"/>
          <w:sz w:val="18"/>
          <w:szCs w:val="18"/>
        </w:rPr>
        <w:t>. zł na koniec 2019 roku (22 </w:t>
      </w:r>
      <w:r w:rsidRPr="00392D59">
        <w:rPr>
          <w:rFonts w:cs="Tahoma"/>
          <w:color w:val="000000" w:themeColor="text1"/>
          <w:sz w:val="18"/>
          <w:szCs w:val="18"/>
        </w:rPr>
        <w:t>529 tys. zł na koniec 2018 roku) wynikającej z wdrożenia MSSF 9 w odniesieniu do rozpoznanych w latach ubiegłych kosztów uzyskania przychodów z tytułu rezerwy na poniesione nieudokumentowane ryzyko kredytowe. Zgodnie z</w:t>
      </w:r>
      <w:r>
        <w:rPr>
          <w:rFonts w:cs="Tahoma"/>
          <w:color w:val="000000" w:themeColor="text1"/>
          <w:sz w:val="18"/>
          <w:szCs w:val="18"/>
        </w:rPr>
        <w:t> </w:t>
      </w:r>
      <w:r w:rsidRPr="00392D59">
        <w:rPr>
          <w:rFonts w:cs="Tahoma"/>
          <w:color w:val="000000" w:themeColor="text1"/>
          <w:sz w:val="18"/>
          <w:szCs w:val="18"/>
        </w:rPr>
        <w:t>art. 12 ust. 4 ustaw</w:t>
      </w:r>
      <w:r>
        <w:rPr>
          <w:rFonts w:cs="Tahoma"/>
          <w:color w:val="000000" w:themeColor="text1"/>
          <w:sz w:val="18"/>
          <w:szCs w:val="18"/>
        </w:rPr>
        <w:t>y z dnia 27 października 2017 roku</w:t>
      </w:r>
      <w:r w:rsidRPr="00392D59">
        <w:rPr>
          <w:rFonts w:cs="Tahoma"/>
          <w:color w:val="000000" w:themeColor="text1"/>
          <w:sz w:val="18"/>
          <w:szCs w:val="18"/>
        </w:rPr>
        <w:t xml:space="preserve"> o zmianie ustawy o podatku dochodowym od</w:t>
      </w:r>
      <w:r w:rsidR="00502887">
        <w:rPr>
          <w:rFonts w:cs="Tahoma"/>
          <w:color w:val="000000" w:themeColor="text1"/>
          <w:sz w:val="18"/>
          <w:szCs w:val="18"/>
        </w:rPr>
        <w:t> </w:t>
      </w:r>
      <w:r w:rsidRPr="00392D59">
        <w:rPr>
          <w:rFonts w:cs="Tahoma"/>
          <w:color w:val="000000" w:themeColor="text1"/>
          <w:sz w:val="18"/>
          <w:szCs w:val="18"/>
        </w:rPr>
        <w:t>osób fizycznych, ustawy o podatku dochodowym od osób prawnych oraz ustawy o zryczałtowanym podatku dochodowym od niektórych przychodów osiąganych przez osoby fizyczne, w przypadku, gdy Bank przed 1</w:t>
      </w:r>
      <w:r>
        <w:rPr>
          <w:rFonts w:cs="Tahoma"/>
          <w:color w:val="000000" w:themeColor="text1"/>
          <w:sz w:val="18"/>
          <w:szCs w:val="18"/>
        </w:rPr>
        <w:t> </w:t>
      </w:r>
      <w:r w:rsidRPr="00392D59">
        <w:rPr>
          <w:rFonts w:cs="Tahoma"/>
          <w:color w:val="000000" w:themeColor="text1"/>
          <w:sz w:val="18"/>
          <w:szCs w:val="18"/>
        </w:rPr>
        <w:t>stycznia 2018 roku zaliczył IBNR do kosztów uzyskania przychodów, po wejściu w życie Nowelizacji zobowiązany jest do rozpoznania przychodu do wysokości rozpoznanej uprzednio jako koszt podatkowy. Bank rozpoznaje przychody z tego tytułu proporcjonalnie przez okres 7 kolejnych lat podatkowych.</w:t>
      </w:r>
    </w:p>
    <w:p w14:paraId="00958B09" w14:textId="037C7717" w:rsidR="0025647E" w:rsidRPr="00BB7C9E" w:rsidRDefault="00803826" w:rsidP="0025647E">
      <w:pPr>
        <w:pStyle w:val="Tekstpodstawowy"/>
        <w:spacing w:before="120" w:after="0"/>
        <w:jc w:val="both"/>
        <w:rPr>
          <w:rFonts w:cs="Tahoma"/>
          <w:iCs/>
          <w:color w:val="000000" w:themeColor="text1"/>
          <w:sz w:val="18"/>
          <w:szCs w:val="18"/>
        </w:rPr>
      </w:pPr>
      <w:r w:rsidRPr="00FC3ED0">
        <w:rPr>
          <w:rFonts w:cs="Tahoma"/>
          <w:iCs/>
          <w:color w:val="000000" w:themeColor="text1"/>
          <w:sz w:val="18"/>
          <w:szCs w:val="18"/>
        </w:rPr>
        <w:t>Grupa dokonała oceny odzyskiwalności aktywów z tytułu odroczonego podatku dochodowego. Zgodnie z</w:t>
      </w:r>
      <w:r w:rsidR="00FC3ED0">
        <w:rPr>
          <w:rFonts w:cs="Tahoma"/>
          <w:iCs/>
          <w:color w:val="000000" w:themeColor="text1"/>
          <w:sz w:val="18"/>
          <w:szCs w:val="18"/>
        </w:rPr>
        <w:t> </w:t>
      </w:r>
      <w:r w:rsidRPr="00FC3ED0">
        <w:rPr>
          <w:rFonts w:cs="Tahoma"/>
          <w:iCs/>
          <w:color w:val="000000" w:themeColor="text1"/>
          <w:sz w:val="18"/>
          <w:szCs w:val="18"/>
        </w:rPr>
        <w:t>zasadami paragrafu 28 i 29 MSR 12 „Podatek dochodowy”, Grupa rozpoznała aktywa z tytułu odroczonego podatku dochodowego w zakresie, w jakim jest prawdopodobne, że Grupa będzie miała wystarczający dochód do opodatkowania w przyszłych okresach lub ma możliwość planowania płatności podatkowych, które</w:t>
      </w:r>
      <w:r w:rsidR="002F2689">
        <w:rPr>
          <w:rFonts w:cs="Tahoma"/>
          <w:iCs/>
          <w:color w:val="000000" w:themeColor="text1"/>
          <w:sz w:val="18"/>
          <w:szCs w:val="18"/>
        </w:rPr>
        <w:t> </w:t>
      </w:r>
      <w:r w:rsidRPr="00FC3ED0">
        <w:rPr>
          <w:rFonts w:cs="Tahoma"/>
          <w:iCs/>
          <w:color w:val="000000" w:themeColor="text1"/>
          <w:sz w:val="18"/>
          <w:szCs w:val="18"/>
        </w:rPr>
        <w:t>spowodują powstanie dochodu do opodatkowania w odpowiednich okresach.</w:t>
      </w:r>
    </w:p>
    <w:p w14:paraId="0D60A812" w14:textId="6E6BDB4A" w:rsidR="00E05D4D" w:rsidRPr="00BB7C9E" w:rsidRDefault="00392D59" w:rsidP="00E05D4D">
      <w:pPr>
        <w:spacing w:before="120"/>
        <w:jc w:val="both"/>
        <w:rPr>
          <w:color w:val="000000" w:themeColor="text1"/>
          <w:sz w:val="18"/>
          <w:szCs w:val="18"/>
        </w:rPr>
      </w:pPr>
      <w:r w:rsidRPr="00392D59">
        <w:rPr>
          <w:color w:val="000000" w:themeColor="text1"/>
          <w:sz w:val="18"/>
          <w:szCs w:val="18"/>
        </w:rPr>
        <w:t xml:space="preserve">Poziom aktywa z tytułu podatku odroczonego za rok 2019 i 2018 </w:t>
      </w:r>
      <w:r w:rsidR="00D248C0">
        <w:rPr>
          <w:color w:val="000000" w:themeColor="text1"/>
          <w:sz w:val="18"/>
          <w:szCs w:val="18"/>
        </w:rPr>
        <w:t>nie obejmuje strat podatkowych o</w:t>
      </w:r>
      <w:r w:rsidRPr="00392D59">
        <w:rPr>
          <w:color w:val="000000" w:themeColor="text1"/>
          <w:sz w:val="18"/>
          <w:szCs w:val="18"/>
        </w:rPr>
        <w:t>ddziału zagranicznego na Słow</w:t>
      </w:r>
      <w:r>
        <w:rPr>
          <w:color w:val="000000" w:themeColor="text1"/>
          <w:sz w:val="18"/>
          <w:szCs w:val="18"/>
        </w:rPr>
        <w:t>acji w wysokości odpowiednio: 1 986 tys. EUR (równowartość 8 </w:t>
      </w:r>
      <w:r w:rsidRPr="00392D59">
        <w:rPr>
          <w:color w:val="000000" w:themeColor="text1"/>
          <w:sz w:val="18"/>
          <w:szCs w:val="18"/>
        </w:rPr>
        <w:t>457 tys. zł według kursu średniego NBP z</w:t>
      </w:r>
      <w:r w:rsidR="00824153">
        <w:rPr>
          <w:color w:val="000000" w:themeColor="text1"/>
          <w:sz w:val="18"/>
          <w:szCs w:val="18"/>
        </w:rPr>
        <w:t xml:space="preserve"> dnia 31 grudnia 2019 roku) i 1</w:t>
      </w:r>
      <w:r>
        <w:rPr>
          <w:color w:val="000000" w:themeColor="text1"/>
          <w:sz w:val="18"/>
          <w:szCs w:val="18"/>
        </w:rPr>
        <w:t> 693 tys. EUR (równowartość 7 </w:t>
      </w:r>
      <w:r w:rsidRPr="00392D59">
        <w:rPr>
          <w:color w:val="000000" w:themeColor="text1"/>
          <w:sz w:val="18"/>
          <w:szCs w:val="18"/>
        </w:rPr>
        <w:t>279 tys. zł według kursu średniego N</w:t>
      </w:r>
      <w:r w:rsidR="005F4BFE">
        <w:rPr>
          <w:color w:val="000000" w:themeColor="text1"/>
          <w:sz w:val="18"/>
          <w:szCs w:val="18"/>
        </w:rPr>
        <w:t>BP z dnia 31 grudnia 2018 roku)</w:t>
      </w:r>
      <w:r w:rsidRPr="00392D59">
        <w:rPr>
          <w:color w:val="000000" w:themeColor="text1"/>
          <w:sz w:val="18"/>
          <w:szCs w:val="18"/>
        </w:rPr>
        <w:t>. Ewentualne uwzględnienie, w latach kolejnych, w</w:t>
      </w:r>
      <w:r>
        <w:rPr>
          <w:color w:val="000000" w:themeColor="text1"/>
          <w:sz w:val="18"/>
          <w:szCs w:val="18"/>
        </w:rPr>
        <w:t> </w:t>
      </w:r>
      <w:r w:rsidRPr="00392D59">
        <w:rPr>
          <w:color w:val="000000" w:themeColor="text1"/>
          <w:sz w:val="18"/>
          <w:szCs w:val="18"/>
        </w:rPr>
        <w:t>kalkulacji aktywa z tytułu podatku odroczonego strat Oddziału poniesionych w latach ubiegłych, będzie zależało od oceny kształtowania się podstawy opodatkowania w podatku dochodowym w przyszłości (z</w:t>
      </w:r>
      <w:r>
        <w:rPr>
          <w:color w:val="000000" w:themeColor="text1"/>
          <w:sz w:val="18"/>
          <w:szCs w:val="18"/>
        </w:rPr>
        <w:t> </w:t>
      </w:r>
      <w:r w:rsidRPr="00392D59">
        <w:rPr>
          <w:color w:val="000000" w:themeColor="text1"/>
          <w:sz w:val="18"/>
          <w:szCs w:val="18"/>
        </w:rPr>
        <w:t>uwzględnieniem okresów przewidzianych na rozliczenie strat podatkowych). Prawo do rozliczenia strat podatkowych wygasa w okresie między 2020 rokiem a 2023 rokiem.</w:t>
      </w:r>
    </w:p>
    <w:p w14:paraId="3CF78502" w14:textId="028E420C" w:rsidR="00392D59" w:rsidRDefault="00392D59" w:rsidP="00FF0D60">
      <w:pPr>
        <w:spacing w:before="120"/>
        <w:jc w:val="both"/>
        <w:rPr>
          <w:rFonts w:eastAsia="Calibri"/>
          <w:color w:val="000000" w:themeColor="text1"/>
          <w:sz w:val="18"/>
          <w:szCs w:val="18"/>
        </w:rPr>
      </w:pPr>
      <w:r w:rsidRPr="00392D59">
        <w:rPr>
          <w:rFonts w:eastAsia="Calibri"/>
          <w:color w:val="000000" w:themeColor="text1"/>
          <w:sz w:val="18"/>
          <w:szCs w:val="18"/>
        </w:rPr>
        <w:t>Grupa nie uwzględnia w wyliczeniu aktywa z tytułu odroczonego podatku dochodowego także niewykorzystanych strat podatkowych ponies</w:t>
      </w:r>
      <w:r w:rsidR="00C53DF4">
        <w:rPr>
          <w:rFonts w:eastAsia="Calibri"/>
          <w:color w:val="000000" w:themeColor="text1"/>
          <w:sz w:val="18"/>
          <w:szCs w:val="18"/>
        </w:rPr>
        <w:t>ionych przez Garbary Sp. z o.o. i</w:t>
      </w:r>
      <w:r w:rsidRPr="00392D59">
        <w:rPr>
          <w:rFonts w:eastAsia="Calibri"/>
          <w:color w:val="000000" w:themeColor="text1"/>
          <w:sz w:val="18"/>
          <w:szCs w:val="18"/>
        </w:rPr>
        <w:t xml:space="preserve"> </w:t>
      </w:r>
      <w:r w:rsidR="00C53DF4">
        <w:rPr>
          <w:rFonts w:eastAsia="Calibri"/>
          <w:color w:val="000000" w:themeColor="text1"/>
          <w:sz w:val="18"/>
          <w:szCs w:val="18"/>
        </w:rPr>
        <w:t xml:space="preserve">BDH Development Sp. z o.o. </w:t>
      </w:r>
      <w:r w:rsidRPr="00392D59">
        <w:rPr>
          <w:rFonts w:eastAsia="Calibri"/>
          <w:color w:val="000000" w:themeColor="text1"/>
          <w:sz w:val="18"/>
          <w:szCs w:val="18"/>
        </w:rPr>
        <w:t xml:space="preserve">z uwagi na fakt, że nie jest prawdopodobne, iż w przyszłości wystąpi dochód do opodatkowania umożliwiający ich rozliczenie. Łącznie kwota niewykorzystanych strat podatkowych nie ujętych </w:t>
      </w:r>
      <w:r w:rsidRPr="00392D59">
        <w:rPr>
          <w:rFonts w:eastAsia="Calibri"/>
          <w:color w:val="000000" w:themeColor="text1"/>
          <w:sz w:val="18"/>
          <w:szCs w:val="18"/>
        </w:rPr>
        <w:lastRenderedPageBreak/>
        <w:t>w</w:t>
      </w:r>
      <w:r w:rsidR="00C53DF4">
        <w:rPr>
          <w:rFonts w:eastAsia="Calibri"/>
          <w:color w:val="000000" w:themeColor="text1"/>
          <w:sz w:val="18"/>
          <w:szCs w:val="18"/>
        </w:rPr>
        <w:t> </w:t>
      </w:r>
      <w:r w:rsidRPr="00392D59">
        <w:rPr>
          <w:rFonts w:eastAsia="Calibri"/>
          <w:color w:val="000000" w:themeColor="text1"/>
          <w:sz w:val="18"/>
          <w:szCs w:val="18"/>
        </w:rPr>
        <w:t>wyliczeniu aktywa z tytułu odroczonego podatku d</w:t>
      </w:r>
      <w:r w:rsidR="00FC3ED0">
        <w:rPr>
          <w:rFonts w:eastAsia="Calibri"/>
          <w:color w:val="000000" w:themeColor="text1"/>
          <w:sz w:val="18"/>
          <w:szCs w:val="18"/>
        </w:rPr>
        <w:t>ochodowego w Grupie wynosiła 53 </w:t>
      </w:r>
      <w:r w:rsidRPr="00392D59">
        <w:rPr>
          <w:rFonts w:eastAsia="Calibri"/>
          <w:color w:val="000000" w:themeColor="text1"/>
          <w:sz w:val="18"/>
          <w:szCs w:val="18"/>
        </w:rPr>
        <w:t>645 tys</w:t>
      </w:r>
      <w:r w:rsidR="00FC3ED0">
        <w:rPr>
          <w:rFonts w:eastAsia="Calibri"/>
          <w:color w:val="000000" w:themeColor="text1"/>
          <w:sz w:val="18"/>
          <w:szCs w:val="18"/>
        </w:rPr>
        <w:t>. zł na</w:t>
      </w:r>
      <w:r w:rsidR="002F2689">
        <w:rPr>
          <w:rFonts w:eastAsia="Calibri"/>
          <w:color w:val="000000" w:themeColor="text1"/>
          <w:sz w:val="18"/>
          <w:szCs w:val="18"/>
        </w:rPr>
        <w:t> </w:t>
      </w:r>
      <w:r w:rsidR="00FC3ED0">
        <w:rPr>
          <w:rFonts w:eastAsia="Calibri"/>
          <w:color w:val="000000" w:themeColor="text1"/>
          <w:sz w:val="18"/>
          <w:szCs w:val="18"/>
        </w:rPr>
        <w:t>koniec 2019 roku oraz 59 </w:t>
      </w:r>
      <w:r w:rsidRPr="00392D59">
        <w:rPr>
          <w:rFonts w:eastAsia="Calibri"/>
          <w:color w:val="000000" w:themeColor="text1"/>
          <w:sz w:val="18"/>
          <w:szCs w:val="18"/>
        </w:rPr>
        <w:t xml:space="preserve">115 tys. zł na koniec 2018 roku. Prawo do rozliczenia strat podatkowych wygasa w okresie między 2020 a 2024 rokiem. </w:t>
      </w:r>
    </w:p>
    <w:p w14:paraId="7B1F5972" w14:textId="15D368BC" w:rsidR="00FF0D60" w:rsidRPr="00BB7C9E" w:rsidRDefault="00392D59" w:rsidP="00FF0D60">
      <w:pPr>
        <w:spacing w:before="120"/>
        <w:jc w:val="both"/>
        <w:rPr>
          <w:rFonts w:eastAsia="Calibri"/>
          <w:color w:val="000000" w:themeColor="text1"/>
          <w:sz w:val="18"/>
          <w:szCs w:val="18"/>
        </w:rPr>
      </w:pPr>
      <w:r w:rsidRPr="00392D59">
        <w:rPr>
          <w:rFonts w:eastAsia="Calibri"/>
          <w:color w:val="000000" w:themeColor="text1"/>
          <w:sz w:val="18"/>
          <w:szCs w:val="18"/>
        </w:rPr>
        <w:t>Grupa ujmuje w kalkulacji podatku odroczonego zobowiązania lub aktywa z tytułu różnic przejściowych powstających w związku z inwestycjami w jednostki zależne i stowarzyszone, chyba że realizacja różnic przejściowych jest kontrolowana przez Grupę i prawdopodobne jest, że w możliwej do przewidzenia w</w:t>
      </w:r>
      <w:r w:rsidR="00C53DF4">
        <w:rPr>
          <w:rFonts w:eastAsia="Calibri"/>
          <w:color w:val="000000" w:themeColor="text1"/>
          <w:sz w:val="18"/>
          <w:szCs w:val="18"/>
        </w:rPr>
        <w:t> </w:t>
      </w:r>
      <w:r w:rsidRPr="00392D59">
        <w:rPr>
          <w:rFonts w:eastAsia="Calibri"/>
          <w:color w:val="000000" w:themeColor="text1"/>
          <w:sz w:val="18"/>
          <w:szCs w:val="18"/>
        </w:rPr>
        <w:t>przyszłości różnice te nie ulegną odwróceniu. Na koniec 2019 Grupa nie ujęła w kalkulacji podatku odroczonego rozliczeń z tytułu różnic p</w:t>
      </w:r>
      <w:r w:rsidR="00FC3ED0">
        <w:rPr>
          <w:rFonts w:eastAsia="Calibri"/>
          <w:color w:val="000000" w:themeColor="text1"/>
          <w:sz w:val="18"/>
          <w:szCs w:val="18"/>
        </w:rPr>
        <w:t>rzejściowych w łącznej kwocie 1 449 </w:t>
      </w:r>
      <w:r w:rsidRPr="00392D59">
        <w:rPr>
          <w:rFonts w:eastAsia="Calibri"/>
          <w:color w:val="000000" w:themeColor="text1"/>
          <w:sz w:val="18"/>
          <w:szCs w:val="18"/>
        </w:rPr>
        <w:t>790 tys. zł powstających w</w:t>
      </w:r>
      <w:r w:rsidR="00C53DF4">
        <w:rPr>
          <w:rFonts w:eastAsia="Calibri"/>
          <w:color w:val="000000" w:themeColor="text1"/>
          <w:sz w:val="18"/>
          <w:szCs w:val="18"/>
        </w:rPr>
        <w:t> </w:t>
      </w:r>
      <w:r w:rsidRPr="00392D59">
        <w:rPr>
          <w:rFonts w:eastAsia="Calibri"/>
          <w:color w:val="000000" w:themeColor="text1"/>
          <w:sz w:val="18"/>
          <w:szCs w:val="18"/>
        </w:rPr>
        <w:t>związku z inwestycjami w jednostki</w:t>
      </w:r>
      <w:r w:rsidR="00FC3ED0">
        <w:rPr>
          <w:rFonts w:eastAsia="Calibri"/>
          <w:color w:val="000000" w:themeColor="text1"/>
          <w:sz w:val="18"/>
          <w:szCs w:val="18"/>
        </w:rPr>
        <w:t xml:space="preserve"> zależne i stowarzyszone oraz 1 443 </w:t>
      </w:r>
      <w:r w:rsidRPr="00392D59">
        <w:rPr>
          <w:rFonts w:eastAsia="Calibri"/>
          <w:color w:val="000000" w:themeColor="text1"/>
          <w:sz w:val="18"/>
          <w:szCs w:val="18"/>
        </w:rPr>
        <w:t>977 tys. zł na koniec 2018 roku</w:t>
      </w:r>
      <w:r w:rsidR="00FF0D60" w:rsidRPr="00BB7C9E">
        <w:rPr>
          <w:rFonts w:eastAsia="Calibri"/>
          <w:color w:val="000000" w:themeColor="text1"/>
          <w:sz w:val="18"/>
          <w:szCs w:val="18"/>
        </w:rPr>
        <w:t>.</w:t>
      </w:r>
    </w:p>
    <w:p w14:paraId="4C7DECA3" w14:textId="77777777" w:rsidR="007976E9" w:rsidRPr="00E46889" w:rsidRDefault="007976E9" w:rsidP="00EE3F5A">
      <w:pPr>
        <w:jc w:val="both"/>
        <w:rPr>
          <w:color w:val="000000"/>
          <w:sz w:val="18"/>
          <w:szCs w:val="18"/>
        </w:rPr>
      </w:pPr>
    </w:p>
    <w:p w14:paraId="7817F09A" w14:textId="77777777" w:rsidR="005A26D5" w:rsidRDefault="005A26D5" w:rsidP="00526DF1">
      <w:pPr>
        <w:pStyle w:val="Nagwek2"/>
        <w:numPr>
          <w:ilvl w:val="0"/>
          <w:numId w:val="44"/>
        </w:numPr>
        <w:suppressAutoHyphens/>
        <w:spacing w:before="0"/>
        <w:ind w:left="425" w:hanging="425"/>
        <w:jc w:val="both"/>
        <w:rPr>
          <w:rFonts w:cs="Tahoma"/>
          <w:bCs w:val="0"/>
          <w:iCs w:val="0"/>
          <w:color w:val="E41E0A"/>
          <w:sz w:val="18"/>
          <w:szCs w:val="18"/>
        </w:rPr>
      </w:pPr>
      <w:bookmarkStart w:id="153" w:name="_Toc32999863"/>
      <w:r>
        <w:rPr>
          <w:rFonts w:cs="Tahoma"/>
          <w:bCs w:val="0"/>
          <w:iCs w:val="0"/>
          <w:color w:val="E41E0A"/>
          <w:sz w:val="18"/>
          <w:szCs w:val="18"/>
        </w:rPr>
        <w:t xml:space="preserve">Postępowania toczące się przed sądem, </w:t>
      </w:r>
      <w:r w:rsidRPr="005A26D5">
        <w:rPr>
          <w:rFonts w:cs="Tahoma"/>
          <w:bCs w:val="0"/>
          <w:iCs w:val="0"/>
          <w:color w:val="E41E0A"/>
          <w:sz w:val="18"/>
          <w:szCs w:val="18"/>
        </w:rPr>
        <w:t>organem właściwym dla postępowania arbitrażowego lub organem administracji publicznej</w:t>
      </w:r>
      <w:bookmarkEnd w:id="153"/>
    </w:p>
    <w:p w14:paraId="4F7CEA1A" w14:textId="6BC25E0A" w:rsidR="007E769B" w:rsidRPr="00BB7C9E" w:rsidRDefault="007E769B" w:rsidP="007E769B">
      <w:pPr>
        <w:pStyle w:val="Tekstpodstawowy"/>
        <w:spacing w:before="120"/>
        <w:jc w:val="both"/>
        <w:rPr>
          <w:rFonts w:cs="Tahoma"/>
          <w:iCs/>
          <w:color w:val="000000" w:themeColor="text1"/>
          <w:sz w:val="18"/>
          <w:szCs w:val="18"/>
        </w:rPr>
      </w:pPr>
      <w:r w:rsidRPr="00BB7C9E">
        <w:rPr>
          <w:rFonts w:cs="Tahoma"/>
          <w:iCs/>
          <w:color w:val="000000" w:themeColor="text1"/>
          <w:sz w:val="18"/>
          <w:szCs w:val="18"/>
        </w:rPr>
        <w:t>Grupa monitoruje status wszystkich spraw sądowych wniesionych przeciwko podmiotom z Grupy, w tym stan orzecznictwa sądowego w sprawach dotyczących kredytów w walucie obcej pod kątem kształtowania się</w:t>
      </w:r>
      <w:r w:rsidR="00697320">
        <w:rPr>
          <w:rFonts w:cs="Tahoma"/>
          <w:iCs/>
          <w:color w:val="000000" w:themeColor="text1"/>
          <w:sz w:val="18"/>
          <w:szCs w:val="18"/>
        </w:rPr>
        <w:t> </w:t>
      </w:r>
      <w:r w:rsidRPr="00BB7C9E">
        <w:rPr>
          <w:rFonts w:cs="Tahoma"/>
          <w:iCs/>
          <w:color w:val="000000" w:themeColor="text1"/>
          <w:sz w:val="18"/>
          <w:szCs w:val="18"/>
        </w:rPr>
        <w:t xml:space="preserve">i ewentualnych zmian linii orzeczniczych, jak również poziom wymaganych rezerw na sprawy sporne. </w:t>
      </w:r>
    </w:p>
    <w:p w14:paraId="062DB680" w14:textId="04311D0C" w:rsidR="007E769B" w:rsidRPr="00BB7C9E" w:rsidRDefault="007E769B" w:rsidP="007E769B">
      <w:pPr>
        <w:pStyle w:val="Tekstpodstawowy"/>
        <w:spacing w:before="120"/>
        <w:jc w:val="both"/>
        <w:rPr>
          <w:rFonts w:cs="Tahoma"/>
          <w:iCs/>
          <w:color w:val="000000" w:themeColor="text1"/>
          <w:sz w:val="18"/>
          <w:szCs w:val="18"/>
        </w:rPr>
      </w:pPr>
      <w:r w:rsidRPr="00BB7C9E">
        <w:rPr>
          <w:rFonts w:cs="Tahoma"/>
          <w:iCs/>
          <w:color w:val="000000" w:themeColor="text1"/>
          <w:sz w:val="18"/>
          <w:szCs w:val="18"/>
        </w:rPr>
        <w:t>Grupa tworzy rezerwy na sprawy sporne prowadzone przeciwko podmiotom Grupy, które w wyniku przeprowadzonej oceny ryzyka wiążą się z prawdopodobnym wypływem środków z tytułu wypełnienia zobowiązania oraz gdy można dokonać wiarygodnego szacunku kwoty tego zobowiązania. Wysokość rezerw u</w:t>
      </w:r>
      <w:r w:rsidR="00BD1962">
        <w:rPr>
          <w:rFonts w:cs="Tahoma"/>
          <w:iCs/>
          <w:color w:val="000000" w:themeColor="text1"/>
          <w:sz w:val="18"/>
          <w:szCs w:val="18"/>
        </w:rPr>
        <w:t>stala się biorąc pod uwagę między innymi</w:t>
      </w:r>
      <w:r w:rsidRPr="00BB7C9E">
        <w:rPr>
          <w:rFonts w:cs="Tahoma"/>
          <w:iCs/>
          <w:color w:val="000000" w:themeColor="text1"/>
          <w:sz w:val="18"/>
          <w:szCs w:val="18"/>
        </w:rPr>
        <w:t xml:space="preserve"> kwoty wypływu środków wyliczone na podstawie scenariuszy potencjalnych rozstrzygnięć spraw spornych oraz ich prawdopodobieństwo oszacowane przez Grupę na</w:t>
      </w:r>
      <w:r w:rsidR="00985C41">
        <w:rPr>
          <w:rFonts w:cs="Tahoma"/>
          <w:iCs/>
          <w:color w:val="000000" w:themeColor="text1"/>
          <w:sz w:val="18"/>
          <w:szCs w:val="18"/>
        </w:rPr>
        <w:t> </w:t>
      </w:r>
      <w:r w:rsidRPr="00BB7C9E">
        <w:rPr>
          <w:rFonts w:cs="Tahoma"/>
          <w:iCs/>
          <w:color w:val="000000" w:themeColor="text1"/>
          <w:sz w:val="18"/>
          <w:szCs w:val="18"/>
        </w:rPr>
        <w:t xml:space="preserve">podstawie dotychczasowego orzecznictwa sądów w podobnych sprawach oraz doświadczeń Grupy. </w:t>
      </w:r>
    </w:p>
    <w:p w14:paraId="22BEF1D1" w14:textId="44D2C523" w:rsidR="007E769B" w:rsidRPr="00BB7C9E" w:rsidRDefault="007E769B" w:rsidP="007E769B">
      <w:pPr>
        <w:pStyle w:val="Tekstpodstawowy"/>
        <w:spacing w:before="120"/>
        <w:jc w:val="both"/>
        <w:rPr>
          <w:rFonts w:cs="Tahoma"/>
          <w:iCs/>
          <w:color w:val="000000" w:themeColor="text1"/>
          <w:sz w:val="18"/>
          <w:szCs w:val="18"/>
        </w:rPr>
      </w:pPr>
      <w:r w:rsidRPr="00BB7C9E">
        <w:rPr>
          <w:rFonts w:cs="Tahoma"/>
          <w:iCs/>
          <w:color w:val="000000" w:themeColor="text1"/>
          <w:sz w:val="18"/>
          <w:szCs w:val="18"/>
        </w:rPr>
        <w:t xml:space="preserve">Wartość rezerw na sprawy sporne na dzień </w:t>
      </w:r>
      <w:r w:rsidR="004C0E58" w:rsidRPr="00BB7C9E">
        <w:rPr>
          <w:rFonts w:cs="Tahoma"/>
          <w:iCs/>
          <w:color w:val="000000" w:themeColor="text1"/>
          <w:sz w:val="18"/>
          <w:szCs w:val="18"/>
        </w:rPr>
        <w:t xml:space="preserve">31 grudnia </w:t>
      </w:r>
      <w:r w:rsidRPr="00BB7C9E">
        <w:rPr>
          <w:rFonts w:cs="Tahoma"/>
          <w:iCs/>
          <w:color w:val="000000" w:themeColor="text1"/>
          <w:sz w:val="18"/>
          <w:szCs w:val="18"/>
        </w:rPr>
        <w:t xml:space="preserve">2019 roku wynosiła </w:t>
      </w:r>
      <w:r w:rsidR="00740ED0" w:rsidRPr="00BB7C9E">
        <w:rPr>
          <w:rFonts w:cs="Tahoma"/>
          <w:iCs/>
          <w:color w:val="000000" w:themeColor="text1"/>
          <w:sz w:val="18"/>
          <w:szCs w:val="18"/>
        </w:rPr>
        <w:t>484</w:t>
      </w:r>
      <w:r w:rsidRPr="00BB7C9E">
        <w:rPr>
          <w:rFonts w:cs="Tahoma"/>
          <w:iCs/>
          <w:color w:val="000000" w:themeColor="text1"/>
          <w:sz w:val="18"/>
          <w:szCs w:val="18"/>
        </w:rPr>
        <w:t> </w:t>
      </w:r>
      <w:r w:rsidR="00740ED0" w:rsidRPr="00BB7C9E">
        <w:rPr>
          <w:rFonts w:cs="Tahoma"/>
          <w:iCs/>
          <w:color w:val="000000" w:themeColor="text1"/>
          <w:sz w:val="18"/>
          <w:szCs w:val="18"/>
        </w:rPr>
        <w:t>760</w:t>
      </w:r>
      <w:r w:rsidRPr="00BB7C9E">
        <w:rPr>
          <w:rFonts w:cs="Tahoma"/>
          <w:iCs/>
          <w:color w:val="000000" w:themeColor="text1"/>
          <w:sz w:val="18"/>
          <w:szCs w:val="18"/>
        </w:rPr>
        <w:t xml:space="preserve"> tys. złotych (106 321 tys. złotych na dzień 31 grudnia 2018 roku). Ewentualny wypływ środków z tytułu wypełnienia zobowiązania następuje w momencie prawomocnego rozstrzygnięcia spraw przez sądy, co pozostaje poza kontrolą Grupy.</w:t>
      </w:r>
    </w:p>
    <w:p w14:paraId="124FA3F0" w14:textId="77777777" w:rsidR="007E769B" w:rsidRPr="00BB7C9E" w:rsidRDefault="007E769B" w:rsidP="007E769B">
      <w:pPr>
        <w:pStyle w:val="Tekstpodstawowy"/>
        <w:spacing w:before="120"/>
        <w:jc w:val="both"/>
        <w:rPr>
          <w:rFonts w:cs="Tahoma"/>
          <w:b/>
          <w:i/>
          <w:iCs/>
          <w:color w:val="000000" w:themeColor="text1"/>
          <w:sz w:val="18"/>
          <w:szCs w:val="18"/>
          <w:u w:val="single"/>
        </w:rPr>
      </w:pPr>
      <w:r w:rsidRPr="00BB7C9E">
        <w:rPr>
          <w:rFonts w:cs="Tahoma"/>
          <w:b/>
          <w:iCs/>
          <w:color w:val="000000" w:themeColor="text1"/>
          <w:sz w:val="18"/>
          <w:szCs w:val="18"/>
          <w:u w:val="single"/>
        </w:rPr>
        <w:t xml:space="preserve">Informacje na temat największych postępowań dotyczących zobowiązań warunkowych emitenta </w:t>
      </w:r>
    </w:p>
    <w:p w14:paraId="1450ECD5" w14:textId="77777777" w:rsidR="007E769B" w:rsidRPr="00BB7C9E" w:rsidRDefault="007E769B" w:rsidP="00526DF1">
      <w:pPr>
        <w:pStyle w:val="Tekstpodstawowy"/>
        <w:numPr>
          <w:ilvl w:val="0"/>
          <w:numId w:val="65"/>
        </w:numPr>
        <w:spacing w:before="120" w:after="0"/>
        <w:jc w:val="both"/>
        <w:rPr>
          <w:rFonts w:cs="Tahoma"/>
          <w:i/>
          <w:color w:val="000000" w:themeColor="text1"/>
          <w:sz w:val="18"/>
          <w:szCs w:val="18"/>
        </w:rPr>
      </w:pPr>
      <w:r w:rsidRPr="00BB7C9E">
        <w:rPr>
          <w:rFonts w:cs="Tahoma"/>
          <w:color w:val="000000" w:themeColor="text1"/>
          <w:sz w:val="18"/>
          <w:szCs w:val="18"/>
        </w:rPr>
        <w:t>Roszczenia klientów Interbrok</w:t>
      </w:r>
    </w:p>
    <w:p w14:paraId="7F9A5528" w14:textId="36D863AE" w:rsidR="007E769B" w:rsidRPr="00BB7C9E" w:rsidRDefault="007E769B" w:rsidP="007E769B">
      <w:pPr>
        <w:pStyle w:val="Tekstpodstawowy"/>
        <w:spacing w:before="120"/>
        <w:ind w:left="284"/>
        <w:jc w:val="both"/>
        <w:rPr>
          <w:rFonts w:cs="Tahoma"/>
          <w:color w:val="000000" w:themeColor="text1"/>
          <w:sz w:val="18"/>
          <w:szCs w:val="18"/>
        </w:rPr>
      </w:pPr>
      <w:r w:rsidRPr="00BB7C9E">
        <w:rPr>
          <w:rFonts w:cs="Tahoma"/>
          <w:color w:val="000000" w:themeColor="text1"/>
          <w:sz w:val="18"/>
          <w:szCs w:val="18"/>
        </w:rPr>
        <w:t>Od dnia 14 sierpnia 2008 roku do Banku zwróciło się 170 podmiotów, które były w przeszłości klientami spółki Interbrok Investment E. Dróżdż i Spółka Spółka jawna (dalej zwana Interbrok), i za pośrednictwem Sądu Rejonowego w Warszawie zawezwały Bank do próby ugodowej na łączną kwotę 386 086 tys. zł. Do Banku wpłynęło 9 pozwów o odszkodowania. Osiem z dziewięciu pozwów zostało złożonych przez byłych klientów Interbrok na łączną kwotę 800 tys. zł, z zastrzeżeniem iż roszczenia mogą ulec rozszerzeniu do</w:t>
      </w:r>
      <w:r w:rsidR="00985C41">
        <w:rPr>
          <w:rFonts w:cs="Tahoma"/>
          <w:color w:val="000000" w:themeColor="text1"/>
          <w:sz w:val="18"/>
          <w:szCs w:val="18"/>
        </w:rPr>
        <w:t> </w:t>
      </w:r>
      <w:r w:rsidRPr="00BB7C9E">
        <w:rPr>
          <w:rFonts w:cs="Tahoma"/>
          <w:color w:val="000000" w:themeColor="text1"/>
          <w:sz w:val="18"/>
          <w:szCs w:val="18"/>
        </w:rPr>
        <w:t>łącznej kwoty 5 950 tys. zł. Powodowie zarzucili Bankowi pomocnictwo w sprzecznym z prawem działaniu Interbrok, które wyrządziło Powodom szkodę. W siedmiu z wymienionych spraw powództwa przeciwko Bankowi zostały oddalone i sprawy zostały prawomocnie zakończone. W ósmej sprawie powód cofnął pozew ze zrzeczeniem się roszczenia i Sąd Okręgowy umorzył postępowanie. W dziewiątej sprawie wartość przedmiotu sporu wynosi 275 423 tys. zł wraz z odsetkami ustawowymi i kosztami procesu. Suma ta według żądania pozwu ma obejmować nabyte przez Powoda w drodze cesji wierzytelności przysługujące poszkodowanym w stosunku do Interbrok z tytułu pomniejszenia (wskutek upadłości Interbrok) wierzytelności o zwrot wpłaconych przez poszkodowanych depozytów przeznaczonych na inwestowanie na rynku forex. Powód odpowiedzialność Banku opiera na pomocnictwie Banku do czynu niedozwolonego Interbrok, polegającego na prowadzeniu działalności maklerskiej bez zezwolenia. W dniu 7 listopada 2017 roku Sąd Okręgowy w Warszawie oddalił powództwo w całości. Wyrok nie jest prawomocny. Powód wniósł apelację.</w:t>
      </w:r>
    </w:p>
    <w:p w14:paraId="5EC1DF0F" w14:textId="77777777" w:rsidR="007E769B" w:rsidRPr="00BB7C9E" w:rsidRDefault="007E769B" w:rsidP="00526DF1">
      <w:pPr>
        <w:pStyle w:val="Tekstpodstawowy"/>
        <w:numPr>
          <w:ilvl w:val="0"/>
          <w:numId w:val="65"/>
        </w:numPr>
        <w:tabs>
          <w:tab w:val="clear" w:pos="360"/>
          <w:tab w:val="num" w:pos="644"/>
        </w:tabs>
        <w:spacing w:before="120" w:after="0"/>
        <w:ind w:left="357" w:hanging="357"/>
        <w:jc w:val="both"/>
        <w:rPr>
          <w:rFonts w:cs="Tahoma"/>
          <w:color w:val="000000" w:themeColor="text1"/>
          <w:sz w:val="18"/>
          <w:szCs w:val="18"/>
        </w:rPr>
      </w:pPr>
      <w:r w:rsidRPr="00BB7C9E">
        <w:rPr>
          <w:rFonts w:cs="Tahoma"/>
          <w:color w:val="000000" w:themeColor="text1"/>
          <w:sz w:val="18"/>
          <w:szCs w:val="18"/>
        </w:rPr>
        <w:t>Pozew firmy LPP S.A.</w:t>
      </w:r>
    </w:p>
    <w:p w14:paraId="4E972248" w14:textId="1E0F3741" w:rsidR="007E769B" w:rsidRPr="00BB7C9E" w:rsidRDefault="007E769B" w:rsidP="007E769B">
      <w:pPr>
        <w:pStyle w:val="Tekstpodstawowy"/>
        <w:spacing w:before="120"/>
        <w:ind w:left="284"/>
        <w:jc w:val="both"/>
        <w:rPr>
          <w:color w:val="000000" w:themeColor="text1"/>
          <w:sz w:val="18"/>
          <w:szCs w:val="18"/>
        </w:rPr>
      </w:pPr>
      <w:r w:rsidRPr="00BB7C9E">
        <w:rPr>
          <w:color w:val="000000" w:themeColor="text1"/>
          <w:sz w:val="18"/>
          <w:szCs w:val="18"/>
        </w:rPr>
        <w:t>W dniu 17 maja 2018 roku do mBanku S.A. wpłynął pozew firmy LPP S.A. z siedzibą w Gdańsku w sprawie roszczenia odszkod</w:t>
      </w:r>
      <w:r w:rsidR="00536E14">
        <w:rPr>
          <w:color w:val="000000" w:themeColor="text1"/>
          <w:sz w:val="18"/>
          <w:szCs w:val="18"/>
        </w:rPr>
        <w:t>owawczego w kwocie 96 307 tys.</w:t>
      </w:r>
      <w:r w:rsidRPr="00BB7C9E">
        <w:rPr>
          <w:color w:val="000000" w:themeColor="text1"/>
          <w:sz w:val="18"/>
          <w:szCs w:val="18"/>
        </w:rPr>
        <w:t xml:space="preserve"> zł z tytułu opłaty interchange. Firma LPP S.A. wnosi o</w:t>
      </w:r>
      <w:r w:rsidR="00985C41">
        <w:rPr>
          <w:color w:val="000000" w:themeColor="text1"/>
          <w:sz w:val="18"/>
          <w:szCs w:val="18"/>
        </w:rPr>
        <w:t> </w:t>
      </w:r>
      <w:r w:rsidRPr="00BB7C9E">
        <w:rPr>
          <w:color w:val="000000" w:themeColor="text1"/>
          <w:sz w:val="18"/>
          <w:szCs w:val="18"/>
        </w:rPr>
        <w:t xml:space="preserve">zasądzenie kwoty odszkodowania solidarnie od mBanku S.A. i od innego banku krajowego. </w:t>
      </w:r>
    </w:p>
    <w:p w14:paraId="3C486607" w14:textId="5E6B432C" w:rsidR="007E769B" w:rsidRPr="00BB7C9E" w:rsidRDefault="007E769B" w:rsidP="00E641E4">
      <w:pPr>
        <w:pStyle w:val="Tekstpodstawowy"/>
        <w:spacing w:before="120"/>
        <w:ind w:left="284"/>
        <w:jc w:val="both"/>
        <w:rPr>
          <w:color w:val="000000" w:themeColor="text1"/>
          <w:sz w:val="18"/>
          <w:szCs w:val="18"/>
        </w:rPr>
      </w:pPr>
      <w:r w:rsidRPr="00BB7C9E">
        <w:rPr>
          <w:color w:val="000000" w:themeColor="text1"/>
          <w:sz w:val="18"/>
          <w:szCs w:val="18"/>
        </w:rPr>
        <w:t>Powód zarzuca obydwu pozwanym Bankom oraz innym bankom działającym w Polsce udział w bezprawnym porozumieniu naruszającym przepisy ustawy o ochronie konkurencji i konsumentów oraz Traktatu o funkcjonowaniu Unii Europejskiej, tj. w porozumieniu ograniczającym konkurencję na rynku usług acquiringowych związanych z regulowaniem zobowiązań klientów wobec Powoda z tytułu płatności za nabywane przez nich towary za pomocą kart płatniczych na terytorium Polski</w:t>
      </w:r>
      <w:r w:rsidR="00E641E4" w:rsidRPr="00BB7C9E">
        <w:rPr>
          <w:color w:val="000000" w:themeColor="text1"/>
          <w:sz w:val="18"/>
          <w:szCs w:val="18"/>
        </w:rPr>
        <w:t>.</w:t>
      </w:r>
    </w:p>
    <w:p w14:paraId="407EF7D4" w14:textId="2A549BCA" w:rsidR="002C2105" w:rsidRDefault="007E769B" w:rsidP="007E769B">
      <w:pPr>
        <w:pStyle w:val="Tekstpodstawowy"/>
        <w:spacing w:after="0"/>
        <w:ind w:left="284"/>
        <w:jc w:val="both"/>
        <w:rPr>
          <w:color w:val="000000" w:themeColor="text1"/>
          <w:sz w:val="18"/>
          <w:szCs w:val="18"/>
        </w:rPr>
      </w:pPr>
      <w:r w:rsidRPr="00BB7C9E">
        <w:rPr>
          <w:color w:val="000000" w:themeColor="text1"/>
          <w:sz w:val="18"/>
          <w:szCs w:val="18"/>
        </w:rPr>
        <w:t>mBank S.A. złożył odpowiedź na pozew</w:t>
      </w:r>
      <w:r w:rsidR="00E641E4" w:rsidRPr="00BB7C9E">
        <w:rPr>
          <w:color w:val="000000" w:themeColor="text1"/>
          <w:sz w:val="18"/>
          <w:szCs w:val="18"/>
        </w:rPr>
        <w:t xml:space="preserve"> i wniósł o oddalenie powództwa. Sąd uwzględnił wnioski Pozwanych o wezwanie szesnastu banków do udziału w sprawie oraz zarządził doręczenie bankom pism z wnioskiem o</w:t>
      </w:r>
      <w:r w:rsidR="00985C41">
        <w:rPr>
          <w:color w:val="000000" w:themeColor="text1"/>
          <w:sz w:val="18"/>
          <w:szCs w:val="18"/>
        </w:rPr>
        <w:t> </w:t>
      </w:r>
      <w:r w:rsidR="00E641E4" w:rsidRPr="00BB7C9E">
        <w:rPr>
          <w:color w:val="000000" w:themeColor="text1"/>
          <w:sz w:val="18"/>
          <w:szCs w:val="18"/>
        </w:rPr>
        <w:t>wezwanie.</w:t>
      </w:r>
    </w:p>
    <w:p w14:paraId="0AE96143" w14:textId="77777777" w:rsidR="002C2105" w:rsidRDefault="002C2105">
      <w:pPr>
        <w:rPr>
          <w:color w:val="000000" w:themeColor="text1"/>
          <w:spacing w:val="-4"/>
          <w:sz w:val="18"/>
          <w:szCs w:val="18"/>
        </w:rPr>
      </w:pPr>
      <w:r>
        <w:rPr>
          <w:color w:val="000000" w:themeColor="text1"/>
          <w:sz w:val="18"/>
          <w:szCs w:val="18"/>
        </w:rPr>
        <w:br w:type="page"/>
      </w:r>
    </w:p>
    <w:p w14:paraId="5E127D77" w14:textId="1422EC7E" w:rsidR="009D7987" w:rsidRPr="009D7987" w:rsidRDefault="009D7987" w:rsidP="009D7987">
      <w:pPr>
        <w:pStyle w:val="Tekstpodstawowy"/>
        <w:numPr>
          <w:ilvl w:val="0"/>
          <w:numId w:val="65"/>
        </w:numPr>
        <w:tabs>
          <w:tab w:val="clear" w:pos="360"/>
          <w:tab w:val="num" w:pos="644"/>
        </w:tabs>
        <w:spacing w:before="120" w:after="0"/>
        <w:ind w:left="357" w:hanging="357"/>
        <w:jc w:val="both"/>
        <w:rPr>
          <w:rFonts w:cs="Tahoma"/>
          <w:color w:val="000000" w:themeColor="text1"/>
          <w:sz w:val="18"/>
          <w:szCs w:val="18"/>
        </w:rPr>
      </w:pPr>
      <w:r>
        <w:rPr>
          <w:rFonts w:cs="Tahoma"/>
          <w:color w:val="000000" w:themeColor="text1"/>
          <w:sz w:val="18"/>
          <w:szCs w:val="18"/>
        </w:rPr>
        <w:lastRenderedPageBreak/>
        <w:t>Pozew firmy Polski Koncern Naftowy ORLEN</w:t>
      </w:r>
      <w:r w:rsidRPr="009D7987">
        <w:rPr>
          <w:rFonts w:cs="Tahoma"/>
          <w:color w:val="000000" w:themeColor="text1"/>
          <w:sz w:val="18"/>
          <w:szCs w:val="18"/>
        </w:rPr>
        <w:t xml:space="preserve"> S.A.</w:t>
      </w:r>
    </w:p>
    <w:p w14:paraId="6728FDBD" w14:textId="2175C988" w:rsidR="009D7987" w:rsidRPr="009D7987" w:rsidRDefault="009D7987" w:rsidP="009D7987">
      <w:pPr>
        <w:pStyle w:val="Tekstpodstawowy"/>
        <w:spacing w:before="120"/>
        <w:ind w:left="284"/>
        <w:jc w:val="both"/>
        <w:rPr>
          <w:color w:val="000000" w:themeColor="text1"/>
          <w:sz w:val="18"/>
          <w:szCs w:val="18"/>
        </w:rPr>
      </w:pPr>
      <w:r>
        <w:rPr>
          <w:color w:val="000000" w:themeColor="text1"/>
          <w:sz w:val="18"/>
          <w:szCs w:val="18"/>
        </w:rPr>
        <w:t>W dniu 7 lutego 2020 roku</w:t>
      </w:r>
      <w:r w:rsidRPr="009D7987">
        <w:rPr>
          <w:color w:val="000000" w:themeColor="text1"/>
          <w:sz w:val="18"/>
          <w:szCs w:val="18"/>
        </w:rPr>
        <w:t xml:space="preserve"> do mBanku S.A. wpłynął pozew firmy Polski Koncern Naftowy ORLEN S.A. (Orlen) z siedzibą w Płocku w sprawie roszczeni</w:t>
      </w:r>
      <w:r>
        <w:rPr>
          <w:color w:val="000000" w:themeColor="text1"/>
          <w:sz w:val="18"/>
          <w:szCs w:val="18"/>
        </w:rPr>
        <w:t>a od</w:t>
      </w:r>
      <w:r w:rsidR="00536E14">
        <w:rPr>
          <w:color w:val="000000" w:themeColor="text1"/>
          <w:sz w:val="18"/>
          <w:szCs w:val="18"/>
        </w:rPr>
        <w:t>szkodowawczego w kwocie 635 681 tys. zł</w:t>
      </w:r>
      <w:r w:rsidRPr="009D7987">
        <w:rPr>
          <w:color w:val="000000" w:themeColor="text1"/>
          <w:sz w:val="18"/>
          <w:szCs w:val="18"/>
        </w:rPr>
        <w:t xml:space="preserve"> z tytułu opłaty interchange. Firma Orlen wnosi o zasądzenie kwoty odszkodowania solidarnie od mBanku S.A. i od </w:t>
      </w:r>
      <w:r w:rsidR="00510AAE">
        <w:rPr>
          <w:color w:val="000000" w:themeColor="text1"/>
          <w:sz w:val="18"/>
          <w:szCs w:val="18"/>
        </w:rPr>
        <w:t xml:space="preserve">innego banku krajowego oraz od Master Card Europe i </w:t>
      </w:r>
      <w:r w:rsidRPr="009D7987">
        <w:rPr>
          <w:color w:val="000000" w:themeColor="text1"/>
          <w:sz w:val="18"/>
          <w:szCs w:val="18"/>
        </w:rPr>
        <w:t>VISA Europe Management Services.</w:t>
      </w:r>
    </w:p>
    <w:p w14:paraId="2A9B314D" w14:textId="18F5ABD8" w:rsidR="009D7987" w:rsidRPr="009D7987" w:rsidRDefault="009D7987" w:rsidP="009D7987">
      <w:pPr>
        <w:pStyle w:val="Tekstpodstawowy"/>
        <w:spacing w:before="120"/>
        <w:ind w:left="284"/>
        <w:jc w:val="both"/>
        <w:rPr>
          <w:color w:val="000000" w:themeColor="text1"/>
          <w:sz w:val="18"/>
          <w:szCs w:val="18"/>
        </w:rPr>
      </w:pPr>
      <w:r w:rsidRPr="009D7987">
        <w:rPr>
          <w:color w:val="000000" w:themeColor="text1"/>
          <w:sz w:val="18"/>
          <w:szCs w:val="18"/>
        </w:rPr>
        <w:t>Powód zarzuca obydwu pozwanym Bankom oraz innym bankom działającym w Polsce udział w bezprawnym porozumieniu naruszającym przepisy ustawy o ochronie konkurencji i konsumentów oraz Traktatu o</w:t>
      </w:r>
      <w:r>
        <w:rPr>
          <w:color w:val="000000" w:themeColor="text1"/>
          <w:sz w:val="18"/>
          <w:szCs w:val="18"/>
        </w:rPr>
        <w:t> </w:t>
      </w:r>
      <w:r w:rsidRPr="009D7987">
        <w:rPr>
          <w:color w:val="000000" w:themeColor="text1"/>
          <w:sz w:val="18"/>
          <w:szCs w:val="18"/>
        </w:rPr>
        <w:t>funkcjonowaniu Unii Europejskiej, tj. w porozumieniu ograniczającym konkurencję na rynku usług acquiringowych związanych z regulowaniem zobowiązań klientów wobec Powoda z tytułu płatności za</w:t>
      </w:r>
      <w:r w:rsidR="00985C41">
        <w:rPr>
          <w:color w:val="000000" w:themeColor="text1"/>
          <w:sz w:val="18"/>
          <w:szCs w:val="18"/>
        </w:rPr>
        <w:t> </w:t>
      </w:r>
      <w:r w:rsidRPr="009D7987">
        <w:rPr>
          <w:color w:val="000000" w:themeColor="text1"/>
          <w:sz w:val="18"/>
          <w:szCs w:val="18"/>
        </w:rPr>
        <w:t>nabywane przez nich towary i usługi za pomocą kart płatniczych na terytorium Polski.</w:t>
      </w:r>
    </w:p>
    <w:p w14:paraId="11A219EA" w14:textId="7B355587" w:rsidR="009D7987" w:rsidRDefault="009D7987" w:rsidP="009D7987">
      <w:pPr>
        <w:pStyle w:val="Tekstpodstawowy"/>
        <w:spacing w:before="120"/>
        <w:ind w:left="284"/>
        <w:jc w:val="both"/>
        <w:rPr>
          <w:color w:val="000000" w:themeColor="text1"/>
          <w:sz w:val="18"/>
          <w:szCs w:val="18"/>
        </w:rPr>
      </w:pPr>
      <w:r w:rsidRPr="009D7987">
        <w:rPr>
          <w:color w:val="000000" w:themeColor="text1"/>
          <w:sz w:val="18"/>
          <w:szCs w:val="18"/>
        </w:rPr>
        <w:t>Aktualnie w mBanku S.A. trwają prace nad przygotowaniem odpowiedzi na pozew</w:t>
      </w:r>
      <w:r>
        <w:rPr>
          <w:color w:val="000000" w:themeColor="text1"/>
          <w:sz w:val="18"/>
          <w:szCs w:val="18"/>
        </w:rPr>
        <w:t>.</w:t>
      </w:r>
    </w:p>
    <w:p w14:paraId="61F65F53" w14:textId="77777777" w:rsidR="007E769B" w:rsidRPr="00BB7C9E" w:rsidRDefault="007E769B" w:rsidP="00526DF1">
      <w:pPr>
        <w:pStyle w:val="Tekstpodstawowy"/>
        <w:numPr>
          <w:ilvl w:val="0"/>
          <w:numId w:val="65"/>
        </w:numPr>
        <w:tabs>
          <w:tab w:val="clear" w:pos="360"/>
          <w:tab w:val="num" w:pos="644"/>
        </w:tabs>
        <w:spacing w:before="120" w:after="0"/>
        <w:ind w:left="357" w:hanging="357"/>
        <w:jc w:val="both"/>
        <w:rPr>
          <w:rFonts w:cs="Tahoma"/>
          <w:color w:val="000000" w:themeColor="text1"/>
          <w:sz w:val="18"/>
          <w:szCs w:val="18"/>
        </w:rPr>
      </w:pPr>
      <w:r w:rsidRPr="00BB7C9E">
        <w:rPr>
          <w:rFonts w:cs="Tahoma"/>
          <w:color w:val="000000" w:themeColor="text1"/>
          <w:sz w:val="18"/>
          <w:szCs w:val="18"/>
        </w:rPr>
        <w:t>Pozew zbiorowy przeciwko mBankowi S.A. dotyczący klauzuli zmiany oprocentowania</w:t>
      </w:r>
    </w:p>
    <w:p w14:paraId="43B3CECA" w14:textId="61F1E7C3" w:rsidR="007E769B" w:rsidRPr="00BB7C9E" w:rsidRDefault="00AA403E" w:rsidP="007E769B">
      <w:pPr>
        <w:pStyle w:val="Tekstpodstawowy"/>
        <w:spacing w:before="120"/>
        <w:ind w:left="284"/>
        <w:jc w:val="both"/>
        <w:rPr>
          <w:rFonts w:cs="Tahoma"/>
          <w:color w:val="000000" w:themeColor="text1"/>
          <w:sz w:val="18"/>
          <w:szCs w:val="18"/>
        </w:rPr>
      </w:pPr>
      <w:r w:rsidRPr="00BB7C9E">
        <w:rPr>
          <w:rFonts w:cs="Tahoma"/>
          <w:color w:val="000000" w:themeColor="text1"/>
          <w:sz w:val="18"/>
          <w:szCs w:val="18"/>
        </w:rPr>
        <w:t>W dniu 4 lutego 2011 roku doręczono Bankowi pozew zbiorowy wniesiony do Sądu Okręgowego w Łodzi w</w:t>
      </w:r>
      <w:r w:rsidR="00985C41">
        <w:rPr>
          <w:rFonts w:cs="Tahoma"/>
          <w:color w:val="000000" w:themeColor="text1"/>
          <w:sz w:val="18"/>
          <w:szCs w:val="18"/>
        </w:rPr>
        <w:t> </w:t>
      </w:r>
      <w:r w:rsidRPr="00BB7C9E">
        <w:rPr>
          <w:rFonts w:cs="Tahoma"/>
          <w:color w:val="000000" w:themeColor="text1"/>
          <w:sz w:val="18"/>
          <w:szCs w:val="18"/>
        </w:rPr>
        <w:t>dniu 20 grudnia 2010 roku przez Miejskiego Rzecznika Konsumentów jako reprezentanta grupy 835 osób fizycznych - klientów bankowości detalicznej Banku. W pozwie zażądano ustalenia odpowiedzialności Banku za nienależyte wykonywanie umów o kredyty hipoteczne. W szczególności zarzucono, iż Bank niewłaściwie stosował postanowienia umów dotyczących zmiany oprocentowania, a mianowicie, że Bank nie obniżał oprocentowania kredytu, mimo iż zdaniem Powoda był do tego zobowiązany. Bank nie zgadza się z</w:t>
      </w:r>
      <w:r w:rsidR="00985C41">
        <w:rPr>
          <w:rFonts w:cs="Tahoma"/>
          <w:color w:val="000000" w:themeColor="text1"/>
          <w:sz w:val="18"/>
          <w:szCs w:val="18"/>
        </w:rPr>
        <w:t> </w:t>
      </w:r>
      <w:r w:rsidRPr="00BB7C9E">
        <w:rPr>
          <w:rFonts w:cs="Tahoma"/>
          <w:color w:val="000000" w:themeColor="text1"/>
          <w:sz w:val="18"/>
          <w:szCs w:val="18"/>
        </w:rPr>
        <w:t>powyższymi zarzutami. mBank złożył odpowiedź na pozew, w której wniósł o oddalenie powództwa w</w:t>
      </w:r>
      <w:r w:rsidR="00985C41">
        <w:rPr>
          <w:rFonts w:cs="Tahoma"/>
          <w:color w:val="000000" w:themeColor="text1"/>
          <w:sz w:val="18"/>
          <w:szCs w:val="18"/>
        </w:rPr>
        <w:t> </w:t>
      </w:r>
      <w:r w:rsidRPr="00BB7C9E">
        <w:rPr>
          <w:rFonts w:cs="Tahoma"/>
          <w:color w:val="000000" w:themeColor="text1"/>
          <w:sz w:val="18"/>
          <w:szCs w:val="18"/>
        </w:rPr>
        <w:t>całości</w:t>
      </w:r>
      <w:r w:rsidR="007E769B" w:rsidRPr="00BB7C9E">
        <w:rPr>
          <w:rFonts w:cs="Tahoma"/>
          <w:color w:val="000000" w:themeColor="text1"/>
          <w:sz w:val="18"/>
          <w:szCs w:val="18"/>
        </w:rPr>
        <w:t xml:space="preserve">. </w:t>
      </w:r>
    </w:p>
    <w:p w14:paraId="6410FAD7" w14:textId="1A62949E" w:rsidR="007E769B" w:rsidRPr="00BB7C9E" w:rsidRDefault="007E769B" w:rsidP="007E769B">
      <w:pPr>
        <w:pStyle w:val="Tekstpodstawowy"/>
        <w:spacing w:before="120"/>
        <w:ind w:left="284"/>
        <w:jc w:val="both"/>
        <w:rPr>
          <w:rFonts w:cs="Tahoma"/>
          <w:color w:val="000000" w:themeColor="text1"/>
          <w:sz w:val="18"/>
          <w:szCs w:val="18"/>
        </w:rPr>
      </w:pPr>
      <w:r w:rsidRPr="00BB7C9E">
        <w:rPr>
          <w:rFonts w:cs="Tahoma"/>
          <w:color w:val="000000" w:themeColor="text1"/>
          <w:sz w:val="18"/>
          <w:szCs w:val="18"/>
        </w:rPr>
        <w:t xml:space="preserve">Na dzień 17 października 2012 roku skład grupy uprawomocnił się w liczbie 1247 członków. </w:t>
      </w:r>
      <w:r w:rsidR="00A021C7" w:rsidRPr="00BB7C9E">
        <w:rPr>
          <w:rFonts w:cs="Tahoma"/>
          <w:color w:val="000000" w:themeColor="text1"/>
          <w:sz w:val="18"/>
          <w:szCs w:val="18"/>
        </w:rPr>
        <w:t>W</w:t>
      </w:r>
      <w:r w:rsidRPr="00BB7C9E">
        <w:rPr>
          <w:rFonts w:cs="Tahoma"/>
          <w:color w:val="000000" w:themeColor="text1"/>
          <w:sz w:val="18"/>
          <w:szCs w:val="18"/>
        </w:rPr>
        <w:t xml:space="preserve"> dniu 3 lipca 2013 roku Sąd ogłosił wyrok, w którym uwzględnił w całości powództwo uznając, iż Bank nienależycie wykonywał umowę przez co konsumenci ponieśli szkodę. Wyrokiem z dnia 30 kwietnia 2014 roku Sąd Apelacyjny w Łodzi oddalił apelację mBanku S.A. podtrzymując w zasadzie stanowisko Sądu Okręgowego wyrażone w zaskarżonym wyroku. W dniu 14 maja 2015 roku </w:t>
      </w:r>
      <w:r w:rsidR="008570B7" w:rsidRPr="00BB7C9E">
        <w:rPr>
          <w:rFonts w:cs="Tahoma"/>
          <w:color w:val="000000" w:themeColor="text1"/>
          <w:sz w:val="18"/>
          <w:szCs w:val="18"/>
        </w:rPr>
        <w:t>na skutek skargi kasacyjnej mBanku Sąd Najwyższy wydał wyrok, w którym uchylił wyrok Sądu Apelacyjnego w Łodzi i przekazał sprawę do</w:t>
      </w:r>
      <w:r w:rsidR="00985C41">
        <w:rPr>
          <w:rFonts w:cs="Tahoma"/>
          <w:color w:val="000000" w:themeColor="text1"/>
          <w:sz w:val="18"/>
          <w:szCs w:val="18"/>
        </w:rPr>
        <w:t> </w:t>
      </w:r>
      <w:r w:rsidR="008570B7" w:rsidRPr="00BB7C9E">
        <w:rPr>
          <w:rFonts w:cs="Tahoma"/>
          <w:color w:val="000000" w:themeColor="text1"/>
          <w:sz w:val="18"/>
          <w:szCs w:val="18"/>
        </w:rPr>
        <w:t>ponownego rozpoznania Sądowi Apelacyjnemu w Łodzi. Postanowieniem z dnia 24 września 2015 roku Sąd Apelacyjny w Łodzi dopuścił dowód z opinii biegłego w celu weryfikacji poprawności wykonywania przez mBank S.A. zmian oprocentowania kredytów hipotecznych objętych pozwem zbiorowym w okresie od</w:t>
      </w:r>
      <w:r w:rsidR="00985C41">
        <w:rPr>
          <w:rFonts w:cs="Tahoma"/>
          <w:color w:val="000000" w:themeColor="text1"/>
          <w:sz w:val="18"/>
          <w:szCs w:val="18"/>
        </w:rPr>
        <w:t> </w:t>
      </w:r>
      <w:r w:rsidR="008570B7" w:rsidRPr="00BB7C9E">
        <w:rPr>
          <w:rFonts w:cs="Tahoma"/>
          <w:color w:val="000000" w:themeColor="text1"/>
          <w:sz w:val="18"/>
          <w:szCs w:val="18"/>
        </w:rPr>
        <w:t>1 stycznia 2009 roku do 28 lutego 2010 roku. Sprawa jest w toku.</w:t>
      </w:r>
    </w:p>
    <w:p w14:paraId="4B6D0CEC" w14:textId="0873BF13" w:rsidR="007E769B" w:rsidRPr="00BB7C9E" w:rsidRDefault="004C0E58" w:rsidP="007E769B">
      <w:pPr>
        <w:spacing w:before="120" w:after="120"/>
        <w:ind w:left="284"/>
        <w:jc w:val="both"/>
        <w:rPr>
          <w:color w:val="000000" w:themeColor="text1"/>
          <w:sz w:val="18"/>
          <w:szCs w:val="18"/>
        </w:rPr>
      </w:pPr>
      <w:r w:rsidRPr="00BB7C9E">
        <w:rPr>
          <w:color w:val="000000" w:themeColor="text1"/>
          <w:sz w:val="18"/>
          <w:szCs w:val="18"/>
        </w:rPr>
        <w:t>Na dzień 31 grudnia</w:t>
      </w:r>
      <w:r w:rsidR="007E769B" w:rsidRPr="00BB7C9E">
        <w:rPr>
          <w:color w:val="000000" w:themeColor="text1"/>
          <w:sz w:val="18"/>
          <w:szCs w:val="18"/>
        </w:rPr>
        <w:t xml:space="preserve"> 2019 roku wartość przedmiotu sporu w ramach tego pozwu zbiorowego wyniosła</w:t>
      </w:r>
      <w:r w:rsidR="007E769B" w:rsidRPr="00BB7C9E">
        <w:rPr>
          <w:color w:val="000000" w:themeColor="text1"/>
          <w:sz w:val="18"/>
          <w:szCs w:val="18"/>
          <w:highlight w:val="yellow"/>
        </w:rPr>
        <w:t xml:space="preserve"> </w:t>
      </w:r>
      <w:r w:rsidR="007E769B" w:rsidRPr="00BB7C9E">
        <w:rPr>
          <w:color w:val="000000" w:themeColor="text1"/>
          <w:sz w:val="18"/>
          <w:szCs w:val="18"/>
        </w:rPr>
        <w:t xml:space="preserve">5,2 mln zł. </w:t>
      </w:r>
    </w:p>
    <w:p w14:paraId="319589E9" w14:textId="77777777" w:rsidR="007E769B" w:rsidRPr="00BB7C9E" w:rsidRDefault="007E769B" w:rsidP="00526DF1">
      <w:pPr>
        <w:pStyle w:val="Tekstpodstawowy"/>
        <w:numPr>
          <w:ilvl w:val="0"/>
          <w:numId w:val="65"/>
        </w:numPr>
        <w:tabs>
          <w:tab w:val="clear" w:pos="360"/>
          <w:tab w:val="num" w:pos="644"/>
        </w:tabs>
        <w:spacing w:before="120" w:after="0"/>
        <w:ind w:left="357" w:hanging="357"/>
        <w:jc w:val="both"/>
        <w:rPr>
          <w:rFonts w:cs="Tahoma"/>
          <w:color w:val="000000" w:themeColor="text1"/>
          <w:sz w:val="18"/>
          <w:szCs w:val="18"/>
        </w:rPr>
      </w:pPr>
      <w:r w:rsidRPr="00BB7C9E">
        <w:rPr>
          <w:rFonts w:cs="Tahoma"/>
          <w:color w:val="000000" w:themeColor="text1"/>
          <w:sz w:val="18"/>
          <w:szCs w:val="18"/>
        </w:rPr>
        <w:t>Pozew zbiorowy przeciwko mBankowi S.A. dotyczący klauzul waloryzacyjnych</w:t>
      </w:r>
    </w:p>
    <w:p w14:paraId="50D870C2" w14:textId="32F723CA" w:rsidR="007E769B" w:rsidRPr="00BB7C9E" w:rsidRDefault="007E769B" w:rsidP="007E769B">
      <w:pPr>
        <w:pStyle w:val="Tekstpodstawowy"/>
        <w:spacing w:before="120"/>
        <w:ind w:left="284"/>
        <w:jc w:val="both"/>
        <w:rPr>
          <w:color w:val="000000" w:themeColor="text1"/>
          <w:sz w:val="18"/>
          <w:szCs w:val="18"/>
        </w:rPr>
      </w:pPr>
      <w:r w:rsidRPr="00BB7C9E">
        <w:rPr>
          <w:color w:val="000000" w:themeColor="text1"/>
          <w:sz w:val="18"/>
          <w:szCs w:val="18"/>
        </w:rPr>
        <w:t xml:space="preserve">Dnia 4 kwietnia 2016 roku Miejski Rzecznik Konsumentów reprezentujący grupę 390 osób – klientów bankowości detalicznej, którzy zawarli umowy kredytów hipotecznych waloryzowane kursem CHF, złożył przeciwko mBankowi S.A. pozew zbiorowy w Sądzie Okręgowym w Łodzi. </w:t>
      </w:r>
    </w:p>
    <w:p w14:paraId="1A6A9666" w14:textId="0EC8514B" w:rsidR="007E769B" w:rsidRPr="00BB7C9E" w:rsidRDefault="005901CF" w:rsidP="007E769B">
      <w:pPr>
        <w:pStyle w:val="Tekstpodstawowy"/>
        <w:spacing w:before="120"/>
        <w:ind w:left="284"/>
        <w:jc w:val="both"/>
        <w:rPr>
          <w:color w:val="000000" w:themeColor="text1"/>
          <w:sz w:val="18"/>
          <w:szCs w:val="18"/>
        </w:rPr>
      </w:pPr>
      <w:r w:rsidRPr="00BB7C9E">
        <w:rPr>
          <w:color w:val="000000" w:themeColor="text1"/>
          <w:sz w:val="18"/>
          <w:szCs w:val="18"/>
        </w:rPr>
        <w:t>Pozew zawiera alternatywne roszczenia dotyczące orzeczenia częściowej nieważności umów kredytowych, tj. pod względem postanowień dotyczących waloryzacji, lub orzeczenia, że umowy te są nieważne w całości, lub orzeczenia, że postanowienia umowy dotyczące waloryzacji są nieważne ze względu na fakt, że</w:t>
      </w:r>
      <w:r w:rsidR="00985C41">
        <w:rPr>
          <w:color w:val="000000" w:themeColor="text1"/>
          <w:sz w:val="18"/>
          <w:szCs w:val="18"/>
        </w:rPr>
        <w:t> </w:t>
      </w:r>
      <w:r w:rsidRPr="00BB7C9E">
        <w:rPr>
          <w:color w:val="000000" w:themeColor="text1"/>
          <w:sz w:val="18"/>
          <w:szCs w:val="18"/>
        </w:rPr>
        <w:t>dopuszczają waloryzację kredytu powyżej 20% i poniżej 20% według kursu CHF z tabeli kursów walut mBanku S.A. obowiązującej w dniu zawarcia każdej z tych umów kredytowych</w:t>
      </w:r>
      <w:r w:rsidR="007E769B" w:rsidRPr="00BB7C9E">
        <w:rPr>
          <w:color w:val="000000" w:themeColor="text1"/>
          <w:sz w:val="18"/>
          <w:szCs w:val="18"/>
        </w:rPr>
        <w:t>.</w:t>
      </w:r>
    </w:p>
    <w:p w14:paraId="76A5681B" w14:textId="4E8C9061" w:rsidR="007E769B" w:rsidRPr="00BB7C9E" w:rsidRDefault="000013B3" w:rsidP="007E769B">
      <w:pPr>
        <w:pStyle w:val="Tekstpodstawowy"/>
        <w:spacing w:before="120"/>
        <w:ind w:left="284"/>
        <w:jc w:val="both"/>
        <w:rPr>
          <w:color w:val="000000" w:themeColor="text1"/>
          <w:sz w:val="18"/>
          <w:szCs w:val="18"/>
          <w:highlight w:val="yellow"/>
        </w:rPr>
      </w:pPr>
      <w:r>
        <w:rPr>
          <w:color w:val="000000" w:themeColor="text1"/>
          <w:sz w:val="18"/>
          <w:szCs w:val="18"/>
        </w:rPr>
        <w:t xml:space="preserve">Postanowieniem </w:t>
      </w:r>
      <w:r w:rsidR="007E769B" w:rsidRPr="00BB7C9E">
        <w:rPr>
          <w:color w:val="000000" w:themeColor="text1"/>
          <w:sz w:val="18"/>
          <w:szCs w:val="18"/>
        </w:rPr>
        <w:t xml:space="preserve">z dnia 13 marca 2018 roku Sąd ustalił skład grupy na 1 731 osób. </w:t>
      </w:r>
      <w:r w:rsidR="00817059" w:rsidRPr="00BB7C9E">
        <w:rPr>
          <w:color w:val="000000" w:themeColor="text1"/>
          <w:sz w:val="18"/>
          <w:szCs w:val="18"/>
        </w:rPr>
        <w:t>W dniu 19 października 2018 roku Sąd wydał wyrok, w którym oddalił wszystkie roszczenia Powoda. W ustnym uzasadnieniu Sąd podniósł, że Powód nie wykazał, że przysługuje mu interes prawny w wytaczaniu przedmiotowego powództwa a także odniósł się do kwestii ważności umów kredytowych waloryzowanych kursem CHF podkreślając, że zarówno same umowy, jak i klauzula waloryzacyjna są zgodne zarówno z obowiązującymi przepisami jak i z zasadami współżycia społecznego. W dniu 11 stycznia 2019 roku do Banku została doręczona apelacja Powoda, na którą Bank złożył odpowiedź</w:t>
      </w:r>
      <w:r w:rsidR="002E6F0D">
        <w:rPr>
          <w:color w:val="000000" w:themeColor="text1"/>
          <w:sz w:val="18"/>
          <w:szCs w:val="18"/>
        </w:rPr>
        <w:t>.</w:t>
      </w:r>
    </w:p>
    <w:p w14:paraId="4297D12A" w14:textId="1232D588" w:rsidR="007E769B" w:rsidRDefault="007E769B" w:rsidP="007E769B">
      <w:pPr>
        <w:spacing w:before="120" w:after="120"/>
        <w:ind w:left="284"/>
        <w:jc w:val="both"/>
        <w:rPr>
          <w:color w:val="000000" w:themeColor="text1"/>
          <w:sz w:val="18"/>
          <w:szCs w:val="18"/>
        </w:rPr>
      </w:pPr>
      <w:r w:rsidRPr="00430FAA">
        <w:rPr>
          <w:color w:val="000000" w:themeColor="text1"/>
          <w:sz w:val="18"/>
          <w:szCs w:val="18"/>
        </w:rPr>
        <w:t xml:space="preserve">Na dzień </w:t>
      </w:r>
      <w:r w:rsidR="004C0E58" w:rsidRPr="00430FAA">
        <w:rPr>
          <w:color w:val="000000" w:themeColor="text1"/>
          <w:sz w:val="18"/>
          <w:szCs w:val="18"/>
        </w:rPr>
        <w:t>31 grudnia</w:t>
      </w:r>
      <w:r w:rsidRPr="00430FAA">
        <w:rPr>
          <w:color w:val="000000" w:themeColor="text1"/>
          <w:sz w:val="18"/>
          <w:szCs w:val="18"/>
        </w:rPr>
        <w:t xml:space="preserve"> 2019 roku wartość przedmiotu sporu w ramach tego pozwu zbiorowego wyniosła 377 mln zł.</w:t>
      </w:r>
      <w:r w:rsidRPr="00BB7C9E">
        <w:rPr>
          <w:color w:val="000000" w:themeColor="text1"/>
          <w:sz w:val="18"/>
          <w:szCs w:val="18"/>
        </w:rPr>
        <w:t xml:space="preserve"> </w:t>
      </w:r>
    </w:p>
    <w:p w14:paraId="08FF4285" w14:textId="77777777" w:rsidR="00817059" w:rsidRPr="00BB7C9E" w:rsidRDefault="00817059" w:rsidP="00526DF1">
      <w:pPr>
        <w:numPr>
          <w:ilvl w:val="0"/>
          <w:numId w:val="65"/>
        </w:numPr>
        <w:spacing w:before="120"/>
        <w:jc w:val="both"/>
        <w:rPr>
          <w:rFonts w:eastAsia="Calibri" w:cs="Tahoma"/>
          <w:color w:val="000000" w:themeColor="text1"/>
          <w:sz w:val="18"/>
          <w:szCs w:val="18"/>
          <w:lang w:eastAsia="en-US"/>
        </w:rPr>
      </w:pPr>
      <w:r w:rsidRPr="00BB7C9E">
        <w:rPr>
          <w:rFonts w:eastAsia="Calibri" w:cs="Tahoma"/>
          <w:color w:val="000000" w:themeColor="text1"/>
          <w:sz w:val="18"/>
          <w:szCs w:val="18"/>
          <w:lang w:eastAsia="en-US"/>
        </w:rPr>
        <w:t xml:space="preserve">Indywidualne sprawy sądowe przeciwko Bankowi dotyczące kredytów indeksowanych do CHF </w:t>
      </w:r>
    </w:p>
    <w:p w14:paraId="34FCB780" w14:textId="7B81E418" w:rsidR="00C46A94" w:rsidRPr="00BB7C9E" w:rsidRDefault="00C46A94" w:rsidP="00542510">
      <w:pPr>
        <w:autoSpaceDE w:val="0"/>
        <w:autoSpaceDN w:val="0"/>
        <w:adjustRightInd w:val="0"/>
        <w:spacing w:before="120" w:after="120"/>
        <w:jc w:val="both"/>
        <w:rPr>
          <w:rFonts w:cs="Tahoma"/>
          <w:color w:val="000000" w:themeColor="text1"/>
          <w:sz w:val="18"/>
          <w:szCs w:val="18"/>
        </w:rPr>
      </w:pPr>
      <w:r w:rsidRPr="00BB7C9E">
        <w:rPr>
          <w:rFonts w:cs="Tahoma"/>
          <w:color w:val="000000" w:themeColor="text1"/>
          <w:sz w:val="18"/>
          <w:szCs w:val="18"/>
        </w:rPr>
        <w:t>Poza pozwami zbiorowymi toczą się również indywidualne sprawy sądowe przeciwko Bankowi wytoczone przez klientów w związku z umowami kredytowymi w CHF. Na dzień 31 gr</w:t>
      </w:r>
      <w:r w:rsidR="00D248C0">
        <w:rPr>
          <w:rFonts w:cs="Tahoma"/>
          <w:color w:val="000000" w:themeColor="text1"/>
          <w:sz w:val="18"/>
          <w:szCs w:val="18"/>
        </w:rPr>
        <w:t>udnia 2019 roku przeciwko Bankowi</w:t>
      </w:r>
      <w:r w:rsidRPr="00BB7C9E">
        <w:rPr>
          <w:rFonts w:cs="Tahoma"/>
          <w:color w:val="000000" w:themeColor="text1"/>
          <w:sz w:val="18"/>
          <w:szCs w:val="18"/>
        </w:rPr>
        <w:t xml:space="preserve"> toczyło się 3 715 indywidualnych postępowań sądowych wszczętych przez klientów w związku z umowami kredyt</w:t>
      </w:r>
      <w:r w:rsidR="00AC25CE">
        <w:rPr>
          <w:rFonts w:cs="Tahoma"/>
          <w:color w:val="000000" w:themeColor="text1"/>
          <w:sz w:val="18"/>
          <w:szCs w:val="18"/>
        </w:rPr>
        <w:t>owymi w CHF (30 września 2019 roku</w:t>
      </w:r>
      <w:r w:rsidRPr="00BB7C9E">
        <w:rPr>
          <w:rFonts w:cs="Tahoma"/>
          <w:color w:val="000000" w:themeColor="text1"/>
          <w:sz w:val="18"/>
          <w:szCs w:val="18"/>
        </w:rPr>
        <w:t>: 3 371 postępowań) o łącznej wartości roszczeń w</w:t>
      </w:r>
      <w:r w:rsidR="00985C41">
        <w:rPr>
          <w:rFonts w:cs="Tahoma"/>
          <w:color w:val="000000" w:themeColor="text1"/>
          <w:sz w:val="18"/>
          <w:szCs w:val="18"/>
        </w:rPr>
        <w:t> </w:t>
      </w:r>
      <w:r w:rsidRPr="00BB7C9E">
        <w:rPr>
          <w:rFonts w:cs="Tahoma"/>
          <w:color w:val="000000" w:themeColor="text1"/>
          <w:sz w:val="18"/>
          <w:szCs w:val="18"/>
        </w:rPr>
        <w:t>wysokości 4</w:t>
      </w:r>
      <w:r w:rsidR="00AC25CE">
        <w:rPr>
          <w:rFonts w:cs="Tahoma"/>
          <w:color w:val="000000" w:themeColor="text1"/>
          <w:sz w:val="18"/>
          <w:szCs w:val="18"/>
        </w:rPr>
        <w:t>43,2 mln zł (30 września 2019 roku</w:t>
      </w:r>
      <w:r w:rsidRPr="00BB7C9E">
        <w:rPr>
          <w:rFonts w:cs="Tahoma"/>
          <w:color w:val="000000" w:themeColor="text1"/>
          <w:sz w:val="18"/>
          <w:szCs w:val="18"/>
        </w:rPr>
        <w:t xml:space="preserve">: 366,6 mln zł). Wartość rezerw na wszystkie </w:t>
      </w:r>
      <w:r w:rsidRPr="00BB7C9E">
        <w:rPr>
          <w:rFonts w:cs="Tahoma"/>
          <w:color w:val="000000" w:themeColor="text1"/>
          <w:sz w:val="18"/>
          <w:szCs w:val="18"/>
        </w:rPr>
        <w:lastRenderedPageBreak/>
        <w:t>postępowania sądowe związane z umowami kredytowymi w CHF na dzień 31 grudnia 2019 roku wyniosła 478,8 mln zł.</w:t>
      </w:r>
    </w:p>
    <w:p w14:paraId="371BEBFF" w14:textId="508DFF08" w:rsidR="00817059" w:rsidRPr="00BB7C9E" w:rsidRDefault="00C46A94" w:rsidP="00542510">
      <w:pPr>
        <w:autoSpaceDE w:val="0"/>
        <w:autoSpaceDN w:val="0"/>
        <w:adjustRightInd w:val="0"/>
        <w:spacing w:before="120" w:after="120"/>
        <w:jc w:val="both"/>
        <w:rPr>
          <w:rFonts w:cs="Tahoma"/>
          <w:color w:val="000000" w:themeColor="text1"/>
          <w:sz w:val="18"/>
          <w:szCs w:val="18"/>
        </w:rPr>
      </w:pPr>
      <w:r w:rsidRPr="00BB7C9E">
        <w:rPr>
          <w:rFonts w:cs="Tahoma"/>
          <w:color w:val="000000" w:themeColor="text1"/>
          <w:sz w:val="18"/>
          <w:szCs w:val="18"/>
        </w:rPr>
        <w:t>W</w:t>
      </w:r>
      <w:r w:rsidR="00AC25CE">
        <w:rPr>
          <w:rFonts w:cs="Tahoma"/>
          <w:color w:val="000000" w:themeColor="text1"/>
          <w:sz w:val="18"/>
          <w:szCs w:val="18"/>
        </w:rPr>
        <w:t xml:space="preserve"> ramach pozwów indywidualnych 2 </w:t>
      </w:r>
      <w:r w:rsidRPr="00BB7C9E">
        <w:rPr>
          <w:rFonts w:cs="Tahoma"/>
          <w:color w:val="000000" w:themeColor="text1"/>
          <w:sz w:val="18"/>
          <w:szCs w:val="18"/>
        </w:rPr>
        <w:t>902 p</w:t>
      </w:r>
      <w:r w:rsidR="00D023A1">
        <w:rPr>
          <w:rFonts w:cs="Tahoma"/>
          <w:color w:val="000000" w:themeColor="text1"/>
          <w:sz w:val="18"/>
          <w:szCs w:val="18"/>
        </w:rPr>
        <w:t>ostępowania (30 września 2019 roku</w:t>
      </w:r>
      <w:r w:rsidRPr="00BB7C9E">
        <w:rPr>
          <w:rFonts w:cs="Tahoma"/>
          <w:color w:val="000000" w:themeColor="text1"/>
          <w:sz w:val="18"/>
          <w:szCs w:val="18"/>
        </w:rPr>
        <w:t>: 2 478 postępowań) o</w:t>
      </w:r>
      <w:r w:rsidR="00D023A1">
        <w:rPr>
          <w:rFonts w:cs="Tahoma"/>
          <w:color w:val="000000" w:themeColor="text1"/>
          <w:sz w:val="18"/>
          <w:szCs w:val="18"/>
        </w:rPr>
        <w:t> </w:t>
      </w:r>
      <w:r w:rsidRPr="00BB7C9E">
        <w:rPr>
          <w:rFonts w:cs="Tahoma"/>
          <w:color w:val="000000" w:themeColor="text1"/>
          <w:sz w:val="18"/>
          <w:szCs w:val="18"/>
        </w:rPr>
        <w:t>łącznej wartości sporu w wysokości 430,1 mln zł (30 września 2019 r</w:t>
      </w:r>
      <w:r w:rsidR="00D023A1">
        <w:rPr>
          <w:rFonts w:cs="Tahoma"/>
          <w:color w:val="000000" w:themeColor="text1"/>
          <w:sz w:val="18"/>
          <w:szCs w:val="18"/>
        </w:rPr>
        <w:t>oku</w:t>
      </w:r>
      <w:r w:rsidRPr="00BB7C9E">
        <w:rPr>
          <w:rFonts w:cs="Tahoma"/>
          <w:color w:val="000000" w:themeColor="text1"/>
          <w:sz w:val="18"/>
          <w:szCs w:val="18"/>
        </w:rPr>
        <w:t xml:space="preserve">: 352,5 mln zł) dotyczyły klauzul waloryzacyjnych i zawierały roszczenia dotyczące orzeczenia częściowej </w:t>
      </w:r>
      <w:r w:rsidR="009D7987">
        <w:rPr>
          <w:rFonts w:cs="Tahoma"/>
          <w:color w:val="000000" w:themeColor="text1"/>
          <w:sz w:val="18"/>
          <w:szCs w:val="18"/>
        </w:rPr>
        <w:t xml:space="preserve">bezskuteczności lub częściowej </w:t>
      </w:r>
      <w:r w:rsidRPr="00BB7C9E">
        <w:rPr>
          <w:rFonts w:cs="Tahoma"/>
          <w:color w:val="000000" w:themeColor="text1"/>
          <w:sz w:val="18"/>
          <w:szCs w:val="18"/>
        </w:rPr>
        <w:t>nieważności umów kredytowych, tj. pod względem postanowień dotyczących waloryzacji, lub orzeczenia, że umowy te są nieważne w całości. Prawomocne orzeczenia wydane do dnia podpisania niniejszego sprawozdania finansowego w indywidualnych postępowaniach dotyczących klauzul indeksacyjnych są</w:t>
      </w:r>
      <w:r w:rsidR="00985C41">
        <w:rPr>
          <w:rFonts w:cs="Tahoma"/>
          <w:color w:val="000000" w:themeColor="text1"/>
          <w:sz w:val="18"/>
          <w:szCs w:val="18"/>
        </w:rPr>
        <w:t> </w:t>
      </w:r>
      <w:r w:rsidRPr="00BB7C9E">
        <w:rPr>
          <w:rFonts w:cs="Tahoma"/>
          <w:color w:val="000000" w:themeColor="text1"/>
          <w:sz w:val="18"/>
          <w:szCs w:val="18"/>
        </w:rPr>
        <w:t>w</w:t>
      </w:r>
      <w:r w:rsidR="00D023A1">
        <w:rPr>
          <w:rFonts w:cs="Tahoma"/>
          <w:color w:val="000000" w:themeColor="text1"/>
          <w:sz w:val="18"/>
          <w:szCs w:val="18"/>
        </w:rPr>
        <w:t> </w:t>
      </w:r>
      <w:r w:rsidRPr="00BB7C9E">
        <w:rPr>
          <w:rFonts w:cs="Tahoma"/>
          <w:color w:val="000000" w:themeColor="text1"/>
          <w:sz w:val="18"/>
          <w:szCs w:val="18"/>
        </w:rPr>
        <w:t>większości przypadków korzystne dla Banku.</w:t>
      </w:r>
    </w:p>
    <w:p w14:paraId="453958B3" w14:textId="635952D7" w:rsidR="00817059" w:rsidRPr="00BB7C9E" w:rsidRDefault="00817059" w:rsidP="00542510">
      <w:pPr>
        <w:autoSpaceDE w:val="0"/>
        <w:autoSpaceDN w:val="0"/>
        <w:adjustRightInd w:val="0"/>
        <w:spacing w:before="120" w:after="120"/>
        <w:jc w:val="both"/>
        <w:rPr>
          <w:rFonts w:cs="Tahoma"/>
          <w:color w:val="000000" w:themeColor="text1"/>
          <w:sz w:val="18"/>
          <w:szCs w:val="18"/>
        </w:rPr>
      </w:pPr>
      <w:r w:rsidRPr="00BB7C9E">
        <w:rPr>
          <w:rFonts w:cs="Tahoma"/>
          <w:color w:val="000000" w:themeColor="text1"/>
          <w:sz w:val="18"/>
          <w:szCs w:val="18"/>
        </w:rPr>
        <w:t xml:space="preserve">Wykazana w </w:t>
      </w:r>
      <w:r w:rsidR="00AA0BA0">
        <w:rPr>
          <w:rFonts w:cs="Tahoma"/>
          <w:color w:val="000000" w:themeColor="text1"/>
          <w:sz w:val="18"/>
          <w:szCs w:val="18"/>
        </w:rPr>
        <w:t xml:space="preserve">skonsolidowanym </w:t>
      </w:r>
      <w:r w:rsidRPr="00BB7C9E">
        <w:rPr>
          <w:rFonts w:cs="Tahoma"/>
          <w:color w:val="000000" w:themeColor="text1"/>
          <w:sz w:val="18"/>
          <w:szCs w:val="18"/>
        </w:rPr>
        <w:t>sprawozdaniu finansowym Grupy mBanku S.A. na dzień 31 grudnia 2019 roku wartość bilansowa kredytów hipotecznych i mieszkaniowych udzielonych klientom indywidualn</w:t>
      </w:r>
      <w:r w:rsidR="00407BE9" w:rsidRPr="00BB7C9E">
        <w:rPr>
          <w:rFonts w:cs="Tahoma"/>
          <w:color w:val="000000" w:themeColor="text1"/>
          <w:sz w:val="18"/>
          <w:szCs w:val="18"/>
        </w:rPr>
        <w:t>ym w</w:t>
      </w:r>
      <w:r w:rsidR="00AC25CE">
        <w:rPr>
          <w:rFonts w:cs="Tahoma"/>
          <w:color w:val="000000" w:themeColor="text1"/>
          <w:sz w:val="18"/>
          <w:szCs w:val="18"/>
        </w:rPr>
        <w:t> </w:t>
      </w:r>
      <w:r w:rsidR="00407BE9" w:rsidRPr="00BB7C9E">
        <w:rPr>
          <w:rFonts w:cs="Tahoma"/>
          <w:color w:val="000000" w:themeColor="text1"/>
          <w:sz w:val="18"/>
          <w:szCs w:val="18"/>
        </w:rPr>
        <w:t>CHF wyniosła 13</w:t>
      </w:r>
      <w:r w:rsidR="00FB1AD2">
        <w:rPr>
          <w:rFonts w:cs="Tahoma"/>
          <w:color w:val="000000" w:themeColor="text1"/>
          <w:sz w:val="18"/>
          <w:szCs w:val="18"/>
        </w:rPr>
        <w:t xml:space="preserve">,6 mld </w:t>
      </w:r>
      <w:r w:rsidR="00407BE9" w:rsidRPr="00BB7C9E">
        <w:rPr>
          <w:rFonts w:cs="Tahoma"/>
          <w:color w:val="000000" w:themeColor="text1"/>
          <w:sz w:val="18"/>
          <w:szCs w:val="18"/>
        </w:rPr>
        <w:t>zł (tj. 3</w:t>
      </w:r>
      <w:r w:rsidR="00FB1AD2">
        <w:rPr>
          <w:rFonts w:cs="Tahoma"/>
          <w:color w:val="000000" w:themeColor="text1"/>
          <w:sz w:val="18"/>
          <w:szCs w:val="18"/>
        </w:rPr>
        <w:t xml:space="preserve">,5 mld </w:t>
      </w:r>
      <w:r w:rsidRPr="00BB7C9E">
        <w:rPr>
          <w:rFonts w:cs="Tahoma"/>
          <w:color w:val="000000" w:themeColor="text1"/>
          <w:sz w:val="18"/>
          <w:szCs w:val="18"/>
        </w:rPr>
        <w:t>franków szw</w:t>
      </w:r>
      <w:r w:rsidR="00FB1AD2">
        <w:rPr>
          <w:rFonts w:cs="Tahoma"/>
          <w:color w:val="000000" w:themeColor="text1"/>
          <w:sz w:val="18"/>
          <w:szCs w:val="18"/>
        </w:rPr>
        <w:t>ajcarskich), w porównaniu do 14,</w:t>
      </w:r>
      <w:r w:rsidR="00407BE9" w:rsidRPr="00BB7C9E">
        <w:rPr>
          <w:rFonts w:cs="Tahoma"/>
          <w:color w:val="000000" w:themeColor="text1"/>
          <w:sz w:val="18"/>
          <w:szCs w:val="18"/>
        </w:rPr>
        <w:t>4</w:t>
      </w:r>
      <w:r w:rsidR="00FB1AD2">
        <w:rPr>
          <w:rFonts w:cs="Tahoma"/>
          <w:color w:val="000000" w:themeColor="text1"/>
          <w:sz w:val="18"/>
          <w:szCs w:val="18"/>
        </w:rPr>
        <w:t xml:space="preserve"> mld</w:t>
      </w:r>
      <w:r w:rsidRPr="00BB7C9E">
        <w:rPr>
          <w:rFonts w:cs="Tahoma"/>
          <w:color w:val="000000" w:themeColor="text1"/>
          <w:sz w:val="18"/>
          <w:szCs w:val="18"/>
        </w:rPr>
        <w:t xml:space="preserve"> zł (tj.</w:t>
      </w:r>
      <w:r w:rsidR="00407BE9" w:rsidRPr="00BB7C9E">
        <w:rPr>
          <w:rFonts w:cs="Tahoma"/>
          <w:color w:val="000000" w:themeColor="text1"/>
          <w:sz w:val="18"/>
          <w:szCs w:val="18"/>
        </w:rPr>
        <w:t> </w:t>
      </w:r>
      <w:r w:rsidRPr="00BB7C9E">
        <w:rPr>
          <w:rFonts w:cs="Tahoma"/>
          <w:color w:val="000000" w:themeColor="text1"/>
          <w:sz w:val="18"/>
          <w:szCs w:val="18"/>
        </w:rPr>
        <w:t>3</w:t>
      </w:r>
      <w:r w:rsidR="00FB1AD2">
        <w:rPr>
          <w:rFonts w:cs="Tahoma"/>
          <w:color w:val="000000" w:themeColor="text1"/>
          <w:sz w:val="18"/>
          <w:szCs w:val="18"/>
        </w:rPr>
        <w:t>,8 mld</w:t>
      </w:r>
      <w:r w:rsidRPr="00BB7C9E">
        <w:rPr>
          <w:rFonts w:cs="Tahoma"/>
          <w:color w:val="000000" w:themeColor="text1"/>
          <w:sz w:val="18"/>
          <w:szCs w:val="18"/>
        </w:rPr>
        <w:t xml:space="preserve"> franków szwajcarskich) na koniec 2018 roku</w:t>
      </w:r>
      <w:r w:rsidRPr="00FA7526">
        <w:rPr>
          <w:rFonts w:cs="Tahoma"/>
          <w:color w:val="000000" w:themeColor="text1"/>
          <w:sz w:val="18"/>
          <w:szCs w:val="18"/>
        </w:rPr>
        <w:t>.</w:t>
      </w:r>
      <w:r w:rsidR="00FB1AD2" w:rsidRPr="00FA7526">
        <w:rPr>
          <w:rFonts w:cs="Tahoma"/>
          <w:color w:val="000000" w:themeColor="text1"/>
          <w:sz w:val="18"/>
          <w:szCs w:val="18"/>
        </w:rPr>
        <w:t xml:space="preserve"> </w:t>
      </w:r>
      <w:r w:rsidR="00FA7526" w:rsidRPr="00FA7526">
        <w:rPr>
          <w:rFonts w:cs="Tahoma"/>
          <w:color w:val="000000" w:themeColor="text1"/>
          <w:sz w:val="18"/>
          <w:szCs w:val="18"/>
        </w:rPr>
        <w:t>Ponadto</w:t>
      </w:r>
      <w:r w:rsidR="00FB1AD2" w:rsidRPr="00FA7526">
        <w:rPr>
          <w:rFonts w:cs="Tahoma"/>
          <w:color w:val="000000" w:themeColor="text1"/>
          <w:sz w:val="18"/>
          <w:szCs w:val="18"/>
        </w:rPr>
        <w:t xml:space="preserve"> wartość portfela pożyczek udzielonych w CHF, k</w:t>
      </w:r>
      <w:r w:rsidR="00FA7526" w:rsidRPr="00FA7526">
        <w:rPr>
          <w:rFonts w:cs="Tahoma"/>
          <w:color w:val="000000" w:themeColor="text1"/>
          <w:sz w:val="18"/>
          <w:szCs w:val="18"/>
        </w:rPr>
        <w:t>tóre na dzień 31 grudnia 2019 roku</w:t>
      </w:r>
      <w:r w:rsidR="00FB1AD2" w:rsidRPr="00FA7526">
        <w:rPr>
          <w:rFonts w:cs="Tahoma"/>
          <w:color w:val="000000" w:themeColor="text1"/>
          <w:sz w:val="18"/>
          <w:szCs w:val="18"/>
        </w:rPr>
        <w:t xml:space="preserve"> zostały w całości spłacone, wyniosła 6,3 mld zł.</w:t>
      </w:r>
    </w:p>
    <w:p w14:paraId="65E1F253" w14:textId="707DEFE8" w:rsidR="007E769B" w:rsidRPr="00BB7C9E" w:rsidRDefault="00817059" w:rsidP="00542510">
      <w:pPr>
        <w:autoSpaceDE w:val="0"/>
        <w:autoSpaceDN w:val="0"/>
        <w:adjustRightInd w:val="0"/>
        <w:spacing w:before="120" w:after="120"/>
        <w:jc w:val="both"/>
        <w:rPr>
          <w:rFonts w:cs="Tahoma"/>
          <w:color w:val="000000" w:themeColor="text1"/>
          <w:sz w:val="18"/>
          <w:szCs w:val="18"/>
        </w:rPr>
      </w:pPr>
      <w:r w:rsidRPr="00BB7C9E">
        <w:rPr>
          <w:rFonts w:cs="Tahoma"/>
          <w:color w:val="000000" w:themeColor="text1"/>
          <w:sz w:val="18"/>
          <w:szCs w:val="18"/>
        </w:rPr>
        <w:t>Podejście Grupy do kalkulacji rezerw na ryzyko prawne związane z klauzulami waloryzacyjnymi w umowach kredytów</w:t>
      </w:r>
      <w:r w:rsidR="002E6F0D">
        <w:rPr>
          <w:rFonts w:cs="Tahoma"/>
          <w:color w:val="000000" w:themeColor="text1"/>
          <w:sz w:val="18"/>
          <w:szCs w:val="18"/>
        </w:rPr>
        <w:t xml:space="preserve"> w CHF zostało opisane w Nocie 4</w:t>
      </w:r>
      <w:r w:rsidRPr="00BB7C9E">
        <w:rPr>
          <w:rFonts w:cs="Tahoma"/>
          <w:color w:val="000000" w:themeColor="text1"/>
          <w:sz w:val="18"/>
          <w:szCs w:val="18"/>
        </w:rPr>
        <w:t xml:space="preserve"> „Ważniejsze oszacowania i oceny dokonane w związku z</w:t>
      </w:r>
      <w:r w:rsidR="00D023A1">
        <w:rPr>
          <w:rFonts w:cs="Tahoma"/>
          <w:color w:val="000000" w:themeColor="text1"/>
          <w:sz w:val="18"/>
          <w:szCs w:val="18"/>
        </w:rPr>
        <w:t> </w:t>
      </w:r>
      <w:r w:rsidRPr="00BB7C9E">
        <w:rPr>
          <w:rFonts w:cs="Tahoma"/>
          <w:color w:val="000000" w:themeColor="text1"/>
          <w:sz w:val="18"/>
          <w:szCs w:val="18"/>
        </w:rPr>
        <w:t>z</w:t>
      </w:r>
      <w:r w:rsidR="003847C2">
        <w:rPr>
          <w:rFonts w:cs="Tahoma"/>
          <w:color w:val="000000" w:themeColor="text1"/>
          <w:sz w:val="18"/>
          <w:szCs w:val="18"/>
        </w:rPr>
        <w:t>astosowaniem zasad rachunkowośc</w:t>
      </w:r>
      <w:r w:rsidRPr="00BB7C9E">
        <w:rPr>
          <w:rFonts w:cs="Tahoma"/>
          <w:color w:val="000000" w:themeColor="text1"/>
          <w:sz w:val="18"/>
          <w:szCs w:val="18"/>
        </w:rPr>
        <w:t>i</w:t>
      </w:r>
      <w:r w:rsidR="003847C2">
        <w:rPr>
          <w:rFonts w:cs="Tahoma"/>
          <w:color w:val="000000" w:themeColor="text1"/>
          <w:sz w:val="18"/>
          <w:szCs w:val="18"/>
        </w:rPr>
        <w:t>”</w:t>
      </w:r>
      <w:r w:rsidRPr="00BB7C9E">
        <w:rPr>
          <w:rFonts w:cs="Tahoma"/>
          <w:color w:val="000000" w:themeColor="text1"/>
          <w:sz w:val="18"/>
          <w:szCs w:val="18"/>
        </w:rPr>
        <w:t>.</w:t>
      </w:r>
    </w:p>
    <w:p w14:paraId="281A58B5" w14:textId="77777777" w:rsidR="007E769B" w:rsidRPr="00BB7C9E" w:rsidRDefault="007E769B" w:rsidP="00FC3ED0">
      <w:pPr>
        <w:autoSpaceDE w:val="0"/>
        <w:autoSpaceDN w:val="0"/>
        <w:adjustRightInd w:val="0"/>
        <w:spacing w:before="120" w:after="120"/>
        <w:jc w:val="both"/>
        <w:rPr>
          <w:rFonts w:cs="Tahoma"/>
          <w:b/>
          <w:bCs/>
          <w:color w:val="000000" w:themeColor="text1"/>
          <w:sz w:val="18"/>
          <w:szCs w:val="18"/>
          <w:u w:val="single"/>
        </w:rPr>
      </w:pPr>
      <w:r w:rsidRPr="00BB7C9E">
        <w:rPr>
          <w:rFonts w:cs="Tahoma"/>
          <w:b/>
          <w:bCs/>
          <w:color w:val="000000" w:themeColor="text1"/>
          <w:sz w:val="18"/>
          <w:szCs w:val="18"/>
          <w:u w:val="single"/>
        </w:rPr>
        <w:t>Orzeczenie TSUE</w:t>
      </w:r>
      <w:r w:rsidRPr="00BB7C9E">
        <w:rPr>
          <w:color w:val="000000" w:themeColor="text1"/>
          <w:u w:val="single"/>
        </w:rPr>
        <w:t xml:space="preserve"> </w:t>
      </w:r>
      <w:r w:rsidRPr="00BB7C9E">
        <w:rPr>
          <w:rFonts w:cs="Tahoma"/>
          <w:b/>
          <w:bCs/>
          <w:color w:val="000000" w:themeColor="text1"/>
          <w:sz w:val="18"/>
          <w:szCs w:val="18"/>
          <w:u w:val="single"/>
        </w:rPr>
        <w:t xml:space="preserve">w sprawie dotyczącej kredytu w CHF </w:t>
      </w:r>
    </w:p>
    <w:p w14:paraId="15C9E994" w14:textId="69BA569E" w:rsidR="007E769B" w:rsidRPr="00BB7C9E" w:rsidRDefault="007E769B" w:rsidP="003D6E45">
      <w:pPr>
        <w:autoSpaceDE w:val="0"/>
        <w:autoSpaceDN w:val="0"/>
        <w:adjustRightInd w:val="0"/>
        <w:spacing w:before="120" w:after="120"/>
        <w:jc w:val="both"/>
        <w:rPr>
          <w:rFonts w:cs="Tahoma"/>
          <w:color w:val="000000" w:themeColor="text1"/>
          <w:sz w:val="18"/>
          <w:szCs w:val="18"/>
        </w:rPr>
      </w:pPr>
      <w:r w:rsidRPr="00BB7C9E">
        <w:rPr>
          <w:rFonts w:cs="Tahoma"/>
          <w:color w:val="000000" w:themeColor="text1"/>
          <w:sz w:val="18"/>
          <w:szCs w:val="18"/>
        </w:rPr>
        <w:t xml:space="preserve">W dniu 3 października 2019 roku Trybunał Sprawiedliwości UE wydał orzeczenie w trybie prejudycjalnym w sprawie kredytu indeksowanego we frankach szwajcarskich udzielonego przez jeden z krajowych banków. Celem pytań prejudycjalnych było ustalenie między innymi, czy można zastosować obowiązujący zwyczaj w sytuacji, gdy w prawie krajowym nie ma przepisu, który mógłby zastąpić klauzulę dotyczącą kursu walutowego uznaną za abuzywną. Zgodnie z orzeczeniem TSUE, kwestię abuzywności będą rozstrzygać polskie sądy. TSUE nie odniósł się do tej kwestii. TSUE nie zdecydował też ostatecznie w sprawie konsekwencji uznania klauzuli dotyczącej kursu walutowego za abuzywną przez sąd krajowy, wskazując jednak, że możliwość dalszego wykonywania umowy kredytu w PLN oprocentowanego stawką LIBOR wydaje się wątpliwa. W przypadku uznania klauzuli kursowej za abuzywną krajowy sąd ma zdecydować czy umowa może być nadal wykonywana czy też należy stwierdzić nieważność umowy, biorąc pod uwagę wolę klienta, jak i skutki nieważności dla klienta. TSUE zgodził się na stosowanie normy dyspozytywnej (w ocenie Banku art. 358 polskiego kodeksu cywilnego odnoszący się do średniego kursu NBP może być uznany za normę dyspozytywną), jeśli uznanie umowy za nieważną miałoby niekorzystny skutek dla klienta. Nie zgodził się natomiast na stosowanie przepisów o charakterze ogólnym, odwołujących się do zwyczaju czy zasad słuszności. </w:t>
      </w:r>
    </w:p>
    <w:p w14:paraId="52D2D010" w14:textId="77777777" w:rsidR="00A95C9B" w:rsidRPr="00BB7C9E" w:rsidRDefault="00A95C9B" w:rsidP="00FC3ED0">
      <w:pPr>
        <w:autoSpaceDE w:val="0"/>
        <w:autoSpaceDN w:val="0"/>
        <w:adjustRightInd w:val="0"/>
        <w:spacing w:before="120" w:after="120"/>
        <w:jc w:val="both"/>
        <w:rPr>
          <w:rFonts w:cs="Tahoma"/>
          <w:b/>
          <w:bCs/>
          <w:color w:val="000000" w:themeColor="text1"/>
          <w:sz w:val="18"/>
          <w:szCs w:val="18"/>
          <w:u w:val="single"/>
        </w:rPr>
      </w:pPr>
      <w:r w:rsidRPr="00BB7C9E">
        <w:rPr>
          <w:rFonts w:cs="Tahoma"/>
          <w:b/>
          <w:bCs/>
          <w:color w:val="000000" w:themeColor="text1"/>
          <w:sz w:val="18"/>
          <w:szCs w:val="18"/>
          <w:u w:val="single"/>
        </w:rPr>
        <w:t>Informacje o przeprowadzonych kontrolach podatkowych</w:t>
      </w:r>
    </w:p>
    <w:p w14:paraId="7C84C7B5" w14:textId="77777777" w:rsidR="00A95C9B" w:rsidRPr="00BB7C9E" w:rsidRDefault="00A95C9B" w:rsidP="00A95C9B">
      <w:pPr>
        <w:pStyle w:val="Tekstpodstawowy"/>
        <w:spacing w:before="120"/>
        <w:jc w:val="both"/>
        <w:rPr>
          <w:rFonts w:cs="Tahoma"/>
          <w:color w:val="000000" w:themeColor="text1"/>
          <w:sz w:val="18"/>
          <w:szCs w:val="18"/>
        </w:rPr>
      </w:pPr>
      <w:r w:rsidRPr="00BB7C9E">
        <w:rPr>
          <w:rFonts w:cs="Tahoma"/>
          <w:color w:val="000000" w:themeColor="text1"/>
          <w:sz w:val="18"/>
          <w:szCs w:val="18"/>
        </w:rPr>
        <w:t>W dniu 9 kwietnia 2019 roku mBank Hipoteczny S.A. otrzymał wezwanie od Naczelnika Pierwszego Mazowieckiego Urzędu Skarbowego w Warszawie do przedłożenia dokumentacji podatkowej dotyczącej transakcji zawieranych z podmiotami powiązanymi, o której mowa w art. 9a ust. 1-3a ustawy o podatku dochodowym od osób prawnych oraz został poinformowany o rozpoczęciu czynnościach sprawdzających w zakresie prawidłowości sporządzania zeznania CIT-8 i CIT-8/O za rok 2017.</w:t>
      </w:r>
    </w:p>
    <w:p w14:paraId="0CEE590D" w14:textId="77777777" w:rsidR="00A95C9B" w:rsidRPr="00BB7C9E" w:rsidRDefault="00A95C9B" w:rsidP="00A95C9B">
      <w:pPr>
        <w:pStyle w:val="Tekstpodstawowy"/>
        <w:spacing w:before="120"/>
        <w:jc w:val="both"/>
        <w:rPr>
          <w:rFonts w:cs="Tahoma"/>
          <w:color w:val="000000" w:themeColor="text1"/>
          <w:sz w:val="18"/>
          <w:szCs w:val="18"/>
        </w:rPr>
      </w:pPr>
      <w:r w:rsidRPr="00BB7C9E">
        <w:rPr>
          <w:rFonts w:cs="Tahoma"/>
          <w:color w:val="000000" w:themeColor="text1"/>
          <w:sz w:val="18"/>
          <w:szCs w:val="18"/>
        </w:rPr>
        <w:t>W dniu 24 września 2018 roku mBank S.A. otrzymał wezwanie od Naczelnika Pierwszego Mazowieckiego Urzędu Skarbowego w Warszawie do przedłożenia dokumentacji podatkowej dotyczącej transakcji zawieranych z podmiotami powiązanymi, o której mowa w art. 9a ust. 1-3a ustawy o podatku dochodowym od osób prawnych za rok 2016.</w:t>
      </w:r>
    </w:p>
    <w:p w14:paraId="2EDB0996" w14:textId="77777777" w:rsidR="00A95C9B" w:rsidRPr="00BB7C9E" w:rsidRDefault="00A95C9B" w:rsidP="00A95C9B">
      <w:pPr>
        <w:pStyle w:val="Tekstpodstawowy"/>
        <w:spacing w:before="120"/>
        <w:jc w:val="both"/>
        <w:rPr>
          <w:rFonts w:cs="Tahoma"/>
          <w:color w:val="000000" w:themeColor="text1"/>
          <w:sz w:val="18"/>
          <w:szCs w:val="18"/>
        </w:rPr>
      </w:pPr>
      <w:r w:rsidRPr="00BB7C9E">
        <w:rPr>
          <w:rFonts w:cs="Tahoma"/>
          <w:color w:val="000000" w:themeColor="text1"/>
          <w:sz w:val="18"/>
          <w:szCs w:val="18"/>
        </w:rPr>
        <w:t>W dniu 24 września 2018 roku spółka mLeasing Sp. z o.o. otrzymała wezwanie od Naczelnika Pierwszego Mazowieckiego Urzędu Skarbowego w Warszawie do przedłożenia dokumentacji podatkowej dotyczącej transakcji zawieranych z podmiotami powiązanymi, o której mowa w art. 9a ust. 1-3a ustawy o podatku dochodowym od osób prawnych za rok 2016.</w:t>
      </w:r>
    </w:p>
    <w:p w14:paraId="240B8C5F" w14:textId="77777777" w:rsidR="00A95C9B" w:rsidRPr="00BB7C9E" w:rsidRDefault="00A95C9B" w:rsidP="00A95C9B">
      <w:pPr>
        <w:pStyle w:val="Tekstpodstawowy"/>
        <w:spacing w:before="120"/>
        <w:jc w:val="both"/>
        <w:rPr>
          <w:rFonts w:cs="Tahoma"/>
          <w:color w:val="000000" w:themeColor="text1"/>
          <w:sz w:val="18"/>
          <w:szCs w:val="18"/>
        </w:rPr>
      </w:pPr>
      <w:r w:rsidRPr="00BB7C9E">
        <w:rPr>
          <w:rFonts w:cs="Tahoma"/>
          <w:color w:val="000000" w:themeColor="text1"/>
          <w:sz w:val="18"/>
          <w:szCs w:val="18"/>
        </w:rPr>
        <w:t>W dniach od 11 czerwca 2018 roku do 5 września 2018 roku w spółce CSK Sp. z o.o., w 100% zależnej od BDH Development Sp. z o.o., została przeprowadzona kontrola podatkowa prowadzona przez pracowników Urzędu Skarbowego Łódź-Śródmieście w zakresie podatku dochodowego od osób prawnych za rok 2016. Kontrola podatkowa nie wykazała nieprawidłowości.</w:t>
      </w:r>
    </w:p>
    <w:p w14:paraId="6A14D9EC" w14:textId="0394702F" w:rsidR="002C2105" w:rsidRDefault="00A95C9B" w:rsidP="00A95C9B">
      <w:pPr>
        <w:spacing w:before="120"/>
        <w:jc w:val="both"/>
        <w:rPr>
          <w:rFonts w:cs="Tahoma"/>
          <w:color w:val="000000" w:themeColor="text1"/>
          <w:sz w:val="18"/>
          <w:szCs w:val="18"/>
        </w:rPr>
      </w:pPr>
      <w:r w:rsidRPr="00BB7C9E">
        <w:rPr>
          <w:rFonts w:cs="Tahoma"/>
          <w:color w:val="000000" w:themeColor="text1"/>
          <w:sz w:val="18"/>
          <w:szCs w:val="18"/>
        </w:rPr>
        <w:t>Organy podatkowe mogą przeprowadzać kontrole i weryfikować zapisy operacji gospodarczych ujętych w księgach rachunkowych w ciągu 5 lat od zakończenia roku podatkowego, w którym złożono deklaracje podatkowe, dokonać ustalenia dodatkowego zobowiązania podatkowego i nałożyć związane z tym kary. W opinii Zarządu nie istnieją okoliczności wskazujące na możliwość powstania istotnych zobowiązań podatkowych w tym zakresie.</w:t>
      </w:r>
    </w:p>
    <w:p w14:paraId="70A061A9" w14:textId="77777777" w:rsidR="002C2105" w:rsidRDefault="002C2105">
      <w:pPr>
        <w:rPr>
          <w:rFonts w:cs="Tahoma"/>
          <w:color w:val="000000" w:themeColor="text1"/>
          <w:sz w:val="18"/>
          <w:szCs w:val="18"/>
        </w:rPr>
      </w:pPr>
      <w:r>
        <w:rPr>
          <w:rFonts w:cs="Tahoma"/>
          <w:color w:val="000000" w:themeColor="text1"/>
          <w:sz w:val="18"/>
          <w:szCs w:val="18"/>
        </w:rPr>
        <w:br w:type="page"/>
      </w:r>
    </w:p>
    <w:p w14:paraId="3CF92287" w14:textId="77777777" w:rsidR="00A95C9B" w:rsidRPr="00BB7C9E" w:rsidRDefault="00A95C9B" w:rsidP="003D6E45">
      <w:pPr>
        <w:autoSpaceDE w:val="0"/>
        <w:autoSpaceDN w:val="0"/>
        <w:adjustRightInd w:val="0"/>
        <w:spacing w:before="120" w:after="120"/>
        <w:jc w:val="both"/>
        <w:rPr>
          <w:rFonts w:cs="Tahoma"/>
          <w:b/>
          <w:bCs/>
          <w:color w:val="000000" w:themeColor="text1"/>
          <w:sz w:val="18"/>
          <w:szCs w:val="18"/>
          <w:u w:val="single"/>
        </w:rPr>
      </w:pPr>
      <w:r w:rsidRPr="00BB7C9E">
        <w:rPr>
          <w:rFonts w:cs="Tahoma"/>
          <w:b/>
          <w:bCs/>
          <w:color w:val="000000" w:themeColor="text1"/>
          <w:sz w:val="18"/>
          <w:szCs w:val="18"/>
          <w:u w:val="single"/>
        </w:rPr>
        <w:lastRenderedPageBreak/>
        <w:t>Kontrola Urzędu Komisji Nadzoru Finansowego (UKNF)</w:t>
      </w:r>
    </w:p>
    <w:p w14:paraId="3CAE6F2F" w14:textId="77777777" w:rsidR="00A95C9B" w:rsidRPr="00BB7C9E" w:rsidRDefault="00A95C9B" w:rsidP="00A95C9B">
      <w:pPr>
        <w:pStyle w:val="Tekstpodstawowy"/>
        <w:jc w:val="both"/>
        <w:rPr>
          <w:rFonts w:cs="Tahoma"/>
          <w:color w:val="000000" w:themeColor="text1"/>
          <w:sz w:val="18"/>
          <w:szCs w:val="18"/>
        </w:rPr>
      </w:pPr>
      <w:r w:rsidRPr="00BB7C9E">
        <w:rPr>
          <w:rFonts w:cs="Tahoma"/>
          <w:color w:val="000000" w:themeColor="text1"/>
          <w:sz w:val="18"/>
          <w:szCs w:val="18"/>
        </w:rPr>
        <w:t xml:space="preserve">W okresie od października do grudnia 2018 roku pracownicy UKNF przeprowadzili w Banku kontrolę w celu sprawdzenia, czy działalność mBanku S.A. w zakresie wykonywania obowiązków depozytariusza jest zgodna z prawem oraz umową o wykonywaniu funkcji depozytariusza, a w szczególności z ustawą z dnia 27 maja 2004 roku o funduszach inwestycyjnych i zarządzaniu alternatywnymi funduszami inwestycyjnymi (Dz. U. z 2018 r. poz. 1355, z późn. zm.). </w:t>
      </w:r>
    </w:p>
    <w:p w14:paraId="0AEC2542" w14:textId="77777777" w:rsidR="00A95C9B" w:rsidRPr="00BB7C9E" w:rsidRDefault="00A95C9B" w:rsidP="00A95C9B">
      <w:pPr>
        <w:pStyle w:val="Tekstpodstawowy"/>
        <w:jc w:val="both"/>
        <w:rPr>
          <w:rFonts w:cs="Tahoma"/>
          <w:color w:val="000000" w:themeColor="text1"/>
          <w:sz w:val="18"/>
          <w:szCs w:val="18"/>
        </w:rPr>
      </w:pPr>
      <w:r w:rsidRPr="00BB7C9E">
        <w:rPr>
          <w:rFonts w:cs="Tahoma"/>
          <w:color w:val="000000" w:themeColor="text1"/>
          <w:sz w:val="18"/>
          <w:szCs w:val="18"/>
        </w:rPr>
        <w:t xml:space="preserve">Szczegółowe ustalenia kontroli zostały przedstawione w protokole przekazanym Bankowi w dniu 11 lutego 2019 roku. W dniu 25 lutego 2019 roku Bank przekazał UKNF zastrzeżenia do protokołu oraz dodatkowe wyjaśnienia w kwestiach podlegających kontroli. </w:t>
      </w:r>
    </w:p>
    <w:p w14:paraId="205E1DE2" w14:textId="77777777" w:rsidR="00A95C9B" w:rsidRPr="00BB7C9E" w:rsidRDefault="00A95C9B" w:rsidP="00A95C9B">
      <w:pPr>
        <w:pStyle w:val="Tekstpodstawowy"/>
        <w:jc w:val="both"/>
        <w:rPr>
          <w:rFonts w:cs="Tahoma"/>
          <w:color w:val="000000" w:themeColor="text1"/>
          <w:sz w:val="18"/>
          <w:szCs w:val="18"/>
        </w:rPr>
      </w:pPr>
      <w:r w:rsidRPr="00BB7C9E">
        <w:rPr>
          <w:rFonts w:cs="Tahoma"/>
          <w:color w:val="000000" w:themeColor="text1"/>
          <w:sz w:val="18"/>
          <w:szCs w:val="18"/>
        </w:rPr>
        <w:t>W dniu 1 kwietnia 2019 roku Bank otrzymał odpowiedź UKNF na zastrzeżenia do protokołu kontroli oraz zalecenia UKNF w zakresie dostosowania działalności jako depozytariusz funduszy inwestycyjnych do przepisów prawa. Wszystkie zastrzeżenia Banku zostały odrzucone przez regulatora.</w:t>
      </w:r>
    </w:p>
    <w:p w14:paraId="3E800305" w14:textId="2A8E6198" w:rsidR="00205A1A" w:rsidRDefault="00A95C9B" w:rsidP="00A95C9B">
      <w:pPr>
        <w:pStyle w:val="Tekstpodstawowy"/>
        <w:spacing w:after="0"/>
        <w:jc w:val="both"/>
        <w:rPr>
          <w:rFonts w:cs="Tahoma"/>
          <w:color w:val="000000" w:themeColor="text1"/>
          <w:sz w:val="18"/>
          <w:szCs w:val="18"/>
        </w:rPr>
      </w:pPr>
      <w:r w:rsidRPr="00BB7C9E">
        <w:rPr>
          <w:rFonts w:cs="Tahoma"/>
          <w:color w:val="000000" w:themeColor="text1"/>
          <w:sz w:val="18"/>
          <w:szCs w:val="18"/>
        </w:rPr>
        <w:t>W dniu 25 kwietnia 2019 roku Bank przekazał UKNF deklarację działań w ramach realizacji zaleceń pokontrolnych. Urząd pismem z dnia 4 września 2019 roku wniósł zastrzeżenia do realizacji wybranych zaleceń. W dniu 11 października 2019 roku Bank przekazał UKNF odpowiedź na zastrzeżenia, w której doprecyzował opis podejmowanych działań, jak również przedstawił nowe rozwiązania zmierzające do realizacji zaleceń</w:t>
      </w:r>
      <w:r w:rsidR="00205A1A" w:rsidRPr="00BB7C9E">
        <w:rPr>
          <w:rFonts w:cs="Tahoma"/>
          <w:color w:val="000000" w:themeColor="text1"/>
          <w:sz w:val="18"/>
          <w:szCs w:val="18"/>
        </w:rPr>
        <w:t>.</w:t>
      </w:r>
      <w:r w:rsidR="002E65A3">
        <w:rPr>
          <w:rFonts w:cs="Tahoma"/>
          <w:color w:val="000000" w:themeColor="text1"/>
          <w:sz w:val="18"/>
          <w:szCs w:val="18"/>
        </w:rPr>
        <w:t xml:space="preserve"> </w:t>
      </w:r>
      <w:r w:rsidR="002E65A3" w:rsidRPr="002E65A3">
        <w:rPr>
          <w:rFonts w:cs="Tahoma"/>
          <w:color w:val="000000" w:themeColor="text1"/>
          <w:sz w:val="18"/>
          <w:szCs w:val="18"/>
        </w:rPr>
        <w:t>W</w:t>
      </w:r>
      <w:r w:rsidR="002E65A3">
        <w:rPr>
          <w:rFonts w:cs="Tahoma"/>
          <w:color w:val="000000" w:themeColor="text1"/>
          <w:sz w:val="18"/>
          <w:szCs w:val="18"/>
        </w:rPr>
        <w:t> </w:t>
      </w:r>
      <w:r w:rsidR="002E65A3" w:rsidRPr="002E65A3">
        <w:rPr>
          <w:rFonts w:cs="Tahoma"/>
          <w:color w:val="000000" w:themeColor="text1"/>
          <w:sz w:val="18"/>
          <w:szCs w:val="18"/>
        </w:rPr>
        <w:t>dniu 5 grudnia 2019 roku UKNF przekazał Bankowi odpowiedź na pismo zawierające akceptację części działań Banku mających na celu realizację zaleceń pokontrolnych oraz doprecyzowanie innych oczekiwań, które są</w:t>
      </w:r>
      <w:r w:rsidR="00C74EF9">
        <w:rPr>
          <w:rFonts w:cs="Tahoma"/>
          <w:color w:val="000000" w:themeColor="text1"/>
          <w:sz w:val="18"/>
          <w:szCs w:val="18"/>
        </w:rPr>
        <w:t> </w:t>
      </w:r>
      <w:r w:rsidR="002E65A3" w:rsidRPr="002E65A3">
        <w:rPr>
          <w:rFonts w:cs="Tahoma"/>
          <w:color w:val="000000" w:themeColor="text1"/>
          <w:sz w:val="18"/>
          <w:szCs w:val="18"/>
        </w:rPr>
        <w:t>realizowane. O zakończeniu i zrealizowaniu zaleceń KNF Bank zawiadomi Urząd stosownym pismem.</w:t>
      </w:r>
    </w:p>
    <w:p w14:paraId="721886E1" w14:textId="77777777" w:rsidR="00FC3ED0" w:rsidRDefault="00FC3ED0" w:rsidP="00A95C9B">
      <w:pPr>
        <w:pStyle w:val="Tekstpodstawowy"/>
        <w:spacing w:after="0"/>
        <w:jc w:val="both"/>
        <w:rPr>
          <w:rFonts w:cs="Tahoma"/>
          <w:color w:val="000000" w:themeColor="text1"/>
          <w:sz w:val="18"/>
          <w:szCs w:val="18"/>
        </w:rPr>
      </w:pPr>
    </w:p>
    <w:p w14:paraId="15C20A52" w14:textId="3197433A" w:rsidR="00D0163E" w:rsidRDefault="00D0163E" w:rsidP="00526DF1">
      <w:pPr>
        <w:pStyle w:val="Nagwek2"/>
        <w:numPr>
          <w:ilvl w:val="0"/>
          <w:numId w:val="44"/>
        </w:numPr>
        <w:suppressAutoHyphens/>
        <w:spacing w:before="0"/>
        <w:ind w:left="425" w:hanging="425"/>
        <w:jc w:val="both"/>
        <w:rPr>
          <w:rFonts w:cs="Tahoma"/>
          <w:bCs w:val="0"/>
          <w:iCs w:val="0"/>
          <w:color w:val="E41E0A"/>
          <w:sz w:val="18"/>
          <w:szCs w:val="18"/>
        </w:rPr>
      </w:pPr>
      <w:bookmarkStart w:id="154" w:name="_Toc32999864"/>
      <w:r>
        <w:rPr>
          <w:rFonts w:cs="Tahoma"/>
          <w:bCs w:val="0"/>
          <w:iCs w:val="0"/>
          <w:color w:val="E41E0A"/>
          <w:sz w:val="18"/>
          <w:szCs w:val="18"/>
        </w:rPr>
        <w:t>Zobowiązania pozabilansowe</w:t>
      </w:r>
      <w:bookmarkEnd w:id="154"/>
    </w:p>
    <w:p w14:paraId="5012A7E2" w14:textId="77777777" w:rsidR="00D0163E" w:rsidRPr="00BB7C9E" w:rsidRDefault="00D0163E" w:rsidP="009A374C">
      <w:pPr>
        <w:spacing w:before="120"/>
        <w:jc w:val="both"/>
        <w:rPr>
          <w:rFonts w:cs="Tahoma"/>
          <w:color w:val="000000" w:themeColor="text1"/>
          <w:sz w:val="18"/>
          <w:szCs w:val="18"/>
        </w:rPr>
      </w:pPr>
      <w:r w:rsidRPr="00BB7C9E">
        <w:rPr>
          <w:rFonts w:cs="Tahoma"/>
          <w:color w:val="000000" w:themeColor="text1"/>
          <w:sz w:val="18"/>
          <w:szCs w:val="18"/>
        </w:rPr>
        <w:t>Zobowiązania pozabilansowe Grupy obejmują:</w:t>
      </w:r>
    </w:p>
    <w:p w14:paraId="76BF5680" w14:textId="77777777" w:rsidR="00D0163E" w:rsidRPr="00BB7C9E" w:rsidRDefault="00D0163E" w:rsidP="00526DF1">
      <w:pPr>
        <w:numPr>
          <w:ilvl w:val="0"/>
          <w:numId w:val="24"/>
        </w:numPr>
        <w:tabs>
          <w:tab w:val="clear" w:pos="1267"/>
          <w:tab w:val="num" w:pos="426"/>
        </w:tabs>
        <w:suppressAutoHyphens/>
        <w:ind w:left="1264" w:right="-57" w:hanging="1264"/>
        <w:jc w:val="both"/>
        <w:rPr>
          <w:rFonts w:cs="Tahoma"/>
          <w:bCs/>
          <w:color w:val="000000" w:themeColor="text1"/>
          <w:sz w:val="18"/>
          <w:szCs w:val="18"/>
        </w:rPr>
      </w:pPr>
      <w:r w:rsidRPr="00BB7C9E">
        <w:rPr>
          <w:rFonts w:cs="Tahoma"/>
          <w:bCs/>
          <w:color w:val="000000" w:themeColor="text1"/>
          <w:sz w:val="18"/>
          <w:szCs w:val="18"/>
        </w:rPr>
        <w:t>Zobowiązania do udzielenia kredytu</w:t>
      </w:r>
    </w:p>
    <w:p w14:paraId="25665EB1" w14:textId="77777777" w:rsidR="00D0163E" w:rsidRPr="00BB7C9E" w:rsidRDefault="00D0163E" w:rsidP="00D0163E">
      <w:pPr>
        <w:suppressAutoHyphens/>
        <w:spacing w:before="120"/>
        <w:ind w:right="-57"/>
        <w:jc w:val="both"/>
        <w:rPr>
          <w:rFonts w:cs="Tahoma"/>
          <w:bCs/>
          <w:color w:val="000000" w:themeColor="text1"/>
          <w:sz w:val="18"/>
          <w:szCs w:val="18"/>
        </w:rPr>
      </w:pPr>
      <w:r w:rsidRPr="00BB7C9E">
        <w:rPr>
          <w:rFonts w:cs="Tahoma"/>
          <w:bCs/>
          <w:color w:val="000000" w:themeColor="text1"/>
          <w:sz w:val="18"/>
          <w:szCs w:val="18"/>
        </w:rPr>
        <w:t>Kwoty oraz odpowiadające im terminy, w których Grupa zobowiązana będzie do zrealizowania pozabilansowych zobowiązań finansowych poprzez udzielenie kredytów lub innych świadczeń pieniężnych, zostały zaprezentowane w tabeli poniżej.</w:t>
      </w:r>
    </w:p>
    <w:p w14:paraId="634B7F3F" w14:textId="77777777" w:rsidR="00D0163E" w:rsidRPr="00BB7C9E" w:rsidRDefault="00D0163E" w:rsidP="00526DF1">
      <w:pPr>
        <w:numPr>
          <w:ilvl w:val="0"/>
          <w:numId w:val="24"/>
        </w:numPr>
        <w:tabs>
          <w:tab w:val="clear" w:pos="1267"/>
          <w:tab w:val="num" w:pos="426"/>
        </w:tabs>
        <w:suppressAutoHyphens/>
        <w:ind w:left="1264" w:right="-57" w:hanging="1264"/>
        <w:jc w:val="both"/>
        <w:rPr>
          <w:rFonts w:cs="Tahoma"/>
          <w:bCs/>
          <w:color w:val="000000" w:themeColor="text1"/>
          <w:sz w:val="18"/>
          <w:szCs w:val="18"/>
        </w:rPr>
      </w:pPr>
      <w:r w:rsidRPr="00BB7C9E">
        <w:rPr>
          <w:rFonts w:cs="Tahoma"/>
          <w:bCs/>
          <w:color w:val="000000" w:themeColor="text1"/>
          <w:sz w:val="18"/>
          <w:szCs w:val="18"/>
        </w:rPr>
        <w:t xml:space="preserve">Gwarancje i inne produkty finansowe </w:t>
      </w:r>
    </w:p>
    <w:p w14:paraId="35B76533" w14:textId="6BAABC7B" w:rsidR="00D0163E" w:rsidRPr="00BB7C9E" w:rsidRDefault="00CB19E1" w:rsidP="00526DF1">
      <w:pPr>
        <w:numPr>
          <w:ilvl w:val="0"/>
          <w:numId w:val="24"/>
        </w:numPr>
        <w:tabs>
          <w:tab w:val="clear" w:pos="1267"/>
          <w:tab w:val="num" w:pos="426"/>
        </w:tabs>
        <w:suppressAutoHyphens/>
        <w:ind w:left="1264" w:right="-57" w:hanging="1264"/>
        <w:jc w:val="both"/>
        <w:rPr>
          <w:rFonts w:cs="Tahoma"/>
          <w:bCs/>
          <w:color w:val="000000" w:themeColor="text1"/>
          <w:sz w:val="18"/>
          <w:szCs w:val="18"/>
        </w:rPr>
      </w:pPr>
      <w:r w:rsidRPr="00BB7C9E">
        <w:rPr>
          <w:rFonts w:cs="Tahoma"/>
          <w:bCs/>
          <w:color w:val="000000" w:themeColor="text1"/>
          <w:sz w:val="18"/>
          <w:szCs w:val="18"/>
        </w:rPr>
        <w:t>Pozostałe zobowiązania</w:t>
      </w:r>
    </w:p>
    <w:p w14:paraId="63E29E08" w14:textId="655B899C" w:rsidR="004E7542" w:rsidRPr="00BB7C9E" w:rsidRDefault="004E7542" w:rsidP="00C45596">
      <w:pPr>
        <w:spacing w:before="240"/>
        <w:jc w:val="both"/>
        <w:rPr>
          <w:rFonts w:cs="Tahoma"/>
          <w:b/>
          <w:color w:val="000000" w:themeColor="text1"/>
          <w:sz w:val="18"/>
          <w:szCs w:val="18"/>
        </w:rPr>
      </w:pPr>
      <w:r w:rsidRPr="00BB7C9E">
        <w:rPr>
          <w:rFonts w:cs="Tahoma"/>
          <w:b/>
          <w:color w:val="000000" w:themeColor="text1"/>
          <w:sz w:val="18"/>
          <w:szCs w:val="18"/>
        </w:rPr>
        <w:t>Zobowiązania do udzielenia kredytu, gwarancje i inne produkty finansowe oraz pozostałe zobowiązania</w:t>
      </w:r>
    </w:p>
    <w:p w14:paraId="638D9579" w14:textId="5034C829" w:rsidR="00005EC6" w:rsidRDefault="00005EC6" w:rsidP="003D6E45">
      <w:pPr>
        <w:jc w:val="both"/>
        <w:rPr>
          <w:noProof/>
        </w:rPr>
      </w:pPr>
    </w:p>
    <w:tbl>
      <w:tblPr>
        <w:tblW w:w="9498" w:type="dxa"/>
        <w:tblLayout w:type="fixed"/>
        <w:tblCellMar>
          <w:left w:w="28" w:type="dxa"/>
          <w:right w:w="28" w:type="dxa"/>
        </w:tblCellMar>
        <w:tblLook w:val="04A0" w:firstRow="1" w:lastRow="0" w:firstColumn="1" w:lastColumn="0" w:noHBand="0" w:noVBand="1"/>
      </w:tblPr>
      <w:tblGrid>
        <w:gridCol w:w="2024"/>
        <w:gridCol w:w="935"/>
        <w:gridCol w:w="935"/>
        <w:gridCol w:w="934"/>
        <w:gridCol w:w="934"/>
        <w:gridCol w:w="934"/>
        <w:gridCol w:w="934"/>
        <w:gridCol w:w="934"/>
        <w:gridCol w:w="934"/>
      </w:tblGrid>
      <w:tr w:rsidR="003D6E45" w:rsidRPr="003D6E45" w14:paraId="08F5B804" w14:textId="77777777" w:rsidTr="003649B4">
        <w:trPr>
          <w:trHeight w:val="907"/>
        </w:trPr>
        <w:tc>
          <w:tcPr>
            <w:tcW w:w="2024" w:type="dxa"/>
            <w:vMerge w:val="restart"/>
            <w:tcBorders>
              <w:top w:val="nil"/>
              <w:left w:val="nil"/>
              <w:bottom w:val="single" w:sz="8" w:space="0" w:color="FFFFFF"/>
              <w:right w:val="single" w:sz="8" w:space="0" w:color="FFFFFF"/>
            </w:tcBorders>
            <w:shd w:val="clear" w:color="000000" w:fill="0077BD"/>
            <w:vAlign w:val="center"/>
            <w:hideMark/>
          </w:tcPr>
          <w:p w14:paraId="34E952E3" w14:textId="51029E22" w:rsidR="003D6E45" w:rsidRPr="003D6E45" w:rsidRDefault="003D6E45" w:rsidP="009605B0">
            <w:pPr>
              <w:rPr>
                <w:rFonts w:cs="Calibri"/>
                <w:b/>
                <w:bCs/>
                <w:color w:val="FFFFFF"/>
                <w:sz w:val="13"/>
                <w:szCs w:val="13"/>
              </w:rPr>
            </w:pPr>
            <w:r>
              <w:rPr>
                <w:rFonts w:cs="Calibri"/>
                <w:b/>
                <w:bCs/>
                <w:color w:val="FFFFFF"/>
                <w:sz w:val="13"/>
                <w:szCs w:val="13"/>
              </w:rPr>
              <w:t>31.12.2019</w:t>
            </w:r>
          </w:p>
        </w:tc>
        <w:tc>
          <w:tcPr>
            <w:tcW w:w="3738" w:type="dxa"/>
            <w:gridSpan w:val="4"/>
            <w:tcBorders>
              <w:top w:val="nil"/>
              <w:left w:val="single" w:sz="8" w:space="0" w:color="FFFFFF"/>
              <w:bottom w:val="single" w:sz="6" w:space="0" w:color="FFFFFF"/>
              <w:right w:val="single" w:sz="8" w:space="0" w:color="FFFFFF"/>
            </w:tcBorders>
            <w:shd w:val="clear" w:color="000000" w:fill="0077BD"/>
            <w:vAlign w:val="center"/>
            <w:hideMark/>
          </w:tcPr>
          <w:p w14:paraId="761D9D83"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 xml:space="preserve">Kwota nominalna pozabilansowych zobowiązań do udzielenia kredytu, gwarancji i innych produktów finansowych oraz pozostałych zobowiązań podlegających utracie wartości zgodnie z MSSF 9 </w:t>
            </w:r>
          </w:p>
        </w:tc>
        <w:tc>
          <w:tcPr>
            <w:tcW w:w="3736" w:type="dxa"/>
            <w:gridSpan w:val="4"/>
            <w:tcBorders>
              <w:top w:val="nil"/>
              <w:left w:val="nil"/>
              <w:bottom w:val="single" w:sz="6" w:space="0" w:color="FFFFFF"/>
              <w:right w:val="nil"/>
            </w:tcBorders>
            <w:shd w:val="clear" w:color="000000" w:fill="0077BD"/>
            <w:vAlign w:val="center"/>
            <w:hideMark/>
          </w:tcPr>
          <w:p w14:paraId="69309CA1" w14:textId="018ACC91" w:rsidR="003D6E45" w:rsidRPr="003D6E45" w:rsidRDefault="009605B0" w:rsidP="007601A1">
            <w:pPr>
              <w:jc w:val="center"/>
              <w:rPr>
                <w:rFonts w:cs="Calibri"/>
                <w:b/>
                <w:bCs/>
                <w:color w:val="FFFFFF"/>
                <w:sz w:val="13"/>
                <w:szCs w:val="13"/>
              </w:rPr>
            </w:pPr>
            <w:r>
              <w:rPr>
                <w:rFonts w:cs="Calibri"/>
                <w:b/>
                <w:bCs/>
                <w:color w:val="FFFFFF"/>
                <w:sz w:val="13"/>
                <w:szCs w:val="13"/>
              </w:rPr>
              <w:t xml:space="preserve">Rezerwy z tytułu </w:t>
            </w:r>
            <w:r w:rsidR="003D6E45" w:rsidRPr="003D6E45">
              <w:rPr>
                <w:rFonts w:cs="Calibri"/>
                <w:b/>
                <w:bCs/>
                <w:color w:val="FFFFFF"/>
                <w:sz w:val="13"/>
                <w:szCs w:val="13"/>
              </w:rPr>
              <w:t xml:space="preserve">pozabilansowych zobowiązań do udzielenia kredytu, gwarancji i innych produktów finansowych oraz pozostałych zobowiązań podlegających utracie wartości zgodnie z MSSF 9  </w:t>
            </w:r>
          </w:p>
        </w:tc>
      </w:tr>
      <w:tr w:rsidR="003D6E45" w:rsidRPr="003D6E45" w14:paraId="5E28F989" w14:textId="77777777" w:rsidTr="00D545F0">
        <w:trPr>
          <w:trHeight w:val="340"/>
        </w:trPr>
        <w:tc>
          <w:tcPr>
            <w:tcW w:w="2024" w:type="dxa"/>
            <w:vMerge/>
            <w:tcBorders>
              <w:top w:val="nil"/>
              <w:left w:val="nil"/>
              <w:bottom w:val="single" w:sz="8" w:space="0" w:color="FFFFFF"/>
              <w:right w:val="single" w:sz="8" w:space="0" w:color="FFFFFF"/>
            </w:tcBorders>
            <w:vAlign w:val="center"/>
            <w:hideMark/>
          </w:tcPr>
          <w:p w14:paraId="55A117AA" w14:textId="77777777" w:rsidR="003D6E45" w:rsidRPr="003D6E45" w:rsidRDefault="003D6E45" w:rsidP="007601A1">
            <w:pPr>
              <w:rPr>
                <w:rFonts w:cs="Calibri"/>
                <w:b/>
                <w:bCs/>
                <w:color w:val="FFFFFF"/>
                <w:sz w:val="13"/>
                <w:szCs w:val="13"/>
              </w:rPr>
            </w:pPr>
          </w:p>
        </w:tc>
        <w:tc>
          <w:tcPr>
            <w:tcW w:w="935" w:type="dxa"/>
            <w:tcBorders>
              <w:top w:val="single" w:sz="6" w:space="0" w:color="FFFFFF"/>
              <w:left w:val="single" w:sz="8" w:space="0" w:color="FFFFFF"/>
              <w:right w:val="single" w:sz="8" w:space="0" w:color="FFFFFF"/>
            </w:tcBorders>
            <w:shd w:val="clear" w:color="000000" w:fill="0077BD"/>
            <w:vAlign w:val="center"/>
            <w:hideMark/>
          </w:tcPr>
          <w:p w14:paraId="2015C707"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1</w:t>
            </w:r>
          </w:p>
        </w:tc>
        <w:tc>
          <w:tcPr>
            <w:tcW w:w="935" w:type="dxa"/>
            <w:tcBorders>
              <w:top w:val="single" w:sz="6" w:space="0" w:color="FFFFFF"/>
              <w:left w:val="nil"/>
              <w:right w:val="single" w:sz="8" w:space="0" w:color="FFFFFF"/>
            </w:tcBorders>
            <w:shd w:val="clear" w:color="000000" w:fill="0077BD"/>
            <w:vAlign w:val="center"/>
            <w:hideMark/>
          </w:tcPr>
          <w:p w14:paraId="7E810B17"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2</w:t>
            </w:r>
          </w:p>
        </w:tc>
        <w:tc>
          <w:tcPr>
            <w:tcW w:w="934" w:type="dxa"/>
            <w:tcBorders>
              <w:top w:val="single" w:sz="6" w:space="0" w:color="FFFFFF"/>
              <w:left w:val="nil"/>
              <w:right w:val="single" w:sz="8" w:space="0" w:color="FFFFFF"/>
            </w:tcBorders>
            <w:shd w:val="clear" w:color="000000" w:fill="0077BD"/>
            <w:vAlign w:val="center"/>
            <w:hideMark/>
          </w:tcPr>
          <w:p w14:paraId="3793705C"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3</w:t>
            </w:r>
          </w:p>
        </w:tc>
        <w:tc>
          <w:tcPr>
            <w:tcW w:w="934" w:type="dxa"/>
            <w:tcBorders>
              <w:top w:val="single" w:sz="6" w:space="0" w:color="FFFFFF"/>
              <w:left w:val="nil"/>
              <w:right w:val="single" w:sz="8" w:space="0" w:color="FFFFFF"/>
            </w:tcBorders>
            <w:shd w:val="clear" w:color="000000" w:fill="0077BD"/>
            <w:vAlign w:val="center"/>
            <w:hideMark/>
          </w:tcPr>
          <w:p w14:paraId="2E4A4EC4"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POCI</w:t>
            </w:r>
          </w:p>
        </w:tc>
        <w:tc>
          <w:tcPr>
            <w:tcW w:w="934" w:type="dxa"/>
            <w:tcBorders>
              <w:top w:val="single" w:sz="6" w:space="0" w:color="FFFFFF"/>
              <w:left w:val="nil"/>
              <w:right w:val="single" w:sz="8" w:space="0" w:color="FFFFFF"/>
            </w:tcBorders>
            <w:shd w:val="clear" w:color="000000" w:fill="0077BD"/>
            <w:vAlign w:val="center"/>
            <w:hideMark/>
          </w:tcPr>
          <w:p w14:paraId="73BC8AC5"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1</w:t>
            </w:r>
          </w:p>
        </w:tc>
        <w:tc>
          <w:tcPr>
            <w:tcW w:w="934" w:type="dxa"/>
            <w:tcBorders>
              <w:top w:val="single" w:sz="6" w:space="0" w:color="FFFFFF"/>
              <w:left w:val="nil"/>
              <w:right w:val="single" w:sz="8" w:space="0" w:color="FFFFFF"/>
            </w:tcBorders>
            <w:shd w:val="clear" w:color="000000" w:fill="0077BD"/>
            <w:vAlign w:val="center"/>
            <w:hideMark/>
          </w:tcPr>
          <w:p w14:paraId="2324920B"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2</w:t>
            </w:r>
          </w:p>
        </w:tc>
        <w:tc>
          <w:tcPr>
            <w:tcW w:w="934" w:type="dxa"/>
            <w:tcBorders>
              <w:top w:val="single" w:sz="6" w:space="0" w:color="FFFFFF"/>
              <w:left w:val="nil"/>
              <w:right w:val="single" w:sz="8" w:space="0" w:color="FFFFFF"/>
            </w:tcBorders>
            <w:shd w:val="clear" w:color="000000" w:fill="0077BD"/>
            <w:vAlign w:val="center"/>
            <w:hideMark/>
          </w:tcPr>
          <w:p w14:paraId="4D0367D1"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Koszyk 3</w:t>
            </w:r>
          </w:p>
        </w:tc>
        <w:tc>
          <w:tcPr>
            <w:tcW w:w="934" w:type="dxa"/>
            <w:tcBorders>
              <w:top w:val="single" w:sz="6" w:space="0" w:color="FFFFFF"/>
              <w:left w:val="nil"/>
              <w:right w:val="nil"/>
            </w:tcBorders>
            <w:shd w:val="clear" w:color="000000" w:fill="0077BD"/>
            <w:vAlign w:val="center"/>
            <w:hideMark/>
          </w:tcPr>
          <w:p w14:paraId="16B2A321" w14:textId="77777777" w:rsidR="003D6E45" w:rsidRPr="003D6E45" w:rsidRDefault="003D6E45" w:rsidP="007601A1">
            <w:pPr>
              <w:jc w:val="center"/>
              <w:rPr>
                <w:rFonts w:cs="Calibri"/>
                <w:b/>
                <w:bCs/>
                <w:color w:val="FFFFFF"/>
                <w:sz w:val="13"/>
                <w:szCs w:val="13"/>
              </w:rPr>
            </w:pPr>
            <w:r w:rsidRPr="003D6E45">
              <w:rPr>
                <w:rFonts w:cs="Calibri"/>
                <w:b/>
                <w:bCs/>
                <w:color w:val="FFFFFF"/>
                <w:sz w:val="13"/>
                <w:szCs w:val="13"/>
              </w:rPr>
              <w:t>POCI</w:t>
            </w:r>
          </w:p>
        </w:tc>
      </w:tr>
      <w:tr w:rsidR="003649B4" w:rsidRPr="00BB7C9E" w14:paraId="0FF415B3" w14:textId="77777777" w:rsidTr="00D545F0">
        <w:trPr>
          <w:trHeight w:val="360"/>
        </w:trPr>
        <w:tc>
          <w:tcPr>
            <w:tcW w:w="2024" w:type="dxa"/>
            <w:tcBorders>
              <w:top w:val="single" w:sz="8" w:space="0" w:color="FFFFFF"/>
              <w:left w:val="nil"/>
              <w:bottom w:val="single" w:sz="4" w:space="0" w:color="0077BD"/>
              <w:right w:val="single" w:sz="8" w:space="0" w:color="0077BD"/>
            </w:tcBorders>
            <w:shd w:val="clear" w:color="auto" w:fill="auto"/>
            <w:vAlign w:val="center"/>
            <w:hideMark/>
          </w:tcPr>
          <w:p w14:paraId="64F9E0B9" w14:textId="77777777" w:rsidR="003649B4" w:rsidRPr="00BB7C9E" w:rsidRDefault="003649B4" w:rsidP="003649B4">
            <w:pPr>
              <w:rPr>
                <w:rFonts w:cs="Calibri"/>
                <w:color w:val="000000" w:themeColor="text1"/>
                <w:sz w:val="13"/>
                <w:szCs w:val="13"/>
              </w:rPr>
            </w:pPr>
            <w:r w:rsidRPr="00BB7C9E">
              <w:rPr>
                <w:rFonts w:cs="Calibri"/>
                <w:color w:val="000000" w:themeColor="text1"/>
                <w:sz w:val="13"/>
                <w:szCs w:val="13"/>
              </w:rPr>
              <w:t>Zobowiązania do udzielenia kredytu</w:t>
            </w:r>
          </w:p>
        </w:tc>
        <w:tc>
          <w:tcPr>
            <w:tcW w:w="935" w:type="dxa"/>
            <w:tcBorders>
              <w:left w:val="single" w:sz="8" w:space="0" w:color="0077BD"/>
              <w:bottom w:val="single" w:sz="4" w:space="0" w:color="0077BD"/>
              <w:right w:val="single" w:sz="8" w:space="0" w:color="0077BD"/>
            </w:tcBorders>
            <w:shd w:val="clear" w:color="auto" w:fill="auto"/>
            <w:vAlign w:val="center"/>
          </w:tcPr>
          <w:p w14:paraId="612EFEE2" w14:textId="0E3BA451" w:rsidR="003649B4" w:rsidRPr="003649B4" w:rsidRDefault="003649B4" w:rsidP="003649B4">
            <w:pPr>
              <w:jc w:val="right"/>
              <w:rPr>
                <w:rFonts w:cs="Calibri"/>
                <w:color w:val="000000" w:themeColor="text1"/>
                <w:sz w:val="13"/>
                <w:szCs w:val="13"/>
              </w:rPr>
            </w:pPr>
            <w:r w:rsidRPr="003649B4">
              <w:rPr>
                <w:rFonts w:cs="Calibri"/>
                <w:sz w:val="13"/>
                <w:szCs w:val="13"/>
              </w:rPr>
              <w:t>27 971 352</w:t>
            </w:r>
          </w:p>
        </w:tc>
        <w:tc>
          <w:tcPr>
            <w:tcW w:w="935" w:type="dxa"/>
            <w:tcBorders>
              <w:left w:val="nil"/>
              <w:bottom w:val="single" w:sz="4" w:space="0" w:color="0077BD"/>
              <w:right w:val="single" w:sz="8" w:space="0" w:color="0077BD"/>
            </w:tcBorders>
            <w:shd w:val="clear" w:color="auto" w:fill="auto"/>
            <w:vAlign w:val="center"/>
          </w:tcPr>
          <w:p w14:paraId="62F51099" w14:textId="211B7E4F" w:rsidR="003649B4" w:rsidRPr="003649B4" w:rsidRDefault="003649B4" w:rsidP="003649B4">
            <w:pPr>
              <w:jc w:val="right"/>
              <w:rPr>
                <w:rFonts w:cs="Calibri"/>
                <w:color w:val="000000" w:themeColor="text1"/>
                <w:sz w:val="13"/>
                <w:szCs w:val="13"/>
              </w:rPr>
            </w:pPr>
            <w:r w:rsidRPr="003649B4">
              <w:rPr>
                <w:rFonts w:cs="Calibri"/>
                <w:sz w:val="13"/>
                <w:szCs w:val="13"/>
              </w:rPr>
              <w:t>1 146 727</w:t>
            </w:r>
          </w:p>
        </w:tc>
        <w:tc>
          <w:tcPr>
            <w:tcW w:w="934" w:type="dxa"/>
            <w:tcBorders>
              <w:left w:val="nil"/>
              <w:bottom w:val="single" w:sz="4" w:space="0" w:color="0077BD"/>
              <w:right w:val="single" w:sz="8" w:space="0" w:color="0077BD"/>
            </w:tcBorders>
            <w:shd w:val="clear" w:color="auto" w:fill="auto"/>
            <w:vAlign w:val="center"/>
          </w:tcPr>
          <w:p w14:paraId="6E8A9805" w14:textId="36C97018" w:rsidR="003649B4" w:rsidRPr="003649B4" w:rsidRDefault="003649B4" w:rsidP="003649B4">
            <w:pPr>
              <w:jc w:val="right"/>
              <w:rPr>
                <w:rFonts w:cs="Calibri"/>
                <w:color w:val="000000" w:themeColor="text1"/>
                <w:sz w:val="13"/>
                <w:szCs w:val="13"/>
              </w:rPr>
            </w:pPr>
            <w:r w:rsidRPr="003649B4">
              <w:rPr>
                <w:rFonts w:cs="Calibri"/>
                <w:sz w:val="13"/>
                <w:szCs w:val="13"/>
              </w:rPr>
              <w:t>14 041</w:t>
            </w:r>
          </w:p>
        </w:tc>
        <w:tc>
          <w:tcPr>
            <w:tcW w:w="934" w:type="dxa"/>
            <w:tcBorders>
              <w:left w:val="nil"/>
              <w:bottom w:val="single" w:sz="4" w:space="0" w:color="0077BD"/>
              <w:right w:val="single" w:sz="8" w:space="0" w:color="0077BD"/>
            </w:tcBorders>
            <w:shd w:val="clear" w:color="auto" w:fill="auto"/>
            <w:vAlign w:val="center"/>
          </w:tcPr>
          <w:p w14:paraId="55F6DADF" w14:textId="68DE28ED" w:rsidR="003649B4" w:rsidRPr="003649B4" w:rsidRDefault="003649B4" w:rsidP="003649B4">
            <w:pPr>
              <w:jc w:val="right"/>
              <w:rPr>
                <w:rFonts w:cs="Calibri"/>
                <w:color w:val="000000" w:themeColor="text1"/>
                <w:sz w:val="13"/>
                <w:szCs w:val="13"/>
              </w:rPr>
            </w:pPr>
            <w:r w:rsidRPr="003649B4">
              <w:rPr>
                <w:rFonts w:cs="Calibri"/>
                <w:sz w:val="13"/>
                <w:szCs w:val="13"/>
              </w:rPr>
              <w:t>2 815</w:t>
            </w:r>
          </w:p>
        </w:tc>
        <w:tc>
          <w:tcPr>
            <w:tcW w:w="934" w:type="dxa"/>
            <w:tcBorders>
              <w:left w:val="nil"/>
              <w:bottom w:val="single" w:sz="4" w:space="0" w:color="0077BD"/>
              <w:right w:val="single" w:sz="8" w:space="0" w:color="0077BD"/>
            </w:tcBorders>
            <w:shd w:val="clear" w:color="auto" w:fill="auto"/>
            <w:vAlign w:val="center"/>
          </w:tcPr>
          <w:p w14:paraId="7A377BF1" w14:textId="47D8A4DF" w:rsidR="003649B4" w:rsidRPr="003649B4" w:rsidRDefault="003649B4" w:rsidP="008A7B95">
            <w:pPr>
              <w:jc w:val="right"/>
              <w:rPr>
                <w:rFonts w:cs="Calibri"/>
                <w:color w:val="000000" w:themeColor="text1"/>
                <w:sz w:val="13"/>
                <w:szCs w:val="13"/>
              </w:rPr>
            </w:pPr>
            <w:r w:rsidRPr="003649B4">
              <w:rPr>
                <w:rFonts w:cs="Calibri"/>
                <w:sz w:val="13"/>
                <w:szCs w:val="13"/>
              </w:rPr>
              <w:t>35 70</w:t>
            </w:r>
            <w:r w:rsidR="008A7B95">
              <w:rPr>
                <w:rFonts w:cs="Calibri"/>
                <w:sz w:val="13"/>
                <w:szCs w:val="13"/>
              </w:rPr>
              <w:t>8</w:t>
            </w:r>
          </w:p>
        </w:tc>
        <w:tc>
          <w:tcPr>
            <w:tcW w:w="934" w:type="dxa"/>
            <w:tcBorders>
              <w:left w:val="nil"/>
              <w:bottom w:val="single" w:sz="4" w:space="0" w:color="0077BD"/>
              <w:right w:val="single" w:sz="8" w:space="0" w:color="0077BD"/>
            </w:tcBorders>
            <w:shd w:val="clear" w:color="auto" w:fill="auto"/>
            <w:vAlign w:val="center"/>
          </w:tcPr>
          <w:p w14:paraId="3D9AD213" w14:textId="5CD36ADB" w:rsidR="003649B4" w:rsidRPr="003649B4" w:rsidRDefault="003649B4" w:rsidP="003649B4">
            <w:pPr>
              <w:jc w:val="right"/>
              <w:rPr>
                <w:rFonts w:cs="Calibri"/>
                <w:color w:val="000000" w:themeColor="text1"/>
                <w:sz w:val="13"/>
                <w:szCs w:val="13"/>
              </w:rPr>
            </w:pPr>
            <w:r w:rsidRPr="003649B4">
              <w:rPr>
                <w:rFonts w:cs="Calibri"/>
                <w:sz w:val="13"/>
                <w:szCs w:val="13"/>
              </w:rPr>
              <w:t>23 639</w:t>
            </w:r>
          </w:p>
        </w:tc>
        <w:tc>
          <w:tcPr>
            <w:tcW w:w="934" w:type="dxa"/>
            <w:tcBorders>
              <w:left w:val="nil"/>
              <w:bottom w:val="single" w:sz="4" w:space="0" w:color="0077BD"/>
              <w:right w:val="single" w:sz="8" w:space="0" w:color="0077BD"/>
            </w:tcBorders>
            <w:shd w:val="clear" w:color="auto" w:fill="auto"/>
            <w:vAlign w:val="center"/>
          </w:tcPr>
          <w:p w14:paraId="7779F0C0" w14:textId="35B741A1" w:rsidR="003649B4" w:rsidRPr="003649B4" w:rsidRDefault="003649B4" w:rsidP="003649B4">
            <w:pPr>
              <w:jc w:val="right"/>
              <w:rPr>
                <w:rFonts w:cs="Calibri"/>
                <w:color w:val="000000" w:themeColor="text1"/>
                <w:sz w:val="13"/>
                <w:szCs w:val="13"/>
              </w:rPr>
            </w:pPr>
            <w:r w:rsidRPr="003649B4">
              <w:rPr>
                <w:rFonts w:cs="Calibri"/>
                <w:sz w:val="13"/>
                <w:szCs w:val="13"/>
              </w:rPr>
              <w:t>2 136</w:t>
            </w:r>
          </w:p>
        </w:tc>
        <w:tc>
          <w:tcPr>
            <w:tcW w:w="934" w:type="dxa"/>
            <w:tcBorders>
              <w:left w:val="nil"/>
              <w:bottom w:val="single" w:sz="4" w:space="0" w:color="0077BD"/>
              <w:right w:val="nil"/>
            </w:tcBorders>
            <w:shd w:val="clear" w:color="auto" w:fill="auto"/>
            <w:vAlign w:val="center"/>
          </w:tcPr>
          <w:p w14:paraId="1C15EB64" w14:textId="525D90CF" w:rsidR="003649B4" w:rsidRPr="003649B4" w:rsidRDefault="003649B4" w:rsidP="003649B4">
            <w:pPr>
              <w:jc w:val="right"/>
              <w:rPr>
                <w:rFonts w:cs="Calibri"/>
                <w:color w:val="000000" w:themeColor="text1"/>
                <w:sz w:val="13"/>
                <w:szCs w:val="13"/>
              </w:rPr>
            </w:pPr>
            <w:r w:rsidRPr="003649B4">
              <w:rPr>
                <w:rFonts w:cs="Calibri"/>
                <w:sz w:val="13"/>
                <w:szCs w:val="13"/>
              </w:rPr>
              <w:t>2 381</w:t>
            </w:r>
          </w:p>
        </w:tc>
      </w:tr>
      <w:tr w:rsidR="003649B4" w:rsidRPr="00BB7C9E" w14:paraId="348EE3E5" w14:textId="77777777" w:rsidTr="003649B4">
        <w:trPr>
          <w:trHeight w:val="360"/>
        </w:trPr>
        <w:tc>
          <w:tcPr>
            <w:tcW w:w="2024" w:type="dxa"/>
            <w:tcBorders>
              <w:top w:val="nil"/>
              <w:left w:val="nil"/>
              <w:bottom w:val="single" w:sz="4" w:space="0" w:color="0077BD"/>
              <w:right w:val="single" w:sz="8" w:space="0" w:color="0077BD"/>
            </w:tcBorders>
            <w:shd w:val="clear" w:color="auto" w:fill="auto"/>
            <w:vAlign w:val="center"/>
            <w:hideMark/>
          </w:tcPr>
          <w:p w14:paraId="21F13A9D" w14:textId="77777777" w:rsidR="003649B4" w:rsidRPr="00BB7C9E" w:rsidRDefault="003649B4" w:rsidP="003649B4">
            <w:pPr>
              <w:rPr>
                <w:rFonts w:cs="Calibri"/>
                <w:color w:val="000000" w:themeColor="text1"/>
                <w:sz w:val="13"/>
                <w:szCs w:val="13"/>
              </w:rPr>
            </w:pPr>
            <w:r w:rsidRPr="00BB7C9E">
              <w:rPr>
                <w:rFonts w:cs="Calibri"/>
                <w:color w:val="000000" w:themeColor="text1"/>
                <w:sz w:val="13"/>
                <w:szCs w:val="13"/>
              </w:rPr>
              <w:t>Gwarancje i inne produkty finansowe</w:t>
            </w:r>
          </w:p>
        </w:tc>
        <w:tc>
          <w:tcPr>
            <w:tcW w:w="935" w:type="dxa"/>
            <w:tcBorders>
              <w:top w:val="nil"/>
              <w:left w:val="single" w:sz="8" w:space="0" w:color="0077BD"/>
              <w:bottom w:val="single" w:sz="4" w:space="0" w:color="0077BD"/>
              <w:right w:val="single" w:sz="8" w:space="0" w:color="0077BD"/>
            </w:tcBorders>
            <w:shd w:val="clear" w:color="auto" w:fill="auto"/>
            <w:vAlign w:val="center"/>
          </w:tcPr>
          <w:p w14:paraId="3E62508F" w14:textId="6A892E70" w:rsidR="003649B4" w:rsidRPr="003649B4" w:rsidRDefault="003649B4" w:rsidP="003649B4">
            <w:pPr>
              <w:jc w:val="right"/>
              <w:rPr>
                <w:rFonts w:cs="Calibri"/>
                <w:color w:val="000000" w:themeColor="text1"/>
                <w:sz w:val="13"/>
                <w:szCs w:val="13"/>
              </w:rPr>
            </w:pPr>
            <w:r w:rsidRPr="003649B4">
              <w:rPr>
                <w:rFonts w:cs="Calibri"/>
                <w:sz w:val="13"/>
                <w:szCs w:val="13"/>
              </w:rPr>
              <w:t>7 785 545</w:t>
            </w:r>
          </w:p>
        </w:tc>
        <w:tc>
          <w:tcPr>
            <w:tcW w:w="935" w:type="dxa"/>
            <w:tcBorders>
              <w:top w:val="nil"/>
              <w:left w:val="nil"/>
              <w:bottom w:val="single" w:sz="4" w:space="0" w:color="0077BD"/>
              <w:right w:val="single" w:sz="8" w:space="0" w:color="0077BD"/>
            </w:tcBorders>
            <w:shd w:val="clear" w:color="auto" w:fill="auto"/>
            <w:vAlign w:val="center"/>
          </w:tcPr>
          <w:p w14:paraId="5CB94847" w14:textId="2BC76557" w:rsidR="003649B4" w:rsidRPr="003649B4" w:rsidRDefault="003649B4" w:rsidP="003649B4">
            <w:pPr>
              <w:jc w:val="right"/>
              <w:rPr>
                <w:rFonts w:cs="Calibri"/>
                <w:color w:val="000000" w:themeColor="text1"/>
                <w:sz w:val="13"/>
                <w:szCs w:val="13"/>
              </w:rPr>
            </w:pPr>
            <w:r w:rsidRPr="003649B4">
              <w:rPr>
                <w:rFonts w:cs="Calibri"/>
                <w:sz w:val="13"/>
                <w:szCs w:val="13"/>
              </w:rPr>
              <w:t>963 174</w:t>
            </w:r>
          </w:p>
        </w:tc>
        <w:tc>
          <w:tcPr>
            <w:tcW w:w="934" w:type="dxa"/>
            <w:tcBorders>
              <w:top w:val="nil"/>
              <w:left w:val="nil"/>
              <w:bottom w:val="single" w:sz="4" w:space="0" w:color="0077BD"/>
              <w:right w:val="single" w:sz="8" w:space="0" w:color="0077BD"/>
            </w:tcBorders>
            <w:shd w:val="clear" w:color="auto" w:fill="auto"/>
            <w:vAlign w:val="center"/>
          </w:tcPr>
          <w:p w14:paraId="4B16ACD3" w14:textId="1B878E9A" w:rsidR="003649B4" w:rsidRPr="003649B4" w:rsidRDefault="003649B4" w:rsidP="003649B4">
            <w:pPr>
              <w:jc w:val="right"/>
              <w:rPr>
                <w:rFonts w:cs="Calibri"/>
                <w:color w:val="000000" w:themeColor="text1"/>
                <w:sz w:val="13"/>
                <w:szCs w:val="13"/>
              </w:rPr>
            </w:pPr>
            <w:r w:rsidRPr="003649B4">
              <w:rPr>
                <w:rFonts w:cs="Calibri"/>
                <w:sz w:val="13"/>
                <w:szCs w:val="13"/>
              </w:rPr>
              <w:t>186 466</w:t>
            </w:r>
          </w:p>
        </w:tc>
        <w:tc>
          <w:tcPr>
            <w:tcW w:w="934" w:type="dxa"/>
            <w:tcBorders>
              <w:top w:val="nil"/>
              <w:left w:val="nil"/>
              <w:bottom w:val="single" w:sz="4" w:space="0" w:color="0077BD"/>
              <w:right w:val="single" w:sz="8" w:space="0" w:color="0077BD"/>
            </w:tcBorders>
            <w:shd w:val="clear" w:color="auto" w:fill="auto"/>
            <w:vAlign w:val="center"/>
          </w:tcPr>
          <w:p w14:paraId="3FF0FD1C" w14:textId="3A76752D" w:rsidR="003649B4" w:rsidRPr="003649B4" w:rsidRDefault="003649B4" w:rsidP="003649B4">
            <w:pPr>
              <w:jc w:val="right"/>
              <w:rPr>
                <w:rFonts w:cs="Calibri"/>
                <w:color w:val="000000" w:themeColor="text1"/>
                <w:sz w:val="13"/>
                <w:szCs w:val="13"/>
              </w:rPr>
            </w:pPr>
            <w:r w:rsidRPr="003649B4">
              <w:rPr>
                <w:rFonts w:cs="Calibri"/>
                <w:sz w:val="13"/>
                <w:szCs w:val="13"/>
              </w:rPr>
              <w:t>3 242</w:t>
            </w:r>
          </w:p>
        </w:tc>
        <w:tc>
          <w:tcPr>
            <w:tcW w:w="934" w:type="dxa"/>
            <w:tcBorders>
              <w:top w:val="nil"/>
              <w:left w:val="nil"/>
              <w:bottom w:val="single" w:sz="4" w:space="0" w:color="0077BD"/>
              <w:right w:val="single" w:sz="8" w:space="0" w:color="0077BD"/>
            </w:tcBorders>
            <w:shd w:val="clear" w:color="auto" w:fill="auto"/>
            <w:vAlign w:val="center"/>
          </w:tcPr>
          <w:p w14:paraId="1B2AE893" w14:textId="6D7A00E8" w:rsidR="003649B4" w:rsidRPr="003649B4" w:rsidRDefault="003649B4" w:rsidP="003649B4">
            <w:pPr>
              <w:jc w:val="right"/>
              <w:rPr>
                <w:rFonts w:cs="Calibri"/>
                <w:color w:val="000000" w:themeColor="text1"/>
                <w:sz w:val="13"/>
                <w:szCs w:val="13"/>
              </w:rPr>
            </w:pPr>
            <w:r w:rsidRPr="003649B4">
              <w:rPr>
                <w:rFonts w:cs="Calibri"/>
                <w:sz w:val="13"/>
                <w:szCs w:val="13"/>
              </w:rPr>
              <w:t>4 781</w:t>
            </w:r>
          </w:p>
        </w:tc>
        <w:tc>
          <w:tcPr>
            <w:tcW w:w="934" w:type="dxa"/>
            <w:tcBorders>
              <w:top w:val="nil"/>
              <w:left w:val="nil"/>
              <w:bottom w:val="single" w:sz="4" w:space="0" w:color="0077BD"/>
              <w:right w:val="single" w:sz="8" w:space="0" w:color="0077BD"/>
            </w:tcBorders>
            <w:shd w:val="clear" w:color="auto" w:fill="auto"/>
            <w:vAlign w:val="center"/>
          </w:tcPr>
          <w:p w14:paraId="58291B3B" w14:textId="7C81C202" w:rsidR="003649B4" w:rsidRPr="003649B4" w:rsidRDefault="003649B4" w:rsidP="003649B4">
            <w:pPr>
              <w:jc w:val="right"/>
              <w:rPr>
                <w:rFonts w:cs="Calibri"/>
                <w:color w:val="000000" w:themeColor="text1"/>
                <w:sz w:val="13"/>
                <w:szCs w:val="13"/>
              </w:rPr>
            </w:pPr>
            <w:r w:rsidRPr="003649B4">
              <w:rPr>
                <w:rFonts w:cs="Calibri"/>
                <w:sz w:val="13"/>
                <w:szCs w:val="13"/>
              </w:rPr>
              <w:t>4 713</w:t>
            </w:r>
          </w:p>
        </w:tc>
        <w:tc>
          <w:tcPr>
            <w:tcW w:w="934" w:type="dxa"/>
            <w:tcBorders>
              <w:top w:val="nil"/>
              <w:left w:val="nil"/>
              <w:bottom w:val="single" w:sz="4" w:space="0" w:color="0077BD"/>
              <w:right w:val="single" w:sz="8" w:space="0" w:color="0077BD"/>
            </w:tcBorders>
            <w:shd w:val="clear" w:color="auto" w:fill="auto"/>
            <w:vAlign w:val="center"/>
          </w:tcPr>
          <w:p w14:paraId="3C067961" w14:textId="18FCBF24" w:rsidR="003649B4" w:rsidRPr="003649B4" w:rsidRDefault="003649B4" w:rsidP="003649B4">
            <w:pPr>
              <w:jc w:val="right"/>
              <w:rPr>
                <w:rFonts w:cs="Calibri"/>
                <w:color w:val="000000" w:themeColor="text1"/>
                <w:sz w:val="13"/>
                <w:szCs w:val="13"/>
              </w:rPr>
            </w:pPr>
            <w:r w:rsidRPr="003649B4">
              <w:rPr>
                <w:rFonts w:cs="Calibri"/>
                <w:sz w:val="13"/>
                <w:szCs w:val="13"/>
              </w:rPr>
              <w:t>79 684</w:t>
            </w:r>
          </w:p>
        </w:tc>
        <w:tc>
          <w:tcPr>
            <w:tcW w:w="934" w:type="dxa"/>
            <w:tcBorders>
              <w:top w:val="nil"/>
              <w:left w:val="nil"/>
              <w:bottom w:val="single" w:sz="4" w:space="0" w:color="0077BD"/>
              <w:right w:val="nil"/>
            </w:tcBorders>
            <w:shd w:val="clear" w:color="auto" w:fill="auto"/>
            <w:vAlign w:val="center"/>
          </w:tcPr>
          <w:p w14:paraId="5F6B5AFF" w14:textId="333D77A9" w:rsidR="003649B4" w:rsidRPr="003649B4" w:rsidRDefault="003649B4" w:rsidP="003649B4">
            <w:pPr>
              <w:jc w:val="right"/>
              <w:rPr>
                <w:rFonts w:cs="Calibri"/>
                <w:color w:val="000000" w:themeColor="text1"/>
                <w:sz w:val="13"/>
                <w:szCs w:val="13"/>
              </w:rPr>
            </w:pPr>
            <w:r w:rsidRPr="003649B4">
              <w:rPr>
                <w:rFonts w:cs="Calibri"/>
                <w:sz w:val="13"/>
                <w:szCs w:val="13"/>
              </w:rPr>
              <w:t>390</w:t>
            </w:r>
          </w:p>
        </w:tc>
      </w:tr>
    </w:tbl>
    <w:p w14:paraId="77907B78" w14:textId="418A604C" w:rsidR="00615C6D" w:rsidRDefault="00615C6D">
      <w:pPr>
        <w:rPr>
          <w:noProof/>
        </w:rPr>
      </w:pPr>
    </w:p>
    <w:tbl>
      <w:tblPr>
        <w:tblW w:w="9498" w:type="dxa"/>
        <w:tblLayout w:type="fixed"/>
        <w:tblCellMar>
          <w:left w:w="28" w:type="dxa"/>
          <w:right w:w="28" w:type="dxa"/>
        </w:tblCellMar>
        <w:tblLook w:val="04A0" w:firstRow="1" w:lastRow="0" w:firstColumn="1" w:lastColumn="0" w:noHBand="0" w:noVBand="1"/>
      </w:tblPr>
      <w:tblGrid>
        <w:gridCol w:w="2024"/>
        <w:gridCol w:w="935"/>
        <w:gridCol w:w="935"/>
        <w:gridCol w:w="934"/>
        <w:gridCol w:w="934"/>
        <w:gridCol w:w="934"/>
        <w:gridCol w:w="934"/>
        <w:gridCol w:w="934"/>
        <w:gridCol w:w="934"/>
      </w:tblGrid>
      <w:tr w:rsidR="003D6E45" w:rsidRPr="003D6E45" w14:paraId="23D45024" w14:textId="77777777" w:rsidTr="002A066F">
        <w:trPr>
          <w:trHeight w:val="907"/>
        </w:trPr>
        <w:tc>
          <w:tcPr>
            <w:tcW w:w="2024" w:type="dxa"/>
            <w:vMerge w:val="restart"/>
            <w:tcBorders>
              <w:top w:val="nil"/>
              <w:left w:val="nil"/>
              <w:bottom w:val="single" w:sz="8" w:space="0" w:color="FFFFFF"/>
              <w:right w:val="single" w:sz="8" w:space="0" w:color="FFFFFF"/>
            </w:tcBorders>
            <w:shd w:val="clear" w:color="000000" w:fill="0077BD"/>
            <w:vAlign w:val="center"/>
            <w:hideMark/>
          </w:tcPr>
          <w:p w14:paraId="53C69FBD" w14:textId="77777777" w:rsidR="003D6E45" w:rsidRPr="003D6E45" w:rsidRDefault="003D6E45" w:rsidP="009605B0">
            <w:pPr>
              <w:rPr>
                <w:rFonts w:cs="Calibri"/>
                <w:b/>
                <w:bCs/>
                <w:color w:val="FFFFFF"/>
                <w:sz w:val="13"/>
                <w:szCs w:val="13"/>
              </w:rPr>
            </w:pPr>
            <w:r w:rsidRPr="003D6E45">
              <w:rPr>
                <w:rFonts w:cs="Calibri"/>
                <w:b/>
                <w:bCs/>
                <w:color w:val="FFFFFF"/>
                <w:sz w:val="13"/>
                <w:szCs w:val="13"/>
              </w:rPr>
              <w:t>31.12.2018</w:t>
            </w:r>
          </w:p>
        </w:tc>
        <w:tc>
          <w:tcPr>
            <w:tcW w:w="3738" w:type="dxa"/>
            <w:gridSpan w:val="4"/>
            <w:tcBorders>
              <w:top w:val="nil"/>
              <w:left w:val="single" w:sz="8" w:space="0" w:color="FFFFFF"/>
              <w:bottom w:val="single" w:sz="8" w:space="0" w:color="FFFFFF"/>
              <w:right w:val="single" w:sz="8" w:space="0" w:color="FFFFFF"/>
            </w:tcBorders>
            <w:shd w:val="clear" w:color="000000" w:fill="0077BD"/>
            <w:vAlign w:val="center"/>
            <w:hideMark/>
          </w:tcPr>
          <w:p w14:paraId="05EB0B14"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 xml:space="preserve">Kwota nominalna pozabilansowych zobowiązań do udzielenia kredytu, gwarancji i innych produktów finansowych oraz pozostałych zobowiązań podlegających utracie wartości zgodnie z MSSF 9 </w:t>
            </w:r>
          </w:p>
        </w:tc>
        <w:tc>
          <w:tcPr>
            <w:tcW w:w="3736" w:type="dxa"/>
            <w:gridSpan w:val="4"/>
            <w:tcBorders>
              <w:top w:val="nil"/>
              <w:left w:val="nil"/>
              <w:bottom w:val="single" w:sz="8" w:space="0" w:color="FFFFFF"/>
              <w:right w:val="nil"/>
            </w:tcBorders>
            <w:shd w:val="clear" w:color="000000" w:fill="0077BD"/>
            <w:vAlign w:val="center"/>
            <w:hideMark/>
          </w:tcPr>
          <w:p w14:paraId="2514A395" w14:textId="26781ECF" w:rsidR="003D6E45" w:rsidRPr="003D6E45" w:rsidRDefault="009605B0" w:rsidP="003D6E45">
            <w:pPr>
              <w:jc w:val="center"/>
              <w:rPr>
                <w:rFonts w:cs="Calibri"/>
                <w:b/>
                <w:bCs/>
                <w:color w:val="FFFFFF"/>
                <w:sz w:val="13"/>
                <w:szCs w:val="13"/>
              </w:rPr>
            </w:pPr>
            <w:r>
              <w:rPr>
                <w:rFonts w:cs="Calibri"/>
                <w:b/>
                <w:bCs/>
                <w:color w:val="FFFFFF"/>
                <w:sz w:val="13"/>
                <w:szCs w:val="13"/>
              </w:rPr>
              <w:t>Rezerwy z tytułu p</w:t>
            </w:r>
            <w:r w:rsidR="003D6E45" w:rsidRPr="003D6E45">
              <w:rPr>
                <w:rFonts w:cs="Calibri"/>
                <w:b/>
                <w:bCs/>
                <w:color w:val="FFFFFF"/>
                <w:sz w:val="13"/>
                <w:szCs w:val="13"/>
              </w:rPr>
              <w:t xml:space="preserve">ozabilansowych zobowiązań do udzielenia kredytu, gwarancji i innych produktów finansowych oraz pozostałych zobowiązań podlegających utracie wartości zgodnie z MSSF 9  </w:t>
            </w:r>
          </w:p>
        </w:tc>
      </w:tr>
      <w:tr w:rsidR="003D6E45" w:rsidRPr="003D6E45" w14:paraId="5761C50D" w14:textId="77777777" w:rsidTr="002A066F">
        <w:trPr>
          <w:trHeight w:val="340"/>
        </w:trPr>
        <w:tc>
          <w:tcPr>
            <w:tcW w:w="2024" w:type="dxa"/>
            <w:vMerge/>
            <w:tcBorders>
              <w:top w:val="nil"/>
              <w:left w:val="nil"/>
              <w:right w:val="single" w:sz="8" w:space="0" w:color="FFFFFF"/>
            </w:tcBorders>
            <w:vAlign w:val="center"/>
            <w:hideMark/>
          </w:tcPr>
          <w:p w14:paraId="231333B8" w14:textId="77777777" w:rsidR="003D6E45" w:rsidRPr="003D6E45" w:rsidRDefault="003D6E45" w:rsidP="003D6E45">
            <w:pPr>
              <w:rPr>
                <w:rFonts w:cs="Calibri"/>
                <w:b/>
                <w:bCs/>
                <w:color w:val="FFFFFF"/>
                <w:sz w:val="13"/>
                <w:szCs w:val="13"/>
              </w:rPr>
            </w:pPr>
          </w:p>
        </w:tc>
        <w:tc>
          <w:tcPr>
            <w:tcW w:w="935" w:type="dxa"/>
            <w:tcBorders>
              <w:top w:val="nil"/>
              <w:left w:val="single" w:sz="8" w:space="0" w:color="FFFFFF"/>
              <w:right w:val="single" w:sz="8" w:space="0" w:color="FFFFFF"/>
            </w:tcBorders>
            <w:shd w:val="clear" w:color="000000" w:fill="0077BD"/>
            <w:vAlign w:val="center"/>
            <w:hideMark/>
          </w:tcPr>
          <w:p w14:paraId="32B3EDFD"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1</w:t>
            </w:r>
          </w:p>
        </w:tc>
        <w:tc>
          <w:tcPr>
            <w:tcW w:w="935" w:type="dxa"/>
            <w:tcBorders>
              <w:top w:val="nil"/>
              <w:left w:val="nil"/>
              <w:right w:val="single" w:sz="8" w:space="0" w:color="FFFFFF"/>
            </w:tcBorders>
            <w:shd w:val="clear" w:color="000000" w:fill="0077BD"/>
            <w:vAlign w:val="center"/>
            <w:hideMark/>
          </w:tcPr>
          <w:p w14:paraId="3BBDDC13"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2</w:t>
            </w:r>
          </w:p>
        </w:tc>
        <w:tc>
          <w:tcPr>
            <w:tcW w:w="934" w:type="dxa"/>
            <w:tcBorders>
              <w:top w:val="nil"/>
              <w:left w:val="nil"/>
              <w:right w:val="single" w:sz="8" w:space="0" w:color="FFFFFF"/>
            </w:tcBorders>
            <w:shd w:val="clear" w:color="000000" w:fill="0077BD"/>
            <w:vAlign w:val="center"/>
            <w:hideMark/>
          </w:tcPr>
          <w:p w14:paraId="7DB0A495"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3</w:t>
            </w:r>
          </w:p>
        </w:tc>
        <w:tc>
          <w:tcPr>
            <w:tcW w:w="934" w:type="dxa"/>
            <w:tcBorders>
              <w:top w:val="nil"/>
              <w:left w:val="nil"/>
              <w:right w:val="single" w:sz="8" w:space="0" w:color="FFFFFF"/>
            </w:tcBorders>
            <w:shd w:val="clear" w:color="000000" w:fill="0077BD"/>
            <w:vAlign w:val="center"/>
            <w:hideMark/>
          </w:tcPr>
          <w:p w14:paraId="7CA6E69B"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POCI</w:t>
            </w:r>
          </w:p>
        </w:tc>
        <w:tc>
          <w:tcPr>
            <w:tcW w:w="934" w:type="dxa"/>
            <w:tcBorders>
              <w:top w:val="nil"/>
              <w:left w:val="nil"/>
              <w:right w:val="single" w:sz="8" w:space="0" w:color="FFFFFF"/>
            </w:tcBorders>
            <w:shd w:val="clear" w:color="000000" w:fill="0077BD"/>
            <w:vAlign w:val="center"/>
            <w:hideMark/>
          </w:tcPr>
          <w:p w14:paraId="29E9B987"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1</w:t>
            </w:r>
          </w:p>
        </w:tc>
        <w:tc>
          <w:tcPr>
            <w:tcW w:w="934" w:type="dxa"/>
            <w:tcBorders>
              <w:top w:val="nil"/>
              <w:left w:val="nil"/>
              <w:right w:val="single" w:sz="8" w:space="0" w:color="FFFFFF"/>
            </w:tcBorders>
            <w:shd w:val="clear" w:color="000000" w:fill="0077BD"/>
            <w:vAlign w:val="center"/>
            <w:hideMark/>
          </w:tcPr>
          <w:p w14:paraId="067F3535"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2</w:t>
            </w:r>
          </w:p>
        </w:tc>
        <w:tc>
          <w:tcPr>
            <w:tcW w:w="934" w:type="dxa"/>
            <w:tcBorders>
              <w:top w:val="nil"/>
              <w:left w:val="nil"/>
              <w:right w:val="single" w:sz="8" w:space="0" w:color="FFFFFF"/>
            </w:tcBorders>
            <w:shd w:val="clear" w:color="000000" w:fill="0077BD"/>
            <w:vAlign w:val="center"/>
            <w:hideMark/>
          </w:tcPr>
          <w:p w14:paraId="5928D877"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Koszyk 3</w:t>
            </w:r>
          </w:p>
        </w:tc>
        <w:tc>
          <w:tcPr>
            <w:tcW w:w="934" w:type="dxa"/>
            <w:tcBorders>
              <w:top w:val="nil"/>
              <w:left w:val="nil"/>
              <w:right w:val="nil"/>
            </w:tcBorders>
            <w:shd w:val="clear" w:color="000000" w:fill="0077BD"/>
            <w:vAlign w:val="center"/>
            <w:hideMark/>
          </w:tcPr>
          <w:p w14:paraId="0F053F80" w14:textId="77777777" w:rsidR="003D6E45" w:rsidRPr="003D6E45" w:rsidRDefault="003D6E45" w:rsidP="003D6E45">
            <w:pPr>
              <w:jc w:val="center"/>
              <w:rPr>
                <w:rFonts w:cs="Calibri"/>
                <w:b/>
                <w:bCs/>
                <w:color w:val="FFFFFF"/>
                <w:sz w:val="13"/>
                <w:szCs w:val="13"/>
              </w:rPr>
            </w:pPr>
            <w:r w:rsidRPr="003D6E45">
              <w:rPr>
                <w:rFonts w:cs="Calibri"/>
                <w:b/>
                <w:bCs/>
                <w:color w:val="FFFFFF"/>
                <w:sz w:val="13"/>
                <w:szCs w:val="13"/>
              </w:rPr>
              <w:t>POCI</w:t>
            </w:r>
          </w:p>
        </w:tc>
      </w:tr>
      <w:tr w:rsidR="003D6E45" w:rsidRPr="00BB7C9E" w14:paraId="463C02D0" w14:textId="77777777" w:rsidTr="002A066F">
        <w:trPr>
          <w:trHeight w:val="360"/>
        </w:trPr>
        <w:tc>
          <w:tcPr>
            <w:tcW w:w="2024" w:type="dxa"/>
            <w:tcBorders>
              <w:left w:val="nil"/>
              <w:bottom w:val="single" w:sz="4" w:space="0" w:color="0077BD"/>
              <w:right w:val="single" w:sz="8" w:space="0" w:color="0077BD"/>
            </w:tcBorders>
            <w:shd w:val="clear" w:color="auto" w:fill="auto"/>
            <w:vAlign w:val="center"/>
            <w:hideMark/>
          </w:tcPr>
          <w:p w14:paraId="5CD15C5D" w14:textId="77777777" w:rsidR="003D6E45" w:rsidRPr="00BB7C9E" w:rsidRDefault="003D6E45" w:rsidP="003D6E45">
            <w:pPr>
              <w:rPr>
                <w:rFonts w:cs="Calibri"/>
                <w:color w:val="000000" w:themeColor="text1"/>
                <w:sz w:val="13"/>
                <w:szCs w:val="13"/>
              </w:rPr>
            </w:pPr>
            <w:r w:rsidRPr="00BB7C9E">
              <w:rPr>
                <w:rFonts w:cs="Calibri"/>
                <w:color w:val="000000" w:themeColor="text1"/>
                <w:sz w:val="13"/>
                <w:szCs w:val="13"/>
              </w:rPr>
              <w:t>Zobowiązania do udzielenia kredytu</w:t>
            </w:r>
          </w:p>
        </w:tc>
        <w:tc>
          <w:tcPr>
            <w:tcW w:w="935" w:type="dxa"/>
            <w:tcBorders>
              <w:left w:val="nil"/>
              <w:bottom w:val="single" w:sz="4" w:space="0" w:color="0077BD"/>
              <w:right w:val="single" w:sz="8" w:space="0" w:color="0077BD"/>
            </w:tcBorders>
            <w:shd w:val="clear" w:color="auto" w:fill="auto"/>
            <w:vAlign w:val="center"/>
            <w:hideMark/>
          </w:tcPr>
          <w:p w14:paraId="66D1310D"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26 868 906</w:t>
            </w:r>
          </w:p>
        </w:tc>
        <w:tc>
          <w:tcPr>
            <w:tcW w:w="935" w:type="dxa"/>
            <w:tcBorders>
              <w:left w:val="nil"/>
              <w:bottom w:val="single" w:sz="4" w:space="0" w:color="0077BD"/>
              <w:right w:val="single" w:sz="8" w:space="0" w:color="0077BD"/>
            </w:tcBorders>
            <w:shd w:val="clear" w:color="auto" w:fill="auto"/>
            <w:vAlign w:val="center"/>
            <w:hideMark/>
          </w:tcPr>
          <w:p w14:paraId="0253B4B1"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935 840</w:t>
            </w:r>
          </w:p>
        </w:tc>
        <w:tc>
          <w:tcPr>
            <w:tcW w:w="934" w:type="dxa"/>
            <w:tcBorders>
              <w:left w:val="nil"/>
              <w:bottom w:val="single" w:sz="4" w:space="0" w:color="0077BD"/>
              <w:right w:val="single" w:sz="8" w:space="0" w:color="0077BD"/>
            </w:tcBorders>
            <w:shd w:val="clear" w:color="auto" w:fill="auto"/>
            <w:vAlign w:val="center"/>
            <w:hideMark/>
          </w:tcPr>
          <w:p w14:paraId="60478C2B"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21 609</w:t>
            </w:r>
          </w:p>
        </w:tc>
        <w:tc>
          <w:tcPr>
            <w:tcW w:w="934" w:type="dxa"/>
            <w:tcBorders>
              <w:left w:val="nil"/>
              <w:bottom w:val="single" w:sz="4" w:space="0" w:color="0077BD"/>
              <w:right w:val="single" w:sz="8" w:space="0" w:color="0077BD"/>
            </w:tcBorders>
            <w:shd w:val="clear" w:color="auto" w:fill="auto"/>
            <w:vAlign w:val="center"/>
            <w:hideMark/>
          </w:tcPr>
          <w:p w14:paraId="33D92B5C"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961</w:t>
            </w:r>
          </w:p>
        </w:tc>
        <w:tc>
          <w:tcPr>
            <w:tcW w:w="934" w:type="dxa"/>
            <w:tcBorders>
              <w:left w:val="nil"/>
              <w:bottom w:val="single" w:sz="4" w:space="0" w:color="0077BD"/>
              <w:right w:val="single" w:sz="8" w:space="0" w:color="0077BD"/>
            </w:tcBorders>
            <w:shd w:val="clear" w:color="auto" w:fill="auto"/>
            <w:vAlign w:val="center"/>
            <w:hideMark/>
          </w:tcPr>
          <w:p w14:paraId="2D613BD2"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32 575</w:t>
            </w:r>
          </w:p>
        </w:tc>
        <w:tc>
          <w:tcPr>
            <w:tcW w:w="934" w:type="dxa"/>
            <w:tcBorders>
              <w:left w:val="nil"/>
              <w:bottom w:val="single" w:sz="4" w:space="0" w:color="0077BD"/>
              <w:right w:val="single" w:sz="8" w:space="0" w:color="0077BD"/>
            </w:tcBorders>
            <w:shd w:val="clear" w:color="auto" w:fill="auto"/>
            <w:vAlign w:val="center"/>
            <w:hideMark/>
          </w:tcPr>
          <w:p w14:paraId="0640A123"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18 247</w:t>
            </w:r>
          </w:p>
        </w:tc>
        <w:tc>
          <w:tcPr>
            <w:tcW w:w="934" w:type="dxa"/>
            <w:tcBorders>
              <w:left w:val="nil"/>
              <w:bottom w:val="single" w:sz="4" w:space="0" w:color="0077BD"/>
              <w:right w:val="single" w:sz="8" w:space="0" w:color="0077BD"/>
            </w:tcBorders>
            <w:shd w:val="clear" w:color="auto" w:fill="auto"/>
            <w:vAlign w:val="center"/>
            <w:hideMark/>
          </w:tcPr>
          <w:p w14:paraId="787277E1"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6 231</w:t>
            </w:r>
          </w:p>
        </w:tc>
        <w:tc>
          <w:tcPr>
            <w:tcW w:w="934" w:type="dxa"/>
            <w:tcBorders>
              <w:left w:val="nil"/>
              <w:bottom w:val="single" w:sz="4" w:space="0" w:color="0077BD"/>
              <w:right w:val="nil"/>
            </w:tcBorders>
            <w:shd w:val="clear" w:color="auto" w:fill="auto"/>
            <w:vAlign w:val="center"/>
            <w:hideMark/>
          </w:tcPr>
          <w:p w14:paraId="5A6DED78"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861</w:t>
            </w:r>
          </w:p>
        </w:tc>
      </w:tr>
      <w:tr w:rsidR="003D6E45" w:rsidRPr="00BB7C9E" w14:paraId="20020509" w14:textId="77777777" w:rsidTr="002A066F">
        <w:trPr>
          <w:trHeight w:val="360"/>
        </w:trPr>
        <w:tc>
          <w:tcPr>
            <w:tcW w:w="2024" w:type="dxa"/>
            <w:tcBorders>
              <w:top w:val="nil"/>
              <w:left w:val="nil"/>
              <w:bottom w:val="single" w:sz="4" w:space="0" w:color="0077BD"/>
              <w:right w:val="single" w:sz="8" w:space="0" w:color="0077BD"/>
            </w:tcBorders>
            <w:shd w:val="clear" w:color="auto" w:fill="auto"/>
            <w:vAlign w:val="center"/>
            <w:hideMark/>
          </w:tcPr>
          <w:p w14:paraId="0744C6D3" w14:textId="77777777" w:rsidR="003D6E45" w:rsidRPr="00BB7C9E" w:rsidRDefault="003D6E45" w:rsidP="003D6E45">
            <w:pPr>
              <w:rPr>
                <w:rFonts w:cs="Calibri"/>
                <w:color w:val="000000" w:themeColor="text1"/>
                <w:sz w:val="13"/>
                <w:szCs w:val="13"/>
              </w:rPr>
            </w:pPr>
            <w:r w:rsidRPr="00BB7C9E">
              <w:rPr>
                <w:rFonts w:cs="Calibri"/>
                <w:color w:val="000000" w:themeColor="text1"/>
                <w:sz w:val="13"/>
                <w:szCs w:val="13"/>
              </w:rPr>
              <w:t>Gwarancje i inne produkty finansowe</w:t>
            </w:r>
          </w:p>
        </w:tc>
        <w:tc>
          <w:tcPr>
            <w:tcW w:w="935" w:type="dxa"/>
            <w:tcBorders>
              <w:top w:val="nil"/>
              <w:left w:val="nil"/>
              <w:bottom w:val="single" w:sz="4" w:space="0" w:color="0077BD"/>
              <w:right w:val="single" w:sz="8" w:space="0" w:color="0077BD"/>
            </w:tcBorders>
            <w:shd w:val="clear" w:color="auto" w:fill="auto"/>
            <w:vAlign w:val="center"/>
            <w:hideMark/>
          </w:tcPr>
          <w:p w14:paraId="748C3749"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7 543 787</w:t>
            </w:r>
          </w:p>
        </w:tc>
        <w:tc>
          <w:tcPr>
            <w:tcW w:w="935" w:type="dxa"/>
            <w:tcBorders>
              <w:top w:val="nil"/>
              <w:left w:val="nil"/>
              <w:bottom w:val="single" w:sz="4" w:space="0" w:color="0077BD"/>
              <w:right w:val="single" w:sz="8" w:space="0" w:color="0077BD"/>
            </w:tcBorders>
            <w:shd w:val="clear" w:color="auto" w:fill="auto"/>
            <w:vAlign w:val="center"/>
            <w:hideMark/>
          </w:tcPr>
          <w:p w14:paraId="4231D2EC"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872 767</w:t>
            </w:r>
          </w:p>
        </w:tc>
        <w:tc>
          <w:tcPr>
            <w:tcW w:w="934" w:type="dxa"/>
            <w:tcBorders>
              <w:top w:val="nil"/>
              <w:left w:val="nil"/>
              <w:bottom w:val="single" w:sz="4" w:space="0" w:color="0077BD"/>
              <w:right w:val="single" w:sz="8" w:space="0" w:color="0077BD"/>
            </w:tcBorders>
            <w:shd w:val="clear" w:color="auto" w:fill="auto"/>
            <w:vAlign w:val="center"/>
            <w:hideMark/>
          </w:tcPr>
          <w:p w14:paraId="0C7574B0"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119 779</w:t>
            </w:r>
          </w:p>
        </w:tc>
        <w:tc>
          <w:tcPr>
            <w:tcW w:w="934" w:type="dxa"/>
            <w:tcBorders>
              <w:top w:val="nil"/>
              <w:left w:val="nil"/>
              <w:bottom w:val="single" w:sz="4" w:space="0" w:color="0077BD"/>
              <w:right w:val="single" w:sz="8" w:space="0" w:color="0077BD"/>
            </w:tcBorders>
            <w:shd w:val="clear" w:color="auto" w:fill="auto"/>
            <w:vAlign w:val="center"/>
            <w:hideMark/>
          </w:tcPr>
          <w:p w14:paraId="110A4C52"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5 100</w:t>
            </w:r>
          </w:p>
        </w:tc>
        <w:tc>
          <w:tcPr>
            <w:tcW w:w="934" w:type="dxa"/>
            <w:tcBorders>
              <w:top w:val="nil"/>
              <w:left w:val="nil"/>
              <w:bottom w:val="single" w:sz="4" w:space="0" w:color="0077BD"/>
              <w:right w:val="single" w:sz="8" w:space="0" w:color="0077BD"/>
            </w:tcBorders>
            <w:shd w:val="clear" w:color="auto" w:fill="auto"/>
            <w:vAlign w:val="center"/>
            <w:hideMark/>
          </w:tcPr>
          <w:p w14:paraId="531EAB19"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2 784</w:t>
            </w:r>
          </w:p>
        </w:tc>
        <w:tc>
          <w:tcPr>
            <w:tcW w:w="934" w:type="dxa"/>
            <w:tcBorders>
              <w:top w:val="nil"/>
              <w:left w:val="nil"/>
              <w:bottom w:val="single" w:sz="4" w:space="0" w:color="0077BD"/>
              <w:right w:val="single" w:sz="8" w:space="0" w:color="0077BD"/>
            </w:tcBorders>
            <w:shd w:val="clear" w:color="auto" w:fill="auto"/>
            <w:vAlign w:val="center"/>
            <w:hideMark/>
          </w:tcPr>
          <w:p w14:paraId="5A96B898"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4 994</w:t>
            </w:r>
          </w:p>
        </w:tc>
        <w:tc>
          <w:tcPr>
            <w:tcW w:w="934" w:type="dxa"/>
            <w:tcBorders>
              <w:top w:val="nil"/>
              <w:left w:val="nil"/>
              <w:bottom w:val="single" w:sz="4" w:space="0" w:color="0077BD"/>
              <w:right w:val="single" w:sz="8" w:space="0" w:color="0077BD"/>
            </w:tcBorders>
            <w:shd w:val="clear" w:color="auto" w:fill="auto"/>
            <w:vAlign w:val="center"/>
            <w:hideMark/>
          </w:tcPr>
          <w:p w14:paraId="6334893E"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47 154</w:t>
            </w:r>
          </w:p>
        </w:tc>
        <w:tc>
          <w:tcPr>
            <w:tcW w:w="934" w:type="dxa"/>
            <w:tcBorders>
              <w:top w:val="nil"/>
              <w:left w:val="nil"/>
              <w:bottom w:val="single" w:sz="4" w:space="0" w:color="0077BD"/>
              <w:right w:val="nil"/>
            </w:tcBorders>
            <w:shd w:val="clear" w:color="auto" w:fill="auto"/>
            <w:vAlign w:val="center"/>
            <w:hideMark/>
          </w:tcPr>
          <w:p w14:paraId="7181EA2F"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(3 437)</w:t>
            </w:r>
          </w:p>
        </w:tc>
      </w:tr>
      <w:tr w:rsidR="003D6E45" w:rsidRPr="00BB7C9E" w14:paraId="5F08AFC2" w14:textId="77777777" w:rsidTr="002A066F">
        <w:trPr>
          <w:trHeight w:val="284"/>
        </w:trPr>
        <w:tc>
          <w:tcPr>
            <w:tcW w:w="2024" w:type="dxa"/>
            <w:tcBorders>
              <w:top w:val="nil"/>
              <w:left w:val="nil"/>
              <w:bottom w:val="single" w:sz="4" w:space="0" w:color="0077BD"/>
              <w:right w:val="single" w:sz="8" w:space="0" w:color="0077BD"/>
            </w:tcBorders>
            <w:shd w:val="clear" w:color="auto" w:fill="auto"/>
            <w:vAlign w:val="center"/>
            <w:hideMark/>
          </w:tcPr>
          <w:p w14:paraId="0887FCC5" w14:textId="77777777" w:rsidR="003D6E45" w:rsidRPr="00BB7C9E" w:rsidRDefault="003D6E45" w:rsidP="003D6E45">
            <w:pPr>
              <w:rPr>
                <w:rFonts w:cs="Calibri"/>
                <w:color w:val="000000" w:themeColor="text1"/>
                <w:sz w:val="13"/>
                <w:szCs w:val="13"/>
              </w:rPr>
            </w:pPr>
            <w:r w:rsidRPr="00BB7C9E">
              <w:rPr>
                <w:rFonts w:cs="Calibri"/>
                <w:color w:val="000000" w:themeColor="text1"/>
                <w:sz w:val="13"/>
                <w:szCs w:val="13"/>
              </w:rPr>
              <w:t>Pozostałe zobowiązania</w:t>
            </w:r>
          </w:p>
        </w:tc>
        <w:tc>
          <w:tcPr>
            <w:tcW w:w="935" w:type="dxa"/>
            <w:tcBorders>
              <w:top w:val="nil"/>
              <w:left w:val="nil"/>
              <w:bottom w:val="single" w:sz="4" w:space="0" w:color="0077BD"/>
              <w:right w:val="single" w:sz="8" w:space="0" w:color="0077BD"/>
            </w:tcBorders>
            <w:shd w:val="clear" w:color="auto" w:fill="auto"/>
            <w:vAlign w:val="center"/>
            <w:hideMark/>
          </w:tcPr>
          <w:p w14:paraId="63F8C484"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37 076</w:t>
            </w:r>
          </w:p>
        </w:tc>
        <w:tc>
          <w:tcPr>
            <w:tcW w:w="935" w:type="dxa"/>
            <w:tcBorders>
              <w:top w:val="nil"/>
              <w:left w:val="nil"/>
              <w:bottom w:val="single" w:sz="4" w:space="0" w:color="0077BD"/>
              <w:right w:val="single" w:sz="8" w:space="0" w:color="0077BD"/>
            </w:tcBorders>
            <w:shd w:val="clear" w:color="auto" w:fill="auto"/>
            <w:vAlign w:val="center"/>
            <w:hideMark/>
          </w:tcPr>
          <w:p w14:paraId="5997E992"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single" w:sz="8" w:space="0" w:color="0077BD"/>
            </w:tcBorders>
            <w:shd w:val="clear" w:color="auto" w:fill="auto"/>
            <w:vAlign w:val="center"/>
            <w:hideMark/>
          </w:tcPr>
          <w:p w14:paraId="33E87C47"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single" w:sz="8" w:space="0" w:color="0077BD"/>
            </w:tcBorders>
            <w:shd w:val="clear" w:color="auto" w:fill="auto"/>
            <w:vAlign w:val="center"/>
            <w:hideMark/>
          </w:tcPr>
          <w:p w14:paraId="78F47B64"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single" w:sz="8" w:space="0" w:color="0077BD"/>
            </w:tcBorders>
            <w:shd w:val="clear" w:color="auto" w:fill="auto"/>
            <w:vAlign w:val="center"/>
            <w:hideMark/>
          </w:tcPr>
          <w:p w14:paraId="562EB618"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single" w:sz="8" w:space="0" w:color="0077BD"/>
            </w:tcBorders>
            <w:shd w:val="clear" w:color="auto" w:fill="auto"/>
            <w:vAlign w:val="center"/>
            <w:hideMark/>
          </w:tcPr>
          <w:p w14:paraId="590C9FD8"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single" w:sz="8" w:space="0" w:color="0077BD"/>
            </w:tcBorders>
            <w:shd w:val="clear" w:color="auto" w:fill="auto"/>
            <w:vAlign w:val="center"/>
            <w:hideMark/>
          </w:tcPr>
          <w:p w14:paraId="545CF53D"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c>
          <w:tcPr>
            <w:tcW w:w="934" w:type="dxa"/>
            <w:tcBorders>
              <w:top w:val="nil"/>
              <w:left w:val="nil"/>
              <w:bottom w:val="single" w:sz="4" w:space="0" w:color="0077BD"/>
              <w:right w:val="nil"/>
            </w:tcBorders>
            <w:shd w:val="clear" w:color="auto" w:fill="auto"/>
            <w:vAlign w:val="center"/>
            <w:hideMark/>
          </w:tcPr>
          <w:p w14:paraId="0D3901DA" w14:textId="77777777" w:rsidR="003D6E45" w:rsidRPr="00BB7C9E" w:rsidRDefault="003D6E45" w:rsidP="003D6E45">
            <w:pPr>
              <w:jc w:val="right"/>
              <w:rPr>
                <w:rFonts w:cs="Calibri"/>
                <w:color w:val="000000" w:themeColor="text1"/>
                <w:sz w:val="13"/>
                <w:szCs w:val="13"/>
              </w:rPr>
            </w:pPr>
            <w:r w:rsidRPr="00BB7C9E">
              <w:rPr>
                <w:rFonts w:cs="Calibri"/>
                <w:color w:val="000000" w:themeColor="text1"/>
                <w:sz w:val="13"/>
                <w:szCs w:val="13"/>
              </w:rPr>
              <w:t>-</w:t>
            </w:r>
          </w:p>
        </w:tc>
      </w:tr>
    </w:tbl>
    <w:p w14:paraId="27F93CE6" w14:textId="72E57277" w:rsidR="00D1486C" w:rsidRDefault="00D1486C" w:rsidP="00EC4A98">
      <w:pPr>
        <w:spacing w:before="120" w:after="120"/>
        <w:jc w:val="both"/>
        <w:rPr>
          <w:rFonts w:cs="Tahoma"/>
          <w:color w:val="000000" w:themeColor="text1"/>
          <w:sz w:val="18"/>
          <w:szCs w:val="18"/>
        </w:rPr>
      </w:pPr>
      <w:r w:rsidRPr="005C08B8">
        <w:rPr>
          <w:rFonts w:cs="Tahoma"/>
          <w:color w:val="000000" w:themeColor="text1"/>
          <w:sz w:val="18"/>
          <w:szCs w:val="18"/>
        </w:rPr>
        <w:t>Poniższa tabela przedstawia zobowiązania pozabilansowe udzielone i otrzymane przez Grupę oraz wartość nominalną otwartych transakcji pochodnych Gru</w:t>
      </w:r>
      <w:r w:rsidR="00312186" w:rsidRPr="005C08B8">
        <w:rPr>
          <w:rFonts w:cs="Tahoma"/>
          <w:color w:val="000000" w:themeColor="text1"/>
          <w:sz w:val="18"/>
          <w:szCs w:val="18"/>
        </w:rPr>
        <w:t>py na dzień 31 grudnia 2019 roku i 31 grudnia 2018</w:t>
      </w:r>
      <w:r w:rsidRPr="005C08B8">
        <w:rPr>
          <w:rFonts w:cs="Tahoma"/>
          <w:color w:val="000000" w:themeColor="text1"/>
          <w:sz w:val="18"/>
          <w:szCs w:val="18"/>
        </w:rPr>
        <w:t xml:space="preserve"> roku.</w:t>
      </w:r>
    </w:p>
    <w:p w14:paraId="67652BCD" w14:textId="4DF3760D" w:rsidR="00476F57" w:rsidRPr="005C08B8" w:rsidRDefault="00476F57" w:rsidP="00EC4A98">
      <w:pPr>
        <w:spacing w:before="120" w:after="120"/>
        <w:jc w:val="both"/>
        <w:rPr>
          <w:rFonts w:cs="Tahoma"/>
          <w:color w:val="000000" w:themeColor="text1"/>
          <w:sz w:val="18"/>
          <w:szCs w:val="18"/>
        </w:rPr>
      </w:pPr>
      <w:r w:rsidRPr="00476F57">
        <w:rPr>
          <w:rFonts w:cs="Tahoma"/>
          <w:color w:val="000000" w:themeColor="text1"/>
          <w:sz w:val="18"/>
          <w:szCs w:val="18"/>
        </w:rPr>
        <w:t>Gwarancje zostały przedstawione w poniższej tabeli na podstawie najwcześniejszej umownej daty zapadalności.</w:t>
      </w:r>
    </w:p>
    <w:tbl>
      <w:tblPr>
        <w:tblW w:w="0" w:type="auto"/>
        <w:tblLayout w:type="fixed"/>
        <w:tblCellMar>
          <w:left w:w="28" w:type="dxa"/>
          <w:right w:w="28" w:type="dxa"/>
        </w:tblCellMar>
        <w:tblLook w:val="04A0" w:firstRow="1" w:lastRow="0" w:firstColumn="1" w:lastColumn="0" w:noHBand="0" w:noVBand="1"/>
      </w:tblPr>
      <w:tblGrid>
        <w:gridCol w:w="3909"/>
        <w:gridCol w:w="1418"/>
        <w:gridCol w:w="1418"/>
        <w:gridCol w:w="1418"/>
        <w:gridCol w:w="1418"/>
      </w:tblGrid>
      <w:tr w:rsidR="00647072" w:rsidRPr="009E13D9" w14:paraId="51B526A5" w14:textId="77777777" w:rsidTr="009605B0">
        <w:trPr>
          <w:trHeight w:val="397"/>
        </w:trPr>
        <w:tc>
          <w:tcPr>
            <w:tcW w:w="3909" w:type="dxa"/>
            <w:tcBorders>
              <w:top w:val="nil"/>
              <w:left w:val="nil"/>
              <w:bottom w:val="nil"/>
              <w:right w:val="single" w:sz="8" w:space="0" w:color="FFFFFF"/>
            </w:tcBorders>
            <w:shd w:val="clear" w:color="000000" w:fill="0077BD"/>
            <w:vAlign w:val="center"/>
            <w:hideMark/>
          </w:tcPr>
          <w:p w14:paraId="1F057C70" w14:textId="748EC6C0" w:rsidR="00647072" w:rsidRPr="009E13D9" w:rsidRDefault="00647072" w:rsidP="00D7210F">
            <w:pPr>
              <w:rPr>
                <w:rFonts w:cs="Calibri"/>
                <w:b/>
                <w:bCs/>
                <w:color w:val="FFFFFF"/>
                <w:sz w:val="12"/>
                <w:szCs w:val="12"/>
              </w:rPr>
            </w:pPr>
            <w:r w:rsidRPr="009E13D9">
              <w:rPr>
                <w:rFonts w:cs="Calibri"/>
                <w:b/>
                <w:bCs/>
                <w:color w:val="FFFFFF"/>
                <w:sz w:val="12"/>
                <w:szCs w:val="12"/>
              </w:rPr>
              <w:lastRenderedPageBreak/>
              <w:t>31.12.2019</w:t>
            </w:r>
          </w:p>
        </w:tc>
        <w:tc>
          <w:tcPr>
            <w:tcW w:w="1418" w:type="dxa"/>
            <w:tcBorders>
              <w:top w:val="nil"/>
              <w:left w:val="nil"/>
              <w:bottom w:val="nil"/>
              <w:right w:val="single" w:sz="8" w:space="0" w:color="FFFFFF"/>
            </w:tcBorders>
            <w:shd w:val="clear" w:color="000000" w:fill="0077BD"/>
            <w:vAlign w:val="center"/>
            <w:hideMark/>
          </w:tcPr>
          <w:p w14:paraId="308392A8" w14:textId="77777777" w:rsidR="00647072" w:rsidRPr="009E13D9" w:rsidRDefault="00647072" w:rsidP="00D7210F">
            <w:pPr>
              <w:jc w:val="right"/>
              <w:rPr>
                <w:rFonts w:cs="Calibri"/>
                <w:b/>
                <w:bCs/>
                <w:color w:val="FFFFFF"/>
                <w:sz w:val="12"/>
                <w:szCs w:val="12"/>
              </w:rPr>
            </w:pPr>
            <w:r w:rsidRPr="009E13D9">
              <w:rPr>
                <w:rFonts w:cs="Calibri"/>
                <w:b/>
                <w:bCs/>
                <w:color w:val="FFFFFF"/>
                <w:sz w:val="12"/>
                <w:szCs w:val="12"/>
              </w:rPr>
              <w:t>Do 1 roku</w:t>
            </w:r>
          </w:p>
        </w:tc>
        <w:tc>
          <w:tcPr>
            <w:tcW w:w="1418" w:type="dxa"/>
            <w:tcBorders>
              <w:top w:val="nil"/>
              <w:left w:val="nil"/>
              <w:bottom w:val="nil"/>
              <w:right w:val="single" w:sz="8" w:space="0" w:color="FFFFFF"/>
            </w:tcBorders>
            <w:shd w:val="clear" w:color="000000" w:fill="0077BD"/>
            <w:vAlign w:val="center"/>
            <w:hideMark/>
          </w:tcPr>
          <w:p w14:paraId="429DF2D3" w14:textId="77777777" w:rsidR="00647072" w:rsidRPr="009E13D9" w:rsidRDefault="00647072" w:rsidP="00D7210F">
            <w:pPr>
              <w:jc w:val="right"/>
              <w:rPr>
                <w:rFonts w:cs="Calibri"/>
                <w:b/>
                <w:bCs/>
                <w:color w:val="FFFFFF"/>
                <w:sz w:val="12"/>
                <w:szCs w:val="12"/>
              </w:rPr>
            </w:pPr>
            <w:r w:rsidRPr="009E13D9">
              <w:rPr>
                <w:rFonts w:cs="Calibri"/>
                <w:b/>
                <w:bCs/>
                <w:color w:val="FFFFFF"/>
                <w:sz w:val="12"/>
                <w:szCs w:val="12"/>
              </w:rPr>
              <w:t>Powyżej 1 roku do 5 lat</w:t>
            </w:r>
          </w:p>
        </w:tc>
        <w:tc>
          <w:tcPr>
            <w:tcW w:w="1418" w:type="dxa"/>
            <w:tcBorders>
              <w:top w:val="nil"/>
              <w:left w:val="nil"/>
              <w:bottom w:val="nil"/>
              <w:right w:val="single" w:sz="8" w:space="0" w:color="FFFFFF"/>
            </w:tcBorders>
            <w:shd w:val="clear" w:color="000000" w:fill="0077BD"/>
            <w:vAlign w:val="center"/>
            <w:hideMark/>
          </w:tcPr>
          <w:p w14:paraId="4079608B" w14:textId="77777777" w:rsidR="00647072" w:rsidRPr="009E13D9" w:rsidRDefault="00647072" w:rsidP="00D7210F">
            <w:pPr>
              <w:jc w:val="right"/>
              <w:rPr>
                <w:rFonts w:cs="Calibri"/>
                <w:b/>
                <w:bCs/>
                <w:color w:val="FFFFFF"/>
                <w:sz w:val="12"/>
                <w:szCs w:val="12"/>
              </w:rPr>
            </w:pPr>
            <w:r w:rsidRPr="009E13D9">
              <w:rPr>
                <w:rFonts w:cs="Calibri"/>
                <w:b/>
                <w:bCs/>
                <w:color w:val="FFFFFF"/>
                <w:sz w:val="12"/>
                <w:szCs w:val="12"/>
              </w:rPr>
              <w:t>Powyżej 5 lat</w:t>
            </w:r>
          </w:p>
        </w:tc>
        <w:tc>
          <w:tcPr>
            <w:tcW w:w="1418" w:type="dxa"/>
            <w:tcBorders>
              <w:top w:val="nil"/>
              <w:left w:val="nil"/>
              <w:bottom w:val="nil"/>
              <w:right w:val="nil"/>
            </w:tcBorders>
            <w:shd w:val="clear" w:color="000000" w:fill="0077BD"/>
            <w:vAlign w:val="center"/>
            <w:hideMark/>
          </w:tcPr>
          <w:p w14:paraId="0B7990D0" w14:textId="77777777" w:rsidR="00647072" w:rsidRPr="009E13D9" w:rsidRDefault="00647072" w:rsidP="00D7210F">
            <w:pPr>
              <w:jc w:val="right"/>
              <w:rPr>
                <w:rFonts w:cs="Calibri"/>
                <w:b/>
                <w:bCs/>
                <w:color w:val="FFFFFF"/>
                <w:sz w:val="12"/>
                <w:szCs w:val="12"/>
              </w:rPr>
            </w:pPr>
            <w:r w:rsidRPr="009E13D9">
              <w:rPr>
                <w:rFonts w:cs="Calibri"/>
                <w:b/>
                <w:bCs/>
                <w:color w:val="FFFFFF"/>
                <w:sz w:val="12"/>
                <w:szCs w:val="12"/>
              </w:rPr>
              <w:t>Razem</w:t>
            </w:r>
          </w:p>
        </w:tc>
      </w:tr>
      <w:tr w:rsidR="00782F9D" w:rsidRPr="00BB7C9E" w14:paraId="6BDAAEEC" w14:textId="77777777" w:rsidTr="00011FE0">
        <w:trPr>
          <w:trHeight w:val="255"/>
        </w:trPr>
        <w:tc>
          <w:tcPr>
            <w:tcW w:w="3909" w:type="dxa"/>
            <w:tcBorders>
              <w:top w:val="nil"/>
              <w:left w:val="nil"/>
              <w:bottom w:val="single" w:sz="8" w:space="0" w:color="0077BD"/>
              <w:right w:val="single" w:sz="8" w:space="0" w:color="0077BD"/>
            </w:tcBorders>
            <w:shd w:val="clear" w:color="000000" w:fill="FFFFFF"/>
            <w:noWrap/>
            <w:vAlign w:val="center"/>
            <w:hideMark/>
          </w:tcPr>
          <w:p w14:paraId="2D9872CA" w14:textId="77777777" w:rsidR="00782F9D" w:rsidRPr="006B56E5" w:rsidRDefault="00782F9D" w:rsidP="00782F9D">
            <w:pPr>
              <w:rPr>
                <w:rFonts w:cs="Calibri"/>
                <w:b/>
                <w:bCs/>
                <w:color w:val="000000" w:themeColor="text1"/>
                <w:sz w:val="12"/>
                <w:szCs w:val="12"/>
              </w:rPr>
            </w:pPr>
            <w:r w:rsidRPr="006B56E5">
              <w:rPr>
                <w:rFonts w:cs="Calibri"/>
                <w:b/>
                <w:bCs/>
                <w:color w:val="000000" w:themeColor="text1"/>
                <w:sz w:val="12"/>
                <w:szCs w:val="12"/>
              </w:rPr>
              <w:t>1. Zobowiązania warunkowe udzielone i otrzymane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4C7889F8" w14:textId="7CA87891" w:rsidR="00782F9D" w:rsidRPr="006B56E5" w:rsidRDefault="00782F9D" w:rsidP="00782F9D">
            <w:pPr>
              <w:jc w:val="right"/>
              <w:rPr>
                <w:rFonts w:cs="Calibri"/>
                <w:b/>
                <w:bCs/>
                <w:color w:val="000000" w:themeColor="text1"/>
                <w:sz w:val="12"/>
                <w:szCs w:val="12"/>
              </w:rPr>
            </w:pPr>
            <w:bookmarkStart w:id="155" w:name="RANGE!C5:C22"/>
            <w:r w:rsidRPr="006B56E5">
              <w:rPr>
                <w:rFonts w:cs="Calibri"/>
                <w:b/>
                <w:bCs/>
                <w:color w:val="000000" w:themeColor="text1"/>
                <w:sz w:val="12"/>
                <w:szCs w:val="12"/>
              </w:rPr>
              <w:t>32 479 904</w:t>
            </w:r>
            <w:bookmarkEnd w:id="155"/>
          </w:p>
        </w:tc>
        <w:tc>
          <w:tcPr>
            <w:tcW w:w="1418" w:type="dxa"/>
            <w:tcBorders>
              <w:top w:val="nil"/>
              <w:left w:val="nil"/>
              <w:bottom w:val="single" w:sz="8" w:space="0" w:color="0077BD"/>
              <w:right w:val="single" w:sz="8" w:space="0" w:color="0077BD"/>
            </w:tcBorders>
            <w:shd w:val="clear" w:color="auto" w:fill="auto"/>
            <w:vAlign w:val="center"/>
          </w:tcPr>
          <w:p w14:paraId="4751E016" w14:textId="66264D2E"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6 033 390</w:t>
            </w:r>
          </w:p>
        </w:tc>
        <w:tc>
          <w:tcPr>
            <w:tcW w:w="1418" w:type="dxa"/>
            <w:tcBorders>
              <w:top w:val="nil"/>
              <w:left w:val="nil"/>
              <w:bottom w:val="single" w:sz="8" w:space="0" w:color="0077BD"/>
              <w:right w:val="single" w:sz="8" w:space="0" w:color="0077BD"/>
            </w:tcBorders>
            <w:shd w:val="clear" w:color="auto" w:fill="auto"/>
            <w:vAlign w:val="center"/>
          </w:tcPr>
          <w:p w14:paraId="2B0E8289" w14:textId="666BDD50"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3 554 723</w:t>
            </w:r>
          </w:p>
        </w:tc>
        <w:tc>
          <w:tcPr>
            <w:tcW w:w="1418" w:type="dxa"/>
            <w:tcBorders>
              <w:top w:val="nil"/>
              <w:left w:val="nil"/>
              <w:bottom w:val="single" w:sz="8" w:space="0" w:color="0077BD"/>
              <w:right w:val="nil"/>
            </w:tcBorders>
            <w:shd w:val="clear" w:color="auto" w:fill="auto"/>
            <w:vAlign w:val="center"/>
          </w:tcPr>
          <w:p w14:paraId="66B293BD" w14:textId="53162CB7"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42 068 017</w:t>
            </w:r>
          </w:p>
        </w:tc>
      </w:tr>
      <w:tr w:rsidR="00782F9D" w:rsidRPr="00BB7C9E" w14:paraId="65310825"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3F7577D7" w14:textId="77777777" w:rsidR="00782F9D" w:rsidRPr="006B56E5" w:rsidRDefault="00782F9D" w:rsidP="00782F9D">
            <w:pPr>
              <w:rPr>
                <w:rFonts w:cs="Calibri"/>
                <w:b/>
                <w:bCs/>
                <w:color w:val="000000" w:themeColor="text1"/>
                <w:sz w:val="12"/>
                <w:szCs w:val="12"/>
              </w:rPr>
            </w:pPr>
            <w:r w:rsidRPr="006B56E5">
              <w:rPr>
                <w:rFonts w:cs="Calibri"/>
                <w:b/>
                <w:bCs/>
                <w:color w:val="000000" w:themeColor="text1"/>
                <w:sz w:val="12"/>
                <w:szCs w:val="12"/>
              </w:rPr>
              <w:t xml:space="preserve">    Zobowiązania udzielone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1883405C" w14:textId="14BE3C7A"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30 083 806</w:t>
            </w:r>
          </w:p>
        </w:tc>
        <w:tc>
          <w:tcPr>
            <w:tcW w:w="1418" w:type="dxa"/>
            <w:tcBorders>
              <w:top w:val="nil"/>
              <w:left w:val="nil"/>
              <w:bottom w:val="single" w:sz="8" w:space="0" w:color="0077BD"/>
              <w:right w:val="single" w:sz="8" w:space="0" w:color="0077BD"/>
            </w:tcBorders>
            <w:shd w:val="clear" w:color="auto" w:fill="auto"/>
            <w:vAlign w:val="center"/>
          </w:tcPr>
          <w:p w14:paraId="7E48C74F" w14:textId="6122DF8C"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4 876 925</w:t>
            </w:r>
          </w:p>
        </w:tc>
        <w:tc>
          <w:tcPr>
            <w:tcW w:w="1418" w:type="dxa"/>
            <w:tcBorders>
              <w:top w:val="nil"/>
              <w:left w:val="nil"/>
              <w:bottom w:val="single" w:sz="8" w:space="0" w:color="0077BD"/>
              <w:right w:val="single" w:sz="8" w:space="0" w:color="0077BD"/>
            </w:tcBorders>
            <w:shd w:val="clear" w:color="auto" w:fill="auto"/>
            <w:vAlign w:val="center"/>
          </w:tcPr>
          <w:p w14:paraId="49132340" w14:textId="11E6E5CA"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3 112 631</w:t>
            </w:r>
          </w:p>
        </w:tc>
        <w:tc>
          <w:tcPr>
            <w:tcW w:w="1418" w:type="dxa"/>
            <w:tcBorders>
              <w:top w:val="nil"/>
              <w:left w:val="nil"/>
              <w:bottom w:val="single" w:sz="8" w:space="0" w:color="0077BD"/>
              <w:right w:val="nil"/>
            </w:tcBorders>
            <w:shd w:val="clear" w:color="auto" w:fill="auto"/>
            <w:vAlign w:val="center"/>
          </w:tcPr>
          <w:p w14:paraId="7E3C2A55" w14:textId="620A2762"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38 073 362</w:t>
            </w:r>
          </w:p>
        </w:tc>
      </w:tr>
      <w:tr w:rsidR="00782F9D" w:rsidRPr="00BB7C9E" w14:paraId="4B94D40F"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25126AA7"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1. Finansowe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4E926222" w14:textId="3A95D2DD"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24 635 711</w:t>
            </w:r>
          </w:p>
        </w:tc>
        <w:tc>
          <w:tcPr>
            <w:tcW w:w="1418" w:type="dxa"/>
            <w:tcBorders>
              <w:top w:val="nil"/>
              <w:left w:val="nil"/>
              <w:bottom w:val="single" w:sz="8" w:space="0" w:color="0077BD"/>
              <w:right w:val="single" w:sz="8" w:space="0" w:color="0077BD"/>
            </w:tcBorders>
            <w:shd w:val="clear" w:color="auto" w:fill="auto"/>
            <w:vAlign w:val="center"/>
          </w:tcPr>
          <w:p w14:paraId="60CB878B" w14:textId="20C73038"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2 824 772</w:t>
            </w:r>
          </w:p>
        </w:tc>
        <w:tc>
          <w:tcPr>
            <w:tcW w:w="1418" w:type="dxa"/>
            <w:tcBorders>
              <w:top w:val="nil"/>
              <w:left w:val="nil"/>
              <w:bottom w:val="single" w:sz="8" w:space="0" w:color="0077BD"/>
              <w:right w:val="single" w:sz="8" w:space="0" w:color="0077BD"/>
            </w:tcBorders>
            <w:shd w:val="clear" w:color="auto" w:fill="auto"/>
            <w:vAlign w:val="center"/>
          </w:tcPr>
          <w:p w14:paraId="7B1BCD7D" w14:textId="14919635"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1 674 452</w:t>
            </w:r>
          </w:p>
        </w:tc>
        <w:tc>
          <w:tcPr>
            <w:tcW w:w="1418" w:type="dxa"/>
            <w:tcBorders>
              <w:top w:val="nil"/>
              <w:left w:val="nil"/>
              <w:bottom w:val="single" w:sz="8" w:space="0" w:color="0077BD"/>
              <w:right w:val="nil"/>
            </w:tcBorders>
            <w:shd w:val="clear" w:color="auto" w:fill="auto"/>
            <w:vAlign w:val="center"/>
          </w:tcPr>
          <w:p w14:paraId="74A7271F" w14:textId="303C3C22"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29 134 935</w:t>
            </w:r>
          </w:p>
        </w:tc>
      </w:tr>
      <w:tr w:rsidR="00782F9D" w:rsidRPr="00BB7C9E" w14:paraId="74D95E2F"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279830C5" w14:textId="77777777" w:rsidR="00782F9D" w:rsidRPr="006B56E5" w:rsidRDefault="00782F9D" w:rsidP="00782F9D">
            <w:pPr>
              <w:ind w:firstLineChars="200" w:firstLine="240"/>
              <w:rPr>
                <w:rFonts w:cs="Calibri"/>
                <w:color w:val="000000" w:themeColor="text1"/>
                <w:sz w:val="12"/>
                <w:szCs w:val="12"/>
              </w:rPr>
            </w:pPr>
            <w:r w:rsidRPr="006B56E5">
              <w:rPr>
                <w:rFonts w:cs="Calibri"/>
                <w:color w:val="000000" w:themeColor="text1"/>
                <w:sz w:val="12"/>
                <w:szCs w:val="12"/>
              </w:rPr>
              <w:t>a) zobowiązania do udzielenia kredytu</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1493CFEF" w14:textId="11DBA5C4"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24 635 711</w:t>
            </w:r>
          </w:p>
        </w:tc>
        <w:tc>
          <w:tcPr>
            <w:tcW w:w="1418" w:type="dxa"/>
            <w:tcBorders>
              <w:top w:val="nil"/>
              <w:left w:val="nil"/>
              <w:bottom w:val="single" w:sz="8" w:space="0" w:color="0077BD"/>
              <w:right w:val="single" w:sz="8" w:space="0" w:color="0077BD"/>
            </w:tcBorders>
            <w:shd w:val="clear" w:color="auto" w:fill="auto"/>
            <w:vAlign w:val="center"/>
          </w:tcPr>
          <w:p w14:paraId="059CB98D" w14:textId="327319A2"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2 824 772</w:t>
            </w:r>
          </w:p>
        </w:tc>
        <w:tc>
          <w:tcPr>
            <w:tcW w:w="1418" w:type="dxa"/>
            <w:tcBorders>
              <w:top w:val="nil"/>
              <w:left w:val="nil"/>
              <w:bottom w:val="single" w:sz="8" w:space="0" w:color="0077BD"/>
              <w:right w:val="single" w:sz="8" w:space="0" w:color="0077BD"/>
            </w:tcBorders>
            <w:shd w:val="clear" w:color="auto" w:fill="auto"/>
            <w:vAlign w:val="center"/>
          </w:tcPr>
          <w:p w14:paraId="688712C3" w14:textId="04AB35FF"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1 674 452</w:t>
            </w:r>
          </w:p>
        </w:tc>
        <w:tc>
          <w:tcPr>
            <w:tcW w:w="1418" w:type="dxa"/>
            <w:tcBorders>
              <w:top w:val="nil"/>
              <w:left w:val="nil"/>
              <w:bottom w:val="single" w:sz="8" w:space="0" w:color="0077BD"/>
              <w:right w:val="nil"/>
            </w:tcBorders>
            <w:shd w:val="clear" w:color="auto" w:fill="auto"/>
            <w:vAlign w:val="center"/>
          </w:tcPr>
          <w:p w14:paraId="20E7BA0E" w14:textId="37431875"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29 134 935</w:t>
            </w:r>
          </w:p>
        </w:tc>
      </w:tr>
      <w:tr w:rsidR="00782F9D" w:rsidRPr="00BB7C9E" w14:paraId="0DDBCED2" w14:textId="77777777" w:rsidTr="00011FE0">
        <w:trPr>
          <w:trHeight w:val="255"/>
        </w:trPr>
        <w:tc>
          <w:tcPr>
            <w:tcW w:w="3909" w:type="dxa"/>
            <w:tcBorders>
              <w:top w:val="single" w:sz="8" w:space="0" w:color="0077BD"/>
              <w:left w:val="nil"/>
              <w:bottom w:val="single" w:sz="8" w:space="0" w:color="0070C0"/>
              <w:right w:val="single" w:sz="8" w:space="0" w:color="0077BD"/>
            </w:tcBorders>
            <w:shd w:val="clear" w:color="auto" w:fill="auto"/>
            <w:vAlign w:val="center"/>
            <w:hideMark/>
          </w:tcPr>
          <w:p w14:paraId="2D0B4183"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2. Gwarancje i inne produkty finansowe</w:t>
            </w:r>
          </w:p>
        </w:tc>
        <w:tc>
          <w:tcPr>
            <w:tcW w:w="1418" w:type="dxa"/>
            <w:tcBorders>
              <w:top w:val="single" w:sz="8" w:space="0" w:color="0077BD"/>
              <w:left w:val="single" w:sz="8" w:space="0" w:color="0077BD"/>
              <w:bottom w:val="single" w:sz="8" w:space="0" w:color="0070C0"/>
              <w:right w:val="single" w:sz="8" w:space="0" w:color="0077BD"/>
            </w:tcBorders>
            <w:shd w:val="clear" w:color="auto" w:fill="auto"/>
            <w:vAlign w:val="center"/>
          </w:tcPr>
          <w:p w14:paraId="23DD0027" w14:textId="240E0969"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5 448 095</w:t>
            </w:r>
          </w:p>
        </w:tc>
        <w:tc>
          <w:tcPr>
            <w:tcW w:w="1418" w:type="dxa"/>
            <w:tcBorders>
              <w:top w:val="single" w:sz="8" w:space="0" w:color="0077BD"/>
              <w:left w:val="nil"/>
              <w:bottom w:val="single" w:sz="8" w:space="0" w:color="0070C0"/>
              <w:right w:val="single" w:sz="8" w:space="0" w:color="0077BD"/>
            </w:tcBorders>
            <w:shd w:val="clear" w:color="auto" w:fill="auto"/>
            <w:vAlign w:val="center"/>
          </w:tcPr>
          <w:p w14:paraId="705BAF88" w14:textId="498BD0DE"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2 052 153</w:t>
            </w:r>
          </w:p>
        </w:tc>
        <w:tc>
          <w:tcPr>
            <w:tcW w:w="1418" w:type="dxa"/>
            <w:tcBorders>
              <w:top w:val="single" w:sz="8" w:space="0" w:color="0077BD"/>
              <w:left w:val="nil"/>
              <w:bottom w:val="single" w:sz="8" w:space="0" w:color="0070C0"/>
              <w:right w:val="single" w:sz="8" w:space="0" w:color="0077BD"/>
            </w:tcBorders>
            <w:shd w:val="clear" w:color="auto" w:fill="auto"/>
            <w:vAlign w:val="center"/>
          </w:tcPr>
          <w:p w14:paraId="0869ECAB" w14:textId="13D8B8AE"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1 438 179</w:t>
            </w:r>
          </w:p>
        </w:tc>
        <w:tc>
          <w:tcPr>
            <w:tcW w:w="1418" w:type="dxa"/>
            <w:tcBorders>
              <w:top w:val="single" w:sz="8" w:space="0" w:color="0077BD"/>
              <w:left w:val="nil"/>
              <w:bottom w:val="single" w:sz="8" w:space="0" w:color="0070C0"/>
              <w:right w:val="nil"/>
            </w:tcBorders>
            <w:shd w:val="clear" w:color="auto" w:fill="auto"/>
            <w:vAlign w:val="center"/>
          </w:tcPr>
          <w:p w14:paraId="62A92420" w14:textId="7C31B17E"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8 938 427</w:t>
            </w:r>
          </w:p>
        </w:tc>
      </w:tr>
      <w:tr w:rsidR="00782F9D" w:rsidRPr="00BB7C9E" w14:paraId="41E5C0E3"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449A170B" w14:textId="77777777" w:rsidR="00782F9D" w:rsidRPr="006B56E5" w:rsidRDefault="00782F9D" w:rsidP="00782F9D">
            <w:pPr>
              <w:ind w:firstLineChars="200" w:firstLine="240"/>
              <w:rPr>
                <w:rFonts w:cs="Calibri"/>
                <w:color w:val="000000" w:themeColor="text1"/>
                <w:sz w:val="12"/>
                <w:szCs w:val="12"/>
              </w:rPr>
            </w:pPr>
            <w:r w:rsidRPr="006B56E5">
              <w:rPr>
                <w:rFonts w:cs="Calibri"/>
                <w:color w:val="000000" w:themeColor="text1"/>
                <w:sz w:val="12"/>
                <w:szCs w:val="12"/>
              </w:rPr>
              <w:t>a) gwarancje i akredytywy stand by</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6672E925" w14:textId="19731727"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5 448 095</w:t>
            </w:r>
          </w:p>
        </w:tc>
        <w:tc>
          <w:tcPr>
            <w:tcW w:w="1418" w:type="dxa"/>
            <w:tcBorders>
              <w:top w:val="nil"/>
              <w:left w:val="nil"/>
              <w:bottom w:val="single" w:sz="8" w:space="0" w:color="0077BD"/>
              <w:right w:val="single" w:sz="8" w:space="0" w:color="0077BD"/>
            </w:tcBorders>
            <w:shd w:val="clear" w:color="auto" w:fill="auto"/>
            <w:vAlign w:val="center"/>
          </w:tcPr>
          <w:p w14:paraId="61671CB6" w14:textId="6F4BE7B1"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2 052 153</w:t>
            </w:r>
          </w:p>
        </w:tc>
        <w:tc>
          <w:tcPr>
            <w:tcW w:w="1418" w:type="dxa"/>
            <w:tcBorders>
              <w:top w:val="nil"/>
              <w:left w:val="nil"/>
              <w:bottom w:val="single" w:sz="8" w:space="0" w:color="0077BD"/>
              <w:right w:val="single" w:sz="8" w:space="0" w:color="0077BD"/>
            </w:tcBorders>
            <w:shd w:val="clear" w:color="auto" w:fill="auto"/>
            <w:vAlign w:val="center"/>
          </w:tcPr>
          <w:p w14:paraId="4BC55E03" w14:textId="4E0457CD"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1 438 179</w:t>
            </w:r>
          </w:p>
        </w:tc>
        <w:tc>
          <w:tcPr>
            <w:tcW w:w="1418" w:type="dxa"/>
            <w:tcBorders>
              <w:top w:val="nil"/>
              <w:left w:val="nil"/>
              <w:bottom w:val="single" w:sz="8" w:space="0" w:color="0077BD"/>
              <w:right w:val="nil"/>
            </w:tcBorders>
            <w:shd w:val="clear" w:color="auto" w:fill="auto"/>
            <w:vAlign w:val="center"/>
          </w:tcPr>
          <w:p w14:paraId="6DB48881" w14:textId="17A93FE6"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8 938 427</w:t>
            </w:r>
          </w:p>
        </w:tc>
      </w:tr>
      <w:tr w:rsidR="00782F9D" w:rsidRPr="00BB7C9E" w14:paraId="3D5243D0" w14:textId="77777777" w:rsidTr="00011FE0">
        <w:trPr>
          <w:trHeight w:val="255"/>
        </w:trPr>
        <w:tc>
          <w:tcPr>
            <w:tcW w:w="3909" w:type="dxa"/>
            <w:tcBorders>
              <w:top w:val="single" w:sz="8" w:space="0" w:color="0077BD"/>
              <w:left w:val="nil"/>
              <w:bottom w:val="single" w:sz="8" w:space="0" w:color="0077BD"/>
              <w:right w:val="single" w:sz="8" w:space="0" w:color="0077BD"/>
            </w:tcBorders>
            <w:shd w:val="clear" w:color="auto" w:fill="auto"/>
            <w:vAlign w:val="center"/>
            <w:hideMark/>
          </w:tcPr>
          <w:p w14:paraId="52ECC20F" w14:textId="77777777" w:rsidR="00782F9D" w:rsidRPr="006B56E5" w:rsidRDefault="00782F9D" w:rsidP="00782F9D">
            <w:pPr>
              <w:rPr>
                <w:rFonts w:cs="Calibri"/>
                <w:b/>
                <w:bCs/>
                <w:color w:val="000000" w:themeColor="text1"/>
                <w:sz w:val="12"/>
                <w:szCs w:val="12"/>
              </w:rPr>
            </w:pPr>
            <w:r w:rsidRPr="006B56E5">
              <w:rPr>
                <w:rFonts w:cs="Calibri"/>
                <w:b/>
                <w:bCs/>
                <w:color w:val="000000" w:themeColor="text1"/>
                <w:sz w:val="12"/>
                <w:szCs w:val="12"/>
              </w:rPr>
              <w:t xml:space="preserve">    Zobowiązania otrzymane</w:t>
            </w:r>
          </w:p>
        </w:tc>
        <w:tc>
          <w:tcPr>
            <w:tcW w:w="1418" w:type="dxa"/>
            <w:tcBorders>
              <w:top w:val="single" w:sz="8" w:space="0" w:color="0077BD"/>
              <w:left w:val="single" w:sz="8" w:space="0" w:color="0077BD"/>
              <w:bottom w:val="single" w:sz="8" w:space="0" w:color="0077BD"/>
              <w:right w:val="single" w:sz="8" w:space="0" w:color="0077BD"/>
            </w:tcBorders>
            <w:shd w:val="clear" w:color="auto" w:fill="auto"/>
            <w:vAlign w:val="center"/>
          </w:tcPr>
          <w:p w14:paraId="5FDD8F8A" w14:textId="530507A9"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2 396 098</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51D89605" w14:textId="0303C593"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1 156 465</w:t>
            </w:r>
          </w:p>
        </w:tc>
        <w:tc>
          <w:tcPr>
            <w:tcW w:w="1418" w:type="dxa"/>
            <w:tcBorders>
              <w:top w:val="single" w:sz="8" w:space="0" w:color="0077BD"/>
              <w:left w:val="nil"/>
              <w:bottom w:val="single" w:sz="8" w:space="0" w:color="0077BD"/>
              <w:right w:val="single" w:sz="8" w:space="0" w:color="0077BD"/>
            </w:tcBorders>
            <w:shd w:val="clear" w:color="auto" w:fill="auto"/>
            <w:vAlign w:val="center"/>
          </w:tcPr>
          <w:p w14:paraId="7D002570" w14:textId="42BF5073"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442 092</w:t>
            </w:r>
          </w:p>
        </w:tc>
        <w:tc>
          <w:tcPr>
            <w:tcW w:w="1418" w:type="dxa"/>
            <w:tcBorders>
              <w:top w:val="single" w:sz="8" w:space="0" w:color="0077BD"/>
              <w:left w:val="nil"/>
              <w:bottom w:val="single" w:sz="8" w:space="0" w:color="0077BD"/>
              <w:right w:val="nil"/>
            </w:tcBorders>
            <w:shd w:val="clear" w:color="auto" w:fill="auto"/>
            <w:vAlign w:val="center"/>
          </w:tcPr>
          <w:p w14:paraId="09A941E9" w14:textId="407E2086"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3 994 655</w:t>
            </w:r>
          </w:p>
        </w:tc>
      </w:tr>
      <w:tr w:rsidR="00782F9D" w:rsidRPr="00BB7C9E" w14:paraId="2968F010" w14:textId="77777777" w:rsidTr="00011FE0">
        <w:trPr>
          <w:trHeight w:val="255"/>
        </w:trPr>
        <w:tc>
          <w:tcPr>
            <w:tcW w:w="3909" w:type="dxa"/>
            <w:tcBorders>
              <w:top w:val="nil"/>
              <w:left w:val="nil"/>
              <w:bottom w:val="nil"/>
              <w:right w:val="single" w:sz="8" w:space="0" w:color="0077BD"/>
            </w:tcBorders>
            <w:shd w:val="clear" w:color="auto" w:fill="auto"/>
            <w:vAlign w:val="center"/>
            <w:hideMark/>
          </w:tcPr>
          <w:p w14:paraId="180056EF"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 finansowe</w:t>
            </w:r>
          </w:p>
        </w:tc>
        <w:tc>
          <w:tcPr>
            <w:tcW w:w="1418" w:type="dxa"/>
            <w:tcBorders>
              <w:top w:val="nil"/>
              <w:left w:val="single" w:sz="8" w:space="0" w:color="0077BD"/>
              <w:bottom w:val="nil"/>
              <w:right w:val="single" w:sz="8" w:space="0" w:color="0077BD"/>
            </w:tcBorders>
            <w:shd w:val="clear" w:color="auto" w:fill="auto"/>
            <w:vAlign w:val="center"/>
          </w:tcPr>
          <w:p w14:paraId="6013D687" w14:textId="41B28FDE"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392 130</w:t>
            </w:r>
          </w:p>
        </w:tc>
        <w:tc>
          <w:tcPr>
            <w:tcW w:w="1418" w:type="dxa"/>
            <w:tcBorders>
              <w:top w:val="nil"/>
              <w:left w:val="nil"/>
              <w:bottom w:val="nil"/>
              <w:right w:val="single" w:sz="8" w:space="0" w:color="0077BD"/>
            </w:tcBorders>
            <w:shd w:val="clear" w:color="auto" w:fill="auto"/>
            <w:vAlign w:val="center"/>
          </w:tcPr>
          <w:p w14:paraId="7419F2B9" w14:textId="7A4613A8"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nil"/>
              <w:left w:val="nil"/>
              <w:bottom w:val="nil"/>
              <w:right w:val="single" w:sz="8" w:space="0" w:color="0077BD"/>
            </w:tcBorders>
            <w:shd w:val="clear" w:color="auto" w:fill="auto"/>
            <w:vAlign w:val="center"/>
          </w:tcPr>
          <w:p w14:paraId="2281A2D0" w14:textId="6D6D1654"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nil"/>
              <w:left w:val="nil"/>
              <w:bottom w:val="nil"/>
              <w:right w:val="nil"/>
            </w:tcBorders>
            <w:shd w:val="clear" w:color="auto" w:fill="auto"/>
            <w:vAlign w:val="center"/>
          </w:tcPr>
          <w:p w14:paraId="624FC5ED" w14:textId="0CFE8FED"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392 130</w:t>
            </w:r>
          </w:p>
        </w:tc>
      </w:tr>
      <w:tr w:rsidR="00782F9D" w:rsidRPr="00BB7C9E" w14:paraId="121CAB78" w14:textId="77777777" w:rsidTr="00011FE0">
        <w:trPr>
          <w:trHeight w:val="255"/>
        </w:trPr>
        <w:tc>
          <w:tcPr>
            <w:tcW w:w="3909" w:type="dxa"/>
            <w:tcBorders>
              <w:top w:val="single" w:sz="4" w:space="0" w:color="0077BD"/>
              <w:left w:val="nil"/>
              <w:bottom w:val="single" w:sz="6" w:space="0" w:color="0077BD"/>
              <w:right w:val="single" w:sz="8" w:space="0" w:color="0077BD"/>
            </w:tcBorders>
            <w:shd w:val="clear" w:color="auto" w:fill="auto"/>
            <w:vAlign w:val="center"/>
            <w:hideMark/>
          </w:tcPr>
          <w:p w14:paraId="39CE5CEC"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 gwarancyjne</w:t>
            </w:r>
          </w:p>
        </w:tc>
        <w:tc>
          <w:tcPr>
            <w:tcW w:w="1418" w:type="dxa"/>
            <w:tcBorders>
              <w:top w:val="single" w:sz="4" w:space="0" w:color="0077BD"/>
              <w:left w:val="single" w:sz="8" w:space="0" w:color="0077BD"/>
              <w:bottom w:val="single" w:sz="6" w:space="0" w:color="0077BD"/>
              <w:right w:val="single" w:sz="8" w:space="0" w:color="0077BD"/>
            </w:tcBorders>
            <w:shd w:val="clear" w:color="auto" w:fill="auto"/>
            <w:vAlign w:val="center"/>
          </w:tcPr>
          <w:p w14:paraId="3CCF8BAC" w14:textId="1CE430DF"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2 003 968</w:t>
            </w:r>
          </w:p>
        </w:tc>
        <w:tc>
          <w:tcPr>
            <w:tcW w:w="1418" w:type="dxa"/>
            <w:tcBorders>
              <w:top w:val="single" w:sz="4" w:space="0" w:color="0077BD"/>
              <w:left w:val="nil"/>
              <w:bottom w:val="single" w:sz="6" w:space="0" w:color="0077BD"/>
              <w:right w:val="single" w:sz="8" w:space="0" w:color="0077BD"/>
            </w:tcBorders>
            <w:shd w:val="clear" w:color="auto" w:fill="auto"/>
            <w:vAlign w:val="center"/>
          </w:tcPr>
          <w:p w14:paraId="012E1955" w14:textId="79339035"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1 156 465</w:t>
            </w:r>
          </w:p>
        </w:tc>
        <w:tc>
          <w:tcPr>
            <w:tcW w:w="1418" w:type="dxa"/>
            <w:tcBorders>
              <w:top w:val="single" w:sz="4" w:space="0" w:color="0077BD"/>
              <w:left w:val="nil"/>
              <w:bottom w:val="single" w:sz="6" w:space="0" w:color="0077BD"/>
              <w:right w:val="single" w:sz="8" w:space="0" w:color="0077BD"/>
            </w:tcBorders>
            <w:shd w:val="clear" w:color="auto" w:fill="auto"/>
            <w:vAlign w:val="center"/>
          </w:tcPr>
          <w:p w14:paraId="608E8F2B" w14:textId="4A30401B"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442 092</w:t>
            </w:r>
          </w:p>
        </w:tc>
        <w:tc>
          <w:tcPr>
            <w:tcW w:w="1418" w:type="dxa"/>
            <w:tcBorders>
              <w:top w:val="single" w:sz="4" w:space="0" w:color="0077BD"/>
              <w:left w:val="nil"/>
              <w:bottom w:val="single" w:sz="6" w:space="0" w:color="0077BD"/>
              <w:right w:val="nil"/>
            </w:tcBorders>
            <w:shd w:val="clear" w:color="auto" w:fill="auto"/>
            <w:vAlign w:val="center"/>
          </w:tcPr>
          <w:p w14:paraId="581754CA" w14:textId="38183994"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3 602 525</w:t>
            </w:r>
          </w:p>
        </w:tc>
      </w:tr>
      <w:tr w:rsidR="00782F9D" w:rsidRPr="00BB7C9E" w14:paraId="425793E5" w14:textId="77777777" w:rsidTr="00BB42F2">
        <w:trPr>
          <w:trHeight w:val="397"/>
        </w:trPr>
        <w:tc>
          <w:tcPr>
            <w:tcW w:w="3909" w:type="dxa"/>
            <w:tcBorders>
              <w:top w:val="single" w:sz="6" w:space="0" w:color="0077BD"/>
              <w:left w:val="nil"/>
              <w:bottom w:val="single" w:sz="8" w:space="0" w:color="0077BD"/>
              <w:right w:val="single" w:sz="8" w:space="0" w:color="0077BD"/>
            </w:tcBorders>
            <w:shd w:val="clear" w:color="000000" w:fill="FFFFFF"/>
            <w:vAlign w:val="center"/>
            <w:hideMark/>
          </w:tcPr>
          <w:p w14:paraId="70EAC526" w14:textId="77777777" w:rsidR="00782F9D" w:rsidRPr="006B56E5" w:rsidRDefault="00782F9D" w:rsidP="00782F9D">
            <w:pPr>
              <w:rPr>
                <w:rFonts w:cs="Calibri"/>
                <w:b/>
                <w:bCs/>
                <w:color w:val="000000" w:themeColor="text1"/>
                <w:sz w:val="12"/>
                <w:szCs w:val="12"/>
              </w:rPr>
            </w:pPr>
            <w:r w:rsidRPr="006B56E5">
              <w:rPr>
                <w:rFonts w:cs="Calibri"/>
                <w:b/>
                <w:bCs/>
                <w:color w:val="000000" w:themeColor="text1"/>
                <w:sz w:val="12"/>
                <w:szCs w:val="12"/>
              </w:rPr>
              <w:t xml:space="preserve">2. Pochodne instrumenty finansowe </w:t>
            </w:r>
            <w:r w:rsidRPr="006B56E5">
              <w:rPr>
                <w:rFonts w:cs="Calibri"/>
                <w:b/>
                <w:bCs/>
                <w:color w:val="000000" w:themeColor="text1"/>
                <w:sz w:val="12"/>
                <w:szCs w:val="12"/>
              </w:rPr>
              <w:br/>
              <w:t xml:space="preserve">   (wartość  nominalna kontraktów)</w:t>
            </w:r>
          </w:p>
        </w:tc>
        <w:tc>
          <w:tcPr>
            <w:tcW w:w="1418" w:type="dxa"/>
            <w:tcBorders>
              <w:top w:val="single" w:sz="6" w:space="0" w:color="0077BD"/>
              <w:left w:val="single" w:sz="8" w:space="0" w:color="0077BD"/>
              <w:bottom w:val="single" w:sz="8" w:space="0" w:color="0077BD"/>
              <w:right w:val="single" w:sz="8" w:space="0" w:color="0077BD"/>
            </w:tcBorders>
            <w:shd w:val="clear" w:color="auto" w:fill="auto"/>
            <w:vAlign w:val="center"/>
          </w:tcPr>
          <w:p w14:paraId="799A4999" w14:textId="1465C094"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200 227 125</w:t>
            </w:r>
          </w:p>
        </w:tc>
        <w:tc>
          <w:tcPr>
            <w:tcW w:w="1418" w:type="dxa"/>
            <w:tcBorders>
              <w:top w:val="single" w:sz="6" w:space="0" w:color="0077BD"/>
              <w:left w:val="nil"/>
              <w:bottom w:val="single" w:sz="8" w:space="0" w:color="0077BD"/>
              <w:right w:val="single" w:sz="8" w:space="0" w:color="0077BD"/>
            </w:tcBorders>
            <w:shd w:val="clear" w:color="auto" w:fill="auto"/>
            <w:vAlign w:val="center"/>
          </w:tcPr>
          <w:p w14:paraId="2F066A18" w14:textId="1E99B121"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350 824 493</w:t>
            </w:r>
          </w:p>
        </w:tc>
        <w:tc>
          <w:tcPr>
            <w:tcW w:w="1418" w:type="dxa"/>
            <w:tcBorders>
              <w:top w:val="single" w:sz="6" w:space="0" w:color="0077BD"/>
              <w:left w:val="nil"/>
              <w:bottom w:val="single" w:sz="8" w:space="0" w:color="0077BD"/>
              <w:right w:val="single" w:sz="8" w:space="0" w:color="0077BD"/>
            </w:tcBorders>
            <w:shd w:val="clear" w:color="auto" w:fill="auto"/>
            <w:vAlign w:val="center"/>
          </w:tcPr>
          <w:p w14:paraId="2420E9C5" w14:textId="092CFDC8"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45 135 622</w:t>
            </w:r>
          </w:p>
        </w:tc>
        <w:tc>
          <w:tcPr>
            <w:tcW w:w="1418" w:type="dxa"/>
            <w:tcBorders>
              <w:top w:val="single" w:sz="6" w:space="0" w:color="0077BD"/>
              <w:left w:val="nil"/>
              <w:bottom w:val="single" w:sz="8" w:space="0" w:color="0077BD"/>
              <w:right w:val="nil"/>
            </w:tcBorders>
            <w:shd w:val="clear" w:color="auto" w:fill="auto"/>
            <w:vAlign w:val="center"/>
          </w:tcPr>
          <w:p w14:paraId="1DB4F63F" w14:textId="1E109D60"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596 187 240</w:t>
            </w:r>
          </w:p>
        </w:tc>
      </w:tr>
      <w:tr w:rsidR="00782F9D" w:rsidRPr="00BB7C9E" w14:paraId="1792F779" w14:textId="77777777" w:rsidTr="00011FE0">
        <w:trPr>
          <w:trHeight w:val="255"/>
        </w:trPr>
        <w:tc>
          <w:tcPr>
            <w:tcW w:w="3909" w:type="dxa"/>
            <w:tcBorders>
              <w:top w:val="nil"/>
              <w:left w:val="nil"/>
              <w:bottom w:val="nil"/>
              <w:right w:val="single" w:sz="8" w:space="0" w:color="0077BD"/>
            </w:tcBorders>
            <w:shd w:val="clear" w:color="auto" w:fill="auto"/>
            <w:vAlign w:val="center"/>
            <w:hideMark/>
          </w:tcPr>
          <w:p w14:paraId="34D19D32"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Instrumenty pochodne na stopę procentową</w:t>
            </w:r>
          </w:p>
        </w:tc>
        <w:tc>
          <w:tcPr>
            <w:tcW w:w="1418" w:type="dxa"/>
            <w:tcBorders>
              <w:top w:val="nil"/>
              <w:left w:val="single" w:sz="8" w:space="0" w:color="0077BD"/>
              <w:bottom w:val="nil"/>
              <w:right w:val="single" w:sz="8" w:space="0" w:color="0077BD"/>
            </w:tcBorders>
            <w:shd w:val="clear" w:color="auto" w:fill="auto"/>
            <w:vAlign w:val="center"/>
          </w:tcPr>
          <w:p w14:paraId="68885B4E" w14:textId="7E723CCB"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133 642 008</w:t>
            </w:r>
          </w:p>
        </w:tc>
        <w:tc>
          <w:tcPr>
            <w:tcW w:w="1418" w:type="dxa"/>
            <w:tcBorders>
              <w:top w:val="nil"/>
              <w:left w:val="nil"/>
              <w:bottom w:val="nil"/>
              <w:right w:val="single" w:sz="8" w:space="0" w:color="0077BD"/>
            </w:tcBorders>
            <w:shd w:val="clear" w:color="auto" w:fill="auto"/>
            <w:vAlign w:val="center"/>
          </w:tcPr>
          <w:p w14:paraId="5223BEDD" w14:textId="7F933E8A"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323 965 761</w:t>
            </w:r>
          </w:p>
        </w:tc>
        <w:tc>
          <w:tcPr>
            <w:tcW w:w="1418" w:type="dxa"/>
            <w:tcBorders>
              <w:top w:val="nil"/>
              <w:left w:val="nil"/>
              <w:bottom w:val="nil"/>
              <w:right w:val="single" w:sz="8" w:space="0" w:color="0077BD"/>
            </w:tcBorders>
            <w:shd w:val="clear" w:color="auto" w:fill="auto"/>
            <w:vAlign w:val="center"/>
          </w:tcPr>
          <w:p w14:paraId="405E03F8" w14:textId="4ED32BA5"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39 560 757</w:t>
            </w:r>
          </w:p>
        </w:tc>
        <w:tc>
          <w:tcPr>
            <w:tcW w:w="1418" w:type="dxa"/>
            <w:tcBorders>
              <w:top w:val="nil"/>
              <w:left w:val="nil"/>
              <w:bottom w:val="nil"/>
              <w:right w:val="nil"/>
            </w:tcBorders>
            <w:shd w:val="clear" w:color="auto" w:fill="auto"/>
            <w:vAlign w:val="center"/>
          </w:tcPr>
          <w:p w14:paraId="71CB1935" w14:textId="163E27FE"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497 168 526</w:t>
            </w:r>
          </w:p>
        </w:tc>
      </w:tr>
      <w:tr w:rsidR="00782F9D" w:rsidRPr="00BB7C9E" w14:paraId="2BFF7E18" w14:textId="77777777" w:rsidTr="00011FE0">
        <w:trPr>
          <w:trHeight w:val="255"/>
        </w:trPr>
        <w:tc>
          <w:tcPr>
            <w:tcW w:w="3909" w:type="dxa"/>
            <w:tcBorders>
              <w:top w:val="single" w:sz="4" w:space="0" w:color="0077BD"/>
              <w:left w:val="nil"/>
              <w:bottom w:val="single" w:sz="4" w:space="0" w:color="0077BD"/>
              <w:right w:val="single" w:sz="8" w:space="0" w:color="0077BD"/>
            </w:tcBorders>
            <w:shd w:val="clear" w:color="auto" w:fill="auto"/>
            <w:vAlign w:val="center"/>
            <w:hideMark/>
          </w:tcPr>
          <w:p w14:paraId="7C2CA21D"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Walutowe instrumenty pochodne</w:t>
            </w:r>
          </w:p>
        </w:tc>
        <w:tc>
          <w:tcPr>
            <w:tcW w:w="1418" w:type="dxa"/>
            <w:tcBorders>
              <w:top w:val="single" w:sz="4" w:space="0" w:color="0077BD"/>
              <w:left w:val="single" w:sz="8" w:space="0" w:color="0077BD"/>
              <w:bottom w:val="single" w:sz="4" w:space="0" w:color="0077BD"/>
              <w:right w:val="single" w:sz="8" w:space="0" w:color="0077BD"/>
            </w:tcBorders>
            <w:shd w:val="clear" w:color="auto" w:fill="auto"/>
            <w:vAlign w:val="center"/>
          </w:tcPr>
          <w:p w14:paraId="57542579" w14:textId="699106F3"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62 798 352</w:t>
            </w:r>
          </w:p>
        </w:tc>
        <w:tc>
          <w:tcPr>
            <w:tcW w:w="1418" w:type="dxa"/>
            <w:tcBorders>
              <w:top w:val="single" w:sz="4" w:space="0" w:color="0077BD"/>
              <w:left w:val="nil"/>
              <w:bottom w:val="single" w:sz="4" w:space="0" w:color="0077BD"/>
              <w:right w:val="single" w:sz="8" w:space="0" w:color="0077BD"/>
            </w:tcBorders>
            <w:shd w:val="clear" w:color="auto" w:fill="auto"/>
            <w:vAlign w:val="center"/>
          </w:tcPr>
          <w:p w14:paraId="522E855F" w14:textId="7BC483A5"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25 661 914</w:t>
            </w:r>
          </w:p>
        </w:tc>
        <w:tc>
          <w:tcPr>
            <w:tcW w:w="1418" w:type="dxa"/>
            <w:tcBorders>
              <w:top w:val="single" w:sz="4" w:space="0" w:color="0077BD"/>
              <w:left w:val="nil"/>
              <w:bottom w:val="single" w:sz="4" w:space="0" w:color="0077BD"/>
              <w:right w:val="single" w:sz="8" w:space="0" w:color="0077BD"/>
            </w:tcBorders>
            <w:shd w:val="clear" w:color="auto" w:fill="auto"/>
            <w:vAlign w:val="center"/>
          </w:tcPr>
          <w:p w14:paraId="5DBF755C" w14:textId="3CFB5C4F"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5 085 895</w:t>
            </w:r>
          </w:p>
        </w:tc>
        <w:tc>
          <w:tcPr>
            <w:tcW w:w="1418" w:type="dxa"/>
            <w:tcBorders>
              <w:top w:val="single" w:sz="4" w:space="0" w:color="0077BD"/>
              <w:left w:val="nil"/>
              <w:bottom w:val="single" w:sz="4" w:space="0" w:color="0077BD"/>
              <w:right w:val="nil"/>
            </w:tcBorders>
            <w:shd w:val="clear" w:color="auto" w:fill="auto"/>
            <w:vAlign w:val="center"/>
          </w:tcPr>
          <w:p w14:paraId="15064130" w14:textId="121116D9"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93 546 161</w:t>
            </w:r>
          </w:p>
        </w:tc>
      </w:tr>
      <w:tr w:rsidR="00782F9D" w:rsidRPr="00BB7C9E" w14:paraId="02C49039"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03952647" w14:textId="77777777" w:rsidR="00782F9D" w:rsidRPr="006B56E5" w:rsidRDefault="00782F9D" w:rsidP="00782F9D">
            <w:pPr>
              <w:rPr>
                <w:rFonts w:cs="Calibri"/>
                <w:color w:val="000000" w:themeColor="text1"/>
                <w:sz w:val="12"/>
                <w:szCs w:val="12"/>
              </w:rPr>
            </w:pPr>
            <w:r w:rsidRPr="006B56E5">
              <w:rPr>
                <w:rFonts w:cs="Calibri"/>
                <w:color w:val="000000" w:themeColor="text1"/>
                <w:sz w:val="12"/>
                <w:szCs w:val="12"/>
              </w:rPr>
              <w:t xml:space="preserve">   Instrumenty pochodne na ryzyko rynkowe</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0BEA372E" w14:textId="34A635A2"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3 786 765</w:t>
            </w:r>
          </w:p>
        </w:tc>
        <w:tc>
          <w:tcPr>
            <w:tcW w:w="1418" w:type="dxa"/>
            <w:tcBorders>
              <w:top w:val="nil"/>
              <w:left w:val="nil"/>
              <w:bottom w:val="single" w:sz="8" w:space="0" w:color="0077BD"/>
              <w:right w:val="single" w:sz="8" w:space="0" w:color="0077BD"/>
            </w:tcBorders>
            <w:shd w:val="clear" w:color="auto" w:fill="auto"/>
            <w:vAlign w:val="center"/>
          </w:tcPr>
          <w:p w14:paraId="33539AD5" w14:textId="67646788"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1 196 818</w:t>
            </w:r>
          </w:p>
        </w:tc>
        <w:tc>
          <w:tcPr>
            <w:tcW w:w="1418" w:type="dxa"/>
            <w:tcBorders>
              <w:top w:val="nil"/>
              <w:left w:val="nil"/>
              <w:bottom w:val="single" w:sz="8" w:space="0" w:color="0077BD"/>
              <w:right w:val="single" w:sz="8" w:space="0" w:color="0077BD"/>
            </w:tcBorders>
            <w:shd w:val="clear" w:color="auto" w:fill="auto"/>
            <w:vAlign w:val="center"/>
          </w:tcPr>
          <w:p w14:paraId="29679CEB" w14:textId="11E4CAE3" w:rsidR="00782F9D" w:rsidRPr="006B56E5" w:rsidRDefault="00782F9D" w:rsidP="00782F9D">
            <w:pPr>
              <w:jc w:val="right"/>
              <w:rPr>
                <w:rFonts w:cs="Calibri"/>
                <w:color w:val="000000" w:themeColor="text1"/>
                <w:sz w:val="12"/>
                <w:szCs w:val="12"/>
              </w:rPr>
            </w:pPr>
            <w:r w:rsidRPr="006B56E5">
              <w:rPr>
                <w:rFonts w:cs="Calibri"/>
                <w:color w:val="000000" w:themeColor="text1"/>
                <w:sz w:val="12"/>
                <w:szCs w:val="12"/>
              </w:rPr>
              <w:t>488 970</w:t>
            </w:r>
          </w:p>
        </w:tc>
        <w:tc>
          <w:tcPr>
            <w:tcW w:w="1418" w:type="dxa"/>
            <w:tcBorders>
              <w:top w:val="nil"/>
              <w:left w:val="nil"/>
              <w:bottom w:val="single" w:sz="8" w:space="0" w:color="0077BD"/>
              <w:right w:val="nil"/>
            </w:tcBorders>
            <w:shd w:val="clear" w:color="auto" w:fill="auto"/>
            <w:vAlign w:val="center"/>
          </w:tcPr>
          <w:p w14:paraId="06FBBE6A" w14:textId="11483152"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5 472 553</w:t>
            </w:r>
          </w:p>
        </w:tc>
      </w:tr>
      <w:tr w:rsidR="00782F9D" w:rsidRPr="00BB7C9E" w14:paraId="027959DC" w14:textId="77777777" w:rsidTr="00011FE0">
        <w:trPr>
          <w:trHeight w:val="255"/>
        </w:trPr>
        <w:tc>
          <w:tcPr>
            <w:tcW w:w="3909" w:type="dxa"/>
            <w:tcBorders>
              <w:top w:val="nil"/>
              <w:left w:val="nil"/>
              <w:bottom w:val="single" w:sz="8" w:space="0" w:color="0077BD"/>
              <w:right w:val="nil"/>
            </w:tcBorders>
            <w:shd w:val="clear" w:color="auto" w:fill="auto"/>
            <w:vAlign w:val="center"/>
            <w:hideMark/>
          </w:tcPr>
          <w:p w14:paraId="49DD9886" w14:textId="77777777" w:rsidR="00782F9D" w:rsidRPr="006B56E5" w:rsidRDefault="00782F9D" w:rsidP="00782F9D">
            <w:pPr>
              <w:rPr>
                <w:rFonts w:cs="Calibri"/>
                <w:b/>
                <w:bCs/>
                <w:color w:val="000000" w:themeColor="text1"/>
                <w:sz w:val="12"/>
                <w:szCs w:val="12"/>
              </w:rPr>
            </w:pPr>
            <w:r w:rsidRPr="006B56E5">
              <w:rPr>
                <w:rFonts w:cs="Calibri"/>
                <w:b/>
                <w:bCs/>
                <w:color w:val="000000" w:themeColor="text1"/>
                <w:sz w:val="12"/>
                <w:szCs w:val="12"/>
              </w:rPr>
              <w:t>Pozycje pozabilansowe razem</w:t>
            </w:r>
          </w:p>
        </w:tc>
        <w:tc>
          <w:tcPr>
            <w:tcW w:w="1418" w:type="dxa"/>
            <w:tcBorders>
              <w:top w:val="nil"/>
              <w:left w:val="single" w:sz="8" w:space="0" w:color="0077BD"/>
              <w:bottom w:val="single" w:sz="8" w:space="0" w:color="0077BD"/>
              <w:right w:val="single" w:sz="8" w:space="0" w:color="0077BD"/>
            </w:tcBorders>
            <w:shd w:val="clear" w:color="auto" w:fill="auto"/>
            <w:vAlign w:val="center"/>
          </w:tcPr>
          <w:p w14:paraId="553120E7" w14:textId="1998DBE0"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232 707 029</w:t>
            </w:r>
          </w:p>
        </w:tc>
        <w:tc>
          <w:tcPr>
            <w:tcW w:w="1418" w:type="dxa"/>
            <w:tcBorders>
              <w:top w:val="nil"/>
              <w:left w:val="nil"/>
              <w:bottom w:val="single" w:sz="8" w:space="0" w:color="0077BD"/>
              <w:right w:val="single" w:sz="8" w:space="0" w:color="0077BD"/>
            </w:tcBorders>
            <w:shd w:val="clear" w:color="auto" w:fill="auto"/>
            <w:vAlign w:val="center"/>
          </w:tcPr>
          <w:p w14:paraId="58C80EB1" w14:textId="1837E5FC"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356 857 883</w:t>
            </w:r>
          </w:p>
        </w:tc>
        <w:tc>
          <w:tcPr>
            <w:tcW w:w="1418" w:type="dxa"/>
            <w:tcBorders>
              <w:top w:val="nil"/>
              <w:left w:val="nil"/>
              <w:bottom w:val="single" w:sz="8" w:space="0" w:color="0077BD"/>
              <w:right w:val="single" w:sz="8" w:space="0" w:color="0077BD"/>
            </w:tcBorders>
            <w:shd w:val="clear" w:color="auto" w:fill="auto"/>
            <w:vAlign w:val="center"/>
          </w:tcPr>
          <w:p w14:paraId="0DE86ECD" w14:textId="337EC492"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48 690 345</w:t>
            </w:r>
          </w:p>
        </w:tc>
        <w:tc>
          <w:tcPr>
            <w:tcW w:w="1418" w:type="dxa"/>
            <w:tcBorders>
              <w:top w:val="nil"/>
              <w:left w:val="nil"/>
              <w:bottom w:val="single" w:sz="8" w:space="0" w:color="0077BD"/>
              <w:right w:val="nil"/>
            </w:tcBorders>
            <w:shd w:val="clear" w:color="auto" w:fill="auto"/>
            <w:vAlign w:val="center"/>
          </w:tcPr>
          <w:p w14:paraId="28EF616D" w14:textId="2147EE95" w:rsidR="00782F9D" w:rsidRPr="006B56E5" w:rsidRDefault="00782F9D" w:rsidP="00782F9D">
            <w:pPr>
              <w:jc w:val="right"/>
              <w:rPr>
                <w:rFonts w:cs="Calibri"/>
                <w:b/>
                <w:bCs/>
                <w:color w:val="000000" w:themeColor="text1"/>
                <w:sz w:val="12"/>
                <w:szCs w:val="12"/>
              </w:rPr>
            </w:pPr>
            <w:r w:rsidRPr="006B56E5">
              <w:rPr>
                <w:rFonts w:cs="Calibri"/>
                <w:b/>
                <w:bCs/>
                <w:color w:val="000000" w:themeColor="text1"/>
                <w:sz w:val="12"/>
                <w:szCs w:val="12"/>
              </w:rPr>
              <w:t>638 255 257</w:t>
            </w:r>
          </w:p>
        </w:tc>
      </w:tr>
    </w:tbl>
    <w:p w14:paraId="2BE16EB6" w14:textId="77777777" w:rsidR="00647072" w:rsidRDefault="00647072" w:rsidP="00647072">
      <w:pPr>
        <w:jc w:val="both"/>
        <w:rPr>
          <w:rFonts w:cs="Tahoma"/>
          <w:b/>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3909"/>
        <w:gridCol w:w="1418"/>
        <w:gridCol w:w="1418"/>
        <w:gridCol w:w="1418"/>
        <w:gridCol w:w="1418"/>
      </w:tblGrid>
      <w:tr w:rsidR="007976E9" w:rsidRPr="009E13D9" w14:paraId="32E6D698" w14:textId="77777777" w:rsidTr="009605B0">
        <w:trPr>
          <w:trHeight w:val="397"/>
        </w:trPr>
        <w:tc>
          <w:tcPr>
            <w:tcW w:w="3909" w:type="dxa"/>
            <w:tcBorders>
              <w:top w:val="nil"/>
              <w:left w:val="nil"/>
              <w:bottom w:val="nil"/>
              <w:right w:val="single" w:sz="8" w:space="0" w:color="FFFFFF"/>
            </w:tcBorders>
            <w:shd w:val="clear" w:color="000000" w:fill="0077BD"/>
            <w:vAlign w:val="center"/>
            <w:hideMark/>
          </w:tcPr>
          <w:p w14:paraId="41CC3E76" w14:textId="77777777" w:rsidR="007976E9" w:rsidRPr="009E13D9" w:rsidRDefault="007976E9" w:rsidP="007976E9">
            <w:pPr>
              <w:rPr>
                <w:rFonts w:cs="Calibri"/>
                <w:b/>
                <w:bCs/>
                <w:color w:val="FFFFFF"/>
                <w:sz w:val="12"/>
                <w:szCs w:val="12"/>
              </w:rPr>
            </w:pPr>
            <w:r w:rsidRPr="009E13D9">
              <w:rPr>
                <w:rFonts w:cs="Calibri"/>
                <w:b/>
                <w:bCs/>
                <w:color w:val="FFFFFF"/>
                <w:sz w:val="12"/>
                <w:szCs w:val="12"/>
              </w:rPr>
              <w:t>31.12.2018</w:t>
            </w:r>
          </w:p>
        </w:tc>
        <w:tc>
          <w:tcPr>
            <w:tcW w:w="1418" w:type="dxa"/>
            <w:tcBorders>
              <w:top w:val="nil"/>
              <w:left w:val="nil"/>
              <w:bottom w:val="nil"/>
              <w:right w:val="single" w:sz="8" w:space="0" w:color="FFFFFF"/>
            </w:tcBorders>
            <w:shd w:val="clear" w:color="000000" w:fill="0077BD"/>
            <w:vAlign w:val="center"/>
            <w:hideMark/>
          </w:tcPr>
          <w:p w14:paraId="53851227" w14:textId="77777777" w:rsidR="007976E9" w:rsidRPr="009E13D9" w:rsidRDefault="007976E9" w:rsidP="007976E9">
            <w:pPr>
              <w:jc w:val="right"/>
              <w:rPr>
                <w:rFonts w:cs="Calibri"/>
                <w:b/>
                <w:bCs/>
                <w:color w:val="FFFFFF"/>
                <w:sz w:val="12"/>
                <w:szCs w:val="12"/>
              </w:rPr>
            </w:pPr>
            <w:r w:rsidRPr="009E13D9">
              <w:rPr>
                <w:rFonts w:cs="Calibri"/>
                <w:b/>
                <w:bCs/>
                <w:color w:val="FFFFFF"/>
                <w:sz w:val="12"/>
                <w:szCs w:val="12"/>
              </w:rPr>
              <w:t>Do 1 roku</w:t>
            </w:r>
          </w:p>
        </w:tc>
        <w:tc>
          <w:tcPr>
            <w:tcW w:w="1418" w:type="dxa"/>
            <w:tcBorders>
              <w:top w:val="nil"/>
              <w:left w:val="nil"/>
              <w:bottom w:val="nil"/>
              <w:right w:val="single" w:sz="8" w:space="0" w:color="FFFFFF"/>
            </w:tcBorders>
            <w:shd w:val="clear" w:color="000000" w:fill="0077BD"/>
            <w:vAlign w:val="center"/>
            <w:hideMark/>
          </w:tcPr>
          <w:p w14:paraId="3316417A" w14:textId="77777777" w:rsidR="007976E9" w:rsidRPr="009E13D9" w:rsidRDefault="007976E9" w:rsidP="007976E9">
            <w:pPr>
              <w:jc w:val="right"/>
              <w:rPr>
                <w:rFonts w:cs="Calibri"/>
                <w:b/>
                <w:bCs/>
                <w:color w:val="FFFFFF"/>
                <w:sz w:val="12"/>
                <w:szCs w:val="12"/>
              </w:rPr>
            </w:pPr>
            <w:r w:rsidRPr="009E13D9">
              <w:rPr>
                <w:rFonts w:cs="Calibri"/>
                <w:b/>
                <w:bCs/>
                <w:color w:val="FFFFFF"/>
                <w:sz w:val="12"/>
                <w:szCs w:val="12"/>
              </w:rPr>
              <w:t>Powyżej 1 roku do 5 lat</w:t>
            </w:r>
          </w:p>
        </w:tc>
        <w:tc>
          <w:tcPr>
            <w:tcW w:w="1418" w:type="dxa"/>
            <w:tcBorders>
              <w:top w:val="nil"/>
              <w:left w:val="nil"/>
              <w:bottom w:val="nil"/>
              <w:right w:val="single" w:sz="8" w:space="0" w:color="FFFFFF"/>
            </w:tcBorders>
            <w:shd w:val="clear" w:color="000000" w:fill="0077BD"/>
            <w:vAlign w:val="center"/>
            <w:hideMark/>
          </w:tcPr>
          <w:p w14:paraId="77DAC0F4" w14:textId="77777777" w:rsidR="007976E9" w:rsidRPr="009E13D9" w:rsidRDefault="007976E9" w:rsidP="007976E9">
            <w:pPr>
              <w:jc w:val="right"/>
              <w:rPr>
                <w:rFonts w:cs="Calibri"/>
                <w:b/>
                <w:bCs/>
                <w:color w:val="FFFFFF"/>
                <w:sz w:val="12"/>
                <w:szCs w:val="12"/>
              </w:rPr>
            </w:pPr>
            <w:r w:rsidRPr="009E13D9">
              <w:rPr>
                <w:rFonts w:cs="Calibri"/>
                <w:b/>
                <w:bCs/>
                <w:color w:val="FFFFFF"/>
                <w:sz w:val="12"/>
                <w:szCs w:val="12"/>
              </w:rPr>
              <w:t>Powyżej 5 lat</w:t>
            </w:r>
          </w:p>
        </w:tc>
        <w:tc>
          <w:tcPr>
            <w:tcW w:w="1418" w:type="dxa"/>
            <w:tcBorders>
              <w:top w:val="nil"/>
              <w:left w:val="nil"/>
              <w:bottom w:val="nil"/>
              <w:right w:val="nil"/>
            </w:tcBorders>
            <w:shd w:val="clear" w:color="000000" w:fill="0077BD"/>
            <w:vAlign w:val="center"/>
            <w:hideMark/>
          </w:tcPr>
          <w:p w14:paraId="1E295677" w14:textId="77777777" w:rsidR="007976E9" w:rsidRPr="009E13D9" w:rsidRDefault="007976E9" w:rsidP="007976E9">
            <w:pPr>
              <w:jc w:val="right"/>
              <w:rPr>
                <w:rFonts w:cs="Calibri"/>
                <w:b/>
                <w:bCs/>
                <w:color w:val="FFFFFF"/>
                <w:sz w:val="12"/>
                <w:szCs w:val="12"/>
              </w:rPr>
            </w:pPr>
            <w:r w:rsidRPr="009E13D9">
              <w:rPr>
                <w:rFonts w:cs="Calibri"/>
                <w:b/>
                <w:bCs/>
                <w:color w:val="FFFFFF"/>
                <w:sz w:val="12"/>
                <w:szCs w:val="12"/>
              </w:rPr>
              <w:t>Razem</w:t>
            </w:r>
          </w:p>
        </w:tc>
      </w:tr>
      <w:tr w:rsidR="007976E9" w:rsidRPr="00BB7C9E" w14:paraId="0B07A0AB" w14:textId="77777777" w:rsidTr="00011FE0">
        <w:trPr>
          <w:trHeight w:val="255"/>
        </w:trPr>
        <w:tc>
          <w:tcPr>
            <w:tcW w:w="3909" w:type="dxa"/>
            <w:tcBorders>
              <w:top w:val="nil"/>
              <w:left w:val="nil"/>
              <w:bottom w:val="single" w:sz="8" w:space="0" w:color="0077BD"/>
              <w:right w:val="single" w:sz="8" w:space="0" w:color="0077BD"/>
            </w:tcBorders>
            <w:shd w:val="clear" w:color="000000" w:fill="FFFFFF"/>
            <w:noWrap/>
            <w:vAlign w:val="center"/>
            <w:hideMark/>
          </w:tcPr>
          <w:p w14:paraId="5CC34402" w14:textId="77777777" w:rsidR="007976E9" w:rsidRPr="006B56E5" w:rsidRDefault="007976E9" w:rsidP="007976E9">
            <w:pPr>
              <w:rPr>
                <w:rFonts w:cs="Calibri"/>
                <w:b/>
                <w:bCs/>
                <w:color w:val="000000" w:themeColor="text1"/>
                <w:sz w:val="12"/>
                <w:szCs w:val="12"/>
              </w:rPr>
            </w:pPr>
            <w:r w:rsidRPr="006B56E5">
              <w:rPr>
                <w:rFonts w:cs="Calibri"/>
                <w:b/>
                <w:bCs/>
                <w:color w:val="000000" w:themeColor="text1"/>
                <w:sz w:val="12"/>
                <w:szCs w:val="12"/>
              </w:rPr>
              <w:t>1. Zobowiązania warunkowe udzielone i otrzymane</w:t>
            </w:r>
          </w:p>
        </w:tc>
        <w:tc>
          <w:tcPr>
            <w:tcW w:w="1418" w:type="dxa"/>
            <w:tcBorders>
              <w:top w:val="nil"/>
              <w:left w:val="nil"/>
              <w:bottom w:val="single" w:sz="8" w:space="0" w:color="0077BD"/>
              <w:right w:val="single" w:sz="8" w:space="0" w:color="0077BD"/>
            </w:tcBorders>
            <w:shd w:val="clear" w:color="auto" w:fill="auto"/>
            <w:vAlign w:val="center"/>
            <w:hideMark/>
          </w:tcPr>
          <w:p w14:paraId="4A14E2CF"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32 900 774</w:t>
            </w:r>
          </w:p>
        </w:tc>
        <w:tc>
          <w:tcPr>
            <w:tcW w:w="1418" w:type="dxa"/>
            <w:tcBorders>
              <w:top w:val="nil"/>
              <w:left w:val="nil"/>
              <w:bottom w:val="single" w:sz="8" w:space="0" w:color="0077BD"/>
              <w:right w:val="single" w:sz="8" w:space="0" w:color="0077BD"/>
            </w:tcBorders>
            <w:shd w:val="clear" w:color="auto" w:fill="auto"/>
            <w:vAlign w:val="center"/>
            <w:hideMark/>
          </w:tcPr>
          <w:p w14:paraId="1E4DF020"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4 049 191</w:t>
            </w:r>
          </w:p>
        </w:tc>
        <w:tc>
          <w:tcPr>
            <w:tcW w:w="1418" w:type="dxa"/>
            <w:tcBorders>
              <w:top w:val="nil"/>
              <w:left w:val="nil"/>
              <w:bottom w:val="single" w:sz="8" w:space="0" w:color="0077BD"/>
              <w:right w:val="single" w:sz="8" w:space="0" w:color="0077BD"/>
            </w:tcBorders>
            <w:shd w:val="clear" w:color="auto" w:fill="auto"/>
            <w:vAlign w:val="center"/>
            <w:hideMark/>
          </w:tcPr>
          <w:p w14:paraId="2F01B5B2"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3 091 452</w:t>
            </w:r>
          </w:p>
        </w:tc>
        <w:tc>
          <w:tcPr>
            <w:tcW w:w="1418" w:type="dxa"/>
            <w:tcBorders>
              <w:top w:val="nil"/>
              <w:left w:val="nil"/>
              <w:bottom w:val="single" w:sz="8" w:space="0" w:color="0077BD"/>
              <w:right w:val="nil"/>
            </w:tcBorders>
            <w:shd w:val="clear" w:color="auto" w:fill="auto"/>
            <w:vAlign w:val="center"/>
            <w:hideMark/>
          </w:tcPr>
          <w:p w14:paraId="6FA43EBC"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40 041 417</w:t>
            </w:r>
          </w:p>
        </w:tc>
      </w:tr>
      <w:tr w:rsidR="007976E9" w:rsidRPr="00BB7C9E" w14:paraId="183714E5"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3EAB8907" w14:textId="77777777" w:rsidR="007976E9" w:rsidRPr="006B56E5" w:rsidRDefault="007976E9" w:rsidP="007976E9">
            <w:pPr>
              <w:rPr>
                <w:rFonts w:cs="Calibri"/>
                <w:b/>
                <w:bCs/>
                <w:color w:val="000000" w:themeColor="text1"/>
                <w:sz w:val="12"/>
                <w:szCs w:val="12"/>
              </w:rPr>
            </w:pPr>
            <w:r w:rsidRPr="006B56E5">
              <w:rPr>
                <w:rFonts w:cs="Calibri"/>
                <w:b/>
                <w:bCs/>
                <w:color w:val="000000" w:themeColor="text1"/>
                <w:sz w:val="12"/>
                <w:szCs w:val="12"/>
              </w:rPr>
              <w:t xml:space="preserve">    Zobowiązania udzielone</w:t>
            </w:r>
          </w:p>
        </w:tc>
        <w:tc>
          <w:tcPr>
            <w:tcW w:w="1418" w:type="dxa"/>
            <w:tcBorders>
              <w:top w:val="nil"/>
              <w:left w:val="nil"/>
              <w:bottom w:val="single" w:sz="8" w:space="0" w:color="0077BD"/>
              <w:right w:val="single" w:sz="8" w:space="0" w:color="0077BD"/>
            </w:tcBorders>
            <w:shd w:val="clear" w:color="auto" w:fill="auto"/>
            <w:vAlign w:val="center"/>
            <w:hideMark/>
          </w:tcPr>
          <w:p w14:paraId="55B4A144"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31 399 043</w:t>
            </w:r>
          </w:p>
        </w:tc>
        <w:tc>
          <w:tcPr>
            <w:tcW w:w="1418" w:type="dxa"/>
            <w:tcBorders>
              <w:top w:val="nil"/>
              <w:left w:val="nil"/>
              <w:bottom w:val="single" w:sz="8" w:space="0" w:color="0077BD"/>
              <w:right w:val="single" w:sz="8" w:space="0" w:color="0077BD"/>
            </w:tcBorders>
            <w:shd w:val="clear" w:color="auto" w:fill="auto"/>
            <w:vAlign w:val="center"/>
            <w:hideMark/>
          </w:tcPr>
          <w:p w14:paraId="0D9B91BC"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2 307 751</w:t>
            </w:r>
          </w:p>
        </w:tc>
        <w:tc>
          <w:tcPr>
            <w:tcW w:w="1418" w:type="dxa"/>
            <w:tcBorders>
              <w:top w:val="nil"/>
              <w:left w:val="nil"/>
              <w:bottom w:val="single" w:sz="8" w:space="0" w:color="0077BD"/>
              <w:right w:val="single" w:sz="8" w:space="0" w:color="0077BD"/>
            </w:tcBorders>
            <w:shd w:val="clear" w:color="auto" w:fill="auto"/>
            <w:vAlign w:val="center"/>
            <w:hideMark/>
          </w:tcPr>
          <w:p w14:paraId="24329F95"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2 754 629</w:t>
            </w:r>
          </w:p>
        </w:tc>
        <w:tc>
          <w:tcPr>
            <w:tcW w:w="1418" w:type="dxa"/>
            <w:tcBorders>
              <w:top w:val="nil"/>
              <w:left w:val="nil"/>
              <w:bottom w:val="single" w:sz="8" w:space="0" w:color="0077BD"/>
              <w:right w:val="nil"/>
            </w:tcBorders>
            <w:shd w:val="clear" w:color="auto" w:fill="auto"/>
            <w:vAlign w:val="center"/>
            <w:hideMark/>
          </w:tcPr>
          <w:p w14:paraId="4520D924"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36 461 423</w:t>
            </w:r>
          </w:p>
        </w:tc>
      </w:tr>
      <w:tr w:rsidR="007976E9" w:rsidRPr="00BB7C9E" w14:paraId="2687AC34"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14294E5D"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1. Finansowe</w:t>
            </w:r>
          </w:p>
        </w:tc>
        <w:tc>
          <w:tcPr>
            <w:tcW w:w="1418" w:type="dxa"/>
            <w:tcBorders>
              <w:top w:val="nil"/>
              <w:left w:val="nil"/>
              <w:bottom w:val="single" w:sz="8" w:space="0" w:color="0077BD"/>
              <w:right w:val="single" w:sz="8" w:space="0" w:color="0077BD"/>
            </w:tcBorders>
            <w:shd w:val="clear" w:color="auto" w:fill="auto"/>
            <w:vAlign w:val="center"/>
            <w:hideMark/>
          </w:tcPr>
          <w:p w14:paraId="0FB00FF8"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24 303 130</w:t>
            </w:r>
          </w:p>
        </w:tc>
        <w:tc>
          <w:tcPr>
            <w:tcW w:w="1418" w:type="dxa"/>
            <w:tcBorders>
              <w:top w:val="nil"/>
              <w:left w:val="nil"/>
              <w:bottom w:val="single" w:sz="8" w:space="0" w:color="0077BD"/>
              <w:right w:val="single" w:sz="8" w:space="0" w:color="0077BD"/>
            </w:tcBorders>
            <w:shd w:val="clear" w:color="auto" w:fill="auto"/>
            <w:vAlign w:val="center"/>
            <w:hideMark/>
          </w:tcPr>
          <w:p w14:paraId="706149D3"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1 972 322</w:t>
            </w:r>
          </w:p>
        </w:tc>
        <w:tc>
          <w:tcPr>
            <w:tcW w:w="1418" w:type="dxa"/>
            <w:tcBorders>
              <w:top w:val="nil"/>
              <w:left w:val="nil"/>
              <w:bottom w:val="single" w:sz="8" w:space="0" w:color="0077BD"/>
              <w:right w:val="single" w:sz="8" w:space="0" w:color="0077BD"/>
            </w:tcBorders>
            <w:shd w:val="clear" w:color="auto" w:fill="auto"/>
            <w:vAlign w:val="center"/>
            <w:hideMark/>
          </w:tcPr>
          <w:p w14:paraId="5F5A0E59"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1 607 462</w:t>
            </w:r>
          </w:p>
        </w:tc>
        <w:tc>
          <w:tcPr>
            <w:tcW w:w="1418" w:type="dxa"/>
            <w:tcBorders>
              <w:top w:val="nil"/>
              <w:left w:val="nil"/>
              <w:bottom w:val="single" w:sz="8" w:space="0" w:color="0077BD"/>
              <w:right w:val="nil"/>
            </w:tcBorders>
            <w:shd w:val="clear" w:color="auto" w:fill="auto"/>
            <w:vAlign w:val="center"/>
            <w:hideMark/>
          </w:tcPr>
          <w:p w14:paraId="1CE55F59"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27 882 914</w:t>
            </w:r>
          </w:p>
        </w:tc>
      </w:tr>
      <w:tr w:rsidR="007976E9" w:rsidRPr="00BB7C9E" w14:paraId="1FF9792E" w14:textId="77777777" w:rsidTr="00011FE0">
        <w:trPr>
          <w:trHeight w:val="255"/>
        </w:trPr>
        <w:tc>
          <w:tcPr>
            <w:tcW w:w="3909" w:type="dxa"/>
            <w:tcBorders>
              <w:top w:val="nil"/>
              <w:left w:val="nil"/>
              <w:bottom w:val="single" w:sz="4" w:space="0" w:color="0077BD"/>
              <w:right w:val="single" w:sz="8" w:space="0" w:color="0077BD"/>
            </w:tcBorders>
            <w:shd w:val="clear" w:color="auto" w:fill="auto"/>
            <w:vAlign w:val="center"/>
            <w:hideMark/>
          </w:tcPr>
          <w:p w14:paraId="3DE61CAF" w14:textId="77777777" w:rsidR="007976E9" w:rsidRPr="006B56E5" w:rsidRDefault="007976E9" w:rsidP="007976E9">
            <w:pPr>
              <w:ind w:firstLineChars="200" w:firstLine="240"/>
              <w:rPr>
                <w:rFonts w:cs="Calibri"/>
                <w:color w:val="000000" w:themeColor="text1"/>
                <w:sz w:val="12"/>
                <w:szCs w:val="12"/>
              </w:rPr>
            </w:pPr>
            <w:r w:rsidRPr="006B56E5">
              <w:rPr>
                <w:rFonts w:cs="Calibri"/>
                <w:color w:val="000000" w:themeColor="text1"/>
                <w:sz w:val="12"/>
                <w:szCs w:val="12"/>
              </w:rPr>
              <w:t>a) zobowiązania do udzielenia kredytu</w:t>
            </w:r>
          </w:p>
        </w:tc>
        <w:tc>
          <w:tcPr>
            <w:tcW w:w="1418" w:type="dxa"/>
            <w:tcBorders>
              <w:top w:val="nil"/>
              <w:left w:val="nil"/>
              <w:bottom w:val="single" w:sz="4" w:space="0" w:color="0077BD"/>
              <w:right w:val="single" w:sz="8" w:space="0" w:color="0077BD"/>
            </w:tcBorders>
            <w:shd w:val="clear" w:color="auto" w:fill="auto"/>
            <w:vAlign w:val="center"/>
            <w:hideMark/>
          </w:tcPr>
          <w:p w14:paraId="3FE73E97"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24 253 840</w:t>
            </w:r>
          </w:p>
        </w:tc>
        <w:tc>
          <w:tcPr>
            <w:tcW w:w="1418" w:type="dxa"/>
            <w:tcBorders>
              <w:top w:val="nil"/>
              <w:left w:val="nil"/>
              <w:bottom w:val="single" w:sz="4" w:space="0" w:color="0077BD"/>
              <w:right w:val="single" w:sz="8" w:space="0" w:color="0077BD"/>
            </w:tcBorders>
            <w:shd w:val="clear" w:color="auto" w:fill="auto"/>
            <w:vAlign w:val="center"/>
            <w:hideMark/>
          </w:tcPr>
          <w:p w14:paraId="2558F89B"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1 967 925</w:t>
            </w:r>
          </w:p>
        </w:tc>
        <w:tc>
          <w:tcPr>
            <w:tcW w:w="1418" w:type="dxa"/>
            <w:tcBorders>
              <w:top w:val="nil"/>
              <w:left w:val="nil"/>
              <w:bottom w:val="single" w:sz="4" w:space="0" w:color="0077BD"/>
              <w:right w:val="single" w:sz="8" w:space="0" w:color="0077BD"/>
            </w:tcBorders>
            <w:shd w:val="clear" w:color="auto" w:fill="auto"/>
            <w:vAlign w:val="center"/>
            <w:hideMark/>
          </w:tcPr>
          <w:p w14:paraId="61460C4D"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1 605 551</w:t>
            </w:r>
          </w:p>
        </w:tc>
        <w:tc>
          <w:tcPr>
            <w:tcW w:w="1418" w:type="dxa"/>
            <w:tcBorders>
              <w:top w:val="nil"/>
              <w:left w:val="nil"/>
              <w:bottom w:val="single" w:sz="4" w:space="0" w:color="0077BD"/>
              <w:right w:val="nil"/>
            </w:tcBorders>
            <w:shd w:val="clear" w:color="auto" w:fill="auto"/>
            <w:vAlign w:val="center"/>
            <w:hideMark/>
          </w:tcPr>
          <w:p w14:paraId="5752D670"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27 827 316</w:t>
            </w:r>
          </w:p>
        </w:tc>
      </w:tr>
      <w:tr w:rsidR="007976E9" w:rsidRPr="00BB7C9E" w14:paraId="3FAF8223" w14:textId="77777777" w:rsidTr="00011FE0">
        <w:trPr>
          <w:trHeight w:val="255"/>
        </w:trPr>
        <w:tc>
          <w:tcPr>
            <w:tcW w:w="3909" w:type="dxa"/>
            <w:tcBorders>
              <w:top w:val="nil"/>
              <w:left w:val="nil"/>
              <w:bottom w:val="single" w:sz="8" w:space="0" w:color="0070C0"/>
              <w:right w:val="single" w:sz="8" w:space="0" w:color="0077BD"/>
            </w:tcBorders>
            <w:shd w:val="clear" w:color="auto" w:fill="auto"/>
            <w:vAlign w:val="center"/>
            <w:hideMark/>
          </w:tcPr>
          <w:p w14:paraId="40AAA22B" w14:textId="77777777" w:rsidR="007976E9" w:rsidRPr="006B56E5" w:rsidRDefault="007976E9" w:rsidP="007976E9">
            <w:pPr>
              <w:ind w:firstLineChars="200" w:firstLine="240"/>
              <w:rPr>
                <w:rFonts w:cs="Calibri"/>
                <w:color w:val="000000" w:themeColor="text1"/>
                <w:sz w:val="12"/>
                <w:szCs w:val="12"/>
              </w:rPr>
            </w:pPr>
            <w:r w:rsidRPr="006B56E5">
              <w:rPr>
                <w:rFonts w:cs="Calibri"/>
                <w:color w:val="000000" w:themeColor="text1"/>
                <w:sz w:val="12"/>
                <w:szCs w:val="12"/>
              </w:rPr>
              <w:t>b) pozostałe udzielone zobowiązania finansowe</w:t>
            </w:r>
          </w:p>
        </w:tc>
        <w:tc>
          <w:tcPr>
            <w:tcW w:w="1418" w:type="dxa"/>
            <w:tcBorders>
              <w:top w:val="nil"/>
              <w:left w:val="nil"/>
              <w:bottom w:val="single" w:sz="8" w:space="0" w:color="0070C0"/>
              <w:right w:val="single" w:sz="8" w:space="0" w:color="0077BD"/>
            </w:tcBorders>
            <w:shd w:val="clear" w:color="auto" w:fill="auto"/>
            <w:vAlign w:val="center"/>
            <w:hideMark/>
          </w:tcPr>
          <w:p w14:paraId="6D1C17E5"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49 290</w:t>
            </w:r>
          </w:p>
        </w:tc>
        <w:tc>
          <w:tcPr>
            <w:tcW w:w="1418" w:type="dxa"/>
            <w:tcBorders>
              <w:top w:val="nil"/>
              <w:left w:val="nil"/>
              <w:bottom w:val="single" w:sz="8" w:space="0" w:color="0070C0"/>
              <w:right w:val="single" w:sz="8" w:space="0" w:color="0077BD"/>
            </w:tcBorders>
            <w:shd w:val="clear" w:color="auto" w:fill="auto"/>
            <w:vAlign w:val="center"/>
            <w:hideMark/>
          </w:tcPr>
          <w:p w14:paraId="69CDA8F2"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4 397</w:t>
            </w:r>
          </w:p>
        </w:tc>
        <w:tc>
          <w:tcPr>
            <w:tcW w:w="1418" w:type="dxa"/>
            <w:tcBorders>
              <w:top w:val="nil"/>
              <w:left w:val="nil"/>
              <w:bottom w:val="single" w:sz="8" w:space="0" w:color="0070C0"/>
              <w:right w:val="single" w:sz="8" w:space="0" w:color="0077BD"/>
            </w:tcBorders>
            <w:shd w:val="clear" w:color="auto" w:fill="auto"/>
            <w:vAlign w:val="center"/>
            <w:hideMark/>
          </w:tcPr>
          <w:p w14:paraId="11D73664"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1 911</w:t>
            </w:r>
          </w:p>
        </w:tc>
        <w:tc>
          <w:tcPr>
            <w:tcW w:w="1418" w:type="dxa"/>
            <w:tcBorders>
              <w:top w:val="nil"/>
              <w:left w:val="nil"/>
              <w:bottom w:val="single" w:sz="8" w:space="0" w:color="0070C0"/>
              <w:right w:val="nil"/>
            </w:tcBorders>
            <w:shd w:val="clear" w:color="auto" w:fill="auto"/>
            <w:vAlign w:val="center"/>
            <w:hideMark/>
          </w:tcPr>
          <w:p w14:paraId="084E5214"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55 598</w:t>
            </w:r>
          </w:p>
        </w:tc>
      </w:tr>
      <w:tr w:rsidR="007976E9" w:rsidRPr="00BB7C9E" w14:paraId="4DDCA1EC" w14:textId="77777777" w:rsidTr="00011FE0">
        <w:trPr>
          <w:trHeight w:val="255"/>
        </w:trPr>
        <w:tc>
          <w:tcPr>
            <w:tcW w:w="3909" w:type="dxa"/>
            <w:tcBorders>
              <w:top w:val="nil"/>
              <w:left w:val="nil"/>
              <w:bottom w:val="single" w:sz="8" w:space="0" w:color="0070C0"/>
              <w:right w:val="single" w:sz="8" w:space="0" w:color="0077BD"/>
            </w:tcBorders>
            <w:shd w:val="clear" w:color="auto" w:fill="auto"/>
            <w:vAlign w:val="center"/>
            <w:hideMark/>
          </w:tcPr>
          <w:p w14:paraId="4B204D62"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2. Gwarancje i inne produkty finansowe</w:t>
            </w:r>
          </w:p>
        </w:tc>
        <w:tc>
          <w:tcPr>
            <w:tcW w:w="1418" w:type="dxa"/>
            <w:tcBorders>
              <w:top w:val="nil"/>
              <w:left w:val="nil"/>
              <w:bottom w:val="single" w:sz="8" w:space="0" w:color="0070C0"/>
              <w:right w:val="single" w:sz="8" w:space="0" w:color="0077BD"/>
            </w:tcBorders>
            <w:shd w:val="clear" w:color="auto" w:fill="auto"/>
            <w:vAlign w:val="center"/>
            <w:hideMark/>
          </w:tcPr>
          <w:p w14:paraId="31458C2F"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7 058 837</w:t>
            </w:r>
          </w:p>
        </w:tc>
        <w:tc>
          <w:tcPr>
            <w:tcW w:w="1418" w:type="dxa"/>
            <w:tcBorders>
              <w:top w:val="nil"/>
              <w:left w:val="nil"/>
              <w:bottom w:val="single" w:sz="8" w:space="0" w:color="0070C0"/>
              <w:right w:val="single" w:sz="8" w:space="0" w:color="0077BD"/>
            </w:tcBorders>
            <w:shd w:val="clear" w:color="auto" w:fill="auto"/>
            <w:vAlign w:val="center"/>
            <w:hideMark/>
          </w:tcPr>
          <w:p w14:paraId="541FA9E9"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335 429</w:t>
            </w:r>
          </w:p>
        </w:tc>
        <w:tc>
          <w:tcPr>
            <w:tcW w:w="1418" w:type="dxa"/>
            <w:tcBorders>
              <w:top w:val="nil"/>
              <w:left w:val="nil"/>
              <w:bottom w:val="single" w:sz="8" w:space="0" w:color="0070C0"/>
              <w:right w:val="single" w:sz="8" w:space="0" w:color="0077BD"/>
            </w:tcBorders>
            <w:shd w:val="clear" w:color="auto" w:fill="auto"/>
            <w:vAlign w:val="center"/>
            <w:hideMark/>
          </w:tcPr>
          <w:p w14:paraId="5DC62A62"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1 147 167</w:t>
            </w:r>
          </w:p>
        </w:tc>
        <w:tc>
          <w:tcPr>
            <w:tcW w:w="1418" w:type="dxa"/>
            <w:tcBorders>
              <w:top w:val="nil"/>
              <w:left w:val="nil"/>
              <w:bottom w:val="single" w:sz="8" w:space="0" w:color="0070C0"/>
              <w:right w:val="nil"/>
            </w:tcBorders>
            <w:shd w:val="clear" w:color="auto" w:fill="auto"/>
            <w:vAlign w:val="center"/>
            <w:hideMark/>
          </w:tcPr>
          <w:p w14:paraId="1654CA2B"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8 541 433</w:t>
            </w:r>
          </w:p>
        </w:tc>
      </w:tr>
      <w:tr w:rsidR="007976E9" w:rsidRPr="00BB7C9E" w14:paraId="2F2240FC" w14:textId="77777777" w:rsidTr="00011FE0">
        <w:trPr>
          <w:trHeight w:val="255"/>
        </w:trPr>
        <w:tc>
          <w:tcPr>
            <w:tcW w:w="3909" w:type="dxa"/>
            <w:tcBorders>
              <w:top w:val="nil"/>
              <w:left w:val="nil"/>
              <w:bottom w:val="nil"/>
              <w:right w:val="single" w:sz="8" w:space="0" w:color="0077BD"/>
            </w:tcBorders>
            <w:shd w:val="clear" w:color="auto" w:fill="auto"/>
            <w:vAlign w:val="center"/>
            <w:hideMark/>
          </w:tcPr>
          <w:p w14:paraId="243CAD75" w14:textId="77777777" w:rsidR="007976E9" w:rsidRPr="006B56E5" w:rsidRDefault="007976E9" w:rsidP="007976E9">
            <w:pPr>
              <w:ind w:firstLineChars="200" w:firstLine="240"/>
              <w:rPr>
                <w:rFonts w:cs="Calibri"/>
                <w:color w:val="000000" w:themeColor="text1"/>
                <w:sz w:val="12"/>
                <w:szCs w:val="12"/>
              </w:rPr>
            </w:pPr>
            <w:r w:rsidRPr="006B56E5">
              <w:rPr>
                <w:rFonts w:cs="Calibri"/>
                <w:color w:val="000000" w:themeColor="text1"/>
                <w:sz w:val="12"/>
                <w:szCs w:val="12"/>
              </w:rPr>
              <w:t>a) gwarancje i akredytywy stand by</w:t>
            </w:r>
          </w:p>
        </w:tc>
        <w:tc>
          <w:tcPr>
            <w:tcW w:w="1418" w:type="dxa"/>
            <w:tcBorders>
              <w:top w:val="nil"/>
              <w:left w:val="nil"/>
              <w:bottom w:val="nil"/>
              <w:right w:val="single" w:sz="8" w:space="0" w:color="0077BD"/>
            </w:tcBorders>
            <w:shd w:val="clear" w:color="auto" w:fill="auto"/>
            <w:vAlign w:val="center"/>
            <w:hideMark/>
          </w:tcPr>
          <w:p w14:paraId="46D7295C"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7 058 837</w:t>
            </w:r>
          </w:p>
        </w:tc>
        <w:tc>
          <w:tcPr>
            <w:tcW w:w="1418" w:type="dxa"/>
            <w:tcBorders>
              <w:top w:val="nil"/>
              <w:left w:val="nil"/>
              <w:bottom w:val="nil"/>
              <w:right w:val="single" w:sz="8" w:space="0" w:color="0077BD"/>
            </w:tcBorders>
            <w:shd w:val="clear" w:color="auto" w:fill="auto"/>
            <w:vAlign w:val="center"/>
            <w:hideMark/>
          </w:tcPr>
          <w:p w14:paraId="475A8FAE"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335 429</w:t>
            </w:r>
          </w:p>
        </w:tc>
        <w:tc>
          <w:tcPr>
            <w:tcW w:w="1418" w:type="dxa"/>
            <w:tcBorders>
              <w:top w:val="nil"/>
              <w:left w:val="nil"/>
              <w:bottom w:val="nil"/>
              <w:right w:val="single" w:sz="8" w:space="0" w:color="0077BD"/>
            </w:tcBorders>
            <w:shd w:val="clear" w:color="auto" w:fill="auto"/>
            <w:vAlign w:val="center"/>
            <w:hideMark/>
          </w:tcPr>
          <w:p w14:paraId="7846D735"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1 147 167</w:t>
            </w:r>
          </w:p>
        </w:tc>
        <w:tc>
          <w:tcPr>
            <w:tcW w:w="1418" w:type="dxa"/>
            <w:tcBorders>
              <w:top w:val="nil"/>
              <w:left w:val="nil"/>
              <w:bottom w:val="nil"/>
              <w:right w:val="nil"/>
            </w:tcBorders>
            <w:shd w:val="clear" w:color="auto" w:fill="auto"/>
            <w:vAlign w:val="center"/>
            <w:hideMark/>
          </w:tcPr>
          <w:p w14:paraId="50BAF3A7"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8 541 433</w:t>
            </w:r>
          </w:p>
        </w:tc>
      </w:tr>
      <w:tr w:rsidR="007976E9" w:rsidRPr="00BB7C9E" w14:paraId="1C5E9854" w14:textId="77777777" w:rsidTr="00011FE0">
        <w:trPr>
          <w:trHeight w:val="255"/>
        </w:trPr>
        <w:tc>
          <w:tcPr>
            <w:tcW w:w="3909" w:type="dxa"/>
            <w:tcBorders>
              <w:top w:val="single" w:sz="8" w:space="0" w:color="0077BD"/>
              <w:left w:val="nil"/>
              <w:bottom w:val="single" w:sz="8" w:space="0" w:color="0077BD"/>
              <w:right w:val="single" w:sz="8" w:space="0" w:color="0077BD"/>
            </w:tcBorders>
            <w:shd w:val="clear" w:color="auto" w:fill="auto"/>
            <w:vAlign w:val="center"/>
            <w:hideMark/>
          </w:tcPr>
          <w:p w14:paraId="5023CBED"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3. Pozostałe zobowiązania</w:t>
            </w:r>
          </w:p>
        </w:tc>
        <w:tc>
          <w:tcPr>
            <w:tcW w:w="1418" w:type="dxa"/>
            <w:tcBorders>
              <w:top w:val="single" w:sz="8" w:space="0" w:color="0077BD"/>
              <w:left w:val="nil"/>
              <w:bottom w:val="nil"/>
              <w:right w:val="single" w:sz="8" w:space="0" w:color="0077BD"/>
            </w:tcBorders>
            <w:shd w:val="clear" w:color="auto" w:fill="auto"/>
            <w:vAlign w:val="center"/>
            <w:hideMark/>
          </w:tcPr>
          <w:p w14:paraId="08532EC6"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37 076</w:t>
            </w:r>
          </w:p>
        </w:tc>
        <w:tc>
          <w:tcPr>
            <w:tcW w:w="1418" w:type="dxa"/>
            <w:tcBorders>
              <w:top w:val="single" w:sz="8" w:space="0" w:color="0077BD"/>
              <w:left w:val="nil"/>
              <w:bottom w:val="nil"/>
              <w:right w:val="single" w:sz="8" w:space="0" w:color="0077BD"/>
            </w:tcBorders>
            <w:shd w:val="clear" w:color="auto" w:fill="auto"/>
            <w:vAlign w:val="center"/>
            <w:hideMark/>
          </w:tcPr>
          <w:p w14:paraId="7A361614"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single" w:sz="8" w:space="0" w:color="0077BD"/>
              <w:left w:val="nil"/>
              <w:bottom w:val="nil"/>
              <w:right w:val="single" w:sz="8" w:space="0" w:color="0077BD"/>
            </w:tcBorders>
            <w:shd w:val="clear" w:color="auto" w:fill="auto"/>
            <w:vAlign w:val="center"/>
            <w:hideMark/>
          </w:tcPr>
          <w:p w14:paraId="07F9E74B"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single" w:sz="8" w:space="0" w:color="0077BD"/>
              <w:left w:val="nil"/>
              <w:bottom w:val="nil"/>
              <w:right w:val="nil"/>
            </w:tcBorders>
            <w:shd w:val="clear" w:color="auto" w:fill="auto"/>
            <w:vAlign w:val="center"/>
            <w:hideMark/>
          </w:tcPr>
          <w:p w14:paraId="192ADCA0"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37 076</w:t>
            </w:r>
          </w:p>
        </w:tc>
      </w:tr>
      <w:tr w:rsidR="007976E9" w:rsidRPr="00BB7C9E" w14:paraId="267E65A9"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74069CD0" w14:textId="77777777" w:rsidR="007976E9" w:rsidRPr="006B56E5" w:rsidRDefault="007976E9" w:rsidP="007976E9">
            <w:pPr>
              <w:rPr>
                <w:rFonts w:cs="Calibri"/>
                <w:b/>
                <w:bCs/>
                <w:color w:val="000000" w:themeColor="text1"/>
                <w:sz w:val="12"/>
                <w:szCs w:val="12"/>
              </w:rPr>
            </w:pPr>
            <w:r w:rsidRPr="006B56E5">
              <w:rPr>
                <w:rFonts w:cs="Calibri"/>
                <w:b/>
                <w:bCs/>
                <w:color w:val="000000" w:themeColor="text1"/>
                <w:sz w:val="12"/>
                <w:szCs w:val="12"/>
              </w:rPr>
              <w:t xml:space="preserve">    Zobowiązania otrzymane</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3CBAD0A6"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1 501 731</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65E33829"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1 741 440</w:t>
            </w:r>
          </w:p>
        </w:tc>
        <w:tc>
          <w:tcPr>
            <w:tcW w:w="1418" w:type="dxa"/>
            <w:tcBorders>
              <w:top w:val="single" w:sz="8" w:space="0" w:color="0077BD"/>
              <w:left w:val="nil"/>
              <w:bottom w:val="single" w:sz="8" w:space="0" w:color="0077BD"/>
              <w:right w:val="single" w:sz="8" w:space="0" w:color="0077BD"/>
            </w:tcBorders>
            <w:shd w:val="clear" w:color="auto" w:fill="auto"/>
            <w:vAlign w:val="center"/>
            <w:hideMark/>
          </w:tcPr>
          <w:p w14:paraId="58EE5E26"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336 823</w:t>
            </w:r>
          </w:p>
        </w:tc>
        <w:tc>
          <w:tcPr>
            <w:tcW w:w="1418" w:type="dxa"/>
            <w:tcBorders>
              <w:top w:val="single" w:sz="8" w:space="0" w:color="0077BD"/>
              <w:left w:val="nil"/>
              <w:bottom w:val="single" w:sz="8" w:space="0" w:color="0077BD"/>
              <w:right w:val="nil"/>
            </w:tcBorders>
            <w:shd w:val="clear" w:color="auto" w:fill="auto"/>
            <w:vAlign w:val="center"/>
            <w:hideMark/>
          </w:tcPr>
          <w:p w14:paraId="4B9ECF2A"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3 579 994</w:t>
            </w:r>
          </w:p>
        </w:tc>
      </w:tr>
      <w:tr w:rsidR="007976E9" w:rsidRPr="00BB7C9E" w14:paraId="4C66CEB8" w14:textId="77777777" w:rsidTr="00011FE0">
        <w:trPr>
          <w:trHeight w:val="255"/>
        </w:trPr>
        <w:tc>
          <w:tcPr>
            <w:tcW w:w="3909" w:type="dxa"/>
            <w:tcBorders>
              <w:top w:val="nil"/>
              <w:left w:val="nil"/>
              <w:bottom w:val="nil"/>
              <w:right w:val="single" w:sz="8" w:space="0" w:color="0077BD"/>
            </w:tcBorders>
            <w:shd w:val="clear" w:color="auto" w:fill="auto"/>
            <w:vAlign w:val="center"/>
            <w:hideMark/>
          </w:tcPr>
          <w:p w14:paraId="5A0ED158"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 finansowe</w:t>
            </w:r>
          </w:p>
        </w:tc>
        <w:tc>
          <w:tcPr>
            <w:tcW w:w="1418" w:type="dxa"/>
            <w:tcBorders>
              <w:top w:val="nil"/>
              <w:left w:val="nil"/>
              <w:bottom w:val="nil"/>
              <w:right w:val="single" w:sz="8" w:space="0" w:color="0077BD"/>
            </w:tcBorders>
            <w:shd w:val="clear" w:color="auto" w:fill="auto"/>
            <w:vAlign w:val="center"/>
            <w:hideMark/>
          </w:tcPr>
          <w:p w14:paraId="05820BB7"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nil"/>
              <w:left w:val="nil"/>
              <w:bottom w:val="nil"/>
              <w:right w:val="single" w:sz="8" w:space="0" w:color="0077BD"/>
            </w:tcBorders>
            <w:shd w:val="clear" w:color="auto" w:fill="auto"/>
            <w:vAlign w:val="center"/>
            <w:hideMark/>
          </w:tcPr>
          <w:p w14:paraId="690830C9"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381 660</w:t>
            </w:r>
          </w:p>
        </w:tc>
        <w:tc>
          <w:tcPr>
            <w:tcW w:w="1418" w:type="dxa"/>
            <w:tcBorders>
              <w:top w:val="nil"/>
              <w:left w:val="nil"/>
              <w:bottom w:val="nil"/>
              <w:right w:val="single" w:sz="8" w:space="0" w:color="0077BD"/>
            </w:tcBorders>
            <w:shd w:val="clear" w:color="auto" w:fill="auto"/>
            <w:vAlign w:val="center"/>
            <w:hideMark/>
          </w:tcPr>
          <w:p w14:paraId="7A448FE5"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w:t>
            </w:r>
          </w:p>
        </w:tc>
        <w:tc>
          <w:tcPr>
            <w:tcW w:w="1418" w:type="dxa"/>
            <w:tcBorders>
              <w:top w:val="nil"/>
              <w:left w:val="nil"/>
              <w:bottom w:val="nil"/>
              <w:right w:val="nil"/>
            </w:tcBorders>
            <w:shd w:val="clear" w:color="auto" w:fill="auto"/>
            <w:vAlign w:val="center"/>
            <w:hideMark/>
          </w:tcPr>
          <w:p w14:paraId="33512E37"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381 660</w:t>
            </w:r>
          </w:p>
        </w:tc>
      </w:tr>
      <w:tr w:rsidR="007976E9" w:rsidRPr="00BB7C9E" w14:paraId="342AC3C2" w14:textId="77777777" w:rsidTr="00011FE0">
        <w:trPr>
          <w:trHeight w:val="255"/>
        </w:trPr>
        <w:tc>
          <w:tcPr>
            <w:tcW w:w="3909" w:type="dxa"/>
            <w:tcBorders>
              <w:top w:val="single" w:sz="4" w:space="0" w:color="0077BD"/>
              <w:left w:val="nil"/>
              <w:bottom w:val="single" w:sz="6" w:space="0" w:color="0077BD"/>
              <w:right w:val="single" w:sz="8" w:space="0" w:color="0077BD"/>
            </w:tcBorders>
            <w:shd w:val="clear" w:color="auto" w:fill="auto"/>
            <w:vAlign w:val="center"/>
            <w:hideMark/>
          </w:tcPr>
          <w:p w14:paraId="1F154169"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 gwarancyjne</w:t>
            </w:r>
          </w:p>
        </w:tc>
        <w:tc>
          <w:tcPr>
            <w:tcW w:w="1418" w:type="dxa"/>
            <w:tcBorders>
              <w:top w:val="single" w:sz="4" w:space="0" w:color="0077BD"/>
              <w:left w:val="nil"/>
              <w:bottom w:val="single" w:sz="6" w:space="0" w:color="0077BD"/>
              <w:right w:val="single" w:sz="8" w:space="0" w:color="0077BD"/>
            </w:tcBorders>
            <w:shd w:val="clear" w:color="auto" w:fill="auto"/>
            <w:vAlign w:val="center"/>
            <w:hideMark/>
          </w:tcPr>
          <w:p w14:paraId="0D7B2773"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1 501 731</w:t>
            </w:r>
          </w:p>
        </w:tc>
        <w:tc>
          <w:tcPr>
            <w:tcW w:w="1418" w:type="dxa"/>
            <w:tcBorders>
              <w:top w:val="single" w:sz="4" w:space="0" w:color="0077BD"/>
              <w:left w:val="nil"/>
              <w:bottom w:val="single" w:sz="6" w:space="0" w:color="0077BD"/>
              <w:right w:val="single" w:sz="8" w:space="0" w:color="0077BD"/>
            </w:tcBorders>
            <w:shd w:val="clear" w:color="auto" w:fill="auto"/>
            <w:vAlign w:val="center"/>
            <w:hideMark/>
          </w:tcPr>
          <w:p w14:paraId="48A51322"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1 359 780</w:t>
            </w:r>
          </w:p>
        </w:tc>
        <w:tc>
          <w:tcPr>
            <w:tcW w:w="1418" w:type="dxa"/>
            <w:tcBorders>
              <w:top w:val="single" w:sz="4" w:space="0" w:color="0077BD"/>
              <w:left w:val="nil"/>
              <w:bottom w:val="single" w:sz="6" w:space="0" w:color="0077BD"/>
              <w:right w:val="single" w:sz="8" w:space="0" w:color="0077BD"/>
            </w:tcBorders>
            <w:shd w:val="clear" w:color="auto" w:fill="auto"/>
            <w:vAlign w:val="center"/>
            <w:hideMark/>
          </w:tcPr>
          <w:p w14:paraId="7FDBED91"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336 823</w:t>
            </w:r>
          </w:p>
        </w:tc>
        <w:tc>
          <w:tcPr>
            <w:tcW w:w="1418" w:type="dxa"/>
            <w:tcBorders>
              <w:top w:val="single" w:sz="4" w:space="0" w:color="0077BD"/>
              <w:left w:val="nil"/>
              <w:bottom w:val="single" w:sz="6" w:space="0" w:color="0077BD"/>
              <w:right w:val="nil"/>
            </w:tcBorders>
            <w:shd w:val="clear" w:color="auto" w:fill="auto"/>
            <w:vAlign w:val="center"/>
            <w:hideMark/>
          </w:tcPr>
          <w:p w14:paraId="3335DB4C"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3 198 334</w:t>
            </w:r>
          </w:p>
        </w:tc>
      </w:tr>
      <w:tr w:rsidR="007976E9" w:rsidRPr="00BB7C9E" w14:paraId="20765DB6" w14:textId="77777777" w:rsidTr="00782F9D">
        <w:trPr>
          <w:trHeight w:val="397"/>
        </w:trPr>
        <w:tc>
          <w:tcPr>
            <w:tcW w:w="3909" w:type="dxa"/>
            <w:tcBorders>
              <w:top w:val="single" w:sz="6" w:space="0" w:color="0077BD"/>
              <w:left w:val="nil"/>
              <w:bottom w:val="single" w:sz="8" w:space="0" w:color="0077BD"/>
              <w:right w:val="single" w:sz="8" w:space="0" w:color="0077BD"/>
            </w:tcBorders>
            <w:shd w:val="clear" w:color="000000" w:fill="FFFFFF"/>
            <w:vAlign w:val="center"/>
            <w:hideMark/>
          </w:tcPr>
          <w:p w14:paraId="67A4B873" w14:textId="64DC54D8" w:rsidR="007976E9" w:rsidRPr="006B56E5" w:rsidRDefault="007976E9" w:rsidP="002E348E">
            <w:pPr>
              <w:rPr>
                <w:rFonts w:cs="Calibri"/>
                <w:b/>
                <w:bCs/>
                <w:color w:val="000000" w:themeColor="text1"/>
                <w:sz w:val="12"/>
                <w:szCs w:val="12"/>
              </w:rPr>
            </w:pPr>
            <w:r w:rsidRPr="006B56E5">
              <w:rPr>
                <w:rFonts w:cs="Calibri"/>
                <w:b/>
                <w:bCs/>
                <w:color w:val="000000" w:themeColor="text1"/>
                <w:sz w:val="12"/>
                <w:szCs w:val="12"/>
              </w:rPr>
              <w:t>2. Pochodne instrumenty fi</w:t>
            </w:r>
            <w:r w:rsidR="002E348E" w:rsidRPr="006B56E5">
              <w:rPr>
                <w:rFonts w:cs="Calibri"/>
                <w:b/>
                <w:bCs/>
                <w:color w:val="000000" w:themeColor="text1"/>
                <w:sz w:val="12"/>
                <w:szCs w:val="12"/>
              </w:rPr>
              <w:t xml:space="preserve">nansowe </w:t>
            </w:r>
            <w:r w:rsidR="002E348E" w:rsidRPr="006B56E5">
              <w:rPr>
                <w:rFonts w:cs="Calibri"/>
                <w:b/>
                <w:bCs/>
                <w:color w:val="000000" w:themeColor="text1"/>
                <w:sz w:val="12"/>
                <w:szCs w:val="12"/>
              </w:rPr>
              <w:br/>
              <w:t xml:space="preserve">   (wartość  nominalna </w:t>
            </w:r>
            <w:r w:rsidRPr="006B56E5">
              <w:rPr>
                <w:rFonts w:cs="Calibri"/>
                <w:b/>
                <w:bCs/>
                <w:color w:val="000000" w:themeColor="text1"/>
                <w:sz w:val="12"/>
                <w:szCs w:val="12"/>
              </w:rPr>
              <w:t>kontraktów)</w:t>
            </w:r>
          </w:p>
        </w:tc>
        <w:tc>
          <w:tcPr>
            <w:tcW w:w="1418" w:type="dxa"/>
            <w:tcBorders>
              <w:top w:val="single" w:sz="6" w:space="0" w:color="0077BD"/>
              <w:left w:val="nil"/>
              <w:bottom w:val="single" w:sz="8" w:space="0" w:color="0077BD"/>
              <w:right w:val="single" w:sz="8" w:space="0" w:color="0077BD"/>
            </w:tcBorders>
            <w:shd w:val="clear" w:color="auto" w:fill="auto"/>
            <w:vAlign w:val="center"/>
            <w:hideMark/>
          </w:tcPr>
          <w:p w14:paraId="3544FEDA"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162 822 205</w:t>
            </w:r>
          </w:p>
        </w:tc>
        <w:tc>
          <w:tcPr>
            <w:tcW w:w="1418" w:type="dxa"/>
            <w:tcBorders>
              <w:top w:val="single" w:sz="6" w:space="0" w:color="0077BD"/>
              <w:left w:val="nil"/>
              <w:bottom w:val="single" w:sz="8" w:space="0" w:color="0077BD"/>
              <w:right w:val="single" w:sz="8" w:space="0" w:color="0077BD"/>
            </w:tcBorders>
            <w:shd w:val="clear" w:color="auto" w:fill="auto"/>
            <w:vAlign w:val="center"/>
            <w:hideMark/>
          </w:tcPr>
          <w:p w14:paraId="32F1BA54"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312 067 363</w:t>
            </w:r>
          </w:p>
        </w:tc>
        <w:tc>
          <w:tcPr>
            <w:tcW w:w="1418" w:type="dxa"/>
            <w:tcBorders>
              <w:top w:val="single" w:sz="6" w:space="0" w:color="0077BD"/>
              <w:left w:val="nil"/>
              <w:bottom w:val="single" w:sz="8" w:space="0" w:color="0077BD"/>
              <w:right w:val="single" w:sz="8" w:space="0" w:color="0077BD"/>
            </w:tcBorders>
            <w:shd w:val="clear" w:color="auto" w:fill="auto"/>
            <w:vAlign w:val="center"/>
            <w:hideMark/>
          </w:tcPr>
          <w:p w14:paraId="7E85E6C7"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42 533 604</w:t>
            </w:r>
          </w:p>
        </w:tc>
        <w:tc>
          <w:tcPr>
            <w:tcW w:w="1418" w:type="dxa"/>
            <w:tcBorders>
              <w:top w:val="single" w:sz="6" w:space="0" w:color="0077BD"/>
              <w:left w:val="nil"/>
              <w:bottom w:val="single" w:sz="8" w:space="0" w:color="0077BD"/>
              <w:right w:val="nil"/>
            </w:tcBorders>
            <w:shd w:val="clear" w:color="auto" w:fill="auto"/>
            <w:vAlign w:val="center"/>
            <w:hideMark/>
          </w:tcPr>
          <w:p w14:paraId="71F35E52"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517 423 172</w:t>
            </w:r>
          </w:p>
        </w:tc>
      </w:tr>
      <w:tr w:rsidR="007976E9" w:rsidRPr="00BB7C9E" w14:paraId="2895D56B" w14:textId="77777777" w:rsidTr="00011FE0">
        <w:trPr>
          <w:trHeight w:val="255"/>
        </w:trPr>
        <w:tc>
          <w:tcPr>
            <w:tcW w:w="3909" w:type="dxa"/>
            <w:tcBorders>
              <w:top w:val="nil"/>
              <w:left w:val="nil"/>
              <w:bottom w:val="nil"/>
              <w:right w:val="single" w:sz="8" w:space="0" w:color="0077BD"/>
            </w:tcBorders>
            <w:shd w:val="clear" w:color="auto" w:fill="auto"/>
            <w:vAlign w:val="center"/>
            <w:hideMark/>
          </w:tcPr>
          <w:p w14:paraId="77F5D493"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Instrumenty pochodne na stopę procentową</w:t>
            </w:r>
          </w:p>
        </w:tc>
        <w:tc>
          <w:tcPr>
            <w:tcW w:w="1418" w:type="dxa"/>
            <w:tcBorders>
              <w:top w:val="nil"/>
              <w:left w:val="nil"/>
              <w:bottom w:val="nil"/>
              <w:right w:val="single" w:sz="8" w:space="0" w:color="0077BD"/>
            </w:tcBorders>
            <w:shd w:val="clear" w:color="auto" w:fill="auto"/>
            <w:vAlign w:val="center"/>
            <w:hideMark/>
          </w:tcPr>
          <w:p w14:paraId="2CE8F3DB"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90 331 695</w:t>
            </w:r>
          </w:p>
        </w:tc>
        <w:tc>
          <w:tcPr>
            <w:tcW w:w="1418" w:type="dxa"/>
            <w:tcBorders>
              <w:top w:val="nil"/>
              <w:left w:val="nil"/>
              <w:bottom w:val="nil"/>
              <w:right w:val="single" w:sz="8" w:space="0" w:color="0077BD"/>
            </w:tcBorders>
            <w:shd w:val="clear" w:color="auto" w:fill="auto"/>
            <w:vAlign w:val="center"/>
            <w:hideMark/>
          </w:tcPr>
          <w:p w14:paraId="7FDFD41F"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291 197 062</w:t>
            </w:r>
          </w:p>
        </w:tc>
        <w:tc>
          <w:tcPr>
            <w:tcW w:w="1418" w:type="dxa"/>
            <w:tcBorders>
              <w:top w:val="nil"/>
              <w:left w:val="nil"/>
              <w:bottom w:val="nil"/>
              <w:right w:val="single" w:sz="8" w:space="0" w:color="0077BD"/>
            </w:tcBorders>
            <w:shd w:val="clear" w:color="auto" w:fill="auto"/>
            <w:vAlign w:val="center"/>
            <w:hideMark/>
          </w:tcPr>
          <w:p w14:paraId="48D9B8F9"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38 527 954</w:t>
            </w:r>
          </w:p>
        </w:tc>
        <w:tc>
          <w:tcPr>
            <w:tcW w:w="1418" w:type="dxa"/>
            <w:tcBorders>
              <w:top w:val="nil"/>
              <w:left w:val="nil"/>
              <w:bottom w:val="nil"/>
              <w:right w:val="nil"/>
            </w:tcBorders>
            <w:shd w:val="clear" w:color="auto" w:fill="auto"/>
            <w:vAlign w:val="center"/>
            <w:hideMark/>
          </w:tcPr>
          <w:p w14:paraId="639A1148"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420 056 711</w:t>
            </w:r>
          </w:p>
        </w:tc>
      </w:tr>
      <w:tr w:rsidR="007976E9" w:rsidRPr="00BB7C9E" w14:paraId="0286EA44" w14:textId="77777777" w:rsidTr="00011FE0">
        <w:trPr>
          <w:trHeight w:val="255"/>
        </w:trPr>
        <w:tc>
          <w:tcPr>
            <w:tcW w:w="3909" w:type="dxa"/>
            <w:tcBorders>
              <w:top w:val="single" w:sz="4" w:space="0" w:color="0077BD"/>
              <w:left w:val="nil"/>
              <w:bottom w:val="single" w:sz="4" w:space="0" w:color="0077BD"/>
              <w:right w:val="single" w:sz="8" w:space="0" w:color="0077BD"/>
            </w:tcBorders>
            <w:shd w:val="clear" w:color="auto" w:fill="auto"/>
            <w:vAlign w:val="center"/>
            <w:hideMark/>
          </w:tcPr>
          <w:p w14:paraId="172930AE"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Walutowe instrumenty pochodne</w:t>
            </w:r>
          </w:p>
        </w:tc>
        <w:tc>
          <w:tcPr>
            <w:tcW w:w="1418" w:type="dxa"/>
            <w:tcBorders>
              <w:top w:val="single" w:sz="4" w:space="0" w:color="0077BD"/>
              <w:left w:val="nil"/>
              <w:bottom w:val="single" w:sz="4" w:space="0" w:color="0077BD"/>
              <w:right w:val="single" w:sz="8" w:space="0" w:color="0077BD"/>
            </w:tcBorders>
            <w:shd w:val="clear" w:color="auto" w:fill="auto"/>
            <w:vAlign w:val="center"/>
            <w:hideMark/>
          </w:tcPr>
          <w:p w14:paraId="223D4FA4"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70 254 654</w:t>
            </w:r>
          </w:p>
        </w:tc>
        <w:tc>
          <w:tcPr>
            <w:tcW w:w="1418" w:type="dxa"/>
            <w:tcBorders>
              <w:top w:val="single" w:sz="4" w:space="0" w:color="0077BD"/>
              <w:left w:val="nil"/>
              <w:bottom w:val="single" w:sz="4" w:space="0" w:color="0077BD"/>
              <w:right w:val="single" w:sz="8" w:space="0" w:color="0077BD"/>
            </w:tcBorders>
            <w:shd w:val="clear" w:color="auto" w:fill="auto"/>
            <w:vAlign w:val="center"/>
            <w:hideMark/>
          </w:tcPr>
          <w:p w14:paraId="2525048C"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20 338 566</w:t>
            </w:r>
          </w:p>
        </w:tc>
        <w:tc>
          <w:tcPr>
            <w:tcW w:w="1418" w:type="dxa"/>
            <w:tcBorders>
              <w:top w:val="single" w:sz="4" w:space="0" w:color="0077BD"/>
              <w:left w:val="nil"/>
              <w:bottom w:val="single" w:sz="4" w:space="0" w:color="0077BD"/>
              <w:right w:val="single" w:sz="8" w:space="0" w:color="0077BD"/>
            </w:tcBorders>
            <w:shd w:val="clear" w:color="auto" w:fill="auto"/>
            <w:vAlign w:val="center"/>
            <w:hideMark/>
          </w:tcPr>
          <w:p w14:paraId="182C2AA8"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2 487 650</w:t>
            </w:r>
          </w:p>
        </w:tc>
        <w:tc>
          <w:tcPr>
            <w:tcW w:w="1418" w:type="dxa"/>
            <w:tcBorders>
              <w:top w:val="single" w:sz="4" w:space="0" w:color="0077BD"/>
              <w:left w:val="nil"/>
              <w:bottom w:val="single" w:sz="4" w:space="0" w:color="0077BD"/>
              <w:right w:val="nil"/>
            </w:tcBorders>
            <w:shd w:val="clear" w:color="auto" w:fill="auto"/>
            <w:vAlign w:val="center"/>
            <w:hideMark/>
          </w:tcPr>
          <w:p w14:paraId="716D208E"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93 080 870</w:t>
            </w:r>
          </w:p>
        </w:tc>
      </w:tr>
      <w:tr w:rsidR="007976E9" w:rsidRPr="00BB7C9E" w14:paraId="6D0D9046" w14:textId="77777777" w:rsidTr="00011FE0">
        <w:trPr>
          <w:trHeight w:val="255"/>
        </w:trPr>
        <w:tc>
          <w:tcPr>
            <w:tcW w:w="3909" w:type="dxa"/>
            <w:tcBorders>
              <w:top w:val="nil"/>
              <w:left w:val="nil"/>
              <w:bottom w:val="single" w:sz="8" w:space="0" w:color="0077BD"/>
              <w:right w:val="single" w:sz="8" w:space="0" w:color="0077BD"/>
            </w:tcBorders>
            <w:shd w:val="clear" w:color="auto" w:fill="auto"/>
            <w:vAlign w:val="center"/>
            <w:hideMark/>
          </w:tcPr>
          <w:p w14:paraId="0CD5DDCA" w14:textId="77777777" w:rsidR="007976E9" w:rsidRPr="006B56E5" w:rsidRDefault="007976E9" w:rsidP="007976E9">
            <w:pPr>
              <w:rPr>
                <w:rFonts w:cs="Calibri"/>
                <w:color w:val="000000" w:themeColor="text1"/>
                <w:sz w:val="12"/>
                <w:szCs w:val="12"/>
              </w:rPr>
            </w:pPr>
            <w:r w:rsidRPr="006B56E5">
              <w:rPr>
                <w:rFonts w:cs="Calibri"/>
                <w:color w:val="000000" w:themeColor="text1"/>
                <w:sz w:val="12"/>
                <w:szCs w:val="12"/>
              </w:rPr>
              <w:t xml:space="preserve">   Instrumenty pochodne na ryzyko rynkowe</w:t>
            </w:r>
          </w:p>
        </w:tc>
        <w:tc>
          <w:tcPr>
            <w:tcW w:w="1418" w:type="dxa"/>
            <w:tcBorders>
              <w:top w:val="nil"/>
              <w:left w:val="nil"/>
              <w:bottom w:val="single" w:sz="8" w:space="0" w:color="0077BD"/>
              <w:right w:val="single" w:sz="8" w:space="0" w:color="0077BD"/>
            </w:tcBorders>
            <w:shd w:val="clear" w:color="auto" w:fill="auto"/>
            <w:vAlign w:val="center"/>
            <w:hideMark/>
          </w:tcPr>
          <w:p w14:paraId="03AA52E0"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2 235 856</w:t>
            </w:r>
          </w:p>
        </w:tc>
        <w:tc>
          <w:tcPr>
            <w:tcW w:w="1418" w:type="dxa"/>
            <w:tcBorders>
              <w:top w:val="nil"/>
              <w:left w:val="nil"/>
              <w:bottom w:val="single" w:sz="8" w:space="0" w:color="0077BD"/>
              <w:right w:val="single" w:sz="8" w:space="0" w:color="0077BD"/>
            </w:tcBorders>
            <w:shd w:val="clear" w:color="auto" w:fill="auto"/>
            <w:vAlign w:val="center"/>
            <w:hideMark/>
          </w:tcPr>
          <w:p w14:paraId="383A003B"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531 735</w:t>
            </w:r>
          </w:p>
        </w:tc>
        <w:tc>
          <w:tcPr>
            <w:tcW w:w="1418" w:type="dxa"/>
            <w:tcBorders>
              <w:top w:val="nil"/>
              <w:left w:val="nil"/>
              <w:bottom w:val="single" w:sz="8" w:space="0" w:color="0077BD"/>
              <w:right w:val="single" w:sz="8" w:space="0" w:color="0077BD"/>
            </w:tcBorders>
            <w:shd w:val="clear" w:color="auto" w:fill="auto"/>
            <w:vAlign w:val="center"/>
            <w:hideMark/>
          </w:tcPr>
          <w:p w14:paraId="2427B01B" w14:textId="77777777" w:rsidR="007976E9" w:rsidRPr="006B56E5" w:rsidRDefault="007976E9" w:rsidP="007976E9">
            <w:pPr>
              <w:jc w:val="right"/>
              <w:rPr>
                <w:rFonts w:cs="Calibri"/>
                <w:color w:val="000000" w:themeColor="text1"/>
                <w:sz w:val="12"/>
                <w:szCs w:val="12"/>
              </w:rPr>
            </w:pPr>
            <w:r w:rsidRPr="006B56E5">
              <w:rPr>
                <w:rFonts w:cs="Calibri"/>
                <w:color w:val="000000" w:themeColor="text1"/>
                <w:sz w:val="12"/>
                <w:szCs w:val="12"/>
              </w:rPr>
              <w:t>1 518 000</w:t>
            </w:r>
          </w:p>
        </w:tc>
        <w:tc>
          <w:tcPr>
            <w:tcW w:w="1418" w:type="dxa"/>
            <w:tcBorders>
              <w:top w:val="nil"/>
              <w:left w:val="nil"/>
              <w:bottom w:val="single" w:sz="8" w:space="0" w:color="0077BD"/>
              <w:right w:val="nil"/>
            </w:tcBorders>
            <w:shd w:val="clear" w:color="auto" w:fill="auto"/>
            <w:vAlign w:val="center"/>
            <w:hideMark/>
          </w:tcPr>
          <w:p w14:paraId="219BB222"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4 285 591</w:t>
            </w:r>
          </w:p>
        </w:tc>
      </w:tr>
      <w:tr w:rsidR="007976E9" w:rsidRPr="00BB7C9E" w14:paraId="28FAD3FE" w14:textId="77777777" w:rsidTr="00011FE0">
        <w:trPr>
          <w:trHeight w:val="255"/>
        </w:trPr>
        <w:tc>
          <w:tcPr>
            <w:tcW w:w="3909" w:type="dxa"/>
            <w:tcBorders>
              <w:top w:val="nil"/>
              <w:left w:val="nil"/>
              <w:bottom w:val="single" w:sz="8" w:space="0" w:color="0077BD"/>
              <w:right w:val="nil"/>
            </w:tcBorders>
            <w:shd w:val="clear" w:color="auto" w:fill="auto"/>
            <w:vAlign w:val="center"/>
            <w:hideMark/>
          </w:tcPr>
          <w:p w14:paraId="3C64CA09" w14:textId="77777777" w:rsidR="007976E9" w:rsidRPr="006B56E5" w:rsidRDefault="007976E9" w:rsidP="007976E9">
            <w:pPr>
              <w:rPr>
                <w:rFonts w:cs="Calibri"/>
                <w:b/>
                <w:bCs/>
                <w:color w:val="000000" w:themeColor="text1"/>
                <w:sz w:val="12"/>
                <w:szCs w:val="12"/>
              </w:rPr>
            </w:pPr>
            <w:r w:rsidRPr="006B56E5">
              <w:rPr>
                <w:rFonts w:cs="Calibri"/>
                <w:b/>
                <w:bCs/>
                <w:color w:val="000000" w:themeColor="text1"/>
                <w:sz w:val="12"/>
                <w:szCs w:val="12"/>
              </w:rPr>
              <w:t>Pozycje pozabilansowe razem</w:t>
            </w:r>
          </w:p>
        </w:tc>
        <w:tc>
          <w:tcPr>
            <w:tcW w:w="1418" w:type="dxa"/>
            <w:tcBorders>
              <w:top w:val="nil"/>
              <w:left w:val="single" w:sz="8" w:space="0" w:color="0077BD"/>
              <w:bottom w:val="single" w:sz="8" w:space="0" w:color="0077BD"/>
              <w:right w:val="single" w:sz="8" w:space="0" w:color="0077BD"/>
            </w:tcBorders>
            <w:shd w:val="clear" w:color="auto" w:fill="auto"/>
            <w:vAlign w:val="center"/>
            <w:hideMark/>
          </w:tcPr>
          <w:p w14:paraId="01A797CF"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195 722 979</w:t>
            </w:r>
          </w:p>
        </w:tc>
        <w:tc>
          <w:tcPr>
            <w:tcW w:w="1418" w:type="dxa"/>
            <w:tcBorders>
              <w:top w:val="nil"/>
              <w:left w:val="nil"/>
              <w:bottom w:val="single" w:sz="8" w:space="0" w:color="0077BD"/>
              <w:right w:val="single" w:sz="8" w:space="0" w:color="0077BD"/>
            </w:tcBorders>
            <w:shd w:val="clear" w:color="auto" w:fill="auto"/>
            <w:vAlign w:val="center"/>
            <w:hideMark/>
          </w:tcPr>
          <w:p w14:paraId="1577A031"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316 116 554</w:t>
            </w:r>
          </w:p>
        </w:tc>
        <w:tc>
          <w:tcPr>
            <w:tcW w:w="1418" w:type="dxa"/>
            <w:tcBorders>
              <w:top w:val="nil"/>
              <w:left w:val="nil"/>
              <w:bottom w:val="single" w:sz="8" w:space="0" w:color="0077BD"/>
              <w:right w:val="single" w:sz="8" w:space="0" w:color="0077BD"/>
            </w:tcBorders>
            <w:shd w:val="clear" w:color="auto" w:fill="auto"/>
            <w:vAlign w:val="center"/>
            <w:hideMark/>
          </w:tcPr>
          <w:p w14:paraId="29492FED"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45 625 056</w:t>
            </w:r>
          </w:p>
        </w:tc>
        <w:tc>
          <w:tcPr>
            <w:tcW w:w="1418" w:type="dxa"/>
            <w:tcBorders>
              <w:top w:val="nil"/>
              <w:left w:val="nil"/>
              <w:bottom w:val="single" w:sz="8" w:space="0" w:color="0077BD"/>
              <w:right w:val="nil"/>
            </w:tcBorders>
            <w:shd w:val="clear" w:color="auto" w:fill="auto"/>
            <w:vAlign w:val="center"/>
            <w:hideMark/>
          </w:tcPr>
          <w:p w14:paraId="77C057F2" w14:textId="77777777" w:rsidR="007976E9" w:rsidRPr="006B56E5" w:rsidRDefault="007976E9" w:rsidP="007976E9">
            <w:pPr>
              <w:jc w:val="right"/>
              <w:rPr>
                <w:rFonts w:cs="Calibri"/>
                <w:b/>
                <w:bCs/>
                <w:color w:val="000000" w:themeColor="text1"/>
                <w:sz w:val="12"/>
                <w:szCs w:val="12"/>
              </w:rPr>
            </w:pPr>
            <w:r w:rsidRPr="006B56E5">
              <w:rPr>
                <w:rFonts w:cs="Calibri"/>
                <w:b/>
                <w:bCs/>
                <w:color w:val="000000" w:themeColor="text1"/>
                <w:sz w:val="12"/>
                <w:szCs w:val="12"/>
              </w:rPr>
              <w:t>557 464 589</w:t>
            </w:r>
          </w:p>
        </w:tc>
      </w:tr>
    </w:tbl>
    <w:p w14:paraId="0B72CB5A" w14:textId="0CF9CFAD" w:rsidR="00A160DF" w:rsidRPr="00BB7C9E" w:rsidRDefault="00A160DF" w:rsidP="00A160DF">
      <w:pPr>
        <w:spacing w:before="120"/>
        <w:jc w:val="both"/>
        <w:rPr>
          <w:rFonts w:cs="Tahoma"/>
          <w:color w:val="000000" w:themeColor="text1"/>
          <w:sz w:val="18"/>
          <w:szCs w:val="18"/>
        </w:rPr>
      </w:pPr>
      <w:r w:rsidRPr="00BB7C9E">
        <w:rPr>
          <w:rFonts w:cs="Tahoma"/>
          <w:color w:val="000000" w:themeColor="text1"/>
          <w:sz w:val="18"/>
          <w:szCs w:val="18"/>
        </w:rPr>
        <w:t xml:space="preserve">Wartości nominalne instrumentów pochodnych zaprezentowane są w Nocie </w:t>
      </w:r>
      <w:r w:rsidR="003472F6" w:rsidRPr="00BB7C9E">
        <w:rPr>
          <w:rFonts w:cs="Tahoma"/>
          <w:color w:val="000000" w:themeColor="text1"/>
          <w:sz w:val="18"/>
          <w:szCs w:val="18"/>
        </w:rPr>
        <w:t>20</w:t>
      </w:r>
      <w:r w:rsidRPr="00BB7C9E">
        <w:rPr>
          <w:rFonts w:cs="Tahoma"/>
          <w:color w:val="000000" w:themeColor="text1"/>
          <w:sz w:val="18"/>
          <w:szCs w:val="18"/>
        </w:rPr>
        <w:t>.</w:t>
      </w:r>
    </w:p>
    <w:p w14:paraId="4DF00354" w14:textId="592CEBF0" w:rsidR="00A160DF" w:rsidRDefault="00A160DF" w:rsidP="00A160DF">
      <w:pPr>
        <w:spacing w:before="120"/>
        <w:jc w:val="both"/>
        <w:rPr>
          <w:rFonts w:cs="Tahoma"/>
          <w:color w:val="000000" w:themeColor="text1"/>
          <w:sz w:val="18"/>
          <w:szCs w:val="18"/>
        </w:rPr>
      </w:pPr>
      <w:r w:rsidRPr="00BB7C9E">
        <w:rPr>
          <w:rFonts w:cs="Tahoma"/>
          <w:color w:val="000000" w:themeColor="text1"/>
          <w:sz w:val="18"/>
          <w:szCs w:val="18"/>
        </w:rPr>
        <w:t xml:space="preserve">Największy wpływ na wielkość zobowiązań finansowych udzielonych, poza zobowiązaniami udzielonymi przez Bank, miały zobowiązania udzielone przez </w:t>
      </w:r>
      <w:r w:rsidR="004D7DE9" w:rsidRPr="00BB7C9E">
        <w:rPr>
          <w:rFonts w:cs="Tahoma"/>
          <w:color w:val="000000" w:themeColor="text1"/>
          <w:sz w:val="18"/>
          <w:szCs w:val="18"/>
        </w:rPr>
        <w:t xml:space="preserve">mFaktoring i </w:t>
      </w:r>
      <w:r w:rsidR="00AC2F0A" w:rsidRPr="00BB7C9E">
        <w:rPr>
          <w:rFonts w:cs="Tahoma"/>
          <w:color w:val="000000" w:themeColor="text1"/>
          <w:sz w:val="18"/>
          <w:szCs w:val="18"/>
        </w:rPr>
        <w:t xml:space="preserve">mBank Hipoteczny </w:t>
      </w:r>
      <w:r w:rsidR="00A25B0C" w:rsidRPr="00BB7C9E">
        <w:rPr>
          <w:rFonts w:cs="Tahoma"/>
          <w:color w:val="000000" w:themeColor="text1"/>
          <w:sz w:val="18"/>
          <w:szCs w:val="18"/>
        </w:rPr>
        <w:t xml:space="preserve">w </w:t>
      </w:r>
      <w:r w:rsidRPr="00BB7C9E">
        <w:rPr>
          <w:rFonts w:cs="Tahoma"/>
          <w:color w:val="000000" w:themeColor="text1"/>
          <w:sz w:val="18"/>
          <w:szCs w:val="18"/>
        </w:rPr>
        <w:t xml:space="preserve">wysokości odpowiednio </w:t>
      </w:r>
      <w:r w:rsidR="00DA2696" w:rsidRPr="00DA2696">
        <w:rPr>
          <w:rFonts w:cs="Tahoma"/>
          <w:color w:val="000000" w:themeColor="text1"/>
          <w:sz w:val="18"/>
          <w:szCs w:val="18"/>
        </w:rPr>
        <w:t>1 194</w:t>
      </w:r>
      <w:r w:rsidR="00D734E8" w:rsidRPr="00DA2696">
        <w:rPr>
          <w:rFonts w:cs="Tahoma"/>
          <w:color w:val="000000" w:themeColor="text1"/>
          <w:sz w:val="18"/>
          <w:szCs w:val="18"/>
        </w:rPr>
        <w:t> </w:t>
      </w:r>
      <w:r w:rsidR="00DA2696" w:rsidRPr="00DA2696">
        <w:rPr>
          <w:rFonts w:cs="Tahoma"/>
          <w:color w:val="000000" w:themeColor="text1"/>
          <w:sz w:val="18"/>
          <w:szCs w:val="18"/>
        </w:rPr>
        <w:t>564</w:t>
      </w:r>
      <w:r w:rsidR="00D734E8" w:rsidRPr="00DA2696">
        <w:rPr>
          <w:rFonts w:cs="Tahoma"/>
          <w:color w:val="000000" w:themeColor="text1"/>
          <w:sz w:val="18"/>
          <w:szCs w:val="18"/>
        </w:rPr>
        <w:t xml:space="preserve"> tys. zł i </w:t>
      </w:r>
      <w:r w:rsidR="00DA2696" w:rsidRPr="00DA2696">
        <w:rPr>
          <w:rFonts w:cs="Tahoma"/>
          <w:color w:val="000000" w:themeColor="text1"/>
          <w:sz w:val="18"/>
          <w:szCs w:val="18"/>
        </w:rPr>
        <w:t>449</w:t>
      </w:r>
      <w:r w:rsidR="003472F6" w:rsidRPr="00DA2696">
        <w:rPr>
          <w:rFonts w:cs="Tahoma"/>
          <w:color w:val="000000" w:themeColor="text1"/>
          <w:sz w:val="18"/>
          <w:szCs w:val="18"/>
        </w:rPr>
        <w:t> </w:t>
      </w:r>
      <w:r w:rsidR="00DA2696" w:rsidRPr="00DA2696">
        <w:rPr>
          <w:rFonts w:cs="Tahoma"/>
          <w:color w:val="000000" w:themeColor="text1"/>
          <w:sz w:val="18"/>
          <w:szCs w:val="18"/>
        </w:rPr>
        <w:t>612</w:t>
      </w:r>
      <w:r w:rsidR="00E50E47" w:rsidRPr="00DA2696">
        <w:rPr>
          <w:rFonts w:cs="Tahoma"/>
          <w:color w:val="000000" w:themeColor="text1"/>
          <w:sz w:val="18"/>
          <w:szCs w:val="18"/>
        </w:rPr>
        <w:t xml:space="preserve"> tys. zł </w:t>
      </w:r>
      <w:r w:rsidR="008938A2" w:rsidRPr="00DA2696">
        <w:rPr>
          <w:rFonts w:cs="Tahoma"/>
          <w:color w:val="000000" w:themeColor="text1"/>
          <w:sz w:val="18"/>
          <w:szCs w:val="18"/>
        </w:rPr>
        <w:t>na dzień 31 grudnia 2019</w:t>
      </w:r>
      <w:r w:rsidRPr="00DA2696">
        <w:rPr>
          <w:rFonts w:cs="Tahoma"/>
          <w:color w:val="000000" w:themeColor="text1"/>
          <w:sz w:val="18"/>
          <w:szCs w:val="18"/>
        </w:rPr>
        <w:t xml:space="preserve"> roku</w:t>
      </w:r>
      <w:r w:rsidR="008938A2" w:rsidRPr="00DA2696">
        <w:rPr>
          <w:rFonts w:cs="Tahoma"/>
          <w:color w:val="000000" w:themeColor="text1"/>
          <w:sz w:val="18"/>
          <w:szCs w:val="18"/>
        </w:rPr>
        <w:t xml:space="preserve"> (31 grudnia 2018</w:t>
      </w:r>
      <w:r w:rsidR="00DC530C" w:rsidRPr="00DA2696">
        <w:rPr>
          <w:rFonts w:cs="Tahoma"/>
          <w:color w:val="000000" w:themeColor="text1"/>
          <w:sz w:val="18"/>
          <w:szCs w:val="18"/>
        </w:rPr>
        <w:t xml:space="preserve"> rok odpowiednio:</w:t>
      </w:r>
      <w:r w:rsidR="00DC530C" w:rsidRPr="00BB7C9E">
        <w:rPr>
          <w:rFonts w:cs="Tahoma"/>
          <w:color w:val="000000" w:themeColor="text1"/>
          <w:sz w:val="18"/>
          <w:szCs w:val="18"/>
        </w:rPr>
        <w:t xml:space="preserve"> </w:t>
      </w:r>
      <w:r w:rsidR="008938A2" w:rsidRPr="00BB7C9E">
        <w:rPr>
          <w:rFonts w:cs="Tahoma"/>
          <w:color w:val="000000" w:themeColor="text1"/>
          <w:sz w:val="18"/>
          <w:szCs w:val="18"/>
        </w:rPr>
        <w:t>1 644 421 tys. zł i 1 515 637 tys. zł</w:t>
      </w:r>
      <w:r w:rsidR="00DC530C" w:rsidRPr="00BB7C9E">
        <w:rPr>
          <w:rFonts w:cs="Tahoma"/>
          <w:color w:val="000000" w:themeColor="text1"/>
          <w:sz w:val="18"/>
          <w:szCs w:val="18"/>
        </w:rPr>
        <w:t>)</w:t>
      </w:r>
      <w:r w:rsidRPr="00BB7C9E">
        <w:rPr>
          <w:rFonts w:cs="Tahoma"/>
          <w:color w:val="000000" w:themeColor="text1"/>
          <w:sz w:val="18"/>
          <w:szCs w:val="18"/>
        </w:rPr>
        <w:t>.</w:t>
      </w:r>
    </w:p>
    <w:p w14:paraId="2B6431D4" w14:textId="3B738B1A" w:rsidR="003A4032" w:rsidRDefault="003A4032" w:rsidP="003A4032">
      <w:pPr>
        <w:spacing w:before="120"/>
        <w:jc w:val="both"/>
        <w:rPr>
          <w:rFonts w:cs="Tahoma"/>
          <w:color w:val="000000" w:themeColor="text1"/>
          <w:sz w:val="18"/>
          <w:szCs w:val="18"/>
        </w:rPr>
      </w:pPr>
      <w:r w:rsidRPr="003A4032">
        <w:rPr>
          <w:rFonts w:cs="Tahoma"/>
          <w:color w:val="000000" w:themeColor="text1"/>
          <w:sz w:val="18"/>
          <w:szCs w:val="18"/>
        </w:rPr>
        <w:t>W dniu 5 lipca 2019 roku mBank S.A zawarł umowę najmu powierzchni w budynku Mennica Legacy Tower, położonym przy ul. Pereca 21 w Warszawie, do którego zostanie przenies</w:t>
      </w:r>
      <w:r>
        <w:rPr>
          <w:rFonts w:cs="Tahoma"/>
          <w:color w:val="000000" w:themeColor="text1"/>
          <w:sz w:val="18"/>
          <w:szCs w:val="18"/>
        </w:rPr>
        <w:t xml:space="preserve">iona warszawska centrala Banku. </w:t>
      </w:r>
      <w:r w:rsidRPr="003A4032">
        <w:rPr>
          <w:rFonts w:cs="Tahoma"/>
          <w:color w:val="000000" w:themeColor="text1"/>
          <w:sz w:val="18"/>
          <w:szCs w:val="18"/>
        </w:rPr>
        <w:t>Przedmiot najmu zostanie wydany w dwóch fazach. Wydanie powierzchni w ramach pierwszej fazy nastąpi w dniu 1 października 2020 roku, natomiast druga faza zostanie wyd</w:t>
      </w:r>
      <w:r>
        <w:rPr>
          <w:rFonts w:cs="Tahoma"/>
          <w:color w:val="000000" w:themeColor="text1"/>
          <w:sz w:val="18"/>
          <w:szCs w:val="18"/>
        </w:rPr>
        <w:t xml:space="preserve">ana w dniu 1 lutego 2021 roku. </w:t>
      </w:r>
      <w:r w:rsidRPr="003A4032">
        <w:rPr>
          <w:rFonts w:cs="Tahoma"/>
          <w:color w:val="000000" w:themeColor="text1"/>
          <w:sz w:val="18"/>
          <w:szCs w:val="18"/>
        </w:rPr>
        <w:t>Umowa najmu została zawarta na czas oznaczony 124 miesięcy, licząc od daty rozpoczęcia najmu dla pierwszej fazy.</w:t>
      </w:r>
    </w:p>
    <w:p w14:paraId="0E50C87C" w14:textId="77777777" w:rsidR="00615C6D" w:rsidRPr="00BB7C9E" w:rsidRDefault="00615C6D" w:rsidP="00615C6D">
      <w:pPr>
        <w:jc w:val="both"/>
        <w:rPr>
          <w:rFonts w:cs="Tahoma"/>
          <w:color w:val="000000" w:themeColor="text1"/>
          <w:sz w:val="18"/>
          <w:szCs w:val="18"/>
        </w:rPr>
      </w:pPr>
    </w:p>
    <w:p w14:paraId="589C1702" w14:textId="77777777" w:rsidR="00A160DF" w:rsidRDefault="00A160DF"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56" w:name="_Toc32999865"/>
      <w:r>
        <w:rPr>
          <w:rFonts w:cs="Tahoma"/>
          <w:bCs w:val="0"/>
          <w:iCs w:val="0"/>
          <w:color w:val="E41E0A"/>
          <w:sz w:val="18"/>
          <w:szCs w:val="18"/>
        </w:rPr>
        <w:t>Aktywa zastawione</w:t>
      </w:r>
      <w:bookmarkEnd w:id="156"/>
    </w:p>
    <w:p w14:paraId="772B8E00" w14:textId="77777777" w:rsidR="00142819" w:rsidRPr="00BB7C9E" w:rsidRDefault="00142819" w:rsidP="00241A1A">
      <w:pPr>
        <w:spacing w:before="120"/>
        <w:jc w:val="both"/>
        <w:rPr>
          <w:rFonts w:cs="Tahoma"/>
          <w:color w:val="000000" w:themeColor="text1"/>
          <w:sz w:val="18"/>
          <w:szCs w:val="18"/>
        </w:rPr>
      </w:pPr>
      <w:r w:rsidRPr="00BB7C9E">
        <w:rPr>
          <w:rFonts w:cs="Tahoma"/>
          <w:color w:val="000000" w:themeColor="text1"/>
          <w:sz w:val="18"/>
          <w:szCs w:val="18"/>
        </w:rPr>
        <w:t>Na aktywach ustanawia się zabezpieczenia w związku z umowami odkupu papierów wartościowych oraz transakcji pochodnych zawartymi z innymi bankami oraz ustanawia się depozyty zabezpieczające w</w:t>
      </w:r>
      <w:r w:rsidR="00E344E2" w:rsidRPr="00BB7C9E">
        <w:rPr>
          <w:rFonts w:cs="Tahoma"/>
          <w:color w:val="000000" w:themeColor="text1"/>
          <w:sz w:val="18"/>
          <w:szCs w:val="18"/>
        </w:rPr>
        <w:t> </w:t>
      </w:r>
      <w:r w:rsidRPr="00BB7C9E">
        <w:rPr>
          <w:rFonts w:cs="Tahoma"/>
          <w:color w:val="000000" w:themeColor="text1"/>
          <w:sz w:val="18"/>
          <w:szCs w:val="18"/>
        </w:rPr>
        <w:t>związku z zawarciem kontraktów giełdowych typu futures, opcjami i członkostwem w giełdach.</w:t>
      </w:r>
    </w:p>
    <w:p w14:paraId="5CF393E1" w14:textId="77777777" w:rsidR="00142819" w:rsidRPr="00BB7C9E" w:rsidRDefault="00142819" w:rsidP="00142819">
      <w:pPr>
        <w:spacing w:before="120"/>
        <w:jc w:val="both"/>
        <w:rPr>
          <w:rFonts w:cs="Tahoma"/>
          <w:color w:val="000000" w:themeColor="text1"/>
          <w:sz w:val="18"/>
          <w:szCs w:val="18"/>
        </w:rPr>
      </w:pPr>
      <w:r w:rsidRPr="00BB7C9E">
        <w:rPr>
          <w:rFonts w:cs="Tahoma"/>
          <w:color w:val="000000" w:themeColor="text1"/>
          <w:sz w:val="18"/>
          <w:szCs w:val="18"/>
        </w:rPr>
        <w:t>Zabezpieczenie może być również złożone w różnej formie (gotówka, papiery wartościowe, zastaw na aktywach itp.).</w:t>
      </w:r>
    </w:p>
    <w:p w14:paraId="077CFE93" w14:textId="4B93FF23" w:rsidR="00142819" w:rsidRPr="00BB7C9E" w:rsidRDefault="00F66850" w:rsidP="00142819">
      <w:pPr>
        <w:spacing w:before="120"/>
        <w:jc w:val="both"/>
        <w:rPr>
          <w:rFonts w:cs="Tahoma"/>
          <w:color w:val="000000" w:themeColor="text1"/>
          <w:sz w:val="18"/>
          <w:szCs w:val="18"/>
        </w:rPr>
      </w:pPr>
      <w:r w:rsidRPr="00BB7C9E">
        <w:rPr>
          <w:rFonts w:cs="Tahoma"/>
          <w:color w:val="000000" w:themeColor="text1"/>
          <w:sz w:val="18"/>
          <w:szCs w:val="18"/>
        </w:rPr>
        <w:lastRenderedPageBreak/>
        <w:t>Analogicznie, na rzecz Grupy</w:t>
      </w:r>
      <w:r w:rsidR="00142819" w:rsidRPr="00BB7C9E">
        <w:rPr>
          <w:rFonts w:cs="Tahoma"/>
          <w:color w:val="000000" w:themeColor="text1"/>
          <w:sz w:val="18"/>
          <w:szCs w:val="18"/>
        </w:rPr>
        <w:t xml:space="preserve"> kontrahenci ustanawiają zabezpieczenia transakcji na swoich aktywach. Jeśli przedmiotem takiego zabezpieczenia są papiery wartościowe (w transakcji buy</w:t>
      </w:r>
      <w:r w:rsidR="00BA37FA">
        <w:rPr>
          <w:rFonts w:cs="Tahoma"/>
          <w:color w:val="000000" w:themeColor="text1"/>
          <w:sz w:val="18"/>
          <w:szCs w:val="18"/>
        </w:rPr>
        <w:t xml:space="preserve">/sell </w:t>
      </w:r>
      <w:r w:rsidR="00142819" w:rsidRPr="00BB7C9E">
        <w:rPr>
          <w:rFonts w:cs="Tahoma"/>
          <w:color w:val="000000" w:themeColor="text1"/>
          <w:sz w:val="18"/>
          <w:szCs w:val="18"/>
        </w:rPr>
        <w:t xml:space="preserve">back), mogą one zostać ponownie użyte jako zabezpieczenie w </w:t>
      </w:r>
      <w:r w:rsidR="00BA37FA">
        <w:rPr>
          <w:rFonts w:cs="Tahoma"/>
          <w:color w:val="000000" w:themeColor="text1"/>
          <w:sz w:val="18"/>
          <w:szCs w:val="18"/>
        </w:rPr>
        <w:t xml:space="preserve">transakcji przeciwstawnej (sell/buy </w:t>
      </w:r>
      <w:r w:rsidR="00142819" w:rsidRPr="00BB7C9E">
        <w:rPr>
          <w:rFonts w:cs="Tahoma"/>
          <w:color w:val="000000" w:themeColor="text1"/>
          <w:sz w:val="18"/>
          <w:szCs w:val="18"/>
        </w:rPr>
        <w:t>back).</w:t>
      </w:r>
    </w:p>
    <w:p w14:paraId="613F0D17" w14:textId="77777777" w:rsidR="00142819" w:rsidRPr="00BB7C9E" w:rsidRDefault="00F66850" w:rsidP="00142819">
      <w:pPr>
        <w:spacing w:before="120"/>
        <w:jc w:val="both"/>
        <w:rPr>
          <w:rFonts w:cs="Tahoma"/>
          <w:color w:val="000000" w:themeColor="text1"/>
          <w:sz w:val="18"/>
          <w:szCs w:val="18"/>
        </w:rPr>
      </w:pPr>
      <w:r w:rsidRPr="00BB7C9E">
        <w:rPr>
          <w:rFonts w:cs="Tahoma"/>
          <w:color w:val="000000" w:themeColor="text1"/>
          <w:sz w:val="18"/>
          <w:szCs w:val="18"/>
        </w:rPr>
        <w:t>Ponadto Grupa</w:t>
      </w:r>
      <w:r w:rsidR="00142819" w:rsidRPr="00BB7C9E">
        <w:rPr>
          <w:rFonts w:cs="Tahoma"/>
          <w:color w:val="000000" w:themeColor="text1"/>
          <w:sz w:val="18"/>
          <w:szCs w:val="18"/>
        </w:rPr>
        <w:t xml:space="preserve"> przyjmuje zabezpieczenia o charakterze rzeczowym (w formie zastawu bądź hipoteki) związane z transakcjami o charakterze kredytowym, takich jak udzielone kredyty, linie kredytowe, gwarancje bankowe.</w:t>
      </w:r>
    </w:p>
    <w:p w14:paraId="0BA50929" w14:textId="33D26D0F" w:rsidR="00447F34" w:rsidRPr="00BB7C9E" w:rsidRDefault="00447F34" w:rsidP="00142819">
      <w:pPr>
        <w:spacing w:before="120"/>
        <w:jc w:val="both"/>
        <w:rPr>
          <w:rFonts w:cs="Tahoma"/>
          <w:color w:val="000000" w:themeColor="text1"/>
          <w:sz w:val="18"/>
          <w:szCs w:val="18"/>
        </w:rPr>
      </w:pPr>
      <w:r w:rsidRPr="00BB7C9E">
        <w:rPr>
          <w:rFonts w:cs="Tahoma"/>
          <w:color w:val="000000" w:themeColor="text1"/>
          <w:sz w:val="18"/>
          <w:szCs w:val="18"/>
        </w:rPr>
        <w:t xml:space="preserve">W tabeli poniżej zaprezentowano zestawienie środków możliwych do zastawienia w rozbiciu na główne pozycje sprawozdania z sytuacji finansowej Grupy </w:t>
      </w:r>
      <w:r w:rsidR="005130E5" w:rsidRPr="00BB7C9E">
        <w:rPr>
          <w:rFonts w:cs="Tahoma"/>
          <w:color w:val="000000" w:themeColor="text1"/>
          <w:sz w:val="18"/>
          <w:szCs w:val="18"/>
        </w:rPr>
        <w:t>mBanku</w:t>
      </w:r>
      <w:r w:rsidRPr="00BB7C9E">
        <w:rPr>
          <w:rFonts w:cs="Tahoma"/>
          <w:color w:val="000000" w:themeColor="text1"/>
          <w:sz w:val="18"/>
          <w:szCs w:val="18"/>
        </w:rPr>
        <w:t>. Głównym składnikiem stanowiącym zabezpieczenie płynności Grupy mBanku z tytułu możliwych do ustanowienia zabezpieczeń są skarbowe papiery wartościowe.</w:t>
      </w:r>
    </w:p>
    <w:p w14:paraId="2AAEB9EF" w14:textId="00268D79" w:rsidR="00B43258" w:rsidRPr="00BB7C9E" w:rsidRDefault="00B43258" w:rsidP="00B43258">
      <w:pPr>
        <w:jc w:val="both"/>
        <w:rPr>
          <w:rFonts w:cs="Tahoma"/>
          <w:color w:val="000000" w:themeColor="text1"/>
          <w:sz w:val="18"/>
          <w:szCs w:val="18"/>
        </w:rPr>
      </w:pPr>
    </w:p>
    <w:tbl>
      <w:tblPr>
        <w:tblW w:w="9633" w:type="dxa"/>
        <w:jc w:val="center"/>
        <w:tblLayout w:type="fixed"/>
        <w:tblCellMar>
          <w:left w:w="28" w:type="dxa"/>
          <w:right w:w="28" w:type="dxa"/>
        </w:tblCellMar>
        <w:tblLook w:val="04A0" w:firstRow="1" w:lastRow="0" w:firstColumn="1" w:lastColumn="0" w:noHBand="0" w:noVBand="1"/>
      </w:tblPr>
      <w:tblGrid>
        <w:gridCol w:w="2689"/>
        <w:gridCol w:w="992"/>
        <w:gridCol w:w="992"/>
        <w:gridCol w:w="992"/>
        <w:gridCol w:w="992"/>
        <w:gridCol w:w="992"/>
        <w:gridCol w:w="992"/>
        <w:gridCol w:w="992"/>
      </w:tblGrid>
      <w:tr w:rsidR="00A328EB" w:rsidRPr="005130E5" w14:paraId="4146E9CB" w14:textId="77777777" w:rsidTr="00CE60C6">
        <w:trPr>
          <w:trHeight w:val="227"/>
          <w:jc w:val="center"/>
        </w:trPr>
        <w:tc>
          <w:tcPr>
            <w:tcW w:w="2689" w:type="dxa"/>
            <w:vMerge w:val="restart"/>
            <w:tcBorders>
              <w:top w:val="nil"/>
              <w:left w:val="single" w:sz="4" w:space="0" w:color="FFFFFF"/>
              <w:bottom w:val="nil"/>
              <w:right w:val="single" w:sz="4" w:space="0" w:color="FFFFFF"/>
            </w:tcBorders>
            <w:shd w:val="clear" w:color="000000" w:fill="0077BD"/>
            <w:vAlign w:val="center"/>
            <w:hideMark/>
          </w:tcPr>
          <w:p w14:paraId="41B628DF" w14:textId="389B35CD" w:rsidR="00A328EB" w:rsidRPr="005130E5" w:rsidRDefault="00A328EB" w:rsidP="00341FB2">
            <w:pPr>
              <w:rPr>
                <w:rFonts w:cs="Calibri"/>
                <w:b/>
                <w:bCs/>
                <w:color w:val="FFFFFF"/>
                <w:sz w:val="12"/>
                <w:szCs w:val="12"/>
              </w:rPr>
            </w:pPr>
            <w:r>
              <w:rPr>
                <w:rFonts w:cs="Calibri"/>
                <w:b/>
                <w:bCs/>
                <w:color w:val="FFFFFF"/>
                <w:sz w:val="12"/>
                <w:szCs w:val="12"/>
              </w:rPr>
              <w:t>31.12.2019</w:t>
            </w:r>
          </w:p>
        </w:tc>
        <w:tc>
          <w:tcPr>
            <w:tcW w:w="2976" w:type="dxa"/>
            <w:gridSpan w:val="3"/>
            <w:tcBorders>
              <w:top w:val="nil"/>
              <w:left w:val="nil"/>
              <w:bottom w:val="single" w:sz="4" w:space="0" w:color="FFFFFF"/>
              <w:right w:val="single" w:sz="4" w:space="0" w:color="FFFFFF"/>
            </w:tcBorders>
            <w:shd w:val="clear" w:color="000000" w:fill="0077BD"/>
            <w:vAlign w:val="center"/>
            <w:hideMark/>
          </w:tcPr>
          <w:p w14:paraId="044AC044"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Aktywa</w:t>
            </w:r>
          </w:p>
        </w:tc>
        <w:tc>
          <w:tcPr>
            <w:tcW w:w="2976" w:type="dxa"/>
            <w:gridSpan w:val="3"/>
            <w:vMerge w:val="restart"/>
            <w:tcBorders>
              <w:left w:val="nil"/>
              <w:bottom w:val="single" w:sz="4" w:space="0" w:color="FFFFFF"/>
              <w:right w:val="single" w:sz="4" w:space="0" w:color="FFFFFF"/>
            </w:tcBorders>
            <w:shd w:val="clear" w:color="000000" w:fill="0077BD"/>
            <w:vAlign w:val="center"/>
            <w:hideMark/>
          </w:tcPr>
          <w:p w14:paraId="42BEAE98" w14:textId="7EAEF68D" w:rsidR="00A328EB" w:rsidRPr="005130E5" w:rsidRDefault="00A328EB" w:rsidP="00341FB2">
            <w:pPr>
              <w:jc w:val="center"/>
              <w:rPr>
                <w:rFonts w:cs="Calibri"/>
                <w:b/>
                <w:bCs/>
                <w:color w:val="FFFFFF"/>
                <w:sz w:val="12"/>
                <w:szCs w:val="12"/>
              </w:rPr>
            </w:pPr>
            <w:r w:rsidRPr="005130E5">
              <w:rPr>
                <w:rFonts w:cs="Calibri"/>
                <w:b/>
                <w:bCs/>
                <w:color w:val="FFFFFF"/>
                <w:sz w:val="12"/>
                <w:szCs w:val="12"/>
              </w:rPr>
              <w:t>Zabezpieczenia przyjęte w formie papierów wartościow</w:t>
            </w:r>
            <w:r w:rsidR="00872A3F">
              <w:rPr>
                <w:rFonts w:cs="Calibri"/>
                <w:b/>
                <w:bCs/>
                <w:color w:val="FFFFFF"/>
                <w:sz w:val="12"/>
                <w:szCs w:val="12"/>
              </w:rPr>
              <w:t>ych związane z transakcjami buy/</w:t>
            </w:r>
            <w:r w:rsidRPr="005130E5">
              <w:rPr>
                <w:rFonts w:cs="Calibri"/>
                <w:b/>
                <w:bCs/>
                <w:color w:val="FFFFFF"/>
                <w:sz w:val="12"/>
                <w:szCs w:val="12"/>
              </w:rPr>
              <w:t>sell back</w:t>
            </w: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283CD869"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Środki możliwe do zastawienia (3+6)</w:t>
            </w:r>
          </w:p>
        </w:tc>
      </w:tr>
      <w:tr w:rsidR="00A328EB" w:rsidRPr="005130E5" w14:paraId="5D81D538" w14:textId="77777777" w:rsidTr="00CE60C6">
        <w:trPr>
          <w:trHeight w:val="284"/>
          <w:jc w:val="center"/>
        </w:trPr>
        <w:tc>
          <w:tcPr>
            <w:tcW w:w="2689" w:type="dxa"/>
            <w:vMerge/>
            <w:tcBorders>
              <w:top w:val="nil"/>
              <w:left w:val="single" w:sz="4" w:space="0" w:color="FFFFFF"/>
              <w:bottom w:val="nil"/>
              <w:right w:val="single" w:sz="4" w:space="0" w:color="FFFFFF"/>
            </w:tcBorders>
            <w:vAlign w:val="center"/>
            <w:hideMark/>
          </w:tcPr>
          <w:p w14:paraId="5883ECAF" w14:textId="77777777" w:rsidR="00A328EB" w:rsidRPr="005130E5" w:rsidRDefault="00A328EB" w:rsidP="00341FB2">
            <w:pPr>
              <w:rPr>
                <w:rFonts w:cs="Calibri"/>
                <w:b/>
                <w:bCs/>
                <w:color w:val="FFFFFF"/>
                <w:sz w:val="12"/>
                <w:szCs w:val="12"/>
              </w:rPr>
            </w:pP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581BCA8B"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Aktywa ogółem</w:t>
            </w: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3D360F96"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Aktywa zastawione</w:t>
            </w:r>
          </w:p>
        </w:tc>
        <w:tc>
          <w:tcPr>
            <w:tcW w:w="992" w:type="dxa"/>
            <w:vMerge w:val="restart"/>
            <w:tcBorders>
              <w:top w:val="nil"/>
              <w:left w:val="nil"/>
              <w:bottom w:val="nil"/>
              <w:right w:val="single" w:sz="4" w:space="0" w:color="FFFFFF"/>
            </w:tcBorders>
            <w:shd w:val="clear" w:color="000000" w:fill="0077BD"/>
            <w:vAlign w:val="center"/>
            <w:hideMark/>
          </w:tcPr>
          <w:p w14:paraId="5E00C635"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Aktywa możliwe do zastawienia</w:t>
            </w:r>
          </w:p>
        </w:tc>
        <w:tc>
          <w:tcPr>
            <w:tcW w:w="2976" w:type="dxa"/>
            <w:gridSpan w:val="3"/>
            <w:vMerge/>
            <w:tcBorders>
              <w:top w:val="nil"/>
              <w:left w:val="nil"/>
              <w:bottom w:val="single" w:sz="4" w:space="0" w:color="FFFFFF"/>
              <w:right w:val="single" w:sz="4" w:space="0" w:color="FFFFFF"/>
            </w:tcBorders>
            <w:vAlign w:val="center"/>
            <w:hideMark/>
          </w:tcPr>
          <w:p w14:paraId="5EC0BB7D" w14:textId="77777777" w:rsidR="00A328EB" w:rsidRPr="005130E5" w:rsidRDefault="00A328EB" w:rsidP="00341FB2">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22E59B41" w14:textId="77777777" w:rsidR="00A328EB" w:rsidRPr="005130E5" w:rsidRDefault="00A328EB" w:rsidP="00341FB2">
            <w:pPr>
              <w:rPr>
                <w:rFonts w:cs="Calibri"/>
                <w:b/>
                <w:bCs/>
                <w:color w:val="FFFFFF"/>
                <w:sz w:val="12"/>
                <w:szCs w:val="12"/>
              </w:rPr>
            </w:pPr>
          </w:p>
        </w:tc>
      </w:tr>
      <w:tr w:rsidR="00A328EB" w:rsidRPr="005130E5" w14:paraId="51E8C5CA" w14:textId="77777777" w:rsidTr="00CE60C6">
        <w:trPr>
          <w:trHeight w:val="397"/>
          <w:jc w:val="center"/>
        </w:trPr>
        <w:tc>
          <w:tcPr>
            <w:tcW w:w="2689" w:type="dxa"/>
            <w:vMerge/>
            <w:tcBorders>
              <w:top w:val="nil"/>
              <w:left w:val="single" w:sz="4" w:space="0" w:color="FFFFFF"/>
              <w:bottom w:val="nil"/>
              <w:right w:val="single" w:sz="4" w:space="0" w:color="FFFFFF"/>
            </w:tcBorders>
            <w:vAlign w:val="center"/>
            <w:hideMark/>
          </w:tcPr>
          <w:p w14:paraId="58DD9F8E" w14:textId="77777777" w:rsidR="00A328EB" w:rsidRPr="005130E5" w:rsidRDefault="00A328EB" w:rsidP="00341FB2">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493EFF19" w14:textId="77777777" w:rsidR="00A328EB" w:rsidRPr="005130E5" w:rsidRDefault="00A328EB" w:rsidP="00341FB2">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10CD4D3C" w14:textId="77777777" w:rsidR="00A328EB" w:rsidRPr="005130E5" w:rsidRDefault="00A328EB" w:rsidP="00341FB2">
            <w:pPr>
              <w:rPr>
                <w:rFonts w:cs="Calibri"/>
                <w:b/>
                <w:bCs/>
                <w:color w:val="FFFFFF"/>
                <w:sz w:val="12"/>
                <w:szCs w:val="12"/>
              </w:rPr>
            </w:pPr>
          </w:p>
        </w:tc>
        <w:tc>
          <w:tcPr>
            <w:tcW w:w="992" w:type="dxa"/>
            <w:vMerge/>
            <w:tcBorders>
              <w:top w:val="nil"/>
              <w:left w:val="nil"/>
              <w:bottom w:val="nil"/>
              <w:right w:val="single" w:sz="4" w:space="0" w:color="FFFFFF"/>
            </w:tcBorders>
            <w:vAlign w:val="center"/>
            <w:hideMark/>
          </w:tcPr>
          <w:p w14:paraId="2F18A089" w14:textId="77777777" w:rsidR="00A328EB" w:rsidRPr="005130E5" w:rsidRDefault="00A328EB" w:rsidP="00341FB2">
            <w:pPr>
              <w:rPr>
                <w:rFonts w:cs="Calibri"/>
                <w:b/>
                <w:bCs/>
                <w:color w:val="FFFFFF"/>
                <w:sz w:val="12"/>
                <w:szCs w:val="12"/>
              </w:rPr>
            </w:pPr>
          </w:p>
        </w:tc>
        <w:tc>
          <w:tcPr>
            <w:tcW w:w="992" w:type="dxa"/>
            <w:tcBorders>
              <w:top w:val="single" w:sz="4" w:space="0" w:color="FFFFFF"/>
              <w:left w:val="nil"/>
              <w:bottom w:val="nil"/>
              <w:right w:val="single" w:sz="4" w:space="0" w:color="FFFFFF"/>
            </w:tcBorders>
            <w:shd w:val="clear" w:color="000000" w:fill="0077BD"/>
            <w:noWrap/>
            <w:vAlign w:val="center"/>
            <w:hideMark/>
          </w:tcPr>
          <w:p w14:paraId="5ED361EA"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Przyjęte</w:t>
            </w:r>
          </w:p>
        </w:tc>
        <w:tc>
          <w:tcPr>
            <w:tcW w:w="992" w:type="dxa"/>
            <w:tcBorders>
              <w:top w:val="single" w:sz="4" w:space="0" w:color="FFFFFF"/>
              <w:left w:val="nil"/>
              <w:bottom w:val="nil"/>
              <w:right w:val="nil"/>
            </w:tcBorders>
            <w:shd w:val="clear" w:color="000000" w:fill="0077BD"/>
            <w:vAlign w:val="center"/>
            <w:hideMark/>
          </w:tcPr>
          <w:p w14:paraId="6E60260C"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Ponownie zastawione</w:t>
            </w:r>
          </w:p>
        </w:tc>
        <w:tc>
          <w:tcPr>
            <w:tcW w:w="992" w:type="dxa"/>
            <w:tcBorders>
              <w:top w:val="single" w:sz="4" w:space="0" w:color="FFFFFF"/>
              <w:left w:val="single" w:sz="4" w:space="0" w:color="FFFFFF"/>
              <w:bottom w:val="nil"/>
              <w:right w:val="single" w:sz="4" w:space="0" w:color="FFFFFF"/>
            </w:tcBorders>
            <w:shd w:val="clear" w:color="000000" w:fill="0077BD"/>
            <w:vAlign w:val="center"/>
            <w:hideMark/>
          </w:tcPr>
          <w:p w14:paraId="79A0849B" w14:textId="77777777" w:rsidR="00A328EB" w:rsidRPr="005130E5" w:rsidRDefault="00A328EB" w:rsidP="00341FB2">
            <w:pPr>
              <w:jc w:val="center"/>
              <w:rPr>
                <w:rFonts w:cs="Calibri"/>
                <w:b/>
                <w:bCs/>
                <w:color w:val="FFFFFF"/>
                <w:sz w:val="12"/>
                <w:szCs w:val="12"/>
              </w:rPr>
            </w:pPr>
            <w:r w:rsidRPr="005130E5">
              <w:rPr>
                <w:rFonts w:cs="Calibri"/>
                <w:b/>
                <w:bCs/>
                <w:color w:val="FFFFFF"/>
                <w:sz w:val="12"/>
                <w:szCs w:val="12"/>
              </w:rPr>
              <w:t>Możliwe do zastawienia</w:t>
            </w:r>
          </w:p>
        </w:tc>
        <w:tc>
          <w:tcPr>
            <w:tcW w:w="992" w:type="dxa"/>
            <w:vMerge/>
            <w:tcBorders>
              <w:top w:val="nil"/>
              <w:left w:val="single" w:sz="4" w:space="0" w:color="FFFFFF"/>
              <w:bottom w:val="nil"/>
              <w:right w:val="single" w:sz="4" w:space="0" w:color="FFFFFF"/>
            </w:tcBorders>
            <w:vAlign w:val="center"/>
            <w:hideMark/>
          </w:tcPr>
          <w:p w14:paraId="1E0C1E07" w14:textId="77777777" w:rsidR="00A328EB" w:rsidRPr="005130E5" w:rsidRDefault="00A328EB" w:rsidP="00341FB2">
            <w:pPr>
              <w:rPr>
                <w:rFonts w:cs="Calibri"/>
                <w:b/>
                <w:bCs/>
                <w:color w:val="FFFFFF"/>
                <w:sz w:val="12"/>
                <w:szCs w:val="12"/>
              </w:rPr>
            </w:pPr>
          </w:p>
        </w:tc>
      </w:tr>
      <w:tr w:rsidR="00A328EB" w:rsidRPr="00BB7C9E" w14:paraId="764C06C3" w14:textId="77777777" w:rsidTr="00CE60C6">
        <w:trPr>
          <w:trHeight w:val="227"/>
          <w:jc w:val="center"/>
        </w:trPr>
        <w:tc>
          <w:tcPr>
            <w:tcW w:w="2689" w:type="dxa"/>
            <w:tcBorders>
              <w:top w:val="nil"/>
              <w:left w:val="single" w:sz="4" w:space="0" w:color="FFFFFF"/>
              <w:bottom w:val="single" w:sz="8" w:space="0" w:color="0077BD"/>
              <w:right w:val="single" w:sz="4" w:space="0" w:color="0077BD"/>
            </w:tcBorders>
            <w:shd w:val="clear" w:color="auto" w:fill="auto"/>
            <w:noWrap/>
            <w:vAlign w:val="center"/>
            <w:hideMark/>
          </w:tcPr>
          <w:p w14:paraId="69F8A8A7" w14:textId="77777777" w:rsidR="00A328EB" w:rsidRPr="00BB7C9E" w:rsidRDefault="00A328EB" w:rsidP="00341FB2">
            <w:pPr>
              <w:rPr>
                <w:rFonts w:cs="Calibri"/>
                <w:color w:val="000000" w:themeColor="text1"/>
                <w:sz w:val="12"/>
                <w:szCs w:val="12"/>
              </w:rPr>
            </w:pPr>
          </w:p>
        </w:tc>
        <w:tc>
          <w:tcPr>
            <w:tcW w:w="992" w:type="dxa"/>
            <w:tcBorders>
              <w:top w:val="nil"/>
              <w:left w:val="nil"/>
              <w:bottom w:val="single" w:sz="8" w:space="0" w:color="0077BD"/>
              <w:right w:val="single" w:sz="4" w:space="0" w:color="0077BD"/>
            </w:tcBorders>
            <w:shd w:val="clear" w:color="auto" w:fill="auto"/>
            <w:noWrap/>
            <w:vAlign w:val="center"/>
            <w:hideMark/>
          </w:tcPr>
          <w:p w14:paraId="036AF972"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1</w:t>
            </w:r>
          </w:p>
        </w:tc>
        <w:tc>
          <w:tcPr>
            <w:tcW w:w="992" w:type="dxa"/>
            <w:tcBorders>
              <w:top w:val="nil"/>
              <w:left w:val="nil"/>
              <w:bottom w:val="single" w:sz="8" w:space="0" w:color="0077BD"/>
              <w:right w:val="single" w:sz="4" w:space="0" w:color="0077BD"/>
            </w:tcBorders>
            <w:shd w:val="clear" w:color="auto" w:fill="auto"/>
            <w:noWrap/>
            <w:vAlign w:val="center"/>
            <w:hideMark/>
          </w:tcPr>
          <w:p w14:paraId="39F037AC"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2</w:t>
            </w:r>
          </w:p>
        </w:tc>
        <w:tc>
          <w:tcPr>
            <w:tcW w:w="992" w:type="dxa"/>
            <w:tcBorders>
              <w:top w:val="nil"/>
              <w:left w:val="nil"/>
              <w:bottom w:val="single" w:sz="8" w:space="0" w:color="0077BD"/>
              <w:right w:val="single" w:sz="4" w:space="0" w:color="0077BD"/>
            </w:tcBorders>
            <w:shd w:val="clear" w:color="auto" w:fill="auto"/>
            <w:noWrap/>
            <w:vAlign w:val="center"/>
            <w:hideMark/>
          </w:tcPr>
          <w:p w14:paraId="4F94903C"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3</w:t>
            </w:r>
          </w:p>
        </w:tc>
        <w:tc>
          <w:tcPr>
            <w:tcW w:w="992" w:type="dxa"/>
            <w:tcBorders>
              <w:top w:val="nil"/>
              <w:left w:val="nil"/>
              <w:bottom w:val="single" w:sz="8" w:space="0" w:color="0077BD"/>
              <w:right w:val="single" w:sz="4" w:space="0" w:color="0077BD"/>
            </w:tcBorders>
            <w:shd w:val="clear" w:color="auto" w:fill="auto"/>
            <w:noWrap/>
            <w:vAlign w:val="center"/>
            <w:hideMark/>
          </w:tcPr>
          <w:p w14:paraId="116E23F8"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4</w:t>
            </w:r>
          </w:p>
        </w:tc>
        <w:tc>
          <w:tcPr>
            <w:tcW w:w="992" w:type="dxa"/>
            <w:tcBorders>
              <w:top w:val="nil"/>
              <w:left w:val="nil"/>
              <w:bottom w:val="single" w:sz="8" w:space="0" w:color="0077BD"/>
              <w:right w:val="single" w:sz="4" w:space="0" w:color="0077BD"/>
            </w:tcBorders>
            <w:shd w:val="clear" w:color="auto" w:fill="auto"/>
            <w:noWrap/>
            <w:vAlign w:val="center"/>
            <w:hideMark/>
          </w:tcPr>
          <w:p w14:paraId="49669039"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5</w:t>
            </w:r>
          </w:p>
        </w:tc>
        <w:tc>
          <w:tcPr>
            <w:tcW w:w="992" w:type="dxa"/>
            <w:tcBorders>
              <w:top w:val="nil"/>
              <w:left w:val="nil"/>
              <w:bottom w:val="single" w:sz="8" w:space="0" w:color="0077BD"/>
              <w:right w:val="single" w:sz="4" w:space="0" w:color="0077BD"/>
            </w:tcBorders>
            <w:shd w:val="clear" w:color="auto" w:fill="auto"/>
            <w:noWrap/>
            <w:vAlign w:val="center"/>
            <w:hideMark/>
          </w:tcPr>
          <w:p w14:paraId="7EB7BE35"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6</w:t>
            </w:r>
          </w:p>
        </w:tc>
        <w:tc>
          <w:tcPr>
            <w:tcW w:w="992" w:type="dxa"/>
            <w:tcBorders>
              <w:top w:val="nil"/>
              <w:left w:val="nil"/>
              <w:bottom w:val="single" w:sz="8" w:space="0" w:color="0077BD"/>
              <w:right w:val="single" w:sz="4" w:space="0" w:color="FFFFFF"/>
            </w:tcBorders>
            <w:shd w:val="clear" w:color="auto" w:fill="auto"/>
            <w:noWrap/>
            <w:vAlign w:val="center"/>
            <w:hideMark/>
          </w:tcPr>
          <w:p w14:paraId="6A08FFD9" w14:textId="77777777" w:rsidR="00A328EB" w:rsidRPr="00BB7C9E" w:rsidRDefault="00A328EB" w:rsidP="00341FB2">
            <w:pPr>
              <w:jc w:val="center"/>
              <w:rPr>
                <w:rFonts w:cs="Calibri"/>
                <w:color w:val="000000" w:themeColor="text1"/>
                <w:sz w:val="12"/>
                <w:szCs w:val="12"/>
              </w:rPr>
            </w:pPr>
            <w:r w:rsidRPr="00BB7C9E">
              <w:rPr>
                <w:rFonts w:cs="Calibri"/>
                <w:color w:val="000000" w:themeColor="text1"/>
                <w:sz w:val="12"/>
                <w:szCs w:val="12"/>
              </w:rPr>
              <w:t>7</w:t>
            </w:r>
          </w:p>
        </w:tc>
      </w:tr>
      <w:tr w:rsidR="00CE60C6" w:rsidRPr="00BB7C9E" w14:paraId="4E1EEFD5" w14:textId="77777777" w:rsidTr="00CE60C6">
        <w:trPr>
          <w:trHeight w:val="340"/>
          <w:jc w:val="center"/>
        </w:trPr>
        <w:tc>
          <w:tcPr>
            <w:tcW w:w="2689" w:type="dxa"/>
            <w:tcBorders>
              <w:top w:val="nil"/>
              <w:left w:val="single" w:sz="4" w:space="0" w:color="FFFFFF"/>
              <w:bottom w:val="single" w:sz="8" w:space="0" w:color="0077BD"/>
              <w:right w:val="single" w:sz="4" w:space="0" w:color="0077BD"/>
            </w:tcBorders>
            <w:shd w:val="clear" w:color="auto" w:fill="auto"/>
            <w:noWrap/>
            <w:vAlign w:val="center"/>
            <w:hideMark/>
          </w:tcPr>
          <w:p w14:paraId="5DAC6C5C" w14:textId="285FE4A5" w:rsidR="00CE60C6" w:rsidRPr="00BB7C9E" w:rsidRDefault="00CE60C6" w:rsidP="00CE60C6">
            <w:pPr>
              <w:rPr>
                <w:rFonts w:cs="Calibri"/>
                <w:b/>
                <w:bCs/>
                <w:color w:val="000000" w:themeColor="text1"/>
                <w:sz w:val="12"/>
                <w:szCs w:val="12"/>
              </w:rPr>
            </w:pPr>
            <w:r w:rsidRPr="00BB7C9E">
              <w:rPr>
                <w:rFonts w:cs="Calibri"/>
                <w:b/>
                <w:bCs/>
                <w:color w:val="000000" w:themeColor="text1"/>
                <w:sz w:val="12"/>
                <w:szCs w:val="12"/>
              </w:rPr>
              <w:t>Papiery dłużne (Nota 20</w:t>
            </w:r>
            <w:r>
              <w:rPr>
                <w:rFonts w:cs="Calibri"/>
                <w:b/>
                <w:bCs/>
                <w:color w:val="000000" w:themeColor="text1"/>
                <w:sz w:val="12"/>
                <w:szCs w:val="12"/>
              </w:rPr>
              <w:t>, 21, 22 i 23</w:t>
            </w:r>
            <w:r w:rsidRPr="00BB7C9E">
              <w:rPr>
                <w:rFonts w:cs="Calibri"/>
                <w:b/>
                <w:bCs/>
                <w:color w:val="000000" w:themeColor="text1"/>
                <w:sz w:val="12"/>
                <w:szCs w:val="12"/>
              </w:rPr>
              <w:t>),</w:t>
            </w:r>
            <w:r>
              <w:rPr>
                <w:rFonts w:cs="Calibri"/>
                <w:b/>
                <w:bCs/>
                <w:color w:val="000000" w:themeColor="text1"/>
                <w:sz w:val="12"/>
                <w:szCs w:val="12"/>
              </w:rPr>
              <w:br/>
            </w:r>
            <w:r w:rsidRPr="00BB7C9E">
              <w:rPr>
                <w:rFonts w:cs="Calibri"/>
                <w:b/>
                <w:bCs/>
                <w:color w:val="000000" w:themeColor="text1"/>
                <w:sz w:val="12"/>
                <w:szCs w:val="12"/>
              </w:rPr>
              <w:t>w tym:</w:t>
            </w:r>
          </w:p>
        </w:tc>
        <w:tc>
          <w:tcPr>
            <w:tcW w:w="992" w:type="dxa"/>
            <w:tcBorders>
              <w:top w:val="single" w:sz="8" w:space="0" w:color="0077BD"/>
              <w:left w:val="single" w:sz="4" w:space="0" w:color="0077BD"/>
              <w:bottom w:val="single" w:sz="8" w:space="0" w:color="0077BD"/>
              <w:right w:val="single" w:sz="4" w:space="0" w:color="0077BD"/>
            </w:tcBorders>
            <w:shd w:val="clear" w:color="auto" w:fill="auto"/>
            <w:noWrap/>
            <w:vAlign w:val="center"/>
          </w:tcPr>
          <w:p w14:paraId="3AC5F9A3" w14:textId="20DD4881"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35 876 137</w:t>
            </w:r>
          </w:p>
        </w:tc>
        <w:tc>
          <w:tcPr>
            <w:tcW w:w="992" w:type="dxa"/>
            <w:tcBorders>
              <w:top w:val="single" w:sz="8" w:space="0" w:color="0077BD"/>
              <w:left w:val="nil"/>
              <w:bottom w:val="single" w:sz="8" w:space="0" w:color="0077BD"/>
              <w:right w:val="single" w:sz="4" w:space="0" w:color="0077BD"/>
            </w:tcBorders>
            <w:shd w:val="clear" w:color="000000" w:fill="FFFFFF"/>
            <w:vAlign w:val="center"/>
          </w:tcPr>
          <w:p w14:paraId="5806B17D" w14:textId="1A84AEC6"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3 193 568</w:t>
            </w:r>
          </w:p>
        </w:tc>
        <w:tc>
          <w:tcPr>
            <w:tcW w:w="992" w:type="dxa"/>
            <w:tcBorders>
              <w:top w:val="single" w:sz="8" w:space="0" w:color="0077BD"/>
              <w:left w:val="nil"/>
              <w:bottom w:val="single" w:sz="8" w:space="0" w:color="0077BD"/>
              <w:right w:val="single" w:sz="4" w:space="0" w:color="0077BD"/>
            </w:tcBorders>
            <w:shd w:val="clear" w:color="000000" w:fill="FFFFFF"/>
            <w:vAlign w:val="center"/>
          </w:tcPr>
          <w:p w14:paraId="13D3E8FF" w14:textId="5B99AFD3"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31 141 370</w:t>
            </w:r>
          </w:p>
        </w:tc>
        <w:tc>
          <w:tcPr>
            <w:tcW w:w="992" w:type="dxa"/>
            <w:tcBorders>
              <w:top w:val="single" w:sz="8" w:space="0" w:color="0077BD"/>
              <w:left w:val="nil"/>
              <w:bottom w:val="single" w:sz="8" w:space="0" w:color="0077BD"/>
              <w:right w:val="single" w:sz="4" w:space="0" w:color="0077BD"/>
            </w:tcBorders>
            <w:shd w:val="clear" w:color="000000" w:fill="FFFFFF"/>
            <w:vAlign w:val="center"/>
          </w:tcPr>
          <w:p w14:paraId="439E3748" w14:textId="079B6AF3"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3 362 331</w:t>
            </w:r>
          </w:p>
        </w:tc>
        <w:tc>
          <w:tcPr>
            <w:tcW w:w="992" w:type="dxa"/>
            <w:tcBorders>
              <w:top w:val="single" w:sz="8" w:space="0" w:color="0077BD"/>
              <w:left w:val="nil"/>
              <w:bottom w:val="single" w:sz="8" w:space="0" w:color="0077BD"/>
              <w:right w:val="single" w:sz="4" w:space="0" w:color="0077BD"/>
            </w:tcBorders>
            <w:shd w:val="clear" w:color="000000" w:fill="FFFFFF"/>
            <w:vAlign w:val="center"/>
          </w:tcPr>
          <w:p w14:paraId="27BBAB49" w14:textId="113310D3"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w:t>
            </w:r>
          </w:p>
        </w:tc>
        <w:tc>
          <w:tcPr>
            <w:tcW w:w="992" w:type="dxa"/>
            <w:tcBorders>
              <w:top w:val="single" w:sz="8" w:space="0" w:color="0077BD"/>
              <w:left w:val="nil"/>
              <w:bottom w:val="single" w:sz="8" w:space="0" w:color="0077BD"/>
              <w:right w:val="single" w:sz="4" w:space="0" w:color="0077BD"/>
            </w:tcBorders>
            <w:shd w:val="clear" w:color="000000" w:fill="FFFFFF"/>
            <w:vAlign w:val="center"/>
          </w:tcPr>
          <w:p w14:paraId="65A6D919" w14:textId="340B08F8"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3 362 331</w:t>
            </w:r>
          </w:p>
        </w:tc>
        <w:tc>
          <w:tcPr>
            <w:tcW w:w="992" w:type="dxa"/>
            <w:tcBorders>
              <w:top w:val="single" w:sz="8" w:space="0" w:color="0077BD"/>
              <w:left w:val="nil"/>
              <w:bottom w:val="single" w:sz="8" w:space="0" w:color="0077BD"/>
              <w:right w:val="nil"/>
            </w:tcBorders>
            <w:shd w:val="clear" w:color="000000" w:fill="FFFFFF"/>
            <w:vAlign w:val="center"/>
          </w:tcPr>
          <w:p w14:paraId="4CE37C28" w14:textId="613F8E6D"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34 503 701</w:t>
            </w:r>
          </w:p>
        </w:tc>
      </w:tr>
      <w:tr w:rsidR="00CE60C6" w:rsidRPr="00BB7C9E" w14:paraId="49112DE5" w14:textId="77777777" w:rsidTr="00CE60C6">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13E3AE66"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 Bony pieniężne NBP</w:t>
            </w:r>
          </w:p>
        </w:tc>
        <w:tc>
          <w:tcPr>
            <w:tcW w:w="992" w:type="dxa"/>
            <w:tcBorders>
              <w:top w:val="nil"/>
              <w:left w:val="single" w:sz="4" w:space="0" w:color="0077BD"/>
              <w:bottom w:val="single" w:sz="4" w:space="0" w:color="0077BD"/>
              <w:right w:val="single" w:sz="4" w:space="0" w:color="0077BD"/>
            </w:tcBorders>
            <w:shd w:val="clear" w:color="auto" w:fill="auto"/>
            <w:noWrap/>
            <w:vAlign w:val="center"/>
          </w:tcPr>
          <w:p w14:paraId="20A647BD" w14:textId="06A13AFF"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3 219 627</w:t>
            </w:r>
          </w:p>
        </w:tc>
        <w:tc>
          <w:tcPr>
            <w:tcW w:w="992" w:type="dxa"/>
            <w:tcBorders>
              <w:top w:val="nil"/>
              <w:left w:val="nil"/>
              <w:bottom w:val="single" w:sz="4" w:space="0" w:color="0077BD"/>
              <w:right w:val="single" w:sz="4" w:space="0" w:color="0077BD"/>
            </w:tcBorders>
            <w:shd w:val="clear" w:color="auto" w:fill="auto"/>
            <w:vAlign w:val="center"/>
          </w:tcPr>
          <w:p w14:paraId="261AD87B" w14:textId="0CA0C2A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6EEFB0B6" w14:textId="42577C71"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3 219 627</w:t>
            </w:r>
          </w:p>
        </w:tc>
        <w:tc>
          <w:tcPr>
            <w:tcW w:w="992" w:type="dxa"/>
            <w:tcBorders>
              <w:top w:val="nil"/>
              <w:left w:val="nil"/>
              <w:bottom w:val="single" w:sz="4" w:space="0" w:color="0077BD"/>
              <w:right w:val="single" w:sz="4" w:space="0" w:color="0077BD"/>
            </w:tcBorders>
            <w:shd w:val="clear" w:color="auto" w:fill="auto"/>
            <w:vAlign w:val="center"/>
          </w:tcPr>
          <w:p w14:paraId="7C5B21A3" w14:textId="1340313E"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4F265D3B" w14:textId="481D7BFB"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0DD37362" w14:textId="20DC530C"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tcPr>
          <w:p w14:paraId="03FE2D01" w14:textId="793EB508"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3 219 627</w:t>
            </w:r>
          </w:p>
        </w:tc>
      </w:tr>
      <w:tr w:rsidR="00CE60C6" w:rsidRPr="00BB7C9E" w14:paraId="02861849" w14:textId="77777777" w:rsidTr="00E8588E">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331A7C50"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 Papiery skarbowe</w:t>
            </w:r>
          </w:p>
        </w:tc>
        <w:tc>
          <w:tcPr>
            <w:tcW w:w="992" w:type="dxa"/>
            <w:tcBorders>
              <w:top w:val="nil"/>
              <w:left w:val="single" w:sz="4" w:space="0" w:color="0077BD"/>
              <w:bottom w:val="single" w:sz="4" w:space="0" w:color="0077BD"/>
              <w:right w:val="single" w:sz="4" w:space="0" w:color="0077BD"/>
            </w:tcBorders>
            <w:shd w:val="clear" w:color="auto" w:fill="auto"/>
            <w:noWrap/>
            <w:vAlign w:val="center"/>
          </w:tcPr>
          <w:p w14:paraId="1A1FE5E7" w14:textId="13A2E82E"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28 880 004</w:t>
            </w:r>
          </w:p>
        </w:tc>
        <w:tc>
          <w:tcPr>
            <w:tcW w:w="992" w:type="dxa"/>
            <w:tcBorders>
              <w:top w:val="nil"/>
              <w:left w:val="nil"/>
              <w:bottom w:val="single" w:sz="4" w:space="0" w:color="0077BD"/>
              <w:right w:val="single" w:sz="4" w:space="0" w:color="0077BD"/>
            </w:tcBorders>
            <w:shd w:val="clear" w:color="auto" w:fill="auto"/>
            <w:vAlign w:val="center"/>
          </w:tcPr>
          <w:p w14:paraId="54C3846A" w14:textId="242B8981"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3 193 568</w:t>
            </w:r>
          </w:p>
        </w:tc>
        <w:tc>
          <w:tcPr>
            <w:tcW w:w="992" w:type="dxa"/>
            <w:tcBorders>
              <w:top w:val="nil"/>
              <w:left w:val="nil"/>
              <w:bottom w:val="single" w:sz="4" w:space="0" w:color="0077BD"/>
              <w:right w:val="single" w:sz="4" w:space="0" w:color="0077BD"/>
            </w:tcBorders>
            <w:shd w:val="clear" w:color="auto" w:fill="auto"/>
            <w:vAlign w:val="center"/>
          </w:tcPr>
          <w:p w14:paraId="6BBBCADE" w14:textId="7C6224AF"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25 686 436</w:t>
            </w:r>
          </w:p>
        </w:tc>
        <w:tc>
          <w:tcPr>
            <w:tcW w:w="992" w:type="dxa"/>
            <w:tcBorders>
              <w:top w:val="nil"/>
              <w:left w:val="nil"/>
              <w:bottom w:val="single" w:sz="4" w:space="0" w:color="0077BD"/>
              <w:right w:val="single" w:sz="4" w:space="0" w:color="0077BD"/>
            </w:tcBorders>
            <w:shd w:val="clear" w:color="auto" w:fill="auto"/>
            <w:vAlign w:val="center"/>
          </w:tcPr>
          <w:p w14:paraId="1E62AA3A" w14:textId="416380FE"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3 362 331</w:t>
            </w:r>
          </w:p>
        </w:tc>
        <w:tc>
          <w:tcPr>
            <w:tcW w:w="992" w:type="dxa"/>
            <w:tcBorders>
              <w:top w:val="nil"/>
              <w:left w:val="nil"/>
              <w:bottom w:val="single" w:sz="4" w:space="0" w:color="0077BD"/>
              <w:right w:val="single" w:sz="4" w:space="0" w:color="0077BD"/>
            </w:tcBorders>
            <w:shd w:val="clear" w:color="auto" w:fill="auto"/>
            <w:vAlign w:val="center"/>
          </w:tcPr>
          <w:p w14:paraId="4A29250C" w14:textId="581C8A02"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277F1D1F" w14:textId="19C6499E"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3 362 331</w:t>
            </w:r>
          </w:p>
        </w:tc>
        <w:tc>
          <w:tcPr>
            <w:tcW w:w="992" w:type="dxa"/>
            <w:tcBorders>
              <w:top w:val="nil"/>
              <w:left w:val="nil"/>
              <w:bottom w:val="single" w:sz="4" w:space="0" w:color="0077BD"/>
              <w:right w:val="nil"/>
            </w:tcBorders>
            <w:shd w:val="clear" w:color="auto" w:fill="auto"/>
            <w:vAlign w:val="center"/>
          </w:tcPr>
          <w:p w14:paraId="528CE6FB" w14:textId="75A3EF42"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29 048 767</w:t>
            </w:r>
          </w:p>
        </w:tc>
      </w:tr>
      <w:tr w:rsidR="00CE60C6" w:rsidRPr="00BB7C9E" w14:paraId="66381E8F" w14:textId="77777777" w:rsidTr="00E8588E">
        <w:trPr>
          <w:trHeight w:val="227"/>
          <w:jc w:val="center"/>
        </w:trPr>
        <w:tc>
          <w:tcPr>
            <w:tcW w:w="2689" w:type="dxa"/>
            <w:tcBorders>
              <w:top w:val="single" w:sz="4" w:space="0" w:color="0077BD"/>
              <w:left w:val="single" w:sz="4" w:space="0" w:color="FFFFFF"/>
              <w:bottom w:val="single" w:sz="8" w:space="0" w:color="0077BD"/>
              <w:right w:val="single" w:sz="4" w:space="0" w:color="0077BD"/>
            </w:tcBorders>
            <w:shd w:val="clear" w:color="auto" w:fill="auto"/>
            <w:noWrap/>
            <w:vAlign w:val="center"/>
            <w:hideMark/>
          </w:tcPr>
          <w:p w14:paraId="6D5E479D"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 Pozostałe papiery nieskarbowe</w:t>
            </w:r>
          </w:p>
        </w:tc>
        <w:tc>
          <w:tcPr>
            <w:tcW w:w="992" w:type="dxa"/>
            <w:tcBorders>
              <w:top w:val="single" w:sz="4" w:space="0" w:color="0077BD"/>
              <w:left w:val="single" w:sz="4" w:space="0" w:color="0077BD"/>
              <w:bottom w:val="single" w:sz="8" w:space="0" w:color="0077BD"/>
              <w:right w:val="single" w:sz="4" w:space="0" w:color="0077BD"/>
            </w:tcBorders>
            <w:shd w:val="clear" w:color="auto" w:fill="auto"/>
            <w:noWrap/>
            <w:vAlign w:val="center"/>
          </w:tcPr>
          <w:p w14:paraId="54EE3A7D" w14:textId="0E7A50A1"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3 776 506</w:t>
            </w:r>
          </w:p>
        </w:tc>
        <w:tc>
          <w:tcPr>
            <w:tcW w:w="992" w:type="dxa"/>
            <w:tcBorders>
              <w:top w:val="single" w:sz="4" w:space="0" w:color="0077BD"/>
              <w:left w:val="nil"/>
              <w:bottom w:val="single" w:sz="8" w:space="0" w:color="0077BD"/>
              <w:right w:val="single" w:sz="4" w:space="0" w:color="0077BD"/>
            </w:tcBorders>
            <w:shd w:val="clear" w:color="auto" w:fill="auto"/>
            <w:vAlign w:val="center"/>
          </w:tcPr>
          <w:p w14:paraId="52469FE8" w14:textId="4D6FC4B3"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tcPr>
          <w:p w14:paraId="7A716098" w14:textId="68A2D5AC"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2 235 307</w:t>
            </w:r>
          </w:p>
        </w:tc>
        <w:tc>
          <w:tcPr>
            <w:tcW w:w="992" w:type="dxa"/>
            <w:tcBorders>
              <w:top w:val="single" w:sz="4" w:space="0" w:color="0077BD"/>
              <w:left w:val="nil"/>
              <w:bottom w:val="single" w:sz="8" w:space="0" w:color="0077BD"/>
              <w:right w:val="single" w:sz="4" w:space="0" w:color="0077BD"/>
            </w:tcBorders>
            <w:shd w:val="clear" w:color="auto" w:fill="auto"/>
            <w:vAlign w:val="center"/>
          </w:tcPr>
          <w:p w14:paraId="6A9394D6" w14:textId="0093A0F4"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tcPr>
          <w:p w14:paraId="3AC1CC0E" w14:textId="1E17791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tcPr>
          <w:p w14:paraId="37BE07A8" w14:textId="6D3A4E71"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single" w:sz="4" w:space="0" w:color="0077BD"/>
              <w:left w:val="nil"/>
              <w:bottom w:val="single" w:sz="8" w:space="0" w:color="0077BD"/>
              <w:right w:val="nil"/>
            </w:tcBorders>
            <w:shd w:val="clear" w:color="auto" w:fill="auto"/>
            <w:vAlign w:val="center"/>
          </w:tcPr>
          <w:p w14:paraId="10389851" w14:textId="66F5DE8C"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2 235 307</w:t>
            </w:r>
          </w:p>
        </w:tc>
      </w:tr>
      <w:tr w:rsidR="00CE60C6" w:rsidRPr="00BB7C9E" w14:paraId="66F5BE4B" w14:textId="77777777" w:rsidTr="00CE60C6">
        <w:trPr>
          <w:trHeight w:val="340"/>
          <w:jc w:val="center"/>
        </w:trPr>
        <w:tc>
          <w:tcPr>
            <w:tcW w:w="2689" w:type="dxa"/>
            <w:tcBorders>
              <w:top w:val="nil"/>
              <w:left w:val="single" w:sz="4" w:space="0" w:color="FFFFFF"/>
              <w:bottom w:val="single" w:sz="4" w:space="0" w:color="0077BD"/>
              <w:right w:val="single" w:sz="4" w:space="0" w:color="0077BD"/>
            </w:tcBorders>
            <w:shd w:val="clear" w:color="auto" w:fill="auto"/>
            <w:vAlign w:val="center"/>
            <w:hideMark/>
          </w:tcPr>
          <w:p w14:paraId="11F94A90"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Zabezpieczenie gotówkowe (pod transakcje pochodne) (Nota 23)</w:t>
            </w:r>
          </w:p>
        </w:tc>
        <w:tc>
          <w:tcPr>
            <w:tcW w:w="992" w:type="dxa"/>
            <w:tcBorders>
              <w:top w:val="nil"/>
              <w:left w:val="single" w:sz="4" w:space="0" w:color="0077BD"/>
              <w:bottom w:val="single" w:sz="4" w:space="0" w:color="0077BD"/>
              <w:right w:val="single" w:sz="4" w:space="0" w:color="0077BD"/>
            </w:tcBorders>
            <w:shd w:val="clear" w:color="auto" w:fill="auto"/>
            <w:noWrap/>
            <w:vAlign w:val="center"/>
          </w:tcPr>
          <w:p w14:paraId="23AE3E65" w14:textId="7DB20A77"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417 698</w:t>
            </w:r>
          </w:p>
        </w:tc>
        <w:tc>
          <w:tcPr>
            <w:tcW w:w="992" w:type="dxa"/>
            <w:tcBorders>
              <w:top w:val="nil"/>
              <w:left w:val="nil"/>
              <w:bottom w:val="single" w:sz="4" w:space="0" w:color="0077BD"/>
              <w:right w:val="single" w:sz="4" w:space="0" w:color="0077BD"/>
            </w:tcBorders>
            <w:shd w:val="clear" w:color="auto" w:fill="auto"/>
            <w:vAlign w:val="center"/>
          </w:tcPr>
          <w:p w14:paraId="6E9C787D" w14:textId="228AAA0F"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417 698</w:t>
            </w:r>
          </w:p>
        </w:tc>
        <w:tc>
          <w:tcPr>
            <w:tcW w:w="992" w:type="dxa"/>
            <w:tcBorders>
              <w:top w:val="nil"/>
              <w:left w:val="nil"/>
              <w:bottom w:val="single" w:sz="4" w:space="0" w:color="0077BD"/>
              <w:right w:val="single" w:sz="4" w:space="0" w:color="0077BD"/>
            </w:tcBorders>
            <w:shd w:val="clear" w:color="auto" w:fill="auto"/>
            <w:vAlign w:val="center"/>
          </w:tcPr>
          <w:p w14:paraId="03C73E69" w14:textId="7E2D7FC6"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0DB2044F" w14:textId="351DE523"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015C0D17" w14:textId="3F30DC64"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436EDC49" w14:textId="69D69C2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tcPr>
          <w:p w14:paraId="0F05A774" w14:textId="03917045"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r>
      <w:tr w:rsidR="00CE60C6" w:rsidRPr="00BB7C9E" w14:paraId="6B9D3F99" w14:textId="77777777" w:rsidTr="00CE60C6">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vAlign w:val="center"/>
            <w:hideMark/>
          </w:tcPr>
          <w:p w14:paraId="7C922313"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Kredyty i pożyczki udzielone klientom</w:t>
            </w:r>
          </w:p>
        </w:tc>
        <w:tc>
          <w:tcPr>
            <w:tcW w:w="992" w:type="dxa"/>
            <w:tcBorders>
              <w:top w:val="nil"/>
              <w:left w:val="single" w:sz="4" w:space="0" w:color="0077BD"/>
              <w:bottom w:val="single" w:sz="4" w:space="0" w:color="0077BD"/>
              <w:right w:val="single" w:sz="4" w:space="0" w:color="0077BD"/>
            </w:tcBorders>
            <w:shd w:val="clear" w:color="auto" w:fill="auto"/>
            <w:noWrap/>
            <w:vAlign w:val="center"/>
          </w:tcPr>
          <w:p w14:paraId="0D589C52" w14:textId="19C0A4F9"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105 347 475</w:t>
            </w:r>
          </w:p>
        </w:tc>
        <w:tc>
          <w:tcPr>
            <w:tcW w:w="992" w:type="dxa"/>
            <w:tcBorders>
              <w:top w:val="nil"/>
              <w:left w:val="nil"/>
              <w:bottom w:val="single" w:sz="4" w:space="0" w:color="0077BD"/>
              <w:right w:val="single" w:sz="4" w:space="0" w:color="0077BD"/>
            </w:tcBorders>
            <w:shd w:val="clear" w:color="auto" w:fill="auto"/>
            <w:noWrap/>
            <w:vAlign w:val="center"/>
          </w:tcPr>
          <w:p w14:paraId="1B71B88D" w14:textId="39BA541D"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10 311 838</w:t>
            </w:r>
          </w:p>
        </w:tc>
        <w:tc>
          <w:tcPr>
            <w:tcW w:w="992" w:type="dxa"/>
            <w:tcBorders>
              <w:top w:val="nil"/>
              <w:left w:val="nil"/>
              <w:bottom w:val="single" w:sz="4" w:space="0" w:color="0077BD"/>
              <w:right w:val="single" w:sz="4" w:space="0" w:color="0077BD"/>
            </w:tcBorders>
            <w:shd w:val="clear" w:color="auto" w:fill="auto"/>
            <w:vAlign w:val="center"/>
          </w:tcPr>
          <w:p w14:paraId="74C1CCFD" w14:textId="0ADD2C28"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49E208F6" w14:textId="5DE2C353"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7F7E935D" w14:textId="56E08C67"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tcPr>
          <w:p w14:paraId="35E85A5C" w14:textId="1BD40482"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tcPr>
          <w:p w14:paraId="2DDF53C4" w14:textId="1CBAFB2A"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r>
      <w:tr w:rsidR="00CE60C6" w:rsidRPr="00BB7C9E" w14:paraId="71A16C7C" w14:textId="77777777" w:rsidTr="00CE60C6">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0A9DAFAB"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Zabezpieczenie rzeczowe</w:t>
            </w:r>
          </w:p>
        </w:tc>
        <w:tc>
          <w:tcPr>
            <w:tcW w:w="992" w:type="dxa"/>
            <w:tcBorders>
              <w:top w:val="nil"/>
              <w:left w:val="single" w:sz="4" w:space="0" w:color="0077BD"/>
              <w:bottom w:val="single" w:sz="4" w:space="0" w:color="0077BD"/>
              <w:right w:val="single" w:sz="4" w:space="0" w:color="0077BD"/>
            </w:tcBorders>
            <w:shd w:val="clear" w:color="auto" w:fill="auto"/>
            <w:noWrap/>
            <w:vAlign w:val="center"/>
          </w:tcPr>
          <w:p w14:paraId="5E68F9ED" w14:textId="22EF8AD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tcPr>
          <w:p w14:paraId="7C48EBE2" w14:textId="3F2C7355"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tcPr>
          <w:p w14:paraId="148E47CC" w14:textId="778AED41"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tcPr>
          <w:p w14:paraId="316518FA" w14:textId="113C70AD"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tcPr>
          <w:p w14:paraId="0E7C0DAF" w14:textId="6EA5C80D"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tcPr>
          <w:p w14:paraId="4825A467" w14:textId="2048D6B8"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noWrap/>
            <w:vAlign w:val="center"/>
          </w:tcPr>
          <w:p w14:paraId="6720D53D" w14:textId="3C32B0A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r>
      <w:tr w:rsidR="00CE60C6" w:rsidRPr="00BB7C9E" w14:paraId="1BFCD719" w14:textId="77777777" w:rsidTr="00CE60C6">
        <w:trPr>
          <w:trHeight w:val="227"/>
          <w:jc w:val="center"/>
        </w:trPr>
        <w:tc>
          <w:tcPr>
            <w:tcW w:w="2689" w:type="dxa"/>
            <w:tcBorders>
              <w:top w:val="nil"/>
              <w:left w:val="single" w:sz="4" w:space="0" w:color="FFFFFF"/>
              <w:bottom w:val="nil"/>
              <w:right w:val="single" w:sz="4" w:space="0" w:color="0077BD"/>
            </w:tcBorders>
            <w:shd w:val="clear" w:color="auto" w:fill="auto"/>
            <w:noWrap/>
            <w:vAlign w:val="center"/>
            <w:hideMark/>
          </w:tcPr>
          <w:p w14:paraId="58CBBD64" w14:textId="77777777" w:rsidR="00CE60C6" w:rsidRPr="00BB7C9E" w:rsidRDefault="00CE60C6" w:rsidP="00CE60C6">
            <w:pPr>
              <w:rPr>
                <w:rFonts w:cs="Calibri"/>
                <w:color w:val="000000" w:themeColor="text1"/>
                <w:sz w:val="12"/>
                <w:szCs w:val="12"/>
              </w:rPr>
            </w:pPr>
            <w:r w:rsidRPr="00BB7C9E">
              <w:rPr>
                <w:rFonts w:cs="Calibri"/>
                <w:color w:val="000000" w:themeColor="text1"/>
                <w:sz w:val="12"/>
                <w:szCs w:val="12"/>
              </w:rPr>
              <w:t>Pozostałe aktywa</w:t>
            </w:r>
          </w:p>
        </w:tc>
        <w:tc>
          <w:tcPr>
            <w:tcW w:w="992" w:type="dxa"/>
            <w:tcBorders>
              <w:top w:val="nil"/>
              <w:left w:val="single" w:sz="4" w:space="0" w:color="0077BD"/>
              <w:bottom w:val="nil"/>
              <w:right w:val="single" w:sz="4" w:space="0" w:color="0077BD"/>
            </w:tcBorders>
            <w:shd w:val="clear" w:color="auto" w:fill="auto"/>
            <w:noWrap/>
            <w:vAlign w:val="center"/>
          </w:tcPr>
          <w:p w14:paraId="1B2D9858" w14:textId="6E5E8F60"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17 079 273</w:t>
            </w:r>
          </w:p>
        </w:tc>
        <w:tc>
          <w:tcPr>
            <w:tcW w:w="992" w:type="dxa"/>
            <w:tcBorders>
              <w:top w:val="nil"/>
              <w:left w:val="nil"/>
              <w:bottom w:val="nil"/>
              <w:right w:val="single" w:sz="4" w:space="0" w:color="0077BD"/>
            </w:tcBorders>
            <w:shd w:val="clear" w:color="auto" w:fill="auto"/>
            <w:noWrap/>
            <w:vAlign w:val="center"/>
          </w:tcPr>
          <w:p w14:paraId="3F3A3AD7" w14:textId="2A6CB2B5"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tcPr>
          <w:p w14:paraId="37F01FE6" w14:textId="43557BEB"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tcPr>
          <w:p w14:paraId="12049393" w14:textId="5CDE0AB6"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tcPr>
          <w:p w14:paraId="549E19C9" w14:textId="3C10BA6D"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tcPr>
          <w:p w14:paraId="50501460" w14:textId="1017AF07"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c>
          <w:tcPr>
            <w:tcW w:w="992" w:type="dxa"/>
            <w:tcBorders>
              <w:top w:val="nil"/>
              <w:left w:val="nil"/>
              <w:bottom w:val="nil"/>
              <w:right w:val="nil"/>
            </w:tcBorders>
            <w:shd w:val="clear" w:color="auto" w:fill="auto"/>
            <w:noWrap/>
            <w:vAlign w:val="center"/>
          </w:tcPr>
          <w:p w14:paraId="2B2A9758" w14:textId="2D0F2DAF" w:rsidR="00CE60C6" w:rsidRPr="00CE60C6" w:rsidRDefault="00CE60C6" w:rsidP="00CE60C6">
            <w:pPr>
              <w:jc w:val="right"/>
              <w:rPr>
                <w:rFonts w:cs="Calibri"/>
                <w:color w:val="000000" w:themeColor="text1"/>
                <w:sz w:val="12"/>
                <w:szCs w:val="12"/>
              </w:rPr>
            </w:pPr>
            <w:r w:rsidRPr="00CE60C6">
              <w:rPr>
                <w:rFonts w:cs="Calibri"/>
                <w:color w:val="000000" w:themeColor="text1"/>
                <w:sz w:val="12"/>
                <w:szCs w:val="12"/>
              </w:rPr>
              <w:t>-</w:t>
            </w:r>
          </w:p>
        </w:tc>
      </w:tr>
      <w:tr w:rsidR="00CE60C6" w:rsidRPr="00BB7C9E" w14:paraId="2DE10DA8" w14:textId="77777777" w:rsidTr="00CE60C6">
        <w:trPr>
          <w:trHeight w:val="227"/>
          <w:jc w:val="center"/>
        </w:trPr>
        <w:tc>
          <w:tcPr>
            <w:tcW w:w="2689" w:type="dxa"/>
            <w:tcBorders>
              <w:top w:val="single" w:sz="8" w:space="0" w:color="0077BD"/>
              <w:left w:val="single" w:sz="4" w:space="0" w:color="FFFFFF"/>
              <w:bottom w:val="single" w:sz="8" w:space="0" w:color="0077BD"/>
              <w:right w:val="single" w:sz="4" w:space="0" w:color="0077BD"/>
            </w:tcBorders>
            <w:shd w:val="clear" w:color="auto" w:fill="auto"/>
            <w:noWrap/>
            <w:vAlign w:val="center"/>
            <w:hideMark/>
          </w:tcPr>
          <w:p w14:paraId="4DD4A28A" w14:textId="77777777" w:rsidR="00CE60C6" w:rsidRPr="00BB7C9E" w:rsidRDefault="00CE60C6" w:rsidP="00CE60C6">
            <w:pPr>
              <w:rPr>
                <w:rFonts w:cs="Calibri"/>
                <w:b/>
                <w:bCs/>
                <w:color w:val="000000" w:themeColor="text1"/>
                <w:sz w:val="12"/>
                <w:szCs w:val="12"/>
              </w:rPr>
            </w:pPr>
            <w:r w:rsidRPr="00BB7C9E">
              <w:rPr>
                <w:rFonts w:cs="Calibri"/>
                <w:b/>
                <w:bCs/>
                <w:color w:val="000000" w:themeColor="text1"/>
                <w:sz w:val="12"/>
                <w:szCs w:val="12"/>
              </w:rPr>
              <w:t>Razem</w:t>
            </w:r>
          </w:p>
        </w:tc>
        <w:tc>
          <w:tcPr>
            <w:tcW w:w="992" w:type="dxa"/>
            <w:tcBorders>
              <w:top w:val="single" w:sz="8" w:space="0" w:color="0077BD"/>
              <w:left w:val="single" w:sz="4" w:space="0" w:color="0077BD"/>
              <w:bottom w:val="single" w:sz="8" w:space="0" w:color="0077BD"/>
              <w:right w:val="single" w:sz="4" w:space="0" w:color="0077BD"/>
            </w:tcBorders>
            <w:shd w:val="clear" w:color="auto" w:fill="auto"/>
            <w:noWrap/>
            <w:vAlign w:val="center"/>
          </w:tcPr>
          <w:p w14:paraId="716C5468" w14:textId="6A0255AF"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158 720 583</w:t>
            </w:r>
          </w:p>
        </w:tc>
        <w:tc>
          <w:tcPr>
            <w:tcW w:w="992" w:type="dxa"/>
            <w:tcBorders>
              <w:top w:val="single" w:sz="8" w:space="0" w:color="0077BD"/>
              <w:left w:val="nil"/>
              <w:bottom w:val="single" w:sz="8" w:space="0" w:color="0077BD"/>
              <w:right w:val="single" w:sz="4" w:space="0" w:color="0077BD"/>
            </w:tcBorders>
            <w:shd w:val="clear" w:color="auto" w:fill="auto"/>
            <w:noWrap/>
            <w:vAlign w:val="center"/>
          </w:tcPr>
          <w:p w14:paraId="63EF1689" w14:textId="25854EDF"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13 923 104</w:t>
            </w:r>
          </w:p>
        </w:tc>
        <w:tc>
          <w:tcPr>
            <w:tcW w:w="992" w:type="dxa"/>
            <w:tcBorders>
              <w:top w:val="single" w:sz="8" w:space="0" w:color="0077BD"/>
              <w:left w:val="nil"/>
              <w:bottom w:val="single" w:sz="8" w:space="0" w:color="0077BD"/>
              <w:right w:val="single" w:sz="4" w:space="0" w:color="0077BD"/>
            </w:tcBorders>
            <w:shd w:val="clear" w:color="auto" w:fill="auto"/>
            <w:noWrap/>
            <w:vAlign w:val="center"/>
          </w:tcPr>
          <w:p w14:paraId="6640703E" w14:textId="67102002"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31 141 370</w:t>
            </w:r>
          </w:p>
        </w:tc>
        <w:tc>
          <w:tcPr>
            <w:tcW w:w="992" w:type="dxa"/>
            <w:tcBorders>
              <w:top w:val="single" w:sz="8" w:space="0" w:color="0077BD"/>
              <w:left w:val="nil"/>
              <w:bottom w:val="single" w:sz="8" w:space="0" w:color="0077BD"/>
              <w:right w:val="single" w:sz="4" w:space="0" w:color="0077BD"/>
            </w:tcBorders>
            <w:shd w:val="clear" w:color="auto" w:fill="auto"/>
            <w:noWrap/>
            <w:vAlign w:val="center"/>
          </w:tcPr>
          <w:p w14:paraId="511ED8A2" w14:textId="1A7C84CF"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3 362 331</w:t>
            </w:r>
          </w:p>
        </w:tc>
        <w:tc>
          <w:tcPr>
            <w:tcW w:w="992" w:type="dxa"/>
            <w:tcBorders>
              <w:top w:val="single" w:sz="8" w:space="0" w:color="0077BD"/>
              <w:left w:val="nil"/>
              <w:bottom w:val="single" w:sz="8" w:space="0" w:color="0077BD"/>
              <w:right w:val="single" w:sz="4" w:space="0" w:color="0077BD"/>
            </w:tcBorders>
            <w:shd w:val="clear" w:color="auto" w:fill="auto"/>
            <w:noWrap/>
            <w:vAlign w:val="center"/>
          </w:tcPr>
          <w:p w14:paraId="27699E16" w14:textId="2F871861"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w:t>
            </w:r>
          </w:p>
        </w:tc>
        <w:tc>
          <w:tcPr>
            <w:tcW w:w="992" w:type="dxa"/>
            <w:tcBorders>
              <w:top w:val="single" w:sz="8" w:space="0" w:color="0077BD"/>
              <w:left w:val="nil"/>
              <w:bottom w:val="single" w:sz="8" w:space="0" w:color="0077BD"/>
              <w:right w:val="single" w:sz="4" w:space="0" w:color="0077BD"/>
            </w:tcBorders>
            <w:shd w:val="clear" w:color="auto" w:fill="auto"/>
            <w:noWrap/>
            <w:vAlign w:val="center"/>
          </w:tcPr>
          <w:p w14:paraId="19E286AA" w14:textId="785C7882"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3 362 331</w:t>
            </w:r>
          </w:p>
        </w:tc>
        <w:tc>
          <w:tcPr>
            <w:tcW w:w="992" w:type="dxa"/>
            <w:tcBorders>
              <w:top w:val="single" w:sz="8" w:space="0" w:color="0077BD"/>
              <w:left w:val="nil"/>
              <w:bottom w:val="single" w:sz="8" w:space="0" w:color="0077BD"/>
              <w:right w:val="nil"/>
            </w:tcBorders>
            <w:shd w:val="clear" w:color="auto" w:fill="auto"/>
            <w:noWrap/>
            <w:vAlign w:val="center"/>
          </w:tcPr>
          <w:p w14:paraId="2254E4FA" w14:textId="11E8DC8B" w:rsidR="00CE60C6" w:rsidRPr="00CE60C6" w:rsidRDefault="00CE60C6" w:rsidP="00CE60C6">
            <w:pPr>
              <w:jc w:val="right"/>
              <w:rPr>
                <w:rFonts w:cs="Calibri"/>
                <w:b/>
                <w:bCs/>
                <w:color w:val="000000" w:themeColor="text1"/>
                <w:sz w:val="12"/>
                <w:szCs w:val="12"/>
              </w:rPr>
            </w:pPr>
            <w:r w:rsidRPr="00CE60C6">
              <w:rPr>
                <w:rFonts w:cs="Calibri"/>
                <w:b/>
                <w:bCs/>
                <w:color w:val="000000" w:themeColor="text1"/>
                <w:sz w:val="12"/>
                <w:szCs w:val="12"/>
              </w:rPr>
              <w:t>34 503 701</w:t>
            </w:r>
          </w:p>
        </w:tc>
      </w:tr>
    </w:tbl>
    <w:p w14:paraId="7AEB9250" w14:textId="0DB9B63E" w:rsidR="00B14C27" w:rsidRPr="00B14C27" w:rsidRDefault="00B14C27">
      <w:pPr>
        <w:rPr>
          <w:rFonts w:cs="Tahoma"/>
          <w:color w:val="201C17"/>
          <w:sz w:val="12"/>
          <w:szCs w:val="12"/>
        </w:rPr>
      </w:pPr>
    </w:p>
    <w:tbl>
      <w:tblPr>
        <w:tblW w:w="0" w:type="auto"/>
        <w:jc w:val="center"/>
        <w:tblLayout w:type="fixed"/>
        <w:tblCellMar>
          <w:left w:w="28" w:type="dxa"/>
          <w:right w:w="28" w:type="dxa"/>
        </w:tblCellMar>
        <w:tblLook w:val="04A0" w:firstRow="1" w:lastRow="0" w:firstColumn="1" w:lastColumn="0" w:noHBand="0" w:noVBand="1"/>
      </w:tblPr>
      <w:tblGrid>
        <w:gridCol w:w="2689"/>
        <w:gridCol w:w="992"/>
        <w:gridCol w:w="992"/>
        <w:gridCol w:w="992"/>
        <w:gridCol w:w="992"/>
        <w:gridCol w:w="992"/>
        <w:gridCol w:w="992"/>
        <w:gridCol w:w="992"/>
      </w:tblGrid>
      <w:tr w:rsidR="00F7033E" w:rsidRPr="005130E5" w14:paraId="09964D04" w14:textId="77777777" w:rsidTr="005625B4">
        <w:trPr>
          <w:trHeight w:val="227"/>
          <w:jc w:val="center"/>
        </w:trPr>
        <w:tc>
          <w:tcPr>
            <w:tcW w:w="2689" w:type="dxa"/>
            <w:vMerge w:val="restart"/>
            <w:tcBorders>
              <w:top w:val="nil"/>
              <w:left w:val="single" w:sz="4" w:space="0" w:color="FFFFFF"/>
              <w:bottom w:val="nil"/>
              <w:right w:val="single" w:sz="4" w:space="0" w:color="FFFFFF"/>
            </w:tcBorders>
            <w:shd w:val="clear" w:color="000000" w:fill="0077BD"/>
            <w:vAlign w:val="center"/>
            <w:hideMark/>
          </w:tcPr>
          <w:p w14:paraId="667E2182" w14:textId="77777777" w:rsidR="005130E5" w:rsidRPr="005130E5" w:rsidRDefault="005130E5" w:rsidP="005130E5">
            <w:pPr>
              <w:rPr>
                <w:rFonts w:cs="Calibri"/>
                <w:b/>
                <w:bCs/>
                <w:color w:val="FFFFFF"/>
                <w:sz w:val="12"/>
                <w:szCs w:val="12"/>
              </w:rPr>
            </w:pPr>
            <w:r w:rsidRPr="005130E5">
              <w:rPr>
                <w:rFonts w:cs="Calibri"/>
                <w:b/>
                <w:bCs/>
                <w:color w:val="FFFFFF"/>
                <w:sz w:val="12"/>
                <w:szCs w:val="12"/>
              </w:rPr>
              <w:t>31.12.2018</w:t>
            </w:r>
          </w:p>
        </w:tc>
        <w:tc>
          <w:tcPr>
            <w:tcW w:w="992" w:type="dxa"/>
            <w:gridSpan w:val="3"/>
            <w:tcBorders>
              <w:top w:val="nil"/>
              <w:left w:val="nil"/>
              <w:bottom w:val="single" w:sz="4" w:space="0" w:color="FFFFFF"/>
              <w:right w:val="single" w:sz="4" w:space="0" w:color="FFFFFF"/>
            </w:tcBorders>
            <w:shd w:val="clear" w:color="000000" w:fill="0077BD"/>
            <w:vAlign w:val="center"/>
            <w:hideMark/>
          </w:tcPr>
          <w:p w14:paraId="0FD8579D"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Aktywa</w:t>
            </w:r>
          </w:p>
        </w:tc>
        <w:tc>
          <w:tcPr>
            <w:tcW w:w="992" w:type="dxa"/>
            <w:gridSpan w:val="3"/>
            <w:vMerge w:val="restart"/>
            <w:tcBorders>
              <w:left w:val="nil"/>
              <w:bottom w:val="single" w:sz="4" w:space="0" w:color="FFFFFF"/>
              <w:right w:val="single" w:sz="4" w:space="0" w:color="FFFFFF"/>
            </w:tcBorders>
            <w:shd w:val="clear" w:color="000000" w:fill="0077BD"/>
            <w:vAlign w:val="center"/>
            <w:hideMark/>
          </w:tcPr>
          <w:p w14:paraId="79A5DE46" w14:textId="30C39CF5" w:rsidR="005130E5" w:rsidRPr="005130E5" w:rsidRDefault="005130E5" w:rsidP="005130E5">
            <w:pPr>
              <w:jc w:val="center"/>
              <w:rPr>
                <w:rFonts w:cs="Calibri"/>
                <w:b/>
                <w:bCs/>
                <w:color w:val="FFFFFF"/>
                <w:sz w:val="12"/>
                <w:szCs w:val="12"/>
              </w:rPr>
            </w:pPr>
            <w:r w:rsidRPr="005130E5">
              <w:rPr>
                <w:rFonts w:cs="Calibri"/>
                <w:b/>
                <w:bCs/>
                <w:color w:val="FFFFFF"/>
                <w:sz w:val="12"/>
                <w:szCs w:val="12"/>
              </w:rPr>
              <w:t>Zabezpieczenia przyjęte w formie papierów wartościow</w:t>
            </w:r>
            <w:r w:rsidR="00872A3F">
              <w:rPr>
                <w:rFonts w:cs="Calibri"/>
                <w:b/>
                <w:bCs/>
                <w:color w:val="FFFFFF"/>
                <w:sz w:val="12"/>
                <w:szCs w:val="12"/>
              </w:rPr>
              <w:t>ych związane z transakcjami buy/</w:t>
            </w:r>
            <w:r w:rsidRPr="005130E5">
              <w:rPr>
                <w:rFonts w:cs="Calibri"/>
                <w:b/>
                <w:bCs/>
                <w:color w:val="FFFFFF"/>
                <w:sz w:val="12"/>
                <w:szCs w:val="12"/>
              </w:rPr>
              <w:t>sell back</w:t>
            </w: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6B4D2521"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Środki możliwe do zastawienia (3+6)</w:t>
            </w:r>
          </w:p>
        </w:tc>
      </w:tr>
      <w:tr w:rsidR="00F7033E" w:rsidRPr="005130E5" w14:paraId="2E573E58" w14:textId="77777777" w:rsidTr="005625B4">
        <w:trPr>
          <w:trHeight w:val="284"/>
          <w:jc w:val="center"/>
        </w:trPr>
        <w:tc>
          <w:tcPr>
            <w:tcW w:w="2689" w:type="dxa"/>
            <w:vMerge/>
            <w:tcBorders>
              <w:top w:val="nil"/>
              <w:left w:val="single" w:sz="4" w:space="0" w:color="FFFFFF"/>
              <w:bottom w:val="nil"/>
              <w:right w:val="single" w:sz="4" w:space="0" w:color="FFFFFF"/>
            </w:tcBorders>
            <w:vAlign w:val="center"/>
            <w:hideMark/>
          </w:tcPr>
          <w:p w14:paraId="661546D3" w14:textId="77777777" w:rsidR="005130E5" w:rsidRPr="005130E5" w:rsidRDefault="005130E5" w:rsidP="005130E5">
            <w:pPr>
              <w:rPr>
                <w:rFonts w:cs="Calibri"/>
                <w:b/>
                <w:bCs/>
                <w:color w:val="FFFFFF"/>
                <w:sz w:val="12"/>
                <w:szCs w:val="12"/>
              </w:rPr>
            </w:pP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594B0B94"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Aktywa ogółem</w:t>
            </w:r>
          </w:p>
        </w:tc>
        <w:tc>
          <w:tcPr>
            <w:tcW w:w="992" w:type="dxa"/>
            <w:vMerge w:val="restart"/>
            <w:tcBorders>
              <w:top w:val="nil"/>
              <w:left w:val="single" w:sz="4" w:space="0" w:color="FFFFFF"/>
              <w:bottom w:val="nil"/>
              <w:right w:val="single" w:sz="4" w:space="0" w:color="FFFFFF"/>
            </w:tcBorders>
            <w:shd w:val="clear" w:color="000000" w:fill="0077BD"/>
            <w:vAlign w:val="center"/>
            <w:hideMark/>
          </w:tcPr>
          <w:p w14:paraId="2F08216E"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Aktywa zastawione</w:t>
            </w:r>
          </w:p>
        </w:tc>
        <w:tc>
          <w:tcPr>
            <w:tcW w:w="992" w:type="dxa"/>
            <w:vMerge w:val="restart"/>
            <w:tcBorders>
              <w:top w:val="nil"/>
              <w:left w:val="nil"/>
              <w:bottom w:val="nil"/>
              <w:right w:val="single" w:sz="4" w:space="0" w:color="FFFFFF"/>
            </w:tcBorders>
            <w:shd w:val="clear" w:color="000000" w:fill="0077BD"/>
            <w:vAlign w:val="center"/>
            <w:hideMark/>
          </w:tcPr>
          <w:p w14:paraId="65F74BAE"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Aktywa możliwe do zastawienia</w:t>
            </w:r>
          </w:p>
        </w:tc>
        <w:tc>
          <w:tcPr>
            <w:tcW w:w="992" w:type="dxa"/>
            <w:gridSpan w:val="3"/>
            <w:vMerge/>
            <w:tcBorders>
              <w:top w:val="nil"/>
              <w:left w:val="nil"/>
              <w:bottom w:val="single" w:sz="4" w:space="0" w:color="FFFFFF"/>
              <w:right w:val="single" w:sz="4" w:space="0" w:color="FFFFFF"/>
            </w:tcBorders>
            <w:vAlign w:val="center"/>
            <w:hideMark/>
          </w:tcPr>
          <w:p w14:paraId="5B1F406E" w14:textId="77777777" w:rsidR="005130E5" w:rsidRPr="005130E5" w:rsidRDefault="005130E5" w:rsidP="005130E5">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58F79D37" w14:textId="77777777" w:rsidR="005130E5" w:rsidRPr="005130E5" w:rsidRDefault="005130E5" w:rsidP="005130E5">
            <w:pPr>
              <w:rPr>
                <w:rFonts w:cs="Calibri"/>
                <w:b/>
                <w:bCs/>
                <w:color w:val="FFFFFF"/>
                <w:sz w:val="12"/>
                <w:szCs w:val="12"/>
              </w:rPr>
            </w:pPr>
          </w:p>
        </w:tc>
      </w:tr>
      <w:tr w:rsidR="00F7033E" w:rsidRPr="005130E5" w14:paraId="02F4BE88" w14:textId="77777777" w:rsidTr="005625B4">
        <w:trPr>
          <w:trHeight w:val="397"/>
          <w:jc w:val="center"/>
        </w:trPr>
        <w:tc>
          <w:tcPr>
            <w:tcW w:w="2689" w:type="dxa"/>
            <w:vMerge/>
            <w:tcBorders>
              <w:top w:val="nil"/>
              <w:left w:val="single" w:sz="4" w:space="0" w:color="FFFFFF"/>
              <w:bottom w:val="nil"/>
              <w:right w:val="single" w:sz="4" w:space="0" w:color="FFFFFF"/>
            </w:tcBorders>
            <w:vAlign w:val="center"/>
            <w:hideMark/>
          </w:tcPr>
          <w:p w14:paraId="63FF7701" w14:textId="77777777" w:rsidR="005130E5" w:rsidRPr="005130E5" w:rsidRDefault="005130E5" w:rsidP="005130E5">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5A8554AD" w14:textId="77777777" w:rsidR="005130E5" w:rsidRPr="005130E5" w:rsidRDefault="005130E5" w:rsidP="005130E5">
            <w:pPr>
              <w:rPr>
                <w:rFonts w:cs="Calibri"/>
                <w:b/>
                <w:bCs/>
                <w:color w:val="FFFFFF"/>
                <w:sz w:val="12"/>
                <w:szCs w:val="12"/>
              </w:rPr>
            </w:pPr>
          </w:p>
        </w:tc>
        <w:tc>
          <w:tcPr>
            <w:tcW w:w="992" w:type="dxa"/>
            <w:vMerge/>
            <w:tcBorders>
              <w:top w:val="nil"/>
              <w:left w:val="single" w:sz="4" w:space="0" w:color="FFFFFF"/>
              <w:bottom w:val="nil"/>
              <w:right w:val="single" w:sz="4" w:space="0" w:color="FFFFFF"/>
            </w:tcBorders>
            <w:vAlign w:val="center"/>
            <w:hideMark/>
          </w:tcPr>
          <w:p w14:paraId="480E5F97" w14:textId="77777777" w:rsidR="005130E5" w:rsidRPr="005130E5" w:rsidRDefault="005130E5" w:rsidP="005130E5">
            <w:pPr>
              <w:rPr>
                <w:rFonts w:cs="Calibri"/>
                <w:b/>
                <w:bCs/>
                <w:color w:val="FFFFFF"/>
                <w:sz w:val="12"/>
                <w:szCs w:val="12"/>
              </w:rPr>
            </w:pPr>
          </w:p>
        </w:tc>
        <w:tc>
          <w:tcPr>
            <w:tcW w:w="992" w:type="dxa"/>
            <w:vMerge/>
            <w:tcBorders>
              <w:top w:val="nil"/>
              <w:left w:val="nil"/>
              <w:bottom w:val="nil"/>
              <w:right w:val="single" w:sz="4" w:space="0" w:color="FFFFFF"/>
            </w:tcBorders>
            <w:vAlign w:val="center"/>
            <w:hideMark/>
          </w:tcPr>
          <w:p w14:paraId="6A760F86" w14:textId="77777777" w:rsidR="005130E5" w:rsidRPr="005130E5" w:rsidRDefault="005130E5" w:rsidP="005130E5">
            <w:pPr>
              <w:rPr>
                <w:rFonts w:cs="Calibri"/>
                <w:b/>
                <w:bCs/>
                <w:color w:val="FFFFFF"/>
                <w:sz w:val="12"/>
                <w:szCs w:val="12"/>
              </w:rPr>
            </w:pPr>
          </w:p>
        </w:tc>
        <w:tc>
          <w:tcPr>
            <w:tcW w:w="992" w:type="dxa"/>
            <w:tcBorders>
              <w:top w:val="single" w:sz="4" w:space="0" w:color="FFFFFF"/>
              <w:left w:val="nil"/>
              <w:bottom w:val="nil"/>
              <w:right w:val="single" w:sz="4" w:space="0" w:color="FFFFFF"/>
            </w:tcBorders>
            <w:shd w:val="clear" w:color="000000" w:fill="0077BD"/>
            <w:noWrap/>
            <w:vAlign w:val="center"/>
            <w:hideMark/>
          </w:tcPr>
          <w:p w14:paraId="4E3E888E"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Przyjęte</w:t>
            </w:r>
          </w:p>
        </w:tc>
        <w:tc>
          <w:tcPr>
            <w:tcW w:w="992" w:type="dxa"/>
            <w:tcBorders>
              <w:top w:val="single" w:sz="4" w:space="0" w:color="FFFFFF"/>
              <w:left w:val="nil"/>
              <w:bottom w:val="nil"/>
              <w:right w:val="nil"/>
            </w:tcBorders>
            <w:shd w:val="clear" w:color="000000" w:fill="0077BD"/>
            <w:vAlign w:val="center"/>
            <w:hideMark/>
          </w:tcPr>
          <w:p w14:paraId="5009999C"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Ponownie zastawione</w:t>
            </w:r>
          </w:p>
        </w:tc>
        <w:tc>
          <w:tcPr>
            <w:tcW w:w="992" w:type="dxa"/>
            <w:tcBorders>
              <w:top w:val="single" w:sz="4" w:space="0" w:color="FFFFFF"/>
              <w:left w:val="single" w:sz="4" w:space="0" w:color="FFFFFF"/>
              <w:bottom w:val="nil"/>
              <w:right w:val="single" w:sz="4" w:space="0" w:color="FFFFFF"/>
            </w:tcBorders>
            <w:shd w:val="clear" w:color="000000" w:fill="0077BD"/>
            <w:vAlign w:val="center"/>
            <w:hideMark/>
          </w:tcPr>
          <w:p w14:paraId="1B56D056" w14:textId="77777777" w:rsidR="005130E5" w:rsidRPr="005130E5" w:rsidRDefault="005130E5" w:rsidP="005130E5">
            <w:pPr>
              <w:jc w:val="center"/>
              <w:rPr>
                <w:rFonts w:cs="Calibri"/>
                <w:b/>
                <w:bCs/>
                <w:color w:val="FFFFFF"/>
                <w:sz w:val="12"/>
                <w:szCs w:val="12"/>
              </w:rPr>
            </w:pPr>
            <w:r w:rsidRPr="005130E5">
              <w:rPr>
                <w:rFonts w:cs="Calibri"/>
                <w:b/>
                <w:bCs/>
                <w:color w:val="FFFFFF"/>
                <w:sz w:val="12"/>
                <w:szCs w:val="12"/>
              </w:rPr>
              <w:t>Możliwe do zastawienia</w:t>
            </w:r>
          </w:p>
        </w:tc>
        <w:tc>
          <w:tcPr>
            <w:tcW w:w="992" w:type="dxa"/>
            <w:vMerge/>
            <w:tcBorders>
              <w:top w:val="nil"/>
              <w:left w:val="single" w:sz="4" w:space="0" w:color="FFFFFF"/>
              <w:bottom w:val="nil"/>
              <w:right w:val="single" w:sz="4" w:space="0" w:color="FFFFFF"/>
            </w:tcBorders>
            <w:vAlign w:val="center"/>
            <w:hideMark/>
          </w:tcPr>
          <w:p w14:paraId="6C8344D6" w14:textId="77777777" w:rsidR="005130E5" w:rsidRPr="005130E5" w:rsidRDefault="005130E5" w:rsidP="005130E5">
            <w:pPr>
              <w:rPr>
                <w:rFonts w:cs="Calibri"/>
                <w:b/>
                <w:bCs/>
                <w:color w:val="FFFFFF"/>
                <w:sz w:val="12"/>
                <w:szCs w:val="12"/>
              </w:rPr>
            </w:pPr>
          </w:p>
        </w:tc>
      </w:tr>
      <w:tr w:rsidR="00F7033E" w:rsidRPr="00BB7C9E" w14:paraId="64AE8FA3" w14:textId="77777777" w:rsidTr="00985C41">
        <w:trPr>
          <w:trHeight w:val="227"/>
          <w:jc w:val="center"/>
        </w:trPr>
        <w:tc>
          <w:tcPr>
            <w:tcW w:w="2689" w:type="dxa"/>
            <w:tcBorders>
              <w:top w:val="nil"/>
              <w:left w:val="single" w:sz="4" w:space="0" w:color="FFFFFF"/>
              <w:bottom w:val="single" w:sz="8" w:space="0" w:color="0077BD"/>
              <w:right w:val="single" w:sz="4" w:space="0" w:color="0077BD"/>
            </w:tcBorders>
            <w:shd w:val="clear" w:color="auto" w:fill="auto"/>
            <w:noWrap/>
            <w:vAlign w:val="center"/>
            <w:hideMark/>
          </w:tcPr>
          <w:p w14:paraId="023E1365" w14:textId="1DE7A4A7" w:rsidR="005130E5" w:rsidRPr="00BB7C9E" w:rsidRDefault="005130E5" w:rsidP="005130E5">
            <w:pPr>
              <w:rPr>
                <w:rFonts w:cs="Calibri"/>
                <w:color w:val="000000" w:themeColor="text1"/>
                <w:sz w:val="12"/>
                <w:szCs w:val="12"/>
              </w:rPr>
            </w:pPr>
          </w:p>
        </w:tc>
        <w:tc>
          <w:tcPr>
            <w:tcW w:w="992" w:type="dxa"/>
            <w:tcBorders>
              <w:top w:val="nil"/>
              <w:left w:val="nil"/>
              <w:bottom w:val="single" w:sz="8" w:space="0" w:color="0077BD"/>
              <w:right w:val="single" w:sz="4" w:space="0" w:color="0077BD"/>
            </w:tcBorders>
            <w:shd w:val="clear" w:color="auto" w:fill="auto"/>
            <w:noWrap/>
            <w:vAlign w:val="center"/>
            <w:hideMark/>
          </w:tcPr>
          <w:p w14:paraId="227AAEB6"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1</w:t>
            </w:r>
          </w:p>
        </w:tc>
        <w:tc>
          <w:tcPr>
            <w:tcW w:w="992" w:type="dxa"/>
            <w:tcBorders>
              <w:top w:val="nil"/>
              <w:left w:val="nil"/>
              <w:bottom w:val="single" w:sz="8" w:space="0" w:color="0077BD"/>
              <w:right w:val="single" w:sz="4" w:space="0" w:color="0077BD"/>
            </w:tcBorders>
            <w:shd w:val="clear" w:color="auto" w:fill="auto"/>
            <w:noWrap/>
            <w:vAlign w:val="center"/>
            <w:hideMark/>
          </w:tcPr>
          <w:p w14:paraId="578D3C40"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2</w:t>
            </w:r>
          </w:p>
        </w:tc>
        <w:tc>
          <w:tcPr>
            <w:tcW w:w="992" w:type="dxa"/>
            <w:tcBorders>
              <w:top w:val="nil"/>
              <w:left w:val="nil"/>
              <w:bottom w:val="single" w:sz="8" w:space="0" w:color="0077BD"/>
              <w:right w:val="single" w:sz="4" w:space="0" w:color="0077BD"/>
            </w:tcBorders>
            <w:shd w:val="clear" w:color="auto" w:fill="auto"/>
            <w:noWrap/>
            <w:vAlign w:val="center"/>
            <w:hideMark/>
          </w:tcPr>
          <w:p w14:paraId="604D4807"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3</w:t>
            </w:r>
          </w:p>
        </w:tc>
        <w:tc>
          <w:tcPr>
            <w:tcW w:w="992" w:type="dxa"/>
            <w:tcBorders>
              <w:top w:val="nil"/>
              <w:left w:val="nil"/>
              <w:bottom w:val="single" w:sz="8" w:space="0" w:color="0077BD"/>
              <w:right w:val="single" w:sz="4" w:space="0" w:color="0077BD"/>
            </w:tcBorders>
            <w:shd w:val="clear" w:color="auto" w:fill="auto"/>
            <w:noWrap/>
            <w:vAlign w:val="center"/>
            <w:hideMark/>
          </w:tcPr>
          <w:p w14:paraId="0FD11A26"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4</w:t>
            </w:r>
          </w:p>
        </w:tc>
        <w:tc>
          <w:tcPr>
            <w:tcW w:w="992" w:type="dxa"/>
            <w:tcBorders>
              <w:top w:val="nil"/>
              <w:left w:val="nil"/>
              <w:bottom w:val="single" w:sz="8" w:space="0" w:color="0077BD"/>
              <w:right w:val="single" w:sz="4" w:space="0" w:color="0077BD"/>
            </w:tcBorders>
            <w:shd w:val="clear" w:color="auto" w:fill="auto"/>
            <w:noWrap/>
            <w:vAlign w:val="center"/>
            <w:hideMark/>
          </w:tcPr>
          <w:p w14:paraId="63E4E2F8"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5</w:t>
            </w:r>
          </w:p>
        </w:tc>
        <w:tc>
          <w:tcPr>
            <w:tcW w:w="992" w:type="dxa"/>
            <w:tcBorders>
              <w:top w:val="nil"/>
              <w:left w:val="nil"/>
              <w:bottom w:val="single" w:sz="8" w:space="0" w:color="0077BD"/>
              <w:right w:val="single" w:sz="4" w:space="0" w:color="0077BD"/>
            </w:tcBorders>
            <w:shd w:val="clear" w:color="auto" w:fill="auto"/>
            <w:noWrap/>
            <w:vAlign w:val="center"/>
            <w:hideMark/>
          </w:tcPr>
          <w:p w14:paraId="5EE422A7"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6</w:t>
            </w:r>
          </w:p>
        </w:tc>
        <w:tc>
          <w:tcPr>
            <w:tcW w:w="992" w:type="dxa"/>
            <w:tcBorders>
              <w:top w:val="nil"/>
              <w:left w:val="nil"/>
              <w:bottom w:val="single" w:sz="8" w:space="0" w:color="0077BD"/>
              <w:right w:val="single" w:sz="4" w:space="0" w:color="FFFFFF"/>
            </w:tcBorders>
            <w:shd w:val="clear" w:color="auto" w:fill="auto"/>
            <w:noWrap/>
            <w:vAlign w:val="center"/>
            <w:hideMark/>
          </w:tcPr>
          <w:p w14:paraId="71124359" w14:textId="77777777" w:rsidR="005130E5" w:rsidRPr="00BB7C9E" w:rsidRDefault="005130E5" w:rsidP="005130E5">
            <w:pPr>
              <w:jc w:val="center"/>
              <w:rPr>
                <w:rFonts w:cs="Calibri"/>
                <w:color w:val="000000" w:themeColor="text1"/>
                <w:sz w:val="12"/>
                <w:szCs w:val="12"/>
              </w:rPr>
            </w:pPr>
            <w:r w:rsidRPr="00BB7C9E">
              <w:rPr>
                <w:rFonts w:cs="Calibri"/>
                <w:color w:val="000000" w:themeColor="text1"/>
                <w:sz w:val="12"/>
                <w:szCs w:val="12"/>
              </w:rPr>
              <w:t>7</w:t>
            </w:r>
          </w:p>
        </w:tc>
      </w:tr>
      <w:tr w:rsidR="005130E5" w:rsidRPr="00BB7C9E" w14:paraId="478496C1" w14:textId="77777777" w:rsidTr="005625B4">
        <w:trPr>
          <w:trHeight w:val="340"/>
          <w:jc w:val="center"/>
        </w:trPr>
        <w:tc>
          <w:tcPr>
            <w:tcW w:w="2689" w:type="dxa"/>
            <w:tcBorders>
              <w:top w:val="nil"/>
              <w:left w:val="single" w:sz="4" w:space="0" w:color="FFFFFF"/>
              <w:bottom w:val="single" w:sz="8" w:space="0" w:color="0077BD"/>
              <w:right w:val="single" w:sz="4" w:space="0" w:color="0077BD"/>
            </w:tcBorders>
            <w:shd w:val="clear" w:color="auto" w:fill="auto"/>
            <w:noWrap/>
            <w:vAlign w:val="center"/>
            <w:hideMark/>
          </w:tcPr>
          <w:p w14:paraId="17C9460C" w14:textId="44E329FD" w:rsidR="005130E5" w:rsidRPr="00BB7C9E" w:rsidRDefault="005130E5" w:rsidP="005625B4">
            <w:pPr>
              <w:rPr>
                <w:rFonts w:cs="Calibri"/>
                <w:b/>
                <w:bCs/>
                <w:color w:val="000000" w:themeColor="text1"/>
                <w:sz w:val="12"/>
                <w:szCs w:val="12"/>
              </w:rPr>
            </w:pPr>
            <w:r w:rsidRPr="00BB7C9E">
              <w:rPr>
                <w:rFonts w:cs="Calibri"/>
                <w:b/>
                <w:bCs/>
                <w:color w:val="000000" w:themeColor="text1"/>
                <w:sz w:val="12"/>
                <w:szCs w:val="12"/>
              </w:rPr>
              <w:t>Papiery dłużne (Nota 20</w:t>
            </w:r>
            <w:r w:rsidR="00BA1E38">
              <w:rPr>
                <w:rFonts w:cs="Calibri"/>
                <w:b/>
                <w:bCs/>
                <w:color w:val="000000" w:themeColor="text1"/>
                <w:sz w:val="12"/>
                <w:szCs w:val="12"/>
              </w:rPr>
              <w:t>, 21</w:t>
            </w:r>
            <w:r w:rsidR="005625B4">
              <w:rPr>
                <w:rFonts w:cs="Calibri"/>
                <w:b/>
                <w:bCs/>
                <w:color w:val="000000" w:themeColor="text1"/>
                <w:sz w:val="12"/>
                <w:szCs w:val="12"/>
              </w:rPr>
              <w:t>, 22</w:t>
            </w:r>
            <w:r w:rsidR="00232565">
              <w:rPr>
                <w:rFonts w:cs="Calibri"/>
                <w:b/>
                <w:bCs/>
                <w:color w:val="000000" w:themeColor="text1"/>
                <w:sz w:val="12"/>
                <w:szCs w:val="12"/>
              </w:rPr>
              <w:t xml:space="preserve"> i 23</w:t>
            </w:r>
            <w:r w:rsidRPr="00BB7C9E">
              <w:rPr>
                <w:rFonts w:cs="Calibri"/>
                <w:b/>
                <w:bCs/>
                <w:color w:val="000000" w:themeColor="text1"/>
                <w:sz w:val="12"/>
                <w:szCs w:val="12"/>
              </w:rPr>
              <w:t>),</w:t>
            </w:r>
            <w:r w:rsidR="005625B4">
              <w:rPr>
                <w:rFonts w:cs="Calibri"/>
                <w:b/>
                <w:bCs/>
                <w:color w:val="000000" w:themeColor="text1"/>
                <w:sz w:val="12"/>
                <w:szCs w:val="12"/>
              </w:rPr>
              <w:br/>
            </w:r>
            <w:r w:rsidRPr="00BB7C9E">
              <w:rPr>
                <w:rFonts w:cs="Calibri"/>
                <w:b/>
                <w:bCs/>
                <w:color w:val="000000" w:themeColor="text1"/>
                <w:sz w:val="12"/>
                <w:szCs w:val="12"/>
              </w:rPr>
              <w:t>w tym:</w:t>
            </w:r>
          </w:p>
        </w:tc>
        <w:tc>
          <w:tcPr>
            <w:tcW w:w="992" w:type="dxa"/>
            <w:tcBorders>
              <w:top w:val="nil"/>
              <w:left w:val="nil"/>
              <w:bottom w:val="single" w:sz="8" w:space="0" w:color="0077BD"/>
              <w:right w:val="single" w:sz="4" w:space="0" w:color="0077BD"/>
            </w:tcBorders>
            <w:shd w:val="clear" w:color="auto" w:fill="auto"/>
            <w:noWrap/>
            <w:vAlign w:val="center"/>
            <w:hideMark/>
          </w:tcPr>
          <w:p w14:paraId="1F90E811"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25 393 341</w:t>
            </w:r>
          </w:p>
        </w:tc>
        <w:tc>
          <w:tcPr>
            <w:tcW w:w="992" w:type="dxa"/>
            <w:tcBorders>
              <w:top w:val="nil"/>
              <w:left w:val="nil"/>
              <w:bottom w:val="single" w:sz="8" w:space="0" w:color="0077BD"/>
              <w:right w:val="single" w:sz="4" w:space="0" w:color="0077BD"/>
            </w:tcBorders>
            <w:shd w:val="clear" w:color="000000" w:fill="FFFFFF"/>
            <w:vAlign w:val="center"/>
            <w:hideMark/>
          </w:tcPr>
          <w:p w14:paraId="1523A660"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2 745 396</w:t>
            </w:r>
          </w:p>
        </w:tc>
        <w:tc>
          <w:tcPr>
            <w:tcW w:w="992" w:type="dxa"/>
            <w:tcBorders>
              <w:top w:val="nil"/>
              <w:left w:val="nil"/>
              <w:bottom w:val="single" w:sz="8" w:space="0" w:color="0077BD"/>
              <w:right w:val="single" w:sz="4" w:space="0" w:color="0077BD"/>
            </w:tcBorders>
            <w:shd w:val="clear" w:color="000000" w:fill="FFFFFF"/>
            <w:vAlign w:val="center"/>
            <w:hideMark/>
          </w:tcPr>
          <w:p w14:paraId="13B26E52"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22 369 638</w:t>
            </w:r>
          </w:p>
        </w:tc>
        <w:tc>
          <w:tcPr>
            <w:tcW w:w="992" w:type="dxa"/>
            <w:tcBorders>
              <w:top w:val="nil"/>
              <w:left w:val="nil"/>
              <w:bottom w:val="single" w:sz="8" w:space="0" w:color="0077BD"/>
              <w:right w:val="single" w:sz="4" w:space="0" w:color="0077BD"/>
            </w:tcBorders>
            <w:shd w:val="clear" w:color="000000" w:fill="FFFFFF"/>
            <w:vAlign w:val="center"/>
            <w:hideMark/>
          </w:tcPr>
          <w:p w14:paraId="3F3EF12B"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1 480 632</w:t>
            </w:r>
          </w:p>
        </w:tc>
        <w:tc>
          <w:tcPr>
            <w:tcW w:w="992" w:type="dxa"/>
            <w:tcBorders>
              <w:top w:val="nil"/>
              <w:left w:val="nil"/>
              <w:bottom w:val="single" w:sz="8" w:space="0" w:color="0077BD"/>
              <w:right w:val="single" w:sz="4" w:space="0" w:color="0077BD"/>
            </w:tcBorders>
            <w:shd w:val="clear" w:color="000000" w:fill="FFFFFF"/>
            <w:vAlign w:val="center"/>
            <w:hideMark/>
          </w:tcPr>
          <w:p w14:paraId="6CB6CCFE"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599</w:t>
            </w:r>
          </w:p>
        </w:tc>
        <w:tc>
          <w:tcPr>
            <w:tcW w:w="992" w:type="dxa"/>
            <w:tcBorders>
              <w:top w:val="nil"/>
              <w:left w:val="nil"/>
              <w:bottom w:val="single" w:sz="8" w:space="0" w:color="0077BD"/>
              <w:right w:val="single" w:sz="4" w:space="0" w:color="0077BD"/>
            </w:tcBorders>
            <w:shd w:val="clear" w:color="000000" w:fill="FFFFFF"/>
            <w:vAlign w:val="center"/>
            <w:hideMark/>
          </w:tcPr>
          <w:p w14:paraId="3BE32C54"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1 480 033</w:t>
            </w:r>
          </w:p>
        </w:tc>
        <w:tc>
          <w:tcPr>
            <w:tcW w:w="992" w:type="dxa"/>
            <w:tcBorders>
              <w:top w:val="nil"/>
              <w:left w:val="nil"/>
              <w:bottom w:val="single" w:sz="8" w:space="0" w:color="0077BD"/>
              <w:right w:val="nil"/>
            </w:tcBorders>
            <w:shd w:val="clear" w:color="000000" w:fill="FFFFFF"/>
            <w:vAlign w:val="center"/>
            <w:hideMark/>
          </w:tcPr>
          <w:p w14:paraId="15285654" w14:textId="77777777" w:rsidR="005130E5" w:rsidRPr="00BB7C9E" w:rsidRDefault="005130E5" w:rsidP="005130E5">
            <w:pPr>
              <w:jc w:val="right"/>
              <w:rPr>
                <w:rFonts w:cs="Calibri"/>
                <w:b/>
                <w:bCs/>
                <w:color w:val="000000" w:themeColor="text1"/>
                <w:sz w:val="12"/>
                <w:szCs w:val="12"/>
              </w:rPr>
            </w:pPr>
            <w:r w:rsidRPr="00BB7C9E">
              <w:rPr>
                <w:rFonts w:cs="Calibri"/>
                <w:b/>
                <w:bCs/>
                <w:color w:val="000000" w:themeColor="text1"/>
                <w:sz w:val="12"/>
                <w:szCs w:val="12"/>
              </w:rPr>
              <w:t>23 849 671</w:t>
            </w:r>
          </w:p>
        </w:tc>
      </w:tr>
      <w:tr w:rsidR="00F7033E" w:rsidRPr="00BB7C9E" w14:paraId="4721E55B" w14:textId="77777777" w:rsidTr="00985C41">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44983378"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 Bony pieniężne NBP</w:t>
            </w:r>
          </w:p>
        </w:tc>
        <w:tc>
          <w:tcPr>
            <w:tcW w:w="992" w:type="dxa"/>
            <w:tcBorders>
              <w:top w:val="nil"/>
              <w:left w:val="nil"/>
              <w:bottom w:val="single" w:sz="4" w:space="0" w:color="0077BD"/>
              <w:right w:val="single" w:sz="4" w:space="0" w:color="0077BD"/>
            </w:tcBorders>
            <w:shd w:val="clear" w:color="auto" w:fill="auto"/>
            <w:noWrap/>
            <w:vAlign w:val="center"/>
            <w:hideMark/>
          </w:tcPr>
          <w:p w14:paraId="1DFB55C4"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589 901</w:t>
            </w:r>
          </w:p>
        </w:tc>
        <w:tc>
          <w:tcPr>
            <w:tcW w:w="992" w:type="dxa"/>
            <w:tcBorders>
              <w:top w:val="nil"/>
              <w:left w:val="nil"/>
              <w:bottom w:val="single" w:sz="4" w:space="0" w:color="0077BD"/>
              <w:right w:val="single" w:sz="4" w:space="0" w:color="0077BD"/>
            </w:tcBorders>
            <w:shd w:val="clear" w:color="auto" w:fill="auto"/>
            <w:vAlign w:val="center"/>
            <w:hideMark/>
          </w:tcPr>
          <w:p w14:paraId="4E160B81"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3EC442C2"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589 901</w:t>
            </w:r>
          </w:p>
        </w:tc>
        <w:tc>
          <w:tcPr>
            <w:tcW w:w="992" w:type="dxa"/>
            <w:tcBorders>
              <w:top w:val="nil"/>
              <w:left w:val="nil"/>
              <w:bottom w:val="single" w:sz="4" w:space="0" w:color="0077BD"/>
              <w:right w:val="single" w:sz="4" w:space="0" w:color="0077BD"/>
            </w:tcBorders>
            <w:shd w:val="clear" w:color="auto" w:fill="auto"/>
            <w:vAlign w:val="center"/>
            <w:hideMark/>
          </w:tcPr>
          <w:p w14:paraId="0A41DFBA"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1C308E7B"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0DD6C919"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hideMark/>
          </w:tcPr>
          <w:p w14:paraId="03ED715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589 901</w:t>
            </w:r>
          </w:p>
        </w:tc>
      </w:tr>
      <w:tr w:rsidR="00F7033E" w:rsidRPr="00BB7C9E" w14:paraId="60294656" w14:textId="77777777" w:rsidTr="00985C41">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7A68AA39"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 Papiery skarbowe</w:t>
            </w:r>
          </w:p>
        </w:tc>
        <w:tc>
          <w:tcPr>
            <w:tcW w:w="992" w:type="dxa"/>
            <w:tcBorders>
              <w:top w:val="nil"/>
              <w:left w:val="nil"/>
              <w:bottom w:val="single" w:sz="4" w:space="0" w:color="0077BD"/>
              <w:right w:val="single" w:sz="4" w:space="0" w:color="0077BD"/>
            </w:tcBorders>
            <w:shd w:val="clear" w:color="auto" w:fill="auto"/>
            <w:noWrap/>
            <w:vAlign w:val="center"/>
            <w:hideMark/>
          </w:tcPr>
          <w:p w14:paraId="1C574891"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22 035 917</w:t>
            </w:r>
          </w:p>
        </w:tc>
        <w:tc>
          <w:tcPr>
            <w:tcW w:w="992" w:type="dxa"/>
            <w:tcBorders>
              <w:top w:val="nil"/>
              <w:left w:val="nil"/>
              <w:bottom w:val="single" w:sz="4" w:space="0" w:color="0077BD"/>
              <w:right w:val="single" w:sz="4" w:space="0" w:color="0077BD"/>
            </w:tcBorders>
            <w:shd w:val="clear" w:color="auto" w:fill="auto"/>
            <w:vAlign w:val="center"/>
            <w:hideMark/>
          </w:tcPr>
          <w:p w14:paraId="5B879FE4"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2 745 396</w:t>
            </w:r>
          </w:p>
        </w:tc>
        <w:tc>
          <w:tcPr>
            <w:tcW w:w="992" w:type="dxa"/>
            <w:tcBorders>
              <w:top w:val="nil"/>
              <w:left w:val="nil"/>
              <w:bottom w:val="single" w:sz="4" w:space="0" w:color="0077BD"/>
              <w:right w:val="single" w:sz="4" w:space="0" w:color="0077BD"/>
            </w:tcBorders>
            <w:shd w:val="clear" w:color="auto" w:fill="auto"/>
            <w:vAlign w:val="center"/>
            <w:hideMark/>
          </w:tcPr>
          <w:p w14:paraId="7D0DD706"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19 290 521</w:t>
            </w:r>
          </w:p>
        </w:tc>
        <w:tc>
          <w:tcPr>
            <w:tcW w:w="992" w:type="dxa"/>
            <w:tcBorders>
              <w:top w:val="nil"/>
              <w:left w:val="nil"/>
              <w:bottom w:val="single" w:sz="4" w:space="0" w:color="0077BD"/>
              <w:right w:val="single" w:sz="4" w:space="0" w:color="0077BD"/>
            </w:tcBorders>
            <w:shd w:val="clear" w:color="auto" w:fill="auto"/>
            <w:vAlign w:val="center"/>
            <w:hideMark/>
          </w:tcPr>
          <w:p w14:paraId="16FF0249"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1 480 632</w:t>
            </w:r>
          </w:p>
        </w:tc>
        <w:tc>
          <w:tcPr>
            <w:tcW w:w="992" w:type="dxa"/>
            <w:tcBorders>
              <w:top w:val="nil"/>
              <w:left w:val="nil"/>
              <w:bottom w:val="single" w:sz="4" w:space="0" w:color="0077BD"/>
              <w:right w:val="single" w:sz="4" w:space="0" w:color="0077BD"/>
            </w:tcBorders>
            <w:shd w:val="clear" w:color="auto" w:fill="auto"/>
            <w:vAlign w:val="center"/>
            <w:hideMark/>
          </w:tcPr>
          <w:p w14:paraId="50075CCC"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599</w:t>
            </w:r>
          </w:p>
        </w:tc>
        <w:tc>
          <w:tcPr>
            <w:tcW w:w="992" w:type="dxa"/>
            <w:tcBorders>
              <w:top w:val="nil"/>
              <w:left w:val="nil"/>
              <w:bottom w:val="single" w:sz="4" w:space="0" w:color="0077BD"/>
              <w:right w:val="single" w:sz="4" w:space="0" w:color="0077BD"/>
            </w:tcBorders>
            <w:shd w:val="clear" w:color="auto" w:fill="auto"/>
            <w:vAlign w:val="center"/>
            <w:hideMark/>
          </w:tcPr>
          <w:p w14:paraId="457FD361"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1 480 033</w:t>
            </w:r>
          </w:p>
        </w:tc>
        <w:tc>
          <w:tcPr>
            <w:tcW w:w="992" w:type="dxa"/>
            <w:tcBorders>
              <w:top w:val="nil"/>
              <w:left w:val="nil"/>
              <w:bottom w:val="single" w:sz="4" w:space="0" w:color="0077BD"/>
              <w:right w:val="nil"/>
            </w:tcBorders>
            <w:shd w:val="clear" w:color="auto" w:fill="auto"/>
            <w:vAlign w:val="center"/>
            <w:hideMark/>
          </w:tcPr>
          <w:p w14:paraId="53DCFED6"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20 770 554</w:t>
            </w:r>
          </w:p>
        </w:tc>
      </w:tr>
      <w:tr w:rsidR="00F7033E" w:rsidRPr="00BB7C9E" w14:paraId="2E7FFD53" w14:textId="77777777" w:rsidTr="00985C41">
        <w:trPr>
          <w:trHeight w:val="227"/>
          <w:jc w:val="center"/>
        </w:trPr>
        <w:tc>
          <w:tcPr>
            <w:tcW w:w="2689" w:type="dxa"/>
            <w:tcBorders>
              <w:top w:val="single" w:sz="4" w:space="0" w:color="0077BD"/>
              <w:left w:val="single" w:sz="4" w:space="0" w:color="FFFFFF"/>
              <w:bottom w:val="single" w:sz="8" w:space="0" w:color="0077BD"/>
              <w:right w:val="single" w:sz="4" w:space="0" w:color="0077BD"/>
            </w:tcBorders>
            <w:shd w:val="clear" w:color="auto" w:fill="auto"/>
            <w:noWrap/>
            <w:vAlign w:val="center"/>
            <w:hideMark/>
          </w:tcPr>
          <w:p w14:paraId="2A7C2EFB"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 Pozostałe papiery nieskarbowe</w:t>
            </w:r>
          </w:p>
        </w:tc>
        <w:tc>
          <w:tcPr>
            <w:tcW w:w="992" w:type="dxa"/>
            <w:tcBorders>
              <w:top w:val="single" w:sz="4" w:space="0" w:color="0077BD"/>
              <w:left w:val="nil"/>
              <w:bottom w:val="single" w:sz="8" w:space="0" w:color="0077BD"/>
              <w:right w:val="single" w:sz="4" w:space="0" w:color="0077BD"/>
            </w:tcBorders>
            <w:shd w:val="clear" w:color="auto" w:fill="auto"/>
            <w:noWrap/>
            <w:vAlign w:val="center"/>
            <w:hideMark/>
          </w:tcPr>
          <w:p w14:paraId="79230F93"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2 767 523</w:t>
            </w:r>
          </w:p>
        </w:tc>
        <w:tc>
          <w:tcPr>
            <w:tcW w:w="992" w:type="dxa"/>
            <w:tcBorders>
              <w:top w:val="single" w:sz="4" w:space="0" w:color="0077BD"/>
              <w:left w:val="nil"/>
              <w:bottom w:val="single" w:sz="8" w:space="0" w:color="0077BD"/>
              <w:right w:val="single" w:sz="4" w:space="0" w:color="0077BD"/>
            </w:tcBorders>
            <w:shd w:val="clear" w:color="auto" w:fill="auto"/>
            <w:vAlign w:val="center"/>
            <w:hideMark/>
          </w:tcPr>
          <w:p w14:paraId="511963AD"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hideMark/>
          </w:tcPr>
          <w:p w14:paraId="5611C5A1"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2 489 216</w:t>
            </w:r>
          </w:p>
        </w:tc>
        <w:tc>
          <w:tcPr>
            <w:tcW w:w="992" w:type="dxa"/>
            <w:tcBorders>
              <w:top w:val="single" w:sz="4" w:space="0" w:color="0077BD"/>
              <w:left w:val="nil"/>
              <w:bottom w:val="single" w:sz="8" w:space="0" w:color="0077BD"/>
              <w:right w:val="single" w:sz="4" w:space="0" w:color="0077BD"/>
            </w:tcBorders>
            <w:shd w:val="clear" w:color="auto" w:fill="auto"/>
            <w:vAlign w:val="center"/>
            <w:hideMark/>
          </w:tcPr>
          <w:p w14:paraId="02D78CE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hideMark/>
          </w:tcPr>
          <w:p w14:paraId="22454479"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single" w:sz="4" w:space="0" w:color="0077BD"/>
              <w:left w:val="nil"/>
              <w:bottom w:val="single" w:sz="8" w:space="0" w:color="0077BD"/>
              <w:right w:val="single" w:sz="4" w:space="0" w:color="0077BD"/>
            </w:tcBorders>
            <w:shd w:val="clear" w:color="auto" w:fill="auto"/>
            <w:vAlign w:val="center"/>
            <w:hideMark/>
          </w:tcPr>
          <w:p w14:paraId="5660A58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single" w:sz="4" w:space="0" w:color="0077BD"/>
              <w:left w:val="nil"/>
              <w:bottom w:val="single" w:sz="8" w:space="0" w:color="0077BD"/>
              <w:right w:val="nil"/>
            </w:tcBorders>
            <w:shd w:val="clear" w:color="auto" w:fill="auto"/>
            <w:vAlign w:val="center"/>
            <w:hideMark/>
          </w:tcPr>
          <w:p w14:paraId="54BB3F80"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2 489 216</w:t>
            </w:r>
          </w:p>
        </w:tc>
      </w:tr>
      <w:tr w:rsidR="00F7033E" w:rsidRPr="00BB7C9E" w14:paraId="34D79B51" w14:textId="77777777" w:rsidTr="005625B4">
        <w:trPr>
          <w:trHeight w:val="340"/>
          <w:jc w:val="center"/>
        </w:trPr>
        <w:tc>
          <w:tcPr>
            <w:tcW w:w="2689" w:type="dxa"/>
            <w:tcBorders>
              <w:top w:val="nil"/>
              <w:left w:val="single" w:sz="4" w:space="0" w:color="FFFFFF"/>
              <w:bottom w:val="single" w:sz="4" w:space="0" w:color="0077BD"/>
              <w:right w:val="single" w:sz="4" w:space="0" w:color="0077BD"/>
            </w:tcBorders>
            <w:shd w:val="clear" w:color="auto" w:fill="auto"/>
            <w:vAlign w:val="center"/>
            <w:hideMark/>
          </w:tcPr>
          <w:p w14:paraId="7F261B3C"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Zabezpieczenie gotówkowe (pod transakcje pochodne) (Nota 23)</w:t>
            </w:r>
          </w:p>
        </w:tc>
        <w:tc>
          <w:tcPr>
            <w:tcW w:w="992" w:type="dxa"/>
            <w:tcBorders>
              <w:top w:val="nil"/>
              <w:left w:val="nil"/>
              <w:bottom w:val="single" w:sz="4" w:space="0" w:color="0077BD"/>
              <w:right w:val="single" w:sz="4" w:space="0" w:color="0077BD"/>
            </w:tcBorders>
            <w:shd w:val="clear" w:color="auto" w:fill="auto"/>
            <w:noWrap/>
            <w:vAlign w:val="center"/>
            <w:hideMark/>
          </w:tcPr>
          <w:p w14:paraId="73EFD4F0"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388 196</w:t>
            </w:r>
          </w:p>
        </w:tc>
        <w:tc>
          <w:tcPr>
            <w:tcW w:w="992" w:type="dxa"/>
            <w:tcBorders>
              <w:top w:val="nil"/>
              <w:left w:val="nil"/>
              <w:bottom w:val="single" w:sz="4" w:space="0" w:color="0077BD"/>
              <w:right w:val="single" w:sz="4" w:space="0" w:color="0077BD"/>
            </w:tcBorders>
            <w:shd w:val="clear" w:color="auto" w:fill="auto"/>
            <w:vAlign w:val="center"/>
            <w:hideMark/>
          </w:tcPr>
          <w:p w14:paraId="52C8FD0A"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388 196</w:t>
            </w:r>
          </w:p>
        </w:tc>
        <w:tc>
          <w:tcPr>
            <w:tcW w:w="992" w:type="dxa"/>
            <w:tcBorders>
              <w:top w:val="nil"/>
              <w:left w:val="nil"/>
              <w:bottom w:val="single" w:sz="4" w:space="0" w:color="0077BD"/>
              <w:right w:val="single" w:sz="4" w:space="0" w:color="0077BD"/>
            </w:tcBorders>
            <w:shd w:val="clear" w:color="auto" w:fill="auto"/>
            <w:vAlign w:val="center"/>
            <w:hideMark/>
          </w:tcPr>
          <w:p w14:paraId="03A03A3C"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34E6BBDB"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12C192E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272D99A9"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hideMark/>
          </w:tcPr>
          <w:p w14:paraId="1B6CB7E5"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r>
      <w:tr w:rsidR="00F7033E" w:rsidRPr="00BB7C9E" w14:paraId="36F63181" w14:textId="77777777" w:rsidTr="00985C41">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vAlign w:val="center"/>
            <w:hideMark/>
          </w:tcPr>
          <w:p w14:paraId="4E6E4512"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Kredyty i pożyczki udzielone klientom</w:t>
            </w:r>
          </w:p>
        </w:tc>
        <w:tc>
          <w:tcPr>
            <w:tcW w:w="992" w:type="dxa"/>
            <w:tcBorders>
              <w:top w:val="nil"/>
              <w:left w:val="nil"/>
              <w:bottom w:val="single" w:sz="4" w:space="0" w:color="0077BD"/>
              <w:right w:val="single" w:sz="4" w:space="0" w:color="0077BD"/>
            </w:tcBorders>
            <w:shd w:val="clear" w:color="auto" w:fill="auto"/>
            <w:noWrap/>
            <w:vAlign w:val="center"/>
            <w:hideMark/>
          </w:tcPr>
          <w:p w14:paraId="775CAACA"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94 765 753</w:t>
            </w:r>
          </w:p>
        </w:tc>
        <w:tc>
          <w:tcPr>
            <w:tcW w:w="992" w:type="dxa"/>
            <w:tcBorders>
              <w:top w:val="nil"/>
              <w:left w:val="nil"/>
              <w:bottom w:val="single" w:sz="4" w:space="0" w:color="0077BD"/>
              <w:right w:val="single" w:sz="4" w:space="0" w:color="0077BD"/>
            </w:tcBorders>
            <w:shd w:val="clear" w:color="auto" w:fill="auto"/>
            <w:noWrap/>
            <w:vAlign w:val="center"/>
            <w:hideMark/>
          </w:tcPr>
          <w:p w14:paraId="3910ECC3"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9 399 293</w:t>
            </w:r>
          </w:p>
        </w:tc>
        <w:tc>
          <w:tcPr>
            <w:tcW w:w="992" w:type="dxa"/>
            <w:tcBorders>
              <w:top w:val="nil"/>
              <w:left w:val="nil"/>
              <w:bottom w:val="single" w:sz="4" w:space="0" w:color="0077BD"/>
              <w:right w:val="single" w:sz="4" w:space="0" w:color="0077BD"/>
            </w:tcBorders>
            <w:shd w:val="clear" w:color="auto" w:fill="auto"/>
            <w:vAlign w:val="center"/>
            <w:hideMark/>
          </w:tcPr>
          <w:p w14:paraId="5957C589"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17420AAA"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5B9FD2D4"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vAlign w:val="center"/>
            <w:hideMark/>
          </w:tcPr>
          <w:p w14:paraId="1D67FC43"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vAlign w:val="center"/>
            <w:hideMark/>
          </w:tcPr>
          <w:p w14:paraId="394569BC"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r>
      <w:tr w:rsidR="005130E5" w:rsidRPr="00BB7C9E" w14:paraId="18F66175" w14:textId="77777777" w:rsidTr="00985C41">
        <w:trPr>
          <w:trHeight w:val="227"/>
          <w:jc w:val="center"/>
        </w:trPr>
        <w:tc>
          <w:tcPr>
            <w:tcW w:w="2689" w:type="dxa"/>
            <w:tcBorders>
              <w:top w:val="nil"/>
              <w:left w:val="single" w:sz="4" w:space="0" w:color="FFFFFF"/>
              <w:bottom w:val="single" w:sz="4" w:space="0" w:color="0077BD"/>
              <w:right w:val="single" w:sz="4" w:space="0" w:color="0077BD"/>
            </w:tcBorders>
            <w:shd w:val="clear" w:color="auto" w:fill="auto"/>
            <w:noWrap/>
            <w:vAlign w:val="center"/>
            <w:hideMark/>
          </w:tcPr>
          <w:p w14:paraId="1DD60465"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Zabezpieczenie rzeczowe</w:t>
            </w:r>
          </w:p>
        </w:tc>
        <w:tc>
          <w:tcPr>
            <w:tcW w:w="992" w:type="dxa"/>
            <w:tcBorders>
              <w:top w:val="nil"/>
              <w:left w:val="nil"/>
              <w:bottom w:val="single" w:sz="4" w:space="0" w:color="0077BD"/>
              <w:right w:val="single" w:sz="4" w:space="0" w:color="0077BD"/>
            </w:tcBorders>
            <w:shd w:val="clear" w:color="auto" w:fill="auto"/>
            <w:noWrap/>
            <w:vAlign w:val="center"/>
            <w:hideMark/>
          </w:tcPr>
          <w:p w14:paraId="36736B10"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hideMark/>
          </w:tcPr>
          <w:p w14:paraId="04DF0C86"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hideMark/>
          </w:tcPr>
          <w:p w14:paraId="7BF01DA2"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hideMark/>
          </w:tcPr>
          <w:p w14:paraId="45ADCF74"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hideMark/>
          </w:tcPr>
          <w:p w14:paraId="37FC7BDE"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single" w:sz="4" w:space="0" w:color="0077BD"/>
            </w:tcBorders>
            <w:shd w:val="clear" w:color="auto" w:fill="auto"/>
            <w:noWrap/>
            <w:vAlign w:val="center"/>
            <w:hideMark/>
          </w:tcPr>
          <w:p w14:paraId="6C28CE9C"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single" w:sz="4" w:space="0" w:color="0077BD"/>
              <w:right w:val="nil"/>
            </w:tcBorders>
            <w:shd w:val="clear" w:color="auto" w:fill="auto"/>
            <w:noWrap/>
            <w:vAlign w:val="center"/>
            <w:hideMark/>
          </w:tcPr>
          <w:p w14:paraId="748B2424"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r>
      <w:tr w:rsidR="005130E5" w:rsidRPr="00BB7C9E" w14:paraId="5FFC7CB8" w14:textId="77777777" w:rsidTr="00985C41">
        <w:trPr>
          <w:trHeight w:val="227"/>
          <w:jc w:val="center"/>
        </w:trPr>
        <w:tc>
          <w:tcPr>
            <w:tcW w:w="2689" w:type="dxa"/>
            <w:tcBorders>
              <w:top w:val="nil"/>
              <w:left w:val="single" w:sz="4" w:space="0" w:color="FFFFFF"/>
              <w:bottom w:val="nil"/>
              <w:right w:val="single" w:sz="4" w:space="0" w:color="0077BD"/>
            </w:tcBorders>
            <w:shd w:val="clear" w:color="auto" w:fill="auto"/>
            <w:noWrap/>
            <w:vAlign w:val="center"/>
            <w:hideMark/>
          </w:tcPr>
          <w:p w14:paraId="3F057A07" w14:textId="77777777" w:rsidR="005130E5" w:rsidRPr="00BB7C9E" w:rsidRDefault="005130E5" w:rsidP="005130E5">
            <w:pPr>
              <w:rPr>
                <w:rFonts w:cs="Calibri"/>
                <w:color w:val="000000" w:themeColor="text1"/>
                <w:sz w:val="12"/>
                <w:szCs w:val="12"/>
              </w:rPr>
            </w:pPr>
            <w:r w:rsidRPr="00BB7C9E">
              <w:rPr>
                <w:rFonts w:cs="Calibri"/>
                <w:color w:val="000000" w:themeColor="text1"/>
                <w:sz w:val="12"/>
                <w:szCs w:val="12"/>
              </w:rPr>
              <w:t>Pozostałe aktywa</w:t>
            </w:r>
          </w:p>
        </w:tc>
        <w:tc>
          <w:tcPr>
            <w:tcW w:w="992" w:type="dxa"/>
            <w:tcBorders>
              <w:top w:val="nil"/>
              <w:left w:val="nil"/>
              <w:bottom w:val="nil"/>
              <w:right w:val="single" w:sz="4" w:space="0" w:color="0077BD"/>
            </w:tcBorders>
            <w:shd w:val="clear" w:color="auto" w:fill="auto"/>
            <w:noWrap/>
            <w:vAlign w:val="center"/>
            <w:hideMark/>
          </w:tcPr>
          <w:p w14:paraId="5027450B"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25 202 829</w:t>
            </w:r>
          </w:p>
        </w:tc>
        <w:tc>
          <w:tcPr>
            <w:tcW w:w="992" w:type="dxa"/>
            <w:tcBorders>
              <w:top w:val="nil"/>
              <w:left w:val="nil"/>
              <w:bottom w:val="nil"/>
              <w:right w:val="single" w:sz="4" w:space="0" w:color="0077BD"/>
            </w:tcBorders>
            <w:shd w:val="clear" w:color="auto" w:fill="auto"/>
            <w:noWrap/>
            <w:vAlign w:val="center"/>
            <w:hideMark/>
          </w:tcPr>
          <w:p w14:paraId="0D90A36C"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hideMark/>
          </w:tcPr>
          <w:p w14:paraId="00DA135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hideMark/>
          </w:tcPr>
          <w:p w14:paraId="4924D7C8"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hideMark/>
          </w:tcPr>
          <w:p w14:paraId="2576F212"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nil"/>
              <w:right w:val="single" w:sz="4" w:space="0" w:color="0077BD"/>
            </w:tcBorders>
            <w:shd w:val="clear" w:color="auto" w:fill="auto"/>
            <w:noWrap/>
            <w:vAlign w:val="center"/>
            <w:hideMark/>
          </w:tcPr>
          <w:p w14:paraId="5F315662"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c>
          <w:tcPr>
            <w:tcW w:w="992" w:type="dxa"/>
            <w:tcBorders>
              <w:top w:val="nil"/>
              <w:left w:val="nil"/>
              <w:bottom w:val="nil"/>
              <w:right w:val="nil"/>
            </w:tcBorders>
            <w:shd w:val="clear" w:color="auto" w:fill="auto"/>
            <w:noWrap/>
            <w:vAlign w:val="center"/>
            <w:hideMark/>
          </w:tcPr>
          <w:p w14:paraId="02CBD023" w14:textId="77777777" w:rsidR="005130E5" w:rsidRPr="00BB7C9E" w:rsidRDefault="005130E5" w:rsidP="005130E5">
            <w:pPr>
              <w:jc w:val="right"/>
              <w:rPr>
                <w:rFonts w:cs="Calibri"/>
                <w:color w:val="000000" w:themeColor="text1"/>
                <w:sz w:val="12"/>
                <w:szCs w:val="12"/>
              </w:rPr>
            </w:pPr>
            <w:r w:rsidRPr="00BB7C9E">
              <w:rPr>
                <w:rFonts w:cs="Calibri"/>
                <w:color w:val="000000" w:themeColor="text1"/>
                <w:sz w:val="12"/>
                <w:szCs w:val="12"/>
              </w:rPr>
              <w:t>-</w:t>
            </w:r>
          </w:p>
        </w:tc>
      </w:tr>
      <w:tr w:rsidR="00F7033E" w:rsidRPr="00011FE0" w14:paraId="64C5CF71" w14:textId="77777777" w:rsidTr="00985C41">
        <w:trPr>
          <w:trHeight w:val="227"/>
          <w:jc w:val="center"/>
        </w:trPr>
        <w:tc>
          <w:tcPr>
            <w:tcW w:w="2689" w:type="dxa"/>
            <w:tcBorders>
              <w:top w:val="single" w:sz="8" w:space="0" w:color="0077BD"/>
              <w:left w:val="single" w:sz="4" w:space="0" w:color="FFFFFF"/>
              <w:bottom w:val="single" w:sz="8" w:space="0" w:color="0077BD"/>
              <w:right w:val="single" w:sz="4" w:space="0" w:color="0077BD"/>
            </w:tcBorders>
            <w:shd w:val="clear" w:color="auto" w:fill="auto"/>
            <w:noWrap/>
            <w:vAlign w:val="center"/>
            <w:hideMark/>
          </w:tcPr>
          <w:p w14:paraId="74498CEA" w14:textId="77777777" w:rsidR="00F7033E" w:rsidRPr="00011FE0" w:rsidRDefault="00F7033E" w:rsidP="00F7033E">
            <w:pPr>
              <w:rPr>
                <w:rFonts w:cs="Calibri"/>
                <w:b/>
                <w:bCs/>
                <w:color w:val="000000" w:themeColor="text1"/>
                <w:sz w:val="12"/>
                <w:szCs w:val="12"/>
              </w:rPr>
            </w:pPr>
            <w:r w:rsidRPr="00011FE0">
              <w:rPr>
                <w:rFonts w:cs="Calibri"/>
                <w:b/>
                <w:bCs/>
                <w:color w:val="000000" w:themeColor="text1"/>
                <w:sz w:val="12"/>
                <w:szCs w:val="12"/>
              </w:rPr>
              <w:t>Razem</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44AFD755" w14:textId="72CB4940" w:rsidR="00F7033E" w:rsidRPr="00011FE0" w:rsidRDefault="00F7033E" w:rsidP="00F7033E">
            <w:pPr>
              <w:jc w:val="center"/>
              <w:rPr>
                <w:rFonts w:cs="Calibri"/>
                <w:b/>
                <w:bCs/>
                <w:color w:val="000000" w:themeColor="text1"/>
                <w:sz w:val="12"/>
                <w:szCs w:val="12"/>
              </w:rPr>
            </w:pPr>
            <w:r w:rsidRPr="00011FE0">
              <w:rPr>
                <w:rFonts w:cs="Calibri"/>
                <w:b/>
                <w:bCs/>
                <w:color w:val="000000" w:themeColor="text1"/>
                <w:sz w:val="12"/>
                <w:szCs w:val="12"/>
              </w:rPr>
              <w:t>145 750 119</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28E4A821"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12 532 885</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6712C211"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22 369 638</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55ABFC56"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1 480 632</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41FC5A3D"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599</w:t>
            </w:r>
          </w:p>
        </w:tc>
        <w:tc>
          <w:tcPr>
            <w:tcW w:w="992" w:type="dxa"/>
            <w:tcBorders>
              <w:top w:val="single" w:sz="8" w:space="0" w:color="0077BD"/>
              <w:left w:val="nil"/>
              <w:bottom w:val="single" w:sz="8" w:space="0" w:color="0077BD"/>
              <w:right w:val="single" w:sz="4" w:space="0" w:color="0077BD"/>
            </w:tcBorders>
            <w:shd w:val="clear" w:color="auto" w:fill="auto"/>
            <w:noWrap/>
            <w:vAlign w:val="center"/>
            <w:hideMark/>
          </w:tcPr>
          <w:p w14:paraId="091EBEB0"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1 480 033</w:t>
            </w:r>
          </w:p>
        </w:tc>
        <w:tc>
          <w:tcPr>
            <w:tcW w:w="992" w:type="dxa"/>
            <w:tcBorders>
              <w:top w:val="single" w:sz="8" w:space="0" w:color="0077BD"/>
              <w:left w:val="nil"/>
              <w:bottom w:val="single" w:sz="8" w:space="0" w:color="0077BD"/>
              <w:right w:val="nil"/>
            </w:tcBorders>
            <w:shd w:val="clear" w:color="auto" w:fill="auto"/>
            <w:noWrap/>
            <w:vAlign w:val="center"/>
            <w:hideMark/>
          </w:tcPr>
          <w:p w14:paraId="7B862852" w14:textId="77777777" w:rsidR="00F7033E" w:rsidRPr="00011FE0" w:rsidRDefault="00F7033E" w:rsidP="00F7033E">
            <w:pPr>
              <w:jc w:val="right"/>
              <w:rPr>
                <w:rFonts w:cs="Calibri"/>
                <w:b/>
                <w:bCs/>
                <w:color w:val="000000" w:themeColor="text1"/>
                <w:sz w:val="12"/>
                <w:szCs w:val="12"/>
              </w:rPr>
            </w:pPr>
            <w:r w:rsidRPr="00011FE0">
              <w:rPr>
                <w:rFonts w:cs="Calibri"/>
                <w:b/>
                <w:bCs/>
                <w:color w:val="000000" w:themeColor="text1"/>
                <w:sz w:val="12"/>
                <w:szCs w:val="12"/>
              </w:rPr>
              <w:t>23 849 671</w:t>
            </w:r>
          </w:p>
        </w:tc>
      </w:tr>
    </w:tbl>
    <w:p w14:paraId="5DFAF67A" w14:textId="4BF7F84A" w:rsidR="00C4437F" w:rsidRPr="00BB7C9E" w:rsidRDefault="00C4437F" w:rsidP="00C4437F">
      <w:pPr>
        <w:spacing w:before="120"/>
        <w:jc w:val="both"/>
        <w:rPr>
          <w:color w:val="000000" w:themeColor="text1"/>
          <w:sz w:val="18"/>
          <w:szCs w:val="18"/>
        </w:rPr>
      </w:pPr>
      <w:r w:rsidRPr="00BB7C9E">
        <w:rPr>
          <w:color w:val="000000" w:themeColor="text1"/>
          <w:sz w:val="18"/>
          <w:szCs w:val="18"/>
        </w:rPr>
        <w:t>mB</w:t>
      </w:r>
      <w:r w:rsidR="00423455" w:rsidRPr="00BB7C9E">
        <w:rPr>
          <w:color w:val="000000" w:themeColor="text1"/>
          <w:sz w:val="18"/>
          <w:szCs w:val="18"/>
        </w:rPr>
        <w:t>ank Hipoteczny S.A. zabezpiecza</w:t>
      </w:r>
      <w:r w:rsidRPr="00BB7C9E">
        <w:rPr>
          <w:color w:val="000000" w:themeColor="text1"/>
          <w:sz w:val="18"/>
          <w:szCs w:val="18"/>
        </w:rPr>
        <w:t xml:space="preserve"> wyemitowane hipoteczne i publiczne listy zastawne wierzytelnościami z tytułu udzielonych kredytów i pożyczek. Wedłu</w:t>
      </w:r>
      <w:r w:rsidR="00320B5B" w:rsidRPr="00BB7C9E">
        <w:rPr>
          <w:color w:val="000000" w:themeColor="text1"/>
          <w:sz w:val="18"/>
          <w:szCs w:val="18"/>
        </w:rPr>
        <w:t>g stanu na dzień 31 grudnia 2019</w:t>
      </w:r>
      <w:r w:rsidRPr="00BB7C9E">
        <w:rPr>
          <w:color w:val="000000" w:themeColor="text1"/>
          <w:sz w:val="18"/>
          <w:szCs w:val="18"/>
        </w:rPr>
        <w:t xml:space="preserve"> roku wartość bilansowa netto kredytów wpisanych do rejestru hipotecznych i publicznych listów zastawnych, wykazanych powyżej </w:t>
      </w:r>
      <w:r w:rsidRPr="000D5036">
        <w:rPr>
          <w:color w:val="000000" w:themeColor="text1"/>
          <w:sz w:val="18"/>
          <w:szCs w:val="18"/>
        </w:rPr>
        <w:t>jako aktywa zastawione</w:t>
      </w:r>
      <w:r w:rsidR="00423455" w:rsidRPr="000D5036">
        <w:rPr>
          <w:color w:val="000000" w:themeColor="text1"/>
          <w:sz w:val="18"/>
          <w:szCs w:val="18"/>
        </w:rPr>
        <w:t>,</w:t>
      </w:r>
      <w:r w:rsidRPr="000D5036">
        <w:rPr>
          <w:color w:val="000000" w:themeColor="text1"/>
          <w:sz w:val="18"/>
          <w:szCs w:val="18"/>
        </w:rPr>
        <w:t xml:space="preserve"> wynosiła </w:t>
      </w:r>
      <w:r w:rsidR="003A4587" w:rsidRPr="000D5036">
        <w:rPr>
          <w:color w:val="000000" w:themeColor="text1"/>
          <w:sz w:val="18"/>
          <w:szCs w:val="18"/>
        </w:rPr>
        <w:t>10</w:t>
      </w:r>
      <w:r w:rsidR="008658F8" w:rsidRPr="000D5036">
        <w:rPr>
          <w:color w:val="000000" w:themeColor="text1"/>
          <w:sz w:val="18"/>
          <w:szCs w:val="18"/>
        </w:rPr>
        <w:t> 3</w:t>
      </w:r>
      <w:r w:rsidR="000D5036" w:rsidRPr="000D5036">
        <w:rPr>
          <w:color w:val="000000" w:themeColor="text1"/>
          <w:sz w:val="18"/>
          <w:szCs w:val="18"/>
        </w:rPr>
        <w:t>11</w:t>
      </w:r>
      <w:r w:rsidR="008658F8" w:rsidRPr="000D5036">
        <w:rPr>
          <w:color w:val="000000" w:themeColor="text1"/>
          <w:sz w:val="18"/>
          <w:szCs w:val="18"/>
        </w:rPr>
        <w:t> </w:t>
      </w:r>
      <w:r w:rsidR="000D5036" w:rsidRPr="000D5036">
        <w:rPr>
          <w:color w:val="000000" w:themeColor="text1"/>
          <w:sz w:val="18"/>
          <w:szCs w:val="18"/>
        </w:rPr>
        <w:t>838</w:t>
      </w:r>
      <w:r w:rsidR="008658F8" w:rsidRPr="000D5036">
        <w:rPr>
          <w:color w:val="000000" w:themeColor="text1"/>
          <w:sz w:val="18"/>
          <w:szCs w:val="18"/>
        </w:rPr>
        <w:t xml:space="preserve"> </w:t>
      </w:r>
      <w:r w:rsidRPr="000D5036">
        <w:rPr>
          <w:color w:val="000000" w:themeColor="text1"/>
          <w:sz w:val="18"/>
          <w:szCs w:val="18"/>
        </w:rPr>
        <w:t>tys. zł</w:t>
      </w:r>
      <w:r w:rsidR="00C91A2F" w:rsidRPr="000D5036">
        <w:rPr>
          <w:color w:val="000000" w:themeColor="text1"/>
          <w:sz w:val="18"/>
          <w:szCs w:val="18"/>
        </w:rPr>
        <w:t xml:space="preserve"> </w:t>
      </w:r>
      <w:r w:rsidR="00896720" w:rsidRPr="000D5036">
        <w:rPr>
          <w:color w:val="000000" w:themeColor="text1"/>
          <w:sz w:val="18"/>
          <w:szCs w:val="18"/>
        </w:rPr>
        <w:t>(31 gru</w:t>
      </w:r>
      <w:r w:rsidR="00320B5B" w:rsidRPr="000D5036">
        <w:rPr>
          <w:color w:val="000000" w:themeColor="text1"/>
          <w:sz w:val="18"/>
          <w:szCs w:val="18"/>
        </w:rPr>
        <w:t>dnia 2018</w:t>
      </w:r>
      <w:r w:rsidR="00FB41C6" w:rsidRPr="000D5036">
        <w:rPr>
          <w:color w:val="000000" w:themeColor="text1"/>
          <w:sz w:val="18"/>
          <w:szCs w:val="18"/>
        </w:rPr>
        <w:t xml:space="preserve"> roku</w:t>
      </w:r>
      <w:r w:rsidR="00674AA6" w:rsidRPr="000D5036">
        <w:rPr>
          <w:color w:val="000000" w:themeColor="text1"/>
          <w:sz w:val="18"/>
          <w:szCs w:val="18"/>
        </w:rPr>
        <w:t xml:space="preserve"> – </w:t>
      </w:r>
      <w:r w:rsidR="00320B5B" w:rsidRPr="000D5036">
        <w:rPr>
          <w:color w:val="000000" w:themeColor="text1"/>
          <w:sz w:val="18"/>
          <w:szCs w:val="18"/>
        </w:rPr>
        <w:t xml:space="preserve">9 399 293 </w:t>
      </w:r>
      <w:r w:rsidR="00C91A2F" w:rsidRPr="000D5036">
        <w:rPr>
          <w:color w:val="000000" w:themeColor="text1"/>
          <w:sz w:val="18"/>
          <w:szCs w:val="18"/>
        </w:rPr>
        <w:t>tys. zł)</w:t>
      </w:r>
      <w:r w:rsidRPr="000D5036">
        <w:rPr>
          <w:color w:val="000000" w:themeColor="text1"/>
          <w:sz w:val="18"/>
          <w:szCs w:val="18"/>
        </w:rPr>
        <w:t>.</w:t>
      </w:r>
      <w:r w:rsidRPr="00BB7C9E">
        <w:rPr>
          <w:color w:val="000000" w:themeColor="text1"/>
          <w:sz w:val="18"/>
          <w:szCs w:val="18"/>
        </w:rPr>
        <w:t xml:space="preserve"> </w:t>
      </w:r>
    </w:p>
    <w:p w14:paraId="7FCEA1E0" w14:textId="6FB545DB" w:rsidR="00F442A2" w:rsidRPr="00BB7C9E" w:rsidRDefault="00F442A2" w:rsidP="00D5514A">
      <w:pPr>
        <w:spacing w:before="120"/>
        <w:jc w:val="both"/>
        <w:rPr>
          <w:color w:val="000000" w:themeColor="text1"/>
          <w:sz w:val="18"/>
          <w:szCs w:val="18"/>
        </w:rPr>
      </w:pPr>
      <w:r w:rsidRPr="00BB7C9E">
        <w:rPr>
          <w:color w:val="000000" w:themeColor="text1"/>
          <w:sz w:val="18"/>
          <w:szCs w:val="18"/>
        </w:rPr>
        <w:t>Wartość papierów skarbowych wykazanych jako aktywa zastawion</w:t>
      </w:r>
      <w:r w:rsidR="00B812FE" w:rsidRPr="00BB7C9E">
        <w:rPr>
          <w:color w:val="000000" w:themeColor="text1"/>
          <w:sz w:val="18"/>
          <w:szCs w:val="18"/>
        </w:rPr>
        <w:t>e, poza zabezpieczen</w:t>
      </w:r>
      <w:r w:rsidR="00BA37FA">
        <w:rPr>
          <w:color w:val="000000" w:themeColor="text1"/>
          <w:sz w:val="18"/>
          <w:szCs w:val="18"/>
        </w:rPr>
        <w:t xml:space="preserve">iem transakcji sell/buy </w:t>
      </w:r>
      <w:r w:rsidR="00B812FE" w:rsidRPr="00BB7C9E">
        <w:rPr>
          <w:color w:val="000000" w:themeColor="text1"/>
          <w:sz w:val="18"/>
          <w:szCs w:val="18"/>
        </w:rPr>
        <w:t>back, obejmuje zabezpieczenie zobowią</w:t>
      </w:r>
      <w:r w:rsidR="00D5514A" w:rsidRPr="00BB7C9E">
        <w:rPr>
          <w:color w:val="000000" w:themeColor="text1"/>
          <w:sz w:val="18"/>
          <w:szCs w:val="18"/>
        </w:rPr>
        <w:t>zań Grupy z tytułu kredytów otrzymanych</w:t>
      </w:r>
      <w:r w:rsidRPr="00BB7C9E">
        <w:rPr>
          <w:color w:val="000000" w:themeColor="text1"/>
          <w:sz w:val="18"/>
          <w:szCs w:val="18"/>
        </w:rPr>
        <w:t xml:space="preserve"> z </w:t>
      </w:r>
      <w:r w:rsidR="00B812FE" w:rsidRPr="00BB7C9E">
        <w:rPr>
          <w:color w:val="000000" w:themeColor="text1"/>
          <w:sz w:val="18"/>
          <w:szCs w:val="18"/>
        </w:rPr>
        <w:t>EBI</w:t>
      </w:r>
      <w:r w:rsidR="001D52D2" w:rsidRPr="00BB7C9E">
        <w:rPr>
          <w:color w:val="000000" w:themeColor="text1"/>
          <w:sz w:val="18"/>
          <w:szCs w:val="18"/>
        </w:rPr>
        <w:t xml:space="preserve">, zabezpieczenie z tytułu depozytu przyjętego od klienta oraz zabezpieczenie funduszu </w:t>
      </w:r>
      <w:r w:rsidR="00A3456C" w:rsidRPr="00BB7C9E">
        <w:rPr>
          <w:color w:val="000000" w:themeColor="text1"/>
          <w:sz w:val="18"/>
          <w:szCs w:val="18"/>
        </w:rPr>
        <w:t>ochrony środków gwarantowanych BFG</w:t>
      </w:r>
      <w:r w:rsidR="00143F8B" w:rsidRPr="00BB7C9E">
        <w:rPr>
          <w:color w:val="000000" w:themeColor="text1"/>
          <w:sz w:val="18"/>
          <w:szCs w:val="18"/>
        </w:rPr>
        <w:t xml:space="preserve"> i zabezpieczenie zobowiązania do zapłaty na rzecz funduszu gwarancyjnego i</w:t>
      </w:r>
      <w:r w:rsidR="00CA099F">
        <w:rPr>
          <w:color w:val="000000" w:themeColor="text1"/>
          <w:sz w:val="18"/>
          <w:szCs w:val="18"/>
        </w:rPr>
        <w:t> </w:t>
      </w:r>
      <w:r w:rsidR="00143F8B" w:rsidRPr="00BB7C9E">
        <w:rPr>
          <w:color w:val="000000" w:themeColor="text1"/>
          <w:sz w:val="18"/>
          <w:szCs w:val="18"/>
        </w:rPr>
        <w:t>funduszu przymusowej restrukturyzacji BFG.</w:t>
      </w:r>
    </w:p>
    <w:p w14:paraId="2DA62C2B" w14:textId="5251F1CF" w:rsidR="002C2105" w:rsidRDefault="002C2105">
      <w:pPr>
        <w:rPr>
          <w:color w:val="000000" w:themeColor="text1"/>
          <w:sz w:val="18"/>
          <w:szCs w:val="18"/>
        </w:rPr>
      </w:pPr>
      <w:r>
        <w:rPr>
          <w:color w:val="000000" w:themeColor="text1"/>
          <w:sz w:val="18"/>
          <w:szCs w:val="18"/>
        </w:rPr>
        <w:br w:type="page"/>
      </w:r>
    </w:p>
    <w:p w14:paraId="0345BFA6" w14:textId="77777777" w:rsidR="00A160DF" w:rsidRDefault="00A160DF"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57" w:name="_Toc32999866"/>
      <w:r>
        <w:rPr>
          <w:rFonts w:cs="Tahoma"/>
          <w:bCs w:val="0"/>
          <w:iCs w:val="0"/>
          <w:color w:val="E41E0A"/>
          <w:sz w:val="18"/>
          <w:szCs w:val="18"/>
        </w:rPr>
        <w:lastRenderedPageBreak/>
        <w:t>Zarejestrowany kapitał akcyjny</w:t>
      </w:r>
      <w:bookmarkEnd w:id="157"/>
    </w:p>
    <w:p w14:paraId="1E4652DD" w14:textId="462E31A6" w:rsidR="001973B1" w:rsidRPr="00BB7C9E" w:rsidRDefault="0088075F" w:rsidP="00ED596F">
      <w:pPr>
        <w:spacing w:before="120"/>
        <w:jc w:val="both"/>
        <w:rPr>
          <w:color w:val="000000" w:themeColor="text1"/>
          <w:sz w:val="18"/>
          <w:szCs w:val="18"/>
        </w:rPr>
      </w:pPr>
      <w:r w:rsidRPr="00BB7C9E">
        <w:rPr>
          <w:rFonts w:cs="Tahoma"/>
          <w:color w:val="000000" w:themeColor="text1"/>
          <w:sz w:val="18"/>
          <w:szCs w:val="18"/>
          <w:lang w:eastAsia="en-US"/>
        </w:rPr>
        <w:t>Łączna liczba akcji zwyk</w:t>
      </w:r>
      <w:r w:rsidR="00257C56" w:rsidRPr="00BB7C9E">
        <w:rPr>
          <w:rFonts w:cs="Tahoma"/>
          <w:color w:val="000000" w:themeColor="text1"/>
          <w:sz w:val="18"/>
          <w:szCs w:val="18"/>
          <w:lang w:eastAsia="en-US"/>
        </w:rPr>
        <w:t>łych na dzień 31 grudnia 2019</w:t>
      </w:r>
      <w:r w:rsidRPr="00BB7C9E">
        <w:rPr>
          <w:rFonts w:cs="Tahoma"/>
          <w:color w:val="000000" w:themeColor="text1"/>
          <w:sz w:val="18"/>
          <w:szCs w:val="18"/>
          <w:lang w:eastAsia="en-US"/>
        </w:rPr>
        <w:t xml:space="preserve"> roku wyniosła </w:t>
      </w:r>
      <w:r w:rsidR="00086CC6" w:rsidRPr="00BB7C9E">
        <w:rPr>
          <w:rFonts w:cs="Tahoma"/>
          <w:color w:val="000000" w:themeColor="text1"/>
          <w:sz w:val="18"/>
          <w:szCs w:val="18"/>
          <w:lang w:eastAsia="en-US"/>
        </w:rPr>
        <w:t>42 350</w:t>
      </w:r>
      <w:r w:rsidR="00D5514A" w:rsidRPr="00BB7C9E">
        <w:rPr>
          <w:rFonts w:cs="Tahoma"/>
          <w:color w:val="000000" w:themeColor="text1"/>
          <w:sz w:val="18"/>
          <w:szCs w:val="18"/>
          <w:lang w:eastAsia="en-US"/>
        </w:rPr>
        <w:t> </w:t>
      </w:r>
      <w:r w:rsidR="00086CC6" w:rsidRPr="00BB7C9E">
        <w:rPr>
          <w:rFonts w:cs="Tahoma"/>
          <w:color w:val="000000" w:themeColor="text1"/>
          <w:sz w:val="18"/>
          <w:szCs w:val="18"/>
          <w:lang w:eastAsia="en-US"/>
        </w:rPr>
        <w:t>367</w:t>
      </w:r>
      <w:r w:rsidR="00D5514A" w:rsidRPr="00BB7C9E">
        <w:rPr>
          <w:rFonts w:cs="Tahoma"/>
          <w:color w:val="000000" w:themeColor="text1"/>
          <w:sz w:val="18"/>
          <w:szCs w:val="18"/>
          <w:lang w:eastAsia="en-US"/>
        </w:rPr>
        <w:t xml:space="preserve"> </w:t>
      </w:r>
      <w:r w:rsidR="00CE677E" w:rsidRPr="00BB7C9E">
        <w:rPr>
          <w:rFonts w:cs="Tahoma"/>
          <w:color w:val="000000" w:themeColor="text1"/>
          <w:sz w:val="18"/>
          <w:szCs w:val="18"/>
          <w:lang w:eastAsia="en-US"/>
        </w:rPr>
        <w:t>sztuk</w:t>
      </w:r>
      <w:r w:rsidR="007D5E7B" w:rsidRPr="00BB7C9E">
        <w:rPr>
          <w:rFonts w:cs="Tahoma"/>
          <w:color w:val="000000" w:themeColor="text1"/>
          <w:sz w:val="18"/>
          <w:szCs w:val="18"/>
          <w:lang w:eastAsia="en-US"/>
        </w:rPr>
        <w:t>i</w:t>
      </w:r>
      <w:r w:rsidRPr="00BB7C9E">
        <w:rPr>
          <w:rFonts w:cs="Tahoma"/>
          <w:color w:val="000000" w:themeColor="text1"/>
          <w:sz w:val="18"/>
          <w:szCs w:val="18"/>
          <w:lang w:eastAsia="en-US"/>
        </w:rPr>
        <w:t xml:space="preserve"> (</w:t>
      </w:r>
      <w:r w:rsidR="00257C56" w:rsidRPr="00BB7C9E">
        <w:rPr>
          <w:rFonts w:cs="Tahoma"/>
          <w:color w:val="000000" w:themeColor="text1"/>
          <w:sz w:val="18"/>
          <w:szCs w:val="18"/>
          <w:lang w:eastAsia="en-US"/>
        </w:rPr>
        <w:t>31 grudnia 2018</w:t>
      </w:r>
      <w:r w:rsidR="00005EC6" w:rsidRPr="00BB7C9E">
        <w:rPr>
          <w:rFonts w:cs="Tahoma"/>
          <w:color w:val="000000" w:themeColor="text1"/>
          <w:sz w:val="18"/>
          <w:szCs w:val="18"/>
          <w:lang w:eastAsia="en-US"/>
        </w:rPr>
        <w:t> </w:t>
      </w:r>
      <w:r w:rsidR="00AC25CE">
        <w:rPr>
          <w:rFonts w:cs="Tahoma"/>
          <w:color w:val="000000" w:themeColor="text1"/>
          <w:sz w:val="18"/>
          <w:szCs w:val="18"/>
          <w:lang w:eastAsia="en-US"/>
        </w:rPr>
        <w:t>roku</w:t>
      </w:r>
      <w:r w:rsidRPr="00BB7C9E">
        <w:rPr>
          <w:rFonts w:cs="Tahoma"/>
          <w:color w:val="000000" w:themeColor="text1"/>
          <w:sz w:val="18"/>
          <w:szCs w:val="18"/>
          <w:lang w:eastAsia="en-US"/>
        </w:rPr>
        <w:t xml:space="preserve">: </w:t>
      </w:r>
      <w:r w:rsidR="00257C56" w:rsidRPr="00BB7C9E">
        <w:rPr>
          <w:rFonts w:cs="Tahoma"/>
          <w:color w:val="000000" w:themeColor="text1"/>
          <w:sz w:val="18"/>
          <w:szCs w:val="18"/>
          <w:lang w:eastAsia="en-US"/>
        </w:rPr>
        <w:t>42 336 982</w:t>
      </w:r>
      <w:r w:rsidR="00E50C2D" w:rsidRPr="00BB7C9E">
        <w:rPr>
          <w:rFonts w:cs="Tahoma"/>
          <w:color w:val="000000" w:themeColor="text1"/>
          <w:sz w:val="18"/>
          <w:szCs w:val="18"/>
          <w:lang w:eastAsia="en-US"/>
        </w:rPr>
        <w:t xml:space="preserve"> </w:t>
      </w:r>
      <w:r w:rsidRPr="00BB7C9E">
        <w:rPr>
          <w:rFonts w:cs="Tahoma"/>
          <w:color w:val="000000" w:themeColor="text1"/>
          <w:sz w:val="18"/>
          <w:szCs w:val="18"/>
          <w:lang w:eastAsia="en-US"/>
        </w:rPr>
        <w:t>sztuki) o wartości nominalnej 4 zł na akcję. Wszystkie wyemitowane akcje są</w:t>
      </w:r>
      <w:r w:rsidR="00AC25CE">
        <w:rPr>
          <w:rFonts w:cs="Tahoma"/>
          <w:color w:val="000000" w:themeColor="text1"/>
          <w:sz w:val="18"/>
          <w:szCs w:val="18"/>
          <w:lang w:eastAsia="en-US"/>
        </w:rPr>
        <w:t> </w:t>
      </w:r>
      <w:r w:rsidRPr="00BB7C9E">
        <w:rPr>
          <w:rFonts w:cs="Tahoma"/>
          <w:color w:val="000000" w:themeColor="text1"/>
          <w:sz w:val="18"/>
          <w:szCs w:val="18"/>
          <w:lang w:eastAsia="en-US"/>
        </w:rPr>
        <w:t>w</w:t>
      </w:r>
      <w:r w:rsidR="00AC25CE">
        <w:rPr>
          <w:rFonts w:cs="Tahoma"/>
          <w:color w:val="000000" w:themeColor="text1"/>
          <w:sz w:val="18"/>
          <w:szCs w:val="18"/>
          <w:lang w:eastAsia="en-US"/>
        </w:rPr>
        <w:t> </w:t>
      </w:r>
      <w:r w:rsidRPr="00BB7C9E">
        <w:rPr>
          <w:rFonts w:cs="Tahoma"/>
          <w:color w:val="000000" w:themeColor="text1"/>
          <w:sz w:val="18"/>
          <w:szCs w:val="18"/>
          <w:lang w:eastAsia="en-US"/>
        </w:rPr>
        <w:t>pełni opłacone</w:t>
      </w:r>
      <w:r w:rsidR="001973B1" w:rsidRPr="00BB7C9E">
        <w:rPr>
          <w:rFonts w:cs="Tahoma"/>
          <w:color w:val="000000" w:themeColor="text1"/>
          <w:sz w:val="18"/>
          <w:szCs w:val="18"/>
        </w:rPr>
        <w:t>.</w:t>
      </w:r>
    </w:p>
    <w:p w14:paraId="0AE5B8C3" w14:textId="77777777" w:rsidR="00A160DF" w:rsidRPr="00EE7B12" w:rsidRDefault="00A160DF" w:rsidP="00A160DF">
      <w:pPr>
        <w:jc w:val="both"/>
        <w:rPr>
          <w:color w:val="201C17"/>
          <w:sz w:val="18"/>
          <w:szCs w:val="18"/>
        </w:rPr>
      </w:pPr>
    </w:p>
    <w:tbl>
      <w:tblPr>
        <w:tblW w:w="0" w:type="auto"/>
        <w:tblLayout w:type="fixed"/>
        <w:tblCellMar>
          <w:left w:w="28" w:type="dxa"/>
          <w:right w:w="28" w:type="dxa"/>
        </w:tblCellMar>
        <w:tblLook w:val="04A0" w:firstRow="1" w:lastRow="0" w:firstColumn="1" w:lastColumn="0" w:noHBand="0" w:noVBand="1"/>
      </w:tblPr>
      <w:tblGrid>
        <w:gridCol w:w="1691"/>
        <w:gridCol w:w="1276"/>
        <w:gridCol w:w="1276"/>
        <w:gridCol w:w="1276"/>
        <w:gridCol w:w="1559"/>
        <w:gridCol w:w="1693"/>
        <w:gridCol w:w="795"/>
      </w:tblGrid>
      <w:tr w:rsidR="00327F73" w:rsidRPr="00CB2A1B" w14:paraId="36225191" w14:textId="77777777" w:rsidTr="00D7210F">
        <w:trPr>
          <w:trHeight w:val="227"/>
        </w:trPr>
        <w:tc>
          <w:tcPr>
            <w:tcW w:w="9566" w:type="dxa"/>
            <w:gridSpan w:val="7"/>
            <w:tcBorders>
              <w:top w:val="nil"/>
              <w:left w:val="single" w:sz="8" w:space="0" w:color="FFFFFF"/>
              <w:bottom w:val="single" w:sz="8" w:space="0" w:color="FFFFFF"/>
              <w:right w:val="single" w:sz="4" w:space="0" w:color="FFFFFF"/>
            </w:tcBorders>
            <w:shd w:val="clear" w:color="000000" w:fill="0077BD"/>
            <w:noWrap/>
            <w:vAlign w:val="center"/>
            <w:hideMark/>
          </w:tcPr>
          <w:p w14:paraId="0213369A" w14:textId="7BD37015" w:rsidR="00327F73" w:rsidRPr="00CB2A1B" w:rsidRDefault="00327F73" w:rsidP="00D7210F">
            <w:pPr>
              <w:rPr>
                <w:b/>
                <w:bCs/>
                <w:color w:val="FFFFFF"/>
                <w:sz w:val="11"/>
                <w:szCs w:val="11"/>
              </w:rPr>
            </w:pPr>
            <w:r w:rsidRPr="00CB2A1B">
              <w:rPr>
                <w:b/>
                <w:bCs/>
                <w:color w:val="FFFFFF"/>
                <w:sz w:val="11"/>
                <w:szCs w:val="11"/>
              </w:rPr>
              <w:t>ZAREJESTROWANY KAPITAŁ AKCYJNY</w:t>
            </w:r>
            <w:r>
              <w:rPr>
                <w:b/>
                <w:bCs/>
                <w:color w:val="FFFFFF"/>
                <w:sz w:val="11"/>
                <w:szCs w:val="11"/>
              </w:rPr>
              <w:t xml:space="preserve"> (STRUKTURA) NA DZIEŃ 31 GRUDNIA</w:t>
            </w:r>
            <w:r w:rsidRPr="00CB2A1B">
              <w:rPr>
                <w:b/>
                <w:bCs/>
                <w:color w:val="FFFFFF"/>
                <w:sz w:val="11"/>
                <w:szCs w:val="11"/>
              </w:rPr>
              <w:t xml:space="preserve"> 2019 ROKU</w:t>
            </w:r>
            <w:r w:rsidRPr="00CB2A1B">
              <w:rPr>
                <w:color w:val="FFFFFF"/>
                <w:sz w:val="11"/>
                <w:szCs w:val="11"/>
              </w:rPr>
              <w:t> </w:t>
            </w:r>
          </w:p>
        </w:tc>
      </w:tr>
      <w:tr w:rsidR="00327F73" w:rsidRPr="00CB2A1B" w14:paraId="37843C57" w14:textId="77777777" w:rsidTr="00D7210F">
        <w:trPr>
          <w:trHeight w:val="255"/>
        </w:trPr>
        <w:tc>
          <w:tcPr>
            <w:tcW w:w="1691" w:type="dxa"/>
            <w:tcBorders>
              <w:top w:val="nil"/>
              <w:left w:val="single" w:sz="8" w:space="0" w:color="FFFFFF"/>
              <w:bottom w:val="nil"/>
              <w:right w:val="single" w:sz="8" w:space="0" w:color="FFFFFF"/>
            </w:tcBorders>
            <w:shd w:val="clear" w:color="000000" w:fill="0077BD"/>
            <w:vAlign w:val="center"/>
            <w:hideMark/>
          </w:tcPr>
          <w:p w14:paraId="5D9FF42E" w14:textId="77777777" w:rsidR="00327F73" w:rsidRPr="00CB2A1B" w:rsidRDefault="00327F73" w:rsidP="00D7210F">
            <w:pPr>
              <w:jc w:val="center"/>
              <w:rPr>
                <w:b/>
                <w:bCs/>
                <w:color w:val="FFFFFF"/>
                <w:sz w:val="11"/>
                <w:szCs w:val="11"/>
              </w:rPr>
            </w:pPr>
            <w:r w:rsidRPr="00CB2A1B">
              <w:rPr>
                <w:b/>
                <w:bCs/>
                <w:color w:val="FFFFFF"/>
                <w:sz w:val="11"/>
                <w:szCs w:val="11"/>
              </w:rPr>
              <w:t>Rodzaj akcji</w:t>
            </w:r>
          </w:p>
        </w:tc>
        <w:tc>
          <w:tcPr>
            <w:tcW w:w="1276" w:type="dxa"/>
            <w:tcBorders>
              <w:top w:val="nil"/>
              <w:left w:val="nil"/>
              <w:bottom w:val="nil"/>
              <w:right w:val="single" w:sz="8" w:space="0" w:color="FFFFFF"/>
            </w:tcBorders>
            <w:shd w:val="clear" w:color="000000" w:fill="0077BD"/>
            <w:vAlign w:val="center"/>
            <w:hideMark/>
          </w:tcPr>
          <w:p w14:paraId="5C6764A6" w14:textId="77777777" w:rsidR="00327F73" w:rsidRPr="00CB2A1B" w:rsidRDefault="00327F73" w:rsidP="00D7210F">
            <w:pPr>
              <w:jc w:val="center"/>
              <w:rPr>
                <w:b/>
                <w:bCs/>
                <w:color w:val="FFFFFF"/>
                <w:sz w:val="11"/>
                <w:szCs w:val="11"/>
              </w:rPr>
            </w:pPr>
            <w:r w:rsidRPr="00CB2A1B">
              <w:rPr>
                <w:b/>
                <w:bCs/>
                <w:color w:val="FFFFFF"/>
                <w:sz w:val="11"/>
                <w:szCs w:val="11"/>
              </w:rPr>
              <w:t>Rodzaj uprzywilejowania akcji</w:t>
            </w:r>
          </w:p>
        </w:tc>
        <w:tc>
          <w:tcPr>
            <w:tcW w:w="1276" w:type="dxa"/>
            <w:tcBorders>
              <w:top w:val="nil"/>
              <w:left w:val="nil"/>
              <w:bottom w:val="nil"/>
              <w:right w:val="single" w:sz="8" w:space="0" w:color="FFFFFF"/>
            </w:tcBorders>
            <w:shd w:val="clear" w:color="000000" w:fill="0077BD"/>
            <w:vAlign w:val="center"/>
            <w:hideMark/>
          </w:tcPr>
          <w:p w14:paraId="058D0947" w14:textId="77777777" w:rsidR="00327F73" w:rsidRPr="00CB2A1B" w:rsidRDefault="00327F73" w:rsidP="00D7210F">
            <w:pPr>
              <w:jc w:val="center"/>
              <w:rPr>
                <w:b/>
                <w:bCs/>
                <w:color w:val="FFFFFF"/>
                <w:sz w:val="11"/>
                <w:szCs w:val="11"/>
              </w:rPr>
            </w:pPr>
            <w:r w:rsidRPr="00CB2A1B">
              <w:rPr>
                <w:b/>
                <w:bCs/>
                <w:color w:val="FFFFFF"/>
                <w:sz w:val="11"/>
                <w:szCs w:val="11"/>
              </w:rPr>
              <w:t>Rodzaj ograniczenia praw do akcji</w:t>
            </w:r>
          </w:p>
        </w:tc>
        <w:tc>
          <w:tcPr>
            <w:tcW w:w="1276" w:type="dxa"/>
            <w:tcBorders>
              <w:top w:val="nil"/>
              <w:left w:val="nil"/>
              <w:bottom w:val="nil"/>
              <w:right w:val="single" w:sz="8" w:space="0" w:color="FFFFFF"/>
            </w:tcBorders>
            <w:shd w:val="clear" w:color="000000" w:fill="0077BD"/>
            <w:vAlign w:val="center"/>
            <w:hideMark/>
          </w:tcPr>
          <w:p w14:paraId="0EA99B86" w14:textId="77777777" w:rsidR="00327F73" w:rsidRPr="00CB2A1B" w:rsidRDefault="00327F73" w:rsidP="00D7210F">
            <w:pPr>
              <w:jc w:val="center"/>
              <w:rPr>
                <w:b/>
                <w:bCs/>
                <w:color w:val="FFFFFF"/>
                <w:sz w:val="11"/>
                <w:szCs w:val="11"/>
              </w:rPr>
            </w:pPr>
            <w:r w:rsidRPr="00CB2A1B">
              <w:rPr>
                <w:b/>
                <w:bCs/>
                <w:color w:val="FFFFFF"/>
                <w:sz w:val="11"/>
                <w:szCs w:val="11"/>
              </w:rPr>
              <w:t>Liczba akcji</w:t>
            </w:r>
          </w:p>
        </w:tc>
        <w:tc>
          <w:tcPr>
            <w:tcW w:w="1559" w:type="dxa"/>
            <w:tcBorders>
              <w:top w:val="nil"/>
              <w:left w:val="nil"/>
              <w:bottom w:val="nil"/>
              <w:right w:val="single" w:sz="8" w:space="0" w:color="FFFFFF"/>
            </w:tcBorders>
            <w:shd w:val="clear" w:color="000000" w:fill="0077BD"/>
            <w:vAlign w:val="center"/>
            <w:hideMark/>
          </w:tcPr>
          <w:p w14:paraId="1BC01609" w14:textId="77777777" w:rsidR="00327F73" w:rsidRPr="00CB2A1B" w:rsidRDefault="00327F73" w:rsidP="00D7210F">
            <w:pPr>
              <w:jc w:val="center"/>
              <w:rPr>
                <w:b/>
                <w:bCs/>
                <w:color w:val="FFFFFF"/>
                <w:sz w:val="11"/>
                <w:szCs w:val="11"/>
              </w:rPr>
            </w:pPr>
            <w:r w:rsidRPr="00CB2A1B">
              <w:rPr>
                <w:b/>
                <w:bCs/>
                <w:color w:val="FFFFFF"/>
                <w:sz w:val="11"/>
                <w:szCs w:val="11"/>
              </w:rPr>
              <w:t>Wartość serii / emisji wg wartości nominalnej (w zł)</w:t>
            </w:r>
          </w:p>
        </w:tc>
        <w:tc>
          <w:tcPr>
            <w:tcW w:w="1693" w:type="dxa"/>
            <w:tcBorders>
              <w:top w:val="nil"/>
              <w:left w:val="nil"/>
              <w:bottom w:val="nil"/>
              <w:right w:val="single" w:sz="8" w:space="0" w:color="FFFFFF"/>
            </w:tcBorders>
            <w:shd w:val="clear" w:color="000000" w:fill="0077BD"/>
            <w:vAlign w:val="center"/>
            <w:hideMark/>
          </w:tcPr>
          <w:p w14:paraId="331A0D25" w14:textId="77777777" w:rsidR="00327F73" w:rsidRPr="00CB2A1B" w:rsidRDefault="00327F73" w:rsidP="00D7210F">
            <w:pPr>
              <w:jc w:val="center"/>
              <w:rPr>
                <w:b/>
                <w:bCs/>
                <w:color w:val="FFFFFF"/>
                <w:sz w:val="11"/>
                <w:szCs w:val="11"/>
              </w:rPr>
            </w:pPr>
            <w:r w:rsidRPr="00CB2A1B">
              <w:rPr>
                <w:b/>
                <w:bCs/>
                <w:color w:val="FFFFFF"/>
                <w:sz w:val="11"/>
                <w:szCs w:val="11"/>
              </w:rPr>
              <w:t>Sposób pokrycia kapitału</w:t>
            </w:r>
          </w:p>
        </w:tc>
        <w:tc>
          <w:tcPr>
            <w:tcW w:w="795" w:type="dxa"/>
            <w:tcBorders>
              <w:top w:val="nil"/>
              <w:left w:val="nil"/>
              <w:bottom w:val="nil"/>
              <w:right w:val="single" w:sz="4" w:space="0" w:color="FFFFFF"/>
            </w:tcBorders>
            <w:shd w:val="clear" w:color="000000" w:fill="0077BD"/>
            <w:vAlign w:val="center"/>
            <w:hideMark/>
          </w:tcPr>
          <w:p w14:paraId="09770EEC" w14:textId="77777777" w:rsidR="00327F73" w:rsidRPr="00CB2A1B" w:rsidRDefault="00327F73" w:rsidP="00D7210F">
            <w:pPr>
              <w:jc w:val="center"/>
              <w:rPr>
                <w:b/>
                <w:bCs/>
                <w:color w:val="FFFFFF"/>
                <w:sz w:val="11"/>
                <w:szCs w:val="11"/>
              </w:rPr>
            </w:pPr>
            <w:r w:rsidRPr="00CB2A1B">
              <w:rPr>
                <w:b/>
                <w:bCs/>
                <w:color w:val="FFFFFF"/>
                <w:sz w:val="11"/>
                <w:szCs w:val="11"/>
              </w:rPr>
              <w:t>Rok rejestracji</w:t>
            </w:r>
          </w:p>
        </w:tc>
      </w:tr>
      <w:tr w:rsidR="00327F73" w:rsidRPr="00BB7C9E" w14:paraId="5B5B0051"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670BAFD1"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4664D970"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25F688D6"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DEC49D6" w14:textId="77777777" w:rsidR="00327F73" w:rsidRPr="00BB7C9E" w:rsidRDefault="00327F73" w:rsidP="00D7210F">
            <w:pPr>
              <w:jc w:val="right"/>
              <w:rPr>
                <w:color w:val="000000" w:themeColor="text1"/>
                <w:sz w:val="11"/>
                <w:szCs w:val="11"/>
              </w:rPr>
            </w:pPr>
            <w:r w:rsidRPr="00BB7C9E">
              <w:rPr>
                <w:color w:val="000000" w:themeColor="text1"/>
                <w:sz w:val="11"/>
                <w:szCs w:val="11"/>
              </w:rPr>
              <w:t>9 988 000</w:t>
            </w:r>
          </w:p>
        </w:tc>
        <w:tc>
          <w:tcPr>
            <w:tcW w:w="1559" w:type="dxa"/>
            <w:tcBorders>
              <w:top w:val="nil"/>
              <w:left w:val="nil"/>
              <w:bottom w:val="single" w:sz="8" w:space="0" w:color="0077BD"/>
              <w:right w:val="single" w:sz="8" w:space="0" w:color="0077BD"/>
            </w:tcBorders>
            <w:shd w:val="clear" w:color="auto" w:fill="auto"/>
            <w:noWrap/>
            <w:vAlign w:val="center"/>
            <w:hideMark/>
          </w:tcPr>
          <w:p w14:paraId="6CD99D9C" w14:textId="77777777" w:rsidR="00327F73" w:rsidRPr="00BB7C9E" w:rsidRDefault="00327F73" w:rsidP="00D7210F">
            <w:pPr>
              <w:jc w:val="right"/>
              <w:rPr>
                <w:color w:val="000000" w:themeColor="text1"/>
                <w:sz w:val="11"/>
                <w:szCs w:val="11"/>
              </w:rPr>
            </w:pPr>
            <w:r w:rsidRPr="00BB7C9E">
              <w:rPr>
                <w:color w:val="000000" w:themeColor="text1"/>
                <w:sz w:val="11"/>
                <w:szCs w:val="11"/>
              </w:rPr>
              <w:t>39 952 000</w:t>
            </w:r>
          </w:p>
        </w:tc>
        <w:tc>
          <w:tcPr>
            <w:tcW w:w="1693" w:type="dxa"/>
            <w:tcBorders>
              <w:top w:val="nil"/>
              <w:left w:val="nil"/>
              <w:bottom w:val="single" w:sz="8" w:space="0" w:color="0077BD"/>
              <w:right w:val="single" w:sz="8" w:space="0" w:color="0077BD"/>
            </w:tcBorders>
            <w:shd w:val="clear" w:color="auto" w:fill="auto"/>
            <w:vAlign w:val="center"/>
            <w:hideMark/>
          </w:tcPr>
          <w:p w14:paraId="73806813"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20258B3A" w14:textId="77777777" w:rsidR="00327F73" w:rsidRPr="00BB7C9E" w:rsidRDefault="00327F73" w:rsidP="00D7210F">
            <w:pPr>
              <w:jc w:val="center"/>
              <w:rPr>
                <w:color w:val="000000" w:themeColor="text1"/>
                <w:sz w:val="11"/>
                <w:szCs w:val="11"/>
              </w:rPr>
            </w:pPr>
            <w:r w:rsidRPr="00BB7C9E">
              <w:rPr>
                <w:color w:val="000000" w:themeColor="text1"/>
                <w:sz w:val="11"/>
                <w:szCs w:val="11"/>
              </w:rPr>
              <w:t>1986</w:t>
            </w:r>
          </w:p>
        </w:tc>
      </w:tr>
      <w:tr w:rsidR="00327F73" w:rsidRPr="00BB7C9E" w14:paraId="2D3991B6"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4D2811DF" w14:textId="77777777" w:rsidR="00327F73" w:rsidRPr="00BB7C9E" w:rsidRDefault="00327F73" w:rsidP="00D7210F">
            <w:pPr>
              <w:rPr>
                <w:color w:val="000000" w:themeColor="text1"/>
                <w:sz w:val="11"/>
                <w:szCs w:val="11"/>
              </w:rPr>
            </w:pPr>
            <w:r w:rsidRPr="00BB7C9E">
              <w:rPr>
                <w:color w:val="000000" w:themeColor="text1"/>
                <w:sz w:val="11"/>
                <w:szCs w:val="11"/>
              </w:rPr>
              <w:t>imienne zwykłe*</w:t>
            </w:r>
          </w:p>
        </w:tc>
        <w:tc>
          <w:tcPr>
            <w:tcW w:w="1276" w:type="dxa"/>
            <w:tcBorders>
              <w:top w:val="nil"/>
              <w:left w:val="nil"/>
              <w:bottom w:val="single" w:sz="8" w:space="0" w:color="0077BD"/>
              <w:right w:val="single" w:sz="8" w:space="0" w:color="0077BD"/>
            </w:tcBorders>
            <w:shd w:val="clear" w:color="auto" w:fill="auto"/>
            <w:noWrap/>
            <w:vAlign w:val="center"/>
            <w:hideMark/>
          </w:tcPr>
          <w:p w14:paraId="154267D0"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2F955B33"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FD875B1" w14:textId="77777777" w:rsidR="00327F73" w:rsidRPr="00BB7C9E" w:rsidRDefault="00327F73" w:rsidP="00D7210F">
            <w:pPr>
              <w:jc w:val="right"/>
              <w:rPr>
                <w:color w:val="000000" w:themeColor="text1"/>
                <w:sz w:val="11"/>
                <w:szCs w:val="11"/>
              </w:rPr>
            </w:pPr>
            <w:r w:rsidRPr="00BB7C9E">
              <w:rPr>
                <w:color w:val="000000" w:themeColor="text1"/>
                <w:sz w:val="11"/>
                <w:szCs w:val="11"/>
              </w:rPr>
              <w:t>12 000</w:t>
            </w:r>
          </w:p>
        </w:tc>
        <w:tc>
          <w:tcPr>
            <w:tcW w:w="1559" w:type="dxa"/>
            <w:tcBorders>
              <w:top w:val="nil"/>
              <w:left w:val="nil"/>
              <w:bottom w:val="single" w:sz="8" w:space="0" w:color="0077BD"/>
              <w:right w:val="single" w:sz="8" w:space="0" w:color="0077BD"/>
            </w:tcBorders>
            <w:shd w:val="clear" w:color="auto" w:fill="auto"/>
            <w:noWrap/>
            <w:vAlign w:val="center"/>
            <w:hideMark/>
          </w:tcPr>
          <w:p w14:paraId="7E27C9AF" w14:textId="77777777" w:rsidR="00327F73" w:rsidRPr="00BB7C9E" w:rsidRDefault="00327F73" w:rsidP="00D7210F">
            <w:pPr>
              <w:jc w:val="right"/>
              <w:rPr>
                <w:color w:val="000000" w:themeColor="text1"/>
                <w:sz w:val="11"/>
                <w:szCs w:val="11"/>
              </w:rPr>
            </w:pPr>
            <w:r w:rsidRPr="00BB7C9E">
              <w:rPr>
                <w:color w:val="000000" w:themeColor="text1"/>
                <w:sz w:val="11"/>
                <w:szCs w:val="11"/>
              </w:rPr>
              <w:t>48 000</w:t>
            </w:r>
          </w:p>
        </w:tc>
        <w:tc>
          <w:tcPr>
            <w:tcW w:w="1693" w:type="dxa"/>
            <w:tcBorders>
              <w:top w:val="nil"/>
              <w:left w:val="nil"/>
              <w:bottom w:val="single" w:sz="8" w:space="0" w:color="0077BD"/>
              <w:right w:val="single" w:sz="8" w:space="0" w:color="0077BD"/>
            </w:tcBorders>
            <w:shd w:val="clear" w:color="auto" w:fill="auto"/>
            <w:vAlign w:val="center"/>
            <w:hideMark/>
          </w:tcPr>
          <w:p w14:paraId="57713C3A"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2E206E70" w14:textId="77777777" w:rsidR="00327F73" w:rsidRPr="00BB7C9E" w:rsidRDefault="00327F73" w:rsidP="00D7210F">
            <w:pPr>
              <w:jc w:val="center"/>
              <w:rPr>
                <w:color w:val="000000" w:themeColor="text1"/>
                <w:sz w:val="11"/>
                <w:szCs w:val="11"/>
              </w:rPr>
            </w:pPr>
            <w:r w:rsidRPr="00BB7C9E">
              <w:rPr>
                <w:color w:val="000000" w:themeColor="text1"/>
                <w:sz w:val="11"/>
                <w:szCs w:val="11"/>
              </w:rPr>
              <w:t>1986</w:t>
            </w:r>
          </w:p>
        </w:tc>
      </w:tr>
      <w:tr w:rsidR="00327F73" w:rsidRPr="00BB7C9E" w14:paraId="2EDEE9CD"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1497B07D"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1A5A55D2"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69B2BCA"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59EB9755" w14:textId="77777777" w:rsidR="00327F73" w:rsidRPr="00BB7C9E" w:rsidRDefault="00327F73" w:rsidP="00D7210F">
            <w:pPr>
              <w:jc w:val="right"/>
              <w:rPr>
                <w:color w:val="000000" w:themeColor="text1"/>
                <w:sz w:val="11"/>
                <w:szCs w:val="11"/>
              </w:rPr>
            </w:pPr>
            <w:r w:rsidRPr="00BB7C9E">
              <w:rPr>
                <w:color w:val="000000" w:themeColor="text1"/>
                <w:sz w:val="11"/>
                <w:szCs w:val="11"/>
              </w:rPr>
              <w:t>2 500 000</w:t>
            </w:r>
          </w:p>
        </w:tc>
        <w:tc>
          <w:tcPr>
            <w:tcW w:w="1559" w:type="dxa"/>
            <w:tcBorders>
              <w:top w:val="nil"/>
              <w:left w:val="nil"/>
              <w:bottom w:val="single" w:sz="8" w:space="0" w:color="0077BD"/>
              <w:right w:val="single" w:sz="8" w:space="0" w:color="0077BD"/>
            </w:tcBorders>
            <w:shd w:val="clear" w:color="auto" w:fill="auto"/>
            <w:noWrap/>
            <w:vAlign w:val="center"/>
            <w:hideMark/>
          </w:tcPr>
          <w:p w14:paraId="3E198580" w14:textId="77777777" w:rsidR="00327F73" w:rsidRPr="00BB7C9E" w:rsidRDefault="00327F73" w:rsidP="00D7210F">
            <w:pPr>
              <w:jc w:val="right"/>
              <w:rPr>
                <w:color w:val="000000" w:themeColor="text1"/>
                <w:sz w:val="11"/>
                <w:szCs w:val="11"/>
              </w:rPr>
            </w:pPr>
            <w:r w:rsidRPr="00BB7C9E">
              <w:rPr>
                <w:color w:val="000000" w:themeColor="text1"/>
                <w:sz w:val="11"/>
                <w:szCs w:val="11"/>
              </w:rPr>
              <w:t>10 000 000</w:t>
            </w:r>
          </w:p>
        </w:tc>
        <w:tc>
          <w:tcPr>
            <w:tcW w:w="1693" w:type="dxa"/>
            <w:tcBorders>
              <w:top w:val="nil"/>
              <w:left w:val="nil"/>
              <w:bottom w:val="single" w:sz="8" w:space="0" w:color="0077BD"/>
              <w:right w:val="single" w:sz="8" w:space="0" w:color="0077BD"/>
            </w:tcBorders>
            <w:shd w:val="clear" w:color="auto" w:fill="auto"/>
            <w:vAlign w:val="center"/>
            <w:hideMark/>
          </w:tcPr>
          <w:p w14:paraId="74234F5F"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09A8E17B" w14:textId="77777777" w:rsidR="00327F73" w:rsidRPr="00BB7C9E" w:rsidRDefault="00327F73" w:rsidP="00D7210F">
            <w:pPr>
              <w:jc w:val="center"/>
              <w:rPr>
                <w:color w:val="000000" w:themeColor="text1"/>
                <w:sz w:val="11"/>
                <w:szCs w:val="11"/>
              </w:rPr>
            </w:pPr>
            <w:r w:rsidRPr="00BB7C9E">
              <w:rPr>
                <w:color w:val="000000" w:themeColor="text1"/>
                <w:sz w:val="11"/>
                <w:szCs w:val="11"/>
              </w:rPr>
              <w:t>1994</w:t>
            </w:r>
          </w:p>
        </w:tc>
      </w:tr>
      <w:tr w:rsidR="00327F73" w:rsidRPr="00BB7C9E" w14:paraId="04482C81"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38BC2734"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2538C58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DFF1C32"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EE97492" w14:textId="77777777" w:rsidR="00327F73" w:rsidRPr="00BB7C9E" w:rsidRDefault="00327F73" w:rsidP="00D7210F">
            <w:pPr>
              <w:jc w:val="right"/>
              <w:rPr>
                <w:color w:val="000000" w:themeColor="text1"/>
                <w:sz w:val="11"/>
                <w:szCs w:val="11"/>
              </w:rPr>
            </w:pPr>
            <w:r w:rsidRPr="00BB7C9E">
              <w:rPr>
                <w:color w:val="000000" w:themeColor="text1"/>
                <w:sz w:val="11"/>
                <w:szCs w:val="11"/>
              </w:rPr>
              <w:t>2 000 000</w:t>
            </w:r>
          </w:p>
        </w:tc>
        <w:tc>
          <w:tcPr>
            <w:tcW w:w="1559" w:type="dxa"/>
            <w:tcBorders>
              <w:top w:val="nil"/>
              <w:left w:val="nil"/>
              <w:bottom w:val="single" w:sz="8" w:space="0" w:color="0077BD"/>
              <w:right w:val="single" w:sz="8" w:space="0" w:color="0077BD"/>
            </w:tcBorders>
            <w:shd w:val="clear" w:color="auto" w:fill="auto"/>
            <w:noWrap/>
            <w:vAlign w:val="center"/>
            <w:hideMark/>
          </w:tcPr>
          <w:p w14:paraId="2D29C6AD" w14:textId="77777777" w:rsidR="00327F73" w:rsidRPr="00BB7C9E" w:rsidRDefault="00327F73" w:rsidP="00D7210F">
            <w:pPr>
              <w:jc w:val="right"/>
              <w:rPr>
                <w:color w:val="000000" w:themeColor="text1"/>
                <w:sz w:val="11"/>
                <w:szCs w:val="11"/>
              </w:rPr>
            </w:pPr>
            <w:r w:rsidRPr="00BB7C9E">
              <w:rPr>
                <w:color w:val="000000" w:themeColor="text1"/>
                <w:sz w:val="11"/>
                <w:szCs w:val="11"/>
              </w:rPr>
              <w:t>8 000 000</w:t>
            </w:r>
          </w:p>
        </w:tc>
        <w:tc>
          <w:tcPr>
            <w:tcW w:w="1693" w:type="dxa"/>
            <w:tcBorders>
              <w:top w:val="nil"/>
              <w:left w:val="nil"/>
              <w:bottom w:val="single" w:sz="8" w:space="0" w:color="0077BD"/>
              <w:right w:val="single" w:sz="8" w:space="0" w:color="0077BD"/>
            </w:tcBorders>
            <w:shd w:val="clear" w:color="auto" w:fill="auto"/>
            <w:vAlign w:val="center"/>
            <w:hideMark/>
          </w:tcPr>
          <w:p w14:paraId="36B7B92F"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41480DDA" w14:textId="77777777" w:rsidR="00327F73" w:rsidRPr="00BB7C9E" w:rsidRDefault="00327F73" w:rsidP="00D7210F">
            <w:pPr>
              <w:jc w:val="center"/>
              <w:rPr>
                <w:color w:val="000000" w:themeColor="text1"/>
                <w:sz w:val="11"/>
                <w:szCs w:val="11"/>
              </w:rPr>
            </w:pPr>
            <w:r w:rsidRPr="00BB7C9E">
              <w:rPr>
                <w:color w:val="000000" w:themeColor="text1"/>
                <w:sz w:val="11"/>
                <w:szCs w:val="11"/>
              </w:rPr>
              <w:t>1995</w:t>
            </w:r>
          </w:p>
        </w:tc>
      </w:tr>
      <w:tr w:rsidR="00327F73" w:rsidRPr="00BB7C9E" w14:paraId="77085364"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5FE00F34"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31B41C87"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65B72A54"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3EDFB6B3" w14:textId="77777777" w:rsidR="00327F73" w:rsidRPr="00BB7C9E" w:rsidRDefault="00327F73" w:rsidP="00D7210F">
            <w:pPr>
              <w:jc w:val="right"/>
              <w:rPr>
                <w:color w:val="000000" w:themeColor="text1"/>
                <w:sz w:val="11"/>
                <w:szCs w:val="11"/>
              </w:rPr>
            </w:pPr>
            <w:r w:rsidRPr="00BB7C9E">
              <w:rPr>
                <w:color w:val="000000" w:themeColor="text1"/>
                <w:sz w:val="11"/>
                <w:szCs w:val="11"/>
              </w:rPr>
              <w:t>4 500 000</w:t>
            </w:r>
          </w:p>
        </w:tc>
        <w:tc>
          <w:tcPr>
            <w:tcW w:w="1559" w:type="dxa"/>
            <w:tcBorders>
              <w:top w:val="nil"/>
              <w:left w:val="nil"/>
              <w:bottom w:val="single" w:sz="8" w:space="0" w:color="0077BD"/>
              <w:right w:val="single" w:sz="8" w:space="0" w:color="0077BD"/>
            </w:tcBorders>
            <w:shd w:val="clear" w:color="auto" w:fill="auto"/>
            <w:noWrap/>
            <w:vAlign w:val="center"/>
            <w:hideMark/>
          </w:tcPr>
          <w:p w14:paraId="2770D73B" w14:textId="77777777" w:rsidR="00327F73" w:rsidRPr="00BB7C9E" w:rsidRDefault="00327F73" w:rsidP="00D7210F">
            <w:pPr>
              <w:jc w:val="right"/>
              <w:rPr>
                <w:color w:val="000000" w:themeColor="text1"/>
                <w:sz w:val="11"/>
                <w:szCs w:val="11"/>
              </w:rPr>
            </w:pPr>
            <w:r w:rsidRPr="00BB7C9E">
              <w:rPr>
                <w:color w:val="000000" w:themeColor="text1"/>
                <w:sz w:val="11"/>
                <w:szCs w:val="11"/>
              </w:rPr>
              <w:t>18 000 000</w:t>
            </w:r>
          </w:p>
        </w:tc>
        <w:tc>
          <w:tcPr>
            <w:tcW w:w="1693" w:type="dxa"/>
            <w:tcBorders>
              <w:top w:val="nil"/>
              <w:left w:val="nil"/>
              <w:bottom w:val="single" w:sz="8" w:space="0" w:color="0077BD"/>
              <w:right w:val="single" w:sz="8" w:space="0" w:color="0077BD"/>
            </w:tcBorders>
            <w:shd w:val="clear" w:color="auto" w:fill="auto"/>
            <w:vAlign w:val="center"/>
            <w:hideMark/>
          </w:tcPr>
          <w:p w14:paraId="2EFDC2FC"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582DFB23" w14:textId="77777777" w:rsidR="00327F73" w:rsidRPr="00BB7C9E" w:rsidRDefault="00327F73" w:rsidP="00D7210F">
            <w:pPr>
              <w:jc w:val="center"/>
              <w:rPr>
                <w:color w:val="000000" w:themeColor="text1"/>
                <w:sz w:val="11"/>
                <w:szCs w:val="11"/>
              </w:rPr>
            </w:pPr>
            <w:r w:rsidRPr="00BB7C9E">
              <w:rPr>
                <w:color w:val="000000" w:themeColor="text1"/>
                <w:sz w:val="11"/>
                <w:szCs w:val="11"/>
              </w:rPr>
              <w:t>1997</w:t>
            </w:r>
          </w:p>
        </w:tc>
      </w:tr>
      <w:tr w:rsidR="00327F73" w:rsidRPr="00BB7C9E" w14:paraId="625368C9"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15740FD4"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208FEC18"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C611169"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2E5C7EE" w14:textId="77777777" w:rsidR="00327F73" w:rsidRPr="00BB7C9E" w:rsidRDefault="00327F73" w:rsidP="00D7210F">
            <w:pPr>
              <w:jc w:val="right"/>
              <w:rPr>
                <w:color w:val="000000" w:themeColor="text1"/>
                <w:sz w:val="11"/>
                <w:szCs w:val="11"/>
              </w:rPr>
            </w:pPr>
            <w:r w:rsidRPr="00BB7C9E">
              <w:rPr>
                <w:color w:val="000000" w:themeColor="text1"/>
                <w:sz w:val="11"/>
                <w:szCs w:val="11"/>
              </w:rPr>
              <w:t>3 800 000</w:t>
            </w:r>
          </w:p>
        </w:tc>
        <w:tc>
          <w:tcPr>
            <w:tcW w:w="1559" w:type="dxa"/>
            <w:tcBorders>
              <w:top w:val="nil"/>
              <w:left w:val="nil"/>
              <w:bottom w:val="single" w:sz="8" w:space="0" w:color="0077BD"/>
              <w:right w:val="single" w:sz="8" w:space="0" w:color="0077BD"/>
            </w:tcBorders>
            <w:shd w:val="clear" w:color="auto" w:fill="auto"/>
            <w:noWrap/>
            <w:vAlign w:val="center"/>
            <w:hideMark/>
          </w:tcPr>
          <w:p w14:paraId="0433C6B0" w14:textId="77777777" w:rsidR="00327F73" w:rsidRPr="00BB7C9E" w:rsidRDefault="00327F73" w:rsidP="00D7210F">
            <w:pPr>
              <w:jc w:val="right"/>
              <w:rPr>
                <w:color w:val="000000" w:themeColor="text1"/>
                <w:sz w:val="11"/>
                <w:szCs w:val="11"/>
              </w:rPr>
            </w:pPr>
            <w:r w:rsidRPr="00BB7C9E">
              <w:rPr>
                <w:color w:val="000000" w:themeColor="text1"/>
                <w:sz w:val="11"/>
                <w:szCs w:val="11"/>
              </w:rPr>
              <w:t>15 200 000</w:t>
            </w:r>
          </w:p>
        </w:tc>
        <w:tc>
          <w:tcPr>
            <w:tcW w:w="1693" w:type="dxa"/>
            <w:tcBorders>
              <w:top w:val="nil"/>
              <w:left w:val="nil"/>
              <w:bottom w:val="single" w:sz="8" w:space="0" w:color="0077BD"/>
              <w:right w:val="single" w:sz="8" w:space="0" w:color="0077BD"/>
            </w:tcBorders>
            <w:shd w:val="clear" w:color="auto" w:fill="auto"/>
            <w:vAlign w:val="center"/>
            <w:hideMark/>
          </w:tcPr>
          <w:p w14:paraId="5159FD84"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045F97E9" w14:textId="77777777" w:rsidR="00327F73" w:rsidRPr="00BB7C9E" w:rsidRDefault="00327F73" w:rsidP="00D7210F">
            <w:pPr>
              <w:jc w:val="center"/>
              <w:rPr>
                <w:color w:val="000000" w:themeColor="text1"/>
                <w:sz w:val="11"/>
                <w:szCs w:val="11"/>
              </w:rPr>
            </w:pPr>
            <w:r w:rsidRPr="00BB7C9E">
              <w:rPr>
                <w:color w:val="000000" w:themeColor="text1"/>
                <w:sz w:val="11"/>
                <w:szCs w:val="11"/>
              </w:rPr>
              <w:t>1998</w:t>
            </w:r>
          </w:p>
        </w:tc>
      </w:tr>
      <w:tr w:rsidR="00327F73" w:rsidRPr="00BB7C9E" w14:paraId="41FA2316"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34E7C821"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3AF55D0D"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1FF8500"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29E4390" w14:textId="77777777" w:rsidR="00327F73" w:rsidRPr="00BB7C9E" w:rsidRDefault="00327F73" w:rsidP="00D7210F">
            <w:pPr>
              <w:jc w:val="right"/>
              <w:rPr>
                <w:color w:val="000000" w:themeColor="text1"/>
                <w:sz w:val="11"/>
                <w:szCs w:val="11"/>
              </w:rPr>
            </w:pPr>
            <w:r w:rsidRPr="00BB7C9E">
              <w:rPr>
                <w:color w:val="000000" w:themeColor="text1"/>
                <w:sz w:val="11"/>
                <w:szCs w:val="11"/>
              </w:rPr>
              <w:t>170 500</w:t>
            </w:r>
          </w:p>
        </w:tc>
        <w:tc>
          <w:tcPr>
            <w:tcW w:w="1559" w:type="dxa"/>
            <w:tcBorders>
              <w:top w:val="nil"/>
              <w:left w:val="nil"/>
              <w:bottom w:val="single" w:sz="8" w:space="0" w:color="0077BD"/>
              <w:right w:val="single" w:sz="8" w:space="0" w:color="0077BD"/>
            </w:tcBorders>
            <w:shd w:val="clear" w:color="auto" w:fill="auto"/>
            <w:noWrap/>
            <w:vAlign w:val="center"/>
            <w:hideMark/>
          </w:tcPr>
          <w:p w14:paraId="3C92E12D" w14:textId="77777777" w:rsidR="00327F73" w:rsidRPr="00BB7C9E" w:rsidRDefault="00327F73" w:rsidP="00D7210F">
            <w:pPr>
              <w:jc w:val="right"/>
              <w:rPr>
                <w:color w:val="000000" w:themeColor="text1"/>
                <w:sz w:val="11"/>
                <w:szCs w:val="11"/>
              </w:rPr>
            </w:pPr>
            <w:r w:rsidRPr="00BB7C9E">
              <w:rPr>
                <w:color w:val="000000" w:themeColor="text1"/>
                <w:sz w:val="11"/>
                <w:szCs w:val="11"/>
              </w:rPr>
              <w:t>682 000</w:t>
            </w:r>
          </w:p>
        </w:tc>
        <w:tc>
          <w:tcPr>
            <w:tcW w:w="1693" w:type="dxa"/>
            <w:tcBorders>
              <w:top w:val="nil"/>
              <w:left w:val="nil"/>
              <w:bottom w:val="single" w:sz="8" w:space="0" w:color="0077BD"/>
              <w:right w:val="single" w:sz="8" w:space="0" w:color="0077BD"/>
            </w:tcBorders>
            <w:shd w:val="clear" w:color="auto" w:fill="auto"/>
            <w:vAlign w:val="center"/>
            <w:hideMark/>
          </w:tcPr>
          <w:p w14:paraId="69D54A8B"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3699B679" w14:textId="77777777" w:rsidR="00327F73" w:rsidRPr="00BB7C9E" w:rsidRDefault="00327F73" w:rsidP="00D7210F">
            <w:pPr>
              <w:jc w:val="center"/>
              <w:rPr>
                <w:color w:val="000000" w:themeColor="text1"/>
                <w:sz w:val="11"/>
                <w:szCs w:val="11"/>
              </w:rPr>
            </w:pPr>
            <w:r w:rsidRPr="00BB7C9E">
              <w:rPr>
                <w:color w:val="000000" w:themeColor="text1"/>
                <w:sz w:val="11"/>
                <w:szCs w:val="11"/>
              </w:rPr>
              <w:t>2000</w:t>
            </w:r>
          </w:p>
        </w:tc>
      </w:tr>
      <w:tr w:rsidR="00327F73" w:rsidRPr="00BB7C9E" w14:paraId="6E50D3DB"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3420E8BF"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6D8DB47C"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051F5BA"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34CC401" w14:textId="77777777" w:rsidR="00327F73" w:rsidRPr="00BB7C9E" w:rsidRDefault="00327F73" w:rsidP="00D7210F">
            <w:pPr>
              <w:jc w:val="right"/>
              <w:rPr>
                <w:color w:val="000000" w:themeColor="text1"/>
                <w:sz w:val="11"/>
                <w:szCs w:val="11"/>
              </w:rPr>
            </w:pPr>
            <w:r w:rsidRPr="00BB7C9E">
              <w:rPr>
                <w:color w:val="000000" w:themeColor="text1"/>
                <w:sz w:val="11"/>
                <w:szCs w:val="11"/>
              </w:rPr>
              <w:t>5 742 625</w:t>
            </w:r>
          </w:p>
        </w:tc>
        <w:tc>
          <w:tcPr>
            <w:tcW w:w="1559" w:type="dxa"/>
            <w:tcBorders>
              <w:top w:val="nil"/>
              <w:left w:val="nil"/>
              <w:bottom w:val="single" w:sz="8" w:space="0" w:color="0077BD"/>
              <w:right w:val="single" w:sz="8" w:space="0" w:color="0077BD"/>
            </w:tcBorders>
            <w:shd w:val="clear" w:color="auto" w:fill="auto"/>
            <w:noWrap/>
            <w:vAlign w:val="center"/>
            <w:hideMark/>
          </w:tcPr>
          <w:p w14:paraId="03080F57" w14:textId="77777777" w:rsidR="00327F73" w:rsidRPr="00BB7C9E" w:rsidRDefault="00327F73" w:rsidP="00D7210F">
            <w:pPr>
              <w:jc w:val="right"/>
              <w:rPr>
                <w:color w:val="000000" w:themeColor="text1"/>
                <w:sz w:val="11"/>
                <w:szCs w:val="11"/>
              </w:rPr>
            </w:pPr>
            <w:r w:rsidRPr="00BB7C9E">
              <w:rPr>
                <w:color w:val="000000" w:themeColor="text1"/>
                <w:sz w:val="11"/>
                <w:szCs w:val="11"/>
              </w:rPr>
              <w:t>22 970 500</w:t>
            </w:r>
          </w:p>
        </w:tc>
        <w:tc>
          <w:tcPr>
            <w:tcW w:w="1693" w:type="dxa"/>
            <w:tcBorders>
              <w:top w:val="nil"/>
              <w:left w:val="nil"/>
              <w:bottom w:val="single" w:sz="8" w:space="0" w:color="0077BD"/>
              <w:right w:val="single" w:sz="8" w:space="0" w:color="0077BD"/>
            </w:tcBorders>
            <w:shd w:val="clear" w:color="auto" w:fill="auto"/>
            <w:vAlign w:val="center"/>
            <w:hideMark/>
          </w:tcPr>
          <w:p w14:paraId="67414030"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4D486B7F" w14:textId="77777777" w:rsidR="00327F73" w:rsidRPr="00BB7C9E" w:rsidRDefault="00327F73" w:rsidP="00D7210F">
            <w:pPr>
              <w:jc w:val="center"/>
              <w:rPr>
                <w:color w:val="000000" w:themeColor="text1"/>
                <w:sz w:val="11"/>
                <w:szCs w:val="11"/>
              </w:rPr>
            </w:pPr>
            <w:r w:rsidRPr="00BB7C9E">
              <w:rPr>
                <w:color w:val="000000" w:themeColor="text1"/>
                <w:sz w:val="11"/>
                <w:szCs w:val="11"/>
              </w:rPr>
              <w:t>2004</w:t>
            </w:r>
          </w:p>
        </w:tc>
      </w:tr>
      <w:tr w:rsidR="00327F73" w:rsidRPr="00BB7C9E" w14:paraId="4D6E75C0" w14:textId="77777777" w:rsidTr="00D7210F">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2DDC67E7"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7B8ADFC2"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9B70353"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D0745B8" w14:textId="77777777" w:rsidR="00327F73" w:rsidRPr="00BB7C9E" w:rsidRDefault="00327F73" w:rsidP="00D7210F">
            <w:pPr>
              <w:jc w:val="right"/>
              <w:rPr>
                <w:color w:val="000000" w:themeColor="text1"/>
                <w:sz w:val="11"/>
                <w:szCs w:val="11"/>
              </w:rPr>
            </w:pPr>
            <w:r w:rsidRPr="00BB7C9E">
              <w:rPr>
                <w:color w:val="000000" w:themeColor="text1"/>
                <w:sz w:val="11"/>
                <w:szCs w:val="11"/>
              </w:rPr>
              <w:t>270 847</w:t>
            </w:r>
          </w:p>
        </w:tc>
        <w:tc>
          <w:tcPr>
            <w:tcW w:w="1559" w:type="dxa"/>
            <w:tcBorders>
              <w:top w:val="nil"/>
              <w:left w:val="nil"/>
              <w:bottom w:val="single" w:sz="8" w:space="0" w:color="0077BD"/>
              <w:right w:val="single" w:sz="8" w:space="0" w:color="0077BD"/>
            </w:tcBorders>
            <w:shd w:val="clear" w:color="auto" w:fill="auto"/>
            <w:noWrap/>
            <w:vAlign w:val="center"/>
            <w:hideMark/>
          </w:tcPr>
          <w:p w14:paraId="3B0A7105" w14:textId="77777777" w:rsidR="00327F73" w:rsidRPr="00BB7C9E" w:rsidRDefault="00327F73" w:rsidP="00D7210F">
            <w:pPr>
              <w:jc w:val="right"/>
              <w:rPr>
                <w:color w:val="000000" w:themeColor="text1"/>
                <w:sz w:val="11"/>
                <w:szCs w:val="11"/>
              </w:rPr>
            </w:pPr>
            <w:r w:rsidRPr="00BB7C9E">
              <w:rPr>
                <w:color w:val="000000" w:themeColor="text1"/>
                <w:sz w:val="11"/>
                <w:szCs w:val="11"/>
              </w:rPr>
              <w:t>1 083 388</w:t>
            </w:r>
          </w:p>
        </w:tc>
        <w:tc>
          <w:tcPr>
            <w:tcW w:w="1693" w:type="dxa"/>
            <w:tcBorders>
              <w:top w:val="nil"/>
              <w:left w:val="nil"/>
              <w:bottom w:val="single" w:sz="8" w:space="0" w:color="0077BD"/>
              <w:right w:val="single" w:sz="8" w:space="0" w:color="0077BD"/>
            </w:tcBorders>
            <w:shd w:val="clear" w:color="auto" w:fill="auto"/>
            <w:vAlign w:val="center"/>
            <w:hideMark/>
          </w:tcPr>
          <w:p w14:paraId="1A9EAA1B"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53F086C1" w14:textId="77777777" w:rsidR="00327F73" w:rsidRPr="00BB7C9E" w:rsidRDefault="00327F73" w:rsidP="00D7210F">
            <w:pPr>
              <w:jc w:val="center"/>
              <w:rPr>
                <w:color w:val="000000" w:themeColor="text1"/>
                <w:sz w:val="11"/>
                <w:szCs w:val="11"/>
              </w:rPr>
            </w:pPr>
            <w:r w:rsidRPr="00BB7C9E">
              <w:rPr>
                <w:color w:val="000000" w:themeColor="text1"/>
                <w:sz w:val="11"/>
                <w:szCs w:val="11"/>
              </w:rPr>
              <w:t>2005</w:t>
            </w:r>
          </w:p>
        </w:tc>
      </w:tr>
      <w:tr w:rsidR="00327F73" w:rsidRPr="00BB7C9E" w14:paraId="7A2D6C3A"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21A82636"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4ACEA8D4"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52FA43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3FBC55C2" w14:textId="77777777" w:rsidR="00327F73" w:rsidRPr="00BB7C9E" w:rsidRDefault="00327F73" w:rsidP="00D7210F">
            <w:pPr>
              <w:jc w:val="right"/>
              <w:rPr>
                <w:color w:val="000000" w:themeColor="text1"/>
                <w:sz w:val="11"/>
                <w:szCs w:val="11"/>
              </w:rPr>
            </w:pPr>
            <w:r w:rsidRPr="00BB7C9E">
              <w:rPr>
                <w:color w:val="000000" w:themeColor="text1"/>
                <w:sz w:val="11"/>
                <w:szCs w:val="11"/>
              </w:rPr>
              <w:t>532 063</w:t>
            </w:r>
          </w:p>
        </w:tc>
        <w:tc>
          <w:tcPr>
            <w:tcW w:w="1559" w:type="dxa"/>
            <w:tcBorders>
              <w:top w:val="nil"/>
              <w:left w:val="nil"/>
              <w:bottom w:val="single" w:sz="8" w:space="0" w:color="0077BD"/>
              <w:right w:val="single" w:sz="8" w:space="0" w:color="0077BD"/>
            </w:tcBorders>
            <w:shd w:val="clear" w:color="auto" w:fill="auto"/>
            <w:noWrap/>
            <w:vAlign w:val="center"/>
            <w:hideMark/>
          </w:tcPr>
          <w:p w14:paraId="3732C3BA" w14:textId="77777777" w:rsidR="00327F73" w:rsidRPr="00BB7C9E" w:rsidRDefault="00327F73" w:rsidP="00D7210F">
            <w:pPr>
              <w:jc w:val="right"/>
              <w:rPr>
                <w:color w:val="000000" w:themeColor="text1"/>
                <w:sz w:val="11"/>
                <w:szCs w:val="11"/>
              </w:rPr>
            </w:pPr>
            <w:r w:rsidRPr="00BB7C9E">
              <w:rPr>
                <w:color w:val="000000" w:themeColor="text1"/>
                <w:sz w:val="11"/>
                <w:szCs w:val="11"/>
              </w:rPr>
              <w:t>2 128 252</w:t>
            </w:r>
          </w:p>
        </w:tc>
        <w:tc>
          <w:tcPr>
            <w:tcW w:w="1693" w:type="dxa"/>
            <w:tcBorders>
              <w:top w:val="nil"/>
              <w:left w:val="nil"/>
              <w:bottom w:val="single" w:sz="8" w:space="0" w:color="0077BD"/>
              <w:right w:val="single" w:sz="8" w:space="0" w:color="0077BD"/>
            </w:tcBorders>
            <w:shd w:val="clear" w:color="auto" w:fill="auto"/>
            <w:vAlign w:val="center"/>
            <w:hideMark/>
          </w:tcPr>
          <w:p w14:paraId="318B7EA7"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4F869C77" w14:textId="77777777" w:rsidR="00327F73" w:rsidRPr="00BB7C9E" w:rsidRDefault="00327F73" w:rsidP="00D7210F">
            <w:pPr>
              <w:jc w:val="center"/>
              <w:rPr>
                <w:color w:val="000000" w:themeColor="text1"/>
                <w:sz w:val="11"/>
                <w:szCs w:val="11"/>
              </w:rPr>
            </w:pPr>
            <w:r w:rsidRPr="00BB7C9E">
              <w:rPr>
                <w:color w:val="000000" w:themeColor="text1"/>
                <w:sz w:val="11"/>
                <w:szCs w:val="11"/>
              </w:rPr>
              <w:t>2006</w:t>
            </w:r>
          </w:p>
        </w:tc>
      </w:tr>
      <w:tr w:rsidR="00327F73" w:rsidRPr="00BB7C9E" w14:paraId="65498709"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3B9DD599"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3118110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352B143"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666F7C9" w14:textId="77777777" w:rsidR="00327F73" w:rsidRPr="00BB7C9E" w:rsidRDefault="00327F73" w:rsidP="00D7210F">
            <w:pPr>
              <w:jc w:val="right"/>
              <w:rPr>
                <w:color w:val="000000" w:themeColor="text1"/>
                <w:sz w:val="11"/>
                <w:szCs w:val="11"/>
              </w:rPr>
            </w:pPr>
            <w:r w:rsidRPr="00BB7C9E">
              <w:rPr>
                <w:color w:val="000000" w:themeColor="text1"/>
                <w:sz w:val="11"/>
                <w:szCs w:val="11"/>
              </w:rPr>
              <w:t>144 633</w:t>
            </w:r>
          </w:p>
        </w:tc>
        <w:tc>
          <w:tcPr>
            <w:tcW w:w="1559" w:type="dxa"/>
            <w:tcBorders>
              <w:top w:val="nil"/>
              <w:left w:val="nil"/>
              <w:bottom w:val="single" w:sz="8" w:space="0" w:color="0077BD"/>
              <w:right w:val="single" w:sz="8" w:space="0" w:color="0077BD"/>
            </w:tcBorders>
            <w:shd w:val="clear" w:color="auto" w:fill="auto"/>
            <w:noWrap/>
            <w:vAlign w:val="center"/>
            <w:hideMark/>
          </w:tcPr>
          <w:p w14:paraId="073CA674" w14:textId="77777777" w:rsidR="00327F73" w:rsidRPr="00BB7C9E" w:rsidRDefault="00327F73" w:rsidP="00D7210F">
            <w:pPr>
              <w:jc w:val="right"/>
              <w:rPr>
                <w:color w:val="000000" w:themeColor="text1"/>
                <w:sz w:val="11"/>
                <w:szCs w:val="11"/>
              </w:rPr>
            </w:pPr>
            <w:r w:rsidRPr="00BB7C9E">
              <w:rPr>
                <w:color w:val="000000" w:themeColor="text1"/>
                <w:sz w:val="11"/>
                <w:szCs w:val="11"/>
              </w:rPr>
              <w:t>578 532</w:t>
            </w:r>
          </w:p>
        </w:tc>
        <w:tc>
          <w:tcPr>
            <w:tcW w:w="1693" w:type="dxa"/>
            <w:tcBorders>
              <w:top w:val="nil"/>
              <w:left w:val="nil"/>
              <w:bottom w:val="single" w:sz="8" w:space="0" w:color="0077BD"/>
              <w:right w:val="single" w:sz="8" w:space="0" w:color="0077BD"/>
            </w:tcBorders>
            <w:shd w:val="clear" w:color="auto" w:fill="auto"/>
            <w:vAlign w:val="center"/>
            <w:hideMark/>
          </w:tcPr>
          <w:p w14:paraId="3CCA5EBF"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3AA19E7A" w14:textId="77777777" w:rsidR="00327F73" w:rsidRPr="00BB7C9E" w:rsidRDefault="00327F73" w:rsidP="00D7210F">
            <w:pPr>
              <w:jc w:val="center"/>
              <w:rPr>
                <w:color w:val="000000" w:themeColor="text1"/>
                <w:sz w:val="11"/>
                <w:szCs w:val="11"/>
              </w:rPr>
            </w:pPr>
            <w:r w:rsidRPr="00BB7C9E">
              <w:rPr>
                <w:color w:val="000000" w:themeColor="text1"/>
                <w:sz w:val="11"/>
                <w:szCs w:val="11"/>
              </w:rPr>
              <w:t>2007</w:t>
            </w:r>
          </w:p>
        </w:tc>
      </w:tr>
      <w:tr w:rsidR="00327F73" w:rsidRPr="00BB7C9E" w14:paraId="7A41F122"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50CE4081"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138D85B5"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374F395C"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55858A2" w14:textId="77777777" w:rsidR="00327F73" w:rsidRPr="00BB7C9E" w:rsidRDefault="00327F73" w:rsidP="00D7210F">
            <w:pPr>
              <w:jc w:val="right"/>
              <w:rPr>
                <w:color w:val="000000" w:themeColor="text1"/>
                <w:sz w:val="11"/>
                <w:szCs w:val="11"/>
              </w:rPr>
            </w:pPr>
            <w:r w:rsidRPr="00BB7C9E">
              <w:rPr>
                <w:color w:val="000000" w:themeColor="text1"/>
                <w:sz w:val="11"/>
                <w:szCs w:val="11"/>
              </w:rPr>
              <w:t>30 214</w:t>
            </w:r>
          </w:p>
        </w:tc>
        <w:tc>
          <w:tcPr>
            <w:tcW w:w="1559" w:type="dxa"/>
            <w:tcBorders>
              <w:top w:val="nil"/>
              <w:left w:val="nil"/>
              <w:bottom w:val="single" w:sz="8" w:space="0" w:color="0077BD"/>
              <w:right w:val="single" w:sz="8" w:space="0" w:color="0077BD"/>
            </w:tcBorders>
            <w:shd w:val="clear" w:color="auto" w:fill="auto"/>
            <w:noWrap/>
            <w:vAlign w:val="center"/>
            <w:hideMark/>
          </w:tcPr>
          <w:p w14:paraId="594D335D" w14:textId="77777777" w:rsidR="00327F73" w:rsidRPr="00BB7C9E" w:rsidRDefault="00327F73" w:rsidP="00D7210F">
            <w:pPr>
              <w:jc w:val="right"/>
              <w:rPr>
                <w:color w:val="000000" w:themeColor="text1"/>
                <w:sz w:val="11"/>
                <w:szCs w:val="11"/>
              </w:rPr>
            </w:pPr>
            <w:r w:rsidRPr="00BB7C9E">
              <w:rPr>
                <w:color w:val="000000" w:themeColor="text1"/>
                <w:sz w:val="11"/>
                <w:szCs w:val="11"/>
              </w:rPr>
              <w:t>120 856</w:t>
            </w:r>
          </w:p>
        </w:tc>
        <w:tc>
          <w:tcPr>
            <w:tcW w:w="1693" w:type="dxa"/>
            <w:tcBorders>
              <w:top w:val="nil"/>
              <w:left w:val="nil"/>
              <w:bottom w:val="single" w:sz="8" w:space="0" w:color="0077BD"/>
              <w:right w:val="single" w:sz="8" w:space="0" w:color="0077BD"/>
            </w:tcBorders>
            <w:shd w:val="clear" w:color="auto" w:fill="auto"/>
            <w:vAlign w:val="center"/>
            <w:hideMark/>
          </w:tcPr>
          <w:p w14:paraId="01B86203"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1994BDCC" w14:textId="77777777" w:rsidR="00327F73" w:rsidRPr="00BB7C9E" w:rsidRDefault="00327F73" w:rsidP="00D7210F">
            <w:pPr>
              <w:jc w:val="center"/>
              <w:rPr>
                <w:color w:val="000000" w:themeColor="text1"/>
                <w:sz w:val="11"/>
                <w:szCs w:val="11"/>
              </w:rPr>
            </w:pPr>
            <w:r w:rsidRPr="00BB7C9E">
              <w:rPr>
                <w:color w:val="000000" w:themeColor="text1"/>
                <w:sz w:val="11"/>
                <w:szCs w:val="11"/>
              </w:rPr>
              <w:t>2008</w:t>
            </w:r>
          </w:p>
        </w:tc>
      </w:tr>
      <w:tr w:rsidR="00327F73" w:rsidRPr="00BB7C9E" w14:paraId="4A2E056F"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4ECC94C5"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1974274E"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81497B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690DA3D8" w14:textId="77777777" w:rsidR="00327F73" w:rsidRPr="00BB7C9E" w:rsidRDefault="00327F73" w:rsidP="00D7210F">
            <w:pPr>
              <w:jc w:val="right"/>
              <w:rPr>
                <w:color w:val="000000" w:themeColor="text1"/>
                <w:sz w:val="11"/>
                <w:szCs w:val="11"/>
              </w:rPr>
            </w:pPr>
            <w:r w:rsidRPr="00BB7C9E">
              <w:rPr>
                <w:color w:val="000000" w:themeColor="text1"/>
                <w:sz w:val="11"/>
                <w:szCs w:val="11"/>
              </w:rPr>
              <w:t>12 395 792</w:t>
            </w:r>
          </w:p>
        </w:tc>
        <w:tc>
          <w:tcPr>
            <w:tcW w:w="1559" w:type="dxa"/>
            <w:tcBorders>
              <w:top w:val="nil"/>
              <w:left w:val="nil"/>
              <w:bottom w:val="single" w:sz="8" w:space="0" w:color="0077BD"/>
              <w:right w:val="single" w:sz="8" w:space="0" w:color="0077BD"/>
            </w:tcBorders>
            <w:shd w:val="clear" w:color="auto" w:fill="auto"/>
            <w:noWrap/>
            <w:vAlign w:val="center"/>
            <w:hideMark/>
          </w:tcPr>
          <w:p w14:paraId="4B53772D" w14:textId="77777777" w:rsidR="00327F73" w:rsidRPr="00BB7C9E" w:rsidRDefault="00327F73" w:rsidP="00D7210F">
            <w:pPr>
              <w:jc w:val="right"/>
              <w:rPr>
                <w:color w:val="000000" w:themeColor="text1"/>
                <w:sz w:val="11"/>
                <w:szCs w:val="11"/>
              </w:rPr>
            </w:pPr>
            <w:r w:rsidRPr="00BB7C9E">
              <w:rPr>
                <w:color w:val="000000" w:themeColor="text1"/>
                <w:sz w:val="11"/>
                <w:szCs w:val="11"/>
              </w:rPr>
              <w:t>49 583 168</w:t>
            </w:r>
          </w:p>
        </w:tc>
        <w:tc>
          <w:tcPr>
            <w:tcW w:w="1693" w:type="dxa"/>
            <w:tcBorders>
              <w:top w:val="nil"/>
              <w:left w:val="nil"/>
              <w:bottom w:val="single" w:sz="8" w:space="0" w:color="0077BD"/>
              <w:right w:val="single" w:sz="8" w:space="0" w:color="0077BD"/>
            </w:tcBorders>
            <w:shd w:val="clear" w:color="auto" w:fill="auto"/>
            <w:vAlign w:val="center"/>
            <w:hideMark/>
          </w:tcPr>
          <w:p w14:paraId="5C0FCDCA"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6556B36B" w14:textId="77777777" w:rsidR="00327F73" w:rsidRPr="00BB7C9E" w:rsidRDefault="00327F73" w:rsidP="00D7210F">
            <w:pPr>
              <w:jc w:val="center"/>
              <w:rPr>
                <w:color w:val="000000" w:themeColor="text1"/>
                <w:sz w:val="11"/>
                <w:szCs w:val="11"/>
              </w:rPr>
            </w:pPr>
            <w:r w:rsidRPr="00BB7C9E">
              <w:rPr>
                <w:color w:val="000000" w:themeColor="text1"/>
                <w:sz w:val="11"/>
                <w:szCs w:val="11"/>
              </w:rPr>
              <w:t>2010</w:t>
            </w:r>
          </w:p>
        </w:tc>
      </w:tr>
      <w:tr w:rsidR="00327F73" w:rsidRPr="00BB7C9E" w14:paraId="52A950F4"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62934CF0"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47FB7651"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4F6E72E"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5F0F9CD0" w14:textId="77777777" w:rsidR="00327F73" w:rsidRPr="00BB7C9E" w:rsidRDefault="00327F73" w:rsidP="00D7210F">
            <w:pPr>
              <w:jc w:val="right"/>
              <w:rPr>
                <w:color w:val="000000" w:themeColor="text1"/>
                <w:sz w:val="11"/>
                <w:szCs w:val="11"/>
              </w:rPr>
            </w:pPr>
            <w:r w:rsidRPr="00BB7C9E">
              <w:rPr>
                <w:color w:val="000000" w:themeColor="text1"/>
                <w:sz w:val="11"/>
                <w:szCs w:val="11"/>
              </w:rPr>
              <w:t>16 072</w:t>
            </w:r>
          </w:p>
        </w:tc>
        <w:tc>
          <w:tcPr>
            <w:tcW w:w="1559" w:type="dxa"/>
            <w:tcBorders>
              <w:top w:val="nil"/>
              <w:left w:val="nil"/>
              <w:bottom w:val="single" w:sz="8" w:space="0" w:color="0077BD"/>
              <w:right w:val="single" w:sz="8" w:space="0" w:color="0077BD"/>
            </w:tcBorders>
            <w:shd w:val="clear" w:color="auto" w:fill="auto"/>
            <w:noWrap/>
            <w:vAlign w:val="center"/>
            <w:hideMark/>
          </w:tcPr>
          <w:p w14:paraId="74FFADE1" w14:textId="77777777" w:rsidR="00327F73" w:rsidRPr="00BB7C9E" w:rsidRDefault="00327F73" w:rsidP="00D7210F">
            <w:pPr>
              <w:jc w:val="right"/>
              <w:rPr>
                <w:color w:val="000000" w:themeColor="text1"/>
                <w:sz w:val="11"/>
                <w:szCs w:val="11"/>
              </w:rPr>
            </w:pPr>
            <w:r w:rsidRPr="00BB7C9E">
              <w:rPr>
                <w:color w:val="000000" w:themeColor="text1"/>
                <w:sz w:val="11"/>
                <w:szCs w:val="11"/>
              </w:rPr>
              <w:t>64 288</w:t>
            </w:r>
          </w:p>
        </w:tc>
        <w:tc>
          <w:tcPr>
            <w:tcW w:w="1693" w:type="dxa"/>
            <w:tcBorders>
              <w:top w:val="nil"/>
              <w:left w:val="nil"/>
              <w:bottom w:val="single" w:sz="8" w:space="0" w:color="0077BD"/>
              <w:right w:val="single" w:sz="8" w:space="0" w:color="0077BD"/>
            </w:tcBorders>
            <w:shd w:val="clear" w:color="auto" w:fill="auto"/>
            <w:vAlign w:val="center"/>
            <w:hideMark/>
          </w:tcPr>
          <w:p w14:paraId="0FBE742C"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187B70F6" w14:textId="77777777" w:rsidR="00327F73" w:rsidRPr="00BB7C9E" w:rsidRDefault="00327F73" w:rsidP="00D7210F">
            <w:pPr>
              <w:jc w:val="center"/>
              <w:rPr>
                <w:color w:val="000000" w:themeColor="text1"/>
                <w:sz w:val="11"/>
                <w:szCs w:val="11"/>
              </w:rPr>
            </w:pPr>
            <w:r w:rsidRPr="00BB7C9E">
              <w:rPr>
                <w:color w:val="000000" w:themeColor="text1"/>
                <w:sz w:val="11"/>
                <w:szCs w:val="11"/>
              </w:rPr>
              <w:t>2011</w:t>
            </w:r>
          </w:p>
        </w:tc>
      </w:tr>
      <w:tr w:rsidR="00327F73" w:rsidRPr="00BB7C9E" w14:paraId="624FCAE0"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44937456"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67E2DCF5"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5439B6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DAE0761" w14:textId="77777777" w:rsidR="00327F73" w:rsidRPr="00BB7C9E" w:rsidRDefault="00327F73" w:rsidP="00D7210F">
            <w:pPr>
              <w:jc w:val="right"/>
              <w:rPr>
                <w:color w:val="000000" w:themeColor="text1"/>
                <w:sz w:val="11"/>
                <w:szCs w:val="11"/>
              </w:rPr>
            </w:pPr>
            <w:r w:rsidRPr="00BB7C9E">
              <w:rPr>
                <w:color w:val="000000" w:themeColor="text1"/>
                <w:sz w:val="11"/>
                <w:szCs w:val="11"/>
              </w:rPr>
              <w:t>36 230</w:t>
            </w:r>
          </w:p>
        </w:tc>
        <w:tc>
          <w:tcPr>
            <w:tcW w:w="1559" w:type="dxa"/>
            <w:tcBorders>
              <w:top w:val="nil"/>
              <w:left w:val="nil"/>
              <w:bottom w:val="single" w:sz="8" w:space="0" w:color="0077BD"/>
              <w:right w:val="single" w:sz="8" w:space="0" w:color="0077BD"/>
            </w:tcBorders>
            <w:shd w:val="clear" w:color="auto" w:fill="auto"/>
            <w:noWrap/>
            <w:vAlign w:val="center"/>
            <w:hideMark/>
          </w:tcPr>
          <w:p w14:paraId="685DCDDB" w14:textId="77777777" w:rsidR="00327F73" w:rsidRPr="00BB7C9E" w:rsidRDefault="00327F73" w:rsidP="00D7210F">
            <w:pPr>
              <w:jc w:val="right"/>
              <w:rPr>
                <w:color w:val="000000" w:themeColor="text1"/>
                <w:sz w:val="11"/>
                <w:szCs w:val="11"/>
              </w:rPr>
            </w:pPr>
            <w:r w:rsidRPr="00BB7C9E">
              <w:rPr>
                <w:color w:val="000000" w:themeColor="text1"/>
                <w:sz w:val="11"/>
                <w:szCs w:val="11"/>
              </w:rPr>
              <w:t>144 920</w:t>
            </w:r>
          </w:p>
        </w:tc>
        <w:tc>
          <w:tcPr>
            <w:tcW w:w="1693" w:type="dxa"/>
            <w:tcBorders>
              <w:top w:val="nil"/>
              <w:left w:val="nil"/>
              <w:bottom w:val="single" w:sz="8" w:space="0" w:color="0077BD"/>
              <w:right w:val="single" w:sz="8" w:space="0" w:color="0077BD"/>
            </w:tcBorders>
            <w:shd w:val="clear" w:color="auto" w:fill="auto"/>
            <w:vAlign w:val="center"/>
            <w:hideMark/>
          </w:tcPr>
          <w:p w14:paraId="71AF3E8B"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6AFF6197" w14:textId="77777777" w:rsidR="00327F73" w:rsidRPr="00BB7C9E" w:rsidRDefault="00327F73" w:rsidP="00D7210F">
            <w:pPr>
              <w:jc w:val="center"/>
              <w:rPr>
                <w:color w:val="000000" w:themeColor="text1"/>
                <w:sz w:val="11"/>
                <w:szCs w:val="11"/>
              </w:rPr>
            </w:pPr>
            <w:r w:rsidRPr="00BB7C9E">
              <w:rPr>
                <w:color w:val="000000" w:themeColor="text1"/>
                <w:sz w:val="11"/>
                <w:szCs w:val="11"/>
              </w:rPr>
              <w:t>2012</w:t>
            </w:r>
          </w:p>
        </w:tc>
      </w:tr>
      <w:tr w:rsidR="00327F73" w:rsidRPr="00BB7C9E" w14:paraId="1802F48A"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2A26D84E"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2F44F583"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38B7FE1"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19B593B0" w14:textId="77777777" w:rsidR="00327F73" w:rsidRPr="00BB7C9E" w:rsidRDefault="00327F73" w:rsidP="00D7210F">
            <w:pPr>
              <w:jc w:val="right"/>
              <w:rPr>
                <w:color w:val="000000" w:themeColor="text1"/>
                <w:sz w:val="11"/>
                <w:szCs w:val="11"/>
              </w:rPr>
            </w:pPr>
            <w:r w:rsidRPr="00BB7C9E">
              <w:rPr>
                <w:color w:val="000000" w:themeColor="text1"/>
                <w:sz w:val="11"/>
                <w:szCs w:val="11"/>
              </w:rPr>
              <w:t>35 037</w:t>
            </w:r>
          </w:p>
        </w:tc>
        <w:tc>
          <w:tcPr>
            <w:tcW w:w="1559" w:type="dxa"/>
            <w:tcBorders>
              <w:top w:val="nil"/>
              <w:left w:val="nil"/>
              <w:bottom w:val="single" w:sz="8" w:space="0" w:color="0077BD"/>
              <w:right w:val="single" w:sz="8" w:space="0" w:color="0077BD"/>
            </w:tcBorders>
            <w:shd w:val="clear" w:color="auto" w:fill="auto"/>
            <w:noWrap/>
            <w:vAlign w:val="center"/>
            <w:hideMark/>
          </w:tcPr>
          <w:p w14:paraId="65EF7C36" w14:textId="77777777" w:rsidR="00327F73" w:rsidRPr="00BB7C9E" w:rsidRDefault="00327F73" w:rsidP="00D7210F">
            <w:pPr>
              <w:jc w:val="right"/>
              <w:rPr>
                <w:color w:val="000000" w:themeColor="text1"/>
                <w:sz w:val="11"/>
                <w:szCs w:val="11"/>
              </w:rPr>
            </w:pPr>
            <w:r w:rsidRPr="00BB7C9E">
              <w:rPr>
                <w:color w:val="000000" w:themeColor="text1"/>
                <w:sz w:val="11"/>
                <w:szCs w:val="11"/>
              </w:rPr>
              <w:t>140 148</w:t>
            </w:r>
          </w:p>
        </w:tc>
        <w:tc>
          <w:tcPr>
            <w:tcW w:w="1693" w:type="dxa"/>
            <w:tcBorders>
              <w:top w:val="nil"/>
              <w:left w:val="nil"/>
              <w:bottom w:val="single" w:sz="8" w:space="0" w:color="0077BD"/>
              <w:right w:val="single" w:sz="8" w:space="0" w:color="0077BD"/>
            </w:tcBorders>
            <w:shd w:val="clear" w:color="auto" w:fill="auto"/>
            <w:vAlign w:val="center"/>
            <w:hideMark/>
          </w:tcPr>
          <w:p w14:paraId="2F7D0314"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69EBD979" w14:textId="77777777" w:rsidR="00327F73" w:rsidRPr="00BB7C9E" w:rsidRDefault="00327F73" w:rsidP="00D7210F">
            <w:pPr>
              <w:jc w:val="center"/>
              <w:rPr>
                <w:color w:val="000000" w:themeColor="text1"/>
                <w:sz w:val="11"/>
                <w:szCs w:val="11"/>
              </w:rPr>
            </w:pPr>
            <w:r w:rsidRPr="00BB7C9E">
              <w:rPr>
                <w:color w:val="000000" w:themeColor="text1"/>
                <w:sz w:val="11"/>
                <w:szCs w:val="11"/>
              </w:rPr>
              <w:t>2013</w:t>
            </w:r>
          </w:p>
        </w:tc>
      </w:tr>
      <w:tr w:rsidR="00327F73" w:rsidRPr="00BB7C9E" w14:paraId="109C5150"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446C1618"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019866E5"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EB0204E"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55D42441" w14:textId="77777777" w:rsidR="00327F73" w:rsidRPr="00BB7C9E" w:rsidRDefault="00327F73" w:rsidP="00D7210F">
            <w:pPr>
              <w:jc w:val="right"/>
              <w:rPr>
                <w:color w:val="000000" w:themeColor="text1"/>
                <w:sz w:val="11"/>
                <w:szCs w:val="11"/>
              </w:rPr>
            </w:pPr>
            <w:r w:rsidRPr="00BB7C9E">
              <w:rPr>
                <w:color w:val="000000" w:themeColor="text1"/>
                <w:sz w:val="11"/>
                <w:szCs w:val="11"/>
              </w:rPr>
              <w:t>36 044</w:t>
            </w:r>
          </w:p>
        </w:tc>
        <w:tc>
          <w:tcPr>
            <w:tcW w:w="1559" w:type="dxa"/>
            <w:tcBorders>
              <w:top w:val="nil"/>
              <w:left w:val="nil"/>
              <w:bottom w:val="single" w:sz="8" w:space="0" w:color="0077BD"/>
              <w:right w:val="single" w:sz="8" w:space="0" w:color="0077BD"/>
            </w:tcBorders>
            <w:shd w:val="clear" w:color="auto" w:fill="auto"/>
            <w:noWrap/>
            <w:vAlign w:val="center"/>
            <w:hideMark/>
          </w:tcPr>
          <w:p w14:paraId="467FC7B3" w14:textId="77777777" w:rsidR="00327F73" w:rsidRPr="00BB7C9E" w:rsidRDefault="00327F73" w:rsidP="00D7210F">
            <w:pPr>
              <w:jc w:val="right"/>
              <w:rPr>
                <w:color w:val="000000" w:themeColor="text1"/>
                <w:sz w:val="11"/>
                <w:szCs w:val="11"/>
              </w:rPr>
            </w:pPr>
            <w:r w:rsidRPr="00BB7C9E">
              <w:rPr>
                <w:color w:val="000000" w:themeColor="text1"/>
                <w:sz w:val="11"/>
                <w:szCs w:val="11"/>
              </w:rPr>
              <w:t>144 176</w:t>
            </w:r>
          </w:p>
        </w:tc>
        <w:tc>
          <w:tcPr>
            <w:tcW w:w="1693" w:type="dxa"/>
            <w:tcBorders>
              <w:top w:val="nil"/>
              <w:left w:val="nil"/>
              <w:bottom w:val="single" w:sz="8" w:space="0" w:color="0077BD"/>
              <w:right w:val="single" w:sz="8" w:space="0" w:color="0077BD"/>
            </w:tcBorders>
            <w:shd w:val="clear" w:color="auto" w:fill="auto"/>
            <w:vAlign w:val="center"/>
            <w:hideMark/>
          </w:tcPr>
          <w:p w14:paraId="2F1D020F"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06E4BFBC" w14:textId="77777777" w:rsidR="00327F73" w:rsidRPr="00BB7C9E" w:rsidRDefault="00327F73" w:rsidP="00D7210F">
            <w:pPr>
              <w:jc w:val="center"/>
              <w:rPr>
                <w:color w:val="000000" w:themeColor="text1"/>
                <w:sz w:val="11"/>
                <w:szCs w:val="11"/>
              </w:rPr>
            </w:pPr>
            <w:r w:rsidRPr="00BB7C9E">
              <w:rPr>
                <w:color w:val="000000" w:themeColor="text1"/>
                <w:sz w:val="11"/>
                <w:szCs w:val="11"/>
              </w:rPr>
              <w:t>2014</w:t>
            </w:r>
          </w:p>
        </w:tc>
      </w:tr>
      <w:tr w:rsidR="00327F73" w:rsidRPr="00BB7C9E" w14:paraId="6D25A676"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57E81E83"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7EE7671F"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E6C00CF"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6067B214" w14:textId="77777777" w:rsidR="00327F73" w:rsidRPr="00BB7C9E" w:rsidRDefault="00327F73" w:rsidP="00D7210F">
            <w:pPr>
              <w:jc w:val="right"/>
              <w:rPr>
                <w:color w:val="000000" w:themeColor="text1"/>
                <w:sz w:val="11"/>
                <w:szCs w:val="11"/>
              </w:rPr>
            </w:pPr>
            <w:r w:rsidRPr="00BB7C9E">
              <w:rPr>
                <w:color w:val="000000" w:themeColor="text1"/>
                <w:sz w:val="11"/>
                <w:szCs w:val="11"/>
              </w:rPr>
              <w:t>28 867</w:t>
            </w:r>
          </w:p>
        </w:tc>
        <w:tc>
          <w:tcPr>
            <w:tcW w:w="1559" w:type="dxa"/>
            <w:tcBorders>
              <w:top w:val="nil"/>
              <w:left w:val="nil"/>
              <w:bottom w:val="single" w:sz="8" w:space="0" w:color="0077BD"/>
              <w:right w:val="single" w:sz="8" w:space="0" w:color="0077BD"/>
            </w:tcBorders>
            <w:shd w:val="clear" w:color="auto" w:fill="auto"/>
            <w:noWrap/>
            <w:vAlign w:val="center"/>
            <w:hideMark/>
          </w:tcPr>
          <w:p w14:paraId="0527A1E7" w14:textId="77777777" w:rsidR="00327F73" w:rsidRPr="00BB7C9E" w:rsidRDefault="00327F73" w:rsidP="00D7210F">
            <w:pPr>
              <w:jc w:val="right"/>
              <w:rPr>
                <w:color w:val="000000" w:themeColor="text1"/>
                <w:sz w:val="11"/>
                <w:szCs w:val="11"/>
              </w:rPr>
            </w:pPr>
            <w:r w:rsidRPr="00BB7C9E">
              <w:rPr>
                <w:color w:val="000000" w:themeColor="text1"/>
                <w:sz w:val="11"/>
                <w:szCs w:val="11"/>
              </w:rPr>
              <w:t>115 468</w:t>
            </w:r>
          </w:p>
        </w:tc>
        <w:tc>
          <w:tcPr>
            <w:tcW w:w="1693" w:type="dxa"/>
            <w:tcBorders>
              <w:top w:val="nil"/>
              <w:left w:val="nil"/>
              <w:bottom w:val="single" w:sz="8" w:space="0" w:color="0077BD"/>
              <w:right w:val="single" w:sz="8" w:space="0" w:color="0077BD"/>
            </w:tcBorders>
            <w:shd w:val="clear" w:color="auto" w:fill="auto"/>
            <w:vAlign w:val="center"/>
            <w:hideMark/>
          </w:tcPr>
          <w:p w14:paraId="5C7ADF53"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70D66D22" w14:textId="77777777" w:rsidR="00327F73" w:rsidRPr="00BB7C9E" w:rsidRDefault="00327F73" w:rsidP="00D7210F">
            <w:pPr>
              <w:jc w:val="center"/>
              <w:rPr>
                <w:color w:val="000000" w:themeColor="text1"/>
                <w:sz w:val="11"/>
                <w:szCs w:val="11"/>
              </w:rPr>
            </w:pPr>
            <w:r w:rsidRPr="00BB7C9E">
              <w:rPr>
                <w:color w:val="000000" w:themeColor="text1"/>
                <w:sz w:val="11"/>
                <w:szCs w:val="11"/>
              </w:rPr>
              <w:t>2015</w:t>
            </w:r>
          </w:p>
        </w:tc>
      </w:tr>
      <w:tr w:rsidR="00327F73" w:rsidRPr="00BB7C9E" w14:paraId="00A938EF"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586FF979"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5AC2737E"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0D58F1F"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BE09D1C" w14:textId="77777777" w:rsidR="00327F73" w:rsidRPr="00BB7C9E" w:rsidRDefault="00327F73" w:rsidP="00D7210F">
            <w:pPr>
              <w:jc w:val="right"/>
              <w:rPr>
                <w:color w:val="000000" w:themeColor="text1"/>
                <w:sz w:val="11"/>
                <w:szCs w:val="11"/>
              </w:rPr>
            </w:pPr>
            <w:r w:rsidRPr="00BB7C9E">
              <w:rPr>
                <w:color w:val="000000" w:themeColor="text1"/>
                <w:sz w:val="11"/>
                <w:szCs w:val="11"/>
              </w:rPr>
              <w:t>41 203</w:t>
            </w:r>
          </w:p>
        </w:tc>
        <w:tc>
          <w:tcPr>
            <w:tcW w:w="1559" w:type="dxa"/>
            <w:tcBorders>
              <w:top w:val="nil"/>
              <w:left w:val="nil"/>
              <w:bottom w:val="single" w:sz="8" w:space="0" w:color="0077BD"/>
              <w:right w:val="single" w:sz="8" w:space="0" w:color="0077BD"/>
            </w:tcBorders>
            <w:shd w:val="clear" w:color="auto" w:fill="auto"/>
            <w:noWrap/>
            <w:vAlign w:val="center"/>
            <w:hideMark/>
          </w:tcPr>
          <w:p w14:paraId="02F816F7" w14:textId="77777777" w:rsidR="00327F73" w:rsidRPr="00BB7C9E" w:rsidRDefault="00327F73" w:rsidP="00D7210F">
            <w:pPr>
              <w:jc w:val="right"/>
              <w:rPr>
                <w:color w:val="000000" w:themeColor="text1"/>
                <w:sz w:val="11"/>
                <w:szCs w:val="11"/>
              </w:rPr>
            </w:pPr>
            <w:r w:rsidRPr="00BB7C9E">
              <w:rPr>
                <w:color w:val="000000" w:themeColor="text1"/>
                <w:sz w:val="11"/>
                <w:szCs w:val="11"/>
              </w:rPr>
              <w:t>164 812</w:t>
            </w:r>
          </w:p>
        </w:tc>
        <w:tc>
          <w:tcPr>
            <w:tcW w:w="1693" w:type="dxa"/>
            <w:tcBorders>
              <w:top w:val="nil"/>
              <w:left w:val="nil"/>
              <w:bottom w:val="single" w:sz="8" w:space="0" w:color="0077BD"/>
              <w:right w:val="single" w:sz="8" w:space="0" w:color="0077BD"/>
            </w:tcBorders>
            <w:shd w:val="clear" w:color="auto" w:fill="auto"/>
            <w:vAlign w:val="center"/>
            <w:hideMark/>
          </w:tcPr>
          <w:p w14:paraId="0295A267"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41840464" w14:textId="77777777" w:rsidR="00327F73" w:rsidRPr="00BB7C9E" w:rsidRDefault="00327F73" w:rsidP="00D7210F">
            <w:pPr>
              <w:jc w:val="center"/>
              <w:rPr>
                <w:color w:val="000000" w:themeColor="text1"/>
                <w:sz w:val="11"/>
                <w:szCs w:val="11"/>
              </w:rPr>
            </w:pPr>
            <w:r w:rsidRPr="00BB7C9E">
              <w:rPr>
                <w:color w:val="000000" w:themeColor="text1"/>
                <w:sz w:val="11"/>
                <w:szCs w:val="11"/>
              </w:rPr>
              <w:t>2016</w:t>
            </w:r>
          </w:p>
        </w:tc>
      </w:tr>
      <w:tr w:rsidR="00327F73" w:rsidRPr="00BB7C9E" w14:paraId="17E4FFAF"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76F9D507"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696E7430"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D6C4A8D"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E74D964" w14:textId="77777777" w:rsidR="00327F73" w:rsidRPr="00BB7C9E" w:rsidRDefault="00327F73" w:rsidP="00D7210F">
            <w:pPr>
              <w:jc w:val="right"/>
              <w:rPr>
                <w:color w:val="000000" w:themeColor="text1"/>
                <w:sz w:val="11"/>
                <w:szCs w:val="11"/>
              </w:rPr>
            </w:pPr>
            <w:r w:rsidRPr="00BB7C9E">
              <w:rPr>
                <w:color w:val="000000" w:themeColor="text1"/>
                <w:sz w:val="11"/>
                <w:szCs w:val="11"/>
              </w:rPr>
              <w:t>31 995</w:t>
            </w:r>
          </w:p>
        </w:tc>
        <w:tc>
          <w:tcPr>
            <w:tcW w:w="1559" w:type="dxa"/>
            <w:tcBorders>
              <w:top w:val="nil"/>
              <w:left w:val="nil"/>
              <w:bottom w:val="single" w:sz="8" w:space="0" w:color="0077BD"/>
              <w:right w:val="single" w:sz="8" w:space="0" w:color="0077BD"/>
            </w:tcBorders>
            <w:shd w:val="clear" w:color="auto" w:fill="auto"/>
            <w:noWrap/>
            <w:vAlign w:val="center"/>
            <w:hideMark/>
          </w:tcPr>
          <w:p w14:paraId="73C4A6D2" w14:textId="77777777" w:rsidR="00327F73" w:rsidRPr="00BB7C9E" w:rsidRDefault="00327F73" w:rsidP="00D7210F">
            <w:pPr>
              <w:jc w:val="right"/>
              <w:rPr>
                <w:color w:val="000000" w:themeColor="text1"/>
                <w:sz w:val="11"/>
                <w:szCs w:val="11"/>
              </w:rPr>
            </w:pPr>
            <w:r w:rsidRPr="00BB7C9E">
              <w:rPr>
                <w:color w:val="000000" w:themeColor="text1"/>
                <w:sz w:val="11"/>
                <w:szCs w:val="11"/>
              </w:rPr>
              <w:t>127 980</w:t>
            </w:r>
          </w:p>
        </w:tc>
        <w:tc>
          <w:tcPr>
            <w:tcW w:w="1693" w:type="dxa"/>
            <w:tcBorders>
              <w:top w:val="nil"/>
              <w:left w:val="nil"/>
              <w:bottom w:val="single" w:sz="8" w:space="0" w:color="0077BD"/>
              <w:right w:val="single" w:sz="8" w:space="0" w:color="0077BD"/>
            </w:tcBorders>
            <w:shd w:val="clear" w:color="auto" w:fill="auto"/>
            <w:vAlign w:val="center"/>
            <w:hideMark/>
          </w:tcPr>
          <w:p w14:paraId="5A40A9CB"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7DBEB2F9" w14:textId="77777777" w:rsidR="00327F73" w:rsidRPr="00BB7C9E" w:rsidRDefault="00327F73" w:rsidP="00D7210F">
            <w:pPr>
              <w:jc w:val="center"/>
              <w:rPr>
                <w:color w:val="000000" w:themeColor="text1"/>
                <w:sz w:val="11"/>
                <w:szCs w:val="11"/>
              </w:rPr>
            </w:pPr>
            <w:r w:rsidRPr="00BB7C9E">
              <w:rPr>
                <w:color w:val="000000" w:themeColor="text1"/>
                <w:sz w:val="11"/>
                <w:szCs w:val="11"/>
              </w:rPr>
              <w:t>2017</w:t>
            </w:r>
          </w:p>
        </w:tc>
      </w:tr>
      <w:tr w:rsidR="00327F73" w:rsidRPr="00BB7C9E" w14:paraId="3AC13EC1"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47318E8D" w14:textId="77777777" w:rsidR="00327F73" w:rsidRPr="00BB7C9E" w:rsidRDefault="00327F73" w:rsidP="00D7210F">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533696FB"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704AFA44" w14:textId="77777777" w:rsidR="00327F73" w:rsidRPr="00BB7C9E" w:rsidRDefault="00327F73" w:rsidP="00D7210F">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076FEFCD" w14:textId="77777777" w:rsidR="00327F73" w:rsidRPr="00BB7C9E" w:rsidRDefault="00327F73" w:rsidP="00D7210F">
            <w:pPr>
              <w:jc w:val="right"/>
              <w:rPr>
                <w:color w:val="000000" w:themeColor="text1"/>
                <w:sz w:val="11"/>
                <w:szCs w:val="11"/>
              </w:rPr>
            </w:pPr>
            <w:r w:rsidRPr="00BB7C9E">
              <w:rPr>
                <w:color w:val="000000" w:themeColor="text1"/>
                <w:sz w:val="11"/>
                <w:szCs w:val="11"/>
              </w:rPr>
              <w:t>24 860</w:t>
            </w:r>
          </w:p>
        </w:tc>
        <w:tc>
          <w:tcPr>
            <w:tcW w:w="1559" w:type="dxa"/>
            <w:tcBorders>
              <w:top w:val="nil"/>
              <w:left w:val="nil"/>
              <w:bottom w:val="single" w:sz="8" w:space="0" w:color="0077BD"/>
              <w:right w:val="single" w:sz="8" w:space="0" w:color="0077BD"/>
            </w:tcBorders>
            <w:shd w:val="clear" w:color="auto" w:fill="auto"/>
            <w:noWrap/>
            <w:vAlign w:val="center"/>
            <w:hideMark/>
          </w:tcPr>
          <w:p w14:paraId="6C4F50EE" w14:textId="77777777" w:rsidR="00327F73" w:rsidRPr="00BB7C9E" w:rsidRDefault="00327F73" w:rsidP="00D7210F">
            <w:pPr>
              <w:jc w:val="right"/>
              <w:rPr>
                <w:color w:val="000000" w:themeColor="text1"/>
                <w:sz w:val="11"/>
                <w:szCs w:val="11"/>
              </w:rPr>
            </w:pPr>
            <w:r w:rsidRPr="00BB7C9E">
              <w:rPr>
                <w:color w:val="000000" w:themeColor="text1"/>
                <w:sz w:val="11"/>
                <w:szCs w:val="11"/>
              </w:rPr>
              <w:t>99 440</w:t>
            </w:r>
          </w:p>
        </w:tc>
        <w:tc>
          <w:tcPr>
            <w:tcW w:w="1693" w:type="dxa"/>
            <w:tcBorders>
              <w:top w:val="nil"/>
              <w:left w:val="nil"/>
              <w:bottom w:val="single" w:sz="8" w:space="0" w:color="0077BD"/>
              <w:right w:val="single" w:sz="8" w:space="0" w:color="0077BD"/>
            </w:tcBorders>
            <w:shd w:val="clear" w:color="auto" w:fill="auto"/>
            <w:vAlign w:val="center"/>
            <w:hideMark/>
          </w:tcPr>
          <w:p w14:paraId="39E0A2E9" w14:textId="77777777" w:rsidR="00327F73" w:rsidRPr="00BB7C9E" w:rsidRDefault="00327F73" w:rsidP="00D7210F">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79D6A693" w14:textId="77777777" w:rsidR="00327F73" w:rsidRPr="00BB7C9E" w:rsidRDefault="00327F73" w:rsidP="00D7210F">
            <w:pPr>
              <w:jc w:val="center"/>
              <w:rPr>
                <w:color w:val="000000" w:themeColor="text1"/>
                <w:sz w:val="11"/>
                <w:szCs w:val="11"/>
              </w:rPr>
            </w:pPr>
            <w:r w:rsidRPr="00BB7C9E">
              <w:rPr>
                <w:color w:val="000000" w:themeColor="text1"/>
                <w:sz w:val="11"/>
                <w:szCs w:val="11"/>
              </w:rPr>
              <w:t>2018</w:t>
            </w:r>
          </w:p>
        </w:tc>
      </w:tr>
      <w:tr w:rsidR="008A61BC" w:rsidRPr="00BB7C9E" w14:paraId="1930F46A" w14:textId="77777777" w:rsidTr="00D7210F">
        <w:trPr>
          <w:trHeight w:val="198"/>
        </w:trPr>
        <w:tc>
          <w:tcPr>
            <w:tcW w:w="1691" w:type="dxa"/>
            <w:tcBorders>
              <w:top w:val="nil"/>
              <w:left w:val="nil"/>
              <w:bottom w:val="single" w:sz="8" w:space="0" w:color="0077BD"/>
              <w:right w:val="single" w:sz="8" w:space="0" w:color="0077BD"/>
            </w:tcBorders>
            <w:shd w:val="clear" w:color="auto" w:fill="auto"/>
            <w:vAlign w:val="center"/>
            <w:hideMark/>
          </w:tcPr>
          <w:p w14:paraId="22913494" w14:textId="77777777" w:rsidR="008A61BC" w:rsidRPr="00BB7C9E" w:rsidRDefault="008A61BC" w:rsidP="008A61BC">
            <w:pPr>
              <w:rPr>
                <w:color w:val="000000" w:themeColor="text1"/>
                <w:sz w:val="11"/>
                <w:szCs w:val="11"/>
              </w:rPr>
            </w:pPr>
            <w:r w:rsidRPr="00BB7C9E">
              <w:rPr>
                <w:color w:val="000000" w:themeColor="text1"/>
                <w:sz w:val="11"/>
                <w:szCs w:val="11"/>
              </w:rPr>
              <w:t>zwykłe na okaziciela</w:t>
            </w:r>
          </w:p>
        </w:tc>
        <w:tc>
          <w:tcPr>
            <w:tcW w:w="1276" w:type="dxa"/>
            <w:tcBorders>
              <w:top w:val="nil"/>
              <w:left w:val="nil"/>
              <w:bottom w:val="single" w:sz="8" w:space="0" w:color="0077BD"/>
              <w:right w:val="single" w:sz="8" w:space="0" w:color="0077BD"/>
            </w:tcBorders>
            <w:shd w:val="clear" w:color="auto" w:fill="auto"/>
            <w:noWrap/>
            <w:vAlign w:val="center"/>
            <w:hideMark/>
          </w:tcPr>
          <w:p w14:paraId="379AC9AA" w14:textId="77777777" w:rsidR="008A61BC" w:rsidRPr="00BB7C9E" w:rsidRDefault="008A61BC" w:rsidP="008A61BC">
            <w:pPr>
              <w:jc w:val="center"/>
              <w:rPr>
                <w:color w:val="000000" w:themeColor="text1"/>
                <w:sz w:val="11"/>
                <w:szCs w:val="11"/>
              </w:rPr>
            </w:pPr>
            <w:r w:rsidRPr="00BB7C9E">
              <w:rPr>
                <w:color w:val="000000" w:themeColor="text1"/>
                <w:sz w:val="11"/>
                <w:szCs w:val="11"/>
              </w:rPr>
              <w:t>-</w:t>
            </w:r>
          </w:p>
        </w:tc>
        <w:tc>
          <w:tcPr>
            <w:tcW w:w="1276" w:type="dxa"/>
            <w:tcBorders>
              <w:top w:val="nil"/>
              <w:left w:val="nil"/>
              <w:bottom w:val="single" w:sz="8" w:space="0" w:color="0077BD"/>
              <w:right w:val="single" w:sz="8" w:space="0" w:color="0077BD"/>
            </w:tcBorders>
            <w:shd w:val="clear" w:color="auto" w:fill="auto"/>
            <w:noWrap/>
            <w:vAlign w:val="center"/>
            <w:hideMark/>
          </w:tcPr>
          <w:p w14:paraId="48374591" w14:textId="77777777" w:rsidR="008A61BC" w:rsidRPr="00BB7C9E" w:rsidRDefault="008A61BC" w:rsidP="008A61BC">
            <w:pPr>
              <w:jc w:val="center"/>
              <w:rPr>
                <w:color w:val="000000" w:themeColor="text1"/>
                <w:sz w:val="11"/>
                <w:szCs w:val="11"/>
              </w:rPr>
            </w:pPr>
            <w:r w:rsidRPr="00BB7C9E">
              <w:rPr>
                <w:color w:val="000000" w:themeColor="text1"/>
                <w:sz w:val="11"/>
                <w:szCs w:val="11"/>
              </w:rPr>
              <w:t>-</w:t>
            </w:r>
          </w:p>
        </w:tc>
        <w:tc>
          <w:tcPr>
            <w:tcW w:w="1276" w:type="dxa"/>
            <w:tcBorders>
              <w:top w:val="single" w:sz="8" w:space="0" w:color="0077BD"/>
              <w:left w:val="single" w:sz="8" w:space="0" w:color="0077BD"/>
              <w:bottom w:val="single" w:sz="8" w:space="0" w:color="0077BD"/>
              <w:right w:val="single" w:sz="8" w:space="0" w:color="0077BD"/>
            </w:tcBorders>
            <w:shd w:val="clear" w:color="auto" w:fill="auto"/>
            <w:noWrap/>
            <w:vAlign w:val="center"/>
            <w:hideMark/>
          </w:tcPr>
          <w:p w14:paraId="0B74981B" w14:textId="5446C69D" w:rsidR="008A61BC" w:rsidRPr="00BB7C9E" w:rsidRDefault="008A61BC" w:rsidP="008A61BC">
            <w:pPr>
              <w:jc w:val="right"/>
              <w:rPr>
                <w:color w:val="000000" w:themeColor="text1"/>
                <w:sz w:val="11"/>
                <w:szCs w:val="11"/>
              </w:rPr>
            </w:pPr>
            <w:r w:rsidRPr="00BB7C9E">
              <w:rPr>
                <w:rFonts w:cs="Calibri"/>
                <w:color w:val="000000" w:themeColor="text1"/>
                <w:sz w:val="11"/>
                <w:szCs w:val="11"/>
              </w:rPr>
              <w:t>13 385</w:t>
            </w:r>
          </w:p>
        </w:tc>
        <w:tc>
          <w:tcPr>
            <w:tcW w:w="1559" w:type="dxa"/>
            <w:tcBorders>
              <w:top w:val="nil"/>
              <w:left w:val="nil"/>
              <w:bottom w:val="single" w:sz="8" w:space="0" w:color="0077BD"/>
              <w:right w:val="single" w:sz="8" w:space="0" w:color="0077BD"/>
            </w:tcBorders>
            <w:shd w:val="clear" w:color="auto" w:fill="auto"/>
            <w:noWrap/>
            <w:vAlign w:val="center"/>
            <w:hideMark/>
          </w:tcPr>
          <w:p w14:paraId="12FC01C7" w14:textId="0CAAA672" w:rsidR="008A61BC" w:rsidRPr="00BB7C9E" w:rsidRDefault="008A61BC" w:rsidP="008A61BC">
            <w:pPr>
              <w:jc w:val="right"/>
              <w:rPr>
                <w:color w:val="000000" w:themeColor="text1"/>
                <w:sz w:val="11"/>
                <w:szCs w:val="11"/>
              </w:rPr>
            </w:pPr>
            <w:r w:rsidRPr="00BB7C9E">
              <w:rPr>
                <w:color w:val="000000" w:themeColor="text1"/>
                <w:sz w:val="11"/>
                <w:szCs w:val="11"/>
              </w:rPr>
              <w:t>53 540</w:t>
            </w:r>
          </w:p>
        </w:tc>
        <w:tc>
          <w:tcPr>
            <w:tcW w:w="1693" w:type="dxa"/>
            <w:tcBorders>
              <w:top w:val="nil"/>
              <w:left w:val="nil"/>
              <w:bottom w:val="single" w:sz="8" w:space="0" w:color="0077BD"/>
              <w:right w:val="single" w:sz="8" w:space="0" w:color="0077BD"/>
            </w:tcBorders>
            <w:shd w:val="clear" w:color="auto" w:fill="auto"/>
            <w:vAlign w:val="center"/>
            <w:hideMark/>
          </w:tcPr>
          <w:p w14:paraId="68DCEB15" w14:textId="77777777" w:rsidR="008A61BC" w:rsidRPr="00BB7C9E" w:rsidRDefault="008A61BC" w:rsidP="008A61BC">
            <w:pPr>
              <w:jc w:val="center"/>
              <w:rPr>
                <w:color w:val="000000" w:themeColor="text1"/>
                <w:sz w:val="11"/>
                <w:szCs w:val="11"/>
              </w:rPr>
            </w:pPr>
            <w:r w:rsidRPr="00BB7C9E">
              <w:rPr>
                <w:color w:val="000000" w:themeColor="text1"/>
                <w:sz w:val="11"/>
                <w:szCs w:val="11"/>
              </w:rPr>
              <w:t>w całości opłacone gotówką</w:t>
            </w:r>
          </w:p>
        </w:tc>
        <w:tc>
          <w:tcPr>
            <w:tcW w:w="795" w:type="dxa"/>
            <w:tcBorders>
              <w:top w:val="nil"/>
              <w:left w:val="nil"/>
              <w:bottom w:val="single" w:sz="8" w:space="0" w:color="0077BD"/>
              <w:right w:val="nil"/>
            </w:tcBorders>
            <w:shd w:val="clear" w:color="auto" w:fill="auto"/>
            <w:noWrap/>
            <w:vAlign w:val="center"/>
            <w:hideMark/>
          </w:tcPr>
          <w:p w14:paraId="7E3382E1" w14:textId="77777777" w:rsidR="008A61BC" w:rsidRPr="00BB7C9E" w:rsidRDefault="008A61BC" w:rsidP="008A61BC">
            <w:pPr>
              <w:jc w:val="center"/>
              <w:rPr>
                <w:color w:val="000000" w:themeColor="text1"/>
                <w:sz w:val="11"/>
                <w:szCs w:val="11"/>
              </w:rPr>
            </w:pPr>
            <w:r w:rsidRPr="00BB7C9E">
              <w:rPr>
                <w:color w:val="000000" w:themeColor="text1"/>
                <w:sz w:val="11"/>
                <w:szCs w:val="11"/>
              </w:rPr>
              <w:t>2019</w:t>
            </w:r>
          </w:p>
        </w:tc>
      </w:tr>
      <w:tr w:rsidR="008A61BC" w:rsidRPr="00BB7C9E" w14:paraId="01B8E453" w14:textId="77777777" w:rsidTr="008015C3">
        <w:trPr>
          <w:trHeight w:val="198"/>
        </w:trPr>
        <w:tc>
          <w:tcPr>
            <w:tcW w:w="1691" w:type="dxa"/>
            <w:tcBorders>
              <w:top w:val="nil"/>
              <w:left w:val="nil"/>
              <w:bottom w:val="single" w:sz="8" w:space="0" w:color="0077BD"/>
              <w:right w:val="single" w:sz="8" w:space="0" w:color="0077BD"/>
            </w:tcBorders>
            <w:shd w:val="clear" w:color="auto" w:fill="auto"/>
            <w:noWrap/>
            <w:vAlign w:val="center"/>
            <w:hideMark/>
          </w:tcPr>
          <w:p w14:paraId="061D57F5" w14:textId="77777777" w:rsidR="008A61BC" w:rsidRPr="00BB7C9E" w:rsidRDefault="008A61BC" w:rsidP="008A61BC">
            <w:pPr>
              <w:rPr>
                <w:b/>
                <w:bCs/>
                <w:color w:val="000000" w:themeColor="text1"/>
                <w:sz w:val="11"/>
                <w:szCs w:val="11"/>
              </w:rPr>
            </w:pPr>
            <w:r w:rsidRPr="00BB7C9E">
              <w:rPr>
                <w:b/>
                <w:bCs/>
                <w:color w:val="000000" w:themeColor="text1"/>
                <w:sz w:val="11"/>
                <w:szCs w:val="11"/>
              </w:rPr>
              <w:t>Liczba akcji, razem</w:t>
            </w:r>
          </w:p>
        </w:tc>
        <w:tc>
          <w:tcPr>
            <w:tcW w:w="1276" w:type="dxa"/>
            <w:tcBorders>
              <w:top w:val="nil"/>
              <w:left w:val="nil"/>
              <w:bottom w:val="single" w:sz="8" w:space="0" w:color="0077BD"/>
              <w:right w:val="single" w:sz="8" w:space="0" w:color="0077BD"/>
            </w:tcBorders>
            <w:shd w:val="clear" w:color="auto" w:fill="auto"/>
            <w:noWrap/>
            <w:vAlign w:val="center"/>
          </w:tcPr>
          <w:p w14:paraId="2EC4167D" w14:textId="3D67ECE0" w:rsidR="008A61BC" w:rsidRPr="00BB7C9E" w:rsidRDefault="008A61BC" w:rsidP="008A61BC">
            <w:pPr>
              <w:rPr>
                <w:color w:val="000000" w:themeColor="text1"/>
                <w:sz w:val="11"/>
                <w:szCs w:val="11"/>
              </w:rPr>
            </w:pPr>
          </w:p>
        </w:tc>
        <w:tc>
          <w:tcPr>
            <w:tcW w:w="1276" w:type="dxa"/>
            <w:tcBorders>
              <w:top w:val="nil"/>
              <w:left w:val="nil"/>
              <w:bottom w:val="single" w:sz="8" w:space="0" w:color="0077BD"/>
              <w:right w:val="single" w:sz="8" w:space="0" w:color="0077BD"/>
            </w:tcBorders>
            <w:shd w:val="clear" w:color="auto" w:fill="auto"/>
            <w:noWrap/>
            <w:vAlign w:val="center"/>
          </w:tcPr>
          <w:p w14:paraId="339F9400" w14:textId="6311D010" w:rsidR="008A61BC" w:rsidRPr="00BB7C9E" w:rsidRDefault="008A61BC" w:rsidP="008A61BC">
            <w:pPr>
              <w:rPr>
                <w:color w:val="000000" w:themeColor="text1"/>
                <w:sz w:val="11"/>
                <w:szCs w:val="11"/>
              </w:rPr>
            </w:pPr>
          </w:p>
        </w:tc>
        <w:tc>
          <w:tcPr>
            <w:tcW w:w="1276" w:type="dxa"/>
            <w:tcBorders>
              <w:top w:val="nil"/>
              <w:left w:val="single" w:sz="8" w:space="0" w:color="0077BD"/>
              <w:bottom w:val="single" w:sz="8" w:space="0" w:color="0077BD"/>
              <w:right w:val="single" w:sz="8" w:space="0" w:color="0077BD"/>
            </w:tcBorders>
            <w:shd w:val="clear" w:color="auto" w:fill="auto"/>
            <w:noWrap/>
            <w:vAlign w:val="center"/>
            <w:hideMark/>
          </w:tcPr>
          <w:p w14:paraId="0BFD8EA2" w14:textId="05DD1C99" w:rsidR="008A61BC" w:rsidRPr="00BB7C9E" w:rsidRDefault="008A61BC" w:rsidP="008A61BC">
            <w:pPr>
              <w:jc w:val="right"/>
              <w:rPr>
                <w:b/>
                <w:bCs/>
                <w:color w:val="000000" w:themeColor="text1"/>
                <w:sz w:val="11"/>
                <w:szCs w:val="11"/>
              </w:rPr>
            </w:pPr>
            <w:r w:rsidRPr="00BB7C9E">
              <w:rPr>
                <w:rFonts w:cs="Calibri"/>
                <w:b/>
                <w:bCs/>
                <w:color w:val="000000" w:themeColor="text1"/>
                <w:sz w:val="11"/>
                <w:szCs w:val="11"/>
              </w:rPr>
              <w:t>42 350 367</w:t>
            </w:r>
          </w:p>
        </w:tc>
        <w:tc>
          <w:tcPr>
            <w:tcW w:w="1559" w:type="dxa"/>
            <w:tcBorders>
              <w:top w:val="nil"/>
              <w:left w:val="nil"/>
              <w:bottom w:val="single" w:sz="8" w:space="0" w:color="0077BD"/>
              <w:right w:val="single" w:sz="8" w:space="0" w:color="0077BD"/>
            </w:tcBorders>
            <w:shd w:val="clear" w:color="auto" w:fill="auto"/>
            <w:noWrap/>
            <w:vAlign w:val="center"/>
          </w:tcPr>
          <w:p w14:paraId="19558D08" w14:textId="63E274F6" w:rsidR="008A61BC" w:rsidRPr="00BB7C9E" w:rsidRDefault="008A61BC" w:rsidP="008A61BC">
            <w:pPr>
              <w:rPr>
                <w:color w:val="000000" w:themeColor="text1"/>
                <w:sz w:val="11"/>
                <w:szCs w:val="11"/>
              </w:rPr>
            </w:pPr>
          </w:p>
        </w:tc>
        <w:tc>
          <w:tcPr>
            <w:tcW w:w="1693" w:type="dxa"/>
            <w:tcBorders>
              <w:top w:val="nil"/>
              <w:left w:val="nil"/>
              <w:bottom w:val="single" w:sz="8" w:space="0" w:color="0077BD"/>
              <w:right w:val="single" w:sz="8" w:space="0" w:color="0077BD"/>
            </w:tcBorders>
            <w:shd w:val="clear" w:color="auto" w:fill="auto"/>
            <w:noWrap/>
            <w:vAlign w:val="center"/>
          </w:tcPr>
          <w:p w14:paraId="02103DE2" w14:textId="052E7F9E" w:rsidR="008A61BC" w:rsidRPr="00BB7C9E" w:rsidRDefault="008A61BC" w:rsidP="008A61BC">
            <w:pPr>
              <w:rPr>
                <w:color w:val="000000" w:themeColor="text1"/>
                <w:sz w:val="11"/>
                <w:szCs w:val="11"/>
              </w:rPr>
            </w:pPr>
          </w:p>
        </w:tc>
        <w:tc>
          <w:tcPr>
            <w:tcW w:w="795" w:type="dxa"/>
            <w:tcBorders>
              <w:top w:val="nil"/>
              <w:left w:val="nil"/>
              <w:bottom w:val="single" w:sz="8" w:space="0" w:color="0077BD"/>
              <w:right w:val="nil"/>
            </w:tcBorders>
            <w:shd w:val="clear" w:color="auto" w:fill="auto"/>
            <w:noWrap/>
            <w:vAlign w:val="center"/>
          </w:tcPr>
          <w:p w14:paraId="4422AFA3" w14:textId="2696E07A" w:rsidR="008A61BC" w:rsidRPr="00BB7C9E" w:rsidRDefault="008A61BC" w:rsidP="008A61BC">
            <w:pPr>
              <w:rPr>
                <w:color w:val="000000" w:themeColor="text1"/>
                <w:sz w:val="11"/>
                <w:szCs w:val="11"/>
              </w:rPr>
            </w:pPr>
          </w:p>
        </w:tc>
      </w:tr>
      <w:tr w:rsidR="00476F57" w:rsidRPr="00BB7C9E" w14:paraId="5C4B4D33" w14:textId="77777777" w:rsidTr="00476F57">
        <w:trPr>
          <w:trHeight w:val="198"/>
        </w:trPr>
        <w:tc>
          <w:tcPr>
            <w:tcW w:w="2967" w:type="dxa"/>
            <w:gridSpan w:val="2"/>
            <w:tcBorders>
              <w:top w:val="nil"/>
              <w:left w:val="nil"/>
              <w:bottom w:val="single" w:sz="8" w:space="0" w:color="0077BD"/>
              <w:right w:val="single" w:sz="8" w:space="0" w:color="0077BD"/>
            </w:tcBorders>
            <w:shd w:val="clear" w:color="auto" w:fill="auto"/>
            <w:noWrap/>
            <w:vAlign w:val="center"/>
            <w:hideMark/>
          </w:tcPr>
          <w:p w14:paraId="26873B30" w14:textId="2BD2DC92" w:rsidR="00476F57" w:rsidRPr="00BB7C9E" w:rsidRDefault="00476F57" w:rsidP="00D7210F">
            <w:pPr>
              <w:rPr>
                <w:color w:val="000000" w:themeColor="text1"/>
                <w:sz w:val="11"/>
                <w:szCs w:val="11"/>
              </w:rPr>
            </w:pPr>
            <w:r w:rsidRPr="00BB7C9E">
              <w:rPr>
                <w:b/>
                <w:bCs/>
                <w:color w:val="000000" w:themeColor="text1"/>
                <w:sz w:val="11"/>
                <w:szCs w:val="11"/>
              </w:rPr>
              <w:t>Zarejestrowany kapitał akcyjny, razem</w:t>
            </w:r>
          </w:p>
        </w:tc>
        <w:tc>
          <w:tcPr>
            <w:tcW w:w="1276" w:type="dxa"/>
            <w:tcBorders>
              <w:top w:val="nil"/>
              <w:left w:val="nil"/>
              <w:bottom w:val="single" w:sz="8" w:space="0" w:color="0077BD"/>
              <w:right w:val="single" w:sz="8" w:space="0" w:color="0077BD"/>
            </w:tcBorders>
            <w:shd w:val="clear" w:color="auto" w:fill="auto"/>
            <w:noWrap/>
            <w:vAlign w:val="center"/>
          </w:tcPr>
          <w:p w14:paraId="2CF66D17" w14:textId="56F718E7" w:rsidR="00476F57" w:rsidRPr="00BB7C9E" w:rsidRDefault="00476F57" w:rsidP="00D7210F">
            <w:pPr>
              <w:rPr>
                <w:color w:val="000000" w:themeColor="text1"/>
                <w:sz w:val="11"/>
                <w:szCs w:val="11"/>
              </w:rPr>
            </w:pPr>
          </w:p>
        </w:tc>
        <w:tc>
          <w:tcPr>
            <w:tcW w:w="1276" w:type="dxa"/>
            <w:tcBorders>
              <w:top w:val="nil"/>
              <w:left w:val="nil"/>
              <w:bottom w:val="single" w:sz="8" w:space="0" w:color="0077BD"/>
              <w:right w:val="single" w:sz="8" w:space="0" w:color="0077BD"/>
            </w:tcBorders>
            <w:shd w:val="clear" w:color="auto" w:fill="auto"/>
            <w:noWrap/>
            <w:vAlign w:val="center"/>
          </w:tcPr>
          <w:p w14:paraId="04C3DE3B" w14:textId="1C33D35C" w:rsidR="00476F57" w:rsidRPr="00BB7C9E" w:rsidRDefault="00476F57" w:rsidP="00D7210F">
            <w:pPr>
              <w:rPr>
                <w:color w:val="000000" w:themeColor="text1"/>
                <w:sz w:val="11"/>
                <w:szCs w:val="11"/>
              </w:rPr>
            </w:pPr>
          </w:p>
        </w:tc>
        <w:tc>
          <w:tcPr>
            <w:tcW w:w="1559" w:type="dxa"/>
            <w:tcBorders>
              <w:top w:val="nil"/>
              <w:left w:val="nil"/>
              <w:bottom w:val="single" w:sz="8" w:space="0" w:color="0077BD"/>
              <w:right w:val="single" w:sz="8" w:space="0" w:color="0077BD"/>
            </w:tcBorders>
            <w:shd w:val="clear" w:color="auto" w:fill="auto"/>
            <w:noWrap/>
            <w:vAlign w:val="center"/>
            <w:hideMark/>
          </w:tcPr>
          <w:p w14:paraId="69312CDC" w14:textId="6E1027BD" w:rsidR="00476F57" w:rsidRPr="00BB7C9E" w:rsidRDefault="00476F57" w:rsidP="00A41F5A">
            <w:pPr>
              <w:jc w:val="right"/>
              <w:rPr>
                <w:b/>
                <w:bCs/>
                <w:color w:val="000000" w:themeColor="text1"/>
                <w:sz w:val="11"/>
                <w:szCs w:val="11"/>
              </w:rPr>
            </w:pPr>
            <w:r>
              <w:rPr>
                <w:b/>
                <w:bCs/>
                <w:color w:val="000000" w:themeColor="text1"/>
                <w:sz w:val="11"/>
                <w:szCs w:val="11"/>
              </w:rPr>
              <w:t>169 401 46</w:t>
            </w:r>
            <w:r w:rsidRPr="00BB7C9E">
              <w:rPr>
                <w:b/>
                <w:bCs/>
                <w:color w:val="000000" w:themeColor="text1"/>
                <w:sz w:val="11"/>
                <w:szCs w:val="11"/>
              </w:rPr>
              <w:t>8</w:t>
            </w:r>
          </w:p>
        </w:tc>
        <w:tc>
          <w:tcPr>
            <w:tcW w:w="1693" w:type="dxa"/>
            <w:tcBorders>
              <w:top w:val="nil"/>
              <w:left w:val="nil"/>
              <w:bottom w:val="single" w:sz="8" w:space="0" w:color="0077BD"/>
              <w:right w:val="single" w:sz="8" w:space="0" w:color="0077BD"/>
            </w:tcBorders>
            <w:shd w:val="clear" w:color="auto" w:fill="auto"/>
            <w:noWrap/>
            <w:vAlign w:val="center"/>
          </w:tcPr>
          <w:p w14:paraId="1E92F34D" w14:textId="22C6CBE7" w:rsidR="00476F57" w:rsidRPr="00BB7C9E" w:rsidRDefault="00476F57" w:rsidP="00D7210F">
            <w:pPr>
              <w:rPr>
                <w:color w:val="000000" w:themeColor="text1"/>
                <w:sz w:val="11"/>
                <w:szCs w:val="11"/>
              </w:rPr>
            </w:pPr>
          </w:p>
        </w:tc>
        <w:tc>
          <w:tcPr>
            <w:tcW w:w="795" w:type="dxa"/>
            <w:tcBorders>
              <w:top w:val="nil"/>
              <w:left w:val="nil"/>
              <w:bottom w:val="single" w:sz="8" w:space="0" w:color="0077BD"/>
              <w:right w:val="nil"/>
            </w:tcBorders>
            <w:shd w:val="clear" w:color="auto" w:fill="auto"/>
            <w:noWrap/>
            <w:vAlign w:val="center"/>
          </w:tcPr>
          <w:p w14:paraId="068CA2B9" w14:textId="749211EE" w:rsidR="00476F57" w:rsidRPr="00BB7C9E" w:rsidRDefault="00476F57" w:rsidP="00D7210F">
            <w:pPr>
              <w:rPr>
                <w:color w:val="000000" w:themeColor="text1"/>
                <w:sz w:val="11"/>
                <w:szCs w:val="11"/>
              </w:rPr>
            </w:pPr>
          </w:p>
        </w:tc>
      </w:tr>
      <w:tr w:rsidR="00476F57" w:rsidRPr="00BB7C9E" w14:paraId="42B1100E" w14:textId="77777777" w:rsidTr="00476F57">
        <w:trPr>
          <w:trHeight w:val="198"/>
        </w:trPr>
        <w:tc>
          <w:tcPr>
            <w:tcW w:w="2967" w:type="dxa"/>
            <w:gridSpan w:val="2"/>
            <w:tcBorders>
              <w:top w:val="single" w:sz="8" w:space="0" w:color="0077BD"/>
              <w:left w:val="nil"/>
              <w:bottom w:val="single" w:sz="12" w:space="0" w:color="0077BD"/>
              <w:right w:val="single" w:sz="8" w:space="0" w:color="0077BD"/>
            </w:tcBorders>
            <w:shd w:val="clear" w:color="auto" w:fill="auto"/>
            <w:noWrap/>
            <w:vAlign w:val="center"/>
            <w:hideMark/>
          </w:tcPr>
          <w:p w14:paraId="019D3BC5" w14:textId="7421A0B4" w:rsidR="00476F57" w:rsidRPr="00BB7C9E" w:rsidRDefault="00476F57" w:rsidP="00D7210F">
            <w:pPr>
              <w:rPr>
                <w:color w:val="000000" w:themeColor="text1"/>
                <w:sz w:val="11"/>
                <w:szCs w:val="11"/>
              </w:rPr>
            </w:pPr>
            <w:r w:rsidRPr="00BB7C9E">
              <w:rPr>
                <w:b/>
                <w:bCs/>
                <w:color w:val="000000" w:themeColor="text1"/>
                <w:sz w:val="11"/>
                <w:szCs w:val="11"/>
              </w:rPr>
              <w:t>Wartość nominalna jednej akcji (w zł)</w:t>
            </w:r>
          </w:p>
        </w:tc>
        <w:tc>
          <w:tcPr>
            <w:tcW w:w="1276" w:type="dxa"/>
            <w:tcBorders>
              <w:top w:val="single" w:sz="8" w:space="0" w:color="0077BD"/>
              <w:left w:val="nil"/>
              <w:bottom w:val="single" w:sz="12" w:space="0" w:color="0077BD"/>
              <w:right w:val="single" w:sz="8" w:space="0" w:color="0077BD"/>
            </w:tcBorders>
            <w:shd w:val="clear" w:color="auto" w:fill="auto"/>
            <w:noWrap/>
            <w:vAlign w:val="center"/>
            <w:hideMark/>
          </w:tcPr>
          <w:p w14:paraId="080A96AA" w14:textId="77777777" w:rsidR="00476F57" w:rsidRPr="00BB7C9E" w:rsidRDefault="00476F57" w:rsidP="00D7210F">
            <w:pPr>
              <w:jc w:val="right"/>
              <w:rPr>
                <w:b/>
                <w:bCs/>
                <w:color w:val="000000" w:themeColor="text1"/>
                <w:sz w:val="11"/>
                <w:szCs w:val="11"/>
              </w:rPr>
            </w:pPr>
            <w:r w:rsidRPr="00BB7C9E">
              <w:rPr>
                <w:b/>
                <w:bCs/>
                <w:color w:val="000000" w:themeColor="text1"/>
                <w:sz w:val="11"/>
                <w:szCs w:val="11"/>
              </w:rPr>
              <w:t>4</w:t>
            </w:r>
          </w:p>
        </w:tc>
        <w:tc>
          <w:tcPr>
            <w:tcW w:w="1276" w:type="dxa"/>
            <w:tcBorders>
              <w:top w:val="single" w:sz="8" w:space="0" w:color="0077BD"/>
              <w:left w:val="nil"/>
              <w:bottom w:val="single" w:sz="12" w:space="0" w:color="0077BD"/>
              <w:right w:val="single" w:sz="8" w:space="0" w:color="0077BD"/>
            </w:tcBorders>
            <w:shd w:val="clear" w:color="auto" w:fill="auto"/>
            <w:noWrap/>
            <w:vAlign w:val="center"/>
          </w:tcPr>
          <w:p w14:paraId="19429DAD" w14:textId="0B402EEB" w:rsidR="00476F57" w:rsidRPr="00BB7C9E" w:rsidRDefault="00476F57" w:rsidP="00D7210F">
            <w:pPr>
              <w:rPr>
                <w:color w:val="000000" w:themeColor="text1"/>
                <w:sz w:val="11"/>
                <w:szCs w:val="11"/>
              </w:rPr>
            </w:pPr>
          </w:p>
        </w:tc>
        <w:tc>
          <w:tcPr>
            <w:tcW w:w="1559" w:type="dxa"/>
            <w:tcBorders>
              <w:top w:val="single" w:sz="8" w:space="0" w:color="0077BD"/>
              <w:left w:val="nil"/>
              <w:bottom w:val="single" w:sz="12" w:space="0" w:color="0077BD"/>
              <w:right w:val="single" w:sz="8" w:space="0" w:color="0077BD"/>
            </w:tcBorders>
            <w:shd w:val="clear" w:color="auto" w:fill="auto"/>
            <w:noWrap/>
            <w:vAlign w:val="center"/>
          </w:tcPr>
          <w:p w14:paraId="2BA7B161" w14:textId="3B99FF7A" w:rsidR="00476F57" w:rsidRPr="00BB7C9E" w:rsidRDefault="00476F57" w:rsidP="00D7210F">
            <w:pPr>
              <w:rPr>
                <w:color w:val="000000" w:themeColor="text1"/>
                <w:sz w:val="11"/>
                <w:szCs w:val="11"/>
              </w:rPr>
            </w:pPr>
          </w:p>
        </w:tc>
        <w:tc>
          <w:tcPr>
            <w:tcW w:w="1693" w:type="dxa"/>
            <w:tcBorders>
              <w:top w:val="single" w:sz="8" w:space="0" w:color="0077BD"/>
              <w:left w:val="nil"/>
              <w:bottom w:val="single" w:sz="12" w:space="0" w:color="0077BD"/>
              <w:right w:val="single" w:sz="8" w:space="0" w:color="0077BD"/>
            </w:tcBorders>
            <w:shd w:val="clear" w:color="auto" w:fill="auto"/>
            <w:noWrap/>
            <w:vAlign w:val="center"/>
          </w:tcPr>
          <w:p w14:paraId="5B4CA8EC" w14:textId="3DD5513A" w:rsidR="00476F57" w:rsidRPr="00BB7C9E" w:rsidRDefault="00476F57" w:rsidP="00D7210F">
            <w:pPr>
              <w:rPr>
                <w:color w:val="000000" w:themeColor="text1"/>
                <w:sz w:val="11"/>
                <w:szCs w:val="11"/>
              </w:rPr>
            </w:pPr>
          </w:p>
        </w:tc>
        <w:tc>
          <w:tcPr>
            <w:tcW w:w="795" w:type="dxa"/>
            <w:tcBorders>
              <w:top w:val="single" w:sz="8" w:space="0" w:color="0077BD"/>
              <w:left w:val="nil"/>
              <w:bottom w:val="single" w:sz="12" w:space="0" w:color="0077BD"/>
              <w:right w:val="nil"/>
            </w:tcBorders>
            <w:shd w:val="clear" w:color="auto" w:fill="auto"/>
            <w:noWrap/>
            <w:vAlign w:val="center"/>
          </w:tcPr>
          <w:p w14:paraId="26F93D4A" w14:textId="38555CC9" w:rsidR="00476F57" w:rsidRPr="00BB7C9E" w:rsidRDefault="00476F57" w:rsidP="00D7210F">
            <w:pPr>
              <w:rPr>
                <w:color w:val="000000" w:themeColor="text1"/>
                <w:sz w:val="11"/>
                <w:szCs w:val="11"/>
              </w:rPr>
            </w:pPr>
          </w:p>
        </w:tc>
      </w:tr>
    </w:tbl>
    <w:p w14:paraId="66718179" w14:textId="77777777" w:rsidR="001973B1" w:rsidRPr="00BB7C9E" w:rsidRDefault="001973B1" w:rsidP="001973B1">
      <w:pPr>
        <w:spacing w:before="120"/>
        <w:jc w:val="both"/>
        <w:rPr>
          <w:color w:val="000000" w:themeColor="text1"/>
          <w:szCs w:val="16"/>
        </w:rPr>
      </w:pPr>
      <w:r w:rsidRPr="00BB7C9E">
        <w:rPr>
          <w:color w:val="000000" w:themeColor="text1"/>
          <w:szCs w:val="16"/>
        </w:rPr>
        <w:t>*Stan akcji na dzień bilansowy</w:t>
      </w:r>
    </w:p>
    <w:p w14:paraId="2B80E9CE" w14:textId="663479C7" w:rsidR="00856A5B" w:rsidRPr="00BB7C9E" w:rsidRDefault="00EF1D1E" w:rsidP="00856A5B">
      <w:pPr>
        <w:pStyle w:val="Tekstpodstawowy"/>
        <w:spacing w:before="120"/>
        <w:jc w:val="both"/>
        <w:rPr>
          <w:rFonts w:cs="Tahoma"/>
          <w:iCs/>
          <w:color w:val="000000" w:themeColor="text1"/>
          <w:sz w:val="18"/>
          <w:szCs w:val="18"/>
        </w:rPr>
      </w:pPr>
      <w:r w:rsidRPr="00BB7C9E">
        <w:rPr>
          <w:rFonts w:cs="Tahoma"/>
          <w:iCs/>
          <w:color w:val="000000" w:themeColor="text1"/>
          <w:sz w:val="18"/>
          <w:szCs w:val="18"/>
        </w:rPr>
        <w:t>W 2019</w:t>
      </w:r>
      <w:r w:rsidR="002D3C55" w:rsidRPr="00BB7C9E">
        <w:rPr>
          <w:rFonts w:cs="Tahoma"/>
          <w:iCs/>
          <w:color w:val="000000" w:themeColor="text1"/>
          <w:sz w:val="18"/>
          <w:szCs w:val="18"/>
        </w:rPr>
        <w:t xml:space="preserve"> roku Krajowy depozyt Papierów Wartościowych (KDPW) dokonał rejestracji </w:t>
      </w:r>
      <w:r w:rsidRPr="00BB7C9E">
        <w:rPr>
          <w:rFonts w:cs="Tahoma"/>
          <w:iCs/>
          <w:color w:val="000000" w:themeColor="text1"/>
          <w:sz w:val="18"/>
          <w:szCs w:val="18"/>
        </w:rPr>
        <w:t>13</w:t>
      </w:r>
      <w:r w:rsidR="002D3C55" w:rsidRPr="00BB7C9E">
        <w:rPr>
          <w:rFonts w:cs="Tahoma"/>
          <w:iCs/>
          <w:color w:val="000000" w:themeColor="text1"/>
          <w:sz w:val="18"/>
          <w:szCs w:val="18"/>
        </w:rPr>
        <w:t> </w:t>
      </w:r>
      <w:r w:rsidRPr="00BB7C9E">
        <w:rPr>
          <w:rFonts w:cs="Tahoma"/>
          <w:iCs/>
          <w:color w:val="000000" w:themeColor="text1"/>
          <w:sz w:val="18"/>
          <w:szCs w:val="18"/>
        </w:rPr>
        <w:t>385</w:t>
      </w:r>
      <w:r w:rsidR="002D3C55" w:rsidRPr="00BB7C9E">
        <w:rPr>
          <w:rFonts w:cs="Tahoma"/>
          <w:iCs/>
          <w:color w:val="000000" w:themeColor="text1"/>
          <w:sz w:val="18"/>
          <w:szCs w:val="18"/>
        </w:rPr>
        <w:t xml:space="preserve"> akcji mBanku wyemitowanych w ramach warunkowego podwyższenia kapitału zakładowego Banku w drodze emisji akcji z wyłączeniem prawa poboru dotychczasowych akcjonariuszy, w celu umożliwienia objęcia akcji mBanku osobom biorącym udział w programach motywacyjnych. W wyniku rejestracji akcji Banku kapita</w:t>
      </w:r>
      <w:r w:rsidRPr="00BB7C9E">
        <w:rPr>
          <w:rFonts w:cs="Tahoma"/>
          <w:iCs/>
          <w:color w:val="000000" w:themeColor="text1"/>
          <w:sz w:val="18"/>
          <w:szCs w:val="18"/>
        </w:rPr>
        <w:t>ł zakładowy mBanku wzrósł w 2019</w:t>
      </w:r>
      <w:r w:rsidR="002D3C55" w:rsidRPr="00BB7C9E">
        <w:rPr>
          <w:rFonts w:cs="Tahoma"/>
          <w:iCs/>
          <w:color w:val="000000" w:themeColor="text1"/>
          <w:sz w:val="18"/>
          <w:szCs w:val="18"/>
        </w:rPr>
        <w:t xml:space="preserve"> roku o kwotę </w:t>
      </w:r>
      <w:r w:rsidRPr="00BB7C9E">
        <w:rPr>
          <w:rFonts w:cs="Tahoma"/>
          <w:iCs/>
          <w:color w:val="000000" w:themeColor="text1"/>
          <w:sz w:val="18"/>
          <w:szCs w:val="18"/>
        </w:rPr>
        <w:t>53</w:t>
      </w:r>
      <w:r w:rsidR="002D3C55" w:rsidRPr="00BB7C9E">
        <w:rPr>
          <w:rFonts w:cs="Tahoma"/>
          <w:iCs/>
          <w:color w:val="000000" w:themeColor="text1"/>
          <w:sz w:val="18"/>
          <w:szCs w:val="18"/>
        </w:rPr>
        <w:t> </w:t>
      </w:r>
      <w:r w:rsidRPr="00BB7C9E">
        <w:rPr>
          <w:rFonts w:cs="Tahoma"/>
          <w:iCs/>
          <w:color w:val="000000" w:themeColor="text1"/>
          <w:sz w:val="18"/>
          <w:szCs w:val="18"/>
        </w:rPr>
        <w:t>540</w:t>
      </w:r>
      <w:r w:rsidR="002D3C55" w:rsidRPr="00BB7C9E">
        <w:rPr>
          <w:rFonts w:cs="Tahoma"/>
          <w:iCs/>
          <w:color w:val="000000" w:themeColor="text1"/>
          <w:sz w:val="18"/>
          <w:szCs w:val="18"/>
        </w:rPr>
        <w:t xml:space="preserve"> zł.</w:t>
      </w:r>
    </w:p>
    <w:p w14:paraId="010AC98B" w14:textId="5E66432B" w:rsidR="00EF1D1E" w:rsidRPr="00BB7C9E" w:rsidRDefault="00EF1D1E" w:rsidP="00EF1D1E">
      <w:pPr>
        <w:pStyle w:val="Tekstpodstawowy"/>
        <w:spacing w:before="120"/>
        <w:jc w:val="both"/>
        <w:rPr>
          <w:rFonts w:cs="Tahoma"/>
          <w:iCs/>
          <w:color w:val="000000" w:themeColor="text1"/>
          <w:sz w:val="18"/>
          <w:szCs w:val="18"/>
        </w:rPr>
      </w:pPr>
      <w:r w:rsidRPr="00BB7C9E">
        <w:rPr>
          <w:rFonts w:cs="Tahoma"/>
          <w:iCs/>
          <w:color w:val="000000" w:themeColor="text1"/>
          <w:sz w:val="18"/>
          <w:szCs w:val="18"/>
        </w:rPr>
        <w:t xml:space="preserve">Akcjonariuszem posiadającym powyżej 5% kapitału zakładowego i ogółu głosów na Walnym Zgromadzeniu jest Commerzbank AG, który na dzień 31 grudnia 2019 roku posiadał 69,31% kapitału zakładowego i głosów na walnym zgromadzeniu mBanku S.A. </w:t>
      </w:r>
    </w:p>
    <w:p w14:paraId="15E299A3" w14:textId="77777777" w:rsidR="00EF1D1E" w:rsidRPr="00BB7C9E" w:rsidRDefault="00EF1D1E" w:rsidP="00526DF1">
      <w:pPr>
        <w:pStyle w:val="Tekstpodstawowy"/>
        <w:numPr>
          <w:ilvl w:val="0"/>
          <w:numId w:val="36"/>
        </w:numPr>
        <w:spacing w:before="60" w:after="0"/>
        <w:ind w:left="284" w:hanging="284"/>
        <w:jc w:val="both"/>
        <w:rPr>
          <w:color w:val="000000" w:themeColor="text1"/>
          <w:sz w:val="18"/>
          <w:szCs w:val="18"/>
        </w:rPr>
      </w:pPr>
      <w:r w:rsidRPr="00BB7C9E">
        <w:rPr>
          <w:color w:val="000000" w:themeColor="text1"/>
          <w:sz w:val="18"/>
          <w:szCs w:val="18"/>
        </w:rPr>
        <w:t>Komunikat Commerzbank AG w sprawie zatwierdzenia strategii obejmującej między innymi potencjalne zbycie akcji mBank S.A.</w:t>
      </w:r>
    </w:p>
    <w:p w14:paraId="312CC846" w14:textId="77777777" w:rsidR="00EF1D1E" w:rsidRPr="00BB7C9E" w:rsidRDefault="00EF1D1E" w:rsidP="00EF1D1E">
      <w:pPr>
        <w:pStyle w:val="Tekstpodstawowy"/>
        <w:spacing w:before="120" w:after="0"/>
        <w:jc w:val="both"/>
        <w:rPr>
          <w:color w:val="000000" w:themeColor="text1"/>
          <w:sz w:val="18"/>
          <w:szCs w:val="18"/>
        </w:rPr>
      </w:pPr>
      <w:r w:rsidRPr="00BB7C9E">
        <w:rPr>
          <w:color w:val="000000" w:themeColor="text1"/>
          <w:spacing w:val="0"/>
          <w:sz w:val="18"/>
          <w:szCs w:val="18"/>
        </w:rPr>
        <w:t>W dniu 26 września 2019 roku Commerzbank AG opublikował komunikat, zgodnie z którym nowa strategia biznesowa Commerzbanku została zatwierdzona przez Zarząd i Radę Nadzorczą Commerzbanku. Strategia przewiduje między innymi zbycie posiadanego przez Commerzbank większościowego pakietu akcji mBanku. Potencjalne zbycie akcji Banku byłoby uzależnione od uzyskania wymaganych zgód regulacyjnych</w:t>
      </w:r>
      <w:r w:rsidRPr="00BB7C9E">
        <w:rPr>
          <w:color w:val="000000" w:themeColor="text1"/>
          <w:sz w:val="18"/>
          <w:szCs w:val="18"/>
        </w:rPr>
        <w:t>.</w:t>
      </w:r>
    </w:p>
    <w:p w14:paraId="1E0C0467" w14:textId="77777777" w:rsidR="00EF1D1E" w:rsidRPr="00BB7C9E" w:rsidRDefault="00EF1D1E" w:rsidP="00526DF1">
      <w:pPr>
        <w:pStyle w:val="Tekstpodstawowy"/>
        <w:numPr>
          <w:ilvl w:val="0"/>
          <w:numId w:val="36"/>
        </w:numPr>
        <w:spacing w:before="120" w:after="0"/>
        <w:ind w:left="284" w:hanging="284"/>
        <w:jc w:val="both"/>
        <w:rPr>
          <w:color w:val="000000" w:themeColor="text1"/>
          <w:sz w:val="18"/>
          <w:szCs w:val="18"/>
        </w:rPr>
      </w:pPr>
      <w:r w:rsidRPr="00BB7C9E">
        <w:rPr>
          <w:color w:val="000000" w:themeColor="text1"/>
          <w:sz w:val="18"/>
          <w:szCs w:val="18"/>
        </w:rPr>
        <w:t>Zmiany w strukturze własności znaczących pakietów akcji Banku.</w:t>
      </w:r>
    </w:p>
    <w:p w14:paraId="4E11B2E1" w14:textId="77777777" w:rsidR="00EF1D1E" w:rsidRPr="00BB7C9E" w:rsidRDefault="00EF1D1E" w:rsidP="00EF1D1E">
      <w:pPr>
        <w:pStyle w:val="Tekstpodstawowy"/>
        <w:spacing w:before="120" w:after="0"/>
        <w:jc w:val="both"/>
        <w:rPr>
          <w:rFonts w:cs="Tahoma"/>
          <w:iCs/>
          <w:color w:val="000000" w:themeColor="text1"/>
          <w:sz w:val="18"/>
          <w:szCs w:val="18"/>
        </w:rPr>
      </w:pPr>
      <w:r w:rsidRPr="00BB7C9E">
        <w:rPr>
          <w:rFonts w:cs="Tahoma"/>
          <w:iCs/>
          <w:color w:val="000000" w:themeColor="text1"/>
          <w:sz w:val="18"/>
          <w:szCs w:val="18"/>
        </w:rPr>
        <w:t xml:space="preserve">W dniu 30 września 2019 roku Bank otrzymał od Nationale-Nederlanden Powszechne Towarzystwo Emerytalne S.A. zawiadomienie o zwiększeniu udziału Nationale-Nederlanden Otwarty Fundusz Emerytalny (Fundusz) w ogólnej liczbie głosów na Walnym Zgromadzeniu mBanku S.A. powyżej 5% w wyniku nabycia akcji mBanku S.A. w transakcjach na Giełdzie Papierów Wartościowych (GPW) w Warszawie, rozliczonych w dniu 24 września 2019 roku. W wyniku tej samej transakcji zarządzane przez Nationale-Nederlanden Powszechne Towarzystwo Emerytalne S.A. fundusze: Nationale-Nederlanden Otwarty Fundusz Emerytalny (OFE) i Nationale-Nederlanden Dobrowolny Fundusz Emerytalny (DEF) zwiększyły łączny stan posiadania akcji mBanku S.A. powyżej 5% na walnym zgromadzeniu mBanku S.A. </w:t>
      </w:r>
    </w:p>
    <w:p w14:paraId="18084090" w14:textId="77777777" w:rsidR="00EF1D1E" w:rsidRPr="00BB7C9E" w:rsidRDefault="00EF1D1E" w:rsidP="00EF1D1E">
      <w:pPr>
        <w:pStyle w:val="Tekstpodstawowy"/>
        <w:spacing w:before="120" w:after="0"/>
        <w:jc w:val="both"/>
        <w:rPr>
          <w:rFonts w:cs="Tahoma"/>
          <w:iCs/>
          <w:color w:val="000000" w:themeColor="text1"/>
          <w:sz w:val="18"/>
          <w:szCs w:val="18"/>
        </w:rPr>
      </w:pPr>
      <w:r w:rsidRPr="00BB7C9E">
        <w:rPr>
          <w:rFonts w:cs="Tahoma"/>
          <w:iCs/>
          <w:color w:val="000000" w:themeColor="text1"/>
          <w:sz w:val="18"/>
          <w:szCs w:val="18"/>
        </w:rPr>
        <w:lastRenderedPageBreak/>
        <w:t>Od dnia 24 września 2019 roku OFE i DEF łącznie są w posiadaniu 2 129 384 akcji mBanku S.A., co stanowi 5,030% kapitału zakładowego mBanku S.A. i uprawnia do 2 129 384 głosów na walnym zgromadzeniu mBanku S.A.</w:t>
      </w:r>
    </w:p>
    <w:p w14:paraId="0FA195CE" w14:textId="77777777" w:rsidR="00EF1D1E" w:rsidRPr="00BB7C9E" w:rsidRDefault="00EF1D1E" w:rsidP="00EF1D1E">
      <w:pPr>
        <w:pStyle w:val="Tekstpodstawowy"/>
        <w:spacing w:before="120" w:after="0"/>
        <w:jc w:val="both"/>
        <w:rPr>
          <w:rFonts w:cs="Tahoma"/>
          <w:iCs/>
          <w:color w:val="000000" w:themeColor="text1"/>
          <w:sz w:val="18"/>
          <w:szCs w:val="18"/>
        </w:rPr>
      </w:pPr>
      <w:r w:rsidRPr="00BB7C9E">
        <w:rPr>
          <w:rFonts w:cs="Tahoma"/>
          <w:iCs/>
          <w:color w:val="000000" w:themeColor="text1"/>
          <w:sz w:val="18"/>
          <w:szCs w:val="18"/>
        </w:rPr>
        <w:t>W dniu 23 września 2019 roku, przed nabyciem akcji mBanku S.A., Fundusz posiadał 2 116 439 akcji mBanku S.A., co stanowiło 4,999% kapitału zakładowego mBanku S.A. i uprawniało do 2 116 439 głosów na walnym zgromadzeniu mBanku S.A.</w:t>
      </w:r>
    </w:p>
    <w:p w14:paraId="44FCA9DF" w14:textId="77777777" w:rsidR="00EF1D1E" w:rsidRPr="00BB7C9E" w:rsidRDefault="00EF1D1E" w:rsidP="00EF1D1E">
      <w:pPr>
        <w:pStyle w:val="Tekstpodstawowy"/>
        <w:spacing w:before="120" w:after="0"/>
        <w:jc w:val="both"/>
        <w:rPr>
          <w:rFonts w:cs="Tahoma"/>
          <w:iCs/>
          <w:color w:val="000000" w:themeColor="text1"/>
          <w:sz w:val="18"/>
          <w:szCs w:val="18"/>
        </w:rPr>
      </w:pPr>
      <w:r w:rsidRPr="00BB7C9E">
        <w:rPr>
          <w:rFonts w:cs="Tahoma"/>
          <w:iCs/>
          <w:color w:val="000000" w:themeColor="text1"/>
          <w:sz w:val="18"/>
          <w:szCs w:val="18"/>
        </w:rPr>
        <w:t>W dniu 25 października 2019 roku mBank S.A. otrzymał od Nationale-Nederlanden Powszechne Towarzystwo Emerytalne S.A. zawiadomienie o zmniejszeniu udziału Funduszu w ogólnej liczbie głosów na Walnym Zgromadzeniu mBanku S.A. poniżej 5% w wyniku zbycia akcji mBanku S.A. w transakcjach na GPW w Warszawie w dniu 17 października 2019 roku. W wyniku tej samej transakcji zarządzane przez Nationale-Nederlanden Powszechne Towarzystwo Emerytalne S.A. fundusze OFE i DEF zmniejszyły łączny stan posiadania akcji mBanku S.A. poniżej 5% na Walnym Zgromadzeniu mBanku S.A.</w:t>
      </w:r>
    </w:p>
    <w:p w14:paraId="76F36769" w14:textId="2C0DA608" w:rsidR="002D5B33" w:rsidRPr="00BB7C9E" w:rsidRDefault="00EF1D1E" w:rsidP="00EF1D1E">
      <w:pPr>
        <w:pStyle w:val="Tekstpodstawowy"/>
        <w:spacing w:before="120" w:after="0"/>
        <w:jc w:val="both"/>
        <w:rPr>
          <w:rFonts w:cs="Tahoma"/>
          <w:iCs/>
          <w:color w:val="000000" w:themeColor="text1"/>
          <w:sz w:val="18"/>
          <w:szCs w:val="18"/>
        </w:rPr>
      </w:pPr>
      <w:r w:rsidRPr="00BB7C9E">
        <w:rPr>
          <w:rFonts w:cs="Tahoma"/>
          <w:iCs/>
          <w:color w:val="000000" w:themeColor="text1"/>
          <w:sz w:val="18"/>
          <w:szCs w:val="18"/>
        </w:rPr>
        <w:t>Od dnia 25 października 2019 roku OFE i DEF łącznie są w posiadaniu 2 092 050 akcji mBanku S.A., co stanowi 4,94% kapitału zakładowego mBanku S.A. i uprawnia do 2 092 050 głosów na walnym zgromadzeniu mBanku S.A</w:t>
      </w:r>
      <w:r w:rsidR="00D93BA8" w:rsidRPr="00BB7C9E">
        <w:rPr>
          <w:rFonts w:cs="Tahoma"/>
          <w:iCs/>
          <w:color w:val="000000" w:themeColor="text1"/>
          <w:sz w:val="18"/>
          <w:szCs w:val="18"/>
        </w:rPr>
        <w:t>.</w:t>
      </w:r>
    </w:p>
    <w:p w14:paraId="1C2FCDA1" w14:textId="77777777" w:rsidR="00746710" w:rsidRDefault="00746710" w:rsidP="00746710">
      <w:pPr>
        <w:pStyle w:val="Tekstpodstawowy"/>
        <w:spacing w:after="0"/>
        <w:jc w:val="both"/>
        <w:rPr>
          <w:rFonts w:cs="Tahoma"/>
          <w:iCs/>
          <w:color w:val="201C17"/>
          <w:sz w:val="18"/>
          <w:szCs w:val="18"/>
        </w:rPr>
      </w:pPr>
    </w:p>
    <w:p w14:paraId="70F0574D" w14:textId="77777777" w:rsidR="00954818" w:rsidRDefault="00954818" w:rsidP="00526DF1">
      <w:pPr>
        <w:pStyle w:val="Nagwek2"/>
        <w:numPr>
          <w:ilvl w:val="0"/>
          <w:numId w:val="44"/>
        </w:numPr>
        <w:suppressAutoHyphens/>
        <w:spacing w:before="0"/>
        <w:ind w:left="425" w:hanging="425"/>
        <w:jc w:val="both"/>
        <w:rPr>
          <w:rFonts w:cs="Tahoma"/>
          <w:bCs w:val="0"/>
          <w:iCs w:val="0"/>
          <w:color w:val="E41E0A"/>
          <w:sz w:val="18"/>
          <w:szCs w:val="18"/>
        </w:rPr>
      </w:pPr>
      <w:bookmarkStart w:id="158" w:name="_Toc32999867"/>
      <w:r>
        <w:rPr>
          <w:rFonts w:cs="Tahoma"/>
          <w:bCs w:val="0"/>
          <w:iCs w:val="0"/>
          <w:color w:val="E41E0A"/>
          <w:sz w:val="18"/>
          <w:szCs w:val="18"/>
        </w:rPr>
        <w:t>Kapitał zapasowy ze sprzedaży akcji powyżej wartości nominalnej</w:t>
      </w:r>
      <w:bookmarkEnd w:id="158"/>
    </w:p>
    <w:p w14:paraId="4F521F8E" w14:textId="398BD0A3" w:rsidR="00043EA9" w:rsidRPr="00BB7C9E" w:rsidRDefault="00043EA9" w:rsidP="007C5385">
      <w:pPr>
        <w:spacing w:before="120"/>
        <w:jc w:val="both"/>
        <w:rPr>
          <w:rFonts w:cs="Tahoma"/>
          <w:color w:val="000000" w:themeColor="text1"/>
          <w:sz w:val="18"/>
          <w:szCs w:val="18"/>
        </w:rPr>
      </w:pPr>
      <w:r w:rsidRPr="00BB7C9E">
        <w:rPr>
          <w:rFonts w:cs="Tahoma"/>
          <w:color w:val="000000" w:themeColor="text1"/>
          <w:sz w:val="18"/>
          <w:szCs w:val="18"/>
        </w:rPr>
        <w:t>Kapitał zapasowy ze sprzedaży akcji powyżej wartości nominalnej tworzony jest z nadwyżki osiągniętej przy emisji akcji powyżej wartości nominalnej pozostałej po pokryciu kosztów emisji, z przeznaczeniem na</w:t>
      </w:r>
      <w:r w:rsidR="00CA099F">
        <w:rPr>
          <w:rFonts w:cs="Tahoma"/>
          <w:color w:val="000000" w:themeColor="text1"/>
          <w:sz w:val="18"/>
          <w:szCs w:val="18"/>
        </w:rPr>
        <w:t> </w:t>
      </w:r>
      <w:r w:rsidRPr="00BB7C9E">
        <w:rPr>
          <w:rFonts w:cs="Tahoma"/>
          <w:color w:val="000000" w:themeColor="text1"/>
          <w:sz w:val="18"/>
          <w:szCs w:val="18"/>
        </w:rPr>
        <w:t>pokrycie strat bilansowych, jakie mogą wyniknąć w związku z działalnością Banku.</w:t>
      </w:r>
    </w:p>
    <w:p w14:paraId="1C916AB9" w14:textId="45A45CA9" w:rsidR="00043EA9" w:rsidRPr="00BB7C9E" w:rsidRDefault="00043EA9" w:rsidP="00043EA9">
      <w:pPr>
        <w:pStyle w:val="Tekstprzypisudolnego"/>
        <w:suppressAutoHyphens/>
        <w:spacing w:before="120"/>
        <w:jc w:val="both"/>
        <w:rPr>
          <w:rFonts w:cs="Tahoma"/>
          <w:iCs/>
          <w:color w:val="000000" w:themeColor="text1"/>
          <w:sz w:val="18"/>
          <w:szCs w:val="18"/>
        </w:rPr>
      </w:pPr>
      <w:r w:rsidRPr="00BB7C9E">
        <w:rPr>
          <w:rFonts w:cs="Tahoma"/>
          <w:iCs/>
          <w:color w:val="000000" w:themeColor="text1"/>
          <w:sz w:val="18"/>
          <w:szCs w:val="18"/>
        </w:rPr>
        <w:t>Zwiększenie kapitału zapasowego w 201</w:t>
      </w:r>
      <w:r w:rsidR="00BE596F" w:rsidRPr="00BB7C9E">
        <w:rPr>
          <w:rFonts w:cs="Tahoma"/>
          <w:iCs/>
          <w:color w:val="000000" w:themeColor="text1"/>
          <w:sz w:val="18"/>
          <w:szCs w:val="18"/>
        </w:rPr>
        <w:t>9</w:t>
      </w:r>
      <w:r w:rsidRPr="00BB7C9E">
        <w:rPr>
          <w:rFonts w:cs="Tahoma"/>
          <w:iCs/>
          <w:color w:val="000000" w:themeColor="text1"/>
          <w:sz w:val="18"/>
          <w:szCs w:val="18"/>
        </w:rPr>
        <w:t xml:space="preserve"> roku i w 201</w:t>
      </w:r>
      <w:r w:rsidR="00BE596F" w:rsidRPr="00BB7C9E">
        <w:rPr>
          <w:rFonts w:cs="Tahoma"/>
          <w:iCs/>
          <w:color w:val="000000" w:themeColor="text1"/>
          <w:sz w:val="18"/>
          <w:szCs w:val="18"/>
        </w:rPr>
        <w:t>8</w:t>
      </w:r>
      <w:r w:rsidRPr="00BB7C9E">
        <w:rPr>
          <w:rFonts w:cs="Tahoma"/>
          <w:iCs/>
          <w:color w:val="000000" w:themeColor="text1"/>
          <w:sz w:val="18"/>
          <w:szCs w:val="18"/>
        </w:rPr>
        <w:t xml:space="preserve"> roku wynika z emisji akcji w ramach realizacji programów motywacyjn</w:t>
      </w:r>
      <w:r w:rsidR="0075028A" w:rsidRPr="00BB7C9E">
        <w:rPr>
          <w:rFonts w:cs="Tahoma"/>
          <w:iCs/>
          <w:color w:val="000000" w:themeColor="text1"/>
          <w:sz w:val="18"/>
          <w:szCs w:val="18"/>
        </w:rPr>
        <w:t xml:space="preserve">ych, opisanych w Nocie </w:t>
      </w:r>
      <w:r w:rsidR="005B5ECF" w:rsidRPr="00BB7C9E">
        <w:rPr>
          <w:rFonts w:cs="Tahoma"/>
          <w:iCs/>
          <w:color w:val="000000" w:themeColor="text1"/>
          <w:sz w:val="18"/>
          <w:szCs w:val="18"/>
        </w:rPr>
        <w:t>41</w:t>
      </w:r>
      <w:r w:rsidRPr="00BB7C9E">
        <w:rPr>
          <w:rFonts w:cs="Tahoma"/>
          <w:iCs/>
          <w:color w:val="000000" w:themeColor="text1"/>
          <w:sz w:val="18"/>
          <w:szCs w:val="18"/>
        </w:rPr>
        <w:t>.</w:t>
      </w:r>
    </w:p>
    <w:p w14:paraId="29A28C9C" w14:textId="77777777" w:rsidR="00EF1D1E" w:rsidRPr="00BB7C9E" w:rsidRDefault="00EF1D1E" w:rsidP="00EF1D1E">
      <w:pPr>
        <w:pStyle w:val="Tekstprzypisudolnego"/>
        <w:suppressAutoHyphens/>
        <w:jc w:val="both"/>
        <w:rPr>
          <w:rFonts w:cs="Tahoma"/>
          <w:iCs/>
          <w:color w:val="000000" w:themeColor="text1"/>
          <w:sz w:val="18"/>
          <w:szCs w:val="18"/>
        </w:rPr>
      </w:pPr>
    </w:p>
    <w:p w14:paraId="588E9E45" w14:textId="77777777" w:rsidR="00043EA9" w:rsidRDefault="00043EA9" w:rsidP="00526DF1">
      <w:pPr>
        <w:pStyle w:val="Nagwek2"/>
        <w:numPr>
          <w:ilvl w:val="0"/>
          <w:numId w:val="44"/>
        </w:numPr>
        <w:suppressAutoHyphens/>
        <w:spacing w:before="0"/>
        <w:ind w:left="425" w:hanging="425"/>
        <w:jc w:val="both"/>
        <w:rPr>
          <w:rFonts w:cs="Tahoma"/>
          <w:bCs w:val="0"/>
          <w:iCs w:val="0"/>
          <w:color w:val="E41E0A"/>
          <w:sz w:val="18"/>
          <w:szCs w:val="18"/>
        </w:rPr>
      </w:pPr>
      <w:bookmarkStart w:id="159" w:name="_Toc32999868"/>
      <w:r>
        <w:rPr>
          <w:rFonts w:cs="Tahoma"/>
          <w:bCs w:val="0"/>
          <w:iCs w:val="0"/>
          <w:color w:val="E41E0A"/>
          <w:sz w:val="18"/>
          <w:szCs w:val="18"/>
        </w:rPr>
        <w:t>Zyski zatrzymane</w:t>
      </w:r>
      <w:bookmarkEnd w:id="159"/>
    </w:p>
    <w:p w14:paraId="725AAAC2" w14:textId="77777777" w:rsidR="00651D97" w:rsidRPr="00BB7C9E" w:rsidRDefault="00651D97" w:rsidP="009C3935">
      <w:pPr>
        <w:pStyle w:val="Tekstprzypisudolnego"/>
        <w:suppressAutoHyphens/>
        <w:spacing w:before="120"/>
        <w:jc w:val="both"/>
        <w:rPr>
          <w:rFonts w:cs="Tahoma"/>
          <w:color w:val="000000" w:themeColor="text1"/>
          <w:sz w:val="18"/>
          <w:szCs w:val="18"/>
        </w:rPr>
      </w:pPr>
      <w:r w:rsidRPr="00BB7C9E">
        <w:rPr>
          <w:rFonts w:cs="Tahoma"/>
          <w:color w:val="000000" w:themeColor="text1"/>
          <w:sz w:val="18"/>
          <w:szCs w:val="18"/>
        </w:rPr>
        <w:t>Zyski zatrzymane obejmują pozostały kapitał zapasowy, pozostałe kapitały rezerwowe, fundusz ogólnego ryzyka, niepodzielony wynik finansowy z lat ubiegłych oraz wynik roku bieżącego.</w:t>
      </w:r>
    </w:p>
    <w:p w14:paraId="1B55D1AF" w14:textId="77777777" w:rsidR="00651D97" w:rsidRPr="00BB7C9E" w:rsidRDefault="00651D97" w:rsidP="00651D97">
      <w:pPr>
        <w:pStyle w:val="Tekstpodstawowy"/>
        <w:spacing w:before="120" w:after="0"/>
        <w:jc w:val="both"/>
        <w:rPr>
          <w:rFonts w:cs="Tahoma"/>
          <w:iCs/>
          <w:color w:val="000000" w:themeColor="text1"/>
          <w:sz w:val="18"/>
          <w:szCs w:val="18"/>
        </w:rPr>
      </w:pPr>
      <w:r w:rsidRPr="00BB7C9E">
        <w:rPr>
          <w:rFonts w:cs="Tahoma"/>
          <w:color w:val="000000" w:themeColor="text1"/>
          <w:sz w:val="18"/>
          <w:szCs w:val="18"/>
        </w:rPr>
        <w:t>Pozostały kapitał zapasowy, pozostały kapitał rezerwowy i fundusz ogólnego ryzyka tworzone są z odpisów z</w:t>
      </w:r>
      <w:r w:rsidR="00494280" w:rsidRPr="00BB7C9E">
        <w:rPr>
          <w:rFonts w:cs="Tahoma"/>
          <w:color w:val="000000" w:themeColor="text1"/>
          <w:sz w:val="18"/>
          <w:szCs w:val="18"/>
        </w:rPr>
        <w:t> </w:t>
      </w:r>
      <w:r w:rsidRPr="00BB7C9E">
        <w:rPr>
          <w:rFonts w:cs="Tahoma"/>
          <w:color w:val="000000" w:themeColor="text1"/>
          <w:sz w:val="18"/>
          <w:szCs w:val="18"/>
        </w:rPr>
        <w:t>zysku i są przeznaczone na cele określone w statucie lub innych przepisach prawa.</w:t>
      </w:r>
    </w:p>
    <w:p w14:paraId="4659EE21" w14:textId="28A60560" w:rsidR="00F126C3" w:rsidRPr="00BB7C9E" w:rsidRDefault="00F126C3" w:rsidP="009D7A90">
      <w:pPr>
        <w:pStyle w:val="Tekstprzypisudolnego"/>
        <w:suppressAutoHyphens/>
        <w:jc w:val="both"/>
        <w:rPr>
          <w:noProof/>
          <w:color w:val="000000" w:themeColor="text1"/>
          <w:lang w:val="pl-PL"/>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9D7A90" w:rsidRPr="009D7A90" w14:paraId="46F22094" w14:textId="77777777" w:rsidTr="00796585">
        <w:trPr>
          <w:trHeight w:val="284"/>
        </w:trPr>
        <w:tc>
          <w:tcPr>
            <w:tcW w:w="6747" w:type="dxa"/>
            <w:tcBorders>
              <w:top w:val="nil"/>
              <w:left w:val="nil"/>
              <w:bottom w:val="nil"/>
              <w:right w:val="single" w:sz="8" w:space="0" w:color="FFFFFF"/>
            </w:tcBorders>
            <w:shd w:val="clear" w:color="000000" w:fill="0077BD"/>
            <w:noWrap/>
            <w:vAlign w:val="center"/>
            <w:hideMark/>
          </w:tcPr>
          <w:p w14:paraId="63F4CE8D" w14:textId="77777777" w:rsidR="009D7A90" w:rsidRPr="009D7A90" w:rsidRDefault="009D7A90" w:rsidP="009D7A90">
            <w:pPr>
              <w:rPr>
                <w:rFonts w:cs="Calibri"/>
                <w:color w:val="99CCFF"/>
                <w:sz w:val="13"/>
                <w:szCs w:val="13"/>
              </w:rPr>
            </w:pPr>
            <w:r w:rsidRPr="009D7A90">
              <w:rPr>
                <w:rFonts w:cs="Calibri"/>
                <w:color w:val="99CCFF"/>
                <w:sz w:val="13"/>
                <w:szCs w:val="13"/>
              </w:rPr>
              <w:t> </w:t>
            </w:r>
          </w:p>
        </w:tc>
        <w:tc>
          <w:tcPr>
            <w:tcW w:w="1418" w:type="dxa"/>
            <w:tcBorders>
              <w:top w:val="nil"/>
              <w:left w:val="nil"/>
              <w:bottom w:val="nil"/>
              <w:right w:val="single" w:sz="8" w:space="0" w:color="FFFFFF"/>
            </w:tcBorders>
            <w:shd w:val="clear" w:color="000000" w:fill="0077BD"/>
            <w:vAlign w:val="center"/>
            <w:hideMark/>
          </w:tcPr>
          <w:p w14:paraId="41A4F33B" w14:textId="77777777" w:rsidR="009D7A90" w:rsidRPr="009D7A90" w:rsidRDefault="009D7A90" w:rsidP="009D7A90">
            <w:pPr>
              <w:jc w:val="right"/>
              <w:rPr>
                <w:rFonts w:cs="Calibri"/>
                <w:b/>
                <w:bCs/>
                <w:color w:val="FFFFFF"/>
                <w:sz w:val="13"/>
                <w:szCs w:val="13"/>
              </w:rPr>
            </w:pPr>
            <w:r w:rsidRPr="009D7A90">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7013E982" w14:textId="77777777" w:rsidR="009D7A90" w:rsidRPr="009D7A90" w:rsidRDefault="009D7A90" w:rsidP="009D7A90">
            <w:pPr>
              <w:jc w:val="right"/>
              <w:rPr>
                <w:rFonts w:cs="Calibri"/>
                <w:b/>
                <w:bCs/>
                <w:color w:val="FFFFFF"/>
                <w:sz w:val="13"/>
                <w:szCs w:val="13"/>
              </w:rPr>
            </w:pPr>
            <w:r w:rsidRPr="009D7A90">
              <w:rPr>
                <w:rFonts w:cs="Calibri"/>
                <w:b/>
                <w:bCs/>
                <w:color w:val="FFFFFF"/>
                <w:sz w:val="13"/>
                <w:szCs w:val="13"/>
              </w:rPr>
              <w:t>31.12.2018</w:t>
            </w:r>
          </w:p>
        </w:tc>
      </w:tr>
      <w:tr w:rsidR="00796585" w:rsidRPr="00BB7C9E" w14:paraId="1C5B0972" w14:textId="77777777" w:rsidTr="0079658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51D8AD73" w14:textId="77777777" w:rsidR="00796585" w:rsidRPr="00BB7C9E" w:rsidRDefault="00796585" w:rsidP="00796585">
            <w:pPr>
              <w:rPr>
                <w:rFonts w:cs="Calibri"/>
                <w:color w:val="000000" w:themeColor="text1"/>
                <w:sz w:val="13"/>
                <w:szCs w:val="13"/>
              </w:rPr>
            </w:pPr>
            <w:r w:rsidRPr="00BB7C9E">
              <w:rPr>
                <w:rFonts w:cs="Calibri"/>
                <w:color w:val="000000" w:themeColor="text1"/>
                <w:sz w:val="13"/>
                <w:szCs w:val="13"/>
              </w:rPr>
              <w:t>Pozostały kapitał zapasowy</w:t>
            </w:r>
          </w:p>
        </w:tc>
        <w:tc>
          <w:tcPr>
            <w:tcW w:w="1418" w:type="dxa"/>
            <w:tcBorders>
              <w:top w:val="nil"/>
              <w:left w:val="single" w:sz="8" w:space="0" w:color="0077BD"/>
              <w:bottom w:val="single" w:sz="4" w:space="0" w:color="0077BD"/>
              <w:right w:val="single" w:sz="8" w:space="0" w:color="FFFFFF"/>
            </w:tcBorders>
            <w:shd w:val="clear" w:color="auto" w:fill="auto"/>
            <w:noWrap/>
            <w:vAlign w:val="center"/>
          </w:tcPr>
          <w:p w14:paraId="0082ECE6" w14:textId="412E7672" w:rsidR="00796585" w:rsidRPr="00BB7C9E" w:rsidRDefault="00796585" w:rsidP="00796585">
            <w:pPr>
              <w:jc w:val="right"/>
              <w:rPr>
                <w:rFonts w:cs="Calibri"/>
                <w:color w:val="000000" w:themeColor="text1"/>
                <w:sz w:val="13"/>
                <w:szCs w:val="13"/>
              </w:rPr>
            </w:pPr>
            <w:bookmarkStart w:id="160" w:name="RANGE!B5:B10"/>
            <w:r w:rsidRPr="00BB7C9E">
              <w:rPr>
                <w:rFonts w:cs="Calibri"/>
                <w:color w:val="000000" w:themeColor="text1"/>
                <w:sz w:val="13"/>
                <w:szCs w:val="13"/>
              </w:rPr>
              <w:t>9 826 282</w:t>
            </w:r>
            <w:bookmarkEnd w:id="160"/>
          </w:p>
        </w:tc>
        <w:tc>
          <w:tcPr>
            <w:tcW w:w="1418" w:type="dxa"/>
            <w:tcBorders>
              <w:top w:val="nil"/>
              <w:left w:val="single" w:sz="8" w:space="0" w:color="0077BD"/>
              <w:bottom w:val="single" w:sz="4" w:space="0" w:color="0077BD"/>
              <w:right w:val="single" w:sz="8" w:space="0" w:color="FFFFFF"/>
            </w:tcBorders>
            <w:shd w:val="clear" w:color="auto" w:fill="auto"/>
            <w:noWrap/>
            <w:vAlign w:val="center"/>
            <w:hideMark/>
          </w:tcPr>
          <w:p w14:paraId="39C6D80C" w14:textId="69797A42"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9 826 282</w:t>
            </w:r>
          </w:p>
        </w:tc>
      </w:tr>
      <w:tr w:rsidR="00796585" w:rsidRPr="00BB7C9E" w14:paraId="64544104" w14:textId="77777777" w:rsidTr="0079658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6B862B7C" w14:textId="77777777" w:rsidR="00796585" w:rsidRPr="00BB7C9E" w:rsidRDefault="00796585" w:rsidP="00796585">
            <w:pPr>
              <w:rPr>
                <w:rFonts w:cs="Calibri"/>
                <w:color w:val="000000" w:themeColor="text1"/>
                <w:sz w:val="13"/>
                <w:szCs w:val="13"/>
              </w:rPr>
            </w:pPr>
            <w:r w:rsidRPr="00BB7C9E">
              <w:rPr>
                <w:rFonts w:cs="Calibri"/>
                <w:color w:val="000000" w:themeColor="text1"/>
                <w:sz w:val="13"/>
                <w:szCs w:val="13"/>
              </w:rPr>
              <w:t>Pozostałe kapitały rezerwowe</w:t>
            </w:r>
          </w:p>
        </w:tc>
        <w:tc>
          <w:tcPr>
            <w:tcW w:w="1418" w:type="dxa"/>
            <w:tcBorders>
              <w:top w:val="nil"/>
              <w:left w:val="single" w:sz="8" w:space="0" w:color="0077BD"/>
              <w:bottom w:val="single" w:sz="4" w:space="0" w:color="0077BD"/>
              <w:right w:val="single" w:sz="8" w:space="0" w:color="FFFFFF"/>
            </w:tcBorders>
            <w:shd w:val="clear" w:color="auto" w:fill="auto"/>
            <w:noWrap/>
            <w:vAlign w:val="center"/>
          </w:tcPr>
          <w:p w14:paraId="153F226B" w14:textId="7454331B"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98 316</w:t>
            </w:r>
          </w:p>
        </w:tc>
        <w:tc>
          <w:tcPr>
            <w:tcW w:w="1418" w:type="dxa"/>
            <w:tcBorders>
              <w:top w:val="nil"/>
              <w:left w:val="single" w:sz="8" w:space="0" w:color="0077BD"/>
              <w:bottom w:val="single" w:sz="4" w:space="0" w:color="0077BD"/>
              <w:right w:val="single" w:sz="8" w:space="0" w:color="FFFFFF"/>
            </w:tcBorders>
            <w:shd w:val="clear" w:color="auto" w:fill="auto"/>
            <w:noWrap/>
            <w:vAlign w:val="center"/>
            <w:hideMark/>
          </w:tcPr>
          <w:p w14:paraId="32182BC7" w14:textId="00FE178E"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93 448</w:t>
            </w:r>
          </w:p>
        </w:tc>
      </w:tr>
      <w:tr w:rsidR="00796585" w:rsidRPr="00BB7C9E" w14:paraId="19CEC0A5" w14:textId="77777777" w:rsidTr="0079658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0F4F1A7C" w14:textId="77777777" w:rsidR="00796585" w:rsidRPr="00BB7C9E" w:rsidRDefault="00796585" w:rsidP="00796585">
            <w:pPr>
              <w:rPr>
                <w:rFonts w:cs="Calibri"/>
                <w:color w:val="000000" w:themeColor="text1"/>
                <w:sz w:val="13"/>
                <w:szCs w:val="13"/>
              </w:rPr>
            </w:pPr>
            <w:r w:rsidRPr="00BB7C9E">
              <w:rPr>
                <w:rFonts w:cs="Calibri"/>
                <w:color w:val="000000" w:themeColor="text1"/>
                <w:sz w:val="13"/>
                <w:szCs w:val="13"/>
              </w:rPr>
              <w:t>Fundusz ogólnego ryzyka</w:t>
            </w:r>
          </w:p>
        </w:tc>
        <w:tc>
          <w:tcPr>
            <w:tcW w:w="1418" w:type="dxa"/>
            <w:tcBorders>
              <w:top w:val="nil"/>
              <w:left w:val="single" w:sz="8" w:space="0" w:color="0077BD"/>
              <w:bottom w:val="single" w:sz="4" w:space="0" w:color="0077BD"/>
              <w:right w:val="single" w:sz="8" w:space="0" w:color="FFFFFF"/>
            </w:tcBorders>
            <w:shd w:val="clear" w:color="auto" w:fill="auto"/>
            <w:noWrap/>
            <w:vAlign w:val="center"/>
          </w:tcPr>
          <w:p w14:paraId="68B7CD54" w14:textId="2EDA420F"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1 153 753</w:t>
            </w:r>
          </w:p>
        </w:tc>
        <w:tc>
          <w:tcPr>
            <w:tcW w:w="1418" w:type="dxa"/>
            <w:tcBorders>
              <w:top w:val="nil"/>
              <w:left w:val="single" w:sz="8" w:space="0" w:color="0077BD"/>
              <w:bottom w:val="single" w:sz="4" w:space="0" w:color="0077BD"/>
              <w:right w:val="single" w:sz="8" w:space="0" w:color="FFFFFF"/>
            </w:tcBorders>
            <w:shd w:val="clear" w:color="auto" w:fill="auto"/>
            <w:noWrap/>
            <w:vAlign w:val="center"/>
            <w:hideMark/>
          </w:tcPr>
          <w:p w14:paraId="6E4CF7E3" w14:textId="534B8A21"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1 153 753</w:t>
            </w:r>
          </w:p>
        </w:tc>
      </w:tr>
      <w:tr w:rsidR="00796585" w:rsidRPr="00BB7C9E" w14:paraId="0A47861B" w14:textId="77777777" w:rsidTr="0079658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2BC1331D" w14:textId="77777777" w:rsidR="00796585" w:rsidRPr="00BB7C9E" w:rsidRDefault="00796585" w:rsidP="00796585">
            <w:pPr>
              <w:rPr>
                <w:rFonts w:cs="Calibri"/>
                <w:color w:val="000000" w:themeColor="text1"/>
                <w:sz w:val="13"/>
                <w:szCs w:val="13"/>
              </w:rPr>
            </w:pPr>
            <w:r w:rsidRPr="00BB7C9E">
              <w:rPr>
                <w:rFonts w:cs="Calibri"/>
                <w:color w:val="000000" w:themeColor="text1"/>
                <w:sz w:val="13"/>
                <w:szCs w:val="13"/>
              </w:rPr>
              <w:t>Niepodzielony wynik finansowy z lat ubiegłych</w:t>
            </w:r>
          </w:p>
        </w:tc>
        <w:tc>
          <w:tcPr>
            <w:tcW w:w="1418" w:type="dxa"/>
            <w:tcBorders>
              <w:top w:val="nil"/>
              <w:left w:val="single" w:sz="8" w:space="0" w:color="0077BD"/>
              <w:bottom w:val="single" w:sz="4" w:space="0" w:color="0077BD"/>
              <w:right w:val="single" w:sz="8" w:space="0" w:color="FFFFFF"/>
            </w:tcBorders>
            <w:shd w:val="clear" w:color="auto" w:fill="auto"/>
            <w:noWrap/>
            <w:vAlign w:val="center"/>
          </w:tcPr>
          <w:p w14:paraId="2DD2A9B7" w14:textId="13FEFFED"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306 074</w:t>
            </w:r>
          </w:p>
        </w:tc>
        <w:tc>
          <w:tcPr>
            <w:tcW w:w="1418" w:type="dxa"/>
            <w:tcBorders>
              <w:top w:val="nil"/>
              <w:left w:val="single" w:sz="8" w:space="0" w:color="0077BD"/>
              <w:bottom w:val="single" w:sz="4" w:space="0" w:color="0077BD"/>
              <w:right w:val="single" w:sz="8" w:space="0" w:color="FFFFFF"/>
            </w:tcBorders>
            <w:shd w:val="clear" w:color="auto" w:fill="auto"/>
            <w:noWrap/>
            <w:vAlign w:val="center"/>
            <w:hideMark/>
          </w:tcPr>
          <w:p w14:paraId="05C5A494" w14:textId="5B2D20DB"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(996 686)</w:t>
            </w:r>
          </w:p>
        </w:tc>
      </w:tr>
      <w:tr w:rsidR="00796585" w:rsidRPr="00BB7C9E" w14:paraId="2EFA0215" w14:textId="77777777" w:rsidTr="00796585">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74F06018" w14:textId="77777777" w:rsidR="00796585" w:rsidRPr="00BB7C9E" w:rsidRDefault="00796585" w:rsidP="00796585">
            <w:pPr>
              <w:rPr>
                <w:rFonts w:cs="Calibri"/>
                <w:color w:val="000000" w:themeColor="text1"/>
                <w:sz w:val="13"/>
                <w:szCs w:val="13"/>
              </w:rPr>
            </w:pPr>
            <w:r w:rsidRPr="00BB7C9E">
              <w:rPr>
                <w:rFonts w:cs="Calibri"/>
                <w:color w:val="000000" w:themeColor="text1"/>
                <w:sz w:val="13"/>
                <w:szCs w:val="13"/>
              </w:rPr>
              <w:t>Wynik roku bieżącego</w:t>
            </w:r>
          </w:p>
        </w:tc>
        <w:tc>
          <w:tcPr>
            <w:tcW w:w="1418" w:type="dxa"/>
            <w:tcBorders>
              <w:top w:val="nil"/>
              <w:left w:val="single" w:sz="8" w:space="0" w:color="0077BD"/>
              <w:bottom w:val="single" w:sz="8" w:space="0" w:color="0077BD"/>
              <w:right w:val="single" w:sz="8" w:space="0" w:color="FFFFFF"/>
            </w:tcBorders>
            <w:shd w:val="clear" w:color="auto" w:fill="auto"/>
            <w:noWrap/>
            <w:vAlign w:val="center"/>
          </w:tcPr>
          <w:p w14:paraId="44A371F4" w14:textId="6D525EA7"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1 010 350</w:t>
            </w:r>
          </w:p>
        </w:tc>
        <w:tc>
          <w:tcPr>
            <w:tcW w:w="1418" w:type="dxa"/>
            <w:tcBorders>
              <w:top w:val="nil"/>
              <w:left w:val="single" w:sz="8" w:space="0" w:color="0077BD"/>
              <w:bottom w:val="single" w:sz="8" w:space="0" w:color="0077BD"/>
              <w:right w:val="single" w:sz="8" w:space="0" w:color="FFFFFF"/>
            </w:tcBorders>
            <w:shd w:val="clear" w:color="auto" w:fill="auto"/>
            <w:noWrap/>
            <w:vAlign w:val="center"/>
            <w:hideMark/>
          </w:tcPr>
          <w:p w14:paraId="4D577395" w14:textId="60E65BEF" w:rsidR="00796585" w:rsidRPr="00BB7C9E" w:rsidRDefault="00796585" w:rsidP="00796585">
            <w:pPr>
              <w:jc w:val="right"/>
              <w:rPr>
                <w:rFonts w:cs="Calibri"/>
                <w:color w:val="000000" w:themeColor="text1"/>
                <w:sz w:val="13"/>
                <w:szCs w:val="13"/>
              </w:rPr>
            </w:pPr>
            <w:r w:rsidRPr="00BB7C9E">
              <w:rPr>
                <w:rFonts w:cs="Calibri"/>
                <w:color w:val="000000" w:themeColor="text1"/>
                <w:sz w:val="13"/>
                <w:szCs w:val="13"/>
              </w:rPr>
              <w:t>1 302 786</w:t>
            </w:r>
          </w:p>
        </w:tc>
      </w:tr>
      <w:tr w:rsidR="00796585" w:rsidRPr="00BB7C9E" w14:paraId="6EE84EBD" w14:textId="77777777" w:rsidTr="00796585">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482EA922" w14:textId="77777777" w:rsidR="00796585" w:rsidRPr="00BB7C9E" w:rsidRDefault="00796585" w:rsidP="00796585">
            <w:pPr>
              <w:rPr>
                <w:rFonts w:cs="Calibri"/>
                <w:b/>
                <w:bCs/>
                <w:color w:val="000000" w:themeColor="text1"/>
                <w:sz w:val="13"/>
                <w:szCs w:val="13"/>
              </w:rPr>
            </w:pPr>
            <w:r w:rsidRPr="00BB7C9E">
              <w:rPr>
                <w:rFonts w:cs="Calibri"/>
                <w:b/>
                <w:bCs/>
                <w:color w:val="000000" w:themeColor="text1"/>
                <w:sz w:val="13"/>
                <w:szCs w:val="13"/>
              </w:rPr>
              <w:t>Zyski zatrzymane, razem</w:t>
            </w:r>
          </w:p>
        </w:tc>
        <w:tc>
          <w:tcPr>
            <w:tcW w:w="1418" w:type="dxa"/>
            <w:tcBorders>
              <w:top w:val="nil"/>
              <w:left w:val="single" w:sz="8" w:space="0" w:color="0077BD"/>
              <w:bottom w:val="single" w:sz="8" w:space="0" w:color="0077BD"/>
              <w:right w:val="single" w:sz="8" w:space="0" w:color="FFFFFF"/>
            </w:tcBorders>
            <w:shd w:val="clear" w:color="auto" w:fill="auto"/>
            <w:noWrap/>
            <w:vAlign w:val="center"/>
          </w:tcPr>
          <w:p w14:paraId="411B5E75" w14:textId="0061C894" w:rsidR="00796585" w:rsidRPr="00BB7C9E" w:rsidRDefault="00796585" w:rsidP="00796585">
            <w:pPr>
              <w:jc w:val="right"/>
              <w:rPr>
                <w:rFonts w:cs="Calibri"/>
                <w:b/>
                <w:bCs/>
                <w:color w:val="000000" w:themeColor="text1"/>
                <w:sz w:val="13"/>
                <w:szCs w:val="13"/>
              </w:rPr>
            </w:pPr>
            <w:r w:rsidRPr="00BB7C9E">
              <w:rPr>
                <w:rFonts w:cs="Calibri"/>
                <w:b/>
                <w:bCs/>
                <w:color w:val="000000" w:themeColor="text1"/>
                <w:sz w:val="13"/>
                <w:szCs w:val="13"/>
              </w:rPr>
              <w:t>12 394 775</w:t>
            </w:r>
          </w:p>
        </w:tc>
        <w:tc>
          <w:tcPr>
            <w:tcW w:w="1418" w:type="dxa"/>
            <w:tcBorders>
              <w:top w:val="nil"/>
              <w:left w:val="single" w:sz="8" w:space="0" w:color="0077BD"/>
              <w:bottom w:val="single" w:sz="8" w:space="0" w:color="0077BD"/>
              <w:right w:val="single" w:sz="8" w:space="0" w:color="FFFFFF"/>
            </w:tcBorders>
            <w:shd w:val="clear" w:color="auto" w:fill="auto"/>
            <w:noWrap/>
            <w:vAlign w:val="center"/>
            <w:hideMark/>
          </w:tcPr>
          <w:p w14:paraId="520397ED" w14:textId="59342598" w:rsidR="00796585" w:rsidRPr="00BB7C9E" w:rsidRDefault="00796585" w:rsidP="00796585">
            <w:pPr>
              <w:jc w:val="right"/>
              <w:rPr>
                <w:rFonts w:cs="Calibri"/>
                <w:b/>
                <w:bCs/>
                <w:color w:val="000000" w:themeColor="text1"/>
                <w:sz w:val="13"/>
                <w:szCs w:val="13"/>
              </w:rPr>
            </w:pPr>
            <w:r w:rsidRPr="00BB7C9E">
              <w:rPr>
                <w:rFonts w:cs="Calibri"/>
                <w:b/>
                <w:bCs/>
                <w:color w:val="000000" w:themeColor="text1"/>
                <w:sz w:val="13"/>
                <w:szCs w:val="13"/>
              </w:rPr>
              <w:t>11 379 583</w:t>
            </w:r>
          </w:p>
        </w:tc>
      </w:tr>
    </w:tbl>
    <w:p w14:paraId="30E39C33" w14:textId="798D816F" w:rsidR="00043EA9" w:rsidRPr="00BB7C9E" w:rsidRDefault="00043EA9" w:rsidP="007C5385">
      <w:pPr>
        <w:spacing w:before="120"/>
        <w:jc w:val="both"/>
        <w:rPr>
          <w:rFonts w:cs="Tahoma"/>
          <w:color w:val="000000" w:themeColor="text1"/>
          <w:sz w:val="18"/>
          <w:szCs w:val="18"/>
        </w:rPr>
      </w:pPr>
      <w:r w:rsidRPr="00BB7C9E">
        <w:rPr>
          <w:rFonts w:cs="Tahoma"/>
          <w:color w:val="000000" w:themeColor="text1"/>
          <w:sz w:val="18"/>
          <w:szCs w:val="18"/>
        </w:rPr>
        <w:t xml:space="preserve">Zgodnie z polskimi przepisami prawa 8% zysku netto </w:t>
      </w:r>
      <w:r w:rsidR="00AA5EA1">
        <w:rPr>
          <w:rFonts w:cs="Tahoma"/>
          <w:color w:val="000000" w:themeColor="text1"/>
          <w:sz w:val="18"/>
          <w:szCs w:val="18"/>
        </w:rPr>
        <w:t>B</w:t>
      </w:r>
      <w:r w:rsidRPr="00BB7C9E">
        <w:rPr>
          <w:rFonts w:cs="Tahoma"/>
          <w:color w:val="000000" w:themeColor="text1"/>
          <w:sz w:val="18"/>
          <w:szCs w:val="18"/>
        </w:rPr>
        <w:t>anku przenosi się na niepodlegający podziałowi kapitał zapasowy tworzony ustawowo, aż do czasu, gdy osiągnie on poziom jedn</w:t>
      </w:r>
      <w:r w:rsidR="00AA5EA1">
        <w:rPr>
          <w:rFonts w:cs="Tahoma"/>
          <w:color w:val="000000" w:themeColor="text1"/>
          <w:sz w:val="18"/>
          <w:szCs w:val="18"/>
        </w:rPr>
        <w:t>ej trzeciej kapitału akcyjnego B</w:t>
      </w:r>
      <w:r w:rsidRPr="00BB7C9E">
        <w:rPr>
          <w:rFonts w:cs="Tahoma"/>
          <w:color w:val="000000" w:themeColor="text1"/>
          <w:sz w:val="18"/>
          <w:szCs w:val="18"/>
        </w:rPr>
        <w:t xml:space="preserve">anku. </w:t>
      </w:r>
    </w:p>
    <w:p w14:paraId="26EC1C35" w14:textId="77777777" w:rsidR="00043EA9" w:rsidRPr="00BB7C9E" w:rsidRDefault="00043EA9" w:rsidP="007C5385">
      <w:pPr>
        <w:pStyle w:val="Tekstpodstawowy"/>
        <w:spacing w:before="120" w:after="0"/>
        <w:jc w:val="both"/>
        <w:rPr>
          <w:rFonts w:cs="Tahoma"/>
          <w:color w:val="000000" w:themeColor="text1"/>
          <w:sz w:val="18"/>
          <w:szCs w:val="18"/>
        </w:rPr>
      </w:pPr>
      <w:r w:rsidRPr="00BB7C9E">
        <w:rPr>
          <w:rFonts w:cs="Tahoma"/>
          <w:color w:val="000000" w:themeColor="text1"/>
          <w:sz w:val="18"/>
          <w:szCs w:val="18"/>
        </w:rPr>
        <w:t>Dodatkowo Grupa przenosi część zysku netto na fundusz ogólnego ryzyka na pokrycie nieprzewidzianych ryzyk oraz przyszłych strat. Fundusz ogólnego ryzyka podlega podziałowi wyłącznie za zgodą akcjonariuszy wyrażoną w trakcie walnego zgromadzenia.</w:t>
      </w:r>
    </w:p>
    <w:p w14:paraId="18C631AF" w14:textId="0EA37724" w:rsidR="004314BB" w:rsidRPr="00BB7C9E" w:rsidRDefault="004314BB" w:rsidP="009A374C">
      <w:pPr>
        <w:pStyle w:val="Tekstpodstawowy"/>
        <w:spacing w:after="0"/>
        <w:jc w:val="both"/>
        <w:rPr>
          <w:rFonts w:cs="Tahoma"/>
          <w:iCs/>
          <w:color w:val="000000" w:themeColor="text1"/>
          <w:sz w:val="18"/>
          <w:szCs w:val="18"/>
        </w:rPr>
      </w:pPr>
    </w:p>
    <w:p w14:paraId="301E5E92" w14:textId="2F06FB46" w:rsidR="003339B2" w:rsidRPr="00BB7C9E" w:rsidRDefault="003339B2">
      <w:pPr>
        <w:rPr>
          <w:rFonts w:cs="Tahoma"/>
          <w:iCs/>
          <w:color w:val="000000" w:themeColor="text1"/>
          <w:spacing w:val="-4"/>
          <w:sz w:val="18"/>
          <w:szCs w:val="18"/>
        </w:rPr>
      </w:pPr>
      <w:r w:rsidRPr="00BB7C9E">
        <w:rPr>
          <w:rFonts w:cs="Tahoma"/>
          <w:iCs/>
          <w:color w:val="000000" w:themeColor="text1"/>
          <w:sz w:val="18"/>
          <w:szCs w:val="18"/>
        </w:rPr>
        <w:br w:type="page"/>
      </w:r>
    </w:p>
    <w:p w14:paraId="48AF0958" w14:textId="77777777" w:rsidR="000F7261" w:rsidRDefault="000F7261"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61" w:name="_Toc32999869"/>
      <w:r>
        <w:rPr>
          <w:rFonts w:cs="Tahoma"/>
          <w:bCs w:val="0"/>
          <w:iCs w:val="0"/>
          <w:color w:val="E41E0A"/>
          <w:sz w:val="18"/>
          <w:szCs w:val="18"/>
        </w:rPr>
        <w:lastRenderedPageBreak/>
        <w:t>Inne pozycje kapitału własnego</w:t>
      </w:r>
      <w:bookmarkEnd w:id="161"/>
    </w:p>
    <w:p w14:paraId="7E06491C" w14:textId="03213C9E" w:rsidR="000F7261" w:rsidRDefault="000F7261" w:rsidP="004314BB">
      <w:pPr>
        <w:pStyle w:val="Tekstpodstawowy"/>
        <w:spacing w:after="0"/>
        <w:jc w:val="both"/>
        <w:rPr>
          <w:noProof/>
        </w:rPr>
      </w:pPr>
    </w:p>
    <w:tbl>
      <w:tblPr>
        <w:tblW w:w="9629" w:type="dxa"/>
        <w:tblCellMar>
          <w:left w:w="28" w:type="dxa"/>
          <w:right w:w="28" w:type="dxa"/>
        </w:tblCellMar>
        <w:tblLook w:val="04A0" w:firstRow="1" w:lastRow="0" w:firstColumn="1" w:lastColumn="0" w:noHBand="0" w:noVBand="1"/>
      </w:tblPr>
      <w:tblGrid>
        <w:gridCol w:w="6779"/>
        <w:gridCol w:w="1425"/>
        <w:gridCol w:w="1425"/>
      </w:tblGrid>
      <w:tr w:rsidR="004314BB" w:rsidRPr="004314BB" w14:paraId="5D7D2DBA" w14:textId="77777777" w:rsidTr="00F529BB">
        <w:trPr>
          <w:trHeight w:val="284"/>
        </w:trPr>
        <w:tc>
          <w:tcPr>
            <w:tcW w:w="6779" w:type="dxa"/>
            <w:tcBorders>
              <w:top w:val="nil"/>
              <w:left w:val="nil"/>
              <w:bottom w:val="nil"/>
              <w:right w:val="single" w:sz="8" w:space="0" w:color="FFFFFF"/>
            </w:tcBorders>
            <w:shd w:val="clear" w:color="000000" w:fill="0077BD"/>
            <w:noWrap/>
            <w:vAlign w:val="center"/>
            <w:hideMark/>
          </w:tcPr>
          <w:p w14:paraId="29AB1E77" w14:textId="77777777" w:rsidR="004314BB" w:rsidRPr="004314BB" w:rsidRDefault="004314BB" w:rsidP="00D7210F">
            <w:pPr>
              <w:rPr>
                <w:rFonts w:cs="Calibri"/>
                <w:color w:val="99CCFF"/>
                <w:sz w:val="13"/>
                <w:szCs w:val="13"/>
              </w:rPr>
            </w:pPr>
            <w:r w:rsidRPr="004314BB">
              <w:rPr>
                <w:rFonts w:cs="Calibri"/>
                <w:color w:val="99CCFF"/>
                <w:sz w:val="13"/>
                <w:szCs w:val="13"/>
              </w:rPr>
              <w:t> </w:t>
            </w:r>
          </w:p>
        </w:tc>
        <w:tc>
          <w:tcPr>
            <w:tcW w:w="1425" w:type="dxa"/>
            <w:tcBorders>
              <w:top w:val="nil"/>
              <w:left w:val="nil"/>
              <w:bottom w:val="nil"/>
              <w:right w:val="single" w:sz="8" w:space="0" w:color="FFFFFF"/>
            </w:tcBorders>
            <w:shd w:val="clear" w:color="000000" w:fill="0077BD"/>
            <w:vAlign w:val="center"/>
            <w:hideMark/>
          </w:tcPr>
          <w:p w14:paraId="24BC7B39" w14:textId="77777777" w:rsidR="004314BB" w:rsidRPr="004314BB" w:rsidRDefault="004314BB" w:rsidP="00D7210F">
            <w:pPr>
              <w:jc w:val="right"/>
              <w:rPr>
                <w:rFonts w:cs="Calibri"/>
                <w:b/>
                <w:bCs/>
                <w:color w:val="FFFFFF"/>
                <w:sz w:val="13"/>
                <w:szCs w:val="13"/>
              </w:rPr>
            </w:pPr>
            <w:r w:rsidRPr="004314BB">
              <w:rPr>
                <w:rFonts w:cs="Calibri"/>
                <w:b/>
                <w:bCs/>
                <w:color w:val="FFFFFF"/>
                <w:sz w:val="13"/>
                <w:szCs w:val="13"/>
              </w:rPr>
              <w:t>31.12.2019</w:t>
            </w:r>
          </w:p>
        </w:tc>
        <w:tc>
          <w:tcPr>
            <w:tcW w:w="1425" w:type="dxa"/>
            <w:tcBorders>
              <w:top w:val="nil"/>
              <w:left w:val="single" w:sz="8" w:space="0" w:color="FFFFFF"/>
              <w:bottom w:val="nil"/>
              <w:right w:val="nil"/>
            </w:tcBorders>
            <w:shd w:val="clear" w:color="000000" w:fill="0077BD"/>
            <w:vAlign w:val="center"/>
            <w:hideMark/>
          </w:tcPr>
          <w:p w14:paraId="6DCFF1D3" w14:textId="77777777" w:rsidR="004314BB" w:rsidRPr="004314BB" w:rsidRDefault="004314BB" w:rsidP="00D7210F">
            <w:pPr>
              <w:jc w:val="right"/>
              <w:rPr>
                <w:rFonts w:cs="Calibri"/>
                <w:b/>
                <w:bCs/>
                <w:color w:val="FFFFFF"/>
                <w:sz w:val="13"/>
                <w:szCs w:val="13"/>
              </w:rPr>
            </w:pPr>
            <w:r w:rsidRPr="004314BB">
              <w:rPr>
                <w:rFonts w:cs="Calibri"/>
                <w:b/>
                <w:bCs/>
                <w:color w:val="FFFFFF"/>
                <w:sz w:val="13"/>
                <w:szCs w:val="13"/>
              </w:rPr>
              <w:t>31.12.2018</w:t>
            </w:r>
          </w:p>
        </w:tc>
      </w:tr>
      <w:tr w:rsidR="00F529BB" w:rsidRPr="00BB7C9E" w14:paraId="66BF41B7" w14:textId="77777777" w:rsidTr="00F529BB">
        <w:trPr>
          <w:trHeight w:val="284"/>
        </w:trPr>
        <w:tc>
          <w:tcPr>
            <w:tcW w:w="6779" w:type="dxa"/>
            <w:tcBorders>
              <w:top w:val="single" w:sz="8" w:space="0" w:color="0077BD"/>
              <w:left w:val="nil"/>
              <w:bottom w:val="single" w:sz="8" w:space="0" w:color="0077BD"/>
              <w:right w:val="single" w:sz="8" w:space="0" w:color="0077BD"/>
            </w:tcBorders>
            <w:shd w:val="clear" w:color="auto" w:fill="auto"/>
            <w:vAlign w:val="center"/>
            <w:hideMark/>
          </w:tcPr>
          <w:p w14:paraId="26501F00" w14:textId="77777777" w:rsidR="00F529BB" w:rsidRPr="00BB7C9E" w:rsidRDefault="00F529BB" w:rsidP="00F529BB">
            <w:pPr>
              <w:rPr>
                <w:rFonts w:cs="Calibri"/>
                <w:b/>
                <w:bCs/>
                <w:color w:val="000000" w:themeColor="text1"/>
                <w:sz w:val="13"/>
                <w:szCs w:val="13"/>
              </w:rPr>
            </w:pPr>
            <w:r w:rsidRPr="00BB7C9E">
              <w:rPr>
                <w:rFonts w:cs="Calibri"/>
                <w:b/>
                <w:bCs/>
                <w:color w:val="000000" w:themeColor="text1"/>
                <w:sz w:val="13"/>
                <w:szCs w:val="13"/>
              </w:rPr>
              <w:t xml:space="preserve">Różnice kursowe z przeliczenia jednostek zagranicznych </w:t>
            </w:r>
          </w:p>
        </w:tc>
        <w:tc>
          <w:tcPr>
            <w:tcW w:w="1425"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6AC20216" w14:textId="6CC053AE" w:rsidR="00F529BB" w:rsidRPr="00BB7C9E" w:rsidRDefault="00F529BB" w:rsidP="00F529BB">
            <w:pPr>
              <w:jc w:val="right"/>
              <w:rPr>
                <w:rFonts w:cs="Calibri"/>
                <w:b/>
                <w:bCs/>
                <w:color w:val="000000" w:themeColor="text1"/>
                <w:sz w:val="13"/>
                <w:szCs w:val="13"/>
              </w:rPr>
            </w:pPr>
            <w:r w:rsidRPr="00BB7C9E">
              <w:rPr>
                <w:rFonts w:cs="Calibri"/>
                <w:b/>
                <w:bCs/>
                <w:color w:val="000000" w:themeColor="text1"/>
                <w:sz w:val="13"/>
                <w:szCs w:val="13"/>
              </w:rPr>
              <w:t>(5 435)</w:t>
            </w:r>
          </w:p>
        </w:tc>
        <w:tc>
          <w:tcPr>
            <w:tcW w:w="1425" w:type="dxa"/>
            <w:tcBorders>
              <w:top w:val="single" w:sz="8" w:space="0" w:color="0077BD"/>
              <w:left w:val="nil"/>
              <w:bottom w:val="single" w:sz="8" w:space="0" w:color="0077BD"/>
              <w:right w:val="nil"/>
            </w:tcBorders>
            <w:shd w:val="clear" w:color="auto" w:fill="auto"/>
            <w:noWrap/>
            <w:vAlign w:val="center"/>
            <w:hideMark/>
          </w:tcPr>
          <w:p w14:paraId="2FD703F3" w14:textId="77777777" w:rsidR="00F529BB" w:rsidRPr="00BB7C9E" w:rsidRDefault="00F529BB" w:rsidP="00F529BB">
            <w:pPr>
              <w:jc w:val="right"/>
              <w:rPr>
                <w:rFonts w:cs="Calibri"/>
                <w:b/>
                <w:bCs/>
                <w:color w:val="000000" w:themeColor="text1"/>
                <w:sz w:val="13"/>
                <w:szCs w:val="13"/>
              </w:rPr>
            </w:pPr>
            <w:r w:rsidRPr="00BB7C9E">
              <w:rPr>
                <w:rFonts w:cs="Calibri"/>
                <w:b/>
                <w:bCs/>
                <w:color w:val="000000" w:themeColor="text1"/>
                <w:sz w:val="13"/>
                <w:szCs w:val="13"/>
              </w:rPr>
              <w:t>(5 467)</w:t>
            </w:r>
          </w:p>
        </w:tc>
      </w:tr>
      <w:tr w:rsidR="00F529BB" w:rsidRPr="00BB7C9E" w14:paraId="7BF99219" w14:textId="77777777" w:rsidTr="00F529BB">
        <w:trPr>
          <w:trHeight w:val="284"/>
        </w:trPr>
        <w:tc>
          <w:tcPr>
            <w:tcW w:w="6779" w:type="dxa"/>
            <w:tcBorders>
              <w:top w:val="nil"/>
              <w:left w:val="nil"/>
              <w:bottom w:val="single" w:sz="4" w:space="0" w:color="0077BD"/>
              <w:right w:val="single" w:sz="8" w:space="0" w:color="0077BD"/>
            </w:tcBorders>
            <w:shd w:val="clear" w:color="auto" w:fill="auto"/>
            <w:vAlign w:val="center"/>
            <w:hideMark/>
          </w:tcPr>
          <w:p w14:paraId="5248EB69" w14:textId="77777777" w:rsidR="00F529BB" w:rsidRPr="00BB7C9E" w:rsidRDefault="00F529BB" w:rsidP="00F529BB">
            <w:pPr>
              <w:rPr>
                <w:rFonts w:cs="Calibri"/>
                <w:color w:val="000000" w:themeColor="text1"/>
                <w:sz w:val="13"/>
                <w:szCs w:val="13"/>
              </w:rPr>
            </w:pPr>
            <w:r w:rsidRPr="00BB7C9E">
              <w:rPr>
                <w:rFonts w:cs="Calibri"/>
                <w:color w:val="000000" w:themeColor="text1"/>
                <w:sz w:val="13"/>
                <w:szCs w:val="13"/>
              </w:rPr>
              <w:t xml:space="preserve">Niezrealizowane zyski (dodatnie różnice kursowe) </w:t>
            </w:r>
          </w:p>
        </w:tc>
        <w:tc>
          <w:tcPr>
            <w:tcW w:w="1425" w:type="dxa"/>
            <w:tcBorders>
              <w:top w:val="nil"/>
              <w:left w:val="single" w:sz="8" w:space="0" w:color="0077BD"/>
              <w:bottom w:val="single" w:sz="4" w:space="0" w:color="0077BD"/>
              <w:right w:val="single" w:sz="8" w:space="0" w:color="0077BD"/>
            </w:tcBorders>
            <w:shd w:val="clear" w:color="auto" w:fill="auto"/>
            <w:noWrap/>
            <w:vAlign w:val="center"/>
          </w:tcPr>
          <w:p w14:paraId="527C047E" w14:textId="295729B5" w:rsidR="00F529BB" w:rsidRPr="00BB7C9E" w:rsidRDefault="00F529BB" w:rsidP="00F529BB">
            <w:pPr>
              <w:jc w:val="right"/>
              <w:rPr>
                <w:rFonts w:cs="Calibri"/>
                <w:color w:val="000000" w:themeColor="text1"/>
                <w:sz w:val="13"/>
                <w:szCs w:val="13"/>
              </w:rPr>
            </w:pPr>
            <w:r w:rsidRPr="00BB7C9E">
              <w:rPr>
                <w:rFonts w:cs="Calibri"/>
                <w:color w:val="000000" w:themeColor="text1"/>
                <w:sz w:val="13"/>
                <w:szCs w:val="13"/>
              </w:rPr>
              <w:t>1 133</w:t>
            </w:r>
          </w:p>
        </w:tc>
        <w:tc>
          <w:tcPr>
            <w:tcW w:w="1425" w:type="dxa"/>
            <w:tcBorders>
              <w:top w:val="nil"/>
              <w:left w:val="single" w:sz="8" w:space="0" w:color="0077BD"/>
              <w:bottom w:val="single" w:sz="4" w:space="0" w:color="0077BD"/>
              <w:right w:val="nil"/>
            </w:tcBorders>
            <w:shd w:val="clear" w:color="auto" w:fill="auto"/>
            <w:noWrap/>
            <w:vAlign w:val="center"/>
            <w:hideMark/>
          </w:tcPr>
          <w:p w14:paraId="7AC53E72" w14:textId="77777777" w:rsidR="00F529BB" w:rsidRPr="00BB7C9E" w:rsidRDefault="00F529BB" w:rsidP="00F529BB">
            <w:pPr>
              <w:jc w:val="right"/>
              <w:rPr>
                <w:rFonts w:cs="Calibri"/>
                <w:color w:val="000000" w:themeColor="text1"/>
                <w:sz w:val="13"/>
                <w:szCs w:val="13"/>
              </w:rPr>
            </w:pPr>
            <w:r w:rsidRPr="00BB7C9E">
              <w:rPr>
                <w:rFonts w:cs="Calibri"/>
                <w:color w:val="000000" w:themeColor="text1"/>
                <w:sz w:val="13"/>
                <w:szCs w:val="13"/>
              </w:rPr>
              <w:t>2 971</w:t>
            </w:r>
          </w:p>
        </w:tc>
      </w:tr>
      <w:tr w:rsidR="004314BB" w:rsidRPr="00BB7C9E" w14:paraId="7BF47EDD" w14:textId="77777777" w:rsidTr="00000EEB">
        <w:trPr>
          <w:trHeight w:val="284"/>
        </w:trPr>
        <w:tc>
          <w:tcPr>
            <w:tcW w:w="6779" w:type="dxa"/>
            <w:tcBorders>
              <w:top w:val="nil"/>
              <w:left w:val="nil"/>
              <w:bottom w:val="single" w:sz="8" w:space="0" w:color="0077BD"/>
              <w:right w:val="single" w:sz="8" w:space="0" w:color="0077BD"/>
            </w:tcBorders>
            <w:shd w:val="clear" w:color="auto" w:fill="auto"/>
            <w:vAlign w:val="center"/>
            <w:hideMark/>
          </w:tcPr>
          <w:p w14:paraId="3066BE7F"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Niezrealizowane straty (ujemne różnice kursowe)</w:t>
            </w:r>
          </w:p>
        </w:tc>
        <w:tc>
          <w:tcPr>
            <w:tcW w:w="1425" w:type="dxa"/>
            <w:tcBorders>
              <w:top w:val="nil"/>
              <w:left w:val="nil"/>
              <w:bottom w:val="single" w:sz="8" w:space="0" w:color="0077BD"/>
              <w:right w:val="single" w:sz="8" w:space="0" w:color="0077BD"/>
            </w:tcBorders>
            <w:shd w:val="clear" w:color="auto" w:fill="auto"/>
            <w:noWrap/>
            <w:vAlign w:val="center"/>
          </w:tcPr>
          <w:p w14:paraId="70A6D9E3" w14:textId="2BA32E43"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(6 568)</w:t>
            </w:r>
          </w:p>
        </w:tc>
        <w:tc>
          <w:tcPr>
            <w:tcW w:w="1425" w:type="dxa"/>
            <w:tcBorders>
              <w:top w:val="nil"/>
              <w:left w:val="single" w:sz="8" w:space="0" w:color="0077BD"/>
              <w:bottom w:val="single" w:sz="8" w:space="0" w:color="0077BD"/>
              <w:right w:val="nil"/>
            </w:tcBorders>
            <w:shd w:val="clear" w:color="auto" w:fill="auto"/>
            <w:noWrap/>
            <w:vAlign w:val="center"/>
            <w:hideMark/>
          </w:tcPr>
          <w:p w14:paraId="4C01CBCE"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(8 438)</w:t>
            </w:r>
          </w:p>
        </w:tc>
      </w:tr>
      <w:tr w:rsidR="004314BB" w:rsidRPr="00000EEB" w14:paraId="0C111504" w14:textId="77777777" w:rsidTr="00000EEB">
        <w:trPr>
          <w:trHeight w:val="397"/>
        </w:trPr>
        <w:tc>
          <w:tcPr>
            <w:tcW w:w="6779" w:type="dxa"/>
            <w:tcBorders>
              <w:top w:val="single" w:sz="8" w:space="0" w:color="0077BD"/>
              <w:left w:val="nil"/>
              <w:bottom w:val="single" w:sz="8" w:space="0" w:color="0077BD"/>
              <w:right w:val="single" w:sz="8" w:space="0" w:color="0077BD"/>
            </w:tcBorders>
            <w:shd w:val="clear" w:color="auto" w:fill="auto"/>
            <w:vAlign w:val="center"/>
            <w:hideMark/>
          </w:tcPr>
          <w:p w14:paraId="6DB3ED1A" w14:textId="77777777" w:rsidR="004314BB" w:rsidRPr="00000EEB" w:rsidRDefault="004314BB" w:rsidP="00D7210F">
            <w:pPr>
              <w:rPr>
                <w:rFonts w:cs="Calibri"/>
                <w:b/>
                <w:bCs/>
                <w:color w:val="000000" w:themeColor="text1"/>
                <w:sz w:val="13"/>
                <w:szCs w:val="13"/>
              </w:rPr>
            </w:pPr>
            <w:r w:rsidRPr="00000EEB">
              <w:rPr>
                <w:rFonts w:cs="Calibri"/>
                <w:b/>
                <w:bCs/>
                <w:color w:val="000000" w:themeColor="text1"/>
                <w:sz w:val="13"/>
                <w:szCs w:val="13"/>
              </w:rPr>
              <w:t>Wycena dłużnych papierów wartościowych wycenianych w wartości godziwej przez pozostałe całkowite dochody</w:t>
            </w:r>
          </w:p>
        </w:tc>
        <w:tc>
          <w:tcPr>
            <w:tcW w:w="1425" w:type="dxa"/>
            <w:tcBorders>
              <w:top w:val="single" w:sz="8" w:space="0" w:color="0077BD"/>
              <w:left w:val="nil"/>
              <w:bottom w:val="single" w:sz="8" w:space="0" w:color="0077BD"/>
              <w:right w:val="single" w:sz="8" w:space="0" w:color="0077BD"/>
            </w:tcBorders>
            <w:shd w:val="clear" w:color="auto" w:fill="auto"/>
            <w:noWrap/>
            <w:vAlign w:val="center"/>
          </w:tcPr>
          <w:p w14:paraId="2A9BF25C" w14:textId="4B005317" w:rsidR="004314BB" w:rsidRPr="00000EEB" w:rsidRDefault="00F529BB" w:rsidP="00D7210F">
            <w:pPr>
              <w:jc w:val="right"/>
              <w:rPr>
                <w:rFonts w:cs="Calibri"/>
                <w:b/>
                <w:bCs/>
                <w:color w:val="000000" w:themeColor="text1"/>
                <w:sz w:val="13"/>
                <w:szCs w:val="13"/>
              </w:rPr>
            </w:pPr>
            <w:r w:rsidRPr="00000EEB">
              <w:rPr>
                <w:rFonts w:cs="Calibri"/>
                <w:b/>
                <w:bCs/>
                <w:color w:val="000000" w:themeColor="text1"/>
                <w:sz w:val="13"/>
                <w:szCs w:val="13"/>
              </w:rPr>
              <w:t>74 321</w:t>
            </w:r>
          </w:p>
        </w:tc>
        <w:tc>
          <w:tcPr>
            <w:tcW w:w="1425" w:type="dxa"/>
            <w:tcBorders>
              <w:top w:val="single" w:sz="8" w:space="0" w:color="0077BD"/>
              <w:left w:val="nil"/>
              <w:bottom w:val="single" w:sz="8" w:space="0" w:color="0077BD"/>
              <w:right w:val="nil"/>
            </w:tcBorders>
            <w:shd w:val="clear" w:color="auto" w:fill="auto"/>
            <w:noWrap/>
            <w:vAlign w:val="center"/>
            <w:hideMark/>
          </w:tcPr>
          <w:p w14:paraId="3BAD8D43" w14:textId="77777777" w:rsidR="004314BB" w:rsidRPr="00000EEB" w:rsidRDefault="004314BB" w:rsidP="00D7210F">
            <w:pPr>
              <w:jc w:val="right"/>
              <w:rPr>
                <w:rFonts w:cs="Calibri"/>
                <w:b/>
                <w:bCs/>
                <w:iCs/>
                <w:color w:val="000000" w:themeColor="text1"/>
                <w:sz w:val="13"/>
                <w:szCs w:val="13"/>
              </w:rPr>
            </w:pPr>
            <w:r w:rsidRPr="00000EEB">
              <w:rPr>
                <w:rFonts w:cs="Calibri"/>
                <w:b/>
                <w:bCs/>
                <w:iCs/>
                <w:color w:val="000000" w:themeColor="text1"/>
                <w:sz w:val="13"/>
                <w:szCs w:val="13"/>
              </w:rPr>
              <w:t>145 978</w:t>
            </w:r>
          </w:p>
        </w:tc>
      </w:tr>
      <w:tr w:rsidR="004314BB" w:rsidRPr="00BB7C9E" w14:paraId="174EF009" w14:textId="77777777" w:rsidTr="00F529BB">
        <w:trPr>
          <w:trHeight w:val="284"/>
        </w:trPr>
        <w:tc>
          <w:tcPr>
            <w:tcW w:w="6779" w:type="dxa"/>
            <w:tcBorders>
              <w:top w:val="nil"/>
              <w:left w:val="nil"/>
              <w:bottom w:val="nil"/>
              <w:right w:val="single" w:sz="8" w:space="0" w:color="0077BD"/>
            </w:tcBorders>
            <w:shd w:val="clear" w:color="auto" w:fill="auto"/>
            <w:vAlign w:val="center"/>
            <w:hideMark/>
          </w:tcPr>
          <w:p w14:paraId="065FED7C"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Niezrealizowane zyski na instrumentach dłużnych</w:t>
            </w:r>
          </w:p>
        </w:tc>
        <w:tc>
          <w:tcPr>
            <w:tcW w:w="1425" w:type="dxa"/>
            <w:tcBorders>
              <w:top w:val="nil"/>
              <w:left w:val="nil"/>
              <w:bottom w:val="nil"/>
              <w:right w:val="single" w:sz="8" w:space="0" w:color="0077BD"/>
            </w:tcBorders>
            <w:shd w:val="clear" w:color="auto" w:fill="auto"/>
            <w:noWrap/>
            <w:vAlign w:val="center"/>
          </w:tcPr>
          <w:p w14:paraId="292655E9" w14:textId="38CDA111" w:rsidR="004314BB" w:rsidRPr="00BB7C9E" w:rsidRDefault="00F529BB" w:rsidP="00D7210F">
            <w:pPr>
              <w:jc w:val="right"/>
              <w:rPr>
                <w:rFonts w:cs="Calibri"/>
                <w:iCs/>
                <w:color w:val="000000" w:themeColor="text1"/>
                <w:sz w:val="13"/>
                <w:szCs w:val="13"/>
              </w:rPr>
            </w:pPr>
            <w:r w:rsidRPr="00BB7C9E">
              <w:rPr>
                <w:rFonts w:cs="Calibri"/>
                <w:iCs/>
                <w:color w:val="000000" w:themeColor="text1"/>
                <w:sz w:val="13"/>
                <w:szCs w:val="13"/>
              </w:rPr>
              <w:t>117 938</w:t>
            </w:r>
          </w:p>
        </w:tc>
        <w:tc>
          <w:tcPr>
            <w:tcW w:w="1425" w:type="dxa"/>
            <w:tcBorders>
              <w:top w:val="nil"/>
              <w:left w:val="single" w:sz="8" w:space="0" w:color="0077BD"/>
              <w:bottom w:val="nil"/>
              <w:right w:val="nil"/>
            </w:tcBorders>
            <w:shd w:val="clear" w:color="auto" w:fill="auto"/>
            <w:noWrap/>
            <w:vAlign w:val="center"/>
            <w:hideMark/>
          </w:tcPr>
          <w:p w14:paraId="3EBA9766" w14:textId="77777777" w:rsidR="004314BB" w:rsidRPr="00BB7C9E" w:rsidRDefault="004314BB" w:rsidP="00D7210F">
            <w:pPr>
              <w:jc w:val="right"/>
              <w:rPr>
                <w:rFonts w:cs="Calibri"/>
                <w:iCs/>
                <w:color w:val="000000" w:themeColor="text1"/>
                <w:sz w:val="13"/>
                <w:szCs w:val="13"/>
              </w:rPr>
            </w:pPr>
            <w:r w:rsidRPr="00BB7C9E">
              <w:rPr>
                <w:rFonts w:cs="Calibri"/>
                <w:iCs/>
                <w:color w:val="000000" w:themeColor="text1"/>
                <w:sz w:val="13"/>
                <w:szCs w:val="13"/>
              </w:rPr>
              <w:t>189 614</w:t>
            </w:r>
          </w:p>
        </w:tc>
      </w:tr>
      <w:tr w:rsidR="004314BB" w:rsidRPr="00BB7C9E" w14:paraId="4CDD1664" w14:textId="77777777" w:rsidTr="00F529BB">
        <w:trPr>
          <w:trHeight w:val="284"/>
        </w:trPr>
        <w:tc>
          <w:tcPr>
            <w:tcW w:w="6779" w:type="dxa"/>
            <w:tcBorders>
              <w:top w:val="single" w:sz="4" w:space="0" w:color="0077BD"/>
              <w:left w:val="nil"/>
              <w:bottom w:val="single" w:sz="4" w:space="0" w:color="0077BD"/>
              <w:right w:val="single" w:sz="8" w:space="0" w:color="0077BD"/>
            </w:tcBorders>
            <w:shd w:val="clear" w:color="auto" w:fill="auto"/>
            <w:vAlign w:val="center"/>
            <w:hideMark/>
          </w:tcPr>
          <w:p w14:paraId="4A5B43CA"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 xml:space="preserve">Niezrealizowane straty na instrumentach dłużnych </w:t>
            </w:r>
          </w:p>
        </w:tc>
        <w:tc>
          <w:tcPr>
            <w:tcW w:w="1425" w:type="dxa"/>
            <w:tcBorders>
              <w:top w:val="single" w:sz="4" w:space="0" w:color="0077BD"/>
              <w:left w:val="nil"/>
              <w:bottom w:val="single" w:sz="4" w:space="0" w:color="0077BD"/>
              <w:right w:val="single" w:sz="8" w:space="0" w:color="0077BD"/>
            </w:tcBorders>
            <w:shd w:val="clear" w:color="auto" w:fill="auto"/>
            <w:noWrap/>
            <w:vAlign w:val="center"/>
          </w:tcPr>
          <w:p w14:paraId="2A4470E7" w14:textId="03DFB163" w:rsidR="004314BB" w:rsidRPr="00BB7C9E" w:rsidRDefault="00F529BB" w:rsidP="00D7210F">
            <w:pPr>
              <w:jc w:val="right"/>
              <w:rPr>
                <w:rFonts w:cs="Calibri"/>
                <w:iCs/>
                <w:color w:val="000000" w:themeColor="text1"/>
                <w:sz w:val="13"/>
                <w:szCs w:val="13"/>
              </w:rPr>
            </w:pPr>
            <w:r w:rsidRPr="00BB7C9E">
              <w:rPr>
                <w:rFonts w:cs="Calibri"/>
                <w:iCs/>
                <w:color w:val="000000" w:themeColor="text1"/>
                <w:sz w:val="13"/>
                <w:szCs w:val="13"/>
              </w:rPr>
              <w:t>(7 778)</w:t>
            </w:r>
          </w:p>
        </w:tc>
        <w:tc>
          <w:tcPr>
            <w:tcW w:w="1425" w:type="dxa"/>
            <w:tcBorders>
              <w:top w:val="single" w:sz="4" w:space="0" w:color="0077BD"/>
              <w:left w:val="single" w:sz="8" w:space="0" w:color="0077BD"/>
              <w:bottom w:val="single" w:sz="4" w:space="0" w:color="0077BD"/>
              <w:right w:val="nil"/>
            </w:tcBorders>
            <w:shd w:val="clear" w:color="auto" w:fill="auto"/>
            <w:noWrap/>
            <w:vAlign w:val="center"/>
            <w:hideMark/>
          </w:tcPr>
          <w:p w14:paraId="1EAC2390" w14:textId="77777777" w:rsidR="004314BB" w:rsidRPr="00BB7C9E" w:rsidRDefault="004314BB" w:rsidP="00D7210F">
            <w:pPr>
              <w:jc w:val="right"/>
              <w:rPr>
                <w:rFonts w:cs="Calibri"/>
                <w:iCs/>
                <w:color w:val="000000" w:themeColor="text1"/>
                <w:sz w:val="13"/>
                <w:szCs w:val="13"/>
              </w:rPr>
            </w:pPr>
            <w:r w:rsidRPr="00BB7C9E">
              <w:rPr>
                <w:rFonts w:cs="Calibri"/>
                <w:iCs/>
                <w:color w:val="000000" w:themeColor="text1"/>
                <w:sz w:val="13"/>
                <w:szCs w:val="13"/>
              </w:rPr>
              <w:t>(10 328)</w:t>
            </w:r>
          </w:p>
        </w:tc>
      </w:tr>
      <w:tr w:rsidR="004314BB" w:rsidRPr="00BB7C9E" w14:paraId="216C98D9" w14:textId="77777777" w:rsidTr="00F529BB">
        <w:trPr>
          <w:trHeight w:val="284"/>
        </w:trPr>
        <w:tc>
          <w:tcPr>
            <w:tcW w:w="6779" w:type="dxa"/>
            <w:tcBorders>
              <w:top w:val="single" w:sz="4" w:space="0" w:color="0077BD"/>
              <w:left w:val="nil"/>
              <w:bottom w:val="single" w:sz="8" w:space="0" w:color="0077BD"/>
              <w:right w:val="single" w:sz="8" w:space="0" w:color="0077BD"/>
            </w:tcBorders>
            <w:shd w:val="clear" w:color="auto" w:fill="auto"/>
            <w:vAlign w:val="center"/>
            <w:hideMark/>
          </w:tcPr>
          <w:p w14:paraId="58B0D451"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Podatek odroczony</w:t>
            </w:r>
          </w:p>
        </w:tc>
        <w:tc>
          <w:tcPr>
            <w:tcW w:w="1425" w:type="dxa"/>
            <w:tcBorders>
              <w:top w:val="single" w:sz="4" w:space="0" w:color="0077BD"/>
              <w:left w:val="nil"/>
              <w:bottom w:val="single" w:sz="8" w:space="0" w:color="0077BD"/>
              <w:right w:val="single" w:sz="8" w:space="0" w:color="0077BD"/>
            </w:tcBorders>
            <w:shd w:val="clear" w:color="auto" w:fill="auto"/>
            <w:noWrap/>
            <w:vAlign w:val="center"/>
          </w:tcPr>
          <w:p w14:paraId="12CE070A" w14:textId="60DAA6BE" w:rsidR="004314BB" w:rsidRPr="00BB7C9E" w:rsidRDefault="00F529BB" w:rsidP="00D7210F">
            <w:pPr>
              <w:jc w:val="right"/>
              <w:rPr>
                <w:rFonts w:cs="Calibri"/>
                <w:iCs/>
                <w:color w:val="000000" w:themeColor="text1"/>
                <w:sz w:val="13"/>
                <w:szCs w:val="13"/>
              </w:rPr>
            </w:pPr>
            <w:r w:rsidRPr="00BB7C9E">
              <w:rPr>
                <w:rFonts w:cs="Calibri"/>
                <w:iCs/>
                <w:color w:val="000000" w:themeColor="text1"/>
                <w:sz w:val="13"/>
                <w:szCs w:val="13"/>
              </w:rPr>
              <w:t>(35 839)</w:t>
            </w:r>
          </w:p>
        </w:tc>
        <w:tc>
          <w:tcPr>
            <w:tcW w:w="1425" w:type="dxa"/>
            <w:tcBorders>
              <w:top w:val="single" w:sz="4" w:space="0" w:color="0077BD"/>
              <w:left w:val="single" w:sz="8" w:space="0" w:color="0077BD"/>
              <w:bottom w:val="single" w:sz="8" w:space="0" w:color="0077BD"/>
              <w:right w:val="nil"/>
            </w:tcBorders>
            <w:shd w:val="clear" w:color="auto" w:fill="auto"/>
            <w:noWrap/>
            <w:vAlign w:val="center"/>
            <w:hideMark/>
          </w:tcPr>
          <w:p w14:paraId="04F0B56C" w14:textId="77777777" w:rsidR="004314BB" w:rsidRPr="00BB7C9E" w:rsidRDefault="004314BB" w:rsidP="00D7210F">
            <w:pPr>
              <w:jc w:val="right"/>
              <w:rPr>
                <w:rFonts w:cs="Calibri"/>
                <w:iCs/>
                <w:color w:val="000000" w:themeColor="text1"/>
                <w:sz w:val="13"/>
                <w:szCs w:val="13"/>
              </w:rPr>
            </w:pPr>
            <w:r w:rsidRPr="00BB7C9E">
              <w:rPr>
                <w:rFonts w:cs="Calibri"/>
                <w:iCs/>
                <w:color w:val="000000" w:themeColor="text1"/>
                <w:sz w:val="13"/>
                <w:szCs w:val="13"/>
              </w:rPr>
              <w:t>(33 308)</w:t>
            </w:r>
          </w:p>
        </w:tc>
      </w:tr>
      <w:tr w:rsidR="004314BB" w:rsidRPr="00BB7C9E" w14:paraId="408A33C8" w14:textId="77777777" w:rsidTr="00F529BB">
        <w:trPr>
          <w:trHeight w:val="284"/>
        </w:trPr>
        <w:tc>
          <w:tcPr>
            <w:tcW w:w="6779" w:type="dxa"/>
            <w:tcBorders>
              <w:top w:val="single" w:sz="8" w:space="0" w:color="0077BD"/>
              <w:left w:val="nil"/>
              <w:bottom w:val="single" w:sz="8" w:space="0" w:color="0077BD"/>
              <w:right w:val="single" w:sz="8" w:space="0" w:color="0077BD"/>
            </w:tcBorders>
            <w:shd w:val="clear" w:color="auto" w:fill="auto"/>
            <w:vAlign w:val="center"/>
            <w:hideMark/>
          </w:tcPr>
          <w:p w14:paraId="5E30818A" w14:textId="77777777" w:rsidR="004314BB" w:rsidRPr="00BB7C9E" w:rsidRDefault="004314BB" w:rsidP="00D7210F">
            <w:pPr>
              <w:rPr>
                <w:rFonts w:cs="Calibri"/>
                <w:b/>
                <w:bCs/>
                <w:color w:val="000000" w:themeColor="text1"/>
                <w:sz w:val="13"/>
                <w:szCs w:val="13"/>
              </w:rPr>
            </w:pPr>
            <w:r w:rsidRPr="00BB7C9E">
              <w:rPr>
                <w:rFonts w:cs="Calibri"/>
                <w:b/>
                <w:bCs/>
                <w:color w:val="000000" w:themeColor="text1"/>
                <w:sz w:val="13"/>
                <w:szCs w:val="13"/>
              </w:rPr>
              <w:t>Zabezpieczenia przepływów pieniężnych</w:t>
            </w:r>
          </w:p>
        </w:tc>
        <w:tc>
          <w:tcPr>
            <w:tcW w:w="1425" w:type="dxa"/>
            <w:tcBorders>
              <w:top w:val="single" w:sz="8" w:space="0" w:color="0077BD"/>
              <w:left w:val="nil"/>
              <w:bottom w:val="single" w:sz="8" w:space="0" w:color="0077BD"/>
              <w:right w:val="single" w:sz="8" w:space="0" w:color="0077BD"/>
            </w:tcBorders>
            <w:shd w:val="clear" w:color="auto" w:fill="auto"/>
            <w:noWrap/>
            <w:vAlign w:val="center"/>
          </w:tcPr>
          <w:p w14:paraId="05E67AA1" w14:textId="7C480B6B" w:rsidR="004314BB" w:rsidRPr="00BB7C9E" w:rsidRDefault="00F529BB" w:rsidP="00D7210F">
            <w:pPr>
              <w:jc w:val="right"/>
              <w:rPr>
                <w:rFonts w:cs="Calibri"/>
                <w:b/>
                <w:bCs/>
                <w:color w:val="000000" w:themeColor="text1"/>
                <w:sz w:val="13"/>
                <w:szCs w:val="13"/>
              </w:rPr>
            </w:pPr>
            <w:r w:rsidRPr="00BB7C9E">
              <w:rPr>
                <w:rFonts w:cs="Calibri"/>
                <w:b/>
                <w:bCs/>
                <w:color w:val="000000" w:themeColor="text1"/>
                <w:sz w:val="13"/>
                <w:szCs w:val="13"/>
              </w:rPr>
              <w:t>119 142</w:t>
            </w:r>
          </w:p>
        </w:tc>
        <w:tc>
          <w:tcPr>
            <w:tcW w:w="1425" w:type="dxa"/>
            <w:tcBorders>
              <w:top w:val="single" w:sz="8" w:space="0" w:color="0077BD"/>
              <w:left w:val="nil"/>
              <w:bottom w:val="single" w:sz="8" w:space="0" w:color="0077BD"/>
              <w:right w:val="nil"/>
            </w:tcBorders>
            <w:shd w:val="clear" w:color="auto" w:fill="auto"/>
            <w:noWrap/>
            <w:vAlign w:val="center"/>
            <w:hideMark/>
          </w:tcPr>
          <w:p w14:paraId="75FB30C0" w14:textId="77777777" w:rsidR="004314BB" w:rsidRPr="00BB7C9E" w:rsidRDefault="004314BB" w:rsidP="00D7210F">
            <w:pPr>
              <w:jc w:val="right"/>
              <w:rPr>
                <w:rFonts w:cs="Calibri"/>
                <w:b/>
                <w:bCs/>
                <w:color w:val="000000" w:themeColor="text1"/>
                <w:sz w:val="13"/>
                <w:szCs w:val="13"/>
              </w:rPr>
            </w:pPr>
            <w:r w:rsidRPr="00BB7C9E">
              <w:rPr>
                <w:rFonts w:cs="Calibri"/>
                <w:b/>
                <w:bCs/>
                <w:color w:val="000000" w:themeColor="text1"/>
                <w:sz w:val="13"/>
                <w:szCs w:val="13"/>
              </w:rPr>
              <w:t>83 643</w:t>
            </w:r>
          </w:p>
        </w:tc>
      </w:tr>
      <w:tr w:rsidR="004314BB" w:rsidRPr="00BB7C9E" w14:paraId="4BBFC19B" w14:textId="77777777" w:rsidTr="00F529BB">
        <w:trPr>
          <w:trHeight w:val="284"/>
        </w:trPr>
        <w:tc>
          <w:tcPr>
            <w:tcW w:w="6779" w:type="dxa"/>
            <w:tcBorders>
              <w:top w:val="nil"/>
              <w:left w:val="nil"/>
              <w:bottom w:val="single" w:sz="4" w:space="0" w:color="0077BD"/>
              <w:right w:val="single" w:sz="8" w:space="0" w:color="0077BD"/>
            </w:tcBorders>
            <w:shd w:val="clear" w:color="auto" w:fill="auto"/>
            <w:vAlign w:val="center"/>
            <w:hideMark/>
          </w:tcPr>
          <w:p w14:paraId="10F14737"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Niezrealizowane zyski</w:t>
            </w:r>
          </w:p>
        </w:tc>
        <w:tc>
          <w:tcPr>
            <w:tcW w:w="1425" w:type="dxa"/>
            <w:tcBorders>
              <w:top w:val="nil"/>
              <w:left w:val="nil"/>
              <w:bottom w:val="single" w:sz="4" w:space="0" w:color="0077BD"/>
              <w:right w:val="single" w:sz="8" w:space="0" w:color="0077BD"/>
            </w:tcBorders>
            <w:shd w:val="clear" w:color="auto" w:fill="auto"/>
            <w:noWrap/>
            <w:vAlign w:val="center"/>
          </w:tcPr>
          <w:p w14:paraId="1345CE5E" w14:textId="44E4677D"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150 802</w:t>
            </w:r>
          </w:p>
        </w:tc>
        <w:tc>
          <w:tcPr>
            <w:tcW w:w="1425" w:type="dxa"/>
            <w:tcBorders>
              <w:top w:val="nil"/>
              <w:left w:val="single" w:sz="8" w:space="0" w:color="0077BD"/>
              <w:bottom w:val="single" w:sz="4" w:space="0" w:color="0077BD"/>
              <w:right w:val="nil"/>
            </w:tcBorders>
            <w:shd w:val="clear" w:color="auto" w:fill="auto"/>
            <w:noWrap/>
            <w:vAlign w:val="center"/>
            <w:hideMark/>
          </w:tcPr>
          <w:p w14:paraId="780AA744"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103 263</w:t>
            </w:r>
          </w:p>
        </w:tc>
      </w:tr>
      <w:tr w:rsidR="004314BB" w:rsidRPr="00BB7C9E" w14:paraId="43E9E496" w14:textId="77777777" w:rsidTr="00F529BB">
        <w:trPr>
          <w:trHeight w:val="284"/>
        </w:trPr>
        <w:tc>
          <w:tcPr>
            <w:tcW w:w="6779" w:type="dxa"/>
            <w:tcBorders>
              <w:top w:val="nil"/>
              <w:left w:val="nil"/>
              <w:bottom w:val="single" w:sz="4" w:space="0" w:color="0077BD"/>
              <w:right w:val="single" w:sz="8" w:space="0" w:color="0077BD"/>
            </w:tcBorders>
            <w:shd w:val="clear" w:color="auto" w:fill="auto"/>
            <w:vAlign w:val="center"/>
            <w:hideMark/>
          </w:tcPr>
          <w:p w14:paraId="16733259"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 xml:space="preserve">Niezrealizowane straty </w:t>
            </w:r>
          </w:p>
        </w:tc>
        <w:tc>
          <w:tcPr>
            <w:tcW w:w="1425" w:type="dxa"/>
            <w:tcBorders>
              <w:top w:val="nil"/>
              <w:left w:val="nil"/>
              <w:bottom w:val="single" w:sz="4" w:space="0" w:color="0077BD"/>
              <w:right w:val="single" w:sz="8" w:space="0" w:color="0077BD"/>
            </w:tcBorders>
            <w:shd w:val="clear" w:color="auto" w:fill="auto"/>
            <w:noWrap/>
            <w:vAlign w:val="center"/>
          </w:tcPr>
          <w:p w14:paraId="5C5F4E68" w14:textId="353E15ED"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(3 714)</w:t>
            </w:r>
          </w:p>
        </w:tc>
        <w:tc>
          <w:tcPr>
            <w:tcW w:w="1425" w:type="dxa"/>
            <w:tcBorders>
              <w:top w:val="nil"/>
              <w:left w:val="single" w:sz="8" w:space="0" w:color="0077BD"/>
              <w:bottom w:val="single" w:sz="4" w:space="0" w:color="0077BD"/>
              <w:right w:val="nil"/>
            </w:tcBorders>
            <w:shd w:val="clear" w:color="auto" w:fill="auto"/>
            <w:noWrap/>
            <w:vAlign w:val="center"/>
            <w:hideMark/>
          </w:tcPr>
          <w:p w14:paraId="4F4FCFF6"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w:t>
            </w:r>
          </w:p>
        </w:tc>
      </w:tr>
      <w:tr w:rsidR="004314BB" w:rsidRPr="00BB7C9E" w14:paraId="178E7E09" w14:textId="77777777" w:rsidTr="00F529BB">
        <w:trPr>
          <w:trHeight w:val="284"/>
        </w:trPr>
        <w:tc>
          <w:tcPr>
            <w:tcW w:w="6779" w:type="dxa"/>
            <w:tcBorders>
              <w:top w:val="nil"/>
              <w:left w:val="nil"/>
              <w:bottom w:val="single" w:sz="8" w:space="0" w:color="0077BD"/>
              <w:right w:val="single" w:sz="8" w:space="0" w:color="0077BD"/>
            </w:tcBorders>
            <w:shd w:val="clear" w:color="auto" w:fill="auto"/>
            <w:vAlign w:val="center"/>
            <w:hideMark/>
          </w:tcPr>
          <w:p w14:paraId="7EF32E9F"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Podatek odroczony</w:t>
            </w:r>
          </w:p>
        </w:tc>
        <w:tc>
          <w:tcPr>
            <w:tcW w:w="1425" w:type="dxa"/>
            <w:tcBorders>
              <w:top w:val="nil"/>
              <w:left w:val="nil"/>
              <w:bottom w:val="single" w:sz="8" w:space="0" w:color="0077BD"/>
              <w:right w:val="single" w:sz="8" w:space="0" w:color="0077BD"/>
            </w:tcBorders>
            <w:shd w:val="clear" w:color="auto" w:fill="auto"/>
            <w:noWrap/>
            <w:vAlign w:val="center"/>
          </w:tcPr>
          <w:p w14:paraId="52508BB0" w14:textId="6B1DFBC8"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(27 946)</w:t>
            </w:r>
          </w:p>
        </w:tc>
        <w:tc>
          <w:tcPr>
            <w:tcW w:w="1425" w:type="dxa"/>
            <w:tcBorders>
              <w:top w:val="nil"/>
              <w:left w:val="single" w:sz="8" w:space="0" w:color="0077BD"/>
              <w:bottom w:val="single" w:sz="8" w:space="0" w:color="0077BD"/>
              <w:right w:val="nil"/>
            </w:tcBorders>
            <w:shd w:val="clear" w:color="auto" w:fill="auto"/>
            <w:noWrap/>
            <w:vAlign w:val="center"/>
            <w:hideMark/>
          </w:tcPr>
          <w:p w14:paraId="770BB793"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(19 620)</w:t>
            </w:r>
          </w:p>
        </w:tc>
      </w:tr>
      <w:tr w:rsidR="004314BB" w:rsidRPr="00BB7C9E" w14:paraId="4D5E9B23" w14:textId="77777777" w:rsidTr="00F529BB">
        <w:trPr>
          <w:trHeight w:val="284"/>
        </w:trPr>
        <w:tc>
          <w:tcPr>
            <w:tcW w:w="6779" w:type="dxa"/>
            <w:tcBorders>
              <w:top w:val="nil"/>
              <w:left w:val="nil"/>
              <w:bottom w:val="single" w:sz="8" w:space="0" w:color="0077BD"/>
              <w:right w:val="single" w:sz="8" w:space="0" w:color="0077BD"/>
            </w:tcBorders>
            <w:shd w:val="clear" w:color="auto" w:fill="auto"/>
            <w:vAlign w:val="center"/>
            <w:hideMark/>
          </w:tcPr>
          <w:p w14:paraId="5085EE05" w14:textId="77777777" w:rsidR="004314BB" w:rsidRPr="00BB7C9E" w:rsidRDefault="004314BB" w:rsidP="00D7210F">
            <w:pPr>
              <w:rPr>
                <w:rFonts w:cs="Calibri"/>
                <w:b/>
                <w:bCs/>
                <w:color w:val="000000" w:themeColor="text1"/>
                <w:sz w:val="13"/>
                <w:szCs w:val="13"/>
              </w:rPr>
            </w:pPr>
            <w:r w:rsidRPr="00BB7C9E">
              <w:rPr>
                <w:rFonts w:cs="Calibri"/>
                <w:b/>
                <w:bCs/>
                <w:color w:val="000000" w:themeColor="text1"/>
                <w:sz w:val="13"/>
                <w:szCs w:val="13"/>
              </w:rPr>
              <w:t xml:space="preserve">Zyski i straty aktuarialne dotyczące świadczeń pracowniczych po okresie zatrudnienia </w:t>
            </w:r>
          </w:p>
        </w:tc>
        <w:tc>
          <w:tcPr>
            <w:tcW w:w="1425" w:type="dxa"/>
            <w:tcBorders>
              <w:top w:val="nil"/>
              <w:left w:val="nil"/>
              <w:bottom w:val="single" w:sz="8" w:space="0" w:color="0077BD"/>
              <w:right w:val="single" w:sz="8" w:space="0" w:color="0077BD"/>
            </w:tcBorders>
            <w:shd w:val="clear" w:color="auto" w:fill="auto"/>
            <w:noWrap/>
            <w:vAlign w:val="center"/>
          </w:tcPr>
          <w:p w14:paraId="3D090BFC" w14:textId="5217A440" w:rsidR="004314BB" w:rsidRPr="00BB7C9E" w:rsidRDefault="00F529BB" w:rsidP="00D7210F">
            <w:pPr>
              <w:jc w:val="right"/>
              <w:rPr>
                <w:rFonts w:cs="Calibri"/>
                <w:b/>
                <w:bCs/>
                <w:color w:val="000000" w:themeColor="text1"/>
                <w:sz w:val="13"/>
                <w:szCs w:val="13"/>
              </w:rPr>
            </w:pPr>
            <w:r w:rsidRPr="00BB7C9E">
              <w:rPr>
                <w:rFonts w:cs="Calibri"/>
                <w:b/>
                <w:bCs/>
                <w:color w:val="000000" w:themeColor="text1"/>
                <w:sz w:val="13"/>
                <w:szCs w:val="13"/>
              </w:rPr>
              <w:t>(11 318)</w:t>
            </w:r>
          </w:p>
        </w:tc>
        <w:tc>
          <w:tcPr>
            <w:tcW w:w="1425" w:type="dxa"/>
            <w:tcBorders>
              <w:top w:val="nil"/>
              <w:left w:val="nil"/>
              <w:bottom w:val="single" w:sz="8" w:space="0" w:color="0077BD"/>
              <w:right w:val="nil"/>
            </w:tcBorders>
            <w:shd w:val="clear" w:color="auto" w:fill="auto"/>
            <w:noWrap/>
            <w:vAlign w:val="center"/>
            <w:hideMark/>
          </w:tcPr>
          <w:p w14:paraId="1F1D980B" w14:textId="77777777" w:rsidR="004314BB" w:rsidRPr="00BB7C9E" w:rsidRDefault="004314BB" w:rsidP="00D7210F">
            <w:pPr>
              <w:jc w:val="right"/>
              <w:rPr>
                <w:rFonts w:cs="Calibri"/>
                <w:b/>
                <w:bCs/>
                <w:color w:val="000000" w:themeColor="text1"/>
                <w:sz w:val="13"/>
                <w:szCs w:val="13"/>
              </w:rPr>
            </w:pPr>
            <w:r w:rsidRPr="00BB7C9E">
              <w:rPr>
                <w:rFonts w:cs="Calibri"/>
                <w:b/>
                <w:bCs/>
                <w:color w:val="000000" w:themeColor="text1"/>
                <w:sz w:val="13"/>
                <w:szCs w:val="13"/>
              </w:rPr>
              <w:t>(9 316)</w:t>
            </w:r>
          </w:p>
        </w:tc>
      </w:tr>
      <w:tr w:rsidR="004314BB" w:rsidRPr="00BB7C9E" w14:paraId="71BD4815" w14:textId="77777777" w:rsidTr="00F529BB">
        <w:trPr>
          <w:trHeight w:val="284"/>
        </w:trPr>
        <w:tc>
          <w:tcPr>
            <w:tcW w:w="6779" w:type="dxa"/>
            <w:tcBorders>
              <w:top w:val="nil"/>
              <w:left w:val="nil"/>
              <w:bottom w:val="single" w:sz="4" w:space="0" w:color="0077BD"/>
              <w:right w:val="single" w:sz="8" w:space="0" w:color="0077BD"/>
            </w:tcBorders>
            <w:shd w:val="clear" w:color="auto" w:fill="auto"/>
            <w:vAlign w:val="center"/>
            <w:hideMark/>
          </w:tcPr>
          <w:p w14:paraId="41726FF2"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 xml:space="preserve">Zyski aktuarialne </w:t>
            </w:r>
          </w:p>
        </w:tc>
        <w:tc>
          <w:tcPr>
            <w:tcW w:w="1425" w:type="dxa"/>
            <w:tcBorders>
              <w:top w:val="nil"/>
              <w:left w:val="nil"/>
              <w:bottom w:val="single" w:sz="4" w:space="0" w:color="0077BD"/>
              <w:right w:val="single" w:sz="8" w:space="0" w:color="0077BD"/>
            </w:tcBorders>
            <w:shd w:val="clear" w:color="auto" w:fill="auto"/>
            <w:noWrap/>
            <w:vAlign w:val="center"/>
          </w:tcPr>
          <w:p w14:paraId="5E3D75C6" w14:textId="4989C3DD"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29</w:t>
            </w:r>
          </w:p>
        </w:tc>
        <w:tc>
          <w:tcPr>
            <w:tcW w:w="1425" w:type="dxa"/>
            <w:tcBorders>
              <w:top w:val="nil"/>
              <w:left w:val="single" w:sz="8" w:space="0" w:color="0077BD"/>
              <w:bottom w:val="single" w:sz="4" w:space="0" w:color="0077BD"/>
              <w:right w:val="nil"/>
            </w:tcBorders>
            <w:shd w:val="clear" w:color="auto" w:fill="auto"/>
            <w:noWrap/>
            <w:vAlign w:val="center"/>
            <w:hideMark/>
          </w:tcPr>
          <w:p w14:paraId="76DC051E"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w:t>
            </w:r>
          </w:p>
        </w:tc>
      </w:tr>
      <w:tr w:rsidR="004314BB" w:rsidRPr="00BB7C9E" w14:paraId="50698F55" w14:textId="77777777" w:rsidTr="00F529BB">
        <w:trPr>
          <w:trHeight w:val="284"/>
        </w:trPr>
        <w:tc>
          <w:tcPr>
            <w:tcW w:w="6779" w:type="dxa"/>
            <w:tcBorders>
              <w:top w:val="nil"/>
              <w:left w:val="nil"/>
              <w:bottom w:val="single" w:sz="4" w:space="0" w:color="0077BD"/>
              <w:right w:val="single" w:sz="8" w:space="0" w:color="0077BD"/>
            </w:tcBorders>
            <w:shd w:val="clear" w:color="auto" w:fill="auto"/>
            <w:vAlign w:val="center"/>
            <w:hideMark/>
          </w:tcPr>
          <w:p w14:paraId="058334F5"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 xml:space="preserve">Straty aktuarialne </w:t>
            </w:r>
          </w:p>
        </w:tc>
        <w:tc>
          <w:tcPr>
            <w:tcW w:w="1425" w:type="dxa"/>
            <w:tcBorders>
              <w:top w:val="nil"/>
              <w:left w:val="nil"/>
              <w:bottom w:val="single" w:sz="4" w:space="0" w:color="0077BD"/>
              <w:right w:val="single" w:sz="8" w:space="0" w:color="0077BD"/>
            </w:tcBorders>
            <w:shd w:val="clear" w:color="auto" w:fill="auto"/>
            <w:noWrap/>
            <w:vAlign w:val="center"/>
          </w:tcPr>
          <w:p w14:paraId="15936111" w14:textId="664740FF"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(14 003)</w:t>
            </w:r>
          </w:p>
        </w:tc>
        <w:tc>
          <w:tcPr>
            <w:tcW w:w="1425" w:type="dxa"/>
            <w:tcBorders>
              <w:top w:val="nil"/>
              <w:left w:val="single" w:sz="8" w:space="0" w:color="0077BD"/>
              <w:bottom w:val="single" w:sz="4" w:space="0" w:color="0077BD"/>
              <w:right w:val="nil"/>
            </w:tcBorders>
            <w:shd w:val="clear" w:color="auto" w:fill="auto"/>
            <w:noWrap/>
            <w:vAlign w:val="center"/>
            <w:hideMark/>
          </w:tcPr>
          <w:p w14:paraId="51FF7648"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(11 491)</w:t>
            </w:r>
          </w:p>
        </w:tc>
      </w:tr>
      <w:tr w:rsidR="004314BB" w:rsidRPr="00BB7C9E" w14:paraId="7CFDA86F" w14:textId="77777777" w:rsidTr="00F529BB">
        <w:trPr>
          <w:trHeight w:val="284"/>
        </w:trPr>
        <w:tc>
          <w:tcPr>
            <w:tcW w:w="6779" w:type="dxa"/>
            <w:tcBorders>
              <w:top w:val="nil"/>
              <w:left w:val="nil"/>
              <w:bottom w:val="single" w:sz="8" w:space="0" w:color="0077BD"/>
              <w:right w:val="single" w:sz="8" w:space="0" w:color="0077BD"/>
            </w:tcBorders>
            <w:shd w:val="clear" w:color="auto" w:fill="auto"/>
            <w:vAlign w:val="center"/>
            <w:hideMark/>
          </w:tcPr>
          <w:p w14:paraId="7CAC8E49" w14:textId="77777777" w:rsidR="004314BB" w:rsidRPr="00BB7C9E" w:rsidRDefault="004314BB" w:rsidP="00D7210F">
            <w:pPr>
              <w:rPr>
                <w:rFonts w:cs="Calibri"/>
                <w:color w:val="000000" w:themeColor="text1"/>
                <w:sz w:val="13"/>
                <w:szCs w:val="13"/>
              </w:rPr>
            </w:pPr>
            <w:r w:rsidRPr="00BB7C9E">
              <w:rPr>
                <w:rFonts w:cs="Calibri"/>
                <w:color w:val="000000" w:themeColor="text1"/>
                <w:sz w:val="13"/>
                <w:szCs w:val="13"/>
              </w:rPr>
              <w:t>Podatek odroczony</w:t>
            </w:r>
          </w:p>
        </w:tc>
        <w:tc>
          <w:tcPr>
            <w:tcW w:w="1425" w:type="dxa"/>
            <w:tcBorders>
              <w:top w:val="nil"/>
              <w:left w:val="nil"/>
              <w:bottom w:val="single" w:sz="8" w:space="0" w:color="0077BD"/>
              <w:right w:val="single" w:sz="8" w:space="0" w:color="0077BD"/>
            </w:tcBorders>
            <w:shd w:val="clear" w:color="auto" w:fill="auto"/>
            <w:noWrap/>
            <w:vAlign w:val="center"/>
          </w:tcPr>
          <w:p w14:paraId="02DB81A1" w14:textId="4D40192D" w:rsidR="004314BB" w:rsidRPr="00BB7C9E" w:rsidRDefault="00F529BB" w:rsidP="00D7210F">
            <w:pPr>
              <w:jc w:val="right"/>
              <w:rPr>
                <w:rFonts w:cs="Calibri"/>
                <w:color w:val="000000" w:themeColor="text1"/>
                <w:sz w:val="13"/>
                <w:szCs w:val="13"/>
              </w:rPr>
            </w:pPr>
            <w:r w:rsidRPr="00BB7C9E">
              <w:rPr>
                <w:rFonts w:cs="Calibri"/>
                <w:color w:val="000000" w:themeColor="text1"/>
                <w:sz w:val="13"/>
                <w:szCs w:val="13"/>
              </w:rPr>
              <w:t>2 656</w:t>
            </w:r>
          </w:p>
        </w:tc>
        <w:tc>
          <w:tcPr>
            <w:tcW w:w="1425" w:type="dxa"/>
            <w:tcBorders>
              <w:top w:val="nil"/>
              <w:left w:val="single" w:sz="8" w:space="0" w:color="0077BD"/>
              <w:bottom w:val="single" w:sz="8" w:space="0" w:color="0077BD"/>
              <w:right w:val="nil"/>
            </w:tcBorders>
            <w:shd w:val="clear" w:color="auto" w:fill="auto"/>
            <w:noWrap/>
            <w:vAlign w:val="center"/>
            <w:hideMark/>
          </w:tcPr>
          <w:p w14:paraId="3A08C1C0" w14:textId="77777777" w:rsidR="004314BB" w:rsidRPr="00BB7C9E" w:rsidRDefault="004314BB" w:rsidP="00D7210F">
            <w:pPr>
              <w:jc w:val="right"/>
              <w:rPr>
                <w:rFonts w:cs="Calibri"/>
                <w:color w:val="000000" w:themeColor="text1"/>
                <w:sz w:val="13"/>
                <w:szCs w:val="13"/>
              </w:rPr>
            </w:pPr>
            <w:r w:rsidRPr="00BB7C9E">
              <w:rPr>
                <w:rFonts w:cs="Calibri"/>
                <w:color w:val="000000" w:themeColor="text1"/>
                <w:sz w:val="13"/>
                <w:szCs w:val="13"/>
              </w:rPr>
              <w:t>2 175</w:t>
            </w:r>
          </w:p>
        </w:tc>
      </w:tr>
      <w:tr w:rsidR="004314BB" w:rsidRPr="00BB7C9E" w14:paraId="463DE6F7" w14:textId="77777777" w:rsidTr="00F529BB">
        <w:trPr>
          <w:trHeight w:val="284"/>
        </w:trPr>
        <w:tc>
          <w:tcPr>
            <w:tcW w:w="6779" w:type="dxa"/>
            <w:tcBorders>
              <w:top w:val="nil"/>
              <w:left w:val="nil"/>
              <w:bottom w:val="single" w:sz="8" w:space="0" w:color="0077BD"/>
              <w:right w:val="single" w:sz="8" w:space="0" w:color="0077BD"/>
            </w:tcBorders>
            <w:shd w:val="clear" w:color="auto" w:fill="auto"/>
            <w:vAlign w:val="center"/>
            <w:hideMark/>
          </w:tcPr>
          <w:p w14:paraId="2A339852" w14:textId="77777777" w:rsidR="004314BB" w:rsidRPr="00BB7C9E" w:rsidRDefault="004314BB" w:rsidP="00D7210F">
            <w:pPr>
              <w:rPr>
                <w:rFonts w:cs="Calibri"/>
                <w:b/>
                <w:bCs/>
                <w:color w:val="000000" w:themeColor="text1"/>
                <w:sz w:val="13"/>
                <w:szCs w:val="13"/>
              </w:rPr>
            </w:pPr>
            <w:r w:rsidRPr="00BB7C9E">
              <w:rPr>
                <w:rFonts w:cs="Calibri"/>
                <w:b/>
                <w:bCs/>
                <w:color w:val="000000" w:themeColor="text1"/>
                <w:sz w:val="13"/>
                <w:szCs w:val="13"/>
              </w:rPr>
              <w:t>Inne pozycje kapitału własnego razem</w:t>
            </w:r>
          </w:p>
        </w:tc>
        <w:tc>
          <w:tcPr>
            <w:tcW w:w="1425" w:type="dxa"/>
            <w:tcBorders>
              <w:top w:val="nil"/>
              <w:left w:val="nil"/>
              <w:bottom w:val="single" w:sz="8" w:space="0" w:color="0077BD"/>
              <w:right w:val="single" w:sz="8" w:space="0" w:color="0077BD"/>
            </w:tcBorders>
            <w:shd w:val="clear" w:color="auto" w:fill="auto"/>
            <w:noWrap/>
            <w:vAlign w:val="center"/>
          </w:tcPr>
          <w:p w14:paraId="18674E25" w14:textId="49747989" w:rsidR="004314BB" w:rsidRPr="00BB7C9E" w:rsidRDefault="00F529BB" w:rsidP="00D7210F">
            <w:pPr>
              <w:jc w:val="right"/>
              <w:rPr>
                <w:rFonts w:cs="Calibri"/>
                <w:b/>
                <w:bCs/>
                <w:color w:val="000000" w:themeColor="text1"/>
                <w:sz w:val="13"/>
                <w:szCs w:val="13"/>
              </w:rPr>
            </w:pPr>
            <w:r w:rsidRPr="00BB7C9E">
              <w:rPr>
                <w:rFonts w:cs="Calibri"/>
                <w:b/>
                <w:bCs/>
                <w:color w:val="000000" w:themeColor="text1"/>
                <w:sz w:val="13"/>
                <w:szCs w:val="13"/>
              </w:rPr>
              <w:t>176 710</w:t>
            </w:r>
          </w:p>
        </w:tc>
        <w:tc>
          <w:tcPr>
            <w:tcW w:w="1425" w:type="dxa"/>
            <w:tcBorders>
              <w:top w:val="nil"/>
              <w:left w:val="nil"/>
              <w:bottom w:val="single" w:sz="8" w:space="0" w:color="0077BD"/>
              <w:right w:val="nil"/>
            </w:tcBorders>
            <w:shd w:val="clear" w:color="auto" w:fill="auto"/>
            <w:noWrap/>
            <w:vAlign w:val="center"/>
            <w:hideMark/>
          </w:tcPr>
          <w:p w14:paraId="4E2D9870" w14:textId="77777777" w:rsidR="004314BB" w:rsidRPr="00BB7C9E" w:rsidRDefault="004314BB" w:rsidP="00D7210F">
            <w:pPr>
              <w:jc w:val="right"/>
              <w:rPr>
                <w:rFonts w:cs="Calibri"/>
                <w:b/>
                <w:bCs/>
                <w:color w:val="000000" w:themeColor="text1"/>
                <w:sz w:val="13"/>
                <w:szCs w:val="13"/>
              </w:rPr>
            </w:pPr>
            <w:r w:rsidRPr="00BB7C9E">
              <w:rPr>
                <w:rFonts w:cs="Calibri"/>
                <w:b/>
                <w:bCs/>
                <w:color w:val="000000" w:themeColor="text1"/>
                <w:sz w:val="13"/>
                <w:szCs w:val="13"/>
              </w:rPr>
              <w:t>214 838</w:t>
            </w:r>
          </w:p>
        </w:tc>
      </w:tr>
    </w:tbl>
    <w:p w14:paraId="15BDA483" w14:textId="499EF6FC" w:rsidR="004314BB" w:rsidRPr="00BB7C9E" w:rsidRDefault="00B414ED" w:rsidP="00AA6EC5">
      <w:pPr>
        <w:pStyle w:val="Tekstpodstawowy"/>
        <w:spacing w:before="120" w:after="0"/>
        <w:jc w:val="both"/>
        <w:rPr>
          <w:noProof/>
          <w:color w:val="000000" w:themeColor="text1"/>
          <w:sz w:val="18"/>
          <w:szCs w:val="18"/>
        </w:rPr>
      </w:pPr>
      <w:r w:rsidRPr="00B414ED">
        <w:rPr>
          <w:noProof/>
          <w:color w:val="000000" w:themeColor="text1"/>
          <w:sz w:val="18"/>
          <w:szCs w:val="18"/>
        </w:rPr>
        <w:t xml:space="preserve">W 2019 roku </w:t>
      </w:r>
      <w:r>
        <w:rPr>
          <w:noProof/>
          <w:color w:val="000000" w:themeColor="text1"/>
          <w:sz w:val="18"/>
          <w:szCs w:val="18"/>
        </w:rPr>
        <w:t>zmniejszenie wartości niezrealizowanych zysków</w:t>
      </w:r>
      <w:r w:rsidRPr="00B414ED">
        <w:rPr>
          <w:noProof/>
          <w:color w:val="000000" w:themeColor="text1"/>
          <w:sz w:val="18"/>
          <w:szCs w:val="18"/>
        </w:rPr>
        <w:t xml:space="preserve"> na instrumentach dłużnych </w:t>
      </w:r>
      <w:r>
        <w:rPr>
          <w:noProof/>
          <w:color w:val="000000" w:themeColor="text1"/>
          <w:sz w:val="18"/>
          <w:szCs w:val="18"/>
        </w:rPr>
        <w:t xml:space="preserve">w porównaniu do 2018 roku </w:t>
      </w:r>
      <w:r w:rsidRPr="00B414ED">
        <w:rPr>
          <w:noProof/>
          <w:color w:val="000000" w:themeColor="text1"/>
          <w:sz w:val="18"/>
          <w:szCs w:val="18"/>
        </w:rPr>
        <w:t xml:space="preserve">wynika z realizacji wyniku na </w:t>
      </w:r>
      <w:r w:rsidR="00C33BF9">
        <w:rPr>
          <w:noProof/>
          <w:color w:val="000000" w:themeColor="text1"/>
          <w:sz w:val="18"/>
          <w:szCs w:val="18"/>
        </w:rPr>
        <w:t>dłuż</w:t>
      </w:r>
      <w:r>
        <w:rPr>
          <w:noProof/>
          <w:color w:val="000000" w:themeColor="text1"/>
          <w:sz w:val="18"/>
          <w:szCs w:val="18"/>
        </w:rPr>
        <w:t xml:space="preserve">nych </w:t>
      </w:r>
      <w:r w:rsidRPr="00B414ED">
        <w:rPr>
          <w:noProof/>
          <w:color w:val="000000" w:themeColor="text1"/>
          <w:sz w:val="18"/>
          <w:szCs w:val="18"/>
        </w:rPr>
        <w:t xml:space="preserve">papierach </w:t>
      </w:r>
      <w:r>
        <w:rPr>
          <w:noProof/>
          <w:color w:val="000000" w:themeColor="text1"/>
          <w:sz w:val="18"/>
          <w:szCs w:val="18"/>
        </w:rPr>
        <w:t xml:space="preserve">wartościowych </w:t>
      </w:r>
      <w:r w:rsidRPr="00B414ED">
        <w:rPr>
          <w:noProof/>
          <w:color w:val="000000" w:themeColor="text1"/>
          <w:sz w:val="18"/>
          <w:szCs w:val="18"/>
        </w:rPr>
        <w:t>zapadających w</w:t>
      </w:r>
      <w:r>
        <w:rPr>
          <w:noProof/>
          <w:color w:val="000000" w:themeColor="text1"/>
          <w:sz w:val="18"/>
          <w:szCs w:val="18"/>
        </w:rPr>
        <w:t> 2019 roku.</w:t>
      </w:r>
    </w:p>
    <w:p w14:paraId="6B11950F" w14:textId="3AB4DED4" w:rsidR="00AA6EC5" w:rsidRPr="00BB7C9E" w:rsidRDefault="00AA6EC5" w:rsidP="00AA6EC5">
      <w:pPr>
        <w:pStyle w:val="Tekstpodstawowy"/>
        <w:spacing w:before="120" w:after="0"/>
        <w:jc w:val="both"/>
        <w:rPr>
          <w:noProof/>
          <w:color w:val="000000" w:themeColor="text1"/>
        </w:rPr>
      </w:pPr>
      <w:r w:rsidRPr="00BB7C9E">
        <w:rPr>
          <w:noProof/>
          <w:color w:val="000000" w:themeColor="text1"/>
          <w:sz w:val="18"/>
          <w:szCs w:val="18"/>
        </w:rPr>
        <w:t>W 2018 roku niezrealizowane zyski na instrumentach dłużnych dotyczą głównie dodatniej wyceny dłużnych papierów wartościowych księgi bankowej, spowodowanej spadkiem stóp procentowych w ostatnim kwartale 2018 roku, będącej pochodną spadków stóp na rynkach globalnych.</w:t>
      </w:r>
    </w:p>
    <w:p w14:paraId="1B5CD26F" w14:textId="77777777" w:rsidR="005162EF" w:rsidRDefault="005162EF" w:rsidP="005162EF">
      <w:pPr>
        <w:pStyle w:val="Tekstpodstawowy"/>
        <w:spacing w:after="0"/>
        <w:jc w:val="both"/>
        <w:rPr>
          <w:rFonts w:cs="Tahoma"/>
          <w:iCs/>
          <w:color w:val="201C17"/>
          <w:sz w:val="18"/>
          <w:szCs w:val="18"/>
        </w:rPr>
      </w:pPr>
    </w:p>
    <w:p w14:paraId="5301B228" w14:textId="77777777" w:rsidR="000F7261" w:rsidRDefault="000F7261"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62" w:name="_Toc32999870"/>
      <w:r>
        <w:rPr>
          <w:rFonts w:cs="Tahoma"/>
          <w:bCs w:val="0"/>
          <w:iCs w:val="0"/>
          <w:color w:val="E41E0A"/>
          <w:sz w:val="18"/>
          <w:szCs w:val="18"/>
        </w:rPr>
        <w:t>Dywidenda na akcję</w:t>
      </w:r>
      <w:bookmarkEnd w:id="162"/>
    </w:p>
    <w:p w14:paraId="031C8D77" w14:textId="600495A8" w:rsidR="00331D44" w:rsidRPr="00BB7C9E" w:rsidRDefault="000C00DE" w:rsidP="0075028A">
      <w:pPr>
        <w:spacing w:before="120"/>
        <w:jc w:val="both"/>
        <w:rPr>
          <w:rFonts w:cs="Tahoma"/>
          <w:color w:val="000000" w:themeColor="text1"/>
          <w:sz w:val="18"/>
          <w:szCs w:val="18"/>
          <w:lang w:eastAsia="en-US"/>
        </w:rPr>
      </w:pPr>
      <w:r w:rsidRPr="00BB7C9E">
        <w:rPr>
          <w:rFonts w:cs="Tahoma"/>
          <w:color w:val="000000" w:themeColor="text1"/>
          <w:sz w:val="18"/>
          <w:szCs w:val="18"/>
          <w:lang w:eastAsia="en-US"/>
        </w:rPr>
        <w:t>W dniu 28 marca 2019 roku XXXII Zwyczajne Walne Zgromadzenie mBanku S.A. podjęło uchwałę w sprawie podziału zysku netto za rok 2018. Uzyskany w 2018 roku zysk netto mBanku S.A. w kwoc</w:t>
      </w:r>
      <w:r w:rsidR="009E3AF9">
        <w:rPr>
          <w:rFonts w:cs="Tahoma"/>
          <w:color w:val="000000" w:themeColor="text1"/>
          <w:sz w:val="18"/>
          <w:szCs w:val="18"/>
          <w:lang w:eastAsia="en-US"/>
        </w:rPr>
        <w:t>ie 1 317 484 tys. zł</w:t>
      </w:r>
      <w:r w:rsidRPr="00BB7C9E">
        <w:rPr>
          <w:rFonts w:cs="Tahoma"/>
          <w:color w:val="000000" w:themeColor="text1"/>
          <w:sz w:val="18"/>
          <w:szCs w:val="18"/>
          <w:lang w:eastAsia="en-US"/>
        </w:rPr>
        <w:t xml:space="preserve"> został prze</w:t>
      </w:r>
      <w:r w:rsidR="009E3AF9">
        <w:rPr>
          <w:rFonts w:cs="Tahoma"/>
          <w:color w:val="000000" w:themeColor="text1"/>
          <w:sz w:val="18"/>
          <w:szCs w:val="18"/>
          <w:lang w:eastAsia="en-US"/>
        </w:rPr>
        <w:t>znaczony w kwocie 248 158 tys.</w:t>
      </w:r>
      <w:r w:rsidRPr="00BB7C9E">
        <w:rPr>
          <w:rFonts w:cs="Tahoma"/>
          <w:color w:val="000000" w:themeColor="text1"/>
          <w:sz w:val="18"/>
          <w:szCs w:val="18"/>
          <w:lang w:eastAsia="en-US"/>
        </w:rPr>
        <w:t xml:space="preserve"> zł na pokrycie straty z lat ubiegłych. Pozostałą część</w:t>
      </w:r>
      <w:r w:rsidR="009E3AF9">
        <w:rPr>
          <w:rFonts w:cs="Tahoma"/>
          <w:color w:val="000000" w:themeColor="text1"/>
          <w:sz w:val="18"/>
          <w:szCs w:val="18"/>
          <w:lang w:eastAsia="en-US"/>
        </w:rPr>
        <w:t xml:space="preserve"> zysku w kwocie 1 069 327 tys.</w:t>
      </w:r>
      <w:r w:rsidRPr="00BB7C9E">
        <w:rPr>
          <w:rFonts w:cs="Tahoma"/>
          <w:color w:val="000000" w:themeColor="text1"/>
          <w:sz w:val="18"/>
          <w:szCs w:val="18"/>
          <w:lang w:eastAsia="en-US"/>
        </w:rPr>
        <w:t xml:space="preserve"> zł pozostawiono niepodzieloną</w:t>
      </w:r>
      <w:r w:rsidR="0075028A" w:rsidRPr="00BB7C9E">
        <w:rPr>
          <w:rFonts w:cs="Tahoma"/>
          <w:color w:val="000000" w:themeColor="text1"/>
          <w:sz w:val="18"/>
          <w:szCs w:val="18"/>
          <w:lang w:eastAsia="en-US"/>
        </w:rPr>
        <w:t>.</w:t>
      </w:r>
      <w:r w:rsidR="00331D44" w:rsidRPr="00BB7C9E">
        <w:rPr>
          <w:rFonts w:cs="Tahoma"/>
          <w:color w:val="000000" w:themeColor="text1"/>
          <w:sz w:val="18"/>
          <w:szCs w:val="18"/>
          <w:lang w:eastAsia="en-US"/>
        </w:rPr>
        <w:t xml:space="preserve"> </w:t>
      </w:r>
    </w:p>
    <w:p w14:paraId="4C2130C7" w14:textId="77777777" w:rsidR="0075028A" w:rsidRDefault="0075028A" w:rsidP="007A0B99">
      <w:pPr>
        <w:pStyle w:val="Tekstpodstawowy"/>
        <w:spacing w:after="0"/>
        <w:jc w:val="both"/>
        <w:rPr>
          <w:rFonts w:cs="Tahoma"/>
          <w:sz w:val="18"/>
          <w:szCs w:val="18"/>
          <w:lang w:eastAsia="en-US"/>
        </w:rPr>
      </w:pPr>
    </w:p>
    <w:p w14:paraId="340D4449" w14:textId="77777777" w:rsidR="000F7261" w:rsidRPr="00052DD5" w:rsidRDefault="00564284"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63" w:name="_Toc32999871"/>
      <w:r>
        <w:rPr>
          <w:rFonts w:cs="Tahoma"/>
          <w:bCs w:val="0"/>
          <w:iCs w:val="0"/>
          <w:color w:val="E41E0A"/>
          <w:sz w:val="18"/>
          <w:szCs w:val="18"/>
        </w:rPr>
        <w:t>Noty objaśniające do sprawozdania z przepływów pieniężnych</w:t>
      </w:r>
      <w:bookmarkEnd w:id="163"/>
    </w:p>
    <w:p w14:paraId="7C017477" w14:textId="77777777" w:rsidR="00564284" w:rsidRPr="00BB7C9E" w:rsidRDefault="00564284" w:rsidP="00564284">
      <w:pPr>
        <w:pStyle w:val="Tekstpodstawowy"/>
        <w:spacing w:before="120"/>
        <w:jc w:val="both"/>
        <w:rPr>
          <w:rFonts w:cs="Tahoma"/>
          <w:b/>
          <w:color w:val="000000" w:themeColor="text1"/>
          <w:sz w:val="18"/>
          <w:szCs w:val="18"/>
        </w:rPr>
      </w:pPr>
      <w:r w:rsidRPr="00BB7C9E">
        <w:rPr>
          <w:rFonts w:cs="Tahoma"/>
          <w:b/>
          <w:color w:val="000000" w:themeColor="text1"/>
          <w:sz w:val="18"/>
          <w:szCs w:val="18"/>
        </w:rPr>
        <w:t>Środki pieniężne i ekwiwalenty środków pieniężnych</w:t>
      </w:r>
    </w:p>
    <w:p w14:paraId="5EDDF22A" w14:textId="77777777" w:rsidR="00564284" w:rsidRPr="00BB7C9E" w:rsidRDefault="00564284" w:rsidP="00564284">
      <w:pPr>
        <w:pStyle w:val="Tekstpodstawowy"/>
        <w:spacing w:before="120"/>
        <w:jc w:val="both"/>
        <w:rPr>
          <w:rFonts w:cs="Tahoma"/>
          <w:color w:val="000000" w:themeColor="text1"/>
          <w:sz w:val="18"/>
          <w:szCs w:val="18"/>
        </w:rPr>
      </w:pPr>
      <w:r w:rsidRPr="00BB7C9E">
        <w:rPr>
          <w:rFonts w:cs="Tahoma"/>
          <w:color w:val="000000" w:themeColor="text1"/>
          <w:sz w:val="18"/>
          <w:szCs w:val="18"/>
        </w:rPr>
        <w:t>Dla potrzeb rachunku przepływów pieniężnych saldo środków pieniężnych i ekwiwalentów środków pieniężnych zawiera następujące salda o terminie zapadalności krótszym niż trzy miesiące.</w:t>
      </w:r>
    </w:p>
    <w:tbl>
      <w:tblPr>
        <w:tblW w:w="0" w:type="auto"/>
        <w:tblCellMar>
          <w:left w:w="28" w:type="dxa"/>
          <w:right w:w="28" w:type="dxa"/>
        </w:tblCellMar>
        <w:tblLook w:val="04A0" w:firstRow="1" w:lastRow="0" w:firstColumn="1" w:lastColumn="0" w:noHBand="0" w:noVBand="1"/>
      </w:tblPr>
      <w:tblGrid>
        <w:gridCol w:w="6745"/>
        <w:gridCol w:w="1418"/>
        <w:gridCol w:w="1418"/>
      </w:tblGrid>
      <w:tr w:rsidR="00D7210F" w:rsidRPr="00D7210F" w14:paraId="6EDC80EB" w14:textId="77777777" w:rsidTr="00E953FF">
        <w:trPr>
          <w:trHeight w:val="284"/>
        </w:trPr>
        <w:tc>
          <w:tcPr>
            <w:tcW w:w="6745" w:type="dxa"/>
            <w:tcBorders>
              <w:top w:val="single" w:sz="8" w:space="0" w:color="FFFFFF"/>
              <w:left w:val="nil"/>
              <w:bottom w:val="nil"/>
              <w:right w:val="single" w:sz="8" w:space="0" w:color="FFFFFF"/>
            </w:tcBorders>
            <w:shd w:val="clear" w:color="000000" w:fill="0077BD"/>
            <w:vAlign w:val="center"/>
            <w:hideMark/>
          </w:tcPr>
          <w:p w14:paraId="070F56E9" w14:textId="77777777" w:rsidR="00D7210F" w:rsidRPr="00D7210F" w:rsidRDefault="00D7210F" w:rsidP="00D7210F">
            <w:pPr>
              <w:rPr>
                <w:rFonts w:cs="Calibri"/>
                <w:b/>
                <w:bCs/>
                <w:color w:val="FFFFFF"/>
                <w:sz w:val="13"/>
                <w:szCs w:val="13"/>
              </w:rPr>
            </w:pPr>
            <w:r w:rsidRPr="00D7210F">
              <w:rPr>
                <w:rFonts w:cs="Calibri"/>
                <w:b/>
                <w:bCs/>
                <w:color w:val="FFFFFF"/>
                <w:sz w:val="13"/>
                <w:szCs w:val="13"/>
              </w:rPr>
              <w:t> </w:t>
            </w:r>
          </w:p>
        </w:tc>
        <w:tc>
          <w:tcPr>
            <w:tcW w:w="1418" w:type="dxa"/>
            <w:tcBorders>
              <w:top w:val="single" w:sz="8" w:space="0" w:color="FFFFFF"/>
              <w:left w:val="nil"/>
              <w:bottom w:val="nil"/>
              <w:right w:val="nil"/>
            </w:tcBorders>
            <w:shd w:val="clear" w:color="000000" w:fill="0077BD"/>
            <w:noWrap/>
            <w:vAlign w:val="center"/>
            <w:hideMark/>
          </w:tcPr>
          <w:p w14:paraId="7285CE08" w14:textId="77777777" w:rsidR="00D7210F" w:rsidRPr="00D7210F" w:rsidRDefault="00D7210F" w:rsidP="00D7210F">
            <w:pPr>
              <w:jc w:val="right"/>
              <w:rPr>
                <w:rFonts w:cs="Calibri"/>
                <w:b/>
                <w:bCs/>
                <w:color w:val="FFFFFF"/>
                <w:sz w:val="13"/>
                <w:szCs w:val="13"/>
              </w:rPr>
            </w:pPr>
            <w:r w:rsidRPr="00D7210F">
              <w:rPr>
                <w:rFonts w:cs="Calibri"/>
                <w:b/>
                <w:bCs/>
                <w:color w:val="FFFFFF"/>
                <w:sz w:val="13"/>
                <w:szCs w:val="13"/>
              </w:rPr>
              <w:t>31.12.2019</w:t>
            </w:r>
          </w:p>
        </w:tc>
        <w:tc>
          <w:tcPr>
            <w:tcW w:w="1418" w:type="dxa"/>
            <w:tcBorders>
              <w:top w:val="single" w:sz="8" w:space="0" w:color="FFFFFF"/>
              <w:left w:val="single" w:sz="8" w:space="0" w:color="FFFFFF"/>
              <w:bottom w:val="nil"/>
              <w:right w:val="nil"/>
            </w:tcBorders>
            <w:shd w:val="clear" w:color="000000" w:fill="0077BD"/>
            <w:noWrap/>
            <w:vAlign w:val="center"/>
            <w:hideMark/>
          </w:tcPr>
          <w:p w14:paraId="123DFB40" w14:textId="77777777" w:rsidR="00D7210F" w:rsidRPr="00D7210F" w:rsidRDefault="00D7210F" w:rsidP="00D7210F">
            <w:pPr>
              <w:jc w:val="right"/>
              <w:rPr>
                <w:rFonts w:cs="Calibri"/>
                <w:b/>
                <w:bCs/>
                <w:color w:val="FFFFFF"/>
                <w:sz w:val="13"/>
                <w:szCs w:val="13"/>
              </w:rPr>
            </w:pPr>
            <w:r w:rsidRPr="00D7210F">
              <w:rPr>
                <w:rFonts w:cs="Calibri"/>
                <w:b/>
                <w:bCs/>
                <w:color w:val="FFFFFF"/>
                <w:sz w:val="13"/>
                <w:szCs w:val="13"/>
              </w:rPr>
              <w:t>31.12.2018</w:t>
            </w:r>
          </w:p>
        </w:tc>
      </w:tr>
      <w:tr w:rsidR="00D97563" w:rsidRPr="00BB7C9E" w14:paraId="346B1CE8" w14:textId="77777777" w:rsidTr="00977E53">
        <w:trPr>
          <w:trHeight w:val="284"/>
        </w:trPr>
        <w:tc>
          <w:tcPr>
            <w:tcW w:w="6745" w:type="dxa"/>
            <w:tcBorders>
              <w:top w:val="single" w:sz="4" w:space="0" w:color="0077BD"/>
              <w:left w:val="nil"/>
              <w:bottom w:val="single" w:sz="4" w:space="0" w:color="0077BD"/>
              <w:right w:val="single" w:sz="8" w:space="0" w:color="0077BD"/>
            </w:tcBorders>
            <w:shd w:val="clear" w:color="auto" w:fill="auto"/>
            <w:vAlign w:val="center"/>
            <w:hideMark/>
          </w:tcPr>
          <w:p w14:paraId="1C4A99D4" w14:textId="77777777" w:rsidR="00D97563" w:rsidRPr="00BD54A5" w:rsidRDefault="00D97563" w:rsidP="00D97563">
            <w:pPr>
              <w:rPr>
                <w:rFonts w:cs="Calibri"/>
                <w:color w:val="000000" w:themeColor="text1"/>
                <w:sz w:val="13"/>
                <w:szCs w:val="13"/>
              </w:rPr>
            </w:pPr>
            <w:r w:rsidRPr="00BD54A5">
              <w:rPr>
                <w:rFonts w:cs="Calibri"/>
                <w:color w:val="000000" w:themeColor="text1"/>
                <w:sz w:val="13"/>
                <w:szCs w:val="13"/>
              </w:rPr>
              <w:t>Kasa i operacje z bankiem centralnym (Nota 19)</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4FC2790" w14:textId="3826A156" w:rsidR="00D97563" w:rsidRPr="00BD54A5" w:rsidRDefault="00D97563" w:rsidP="00D97563">
            <w:pPr>
              <w:jc w:val="right"/>
              <w:rPr>
                <w:rFonts w:cs="Calibri"/>
                <w:color w:val="000000" w:themeColor="text1"/>
                <w:sz w:val="13"/>
                <w:szCs w:val="13"/>
              </w:rPr>
            </w:pPr>
            <w:r w:rsidRPr="00BD54A5">
              <w:rPr>
                <w:rFonts w:cs="Calibri"/>
                <w:color w:val="000000" w:themeColor="text1"/>
                <w:sz w:val="13"/>
                <w:szCs w:val="13"/>
              </w:rPr>
              <w:t>7 897 010</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0886BF72" w14:textId="77777777" w:rsidR="00D97563" w:rsidRPr="00BD54A5" w:rsidRDefault="00D97563" w:rsidP="00D97563">
            <w:pPr>
              <w:jc w:val="right"/>
              <w:rPr>
                <w:rFonts w:cs="Calibri"/>
                <w:color w:val="000000" w:themeColor="text1"/>
                <w:sz w:val="13"/>
                <w:szCs w:val="13"/>
              </w:rPr>
            </w:pPr>
            <w:r w:rsidRPr="00BD54A5">
              <w:rPr>
                <w:rFonts w:cs="Calibri"/>
                <w:color w:val="000000" w:themeColor="text1"/>
                <w:sz w:val="13"/>
                <w:szCs w:val="13"/>
              </w:rPr>
              <w:t>9 199 264</w:t>
            </w:r>
          </w:p>
        </w:tc>
      </w:tr>
      <w:tr w:rsidR="00716B92" w:rsidRPr="00BB7C9E" w14:paraId="2B539E0A" w14:textId="77777777" w:rsidTr="00E332DC">
        <w:trPr>
          <w:trHeight w:val="284"/>
        </w:trPr>
        <w:tc>
          <w:tcPr>
            <w:tcW w:w="6745" w:type="dxa"/>
            <w:tcBorders>
              <w:top w:val="nil"/>
              <w:left w:val="nil"/>
              <w:bottom w:val="single" w:sz="4" w:space="0" w:color="0077BD"/>
              <w:right w:val="single" w:sz="8" w:space="0" w:color="0077BD"/>
            </w:tcBorders>
            <w:shd w:val="clear" w:color="auto" w:fill="auto"/>
            <w:vAlign w:val="center"/>
            <w:hideMark/>
          </w:tcPr>
          <w:p w14:paraId="0C40B55E" w14:textId="77777777" w:rsidR="00716B92" w:rsidRPr="00BD54A5" w:rsidRDefault="00716B92" w:rsidP="00716B92">
            <w:pPr>
              <w:rPr>
                <w:rFonts w:cs="Calibri"/>
                <w:color w:val="000000" w:themeColor="text1"/>
                <w:sz w:val="13"/>
                <w:szCs w:val="13"/>
              </w:rPr>
            </w:pPr>
            <w:r w:rsidRPr="00BD54A5">
              <w:rPr>
                <w:rFonts w:cs="Calibri"/>
                <w:color w:val="000000" w:themeColor="text1"/>
                <w:sz w:val="13"/>
                <w:szCs w:val="13"/>
              </w:rPr>
              <w:t>Należności od banków (Nota 23)</w:t>
            </w:r>
          </w:p>
        </w:tc>
        <w:tc>
          <w:tcPr>
            <w:tcW w:w="1418" w:type="dxa"/>
            <w:tcBorders>
              <w:top w:val="nil"/>
              <w:left w:val="single" w:sz="8" w:space="0" w:color="0077BD"/>
              <w:bottom w:val="single" w:sz="4" w:space="0" w:color="0077BD"/>
              <w:right w:val="nil"/>
            </w:tcBorders>
            <w:shd w:val="clear" w:color="auto" w:fill="auto"/>
            <w:noWrap/>
            <w:vAlign w:val="center"/>
          </w:tcPr>
          <w:p w14:paraId="297A9CC2" w14:textId="3D082720" w:rsidR="00716B92" w:rsidRPr="00BD54A5" w:rsidRDefault="00716B92" w:rsidP="00716B92">
            <w:pPr>
              <w:jc w:val="right"/>
              <w:rPr>
                <w:rFonts w:cs="Calibri"/>
                <w:color w:val="000000" w:themeColor="text1"/>
                <w:sz w:val="13"/>
                <w:szCs w:val="13"/>
              </w:rPr>
            </w:pPr>
            <w:r w:rsidRPr="00BD54A5">
              <w:rPr>
                <w:rFonts w:cs="Calibri"/>
                <w:color w:val="000000" w:themeColor="text1"/>
                <w:sz w:val="13"/>
                <w:szCs w:val="13"/>
              </w:rPr>
              <w:t>382 378</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5FDC8E80" w14:textId="2CFEA0B8" w:rsidR="00716B92" w:rsidRPr="00716B92" w:rsidRDefault="00716B92" w:rsidP="00716B92">
            <w:pPr>
              <w:jc w:val="right"/>
              <w:rPr>
                <w:rFonts w:cs="Calibri"/>
                <w:color w:val="000000" w:themeColor="text1"/>
                <w:sz w:val="13"/>
                <w:szCs w:val="13"/>
              </w:rPr>
            </w:pPr>
            <w:r w:rsidRPr="00716B92">
              <w:rPr>
                <w:rFonts w:cs="Calibri"/>
                <w:sz w:val="13"/>
                <w:szCs w:val="13"/>
              </w:rPr>
              <w:t>683 411</w:t>
            </w:r>
          </w:p>
        </w:tc>
      </w:tr>
      <w:tr w:rsidR="00716B92" w:rsidRPr="00BB7C9E" w14:paraId="282A3740" w14:textId="77777777" w:rsidTr="00977E53">
        <w:trPr>
          <w:trHeight w:val="397"/>
        </w:trPr>
        <w:tc>
          <w:tcPr>
            <w:tcW w:w="6745" w:type="dxa"/>
            <w:tcBorders>
              <w:top w:val="nil"/>
              <w:left w:val="nil"/>
              <w:bottom w:val="nil"/>
              <w:right w:val="single" w:sz="8" w:space="0" w:color="0077BD"/>
            </w:tcBorders>
            <w:shd w:val="clear" w:color="auto" w:fill="auto"/>
            <w:vAlign w:val="center"/>
            <w:hideMark/>
          </w:tcPr>
          <w:p w14:paraId="41E2C1CB" w14:textId="77777777" w:rsidR="00716B92" w:rsidRPr="00BD54A5" w:rsidRDefault="00716B92" w:rsidP="00716B92">
            <w:pPr>
              <w:rPr>
                <w:rFonts w:cs="Calibri"/>
                <w:color w:val="000000" w:themeColor="text1"/>
                <w:sz w:val="13"/>
                <w:szCs w:val="13"/>
              </w:rPr>
            </w:pPr>
            <w:r w:rsidRPr="00BD54A5">
              <w:rPr>
                <w:rFonts w:cs="Calibri"/>
                <w:color w:val="000000" w:themeColor="text1"/>
                <w:sz w:val="13"/>
                <w:szCs w:val="13"/>
              </w:rPr>
              <w:t>Wyemitowane przez sektor instytucji rządowych i samorządowych dłużne papiery wartościowe przeznaczone do obrotu (Nota 20)</w:t>
            </w:r>
          </w:p>
        </w:tc>
        <w:tc>
          <w:tcPr>
            <w:tcW w:w="1418" w:type="dxa"/>
            <w:tcBorders>
              <w:top w:val="nil"/>
              <w:left w:val="single" w:sz="8" w:space="0" w:color="0077BD"/>
              <w:bottom w:val="nil"/>
              <w:right w:val="nil"/>
            </w:tcBorders>
            <w:shd w:val="clear" w:color="auto" w:fill="auto"/>
            <w:noWrap/>
            <w:vAlign w:val="center"/>
          </w:tcPr>
          <w:p w14:paraId="3331729F" w14:textId="7CD1CA04" w:rsidR="00716B92" w:rsidRPr="00BD54A5" w:rsidRDefault="00716B92" w:rsidP="00716B92">
            <w:pPr>
              <w:jc w:val="right"/>
              <w:rPr>
                <w:rFonts w:cs="Calibri"/>
                <w:color w:val="000000" w:themeColor="text1"/>
                <w:sz w:val="13"/>
                <w:szCs w:val="13"/>
              </w:rPr>
            </w:pPr>
            <w:r w:rsidRPr="00BD54A5">
              <w:rPr>
                <w:rFonts w:cs="Calibri"/>
                <w:color w:val="000000" w:themeColor="text1"/>
                <w:sz w:val="13"/>
                <w:szCs w:val="13"/>
              </w:rPr>
              <w:t>1 330 541</w:t>
            </w:r>
          </w:p>
        </w:tc>
        <w:tc>
          <w:tcPr>
            <w:tcW w:w="1418" w:type="dxa"/>
            <w:tcBorders>
              <w:top w:val="nil"/>
              <w:left w:val="single" w:sz="8" w:space="0" w:color="0077BD"/>
              <w:bottom w:val="nil"/>
              <w:right w:val="nil"/>
            </w:tcBorders>
            <w:shd w:val="clear" w:color="auto" w:fill="auto"/>
            <w:noWrap/>
            <w:vAlign w:val="center"/>
            <w:hideMark/>
          </w:tcPr>
          <w:p w14:paraId="0B070A7E" w14:textId="2640A5E6" w:rsidR="00716B92" w:rsidRPr="00716B92" w:rsidRDefault="00716B92" w:rsidP="00716B92">
            <w:pPr>
              <w:jc w:val="right"/>
              <w:rPr>
                <w:rFonts w:cs="Calibri"/>
                <w:color w:val="000000" w:themeColor="text1"/>
                <w:sz w:val="13"/>
                <w:szCs w:val="13"/>
              </w:rPr>
            </w:pPr>
            <w:r w:rsidRPr="00716B92">
              <w:rPr>
                <w:rFonts w:cs="Calibri"/>
                <w:sz w:val="13"/>
                <w:szCs w:val="13"/>
              </w:rPr>
              <w:t>748 294</w:t>
            </w:r>
          </w:p>
        </w:tc>
      </w:tr>
      <w:tr w:rsidR="00716B92" w:rsidRPr="00BB7C9E" w14:paraId="6F0909D1" w14:textId="77777777" w:rsidTr="00977E53">
        <w:trPr>
          <w:trHeight w:val="284"/>
        </w:trPr>
        <w:tc>
          <w:tcPr>
            <w:tcW w:w="6745" w:type="dxa"/>
            <w:tcBorders>
              <w:top w:val="single" w:sz="8" w:space="0" w:color="0077BD"/>
              <w:left w:val="nil"/>
              <w:bottom w:val="single" w:sz="8" w:space="0" w:color="0077BD"/>
              <w:right w:val="single" w:sz="8" w:space="0" w:color="0077BD"/>
            </w:tcBorders>
            <w:shd w:val="clear" w:color="auto" w:fill="auto"/>
            <w:vAlign w:val="center"/>
            <w:hideMark/>
          </w:tcPr>
          <w:p w14:paraId="769663EB" w14:textId="77777777" w:rsidR="00716B92" w:rsidRPr="00BD54A5" w:rsidRDefault="00716B92" w:rsidP="00716B92">
            <w:pPr>
              <w:rPr>
                <w:rFonts w:cs="Calibri"/>
                <w:b/>
                <w:bCs/>
                <w:color w:val="000000" w:themeColor="text1"/>
                <w:sz w:val="13"/>
                <w:szCs w:val="13"/>
              </w:rPr>
            </w:pPr>
            <w:r w:rsidRPr="00BD54A5">
              <w:rPr>
                <w:rFonts w:cs="Calibri"/>
                <w:b/>
                <w:bCs/>
                <w:color w:val="000000" w:themeColor="text1"/>
                <w:sz w:val="13"/>
                <w:szCs w:val="13"/>
              </w:rPr>
              <w:t>Środki pieniężne i ekwiwalenty środków pieniężnych,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02842E21" w14:textId="17400207" w:rsidR="00716B92" w:rsidRPr="00BD54A5" w:rsidRDefault="00716B92" w:rsidP="00716B92">
            <w:pPr>
              <w:jc w:val="right"/>
              <w:rPr>
                <w:rFonts w:cs="Calibri"/>
                <w:b/>
                <w:bCs/>
                <w:color w:val="000000" w:themeColor="text1"/>
                <w:sz w:val="13"/>
                <w:szCs w:val="13"/>
              </w:rPr>
            </w:pPr>
            <w:r w:rsidRPr="00BD54A5">
              <w:rPr>
                <w:rFonts w:cs="Calibri"/>
                <w:b/>
                <w:bCs/>
                <w:color w:val="000000" w:themeColor="text1"/>
                <w:sz w:val="13"/>
                <w:szCs w:val="13"/>
              </w:rPr>
              <w:t>9 609 929</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23EA4FED" w14:textId="5BB772F6" w:rsidR="00716B92" w:rsidRPr="00716B92" w:rsidRDefault="00716B92" w:rsidP="00716B92">
            <w:pPr>
              <w:jc w:val="right"/>
              <w:rPr>
                <w:rFonts w:cs="Calibri"/>
                <w:b/>
                <w:bCs/>
                <w:color w:val="000000" w:themeColor="text1"/>
                <w:sz w:val="13"/>
                <w:szCs w:val="13"/>
              </w:rPr>
            </w:pPr>
            <w:r w:rsidRPr="00716B92">
              <w:rPr>
                <w:rFonts w:cs="Calibri"/>
                <w:b/>
                <w:bCs/>
                <w:sz w:val="13"/>
                <w:szCs w:val="13"/>
              </w:rPr>
              <w:t>10 630 969</w:t>
            </w:r>
          </w:p>
        </w:tc>
      </w:tr>
    </w:tbl>
    <w:p w14:paraId="1791732E" w14:textId="6810D4AB" w:rsidR="00D7210F" w:rsidRPr="00BB7C9E" w:rsidRDefault="00D7210F" w:rsidP="00564284">
      <w:pPr>
        <w:pStyle w:val="Tekstpodstawowy"/>
        <w:spacing w:before="120"/>
        <w:jc w:val="both"/>
        <w:rPr>
          <w:rFonts w:cs="Tahoma"/>
          <w:color w:val="000000" w:themeColor="text1"/>
          <w:sz w:val="18"/>
          <w:szCs w:val="18"/>
        </w:rPr>
      </w:pPr>
    </w:p>
    <w:p w14:paraId="68BB92DD" w14:textId="75B00F9E" w:rsidR="002A066F" w:rsidRDefault="002A066F">
      <w:pPr>
        <w:rPr>
          <w:rFonts w:cs="Tahoma"/>
          <w:color w:val="000000" w:themeColor="text1"/>
          <w:spacing w:val="-4"/>
          <w:sz w:val="18"/>
          <w:szCs w:val="18"/>
        </w:rPr>
      </w:pPr>
      <w:r>
        <w:rPr>
          <w:rFonts w:cs="Tahoma"/>
          <w:color w:val="000000" w:themeColor="text1"/>
          <w:sz w:val="18"/>
          <w:szCs w:val="18"/>
        </w:rPr>
        <w:br w:type="page"/>
      </w:r>
    </w:p>
    <w:p w14:paraId="2F6CF860" w14:textId="77777777" w:rsidR="00564284" w:rsidRPr="00BB7C9E" w:rsidRDefault="00564284" w:rsidP="00564284">
      <w:pPr>
        <w:pStyle w:val="Tekstpodstawowy"/>
        <w:spacing w:before="120"/>
        <w:jc w:val="both"/>
        <w:rPr>
          <w:rFonts w:cs="Tahoma"/>
          <w:b/>
          <w:color w:val="000000" w:themeColor="text1"/>
          <w:sz w:val="18"/>
          <w:szCs w:val="18"/>
        </w:rPr>
      </w:pPr>
      <w:r w:rsidRPr="00BB7C9E">
        <w:rPr>
          <w:rFonts w:cs="Tahoma"/>
          <w:b/>
          <w:color w:val="000000" w:themeColor="text1"/>
          <w:sz w:val="18"/>
          <w:szCs w:val="18"/>
        </w:rPr>
        <w:lastRenderedPageBreak/>
        <w:t>Informacje uzupełniające do sprawozdania z przepływów pieniężnych.</w:t>
      </w:r>
    </w:p>
    <w:p w14:paraId="028142E3" w14:textId="3F289DE7" w:rsidR="00564284" w:rsidRPr="00BB7C9E" w:rsidRDefault="00564284" w:rsidP="00D7210F">
      <w:pPr>
        <w:pStyle w:val="Tekstpodstawowy"/>
        <w:spacing w:before="120" w:after="0"/>
        <w:jc w:val="both"/>
        <w:rPr>
          <w:rFonts w:cs="Tahoma"/>
          <w:i/>
          <w:color w:val="000000" w:themeColor="text1"/>
          <w:sz w:val="18"/>
          <w:szCs w:val="18"/>
          <w:u w:val="single"/>
        </w:rPr>
      </w:pPr>
      <w:r w:rsidRPr="00BB7C9E">
        <w:rPr>
          <w:rFonts w:cs="Tahoma"/>
          <w:i/>
          <w:color w:val="000000" w:themeColor="text1"/>
          <w:sz w:val="18"/>
          <w:szCs w:val="18"/>
          <w:u w:val="single"/>
        </w:rPr>
        <w:t>Wyjaśnienie różnic pomiędzy zmianą stanu wynikającą z sald bilansowych a zmianą stanu wykazaną w</w:t>
      </w:r>
      <w:r w:rsidR="00387726" w:rsidRPr="00BB7C9E">
        <w:rPr>
          <w:rFonts w:cs="Tahoma"/>
          <w:i/>
          <w:color w:val="000000" w:themeColor="text1"/>
          <w:sz w:val="18"/>
          <w:szCs w:val="18"/>
          <w:u w:val="single"/>
        </w:rPr>
        <w:t> </w:t>
      </w:r>
      <w:r w:rsidRPr="00BB7C9E">
        <w:rPr>
          <w:rFonts w:cs="Tahoma"/>
          <w:i/>
          <w:color w:val="000000" w:themeColor="text1"/>
          <w:sz w:val="18"/>
          <w:szCs w:val="18"/>
          <w:u w:val="single"/>
        </w:rPr>
        <w:t>przepływach środków pieniężnych z działalności operacyjnej</w:t>
      </w:r>
    </w:p>
    <w:p w14:paraId="33EFA0EF" w14:textId="44E17EEA" w:rsidR="007D3FBF" w:rsidRPr="00BB7C9E" w:rsidRDefault="007D3FBF" w:rsidP="00D7210F">
      <w:pPr>
        <w:suppressAutoHyphens/>
        <w:jc w:val="both"/>
        <w:rPr>
          <w:color w:val="000000" w:themeColor="text1"/>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E953FF" w:rsidRPr="00D7210F" w14:paraId="6F5C33ED" w14:textId="77777777" w:rsidTr="003339B2">
        <w:trPr>
          <w:trHeight w:val="284"/>
        </w:trPr>
        <w:tc>
          <w:tcPr>
            <w:tcW w:w="6747" w:type="dxa"/>
            <w:vMerge w:val="restart"/>
            <w:tcBorders>
              <w:top w:val="nil"/>
              <w:left w:val="nil"/>
              <w:right w:val="single" w:sz="8" w:space="0" w:color="FFFFFF"/>
            </w:tcBorders>
            <w:shd w:val="clear" w:color="000000" w:fill="0077BD"/>
            <w:noWrap/>
            <w:vAlign w:val="center"/>
          </w:tcPr>
          <w:p w14:paraId="649AD1C7" w14:textId="36A107AF" w:rsidR="00E953FF" w:rsidRPr="00D7210F" w:rsidRDefault="00E953FF" w:rsidP="00D7210F">
            <w:pPr>
              <w:rPr>
                <w:rFonts w:cs="Calibri"/>
                <w:b/>
                <w:bCs/>
                <w:color w:val="FFFFFF"/>
                <w:sz w:val="13"/>
                <w:szCs w:val="13"/>
              </w:rPr>
            </w:pPr>
            <w:r w:rsidRPr="00D7210F">
              <w:rPr>
                <w:rFonts w:cs="Calibri"/>
                <w:b/>
                <w:bCs/>
                <w:color w:val="FFFFFF"/>
                <w:sz w:val="13"/>
                <w:szCs w:val="13"/>
              </w:rPr>
              <w:t> </w:t>
            </w:r>
          </w:p>
        </w:tc>
        <w:tc>
          <w:tcPr>
            <w:tcW w:w="2836" w:type="dxa"/>
            <w:gridSpan w:val="2"/>
            <w:tcBorders>
              <w:top w:val="nil"/>
              <w:left w:val="nil"/>
              <w:bottom w:val="single" w:sz="6" w:space="0" w:color="FFFFFF"/>
              <w:right w:val="nil"/>
            </w:tcBorders>
            <w:shd w:val="clear" w:color="000000" w:fill="0077BD"/>
            <w:vAlign w:val="center"/>
          </w:tcPr>
          <w:p w14:paraId="0C568C97" w14:textId="7356D400" w:rsidR="00E953FF" w:rsidRPr="00D7210F" w:rsidRDefault="00E953FF" w:rsidP="00D7210F">
            <w:pPr>
              <w:jc w:val="right"/>
              <w:rPr>
                <w:rFonts w:cs="Calibri"/>
                <w:b/>
                <w:bCs/>
                <w:color w:val="FFFFFF"/>
                <w:sz w:val="13"/>
                <w:szCs w:val="13"/>
              </w:rPr>
            </w:pPr>
            <w:r>
              <w:rPr>
                <w:rFonts w:cs="Calibri"/>
                <w:b/>
                <w:bCs/>
                <w:color w:val="FFFFFF"/>
                <w:sz w:val="13"/>
                <w:szCs w:val="13"/>
              </w:rPr>
              <w:t>Rok kończący się 31 grudnia</w:t>
            </w:r>
          </w:p>
        </w:tc>
      </w:tr>
      <w:tr w:rsidR="00E953FF" w:rsidRPr="00D7210F" w14:paraId="6C8F9A04" w14:textId="77777777" w:rsidTr="003339B2">
        <w:trPr>
          <w:trHeight w:val="284"/>
        </w:trPr>
        <w:tc>
          <w:tcPr>
            <w:tcW w:w="6747" w:type="dxa"/>
            <w:vMerge/>
            <w:tcBorders>
              <w:left w:val="nil"/>
              <w:bottom w:val="nil"/>
              <w:right w:val="single" w:sz="8" w:space="0" w:color="FFFFFF"/>
            </w:tcBorders>
            <w:shd w:val="clear" w:color="000000" w:fill="0077BD"/>
            <w:noWrap/>
            <w:vAlign w:val="center"/>
            <w:hideMark/>
          </w:tcPr>
          <w:p w14:paraId="1DCF4CFE" w14:textId="423CEEC6" w:rsidR="00E953FF" w:rsidRPr="00D7210F" w:rsidRDefault="00E953FF" w:rsidP="00D7210F">
            <w:pPr>
              <w:rPr>
                <w:rFonts w:cs="Calibri"/>
                <w:b/>
                <w:bCs/>
                <w:color w:val="FFFFFF"/>
                <w:sz w:val="13"/>
                <w:szCs w:val="13"/>
              </w:rPr>
            </w:pPr>
          </w:p>
        </w:tc>
        <w:tc>
          <w:tcPr>
            <w:tcW w:w="1418" w:type="dxa"/>
            <w:tcBorders>
              <w:top w:val="single" w:sz="6" w:space="0" w:color="FFFFFF"/>
              <w:left w:val="nil"/>
              <w:bottom w:val="single" w:sz="8" w:space="0" w:color="FFFFFF"/>
              <w:right w:val="nil"/>
            </w:tcBorders>
            <w:shd w:val="clear" w:color="000000" w:fill="0077BD"/>
            <w:vAlign w:val="center"/>
            <w:hideMark/>
          </w:tcPr>
          <w:p w14:paraId="34C96705" w14:textId="68A66295" w:rsidR="00E953FF" w:rsidRPr="00D7210F" w:rsidRDefault="00E953FF" w:rsidP="00D7210F">
            <w:pPr>
              <w:jc w:val="right"/>
              <w:rPr>
                <w:rFonts w:cs="Calibri"/>
                <w:b/>
                <w:bCs/>
                <w:color w:val="FFFFFF"/>
                <w:sz w:val="13"/>
                <w:szCs w:val="13"/>
              </w:rPr>
            </w:pPr>
            <w:r w:rsidRPr="00D7210F">
              <w:rPr>
                <w:rFonts w:cs="Calibri"/>
                <w:b/>
                <w:bCs/>
                <w:color w:val="FFFFFF"/>
                <w:sz w:val="13"/>
                <w:szCs w:val="13"/>
              </w:rPr>
              <w:t>2019</w:t>
            </w:r>
          </w:p>
        </w:tc>
        <w:tc>
          <w:tcPr>
            <w:tcW w:w="1418" w:type="dxa"/>
            <w:tcBorders>
              <w:top w:val="single" w:sz="6" w:space="0" w:color="FFFFFF"/>
              <w:left w:val="single" w:sz="8" w:space="0" w:color="FFFFFF"/>
              <w:bottom w:val="single" w:sz="8" w:space="0" w:color="FFFFFF"/>
              <w:right w:val="nil"/>
            </w:tcBorders>
            <w:shd w:val="clear" w:color="000000" w:fill="0077BD"/>
            <w:vAlign w:val="center"/>
            <w:hideMark/>
          </w:tcPr>
          <w:p w14:paraId="2D81EDE1" w14:textId="09505ABC" w:rsidR="00E953FF" w:rsidRPr="00D7210F" w:rsidRDefault="00E953FF" w:rsidP="00D7210F">
            <w:pPr>
              <w:jc w:val="right"/>
              <w:rPr>
                <w:rFonts w:cs="Calibri"/>
                <w:b/>
                <w:bCs/>
                <w:color w:val="FFFFFF"/>
                <w:sz w:val="13"/>
                <w:szCs w:val="13"/>
              </w:rPr>
            </w:pPr>
            <w:r w:rsidRPr="00D7210F">
              <w:rPr>
                <w:rFonts w:cs="Calibri"/>
                <w:b/>
                <w:bCs/>
                <w:color w:val="FFFFFF"/>
                <w:sz w:val="13"/>
                <w:szCs w:val="13"/>
              </w:rPr>
              <w:t>2018</w:t>
            </w:r>
          </w:p>
        </w:tc>
      </w:tr>
      <w:tr w:rsidR="00835798" w:rsidRPr="00BB7C9E" w14:paraId="412C9ADE" w14:textId="77777777" w:rsidTr="00860FA1">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5C147E04"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Należności od banków - zmiana stanu wynikająca z sald bilansowych</w:t>
            </w:r>
          </w:p>
        </w:tc>
        <w:tc>
          <w:tcPr>
            <w:tcW w:w="1418" w:type="dxa"/>
            <w:tcBorders>
              <w:top w:val="nil"/>
              <w:left w:val="single" w:sz="8" w:space="0" w:color="0077BD"/>
              <w:bottom w:val="single" w:sz="8" w:space="0" w:color="0077BD"/>
              <w:right w:val="nil"/>
            </w:tcBorders>
            <w:shd w:val="clear" w:color="000000" w:fill="FFFFFF"/>
            <w:noWrap/>
            <w:vAlign w:val="center"/>
          </w:tcPr>
          <w:p w14:paraId="19335551" w14:textId="7B6AB676"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(1 795 412)</w:t>
            </w:r>
          </w:p>
        </w:tc>
        <w:tc>
          <w:tcPr>
            <w:tcW w:w="1418" w:type="dxa"/>
            <w:tcBorders>
              <w:top w:val="nil"/>
              <w:left w:val="single" w:sz="8" w:space="0" w:color="0077BD"/>
              <w:bottom w:val="single" w:sz="8" w:space="0" w:color="0077BD"/>
              <w:right w:val="nil"/>
            </w:tcBorders>
            <w:shd w:val="clear" w:color="000000" w:fill="FFFFFF"/>
            <w:noWrap/>
            <w:vAlign w:val="center"/>
            <w:hideMark/>
          </w:tcPr>
          <w:p w14:paraId="615CD38C"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(839 123)</w:t>
            </w:r>
          </w:p>
        </w:tc>
      </w:tr>
      <w:tr w:rsidR="00835798" w:rsidRPr="00BB7C9E" w14:paraId="18A84A57" w14:textId="77777777" w:rsidTr="00860FA1">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673E1DE6"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nil"/>
              <w:left w:val="single" w:sz="8" w:space="0" w:color="0077BD"/>
              <w:bottom w:val="single" w:sz="4" w:space="0" w:color="0077BD"/>
              <w:right w:val="nil"/>
            </w:tcBorders>
            <w:shd w:val="clear" w:color="000000" w:fill="FFFFFF"/>
            <w:noWrap/>
            <w:vAlign w:val="center"/>
          </w:tcPr>
          <w:p w14:paraId="550DE5EF" w14:textId="47E6C9C6"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(25 996)</w:t>
            </w:r>
          </w:p>
        </w:tc>
        <w:tc>
          <w:tcPr>
            <w:tcW w:w="1418" w:type="dxa"/>
            <w:tcBorders>
              <w:top w:val="nil"/>
              <w:left w:val="single" w:sz="8" w:space="0" w:color="0077BD"/>
              <w:bottom w:val="single" w:sz="4" w:space="0" w:color="0077BD"/>
              <w:right w:val="nil"/>
            </w:tcBorders>
            <w:shd w:val="clear" w:color="000000" w:fill="FFFFFF"/>
            <w:noWrap/>
            <w:vAlign w:val="center"/>
            <w:hideMark/>
          </w:tcPr>
          <w:p w14:paraId="113AD273"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(14 527)</w:t>
            </w:r>
          </w:p>
        </w:tc>
      </w:tr>
      <w:tr w:rsidR="00835798" w:rsidRPr="00BB7C9E" w14:paraId="389403E5" w14:textId="77777777" w:rsidTr="00860FA1">
        <w:trPr>
          <w:trHeight w:val="227"/>
        </w:trPr>
        <w:tc>
          <w:tcPr>
            <w:tcW w:w="6747" w:type="dxa"/>
            <w:tcBorders>
              <w:top w:val="nil"/>
              <w:left w:val="nil"/>
              <w:bottom w:val="nil"/>
              <w:right w:val="single" w:sz="8" w:space="0" w:color="0077BD"/>
            </w:tcBorders>
            <w:shd w:val="clear" w:color="000000" w:fill="FFFFFF"/>
            <w:vAlign w:val="center"/>
            <w:hideMark/>
          </w:tcPr>
          <w:p w14:paraId="0B38A6CD"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Wyłączenie zmiany stanu środków pieniężnych i ich ekwiwalentów</w:t>
            </w:r>
          </w:p>
        </w:tc>
        <w:tc>
          <w:tcPr>
            <w:tcW w:w="1418" w:type="dxa"/>
            <w:tcBorders>
              <w:top w:val="nil"/>
              <w:left w:val="single" w:sz="8" w:space="0" w:color="0077BD"/>
              <w:bottom w:val="nil"/>
              <w:right w:val="nil"/>
            </w:tcBorders>
            <w:shd w:val="clear" w:color="000000" w:fill="FFFFFF"/>
            <w:noWrap/>
            <w:vAlign w:val="center"/>
          </w:tcPr>
          <w:p w14:paraId="1763CCFC" w14:textId="7BD782F9"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(301 033)</w:t>
            </w:r>
          </w:p>
        </w:tc>
        <w:tc>
          <w:tcPr>
            <w:tcW w:w="1418" w:type="dxa"/>
            <w:tcBorders>
              <w:top w:val="nil"/>
              <w:left w:val="single" w:sz="8" w:space="0" w:color="0077BD"/>
              <w:bottom w:val="nil"/>
              <w:right w:val="nil"/>
            </w:tcBorders>
            <w:shd w:val="clear" w:color="000000" w:fill="FFFFFF"/>
            <w:noWrap/>
            <w:vAlign w:val="center"/>
            <w:hideMark/>
          </w:tcPr>
          <w:p w14:paraId="6ABB9019"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(523 465)</w:t>
            </w:r>
          </w:p>
        </w:tc>
      </w:tr>
      <w:tr w:rsidR="00835798" w:rsidRPr="00BB7C9E" w14:paraId="597B4835" w14:textId="77777777" w:rsidTr="00860FA1">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216648DA"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należności od banków, razem</w:t>
            </w:r>
          </w:p>
        </w:tc>
        <w:tc>
          <w:tcPr>
            <w:tcW w:w="1418" w:type="dxa"/>
            <w:tcBorders>
              <w:top w:val="single" w:sz="8" w:space="0" w:color="0077BD"/>
              <w:left w:val="single" w:sz="8" w:space="0" w:color="0077BD"/>
              <w:bottom w:val="single" w:sz="8" w:space="0" w:color="0077BD"/>
              <w:right w:val="nil"/>
            </w:tcBorders>
            <w:shd w:val="clear" w:color="000000" w:fill="FFFFFF"/>
            <w:noWrap/>
            <w:vAlign w:val="center"/>
          </w:tcPr>
          <w:p w14:paraId="6C0592CF" w14:textId="15C886B1"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(2 122 441)</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2CDDF135"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(1 377 115)</w:t>
            </w:r>
          </w:p>
        </w:tc>
      </w:tr>
      <w:tr w:rsidR="005A0499" w:rsidRPr="005A0499" w14:paraId="20468811" w14:textId="77777777" w:rsidTr="005A0499">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698DFDCE" w14:textId="77777777" w:rsidR="005A0499" w:rsidRPr="00C74EF9" w:rsidRDefault="005A0499" w:rsidP="005A0499">
            <w:pPr>
              <w:rPr>
                <w:rFonts w:cs="Calibri"/>
                <w:b/>
                <w:bCs/>
                <w:color w:val="000000" w:themeColor="text1"/>
                <w:sz w:val="13"/>
                <w:szCs w:val="13"/>
              </w:rPr>
            </w:pPr>
            <w:r w:rsidRPr="00C74EF9">
              <w:rPr>
                <w:rFonts w:cs="Calibri"/>
                <w:b/>
                <w:bCs/>
                <w:color w:val="000000" w:themeColor="text1"/>
                <w:sz w:val="13"/>
                <w:szCs w:val="13"/>
              </w:rPr>
              <w:t>Aktywa i zobowiązania finansowe przeznaczone do obrotu oraz pochodne instrumenty zabezpieczające - zmiana stanu wynikająca z sald bilansowych</w:t>
            </w:r>
          </w:p>
        </w:tc>
        <w:tc>
          <w:tcPr>
            <w:tcW w:w="1418" w:type="dxa"/>
            <w:tcBorders>
              <w:top w:val="nil"/>
              <w:left w:val="single" w:sz="8" w:space="0" w:color="0077BD"/>
              <w:bottom w:val="single" w:sz="8" w:space="0" w:color="0077BD"/>
              <w:right w:val="nil"/>
            </w:tcBorders>
            <w:shd w:val="clear" w:color="000000" w:fill="FFFFFF"/>
            <w:noWrap/>
            <w:vAlign w:val="center"/>
          </w:tcPr>
          <w:p w14:paraId="074EBEE7" w14:textId="48E3EE12" w:rsidR="005A0499"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(763 646)</w:t>
            </w:r>
          </w:p>
        </w:tc>
        <w:tc>
          <w:tcPr>
            <w:tcW w:w="1418" w:type="dxa"/>
            <w:tcBorders>
              <w:top w:val="nil"/>
              <w:left w:val="single" w:sz="8" w:space="0" w:color="0077BD"/>
              <w:bottom w:val="single" w:sz="8" w:space="0" w:color="0077BD"/>
              <w:right w:val="nil"/>
            </w:tcBorders>
            <w:shd w:val="clear" w:color="000000" w:fill="FFFFFF"/>
            <w:noWrap/>
            <w:vAlign w:val="center"/>
            <w:hideMark/>
          </w:tcPr>
          <w:p w14:paraId="72FE4914" w14:textId="7629B264" w:rsidR="005A0499" w:rsidRPr="00C74EF9" w:rsidRDefault="005A0499" w:rsidP="005A0499">
            <w:pPr>
              <w:jc w:val="right"/>
              <w:rPr>
                <w:rFonts w:cs="Calibri"/>
                <w:b/>
                <w:bCs/>
                <w:color w:val="000000" w:themeColor="text1"/>
                <w:sz w:val="13"/>
                <w:szCs w:val="13"/>
              </w:rPr>
            </w:pPr>
            <w:r w:rsidRPr="00C74EF9">
              <w:rPr>
                <w:b/>
                <w:color w:val="000000" w:themeColor="text1"/>
                <w:sz w:val="13"/>
                <w:szCs w:val="13"/>
              </w:rPr>
              <w:t>250 360</w:t>
            </w:r>
          </w:p>
        </w:tc>
      </w:tr>
      <w:tr w:rsidR="005A0499" w:rsidRPr="00BB7C9E" w14:paraId="25A76E95" w14:textId="77777777" w:rsidTr="005A0499">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4CDEBB22" w14:textId="77777777" w:rsidR="005A0499" w:rsidRPr="00C74EF9" w:rsidRDefault="005A0499" w:rsidP="005A0499">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nil"/>
              <w:left w:val="single" w:sz="8" w:space="0" w:color="0077BD"/>
              <w:bottom w:val="single" w:sz="4" w:space="0" w:color="0077BD"/>
              <w:right w:val="nil"/>
            </w:tcBorders>
            <w:shd w:val="clear" w:color="000000" w:fill="FFFFFF"/>
            <w:noWrap/>
            <w:vAlign w:val="center"/>
          </w:tcPr>
          <w:p w14:paraId="17BDE1B8" w14:textId="6B310419" w:rsidR="005A0499" w:rsidRPr="00C74EF9" w:rsidRDefault="005A0499" w:rsidP="005A0499">
            <w:pPr>
              <w:jc w:val="right"/>
              <w:rPr>
                <w:rFonts w:cs="Calibri"/>
                <w:color w:val="000000" w:themeColor="text1"/>
                <w:sz w:val="13"/>
                <w:szCs w:val="13"/>
              </w:rPr>
            </w:pPr>
            <w:r w:rsidRPr="00C74EF9">
              <w:rPr>
                <w:rFonts w:cs="Calibri"/>
                <w:color w:val="000000" w:themeColor="text1"/>
                <w:sz w:val="13"/>
                <w:szCs w:val="13"/>
              </w:rPr>
              <w:t>93 922</w:t>
            </w:r>
          </w:p>
        </w:tc>
        <w:tc>
          <w:tcPr>
            <w:tcW w:w="1418" w:type="dxa"/>
            <w:tcBorders>
              <w:top w:val="nil"/>
              <w:left w:val="single" w:sz="8" w:space="0" w:color="0077BD"/>
              <w:bottom w:val="single" w:sz="4" w:space="0" w:color="0077BD"/>
              <w:right w:val="nil"/>
            </w:tcBorders>
            <w:shd w:val="clear" w:color="000000" w:fill="FFFFFF"/>
            <w:noWrap/>
            <w:vAlign w:val="center"/>
            <w:hideMark/>
          </w:tcPr>
          <w:p w14:paraId="6A890591" w14:textId="7805CAB8" w:rsidR="005A0499" w:rsidRPr="00C74EF9" w:rsidRDefault="005A0499" w:rsidP="005A0499">
            <w:pPr>
              <w:jc w:val="right"/>
              <w:rPr>
                <w:rFonts w:cs="Calibri"/>
                <w:color w:val="000000" w:themeColor="text1"/>
                <w:sz w:val="13"/>
                <w:szCs w:val="13"/>
              </w:rPr>
            </w:pPr>
            <w:r w:rsidRPr="00C74EF9">
              <w:rPr>
                <w:color w:val="000000" w:themeColor="text1"/>
                <w:sz w:val="13"/>
                <w:szCs w:val="13"/>
              </w:rPr>
              <w:t>116 868</w:t>
            </w:r>
          </w:p>
        </w:tc>
      </w:tr>
      <w:tr w:rsidR="005A0499" w:rsidRPr="00BB7C9E" w14:paraId="2C5C1730" w14:textId="77777777" w:rsidTr="005A0499">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234A1AFB" w14:textId="77777777" w:rsidR="005A0499" w:rsidRPr="00C74EF9" w:rsidRDefault="005A0499" w:rsidP="005A0499">
            <w:pPr>
              <w:rPr>
                <w:rFonts w:cs="Calibri"/>
                <w:color w:val="000000" w:themeColor="text1"/>
                <w:sz w:val="13"/>
                <w:szCs w:val="13"/>
              </w:rPr>
            </w:pPr>
            <w:r w:rsidRPr="00C74EF9">
              <w:rPr>
                <w:rFonts w:cs="Calibri"/>
                <w:color w:val="000000" w:themeColor="text1"/>
                <w:sz w:val="13"/>
                <w:szCs w:val="13"/>
              </w:rPr>
              <w:t>Wycena ujęta w pozostałych dochodach całkowitych</w:t>
            </w:r>
          </w:p>
        </w:tc>
        <w:tc>
          <w:tcPr>
            <w:tcW w:w="1418" w:type="dxa"/>
            <w:tcBorders>
              <w:top w:val="nil"/>
              <w:left w:val="single" w:sz="8" w:space="0" w:color="0077BD"/>
              <w:bottom w:val="single" w:sz="4" w:space="0" w:color="0077BD"/>
              <w:right w:val="nil"/>
            </w:tcBorders>
            <w:shd w:val="clear" w:color="000000" w:fill="FFFFFF"/>
            <w:noWrap/>
            <w:vAlign w:val="center"/>
          </w:tcPr>
          <w:p w14:paraId="6CF9C248" w14:textId="527731EF" w:rsidR="005A0499" w:rsidRPr="00C74EF9" w:rsidRDefault="005A0499" w:rsidP="005A0499">
            <w:pPr>
              <w:jc w:val="right"/>
              <w:rPr>
                <w:rFonts w:cs="Calibri"/>
                <w:color w:val="000000" w:themeColor="text1"/>
                <w:sz w:val="13"/>
                <w:szCs w:val="13"/>
              </w:rPr>
            </w:pPr>
            <w:r w:rsidRPr="00C74EF9">
              <w:rPr>
                <w:rFonts w:cs="Calibri"/>
                <w:color w:val="000000" w:themeColor="text1"/>
                <w:sz w:val="13"/>
                <w:szCs w:val="13"/>
              </w:rPr>
              <w:t>43 825</w:t>
            </w:r>
          </w:p>
        </w:tc>
        <w:tc>
          <w:tcPr>
            <w:tcW w:w="1418" w:type="dxa"/>
            <w:tcBorders>
              <w:top w:val="nil"/>
              <w:left w:val="single" w:sz="8" w:space="0" w:color="0077BD"/>
              <w:bottom w:val="single" w:sz="4" w:space="0" w:color="0077BD"/>
              <w:right w:val="nil"/>
            </w:tcBorders>
            <w:shd w:val="clear" w:color="000000" w:fill="FFFFFF"/>
            <w:noWrap/>
            <w:vAlign w:val="center"/>
            <w:hideMark/>
          </w:tcPr>
          <w:p w14:paraId="449F3FB7" w14:textId="37FAF725" w:rsidR="005A0499" w:rsidRPr="00C74EF9" w:rsidRDefault="005A0499" w:rsidP="005A0499">
            <w:pPr>
              <w:jc w:val="right"/>
              <w:rPr>
                <w:rFonts w:cs="Calibri"/>
                <w:color w:val="000000" w:themeColor="text1"/>
                <w:sz w:val="13"/>
                <w:szCs w:val="13"/>
              </w:rPr>
            </w:pPr>
            <w:r w:rsidRPr="00C74EF9">
              <w:rPr>
                <w:color w:val="000000" w:themeColor="text1"/>
                <w:sz w:val="13"/>
                <w:szCs w:val="13"/>
              </w:rPr>
              <w:t>109 681</w:t>
            </w:r>
          </w:p>
        </w:tc>
      </w:tr>
      <w:tr w:rsidR="005A0499" w:rsidRPr="00BB7C9E" w14:paraId="2B667159" w14:textId="77777777" w:rsidTr="005A0499">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63F25FC2" w14:textId="77777777" w:rsidR="005A0499" w:rsidRPr="00C74EF9" w:rsidRDefault="005A0499" w:rsidP="005A0499">
            <w:pPr>
              <w:rPr>
                <w:rFonts w:cs="Calibri"/>
                <w:color w:val="000000" w:themeColor="text1"/>
                <w:sz w:val="13"/>
                <w:szCs w:val="13"/>
              </w:rPr>
            </w:pPr>
            <w:r w:rsidRPr="00C74EF9">
              <w:rPr>
                <w:rFonts w:cs="Calibri"/>
                <w:color w:val="000000" w:themeColor="text1"/>
                <w:sz w:val="13"/>
                <w:szCs w:val="13"/>
              </w:rPr>
              <w:t>Wyłączenie zmiany stanu środków pieniężnych i ich ekwiwalentów</w:t>
            </w:r>
          </w:p>
        </w:tc>
        <w:tc>
          <w:tcPr>
            <w:tcW w:w="1418" w:type="dxa"/>
            <w:tcBorders>
              <w:top w:val="nil"/>
              <w:left w:val="single" w:sz="8" w:space="0" w:color="0077BD"/>
              <w:bottom w:val="single" w:sz="4" w:space="0" w:color="0077BD"/>
              <w:right w:val="nil"/>
            </w:tcBorders>
            <w:shd w:val="clear" w:color="000000" w:fill="FFFFFF"/>
            <w:noWrap/>
            <w:vAlign w:val="center"/>
          </w:tcPr>
          <w:p w14:paraId="64506EB7" w14:textId="41C38B98" w:rsidR="005A0499" w:rsidRPr="00C74EF9" w:rsidRDefault="005A0499" w:rsidP="005A0499">
            <w:pPr>
              <w:jc w:val="right"/>
              <w:rPr>
                <w:rFonts w:cs="Calibri"/>
                <w:color w:val="000000" w:themeColor="text1"/>
                <w:sz w:val="13"/>
                <w:szCs w:val="13"/>
              </w:rPr>
            </w:pPr>
            <w:r w:rsidRPr="00C74EF9">
              <w:rPr>
                <w:rFonts w:cs="Calibri"/>
                <w:color w:val="000000" w:themeColor="text1"/>
                <w:sz w:val="13"/>
                <w:szCs w:val="13"/>
              </w:rPr>
              <w:t>582 247</w:t>
            </w:r>
          </w:p>
        </w:tc>
        <w:tc>
          <w:tcPr>
            <w:tcW w:w="1418" w:type="dxa"/>
            <w:tcBorders>
              <w:top w:val="nil"/>
              <w:left w:val="single" w:sz="8" w:space="0" w:color="0077BD"/>
              <w:bottom w:val="single" w:sz="4" w:space="0" w:color="0077BD"/>
              <w:right w:val="nil"/>
            </w:tcBorders>
            <w:shd w:val="clear" w:color="000000" w:fill="FFFFFF"/>
            <w:noWrap/>
            <w:vAlign w:val="center"/>
            <w:hideMark/>
          </w:tcPr>
          <w:p w14:paraId="7CB44921" w14:textId="2DEC8134" w:rsidR="005A0499" w:rsidRPr="00C74EF9" w:rsidRDefault="005A0499" w:rsidP="005A0499">
            <w:pPr>
              <w:jc w:val="right"/>
              <w:rPr>
                <w:rFonts w:cs="Calibri"/>
                <w:color w:val="000000" w:themeColor="text1"/>
                <w:sz w:val="13"/>
                <w:szCs w:val="13"/>
              </w:rPr>
            </w:pPr>
            <w:r w:rsidRPr="00C74EF9">
              <w:rPr>
                <w:color w:val="000000" w:themeColor="text1"/>
                <w:sz w:val="13"/>
                <w:szCs w:val="13"/>
              </w:rPr>
              <w:t>(484 221)</w:t>
            </w:r>
          </w:p>
        </w:tc>
      </w:tr>
      <w:tr w:rsidR="005A0499" w:rsidRPr="00BB7C9E" w14:paraId="5DDB061F" w14:textId="77777777" w:rsidTr="005A0499">
        <w:trPr>
          <w:trHeight w:val="340"/>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14172EA3" w14:textId="77777777" w:rsidR="005A0499" w:rsidRPr="00C74EF9" w:rsidRDefault="005A0499" w:rsidP="005A0499">
            <w:pPr>
              <w:rPr>
                <w:rFonts w:cs="Calibri"/>
                <w:b/>
                <w:bCs/>
                <w:color w:val="000000" w:themeColor="text1"/>
                <w:sz w:val="13"/>
                <w:szCs w:val="13"/>
              </w:rPr>
            </w:pPr>
            <w:r w:rsidRPr="00C74EF9">
              <w:rPr>
                <w:rFonts w:cs="Calibri"/>
                <w:b/>
                <w:bCs/>
                <w:color w:val="000000" w:themeColor="text1"/>
                <w:sz w:val="13"/>
                <w:szCs w:val="13"/>
              </w:rPr>
              <w:t>Aktywa i zobowiązania finansowe przeznaczone do obrotu oraz pochodne instrumenty zabezpieczające, razem</w:t>
            </w:r>
          </w:p>
        </w:tc>
        <w:tc>
          <w:tcPr>
            <w:tcW w:w="1418" w:type="dxa"/>
            <w:tcBorders>
              <w:top w:val="single" w:sz="8" w:space="0" w:color="0077BD"/>
              <w:left w:val="single" w:sz="8" w:space="0" w:color="0077BD"/>
              <w:bottom w:val="single" w:sz="8" w:space="0" w:color="0077BD"/>
              <w:right w:val="nil"/>
            </w:tcBorders>
            <w:shd w:val="clear" w:color="000000" w:fill="FFFFFF"/>
            <w:noWrap/>
            <w:vAlign w:val="center"/>
          </w:tcPr>
          <w:p w14:paraId="5864EBBF" w14:textId="05CF2408" w:rsidR="005A0499"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(43 652)</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32B4D1A2" w14:textId="5184E602" w:rsidR="005A0499" w:rsidRPr="00C74EF9" w:rsidRDefault="005A0499" w:rsidP="005A0499">
            <w:pPr>
              <w:jc w:val="right"/>
              <w:rPr>
                <w:rFonts w:cs="Calibri"/>
                <w:b/>
                <w:bCs/>
                <w:color w:val="000000" w:themeColor="text1"/>
                <w:sz w:val="13"/>
                <w:szCs w:val="13"/>
              </w:rPr>
            </w:pPr>
            <w:r w:rsidRPr="00C74EF9">
              <w:rPr>
                <w:b/>
                <w:color w:val="000000" w:themeColor="text1"/>
                <w:sz w:val="13"/>
                <w:szCs w:val="13"/>
              </w:rPr>
              <w:t>(7 312)</w:t>
            </w:r>
          </w:p>
        </w:tc>
      </w:tr>
      <w:tr w:rsidR="00835798" w:rsidRPr="00BB7C9E" w14:paraId="6BD7BAEE" w14:textId="77777777" w:rsidTr="00860FA1">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3686BE09"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Kredyty i pożyczki udzielone klientom - zmiana stanu wynikająca z sald bilansowych</w:t>
            </w:r>
          </w:p>
        </w:tc>
        <w:tc>
          <w:tcPr>
            <w:tcW w:w="1418" w:type="dxa"/>
            <w:tcBorders>
              <w:top w:val="nil"/>
              <w:left w:val="single" w:sz="8" w:space="0" w:color="0077BD"/>
              <w:bottom w:val="single" w:sz="8" w:space="0" w:color="0077BD"/>
              <w:right w:val="nil"/>
            </w:tcBorders>
            <w:shd w:val="clear" w:color="000000" w:fill="FFFFFF"/>
            <w:noWrap/>
            <w:vAlign w:val="center"/>
          </w:tcPr>
          <w:p w14:paraId="6A3532E3" w14:textId="76A60A44"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(10 452 199)</w:t>
            </w:r>
          </w:p>
        </w:tc>
        <w:tc>
          <w:tcPr>
            <w:tcW w:w="1418" w:type="dxa"/>
            <w:tcBorders>
              <w:top w:val="nil"/>
              <w:left w:val="single" w:sz="8" w:space="0" w:color="0077BD"/>
              <w:bottom w:val="single" w:sz="8" w:space="0" w:color="0077BD"/>
              <w:right w:val="nil"/>
            </w:tcBorders>
            <w:shd w:val="clear" w:color="000000" w:fill="FFFFFF"/>
            <w:noWrap/>
            <w:vAlign w:val="center"/>
            <w:hideMark/>
          </w:tcPr>
          <w:p w14:paraId="15EE2395" w14:textId="435369B4" w:rsidR="00835798"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(10 131</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435</w:t>
            </w:r>
            <w:r w:rsidR="00835798" w:rsidRPr="00C74EF9">
              <w:rPr>
                <w:rFonts w:cs="Calibri"/>
                <w:b/>
                <w:bCs/>
                <w:color w:val="000000" w:themeColor="text1"/>
                <w:sz w:val="13"/>
                <w:szCs w:val="13"/>
              </w:rPr>
              <w:t>)</w:t>
            </w:r>
          </w:p>
        </w:tc>
      </w:tr>
      <w:tr w:rsidR="00835798" w:rsidRPr="00BB7C9E" w14:paraId="4B84790D" w14:textId="77777777" w:rsidTr="00860FA1">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4E2B3851"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single" w:sz="4" w:space="0" w:color="0077BD"/>
              <w:left w:val="single" w:sz="8" w:space="0" w:color="0077BD"/>
              <w:bottom w:val="single" w:sz="4" w:space="0" w:color="0077BD"/>
              <w:right w:val="nil"/>
            </w:tcBorders>
            <w:shd w:val="clear" w:color="000000" w:fill="FFFFFF"/>
            <w:noWrap/>
            <w:vAlign w:val="center"/>
          </w:tcPr>
          <w:p w14:paraId="6B1C5F01" w14:textId="5AE4B7DB"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(83 149)</w:t>
            </w:r>
          </w:p>
        </w:tc>
        <w:tc>
          <w:tcPr>
            <w:tcW w:w="1418" w:type="dxa"/>
            <w:tcBorders>
              <w:top w:val="single" w:sz="4" w:space="0" w:color="0077BD"/>
              <w:left w:val="single" w:sz="8" w:space="0" w:color="0077BD"/>
              <w:bottom w:val="single" w:sz="4" w:space="0" w:color="0077BD"/>
              <w:right w:val="nil"/>
            </w:tcBorders>
            <w:shd w:val="clear" w:color="000000" w:fill="FFFFFF"/>
            <w:noWrap/>
            <w:vAlign w:val="center"/>
            <w:hideMark/>
          </w:tcPr>
          <w:p w14:paraId="3A759290"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(149 270)</w:t>
            </w:r>
          </w:p>
        </w:tc>
      </w:tr>
      <w:tr w:rsidR="00835798" w:rsidRPr="00BB7C9E" w14:paraId="23BC2FF8" w14:textId="77777777" w:rsidTr="00860FA1">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3424C04A"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pożyczek i kredytów udzielonych klientom, razem</w:t>
            </w:r>
          </w:p>
        </w:tc>
        <w:tc>
          <w:tcPr>
            <w:tcW w:w="1418" w:type="dxa"/>
            <w:tcBorders>
              <w:top w:val="single" w:sz="8" w:space="0" w:color="0077BD"/>
              <w:left w:val="single" w:sz="8" w:space="0" w:color="0077BD"/>
              <w:bottom w:val="single" w:sz="8" w:space="0" w:color="0077BD"/>
              <w:right w:val="nil"/>
            </w:tcBorders>
            <w:shd w:val="clear" w:color="000000" w:fill="FFFFFF"/>
            <w:noWrap/>
            <w:vAlign w:val="center"/>
          </w:tcPr>
          <w:p w14:paraId="00F1A530" w14:textId="136E2ECB"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(10 535 348)</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515ACECB" w14:textId="1CD8E473" w:rsidR="00835798"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(10 280</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705</w:t>
            </w:r>
            <w:r w:rsidR="00835798" w:rsidRPr="00C74EF9">
              <w:rPr>
                <w:rFonts w:cs="Calibri"/>
                <w:b/>
                <w:bCs/>
                <w:color w:val="000000" w:themeColor="text1"/>
                <w:sz w:val="13"/>
                <w:szCs w:val="13"/>
              </w:rPr>
              <w:t>)</w:t>
            </w:r>
          </w:p>
        </w:tc>
      </w:tr>
      <w:tr w:rsidR="00835798" w:rsidRPr="00BB7C9E" w14:paraId="4D40F1A0" w14:textId="77777777" w:rsidTr="00860FA1">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05890375"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Aktywa finansowe wyceniane w wartości godziwej przez pozostałe całkowite dochody - zmiana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7456421E" w14:textId="0505DA3F"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1 564 363</w:t>
            </w:r>
          </w:p>
        </w:tc>
        <w:tc>
          <w:tcPr>
            <w:tcW w:w="1418" w:type="dxa"/>
            <w:tcBorders>
              <w:top w:val="nil"/>
              <w:left w:val="single" w:sz="8" w:space="0" w:color="0077BD"/>
              <w:bottom w:val="single" w:sz="8" w:space="0" w:color="0077BD"/>
              <w:right w:val="nil"/>
            </w:tcBorders>
            <w:shd w:val="clear" w:color="auto" w:fill="auto"/>
            <w:noWrap/>
            <w:vAlign w:val="center"/>
            <w:hideMark/>
          </w:tcPr>
          <w:p w14:paraId="2C3375F5" w14:textId="03E022C4" w:rsidR="00835798" w:rsidRPr="00C74EF9" w:rsidRDefault="00DF4809" w:rsidP="00DF4809">
            <w:pPr>
              <w:jc w:val="right"/>
              <w:rPr>
                <w:rFonts w:cs="Calibri"/>
                <w:b/>
                <w:bCs/>
                <w:color w:val="000000" w:themeColor="text1"/>
                <w:sz w:val="13"/>
                <w:szCs w:val="13"/>
              </w:rPr>
            </w:pPr>
            <w:r>
              <w:rPr>
                <w:rFonts w:cs="Calibri"/>
                <w:b/>
                <w:bCs/>
                <w:color w:val="000000" w:themeColor="text1"/>
                <w:sz w:val="13"/>
                <w:szCs w:val="13"/>
              </w:rPr>
              <w:t>(800</w:t>
            </w:r>
            <w:r w:rsidR="005A0499" w:rsidRPr="00C74EF9">
              <w:rPr>
                <w:rFonts w:cs="Calibri"/>
                <w:b/>
                <w:bCs/>
                <w:color w:val="000000" w:themeColor="text1"/>
                <w:sz w:val="13"/>
                <w:szCs w:val="13"/>
              </w:rPr>
              <w:t xml:space="preserve"> </w:t>
            </w:r>
            <w:r>
              <w:rPr>
                <w:rFonts w:cs="Calibri"/>
                <w:b/>
                <w:bCs/>
                <w:color w:val="000000" w:themeColor="text1"/>
                <w:sz w:val="13"/>
                <w:szCs w:val="13"/>
              </w:rPr>
              <w:t>714</w:t>
            </w:r>
            <w:r w:rsidR="00835798" w:rsidRPr="00C74EF9">
              <w:rPr>
                <w:rFonts w:cs="Calibri"/>
                <w:b/>
                <w:bCs/>
                <w:color w:val="000000" w:themeColor="text1"/>
                <w:sz w:val="13"/>
                <w:szCs w:val="13"/>
              </w:rPr>
              <w:t>)</w:t>
            </w:r>
          </w:p>
        </w:tc>
      </w:tr>
      <w:tr w:rsidR="00835798" w:rsidRPr="00BB7C9E" w14:paraId="25780760" w14:textId="77777777" w:rsidTr="00860FA1">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4F8254C0"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Wycena ujęta w pozostałych dochodach całkowitych</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5FA2A7B" w14:textId="4C9254B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(69 126)</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793C9DA0"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(15 068)</w:t>
            </w:r>
          </w:p>
        </w:tc>
      </w:tr>
      <w:tr w:rsidR="00835798" w:rsidRPr="00BB7C9E" w14:paraId="5E5F9067" w14:textId="77777777" w:rsidTr="00860FA1">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08BFB848"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nil"/>
              <w:left w:val="single" w:sz="8" w:space="0" w:color="0077BD"/>
              <w:bottom w:val="single" w:sz="4" w:space="0" w:color="0077BD"/>
              <w:right w:val="nil"/>
            </w:tcBorders>
            <w:shd w:val="clear" w:color="auto" w:fill="auto"/>
            <w:noWrap/>
            <w:vAlign w:val="center"/>
          </w:tcPr>
          <w:p w14:paraId="3E0D63CB" w14:textId="4F602049" w:rsidR="00835798" w:rsidRPr="00C74EF9" w:rsidRDefault="006F4023" w:rsidP="006F4023">
            <w:pPr>
              <w:jc w:val="right"/>
              <w:rPr>
                <w:rFonts w:cs="Calibri"/>
                <w:color w:val="000000" w:themeColor="text1"/>
                <w:sz w:val="13"/>
                <w:szCs w:val="13"/>
              </w:rPr>
            </w:pPr>
            <w:r w:rsidRPr="00C74EF9">
              <w:rPr>
                <w:rFonts w:cs="Calibri"/>
                <w:color w:val="000000" w:themeColor="text1"/>
                <w:sz w:val="13"/>
                <w:szCs w:val="13"/>
              </w:rPr>
              <w:t>(367</w:t>
            </w:r>
            <w:r w:rsidR="00835798" w:rsidRPr="00C74EF9">
              <w:rPr>
                <w:rFonts w:cs="Calibri"/>
                <w:color w:val="000000" w:themeColor="text1"/>
                <w:sz w:val="13"/>
                <w:szCs w:val="13"/>
              </w:rPr>
              <w:t xml:space="preserve"> </w:t>
            </w:r>
            <w:r w:rsidRPr="00C74EF9">
              <w:rPr>
                <w:rFonts w:cs="Calibri"/>
                <w:color w:val="000000" w:themeColor="text1"/>
                <w:sz w:val="13"/>
                <w:szCs w:val="13"/>
              </w:rPr>
              <w:t>943</w:t>
            </w:r>
            <w:r w:rsidR="00835798" w:rsidRPr="00C74EF9">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22BA4115" w14:textId="0B47B5C4" w:rsidR="00835798" w:rsidRPr="00C74EF9" w:rsidRDefault="00DF4809" w:rsidP="00DF4809">
            <w:pPr>
              <w:jc w:val="right"/>
              <w:rPr>
                <w:rFonts w:cs="Calibri"/>
                <w:color w:val="000000" w:themeColor="text1"/>
                <w:sz w:val="13"/>
                <w:szCs w:val="13"/>
              </w:rPr>
            </w:pPr>
            <w:r>
              <w:rPr>
                <w:rFonts w:cs="Calibri"/>
                <w:color w:val="000000" w:themeColor="text1"/>
                <w:sz w:val="13"/>
                <w:szCs w:val="13"/>
              </w:rPr>
              <w:t>(496</w:t>
            </w:r>
            <w:r w:rsidR="005A0499" w:rsidRPr="00C74EF9">
              <w:rPr>
                <w:rFonts w:cs="Calibri"/>
                <w:color w:val="000000" w:themeColor="text1"/>
                <w:sz w:val="13"/>
                <w:szCs w:val="13"/>
              </w:rPr>
              <w:t xml:space="preserve"> </w:t>
            </w:r>
            <w:r>
              <w:rPr>
                <w:rFonts w:cs="Calibri"/>
                <w:color w:val="000000" w:themeColor="text1"/>
                <w:sz w:val="13"/>
                <w:szCs w:val="13"/>
              </w:rPr>
              <w:t>127</w:t>
            </w:r>
            <w:r w:rsidR="00835798" w:rsidRPr="00C74EF9">
              <w:rPr>
                <w:rFonts w:cs="Calibri"/>
                <w:color w:val="000000" w:themeColor="text1"/>
                <w:sz w:val="13"/>
                <w:szCs w:val="13"/>
              </w:rPr>
              <w:t>)</w:t>
            </w:r>
          </w:p>
        </w:tc>
      </w:tr>
      <w:tr w:rsidR="00835798" w:rsidRPr="00BB7C9E" w14:paraId="042FE243" w14:textId="77777777" w:rsidTr="00860FA1">
        <w:trPr>
          <w:trHeight w:val="340"/>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1333AE17"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aktywa finansowych wycenianych w wartości godziwej przez pozostałe całkowite dochody,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0AA66B2" w14:textId="5C91531D" w:rsidR="00835798" w:rsidRPr="00C74EF9" w:rsidRDefault="006F4023" w:rsidP="006F4023">
            <w:pPr>
              <w:jc w:val="right"/>
              <w:rPr>
                <w:rFonts w:cs="Calibri"/>
                <w:b/>
                <w:bCs/>
                <w:color w:val="000000" w:themeColor="text1"/>
                <w:sz w:val="13"/>
                <w:szCs w:val="13"/>
              </w:rPr>
            </w:pPr>
            <w:r w:rsidRPr="00C74EF9">
              <w:rPr>
                <w:rFonts w:cs="Calibri"/>
                <w:b/>
                <w:bCs/>
                <w:color w:val="000000" w:themeColor="text1"/>
                <w:sz w:val="13"/>
                <w:szCs w:val="13"/>
              </w:rPr>
              <w:t>1 127</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294</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432994C"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(1 311 909)</w:t>
            </w:r>
          </w:p>
        </w:tc>
      </w:tr>
      <w:tr w:rsidR="008E16D3" w:rsidRPr="008E16D3" w14:paraId="0A726001" w14:textId="77777777" w:rsidTr="002C476A">
        <w:trPr>
          <w:trHeight w:val="340"/>
        </w:trPr>
        <w:tc>
          <w:tcPr>
            <w:tcW w:w="6747" w:type="dxa"/>
            <w:tcBorders>
              <w:top w:val="single" w:sz="8" w:space="0" w:color="0077BD"/>
              <w:left w:val="nil"/>
              <w:bottom w:val="single" w:sz="8" w:space="0" w:color="0077BD"/>
              <w:right w:val="single" w:sz="8" w:space="0" w:color="0077BD"/>
            </w:tcBorders>
            <w:shd w:val="clear" w:color="auto" w:fill="auto"/>
            <w:vAlign w:val="center"/>
          </w:tcPr>
          <w:p w14:paraId="16239D86" w14:textId="38A58080" w:rsidR="008E16D3" w:rsidRPr="00C74EF9" w:rsidRDefault="008E16D3" w:rsidP="008E16D3">
            <w:pPr>
              <w:rPr>
                <w:rFonts w:cs="Calibri"/>
                <w:b/>
                <w:bCs/>
                <w:color w:val="000000" w:themeColor="text1"/>
                <w:sz w:val="13"/>
                <w:szCs w:val="13"/>
              </w:rPr>
            </w:pPr>
            <w:r w:rsidRPr="00C74EF9">
              <w:rPr>
                <w:rFonts w:cs="Calibri"/>
                <w:b/>
                <w:bCs/>
                <w:color w:val="000000" w:themeColor="text1"/>
                <w:sz w:val="13"/>
                <w:szCs w:val="13"/>
              </w:rPr>
              <w:t>Papiery wartościowe wyceniane w zamortyzowanym koszcie - zmiana wynikająca z sald bilansowych</w:t>
            </w:r>
          </w:p>
        </w:tc>
        <w:tc>
          <w:tcPr>
            <w:tcW w:w="1418" w:type="dxa"/>
            <w:tcBorders>
              <w:top w:val="single" w:sz="8" w:space="0" w:color="0077BD"/>
              <w:left w:val="nil"/>
              <w:bottom w:val="single" w:sz="8" w:space="0" w:color="0077BD"/>
              <w:right w:val="nil"/>
            </w:tcBorders>
            <w:shd w:val="clear" w:color="auto" w:fill="auto"/>
            <w:noWrap/>
            <w:vAlign w:val="center"/>
          </w:tcPr>
          <w:p w14:paraId="6F5EDFD7" w14:textId="403F7682" w:rsidR="008E16D3" w:rsidRPr="00C74EF9" w:rsidRDefault="008E16D3" w:rsidP="008E16D3">
            <w:pPr>
              <w:jc w:val="right"/>
              <w:rPr>
                <w:rFonts w:cs="Calibri"/>
                <w:b/>
                <w:bCs/>
                <w:color w:val="000000" w:themeColor="text1"/>
                <w:sz w:val="13"/>
                <w:szCs w:val="13"/>
              </w:rPr>
            </w:pPr>
            <w:r w:rsidRPr="00C74EF9">
              <w:rPr>
                <w:rFonts w:cs="Calibri"/>
                <w:b/>
                <w:bCs/>
                <w:color w:val="000000" w:themeColor="text1"/>
                <w:sz w:val="13"/>
                <w:szCs w:val="13"/>
              </w:rPr>
              <w:t>(2 234 334)</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5BE23DB" w14:textId="5DB2220E" w:rsidR="008E16D3" w:rsidRPr="00C74EF9" w:rsidRDefault="008E16D3" w:rsidP="008E16D3">
            <w:pPr>
              <w:jc w:val="right"/>
              <w:rPr>
                <w:rFonts w:cs="Calibri"/>
                <w:b/>
                <w:bCs/>
                <w:color w:val="000000" w:themeColor="text1"/>
                <w:sz w:val="13"/>
                <w:szCs w:val="13"/>
              </w:rPr>
            </w:pPr>
            <w:r w:rsidRPr="00C74EF9">
              <w:rPr>
                <w:rFonts w:cs="Calibri"/>
                <w:b/>
                <w:bCs/>
                <w:color w:val="000000" w:themeColor="text1"/>
                <w:sz w:val="13"/>
                <w:szCs w:val="13"/>
              </w:rPr>
              <w:t>(480 367)</w:t>
            </w:r>
          </w:p>
        </w:tc>
      </w:tr>
      <w:tr w:rsidR="008E16D3" w:rsidRPr="008E16D3" w14:paraId="68F2C229" w14:textId="77777777" w:rsidTr="008E16D3">
        <w:trPr>
          <w:trHeight w:val="227"/>
        </w:trPr>
        <w:tc>
          <w:tcPr>
            <w:tcW w:w="6747" w:type="dxa"/>
            <w:tcBorders>
              <w:top w:val="single" w:sz="4" w:space="0" w:color="0077BD"/>
              <w:left w:val="nil"/>
              <w:bottom w:val="single" w:sz="4" w:space="0" w:color="0077BD"/>
              <w:right w:val="single" w:sz="8" w:space="0" w:color="0077BD"/>
            </w:tcBorders>
            <w:shd w:val="clear" w:color="auto" w:fill="auto"/>
            <w:vAlign w:val="center"/>
          </w:tcPr>
          <w:p w14:paraId="60D9B8DD" w14:textId="15D16235" w:rsidR="008E16D3" w:rsidRPr="00C74EF9" w:rsidRDefault="008E16D3" w:rsidP="008E16D3">
            <w:pPr>
              <w:rPr>
                <w:rFonts w:cs="Calibri"/>
                <w:b/>
                <w:bCs/>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nil"/>
              <w:left w:val="nil"/>
              <w:bottom w:val="single" w:sz="8" w:space="0" w:color="0077BD"/>
              <w:right w:val="nil"/>
            </w:tcBorders>
            <w:shd w:val="clear" w:color="auto" w:fill="auto"/>
            <w:noWrap/>
            <w:vAlign w:val="center"/>
          </w:tcPr>
          <w:p w14:paraId="1B95E076" w14:textId="1CB14D0B" w:rsidR="008E16D3" w:rsidRPr="00C74EF9" w:rsidRDefault="008E16D3" w:rsidP="008E16D3">
            <w:pPr>
              <w:jc w:val="right"/>
              <w:rPr>
                <w:rFonts w:cs="Calibri"/>
                <w:b/>
                <w:bCs/>
                <w:color w:val="000000" w:themeColor="text1"/>
                <w:sz w:val="13"/>
                <w:szCs w:val="13"/>
              </w:rPr>
            </w:pPr>
            <w:r w:rsidRPr="00C74EF9">
              <w:rPr>
                <w:rFonts w:cs="Calibri"/>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tcPr>
          <w:p w14:paraId="5FD0D11A" w14:textId="58E564E7" w:rsidR="008E16D3" w:rsidRPr="00C74EF9" w:rsidRDefault="008E16D3" w:rsidP="008E16D3">
            <w:pPr>
              <w:jc w:val="right"/>
              <w:rPr>
                <w:rFonts w:cs="Calibri"/>
                <w:b/>
                <w:bCs/>
                <w:color w:val="000000" w:themeColor="text1"/>
                <w:sz w:val="13"/>
                <w:szCs w:val="13"/>
              </w:rPr>
            </w:pPr>
            <w:r w:rsidRPr="00C74EF9">
              <w:rPr>
                <w:rFonts w:cs="Calibri"/>
                <w:color w:val="000000" w:themeColor="text1"/>
                <w:sz w:val="13"/>
                <w:szCs w:val="13"/>
              </w:rPr>
              <w:t>203 518</w:t>
            </w:r>
          </w:p>
        </w:tc>
      </w:tr>
      <w:tr w:rsidR="008E16D3" w:rsidRPr="008E16D3" w14:paraId="06D9FD0C" w14:textId="77777777" w:rsidTr="008E16D3">
        <w:trPr>
          <w:trHeight w:val="227"/>
        </w:trPr>
        <w:tc>
          <w:tcPr>
            <w:tcW w:w="6747" w:type="dxa"/>
            <w:tcBorders>
              <w:top w:val="single" w:sz="8" w:space="0" w:color="0077BD"/>
              <w:left w:val="nil"/>
              <w:bottom w:val="single" w:sz="8" w:space="0" w:color="0077BD"/>
              <w:right w:val="single" w:sz="8" w:space="0" w:color="0077BD"/>
            </w:tcBorders>
            <w:shd w:val="clear" w:color="auto" w:fill="auto"/>
            <w:vAlign w:val="center"/>
          </w:tcPr>
          <w:p w14:paraId="440F986E" w14:textId="735CDDD0" w:rsidR="008E16D3" w:rsidRPr="00C74EF9" w:rsidRDefault="008E16D3" w:rsidP="008E16D3">
            <w:pPr>
              <w:rPr>
                <w:rFonts w:cs="Calibri"/>
                <w:b/>
                <w:bCs/>
                <w:color w:val="000000" w:themeColor="text1"/>
                <w:sz w:val="13"/>
                <w:szCs w:val="13"/>
              </w:rPr>
            </w:pPr>
            <w:r w:rsidRPr="00C74EF9">
              <w:rPr>
                <w:rFonts w:cs="Calibri"/>
                <w:b/>
                <w:bCs/>
                <w:color w:val="000000" w:themeColor="text1"/>
                <w:sz w:val="13"/>
                <w:szCs w:val="13"/>
              </w:rPr>
              <w:t>Zmiana stanu papierów wartościowych wycenianych w zamortyzowanym koszcie, razem</w:t>
            </w:r>
          </w:p>
        </w:tc>
        <w:tc>
          <w:tcPr>
            <w:tcW w:w="1418" w:type="dxa"/>
            <w:tcBorders>
              <w:top w:val="nil"/>
              <w:left w:val="nil"/>
              <w:bottom w:val="single" w:sz="8" w:space="0" w:color="0077BD"/>
              <w:right w:val="nil"/>
            </w:tcBorders>
            <w:shd w:val="clear" w:color="auto" w:fill="auto"/>
            <w:noWrap/>
            <w:vAlign w:val="center"/>
          </w:tcPr>
          <w:p w14:paraId="25577F44" w14:textId="4CB663FB" w:rsidR="008E16D3" w:rsidRPr="00C74EF9" w:rsidRDefault="008E16D3" w:rsidP="008E16D3">
            <w:pPr>
              <w:jc w:val="right"/>
              <w:rPr>
                <w:rFonts w:cs="Calibri"/>
                <w:b/>
                <w:bCs/>
                <w:color w:val="000000" w:themeColor="text1"/>
                <w:sz w:val="13"/>
                <w:szCs w:val="13"/>
              </w:rPr>
            </w:pPr>
            <w:r w:rsidRPr="00C74EF9">
              <w:rPr>
                <w:rFonts w:cs="Calibri"/>
                <w:b/>
                <w:bCs/>
                <w:color w:val="000000" w:themeColor="text1"/>
                <w:sz w:val="13"/>
                <w:szCs w:val="13"/>
              </w:rPr>
              <w:t>(2 234 334)</w:t>
            </w:r>
          </w:p>
        </w:tc>
        <w:tc>
          <w:tcPr>
            <w:tcW w:w="1418" w:type="dxa"/>
            <w:tcBorders>
              <w:top w:val="nil"/>
              <w:left w:val="single" w:sz="8" w:space="0" w:color="0077BD"/>
              <w:bottom w:val="single" w:sz="8" w:space="0" w:color="0077BD"/>
              <w:right w:val="nil"/>
            </w:tcBorders>
            <w:shd w:val="clear" w:color="auto" w:fill="auto"/>
            <w:noWrap/>
            <w:vAlign w:val="center"/>
          </w:tcPr>
          <w:p w14:paraId="28BA1C3C" w14:textId="0C2671EC" w:rsidR="008E16D3" w:rsidRPr="00C74EF9" w:rsidRDefault="008E16D3" w:rsidP="008E16D3">
            <w:pPr>
              <w:jc w:val="right"/>
              <w:rPr>
                <w:rFonts w:cs="Calibri"/>
                <w:b/>
                <w:bCs/>
                <w:color w:val="000000" w:themeColor="text1"/>
                <w:sz w:val="13"/>
                <w:szCs w:val="13"/>
              </w:rPr>
            </w:pPr>
            <w:r w:rsidRPr="00C74EF9">
              <w:rPr>
                <w:rFonts w:cs="Calibri"/>
                <w:b/>
                <w:bCs/>
                <w:color w:val="000000" w:themeColor="text1"/>
                <w:sz w:val="13"/>
                <w:szCs w:val="13"/>
              </w:rPr>
              <w:t>(276 849)</w:t>
            </w:r>
          </w:p>
        </w:tc>
      </w:tr>
      <w:tr w:rsidR="00835798" w:rsidRPr="00BB7C9E" w14:paraId="23D8EFA6" w14:textId="77777777" w:rsidTr="00860FA1">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41B12C7B"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Aktywa finansowe nieprzeznaczone do obrotu wyceniane obowiązkowo przez wynik finansowy - zmiana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450444D3" w14:textId="62C78EFE" w:rsidR="00835798" w:rsidRPr="00C74EF9" w:rsidRDefault="00403FD0" w:rsidP="00403FD0">
            <w:pPr>
              <w:jc w:val="right"/>
              <w:rPr>
                <w:rFonts w:cs="Calibri"/>
                <w:b/>
                <w:bCs/>
                <w:color w:val="000000" w:themeColor="text1"/>
                <w:sz w:val="13"/>
                <w:szCs w:val="13"/>
              </w:rPr>
            </w:pPr>
            <w:r>
              <w:rPr>
                <w:rFonts w:cs="Calibri"/>
                <w:b/>
                <w:bCs/>
                <w:color w:val="000000" w:themeColor="text1"/>
                <w:sz w:val="13"/>
                <w:szCs w:val="13"/>
              </w:rPr>
              <w:t>(165</w:t>
            </w:r>
            <w:r w:rsidR="00835798" w:rsidRPr="00C74EF9">
              <w:rPr>
                <w:rFonts w:cs="Calibri"/>
                <w:b/>
                <w:bCs/>
                <w:color w:val="000000" w:themeColor="text1"/>
                <w:sz w:val="13"/>
                <w:szCs w:val="13"/>
              </w:rPr>
              <w:t xml:space="preserve"> </w:t>
            </w:r>
            <w:r>
              <w:rPr>
                <w:rFonts w:cs="Calibri"/>
                <w:b/>
                <w:bCs/>
                <w:color w:val="000000" w:themeColor="text1"/>
                <w:sz w:val="13"/>
                <w:szCs w:val="13"/>
              </w:rPr>
              <w:t>485</w:t>
            </w:r>
            <w:r w:rsidR="00835798" w:rsidRPr="00C74EF9">
              <w:rPr>
                <w:rFonts w:cs="Calibri"/>
                <w:b/>
                <w:bCs/>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hideMark/>
          </w:tcPr>
          <w:p w14:paraId="4FD119D5"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(43 280)</w:t>
            </w:r>
          </w:p>
        </w:tc>
      </w:tr>
      <w:tr w:rsidR="00835798" w:rsidRPr="00BB7C9E" w14:paraId="2EDB99F3" w14:textId="77777777" w:rsidTr="00860FA1">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546E8307"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Nabycie udziałów w jednostkach zależnych nie objętych konsolidacją</w:t>
            </w:r>
          </w:p>
        </w:tc>
        <w:tc>
          <w:tcPr>
            <w:tcW w:w="1418" w:type="dxa"/>
            <w:tcBorders>
              <w:top w:val="nil"/>
              <w:left w:val="single" w:sz="8" w:space="0" w:color="0077BD"/>
              <w:bottom w:val="single" w:sz="8" w:space="0" w:color="0077BD"/>
              <w:right w:val="nil"/>
            </w:tcBorders>
            <w:shd w:val="clear" w:color="auto" w:fill="auto"/>
            <w:noWrap/>
            <w:vAlign w:val="center"/>
          </w:tcPr>
          <w:p w14:paraId="2EA58793" w14:textId="7CE2983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11 055</w:t>
            </w:r>
          </w:p>
        </w:tc>
        <w:tc>
          <w:tcPr>
            <w:tcW w:w="1418" w:type="dxa"/>
            <w:tcBorders>
              <w:top w:val="nil"/>
              <w:left w:val="single" w:sz="8" w:space="0" w:color="0077BD"/>
              <w:bottom w:val="single" w:sz="8" w:space="0" w:color="0077BD"/>
              <w:right w:val="nil"/>
            </w:tcBorders>
            <w:shd w:val="clear" w:color="auto" w:fill="auto"/>
            <w:noWrap/>
            <w:vAlign w:val="center"/>
            <w:hideMark/>
          </w:tcPr>
          <w:p w14:paraId="1F4ED8B0"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39 907</w:t>
            </w:r>
          </w:p>
        </w:tc>
      </w:tr>
      <w:tr w:rsidR="00835798" w:rsidRPr="00BB7C9E" w14:paraId="4ECBFBD2" w14:textId="77777777" w:rsidTr="00860FA1">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39ADDA17"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Sprzedaż udziałów w jednostkach zależnych nie objętych konsolidacją</w:t>
            </w:r>
          </w:p>
        </w:tc>
        <w:tc>
          <w:tcPr>
            <w:tcW w:w="1418" w:type="dxa"/>
            <w:tcBorders>
              <w:top w:val="nil"/>
              <w:left w:val="single" w:sz="8" w:space="0" w:color="0077BD"/>
              <w:bottom w:val="single" w:sz="8" w:space="0" w:color="0077BD"/>
              <w:right w:val="nil"/>
            </w:tcBorders>
            <w:shd w:val="clear" w:color="auto" w:fill="auto"/>
            <w:noWrap/>
            <w:vAlign w:val="center"/>
          </w:tcPr>
          <w:p w14:paraId="5D9483E3" w14:textId="1BF66DB8"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hideMark/>
          </w:tcPr>
          <w:p w14:paraId="25948C02"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(100)</w:t>
            </w:r>
          </w:p>
        </w:tc>
      </w:tr>
      <w:tr w:rsidR="00835798" w:rsidRPr="00BB7C9E" w14:paraId="67FF1DDE" w14:textId="77777777" w:rsidTr="00860FA1">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028891FE"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Zmiana wyceny</w:t>
            </w:r>
          </w:p>
        </w:tc>
        <w:tc>
          <w:tcPr>
            <w:tcW w:w="1418" w:type="dxa"/>
            <w:tcBorders>
              <w:top w:val="nil"/>
              <w:left w:val="single" w:sz="8" w:space="0" w:color="0077BD"/>
              <w:bottom w:val="single" w:sz="8" w:space="0" w:color="0077BD"/>
              <w:right w:val="nil"/>
            </w:tcBorders>
            <w:shd w:val="clear" w:color="auto" w:fill="auto"/>
            <w:noWrap/>
            <w:vAlign w:val="center"/>
          </w:tcPr>
          <w:p w14:paraId="4C556390" w14:textId="57DBE982"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hideMark/>
          </w:tcPr>
          <w:p w14:paraId="02D95E31"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3 065</w:t>
            </w:r>
          </w:p>
        </w:tc>
      </w:tr>
      <w:tr w:rsidR="00835798" w:rsidRPr="00BB7C9E" w14:paraId="32963287" w14:textId="77777777" w:rsidTr="00860FA1">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4129C3F6"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aktywów finansowych nieprzeznaczonych do obrotu wycenianych obowiązkowo przez wynik finansowy, razem</w:t>
            </w:r>
          </w:p>
        </w:tc>
        <w:tc>
          <w:tcPr>
            <w:tcW w:w="1418" w:type="dxa"/>
            <w:tcBorders>
              <w:top w:val="nil"/>
              <w:left w:val="single" w:sz="8" w:space="0" w:color="0077BD"/>
              <w:bottom w:val="single" w:sz="8" w:space="0" w:color="0077BD"/>
              <w:right w:val="nil"/>
            </w:tcBorders>
            <w:shd w:val="clear" w:color="auto" w:fill="auto"/>
            <w:noWrap/>
            <w:vAlign w:val="center"/>
          </w:tcPr>
          <w:p w14:paraId="7A4F9DF0" w14:textId="40338070" w:rsidR="00835798" w:rsidRPr="00C74EF9" w:rsidRDefault="00403FD0" w:rsidP="00403FD0">
            <w:pPr>
              <w:jc w:val="right"/>
              <w:rPr>
                <w:rFonts w:cs="Calibri"/>
                <w:b/>
                <w:bCs/>
                <w:color w:val="000000" w:themeColor="text1"/>
                <w:sz w:val="13"/>
                <w:szCs w:val="13"/>
              </w:rPr>
            </w:pPr>
            <w:r>
              <w:rPr>
                <w:rFonts w:cs="Calibri"/>
                <w:b/>
                <w:bCs/>
                <w:color w:val="000000" w:themeColor="text1"/>
                <w:sz w:val="13"/>
                <w:szCs w:val="13"/>
              </w:rPr>
              <w:t>(154</w:t>
            </w:r>
            <w:r w:rsidR="00835798" w:rsidRPr="00C74EF9">
              <w:rPr>
                <w:rFonts w:cs="Calibri"/>
                <w:b/>
                <w:bCs/>
                <w:color w:val="000000" w:themeColor="text1"/>
                <w:sz w:val="13"/>
                <w:szCs w:val="13"/>
              </w:rPr>
              <w:t xml:space="preserve"> </w:t>
            </w:r>
            <w:r>
              <w:rPr>
                <w:rFonts w:cs="Calibri"/>
                <w:b/>
                <w:bCs/>
                <w:color w:val="000000" w:themeColor="text1"/>
                <w:sz w:val="13"/>
                <w:szCs w:val="13"/>
              </w:rPr>
              <w:t>430</w:t>
            </w:r>
            <w:r w:rsidR="00835798" w:rsidRPr="00C74EF9">
              <w:rPr>
                <w:rFonts w:cs="Calibri"/>
                <w:b/>
                <w:bCs/>
                <w:color w:val="000000" w:themeColor="text1"/>
                <w:sz w:val="13"/>
                <w:szCs w:val="13"/>
              </w:rPr>
              <w:t>)</w:t>
            </w:r>
          </w:p>
        </w:tc>
        <w:tc>
          <w:tcPr>
            <w:tcW w:w="1418" w:type="dxa"/>
            <w:tcBorders>
              <w:top w:val="nil"/>
              <w:left w:val="single" w:sz="8" w:space="0" w:color="0077BD"/>
              <w:bottom w:val="single" w:sz="8" w:space="0" w:color="0077BD"/>
              <w:right w:val="nil"/>
            </w:tcBorders>
            <w:shd w:val="clear" w:color="auto" w:fill="auto"/>
            <w:noWrap/>
            <w:vAlign w:val="center"/>
            <w:hideMark/>
          </w:tcPr>
          <w:p w14:paraId="5B6AFDC4"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(408)</w:t>
            </w:r>
          </w:p>
        </w:tc>
      </w:tr>
      <w:tr w:rsidR="00835798" w:rsidRPr="00BB7C9E" w14:paraId="55B19BDB" w14:textId="77777777" w:rsidTr="00835798">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471D3537" w14:textId="4D274C8E"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Inne aktywa</w:t>
            </w:r>
            <w:r w:rsidR="00EE4BE3">
              <w:rPr>
                <w:rFonts w:cs="Calibri"/>
                <w:b/>
                <w:bCs/>
                <w:color w:val="000000" w:themeColor="text1"/>
                <w:sz w:val="13"/>
                <w:szCs w:val="13"/>
              </w:rPr>
              <w:t xml:space="preserve"> (w tym przeznaczone do sprzedaży)</w:t>
            </w:r>
            <w:r w:rsidRPr="00C74EF9">
              <w:rPr>
                <w:rFonts w:cs="Calibri"/>
                <w:b/>
                <w:bCs/>
                <w:color w:val="000000" w:themeColor="text1"/>
                <w:sz w:val="13"/>
                <w:szCs w:val="13"/>
              </w:rPr>
              <w:t xml:space="preserve"> - zmiana stanu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468F6675" w14:textId="4C2F8C62" w:rsidR="00835798" w:rsidRPr="00C74EF9" w:rsidRDefault="00403FD0" w:rsidP="00403FD0">
            <w:pPr>
              <w:jc w:val="right"/>
              <w:rPr>
                <w:rFonts w:cs="Calibri"/>
                <w:b/>
                <w:bCs/>
                <w:color w:val="000000" w:themeColor="text1"/>
                <w:sz w:val="13"/>
                <w:szCs w:val="13"/>
              </w:rPr>
            </w:pPr>
            <w:r>
              <w:rPr>
                <w:rFonts w:cs="Calibri"/>
                <w:b/>
                <w:bCs/>
                <w:color w:val="000000" w:themeColor="text1"/>
                <w:sz w:val="13"/>
                <w:szCs w:val="13"/>
              </w:rPr>
              <w:t>210</w:t>
            </w:r>
            <w:r w:rsidR="00835798" w:rsidRPr="00C74EF9">
              <w:rPr>
                <w:rFonts w:cs="Calibri"/>
                <w:b/>
                <w:bCs/>
                <w:color w:val="000000" w:themeColor="text1"/>
                <w:sz w:val="13"/>
                <w:szCs w:val="13"/>
              </w:rPr>
              <w:t xml:space="preserve"> </w:t>
            </w:r>
            <w:r>
              <w:rPr>
                <w:rFonts w:cs="Calibri"/>
                <w:b/>
                <w:bCs/>
                <w:color w:val="000000" w:themeColor="text1"/>
                <w:sz w:val="13"/>
                <w:szCs w:val="13"/>
              </w:rPr>
              <w:t>679</w:t>
            </w:r>
          </w:p>
        </w:tc>
        <w:tc>
          <w:tcPr>
            <w:tcW w:w="1418" w:type="dxa"/>
            <w:tcBorders>
              <w:top w:val="nil"/>
              <w:left w:val="single" w:sz="8" w:space="0" w:color="0077BD"/>
              <w:bottom w:val="single" w:sz="8" w:space="0" w:color="0077BD"/>
              <w:right w:val="nil"/>
            </w:tcBorders>
            <w:shd w:val="clear" w:color="000000" w:fill="FFFFFF"/>
            <w:noWrap/>
            <w:vAlign w:val="center"/>
            <w:hideMark/>
          </w:tcPr>
          <w:p w14:paraId="065A6A6D"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(407 266)</w:t>
            </w:r>
          </w:p>
        </w:tc>
      </w:tr>
      <w:tr w:rsidR="00207E22" w:rsidRPr="00BB7C9E" w14:paraId="05D7F0DE" w14:textId="77777777" w:rsidTr="00860FA1">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19B50C9C" w14:textId="77777777" w:rsidR="00207E22" w:rsidRPr="00C74EF9" w:rsidRDefault="00207E22" w:rsidP="00207E22">
            <w:pPr>
              <w:rPr>
                <w:rFonts w:cs="Calibri"/>
                <w:color w:val="000000" w:themeColor="text1"/>
                <w:sz w:val="13"/>
                <w:szCs w:val="13"/>
              </w:rPr>
            </w:pPr>
            <w:r w:rsidRPr="00C74EF9">
              <w:rPr>
                <w:rFonts w:cs="Calibri"/>
                <w:color w:val="000000" w:themeColor="text1"/>
                <w:sz w:val="13"/>
                <w:szCs w:val="13"/>
              </w:rPr>
              <w:t>Niezrealizowane kasowo rozrachunki ujęte w rachunku zysków i strat</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1B16D4D" w14:textId="74975A0E" w:rsidR="00207E22" w:rsidRPr="00C74EF9" w:rsidRDefault="00323C06" w:rsidP="00207E22">
            <w:pPr>
              <w:jc w:val="right"/>
              <w:rPr>
                <w:rFonts w:cs="Calibri"/>
                <w:color w:val="000000" w:themeColor="text1"/>
                <w:sz w:val="13"/>
                <w:szCs w:val="13"/>
              </w:rPr>
            </w:pPr>
            <w:r>
              <w:rPr>
                <w:rFonts w:cs="Calibri"/>
                <w:color w:val="000000" w:themeColor="text1"/>
                <w:sz w:val="13"/>
                <w:szCs w:val="13"/>
              </w:rPr>
              <w:t>5 715</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1EBAF865" w14:textId="77777777" w:rsidR="00207E22" w:rsidRPr="00C74EF9" w:rsidRDefault="00207E22" w:rsidP="00207E22">
            <w:pPr>
              <w:jc w:val="right"/>
              <w:rPr>
                <w:rFonts w:cs="Calibri"/>
                <w:color w:val="000000" w:themeColor="text1"/>
                <w:sz w:val="13"/>
                <w:szCs w:val="13"/>
              </w:rPr>
            </w:pPr>
            <w:r w:rsidRPr="00C74EF9">
              <w:rPr>
                <w:rFonts w:cs="Calibri"/>
                <w:color w:val="000000" w:themeColor="text1"/>
                <w:sz w:val="13"/>
                <w:szCs w:val="13"/>
              </w:rPr>
              <w:t>17 135</w:t>
            </w:r>
          </w:p>
        </w:tc>
      </w:tr>
      <w:tr w:rsidR="00207E22" w:rsidRPr="00BB7C9E" w14:paraId="17EF5617" w14:textId="77777777" w:rsidTr="00817B66">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484034A3" w14:textId="77777777" w:rsidR="00207E22" w:rsidRPr="00C74EF9" w:rsidRDefault="00207E22" w:rsidP="00207E22">
            <w:pPr>
              <w:rPr>
                <w:rFonts w:cs="Calibri"/>
                <w:b/>
                <w:bCs/>
                <w:color w:val="000000" w:themeColor="text1"/>
                <w:sz w:val="13"/>
                <w:szCs w:val="13"/>
              </w:rPr>
            </w:pPr>
            <w:r w:rsidRPr="00C74EF9">
              <w:rPr>
                <w:rFonts w:cs="Calibri"/>
                <w:b/>
                <w:bCs/>
                <w:color w:val="000000" w:themeColor="text1"/>
                <w:sz w:val="13"/>
                <w:szCs w:val="13"/>
              </w:rPr>
              <w:t>Zmiana stanu innych aktywów, razem</w:t>
            </w:r>
          </w:p>
        </w:tc>
        <w:tc>
          <w:tcPr>
            <w:tcW w:w="1418" w:type="dxa"/>
            <w:tcBorders>
              <w:top w:val="single" w:sz="8" w:space="0" w:color="0077BD"/>
              <w:left w:val="single" w:sz="8" w:space="0" w:color="0077BD"/>
              <w:bottom w:val="single" w:sz="8" w:space="0" w:color="0077BD"/>
              <w:right w:val="nil"/>
            </w:tcBorders>
            <w:shd w:val="clear" w:color="000000" w:fill="FFFFFF"/>
            <w:noWrap/>
            <w:vAlign w:val="center"/>
          </w:tcPr>
          <w:p w14:paraId="62302FB3" w14:textId="2A03751F" w:rsidR="00207E22" w:rsidRPr="00C74EF9" w:rsidRDefault="00323C06" w:rsidP="00323C06">
            <w:pPr>
              <w:jc w:val="right"/>
              <w:rPr>
                <w:rFonts w:cs="Calibri"/>
                <w:b/>
                <w:bCs/>
                <w:color w:val="000000" w:themeColor="text1"/>
                <w:sz w:val="13"/>
                <w:szCs w:val="13"/>
              </w:rPr>
            </w:pPr>
            <w:r>
              <w:rPr>
                <w:rFonts w:cs="Calibri"/>
                <w:b/>
                <w:bCs/>
                <w:color w:val="000000" w:themeColor="text1"/>
                <w:sz w:val="13"/>
                <w:szCs w:val="13"/>
              </w:rPr>
              <w:t>216</w:t>
            </w:r>
            <w:r w:rsidR="00207E22" w:rsidRPr="00C74EF9">
              <w:rPr>
                <w:rFonts w:cs="Calibri"/>
                <w:b/>
                <w:bCs/>
                <w:color w:val="000000" w:themeColor="text1"/>
                <w:sz w:val="13"/>
                <w:szCs w:val="13"/>
              </w:rPr>
              <w:t xml:space="preserve"> </w:t>
            </w:r>
            <w:r>
              <w:rPr>
                <w:rFonts w:cs="Calibri"/>
                <w:b/>
                <w:bCs/>
                <w:color w:val="000000" w:themeColor="text1"/>
                <w:sz w:val="13"/>
                <w:szCs w:val="13"/>
              </w:rPr>
              <w:t>394</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6DA2C1BD" w14:textId="77777777" w:rsidR="00207E22" w:rsidRPr="00C74EF9" w:rsidRDefault="00207E22" w:rsidP="00207E22">
            <w:pPr>
              <w:jc w:val="right"/>
              <w:rPr>
                <w:rFonts w:cs="Calibri"/>
                <w:b/>
                <w:bCs/>
                <w:color w:val="000000" w:themeColor="text1"/>
                <w:sz w:val="13"/>
                <w:szCs w:val="13"/>
              </w:rPr>
            </w:pPr>
            <w:r w:rsidRPr="00C74EF9">
              <w:rPr>
                <w:rFonts w:cs="Calibri"/>
                <w:b/>
                <w:bCs/>
                <w:color w:val="000000" w:themeColor="text1"/>
                <w:sz w:val="13"/>
                <w:szCs w:val="13"/>
              </w:rPr>
              <w:t>(390 131)</w:t>
            </w:r>
          </w:p>
        </w:tc>
      </w:tr>
      <w:tr w:rsidR="00835798" w:rsidRPr="00BB7C9E" w14:paraId="3E1B7678" w14:textId="77777777" w:rsidTr="00835798">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53C66F85"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Zobowiązania wobec innych banków - zmiana stanu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7EB11FDF" w14:textId="45E1C738" w:rsidR="00835798" w:rsidRPr="00C74EF9" w:rsidRDefault="00403FD0" w:rsidP="00835798">
            <w:pPr>
              <w:jc w:val="right"/>
              <w:rPr>
                <w:rFonts w:cs="Calibri"/>
                <w:b/>
                <w:bCs/>
                <w:color w:val="000000" w:themeColor="text1"/>
                <w:sz w:val="13"/>
                <w:szCs w:val="13"/>
              </w:rPr>
            </w:pPr>
            <w:r>
              <w:rPr>
                <w:rFonts w:cs="Calibri"/>
                <w:b/>
                <w:bCs/>
                <w:color w:val="000000" w:themeColor="text1"/>
                <w:sz w:val="13"/>
                <w:szCs w:val="13"/>
              </w:rPr>
              <w:t>(1 941 955</w:t>
            </w:r>
            <w:r w:rsidR="00835798" w:rsidRPr="00C74EF9">
              <w:rPr>
                <w:rFonts w:cs="Calibri"/>
                <w:b/>
                <w:bCs/>
                <w:color w:val="000000" w:themeColor="text1"/>
                <w:sz w:val="13"/>
                <w:szCs w:val="13"/>
              </w:rPr>
              <w:t>)</w:t>
            </w:r>
          </w:p>
        </w:tc>
        <w:tc>
          <w:tcPr>
            <w:tcW w:w="1418" w:type="dxa"/>
            <w:tcBorders>
              <w:top w:val="nil"/>
              <w:left w:val="single" w:sz="8" w:space="0" w:color="0077BD"/>
              <w:bottom w:val="single" w:sz="8" w:space="0" w:color="0077BD"/>
              <w:right w:val="nil"/>
            </w:tcBorders>
            <w:shd w:val="clear" w:color="000000" w:fill="FFFFFF"/>
            <w:noWrap/>
            <w:vAlign w:val="center"/>
            <w:hideMark/>
          </w:tcPr>
          <w:p w14:paraId="6C20B70E" w14:textId="7F6B03F1" w:rsidR="00835798" w:rsidRPr="00C74EF9" w:rsidRDefault="005A0499" w:rsidP="00835798">
            <w:pPr>
              <w:jc w:val="right"/>
              <w:rPr>
                <w:rFonts w:cs="Calibri"/>
                <w:b/>
                <w:bCs/>
                <w:color w:val="000000" w:themeColor="text1"/>
                <w:sz w:val="13"/>
                <w:szCs w:val="13"/>
              </w:rPr>
            </w:pPr>
            <w:r w:rsidRPr="00C74EF9">
              <w:rPr>
                <w:rFonts w:cs="Calibri"/>
                <w:b/>
                <w:bCs/>
                <w:color w:val="000000" w:themeColor="text1"/>
                <w:sz w:val="13"/>
                <w:szCs w:val="13"/>
              </w:rPr>
              <w:t>(1 994 525</w:t>
            </w:r>
            <w:r w:rsidR="00835798" w:rsidRPr="00C74EF9">
              <w:rPr>
                <w:rFonts w:cs="Calibri"/>
                <w:b/>
                <w:bCs/>
                <w:color w:val="000000" w:themeColor="text1"/>
                <w:sz w:val="13"/>
                <w:szCs w:val="13"/>
              </w:rPr>
              <w:t>)</w:t>
            </w:r>
          </w:p>
        </w:tc>
      </w:tr>
      <w:tr w:rsidR="00835798" w:rsidRPr="00BB7C9E" w14:paraId="40FFA074" w14:textId="77777777" w:rsidTr="00835798">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3E9CA01A"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9B6DC5D" w14:textId="26616C22"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(14 842)</w:t>
            </w:r>
          </w:p>
        </w:tc>
        <w:tc>
          <w:tcPr>
            <w:tcW w:w="1418" w:type="dxa"/>
            <w:tcBorders>
              <w:top w:val="single" w:sz="4" w:space="0" w:color="0077BD"/>
              <w:left w:val="single" w:sz="8" w:space="0" w:color="0077BD"/>
              <w:bottom w:val="single" w:sz="4" w:space="0" w:color="0077BD"/>
              <w:right w:val="nil"/>
            </w:tcBorders>
            <w:shd w:val="clear" w:color="000000" w:fill="FFFFFF"/>
            <w:noWrap/>
            <w:vAlign w:val="center"/>
            <w:hideMark/>
          </w:tcPr>
          <w:p w14:paraId="1730AA3D" w14:textId="76DFBEA0" w:rsidR="00835798" w:rsidRPr="00C74EF9" w:rsidRDefault="00835798" w:rsidP="005A0499">
            <w:pPr>
              <w:jc w:val="right"/>
              <w:rPr>
                <w:rFonts w:cs="Calibri"/>
                <w:color w:val="000000" w:themeColor="text1"/>
                <w:sz w:val="13"/>
                <w:szCs w:val="13"/>
              </w:rPr>
            </w:pPr>
            <w:r w:rsidRPr="00C74EF9">
              <w:rPr>
                <w:rFonts w:cs="Calibri"/>
                <w:color w:val="000000" w:themeColor="text1"/>
                <w:sz w:val="13"/>
                <w:szCs w:val="13"/>
              </w:rPr>
              <w:t>(</w:t>
            </w:r>
            <w:r w:rsidR="005A0499" w:rsidRPr="00C74EF9">
              <w:rPr>
                <w:rFonts w:cs="Calibri"/>
                <w:color w:val="000000" w:themeColor="text1"/>
                <w:sz w:val="13"/>
                <w:szCs w:val="13"/>
              </w:rPr>
              <w:t>14 183</w:t>
            </w:r>
            <w:r w:rsidRPr="00C74EF9">
              <w:rPr>
                <w:rFonts w:cs="Calibri"/>
                <w:color w:val="000000" w:themeColor="text1"/>
                <w:sz w:val="13"/>
                <w:szCs w:val="13"/>
              </w:rPr>
              <w:t>)</w:t>
            </w:r>
          </w:p>
        </w:tc>
      </w:tr>
      <w:tr w:rsidR="00835798" w:rsidRPr="00BB7C9E" w14:paraId="30DDE05A" w14:textId="77777777" w:rsidTr="00835798">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29BB681F"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Wyłączenie zmiany stanu środków pieniężnych z działalności finansowej</w:t>
            </w:r>
          </w:p>
        </w:tc>
        <w:tc>
          <w:tcPr>
            <w:tcW w:w="1418" w:type="dxa"/>
            <w:tcBorders>
              <w:top w:val="nil"/>
              <w:left w:val="single" w:sz="8" w:space="0" w:color="0077BD"/>
              <w:bottom w:val="single" w:sz="4" w:space="0" w:color="0077BD"/>
              <w:right w:val="nil"/>
            </w:tcBorders>
            <w:shd w:val="clear" w:color="auto" w:fill="auto"/>
            <w:noWrap/>
            <w:vAlign w:val="center"/>
          </w:tcPr>
          <w:p w14:paraId="159628E8" w14:textId="027E1492"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557 100</w:t>
            </w:r>
          </w:p>
        </w:tc>
        <w:tc>
          <w:tcPr>
            <w:tcW w:w="1418" w:type="dxa"/>
            <w:tcBorders>
              <w:top w:val="nil"/>
              <w:left w:val="single" w:sz="8" w:space="0" w:color="0077BD"/>
              <w:bottom w:val="single" w:sz="4" w:space="0" w:color="0077BD"/>
              <w:right w:val="nil"/>
            </w:tcBorders>
            <w:shd w:val="clear" w:color="000000" w:fill="FFFFFF"/>
            <w:noWrap/>
            <w:vAlign w:val="center"/>
            <w:hideMark/>
          </w:tcPr>
          <w:p w14:paraId="3CAC163C"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2 644 697</w:t>
            </w:r>
          </w:p>
        </w:tc>
      </w:tr>
      <w:tr w:rsidR="00835798" w:rsidRPr="00BB7C9E" w14:paraId="481C9B8A" w14:textId="77777777" w:rsidTr="00835798">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4AF4AD65"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zobowiązań wobec innych banków,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7ACC739" w14:textId="3209CE5E" w:rsidR="00835798" w:rsidRPr="00C74EF9" w:rsidRDefault="00403FD0" w:rsidP="00403FD0">
            <w:pPr>
              <w:jc w:val="right"/>
              <w:rPr>
                <w:rFonts w:cs="Calibri"/>
                <w:b/>
                <w:bCs/>
                <w:color w:val="000000" w:themeColor="text1"/>
                <w:sz w:val="13"/>
                <w:szCs w:val="13"/>
              </w:rPr>
            </w:pPr>
            <w:r>
              <w:rPr>
                <w:rFonts w:cs="Calibri"/>
                <w:b/>
                <w:bCs/>
                <w:color w:val="000000" w:themeColor="text1"/>
                <w:sz w:val="13"/>
                <w:szCs w:val="13"/>
              </w:rPr>
              <w:t>(1 39</w:t>
            </w:r>
            <w:r w:rsidR="00835798" w:rsidRPr="00C74EF9">
              <w:rPr>
                <w:rFonts w:cs="Calibri"/>
                <w:b/>
                <w:bCs/>
                <w:color w:val="000000" w:themeColor="text1"/>
                <w:sz w:val="13"/>
                <w:szCs w:val="13"/>
              </w:rPr>
              <w:t xml:space="preserve">9 </w:t>
            </w:r>
            <w:r>
              <w:rPr>
                <w:rFonts w:cs="Calibri"/>
                <w:b/>
                <w:bCs/>
                <w:color w:val="000000" w:themeColor="text1"/>
                <w:sz w:val="13"/>
                <w:szCs w:val="13"/>
              </w:rPr>
              <w:t>697</w:t>
            </w:r>
            <w:r w:rsidR="00835798" w:rsidRPr="00C74EF9">
              <w:rPr>
                <w:rFonts w:cs="Calibri"/>
                <w:b/>
                <w:b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2A638CC8" w14:textId="488F3EA1" w:rsidR="00835798"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63</w:t>
            </w:r>
            <w:r w:rsidR="00835798" w:rsidRPr="00C74EF9">
              <w:rPr>
                <w:rFonts w:cs="Calibri"/>
                <w:b/>
                <w:bCs/>
                <w:color w:val="000000" w:themeColor="text1"/>
                <w:sz w:val="13"/>
                <w:szCs w:val="13"/>
              </w:rPr>
              <w:t xml:space="preserve">5 </w:t>
            </w:r>
            <w:r w:rsidRPr="00C74EF9">
              <w:rPr>
                <w:rFonts w:cs="Calibri"/>
                <w:b/>
                <w:bCs/>
                <w:color w:val="000000" w:themeColor="text1"/>
                <w:sz w:val="13"/>
                <w:szCs w:val="13"/>
              </w:rPr>
              <w:t>989</w:t>
            </w:r>
          </w:p>
        </w:tc>
      </w:tr>
      <w:tr w:rsidR="00835798" w:rsidRPr="00BB7C9E" w14:paraId="745F0506" w14:textId="77777777" w:rsidTr="00835798">
        <w:trPr>
          <w:trHeight w:val="227"/>
        </w:trPr>
        <w:tc>
          <w:tcPr>
            <w:tcW w:w="6747" w:type="dxa"/>
            <w:tcBorders>
              <w:top w:val="nil"/>
              <w:left w:val="nil"/>
              <w:bottom w:val="single" w:sz="8" w:space="0" w:color="0077BD"/>
              <w:right w:val="single" w:sz="8" w:space="0" w:color="0077BD"/>
            </w:tcBorders>
            <w:shd w:val="clear" w:color="000000" w:fill="FFFFFF"/>
            <w:vAlign w:val="center"/>
            <w:hideMark/>
          </w:tcPr>
          <w:p w14:paraId="0C87D088"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Zobowiązania wobec klientów - zmiana stanu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5157AB40" w14:textId="0C6A5723" w:rsidR="00835798" w:rsidRPr="00C74EF9" w:rsidRDefault="006C23B5" w:rsidP="006C23B5">
            <w:pPr>
              <w:jc w:val="right"/>
              <w:rPr>
                <w:rFonts w:cs="Calibri"/>
                <w:b/>
                <w:bCs/>
                <w:color w:val="000000" w:themeColor="text1"/>
                <w:sz w:val="13"/>
                <w:szCs w:val="13"/>
              </w:rPr>
            </w:pPr>
            <w:r>
              <w:rPr>
                <w:rFonts w:cs="Calibri"/>
                <w:b/>
                <w:bCs/>
                <w:color w:val="000000" w:themeColor="text1"/>
                <w:sz w:val="13"/>
                <w:szCs w:val="13"/>
              </w:rPr>
              <w:t>14 652</w:t>
            </w:r>
            <w:r w:rsidR="00835798" w:rsidRPr="00C74EF9">
              <w:rPr>
                <w:rFonts w:cs="Calibri"/>
                <w:b/>
                <w:bCs/>
                <w:color w:val="000000" w:themeColor="text1"/>
                <w:sz w:val="13"/>
                <w:szCs w:val="13"/>
              </w:rPr>
              <w:t xml:space="preserve"> </w:t>
            </w:r>
            <w:r>
              <w:rPr>
                <w:rFonts w:cs="Calibri"/>
                <w:b/>
                <w:bCs/>
                <w:color w:val="000000" w:themeColor="text1"/>
                <w:sz w:val="13"/>
                <w:szCs w:val="13"/>
              </w:rPr>
              <w:t>076</w:t>
            </w:r>
          </w:p>
        </w:tc>
        <w:tc>
          <w:tcPr>
            <w:tcW w:w="1418" w:type="dxa"/>
            <w:tcBorders>
              <w:top w:val="nil"/>
              <w:left w:val="single" w:sz="8" w:space="0" w:color="0077BD"/>
              <w:bottom w:val="single" w:sz="8" w:space="0" w:color="0077BD"/>
              <w:right w:val="nil"/>
            </w:tcBorders>
            <w:shd w:val="clear" w:color="000000" w:fill="FFFFFF"/>
            <w:noWrap/>
            <w:vAlign w:val="center"/>
            <w:hideMark/>
          </w:tcPr>
          <w:p w14:paraId="2B5198C8" w14:textId="796B9D68" w:rsidR="00835798"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10 389</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417</w:t>
            </w:r>
          </w:p>
        </w:tc>
      </w:tr>
      <w:tr w:rsidR="00835798" w:rsidRPr="00BB7C9E" w14:paraId="60F0D934" w14:textId="77777777" w:rsidTr="00835798">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7C50A53F"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3CE05BA5" w14:textId="062E2616" w:rsidR="00835798" w:rsidRPr="00C74EF9" w:rsidRDefault="003D0DB2" w:rsidP="00835798">
            <w:pPr>
              <w:jc w:val="right"/>
              <w:rPr>
                <w:rFonts w:cs="Calibri"/>
                <w:color w:val="000000" w:themeColor="text1"/>
                <w:sz w:val="13"/>
                <w:szCs w:val="13"/>
              </w:rPr>
            </w:pPr>
            <w:r>
              <w:rPr>
                <w:rFonts w:cs="Calibri"/>
                <w:color w:val="000000" w:themeColor="text1"/>
                <w:sz w:val="13"/>
                <w:szCs w:val="13"/>
              </w:rPr>
              <w:t>(419 101)</w:t>
            </w:r>
          </w:p>
        </w:tc>
        <w:tc>
          <w:tcPr>
            <w:tcW w:w="1418" w:type="dxa"/>
            <w:tcBorders>
              <w:top w:val="single" w:sz="4" w:space="0" w:color="0077BD"/>
              <w:left w:val="single" w:sz="8" w:space="0" w:color="0077BD"/>
              <w:bottom w:val="single" w:sz="4" w:space="0" w:color="0077BD"/>
              <w:right w:val="nil"/>
            </w:tcBorders>
            <w:shd w:val="clear" w:color="000000" w:fill="FFFFFF"/>
            <w:noWrap/>
            <w:vAlign w:val="center"/>
            <w:hideMark/>
          </w:tcPr>
          <w:p w14:paraId="0628A93A" w14:textId="4500D3B1" w:rsidR="00835798" w:rsidRPr="00C74EF9" w:rsidRDefault="005A0499" w:rsidP="00835798">
            <w:pPr>
              <w:jc w:val="right"/>
              <w:rPr>
                <w:rFonts w:cs="Calibri"/>
                <w:color w:val="000000" w:themeColor="text1"/>
                <w:sz w:val="13"/>
                <w:szCs w:val="13"/>
              </w:rPr>
            </w:pPr>
            <w:r w:rsidRPr="00C74EF9">
              <w:rPr>
                <w:rFonts w:cs="Calibri"/>
                <w:color w:val="000000" w:themeColor="text1"/>
                <w:sz w:val="13"/>
                <w:szCs w:val="13"/>
              </w:rPr>
              <w:t>341 171</w:t>
            </w:r>
          </w:p>
        </w:tc>
      </w:tr>
      <w:tr w:rsidR="00835798" w:rsidRPr="00BB7C9E" w14:paraId="26D0021E" w14:textId="77777777" w:rsidTr="00835798">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12C99681" w14:textId="11FB2F27" w:rsidR="00835798" w:rsidRPr="00C74EF9" w:rsidRDefault="00835798" w:rsidP="006C23B5">
            <w:pPr>
              <w:rPr>
                <w:rFonts w:cs="Calibri"/>
                <w:color w:val="000000" w:themeColor="text1"/>
                <w:sz w:val="13"/>
                <w:szCs w:val="13"/>
              </w:rPr>
            </w:pPr>
            <w:r w:rsidRPr="00C74EF9">
              <w:rPr>
                <w:rFonts w:cs="Calibri"/>
                <w:color w:val="000000" w:themeColor="text1"/>
                <w:sz w:val="13"/>
                <w:szCs w:val="13"/>
              </w:rPr>
              <w:t>Wyłączenie zmiany stanu środków pieniężnych z działalności finansowej</w:t>
            </w:r>
          </w:p>
        </w:tc>
        <w:tc>
          <w:tcPr>
            <w:tcW w:w="1418" w:type="dxa"/>
            <w:tcBorders>
              <w:top w:val="nil"/>
              <w:left w:val="single" w:sz="8" w:space="0" w:color="0077BD"/>
              <w:bottom w:val="single" w:sz="4" w:space="0" w:color="0077BD"/>
              <w:right w:val="nil"/>
            </w:tcBorders>
            <w:shd w:val="clear" w:color="auto" w:fill="auto"/>
            <w:noWrap/>
            <w:vAlign w:val="center"/>
          </w:tcPr>
          <w:p w14:paraId="5A9F9AF1" w14:textId="1A62DAFE" w:rsidR="00835798" w:rsidRPr="00C74EF9" w:rsidRDefault="003D0DB2" w:rsidP="006C23B5">
            <w:pPr>
              <w:jc w:val="right"/>
              <w:rPr>
                <w:rFonts w:cs="Calibri"/>
                <w:color w:val="000000" w:themeColor="text1"/>
                <w:sz w:val="13"/>
                <w:szCs w:val="13"/>
              </w:rPr>
            </w:pPr>
            <w:r>
              <w:rPr>
                <w:rFonts w:cs="Calibri"/>
                <w:color w:val="000000" w:themeColor="text1"/>
                <w:sz w:val="13"/>
                <w:szCs w:val="13"/>
              </w:rPr>
              <w:t>641 383</w:t>
            </w:r>
          </w:p>
        </w:tc>
        <w:tc>
          <w:tcPr>
            <w:tcW w:w="1418" w:type="dxa"/>
            <w:tcBorders>
              <w:top w:val="nil"/>
              <w:left w:val="single" w:sz="8" w:space="0" w:color="0077BD"/>
              <w:bottom w:val="single" w:sz="4" w:space="0" w:color="0077BD"/>
              <w:right w:val="nil"/>
            </w:tcBorders>
            <w:shd w:val="clear" w:color="000000" w:fill="FFFFFF"/>
            <w:noWrap/>
            <w:vAlign w:val="center"/>
            <w:hideMark/>
          </w:tcPr>
          <w:p w14:paraId="380805B7"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734 364</w:t>
            </w:r>
          </w:p>
        </w:tc>
      </w:tr>
      <w:tr w:rsidR="00835798" w:rsidRPr="00BB7C9E" w14:paraId="790B4137" w14:textId="77777777" w:rsidTr="00835798">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14EDFB10"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zobowiązań wobec klientów,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08C55734" w14:textId="323A4ECD"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14 874 358</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15AF16D2" w14:textId="465C9A0E" w:rsidR="00835798" w:rsidRPr="00C74EF9" w:rsidRDefault="005A0499" w:rsidP="005A0499">
            <w:pPr>
              <w:jc w:val="right"/>
              <w:rPr>
                <w:rFonts w:cs="Calibri"/>
                <w:b/>
                <w:bCs/>
                <w:color w:val="000000" w:themeColor="text1"/>
                <w:sz w:val="13"/>
                <w:szCs w:val="13"/>
              </w:rPr>
            </w:pPr>
            <w:r w:rsidRPr="00C74EF9">
              <w:rPr>
                <w:rFonts w:cs="Calibri"/>
                <w:b/>
                <w:bCs/>
                <w:color w:val="000000" w:themeColor="text1"/>
                <w:sz w:val="13"/>
                <w:szCs w:val="13"/>
              </w:rPr>
              <w:t>11 464</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952</w:t>
            </w:r>
          </w:p>
        </w:tc>
      </w:tr>
      <w:tr w:rsidR="00835798" w:rsidRPr="00BB7C9E" w14:paraId="73AD003F" w14:textId="77777777" w:rsidTr="00835798">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3FD1CD65"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Zobowiązania z tytułu emisji dłużnych papierów wartościowych - zmiana stanu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6EC1839D" w14:textId="01EDD476"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(614 440)</w:t>
            </w:r>
          </w:p>
        </w:tc>
        <w:tc>
          <w:tcPr>
            <w:tcW w:w="1418" w:type="dxa"/>
            <w:tcBorders>
              <w:top w:val="nil"/>
              <w:left w:val="single" w:sz="8" w:space="0" w:color="0077BD"/>
              <w:bottom w:val="single" w:sz="8" w:space="0" w:color="0077BD"/>
              <w:right w:val="nil"/>
            </w:tcBorders>
            <w:shd w:val="clear" w:color="000000" w:fill="FFFFFF"/>
            <w:noWrap/>
            <w:vAlign w:val="center"/>
            <w:hideMark/>
          </w:tcPr>
          <w:p w14:paraId="10E31BC5"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3 726 731</w:t>
            </w:r>
          </w:p>
        </w:tc>
      </w:tr>
      <w:tr w:rsidR="00835798" w:rsidRPr="00BB7C9E" w14:paraId="68E9A215" w14:textId="77777777" w:rsidTr="00835798">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4EEF6D1E"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Różnica pomiędzy odsetkami naliczonymi a zrealizowanymi kasowo w okresie sprawozdawczym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239F808" w14:textId="1646D448" w:rsidR="00835798" w:rsidRPr="00C74EF9" w:rsidRDefault="00EA45F1" w:rsidP="00835798">
            <w:pPr>
              <w:jc w:val="right"/>
              <w:rPr>
                <w:rFonts w:cs="Calibri"/>
                <w:color w:val="000000" w:themeColor="text1"/>
                <w:sz w:val="13"/>
                <w:szCs w:val="13"/>
              </w:rPr>
            </w:pPr>
            <w:r w:rsidRPr="00C74EF9">
              <w:rPr>
                <w:rFonts w:cs="Calibri"/>
                <w:color w:val="000000" w:themeColor="text1"/>
                <w:sz w:val="13"/>
                <w:szCs w:val="13"/>
              </w:rPr>
              <w:t>(14 974)</w:t>
            </w:r>
          </w:p>
        </w:tc>
        <w:tc>
          <w:tcPr>
            <w:tcW w:w="1418" w:type="dxa"/>
            <w:tcBorders>
              <w:top w:val="single" w:sz="4" w:space="0" w:color="0077BD"/>
              <w:left w:val="single" w:sz="8" w:space="0" w:color="0077BD"/>
              <w:bottom w:val="single" w:sz="4" w:space="0" w:color="0077BD"/>
              <w:right w:val="nil"/>
            </w:tcBorders>
            <w:shd w:val="clear" w:color="000000" w:fill="FFFFFF"/>
            <w:noWrap/>
            <w:vAlign w:val="center"/>
            <w:hideMark/>
          </w:tcPr>
          <w:p w14:paraId="14ED2679"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(75 357)</w:t>
            </w:r>
          </w:p>
        </w:tc>
      </w:tr>
      <w:tr w:rsidR="00835798" w:rsidRPr="00BB7C9E" w14:paraId="5DE540AD" w14:textId="77777777" w:rsidTr="00835798">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65FBED52"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Wyłączenie zmiany stanu środków pieniężnych z działalności finansowej</w:t>
            </w:r>
          </w:p>
        </w:tc>
        <w:tc>
          <w:tcPr>
            <w:tcW w:w="1418" w:type="dxa"/>
            <w:tcBorders>
              <w:top w:val="nil"/>
              <w:left w:val="single" w:sz="8" w:space="0" w:color="0077BD"/>
              <w:bottom w:val="single" w:sz="4" w:space="0" w:color="0077BD"/>
              <w:right w:val="nil"/>
            </w:tcBorders>
            <w:shd w:val="clear" w:color="auto" w:fill="auto"/>
            <w:noWrap/>
            <w:vAlign w:val="center"/>
          </w:tcPr>
          <w:p w14:paraId="0CCC5FFF" w14:textId="755B7A28" w:rsidR="00835798" w:rsidRPr="00C74EF9" w:rsidRDefault="00EA45F1" w:rsidP="00EA45F1">
            <w:pPr>
              <w:jc w:val="right"/>
              <w:rPr>
                <w:rFonts w:cs="Calibri"/>
                <w:color w:val="000000" w:themeColor="text1"/>
                <w:sz w:val="13"/>
                <w:szCs w:val="13"/>
              </w:rPr>
            </w:pPr>
            <w:r w:rsidRPr="00C74EF9">
              <w:rPr>
                <w:rFonts w:cs="Calibri"/>
                <w:color w:val="000000" w:themeColor="text1"/>
                <w:sz w:val="13"/>
                <w:szCs w:val="13"/>
              </w:rPr>
              <w:t>404</w:t>
            </w:r>
            <w:r w:rsidR="00835798" w:rsidRPr="00C74EF9">
              <w:rPr>
                <w:rFonts w:cs="Calibri"/>
                <w:color w:val="000000" w:themeColor="text1"/>
                <w:sz w:val="13"/>
                <w:szCs w:val="13"/>
              </w:rPr>
              <w:t xml:space="preserve"> </w:t>
            </w:r>
            <w:r w:rsidRPr="00C74EF9">
              <w:rPr>
                <w:rFonts w:cs="Calibri"/>
                <w:color w:val="000000" w:themeColor="text1"/>
                <w:sz w:val="13"/>
                <w:szCs w:val="13"/>
              </w:rPr>
              <w:t>989</w:t>
            </w:r>
          </w:p>
        </w:tc>
        <w:tc>
          <w:tcPr>
            <w:tcW w:w="1418" w:type="dxa"/>
            <w:tcBorders>
              <w:top w:val="nil"/>
              <w:left w:val="single" w:sz="8" w:space="0" w:color="0077BD"/>
              <w:bottom w:val="single" w:sz="4" w:space="0" w:color="0077BD"/>
              <w:right w:val="nil"/>
            </w:tcBorders>
            <w:shd w:val="clear" w:color="000000" w:fill="FFFFFF"/>
            <w:noWrap/>
            <w:vAlign w:val="center"/>
            <w:hideMark/>
          </w:tcPr>
          <w:p w14:paraId="178B811F"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(3 370 561)</w:t>
            </w:r>
          </w:p>
        </w:tc>
      </w:tr>
      <w:tr w:rsidR="00835798" w:rsidRPr="00BB7C9E" w14:paraId="16EF0D06" w14:textId="77777777" w:rsidTr="00835798">
        <w:trPr>
          <w:trHeight w:val="227"/>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3EEF1273" w14:textId="77777777"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 zobowiązań z tytułu emisji dłużnych papierów wartościowych,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74A3AB4D" w14:textId="1B3CA94B" w:rsidR="00835798" w:rsidRPr="00C74EF9" w:rsidRDefault="00EA45F1" w:rsidP="00EA45F1">
            <w:pPr>
              <w:jc w:val="right"/>
              <w:rPr>
                <w:rFonts w:cs="Calibri"/>
                <w:b/>
                <w:bCs/>
                <w:color w:val="000000" w:themeColor="text1"/>
                <w:sz w:val="13"/>
                <w:szCs w:val="13"/>
              </w:rPr>
            </w:pPr>
            <w:r w:rsidRPr="00C74EF9">
              <w:rPr>
                <w:rFonts w:cs="Calibri"/>
                <w:b/>
                <w:bCs/>
                <w:color w:val="000000" w:themeColor="text1"/>
                <w:sz w:val="13"/>
                <w:szCs w:val="13"/>
              </w:rPr>
              <w:t>(224</w:t>
            </w:r>
            <w:r w:rsidR="00835798" w:rsidRPr="00C74EF9">
              <w:rPr>
                <w:rFonts w:cs="Calibri"/>
                <w:b/>
                <w:bCs/>
                <w:color w:val="000000" w:themeColor="text1"/>
                <w:sz w:val="13"/>
                <w:szCs w:val="13"/>
              </w:rPr>
              <w:t xml:space="preserve"> </w:t>
            </w:r>
            <w:r w:rsidRPr="00C74EF9">
              <w:rPr>
                <w:rFonts w:cs="Calibri"/>
                <w:b/>
                <w:bCs/>
                <w:color w:val="000000" w:themeColor="text1"/>
                <w:sz w:val="13"/>
                <w:szCs w:val="13"/>
              </w:rPr>
              <w:t>425</w:t>
            </w:r>
            <w:r w:rsidR="00835798" w:rsidRPr="00C74EF9">
              <w:rPr>
                <w:rFonts w:cs="Calibri"/>
                <w:b/>
                <w:bCs/>
                <w:color w:val="000000" w:themeColor="text1"/>
                <w:sz w:val="13"/>
                <w:szCs w:val="13"/>
              </w:rPr>
              <w:t>)</w:t>
            </w:r>
          </w:p>
        </w:tc>
        <w:tc>
          <w:tcPr>
            <w:tcW w:w="1418" w:type="dxa"/>
            <w:tcBorders>
              <w:top w:val="single" w:sz="8" w:space="0" w:color="0077BD"/>
              <w:left w:val="single" w:sz="8" w:space="0" w:color="0077BD"/>
              <w:bottom w:val="single" w:sz="8" w:space="0" w:color="0077BD"/>
              <w:right w:val="nil"/>
            </w:tcBorders>
            <w:shd w:val="clear" w:color="000000" w:fill="FFFFFF"/>
            <w:noWrap/>
            <w:vAlign w:val="center"/>
            <w:hideMark/>
          </w:tcPr>
          <w:p w14:paraId="45EFADE5" w14:textId="77777777" w:rsidR="00835798" w:rsidRPr="00C74EF9" w:rsidRDefault="00835798" w:rsidP="00835798">
            <w:pPr>
              <w:jc w:val="right"/>
              <w:rPr>
                <w:rFonts w:cs="Calibri"/>
                <w:b/>
                <w:bCs/>
                <w:color w:val="000000" w:themeColor="text1"/>
                <w:sz w:val="13"/>
                <w:szCs w:val="13"/>
              </w:rPr>
            </w:pPr>
            <w:r w:rsidRPr="00C74EF9">
              <w:rPr>
                <w:rFonts w:cs="Calibri"/>
                <w:b/>
                <w:bCs/>
                <w:color w:val="000000" w:themeColor="text1"/>
                <w:sz w:val="13"/>
                <w:szCs w:val="13"/>
              </w:rPr>
              <w:t>280 813</w:t>
            </w:r>
          </w:p>
        </w:tc>
      </w:tr>
      <w:tr w:rsidR="00835798" w:rsidRPr="00BB7C9E" w14:paraId="647DA561" w14:textId="77777777" w:rsidTr="00835798">
        <w:trPr>
          <w:trHeight w:val="340"/>
        </w:trPr>
        <w:tc>
          <w:tcPr>
            <w:tcW w:w="6747" w:type="dxa"/>
            <w:tcBorders>
              <w:top w:val="nil"/>
              <w:left w:val="nil"/>
              <w:bottom w:val="single" w:sz="8" w:space="0" w:color="0077BD"/>
              <w:right w:val="single" w:sz="8" w:space="0" w:color="0077BD"/>
            </w:tcBorders>
            <w:shd w:val="clear" w:color="000000" w:fill="FFFFFF"/>
            <w:vAlign w:val="center"/>
            <w:hideMark/>
          </w:tcPr>
          <w:p w14:paraId="6BD3690E" w14:textId="4B2C9CA3"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w:t>
            </w:r>
            <w:r w:rsidR="00EB09CB" w:rsidRPr="00C74EF9">
              <w:rPr>
                <w:rFonts w:cs="Calibri"/>
                <w:b/>
                <w:bCs/>
                <w:color w:val="000000" w:themeColor="text1"/>
                <w:sz w:val="13"/>
                <w:szCs w:val="13"/>
              </w:rPr>
              <w:t xml:space="preserve"> pozostałych zobowiązań (w tym przeznaczonych do sprzedaży)</w:t>
            </w:r>
            <w:r w:rsidR="00755ED6">
              <w:rPr>
                <w:rFonts w:cs="Calibri"/>
                <w:b/>
                <w:bCs/>
                <w:color w:val="000000" w:themeColor="text1"/>
                <w:sz w:val="13"/>
                <w:szCs w:val="13"/>
              </w:rPr>
              <w:t xml:space="preserve"> i rezerw</w:t>
            </w:r>
            <w:r w:rsidRPr="00C74EF9">
              <w:rPr>
                <w:rFonts w:cs="Calibri"/>
                <w:b/>
                <w:bCs/>
                <w:color w:val="000000" w:themeColor="text1"/>
                <w:sz w:val="13"/>
                <w:szCs w:val="13"/>
              </w:rPr>
              <w:t xml:space="preserve"> - zmiana stanu wynikająca z sald bilansowych</w:t>
            </w:r>
          </w:p>
        </w:tc>
        <w:tc>
          <w:tcPr>
            <w:tcW w:w="1418" w:type="dxa"/>
            <w:tcBorders>
              <w:top w:val="nil"/>
              <w:left w:val="single" w:sz="8" w:space="0" w:color="0077BD"/>
              <w:bottom w:val="single" w:sz="8" w:space="0" w:color="0077BD"/>
              <w:right w:val="nil"/>
            </w:tcBorders>
            <w:shd w:val="clear" w:color="auto" w:fill="auto"/>
            <w:noWrap/>
            <w:vAlign w:val="center"/>
          </w:tcPr>
          <w:p w14:paraId="28724209" w14:textId="6D93CFC0" w:rsidR="00835798" w:rsidRPr="00C74EF9" w:rsidRDefault="000B39F1" w:rsidP="00835798">
            <w:pPr>
              <w:jc w:val="right"/>
              <w:rPr>
                <w:rFonts w:cs="Calibri"/>
                <w:b/>
                <w:bCs/>
                <w:color w:val="000000" w:themeColor="text1"/>
                <w:sz w:val="13"/>
                <w:szCs w:val="13"/>
              </w:rPr>
            </w:pPr>
            <w:r>
              <w:rPr>
                <w:rFonts w:cs="Calibri"/>
                <w:b/>
                <w:bCs/>
                <w:color w:val="000000" w:themeColor="text1"/>
                <w:sz w:val="13"/>
                <w:szCs w:val="13"/>
              </w:rPr>
              <w:t>58 523</w:t>
            </w:r>
          </w:p>
        </w:tc>
        <w:tc>
          <w:tcPr>
            <w:tcW w:w="1418" w:type="dxa"/>
            <w:tcBorders>
              <w:top w:val="nil"/>
              <w:left w:val="single" w:sz="8" w:space="0" w:color="0077BD"/>
              <w:bottom w:val="single" w:sz="8" w:space="0" w:color="0077BD"/>
              <w:right w:val="nil"/>
            </w:tcBorders>
            <w:shd w:val="clear" w:color="000000" w:fill="FFFFFF"/>
            <w:noWrap/>
            <w:vAlign w:val="center"/>
            <w:hideMark/>
          </w:tcPr>
          <w:p w14:paraId="425C282A" w14:textId="69C0496D" w:rsidR="00835798" w:rsidRPr="00C74EF9" w:rsidRDefault="00072E6E" w:rsidP="00072E6E">
            <w:pPr>
              <w:jc w:val="right"/>
              <w:rPr>
                <w:rFonts w:cs="Calibri"/>
                <w:b/>
                <w:bCs/>
                <w:color w:val="000000" w:themeColor="text1"/>
                <w:sz w:val="13"/>
                <w:szCs w:val="13"/>
              </w:rPr>
            </w:pPr>
            <w:r>
              <w:rPr>
                <w:rFonts w:cs="Calibri"/>
                <w:b/>
                <w:bCs/>
                <w:color w:val="000000" w:themeColor="text1"/>
                <w:sz w:val="13"/>
                <w:szCs w:val="13"/>
              </w:rPr>
              <w:t>793</w:t>
            </w:r>
            <w:r w:rsidR="00835798" w:rsidRPr="00C74EF9">
              <w:rPr>
                <w:rFonts w:cs="Calibri"/>
                <w:b/>
                <w:bCs/>
                <w:color w:val="000000" w:themeColor="text1"/>
                <w:sz w:val="13"/>
                <w:szCs w:val="13"/>
              </w:rPr>
              <w:t xml:space="preserve"> </w:t>
            </w:r>
            <w:r>
              <w:rPr>
                <w:rFonts w:cs="Calibri"/>
                <w:b/>
                <w:bCs/>
                <w:color w:val="000000" w:themeColor="text1"/>
                <w:sz w:val="13"/>
                <w:szCs w:val="13"/>
              </w:rPr>
              <w:t>337</w:t>
            </w:r>
          </w:p>
        </w:tc>
      </w:tr>
      <w:tr w:rsidR="00835798" w:rsidRPr="00BB7C9E" w14:paraId="187D081B" w14:textId="77777777" w:rsidTr="00860FA1">
        <w:trPr>
          <w:trHeight w:val="227"/>
        </w:trPr>
        <w:tc>
          <w:tcPr>
            <w:tcW w:w="6747" w:type="dxa"/>
            <w:tcBorders>
              <w:top w:val="single" w:sz="4" w:space="0" w:color="0077BD"/>
              <w:left w:val="nil"/>
              <w:bottom w:val="single" w:sz="4" w:space="0" w:color="0077BD"/>
              <w:right w:val="single" w:sz="8" w:space="0" w:color="0077BD"/>
            </w:tcBorders>
            <w:shd w:val="clear" w:color="000000" w:fill="FFFFFF"/>
            <w:vAlign w:val="center"/>
            <w:hideMark/>
          </w:tcPr>
          <w:p w14:paraId="433E5713"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Wycena programów motywacyjnych ujęta w wyniku (Nota 13)</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499F4FC4" w14:textId="7D185D37" w:rsidR="00835798" w:rsidRPr="00C74EF9" w:rsidRDefault="00072E6E" w:rsidP="00835798">
            <w:pPr>
              <w:jc w:val="right"/>
              <w:rPr>
                <w:rFonts w:cs="Calibri"/>
                <w:color w:val="000000" w:themeColor="text1"/>
                <w:sz w:val="13"/>
                <w:szCs w:val="13"/>
              </w:rPr>
            </w:pPr>
            <w:r>
              <w:rPr>
                <w:rFonts w:cs="Calibri"/>
                <w:color w:val="000000" w:themeColor="text1"/>
                <w:sz w:val="13"/>
                <w:szCs w:val="13"/>
              </w:rPr>
              <w:t>10 702</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7FC3E033"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10 703</w:t>
            </w:r>
          </w:p>
        </w:tc>
      </w:tr>
      <w:tr w:rsidR="00835798" w:rsidRPr="00BB7C9E" w14:paraId="69A0C24D" w14:textId="77777777" w:rsidTr="00860FA1">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44A94CC9"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Wyłączenie zobowiązań z tytułu podatku od niektórych instytucji finansowych</w:t>
            </w:r>
          </w:p>
        </w:tc>
        <w:tc>
          <w:tcPr>
            <w:tcW w:w="1418" w:type="dxa"/>
            <w:tcBorders>
              <w:top w:val="nil"/>
              <w:left w:val="single" w:sz="8" w:space="0" w:color="0077BD"/>
              <w:bottom w:val="single" w:sz="4" w:space="0" w:color="0077BD"/>
              <w:right w:val="nil"/>
            </w:tcBorders>
            <w:shd w:val="clear" w:color="auto" w:fill="auto"/>
            <w:noWrap/>
            <w:vAlign w:val="center"/>
          </w:tcPr>
          <w:p w14:paraId="2DF39F5A" w14:textId="45067CD8" w:rsidR="00835798" w:rsidRPr="00C74EF9" w:rsidRDefault="00072E6E" w:rsidP="00072E6E">
            <w:pPr>
              <w:jc w:val="right"/>
              <w:rPr>
                <w:rFonts w:cs="Calibri"/>
                <w:color w:val="000000" w:themeColor="text1"/>
                <w:sz w:val="13"/>
                <w:szCs w:val="13"/>
              </w:rPr>
            </w:pPr>
            <w:r>
              <w:rPr>
                <w:rFonts w:cs="Calibri"/>
                <w:color w:val="000000" w:themeColor="text1"/>
                <w:sz w:val="13"/>
                <w:szCs w:val="13"/>
              </w:rPr>
              <w:t>(39</w:t>
            </w:r>
            <w:r w:rsidR="00835798" w:rsidRPr="00C74EF9">
              <w:rPr>
                <w:rFonts w:cs="Calibri"/>
                <w:color w:val="000000" w:themeColor="text1"/>
                <w:sz w:val="13"/>
                <w:szCs w:val="13"/>
              </w:rPr>
              <w:t xml:space="preserve"> </w:t>
            </w:r>
            <w:r>
              <w:rPr>
                <w:rFonts w:cs="Calibri"/>
                <w:color w:val="000000" w:themeColor="text1"/>
                <w:sz w:val="13"/>
                <w:szCs w:val="13"/>
              </w:rPr>
              <w:t>871</w:t>
            </w:r>
            <w:r w:rsidR="00835798" w:rsidRPr="00C74EF9">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7634FB7C" w14:textId="33D65B43"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w:t>
            </w:r>
            <w:r w:rsidR="00072E6E">
              <w:rPr>
                <w:rFonts w:cs="Calibri"/>
                <w:color w:val="000000" w:themeColor="text1"/>
                <w:sz w:val="13"/>
                <w:szCs w:val="13"/>
              </w:rPr>
              <w:t>96</w:t>
            </w:r>
            <w:r w:rsidRPr="00C74EF9">
              <w:rPr>
                <w:rFonts w:cs="Calibri"/>
                <w:color w:val="000000" w:themeColor="text1"/>
                <w:sz w:val="13"/>
                <w:szCs w:val="13"/>
              </w:rPr>
              <w:t>)</w:t>
            </w:r>
          </w:p>
        </w:tc>
      </w:tr>
      <w:tr w:rsidR="00835798" w:rsidRPr="00BB7C9E" w14:paraId="0A80B7A3" w14:textId="77777777" w:rsidTr="00860FA1">
        <w:trPr>
          <w:trHeight w:val="227"/>
        </w:trPr>
        <w:tc>
          <w:tcPr>
            <w:tcW w:w="6747" w:type="dxa"/>
            <w:tcBorders>
              <w:top w:val="nil"/>
              <w:left w:val="nil"/>
              <w:bottom w:val="single" w:sz="4" w:space="0" w:color="0077BD"/>
              <w:right w:val="single" w:sz="8" w:space="0" w:color="0077BD"/>
            </w:tcBorders>
            <w:shd w:val="clear" w:color="000000" w:fill="FFFFFF"/>
            <w:vAlign w:val="center"/>
            <w:hideMark/>
          </w:tcPr>
          <w:p w14:paraId="574AE05C" w14:textId="77777777" w:rsidR="00835798" w:rsidRPr="00C74EF9" w:rsidRDefault="00835798" w:rsidP="00835798">
            <w:pPr>
              <w:rPr>
                <w:rFonts w:cs="Calibri"/>
                <w:color w:val="000000" w:themeColor="text1"/>
                <w:sz w:val="13"/>
                <w:szCs w:val="13"/>
              </w:rPr>
            </w:pPr>
            <w:r w:rsidRPr="00C74EF9">
              <w:rPr>
                <w:rFonts w:cs="Calibri"/>
                <w:color w:val="000000" w:themeColor="text1"/>
                <w:sz w:val="13"/>
                <w:szCs w:val="13"/>
              </w:rPr>
              <w:t>Wycena aktuarialna rezerw na świadczenia pracownicze po okresie zatrudnienia ujęta w pozostałych dochodach całkowitych (Nota 18)</w:t>
            </w:r>
          </w:p>
        </w:tc>
        <w:tc>
          <w:tcPr>
            <w:tcW w:w="1418" w:type="dxa"/>
            <w:tcBorders>
              <w:top w:val="nil"/>
              <w:left w:val="single" w:sz="8" w:space="0" w:color="0077BD"/>
              <w:bottom w:val="single" w:sz="4" w:space="0" w:color="0077BD"/>
              <w:right w:val="nil"/>
            </w:tcBorders>
            <w:shd w:val="clear" w:color="auto" w:fill="auto"/>
            <w:noWrap/>
            <w:vAlign w:val="center"/>
          </w:tcPr>
          <w:p w14:paraId="6E8E01D6" w14:textId="5A7481C8" w:rsidR="00835798" w:rsidRPr="00C74EF9" w:rsidRDefault="00072E6E" w:rsidP="00835798">
            <w:pPr>
              <w:jc w:val="right"/>
              <w:rPr>
                <w:rFonts w:cs="Calibri"/>
                <w:color w:val="000000" w:themeColor="text1"/>
                <w:sz w:val="13"/>
                <w:szCs w:val="13"/>
              </w:rPr>
            </w:pPr>
            <w:r>
              <w:rPr>
                <w:rFonts w:cs="Calibri"/>
                <w:color w:val="000000" w:themeColor="text1"/>
                <w:sz w:val="13"/>
                <w:szCs w:val="13"/>
              </w:rPr>
              <w:t>(2 483</w:t>
            </w:r>
            <w:r w:rsidR="00835798" w:rsidRPr="00C74EF9">
              <w:rPr>
                <w:rFonts w:cs="Calibri"/>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58E95578" w14:textId="77777777" w:rsidR="00835798" w:rsidRPr="00C74EF9" w:rsidRDefault="00835798" w:rsidP="00835798">
            <w:pPr>
              <w:jc w:val="right"/>
              <w:rPr>
                <w:rFonts w:cs="Calibri"/>
                <w:color w:val="000000" w:themeColor="text1"/>
                <w:sz w:val="13"/>
                <w:szCs w:val="13"/>
              </w:rPr>
            </w:pPr>
            <w:r w:rsidRPr="00C74EF9">
              <w:rPr>
                <w:rFonts w:cs="Calibri"/>
                <w:color w:val="000000" w:themeColor="text1"/>
                <w:sz w:val="13"/>
                <w:szCs w:val="13"/>
              </w:rPr>
              <w:t>(3 135)</w:t>
            </w:r>
          </w:p>
        </w:tc>
      </w:tr>
      <w:tr w:rsidR="00835798" w:rsidRPr="00BB7C9E" w14:paraId="543D5E39" w14:textId="77777777" w:rsidTr="00B95A90">
        <w:trPr>
          <w:trHeight w:val="255"/>
        </w:trPr>
        <w:tc>
          <w:tcPr>
            <w:tcW w:w="6747" w:type="dxa"/>
            <w:tcBorders>
              <w:top w:val="single" w:sz="8" w:space="0" w:color="0077BD"/>
              <w:left w:val="nil"/>
              <w:bottom w:val="single" w:sz="8" w:space="0" w:color="0077BD"/>
              <w:right w:val="single" w:sz="8" w:space="0" w:color="0077BD"/>
            </w:tcBorders>
            <w:shd w:val="clear" w:color="000000" w:fill="FFFFFF"/>
            <w:vAlign w:val="center"/>
            <w:hideMark/>
          </w:tcPr>
          <w:p w14:paraId="07118FEE" w14:textId="4D4AF41B" w:rsidR="00835798" w:rsidRPr="00C74EF9" w:rsidRDefault="00835798" w:rsidP="00835798">
            <w:pPr>
              <w:rPr>
                <w:rFonts w:cs="Calibri"/>
                <w:b/>
                <w:bCs/>
                <w:color w:val="000000" w:themeColor="text1"/>
                <w:sz w:val="13"/>
                <w:szCs w:val="13"/>
              </w:rPr>
            </w:pPr>
            <w:r w:rsidRPr="00C74EF9">
              <w:rPr>
                <w:rFonts w:cs="Calibri"/>
                <w:b/>
                <w:bCs/>
                <w:color w:val="000000" w:themeColor="text1"/>
                <w:sz w:val="13"/>
                <w:szCs w:val="13"/>
              </w:rPr>
              <w:t>Zmiana stanu</w:t>
            </w:r>
            <w:r w:rsidR="00F30C9B" w:rsidRPr="00C74EF9">
              <w:rPr>
                <w:rFonts w:cs="Calibri"/>
                <w:b/>
                <w:bCs/>
                <w:color w:val="000000" w:themeColor="text1"/>
                <w:sz w:val="13"/>
                <w:szCs w:val="13"/>
              </w:rPr>
              <w:t xml:space="preserve"> pozostałych zobowiązań</w:t>
            </w:r>
            <w:r w:rsidRPr="00C74EF9">
              <w:rPr>
                <w:rFonts w:cs="Calibri"/>
                <w:b/>
                <w:bCs/>
                <w:color w:val="000000" w:themeColor="text1"/>
                <w:sz w:val="13"/>
                <w:szCs w:val="13"/>
              </w:rPr>
              <w:t>,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7CB5B47" w14:textId="3CE79710" w:rsidR="00835798" w:rsidRPr="00C74EF9" w:rsidRDefault="00072E6E" w:rsidP="00072E6E">
            <w:pPr>
              <w:jc w:val="right"/>
              <w:rPr>
                <w:rFonts w:cs="Calibri"/>
                <w:b/>
                <w:bCs/>
                <w:color w:val="000000" w:themeColor="text1"/>
                <w:sz w:val="13"/>
                <w:szCs w:val="13"/>
              </w:rPr>
            </w:pPr>
            <w:r>
              <w:rPr>
                <w:rFonts w:cs="Calibri"/>
                <w:b/>
                <w:bCs/>
                <w:color w:val="000000" w:themeColor="text1"/>
                <w:sz w:val="13"/>
                <w:szCs w:val="13"/>
              </w:rPr>
              <w:t>26 871</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5F798703" w14:textId="5A9F22EC" w:rsidR="00835798" w:rsidRPr="00C74EF9" w:rsidRDefault="00072E6E" w:rsidP="00072E6E">
            <w:pPr>
              <w:jc w:val="right"/>
              <w:rPr>
                <w:rFonts w:cs="Calibri"/>
                <w:b/>
                <w:bCs/>
                <w:color w:val="000000" w:themeColor="text1"/>
                <w:sz w:val="13"/>
                <w:szCs w:val="13"/>
              </w:rPr>
            </w:pPr>
            <w:r>
              <w:rPr>
                <w:rFonts w:cs="Calibri"/>
                <w:b/>
                <w:bCs/>
                <w:color w:val="000000" w:themeColor="text1"/>
                <w:sz w:val="13"/>
                <w:szCs w:val="13"/>
              </w:rPr>
              <w:t>800</w:t>
            </w:r>
            <w:r w:rsidR="00835798" w:rsidRPr="00C74EF9">
              <w:rPr>
                <w:rFonts w:cs="Calibri"/>
                <w:b/>
                <w:bCs/>
                <w:color w:val="000000" w:themeColor="text1"/>
                <w:sz w:val="13"/>
                <w:szCs w:val="13"/>
              </w:rPr>
              <w:t xml:space="preserve"> </w:t>
            </w:r>
            <w:r>
              <w:rPr>
                <w:rFonts w:cs="Calibri"/>
                <w:b/>
                <w:bCs/>
                <w:color w:val="000000" w:themeColor="text1"/>
                <w:sz w:val="13"/>
                <w:szCs w:val="13"/>
              </w:rPr>
              <w:t>509</w:t>
            </w:r>
          </w:p>
        </w:tc>
      </w:tr>
    </w:tbl>
    <w:p w14:paraId="76B67714" w14:textId="77777777" w:rsidR="00511B39" w:rsidRDefault="00511B39">
      <w:r>
        <w:br w:type="page"/>
      </w:r>
    </w:p>
    <w:p w14:paraId="294A5794" w14:textId="77777777" w:rsidR="00C237F7" w:rsidRPr="00D5698B" w:rsidRDefault="00752A07" w:rsidP="00D7210F">
      <w:pPr>
        <w:pStyle w:val="Tekstpodstawowy"/>
        <w:spacing w:before="120" w:after="0"/>
        <w:jc w:val="both"/>
        <w:rPr>
          <w:rFonts w:cs="Tahoma"/>
          <w:b/>
          <w:i/>
          <w:color w:val="E41E0A"/>
          <w:sz w:val="18"/>
          <w:szCs w:val="18"/>
          <w:u w:val="single"/>
        </w:rPr>
      </w:pPr>
      <w:r>
        <w:rPr>
          <w:rFonts w:cs="Tahoma"/>
          <w:b/>
          <w:i/>
          <w:color w:val="E41E0A"/>
          <w:sz w:val="18"/>
          <w:szCs w:val="18"/>
          <w:u w:val="single"/>
        </w:rPr>
        <w:lastRenderedPageBreak/>
        <w:t>O</w:t>
      </w:r>
      <w:r w:rsidR="00C237F7" w:rsidRPr="00D5698B">
        <w:rPr>
          <w:rFonts w:cs="Tahoma"/>
          <w:b/>
          <w:i/>
          <w:color w:val="E41E0A"/>
          <w:sz w:val="18"/>
          <w:szCs w:val="18"/>
          <w:u w:val="single"/>
        </w:rPr>
        <w:t>dsetki otrzymane i zapłacone wykazane w działalności operacyjnej</w:t>
      </w:r>
    </w:p>
    <w:p w14:paraId="240E8F20" w14:textId="01080C12" w:rsidR="00C237F7" w:rsidRDefault="00C237F7" w:rsidP="00D7210F">
      <w:pPr>
        <w:suppressAutoHyphens/>
        <w:jc w:val="both"/>
        <w:rPr>
          <w:rFonts w:cs="Tahoma"/>
          <w:color w:val="201C17"/>
          <w:sz w:val="18"/>
          <w:szCs w:val="18"/>
        </w:rPr>
      </w:pPr>
    </w:p>
    <w:tbl>
      <w:tblPr>
        <w:tblW w:w="9575" w:type="dxa"/>
        <w:tblLayout w:type="fixed"/>
        <w:tblCellMar>
          <w:left w:w="28" w:type="dxa"/>
          <w:right w:w="28" w:type="dxa"/>
        </w:tblCellMar>
        <w:tblLook w:val="04A0" w:firstRow="1" w:lastRow="0" w:firstColumn="1" w:lastColumn="0" w:noHBand="0" w:noVBand="1"/>
      </w:tblPr>
      <w:tblGrid>
        <w:gridCol w:w="6741"/>
        <w:gridCol w:w="1417"/>
        <w:gridCol w:w="1417"/>
      </w:tblGrid>
      <w:tr w:rsidR="00D7210F" w:rsidRPr="00D7210F" w14:paraId="37FF9DC7" w14:textId="77777777" w:rsidTr="00657475">
        <w:trPr>
          <w:trHeight w:val="284"/>
        </w:trPr>
        <w:tc>
          <w:tcPr>
            <w:tcW w:w="6741" w:type="dxa"/>
            <w:vMerge w:val="restart"/>
            <w:tcBorders>
              <w:top w:val="nil"/>
              <w:left w:val="nil"/>
              <w:bottom w:val="nil"/>
              <w:right w:val="single" w:sz="8" w:space="0" w:color="FFFFFF"/>
            </w:tcBorders>
            <w:shd w:val="clear" w:color="000000" w:fill="0077BD"/>
            <w:noWrap/>
            <w:vAlign w:val="center"/>
            <w:hideMark/>
          </w:tcPr>
          <w:p w14:paraId="3EBAEFD6" w14:textId="77777777" w:rsidR="00D7210F" w:rsidRPr="00D7210F" w:rsidRDefault="00D7210F" w:rsidP="00D7210F">
            <w:pPr>
              <w:rPr>
                <w:rFonts w:cs="Calibri"/>
                <w:b/>
                <w:bCs/>
                <w:color w:val="0077BD"/>
                <w:sz w:val="13"/>
                <w:szCs w:val="13"/>
              </w:rPr>
            </w:pPr>
            <w:r w:rsidRPr="00D7210F">
              <w:rPr>
                <w:rFonts w:cs="Calibri"/>
                <w:b/>
                <w:bCs/>
                <w:color w:val="0077BD"/>
                <w:sz w:val="13"/>
                <w:szCs w:val="13"/>
              </w:rPr>
              <w:t> </w:t>
            </w:r>
          </w:p>
        </w:tc>
        <w:tc>
          <w:tcPr>
            <w:tcW w:w="2834" w:type="dxa"/>
            <w:gridSpan w:val="2"/>
            <w:tcBorders>
              <w:top w:val="nil"/>
              <w:left w:val="nil"/>
              <w:bottom w:val="single" w:sz="6" w:space="0" w:color="FFFFFF"/>
              <w:right w:val="single" w:sz="4" w:space="0" w:color="FFFFFF"/>
            </w:tcBorders>
            <w:shd w:val="clear" w:color="000000" w:fill="0077BD"/>
            <w:vAlign w:val="center"/>
            <w:hideMark/>
          </w:tcPr>
          <w:p w14:paraId="248FB42B" w14:textId="77777777" w:rsidR="00D7210F" w:rsidRPr="00D7210F" w:rsidRDefault="00D7210F" w:rsidP="00D7210F">
            <w:pPr>
              <w:jc w:val="right"/>
              <w:rPr>
                <w:rFonts w:cs="Calibri"/>
                <w:b/>
                <w:bCs/>
                <w:color w:val="FFFFFF"/>
                <w:sz w:val="13"/>
                <w:szCs w:val="13"/>
              </w:rPr>
            </w:pPr>
            <w:r w:rsidRPr="00D7210F">
              <w:rPr>
                <w:rFonts w:cs="Calibri"/>
                <w:b/>
                <w:bCs/>
                <w:color w:val="FFFFFF"/>
                <w:sz w:val="13"/>
                <w:szCs w:val="13"/>
              </w:rPr>
              <w:t>Rok kończący się 31 grudnia</w:t>
            </w:r>
          </w:p>
        </w:tc>
      </w:tr>
      <w:tr w:rsidR="00D7210F" w:rsidRPr="00D7210F" w14:paraId="55247CF3" w14:textId="77777777" w:rsidTr="00657475">
        <w:trPr>
          <w:trHeight w:val="284"/>
        </w:trPr>
        <w:tc>
          <w:tcPr>
            <w:tcW w:w="6741" w:type="dxa"/>
            <w:vMerge/>
            <w:tcBorders>
              <w:top w:val="nil"/>
              <w:left w:val="nil"/>
              <w:bottom w:val="nil"/>
              <w:right w:val="single" w:sz="8" w:space="0" w:color="FFFFFF"/>
            </w:tcBorders>
            <w:vAlign w:val="center"/>
            <w:hideMark/>
          </w:tcPr>
          <w:p w14:paraId="6454B20F" w14:textId="77777777" w:rsidR="00D7210F" w:rsidRPr="00D7210F" w:rsidRDefault="00D7210F" w:rsidP="00D7210F">
            <w:pPr>
              <w:rPr>
                <w:rFonts w:cs="Calibri"/>
                <w:b/>
                <w:bCs/>
                <w:color w:val="0077BD"/>
                <w:sz w:val="13"/>
                <w:szCs w:val="13"/>
              </w:rPr>
            </w:pPr>
          </w:p>
        </w:tc>
        <w:tc>
          <w:tcPr>
            <w:tcW w:w="1417" w:type="dxa"/>
            <w:tcBorders>
              <w:top w:val="single" w:sz="6" w:space="0" w:color="FFFFFF"/>
              <w:left w:val="nil"/>
              <w:bottom w:val="nil"/>
              <w:right w:val="single" w:sz="8" w:space="0" w:color="FFFFFF"/>
            </w:tcBorders>
            <w:shd w:val="clear" w:color="000000" w:fill="0077BD"/>
            <w:noWrap/>
            <w:vAlign w:val="center"/>
            <w:hideMark/>
          </w:tcPr>
          <w:p w14:paraId="203FD054" w14:textId="77777777" w:rsidR="00D7210F" w:rsidRPr="00D7210F" w:rsidRDefault="00D7210F" w:rsidP="00D7210F">
            <w:pPr>
              <w:jc w:val="right"/>
              <w:rPr>
                <w:rFonts w:cs="Calibri"/>
                <w:b/>
                <w:bCs/>
                <w:color w:val="FFFFFF"/>
                <w:sz w:val="13"/>
                <w:szCs w:val="13"/>
              </w:rPr>
            </w:pPr>
            <w:r w:rsidRPr="00D7210F">
              <w:rPr>
                <w:rFonts w:cs="Calibri"/>
                <w:b/>
                <w:bCs/>
                <w:color w:val="FFFFFF"/>
                <w:sz w:val="13"/>
                <w:szCs w:val="13"/>
              </w:rPr>
              <w:t>2019</w:t>
            </w:r>
          </w:p>
        </w:tc>
        <w:tc>
          <w:tcPr>
            <w:tcW w:w="1417" w:type="dxa"/>
            <w:tcBorders>
              <w:top w:val="single" w:sz="6" w:space="0" w:color="FFFFFF"/>
              <w:left w:val="nil"/>
              <w:bottom w:val="nil"/>
              <w:right w:val="nil"/>
            </w:tcBorders>
            <w:shd w:val="clear" w:color="000000" w:fill="0077BD"/>
            <w:noWrap/>
            <w:vAlign w:val="center"/>
            <w:hideMark/>
          </w:tcPr>
          <w:p w14:paraId="4B27E90D" w14:textId="77777777" w:rsidR="00D7210F" w:rsidRPr="00D7210F" w:rsidRDefault="00D7210F" w:rsidP="00D7210F">
            <w:pPr>
              <w:jc w:val="right"/>
              <w:rPr>
                <w:rFonts w:cs="Calibri"/>
                <w:b/>
                <w:bCs/>
                <w:color w:val="FFFFFF"/>
                <w:sz w:val="13"/>
                <w:szCs w:val="13"/>
              </w:rPr>
            </w:pPr>
            <w:r w:rsidRPr="00D7210F">
              <w:rPr>
                <w:rFonts w:cs="Calibri"/>
                <w:b/>
                <w:bCs/>
                <w:color w:val="FFFFFF"/>
                <w:sz w:val="13"/>
                <w:szCs w:val="13"/>
              </w:rPr>
              <w:t>2018</w:t>
            </w:r>
          </w:p>
        </w:tc>
      </w:tr>
      <w:tr w:rsidR="00D7210F" w:rsidRPr="00BB7C9E" w14:paraId="3648B538" w14:textId="77777777" w:rsidTr="00657475">
        <w:trPr>
          <w:trHeight w:val="284"/>
        </w:trPr>
        <w:tc>
          <w:tcPr>
            <w:tcW w:w="6741" w:type="dxa"/>
            <w:tcBorders>
              <w:top w:val="nil"/>
              <w:left w:val="nil"/>
              <w:bottom w:val="single" w:sz="8" w:space="0" w:color="0077BD"/>
              <w:right w:val="nil"/>
            </w:tcBorders>
            <w:shd w:val="clear" w:color="auto" w:fill="auto"/>
            <w:vAlign w:val="center"/>
            <w:hideMark/>
          </w:tcPr>
          <w:p w14:paraId="73DA5F53" w14:textId="77777777" w:rsidR="00D7210F" w:rsidRPr="00B95A90" w:rsidRDefault="00D7210F" w:rsidP="00D7210F">
            <w:pPr>
              <w:rPr>
                <w:rFonts w:cs="Calibri"/>
                <w:b/>
                <w:bCs/>
                <w:color w:val="000000" w:themeColor="text1"/>
                <w:sz w:val="13"/>
                <w:szCs w:val="13"/>
              </w:rPr>
            </w:pPr>
            <w:r w:rsidRPr="00B95A90">
              <w:rPr>
                <w:rFonts w:cs="Calibri"/>
                <w:b/>
                <w:bCs/>
                <w:color w:val="000000" w:themeColor="text1"/>
                <w:sz w:val="13"/>
                <w:szCs w:val="13"/>
              </w:rPr>
              <w:t>Odsetki otrzymane z tytułu:</w:t>
            </w:r>
          </w:p>
        </w:tc>
        <w:tc>
          <w:tcPr>
            <w:tcW w:w="1417" w:type="dxa"/>
            <w:tcBorders>
              <w:top w:val="nil"/>
              <w:left w:val="nil"/>
              <w:bottom w:val="single" w:sz="8" w:space="0" w:color="0077BD"/>
              <w:right w:val="nil"/>
            </w:tcBorders>
            <w:shd w:val="clear" w:color="auto" w:fill="auto"/>
            <w:noWrap/>
            <w:vAlign w:val="center"/>
          </w:tcPr>
          <w:p w14:paraId="1B87E652" w14:textId="2289FD3A" w:rsidR="00D7210F" w:rsidRPr="00B95A90" w:rsidRDefault="00D7210F" w:rsidP="00D7210F">
            <w:pPr>
              <w:jc w:val="right"/>
              <w:rPr>
                <w:rFonts w:cs="Calibri"/>
                <w:b/>
                <w:bCs/>
                <w:color w:val="000000" w:themeColor="text1"/>
                <w:sz w:val="13"/>
                <w:szCs w:val="13"/>
              </w:rPr>
            </w:pPr>
          </w:p>
        </w:tc>
        <w:tc>
          <w:tcPr>
            <w:tcW w:w="1417" w:type="dxa"/>
            <w:tcBorders>
              <w:top w:val="nil"/>
              <w:left w:val="nil"/>
              <w:bottom w:val="single" w:sz="8" w:space="0" w:color="0077BD"/>
              <w:right w:val="nil"/>
            </w:tcBorders>
            <w:shd w:val="clear" w:color="auto" w:fill="auto"/>
            <w:noWrap/>
            <w:vAlign w:val="bottom"/>
          </w:tcPr>
          <w:p w14:paraId="479B924F" w14:textId="5FFDB15C" w:rsidR="00D7210F" w:rsidRPr="00B95A90" w:rsidRDefault="00D7210F" w:rsidP="00D7210F">
            <w:pPr>
              <w:rPr>
                <w:rFonts w:cs="Calibri"/>
                <w:color w:val="000000" w:themeColor="text1"/>
                <w:sz w:val="13"/>
                <w:szCs w:val="13"/>
              </w:rPr>
            </w:pPr>
          </w:p>
        </w:tc>
      </w:tr>
      <w:tr w:rsidR="00657475" w:rsidRPr="00BB7C9E" w14:paraId="6466643C" w14:textId="77777777" w:rsidTr="00520AAC">
        <w:trPr>
          <w:trHeight w:val="284"/>
        </w:trPr>
        <w:tc>
          <w:tcPr>
            <w:tcW w:w="6741" w:type="dxa"/>
            <w:tcBorders>
              <w:top w:val="nil"/>
              <w:left w:val="nil"/>
              <w:bottom w:val="single" w:sz="4" w:space="0" w:color="0077BD"/>
              <w:right w:val="single" w:sz="8" w:space="0" w:color="0077BD"/>
            </w:tcBorders>
            <w:shd w:val="clear" w:color="000000" w:fill="FFFFFF"/>
            <w:vAlign w:val="center"/>
            <w:hideMark/>
          </w:tcPr>
          <w:p w14:paraId="1E5CFAFD" w14:textId="77777777" w:rsidR="00657475" w:rsidRPr="00B95A90" w:rsidRDefault="00657475" w:rsidP="00657475">
            <w:pPr>
              <w:rPr>
                <w:rFonts w:cs="Calibri"/>
                <w:color w:val="000000" w:themeColor="text1"/>
                <w:sz w:val="13"/>
                <w:szCs w:val="13"/>
              </w:rPr>
            </w:pPr>
            <w:r w:rsidRPr="00B95A90">
              <w:rPr>
                <w:rFonts w:cs="Calibri"/>
                <w:color w:val="000000" w:themeColor="text1"/>
                <w:sz w:val="13"/>
                <w:szCs w:val="13"/>
              </w:rPr>
              <w:t>Należności od banków</w:t>
            </w:r>
          </w:p>
        </w:tc>
        <w:tc>
          <w:tcPr>
            <w:tcW w:w="1417" w:type="dxa"/>
            <w:tcBorders>
              <w:top w:val="single" w:sz="8" w:space="0" w:color="0077BD"/>
              <w:left w:val="single" w:sz="8" w:space="0" w:color="0077BD"/>
              <w:bottom w:val="single" w:sz="4" w:space="0" w:color="0077BD"/>
              <w:right w:val="single" w:sz="8" w:space="0" w:color="0077BD"/>
            </w:tcBorders>
            <w:shd w:val="clear" w:color="000000" w:fill="FFFFFF"/>
            <w:noWrap/>
            <w:vAlign w:val="center"/>
          </w:tcPr>
          <w:p w14:paraId="701586FC" w14:textId="445772BA"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82 200</w:t>
            </w:r>
          </w:p>
        </w:tc>
        <w:tc>
          <w:tcPr>
            <w:tcW w:w="1417" w:type="dxa"/>
            <w:tcBorders>
              <w:top w:val="nil"/>
              <w:left w:val="nil"/>
              <w:bottom w:val="single" w:sz="4" w:space="0" w:color="0077BD"/>
              <w:right w:val="nil"/>
            </w:tcBorders>
            <w:shd w:val="clear" w:color="auto" w:fill="auto"/>
            <w:noWrap/>
            <w:vAlign w:val="center"/>
            <w:hideMark/>
          </w:tcPr>
          <w:p w14:paraId="04E871E7" w14:textId="4878789A"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70 214</w:t>
            </w:r>
          </w:p>
        </w:tc>
      </w:tr>
      <w:tr w:rsidR="00657475" w:rsidRPr="00BB7C9E" w14:paraId="4403A0F0" w14:textId="77777777" w:rsidTr="00520AAC">
        <w:trPr>
          <w:trHeight w:val="284"/>
        </w:trPr>
        <w:tc>
          <w:tcPr>
            <w:tcW w:w="6741" w:type="dxa"/>
            <w:tcBorders>
              <w:top w:val="nil"/>
              <w:left w:val="nil"/>
              <w:bottom w:val="single" w:sz="4" w:space="0" w:color="0077BD"/>
              <w:right w:val="single" w:sz="8" w:space="0" w:color="0077BD"/>
            </w:tcBorders>
            <w:shd w:val="clear" w:color="000000" w:fill="FFFFFF"/>
            <w:vAlign w:val="center"/>
            <w:hideMark/>
          </w:tcPr>
          <w:p w14:paraId="47205047" w14:textId="77777777" w:rsidR="00657475" w:rsidRPr="00B95A90" w:rsidRDefault="00657475" w:rsidP="00657475">
            <w:pPr>
              <w:rPr>
                <w:rFonts w:cs="Calibri"/>
                <w:color w:val="000000" w:themeColor="text1"/>
                <w:sz w:val="13"/>
                <w:szCs w:val="13"/>
              </w:rPr>
            </w:pPr>
            <w:r w:rsidRPr="00B95A90">
              <w:rPr>
                <w:rFonts w:cs="Calibri"/>
                <w:color w:val="000000" w:themeColor="text1"/>
                <w:sz w:val="13"/>
                <w:szCs w:val="13"/>
              </w:rPr>
              <w:t>Kredytów i pożyczek udzielonych klientom</w:t>
            </w:r>
          </w:p>
        </w:tc>
        <w:tc>
          <w:tcPr>
            <w:tcW w:w="1417" w:type="dxa"/>
            <w:tcBorders>
              <w:top w:val="nil"/>
              <w:left w:val="single" w:sz="8" w:space="0" w:color="0077BD"/>
              <w:bottom w:val="single" w:sz="4" w:space="0" w:color="0077BD"/>
              <w:right w:val="single" w:sz="8" w:space="0" w:color="0077BD"/>
            </w:tcBorders>
            <w:shd w:val="clear" w:color="000000" w:fill="FFFFFF"/>
            <w:noWrap/>
            <w:vAlign w:val="center"/>
          </w:tcPr>
          <w:p w14:paraId="3DB47EA6" w14:textId="50B7960B"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4 032 501</w:t>
            </w:r>
          </w:p>
        </w:tc>
        <w:tc>
          <w:tcPr>
            <w:tcW w:w="1417" w:type="dxa"/>
            <w:tcBorders>
              <w:top w:val="nil"/>
              <w:left w:val="nil"/>
              <w:bottom w:val="single" w:sz="4" w:space="0" w:color="0077BD"/>
              <w:right w:val="nil"/>
            </w:tcBorders>
            <w:shd w:val="clear" w:color="auto" w:fill="auto"/>
            <w:noWrap/>
            <w:vAlign w:val="center"/>
            <w:hideMark/>
          </w:tcPr>
          <w:p w14:paraId="506B6B63" w14:textId="6B58BEF6"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3 536 391</w:t>
            </w:r>
          </w:p>
        </w:tc>
      </w:tr>
      <w:tr w:rsidR="00657475" w:rsidRPr="00BB7C9E" w14:paraId="6A7C5E2C" w14:textId="77777777" w:rsidTr="00520AAC">
        <w:trPr>
          <w:trHeight w:val="284"/>
        </w:trPr>
        <w:tc>
          <w:tcPr>
            <w:tcW w:w="6741" w:type="dxa"/>
            <w:tcBorders>
              <w:top w:val="nil"/>
              <w:left w:val="nil"/>
              <w:bottom w:val="single" w:sz="4" w:space="0" w:color="0077BD"/>
              <w:right w:val="single" w:sz="8" w:space="0" w:color="0077BD"/>
            </w:tcBorders>
            <w:shd w:val="clear" w:color="auto" w:fill="auto"/>
            <w:vAlign w:val="center"/>
            <w:hideMark/>
          </w:tcPr>
          <w:p w14:paraId="5A41E736" w14:textId="772FE093" w:rsidR="00657475" w:rsidRPr="00B95A90" w:rsidRDefault="00657475" w:rsidP="00657475">
            <w:pPr>
              <w:rPr>
                <w:rFonts w:cs="Calibri"/>
                <w:color w:val="000000" w:themeColor="text1"/>
                <w:sz w:val="13"/>
                <w:szCs w:val="13"/>
              </w:rPr>
            </w:pPr>
            <w:r w:rsidRPr="00B95A90">
              <w:rPr>
                <w:rFonts w:cs="Calibri"/>
                <w:color w:val="000000" w:themeColor="text1"/>
                <w:sz w:val="13"/>
                <w:szCs w:val="13"/>
              </w:rPr>
              <w:t>Dłużnych papierów wartościowych</w:t>
            </w:r>
          </w:p>
        </w:tc>
        <w:tc>
          <w:tcPr>
            <w:tcW w:w="1417" w:type="dxa"/>
            <w:tcBorders>
              <w:top w:val="nil"/>
              <w:left w:val="single" w:sz="8" w:space="0" w:color="0077BD"/>
              <w:bottom w:val="single" w:sz="4" w:space="0" w:color="0077BD"/>
              <w:right w:val="single" w:sz="8" w:space="0" w:color="0077BD"/>
            </w:tcBorders>
            <w:shd w:val="clear" w:color="auto" w:fill="auto"/>
            <w:noWrap/>
            <w:vAlign w:val="center"/>
          </w:tcPr>
          <w:p w14:paraId="2D4FDC28" w14:textId="46A2DC87"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1 029 120</w:t>
            </w:r>
          </w:p>
        </w:tc>
        <w:tc>
          <w:tcPr>
            <w:tcW w:w="1417" w:type="dxa"/>
            <w:tcBorders>
              <w:top w:val="nil"/>
              <w:left w:val="nil"/>
              <w:bottom w:val="single" w:sz="4" w:space="0" w:color="0077BD"/>
              <w:right w:val="nil"/>
            </w:tcBorders>
            <w:shd w:val="clear" w:color="auto" w:fill="auto"/>
            <w:noWrap/>
            <w:vAlign w:val="center"/>
            <w:hideMark/>
          </w:tcPr>
          <w:p w14:paraId="6BBDC6B1" w14:textId="33D202A8"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962 394</w:t>
            </w:r>
          </w:p>
        </w:tc>
      </w:tr>
      <w:tr w:rsidR="00657475" w:rsidRPr="00BB7C9E" w14:paraId="77620EB8" w14:textId="77777777" w:rsidTr="00520AAC">
        <w:trPr>
          <w:trHeight w:val="284"/>
        </w:trPr>
        <w:tc>
          <w:tcPr>
            <w:tcW w:w="6741" w:type="dxa"/>
            <w:tcBorders>
              <w:top w:val="nil"/>
              <w:left w:val="nil"/>
              <w:bottom w:val="single" w:sz="4" w:space="0" w:color="0077BD"/>
              <w:right w:val="single" w:sz="8" w:space="0" w:color="0077BD"/>
            </w:tcBorders>
            <w:shd w:val="clear" w:color="auto" w:fill="auto"/>
            <w:vAlign w:val="center"/>
            <w:hideMark/>
          </w:tcPr>
          <w:p w14:paraId="086781AF" w14:textId="77777777" w:rsidR="00657475" w:rsidRPr="00B95A90" w:rsidRDefault="00657475" w:rsidP="00657475">
            <w:pPr>
              <w:rPr>
                <w:rFonts w:cs="Calibri"/>
                <w:color w:val="000000" w:themeColor="text1"/>
                <w:sz w:val="13"/>
                <w:szCs w:val="13"/>
              </w:rPr>
            </w:pPr>
            <w:r w:rsidRPr="00B95A90">
              <w:rPr>
                <w:rFonts w:cs="Calibri"/>
                <w:color w:val="000000" w:themeColor="text1"/>
                <w:sz w:val="13"/>
                <w:szCs w:val="13"/>
              </w:rPr>
              <w:t>Instrumentów pochodnych zaklasyfikowanych do księgi bankowej</w:t>
            </w:r>
          </w:p>
        </w:tc>
        <w:tc>
          <w:tcPr>
            <w:tcW w:w="1417" w:type="dxa"/>
            <w:tcBorders>
              <w:top w:val="nil"/>
              <w:left w:val="single" w:sz="8" w:space="0" w:color="0077BD"/>
              <w:bottom w:val="single" w:sz="4" w:space="0" w:color="0077BD"/>
              <w:right w:val="single" w:sz="8" w:space="0" w:color="0077BD"/>
            </w:tcBorders>
            <w:shd w:val="clear" w:color="auto" w:fill="auto"/>
            <w:noWrap/>
            <w:vAlign w:val="center"/>
          </w:tcPr>
          <w:p w14:paraId="05E6CDBA" w14:textId="1ABCB449"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101 751</w:t>
            </w:r>
          </w:p>
        </w:tc>
        <w:tc>
          <w:tcPr>
            <w:tcW w:w="1417" w:type="dxa"/>
            <w:tcBorders>
              <w:top w:val="nil"/>
              <w:left w:val="nil"/>
              <w:bottom w:val="single" w:sz="4" w:space="0" w:color="0077BD"/>
              <w:right w:val="nil"/>
            </w:tcBorders>
            <w:shd w:val="clear" w:color="auto" w:fill="auto"/>
            <w:noWrap/>
            <w:vAlign w:val="center"/>
            <w:hideMark/>
          </w:tcPr>
          <w:p w14:paraId="026F0010" w14:textId="11982156"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82 630</w:t>
            </w:r>
          </w:p>
        </w:tc>
      </w:tr>
      <w:tr w:rsidR="00657475" w:rsidRPr="00BB7C9E" w14:paraId="65B21784" w14:textId="77777777" w:rsidTr="00520AAC">
        <w:trPr>
          <w:trHeight w:val="284"/>
        </w:trPr>
        <w:tc>
          <w:tcPr>
            <w:tcW w:w="6741" w:type="dxa"/>
            <w:tcBorders>
              <w:top w:val="nil"/>
              <w:left w:val="nil"/>
              <w:bottom w:val="single" w:sz="4" w:space="0" w:color="0077BD"/>
              <w:right w:val="single" w:sz="8" w:space="0" w:color="0077BD"/>
            </w:tcBorders>
            <w:shd w:val="clear" w:color="auto" w:fill="auto"/>
            <w:vAlign w:val="center"/>
            <w:hideMark/>
          </w:tcPr>
          <w:p w14:paraId="07DBAFCC" w14:textId="77777777" w:rsidR="00657475" w:rsidRPr="00B95A90" w:rsidRDefault="00657475" w:rsidP="00657475">
            <w:pPr>
              <w:rPr>
                <w:rFonts w:cs="Calibri"/>
                <w:color w:val="000000" w:themeColor="text1"/>
                <w:sz w:val="13"/>
                <w:szCs w:val="13"/>
              </w:rPr>
            </w:pPr>
            <w:r w:rsidRPr="00B95A90">
              <w:rPr>
                <w:rFonts w:cs="Calibri"/>
                <w:color w:val="000000" w:themeColor="text1"/>
                <w:sz w:val="13"/>
                <w:szCs w:val="13"/>
              </w:rPr>
              <w:t>Instrumentów pochodnych w ramach rachunkowości zabezpieczeń</w:t>
            </w:r>
          </w:p>
        </w:tc>
        <w:tc>
          <w:tcPr>
            <w:tcW w:w="1417" w:type="dxa"/>
            <w:tcBorders>
              <w:top w:val="nil"/>
              <w:left w:val="single" w:sz="8" w:space="0" w:color="0077BD"/>
              <w:bottom w:val="single" w:sz="4" w:space="0" w:color="0077BD"/>
              <w:right w:val="single" w:sz="8" w:space="0" w:color="0077BD"/>
            </w:tcBorders>
            <w:shd w:val="clear" w:color="auto" w:fill="auto"/>
            <w:noWrap/>
            <w:vAlign w:val="center"/>
          </w:tcPr>
          <w:p w14:paraId="11F3CE66" w14:textId="144395E5"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107 602</w:t>
            </w:r>
          </w:p>
        </w:tc>
        <w:tc>
          <w:tcPr>
            <w:tcW w:w="1417" w:type="dxa"/>
            <w:tcBorders>
              <w:top w:val="nil"/>
              <w:left w:val="nil"/>
              <w:bottom w:val="single" w:sz="4" w:space="0" w:color="0077BD"/>
              <w:right w:val="nil"/>
            </w:tcBorders>
            <w:shd w:val="clear" w:color="auto" w:fill="auto"/>
            <w:noWrap/>
            <w:vAlign w:val="center"/>
            <w:hideMark/>
          </w:tcPr>
          <w:p w14:paraId="5141D5C0" w14:textId="6F345F2B"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98 261</w:t>
            </w:r>
          </w:p>
        </w:tc>
      </w:tr>
      <w:tr w:rsidR="00657475" w:rsidRPr="00BB7C9E" w14:paraId="3787D9C2" w14:textId="77777777" w:rsidTr="00520AAC">
        <w:trPr>
          <w:trHeight w:val="284"/>
        </w:trPr>
        <w:tc>
          <w:tcPr>
            <w:tcW w:w="6741" w:type="dxa"/>
            <w:tcBorders>
              <w:top w:val="nil"/>
              <w:left w:val="nil"/>
              <w:bottom w:val="nil"/>
              <w:right w:val="single" w:sz="8" w:space="0" w:color="0077BD"/>
            </w:tcBorders>
            <w:shd w:val="clear" w:color="auto" w:fill="auto"/>
            <w:vAlign w:val="center"/>
            <w:hideMark/>
          </w:tcPr>
          <w:p w14:paraId="7C3D0AF3" w14:textId="77777777" w:rsidR="00657475" w:rsidRPr="00B95A90" w:rsidRDefault="00657475" w:rsidP="00657475">
            <w:pPr>
              <w:rPr>
                <w:rFonts w:cs="Calibri"/>
                <w:color w:val="000000" w:themeColor="text1"/>
                <w:sz w:val="13"/>
                <w:szCs w:val="13"/>
              </w:rPr>
            </w:pPr>
            <w:r w:rsidRPr="00B95A90">
              <w:rPr>
                <w:rFonts w:cs="Calibri"/>
                <w:color w:val="000000" w:themeColor="text1"/>
                <w:sz w:val="13"/>
                <w:szCs w:val="13"/>
              </w:rPr>
              <w:t>Pozostałe odsetki otrzymane</w:t>
            </w:r>
          </w:p>
        </w:tc>
        <w:tc>
          <w:tcPr>
            <w:tcW w:w="1417" w:type="dxa"/>
            <w:tcBorders>
              <w:top w:val="nil"/>
              <w:left w:val="single" w:sz="8" w:space="0" w:color="0077BD"/>
              <w:bottom w:val="nil"/>
              <w:right w:val="single" w:sz="8" w:space="0" w:color="0077BD"/>
            </w:tcBorders>
            <w:shd w:val="clear" w:color="auto" w:fill="auto"/>
            <w:noWrap/>
            <w:vAlign w:val="center"/>
          </w:tcPr>
          <w:p w14:paraId="4CDA10FA" w14:textId="4733F439"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5 058</w:t>
            </w:r>
          </w:p>
        </w:tc>
        <w:tc>
          <w:tcPr>
            <w:tcW w:w="1417" w:type="dxa"/>
            <w:tcBorders>
              <w:top w:val="nil"/>
              <w:left w:val="nil"/>
              <w:bottom w:val="nil"/>
              <w:right w:val="nil"/>
            </w:tcBorders>
            <w:shd w:val="clear" w:color="auto" w:fill="auto"/>
            <w:noWrap/>
            <w:vAlign w:val="center"/>
            <w:hideMark/>
          </w:tcPr>
          <w:p w14:paraId="64CA14AB" w14:textId="6F9C1E49" w:rsidR="00657475" w:rsidRPr="00B95A90" w:rsidRDefault="00657475" w:rsidP="00657475">
            <w:pPr>
              <w:jc w:val="right"/>
              <w:rPr>
                <w:rFonts w:cs="Calibri"/>
                <w:color w:val="000000" w:themeColor="text1"/>
                <w:sz w:val="13"/>
                <w:szCs w:val="13"/>
              </w:rPr>
            </w:pPr>
            <w:r w:rsidRPr="00B95A90">
              <w:rPr>
                <w:rFonts w:cs="Calibri"/>
                <w:color w:val="000000" w:themeColor="text1"/>
                <w:sz w:val="13"/>
                <w:szCs w:val="13"/>
              </w:rPr>
              <w:t>5 686</w:t>
            </w:r>
          </w:p>
        </w:tc>
      </w:tr>
      <w:tr w:rsidR="00657475" w:rsidRPr="00BB7C9E" w14:paraId="786C7C81" w14:textId="77777777" w:rsidTr="00520AAC">
        <w:trPr>
          <w:trHeight w:val="284"/>
        </w:trPr>
        <w:tc>
          <w:tcPr>
            <w:tcW w:w="6741" w:type="dxa"/>
            <w:tcBorders>
              <w:top w:val="single" w:sz="8" w:space="0" w:color="0077BD"/>
              <w:left w:val="nil"/>
              <w:bottom w:val="single" w:sz="8" w:space="0" w:color="0077BD"/>
              <w:right w:val="single" w:sz="8" w:space="0" w:color="0077BD"/>
            </w:tcBorders>
            <w:shd w:val="clear" w:color="000000" w:fill="FFFFFF"/>
            <w:vAlign w:val="center"/>
            <w:hideMark/>
          </w:tcPr>
          <w:p w14:paraId="71B9C80E" w14:textId="77777777" w:rsidR="00657475" w:rsidRPr="00B95A90" w:rsidRDefault="00657475" w:rsidP="00657475">
            <w:pPr>
              <w:rPr>
                <w:rFonts w:cs="Calibri"/>
                <w:b/>
                <w:bCs/>
                <w:color w:val="000000" w:themeColor="text1"/>
                <w:sz w:val="13"/>
                <w:szCs w:val="13"/>
              </w:rPr>
            </w:pPr>
            <w:r w:rsidRPr="00B95A90">
              <w:rPr>
                <w:rFonts w:cs="Calibri"/>
                <w:b/>
                <w:bCs/>
                <w:color w:val="000000" w:themeColor="text1"/>
                <w:sz w:val="13"/>
                <w:szCs w:val="13"/>
              </w:rPr>
              <w:t>Przychody z tytułu odsetek otrzymanych, razem</w:t>
            </w:r>
          </w:p>
        </w:tc>
        <w:tc>
          <w:tcPr>
            <w:tcW w:w="1417" w:type="dxa"/>
            <w:tcBorders>
              <w:top w:val="single" w:sz="8" w:space="0" w:color="0077BD"/>
              <w:left w:val="single" w:sz="8" w:space="0" w:color="0077BD"/>
              <w:bottom w:val="single" w:sz="8" w:space="0" w:color="0077BD"/>
              <w:right w:val="single" w:sz="8" w:space="0" w:color="0077BD"/>
            </w:tcBorders>
            <w:shd w:val="clear" w:color="000000" w:fill="FFFFFF"/>
            <w:noWrap/>
            <w:vAlign w:val="center"/>
          </w:tcPr>
          <w:p w14:paraId="7F3CC674" w14:textId="5342C3FD" w:rsidR="00657475" w:rsidRPr="00B95A90" w:rsidRDefault="00657475" w:rsidP="00657475">
            <w:pPr>
              <w:jc w:val="right"/>
              <w:rPr>
                <w:rFonts w:cs="Calibri"/>
                <w:b/>
                <w:bCs/>
                <w:color w:val="000000" w:themeColor="text1"/>
                <w:sz w:val="13"/>
                <w:szCs w:val="13"/>
              </w:rPr>
            </w:pPr>
            <w:r w:rsidRPr="00B95A90">
              <w:rPr>
                <w:rFonts w:cs="Calibri"/>
                <w:b/>
                <w:bCs/>
                <w:color w:val="000000" w:themeColor="text1"/>
                <w:sz w:val="13"/>
                <w:szCs w:val="13"/>
              </w:rPr>
              <w:t>5 358 232</w:t>
            </w:r>
          </w:p>
        </w:tc>
        <w:tc>
          <w:tcPr>
            <w:tcW w:w="1417" w:type="dxa"/>
            <w:tcBorders>
              <w:top w:val="single" w:sz="8" w:space="0" w:color="0077BD"/>
              <w:left w:val="nil"/>
              <w:bottom w:val="single" w:sz="8" w:space="0" w:color="0077BD"/>
              <w:right w:val="nil"/>
            </w:tcBorders>
            <w:shd w:val="clear" w:color="auto" w:fill="auto"/>
            <w:noWrap/>
            <w:vAlign w:val="center"/>
            <w:hideMark/>
          </w:tcPr>
          <w:p w14:paraId="59965CA1" w14:textId="2E1C3056" w:rsidR="00657475" w:rsidRPr="00B95A90" w:rsidRDefault="00657475" w:rsidP="00657475">
            <w:pPr>
              <w:jc w:val="right"/>
              <w:rPr>
                <w:rFonts w:cs="Calibri"/>
                <w:b/>
                <w:bCs/>
                <w:color w:val="000000" w:themeColor="text1"/>
                <w:sz w:val="13"/>
                <w:szCs w:val="13"/>
              </w:rPr>
            </w:pPr>
            <w:r w:rsidRPr="00B95A90">
              <w:rPr>
                <w:rFonts w:cs="Calibri"/>
                <w:b/>
                <w:bCs/>
                <w:color w:val="000000" w:themeColor="text1"/>
                <w:sz w:val="13"/>
                <w:szCs w:val="13"/>
              </w:rPr>
              <w:t>4 755 576</w:t>
            </w:r>
          </w:p>
        </w:tc>
      </w:tr>
    </w:tbl>
    <w:p w14:paraId="5D95879B" w14:textId="4CCAD7FF" w:rsidR="00C237F7" w:rsidRDefault="00C237F7" w:rsidP="00D7210F">
      <w:pPr>
        <w:suppressAutoHyphens/>
        <w:jc w:val="both"/>
        <w:rPr>
          <w:noProof/>
        </w:rPr>
      </w:pPr>
    </w:p>
    <w:tbl>
      <w:tblPr>
        <w:tblW w:w="9575" w:type="dxa"/>
        <w:tblLayout w:type="fixed"/>
        <w:tblCellMar>
          <w:left w:w="28" w:type="dxa"/>
          <w:right w:w="28" w:type="dxa"/>
        </w:tblCellMar>
        <w:tblLook w:val="04A0" w:firstRow="1" w:lastRow="0" w:firstColumn="1" w:lastColumn="0" w:noHBand="0" w:noVBand="1"/>
      </w:tblPr>
      <w:tblGrid>
        <w:gridCol w:w="6741"/>
        <w:gridCol w:w="1417"/>
        <w:gridCol w:w="1417"/>
      </w:tblGrid>
      <w:tr w:rsidR="0039277C" w:rsidRPr="00D7210F" w14:paraId="2EDECE14" w14:textId="77777777" w:rsidTr="003339B2">
        <w:trPr>
          <w:trHeight w:val="284"/>
        </w:trPr>
        <w:tc>
          <w:tcPr>
            <w:tcW w:w="6741" w:type="dxa"/>
            <w:vMerge w:val="restart"/>
            <w:tcBorders>
              <w:top w:val="nil"/>
              <w:left w:val="nil"/>
              <w:bottom w:val="nil"/>
              <w:right w:val="single" w:sz="8" w:space="0" w:color="FFFFFF"/>
            </w:tcBorders>
            <w:shd w:val="clear" w:color="000000" w:fill="0077BD"/>
            <w:noWrap/>
            <w:vAlign w:val="center"/>
            <w:hideMark/>
          </w:tcPr>
          <w:p w14:paraId="39679306" w14:textId="77777777" w:rsidR="0039277C" w:rsidRPr="00D7210F" w:rsidRDefault="0039277C" w:rsidP="003754B8">
            <w:pPr>
              <w:rPr>
                <w:rFonts w:cs="Calibri"/>
                <w:b/>
                <w:bCs/>
                <w:color w:val="0077BD"/>
                <w:sz w:val="13"/>
                <w:szCs w:val="13"/>
              </w:rPr>
            </w:pPr>
            <w:r w:rsidRPr="00D7210F">
              <w:rPr>
                <w:rFonts w:cs="Calibri"/>
                <w:b/>
                <w:bCs/>
                <w:color w:val="0077BD"/>
                <w:sz w:val="13"/>
                <w:szCs w:val="13"/>
              </w:rPr>
              <w:t> </w:t>
            </w:r>
          </w:p>
        </w:tc>
        <w:tc>
          <w:tcPr>
            <w:tcW w:w="2834" w:type="dxa"/>
            <w:gridSpan w:val="2"/>
            <w:tcBorders>
              <w:top w:val="nil"/>
              <w:left w:val="nil"/>
              <w:bottom w:val="single" w:sz="6" w:space="0" w:color="FFFFFF"/>
              <w:right w:val="single" w:sz="4" w:space="0" w:color="FFFFFF"/>
            </w:tcBorders>
            <w:shd w:val="clear" w:color="000000" w:fill="0077BD"/>
            <w:vAlign w:val="center"/>
            <w:hideMark/>
          </w:tcPr>
          <w:p w14:paraId="55801CD4" w14:textId="77777777" w:rsidR="0039277C" w:rsidRPr="00D7210F" w:rsidRDefault="0039277C" w:rsidP="003754B8">
            <w:pPr>
              <w:jc w:val="right"/>
              <w:rPr>
                <w:rFonts w:cs="Calibri"/>
                <w:b/>
                <w:bCs/>
                <w:color w:val="FFFFFF"/>
                <w:sz w:val="13"/>
                <w:szCs w:val="13"/>
              </w:rPr>
            </w:pPr>
            <w:r w:rsidRPr="00D7210F">
              <w:rPr>
                <w:rFonts w:cs="Calibri"/>
                <w:b/>
                <w:bCs/>
                <w:color w:val="FFFFFF"/>
                <w:sz w:val="13"/>
                <w:szCs w:val="13"/>
              </w:rPr>
              <w:t>Rok kończący się 31 grudnia</w:t>
            </w:r>
          </w:p>
        </w:tc>
      </w:tr>
      <w:tr w:rsidR="0039277C" w:rsidRPr="00D7210F" w14:paraId="75BA355B" w14:textId="77777777" w:rsidTr="003339B2">
        <w:trPr>
          <w:trHeight w:val="284"/>
        </w:trPr>
        <w:tc>
          <w:tcPr>
            <w:tcW w:w="6741" w:type="dxa"/>
            <w:vMerge/>
            <w:tcBorders>
              <w:top w:val="nil"/>
              <w:left w:val="nil"/>
              <w:bottom w:val="nil"/>
              <w:right w:val="single" w:sz="8" w:space="0" w:color="FFFFFF"/>
            </w:tcBorders>
            <w:vAlign w:val="center"/>
            <w:hideMark/>
          </w:tcPr>
          <w:p w14:paraId="34949FAC" w14:textId="77777777" w:rsidR="0039277C" w:rsidRPr="00D7210F" w:rsidRDefault="0039277C" w:rsidP="003754B8">
            <w:pPr>
              <w:rPr>
                <w:rFonts w:cs="Calibri"/>
                <w:b/>
                <w:bCs/>
                <w:color w:val="0077BD"/>
                <w:sz w:val="13"/>
                <w:szCs w:val="13"/>
              </w:rPr>
            </w:pPr>
          </w:p>
        </w:tc>
        <w:tc>
          <w:tcPr>
            <w:tcW w:w="1417" w:type="dxa"/>
            <w:tcBorders>
              <w:top w:val="single" w:sz="6" w:space="0" w:color="FFFFFF"/>
              <w:left w:val="nil"/>
              <w:bottom w:val="nil"/>
              <w:right w:val="single" w:sz="8" w:space="0" w:color="FFFFFF"/>
            </w:tcBorders>
            <w:shd w:val="clear" w:color="000000" w:fill="0077BD"/>
            <w:noWrap/>
            <w:vAlign w:val="center"/>
            <w:hideMark/>
          </w:tcPr>
          <w:p w14:paraId="44BE4B1F" w14:textId="77777777" w:rsidR="0039277C" w:rsidRPr="00D7210F" w:rsidRDefault="0039277C" w:rsidP="003754B8">
            <w:pPr>
              <w:jc w:val="right"/>
              <w:rPr>
                <w:rFonts w:cs="Calibri"/>
                <w:b/>
                <w:bCs/>
                <w:color w:val="FFFFFF"/>
                <w:sz w:val="13"/>
                <w:szCs w:val="13"/>
              </w:rPr>
            </w:pPr>
            <w:r w:rsidRPr="00D7210F">
              <w:rPr>
                <w:rFonts w:cs="Calibri"/>
                <w:b/>
                <w:bCs/>
                <w:color w:val="FFFFFF"/>
                <w:sz w:val="13"/>
                <w:szCs w:val="13"/>
              </w:rPr>
              <w:t>2019</w:t>
            </w:r>
          </w:p>
        </w:tc>
        <w:tc>
          <w:tcPr>
            <w:tcW w:w="1417" w:type="dxa"/>
            <w:tcBorders>
              <w:top w:val="single" w:sz="6" w:space="0" w:color="FFFFFF"/>
              <w:left w:val="nil"/>
              <w:bottom w:val="nil"/>
              <w:right w:val="nil"/>
            </w:tcBorders>
            <w:shd w:val="clear" w:color="000000" w:fill="0077BD"/>
            <w:noWrap/>
            <w:vAlign w:val="center"/>
            <w:hideMark/>
          </w:tcPr>
          <w:p w14:paraId="5354C298" w14:textId="77777777" w:rsidR="0039277C" w:rsidRPr="00D7210F" w:rsidRDefault="0039277C" w:rsidP="003754B8">
            <w:pPr>
              <w:jc w:val="right"/>
              <w:rPr>
                <w:rFonts w:cs="Calibri"/>
                <w:b/>
                <w:bCs/>
                <w:color w:val="FFFFFF"/>
                <w:sz w:val="13"/>
                <w:szCs w:val="13"/>
              </w:rPr>
            </w:pPr>
            <w:r w:rsidRPr="00D7210F">
              <w:rPr>
                <w:rFonts w:cs="Calibri"/>
                <w:b/>
                <w:bCs/>
                <w:color w:val="FFFFFF"/>
                <w:sz w:val="13"/>
                <w:szCs w:val="13"/>
              </w:rPr>
              <w:t>2018</w:t>
            </w:r>
          </w:p>
        </w:tc>
      </w:tr>
      <w:tr w:rsidR="0039277C" w:rsidRPr="00BB7C9E" w14:paraId="74552359" w14:textId="77777777" w:rsidTr="00E953FF">
        <w:trPr>
          <w:trHeight w:val="284"/>
        </w:trPr>
        <w:tc>
          <w:tcPr>
            <w:tcW w:w="6741" w:type="dxa"/>
            <w:tcBorders>
              <w:top w:val="nil"/>
              <w:left w:val="nil"/>
              <w:bottom w:val="single" w:sz="8" w:space="0" w:color="0077BD"/>
              <w:right w:val="nil"/>
            </w:tcBorders>
            <w:shd w:val="clear" w:color="auto" w:fill="auto"/>
            <w:vAlign w:val="center"/>
            <w:hideMark/>
          </w:tcPr>
          <w:p w14:paraId="039DD2BB" w14:textId="76C05E76" w:rsidR="0039277C" w:rsidRPr="00B95A90" w:rsidRDefault="0039277C" w:rsidP="003754B8">
            <w:pPr>
              <w:rPr>
                <w:rFonts w:cs="Calibri"/>
                <w:b/>
                <w:bCs/>
                <w:color w:val="000000" w:themeColor="text1"/>
                <w:sz w:val="13"/>
                <w:szCs w:val="13"/>
              </w:rPr>
            </w:pPr>
            <w:r w:rsidRPr="00B95A90">
              <w:rPr>
                <w:rFonts w:cs="Calibri"/>
                <w:b/>
                <w:bCs/>
                <w:color w:val="000000" w:themeColor="text1"/>
                <w:sz w:val="13"/>
                <w:szCs w:val="13"/>
              </w:rPr>
              <w:t>Odsetki zapłacone z tytułu:</w:t>
            </w:r>
          </w:p>
        </w:tc>
        <w:tc>
          <w:tcPr>
            <w:tcW w:w="1417" w:type="dxa"/>
            <w:tcBorders>
              <w:top w:val="nil"/>
              <w:left w:val="nil"/>
              <w:bottom w:val="single" w:sz="8" w:space="0" w:color="0077BD"/>
              <w:right w:val="nil"/>
            </w:tcBorders>
            <w:shd w:val="clear" w:color="auto" w:fill="auto"/>
            <w:noWrap/>
            <w:vAlign w:val="center"/>
          </w:tcPr>
          <w:p w14:paraId="58AA0E59" w14:textId="77777777" w:rsidR="0039277C" w:rsidRPr="00B95A90" w:rsidRDefault="0039277C" w:rsidP="003754B8">
            <w:pPr>
              <w:jc w:val="right"/>
              <w:rPr>
                <w:rFonts w:cs="Calibri"/>
                <w:b/>
                <w:bCs/>
                <w:color w:val="000000" w:themeColor="text1"/>
                <w:sz w:val="13"/>
                <w:szCs w:val="13"/>
              </w:rPr>
            </w:pPr>
          </w:p>
        </w:tc>
        <w:tc>
          <w:tcPr>
            <w:tcW w:w="1417" w:type="dxa"/>
            <w:tcBorders>
              <w:top w:val="nil"/>
              <w:left w:val="nil"/>
              <w:bottom w:val="single" w:sz="8" w:space="0" w:color="0077BD"/>
              <w:right w:val="nil"/>
            </w:tcBorders>
            <w:shd w:val="clear" w:color="auto" w:fill="auto"/>
            <w:noWrap/>
            <w:vAlign w:val="bottom"/>
          </w:tcPr>
          <w:p w14:paraId="0EF551F0" w14:textId="77777777" w:rsidR="0039277C" w:rsidRPr="00B95A90" w:rsidRDefault="0039277C" w:rsidP="003754B8">
            <w:pPr>
              <w:rPr>
                <w:rFonts w:cs="Calibri"/>
                <w:color w:val="000000" w:themeColor="text1"/>
                <w:sz w:val="13"/>
                <w:szCs w:val="13"/>
              </w:rPr>
            </w:pPr>
          </w:p>
        </w:tc>
      </w:tr>
      <w:tr w:rsidR="00520AAC" w:rsidRPr="00BB7C9E" w14:paraId="77222354" w14:textId="77777777" w:rsidTr="00520AAC">
        <w:trPr>
          <w:trHeight w:val="284"/>
        </w:trPr>
        <w:tc>
          <w:tcPr>
            <w:tcW w:w="6741" w:type="dxa"/>
            <w:tcBorders>
              <w:top w:val="nil"/>
              <w:left w:val="nil"/>
              <w:bottom w:val="single" w:sz="4" w:space="0" w:color="0077BD"/>
              <w:right w:val="single" w:sz="8" w:space="0" w:color="0077BD"/>
            </w:tcBorders>
            <w:shd w:val="clear" w:color="000000" w:fill="FFFFFF"/>
            <w:vAlign w:val="center"/>
            <w:hideMark/>
          </w:tcPr>
          <w:p w14:paraId="013A1242" w14:textId="1C69AD77" w:rsidR="00520AAC" w:rsidRPr="00B95A90" w:rsidRDefault="00520AAC" w:rsidP="00520AAC">
            <w:pPr>
              <w:rPr>
                <w:rFonts w:cs="Calibri"/>
                <w:color w:val="000000" w:themeColor="text1"/>
                <w:sz w:val="13"/>
                <w:szCs w:val="13"/>
              </w:rPr>
            </w:pPr>
            <w:r w:rsidRPr="00B95A90">
              <w:rPr>
                <w:rFonts w:cs="Calibri"/>
                <w:color w:val="000000" w:themeColor="text1"/>
                <w:sz w:val="13"/>
                <w:szCs w:val="13"/>
              </w:rPr>
              <w:t>Rozliczeń z bankami z tytułu przyjętych depozytów</w:t>
            </w:r>
          </w:p>
        </w:tc>
        <w:tc>
          <w:tcPr>
            <w:tcW w:w="1417" w:type="dxa"/>
            <w:tcBorders>
              <w:top w:val="single" w:sz="8" w:space="0" w:color="0077BD"/>
              <w:left w:val="single" w:sz="8" w:space="0" w:color="0077BD"/>
              <w:bottom w:val="single" w:sz="4" w:space="0" w:color="0077BD"/>
              <w:right w:val="single" w:sz="8" w:space="0" w:color="0077BD"/>
            </w:tcBorders>
            <w:shd w:val="clear" w:color="000000" w:fill="FFFFFF"/>
            <w:noWrap/>
            <w:vAlign w:val="center"/>
          </w:tcPr>
          <w:p w14:paraId="2BDB2A72" w14:textId="2D06DC4F"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(17 781)</w:t>
            </w:r>
          </w:p>
        </w:tc>
        <w:tc>
          <w:tcPr>
            <w:tcW w:w="1417" w:type="dxa"/>
            <w:tcBorders>
              <w:top w:val="nil"/>
              <w:left w:val="nil"/>
              <w:bottom w:val="single" w:sz="4" w:space="0" w:color="0077BD"/>
              <w:right w:val="nil"/>
            </w:tcBorders>
            <w:shd w:val="clear" w:color="auto" w:fill="auto"/>
            <w:noWrap/>
            <w:vAlign w:val="center"/>
            <w:hideMark/>
          </w:tcPr>
          <w:p w14:paraId="11F8214C" w14:textId="63839EC5"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(11 114)</w:t>
            </w:r>
          </w:p>
        </w:tc>
      </w:tr>
      <w:tr w:rsidR="00520AAC" w:rsidRPr="00BB7C9E" w14:paraId="32FCD711" w14:textId="77777777" w:rsidTr="00520AAC">
        <w:trPr>
          <w:trHeight w:val="284"/>
        </w:trPr>
        <w:tc>
          <w:tcPr>
            <w:tcW w:w="6741" w:type="dxa"/>
            <w:tcBorders>
              <w:top w:val="nil"/>
              <w:left w:val="nil"/>
              <w:bottom w:val="single" w:sz="4" w:space="0" w:color="0077BD"/>
              <w:right w:val="single" w:sz="8" w:space="0" w:color="0077BD"/>
            </w:tcBorders>
            <w:shd w:val="clear" w:color="000000" w:fill="FFFFFF"/>
            <w:vAlign w:val="center"/>
            <w:hideMark/>
          </w:tcPr>
          <w:p w14:paraId="73B25758" w14:textId="761EC6D1" w:rsidR="00520AAC" w:rsidRPr="00B95A90" w:rsidRDefault="00520AAC" w:rsidP="00520AAC">
            <w:pPr>
              <w:rPr>
                <w:rFonts w:cs="Calibri"/>
                <w:color w:val="000000" w:themeColor="text1"/>
                <w:sz w:val="13"/>
                <w:szCs w:val="13"/>
              </w:rPr>
            </w:pPr>
            <w:r w:rsidRPr="00B95A90">
              <w:rPr>
                <w:rFonts w:cs="Calibri"/>
                <w:color w:val="000000" w:themeColor="text1"/>
                <w:sz w:val="13"/>
                <w:szCs w:val="13"/>
              </w:rPr>
              <w:t>Rozliczeń z klientami z tytułu przyjętych depozytów</w:t>
            </w:r>
          </w:p>
        </w:tc>
        <w:tc>
          <w:tcPr>
            <w:tcW w:w="1417" w:type="dxa"/>
            <w:tcBorders>
              <w:top w:val="nil"/>
              <w:left w:val="single" w:sz="8" w:space="0" w:color="0077BD"/>
              <w:bottom w:val="single" w:sz="4" w:space="0" w:color="0077BD"/>
              <w:right w:val="single" w:sz="8" w:space="0" w:color="0077BD"/>
            </w:tcBorders>
            <w:shd w:val="clear" w:color="000000" w:fill="FFFFFF"/>
            <w:noWrap/>
            <w:vAlign w:val="center"/>
          </w:tcPr>
          <w:p w14:paraId="1BCDBCF0" w14:textId="7B3E9784"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(725 432)</w:t>
            </w:r>
          </w:p>
        </w:tc>
        <w:tc>
          <w:tcPr>
            <w:tcW w:w="1417" w:type="dxa"/>
            <w:tcBorders>
              <w:top w:val="nil"/>
              <w:left w:val="nil"/>
              <w:bottom w:val="single" w:sz="4" w:space="0" w:color="0077BD"/>
              <w:right w:val="nil"/>
            </w:tcBorders>
            <w:shd w:val="clear" w:color="auto" w:fill="auto"/>
            <w:noWrap/>
            <w:vAlign w:val="center"/>
            <w:hideMark/>
          </w:tcPr>
          <w:p w14:paraId="3ED6014E" w14:textId="26D90595"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(951 393)</w:t>
            </w:r>
          </w:p>
        </w:tc>
      </w:tr>
      <w:tr w:rsidR="00520AAC" w:rsidRPr="00BB7C9E" w14:paraId="24DB451B" w14:textId="77777777" w:rsidTr="00520AAC">
        <w:trPr>
          <w:trHeight w:val="284"/>
        </w:trPr>
        <w:tc>
          <w:tcPr>
            <w:tcW w:w="6741" w:type="dxa"/>
            <w:tcBorders>
              <w:top w:val="nil"/>
              <w:left w:val="nil"/>
              <w:bottom w:val="nil"/>
              <w:right w:val="single" w:sz="8" w:space="0" w:color="0077BD"/>
            </w:tcBorders>
            <w:shd w:val="clear" w:color="auto" w:fill="auto"/>
            <w:vAlign w:val="center"/>
            <w:hideMark/>
          </w:tcPr>
          <w:p w14:paraId="28D376D4" w14:textId="23C021A3" w:rsidR="00520AAC" w:rsidRPr="00B95A90" w:rsidRDefault="00520AAC" w:rsidP="00520AAC">
            <w:pPr>
              <w:rPr>
                <w:rFonts w:cs="Calibri"/>
                <w:color w:val="000000" w:themeColor="text1"/>
                <w:sz w:val="13"/>
                <w:szCs w:val="13"/>
              </w:rPr>
            </w:pPr>
            <w:r w:rsidRPr="00B95A90">
              <w:rPr>
                <w:rFonts w:cs="Calibri"/>
                <w:color w:val="000000" w:themeColor="text1"/>
                <w:sz w:val="13"/>
                <w:szCs w:val="13"/>
              </w:rPr>
              <w:t>Z tytułu emisji papierów wartościowych</w:t>
            </w:r>
          </w:p>
        </w:tc>
        <w:tc>
          <w:tcPr>
            <w:tcW w:w="1417" w:type="dxa"/>
            <w:tcBorders>
              <w:top w:val="nil"/>
              <w:left w:val="single" w:sz="8" w:space="0" w:color="0077BD"/>
              <w:bottom w:val="nil"/>
              <w:right w:val="single" w:sz="8" w:space="0" w:color="0077BD"/>
            </w:tcBorders>
            <w:shd w:val="clear" w:color="auto" w:fill="auto"/>
            <w:noWrap/>
            <w:vAlign w:val="center"/>
          </w:tcPr>
          <w:p w14:paraId="538259B6" w14:textId="2B479479"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(329 380)</w:t>
            </w:r>
          </w:p>
        </w:tc>
        <w:tc>
          <w:tcPr>
            <w:tcW w:w="1417" w:type="dxa"/>
            <w:tcBorders>
              <w:top w:val="nil"/>
              <w:left w:val="nil"/>
              <w:bottom w:val="nil"/>
              <w:right w:val="nil"/>
            </w:tcBorders>
            <w:shd w:val="clear" w:color="auto" w:fill="auto"/>
            <w:noWrap/>
            <w:vAlign w:val="center"/>
            <w:hideMark/>
          </w:tcPr>
          <w:p w14:paraId="4AB88BE2" w14:textId="0D33B3B6"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(243 513)</w:t>
            </w:r>
          </w:p>
        </w:tc>
      </w:tr>
      <w:tr w:rsidR="00520AAC" w:rsidRPr="00BB7C9E" w14:paraId="3DC62131" w14:textId="77777777" w:rsidTr="00520AAC">
        <w:trPr>
          <w:trHeight w:val="284"/>
        </w:trPr>
        <w:tc>
          <w:tcPr>
            <w:tcW w:w="6741" w:type="dxa"/>
            <w:tcBorders>
              <w:top w:val="single" w:sz="4" w:space="0" w:color="0077BD"/>
              <w:left w:val="nil"/>
              <w:bottom w:val="nil"/>
              <w:right w:val="single" w:sz="8" w:space="0" w:color="0077BD"/>
            </w:tcBorders>
            <w:shd w:val="clear" w:color="auto" w:fill="auto"/>
            <w:vAlign w:val="center"/>
            <w:hideMark/>
          </w:tcPr>
          <w:p w14:paraId="0AF6D4C9" w14:textId="7E2C8F93" w:rsidR="00520AAC" w:rsidRPr="00B95A90" w:rsidRDefault="00520AAC" w:rsidP="00520AAC">
            <w:pPr>
              <w:rPr>
                <w:rFonts w:cs="Calibri"/>
                <w:color w:val="000000" w:themeColor="text1"/>
                <w:sz w:val="13"/>
                <w:szCs w:val="13"/>
              </w:rPr>
            </w:pPr>
            <w:r w:rsidRPr="00B95A90">
              <w:rPr>
                <w:rFonts w:cs="Calibri"/>
                <w:color w:val="000000" w:themeColor="text1"/>
                <w:sz w:val="13"/>
                <w:szCs w:val="13"/>
              </w:rPr>
              <w:t>Pozostałe odsetki zapłacone</w:t>
            </w:r>
          </w:p>
        </w:tc>
        <w:tc>
          <w:tcPr>
            <w:tcW w:w="1417" w:type="dxa"/>
            <w:tcBorders>
              <w:top w:val="single" w:sz="4" w:space="0" w:color="0077BD"/>
              <w:left w:val="single" w:sz="8" w:space="0" w:color="0077BD"/>
              <w:bottom w:val="nil"/>
              <w:right w:val="single" w:sz="8" w:space="0" w:color="0077BD"/>
            </w:tcBorders>
            <w:shd w:val="clear" w:color="auto" w:fill="auto"/>
            <w:noWrap/>
            <w:vAlign w:val="center"/>
          </w:tcPr>
          <w:p w14:paraId="3A4DCA6F" w14:textId="7417A09F"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(23 679)</w:t>
            </w:r>
          </w:p>
        </w:tc>
        <w:tc>
          <w:tcPr>
            <w:tcW w:w="1417" w:type="dxa"/>
            <w:tcBorders>
              <w:top w:val="single" w:sz="4" w:space="0" w:color="0077BD"/>
              <w:left w:val="nil"/>
              <w:bottom w:val="nil"/>
              <w:right w:val="nil"/>
            </w:tcBorders>
            <w:shd w:val="clear" w:color="auto" w:fill="auto"/>
            <w:noWrap/>
            <w:vAlign w:val="center"/>
            <w:hideMark/>
          </w:tcPr>
          <w:p w14:paraId="555BCCA1" w14:textId="2F7F5CE1" w:rsidR="00520AAC" w:rsidRPr="00B95A90" w:rsidRDefault="00520AAC" w:rsidP="00520AAC">
            <w:pPr>
              <w:jc w:val="right"/>
              <w:rPr>
                <w:rFonts w:cs="Calibri"/>
                <w:color w:val="000000" w:themeColor="text1"/>
                <w:sz w:val="13"/>
                <w:szCs w:val="13"/>
              </w:rPr>
            </w:pPr>
            <w:r w:rsidRPr="00B95A90">
              <w:rPr>
                <w:rFonts w:cs="Calibri"/>
                <w:color w:val="000000" w:themeColor="text1"/>
                <w:sz w:val="13"/>
                <w:szCs w:val="13"/>
              </w:rPr>
              <w:t>(6 882)</w:t>
            </w:r>
          </w:p>
        </w:tc>
      </w:tr>
      <w:tr w:rsidR="00520AAC" w:rsidRPr="00BB7C9E" w14:paraId="39649120" w14:textId="77777777" w:rsidTr="00520AAC">
        <w:trPr>
          <w:trHeight w:val="284"/>
        </w:trPr>
        <w:tc>
          <w:tcPr>
            <w:tcW w:w="6741" w:type="dxa"/>
            <w:tcBorders>
              <w:top w:val="single" w:sz="8" w:space="0" w:color="0077BD"/>
              <w:left w:val="nil"/>
              <w:bottom w:val="single" w:sz="8" w:space="0" w:color="0077BD"/>
              <w:right w:val="single" w:sz="8" w:space="0" w:color="0077BD"/>
            </w:tcBorders>
            <w:shd w:val="clear" w:color="000000" w:fill="FFFFFF"/>
            <w:vAlign w:val="center"/>
            <w:hideMark/>
          </w:tcPr>
          <w:p w14:paraId="36ADC3FD" w14:textId="77777777" w:rsidR="00520AAC" w:rsidRPr="00B95A90" w:rsidRDefault="00520AAC" w:rsidP="00520AAC">
            <w:pPr>
              <w:rPr>
                <w:rFonts w:cs="Calibri"/>
                <w:b/>
                <w:bCs/>
                <w:color w:val="000000" w:themeColor="text1"/>
                <w:sz w:val="13"/>
                <w:szCs w:val="13"/>
              </w:rPr>
            </w:pPr>
            <w:r w:rsidRPr="00B95A90">
              <w:rPr>
                <w:rFonts w:cs="Calibri"/>
                <w:b/>
                <w:bCs/>
                <w:color w:val="000000" w:themeColor="text1"/>
                <w:sz w:val="13"/>
                <w:szCs w:val="13"/>
              </w:rPr>
              <w:t>Przychody z tytułu odsetek otrzymanych, razem</w:t>
            </w:r>
          </w:p>
        </w:tc>
        <w:tc>
          <w:tcPr>
            <w:tcW w:w="1417" w:type="dxa"/>
            <w:tcBorders>
              <w:top w:val="single" w:sz="8" w:space="0" w:color="0077BD"/>
              <w:left w:val="single" w:sz="8" w:space="0" w:color="0077BD"/>
              <w:bottom w:val="single" w:sz="8" w:space="0" w:color="0077BD"/>
              <w:right w:val="single" w:sz="8" w:space="0" w:color="0077BD"/>
            </w:tcBorders>
            <w:shd w:val="clear" w:color="000000" w:fill="FFFFFF"/>
            <w:noWrap/>
            <w:vAlign w:val="center"/>
          </w:tcPr>
          <w:p w14:paraId="4344985A" w14:textId="4979FC95" w:rsidR="00520AAC" w:rsidRPr="00B95A90" w:rsidRDefault="00520AAC" w:rsidP="00520AAC">
            <w:pPr>
              <w:jc w:val="right"/>
              <w:rPr>
                <w:rFonts w:cs="Calibri"/>
                <w:b/>
                <w:bCs/>
                <w:color w:val="000000" w:themeColor="text1"/>
                <w:sz w:val="13"/>
                <w:szCs w:val="13"/>
              </w:rPr>
            </w:pPr>
            <w:r w:rsidRPr="00B95A90">
              <w:rPr>
                <w:rFonts w:cs="Calibri"/>
                <w:b/>
                <w:bCs/>
                <w:color w:val="000000" w:themeColor="text1"/>
                <w:sz w:val="13"/>
                <w:szCs w:val="13"/>
              </w:rPr>
              <w:t>(1 096 272)</w:t>
            </w:r>
          </w:p>
        </w:tc>
        <w:tc>
          <w:tcPr>
            <w:tcW w:w="1417" w:type="dxa"/>
            <w:tcBorders>
              <w:top w:val="single" w:sz="8" w:space="0" w:color="0077BD"/>
              <w:left w:val="nil"/>
              <w:bottom w:val="single" w:sz="8" w:space="0" w:color="0077BD"/>
              <w:right w:val="nil"/>
            </w:tcBorders>
            <w:shd w:val="clear" w:color="auto" w:fill="auto"/>
            <w:noWrap/>
            <w:vAlign w:val="center"/>
            <w:hideMark/>
          </w:tcPr>
          <w:p w14:paraId="39958D90" w14:textId="4E169509" w:rsidR="00520AAC" w:rsidRPr="00B95A90" w:rsidRDefault="005A6FD4" w:rsidP="00520AAC">
            <w:pPr>
              <w:jc w:val="right"/>
              <w:rPr>
                <w:rFonts w:cs="Calibri"/>
                <w:b/>
                <w:bCs/>
                <w:color w:val="000000" w:themeColor="text1"/>
                <w:sz w:val="13"/>
                <w:szCs w:val="13"/>
              </w:rPr>
            </w:pPr>
            <w:r>
              <w:rPr>
                <w:rFonts w:cs="Calibri"/>
                <w:b/>
                <w:bCs/>
                <w:color w:val="000000" w:themeColor="text1"/>
                <w:sz w:val="13"/>
                <w:szCs w:val="13"/>
              </w:rPr>
              <w:t>(1 212 902)</w:t>
            </w:r>
          </w:p>
        </w:tc>
      </w:tr>
    </w:tbl>
    <w:p w14:paraId="76903C62" w14:textId="77777777" w:rsidR="00E25CB7" w:rsidRPr="00C237F7" w:rsidRDefault="00E25CB7" w:rsidP="00EE4991">
      <w:pPr>
        <w:suppressAutoHyphens/>
        <w:jc w:val="both"/>
        <w:rPr>
          <w:rFonts w:cs="Tahoma"/>
          <w:color w:val="201C17"/>
          <w:sz w:val="18"/>
          <w:szCs w:val="18"/>
        </w:rPr>
      </w:pPr>
    </w:p>
    <w:p w14:paraId="69BF0BE8" w14:textId="77777777" w:rsidR="00C237F7" w:rsidRPr="00D5698B" w:rsidRDefault="00C237F7" w:rsidP="00C237F7">
      <w:pPr>
        <w:pStyle w:val="Tekstpodstawowy"/>
        <w:spacing w:after="0"/>
        <w:jc w:val="both"/>
        <w:rPr>
          <w:rFonts w:cs="Tahoma"/>
          <w:b/>
          <w:i/>
          <w:color w:val="E41E0A"/>
          <w:sz w:val="18"/>
          <w:szCs w:val="18"/>
          <w:u w:val="single"/>
        </w:rPr>
      </w:pPr>
      <w:r w:rsidRPr="00D5698B">
        <w:rPr>
          <w:rFonts w:cs="Tahoma"/>
          <w:b/>
          <w:i/>
          <w:color w:val="E41E0A"/>
          <w:sz w:val="18"/>
          <w:szCs w:val="18"/>
          <w:u w:val="single"/>
        </w:rPr>
        <w:t>Przepływy środków pieni</w:t>
      </w:r>
      <w:r>
        <w:rPr>
          <w:rFonts w:cs="Tahoma"/>
          <w:b/>
          <w:i/>
          <w:color w:val="E41E0A"/>
          <w:sz w:val="18"/>
          <w:szCs w:val="18"/>
          <w:u w:val="single"/>
        </w:rPr>
        <w:t>ężnych z działalności inwestycyjnej</w:t>
      </w:r>
    </w:p>
    <w:p w14:paraId="4028FAFD" w14:textId="7F88A309" w:rsidR="003235FE" w:rsidRPr="00BB7C9E" w:rsidRDefault="003E21A4" w:rsidP="003235FE">
      <w:pPr>
        <w:pStyle w:val="Tekstpodstawowy"/>
        <w:spacing w:before="120" w:after="0"/>
        <w:jc w:val="both"/>
        <w:rPr>
          <w:rFonts w:cs="Tahoma"/>
          <w:color w:val="000000" w:themeColor="text1"/>
          <w:sz w:val="18"/>
          <w:szCs w:val="18"/>
        </w:rPr>
      </w:pPr>
      <w:r w:rsidRPr="00BB7C9E">
        <w:rPr>
          <w:rFonts w:cs="Tahoma"/>
          <w:color w:val="000000" w:themeColor="text1"/>
          <w:sz w:val="18"/>
          <w:szCs w:val="18"/>
        </w:rPr>
        <w:t>W 2019</w:t>
      </w:r>
      <w:r w:rsidR="003235FE" w:rsidRPr="00BB7C9E">
        <w:rPr>
          <w:rFonts w:cs="Tahoma"/>
          <w:color w:val="000000" w:themeColor="text1"/>
          <w:sz w:val="18"/>
          <w:szCs w:val="18"/>
        </w:rPr>
        <w:t xml:space="preserve"> roku </w:t>
      </w:r>
      <w:r w:rsidRPr="00BB7C9E">
        <w:rPr>
          <w:rFonts w:cs="Tahoma"/>
          <w:color w:val="000000" w:themeColor="text1"/>
          <w:sz w:val="18"/>
          <w:szCs w:val="18"/>
        </w:rPr>
        <w:t>i w 2018</w:t>
      </w:r>
      <w:r w:rsidR="00C2353B" w:rsidRPr="00BB7C9E">
        <w:rPr>
          <w:rFonts w:cs="Tahoma"/>
          <w:color w:val="000000" w:themeColor="text1"/>
          <w:sz w:val="18"/>
          <w:szCs w:val="18"/>
        </w:rPr>
        <w:t xml:space="preserve"> roku </w:t>
      </w:r>
      <w:r w:rsidR="003235FE" w:rsidRPr="00BB7C9E">
        <w:rPr>
          <w:rFonts w:cs="Tahoma"/>
          <w:color w:val="000000" w:themeColor="text1"/>
          <w:sz w:val="18"/>
          <w:szCs w:val="18"/>
        </w:rPr>
        <w:t xml:space="preserve">przepływy środków z działalności inwestycyjnej dotyczą głównie rozliczeń z tytułu nabycia wartości niematerialnych oraz rzeczowych aktywów trwałych. </w:t>
      </w:r>
      <w:r w:rsidR="006A4491" w:rsidRPr="00BB7C9E">
        <w:rPr>
          <w:rFonts w:cs="Tahoma"/>
          <w:color w:val="000000" w:themeColor="text1"/>
          <w:sz w:val="18"/>
          <w:szCs w:val="18"/>
        </w:rPr>
        <w:t>Ponadto w 2018 roku przepływy z</w:t>
      </w:r>
      <w:r w:rsidR="00DD37A3">
        <w:rPr>
          <w:rFonts w:cs="Tahoma"/>
          <w:color w:val="000000" w:themeColor="text1"/>
          <w:sz w:val="18"/>
          <w:szCs w:val="18"/>
        </w:rPr>
        <w:t> </w:t>
      </w:r>
      <w:r w:rsidR="006A4491" w:rsidRPr="00BB7C9E">
        <w:rPr>
          <w:rFonts w:cs="Tahoma"/>
          <w:color w:val="000000" w:themeColor="text1"/>
          <w:sz w:val="18"/>
          <w:szCs w:val="18"/>
        </w:rPr>
        <w:t>działalności inwestycyjnej dotyczą rozliczenia transakcji i sprzedaży zorganizowanej części przedsi</w:t>
      </w:r>
      <w:r w:rsidR="00876BEC">
        <w:rPr>
          <w:rFonts w:cs="Tahoma"/>
          <w:color w:val="000000" w:themeColor="text1"/>
          <w:sz w:val="18"/>
          <w:szCs w:val="18"/>
        </w:rPr>
        <w:t>ębiorstwa mFinanse S.A. (Nota 12</w:t>
      </w:r>
      <w:r w:rsidR="006A4491" w:rsidRPr="00BB7C9E">
        <w:rPr>
          <w:rFonts w:cs="Tahoma"/>
          <w:color w:val="000000" w:themeColor="text1"/>
          <w:sz w:val="18"/>
          <w:szCs w:val="18"/>
        </w:rPr>
        <w:t>).</w:t>
      </w:r>
    </w:p>
    <w:p w14:paraId="1853F32A" w14:textId="77777777" w:rsidR="00EB2F3B" w:rsidRPr="00BB7C9E" w:rsidRDefault="00EB2F3B" w:rsidP="00C237F7">
      <w:pPr>
        <w:pStyle w:val="Tekstpodstawowy"/>
        <w:spacing w:after="0"/>
        <w:jc w:val="both"/>
        <w:rPr>
          <w:rFonts w:cs="Tahoma"/>
          <w:color w:val="000000" w:themeColor="text1"/>
          <w:sz w:val="18"/>
          <w:szCs w:val="18"/>
        </w:rPr>
      </w:pPr>
    </w:p>
    <w:p w14:paraId="12D2B13A" w14:textId="77777777" w:rsidR="00C237F7" w:rsidRPr="00D5698B" w:rsidRDefault="00C237F7" w:rsidP="00C237F7">
      <w:pPr>
        <w:pStyle w:val="Tekstpodstawowy"/>
        <w:spacing w:after="0"/>
        <w:jc w:val="both"/>
        <w:rPr>
          <w:rFonts w:cs="Tahoma"/>
          <w:b/>
          <w:i/>
          <w:color w:val="E41E0A"/>
          <w:sz w:val="18"/>
          <w:szCs w:val="18"/>
          <w:u w:val="single"/>
        </w:rPr>
      </w:pPr>
      <w:r w:rsidRPr="00D5698B">
        <w:rPr>
          <w:rFonts w:cs="Tahoma"/>
          <w:b/>
          <w:i/>
          <w:color w:val="E41E0A"/>
          <w:sz w:val="18"/>
          <w:szCs w:val="18"/>
          <w:u w:val="single"/>
        </w:rPr>
        <w:t>Przepływy środków pieniężnych z działalności finansowej</w:t>
      </w:r>
    </w:p>
    <w:p w14:paraId="37E5B91D" w14:textId="3092781E" w:rsidR="00C237F7" w:rsidRPr="00BB7C9E" w:rsidRDefault="00C237F7" w:rsidP="00C237F7">
      <w:pPr>
        <w:pStyle w:val="Tekstpodstawowy"/>
        <w:spacing w:before="120" w:after="0"/>
        <w:jc w:val="both"/>
        <w:rPr>
          <w:rFonts w:cs="Tahoma"/>
          <w:color w:val="000000" w:themeColor="text1"/>
          <w:sz w:val="18"/>
          <w:szCs w:val="18"/>
        </w:rPr>
      </w:pPr>
      <w:r w:rsidRPr="00BB7C9E">
        <w:rPr>
          <w:rFonts w:cs="Tahoma"/>
          <w:color w:val="000000" w:themeColor="text1"/>
          <w:sz w:val="18"/>
          <w:szCs w:val="18"/>
        </w:rPr>
        <w:t>Przepływy środków pieniężn</w:t>
      </w:r>
      <w:r w:rsidR="008D4676" w:rsidRPr="00BB7C9E">
        <w:rPr>
          <w:rFonts w:cs="Tahoma"/>
          <w:color w:val="000000" w:themeColor="text1"/>
          <w:sz w:val="18"/>
          <w:szCs w:val="18"/>
        </w:rPr>
        <w:t>ych z działalności finansowej</w:t>
      </w:r>
      <w:r w:rsidRPr="00BB7C9E">
        <w:rPr>
          <w:rFonts w:cs="Tahoma"/>
          <w:color w:val="000000" w:themeColor="text1"/>
          <w:sz w:val="18"/>
          <w:szCs w:val="18"/>
        </w:rPr>
        <w:t xml:space="preserve"> dotyczą głównie rozliczeń z tytułu </w:t>
      </w:r>
      <w:r w:rsidR="0045656C" w:rsidRPr="00BB7C9E">
        <w:rPr>
          <w:rFonts w:cs="Tahoma"/>
          <w:color w:val="000000" w:themeColor="text1"/>
          <w:sz w:val="18"/>
          <w:szCs w:val="18"/>
        </w:rPr>
        <w:t xml:space="preserve">emisji dłużnych papierów wartościowych oraz rozliczeń </w:t>
      </w:r>
      <w:r w:rsidRPr="00BB7C9E">
        <w:rPr>
          <w:rFonts w:cs="Tahoma"/>
          <w:color w:val="000000" w:themeColor="text1"/>
          <w:sz w:val="18"/>
          <w:szCs w:val="18"/>
        </w:rPr>
        <w:t>długoterminowych kredytów otrzy</w:t>
      </w:r>
      <w:r w:rsidR="00AF3B8A">
        <w:rPr>
          <w:rFonts w:cs="Tahoma"/>
          <w:color w:val="000000" w:themeColor="text1"/>
          <w:sz w:val="18"/>
          <w:szCs w:val="18"/>
        </w:rPr>
        <w:t>manych od innych banków (Nota 28</w:t>
      </w:r>
      <w:r w:rsidRPr="00BB7C9E">
        <w:rPr>
          <w:rFonts w:cs="Tahoma"/>
          <w:color w:val="000000" w:themeColor="text1"/>
          <w:sz w:val="18"/>
          <w:szCs w:val="18"/>
        </w:rPr>
        <w:t xml:space="preserve">) </w:t>
      </w:r>
      <w:r w:rsidR="0045656C" w:rsidRPr="00BB7C9E">
        <w:rPr>
          <w:rFonts w:cs="Tahoma"/>
          <w:color w:val="000000" w:themeColor="text1"/>
          <w:sz w:val="18"/>
          <w:szCs w:val="18"/>
        </w:rPr>
        <w:t>i</w:t>
      </w:r>
      <w:r w:rsidRPr="00BB7C9E">
        <w:rPr>
          <w:rFonts w:cs="Tahoma"/>
          <w:color w:val="000000" w:themeColor="text1"/>
          <w:sz w:val="18"/>
          <w:szCs w:val="18"/>
        </w:rPr>
        <w:t xml:space="preserve"> z Europejskie</w:t>
      </w:r>
      <w:r w:rsidR="00AF3B8A">
        <w:rPr>
          <w:rFonts w:cs="Tahoma"/>
          <w:color w:val="000000" w:themeColor="text1"/>
          <w:sz w:val="18"/>
          <w:szCs w:val="18"/>
        </w:rPr>
        <w:t>go Banku Inwestycyjnego (Nota 28</w:t>
      </w:r>
      <w:r w:rsidRPr="00BB7C9E">
        <w:rPr>
          <w:rFonts w:cs="Tahoma"/>
          <w:color w:val="000000" w:themeColor="text1"/>
          <w:sz w:val="18"/>
          <w:szCs w:val="18"/>
        </w:rPr>
        <w:t>).</w:t>
      </w:r>
      <w:r w:rsidR="003E21A4" w:rsidRPr="00BB7C9E">
        <w:rPr>
          <w:rFonts w:cs="Tahoma"/>
          <w:color w:val="000000" w:themeColor="text1"/>
          <w:sz w:val="18"/>
          <w:szCs w:val="18"/>
        </w:rPr>
        <w:t xml:space="preserve"> Ponadto</w:t>
      </w:r>
      <w:r w:rsidR="00C2353B" w:rsidRPr="00BB7C9E">
        <w:rPr>
          <w:rFonts w:cs="Tahoma"/>
          <w:color w:val="000000" w:themeColor="text1"/>
          <w:sz w:val="18"/>
          <w:szCs w:val="18"/>
        </w:rPr>
        <w:t xml:space="preserve"> przepływy z działalności finansowej obejmują rozliczenia z tytułu zobowiązań podporządkowanych.</w:t>
      </w:r>
    </w:p>
    <w:p w14:paraId="6637E9AB" w14:textId="77777777" w:rsidR="00D9237C" w:rsidRPr="00BB7C9E" w:rsidRDefault="00D9237C" w:rsidP="00D9237C">
      <w:pPr>
        <w:pStyle w:val="Tekstpodstawowy"/>
        <w:spacing w:before="120" w:after="0"/>
        <w:jc w:val="both"/>
        <w:rPr>
          <w:rFonts w:cs="Tahoma"/>
          <w:color w:val="000000" w:themeColor="text1"/>
          <w:sz w:val="18"/>
          <w:szCs w:val="18"/>
        </w:rPr>
      </w:pPr>
      <w:r w:rsidRPr="00BB7C9E">
        <w:rPr>
          <w:rFonts w:cs="Tahoma"/>
          <w:color w:val="000000" w:themeColor="text1"/>
          <w:sz w:val="18"/>
          <w:szCs w:val="18"/>
        </w:rPr>
        <w:t>Poniższa tabela prezentuje zmianę stanu zobowiązań w ramach działalności finansowej.</w:t>
      </w:r>
    </w:p>
    <w:p w14:paraId="06ABB4F0" w14:textId="6C3430DE" w:rsidR="00D9237C" w:rsidRDefault="00D9237C" w:rsidP="00804689">
      <w:pPr>
        <w:pStyle w:val="Tekstpodstawowy"/>
        <w:spacing w:after="0"/>
        <w:jc w:val="both"/>
        <w:rPr>
          <w:rFonts w:cs="Tahoma"/>
          <w:color w:val="201C17"/>
          <w:sz w:val="18"/>
          <w:szCs w:val="18"/>
        </w:rPr>
      </w:pP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B75BCA" w:rsidRPr="00087493" w14:paraId="47AC925E" w14:textId="77777777" w:rsidTr="0010308A">
        <w:trPr>
          <w:trHeight w:val="851"/>
        </w:trPr>
        <w:tc>
          <w:tcPr>
            <w:tcW w:w="3912" w:type="dxa"/>
            <w:tcBorders>
              <w:top w:val="nil"/>
              <w:left w:val="nil"/>
              <w:bottom w:val="nil"/>
              <w:right w:val="single" w:sz="8" w:space="0" w:color="FFFFFF"/>
            </w:tcBorders>
            <w:shd w:val="clear" w:color="000000" w:fill="0077BD"/>
            <w:noWrap/>
            <w:vAlign w:val="center"/>
            <w:hideMark/>
          </w:tcPr>
          <w:p w14:paraId="56A79B84" w14:textId="77777777" w:rsidR="00B75BCA" w:rsidRPr="00087493" w:rsidRDefault="00B75BCA" w:rsidP="003754B8">
            <w:pPr>
              <w:rPr>
                <w:rFonts w:cs="Calibri"/>
                <w:color w:val="99CCFF"/>
                <w:sz w:val="13"/>
                <w:szCs w:val="13"/>
              </w:rPr>
            </w:pPr>
            <w:r w:rsidRPr="00087493">
              <w:rPr>
                <w:rFonts w:cs="Calibri"/>
                <w:color w:val="99CCFF"/>
                <w:sz w:val="13"/>
                <w:szCs w:val="13"/>
              </w:rPr>
              <w:t> </w:t>
            </w:r>
          </w:p>
        </w:tc>
        <w:tc>
          <w:tcPr>
            <w:tcW w:w="1418" w:type="dxa"/>
            <w:tcBorders>
              <w:top w:val="nil"/>
              <w:left w:val="nil"/>
              <w:bottom w:val="nil"/>
              <w:right w:val="single" w:sz="8" w:space="0" w:color="FFFFFF"/>
            </w:tcBorders>
            <w:shd w:val="clear" w:color="000000" w:fill="0077BD"/>
            <w:vAlign w:val="center"/>
            <w:hideMark/>
          </w:tcPr>
          <w:p w14:paraId="7705FE34" w14:textId="77777777" w:rsidR="00B75BCA" w:rsidRPr="00087493" w:rsidRDefault="00B75BCA" w:rsidP="003754B8">
            <w:pPr>
              <w:jc w:val="center"/>
              <w:rPr>
                <w:rFonts w:cs="Calibri"/>
                <w:b/>
                <w:bCs/>
                <w:color w:val="FFFFFF"/>
                <w:sz w:val="13"/>
                <w:szCs w:val="13"/>
              </w:rPr>
            </w:pPr>
            <w:r w:rsidRPr="00087493">
              <w:rPr>
                <w:rFonts w:cs="Calibri"/>
                <w:b/>
                <w:bCs/>
                <w:color w:val="FFFFFF"/>
                <w:sz w:val="13"/>
                <w:szCs w:val="13"/>
              </w:rPr>
              <w:t xml:space="preserve">Stan na </w:t>
            </w:r>
            <w:r w:rsidRPr="00087493">
              <w:rPr>
                <w:rFonts w:cs="Calibri"/>
                <w:b/>
                <w:bCs/>
                <w:color w:val="FFFFFF"/>
                <w:sz w:val="13"/>
                <w:szCs w:val="13"/>
              </w:rPr>
              <w:br/>
              <w:t>31.12.2018</w:t>
            </w:r>
          </w:p>
        </w:tc>
        <w:tc>
          <w:tcPr>
            <w:tcW w:w="1418" w:type="dxa"/>
            <w:tcBorders>
              <w:top w:val="nil"/>
              <w:left w:val="nil"/>
              <w:bottom w:val="nil"/>
              <w:right w:val="nil"/>
            </w:tcBorders>
            <w:shd w:val="clear" w:color="000000" w:fill="0077BD"/>
            <w:vAlign w:val="center"/>
            <w:hideMark/>
          </w:tcPr>
          <w:p w14:paraId="3BF5F645" w14:textId="77777777" w:rsidR="00B75BCA" w:rsidRPr="00087493" w:rsidRDefault="00B75BCA" w:rsidP="003754B8">
            <w:pPr>
              <w:jc w:val="center"/>
              <w:rPr>
                <w:rFonts w:cs="Calibri"/>
                <w:b/>
                <w:bCs/>
                <w:color w:val="FFFFFF"/>
                <w:sz w:val="13"/>
                <w:szCs w:val="13"/>
              </w:rPr>
            </w:pPr>
            <w:r w:rsidRPr="00087493">
              <w:rPr>
                <w:rFonts w:cs="Calibri"/>
                <w:b/>
                <w:bCs/>
                <w:color w:val="FFFFFF"/>
                <w:sz w:val="13"/>
                <w:szCs w:val="13"/>
              </w:rPr>
              <w:t>Przepływy środków pieniężnych</w:t>
            </w:r>
          </w:p>
        </w:tc>
        <w:tc>
          <w:tcPr>
            <w:tcW w:w="1418" w:type="dxa"/>
            <w:tcBorders>
              <w:top w:val="nil"/>
              <w:left w:val="single" w:sz="8" w:space="0" w:color="FFFFFF"/>
              <w:bottom w:val="nil"/>
              <w:right w:val="nil"/>
            </w:tcBorders>
            <w:shd w:val="clear" w:color="000000" w:fill="0077BD"/>
            <w:vAlign w:val="center"/>
            <w:hideMark/>
          </w:tcPr>
          <w:p w14:paraId="65F585C3" w14:textId="77777777" w:rsidR="00B75BCA" w:rsidRPr="00087493" w:rsidRDefault="00B75BCA" w:rsidP="003754B8">
            <w:pPr>
              <w:jc w:val="center"/>
              <w:rPr>
                <w:rFonts w:cs="Calibri"/>
                <w:b/>
                <w:bCs/>
                <w:color w:val="FFFFFF"/>
                <w:sz w:val="13"/>
                <w:szCs w:val="13"/>
              </w:rPr>
            </w:pPr>
            <w:r w:rsidRPr="00087493">
              <w:rPr>
                <w:rFonts w:cs="Calibri"/>
                <w:b/>
                <w:bCs/>
                <w:color w:val="FFFFFF"/>
                <w:sz w:val="13"/>
                <w:szCs w:val="13"/>
              </w:rPr>
              <w:t>Zmiana stanu nie związana z przepływami środków pieniężnych</w:t>
            </w:r>
          </w:p>
        </w:tc>
        <w:tc>
          <w:tcPr>
            <w:tcW w:w="1418" w:type="dxa"/>
            <w:tcBorders>
              <w:top w:val="nil"/>
              <w:left w:val="single" w:sz="8" w:space="0" w:color="FFFFFF"/>
              <w:bottom w:val="nil"/>
              <w:right w:val="nil"/>
            </w:tcBorders>
            <w:shd w:val="clear" w:color="000000" w:fill="0077BD"/>
            <w:vAlign w:val="center"/>
            <w:hideMark/>
          </w:tcPr>
          <w:p w14:paraId="17197BBC" w14:textId="77777777" w:rsidR="00B75BCA" w:rsidRPr="00087493" w:rsidRDefault="00B75BCA" w:rsidP="003754B8">
            <w:pPr>
              <w:jc w:val="center"/>
              <w:rPr>
                <w:rFonts w:cs="Calibri"/>
                <w:b/>
                <w:bCs/>
                <w:color w:val="FFFFFF"/>
                <w:sz w:val="13"/>
                <w:szCs w:val="13"/>
              </w:rPr>
            </w:pPr>
            <w:r w:rsidRPr="00087493">
              <w:rPr>
                <w:rFonts w:cs="Calibri"/>
                <w:b/>
                <w:bCs/>
                <w:color w:val="FFFFFF"/>
                <w:sz w:val="13"/>
                <w:szCs w:val="13"/>
              </w:rPr>
              <w:t xml:space="preserve">Stan na </w:t>
            </w:r>
            <w:r w:rsidRPr="00087493">
              <w:rPr>
                <w:rFonts w:cs="Calibri"/>
                <w:b/>
                <w:bCs/>
                <w:color w:val="FFFFFF"/>
                <w:sz w:val="13"/>
                <w:szCs w:val="13"/>
              </w:rPr>
              <w:br/>
              <w:t>31.12.2019</w:t>
            </w:r>
          </w:p>
        </w:tc>
      </w:tr>
      <w:tr w:rsidR="008F2DB9" w:rsidRPr="00BB7C9E" w14:paraId="686FE0FE" w14:textId="77777777" w:rsidTr="002C476A">
        <w:trPr>
          <w:trHeight w:val="284"/>
        </w:trPr>
        <w:tc>
          <w:tcPr>
            <w:tcW w:w="3912" w:type="dxa"/>
            <w:tcBorders>
              <w:top w:val="nil"/>
              <w:left w:val="nil"/>
              <w:bottom w:val="single" w:sz="4" w:space="0" w:color="0077BD"/>
              <w:right w:val="single" w:sz="8" w:space="0" w:color="0077BD"/>
            </w:tcBorders>
            <w:shd w:val="clear" w:color="auto" w:fill="auto"/>
            <w:noWrap/>
            <w:vAlign w:val="center"/>
            <w:hideMark/>
          </w:tcPr>
          <w:p w14:paraId="42780D65" w14:textId="26002204" w:rsidR="008F2DB9" w:rsidRPr="00B95A90" w:rsidRDefault="008F2DB9" w:rsidP="008F2DB9">
            <w:pPr>
              <w:rPr>
                <w:rFonts w:cs="Calibri"/>
                <w:color w:val="000000" w:themeColor="text1"/>
                <w:sz w:val="13"/>
                <w:szCs w:val="13"/>
              </w:rPr>
            </w:pPr>
            <w:r w:rsidRPr="00B95A90">
              <w:rPr>
                <w:rFonts w:cs="Calibri"/>
                <w:color w:val="000000" w:themeColor="text1"/>
                <w:sz w:val="13"/>
                <w:szCs w:val="13"/>
              </w:rPr>
              <w:t>Kredyty i pożyc</w:t>
            </w:r>
            <w:r w:rsidR="00FB4739">
              <w:rPr>
                <w:rFonts w:cs="Calibri"/>
                <w:color w:val="000000" w:themeColor="text1"/>
                <w:sz w:val="13"/>
                <w:szCs w:val="13"/>
              </w:rPr>
              <w:t>zki otrzymane od banków (Nota 28</w:t>
            </w:r>
            <w:r w:rsidRPr="00B95A90">
              <w:rPr>
                <w:rFonts w:cs="Calibri"/>
                <w:color w:val="000000" w:themeColor="text1"/>
                <w:sz w:val="13"/>
                <w:szCs w:val="13"/>
              </w:rPr>
              <w:t>)</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12A6AF17" w14:textId="714847CA" w:rsidR="008F2DB9" w:rsidRPr="008F2DB9" w:rsidRDefault="008F2DB9" w:rsidP="008F2DB9">
            <w:pPr>
              <w:jc w:val="right"/>
              <w:rPr>
                <w:rFonts w:cs="Calibri"/>
                <w:color w:val="000000" w:themeColor="text1"/>
                <w:sz w:val="13"/>
                <w:szCs w:val="13"/>
              </w:rPr>
            </w:pPr>
            <w:r w:rsidRPr="008F2DB9">
              <w:rPr>
                <w:rFonts w:cs="Calibri"/>
                <w:color w:val="000000"/>
                <w:sz w:val="13"/>
                <w:szCs w:val="13"/>
              </w:rPr>
              <w:t>747 381</w:t>
            </w:r>
          </w:p>
        </w:tc>
        <w:tc>
          <w:tcPr>
            <w:tcW w:w="1418" w:type="dxa"/>
            <w:tcBorders>
              <w:top w:val="nil"/>
              <w:left w:val="nil"/>
              <w:bottom w:val="single" w:sz="4" w:space="0" w:color="0077BD"/>
              <w:right w:val="nil"/>
            </w:tcBorders>
            <w:shd w:val="clear" w:color="auto" w:fill="auto"/>
            <w:noWrap/>
            <w:vAlign w:val="center"/>
          </w:tcPr>
          <w:p w14:paraId="1F97BF34" w14:textId="291C8C17" w:rsidR="008F2DB9" w:rsidRPr="008F2DB9" w:rsidRDefault="008F2DB9" w:rsidP="008F2DB9">
            <w:pPr>
              <w:jc w:val="right"/>
              <w:rPr>
                <w:rFonts w:cs="Calibri"/>
                <w:color w:val="000000" w:themeColor="text1"/>
                <w:sz w:val="13"/>
                <w:szCs w:val="13"/>
              </w:rPr>
            </w:pPr>
            <w:r w:rsidRPr="008F2DB9">
              <w:rPr>
                <w:rFonts w:cs="Calibri"/>
                <w:color w:val="000000"/>
                <w:sz w:val="13"/>
                <w:szCs w:val="13"/>
              </w:rPr>
              <w:t>(567 863)</w:t>
            </w:r>
          </w:p>
        </w:tc>
        <w:tc>
          <w:tcPr>
            <w:tcW w:w="1418" w:type="dxa"/>
            <w:tcBorders>
              <w:top w:val="nil"/>
              <w:left w:val="single" w:sz="8" w:space="0" w:color="0077BD"/>
              <w:bottom w:val="single" w:sz="4" w:space="0" w:color="0077BD"/>
              <w:right w:val="nil"/>
            </w:tcBorders>
            <w:shd w:val="clear" w:color="auto" w:fill="auto"/>
            <w:noWrap/>
            <w:vAlign w:val="center"/>
          </w:tcPr>
          <w:p w14:paraId="1B8EEA10" w14:textId="29951D45" w:rsidR="008F2DB9" w:rsidRPr="008F2DB9" w:rsidRDefault="008F2DB9" w:rsidP="008F2DB9">
            <w:pPr>
              <w:jc w:val="right"/>
              <w:rPr>
                <w:rFonts w:cs="Calibri"/>
                <w:color w:val="000000" w:themeColor="text1"/>
                <w:sz w:val="13"/>
                <w:szCs w:val="13"/>
              </w:rPr>
            </w:pPr>
            <w:r w:rsidRPr="008F2DB9">
              <w:rPr>
                <w:rFonts w:cs="Calibri"/>
                <w:color w:val="000000"/>
                <w:sz w:val="13"/>
                <w:szCs w:val="13"/>
              </w:rPr>
              <w:t>10 383</w:t>
            </w:r>
          </w:p>
        </w:tc>
        <w:tc>
          <w:tcPr>
            <w:tcW w:w="1418" w:type="dxa"/>
            <w:tcBorders>
              <w:top w:val="nil"/>
              <w:left w:val="single" w:sz="8" w:space="0" w:color="0077BD"/>
              <w:bottom w:val="single" w:sz="4" w:space="0" w:color="0077BD"/>
              <w:right w:val="nil"/>
            </w:tcBorders>
            <w:shd w:val="clear" w:color="auto" w:fill="auto"/>
            <w:noWrap/>
            <w:vAlign w:val="center"/>
          </w:tcPr>
          <w:p w14:paraId="54B615D1" w14:textId="4058EC10" w:rsidR="008F2DB9" w:rsidRPr="008F2DB9" w:rsidRDefault="008F2DB9" w:rsidP="008F2DB9">
            <w:pPr>
              <w:jc w:val="right"/>
              <w:rPr>
                <w:rFonts w:cs="Calibri"/>
                <w:color w:val="000000" w:themeColor="text1"/>
                <w:sz w:val="13"/>
                <w:szCs w:val="13"/>
              </w:rPr>
            </w:pPr>
            <w:r w:rsidRPr="008F2DB9">
              <w:rPr>
                <w:rFonts w:cs="Calibri"/>
                <w:color w:val="000000"/>
                <w:sz w:val="13"/>
                <w:szCs w:val="13"/>
              </w:rPr>
              <w:t>189 901</w:t>
            </w:r>
          </w:p>
        </w:tc>
      </w:tr>
      <w:tr w:rsidR="008F2DB9" w:rsidRPr="00BB7C9E" w14:paraId="16D3F118" w14:textId="77777777" w:rsidTr="002C476A">
        <w:trPr>
          <w:trHeight w:val="340"/>
        </w:trPr>
        <w:tc>
          <w:tcPr>
            <w:tcW w:w="3912" w:type="dxa"/>
            <w:tcBorders>
              <w:top w:val="nil"/>
              <w:left w:val="nil"/>
              <w:bottom w:val="single" w:sz="4" w:space="0" w:color="0077BD"/>
              <w:right w:val="single" w:sz="8" w:space="0" w:color="0077BD"/>
            </w:tcBorders>
            <w:shd w:val="clear" w:color="auto" w:fill="auto"/>
            <w:noWrap/>
            <w:vAlign w:val="center"/>
            <w:hideMark/>
          </w:tcPr>
          <w:p w14:paraId="271769F5" w14:textId="5782A854" w:rsidR="008F2DB9" w:rsidRPr="00B95A90" w:rsidRDefault="008F2DB9" w:rsidP="008F2DB9">
            <w:pPr>
              <w:rPr>
                <w:rFonts w:cs="Calibri"/>
                <w:color w:val="000000" w:themeColor="text1"/>
                <w:sz w:val="13"/>
                <w:szCs w:val="13"/>
              </w:rPr>
            </w:pPr>
            <w:r w:rsidRPr="00B95A90">
              <w:rPr>
                <w:rFonts w:cs="Calibri"/>
                <w:color w:val="000000" w:themeColor="text1"/>
                <w:sz w:val="13"/>
                <w:szCs w:val="13"/>
              </w:rPr>
              <w:t>Kredyty i pożyczki otrzyma</w:t>
            </w:r>
            <w:r w:rsidR="00FB4739">
              <w:rPr>
                <w:rFonts w:cs="Calibri"/>
                <w:color w:val="000000" w:themeColor="text1"/>
                <w:sz w:val="13"/>
                <w:szCs w:val="13"/>
              </w:rPr>
              <w:t xml:space="preserve">ne od innych podmiotów </w:t>
            </w:r>
            <w:r w:rsidR="00FB4739">
              <w:rPr>
                <w:rFonts w:cs="Calibri"/>
                <w:color w:val="000000" w:themeColor="text1"/>
                <w:sz w:val="13"/>
                <w:szCs w:val="13"/>
              </w:rPr>
              <w:br/>
              <w:t>(Nota 28</w:t>
            </w:r>
            <w:r w:rsidRPr="00B95A90">
              <w:rPr>
                <w:rFonts w:cs="Calibri"/>
                <w:color w:val="000000" w:themeColor="text1"/>
                <w:sz w:val="13"/>
                <w:szCs w:val="13"/>
              </w:rPr>
              <w:t>)</w:t>
            </w:r>
          </w:p>
        </w:tc>
        <w:tc>
          <w:tcPr>
            <w:tcW w:w="1418" w:type="dxa"/>
            <w:tcBorders>
              <w:top w:val="nil"/>
              <w:left w:val="single" w:sz="8" w:space="0" w:color="0077BD"/>
              <w:bottom w:val="single" w:sz="4" w:space="0" w:color="0077BD"/>
              <w:right w:val="single" w:sz="8" w:space="0" w:color="0077BD"/>
            </w:tcBorders>
            <w:shd w:val="clear" w:color="auto" w:fill="auto"/>
            <w:noWrap/>
            <w:vAlign w:val="center"/>
            <w:hideMark/>
          </w:tcPr>
          <w:p w14:paraId="4848B53E" w14:textId="7025E938" w:rsidR="008F2DB9" w:rsidRPr="008F2DB9" w:rsidRDefault="008F2DB9" w:rsidP="008F2DB9">
            <w:pPr>
              <w:jc w:val="right"/>
              <w:rPr>
                <w:rFonts w:cs="Calibri"/>
                <w:color w:val="000000" w:themeColor="text1"/>
                <w:sz w:val="13"/>
                <w:szCs w:val="13"/>
              </w:rPr>
            </w:pPr>
            <w:r w:rsidRPr="008F2DB9">
              <w:rPr>
                <w:rFonts w:cs="Calibri"/>
                <w:color w:val="000000"/>
                <w:sz w:val="13"/>
                <w:szCs w:val="13"/>
              </w:rPr>
              <w:t>3 457 264</w:t>
            </w:r>
          </w:p>
        </w:tc>
        <w:tc>
          <w:tcPr>
            <w:tcW w:w="1418" w:type="dxa"/>
            <w:tcBorders>
              <w:top w:val="nil"/>
              <w:left w:val="nil"/>
              <w:bottom w:val="single" w:sz="4" w:space="0" w:color="0077BD"/>
              <w:right w:val="nil"/>
            </w:tcBorders>
            <w:shd w:val="clear" w:color="auto" w:fill="auto"/>
            <w:noWrap/>
            <w:vAlign w:val="center"/>
          </w:tcPr>
          <w:p w14:paraId="285DF22D" w14:textId="014B88D1" w:rsidR="008F2DB9" w:rsidRPr="008F2DB9" w:rsidRDefault="008F2DB9" w:rsidP="008F2DB9">
            <w:pPr>
              <w:jc w:val="right"/>
              <w:rPr>
                <w:rFonts w:cs="Calibri"/>
                <w:color w:val="000000" w:themeColor="text1"/>
                <w:sz w:val="13"/>
                <w:szCs w:val="13"/>
              </w:rPr>
            </w:pPr>
            <w:r w:rsidRPr="008F2DB9">
              <w:rPr>
                <w:rFonts w:cs="Calibri"/>
                <w:color w:val="000000"/>
                <w:sz w:val="13"/>
                <w:szCs w:val="13"/>
              </w:rPr>
              <w:t>(519 145)</w:t>
            </w:r>
          </w:p>
        </w:tc>
        <w:tc>
          <w:tcPr>
            <w:tcW w:w="1418" w:type="dxa"/>
            <w:tcBorders>
              <w:top w:val="nil"/>
              <w:left w:val="single" w:sz="8" w:space="0" w:color="0077BD"/>
              <w:bottom w:val="single" w:sz="4" w:space="0" w:color="0077BD"/>
              <w:right w:val="nil"/>
            </w:tcBorders>
            <w:shd w:val="clear" w:color="auto" w:fill="auto"/>
            <w:noWrap/>
            <w:vAlign w:val="center"/>
          </w:tcPr>
          <w:p w14:paraId="37207C58" w14:textId="6F15FC87" w:rsidR="008F2DB9" w:rsidRPr="008F2DB9" w:rsidRDefault="008F2DB9" w:rsidP="003E1A06">
            <w:pPr>
              <w:jc w:val="right"/>
              <w:rPr>
                <w:rFonts w:cs="Calibri"/>
                <w:color w:val="000000" w:themeColor="text1"/>
                <w:sz w:val="13"/>
                <w:szCs w:val="13"/>
              </w:rPr>
            </w:pPr>
            <w:r w:rsidRPr="008F2DB9">
              <w:rPr>
                <w:rFonts w:cs="Calibri"/>
                <w:color w:val="000000"/>
                <w:sz w:val="13"/>
                <w:szCs w:val="13"/>
              </w:rPr>
              <w:t>42 17</w:t>
            </w:r>
            <w:r w:rsidR="003E1A06">
              <w:rPr>
                <w:rFonts w:cs="Calibri"/>
                <w:color w:val="000000"/>
                <w:sz w:val="13"/>
                <w:szCs w:val="13"/>
              </w:rPr>
              <w:t>5</w:t>
            </w:r>
          </w:p>
        </w:tc>
        <w:tc>
          <w:tcPr>
            <w:tcW w:w="1418" w:type="dxa"/>
            <w:tcBorders>
              <w:top w:val="nil"/>
              <w:left w:val="single" w:sz="8" w:space="0" w:color="0077BD"/>
              <w:bottom w:val="single" w:sz="4" w:space="0" w:color="0077BD"/>
              <w:right w:val="nil"/>
            </w:tcBorders>
            <w:shd w:val="clear" w:color="auto" w:fill="auto"/>
            <w:noWrap/>
            <w:vAlign w:val="center"/>
          </w:tcPr>
          <w:p w14:paraId="744F0732" w14:textId="5C001B7C" w:rsidR="008F2DB9" w:rsidRPr="008F2DB9" w:rsidRDefault="008F2DB9" w:rsidP="003E1A06">
            <w:pPr>
              <w:jc w:val="right"/>
              <w:rPr>
                <w:rFonts w:cs="Calibri"/>
                <w:color w:val="000000" w:themeColor="text1"/>
                <w:sz w:val="13"/>
                <w:szCs w:val="13"/>
              </w:rPr>
            </w:pPr>
            <w:r w:rsidRPr="008F2DB9">
              <w:rPr>
                <w:rFonts w:cs="Calibri"/>
                <w:color w:val="000000"/>
                <w:sz w:val="13"/>
                <w:szCs w:val="13"/>
              </w:rPr>
              <w:t>2 980 29</w:t>
            </w:r>
            <w:r w:rsidR="003E1A06">
              <w:rPr>
                <w:rFonts w:cs="Calibri"/>
                <w:color w:val="000000"/>
                <w:sz w:val="13"/>
                <w:szCs w:val="13"/>
              </w:rPr>
              <w:t>4</w:t>
            </w:r>
          </w:p>
        </w:tc>
      </w:tr>
      <w:tr w:rsidR="008F2DB9" w:rsidRPr="00BB7C9E" w14:paraId="15116B17" w14:textId="77777777" w:rsidTr="002C476A">
        <w:trPr>
          <w:trHeight w:val="284"/>
        </w:trPr>
        <w:tc>
          <w:tcPr>
            <w:tcW w:w="3912" w:type="dxa"/>
            <w:tcBorders>
              <w:top w:val="nil"/>
              <w:left w:val="nil"/>
              <w:bottom w:val="single" w:sz="4" w:space="0" w:color="0077BD"/>
              <w:right w:val="single" w:sz="8" w:space="0" w:color="0077BD"/>
            </w:tcBorders>
            <w:shd w:val="clear" w:color="auto" w:fill="auto"/>
            <w:vAlign w:val="center"/>
          </w:tcPr>
          <w:p w14:paraId="3C4D2EA2" w14:textId="36B6C577" w:rsidR="008F2DB9" w:rsidRPr="00B95A90" w:rsidRDefault="008F2DB9" w:rsidP="008F2DB9">
            <w:pPr>
              <w:rPr>
                <w:rFonts w:cs="Calibri"/>
                <w:color w:val="000000" w:themeColor="text1"/>
                <w:sz w:val="13"/>
                <w:szCs w:val="13"/>
              </w:rPr>
            </w:pPr>
            <w:r w:rsidRPr="00B95A90">
              <w:rPr>
                <w:rFonts w:cs="Calibri"/>
                <w:color w:val="000000" w:themeColor="text1"/>
                <w:sz w:val="13"/>
                <w:szCs w:val="13"/>
              </w:rPr>
              <w:t>Zobowią</w:t>
            </w:r>
            <w:r w:rsidR="00FB4739">
              <w:rPr>
                <w:rFonts w:cs="Calibri"/>
                <w:color w:val="000000" w:themeColor="text1"/>
                <w:sz w:val="13"/>
                <w:szCs w:val="13"/>
              </w:rPr>
              <w:t>zania z tytułu leasingu (Nota 28</w:t>
            </w:r>
            <w:r w:rsidRPr="00B95A90">
              <w:rPr>
                <w:rFonts w:cs="Calibri"/>
                <w:color w:val="000000" w:themeColor="text1"/>
                <w:sz w:val="13"/>
                <w:szCs w:val="13"/>
              </w:rPr>
              <w:t>)</w:t>
            </w:r>
          </w:p>
        </w:tc>
        <w:tc>
          <w:tcPr>
            <w:tcW w:w="1418" w:type="dxa"/>
            <w:tcBorders>
              <w:top w:val="nil"/>
              <w:left w:val="single" w:sz="8" w:space="0" w:color="0077BD"/>
              <w:bottom w:val="nil"/>
              <w:right w:val="single" w:sz="8" w:space="0" w:color="0077BD"/>
            </w:tcBorders>
            <w:shd w:val="clear" w:color="auto" w:fill="auto"/>
            <w:noWrap/>
            <w:vAlign w:val="center"/>
          </w:tcPr>
          <w:p w14:paraId="7802D710" w14:textId="10690AC0" w:rsidR="008F2DB9" w:rsidRPr="008F2DB9" w:rsidRDefault="008F2DB9" w:rsidP="008F2DB9">
            <w:pPr>
              <w:jc w:val="right"/>
              <w:rPr>
                <w:rFonts w:cs="Calibri"/>
                <w:color w:val="000000" w:themeColor="text1"/>
                <w:sz w:val="13"/>
                <w:szCs w:val="13"/>
              </w:rPr>
            </w:pPr>
            <w:r w:rsidRPr="008F2DB9">
              <w:rPr>
                <w:rFonts w:cs="Calibri"/>
                <w:color w:val="000000"/>
                <w:sz w:val="13"/>
                <w:szCs w:val="13"/>
              </w:rPr>
              <w:t>-</w:t>
            </w:r>
          </w:p>
        </w:tc>
        <w:tc>
          <w:tcPr>
            <w:tcW w:w="1418" w:type="dxa"/>
            <w:tcBorders>
              <w:top w:val="nil"/>
              <w:left w:val="nil"/>
              <w:bottom w:val="nil"/>
              <w:right w:val="nil"/>
            </w:tcBorders>
            <w:shd w:val="clear" w:color="auto" w:fill="auto"/>
            <w:noWrap/>
            <w:vAlign w:val="center"/>
          </w:tcPr>
          <w:p w14:paraId="20017554" w14:textId="04EBFDC6" w:rsidR="008F2DB9" w:rsidRPr="008F2DB9" w:rsidRDefault="008F2DB9" w:rsidP="008F2DB9">
            <w:pPr>
              <w:jc w:val="right"/>
              <w:rPr>
                <w:rFonts w:cs="Calibri"/>
                <w:color w:val="000000" w:themeColor="text1"/>
                <w:sz w:val="13"/>
                <w:szCs w:val="13"/>
              </w:rPr>
            </w:pPr>
            <w:r w:rsidRPr="008F2DB9">
              <w:rPr>
                <w:rFonts w:cs="Calibri"/>
                <w:color w:val="000000"/>
                <w:sz w:val="13"/>
                <w:szCs w:val="13"/>
              </w:rPr>
              <w:t>(122 539)</w:t>
            </w:r>
          </w:p>
        </w:tc>
        <w:tc>
          <w:tcPr>
            <w:tcW w:w="1418" w:type="dxa"/>
            <w:tcBorders>
              <w:top w:val="nil"/>
              <w:left w:val="single" w:sz="8" w:space="0" w:color="0077BD"/>
              <w:bottom w:val="nil"/>
              <w:right w:val="nil"/>
            </w:tcBorders>
            <w:shd w:val="clear" w:color="auto" w:fill="auto"/>
            <w:noWrap/>
            <w:vAlign w:val="center"/>
          </w:tcPr>
          <w:p w14:paraId="72FEDC5F" w14:textId="61868A83" w:rsidR="008F2DB9" w:rsidRPr="008F2DB9" w:rsidRDefault="008F2DB9" w:rsidP="006826CA">
            <w:pPr>
              <w:jc w:val="right"/>
              <w:rPr>
                <w:rFonts w:cs="Calibri"/>
                <w:color w:val="000000" w:themeColor="text1"/>
                <w:sz w:val="13"/>
                <w:szCs w:val="13"/>
              </w:rPr>
            </w:pPr>
            <w:r w:rsidRPr="008F2DB9">
              <w:rPr>
                <w:rFonts w:cs="Calibri"/>
                <w:color w:val="000000"/>
                <w:sz w:val="13"/>
                <w:szCs w:val="13"/>
              </w:rPr>
              <w:t>61</w:t>
            </w:r>
            <w:r w:rsidR="006826CA">
              <w:rPr>
                <w:rFonts w:cs="Calibri"/>
                <w:color w:val="000000"/>
                <w:sz w:val="13"/>
                <w:szCs w:val="13"/>
              </w:rPr>
              <w:t>9</w:t>
            </w:r>
            <w:r w:rsidRPr="008F2DB9">
              <w:rPr>
                <w:rFonts w:cs="Calibri"/>
                <w:color w:val="000000"/>
                <w:sz w:val="13"/>
                <w:szCs w:val="13"/>
              </w:rPr>
              <w:t xml:space="preserve"> </w:t>
            </w:r>
            <w:r w:rsidR="006826CA">
              <w:rPr>
                <w:rFonts w:cs="Calibri"/>
                <w:color w:val="000000"/>
                <w:sz w:val="13"/>
                <w:szCs w:val="13"/>
              </w:rPr>
              <w:t>45</w:t>
            </w:r>
            <w:r w:rsidRPr="008F2DB9">
              <w:rPr>
                <w:rFonts w:cs="Calibri"/>
                <w:color w:val="000000"/>
                <w:sz w:val="13"/>
                <w:szCs w:val="13"/>
              </w:rPr>
              <w:t>1</w:t>
            </w:r>
          </w:p>
        </w:tc>
        <w:tc>
          <w:tcPr>
            <w:tcW w:w="1418" w:type="dxa"/>
            <w:tcBorders>
              <w:top w:val="nil"/>
              <w:left w:val="single" w:sz="8" w:space="0" w:color="0077BD"/>
              <w:bottom w:val="single" w:sz="4" w:space="0" w:color="0077BD"/>
              <w:right w:val="nil"/>
            </w:tcBorders>
            <w:shd w:val="clear" w:color="auto" w:fill="auto"/>
            <w:noWrap/>
            <w:vAlign w:val="center"/>
          </w:tcPr>
          <w:p w14:paraId="365925F1" w14:textId="1DA388D7" w:rsidR="008F2DB9" w:rsidRPr="008F2DB9" w:rsidRDefault="008F2DB9" w:rsidP="006826CA">
            <w:pPr>
              <w:jc w:val="right"/>
              <w:rPr>
                <w:rFonts w:cs="Calibri"/>
                <w:color w:val="000000" w:themeColor="text1"/>
                <w:sz w:val="13"/>
                <w:szCs w:val="13"/>
              </w:rPr>
            </w:pPr>
            <w:r w:rsidRPr="008F2DB9">
              <w:rPr>
                <w:rFonts w:cs="Calibri"/>
                <w:color w:val="000000"/>
                <w:sz w:val="13"/>
                <w:szCs w:val="13"/>
              </w:rPr>
              <w:t xml:space="preserve">496 </w:t>
            </w:r>
            <w:r w:rsidR="006826CA">
              <w:rPr>
                <w:rFonts w:cs="Calibri"/>
                <w:color w:val="000000"/>
                <w:sz w:val="13"/>
                <w:szCs w:val="13"/>
              </w:rPr>
              <w:t>912</w:t>
            </w:r>
          </w:p>
        </w:tc>
      </w:tr>
      <w:tr w:rsidR="008F2DB9" w:rsidRPr="00BB7C9E" w14:paraId="761D6349" w14:textId="77777777" w:rsidTr="002C476A">
        <w:trPr>
          <w:trHeight w:val="340"/>
        </w:trPr>
        <w:tc>
          <w:tcPr>
            <w:tcW w:w="3912" w:type="dxa"/>
            <w:tcBorders>
              <w:top w:val="single" w:sz="4" w:space="0" w:color="0077BD"/>
              <w:left w:val="nil"/>
              <w:bottom w:val="single" w:sz="4" w:space="0" w:color="0077BD"/>
              <w:right w:val="single" w:sz="8" w:space="0" w:color="0077BD"/>
            </w:tcBorders>
            <w:shd w:val="clear" w:color="auto" w:fill="auto"/>
            <w:vAlign w:val="center"/>
            <w:hideMark/>
          </w:tcPr>
          <w:p w14:paraId="5BD4D6CC" w14:textId="08CAC755" w:rsidR="008F2DB9" w:rsidRPr="00B95A90" w:rsidRDefault="008F2DB9" w:rsidP="008F2DB9">
            <w:pPr>
              <w:rPr>
                <w:rFonts w:cs="Calibri"/>
                <w:color w:val="000000" w:themeColor="text1"/>
                <w:sz w:val="13"/>
                <w:szCs w:val="13"/>
              </w:rPr>
            </w:pPr>
            <w:r w:rsidRPr="00B95A90">
              <w:rPr>
                <w:rFonts w:cs="Calibri"/>
                <w:color w:val="000000" w:themeColor="text1"/>
                <w:sz w:val="13"/>
                <w:szCs w:val="13"/>
              </w:rPr>
              <w:t>Zobowiązania z tytułu emisji dłużnych</w:t>
            </w:r>
            <w:r w:rsidR="00FB4739">
              <w:rPr>
                <w:rFonts w:cs="Calibri"/>
                <w:color w:val="000000" w:themeColor="text1"/>
                <w:sz w:val="13"/>
                <w:szCs w:val="13"/>
              </w:rPr>
              <w:t xml:space="preserve"> papierów wartościowych (Nota 28</w:t>
            </w:r>
            <w:r w:rsidRPr="00B95A90">
              <w:rPr>
                <w:rFonts w:cs="Calibri"/>
                <w:color w:val="000000" w:themeColor="text1"/>
                <w:sz w:val="13"/>
                <w:szCs w:val="13"/>
              </w:rPr>
              <w:t>)</w:t>
            </w:r>
          </w:p>
        </w:tc>
        <w:tc>
          <w:tcPr>
            <w:tcW w:w="1418" w:type="dxa"/>
            <w:tcBorders>
              <w:top w:val="single" w:sz="4" w:space="0" w:color="0077BD"/>
              <w:left w:val="single" w:sz="8" w:space="0" w:color="0077BD"/>
              <w:bottom w:val="nil"/>
              <w:right w:val="single" w:sz="8" w:space="0" w:color="0077BD"/>
            </w:tcBorders>
            <w:shd w:val="clear" w:color="auto" w:fill="auto"/>
            <w:noWrap/>
            <w:vAlign w:val="center"/>
            <w:hideMark/>
          </w:tcPr>
          <w:p w14:paraId="0F4128FA" w14:textId="72D9CD97" w:rsidR="008F2DB9" w:rsidRPr="008F2DB9" w:rsidRDefault="008F2DB9" w:rsidP="008F2DB9">
            <w:pPr>
              <w:jc w:val="right"/>
              <w:rPr>
                <w:rFonts w:cs="Calibri"/>
                <w:color w:val="000000" w:themeColor="text1"/>
                <w:sz w:val="13"/>
                <w:szCs w:val="13"/>
              </w:rPr>
            </w:pPr>
            <w:r w:rsidRPr="008F2DB9">
              <w:rPr>
                <w:rFonts w:cs="Calibri"/>
                <w:color w:val="000000"/>
                <w:sz w:val="13"/>
                <w:szCs w:val="13"/>
              </w:rPr>
              <w:t>18 049 583</w:t>
            </w:r>
          </w:p>
        </w:tc>
        <w:tc>
          <w:tcPr>
            <w:tcW w:w="1418" w:type="dxa"/>
            <w:tcBorders>
              <w:top w:val="single" w:sz="4" w:space="0" w:color="0077BD"/>
              <w:left w:val="nil"/>
              <w:bottom w:val="nil"/>
              <w:right w:val="nil"/>
            </w:tcBorders>
            <w:shd w:val="clear" w:color="auto" w:fill="auto"/>
            <w:noWrap/>
            <w:vAlign w:val="center"/>
          </w:tcPr>
          <w:p w14:paraId="51CDC2A1" w14:textId="2BBD7495" w:rsidR="008F2DB9" w:rsidRPr="008F2DB9" w:rsidRDefault="008F2DB9" w:rsidP="008F2DB9">
            <w:pPr>
              <w:jc w:val="right"/>
              <w:rPr>
                <w:rFonts w:cs="Calibri"/>
                <w:color w:val="000000" w:themeColor="text1"/>
                <w:sz w:val="13"/>
                <w:szCs w:val="13"/>
              </w:rPr>
            </w:pPr>
            <w:r w:rsidRPr="008F2DB9">
              <w:rPr>
                <w:rFonts w:cs="Calibri"/>
                <w:color w:val="000000"/>
                <w:sz w:val="13"/>
                <w:szCs w:val="13"/>
              </w:rPr>
              <w:t>(404 989)</w:t>
            </w:r>
          </w:p>
        </w:tc>
        <w:tc>
          <w:tcPr>
            <w:tcW w:w="1418" w:type="dxa"/>
            <w:tcBorders>
              <w:top w:val="single" w:sz="4" w:space="0" w:color="0077BD"/>
              <w:left w:val="single" w:sz="8" w:space="0" w:color="0077BD"/>
              <w:bottom w:val="nil"/>
              <w:right w:val="nil"/>
            </w:tcBorders>
            <w:shd w:val="clear" w:color="auto" w:fill="auto"/>
            <w:noWrap/>
            <w:vAlign w:val="center"/>
          </w:tcPr>
          <w:p w14:paraId="5DB08316" w14:textId="6F1D2A84" w:rsidR="008F2DB9" w:rsidRPr="008F2DB9" w:rsidRDefault="008F2DB9" w:rsidP="008F2DB9">
            <w:pPr>
              <w:jc w:val="right"/>
              <w:rPr>
                <w:rFonts w:cs="Calibri"/>
                <w:color w:val="000000" w:themeColor="text1"/>
                <w:sz w:val="13"/>
                <w:szCs w:val="13"/>
              </w:rPr>
            </w:pPr>
            <w:r w:rsidRPr="008F2DB9">
              <w:rPr>
                <w:rFonts w:cs="Calibri"/>
                <w:color w:val="000000"/>
                <w:sz w:val="13"/>
                <w:szCs w:val="13"/>
              </w:rPr>
              <w:t>(209 451)</w:t>
            </w:r>
          </w:p>
        </w:tc>
        <w:tc>
          <w:tcPr>
            <w:tcW w:w="1418" w:type="dxa"/>
            <w:tcBorders>
              <w:top w:val="nil"/>
              <w:left w:val="single" w:sz="8" w:space="0" w:color="0077BD"/>
              <w:bottom w:val="nil"/>
              <w:right w:val="nil"/>
            </w:tcBorders>
            <w:shd w:val="clear" w:color="auto" w:fill="auto"/>
            <w:noWrap/>
            <w:vAlign w:val="center"/>
          </w:tcPr>
          <w:p w14:paraId="57A1D2B6" w14:textId="6FB8D085" w:rsidR="008F2DB9" w:rsidRPr="008F2DB9" w:rsidRDefault="008F2DB9" w:rsidP="008F2DB9">
            <w:pPr>
              <w:jc w:val="right"/>
              <w:rPr>
                <w:rFonts w:cs="Calibri"/>
                <w:color w:val="000000" w:themeColor="text1"/>
                <w:sz w:val="13"/>
                <w:szCs w:val="13"/>
              </w:rPr>
            </w:pPr>
            <w:r w:rsidRPr="008F2DB9">
              <w:rPr>
                <w:rFonts w:cs="Calibri"/>
                <w:color w:val="000000"/>
                <w:sz w:val="13"/>
                <w:szCs w:val="13"/>
              </w:rPr>
              <w:t>17 435 143</w:t>
            </w:r>
          </w:p>
        </w:tc>
      </w:tr>
      <w:tr w:rsidR="008F2DB9" w:rsidRPr="00BB7C9E" w14:paraId="1F7C7ACC" w14:textId="77777777" w:rsidTr="002C476A">
        <w:trPr>
          <w:trHeight w:val="284"/>
        </w:trPr>
        <w:tc>
          <w:tcPr>
            <w:tcW w:w="3912" w:type="dxa"/>
            <w:tcBorders>
              <w:top w:val="single" w:sz="4" w:space="0" w:color="0077BD"/>
              <w:left w:val="nil"/>
              <w:bottom w:val="single" w:sz="8" w:space="0" w:color="0077BD"/>
              <w:right w:val="single" w:sz="8" w:space="0" w:color="0077BD"/>
            </w:tcBorders>
            <w:shd w:val="clear" w:color="auto" w:fill="auto"/>
            <w:noWrap/>
            <w:vAlign w:val="center"/>
            <w:hideMark/>
          </w:tcPr>
          <w:p w14:paraId="6076D92F" w14:textId="39906B05" w:rsidR="008F2DB9" w:rsidRPr="00B95A90" w:rsidRDefault="008F2DB9" w:rsidP="008F2DB9">
            <w:pPr>
              <w:rPr>
                <w:rFonts w:cs="Calibri"/>
                <w:color w:val="000000" w:themeColor="text1"/>
                <w:sz w:val="13"/>
                <w:szCs w:val="13"/>
              </w:rPr>
            </w:pPr>
            <w:r w:rsidRPr="00B95A90">
              <w:rPr>
                <w:rFonts w:cs="Calibri"/>
                <w:color w:val="000000" w:themeColor="text1"/>
                <w:sz w:val="13"/>
                <w:szCs w:val="13"/>
              </w:rPr>
              <w:t>Zobow</w:t>
            </w:r>
            <w:r w:rsidR="00FB4739">
              <w:rPr>
                <w:rFonts w:cs="Calibri"/>
                <w:color w:val="000000" w:themeColor="text1"/>
                <w:sz w:val="13"/>
                <w:szCs w:val="13"/>
              </w:rPr>
              <w:t>iązania podporządkowane (Nota 28</w:t>
            </w:r>
            <w:r w:rsidRPr="00B95A90">
              <w:rPr>
                <w:rFonts w:cs="Calibri"/>
                <w:color w:val="000000" w:themeColor="text1"/>
                <w:sz w:val="13"/>
                <w:szCs w:val="13"/>
              </w:rPr>
              <w:t>)</w:t>
            </w:r>
          </w:p>
        </w:tc>
        <w:tc>
          <w:tcPr>
            <w:tcW w:w="1418" w:type="dxa"/>
            <w:tcBorders>
              <w:top w:val="single" w:sz="4" w:space="0" w:color="0077BD"/>
              <w:left w:val="single" w:sz="8" w:space="0" w:color="0077BD"/>
              <w:bottom w:val="single" w:sz="8" w:space="0" w:color="0077BD"/>
              <w:right w:val="single" w:sz="8" w:space="0" w:color="0077BD"/>
            </w:tcBorders>
            <w:shd w:val="clear" w:color="auto" w:fill="auto"/>
            <w:noWrap/>
            <w:vAlign w:val="center"/>
            <w:hideMark/>
          </w:tcPr>
          <w:p w14:paraId="4A76CF0B" w14:textId="30BDC12B" w:rsidR="008F2DB9" w:rsidRPr="008F2DB9" w:rsidRDefault="008F2DB9" w:rsidP="008F2DB9">
            <w:pPr>
              <w:jc w:val="right"/>
              <w:rPr>
                <w:rFonts w:cs="Calibri"/>
                <w:color w:val="000000" w:themeColor="text1"/>
                <w:sz w:val="13"/>
                <w:szCs w:val="13"/>
              </w:rPr>
            </w:pPr>
            <w:r w:rsidRPr="008F2DB9">
              <w:rPr>
                <w:rFonts w:cs="Calibri"/>
                <w:color w:val="000000"/>
                <w:sz w:val="13"/>
                <w:szCs w:val="13"/>
              </w:rPr>
              <w:t>2 474 163</w:t>
            </w:r>
          </w:p>
        </w:tc>
        <w:tc>
          <w:tcPr>
            <w:tcW w:w="1418" w:type="dxa"/>
            <w:tcBorders>
              <w:top w:val="single" w:sz="4" w:space="0" w:color="0077BD"/>
              <w:left w:val="nil"/>
              <w:bottom w:val="single" w:sz="8" w:space="0" w:color="0077BD"/>
              <w:right w:val="nil"/>
            </w:tcBorders>
            <w:shd w:val="clear" w:color="auto" w:fill="auto"/>
            <w:noWrap/>
            <w:vAlign w:val="center"/>
          </w:tcPr>
          <w:p w14:paraId="4AF1B336" w14:textId="2899F59A" w:rsidR="008F2DB9" w:rsidRPr="008F2DB9" w:rsidRDefault="008F2DB9" w:rsidP="008F2DB9">
            <w:pPr>
              <w:jc w:val="right"/>
              <w:rPr>
                <w:rFonts w:cs="Calibri"/>
                <w:color w:val="000000" w:themeColor="text1"/>
                <w:sz w:val="13"/>
                <w:szCs w:val="13"/>
              </w:rPr>
            </w:pPr>
            <w:r w:rsidRPr="008F2DB9">
              <w:rPr>
                <w:rFonts w:cs="Calibri"/>
                <w:color w:val="000000"/>
                <w:sz w:val="13"/>
                <w:szCs w:val="13"/>
              </w:rPr>
              <w:t>(76 627)</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3574ECC5" w14:textId="213CB14C" w:rsidR="008F2DB9" w:rsidRPr="008F2DB9" w:rsidRDefault="008F2DB9" w:rsidP="008F2DB9">
            <w:pPr>
              <w:jc w:val="right"/>
              <w:rPr>
                <w:rFonts w:cs="Calibri"/>
                <w:color w:val="000000" w:themeColor="text1"/>
                <w:sz w:val="13"/>
                <w:szCs w:val="13"/>
              </w:rPr>
            </w:pPr>
            <w:r w:rsidRPr="008F2DB9">
              <w:rPr>
                <w:rFonts w:cs="Calibri"/>
                <w:color w:val="000000"/>
                <w:sz w:val="13"/>
                <w:szCs w:val="13"/>
              </w:rPr>
              <w:t>102 681</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61AC0659" w14:textId="01233CE7" w:rsidR="008F2DB9" w:rsidRPr="008F2DB9" w:rsidRDefault="008F2DB9" w:rsidP="008F2DB9">
            <w:pPr>
              <w:jc w:val="right"/>
              <w:rPr>
                <w:rFonts w:cs="Calibri"/>
                <w:color w:val="000000" w:themeColor="text1"/>
                <w:sz w:val="13"/>
                <w:szCs w:val="13"/>
              </w:rPr>
            </w:pPr>
            <w:r w:rsidRPr="008F2DB9">
              <w:rPr>
                <w:rFonts w:cs="Calibri"/>
                <w:color w:val="000000"/>
                <w:sz w:val="13"/>
                <w:szCs w:val="13"/>
              </w:rPr>
              <w:t>2 500 217</w:t>
            </w:r>
          </w:p>
        </w:tc>
      </w:tr>
      <w:tr w:rsidR="008F2DB9" w:rsidRPr="00BB7C9E" w14:paraId="714EB58B" w14:textId="77777777" w:rsidTr="002C476A">
        <w:trPr>
          <w:trHeight w:val="340"/>
        </w:trPr>
        <w:tc>
          <w:tcPr>
            <w:tcW w:w="3912" w:type="dxa"/>
            <w:tcBorders>
              <w:top w:val="nil"/>
              <w:left w:val="nil"/>
              <w:bottom w:val="single" w:sz="8" w:space="0" w:color="0077BD"/>
              <w:right w:val="single" w:sz="8" w:space="0" w:color="0077BD"/>
            </w:tcBorders>
            <w:shd w:val="clear" w:color="auto" w:fill="auto"/>
            <w:vAlign w:val="center"/>
            <w:hideMark/>
          </w:tcPr>
          <w:p w14:paraId="057F9E42" w14:textId="77777777" w:rsidR="008F2DB9" w:rsidRPr="00B95A90" w:rsidRDefault="008F2DB9" w:rsidP="008F2DB9">
            <w:pPr>
              <w:rPr>
                <w:rFonts w:cs="Calibri"/>
                <w:b/>
                <w:bCs/>
                <w:color w:val="000000" w:themeColor="text1"/>
                <w:sz w:val="13"/>
                <w:szCs w:val="13"/>
              </w:rPr>
            </w:pPr>
            <w:r w:rsidRPr="00B95A90">
              <w:rPr>
                <w:rFonts w:cs="Calibri"/>
                <w:b/>
                <w:bCs/>
                <w:color w:val="000000" w:themeColor="text1"/>
                <w:sz w:val="13"/>
                <w:szCs w:val="13"/>
              </w:rPr>
              <w:t>Zobowiązania w ramach działalności finansowej, razem</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0BE6FBA8" w14:textId="2E3432C3" w:rsidR="008F2DB9" w:rsidRPr="008F2DB9" w:rsidRDefault="008F2DB9" w:rsidP="008F2DB9">
            <w:pPr>
              <w:jc w:val="right"/>
              <w:rPr>
                <w:rFonts w:cs="Calibri"/>
                <w:b/>
                <w:bCs/>
                <w:color w:val="000000" w:themeColor="text1"/>
                <w:sz w:val="13"/>
                <w:szCs w:val="13"/>
              </w:rPr>
            </w:pPr>
            <w:r w:rsidRPr="008F2DB9">
              <w:rPr>
                <w:rFonts w:cs="Calibri"/>
                <w:b/>
                <w:bCs/>
                <w:color w:val="000000"/>
                <w:sz w:val="13"/>
                <w:szCs w:val="13"/>
              </w:rPr>
              <w:t>24 728 391</w:t>
            </w:r>
          </w:p>
        </w:tc>
        <w:tc>
          <w:tcPr>
            <w:tcW w:w="1418" w:type="dxa"/>
            <w:tcBorders>
              <w:top w:val="nil"/>
              <w:left w:val="nil"/>
              <w:bottom w:val="single" w:sz="8" w:space="0" w:color="0077BD"/>
              <w:right w:val="single" w:sz="8" w:space="0" w:color="0077BD"/>
            </w:tcBorders>
            <w:shd w:val="clear" w:color="auto" w:fill="auto"/>
            <w:noWrap/>
            <w:vAlign w:val="center"/>
          </w:tcPr>
          <w:p w14:paraId="37511FEB" w14:textId="53013369" w:rsidR="008F2DB9" w:rsidRPr="008F2DB9" w:rsidRDefault="008F2DB9" w:rsidP="008F2DB9">
            <w:pPr>
              <w:jc w:val="right"/>
              <w:rPr>
                <w:rFonts w:cs="Calibri"/>
                <w:b/>
                <w:bCs/>
                <w:color w:val="000000" w:themeColor="text1"/>
                <w:sz w:val="13"/>
                <w:szCs w:val="13"/>
              </w:rPr>
            </w:pPr>
            <w:r w:rsidRPr="008F2DB9">
              <w:rPr>
                <w:rFonts w:cs="Calibri"/>
                <w:b/>
                <w:bCs/>
                <w:color w:val="000000"/>
                <w:sz w:val="13"/>
                <w:szCs w:val="13"/>
              </w:rPr>
              <w:t>(1 691 163)</w:t>
            </w:r>
          </w:p>
        </w:tc>
        <w:tc>
          <w:tcPr>
            <w:tcW w:w="1418" w:type="dxa"/>
            <w:tcBorders>
              <w:top w:val="nil"/>
              <w:left w:val="nil"/>
              <w:bottom w:val="single" w:sz="8" w:space="0" w:color="0077BD"/>
              <w:right w:val="single" w:sz="8" w:space="0" w:color="0077BD"/>
            </w:tcBorders>
            <w:shd w:val="clear" w:color="auto" w:fill="auto"/>
            <w:noWrap/>
            <w:vAlign w:val="center"/>
          </w:tcPr>
          <w:p w14:paraId="3E424394" w14:textId="5224B4DC" w:rsidR="008F2DB9" w:rsidRPr="008F2DB9" w:rsidRDefault="008F2DB9" w:rsidP="008F2DB9">
            <w:pPr>
              <w:jc w:val="right"/>
              <w:rPr>
                <w:rFonts w:cs="Calibri"/>
                <w:b/>
                <w:bCs/>
                <w:color w:val="000000" w:themeColor="text1"/>
                <w:sz w:val="13"/>
                <w:szCs w:val="13"/>
              </w:rPr>
            </w:pPr>
            <w:r w:rsidRPr="008F2DB9">
              <w:rPr>
                <w:rFonts w:cs="Calibri"/>
                <w:b/>
                <w:bCs/>
                <w:color w:val="000000"/>
                <w:sz w:val="13"/>
                <w:szCs w:val="13"/>
              </w:rPr>
              <w:t>564 378</w:t>
            </w:r>
          </w:p>
        </w:tc>
        <w:tc>
          <w:tcPr>
            <w:tcW w:w="1418" w:type="dxa"/>
            <w:tcBorders>
              <w:top w:val="nil"/>
              <w:left w:val="nil"/>
              <w:bottom w:val="single" w:sz="8" w:space="0" w:color="0077BD"/>
              <w:right w:val="nil"/>
            </w:tcBorders>
            <w:shd w:val="clear" w:color="auto" w:fill="auto"/>
            <w:noWrap/>
            <w:vAlign w:val="center"/>
          </w:tcPr>
          <w:p w14:paraId="0F274A01" w14:textId="2C5F01F1" w:rsidR="008F2DB9" w:rsidRPr="008F2DB9" w:rsidRDefault="008F2DB9" w:rsidP="008F2DB9">
            <w:pPr>
              <w:jc w:val="right"/>
              <w:rPr>
                <w:rFonts w:cs="Calibri"/>
                <w:b/>
                <w:bCs/>
                <w:color w:val="000000" w:themeColor="text1"/>
                <w:sz w:val="13"/>
                <w:szCs w:val="13"/>
              </w:rPr>
            </w:pPr>
            <w:r w:rsidRPr="008F2DB9">
              <w:rPr>
                <w:rFonts w:cs="Calibri"/>
                <w:b/>
                <w:bCs/>
                <w:color w:val="000000"/>
                <w:sz w:val="13"/>
                <w:szCs w:val="13"/>
              </w:rPr>
              <w:t>23 601 606</w:t>
            </w:r>
          </w:p>
        </w:tc>
      </w:tr>
    </w:tbl>
    <w:p w14:paraId="29439888" w14:textId="44FE66A0" w:rsidR="00B75BCA" w:rsidRDefault="00B75BCA" w:rsidP="00804689">
      <w:pPr>
        <w:pStyle w:val="Tekstpodstawowy"/>
        <w:spacing w:after="0"/>
        <w:jc w:val="both"/>
        <w:rPr>
          <w:rFonts w:cs="Tahoma"/>
          <w:color w:val="201C17"/>
          <w:sz w:val="18"/>
          <w:szCs w:val="18"/>
        </w:rPr>
      </w:pPr>
    </w:p>
    <w:p w14:paraId="6EB3D9F2" w14:textId="481FCC99" w:rsidR="00B95A90" w:rsidRDefault="00B95A90">
      <w:pPr>
        <w:rPr>
          <w:rFonts w:cs="Tahoma"/>
          <w:color w:val="201C17"/>
          <w:spacing w:val="-4"/>
          <w:sz w:val="18"/>
          <w:szCs w:val="18"/>
        </w:rPr>
      </w:pPr>
      <w:r>
        <w:rPr>
          <w:rFonts w:cs="Tahoma"/>
          <w:color w:val="201C17"/>
          <w:sz w:val="18"/>
          <w:szCs w:val="18"/>
        </w:rPr>
        <w:br w:type="page"/>
      </w: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804689" w:rsidRPr="00087493" w14:paraId="5F58C1B8" w14:textId="77777777" w:rsidTr="00B75BCA">
        <w:trPr>
          <w:trHeight w:val="851"/>
        </w:trPr>
        <w:tc>
          <w:tcPr>
            <w:tcW w:w="3912" w:type="dxa"/>
            <w:tcBorders>
              <w:top w:val="nil"/>
              <w:left w:val="nil"/>
              <w:bottom w:val="nil"/>
              <w:right w:val="single" w:sz="8" w:space="0" w:color="FFFFFF"/>
            </w:tcBorders>
            <w:shd w:val="clear" w:color="000000" w:fill="0077BD"/>
            <w:noWrap/>
            <w:vAlign w:val="center"/>
            <w:hideMark/>
          </w:tcPr>
          <w:p w14:paraId="5185669E" w14:textId="77777777" w:rsidR="00087493" w:rsidRPr="00087493" w:rsidRDefault="00087493" w:rsidP="00087493">
            <w:pPr>
              <w:rPr>
                <w:rFonts w:cs="Calibri"/>
                <w:color w:val="99CCFF"/>
                <w:sz w:val="13"/>
                <w:szCs w:val="13"/>
              </w:rPr>
            </w:pPr>
            <w:r w:rsidRPr="00087493">
              <w:rPr>
                <w:rFonts w:cs="Calibri"/>
                <w:color w:val="99CCFF"/>
                <w:sz w:val="13"/>
                <w:szCs w:val="13"/>
              </w:rPr>
              <w:lastRenderedPageBreak/>
              <w:t> </w:t>
            </w:r>
          </w:p>
        </w:tc>
        <w:tc>
          <w:tcPr>
            <w:tcW w:w="1418" w:type="dxa"/>
            <w:tcBorders>
              <w:top w:val="nil"/>
              <w:left w:val="nil"/>
              <w:bottom w:val="nil"/>
              <w:right w:val="single" w:sz="8" w:space="0" w:color="FFFFFF"/>
            </w:tcBorders>
            <w:shd w:val="clear" w:color="000000" w:fill="0077BD"/>
            <w:vAlign w:val="center"/>
            <w:hideMark/>
          </w:tcPr>
          <w:p w14:paraId="05BEA07B" w14:textId="3DA259BA" w:rsidR="00087493" w:rsidRPr="00087493" w:rsidRDefault="00B75BCA" w:rsidP="00087493">
            <w:pPr>
              <w:jc w:val="center"/>
              <w:rPr>
                <w:rFonts w:cs="Calibri"/>
                <w:b/>
                <w:bCs/>
                <w:color w:val="FFFFFF"/>
                <w:sz w:val="13"/>
                <w:szCs w:val="13"/>
              </w:rPr>
            </w:pPr>
            <w:r>
              <w:rPr>
                <w:rFonts w:cs="Calibri"/>
                <w:b/>
                <w:bCs/>
                <w:color w:val="FFFFFF"/>
                <w:sz w:val="13"/>
                <w:szCs w:val="13"/>
              </w:rPr>
              <w:t xml:space="preserve">Stan na </w:t>
            </w:r>
            <w:r>
              <w:rPr>
                <w:rFonts w:cs="Calibri"/>
                <w:b/>
                <w:bCs/>
                <w:color w:val="FFFFFF"/>
                <w:sz w:val="13"/>
                <w:szCs w:val="13"/>
              </w:rPr>
              <w:br/>
              <w:t>31.12.2017</w:t>
            </w:r>
          </w:p>
        </w:tc>
        <w:tc>
          <w:tcPr>
            <w:tcW w:w="1418" w:type="dxa"/>
            <w:tcBorders>
              <w:top w:val="nil"/>
              <w:left w:val="nil"/>
              <w:bottom w:val="nil"/>
              <w:right w:val="nil"/>
            </w:tcBorders>
            <w:shd w:val="clear" w:color="000000" w:fill="0077BD"/>
            <w:vAlign w:val="center"/>
            <w:hideMark/>
          </w:tcPr>
          <w:p w14:paraId="7D1F436E" w14:textId="77777777" w:rsidR="00087493" w:rsidRPr="00087493" w:rsidRDefault="00087493" w:rsidP="00087493">
            <w:pPr>
              <w:jc w:val="center"/>
              <w:rPr>
                <w:rFonts w:cs="Calibri"/>
                <w:b/>
                <w:bCs/>
                <w:color w:val="FFFFFF"/>
                <w:sz w:val="13"/>
                <w:szCs w:val="13"/>
              </w:rPr>
            </w:pPr>
            <w:r w:rsidRPr="00087493">
              <w:rPr>
                <w:rFonts w:cs="Calibri"/>
                <w:b/>
                <w:bCs/>
                <w:color w:val="FFFFFF"/>
                <w:sz w:val="13"/>
                <w:szCs w:val="13"/>
              </w:rPr>
              <w:t>Przepływy środków pieniężnych</w:t>
            </w:r>
          </w:p>
        </w:tc>
        <w:tc>
          <w:tcPr>
            <w:tcW w:w="1418" w:type="dxa"/>
            <w:tcBorders>
              <w:top w:val="nil"/>
              <w:left w:val="single" w:sz="8" w:space="0" w:color="FFFFFF"/>
              <w:bottom w:val="nil"/>
              <w:right w:val="nil"/>
            </w:tcBorders>
            <w:shd w:val="clear" w:color="000000" w:fill="0077BD"/>
            <w:vAlign w:val="center"/>
            <w:hideMark/>
          </w:tcPr>
          <w:p w14:paraId="336ACE5E" w14:textId="77777777" w:rsidR="00087493" w:rsidRPr="00087493" w:rsidRDefault="00087493" w:rsidP="00087493">
            <w:pPr>
              <w:jc w:val="center"/>
              <w:rPr>
                <w:rFonts w:cs="Calibri"/>
                <w:b/>
                <w:bCs/>
                <w:color w:val="FFFFFF"/>
                <w:sz w:val="13"/>
                <w:szCs w:val="13"/>
              </w:rPr>
            </w:pPr>
            <w:r w:rsidRPr="00087493">
              <w:rPr>
                <w:rFonts w:cs="Calibri"/>
                <w:b/>
                <w:bCs/>
                <w:color w:val="FFFFFF"/>
                <w:sz w:val="13"/>
                <w:szCs w:val="13"/>
              </w:rPr>
              <w:t>Zmiana stanu nie związana z przepływami środków pieniężnych</w:t>
            </w:r>
          </w:p>
        </w:tc>
        <w:tc>
          <w:tcPr>
            <w:tcW w:w="1418" w:type="dxa"/>
            <w:tcBorders>
              <w:top w:val="nil"/>
              <w:left w:val="single" w:sz="8" w:space="0" w:color="FFFFFF"/>
              <w:bottom w:val="nil"/>
              <w:right w:val="nil"/>
            </w:tcBorders>
            <w:shd w:val="clear" w:color="000000" w:fill="0077BD"/>
            <w:vAlign w:val="center"/>
            <w:hideMark/>
          </w:tcPr>
          <w:p w14:paraId="237BCC49" w14:textId="3BEEE27A" w:rsidR="00087493" w:rsidRPr="00087493" w:rsidRDefault="00B75BCA" w:rsidP="00087493">
            <w:pPr>
              <w:jc w:val="center"/>
              <w:rPr>
                <w:rFonts w:cs="Calibri"/>
                <w:b/>
                <w:bCs/>
                <w:color w:val="FFFFFF"/>
                <w:sz w:val="13"/>
                <w:szCs w:val="13"/>
              </w:rPr>
            </w:pPr>
            <w:r>
              <w:rPr>
                <w:rFonts w:cs="Calibri"/>
                <w:b/>
                <w:bCs/>
                <w:color w:val="FFFFFF"/>
                <w:sz w:val="13"/>
                <w:szCs w:val="13"/>
              </w:rPr>
              <w:t xml:space="preserve">Stan na </w:t>
            </w:r>
            <w:r>
              <w:rPr>
                <w:rFonts w:cs="Calibri"/>
                <w:b/>
                <w:bCs/>
                <w:color w:val="FFFFFF"/>
                <w:sz w:val="13"/>
                <w:szCs w:val="13"/>
              </w:rPr>
              <w:br/>
              <w:t>31.12.2018</w:t>
            </w:r>
          </w:p>
        </w:tc>
      </w:tr>
      <w:tr w:rsidR="00A41EA6" w:rsidRPr="00BB7C9E" w14:paraId="19D53BB4" w14:textId="77777777" w:rsidTr="00817B66">
        <w:trPr>
          <w:trHeight w:val="284"/>
        </w:trPr>
        <w:tc>
          <w:tcPr>
            <w:tcW w:w="3912" w:type="dxa"/>
            <w:tcBorders>
              <w:top w:val="nil"/>
              <w:left w:val="nil"/>
              <w:bottom w:val="single" w:sz="4" w:space="0" w:color="0077BD"/>
              <w:right w:val="single" w:sz="8" w:space="0" w:color="0077BD"/>
            </w:tcBorders>
            <w:shd w:val="clear" w:color="auto" w:fill="auto"/>
            <w:noWrap/>
            <w:vAlign w:val="center"/>
            <w:hideMark/>
          </w:tcPr>
          <w:p w14:paraId="6B0C8855" w14:textId="65504C32" w:rsidR="00A41EA6" w:rsidRPr="00B95A90" w:rsidRDefault="00A41EA6" w:rsidP="009D2522">
            <w:pPr>
              <w:rPr>
                <w:rFonts w:cs="Calibri"/>
                <w:color w:val="000000" w:themeColor="text1"/>
                <w:sz w:val="13"/>
                <w:szCs w:val="13"/>
              </w:rPr>
            </w:pPr>
            <w:r w:rsidRPr="00B95A90">
              <w:rPr>
                <w:rFonts w:cs="Calibri"/>
                <w:color w:val="000000" w:themeColor="text1"/>
                <w:sz w:val="13"/>
                <w:szCs w:val="13"/>
              </w:rPr>
              <w:t>Kredyty i pożyczki otrzymane od banków (Nota 2</w:t>
            </w:r>
            <w:r w:rsidR="009D2522">
              <w:rPr>
                <w:rFonts w:cs="Calibri"/>
                <w:color w:val="000000" w:themeColor="text1"/>
                <w:sz w:val="13"/>
                <w:szCs w:val="13"/>
              </w:rPr>
              <w:t>8</w:t>
            </w:r>
            <w:r w:rsidRPr="00B95A90">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noWrap/>
            <w:vAlign w:val="center"/>
            <w:hideMark/>
          </w:tcPr>
          <w:p w14:paraId="5AD71293" w14:textId="1D5E1DA1"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3 394 340</w:t>
            </w:r>
          </w:p>
        </w:tc>
        <w:tc>
          <w:tcPr>
            <w:tcW w:w="1418" w:type="dxa"/>
            <w:tcBorders>
              <w:top w:val="nil"/>
              <w:left w:val="single" w:sz="8" w:space="0" w:color="0077BD"/>
              <w:bottom w:val="single" w:sz="4" w:space="0" w:color="0077BD"/>
              <w:right w:val="nil"/>
            </w:tcBorders>
            <w:shd w:val="clear" w:color="auto" w:fill="auto"/>
            <w:noWrap/>
            <w:vAlign w:val="center"/>
          </w:tcPr>
          <w:p w14:paraId="07F0683F" w14:textId="63368122"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(2 780 372)</w:t>
            </w:r>
          </w:p>
        </w:tc>
        <w:tc>
          <w:tcPr>
            <w:tcW w:w="1418" w:type="dxa"/>
            <w:tcBorders>
              <w:top w:val="nil"/>
              <w:left w:val="single" w:sz="8" w:space="0" w:color="0077BD"/>
              <w:bottom w:val="single" w:sz="4" w:space="0" w:color="0077BD"/>
              <w:right w:val="nil"/>
            </w:tcBorders>
            <w:shd w:val="clear" w:color="auto" w:fill="auto"/>
            <w:noWrap/>
            <w:vAlign w:val="center"/>
          </w:tcPr>
          <w:p w14:paraId="2CDC005F" w14:textId="003F11EE"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133 413</w:t>
            </w:r>
          </w:p>
        </w:tc>
        <w:tc>
          <w:tcPr>
            <w:tcW w:w="1418" w:type="dxa"/>
            <w:tcBorders>
              <w:top w:val="nil"/>
              <w:left w:val="single" w:sz="8" w:space="0" w:color="0077BD"/>
              <w:bottom w:val="single" w:sz="4" w:space="0" w:color="0077BD"/>
              <w:right w:val="nil"/>
            </w:tcBorders>
            <w:shd w:val="clear" w:color="auto" w:fill="auto"/>
            <w:noWrap/>
            <w:vAlign w:val="center"/>
          </w:tcPr>
          <w:p w14:paraId="0F06FAEE" w14:textId="66530B00"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747 381</w:t>
            </w:r>
          </w:p>
        </w:tc>
      </w:tr>
      <w:tr w:rsidR="00A41EA6" w:rsidRPr="00BB7C9E" w14:paraId="0C018EF0" w14:textId="77777777" w:rsidTr="00817B66">
        <w:trPr>
          <w:trHeight w:val="340"/>
        </w:trPr>
        <w:tc>
          <w:tcPr>
            <w:tcW w:w="3912" w:type="dxa"/>
            <w:tcBorders>
              <w:top w:val="nil"/>
              <w:left w:val="nil"/>
              <w:bottom w:val="single" w:sz="4" w:space="0" w:color="0077BD"/>
              <w:right w:val="single" w:sz="8" w:space="0" w:color="0077BD"/>
            </w:tcBorders>
            <w:shd w:val="clear" w:color="auto" w:fill="auto"/>
            <w:noWrap/>
            <w:vAlign w:val="center"/>
            <w:hideMark/>
          </w:tcPr>
          <w:p w14:paraId="2460278F" w14:textId="597EA597" w:rsidR="00A41EA6" w:rsidRPr="00B95A90" w:rsidRDefault="00A41EA6" w:rsidP="009D2522">
            <w:pPr>
              <w:rPr>
                <w:rFonts w:cs="Calibri"/>
                <w:color w:val="000000" w:themeColor="text1"/>
                <w:sz w:val="13"/>
                <w:szCs w:val="13"/>
              </w:rPr>
            </w:pPr>
            <w:r w:rsidRPr="00B95A90">
              <w:rPr>
                <w:rFonts w:cs="Calibri"/>
                <w:color w:val="000000" w:themeColor="text1"/>
                <w:sz w:val="13"/>
                <w:szCs w:val="13"/>
              </w:rPr>
              <w:t xml:space="preserve">Kredyty i pożyczki otrzymane od innych podmiotów </w:t>
            </w:r>
            <w:r w:rsidRPr="00B95A90">
              <w:rPr>
                <w:rFonts w:cs="Calibri"/>
                <w:color w:val="000000" w:themeColor="text1"/>
                <w:sz w:val="13"/>
                <w:szCs w:val="13"/>
              </w:rPr>
              <w:br/>
              <w:t>(Nota 2</w:t>
            </w:r>
            <w:r w:rsidR="009D2522">
              <w:rPr>
                <w:rFonts w:cs="Calibri"/>
                <w:color w:val="000000" w:themeColor="text1"/>
                <w:sz w:val="13"/>
                <w:szCs w:val="13"/>
              </w:rPr>
              <w:t>8</w:t>
            </w:r>
            <w:r w:rsidRPr="00B95A90">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noWrap/>
            <w:vAlign w:val="center"/>
            <w:hideMark/>
          </w:tcPr>
          <w:p w14:paraId="17DA5126" w14:textId="348B48D2"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4 142 944</w:t>
            </w:r>
          </w:p>
        </w:tc>
        <w:tc>
          <w:tcPr>
            <w:tcW w:w="1418" w:type="dxa"/>
            <w:tcBorders>
              <w:top w:val="nil"/>
              <w:left w:val="single" w:sz="8" w:space="0" w:color="0077BD"/>
              <w:bottom w:val="single" w:sz="4" w:space="0" w:color="0077BD"/>
              <w:right w:val="nil"/>
            </w:tcBorders>
            <w:shd w:val="clear" w:color="auto" w:fill="auto"/>
            <w:noWrap/>
            <w:vAlign w:val="center"/>
          </w:tcPr>
          <w:p w14:paraId="2D67DB20" w14:textId="1799A246"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(858 648)</w:t>
            </w:r>
          </w:p>
        </w:tc>
        <w:tc>
          <w:tcPr>
            <w:tcW w:w="1418" w:type="dxa"/>
            <w:tcBorders>
              <w:top w:val="nil"/>
              <w:left w:val="single" w:sz="8" w:space="0" w:color="0077BD"/>
              <w:bottom w:val="single" w:sz="4" w:space="0" w:color="0077BD"/>
              <w:right w:val="nil"/>
            </w:tcBorders>
            <w:shd w:val="clear" w:color="auto" w:fill="auto"/>
            <w:noWrap/>
            <w:vAlign w:val="center"/>
          </w:tcPr>
          <w:p w14:paraId="044E1692" w14:textId="34D8ECCA"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172 968</w:t>
            </w:r>
          </w:p>
        </w:tc>
        <w:tc>
          <w:tcPr>
            <w:tcW w:w="1418" w:type="dxa"/>
            <w:tcBorders>
              <w:top w:val="nil"/>
              <w:left w:val="single" w:sz="8" w:space="0" w:color="0077BD"/>
              <w:bottom w:val="single" w:sz="4" w:space="0" w:color="0077BD"/>
              <w:right w:val="nil"/>
            </w:tcBorders>
            <w:shd w:val="clear" w:color="auto" w:fill="auto"/>
            <w:noWrap/>
            <w:vAlign w:val="center"/>
          </w:tcPr>
          <w:p w14:paraId="42C49E81" w14:textId="600F3571"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3 457 264</w:t>
            </w:r>
          </w:p>
        </w:tc>
      </w:tr>
      <w:tr w:rsidR="00A41EA6" w:rsidRPr="00BB7C9E" w14:paraId="4D1301EE" w14:textId="77777777" w:rsidTr="00817B66">
        <w:trPr>
          <w:trHeight w:val="340"/>
        </w:trPr>
        <w:tc>
          <w:tcPr>
            <w:tcW w:w="3912" w:type="dxa"/>
            <w:tcBorders>
              <w:top w:val="nil"/>
              <w:left w:val="nil"/>
              <w:bottom w:val="nil"/>
              <w:right w:val="single" w:sz="8" w:space="0" w:color="0077BD"/>
            </w:tcBorders>
            <w:shd w:val="clear" w:color="auto" w:fill="auto"/>
            <w:vAlign w:val="center"/>
            <w:hideMark/>
          </w:tcPr>
          <w:p w14:paraId="32D53906" w14:textId="35978144" w:rsidR="00A41EA6" w:rsidRPr="00B95A90" w:rsidRDefault="00A41EA6" w:rsidP="009D2522">
            <w:pPr>
              <w:rPr>
                <w:rFonts w:cs="Calibri"/>
                <w:color w:val="000000" w:themeColor="text1"/>
                <w:sz w:val="13"/>
                <w:szCs w:val="13"/>
              </w:rPr>
            </w:pPr>
            <w:r w:rsidRPr="00B95A90">
              <w:rPr>
                <w:rFonts w:cs="Calibri"/>
                <w:color w:val="000000" w:themeColor="text1"/>
                <w:sz w:val="13"/>
                <w:szCs w:val="13"/>
              </w:rPr>
              <w:t>Zobowiązania z tytułu emisji dłużnych papierów wartościowych (Nota 2</w:t>
            </w:r>
            <w:r w:rsidR="009D2522">
              <w:rPr>
                <w:rFonts w:cs="Calibri"/>
                <w:color w:val="000000" w:themeColor="text1"/>
                <w:sz w:val="13"/>
                <w:szCs w:val="13"/>
              </w:rPr>
              <w:t>8</w:t>
            </w:r>
            <w:r w:rsidRPr="00B95A90">
              <w:rPr>
                <w:rFonts w:cs="Calibri"/>
                <w:color w:val="000000" w:themeColor="text1"/>
                <w:sz w:val="13"/>
                <w:szCs w:val="13"/>
              </w:rPr>
              <w:t>)</w:t>
            </w:r>
          </w:p>
        </w:tc>
        <w:tc>
          <w:tcPr>
            <w:tcW w:w="1418" w:type="dxa"/>
            <w:tcBorders>
              <w:top w:val="nil"/>
              <w:left w:val="nil"/>
              <w:bottom w:val="nil"/>
              <w:right w:val="single" w:sz="8" w:space="0" w:color="0077BD"/>
            </w:tcBorders>
            <w:shd w:val="clear" w:color="auto" w:fill="auto"/>
            <w:noWrap/>
            <w:vAlign w:val="center"/>
            <w:hideMark/>
          </w:tcPr>
          <w:p w14:paraId="38F9589F" w14:textId="119FC30E"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14 322 852</w:t>
            </w:r>
          </w:p>
        </w:tc>
        <w:tc>
          <w:tcPr>
            <w:tcW w:w="1418" w:type="dxa"/>
            <w:tcBorders>
              <w:top w:val="nil"/>
              <w:left w:val="single" w:sz="8" w:space="0" w:color="0077BD"/>
              <w:bottom w:val="nil"/>
              <w:right w:val="nil"/>
            </w:tcBorders>
            <w:shd w:val="clear" w:color="auto" w:fill="auto"/>
            <w:noWrap/>
            <w:vAlign w:val="center"/>
          </w:tcPr>
          <w:p w14:paraId="50C9A381" w14:textId="185731D9"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3 288 851</w:t>
            </w:r>
          </w:p>
        </w:tc>
        <w:tc>
          <w:tcPr>
            <w:tcW w:w="1418" w:type="dxa"/>
            <w:tcBorders>
              <w:top w:val="nil"/>
              <w:left w:val="single" w:sz="8" w:space="0" w:color="0077BD"/>
              <w:bottom w:val="nil"/>
              <w:right w:val="nil"/>
            </w:tcBorders>
            <w:shd w:val="clear" w:color="auto" w:fill="auto"/>
            <w:noWrap/>
            <w:vAlign w:val="center"/>
          </w:tcPr>
          <w:p w14:paraId="62925A3D" w14:textId="3D896D14"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437 880</w:t>
            </w:r>
          </w:p>
        </w:tc>
        <w:tc>
          <w:tcPr>
            <w:tcW w:w="1418" w:type="dxa"/>
            <w:tcBorders>
              <w:top w:val="nil"/>
              <w:left w:val="single" w:sz="8" w:space="0" w:color="0077BD"/>
              <w:bottom w:val="nil"/>
              <w:right w:val="nil"/>
            </w:tcBorders>
            <w:shd w:val="clear" w:color="auto" w:fill="auto"/>
            <w:noWrap/>
            <w:vAlign w:val="center"/>
          </w:tcPr>
          <w:p w14:paraId="239CAFDA" w14:textId="7D6F0568"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18 049 583</w:t>
            </w:r>
          </w:p>
        </w:tc>
      </w:tr>
      <w:tr w:rsidR="00A41EA6" w:rsidRPr="00BB7C9E" w14:paraId="7EDA4E01" w14:textId="77777777" w:rsidTr="00817B66">
        <w:trPr>
          <w:trHeight w:val="284"/>
        </w:trPr>
        <w:tc>
          <w:tcPr>
            <w:tcW w:w="3912" w:type="dxa"/>
            <w:tcBorders>
              <w:top w:val="single" w:sz="4" w:space="0" w:color="0077BD"/>
              <w:left w:val="nil"/>
              <w:bottom w:val="single" w:sz="8" w:space="0" w:color="0077BD"/>
              <w:right w:val="single" w:sz="8" w:space="0" w:color="0077BD"/>
            </w:tcBorders>
            <w:shd w:val="clear" w:color="auto" w:fill="auto"/>
            <w:noWrap/>
            <w:vAlign w:val="center"/>
            <w:hideMark/>
          </w:tcPr>
          <w:p w14:paraId="6D3DE917" w14:textId="6B6DAE06" w:rsidR="00A41EA6" w:rsidRPr="00B95A90" w:rsidRDefault="00A41EA6" w:rsidP="009D2522">
            <w:pPr>
              <w:rPr>
                <w:rFonts w:cs="Calibri"/>
                <w:color w:val="000000" w:themeColor="text1"/>
                <w:sz w:val="13"/>
                <w:szCs w:val="13"/>
              </w:rPr>
            </w:pPr>
            <w:r w:rsidRPr="00B95A90">
              <w:rPr>
                <w:rFonts w:cs="Calibri"/>
                <w:color w:val="000000" w:themeColor="text1"/>
                <w:sz w:val="13"/>
                <w:szCs w:val="13"/>
              </w:rPr>
              <w:t>Zobowiązania podporządkowane (Nota 2</w:t>
            </w:r>
            <w:r w:rsidR="009D2522">
              <w:rPr>
                <w:rFonts w:cs="Calibri"/>
                <w:color w:val="000000" w:themeColor="text1"/>
                <w:sz w:val="13"/>
                <w:szCs w:val="13"/>
              </w:rPr>
              <w:t>8</w:t>
            </w:r>
            <w:r w:rsidRPr="00B95A90">
              <w:rPr>
                <w:rFonts w:cs="Calibri"/>
                <w:color w:val="000000" w:themeColor="text1"/>
                <w:sz w:val="13"/>
                <w:szCs w:val="13"/>
              </w:rPr>
              <w:t>)</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7B240B31" w14:textId="610A3DCE"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2 158 143</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30CE501C" w14:textId="6120C1BB"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179 712</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75E41F01" w14:textId="7EE3F4F6" w:rsidR="00A41EA6" w:rsidRPr="00C74EF9" w:rsidRDefault="00A41EA6" w:rsidP="00A41EA6">
            <w:pPr>
              <w:jc w:val="right"/>
              <w:rPr>
                <w:rFonts w:cs="Calibri"/>
                <w:color w:val="000000" w:themeColor="text1"/>
                <w:sz w:val="13"/>
                <w:szCs w:val="13"/>
              </w:rPr>
            </w:pPr>
            <w:r w:rsidRPr="00C74EF9">
              <w:rPr>
                <w:rFonts w:cs="Calibri"/>
                <w:color w:val="000000" w:themeColor="text1"/>
                <w:sz w:val="13"/>
                <w:szCs w:val="13"/>
              </w:rPr>
              <w:t>136 308</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4B866B97" w14:textId="519393B4" w:rsidR="00A41EA6" w:rsidRPr="00B95A90" w:rsidRDefault="00A41EA6" w:rsidP="00A41EA6">
            <w:pPr>
              <w:jc w:val="right"/>
              <w:rPr>
                <w:rFonts w:cs="Calibri"/>
                <w:color w:val="000000" w:themeColor="text1"/>
                <w:sz w:val="13"/>
                <w:szCs w:val="13"/>
              </w:rPr>
            </w:pPr>
            <w:r w:rsidRPr="00B95A90">
              <w:rPr>
                <w:rFonts w:cs="Calibri"/>
                <w:color w:val="000000" w:themeColor="text1"/>
                <w:sz w:val="13"/>
                <w:szCs w:val="13"/>
              </w:rPr>
              <w:t>2 474 163</w:t>
            </w:r>
          </w:p>
        </w:tc>
      </w:tr>
      <w:tr w:rsidR="00A41EA6" w:rsidRPr="00BB7C9E" w14:paraId="761D0145" w14:textId="77777777" w:rsidTr="00817B66">
        <w:trPr>
          <w:trHeight w:val="340"/>
        </w:trPr>
        <w:tc>
          <w:tcPr>
            <w:tcW w:w="3912" w:type="dxa"/>
            <w:tcBorders>
              <w:top w:val="nil"/>
              <w:left w:val="nil"/>
              <w:bottom w:val="single" w:sz="8" w:space="0" w:color="0077BD"/>
              <w:right w:val="single" w:sz="8" w:space="0" w:color="0077BD"/>
            </w:tcBorders>
            <w:shd w:val="clear" w:color="auto" w:fill="auto"/>
            <w:vAlign w:val="center"/>
            <w:hideMark/>
          </w:tcPr>
          <w:p w14:paraId="17EF6783" w14:textId="77777777" w:rsidR="00A41EA6" w:rsidRPr="00B95A90" w:rsidRDefault="00A41EA6" w:rsidP="00A41EA6">
            <w:pPr>
              <w:rPr>
                <w:rFonts w:cs="Calibri"/>
                <w:b/>
                <w:bCs/>
                <w:color w:val="000000" w:themeColor="text1"/>
                <w:sz w:val="13"/>
                <w:szCs w:val="13"/>
              </w:rPr>
            </w:pPr>
            <w:r w:rsidRPr="00B95A90">
              <w:rPr>
                <w:rFonts w:cs="Calibri"/>
                <w:b/>
                <w:bCs/>
                <w:color w:val="000000" w:themeColor="text1"/>
                <w:sz w:val="13"/>
                <w:szCs w:val="13"/>
              </w:rPr>
              <w:t>Zobowiązania w ramach działalności finansowej, razem</w:t>
            </w:r>
          </w:p>
        </w:tc>
        <w:tc>
          <w:tcPr>
            <w:tcW w:w="1418" w:type="dxa"/>
            <w:tcBorders>
              <w:top w:val="nil"/>
              <w:left w:val="nil"/>
              <w:bottom w:val="single" w:sz="8" w:space="0" w:color="0077BD"/>
              <w:right w:val="single" w:sz="8" w:space="0" w:color="0077BD"/>
            </w:tcBorders>
            <w:shd w:val="clear" w:color="auto" w:fill="auto"/>
            <w:noWrap/>
            <w:vAlign w:val="center"/>
            <w:hideMark/>
          </w:tcPr>
          <w:p w14:paraId="5662DCD6" w14:textId="1155A350" w:rsidR="00A41EA6" w:rsidRPr="00B95A90" w:rsidRDefault="00A41EA6" w:rsidP="00A41EA6">
            <w:pPr>
              <w:jc w:val="right"/>
              <w:rPr>
                <w:rFonts w:cs="Calibri"/>
                <w:b/>
                <w:bCs/>
                <w:color w:val="000000" w:themeColor="text1"/>
                <w:sz w:val="13"/>
                <w:szCs w:val="13"/>
              </w:rPr>
            </w:pPr>
            <w:r w:rsidRPr="00B95A90">
              <w:rPr>
                <w:rFonts w:cs="Calibri"/>
                <w:b/>
                <w:bCs/>
                <w:color w:val="000000" w:themeColor="text1"/>
                <w:sz w:val="13"/>
                <w:szCs w:val="13"/>
              </w:rPr>
              <w:t>24 018 279</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29BEEC30" w14:textId="5CB65DFE" w:rsidR="00A41EA6" w:rsidRPr="00C74EF9" w:rsidRDefault="00A41EA6" w:rsidP="00A41EA6">
            <w:pPr>
              <w:jc w:val="right"/>
              <w:rPr>
                <w:rFonts w:cs="Calibri"/>
                <w:b/>
                <w:bCs/>
                <w:color w:val="000000" w:themeColor="text1"/>
                <w:sz w:val="13"/>
                <w:szCs w:val="13"/>
              </w:rPr>
            </w:pPr>
            <w:r w:rsidRPr="00C74EF9">
              <w:rPr>
                <w:rFonts w:cs="Calibri"/>
                <w:b/>
                <w:bCs/>
                <w:color w:val="000000" w:themeColor="text1"/>
                <w:sz w:val="13"/>
                <w:szCs w:val="13"/>
              </w:rPr>
              <w:t>(170 457)</w:t>
            </w:r>
          </w:p>
        </w:tc>
        <w:tc>
          <w:tcPr>
            <w:tcW w:w="1418" w:type="dxa"/>
            <w:tcBorders>
              <w:top w:val="nil"/>
              <w:left w:val="nil"/>
              <w:bottom w:val="single" w:sz="8" w:space="0" w:color="0077BD"/>
              <w:right w:val="single" w:sz="8" w:space="0" w:color="0077BD"/>
            </w:tcBorders>
            <w:shd w:val="clear" w:color="auto" w:fill="auto"/>
            <w:noWrap/>
            <w:vAlign w:val="center"/>
          </w:tcPr>
          <w:p w14:paraId="1C77BD3D" w14:textId="5DB3BF3B" w:rsidR="00A41EA6" w:rsidRPr="00C74EF9" w:rsidRDefault="00A41EA6" w:rsidP="00A41EA6">
            <w:pPr>
              <w:jc w:val="right"/>
              <w:rPr>
                <w:rFonts w:cs="Calibri"/>
                <w:b/>
                <w:bCs/>
                <w:color w:val="000000" w:themeColor="text1"/>
                <w:sz w:val="13"/>
                <w:szCs w:val="13"/>
              </w:rPr>
            </w:pPr>
            <w:r w:rsidRPr="00C74EF9">
              <w:rPr>
                <w:rFonts w:cs="Calibri"/>
                <w:b/>
                <w:bCs/>
                <w:color w:val="000000" w:themeColor="text1"/>
                <w:sz w:val="13"/>
                <w:szCs w:val="13"/>
              </w:rPr>
              <w:t>880 569</w:t>
            </w:r>
          </w:p>
        </w:tc>
        <w:tc>
          <w:tcPr>
            <w:tcW w:w="1418" w:type="dxa"/>
            <w:tcBorders>
              <w:top w:val="nil"/>
              <w:left w:val="nil"/>
              <w:bottom w:val="single" w:sz="8" w:space="0" w:color="0077BD"/>
              <w:right w:val="nil"/>
            </w:tcBorders>
            <w:shd w:val="clear" w:color="auto" w:fill="auto"/>
            <w:noWrap/>
            <w:vAlign w:val="center"/>
          </w:tcPr>
          <w:p w14:paraId="38A391CC" w14:textId="71E261C2" w:rsidR="00A41EA6" w:rsidRPr="00B95A90" w:rsidRDefault="00A41EA6" w:rsidP="00A41EA6">
            <w:pPr>
              <w:jc w:val="right"/>
              <w:rPr>
                <w:rFonts w:cs="Calibri"/>
                <w:b/>
                <w:bCs/>
                <w:color w:val="000000" w:themeColor="text1"/>
                <w:sz w:val="13"/>
                <w:szCs w:val="13"/>
              </w:rPr>
            </w:pPr>
            <w:r w:rsidRPr="00B95A90">
              <w:rPr>
                <w:rFonts w:cs="Calibri"/>
                <w:b/>
                <w:bCs/>
                <w:color w:val="000000" w:themeColor="text1"/>
                <w:sz w:val="13"/>
                <w:szCs w:val="13"/>
              </w:rPr>
              <w:t>24 728 391</w:t>
            </w:r>
          </w:p>
        </w:tc>
      </w:tr>
    </w:tbl>
    <w:p w14:paraId="4EFBD922" w14:textId="315018D0" w:rsidR="00D9237C" w:rsidRPr="00BB7C9E" w:rsidRDefault="00D9237C" w:rsidP="00D9237C">
      <w:pPr>
        <w:pStyle w:val="Tekstpodstawowy"/>
        <w:spacing w:before="120" w:after="0"/>
        <w:jc w:val="both"/>
        <w:rPr>
          <w:rFonts w:cs="Tahoma"/>
          <w:color w:val="000000" w:themeColor="text1"/>
          <w:sz w:val="18"/>
          <w:szCs w:val="18"/>
        </w:rPr>
      </w:pPr>
      <w:r w:rsidRPr="00BB7C9E">
        <w:rPr>
          <w:rFonts w:cs="Tahoma"/>
          <w:color w:val="000000" w:themeColor="text1"/>
          <w:sz w:val="18"/>
          <w:szCs w:val="18"/>
        </w:rPr>
        <w:t>W zmianie stanu nie związanej z przepływami środków pieniężnych</w:t>
      </w:r>
      <w:r w:rsidR="00FC29DF" w:rsidRPr="00BB7C9E">
        <w:rPr>
          <w:rFonts w:cs="Tahoma"/>
          <w:color w:val="000000" w:themeColor="text1"/>
          <w:sz w:val="18"/>
          <w:szCs w:val="18"/>
        </w:rPr>
        <w:t xml:space="preserve"> ujęte zostały różnice kursowe oraz</w:t>
      </w:r>
      <w:r w:rsidRPr="00BB7C9E">
        <w:rPr>
          <w:rFonts w:cs="Tahoma"/>
          <w:color w:val="000000" w:themeColor="text1"/>
          <w:sz w:val="18"/>
          <w:szCs w:val="18"/>
        </w:rPr>
        <w:t xml:space="preserve"> odsetki naliczone.</w:t>
      </w:r>
    </w:p>
    <w:p w14:paraId="68D4B528" w14:textId="77777777" w:rsidR="00D7210F" w:rsidRDefault="00D7210F" w:rsidP="00D7210F">
      <w:pPr>
        <w:pStyle w:val="Tekstpodstawowy"/>
        <w:spacing w:after="0"/>
        <w:jc w:val="both"/>
        <w:rPr>
          <w:rFonts w:cs="Tahoma"/>
          <w:color w:val="201C17"/>
          <w:sz w:val="18"/>
          <w:szCs w:val="18"/>
        </w:rPr>
      </w:pPr>
    </w:p>
    <w:p w14:paraId="027D16C2" w14:textId="77777777" w:rsidR="000D4913" w:rsidRPr="009345DF" w:rsidRDefault="000D4913"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64" w:name="_Toc32999872"/>
      <w:r w:rsidRPr="009345DF">
        <w:rPr>
          <w:rFonts w:cs="Tahoma"/>
          <w:bCs w:val="0"/>
          <w:iCs w:val="0"/>
          <w:color w:val="E41E0A"/>
          <w:sz w:val="18"/>
          <w:szCs w:val="18"/>
        </w:rPr>
        <w:t>Programy motywacyjne oparte na akcjach</w:t>
      </w:r>
      <w:bookmarkEnd w:id="164"/>
    </w:p>
    <w:p w14:paraId="0FFD4D4A" w14:textId="77777777" w:rsidR="003626C9" w:rsidRPr="00BB7C9E" w:rsidRDefault="003626C9" w:rsidP="003626C9">
      <w:pPr>
        <w:pStyle w:val="Akapitzlist"/>
        <w:suppressAutoHyphens/>
        <w:spacing w:before="120"/>
        <w:ind w:left="0"/>
        <w:jc w:val="both"/>
        <w:rPr>
          <w:rFonts w:cs="Tahoma"/>
          <w:b/>
          <w:color w:val="000000" w:themeColor="text1"/>
          <w:sz w:val="18"/>
          <w:szCs w:val="18"/>
          <w:u w:val="single"/>
        </w:rPr>
      </w:pPr>
      <w:r w:rsidRPr="00BB7C9E">
        <w:rPr>
          <w:rFonts w:cs="Tahoma"/>
          <w:b/>
          <w:color w:val="000000" w:themeColor="text1"/>
          <w:sz w:val="18"/>
          <w:szCs w:val="18"/>
          <w:u w:val="single"/>
        </w:rPr>
        <w:t>Program motywacyjny dla Członków Zarządu Banku z 2014 roku</w:t>
      </w:r>
    </w:p>
    <w:p w14:paraId="07CFCB85" w14:textId="77777777" w:rsidR="0018689B"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t xml:space="preserve">W dniu 31 marca 2014 roku Rada Nadzorcza zgodnie z rekomendacją Komisji ds. Wynagrodzeń Rady Nadzorczej uchwaliła Regulamin Programu Motywacyjnego w spółce mBank S.A., który zastąpił postanowienia Regulaminu Programu Motywacyjnego w Spółce mBank S.A. z 7 grudnia 2012 roku. </w:t>
      </w:r>
    </w:p>
    <w:p w14:paraId="49BF6B95" w14:textId="77777777" w:rsidR="0018689B"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t>W ramach tego programu Członkowie Zarządu Banku mają prawo do premii, w tym do premii bezgotówkowej wypłacanej w akcjach Banku, w tym akcjach fantomowych.</w:t>
      </w:r>
    </w:p>
    <w:p w14:paraId="4F8F0ACB" w14:textId="77777777" w:rsidR="0018689B"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t xml:space="preserve">Za podstawę nabycia prawa do premii oraz wyliczenia jej wysokości za dany rok obrotowy przyjmuje się wartość netto współczynnika zwrotu z kapitału ROE netto Grupy mBanku i miesięczne wynagrodzenie Członka Zarządu należne mu na dzień 31 grudnia roku obrotowego, za który premia jest przyznawana. Równowartość 50% wysokości wyliczonej na podstawie wskaźnika ROE kwoty bazowej stanowi tzw. pierwszą część premii bazowej. W ramach pozostałej 50%-wej kwoty bazowej Komisja ds. Wynagrodzeń Rady Nadzorczej jeżeli uzna, że Członek Zarządu wykonał ustalony roczny/wieloletni cel biznesowo-rozwojowy, może przyznać drugą część premii. Decyzja o przyznaniu drugiej części premii leży w wyłącznej gestii Komisji ds. Wynagrodzeń Rady Nadzorczej, która według własnej oceny i decyzji potwierdza osiągnięcie MBO, biorąc pod uwagę sytuację na rynkach finansowych w ostatnim/poprzednich okresach finansowych. </w:t>
      </w:r>
    </w:p>
    <w:p w14:paraId="3D9DFB84" w14:textId="77777777" w:rsidR="0018689B"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t>Suma pierwszej i drugiej części premii bazowej stanowi premię bazową dla Członka Zarządu za dany rok obrotowy. 40% kwoty premii bazowej stanowi premię nieodroczoną i zostaje wypłacone w roku ustalenia premii bazowej w następujący sposób: 50% w formie wypłaty gotówkowej i 50% w akcjach Banku lub obligacjach z prawem pierwszeństwa do objęcia akcji lub akcjach fantomowych.</w:t>
      </w:r>
    </w:p>
    <w:p w14:paraId="70C6D4C3" w14:textId="1ED7F228" w:rsidR="0018689B"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t>60% kwoty premii bazowej stanowi premię odroczoną i zostaje wypłacone w trzech równych transzach w kolejnych trzech latach następujących po roku ustalenia wysokości premii bazowej w następujący sposób: 50% z każdej z odroczonych transz w formie wypłaty gotówkowej i 50% z każdej z odroczonych transz w formie wypłaty bezgotówkowej w akcjach Banku lub obligacjach z prawem pierwszeństwa do</w:t>
      </w:r>
      <w:r w:rsidR="00C64745">
        <w:rPr>
          <w:rFonts w:cs="Tahoma"/>
          <w:color w:val="000000" w:themeColor="text1"/>
          <w:sz w:val="18"/>
          <w:szCs w:val="18"/>
        </w:rPr>
        <w:t> </w:t>
      </w:r>
      <w:r w:rsidRPr="00BB7C9E">
        <w:rPr>
          <w:rFonts w:cs="Tahoma"/>
          <w:color w:val="000000" w:themeColor="text1"/>
          <w:sz w:val="18"/>
          <w:szCs w:val="18"/>
        </w:rPr>
        <w:t>objęcia akcji lub akcjach fantomowych.</w:t>
      </w:r>
    </w:p>
    <w:p w14:paraId="16DD2691" w14:textId="3A9C04FE" w:rsidR="0018689B" w:rsidRPr="00BB7C9E" w:rsidRDefault="0018689B" w:rsidP="00C64745">
      <w:pPr>
        <w:suppressAutoHyphens/>
        <w:spacing w:before="120" w:after="120"/>
        <w:jc w:val="both"/>
        <w:rPr>
          <w:rFonts w:cs="Tahoma"/>
          <w:color w:val="000000" w:themeColor="text1"/>
          <w:sz w:val="18"/>
          <w:szCs w:val="18"/>
        </w:rPr>
      </w:pPr>
      <w:r w:rsidRPr="00BB7C9E">
        <w:rPr>
          <w:rFonts w:cs="Tahoma"/>
          <w:color w:val="000000" w:themeColor="text1"/>
          <w:sz w:val="18"/>
          <w:szCs w:val="18"/>
        </w:rPr>
        <w:t>Rada Nadzorcza na podstawie Rekomendacji Komisji ds. Wynagrodzeń Rady Nadzorczej może podjąć decyzję o wstrzymaniu w całości bądź zmniejszeniu kwoty odroczonej transzy z uwagi na późniejszą ocenę pracy Członka Zarządu w dłuższym horyzoncie czasowym niż 1 rok finansowy/obrotowy, tj. za okres co najmniej 3 lat, który bierze pod uwagę cykl biznesowy Banku, jak również ryzyko związane z</w:t>
      </w:r>
      <w:r w:rsidR="00C64745">
        <w:rPr>
          <w:rFonts w:cs="Tahoma"/>
          <w:color w:val="000000" w:themeColor="text1"/>
          <w:sz w:val="18"/>
          <w:szCs w:val="18"/>
        </w:rPr>
        <w:t> </w:t>
      </w:r>
      <w:r w:rsidRPr="00BB7C9E">
        <w:rPr>
          <w:rFonts w:cs="Tahoma"/>
          <w:color w:val="000000" w:themeColor="text1"/>
          <w:sz w:val="18"/>
          <w:szCs w:val="18"/>
        </w:rPr>
        <w:t>prowadzeniem działalności przez Bank, ale tylko gdy działania bądź zaniechania Członka Zarządu miały bezpośredni i negatywny wpływ na wynik finansowy i pozycję rynkową Banku w okresie oceny oraz w</w:t>
      </w:r>
      <w:r w:rsidR="00C64745">
        <w:rPr>
          <w:rFonts w:cs="Tahoma"/>
          <w:color w:val="000000" w:themeColor="text1"/>
          <w:sz w:val="18"/>
          <w:szCs w:val="18"/>
        </w:rPr>
        <w:t> </w:t>
      </w:r>
      <w:r w:rsidRPr="00BB7C9E">
        <w:rPr>
          <w:rFonts w:cs="Tahoma"/>
          <w:color w:val="000000" w:themeColor="text1"/>
          <w:sz w:val="18"/>
          <w:szCs w:val="18"/>
        </w:rPr>
        <w:t>przypadku gdy co najmniej jeden z elementów zawartych w karcie wyników nie zostanie spełniony.</w:t>
      </w:r>
    </w:p>
    <w:p w14:paraId="3D1D478B" w14:textId="630C79A4" w:rsidR="0018689B" w:rsidRPr="00BB7C9E" w:rsidRDefault="0018689B" w:rsidP="00C64745">
      <w:pPr>
        <w:suppressAutoHyphens/>
        <w:spacing w:before="120"/>
        <w:contextualSpacing/>
        <w:jc w:val="both"/>
        <w:rPr>
          <w:rFonts w:cs="Tahoma"/>
          <w:color w:val="000000" w:themeColor="text1"/>
          <w:sz w:val="18"/>
          <w:szCs w:val="18"/>
        </w:rPr>
      </w:pPr>
      <w:r w:rsidRPr="00BB7C9E">
        <w:rPr>
          <w:rFonts w:cs="Tahoma"/>
          <w:color w:val="000000" w:themeColor="text1"/>
          <w:sz w:val="18"/>
          <w:szCs w:val="18"/>
        </w:rPr>
        <w:t>Komisja ds. Wynagrodzeń Rady Nadzorczej może podjąć decyzję o wstrzymaniu w całości bądź zmniejszeniu kwoty premii nieodroczonej i odroczonej za dany rok finansowy/obrotowy, w tym również w</w:t>
      </w:r>
      <w:r w:rsidR="006A0B7A">
        <w:rPr>
          <w:rFonts w:cs="Tahoma"/>
          <w:color w:val="000000" w:themeColor="text1"/>
          <w:sz w:val="18"/>
          <w:szCs w:val="18"/>
        </w:rPr>
        <w:t> </w:t>
      </w:r>
      <w:r w:rsidRPr="00BB7C9E">
        <w:rPr>
          <w:rFonts w:cs="Tahoma"/>
          <w:color w:val="000000" w:themeColor="text1"/>
          <w:sz w:val="18"/>
          <w:szCs w:val="18"/>
        </w:rPr>
        <w:t>zakresie odroczonych transz jeszcze niewypłaconych, w sytuacji, o której mowa w art. 142 ust. 1 ustawy Prawo Bankowe. Wstrzymanie w całości bądź zmniejszenie premii nieodroczonej i odroczonej, jak również jakiejkolwiek odroczonej transzy przez Komisję ds. Wynagrodzeń Rady Nadzorczej dotyczyć może również premii odroczonej i nieodroczonej, w tym odroczonej transzy niewypłaconej Członkowi Zarządu po</w:t>
      </w:r>
      <w:r w:rsidR="006A0B7A">
        <w:rPr>
          <w:rFonts w:cs="Tahoma"/>
          <w:color w:val="000000" w:themeColor="text1"/>
          <w:sz w:val="18"/>
          <w:szCs w:val="18"/>
        </w:rPr>
        <w:t> </w:t>
      </w:r>
      <w:r w:rsidRPr="00BB7C9E">
        <w:rPr>
          <w:rFonts w:cs="Tahoma"/>
          <w:color w:val="000000" w:themeColor="text1"/>
          <w:sz w:val="18"/>
          <w:szCs w:val="18"/>
        </w:rPr>
        <w:t>wygaśnięciu bądź rozwiązaniu umowy o zarządzanie.</w:t>
      </w:r>
    </w:p>
    <w:p w14:paraId="72EEEBE1" w14:textId="77777777" w:rsidR="0018689B" w:rsidRPr="00BB7C9E" w:rsidRDefault="0018689B">
      <w:pPr>
        <w:rPr>
          <w:rFonts w:cs="Tahoma"/>
          <w:color w:val="000000" w:themeColor="text1"/>
          <w:sz w:val="18"/>
          <w:szCs w:val="18"/>
        </w:rPr>
      </w:pPr>
      <w:r w:rsidRPr="00BB7C9E">
        <w:rPr>
          <w:rFonts w:cs="Tahoma"/>
          <w:color w:val="000000" w:themeColor="text1"/>
          <w:sz w:val="18"/>
          <w:szCs w:val="18"/>
        </w:rPr>
        <w:br w:type="page"/>
      </w:r>
    </w:p>
    <w:p w14:paraId="0CB71022" w14:textId="24F1FFCC" w:rsidR="003626C9" w:rsidRPr="00BB7C9E" w:rsidRDefault="0018689B" w:rsidP="0018689B">
      <w:pPr>
        <w:suppressAutoHyphens/>
        <w:spacing w:before="120"/>
        <w:jc w:val="both"/>
        <w:rPr>
          <w:rFonts w:cs="Tahoma"/>
          <w:color w:val="000000" w:themeColor="text1"/>
          <w:sz w:val="18"/>
          <w:szCs w:val="18"/>
        </w:rPr>
      </w:pPr>
      <w:r w:rsidRPr="00BB7C9E">
        <w:rPr>
          <w:rFonts w:cs="Tahoma"/>
          <w:color w:val="000000" w:themeColor="text1"/>
          <w:sz w:val="18"/>
          <w:szCs w:val="18"/>
        </w:rPr>
        <w:lastRenderedPageBreak/>
        <w:t>Poniższa tabela przedstawia liczbę opcji na akcje w odniesieniu do programu motywacyjnego dla Członków Zarządu Banku z 2014 roku</w:t>
      </w:r>
      <w:r w:rsidR="003626C9" w:rsidRPr="00BB7C9E">
        <w:rPr>
          <w:rFonts w:cs="Tahoma"/>
          <w:color w:val="000000" w:themeColor="text1"/>
          <w:sz w:val="18"/>
          <w:szCs w:val="18"/>
        </w:rPr>
        <w:t>.</w:t>
      </w:r>
    </w:p>
    <w:p w14:paraId="65F2A305" w14:textId="5923F914" w:rsidR="003626C9" w:rsidRPr="00BB7C9E" w:rsidRDefault="003626C9" w:rsidP="0018689B">
      <w:pPr>
        <w:pStyle w:val="Akapitzlist"/>
        <w:suppressAutoHyphens/>
        <w:ind w:left="0"/>
        <w:jc w:val="both"/>
        <w:rPr>
          <w:noProof/>
          <w:color w:val="000000" w:themeColor="text1"/>
        </w:rPr>
      </w:pP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09291C" w:rsidRPr="00615109" w14:paraId="003BB381" w14:textId="77777777" w:rsidTr="0052067A">
        <w:trPr>
          <w:trHeight w:val="284"/>
        </w:trPr>
        <w:tc>
          <w:tcPr>
            <w:tcW w:w="3912" w:type="dxa"/>
            <w:vMerge w:val="restart"/>
            <w:tcBorders>
              <w:top w:val="nil"/>
              <w:left w:val="nil"/>
              <w:right w:val="single" w:sz="8" w:space="0" w:color="FFFFFF"/>
            </w:tcBorders>
            <w:shd w:val="clear" w:color="000000" w:fill="0077BD"/>
            <w:vAlign w:val="center"/>
          </w:tcPr>
          <w:p w14:paraId="12569A23" w14:textId="0FDF232E" w:rsidR="0009291C" w:rsidRPr="00615109" w:rsidRDefault="0009291C" w:rsidP="00615109">
            <w:pPr>
              <w:rPr>
                <w:rFonts w:cs="Calibri"/>
                <w:b/>
                <w:bCs/>
                <w:color w:val="FFFFFF"/>
                <w:sz w:val="13"/>
                <w:szCs w:val="13"/>
              </w:rPr>
            </w:pPr>
          </w:p>
        </w:tc>
        <w:tc>
          <w:tcPr>
            <w:tcW w:w="2836" w:type="dxa"/>
            <w:gridSpan w:val="2"/>
            <w:tcBorders>
              <w:top w:val="nil"/>
              <w:left w:val="nil"/>
              <w:bottom w:val="single" w:sz="6" w:space="0" w:color="FFFFFF"/>
              <w:right w:val="single" w:sz="8" w:space="0" w:color="FFFFFF"/>
            </w:tcBorders>
            <w:shd w:val="clear" w:color="000000" w:fill="0077BD"/>
            <w:vAlign w:val="center"/>
            <w:hideMark/>
          </w:tcPr>
          <w:p w14:paraId="1F63DC8D"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31.12.2019</w:t>
            </w:r>
          </w:p>
        </w:tc>
        <w:tc>
          <w:tcPr>
            <w:tcW w:w="2836" w:type="dxa"/>
            <w:gridSpan w:val="2"/>
            <w:tcBorders>
              <w:top w:val="nil"/>
              <w:left w:val="single" w:sz="8" w:space="0" w:color="FFFFFF"/>
              <w:bottom w:val="single" w:sz="6" w:space="0" w:color="FFFFFF"/>
              <w:right w:val="single" w:sz="8" w:space="0" w:color="FFFFFF"/>
            </w:tcBorders>
            <w:shd w:val="clear" w:color="000000" w:fill="0077BD"/>
            <w:vAlign w:val="center"/>
            <w:hideMark/>
          </w:tcPr>
          <w:p w14:paraId="5510CAAA"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31.12.2018</w:t>
            </w:r>
          </w:p>
        </w:tc>
      </w:tr>
      <w:tr w:rsidR="0009291C" w:rsidRPr="00615109" w14:paraId="5BD8BAA8" w14:textId="77777777" w:rsidTr="0052067A">
        <w:trPr>
          <w:trHeight w:val="284"/>
        </w:trPr>
        <w:tc>
          <w:tcPr>
            <w:tcW w:w="3912" w:type="dxa"/>
            <w:vMerge/>
            <w:tcBorders>
              <w:left w:val="nil"/>
              <w:right w:val="single" w:sz="8" w:space="0" w:color="FFFFFF"/>
            </w:tcBorders>
            <w:shd w:val="clear" w:color="000000" w:fill="0077BD"/>
            <w:vAlign w:val="center"/>
            <w:hideMark/>
          </w:tcPr>
          <w:p w14:paraId="0D6203E1" w14:textId="6FD64AC8" w:rsidR="0009291C" w:rsidRPr="00615109" w:rsidRDefault="0009291C" w:rsidP="00615109">
            <w:pPr>
              <w:rPr>
                <w:rFonts w:cs="Calibri"/>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043B8212"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Liczba opcji</w:t>
            </w:r>
          </w:p>
        </w:tc>
        <w:tc>
          <w:tcPr>
            <w:tcW w:w="1418" w:type="dxa"/>
            <w:tcBorders>
              <w:top w:val="single" w:sz="6" w:space="0" w:color="FFFFFF"/>
              <w:left w:val="nil"/>
              <w:right w:val="nil"/>
            </w:tcBorders>
            <w:shd w:val="clear" w:color="000000" w:fill="0077BD"/>
            <w:vAlign w:val="center"/>
            <w:hideMark/>
          </w:tcPr>
          <w:p w14:paraId="79F99846"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 xml:space="preserve">Średnia ważona cena wykonania </w:t>
            </w:r>
            <w:r w:rsidRPr="00615109">
              <w:rPr>
                <w:rFonts w:cs="Calibri"/>
                <w:b/>
                <w:bCs/>
                <w:color w:val="FFFFFF"/>
                <w:sz w:val="13"/>
                <w:szCs w:val="13"/>
              </w:rPr>
              <w:br/>
              <w:t>(w zł)</w:t>
            </w:r>
          </w:p>
        </w:tc>
        <w:tc>
          <w:tcPr>
            <w:tcW w:w="1418" w:type="dxa"/>
            <w:tcBorders>
              <w:top w:val="single" w:sz="6" w:space="0" w:color="FFFFFF"/>
              <w:left w:val="single" w:sz="8" w:space="0" w:color="FFFFFF"/>
              <w:right w:val="single" w:sz="8" w:space="0" w:color="FFFFFF"/>
            </w:tcBorders>
            <w:shd w:val="clear" w:color="000000" w:fill="0077BD"/>
            <w:vAlign w:val="center"/>
            <w:hideMark/>
          </w:tcPr>
          <w:p w14:paraId="7753C07A"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Liczba opcji</w:t>
            </w:r>
          </w:p>
        </w:tc>
        <w:tc>
          <w:tcPr>
            <w:tcW w:w="1418" w:type="dxa"/>
            <w:tcBorders>
              <w:top w:val="single" w:sz="6" w:space="0" w:color="FFFFFF"/>
              <w:left w:val="nil"/>
              <w:right w:val="nil"/>
            </w:tcBorders>
            <w:shd w:val="clear" w:color="000000" w:fill="0077BD"/>
            <w:vAlign w:val="center"/>
            <w:hideMark/>
          </w:tcPr>
          <w:p w14:paraId="630BEEE5" w14:textId="77777777" w:rsidR="0009291C" w:rsidRPr="00615109" w:rsidRDefault="0009291C" w:rsidP="00615109">
            <w:pPr>
              <w:jc w:val="center"/>
              <w:rPr>
                <w:rFonts w:cs="Calibri"/>
                <w:b/>
                <w:bCs/>
                <w:color w:val="FFFFFF"/>
                <w:sz w:val="13"/>
                <w:szCs w:val="13"/>
              </w:rPr>
            </w:pPr>
            <w:r w:rsidRPr="00615109">
              <w:rPr>
                <w:rFonts w:cs="Calibri"/>
                <w:b/>
                <w:bCs/>
                <w:color w:val="FFFFFF"/>
                <w:sz w:val="13"/>
                <w:szCs w:val="13"/>
              </w:rPr>
              <w:t xml:space="preserve">Średnia ważona cena wykonania </w:t>
            </w:r>
            <w:r w:rsidRPr="00615109">
              <w:rPr>
                <w:rFonts w:cs="Calibri"/>
                <w:b/>
                <w:bCs/>
                <w:color w:val="FFFFFF"/>
                <w:sz w:val="13"/>
                <w:szCs w:val="13"/>
              </w:rPr>
              <w:br/>
              <w:t>(w zł)</w:t>
            </w:r>
          </w:p>
        </w:tc>
      </w:tr>
      <w:tr w:rsidR="00615109" w:rsidRPr="00BB7C9E" w14:paraId="1F69C311" w14:textId="77777777" w:rsidTr="0052067A">
        <w:trPr>
          <w:trHeight w:val="284"/>
        </w:trPr>
        <w:tc>
          <w:tcPr>
            <w:tcW w:w="3912" w:type="dxa"/>
            <w:tcBorders>
              <w:left w:val="nil"/>
              <w:bottom w:val="single" w:sz="8" w:space="0" w:color="0077BD"/>
              <w:right w:val="single" w:sz="8" w:space="0" w:color="0077BD"/>
            </w:tcBorders>
            <w:shd w:val="clear" w:color="auto" w:fill="auto"/>
            <w:vAlign w:val="center"/>
            <w:hideMark/>
          </w:tcPr>
          <w:p w14:paraId="247D955A"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Występujące na początek okresu</w:t>
            </w:r>
          </w:p>
        </w:tc>
        <w:tc>
          <w:tcPr>
            <w:tcW w:w="1418" w:type="dxa"/>
            <w:tcBorders>
              <w:left w:val="nil"/>
              <w:bottom w:val="single" w:sz="8" w:space="0" w:color="0077BD"/>
              <w:right w:val="single" w:sz="8" w:space="0" w:color="0077BD"/>
            </w:tcBorders>
            <w:shd w:val="clear" w:color="auto" w:fill="auto"/>
            <w:vAlign w:val="center"/>
            <w:hideMark/>
          </w:tcPr>
          <w:p w14:paraId="00D75AC4"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12 229</w:t>
            </w:r>
          </w:p>
        </w:tc>
        <w:tc>
          <w:tcPr>
            <w:tcW w:w="1418" w:type="dxa"/>
            <w:tcBorders>
              <w:left w:val="nil"/>
              <w:bottom w:val="single" w:sz="8" w:space="0" w:color="0077BD"/>
              <w:right w:val="single" w:sz="8" w:space="0" w:color="0077BD"/>
            </w:tcBorders>
            <w:shd w:val="clear" w:color="auto" w:fill="auto"/>
            <w:vAlign w:val="center"/>
            <w:hideMark/>
          </w:tcPr>
          <w:p w14:paraId="60C1C61A"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left w:val="nil"/>
              <w:bottom w:val="single" w:sz="8" w:space="0" w:color="0077BD"/>
              <w:right w:val="single" w:sz="8" w:space="0" w:color="0077BD"/>
            </w:tcBorders>
            <w:shd w:val="clear" w:color="auto" w:fill="auto"/>
            <w:vAlign w:val="center"/>
            <w:hideMark/>
          </w:tcPr>
          <w:p w14:paraId="04D9B66E"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15 542</w:t>
            </w:r>
          </w:p>
        </w:tc>
        <w:tc>
          <w:tcPr>
            <w:tcW w:w="1418" w:type="dxa"/>
            <w:tcBorders>
              <w:left w:val="nil"/>
              <w:bottom w:val="single" w:sz="8" w:space="0" w:color="0077BD"/>
              <w:right w:val="nil"/>
            </w:tcBorders>
            <w:shd w:val="clear" w:color="auto" w:fill="auto"/>
            <w:vAlign w:val="center"/>
            <w:hideMark/>
          </w:tcPr>
          <w:p w14:paraId="2F3856E1"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r w:rsidR="00615109" w:rsidRPr="00BB7C9E" w14:paraId="21747DAB" w14:textId="77777777" w:rsidTr="00315213">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376D2809"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Przyznane w danym okresie</w:t>
            </w:r>
          </w:p>
        </w:tc>
        <w:tc>
          <w:tcPr>
            <w:tcW w:w="1418" w:type="dxa"/>
            <w:tcBorders>
              <w:top w:val="nil"/>
              <w:left w:val="nil"/>
              <w:bottom w:val="single" w:sz="4" w:space="0" w:color="0077BD"/>
              <w:right w:val="single" w:sz="8" w:space="0" w:color="0077BD"/>
            </w:tcBorders>
            <w:shd w:val="clear" w:color="auto" w:fill="auto"/>
            <w:vAlign w:val="center"/>
          </w:tcPr>
          <w:p w14:paraId="71A5B855" w14:textId="06F1F8D9" w:rsidR="00615109" w:rsidRPr="00BB7C9E" w:rsidRDefault="00315213" w:rsidP="004004C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7D9D97A0"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21CED3FB"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8 021</w:t>
            </w:r>
          </w:p>
        </w:tc>
        <w:tc>
          <w:tcPr>
            <w:tcW w:w="1418" w:type="dxa"/>
            <w:tcBorders>
              <w:top w:val="nil"/>
              <w:left w:val="nil"/>
              <w:bottom w:val="single" w:sz="4" w:space="0" w:color="0077BD"/>
              <w:right w:val="nil"/>
            </w:tcBorders>
            <w:shd w:val="clear" w:color="auto" w:fill="auto"/>
            <w:vAlign w:val="center"/>
            <w:hideMark/>
          </w:tcPr>
          <w:p w14:paraId="16A70B98"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1FD952E4" w14:textId="77777777" w:rsidTr="00315213">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0D05CC7C"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Umorzone w danym okresie</w:t>
            </w:r>
          </w:p>
        </w:tc>
        <w:tc>
          <w:tcPr>
            <w:tcW w:w="1418" w:type="dxa"/>
            <w:tcBorders>
              <w:top w:val="nil"/>
              <w:left w:val="nil"/>
              <w:bottom w:val="single" w:sz="4" w:space="0" w:color="0077BD"/>
              <w:right w:val="single" w:sz="8" w:space="0" w:color="0077BD"/>
            </w:tcBorders>
            <w:shd w:val="clear" w:color="auto" w:fill="auto"/>
            <w:vAlign w:val="center"/>
          </w:tcPr>
          <w:p w14:paraId="32826FD7" w14:textId="259914B7" w:rsidR="00615109" w:rsidRPr="00BB7C9E" w:rsidRDefault="00315213" w:rsidP="004004C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510946D3"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6BEEDD93"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vAlign w:val="center"/>
            <w:hideMark/>
          </w:tcPr>
          <w:p w14:paraId="45B730D6"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70C44814" w14:textId="77777777" w:rsidTr="00315213">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6F4DC3CD"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Wykonane w danym okresie*</w:t>
            </w:r>
          </w:p>
        </w:tc>
        <w:tc>
          <w:tcPr>
            <w:tcW w:w="1418" w:type="dxa"/>
            <w:tcBorders>
              <w:top w:val="nil"/>
              <w:left w:val="nil"/>
              <w:bottom w:val="single" w:sz="4" w:space="0" w:color="0077BD"/>
              <w:right w:val="single" w:sz="8" w:space="0" w:color="0077BD"/>
            </w:tcBorders>
            <w:shd w:val="clear" w:color="auto" w:fill="auto"/>
            <w:vAlign w:val="center"/>
          </w:tcPr>
          <w:p w14:paraId="155D7A8C" w14:textId="6C264DED" w:rsidR="00615109" w:rsidRPr="00BB7C9E" w:rsidRDefault="00315213" w:rsidP="004004C9">
            <w:pPr>
              <w:jc w:val="right"/>
              <w:rPr>
                <w:rFonts w:cs="Calibri"/>
                <w:color w:val="000000" w:themeColor="text1"/>
                <w:sz w:val="13"/>
                <w:szCs w:val="13"/>
              </w:rPr>
            </w:pPr>
            <w:r w:rsidRPr="00BB7C9E">
              <w:rPr>
                <w:rFonts w:cs="Calibri"/>
                <w:color w:val="000000" w:themeColor="text1"/>
                <w:sz w:val="13"/>
                <w:szCs w:val="13"/>
              </w:rPr>
              <w:t>6 019</w:t>
            </w:r>
          </w:p>
        </w:tc>
        <w:tc>
          <w:tcPr>
            <w:tcW w:w="1418" w:type="dxa"/>
            <w:tcBorders>
              <w:top w:val="nil"/>
              <w:left w:val="nil"/>
              <w:bottom w:val="single" w:sz="4" w:space="0" w:color="0077BD"/>
              <w:right w:val="single" w:sz="8" w:space="0" w:color="0077BD"/>
            </w:tcBorders>
            <w:shd w:val="clear" w:color="auto" w:fill="auto"/>
            <w:vAlign w:val="center"/>
            <w:hideMark/>
          </w:tcPr>
          <w:p w14:paraId="3E331611" w14:textId="15EFDF43" w:rsidR="00615109" w:rsidRPr="00BB7C9E" w:rsidRDefault="00315213" w:rsidP="00615109">
            <w:pPr>
              <w:jc w:val="right"/>
              <w:rPr>
                <w:rFonts w:cs="Calibri"/>
                <w:color w:val="000000" w:themeColor="text1"/>
                <w:sz w:val="13"/>
                <w:szCs w:val="13"/>
              </w:rPr>
            </w:pPr>
            <w:r w:rsidRPr="00BB7C9E">
              <w:rPr>
                <w:rFonts w:cs="Calibri"/>
                <w:color w:val="000000" w:themeColor="text1"/>
                <w:sz w:val="13"/>
                <w:szCs w:val="13"/>
              </w:rPr>
              <w:t>4</w:t>
            </w:r>
          </w:p>
        </w:tc>
        <w:tc>
          <w:tcPr>
            <w:tcW w:w="1418" w:type="dxa"/>
            <w:tcBorders>
              <w:top w:val="nil"/>
              <w:left w:val="nil"/>
              <w:bottom w:val="single" w:sz="4" w:space="0" w:color="0077BD"/>
              <w:right w:val="single" w:sz="8" w:space="0" w:color="0077BD"/>
            </w:tcBorders>
            <w:shd w:val="clear" w:color="auto" w:fill="auto"/>
            <w:vAlign w:val="center"/>
            <w:hideMark/>
          </w:tcPr>
          <w:p w14:paraId="48E24F69"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11 334</w:t>
            </w:r>
          </w:p>
        </w:tc>
        <w:tc>
          <w:tcPr>
            <w:tcW w:w="1418" w:type="dxa"/>
            <w:tcBorders>
              <w:top w:val="nil"/>
              <w:left w:val="nil"/>
              <w:bottom w:val="single" w:sz="4" w:space="0" w:color="0077BD"/>
              <w:right w:val="nil"/>
            </w:tcBorders>
            <w:shd w:val="clear" w:color="auto" w:fill="auto"/>
            <w:vAlign w:val="center"/>
            <w:hideMark/>
          </w:tcPr>
          <w:p w14:paraId="2D0D42B1"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4</w:t>
            </w:r>
          </w:p>
        </w:tc>
      </w:tr>
      <w:tr w:rsidR="00615109" w:rsidRPr="00BB7C9E" w14:paraId="650907E7"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350E27EB"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Wygasłe w danym okresie</w:t>
            </w:r>
          </w:p>
        </w:tc>
        <w:tc>
          <w:tcPr>
            <w:tcW w:w="1418" w:type="dxa"/>
            <w:tcBorders>
              <w:top w:val="nil"/>
              <w:left w:val="nil"/>
              <w:bottom w:val="single" w:sz="8" w:space="0" w:color="0077BD"/>
              <w:right w:val="single" w:sz="8" w:space="0" w:color="0077BD"/>
            </w:tcBorders>
            <w:shd w:val="clear" w:color="auto" w:fill="auto"/>
            <w:vAlign w:val="center"/>
            <w:hideMark/>
          </w:tcPr>
          <w:p w14:paraId="7B1E3790"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51467D4E"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18420C0E"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nil"/>
            </w:tcBorders>
            <w:shd w:val="clear" w:color="auto" w:fill="auto"/>
            <w:vAlign w:val="center"/>
            <w:hideMark/>
          </w:tcPr>
          <w:p w14:paraId="38D52C16" w14:textId="77777777"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6AD1B09A"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268126CD"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Występujące na koniec okresu</w:t>
            </w:r>
          </w:p>
        </w:tc>
        <w:tc>
          <w:tcPr>
            <w:tcW w:w="1418" w:type="dxa"/>
            <w:tcBorders>
              <w:top w:val="nil"/>
              <w:left w:val="nil"/>
              <w:bottom w:val="single" w:sz="8" w:space="0" w:color="0077BD"/>
              <w:right w:val="single" w:sz="8" w:space="0" w:color="0077BD"/>
            </w:tcBorders>
            <w:shd w:val="clear" w:color="auto" w:fill="auto"/>
            <w:vAlign w:val="center"/>
            <w:hideMark/>
          </w:tcPr>
          <w:p w14:paraId="43BA3FF1" w14:textId="70023E6A" w:rsidR="00615109" w:rsidRPr="00BB7C9E" w:rsidRDefault="00315213" w:rsidP="00615109">
            <w:pPr>
              <w:jc w:val="right"/>
              <w:rPr>
                <w:rFonts w:cs="Calibri"/>
                <w:b/>
                <w:bCs/>
                <w:color w:val="000000" w:themeColor="text1"/>
                <w:sz w:val="13"/>
                <w:szCs w:val="13"/>
              </w:rPr>
            </w:pPr>
            <w:r w:rsidRPr="00BB7C9E">
              <w:rPr>
                <w:rFonts w:cs="Calibri"/>
                <w:b/>
                <w:bCs/>
                <w:color w:val="000000" w:themeColor="text1"/>
                <w:sz w:val="13"/>
                <w:szCs w:val="13"/>
              </w:rPr>
              <w:t>6 210</w:t>
            </w:r>
          </w:p>
        </w:tc>
        <w:tc>
          <w:tcPr>
            <w:tcW w:w="1418" w:type="dxa"/>
            <w:tcBorders>
              <w:top w:val="nil"/>
              <w:left w:val="nil"/>
              <w:bottom w:val="single" w:sz="8" w:space="0" w:color="0077BD"/>
              <w:right w:val="single" w:sz="8" w:space="0" w:color="0077BD"/>
            </w:tcBorders>
            <w:shd w:val="clear" w:color="auto" w:fill="auto"/>
            <w:vAlign w:val="center"/>
            <w:hideMark/>
          </w:tcPr>
          <w:p w14:paraId="5B33E69A"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71228AEB"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12 229</w:t>
            </w:r>
          </w:p>
        </w:tc>
        <w:tc>
          <w:tcPr>
            <w:tcW w:w="1418" w:type="dxa"/>
            <w:tcBorders>
              <w:top w:val="nil"/>
              <w:left w:val="nil"/>
              <w:bottom w:val="single" w:sz="8" w:space="0" w:color="0077BD"/>
              <w:right w:val="nil"/>
            </w:tcBorders>
            <w:shd w:val="clear" w:color="auto" w:fill="auto"/>
            <w:vAlign w:val="center"/>
            <w:hideMark/>
          </w:tcPr>
          <w:p w14:paraId="55384591"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r w:rsidR="00615109" w:rsidRPr="00BB7C9E" w14:paraId="539C37BC"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0970F77D"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Możliwe do wykonania na koniec okresu</w:t>
            </w:r>
          </w:p>
        </w:tc>
        <w:tc>
          <w:tcPr>
            <w:tcW w:w="1418" w:type="dxa"/>
            <w:tcBorders>
              <w:top w:val="nil"/>
              <w:left w:val="nil"/>
              <w:bottom w:val="single" w:sz="8" w:space="0" w:color="0077BD"/>
              <w:right w:val="single" w:sz="8" w:space="0" w:color="0077BD"/>
            </w:tcBorders>
            <w:shd w:val="clear" w:color="auto" w:fill="auto"/>
            <w:vAlign w:val="center"/>
            <w:hideMark/>
          </w:tcPr>
          <w:p w14:paraId="4DD32D7B"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3984B4EE"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331DE1DB"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nil"/>
            </w:tcBorders>
            <w:shd w:val="clear" w:color="auto" w:fill="auto"/>
            <w:vAlign w:val="center"/>
            <w:hideMark/>
          </w:tcPr>
          <w:p w14:paraId="1C6E6EC5" w14:textId="7777777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bl>
    <w:p w14:paraId="2864D946" w14:textId="5CBC851D" w:rsidR="003626C9" w:rsidRPr="00BB7C9E" w:rsidRDefault="003626C9" w:rsidP="00615109">
      <w:pPr>
        <w:suppressAutoHyphens/>
        <w:spacing w:before="120"/>
        <w:jc w:val="both"/>
        <w:rPr>
          <w:rFonts w:eastAsia="Calibri"/>
          <w:color w:val="000000" w:themeColor="text1"/>
          <w:sz w:val="18"/>
          <w:szCs w:val="18"/>
        </w:rPr>
      </w:pPr>
      <w:r w:rsidRPr="00BB7C9E">
        <w:rPr>
          <w:rFonts w:eastAsia="Calibri"/>
          <w:color w:val="000000" w:themeColor="text1"/>
          <w:sz w:val="18"/>
          <w:szCs w:val="18"/>
        </w:rPr>
        <w:t>*Średn</w:t>
      </w:r>
      <w:r w:rsidR="00615109" w:rsidRPr="00BB7C9E">
        <w:rPr>
          <w:rFonts w:eastAsia="Calibri"/>
          <w:color w:val="000000" w:themeColor="text1"/>
          <w:sz w:val="18"/>
          <w:szCs w:val="18"/>
        </w:rPr>
        <w:t>ia ważona cena akcji w roku 2019</w:t>
      </w:r>
      <w:r w:rsidRPr="00BB7C9E">
        <w:rPr>
          <w:rFonts w:eastAsia="Calibri"/>
          <w:color w:val="000000" w:themeColor="text1"/>
          <w:sz w:val="18"/>
          <w:szCs w:val="18"/>
        </w:rPr>
        <w:t xml:space="preserve"> wyniosła </w:t>
      </w:r>
      <w:r w:rsidR="003E2B9A" w:rsidRPr="00BB7C9E">
        <w:rPr>
          <w:rFonts w:eastAsia="Calibri"/>
          <w:color w:val="000000" w:themeColor="text1"/>
          <w:sz w:val="18"/>
          <w:szCs w:val="18"/>
        </w:rPr>
        <w:t>388</w:t>
      </w:r>
      <w:r w:rsidRPr="00BB7C9E">
        <w:rPr>
          <w:rFonts w:eastAsia="Calibri"/>
          <w:color w:val="000000" w:themeColor="text1"/>
          <w:sz w:val="18"/>
          <w:szCs w:val="18"/>
        </w:rPr>
        <w:t>,</w:t>
      </w:r>
      <w:r w:rsidR="003E2B9A" w:rsidRPr="00BB7C9E">
        <w:rPr>
          <w:rFonts w:eastAsia="Calibri"/>
          <w:color w:val="000000" w:themeColor="text1"/>
          <w:sz w:val="18"/>
          <w:szCs w:val="18"/>
        </w:rPr>
        <w:t>23</w:t>
      </w:r>
      <w:r w:rsidRPr="00BB7C9E">
        <w:rPr>
          <w:rFonts w:eastAsia="Calibri"/>
          <w:color w:val="000000" w:themeColor="text1"/>
          <w:sz w:val="18"/>
          <w:szCs w:val="18"/>
        </w:rPr>
        <w:t xml:space="preserve"> zł</w:t>
      </w:r>
      <w:r w:rsidR="00AC25CE">
        <w:rPr>
          <w:rFonts w:eastAsia="Calibri"/>
          <w:color w:val="000000" w:themeColor="text1"/>
          <w:sz w:val="18"/>
          <w:szCs w:val="18"/>
        </w:rPr>
        <w:t xml:space="preserve"> (2018 rok</w:t>
      </w:r>
      <w:r w:rsidR="00615109" w:rsidRPr="00BB7C9E">
        <w:rPr>
          <w:rFonts w:eastAsia="Calibri"/>
          <w:color w:val="000000" w:themeColor="text1"/>
          <w:sz w:val="18"/>
          <w:szCs w:val="18"/>
        </w:rPr>
        <w:t xml:space="preserve"> – 430</w:t>
      </w:r>
      <w:r w:rsidRPr="00BB7C9E">
        <w:rPr>
          <w:rFonts w:eastAsia="Calibri"/>
          <w:color w:val="000000" w:themeColor="text1"/>
          <w:sz w:val="18"/>
          <w:szCs w:val="18"/>
        </w:rPr>
        <w:t>,</w:t>
      </w:r>
      <w:r w:rsidR="00615109" w:rsidRPr="00BB7C9E">
        <w:rPr>
          <w:rFonts w:eastAsia="Calibri"/>
          <w:color w:val="000000" w:themeColor="text1"/>
          <w:sz w:val="18"/>
          <w:szCs w:val="18"/>
        </w:rPr>
        <w:t>59</w:t>
      </w:r>
      <w:r w:rsidRPr="00BB7C9E">
        <w:rPr>
          <w:rFonts w:eastAsia="Calibri"/>
          <w:color w:val="000000" w:themeColor="text1"/>
          <w:sz w:val="18"/>
          <w:szCs w:val="18"/>
        </w:rPr>
        <w:t xml:space="preserve"> zł).</w:t>
      </w:r>
    </w:p>
    <w:p w14:paraId="3FF01FD5" w14:textId="4292EE92" w:rsidR="003626C9" w:rsidRPr="00BB7C9E" w:rsidRDefault="003626C9" w:rsidP="003626C9">
      <w:pPr>
        <w:suppressAutoHyphens/>
        <w:spacing w:before="120"/>
        <w:jc w:val="both"/>
        <w:rPr>
          <w:rFonts w:cs="Tahoma"/>
          <w:b/>
          <w:color w:val="000000" w:themeColor="text1"/>
          <w:sz w:val="18"/>
          <w:szCs w:val="18"/>
        </w:rPr>
      </w:pPr>
      <w:r w:rsidRPr="00BB7C9E">
        <w:rPr>
          <w:rFonts w:cs="Tahoma"/>
          <w:b/>
          <w:color w:val="000000" w:themeColor="text1"/>
          <w:sz w:val="18"/>
          <w:szCs w:val="18"/>
        </w:rPr>
        <w:t>Część gotówkowa premii</w:t>
      </w:r>
    </w:p>
    <w:p w14:paraId="7A01FA34"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 xml:space="preserve">Premia w równowartości 50% kwoty bazowej stanowi płatność rozliczaną w gotówce. Ujmowana jest jako zobowiązanie wobec pracowników i odnoszona jest do rachunku zysków i strat w korespondencji z zobowiązaniami wobec pracowników. </w:t>
      </w:r>
    </w:p>
    <w:p w14:paraId="38E89633" w14:textId="77777777" w:rsidR="003626C9" w:rsidRPr="00BB7C9E" w:rsidRDefault="003626C9" w:rsidP="003626C9">
      <w:pPr>
        <w:suppressAutoHyphens/>
        <w:spacing w:before="120"/>
        <w:jc w:val="both"/>
        <w:rPr>
          <w:rFonts w:cs="Tahoma"/>
          <w:b/>
          <w:color w:val="000000" w:themeColor="text1"/>
          <w:sz w:val="18"/>
          <w:szCs w:val="18"/>
        </w:rPr>
      </w:pPr>
      <w:r w:rsidRPr="00BB7C9E">
        <w:rPr>
          <w:rFonts w:cs="Tahoma"/>
          <w:b/>
          <w:color w:val="000000" w:themeColor="text1"/>
          <w:sz w:val="18"/>
          <w:szCs w:val="18"/>
        </w:rPr>
        <w:t>Płatności oparte na akcjach - rozliczane w akcjach mBanku S.A.</w:t>
      </w:r>
    </w:p>
    <w:p w14:paraId="4DD6FF5D" w14:textId="77777777" w:rsidR="003626C9" w:rsidRPr="00BB7C9E" w:rsidRDefault="003626C9" w:rsidP="003626C9">
      <w:pPr>
        <w:pStyle w:val="Akapitzlist"/>
        <w:suppressAutoHyphens/>
        <w:spacing w:before="120" w:after="120"/>
        <w:ind w:left="0"/>
        <w:jc w:val="both"/>
        <w:rPr>
          <w:rFonts w:cs="Tahoma"/>
          <w:color w:val="000000" w:themeColor="text1"/>
          <w:sz w:val="18"/>
          <w:szCs w:val="18"/>
        </w:rPr>
      </w:pPr>
      <w:r w:rsidRPr="00BB7C9E">
        <w:rPr>
          <w:rFonts w:cs="Tahoma"/>
          <w:color w:val="000000" w:themeColor="text1"/>
          <w:sz w:val="18"/>
          <w:szCs w:val="18"/>
        </w:rPr>
        <w:t>Premia w równowartości 50% kwoty bazowej stanowi płatność rozliczaną w akcjach mBanku S.A. Koszty programu w tej części obciążają rachunek zysków i strat i ujmowane są w korespondencji z pozostałymi kapitałami rezerwowymi.</w:t>
      </w:r>
    </w:p>
    <w:p w14:paraId="4C0F6EA6"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Program oparty jest na bazie akcji rozliczanych w instrumentach kapitałowych.</w:t>
      </w:r>
    </w:p>
    <w:p w14:paraId="0714A44F"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W dniu 2 marca 2015 roku Rada Nadzorcza zgodnie z rekomendacją Komisji ds. Wynagrodzeń Rady Nadzorczej wydłużyła czas trwania programu z 31 grudnia 2018 roku do 31 grudnia 2021 roku.</w:t>
      </w:r>
    </w:p>
    <w:p w14:paraId="715823F0" w14:textId="77777777" w:rsidR="003B5625" w:rsidRPr="00BB7C9E" w:rsidRDefault="003B5625" w:rsidP="003626C9">
      <w:pPr>
        <w:pStyle w:val="Akapitzlist"/>
        <w:suppressAutoHyphens/>
        <w:ind w:left="0"/>
        <w:jc w:val="both"/>
        <w:rPr>
          <w:rFonts w:cs="Tahoma"/>
          <w:b/>
          <w:color w:val="000000" w:themeColor="text1"/>
          <w:sz w:val="18"/>
          <w:szCs w:val="18"/>
          <w:u w:val="single"/>
        </w:rPr>
      </w:pPr>
    </w:p>
    <w:p w14:paraId="4043D033" w14:textId="77777777" w:rsidR="003626C9" w:rsidRPr="00BB7C9E" w:rsidRDefault="003626C9" w:rsidP="003626C9">
      <w:pPr>
        <w:pStyle w:val="Akapitzlist"/>
        <w:suppressAutoHyphens/>
        <w:ind w:left="0"/>
        <w:jc w:val="both"/>
        <w:rPr>
          <w:rFonts w:cs="Tahoma"/>
          <w:b/>
          <w:color w:val="000000" w:themeColor="text1"/>
          <w:sz w:val="18"/>
          <w:szCs w:val="18"/>
          <w:u w:val="single"/>
        </w:rPr>
      </w:pPr>
      <w:r w:rsidRPr="00BB7C9E">
        <w:rPr>
          <w:rFonts w:cs="Tahoma"/>
          <w:b/>
          <w:color w:val="000000" w:themeColor="text1"/>
          <w:sz w:val="18"/>
          <w:szCs w:val="18"/>
          <w:u w:val="single"/>
        </w:rPr>
        <w:t>Program pracowniczy dla kluczowej kadry Grupy mBanku z 2014 roku</w:t>
      </w:r>
    </w:p>
    <w:p w14:paraId="0497144A" w14:textId="77777777"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 xml:space="preserve">W dniu 31 marca 2014 Rada Nadzorcza mBanku podjęła na podstawie rekomendacji Komisji ds. Wynagrodzeń uchwałę zmieniającą regulamin programu pracowniczego, który zastąpił pracowniczy program motywacyjny dla kluczowej kadry Grupy mBanku z 2013 roku, przy czym względem osób, które nabyły obligacje z prawem pierwszeństwa do objęcia akcji Banku, lub którym zostały przyznane prawa do nabycia obligacji w transzach III, IV, V i VI program miał być przeprowadzany na dotychczasowych zasadach. </w:t>
      </w:r>
    </w:p>
    <w:p w14:paraId="32F2139B" w14:textId="77777777"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W dniu 2 marca 2015 roku Rada Nadzorcza zgodnie z rekomendacją Komisji ds. Wynagrodzeń wydłużyła czas trwania programu z 31 grudnia 2019 roku do 31 grudnia 2022 roku.</w:t>
      </w:r>
    </w:p>
    <w:p w14:paraId="0BE6E80B" w14:textId="7A5FCBA8" w:rsidR="003626C9" w:rsidRPr="00BB7C9E" w:rsidRDefault="00717FD4" w:rsidP="003626C9">
      <w:pPr>
        <w:spacing w:before="120"/>
        <w:jc w:val="both"/>
        <w:rPr>
          <w:rFonts w:cs="Tahoma"/>
          <w:color w:val="000000" w:themeColor="text1"/>
          <w:sz w:val="18"/>
          <w:szCs w:val="18"/>
        </w:rPr>
      </w:pPr>
      <w:r>
        <w:rPr>
          <w:rFonts w:cs="Tahoma"/>
          <w:color w:val="000000" w:themeColor="text1"/>
          <w:sz w:val="18"/>
          <w:szCs w:val="18"/>
        </w:rPr>
        <w:t>Celem p</w:t>
      </w:r>
      <w:r w:rsidR="003626C9" w:rsidRPr="00BB7C9E">
        <w:rPr>
          <w:rFonts w:cs="Tahoma"/>
          <w:color w:val="000000" w:themeColor="text1"/>
          <w:sz w:val="18"/>
          <w:szCs w:val="18"/>
        </w:rPr>
        <w:t>rogramu jest zapewnienie wzrostu wartości akcji Spółki poprzez związanie interesu kluczowej kadry Grupy mBanku z interesem Spółki i jej akcjonariuszy oraz wdrożenie w Grupie mBanku polityki zmiennych składników wynagrodzeń osób zajmujących stanowiska kierownicze w Grupie mBank S.A.</w:t>
      </w:r>
    </w:p>
    <w:p w14:paraId="3460B375" w14:textId="64FF126E"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Obligacje</w:t>
      </w:r>
      <w:r w:rsidR="00E2145B" w:rsidRPr="00BB7C9E">
        <w:rPr>
          <w:rFonts w:cs="Tahoma"/>
          <w:color w:val="000000" w:themeColor="text1"/>
          <w:sz w:val="18"/>
          <w:szCs w:val="18"/>
        </w:rPr>
        <w:t xml:space="preserve">  przyznane w ramach III, IV, V</w:t>
      </w:r>
      <w:r w:rsidRPr="00BB7C9E">
        <w:rPr>
          <w:rFonts w:cs="Tahoma"/>
          <w:color w:val="000000" w:themeColor="text1"/>
          <w:sz w:val="18"/>
          <w:szCs w:val="18"/>
        </w:rPr>
        <w:t xml:space="preserve"> i VI transzy zostały nabyte przez osoby uprawnione, a wynikające z obligacji prawa do objęcia akcji w ramach warunkowego podwyższenia kapitału, zostały zrealizowane. </w:t>
      </w:r>
    </w:p>
    <w:p w14:paraId="7CD15196" w14:textId="77777777"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Ostatnie rozliczenia w/w transz zostały zrealizowane w 2017 roku.</w:t>
      </w:r>
    </w:p>
    <w:p w14:paraId="0533EFA4" w14:textId="77777777"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Począwszy od VII Transzy przyznane osobie uprawnionej prawo do nabycia obligacji zostanie podzielone na cztery części, które będą mogły być realizowane odpowiednio: I część - obligacje nieodroczone, stanowiąca 50% z 60% kwoty premii uznaniowej przyznanej za dany rok obrotowy w roku ustalenia tego prawa, a następnie kolejne trzy równe części - obligacje odroczone, stanowiące 50% z 40% kwoty premii uznaniowej przyznanej za dany rok obrotowy po upływie 12, 24 i 36 miesięcy od dnia przyznania tego prawa, stosownie do przyjętych w Grupie mBanku regulacji wewnętrznych określających zasady zmiennego wynagradzania pracowników mających istotny wpływ na profil ryzyka podmiotów w Grupie mBanku S.A.</w:t>
      </w:r>
    </w:p>
    <w:p w14:paraId="347D1BB4" w14:textId="444C02A0"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Zarząd Banku/Rada Nadzorcza spółki, w której jest prowadzony Program, może podjąć decyzję o</w:t>
      </w:r>
      <w:r w:rsidR="00F629C0" w:rsidRPr="00BB7C9E">
        <w:rPr>
          <w:rFonts w:cs="Tahoma"/>
          <w:color w:val="000000" w:themeColor="text1"/>
          <w:sz w:val="18"/>
          <w:szCs w:val="18"/>
        </w:rPr>
        <w:t> </w:t>
      </w:r>
      <w:r w:rsidRPr="00BB7C9E">
        <w:rPr>
          <w:rFonts w:cs="Tahoma"/>
          <w:color w:val="000000" w:themeColor="text1"/>
          <w:sz w:val="18"/>
          <w:szCs w:val="18"/>
        </w:rPr>
        <w:t>wstrzymaniu realizacji Programu w całości bądź zmniejszeniu liczby obligacji nieodroczonych lub odroczonych w danej transzy dla osoby uprawnionej w przypadku wystąpienia sytuacji, o których mowa w</w:t>
      </w:r>
      <w:r w:rsidR="00F629C0" w:rsidRPr="00BB7C9E">
        <w:rPr>
          <w:rFonts w:cs="Tahoma"/>
          <w:color w:val="000000" w:themeColor="text1"/>
          <w:sz w:val="18"/>
          <w:szCs w:val="18"/>
        </w:rPr>
        <w:t> </w:t>
      </w:r>
      <w:r w:rsidRPr="00BB7C9E">
        <w:rPr>
          <w:rFonts w:cs="Tahoma"/>
          <w:color w:val="000000" w:themeColor="text1"/>
          <w:sz w:val="18"/>
          <w:szCs w:val="18"/>
        </w:rPr>
        <w:t xml:space="preserve">art. 142 ust. 1 ustawy Prawo Bankowe, tj. powstania straty bilansowej bądź groźby jej nastąpienia, </w:t>
      </w:r>
      <w:r w:rsidRPr="00BB7C9E">
        <w:rPr>
          <w:rFonts w:cs="Tahoma"/>
          <w:color w:val="000000" w:themeColor="text1"/>
          <w:sz w:val="18"/>
          <w:szCs w:val="18"/>
        </w:rPr>
        <w:lastRenderedPageBreak/>
        <w:t>powstania niebezpieczeństwa niewypłacalności lub utraty płynności, spełnienia przesłanek określonych w</w:t>
      </w:r>
      <w:r w:rsidR="00F629C0" w:rsidRPr="00BB7C9E">
        <w:rPr>
          <w:rFonts w:cs="Tahoma"/>
          <w:color w:val="000000" w:themeColor="text1"/>
          <w:sz w:val="18"/>
          <w:szCs w:val="18"/>
        </w:rPr>
        <w:t> </w:t>
      </w:r>
      <w:r w:rsidRPr="00BB7C9E">
        <w:rPr>
          <w:rFonts w:cs="Tahoma"/>
          <w:color w:val="000000" w:themeColor="text1"/>
          <w:sz w:val="18"/>
          <w:szCs w:val="18"/>
        </w:rPr>
        <w:t>umowach z uczestnikami programu, będących podstawą świadczenia pracy lub innych usług na rzecz Banku oraz podmiotów zależnych.</w:t>
      </w:r>
    </w:p>
    <w:p w14:paraId="3E9C99EA" w14:textId="77777777" w:rsidR="003626C9" w:rsidRPr="00BB7C9E" w:rsidRDefault="003626C9" w:rsidP="003626C9">
      <w:pPr>
        <w:spacing w:before="120"/>
        <w:jc w:val="both"/>
        <w:rPr>
          <w:rFonts w:cs="Tahoma"/>
          <w:b/>
          <w:color w:val="000000" w:themeColor="text1"/>
          <w:sz w:val="18"/>
          <w:szCs w:val="18"/>
        </w:rPr>
      </w:pPr>
      <w:r w:rsidRPr="00BB7C9E">
        <w:rPr>
          <w:rFonts w:cs="Tahoma"/>
          <w:b/>
          <w:color w:val="000000" w:themeColor="text1"/>
          <w:sz w:val="18"/>
          <w:szCs w:val="18"/>
        </w:rPr>
        <w:t>Część gotówkowa premii</w:t>
      </w:r>
    </w:p>
    <w:p w14:paraId="18C97177" w14:textId="6FCCF2AA"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Premia w równowartości 50% kwoty premii przyznanej za dany rok stanowi płatność rozliczaną w </w:t>
      </w:r>
      <w:r w:rsidR="00DA6A22" w:rsidRPr="00BB7C9E">
        <w:rPr>
          <w:rFonts w:cs="Tahoma"/>
          <w:color w:val="000000" w:themeColor="text1"/>
          <w:sz w:val="18"/>
          <w:szCs w:val="18"/>
        </w:rPr>
        <w:t>gotówce</w:t>
      </w:r>
      <w:r w:rsidRPr="00BB7C9E">
        <w:rPr>
          <w:rFonts w:cs="Tahoma"/>
          <w:color w:val="000000" w:themeColor="text1"/>
          <w:sz w:val="18"/>
          <w:szCs w:val="18"/>
        </w:rPr>
        <w:t xml:space="preserve"> i odnoszona jest do rachunku zysków i strat w korespondencji z zobowiązaniami wobec pracowników.</w:t>
      </w:r>
    </w:p>
    <w:p w14:paraId="03129257" w14:textId="77777777" w:rsidR="003626C9" w:rsidRPr="00BB7C9E" w:rsidRDefault="003626C9" w:rsidP="003626C9">
      <w:pPr>
        <w:spacing w:before="120"/>
        <w:jc w:val="both"/>
        <w:rPr>
          <w:rFonts w:cs="Tahoma"/>
          <w:b/>
          <w:color w:val="000000" w:themeColor="text1"/>
          <w:sz w:val="18"/>
          <w:szCs w:val="18"/>
        </w:rPr>
      </w:pPr>
      <w:r w:rsidRPr="00BB7C9E">
        <w:rPr>
          <w:rFonts w:cs="Tahoma"/>
          <w:b/>
          <w:color w:val="000000" w:themeColor="text1"/>
          <w:sz w:val="18"/>
          <w:szCs w:val="18"/>
        </w:rPr>
        <w:t>Płatności oparte na akcjach - rozliczane w akcjach mBanku S.A.</w:t>
      </w:r>
    </w:p>
    <w:p w14:paraId="509D1BE9" w14:textId="0083BEE3"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Premia w równowartości 50% kwoty premii przyznanej za dany rok stanowi płatność r</w:t>
      </w:r>
      <w:r w:rsidR="007E24BA">
        <w:rPr>
          <w:rFonts w:cs="Tahoma"/>
          <w:color w:val="000000" w:themeColor="text1"/>
          <w:sz w:val="18"/>
          <w:szCs w:val="18"/>
        </w:rPr>
        <w:t xml:space="preserve">ozliczaną w akcjach mBanku S.A. </w:t>
      </w:r>
      <w:r w:rsidRPr="00BB7C9E">
        <w:rPr>
          <w:rFonts w:cs="Tahoma"/>
          <w:color w:val="000000" w:themeColor="text1"/>
          <w:sz w:val="18"/>
          <w:szCs w:val="18"/>
        </w:rPr>
        <w:t>Koszty programu w tej części obciążają rachunek zysków i strat i ujmowane są w</w:t>
      </w:r>
      <w:r w:rsidR="007E24BA">
        <w:rPr>
          <w:rFonts w:cs="Tahoma"/>
          <w:color w:val="000000" w:themeColor="text1"/>
          <w:sz w:val="18"/>
          <w:szCs w:val="18"/>
        </w:rPr>
        <w:t> </w:t>
      </w:r>
      <w:r w:rsidRPr="00BB7C9E">
        <w:rPr>
          <w:rFonts w:cs="Tahoma"/>
          <w:color w:val="000000" w:themeColor="text1"/>
          <w:sz w:val="18"/>
          <w:szCs w:val="18"/>
        </w:rPr>
        <w:t>korespondencji z pozostałymi kapitałami rezerwowymi.</w:t>
      </w:r>
    </w:p>
    <w:p w14:paraId="36448E17" w14:textId="77777777"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Program oparty jest na bazie akcji rozliczanych w instrumentach kapitałowych.</w:t>
      </w:r>
    </w:p>
    <w:p w14:paraId="7F0BD707"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W ramach tego programu (począwszy od VII transzy) została przyznana premia za lata 2014-2017. Ostatnie rozliczenia przypadają na 2021 rok.</w:t>
      </w:r>
    </w:p>
    <w:p w14:paraId="04451D1C" w14:textId="454A65DE" w:rsidR="003626C9" w:rsidRPr="00BB7C9E" w:rsidRDefault="003626C9" w:rsidP="003626C9">
      <w:pPr>
        <w:spacing w:before="120"/>
        <w:jc w:val="both"/>
        <w:rPr>
          <w:rFonts w:cs="Tahoma"/>
          <w:color w:val="000000" w:themeColor="text1"/>
          <w:sz w:val="18"/>
          <w:szCs w:val="18"/>
        </w:rPr>
      </w:pPr>
      <w:r w:rsidRPr="00BB7C9E">
        <w:rPr>
          <w:rFonts w:cs="Tahoma"/>
          <w:color w:val="000000" w:themeColor="text1"/>
          <w:sz w:val="18"/>
          <w:szCs w:val="18"/>
        </w:rPr>
        <w:t>Poniższa tabela przedstawia zmiany w liczbie opcji na akcje oraz średnie ważone ceny wykonania opcji w odniesieniu do programu motywacyjnego dla kluczowej kadry Grupy mBanku z 2014 roku.</w:t>
      </w:r>
    </w:p>
    <w:p w14:paraId="5232DC73" w14:textId="77777777" w:rsidR="00615109" w:rsidRPr="005C1D92" w:rsidRDefault="00615109" w:rsidP="00615109">
      <w:pPr>
        <w:jc w:val="both"/>
        <w:rPr>
          <w:rFonts w:cs="Tahoma"/>
          <w:color w:val="201C17"/>
          <w:sz w:val="18"/>
          <w:szCs w:val="18"/>
        </w:rPr>
      </w:pP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262772" w:rsidRPr="00615109" w14:paraId="5A67F483" w14:textId="77777777" w:rsidTr="0052067A">
        <w:trPr>
          <w:trHeight w:val="284"/>
        </w:trPr>
        <w:tc>
          <w:tcPr>
            <w:tcW w:w="3912" w:type="dxa"/>
            <w:vMerge w:val="restart"/>
            <w:tcBorders>
              <w:top w:val="nil"/>
              <w:left w:val="nil"/>
              <w:right w:val="single" w:sz="8" w:space="0" w:color="FFFFFF"/>
            </w:tcBorders>
            <w:shd w:val="clear" w:color="000000" w:fill="0077BD"/>
            <w:vAlign w:val="center"/>
            <w:hideMark/>
          </w:tcPr>
          <w:p w14:paraId="41EE64AE" w14:textId="7A1C4CF4" w:rsidR="00262772" w:rsidRPr="00615109" w:rsidRDefault="00262772" w:rsidP="003754B8">
            <w:pPr>
              <w:rPr>
                <w:rFonts w:cs="Calibri"/>
                <w:b/>
                <w:bCs/>
                <w:color w:val="FFFFFF"/>
                <w:sz w:val="13"/>
                <w:szCs w:val="13"/>
              </w:rPr>
            </w:pPr>
          </w:p>
        </w:tc>
        <w:tc>
          <w:tcPr>
            <w:tcW w:w="2836" w:type="dxa"/>
            <w:gridSpan w:val="2"/>
            <w:tcBorders>
              <w:top w:val="nil"/>
              <w:left w:val="nil"/>
              <w:bottom w:val="single" w:sz="6" w:space="0" w:color="FFFFFF"/>
              <w:right w:val="single" w:sz="8" w:space="0" w:color="FFFFFF"/>
            </w:tcBorders>
            <w:shd w:val="clear" w:color="000000" w:fill="0077BD"/>
            <w:vAlign w:val="center"/>
            <w:hideMark/>
          </w:tcPr>
          <w:p w14:paraId="71993D60"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31.12.2019</w:t>
            </w:r>
          </w:p>
        </w:tc>
        <w:tc>
          <w:tcPr>
            <w:tcW w:w="2836" w:type="dxa"/>
            <w:gridSpan w:val="2"/>
            <w:tcBorders>
              <w:top w:val="nil"/>
              <w:left w:val="single" w:sz="8" w:space="0" w:color="FFFFFF"/>
              <w:bottom w:val="single" w:sz="6" w:space="0" w:color="FFFFFF"/>
              <w:right w:val="single" w:sz="8" w:space="0" w:color="FFFFFF"/>
            </w:tcBorders>
            <w:shd w:val="clear" w:color="000000" w:fill="0077BD"/>
            <w:vAlign w:val="center"/>
            <w:hideMark/>
          </w:tcPr>
          <w:p w14:paraId="1ED487BC"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31.12.2018</w:t>
            </w:r>
          </w:p>
        </w:tc>
      </w:tr>
      <w:tr w:rsidR="00262772" w:rsidRPr="00615109" w14:paraId="302169AA" w14:textId="77777777" w:rsidTr="0052067A">
        <w:trPr>
          <w:trHeight w:val="284"/>
        </w:trPr>
        <w:tc>
          <w:tcPr>
            <w:tcW w:w="3912" w:type="dxa"/>
            <w:vMerge/>
            <w:tcBorders>
              <w:left w:val="nil"/>
              <w:right w:val="single" w:sz="8" w:space="0" w:color="FFFFFF"/>
            </w:tcBorders>
            <w:shd w:val="clear" w:color="000000" w:fill="0077BD"/>
            <w:vAlign w:val="center"/>
            <w:hideMark/>
          </w:tcPr>
          <w:p w14:paraId="611C2ECA" w14:textId="60790675" w:rsidR="00262772" w:rsidRPr="00615109" w:rsidRDefault="00262772" w:rsidP="003754B8">
            <w:pPr>
              <w:rPr>
                <w:rFonts w:cs="Calibri"/>
                <w:color w:val="FFFFFF"/>
                <w:sz w:val="13"/>
                <w:szCs w:val="13"/>
              </w:rPr>
            </w:pPr>
          </w:p>
        </w:tc>
        <w:tc>
          <w:tcPr>
            <w:tcW w:w="1418" w:type="dxa"/>
            <w:tcBorders>
              <w:top w:val="single" w:sz="6" w:space="0" w:color="FFFFFF"/>
              <w:left w:val="nil"/>
              <w:right w:val="single" w:sz="8" w:space="0" w:color="FFFFFF"/>
            </w:tcBorders>
            <w:shd w:val="clear" w:color="000000" w:fill="0077BD"/>
            <w:vAlign w:val="center"/>
            <w:hideMark/>
          </w:tcPr>
          <w:p w14:paraId="113BD620"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Liczba opcji</w:t>
            </w:r>
          </w:p>
        </w:tc>
        <w:tc>
          <w:tcPr>
            <w:tcW w:w="1418" w:type="dxa"/>
            <w:tcBorders>
              <w:top w:val="single" w:sz="6" w:space="0" w:color="FFFFFF"/>
              <w:left w:val="nil"/>
              <w:right w:val="nil"/>
            </w:tcBorders>
            <w:shd w:val="clear" w:color="000000" w:fill="0077BD"/>
            <w:vAlign w:val="center"/>
            <w:hideMark/>
          </w:tcPr>
          <w:p w14:paraId="3F923BD4"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 xml:space="preserve">Średnia ważona cena wykonania </w:t>
            </w:r>
            <w:r w:rsidRPr="00615109">
              <w:rPr>
                <w:rFonts w:cs="Calibri"/>
                <w:b/>
                <w:bCs/>
                <w:color w:val="FFFFFF"/>
                <w:sz w:val="13"/>
                <w:szCs w:val="13"/>
              </w:rPr>
              <w:br/>
              <w:t>(w zł)</w:t>
            </w:r>
          </w:p>
        </w:tc>
        <w:tc>
          <w:tcPr>
            <w:tcW w:w="1418" w:type="dxa"/>
            <w:tcBorders>
              <w:top w:val="single" w:sz="6" w:space="0" w:color="FFFFFF"/>
              <w:left w:val="single" w:sz="8" w:space="0" w:color="FFFFFF"/>
              <w:right w:val="single" w:sz="8" w:space="0" w:color="FFFFFF"/>
            </w:tcBorders>
            <w:shd w:val="clear" w:color="000000" w:fill="0077BD"/>
            <w:vAlign w:val="center"/>
            <w:hideMark/>
          </w:tcPr>
          <w:p w14:paraId="680E0250"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Liczba opcji</w:t>
            </w:r>
          </w:p>
        </w:tc>
        <w:tc>
          <w:tcPr>
            <w:tcW w:w="1418" w:type="dxa"/>
            <w:tcBorders>
              <w:top w:val="single" w:sz="6" w:space="0" w:color="FFFFFF"/>
              <w:left w:val="nil"/>
              <w:right w:val="nil"/>
            </w:tcBorders>
            <w:shd w:val="clear" w:color="000000" w:fill="0077BD"/>
            <w:vAlign w:val="center"/>
            <w:hideMark/>
          </w:tcPr>
          <w:p w14:paraId="7C7BB025" w14:textId="77777777" w:rsidR="00262772" w:rsidRPr="00615109" w:rsidRDefault="00262772" w:rsidP="003754B8">
            <w:pPr>
              <w:jc w:val="center"/>
              <w:rPr>
                <w:rFonts w:cs="Calibri"/>
                <w:b/>
                <w:bCs/>
                <w:color w:val="FFFFFF"/>
                <w:sz w:val="13"/>
                <w:szCs w:val="13"/>
              </w:rPr>
            </w:pPr>
            <w:r w:rsidRPr="00615109">
              <w:rPr>
                <w:rFonts w:cs="Calibri"/>
                <w:b/>
                <w:bCs/>
                <w:color w:val="FFFFFF"/>
                <w:sz w:val="13"/>
                <w:szCs w:val="13"/>
              </w:rPr>
              <w:t xml:space="preserve">Średnia ważona cena wykonania </w:t>
            </w:r>
            <w:r w:rsidRPr="00615109">
              <w:rPr>
                <w:rFonts w:cs="Calibri"/>
                <w:b/>
                <w:bCs/>
                <w:color w:val="FFFFFF"/>
                <w:sz w:val="13"/>
                <w:szCs w:val="13"/>
              </w:rPr>
              <w:br/>
              <w:t>(w zł)</w:t>
            </w:r>
          </w:p>
        </w:tc>
      </w:tr>
      <w:tr w:rsidR="00615109" w:rsidRPr="00BB7C9E" w14:paraId="1F829309" w14:textId="77777777" w:rsidTr="0052067A">
        <w:trPr>
          <w:trHeight w:val="284"/>
        </w:trPr>
        <w:tc>
          <w:tcPr>
            <w:tcW w:w="3912" w:type="dxa"/>
            <w:tcBorders>
              <w:left w:val="nil"/>
              <w:bottom w:val="single" w:sz="8" w:space="0" w:color="0077BD"/>
              <w:right w:val="single" w:sz="8" w:space="0" w:color="0077BD"/>
            </w:tcBorders>
            <w:shd w:val="clear" w:color="auto" w:fill="auto"/>
            <w:vAlign w:val="center"/>
            <w:hideMark/>
          </w:tcPr>
          <w:p w14:paraId="0CDF59BB"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Występujące na początek okresu</w:t>
            </w:r>
          </w:p>
        </w:tc>
        <w:tc>
          <w:tcPr>
            <w:tcW w:w="1418" w:type="dxa"/>
            <w:tcBorders>
              <w:left w:val="single" w:sz="8" w:space="0" w:color="0077BD"/>
              <w:bottom w:val="single" w:sz="8" w:space="0" w:color="0077BD"/>
              <w:right w:val="single" w:sz="8" w:space="0" w:color="0077BD"/>
            </w:tcBorders>
            <w:shd w:val="clear" w:color="auto" w:fill="auto"/>
            <w:vAlign w:val="center"/>
            <w:hideMark/>
          </w:tcPr>
          <w:p w14:paraId="6F820C89" w14:textId="2EEDF7C3"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13 293</w:t>
            </w:r>
          </w:p>
        </w:tc>
        <w:tc>
          <w:tcPr>
            <w:tcW w:w="1418" w:type="dxa"/>
            <w:tcBorders>
              <w:left w:val="nil"/>
              <w:bottom w:val="single" w:sz="8" w:space="0" w:color="0077BD"/>
              <w:right w:val="single" w:sz="8" w:space="0" w:color="0077BD"/>
            </w:tcBorders>
            <w:shd w:val="clear" w:color="auto" w:fill="auto"/>
            <w:vAlign w:val="center"/>
            <w:hideMark/>
          </w:tcPr>
          <w:p w14:paraId="6B27C70C" w14:textId="09309F2E"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left w:val="nil"/>
              <w:bottom w:val="single" w:sz="8" w:space="0" w:color="0077BD"/>
              <w:right w:val="single" w:sz="8" w:space="0" w:color="0077BD"/>
            </w:tcBorders>
            <w:shd w:val="clear" w:color="auto" w:fill="auto"/>
            <w:vAlign w:val="center"/>
            <w:hideMark/>
          </w:tcPr>
          <w:p w14:paraId="700C0B1F" w14:textId="17AE0DF9"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15 396</w:t>
            </w:r>
          </w:p>
        </w:tc>
        <w:tc>
          <w:tcPr>
            <w:tcW w:w="1418" w:type="dxa"/>
            <w:tcBorders>
              <w:left w:val="nil"/>
              <w:bottom w:val="single" w:sz="8" w:space="0" w:color="0077BD"/>
              <w:right w:val="nil"/>
            </w:tcBorders>
            <w:shd w:val="clear" w:color="auto" w:fill="auto"/>
            <w:vAlign w:val="center"/>
            <w:hideMark/>
          </w:tcPr>
          <w:p w14:paraId="19139688" w14:textId="36398A07"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r w:rsidR="00615109" w:rsidRPr="00BB7C9E" w14:paraId="37CAD0E7" w14:textId="77777777" w:rsidTr="00092AB6">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6F4F7983"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Przyznane w danym okresie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56F58E19" w14:textId="079FA081" w:rsidR="00615109" w:rsidRPr="00BB7C9E" w:rsidRDefault="00E27E99" w:rsidP="006055E5">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25594A7F" w14:textId="5D3415E2"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6D8BB5D0" w14:textId="382D2683"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11 423</w:t>
            </w:r>
          </w:p>
        </w:tc>
        <w:tc>
          <w:tcPr>
            <w:tcW w:w="1418" w:type="dxa"/>
            <w:tcBorders>
              <w:top w:val="nil"/>
              <w:left w:val="nil"/>
              <w:bottom w:val="single" w:sz="4" w:space="0" w:color="0077BD"/>
              <w:right w:val="nil"/>
            </w:tcBorders>
            <w:shd w:val="clear" w:color="auto" w:fill="auto"/>
            <w:vAlign w:val="center"/>
            <w:hideMark/>
          </w:tcPr>
          <w:p w14:paraId="23CAD7F0" w14:textId="13A40784"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2A015D38" w14:textId="77777777" w:rsidTr="00092AB6">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7ABD0907"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Umorzone w danym okresie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41104CF3" w14:textId="2978375F" w:rsidR="00615109" w:rsidRPr="00BB7C9E" w:rsidRDefault="00E27E99" w:rsidP="006055E5">
            <w:pPr>
              <w:jc w:val="right"/>
              <w:rPr>
                <w:rFonts w:cs="Calibri"/>
                <w:color w:val="000000" w:themeColor="text1"/>
                <w:sz w:val="13"/>
                <w:szCs w:val="13"/>
              </w:rPr>
            </w:pPr>
            <w:r w:rsidRPr="00BB7C9E">
              <w:rPr>
                <w:rFonts w:cs="Calibri"/>
                <w:color w:val="000000" w:themeColor="text1"/>
                <w:sz w:val="13"/>
                <w:szCs w:val="13"/>
              </w:rPr>
              <w:t>342</w:t>
            </w:r>
          </w:p>
        </w:tc>
        <w:tc>
          <w:tcPr>
            <w:tcW w:w="1418" w:type="dxa"/>
            <w:tcBorders>
              <w:top w:val="nil"/>
              <w:left w:val="nil"/>
              <w:bottom w:val="single" w:sz="4" w:space="0" w:color="0077BD"/>
              <w:right w:val="single" w:sz="8" w:space="0" w:color="0077BD"/>
            </w:tcBorders>
            <w:shd w:val="clear" w:color="auto" w:fill="auto"/>
            <w:vAlign w:val="center"/>
            <w:hideMark/>
          </w:tcPr>
          <w:p w14:paraId="2964E669" w14:textId="637A31CB"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single" w:sz="8" w:space="0" w:color="0077BD"/>
            </w:tcBorders>
            <w:shd w:val="clear" w:color="auto" w:fill="auto"/>
            <w:vAlign w:val="center"/>
            <w:hideMark/>
          </w:tcPr>
          <w:p w14:paraId="1EE825B6" w14:textId="486A3CD1"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vAlign w:val="center"/>
            <w:hideMark/>
          </w:tcPr>
          <w:p w14:paraId="4AFB693E" w14:textId="15EB3046"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61A11526" w14:textId="77777777" w:rsidTr="00092AB6">
        <w:trPr>
          <w:trHeight w:val="284"/>
        </w:trPr>
        <w:tc>
          <w:tcPr>
            <w:tcW w:w="3912" w:type="dxa"/>
            <w:tcBorders>
              <w:top w:val="nil"/>
              <w:left w:val="nil"/>
              <w:bottom w:val="single" w:sz="4" w:space="0" w:color="0077BD"/>
              <w:right w:val="single" w:sz="8" w:space="0" w:color="0077BD"/>
            </w:tcBorders>
            <w:shd w:val="clear" w:color="auto" w:fill="auto"/>
            <w:vAlign w:val="center"/>
            <w:hideMark/>
          </w:tcPr>
          <w:p w14:paraId="11620430"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Wykonane w danym okresie*</w:t>
            </w:r>
          </w:p>
        </w:tc>
        <w:tc>
          <w:tcPr>
            <w:tcW w:w="1418" w:type="dxa"/>
            <w:tcBorders>
              <w:top w:val="nil"/>
              <w:left w:val="single" w:sz="8" w:space="0" w:color="0077BD"/>
              <w:bottom w:val="single" w:sz="4" w:space="0" w:color="0077BD"/>
              <w:right w:val="single" w:sz="8" w:space="0" w:color="0077BD"/>
            </w:tcBorders>
            <w:shd w:val="clear" w:color="auto" w:fill="auto"/>
            <w:vAlign w:val="center"/>
          </w:tcPr>
          <w:p w14:paraId="78476CEA" w14:textId="74EE3905" w:rsidR="00615109" w:rsidRPr="00BB7C9E" w:rsidRDefault="00E27E99" w:rsidP="006055E5">
            <w:pPr>
              <w:jc w:val="right"/>
              <w:rPr>
                <w:rFonts w:cs="Calibri"/>
                <w:color w:val="000000" w:themeColor="text1"/>
                <w:sz w:val="13"/>
                <w:szCs w:val="13"/>
              </w:rPr>
            </w:pPr>
            <w:r w:rsidRPr="00BB7C9E">
              <w:rPr>
                <w:rFonts w:cs="Calibri"/>
                <w:color w:val="000000" w:themeColor="text1"/>
                <w:sz w:val="13"/>
                <w:szCs w:val="13"/>
              </w:rPr>
              <w:t>7 366</w:t>
            </w:r>
          </w:p>
        </w:tc>
        <w:tc>
          <w:tcPr>
            <w:tcW w:w="1418" w:type="dxa"/>
            <w:tcBorders>
              <w:top w:val="nil"/>
              <w:left w:val="nil"/>
              <w:bottom w:val="single" w:sz="4" w:space="0" w:color="0077BD"/>
              <w:right w:val="single" w:sz="8" w:space="0" w:color="0077BD"/>
            </w:tcBorders>
            <w:shd w:val="clear" w:color="auto" w:fill="auto"/>
            <w:vAlign w:val="center"/>
            <w:hideMark/>
          </w:tcPr>
          <w:p w14:paraId="672A5826" w14:textId="04157551" w:rsidR="00615109" w:rsidRPr="00BB7C9E" w:rsidRDefault="00923628" w:rsidP="00615109">
            <w:pPr>
              <w:jc w:val="right"/>
              <w:rPr>
                <w:rFonts w:cs="Calibri"/>
                <w:color w:val="000000" w:themeColor="text1"/>
                <w:sz w:val="13"/>
                <w:szCs w:val="13"/>
              </w:rPr>
            </w:pPr>
            <w:r w:rsidRPr="00BB7C9E">
              <w:rPr>
                <w:rFonts w:cs="Calibri"/>
                <w:color w:val="000000" w:themeColor="text1"/>
                <w:sz w:val="13"/>
                <w:szCs w:val="13"/>
              </w:rPr>
              <w:t>4</w:t>
            </w:r>
          </w:p>
        </w:tc>
        <w:tc>
          <w:tcPr>
            <w:tcW w:w="1418" w:type="dxa"/>
            <w:tcBorders>
              <w:top w:val="nil"/>
              <w:left w:val="nil"/>
              <w:bottom w:val="single" w:sz="4" w:space="0" w:color="0077BD"/>
              <w:right w:val="single" w:sz="8" w:space="0" w:color="0077BD"/>
            </w:tcBorders>
            <w:shd w:val="clear" w:color="auto" w:fill="auto"/>
            <w:vAlign w:val="center"/>
            <w:hideMark/>
          </w:tcPr>
          <w:p w14:paraId="5E848F7B" w14:textId="1404A582"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13 526</w:t>
            </w:r>
          </w:p>
        </w:tc>
        <w:tc>
          <w:tcPr>
            <w:tcW w:w="1418" w:type="dxa"/>
            <w:tcBorders>
              <w:top w:val="nil"/>
              <w:left w:val="nil"/>
              <w:bottom w:val="single" w:sz="4" w:space="0" w:color="0077BD"/>
              <w:right w:val="nil"/>
            </w:tcBorders>
            <w:shd w:val="clear" w:color="auto" w:fill="auto"/>
            <w:vAlign w:val="center"/>
            <w:hideMark/>
          </w:tcPr>
          <w:p w14:paraId="1E814E2F" w14:textId="7D3A0D06"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4</w:t>
            </w:r>
          </w:p>
        </w:tc>
      </w:tr>
      <w:tr w:rsidR="00615109" w:rsidRPr="00BB7C9E" w14:paraId="68BA5558"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7BB535DB" w14:textId="77777777" w:rsidR="00615109" w:rsidRPr="00BB7C9E" w:rsidRDefault="00615109" w:rsidP="00615109">
            <w:pPr>
              <w:rPr>
                <w:rFonts w:cs="Calibri"/>
                <w:color w:val="000000" w:themeColor="text1"/>
                <w:sz w:val="13"/>
                <w:szCs w:val="13"/>
              </w:rPr>
            </w:pPr>
            <w:r w:rsidRPr="00BB7C9E">
              <w:rPr>
                <w:rFonts w:cs="Calibri"/>
                <w:color w:val="000000" w:themeColor="text1"/>
                <w:sz w:val="13"/>
                <w:szCs w:val="13"/>
              </w:rPr>
              <w:t>Wygasłe w danym okresie</w:t>
            </w:r>
          </w:p>
        </w:tc>
        <w:tc>
          <w:tcPr>
            <w:tcW w:w="1418" w:type="dxa"/>
            <w:tcBorders>
              <w:top w:val="nil"/>
              <w:left w:val="single" w:sz="8" w:space="0" w:color="0077BD"/>
              <w:bottom w:val="single" w:sz="8" w:space="0" w:color="0077BD"/>
              <w:right w:val="single" w:sz="8" w:space="0" w:color="0077BD"/>
            </w:tcBorders>
            <w:shd w:val="clear" w:color="auto" w:fill="auto"/>
            <w:vAlign w:val="center"/>
            <w:hideMark/>
          </w:tcPr>
          <w:p w14:paraId="71E017B4" w14:textId="6136FBD0"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3CFA4C0D" w14:textId="33C7FFCA"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69446BB5" w14:textId="6E3F91EC"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c>
          <w:tcPr>
            <w:tcW w:w="1418" w:type="dxa"/>
            <w:tcBorders>
              <w:top w:val="nil"/>
              <w:left w:val="nil"/>
              <w:bottom w:val="single" w:sz="8" w:space="0" w:color="0077BD"/>
              <w:right w:val="nil"/>
            </w:tcBorders>
            <w:shd w:val="clear" w:color="auto" w:fill="auto"/>
            <w:vAlign w:val="center"/>
            <w:hideMark/>
          </w:tcPr>
          <w:p w14:paraId="00E4E88F" w14:textId="55C5D386" w:rsidR="00615109" w:rsidRPr="00BB7C9E" w:rsidRDefault="00615109" w:rsidP="00615109">
            <w:pPr>
              <w:jc w:val="right"/>
              <w:rPr>
                <w:rFonts w:cs="Calibri"/>
                <w:color w:val="000000" w:themeColor="text1"/>
                <w:sz w:val="13"/>
                <w:szCs w:val="13"/>
              </w:rPr>
            </w:pPr>
            <w:r w:rsidRPr="00BB7C9E">
              <w:rPr>
                <w:rFonts w:cs="Calibri"/>
                <w:color w:val="000000" w:themeColor="text1"/>
                <w:sz w:val="13"/>
                <w:szCs w:val="13"/>
              </w:rPr>
              <w:t>-</w:t>
            </w:r>
          </w:p>
        </w:tc>
      </w:tr>
      <w:tr w:rsidR="00615109" w:rsidRPr="00BB7C9E" w14:paraId="19B871F4"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4F68EEEE"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Występujące na koniec okresu</w:t>
            </w:r>
          </w:p>
        </w:tc>
        <w:tc>
          <w:tcPr>
            <w:tcW w:w="1418" w:type="dxa"/>
            <w:tcBorders>
              <w:top w:val="nil"/>
              <w:left w:val="single" w:sz="8" w:space="0" w:color="0077BD"/>
              <w:bottom w:val="single" w:sz="8" w:space="0" w:color="0077BD"/>
              <w:right w:val="single" w:sz="8" w:space="0" w:color="0077BD"/>
            </w:tcBorders>
            <w:shd w:val="clear" w:color="auto" w:fill="auto"/>
            <w:vAlign w:val="center"/>
            <w:hideMark/>
          </w:tcPr>
          <w:p w14:paraId="07A2FD3A" w14:textId="66C65939" w:rsidR="00615109" w:rsidRPr="00BB7C9E" w:rsidRDefault="00E27E99" w:rsidP="00615109">
            <w:pPr>
              <w:jc w:val="right"/>
              <w:rPr>
                <w:rFonts w:cs="Calibri"/>
                <w:b/>
                <w:bCs/>
                <w:color w:val="000000" w:themeColor="text1"/>
                <w:sz w:val="13"/>
                <w:szCs w:val="13"/>
              </w:rPr>
            </w:pPr>
            <w:r w:rsidRPr="00BB7C9E">
              <w:rPr>
                <w:rFonts w:cs="Calibri"/>
                <w:b/>
                <w:bCs/>
                <w:color w:val="000000" w:themeColor="text1"/>
                <w:sz w:val="13"/>
                <w:szCs w:val="13"/>
              </w:rPr>
              <w:t>5 585</w:t>
            </w:r>
          </w:p>
        </w:tc>
        <w:tc>
          <w:tcPr>
            <w:tcW w:w="1418" w:type="dxa"/>
            <w:tcBorders>
              <w:top w:val="nil"/>
              <w:left w:val="nil"/>
              <w:bottom w:val="single" w:sz="8" w:space="0" w:color="0077BD"/>
              <w:right w:val="single" w:sz="8" w:space="0" w:color="0077BD"/>
            </w:tcBorders>
            <w:shd w:val="clear" w:color="auto" w:fill="auto"/>
            <w:vAlign w:val="center"/>
            <w:hideMark/>
          </w:tcPr>
          <w:p w14:paraId="12D9489B" w14:textId="0FD96EEA"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34C30E11" w14:textId="2016CF56"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13 293</w:t>
            </w:r>
          </w:p>
        </w:tc>
        <w:tc>
          <w:tcPr>
            <w:tcW w:w="1418" w:type="dxa"/>
            <w:tcBorders>
              <w:top w:val="nil"/>
              <w:left w:val="nil"/>
              <w:bottom w:val="single" w:sz="8" w:space="0" w:color="0077BD"/>
              <w:right w:val="nil"/>
            </w:tcBorders>
            <w:shd w:val="clear" w:color="auto" w:fill="auto"/>
            <w:vAlign w:val="center"/>
            <w:hideMark/>
          </w:tcPr>
          <w:p w14:paraId="39FF7F03" w14:textId="3CFA00E8"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r w:rsidR="00615109" w:rsidRPr="00BB7C9E" w14:paraId="41E4048D" w14:textId="77777777" w:rsidTr="0052067A">
        <w:trPr>
          <w:trHeight w:val="284"/>
        </w:trPr>
        <w:tc>
          <w:tcPr>
            <w:tcW w:w="3912" w:type="dxa"/>
            <w:tcBorders>
              <w:top w:val="nil"/>
              <w:left w:val="nil"/>
              <w:bottom w:val="single" w:sz="8" w:space="0" w:color="0077BD"/>
              <w:right w:val="single" w:sz="8" w:space="0" w:color="0077BD"/>
            </w:tcBorders>
            <w:shd w:val="clear" w:color="auto" w:fill="auto"/>
            <w:vAlign w:val="center"/>
            <w:hideMark/>
          </w:tcPr>
          <w:p w14:paraId="53F86BA4" w14:textId="77777777" w:rsidR="00615109" w:rsidRPr="00BB7C9E" w:rsidRDefault="00615109" w:rsidP="00615109">
            <w:pPr>
              <w:rPr>
                <w:rFonts w:cs="Calibri"/>
                <w:b/>
                <w:bCs/>
                <w:color w:val="000000" w:themeColor="text1"/>
                <w:sz w:val="13"/>
                <w:szCs w:val="13"/>
              </w:rPr>
            </w:pPr>
            <w:r w:rsidRPr="00BB7C9E">
              <w:rPr>
                <w:rFonts w:cs="Calibri"/>
                <w:b/>
                <w:bCs/>
                <w:color w:val="000000" w:themeColor="text1"/>
                <w:sz w:val="13"/>
                <w:szCs w:val="13"/>
              </w:rPr>
              <w:t>Możliwe do wykonania na koniec okresu</w:t>
            </w:r>
          </w:p>
        </w:tc>
        <w:tc>
          <w:tcPr>
            <w:tcW w:w="1418" w:type="dxa"/>
            <w:tcBorders>
              <w:top w:val="nil"/>
              <w:left w:val="single" w:sz="8" w:space="0" w:color="0077BD"/>
              <w:bottom w:val="single" w:sz="8" w:space="0" w:color="0077BD"/>
              <w:right w:val="single" w:sz="8" w:space="0" w:color="0077BD"/>
            </w:tcBorders>
            <w:shd w:val="clear" w:color="auto" w:fill="auto"/>
            <w:vAlign w:val="center"/>
            <w:hideMark/>
          </w:tcPr>
          <w:p w14:paraId="7C464FC9" w14:textId="00974BDE"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306FD0B9" w14:textId="6AA3E4F8"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single" w:sz="8" w:space="0" w:color="0077BD"/>
            </w:tcBorders>
            <w:shd w:val="clear" w:color="auto" w:fill="auto"/>
            <w:vAlign w:val="center"/>
            <w:hideMark/>
          </w:tcPr>
          <w:p w14:paraId="4CA7290A" w14:textId="437E6791"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c>
          <w:tcPr>
            <w:tcW w:w="1418" w:type="dxa"/>
            <w:tcBorders>
              <w:top w:val="nil"/>
              <w:left w:val="nil"/>
              <w:bottom w:val="single" w:sz="8" w:space="0" w:color="0077BD"/>
              <w:right w:val="nil"/>
            </w:tcBorders>
            <w:shd w:val="clear" w:color="auto" w:fill="auto"/>
            <w:vAlign w:val="center"/>
            <w:hideMark/>
          </w:tcPr>
          <w:p w14:paraId="43DE4AAF" w14:textId="430ECFD2" w:rsidR="00615109" w:rsidRPr="00BB7C9E" w:rsidRDefault="00615109" w:rsidP="00615109">
            <w:pPr>
              <w:jc w:val="right"/>
              <w:rPr>
                <w:rFonts w:cs="Calibri"/>
                <w:b/>
                <w:bCs/>
                <w:color w:val="000000" w:themeColor="text1"/>
                <w:sz w:val="13"/>
                <w:szCs w:val="13"/>
              </w:rPr>
            </w:pPr>
            <w:r w:rsidRPr="00BB7C9E">
              <w:rPr>
                <w:rFonts w:cs="Calibri"/>
                <w:b/>
                <w:bCs/>
                <w:color w:val="000000" w:themeColor="text1"/>
                <w:sz w:val="13"/>
                <w:szCs w:val="13"/>
              </w:rPr>
              <w:t>-</w:t>
            </w:r>
          </w:p>
        </w:tc>
      </w:tr>
    </w:tbl>
    <w:p w14:paraId="75EDE83B" w14:textId="725E9004" w:rsidR="003626C9" w:rsidRPr="00BB7C9E" w:rsidRDefault="003626C9" w:rsidP="00615109">
      <w:pPr>
        <w:suppressAutoHyphens/>
        <w:spacing w:before="120"/>
        <w:jc w:val="both"/>
        <w:rPr>
          <w:rFonts w:eastAsia="Calibri"/>
          <w:color w:val="000000" w:themeColor="text1"/>
          <w:sz w:val="18"/>
          <w:szCs w:val="18"/>
        </w:rPr>
      </w:pPr>
      <w:r w:rsidRPr="00BB7C9E">
        <w:rPr>
          <w:rFonts w:eastAsia="Calibri"/>
          <w:color w:val="000000" w:themeColor="text1"/>
          <w:sz w:val="18"/>
          <w:szCs w:val="18"/>
        </w:rPr>
        <w:t>*Średnia</w:t>
      </w:r>
      <w:r w:rsidR="00615109" w:rsidRPr="00BB7C9E">
        <w:rPr>
          <w:rFonts w:eastAsia="Calibri"/>
          <w:color w:val="000000" w:themeColor="text1"/>
          <w:sz w:val="18"/>
          <w:szCs w:val="18"/>
        </w:rPr>
        <w:t xml:space="preserve"> ważona cena akcji w roku 2019</w:t>
      </w:r>
      <w:r w:rsidRPr="00BB7C9E">
        <w:rPr>
          <w:rFonts w:eastAsia="Calibri"/>
          <w:color w:val="000000" w:themeColor="text1"/>
          <w:sz w:val="18"/>
          <w:szCs w:val="18"/>
        </w:rPr>
        <w:t xml:space="preserve"> wyniosła </w:t>
      </w:r>
      <w:r w:rsidR="003E2B9A" w:rsidRPr="00BB7C9E">
        <w:rPr>
          <w:rFonts w:eastAsia="Calibri"/>
          <w:color w:val="000000" w:themeColor="text1"/>
          <w:sz w:val="18"/>
          <w:szCs w:val="18"/>
        </w:rPr>
        <w:t>388</w:t>
      </w:r>
      <w:r w:rsidR="00615109" w:rsidRPr="00BB7C9E">
        <w:rPr>
          <w:rFonts w:eastAsia="Calibri"/>
          <w:color w:val="000000" w:themeColor="text1"/>
          <w:sz w:val="18"/>
          <w:szCs w:val="18"/>
        </w:rPr>
        <w:t>,</w:t>
      </w:r>
      <w:r w:rsidR="003E2B9A" w:rsidRPr="00BB7C9E">
        <w:rPr>
          <w:rFonts w:eastAsia="Calibri"/>
          <w:color w:val="000000" w:themeColor="text1"/>
          <w:sz w:val="18"/>
          <w:szCs w:val="18"/>
        </w:rPr>
        <w:t>23</w:t>
      </w:r>
      <w:r w:rsidR="00AC25CE">
        <w:rPr>
          <w:rFonts w:eastAsia="Calibri"/>
          <w:color w:val="000000" w:themeColor="text1"/>
          <w:sz w:val="18"/>
          <w:szCs w:val="18"/>
        </w:rPr>
        <w:t xml:space="preserve"> zł (2018 rok</w:t>
      </w:r>
      <w:r w:rsidR="00615109" w:rsidRPr="00BB7C9E">
        <w:rPr>
          <w:rFonts w:eastAsia="Calibri"/>
          <w:color w:val="000000" w:themeColor="text1"/>
          <w:sz w:val="18"/>
          <w:szCs w:val="18"/>
        </w:rPr>
        <w:t xml:space="preserve"> – 430</w:t>
      </w:r>
      <w:r w:rsidRPr="00BB7C9E">
        <w:rPr>
          <w:rFonts w:eastAsia="Calibri"/>
          <w:color w:val="000000" w:themeColor="text1"/>
          <w:sz w:val="18"/>
          <w:szCs w:val="18"/>
        </w:rPr>
        <w:t>,</w:t>
      </w:r>
      <w:r w:rsidR="00615109" w:rsidRPr="00BB7C9E">
        <w:rPr>
          <w:rFonts w:eastAsia="Calibri"/>
          <w:color w:val="000000" w:themeColor="text1"/>
          <w:sz w:val="18"/>
          <w:szCs w:val="18"/>
        </w:rPr>
        <w:t>59</w:t>
      </w:r>
      <w:r w:rsidRPr="00BB7C9E">
        <w:rPr>
          <w:rFonts w:eastAsia="Calibri"/>
          <w:color w:val="000000" w:themeColor="text1"/>
          <w:sz w:val="18"/>
          <w:szCs w:val="18"/>
        </w:rPr>
        <w:t xml:space="preserve"> zł).</w:t>
      </w:r>
    </w:p>
    <w:p w14:paraId="42F3276E" w14:textId="4AD9AC14" w:rsidR="003626C9" w:rsidRPr="00BB7C9E" w:rsidRDefault="003626C9" w:rsidP="00615109">
      <w:pPr>
        <w:suppressAutoHyphens/>
        <w:spacing w:before="240"/>
        <w:jc w:val="both"/>
        <w:rPr>
          <w:rFonts w:eastAsia="Calibri"/>
          <w:b/>
          <w:color w:val="000000" w:themeColor="text1"/>
          <w:sz w:val="18"/>
          <w:szCs w:val="18"/>
          <w:u w:val="single"/>
        </w:rPr>
      </w:pPr>
      <w:r w:rsidRPr="00BB7C9E">
        <w:rPr>
          <w:rFonts w:eastAsia="Calibri"/>
          <w:b/>
          <w:color w:val="000000" w:themeColor="text1"/>
          <w:sz w:val="18"/>
          <w:szCs w:val="18"/>
          <w:u w:val="single"/>
        </w:rPr>
        <w:t>Program motywacyjny z 2018 roku dla Członków Zarządu i kluczowej kadry Grupy mBanku – pracowników mających wpływ na profil ryzyka mBanku</w:t>
      </w:r>
    </w:p>
    <w:p w14:paraId="053C7484" w14:textId="697707C7" w:rsidR="003626C9" w:rsidRPr="00BB7C9E" w:rsidRDefault="0018689B" w:rsidP="003626C9">
      <w:pPr>
        <w:suppressAutoHyphens/>
        <w:spacing w:before="120"/>
        <w:jc w:val="both"/>
        <w:rPr>
          <w:rFonts w:cs="Tahoma"/>
          <w:color w:val="000000" w:themeColor="text1"/>
          <w:sz w:val="18"/>
          <w:szCs w:val="18"/>
        </w:rPr>
      </w:pPr>
      <w:r w:rsidRPr="00BB7C9E">
        <w:rPr>
          <w:rFonts w:cs="Tahoma"/>
          <w:color w:val="000000" w:themeColor="text1"/>
          <w:sz w:val="18"/>
          <w:szCs w:val="18"/>
        </w:rPr>
        <w:t>W dniu 7 czerwca</w:t>
      </w:r>
      <w:r w:rsidR="003626C9" w:rsidRPr="00BB7C9E">
        <w:rPr>
          <w:rFonts w:cs="Tahoma"/>
          <w:color w:val="000000" w:themeColor="text1"/>
          <w:sz w:val="18"/>
          <w:szCs w:val="18"/>
        </w:rPr>
        <w:t xml:space="preserve"> 2018 roku Rada Nadzorcza zgodnie z rekomendacją Komisji ds. Wynagrodzeń Rady Nadzorczej i decyzją Zwyczajnego Walnego Zgr</w:t>
      </w:r>
      <w:r w:rsidRPr="00BB7C9E">
        <w:rPr>
          <w:rFonts w:cs="Tahoma"/>
          <w:color w:val="000000" w:themeColor="text1"/>
          <w:sz w:val="18"/>
          <w:szCs w:val="18"/>
        </w:rPr>
        <w:t>omadzenia mBanku S.A. z dnia 9</w:t>
      </w:r>
      <w:r w:rsidR="003626C9" w:rsidRPr="00BB7C9E">
        <w:rPr>
          <w:rFonts w:cs="Tahoma"/>
          <w:color w:val="000000" w:themeColor="text1"/>
          <w:sz w:val="18"/>
          <w:szCs w:val="18"/>
        </w:rPr>
        <w:t xml:space="preserve"> maja 2018 roku, uchwaliła Regulamin Programu Motywacyjnego w spółce mBank S.A.</w:t>
      </w:r>
    </w:p>
    <w:p w14:paraId="7B4E9F5A" w14:textId="506B4B6B"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Program motywacyjny zastąpił istniejące programy</w:t>
      </w:r>
      <w:r w:rsidR="00905D9F" w:rsidRPr="00BB7C9E">
        <w:rPr>
          <w:rFonts w:cs="Tahoma"/>
          <w:color w:val="000000" w:themeColor="text1"/>
          <w:sz w:val="18"/>
          <w:szCs w:val="18"/>
        </w:rPr>
        <w:t>, tj.</w:t>
      </w:r>
      <w:r w:rsidRPr="00BB7C9E">
        <w:rPr>
          <w:rFonts w:cs="Tahoma"/>
          <w:color w:val="000000" w:themeColor="text1"/>
          <w:sz w:val="18"/>
          <w:szCs w:val="18"/>
        </w:rPr>
        <w:t xml:space="preserve"> program pracowniczy wprowadzony na podstawie uchwały Nadzwyczajnego Walnego Zgromadzenia mBanku S.A. z dnia 27 października 2008 roku, z uwzględnieniem późniejszych zmian, oraz program dla Członków Zarządu wprowadzony na podstawie uchwały Zwyczajnego Walnego Zgromadzenia mBanku S.A. z dnia 14 marca 2008 roku, z późniejszymi zmianami. Przy czym prawa z obligacji nabytych w ramach istniejących programów będą realizowane na</w:t>
      </w:r>
      <w:r w:rsidR="009632C9">
        <w:rPr>
          <w:rFonts w:cs="Tahoma"/>
          <w:color w:val="000000" w:themeColor="text1"/>
          <w:sz w:val="18"/>
          <w:szCs w:val="18"/>
        </w:rPr>
        <w:t> </w:t>
      </w:r>
      <w:r w:rsidRPr="00BB7C9E">
        <w:rPr>
          <w:rFonts w:cs="Tahoma"/>
          <w:color w:val="000000" w:themeColor="text1"/>
          <w:sz w:val="18"/>
          <w:szCs w:val="18"/>
        </w:rPr>
        <w:t xml:space="preserve">zasadach określonych w tych programach. </w:t>
      </w:r>
    </w:p>
    <w:p w14:paraId="124430C4"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 xml:space="preserve">Nowy program będzie realizowany od 1 stycznia 2018 roku do 31 grudnia 2028 roku. Osobami uprawnionymi do udziału w programie są osoby zajmujące stanowiska zidentyfikowane jako mające istotny wpływ na profil ryzyka Banku zgodnie z polityką identyfikacji Risk Taker, określone jako Risk Taker I lub Risk Taker II, z wyłączeniem Risk Takers II – Członków Zarządu spółki mBank Hipoteczny S.A., w której realizowany jest inny program motywacyjny. </w:t>
      </w:r>
    </w:p>
    <w:p w14:paraId="5D0F866D"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Risk Taker I oznacza Członka Zarządu Banku. Risk Taker II oznacza pracownika zajmującego stanowisko zidentyfikowane jako mające istotny wpływ na profil ryzyka Banku zgodnie z polityką identyfikacji Risk Takers, w tym również osobę sprawującą funkcję Członka Zarządu w podmiocie z Grupy mBanku.</w:t>
      </w:r>
    </w:p>
    <w:p w14:paraId="37A4D86B"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 xml:space="preserve">Na warunkach określonych w Regulaminie i </w:t>
      </w:r>
      <w:r w:rsidRPr="00BB7C9E">
        <w:rPr>
          <w:rFonts w:eastAsia="Calibri"/>
          <w:color w:val="000000" w:themeColor="text1"/>
          <w:sz w:val="18"/>
          <w:szCs w:val="18"/>
        </w:rPr>
        <w:t>Polityce Wynagradzania Risk Takers,</w:t>
      </w:r>
      <w:r w:rsidRPr="00BB7C9E">
        <w:rPr>
          <w:rFonts w:cs="Tahoma"/>
          <w:color w:val="000000" w:themeColor="text1"/>
          <w:sz w:val="18"/>
          <w:szCs w:val="18"/>
        </w:rPr>
        <w:t xml:space="preserve"> Risk Takers będą mogli objąć nieodpłatnie Warranty, a w wykonaniu praw z Warrantów – Akcje.</w:t>
      </w:r>
    </w:p>
    <w:p w14:paraId="240D340D" w14:textId="4B07AD86" w:rsidR="007C3CF8" w:rsidRDefault="007C3CF8">
      <w:pPr>
        <w:rPr>
          <w:rFonts w:eastAsia="Calibri"/>
          <w:b/>
          <w:color w:val="000000" w:themeColor="text1"/>
          <w:sz w:val="18"/>
          <w:szCs w:val="18"/>
        </w:rPr>
      </w:pPr>
      <w:r>
        <w:rPr>
          <w:rFonts w:eastAsia="Calibri"/>
          <w:b/>
          <w:color w:val="000000" w:themeColor="text1"/>
          <w:sz w:val="18"/>
          <w:szCs w:val="18"/>
        </w:rPr>
        <w:br w:type="page"/>
      </w:r>
    </w:p>
    <w:p w14:paraId="4A0F4C06" w14:textId="2869D121" w:rsidR="003626C9" w:rsidRPr="00BB7C9E" w:rsidRDefault="003626C9" w:rsidP="003626C9">
      <w:pPr>
        <w:spacing w:before="120" w:after="120"/>
        <w:jc w:val="both"/>
        <w:rPr>
          <w:rFonts w:eastAsia="Calibri"/>
          <w:b/>
          <w:color w:val="000000" w:themeColor="text1"/>
          <w:sz w:val="18"/>
          <w:szCs w:val="18"/>
        </w:rPr>
      </w:pPr>
      <w:r w:rsidRPr="00BB7C9E">
        <w:rPr>
          <w:rFonts w:eastAsia="Calibri"/>
          <w:b/>
          <w:color w:val="000000" w:themeColor="text1"/>
          <w:sz w:val="18"/>
          <w:szCs w:val="18"/>
        </w:rPr>
        <w:lastRenderedPageBreak/>
        <w:t>Bonus dla Risk Taker I</w:t>
      </w:r>
    </w:p>
    <w:p w14:paraId="47E46323"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Rada Nadzorcza ustala wysokość bonusu za dany rok kalendarzowy każdemu Członkowi Zarządu indywidualnie w oparciu o ocenę realizacji wyznaczonych celów MBO w odniesieniu do okresu co najmniej 3 lat, przy czym jego wysokość zależna jest od wysokości puli bonusów. Pula bonusów stanowi sumę kwot bazowych obliczonych dla każdego Członka Zarządu. Kwota bazowa wyliczana jest jako krotność wynagrodzenia zasadniczego, która uzależniona jest od poziomu Economic Profit (EP), przy czym EP liczony jest za okres 3 lat zgodnie z zasadami określonymi w Polityce Wynagradzania Risk Takers. </w:t>
      </w:r>
    </w:p>
    <w:p w14:paraId="1FBC1134"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Bonus składa się z części nieodroczonej stanowiącej 40% bonusu i części odroczonej stanowiącej 60% bonusu. </w:t>
      </w:r>
    </w:p>
    <w:p w14:paraId="0CECC96B"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Część odroczona i nieodroczona dzieli się po połowie na część gotówkową (50%) i część wypłacaną w postaci warrantów subskrypcyjnych (50%). Część nieodroczona gotówkowa podlega wypłacie w roku przyznania premii. Druga połowa części nieodroczonej (50%) jest wypłacana w postaci warrantów subskrypcyjnych, nie wcześniej niż po upływie 12 miesięcy od daty </w:t>
      </w:r>
      <w:r w:rsidRPr="00BB7C9E">
        <w:rPr>
          <w:rFonts w:cs="Tahoma"/>
          <w:color w:val="000000" w:themeColor="text1"/>
          <w:sz w:val="18"/>
          <w:szCs w:val="18"/>
        </w:rPr>
        <w:t>Zwyczajnego Walnego Zgromadzenia mBanku S.A.</w:t>
      </w:r>
      <w:r w:rsidRPr="00BB7C9E">
        <w:rPr>
          <w:rFonts w:eastAsia="Calibri"/>
          <w:color w:val="000000" w:themeColor="text1"/>
          <w:sz w:val="18"/>
          <w:szCs w:val="18"/>
          <w:lang w:eastAsia="en-US"/>
        </w:rPr>
        <w:t xml:space="preserve"> </w:t>
      </w:r>
    </w:p>
    <w:p w14:paraId="72F7B2F5" w14:textId="7064CA0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Część odroczona</w:t>
      </w:r>
      <w:r w:rsidR="00905D9F" w:rsidRPr="00BB7C9E">
        <w:rPr>
          <w:rFonts w:eastAsia="Calibri"/>
          <w:color w:val="000000" w:themeColor="text1"/>
          <w:sz w:val="18"/>
          <w:szCs w:val="18"/>
          <w:lang w:eastAsia="en-US"/>
        </w:rPr>
        <w:t>,</w:t>
      </w:r>
      <w:r w:rsidRPr="00BB7C9E">
        <w:rPr>
          <w:rFonts w:eastAsia="Calibri"/>
          <w:color w:val="000000" w:themeColor="text1"/>
          <w:sz w:val="18"/>
          <w:szCs w:val="18"/>
          <w:lang w:eastAsia="en-US"/>
        </w:rPr>
        <w:t xml:space="preserve"> zarówno gotówkowa jak i część wypłacana w postaci warrantów subskrypcyjnych, podlega wypłacie w 5 równych rocznych transzach. W każdej z transz część gotówkowa jest wypłacana po zatwierdzeniu skonsolidowanego sprawozdania finansowego Grupy mBanku za poprzedni rok kalendarzowy, a część wypłacana w postaci warrantów subskrypcyjnych, nie wcześniej niż po upływie 12 miesięcy od daty zatwierdzenia skonsolidowanego sprawozdania finansowego.</w:t>
      </w:r>
    </w:p>
    <w:p w14:paraId="23995DD6" w14:textId="5D67B462" w:rsidR="003626C9" w:rsidRPr="00BB7C9E" w:rsidRDefault="003626C9" w:rsidP="003626C9">
      <w:pPr>
        <w:spacing w:after="160" w:line="259" w:lineRule="auto"/>
        <w:jc w:val="both"/>
        <w:rPr>
          <w:rFonts w:eastAsia="Calibri"/>
          <w:b/>
          <w:color w:val="000000" w:themeColor="text1"/>
          <w:sz w:val="18"/>
          <w:szCs w:val="18"/>
        </w:rPr>
      </w:pPr>
      <w:r w:rsidRPr="00BB7C9E">
        <w:rPr>
          <w:rFonts w:eastAsia="Calibri"/>
          <w:b/>
          <w:color w:val="000000" w:themeColor="text1"/>
          <w:sz w:val="18"/>
          <w:szCs w:val="18"/>
        </w:rPr>
        <w:t>Bonus dla Risk Taker II</w:t>
      </w:r>
    </w:p>
    <w:p w14:paraId="4DB1A5E5" w14:textId="6A85ED5F" w:rsidR="003626C9" w:rsidRPr="00BB7C9E" w:rsidRDefault="003626C9" w:rsidP="003626C9">
      <w:pPr>
        <w:suppressAutoHyphens/>
        <w:spacing w:before="120"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Wysokość bonusu za dany rok kalendarzowy ustala </w:t>
      </w:r>
      <w:r w:rsidR="001676E3" w:rsidRPr="00BB7C9E">
        <w:rPr>
          <w:rFonts w:eastAsia="Calibri"/>
          <w:color w:val="000000" w:themeColor="text1"/>
          <w:sz w:val="18"/>
          <w:szCs w:val="18"/>
          <w:lang w:eastAsia="en-US"/>
        </w:rPr>
        <w:t>Zarząd Banku w odniesieniu do Risk Taker’a II (pracownika Banku) lub Rada Nadzorcza spółki w odniesieniu do Risk Taker’a II (Członka Zarządu spółki z</w:t>
      </w:r>
      <w:r w:rsidR="009632C9">
        <w:rPr>
          <w:rFonts w:eastAsia="Calibri"/>
          <w:color w:val="000000" w:themeColor="text1"/>
          <w:sz w:val="18"/>
          <w:szCs w:val="18"/>
          <w:lang w:eastAsia="en-US"/>
        </w:rPr>
        <w:t> </w:t>
      </w:r>
      <w:r w:rsidR="001676E3" w:rsidRPr="00BB7C9E">
        <w:rPr>
          <w:rFonts w:eastAsia="Calibri"/>
          <w:color w:val="000000" w:themeColor="text1"/>
          <w:sz w:val="18"/>
          <w:szCs w:val="18"/>
          <w:lang w:eastAsia="en-US"/>
        </w:rPr>
        <w:t xml:space="preserve">Grupy mBanku) </w:t>
      </w:r>
      <w:r w:rsidRPr="00BB7C9E">
        <w:rPr>
          <w:rFonts w:eastAsia="Calibri"/>
          <w:color w:val="000000" w:themeColor="text1"/>
          <w:sz w:val="18"/>
          <w:szCs w:val="18"/>
          <w:lang w:eastAsia="en-US"/>
        </w:rPr>
        <w:t>w oparciu o: ocenę realizacji wyznaczonych celów MBO z trzech ostatnich lat kalendarzowych, wynik Economic Profit Grupy mBanku oraz odpowiednio wynik linii biznesowej/spółki/</w:t>
      </w:r>
      <w:r w:rsidR="001676E3" w:rsidRPr="00BB7C9E">
        <w:rPr>
          <w:rFonts w:eastAsia="Calibri"/>
          <w:color w:val="000000" w:themeColor="text1"/>
          <w:sz w:val="18"/>
          <w:szCs w:val="18"/>
          <w:lang w:eastAsia="en-US"/>
        </w:rPr>
        <w:t>jednostki organizacyjnej</w:t>
      </w:r>
      <w:r w:rsidRPr="00BB7C9E">
        <w:rPr>
          <w:rFonts w:eastAsia="Calibri"/>
          <w:color w:val="000000" w:themeColor="text1"/>
          <w:sz w:val="18"/>
          <w:szCs w:val="18"/>
          <w:lang w:eastAsia="en-US"/>
        </w:rPr>
        <w:t xml:space="preserve">. </w:t>
      </w:r>
    </w:p>
    <w:p w14:paraId="33362326"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Bonus składa się z części nieodroczonej stanowiącej 60% bonusu i części odroczonej stanowiącej 40% bonusu. </w:t>
      </w:r>
    </w:p>
    <w:p w14:paraId="3EEF444B"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Część odroczona i nieodroczona dzieli się po połowie na część gotówkową (50%) i część wypłacaną w postaci warrantów subskrypcyjnych (50%). Część nieodroczona gotówkowa podlega wypłacie w roku przyznania premii. Druga połowa części nieodroczonej (50%) jest wypłacana w postaci warrantów subskrypcyjnych, nie wcześniej niż po upływie 12 miesięcy od daty </w:t>
      </w:r>
      <w:r w:rsidRPr="00BB7C9E">
        <w:rPr>
          <w:rFonts w:cs="Tahoma"/>
          <w:color w:val="000000" w:themeColor="text1"/>
          <w:sz w:val="18"/>
          <w:szCs w:val="18"/>
        </w:rPr>
        <w:t>Zwyczajnego Walnego Zgromadzenia mBanku S.A.</w:t>
      </w:r>
      <w:r w:rsidRPr="00BB7C9E">
        <w:rPr>
          <w:rFonts w:eastAsia="Calibri"/>
          <w:color w:val="000000" w:themeColor="text1"/>
          <w:sz w:val="18"/>
          <w:szCs w:val="18"/>
          <w:lang w:eastAsia="en-US"/>
        </w:rPr>
        <w:t xml:space="preserve"> </w:t>
      </w:r>
    </w:p>
    <w:p w14:paraId="7C1BC2C4" w14:textId="5A555567" w:rsidR="003626C9" w:rsidRPr="00BB7C9E" w:rsidRDefault="003626C9" w:rsidP="003626C9">
      <w:pPr>
        <w:suppressAutoHyphens/>
        <w:spacing w:before="120"/>
        <w:jc w:val="both"/>
        <w:rPr>
          <w:rFonts w:cs="Tahoma"/>
          <w:color w:val="000000" w:themeColor="text1"/>
          <w:sz w:val="18"/>
          <w:szCs w:val="18"/>
        </w:rPr>
      </w:pPr>
      <w:r w:rsidRPr="00BB7C9E">
        <w:rPr>
          <w:rFonts w:eastAsia="Calibri"/>
          <w:color w:val="000000" w:themeColor="text1"/>
          <w:sz w:val="18"/>
          <w:szCs w:val="18"/>
          <w:lang w:eastAsia="en-US"/>
        </w:rPr>
        <w:t>Część odroczona</w:t>
      </w:r>
      <w:r w:rsidR="00905D9F" w:rsidRPr="00BB7C9E">
        <w:rPr>
          <w:rFonts w:eastAsia="Calibri"/>
          <w:color w:val="000000" w:themeColor="text1"/>
          <w:sz w:val="18"/>
          <w:szCs w:val="18"/>
          <w:lang w:eastAsia="en-US"/>
        </w:rPr>
        <w:t>,</w:t>
      </w:r>
      <w:r w:rsidRPr="00BB7C9E">
        <w:rPr>
          <w:rFonts w:eastAsia="Calibri"/>
          <w:color w:val="000000" w:themeColor="text1"/>
          <w:sz w:val="18"/>
          <w:szCs w:val="18"/>
          <w:lang w:eastAsia="en-US"/>
        </w:rPr>
        <w:t xml:space="preserve"> zarówno gotówkowa jak i część wypłacana w postaci warrantów subskrypcyjnych, podlega wypłacie w 3 równych rocznych transzach. W każdej z transz część gotówkowa wypłacana jest po</w:t>
      </w:r>
      <w:r w:rsidR="009632C9">
        <w:rPr>
          <w:rFonts w:eastAsia="Calibri"/>
          <w:color w:val="000000" w:themeColor="text1"/>
          <w:sz w:val="18"/>
          <w:szCs w:val="18"/>
          <w:lang w:eastAsia="en-US"/>
        </w:rPr>
        <w:t> </w:t>
      </w:r>
      <w:r w:rsidRPr="00BB7C9E">
        <w:rPr>
          <w:rFonts w:eastAsia="Calibri"/>
          <w:color w:val="000000" w:themeColor="text1"/>
          <w:sz w:val="18"/>
          <w:szCs w:val="18"/>
          <w:lang w:eastAsia="en-US"/>
        </w:rPr>
        <w:t>zatwierdzeniu skonsolidowanego sprawozdania finansowego Grupy mBanku za poprzedni rok kalendarzowy, a część wypłacana w postaci warrantów subskrypcyjnych, nie wcześniej niż po upływie 12 miesięcy od daty zatwierdzenia skonsolidowanego sprawozdania finansowego.</w:t>
      </w:r>
    </w:p>
    <w:p w14:paraId="500BCB05" w14:textId="77777777" w:rsidR="003626C9" w:rsidRPr="00BB7C9E" w:rsidRDefault="003626C9" w:rsidP="003626C9">
      <w:pPr>
        <w:suppressAutoHyphens/>
        <w:spacing w:before="120"/>
        <w:jc w:val="both"/>
        <w:rPr>
          <w:rFonts w:eastAsia="Calibri"/>
          <w:color w:val="000000" w:themeColor="text1"/>
          <w:sz w:val="18"/>
          <w:szCs w:val="18"/>
          <w:lang w:eastAsia="en-US"/>
        </w:rPr>
      </w:pPr>
      <w:r w:rsidRPr="00BB7C9E">
        <w:rPr>
          <w:rFonts w:eastAsia="Calibri"/>
          <w:color w:val="000000" w:themeColor="text1"/>
          <w:sz w:val="18"/>
          <w:szCs w:val="18"/>
          <w:lang w:eastAsia="en-US"/>
        </w:rPr>
        <w:t>W przypadku gdy wysokość bonusu ustalona dla Risk Taker’a II (pracownika Banku) za dany rok kalendarzowy nie przekracza 200 000 zł, bonus może zostać, na podstawie decyzji podjętej przez Zarząd Banku, wypłacony w całości w postaci pieniężnej w formie nieodroczonej.</w:t>
      </w:r>
    </w:p>
    <w:p w14:paraId="6F78555B" w14:textId="0FBC7C8C" w:rsidR="003626C9" w:rsidRPr="00BB7C9E" w:rsidRDefault="003626C9" w:rsidP="003626C9">
      <w:pPr>
        <w:suppressAutoHyphens/>
        <w:spacing w:before="120" w:after="120"/>
        <w:jc w:val="both"/>
        <w:rPr>
          <w:rFonts w:cs="Tahoma"/>
          <w:color w:val="000000" w:themeColor="text1"/>
          <w:sz w:val="18"/>
          <w:szCs w:val="18"/>
        </w:rPr>
      </w:pPr>
      <w:r w:rsidRPr="00BB7C9E">
        <w:rPr>
          <w:rFonts w:eastAsia="Calibri"/>
          <w:color w:val="000000" w:themeColor="text1"/>
          <w:sz w:val="18"/>
          <w:szCs w:val="18"/>
          <w:lang w:eastAsia="en-US"/>
        </w:rPr>
        <w:t>Część odroczona bonusu Risk Taker I i Risk Taker II w zakresie ustalenia oraz wypłaty po</w:t>
      </w:r>
      <w:r w:rsidR="00F629C0" w:rsidRPr="00BB7C9E">
        <w:rPr>
          <w:rFonts w:eastAsia="Calibri"/>
          <w:color w:val="000000" w:themeColor="text1"/>
          <w:sz w:val="18"/>
          <w:szCs w:val="18"/>
          <w:lang w:eastAsia="en-US"/>
        </w:rPr>
        <w:t>d</w:t>
      </w:r>
      <w:r w:rsidRPr="00BB7C9E">
        <w:rPr>
          <w:rFonts w:eastAsia="Calibri"/>
          <w:color w:val="000000" w:themeColor="text1"/>
          <w:sz w:val="18"/>
          <w:szCs w:val="18"/>
          <w:lang w:eastAsia="en-US"/>
        </w:rPr>
        <w:t>lega ocenie.</w:t>
      </w:r>
      <w:r w:rsidRPr="00BB7C9E">
        <w:rPr>
          <w:rFonts w:cs="Tahoma"/>
          <w:color w:val="000000" w:themeColor="text1"/>
          <w:sz w:val="18"/>
          <w:szCs w:val="18"/>
        </w:rPr>
        <w:t xml:space="preserve"> Odpowiednio, Rada Nadzorcza mBanku w stosunku do Risk Taker I, </w:t>
      </w:r>
      <w:r w:rsidRPr="00BB7C9E">
        <w:rPr>
          <w:rFonts w:eastAsia="Calibri"/>
          <w:color w:val="000000" w:themeColor="text1"/>
          <w:sz w:val="18"/>
          <w:szCs w:val="18"/>
          <w:lang w:eastAsia="en-US"/>
        </w:rPr>
        <w:t xml:space="preserve">Zarząd Banku w odniesieniu do Risk Taker II (pracownika Banku) lub Rada Nadzorcza spółki w odniesieniu do Risk Taker II (Członka Zarządu spółki z Grupy mBanku), </w:t>
      </w:r>
      <w:r w:rsidRPr="00BB7C9E">
        <w:rPr>
          <w:rFonts w:cs="Tahoma"/>
          <w:color w:val="000000" w:themeColor="text1"/>
          <w:sz w:val="18"/>
          <w:szCs w:val="18"/>
        </w:rPr>
        <w:t>może podjąć decyzję o wstrzymaniu w całości bądź zmniejszeniu kwoty odroczonej transzy w przypadku gdy stwierdzi, że w dłuższym horyzoncie czasowym niż 1 rok finansowy/obrotowy, tj. za okres co najmniej 3 lat, Risk Taker miał bezpośredni i negatywny wpływ na</w:t>
      </w:r>
      <w:r w:rsidR="009632C9">
        <w:rPr>
          <w:rFonts w:cs="Tahoma"/>
          <w:color w:val="000000" w:themeColor="text1"/>
          <w:sz w:val="18"/>
          <w:szCs w:val="18"/>
        </w:rPr>
        <w:t> </w:t>
      </w:r>
      <w:r w:rsidRPr="00BB7C9E">
        <w:rPr>
          <w:rFonts w:cs="Tahoma"/>
          <w:color w:val="000000" w:themeColor="text1"/>
          <w:sz w:val="18"/>
          <w:szCs w:val="18"/>
        </w:rPr>
        <w:t>wynik finansowy lub pozycję rynkową Banku/Spółki/Grupy, naruszył przyjęte w Grupie zasady i normy, bezpośrednio doprowadził do znaczących strat finansowych, gdy co najmniej jeden z elementów zawartych w karcie wyników nie został spełniony lub zaistniała którakolwiek z przesłanek o której mowa w art. 142 ust. 2 ustawy Prawo Bankowe.</w:t>
      </w:r>
    </w:p>
    <w:p w14:paraId="766F7C64" w14:textId="77777777" w:rsidR="003626C9" w:rsidRPr="00BB7C9E" w:rsidRDefault="003626C9" w:rsidP="003626C9">
      <w:pPr>
        <w:spacing w:after="120"/>
        <w:jc w:val="both"/>
        <w:rPr>
          <w:rFonts w:cs="Tahoma"/>
          <w:color w:val="000000" w:themeColor="text1"/>
          <w:sz w:val="18"/>
          <w:szCs w:val="18"/>
        </w:rPr>
      </w:pPr>
      <w:r w:rsidRPr="00BB7C9E">
        <w:rPr>
          <w:rFonts w:cs="Tahoma"/>
          <w:color w:val="000000" w:themeColor="text1"/>
          <w:sz w:val="18"/>
          <w:szCs w:val="18"/>
        </w:rPr>
        <w:t xml:space="preserve">W przypadku zaistnienia zdarzeń o których mowa powyżej na etapie ustalania wysokości bonusu dla Risk Taker’ów Rada Nadzorcza mBanku/Rada Nadzorcza spółki/Zarząd mBanku, może podjąć decyzję o nieprzyznaniu za dany rok kalendarzowy bonusu w całości lub jego redukcji. </w:t>
      </w:r>
    </w:p>
    <w:p w14:paraId="2E03FDBE" w14:textId="77777777" w:rsidR="003626C9" w:rsidRPr="00BB7C9E" w:rsidRDefault="003626C9" w:rsidP="003626C9">
      <w:pPr>
        <w:suppressAutoHyphens/>
        <w:spacing w:before="120"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Ponadto Risk Taker I i Risk Taker II może zostać zobowiązany na zasadach i w terminie określonym decyzją odpowiednio Rady Nadzorczej mBanku/Rady Nadzorczej spółki z Grupy/Zarząd mBanku, do zwrotu bonusu przyznanego i wypłaconego za dany rok kalendarzowy (tj.: części nieodroczonej i wszystkich części odroczonych), w przypadku gdy naruszył przyjęte w Grupie mBanku zasady i normy, dopuścił się istotnego </w:t>
      </w:r>
      <w:r w:rsidRPr="00BB7C9E">
        <w:rPr>
          <w:rFonts w:eastAsia="Calibri"/>
          <w:color w:val="000000" w:themeColor="text1"/>
          <w:sz w:val="18"/>
          <w:szCs w:val="18"/>
          <w:lang w:eastAsia="en-US"/>
        </w:rPr>
        <w:lastRenderedPageBreak/>
        <w:t>naruszenia powszechnie obowiązujących przepisów prawa lub bezpośrednio doprowadził do znaczących strat finansowych wynikających ze świadomego, negatywnego działania na szkodę Grupy mBanku/Spółki lub doprowadził do nałożenia na Bank/Spółkę przez organy nadzorcze sankcji finansowych na podstawie prawomocnej decyzji.</w:t>
      </w:r>
    </w:p>
    <w:p w14:paraId="6A2A2DC6" w14:textId="4C1D7C93" w:rsidR="003626C9" w:rsidRPr="00BB7C9E" w:rsidRDefault="003626C9" w:rsidP="003626C9">
      <w:pPr>
        <w:spacing w:after="120"/>
        <w:jc w:val="both"/>
        <w:rPr>
          <w:rFonts w:cs="Tahoma"/>
          <w:color w:val="000000" w:themeColor="text1"/>
          <w:sz w:val="18"/>
          <w:szCs w:val="18"/>
        </w:rPr>
      </w:pPr>
      <w:r w:rsidRPr="00BB7C9E">
        <w:rPr>
          <w:rFonts w:cs="Tahoma"/>
          <w:color w:val="000000" w:themeColor="text1"/>
          <w:sz w:val="18"/>
          <w:szCs w:val="18"/>
        </w:rPr>
        <w:t>Decyzja o zaistnieniu wyżej opisanych zdarzeń może zostać podjęta do końca roku kalendarzowego, w którym nastąpi wypłat</w:t>
      </w:r>
      <w:r w:rsidR="00567603" w:rsidRPr="00BB7C9E">
        <w:rPr>
          <w:rFonts w:cs="Tahoma"/>
          <w:color w:val="000000" w:themeColor="text1"/>
          <w:sz w:val="18"/>
          <w:szCs w:val="18"/>
        </w:rPr>
        <w:t>a ostatniej transzy części odro</w:t>
      </w:r>
      <w:r w:rsidRPr="00BB7C9E">
        <w:rPr>
          <w:rFonts w:cs="Tahoma"/>
          <w:color w:val="000000" w:themeColor="text1"/>
          <w:sz w:val="18"/>
          <w:szCs w:val="18"/>
        </w:rPr>
        <w:t>cz</w:t>
      </w:r>
      <w:r w:rsidR="00567603" w:rsidRPr="00BB7C9E">
        <w:rPr>
          <w:rFonts w:cs="Tahoma"/>
          <w:color w:val="000000" w:themeColor="text1"/>
          <w:sz w:val="18"/>
          <w:szCs w:val="18"/>
        </w:rPr>
        <w:t>on</w:t>
      </w:r>
      <w:r w:rsidRPr="00BB7C9E">
        <w:rPr>
          <w:rFonts w:cs="Tahoma"/>
          <w:color w:val="000000" w:themeColor="text1"/>
          <w:sz w:val="18"/>
          <w:szCs w:val="18"/>
        </w:rPr>
        <w:t>ej bonusu przyznanego za rok, w którym nastąpiło zdarzenie.</w:t>
      </w:r>
    </w:p>
    <w:p w14:paraId="6F2AF745" w14:textId="77777777" w:rsidR="003626C9" w:rsidRPr="00BB7C9E" w:rsidRDefault="003626C9" w:rsidP="003626C9">
      <w:pPr>
        <w:spacing w:after="120"/>
        <w:jc w:val="both"/>
        <w:rPr>
          <w:rFonts w:eastAsia="Calibri"/>
          <w:color w:val="000000" w:themeColor="text1"/>
          <w:sz w:val="18"/>
          <w:szCs w:val="18"/>
          <w:lang w:eastAsia="en-US"/>
        </w:rPr>
      </w:pPr>
      <w:r w:rsidRPr="00BB7C9E">
        <w:rPr>
          <w:rFonts w:eastAsia="Calibri"/>
          <w:color w:val="000000" w:themeColor="text1"/>
          <w:sz w:val="18"/>
          <w:szCs w:val="18"/>
          <w:lang w:eastAsia="en-US"/>
        </w:rPr>
        <w:t xml:space="preserve">W przypadku uchwały </w:t>
      </w:r>
      <w:r w:rsidRPr="00BB7C9E">
        <w:rPr>
          <w:rFonts w:cs="Tahoma"/>
          <w:color w:val="000000" w:themeColor="text1"/>
          <w:sz w:val="18"/>
          <w:szCs w:val="18"/>
        </w:rPr>
        <w:t>Walnego Zgromadzenia mBanku S.A.</w:t>
      </w:r>
      <w:r w:rsidRPr="00BB7C9E">
        <w:rPr>
          <w:rFonts w:eastAsia="Calibri"/>
          <w:color w:val="000000" w:themeColor="text1"/>
          <w:sz w:val="18"/>
          <w:szCs w:val="18"/>
          <w:lang w:eastAsia="en-US"/>
        </w:rPr>
        <w:t xml:space="preserve"> o wypłacie za dany rok dywidendy Risk Taker I i Risk Taker II, któremu został przyznany bonus w ramach części nieodroczonej lub odroczonej jest uprawniony do otrzymania niezależnie od bonusu ekwiwalentu pieniężnego na zasadach określonych w Polityce Wynagradzania Risk Takers w związku z odroczeniem części bonusu wypłacanej w warrantach subskrypcyjnych. </w:t>
      </w:r>
    </w:p>
    <w:p w14:paraId="5E5CF2F2" w14:textId="67E7BB1F" w:rsidR="003626C9" w:rsidRPr="00BB7C9E" w:rsidRDefault="003626C9" w:rsidP="003626C9">
      <w:pPr>
        <w:suppressAutoHyphens/>
        <w:spacing w:before="120"/>
        <w:jc w:val="both"/>
        <w:rPr>
          <w:rFonts w:eastAsia="Calibri"/>
          <w:color w:val="000000" w:themeColor="text1"/>
          <w:sz w:val="18"/>
          <w:szCs w:val="18"/>
          <w:lang w:eastAsia="en-US"/>
        </w:rPr>
      </w:pPr>
      <w:r w:rsidRPr="00BB7C9E">
        <w:rPr>
          <w:rFonts w:eastAsia="Calibri"/>
          <w:color w:val="000000" w:themeColor="text1"/>
          <w:sz w:val="18"/>
          <w:szCs w:val="18"/>
          <w:lang w:eastAsia="en-US"/>
        </w:rPr>
        <w:t>Premia w ramach wyżej opisanego P</w:t>
      </w:r>
      <w:r w:rsidR="00B506DD" w:rsidRPr="00BB7C9E">
        <w:rPr>
          <w:rFonts w:eastAsia="Calibri"/>
          <w:color w:val="000000" w:themeColor="text1"/>
          <w:sz w:val="18"/>
          <w:szCs w:val="18"/>
          <w:lang w:eastAsia="en-US"/>
        </w:rPr>
        <w:t>rogramu po raz pierwszy została</w:t>
      </w:r>
      <w:r w:rsidRPr="00BB7C9E">
        <w:rPr>
          <w:rFonts w:eastAsia="Calibri"/>
          <w:color w:val="000000" w:themeColor="text1"/>
          <w:sz w:val="18"/>
          <w:szCs w:val="18"/>
          <w:lang w:eastAsia="en-US"/>
        </w:rPr>
        <w:t xml:space="preserve"> przyznana dla Risk Takers I i Risk Takers II w 2019 roku za rok 2018.</w:t>
      </w:r>
    </w:p>
    <w:p w14:paraId="2B2BB22E" w14:textId="2D689708" w:rsidR="00F355DA" w:rsidRPr="00BB7C9E" w:rsidRDefault="00F355DA" w:rsidP="00F355DA">
      <w:pPr>
        <w:spacing w:before="120"/>
        <w:jc w:val="both"/>
        <w:rPr>
          <w:rFonts w:cs="Tahoma"/>
          <w:color w:val="000000" w:themeColor="text1"/>
          <w:sz w:val="18"/>
          <w:szCs w:val="18"/>
        </w:rPr>
      </w:pPr>
      <w:r w:rsidRPr="00BB7C9E">
        <w:rPr>
          <w:rFonts w:cs="Tahoma"/>
          <w:color w:val="000000" w:themeColor="text1"/>
          <w:sz w:val="18"/>
          <w:szCs w:val="18"/>
        </w:rPr>
        <w:t xml:space="preserve">Poniższa tabela przedstawia zmiany w liczbie opcji na akcje </w:t>
      </w:r>
      <w:r w:rsidR="003E2B9A" w:rsidRPr="00BB7C9E">
        <w:rPr>
          <w:rFonts w:cs="Tahoma"/>
          <w:color w:val="000000" w:themeColor="text1"/>
          <w:sz w:val="18"/>
          <w:szCs w:val="18"/>
        </w:rPr>
        <w:t xml:space="preserve">w </w:t>
      </w:r>
      <w:r w:rsidRPr="00BB7C9E">
        <w:rPr>
          <w:rFonts w:cs="Tahoma"/>
          <w:color w:val="000000" w:themeColor="text1"/>
          <w:sz w:val="18"/>
          <w:szCs w:val="18"/>
        </w:rPr>
        <w:t>odniesieniu do programu motywacyjnego dla Członków Zarządu i kluczowej kadry Grupy mBanku – pracowników mających wpływ na profil ryzyka mBanku – z 2018 roku.</w:t>
      </w:r>
    </w:p>
    <w:p w14:paraId="51D3F3BF" w14:textId="728ADE84" w:rsidR="00B506DD" w:rsidRDefault="00B506DD" w:rsidP="00B506DD">
      <w:pPr>
        <w:suppressAutoHyphens/>
        <w:jc w:val="both"/>
        <w:rPr>
          <w:rFonts w:eastAsia="Calibri"/>
          <w:sz w:val="18"/>
          <w:szCs w:val="18"/>
          <w:lang w:eastAsia="en-US"/>
        </w:rPr>
      </w:pPr>
    </w:p>
    <w:tbl>
      <w:tblPr>
        <w:tblW w:w="9498" w:type="dxa"/>
        <w:tblCellMar>
          <w:left w:w="28" w:type="dxa"/>
          <w:right w:w="28" w:type="dxa"/>
        </w:tblCellMar>
        <w:tblLook w:val="04A0" w:firstRow="1" w:lastRow="0" w:firstColumn="1" w:lastColumn="0" w:noHBand="0" w:noVBand="1"/>
      </w:tblPr>
      <w:tblGrid>
        <w:gridCol w:w="8080"/>
        <w:gridCol w:w="1418"/>
      </w:tblGrid>
      <w:tr w:rsidR="00AC2BCB" w:rsidRPr="003E2B9A" w14:paraId="100D62F3" w14:textId="77777777" w:rsidTr="00E07F9D">
        <w:trPr>
          <w:trHeight w:val="284"/>
        </w:trPr>
        <w:tc>
          <w:tcPr>
            <w:tcW w:w="8080" w:type="dxa"/>
            <w:vMerge w:val="restart"/>
            <w:tcBorders>
              <w:top w:val="nil"/>
              <w:left w:val="nil"/>
              <w:right w:val="single" w:sz="8" w:space="0" w:color="FFFFFF"/>
            </w:tcBorders>
            <w:shd w:val="clear" w:color="000000" w:fill="0077BD"/>
            <w:vAlign w:val="center"/>
            <w:hideMark/>
          </w:tcPr>
          <w:p w14:paraId="278936CD" w14:textId="09378D83" w:rsidR="00AC2BCB" w:rsidRPr="003E2B9A" w:rsidRDefault="00AC2BCB" w:rsidP="003E2B9A">
            <w:pPr>
              <w:jc w:val="right"/>
              <w:rPr>
                <w:rFonts w:cs="Calibri"/>
                <w:b/>
                <w:bCs/>
                <w:color w:val="FFFFFF"/>
                <w:sz w:val="13"/>
                <w:szCs w:val="13"/>
              </w:rPr>
            </w:pPr>
          </w:p>
        </w:tc>
        <w:tc>
          <w:tcPr>
            <w:tcW w:w="1418" w:type="dxa"/>
            <w:tcBorders>
              <w:top w:val="nil"/>
              <w:left w:val="nil"/>
              <w:bottom w:val="single" w:sz="6" w:space="0" w:color="FFFFFF"/>
              <w:right w:val="nil"/>
            </w:tcBorders>
            <w:shd w:val="clear" w:color="000000" w:fill="0077BD"/>
            <w:vAlign w:val="center"/>
            <w:hideMark/>
          </w:tcPr>
          <w:p w14:paraId="56081B55" w14:textId="77777777" w:rsidR="00AC2BCB" w:rsidRPr="003E2B9A" w:rsidRDefault="00AC2BCB" w:rsidP="003E2B9A">
            <w:pPr>
              <w:jc w:val="right"/>
              <w:rPr>
                <w:rFonts w:cs="Calibri"/>
                <w:b/>
                <w:bCs/>
                <w:color w:val="FFFFFF"/>
                <w:sz w:val="13"/>
                <w:szCs w:val="13"/>
              </w:rPr>
            </w:pPr>
            <w:r w:rsidRPr="003E2B9A">
              <w:rPr>
                <w:rFonts w:cs="Calibri"/>
                <w:b/>
                <w:bCs/>
                <w:color w:val="FFFFFF"/>
                <w:sz w:val="13"/>
                <w:szCs w:val="13"/>
              </w:rPr>
              <w:t>31.12.2019</w:t>
            </w:r>
          </w:p>
        </w:tc>
      </w:tr>
      <w:tr w:rsidR="00AC2BCB" w:rsidRPr="003E2B9A" w14:paraId="1A8860B2" w14:textId="77777777" w:rsidTr="00E07F9D">
        <w:trPr>
          <w:trHeight w:val="284"/>
        </w:trPr>
        <w:tc>
          <w:tcPr>
            <w:tcW w:w="8080" w:type="dxa"/>
            <w:vMerge/>
            <w:tcBorders>
              <w:left w:val="nil"/>
              <w:right w:val="single" w:sz="8" w:space="0" w:color="FFFFFF"/>
            </w:tcBorders>
            <w:shd w:val="clear" w:color="000000" w:fill="0077BD"/>
            <w:vAlign w:val="center"/>
            <w:hideMark/>
          </w:tcPr>
          <w:p w14:paraId="6C99BA4C" w14:textId="0631B61F" w:rsidR="00AC2BCB" w:rsidRPr="003E2B9A" w:rsidRDefault="00AC2BCB" w:rsidP="003E2B9A">
            <w:pPr>
              <w:rPr>
                <w:rFonts w:cs="Calibri"/>
                <w:color w:val="FFFFFF"/>
                <w:sz w:val="13"/>
                <w:szCs w:val="13"/>
              </w:rPr>
            </w:pPr>
          </w:p>
        </w:tc>
        <w:tc>
          <w:tcPr>
            <w:tcW w:w="1418" w:type="dxa"/>
            <w:tcBorders>
              <w:top w:val="single" w:sz="6" w:space="0" w:color="FFFFFF"/>
              <w:left w:val="nil"/>
              <w:right w:val="nil"/>
            </w:tcBorders>
            <w:shd w:val="clear" w:color="000000" w:fill="0077BD"/>
            <w:vAlign w:val="center"/>
            <w:hideMark/>
          </w:tcPr>
          <w:p w14:paraId="608CF463" w14:textId="77777777" w:rsidR="00AC2BCB" w:rsidRPr="003E2B9A" w:rsidRDefault="00AC2BCB" w:rsidP="00C11F75">
            <w:pPr>
              <w:jc w:val="right"/>
              <w:rPr>
                <w:rFonts w:cs="Calibri"/>
                <w:b/>
                <w:bCs/>
                <w:color w:val="FFFFFF"/>
                <w:sz w:val="13"/>
                <w:szCs w:val="13"/>
              </w:rPr>
            </w:pPr>
            <w:r w:rsidRPr="003E2B9A">
              <w:rPr>
                <w:rFonts w:cs="Calibri"/>
                <w:b/>
                <w:bCs/>
                <w:color w:val="FFFFFF"/>
                <w:sz w:val="13"/>
                <w:szCs w:val="13"/>
              </w:rPr>
              <w:t>Liczba opcji</w:t>
            </w:r>
          </w:p>
        </w:tc>
      </w:tr>
      <w:tr w:rsidR="00C11F75" w:rsidRPr="00BB7C9E" w14:paraId="4E5FB193" w14:textId="77777777" w:rsidTr="00C11F75">
        <w:trPr>
          <w:trHeight w:val="284"/>
        </w:trPr>
        <w:tc>
          <w:tcPr>
            <w:tcW w:w="8080" w:type="dxa"/>
            <w:tcBorders>
              <w:left w:val="nil"/>
              <w:bottom w:val="single" w:sz="8" w:space="0" w:color="0077BD"/>
              <w:right w:val="single" w:sz="8" w:space="0" w:color="0077BD"/>
            </w:tcBorders>
            <w:shd w:val="clear" w:color="auto" w:fill="auto"/>
            <w:vAlign w:val="center"/>
            <w:hideMark/>
          </w:tcPr>
          <w:p w14:paraId="7CF24143" w14:textId="77777777" w:rsidR="003E2B9A" w:rsidRPr="00BB7C9E" w:rsidRDefault="003E2B9A" w:rsidP="003E2B9A">
            <w:pPr>
              <w:rPr>
                <w:rFonts w:cs="Calibri"/>
                <w:b/>
                <w:bCs/>
                <w:color w:val="000000" w:themeColor="text1"/>
                <w:sz w:val="13"/>
                <w:szCs w:val="13"/>
              </w:rPr>
            </w:pPr>
            <w:r w:rsidRPr="00BB7C9E">
              <w:rPr>
                <w:rFonts w:cs="Calibri"/>
                <w:b/>
                <w:bCs/>
                <w:color w:val="000000" w:themeColor="text1"/>
                <w:sz w:val="13"/>
                <w:szCs w:val="13"/>
              </w:rPr>
              <w:t>Występujące na początek okresu</w:t>
            </w:r>
          </w:p>
        </w:tc>
        <w:tc>
          <w:tcPr>
            <w:tcW w:w="1418" w:type="dxa"/>
            <w:tcBorders>
              <w:left w:val="nil"/>
              <w:bottom w:val="single" w:sz="8" w:space="0" w:color="0077BD"/>
              <w:right w:val="nil"/>
            </w:tcBorders>
            <w:shd w:val="clear" w:color="auto" w:fill="auto"/>
            <w:vAlign w:val="center"/>
            <w:hideMark/>
          </w:tcPr>
          <w:p w14:paraId="74BE94CF" w14:textId="77777777" w:rsidR="003E2B9A" w:rsidRPr="00BB7C9E" w:rsidRDefault="003E2B9A" w:rsidP="003E2B9A">
            <w:pPr>
              <w:jc w:val="right"/>
              <w:rPr>
                <w:rFonts w:cs="Calibri"/>
                <w:b/>
                <w:bCs/>
                <w:color w:val="000000" w:themeColor="text1"/>
                <w:sz w:val="13"/>
                <w:szCs w:val="13"/>
              </w:rPr>
            </w:pPr>
            <w:r w:rsidRPr="00BB7C9E">
              <w:rPr>
                <w:rFonts w:cs="Calibri"/>
                <w:b/>
                <w:bCs/>
                <w:color w:val="000000" w:themeColor="text1"/>
                <w:sz w:val="13"/>
                <w:szCs w:val="13"/>
              </w:rPr>
              <w:t>-</w:t>
            </w:r>
          </w:p>
        </w:tc>
      </w:tr>
      <w:tr w:rsidR="003E2B9A" w:rsidRPr="00BB7C9E" w14:paraId="5CC46C05" w14:textId="77777777" w:rsidTr="003E2B9A">
        <w:trPr>
          <w:trHeight w:val="284"/>
        </w:trPr>
        <w:tc>
          <w:tcPr>
            <w:tcW w:w="8080" w:type="dxa"/>
            <w:tcBorders>
              <w:top w:val="nil"/>
              <w:left w:val="nil"/>
              <w:bottom w:val="single" w:sz="4" w:space="0" w:color="0077BD"/>
              <w:right w:val="single" w:sz="8" w:space="0" w:color="0077BD"/>
            </w:tcBorders>
            <w:shd w:val="clear" w:color="auto" w:fill="auto"/>
            <w:vAlign w:val="center"/>
            <w:hideMark/>
          </w:tcPr>
          <w:p w14:paraId="482C2F4A" w14:textId="77777777" w:rsidR="003E2B9A" w:rsidRPr="00BB7C9E" w:rsidRDefault="003E2B9A" w:rsidP="003E2B9A">
            <w:pPr>
              <w:rPr>
                <w:rFonts w:cs="Calibri"/>
                <w:color w:val="000000" w:themeColor="text1"/>
                <w:sz w:val="13"/>
                <w:szCs w:val="13"/>
              </w:rPr>
            </w:pPr>
            <w:r w:rsidRPr="00BB7C9E">
              <w:rPr>
                <w:rFonts w:cs="Calibri"/>
                <w:color w:val="000000" w:themeColor="text1"/>
                <w:sz w:val="13"/>
                <w:szCs w:val="13"/>
              </w:rPr>
              <w:t>Przyznane w danym okresie</w:t>
            </w:r>
          </w:p>
        </w:tc>
        <w:tc>
          <w:tcPr>
            <w:tcW w:w="1418" w:type="dxa"/>
            <w:tcBorders>
              <w:top w:val="nil"/>
              <w:left w:val="nil"/>
              <w:bottom w:val="single" w:sz="4" w:space="0" w:color="0077BD"/>
              <w:right w:val="nil"/>
            </w:tcBorders>
            <w:shd w:val="clear" w:color="auto" w:fill="auto"/>
            <w:vAlign w:val="center"/>
            <w:hideMark/>
          </w:tcPr>
          <w:p w14:paraId="621F1062" w14:textId="77777777" w:rsidR="003E2B9A" w:rsidRPr="00BB7C9E" w:rsidRDefault="003E2B9A" w:rsidP="003E2B9A">
            <w:pPr>
              <w:jc w:val="right"/>
              <w:rPr>
                <w:rFonts w:cs="Calibri"/>
                <w:color w:val="000000" w:themeColor="text1"/>
                <w:sz w:val="13"/>
                <w:szCs w:val="13"/>
              </w:rPr>
            </w:pPr>
            <w:r w:rsidRPr="00BB7C9E">
              <w:rPr>
                <w:rFonts w:cs="Calibri"/>
                <w:color w:val="000000" w:themeColor="text1"/>
                <w:sz w:val="13"/>
                <w:szCs w:val="13"/>
              </w:rPr>
              <w:t>17 870</w:t>
            </w:r>
          </w:p>
        </w:tc>
      </w:tr>
      <w:tr w:rsidR="003E2B9A" w:rsidRPr="00BB7C9E" w14:paraId="41F3F52B" w14:textId="77777777" w:rsidTr="003E2B9A">
        <w:trPr>
          <w:trHeight w:val="284"/>
        </w:trPr>
        <w:tc>
          <w:tcPr>
            <w:tcW w:w="8080" w:type="dxa"/>
            <w:tcBorders>
              <w:top w:val="nil"/>
              <w:left w:val="nil"/>
              <w:bottom w:val="single" w:sz="4" w:space="0" w:color="0077BD"/>
              <w:right w:val="single" w:sz="8" w:space="0" w:color="0077BD"/>
            </w:tcBorders>
            <w:shd w:val="clear" w:color="auto" w:fill="auto"/>
            <w:vAlign w:val="center"/>
            <w:hideMark/>
          </w:tcPr>
          <w:p w14:paraId="7670F5A6" w14:textId="77777777" w:rsidR="003E2B9A" w:rsidRPr="00BB7C9E" w:rsidRDefault="003E2B9A" w:rsidP="003E2B9A">
            <w:pPr>
              <w:rPr>
                <w:rFonts w:cs="Calibri"/>
                <w:color w:val="000000" w:themeColor="text1"/>
                <w:sz w:val="13"/>
                <w:szCs w:val="13"/>
              </w:rPr>
            </w:pPr>
            <w:r w:rsidRPr="00BB7C9E">
              <w:rPr>
                <w:rFonts w:cs="Calibri"/>
                <w:color w:val="000000" w:themeColor="text1"/>
                <w:sz w:val="13"/>
                <w:szCs w:val="13"/>
              </w:rPr>
              <w:t>Umorzone w danym okresie</w:t>
            </w:r>
          </w:p>
        </w:tc>
        <w:tc>
          <w:tcPr>
            <w:tcW w:w="1418" w:type="dxa"/>
            <w:tcBorders>
              <w:top w:val="nil"/>
              <w:left w:val="nil"/>
              <w:bottom w:val="single" w:sz="4" w:space="0" w:color="0077BD"/>
              <w:right w:val="nil"/>
            </w:tcBorders>
            <w:shd w:val="clear" w:color="auto" w:fill="auto"/>
            <w:vAlign w:val="center"/>
            <w:hideMark/>
          </w:tcPr>
          <w:p w14:paraId="668CC87B" w14:textId="77777777" w:rsidR="003E2B9A" w:rsidRPr="00BB7C9E" w:rsidRDefault="003E2B9A" w:rsidP="003E2B9A">
            <w:pPr>
              <w:jc w:val="right"/>
              <w:rPr>
                <w:rFonts w:cs="Calibri"/>
                <w:color w:val="000000" w:themeColor="text1"/>
                <w:sz w:val="13"/>
                <w:szCs w:val="13"/>
              </w:rPr>
            </w:pPr>
            <w:r w:rsidRPr="00BB7C9E">
              <w:rPr>
                <w:rFonts w:cs="Calibri"/>
                <w:color w:val="000000" w:themeColor="text1"/>
                <w:sz w:val="13"/>
                <w:szCs w:val="13"/>
              </w:rPr>
              <w:t>803</w:t>
            </w:r>
          </w:p>
        </w:tc>
      </w:tr>
      <w:tr w:rsidR="003E2B9A" w:rsidRPr="00BB7C9E" w14:paraId="06C70ACB" w14:textId="77777777" w:rsidTr="003E2B9A">
        <w:trPr>
          <w:trHeight w:val="284"/>
        </w:trPr>
        <w:tc>
          <w:tcPr>
            <w:tcW w:w="8080" w:type="dxa"/>
            <w:tcBorders>
              <w:top w:val="nil"/>
              <w:left w:val="nil"/>
              <w:bottom w:val="single" w:sz="4" w:space="0" w:color="0077BD"/>
              <w:right w:val="single" w:sz="8" w:space="0" w:color="0077BD"/>
            </w:tcBorders>
            <w:shd w:val="clear" w:color="auto" w:fill="auto"/>
            <w:vAlign w:val="center"/>
            <w:hideMark/>
          </w:tcPr>
          <w:p w14:paraId="47114E55" w14:textId="6A005D20" w:rsidR="003E2B9A" w:rsidRPr="00BB7C9E" w:rsidRDefault="007661FA" w:rsidP="003E2B9A">
            <w:pPr>
              <w:rPr>
                <w:rFonts w:cs="Calibri"/>
                <w:color w:val="000000" w:themeColor="text1"/>
                <w:sz w:val="13"/>
                <w:szCs w:val="13"/>
              </w:rPr>
            </w:pPr>
            <w:r>
              <w:rPr>
                <w:rFonts w:cs="Calibri"/>
                <w:color w:val="000000" w:themeColor="text1"/>
                <w:sz w:val="13"/>
                <w:szCs w:val="13"/>
              </w:rPr>
              <w:t>Wykonane w danym okresie</w:t>
            </w:r>
          </w:p>
        </w:tc>
        <w:tc>
          <w:tcPr>
            <w:tcW w:w="1418" w:type="dxa"/>
            <w:tcBorders>
              <w:top w:val="nil"/>
              <w:left w:val="nil"/>
              <w:bottom w:val="single" w:sz="4" w:space="0" w:color="0077BD"/>
              <w:right w:val="nil"/>
            </w:tcBorders>
            <w:shd w:val="clear" w:color="auto" w:fill="auto"/>
            <w:vAlign w:val="center"/>
            <w:hideMark/>
          </w:tcPr>
          <w:p w14:paraId="7DF6F94D" w14:textId="77777777" w:rsidR="003E2B9A" w:rsidRPr="00BB7C9E" w:rsidRDefault="003E2B9A" w:rsidP="003E2B9A">
            <w:pPr>
              <w:jc w:val="right"/>
              <w:rPr>
                <w:rFonts w:cs="Calibri"/>
                <w:color w:val="000000" w:themeColor="text1"/>
                <w:sz w:val="13"/>
                <w:szCs w:val="13"/>
              </w:rPr>
            </w:pPr>
            <w:r w:rsidRPr="00BB7C9E">
              <w:rPr>
                <w:rFonts w:cs="Calibri"/>
                <w:color w:val="000000" w:themeColor="text1"/>
                <w:sz w:val="13"/>
                <w:szCs w:val="13"/>
              </w:rPr>
              <w:t>-</w:t>
            </w:r>
          </w:p>
        </w:tc>
      </w:tr>
      <w:tr w:rsidR="003E2B9A" w:rsidRPr="00BB7C9E" w14:paraId="3943C2B1" w14:textId="77777777" w:rsidTr="003E2B9A">
        <w:trPr>
          <w:trHeight w:val="284"/>
        </w:trPr>
        <w:tc>
          <w:tcPr>
            <w:tcW w:w="8080" w:type="dxa"/>
            <w:tcBorders>
              <w:top w:val="nil"/>
              <w:left w:val="nil"/>
              <w:bottom w:val="single" w:sz="8" w:space="0" w:color="0077BD"/>
              <w:right w:val="single" w:sz="8" w:space="0" w:color="0077BD"/>
            </w:tcBorders>
            <w:shd w:val="clear" w:color="auto" w:fill="auto"/>
            <w:vAlign w:val="center"/>
            <w:hideMark/>
          </w:tcPr>
          <w:p w14:paraId="1CF5BF20" w14:textId="77777777" w:rsidR="003E2B9A" w:rsidRPr="00BB7C9E" w:rsidRDefault="003E2B9A" w:rsidP="003E2B9A">
            <w:pPr>
              <w:rPr>
                <w:rFonts w:cs="Calibri"/>
                <w:color w:val="000000" w:themeColor="text1"/>
                <w:sz w:val="13"/>
                <w:szCs w:val="13"/>
              </w:rPr>
            </w:pPr>
            <w:r w:rsidRPr="00BB7C9E">
              <w:rPr>
                <w:rFonts w:cs="Calibri"/>
                <w:color w:val="000000" w:themeColor="text1"/>
                <w:sz w:val="13"/>
                <w:szCs w:val="13"/>
              </w:rPr>
              <w:t>Wygasłe w danym okresie</w:t>
            </w:r>
          </w:p>
        </w:tc>
        <w:tc>
          <w:tcPr>
            <w:tcW w:w="1418" w:type="dxa"/>
            <w:tcBorders>
              <w:top w:val="nil"/>
              <w:left w:val="nil"/>
              <w:bottom w:val="single" w:sz="8" w:space="0" w:color="0077BD"/>
              <w:right w:val="nil"/>
            </w:tcBorders>
            <w:shd w:val="clear" w:color="auto" w:fill="auto"/>
            <w:vAlign w:val="center"/>
            <w:hideMark/>
          </w:tcPr>
          <w:p w14:paraId="1AB1FD01" w14:textId="77777777" w:rsidR="003E2B9A" w:rsidRPr="00BB7C9E" w:rsidRDefault="003E2B9A" w:rsidP="003E2B9A">
            <w:pPr>
              <w:jc w:val="right"/>
              <w:rPr>
                <w:rFonts w:cs="Calibri"/>
                <w:color w:val="000000" w:themeColor="text1"/>
                <w:sz w:val="13"/>
                <w:szCs w:val="13"/>
              </w:rPr>
            </w:pPr>
            <w:r w:rsidRPr="00BB7C9E">
              <w:rPr>
                <w:rFonts w:cs="Calibri"/>
                <w:color w:val="000000" w:themeColor="text1"/>
                <w:sz w:val="13"/>
                <w:szCs w:val="13"/>
              </w:rPr>
              <w:t>-</w:t>
            </w:r>
          </w:p>
        </w:tc>
      </w:tr>
      <w:tr w:rsidR="003E2B9A" w:rsidRPr="00BB7C9E" w14:paraId="09546179" w14:textId="77777777" w:rsidTr="003E2B9A">
        <w:trPr>
          <w:trHeight w:val="284"/>
        </w:trPr>
        <w:tc>
          <w:tcPr>
            <w:tcW w:w="8080" w:type="dxa"/>
            <w:tcBorders>
              <w:top w:val="nil"/>
              <w:left w:val="nil"/>
              <w:bottom w:val="single" w:sz="8" w:space="0" w:color="0077BD"/>
              <w:right w:val="single" w:sz="8" w:space="0" w:color="0077BD"/>
            </w:tcBorders>
            <w:shd w:val="clear" w:color="auto" w:fill="auto"/>
            <w:vAlign w:val="center"/>
            <w:hideMark/>
          </w:tcPr>
          <w:p w14:paraId="7790C408" w14:textId="77777777" w:rsidR="003E2B9A" w:rsidRPr="00BB7C9E" w:rsidRDefault="003E2B9A" w:rsidP="003E2B9A">
            <w:pPr>
              <w:rPr>
                <w:rFonts w:cs="Calibri"/>
                <w:b/>
                <w:bCs/>
                <w:color w:val="000000" w:themeColor="text1"/>
                <w:sz w:val="13"/>
                <w:szCs w:val="13"/>
              </w:rPr>
            </w:pPr>
            <w:r w:rsidRPr="00BB7C9E">
              <w:rPr>
                <w:rFonts w:cs="Calibri"/>
                <w:b/>
                <w:bCs/>
                <w:color w:val="000000" w:themeColor="text1"/>
                <w:sz w:val="13"/>
                <w:szCs w:val="13"/>
              </w:rPr>
              <w:t>Występujące na koniec okresu</w:t>
            </w:r>
          </w:p>
        </w:tc>
        <w:tc>
          <w:tcPr>
            <w:tcW w:w="1418" w:type="dxa"/>
            <w:tcBorders>
              <w:top w:val="nil"/>
              <w:left w:val="nil"/>
              <w:bottom w:val="single" w:sz="8" w:space="0" w:color="0077BD"/>
              <w:right w:val="nil"/>
            </w:tcBorders>
            <w:shd w:val="clear" w:color="auto" w:fill="auto"/>
            <w:vAlign w:val="center"/>
            <w:hideMark/>
          </w:tcPr>
          <w:p w14:paraId="07BD6EE8" w14:textId="77777777" w:rsidR="003E2B9A" w:rsidRPr="00BB7C9E" w:rsidRDefault="003E2B9A" w:rsidP="003E2B9A">
            <w:pPr>
              <w:jc w:val="right"/>
              <w:rPr>
                <w:rFonts w:cs="Calibri"/>
                <w:b/>
                <w:bCs/>
                <w:color w:val="000000" w:themeColor="text1"/>
                <w:sz w:val="13"/>
                <w:szCs w:val="13"/>
              </w:rPr>
            </w:pPr>
            <w:r w:rsidRPr="00BB7C9E">
              <w:rPr>
                <w:rFonts w:cs="Calibri"/>
                <w:b/>
                <w:bCs/>
                <w:color w:val="000000" w:themeColor="text1"/>
                <w:sz w:val="13"/>
                <w:szCs w:val="13"/>
              </w:rPr>
              <w:t>17 067</w:t>
            </w:r>
          </w:p>
        </w:tc>
      </w:tr>
      <w:tr w:rsidR="003E2B9A" w:rsidRPr="00BB7C9E" w14:paraId="6C958F22" w14:textId="77777777" w:rsidTr="003E2B9A">
        <w:trPr>
          <w:trHeight w:val="284"/>
        </w:trPr>
        <w:tc>
          <w:tcPr>
            <w:tcW w:w="8080" w:type="dxa"/>
            <w:tcBorders>
              <w:top w:val="nil"/>
              <w:left w:val="nil"/>
              <w:bottom w:val="single" w:sz="8" w:space="0" w:color="0077BD"/>
              <w:right w:val="single" w:sz="8" w:space="0" w:color="0077BD"/>
            </w:tcBorders>
            <w:shd w:val="clear" w:color="auto" w:fill="auto"/>
            <w:vAlign w:val="center"/>
            <w:hideMark/>
          </w:tcPr>
          <w:p w14:paraId="052C125D" w14:textId="77777777" w:rsidR="003E2B9A" w:rsidRPr="00BB7C9E" w:rsidRDefault="003E2B9A" w:rsidP="003E2B9A">
            <w:pPr>
              <w:rPr>
                <w:rFonts w:cs="Calibri"/>
                <w:b/>
                <w:bCs/>
                <w:color w:val="000000" w:themeColor="text1"/>
                <w:sz w:val="13"/>
                <w:szCs w:val="13"/>
              </w:rPr>
            </w:pPr>
            <w:r w:rsidRPr="00BB7C9E">
              <w:rPr>
                <w:rFonts w:cs="Calibri"/>
                <w:b/>
                <w:bCs/>
                <w:color w:val="000000" w:themeColor="text1"/>
                <w:sz w:val="13"/>
                <w:szCs w:val="13"/>
              </w:rPr>
              <w:t>Możliwe do wykonania na koniec okresu</w:t>
            </w:r>
          </w:p>
        </w:tc>
        <w:tc>
          <w:tcPr>
            <w:tcW w:w="1418" w:type="dxa"/>
            <w:tcBorders>
              <w:top w:val="nil"/>
              <w:left w:val="nil"/>
              <w:bottom w:val="single" w:sz="8" w:space="0" w:color="0077BD"/>
              <w:right w:val="nil"/>
            </w:tcBorders>
            <w:shd w:val="clear" w:color="auto" w:fill="auto"/>
            <w:vAlign w:val="center"/>
            <w:hideMark/>
          </w:tcPr>
          <w:p w14:paraId="06C91E21" w14:textId="77777777" w:rsidR="003E2B9A" w:rsidRPr="00BB7C9E" w:rsidRDefault="003E2B9A" w:rsidP="003E2B9A">
            <w:pPr>
              <w:jc w:val="right"/>
              <w:rPr>
                <w:rFonts w:cs="Calibri"/>
                <w:b/>
                <w:bCs/>
                <w:color w:val="000000" w:themeColor="text1"/>
                <w:sz w:val="13"/>
                <w:szCs w:val="13"/>
              </w:rPr>
            </w:pPr>
            <w:r w:rsidRPr="00BB7C9E">
              <w:rPr>
                <w:rFonts w:cs="Calibri"/>
                <w:b/>
                <w:bCs/>
                <w:color w:val="000000" w:themeColor="text1"/>
                <w:sz w:val="13"/>
                <w:szCs w:val="13"/>
              </w:rPr>
              <w:t>-</w:t>
            </w:r>
          </w:p>
        </w:tc>
      </w:tr>
    </w:tbl>
    <w:p w14:paraId="033EAFBD" w14:textId="77777777" w:rsidR="003E2B9A" w:rsidRPr="00BB7C9E" w:rsidRDefault="003E2B9A" w:rsidP="003E2B9A">
      <w:pPr>
        <w:pStyle w:val="Akapitzlist"/>
        <w:suppressAutoHyphens/>
        <w:ind w:left="0"/>
        <w:jc w:val="both"/>
        <w:rPr>
          <w:rFonts w:cs="Tahoma"/>
          <w:color w:val="000000" w:themeColor="text1"/>
          <w:sz w:val="18"/>
          <w:szCs w:val="18"/>
          <w:u w:val="single"/>
        </w:rPr>
      </w:pPr>
    </w:p>
    <w:p w14:paraId="2EE128DF" w14:textId="08D3A7B7" w:rsidR="003626C9" w:rsidRPr="00BB7C9E" w:rsidRDefault="003626C9" w:rsidP="003626C9">
      <w:pPr>
        <w:pStyle w:val="Akapitzlist"/>
        <w:suppressAutoHyphens/>
        <w:spacing w:before="240"/>
        <w:ind w:left="0"/>
        <w:jc w:val="both"/>
        <w:rPr>
          <w:rFonts w:cs="Tahoma"/>
          <w:b/>
          <w:color w:val="000000" w:themeColor="text1"/>
          <w:sz w:val="18"/>
          <w:szCs w:val="18"/>
          <w:u w:val="single"/>
        </w:rPr>
      </w:pPr>
      <w:r w:rsidRPr="00BB7C9E">
        <w:rPr>
          <w:rFonts w:cs="Tahoma"/>
          <w:b/>
          <w:color w:val="000000" w:themeColor="text1"/>
          <w:sz w:val="18"/>
          <w:szCs w:val="18"/>
          <w:u w:val="single"/>
        </w:rPr>
        <w:t xml:space="preserve">Podsumowanie wpływu opisanych programów na </w:t>
      </w:r>
      <w:r w:rsidR="00225499" w:rsidRPr="00BB7C9E">
        <w:rPr>
          <w:rFonts w:cs="Tahoma"/>
          <w:b/>
          <w:color w:val="000000" w:themeColor="text1"/>
          <w:sz w:val="18"/>
          <w:szCs w:val="18"/>
          <w:u w:val="single"/>
        </w:rPr>
        <w:t>sprawozdanie z sytuacji finansowej</w:t>
      </w:r>
      <w:r w:rsidRPr="00BB7C9E">
        <w:rPr>
          <w:rFonts w:cs="Tahoma"/>
          <w:b/>
          <w:color w:val="000000" w:themeColor="text1"/>
          <w:sz w:val="18"/>
          <w:szCs w:val="18"/>
          <w:u w:val="single"/>
        </w:rPr>
        <w:t xml:space="preserve"> i</w:t>
      </w:r>
      <w:r w:rsidR="0024260C" w:rsidRPr="00BB7C9E">
        <w:rPr>
          <w:rFonts w:cs="Tahoma"/>
          <w:b/>
          <w:color w:val="000000" w:themeColor="text1"/>
          <w:sz w:val="18"/>
          <w:szCs w:val="18"/>
          <w:u w:val="single"/>
        </w:rPr>
        <w:t> </w:t>
      </w:r>
      <w:r w:rsidRPr="00BB7C9E">
        <w:rPr>
          <w:rFonts w:cs="Tahoma"/>
          <w:b/>
          <w:color w:val="000000" w:themeColor="text1"/>
          <w:sz w:val="18"/>
          <w:szCs w:val="18"/>
          <w:u w:val="single"/>
        </w:rPr>
        <w:t xml:space="preserve">rachunek zysków i strat </w:t>
      </w:r>
      <w:r w:rsidR="00225499" w:rsidRPr="00BB7C9E">
        <w:rPr>
          <w:rFonts w:cs="Tahoma"/>
          <w:b/>
          <w:color w:val="000000" w:themeColor="text1"/>
          <w:sz w:val="18"/>
          <w:szCs w:val="18"/>
          <w:u w:val="single"/>
        </w:rPr>
        <w:t>Grupy</w:t>
      </w:r>
    </w:p>
    <w:p w14:paraId="0EE9CFA0" w14:textId="77777777" w:rsidR="003626C9" w:rsidRPr="00BB7C9E" w:rsidRDefault="003626C9" w:rsidP="003626C9">
      <w:pPr>
        <w:suppressAutoHyphens/>
        <w:spacing w:before="120"/>
        <w:jc w:val="both"/>
        <w:rPr>
          <w:rFonts w:cs="Tahoma"/>
          <w:b/>
          <w:color w:val="000000" w:themeColor="text1"/>
          <w:sz w:val="18"/>
          <w:szCs w:val="18"/>
        </w:rPr>
      </w:pPr>
      <w:r w:rsidRPr="00BB7C9E">
        <w:rPr>
          <w:rFonts w:cs="Tahoma"/>
          <w:b/>
          <w:color w:val="000000" w:themeColor="text1"/>
          <w:sz w:val="18"/>
          <w:szCs w:val="18"/>
        </w:rPr>
        <w:t>Płatności oparte na akcjach – rozliczane w akcjach</w:t>
      </w:r>
    </w:p>
    <w:p w14:paraId="3ACEF415" w14:textId="77777777" w:rsidR="003626C9" w:rsidRPr="00BB7C9E" w:rsidRDefault="003626C9" w:rsidP="003626C9">
      <w:pPr>
        <w:suppressAutoHyphens/>
        <w:spacing w:before="120"/>
        <w:jc w:val="both"/>
        <w:rPr>
          <w:rFonts w:cs="Tahoma"/>
          <w:color w:val="000000" w:themeColor="text1"/>
          <w:sz w:val="18"/>
          <w:szCs w:val="18"/>
        </w:rPr>
      </w:pPr>
      <w:r w:rsidRPr="00BB7C9E">
        <w:rPr>
          <w:rFonts w:cs="Tahoma"/>
          <w:color w:val="000000" w:themeColor="text1"/>
          <w:sz w:val="18"/>
          <w:szCs w:val="18"/>
        </w:rPr>
        <w:t>Poniższa tabela przedstawia zmiany stanu pozostałych kapitałów rezerwowych powstałych w związku z opisanymi powyżej programami motywacyjnymi dla płatności opartych na akcjach i rozliczanych w akcjach mBanku S.A.</w:t>
      </w:r>
    </w:p>
    <w:p w14:paraId="3076A3FE" w14:textId="7F784D95" w:rsidR="003626C9" w:rsidRDefault="003626C9" w:rsidP="00F355DA">
      <w:pPr>
        <w:jc w:val="both"/>
        <w:rPr>
          <w:noProof/>
        </w:rPr>
      </w:pPr>
    </w:p>
    <w:tbl>
      <w:tblPr>
        <w:tblW w:w="9583" w:type="dxa"/>
        <w:tblLayout w:type="fixed"/>
        <w:tblCellMar>
          <w:left w:w="70" w:type="dxa"/>
          <w:right w:w="70" w:type="dxa"/>
        </w:tblCellMar>
        <w:tblLook w:val="04A0" w:firstRow="1" w:lastRow="0" w:firstColumn="1" w:lastColumn="0" w:noHBand="0" w:noVBand="1"/>
      </w:tblPr>
      <w:tblGrid>
        <w:gridCol w:w="6747"/>
        <w:gridCol w:w="1418"/>
        <w:gridCol w:w="1418"/>
      </w:tblGrid>
      <w:tr w:rsidR="00F355DA" w:rsidRPr="00F355DA" w14:paraId="03C558E8" w14:textId="77777777" w:rsidTr="00923628">
        <w:trPr>
          <w:trHeight w:val="284"/>
        </w:trPr>
        <w:tc>
          <w:tcPr>
            <w:tcW w:w="6747" w:type="dxa"/>
            <w:tcBorders>
              <w:top w:val="nil"/>
              <w:left w:val="nil"/>
              <w:bottom w:val="nil"/>
              <w:right w:val="single" w:sz="8" w:space="0" w:color="FFFFFF"/>
            </w:tcBorders>
            <w:shd w:val="clear" w:color="000000" w:fill="0077BD"/>
            <w:noWrap/>
            <w:vAlign w:val="center"/>
            <w:hideMark/>
          </w:tcPr>
          <w:p w14:paraId="6C85847B" w14:textId="77777777" w:rsidR="00F355DA" w:rsidRPr="00F355DA" w:rsidRDefault="00F355DA" w:rsidP="00F355DA">
            <w:pPr>
              <w:rPr>
                <w:rFonts w:cs="Calibri"/>
                <w:color w:val="99CCFF"/>
                <w:sz w:val="13"/>
                <w:szCs w:val="13"/>
              </w:rPr>
            </w:pPr>
            <w:r w:rsidRPr="00F355DA">
              <w:rPr>
                <w:rFonts w:cs="Calibri"/>
                <w:color w:val="99CCFF"/>
                <w:sz w:val="13"/>
                <w:szCs w:val="13"/>
              </w:rPr>
              <w:t> </w:t>
            </w:r>
          </w:p>
        </w:tc>
        <w:tc>
          <w:tcPr>
            <w:tcW w:w="1418" w:type="dxa"/>
            <w:tcBorders>
              <w:top w:val="nil"/>
              <w:left w:val="nil"/>
              <w:bottom w:val="nil"/>
              <w:right w:val="single" w:sz="8" w:space="0" w:color="FFFFFF"/>
            </w:tcBorders>
            <w:shd w:val="clear" w:color="000000" w:fill="0077BD"/>
            <w:vAlign w:val="center"/>
            <w:hideMark/>
          </w:tcPr>
          <w:p w14:paraId="593851CD" w14:textId="77777777" w:rsidR="00F355DA" w:rsidRPr="00F355DA" w:rsidRDefault="00F355DA" w:rsidP="00F355DA">
            <w:pPr>
              <w:jc w:val="right"/>
              <w:rPr>
                <w:rFonts w:cs="Calibri"/>
                <w:b/>
                <w:bCs/>
                <w:color w:val="FFFFFF"/>
                <w:sz w:val="13"/>
                <w:szCs w:val="13"/>
              </w:rPr>
            </w:pPr>
            <w:r w:rsidRPr="00F355DA">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60A70DB2" w14:textId="77777777" w:rsidR="00F355DA" w:rsidRPr="00F355DA" w:rsidRDefault="00F355DA" w:rsidP="00F355DA">
            <w:pPr>
              <w:jc w:val="right"/>
              <w:rPr>
                <w:rFonts w:cs="Calibri"/>
                <w:b/>
                <w:bCs/>
                <w:color w:val="FFFFFF"/>
                <w:sz w:val="13"/>
                <w:szCs w:val="13"/>
              </w:rPr>
            </w:pPr>
            <w:r w:rsidRPr="00F355DA">
              <w:rPr>
                <w:rFonts w:cs="Calibri"/>
                <w:b/>
                <w:bCs/>
                <w:color w:val="FFFFFF"/>
                <w:sz w:val="13"/>
                <w:szCs w:val="13"/>
              </w:rPr>
              <w:t>31.12.2018</w:t>
            </w:r>
          </w:p>
        </w:tc>
      </w:tr>
      <w:tr w:rsidR="00F355DA" w:rsidRPr="00C11F75" w14:paraId="2087401B" w14:textId="77777777" w:rsidTr="00923628">
        <w:trPr>
          <w:trHeight w:val="284"/>
        </w:trPr>
        <w:tc>
          <w:tcPr>
            <w:tcW w:w="6747" w:type="dxa"/>
            <w:tcBorders>
              <w:top w:val="nil"/>
              <w:left w:val="nil"/>
              <w:bottom w:val="nil"/>
              <w:right w:val="nil"/>
            </w:tcBorders>
            <w:shd w:val="clear" w:color="auto" w:fill="auto"/>
            <w:vAlign w:val="center"/>
            <w:hideMark/>
          </w:tcPr>
          <w:p w14:paraId="44F07DB2" w14:textId="77777777" w:rsidR="00F355DA" w:rsidRPr="00C11F75" w:rsidRDefault="00F355DA" w:rsidP="00F355DA">
            <w:pPr>
              <w:rPr>
                <w:rFonts w:cs="Calibri"/>
                <w:b/>
                <w:bCs/>
                <w:color w:val="000000" w:themeColor="text1"/>
                <w:sz w:val="13"/>
                <w:szCs w:val="13"/>
              </w:rPr>
            </w:pPr>
            <w:r w:rsidRPr="00C11F75">
              <w:rPr>
                <w:rFonts w:cs="Calibri"/>
                <w:b/>
                <w:bCs/>
                <w:color w:val="000000" w:themeColor="text1"/>
                <w:sz w:val="13"/>
                <w:szCs w:val="13"/>
              </w:rPr>
              <w:t>Programy motywacyjne</w:t>
            </w:r>
          </w:p>
        </w:tc>
        <w:tc>
          <w:tcPr>
            <w:tcW w:w="1418" w:type="dxa"/>
            <w:tcBorders>
              <w:top w:val="nil"/>
              <w:left w:val="nil"/>
              <w:bottom w:val="nil"/>
              <w:right w:val="nil"/>
            </w:tcBorders>
            <w:shd w:val="clear" w:color="auto" w:fill="auto"/>
            <w:noWrap/>
            <w:vAlign w:val="center"/>
            <w:hideMark/>
          </w:tcPr>
          <w:p w14:paraId="5912DF18" w14:textId="77777777" w:rsidR="00F355DA" w:rsidRPr="00C11F75" w:rsidRDefault="00F355DA" w:rsidP="00F355DA">
            <w:pPr>
              <w:rPr>
                <w:rFonts w:cs="Calibri"/>
                <w:b/>
                <w:bCs/>
                <w:color w:val="000000" w:themeColor="text1"/>
                <w:sz w:val="13"/>
                <w:szCs w:val="13"/>
              </w:rPr>
            </w:pPr>
          </w:p>
        </w:tc>
        <w:tc>
          <w:tcPr>
            <w:tcW w:w="1418" w:type="dxa"/>
            <w:tcBorders>
              <w:top w:val="nil"/>
              <w:left w:val="nil"/>
              <w:bottom w:val="nil"/>
              <w:right w:val="nil"/>
            </w:tcBorders>
            <w:shd w:val="clear" w:color="auto" w:fill="auto"/>
            <w:noWrap/>
            <w:vAlign w:val="center"/>
            <w:hideMark/>
          </w:tcPr>
          <w:p w14:paraId="440575DC" w14:textId="77777777" w:rsidR="00F355DA" w:rsidRPr="00C11F75" w:rsidRDefault="00F355DA" w:rsidP="00F355DA">
            <w:pPr>
              <w:jc w:val="right"/>
              <w:rPr>
                <w:rFonts w:ascii="Times New Roman" w:hAnsi="Times New Roman"/>
                <w:color w:val="000000" w:themeColor="text1"/>
                <w:sz w:val="13"/>
                <w:szCs w:val="13"/>
              </w:rPr>
            </w:pPr>
          </w:p>
        </w:tc>
      </w:tr>
      <w:tr w:rsidR="00F355DA" w:rsidRPr="00C11F75" w14:paraId="3089DA05" w14:textId="77777777" w:rsidTr="00923628">
        <w:trPr>
          <w:trHeight w:val="284"/>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FB314B6" w14:textId="77777777" w:rsidR="00F355DA" w:rsidRPr="00C11F75" w:rsidRDefault="00F355DA" w:rsidP="00F355DA">
            <w:pPr>
              <w:rPr>
                <w:rFonts w:cs="Calibri"/>
                <w:b/>
                <w:bCs/>
                <w:color w:val="000000" w:themeColor="text1"/>
                <w:sz w:val="13"/>
                <w:szCs w:val="13"/>
              </w:rPr>
            </w:pPr>
            <w:r w:rsidRPr="00C11F75">
              <w:rPr>
                <w:rFonts w:cs="Calibri"/>
                <w:b/>
                <w:bCs/>
                <w:color w:val="000000" w:themeColor="text1"/>
                <w:sz w:val="13"/>
                <w:szCs w:val="13"/>
              </w:rPr>
              <w:t>Stan na początek okresu</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142E8035" w14:textId="77777777" w:rsidR="00F355DA" w:rsidRPr="00C11F75" w:rsidRDefault="00F355DA" w:rsidP="00F355DA">
            <w:pPr>
              <w:jc w:val="right"/>
              <w:rPr>
                <w:rFonts w:cs="Calibri"/>
                <w:b/>
                <w:bCs/>
                <w:color w:val="000000" w:themeColor="text1"/>
                <w:sz w:val="13"/>
                <w:szCs w:val="13"/>
              </w:rPr>
            </w:pPr>
            <w:r w:rsidRPr="00C11F75">
              <w:rPr>
                <w:rFonts w:cs="Calibri"/>
                <w:b/>
                <w:bCs/>
                <w:color w:val="000000" w:themeColor="text1"/>
                <w:sz w:val="13"/>
                <w:szCs w:val="13"/>
              </w:rPr>
              <w:t>22 452</w:t>
            </w:r>
          </w:p>
        </w:tc>
        <w:tc>
          <w:tcPr>
            <w:tcW w:w="1418" w:type="dxa"/>
            <w:tcBorders>
              <w:top w:val="single" w:sz="8" w:space="0" w:color="0077BD"/>
              <w:left w:val="nil"/>
              <w:bottom w:val="single" w:sz="8" w:space="0" w:color="0077BD"/>
              <w:right w:val="nil"/>
            </w:tcBorders>
            <w:shd w:val="clear" w:color="auto" w:fill="auto"/>
            <w:noWrap/>
            <w:vAlign w:val="center"/>
            <w:hideMark/>
          </w:tcPr>
          <w:p w14:paraId="56F92EEB" w14:textId="77777777" w:rsidR="00F355DA" w:rsidRPr="00C11F75" w:rsidRDefault="00F355DA" w:rsidP="00F355DA">
            <w:pPr>
              <w:jc w:val="right"/>
              <w:rPr>
                <w:rFonts w:cs="Calibri"/>
                <w:b/>
                <w:bCs/>
                <w:color w:val="000000" w:themeColor="text1"/>
                <w:sz w:val="13"/>
                <w:szCs w:val="13"/>
              </w:rPr>
            </w:pPr>
            <w:r w:rsidRPr="00C11F75">
              <w:rPr>
                <w:rFonts w:cs="Calibri"/>
                <w:b/>
                <w:bCs/>
                <w:color w:val="000000" w:themeColor="text1"/>
                <w:sz w:val="13"/>
                <w:szCs w:val="13"/>
              </w:rPr>
              <w:t>22 638</w:t>
            </w:r>
          </w:p>
        </w:tc>
      </w:tr>
      <w:tr w:rsidR="00923628" w:rsidRPr="00C11F75" w14:paraId="4169D57A" w14:textId="77777777" w:rsidTr="00923628">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337DB3D4" w14:textId="77777777" w:rsidR="00923628" w:rsidRPr="00C11F75" w:rsidRDefault="00923628" w:rsidP="00923628">
            <w:pPr>
              <w:rPr>
                <w:rFonts w:cs="Calibri"/>
                <w:color w:val="000000" w:themeColor="text1"/>
                <w:sz w:val="13"/>
                <w:szCs w:val="13"/>
              </w:rPr>
            </w:pPr>
            <w:r w:rsidRPr="00C11F75">
              <w:rPr>
                <w:rFonts w:cs="Calibri"/>
                <w:color w:val="000000" w:themeColor="text1"/>
                <w:sz w:val="13"/>
                <w:szCs w:val="13"/>
              </w:rPr>
              <w:t>- wartość usług świadczonych przez pracowników</w:t>
            </w:r>
          </w:p>
        </w:tc>
        <w:tc>
          <w:tcPr>
            <w:tcW w:w="1418" w:type="dxa"/>
            <w:tcBorders>
              <w:top w:val="single" w:sz="8" w:space="0" w:color="0077BD"/>
              <w:left w:val="single" w:sz="8" w:space="0" w:color="0077BD"/>
              <w:bottom w:val="single" w:sz="4" w:space="0" w:color="0077BD"/>
              <w:right w:val="single" w:sz="8" w:space="0" w:color="0077BD"/>
            </w:tcBorders>
            <w:shd w:val="clear" w:color="auto" w:fill="auto"/>
            <w:noWrap/>
            <w:vAlign w:val="center"/>
          </w:tcPr>
          <w:p w14:paraId="7868A6D3" w14:textId="3B527A48" w:rsidR="00923628" w:rsidRPr="00C11F75" w:rsidRDefault="00923628" w:rsidP="00923628">
            <w:pPr>
              <w:jc w:val="right"/>
              <w:rPr>
                <w:rFonts w:cs="Calibri"/>
                <w:color w:val="000000" w:themeColor="text1"/>
                <w:sz w:val="13"/>
                <w:szCs w:val="13"/>
              </w:rPr>
            </w:pPr>
            <w:r w:rsidRPr="00C11F75">
              <w:rPr>
                <w:rFonts w:cs="Calibri"/>
                <w:color w:val="000000" w:themeColor="text1"/>
                <w:sz w:val="13"/>
                <w:szCs w:val="13"/>
              </w:rPr>
              <w:t>9 947</w:t>
            </w:r>
          </w:p>
        </w:tc>
        <w:tc>
          <w:tcPr>
            <w:tcW w:w="1418" w:type="dxa"/>
            <w:tcBorders>
              <w:top w:val="nil"/>
              <w:left w:val="nil"/>
              <w:bottom w:val="single" w:sz="4" w:space="0" w:color="0077BD"/>
              <w:right w:val="nil"/>
            </w:tcBorders>
            <w:shd w:val="clear" w:color="auto" w:fill="auto"/>
            <w:noWrap/>
            <w:vAlign w:val="center"/>
            <w:hideMark/>
          </w:tcPr>
          <w:p w14:paraId="61D4F28C" w14:textId="77777777" w:rsidR="00923628" w:rsidRPr="00C11F75" w:rsidRDefault="00923628" w:rsidP="00923628">
            <w:pPr>
              <w:jc w:val="right"/>
              <w:rPr>
                <w:rFonts w:cs="Calibri"/>
                <w:color w:val="000000" w:themeColor="text1"/>
                <w:sz w:val="13"/>
                <w:szCs w:val="13"/>
              </w:rPr>
            </w:pPr>
            <w:r w:rsidRPr="00C11F75">
              <w:rPr>
                <w:rFonts w:cs="Calibri"/>
                <w:color w:val="000000" w:themeColor="text1"/>
                <w:sz w:val="13"/>
                <w:szCs w:val="13"/>
              </w:rPr>
              <w:t>10 224</w:t>
            </w:r>
          </w:p>
        </w:tc>
      </w:tr>
      <w:tr w:rsidR="00923628" w:rsidRPr="00C11F75" w14:paraId="6A42C402" w14:textId="77777777" w:rsidTr="00923628">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142F8363" w14:textId="77777777" w:rsidR="00923628" w:rsidRPr="00C11F75" w:rsidRDefault="00923628" w:rsidP="00923628">
            <w:pPr>
              <w:rPr>
                <w:rFonts w:cs="Calibri"/>
                <w:color w:val="000000" w:themeColor="text1"/>
                <w:sz w:val="13"/>
                <w:szCs w:val="13"/>
              </w:rPr>
            </w:pPr>
            <w:r w:rsidRPr="00C11F75">
              <w:rPr>
                <w:rFonts w:cs="Calibri"/>
                <w:color w:val="000000" w:themeColor="text1"/>
                <w:sz w:val="13"/>
                <w:szCs w:val="13"/>
              </w:rPr>
              <w:t>- rozliczenie zrealizowanych opcji</w:t>
            </w:r>
          </w:p>
        </w:tc>
        <w:tc>
          <w:tcPr>
            <w:tcW w:w="1418" w:type="dxa"/>
            <w:tcBorders>
              <w:top w:val="nil"/>
              <w:left w:val="single" w:sz="8" w:space="0" w:color="0077BD"/>
              <w:bottom w:val="single" w:sz="8" w:space="0" w:color="0077BD"/>
              <w:right w:val="single" w:sz="8" w:space="0" w:color="0077BD"/>
            </w:tcBorders>
            <w:shd w:val="clear" w:color="auto" w:fill="auto"/>
            <w:noWrap/>
            <w:vAlign w:val="center"/>
          </w:tcPr>
          <w:p w14:paraId="7DD02D2D" w14:textId="662A02E2" w:rsidR="00923628" w:rsidRPr="00C11F75" w:rsidRDefault="00923628" w:rsidP="00923628">
            <w:pPr>
              <w:jc w:val="right"/>
              <w:rPr>
                <w:rFonts w:cs="Calibri"/>
                <w:color w:val="000000" w:themeColor="text1"/>
                <w:sz w:val="13"/>
                <w:szCs w:val="13"/>
              </w:rPr>
            </w:pPr>
            <w:r w:rsidRPr="00C11F75">
              <w:rPr>
                <w:rFonts w:cs="Calibri"/>
                <w:color w:val="000000" w:themeColor="text1"/>
                <w:sz w:val="13"/>
                <w:szCs w:val="13"/>
              </w:rPr>
              <w:t>(5 079)</w:t>
            </w:r>
          </w:p>
        </w:tc>
        <w:tc>
          <w:tcPr>
            <w:tcW w:w="1418" w:type="dxa"/>
            <w:tcBorders>
              <w:top w:val="nil"/>
              <w:left w:val="nil"/>
              <w:bottom w:val="single" w:sz="8" w:space="0" w:color="0077BD"/>
              <w:right w:val="nil"/>
            </w:tcBorders>
            <w:shd w:val="clear" w:color="auto" w:fill="auto"/>
            <w:noWrap/>
            <w:vAlign w:val="center"/>
            <w:hideMark/>
          </w:tcPr>
          <w:p w14:paraId="36620ABD" w14:textId="77777777" w:rsidR="00923628" w:rsidRPr="00C11F75" w:rsidRDefault="00923628" w:rsidP="00923628">
            <w:pPr>
              <w:jc w:val="right"/>
              <w:rPr>
                <w:rFonts w:cs="Calibri"/>
                <w:color w:val="000000" w:themeColor="text1"/>
                <w:sz w:val="13"/>
                <w:szCs w:val="13"/>
              </w:rPr>
            </w:pPr>
            <w:r w:rsidRPr="00C11F75">
              <w:rPr>
                <w:rFonts w:cs="Calibri"/>
                <w:color w:val="000000" w:themeColor="text1"/>
                <w:sz w:val="13"/>
                <w:szCs w:val="13"/>
              </w:rPr>
              <w:t>(10 410)</w:t>
            </w:r>
          </w:p>
        </w:tc>
      </w:tr>
      <w:tr w:rsidR="00923628" w:rsidRPr="00C11F75" w14:paraId="31FE9D8A" w14:textId="77777777" w:rsidTr="00923628">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1E666848" w14:textId="77777777" w:rsidR="00923628" w:rsidRPr="00C11F75" w:rsidRDefault="00923628" w:rsidP="00923628">
            <w:pPr>
              <w:rPr>
                <w:rFonts w:cs="Calibri"/>
                <w:b/>
                <w:bCs/>
                <w:color w:val="000000" w:themeColor="text1"/>
                <w:sz w:val="13"/>
                <w:szCs w:val="13"/>
              </w:rPr>
            </w:pPr>
            <w:r w:rsidRPr="00C11F75">
              <w:rPr>
                <w:rFonts w:cs="Calibri"/>
                <w:b/>
                <w:bCs/>
                <w:color w:val="000000" w:themeColor="text1"/>
                <w:sz w:val="13"/>
                <w:szCs w:val="13"/>
              </w:rPr>
              <w:t>Stan na koniec okresu</w:t>
            </w:r>
          </w:p>
        </w:tc>
        <w:tc>
          <w:tcPr>
            <w:tcW w:w="1418" w:type="dxa"/>
            <w:tcBorders>
              <w:top w:val="nil"/>
              <w:left w:val="single" w:sz="8" w:space="0" w:color="0077BD"/>
              <w:bottom w:val="single" w:sz="8" w:space="0" w:color="0077BD"/>
              <w:right w:val="single" w:sz="8" w:space="0" w:color="0077BD"/>
            </w:tcBorders>
            <w:shd w:val="clear" w:color="auto" w:fill="auto"/>
            <w:noWrap/>
            <w:vAlign w:val="center"/>
            <w:hideMark/>
          </w:tcPr>
          <w:p w14:paraId="59BB46AE" w14:textId="74BD7310" w:rsidR="00923628" w:rsidRPr="00C11F75" w:rsidRDefault="00923628" w:rsidP="00923628">
            <w:pPr>
              <w:jc w:val="right"/>
              <w:rPr>
                <w:rFonts w:cs="Calibri"/>
                <w:b/>
                <w:bCs/>
                <w:color w:val="000000" w:themeColor="text1"/>
                <w:sz w:val="13"/>
                <w:szCs w:val="13"/>
              </w:rPr>
            </w:pPr>
            <w:r w:rsidRPr="00C11F75">
              <w:rPr>
                <w:rFonts w:cs="Calibri"/>
                <w:b/>
                <w:bCs/>
                <w:color w:val="000000" w:themeColor="text1"/>
                <w:sz w:val="13"/>
                <w:szCs w:val="13"/>
              </w:rPr>
              <w:t>27 320</w:t>
            </w:r>
          </w:p>
        </w:tc>
        <w:tc>
          <w:tcPr>
            <w:tcW w:w="1418" w:type="dxa"/>
            <w:tcBorders>
              <w:top w:val="nil"/>
              <w:left w:val="nil"/>
              <w:bottom w:val="single" w:sz="8" w:space="0" w:color="0077BD"/>
              <w:right w:val="nil"/>
            </w:tcBorders>
            <w:shd w:val="clear" w:color="auto" w:fill="auto"/>
            <w:noWrap/>
            <w:vAlign w:val="center"/>
            <w:hideMark/>
          </w:tcPr>
          <w:p w14:paraId="009367B8" w14:textId="77777777" w:rsidR="00923628" w:rsidRPr="00C11F75" w:rsidRDefault="00923628" w:rsidP="00923628">
            <w:pPr>
              <w:jc w:val="right"/>
              <w:rPr>
                <w:rFonts w:cs="Calibri"/>
                <w:b/>
                <w:bCs/>
                <w:color w:val="000000" w:themeColor="text1"/>
                <w:sz w:val="13"/>
                <w:szCs w:val="13"/>
              </w:rPr>
            </w:pPr>
            <w:r w:rsidRPr="00C11F75">
              <w:rPr>
                <w:rFonts w:cs="Calibri"/>
                <w:b/>
                <w:bCs/>
                <w:color w:val="000000" w:themeColor="text1"/>
                <w:sz w:val="13"/>
                <w:szCs w:val="13"/>
              </w:rPr>
              <w:t>22 452</w:t>
            </w:r>
          </w:p>
        </w:tc>
      </w:tr>
    </w:tbl>
    <w:p w14:paraId="527E235C" w14:textId="77777777" w:rsidR="003626C9" w:rsidRPr="00C11F75" w:rsidRDefault="003626C9" w:rsidP="003626C9">
      <w:pPr>
        <w:pStyle w:val="Tekstpodstawowy3"/>
        <w:suppressAutoHyphens/>
        <w:spacing w:before="120" w:after="0"/>
        <w:jc w:val="both"/>
        <w:rPr>
          <w:rFonts w:cs="Tahoma"/>
          <w:b/>
          <w:color w:val="000000" w:themeColor="text1"/>
          <w:sz w:val="18"/>
          <w:szCs w:val="18"/>
        </w:rPr>
      </w:pPr>
      <w:r w:rsidRPr="00C11F75">
        <w:rPr>
          <w:rFonts w:cs="Tahoma"/>
          <w:b/>
          <w:color w:val="000000" w:themeColor="text1"/>
          <w:sz w:val="18"/>
          <w:szCs w:val="18"/>
        </w:rPr>
        <w:t xml:space="preserve">Płatności gotówkowe </w:t>
      </w:r>
    </w:p>
    <w:p w14:paraId="4C1F6354" w14:textId="3ABE0AEF" w:rsidR="003626C9" w:rsidRPr="00C11F75" w:rsidRDefault="003626C9" w:rsidP="003626C9">
      <w:pPr>
        <w:suppressAutoHyphens/>
        <w:spacing w:before="120"/>
        <w:jc w:val="both"/>
        <w:rPr>
          <w:rFonts w:cs="Tahoma"/>
          <w:color w:val="000000" w:themeColor="text1"/>
          <w:sz w:val="18"/>
          <w:szCs w:val="18"/>
        </w:rPr>
      </w:pPr>
      <w:r w:rsidRPr="00C11F75">
        <w:rPr>
          <w:rFonts w:cs="Tahoma"/>
          <w:color w:val="000000" w:themeColor="text1"/>
          <w:sz w:val="18"/>
          <w:szCs w:val="18"/>
        </w:rPr>
        <w:t xml:space="preserve">Koszty z tytułu części gotówkowej omawianych programów są zaprezentowane w Nocie </w:t>
      </w:r>
      <w:r w:rsidR="00905D9F" w:rsidRPr="00C11F75">
        <w:rPr>
          <w:rFonts w:cs="Tahoma"/>
          <w:color w:val="000000" w:themeColor="text1"/>
          <w:sz w:val="18"/>
          <w:szCs w:val="18"/>
        </w:rPr>
        <w:t>13</w:t>
      </w:r>
      <w:r w:rsidRPr="00C11F75">
        <w:rPr>
          <w:rFonts w:cs="Tahoma"/>
          <w:color w:val="000000" w:themeColor="text1"/>
          <w:sz w:val="18"/>
          <w:szCs w:val="18"/>
        </w:rPr>
        <w:t xml:space="preserve"> Ogólne koszty administracyjne.</w:t>
      </w:r>
    </w:p>
    <w:p w14:paraId="0D3947CE" w14:textId="3079B17A" w:rsidR="003B5625" w:rsidRDefault="003B5625" w:rsidP="003B5625">
      <w:pPr>
        <w:suppressAutoHyphens/>
        <w:jc w:val="both"/>
        <w:rPr>
          <w:rFonts w:cs="Tahoma"/>
          <w:color w:val="201C17"/>
          <w:sz w:val="18"/>
          <w:szCs w:val="18"/>
        </w:rPr>
      </w:pPr>
    </w:p>
    <w:p w14:paraId="78D9EA04" w14:textId="77777777" w:rsidR="00E10FDA" w:rsidRDefault="00E10FDA" w:rsidP="00526DF1">
      <w:pPr>
        <w:pStyle w:val="Nagwek2"/>
        <w:numPr>
          <w:ilvl w:val="0"/>
          <w:numId w:val="44"/>
        </w:numPr>
        <w:suppressAutoHyphens/>
        <w:spacing w:before="0"/>
        <w:ind w:left="425" w:hanging="425"/>
        <w:jc w:val="both"/>
        <w:rPr>
          <w:rFonts w:cs="Tahoma"/>
          <w:bCs w:val="0"/>
          <w:iCs w:val="0"/>
          <w:color w:val="E41E0A"/>
          <w:sz w:val="18"/>
          <w:szCs w:val="18"/>
        </w:rPr>
      </w:pPr>
      <w:bookmarkStart w:id="165" w:name="_Toc32999873"/>
      <w:r>
        <w:rPr>
          <w:rFonts w:cs="Tahoma"/>
          <w:bCs w:val="0"/>
          <w:iCs w:val="0"/>
          <w:color w:val="E41E0A"/>
          <w:sz w:val="18"/>
          <w:szCs w:val="18"/>
        </w:rPr>
        <w:t>Transakcje z podmiotami powiązanymi</w:t>
      </w:r>
      <w:bookmarkEnd w:id="165"/>
    </w:p>
    <w:p w14:paraId="5AF38DB8" w14:textId="77777777" w:rsidR="00E10FDA" w:rsidRPr="00C11F75" w:rsidRDefault="00E10FDA" w:rsidP="00E10FDA">
      <w:pPr>
        <w:spacing w:before="120"/>
        <w:jc w:val="both"/>
        <w:rPr>
          <w:rFonts w:cs="Tahoma"/>
          <w:color w:val="000000" w:themeColor="text1"/>
          <w:sz w:val="18"/>
          <w:szCs w:val="18"/>
        </w:rPr>
      </w:pPr>
      <w:r w:rsidRPr="00C11F75">
        <w:rPr>
          <w:rFonts w:cs="Tahoma"/>
          <w:color w:val="000000" w:themeColor="text1"/>
          <w:sz w:val="18"/>
          <w:szCs w:val="18"/>
        </w:rPr>
        <w:t xml:space="preserve">mBank S.A. jest jednostką dominującą Grupy mBanku S.A., a Commerzbank AG jest jednostką dominującą najwyższego szczebla i jednocześnie bezpośrednią jednostką dominującą wobec mBanku S.A. </w:t>
      </w:r>
    </w:p>
    <w:p w14:paraId="37C698FD" w14:textId="77777777" w:rsidR="00300E11" w:rsidRPr="00C11F75" w:rsidRDefault="00E10FDA" w:rsidP="00E10FDA">
      <w:pPr>
        <w:spacing w:before="120"/>
        <w:jc w:val="both"/>
        <w:rPr>
          <w:rFonts w:cs="Tahoma"/>
          <w:color w:val="000000" w:themeColor="text1"/>
          <w:sz w:val="18"/>
          <w:szCs w:val="18"/>
        </w:rPr>
      </w:pPr>
      <w:r w:rsidRPr="00C11F75">
        <w:rPr>
          <w:rFonts w:cs="Tahoma"/>
          <w:color w:val="000000" w:themeColor="text1"/>
          <w:sz w:val="18"/>
          <w:szCs w:val="18"/>
        </w:rPr>
        <w:t>Wszystkie transakcje pomiędzy Bankiem a podmiotami powiązanymi były transakcjami typowymi i</w:t>
      </w:r>
      <w:r w:rsidR="009E29B1" w:rsidRPr="00C11F75">
        <w:rPr>
          <w:rFonts w:cs="Tahoma"/>
          <w:color w:val="000000" w:themeColor="text1"/>
          <w:sz w:val="18"/>
          <w:szCs w:val="18"/>
        </w:rPr>
        <w:t> </w:t>
      </w:r>
      <w:r w:rsidRPr="00C11F75">
        <w:rPr>
          <w:rFonts w:cs="Tahoma"/>
          <w:color w:val="000000" w:themeColor="text1"/>
          <w:sz w:val="18"/>
          <w:szCs w:val="18"/>
        </w:rPr>
        <w:t>rutynowymi, zawartymi na warunkach nie o</w:t>
      </w:r>
      <w:r w:rsidR="00525AA1" w:rsidRPr="00C11F75">
        <w:rPr>
          <w:rFonts w:cs="Tahoma"/>
          <w:color w:val="000000" w:themeColor="text1"/>
          <w:sz w:val="18"/>
          <w:szCs w:val="18"/>
        </w:rPr>
        <w:t>d</w:t>
      </w:r>
      <w:r w:rsidRPr="00C11F75">
        <w:rPr>
          <w:rFonts w:cs="Tahoma"/>
          <w:color w:val="000000" w:themeColor="text1"/>
          <w:sz w:val="18"/>
          <w:szCs w:val="18"/>
        </w:rPr>
        <w:t>biegających od warunków rynkowych, a ich charakter i</w:t>
      </w:r>
      <w:r w:rsidR="009E29B1" w:rsidRPr="00C11F75">
        <w:rPr>
          <w:rFonts w:cs="Tahoma"/>
          <w:color w:val="000000" w:themeColor="text1"/>
          <w:sz w:val="18"/>
          <w:szCs w:val="18"/>
        </w:rPr>
        <w:t> </w:t>
      </w:r>
      <w:r w:rsidRPr="00C11F75">
        <w:rPr>
          <w:rFonts w:cs="Tahoma"/>
          <w:color w:val="000000" w:themeColor="text1"/>
          <w:sz w:val="18"/>
          <w:szCs w:val="18"/>
        </w:rPr>
        <w:t>warunki wynikały z bieżącej działalności operacyjnej, prowadzonej przez Bank. Transakcje z</w:t>
      </w:r>
      <w:r w:rsidR="00280784" w:rsidRPr="00C11F75">
        <w:rPr>
          <w:rFonts w:cs="Tahoma"/>
          <w:color w:val="000000" w:themeColor="text1"/>
          <w:sz w:val="18"/>
          <w:szCs w:val="18"/>
        </w:rPr>
        <w:t> </w:t>
      </w:r>
      <w:r w:rsidRPr="00C11F75">
        <w:rPr>
          <w:rFonts w:cs="Tahoma"/>
          <w:color w:val="000000" w:themeColor="text1"/>
          <w:sz w:val="18"/>
          <w:szCs w:val="18"/>
        </w:rPr>
        <w:t>podmiotami powiązanymi przeprowadzone w ramach zwykłej działalności operacyjnej obejmują kredyty, depozyty oraz transakcje w walutach obcych.</w:t>
      </w:r>
    </w:p>
    <w:p w14:paraId="6436BBFC" w14:textId="58E7F275" w:rsidR="00E10FDA" w:rsidRPr="00C11F75" w:rsidRDefault="00E10FDA" w:rsidP="00E10FDA">
      <w:pPr>
        <w:spacing w:before="120"/>
        <w:jc w:val="both"/>
        <w:rPr>
          <w:rFonts w:cs="Tahoma"/>
          <w:color w:val="000000" w:themeColor="text1"/>
          <w:sz w:val="18"/>
          <w:szCs w:val="18"/>
        </w:rPr>
      </w:pPr>
      <w:r w:rsidRPr="00C11F75">
        <w:rPr>
          <w:rFonts w:cs="Tahoma"/>
          <w:color w:val="000000" w:themeColor="text1"/>
          <w:sz w:val="18"/>
          <w:szCs w:val="18"/>
        </w:rPr>
        <w:lastRenderedPageBreak/>
        <w:t>Grupa świadczy na rzecz kluczowego personelu kierowniczego Banku, członków Rady Nadzorczej Banku oraz bliskich członków rodzin tych osób standardowe usługi finansowe obejmujące, między innymi, prowadzenie rachunków bankowych, przyjmowanie depozytów, udzielanie kredytów i inne usługi finansowe. Zdaniem Banku transakcje te są zawierane na warunkach rynkowych.</w:t>
      </w:r>
    </w:p>
    <w:p w14:paraId="22D6AA0F" w14:textId="77777777" w:rsidR="00E10FDA" w:rsidRPr="00C11F75" w:rsidRDefault="00E10FDA" w:rsidP="00E10FDA">
      <w:pPr>
        <w:spacing w:before="120"/>
        <w:jc w:val="both"/>
        <w:rPr>
          <w:rFonts w:cs="Tahoma"/>
          <w:color w:val="000000" w:themeColor="text1"/>
          <w:sz w:val="18"/>
          <w:szCs w:val="18"/>
        </w:rPr>
      </w:pPr>
      <w:r w:rsidRPr="00C11F75">
        <w:rPr>
          <w:rFonts w:cs="Tahoma"/>
          <w:color w:val="000000" w:themeColor="text1"/>
          <w:sz w:val="18"/>
          <w:szCs w:val="18"/>
        </w:rPr>
        <w:t>Zgodnie z ustawą Prawo bankowe udzielenie kredytu, pożyczki pieniężnej, gwarancji bankowej lub poręczenia Członkom Zarządu i Rady Nadzorczej Banku, osobom zajmującym kierownicze stanowiska w</w:t>
      </w:r>
      <w:r w:rsidR="009E29B1" w:rsidRPr="00C11F75">
        <w:rPr>
          <w:rFonts w:cs="Tahoma"/>
          <w:color w:val="000000" w:themeColor="text1"/>
          <w:sz w:val="18"/>
          <w:szCs w:val="18"/>
        </w:rPr>
        <w:t> </w:t>
      </w:r>
      <w:r w:rsidRPr="00C11F75">
        <w:rPr>
          <w:rFonts w:cs="Tahoma"/>
          <w:color w:val="000000" w:themeColor="text1"/>
          <w:sz w:val="18"/>
          <w:szCs w:val="18"/>
        </w:rPr>
        <w:t>Banku jak również podmiotom powiązanym z nimi kapitałowo lub organizacyjnie, następuje na podstawie Regulaminów uchwalonych przez Radę Nadzorczą</w:t>
      </w:r>
      <w:r w:rsidR="00CE69E6" w:rsidRPr="00C11F75">
        <w:rPr>
          <w:rFonts w:cs="Tahoma"/>
          <w:color w:val="000000" w:themeColor="text1"/>
          <w:sz w:val="18"/>
          <w:szCs w:val="18"/>
        </w:rPr>
        <w:t xml:space="preserve"> m</w:t>
      </w:r>
      <w:r w:rsidRPr="00C11F75">
        <w:rPr>
          <w:rFonts w:cs="Tahoma"/>
          <w:color w:val="000000" w:themeColor="text1"/>
          <w:sz w:val="18"/>
          <w:szCs w:val="18"/>
        </w:rPr>
        <w:t>Banku S</w:t>
      </w:r>
      <w:r w:rsidR="00CE69E6" w:rsidRPr="00C11F75">
        <w:rPr>
          <w:rFonts w:cs="Tahoma"/>
          <w:color w:val="000000" w:themeColor="text1"/>
          <w:sz w:val="18"/>
          <w:szCs w:val="18"/>
        </w:rPr>
        <w:t>.</w:t>
      </w:r>
      <w:r w:rsidRPr="00C11F75">
        <w:rPr>
          <w:rFonts w:cs="Tahoma"/>
          <w:color w:val="000000" w:themeColor="text1"/>
          <w:sz w:val="18"/>
          <w:szCs w:val="18"/>
        </w:rPr>
        <w:t xml:space="preserve">A. </w:t>
      </w:r>
    </w:p>
    <w:p w14:paraId="2046D06D" w14:textId="77777777" w:rsidR="00E10FDA" w:rsidRPr="00C11F75" w:rsidRDefault="00E10FDA" w:rsidP="00EB604D">
      <w:pPr>
        <w:spacing w:before="120"/>
        <w:jc w:val="both"/>
        <w:rPr>
          <w:rFonts w:cs="Tahoma"/>
          <w:color w:val="000000" w:themeColor="text1"/>
          <w:sz w:val="18"/>
          <w:szCs w:val="18"/>
        </w:rPr>
      </w:pPr>
      <w:r w:rsidRPr="00C11F75">
        <w:rPr>
          <w:rFonts w:cs="Tahoma"/>
          <w:color w:val="000000" w:themeColor="text1"/>
          <w:sz w:val="18"/>
          <w:szCs w:val="18"/>
        </w:rPr>
        <w:t>Regulaminy określają szczegółowe zasady oraz limity zadłużenia z tytułu udzielonych kredytów, pożyczek pieniężnych, gwarancji bankowych i poręczeń w stosunku do wyżej wymienionych osób i podmiotów, które są zgodne z przepisami wewnętrznymi Banku, określającymi kompetencje do podejmowania decyzji kredytowych, obowiązującymi dla klientów detalicznych i korporacyjnych Banku. Udzielenie kredytu, pożyczki pieniężnej, gwarancji bankowej lub poręczenia Członkowi Zarządu i Rady Nadzorczej Banku, osobie zajmującej kierownicze stanowiska w Banku jak również podmiotowi powiązanemu z nimi kapitałowo lub organizacyjnie w kwocie przekraczającej limity ustanowione przez Prawo Bankowe powoduje, że decyzja o udzieleniu takiego produktu jest podejmowana w formie uchwały Zarządu i</w:t>
      </w:r>
      <w:r w:rsidR="009E29B1" w:rsidRPr="00C11F75">
        <w:rPr>
          <w:rFonts w:cs="Tahoma"/>
          <w:color w:val="000000" w:themeColor="text1"/>
          <w:sz w:val="18"/>
          <w:szCs w:val="18"/>
        </w:rPr>
        <w:t> </w:t>
      </w:r>
      <w:r w:rsidRPr="00C11F75">
        <w:rPr>
          <w:rFonts w:cs="Tahoma"/>
          <w:color w:val="000000" w:themeColor="text1"/>
          <w:sz w:val="18"/>
          <w:szCs w:val="18"/>
        </w:rPr>
        <w:t>uchwały Rady Nadzorczej.</w:t>
      </w:r>
    </w:p>
    <w:p w14:paraId="57B6AA4E" w14:textId="77777777" w:rsidR="00E10FDA" w:rsidRPr="00C11F75" w:rsidRDefault="00E10FDA" w:rsidP="00E10FDA">
      <w:pPr>
        <w:spacing w:before="120"/>
        <w:jc w:val="both"/>
        <w:rPr>
          <w:rFonts w:cs="Tahoma"/>
          <w:color w:val="000000" w:themeColor="text1"/>
          <w:sz w:val="18"/>
          <w:szCs w:val="18"/>
        </w:rPr>
      </w:pPr>
      <w:r w:rsidRPr="00C11F75">
        <w:rPr>
          <w:rFonts w:cs="Tahoma"/>
          <w:color w:val="000000" w:themeColor="text1"/>
          <w:sz w:val="18"/>
          <w:szCs w:val="18"/>
        </w:rPr>
        <w:t>Warunki takich kredytów, pożyczek pieniężnych, gwarancji bankowych i poręczeń, w tym zwłaszcza w</w:t>
      </w:r>
      <w:r w:rsidR="00280784" w:rsidRPr="00C11F75">
        <w:rPr>
          <w:rFonts w:cs="Tahoma"/>
          <w:color w:val="000000" w:themeColor="text1"/>
          <w:sz w:val="18"/>
          <w:szCs w:val="18"/>
        </w:rPr>
        <w:t> </w:t>
      </w:r>
      <w:r w:rsidRPr="00C11F75">
        <w:rPr>
          <w:rFonts w:cs="Tahoma"/>
          <w:color w:val="000000" w:themeColor="text1"/>
          <w:sz w:val="18"/>
          <w:szCs w:val="18"/>
        </w:rPr>
        <w:t>odniesieniu do oprocentowania oraz prowizji i opłat, nie mogą być korzystniejsze od warunków stosowanych przez Bank odpowiednio dla klientów detalicznych lub korporacyjnych.</w:t>
      </w:r>
    </w:p>
    <w:p w14:paraId="15B061D5" w14:textId="08DD3A11" w:rsidR="00E10FDA" w:rsidRPr="00C11F75" w:rsidRDefault="00E10FDA" w:rsidP="00EB604D">
      <w:pPr>
        <w:spacing w:before="120"/>
        <w:jc w:val="both"/>
        <w:rPr>
          <w:color w:val="000000" w:themeColor="text1"/>
          <w:sz w:val="18"/>
          <w:szCs w:val="18"/>
        </w:rPr>
      </w:pPr>
      <w:r w:rsidRPr="00C11F75">
        <w:rPr>
          <w:rFonts w:cs="Tahoma"/>
          <w:color w:val="000000" w:themeColor="text1"/>
          <w:sz w:val="18"/>
          <w:szCs w:val="18"/>
        </w:rPr>
        <w:t>Poniższa tabela przedstawia wartości tran</w:t>
      </w:r>
      <w:r w:rsidR="00CE69E6" w:rsidRPr="00C11F75">
        <w:rPr>
          <w:rFonts w:cs="Tahoma"/>
          <w:color w:val="000000" w:themeColor="text1"/>
          <w:sz w:val="18"/>
          <w:szCs w:val="18"/>
        </w:rPr>
        <w:t>sakcji Banku i spółek Grupy m</w:t>
      </w:r>
      <w:r w:rsidRPr="00C11F75">
        <w:rPr>
          <w:rFonts w:cs="Tahoma"/>
          <w:color w:val="000000" w:themeColor="text1"/>
          <w:sz w:val="18"/>
          <w:szCs w:val="18"/>
        </w:rPr>
        <w:t>Banku z Członkam</w:t>
      </w:r>
      <w:r w:rsidR="00CE69E6" w:rsidRPr="00C11F75">
        <w:rPr>
          <w:rFonts w:cs="Tahoma"/>
          <w:color w:val="000000" w:themeColor="text1"/>
          <w:sz w:val="18"/>
          <w:szCs w:val="18"/>
        </w:rPr>
        <w:t>i Rady Nadzorczej i Zarządu m</w:t>
      </w:r>
      <w:r w:rsidRPr="00C11F75">
        <w:rPr>
          <w:rFonts w:cs="Tahoma"/>
          <w:color w:val="000000" w:themeColor="text1"/>
          <w:sz w:val="18"/>
          <w:szCs w:val="18"/>
        </w:rPr>
        <w:t>Banku, kluczo</w:t>
      </w:r>
      <w:r w:rsidR="00CE69E6" w:rsidRPr="00C11F75">
        <w:rPr>
          <w:rFonts w:cs="Tahoma"/>
          <w:color w:val="000000" w:themeColor="text1"/>
          <w:sz w:val="18"/>
          <w:szCs w:val="18"/>
        </w:rPr>
        <w:t>wym personelem kierowniczym m</w:t>
      </w:r>
      <w:r w:rsidRPr="00C11F75">
        <w:rPr>
          <w:rFonts w:cs="Tahoma"/>
          <w:color w:val="000000" w:themeColor="text1"/>
          <w:sz w:val="18"/>
          <w:szCs w:val="18"/>
        </w:rPr>
        <w:t>Banku, Członkami Rady Nadzorczej i Zarządu Commerzbanku oraz innymi osobami i podmiotami powiązanymi, a także ze spółkami Grupy Commerzbank AG. Wartość transakcji obejmuje salda aktywów i zobowiązań oraz związane z nimi koszty i przychody wedłu</w:t>
      </w:r>
      <w:r w:rsidR="00CE69E6" w:rsidRPr="00C11F75">
        <w:rPr>
          <w:rFonts w:cs="Tahoma"/>
          <w:color w:val="000000" w:themeColor="text1"/>
          <w:sz w:val="18"/>
          <w:szCs w:val="18"/>
        </w:rPr>
        <w:t>g stanu na dzień 31 grudnia 201</w:t>
      </w:r>
      <w:r w:rsidR="00201B23" w:rsidRPr="00C11F75">
        <w:rPr>
          <w:rFonts w:cs="Tahoma"/>
          <w:color w:val="000000" w:themeColor="text1"/>
          <w:sz w:val="18"/>
          <w:szCs w:val="18"/>
        </w:rPr>
        <w:t>9</w:t>
      </w:r>
      <w:r w:rsidRPr="00C11F75">
        <w:rPr>
          <w:rFonts w:cs="Tahoma"/>
          <w:color w:val="000000" w:themeColor="text1"/>
          <w:sz w:val="18"/>
          <w:szCs w:val="18"/>
        </w:rPr>
        <w:t xml:space="preserve"> roku i 3</w:t>
      </w:r>
      <w:r w:rsidR="00CE69E6" w:rsidRPr="00C11F75">
        <w:rPr>
          <w:rFonts w:cs="Tahoma"/>
          <w:color w:val="000000" w:themeColor="text1"/>
          <w:sz w:val="18"/>
          <w:szCs w:val="18"/>
        </w:rPr>
        <w:t>1 grudnia 201</w:t>
      </w:r>
      <w:r w:rsidR="00201B23" w:rsidRPr="00C11F75">
        <w:rPr>
          <w:rFonts w:cs="Tahoma"/>
          <w:color w:val="000000" w:themeColor="text1"/>
          <w:sz w:val="18"/>
          <w:szCs w:val="18"/>
        </w:rPr>
        <w:t>8</w:t>
      </w:r>
      <w:r w:rsidRPr="00C11F75">
        <w:rPr>
          <w:rFonts w:cs="Tahoma"/>
          <w:color w:val="000000" w:themeColor="text1"/>
          <w:sz w:val="18"/>
          <w:szCs w:val="18"/>
        </w:rPr>
        <w:t xml:space="preserve"> roku.</w:t>
      </w:r>
    </w:p>
    <w:p w14:paraId="5E3AB745" w14:textId="095B08B5" w:rsidR="003754B8" w:rsidRDefault="003754B8" w:rsidP="004D7706">
      <w:pPr>
        <w:pStyle w:val="Notki"/>
        <w:suppressAutoHyphens/>
        <w:spacing w:after="0"/>
        <w:jc w:val="both"/>
        <w:rPr>
          <w:rFonts w:ascii="Verdana" w:hAnsi="Verdana" w:cs="Tahoma"/>
          <w:b w:val="0"/>
          <w:color w:val="201C17"/>
          <w:sz w:val="18"/>
          <w:szCs w:val="18"/>
          <w:u w:val="single"/>
        </w:rPr>
      </w:pPr>
    </w:p>
    <w:tbl>
      <w:tblPr>
        <w:tblW w:w="9639" w:type="dxa"/>
        <w:tblLayout w:type="fixed"/>
        <w:tblCellMar>
          <w:left w:w="28" w:type="dxa"/>
          <w:right w:w="28" w:type="dxa"/>
        </w:tblCellMar>
        <w:tblLook w:val="04A0" w:firstRow="1" w:lastRow="0" w:firstColumn="1" w:lastColumn="0" w:noHBand="0" w:noVBand="1"/>
      </w:tblPr>
      <w:tblGrid>
        <w:gridCol w:w="1929"/>
        <w:gridCol w:w="771"/>
        <w:gridCol w:w="771"/>
        <w:gridCol w:w="771"/>
        <w:gridCol w:w="771"/>
        <w:gridCol w:w="771"/>
        <w:gridCol w:w="771"/>
        <w:gridCol w:w="771"/>
        <w:gridCol w:w="771"/>
        <w:gridCol w:w="771"/>
        <w:gridCol w:w="771"/>
      </w:tblGrid>
      <w:tr w:rsidR="00D321D3" w:rsidRPr="00D321D3" w14:paraId="18B89E7A" w14:textId="77777777" w:rsidTr="003A457B">
        <w:trPr>
          <w:trHeight w:val="624"/>
        </w:trPr>
        <w:tc>
          <w:tcPr>
            <w:tcW w:w="1843" w:type="dxa"/>
            <w:tcBorders>
              <w:top w:val="nil"/>
              <w:left w:val="nil"/>
              <w:right w:val="single" w:sz="8" w:space="0" w:color="FFFFFF"/>
            </w:tcBorders>
            <w:shd w:val="clear" w:color="000000" w:fill="0077BD"/>
            <w:vAlign w:val="center"/>
            <w:hideMark/>
          </w:tcPr>
          <w:p w14:paraId="78B539DA" w14:textId="77777777" w:rsidR="00D321D3" w:rsidRPr="00D321D3" w:rsidRDefault="00D321D3" w:rsidP="00D321D3">
            <w:pPr>
              <w:rPr>
                <w:rFonts w:cs="Calibri"/>
                <w:b/>
                <w:bCs/>
                <w:color w:val="FFFFFF"/>
                <w:sz w:val="10"/>
                <w:szCs w:val="10"/>
              </w:rPr>
            </w:pPr>
            <w:r w:rsidRPr="00D321D3">
              <w:rPr>
                <w:rFonts w:cs="Calibri"/>
                <w:b/>
                <w:bCs/>
                <w:color w:val="FFFFFF"/>
                <w:sz w:val="10"/>
                <w:szCs w:val="10"/>
              </w:rPr>
              <w:t>31.12.2019</w:t>
            </w:r>
          </w:p>
        </w:tc>
        <w:tc>
          <w:tcPr>
            <w:tcW w:w="737" w:type="dxa"/>
            <w:gridSpan w:val="2"/>
            <w:tcBorders>
              <w:top w:val="nil"/>
              <w:left w:val="nil"/>
              <w:right w:val="single" w:sz="8" w:space="0" w:color="FFFFFF"/>
            </w:tcBorders>
            <w:shd w:val="clear" w:color="000000" w:fill="0077BD"/>
            <w:vAlign w:val="center"/>
            <w:hideMark/>
          </w:tcPr>
          <w:p w14:paraId="5B795BC0" w14:textId="77777777" w:rsidR="00D321D3" w:rsidRPr="00D321D3" w:rsidRDefault="00D321D3" w:rsidP="00D321D3">
            <w:pPr>
              <w:jc w:val="center"/>
              <w:rPr>
                <w:rFonts w:cs="Calibri"/>
                <w:b/>
                <w:bCs/>
                <w:color w:val="FFFFFF"/>
                <w:sz w:val="10"/>
                <w:szCs w:val="10"/>
              </w:rPr>
            </w:pPr>
            <w:r w:rsidRPr="00D321D3">
              <w:rPr>
                <w:rFonts w:cs="Calibri"/>
                <w:b/>
                <w:bCs/>
                <w:color w:val="FFFFFF"/>
                <w:sz w:val="10"/>
                <w:szCs w:val="10"/>
              </w:rPr>
              <w:t>Członkowie Rady Nadzorczej i Zarządu mBanku, kluczowy personel kierowniczy mBanku, Członkowie Rady Nadzorczej i Zarządu Commerzbanku</w:t>
            </w:r>
          </w:p>
        </w:tc>
        <w:tc>
          <w:tcPr>
            <w:tcW w:w="737" w:type="dxa"/>
            <w:gridSpan w:val="2"/>
            <w:tcBorders>
              <w:top w:val="nil"/>
              <w:left w:val="nil"/>
              <w:right w:val="single" w:sz="8" w:space="0" w:color="FFFFFF"/>
            </w:tcBorders>
            <w:shd w:val="clear" w:color="000000" w:fill="0077BD"/>
            <w:vAlign w:val="center"/>
            <w:hideMark/>
          </w:tcPr>
          <w:p w14:paraId="59C1C2D2" w14:textId="77777777" w:rsidR="00D321D3" w:rsidRPr="00D321D3" w:rsidRDefault="00D321D3" w:rsidP="00D321D3">
            <w:pPr>
              <w:jc w:val="center"/>
              <w:rPr>
                <w:rFonts w:cs="Calibri"/>
                <w:b/>
                <w:bCs/>
                <w:color w:val="FFFFFF"/>
                <w:sz w:val="10"/>
                <w:szCs w:val="10"/>
              </w:rPr>
            </w:pPr>
            <w:r w:rsidRPr="00D321D3">
              <w:rPr>
                <w:rFonts w:cs="Calibri"/>
                <w:b/>
                <w:bCs/>
                <w:color w:val="FFFFFF"/>
                <w:sz w:val="10"/>
                <w:szCs w:val="10"/>
              </w:rPr>
              <w:t xml:space="preserve">Inne osoby i podmioty powiązane* </w:t>
            </w:r>
          </w:p>
        </w:tc>
        <w:tc>
          <w:tcPr>
            <w:tcW w:w="737" w:type="dxa"/>
            <w:gridSpan w:val="2"/>
            <w:tcBorders>
              <w:top w:val="nil"/>
              <w:left w:val="nil"/>
              <w:right w:val="single" w:sz="8" w:space="0" w:color="FFFFFF"/>
            </w:tcBorders>
            <w:shd w:val="clear" w:color="000000" w:fill="0077BD"/>
            <w:vAlign w:val="center"/>
            <w:hideMark/>
          </w:tcPr>
          <w:p w14:paraId="795BC59B" w14:textId="1041E4A1" w:rsidR="00D321D3" w:rsidRPr="00D321D3" w:rsidRDefault="00566437" w:rsidP="00D321D3">
            <w:pPr>
              <w:jc w:val="center"/>
              <w:rPr>
                <w:rFonts w:cs="Calibri"/>
                <w:b/>
                <w:bCs/>
                <w:color w:val="FFFFFF"/>
                <w:sz w:val="10"/>
                <w:szCs w:val="10"/>
              </w:rPr>
            </w:pPr>
            <w:r>
              <w:rPr>
                <w:rFonts w:cs="Calibri"/>
                <w:b/>
                <w:bCs/>
                <w:color w:val="FFFFFF"/>
                <w:sz w:val="10"/>
                <w:szCs w:val="10"/>
              </w:rPr>
              <w:t>Spółki zależne</w:t>
            </w:r>
            <w:r w:rsidR="00D321D3" w:rsidRPr="00D321D3">
              <w:rPr>
                <w:rFonts w:cs="Calibri"/>
                <w:b/>
                <w:bCs/>
                <w:color w:val="FFFFFF"/>
                <w:sz w:val="10"/>
                <w:szCs w:val="10"/>
              </w:rPr>
              <w:t xml:space="preserve"> mBanku</w:t>
            </w:r>
          </w:p>
        </w:tc>
        <w:tc>
          <w:tcPr>
            <w:tcW w:w="737" w:type="dxa"/>
            <w:gridSpan w:val="2"/>
            <w:tcBorders>
              <w:top w:val="nil"/>
              <w:left w:val="nil"/>
              <w:right w:val="single" w:sz="8" w:space="0" w:color="FFFFFF"/>
            </w:tcBorders>
            <w:shd w:val="clear" w:color="000000" w:fill="0077BD"/>
            <w:vAlign w:val="center"/>
            <w:hideMark/>
          </w:tcPr>
          <w:p w14:paraId="50B8CAE9" w14:textId="77777777" w:rsidR="00D321D3" w:rsidRPr="00D321D3" w:rsidRDefault="00D321D3" w:rsidP="00D321D3">
            <w:pPr>
              <w:jc w:val="center"/>
              <w:rPr>
                <w:rFonts w:cs="Calibri"/>
                <w:b/>
                <w:bCs/>
                <w:color w:val="FFFFFF"/>
                <w:sz w:val="10"/>
                <w:szCs w:val="10"/>
              </w:rPr>
            </w:pPr>
            <w:r w:rsidRPr="00D321D3">
              <w:rPr>
                <w:rFonts w:cs="Calibri"/>
                <w:b/>
                <w:bCs/>
                <w:color w:val="FFFFFF"/>
                <w:sz w:val="10"/>
                <w:szCs w:val="10"/>
              </w:rPr>
              <w:t>Commerzbank AG</w:t>
            </w:r>
          </w:p>
        </w:tc>
        <w:tc>
          <w:tcPr>
            <w:tcW w:w="737" w:type="dxa"/>
            <w:gridSpan w:val="2"/>
            <w:tcBorders>
              <w:top w:val="nil"/>
              <w:left w:val="nil"/>
              <w:right w:val="nil"/>
            </w:tcBorders>
            <w:shd w:val="clear" w:color="000000" w:fill="0077BD"/>
            <w:vAlign w:val="center"/>
            <w:hideMark/>
          </w:tcPr>
          <w:p w14:paraId="5C4D335F" w14:textId="77777777" w:rsidR="00D321D3" w:rsidRPr="00D321D3" w:rsidRDefault="00D321D3" w:rsidP="00D321D3">
            <w:pPr>
              <w:jc w:val="center"/>
              <w:rPr>
                <w:rFonts w:cs="Calibri"/>
                <w:b/>
                <w:bCs/>
                <w:color w:val="FFFFFF"/>
                <w:sz w:val="10"/>
                <w:szCs w:val="10"/>
              </w:rPr>
            </w:pPr>
            <w:r w:rsidRPr="00D321D3">
              <w:rPr>
                <w:rFonts w:cs="Calibri"/>
                <w:b/>
                <w:bCs/>
                <w:color w:val="FFFFFF"/>
                <w:sz w:val="10"/>
                <w:szCs w:val="10"/>
              </w:rPr>
              <w:t>Pozostałe spółki Grupy Commerzbank AG</w:t>
            </w:r>
          </w:p>
        </w:tc>
      </w:tr>
      <w:tr w:rsidR="003A457B" w:rsidRPr="00C11F75" w14:paraId="67FD12F5" w14:textId="77777777" w:rsidTr="003A457B">
        <w:trPr>
          <w:trHeight w:val="284"/>
        </w:trPr>
        <w:tc>
          <w:tcPr>
            <w:tcW w:w="1843" w:type="dxa"/>
            <w:tcBorders>
              <w:top w:val="nil"/>
              <w:left w:val="nil"/>
              <w:bottom w:val="single" w:sz="8" w:space="0" w:color="0076BD"/>
              <w:right w:val="single" w:sz="8" w:space="0" w:color="0076BD"/>
            </w:tcBorders>
            <w:shd w:val="clear" w:color="auto" w:fill="auto"/>
            <w:vAlign w:val="center"/>
            <w:hideMark/>
          </w:tcPr>
          <w:p w14:paraId="7DA4756C" w14:textId="77777777" w:rsidR="00D321D3" w:rsidRPr="00C74EF9" w:rsidRDefault="00D321D3" w:rsidP="00D321D3">
            <w:pPr>
              <w:rPr>
                <w:rFonts w:cs="Calibri"/>
                <w:b/>
                <w:bCs/>
                <w:color w:val="000000" w:themeColor="text1"/>
                <w:sz w:val="10"/>
                <w:szCs w:val="10"/>
              </w:rPr>
            </w:pPr>
            <w:r w:rsidRPr="00C74EF9">
              <w:rPr>
                <w:rFonts w:cs="Calibri"/>
                <w:b/>
                <w:bCs/>
                <w:color w:val="000000" w:themeColor="text1"/>
                <w:sz w:val="10"/>
                <w:szCs w:val="10"/>
              </w:rPr>
              <w:t>Stan na koniec okresu</w:t>
            </w:r>
          </w:p>
        </w:tc>
        <w:tc>
          <w:tcPr>
            <w:tcW w:w="737" w:type="dxa"/>
            <w:tcBorders>
              <w:top w:val="nil"/>
              <w:left w:val="nil"/>
              <w:bottom w:val="single" w:sz="8" w:space="0" w:color="0076BD"/>
              <w:right w:val="single" w:sz="8" w:space="0" w:color="0076BD"/>
            </w:tcBorders>
            <w:shd w:val="clear" w:color="auto" w:fill="auto"/>
            <w:noWrap/>
            <w:vAlign w:val="center"/>
            <w:hideMark/>
          </w:tcPr>
          <w:p w14:paraId="2939BEE6"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31.12.2019</w:t>
            </w:r>
          </w:p>
        </w:tc>
        <w:tc>
          <w:tcPr>
            <w:tcW w:w="737" w:type="dxa"/>
            <w:tcBorders>
              <w:top w:val="nil"/>
              <w:left w:val="nil"/>
              <w:bottom w:val="single" w:sz="8" w:space="0" w:color="0076BD"/>
              <w:right w:val="single" w:sz="8" w:space="0" w:color="0076BD"/>
            </w:tcBorders>
            <w:shd w:val="clear" w:color="auto" w:fill="auto"/>
            <w:noWrap/>
            <w:vAlign w:val="center"/>
            <w:hideMark/>
          </w:tcPr>
          <w:p w14:paraId="275D5167"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31.12.2018</w:t>
            </w:r>
          </w:p>
        </w:tc>
        <w:tc>
          <w:tcPr>
            <w:tcW w:w="737" w:type="dxa"/>
            <w:tcBorders>
              <w:top w:val="nil"/>
              <w:left w:val="nil"/>
              <w:bottom w:val="single" w:sz="8" w:space="0" w:color="0076BD"/>
              <w:right w:val="single" w:sz="8" w:space="0" w:color="0076BD"/>
            </w:tcBorders>
            <w:shd w:val="clear" w:color="auto" w:fill="auto"/>
            <w:noWrap/>
            <w:vAlign w:val="center"/>
            <w:hideMark/>
          </w:tcPr>
          <w:p w14:paraId="420899B6"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31.12.2019</w:t>
            </w:r>
          </w:p>
        </w:tc>
        <w:tc>
          <w:tcPr>
            <w:tcW w:w="737" w:type="dxa"/>
            <w:tcBorders>
              <w:top w:val="nil"/>
              <w:left w:val="nil"/>
              <w:bottom w:val="single" w:sz="8" w:space="0" w:color="0076BD"/>
              <w:right w:val="single" w:sz="8" w:space="0" w:color="0076BD"/>
            </w:tcBorders>
            <w:shd w:val="clear" w:color="auto" w:fill="auto"/>
            <w:noWrap/>
            <w:vAlign w:val="center"/>
            <w:hideMark/>
          </w:tcPr>
          <w:p w14:paraId="5EFDA4EC"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31.12.2018</w:t>
            </w:r>
          </w:p>
        </w:tc>
        <w:tc>
          <w:tcPr>
            <w:tcW w:w="737" w:type="dxa"/>
            <w:tcBorders>
              <w:top w:val="nil"/>
              <w:left w:val="nil"/>
              <w:bottom w:val="single" w:sz="8" w:space="0" w:color="0076BD"/>
              <w:right w:val="single" w:sz="8" w:space="0" w:color="0076BD"/>
            </w:tcBorders>
            <w:shd w:val="clear" w:color="auto" w:fill="auto"/>
            <w:noWrap/>
            <w:vAlign w:val="center"/>
            <w:hideMark/>
          </w:tcPr>
          <w:p w14:paraId="43ACC85A"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31.12.2019</w:t>
            </w:r>
          </w:p>
        </w:tc>
        <w:tc>
          <w:tcPr>
            <w:tcW w:w="737" w:type="dxa"/>
            <w:tcBorders>
              <w:top w:val="nil"/>
              <w:left w:val="nil"/>
              <w:bottom w:val="single" w:sz="8" w:space="0" w:color="0076BD"/>
              <w:right w:val="single" w:sz="8" w:space="0" w:color="0076BD"/>
            </w:tcBorders>
            <w:shd w:val="clear" w:color="auto" w:fill="auto"/>
            <w:noWrap/>
            <w:vAlign w:val="center"/>
            <w:hideMark/>
          </w:tcPr>
          <w:p w14:paraId="568EFDA2"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31.12.2018</w:t>
            </w:r>
          </w:p>
        </w:tc>
        <w:tc>
          <w:tcPr>
            <w:tcW w:w="737" w:type="dxa"/>
            <w:tcBorders>
              <w:top w:val="nil"/>
              <w:left w:val="nil"/>
              <w:bottom w:val="single" w:sz="8" w:space="0" w:color="0076BD"/>
              <w:right w:val="single" w:sz="8" w:space="0" w:color="0076BD"/>
            </w:tcBorders>
            <w:shd w:val="clear" w:color="auto" w:fill="auto"/>
            <w:noWrap/>
            <w:vAlign w:val="center"/>
            <w:hideMark/>
          </w:tcPr>
          <w:p w14:paraId="46A520FE"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31.12.2019</w:t>
            </w:r>
          </w:p>
        </w:tc>
        <w:tc>
          <w:tcPr>
            <w:tcW w:w="737" w:type="dxa"/>
            <w:tcBorders>
              <w:top w:val="nil"/>
              <w:left w:val="nil"/>
              <w:bottom w:val="single" w:sz="8" w:space="0" w:color="0076BD"/>
              <w:right w:val="single" w:sz="8" w:space="0" w:color="0076BD"/>
            </w:tcBorders>
            <w:shd w:val="clear" w:color="auto" w:fill="auto"/>
            <w:noWrap/>
            <w:vAlign w:val="center"/>
            <w:hideMark/>
          </w:tcPr>
          <w:p w14:paraId="47EF94C1"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31.12.2018</w:t>
            </w:r>
          </w:p>
        </w:tc>
        <w:tc>
          <w:tcPr>
            <w:tcW w:w="737" w:type="dxa"/>
            <w:tcBorders>
              <w:top w:val="nil"/>
              <w:left w:val="nil"/>
              <w:bottom w:val="single" w:sz="8" w:space="0" w:color="0076BD"/>
              <w:right w:val="single" w:sz="8" w:space="0" w:color="0076BD"/>
            </w:tcBorders>
            <w:shd w:val="clear" w:color="auto" w:fill="auto"/>
            <w:noWrap/>
            <w:vAlign w:val="center"/>
            <w:hideMark/>
          </w:tcPr>
          <w:p w14:paraId="4D2A79D8"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31.12.2019</w:t>
            </w:r>
          </w:p>
        </w:tc>
        <w:tc>
          <w:tcPr>
            <w:tcW w:w="737" w:type="dxa"/>
            <w:tcBorders>
              <w:top w:val="nil"/>
              <w:left w:val="nil"/>
              <w:bottom w:val="single" w:sz="8" w:space="0" w:color="0076BD"/>
              <w:right w:val="nil"/>
            </w:tcBorders>
            <w:shd w:val="clear" w:color="auto" w:fill="auto"/>
            <w:noWrap/>
            <w:vAlign w:val="center"/>
            <w:hideMark/>
          </w:tcPr>
          <w:p w14:paraId="7191231D" w14:textId="77777777" w:rsidR="00D321D3" w:rsidRPr="00C74EF9" w:rsidRDefault="00D321D3" w:rsidP="00D321D3">
            <w:pPr>
              <w:jc w:val="right"/>
              <w:rPr>
                <w:rFonts w:cs="Calibri"/>
                <w:b/>
                <w:bCs/>
                <w:color w:val="000000" w:themeColor="text1"/>
                <w:sz w:val="10"/>
                <w:szCs w:val="10"/>
              </w:rPr>
            </w:pPr>
            <w:r w:rsidRPr="00C74EF9">
              <w:rPr>
                <w:rFonts w:cs="Calibri"/>
                <w:b/>
                <w:bCs/>
                <w:color w:val="000000" w:themeColor="text1"/>
                <w:sz w:val="10"/>
                <w:szCs w:val="10"/>
              </w:rPr>
              <w:t>31.12.2018</w:t>
            </w:r>
          </w:p>
        </w:tc>
      </w:tr>
      <w:tr w:rsidR="00D321D3" w:rsidRPr="00C11F75" w14:paraId="1E1B3643" w14:textId="77777777" w:rsidTr="003A457B">
        <w:trPr>
          <w:trHeight w:val="284"/>
        </w:trPr>
        <w:tc>
          <w:tcPr>
            <w:tcW w:w="737" w:type="dxa"/>
            <w:gridSpan w:val="11"/>
            <w:tcBorders>
              <w:top w:val="nil"/>
              <w:left w:val="nil"/>
              <w:bottom w:val="nil"/>
              <w:right w:val="nil"/>
            </w:tcBorders>
            <w:shd w:val="clear" w:color="auto" w:fill="auto"/>
            <w:vAlign w:val="center"/>
            <w:hideMark/>
          </w:tcPr>
          <w:p w14:paraId="595146EF" w14:textId="4C1B235E" w:rsidR="00D321D3" w:rsidRPr="00C74EF9" w:rsidRDefault="00D321D3" w:rsidP="00D321D3">
            <w:pPr>
              <w:rPr>
                <w:color w:val="000000" w:themeColor="text1"/>
                <w:sz w:val="10"/>
                <w:szCs w:val="10"/>
              </w:rPr>
            </w:pPr>
            <w:r w:rsidRPr="00C74EF9">
              <w:rPr>
                <w:rFonts w:cs="Calibri"/>
                <w:b/>
                <w:bCs/>
                <w:color w:val="000000" w:themeColor="text1"/>
                <w:sz w:val="10"/>
                <w:szCs w:val="10"/>
              </w:rPr>
              <w:t>Sprawozdanie z sytuacji finansowej</w:t>
            </w:r>
          </w:p>
        </w:tc>
      </w:tr>
      <w:tr w:rsidR="003A457B" w:rsidRPr="00C11F75" w14:paraId="1A7B3A8D" w14:textId="77777777" w:rsidTr="003A457B">
        <w:trPr>
          <w:trHeight w:val="284"/>
        </w:trPr>
        <w:tc>
          <w:tcPr>
            <w:tcW w:w="1843" w:type="dxa"/>
            <w:tcBorders>
              <w:top w:val="single" w:sz="8" w:space="0" w:color="0077BD"/>
              <w:left w:val="nil"/>
              <w:bottom w:val="single" w:sz="4" w:space="0" w:color="0077BD"/>
              <w:right w:val="single" w:sz="8" w:space="0" w:color="0077BD"/>
            </w:tcBorders>
            <w:shd w:val="clear" w:color="auto" w:fill="auto"/>
            <w:vAlign w:val="center"/>
            <w:hideMark/>
          </w:tcPr>
          <w:p w14:paraId="14FD7059"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Aktywa</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59CBCF29" w14:textId="22376F57"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2 040</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7AD7470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3 247</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2FCC263E" w14:textId="5DF87133"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2 058</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45E3DE95"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1 583</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51DECD9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160 187</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6B824DC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00EDE9E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528 688</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42327E35"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555 810</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2620A1CE"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19</w:t>
            </w:r>
          </w:p>
        </w:tc>
        <w:tc>
          <w:tcPr>
            <w:tcW w:w="737" w:type="dxa"/>
            <w:tcBorders>
              <w:top w:val="single" w:sz="8" w:space="0" w:color="0077BD"/>
              <w:left w:val="nil"/>
              <w:bottom w:val="single" w:sz="4" w:space="0" w:color="0077BD"/>
              <w:right w:val="nil"/>
            </w:tcBorders>
            <w:shd w:val="clear" w:color="auto" w:fill="auto"/>
            <w:vAlign w:val="center"/>
            <w:hideMark/>
          </w:tcPr>
          <w:p w14:paraId="4CEC260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7 587</w:t>
            </w:r>
          </w:p>
        </w:tc>
      </w:tr>
      <w:tr w:rsidR="003A457B" w:rsidRPr="00C11F75" w14:paraId="0527FC9C" w14:textId="77777777" w:rsidTr="003A457B">
        <w:trPr>
          <w:trHeight w:val="284"/>
        </w:trPr>
        <w:tc>
          <w:tcPr>
            <w:tcW w:w="1843" w:type="dxa"/>
            <w:tcBorders>
              <w:top w:val="nil"/>
              <w:left w:val="nil"/>
              <w:bottom w:val="single" w:sz="8" w:space="0" w:color="0077BD"/>
              <w:right w:val="single" w:sz="8" w:space="0" w:color="0077BD"/>
            </w:tcBorders>
            <w:shd w:val="clear" w:color="auto" w:fill="auto"/>
            <w:vAlign w:val="center"/>
            <w:hideMark/>
          </w:tcPr>
          <w:p w14:paraId="0481F790"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Zobowiązania</w:t>
            </w:r>
          </w:p>
        </w:tc>
        <w:tc>
          <w:tcPr>
            <w:tcW w:w="737" w:type="dxa"/>
            <w:tcBorders>
              <w:top w:val="nil"/>
              <w:left w:val="nil"/>
              <w:bottom w:val="single" w:sz="8" w:space="0" w:color="0077BD"/>
              <w:right w:val="single" w:sz="8" w:space="0" w:color="0077BD"/>
            </w:tcBorders>
            <w:shd w:val="clear" w:color="auto" w:fill="auto"/>
            <w:vAlign w:val="center"/>
          </w:tcPr>
          <w:p w14:paraId="0902F59B" w14:textId="759A5332"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23 422</w:t>
            </w:r>
          </w:p>
        </w:tc>
        <w:tc>
          <w:tcPr>
            <w:tcW w:w="737" w:type="dxa"/>
            <w:tcBorders>
              <w:top w:val="nil"/>
              <w:left w:val="nil"/>
              <w:bottom w:val="single" w:sz="8" w:space="0" w:color="0077BD"/>
              <w:right w:val="single" w:sz="8" w:space="0" w:color="0077BD"/>
            </w:tcBorders>
            <w:shd w:val="clear" w:color="auto" w:fill="auto"/>
            <w:vAlign w:val="center"/>
            <w:hideMark/>
          </w:tcPr>
          <w:p w14:paraId="5194E7D1"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14 909</w:t>
            </w:r>
          </w:p>
        </w:tc>
        <w:tc>
          <w:tcPr>
            <w:tcW w:w="737" w:type="dxa"/>
            <w:tcBorders>
              <w:top w:val="nil"/>
              <w:left w:val="nil"/>
              <w:bottom w:val="single" w:sz="8" w:space="0" w:color="0077BD"/>
              <w:right w:val="single" w:sz="8" w:space="0" w:color="0077BD"/>
            </w:tcBorders>
            <w:shd w:val="clear" w:color="auto" w:fill="auto"/>
            <w:vAlign w:val="center"/>
          </w:tcPr>
          <w:p w14:paraId="588E12B8" w14:textId="5C082B47"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1 484</w:t>
            </w:r>
          </w:p>
        </w:tc>
        <w:tc>
          <w:tcPr>
            <w:tcW w:w="737" w:type="dxa"/>
            <w:tcBorders>
              <w:top w:val="nil"/>
              <w:left w:val="nil"/>
              <w:bottom w:val="single" w:sz="8" w:space="0" w:color="0077BD"/>
              <w:right w:val="single" w:sz="8" w:space="0" w:color="0077BD"/>
            </w:tcBorders>
            <w:shd w:val="clear" w:color="auto" w:fill="auto"/>
            <w:vAlign w:val="center"/>
            <w:hideMark/>
          </w:tcPr>
          <w:p w14:paraId="5D70F5DB"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1 955</w:t>
            </w:r>
          </w:p>
        </w:tc>
        <w:tc>
          <w:tcPr>
            <w:tcW w:w="737" w:type="dxa"/>
            <w:tcBorders>
              <w:top w:val="nil"/>
              <w:left w:val="nil"/>
              <w:bottom w:val="single" w:sz="8" w:space="0" w:color="0077BD"/>
              <w:right w:val="single" w:sz="8" w:space="0" w:color="0077BD"/>
            </w:tcBorders>
            <w:shd w:val="clear" w:color="auto" w:fill="auto"/>
            <w:vAlign w:val="center"/>
            <w:hideMark/>
          </w:tcPr>
          <w:p w14:paraId="5194CAAB"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31 518</w:t>
            </w:r>
          </w:p>
        </w:tc>
        <w:tc>
          <w:tcPr>
            <w:tcW w:w="737" w:type="dxa"/>
            <w:tcBorders>
              <w:top w:val="nil"/>
              <w:left w:val="nil"/>
              <w:bottom w:val="single" w:sz="8" w:space="0" w:color="0077BD"/>
              <w:right w:val="single" w:sz="8" w:space="0" w:color="0077BD"/>
            </w:tcBorders>
            <w:shd w:val="clear" w:color="auto" w:fill="auto"/>
            <w:vAlign w:val="center"/>
            <w:hideMark/>
          </w:tcPr>
          <w:p w14:paraId="542FE27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24 895</w:t>
            </w:r>
          </w:p>
        </w:tc>
        <w:tc>
          <w:tcPr>
            <w:tcW w:w="737" w:type="dxa"/>
            <w:tcBorders>
              <w:top w:val="nil"/>
              <w:left w:val="nil"/>
              <w:bottom w:val="single" w:sz="8" w:space="0" w:color="0077BD"/>
              <w:right w:val="single" w:sz="8" w:space="0" w:color="0077BD"/>
            </w:tcBorders>
            <w:shd w:val="clear" w:color="auto" w:fill="auto"/>
            <w:vAlign w:val="center"/>
            <w:hideMark/>
          </w:tcPr>
          <w:p w14:paraId="4C1052C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2 059 006</w:t>
            </w:r>
          </w:p>
        </w:tc>
        <w:tc>
          <w:tcPr>
            <w:tcW w:w="737" w:type="dxa"/>
            <w:tcBorders>
              <w:top w:val="nil"/>
              <w:left w:val="nil"/>
              <w:bottom w:val="single" w:sz="8" w:space="0" w:color="0077BD"/>
              <w:right w:val="single" w:sz="8" w:space="0" w:color="0077BD"/>
            </w:tcBorders>
            <w:shd w:val="clear" w:color="auto" w:fill="auto"/>
            <w:vAlign w:val="center"/>
            <w:hideMark/>
          </w:tcPr>
          <w:p w14:paraId="2944DB8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2 188 337</w:t>
            </w:r>
          </w:p>
        </w:tc>
        <w:tc>
          <w:tcPr>
            <w:tcW w:w="737" w:type="dxa"/>
            <w:tcBorders>
              <w:top w:val="nil"/>
              <w:left w:val="nil"/>
              <w:bottom w:val="single" w:sz="8" w:space="0" w:color="0077BD"/>
              <w:right w:val="single" w:sz="8" w:space="0" w:color="0077BD"/>
            </w:tcBorders>
            <w:shd w:val="clear" w:color="auto" w:fill="auto"/>
            <w:vAlign w:val="center"/>
            <w:hideMark/>
          </w:tcPr>
          <w:p w14:paraId="51A5F90B"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709 071</w:t>
            </w:r>
          </w:p>
        </w:tc>
        <w:tc>
          <w:tcPr>
            <w:tcW w:w="737" w:type="dxa"/>
            <w:tcBorders>
              <w:top w:val="nil"/>
              <w:left w:val="nil"/>
              <w:bottom w:val="single" w:sz="8" w:space="0" w:color="0077BD"/>
              <w:right w:val="nil"/>
            </w:tcBorders>
            <w:shd w:val="clear" w:color="auto" w:fill="auto"/>
            <w:vAlign w:val="center"/>
            <w:hideMark/>
          </w:tcPr>
          <w:p w14:paraId="67500DA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968 311</w:t>
            </w:r>
          </w:p>
        </w:tc>
      </w:tr>
      <w:tr w:rsidR="00D321D3" w:rsidRPr="00C11F75" w14:paraId="35BEDE1C" w14:textId="77777777" w:rsidTr="003A457B">
        <w:trPr>
          <w:trHeight w:val="284"/>
        </w:trPr>
        <w:tc>
          <w:tcPr>
            <w:tcW w:w="737" w:type="dxa"/>
            <w:gridSpan w:val="11"/>
            <w:tcBorders>
              <w:top w:val="nil"/>
              <w:left w:val="nil"/>
              <w:bottom w:val="nil"/>
              <w:right w:val="nil"/>
            </w:tcBorders>
            <w:shd w:val="clear" w:color="auto" w:fill="auto"/>
            <w:vAlign w:val="center"/>
            <w:hideMark/>
          </w:tcPr>
          <w:p w14:paraId="242EE2C8" w14:textId="50889BE1" w:rsidR="00D321D3" w:rsidRPr="00C74EF9" w:rsidRDefault="00D321D3" w:rsidP="00D321D3">
            <w:pPr>
              <w:rPr>
                <w:color w:val="000000" w:themeColor="text1"/>
                <w:sz w:val="10"/>
                <w:szCs w:val="10"/>
              </w:rPr>
            </w:pPr>
            <w:r w:rsidRPr="00C74EF9">
              <w:rPr>
                <w:rFonts w:cs="Calibri"/>
                <w:b/>
                <w:bCs/>
                <w:color w:val="000000" w:themeColor="text1"/>
                <w:sz w:val="10"/>
                <w:szCs w:val="10"/>
              </w:rPr>
              <w:t>Rachunek zysków i strat</w:t>
            </w:r>
          </w:p>
        </w:tc>
      </w:tr>
      <w:tr w:rsidR="003A457B" w:rsidRPr="00C11F75" w14:paraId="7C7C6817" w14:textId="77777777" w:rsidTr="003A457B">
        <w:trPr>
          <w:trHeight w:val="284"/>
        </w:trPr>
        <w:tc>
          <w:tcPr>
            <w:tcW w:w="1843" w:type="dxa"/>
            <w:tcBorders>
              <w:top w:val="single" w:sz="8" w:space="0" w:color="0077BD"/>
              <w:left w:val="nil"/>
              <w:bottom w:val="single" w:sz="4" w:space="0" w:color="0077BD"/>
              <w:right w:val="single" w:sz="8" w:space="0" w:color="0077BD"/>
            </w:tcBorders>
            <w:shd w:val="clear" w:color="auto" w:fill="auto"/>
            <w:vAlign w:val="center"/>
            <w:hideMark/>
          </w:tcPr>
          <w:p w14:paraId="765BAEA3"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Przychody z tytułu odsetek</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36479495" w14:textId="70F26588"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53</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731BEB3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90</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111BD468" w14:textId="3ED326B1"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70</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73B0666E"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49</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5156833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8 154</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7EF3EB1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12 147</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6E8F51C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59 928</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0B406F7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100 581</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420223E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698</w:t>
            </w:r>
          </w:p>
        </w:tc>
        <w:tc>
          <w:tcPr>
            <w:tcW w:w="737" w:type="dxa"/>
            <w:tcBorders>
              <w:top w:val="single" w:sz="8" w:space="0" w:color="0077BD"/>
              <w:left w:val="nil"/>
              <w:bottom w:val="single" w:sz="4" w:space="0" w:color="0077BD"/>
              <w:right w:val="nil"/>
            </w:tcBorders>
            <w:shd w:val="clear" w:color="auto" w:fill="auto"/>
            <w:vAlign w:val="center"/>
            <w:hideMark/>
          </w:tcPr>
          <w:p w14:paraId="6727C9F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535</w:t>
            </w:r>
          </w:p>
        </w:tc>
      </w:tr>
      <w:tr w:rsidR="003A457B" w:rsidRPr="00C11F75" w14:paraId="6D1A723D" w14:textId="77777777" w:rsidTr="003A457B">
        <w:trPr>
          <w:trHeight w:val="284"/>
        </w:trPr>
        <w:tc>
          <w:tcPr>
            <w:tcW w:w="1843" w:type="dxa"/>
            <w:tcBorders>
              <w:top w:val="nil"/>
              <w:left w:val="nil"/>
              <w:bottom w:val="single" w:sz="4" w:space="0" w:color="0077BD"/>
              <w:right w:val="single" w:sz="8" w:space="0" w:color="0077BD"/>
            </w:tcBorders>
            <w:shd w:val="clear" w:color="auto" w:fill="auto"/>
            <w:vAlign w:val="center"/>
            <w:hideMark/>
          </w:tcPr>
          <w:p w14:paraId="4BB22640"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Koszty z tytułu odsetek</w:t>
            </w:r>
          </w:p>
        </w:tc>
        <w:tc>
          <w:tcPr>
            <w:tcW w:w="737" w:type="dxa"/>
            <w:tcBorders>
              <w:top w:val="nil"/>
              <w:left w:val="nil"/>
              <w:bottom w:val="single" w:sz="4" w:space="0" w:color="0077BD"/>
              <w:right w:val="single" w:sz="8" w:space="0" w:color="0077BD"/>
            </w:tcBorders>
            <w:shd w:val="clear" w:color="auto" w:fill="auto"/>
            <w:vAlign w:val="center"/>
          </w:tcPr>
          <w:p w14:paraId="0C7254AC" w14:textId="7E007F80"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(158)</w:t>
            </w:r>
          </w:p>
        </w:tc>
        <w:tc>
          <w:tcPr>
            <w:tcW w:w="737" w:type="dxa"/>
            <w:tcBorders>
              <w:top w:val="nil"/>
              <w:left w:val="nil"/>
              <w:bottom w:val="single" w:sz="4" w:space="0" w:color="0077BD"/>
              <w:right w:val="single" w:sz="8" w:space="0" w:color="0077BD"/>
            </w:tcBorders>
            <w:shd w:val="clear" w:color="auto" w:fill="auto"/>
            <w:vAlign w:val="center"/>
            <w:hideMark/>
          </w:tcPr>
          <w:p w14:paraId="192701C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(77)</w:t>
            </w:r>
          </w:p>
        </w:tc>
        <w:tc>
          <w:tcPr>
            <w:tcW w:w="737" w:type="dxa"/>
            <w:tcBorders>
              <w:top w:val="nil"/>
              <w:left w:val="nil"/>
              <w:bottom w:val="single" w:sz="4" w:space="0" w:color="0077BD"/>
              <w:right w:val="single" w:sz="8" w:space="0" w:color="0077BD"/>
            </w:tcBorders>
            <w:shd w:val="clear" w:color="auto" w:fill="auto"/>
            <w:vAlign w:val="center"/>
          </w:tcPr>
          <w:p w14:paraId="087C3172" w14:textId="17225288"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(3)</w:t>
            </w:r>
          </w:p>
        </w:tc>
        <w:tc>
          <w:tcPr>
            <w:tcW w:w="737" w:type="dxa"/>
            <w:tcBorders>
              <w:top w:val="nil"/>
              <w:left w:val="nil"/>
              <w:bottom w:val="single" w:sz="4" w:space="0" w:color="0077BD"/>
              <w:right w:val="single" w:sz="8" w:space="0" w:color="0077BD"/>
            </w:tcBorders>
            <w:shd w:val="clear" w:color="auto" w:fill="auto"/>
            <w:vAlign w:val="center"/>
            <w:hideMark/>
          </w:tcPr>
          <w:p w14:paraId="1F81A97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w:t>
            </w:r>
          </w:p>
        </w:tc>
        <w:tc>
          <w:tcPr>
            <w:tcW w:w="737" w:type="dxa"/>
            <w:tcBorders>
              <w:top w:val="nil"/>
              <w:left w:val="nil"/>
              <w:bottom w:val="single" w:sz="4" w:space="0" w:color="0077BD"/>
              <w:right w:val="single" w:sz="8" w:space="0" w:color="0077BD"/>
            </w:tcBorders>
            <w:shd w:val="clear" w:color="auto" w:fill="auto"/>
            <w:vAlign w:val="center"/>
            <w:hideMark/>
          </w:tcPr>
          <w:p w14:paraId="4C4E5BB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(89)</w:t>
            </w:r>
          </w:p>
        </w:tc>
        <w:tc>
          <w:tcPr>
            <w:tcW w:w="737" w:type="dxa"/>
            <w:tcBorders>
              <w:top w:val="nil"/>
              <w:left w:val="nil"/>
              <w:bottom w:val="single" w:sz="4" w:space="0" w:color="0077BD"/>
              <w:right w:val="single" w:sz="8" w:space="0" w:color="0077BD"/>
            </w:tcBorders>
            <w:shd w:val="clear" w:color="auto" w:fill="auto"/>
            <w:vAlign w:val="center"/>
            <w:hideMark/>
          </w:tcPr>
          <w:p w14:paraId="7522865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(817)</w:t>
            </w:r>
          </w:p>
        </w:tc>
        <w:tc>
          <w:tcPr>
            <w:tcW w:w="737" w:type="dxa"/>
            <w:tcBorders>
              <w:top w:val="nil"/>
              <w:left w:val="nil"/>
              <w:bottom w:val="single" w:sz="4" w:space="0" w:color="0077BD"/>
              <w:right w:val="single" w:sz="8" w:space="0" w:color="0077BD"/>
            </w:tcBorders>
            <w:shd w:val="clear" w:color="auto" w:fill="auto"/>
            <w:vAlign w:val="center"/>
            <w:hideMark/>
          </w:tcPr>
          <w:p w14:paraId="48890DF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(26 238)</w:t>
            </w:r>
          </w:p>
        </w:tc>
        <w:tc>
          <w:tcPr>
            <w:tcW w:w="737" w:type="dxa"/>
            <w:tcBorders>
              <w:top w:val="nil"/>
              <w:left w:val="nil"/>
              <w:bottom w:val="single" w:sz="4" w:space="0" w:color="0077BD"/>
              <w:right w:val="single" w:sz="8" w:space="0" w:color="0077BD"/>
            </w:tcBorders>
            <w:shd w:val="clear" w:color="auto" w:fill="auto"/>
            <w:vAlign w:val="center"/>
            <w:hideMark/>
          </w:tcPr>
          <w:p w14:paraId="4CE9FD3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(70 586)</w:t>
            </w:r>
          </w:p>
        </w:tc>
        <w:tc>
          <w:tcPr>
            <w:tcW w:w="737" w:type="dxa"/>
            <w:tcBorders>
              <w:top w:val="nil"/>
              <w:left w:val="nil"/>
              <w:bottom w:val="single" w:sz="4" w:space="0" w:color="0077BD"/>
              <w:right w:val="single" w:sz="8" w:space="0" w:color="0077BD"/>
            </w:tcBorders>
            <w:shd w:val="clear" w:color="auto" w:fill="auto"/>
            <w:vAlign w:val="center"/>
            <w:hideMark/>
          </w:tcPr>
          <w:p w14:paraId="47A43F8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(4 612)</w:t>
            </w:r>
          </w:p>
        </w:tc>
        <w:tc>
          <w:tcPr>
            <w:tcW w:w="737" w:type="dxa"/>
            <w:tcBorders>
              <w:top w:val="nil"/>
              <w:left w:val="nil"/>
              <w:bottom w:val="single" w:sz="4" w:space="0" w:color="0077BD"/>
              <w:right w:val="nil"/>
            </w:tcBorders>
            <w:shd w:val="clear" w:color="auto" w:fill="auto"/>
            <w:vAlign w:val="center"/>
            <w:hideMark/>
          </w:tcPr>
          <w:p w14:paraId="03263DB8"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(6 216)</w:t>
            </w:r>
          </w:p>
        </w:tc>
      </w:tr>
      <w:tr w:rsidR="003A457B" w:rsidRPr="00C11F75" w14:paraId="4DC38F55" w14:textId="77777777" w:rsidTr="003A457B">
        <w:trPr>
          <w:trHeight w:val="284"/>
        </w:trPr>
        <w:tc>
          <w:tcPr>
            <w:tcW w:w="1843" w:type="dxa"/>
            <w:tcBorders>
              <w:top w:val="nil"/>
              <w:left w:val="nil"/>
              <w:bottom w:val="single" w:sz="4" w:space="0" w:color="0077BD"/>
              <w:right w:val="single" w:sz="8" w:space="0" w:color="0077BD"/>
            </w:tcBorders>
            <w:shd w:val="clear" w:color="auto" w:fill="auto"/>
            <w:vAlign w:val="center"/>
            <w:hideMark/>
          </w:tcPr>
          <w:p w14:paraId="2A9D896C"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Przychody z tytułu prowizji</w:t>
            </w:r>
          </w:p>
        </w:tc>
        <w:tc>
          <w:tcPr>
            <w:tcW w:w="737" w:type="dxa"/>
            <w:tcBorders>
              <w:top w:val="nil"/>
              <w:left w:val="nil"/>
              <w:bottom w:val="single" w:sz="4" w:space="0" w:color="0077BD"/>
              <w:right w:val="single" w:sz="8" w:space="0" w:color="0077BD"/>
            </w:tcBorders>
            <w:shd w:val="clear" w:color="auto" w:fill="auto"/>
            <w:vAlign w:val="center"/>
          </w:tcPr>
          <w:p w14:paraId="78ADB6FE" w14:textId="0C21CAAD"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46</w:t>
            </w:r>
          </w:p>
        </w:tc>
        <w:tc>
          <w:tcPr>
            <w:tcW w:w="737" w:type="dxa"/>
            <w:tcBorders>
              <w:top w:val="nil"/>
              <w:left w:val="nil"/>
              <w:bottom w:val="single" w:sz="4" w:space="0" w:color="0077BD"/>
              <w:right w:val="single" w:sz="8" w:space="0" w:color="0077BD"/>
            </w:tcBorders>
            <w:shd w:val="clear" w:color="auto" w:fill="auto"/>
            <w:vAlign w:val="center"/>
            <w:hideMark/>
          </w:tcPr>
          <w:p w14:paraId="3B522868"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93</w:t>
            </w:r>
          </w:p>
        </w:tc>
        <w:tc>
          <w:tcPr>
            <w:tcW w:w="737" w:type="dxa"/>
            <w:tcBorders>
              <w:top w:val="nil"/>
              <w:left w:val="nil"/>
              <w:bottom w:val="single" w:sz="4" w:space="0" w:color="0077BD"/>
              <w:right w:val="single" w:sz="8" w:space="0" w:color="0077BD"/>
            </w:tcBorders>
            <w:shd w:val="clear" w:color="auto" w:fill="auto"/>
            <w:vAlign w:val="center"/>
          </w:tcPr>
          <w:p w14:paraId="59E4FA9E" w14:textId="49BA0DEC"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11</w:t>
            </w:r>
          </w:p>
        </w:tc>
        <w:tc>
          <w:tcPr>
            <w:tcW w:w="737" w:type="dxa"/>
            <w:tcBorders>
              <w:top w:val="nil"/>
              <w:left w:val="nil"/>
              <w:bottom w:val="single" w:sz="4" w:space="0" w:color="0077BD"/>
              <w:right w:val="single" w:sz="8" w:space="0" w:color="0077BD"/>
            </w:tcBorders>
            <w:shd w:val="clear" w:color="auto" w:fill="auto"/>
            <w:vAlign w:val="center"/>
            <w:hideMark/>
          </w:tcPr>
          <w:p w14:paraId="406F5B4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w:t>
            </w:r>
          </w:p>
        </w:tc>
        <w:tc>
          <w:tcPr>
            <w:tcW w:w="737" w:type="dxa"/>
            <w:tcBorders>
              <w:top w:val="nil"/>
              <w:left w:val="nil"/>
              <w:bottom w:val="single" w:sz="4" w:space="0" w:color="0077BD"/>
              <w:right w:val="single" w:sz="8" w:space="0" w:color="0077BD"/>
            </w:tcBorders>
            <w:shd w:val="clear" w:color="auto" w:fill="auto"/>
            <w:vAlign w:val="center"/>
            <w:hideMark/>
          </w:tcPr>
          <w:p w14:paraId="0B0CE758"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538</w:t>
            </w:r>
          </w:p>
        </w:tc>
        <w:tc>
          <w:tcPr>
            <w:tcW w:w="737" w:type="dxa"/>
            <w:tcBorders>
              <w:top w:val="nil"/>
              <w:left w:val="nil"/>
              <w:bottom w:val="single" w:sz="4" w:space="0" w:color="0077BD"/>
              <w:right w:val="single" w:sz="8" w:space="0" w:color="0077BD"/>
            </w:tcBorders>
            <w:shd w:val="clear" w:color="auto" w:fill="auto"/>
            <w:vAlign w:val="center"/>
            <w:hideMark/>
          </w:tcPr>
          <w:p w14:paraId="0913D1D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968</w:t>
            </w:r>
          </w:p>
        </w:tc>
        <w:tc>
          <w:tcPr>
            <w:tcW w:w="737" w:type="dxa"/>
            <w:tcBorders>
              <w:top w:val="nil"/>
              <w:left w:val="nil"/>
              <w:bottom w:val="single" w:sz="4" w:space="0" w:color="0077BD"/>
              <w:right w:val="single" w:sz="8" w:space="0" w:color="0077BD"/>
            </w:tcBorders>
            <w:shd w:val="clear" w:color="auto" w:fill="auto"/>
            <w:vAlign w:val="center"/>
            <w:hideMark/>
          </w:tcPr>
          <w:p w14:paraId="5865174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4 353</w:t>
            </w:r>
          </w:p>
        </w:tc>
        <w:tc>
          <w:tcPr>
            <w:tcW w:w="737" w:type="dxa"/>
            <w:tcBorders>
              <w:top w:val="nil"/>
              <w:left w:val="nil"/>
              <w:bottom w:val="single" w:sz="4" w:space="0" w:color="0077BD"/>
              <w:right w:val="single" w:sz="8" w:space="0" w:color="0077BD"/>
            </w:tcBorders>
            <w:shd w:val="clear" w:color="auto" w:fill="auto"/>
            <w:vAlign w:val="center"/>
            <w:hideMark/>
          </w:tcPr>
          <w:p w14:paraId="393A6B76"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3 771</w:t>
            </w:r>
          </w:p>
        </w:tc>
        <w:tc>
          <w:tcPr>
            <w:tcW w:w="737" w:type="dxa"/>
            <w:tcBorders>
              <w:top w:val="nil"/>
              <w:left w:val="nil"/>
              <w:bottom w:val="single" w:sz="4" w:space="0" w:color="0077BD"/>
              <w:right w:val="single" w:sz="8" w:space="0" w:color="0077BD"/>
            </w:tcBorders>
            <w:shd w:val="clear" w:color="auto" w:fill="auto"/>
            <w:vAlign w:val="center"/>
            <w:hideMark/>
          </w:tcPr>
          <w:p w14:paraId="11396CF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49</w:t>
            </w:r>
          </w:p>
        </w:tc>
        <w:tc>
          <w:tcPr>
            <w:tcW w:w="737" w:type="dxa"/>
            <w:tcBorders>
              <w:top w:val="nil"/>
              <w:left w:val="nil"/>
              <w:bottom w:val="single" w:sz="4" w:space="0" w:color="0077BD"/>
              <w:right w:val="nil"/>
            </w:tcBorders>
            <w:shd w:val="clear" w:color="auto" w:fill="auto"/>
            <w:vAlign w:val="center"/>
            <w:hideMark/>
          </w:tcPr>
          <w:p w14:paraId="6315935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84</w:t>
            </w:r>
          </w:p>
        </w:tc>
      </w:tr>
      <w:tr w:rsidR="003A457B" w:rsidRPr="00C11F75" w14:paraId="217793D0" w14:textId="77777777" w:rsidTr="003A457B">
        <w:trPr>
          <w:trHeight w:val="284"/>
        </w:trPr>
        <w:tc>
          <w:tcPr>
            <w:tcW w:w="1843" w:type="dxa"/>
            <w:tcBorders>
              <w:top w:val="nil"/>
              <w:left w:val="nil"/>
              <w:bottom w:val="single" w:sz="4" w:space="0" w:color="0077BD"/>
              <w:right w:val="single" w:sz="8" w:space="0" w:color="0077BD"/>
            </w:tcBorders>
            <w:shd w:val="clear" w:color="auto" w:fill="auto"/>
            <w:vAlign w:val="center"/>
            <w:hideMark/>
          </w:tcPr>
          <w:p w14:paraId="625E9854"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Koszty z tytułu prowizji</w:t>
            </w:r>
          </w:p>
        </w:tc>
        <w:tc>
          <w:tcPr>
            <w:tcW w:w="737" w:type="dxa"/>
            <w:tcBorders>
              <w:top w:val="nil"/>
              <w:left w:val="nil"/>
              <w:bottom w:val="single" w:sz="4" w:space="0" w:color="0077BD"/>
              <w:right w:val="single" w:sz="8" w:space="0" w:color="0077BD"/>
            </w:tcBorders>
            <w:shd w:val="clear" w:color="auto" w:fill="auto"/>
            <w:vAlign w:val="center"/>
          </w:tcPr>
          <w:p w14:paraId="6206B04C" w14:textId="319E1FA4"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35A62F06"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tcPr>
          <w:p w14:paraId="4366C3BC" w14:textId="50F377EB"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586FD2D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54F98B1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(1 249)</w:t>
            </w:r>
          </w:p>
        </w:tc>
        <w:tc>
          <w:tcPr>
            <w:tcW w:w="737" w:type="dxa"/>
            <w:tcBorders>
              <w:top w:val="nil"/>
              <w:left w:val="nil"/>
              <w:bottom w:val="single" w:sz="4" w:space="0" w:color="0077BD"/>
              <w:right w:val="single" w:sz="8" w:space="0" w:color="0077BD"/>
            </w:tcBorders>
            <w:shd w:val="clear" w:color="auto" w:fill="auto"/>
            <w:vAlign w:val="center"/>
            <w:hideMark/>
          </w:tcPr>
          <w:p w14:paraId="045A5956"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1921F98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(1 030)</w:t>
            </w:r>
          </w:p>
        </w:tc>
        <w:tc>
          <w:tcPr>
            <w:tcW w:w="737" w:type="dxa"/>
            <w:tcBorders>
              <w:top w:val="nil"/>
              <w:left w:val="nil"/>
              <w:bottom w:val="single" w:sz="4" w:space="0" w:color="0077BD"/>
              <w:right w:val="single" w:sz="8" w:space="0" w:color="0077BD"/>
            </w:tcBorders>
            <w:shd w:val="clear" w:color="auto" w:fill="auto"/>
            <w:vAlign w:val="center"/>
            <w:hideMark/>
          </w:tcPr>
          <w:p w14:paraId="476DABB8"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(4 828)</w:t>
            </w:r>
          </w:p>
        </w:tc>
        <w:tc>
          <w:tcPr>
            <w:tcW w:w="737" w:type="dxa"/>
            <w:tcBorders>
              <w:top w:val="nil"/>
              <w:left w:val="nil"/>
              <w:bottom w:val="single" w:sz="4" w:space="0" w:color="0077BD"/>
              <w:right w:val="single" w:sz="8" w:space="0" w:color="0077BD"/>
            </w:tcBorders>
            <w:shd w:val="clear" w:color="auto" w:fill="auto"/>
            <w:vAlign w:val="center"/>
            <w:hideMark/>
          </w:tcPr>
          <w:p w14:paraId="5561943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nil"/>
            </w:tcBorders>
            <w:shd w:val="clear" w:color="auto" w:fill="auto"/>
            <w:vAlign w:val="center"/>
            <w:hideMark/>
          </w:tcPr>
          <w:p w14:paraId="1B803B81"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r>
      <w:tr w:rsidR="003A457B" w:rsidRPr="00C11F75" w14:paraId="74F25D8E" w14:textId="77777777" w:rsidTr="003A457B">
        <w:trPr>
          <w:trHeight w:val="284"/>
        </w:trPr>
        <w:tc>
          <w:tcPr>
            <w:tcW w:w="1843" w:type="dxa"/>
            <w:tcBorders>
              <w:top w:val="nil"/>
              <w:left w:val="nil"/>
              <w:bottom w:val="single" w:sz="4" w:space="0" w:color="0077BD"/>
              <w:right w:val="single" w:sz="8" w:space="0" w:color="0077BD"/>
            </w:tcBorders>
            <w:shd w:val="clear" w:color="auto" w:fill="auto"/>
            <w:vAlign w:val="center"/>
            <w:hideMark/>
          </w:tcPr>
          <w:p w14:paraId="036E6523"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Pozostałe przychody operacyjne</w:t>
            </w:r>
          </w:p>
        </w:tc>
        <w:tc>
          <w:tcPr>
            <w:tcW w:w="737" w:type="dxa"/>
            <w:tcBorders>
              <w:top w:val="nil"/>
              <w:left w:val="nil"/>
              <w:bottom w:val="single" w:sz="4" w:space="0" w:color="0077BD"/>
              <w:right w:val="single" w:sz="8" w:space="0" w:color="0077BD"/>
            </w:tcBorders>
            <w:shd w:val="clear" w:color="auto" w:fill="auto"/>
            <w:vAlign w:val="center"/>
          </w:tcPr>
          <w:p w14:paraId="3D2AA9A3" w14:textId="377FAFB4"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28BA955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tcPr>
          <w:p w14:paraId="19006DF2" w14:textId="7C6CC27F"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4086A4F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single" w:sz="8" w:space="0" w:color="0077BD"/>
            </w:tcBorders>
            <w:shd w:val="clear" w:color="auto" w:fill="auto"/>
            <w:vAlign w:val="center"/>
            <w:hideMark/>
          </w:tcPr>
          <w:p w14:paraId="08749A70"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5 987</w:t>
            </w:r>
          </w:p>
        </w:tc>
        <w:tc>
          <w:tcPr>
            <w:tcW w:w="737" w:type="dxa"/>
            <w:tcBorders>
              <w:top w:val="nil"/>
              <w:left w:val="nil"/>
              <w:bottom w:val="single" w:sz="4" w:space="0" w:color="0077BD"/>
              <w:right w:val="single" w:sz="8" w:space="0" w:color="0077BD"/>
            </w:tcBorders>
            <w:shd w:val="clear" w:color="auto" w:fill="auto"/>
            <w:vAlign w:val="center"/>
            <w:hideMark/>
          </w:tcPr>
          <w:p w14:paraId="7C557F52"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9 231</w:t>
            </w:r>
          </w:p>
        </w:tc>
        <w:tc>
          <w:tcPr>
            <w:tcW w:w="737" w:type="dxa"/>
            <w:tcBorders>
              <w:top w:val="nil"/>
              <w:left w:val="nil"/>
              <w:bottom w:val="single" w:sz="4" w:space="0" w:color="0077BD"/>
              <w:right w:val="single" w:sz="8" w:space="0" w:color="0077BD"/>
            </w:tcBorders>
            <w:shd w:val="clear" w:color="auto" w:fill="auto"/>
            <w:vAlign w:val="center"/>
            <w:hideMark/>
          </w:tcPr>
          <w:p w14:paraId="77025550"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1 468</w:t>
            </w:r>
          </w:p>
        </w:tc>
        <w:tc>
          <w:tcPr>
            <w:tcW w:w="737" w:type="dxa"/>
            <w:tcBorders>
              <w:top w:val="nil"/>
              <w:left w:val="nil"/>
              <w:bottom w:val="single" w:sz="4" w:space="0" w:color="0077BD"/>
              <w:right w:val="single" w:sz="8" w:space="0" w:color="0077BD"/>
            </w:tcBorders>
            <w:shd w:val="clear" w:color="auto" w:fill="auto"/>
            <w:vAlign w:val="center"/>
            <w:hideMark/>
          </w:tcPr>
          <w:p w14:paraId="2F8FC6E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1 458</w:t>
            </w:r>
          </w:p>
        </w:tc>
        <w:tc>
          <w:tcPr>
            <w:tcW w:w="737" w:type="dxa"/>
            <w:tcBorders>
              <w:top w:val="nil"/>
              <w:left w:val="nil"/>
              <w:bottom w:val="single" w:sz="4" w:space="0" w:color="0077BD"/>
              <w:right w:val="single" w:sz="8" w:space="0" w:color="0077BD"/>
            </w:tcBorders>
            <w:shd w:val="clear" w:color="auto" w:fill="auto"/>
            <w:vAlign w:val="center"/>
            <w:hideMark/>
          </w:tcPr>
          <w:p w14:paraId="39CDD0CD"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4" w:space="0" w:color="0077BD"/>
              <w:right w:val="nil"/>
            </w:tcBorders>
            <w:shd w:val="clear" w:color="auto" w:fill="auto"/>
            <w:vAlign w:val="center"/>
            <w:hideMark/>
          </w:tcPr>
          <w:p w14:paraId="27D01640"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r>
      <w:tr w:rsidR="003A457B" w:rsidRPr="00C11F75" w14:paraId="6EEC4B1B" w14:textId="77777777" w:rsidTr="003A457B">
        <w:trPr>
          <w:trHeight w:val="454"/>
        </w:trPr>
        <w:tc>
          <w:tcPr>
            <w:tcW w:w="1843" w:type="dxa"/>
            <w:tcBorders>
              <w:top w:val="nil"/>
              <w:left w:val="nil"/>
              <w:bottom w:val="single" w:sz="8" w:space="0" w:color="0077BD"/>
              <w:right w:val="single" w:sz="8" w:space="0" w:color="0077BD"/>
            </w:tcBorders>
            <w:shd w:val="clear" w:color="auto" w:fill="auto"/>
            <w:vAlign w:val="center"/>
            <w:hideMark/>
          </w:tcPr>
          <w:p w14:paraId="10FBF54B"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Ogólne koszty administracyjne amortyzacja i pozostałe koszty operacyjne</w:t>
            </w:r>
          </w:p>
        </w:tc>
        <w:tc>
          <w:tcPr>
            <w:tcW w:w="737" w:type="dxa"/>
            <w:tcBorders>
              <w:top w:val="nil"/>
              <w:left w:val="nil"/>
              <w:bottom w:val="single" w:sz="8" w:space="0" w:color="0077BD"/>
              <w:right w:val="single" w:sz="8" w:space="0" w:color="0077BD"/>
            </w:tcBorders>
            <w:shd w:val="clear" w:color="auto" w:fill="auto"/>
            <w:vAlign w:val="center"/>
          </w:tcPr>
          <w:p w14:paraId="2CFDF685" w14:textId="7CB642A0"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25E70F9B"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tcPr>
          <w:p w14:paraId="2C4E6522" w14:textId="1BC6AB48"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568A8930"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1BBDED5A"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(28)</w:t>
            </w:r>
          </w:p>
        </w:tc>
        <w:tc>
          <w:tcPr>
            <w:tcW w:w="737" w:type="dxa"/>
            <w:tcBorders>
              <w:top w:val="nil"/>
              <w:left w:val="nil"/>
              <w:bottom w:val="single" w:sz="8" w:space="0" w:color="0077BD"/>
              <w:right w:val="single" w:sz="8" w:space="0" w:color="0077BD"/>
            </w:tcBorders>
            <w:shd w:val="clear" w:color="auto" w:fill="auto"/>
            <w:vAlign w:val="center"/>
            <w:hideMark/>
          </w:tcPr>
          <w:p w14:paraId="6047534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(98)</w:t>
            </w:r>
          </w:p>
        </w:tc>
        <w:tc>
          <w:tcPr>
            <w:tcW w:w="737" w:type="dxa"/>
            <w:tcBorders>
              <w:top w:val="nil"/>
              <w:left w:val="nil"/>
              <w:bottom w:val="single" w:sz="8" w:space="0" w:color="0077BD"/>
              <w:right w:val="single" w:sz="8" w:space="0" w:color="0077BD"/>
            </w:tcBorders>
            <w:shd w:val="clear" w:color="auto" w:fill="auto"/>
            <w:vAlign w:val="center"/>
            <w:hideMark/>
          </w:tcPr>
          <w:p w14:paraId="2B52FD3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(7 076)</w:t>
            </w:r>
          </w:p>
        </w:tc>
        <w:tc>
          <w:tcPr>
            <w:tcW w:w="737" w:type="dxa"/>
            <w:tcBorders>
              <w:top w:val="nil"/>
              <w:left w:val="nil"/>
              <w:bottom w:val="single" w:sz="8" w:space="0" w:color="0077BD"/>
              <w:right w:val="single" w:sz="8" w:space="0" w:color="0077BD"/>
            </w:tcBorders>
            <w:shd w:val="clear" w:color="auto" w:fill="auto"/>
            <w:vAlign w:val="center"/>
            <w:hideMark/>
          </w:tcPr>
          <w:p w14:paraId="29C853A9"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(8 647)</w:t>
            </w:r>
          </w:p>
        </w:tc>
        <w:tc>
          <w:tcPr>
            <w:tcW w:w="737" w:type="dxa"/>
            <w:tcBorders>
              <w:top w:val="nil"/>
              <w:left w:val="nil"/>
              <w:bottom w:val="single" w:sz="8" w:space="0" w:color="0077BD"/>
              <w:right w:val="single" w:sz="8" w:space="0" w:color="0077BD"/>
            </w:tcBorders>
            <w:shd w:val="clear" w:color="auto" w:fill="auto"/>
            <w:vAlign w:val="center"/>
            <w:hideMark/>
          </w:tcPr>
          <w:p w14:paraId="053E54D6"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nil"/>
            </w:tcBorders>
            <w:shd w:val="clear" w:color="auto" w:fill="auto"/>
            <w:vAlign w:val="center"/>
            <w:hideMark/>
          </w:tcPr>
          <w:p w14:paraId="4349526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r>
      <w:tr w:rsidR="00D321D3" w:rsidRPr="00C11F75" w14:paraId="209F1E93" w14:textId="77777777" w:rsidTr="003A457B">
        <w:trPr>
          <w:trHeight w:val="284"/>
        </w:trPr>
        <w:tc>
          <w:tcPr>
            <w:tcW w:w="737" w:type="dxa"/>
            <w:gridSpan w:val="11"/>
            <w:tcBorders>
              <w:top w:val="nil"/>
              <w:left w:val="nil"/>
              <w:bottom w:val="single" w:sz="8" w:space="0" w:color="787B7C"/>
              <w:right w:val="nil"/>
            </w:tcBorders>
            <w:shd w:val="clear" w:color="auto" w:fill="auto"/>
            <w:vAlign w:val="center"/>
            <w:hideMark/>
          </w:tcPr>
          <w:p w14:paraId="26337F15" w14:textId="36076E41" w:rsidR="00D321D3" w:rsidRPr="00C74EF9" w:rsidRDefault="00D321D3" w:rsidP="00D321D3">
            <w:pPr>
              <w:rPr>
                <w:rFonts w:cs="Calibri"/>
                <w:b/>
                <w:bCs/>
                <w:color w:val="000000" w:themeColor="text1"/>
                <w:sz w:val="10"/>
                <w:szCs w:val="10"/>
              </w:rPr>
            </w:pPr>
            <w:r w:rsidRPr="00C74EF9">
              <w:rPr>
                <w:rFonts w:cs="Calibri"/>
                <w:b/>
                <w:bCs/>
                <w:color w:val="000000" w:themeColor="text1"/>
                <w:sz w:val="10"/>
                <w:szCs w:val="10"/>
              </w:rPr>
              <w:t>Zobowiązania warunkowe udzielone i otrzymane</w:t>
            </w:r>
          </w:p>
        </w:tc>
      </w:tr>
      <w:tr w:rsidR="003A457B" w:rsidRPr="00C11F75" w14:paraId="78D10D64" w14:textId="77777777" w:rsidTr="003A457B">
        <w:trPr>
          <w:trHeight w:val="284"/>
        </w:trPr>
        <w:tc>
          <w:tcPr>
            <w:tcW w:w="1843" w:type="dxa"/>
            <w:tcBorders>
              <w:top w:val="single" w:sz="8" w:space="0" w:color="0077BD"/>
              <w:left w:val="nil"/>
              <w:bottom w:val="single" w:sz="4" w:space="0" w:color="0077BD"/>
              <w:right w:val="single" w:sz="8" w:space="0" w:color="0077BD"/>
            </w:tcBorders>
            <w:shd w:val="clear" w:color="auto" w:fill="auto"/>
            <w:vAlign w:val="center"/>
            <w:hideMark/>
          </w:tcPr>
          <w:p w14:paraId="1364ADFE"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Zobowiązania udzielone</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1873B2C8" w14:textId="1D7A9CB1"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957</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299E5D67"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583</w:t>
            </w:r>
          </w:p>
        </w:tc>
        <w:tc>
          <w:tcPr>
            <w:tcW w:w="737" w:type="dxa"/>
            <w:tcBorders>
              <w:top w:val="single" w:sz="8" w:space="0" w:color="0077BD"/>
              <w:left w:val="nil"/>
              <w:bottom w:val="single" w:sz="4" w:space="0" w:color="0077BD"/>
              <w:right w:val="single" w:sz="8" w:space="0" w:color="0077BD"/>
            </w:tcBorders>
            <w:shd w:val="clear" w:color="auto" w:fill="auto"/>
            <w:vAlign w:val="center"/>
          </w:tcPr>
          <w:p w14:paraId="3B71FB7B" w14:textId="4B94A420"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407</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1EC966F7"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462</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2F7FDDE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355 716</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5771E93F"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352 182</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480E0468"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2 124 709</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5CCBE08C"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1 842 625</w:t>
            </w:r>
          </w:p>
        </w:tc>
        <w:tc>
          <w:tcPr>
            <w:tcW w:w="737" w:type="dxa"/>
            <w:tcBorders>
              <w:top w:val="single" w:sz="8" w:space="0" w:color="0077BD"/>
              <w:left w:val="nil"/>
              <w:bottom w:val="single" w:sz="4" w:space="0" w:color="0077BD"/>
              <w:right w:val="single" w:sz="8" w:space="0" w:color="0077BD"/>
            </w:tcBorders>
            <w:shd w:val="clear" w:color="auto" w:fill="auto"/>
            <w:vAlign w:val="center"/>
            <w:hideMark/>
          </w:tcPr>
          <w:p w14:paraId="147241BD"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3 502</w:t>
            </w:r>
          </w:p>
        </w:tc>
        <w:tc>
          <w:tcPr>
            <w:tcW w:w="737" w:type="dxa"/>
            <w:tcBorders>
              <w:top w:val="single" w:sz="8" w:space="0" w:color="0077BD"/>
              <w:left w:val="nil"/>
              <w:bottom w:val="single" w:sz="4" w:space="0" w:color="0077BD"/>
              <w:right w:val="nil"/>
            </w:tcBorders>
            <w:shd w:val="clear" w:color="auto" w:fill="auto"/>
            <w:vAlign w:val="center"/>
            <w:hideMark/>
          </w:tcPr>
          <w:p w14:paraId="7E50B231"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r>
      <w:tr w:rsidR="003A457B" w:rsidRPr="00C11F75" w14:paraId="7AE6F6E3" w14:textId="77777777" w:rsidTr="003A457B">
        <w:trPr>
          <w:trHeight w:val="284"/>
        </w:trPr>
        <w:tc>
          <w:tcPr>
            <w:tcW w:w="1843" w:type="dxa"/>
            <w:tcBorders>
              <w:top w:val="nil"/>
              <w:left w:val="nil"/>
              <w:bottom w:val="single" w:sz="8" w:space="0" w:color="0077BD"/>
              <w:right w:val="single" w:sz="8" w:space="0" w:color="0077BD"/>
            </w:tcBorders>
            <w:shd w:val="clear" w:color="auto" w:fill="auto"/>
            <w:vAlign w:val="center"/>
            <w:hideMark/>
          </w:tcPr>
          <w:p w14:paraId="06FB9E75" w14:textId="77777777" w:rsidR="00D321D3" w:rsidRPr="00C74EF9" w:rsidRDefault="00D321D3" w:rsidP="00D321D3">
            <w:pPr>
              <w:rPr>
                <w:rFonts w:cs="Calibri"/>
                <w:color w:val="000000" w:themeColor="text1"/>
                <w:sz w:val="10"/>
                <w:szCs w:val="10"/>
              </w:rPr>
            </w:pPr>
            <w:r w:rsidRPr="00C74EF9">
              <w:rPr>
                <w:rFonts w:cs="Calibri"/>
                <w:color w:val="000000" w:themeColor="text1"/>
                <w:sz w:val="10"/>
                <w:szCs w:val="10"/>
              </w:rPr>
              <w:t>Zobowiązania otrzymane</w:t>
            </w:r>
          </w:p>
        </w:tc>
        <w:tc>
          <w:tcPr>
            <w:tcW w:w="737" w:type="dxa"/>
            <w:tcBorders>
              <w:top w:val="nil"/>
              <w:left w:val="nil"/>
              <w:bottom w:val="single" w:sz="8" w:space="0" w:color="0077BD"/>
              <w:right w:val="single" w:sz="8" w:space="0" w:color="0077BD"/>
            </w:tcBorders>
            <w:shd w:val="clear" w:color="auto" w:fill="auto"/>
            <w:vAlign w:val="center"/>
          </w:tcPr>
          <w:p w14:paraId="7DFA9BFB" w14:textId="43A9245F"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123EF63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tcPr>
          <w:p w14:paraId="1477F2D9" w14:textId="5650A9BE" w:rsidR="00D321D3" w:rsidRPr="00C74EF9" w:rsidRDefault="00E47BB1"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58AC2D05"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60480FE0"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4795F64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single" w:sz="8" w:space="0" w:color="0077BD"/>
            </w:tcBorders>
            <w:shd w:val="clear" w:color="auto" w:fill="auto"/>
            <w:vAlign w:val="center"/>
            <w:hideMark/>
          </w:tcPr>
          <w:p w14:paraId="5F156C23"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1 816 577</w:t>
            </w:r>
          </w:p>
        </w:tc>
        <w:tc>
          <w:tcPr>
            <w:tcW w:w="737" w:type="dxa"/>
            <w:tcBorders>
              <w:top w:val="nil"/>
              <w:left w:val="nil"/>
              <w:bottom w:val="single" w:sz="8" w:space="0" w:color="0077BD"/>
              <w:right w:val="single" w:sz="8" w:space="0" w:color="0077BD"/>
            </w:tcBorders>
            <w:shd w:val="clear" w:color="auto" w:fill="auto"/>
            <w:vAlign w:val="center"/>
            <w:hideMark/>
          </w:tcPr>
          <w:p w14:paraId="53E267F6"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2 074 354</w:t>
            </w:r>
          </w:p>
        </w:tc>
        <w:tc>
          <w:tcPr>
            <w:tcW w:w="737" w:type="dxa"/>
            <w:tcBorders>
              <w:top w:val="nil"/>
              <w:left w:val="nil"/>
              <w:bottom w:val="single" w:sz="8" w:space="0" w:color="0077BD"/>
              <w:right w:val="single" w:sz="8" w:space="0" w:color="0077BD"/>
            </w:tcBorders>
            <w:shd w:val="clear" w:color="auto" w:fill="auto"/>
            <w:vAlign w:val="center"/>
            <w:hideMark/>
          </w:tcPr>
          <w:p w14:paraId="2FBB1BC4"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c>
          <w:tcPr>
            <w:tcW w:w="737" w:type="dxa"/>
            <w:tcBorders>
              <w:top w:val="nil"/>
              <w:left w:val="nil"/>
              <w:bottom w:val="single" w:sz="8" w:space="0" w:color="0077BD"/>
              <w:right w:val="nil"/>
            </w:tcBorders>
            <w:shd w:val="clear" w:color="auto" w:fill="auto"/>
            <w:vAlign w:val="center"/>
            <w:hideMark/>
          </w:tcPr>
          <w:p w14:paraId="3824E80C" w14:textId="77777777" w:rsidR="00D321D3" w:rsidRPr="00C74EF9" w:rsidRDefault="00D321D3" w:rsidP="00D321D3">
            <w:pPr>
              <w:jc w:val="right"/>
              <w:rPr>
                <w:rFonts w:cs="Calibri"/>
                <w:color w:val="000000" w:themeColor="text1"/>
                <w:sz w:val="10"/>
                <w:szCs w:val="10"/>
              </w:rPr>
            </w:pPr>
            <w:r w:rsidRPr="00C74EF9">
              <w:rPr>
                <w:rFonts w:cs="Calibri"/>
                <w:color w:val="000000" w:themeColor="text1"/>
                <w:sz w:val="10"/>
                <w:szCs w:val="10"/>
              </w:rPr>
              <w:t>-</w:t>
            </w:r>
          </w:p>
        </w:tc>
      </w:tr>
    </w:tbl>
    <w:p w14:paraId="139B59D0" w14:textId="74807CBA" w:rsidR="000D05D2" w:rsidRPr="00C11F75" w:rsidRDefault="00623185" w:rsidP="00EC7C0B">
      <w:pPr>
        <w:spacing w:before="120"/>
        <w:ind w:left="284" w:hanging="284"/>
        <w:jc w:val="both"/>
        <w:rPr>
          <w:rFonts w:cs="Tahoma"/>
          <w:color w:val="000000" w:themeColor="text1"/>
          <w:sz w:val="18"/>
          <w:szCs w:val="18"/>
        </w:rPr>
      </w:pPr>
      <w:r>
        <w:rPr>
          <w:rFonts w:cs="Tahoma"/>
          <w:color w:val="000000" w:themeColor="text1"/>
          <w:sz w:val="18"/>
          <w:szCs w:val="18"/>
        </w:rPr>
        <w:t>*</w:t>
      </w:r>
      <w:r>
        <w:rPr>
          <w:rFonts w:cs="Tahoma"/>
          <w:color w:val="000000" w:themeColor="text1"/>
          <w:sz w:val="18"/>
          <w:szCs w:val="18"/>
        </w:rPr>
        <w:tab/>
      </w:r>
      <w:r w:rsidR="000D05D2" w:rsidRPr="00C11F75">
        <w:rPr>
          <w:rFonts w:cs="Tahoma"/>
          <w:color w:val="000000" w:themeColor="text1"/>
          <w:sz w:val="18"/>
          <w:szCs w:val="18"/>
        </w:rPr>
        <w:t xml:space="preserve">Inne osoby i podmioty powiązane obejmują: bliskich członków rodzin Członków Rady Nadzorczej i Zarządu mBanku, kluczowego personelu kierowniczego mBanku, Członków Rady Nadzorczej i Zarządu Commerzbanku oraz podmioty kontrolowane lub współkontrolowane przez wyżej wymienione osoby. </w:t>
      </w:r>
    </w:p>
    <w:p w14:paraId="153CF87F" w14:textId="390DE597" w:rsidR="00D321D3" w:rsidRPr="00C11F75" w:rsidRDefault="000D05D2" w:rsidP="000D05D2">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W 2019 roku i w 2018 roku nie utworzono rezerw w związku z kredytami udzielonymi podmiotom powiązanym.</w:t>
      </w:r>
    </w:p>
    <w:p w14:paraId="652D9B5C" w14:textId="77777777" w:rsidR="00D321D3" w:rsidRDefault="00D321D3">
      <w:pPr>
        <w:rPr>
          <w:rFonts w:cs="Tahoma"/>
          <w:bCs/>
          <w:sz w:val="18"/>
          <w:szCs w:val="18"/>
          <w:lang w:eastAsia="en-US"/>
        </w:rPr>
      </w:pPr>
      <w:r>
        <w:rPr>
          <w:rFonts w:cs="Tahoma"/>
          <w:b/>
          <w:sz w:val="18"/>
          <w:szCs w:val="18"/>
        </w:rPr>
        <w:br w:type="page"/>
      </w:r>
    </w:p>
    <w:p w14:paraId="7A4E5DD3" w14:textId="0794CFB6" w:rsidR="002D0A68" w:rsidRPr="001B1F39" w:rsidRDefault="002D0A68" w:rsidP="009B27E4">
      <w:pPr>
        <w:pStyle w:val="Notki"/>
        <w:suppressAutoHyphens/>
        <w:spacing w:before="240" w:after="0"/>
        <w:jc w:val="both"/>
        <w:rPr>
          <w:rFonts w:ascii="Verdana" w:hAnsi="Verdana" w:cs="Tahoma"/>
          <w:b w:val="0"/>
          <w:color w:val="000000" w:themeColor="text1"/>
          <w:sz w:val="18"/>
          <w:szCs w:val="18"/>
          <w:u w:val="single"/>
        </w:rPr>
      </w:pPr>
      <w:r w:rsidRPr="001B1F39">
        <w:rPr>
          <w:rFonts w:ascii="Verdana" w:hAnsi="Verdana" w:cs="Tahoma"/>
          <w:b w:val="0"/>
          <w:color w:val="000000" w:themeColor="text1"/>
          <w:sz w:val="18"/>
          <w:szCs w:val="18"/>
          <w:u w:val="single"/>
        </w:rPr>
        <w:lastRenderedPageBreak/>
        <w:t>Wynagrodzenie Członków Zarządu Banku</w:t>
      </w:r>
      <w:r w:rsidR="003754B8" w:rsidRPr="001B1F39">
        <w:rPr>
          <w:rFonts w:ascii="Verdana" w:hAnsi="Verdana" w:cs="Tahoma"/>
          <w:b w:val="0"/>
          <w:color w:val="000000" w:themeColor="text1"/>
          <w:sz w:val="18"/>
          <w:szCs w:val="18"/>
          <w:u w:val="single"/>
        </w:rPr>
        <w:t xml:space="preserve"> oraz Rady Nadzorczej</w:t>
      </w:r>
    </w:p>
    <w:p w14:paraId="64C312E2" w14:textId="77777777" w:rsidR="00932901" w:rsidRPr="001B1F39" w:rsidRDefault="00932901" w:rsidP="00932901">
      <w:pPr>
        <w:spacing w:before="120" w:after="120"/>
        <w:jc w:val="both"/>
        <w:rPr>
          <w:rFonts w:cs="Tahoma"/>
          <w:color w:val="000000" w:themeColor="text1"/>
          <w:spacing w:val="-2"/>
          <w:sz w:val="18"/>
          <w:szCs w:val="18"/>
          <w:lang w:eastAsia="en-US"/>
        </w:rPr>
      </w:pPr>
      <w:r w:rsidRPr="001B1F39">
        <w:rPr>
          <w:rFonts w:cs="Tahoma"/>
          <w:color w:val="000000" w:themeColor="text1"/>
          <w:spacing w:val="-2"/>
          <w:sz w:val="18"/>
          <w:szCs w:val="18"/>
          <w:lang w:eastAsia="en-US"/>
        </w:rPr>
        <w:t>W dniu 12 kwietnia 2018 roku Rada Nadzorcza mBanku S.A. dokonała wyboru członków Zarządu mBanku S.A. na wspólną pięcioletnią kadencję, w następującym składzie:</w:t>
      </w:r>
    </w:p>
    <w:p w14:paraId="2AB867A2"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Cezary Stypułkowski – Prezes Zarządu,</w:t>
      </w:r>
    </w:p>
    <w:p w14:paraId="7F6C6B2B"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Lidia Jabłonowska-Luba – Wiceprezes Zarządu ds. Zarządzania Ryzykiem,</w:t>
      </w:r>
    </w:p>
    <w:p w14:paraId="7D584F19"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Frank Bock – Wiceprezes Zarządu ds. Rynków Finansowych,</w:t>
      </w:r>
    </w:p>
    <w:p w14:paraId="3FDF634D"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Andreas Böger – Wiceprezes Zarządu ds. Finansów,</w:t>
      </w:r>
    </w:p>
    <w:p w14:paraId="77F14621"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Krzysztof Dąbrowski – Wiceprezes Zarządu ds. Operacji i Informatyki,</w:t>
      </w:r>
    </w:p>
    <w:p w14:paraId="7E1C52ED"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Cezary Kocik – Wiceprezes Zarządu ds. Bankowości Detalicznej,</w:t>
      </w:r>
    </w:p>
    <w:p w14:paraId="1FA64084" w14:textId="77777777" w:rsidR="00932901" w:rsidRPr="001B1F39" w:rsidRDefault="00932901" w:rsidP="00932901">
      <w:pPr>
        <w:pStyle w:val="Notki"/>
        <w:numPr>
          <w:ilvl w:val="0"/>
          <w:numId w:val="81"/>
        </w:numPr>
        <w:suppressAutoHyphens/>
        <w:spacing w:before="120" w:after="0"/>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Adam Pers – Wiceprezes Zarządu ds. Bankowości Korporacyjnej i Inwestycyjnej.</w:t>
      </w:r>
    </w:p>
    <w:p w14:paraId="48A16AF1" w14:textId="3578E00B" w:rsidR="00423A1E" w:rsidRPr="001B1F39" w:rsidRDefault="00423A1E" w:rsidP="001B1F39">
      <w:pPr>
        <w:pStyle w:val="Notki"/>
        <w:suppressAutoHyphens/>
        <w:spacing w:before="120" w:after="0"/>
        <w:ind w:right="142"/>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Na koniec 2019 roku skład Zarządu mBanku S.A. pozostał niezmieniony.</w:t>
      </w:r>
    </w:p>
    <w:p w14:paraId="73ECE89B" w14:textId="5BFE5F78" w:rsidR="003754B8" w:rsidRPr="001B1F39" w:rsidRDefault="003754B8" w:rsidP="00932901">
      <w:pPr>
        <w:pStyle w:val="Notki"/>
        <w:suppressAutoHyphens/>
        <w:spacing w:before="240" w:after="0"/>
        <w:ind w:right="142"/>
        <w:jc w:val="both"/>
        <w:rPr>
          <w:rFonts w:ascii="Verdana" w:hAnsi="Verdana" w:cs="Tahoma"/>
          <w:b w:val="0"/>
          <w:color w:val="000000" w:themeColor="text1"/>
          <w:sz w:val="18"/>
          <w:szCs w:val="18"/>
        </w:rPr>
      </w:pPr>
      <w:r w:rsidRPr="001B1F39">
        <w:rPr>
          <w:rFonts w:ascii="Verdana" w:hAnsi="Verdana" w:cs="Tahoma"/>
          <w:b w:val="0"/>
          <w:color w:val="000000" w:themeColor="text1"/>
          <w:sz w:val="18"/>
          <w:szCs w:val="18"/>
        </w:rPr>
        <w:t>Poniżej przedstawiono informacje o wartości wynagrodzeń, nagród lub korzyści wypłaconych i należnych Członkom Zarządu Banku, którzy pełnili swoje funkcje na koniec 2019 roku i 2018 roku, wynagrodzeń byłych Członków Zarządu oraz Członków Rady Nadzorczej mBanku S.A.</w:t>
      </w:r>
    </w:p>
    <w:p w14:paraId="6C6DE0B2" w14:textId="0D53D314" w:rsidR="003754B8" w:rsidRDefault="003754B8" w:rsidP="00A51082">
      <w:pPr>
        <w:jc w:val="both"/>
        <w:rPr>
          <w:rFonts w:cs="Tahoma"/>
          <w:color w:val="000000"/>
          <w:spacing w:val="-2"/>
          <w:sz w:val="18"/>
          <w:szCs w:val="18"/>
          <w:lang w:eastAsia="en-US"/>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A51082" w:rsidRPr="00A51082" w14:paraId="3E6DD9B7" w14:textId="77777777" w:rsidTr="00D84697">
        <w:trPr>
          <w:trHeight w:val="284"/>
        </w:trPr>
        <w:tc>
          <w:tcPr>
            <w:tcW w:w="6747" w:type="dxa"/>
            <w:tcBorders>
              <w:top w:val="nil"/>
              <w:left w:val="nil"/>
              <w:bottom w:val="nil"/>
              <w:right w:val="nil"/>
            </w:tcBorders>
            <w:shd w:val="clear" w:color="000000" w:fill="0077BD"/>
            <w:vAlign w:val="center"/>
            <w:hideMark/>
          </w:tcPr>
          <w:p w14:paraId="71EAAB5E" w14:textId="266435F0" w:rsidR="00A51082" w:rsidRPr="00A51082" w:rsidRDefault="001B1F39" w:rsidP="00A51082">
            <w:pPr>
              <w:rPr>
                <w:rFonts w:cs="Calibri"/>
                <w:b/>
                <w:bCs/>
                <w:color w:val="FFFFFF"/>
                <w:sz w:val="13"/>
                <w:szCs w:val="13"/>
              </w:rPr>
            </w:pPr>
            <w:r>
              <w:rPr>
                <w:rFonts w:cs="Calibri"/>
                <w:b/>
                <w:bCs/>
                <w:color w:val="FFFFFF"/>
                <w:sz w:val="13"/>
                <w:szCs w:val="13"/>
              </w:rPr>
              <w:t>Wynagrodzenie wypłacone w zł</w:t>
            </w:r>
          </w:p>
        </w:tc>
        <w:tc>
          <w:tcPr>
            <w:tcW w:w="1418" w:type="dxa"/>
            <w:tcBorders>
              <w:top w:val="nil"/>
              <w:left w:val="single" w:sz="8" w:space="0" w:color="FFFFFF"/>
              <w:bottom w:val="nil"/>
              <w:right w:val="single" w:sz="8" w:space="0" w:color="FFFFFF"/>
            </w:tcBorders>
            <w:shd w:val="clear" w:color="000000" w:fill="0077BD"/>
            <w:noWrap/>
            <w:vAlign w:val="center"/>
            <w:hideMark/>
          </w:tcPr>
          <w:p w14:paraId="52BD2ADC" w14:textId="77777777" w:rsidR="00A51082" w:rsidRPr="00A51082" w:rsidRDefault="00A51082" w:rsidP="00A51082">
            <w:pPr>
              <w:jc w:val="right"/>
              <w:rPr>
                <w:rFonts w:cs="Calibri"/>
                <w:b/>
                <w:bCs/>
                <w:color w:val="FFFFFF"/>
                <w:sz w:val="13"/>
                <w:szCs w:val="13"/>
              </w:rPr>
            </w:pPr>
            <w:r w:rsidRPr="00A51082">
              <w:rPr>
                <w:rFonts w:cs="Calibri"/>
                <w:b/>
                <w:bCs/>
                <w:color w:val="FFFFFF"/>
                <w:sz w:val="13"/>
                <w:szCs w:val="13"/>
              </w:rPr>
              <w:t>2019</w:t>
            </w:r>
          </w:p>
        </w:tc>
        <w:tc>
          <w:tcPr>
            <w:tcW w:w="1418" w:type="dxa"/>
            <w:tcBorders>
              <w:top w:val="nil"/>
              <w:left w:val="nil"/>
              <w:bottom w:val="nil"/>
              <w:right w:val="nil"/>
            </w:tcBorders>
            <w:shd w:val="clear" w:color="000000" w:fill="0077BD"/>
            <w:noWrap/>
            <w:vAlign w:val="center"/>
            <w:hideMark/>
          </w:tcPr>
          <w:p w14:paraId="3E22218C" w14:textId="77777777" w:rsidR="00A51082" w:rsidRPr="00A51082" w:rsidRDefault="00A51082" w:rsidP="00A51082">
            <w:pPr>
              <w:jc w:val="right"/>
              <w:rPr>
                <w:rFonts w:cs="Calibri"/>
                <w:b/>
                <w:bCs/>
                <w:color w:val="FFFFFF"/>
                <w:sz w:val="13"/>
                <w:szCs w:val="13"/>
              </w:rPr>
            </w:pPr>
            <w:r w:rsidRPr="00A51082">
              <w:rPr>
                <w:rFonts w:cs="Calibri"/>
                <w:b/>
                <w:bCs/>
                <w:color w:val="FFFFFF"/>
                <w:sz w:val="13"/>
                <w:szCs w:val="13"/>
              </w:rPr>
              <w:t>2018</w:t>
            </w:r>
          </w:p>
        </w:tc>
      </w:tr>
      <w:tr w:rsidR="00A51082" w:rsidRPr="00C11F75" w14:paraId="78DA9BB7" w14:textId="77777777" w:rsidTr="00D84697">
        <w:trPr>
          <w:trHeight w:val="284"/>
        </w:trPr>
        <w:tc>
          <w:tcPr>
            <w:tcW w:w="9583" w:type="dxa"/>
            <w:gridSpan w:val="3"/>
            <w:tcBorders>
              <w:top w:val="nil"/>
              <w:left w:val="nil"/>
              <w:bottom w:val="single" w:sz="8" w:space="0" w:color="0077BD"/>
              <w:right w:val="nil"/>
            </w:tcBorders>
            <w:shd w:val="clear" w:color="auto" w:fill="auto"/>
            <w:vAlign w:val="center"/>
            <w:hideMark/>
          </w:tcPr>
          <w:p w14:paraId="174623DD" w14:textId="77777777" w:rsidR="00A51082" w:rsidRPr="00C11F75" w:rsidRDefault="00A51082" w:rsidP="00A51082">
            <w:pPr>
              <w:rPr>
                <w:rFonts w:cs="Calibri"/>
                <w:b/>
                <w:bCs/>
                <w:color w:val="000000" w:themeColor="text1"/>
                <w:sz w:val="13"/>
                <w:szCs w:val="13"/>
              </w:rPr>
            </w:pPr>
            <w:r w:rsidRPr="00C11F75">
              <w:rPr>
                <w:rFonts w:cs="Calibri"/>
                <w:b/>
                <w:bCs/>
                <w:color w:val="000000" w:themeColor="text1"/>
                <w:sz w:val="13"/>
                <w:szCs w:val="13"/>
              </w:rPr>
              <w:t>Zarząd Banku </w:t>
            </w:r>
          </w:p>
        </w:tc>
      </w:tr>
      <w:tr w:rsidR="00D84697" w:rsidRPr="00C11F75" w14:paraId="74E28D03" w14:textId="77777777" w:rsidTr="00BD54A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7594B1CA"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Wynagrodzenie zasadnicze</w:t>
            </w:r>
          </w:p>
        </w:tc>
        <w:tc>
          <w:tcPr>
            <w:tcW w:w="1418" w:type="dxa"/>
            <w:tcBorders>
              <w:top w:val="nil"/>
              <w:left w:val="nil"/>
              <w:bottom w:val="single" w:sz="4" w:space="0" w:color="0077BD"/>
              <w:right w:val="single" w:sz="8" w:space="0" w:color="0077BD"/>
            </w:tcBorders>
            <w:shd w:val="clear" w:color="auto" w:fill="auto"/>
            <w:noWrap/>
            <w:vAlign w:val="center"/>
          </w:tcPr>
          <w:p w14:paraId="64758B64" w14:textId="68D89A80"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13 570 816</w:t>
            </w:r>
          </w:p>
        </w:tc>
        <w:tc>
          <w:tcPr>
            <w:tcW w:w="1418" w:type="dxa"/>
            <w:tcBorders>
              <w:top w:val="nil"/>
              <w:left w:val="nil"/>
              <w:bottom w:val="single" w:sz="4" w:space="0" w:color="0077BD"/>
              <w:right w:val="nil"/>
            </w:tcBorders>
            <w:shd w:val="clear" w:color="auto" w:fill="auto"/>
            <w:noWrap/>
            <w:vAlign w:val="center"/>
            <w:hideMark/>
          </w:tcPr>
          <w:p w14:paraId="0C7162A8"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13 924 321</w:t>
            </w:r>
          </w:p>
        </w:tc>
      </w:tr>
      <w:tr w:rsidR="00D84697" w:rsidRPr="00C11F75" w14:paraId="413AD6DD" w14:textId="77777777" w:rsidTr="00BD54A5">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32489EF5"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Pozostałe korzyści</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2706E204" w14:textId="58AC1D6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1 891 377</w:t>
            </w:r>
          </w:p>
        </w:tc>
        <w:tc>
          <w:tcPr>
            <w:tcW w:w="1418" w:type="dxa"/>
            <w:tcBorders>
              <w:top w:val="single" w:sz="4" w:space="0" w:color="0077BD"/>
              <w:left w:val="nil"/>
              <w:bottom w:val="single" w:sz="4" w:space="0" w:color="0077BD"/>
              <w:right w:val="nil"/>
            </w:tcBorders>
            <w:shd w:val="clear" w:color="auto" w:fill="auto"/>
            <w:noWrap/>
            <w:vAlign w:val="center"/>
            <w:hideMark/>
          </w:tcPr>
          <w:p w14:paraId="4E197218"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1 282 195</w:t>
            </w:r>
          </w:p>
        </w:tc>
      </w:tr>
      <w:tr w:rsidR="00D84697" w:rsidRPr="00C11F75" w14:paraId="59BFF866" w14:textId="77777777" w:rsidTr="00BD54A5">
        <w:trPr>
          <w:trHeight w:val="284"/>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0951B574"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Bonus na poprzedni rok</w:t>
            </w:r>
          </w:p>
        </w:tc>
        <w:tc>
          <w:tcPr>
            <w:tcW w:w="1418" w:type="dxa"/>
            <w:tcBorders>
              <w:top w:val="single" w:sz="4" w:space="0" w:color="0077BD"/>
              <w:left w:val="nil"/>
              <w:bottom w:val="single" w:sz="4" w:space="0" w:color="0077BD"/>
              <w:right w:val="single" w:sz="8" w:space="0" w:color="0077BD"/>
            </w:tcBorders>
            <w:shd w:val="clear" w:color="auto" w:fill="auto"/>
            <w:noWrap/>
            <w:vAlign w:val="center"/>
          </w:tcPr>
          <w:p w14:paraId="1EAADC77" w14:textId="5DF0F0C0"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1 560 000</w:t>
            </w:r>
          </w:p>
        </w:tc>
        <w:tc>
          <w:tcPr>
            <w:tcW w:w="1418" w:type="dxa"/>
            <w:tcBorders>
              <w:top w:val="single" w:sz="4" w:space="0" w:color="0077BD"/>
              <w:left w:val="nil"/>
              <w:bottom w:val="single" w:sz="4" w:space="0" w:color="0077BD"/>
              <w:right w:val="nil"/>
            </w:tcBorders>
            <w:shd w:val="clear" w:color="auto" w:fill="auto"/>
            <w:noWrap/>
            <w:vAlign w:val="center"/>
            <w:hideMark/>
          </w:tcPr>
          <w:p w14:paraId="1BD872FC"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1 306 634</w:t>
            </w:r>
          </w:p>
        </w:tc>
      </w:tr>
      <w:tr w:rsidR="00D84697" w:rsidRPr="00C11F75" w14:paraId="614AE9B9" w14:textId="77777777" w:rsidTr="00C34470">
        <w:trPr>
          <w:trHeight w:val="284"/>
        </w:trPr>
        <w:tc>
          <w:tcPr>
            <w:tcW w:w="6747" w:type="dxa"/>
            <w:tcBorders>
              <w:top w:val="single" w:sz="4" w:space="0" w:color="0077BD"/>
              <w:left w:val="nil"/>
              <w:bottom w:val="single" w:sz="8" w:space="0" w:color="0077BD"/>
              <w:right w:val="single" w:sz="8" w:space="0" w:color="0077BD"/>
            </w:tcBorders>
            <w:shd w:val="clear" w:color="auto" w:fill="auto"/>
            <w:vAlign w:val="center"/>
            <w:hideMark/>
          </w:tcPr>
          <w:p w14:paraId="34A94C81"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Bonus odroczony</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5DE8B678" w14:textId="7F50EB02"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1 762 899</w:t>
            </w:r>
          </w:p>
        </w:tc>
        <w:tc>
          <w:tcPr>
            <w:tcW w:w="1418" w:type="dxa"/>
            <w:tcBorders>
              <w:top w:val="single" w:sz="4" w:space="0" w:color="0077BD"/>
              <w:left w:val="nil"/>
              <w:bottom w:val="single" w:sz="8" w:space="0" w:color="0077BD"/>
              <w:right w:val="nil"/>
            </w:tcBorders>
            <w:shd w:val="clear" w:color="auto" w:fill="auto"/>
            <w:noWrap/>
            <w:vAlign w:val="center"/>
            <w:hideMark/>
          </w:tcPr>
          <w:p w14:paraId="43AD0FFB"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1 892 082</w:t>
            </w:r>
          </w:p>
        </w:tc>
      </w:tr>
      <w:tr w:rsidR="00A51082" w:rsidRPr="00C11F75" w14:paraId="6BE26A1E" w14:textId="77777777" w:rsidTr="00C34470">
        <w:trPr>
          <w:trHeight w:val="20"/>
        </w:trPr>
        <w:tc>
          <w:tcPr>
            <w:tcW w:w="6747" w:type="dxa"/>
            <w:tcBorders>
              <w:top w:val="single" w:sz="8" w:space="0" w:color="0077BD"/>
              <w:left w:val="nil"/>
              <w:bottom w:val="single" w:sz="8" w:space="0" w:color="0077BD"/>
            </w:tcBorders>
            <w:shd w:val="clear" w:color="auto" w:fill="auto"/>
            <w:vAlign w:val="center"/>
          </w:tcPr>
          <w:p w14:paraId="11F53A5F" w14:textId="315E24CF" w:rsidR="00A51082" w:rsidRPr="00C11F75" w:rsidRDefault="00A51082" w:rsidP="00A51082">
            <w:pPr>
              <w:rPr>
                <w:rFonts w:cs="Calibri"/>
                <w:color w:val="000000" w:themeColor="text1"/>
                <w:sz w:val="13"/>
                <w:szCs w:val="13"/>
              </w:rPr>
            </w:pPr>
          </w:p>
        </w:tc>
        <w:tc>
          <w:tcPr>
            <w:tcW w:w="1418" w:type="dxa"/>
            <w:tcBorders>
              <w:top w:val="single" w:sz="8" w:space="0" w:color="0077BD"/>
              <w:bottom w:val="single" w:sz="8" w:space="0" w:color="0077BD"/>
            </w:tcBorders>
            <w:shd w:val="clear" w:color="auto" w:fill="auto"/>
            <w:noWrap/>
            <w:vAlign w:val="center"/>
          </w:tcPr>
          <w:p w14:paraId="07CD1207" w14:textId="3663E53D" w:rsidR="00A51082" w:rsidRPr="00C11F75" w:rsidRDefault="00A51082" w:rsidP="00A51082">
            <w:pPr>
              <w:jc w:val="right"/>
              <w:rPr>
                <w:rFonts w:cs="Calibri"/>
                <w:color w:val="000000" w:themeColor="text1"/>
                <w:sz w:val="13"/>
                <w:szCs w:val="13"/>
              </w:rPr>
            </w:pPr>
          </w:p>
        </w:tc>
        <w:tc>
          <w:tcPr>
            <w:tcW w:w="1418" w:type="dxa"/>
            <w:tcBorders>
              <w:top w:val="single" w:sz="8" w:space="0" w:color="0077BD"/>
              <w:bottom w:val="single" w:sz="8" w:space="0" w:color="0077BD"/>
              <w:right w:val="nil"/>
            </w:tcBorders>
            <w:shd w:val="clear" w:color="auto" w:fill="auto"/>
            <w:noWrap/>
            <w:vAlign w:val="center"/>
          </w:tcPr>
          <w:p w14:paraId="61393CE8" w14:textId="305E8D6A" w:rsidR="00A51082" w:rsidRPr="00C11F75" w:rsidRDefault="00A51082" w:rsidP="00A51082">
            <w:pPr>
              <w:jc w:val="right"/>
              <w:rPr>
                <w:rFonts w:cs="Calibri"/>
                <w:color w:val="000000" w:themeColor="text1"/>
                <w:sz w:val="13"/>
                <w:szCs w:val="13"/>
              </w:rPr>
            </w:pPr>
          </w:p>
        </w:tc>
      </w:tr>
      <w:tr w:rsidR="00A51082" w:rsidRPr="00C11F75" w14:paraId="7B13C25C" w14:textId="77777777" w:rsidTr="00D84697">
        <w:trPr>
          <w:trHeight w:val="284"/>
        </w:trPr>
        <w:tc>
          <w:tcPr>
            <w:tcW w:w="9583" w:type="dxa"/>
            <w:gridSpan w:val="3"/>
            <w:tcBorders>
              <w:top w:val="single" w:sz="8" w:space="0" w:color="0077BD"/>
              <w:left w:val="nil"/>
              <w:bottom w:val="single" w:sz="8" w:space="0" w:color="0077BD"/>
              <w:right w:val="nil"/>
            </w:tcBorders>
            <w:shd w:val="clear" w:color="auto" w:fill="auto"/>
            <w:vAlign w:val="center"/>
            <w:hideMark/>
          </w:tcPr>
          <w:p w14:paraId="680DF8EE" w14:textId="77777777" w:rsidR="00A51082" w:rsidRPr="00C11F75" w:rsidRDefault="00A51082" w:rsidP="00A51082">
            <w:pPr>
              <w:rPr>
                <w:rFonts w:cs="Calibri"/>
                <w:b/>
                <w:bCs/>
                <w:color w:val="000000" w:themeColor="text1"/>
                <w:sz w:val="13"/>
                <w:szCs w:val="13"/>
              </w:rPr>
            </w:pPr>
            <w:r w:rsidRPr="00C11F75">
              <w:rPr>
                <w:rFonts w:cs="Calibri"/>
                <w:b/>
                <w:bCs/>
                <w:color w:val="000000" w:themeColor="text1"/>
                <w:sz w:val="13"/>
                <w:szCs w:val="13"/>
              </w:rPr>
              <w:t>Wynagrodzenia byłych Członków Zarządu Banku</w:t>
            </w:r>
            <w:r w:rsidRPr="00C11F75">
              <w:rPr>
                <w:rFonts w:cs="Calibri"/>
                <w:color w:val="000000" w:themeColor="text1"/>
                <w:sz w:val="13"/>
                <w:szCs w:val="13"/>
              </w:rPr>
              <w:t> </w:t>
            </w:r>
          </w:p>
        </w:tc>
      </w:tr>
      <w:tr w:rsidR="00D84697" w:rsidRPr="00C11F75" w14:paraId="6B1217CA" w14:textId="77777777" w:rsidTr="00BD54A5">
        <w:trPr>
          <w:trHeight w:val="284"/>
        </w:trPr>
        <w:tc>
          <w:tcPr>
            <w:tcW w:w="6747" w:type="dxa"/>
            <w:tcBorders>
              <w:top w:val="nil"/>
              <w:left w:val="nil"/>
              <w:bottom w:val="single" w:sz="4" w:space="0" w:color="0077BD"/>
              <w:right w:val="single" w:sz="8" w:space="0" w:color="0077BD"/>
            </w:tcBorders>
            <w:shd w:val="clear" w:color="auto" w:fill="auto"/>
            <w:vAlign w:val="center"/>
            <w:hideMark/>
          </w:tcPr>
          <w:p w14:paraId="401445F3"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Bonus na poprzedni rok</w:t>
            </w:r>
          </w:p>
        </w:tc>
        <w:tc>
          <w:tcPr>
            <w:tcW w:w="1418" w:type="dxa"/>
            <w:tcBorders>
              <w:top w:val="nil"/>
              <w:left w:val="nil"/>
              <w:bottom w:val="single" w:sz="4" w:space="0" w:color="0077BD"/>
              <w:right w:val="single" w:sz="8" w:space="0" w:color="0077BD"/>
            </w:tcBorders>
            <w:shd w:val="clear" w:color="auto" w:fill="auto"/>
            <w:noWrap/>
            <w:vAlign w:val="center"/>
          </w:tcPr>
          <w:p w14:paraId="64CC3EF0" w14:textId="1167C2ED"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0A9757DB"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291 668</w:t>
            </w:r>
          </w:p>
        </w:tc>
      </w:tr>
      <w:tr w:rsidR="00D84697" w:rsidRPr="00C11F75" w14:paraId="59878A9B" w14:textId="77777777" w:rsidTr="00C34470">
        <w:trPr>
          <w:trHeight w:val="284"/>
        </w:trPr>
        <w:tc>
          <w:tcPr>
            <w:tcW w:w="6747" w:type="dxa"/>
            <w:tcBorders>
              <w:top w:val="single" w:sz="4" w:space="0" w:color="0077BD"/>
              <w:left w:val="nil"/>
              <w:bottom w:val="single" w:sz="8" w:space="0" w:color="0077BD"/>
              <w:right w:val="single" w:sz="8" w:space="0" w:color="0077BD"/>
            </w:tcBorders>
            <w:shd w:val="clear" w:color="auto" w:fill="auto"/>
            <w:vAlign w:val="center"/>
            <w:hideMark/>
          </w:tcPr>
          <w:p w14:paraId="3027992B" w14:textId="77777777" w:rsidR="00D84697" w:rsidRPr="00C11F75" w:rsidRDefault="00D84697" w:rsidP="00D84697">
            <w:pPr>
              <w:rPr>
                <w:rFonts w:cs="Calibri"/>
                <w:color w:val="000000" w:themeColor="text1"/>
                <w:sz w:val="13"/>
                <w:szCs w:val="13"/>
              </w:rPr>
            </w:pPr>
            <w:r w:rsidRPr="00C11F75">
              <w:rPr>
                <w:rFonts w:cs="Calibri"/>
                <w:color w:val="000000" w:themeColor="text1"/>
                <w:sz w:val="13"/>
                <w:szCs w:val="13"/>
              </w:rPr>
              <w:t>Bonus odroczony</w:t>
            </w:r>
          </w:p>
        </w:tc>
        <w:tc>
          <w:tcPr>
            <w:tcW w:w="1418" w:type="dxa"/>
            <w:tcBorders>
              <w:top w:val="single" w:sz="4" w:space="0" w:color="0077BD"/>
              <w:left w:val="nil"/>
              <w:bottom w:val="single" w:sz="8" w:space="0" w:color="0077BD"/>
              <w:right w:val="single" w:sz="8" w:space="0" w:color="0077BD"/>
            </w:tcBorders>
            <w:shd w:val="clear" w:color="auto" w:fill="auto"/>
            <w:noWrap/>
            <w:vAlign w:val="center"/>
          </w:tcPr>
          <w:p w14:paraId="7A2BD8F7" w14:textId="54ADBCA9"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980 834</w:t>
            </w:r>
          </w:p>
        </w:tc>
        <w:tc>
          <w:tcPr>
            <w:tcW w:w="1418" w:type="dxa"/>
            <w:tcBorders>
              <w:top w:val="single" w:sz="4" w:space="0" w:color="0077BD"/>
              <w:left w:val="nil"/>
              <w:bottom w:val="single" w:sz="8" w:space="0" w:color="0077BD"/>
              <w:right w:val="nil"/>
            </w:tcBorders>
            <w:shd w:val="clear" w:color="auto" w:fill="auto"/>
            <w:noWrap/>
            <w:vAlign w:val="center"/>
            <w:hideMark/>
          </w:tcPr>
          <w:p w14:paraId="7F2F6D78" w14:textId="77777777" w:rsidR="00D84697" w:rsidRPr="00C11F75" w:rsidRDefault="00D84697" w:rsidP="00D84697">
            <w:pPr>
              <w:jc w:val="right"/>
              <w:rPr>
                <w:rFonts w:cs="Calibri"/>
                <w:color w:val="000000" w:themeColor="text1"/>
                <w:sz w:val="13"/>
                <w:szCs w:val="13"/>
              </w:rPr>
            </w:pPr>
            <w:r w:rsidRPr="00C11F75">
              <w:rPr>
                <w:rFonts w:cs="Calibri"/>
                <w:color w:val="000000" w:themeColor="text1"/>
                <w:sz w:val="13"/>
                <w:szCs w:val="13"/>
              </w:rPr>
              <w:t>1 385 000</w:t>
            </w:r>
          </w:p>
        </w:tc>
      </w:tr>
      <w:tr w:rsidR="00A51082" w:rsidRPr="00C11F75" w14:paraId="623CC343" w14:textId="77777777" w:rsidTr="00C34470">
        <w:trPr>
          <w:trHeight w:val="20"/>
        </w:trPr>
        <w:tc>
          <w:tcPr>
            <w:tcW w:w="6747" w:type="dxa"/>
            <w:tcBorders>
              <w:top w:val="single" w:sz="8" w:space="0" w:color="0077BD"/>
              <w:left w:val="nil"/>
              <w:bottom w:val="single" w:sz="8" w:space="0" w:color="0077BD"/>
            </w:tcBorders>
            <w:shd w:val="clear" w:color="auto" w:fill="auto"/>
            <w:vAlign w:val="center"/>
          </w:tcPr>
          <w:p w14:paraId="3FDD3972" w14:textId="361F176F" w:rsidR="00A51082" w:rsidRPr="00C11F75" w:rsidRDefault="00A51082" w:rsidP="00A51082">
            <w:pPr>
              <w:rPr>
                <w:rFonts w:cs="Calibri"/>
                <w:color w:val="000000" w:themeColor="text1"/>
                <w:sz w:val="13"/>
                <w:szCs w:val="13"/>
              </w:rPr>
            </w:pPr>
          </w:p>
        </w:tc>
        <w:tc>
          <w:tcPr>
            <w:tcW w:w="1418" w:type="dxa"/>
            <w:tcBorders>
              <w:top w:val="single" w:sz="8" w:space="0" w:color="0077BD"/>
              <w:bottom w:val="single" w:sz="8" w:space="0" w:color="0077BD"/>
            </w:tcBorders>
            <w:shd w:val="clear" w:color="auto" w:fill="auto"/>
            <w:noWrap/>
            <w:vAlign w:val="center"/>
          </w:tcPr>
          <w:p w14:paraId="24F19BCA" w14:textId="310C0B6D" w:rsidR="00A51082" w:rsidRPr="00C11F75" w:rsidRDefault="00A51082" w:rsidP="00A51082">
            <w:pPr>
              <w:jc w:val="right"/>
              <w:rPr>
                <w:rFonts w:cs="Calibri"/>
                <w:color w:val="000000" w:themeColor="text1"/>
                <w:sz w:val="13"/>
                <w:szCs w:val="13"/>
              </w:rPr>
            </w:pPr>
          </w:p>
        </w:tc>
        <w:tc>
          <w:tcPr>
            <w:tcW w:w="1418" w:type="dxa"/>
            <w:tcBorders>
              <w:top w:val="single" w:sz="8" w:space="0" w:color="0077BD"/>
              <w:bottom w:val="single" w:sz="8" w:space="0" w:color="0077BD"/>
              <w:right w:val="nil"/>
            </w:tcBorders>
            <w:shd w:val="clear" w:color="auto" w:fill="auto"/>
            <w:noWrap/>
            <w:vAlign w:val="center"/>
          </w:tcPr>
          <w:p w14:paraId="63F251E6" w14:textId="5F6E99B8" w:rsidR="00A51082" w:rsidRPr="00C11F75" w:rsidRDefault="00A51082" w:rsidP="00A51082">
            <w:pPr>
              <w:jc w:val="right"/>
              <w:rPr>
                <w:rFonts w:cs="Calibri"/>
                <w:color w:val="000000" w:themeColor="text1"/>
                <w:sz w:val="13"/>
                <w:szCs w:val="13"/>
              </w:rPr>
            </w:pPr>
          </w:p>
        </w:tc>
      </w:tr>
      <w:tr w:rsidR="00A51082" w:rsidRPr="00C11F75" w14:paraId="56527E11" w14:textId="77777777" w:rsidTr="00D84697">
        <w:trPr>
          <w:trHeight w:val="284"/>
        </w:trPr>
        <w:tc>
          <w:tcPr>
            <w:tcW w:w="9583" w:type="dxa"/>
            <w:gridSpan w:val="3"/>
            <w:tcBorders>
              <w:top w:val="single" w:sz="8" w:space="0" w:color="0077BD"/>
              <w:left w:val="nil"/>
              <w:bottom w:val="single" w:sz="8" w:space="0" w:color="0077BD"/>
              <w:right w:val="nil"/>
            </w:tcBorders>
            <w:shd w:val="clear" w:color="auto" w:fill="auto"/>
            <w:vAlign w:val="center"/>
            <w:hideMark/>
          </w:tcPr>
          <w:p w14:paraId="501BD1F5" w14:textId="77777777" w:rsidR="00A51082" w:rsidRPr="00C11F75" w:rsidRDefault="00A51082" w:rsidP="00A51082">
            <w:pPr>
              <w:rPr>
                <w:rFonts w:cs="Calibri"/>
                <w:b/>
                <w:bCs/>
                <w:color w:val="000000" w:themeColor="text1"/>
                <w:sz w:val="13"/>
                <w:szCs w:val="13"/>
              </w:rPr>
            </w:pPr>
            <w:r w:rsidRPr="00C11F75">
              <w:rPr>
                <w:rFonts w:cs="Calibri"/>
                <w:b/>
                <w:bCs/>
                <w:color w:val="000000" w:themeColor="text1"/>
                <w:sz w:val="13"/>
                <w:szCs w:val="13"/>
              </w:rPr>
              <w:t>Rada Nadzorcza</w:t>
            </w:r>
          </w:p>
        </w:tc>
      </w:tr>
      <w:tr w:rsidR="00A51082" w:rsidRPr="00C11F75" w14:paraId="45317A26" w14:textId="77777777" w:rsidTr="00D84697">
        <w:trPr>
          <w:trHeight w:val="284"/>
        </w:trPr>
        <w:tc>
          <w:tcPr>
            <w:tcW w:w="6747" w:type="dxa"/>
            <w:tcBorders>
              <w:top w:val="nil"/>
              <w:left w:val="nil"/>
              <w:bottom w:val="single" w:sz="8" w:space="0" w:color="0077BD"/>
              <w:right w:val="single" w:sz="8" w:space="0" w:color="0077BD"/>
            </w:tcBorders>
            <w:shd w:val="clear" w:color="auto" w:fill="auto"/>
            <w:vAlign w:val="center"/>
            <w:hideMark/>
          </w:tcPr>
          <w:p w14:paraId="35BB38C1" w14:textId="77777777" w:rsidR="00A51082" w:rsidRPr="00C11F75" w:rsidRDefault="00A51082" w:rsidP="00A51082">
            <w:pPr>
              <w:rPr>
                <w:rFonts w:cs="Calibri"/>
                <w:color w:val="000000" w:themeColor="text1"/>
                <w:sz w:val="13"/>
                <w:szCs w:val="13"/>
              </w:rPr>
            </w:pPr>
            <w:r w:rsidRPr="00C11F75">
              <w:rPr>
                <w:rFonts w:cs="Calibri"/>
                <w:color w:val="000000" w:themeColor="text1"/>
                <w:sz w:val="13"/>
                <w:szCs w:val="13"/>
              </w:rPr>
              <w:t>Wynagrodzenie zasadnicze</w:t>
            </w:r>
          </w:p>
        </w:tc>
        <w:tc>
          <w:tcPr>
            <w:tcW w:w="1418" w:type="dxa"/>
            <w:tcBorders>
              <w:top w:val="nil"/>
              <w:left w:val="nil"/>
              <w:bottom w:val="single" w:sz="8" w:space="0" w:color="0077BD"/>
              <w:right w:val="single" w:sz="8" w:space="0" w:color="0077BD"/>
            </w:tcBorders>
            <w:shd w:val="clear" w:color="auto" w:fill="auto"/>
            <w:noWrap/>
            <w:vAlign w:val="center"/>
            <w:hideMark/>
          </w:tcPr>
          <w:p w14:paraId="6A7D1123" w14:textId="4770DF31" w:rsidR="00A51082" w:rsidRPr="00C11F75" w:rsidRDefault="00D84697" w:rsidP="00A51082">
            <w:pPr>
              <w:jc w:val="right"/>
              <w:rPr>
                <w:rFonts w:cs="Calibri"/>
                <w:color w:val="000000" w:themeColor="text1"/>
                <w:sz w:val="13"/>
                <w:szCs w:val="13"/>
              </w:rPr>
            </w:pPr>
            <w:r w:rsidRPr="00C11F75">
              <w:rPr>
                <w:rFonts w:cs="Calibri"/>
                <w:color w:val="000000" w:themeColor="text1"/>
                <w:sz w:val="13"/>
                <w:szCs w:val="13"/>
              </w:rPr>
              <w:t>2 066 528</w:t>
            </w:r>
          </w:p>
        </w:tc>
        <w:tc>
          <w:tcPr>
            <w:tcW w:w="1418" w:type="dxa"/>
            <w:tcBorders>
              <w:top w:val="nil"/>
              <w:left w:val="nil"/>
              <w:bottom w:val="single" w:sz="8" w:space="0" w:color="0077BD"/>
              <w:right w:val="nil"/>
            </w:tcBorders>
            <w:shd w:val="clear" w:color="auto" w:fill="auto"/>
            <w:noWrap/>
            <w:vAlign w:val="center"/>
            <w:hideMark/>
          </w:tcPr>
          <w:p w14:paraId="5B07616D" w14:textId="77777777" w:rsidR="00A51082" w:rsidRPr="00C11F75" w:rsidRDefault="00A51082" w:rsidP="00A51082">
            <w:pPr>
              <w:jc w:val="right"/>
              <w:rPr>
                <w:rFonts w:cs="Calibri"/>
                <w:color w:val="000000" w:themeColor="text1"/>
                <w:sz w:val="13"/>
                <w:szCs w:val="13"/>
              </w:rPr>
            </w:pPr>
            <w:r w:rsidRPr="00C11F75">
              <w:rPr>
                <w:rFonts w:cs="Calibri"/>
                <w:color w:val="000000" w:themeColor="text1"/>
                <w:sz w:val="13"/>
                <w:szCs w:val="13"/>
              </w:rPr>
              <w:t>2 425 920</w:t>
            </w:r>
          </w:p>
        </w:tc>
      </w:tr>
    </w:tbl>
    <w:p w14:paraId="4349EFDF" w14:textId="77777777" w:rsidR="002D0A68" w:rsidRPr="00C11F75" w:rsidRDefault="002D0A68" w:rsidP="002D0A68">
      <w:pPr>
        <w:pStyle w:val="Tekstpodstawowy"/>
        <w:spacing w:before="120"/>
        <w:jc w:val="both"/>
        <w:rPr>
          <w:color w:val="000000" w:themeColor="text1"/>
          <w:sz w:val="18"/>
          <w:szCs w:val="18"/>
        </w:rPr>
      </w:pPr>
      <w:r w:rsidRPr="00C11F75">
        <w:rPr>
          <w:color w:val="000000" w:themeColor="text1"/>
          <w:sz w:val="18"/>
          <w:szCs w:val="18"/>
        </w:rPr>
        <w:t xml:space="preserve">Łączne kwoty wynagrodzeń Członków Zarządu Banku obejmują: wynagrodzenia zasadnicze, nagrody, odprawy z tytułu rozwiązania umowy o zarządzanie, odszkodowania z tytułu zakazu konkurencji, koszty polis oraz koszty mieszkań. </w:t>
      </w:r>
    </w:p>
    <w:p w14:paraId="068428DD" w14:textId="77777777" w:rsidR="002D0A68" w:rsidRPr="00C11F75" w:rsidRDefault="002D0A68" w:rsidP="002D0A68">
      <w:pPr>
        <w:pStyle w:val="Tekstpodstawowy"/>
        <w:spacing w:before="120"/>
        <w:jc w:val="both"/>
        <w:rPr>
          <w:color w:val="000000" w:themeColor="text1"/>
          <w:sz w:val="18"/>
          <w:szCs w:val="18"/>
        </w:rPr>
      </w:pPr>
      <w:r w:rsidRPr="00C11F75">
        <w:rPr>
          <w:color w:val="000000" w:themeColor="text1"/>
          <w:sz w:val="18"/>
          <w:szCs w:val="18"/>
        </w:rPr>
        <w:t>Wymienione wyżej świadczenia mają charakter krótkoterminowy.</w:t>
      </w:r>
    </w:p>
    <w:p w14:paraId="347C7C18" w14:textId="03EAB9DE" w:rsidR="0095170D" w:rsidRPr="00C11F75" w:rsidRDefault="0095170D" w:rsidP="0095170D">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Łączna kwota wynagrodzeń otrzymanych przez Członków Zarządu</w:t>
      </w:r>
      <w:r w:rsidR="004A0A20" w:rsidRPr="00C11F75">
        <w:rPr>
          <w:rFonts w:ascii="Verdana" w:hAnsi="Verdana" w:cs="Tahoma"/>
          <w:b w:val="0"/>
          <w:color w:val="000000" w:themeColor="text1"/>
          <w:sz w:val="18"/>
          <w:szCs w:val="18"/>
        </w:rPr>
        <w:t xml:space="preserve"> Banku pełniących funkcje w 2019</w:t>
      </w:r>
      <w:r w:rsidRPr="00C11F75">
        <w:rPr>
          <w:rFonts w:ascii="Verdana" w:hAnsi="Verdana" w:cs="Tahoma"/>
          <w:b w:val="0"/>
          <w:color w:val="000000" w:themeColor="text1"/>
          <w:sz w:val="18"/>
          <w:szCs w:val="18"/>
        </w:rPr>
        <w:t xml:space="preserve"> r</w:t>
      </w:r>
      <w:r w:rsidR="004A0A20" w:rsidRPr="00C11F75">
        <w:rPr>
          <w:rFonts w:ascii="Verdana" w:hAnsi="Verdana" w:cs="Tahoma"/>
          <w:b w:val="0"/>
          <w:color w:val="000000" w:themeColor="text1"/>
          <w:sz w:val="18"/>
          <w:szCs w:val="18"/>
        </w:rPr>
        <w:t>oku wyniosła 18 785 092 zł (2018</w:t>
      </w:r>
      <w:r w:rsidR="00AC25CE">
        <w:rPr>
          <w:rFonts w:ascii="Verdana" w:hAnsi="Verdana" w:cs="Tahoma"/>
          <w:b w:val="0"/>
          <w:color w:val="000000" w:themeColor="text1"/>
          <w:sz w:val="18"/>
          <w:szCs w:val="18"/>
        </w:rPr>
        <w:t xml:space="preserve"> rok</w:t>
      </w:r>
      <w:r w:rsidRPr="00C11F75">
        <w:rPr>
          <w:rFonts w:ascii="Verdana" w:hAnsi="Verdana" w:cs="Tahoma"/>
          <w:b w:val="0"/>
          <w:color w:val="000000" w:themeColor="text1"/>
          <w:sz w:val="18"/>
          <w:szCs w:val="18"/>
        </w:rPr>
        <w:t xml:space="preserve">: </w:t>
      </w:r>
      <w:r w:rsidR="004A0A20" w:rsidRPr="00C11F75">
        <w:rPr>
          <w:rFonts w:ascii="Verdana" w:hAnsi="Verdana" w:cs="Tahoma"/>
          <w:b w:val="0"/>
          <w:color w:val="000000" w:themeColor="text1"/>
          <w:sz w:val="18"/>
          <w:szCs w:val="18"/>
        </w:rPr>
        <w:t xml:space="preserve">18 405 232 </w:t>
      </w:r>
      <w:r w:rsidRPr="00C11F75">
        <w:rPr>
          <w:rFonts w:ascii="Verdana" w:hAnsi="Verdana" w:cs="Tahoma"/>
          <w:b w:val="0"/>
          <w:color w:val="000000" w:themeColor="text1"/>
          <w:sz w:val="18"/>
          <w:szCs w:val="18"/>
        </w:rPr>
        <w:t>zł).</w:t>
      </w:r>
    </w:p>
    <w:p w14:paraId="35E49B79" w14:textId="527420CE" w:rsidR="00A05450" w:rsidRPr="00C11F75" w:rsidRDefault="00A05450" w:rsidP="00A05450">
      <w:pPr>
        <w:pStyle w:val="Tekstpodstawowy2"/>
        <w:tabs>
          <w:tab w:val="left" w:pos="4253"/>
          <w:tab w:val="left" w:pos="9072"/>
        </w:tabs>
        <w:spacing w:before="120" w:after="0" w:line="240" w:lineRule="auto"/>
        <w:jc w:val="both"/>
        <w:rPr>
          <w:rFonts w:cs="Tahoma"/>
          <w:color w:val="000000" w:themeColor="text1"/>
          <w:sz w:val="18"/>
          <w:szCs w:val="18"/>
        </w:rPr>
      </w:pPr>
      <w:r w:rsidRPr="00C11F75">
        <w:rPr>
          <w:rFonts w:cs="Tahoma"/>
          <w:color w:val="000000" w:themeColor="text1"/>
          <w:sz w:val="18"/>
          <w:szCs w:val="18"/>
        </w:rPr>
        <w:t>Zgodnie z obowiązującym w Banku systemem wynagrodzeń, Członkom Zarządu Banku moż</w:t>
      </w:r>
      <w:r w:rsidR="003754B8" w:rsidRPr="00C11F75">
        <w:rPr>
          <w:rFonts w:cs="Tahoma"/>
          <w:color w:val="000000" w:themeColor="text1"/>
          <w:sz w:val="18"/>
          <w:szCs w:val="18"/>
        </w:rPr>
        <w:t>e przysługiwać bonus za rok 2019</w:t>
      </w:r>
      <w:r w:rsidRPr="00C11F75">
        <w:rPr>
          <w:rFonts w:cs="Tahoma"/>
          <w:color w:val="000000" w:themeColor="text1"/>
          <w:sz w:val="18"/>
          <w:szCs w:val="18"/>
        </w:rPr>
        <w:t>, który byłby wypłaco</w:t>
      </w:r>
      <w:r w:rsidR="003754B8" w:rsidRPr="00C11F75">
        <w:rPr>
          <w:rFonts w:cs="Tahoma"/>
          <w:color w:val="000000" w:themeColor="text1"/>
          <w:sz w:val="18"/>
          <w:szCs w:val="18"/>
        </w:rPr>
        <w:t>ny w roku 2020</w:t>
      </w:r>
      <w:r w:rsidRPr="00C11F75">
        <w:rPr>
          <w:rFonts w:cs="Tahoma"/>
          <w:color w:val="000000" w:themeColor="text1"/>
          <w:sz w:val="18"/>
          <w:szCs w:val="18"/>
        </w:rPr>
        <w:t>. W związku z tym została utworzona rezerwa na wypłatę gotówkową bonusu za r</w:t>
      </w:r>
      <w:r w:rsidR="003754B8" w:rsidRPr="00C11F75">
        <w:rPr>
          <w:rFonts w:cs="Tahoma"/>
          <w:color w:val="000000" w:themeColor="text1"/>
          <w:sz w:val="18"/>
          <w:szCs w:val="18"/>
        </w:rPr>
        <w:t>ok 2019</w:t>
      </w:r>
      <w:r w:rsidRPr="00C11F75">
        <w:rPr>
          <w:rFonts w:cs="Tahoma"/>
          <w:color w:val="000000" w:themeColor="text1"/>
          <w:sz w:val="18"/>
          <w:szCs w:val="18"/>
        </w:rPr>
        <w:t xml:space="preserve"> dla Członków Zarządu, która wynosiła </w:t>
      </w:r>
      <w:r w:rsidR="00294CBC" w:rsidRPr="00C11F75">
        <w:rPr>
          <w:rFonts w:cs="Tahoma"/>
          <w:color w:val="000000" w:themeColor="text1"/>
          <w:sz w:val="18"/>
          <w:szCs w:val="18"/>
        </w:rPr>
        <w:t>4 113</w:t>
      </w:r>
      <w:r w:rsidRPr="00C11F75">
        <w:rPr>
          <w:rFonts w:cs="Tahoma"/>
          <w:color w:val="000000" w:themeColor="text1"/>
          <w:sz w:val="18"/>
          <w:szCs w:val="18"/>
        </w:rPr>
        <w:t> </w:t>
      </w:r>
      <w:r w:rsidR="00294CBC" w:rsidRPr="00C11F75">
        <w:rPr>
          <w:rFonts w:cs="Tahoma"/>
          <w:color w:val="000000" w:themeColor="text1"/>
          <w:sz w:val="18"/>
          <w:szCs w:val="18"/>
        </w:rPr>
        <w:t>206</w:t>
      </w:r>
      <w:r w:rsidRPr="00C11F75">
        <w:rPr>
          <w:rFonts w:cs="Tahoma"/>
          <w:color w:val="000000" w:themeColor="text1"/>
          <w:sz w:val="18"/>
          <w:szCs w:val="18"/>
        </w:rPr>
        <w:t xml:space="preserve"> zł na dzień 31 gr</w:t>
      </w:r>
      <w:r w:rsidR="003754B8" w:rsidRPr="00C11F75">
        <w:rPr>
          <w:rFonts w:cs="Tahoma"/>
          <w:color w:val="000000" w:themeColor="text1"/>
          <w:sz w:val="18"/>
          <w:szCs w:val="18"/>
        </w:rPr>
        <w:t>udnia 2019</w:t>
      </w:r>
      <w:r w:rsidRPr="00C11F75">
        <w:rPr>
          <w:rFonts w:cs="Tahoma"/>
          <w:color w:val="000000" w:themeColor="text1"/>
          <w:sz w:val="18"/>
          <w:szCs w:val="18"/>
        </w:rPr>
        <w:t xml:space="preserve"> roku. </w:t>
      </w:r>
      <w:r w:rsidR="00CD2999">
        <w:rPr>
          <w:rFonts w:cs="Tahoma"/>
          <w:color w:val="000000" w:themeColor="text1"/>
          <w:sz w:val="18"/>
          <w:szCs w:val="18"/>
        </w:rPr>
        <w:t xml:space="preserve">(na koniec 2018 r.: 4 752 541 zł). </w:t>
      </w:r>
      <w:r w:rsidRPr="00C11F75">
        <w:rPr>
          <w:rFonts w:cs="Tahoma"/>
          <w:color w:val="000000" w:themeColor="text1"/>
          <w:sz w:val="18"/>
          <w:szCs w:val="18"/>
        </w:rPr>
        <w:t xml:space="preserve">Ostateczną decyzję na temat wysokości tego bonusu podejmie Komisja </w:t>
      </w:r>
      <w:r w:rsidRPr="00C27E57">
        <w:rPr>
          <w:rFonts w:cs="Tahoma"/>
          <w:color w:val="000000" w:themeColor="text1"/>
          <w:sz w:val="18"/>
          <w:szCs w:val="18"/>
        </w:rPr>
        <w:t xml:space="preserve">ds. Wynagrodzeń Rady Nadzorczej Banku do dnia </w:t>
      </w:r>
      <w:r w:rsidR="00302AA9" w:rsidRPr="00C27E57">
        <w:rPr>
          <w:rFonts w:cs="Tahoma"/>
          <w:color w:val="000000" w:themeColor="text1"/>
          <w:sz w:val="18"/>
          <w:szCs w:val="18"/>
        </w:rPr>
        <w:t>28 lutego</w:t>
      </w:r>
      <w:r w:rsidR="003754B8" w:rsidRPr="00C27E57">
        <w:rPr>
          <w:rFonts w:cs="Tahoma"/>
          <w:color w:val="000000" w:themeColor="text1"/>
          <w:sz w:val="18"/>
          <w:szCs w:val="18"/>
        </w:rPr>
        <w:t xml:space="preserve"> 2020</w:t>
      </w:r>
      <w:r w:rsidRPr="00C27E57">
        <w:rPr>
          <w:rFonts w:cs="Tahoma"/>
          <w:color w:val="000000" w:themeColor="text1"/>
          <w:sz w:val="18"/>
          <w:szCs w:val="18"/>
        </w:rPr>
        <w:t xml:space="preserve"> roku.</w:t>
      </w:r>
    </w:p>
    <w:p w14:paraId="1E2D3A2A" w14:textId="0FC94A01" w:rsidR="00A05450" w:rsidRPr="00C11F75" w:rsidRDefault="003754B8" w:rsidP="00A05450">
      <w:pPr>
        <w:pStyle w:val="Tekstpodstawowy2"/>
        <w:tabs>
          <w:tab w:val="left" w:pos="4253"/>
          <w:tab w:val="left" w:pos="9072"/>
        </w:tabs>
        <w:spacing w:before="120" w:after="0" w:line="240" w:lineRule="auto"/>
        <w:jc w:val="both"/>
        <w:rPr>
          <w:rFonts w:cs="Tahoma"/>
          <w:color w:val="000000" w:themeColor="text1"/>
          <w:sz w:val="18"/>
          <w:szCs w:val="18"/>
        </w:rPr>
      </w:pPr>
      <w:r w:rsidRPr="00C11F75">
        <w:rPr>
          <w:rFonts w:cs="Tahoma"/>
          <w:color w:val="000000" w:themeColor="text1"/>
          <w:sz w:val="18"/>
          <w:szCs w:val="18"/>
        </w:rPr>
        <w:t>W 2019 roku i w 2018</w:t>
      </w:r>
      <w:r w:rsidR="00A05450" w:rsidRPr="00C11F75">
        <w:rPr>
          <w:rFonts w:cs="Tahoma"/>
          <w:color w:val="000000" w:themeColor="text1"/>
          <w:sz w:val="18"/>
          <w:szCs w:val="18"/>
        </w:rPr>
        <w:t xml:space="preserve"> roku Członkowie Zarządu mBanku S.A. nie uzyskali wynagrodzenia z tytułu zasiadania w zarządach i radach nadzorczych spółek powiązanych.</w:t>
      </w:r>
    </w:p>
    <w:p w14:paraId="09657AAF" w14:textId="3112ED78" w:rsidR="0095170D" w:rsidRPr="00C11F75" w:rsidRDefault="0095170D" w:rsidP="0095170D">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 xml:space="preserve">Łączna kwota wynagrodzeń otrzymanych przez Członków Rady Nadzorczej Banku, Członków Zarządu Banku oraz pozostałych członków kluczowego personelu kierowniczego Banku pełniących funkcje w 2019 roku wyniosła </w:t>
      </w:r>
      <w:r w:rsidR="00811842" w:rsidRPr="00C11F75">
        <w:rPr>
          <w:rFonts w:ascii="Verdana" w:hAnsi="Verdana" w:cs="Tahoma"/>
          <w:b w:val="0"/>
          <w:color w:val="000000" w:themeColor="text1"/>
          <w:sz w:val="18"/>
          <w:szCs w:val="18"/>
        </w:rPr>
        <w:t>27</w:t>
      </w:r>
      <w:r w:rsidRPr="00C11F75">
        <w:rPr>
          <w:rFonts w:ascii="Verdana" w:hAnsi="Verdana" w:cs="Tahoma"/>
          <w:b w:val="0"/>
          <w:color w:val="000000" w:themeColor="text1"/>
          <w:sz w:val="18"/>
          <w:szCs w:val="18"/>
        </w:rPr>
        <w:t> </w:t>
      </w:r>
      <w:r w:rsidR="00811842" w:rsidRPr="00C11F75">
        <w:rPr>
          <w:rFonts w:ascii="Verdana" w:hAnsi="Verdana" w:cs="Tahoma"/>
          <w:b w:val="0"/>
          <w:color w:val="000000" w:themeColor="text1"/>
          <w:sz w:val="18"/>
          <w:szCs w:val="18"/>
        </w:rPr>
        <w:t>410</w:t>
      </w:r>
      <w:r w:rsidRPr="00C11F75">
        <w:rPr>
          <w:rFonts w:ascii="Verdana" w:hAnsi="Verdana" w:cs="Tahoma"/>
          <w:b w:val="0"/>
          <w:color w:val="000000" w:themeColor="text1"/>
          <w:sz w:val="18"/>
          <w:szCs w:val="18"/>
        </w:rPr>
        <w:t> </w:t>
      </w:r>
      <w:r w:rsidR="00811842" w:rsidRPr="00C11F75">
        <w:rPr>
          <w:rFonts w:ascii="Verdana" w:hAnsi="Verdana" w:cs="Tahoma"/>
          <w:b w:val="0"/>
          <w:color w:val="000000" w:themeColor="text1"/>
          <w:sz w:val="18"/>
          <w:szCs w:val="18"/>
        </w:rPr>
        <w:t>813</w:t>
      </w:r>
      <w:r w:rsidRPr="00C11F75">
        <w:rPr>
          <w:rFonts w:ascii="Verdana" w:hAnsi="Verdana" w:cs="Tahoma"/>
          <w:b w:val="0"/>
          <w:color w:val="000000" w:themeColor="text1"/>
          <w:sz w:val="18"/>
          <w:szCs w:val="18"/>
        </w:rPr>
        <w:t xml:space="preserve"> zł (2018</w:t>
      </w:r>
      <w:r w:rsidR="00AC25CE">
        <w:rPr>
          <w:rFonts w:ascii="Verdana" w:hAnsi="Verdana" w:cs="Tahoma"/>
          <w:b w:val="0"/>
          <w:color w:val="000000" w:themeColor="text1"/>
          <w:sz w:val="18"/>
          <w:szCs w:val="18"/>
        </w:rPr>
        <w:t xml:space="preserve"> rok</w:t>
      </w:r>
      <w:r w:rsidRPr="00C11F75">
        <w:rPr>
          <w:rFonts w:ascii="Verdana" w:hAnsi="Verdana" w:cs="Tahoma"/>
          <w:b w:val="0"/>
          <w:color w:val="000000" w:themeColor="text1"/>
          <w:sz w:val="18"/>
          <w:szCs w:val="18"/>
        </w:rPr>
        <w:t>: 28 757 076 zł).</w:t>
      </w:r>
    </w:p>
    <w:p w14:paraId="1A5FBBD4" w14:textId="09AE0983" w:rsidR="0095170D" w:rsidRPr="00C11F75" w:rsidRDefault="0095170D" w:rsidP="0095170D">
      <w:pPr>
        <w:pStyle w:val="Tekstpodstawowy2"/>
        <w:tabs>
          <w:tab w:val="left" w:pos="4253"/>
          <w:tab w:val="left" w:pos="9072"/>
        </w:tabs>
        <w:spacing w:before="120" w:after="0" w:line="240" w:lineRule="auto"/>
        <w:jc w:val="both"/>
        <w:rPr>
          <w:rFonts w:cs="Tahoma"/>
          <w:color w:val="000000" w:themeColor="text1"/>
          <w:sz w:val="18"/>
          <w:szCs w:val="18"/>
        </w:rPr>
      </w:pPr>
      <w:r w:rsidRPr="00C11F75">
        <w:rPr>
          <w:rFonts w:cs="Tahoma"/>
          <w:color w:val="000000" w:themeColor="text1"/>
          <w:sz w:val="18"/>
          <w:szCs w:val="18"/>
        </w:rPr>
        <w:t>Szczegółowe informacje dotyczące wynagrodzeń poszczególnych Członków Zarządu i Rady Nadzorczej,</w:t>
      </w:r>
      <w:r w:rsidR="00B0530A">
        <w:rPr>
          <w:rFonts w:cs="Tahoma"/>
          <w:color w:val="000000" w:themeColor="text1"/>
          <w:sz w:val="18"/>
          <w:szCs w:val="18"/>
        </w:rPr>
        <w:t xml:space="preserve"> jak również skład </w:t>
      </w:r>
      <w:r w:rsidRPr="00C11F75">
        <w:rPr>
          <w:rFonts w:cs="Tahoma"/>
          <w:color w:val="000000" w:themeColor="text1"/>
          <w:sz w:val="18"/>
          <w:szCs w:val="18"/>
        </w:rPr>
        <w:t xml:space="preserve">Rady Nadzorczej </w:t>
      </w:r>
      <w:r w:rsidR="00B0530A">
        <w:rPr>
          <w:rFonts w:cs="Tahoma"/>
          <w:color w:val="000000" w:themeColor="text1"/>
          <w:sz w:val="18"/>
          <w:szCs w:val="18"/>
        </w:rPr>
        <w:t xml:space="preserve">oraz informacje o byłych Członkach Zarządu </w:t>
      </w:r>
      <w:r w:rsidRPr="00C11F75">
        <w:rPr>
          <w:rFonts w:cs="Tahoma"/>
          <w:color w:val="000000" w:themeColor="text1"/>
          <w:sz w:val="18"/>
          <w:szCs w:val="18"/>
        </w:rPr>
        <w:t>zostały przedstawione w</w:t>
      </w:r>
      <w:r w:rsidR="00B0530A">
        <w:rPr>
          <w:rFonts w:cs="Tahoma"/>
          <w:color w:val="000000" w:themeColor="text1"/>
          <w:sz w:val="18"/>
          <w:szCs w:val="18"/>
        </w:rPr>
        <w:t> </w:t>
      </w:r>
      <w:r w:rsidRPr="00C11F75">
        <w:rPr>
          <w:rFonts w:cs="Tahoma"/>
          <w:color w:val="000000" w:themeColor="text1"/>
          <w:sz w:val="18"/>
          <w:szCs w:val="18"/>
        </w:rPr>
        <w:t>Sprawozdaniu Zarządu z działalności Grupy mBanku S.A.</w:t>
      </w:r>
      <w:r w:rsidR="00C822C2">
        <w:rPr>
          <w:rFonts w:cs="Tahoma"/>
          <w:color w:val="000000" w:themeColor="text1"/>
          <w:sz w:val="18"/>
          <w:szCs w:val="18"/>
        </w:rPr>
        <w:t xml:space="preserve"> w Rozdziale</w:t>
      </w:r>
      <w:r w:rsidR="006B733D" w:rsidRPr="00C11F75">
        <w:rPr>
          <w:rFonts w:cs="Tahoma"/>
          <w:color w:val="000000" w:themeColor="text1"/>
          <w:sz w:val="18"/>
          <w:szCs w:val="18"/>
        </w:rPr>
        <w:t xml:space="preserve"> </w:t>
      </w:r>
      <w:r w:rsidR="00015BC9">
        <w:rPr>
          <w:rFonts w:cs="Tahoma"/>
          <w:color w:val="000000" w:themeColor="text1"/>
          <w:sz w:val="18"/>
          <w:szCs w:val="18"/>
        </w:rPr>
        <w:t>14.6</w:t>
      </w:r>
      <w:r w:rsidR="00C822C2">
        <w:rPr>
          <w:rFonts w:cs="Tahoma"/>
          <w:color w:val="000000" w:themeColor="text1"/>
          <w:sz w:val="18"/>
          <w:szCs w:val="18"/>
        </w:rPr>
        <w:t>. „</w:t>
      </w:r>
      <w:r w:rsidR="00C822C2" w:rsidRPr="00C822C2">
        <w:rPr>
          <w:rFonts w:cs="Tahoma"/>
          <w:color w:val="000000" w:themeColor="text1"/>
          <w:sz w:val="18"/>
          <w:szCs w:val="18"/>
        </w:rPr>
        <w:t>Zarząd i Rada Nadzorcza – skład, kompetencje i zasady działania</w:t>
      </w:r>
      <w:r w:rsidR="006B733D" w:rsidRPr="00C822C2">
        <w:rPr>
          <w:rFonts w:cs="Tahoma"/>
          <w:color w:val="000000" w:themeColor="text1"/>
          <w:sz w:val="18"/>
          <w:szCs w:val="18"/>
        </w:rPr>
        <w:t>”.</w:t>
      </w:r>
    </w:p>
    <w:p w14:paraId="43B785B4" w14:textId="77777777" w:rsidR="00BB51D3" w:rsidRDefault="00BB51D3">
      <w:pPr>
        <w:rPr>
          <w:rFonts w:cs="Tahoma"/>
          <w:bCs/>
          <w:color w:val="000000" w:themeColor="text1"/>
          <w:sz w:val="18"/>
          <w:szCs w:val="18"/>
          <w:u w:val="single"/>
          <w:lang w:eastAsia="en-US"/>
        </w:rPr>
      </w:pPr>
      <w:r>
        <w:rPr>
          <w:rFonts w:cs="Tahoma"/>
          <w:b/>
          <w:color w:val="000000" w:themeColor="text1"/>
          <w:sz w:val="18"/>
          <w:szCs w:val="18"/>
          <w:u w:val="single"/>
        </w:rPr>
        <w:br w:type="page"/>
      </w:r>
    </w:p>
    <w:p w14:paraId="41075B87" w14:textId="5F86715A" w:rsidR="002D0A68" w:rsidRPr="00C11F75" w:rsidRDefault="002D0A68" w:rsidP="002D0A68">
      <w:pPr>
        <w:pStyle w:val="Notki"/>
        <w:suppressAutoHyphens/>
        <w:spacing w:before="120" w:after="0"/>
        <w:jc w:val="both"/>
        <w:rPr>
          <w:rFonts w:ascii="Verdana" w:hAnsi="Verdana" w:cs="Tahoma"/>
          <w:b w:val="0"/>
          <w:color w:val="000000" w:themeColor="text1"/>
          <w:sz w:val="18"/>
          <w:szCs w:val="18"/>
          <w:u w:val="single"/>
        </w:rPr>
      </w:pPr>
      <w:r w:rsidRPr="00C11F75">
        <w:rPr>
          <w:rFonts w:ascii="Verdana" w:hAnsi="Verdana" w:cs="Tahoma"/>
          <w:b w:val="0"/>
          <w:color w:val="000000" w:themeColor="text1"/>
          <w:sz w:val="18"/>
          <w:szCs w:val="18"/>
          <w:u w:val="single"/>
        </w:rPr>
        <w:lastRenderedPageBreak/>
        <w:t xml:space="preserve">Informacje o stanie posiadania akcji Banku przez osoby zarządzające i nadzorujące </w:t>
      </w:r>
    </w:p>
    <w:p w14:paraId="524F1B31" w14:textId="5F72F167" w:rsidR="002D0A68" w:rsidRPr="00C11F75" w:rsidRDefault="00F040CE" w:rsidP="002D0A68">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Na dzień 31 grudnia 2019</w:t>
      </w:r>
      <w:r w:rsidR="000A37B2" w:rsidRPr="00C11F75">
        <w:rPr>
          <w:rFonts w:ascii="Verdana" w:hAnsi="Verdana" w:cs="Tahoma"/>
          <w:b w:val="0"/>
          <w:color w:val="000000" w:themeColor="text1"/>
          <w:sz w:val="18"/>
          <w:szCs w:val="18"/>
        </w:rPr>
        <w:t xml:space="preserve"> rok</w:t>
      </w:r>
      <w:r w:rsidR="006D2F2E" w:rsidRPr="00C11F75">
        <w:rPr>
          <w:rFonts w:ascii="Verdana" w:hAnsi="Verdana" w:cs="Tahoma"/>
          <w:b w:val="0"/>
          <w:color w:val="000000" w:themeColor="text1"/>
          <w:sz w:val="18"/>
          <w:szCs w:val="18"/>
        </w:rPr>
        <w:t>u akcje Banku posiadało pięciu</w:t>
      </w:r>
      <w:r w:rsidR="002D0A68" w:rsidRPr="00C11F75">
        <w:rPr>
          <w:rFonts w:ascii="Verdana" w:hAnsi="Verdana" w:cs="Tahoma"/>
          <w:b w:val="0"/>
          <w:color w:val="000000" w:themeColor="text1"/>
          <w:sz w:val="18"/>
          <w:szCs w:val="18"/>
        </w:rPr>
        <w:t xml:space="preserve"> Członków Zarządu Banku: </w:t>
      </w:r>
      <w:r w:rsidR="006D2F2E" w:rsidRPr="00C11F75">
        <w:rPr>
          <w:rFonts w:ascii="Verdana" w:hAnsi="Verdana" w:cs="Tahoma"/>
          <w:b w:val="0"/>
          <w:color w:val="000000" w:themeColor="text1"/>
          <w:sz w:val="18"/>
          <w:szCs w:val="18"/>
        </w:rPr>
        <w:t>Pan Cezary Stypułkowski – 21</w:t>
      </w:r>
      <w:r w:rsidR="000A37B2" w:rsidRPr="00C11F75">
        <w:rPr>
          <w:rFonts w:ascii="Verdana" w:hAnsi="Verdana" w:cs="Tahoma"/>
          <w:b w:val="0"/>
          <w:color w:val="000000" w:themeColor="text1"/>
          <w:sz w:val="18"/>
          <w:szCs w:val="18"/>
        </w:rPr>
        <w:t> </w:t>
      </w:r>
      <w:r w:rsidR="00B0530A">
        <w:rPr>
          <w:rFonts w:ascii="Verdana" w:hAnsi="Verdana" w:cs="Tahoma"/>
          <w:b w:val="0"/>
          <w:color w:val="000000" w:themeColor="text1"/>
          <w:sz w:val="18"/>
          <w:szCs w:val="18"/>
        </w:rPr>
        <w:t>249 sztuk</w:t>
      </w:r>
      <w:r w:rsidR="006D2F2E" w:rsidRPr="00C11F75">
        <w:rPr>
          <w:rFonts w:ascii="Verdana" w:hAnsi="Verdana" w:cs="Tahoma"/>
          <w:b w:val="0"/>
          <w:color w:val="000000" w:themeColor="text1"/>
          <w:sz w:val="18"/>
          <w:szCs w:val="18"/>
        </w:rPr>
        <w:t>, Pan Frank Bock – 334</w:t>
      </w:r>
      <w:r w:rsidR="000A37B2" w:rsidRPr="00C11F75">
        <w:rPr>
          <w:rFonts w:ascii="Verdana" w:hAnsi="Verdana" w:cs="Tahoma"/>
          <w:b w:val="0"/>
          <w:color w:val="000000" w:themeColor="text1"/>
          <w:sz w:val="18"/>
          <w:szCs w:val="18"/>
        </w:rPr>
        <w:t xml:space="preserve"> sztuki, </w:t>
      </w:r>
      <w:r w:rsidR="00F6149D" w:rsidRPr="00C11F75">
        <w:rPr>
          <w:rFonts w:ascii="Verdana" w:hAnsi="Verdana" w:cs="Tahoma"/>
          <w:b w:val="0"/>
          <w:color w:val="000000" w:themeColor="text1"/>
          <w:sz w:val="18"/>
          <w:szCs w:val="18"/>
        </w:rPr>
        <w:t xml:space="preserve">Pan </w:t>
      </w:r>
      <w:r w:rsidR="00ED7D83" w:rsidRPr="00C11F75">
        <w:rPr>
          <w:rFonts w:ascii="Verdana" w:hAnsi="Verdana" w:cs="Tahoma"/>
          <w:b w:val="0"/>
          <w:color w:val="000000" w:themeColor="text1"/>
          <w:sz w:val="18"/>
          <w:szCs w:val="18"/>
        </w:rPr>
        <w:t>Andreas Böger -</w:t>
      </w:r>
      <w:r w:rsidR="006D2F2E" w:rsidRPr="00C11F75">
        <w:rPr>
          <w:rFonts w:ascii="Verdana" w:hAnsi="Verdana" w:cs="Tahoma"/>
          <w:b w:val="0"/>
          <w:color w:val="000000" w:themeColor="text1"/>
          <w:sz w:val="18"/>
          <w:szCs w:val="18"/>
        </w:rPr>
        <w:t xml:space="preserve"> 270</w:t>
      </w:r>
      <w:r w:rsidR="00F6149D" w:rsidRPr="00C11F75">
        <w:rPr>
          <w:rFonts w:ascii="Verdana" w:hAnsi="Verdana" w:cs="Tahoma"/>
          <w:b w:val="0"/>
          <w:color w:val="000000" w:themeColor="text1"/>
          <w:sz w:val="18"/>
          <w:szCs w:val="18"/>
        </w:rPr>
        <w:t xml:space="preserve"> sztuk i</w:t>
      </w:r>
      <w:r w:rsidR="006D2F2E" w:rsidRPr="00C11F75">
        <w:rPr>
          <w:rFonts w:ascii="Verdana" w:hAnsi="Verdana" w:cs="Tahoma"/>
          <w:b w:val="0"/>
          <w:color w:val="000000" w:themeColor="text1"/>
          <w:sz w:val="18"/>
          <w:szCs w:val="18"/>
        </w:rPr>
        <w:t xml:space="preserve"> Pan Krzysztof Dąbrowski – 1 000</w:t>
      </w:r>
      <w:r w:rsidR="00F6149D" w:rsidRPr="00C11F75">
        <w:rPr>
          <w:rFonts w:ascii="Verdana" w:hAnsi="Verdana" w:cs="Tahoma"/>
          <w:b w:val="0"/>
          <w:color w:val="000000" w:themeColor="text1"/>
          <w:sz w:val="18"/>
          <w:szCs w:val="18"/>
        </w:rPr>
        <w:t xml:space="preserve"> sztuk</w:t>
      </w:r>
      <w:r w:rsidR="006D2F2E" w:rsidRPr="00C11F75">
        <w:rPr>
          <w:rFonts w:ascii="Verdana" w:hAnsi="Verdana" w:cs="Tahoma"/>
          <w:b w:val="0"/>
          <w:color w:val="000000" w:themeColor="text1"/>
          <w:sz w:val="18"/>
          <w:szCs w:val="18"/>
        </w:rPr>
        <w:t xml:space="preserve"> i Pan Cezary Kocik – 1 040 sztuk</w:t>
      </w:r>
      <w:r w:rsidR="00F6149D" w:rsidRPr="00C11F75">
        <w:rPr>
          <w:rFonts w:ascii="Verdana" w:hAnsi="Verdana" w:cs="Tahoma"/>
          <w:b w:val="0"/>
          <w:color w:val="000000" w:themeColor="text1"/>
          <w:sz w:val="18"/>
          <w:szCs w:val="18"/>
        </w:rPr>
        <w:t>.</w:t>
      </w:r>
    </w:p>
    <w:p w14:paraId="71B40D6E" w14:textId="77777777" w:rsidR="00F040CE" w:rsidRPr="00C11F75" w:rsidRDefault="00F040CE" w:rsidP="00F040CE">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Na dzień 31 grudnia 2018 roku akcje Banku posiadało czterech Członków Zarządu Banku: Pan Cezary Stypułkowski – 19 384 sztuki, Pan Frank Bock – 223 sztuki, Pan Andreas Böger - 180 sztuk i Pan Krzysztof Dąbrowski – 1 630 sztuk.</w:t>
      </w:r>
    </w:p>
    <w:p w14:paraId="1B2B9801" w14:textId="27C1CFE9" w:rsidR="002D0A68" w:rsidRDefault="001B6294" w:rsidP="002D0A68">
      <w:pPr>
        <w:pStyle w:val="Notki"/>
        <w:suppressAutoHyphens/>
        <w:spacing w:before="120" w:after="0"/>
        <w:jc w:val="both"/>
        <w:rPr>
          <w:rFonts w:ascii="Verdana" w:hAnsi="Verdana" w:cs="Tahoma"/>
          <w:b w:val="0"/>
          <w:color w:val="000000" w:themeColor="text1"/>
          <w:sz w:val="18"/>
          <w:szCs w:val="18"/>
        </w:rPr>
      </w:pPr>
      <w:r w:rsidRPr="00C11F75">
        <w:rPr>
          <w:rFonts w:ascii="Verdana" w:hAnsi="Verdana" w:cs="Tahoma"/>
          <w:b w:val="0"/>
          <w:color w:val="000000" w:themeColor="text1"/>
          <w:sz w:val="18"/>
          <w:szCs w:val="18"/>
        </w:rPr>
        <w:t>Na dzień 31 grudnia 2019</w:t>
      </w:r>
      <w:r w:rsidR="002D0A68" w:rsidRPr="00C11F75">
        <w:rPr>
          <w:rFonts w:ascii="Verdana" w:hAnsi="Verdana" w:cs="Tahoma"/>
          <w:b w:val="0"/>
          <w:color w:val="000000" w:themeColor="text1"/>
          <w:sz w:val="18"/>
          <w:szCs w:val="18"/>
        </w:rPr>
        <w:t xml:space="preserve"> roku </w:t>
      </w:r>
      <w:r w:rsidR="00F65333" w:rsidRPr="00C11F75">
        <w:rPr>
          <w:rFonts w:ascii="Verdana" w:hAnsi="Verdana" w:cs="Tahoma"/>
          <w:b w:val="0"/>
          <w:color w:val="000000" w:themeColor="text1"/>
          <w:sz w:val="18"/>
          <w:szCs w:val="18"/>
        </w:rPr>
        <w:t xml:space="preserve">i na dzień 31 grudnia 2018 roku </w:t>
      </w:r>
      <w:r w:rsidR="002D0A68" w:rsidRPr="00C11F75">
        <w:rPr>
          <w:rFonts w:ascii="Verdana" w:hAnsi="Verdana" w:cs="Tahoma"/>
          <w:b w:val="0"/>
          <w:color w:val="000000" w:themeColor="text1"/>
          <w:sz w:val="18"/>
          <w:szCs w:val="18"/>
        </w:rPr>
        <w:t xml:space="preserve">akcje Banku posiadał jeden Członek Rady Nadzorczej mBanku, Pan </w:t>
      </w:r>
      <w:r w:rsidR="002D0A68" w:rsidRPr="00C11F75">
        <w:rPr>
          <w:rFonts w:ascii="Verdana" w:hAnsi="Verdana"/>
          <w:b w:val="0"/>
          <w:color w:val="000000" w:themeColor="text1"/>
          <w:sz w:val="18"/>
          <w:szCs w:val="18"/>
        </w:rPr>
        <w:t xml:space="preserve">Jörg Hessenmüller </w:t>
      </w:r>
      <w:r w:rsidR="002D0A68" w:rsidRPr="00C11F75">
        <w:rPr>
          <w:rFonts w:ascii="Verdana" w:hAnsi="Verdana" w:cs="Tahoma"/>
          <w:b w:val="0"/>
          <w:color w:val="000000" w:themeColor="text1"/>
          <w:sz w:val="18"/>
          <w:szCs w:val="18"/>
        </w:rPr>
        <w:t>– 7 175</w:t>
      </w:r>
      <w:r w:rsidRPr="00C11F75">
        <w:rPr>
          <w:rFonts w:ascii="Verdana" w:hAnsi="Verdana" w:cs="Tahoma"/>
          <w:b w:val="0"/>
          <w:color w:val="000000" w:themeColor="text1"/>
          <w:sz w:val="18"/>
          <w:szCs w:val="18"/>
        </w:rPr>
        <w:t xml:space="preserve"> sztuk. Na dzień 31 grudnia 2019</w:t>
      </w:r>
      <w:r w:rsidR="002D0A68" w:rsidRPr="00C11F75">
        <w:rPr>
          <w:rFonts w:ascii="Verdana" w:hAnsi="Verdana" w:cs="Tahoma"/>
          <w:b w:val="0"/>
          <w:color w:val="000000" w:themeColor="text1"/>
          <w:sz w:val="18"/>
          <w:szCs w:val="18"/>
        </w:rPr>
        <w:t xml:space="preserve"> roku </w:t>
      </w:r>
      <w:r w:rsidR="00F65333" w:rsidRPr="00C11F75">
        <w:rPr>
          <w:rFonts w:ascii="Verdana" w:hAnsi="Verdana" w:cs="Tahoma"/>
          <w:b w:val="0"/>
          <w:color w:val="000000" w:themeColor="text1"/>
          <w:sz w:val="18"/>
          <w:szCs w:val="18"/>
        </w:rPr>
        <w:t>i na dzień 31</w:t>
      </w:r>
      <w:r w:rsidR="009632C9">
        <w:rPr>
          <w:rFonts w:ascii="Verdana" w:hAnsi="Verdana" w:cs="Tahoma"/>
          <w:b w:val="0"/>
          <w:color w:val="000000" w:themeColor="text1"/>
          <w:sz w:val="18"/>
          <w:szCs w:val="18"/>
        </w:rPr>
        <w:t> </w:t>
      </w:r>
      <w:r w:rsidR="00F65333" w:rsidRPr="00C11F75">
        <w:rPr>
          <w:rFonts w:ascii="Verdana" w:hAnsi="Verdana" w:cs="Tahoma"/>
          <w:b w:val="0"/>
          <w:color w:val="000000" w:themeColor="text1"/>
          <w:sz w:val="18"/>
          <w:szCs w:val="18"/>
        </w:rPr>
        <w:t xml:space="preserve">grudnia 2018 roku </w:t>
      </w:r>
      <w:r w:rsidR="002D0A68" w:rsidRPr="00C11F75">
        <w:rPr>
          <w:rFonts w:ascii="Verdana" w:hAnsi="Verdana" w:cs="Tahoma"/>
          <w:b w:val="0"/>
          <w:color w:val="000000" w:themeColor="text1"/>
          <w:sz w:val="18"/>
          <w:szCs w:val="18"/>
        </w:rPr>
        <w:t>pozostali Członkowie Rady Nadzorczej nie posiadali akcji Banku.</w:t>
      </w:r>
    </w:p>
    <w:p w14:paraId="199EF762" w14:textId="77777777" w:rsidR="00BB51D3" w:rsidRPr="00C11F75" w:rsidRDefault="00BB51D3" w:rsidP="00BB51D3">
      <w:pPr>
        <w:pStyle w:val="Notki"/>
        <w:suppressAutoHyphens/>
        <w:spacing w:after="0"/>
        <w:jc w:val="both"/>
        <w:rPr>
          <w:rFonts w:ascii="Verdana" w:hAnsi="Verdana" w:cs="Tahoma"/>
          <w:b w:val="0"/>
          <w:color w:val="000000" w:themeColor="text1"/>
          <w:sz w:val="18"/>
          <w:szCs w:val="18"/>
        </w:rPr>
      </w:pPr>
    </w:p>
    <w:p w14:paraId="44B454D4" w14:textId="767C140A" w:rsidR="0017314B" w:rsidRDefault="0017314B" w:rsidP="00526DF1">
      <w:pPr>
        <w:pStyle w:val="Nagwek2"/>
        <w:numPr>
          <w:ilvl w:val="0"/>
          <w:numId w:val="44"/>
        </w:numPr>
        <w:suppressAutoHyphens/>
        <w:spacing w:before="0" w:after="120"/>
        <w:ind w:left="425" w:hanging="425"/>
        <w:jc w:val="both"/>
        <w:rPr>
          <w:rFonts w:cs="Tahoma"/>
          <w:bCs w:val="0"/>
          <w:iCs w:val="0"/>
          <w:color w:val="E41E0A"/>
          <w:sz w:val="18"/>
          <w:szCs w:val="18"/>
        </w:rPr>
      </w:pPr>
      <w:bookmarkStart w:id="166" w:name="_Toc32999874"/>
      <w:r w:rsidRPr="00446385">
        <w:rPr>
          <w:rFonts w:cs="Tahoma"/>
          <w:bCs w:val="0"/>
          <w:iCs w:val="0"/>
          <w:color w:val="E41E0A"/>
          <w:sz w:val="18"/>
          <w:szCs w:val="18"/>
        </w:rPr>
        <w:t>Przejęcie i zbycie</w:t>
      </w:r>
      <w:bookmarkEnd w:id="166"/>
    </w:p>
    <w:p w14:paraId="777D1B19" w14:textId="30F1E109" w:rsidR="00D93691" w:rsidRPr="00C11F75" w:rsidRDefault="00D93691" w:rsidP="00526DF1">
      <w:pPr>
        <w:pStyle w:val="Akapitzlist"/>
        <w:numPr>
          <w:ilvl w:val="0"/>
          <w:numId w:val="71"/>
        </w:numPr>
        <w:ind w:left="426" w:hanging="426"/>
        <w:rPr>
          <w:color w:val="000000" w:themeColor="text1"/>
          <w:sz w:val="18"/>
          <w:szCs w:val="18"/>
        </w:rPr>
      </w:pPr>
      <w:r w:rsidRPr="00C11F75">
        <w:rPr>
          <w:color w:val="000000" w:themeColor="text1"/>
          <w:sz w:val="18"/>
          <w:szCs w:val="18"/>
        </w:rPr>
        <w:t>Nabycie udziałów w spółce LeaseLink Sp. z o.o.</w:t>
      </w:r>
    </w:p>
    <w:p w14:paraId="2B32CF27" w14:textId="3125D782" w:rsidR="00D93691" w:rsidRPr="00C11F75" w:rsidRDefault="00D93691" w:rsidP="00D93691">
      <w:pPr>
        <w:spacing w:before="120"/>
        <w:jc w:val="both"/>
        <w:rPr>
          <w:rFonts w:cs="Tahoma"/>
          <w:color w:val="000000" w:themeColor="text1"/>
          <w:spacing w:val="-2"/>
          <w:sz w:val="18"/>
          <w:szCs w:val="18"/>
          <w:lang w:eastAsia="en-US"/>
        </w:rPr>
      </w:pPr>
      <w:r w:rsidRPr="00C11F75">
        <w:rPr>
          <w:rFonts w:cs="Tahoma"/>
          <w:color w:val="000000" w:themeColor="text1"/>
          <w:spacing w:val="-2"/>
          <w:sz w:val="18"/>
          <w:szCs w:val="18"/>
          <w:lang w:eastAsia="en-US"/>
        </w:rPr>
        <w:t>W dniu 8 marca 2019 roku spółka mLeasing nabyła 100% udziałów w LeaseLink Sp. z o.o. („LeaseLink”). LeaseLink to spółka działająca w obszarze fintech w sektorach leasingu przedmiotów niskocennych oraz</w:t>
      </w:r>
      <w:r w:rsidRPr="00C11F75">
        <w:rPr>
          <w:rFonts w:cs="Tahoma"/>
          <w:color w:val="000000" w:themeColor="text1"/>
          <w:spacing w:val="-2"/>
          <w:sz w:val="18"/>
          <w:szCs w:val="18"/>
          <w:lang w:eastAsia="en-US"/>
        </w:rPr>
        <w:br/>
        <w:t xml:space="preserve">e-commerce, specjalizująca się w usługach płatności leasingiem. </w:t>
      </w:r>
      <w:r w:rsidR="00A93E0E" w:rsidRPr="00A93E0E">
        <w:rPr>
          <w:rFonts w:cs="Tahoma"/>
          <w:color w:val="000000" w:themeColor="text1"/>
          <w:spacing w:val="-2"/>
          <w:sz w:val="18"/>
          <w:szCs w:val="18"/>
          <w:lang w:eastAsia="en-US"/>
        </w:rPr>
        <w:t>Zakup spółki miał na celu rozszerzenie oferty</w:t>
      </w:r>
      <w:r w:rsidR="00916F9D">
        <w:rPr>
          <w:rFonts w:cs="Tahoma"/>
          <w:color w:val="000000" w:themeColor="text1"/>
          <w:spacing w:val="-2"/>
          <w:sz w:val="18"/>
          <w:szCs w:val="18"/>
          <w:lang w:eastAsia="en-US"/>
        </w:rPr>
        <w:t xml:space="preserve"> Grupy</w:t>
      </w:r>
      <w:r w:rsidR="00A93E0E" w:rsidRPr="00A93E0E">
        <w:rPr>
          <w:rFonts w:cs="Tahoma"/>
          <w:color w:val="000000" w:themeColor="text1"/>
          <w:spacing w:val="-2"/>
          <w:sz w:val="18"/>
          <w:szCs w:val="18"/>
          <w:lang w:eastAsia="en-US"/>
        </w:rPr>
        <w:t xml:space="preserve"> dla małych i średnich przedsiębiorstw.</w:t>
      </w:r>
      <w:r w:rsidR="00051B99">
        <w:rPr>
          <w:rFonts w:cs="Tahoma"/>
          <w:color w:val="000000" w:themeColor="text1"/>
          <w:spacing w:val="-2"/>
          <w:sz w:val="18"/>
          <w:szCs w:val="18"/>
          <w:lang w:eastAsia="en-US"/>
        </w:rPr>
        <w:t xml:space="preserve"> </w:t>
      </w:r>
      <w:r w:rsidRPr="00C11F75">
        <w:rPr>
          <w:rFonts w:cs="Tahoma"/>
          <w:color w:val="000000" w:themeColor="text1"/>
          <w:sz w:val="18"/>
          <w:szCs w:val="18"/>
        </w:rPr>
        <w:t xml:space="preserve">Bank posiada pośrednio przez mLeasing 100% udziałów w spółce LeaseLink. </w:t>
      </w:r>
      <w:r w:rsidRPr="00C11F75">
        <w:rPr>
          <w:rFonts w:cs="Tahoma"/>
          <w:color w:val="000000" w:themeColor="text1"/>
          <w:spacing w:val="-2"/>
          <w:sz w:val="18"/>
          <w:szCs w:val="18"/>
          <w:lang w:eastAsia="en-US"/>
        </w:rPr>
        <w:t>Cena nabycia u</w:t>
      </w:r>
      <w:r w:rsidR="004A47A1">
        <w:rPr>
          <w:rFonts w:cs="Tahoma"/>
          <w:color w:val="000000" w:themeColor="text1"/>
          <w:spacing w:val="-2"/>
          <w:sz w:val="18"/>
          <w:szCs w:val="18"/>
          <w:lang w:eastAsia="en-US"/>
        </w:rPr>
        <w:t>działów wyniosła 31 452 tys. zł i została w całości opłacona w środkach pieniężnych.</w:t>
      </w:r>
    </w:p>
    <w:p w14:paraId="5741DA5E" w14:textId="239AE3E8" w:rsidR="00D93691" w:rsidRPr="00C11F75" w:rsidRDefault="00D93691" w:rsidP="00D93691">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jc w:val="both"/>
        <w:rPr>
          <w:rFonts w:cs="Tahoma"/>
          <w:color w:val="000000" w:themeColor="text1"/>
          <w:spacing w:val="-2"/>
          <w:sz w:val="18"/>
          <w:szCs w:val="18"/>
          <w:lang w:eastAsia="en-US"/>
        </w:rPr>
      </w:pPr>
      <w:r w:rsidRPr="00C11F75">
        <w:rPr>
          <w:rFonts w:cs="Tahoma"/>
          <w:color w:val="000000" w:themeColor="text1"/>
          <w:spacing w:val="-2"/>
          <w:sz w:val="18"/>
          <w:szCs w:val="18"/>
          <w:lang w:eastAsia="en-US"/>
        </w:rPr>
        <w:t xml:space="preserve">W związku z zakończeniem księgowego rozliczenia połączenia, na dzień sporządzenia niniejszego skonsolidowanego sprawozdania finansowego, Grupa skorygowała retrospektywnie prowizoryczne kwoty ujęte na dzień przejęcia, aby odzwierciedlić informacje uzyskane o faktach i okolicznościach, które istniały na dzień przejęcia. </w:t>
      </w:r>
    </w:p>
    <w:p w14:paraId="146321C4" w14:textId="42C8D248" w:rsidR="00D93691" w:rsidRPr="00C11F75" w:rsidRDefault="00455003" w:rsidP="00D93691">
      <w:pPr>
        <w:spacing w:before="120" w:after="120"/>
        <w:jc w:val="both"/>
        <w:rPr>
          <w:rFonts w:cs="Tahoma"/>
          <w:color w:val="000000" w:themeColor="text1"/>
          <w:spacing w:val="-2"/>
          <w:sz w:val="18"/>
          <w:szCs w:val="18"/>
          <w:lang w:eastAsia="en-US"/>
        </w:rPr>
      </w:pPr>
      <w:r w:rsidRPr="00455003">
        <w:rPr>
          <w:rFonts w:cs="Tahoma"/>
          <w:color w:val="000000" w:themeColor="text1"/>
          <w:spacing w:val="-2"/>
          <w:sz w:val="18"/>
          <w:szCs w:val="18"/>
          <w:lang w:eastAsia="en-US"/>
        </w:rPr>
        <w:t xml:space="preserve">Ujęte wartości godziwe możliwych do zidentyfikowania nabytych aktywów i przejętych zobowiązań </w:t>
      </w:r>
      <w:r>
        <w:rPr>
          <w:rFonts w:cs="Tahoma"/>
          <w:color w:val="000000" w:themeColor="text1"/>
          <w:spacing w:val="-2"/>
          <w:sz w:val="18"/>
          <w:szCs w:val="18"/>
          <w:lang w:eastAsia="en-US"/>
        </w:rPr>
        <w:t xml:space="preserve">na dzień nabycia </w:t>
      </w:r>
      <w:r w:rsidRPr="00455003">
        <w:rPr>
          <w:rFonts w:cs="Tahoma"/>
          <w:color w:val="000000" w:themeColor="text1"/>
          <w:spacing w:val="-2"/>
          <w:sz w:val="18"/>
          <w:szCs w:val="18"/>
          <w:lang w:eastAsia="en-US"/>
        </w:rPr>
        <w:t>zostały przedstawione w poniższej tabeli</w:t>
      </w:r>
      <w:r w:rsidR="00D93691" w:rsidRPr="00C11F75">
        <w:rPr>
          <w:rFonts w:cs="Tahoma"/>
          <w:color w:val="000000" w:themeColor="text1"/>
          <w:spacing w:val="-2"/>
          <w:sz w:val="18"/>
          <w:szCs w:val="18"/>
          <w:lang w:eastAsia="en-US"/>
        </w:rPr>
        <w:t>.</w:t>
      </w:r>
    </w:p>
    <w:tbl>
      <w:tblPr>
        <w:tblW w:w="9639" w:type="dxa"/>
        <w:tblCellMar>
          <w:left w:w="28" w:type="dxa"/>
          <w:right w:w="28" w:type="dxa"/>
        </w:tblCellMar>
        <w:tblLook w:val="04A0" w:firstRow="1" w:lastRow="0" w:firstColumn="1" w:lastColumn="0" w:noHBand="0" w:noVBand="1"/>
      </w:tblPr>
      <w:tblGrid>
        <w:gridCol w:w="7371"/>
        <w:gridCol w:w="2268"/>
      </w:tblGrid>
      <w:tr w:rsidR="00D93691" w:rsidRPr="00563197" w14:paraId="044C9CF0" w14:textId="77777777" w:rsidTr="009632C9">
        <w:trPr>
          <w:trHeight w:val="284"/>
        </w:trPr>
        <w:tc>
          <w:tcPr>
            <w:tcW w:w="9639" w:type="dxa"/>
            <w:gridSpan w:val="2"/>
            <w:tcBorders>
              <w:top w:val="nil"/>
              <w:left w:val="nil"/>
              <w:bottom w:val="nil"/>
              <w:right w:val="single" w:sz="8" w:space="0" w:color="FFFFFF"/>
            </w:tcBorders>
            <w:shd w:val="clear" w:color="000000" w:fill="0077BD"/>
            <w:noWrap/>
            <w:vAlign w:val="center"/>
            <w:hideMark/>
          </w:tcPr>
          <w:p w14:paraId="09B1C7DA" w14:textId="77777777" w:rsidR="00D93691" w:rsidRPr="00563197" w:rsidRDefault="00D93691" w:rsidP="00996A3D">
            <w:pPr>
              <w:rPr>
                <w:rFonts w:cs="Calibri"/>
                <w:b/>
                <w:bCs/>
                <w:color w:val="FFFFFF"/>
                <w:sz w:val="13"/>
                <w:szCs w:val="13"/>
              </w:rPr>
            </w:pPr>
            <w:r w:rsidRPr="00563197">
              <w:rPr>
                <w:rFonts w:cs="Calibri"/>
                <w:b/>
                <w:bCs/>
                <w:color w:val="FFFFFF"/>
                <w:sz w:val="13"/>
                <w:szCs w:val="13"/>
              </w:rPr>
              <w:t>Nazwa pozycji</w:t>
            </w:r>
          </w:p>
        </w:tc>
      </w:tr>
      <w:tr w:rsidR="00D93691" w:rsidRPr="00C11F75" w14:paraId="0851A97E" w14:textId="77777777" w:rsidTr="009632C9">
        <w:trPr>
          <w:trHeight w:val="284"/>
        </w:trPr>
        <w:tc>
          <w:tcPr>
            <w:tcW w:w="7371" w:type="dxa"/>
            <w:tcBorders>
              <w:top w:val="nil"/>
              <w:left w:val="nil"/>
              <w:bottom w:val="single" w:sz="4" w:space="0" w:color="0077BD"/>
              <w:right w:val="single" w:sz="8" w:space="0" w:color="0077BD"/>
            </w:tcBorders>
            <w:shd w:val="clear" w:color="auto" w:fill="auto"/>
            <w:vAlign w:val="center"/>
            <w:hideMark/>
          </w:tcPr>
          <w:p w14:paraId="0A2D5325"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Należności od banków</w:t>
            </w:r>
          </w:p>
        </w:tc>
        <w:tc>
          <w:tcPr>
            <w:tcW w:w="2268" w:type="dxa"/>
            <w:tcBorders>
              <w:top w:val="nil"/>
              <w:left w:val="nil"/>
              <w:bottom w:val="single" w:sz="4" w:space="0" w:color="0077BD"/>
              <w:right w:val="nil"/>
            </w:tcBorders>
            <w:shd w:val="clear" w:color="auto" w:fill="auto"/>
            <w:vAlign w:val="center"/>
            <w:hideMark/>
          </w:tcPr>
          <w:p w14:paraId="07DB6F83"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1 343</w:t>
            </w:r>
          </w:p>
        </w:tc>
      </w:tr>
      <w:tr w:rsidR="00D93691" w:rsidRPr="00C11F75" w14:paraId="5BBFBFC9" w14:textId="77777777" w:rsidTr="009632C9">
        <w:trPr>
          <w:trHeight w:val="284"/>
        </w:trPr>
        <w:tc>
          <w:tcPr>
            <w:tcW w:w="7371" w:type="dxa"/>
            <w:tcBorders>
              <w:top w:val="nil"/>
              <w:left w:val="nil"/>
              <w:bottom w:val="single" w:sz="4" w:space="0" w:color="0077BD"/>
              <w:right w:val="single" w:sz="8" w:space="0" w:color="0077BD"/>
            </w:tcBorders>
            <w:shd w:val="clear" w:color="auto" w:fill="auto"/>
            <w:vAlign w:val="center"/>
            <w:hideMark/>
          </w:tcPr>
          <w:p w14:paraId="3FE00364"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 xml:space="preserve">Kredyty i pożyczki udzielone klientom </w:t>
            </w:r>
          </w:p>
        </w:tc>
        <w:tc>
          <w:tcPr>
            <w:tcW w:w="2268" w:type="dxa"/>
            <w:tcBorders>
              <w:top w:val="nil"/>
              <w:left w:val="nil"/>
              <w:bottom w:val="single" w:sz="4" w:space="0" w:color="0077BD"/>
              <w:right w:val="nil"/>
            </w:tcBorders>
            <w:shd w:val="clear" w:color="auto" w:fill="auto"/>
            <w:vAlign w:val="center"/>
            <w:hideMark/>
          </w:tcPr>
          <w:p w14:paraId="0FEEEB26"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71 014</w:t>
            </w:r>
          </w:p>
        </w:tc>
      </w:tr>
      <w:tr w:rsidR="00D93691" w:rsidRPr="00C11F75" w14:paraId="53B984D7" w14:textId="77777777" w:rsidTr="009632C9">
        <w:trPr>
          <w:trHeight w:val="284"/>
        </w:trPr>
        <w:tc>
          <w:tcPr>
            <w:tcW w:w="7371" w:type="dxa"/>
            <w:tcBorders>
              <w:top w:val="nil"/>
              <w:left w:val="nil"/>
              <w:bottom w:val="single" w:sz="4" w:space="0" w:color="0077BD"/>
              <w:right w:val="single" w:sz="8" w:space="0" w:color="0077BD"/>
            </w:tcBorders>
            <w:shd w:val="clear" w:color="auto" w:fill="auto"/>
            <w:vAlign w:val="center"/>
            <w:hideMark/>
          </w:tcPr>
          <w:p w14:paraId="662D5796"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Wartości niematerialne</w:t>
            </w:r>
          </w:p>
        </w:tc>
        <w:tc>
          <w:tcPr>
            <w:tcW w:w="2268" w:type="dxa"/>
            <w:tcBorders>
              <w:top w:val="nil"/>
              <w:left w:val="nil"/>
              <w:bottom w:val="single" w:sz="4" w:space="0" w:color="0077BD"/>
              <w:right w:val="nil"/>
            </w:tcBorders>
            <w:shd w:val="clear" w:color="auto" w:fill="auto"/>
            <w:vAlign w:val="center"/>
            <w:hideMark/>
          </w:tcPr>
          <w:p w14:paraId="7485FFF6"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5 340</w:t>
            </w:r>
          </w:p>
        </w:tc>
      </w:tr>
      <w:tr w:rsidR="00D93691" w:rsidRPr="00C11F75" w14:paraId="7192AA02" w14:textId="77777777" w:rsidTr="009632C9">
        <w:trPr>
          <w:trHeight w:val="284"/>
        </w:trPr>
        <w:tc>
          <w:tcPr>
            <w:tcW w:w="7371" w:type="dxa"/>
            <w:tcBorders>
              <w:top w:val="nil"/>
              <w:left w:val="nil"/>
              <w:bottom w:val="single" w:sz="4" w:space="0" w:color="0077BD"/>
              <w:right w:val="single" w:sz="8" w:space="0" w:color="0077BD"/>
            </w:tcBorders>
            <w:shd w:val="clear" w:color="auto" w:fill="auto"/>
            <w:vAlign w:val="center"/>
            <w:hideMark/>
          </w:tcPr>
          <w:p w14:paraId="0F2A0B58"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Rzeczowe aktywa trwałe</w:t>
            </w:r>
          </w:p>
        </w:tc>
        <w:tc>
          <w:tcPr>
            <w:tcW w:w="2268" w:type="dxa"/>
            <w:tcBorders>
              <w:top w:val="nil"/>
              <w:left w:val="nil"/>
              <w:bottom w:val="single" w:sz="4" w:space="0" w:color="0077BD"/>
              <w:right w:val="nil"/>
            </w:tcBorders>
            <w:shd w:val="clear" w:color="auto" w:fill="auto"/>
            <w:vAlign w:val="center"/>
            <w:hideMark/>
          </w:tcPr>
          <w:p w14:paraId="5B01DD46"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1 175</w:t>
            </w:r>
          </w:p>
        </w:tc>
      </w:tr>
      <w:tr w:rsidR="00D93691" w:rsidRPr="00C11F75" w14:paraId="1CDFFF4F" w14:textId="77777777" w:rsidTr="009632C9">
        <w:trPr>
          <w:trHeight w:val="284"/>
        </w:trPr>
        <w:tc>
          <w:tcPr>
            <w:tcW w:w="7371" w:type="dxa"/>
            <w:tcBorders>
              <w:top w:val="nil"/>
              <w:left w:val="nil"/>
              <w:bottom w:val="single" w:sz="4" w:space="0" w:color="0077BD"/>
              <w:right w:val="single" w:sz="8" w:space="0" w:color="0077BD"/>
            </w:tcBorders>
            <w:shd w:val="clear" w:color="auto" w:fill="auto"/>
            <w:vAlign w:val="center"/>
            <w:hideMark/>
          </w:tcPr>
          <w:p w14:paraId="2290F7EE"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Inne aktywa</w:t>
            </w:r>
          </w:p>
        </w:tc>
        <w:tc>
          <w:tcPr>
            <w:tcW w:w="2268" w:type="dxa"/>
            <w:tcBorders>
              <w:top w:val="nil"/>
              <w:left w:val="nil"/>
              <w:bottom w:val="single" w:sz="4" w:space="0" w:color="0077BD"/>
              <w:right w:val="nil"/>
            </w:tcBorders>
            <w:shd w:val="clear" w:color="auto" w:fill="auto"/>
            <w:vAlign w:val="center"/>
            <w:hideMark/>
          </w:tcPr>
          <w:p w14:paraId="2E8419D6"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3 520</w:t>
            </w:r>
          </w:p>
        </w:tc>
      </w:tr>
      <w:tr w:rsidR="00D93691" w:rsidRPr="00C11F75" w14:paraId="25BF5311" w14:textId="77777777" w:rsidTr="009632C9">
        <w:trPr>
          <w:trHeight w:val="284"/>
        </w:trPr>
        <w:tc>
          <w:tcPr>
            <w:tcW w:w="7371" w:type="dxa"/>
            <w:tcBorders>
              <w:top w:val="single" w:sz="8" w:space="0" w:color="0077BD"/>
              <w:left w:val="nil"/>
              <w:bottom w:val="single" w:sz="8" w:space="0" w:color="0077BD"/>
              <w:right w:val="single" w:sz="8" w:space="0" w:color="0077BD"/>
            </w:tcBorders>
            <w:shd w:val="clear" w:color="auto" w:fill="auto"/>
            <w:vAlign w:val="center"/>
            <w:hideMark/>
          </w:tcPr>
          <w:p w14:paraId="58524800" w14:textId="77777777" w:rsidR="00D93691" w:rsidRPr="00C11F75" w:rsidRDefault="00D93691" w:rsidP="00996A3D">
            <w:pPr>
              <w:rPr>
                <w:rFonts w:cs="Calibri"/>
                <w:b/>
                <w:bCs/>
                <w:color w:val="000000" w:themeColor="text1"/>
                <w:sz w:val="13"/>
                <w:szCs w:val="13"/>
              </w:rPr>
            </w:pPr>
            <w:r w:rsidRPr="00C11F75">
              <w:rPr>
                <w:rFonts w:cs="Calibri"/>
                <w:b/>
                <w:bCs/>
                <w:color w:val="000000" w:themeColor="text1"/>
                <w:sz w:val="13"/>
                <w:szCs w:val="13"/>
              </w:rPr>
              <w:t>Aktywa razem</w:t>
            </w:r>
          </w:p>
        </w:tc>
        <w:tc>
          <w:tcPr>
            <w:tcW w:w="2268" w:type="dxa"/>
            <w:tcBorders>
              <w:top w:val="single" w:sz="8" w:space="0" w:color="0077BD"/>
              <w:left w:val="nil"/>
              <w:bottom w:val="single" w:sz="8" w:space="0" w:color="0077BD"/>
              <w:right w:val="nil"/>
            </w:tcBorders>
            <w:shd w:val="clear" w:color="auto" w:fill="auto"/>
            <w:noWrap/>
            <w:vAlign w:val="center"/>
            <w:hideMark/>
          </w:tcPr>
          <w:p w14:paraId="67A0FAB8" w14:textId="77777777" w:rsidR="00D93691" w:rsidRPr="00C11F75" w:rsidRDefault="00D93691" w:rsidP="00996A3D">
            <w:pPr>
              <w:jc w:val="right"/>
              <w:rPr>
                <w:rFonts w:cs="Calibri"/>
                <w:b/>
                <w:bCs/>
                <w:color w:val="000000" w:themeColor="text1"/>
                <w:sz w:val="13"/>
                <w:szCs w:val="13"/>
              </w:rPr>
            </w:pPr>
            <w:r w:rsidRPr="00C11F75">
              <w:rPr>
                <w:rFonts w:cs="Calibri"/>
                <w:b/>
                <w:bCs/>
                <w:color w:val="000000" w:themeColor="text1"/>
                <w:sz w:val="13"/>
                <w:szCs w:val="13"/>
              </w:rPr>
              <w:t>82 392</w:t>
            </w:r>
          </w:p>
        </w:tc>
      </w:tr>
      <w:tr w:rsidR="00D93691" w:rsidRPr="00C11F75" w14:paraId="5B34642B" w14:textId="77777777" w:rsidTr="009632C9">
        <w:trPr>
          <w:trHeight w:val="284"/>
        </w:trPr>
        <w:tc>
          <w:tcPr>
            <w:tcW w:w="7371" w:type="dxa"/>
            <w:tcBorders>
              <w:top w:val="nil"/>
              <w:left w:val="nil"/>
              <w:bottom w:val="single" w:sz="4" w:space="0" w:color="0077BD"/>
              <w:right w:val="single" w:sz="8" w:space="0" w:color="0077BD"/>
            </w:tcBorders>
            <w:shd w:val="clear" w:color="auto" w:fill="auto"/>
            <w:noWrap/>
            <w:vAlign w:val="center"/>
            <w:hideMark/>
          </w:tcPr>
          <w:p w14:paraId="37E26E12"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 xml:space="preserve">Zobowiązania wobec banków </w:t>
            </w:r>
          </w:p>
        </w:tc>
        <w:tc>
          <w:tcPr>
            <w:tcW w:w="2268" w:type="dxa"/>
            <w:tcBorders>
              <w:top w:val="single" w:sz="8" w:space="0" w:color="0077BD"/>
              <w:left w:val="nil"/>
              <w:bottom w:val="single" w:sz="4" w:space="0" w:color="0077BD"/>
            </w:tcBorders>
            <w:shd w:val="clear" w:color="auto" w:fill="auto"/>
            <w:vAlign w:val="center"/>
            <w:hideMark/>
          </w:tcPr>
          <w:p w14:paraId="04A5798A"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72 340</w:t>
            </w:r>
          </w:p>
        </w:tc>
      </w:tr>
      <w:tr w:rsidR="00D93691" w:rsidRPr="00C11F75" w14:paraId="0965815A" w14:textId="77777777" w:rsidTr="009632C9">
        <w:trPr>
          <w:trHeight w:val="284"/>
        </w:trPr>
        <w:tc>
          <w:tcPr>
            <w:tcW w:w="7371" w:type="dxa"/>
            <w:tcBorders>
              <w:top w:val="nil"/>
              <w:left w:val="nil"/>
              <w:bottom w:val="single" w:sz="4" w:space="0" w:color="0077BD"/>
              <w:right w:val="single" w:sz="8" w:space="0" w:color="0077BD"/>
            </w:tcBorders>
            <w:shd w:val="clear" w:color="auto" w:fill="auto"/>
            <w:noWrap/>
            <w:vAlign w:val="center"/>
            <w:hideMark/>
          </w:tcPr>
          <w:p w14:paraId="03F3B8F1"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Pozostałe zobowiązania</w:t>
            </w:r>
          </w:p>
        </w:tc>
        <w:tc>
          <w:tcPr>
            <w:tcW w:w="2268" w:type="dxa"/>
            <w:tcBorders>
              <w:top w:val="single" w:sz="4" w:space="0" w:color="0077BD"/>
              <w:left w:val="nil"/>
              <w:bottom w:val="single" w:sz="8" w:space="0" w:color="0077BD"/>
            </w:tcBorders>
            <w:shd w:val="clear" w:color="auto" w:fill="auto"/>
            <w:vAlign w:val="center"/>
            <w:hideMark/>
          </w:tcPr>
          <w:p w14:paraId="380A9792"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2 828</w:t>
            </w:r>
          </w:p>
        </w:tc>
      </w:tr>
      <w:tr w:rsidR="00D93691" w:rsidRPr="00C11F75" w14:paraId="6F06196F" w14:textId="77777777" w:rsidTr="009632C9">
        <w:trPr>
          <w:trHeight w:val="284"/>
        </w:trPr>
        <w:tc>
          <w:tcPr>
            <w:tcW w:w="7371" w:type="dxa"/>
            <w:tcBorders>
              <w:top w:val="single" w:sz="8" w:space="0" w:color="0077BD"/>
              <w:left w:val="nil"/>
              <w:bottom w:val="single" w:sz="8" w:space="0" w:color="0077BD"/>
              <w:right w:val="single" w:sz="8" w:space="0" w:color="0077BD"/>
            </w:tcBorders>
            <w:shd w:val="clear" w:color="auto" w:fill="auto"/>
            <w:vAlign w:val="center"/>
            <w:hideMark/>
          </w:tcPr>
          <w:p w14:paraId="16200DD9" w14:textId="77777777" w:rsidR="00D93691" w:rsidRPr="00C11F75" w:rsidRDefault="00D93691" w:rsidP="00996A3D">
            <w:pPr>
              <w:rPr>
                <w:rFonts w:cs="Calibri"/>
                <w:b/>
                <w:bCs/>
                <w:color w:val="000000" w:themeColor="text1"/>
                <w:sz w:val="13"/>
                <w:szCs w:val="13"/>
              </w:rPr>
            </w:pPr>
            <w:r w:rsidRPr="00C11F75">
              <w:rPr>
                <w:rFonts w:cs="Calibri"/>
                <w:b/>
                <w:bCs/>
                <w:color w:val="000000" w:themeColor="text1"/>
                <w:sz w:val="13"/>
                <w:szCs w:val="13"/>
              </w:rPr>
              <w:t>Zobowiązania razem</w:t>
            </w:r>
          </w:p>
        </w:tc>
        <w:tc>
          <w:tcPr>
            <w:tcW w:w="2268" w:type="dxa"/>
            <w:tcBorders>
              <w:top w:val="single" w:sz="8" w:space="0" w:color="0077BD"/>
              <w:left w:val="nil"/>
              <w:bottom w:val="single" w:sz="8" w:space="0" w:color="0077BD"/>
              <w:right w:val="nil"/>
            </w:tcBorders>
            <w:shd w:val="clear" w:color="auto" w:fill="auto"/>
            <w:noWrap/>
            <w:vAlign w:val="center"/>
            <w:hideMark/>
          </w:tcPr>
          <w:p w14:paraId="66C0017E" w14:textId="77777777" w:rsidR="00D93691" w:rsidRPr="00C11F75" w:rsidRDefault="00D93691" w:rsidP="00996A3D">
            <w:pPr>
              <w:jc w:val="right"/>
              <w:rPr>
                <w:rFonts w:cs="Calibri"/>
                <w:b/>
                <w:bCs/>
                <w:color w:val="000000" w:themeColor="text1"/>
                <w:sz w:val="13"/>
                <w:szCs w:val="13"/>
              </w:rPr>
            </w:pPr>
            <w:r w:rsidRPr="00C11F75">
              <w:rPr>
                <w:rFonts w:cs="Calibri"/>
                <w:b/>
                <w:bCs/>
                <w:color w:val="000000" w:themeColor="text1"/>
                <w:sz w:val="13"/>
                <w:szCs w:val="13"/>
              </w:rPr>
              <w:t>75 168</w:t>
            </w:r>
          </w:p>
        </w:tc>
      </w:tr>
      <w:tr w:rsidR="00D93691" w:rsidRPr="00C11F75" w14:paraId="0E37B0C5" w14:textId="77777777" w:rsidTr="009632C9">
        <w:trPr>
          <w:trHeight w:val="284"/>
        </w:trPr>
        <w:tc>
          <w:tcPr>
            <w:tcW w:w="7371" w:type="dxa"/>
            <w:tcBorders>
              <w:top w:val="nil"/>
              <w:left w:val="nil"/>
              <w:bottom w:val="single" w:sz="8" w:space="0" w:color="0077BD"/>
              <w:right w:val="single" w:sz="8" w:space="0" w:color="0077BD"/>
            </w:tcBorders>
            <w:shd w:val="clear" w:color="auto" w:fill="auto"/>
            <w:vAlign w:val="center"/>
            <w:hideMark/>
          </w:tcPr>
          <w:p w14:paraId="580AAF49" w14:textId="77777777" w:rsidR="00D93691" w:rsidRPr="00C11F75" w:rsidRDefault="00D93691" w:rsidP="00996A3D">
            <w:pPr>
              <w:rPr>
                <w:rFonts w:cs="Calibri"/>
                <w:b/>
                <w:bCs/>
                <w:color w:val="000000" w:themeColor="text1"/>
                <w:sz w:val="13"/>
                <w:szCs w:val="13"/>
              </w:rPr>
            </w:pPr>
            <w:r w:rsidRPr="00C11F75">
              <w:rPr>
                <w:rFonts w:cs="Calibri"/>
                <w:b/>
                <w:bCs/>
                <w:color w:val="000000" w:themeColor="text1"/>
                <w:sz w:val="13"/>
                <w:szCs w:val="13"/>
              </w:rPr>
              <w:t>Aktywa netto</w:t>
            </w:r>
          </w:p>
        </w:tc>
        <w:tc>
          <w:tcPr>
            <w:tcW w:w="2268" w:type="dxa"/>
            <w:tcBorders>
              <w:top w:val="nil"/>
              <w:left w:val="nil"/>
              <w:bottom w:val="single" w:sz="8" w:space="0" w:color="0077BD"/>
              <w:right w:val="nil"/>
            </w:tcBorders>
            <w:shd w:val="clear" w:color="auto" w:fill="auto"/>
            <w:noWrap/>
            <w:vAlign w:val="center"/>
            <w:hideMark/>
          </w:tcPr>
          <w:p w14:paraId="2CF35604" w14:textId="77777777" w:rsidR="00D93691" w:rsidRPr="00C11F75" w:rsidRDefault="00D93691" w:rsidP="00996A3D">
            <w:pPr>
              <w:jc w:val="right"/>
              <w:rPr>
                <w:rFonts w:cs="Calibri"/>
                <w:b/>
                <w:bCs/>
                <w:color w:val="000000" w:themeColor="text1"/>
                <w:sz w:val="13"/>
                <w:szCs w:val="13"/>
              </w:rPr>
            </w:pPr>
            <w:r w:rsidRPr="00C11F75">
              <w:rPr>
                <w:rFonts w:cs="Calibri"/>
                <w:b/>
                <w:bCs/>
                <w:color w:val="000000" w:themeColor="text1"/>
                <w:sz w:val="13"/>
                <w:szCs w:val="13"/>
              </w:rPr>
              <w:t>7 224</w:t>
            </w:r>
          </w:p>
        </w:tc>
      </w:tr>
    </w:tbl>
    <w:p w14:paraId="09853CD4" w14:textId="77777777" w:rsidR="00D93691" w:rsidRPr="00C11F75" w:rsidRDefault="00D93691" w:rsidP="00D93691">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after="120"/>
        <w:jc w:val="both"/>
        <w:rPr>
          <w:rFonts w:cs="Tahoma"/>
          <w:color w:val="000000" w:themeColor="text1"/>
          <w:spacing w:val="-2"/>
          <w:sz w:val="18"/>
          <w:szCs w:val="18"/>
          <w:lang w:eastAsia="en-US"/>
        </w:rPr>
      </w:pPr>
      <w:r w:rsidRPr="00C11F75">
        <w:rPr>
          <w:rFonts w:cs="Tahoma"/>
          <w:color w:val="000000" w:themeColor="text1"/>
          <w:spacing w:val="-2"/>
          <w:sz w:val="18"/>
          <w:szCs w:val="18"/>
          <w:lang w:eastAsia="en-US"/>
        </w:rPr>
        <w:t xml:space="preserve">Na dzień nabycia 100% udziałów w LeaseLink Grupa rozpoznała wartość firmy w kwocie 29 955 tys. zł. Po zakończeniu księgowego rozliczenia połączenia Grupa skorygowała wartość firmy o kwotę 5 727 tys. zł do wartości 24 228 tys. zł. </w:t>
      </w:r>
    </w:p>
    <w:tbl>
      <w:tblPr>
        <w:tblW w:w="9639" w:type="dxa"/>
        <w:tblCellMar>
          <w:left w:w="28" w:type="dxa"/>
          <w:right w:w="28" w:type="dxa"/>
        </w:tblCellMar>
        <w:tblLook w:val="04A0" w:firstRow="1" w:lastRow="0" w:firstColumn="1" w:lastColumn="0" w:noHBand="0" w:noVBand="1"/>
      </w:tblPr>
      <w:tblGrid>
        <w:gridCol w:w="7331"/>
        <w:gridCol w:w="2308"/>
      </w:tblGrid>
      <w:tr w:rsidR="00D93691" w:rsidRPr="006B3FA5" w14:paraId="4C9B5658" w14:textId="77777777" w:rsidTr="003D4A07">
        <w:trPr>
          <w:trHeight w:val="255"/>
        </w:trPr>
        <w:tc>
          <w:tcPr>
            <w:tcW w:w="9639" w:type="dxa"/>
            <w:gridSpan w:val="2"/>
            <w:tcBorders>
              <w:top w:val="nil"/>
              <w:left w:val="nil"/>
              <w:bottom w:val="nil"/>
              <w:right w:val="nil"/>
            </w:tcBorders>
            <w:shd w:val="clear" w:color="000000" w:fill="0077BD"/>
            <w:noWrap/>
            <w:vAlign w:val="center"/>
            <w:hideMark/>
          </w:tcPr>
          <w:p w14:paraId="2D8118A6" w14:textId="77777777" w:rsidR="00D93691" w:rsidRPr="006B3FA5" w:rsidRDefault="00D93691" w:rsidP="00996A3D">
            <w:pPr>
              <w:jc w:val="center"/>
              <w:rPr>
                <w:rFonts w:cs="Calibri"/>
                <w:b/>
                <w:bCs/>
                <w:color w:val="FFFFFF"/>
                <w:sz w:val="13"/>
                <w:szCs w:val="13"/>
              </w:rPr>
            </w:pPr>
            <w:r w:rsidRPr="006B3FA5">
              <w:rPr>
                <w:rFonts w:cs="Calibri"/>
                <w:b/>
                <w:bCs/>
                <w:color w:val="FFFFFF"/>
                <w:sz w:val="13"/>
                <w:szCs w:val="13"/>
              </w:rPr>
              <w:t> </w:t>
            </w:r>
          </w:p>
        </w:tc>
      </w:tr>
      <w:tr w:rsidR="00D93691" w:rsidRPr="00C11F75" w14:paraId="4F4A233F" w14:textId="77777777" w:rsidTr="009632C9">
        <w:trPr>
          <w:trHeight w:val="284"/>
        </w:trPr>
        <w:tc>
          <w:tcPr>
            <w:tcW w:w="7331" w:type="dxa"/>
            <w:tcBorders>
              <w:top w:val="nil"/>
              <w:left w:val="nil"/>
              <w:bottom w:val="single" w:sz="4" w:space="0" w:color="0077BD"/>
              <w:right w:val="single" w:sz="8" w:space="0" w:color="0077BD"/>
            </w:tcBorders>
            <w:shd w:val="clear" w:color="auto" w:fill="auto"/>
            <w:vAlign w:val="center"/>
            <w:hideMark/>
          </w:tcPr>
          <w:p w14:paraId="7E4C5717"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Cena nabycia</w:t>
            </w:r>
          </w:p>
        </w:tc>
        <w:tc>
          <w:tcPr>
            <w:tcW w:w="2308" w:type="dxa"/>
            <w:tcBorders>
              <w:top w:val="nil"/>
              <w:left w:val="nil"/>
              <w:bottom w:val="single" w:sz="4" w:space="0" w:color="0077BD"/>
              <w:right w:val="nil"/>
            </w:tcBorders>
            <w:shd w:val="clear" w:color="auto" w:fill="auto"/>
            <w:vAlign w:val="center"/>
            <w:hideMark/>
          </w:tcPr>
          <w:p w14:paraId="51B6077D"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31 452</w:t>
            </w:r>
          </w:p>
        </w:tc>
      </w:tr>
      <w:tr w:rsidR="00D93691" w:rsidRPr="00C11F75" w14:paraId="647E64F5" w14:textId="77777777" w:rsidTr="009632C9">
        <w:trPr>
          <w:trHeight w:val="284"/>
        </w:trPr>
        <w:tc>
          <w:tcPr>
            <w:tcW w:w="7331" w:type="dxa"/>
            <w:tcBorders>
              <w:top w:val="nil"/>
              <w:left w:val="nil"/>
              <w:bottom w:val="single" w:sz="4" w:space="0" w:color="0077BD"/>
              <w:right w:val="single" w:sz="8" w:space="0" w:color="0077BD"/>
            </w:tcBorders>
            <w:shd w:val="clear" w:color="auto" w:fill="auto"/>
            <w:vAlign w:val="center"/>
            <w:hideMark/>
          </w:tcPr>
          <w:p w14:paraId="6A3703BF" w14:textId="77777777" w:rsidR="00D93691" w:rsidRPr="00C11F75" w:rsidRDefault="00D93691" w:rsidP="00996A3D">
            <w:pPr>
              <w:rPr>
                <w:rFonts w:cs="Calibri"/>
                <w:color w:val="000000" w:themeColor="text1"/>
                <w:sz w:val="13"/>
                <w:szCs w:val="13"/>
              </w:rPr>
            </w:pPr>
            <w:r w:rsidRPr="00C11F75">
              <w:rPr>
                <w:rFonts w:cs="Calibri"/>
                <w:color w:val="000000" w:themeColor="text1"/>
                <w:sz w:val="13"/>
                <w:szCs w:val="13"/>
              </w:rPr>
              <w:t>Nabyte aktywa netto</w:t>
            </w:r>
          </w:p>
        </w:tc>
        <w:tc>
          <w:tcPr>
            <w:tcW w:w="2308" w:type="dxa"/>
            <w:tcBorders>
              <w:top w:val="nil"/>
              <w:left w:val="nil"/>
              <w:bottom w:val="single" w:sz="4" w:space="0" w:color="0077BD"/>
              <w:right w:val="nil"/>
            </w:tcBorders>
            <w:shd w:val="clear" w:color="auto" w:fill="auto"/>
            <w:vAlign w:val="center"/>
            <w:hideMark/>
          </w:tcPr>
          <w:p w14:paraId="5B97AAC0" w14:textId="77777777" w:rsidR="00D93691" w:rsidRPr="00C11F75" w:rsidRDefault="00D93691" w:rsidP="00996A3D">
            <w:pPr>
              <w:jc w:val="right"/>
              <w:rPr>
                <w:rFonts w:cs="Calibri"/>
                <w:color w:val="000000" w:themeColor="text1"/>
                <w:sz w:val="13"/>
                <w:szCs w:val="13"/>
              </w:rPr>
            </w:pPr>
            <w:r w:rsidRPr="00C11F75">
              <w:rPr>
                <w:rFonts w:cs="Calibri"/>
                <w:color w:val="000000" w:themeColor="text1"/>
                <w:sz w:val="13"/>
                <w:szCs w:val="13"/>
              </w:rPr>
              <w:t>7 224</w:t>
            </w:r>
          </w:p>
        </w:tc>
      </w:tr>
      <w:tr w:rsidR="00D93691" w:rsidRPr="00C11F75" w14:paraId="20C234AD" w14:textId="77777777" w:rsidTr="009632C9">
        <w:trPr>
          <w:trHeight w:val="284"/>
        </w:trPr>
        <w:tc>
          <w:tcPr>
            <w:tcW w:w="7331" w:type="dxa"/>
            <w:tcBorders>
              <w:top w:val="single" w:sz="8" w:space="0" w:color="0077BD"/>
              <w:left w:val="nil"/>
              <w:bottom w:val="single" w:sz="8" w:space="0" w:color="0077BD"/>
              <w:right w:val="single" w:sz="8" w:space="0" w:color="0077BD"/>
            </w:tcBorders>
            <w:shd w:val="clear" w:color="auto" w:fill="auto"/>
            <w:vAlign w:val="center"/>
            <w:hideMark/>
          </w:tcPr>
          <w:p w14:paraId="5FF409B5" w14:textId="77777777" w:rsidR="00D93691" w:rsidRPr="00C11F75" w:rsidRDefault="00D93691" w:rsidP="00996A3D">
            <w:pPr>
              <w:rPr>
                <w:rFonts w:cs="Calibri"/>
                <w:b/>
                <w:bCs/>
                <w:color w:val="000000" w:themeColor="text1"/>
                <w:sz w:val="13"/>
                <w:szCs w:val="13"/>
              </w:rPr>
            </w:pPr>
            <w:r w:rsidRPr="00C11F75">
              <w:rPr>
                <w:rFonts w:cs="Calibri"/>
                <w:b/>
                <w:bCs/>
                <w:color w:val="000000" w:themeColor="text1"/>
                <w:sz w:val="13"/>
                <w:szCs w:val="13"/>
              </w:rPr>
              <w:t>Wartość firmy</w:t>
            </w:r>
          </w:p>
        </w:tc>
        <w:tc>
          <w:tcPr>
            <w:tcW w:w="2308" w:type="dxa"/>
            <w:tcBorders>
              <w:top w:val="single" w:sz="8" w:space="0" w:color="0077BD"/>
              <w:left w:val="nil"/>
              <w:bottom w:val="single" w:sz="8" w:space="0" w:color="0077BD"/>
              <w:right w:val="nil"/>
            </w:tcBorders>
            <w:shd w:val="clear" w:color="auto" w:fill="auto"/>
            <w:noWrap/>
            <w:vAlign w:val="center"/>
            <w:hideMark/>
          </w:tcPr>
          <w:p w14:paraId="30254483" w14:textId="77777777" w:rsidR="00D93691" w:rsidRPr="00C11F75" w:rsidRDefault="00D93691" w:rsidP="00996A3D">
            <w:pPr>
              <w:jc w:val="right"/>
              <w:rPr>
                <w:rFonts w:cs="Calibri"/>
                <w:b/>
                <w:bCs/>
                <w:color w:val="000000" w:themeColor="text1"/>
                <w:sz w:val="13"/>
                <w:szCs w:val="13"/>
              </w:rPr>
            </w:pPr>
            <w:r w:rsidRPr="00C11F75">
              <w:rPr>
                <w:rFonts w:cs="Calibri"/>
                <w:b/>
                <w:bCs/>
                <w:color w:val="000000" w:themeColor="text1"/>
                <w:sz w:val="13"/>
                <w:szCs w:val="13"/>
              </w:rPr>
              <w:t>24 228</w:t>
            </w:r>
          </w:p>
        </w:tc>
      </w:tr>
    </w:tbl>
    <w:p w14:paraId="456B1330" w14:textId="53539CB8" w:rsidR="002967E3" w:rsidRDefault="002967E3" w:rsidP="00F05198">
      <w:pPr>
        <w:pStyle w:val="Tekstpodstawowy"/>
        <w:spacing w:before="120"/>
        <w:jc w:val="both"/>
        <w:rPr>
          <w:color w:val="000000" w:themeColor="text1"/>
          <w:sz w:val="18"/>
          <w:szCs w:val="18"/>
        </w:rPr>
      </w:pPr>
      <w:r>
        <w:rPr>
          <w:color w:val="000000" w:themeColor="text1"/>
          <w:sz w:val="18"/>
          <w:szCs w:val="18"/>
        </w:rPr>
        <w:t>Wartość brutto kredytów i pożyczek udzielonych klientom wyniosła 77 787 tys. zł. Na dzień przejęcia szacunek przepływów pieniężnych, których wpływu nie można oczekiwać wyniósł 6 773 tys. zł.</w:t>
      </w:r>
    </w:p>
    <w:p w14:paraId="79B49103" w14:textId="1C1D77B5" w:rsidR="002967E3" w:rsidRDefault="00543074" w:rsidP="00F05198">
      <w:pPr>
        <w:pStyle w:val="Tekstpodstawowy"/>
        <w:spacing w:before="120"/>
        <w:jc w:val="both"/>
        <w:rPr>
          <w:color w:val="000000" w:themeColor="text1"/>
          <w:sz w:val="18"/>
          <w:szCs w:val="18"/>
        </w:rPr>
      </w:pPr>
      <w:r w:rsidRPr="00543074">
        <w:rPr>
          <w:color w:val="000000" w:themeColor="text1"/>
          <w:sz w:val="18"/>
          <w:szCs w:val="18"/>
        </w:rPr>
        <w:t>Przychody n</w:t>
      </w:r>
      <w:r>
        <w:rPr>
          <w:color w:val="000000" w:themeColor="text1"/>
          <w:sz w:val="18"/>
          <w:szCs w:val="18"/>
        </w:rPr>
        <w:t>abytej spółki z tytułu odsetek oraz opłat i</w:t>
      </w:r>
      <w:r w:rsidRPr="00543074">
        <w:rPr>
          <w:color w:val="000000" w:themeColor="text1"/>
          <w:sz w:val="18"/>
          <w:szCs w:val="18"/>
        </w:rPr>
        <w:t xml:space="preserve"> prowizji ujęte w skonsolidowanym sprawozdaniu finansowym Grupy od dnia nabycia wyniosły</w:t>
      </w:r>
      <w:r>
        <w:rPr>
          <w:color w:val="000000" w:themeColor="text1"/>
          <w:sz w:val="18"/>
          <w:szCs w:val="18"/>
        </w:rPr>
        <w:t xml:space="preserve"> 15 775 tys. zł, a wynik netto 2 </w:t>
      </w:r>
      <w:r w:rsidRPr="00543074">
        <w:rPr>
          <w:color w:val="000000" w:themeColor="text1"/>
          <w:sz w:val="18"/>
          <w:szCs w:val="18"/>
        </w:rPr>
        <w:t>175 tys. zł. Gdyby nabycie spółki miało miejsce w dniu 1 stycznia 2019 roku, przychody Grupy z tytułu odsetek oraz opłat i prowi</w:t>
      </w:r>
      <w:r>
        <w:rPr>
          <w:color w:val="000000" w:themeColor="text1"/>
          <w:sz w:val="18"/>
          <w:szCs w:val="18"/>
        </w:rPr>
        <w:t>zji wyniosłyby 6 780 873 tys. zł</w:t>
      </w:r>
      <w:r w:rsidRPr="00543074">
        <w:rPr>
          <w:color w:val="000000" w:themeColor="text1"/>
          <w:sz w:val="18"/>
          <w:szCs w:val="18"/>
        </w:rPr>
        <w:t>, a</w:t>
      </w:r>
      <w:r>
        <w:rPr>
          <w:color w:val="000000" w:themeColor="text1"/>
          <w:sz w:val="18"/>
          <w:szCs w:val="18"/>
        </w:rPr>
        <w:t> </w:t>
      </w:r>
      <w:r w:rsidRPr="00543074">
        <w:rPr>
          <w:color w:val="000000" w:themeColor="text1"/>
          <w:sz w:val="18"/>
          <w:szCs w:val="18"/>
        </w:rPr>
        <w:t>wyni</w:t>
      </w:r>
      <w:r>
        <w:rPr>
          <w:color w:val="000000" w:themeColor="text1"/>
          <w:sz w:val="18"/>
          <w:szCs w:val="18"/>
        </w:rPr>
        <w:t>k netto za 2019 rok wyniósłby 1 010 </w:t>
      </w:r>
      <w:r w:rsidRPr="00543074">
        <w:rPr>
          <w:color w:val="000000" w:themeColor="text1"/>
          <w:sz w:val="18"/>
          <w:szCs w:val="18"/>
        </w:rPr>
        <w:t>727 tys. zł.</w:t>
      </w:r>
    </w:p>
    <w:p w14:paraId="725E1944" w14:textId="77777777" w:rsidR="002967E3" w:rsidRDefault="002967E3">
      <w:pPr>
        <w:rPr>
          <w:color w:val="000000" w:themeColor="text1"/>
          <w:spacing w:val="-4"/>
          <w:sz w:val="18"/>
          <w:szCs w:val="18"/>
        </w:rPr>
      </w:pPr>
      <w:r>
        <w:rPr>
          <w:color w:val="000000" w:themeColor="text1"/>
          <w:sz w:val="18"/>
          <w:szCs w:val="18"/>
        </w:rPr>
        <w:br w:type="page"/>
      </w:r>
    </w:p>
    <w:p w14:paraId="48950A74" w14:textId="4C6C8198" w:rsidR="003B48F2" w:rsidRPr="00C11F75" w:rsidRDefault="003B48F2" w:rsidP="007D485A">
      <w:pPr>
        <w:pStyle w:val="Tekstpodstawowy"/>
        <w:numPr>
          <w:ilvl w:val="0"/>
          <w:numId w:val="36"/>
        </w:numPr>
        <w:spacing w:before="120"/>
        <w:ind w:left="284" w:hanging="284"/>
        <w:jc w:val="both"/>
        <w:rPr>
          <w:color w:val="000000" w:themeColor="text1"/>
          <w:sz w:val="18"/>
          <w:szCs w:val="18"/>
        </w:rPr>
      </w:pPr>
      <w:r w:rsidRPr="00C11F75">
        <w:rPr>
          <w:color w:val="000000" w:themeColor="text1"/>
          <w:sz w:val="18"/>
          <w:szCs w:val="18"/>
        </w:rPr>
        <w:lastRenderedPageBreak/>
        <w:t>Likwidacja spółki mCentrum Operacji Sp. z o.o.</w:t>
      </w:r>
    </w:p>
    <w:p w14:paraId="0BB47F4B" w14:textId="43D6BD5A" w:rsidR="00EF021F" w:rsidRPr="00C11F75" w:rsidRDefault="00DB6A14" w:rsidP="007D485A">
      <w:pPr>
        <w:jc w:val="both"/>
        <w:rPr>
          <w:color w:val="000000" w:themeColor="text1"/>
        </w:rPr>
      </w:pPr>
      <w:r w:rsidRPr="00C11F75">
        <w:rPr>
          <w:rFonts w:cs="Tahoma"/>
          <w:color w:val="000000" w:themeColor="text1"/>
          <w:spacing w:val="-2"/>
          <w:sz w:val="18"/>
          <w:szCs w:val="18"/>
          <w:lang w:eastAsia="en-US"/>
        </w:rPr>
        <w:t>W dniu 1 marca 2018 roku Grupa zakończyła proces reorganizacji spółki mCentrum Operacji Sp. z o.o. („mCO”). W ramach procesu wydzielone zostały dwie zorganizowane części przedsiębiorstwa w postaci Pionu Rozwoju Procesów Automatycznych i Pionu Generalnego. W dniu 1 marca 2018 roku Pion Rozwoju Procesów Automatycznych został sprzedany do spółki Feronia S.A., której akcjonariuszem większościowym jest fundusz Future Tech FIZ, podmiot zależny od Banku, w celu robotyzacji procesów obsługiwanych przez tę</w:t>
      </w:r>
      <w:r w:rsidR="00502887">
        <w:rPr>
          <w:rFonts w:cs="Tahoma"/>
          <w:color w:val="000000" w:themeColor="text1"/>
          <w:spacing w:val="-2"/>
          <w:sz w:val="18"/>
          <w:szCs w:val="18"/>
          <w:lang w:eastAsia="en-US"/>
        </w:rPr>
        <w:t> </w:t>
      </w:r>
      <w:r w:rsidRPr="00C11F75">
        <w:rPr>
          <w:rFonts w:cs="Tahoma"/>
          <w:color w:val="000000" w:themeColor="text1"/>
          <w:spacing w:val="-2"/>
          <w:sz w:val="18"/>
          <w:szCs w:val="18"/>
          <w:lang w:eastAsia="en-US"/>
        </w:rPr>
        <w:t>część mCO, natomiast Pion Generalny, obejmujący większość dotychczas obsługiwanych przez mCO procesów, został sprzedany do Banku. W związku z opisanym powyżej procesem, spółka mCO została postawiona w stan likwidacji</w:t>
      </w:r>
      <w:r w:rsidR="00E73C7E">
        <w:rPr>
          <w:rFonts w:cs="Tahoma"/>
          <w:color w:val="000000" w:themeColor="text1"/>
          <w:spacing w:val="-2"/>
          <w:sz w:val="18"/>
          <w:szCs w:val="18"/>
          <w:lang w:eastAsia="en-US"/>
        </w:rPr>
        <w:t xml:space="preserve"> w maju</w:t>
      </w:r>
      <w:r w:rsidRPr="00C11F75">
        <w:rPr>
          <w:rFonts w:cs="Tahoma"/>
          <w:color w:val="000000" w:themeColor="text1"/>
          <w:spacing w:val="-2"/>
          <w:sz w:val="18"/>
          <w:szCs w:val="18"/>
          <w:lang w:eastAsia="en-US"/>
        </w:rPr>
        <w:t xml:space="preserve"> 2019 roku. W grudniu 2019 roku spółka została wykreślona z Krajowego Rejestru Sądowego.</w:t>
      </w:r>
    </w:p>
    <w:p w14:paraId="637C0BA7" w14:textId="77777777" w:rsidR="0001476A" w:rsidRPr="00DD650B" w:rsidRDefault="0001476A" w:rsidP="003733B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rFonts w:cs="Tahoma"/>
          <w:spacing w:val="-2"/>
          <w:sz w:val="18"/>
          <w:szCs w:val="18"/>
          <w:lang w:eastAsia="en-US"/>
        </w:rPr>
      </w:pPr>
    </w:p>
    <w:p w14:paraId="21185D7A" w14:textId="77777777" w:rsidR="00FE39EE" w:rsidRPr="003A1775" w:rsidRDefault="00FE39EE" w:rsidP="00526DF1">
      <w:pPr>
        <w:pStyle w:val="Nagwek2"/>
        <w:numPr>
          <w:ilvl w:val="0"/>
          <w:numId w:val="44"/>
        </w:numPr>
        <w:suppressAutoHyphens/>
        <w:spacing w:before="0"/>
        <w:ind w:left="425" w:hanging="425"/>
        <w:jc w:val="both"/>
        <w:rPr>
          <w:rFonts w:cs="Tahoma"/>
          <w:bCs w:val="0"/>
          <w:iCs w:val="0"/>
          <w:color w:val="E41E0A"/>
          <w:sz w:val="18"/>
          <w:szCs w:val="18"/>
        </w:rPr>
      </w:pPr>
      <w:bookmarkStart w:id="167" w:name="_Toc32999875"/>
      <w:r w:rsidRPr="003A1775">
        <w:rPr>
          <w:rFonts w:cs="Tahoma"/>
          <w:bCs w:val="0"/>
          <w:iCs w:val="0"/>
          <w:color w:val="E41E0A"/>
          <w:sz w:val="18"/>
          <w:szCs w:val="18"/>
        </w:rPr>
        <w:t>Konsolidacja ostrożnościowa</w:t>
      </w:r>
      <w:bookmarkEnd w:id="167"/>
    </w:p>
    <w:p w14:paraId="2781C516" w14:textId="77777777" w:rsidR="00991862" w:rsidRPr="00C11F75" w:rsidRDefault="00991862" w:rsidP="00991862">
      <w:pPr>
        <w:spacing w:before="120"/>
        <w:jc w:val="both"/>
        <w:rPr>
          <w:color w:val="000000" w:themeColor="text1"/>
          <w:sz w:val="18"/>
          <w:szCs w:val="18"/>
        </w:rPr>
      </w:pPr>
      <w:r w:rsidRPr="00C11F75">
        <w:rPr>
          <w:color w:val="000000" w:themeColor="text1"/>
          <w:sz w:val="18"/>
          <w:szCs w:val="18"/>
        </w:rPr>
        <w:t>Zgodnie z Rozporządzeniem Parlamentu Europejskiego i Rady (UE) nr 575/2013 z dnia 26 czerwca 2013 roku w sprawie wymogów ostrożnościowych dla instytucji kredytowych i firm inwestycyjnych, zmieniającym rozporządzenie (UE) nr 648/2012 ("Rozporządzenie CRR"), mBank jest istotną jednostką zależną unijnej instytucji dominującej, sporządzającą skonsolidowane ostrożnościowo dane finansowe w celu wypełnienia wymagań opisanych w MSR 1.135 „Prezentacja sprawozdań finansowych”.</w:t>
      </w:r>
    </w:p>
    <w:p w14:paraId="3872A9F2" w14:textId="77777777" w:rsidR="00991862" w:rsidRPr="00C11F75" w:rsidRDefault="00991862" w:rsidP="00991862">
      <w:pPr>
        <w:spacing w:before="120"/>
        <w:jc w:val="both"/>
        <w:rPr>
          <w:color w:val="000000" w:themeColor="text1"/>
          <w:sz w:val="18"/>
          <w:szCs w:val="18"/>
        </w:rPr>
      </w:pPr>
      <w:r w:rsidRPr="00C11F75">
        <w:rPr>
          <w:color w:val="000000" w:themeColor="text1"/>
          <w:sz w:val="18"/>
          <w:szCs w:val="18"/>
        </w:rPr>
        <w:t xml:space="preserve">Poniżej przedstawiono informacje finansowe, nie stanowiące miar regulowanych przez Międzynarodowe Standardy Sprawozdawczości Finansowej („MSSF”). </w:t>
      </w:r>
    </w:p>
    <w:p w14:paraId="21EE714C" w14:textId="6DDB2F09" w:rsidR="00475868" w:rsidRDefault="00991862" w:rsidP="00991862">
      <w:pPr>
        <w:pStyle w:val="Tekstpodstawowy"/>
        <w:spacing w:before="120" w:after="0"/>
        <w:jc w:val="both"/>
        <w:rPr>
          <w:color w:val="000000" w:themeColor="text1"/>
          <w:sz w:val="18"/>
          <w:szCs w:val="18"/>
        </w:rPr>
      </w:pPr>
      <w:r w:rsidRPr="00C11F75">
        <w:rPr>
          <w:color w:val="000000" w:themeColor="text1"/>
          <w:sz w:val="18"/>
          <w:szCs w:val="18"/>
        </w:rPr>
        <w:t>Grupę Kapitałową mBanku S.A. („Grupa”) stanowią podmioty określone zgodnie z zasadami konsolidacji ostrożnościowej zawartymi w Rozporządzeniu CRR.</w:t>
      </w:r>
    </w:p>
    <w:p w14:paraId="537D35EB" w14:textId="77777777" w:rsidR="00991862" w:rsidRPr="003A1775" w:rsidRDefault="00991862" w:rsidP="00991862">
      <w:pPr>
        <w:spacing w:before="120"/>
        <w:rPr>
          <w:b/>
          <w:color w:val="E41E0A"/>
          <w:sz w:val="18"/>
          <w:szCs w:val="18"/>
        </w:rPr>
      </w:pPr>
      <w:bookmarkStart w:id="168" w:name="_Toc394388293"/>
      <w:r w:rsidRPr="003A1775">
        <w:rPr>
          <w:b/>
          <w:color w:val="E41E0A"/>
          <w:sz w:val="18"/>
          <w:szCs w:val="18"/>
        </w:rPr>
        <w:t>Podstawa sporządzenia skonsolidowanych ostrożnościowo danych finansow</w:t>
      </w:r>
      <w:bookmarkEnd w:id="168"/>
      <w:r w:rsidRPr="003A1775">
        <w:rPr>
          <w:b/>
          <w:color w:val="E41E0A"/>
          <w:sz w:val="18"/>
          <w:szCs w:val="18"/>
        </w:rPr>
        <w:t>ych</w:t>
      </w:r>
    </w:p>
    <w:p w14:paraId="058A52E3" w14:textId="3DC428F5" w:rsidR="00991862" w:rsidRPr="00C11F75" w:rsidRDefault="00991862" w:rsidP="00991862">
      <w:pPr>
        <w:spacing w:before="120"/>
        <w:jc w:val="both"/>
        <w:rPr>
          <w:color w:val="000000" w:themeColor="text1"/>
          <w:sz w:val="18"/>
          <w:szCs w:val="18"/>
        </w:rPr>
      </w:pPr>
      <w:r w:rsidRPr="00C11F75">
        <w:rPr>
          <w:color w:val="000000" w:themeColor="text1"/>
          <w:sz w:val="18"/>
          <w:szCs w:val="18"/>
        </w:rPr>
        <w:t>Skonsolidowane ostrożnościowo dane finansowe Grupy sporządzone zgodnie z zasadami konsolidacji ostrożnościowej określonymi w Rozporządzeniu CRR („skonsolidowane ostrożnościowo dane finansowe”) sporządzono za okres 12 mie</w:t>
      </w:r>
      <w:r w:rsidR="00D64FDF" w:rsidRPr="00C11F75">
        <w:rPr>
          <w:color w:val="000000" w:themeColor="text1"/>
          <w:sz w:val="18"/>
          <w:szCs w:val="18"/>
        </w:rPr>
        <w:t>sięcy zakończony 31 grudnia 2019</w:t>
      </w:r>
      <w:r w:rsidRPr="00C11F75">
        <w:rPr>
          <w:color w:val="000000" w:themeColor="text1"/>
          <w:sz w:val="18"/>
          <w:szCs w:val="18"/>
        </w:rPr>
        <w:t xml:space="preserve"> roku i za okres 12 mie</w:t>
      </w:r>
      <w:r w:rsidR="00D64FDF" w:rsidRPr="00C11F75">
        <w:rPr>
          <w:color w:val="000000" w:themeColor="text1"/>
          <w:sz w:val="18"/>
          <w:szCs w:val="18"/>
        </w:rPr>
        <w:t>sięcy zakończony 31 grudnia 2018</w:t>
      </w:r>
      <w:r w:rsidRPr="00C11F75">
        <w:rPr>
          <w:color w:val="000000" w:themeColor="text1"/>
          <w:sz w:val="18"/>
          <w:szCs w:val="18"/>
        </w:rPr>
        <w:t xml:space="preserve"> roku.</w:t>
      </w:r>
    </w:p>
    <w:p w14:paraId="269A9221" w14:textId="77777777" w:rsidR="00991862" w:rsidRPr="00C11F75" w:rsidRDefault="00991862" w:rsidP="00991862">
      <w:pPr>
        <w:spacing w:before="120"/>
        <w:jc w:val="both"/>
        <w:rPr>
          <w:color w:val="000000" w:themeColor="text1"/>
          <w:sz w:val="18"/>
          <w:szCs w:val="18"/>
        </w:rPr>
      </w:pPr>
      <w:r w:rsidRPr="00C11F75">
        <w:rPr>
          <w:color w:val="000000" w:themeColor="text1"/>
          <w:sz w:val="18"/>
          <w:szCs w:val="18"/>
        </w:rPr>
        <w:t>Wykazany w skonsolidowanych ostrożnościowo danych finansowych skonsolidowany zysk z bieżącego okresu może być zaliczony do skonsolidowanego kapitału podstawowego Tier I w kalkulacji skonsolidowanego współczynnika kapitału podstawowego Tier I, skonsolidowanego współczynnika kapitału Tier I oraz skonsolidowanego łącznego współczynnika kapitałowego po uzyskaniu uprzedniego zezwolenia Komisji Nadzoru Finansowego (KNF) lub po zatwierdzeniu przez walne zgromadzenie.</w:t>
      </w:r>
    </w:p>
    <w:p w14:paraId="339887FA" w14:textId="49678E9C" w:rsidR="00A21270" w:rsidRPr="00C11F75" w:rsidRDefault="00991862" w:rsidP="00991862">
      <w:pPr>
        <w:spacing w:before="120"/>
        <w:jc w:val="both"/>
        <w:rPr>
          <w:color w:val="000000" w:themeColor="text1"/>
          <w:sz w:val="18"/>
          <w:szCs w:val="18"/>
        </w:rPr>
      </w:pPr>
      <w:r w:rsidRPr="00C11F75">
        <w:rPr>
          <w:color w:val="000000" w:themeColor="text1"/>
          <w:sz w:val="18"/>
          <w:szCs w:val="18"/>
        </w:rPr>
        <w:t>Podczas sporządzania skonsolidowanych ostrożnościowo danych finansowych Grupy zostały zastosowane te same zasady (polityki) rachunkowości, które zostały zastosowane podczas sporządzania skonsolidowanego sprawozdania finansowego Grupy mBanku S.A. za 2018 rok, sporządzonego zgodnie z  MSSF, za wyjątkiem zasad konsolidacji przedstawionych poniżej.</w:t>
      </w:r>
      <w:r w:rsidR="00A21270" w:rsidRPr="00C11F75">
        <w:rPr>
          <w:color w:val="000000" w:themeColor="text1"/>
          <w:sz w:val="18"/>
          <w:szCs w:val="18"/>
        </w:rPr>
        <w:t xml:space="preserve"> </w:t>
      </w:r>
    </w:p>
    <w:p w14:paraId="7DA549D3" w14:textId="595BE2D7" w:rsidR="00A21270" w:rsidRPr="00C11F75" w:rsidRDefault="00A21270" w:rsidP="00E03F85">
      <w:pPr>
        <w:spacing w:before="120" w:after="120"/>
        <w:rPr>
          <w:rFonts w:cs="Tahoma"/>
          <w:color w:val="000000" w:themeColor="text1"/>
          <w:sz w:val="18"/>
          <w:szCs w:val="18"/>
        </w:rPr>
      </w:pPr>
      <w:r w:rsidRPr="00C11F75">
        <w:rPr>
          <w:rFonts w:cs="Tahoma"/>
          <w:color w:val="000000" w:themeColor="text1"/>
          <w:sz w:val="18"/>
          <w:szCs w:val="18"/>
        </w:rPr>
        <w:t>Skonsolidowane ostrożnościowo dane finansowe obejm</w:t>
      </w:r>
      <w:r w:rsidR="000E08EF">
        <w:rPr>
          <w:rFonts w:cs="Tahoma"/>
          <w:color w:val="000000" w:themeColor="text1"/>
          <w:sz w:val="18"/>
          <w:szCs w:val="18"/>
        </w:rPr>
        <w:t>ują Bank oraz następujące podmioty</w:t>
      </w:r>
      <w:r w:rsidRPr="00C11F75">
        <w:rPr>
          <w:rFonts w:cs="Tahoma"/>
          <w:color w:val="000000" w:themeColor="text1"/>
          <w:sz w:val="18"/>
          <w:szCs w:val="18"/>
        </w:rPr>
        <w:t>:</w:t>
      </w:r>
    </w:p>
    <w:tbl>
      <w:tblPr>
        <w:tblW w:w="9530" w:type="dxa"/>
        <w:tblLayout w:type="fixed"/>
        <w:tblCellMar>
          <w:left w:w="28" w:type="dxa"/>
          <w:right w:w="28" w:type="dxa"/>
        </w:tblCellMar>
        <w:tblLook w:val="04A0" w:firstRow="1" w:lastRow="0" w:firstColumn="1" w:lastColumn="0" w:noHBand="0" w:noVBand="1"/>
      </w:tblPr>
      <w:tblGrid>
        <w:gridCol w:w="2830"/>
        <w:gridCol w:w="1675"/>
        <w:gridCol w:w="1675"/>
        <w:gridCol w:w="1675"/>
        <w:gridCol w:w="1675"/>
      </w:tblGrid>
      <w:tr w:rsidR="00884538" w:rsidRPr="00884538" w14:paraId="20728174" w14:textId="77777777" w:rsidTr="00DD650B">
        <w:trPr>
          <w:trHeight w:val="342"/>
        </w:trPr>
        <w:tc>
          <w:tcPr>
            <w:tcW w:w="2830" w:type="dxa"/>
            <w:vMerge w:val="restart"/>
            <w:tcBorders>
              <w:top w:val="nil"/>
              <w:left w:val="single" w:sz="4" w:space="0" w:color="FFFFFF"/>
              <w:bottom w:val="nil"/>
              <w:right w:val="single" w:sz="8" w:space="0" w:color="FFFFFF"/>
            </w:tcBorders>
            <w:shd w:val="clear" w:color="000000" w:fill="0077BD"/>
            <w:vAlign w:val="center"/>
            <w:hideMark/>
          </w:tcPr>
          <w:p w14:paraId="33DA59EB" w14:textId="77777777" w:rsidR="00884538" w:rsidRPr="00884538" w:rsidRDefault="00884538" w:rsidP="000F231E">
            <w:pPr>
              <w:jc w:val="center"/>
              <w:rPr>
                <w:rFonts w:cs="Arial"/>
                <w:b/>
                <w:bCs/>
                <w:color w:val="FFFFFF"/>
                <w:sz w:val="13"/>
                <w:szCs w:val="13"/>
              </w:rPr>
            </w:pPr>
            <w:r w:rsidRPr="00884538">
              <w:rPr>
                <w:rFonts w:cs="Arial"/>
                <w:b/>
                <w:bCs/>
                <w:color w:val="FFFFFF"/>
                <w:sz w:val="13"/>
                <w:szCs w:val="13"/>
              </w:rPr>
              <w:t xml:space="preserve">Nazwa spółki </w:t>
            </w:r>
          </w:p>
        </w:tc>
        <w:tc>
          <w:tcPr>
            <w:tcW w:w="3350" w:type="dxa"/>
            <w:gridSpan w:val="2"/>
            <w:tcBorders>
              <w:top w:val="nil"/>
              <w:left w:val="nil"/>
              <w:bottom w:val="single" w:sz="6" w:space="0" w:color="FFFFFF"/>
              <w:right w:val="single" w:sz="8" w:space="0" w:color="FFFFFF"/>
            </w:tcBorders>
            <w:shd w:val="clear" w:color="000000" w:fill="0077BD"/>
            <w:noWrap/>
            <w:vAlign w:val="center"/>
            <w:hideMark/>
          </w:tcPr>
          <w:p w14:paraId="5AB85187" w14:textId="77777777" w:rsidR="00884538" w:rsidRPr="00884538" w:rsidRDefault="00884538" w:rsidP="000F231E">
            <w:pPr>
              <w:jc w:val="center"/>
              <w:rPr>
                <w:rFonts w:cs="Arial"/>
                <w:b/>
                <w:bCs/>
                <w:color w:val="FFFFFF"/>
                <w:sz w:val="13"/>
                <w:szCs w:val="13"/>
              </w:rPr>
            </w:pPr>
            <w:r w:rsidRPr="00884538">
              <w:rPr>
                <w:rFonts w:cs="Arial"/>
                <w:b/>
                <w:bCs/>
                <w:color w:val="FFFFFF"/>
                <w:sz w:val="13"/>
                <w:szCs w:val="13"/>
              </w:rPr>
              <w:t>31.12.2019</w:t>
            </w:r>
          </w:p>
        </w:tc>
        <w:tc>
          <w:tcPr>
            <w:tcW w:w="3350" w:type="dxa"/>
            <w:gridSpan w:val="2"/>
            <w:tcBorders>
              <w:top w:val="nil"/>
              <w:left w:val="nil"/>
              <w:bottom w:val="single" w:sz="6" w:space="0" w:color="FFFFFF"/>
              <w:right w:val="single" w:sz="8" w:space="0" w:color="FFFFFF"/>
            </w:tcBorders>
            <w:shd w:val="clear" w:color="000000" w:fill="0077BD"/>
            <w:noWrap/>
            <w:vAlign w:val="center"/>
            <w:hideMark/>
          </w:tcPr>
          <w:p w14:paraId="6C1C9AFB" w14:textId="77777777" w:rsidR="00884538" w:rsidRPr="00884538" w:rsidRDefault="00884538" w:rsidP="000F231E">
            <w:pPr>
              <w:jc w:val="center"/>
              <w:rPr>
                <w:rFonts w:cs="Arial"/>
                <w:b/>
                <w:bCs/>
                <w:color w:val="FFFFFF"/>
                <w:sz w:val="13"/>
                <w:szCs w:val="13"/>
              </w:rPr>
            </w:pPr>
            <w:r w:rsidRPr="00884538">
              <w:rPr>
                <w:rFonts w:cs="Arial"/>
                <w:b/>
                <w:bCs/>
                <w:color w:val="FFFFFF"/>
                <w:sz w:val="13"/>
                <w:szCs w:val="13"/>
              </w:rPr>
              <w:t>31.12.2018</w:t>
            </w:r>
          </w:p>
        </w:tc>
      </w:tr>
      <w:tr w:rsidR="00884538" w:rsidRPr="00884538" w14:paraId="29451F18" w14:textId="77777777" w:rsidTr="009632C9">
        <w:trPr>
          <w:trHeight w:val="510"/>
        </w:trPr>
        <w:tc>
          <w:tcPr>
            <w:tcW w:w="2830" w:type="dxa"/>
            <w:vMerge/>
            <w:tcBorders>
              <w:top w:val="nil"/>
              <w:left w:val="single" w:sz="4" w:space="0" w:color="FFFFFF"/>
              <w:right w:val="single" w:sz="8" w:space="0" w:color="FFFFFF"/>
            </w:tcBorders>
            <w:vAlign w:val="center"/>
            <w:hideMark/>
          </w:tcPr>
          <w:p w14:paraId="63DCF2C4" w14:textId="77777777" w:rsidR="00884538" w:rsidRPr="00884538" w:rsidRDefault="00884538" w:rsidP="000F231E">
            <w:pPr>
              <w:rPr>
                <w:rFonts w:cs="Arial"/>
                <w:b/>
                <w:bCs/>
                <w:color w:val="FFFFFF"/>
                <w:sz w:val="13"/>
                <w:szCs w:val="13"/>
              </w:rPr>
            </w:pPr>
          </w:p>
        </w:tc>
        <w:tc>
          <w:tcPr>
            <w:tcW w:w="1675" w:type="dxa"/>
            <w:tcBorders>
              <w:top w:val="single" w:sz="6" w:space="0" w:color="FFFFFF"/>
              <w:left w:val="nil"/>
              <w:right w:val="single" w:sz="8" w:space="0" w:color="FFFFFF"/>
            </w:tcBorders>
            <w:shd w:val="clear" w:color="000000" w:fill="0077BD"/>
            <w:vAlign w:val="center"/>
            <w:hideMark/>
          </w:tcPr>
          <w:p w14:paraId="2E5A28D0" w14:textId="77777777" w:rsidR="00884538" w:rsidRPr="00884538" w:rsidRDefault="00884538" w:rsidP="000F231E">
            <w:pPr>
              <w:jc w:val="right"/>
              <w:rPr>
                <w:rFonts w:cs="Arial"/>
                <w:b/>
                <w:bCs/>
                <w:color w:val="FFFFFF"/>
                <w:sz w:val="13"/>
                <w:szCs w:val="13"/>
              </w:rPr>
            </w:pPr>
            <w:r w:rsidRPr="00884538">
              <w:rPr>
                <w:rFonts w:cs="Arial"/>
                <w:b/>
                <w:bCs/>
                <w:color w:val="FFFFFF"/>
                <w:sz w:val="13"/>
                <w:szCs w:val="13"/>
              </w:rPr>
              <w:t>Udział  w liczbie głosów (bezpośrednio i pośrednio)</w:t>
            </w:r>
          </w:p>
        </w:tc>
        <w:tc>
          <w:tcPr>
            <w:tcW w:w="1675" w:type="dxa"/>
            <w:tcBorders>
              <w:top w:val="single" w:sz="6" w:space="0" w:color="FFFFFF"/>
              <w:left w:val="nil"/>
              <w:right w:val="single" w:sz="8" w:space="0" w:color="FFFFFF"/>
            </w:tcBorders>
            <w:shd w:val="clear" w:color="000000" w:fill="0077BD"/>
            <w:vAlign w:val="center"/>
            <w:hideMark/>
          </w:tcPr>
          <w:p w14:paraId="53DC84B5" w14:textId="77777777" w:rsidR="00884538" w:rsidRPr="00884538" w:rsidRDefault="00884538" w:rsidP="000F231E">
            <w:pPr>
              <w:jc w:val="right"/>
              <w:rPr>
                <w:rFonts w:cs="Arial"/>
                <w:b/>
                <w:bCs/>
                <w:color w:val="FFFFFF"/>
                <w:sz w:val="13"/>
                <w:szCs w:val="13"/>
              </w:rPr>
            </w:pPr>
            <w:r w:rsidRPr="00884538">
              <w:rPr>
                <w:rFonts w:cs="Arial"/>
                <w:b/>
                <w:bCs/>
                <w:color w:val="FFFFFF"/>
                <w:sz w:val="13"/>
                <w:szCs w:val="13"/>
              </w:rPr>
              <w:t>Metoda konsolidacji</w:t>
            </w:r>
          </w:p>
        </w:tc>
        <w:tc>
          <w:tcPr>
            <w:tcW w:w="1675" w:type="dxa"/>
            <w:tcBorders>
              <w:top w:val="single" w:sz="6" w:space="0" w:color="FFFFFF"/>
              <w:left w:val="nil"/>
              <w:right w:val="single" w:sz="8" w:space="0" w:color="FFFFFF"/>
            </w:tcBorders>
            <w:shd w:val="clear" w:color="000000" w:fill="0077BD"/>
            <w:vAlign w:val="center"/>
            <w:hideMark/>
          </w:tcPr>
          <w:p w14:paraId="4DDC0917" w14:textId="77777777" w:rsidR="00884538" w:rsidRPr="00884538" w:rsidRDefault="00884538" w:rsidP="000F231E">
            <w:pPr>
              <w:jc w:val="right"/>
              <w:rPr>
                <w:rFonts w:cs="Arial"/>
                <w:b/>
                <w:bCs/>
                <w:color w:val="FFFFFF"/>
                <w:sz w:val="13"/>
                <w:szCs w:val="13"/>
              </w:rPr>
            </w:pPr>
            <w:r w:rsidRPr="00884538">
              <w:rPr>
                <w:rFonts w:cs="Arial"/>
                <w:b/>
                <w:bCs/>
                <w:color w:val="FFFFFF"/>
                <w:sz w:val="13"/>
                <w:szCs w:val="13"/>
              </w:rPr>
              <w:t>Udział  w liczbie głosów (bezpośrednio i pośrednio)</w:t>
            </w:r>
          </w:p>
        </w:tc>
        <w:tc>
          <w:tcPr>
            <w:tcW w:w="1675" w:type="dxa"/>
            <w:tcBorders>
              <w:top w:val="single" w:sz="6" w:space="0" w:color="FFFFFF"/>
              <w:left w:val="nil"/>
              <w:right w:val="nil"/>
            </w:tcBorders>
            <w:shd w:val="clear" w:color="000000" w:fill="0077BD"/>
            <w:vAlign w:val="center"/>
            <w:hideMark/>
          </w:tcPr>
          <w:p w14:paraId="0D55A26E" w14:textId="77777777" w:rsidR="00884538" w:rsidRPr="00884538" w:rsidRDefault="00884538" w:rsidP="000F231E">
            <w:pPr>
              <w:jc w:val="right"/>
              <w:rPr>
                <w:rFonts w:cs="Arial"/>
                <w:b/>
                <w:bCs/>
                <w:color w:val="FFFFFF"/>
                <w:sz w:val="13"/>
                <w:szCs w:val="13"/>
              </w:rPr>
            </w:pPr>
            <w:r w:rsidRPr="00884538">
              <w:rPr>
                <w:rFonts w:cs="Arial"/>
                <w:b/>
                <w:bCs/>
                <w:color w:val="FFFFFF"/>
                <w:sz w:val="13"/>
                <w:szCs w:val="13"/>
              </w:rPr>
              <w:t>Metoda konsolidacji</w:t>
            </w:r>
          </w:p>
        </w:tc>
      </w:tr>
      <w:tr w:rsidR="00DD650B" w:rsidRPr="00C11F75" w14:paraId="531F4AB6" w14:textId="77777777" w:rsidTr="009632C9">
        <w:trPr>
          <w:trHeight w:val="255"/>
        </w:trPr>
        <w:tc>
          <w:tcPr>
            <w:tcW w:w="2830" w:type="dxa"/>
            <w:tcBorders>
              <w:left w:val="nil"/>
              <w:bottom w:val="single" w:sz="4" w:space="0" w:color="0070C0"/>
              <w:right w:val="single" w:sz="8" w:space="0" w:color="0070C0"/>
            </w:tcBorders>
            <w:shd w:val="clear" w:color="auto" w:fill="auto"/>
            <w:vAlign w:val="center"/>
            <w:hideMark/>
          </w:tcPr>
          <w:p w14:paraId="5BC699FC"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mBank Hipoteczny S.A.</w:t>
            </w:r>
          </w:p>
        </w:tc>
        <w:tc>
          <w:tcPr>
            <w:tcW w:w="1675" w:type="dxa"/>
            <w:tcBorders>
              <w:left w:val="single" w:sz="8" w:space="0" w:color="0070C0"/>
              <w:bottom w:val="single" w:sz="4" w:space="0" w:color="0070C0"/>
              <w:right w:val="single" w:sz="8" w:space="0" w:color="0070C0"/>
            </w:tcBorders>
            <w:shd w:val="clear" w:color="auto" w:fill="auto"/>
            <w:vAlign w:val="center"/>
            <w:hideMark/>
          </w:tcPr>
          <w:p w14:paraId="6D0E3036"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left w:val="nil"/>
              <w:bottom w:val="single" w:sz="4" w:space="0" w:color="0070C0"/>
              <w:right w:val="single" w:sz="8" w:space="0" w:color="0070C0"/>
            </w:tcBorders>
            <w:shd w:val="clear" w:color="auto" w:fill="auto"/>
            <w:vAlign w:val="center"/>
            <w:hideMark/>
          </w:tcPr>
          <w:p w14:paraId="545C7563"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left w:val="nil"/>
              <w:bottom w:val="single" w:sz="4" w:space="0" w:color="0070C0"/>
              <w:right w:val="single" w:sz="8" w:space="0" w:color="0070C0"/>
            </w:tcBorders>
            <w:shd w:val="clear" w:color="auto" w:fill="auto"/>
            <w:vAlign w:val="center"/>
            <w:hideMark/>
          </w:tcPr>
          <w:p w14:paraId="7A1034D9"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left w:val="nil"/>
              <w:bottom w:val="single" w:sz="4" w:space="0" w:color="0070C0"/>
              <w:right w:val="nil"/>
            </w:tcBorders>
            <w:shd w:val="clear" w:color="auto" w:fill="auto"/>
            <w:vAlign w:val="center"/>
            <w:hideMark/>
          </w:tcPr>
          <w:p w14:paraId="5AC85986"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6F5C598E"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72820A92" w14:textId="77777777" w:rsidR="00884538" w:rsidRPr="00C11F75" w:rsidRDefault="00884538" w:rsidP="000F231E">
            <w:pPr>
              <w:rPr>
                <w:rFonts w:cs="Arial"/>
                <w:color w:val="000000" w:themeColor="text1"/>
                <w:sz w:val="13"/>
                <w:szCs w:val="13"/>
                <w:lang w:val="en-US"/>
              </w:rPr>
            </w:pPr>
            <w:r w:rsidRPr="00C11F75">
              <w:rPr>
                <w:rFonts w:cs="Arial"/>
                <w:color w:val="000000" w:themeColor="text1"/>
                <w:sz w:val="13"/>
                <w:szCs w:val="13"/>
                <w:lang w:val="en-US"/>
              </w:rPr>
              <w:t xml:space="preserve">mLeasing Sp. z o.o. </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01DC76CF"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single" w:sz="8" w:space="0" w:color="0070C0"/>
            </w:tcBorders>
            <w:shd w:val="clear" w:color="auto" w:fill="auto"/>
            <w:vAlign w:val="center"/>
            <w:hideMark/>
          </w:tcPr>
          <w:p w14:paraId="01C688BE"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38789494"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04E8BB0B"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45551DE3"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44E47E25"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 xml:space="preserve">mFinanse S.A. </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0CC8181A"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single" w:sz="8" w:space="0" w:color="0070C0"/>
            </w:tcBorders>
            <w:shd w:val="clear" w:color="auto" w:fill="auto"/>
            <w:vAlign w:val="center"/>
            <w:hideMark/>
          </w:tcPr>
          <w:p w14:paraId="73515BEF"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1340CC66"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37EE202D"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64E1AF1F"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6D686880"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mFinance France S.A.</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597DEAF0"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99,998%</w:t>
            </w:r>
          </w:p>
        </w:tc>
        <w:tc>
          <w:tcPr>
            <w:tcW w:w="1675" w:type="dxa"/>
            <w:tcBorders>
              <w:top w:val="nil"/>
              <w:left w:val="nil"/>
              <w:bottom w:val="single" w:sz="4" w:space="0" w:color="0070C0"/>
              <w:right w:val="single" w:sz="8" w:space="0" w:color="0070C0"/>
            </w:tcBorders>
            <w:shd w:val="clear" w:color="auto" w:fill="auto"/>
            <w:vAlign w:val="center"/>
            <w:hideMark/>
          </w:tcPr>
          <w:p w14:paraId="4EAADD84"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0C00F31D"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99,998%</w:t>
            </w:r>
          </w:p>
        </w:tc>
        <w:tc>
          <w:tcPr>
            <w:tcW w:w="1675" w:type="dxa"/>
            <w:tcBorders>
              <w:top w:val="nil"/>
              <w:left w:val="nil"/>
              <w:bottom w:val="single" w:sz="4" w:space="0" w:color="0070C0"/>
              <w:right w:val="nil"/>
            </w:tcBorders>
            <w:shd w:val="clear" w:color="auto" w:fill="auto"/>
            <w:vAlign w:val="center"/>
            <w:hideMark/>
          </w:tcPr>
          <w:p w14:paraId="1B7B5111"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74DAC38A"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41083013"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 xml:space="preserve">mFaktoring S.A. </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72290D62"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single" w:sz="8" w:space="0" w:color="0070C0"/>
            </w:tcBorders>
            <w:shd w:val="clear" w:color="auto" w:fill="auto"/>
            <w:vAlign w:val="center"/>
            <w:hideMark/>
          </w:tcPr>
          <w:p w14:paraId="2BF3698E"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3425374A"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12C6EF65"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2FC4426C" w14:textId="77777777" w:rsidTr="00884538">
        <w:trPr>
          <w:trHeight w:val="284"/>
        </w:trPr>
        <w:tc>
          <w:tcPr>
            <w:tcW w:w="2830" w:type="dxa"/>
            <w:tcBorders>
              <w:top w:val="nil"/>
              <w:left w:val="nil"/>
              <w:bottom w:val="single" w:sz="4" w:space="0" w:color="0070C0"/>
              <w:right w:val="single" w:sz="8" w:space="0" w:color="0070C0"/>
            </w:tcBorders>
            <w:shd w:val="clear" w:color="auto" w:fill="auto"/>
            <w:vAlign w:val="center"/>
            <w:hideMark/>
          </w:tcPr>
          <w:p w14:paraId="078C7AC6"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Future Tech Fundusz Inwestycyjny Zamknięty</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334EB84D"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98,04%</w:t>
            </w:r>
          </w:p>
        </w:tc>
        <w:tc>
          <w:tcPr>
            <w:tcW w:w="1675" w:type="dxa"/>
            <w:tcBorders>
              <w:top w:val="nil"/>
              <w:left w:val="nil"/>
              <w:bottom w:val="single" w:sz="4" w:space="0" w:color="0070C0"/>
              <w:right w:val="single" w:sz="8" w:space="0" w:color="0070C0"/>
            </w:tcBorders>
            <w:shd w:val="clear" w:color="auto" w:fill="auto"/>
            <w:vAlign w:val="center"/>
            <w:hideMark/>
          </w:tcPr>
          <w:p w14:paraId="6E01288D"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3D7DAD79"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98,04%</w:t>
            </w:r>
          </w:p>
        </w:tc>
        <w:tc>
          <w:tcPr>
            <w:tcW w:w="1675" w:type="dxa"/>
            <w:tcBorders>
              <w:top w:val="nil"/>
              <w:left w:val="nil"/>
              <w:bottom w:val="single" w:sz="4" w:space="0" w:color="0070C0"/>
              <w:right w:val="nil"/>
            </w:tcBorders>
            <w:shd w:val="clear" w:color="auto" w:fill="auto"/>
            <w:vAlign w:val="center"/>
            <w:hideMark/>
          </w:tcPr>
          <w:p w14:paraId="1974C55D"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29936FFC"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17350792"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Tele-Tech Investment Sp. z o.o.</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687039D0"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single" w:sz="8" w:space="0" w:color="0070C0"/>
            </w:tcBorders>
            <w:shd w:val="clear" w:color="auto" w:fill="auto"/>
            <w:vAlign w:val="center"/>
            <w:hideMark/>
          </w:tcPr>
          <w:p w14:paraId="3466CF3C"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6728EF23"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286AF05A"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72518D21"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183BCE5F"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mCentrum Operacji Sp. z o.o. w likwidacji</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4968D25A" w14:textId="591B0AFC" w:rsidR="00884538" w:rsidRPr="00C11F75" w:rsidRDefault="00B6616E" w:rsidP="000F231E">
            <w:pPr>
              <w:jc w:val="right"/>
              <w:rPr>
                <w:rFonts w:cs="Arial"/>
                <w:color w:val="000000" w:themeColor="text1"/>
                <w:sz w:val="13"/>
                <w:szCs w:val="13"/>
              </w:rPr>
            </w:pPr>
            <w:r w:rsidRPr="00C11F75">
              <w:rPr>
                <w:rFonts w:cs="Arial"/>
                <w:color w:val="000000" w:themeColor="text1"/>
                <w:sz w:val="13"/>
                <w:szCs w:val="13"/>
              </w:rPr>
              <w:t>-</w:t>
            </w:r>
          </w:p>
        </w:tc>
        <w:tc>
          <w:tcPr>
            <w:tcW w:w="1675" w:type="dxa"/>
            <w:tcBorders>
              <w:top w:val="nil"/>
              <w:left w:val="nil"/>
              <w:bottom w:val="single" w:sz="4" w:space="0" w:color="0070C0"/>
              <w:right w:val="single" w:sz="8" w:space="0" w:color="0070C0"/>
            </w:tcBorders>
            <w:shd w:val="clear" w:color="auto" w:fill="auto"/>
            <w:vAlign w:val="center"/>
            <w:hideMark/>
          </w:tcPr>
          <w:p w14:paraId="555A973E" w14:textId="224C1E02" w:rsidR="00884538" w:rsidRPr="00C11F75" w:rsidRDefault="00B6616E" w:rsidP="000F231E">
            <w:pPr>
              <w:jc w:val="right"/>
              <w:rPr>
                <w:rFonts w:cs="Arial"/>
                <w:color w:val="000000" w:themeColor="text1"/>
                <w:sz w:val="13"/>
                <w:szCs w:val="13"/>
              </w:rPr>
            </w:pPr>
            <w:r w:rsidRPr="00C11F75">
              <w:rPr>
                <w:rFonts w:cs="Arial"/>
                <w:color w:val="000000" w:themeColor="text1"/>
                <w:sz w:val="13"/>
                <w:szCs w:val="13"/>
              </w:rPr>
              <w:t>-</w:t>
            </w:r>
          </w:p>
        </w:tc>
        <w:tc>
          <w:tcPr>
            <w:tcW w:w="1675" w:type="dxa"/>
            <w:tcBorders>
              <w:top w:val="nil"/>
              <w:left w:val="nil"/>
              <w:bottom w:val="single" w:sz="4" w:space="0" w:color="0070C0"/>
              <w:right w:val="single" w:sz="8" w:space="0" w:color="0070C0"/>
            </w:tcBorders>
            <w:shd w:val="clear" w:color="auto" w:fill="auto"/>
            <w:vAlign w:val="center"/>
            <w:hideMark/>
          </w:tcPr>
          <w:p w14:paraId="0F69097B"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4B9D72FF"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207CDBFE" w14:textId="77777777" w:rsidTr="009632C9">
        <w:trPr>
          <w:trHeight w:val="255"/>
        </w:trPr>
        <w:tc>
          <w:tcPr>
            <w:tcW w:w="2830" w:type="dxa"/>
            <w:tcBorders>
              <w:top w:val="nil"/>
              <w:left w:val="nil"/>
              <w:bottom w:val="single" w:sz="4" w:space="0" w:color="0070C0"/>
              <w:right w:val="single" w:sz="8" w:space="0" w:color="0070C0"/>
            </w:tcBorders>
            <w:shd w:val="clear" w:color="auto" w:fill="auto"/>
            <w:vAlign w:val="center"/>
            <w:hideMark/>
          </w:tcPr>
          <w:p w14:paraId="3DA02BCA" w14:textId="77777777" w:rsidR="00884538" w:rsidRPr="00C11F75" w:rsidRDefault="00884538" w:rsidP="000F231E">
            <w:pPr>
              <w:rPr>
                <w:rFonts w:cs="Arial"/>
                <w:color w:val="000000" w:themeColor="text1"/>
                <w:sz w:val="13"/>
                <w:szCs w:val="13"/>
              </w:rPr>
            </w:pPr>
            <w:r w:rsidRPr="00C11F75">
              <w:rPr>
                <w:rFonts w:cs="Arial"/>
                <w:color w:val="000000" w:themeColor="text1"/>
                <w:sz w:val="13"/>
                <w:szCs w:val="13"/>
              </w:rPr>
              <w:t>Asekum Sp. z o.o.</w:t>
            </w:r>
          </w:p>
        </w:tc>
        <w:tc>
          <w:tcPr>
            <w:tcW w:w="1675" w:type="dxa"/>
            <w:tcBorders>
              <w:top w:val="nil"/>
              <w:left w:val="single" w:sz="8" w:space="0" w:color="0070C0"/>
              <w:bottom w:val="single" w:sz="4" w:space="0" w:color="0070C0"/>
              <w:right w:val="single" w:sz="8" w:space="0" w:color="0070C0"/>
            </w:tcBorders>
            <w:shd w:val="clear" w:color="auto" w:fill="auto"/>
            <w:vAlign w:val="center"/>
            <w:hideMark/>
          </w:tcPr>
          <w:p w14:paraId="44BCC783"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single" w:sz="8" w:space="0" w:color="0070C0"/>
            </w:tcBorders>
            <w:shd w:val="clear" w:color="auto" w:fill="auto"/>
            <w:vAlign w:val="center"/>
            <w:hideMark/>
          </w:tcPr>
          <w:p w14:paraId="193ED258"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4" w:space="0" w:color="0070C0"/>
              <w:right w:val="single" w:sz="8" w:space="0" w:color="0070C0"/>
            </w:tcBorders>
            <w:shd w:val="clear" w:color="auto" w:fill="auto"/>
            <w:vAlign w:val="center"/>
            <w:hideMark/>
          </w:tcPr>
          <w:p w14:paraId="1A184713"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4" w:space="0" w:color="0070C0"/>
              <w:right w:val="nil"/>
            </w:tcBorders>
            <w:shd w:val="clear" w:color="auto" w:fill="auto"/>
            <w:vAlign w:val="center"/>
            <w:hideMark/>
          </w:tcPr>
          <w:p w14:paraId="306B53DC"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r>
      <w:tr w:rsidR="00E03F85" w:rsidRPr="00C11F75" w14:paraId="67A0D82D" w14:textId="77777777" w:rsidTr="009632C9">
        <w:trPr>
          <w:trHeight w:val="255"/>
        </w:trPr>
        <w:tc>
          <w:tcPr>
            <w:tcW w:w="2830" w:type="dxa"/>
            <w:tcBorders>
              <w:top w:val="nil"/>
              <w:left w:val="nil"/>
              <w:bottom w:val="single" w:sz="8" w:space="0" w:color="0070C0"/>
              <w:right w:val="single" w:sz="8" w:space="0" w:color="0070C0"/>
            </w:tcBorders>
            <w:shd w:val="clear" w:color="auto" w:fill="auto"/>
            <w:vAlign w:val="center"/>
            <w:hideMark/>
          </w:tcPr>
          <w:p w14:paraId="7110542C" w14:textId="77777777" w:rsidR="00884538" w:rsidRPr="00C11F75" w:rsidRDefault="00884538" w:rsidP="000F231E">
            <w:pPr>
              <w:rPr>
                <w:rFonts w:cs="Arial"/>
                <w:color w:val="000000" w:themeColor="text1"/>
                <w:sz w:val="13"/>
                <w:szCs w:val="13"/>
                <w:lang w:val="en-US"/>
              </w:rPr>
            </w:pPr>
            <w:r w:rsidRPr="00C11F75">
              <w:rPr>
                <w:rFonts w:cs="Arial"/>
                <w:color w:val="000000" w:themeColor="text1"/>
                <w:sz w:val="13"/>
                <w:szCs w:val="13"/>
                <w:lang w:val="en-US"/>
              </w:rPr>
              <w:t>Leaselink Sp. z o.o.</w:t>
            </w:r>
          </w:p>
        </w:tc>
        <w:tc>
          <w:tcPr>
            <w:tcW w:w="1675" w:type="dxa"/>
            <w:tcBorders>
              <w:top w:val="nil"/>
              <w:left w:val="single" w:sz="8" w:space="0" w:color="0070C0"/>
              <w:bottom w:val="single" w:sz="8" w:space="0" w:color="0070C0"/>
              <w:right w:val="single" w:sz="8" w:space="0" w:color="0070C0"/>
            </w:tcBorders>
            <w:shd w:val="clear" w:color="auto" w:fill="auto"/>
            <w:vAlign w:val="center"/>
            <w:hideMark/>
          </w:tcPr>
          <w:p w14:paraId="1A79FEF8"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100%</w:t>
            </w:r>
          </w:p>
        </w:tc>
        <w:tc>
          <w:tcPr>
            <w:tcW w:w="1675" w:type="dxa"/>
            <w:tcBorders>
              <w:top w:val="nil"/>
              <w:left w:val="nil"/>
              <w:bottom w:val="single" w:sz="8" w:space="0" w:color="0070C0"/>
              <w:right w:val="single" w:sz="8" w:space="0" w:color="0070C0"/>
            </w:tcBorders>
            <w:shd w:val="clear" w:color="auto" w:fill="auto"/>
            <w:vAlign w:val="center"/>
            <w:hideMark/>
          </w:tcPr>
          <w:p w14:paraId="5537219F"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pełna</w:t>
            </w:r>
          </w:p>
        </w:tc>
        <w:tc>
          <w:tcPr>
            <w:tcW w:w="1675" w:type="dxa"/>
            <w:tcBorders>
              <w:top w:val="nil"/>
              <w:left w:val="nil"/>
              <w:bottom w:val="single" w:sz="8" w:space="0" w:color="0070C0"/>
              <w:right w:val="single" w:sz="8" w:space="0" w:color="0070C0"/>
            </w:tcBorders>
            <w:shd w:val="clear" w:color="auto" w:fill="auto"/>
            <w:vAlign w:val="center"/>
            <w:hideMark/>
          </w:tcPr>
          <w:p w14:paraId="3F11AD13"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w:t>
            </w:r>
          </w:p>
        </w:tc>
        <w:tc>
          <w:tcPr>
            <w:tcW w:w="1675" w:type="dxa"/>
            <w:tcBorders>
              <w:top w:val="nil"/>
              <w:left w:val="nil"/>
              <w:bottom w:val="single" w:sz="8" w:space="0" w:color="0070C0"/>
              <w:right w:val="nil"/>
            </w:tcBorders>
            <w:shd w:val="clear" w:color="auto" w:fill="auto"/>
            <w:vAlign w:val="center"/>
            <w:hideMark/>
          </w:tcPr>
          <w:p w14:paraId="2429835A" w14:textId="77777777" w:rsidR="00884538" w:rsidRPr="00C11F75" w:rsidRDefault="00884538" w:rsidP="000F231E">
            <w:pPr>
              <w:jc w:val="right"/>
              <w:rPr>
                <w:rFonts w:cs="Arial"/>
                <w:color w:val="000000" w:themeColor="text1"/>
                <w:sz w:val="13"/>
                <w:szCs w:val="13"/>
              </w:rPr>
            </w:pPr>
            <w:r w:rsidRPr="00C11F75">
              <w:rPr>
                <w:rFonts w:cs="Arial"/>
                <w:color w:val="000000" w:themeColor="text1"/>
                <w:sz w:val="13"/>
                <w:szCs w:val="13"/>
              </w:rPr>
              <w:t>-</w:t>
            </w:r>
          </w:p>
        </w:tc>
      </w:tr>
    </w:tbl>
    <w:p w14:paraId="21CB3BEF" w14:textId="77777777" w:rsidR="00292F73" w:rsidRPr="00C11F75" w:rsidRDefault="00292F73" w:rsidP="00292F73">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before="120"/>
        <w:jc w:val="both"/>
        <w:rPr>
          <w:rFonts w:cs="Tahoma"/>
          <w:color w:val="000000" w:themeColor="text1"/>
          <w:spacing w:val="-2"/>
          <w:sz w:val="18"/>
          <w:szCs w:val="18"/>
          <w:lang w:eastAsia="en-US"/>
        </w:rPr>
      </w:pPr>
      <w:r w:rsidRPr="00C11F75">
        <w:rPr>
          <w:rFonts w:cs="Tahoma"/>
          <w:color w:val="000000" w:themeColor="text1"/>
          <w:spacing w:val="-2"/>
          <w:sz w:val="18"/>
          <w:szCs w:val="18"/>
          <w:lang w:eastAsia="en-US"/>
        </w:rPr>
        <w:t>W listopadzie 2019 roku spółka mCentrum Operacji Sp. z o.o. została zlikwidowana. Proces likwidacji został opisany w Nocie 43.</w:t>
      </w:r>
    </w:p>
    <w:p w14:paraId="62A118A9" w14:textId="564FF0BB" w:rsidR="00D64FDF" w:rsidRPr="00C11F75" w:rsidRDefault="00D64FDF" w:rsidP="00C940D6">
      <w:pPr>
        <w:spacing w:before="120"/>
        <w:jc w:val="both"/>
        <w:rPr>
          <w:noProof/>
          <w:color w:val="000000" w:themeColor="text1"/>
          <w:sz w:val="18"/>
          <w:szCs w:val="18"/>
        </w:rPr>
      </w:pPr>
      <w:r w:rsidRPr="00C11F75">
        <w:rPr>
          <w:noProof/>
          <w:color w:val="000000" w:themeColor="text1"/>
          <w:sz w:val="18"/>
          <w:szCs w:val="18"/>
        </w:rPr>
        <w:t xml:space="preserve">Począwszy od marca 2019 roku Grupa rozpoczęła konsolidację spółki LeaseLink Sp. z o.o. </w:t>
      </w:r>
      <w:r w:rsidR="00C940D6" w:rsidRPr="00C11F75">
        <w:rPr>
          <w:noProof/>
          <w:color w:val="000000" w:themeColor="text1"/>
          <w:sz w:val="18"/>
          <w:szCs w:val="18"/>
        </w:rPr>
        <w:t>Począwszy od</w:t>
      </w:r>
      <w:r w:rsidR="00502887">
        <w:rPr>
          <w:noProof/>
          <w:color w:val="000000" w:themeColor="text1"/>
          <w:sz w:val="18"/>
          <w:szCs w:val="18"/>
        </w:rPr>
        <w:t> </w:t>
      </w:r>
      <w:r w:rsidR="00C940D6" w:rsidRPr="00C11F75">
        <w:rPr>
          <w:noProof/>
          <w:color w:val="000000" w:themeColor="text1"/>
          <w:sz w:val="18"/>
          <w:szCs w:val="18"/>
        </w:rPr>
        <w:t xml:space="preserve">października 2018 roku Grupa rozpoczęła konsolidację spółki Asekum Sp. z o.o. </w:t>
      </w:r>
      <w:r w:rsidRPr="00C11F75">
        <w:rPr>
          <w:noProof/>
          <w:color w:val="000000" w:themeColor="text1"/>
          <w:sz w:val="18"/>
          <w:szCs w:val="18"/>
        </w:rPr>
        <w:t>Informacje dotyczące obu wymienionych wyżej spółek zostały umieszczone w Nocie 1.</w:t>
      </w:r>
    </w:p>
    <w:p w14:paraId="1F326466" w14:textId="77777777" w:rsidR="00D64FDF" w:rsidRPr="00C11F75" w:rsidRDefault="00D64FDF" w:rsidP="00D64FDF">
      <w:pPr>
        <w:spacing w:before="120"/>
        <w:jc w:val="both"/>
        <w:rPr>
          <w:color w:val="000000" w:themeColor="text1"/>
          <w:sz w:val="18"/>
          <w:szCs w:val="18"/>
        </w:rPr>
      </w:pPr>
      <w:r w:rsidRPr="00C11F75">
        <w:rPr>
          <w:color w:val="000000" w:themeColor="text1"/>
          <w:sz w:val="18"/>
          <w:szCs w:val="18"/>
        </w:rPr>
        <w:lastRenderedPageBreak/>
        <w:t>Zakresem konsolidacji ostrożnościowej objęte są jednostki zdefiniowane w Rozporządzeniu CRR – jako instytucje, instytucje finansowe lub przedsiębiorstwa usług pomocniczych będące jednostkami zależnymi lub przedsiębiorstwami, w kapitale których utrzymywany jest udział kapitałowy, poza jednostkami, w których łączna kwota aktywów i pozycji pozabilansowych jest niższa od mniejszej z następujących dwóch kwot:</w:t>
      </w:r>
    </w:p>
    <w:p w14:paraId="6B426D60" w14:textId="77777777" w:rsidR="00D64FDF" w:rsidRPr="00C11F75" w:rsidRDefault="00D64FDF" w:rsidP="00D64FDF">
      <w:pPr>
        <w:spacing w:before="60"/>
        <w:jc w:val="both"/>
        <w:rPr>
          <w:color w:val="000000" w:themeColor="text1"/>
          <w:sz w:val="18"/>
          <w:szCs w:val="18"/>
        </w:rPr>
      </w:pPr>
      <w:r w:rsidRPr="00C11F75">
        <w:rPr>
          <w:color w:val="000000" w:themeColor="text1"/>
          <w:sz w:val="18"/>
          <w:szCs w:val="18"/>
        </w:rPr>
        <w:t>a) 10 mln EUR;</w:t>
      </w:r>
    </w:p>
    <w:p w14:paraId="6E6AF149" w14:textId="77777777" w:rsidR="00D64FDF" w:rsidRPr="00C11F75" w:rsidRDefault="00D64FDF" w:rsidP="00D64FDF">
      <w:pPr>
        <w:spacing w:before="60"/>
        <w:jc w:val="both"/>
        <w:rPr>
          <w:color w:val="000000" w:themeColor="text1"/>
          <w:sz w:val="18"/>
          <w:szCs w:val="18"/>
        </w:rPr>
      </w:pPr>
      <w:r w:rsidRPr="00C11F75">
        <w:rPr>
          <w:color w:val="000000" w:themeColor="text1"/>
          <w:sz w:val="18"/>
          <w:szCs w:val="18"/>
        </w:rPr>
        <w:t>b) 1 % łącznej kwoty aktywów oraz pozycji pozabilansowych jednostki dominującej lub przedsiębiorstwa posiadającego udział kapitałowy.</w:t>
      </w:r>
    </w:p>
    <w:p w14:paraId="17B76FA3" w14:textId="77777777" w:rsidR="00D64FDF" w:rsidRPr="00C11F75" w:rsidRDefault="00D64FDF" w:rsidP="00D64FDF">
      <w:pPr>
        <w:spacing w:before="120"/>
        <w:jc w:val="both"/>
        <w:rPr>
          <w:rFonts w:cs="Tahoma"/>
          <w:color w:val="000000" w:themeColor="text1"/>
          <w:sz w:val="18"/>
          <w:szCs w:val="18"/>
        </w:rPr>
      </w:pPr>
      <w:r w:rsidRPr="00C11F75">
        <w:rPr>
          <w:rFonts w:cs="Tahoma"/>
          <w:color w:val="000000" w:themeColor="text1"/>
          <w:sz w:val="18"/>
          <w:szCs w:val="18"/>
        </w:rPr>
        <w:t>Skonsolidowane dane finansowe łączą pozycje aktywów, zobowiązań, kapitału własnego, przychodów i kosztów jednostki dominującej i jednostek zależnych wyłączając wartość bilansową inwestycji jednostki dominującej w każdej z jednostek zależnych oraz tej części kapitału własnego każdej z jednostek zależnych, która odpowiada udziałowi jednostki dominującej. Stąd powstaje wartość firmy. Jeżeli wartość firmy jest ujemna, ujmuje się ją bezpośrednio w rachunku zysków i strat. Zysk lub strata i każdy składnik pozostałych całkowitych dochodów jest przypisywany do właścicieli Grupy oraz do udziałów niekontrolujących nawet wtedy, gdy w rezultacie udziały niekontrolujące przybierają wartość ujemną. Jeżeli Grupa utraci kontrolę nad jednostką zależną, to rozlicza wszelkie kwoty ujęte w pozostałych całkowitych dochodach związane z tą jednostką zależną na takich zasadach, jakie byłyby wymagane w przypadku, gdy Grupa bezpośrednio zbyła odnośne aktywa lub zobowiązania.</w:t>
      </w:r>
    </w:p>
    <w:p w14:paraId="73428C44" w14:textId="61CA4273" w:rsidR="002967E3" w:rsidRDefault="00D64FDF" w:rsidP="00D64FDF">
      <w:pPr>
        <w:pStyle w:val="Tekstpodstawowy"/>
        <w:spacing w:before="120" w:after="0"/>
        <w:jc w:val="both"/>
        <w:rPr>
          <w:rFonts w:cs="Tahoma"/>
          <w:color w:val="000000" w:themeColor="text1"/>
          <w:sz w:val="18"/>
          <w:szCs w:val="18"/>
        </w:rPr>
      </w:pPr>
      <w:r w:rsidRPr="00C11F75">
        <w:rPr>
          <w:rFonts w:cs="Tahoma"/>
          <w:color w:val="000000" w:themeColor="text1"/>
          <w:sz w:val="18"/>
          <w:szCs w:val="18"/>
        </w:rPr>
        <w:t>Transakcje, rozrachunki i niezrealizowane zyski na transakcjach pomiędzy spółkami Grupy są eliminowane. Niezrealizowane straty również podlegają eliminacji, chyba że transakcja dostarcza dowodów na utratę wartości przekazanego składnika aktywów. Zasady rachunkowości stosowane przez jednostki zależne zostały zmienione, tam gdzie było to konieczne, dla zapewnienia zgodności z zasadami rachunkowości stosowanymi przez Grupę.</w:t>
      </w:r>
    </w:p>
    <w:p w14:paraId="276426C5" w14:textId="77777777" w:rsidR="002967E3" w:rsidRDefault="002967E3">
      <w:pPr>
        <w:rPr>
          <w:rFonts w:cs="Tahoma"/>
          <w:color w:val="000000" w:themeColor="text1"/>
          <w:spacing w:val="-4"/>
          <w:sz w:val="18"/>
          <w:szCs w:val="18"/>
        </w:rPr>
      </w:pPr>
      <w:r>
        <w:rPr>
          <w:rFonts w:cs="Tahoma"/>
          <w:color w:val="000000" w:themeColor="text1"/>
          <w:sz w:val="18"/>
          <w:szCs w:val="18"/>
        </w:rPr>
        <w:br w:type="page"/>
      </w:r>
    </w:p>
    <w:p w14:paraId="2FF3550D" w14:textId="47DD370F" w:rsidR="00695833" w:rsidRPr="00C11F75" w:rsidRDefault="009E0C7F" w:rsidP="00E07F9D">
      <w:pPr>
        <w:pStyle w:val="Tekstpodstawowy"/>
        <w:spacing w:before="120"/>
        <w:jc w:val="both"/>
        <w:rPr>
          <w:rFonts w:cs="Tahoma"/>
          <w:b/>
          <w:iCs/>
          <w:color w:val="000000" w:themeColor="text1"/>
          <w:sz w:val="18"/>
          <w:szCs w:val="18"/>
        </w:rPr>
      </w:pPr>
      <w:r w:rsidRPr="00C11F75">
        <w:rPr>
          <w:rFonts w:cs="Tahoma"/>
          <w:b/>
          <w:iCs/>
          <w:color w:val="000000" w:themeColor="text1"/>
          <w:sz w:val="18"/>
          <w:szCs w:val="18"/>
        </w:rPr>
        <w:lastRenderedPageBreak/>
        <w:t>S</w:t>
      </w:r>
      <w:r w:rsidR="00695833" w:rsidRPr="00C11F75">
        <w:rPr>
          <w:rFonts w:cs="Tahoma"/>
          <w:b/>
          <w:iCs/>
          <w:color w:val="000000" w:themeColor="text1"/>
          <w:sz w:val="18"/>
          <w:szCs w:val="18"/>
        </w:rPr>
        <w:t>konsolidowany ostrożnościowo rachunek zysków i strat</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85610C" w:rsidRPr="00093EE6" w14:paraId="3A855255" w14:textId="77777777" w:rsidTr="00B1554A">
        <w:trPr>
          <w:trHeight w:val="284"/>
        </w:trPr>
        <w:tc>
          <w:tcPr>
            <w:tcW w:w="6747" w:type="dxa"/>
            <w:vMerge w:val="restart"/>
            <w:tcBorders>
              <w:top w:val="nil"/>
              <w:left w:val="nil"/>
              <w:right w:val="single" w:sz="8" w:space="0" w:color="FFFFFF"/>
            </w:tcBorders>
            <w:shd w:val="clear" w:color="000000" w:fill="0077BD"/>
            <w:vAlign w:val="center"/>
            <w:hideMark/>
          </w:tcPr>
          <w:p w14:paraId="27085F5A" w14:textId="77777777" w:rsidR="0085610C" w:rsidRPr="00093EE6" w:rsidRDefault="0085610C" w:rsidP="00093EE6">
            <w:pPr>
              <w:jc w:val="center"/>
              <w:rPr>
                <w:rFonts w:cs="Arial"/>
                <w:b/>
                <w:bCs/>
                <w:color w:val="FFFFFF"/>
                <w:sz w:val="13"/>
                <w:szCs w:val="13"/>
              </w:rPr>
            </w:pPr>
            <w:r w:rsidRPr="00093EE6">
              <w:rPr>
                <w:rFonts w:cs="Arial"/>
                <w:b/>
                <w:bCs/>
                <w:color w:val="FFFFFF"/>
                <w:sz w:val="13"/>
                <w:szCs w:val="13"/>
              </w:rPr>
              <w:t> </w:t>
            </w:r>
          </w:p>
        </w:tc>
        <w:tc>
          <w:tcPr>
            <w:tcW w:w="2836" w:type="dxa"/>
            <w:gridSpan w:val="2"/>
            <w:tcBorders>
              <w:top w:val="nil"/>
              <w:left w:val="nil"/>
              <w:bottom w:val="single" w:sz="6" w:space="0" w:color="FFFFFF" w:themeColor="background1"/>
              <w:right w:val="nil"/>
            </w:tcBorders>
            <w:shd w:val="clear" w:color="000000" w:fill="0077BD"/>
            <w:vAlign w:val="center"/>
          </w:tcPr>
          <w:p w14:paraId="0C412717" w14:textId="3D3558E8" w:rsidR="0085610C" w:rsidRPr="00093EE6" w:rsidRDefault="0085610C" w:rsidP="00093EE6">
            <w:pPr>
              <w:jc w:val="right"/>
              <w:rPr>
                <w:rFonts w:cs="Arial"/>
                <w:b/>
                <w:bCs/>
                <w:color w:val="FFFFFF"/>
                <w:sz w:val="13"/>
                <w:szCs w:val="13"/>
              </w:rPr>
            </w:pPr>
            <w:r>
              <w:rPr>
                <w:rFonts w:cs="Arial"/>
                <w:b/>
                <w:bCs/>
                <w:color w:val="FFFFFF"/>
                <w:sz w:val="13"/>
                <w:szCs w:val="13"/>
              </w:rPr>
              <w:t>Rok kończący się 31 grudnia</w:t>
            </w:r>
          </w:p>
        </w:tc>
      </w:tr>
      <w:tr w:rsidR="0085610C" w:rsidRPr="0085610C" w14:paraId="3B4CDA1C" w14:textId="77777777" w:rsidTr="00E816BE">
        <w:trPr>
          <w:trHeight w:val="284"/>
        </w:trPr>
        <w:tc>
          <w:tcPr>
            <w:tcW w:w="6747" w:type="dxa"/>
            <w:vMerge/>
            <w:tcBorders>
              <w:left w:val="nil"/>
              <w:right w:val="single" w:sz="8" w:space="0" w:color="FFFFFF"/>
            </w:tcBorders>
            <w:shd w:val="clear" w:color="auto" w:fill="auto"/>
            <w:vAlign w:val="center"/>
          </w:tcPr>
          <w:p w14:paraId="76723822" w14:textId="77777777" w:rsidR="0085610C" w:rsidRPr="0085610C" w:rsidRDefault="0085610C" w:rsidP="0085610C">
            <w:pPr>
              <w:jc w:val="center"/>
              <w:rPr>
                <w:rFonts w:cs="Arial"/>
                <w:b/>
                <w:bCs/>
                <w:color w:val="FFFFFF"/>
                <w:sz w:val="13"/>
                <w:szCs w:val="13"/>
              </w:rPr>
            </w:pPr>
          </w:p>
        </w:tc>
        <w:tc>
          <w:tcPr>
            <w:tcW w:w="1418" w:type="dxa"/>
            <w:tcBorders>
              <w:top w:val="single" w:sz="6" w:space="0" w:color="FFFFFF" w:themeColor="background1"/>
              <w:left w:val="single" w:sz="8" w:space="0" w:color="FFFFFF"/>
              <w:right w:val="single" w:sz="6" w:space="0" w:color="FFFFFF" w:themeColor="background1"/>
            </w:tcBorders>
            <w:shd w:val="clear" w:color="auto" w:fill="0077BD"/>
            <w:noWrap/>
            <w:vAlign w:val="center"/>
          </w:tcPr>
          <w:p w14:paraId="16E06B29" w14:textId="16AC7B23" w:rsidR="0085610C" w:rsidRPr="0085610C" w:rsidRDefault="0085610C" w:rsidP="0085610C">
            <w:pPr>
              <w:jc w:val="right"/>
              <w:rPr>
                <w:rFonts w:cs="Arial"/>
                <w:b/>
                <w:bCs/>
                <w:color w:val="FFFFFF"/>
                <w:sz w:val="13"/>
                <w:szCs w:val="13"/>
              </w:rPr>
            </w:pPr>
            <w:r>
              <w:rPr>
                <w:rFonts w:cs="Arial"/>
                <w:b/>
                <w:bCs/>
                <w:color w:val="FFFFFF"/>
                <w:sz w:val="13"/>
                <w:szCs w:val="13"/>
              </w:rPr>
              <w:t>2019</w:t>
            </w:r>
          </w:p>
        </w:tc>
        <w:tc>
          <w:tcPr>
            <w:tcW w:w="1418" w:type="dxa"/>
            <w:tcBorders>
              <w:top w:val="single" w:sz="6" w:space="0" w:color="FFFFFF" w:themeColor="background1"/>
              <w:left w:val="single" w:sz="6" w:space="0" w:color="FFFFFF" w:themeColor="background1"/>
              <w:right w:val="nil"/>
            </w:tcBorders>
            <w:shd w:val="clear" w:color="auto" w:fill="0077BD"/>
            <w:noWrap/>
            <w:vAlign w:val="center"/>
          </w:tcPr>
          <w:p w14:paraId="3A7BD2A5" w14:textId="46DF6397" w:rsidR="0085610C" w:rsidRPr="0085610C" w:rsidRDefault="0085610C" w:rsidP="0085610C">
            <w:pPr>
              <w:jc w:val="right"/>
              <w:rPr>
                <w:rFonts w:cs="Arial"/>
                <w:b/>
                <w:bCs/>
                <w:color w:val="FFFFFF"/>
                <w:sz w:val="13"/>
                <w:szCs w:val="13"/>
              </w:rPr>
            </w:pPr>
            <w:r>
              <w:rPr>
                <w:rFonts w:cs="Arial"/>
                <w:b/>
                <w:bCs/>
                <w:color w:val="FFFFFF"/>
                <w:sz w:val="13"/>
                <w:szCs w:val="13"/>
              </w:rPr>
              <w:t>2018</w:t>
            </w:r>
            <w:r w:rsidR="007D0C80">
              <w:rPr>
                <w:rFonts w:cs="Arial"/>
                <w:b/>
                <w:bCs/>
                <w:color w:val="FFFFFF"/>
                <w:sz w:val="13"/>
                <w:szCs w:val="13"/>
              </w:rPr>
              <w:br/>
              <w:t>- przekształcony</w:t>
            </w:r>
          </w:p>
        </w:tc>
      </w:tr>
      <w:tr w:rsidR="009579F9" w:rsidRPr="00C11F75" w14:paraId="0C61D2FA" w14:textId="77777777" w:rsidTr="007D0C80">
        <w:trPr>
          <w:trHeight w:val="255"/>
        </w:trPr>
        <w:tc>
          <w:tcPr>
            <w:tcW w:w="6747" w:type="dxa"/>
            <w:tcBorders>
              <w:left w:val="nil"/>
              <w:bottom w:val="single" w:sz="4" w:space="0" w:color="0077BD"/>
              <w:right w:val="single" w:sz="8" w:space="0" w:color="0077BD"/>
            </w:tcBorders>
            <w:shd w:val="clear" w:color="auto" w:fill="auto"/>
            <w:vAlign w:val="center"/>
            <w:hideMark/>
          </w:tcPr>
          <w:p w14:paraId="27B44A77"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Przychody z tytułu odsetek, w tym:</w:t>
            </w:r>
          </w:p>
        </w:tc>
        <w:tc>
          <w:tcPr>
            <w:tcW w:w="1418" w:type="dxa"/>
            <w:tcBorders>
              <w:left w:val="single" w:sz="8" w:space="0" w:color="0077BD"/>
              <w:bottom w:val="single" w:sz="4" w:space="0" w:color="0077BD"/>
              <w:right w:val="nil"/>
            </w:tcBorders>
            <w:shd w:val="clear" w:color="auto" w:fill="auto"/>
            <w:noWrap/>
            <w:vAlign w:val="center"/>
          </w:tcPr>
          <w:p w14:paraId="4A998AED" w14:textId="527AFDB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5 071 805</w:t>
            </w:r>
          </w:p>
        </w:tc>
        <w:tc>
          <w:tcPr>
            <w:tcW w:w="1418" w:type="dxa"/>
            <w:tcBorders>
              <w:left w:val="single" w:sz="8" w:space="0" w:color="0077BD"/>
              <w:bottom w:val="single" w:sz="4" w:space="0" w:color="0077BD"/>
              <w:right w:val="nil"/>
            </w:tcBorders>
            <w:shd w:val="clear" w:color="auto" w:fill="auto"/>
            <w:noWrap/>
            <w:vAlign w:val="center"/>
            <w:hideMark/>
          </w:tcPr>
          <w:p w14:paraId="7F737BD0"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4 517 593</w:t>
            </w:r>
          </w:p>
        </w:tc>
      </w:tr>
      <w:tr w:rsidR="001B6A4D" w:rsidRPr="00C11F75" w14:paraId="07B1968B" w14:textId="77777777" w:rsidTr="006B56E5">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FE77067" w14:textId="77777777" w:rsidR="001B6A4D" w:rsidRPr="00E07F9D" w:rsidRDefault="001B6A4D" w:rsidP="001B6A4D">
            <w:pPr>
              <w:ind w:left="115"/>
              <w:rPr>
                <w:rFonts w:cs="Arial"/>
                <w:i/>
                <w:iCs/>
                <w:color w:val="000000" w:themeColor="text1"/>
                <w:sz w:val="13"/>
                <w:szCs w:val="13"/>
              </w:rPr>
            </w:pPr>
            <w:r w:rsidRPr="00E07F9D">
              <w:rPr>
                <w:rFonts w:cs="Arial"/>
                <w:i/>
                <w:iCs/>
                <w:color w:val="000000" w:themeColor="text1"/>
                <w:sz w:val="13"/>
                <w:szCs w:val="13"/>
              </w:rPr>
              <w:t>Przychody z tytułu odsetek obliczone przy zastosowaniu metody efektywnej stopy procentowej</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0CCFE002" w14:textId="36E9EE73"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4 523 624</w:t>
            </w:r>
          </w:p>
        </w:tc>
        <w:tc>
          <w:tcPr>
            <w:tcW w:w="1418" w:type="dxa"/>
            <w:tcBorders>
              <w:top w:val="nil"/>
              <w:left w:val="single" w:sz="8" w:space="0" w:color="0077BD"/>
              <w:bottom w:val="single" w:sz="4" w:space="0" w:color="0077BD"/>
              <w:right w:val="nil"/>
            </w:tcBorders>
            <w:shd w:val="clear" w:color="auto" w:fill="auto"/>
            <w:noWrap/>
            <w:vAlign w:val="center"/>
            <w:hideMark/>
          </w:tcPr>
          <w:p w14:paraId="1DD1763C" w14:textId="77777777"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3 867 454</w:t>
            </w:r>
          </w:p>
        </w:tc>
      </w:tr>
      <w:tr w:rsidR="001B6A4D" w:rsidRPr="00C11F75" w14:paraId="77A10BA3" w14:textId="77777777" w:rsidTr="00B1554A">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42E9158F" w14:textId="77777777" w:rsidR="001B6A4D" w:rsidRPr="00E07F9D" w:rsidRDefault="001B6A4D" w:rsidP="001B6A4D">
            <w:pPr>
              <w:ind w:left="115"/>
              <w:rPr>
                <w:rFonts w:cs="Arial"/>
                <w:i/>
                <w:iCs/>
                <w:color w:val="000000" w:themeColor="text1"/>
                <w:sz w:val="13"/>
                <w:szCs w:val="13"/>
              </w:rPr>
            </w:pPr>
            <w:r w:rsidRPr="00E07F9D">
              <w:rPr>
                <w:rFonts w:cs="Arial"/>
                <w:i/>
                <w:iCs/>
                <w:color w:val="000000" w:themeColor="text1"/>
                <w:sz w:val="13"/>
                <w:szCs w:val="13"/>
              </w:rPr>
              <w:t>Przychody o charakterze zbliżonym do odsetek od aktywów finansowych wycenianych w wartości godziwej przez wynik finansowy</w:t>
            </w:r>
          </w:p>
        </w:tc>
        <w:tc>
          <w:tcPr>
            <w:tcW w:w="1418" w:type="dxa"/>
            <w:tcBorders>
              <w:top w:val="nil"/>
              <w:left w:val="single" w:sz="8" w:space="0" w:color="0077BD"/>
              <w:bottom w:val="single" w:sz="4" w:space="0" w:color="0077BD"/>
              <w:right w:val="nil"/>
            </w:tcBorders>
            <w:shd w:val="clear" w:color="auto" w:fill="auto"/>
            <w:noWrap/>
            <w:vAlign w:val="center"/>
          </w:tcPr>
          <w:p w14:paraId="02ECD83C" w14:textId="4D6D2248"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548 181</w:t>
            </w:r>
          </w:p>
        </w:tc>
        <w:tc>
          <w:tcPr>
            <w:tcW w:w="1418" w:type="dxa"/>
            <w:tcBorders>
              <w:top w:val="nil"/>
              <w:left w:val="single" w:sz="8" w:space="0" w:color="0077BD"/>
              <w:bottom w:val="single" w:sz="4" w:space="0" w:color="0077BD"/>
              <w:right w:val="nil"/>
            </w:tcBorders>
            <w:shd w:val="clear" w:color="auto" w:fill="auto"/>
            <w:noWrap/>
            <w:vAlign w:val="center"/>
            <w:hideMark/>
          </w:tcPr>
          <w:p w14:paraId="53301BA3" w14:textId="77777777"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650 139</w:t>
            </w:r>
          </w:p>
        </w:tc>
      </w:tr>
      <w:tr w:rsidR="009579F9" w:rsidRPr="00C11F75" w14:paraId="6B35E3BC"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84871BC"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Koszty odsetek</w:t>
            </w:r>
          </w:p>
        </w:tc>
        <w:tc>
          <w:tcPr>
            <w:tcW w:w="1418" w:type="dxa"/>
            <w:tcBorders>
              <w:top w:val="nil"/>
              <w:left w:val="single" w:sz="8" w:space="0" w:color="0077BD"/>
              <w:bottom w:val="single" w:sz="4" w:space="0" w:color="0077BD"/>
              <w:right w:val="nil"/>
            </w:tcBorders>
            <w:shd w:val="clear" w:color="auto" w:fill="auto"/>
            <w:noWrap/>
            <w:vAlign w:val="center"/>
          </w:tcPr>
          <w:p w14:paraId="0E402D84" w14:textId="7D1D26F2"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(1 068 892)</w:t>
            </w:r>
          </w:p>
        </w:tc>
        <w:tc>
          <w:tcPr>
            <w:tcW w:w="1418" w:type="dxa"/>
            <w:tcBorders>
              <w:top w:val="nil"/>
              <w:left w:val="single" w:sz="8" w:space="0" w:color="0077BD"/>
              <w:bottom w:val="single" w:sz="4" w:space="0" w:color="0077BD"/>
              <w:right w:val="nil"/>
            </w:tcBorders>
            <w:shd w:val="clear" w:color="auto" w:fill="auto"/>
            <w:noWrap/>
            <w:vAlign w:val="center"/>
            <w:hideMark/>
          </w:tcPr>
          <w:p w14:paraId="4F1EC9F0"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(1 021 056)</w:t>
            </w:r>
          </w:p>
        </w:tc>
      </w:tr>
      <w:tr w:rsidR="009579F9" w:rsidRPr="00C11F75" w14:paraId="680539D4" w14:textId="77777777" w:rsidTr="00B1554A">
        <w:trPr>
          <w:trHeight w:val="255"/>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0D6EA48D"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Wynik z tytułu odsetek</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68AB756F" w14:textId="626C1496"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4 002 913</w:t>
            </w:r>
          </w:p>
        </w:tc>
        <w:tc>
          <w:tcPr>
            <w:tcW w:w="1418" w:type="dxa"/>
            <w:tcBorders>
              <w:top w:val="single" w:sz="8" w:space="0" w:color="0077BD"/>
              <w:left w:val="nil"/>
              <w:bottom w:val="single" w:sz="8" w:space="0" w:color="0077BD"/>
              <w:right w:val="nil"/>
            </w:tcBorders>
            <w:shd w:val="clear" w:color="auto" w:fill="auto"/>
            <w:noWrap/>
            <w:vAlign w:val="center"/>
            <w:hideMark/>
          </w:tcPr>
          <w:p w14:paraId="14C516B7" w14:textId="77777777"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3 496 537</w:t>
            </w:r>
          </w:p>
        </w:tc>
      </w:tr>
      <w:tr w:rsidR="00843363" w:rsidRPr="00C11F75" w14:paraId="6E684BFB" w14:textId="77777777" w:rsidTr="00B1554A">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2B886191" w14:textId="77777777" w:rsidR="00843363" w:rsidRPr="00E07F9D" w:rsidRDefault="00843363" w:rsidP="00843363">
            <w:pPr>
              <w:rPr>
                <w:rFonts w:cs="Arial"/>
                <w:color w:val="000000" w:themeColor="text1"/>
                <w:sz w:val="13"/>
                <w:szCs w:val="13"/>
              </w:rPr>
            </w:pPr>
            <w:r w:rsidRPr="00E07F9D">
              <w:rPr>
                <w:rFonts w:cs="Arial"/>
                <w:color w:val="000000" w:themeColor="text1"/>
                <w:sz w:val="13"/>
                <w:szCs w:val="13"/>
              </w:rPr>
              <w:t>Przychody z tytułu opłat i prowizji</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2A13D291" w14:textId="675EB64D" w:rsidR="00843363" w:rsidRPr="00E07F9D" w:rsidRDefault="00843363" w:rsidP="00843363">
            <w:pPr>
              <w:jc w:val="right"/>
              <w:rPr>
                <w:rFonts w:cs="Arial"/>
                <w:color w:val="000000" w:themeColor="text1"/>
                <w:sz w:val="13"/>
                <w:szCs w:val="13"/>
              </w:rPr>
            </w:pPr>
            <w:r w:rsidRPr="00E07F9D">
              <w:rPr>
                <w:rFonts w:cs="Arial"/>
                <w:color w:val="000000" w:themeColor="text1"/>
                <w:sz w:val="13"/>
                <w:szCs w:val="13"/>
              </w:rPr>
              <w:t>1 704 637</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5581C4D0" w14:textId="4656FA72" w:rsidR="00843363" w:rsidRPr="00E07F9D" w:rsidRDefault="00843363" w:rsidP="00843363">
            <w:pPr>
              <w:jc w:val="right"/>
              <w:rPr>
                <w:rFonts w:cs="Arial"/>
                <w:color w:val="000000" w:themeColor="text1"/>
                <w:sz w:val="13"/>
                <w:szCs w:val="13"/>
              </w:rPr>
            </w:pPr>
            <w:r w:rsidRPr="00E07F9D">
              <w:rPr>
                <w:rFonts w:cs="Arial"/>
                <w:color w:val="000000" w:themeColor="text1"/>
                <w:sz w:val="13"/>
                <w:szCs w:val="13"/>
              </w:rPr>
              <w:t>1 630 341</w:t>
            </w:r>
          </w:p>
        </w:tc>
      </w:tr>
      <w:tr w:rsidR="00843363" w:rsidRPr="00C11F75" w14:paraId="03411415"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237D605" w14:textId="77777777" w:rsidR="00843363" w:rsidRPr="00E07F9D" w:rsidRDefault="00843363" w:rsidP="00843363">
            <w:pPr>
              <w:rPr>
                <w:rFonts w:cs="Arial"/>
                <w:color w:val="000000" w:themeColor="text1"/>
                <w:sz w:val="13"/>
                <w:szCs w:val="13"/>
              </w:rPr>
            </w:pPr>
            <w:r w:rsidRPr="00E07F9D">
              <w:rPr>
                <w:rFonts w:cs="Arial"/>
                <w:color w:val="000000" w:themeColor="text1"/>
                <w:sz w:val="13"/>
                <w:szCs w:val="13"/>
              </w:rPr>
              <w:t>Koszty z tytułu opłat i prowizji</w:t>
            </w:r>
          </w:p>
        </w:tc>
        <w:tc>
          <w:tcPr>
            <w:tcW w:w="1418" w:type="dxa"/>
            <w:tcBorders>
              <w:top w:val="nil"/>
              <w:left w:val="single" w:sz="8" w:space="0" w:color="0077BD"/>
              <w:bottom w:val="single" w:sz="4" w:space="0" w:color="0077BD"/>
              <w:right w:val="nil"/>
            </w:tcBorders>
            <w:shd w:val="clear" w:color="auto" w:fill="auto"/>
            <w:noWrap/>
            <w:vAlign w:val="center"/>
          </w:tcPr>
          <w:p w14:paraId="231A3EC8" w14:textId="378492D2" w:rsidR="00843363" w:rsidRPr="00E07F9D" w:rsidRDefault="00843363" w:rsidP="00843363">
            <w:pPr>
              <w:jc w:val="right"/>
              <w:rPr>
                <w:rFonts w:cs="Arial"/>
                <w:color w:val="000000" w:themeColor="text1"/>
                <w:sz w:val="13"/>
                <w:szCs w:val="13"/>
              </w:rPr>
            </w:pPr>
            <w:r w:rsidRPr="00E07F9D">
              <w:rPr>
                <w:rFonts w:cs="Arial"/>
                <w:color w:val="000000" w:themeColor="text1"/>
                <w:sz w:val="13"/>
                <w:szCs w:val="13"/>
              </w:rPr>
              <w:t>(740 035)</w:t>
            </w:r>
          </w:p>
        </w:tc>
        <w:tc>
          <w:tcPr>
            <w:tcW w:w="1418" w:type="dxa"/>
            <w:tcBorders>
              <w:top w:val="nil"/>
              <w:left w:val="single" w:sz="8" w:space="0" w:color="0077BD"/>
              <w:bottom w:val="single" w:sz="4" w:space="0" w:color="0077BD"/>
              <w:right w:val="nil"/>
            </w:tcBorders>
            <w:shd w:val="clear" w:color="auto" w:fill="auto"/>
            <w:noWrap/>
            <w:vAlign w:val="center"/>
            <w:hideMark/>
          </w:tcPr>
          <w:p w14:paraId="40E744A4" w14:textId="5B8680B8" w:rsidR="00843363" w:rsidRPr="00E07F9D" w:rsidRDefault="00843363" w:rsidP="00843363">
            <w:pPr>
              <w:jc w:val="right"/>
              <w:rPr>
                <w:rFonts w:cs="Arial"/>
                <w:color w:val="000000" w:themeColor="text1"/>
                <w:sz w:val="13"/>
                <w:szCs w:val="13"/>
              </w:rPr>
            </w:pPr>
            <w:r w:rsidRPr="00E07F9D">
              <w:rPr>
                <w:rFonts w:cs="Arial"/>
                <w:color w:val="000000" w:themeColor="text1"/>
                <w:sz w:val="13"/>
                <w:szCs w:val="13"/>
              </w:rPr>
              <w:t>(654 476)</w:t>
            </w:r>
          </w:p>
        </w:tc>
      </w:tr>
      <w:tr w:rsidR="009579F9" w:rsidRPr="00C11F75" w14:paraId="4F6F5CAB" w14:textId="77777777" w:rsidTr="00B1554A">
        <w:trPr>
          <w:trHeight w:val="255"/>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72AC2E8F"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Wynik z tytułu opłat i prowizji</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52832859" w14:textId="74015CE0"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964 602</w:t>
            </w:r>
          </w:p>
        </w:tc>
        <w:tc>
          <w:tcPr>
            <w:tcW w:w="1418" w:type="dxa"/>
            <w:tcBorders>
              <w:top w:val="single" w:sz="8" w:space="0" w:color="0077BD"/>
              <w:left w:val="nil"/>
              <w:bottom w:val="single" w:sz="8" w:space="0" w:color="0077BD"/>
              <w:right w:val="nil"/>
            </w:tcBorders>
            <w:shd w:val="clear" w:color="auto" w:fill="auto"/>
            <w:noWrap/>
            <w:vAlign w:val="center"/>
            <w:hideMark/>
          </w:tcPr>
          <w:p w14:paraId="0CAFCD9B" w14:textId="77777777"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975 865</w:t>
            </w:r>
          </w:p>
        </w:tc>
      </w:tr>
      <w:tr w:rsidR="009579F9" w:rsidRPr="00C11F75" w14:paraId="637644B8" w14:textId="77777777" w:rsidTr="00B1554A">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7E42F026"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Przychody z tytułu dywidend</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6903CE73" w14:textId="7354EE5D"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22 673</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5213FA4D"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3 558</w:t>
            </w:r>
          </w:p>
        </w:tc>
      </w:tr>
      <w:tr w:rsidR="009579F9" w:rsidRPr="00C11F75" w14:paraId="2C8457F1"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B374480"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Wynik na działalności handlowej, w tym:</w:t>
            </w:r>
          </w:p>
        </w:tc>
        <w:tc>
          <w:tcPr>
            <w:tcW w:w="1418" w:type="dxa"/>
            <w:tcBorders>
              <w:top w:val="nil"/>
              <w:left w:val="single" w:sz="8" w:space="0" w:color="0077BD"/>
              <w:bottom w:val="single" w:sz="4" w:space="0" w:color="0077BD"/>
              <w:right w:val="nil"/>
            </w:tcBorders>
            <w:shd w:val="clear" w:color="auto" w:fill="auto"/>
            <w:noWrap/>
            <w:vAlign w:val="center"/>
          </w:tcPr>
          <w:p w14:paraId="224BAD6E" w14:textId="1C4962B1"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440 530</w:t>
            </w:r>
          </w:p>
        </w:tc>
        <w:tc>
          <w:tcPr>
            <w:tcW w:w="1418" w:type="dxa"/>
            <w:tcBorders>
              <w:top w:val="nil"/>
              <w:left w:val="single" w:sz="8" w:space="0" w:color="0077BD"/>
              <w:bottom w:val="single" w:sz="4" w:space="0" w:color="0077BD"/>
              <w:right w:val="nil"/>
            </w:tcBorders>
            <w:shd w:val="clear" w:color="auto" w:fill="auto"/>
            <w:noWrap/>
            <w:vAlign w:val="center"/>
            <w:hideMark/>
          </w:tcPr>
          <w:p w14:paraId="4C492103"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347 336</w:t>
            </w:r>
          </w:p>
        </w:tc>
      </w:tr>
      <w:tr w:rsidR="009579F9" w:rsidRPr="00C11F75" w14:paraId="0E50BE02"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C2E88F2" w14:textId="3A6CF931" w:rsidR="009579F9" w:rsidRPr="00E07F9D" w:rsidRDefault="009579F9" w:rsidP="008F07A6">
            <w:pPr>
              <w:ind w:left="115"/>
              <w:rPr>
                <w:rFonts w:cs="Arial"/>
                <w:i/>
                <w:iCs/>
                <w:color w:val="000000" w:themeColor="text1"/>
                <w:sz w:val="13"/>
                <w:szCs w:val="13"/>
              </w:rPr>
            </w:pPr>
            <w:r w:rsidRPr="00E07F9D">
              <w:rPr>
                <w:rFonts w:cs="Arial"/>
                <w:i/>
                <w:iCs/>
                <w:color w:val="000000" w:themeColor="text1"/>
                <w:sz w:val="13"/>
                <w:szCs w:val="13"/>
              </w:rPr>
              <w:t>Wynik z pozycji wymiany</w:t>
            </w:r>
          </w:p>
        </w:tc>
        <w:tc>
          <w:tcPr>
            <w:tcW w:w="1418" w:type="dxa"/>
            <w:tcBorders>
              <w:top w:val="nil"/>
              <w:left w:val="single" w:sz="8" w:space="0" w:color="0077BD"/>
              <w:bottom w:val="single" w:sz="4" w:space="0" w:color="0077BD"/>
              <w:right w:val="nil"/>
            </w:tcBorders>
            <w:shd w:val="clear" w:color="auto" w:fill="auto"/>
            <w:noWrap/>
            <w:vAlign w:val="center"/>
          </w:tcPr>
          <w:p w14:paraId="5048A84B" w14:textId="465BF259"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381 547</w:t>
            </w:r>
          </w:p>
        </w:tc>
        <w:tc>
          <w:tcPr>
            <w:tcW w:w="1418" w:type="dxa"/>
            <w:tcBorders>
              <w:top w:val="nil"/>
              <w:left w:val="single" w:sz="8" w:space="0" w:color="0077BD"/>
              <w:bottom w:val="single" w:sz="4" w:space="0" w:color="0077BD"/>
              <w:right w:val="nil"/>
            </w:tcBorders>
            <w:shd w:val="clear" w:color="auto" w:fill="auto"/>
            <w:noWrap/>
            <w:vAlign w:val="center"/>
            <w:hideMark/>
          </w:tcPr>
          <w:p w14:paraId="0E6D332B" w14:textId="77777777"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323 472</w:t>
            </w:r>
          </w:p>
        </w:tc>
      </w:tr>
      <w:tr w:rsidR="009579F9" w:rsidRPr="00C11F75" w14:paraId="5D37EF5F"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A960DD8" w14:textId="4B88A549" w:rsidR="009579F9" w:rsidRPr="00E07F9D" w:rsidRDefault="009579F9" w:rsidP="008F07A6">
            <w:pPr>
              <w:ind w:left="115"/>
              <w:rPr>
                <w:rFonts w:cs="Arial"/>
                <w:i/>
                <w:iCs/>
                <w:color w:val="000000" w:themeColor="text1"/>
                <w:sz w:val="13"/>
                <w:szCs w:val="13"/>
              </w:rPr>
            </w:pPr>
            <w:r w:rsidRPr="00E07F9D">
              <w:rPr>
                <w:rFonts w:cs="Arial"/>
                <w:i/>
                <w:iCs/>
                <w:color w:val="000000" w:themeColor="text1"/>
                <w:sz w:val="13"/>
                <w:szCs w:val="13"/>
              </w:rPr>
              <w:t>Zyski lub straty z tytułu aktywów finansowych przeznaczonych do obrotu</w:t>
            </w:r>
          </w:p>
        </w:tc>
        <w:tc>
          <w:tcPr>
            <w:tcW w:w="1418" w:type="dxa"/>
            <w:tcBorders>
              <w:top w:val="nil"/>
              <w:left w:val="single" w:sz="8" w:space="0" w:color="0077BD"/>
              <w:bottom w:val="single" w:sz="4" w:space="0" w:color="0077BD"/>
              <w:right w:val="nil"/>
            </w:tcBorders>
            <w:shd w:val="clear" w:color="auto" w:fill="auto"/>
            <w:noWrap/>
            <w:vAlign w:val="center"/>
          </w:tcPr>
          <w:p w14:paraId="799DFD5E" w14:textId="506D1633"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50 788</w:t>
            </w:r>
          </w:p>
        </w:tc>
        <w:tc>
          <w:tcPr>
            <w:tcW w:w="1418" w:type="dxa"/>
            <w:tcBorders>
              <w:top w:val="nil"/>
              <w:left w:val="single" w:sz="8" w:space="0" w:color="0077BD"/>
              <w:bottom w:val="single" w:sz="4" w:space="0" w:color="0077BD"/>
              <w:right w:val="nil"/>
            </w:tcBorders>
            <w:shd w:val="clear" w:color="auto" w:fill="auto"/>
            <w:noWrap/>
            <w:vAlign w:val="center"/>
            <w:hideMark/>
          </w:tcPr>
          <w:p w14:paraId="3D0E008D" w14:textId="77777777"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30 571</w:t>
            </w:r>
          </w:p>
        </w:tc>
      </w:tr>
      <w:tr w:rsidR="009579F9" w:rsidRPr="00C11F75" w14:paraId="21087933"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5E6FAA9" w14:textId="24738BA1" w:rsidR="009579F9" w:rsidRPr="00E07F9D" w:rsidRDefault="009579F9" w:rsidP="008F07A6">
            <w:pPr>
              <w:ind w:left="115"/>
              <w:rPr>
                <w:rFonts w:cs="Arial"/>
                <w:i/>
                <w:iCs/>
                <w:color w:val="000000" w:themeColor="text1"/>
                <w:sz w:val="13"/>
                <w:szCs w:val="13"/>
              </w:rPr>
            </w:pPr>
            <w:r w:rsidRPr="00E07F9D">
              <w:rPr>
                <w:rFonts w:cs="Arial"/>
                <w:i/>
                <w:iCs/>
                <w:color w:val="000000" w:themeColor="text1"/>
                <w:sz w:val="13"/>
                <w:szCs w:val="13"/>
              </w:rPr>
              <w:t>Zyski lub straty z tytułu rachunkowości zabezpieczeń</w:t>
            </w:r>
          </w:p>
        </w:tc>
        <w:tc>
          <w:tcPr>
            <w:tcW w:w="1418" w:type="dxa"/>
            <w:tcBorders>
              <w:top w:val="nil"/>
              <w:left w:val="single" w:sz="8" w:space="0" w:color="0077BD"/>
              <w:bottom w:val="single" w:sz="4" w:space="0" w:color="0077BD"/>
              <w:right w:val="nil"/>
            </w:tcBorders>
            <w:shd w:val="clear" w:color="auto" w:fill="auto"/>
            <w:noWrap/>
            <w:vAlign w:val="center"/>
          </w:tcPr>
          <w:p w14:paraId="492AF57E" w14:textId="03F98284"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8 195</w:t>
            </w:r>
          </w:p>
        </w:tc>
        <w:tc>
          <w:tcPr>
            <w:tcW w:w="1418" w:type="dxa"/>
            <w:tcBorders>
              <w:top w:val="nil"/>
              <w:left w:val="single" w:sz="8" w:space="0" w:color="0077BD"/>
              <w:bottom w:val="single" w:sz="4" w:space="0" w:color="0077BD"/>
              <w:right w:val="nil"/>
            </w:tcBorders>
            <w:shd w:val="clear" w:color="auto" w:fill="auto"/>
            <w:noWrap/>
            <w:vAlign w:val="center"/>
            <w:hideMark/>
          </w:tcPr>
          <w:p w14:paraId="1018C349" w14:textId="77777777"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(6 707)</w:t>
            </w:r>
          </w:p>
        </w:tc>
      </w:tr>
      <w:tr w:rsidR="0085610C" w:rsidRPr="00C11F75" w14:paraId="2A092107" w14:textId="77777777" w:rsidTr="00B1554A">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5D1E5D69" w14:textId="77777777" w:rsidR="00093EE6" w:rsidRPr="00E07F9D" w:rsidRDefault="00093EE6" w:rsidP="00093EE6">
            <w:pPr>
              <w:rPr>
                <w:rFonts w:cs="Arial"/>
                <w:color w:val="000000" w:themeColor="text1"/>
                <w:sz w:val="13"/>
                <w:szCs w:val="13"/>
              </w:rPr>
            </w:pPr>
            <w:r w:rsidRPr="00E07F9D">
              <w:rPr>
                <w:rFonts w:cs="Arial"/>
                <w:color w:val="000000" w:themeColor="text1"/>
                <w:sz w:val="13"/>
                <w:szCs w:val="13"/>
              </w:rPr>
              <w:t>Zyski lub straty z tytułu aktywów finansowych nieprzeznaczonych do obrotu obowiązkowo wycenianych w wartości godziwej przez wynik finansowy</w:t>
            </w:r>
          </w:p>
        </w:tc>
        <w:tc>
          <w:tcPr>
            <w:tcW w:w="1418" w:type="dxa"/>
            <w:tcBorders>
              <w:top w:val="nil"/>
              <w:left w:val="nil"/>
              <w:bottom w:val="single" w:sz="4" w:space="0" w:color="0077BD"/>
              <w:right w:val="nil"/>
            </w:tcBorders>
            <w:shd w:val="clear" w:color="auto" w:fill="auto"/>
            <w:noWrap/>
            <w:vAlign w:val="center"/>
          </w:tcPr>
          <w:p w14:paraId="70F274B6" w14:textId="1ABCB35C" w:rsidR="00093EE6" w:rsidRPr="00E07F9D" w:rsidRDefault="009579F9" w:rsidP="00093EE6">
            <w:pPr>
              <w:jc w:val="right"/>
              <w:rPr>
                <w:rFonts w:cs="Arial"/>
                <w:color w:val="000000" w:themeColor="text1"/>
                <w:sz w:val="13"/>
                <w:szCs w:val="13"/>
              </w:rPr>
            </w:pPr>
            <w:r w:rsidRPr="00E07F9D">
              <w:rPr>
                <w:rFonts w:cs="Arial"/>
                <w:color w:val="000000" w:themeColor="text1"/>
                <w:sz w:val="13"/>
                <w:szCs w:val="13"/>
              </w:rPr>
              <w:t>69 259</w:t>
            </w:r>
          </w:p>
        </w:tc>
        <w:tc>
          <w:tcPr>
            <w:tcW w:w="1418" w:type="dxa"/>
            <w:tcBorders>
              <w:top w:val="nil"/>
              <w:left w:val="single" w:sz="8" w:space="0" w:color="0077BD"/>
              <w:bottom w:val="single" w:sz="4" w:space="0" w:color="0077BD"/>
              <w:right w:val="nil"/>
            </w:tcBorders>
            <w:shd w:val="clear" w:color="auto" w:fill="auto"/>
            <w:noWrap/>
            <w:vAlign w:val="center"/>
            <w:hideMark/>
          </w:tcPr>
          <w:p w14:paraId="207455B7" w14:textId="77777777" w:rsidR="00093EE6" w:rsidRPr="00E07F9D" w:rsidRDefault="00093EE6" w:rsidP="00093EE6">
            <w:pPr>
              <w:jc w:val="right"/>
              <w:rPr>
                <w:rFonts w:cs="Arial"/>
                <w:color w:val="000000" w:themeColor="text1"/>
                <w:sz w:val="13"/>
                <w:szCs w:val="13"/>
              </w:rPr>
            </w:pPr>
            <w:r w:rsidRPr="00E07F9D">
              <w:rPr>
                <w:rFonts w:cs="Arial"/>
                <w:color w:val="000000" w:themeColor="text1"/>
                <w:sz w:val="13"/>
                <w:szCs w:val="13"/>
              </w:rPr>
              <w:t>(160 041)</w:t>
            </w:r>
          </w:p>
        </w:tc>
      </w:tr>
      <w:tr w:rsidR="009579F9" w:rsidRPr="00C11F75" w14:paraId="3718BBA6" w14:textId="77777777" w:rsidTr="00B1554A">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3B44D153"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Wynik na aktywach oraz zobowiązaniach finansowych niewycenianych w wartości godziwej przez wynik finansowy oraz inwestycjach w jednostki zależne i stowarzyszone, w tym: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A1F3771" w14:textId="65221ED0"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24 904</w:t>
            </w:r>
          </w:p>
        </w:tc>
        <w:tc>
          <w:tcPr>
            <w:tcW w:w="1418" w:type="dxa"/>
            <w:tcBorders>
              <w:top w:val="nil"/>
              <w:left w:val="single" w:sz="8" w:space="0" w:color="0077BD"/>
              <w:bottom w:val="single" w:sz="4" w:space="0" w:color="0077BD"/>
              <w:right w:val="nil"/>
            </w:tcBorders>
            <w:shd w:val="clear" w:color="auto" w:fill="auto"/>
            <w:noWrap/>
            <w:vAlign w:val="center"/>
            <w:hideMark/>
          </w:tcPr>
          <w:p w14:paraId="7A9EBF2B"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33 180</w:t>
            </w:r>
          </w:p>
        </w:tc>
      </w:tr>
      <w:tr w:rsidR="001B6A4D" w:rsidRPr="00C11F75" w14:paraId="354C982E" w14:textId="77777777" w:rsidTr="006B56E5">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4AE39FDA" w14:textId="77777777" w:rsidR="001B6A4D" w:rsidRPr="00E07F9D" w:rsidRDefault="001B6A4D" w:rsidP="001B6A4D">
            <w:pPr>
              <w:ind w:left="114"/>
              <w:rPr>
                <w:rFonts w:cs="Arial"/>
                <w:i/>
                <w:iCs/>
                <w:color w:val="000000" w:themeColor="text1"/>
                <w:sz w:val="13"/>
                <w:szCs w:val="13"/>
              </w:rPr>
            </w:pPr>
            <w:r w:rsidRPr="00E07F9D">
              <w:rPr>
                <w:rFonts w:cs="Arial"/>
                <w:i/>
                <w:iCs/>
                <w:color w:val="000000" w:themeColor="text1"/>
                <w:sz w:val="13"/>
                <w:szCs w:val="13"/>
              </w:rPr>
              <w:t>Wynik na dłużnych papierach wartościowych wycenianych w wartości godziwej przez pozostałe całkowite dochody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9785227" w14:textId="001A8AC9"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34 995</w:t>
            </w:r>
          </w:p>
        </w:tc>
        <w:tc>
          <w:tcPr>
            <w:tcW w:w="1418" w:type="dxa"/>
            <w:tcBorders>
              <w:top w:val="nil"/>
              <w:left w:val="single" w:sz="8" w:space="0" w:color="0077BD"/>
              <w:bottom w:val="single" w:sz="4" w:space="0" w:color="0077BD"/>
              <w:right w:val="nil"/>
            </w:tcBorders>
            <w:shd w:val="clear" w:color="auto" w:fill="auto"/>
            <w:noWrap/>
            <w:vAlign w:val="center"/>
            <w:hideMark/>
          </w:tcPr>
          <w:p w14:paraId="37F4617C" w14:textId="77777777"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16 465</w:t>
            </w:r>
          </w:p>
        </w:tc>
      </w:tr>
      <w:tr w:rsidR="001B6A4D" w:rsidRPr="00C11F75" w14:paraId="63B7B5F9"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676F726" w14:textId="77777777" w:rsidR="001B6A4D" w:rsidRPr="00E07F9D" w:rsidRDefault="001B6A4D" w:rsidP="001B6A4D">
            <w:pPr>
              <w:ind w:left="115"/>
              <w:rPr>
                <w:rFonts w:cs="Arial"/>
                <w:i/>
                <w:iCs/>
                <w:color w:val="000000" w:themeColor="text1"/>
                <w:sz w:val="13"/>
                <w:szCs w:val="13"/>
              </w:rPr>
            </w:pPr>
            <w:r w:rsidRPr="00E07F9D">
              <w:rPr>
                <w:rFonts w:cs="Arial"/>
                <w:i/>
                <w:iCs/>
                <w:color w:val="000000" w:themeColor="text1"/>
                <w:sz w:val="13"/>
                <w:szCs w:val="13"/>
              </w:rPr>
              <w:t>Wynik na inwestycjach w jednostki zależne i stowarzyszone</w:t>
            </w:r>
          </w:p>
        </w:tc>
        <w:tc>
          <w:tcPr>
            <w:tcW w:w="1418" w:type="dxa"/>
            <w:tcBorders>
              <w:top w:val="nil"/>
              <w:left w:val="single" w:sz="8" w:space="0" w:color="0077BD"/>
              <w:bottom w:val="single" w:sz="4" w:space="0" w:color="0077BD"/>
              <w:right w:val="nil"/>
            </w:tcBorders>
            <w:shd w:val="clear" w:color="auto" w:fill="auto"/>
            <w:noWrap/>
            <w:vAlign w:val="center"/>
          </w:tcPr>
          <w:p w14:paraId="2CF44FDD" w14:textId="79EB42C7"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(10 205)</w:t>
            </w:r>
          </w:p>
        </w:tc>
        <w:tc>
          <w:tcPr>
            <w:tcW w:w="1418" w:type="dxa"/>
            <w:tcBorders>
              <w:top w:val="nil"/>
              <w:left w:val="single" w:sz="8" w:space="0" w:color="0077BD"/>
              <w:bottom w:val="single" w:sz="4" w:space="0" w:color="0077BD"/>
              <w:right w:val="nil"/>
            </w:tcBorders>
            <w:shd w:val="clear" w:color="auto" w:fill="auto"/>
            <w:noWrap/>
            <w:vAlign w:val="center"/>
            <w:hideMark/>
          </w:tcPr>
          <w:p w14:paraId="33A889B5" w14:textId="77777777" w:rsidR="001B6A4D" w:rsidRPr="00E07F9D" w:rsidRDefault="001B6A4D" w:rsidP="001B6A4D">
            <w:pPr>
              <w:jc w:val="right"/>
              <w:rPr>
                <w:rFonts w:cs="Arial"/>
                <w:i/>
                <w:iCs/>
                <w:color w:val="000000" w:themeColor="text1"/>
                <w:sz w:val="13"/>
                <w:szCs w:val="13"/>
              </w:rPr>
            </w:pPr>
            <w:r w:rsidRPr="00E07F9D">
              <w:rPr>
                <w:rFonts w:cs="Arial"/>
                <w:i/>
                <w:iCs/>
                <w:color w:val="000000" w:themeColor="text1"/>
                <w:sz w:val="13"/>
                <w:szCs w:val="13"/>
              </w:rPr>
              <w:t>14 651</w:t>
            </w:r>
          </w:p>
        </w:tc>
      </w:tr>
      <w:tr w:rsidR="009579F9" w:rsidRPr="00C11F75" w14:paraId="5BC5515B"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9CD0DC4" w14:textId="77777777" w:rsidR="009579F9" w:rsidRPr="00E07F9D" w:rsidRDefault="009579F9" w:rsidP="008F07A6">
            <w:pPr>
              <w:ind w:left="115"/>
              <w:rPr>
                <w:rFonts w:cs="Arial"/>
                <w:i/>
                <w:iCs/>
                <w:color w:val="000000" w:themeColor="text1"/>
                <w:sz w:val="13"/>
                <w:szCs w:val="13"/>
              </w:rPr>
            </w:pPr>
            <w:r w:rsidRPr="00E07F9D">
              <w:rPr>
                <w:rFonts w:cs="Arial"/>
                <w:i/>
                <w:iCs/>
                <w:color w:val="000000" w:themeColor="text1"/>
                <w:sz w:val="13"/>
                <w:szCs w:val="13"/>
              </w:rPr>
              <w:t>Wynik z tytułu usunięcia z bilansu</w:t>
            </w:r>
          </w:p>
        </w:tc>
        <w:tc>
          <w:tcPr>
            <w:tcW w:w="1418" w:type="dxa"/>
            <w:tcBorders>
              <w:top w:val="nil"/>
              <w:left w:val="single" w:sz="8" w:space="0" w:color="0077BD"/>
              <w:bottom w:val="single" w:sz="4" w:space="0" w:color="0077BD"/>
              <w:right w:val="nil"/>
            </w:tcBorders>
            <w:shd w:val="clear" w:color="auto" w:fill="auto"/>
            <w:noWrap/>
            <w:vAlign w:val="center"/>
          </w:tcPr>
          <w:p w14:paraId="6A95D8CA" w14:textId="32845C95"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114</w:t>
            </w:r>
          </w:p>
        </w:tc>
        <w:tc>
          <w:tcPr>
            <w:tcW w:w="1418" w:type="dxa"/>
            <w:tcBorders>
              <w:top w:val="nil"/>
              <w:left w:val="single" w:sz="8" w:space="0" w:color="0077BD"/>
              <w:bottom w:val="single" w:sz="4" w:space="0" w:color="0077BD"/>
              <w:right w:val="nil"/>
            </w:tcBorders>
            <w:shd w:val="clear" w:color="auto" w:fill="auto"/>
            <w:noWrap/>
            <w:vAlign w:val="center"/>
            <w:hideMark/>
          </w:tcPr>
          <w:p w14:paraId="11AAAD41" w14:textId="77777777" w:rsidR="009579F9" w:rsidRPr="00E07F9D" w:rsidRDefault="009579F9" w:rsidP="009579F9">
            <w:pPr>
              <w:jc w:val="right"/>
              <w:rPr>
                <w:rFonts w:cs="Arial"/>
                <w:i/>
                <w:iCs/>
                <w:color w:val="000000" w:themeColor="text1"/>
                <w:sz w:val="13"/>
                <w:szCs w:val="13"/>
              </w:rPr>
            </w:pPr>
            <w:r w:rsidRPr="00E07F9D">
              <w:rPr>
                <w:rFonts w:cs="Arial"/>
                <w:i/>
                <w:iCs/>
                <w:color w:val="000000" w:themeColor="text1"/>
                <w:sz w:val="13"/>
                <w:szCs w:val="13"/>
              </w:rPr>
              <w:t>2 064</w:t>
            </w:r>
          </w:p>
        </w:tc>
      </w:tr>
      <w:tr w:rsidR="009579F9" w:rsidRPr="00C11F75" w14:paraId="61D3D747"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6CBCA39"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Pozostałe przychody operacyjne</w:t>
            </w:r>
          </w:p>
        </w:tc>
        <w:tc>
          <w:tcPr>
            <w:tcW w:w="1418" w:type="dxa"/>
            <w:tcBorders>
              <w:top w:val="nil"/>
              <w:left w:val="single" w:sz="8" w:space="0" w:color="0077BD"/>
              <w:bottom w:val="single" w:sz="4" w:space="0" w:color="0077BD"/>
              <w:right w:val="nil"/>
            </w:tcBorders>
            <w:shd w:val="clear" w:color="auto" w:fill="auto"/>
            <w:noWrap/>
            <w:vAlign w:val="center"/>
          </w:tcPr>
          <w:p w14:paraId="6319C379" w14:textId="7A8E58F9" w:rsidR="009579F9" w:rsidRPr="00E07F9D" w:rsidRDefault="00E55E57" w:rsidP="00E55E57">
            <w:pPr>
              <w:jc w:val="right"/>
              <w:rPr>
                <w:rFonts w:cs="Arial"/>
                <w:color w:val="000000" w:themeColor="text1"/>
                <w:sz w:val="13"/>
                <w:szCs w:val="13"/>
              </w:rPr>
            </w:pPr>
            <w:r w:rsidRPr="00E07F9D">
              <w:rPr>
                <w:rFonts w:cs="Arial"/>
                <w:color w:val="000000" w:themeColor="text1"/>
                <w:sz w:val="13"/>
                <w:szCs w:val="13"/>
              </w:rPr>
              <w:t>176</w:t>
            </w:r>
            <w:r w:rsidR="009579F9" w:rsidRPr="00E07F9D">
              <w:rPr>
                <w:rFonts w:cs="Arial"/>
                <w:color w:val="000000" w:themeColor="text1"/>
                <w:sz w:val="13"/>
                <w:szCs w:val="13"/>
              </w:rPr>
              <w:t xml:space="preserve"> </w:t>
            </w:r>
            <w:r w:rsidRPr="00E07F9D">
              <w:rPr>
                <w:rFonts w:cs="Arial"/>
                <w:color w:val="000000" w:themeColor="text1"/>
                <w:sz w:val="13"/>
                <w:szCs w:val="13"/>
              </w:rPr>
              <w:t>787</w:t>
            </w:r>
          </w:p>
        </w:tc>
        <w:tc>
          <w:tcPr>
            <w:tcW w:w="1418" w:type="dxa"/>
            <w:tcBorders>
              <w:top w:val="nil"/>
              <w:left w:val="single" w:sz="8" w:space="0" w:color="0077BD"/>
              <w:bottom w:val="single" w:sz="4" w:space="0" w:color="0077BD"/>
              <w:right w:val="nil"/>
            </w:tcBorders>
            <w:shd w:val="clear" w:color="auto" w:fill="auto"/>
            <w:noWrap/>
            <w:vAlign w:val="center"/>
            <w:hideMark/>
          </w:tcPr>
          <w:p w14:paraId="6E6CDFD5" w14:textId="6C0A8D2A" w:rsidR="009579F9" w:rsidRPr="00E07F9D" w:rsidRDefault="009579F9" w:rsidP="00E55E57">
            <w:pPr>
              <w:jc w:val="right"/>
              <w:rPr>
                <w:rFonts w:cs="Arial"/>
                <w:color w:val="000000" w:themeColor="text1"/>
                <w:sz w:val="13"/>
                <w:szCs w:val="13"/>
              </w:rPr>
            </w:pPr>
            <w:r w:rsidRPr="00E07F9D">
              <w:rPr>
                <w:rFonts w:cs="Arial"/>
                <w:color w:val="000000" w:themeColor="text1"/>
                <w:sz w:val="13"/>
                <w:szCs w:val="13"/>
              </w:rPr>
              <w:t>3</w:t>
            </w:r>
            <w:r w:rsidR="00E55E57" w:rsidRPr="00E07F9D">
              <w:rPr>
                <w:rFonts w:cs="Arial"/>
                <w:color w:val="000000" w:themeColor="text1"/>
                <w:sz w:val="13"/>
                <w:szCs w:val="13"/>
              </w:rPr>
              <w:t>84</w:t>
            </w:r>
            <w:r w:rsidRPr="00E07F9D">
              <w:rPr>
                <w:rFonts w:cs="Arial"/>
                <w:color w:val="000000" w:themeColor="text1"/>
                <w:sz w:val="13"/>
                <w:szCs w:val="13"/>
              </w:rPr>
              <w:t xml:space="preserve"> </w:t>
            </w:r>
            <w:r w:rsidR="00E55E57" w:rsidRPr="00E07F9D">
              <w:rPr>
                <w:rFonts w:cs="Arial"/>
                <w:color w:val="000000" w:themeColor="text1"/>
                <w:sz w:val="13"/>
                <w:szCs w:val="13"/>
              </w:rPr>
              <w:t>189</w:t>
            </w:r>
          </w:p>
        </w:tc>
      </w:tr>
      <w:tr w:rsidR="009579F9" w:rsidRPr="00C11F75" w14:paraId="4B126596" w14:textId="77777777" w:rsidTr="00B1554A">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16F6A406"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Utrata wartości lub odwrócenie utraty wartości z tytułu aktywów finansowych niewycenianych w wartości godziwej przez wynik finansowy</w:t>
            </w:r>
          </w:p>
        </w:tc>
        <w:tc>
          <w:tcPr>
            <w:tcW w:w="1418" w:type="dxa"/>
            <w:tcBorders>
              <w:top w:val="nil"/>
              <w:left w:val="single" w:sz="8" w:space="0" w:color="0077BD"/>
              <w:bottom w:val="single" w:sz="4" w:space="0" w:color="0077BD"/>
              <w:right w:val="nil"/>
            </w:tcBorders>
            <w:shd w:val="clear" w:color="auto" w:fill="auto"/>
            <w:noWrap/>
            <w:vAlign w:val="center"/>
          </w:tcPr>
          <w:p w14:paraId="0EFF3CDF" w14:textId="1E0F6374"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(712 337)</w:t>
            </w:r>
          </w:p>
        </w:tc>
        <w:tc>
          <w:tcPr>
            <w:tcW w:w="1418" w:type="dxa"/>
            <w:tcBorders>
              <w:top w:val="nil"/>
              <w:left w:val="single" w:sz="8" w:space="0" w:color="0077BD"/>
              <w:bottom w:val="single" w:sz="4" w:space="0" w:color="0077BD"/>
              <w:right w:val="nil"/>
            </w:tcBorders>
            <w:shd w:val="clear" w:color="auto" w:fill="auto"/>
            <w:noWrap/>
            <w:vAlign w:val="center"/>
            <w:hideMark/>
          </w:tcPr>
          <w:p w14:paraId="70CEDD73"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(527 573)</w:t>
            </w:r>
          </w:p>
        </w:tc>
      </w:tr>
      <w:tr w:rsidR="009579F9" w:rsidRPr="00C11F75" w14:paraId="04AF1CE7" w14:textId="77777777" w:rsidTr="00E55E57">
        <w:trPr>
          <w:trHeight w:val="255"/>
        </w:trPr>
        <w:tc>
          <w:tcPr>
            <w:tcW w:w="6747" w:type="dxa"/>
            <w:tcBorders>
              <w:top w:val="nil"/>
              <w:left w:val="nil"/>
              <w:bottom w:val="single" w:sz="4" w:space="0" w:color="0077BD"/>
              <w:right w:val="single" w:sz="8" w:space="0" w:color="0077BD"/>
            </w:tcBorders>
            <w:shd w:val="clear" w:color="auto" w:fill="auto"/>
            <w:vAlign w:val="center"/>
          </w:tcPr>
          <w:p w14:paraId="0C8DCE46" w14:textId="2DD62EAF" w:rsidR="009579F9" w:rsidRPr="00E07F9D" w:rsidRDefault="009579F9" w:rsidP="00093EE6">
            <w:pPr>
              <w:rPr>
                <w:rFonts w:cs="Arial"/>
                <w:color w:val="000000" w:themeColor="text1"/>
                <w:sz w:val="13"/>
                <w:szCs w:val="13"/>
              </w:rPr>
            </w:pPr>
            <w:r w:rsidRPr="00E07F9D">
              <w:rPr>
                <w:rFonts w:cs="Arial"/>
                <w:color w:val="000000" w:themeColor="text1"/>
                <w:sz w:val="13"/>
                <w:szCs w:val="13"/>
              </w:rPr>
              <w:t>Wynik z tytułu rezerw na ryzyko prawne związane z kredytami walutowymi</w:t>
            </w:r>
          </w:p>
        </w:tc>
        <w:tc>
          <w:tcPr>
            <w:tcW w:w="1418" w:type="dxa"/>
            <w:tcBorders>
              <w:top w:val="nil"/>
              <w:left w:val="nil"/>
              <w:bottom w:val="single" w:sz="4" w:space="0" w:color="0077BD"/>
              <w:right w:val="nil"/>
            </w:tcBorders>
            <w:shd w:val="clear" w:color="auto" w:fill="auto"/>
            <w:noWrap/>
            <w:vAlign w:val="center"/>
          </w:tcPr>
          <w:p w14:paraId="372F18D0" w14:textId="5AB9A386" w:rsidR="009579F9" w:rsidRPr="00E07F9D" w:rsidRDefault="00801BFA" w:rsidP="00093EE6">
            <w:pPr>
              <w:jc w:val="right"/>
              <w:rPr>
                <w:rFonts w:cs="Arial"/>
                <w:color w:val="000000" w:themeColor="text1"/>
                <w:sz w:val="13"/>
                <w:szCs w:val="13"/>
              </w:rPr>
            </w:pPr>
            <w:r w:rsidRPr="00E07F9D">
              <w:rPr>
                <w:rFonts w:cs="Arial"/>
                <w:color w:val="000000" w:themeColor="text1"/>
                <w:sz w:val="13"/>
                <w:szCs w:val="13"/>
              </w:rPr>
              <w:t>(387 786)</w:t>
            </w:r>
          </w:p>
        </w:tc>
        <w:tc>
          <w:tcPr>
            <w:tcW w:w="1418" w:type="dxa"/>
            <w:tcBorders>
              <w:top w:val="nil"/>
              <w:left w:val="single" w:sz="8" w:space="0" w:color="0077BD"/>
              <w:bottom w:val="single" w:sz="4" w:space="0" w:color="0077BD"/>
              <w:right w:val="nil"/>
            </w:tcBorders>
            <w:shd w:val="clear" w:color="auto" w:fill="auto"/>
            <w:noWrap/>
            <w:vAlign w:val="center"/>
          </w:tcPr>
          <w:p w14:paraId="24D7C50C" w14:textId="03ADF115" w:rsidR="009579F9" w:rsidRPr="00E07F9D" w:rsidRDefault="00801BFA" w:rsidP="00093EE6">
            <w:pPr>
              <w:jc w:val="right"/>
              <w:rPr>
                <w:rFonts w:cs="Arial"/>
                <w:color w:val="000000" w:themeColor="text1"/>
                <w:sz w:val="13"/>
                <w:szCs w:val="13"/>
              </w:rPr>
            </w:pPr>
            <w:r w:rsidRPr="00E07F9D">
              <w:rPr>
                <w:rFonts w:cs="Arial"/>
                <w:color w:val="000000" w:themeColor="text1"/>
                <w:sz w:val="13"/>
                <w:szCs w:val="13"/>
              </w:rPr>
              <w:t>(20 349)</w:t>
            </w:r>
          </w:p>
        </w:tc>
      </w:tr>
      <w:tr w:rsidR="009579F9" w:rsidRPr="00C11F75" w14:paraId="29935D02"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BCFF90C"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Ogólne koszty administracyjne</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491F4C3" w14:textId="581F9FE6"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(1 952 630)</w:t>
            </w:r>
          </w:p>
        </w:tc>
        <w:tc>
          <w:tcPr>
            <w:tcW w:w="1418" w:type="dxa"/>
            <w:tcBorders>
              <w:top w:val="nil"/>
              <w:left w:val="single" w:sz="8" w:space="0" w:color="0077BD"/>
              <w:bottom w:val="single" w:sz="4" w:space="0" w:color="0077BD"/>
              <w:right w:val="nil"/>
            </w:tcBorders>
            <w:shd w:val="clear" w:color="auto" w:fill="auto"/>
            <w:noWrap/>
            <w:vAlign w:val="center"/>
            <w:hideMark/>
          </w:tcPr>
          <w:p w14:paraId="3E67A78B"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(1 909 214)</w:t>
            </w:r>
          </w:p>
        </w:tc>
      </w:tr>
      <w:tr w:rsidR="009579F9" w:rsidRPr="00C11F75" w14:paraId="051B10FE" w14:textId="77777777" w:rsidTr="00B1554A">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563E394"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Amortyzacja</w:t>
            </w:r>
          </w:p>
        </w:tc>
        <w:tc>
          <w:tcPr>
            <w:tcW w:w="1418" w:type="dxa"/>
            <w:tcBorders>
              <w:top w:val="nil"/>
              <w:left w:val="single" w:sz="8" w:space="0" w:color="0077BD"/>
              <w:bottom w:val="single" w:sz="4" w:space="0" w:color="0077BD"/>
              <w:right w:val="nil"/>
            </w:tcBorders>
            <w:shd w:val="clear" w:color="auto" w:fill="auto"/>
            <w:noWrap/>
            <w:vAlign w:val="center"/>
          </w:tcPr>
          <w:p w14:paraId="341E740A" w14:textId="504629AC"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(375 498)</w:t>
            </w:r>
          </w:p>
        </w:tc>
        <w:tc>
          <w:tcPr>
            <w:tcW w:w="1418" w:type="dxa"/>
            <w:tcBorders>
              <w:top w:val="nil"/>
              <w:left w:val="single" w:sz="8" w:space="0" w:color="0077BD"/>
              <w:bottom w:val="single" w:sz="4" w:space="0" w:color="0077BD"/>
              <w:right w:val="nil"/>
            </w:tcBorders>
            <w:shd w:val="clear" w:color="auto" w:fill="auto"/>
            <w:noWrap/>
            <w:vAlign w:val="center"/>
            <w:hideMark/>
          </w:tcPr>
          <w:p w14:paraId="0F568438"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(252 589)</w:t>
            </w:r>
          </w:p>
        </w:tc>
      </w:tr>
      <w:tr w:rsidR="009579F9" w:rsidRPr="00C11F75" w14:paraId="04005517" w14:textId="77777777" w:rsidTr="00D621CF">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5ABAA4F"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Pozostałe koszty operacyjne</w:t>
            </w:r>
          </w:p>
        </w:tc>
        <w:tc>
          <w:tcPr>
            <w:tcW w:w="1418" w:type="dxa"/>
            <w:tcBorders>
              <w:top w:val="single" w:sz="4" w:space="0" w:color="0077BD"/>
              <w:left w:val="single" w:sz="8" w:space="0" w:color="0077BD"/>
              <w:bottom w:val="single" w:sz="8" w:space="0" w:color="0077BD"/>
              <w:right w:val="nil"/>
            </w:tcBorders>
            <w:shd w:val="clear" w:color="auto" w:fill="auto"/>
            <w:noWrap/>
            <w:vAlign w:val="center"/>
          </w:tcPr>
          <w:p w14:paraId="65B17143" w14:textId="63C903BD" w:rsidR="009579F9" w:rsidRPr="00E07F9D" w:rsidRDefault="00E55E57" w:rsidP="00E55E57">
            <w:pPr>
              <w:jc w:val="right"/>
              <w:rPr>
                <w:rFonts w:cs="Arial"/>
                <w:color w:val="000000" w:themeColor="text1"/>
                <w:sz w:val="13"/>
                <w:szCs w:val="13"/>
              </w:rPr>
            </w:pPr>
            <w:r w:rsidRPr="00E07F9D">
              <w:rPr>
                <w:rFonts w:cs="Arial"/>
                <w:color w:val="000000" w:themeColor="text1"/>
                <w:sz w:val="13"/>
                <w:szCs w:val="13"/>
              </w:rPr>
              <w:t>(260</w:t>
            </w:r>
            <w:r w:rsidR="009579F9" w:rsidRPr="00E07F9D">
              <w:rPr>
                <w:rFonts w:cs="Arial"/>
                <w:color w:val="000000" w:themeColor="text1"/>
                <w:sz w:val="13"/>
                <w:szCs w:val="13"/>
              </w:rPr>
              <w:t xml:space="preserve"> </w:t>
            </w:r>
            <w:r w:rsidRPr="00E07F9D">
              <w:rPr>
                <w:rFonts w:cs="Arial"/>
                <w:color w:val="000000" w:themeColor="text1"/>
                <w:sz w:val="13"/>
                <w:szCs w:val="13"/>
              </w:rPr>
              <w:t>062</w:t>
            </w:r>
            <w:r w:rsidR="009579F9" w:rsidRPr="00E07F9D">
              <w:rPr>
                <w:rFonts w:cs="Arial"/>
                <w:color w:val="000000" w:themeColor="text1"/>
                <w:sz w:val="13"/>
                <w:szCs w:val="13"/>
              </w:rPr>
              <w:t>)</w:t>
            </w:r>
          </w:p>
        </w:tc>
        <w:tc>
          <w:tcPr>
            <w:tcW w:w="1418" w:type="dxa"/>
            <w:tcBorders>
              <w:top w:val="nil"/>
              <w:left w:val="single" w:sz="8" w:space="0" w:color="0077BD"/>
              <w:bottom w:val="single" w:sz="4" w:space="0" w:color="0077BD"/>
              <w:right w:val="nil"/>
            </w:tcBorders>
            <w:shd w:val="clear" w:color="auto" w:fill="auto"/>
            <w:noWrap/>
            <w:vAlign w:val="center"/>
            <w:hideMark/>
          </w:tcPr>
          <w:p w14:paraId="63530C00" w14:textId="20C5B5D4" w:rsidR="009579F9" w:rsidRPr="00E07F9D" w:rsidRDefault="009579F9" w:rsidP="00E55E57">
            <w:pPr>
              <w:jc w:val="right"/>
              <w:rPr>
                <w:rFonts w:cs="Arial"/>
                <w:color w:val="000000" w:themeColor="text1"/>
                <w:sz w:val="13"/>
                <w:szCs w:val="13"/>
              </w:rPr>
            </w:pPr>
            <w:r w:rsidRPr="00E07F9D">
              <w:rPr>
                <w:rFonts w:cs="Arial"/>
                <w:color w:val="000000" w:themeColor="text1"/>
                <w:sz w:val="13"/>
                <w:szCs w:val="13"/>
              </w:rPr>
              <w:t>(</w:t>
            </w:r>
            <w:r w:rsidR="00E55E57" w:rsidRPr="00E07F9D">
              <w:rPr>
                <w:rFonts w:cs="Arial"/>
                <w:color w:val="000000" w:themeColor="text1"/>
                <w:sz w:val="13"/>
                <w:szCs w:val="13"/>
              </w:rPr>
              <w:t>168</w:t>
            </w:r>
            <w:r w:rsidRPr="00E07F9D">
              <w:rPr>
                <w:rFonts w:cs="Arial"/>
                <w:color w:val="000000" w:themeColor="text1"/>
                <w:sz w:val="13"/>
                <w:szCs w:val="13"/>
              </w:rPr>
              <w:t xml:space="preserve"> </w:t>
            </w:r>
            <w:r w:rsidR="00E55E57" w:rsidRPr="00E07F9D">
              <w:rPr>
                <w:rFonts w:cs="Arial"/>
                <w:color w:val="000000" w:themeColor="text1"/>
                <w:sz w:val="13"/>
                <w:szCs w:val="13"/>
              </w:rPr>
              <w:t>825</w:t>
            </w:r>
            <w:r w:rsidRPr="00E07F9D">
              <w:rPr>
                <w:rFonts w:cs="Arial"/>
                <w:color w:val="000000" w:themeColor="text1"/>
                <w:sz w:val="13"/>
                <w:szCs w:val="13"/>
              </w:rPr>
              <w:t>)</w:t>
            </w:r>
          </w:p>
        </w:tc>
      </w:tr>
      <w:tr w:rsidR="009579F9" w:rsidRPr="00C11F75" w14:paraId="14889519" w14:textId="77777777" w:rsidTr="00D621CF">
        <w:trPr>
          <w:trHeight w:val="255"/>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1BCCF4DA"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Wynik działalności operacyjnej</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20DA0A17" w14:textId="10D2CF0F"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2 013 355</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67C1E55A" w14:textId="77777777"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2 202 074</w:t>
            </w:r>
          </w:p>
        </w:tc>
      </w:tr>
      <w:tr w:rsidR="009579F9" w:rsidRPr="00C11F75" w14:paraId="0FAB5A56" w14:textId="77777777" w:rsidTr="00D621CF">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6CCAD08"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Podatki od pozycji bilansowych Grupy</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0516FAA7" w14:textId="025E3ECE"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(458 658)</w:t>
            </w:r>
          </w:p>
        </w:tc>
        <w:tc>
          <w:tcPr>
            <w:tcW w:w="1418" w:type="dxa"/>
            <w:tcBorders>
              <w:top w:val="single" w:sz="8" w:space="0" w:color="0077BD"/>
              <w:left w:val="nil"/>
              <w:bottom w:val="single" w:sz="8" w:space="0" w:color="0077BD"/>
              <w:right w:val="nil"/>
            </w:tcBorders>
            <w:shd w:val="clear" w:color="auto" w:fill="auto"/>
            <w:noWrap/>
            <w:vAlign w:val="center"/>
            <w:hideMark/>
          </w:tcPr>
          <w:p w14:paraId="5D9A9DFA" w14:textId="1C7858FB" w:rsidR="009579F9" w:rsidRPr="00E07F9D" w:rsidRDefault="00817DF4" w:rsidP="00817DF4">
            <w:pPr>
              <w:jc w:val="right"/>
              <w:rPr>
                <w:rFonts w:cs="Arial"/>
                <w:color w:val="000000" w:themeColor="text1"/>
                <w:sz w:val="13"/>
                <w:szCs w:val="13"/>
              </w:rPr>
            </w:pPr>
            <w:r w:rsidRPr="00E07F9D">
              <w:rPr>
                <w:rFonts w:cs="Arial"/>
                <w:color w:val="000000" w:themeColor="text1"/>
                <w:sz w:val="13"/>
                <w:szCs w:val="13"/>
              </w:rPr>
              <w:t>(415</w:t>
            </w:r>
            <w:r w:rsidR="009579F9" w:rsidRPr="00E07F9D">
              <w:rPr>
                <w:rFonts w:cs="Arial"/>
                <w:color w:val="000000" w:themeColor="text1"/>
                <w:sz w:val="13"/>
                <w:szCs w:val="13"/>
              </w:rPr>
              <w:t xml:space="preserve"> </w:t>
            </w:r>
            <w:r w:rsidRPr="00E07F9D">
              <w:rPr>
                <w:rFonts w:cs="Arial"/>
                <w:color w:val="000000" w:themeColor="text1"/>
                <w:sz w:val="13"/>
                <w:szCs w:val="13"/>
              </w:rPr>
              <w:t>425</w:t>
            </w:r>
            <w:r w:rsidR="009579F9" w:rsidRPr="00E07F9D">
              <w:rPr>
                <w:rFonts w:cs="Arial"/>
                <w:color w:val="000000" w:themeColor="text1"/>
                <w:sz w:val="13"/>
                <w:szCs w:val="13"/>
              </w:rPr>
              <w:t>)</w:t>
            </w:r>
          </w:p>
        </w:tc>
      </w:tr>
      <w:tr w:rsidR="009579F9" w:rsidRPr="00C11F75" w14:paraId="48C03DC8" w14:textId="77777777" w:rsidTr="00D621CF">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1A4C6C9F"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Zysk brutto</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00EFDB38" w14:textId="23E4A0A9"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1 554 697</w:t>
            </w:r>
          </w:p>
        </w:tc>
        <w:tc>
          <w:tcPr>
            <w:tcW w:w="1418" w:type="dxa"/>
            <w:tcBorders>
              <w:top w:val="single" w:sz="8" w:space="0" w:color="0077BD"/>
              <w:left w:val="nil"/>
              <w:bottom w:val="single" w:sz="8" w:space="0" w:color="0077BD"/>
              <w:right w:val="nil"/>
            </w:tcBorders>
            <w:shd w:val="clear" w:color="auto" w:fill="auto"/>
            <w:noWrap/>
            <w:vAlign w:val="center"/>
            <w:hideMark/>
          </w:tcPr>
          <w:p w14:paraId="0CB9A374" w14:textId="1B180D1A" w:rsidR="009579F9" w:rsidRPr="00E07F9D" w:rsidRDefault="00817DF4" w:rsidP="00817DF4">
            <w:pPr>
              <w:jc w:val="right"/>
              <w:rPr>
                <w:rFonts w:cs="Arial"/>
                <w:b/>
                <w:bCs/>
                <w:color w:val="000000" w:themeColor="text1"/>
                <w:sz w:val="13"/>
                <w:szCs w:val="13"/>
              </w:rPr>
            </w:pPr>
            <w:r w:rsidRPr="00E07F9D">
              <w:rPr>
                <w:rFonts w:cs="Arial"/>
                <w:b/>
                <w:bCs/>
                <w:color w:val="000000" w:themeColor="text1"/>
                <w:sz w:val="13"/>
                <w:szCs w:val="13"/>
              </w:rPr>
              <w:t>1 786</w:t>
            </w:r>
            <w:r w:rsidR="009579F9" w:rsidRPr="00E07F9D">
              <w:rPr>
                <w:rFonts w:cs="Arial"/>
                <w:b/>
                <w:bCs/>
                <w:color w:val="000000" w:themeColor="text1"/>
                <w:sz w:val="13"/>
                <w:szCs w:val="13"/>
              </w:rPr>
              <w:t xml:space="preserve"> </w:t>
            </w:r>
            <w:r w:rsidRPr="00E07F9D">
              <w:rPr>
                <w:rFonts w:cs="Arial"/>
                <w:b/>
                <w:bCs/>
                <w:color w:val="000000" w:themeColor="text1"/>
                <w:sz w:val="13"/>
                <w:szCs w:val="13"/>
              </w:rPr>
              <w:t>649</w:t>
            </w:r>
          </w:p>
        </w:tc>
      </w:tr>
      <w:tr w:rsidR="009579F9" w:rsidRPr="00C11F75" w14:paraId="799EBCCE" w14:textId="77777777" w:rsidTr="00B1554A">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120F002E"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Podatek dochodowy</w:t>
            </w:r>
          </w:p>
        </w:tc>
        <w:tc>
          <w:tcPr>
            <w:tcW w:w="1418" w:type="dxa"/>
            <w:tcBorders>
              <w:top w:val="nil"/>
              <w:left w:val="nil"/>
              <w:bottom w:val="single" w:sz="8" w:space="0" w:color="0077BD"/>
              <w:right w:val="single" w:sz="8" w:space="0" w:color="0077BD"/>
            </w:tcBorders>
            <w:shd w:val="clear" w:color="auto" w:fill="auto"/>
            <w:noWrap/>
            <w:vAlign w:val="center"/>
          </w:tcPr>
          <w:p w14:paraId="6486B0B0" w14:textId="14F43B8E"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(544 445)</w:t>
            </w:r>
          </w:p>
        </w:tc>
        <w:tc>
          <w:tcPr>
            <w:tcW w:w="1418" w:type="dxa"/>
            <w:tcBorders>
              <w:top w:val="nil"/>
              <w:left w:val="nil"/>
              <w:bottom w:val="single" w:sz="8" w:space="0" w:color="0077BD"/>
              <w:right w:val="nil"/>
            </w:tcBorders>
            <w:shd w:val="clear" w:color="auto" w:fill="auto"/>
            <w:noWrap/>
            <w:vAlign w:val="center"/>
            <w:hideMark/>
          </w:tcPr>
          <w:p w14:paraId="1E3530D2" w14:textId="77777777"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(483 945)</w:t>
            </w:r>
          </w:p>
        </w:tc>
      </w:tr>
      <w:tr w:rsidR="009579F9" w:rsidRPr="00C11F75" w14:paraId="4F56C17B" w14:textId="77777777" w:rsidTr="00B1554A">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59BE26D7"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Zysk netto</w:t>
            </w:r>
          </w:p>
        </w:tc>
        <w:tc>
          <w:tcPr>
            <w:tcW w:w="1418" w:type="dxa"/>
            <w:tcBorders>
              <w:top w:val="nil"/>
              <w:left w:val="nil"/>
              <w:bottom w:val="single" w:sz="8" w:space="0" w:color="0077BD"/>
              <w:right w:val="single" w:sz="8" w:space="0" w:color="0077BD"/>
            </w:tcBorders>
            <w:shd w:val="clear" w:color="auto" w:fill="auto"/>
            <w:noWrap/>
            <w:vAlign w:val="center"/>
          </w:tcPr>
          <w:p w14:paraId="6EE4F79F" w14:textId="789D66FD" w:rsidR="009579F9" w:rsidRPr="00E07F9D" w:rsidRDefault="009579F9" w:rsidP="009579F9">
            <w:pPr>
              <w:jc w:val="right"/>
              <w:rPr>
                <w:rFonts w:cs="Arial"/>
                <w:b/>
                <w:bCs/>
                <w:color w:val="000000" w:themeColor="text1"/>
                <w:sz w:val="13"/>
                <w:szCs w:val="13"/>
              </w:rPr>
            </w:pPr>
            <w:r w:rsidRPr="00E07F9D">
              <w:rPr>
                <w:rFonts w:cs="Arial"/>
                <w:b/>
                <w:bCs/>
                <w:color w:val="000000" w:themeColor="text1"/>
                <w:sz w:val="13"/>
                <w:szCs w:val="13"/>
              </w:rPr>
              <w:t>1 010 252</w:t>
            </w:r>
          </w:p>
        </w:tc>
        <w:tc>
          <w:tcPr>
            <w:tcW w:w="1418" w:type="dxa"/>
            <w:tcBorders>
              <w:top w:val="nil"/>
              <w:left w:val="nil"/>
              <w:bottom w:val="single" w:sz="8" w:space="0" w:color="0077BD"/>
              <w:right w:val="nil"/>
            </w:tcBorders>
            <w:shd w:val="clear" w:color="auto" w:fill="auto"/>
            <w:noWrap/>
            <w:vAlign w:val="center"/>
            <w:hideMark/>
          </w:tcPr>
          <w:p w14:paraId="60FC6FB8" w14:textId="55AAB83A" w:rsidR="009579F9" w:rsidRPr="00E07F9D" w:rsidRDefault="00817DF4" w:rsidP="00817DF4">
            <w:pPr>
              <w:jc w:val="right"/>
              <w:rPr>
                <w:rFonts w:cs="Arial"/>
                <w:b/>
                <w:bCs/>
                <w:color w:val="000000" w:themeColor="text1"/>
                <w:sz w:val="13"/>
                <w:szCs w:val="13"/>
              </w:rPr>
            </w:pPr>
            <w:r w:rsidRPr="00E07F9D">
              <w:rPr>
                <w:rFonts w:cs="Arial"/>
                <w:b/>
                <w:bCs/>
                <w:color w:val="000000" w:themeColor="text1"/>
                <w:sz w:val="13"/>
                <w:szCs w:val="13"/>
              </w:rPr>
              <w:t>1 302</w:t>
            </w:r>
            <w:r w:rsidR="009579F9" w:rsidRPr="00E07F9D">
              <w:rPr>
                <w:rFonts w:cs="Arial"/>
                <w:b/>
                <w:bCs/>
                <w:color w:val="000000" w:themeColor="text1"/>
                <w:sz w:val="13"/>
                <w:szCs w:val="13"/>
              </w:rPr>
              <w:t xml:space="preserve"> </w:t>
            </w:r>
            <w:r w:rsidRPr="00E07F9D">
              <w:rPr>
                <w:rFonts w:cs="Arial"/>
                <w:b/>
                <w:bCs/>
                <w:color w:val="000000" w:themeColor="text1"/>
                <w:sz w:val="13"/>
                <w:szCs w:val="13"/>
              </w:rPr>
              <w:t>704</w:t>
            </w:r>
          </w:p>
        </w:tc>
      </w:tr>
      <w:tr w:rsidR="009579F9" w:rsidRPr="00C11F75" w14:paraId="21BA666D" w14:textId="77777777" w:rsidTr="00B1554A">
        <w:trPr>
          <w:trHeight w:val="255"/>
        </w:trPr>
        <w:tc>
          <w:tcPr>
            <w:tcW w:w="6747" w:type="dxa"/>
            <w:tcBorders>
              <w:top w:val="nil"/>
              <w:left w:val="nil"/>
              <w:bottom w:val="single" w:sz="8" w:space="0" w:color="0077BD"/>
              <w:right w:val="nil"/>
            </w:tcBorders>
            <w:shd w:val="clear" w:color="000000" w:fill="FFFFFF"/>
            <w:vAlign w:val="center"/>
            <w:hideMark/>
          </w:tcPr>
          <w:p w14:paraId="4E496B24" w14:textId="77777777" w:rsidR="009579F9" w:rsidRPr="00E07F9D" w:rsidRDefault="009579F9" w:rsidP="009579F9">
            <w:pPr>
              <w:rPr>
                <w:rFonts w:cs="Arial"/>
                <w:b/>
                <w:bCs/>
                <w:color w:val="000000" w:themeColor="text1"/>
                <w:sz w:val="13"/>
                <w:szCs w:val="13"/>
              </w:rPr>
            </w:pPr>
            <w:r w:rsidRPr="00E07F9D">
              <w:rPr>
                <w:rFonts w:cs="Arial"/>
                <w:b/>
                <w:bCs/>
                <w:color w:val="000000" w:themeColor="text1"/>
                <w:sz w:val="13"/>
                <w:szCs w:val="13"/>
              </w:rPr>
              <w:t>Zysk netto przypadający na:</w:t>
            </w:r>
          </w:p>
        </w:tc>
        <w:tc>
          <w:tcPr>
            <w:tcW w:w="1418" w:type="dxa"/>
            <w:tcBorders>
              <w:top w:val="nil"/>
              <w:left w:val="nil"/>
              <w:bottom w:val="single" w:sz="8" w:space="0" w:color="0077BD"/>
              <w:right w:val="nil"/>
            </w:tcBorders>
            <w:shd w:val="clear" w:color="000000" w:fill="FFFFFF"/>
            <w:noWrap/>
            <w:vAlign w:val="center"/>
          </w:tcPr>
          <w:p w14:paraId="71A02DA6" w14:textId="5DA90C79" w:rsidR="009579F9" w:rsidRPr="00E07F9D" w:rsidRDefault="009579F9" w:rsidP="009579F9">
            <w:pPr>
              <w:jc w:val="right"/>
              <w:rPr>
                <w:rFonts w:cs="Arial"/>
                <w:b/>
                <w:bCs/>
                <w:color w:val="000000" w:themeColor="text1"/>
                <w:sz w:val="13"/>
                <w:szCs w:val="13"/>
              </w:rPr>
            </w:pPr>
          </w:p>
        </w:tc>
        <w:tc>
          <w:tcPr>
            <w:tcW w:w="1418" w:type="dxa"/>
            <w:tcBorders>
              <w:top w:val="nil"/>
              <w:left w:val="nil"/>
              <w:bottom w:val="single" w:sz="8" w:space="0" w:color="0077BD"/>
              <w:right w:val="nil"/>
            </w:tcBorders>
            <w:shd w:val="clear" w:color="000000" w:fill="FFFFFF"/>
            <w:noWrap/>
            <w:vAlign w:val="center"/>
          </w:tcPr>
          <w:p w14:paraId="290436E3" w14:textId="3DC22F9A" w:rsidR="009579F9" w:rsidRPr="00E07F9D" w:rsidRDefault="009579F9" w:rsidP="009579F9">
            <w:pPr>
              <w:jc w:val="right"/>
              <w:rPr>
                <w:rFonts w:cs="Arial"/>
                <w:b/>
                <w:bCs/>
                <w:color w:val="000000" w:themeColor="text1"/>
                <w:sz w:val="13"/>
                <w:szCs w:val="13"/>
              </w:rPr>
            </w:pPr>
          </w:p>
        </w:tc>
      </w:tr>
      <w:tr w:rsidR="009579F9" w:rsidRPr="00C11F75" w14:paraId="22E184A2" w14:textId="77777777" w:rsidTr="00B1554A">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06F833C6" w14:textId="77777777" w:rsidR="009579F9" w:rsidRPr="00E07F9D" w:rsidRDefault="009579F9" w:rsidP="009579F9">
            <w:pPr>
              <w:rPr>
                <w:rFonts w:cs="Arial"/>
                <w:color w:val="000000" w:themeColor="text1"/>
                <w:sz w:val="13"/>
                <w:szCs w:val="13"/>
              </w:rPr>
            </w:pPr>
            <w:r w:rsidRPr="00E07F9D">
              <w:rPr>
                <w:rFonts w:cs="Arial"/>
                <w:color w:val="000000" w:themeColor="text1"/>
                <w:sz w:val="13"/>
                <w:szCs w:val="13"/>
              </w:rPr>
              <w:t>- akcjonariuszy mBanku S.A.</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AE6F40A" w14:textId="0963ADFF" w:rsidR="009579F9" w:rsidRPr="00E07F9D" w:rsidRDefault="009579F9" w:rsidP="009579F9">
            <w:pPr>
              <w:jc w:val="right"/>
              <w:rPr>
                <w:rFonts w:cs="Arial"/>
                <w:color w:val="000000" w:themeColor="text1"/>
                <w:sz w:val="13"/>
                <w:szCs w:val="13"/>
              </w:rPr>
            </w:pPr>
            <w:r w:rsidRPr="00E07F9D">
              <w:rPr>
                <w:rFonts w:cs="Arial"/>
                <w:color w:val="000000" w:themeColor="text1"/>
                <w:sz w:val="13"/>
                <w:szCs w:val="13"/>
              </w:rPr>
              <w:t>1 010 350</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092D1DEB" w14:textId="6AE3871C" w:rsidR="009579F9" w:rsidRPr="00E07F9D" w:rsidRDefault="00817DF4" w:rsidP="00817DF4">
            <w:pPr>
              <w:jc w:val="right"/>
              <w:rPr>
                <w:rFonts w:cs="Arial"/>
                <w:color w:val="000000" w:themeColor="text1"/>
                <w:sz w:val="13"/>
                <w:szCs w:val="13"/>
              </w:rPr>
            </w:pPr>
            <w:r w:rsidRPr="00E07F9D">
              <w:rPr>
                <w:rFonts w:cs="Arial"/>
                <w:color w:val="000000" w:themeColor="text1"/>
                <w:sz w:val="13"/>
                <w:szCs w:val="13"/>
              </w:rPr>
              <w:t>1 302</w:t>
            </w:r>
            <w:r w:rsidR="009579F9" w:rsidRPr="00E07F9D">
              <w:rPr>
                <w:rFonts w:cs="Arial"/>
                <w:color w:val="000000" w:themeColor="text1"/>
                <w:sz w:val="13"/>
                <w:szCs w:val="13"/>
              </w:rPr>
              <w:t xml:space="preserve"> </w:t>
            </w:r>
            <w:r w:rsidRPr="00E07F9D">
              <w:rPr>
                <w:rFonts w:cs="Arial"/>
                <w:color w:val="000000" w:themeColor="text1"/>
                <w:sz w:val="13"/>
                <w:szCs w:val="13"/>
              </w:rPr>
              <w:t>786</w:t>
            </w:r>
          </w:p>
        </w:tc>
      </w:tr>
      <w:tr w:rsidR="009579F9" w:rsidRPr="00C11F75" w14:paraId="5C5CA483" w14:textId="77777777" w:rsidTr="00B1554A">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40AA0089" w14:textId="77777777" w:rsidR="009579F9" w:rsidRPr="00C11F75" w:rsidRDefault="009579F9" w:rsidP="009579F9">
            <w:pPr>
              <w:rPr>
                <w:rFonts w:cs="Arial"/>
                <w:color w:val="000000" w:themeColor="text1"/>
                <w:sz w:val="13"/>
                <w:szCs w:val="13"/>
              </w:rPr>
            </w:pPr>
            <w:r w:rsidRPr="00C11F75">
              <w:rPr>
                <w:rFonts w:cs="Arial"/>
                <w:color w:val="000000" w:themeColor="text1"/>
                <w:sz w:val="13"/>
                <w:szCs w:val="13"/>
              </w:rPr>
              <w:t>- udziały niekontrolujące</w:t>
            </w:r>
          </w:p>
        </w:tc>
        <w:tc>
          <w:tcPr>
            <w:tcW w:w="1418" w:type="dxa"/>
            <w:tcBorders>
              <w:top w:val="nil"/>
              <w:left w:val="single" w:sz="8" w:space="0" w:color="0077BD"/>
              <w:bottom w:val="single" w:sz="8" w:space="0" w:color="0077BD"/>
              <w:right w:val="nil"/>
            </w:tcBorders>
            <w:shd w:val="clear" w:color="auto" w:fill="auto"/>
            <w:noWrap/>
            <w:vAlign w:val="center"/>
          </w:tcPr>
          <w:p w14:paraId="54E35EC3" w14:textId="5016D578" w:rsidR="009579F9" w:rsidRPr="00C11F75" w:rsidRDefault="009579F9" w:rsidP="009579F9">
            <w:pPr>
              <w:jc w:val="right"/>
              <w:rPr>
                <w:rFonts w:cs="Arial"/>
                <w:color w:val="000000" w:themeColor="text1"/>
                <w:sz w:val="13"/>
                <w:szCs w:val="13"/>
              </w:rPr>
            </w:pPr>
            <w:r w:rsidRPr="00C11F75">
              <w:rPr>
                <w:rFonts w:cs="Arial"/>
                <w:color w:val="000000" w:themeColor="text1"/>
                <w:sz w:val="13"/>
                <w:szCs w:val="13"/>
              </w:rPr>
              <w:t>(98)</w:t>
            </w:r>
          </w:p>
        </w:tc>
        <w:tc>
          <w:tcPr>
            <w:tcW w:w="1418" w:type="dxa"/>
            <w:tcBorders>
              <w:top w:val="nil"/>
              <w:left w:val="single" w:sz="8" w:space="0" w:color="0077BD"/>
              <w:bottom w:val="single" w:sz="8" w:space="0" w:color="0077BD"/>
              <w:right w:val="nil"/>
            </w:tcBorders>
            <w:shd w:val="clear" w:color="auto" w:fill="auto"/>
            <w:noWrap/>
            <w:vAlign w:val="center"/>
            <w:hideMark/>
          </w:tcPr>
          <w:p w14:paraId="31B73442" w14:textId="77777777" w:rsidR="009579F9" w:rsidRPr="00C11F75" w:rsidRDefault="009579F9" w:rsidP="009579F9">
            <w:pPr>
              <w:jc w:val="right"/>
              <w:rPr>
                <w:rFonts w:cs="Arial"/>
                <w:color w:val="000000" w:themeColor="text1"/>
                <w:sz w:val="13"/>
                <w:szCs w:val="13"/>
              </w:rPr>
            </w:pPr>
            <w:r w:rsidRPr="00C11F75">
              <w:rPr>
                <w:rFonts w:cs="Arial"/>
                <w:color w:val="000000" w:themeColor="text1"/>
                <w:sz w:val="13"/>
                <w:szCs w:val="13"/>
              </w:rPr>
              <w:t>(82)</w:t>
            </w:r>
          </w:p>
        </w:tc>
      </w:tr>
    </w:tbl>
    <w:p w14:paraId="0472F0E3" w14:textId="6BAF61E1" w:rsidR="002967E3" w:rsidRDefault="002967E3" w:rsidP="00695833">
      <w:pPr>
        <w:pStyle w:val="Tekstpodstawowy"/>
        <w:spacing w:after="0"/>
        <w:jc w:val="both"/>
        <w:rPr>
          <w:rFonts w:cs="Tahoma"/>
          <w:b/>
          <w:iCs/>
          <w:color w:val="000000" w:themeColor="text1"/>
          <w:sz w:val="18"/>
          <w:szCs w:val="18"/>
        </w:rPr>
      </w:pPr>
    </w:p>
    <w:p w14:paraId="424AE1AF" w14:textId="77777777" w:rsidR="002967E3" w:rsidRDefault="002967E3">
      <w:pPr>
        <w:rPr>
          <w:rFonts w:cs="Tahoma"/>
          <w:b/>
          <w:iCs/>
          <w:color w:val="000000" w:themeColor="text1"/>
          <w:spacing w:val="-4"/>
          <w:sz w:val="18"/>
          <w:szCs w:val="18"/>
        </w:rPr>
      </w:pPr>
      <w:r>
        <w:rPr>
          <w:rFonts w:cs="Tahoma"/>
          <w:b/>
          <w:iCs/>
          <w:color w:val="000000" w:themeColor="text1"/>
          <w:sz w:val="18"/>
          <w:szCs w:val="18"/>
        </w:rPr>
        <w:br w:type="page"/>
      </w:r>
    </w:p>
    <w:p w14:paraId="10BFB7FC" w14:textId="15CA1421" w:rsidR="00695833" w:rsidRPr="00C11F75" w:rsidRDefault="009E0C7F" w:rsidP="00695833">
      <w:pPr>
        <w:pStyle w:val="Tekstpodstawowy"/>
        <w:spacing w:after="0"/>
        <w:jc w:val="both"/>
        <w:rPr>
          <w:rFonts w:cs="Tahoma"/>
          <w:b/>
          <w:iCs/>
          <w:color w:val="000000" w:themeColor="text1"/>
          <w:sz w:val="18"/>
          <w:szCs w:val="18"/>
        </w:rPr>
      </w:pPr>
      <w:r w:rsidRPr="00C11F75">
        <w:rPr>
          <w:rFonts w:cs="Tahoma"/>
          <w:b/>
          <w:iCs/>
          <w:color w:val="000000" w:themeColor="text1"/>
          <w:sz w:val="18"/>
          <w:szCs w:val="18"/>
        </w:rPr>
        <w:lastRenderedPageBreak/>
        <w:t>S</w:t>
      </w:r>
      <w:r w:rsidR="00695833" w:rsidRPr="00C11F75">
        <w:rPr>
          <w:rFonts w:cs="Tahoma"/>
          <w:b/>
          <w:iCs/>
          <w:color w:val="000000" w:themeColor="text1"/>
          <w:sz w:val="18"/>
          <w:szCs w:val="18"/>
        </w:rPr>
        <w:t>konsolidowane ostrożnościowo sprawozdanie z sytuacji finansowej</w:t>
      </w:r>
    </w:p>
    <w:p w14:paraId="25E61814" w14:textId="77777777" w:rsidR="00D64FDF" w:rsidRPr="004F73F2" w:rsidRDefault="00D64FDF" w:rsidP="001046B6">
      <w:pPr>
        <w:jc w:val="both"/>
        <w:rPr>
          <w:noProof/>
          <w:sz w:val="18"/>
          <w:szCs w:val="18"/>
        </w:rPr>
      </w:pP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1046B6" w:rsidRPr="001046B6" w14:paraId="16C8ABC4" w14:textId="77777777" w:rsidTr="001F4614">
        <w:trPr>
          <w:trHeight w:val="340"/>
        </w:trPr>
        <w:tc>
          <w:tcPr>
            <w:tcW w:w="6747" w:type="dxa"/>
            <w:tcBorders>
              <w:top w:val="single" w:sz="8" w:space="0" w:color="FFFFFF"/>
              <w:left w:val="nil"/>
              <w:bottom w:val="nil"/>
              <w:right w:val="single" w:sz="8" w:space="0" w:color="FFFFFF"/>
            </w:tcBorders>
            <w:shd w:val="clear" w:color="000000" w:fill="0077BD"/>
            <w:vAlign w:val="center"/>
            <w:hideMark/>
          </w:tcPr>
          <w:p w14:paraId="5FD41C9C" w14:textId="77777777" w:rsidR="001046B6" w:rsidRPr="001046B6" w:rsidRDefault="001046B6" w:rsidP="001046B6">
            <w:pPr>
              <w:rPr>
                <w:rFonts w:cs="Arial"/>
                <w:b/>
                <w:bCs/>
                <w:color w:val="FFFFFF"/>
                <w:sz w:val="13"/>
                <w:szCs w:val="13"/>
              </w:rPr>
            </w:pPr>
            <w:r w:rsidRPr="001046B6">
              <w:rPr>
                <w:rFonts w:cs="Arial"/>
                <w:b/>
                <w:bCs/>
                <w:color w:val="FFFFFF"/>
                <w:sz w:val="13"/>
                <w:szCs w:val="13"/>
              </w:rPr>
              <w:t>AKTYWA</w:t>
            </w:r>
          </w:p>
        </w:tc>
        <w:tc>
          <w:tcPr>
            <w:tcW w:w="1418" w:type="dxa"/>
            <w:tcBorders>
              <w:top w:val="single" w:sz="8" w:space="0" w:color="FFFFFF"/>
              <w:left w:val="nil"/>
              <w:bottom w:val="nil"/>
              <w:right w:val="nil"/>
            </w:tcBorders>
            <w:shd w:val="clear" w:color="000000" w:fill="0077BD"/>
            <w:noWrap/>
            <w:vAlign w:val="center"/>
            <w:hideMark/>
          </w:tcPr>
          <w:p w14:paraId="675A6CA7" w14:textId="70F41F96" w:rsidR="001046B6" w:rsidRPr="001046B6" w:rsidRDefault="001F4614" w:rsidP="001F4614">
            <w:pPr>
              <w:jc w:val="right"/>
              <w:rPr>
                <w:rFonts w:cs="Arial"/>
                <w:b/>
                <w:bCs/>
                <w:color w:val="FFFFFF"/>
                <w:sz w:val="13"/>
                <w:szCs w:val="13"/>
              </w:rPr>
            </w:pPr>
            <w:r>
              <w:rPr>
                <w:rFonts w:cs="Arial"/>
                <w:b/>
                <w:bCs/>
                <w:color w:val="FFFFFF"/>
                <w:sz w:val="13"/>
                <w:szCs w:val="13"/>
              </w:rPr>
              <w:t>31.12.</w:t>
            </w:r>
            <w:r w:rsidR="001046B6" w:rsidRPr="001046B6">
              <w:rPr>
                <w:rFonts w:cs="Arial"/>
                <w:b/>
                <w:bCs/>
                <w:color w:val="FFFFFF"/>
                <w:sz w:val="13"/>
                <w:szCs w:val="13"/>
              </w:rPr>
              <w:t>2019</w:t>
            </w:r>
          </w:p>
        </w:tc>
        <w:tc>
          <w:tcPr>
            <w:tcW w:w="1418" w:type="dxa"/>
            <w:tcBorders>
              <w:top w:val="single" w:sz="8" w:space="0" w:color="FFFFFF"/>
              <w:left w:val="single" w:sz="8" w:space="0" w:color="FFFFFF"/>
              <w:bottom w:val="nil"/>
              <w:right w:val="nil"/>
            </w:tcBorders>
            <w:shd w:val="clear" w:color="000000" w:fill="0077BD"/>
            <w:noWrap/>
            <w:vAlign w:val="center"/>
            <w:hideMark/>
          </w:tcPr>
          <w:p w14:paraId="130736A9" w14:textId="1ED8B8C2" w:rsidR="001046B6" w:rsidRPr="001046B6" w:rsidRDefault="001046B6" w:rsidP="001046B6">
            <w:pPr>
              <w:jc w:val="right"/>
              <w:rPr>
                <w:rFonts w:cs="Arial"/>
                <w:b/>
                <w:bCs/>
                <w:color w:val="FFFFFF"/>
                <w:sz w:val="13"/>
                <w:szCs w:val="13"/>
              </w:rPr>
            </w:pPr>
            <w:r w:rsidRPr="001046B6">
              <w:rPr>
                <w:rFonts w:cs="Arial"/>
                <w:b/>
                <w:bCs/>
                <w:color w:val="FFFFFF"/>
                <w:sz w:val="13"/>
                <w:szCs w:val="13"/>
              </w:rPr>
              <w:t>31.12.2018</w:t>
            </w:r>
            <w:r w:rsidR="001F4614">
              <w:rPr>
                <w:rFonts w:cs="Arial"/>
                <w:b/>
                <w:bCs/>
                <w:color w:val="FFFFFF"/>
                <w:sz w:val="13"/>
                <w:szCs w:val="13"/>
              </w:rPr>
              <w:br/>
              <w:t>- przekształcone</w:t>
            </w:r>
          </w:p>
        </w:tc>
      </w:tr>
      <w:tr w:rsidR="00B1554A" w:rsidRPr="00C11F75" w14:paraId="49A607B4" w14:textId="77777777" w:rsidTr="00CA5E84">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2B7244CA"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Kasa, operacje z bankiem centralnym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59C5B0E7" w14:textId="2FD6D355"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7 897 010</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10207E9D"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9 199 264</w:t>
            </w:r>
          </w:p>
        </w:tc>
      </w:tr>
      <w:tr w:rsidR="00B1554A" w:rsidRPr="00C11F75" w14:paraId="21403D92"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18266DA"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Aktywa finansowe przeznaczone do obrotu oraz instrumenty pochodne zabezpieczające</w:t>
            </w:r>
          </w:p>
        </w:tc>
        <w:tc>
          <w:tcPr>
            <w:tcW w:w="1418" w:type="dxa"/>
            <w:tcBorders>
              <w:top w:val="nil"/>
              <w:left w:val="single" w:sz="8" w:space="0" w:color="0077BD"/>
              <w:bottom w:val="single" w:sz="4" w:space="0" w:color="0077BD"/>
              <w:right w:val="nil"/>
            </w:tcBorders>
            <w:shd w:val="clear" w:color="auto" w:fill="auto"/>
            <w:noWrap/>
            <w:vAlign w:val="center"/>
          </w:tcPr>
          <w:p w14:paraId="02B0603D" w14:textId="5F763660"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2 866 034</w:t>
            </w:r>
          </w:p>
        </w:tc>
        <w:tc>
          <w:tcPr>
            <w:tcW w:w="1418" w:type="dxa"/>
            <w:tcBorders>
              <w:top w:val="nil"/>
              <w:left w:val="single" w:sz="8" w:space="0" w:color="0077BD"/>
              <w:bottom w:val="single" w:sz="4" w:space="0" w:color="0077BD"/>
              <w:right w:val="nil"/>
            </w:tcBorders>
            <w:shd w:val="clear" w:color="auto" w:fill="auto"/>
            <w:noWrap/>
            <w:vAlign w:val="center"/>
            <w:hideMark/>
          </w:tcPr>
          <w:p w14:paraId="4368A9A0" w14:textId="248C56FC" w:rsidR="00B1554A" w:rsidRPr="00C11F75" w:rsidRDefault="00FC2BF4" w:rsidP="00FC2BF4">
            <w:pPr>
              <w:jc w:val="right"/>
              <w:rPr>
                <w:rFonts w:cs="Arial"/>
                <w:color w:val="000000" w:themeColor="text1"/>
                <w:sz w:val="13"/>
                <w:szCs w:val="13"/>
              </w:rPr>
            </w:pPr>
            <w:r>
              <w:rPr>
                <w:rFonts w:cs="Arial"/>
                <w:color w:val="000000" w:themeColor="text1"/>
                <w:sz w:val="13"/>
                <w:szCs w:val="13"/>
              </w:rPr>
              <w:t>2 13</w:t>
            </w:r>
            <w:r w:rsidR="00B1554A" w:rsidRPr="00C11F75">
              <w:rPr>
                <w:rFonts w:cs="Arial"/>
                <w:color w:val="000000" w:themeColor="text1"/>
                <w:sz w:val="13"/>
                <w:szCs w:val="13"/>
              </w:rPr>
              <w:t xml:space="preserve">4 </w:t>
            </w:r>
            <w:r>
              <w:rPr>
                <w:rFonts w:cs="Arial"/>
                <w:color w:val="000000" w:themeColor="text1"/>
                <w:sz w:val="13"/>
                <w:szCs w:val="13"/>
              </w:rPr>
              <w:t>741</w:t>
            </w:r>
          </w:p>
        </w:tc>
      </w:tr>
      <w:tr w:rsidR="00B1554A" w:rsidRPr="00C11F75" w14:paraId="43D3E865" w14:textId="77777777" w:rsidTr="00CA5E84">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3886DE7C"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Aktywa finansowe nieprzeznaczone do obrotu wyceniane obowiązkowo w wartości godziwej przez wynik finansowy, w tym:</w:t>
            </w:r>
          </w:p>
        </w:tc>
        <w:tc>
          <w:tcPr>
            <w:tcW w:w="1418" w:type="dxa"/>
            <w:tcBorders>
              <w:top w:val="nil"/>
              <w:left w:val="single" w:sz="8" w:space="0" w:color="0077BD"/>
              <w:bottom w:val="single" w:sz="4" w:space="0" w:color="0077BD"/>
              <w:right w:val="nil"/>
            </w:tcBorders>
            <w:shd w:val="clear" w:color="auto" w:fill="auto"/>
            <w:noWrap/>
            <w:vAlign w:val="center"/>
          </w:tcPr>
          <w:p w14:paraId="291209B9" w14:textId="0EA327F8" w:rsidR="00B1554A" w:rsidRPr="00C11F75" w:rsidRDefault="001C3F62" w:rsidP="001C3F62">
            <w:pPr>
              <w:jc w:val="right"/>
              <w:rPr>
                <w:rFonts w:cs="Arial"/>
                <w:color w:val="000000" w:themeColor="text1"/>
                <w:sz w:val="13"/>
                <w:szCs w:val="13"/>
              </w:rPr>
            </w:pPr>
            <w:r>
              <w:rPr>
                <w:rFonts w:cs="Arial"/>
                <w:color w:val="000000" w:themeColor="text1"/>
                <w:sz w:val="13"/>
                <w:szCs w:val="13"/>
              </w:rPr>
              <w:t>2 275</w:t>
            </w:r>
            <w:r w:rsidR="00B1554A" w:rsidRPr="00C11F75">
              <w:rPr>
                <w:rFonts w:cs="Arial"/>
                <w:color w:val="000000" w:themeColor="text1"/>
                <w:sz w:val="13"/>
                <w:szCs w:val="13"/>
              </w:rPr>
              <w:t xml:space="preserve"> </w:t>
            </w:r>
            <w:r>
              <w:rPr>
                <w:rFonts w:cs="Arial"/>
                <w:color w:val="000000" w:themeColor="text1"/>
                <w:sz w:val="13"/>
                <w:szCs w:val="13"/>
              </w:rPr>
              <w:t>772</w:t>
            </w:r>
          </w:p>
        </w:tc>
        <w:tc>
          <w:tcPr>
            <w:tcW w:w="1418" w:type="dxa"/>
            <w:tcBorders>
              <w:top w:val="nil"/>
              <w:left w:val="single" w:sz="8" w:space="0" w:color="0077BD"/>
              <w:bottom w:val="single" w:sz="4" w:space="0" w:color="0077BD"/>
              <w:right w:val="nil"/>
            </w:tcBorders>
            <w:shd w:val="clear" w:color="auto" w:fill="auto"/>
            <w:noWrap/>
            <w:vAlign w:val="center"/>
            <w:hideMark/>
          </w:tcPr>
          <w:p w14:paraId="340BCD68"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2 940 396</w:t>
            </w:r>
          </w:p>
        </w:tc>
      </w:tr>
      <w:tr w:rsidR="00B1554A" w:rsidRPr="00C11F75" w14:paraId="7A6AAB65"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3874DD3"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Kapitałowe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68C1570A" w14:textId="12D89672" w:rsidR="00B1554A" w:rsidRPr="00C11F75" w:rsidRDefault="001C3F62" w:rsidP="001C3F62">
            <w:pPr>
              <w:jc w:val="right"/>
              <w:rPr>
                <w:rFonts w:cs="Arial"/>
                <w:i/>
                <w:iCs/>
                <w:color w:val="000000" w:themeColor="text1"/>
                <w:sz w:val="13"/>
                <w:szCs w:val="13"/>
              </w:rPr>
            </w:pPr>
            <w:r>
              <w:rPr>
                <w:rFonts w:cs="Arial"/>
                <w:i/>
                <w:iCs/>
                <w:color w:val="000000" w:themeColor="text1"/>
                <w:sz w:val="13"/>
                <w:szCs w:val="13"/>
              </w:rPr>
              <w:t>170</w:t>
            </w:r>
            <w:r w:rsidR="00B1554A" w:rsidRPr="00C11F75">
              <w:rPr>
                <w:rFonts w:cs="Arial"/>
                <w:i/>
                <w:iCs/>
                <w:color w:val="000000" w:themeColor="text1"/>
                <w:sz w:val="13"/>
                <w:szCs w:val="13"/>
              </w:rPr>
              <w:t xml:space="preserve"> </w:t>
            </w:r>
            <w:r>
              <w:rPr>
                <w:rFonts w:cs="Arial"/>
                <w:i/>
                <w:iCs/>
                <w:color w:val="000000" w:themeColor="text1"/>
                <w:sz w:val="13"/>
                <w:szCs w:val="13"/>
              </w:rPr>
              <w:t>466</w:t>
            </w:r>
          </w:p>
        </w:tc>
        <w:tc>
          <w:tcPr>
            <w:tcW w:w="1418" w:type="dxa"/>
            <w:tcBorders>
              <w:top w:val="nil"/>
              <w:left w:val="single" w:sz="8" w:space="0" w:color="0077BD"/>
              <w:bottom w:val="single" w:sz="4" w:space="0" w:color="0077BD"/>
              <w:right w:val="nil"/>
            </w:tcBorders>
            <w:shd w:val="clear" w:color="auto" w:fill="auto"/>
            <w:noWrap/>
            <w:vAlign w:val="center"/>
            <w:hideMark/>
          </w:tcPr>
          <w:p w14:paraId="5C350E19"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177 111</w:t>
            </w:r>
          </w:p>
        </w:tc>
      </w:tr>
      <w:tr w:rsidR="00B1554A" w:rsidRPr="00C11F75" w14:paraId="280CF0EB"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93E4B7B"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15E2AF63" w14:textId="4F257C52"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133 774</w:t>
            </w:r>
          </w:p>
        </w:tc>
        <w:tc>
          <w:tcPr>
            <w:tcW w:w="1418" w:type="dxa"/>
            <w:tcBorders>
              <w:top w:val="nil"/>
              <w:left w:val="single" w:sz="8" w:space="0" w:color="0077BD"/>
              <w:bottom w:val="single" w:sz="4" w:space="0" w:color="0077BD"/>
              <w:right w:val="nil"/>
            </w:tcBorders>
            <w:shd w:val="clear" w:color="auto" w:fill="auto"/>
            <w:noWrap/>
            <w:vAlign w:val="center"/>
            <w:hideMark/>
          </w:tcPr>
          <w:p w14:paraId="346F2C8D"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58 130</w:t>
            </w:r>
          </w:p>
        </w:tc>
      </w:tr>
      <w:tr w:rsidR="00B1554A" w:rsidRPr="00C11F75" w14:paraId="15760A11"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2EB007D"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Kredyty i pożyczki udzielone klientom</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4C7E9C24" w14:textId="0DD8D934"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1 971 532</w:t>
            </w:r>
          </w:p>
        </w:tc>
        <w:tc>
          <w:tcPr>
            <w:tcW w:w="1418" w:type="dxa"/>
            <w:tcBorders>
              <w:top w:val="nil"/>
              <w:left w:val="single" w:sz="8" w:space="0" w:color="0077BD"/>
              <w:bottom w:val="single" w:sz="4" w:space="0" w:color="0077BD"/>
              <w:right w:val="nil"/>
            </w:tcBorders>
            <w:shd w:val="clear" w:color="auto" w:fill="auto"/>
            <w:noWrap/>
            <w:vAlign w:val="center"/>
            <w:hideMark/>
          </w:tcPr>
          <w:p w14:paraId="3038FE06"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2 705 155</w:t>
            </w:r>
          </w:p>
        </w:tc>
      </w:tr>
      <w:tr w:rsidR="00B1554A" w:rsidRPr="00C11F75" w14:paraId="2114818F"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849BA78"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Aktywa finansowe wyceniane w wartości godziwej przez pozostałe całkowite dochody</w:t>
            </w:r>
          </w:p>
        </w:tc>
        <w:tc>
          <w:tcPr>
            <w:tcW w:w="1418" w:type="dxa"/>
            <w:tcBorders>
              <w:top w:val="nil"/>
              <w:left w:val="single" w:sz="8" w:space="0" w:color="0077BD"/>
              <w:bottom w:val="single" w:sz="4" w:space="0" w:color="0077BD"/>
              <w:right w:val="nil"/>
            </w:tcBorders>
            <w:shd w:val="clear" w:color="auto" w:fill="auto"/>
            <w:noWrap/>
            <w:vAlign w:val="center"/>
          </w:tcPr>
          <w:p w14:paraId="3F838747" w14:textId="53114B93"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22 773 921</w:t>
            </w:r>
          </w:p>
        </w:tc>
        <w:tc>
          <w:tcPr>
            <w:tcW w:w="1418" w:type="dxa"/>
            <w:tcBorders>
              <w:top w:val="nil"/>
              <w:left w:val="single" w:sz="8" w:space="0" w:color="0077BD"/>
              <w:bottom w:val="single" w:sz="4" w:space="0" w:color="0077BD"/>
              <w:right w:val="nil"/>
            </w:tcBorders>
            <w:shd w:val="clear" w:color="auto" w:fill="auto"/>
            <w:noWrap/>
            <w:vAlign w:val="center"/>
            <w:hideMark/>
          </w:tcPr>
          <w:p w14:paraId="33E98809"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24 338 284</w:t>
            </w:r>
          </w:p>
        </w:tc>
      </w:tr>
      <w:tr w:rsidR="00B1554A" w:rsidRPr="00C11F75" w14:paraId="29D053BB"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ABB1EF2"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Aktywa finansowe wyceniane w zamortyzowanym koszcie, w tym:</w:t>
            </w:r>
          </w:p>
        </w:tc>
        <w:tc>
          <w:tcPr>
            <w:tcW w:w="1418" w:type="dxa"/>
            <w:tcBorders>
              <w:top w:val="nil"/>
              <w:left w:val="single" w:sz="8" w:space="0" w:color="0077BD"/>
              <w:bottom w:val="single" w:sz="4" w:space="0" w:color="0077BD"/>
              <w:right w:val="nil"/>
            </w:tcBorders>
            <w:shd w:val="clear" w:color="auto" w:fill="auto"/>
            <w:noWrap/>
            <w:vAlign w:val="center"/>
          </w:tcPr>
          <w:p w14:paraId="679EF524" w14:textId="598D1C45"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118 778 693</w:t>
            </w:r>
          </w:p>
        </w:tc>
        <w:tc>
          <w:tcPr>
            <w:tcW w:w="1418" w:type="dxa"/>
            <w:tcBorders>
              <w:top w:val="nil"/>
              <w:left w:val="single" w:sz="8" w:space="0" w:color="0077BD"/>
              <w:bottom w:val="single" w:sz="4" w:space="0" w:color="0077BD"/>
              <w:right w:val="nil"/>
            </w:tcBorders>
            <w:shd w:val="clear" w:color="auto" w:fill="auto"/>
            <w:noWrap/>
            <w:vAlign w:val="center"/>
            <w:hideMark/>
          </w:tcPr>
          <w:p w14:paraId="582F4E01"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103 564 317</w:t>
            </w:r>
          </w:p>
        </w:tc>
      </w:tr>
      <w:tr w:rsidR="00B1554A" w:rsidRPr="00C11F75" w14:paraId="7BDDD7F9"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828FED5"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Dłużne papiery wartościowe</w:t>
            </w:r>
          </w:p>
        </w:tc>
        <w:tc>
          <w:tcPr>
            <w:tcW w:w="1418" w:type="dxa"/>
            <w:tcBorders>
              <w:top w:val="nil"/>
              <w:left w:val="single" w:sz="8" w:space="0" w:color="0077BD"/>
              <w:bottom w:val="single" w:sz="4" w:space="0" w:color="0077BD"/>
              <w:right w:val="nil"/>
            </w:tcBorders>
            <w:shd w:val="clear" w:color="auto" w:fill="auto"/>
            <w:noWrap/>
            <w:vAlign w:val="center"/>
          </w:tcPr>
          <w:p w14:paraId="17C4F950" w14:textId="1582630D"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11 234 873</w:t>
            </w:r>
          </w:p>
        </w:tc>
        <w:tc>
          <w:tcPr>
            <w:tcW w:w="1418" w:type="dxa"/>
            <w:tcBorders>
              <w:top w:val="nil"/>
              <w:left w:val="single" w:sz="8" w:space="0" w:color="0077BD"/>
              <w:bottom w:val="single" w:sz="4" w:space="0" w:color="0077BD"/>
              <w:right w:val="nil"/>
            </w:tcBorders>
            <w:shd w:val="clear" w:color="auto" w:fill="auto"/>
            <w:noWrap/>
            <w:vAlign w:val="center"/>
            <w:hideMark/>
          </w:tcPr>
          <w:p w14:paraId="7A9D33EC"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9 000 539</w:t>
            </w:r>
          </w:p>
        </w:tc>
      </w:tr>
      <w:tr w:rsidR="00B1554A" w:rsidRPr="00C11F75" w14:paraId="17C64619"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8B35363"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Należności od banków</w:t>
            </w:r>
          </w:p>
        </w:tc>
        <w:tc>
          <w:tcPr>
            <w:tcW w:w="1418" w:type="dxa"/>
            <w:tcBorders>
              <w:top w:val="nil"/>
              <w:left w:val="single" w:sz="8" w:space="0" w:color="0077BD"/>
              <w:bottom w:val="single" w:sz="4" w:space="0" w:color="0077BD"/>
              <w:right w:val="nil"/>
            </w:tcBorders>
            <w:shd w:val="clear" w:color="auto" w:fill="auto"/>
            <w:noWrap/>
            <w:vAlign w:val="center"/>
          </w:tcPr>
          <w:p w14:paraId="6292AE0B" w14:textId="461EB759"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4 341 723</w:t>
            </w:r>
          </w:p>
        </w:tc>
        <w:tc>
          <w:tcPr>
            <w:tcW w:w="1418" w:type="dxa"/>
            <w:tcBorders>
              <w:top w:val="nil"/>
              <w:left w:val="single" w:sz="8" w:space="0" w:color="0077BD"/>
              <w:bottom w:val="single" w:sz="4" w:space="0" w:color="0077BD"/>
              <w:right w:val="nil"/>
            </w:tcBorders>
            <w:shd w:val="clear" w:color="auto" w:fill="auto"/>
            <w:noWrap/>
            <w:vAlign w:val="center"/>
            <w:hideMark/>
          </w:tcPr>
          <w:p w14:paraId="302BB4DD"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2 546 346</w:t>
            </w:r>
          </w:p>
        </w:tc>
      </w:tr>
      <w:tr w:rsidR="00B1554A" w:rsidRPr="00C11F75" w14:paraId="4F9F0E56"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C7BEF52" w14:textId="77777777" w:rsidR="00B1554A" w:rsidRPr="00C11F75" w:rsidRDefault="00B1554A" w:rsidP="00B1554A">
            <w:pPr>
              <w:ind w:firstLineChars="200" w:firstLine="260"/>
              <w:rPr>
                <w:rFonts w:cs="Arial"/>
                <w:i/>
                <w:iCs/>
                <w:color w:val="000000" w:themeColor="text1"/>
                <w:sz w:val="13"/>
                <w:szCs w:val="13"/>
              </w:rPr>
            </w:pPr>
            <w:r w:rsidRPr="00C11F75">
              <w:rPr>
                <w:rFonts w:cs="Arial"/>
                <w:i/>
                <w:iCs/>
                <w:color w:val="000000" w:themeColor="text1"/>
                <w:sz w:val="13"/>
                <w:szCs w:val="13"/>
              </w:rPr>
              <w:t>Kredyty i pożyczki udzielone klientom</w:t>
            </w:r>
          </w:p>
        </w:tc>
        <w:tc>
          <w:tcPr>
            <w:tcW w:w="1418" w:type="dxa"/>
            <w:tcBorders>
              <w:top w:val="nil"/>
              <w:left w:val="single" w:sz="8" w:space="0" w:color="0077BD"/>
              <w:bottom w:val="single" w:sz="4" w:space="0" w:color="0077BD"/>
              <w:right w:val="nil"/>
            </w:tcBorders>
            <w:shd w:val="clear" w:color="auto" w:fill="auto"/>
            <w:noWrap/>
            <w:vAlign w:val="center"/>
          </w:tcPr>
          <w:p w14:paraId="2998E625" w14:textId="236CB211"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103 202 097</w:t>
            </w:r>
          </w:p>
        </w:tc>
        <w:tc>
          <w:tcPr>
            <w:tcW w:w="1418" w:type="dxa"/>
            <w:tcBorders>
              <w:top w:val="nil"/>
              <w:left w:val="single" w:sz="8" w:space="0" w:color="0077BD"/>
              <w:bottom w:val="single" w:sz="4" w:space="0" w:color="0077BD"/>
              <w:right w:val="nil"/>
            </w:tcBorders>
            <w:shd w:val="clear" w:color="auto" w:fill="auto"/>
            <w:noWrap/>
            <w:vAlign w:val="center"/>
            <w:hideMark/>
          </w:tcPr>
          <w:p w14:paraId="69C1EC9C" w14:textId="77777777" w:rsidR="00B1554A" w:rsidRPr="00C11F75" w:rsidRDefault="00B1554A" w:rsidP="00B1554A">
            <w:pPr>
              <w:jc w:val="right"/>
              <w:rPr>
                <w:rFonts w:cs="Arial"/>
                <w:i/>
                <w:iCs/>
                <w:color w:val="000000" w:themeColor="text1"/>
                <w:sz w:val="13"/>
                <w:szCs w:val="13"/>
              </w:rPr>
            </w:pPr>
            <w:r w:rsidRPr="00C11F75">
              <w:rPr>
                <w:rFonts w:cs="Arial"/>
                <w:i/>
                <w:iCs/>
                <w:color w:val="000000" w:themeColor="text1"/>
                <w:sz w:val="13"/>
                <w:szCs w:val="13"/>
              </w:rPr>
              <w:t>92 017 432</w:t>
            </w:r>
          </w:p>
        </w:tc>
      </w:tr>
      <w:tr w:rsidR="005C7654" w:rsidRPr="00C11F75" w14:paraId="0659662A"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tcPr>
          <w:p w14:paraId="4CD4F3F5" w14:textId="7823ABD3" w:rsidR="005C7654" w:rsidRPr="00C11F75" w:rsidRDefault="001C3F62" w:rsidP="00B1554A">
            <w:pPr>
              <w:rPr>
                <w:rFonts w:cs="Arial"/>
                <w:color w:val="000000" w:themeColor="text1"/>
                <w:sz w:val="13"/>
                <w:szCs w:val="13"/>
              </w:rPr>
            </w:pPr>
            <w:r w:rsidRPr="00A751C0">
              <w:rPr>
                <w:rFonts w:cs="Calibri"/>
                <w:color w:val="000000" w:themeColor="text1"/>
                <w:sz w:val="13"/>
                <w:szCs w:val="13"/>
              </w:rPr>
              <w:t>Aktywa trwałe i grupy do zbycia sklasyfikowane jako przeznaczone do sprzedaży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209FE256" w14:textId="6B425ED6" w:rsidR="005C7654" w:rsidRPr="00C11F75" w:rsidRDefault="001C3F62" w:rsidP="00B1554A">
            <w:pPr>
              <w:jc w:val="right"/>
              <w:rPr>
                <w:rFonts w:cs="Arial"/>
                <w:color w:val="000000" w:themeColor="text1"/>
                <w:sz w:val="13"/>
                <w:szCs w:val="13"/>
              </w:rPr>
            </w:pPr>
            <w:r>
              <w:rPr>
                <w:rFonts w:cs="Arial"/>
                <w:color w:val="000000" w:themeColor="text1"/>
                <w:sz w:val="13"/>
                <w:szCs w:val="13"/>
              </w:rPr>
              <w:t>91 605</w:t>
            </w:r>
          </w:p>
        </w:tc>
        <w:tc>
          <w:tcPr>
            <w:tcW w:w="1418" w:type="dxa"/>
            <w:tcBorders>
              <w:top w:val="nil"/>
              <w:left w:val="single" w:sz="8" w:space="0" w:color="0077BD"/>
              <w:bottom w:val="single" w:sz="4" w:space="0" w:color="0077BD"/>
              <w:right w:val="nil"/>
            </w:tcBorders>
            <w:shd w:val="clear" w:color="auto" w:fill="auto"/>
            <w:noWrap/>
            <w:vAlign w:val="center"/>
          </w:tcPr>
          <w:p w14:paraId="30BAB909" w14:textId="4D176524" w:rsidR="005C7654" w:rsidRPr="00C11F75" w:rsidRDefault="001C3F62" w:rsidP="00B1554A">
            <w:pPr>
              <w:jc w:val="right"/>
              <w:rPr>
                <w:rFonts w:cs="Arial"/>
                <w:color w:val="000000" w:themeColor="text1"/>
                <w:sz w:val="13"/>
                <w:szCs w:val="13"/>
              </w:rPr>
            </w:pPr>
            <w:r>
              <w:rPr>
                <w:rFonts w:cs="Arial"/>
                <w:color w:val="000000" w:themeColor="text1"/>
                <w:sz w:val="13"/>
                <w:szCs w:val="13"/>
              </w:rPr>
              <w:t>-</w:t>
            </w:r>
          </w:p>
        </w:tc>
      </w:tr>
      <w:tr w:rsidR="00B1554A" w:rsidRPr="00C11F75" w14:paraId="582395BE"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0E9E9876"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Wartości niematerialne</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754B90E6" w14:textId="461E844D"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955 440</w:t>
            </w:r>
          </w:p>
        </w:tc>
        <w:tc>
          <w:tcPr>
            <w:tcW w:w="1418" w:type="dxa"/>
            <w:tcBorders>
              <w:top w:val="nil"/>
              <w:left w:val="single" w:sz="8" w:space="0" w:color="0077BD"/>
              <w:bottom w:val="single" w:sz="4" w:space="0" w:color="0077BD"/>
              <w:right w:val="nil"/>
            </w:tcBorders>
            <w:shd w:val="clear" w:color="auto" w:fill="auto"/>
            <w:noWrap/>
            <w:vAlign w:val="center"/>
            <w:hideMark/>
          </w:tcPr>
          <w:p w14:paraId="6F02C3EF"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776 175</w:t>
            </w:r>
          </w:p>
        </w:tc>
      </w:tr>
      <w:tr w:rsidR="00B1554A" w:rsidRPr="00C11F75" w14:paraId="4C6A5794"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83485D8"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Rzeczowe aktywa trwałe</w:t>
            </w:r>
          </w:p>
        </w:tc>
        <w:tc>
          <w:tcPr>
            <w:tcW w:w="1418" w:type="dxa"/>
            <w:tcBorders>
              <w:top w:val="nil"/>
              <w:left w:val="single" w:sz="8" w:space="0" w:color="0077BD"/>
              <w:bottom w:val="single" w:sz="4" w:space="0" w:color="0077BD"/>
              <w:right w:val="nil"/>
            </w:tcBorders>
            <w:shd w:val="clear" w:color="auto" w:fill="auto"/>
            <w:noWrap/>
            <w:vAlign w:val="center"/>
          </w:tcPr>
          <w:p w14:paraId="41FF97EB" w14:textId="1BC660E1"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1 262 397</w:t>
            </w:r>
          </w:p>
        </w:tc>
        <w:tc>
          <w:tcPr>
            <w:tcW w:w="1418" w:type="dxa"/>
            <w:tcBorders>
              <w:top w:val="nil"/>
              <w:left w:val="single" w:sz="8" w:space="0" w:color="0077BD"/>
              <w:bottom w:val="single" w:sz="4" w:space="0" w:color="0077BD"/>
              <w:right w:val="nil"/>
            </w:tcBorders>
            <w:shd w:val="clear" w:color="auto" w:fill="auto"/>
            <w:noWrap/>
            <w:vAlign w:val="center"/>
            <w:hideMark/>
          </w:tcPr>
          <w:p w14:paraId="0573F428"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785 026</w:t>
            </w:r>
          </w:p>
        </w:tc>
      </w:tr>
      <w:tr w:rsidR="00B1554A" w:rsidRPr="00C11F75" w14:paraId="4830FF14"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6AEB9AF"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Należności z tytułu bieżącego podatku dochodowego</w:t>
            </w:r>
          </w:p>
        </w:tc>
        <w:tc>
          <w:tcPr>
            <w:tcW w:w="1418" w:type="dxa"/>
            <w:tcBorders>
              <w:top w:val="nil"/>
              <w:left w:val="single" w:sz="8" w:space="0" w:color="0077BD"/>
              <w:bottom w:val="single" w:sz="4" w:space="0" w:color="0077BD"/>
              <w:right w:val="nil"/>
            </w:tcBorders>
            <w:shd w:val="clear" w:color="auto" w:fill="auto"/>
            <w:noWrap/>
            <w:vAlign w:val="center"/>
          </w:tcPr>
          <w:p w14:paraId="18163E27" w14:textId="247F689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12 662</w:t>
            </w:r>
          </w:p>
        </w:tc>
        <w:tc>
          <w:tcPr>
            <w:tcW w:w="1418" w:type="dxa"/>
            <w:tcBorders>
              <w:top w:val="nil"/>
              <w:left w:val="single" w:sz="8" w:space="0" w:color="0077BD"/>
              <w:bottom w:val="single" w:sz="4" w:space="0" w:color="0077BD"/>
              <w:right w:val="nil"/>
            </w:tcBorders>
            <w:shd w:val="clear" w:color="auto" w:fill="auto"/>
            <w:noWrap/>
            <w:vAlign w:val="center"/>
            <w:hideMark/>
          </w:tcPr>
          <w:p w14:paraId="285B0DE6"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9 336</w:t>
            </w:r>
          </w:p>
        </w:tc>
      </w:tr>
      <w:tr w:rsidR="00B1554A" w:rsidRPr="00C11F75" w14:paraId="59CD656F"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AB689E5"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Aktywa z tytułu odroczonego podatku dochodowego</w:t>
            </w:r>
          </w:p>
        </w:tc>
        <w:tc>
          <w:tcPr>
            <w:tcW w:w="1418" w:type="dxa"/>
            <w:tcBorders>
              <w:top w:val="nil"/>
              <w:left w:val="single" w:sz="8" w:space="0" w:color="0077BD"/>
              <w:bottom w:val="single" w:sz="4" w:space="0" w:color="0077BD"/>
              <w:right w:val="nil"/>
            </w:tcBorders>
            <w:shd w:val="clear" w:color="auto" w:fill="auto"/>
            <w:noWrap/>
            <w:vAlign w:val="center"/>
          </w:tcPr>
          <w:p w14:paraId="67D4D1AF" w14:textId="46DC1BF5"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937 712</w:t>
            </w:r>
          </w:p>
        </w:tc>
        <w:tc>
          <w:tcPr>
            <w:tcW w:w="1418" w:type="dxa"/>
            <w:tcBorders>
              <w:top w:val="nil"/>
              <w:left w:val="single" w:sz="8" w:space="0" w:color="0077BD"/>
              <w:bottom w:val="single" w:sz="4" w:space="0" w:color="0077BD"/>
              <w:right w:val="nil"/>
            </w:tcBorders>
            <w:shd w:val="clear" w:color="auto" w:fill="auto"/>
            <w:noWrap/>
            <w:vAlign w:val="center"/>
            <w:hideMark/>
          </w:tcPr>
          <w:p w14:paraId="6A7D08F4"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959 076</w:t>
            </w:r>
          </w:p>
        </w:tc>
      </w:tr>
      <w:tr w:rsidR="00B1554A" w:rsidRPr="00C11F75" w14:paraId="2EF8FA79"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7B949A3" w14:textId="77777777" w:rsidR="00B1554A" w:rsidRPr="00C11F75" w:rsidRDefault="00B1554A" w:rsidP="00B1554A">
            <w:pPr>
              <w:rPr>
                <w:rFonts w:cs="Arial"/>
                <w:color w:val="000000" w:themeColor="text1"/>
                <w:sz w:val="13"/>
                <w:szCs w:val="13"/>
              </w:rPr>
            </w:pPr>
            <w:r w:rsidRPr="00C11F75">
              <w:rPr>
                <w:rFonts w:cs="Arial"/>
                <w:color w:val="000000" w:themeColor="text1"/>
                <w:sz w:val="13"/>
                <w:szCs w:val="13"/>
              </w:rPr>
              <w:t>Inne aktywa</w:t>
            </w:r>
          </w:p>
        </w:tc>
        <w:tc>
          <w:tcPr>
            <w:tcW w:w="1418" w:type="dxa"/>
            <w:tcBorders>
              <w:top w:val="nil"/>
              <w:left w:val="single" w:sz="8" w:space="0" w:color="0077BD"/>
              <w:bottom w:val="single" w:sz="4" w:space="0" w:color="0077BD"/>
              <w:right w:val="nil"/>
            </w:tcBorders>
            <w:shd w:val="clear" w:color="auto" w:fill="auto"/>
            <w:noWrap/>
            <w:vAlign w:val="center"/>
          </w:tcPr>
          <w:p w14:paraId="5A4AC4C9" w14:textId="05295B34"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956 928</w:t>
            </w:r>
          </w:p>
        </w:tc>
        <w:tc>
          <w:tcPr>
            <w:tcW w:w="1418" w:type="dxa"/>
            <w:tcBorders>
              <w:top w:val="nil"/>
              <w:left w:val="single" w:sz="8" w:space="0" w:color="0077BD"/>
              <w:bottom w:val="single" w:sz="4" w:space="0" w:color="0077BD"/>
              <w:right w:val="nil"/>
            </w:tcBorders>
            <w:shd w:val="clear" w:color="auto" w:fill="auto"/>
            <w:noWrap/>
            <w:vAlign w:val="center"/>
            <w:hideMark/>
          </w:tcPr>
          <w:p w14:paraId="016C334E" w14:textId="77777777" w:rsidR="00B1554A" w:rsidRPr="00C11F75" w:rsidRDefault="00B1554A" w:rsidP="00B1554A">
            <w:pPr>
              <w:jc w:val="right"/>
              <w:rPr>
                <w:rFonts w:cs="Arial"/>
                <w:color w:val="000000" w:themeColor="text1"/>
                <w:sz w:val="13"/>
                <w:szCs w:val="13"/>
              </w:rPr>
            </w:pPr>
            <w:r w:rsidRPr="00C11F75">
              <w:rPr>
                <w:rFonts w:cs="Arial"/>
                <w:color w:val="000000" w:themeColor="text1"/>
                <w:sz w:val="13"/>
                <w:szCs w:val="13"/>
              </w:rPr>
              <w:t>1 123 938</w:t>
            </w:r>
          </w:p>
        </w:tc>
      </w:tr>
      <w:tr w:rsidR="00B1554A" w:rsidRPr="00C11F75" w14:paraId="6A8E04E2" w14:textId="77777777" w:rsidTr="00CA5E84">
        <w:trPr>
          <w:trHeight w:val="255"/>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20ADC435" w14:textId="56C6E615" w:rsidR="00B1554A" w:rsidRPr="00C11F75" w:rsidRDefault="00B1554A" w:rsidP="00B1554A">
            <w:pPr>
              <w:rPr>
                <w:rFonts w:cs="Arial"/>
                <w:b/>
                <w:bCs/>
                <w:color w:val="000000" w:themeColor="text1"/>
                <w:sz w:val="13"/>
                <w:szCs w:val="13"/>
              </w:rPr>
            </w:pPr>
            <w:r w:rsidRPr="00C11F75">
              <w:rPr>
                <w:rFonts w:cs="Arial"/>
                <w:b/>
                <w:bCs/>
                <w:color w:val="000000" w:themeColor="text1"/>
                <w:sz w:val="13"/>
                <w:szCs w:val="13"/>
              </w:rPr>
              <w:t>AKTYWA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454CF8D6" w14:textId="742DA03E" w:rsidR="00B1554A" w:rsidRPr="00C11F75" w:rsidRDefault="00B1554A" w:rsidP="00B1554A">
            <w:pPr>
              <w:jc w:val="right"/>
              <w:rPr>
                <w:rFonts w:cs="Arial"/>
                <w:b/>
                <w:bCs/>
                <w:color w:val="000000" w:themeColor="text1"/>
                <w:sz w:val="13"/>
                <w:szCs w:val="13"/>
              </w:rPr>
            </w:pPr>
            <w:r w:rsidRPr="00C11F75">
              <w:rPr>
                <w:rFonts w:cs="Arial"/>
                <w:b/>
                <w:bCs/>
                <w:color w:val="000000" w:themeColor="text1"/>
                <w:sz w:val="13"/>
                <w:szCs w:val="13"/>
              </w:rPr>
              <w:t>158 808 174</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4F30831" w14:textId="53B6CD27" w:rsidR="00B1554A" w:rsidRPr="00C11F75" w:rsidRDefault="00FC2BF4" w:rsidP="00B1554A">
            <w:pPr>
              <w:jc w:val="right"/>
              <w:rPr>
                <w:rFonts w:cs="Arial"/>
                <w:b/>
                <w:bCs/>
                <w:color w:val="000000" w:themeColor="text1"/>
                <w:sz w:val="13"/>
                <w:szCs w:val="13"/>
              </w:rPr>
            </w:pPr>
            <w:r>
              <w:rPr>
                <w:rFonts w:cs="Arial"/>
                <w:b/>
                <w:bCs/>
                <w:color w:val="000000" w:themeColor="text1"/>
                <w:sz w:val="13"/>
                <w:szCs w:val="13"/>
              </w:rPr>
              <w:t>145 830 553</w:t>
            </w:r>
          </w:p>
        </w:tc>
      </w:tr>
      <w:tr w:rsidR="001046B6" w:rsidRPr="001046B6" w14:paraId="472B75EF" w14:textId="77777777" w:rsidTr="00E03F85">
        <w:trPr>
          <w:trHeight w:val="255"/>
        </w:trPr>
        <w:tc>
          <w:tcPr>
            <w:tcW w:w="6747" w:type="dxa"/>
            <w:tcBorders>
              <w:top w:val="nil"/>
              <w:left w:val="nil"/>
              <w:bottom w:val="nil"/>
              <w:right w:val="single" w:sz="8" w:space="0" w:color="FFFFFF"/>
            </w:tcBorders>
            <w:shd w:val="clear" w:color="000000" w:fill="0077BD"/>
            <w:vAlign w:val="center"/>
            <w:hideMark/>
          </w:tcPr>
          <w:p w14:paraId="18929C9F" w14:textId="77777777" w:rsidR="001046B6" w:rsidRPr="001046B6" w:rsidRDefault="001046B6" w:rsidP="001046B6">
            <w:pPr>
              <w:rPr>
                <w:rFonts w:cs="Arial"/>
                <w:b/>
                <w:bCs/>
                <w:color w:val="FFFFFF"/>
                <w:sz w:val="13"/>
                <w:szCs w:val="13"/>
              </w:rPr>
            </w:pPr>
            <w:r w:rsidRPr="001046B6">
              <w:rPr>
                <w:rFonts w:cs="Arial"/>
                <w:b/>
                <w:bCs/>
                <w:color w:val="FFFFFF"/>
                <w:sz w:val="13"/>
                <w:szCs w:val="13"/>
              </w:rPr>
              <w:t>ZOBOWIĄZANIA I KAPITAŁY</w:t>
            </w:r>
          </w:p>
        </w:tc>
        <w:tc>
          <w:tcPr>
            <w:tcW w:w="1418" w:type="dxa"/>
            <w:tcBorders>
              <w:top w:val="single" w:sz="8" w:space="0" w:color="FFFFFF"/>
              <w:left w:val="nil"/>
              <w:bottom w:val="nil"/>
              <w:right w:val="nil"/>
            </w:tcBorders>
            <w:shd w:val="clear" w:color="000000" w:fill="0077BD"/>
            <w:noWrap/>
            <w:vAlign w:val="center"/>
          </w:tcPr>
          <w:p w14:paraId="4B8F485E" w14:textId="67CBAA59" w:rsidR="001046B6" w:rsidRPr="001046B6" w:rsidRDefault="001046B6" w:rsidP="001046B6">
            <w:pPr>
              <w:jc w:val="center"/>
              <w:rPr>
                <w:rFonts w:cs="Arial"/>
                <w:b/>
                <w:bCs/>
                <w:color w:val="FFFFFF"/>
                <w:sz w:val="13"/>
                <w:szCs w:val="13"/>
              </w:rPr>
            </w:pPr>
          </w:p>
        </w:tc>
        <w:tc>
          <w:tcPr>
            <w:tcW w:w="1418" w:type="dxa"/>
            <w:tcBorders>
              <w:top w:val="single" w:sz="8" w:space="0" w:color="FFFFFF"/>
              <w:left w:val="single" w:sz="8" w:space="0" w:color="FFFFFF"/>
              <w:bottom w:val="nil"/>
              <w:right w:val="nil"/>
            </w:tcBorders>
            <w:shd w:val="clear" w:color="000000" w:fill="0077BD"/>
            <w:noWrap/>
            <w:vAlign w:val="center"/>
          </w:tcPr>
          <w:p w14:paraId="52D8185C" w14:textId="3A910077" w:rsidR="001046B6" w:rsidRPr="001046B6" w:rsidRDefault="001046B6" w:rsidP="001046B6">
            <w:pPr>
              <w:jc w:val="center"/>
              <w:rPr>
                <w:rFonts w:cs="Arial"/>
                <w:b/>
                <w:bCs/>
                <w:color w:val="FFFFFF"/>
                <w:sz w:val="13"/>
                <w:szCs w:val="13"/>
              </w:rPr>
            </w:pPr>
          </w:p>
        </w:tc>
      </w:tr>
      <w:tr w:rsidR="001046B6" w:rsidRPr="001046B6" w14:paraId="35FD44C3" w14:textId="77777777" w:rsidTr="00E03F85">
        <w:trPr>
          <w:trHeight w:val="255"/>
        </w:trPr>
        <w:tc>
          <w:tcPr>
            <w:tcW w:w="6747" w:type="dxa"/>
            <w:tcBorders>
              <w:top w:val="single" w:sz="8" w:space="0" w:color="FFFFFF"/>
              <w:left w:val="nil"/>
              <w:bottom w:val="nil"/>
              <w:right w:val="single" w:sz="8" w:space="0" w:color="FFFFFF"/>
            </w:tcBorders>
            <w:shd w:val="clear" w:color="000000" w:fill="0077BD"/>
            <w:vAlign w:val="center"/>
            <w:hideMark/>
          </w:tcPr>
          <w:p w14:paraId="69583CF8" w14:textId="3E4BDA45" w:rsidR="001046B6" w:rsidRPr="001046B6" w:rsidRDefault="00267AF8" w:rsidP="001046B6">
            <w:pPr>
              <w:rPr>
                <w:rFonts w:cs="Arial"/>
                <w:b/>
                <w:bCs/>
                <w:color w:val="FFFFFF"/>
                <w:sz w:val="13"/>
                <w:szCs w:val="13"/>
              </w:rPr>
            </w:pPr>
            <w:r>
              <w:rPr>
                <w:rFonts w:cs="Arial"/>
                <w:b/>
                <w:bCs/>
                <w:color w:val="FFFFFF"/>
                <w:sz w:val="13"/>
                <w:szCs w:val="13"/>
              </w:rPr>
              <w:t>ZOBOWIĄZANIA</w:t>
            </w:r>
            <w:r w:rsidR="001046B6" w:rsidRPr="001046B6">
              <w:rPr>
                <w:rFonts w:cs="Arial"/>
                <w:b/>
                <w:bCs/>
                <w:color w:val="FFFFFF"/>
                <w:sz w:val="13"/>
                <w:szCs w:val="13"/>
              </w:rPr>
              <w:t xml:space="preserve"> </w:t>
            </w:r>
          </w:p>
        </w:tc>
        <w:tc>
          <w:tcPr>
            <w:tcW w:w="1418" w:type="dxa"/>
            <w:tcBorders>
              <w:top w:val="single" w:sz="8" w:space="0" w:color="FFFFFF"/>
              <w:left w:val="nil"/>
              <w:bottom w:val="nil"/>
              <w:right w:val="nil"/>
            </w:tcBorders>
            <w:shd w:val="clear" w:color="000000" w:fill="0077BD"/>
            <w:noWrap/>
            <w:vAlign w:val="center"/>
          </w:tcPr>
          <w:p w14:paraId="7927EC8D" w14:textId="0A1B3CE6" w:rsidR="001046B6" w:rsidRPr="00B1554A" w:rsidRDefault="001046B6" w:rsidP="001046B6">
            <w:pPr>
              <w:jc w:val="center"/>
              <w:rPr>
                <w:rFonts w:cs="Arial"/>
                <w:b/>
                <w:bCs/>
                <w:color w:val="FFFFFF"/>
                <w:sz w:val="13"/>
                <w:szCs w:val="13"/>
              </w:rPr>
            </w:pPr>
          </w:p>
        </w:tc>
        <w:tc>
          <w:tcPr>
            <w:tcW w:w="1418" w:type="dxa"/>
            <w:tcBorders>
              <w:top w:val="single" w:sz="8" w:space="0" w:color="FFFFFF"/>
              <w:left w:val="single" w:sz="8" w:space="0" w:color="FFFFFF"/>
              <w:bottom w:val="nil"/>
              <w:right w:val="nil"/>
            </w:tcBorders>
            <w:shd w:val="clear" w:color="000000" w:fill="0077BD"/>
            <w:noWrap/>
            <w:vAlign w:val="center"/>
          </w:tcPr>
          <w:p w14:paraId="0BAAE419" w14:textId="0B52FF5D" w:rsidR="001046B6" w:rsidRPr="00B1554A" w:rsidRDefault="001046B6" w:rsidP="001046B6">
            <w:pPr>
              <w:jc w:val="center"/>
              <w:rPr>
                <w:rFonts w:cs="Arial"/>
                <w:b/>
                <w:bCs/>
                <w:color w:val="FFFFFF"/>
                <w:sz w:val="13"/>
                <w:szCs w:val="13"/>
              </w:rPr>
            </w:pPr>
          </w:p>
        </w:tc>
      </w:tr>
      <w:tr w:rsidR="00154A7A" w:rsidRPr="00C11F75" w14:paraId="7DCA4196" w14:textId="77777777" w:rsidTr="00CA5E84">
        <w:trPr>
          <w:trHeight w:val="255"/>
        </w:trPr>
        <w:tc>
          <w:tcPr>
            <w:tcW w:w="6747" w:type="dxa"/>
            <w:tcBorders>
              <w:top w:val="single" w:sz="4" w:space="0" w:color="0077BD"/>
              <w:left w:val="nil"/>
              <w:bottom w:val="single" w:sz="4" w:space="0" w:color="0077BD"/>
              <w:right w:val="single" w:sz="8" w:space="0" w:color="0077BD"/>
            </w:tcBorders>
            <w:shd w:val="clear" w:color="auto" w:fill="auto"/>
            <w:vAlign w:val="center"/>
            <w:hideMark/>
          </w:tcPr>
          <w:p w14:paraId="5043B0B9"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Zobowiązania finansowe przeznaczone do obrotu oraz instrumenty pochodne zabezpieczające</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4FDF98C6" w14:textId="1E701B85"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948 764</w:t>
            </w:r>
          </w:p>
        </w:tc>
        <w:tc>
          <w:tcPr>
            <w:tcW w:w="1418" w:type="dxa"/>
            <w:tcBorders>
              <w:top w:val="single" w:sz="4" w:space="0" w:color="0077BD"/>
              <w:left w:val="single" w:sz="8" w:space="0" w:color="0077BD"/>
              <w:bottom w:val="single" w:sz="4" w:space="0" w:color="0077BD"/>
              <w:right w:val="nil"/>
            </w:tcBorders>
            <w:shd w:val="clear" w:color="auto" w:fill="auto"/>
            <w:noWrap/>
            <w:vAlign w:val="center"/>
            <w:hideMark/>
          </w:tcPr>
          <w:p w14:paraId="4FF4CF87" w14:textId="77777777"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981 117</w:t>
            </w:r>
          </w:p>
        </w:tc>
      </w:tr>
      <w:tr w:rsidR="00154A7A" w:rsidRPr="00C11F75" w14:paraId="026B14FF"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34305A3"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Zobowiązania finansowe wyceniane w zamortyzowanym koszcie, w tym:</w:t>
            </w:r>
          </w:p>
        </w:tc>
        <w:tc>
          <w:tcPr>
            <w:tcW w:w="1418" w:type="dxa"/>
            <w:tcBorders>
              <w:top w:val="nil"/>
              <w:left w:val="single" w:sz="8" w:space="0" w:color="0077BD"/>
              <w:bottom w:val="single" w:sz="4" w:space="0" w:color="0077BD"/>
              <w:right w:val="nil"/>
            </w:tcBorders>
            <w:shd w:val="clear" w:color="auto" w:fill="auto"/>
            <w:noWrap/>
            <w:vAlign w:val="center"/>
          </w:tcPr>
          <w:p w14:paraId="4D3C18A7" w14:textId="4DDC88B2"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137 853 610</w:t>
            </w:r>
          </w:p>
        </w:tc>
        <w:tc>
          <w:tcPr>
            <w:tcW w:w="1418" w:type="dxa"/>
            <w:tcBorders>
              <w:top w:val="nil"/>
              <w:left w:val="single" w:sz="8" w:space="0" w:color="0077BD"/>
              <w:bottom w:val="single" w:sz="4" w:space="0" w:color="0077BD"/>
              <w:right w:val="nil"/>
            </w:tcBorders>
            <w:shd w:val="clear" w:color="auto" w:fill="auto"/>
            <w:noWrap/>
            <w:vAlign w:val="center"/>
            <w:hideMark/>
          </w:tcPr>
          <w:p w14:paraId="158AA1BA" w14:textId="735DBB9E" w:rsidR="00154A7A" w:rsidRPr="00C11F75" w:rsidRDefault="004B56B9" w:rsidP="004B56B9">
            <w:pPr>
              <w:jc w:val="right"/>
              <w:rPr>
                <w:rFonts w:cs="Arial"/>
                <w:color w:val="000000" w:themeColor="text1"/>
                <w:sz w:val="13"/>
                <w:szCs w:val="13"/>
              </w:rPr>
            </w:pPr>
            <w:r>
              <w:rPr>
                <w:rFonts w:cs="Arial"/>
                <w:color w:val="000000" w:themeColor="text1"/>
                <w:sz w:val="13"/>
                <w:szCs w:val="13"/>
              </w:rPr>
              <w:t>125 691</w:t>
            </w:r>
            <w:r w:rsidR="00154A7A" w:rsidRPr="00C11F75">
              <w:rPr>
                <w:rFonts w:cs="Arial"/>
                <w:color w:val="000000" w:themeColor="text1"/>
                <w:sz w:val="13"/>
                <w:szCs w:val="13"/>
              </w:rPr>
              <w:t xml:space="preserve"> </w:t>
            </w:r>
            <w:r>
              <w:rPr>
                <w:rFonts w:cs="Arial"/>
                <w:color w:val="000000" w:themeColor="text1"/>
                <w:sz w:val="13"/>
                <w:szCs w:val="13"/>
              </w:rPr>
              <w:t>756</w:t>
            </w:r>
          </w:p>
        </w:tc>
      </w:tr>
      <w:tr w:rsidR="00154A7A" w:rsidRPr="00C11F75" w14:paraId="0D9B3B26"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111257E" w14:textId="77777777" w:rsidR="00154A7A" w:rsidRPr="00C11F75" w:rsidRDefault="00154A7A" w:rsidP="00154A7A">
            <w:pPr>
              <w:ind w:firstLineChars="200" w:firstLine="260"/>
              <w:rPr>
                <w:rFonts w:cs="Arial"/>
                <w:i/>
                <w:iCs/>
                <w:color w:val="000000" w:themeColor="text1"/>
                <w:sz w:val="13"/>
                <w:szCs w:val="13"/>
              </w:rPr>
            </w:pPr>
            <w:r w:rsidRPr="00C11F75">
              <w:rPr>
                <w:rFonts w:cs="Arial"/>
                <w:i/>
                <w:iCs/>
                <w:color w:val="000000" w:themeColor="text1"/>
                <w:sz w:val="13"/>
                <w:szCs w:val="13"/>
              </w:rPr>
              <w:t>Zobowiązania wobec banków</w:t>
            </w:r>
          </w:p>
        </w:tc>
        <w:tc>
          <w:tcPr>
            <w:tcW w:w="1418" w:type="dxa"/>
            <w:tcBorders>
              <w:top w:val="nil"/>
              <w:left w:val="single" w:sz="8" w:space="0" w:color="0077BD"/>
              <w:bottom w:val="single" w:sz="4" w:space="0" w:color="0077BD"/>
              <w:right w:val="nil"/>
            </w:tcBorders>
            <w:shd w:val="clear" w:color="auto" w:fill="auto"/>
            <w:noWrap/>
            <w:vAlign w:val="center"/>
          </w:tcPr>
          <w:p w14:paraId="69D84F14" w14:textId="2074E42A"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1 168 178</w:t>
            </w:r>
          </w:p>
        </w:tc>
        <w:tc>
          <w:tcPr>
            <w:tcW w:w="1418" w:type="dxa"/>
            <w:tcBorders>
              <w:top w:val="nil"/>
              <w:left w:val="single" w:sz="8" w:space="0" w:color="0077BD"/>
              <w:bottom w:val="single" w:sz="4" w:space="0" w:color="0077BD"/>
              <w:right w:val="nil"/>
            </w:tcBorders>
            <w:shd w:val="clear" w:color="auto" w:fill="auto"/>
            <w:noWrap/>
            <w:vAlign w:val="center"/>
            <w:hideMark/>
          </w:tcPr>
          <w:p w14:paraId="2A5EB039" w14:textId="5C585882" w:rsidR="00154A7A" w:rsidRPr="00C11F75" w:rsidRDefault="004B56B9" w:rsidP="004B56B9">
            <w:pPr>
              <w:jc w:val="right"/>
              <w:rPr>
                <w:rFonts w:cs="Arial"/>
                <w:i/>
                <w:iCs/>
                <w:color w:val="000000" w:themeColor="text1"/>
                <w:sz w:val="13"/>
                <w:szCs w:val="13"/>
              </w:rPr>
            </w:pPr>
            <w:r>
              <w:rPr>
                <w:rFonts w:cs="Arial"/>
                <w:i/>
                <w:iCs/>
                <w:color w:val="000000" w:themeColor="text1"/>
                <w:sz w:val="13"/>
                <w:szCs w:val="13"/>
              </w:rPr>
              <w:t>3 108</w:t>
            </w:r>
            <w:r w:rsidR="00154A7A" w:rsidRPr="00C11F75">
              <w:rPr>
                <w:rFonts w:cs="Arial"/>
                <w:i/>
                <w:iCs/>
                <w:color w:val="000000" w:themeColor="text1"/>
                <w:sz w:val="13"/>
                <w:szCs w:val="13"/>
              </w:rPr>
              <w:t xml:space="preserve"> </w:t>
            </w:r>
            <w:r>
              <w:rPr>
                <w:rFonts w:cs="Arial"/>
                <w:i/>
                <w:iCs/>
                <w:color w:val="000000" w:themeColor="text1"/>
                <w:sz w:val="13"/>
                <w:szCs w:val="13"/>
              </w:rPr>
              <w:t>826</w:t>
            </w:r>
          </w:p>
        </w:tc>
      </w:tr>
      <w:tr w:rsidR="00154A7A" w:rsidRPr="00C11F75" w14:paraId="6BAB76FA"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738DC60" w14:textId="77777777" w:rsidR="00154A7A" w:rsidRPr="00C11F75" w:rsidRDefault="00154A7A" w:rsidP="00154A7A">
            <w:pPr>
              <w:ind w:firstLineChars="200" w:firstLine="260"/>
              <w:rPr>
                <w:rFonts w:cs="Arial"/>
                <w:i/>
                <w:iCs/>
                <w:color w:val="000000" w:themeColor="text1"/>
                <w:sz w:val="13"/>
                <w:szCs w:val="13"/>
              </w:rPr>
            </w:pPr>
            <w:r w:rsidRPr="00C11F75">
              <w:rPr>
                <w:rFonts w:cs="Arial"/>
                <w:i/>
                <w:iCs/>
                <w:color w:val="000000" w:themeColor="text1"/>
                <w:sz w:val="13"/>
                <w:szCs w:val="13"/>
              </w:rPr>
              <w:t>Zobowiązania wobec klientów</w:t>
            </w:r>
          </w:p>
        </w:tc>
        <w:tc>
          <w:tcPr>
            <w:tcW w:w="1418" w:type="dxa"/>
            <w:tcBorders>
              <w:top w:val="nil"/>
              <w:left w:val="single" w:sz="8" w:space="0" w:color="0077BD"/>
              <w:bottom w:val="single" w:sz="4" w:space="0" w:color="0077BD"/>
              <w:right w:val="nil"/>
            </w:tcBorders>
            <w:shd w:val="clear" w:color="auto" w:fill="auto"/>
            <w:noWrap/>
            <w:vAlign w:val="center"/>
          </w:tcPr>
          <w:p w14:paraId="7B6B11DC" w14:textId="3F61EE62"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116 750 072</w:t>
            </w:r>
          </w:p>
        </w:tc>
        <w:tc>
          <w:tcPr>
            <w:tcW w:w="1418" w:type="dxa"/>
            <w:tcBorders>
              <w:top w:val="nil"/>
              <w:left w:val="single" w:sz="8" w:space="0" w:color="0077BD"/>
              <w:bottom w:val="single" w:sz="4" w:space="0" w:color="0077BD"/>
              <w:right w:val="nil"/>
            </w:tcBorders>
            <w:shd w:val="clear" w:color="auto" w:fill="auto"/>
            <w:noWrap/>
            <w:vAlign w:val="center"/>
            <w:hideMark/>
          </w:tcPr>
          <w:p w14:paraId="55990D99" w14:textId="77777777"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102 059 184</w:t>
            </w:r>
          </w:p>
        </w:tc>
      </w:tr>
      <w:tr w:rsidR="00154A7A" w:rsidRPr="00C11F75" w14:paraId="28599A61"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C005134" w14:textId="77777777" w:rsidR="00154A7A" w:rsidRPr="00C11F75" w:rsidRDefault="00154A7A" w:rsidP="00154A7A">
            <w:pPr>
              <w:ind w:firstLineChars="200" w:firstLine="260"/>
              <w:rPr>
                <w:rFonts w:cs="Arial"/>
                <w:i/>
                <w:iCs/>
                <w:color w:val="000000" w:themeColor="text1"/>
                <w:sz w:val="13"/>
                <w:szCs w:val="13"/>
              </w:rPr>
            </w:pPr>
            <w:r w:rsidRPr="00C11F75">
              <w:rPr>
                <w:rFonts w:cs="Arial"/>
                <w:i/>
                <w:iCs/>
                <w:color w:val="000000" w:themeColor="text1"/>
                <w:sz w:val="13"/>
                <w:szCs w:val="13"/>
              </w:rPr>
              <w:t>Zobowiązania z tytułu emisji dłużnych papierów wartościowych</w:t>
            </w:r>
          </w:p>
        </w:tc>
        <w:tc>
          <w:tcPr>
            <w:tcW w:w="1418" w:type="dxa"/>
            <w:tcBorders>
              <w:top w:val="nil"/>
              <w:left w:val="single" w:sz="8" w:space="0" w:color="0077BD"/>
              <w:bottom w:val="single" w:sz="4" w:space="0" w:color="0077BD"/>
              <w:right w:val="nil"/>
            </w:tcBorders>
            <w:shd w:val="clear" w:color="auto" w:fill="auto"/>
            <w:noWrap/>
            <w:vAlign w:val="center"/>
          </w:tcPr>
          <w:p w14:paraId="2337FF73" w14:textId="2B02F840"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17 435 143</w:t>
            </w:r>
          </w:p>
        </w:tc>
        <w:tc>
          <w:tcPr>
            <w:tcW w:w="1418" w:type="dxa"/>
            <w:tcBorders>
              <w:top w:val="nil"/>
              <w:left w:val="single" w:sz="8" w:space="0" w:color="0077BD"/>
              <w:bottom w:val="single" w:sz="4" w:space="0" w:color="0077BD"/>
              <w:right w:val="nil"/>
            </w:tcBorders>
            <w:shd w:val="clear" w:color="auto" w:fill="auto"/>
            <w:noWrap/>
            <w:vAlign w:val="center"/>
            <w:hideMark/>
          </w:tcPr>
          <w:p w14:paraId="364FA429" w14:textId="77777777"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18 049 583</w:t>
            </w:r>
          </w:p>
        </w:tc>
      </w:tr>
      <w:tr w:rsidR="00154A7A" w:rsidRPr="00C11F75" w14:paraId="15148DD3"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0843AC8" w14:textId="77777777" w:rsidR="00154A7A" w:rsidRPr="00C11F75" w:rsidRDefault="00154A7A" w:rsidP="00154A7A">
            <w:pPr>
              <w:ind w:firstLineChars="200" w:firstLine="260"/>
              <w:rPr>
                <w:rFonts w:cs="Arial"/>
                <w:i/>
                <w:iCs/>
                <w:color w:val="000000" w:themeColor="text1"/>
                <w:sz w:val="13"/>
                <w:szCs w:val="13"/>
              </w:rPr>
            </w:pPr>
            <w:r w:rsidRPr="00C11F75">
              <w:rPr>
                <w:rFonts w:cs="Arial"/>
                <w:i/>
                <w:iCs/>
                <w:color w:val="000000" w:themeColor="text1"/>
                <w:sz w:val="13"/>
                <w:szCs w:val="13"/>
              </w:rPr>
              <w:t xml:space="preserve">Zobowiązania podporządkowane </w:t>
            </w:r>
          </w:p>
        </w:tc>
        <w:tc>
          <w:tcPr>
            <w:tcW w:w="1418" w:type="dxa"/>
            <w:tcBorders>
              <w:top w:val="nil"/>
              <w:left w:val="single" w:sz="8" w:space="0" w:color="0077BD"/>
              <w:bottom w:val="single" w:sz="4" w:space="0" w:color="0077BD"/>
              <w:right w:val="nil"/>
            </w:tcBorders>
            <w:shd w:val="clear" w:color="auto" w:fill="auto"/>
            <w:noWrap/>
            <w:vAlign w:val="center"/>
          </w:tcPr>
          <w:p w14:paraId="3BCFBF55" w14:textId="2BFA7024"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2 500 217</w:t>
            </w:r>
          </w:p>
        </w:tc>
        <w:tc>
          <w:tcPr>
            <w:tcW w:w="1418" w:type="dxa"/>
            <w:tcBorders>
              <w:top w:val="nil"/>
              <w:left w:val="single" w:sz="8" w:space="0" w:color="0077BD"/>
              <w:bottom w:val="single" w:sz="4" w:space="0" w:color="0077BD"/>
              <w:right w:val="nil"/>
            </w:tcBorders>
            <w:shd w:val="clear" w:color="auto" w:fill="auto"/>
            <w:noWrap/>
            <w:vAlign w:val="center"/>
            <w:hideMark/>
          </w:tcPr>
          <w:p w14:paraId="2BEBEDF5" w14:textId="77777777" w:rsidR="00154A7A" w:rsidRPr="00C11F75" w:rsidRDefault="00154A7A" w:rsidP="00154A7A">
            <w:pPr>
              <w:jc w:val="right"/>
              <w:rPr>
                <w:rFonts w:cs="Arial"/>
                <w:i/>
                <w:iCs/>
                <w:color w:val="000000" w:themeColor="text1"/>
                <w:sz w:val="13"/>
                <w:szCs w:val="13"/>
              </w:rPr>
            </w:pPr>
            <w:r w:rsidRPr="00C11F75">
              <w:rPr>
                <w:rFonts w:cs="Arial"/>
                <w:i/>
                <w:iCs/>
                <w:color w:val="000000" w:themeColor="text1"/>
                <w:sz w:val="13"/>
                <w:szCs w:val="13"/>
              </w:rPr>
              <w:t>2 474 163</w:t>
            </w:r>
          </w:p>
        </w:tc>
      </w:tr>
      <w:tr w:rsidR="00154A7A" w:rsidRPr="00C11F75" w14:paraId="753BE884" w14:textId="77777777" w:rsidTr="00CA5E84">
        <w:trPr>
          <w:trHeight w:val="340"/>
        </w:trPr>
        <w:tc>
          <w:tcPr>
            <w:tcW w:w="6747" w:type="dxa"/>
            <w:tcBorders>
              <w:top w:val="nil"/>
              <w:left w:val="nil"/>
              <w:bottom w:val="single" w:sz="4" w:space="0" w:color="0077BD"/>
              <w:right w:val="single" w:sz="8" w:space="0" w:color="0077BD"/>
            </w:tcBorders>
            <w:shd w:val="clear" w:color="auto" w:fill="auto"/>
            <w:vAlign w:val="center"/>
          </w:tcPr>
          <w:p w14:paraId="3FAE9681" w14:textId="3CDCDD62" w:rsidR="00154A7A" w:rsidRPr="00C11F75" w:rsidRDefault="00154A7A" w:rsidP="00154A7A">
            <w:pPr>
              <w:rPr>
                <w:rFonts w:cs="Arial"/>
                <w:color w:val="000000" w:themeColor="text1"/>
                <w:sz w:val="13"/>
                <w:szCs w:val="13"/>
              </w:rPr>
            </w:pPr>
            <w:r w:rsidRPr="00C11F75">
              <w:rPr>
                <w:rFonts w:cs="Arial"/>
                <w:color w:val="000000" w:themeColor="text1"/>
                <w:sz w:val="13"/>
                <w:szCs w:val="13"/>
              </w:rPr>
              <w:t>Zmiany wartości godziwej pozycji zabezpieczanych w zabezpieczaniu portfela przed ryzykiem stopy procentowej</w:t>
            </w:r>
          </w:p>
        </w:tc>
        <w:tc>
          <w:tcPr>
            <w:tcW w:w="1418" w:type="dxa"/>
            <w:tcBorders>
              <w:top w:val="nil"/>
              <w:left w:val="single" w:sz="8" w:space="0" w:color="0077BD"/>
              <w:bottom w:val="single" w:sz="4" w:space="0" w:color="0077BD"/>
              <w:right w:val="nil"/>
            </w:tcBorders>
            <w:shd w:val="clear" w:color="auto" w:fill="auto"/>
            <w:noWrap/>
            <w:vAlign w:val="center"/>
          </w:tcPr>
          <w:p w14:paraId="27D0994C" w14:textId="41ACD418"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136</w:t>
            </w:r>
          </w:p>
        </w:tc>
        <w:tc>
          <w:tcPr>
            <w:tcW w:w="1418" w:type="dxa"/>
            <w:tcBorders>
              <w:top w:val="nil"/>
              <w:left w:val="single" w:sz="8" w:space="0" w:color="0077BD"/>
              <w:bottom w:val="single" w:sz="4" w:space="0" w:color="0077BD"/>
              <w:right w:val="nil"/>
            </w:tcBorders>
            <w:shd w:val="clear" w:color="auto" w:fill="auto"/>
            <w:noWrap/>
            <w:vAlign w:val="center"/>
          </w:tcPr>
          <w:p w14:paraId="0895C890" w14:textId="5D128E0B"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w:t>
            </w:r>
          </w:p>
        </w:tc>
      </w:tr>
      <w:tr w:rsidR="00154A7A" w:rsidRPr="00C11F75" w14:paraId="37E78AEC"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2054F28"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Rezerwy</w:t>
            </w:r>
          </w:p>
        </w:tc>
        <w:tc>
          <w:tcPr>
            <w:tcW w:w="1418" w:type="dxa"/>
            <w:tcBorders>
              <w:top w:val="single" w:sz="4" w:space="0" w:color="0077BD"/>
              <w:left w:val="single" w:sz="8" w:space="0" w:color="0077BD"/>
              <w:bottom w:val="single" w:sz="4" w:space="0" w:color="0077BD"/>
              <w:right w:val="nil"/>
            </w:tcBorders>
            <w:shd w:val="clear" w:color="auto" w:fill="auto"/>
            <w:noWrap/>
            <w:vAlign w:val="center"/>
          </w:tcPr>
          <w:p w14:paraId="10BA7472" w14:textId="058A82B5"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739 296</w:t>
            </w:r>
          </w:p>
        </w:tc>
        <w:tc>
          <w:tcPr>
            <w:tcW w:w="1418" w:type="dxa"/>
            <w:tcBorders>
              <w:top w:val="nil"/>
              <w:left w:val="single" w:sz="8" w:space="0" w:color="0077BD"/>
              <w:bottom w:val="single" w:sz="4" w:space="0" w:color="0077BD"/>
              <w:right w:val="nil"/>
            </w:tcBorders>
            <w:shd w:val="clear" w:color="auto" w:fill="auto"/>
            <w:noWrap/>
            <w:vAlign w:val="center"/>
            <w:hideMark/>
          </w:tcPr>
          <w:p w14:paraId="5C11F4C2" w14:textId="77777777"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258 283</w:t>
            </w:r>
          </w:p>
        </w:tc>
      </w:tr>
      <w:tr w:rsidR="00154A7A" w:rsidRPr="00C11F75" w14:paraId="5CD52542"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8C94E69"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Bieżące zobowiązanie z tytułu podatku dochodowego</w:t>
            </w:r>
          </w:p>
        </w:tc>
        <w:tc>
          <w:tcPr>
            <w:tcW w:w="1418" w:type="dxa"/>
            <w:tcBorders>
              <w:top w:val="nil"/>
              <w:left w:val="single" w:sz="8" w:space="0" w:color="0077BD"/>
              <w:bottom w:val="single" w:sz="4" w:space="0" w:color="0077BD"/>
              <w:right w:val="nil"/>
            </w:tcBorders>
            <w:shd w:val="clear" w:color="auto" w:fill="auto"/>
            <w:noWrap/>
            <w:vAlign w:val="center"/>
          </w:tcPr>
          <w:p w14:paraId="6DD1E157" w14:textId="2DC503CA"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161 534</w:t>
            </w:r>
          </w:p>
        </w:tc>
        <w:tc>
          <w:tcPr>
            <w:tcW w:w="1418" w:type="dxa"/>
            <w:tcBorders>
              <w:top w:val="nil"/>
              <w:left w:val="single" w:sz="8" w:space="0" w:color="0077BD"/>
              <w:bottom w:val="single" w:sz="4" w:space="0" w:color="0077BD"/>
              <w:right w:val="nil"/>
            </w:tcBorders>
            <w:shd w:val="clear" w:color="auto" w:fill="auto"/>
            <w:noWrap/>
            <w:vAlign w:val="center"/>
            <w:hideMark/>
          </w:tcPr>
          <w:p w14:paraId="27BEC696" w14:textId="77777777"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352 962</w:t>
            </w:r>
          </w:p>
        </w:tc>
      </w:tr>
      <w:tr w:rsidR="00154A7A" w:rsidRPr="00C11F75" w14:paraId="197C1DCC"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8033ABA"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Rezerwa z tytułu odroczonego podatku dochodowego</w:t>
            </w:r>
          </w:p>
        </w:tc>
        <w:tc>
          <w:tcPr>
            <w:tcW w:w="1418" w:type="dxa"/>
            <w:tcBorders>
              <w:top w:val="nil"/>
              <w:left w:val="single" w:sz="8" w:space="0" w:color="0077BD"/>
              <w:bottom w:val="single" w:sz="4" w:space="0" w:color="0077BD"/>
              <w:right w:val="nil"/>
            </w:tcBorders>
            <w:shd w:val="clear" w:color="auto" w:fill="auto"/>
            <w:noWrap/>
            <w:vAlign w:val="center"/>
          </w:tcPr>
          <w:p w14:paraId="2EF0E509" w14:textId="7A2F3266"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82</w:t>
            </w:r>
          </w:p>
        </w:tc>
        <w:tc>
          <w:tcPr>
            <w:tcW w:w="1418" w:type="dxa"/>
            <w:tcBorders>
              <w:top w:val="nil"/>
              <w:left w:val="single" w:sz="8" w:space="0" w:color="0077BD"/>
              <w:bottom w:val="single" w:sz="4" w:space="0" w:color="0077BD"/>
              <w:right w:val="nil"/>
            </w:tcBorders>
            <w:shd w:val="clear" w:color="auto" w:fill="auto"/>
            <w:noWrap/>
            <w:vAlign w:val="center"/>
            <w:hideMark/>
          </w:tcPr>
          <w:p w14:paraId="6A8F60A9" w14:textId="77777777"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83</w:t>
            </w:r>
          </w:p>
        </w:tc>
      </w:tr>
      <w:tr w:rsidR="00154A7A" w:rsidRPr="00C11F75" w14:paraId="748E825E"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9FC07E0" w14:textId="77777777" w:rsidR="00154A7A" w:rsidRPr="00C11F75" w:rsidRDefault="00154A7A" w:rsidP="00154A7A">
            <w:pPr>
              <w:rPr>
                <w:rFonts w:cs="Arial"/>
                <w:color w:val="000000" w:themeColor="text1"/>
                <w:sz w:val="13"/>
                <w:szCs w:val="13"/>
              </w:rPr>
            </w:pPr>
            <w:r w:rsidRPr="00C11F75">
              <w:rPr>
                <w:rFonts w:cs="Arial"/>
                <w:color w:val="000000" w:themeColor="text1"/>
                <w:sz w:val="13"/>
                <w:szCs w:val="13"/>
              </w:rPr>
              <w:t>Inne zobowiązania</w:t>
            </w:r>
          </w:p>
        </w:tc>
        <w:tc>
          <w:tcPr>
            <w:tcW w:w="1418" w:type="dxa"/>
            <w:tcBorders>
              <w:top w:val="nil"/>
              <w:left w:val="single" w:sz="8" w:space="0" w:color="0077BD"/>
              <w:bottom w:val="single" w:sz="4" w:space="0" w:color="0077BD"/>
              <w:right w:val="nil"/>
            </w:tcBorders>
            <w:shd w:val="clear" w:color="auto" w:fill="auto"/>
            <w:noWrap/>
            <w:vAlign w:val="center"/>
          </w:tcPr>
          <w:p w14:paraId="64C6F550" w14:textId="7FAD60F9" w:rsidR="00154A7A" w:rsidRPr="00C11F75" w:rsidRDefault="00154A7A" w:rsidP="00154A7A">
            <w:pPr>
              <w:jc w:val="right"/>
              <w:rPr>
                <w:rFonts w:cs="Arial"/>
                <w:color w:val="000000" w:themeColor="text1"/>
                <w:sz w:val="13"/>
                <w:szCs w:val="13"/>
              </w:rPr>
            </w:pPr>
            <w:r w:rsidRPr="00C11F75">
              <w:rPr>
                <w:rFonts w:cs="Arial"/>
                <w:color w:val="000000" w:themeColor="text1"/>
                <w:sz w:val="13"/>
                <w:szCs w:val="13"/>
              </w:rPr>
              <w:t>2 951 447</w:t>
            </w:r>
          </w:p>
        </w:tc>
        <w:tc>
          <w:tcPr>
            <w:tcW w:w="1418" w:type="dxa"/>
            <w:tcBorders>
              <w:top w:val="nil"/>
              <w:left w:val="single" w:sz="8" w:space="0" w:color="0077BD"/>
              <w:bottom w:val="single" w:sz="4" w:space="0" w:color="0077BD"/>
              <w:right w:val="nil"/>
            </w:tcBorders>
            <w:shd w:val="clear" w:color="auto" w:fill="auto"/>
            <w:noWrap/>
            <w:vAlign w:val="center"/>
            <w:hideMark/>
          </w:tcPr>
          <w:p w14:paraId="3FBDEF34" w14:textId="19C88F83" w:rsidR="00154A7A" w:rsidRPr="00C11F75" w:rsidRDefault="004B56B9" w:rsidP="004B56B9">
            <w:pPr>
              <w:jc w:val="right"/>
              <w:rPr>
                <w:rFonts w:cs="Arial"/>
                <w:color w:val="000000" w:themeColor="text1"/>
                <w:sz w:val="13"/>
                <w:szCs w:val="13"/>
              </w:rPr>
            </w:pPr>
            <w:r>
              <w:rPr>
                <w:rFonts w:cs="Arial"/>
                <w:color w:val="000000" w:themeColor="text1"/>
                <w:sz w:val="13"/>
                <w:szCs w:val="13"/>
              </w:rPr>
              <w:t>3 375</w:t>
            </w:r>
            <w:r w:rsidR="00154A7A" w:rsidRPr="00C11F75">
              <w:rPr>
                <w:rFonts w:cs="Arial"/>
                <w:color w:val="000000" w:themeColor="text1"/>
                <w:sz w:val="13"/>
                <w:szCs w:val="13"/>
              </w:rPr>
              <w:t xml:space="preserve"> </w:t>
            </w:r>
            <w:r>
              <w:rPr>
                <w:rFonts w:cs="Arial"/>
                <w:color w:val="000000" w:themeColor="text1"/>
                <w:sz w:val="13"/>
                <w:szCs w:val="13"/>
              </w:rPr>
              <w:t>145</w:t>
            </w:r>
          </w:p>
        </w:tc>
      </w:tr>
      <w:tr w:rsidR="00154A7A" w:rsidRPr="00C11F75" w14:paraId="24E7C1C4" w14:textId="77777777" w:rsidTr="00CA5E84">
        <w:trPr>
          <w:trHeight w:val="255"/>
        </w:trPr>
        <w:tc>
          <w:tcPr>
            <w:tcW w:w="6747" w:type="dxa"/>
            <w:tcBorders>
              <w:top w:val="single" w:sz="8" w:space="0" w:color="0077BD"/>
              <w:left w:val="nil"/>
              <w:bottom w:val="single" w:sz="8" w:space="0" w:color="0077BD"/>
              <w:right w:val="single" w:sz="8" w:space="0" w:color="0077BD"/>
            </w:tcBorders>
            <w:shd w:val="clear" w:color="auto" w:fill="auto"/>
            <w:noWrap/>
            <w:vAlign w:val="center"/>
            <w:hideMark/>
          </w:tcPr>
          <w:p w14:paraId="1A2C403E" w14:textId="2DF77BF7" w:rsidR="00154A7A" w:rsidRPr="00C11F75" w:rsidRDefault="00154A7A" w:rsidP="00154A7A">
            <w:pPr>
              <w:rPr>
                <w:rFonts w:cs="Arial"/>
                <w:b/>
                <w:bCs/>
                <w:color w:val="000000" w:themeColor="text1"/>
                <w:sz w:val="13"/>
                <w:szCs w:val="13"/>
              </w:rPr>
            </w:pPr>
            <w:r w:rsidRPr="00C11F75">
              <w:rPr>
                <w:rFonts w:cs="Arial"/>
                <w:b/>
                <w:bCs/>
                <w:color w:val="000000" w:themeColor="text1"/>
                <w:sz w:val="13"/>
                <w:szCs w:val="13"/>
              </w:rPr>
              <w:t>ZOBOWIĄZANIA RAZEM</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2EA95A2C" w14:textId="503FB851" w:rsidR="00154A7A" w:rsidRPr="00C11F75" w:rsidRDefault="00154A7A" w:rsidP="00154A7A">
            <w:pPr>
              <w:jc w:val="right"/>
              <w:rPr>
                <w:rFonts w:cs="Arial"/>
                <w:b/>
                <w:bCs/>
                <w:color w:val="000000" w:themeColor="text1"/>
                <w:sz w:val="13"/>
                <w:szCs w:val="13"/>
              </w:rPr>
            </w:pPr>
            <w:r w:rsidRPr="00C11F75">
              <w:rPr>
                <w:rFonts w:cs="Arial"/>
                <w:b/>
                <w:bCs/>
                <w:color w:val="000000" w:themeColor="text1"/>
                <w:sz w:val="13"/>
                <w:szCs w:val="13"/>
              </w:rPr>
              <w:t>142 654 869</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1F5270C" w14:textId="7EF36896" w:rsidR="00154A7A" w:rsidRPr="00C11F75" w:rsidRDefault="004B56B9" w:rsidP="004B56B9">
            <w:pPr>
              <w:jc w:val="right"/>
              <w:rPr>
                <w:rFonts w:cs="Arial"/>
                <w:b/>
                <w:bCs/>
                <w:color w:val="000000" w:themeColor="text1"/>
                <w:sz w:val="13"/>
                <w:szCs w:val="13"/>
              </w:rPr>
            </w:pPr>
            <w:r>
              <w:rPr>
                <w:rFonts w:cs="Arial"/>
                <w:b/>
                <w:bCs/>
                <w:color w:val="000000" w:themeColor="text1"/>
                <w:sz w:val="13"/>
                <w:szCs w:val="13"/>
              </w:rPr>
              <w:t>130 659</w:t>
            </w:r>
            <w:r w:rsidR="00154A7A" w:rsidRPr="00C11F75">
              <w:rPr>
                <w:rFonts w:cs="Arial"/>
                <w:b/>
                <w:bCs/>
                <w:color w:val="000000" w:themeColor="text1"/>
                <w:sz w:val="13"/>
                <w:szCs w:val="13"/>
              </w:rPr>
              <w:t xml:space="preserve"> </w:t>
            </w:r>
            <w:r>
              <w:rPr>
                <w:rFonts w:cs="Arial"/>
                <w:b/>
                <w:bCs/>
                <w:color w:val="000000" w:themeColor="text1"/>
                <w:sz w:val="13"/>
                <w:szCs w:val="13"/>
              </w:rPr>
              <w:t>346</w:t>
            </w:r>
          </w:p>
        </w:tc>
      </w:tr>
      <w:tr w:rsidR="001046B6" w:rsidRPr="001046B6" w14:paraId="09527326" w14:textId="77777777" w:rsidTr="00E03F85">
        <w:trPr>
          <w:trHeight w:val="284"/>
        </w:trPr>
        <w:tc>
          <w:tcPr>
            <w:tcW w:w="6747" w:type="dxa"/>
            <w:tcBorders>
              <w:top w:val="single" w:sz="8" w:space="0" w:color="FFFFFF"/>
              <w:left w:val="nil"/>
              <w:bottom w:val="nil"/>
              <w:right w:val="single" w:sz="8" w:space="0" w:color="FFFFFF"/>
            </w:tcBorders>
            <w:shd w:val="clear" w:color="000000" w:fill="0077BD"/>
            <w:vAlign w:val="center"/>
            <w:hideMark/>
          </w:tcPr>
          <w:p w14:paraId="26FA3E7F" w14:textId="2CE56AC9" w:rsidR="001046B6" w:rsidRPr="001046B6" w:rsidRDefault="00267AF8" w:rsidP="001046B6">
            <w:pPr>
              <w:rPr>
                <w:rFonts w:cs="Arial"/>
                <w:b/>
                <w:bCs/>
                <w:color w:val="FFFFFF"/>
                <w:sz w:val="13"/>
                <w:szCs w:val="13"/>
              </w:rPr>
            </w:pPr>
            <w:r>
              <w:rPr>
                <w:rFonts w:cs="Arial"/>
                <w:b/>
                <w:bCs/>
                <w:color w:val="FFFFFF"/>
                <w:sz w:val="13"/>
                <w:szCs w:val="13"/>
              </w:rPr>
              <w:t>KAPITAŁY</w:t>
            </w:r>
          </w:p>
        </w:tc>
        <w:tc>
          <w:tcPr>
            <w:tcW w:w="1418" w:type="dxa"/>
            <w:tcBorders>
              <w:top w:val="single" w:sz="8" w:space="0" w:color="FFFFFF"/>
              <w:left w:val="nil"/>
              <w:bottom w:val="nil"/>
              <w:right w:val="nil"/>
            </w:tcBorders>
            <w:shd w:val="clear" w:color="000000" w:fill="0077BD"/>
            <w:noWrap/>
            <w:vAlign w:val="center"/>
          </w:tcPr>
          <w:p w14:paraId="693C4668" w14:textId="384C0944" w:rsidR="001046B6" w:rsidRPr="001046B6" w:rsidRDefault="001046B6" w:rsidP="001046B6">
            <w:pPr>
              <w:jc w:val="right"/>
              <w:rPr>
                <w:rFonts w:cs="Arial"/>
                <w:b/>
                <w:bCs/>
                <w:color w:val="FFFFFF"/>
                <w:sz w:val="13"/>
                <w:szCs w:val="13"/>
              </w:rPr>
            </w:pPr>
          </w:p>
        </w:tc>
        <w:tc>
          <w:tcPr>
            <w:tcW w:w="1418" w:type="dxa"/>
            <w:tcBorders>
              <w:top w:val="single" w:sz="8" w:space="0" w:color="FFFFFF"/>
              <w:left w:val="single" w:sz="8" w:space="0" w:color="FFFFFF"/>
              <w:bottom w:val="nil"/>
              <w:right w:val="nil"/>
            </w:tcBorders>
            <w:shd w:val="clear" w:color="000000" w:fill="0077BD"/>
            <w:noWrap/>
            <w:vAlign w:val="center"/>
          </w:tcPr>
          <w:p w14:paraId="4865ED6E" w14:textId="26FC4E13" w:rsidR="001046B6" w:rsidRPr="009632C9" w:rsidRDefault="001046B6" w:rsidP="001046B6">
            <w:pPr>
              <w:jc w:val="right"/>
              <w:rPr>
                <w:rFonts w:cs="Arial"/>
                <w:b/>
                <w:bCs/>
                <w:color w:val="000000" w:themeColor="text1"/>
                <w:sz w:val="13"/>
                <w:szCs w:val="13"/>
              </w:rPr>
            </w:pPr>
          </w:p>
        </w:tc>
      </w:tr>
      <w:tr w:rsidR="004B56B9" w:rsidRPr="00C11F75" w14:paraId="5FC60A76" w14:textId="77777777" w:rsidTr="00CA5E84">
        <w:trPr>
          <w:trHeight w:val="255"/>
        </w:trPr>
        <w:tc>
          <w:tcPr>
            <w:tcW w:w="6747" w:type="dxa"/>
            <w:tcBorders>
              <w:top w:val="single" w:sz="4" w:space="0" w:color="0077BD"/>
              <w:left w:val="nil"/>
              <w:bottom w:val="single" w:sz="8" w:space="0" w:color="0077BD"/>
              <w:right w:val="single" w:sz="8" w:space="0" w:color="0077BD"/>
            </w:tcBorders>
            <w:shd w:val="clear" w:color="auto" w:fill="auto"/>
            <w:vAlign w:val="center"/>
            <w:hideMark/>
          </w:tcPr>
          <w:p w14:paraId="3B1838A5"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Kapitały własne przypadające na akcjonariuszy mBanku S.A.</w:t>
            </w:r>
          </w:p>
        </w:tc>
        <w:tc>
          <w:tcPr>
            <w:tcW w:w="1418" w:type="dxa"/>
            <w:tcBorders>
              <w:top w:val="single" w:sz="4" w:space="0" w:color="0077BD"/>
              <w:left w:val="single" w:sz="8" w:space="0" w:color="0077BD"/>
              <w:bottom w:val="single" w:sz="8" w:space="0" w:color="0077BD"/>
              <w:right w:val="nil"/>
            </w:tcBorders>
            <w:shd w:val="clear" w:color="auto" w:fill="auto"/>
            <w:noWrap/>
            <w:vAlign w:val="center"/>
            <w:hideMark/>
          </w:tcPr>
          <w:p w14:paraId="2B41E27E" w14:textId="216BDCA0" w:rsidR="004B56B9" w:rsidRPr="00C11F75" w:rsidRDefault="004B56B9" w:rsidP="004B56B9">
            <w:pPr>
              <w:jc w:val="right"/>
              <w:rPr>
                <w:rFonts w:cs="Arial"/>
                <w:b/>
                <w:bCs/>
                <w:color w:val="000000" w:themeColor="text1"/>
                <w:sz w:val="13"/>
                <w:szCs w:val="13"/>
              </w:rPr>
            </w:pPr>
            <w:r w:rsidRPr="00C11F75">
              <w:rPr>
                <w:rFonts w:cs="Arial"/>
                <w:b/>
                <w:bCs/>
                <w:color w:val="000000" w:themeColor="text1"/>
                <w:sz w:val="13"/>
                <w:szCs w:val="13"/>
              </w:rPr>
              <w:t>16 151 303</w:t>
            </w:r>
          </w:p>
        </w:tc>
        <w:tc>
          <w:tcPr>
            <w:tcW w:w="1418" w:type="dxa"/>
            <w:tcBorders>
              <w:top w:val="single" w:sz="4" w:space="0" w:color="0077BD"/>
              <w:left w:val="single" w:sz="8" w:space="0" w:color="0077BD"/>
              <w:bottom w:val="single" w:sz="8" w:space="0" w:color="0077BD"/>
              <w:right w:val="nil"/>
            </w:tcBorders>
            <w:shd w:val="clear" w:color="auto" w:fill="auto"/>
            <w:noWrap/>
            <w:vAlign w:val="center"/>
            <w:hideMark/>
          </w:tcPr>
          <w:p w14:paraId="199AB95E" w14:textId="01B16A34" w:rsidR="004B56B9" w:rsidRPr="009632C9" w:rsidRDefault="004B56B9" w:rsidP="004B56B9">
            <w:pPr>
              <w:jc w:val="right"/>
              <w:rPr>
                <w:rFonts w:cs="Arial"/>
                <w:b/>
                <w:bCs/>
                <w:color w:val="000000" w:themeColor="text1"/>
                <w:sz w:val="13"/>
                <w:szCs w:val="13"/>
              </w:rPr>
            </w:pPr>
            <w:r w:rsidRPr="009632C9">
              <w:rPr>
                <w:rFonts w:cs="Arial"/>
                <w:b/>
                <w:bCs/>
                <w:color w:val="000000" w:themeColor="text1"/>
                <w:sz w:val="13"/>
                <w:szCs w:val="13"/>
              </w:rPr>
              <w:t>15 169 107</w:t>
            </w:r>
          </w:p>
        </w:tc>
      </w:tr>
      <w:tr w:rsidR="004B56B9" w:rsidRPr="00C11F75" w14:paraId="35B07BA0" w14:textId="77777777" w:rsidTr="00CA5E84">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4B8C3D5D"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Kapitał podstawowy:</w:t>
            </w:r>
          </w:p>
        </w:tc>
        <w:tc>
          <w:tcPr>
            <w:tcW w:w="1418" w:type="dxa"/>
            <w:tcBorders>
              <w:top w:val="nil"/>
              <w:left w:val="single" w:sz="8" w:space="0" w:color="0077BD"/>
              <w:bottom w:val="single" w:sz="8" w:space="0" w:color="0077BD"/>
              <w:right w:val="nil"/>
            </w:tcBorders>
            <w:shd w:val="clear" w:color="auto" w:fill="auto"/>
            <w:noWrap/>
            <w:vAlign w:val="center"/>
            <w:hideMark/>
          </w:tcPr>
          <w:p w14:paraId="5E1AF339" w14:textId="6FC43223" w:rsidR="004B56B9" w:rsidRPr="00C11F75" w:rsidRDefault="004B56B9" w:rsidP="004B56B9">
            <w:pPr>
              <w:jc w:val="right"/>
              <w:rPr>
                <w:rFonts w:cs="Arial"/>
                <w:b/>
                <w:bCs/>
                <w:color w:val="000000" w:themeColor="text1"/>
                <w:sz w:val="13"/>
                <w:szCs w:val="13"/>
              </w:rPr>
            </w:pPr>
            <w:r w:rsidRPr="00C11F75">
              <w:rPr>
                <w:rFonts w:cs="Arial"/>
                <w:b/>
                <w:bCs/>
                <w:color w:val="000000" w:themeColor="text1"/>
                <w:sz w:val="13"/>
                <w:szCs w:val="13"/>
              </w:rPr>
              <w:t>3 579 818</w:t>
            </w:r>
          </w:p>
        </w:tc>
        <w:tc>
          <w:tcPr>
            <w:tcW w:w="1418" w:type="dxa"/>
            <w:tcBorders>
              <w:top w:val="nil"/>
              <w:left w:val="single" w:sz="8" w:space="0" w:color="0077BD"/>
              <w:bottom w:val="single" w:sz="8" w:space="0" w:color="0077BD"/>
              <w:right w:val="nil"/>
            </w:tcBorders>
            <w:shd w:val="clear" w:color="auto" w:fill="auto"/>
            <w:noWrap/>
            <w:vAlign w:val="center"/>
            <w:hideMark/>
          </w:tcPr>
          <w:p w14:paraId="4AF1B4C3" w14:textId="60B254A0" w:rsidR="004B56B9" w:rsidRPr="009632C9" w:rsidRDefault="004B56B9" w:rsidP="004B56B9">
            <w:pPr>
              <w:jc w:val="right"/>
              <w:rPr>
                <w:rFonts w:cs="Arial"/>
                <w:b/>
                <w:bCs/>
                <w:color w:val="000000" w:themeColor="text1"/>
                <w:sz w:val="13"/>
                <w:szCs w:val="13"/>
              </w:rPr>
            </w:pPr>
            <w:r w:rsidRPr="009632C9">
              <w:rPr>
                <w:rFonts w:cs="Arial"/>
                <w:b/>
                <w:bCs/>
                <w:color w:val="000000" w:themeColor="text1"/>
                <w:sz w:val="13"/>
                <w:szCs w:val="13"/>
              </w:rPr>
              <w:t>3 574 686</w:t>
            </w:r>
          </w:p>
        </w:tc>
      </w:tr>
      <w:tr w:rsidR="004B56B9" w:rsidRPr="00C11F75" w14:paraId="275CBB1C"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E837A59" w14:textId="77777777" w:rsidR="004B56B9" w:rsidRPr="00C11F75" w:rsidRDefault="004B56B9" w:rsidP="004B56B9">
            <w:pPr>
              <w:rPr>
                <w:rFonts w:cs="Arial"/>
                <w:color w:val="000000" w:themeColor="text1"/>
                <w:sz w:val="13"/>
                <w:szCs w:val="13"/>
              </w:rPr>
            </w:pPr>
            <w:r w:rsidRPr="00C11F75">
              <w:rPr>
                <w:rFonts w:cs="Arial"/>
                <w:color w:val="000000" w:themeColor="text1"/>
                <w:sz w:val="13"/>
                <w:szCs w:val="13"/>
              </w:rPr>
              <w:t>Zarejestrowany kapitał akcyjny</w:t>
            </w:r>
          </w:p>
        </w:tc>
        <w:tc>
          <w:tcPr>
            <w:tcW w:w="1418" w:type="dxa"/>
            <w:tcBorders>
              <w:top w:val="nil"/>
              <w:left w:val="single" w:sz="8" w:space="0" w:color="0077BD"/>
              <w:bottom w:val="single" w:sz="4" w:space="0" w:color="0077BD"/>
              <w:right w:val="nil"/>
            </w:tcBorders>
            <w:shd w:val="clear" w:color="auto" w:fill="auto"/>
            <w:noWrap/>
            <w:vAlign w:val="center"/>
          </w:tcPr>
          <w:p w14:paraId="24F97E47" w14:textId="54C45091" w:rsidR="004B56B9" w:rsidRPr="00C11F75" w:rsidRDefault="004B56B9" w:rsidP="004B56B9">
            <w:pPr>
              <w:jc w:val="right"/>
              <w:rPr>
                <w:rFonts w:cs="Arial"/>
                <w:color w:val="000000" w:themeColor="text1"/>
                <w:sz w:val="13"/>
                <w:szCs w:val="13"/>
              </w:rPr>
            </w:pPr>
            <w:r w:rsidRPr="00C11F75">
              <w:rPr>
                <w:rFonts w:cs="Arial"/>
                <w:color w:val="000000" w:themeColor="text1"/>
                <w:sz w:val="13"/>
                <w:szCs w:val="13"/>
              </w:rPr>
              <w:t>169 401</w:t>
            </w:r>
          </w:p>
        </w:tc>
        <w:tc>
          <w:tcPr>
            <w:tcW w:w="1418" w:type="dxa"/>
            <w:tcBorders>
              <w:top w:val="nil"/>
              <w:left w:val="single" w:sz="8" w:space="0" w:color="0077BD"/>
              <w:bottom w:val="single" w:sz="4" w:space="0" w:color="0077BD"/>
              <w:right w:val="nil"/>
            </w:tcBorders>
            <w:shd w:val="clear" w:color="auto" w:fill="auto"/>
            <w:noWrap/>
            <w:vAlign w:val="center"/>
            <w:hideMark/>
          </w:tcPr>
          <w:p w14:paraId="126E2A62" w14:textId="303421A9" w:rsidR="004B56B9" w:rsidRPr="009632C9" w:rsidRDefault="004B56B9" w:rsidP="004B56B9">
            <w:pPr>
              <w:jc w:val="right"/>
              <w:rPr>
                <w:rFonts w:cs="Arial"/>
                <w:color w:val="000000" w:themeColor="text1"/>
                <w:sz w:val="13"/>
                <w:szCs w:val="13"/>
              </w:rPr>
            </w:pPr>
            <w:r w:rsidRPr="009632C9">
              <w:rPr>
                <w:rFonts w:cs="Arial"/>
                <w:color w:val="000000" w:themeColor="text1"/>
                <w:sz w:val="13"/>
                <w:szCs w:val="13"/>
              </w:rPr>
              <w:t>169 348</w:t>
            </w:r>
          </w:p>
        </w:tc>
      </w:tr>
      <w:tr w:rsidR="004B56B9" w:rsidRPr="00C11F75" w14:paraId="32997683"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B82DBEB" w14:textId="77777777" w:rsidR="004B56B9" w:rsidRPr="00C11F75" w:rsidRDefault="004B56B9" w:rsidP="004B56B9">
            <w:pPr>
              <w:rPr>
                <w:rFonts w:cs="Arial"/>
                <w:color w:val="000000" w:themeColor="text1"/>
                <w:sz w:val="13"/>
                <w:szCs w:val="13"/>
              </w:rPr>
            </w:pPr>
            <w:r w:rsidRPr="00C11F75">
              <w:rPr>
                <w:rFonts w:cs="Arial"/>
                <w:color w:val="000000" w:themeColor="text1"/>
                <w:sz w:val="13"/>
                <w:szCs w:val="13"/>
              </w:rPr>
              <w:t>Kapitał zapasowy ze sprzedaży akcji powyżej wartości nominalnej</w:t>
            </w:r>
          </w:p>
        </w:tc>
        <w:tc>
          <w:tcPr>
            <w:tcW w:w="1418" w:type="dxa"/>
            <w:tcBorders>
              <w:top w:val="nil"/>
              <w:left w:val="single" w:sz="8" w:space="0" w:color="0077BD"/>
              <w:bottom w:val="single" w:sz="4" w:space="0" w:color="0077BD"/>
              <w:right w:val="nil"/>
            </w:tcBorders>
            <w:shd w:val="clear" w:color="auto" w:fill="auto"/>
            <w:noWrap/>
            <w:vAlign w:val="center"/>
          </w:tcPr>
          <w:p w14:paraId="563B896E" w14:textId="0A539B3A" w:rsidR="004B56B9" w:rsidRPr="00C11F75" w:rsidRDefault="004B56B9" w:rsidP="004B56B9">
            <w:pPr>
              <w:jc w:val="right"/>
              <w:rPr>
                <w:rFonts w:cs="Arial"/>
                <w:color w:val="000000" w:themeColor="text1"/>
                <w:sz w:val="13"/>
                <w:szCs w:val="13"/>
              </w:rPr>
            </w:pPr>
            <w:r w:rsidRPr="00C11F75">
              <w:rPr>
                <w:rFonts w:cs="Arial"/>
                <w:color w:val="000000" w:themeColor="text1"/>
                <w:sz w:val="13"/>
                <w:szCs w:val="13"/>
              </w:rPr>
              <w:t>3 410 417</w:t>
            </w:r>
          </w:p>
        </w:tc>
        <w:tc>
          <w:tcPr>
            <w:tcW w:w="1418" w:type="dxa"/>
            <w:tcBorders>
              <w:top w:val="nil"/>
              <w:left w:val="single" w:sz="8" w:space="0" w:color="0077BD"/>
              <w:bottom w:val="single" w:sz="4" w:space="0" w:color="0077BD"/>
              <w:right w:val="nil"/>
            </w:tcBorders>
            <w:shd w:val="clear" w:color="auto" w:fill="auto"/>
            <w:noWrap/>
            <w:vAlign w:val="center"/>
            <w:hideMark/>
          </w:tcPr>
          <w:p w14:paraId="4514309B" w14:textId="1571A28B" w:rsidR="004B56B9" w:rsidRPr="009632C9" w:rsidRDefault="004B56B9" w:rsidP="004B56B9">
            <w:pPr>
              <w:jc w:val="right"/>
              <w:rPr>
                <w:rFonts w:cs="Arial"/>
                <w:color w:val="000000" w:themeColor="text1"/>
                <w:sz w:val="13"/>
                <w:szCs w:val="13"/>
              </w:rPr>
            </w:pPr>
            <w:r w:rsidRPr="009632C9">
              <w:rPr>
                <w:rFonts w:cs="Arial"/>
                <w:color w:val="000000" w:themeColor="text1"/>
                <w:sz w:val="13"/>
                <w:szCs w:val="13"/>
              </w:rPr>
              <w:t>3 405 338</w:t>
            </w:r>
          </w:p>
        </w:tc>
      </w:tr>
      <w:tr w:rsidR="004B56B9" w:rsidRPr="00C11F75" w14:paraId="253B5E91" w14:textId="77777777" w:rsidTr="00CA5E84">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44644F04"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Zyski zatrzymane, w tym:</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5738149C" w14:textId="1A56E213" w:rsidR="004B56B9" w:rsidRPr="00C11F75" w:rsidRDefault="004B56B9" w:rsidP="004B56B9">
            <w:pPr>
              <w:jc w:val="right"/>
              <w:rPr>
                <w:rFonts w:cs="Arial"/>
                <w:b/>
                <w:bCs/>
                <w:color w:val="000000" w:themeColor="text1"/>
                <w:sz w:val="13"/>
                <w:szCs w:val="13"/>
              </w:rPr>
            </w:pPr>
            <w:r w:rsidRPr="00C11F75">
              <w:rPr>
                <w:rFonts w:cs="Arial"/>
                <w:b/>
                <w:bCs/>
                <w:color w:val="000000" w:themeColor="text1"/>
                <w:sz w:val="13"/>
                <w:szCs w:val="13"/>
              </w:rPr>
              <w:t>12 394 775</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1D7B7B71" w14:textId="0A339403" w:rsidR="004B56B9" w:rsidRPr="009632C9" w:rsidRDefault="004B56B9" w:rsidP="004B56B9">
            <w:pPr>
              <w:jc w:val="right"/>
              <w:rPr>
                <w:rFonts w:cs="Arial"/>
                <w:b/>
                <w:bCs/>
                <w:color w:val="000000" w:themeColor="text1"/>
                <w:sz w:val="13"/>
                <w:szCs w:val="13"/>
              </w:rPr>
            </w:pPr>
            <w:r w:rsidRPr="009632C9">
              <w:rPr>
                <w:rFonts w:cs="Arial"/>
                <w:b/>
                <w:bCs/>
                <w:color w:val="000000" w:themeColor="text1"/>
                <w:sz w:val="13"/>
                <w:szCs w:val="13"/>
              </w:rPr>
              <w:t>11 379 583</w:t>
            </w:r>
          </w:p>
        </w:tc>
      </w:tr>
      <w:tr w:rsidR="004B56B9" w:rsidRPr="00C11F75" w14:paraId="014470FE" w14:textId="77777777" w:rsidTr="00CA5E84">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1A7A336" w14:textId="77777777" w:rsidR="004B56B9" w:rsidRPr="00C11F75" w:rsidRDefault="004B56B9" w:rsidP="004B56B9">
            <w:pPr>
              <w:rPr>
                <w:rFonts w:cs="Arial"/>
                <w:color w:val="000000" w:themeColor="text1"/>
                <w:sz w:val="13"/>
                <w:szCs w:val="13"/>
              </w:rPr>
            </w:pPr>
            <w:r w:rsidRPr="00C11F75">
              <w:rPr>
                <w:rFonts w:cs="Arial"/>
                <w:color w:val="000000" w:themeColor="text1"/>
                <w:sz w:val="13"/>
                <w:szCs w:val="13"/>
              </w:rPr>
              <w:t>- Wynik finansowy z lat ubiegłych</w:t>
            </w:r>
          </w:p>
        </w:tc>
        <w:tc>
          <w:tcPr>
            <w:tcW w:w="1418" w:type="dxa"/>
            <w:tcBorders>
              <w:top w:val="nil"/>
              <w:left w:val="single" w:sz="8" w:space="0" w:color="0077BD"/>
              <w:bottom w:val="single" w:sz="4" w:space="0" w:color="0077BD"/>
              <w:right w:val="nil"/>
            </w:tcBorders>
            <w:shd w:val="clear" w:color="auto" w:fill="auto"/>
            <w:noWrap/>
            <w:vAlign w:val="center"/>
          </w:tcPr>
          <w:p w14:paraId="472D33D8" w14:textId="122BB90A" w:rsidR="004B56B9" w:rsidRPr="00C11F75" w:rsidRDefault="004B56B9" w:rsidP="004B56B9">
            <w:pPr>
              <w:jc w:val="right"/>
              <w:rPr>
                <w:rFonts w:cs="Arial"/>
                <w:color w:val="000000" w:themeColor="text1"/>
                <w:sz w:val="13"/>
                <w:szCs w:val="13"/>
              </w:rPr>
            </w:pPr>
            <w:r w:rsidRPr="00C11F75">
              <w:rPr>
                <w:rFonts w:cs="Arial"/>
                <w:color w:val="000000" w:themeColor="text1"/>
                <w:sz w:val="13"/>
                <w:szCs w:val="13"/>
              </w:rPr>
              <w:t>11 384 425</w:t>
            </w:r>
          </w:p>
        </w:tc>
        <w:tc>
          <w:tcPr>
            <w:tcW w:w="1418" w:type="dxa"/>
            <w:tcBorders>
              <w:top w:val="nil"/>
              <w:left w:val="single" w:sz="8" w:space="0" w:color="0077BD"/>
              <w:bottom w:val="single" w:sz="4" w:space="0" w:color="0077BD"/>
              <w:right w:val="nil"/>
            </w:tcBorders>
            <w:shd w:val="clear" w:color="auto" w:fill="auto"/>
            <w:noWrap/>
            <w:vAlign w:val="center"/>
            <w:hideMark/>
          </w:tcPr>
          <w:p w14:paraId="2C2ACE98" w14:textId="63E09EE6" w:rsidR="004B56B9" w:rsidRPr="009632C9" w:rsidRDefault="004B56B9" w:rsidP="004B56B9">
            <w:pPr>
              <w:jc w:val="right"/>
              <w:rPr>
                <w:rFonts w:cs="Arial"/>
                <w:color w:val="000000" w:themeColor="text1"/>
                <w:sz w:val="13"/>
                <w:szCs w:val="13"/>
              </w:rPr>
            </w:pPr>
            <w:r w:rsidRPr="009632C9">
              <w:rPr>
                <w:rFonts w:cs="Arial"/>
                <w:color w:val="000000" w:themeColor="text1"/>
                <w:sz w:val="13"/>
                <w:szCs w:val="13"/>
              </w:rPr>
              <w:t>10 076 797</w:t>
            </w:r>
          </w:p>
        </w:tc>
      </w:tr>
      <w:tr w:rsidR="004B56B9" w:rsidRPr="00C11F75" w14:paraId="6F543244" w14:textId="77777777" w:rsidTr="00CA5E84">
        <w:trPr>
          <w:trHeight w:val="255"/>
        </w:trPr>
        <w:tc>
          <w:tcPr>
            <w:tcW w:w="6747" w:type="dxa"/>
            <w:tcBorders>
              <w:top w:val="nil"/>
              <w:left w:val="nil"/>
              <w:bottom w:val="nil"/>
              <w:right w:val="single" w:sz="8" w:space="0" w:color="0077BD"/>
            </w:tcBorders>
            <w:shd w:val="clear" w:color="auto" w:fill="auto"/>
            <w:vAlign w:val="center"/>
            <w:hideMark/>
          </w:tcPr>
          <w:p w14:paraId="39AF7699" w14:textId="77777777" w:rsidR="004B56B9" w:rsidRPr="00C11F75" w:rsidRDefault="004B56B9" w:rsidP="004B56B9">
            <w:pPr>
              <w:rPr>
                <w:rFonts w:cs="Arial"/>
                <w:color w:val="000000" w:themeColor="text1"/>
                <w:sz w:val="13"/>
                <w:szCs w:val="13"/>
              </w:rPr>
            </w:pPr>
            <w:r w:rsidRPr="00C11F75">
              <w:rPr>
                <w:rFonts w:cs="Arial"/>
                <w:color w:val="000000" w:themeColor="text1"/>
                <w:sz w:val="13"/>
                <w:szCs w:val="13"/>
              </w:rPr>
              <w:t>- Wynik roku bieżącego</w:t>
            </w:r>
          </w:p>
        </w:tc>
        <w:tc>
          <w:tcPr>
            <w:tcW w:w="1418" w:type="dxa"/>
            <w:tcBorders>
              <w:top w:val="nil"/>
              <w:left w:val="single" w:sz="8" w:space="0" w:color="0077BD"/>
              <w:bottom w:val="nil"/>
              <w:right w:val="nil"/>
            </w:tcBorders>
            <w:shd w:val="clear" w:color="auto" w:fill="auto"/>
            <w:noWrap/>
            <w:vAlign w:val="center"/>
          </w:tcPr>
          <w:p w14:paraId="1B659983" w14:textId="326668B6" w:rsidR="004B56B9" w:rsidRPr="00C11F75" w:rsidRDefault="004B56B9" w:rsidP="004B56B9">
            <w:pPr>
              <w:jc w:val="right"/>
              <w:rPr>
                <w:rFonts w:cs="Arial"/>
                <w:color w:val="000000" w:themeColor="text1"/>
                <w:sz w:val="13"/>
                <w:szCs w:val="13"/>
              </w:rPr>
            </w:pPr>
            <w:r w:rsidRPr="00C11F75">
              <w:rPr>
                <w:rFonts w:cs="Arial"/>
                <w:color w:val="000000" w:themeColor="text1"/>
                <w:sz w:val="13"/>
                <w:szCs w:val="13"/>
              </w:rPr>
              <w:t>1 010 350</w:t>
            </w:r>
          </w:p>
        </w:tc>
        <w:tc>
          <w:tcPr>
            <w:tcW w:w="1418" w:type="dxa"/>
            <w:tcBorders>
              <w:top w:val="nil"/>
              <w:left w:val="single" w:sz="8" w:space="0" w:color="0077BD"/>
              <w:bottom w:val="nil"/>
              <w:right w:val="nil"/>
            </w:tcBorders>
            <w:shd w:val="clear" w:color="auto" w:fill="auto"/>
            <w:noWrap/>
            <w:vAlign w:val="center"/>
            <w:hideMark/>
          </w:tcPr>
          <w:p w14:paraId="23BEF1EF" w14:textId="2798BE39" w:rsidR="004B56B9" w:rsidRPr="009632C9" w:rsidRDefault="004B56B9" w:rsidP="004B56B9">
            <w:pPr>
              <w:jc w:val="right"/>
              <w:rPr>
                <w:rFonts w:cs="Arial"/>
                <w:color w:val="000000" w:themeColor="text1"/>
                <w:sz w:val="13"/>
                <w:szCs w:val="13"/>
              </w:rPr>
            </w:pPr>
            <w:r w:rsidRPr="009632C9">
              <w:rPr>
                <w:rFonts w:cs="Arial"/>
                <w:color w:val="000000" w:themeColor="text1"/>
                <w:sz w:val="13"/>
                <w:szCs w:val="13"/>
              </w:rPr>
              <w:t>1 302 786</w:t>
            </w:r>
          </w:p>
        </w:tc>
      </w:tr>
      <w:tr w:rsidR="004B56B9" w:rsidRPr="00C11F75" w14:paraId="200B67B4" w14:textId="77777777" w:rsidTr="00CA5E84">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C194FBF"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Inne pozycje kapitału własnego</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4214FB5F" w14:textId="1DCBCAD0" w:rsidR="004B56B9" w:rsidRPr="00C11F75" w:rsidRDefault="004B56B9" w:rsidP="004B56B9">
            <w:pPr>
              <w:jc w:val="right"/>
              <w:rPr>
                <w:rFonts w:cs="Arial"/>
                <w:b/>
                <w:bCs/>
                <w:color w:val="000000" w:themeColor="text1"/>
                <w:sz w:val="13"/>
                <w:szCs w:val="13"/>
              </w:rPr>
            </w:pPr>
            <w:r w:rsidRPr="00C11F75">
              <w:rPr>
                <w:rFonts w:cs="Arial"/>
                <w:b/>
                <w:bCs/>
                <w:color w:val="000000" w:themeColor="text1"/>
                <w:sz w:val="13"/>
                <w:szCs w:val="13"/>
              </w:rPr>
              <w:t>176 710</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39FC5310" w14:textId="3729C5A0" w:rsidR="004B56B9" w:rsidRPr="009632C9" w:rsidRDefault="004B56B9" w:rsidP="004B56B9">
            <w:pPr>
              <w:jc w:val="right"/>
              <w:rPr>
                <w:rFonts w:cs="Arial"/>
                <w:b/>
                <w:bCs/>
                <w:color w:val="000000" w:themeColor="text1"/>
                <w:sz w:val="13"/>
                <w:szCs w:val="13"/>
              </w:rPr>
            </w:pPr>
            <w:r w:rsidRPr="009632C9">
              <w:rPr>
                <w:rFonts w:cs="Arial"/>
                <w:b/>
                <w:bCs/>
                <w:color w:val="000000" w:themeColor="text1"/>
                <w:sz w:val="13"/>
                <w:szCs w:val="13"/>
              </w:rPr>
              <w:t>214 838</w:t>
            </w:r>
          </w:p>
        </w:tc>
      </w:tr>
      <w:tr w:rsidR="004B56B9" w:rsidRPr="00C11F75" w14:paraId="2CDC7B31" w14:textId="77777777" w:rsidTr="00CA5E84">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8F80D8D"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Udziały niekontrolujące</w:t>
            </w:r>
          </w:p>
        </w:tc>
        <w:tc>
          <w:tcPr>
            <w:tcW w:w="1418" w:type="dxa"/>
            <w:tcBorders>
              <w:top w:val="single" w:sz="8" w:space="0" w:color="0077BD"/>
              <w:left w:val="single" w:sz="8" w:space="0" w:color="0077BD"/>
              <w:bottom w:val="single" w:sz="8" w:space="0" w:color="0077BD"/>
              <w:right w:val="nil"/>
            </w:tcBorders>
            <w:shd w:val="clear" w:color="auto" w:fill="auto"/>
            <w:noWrap/>
            <w:vAlign w:val="center"/>
          </w:tcPr>
          <w:p w14:paraId="2F2C9B90" w14:textId="2E3045FC" w:rsidR="004B56B9" w:rsidRPr="00C11F75" w:rsidRDefault="004B56B9" w:rsidP="004B56B9">
            <w:pPr>
              <w:jc w:val="right"/>
              <w:rPr>
                <w:rFonts w:cs="Arial"/>
                <w:b/>
                <w:bCs/>
                <w:color w:val="000000" w:themeColor="text1"/>
                <w:sz w:val="13"/>
                <w:szCs w:val="13"/>
              </w:rPr>
            </w:pPr>
            <w:r w:rsidRPr="00C11F75">
              <w:rPr>
                <w:rFonts w:cs="Arial"/>
                <w:b/>
                <w:bCs/>
                <w:color w:val="000000" w:themeColor="text1"/>
                <w:sz w:val="13"/>
                <w:szCs w:val="13"/>
              </w:rPr>
              <w:t>2 002</w:t>
            </w:r>
          </w:p>
        </w:tc>
        <w:tc>
          <w:tcPr>
            <w:tcW w:w="1418" w:type="dxa"/>
            <w:tcBorders>
              <w:top w:val="single" w:sz="8" w:space="0" w:color="0077BD"/>
              <w:left w:val="single" w:sz="8" w:space="0" w:color="0077BD"/>
              <w:bottom w:val="single" w:sz="8" w:space="0" w:color="0077BD"/>
              <w:right w:val="nil"/>
            </w:tcBorders>
            <w:shd w:val="clear" w:color="auto" w:fill="auto"/>
            <w:noWrap/>
            <w:vAlign w:val="center"/>
            <w:hideMark/>
          </w:tcPr>
          <w:p w14:paraId="5D58A5C6" w14:textId="0EB139F6" w:rsidR="004B56B9" w:rsidRPr="009632C9" w:rsidRDefault="004B56B9" w:rsidP="004B56B9">
            <w:pPr>
              <w:jc w:val="right"/>
              <w:rPr>
                <w:rFonts w:cs="Arial"/>
                <w:b/>
                <w:bCs/>
                <w:color w:val="000000" w:themeColor="text1"/>
                <w:sz w:val="13"/>
                <w:szCs w:val="13"/>
              </w:rPr>
            </w:pPr>
            <w:r w:rsidRPr="009632C9">
              <w:rPr>
                <w:rFonts w:cs="Arial"/>
                <w:b/>
                <w:bCs/>
                <w:color w:val="000000" w:themeColor="text1"/>
                <w:sz w:val="13"/>
                <w:szCs w:val="13"/>
              </w:rPr>
              <w:t>2 100</w:t>
            </w:r>
          </w:p>
        </w:tc>
      </w:tr>
      <w:tr w:rsidR="004B56B9" w:rsidRPr="00C11F75" w14:paraId="2E4C2B4D" w14:textId="77777777" w:rsidTr="00CA5E84">
        <w:trPr>
          <w:trHeight w:val="255"/>
        </w:trPr>
        <w:tc>
          <w:tcPr>
            <w:tcW w:w="6747" w:type="dxa"/>
            <w:tcBorders>
              <w:top w:val="nil"/>
              <w:left w:val="nil"/>
              <w:bottom w:val="single" w:sz="8" w:space="0" w:color="0077BD"/>
              <w:right w:val="single" w:sz="8" w:space="0" w:color="0077BD"/>
            </w:tcBorders>
            <w:shd w:val="clear" w:color="auto" w:fill="auto"/>
            <w:noWrap/>
            <w:vAlign w:val="center"/>
            <w:hideMark/>
          </w:tcPr>
          <w:p w14:paraId="216ECD9C" w14:textId="6E92F12E"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KAPITAŁY RAZEM</w:t>
            </w:r>
          </w:p>
        </w:tc>
        <w:tc>
          <w:tcPr>
            <w:tcW w:w="1418" w:type="dxa"/>
            <w:tcBorders>
              <w:top w:val="nil"/>
              <w:left w:val="single" w:sz="8" w:space="0" w:color="0077BD"/>
              <w:bottom w:val="single" w:sz="8" w:space="0" w:color="0077BD"/>
              <w:right w:val="nil"/>
            </w:tcBorders>
            <w:shd w:val="clear" w:color="auto" w:fill="auto"/>
            <w:noWrap/>
            <w:vAlign w:val="center"/>
            <w:hideMark/>
          </w:tcPr>
          <w:p w14:paraId="32D2A61A" w14:textId="60594C82" w:rsidR="004B56B9" w:rsidRPr="00C74EF9" w:rsidRDefault="004B56B9" w:rsidP="004B56B9">
            <w:pPr>
              <w:jc w:val="right"/>
              <w:rPr>
                <w:rFonts w:cs="Arial"/>
                <w:b/>
                <w:bCs/>
                <w:color w:val="000000" w:themeColor="text1"/>
                <w:sz w:val="13"/>
                <w:szCs w:val="13"/>
              </w:rPr>
            </w:pPr>
            <w:r w:rsidRPr="00C74EF9">
              <w:rPr>
                <w:rFonts w:cs="Arial"/>
                <w:b/>
                <w:bCs/>
                <w:color w:val="000000" w:themeColor="text1"/>
                <w:sz w:val="13"/>
                <w:szCs w:val="13"/>
              </w:rPr>
              <w:t>16 153 305</w:t>
            </w:r>
          </w:p>
        </w:tc>
        <w:tc>
          <w:tcPr>
            <w:tcW w:w="1418" w:type="dxa"/>
            <w:tcBorders>
              <w:top w:val="nil"/>
              <w:left w:val="single" w:sz="8" w:space="0" w:color="0077BD"/>
              <w:bottom w:val="single" w:sz="8" w:space="0" w:color="0077BD"/>
              <w:right w:val="nil"/>
            </w:tcBorders>
            <w:shd w:val="clear" w:color="auto" w:fill="auto"/>
            <w:noWrap/>
            <w:vAlign w:val="center"/>
            <w:hideMark/>
          </w:tcPr>
          <w:p w14:paraId="563AF169" w14:textId="3D481279" w:rsidR="004B56B9" w:rsidRPr="00C74EF9" w:rsidRDefault="004B56B9" w:rsidP="004B56B9">
            <w:pPr>
              <w:jc w:val="right"/>
              <w:rPr>
                <w:rFonts w:cs="Arial"/>
                <w:b/>
                <w:bCs/>
                <w:color w:val="000000" w:themeColor="text1"/>
                <w:sz w:val="13"/>
                <w:szCs w:val="13"/>
              </w:rPr>
            </w:pPr>
            <w:r w:rsidRPr="00C74EF9">
              <w:rPr>
                <w:rFonts w:cs="Arial"/>
                <w:b/>
                <w:bCs/>
                <w:color w:val="000000" w:themeColor="text1"/>
                <w:sz w:val="13"/>
                <w:szCs w:val="13"/>
              </w:rPr>
              <w:t>15 171 207</w:t>
            </w:r>
          </w:p>
        </w:tc>
      </w:tr>
      <w:tr w:rsidR="004B56B9" w:rsidRPr="00C11F75" w14:paraId="6BCDA463" w14:textId="77777777" w:rsidTr="00CA5E84">
        <w:trPr>
          <w:trHeight w:val="255"/>
        </w:trPr>
        <w:tc>
          <w:tcPr>
            <w:tcW w:w="6747" w:type="dxa"/>
            <w:tcBorders>
              <w:top w:val="nil"/>
              <w:left w:val="nil"/>
              <w:bottom w:val="single" w:sz="8" w:space="0" w:color="0077BD"/>
              <w:right w:val="single" w:sz="8" w:space="0" w:color="0077BD"/>
            </w:tcBorders>
            <w:shd w:val="clear" w:color="auto" w:fill="auto"/>
            <w:noWrap/>
            <w:vAlign w:val="center"/>
            <w:hideMark/>
          </w:tcPr>
          <w:p w14:paraId="3B2600DD" w14:textId="77777777" w:rsidR="004B56B9" w:rsidRPr="00C11F75" w:rsidRDefault="004B56B9" w:rsidP="004B56B9">
            <w:pPr>
              <w:rPr>
                <w:rFonts w:cs="Arial"/>
                <w:b/>
                <w:bCs/>
                <w:color w:val="000000" w:themeColor="text1"/>
                <w:sz w:val="13"/>
                <w:szCs w:val="13"/>
              </w:rPr>
            </w:pPr>
            <w:r w:rsidRPr="00C11F75">
              <w:rPr>
                <w:rFonts w:cs="Arial"/>
                <w:b/>
                <w:bCs/>
                <w:color w:val="000000" w:themeColor="text1"/>
                <w:sz w:val="13"/>
                <w:szCs w:val="13"/>
              </w:rPr>
              <w:t>ZOBOWIĄZANIA I KAPITAŁY RAZEM</w:t>
            </w:r>
          </w:p>
        </w:tc>
        <w:tc>
          <w:tcPr>
            <w:tcW w:w="1418" w:type="dxa"/>
            <w:tcBorders>
              <w:top w:val="nil"/>
              <w:left w:val="single" w:sz="8" w:space="0" w:color="0077BD"/>
              <w:bottom w:val="single" w:sz="8" w:space="0" w:color="0077BD"/>
              <w:right w:val="nil"/>
            </w:tcBorders>
            <w:shd w:val="clear" w:color="auto" w:fill="auto"/>
            <w:noWrap/>
            <w:vAlign w:val="center"/>
            <w:hideMark/>
          </w:tcPr>
          <w:p w14:paraId="3BFBFA99" w14:textId="0B9BF438" w:rsidR="004B56B9" w:rsidRPr="00C74EF9" w:rsidRDefault="004B56B9" w:rsidP="004B56B9">
            <w:pPr>
              <w:jc w:val="right"/>
              <w:rPr>
                <w:rFonts w:cs="Arial"/>
                <w:b/>
                <w:bCs/>
                <w:color w:val="000000" w:themeColor="text1"/>
                <w:sz w:val="13"/>
                <w:szCs w:val="13"/>
              </w:rPr>
            </w:pPr>
            <w:r w:rsidRPr="00C74EF9">
              <w:rPr>
                <w:rFonts w:cs="Arial"/>
                <w:b/>
                <w:bCs/>
                <w:color w:val="000000" w:themeColor="text1"/>
                <w:sz w:val="13"/>
                <w:szCs w:val="13"/>
              </w:rPr>
              <w:t>158 808 174</w:t>
            </w:r>
          </w:p>
        </w:tc>
        <w:tc>
          <w:tcPr>
            <w:tcW w:w="1418" w:type="dxa"/>
            <w:tcBorders>
              <w:top w:val="nil"/>
              <w:left w:val="single" w:sz="8" w:space="0" w:color="0077BD"/>
              <w:bottom w:val="single" w:sz="8" w:space="0" w:color="0077BD"/>
              <w:right w:val="nil"/>
            </w:tcBorders>
            <w:shd w:val="clear" w:color="auto" w:fill="auto"/>
            <w:noWrap/>
            <w:vAlign w:val="center"/>
            <w:hideMark/>
          </w:tcPr>
          <w:p w14:paraId="4CC99107" w14:textId="4C025DA6" w:rsidR="004B56B9" w:rsidRPr="00C74EF9" w:rsidRDefault="004B56B9" w:rsidP="004B56B9">
            <w:pPr>
              <w:jc w:val="right"/>
              <w:rPr>
                <w:rFonts w:cs="Arial"/>
                <w:b/>
                <w:bCs/>
                <w:color w:val="000000" w:themeColor="text1"/>
                <w:sz w:val="13"/>
                <w:szCs w:val="13"/>
              </w:rPr>
            </w:pPr>
            <w:r w:rsidRPr="00C74EF9">
              <w:rPr>
                <w:rFonts w:cs="Arial"/>
                <w:b/>
                <w:bCs/>
                <w:color w:val="000000" w:themeColor="text1"/>
                <w:sz w:val="13"/>
                <w:szCs w:val="13"/>
              </w:rPr>
              <w:t>145 830 553</w:t>
            </w:r>
          </w:p>
        </w:tc>
      </w:tr>
    </w:tbl>
    <w:p w14:paraId="3378EA88" w14:textId="10658DB6" w:rsidR="00F3632E" w:rsidRPr="00C11F75" w:rsidRDefault="00F3632E" w:rsidP="00D64FDF">
      <w:pPr>
        <w:jc w:val="both"/>
        <w:rPr>
          <w:noProof/>
          <w:color w:val="000000" w:themeColor="text1"/>
          <w:sz w:val="18"/>
          <w:szCs w:val="18"/>
        </w:rPr>
      </w:pPr>
    </w:p>
    <w:p w14:paraId="22FA2B07" w14:textId="77777777" w:rsidR="00F3632E" w:rsidRDefault="00F3632E">
      <w:pPr>
        <w:rPr>
          <w:noProof/>
          <w:sz w:val="18"/>
          <w:szCs w:val="18"/>
        </w:rPr>
      </w:pPr>
      <w:r>
        <w:rPr>
          <w:noProof/>
          <w:sz w:val="18"/>
          <w:szCs w:val="18"/>
        </w:rPr>
        <w:br w:type="page"/>
      </w:r>
    </w:p>
    <w:p w14:paraId="4E15BBAC" w14:textId="77777777" w:rsidR="00322DFD" w:rsidRDefault="000540D3" w:rsidP="00526DF1">
      <w:pPr>
        <w:pStyle w:val="Nagwek2"/>
        <w:numPr>
          <w:ilvl w:val="0"/>
          <w:numId w:val="44"/>
        </w:numPr>
        <w:suppressAutoHyphens/>
        <w:spacing w:before="0" w:after="0"/>
        <w:ind w:left="425" w:hanging="425"/>
        <w:jc w:val="both"/>
        <w:rPr>
          <w:rFonts w:cs="Tahoma"/>
          <w:bCs w:val="0"/>
          <w:iCs w:val="0"/>
          <w:color w:val="E41E0A"/>
          <w:sz w:val="18"/>
          <w:szCs w:val="18"/>
        </w:rPr>
      </w:pPr>
      <w:bookmarkStart w:id="169" w:name="_Toc32999876"/>
      <w:r>
        <w:rPr>
          <w:rFonts w:cs="Tahoma"/>
          <w:bCs w:val="0"/>
          <w:iCs w:val="0"/>
          <w:color w:val="E41E0A"/>
          <w:sz w:val="18"/>
          <w:szCs w:val="18"/>
        </w:rPr>
        <w:lastRenderedPageBreak/>
        <w:t>Adekwatność kapitałowa</w:t>
      </w:r>
      <w:bookmarkEnd w:id="169"/>
    </w:p>
    <w:p w14:paraId="32CD8DE7" w14:textId="77777777" w:rsidR="000540D3" w:rsidRPr="000540D3" w:rsidRDefault="000540D3" w:rsidP="000540D3"/>
    <w:p w14:paraId="162EE7EE" w14:textId="77777777" w:rsidR="008E5656" w:rsidRPr="008E5656" w:rsidRDefault="008E5656" w:rsidP="008E5656">
      <w:pPr>
        <w:spacing w:after="60"/>
        <w:jc w:val="both"/>
        <w:rPr>
          <w:rFonts w:eastAsia="Calibri"/>
          <w:color w:val="000000" w:themeColor="text1"/>
          <w:sz w:val="18"/>
          <w:szCs w:val="18"/>
          <w:lang w:eastAsia="en-US"/>
        </w:rPr>
      </w:pPr>
      <w:r w:rsidRPr="008E5656">
        <w:rPr>
          <w:rFonts w:eastAsia="Calibri"/>
          <w:color w:val="000000" w:themeColor="text1"/>
          <w:sz w:val="18"/>
          <w:szCs w:val="18"/>
          <w:lang w:eastAsia="en-US"/>
        </w:rPr>
        <w:t>Jedno z głównych zadań Banku polega na zapewnieniu odpowiedniego poziomu kapitału. W ramach polityki zarządzania kapitałem Grupy mBanku, mBank tworzy ramy i wytyczne dla jak najbardziej efektywnego planowania i wykorzystania bazy kapitałowej, które:</w:t>
      </w:r>
    </w:p>
    <w:p w14:paraId="208440FF" w14:textId="77777777" w:rsidR="008E5656" w:rsidRPr="008E5656" w:rsidRDefault="008E5656" w:rsidP="00526DF1">
      <w:pPr>
        <w:numPr>
          <w:ilvl w:val="0"/>
          <w:numId w:val="37"/>
        </w:numPr>
        <w:spacing w:after="60" w:line="259" w:lineRule="auto"/>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są zgodne z obowiązującymi przepisami zewnętrznymi oraz regulacjami wewnętrznymi,</w:t>
      </w:r>
    </w:p>
    <w:p w14:paraId="0CBE3E92" w14:textId="77777777" w:rsidR="008E5656" w:rsidRPr="008E5656" w:rsidRDefault="008E5656" w:rsidP="00526DF1">
      <w:pPr>
        <w:numPr>
          <w:ilvl w:val="0"/>
          <w:numId w:val="37"/>
        </w:numPr>
        <w:spacing w:after="60" w:line="259" w:lineRule="auto"/>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zabezpieczają kontynuację realizacji celów finansowych zapewniających odpowiedni poziom zwrotu dla akcjonariuszy,</w:t>
      </w:r>
    </w:p>
    <w:p w14:paraId="797328E6" w14:textId="77777777" w:rsidR="008E5656" w:rsidRPr="008E5656" w:rsidRDefault="008E5656" w:rsidP="00526DF1">
      <w:pPr>
        <w:numPr>
          <w:ilvl w:val="0"/>
          <w:numId w:val="37"/>
        </w:numPr>
        <w:spacing w:after="120" w:line="259" w:lineRule="auto"/>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zapewniają utrzymanie silnej bazy kapitałowej będącej podstawą wsparcia dla rozwoju biznesu.</w:t>
      </w:r>
    </w:p>
    <w:p w14:paraId="51F4F2CB" w14:textId="77777777" w:rsidR="008E5656" w:rsidRPr="008E5656" w:rsidRDefault="008E5656" w:rsidP="008E5656">
      <w:pPr>
        <w:spacing w:after="60"/>
        <w:ind w:left="2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Polityka zarządzania kapitałem w Grupie mBanku opiera się o dwa podstawowe filary:</w:t>
      </w:r>
    </w:p>
    <w:p w14:paraId="3D133DAC" w14:textId="77777777" w:rsidR="008E5656" w:rsidRPr="008E5656" w:rsidRDefault="008E5656" w:rsidP="00526DF1">
      <w:pPr>
        <w:numPr>
          <w:ilvl w:val="0"/>
          <w:numId w:val="37"/>
        </w:numPr>
        <w:spacing w:after="60" w:line="259" w:lineRule="auto"/>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utrzymanie optymalnego poziomu i struktury funduszy własnych, przy wykorzystaniu dostępnych metod i środków, między innymi takich jak zatrzymanie zysku netto, pożyczka podporządkowana czy emisja akcji,</w:t>
      </w:r>
    </w:p>
    <w:p w14:paraId="2631C6DA" w14:textId="77777777" w:rsidR="008E5656" w:rsidRPr="008E5656" w:rsidRDefault="008E5656" w:rsidP="00526DF1">
      <w:pPr>
        <w:numPr>
          <w:ilvl w:val="0"/>
          <w:numId w:val="37"/>
        </w:numPr>
        <w:spacing w:after="120" w:line="259" w:lineRule="auto"/>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efektywne wykorzystanie istniejącego kapitału, między innymi poprzez zastosowanie systemu mierników efektywności wykorzystania kapitału, ograniczenie działalności nie przynoszącej oczekiwanej stopy zwrotu oraz rozwój produktów o niższej absorpcji kapitału.</w:t>
      </w:r>
    </w:p>
    <w:p w14:paraId="5EA66B17" w14:textId="77777777" w:rsidR="008E5656" w:rsidRPr="008E5656" w:rsidRDefault="008E5656" w:rsidP="008E5656">
      <w:pPr>
        <w:spacing w:after="120"/>
        <w:jc w:val="both"/>
        <w:rPr>
          <w:rFonts w:eastAsia="Calibri"/>
          <w:color w:val="000000" w:themeColor="text1"/>
          <w:sz w:val="18"/>
          <w:szCs w:val="18"/>
          <w:lang w:eastAsia="en-US"/>
        </w:rPr>
      </w:pPr>
      <w:r w:rsidRPr="008E5656">
        <w:rPr>
          <w:rFonts w:eastAsia="Calibri"/>
          <w:color w:val="000000" w:themeColor="text1"/>
          <w:sz w:val="18"/>
          <w:szCs w:val="18"/>
          <w:lang w:eastAsia="en-US"/>
        </w:rPr>
        <w:t>Efektywne wykorzystanie kapitału jest integralną częścią polityki zarządzania kapitałem zorientowanej na osiągnięcie optymalnej stopy zwrotu z kapitału i dzięki temu stworzenia stabilnych podstaw zasilania bazy kapitałowej w przyszłych okresach. Pozwala to na utrzymanie współczynnika kapitału podstawowego Tier I (wyliczanego jako iloraz kapitału podstawowego Tier I i łącznej kwoty ekspozycji na ryzyko),</w:t>
      </w:r>
      <w:r w:rsidRPr="008E5656">
        <w:rPr>
          <w:rFonts w:eastAsia="Calibri"/>
          <w:color w:val="000000" w:themeColor="text1"/>
          <w:spacing w:val="-4"/>
          <w:sz w:val="18"/>
          <w:szCs w:val="18"/>
          <w:lang w:eastAsia="en-US"/>
        </w:rPr>
        <w:t xml:space="preserve"> </w:t>
      </w:r>
      <w:r w:rsidRPr="008E5656">
        <w:rPr>
          <w:rFonts w:eastAsia="Calibri"/>
          <w:color w:val="000000" w:themeColor="text1"/>
          <w:sz w:val="18"/>
          <w:szCs w:val="18"/>
          <w:lang w:eastAsia="en-US"/>
        </w:rPr>
        <w:t xml:space="preserve">współczynnika kapitału Tier I (wyliczonego jako iloraz kapitału Tier I i łącznej kwoty ekspozycji na ryzyko) </w:t>
      </w:r>
      <w:r w:rsidRPr="008E5656">
        <w:rPr>
          <w:rFonts w:eastAsia="Calibri"/>
          <w:color w:val="000000" w:themeColor="text1"/>
          <w:spacing w:val="-4"/>
          <w:sz w:val="18"/>
          <w:szCs w:val="18"/>
          <w:lang w:eastAsia="en-US"/>
        </w:rPr>
        <w:t xml:space="preserve">oraz </w:t>
      </w:r>
      <w:r w:rsidRPr="008E5656">
        <w:rPr>
          <w:rFonts w:eastAsia="Calibri"/>
          <w:color w:val="000000" w:themeColor="text1"/>
          <w:sz w:val="18"/>
          <w:szCs w:val="18"/>
          <w:lang w:eastAsia="en-US"/>
        </w:rPr>
        <w:t xml:space="preserve">łącznego współczynnika kapitałowego (wyliczanego jako iloraz funduszy własnych i łącznej kwoty ekspozycji na ryzyko) na poziomie istotnie wyższym od wymaganego przez instytucję nadzorującą. </w:t>
      </w:r>
    </w:p>
    <w:p w14:paraId="31673FA7" w14:textId="77777777" w:rsidR="008E5656" w:rsidRPr="008E5656" w:rsidRDefault="008E5656" w:rsidP="008E5656">
      <w:pPr>
        <w:spacing w:after="120"/>
        <w:jc w:val="both"/>
        <w:rPr>
          <w:rFonts w:eastAsia="Calibri" w:cs="Arial"/>
          <w:color w:val="000000" w:themeColor="text1"/>
          <w:sz w:val="18"/>
          <w:szCs w:val="18"/>
          <w:lang w:eastAsia="en-US"/>
        </w:rPr>
      </w:pPr>
      <w:r w:rsidRPr="008E5656">
        <w:rPr>
          <w:rFonts w:eastAsia="Calibri"/>
          <w:color w:val="000000" w:themeColor="text1"/>
          <w:sz w:val="18"/>
          <w:szCs w:val="18"/>
          <w:lang w:eastAsia="en-US"/>
        </w:rPr>
        <w:t>Kapitałowe cele strategiczne Grupy mBanku zorientowane są na utrzymanie zarówno łącznego współczynnika kapitałowego, współczynnika kapitału Tier I, jak i współczynnika kapitału podstawowego Tier  I na poziomie odpowiednio wyższym niż poziom wymagany przez nadzór bankowy. Pozwala to na rozwój biznesu przy jednoczesnym spełnieniu norm nadzorczych w dłuższej perspektywie.</w:t>
      </w:r>
    </w:p>
    <w:p w14:paraId="6101AB87" w14:textId="77777777" w:rsidR="008E5656" w:rsidRPr="008E5656" w:rsidRDefault="008E5656" w:rsidP="008E5656">
      <w:pPr>
        <w:spacing w:after="120"/>
        <w:jc w:val="both"/>
        <w:rPr>
          <w:rFonts w:eastAsia="Calibri" w:cs="Tahoma"/>
          <w:b/>
          <w:color w:val="000000" w:themeColor="text1"/>
          <w:sz w:val="18"/>
          <w:szCs w:val="18"/>
          <w:u w:val="single"/>
          <w:lang w:eastAsia="en-US"/>
        </w:rPr>
      </w:pPr>
      <w:r w:rsidRPr="008E5656">
        <w:rPr>
          <w:rFonts w:eastAsia="Calibri" w:cs="Tahoma"/>
          <w:b/>
          <w:color w:val="000000" w:themeColor="text1"/>
          <w:sz w:val="18"/>
          <w:szCs w:val="18"/>
          <w:u w:val="single"/>
          <w:lang w:eastAsia="en-US"/>
        </w:rPr>
        <w:t xml:space="preserve">Współczynniki kapitałowe </w:t>
      </w:r>
    </w:p>
    <w:p w14:paraId="181E4D49" w14:textId="77777777" w:rsidR="008E5656" w:rsidRPr="008E5656" w:rsidRDefault="008E5656" w:rsidP="008E5656">
      <w:pPr>
        <w:autoSpaceDE w:val="0"/>
        <w:autoSpaceDN w:val="0"/>
        <w:adjustRightInd w:val="0"/>
        <w:spacing w:after="120"/>
        <w:jc w:val="both"/>
        <w:rPr>
          <w:rFonts w:cs="Arial"/>
          <w:color w:val="000000" w:themeColor="text1"/>
          <w:sz w:val="18"/>
          <w:szCs w:val="18"/>
        </w:rPr>
      </w:pPr>
      <w:r w:rsidRPr="008E5656">
        <w:rPr>
          <w:rFonts w:cs="Arial"/>
          <w:color w:val="000000" w:themeColor="text1"/>
          <w:sz w:val="18"/>
          <w:szCs w:val="18"/>
        </w:rPr>
        <w:t>Pomiar adekwatności funduszy własnych, w tym między innymi kalkulacja współczynników kapitałowych i wskaźnika dźwigni finansowej, funduszy własnych oraz całkowitego wymogu kapitałowego Grupy mBanku odbywał się w oparciu o przepisy:</w:t>
      </w:r>
    </w:p>
    <w:p w14:paraId="5D87AAEE" w14:textId="77777777" w:rsidR="008E5656" w:rsidRPr="008E5656" w:rsidRDefault="008E5656" w:rsidP="00526DF1">
      <w:pPr>
        <w:numPr>
          <w:ilvl w:val="0"/>
          <w:numId w:val="37"/>
        </w:numPr>
        <w:spacing w:before="120" w:after="120"/>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Rozporządzenia Parlamentu Europejskiego i Rady (UE) nr 575/2013 z dnia 26 czerwca 2013 roku w sprawie wymogów ostrożnościowych dla instytucji kredytowych i firm inwestycyjnych, zmieniającego rozporządzenie (UE) nr 648/2012, z późniejszymi zmianami (Rozporządzenie CRR),</w:t>
      </w:r>
    </w:p>
    <w:p w14:paraId="38B55C41" w14:textId="77777777" w:rsidR="008E5656" w:rsidRPr="008E5656" w:rsidRDefault="008E5656" w:rsidP="00526DF1">
      <w:pPr>
        <w:numPr>
          <w:ilvl w:val="0"/>
          <w:numId w:val="37"/>
        </w:numPr>
        <w:spacing w:before="120" w:after="120"/>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Rozporządzenia Wykonawczego Komisji (UE) NR 680/2014 z dnia 16 kwietnia 2014 roku ustanawiającego wykonawcze standardy techniczne dotyczące sprawozdawczości nadzorczej instytucji zgodnie z rozporządzeniem Parlamentu Europejskiego i Rady (UE) nr 575/2013 z późniejszymi zmianami (Rozporządzenie ITS),</w:t>
      </w:r>
    </w:p>
    <w:p w14:paraId="20A103C1" w14:textId="77777777" w:rsidR="008E5656" w:rsidRPr="008E5656" w:rsidRDefault="008E5656" w:rsidP="00526DF1">
      <w:pPr>
        <w:numPr>
          <w:ilvl w:val="0"/>
          <w:numId w:val="37"/>
        </w:numPr>
        <w:spacing w:before="120" w:after="120"/>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Ustawy Prawo bankowe z dnia 29 sierpnia 1997 roku (Dz. U. z 2002 r. Nr 72, poz. 665) z późniejszymi zmianami,</w:t>
      </w:r>
    </w:p>
    <w:p w14:paraId="5C19CA4B" w14:textId="77777777" w:rsidR="008E5656" w:rsidRPr="008E5656" w:rsidRDefault="008E5656" w:rsidP="00526DF1">
      <w:pPr>
        <w:numPr>
          <w:ilvl w:val="0"/>
          <w:numId w:val="37"/>
        </w:numPr>
        <w:spacing w:before="120" w:after="120"/>
        <w:ind w:left="363"/>
        <w:jc w:val="both"/>
        <w:rPr>
          <w:rFonts w:eastAsia="Calibri"/>
          <w:color w:val="000000" w:themeColor="text1"/>
          <w:spacing w:val="-4"/>
          <w:sz w:val="18"/>
          <w:szCs w:val="18"/>
          <w:lang w:eastAsia="en-US"/>
        </w:rPr>
      </w:pPr>
      <w:r w:rsidRPr="008E5656">
        <w:rPr>
          <w:rFonts w:eastAsia="Calibri"/>
          <w:color w:val="000000" w:themeColor="text1"/>
          <w:spacing w:val="-4"/>
          <w:sz w:val="18"/>
          <w:szCs w:val="18"/>
          <w:lang w:eastAsia="en-US"/>
        </w:rPr>
        <w:t xml:space="preserve">Ustawy z dnia 5 sierpnia 2015 roku (Dz. U. 2015 poz. 1513) o nadzorze makroostrożnościowym nad systemem finansowym i zarządzaniu kryzysowym w systemie finansowym, </w:t>
      </w:r>
    </w:p>
    <w:p w14:paraId="64728E83" w14:textId="77777777" w:rsidR="008E5656" w:rsidRPr="008E5656" w:rsidRDefault="008E5656" w:rsidP="00526DF1">
      <w:pPr>
        <w:numPr>
          <w:ilvl w:val="0"/>
          <w:numId w:val="37"/>
        </w:numPr>
        <w:spacing w:before="120" w:after="120"/>
        <w:jc w:val="both"/>
        <w:rPr>
          <w:rFonts w:eastAsia="Calibri"/>
          <w:color w:val="000000" w:themeColor="text1"/>
          <w:spacing w:val="-4"/>
          <w:sz w:val="18"/>
          <w:szCs w:val="18"/>
          <w:lang w:eastAsia="en-US"/>
        </w:rPr>
      </w:pPr>
      <w:r w:rsidRPr="008E5656">
        <w:rPr>
          <w:rFonts w:cs="Tahoma"/>
          <w:color w:val="000000" w:themeColor="text1"/>
          <w:spacing w:val="-4"/>
          <w:sz w:val="18"/>
          <w:szCs w:val="18"/>
        </w:rPr>
        <w:t>Rozporządzenia Ministra Rozwoju i Finansów z dnia 25 maja 2017 roku w sprawie wyższej wagi ryzyka dla ekspozycji zabezpieczonych hipotekami na nieruchomościach</w:t>
      </w:r>
      <w:r w:rsidRPr="008E5656">
        <w:rPr>
          <w:rFonts w:eastAsia="Calibri"/>
          <w:color w:val="000000" w:themeColor="text1"/>
          <w:spacing w:val="-4"/>
          <w:sz w:val="18"/>
          <w:szCs w:val="18"/>
          <w:lang w:eastAsia="en-US"/>
        </w:rPr>
        <w:t>,</w:t>
      </w:r>
    </w:p>
    <w:p w14:paraId="19D22DAE" w14:textId="77777777" w:rsidR="008E5656" w:rsidRPr="008E5656" w:rsidRDefault="008E5656" w:rsidP="00526DF1">
      <w:pPr>
        <w:numPr>
          <w:ilvl w:val="0"/>
          <w:numId w:val="67"/>
        </w:numPr>
        <w:spacing w:before="120" w:after="120"/>
        <w:jc w:val="both"/>
        <w:rPr>
          <w:rFonts w:cs="Tahoma"/>
          <w:color w:val="000000" w:themeColor="text1"/>
          <w:spacing w:val="-4"/>
          <w:sz w:val="18"/>
          <w:szCs w:val="18"/>
        </w:rPr>
      </w:pPr>
      <w:r w:rsidRPr="008E5656">
        <w:rPr>
          <w:rFonts w:cs="Tahoma"/>
          <w:color w:val="000000" w:themeColor="text1"/>
          <w:spacing w:val="-4"/>
          <w:sz w:val="18"/>
          <w:szCs w:val="18"/>
        </w:rPr>
        <w:t>Rozporządzenia Ministra Rozwoju i Finansów z dnia 1 września 2017 roku w sprawie bufora ryzyka systemowego.</w:t>
      </w:r>
    </w:p>
    <w:p w14:paraId="2F2F29E1" w14:textId="77777777" w:rsidR="008E5656" w:rsidRPr="008E5656" w:rsidRDefault="008E5656" w:rsidP="008E5656">
      <w:pPr>
        <w:spacing w:after="120"/>
        <w:jc w:val="both"/>
        <w:rPr>
          <w:rFonts w:eastAsia="Calibri" w:cs="Sendnya"/>
          <w:color w:val="000000" w:themeColor="text1"/>
          <w:sz w:val="18"/>
          <w:szCs w:val="18"/>
          <w:lang w:eastAsia="en-US" w:bidi="or-IN"/>
        </w:rPr>
      </w:pPr>
      <w:r w:rsidRPr="008E5656">
        <w:rPr>
          <w:rFonts w:eastAsia="Calibri" w:cs="Tahoma"/>
          <w:color w:val="000000" w:themeColor="text1"/>
          <w:sz w:val="18"/>
          <w:szCs w:val="18"/>
          <w:lang w:eastAsia="en-US" w:bidi="or-IN"/>
        </w:rPr>
        <w:t xml:space="preserve">W procesie wyliczania skonsolidowanych funduszy własnych i wymogów w zakresie funduszy własnych uwzględniane są spółki objęte konsolidacją ostrożnościową zgodnie z zasadami określonymi w Rozporządzeniu CRR. </w:t>
      </w:r>
    </w:p>
    <w:p w14:paraId="3F666305" w14:textId="77777777" w:rsidR="008E5656" w:rsidRPr="008E5656" w:rsidRDefault="008E5656" w:rsidP="008E5656">
      <w:pPr>
        <w:autoSpaceDE w:val="0"/>
        <w:autoSpaceDN w:val="0"/>
        <w:adjustRightInd w:val="0"/>
        <w:spacing w:after="120"/>
        <w:jc w:val="both"/>
        <w:rPr>
          <w:rFonts w:eastAsia="Calibri" w:cs="Tahoma"/>
          <w:color w:val="000000" w:themeColor="text1"/>
          <w:sz w:val="18"/>
          <w:szCs w:val="18"/>
          <w:lang w:eastAsia="en-US"/>
        </w:rPr>
      </w:pPr>
      <w:r w:rsidRPr="008E5656">
        <w:rPr>
          <w:rFonts w:eastAsia="Calibri" w:cs="Tahoma"/>
          <w:color w:val="000000" w:themeColor="text1"/>
          <w:sz w:val="18"/>
          <w:szCs w:val="18"/>
          <w:lang w:eastAsia="en-US"/>
        </w:rPr>
        <w:t xml:space="preserve">W związku z wejściem w życie w 2015 roku Ustawy o nadzorze makroostrożnościowym nad systemem finansowym i zarządzaniu kryzysowym w systemie finansowym (Ustawa), która transponuje przepisy </w:t>
      </w:r>
      <w:r w:rsidRPr="008E5656">
        <w:rPr>
          <w:rFonts w:eastAsia="Calibri" w:cs="Tahoma"/>
          <w:color w:val="000000" w:themeColor="text1"/>
          <w:sz w:val="18"/>
          <w:szCs w:val="18"/>
          <w:lang w:eastAsia="en-US"/>
        </w:rPr>
        <w:lastRenderedPageBreak/>
        <w:t>Dyrektywy CRD IV do polskiego porządku prawnego, na dzień 31 grudnia 2019 roku Grupa mBanku zobowiązana jest dodatkowo utrzymywać fundusze własne na poziomie, który pozwoli pokryć wyznaczony na mocy przepisów ustawy bufor zabezpieczający (conservation buffer) w wysokości 2,5% łącznej kwoty ekspozycji na ryzyko.</w:t>
      </w:r>
    </w:p>
    <w:p w14:paraId="55F19F31" w14:textId="5DD174E3" w:rsidR="008E5656" w:rsidRPr="008E5656" w:rsidRDefault="008E5656" w:rsidP="008E5656">
      <w:pPr>
        <w:autoSpaceDE w:val="0"/>
        <w:autoSpaceDN w:val="0"/>
        <w:adjustRightInd w:val="0"/>
        <w:spacing w:after="120"/>
        <w:jc w:val="both"/>
        <w:rPr>
          <w:rFonts w:eastAsia="Calibri" w:cs="Tahoma"/>
          <w:color w:val="000000" w:themeColor="text1"/>
          <w:sz w:val="18"/>
          <w:szCs w:val="18"/>
          <w:lang w:eastAsia="en-US"/>
        </w:rPr>
      </w:pPr>
      <w:r w:rsidRPr="008E5656">
        <w:rPr>
          <w:rFonts w:eastAsia="Calibri" w:cs="Tahoma"/>
          <w:color w:val="000000" w:themeColor="text1"/>
          <w:sz w:val="18"/>
          <w:szCs w:val="18"/>
          <w:lang w:eastAsia="en-US"/>
        </w:rPr>
        <w:t>Wskaźnik bufora antycyklicznego dla ekspozycji kredytowych na terytorium Rzeczpospolitej Polskiej, który miał zastosowanie na koniec 2019 roku, zgodnie z artykułem 83 Ustawy, wyniósł 0%. Wskaźnik bufora antycyklicznego specyficznego dla Grupy mBanku, wyznaczany zgodnie z przepisami Ustawy jako średnia ważona wskaźników bufora antycyklicznego mających zastosowanie w jurysdykcjach, w których odnośne ekspozycje kredytowe Grupy się znajdują, wyniósł 6 p.b. na dzień 31 grudnia 2019 roku. Na wartość wskaźnika wpływ miały przede wszystkim ekspozycje oddziałów zagranicznych mBanku w Czechach i na Słowacji, gdzie wskaźniki bufora antycyk</w:t>
      </w:r>
      <w:r w:rsidR="00481BB6">
        <w:rPr>
          <w:rFonts w:eastAsia="Calibri" w:cs="Tahoma"/>
          <w:color w:val="000000" w:themeColor="text1"/>
          <w:sz w:val="18"/>
          <w:szCs w:val="18"/>
          <w:lang w:eastAsia="en-US"/>
        </w:rPr>
        <w:t>licznego wynosiły na koniec 2019</w:t>
      </w:r>
      <w:r w:rsidRPr="008E5656">
        <w:rPr>
          <w:rFonts w:eastAsia="Calibri" w:cs="Tahoma"/>
          <w:color w:val="000000" w:themeColor="text1"/>
          <w:sz w:val="18"/>
          <w:szCs w:val="18"/>
          <w:lang w:eastAsia="en-US"/>
        </w:rPr>
        <w:t xml:space="preserve"> roku odpowiednio: 1,5% i 1,5%.</w:t>
      </w:r>
    </w:p>
    <w:p w14:paraId="3174F59D" w14:textId="33B027E3" w:rsidR="008E5656" w:rsidRPr="008E5656" w:rsidRDefault="008E5656" w:rsidP="008E5656">
      <w:pPr>
        <w:spacing w:after="120"/>
        <w:jc w:val="both"/>
        <w:rPr>
          <w:rFonts w:cs="Tahoma"/>
          <w:color w:val="000000" w:themeColor="text1"/>
          <w:sz w:val="18"/>
          <w:szCs w:val="18"/>
        </w:rPr>
      </w:pPr>
      <w:r w:rsidRPr="008E5656">
        <w:rPr>
          <w:rFonts w:cs="Tahoma"/>
          <w:color w:val="000000" w:themeColor="text1"/>
          <w:sz w:val="18"/>
          <w:szCs w:val="18"/>
        </w:rPr>
        <w:t xml:space="preserve">W 2016 roku Bank otrzymał decyzję administracyjną KNF, zgodnie z którą Bank został uznany za inną instytucję o znaczeniu systemowym (O-SII). Na Bank został nałożony bufor innej instytucji o znaczeniu systemowym, </w:t>
      </w:r>
      <w:r w:rsidRPr="008E5656">
        <w:rPr>
          <w:rFonts w:eastAsia="Calibri" w:cs="PKO Bank Polski"/>
          <w:color w:val="000000" w:themeColor="text1"/>
          <w:sz w:val="18"/>
          <w:szCs w:val="18"/>
          <w:lang w:eastAsia="en-US"/>
        </w:rPr>
        <w:t>który zgodnie z decyzją KNF z dnia 14 października 2019 roku wyniósł 0,75% łącznej kwoty ekspozycji na ryzyko,</w:t>
      </w:r>
      <w:r w:rsidRPr="008E5656">
        <w:rPr>
          <w:rFonts w:cs="Tahoma"/>
          <w:color w:val="000000" w:themeColor="text1"/>
          <w:sz w:val="18"/>
          <w:szCs w:val="18"/>
        </w:rPr>
        <w:t xml:space="preserve"> obliczonej zgodnie z art. 92 ust. 3 Rozporządzenia CRR. Bufor ten powinien być utrzymywany zarówno na poziomie indywidualnym, jak i skonsolidowanym. Określona w decyzji administracyjnej wartość bufora ma zastosowanie wg stanu na </w:t>
      </w:r>
      <w:r w:rsidR="00481BB6">
        <w:rPr>
          <w:rFonts w:cs="Tahoma"/>
          <w:color w:val="000000" w:themeColor="text1"/>
          <w:sz w:val="18"/>
          <w:szCs w:val="18"/>
        </w:rPr>
        <w:t xml:space="preserve">dzień </w:t>
      </w:r>
      <w:r w:rsidRPr="008E5656">
        <w:rPr>
          <w:rFonts w:cs="Tahoma"/>
          <w:color w:val="000000" w:themeColor="text1"/>
          <w:sz w:val="18"/>
          <w:szCs w:val="18"/>
        </w:rPr>
        <w:t>31 grudnia 2019 roku.</w:t>
      </w:r>
    </w:p>
    <w:p w14:paraId="6EFF6791" w14:textId="3EFB027F" w:rsidR="008E5656" w:rsidRPr="008E5656" w:rsidRDefault="008E5656" w:rsidP="008E5656">
      <w:pPr>
        <w:shd w:val="clear" w:color="auto" w:fill="FFFFFF"/>
        <w:autoSpaceDE w:val="0"/>
        <w:autoSpaceDN w:val="0"/>
        <w:adjustRightInd w:val="0"/>
        <w:spacing w:after="120"/>
        <w:jc w:val="both"/>
        <w:rPr>
          <w:rFonts w:cs="Tahoma"/>
          <w:color w:val="000000" w:themeColor="text1"/>
          <w:sz w:val="18"/>
          <w:szCs w:val="18"/>
        </w:rPr>
      </w:pPr>
      <w:r w:rsidRPr="008E5656">
        <w:rPr>
          <w:rFonts w:cs="Tahoma"/>
          <w:color w:val="000000" w:themeColor="text1"/>
          <w:sz w:val="18"/>
          <w:szCs w:val="18"/>
        </w:rPr>
        <w:t>Z dniem 1 stycznia 2018 roku weszło w życie Rozporządzenie Ministra Rozwoju i Finansów w sprawie bufora ryzyka systemowego. Rozporządzenie określa bufor ryzyka systemowego w wysokości 3% łącznej kwoty ekspozycji na ryzyko z zastosowaniem do wszystkich ekspozycji na terytorium Rzeczypospolitej Polskiej. Biorąc pod uwagę, że nie wszystkie ekspozycje Grupy znajdują się na terytorium RP, a Grupa posiada oddziały zagraniczne, bufor ryzyka systemowego, jaki miał zastosowanie w przypadku Grupy mBank</w:t>
      </w:r>
      <w:r w:rsidR="00481BB6">
        <w:rPr>
          <w:rFonts w:cs="Tahoma"/>
          <w:color w:val="000000" w:themeColor="text1"/>
          <w:sz w:val="18"/>
          <w:szCs w:val="18"/>
        </w:rPr>
        <w:t>u</w:t>
      </w:r>
      <w:r w:rsidRPr="008E5656">
        <w:rPr>
          <w:rFonts w:cs="Tahoma"/>
          <w:color w:val="000000" w:themeColor="text1"/>
          <w:sz w:val="18"/>
          <w:szCs w:val="18"/>
        </w:rPr>
        <w:t xml:space="preserve"> w grudniu 2019 roku, wyniósł 2,83%.</w:t>
      </w:r>
    </w:p>
    <w:p w14:paraId="57351638" w14:textId="77777777" w:rsidR="008E5656" w:rsidRPr="008E5656" w:rsidRDefault="008E5656" w:rsidP="008E5656">
      <w:pPr>
        <w:autoSpaceDE w:val="0"/>
        <w:autoSpaceDN w:val="0"/>
        <w:adjustRightInd w:val="0"/>
        <w:spacing w:after="120"/>
        <w:jc w:val="both"/>
        <w:rPr>
          <w:rFonts w:cs="Arial"/>
          <w:color w:val="000000" w:themeColor="text1"/>
          <w:sz w:val="18"/>
          <w:szCs w:val="18"/>
        </w:rPr>
      </w:pPr>
      <w:r w:rsidRPr="008E5656">
        <w:rPr>
          <w:rFonts w:cs="Arial"/>
          <w:color w:val="000000" w:themeColor="text1"/>
          <w:sz w:val="18"/>
          <w:szCs w:val="18"/>
        </w:rPr>
        <w:t xml:space="preserve">Ostatecznie wymóg połączonego bufora wyznaczony dla Grupy na koniec 2019 roku wyniósł 6,14% łącznej kwoty ekspozycji na ryzyko. </w:t>
      </w:r>
    </w:p>
    <w:p w14:paraId="2AA23597" w14:textId="4B6BDA39" w:rsidR="008E5656" w:rsidRPr="008E5656" w:rsidRDefault="008E5656" w:rsidP="008E5656">
      <w:pPr>
        <w:shd w:val="clear" w:color="auto" w:fill="FFFFFF"/>
        <w:spacing w:after="120"/>
        <w:jc w:val="both"/>
        <w:rPr>
          <w:rFonts w:cs="Tahoma"/>
          <w:color w:val="000000" w:themeColor="text1"/>
          <w:sz w:val="18"/>
          <w:szCs w:val="18"/>
          <w:lang w:eastAsia="en-US"/>
        </w:rPr>
      </w:pPr>
      <w:r w:rsidRPr="008E5656">
        <w:rPr>
          <w:rFonts w:eastAsia="Calibri" w:cs="Tahoma"/>
          <w:color w:val="000000" w:themeColor="text1"/>
          <w:sz w:val="18"/>
          <w:szCs w:val="18"/>
          <w:lang w:eastAsia="en-US"/>
        </w:rPr>
        <w:t>Dodatkowo w wyniku przeprowadzonej przez Urząd KNF w 2019 roku oceny ryzyka w ramach procesu badania i oceny nadzorczej (BION), w szczególności oceny ryzyka związanego z portfelem walutowych kredytów hipotecznych dla gospodarstw domowych, Bank otrzymał indywidualne zalecenie, aby</w:t>
      </w:r>
      <w:r w:rsidR="00502887">
        <w:rPr>
          <w:rFonts w:eastAsia="Calibri" w:cs="Tahoma"/>
          <w:color w:val="000000" w:themeColor="text1"/>
          <w:sz w:val="18"/>
          <w:szCs w:val="18"/>
          <w:lang w:eastAsia="en-US"/>
        </w:rPr>
        <w:t> </w:t>
      </w:r>
      <w:r w:rsidRPr="008E5656">
        <w:rPr>
          <w:rFonts w:eastAsia="Calibri" w:cs="Tahoma"/>
          <w:color w:val="000000" w:themeColor="text1"/>
          <w:sz w:val="18"/>
          <w:szCs w:val="18"/>
          <w:lang w:eastAsia="en-US"/>
        </w:rPr>
        <w:t xml:space="preserve">utrzymywać fundusze własne na pokrycie dodatkowego wymogu kapitałowego na poziomie skonsolidowanym w wysokości 3,11% na poziomie łącznego współczynnika kapitałowego oraz 2,33% na poziomie współczynnika kapitału Tier I (na poziomie jednostkowym odpowiednio 3,62% i 2,71%). </w:t>
      </w:r>
      <w:r w:rsidRPr="008E5656">
        <w:rPr>
          <w:rFonts w:cs="Tahoma"/>
          <w:color w:val="000000" w:themeColor="text1"/>
          <w:sz w:val="18"/>
          <w:szCs w:val="18"/>
          <w:lang w:eastAsia="en-US"/>
        </w:rPr>
        <w:t>Dodatkowy wymóg kapitałowy wyznaczony przez KNF w 2019 roku obejmował także dodatkowe czynniki ryzyka związane z walutowymi kredytami mieszkaniowymi w obszarze ryzyka operacyjnego, ryzyka rynkowego oraz ryzyka zbiorowego niewykonania zobowiązania przez kredytobiorców.</w:t>
      </w:r>
    </w:p>
    <w:p w14:paraId="2BEEB421" w14:textId="77777777" w:rsidR="008E5656" w:rsidRPr="008E5656" w:rsidRDefault="008E5656" w:rsidP="008E5656">
      <w:pPr>
        <w:suppressAutoHyphens/>
        <w:jc w:val="both"/>
        <w:rPr>
          <w:rFonts w:eastAsia="Calibri" w:cs="Tahoma"/>
          <w:color w:val="000000" w:themeColor="text1"/>
          <w:sz w:val="18"/>
          <w:szCs w:val="18"/>
          <w:lang w:eastAsia="en-US"/>
        </w:rPr>
      </w:pPr>
      <w:r w:rsidRPr="008E5656">
        <w:rPr>
          <w:rFonts w:eastAsia="Calibri" w:cs="Tahoma"/>
          <w:color w:val="000000" w:themeColor="text1"/>
          <w:sz w:val="18"/>
          <w:szCs w:val="18"/>
          <w:lang w:eastAsia="en-US"/>
        </w:rPr>
        <w:t>Ważny element składowy, który miał wpływ na poziom dodatkowego wymogu kapitałowego w ramach drugiego filara związany był z nadzorczą oceną BION kwantyfikującą ryzyko przypisane do portfela walutowych kredytów hipotecznych dla gospodarstw domowych, gdzie biorąc pod uwagę specyfikę portfela Banku, brane były pod uwagę następujące czynniki:</w:t>
      </w:r>
    </w:p>
    <w:p w14:paraId="7F811A65" w14:textId="77777777" w:rsidR="008E5656" w:rsidRPr="008E5656" w:rsidRDefault="008E5656" w:rsidP="00502887">
      <w:pPr>
        <w:numPr>
          <w:ilvl w:val="0"/>
          <w:numId w:val="25"/>
        </w:numPr>
        <w:shd w:val="clear" w:color="auto" w:fill="FFFFFF"/>
        <w:spacing w:before="60" w:after="60"/>
        <w:jc w:val="both"/>
        <w:rPr>
          <w:rFonts w:cs="Tahoma"/>
          <w:color w:val="000000" w:themeColor="text1"/>
          <w:sz w:val="18"/>
          <w:szCs w:val="18"/>
          <w:lang w:eastAsia="en-US"/>
        </w:rPr>
      </w:pPr>
      <w:r w:rsidRPr="008E5656">
        <w:rPr>
          <w:rFonts w:cs="Tahoma"/>
          <w:color w:val="000000" w:themeColor="text1"/>
          <w:sz w:val="18"/>
          <w:szCs w:val="18"/>
          <w:lang w:eastAsia="en-US"/>
        </w:rPr>
        <w:t>udział w portfelu kredytów o LTV &gt; 100%,</w:t>
      </w:r>
    </w:p>
    <w:p w14:paraId="16DE8EAD" w14:textId="77777777" w:rsidR="008E5656" w:rsidRPr="008E5656" w:rsidRDefault="008E5656" w:rsidP="00502887">
      <w:pPr>
        <w:numPr>
          <w:ilvl w:val="0"/>
          <w:numId w:val="25"/>
        </w:numPr>
        <w:shd w:val="clear" w:color="auto" w:fill="FFFFFF"/>
        <w:spacing w:before="60" w:after="60"/>
        <w:jc w:val="both"/>
        <w:rPr>
          <w:rFonts w:cs="Tahoma"/>
          <w:color w:val="000000" w:themeColor="text1"/>
          <w:sz w:val="18"/>
          <w:szCs w:val="18"/>
          <w:lang w:eastAsia="en-US"/>
        </w:rPr>
      </w:pPr>
      <w:r w:rsidRPr="008E5656">
        <w:rPr>
          <w:rFonts w:cs="Tahoma"/>
          <w:color w:val="000000" w:themeColor="text1"/>
          <w:sz w:val="18"/>
          <w:szCs w:val="18"/>
          <w:lang w:eastAsia="en-US"/>
        </w:rPr>
        <w:t>poziom realizowanej przez Bank marży z walutowych kredytów hipotecznych dla gospodarstw domowych,</w:t>
      </w:r>
    </w:p>
    <w:p w14:paraId="73145198" w14:textId="77777777" w:rsidR="008E5656" w:rsidRPr="008E5656" w:rsidRDefault="008E5656" w:rsidP="00502887">
      <w:pPr>
        <w:numPr>
          <w:ilvl w:val="0"/>
          <w:numId w:val="25"/>
        </w:numPr>
        <w:shd w:val="clear" w:color="auto" w:fill="FFFFFF"/>
        <w:spacing w:before="60" w:after="60"/>
        <w:jc w:val="both"/>
        <w:rPr>
          <w:rFonts w:cs="Tahoma"/>
          <w:color w:val="000000" w:themeColor="text1"/>
          <w:sz w:val="18"/>
          <w:szCs w:val="18"/>
          <w:lang w:eastAsia="en-US"/>
        </w:rPr>
      </w:pPr>
      <w:r w:rsidRPr="008E5656">
        <w:rPr>
          <w:rFonts w:cs="Tahoma"/>
          <w:color w:val="000000" w:themeColor="text1"/>
          <w:sz w:val="18"/>
          <w:szCs w:val="18"/>
          <w:lang w:eastAsia="en-US"/>
        </w:rPr>
        <w:t xml:space="preserve">wrażliwość łącznego współczynnika kapitałowego Banku na zmiany kursów walut i stóp procentowych, </w:t>
      </w:r>
    </w:p>
    <w:p w14:paraId="0492A5F9" w14:textId="6D8B30BF" w:rsidR="007F6754" w:rsidRPr="008E5656" w:rsidRDefault="008E5656" w:rsidP="00502887">
      <w:pPr>
        <w:numPr>
          <w:ilvl w:val="0"/>
          <w:numId w:val="25"/>
        </w:numPr>
        <w:shd w:val="clear" w:color="auto" w:fill="FFFFFF"/>
        <w:spacing w:before="60" w:after="60"/>
        <w:jc w:val="both"/>
        <w:rPr>
          <w:rFonts w:cs="Tahoma"/>
          <w:color w:val="000000" w:themeColor="text1"/>
          <w:sz w:val="18"/>
          <w:szCs w:val="18"/>
          <w:lang w:eastAsia="en-US"/>
        </w:rPr>
      </w:pPr>
      <w:r w:rsidRPr="008E5656">
        <w:rPr>
          <w:rFonts w:cs="Tahoma"/>
          <w:color w:val="000000" w:themeColor="text1"/>
          <w:sz w:val="18"/>
          <w:szCs w:val="18"/>
          <w:lang w:eastAsia="en-US"/>
        </w:rPr>
        <w:t>przygotowanie Banku na przewalutowanie zadanej puli portfela kredytów</w:t>
      </w:r>
      <w:r w:rsidR="007F6754" w:rsidRPr="008E5656">
        <w:rPr>
          <w:rFonts w:cs="Tahoma"/>
          <w:color w:val="000000" w:themeColor="text1"/>
          <w:sz w:val="18"/>
          <w:szCs w:val="18"/>
          <w:lang w:eastAsia="en-US"/>
        </w:rPr>
        <w:t>.</w:t>
      </w:r>
    </w:p>
    <w:p w14:paraId="08F5F60F" w14:textId="4E7A9AB3" w:rsidR="007F6754" w:rsidRPr="008E5656" w:rsidRDefault="007F6754" w:rsidP="002C471E">
      <w:pPr>
        <w:suppressAutoHyphens/>
        <w:spacing w:before="120" w:after="120"/>
        <w:jc w:val="both"/>
        <w:rPr>
          <w:rFonts w:eastAsia="Calibri" w:cs="Tahoma"/>
          <w:color w:val="000000" w:themeColor="text1"/>
          <w:spacing w:val="-4"/>
          <w:sz w:val="18"/>
          <w:szCs w:val="18"/>
        </w:rPr>
      </w:pPr>
      <w:r w:rsidRPr="008E5656">
        <w:rPr>
          <w:rFonts w:eastAsia="Calibri" w:cs="Tahoma"/>
          <w:color w:val="000000" w:themeColor="text1"/>
          <w:spacing w:val="-4"/>
          <w:sz w:val="18"/>
          <w:szCs w:val="18"/>
        </w:rPr>
        <w:t xml:space="preserve">Współczynniki kapitałowe w ujęciu skonsolidowanym oraz jednostkowym </w:t>
      </w:r>
      <w:r w:rsidRPr="008E5656">
        <w:rPr>
          <w:rFonts w:eastAsia="Calibri"/>
          <w:color w:val="000000" w:themeColor="text1"/>
          <w:sz w:val="18"/>
          <w:szCs w:val="18"/>
        </w:rPr>
        <w:t>znajdowały się</w:t>
      </w:r>
      <w:r w:rsidR="003370BF" w:rsidRPr="008E5656">
        <w:rPr>
          <w:rFonts w:eastAsia="Calibri"/>
          <w:color w:val="000000" w:themeColor="text1"/>
          <w:sz w:val="18"/>
          <w:szCs w:val="18"/>
        </w:rPr>
        <w:t xml:space="preserve"> w 2019</w:t>
      </w:r>
      <w:r w:rsidRPr="008E5656">
        <w:rPr>
          <w:rFonts w:eastAsia="Calibri"/>
          <w:color w:val="000000" w:themeColor="text1"/>
          <w:sz w:val="18"/>
          <w:szCs w:val="18"/>
        </w:rPr>
        <w:t xml:space="preserve"> r</w:t>
      </w:r>
      <w:r w:rsidR="00014916" w:rsidRPr="008E5656">
        <w:rPr>
          <w:rFonts w:eastAsia="Calibri"/>
          <w:color w:val="000000" w:themeColor="text1"/>
          <w:sz w:val="18"/>
          <w:szCs w:val="18"/>
        </w:rPr>
        <w:t>oku</w:t>
      </w:r>
      <w:r w:rsidRPr="008E5656">
        <w:rPr>
          <w:rFonts w:eastAsia="Calibri"/>
          <w:color w:val="000000" w:themeColor="text1"/>
          <w:sz w:val="18"/>
          <w:szCs w:val="18"/>
        </w:rPr>
        <w:t xml:space="preserve"> powyżej wymaganych </w:t>
      </w:r>
      <w:r w:rsidRPr="008E5656">
        <w:rPr>
          <w:rFonts w:cs="Arial"/>
          <w:color w:val="000000" w:themeColor="text1"/>
          <w:sz w:val="18"/>
          <w:szCs w:val="18"/>
        </w:rPr>
        <w:t>wartości</w:t>
      </w:r>
      <w:r w:rsidRPr="008E5656">
        <w:rPr>
          <w:rFonts w:eastAsia="Calibri" w:cs="Tahoma"/>
          <w:color w:val="000000" w:themeColor="text1"/>
          <w:spacing w:val="-4"/>
          <w:sz w:val="18"/>
          <w:szCs w:val="18"/>
        </w:rPr>
        <w:t xml:space="preserve"> uwzględniających opisanej wyżej składowe.</w:t>
      </w:r>
    </w:p>
    <w:tbl>
      <w:tblPr>
        <w:tblW w:w="9584" w:type="dxa"/>
        <w:tblLayout w:type="fixed"/>
        <w:tblCellMar>
          <w:left w:w="28" w:type="dxa"/>
          <w:right w:w="28" w:type="dxa"/>
        </w:tblCellMar>
        <w:tblLook w:val="04A0" w:firstRow="1" w:lastRow="0" w:firstColumn="1" w:lastColumn="0" w:noHBand="0" w:noVBand="1"/>
      </w:tblPr>
      <w:tblGrid>
        <w:gridCol w:w="3912"/>
        <w:gridCol w:w="1418"/>
        <w:gridCol w:w="1418"/>
        <w:gridCol w:w="1418"/>
        <w:gridCol w:w="1418"/>
      </w:tblGrid>
      <w:tr w:rsidR="003370BF" w:rsidRPr="003370BF" w14:paraId="7309C2E3" w14:textId="77777777" w:rsidTr="00F3632E">
        <w:trPr>
          <w:trHeight w:val="284"/>
        </w:trPr>
        <w:tc>
          <w:tcPr>
            <w:tcW w:w="3912" w:type="dxa"/>
            <w:tcBorders>
              <w:top w:val="nil"/>
              <w:left w:val="nil"/>
              <w:bottom w:val="single" w:sz="6" w:space="0" w:color="FFFFFF"/>
              <w:right w:val="single" w:sz="8" w:space="0" w:color="FFFFFF"/>
            </w:tcBorders>
            <w:shd w:val="clear" w:color="000000" w:fill="0077BD"/>
            <w:vAlign w:val="center"/>
            <w:hideMark/>
          </w:tcPr>
          <w:p w14:paraId="3A69652D" w14:textId="77777777" w:rsidR="003370BF" w:rsidRPr="003370BF" w:rsidRDefault="003370BF" w:rsidP="003370BF">
            <w:pPr>
              <w:rPr>
                <w:rFonts w:cs="Calibri"/>
                <w:b/>
                <w:bCs/>
                <w:color w:val="FFFFFF"/>
                <w:sz w:val="13"/>
                <w:szCs w:val="13"/>
              </w:rPr>
            </w:pPr>
            <w:r w:rsidRPr="003370BF">
              <w:rPr>
                <w:rFonts w:cs="Calibri"/>
                <w:b/>
                <w:bCs/>
                <w:color w:val="FFFFFF"/>
                <w:sz w:val="13"/>
                <w:szCs w:val="13"/>
              </w:rPr>
              <w:t>Grupa mBanku</w:t>
            </w:r>
          </w:p>
        </w:tc>
        <w:tc>
          <w:tcPr>
            <w:tcW w:w="2836" w:type="dxa"/>
            <w:gridSpan w:val="2"/>
            <w:tcBorders>
              <w:top w:val="nil"/>
              <w:left w:val="nil"/>
              <w:bottom w:val="single" w:sz="6" w:space="0" w:color="FFFFFF"/>
              <w:right w:val="single" w:sz="8" w:space="0" w:color="FFFFFF"/>
            </w:tcBorders>
            <w:shd w:val="clear" w:color="000000" w:fill="0077BD"/>
            <w:vAlign w:val="center"/>
            <w:hideMark/>
          </w:tcPr>
          <w:p w14:paraId="785B394C" w14:textId="67190B15" w:rsidR="003370BF" w:rsidRPr="003370BF" w:rsidRDefault="00F3632E" w:rsidP="003370BF">
            <w:pPr>
              <w:jc w:val="center"/>
              <w:rPr>
                <w:rFonts w:cs="Calibri"/>
                <w:b/>
                <w:bCs/>
                <w:color w:val="FFFFFF"/>
                <w:sz w:val="13"/>
                <w:szCs w:val="13"/>
              </w:rPr>
            </w:pPr>
            <w:r>
              <w:rPr>
                <w:rFonts w:cs="Calibri"/>
                <w:b/>
                <w:bCs/>
                <w:color w:val="FFFFFF"/>
                <w:sz w:val="13"/>
                <w:szCs w:val="13"/>
              </w:rPr>
              <w:t>31.12.</w:t>
            </w:r>
            <w:r w:rsidR="003370BF" w:rsidRPr="003370BF">
              <w:rPr>
                <w:rFonts w:cs="Calibri"/>
                <w:b/>
                <w:bCs/>
                <w:color w:val="FFFFFF"/>
                <w:sz w:val="13"/>
                <w:szCs w:val="13"/>
              </w:rPr>
              <w:t>2019</w:t>
            </w:r>
          </w:p>
        </w:tc>
        <w:tc>
          <w:tcPr>
            <w:tcW w:w="2836" w:type="dxa"/>
            <w:gridSpan w:val="2"/>
            <w:tcBorders>
              <w:top w:val="nil"/>
              <w:left w:val="nil"/>
              <w:bottom w:val="single" w:sz="6" w:space="0" w:color="FFFFFF"/>
              <w:right w:val="nil"/>
            </w:tcBorders>
            <w:shd w:val="clear" w:color="000000" w:fill="0077BD"/>
            <w:vAlign w:val="center"/>
            <w:hideMark/>
          </w:tcPr>
          <w:p w14:paraId="5EB22386" w14:textId="003484BC" w:rsidR="003370BF" w:rsidRPr="003370BF" w:rsidRDefault="00F3632E" w:rsidP="003370BF">
            <w:pPr>
              <w:jc w:val="center"/>
              <w:rPr>
                <w:rFonts w:cs="Calibri"/>
                <w:b/>
                <w:bCs/>
                <w:color w:val="FFFFFF"/>
                <w:sz w:val="13"/>
                <w:szCs w:val="13"/>
              </w:rPr>
            </w:pPr>
            <w:r>
              <w:rPr>
                <w:rFonts w:cs="Calibri"/>
                <w:b/>
                <w:bCs/>
                <w:color w:val="FFFFFF"/>
                <w:sz w:val="13"/>
                <w:szCs w:val="13"/>
              </w:rPr>
              <w:t>31.12.</w:t>
            </w:r>
            <w:r w:rsidR="003370BF" w:rsidRPr="003370BF">
              <w:rPr>
                <w:rFonts w:cs="Calibri"/>
                <w:b/>
                <w:bCs/>
                <w:color w:val="FFFFFF"/>
                <w:sz w:val="13"/>
                <w:szCs w:val="13"/>
              </w:rPr>
              <w:t>2018</w:t>
            </w:r>
          </w:p>
        </w:tc>
      </w:tr>
      <w:tr w:rsidR="003370BF" w:rsidRPr="003370BF" w14:paraId="3D612D85" w14:textId="77777777" w:rsidTr="00F3632E">
        <w:trPr>
          <w:trHeight w:val="397"/>
        </w:trPr>
        <w:tc>
          <w:tcPr>
            <w:tcW w:w="3912" w:type="dxa"/>
            <w:tcBorders>
              <w:top w:val="single" w:sz="6" w:space="0" w:color="FFFFFF"/>
              <w:left w:val="nil"/>
              <w:bottom w:val="nil"/>
              <w:right w:val="single" w:sz="8" w:space="0" w:color="FFFFFF"/>
            </w:tcBorders>
            <w:shd w:val="clear" w:color="000000" w:fill="0077BD"/>
            <w:vAlign w:val="center"/>
            <w:hideMark/>
          </w:tcPr>
          <w:p w14:paraId="58867E4B" w14:textId="77777777" w:rsidR="003370BF" w:rsidRPr="003370BF" w:rsidRDefault="003370BF" w:rsidP="003370BF">
            <w:pPr>
              <w:rPr>
                <w:rFonts w:cs="Calibri"/>
                <w:b/>
                <w:bCs/>
                <w:color w:val="FFFFFF"/>
                <w:sz w:val="13"/>
                <w:szCs w:val="13"/>
              </w:rPr>
            </w:pPr>
            <w:r w:rsidRPr="003370BF">
              <w:rPr>
                <w:rFonts w:cs="Calibri"/>
                <w:b/>
                <w:bCs/>
                <w:color w:val="FFFFFF"/>
                <w:sz w:val="13"/>
                <w:szCs w:val="13"/>
              </w:rPr>
              <w:t>Współczynnik kapitałowy</w:t>
            </w:r>
          </w:p>
        </w:tc>
        <w:tc>
          <w:tcPr>
            <w:tcW w:w="1418" w:type="dxa"/>
            <w:tcBorders>
              <w:top w:val="single" w:sz="6" w:space="0" w:color="FFFFFF"/>
              <w:left w:val="nil"/>
              <w:bottom w:val="nil"/>
              <w:right w:val="nil"/>
            </w:tcBorders>
            <w:shd w:val="clear" w:color="000000" w:fill="0077BD"/>
            <w:vAlign w:val="center"/>
            <w:hideMark/>
          </w:tcPr>
          <w:p w14:paraId="3AA7D897" w14:textId="77777777" w:rsidR="003370BF" w:rsidRPr="003370BF" w:rsidRDefault="003370BF" w:rsidP="003370BF">
            <w:pPr>
              <w:jc w:val="right"/>
              <w:rPr>
                <w:rFonts w:cs="Calibri"/>
                <w:b/>
                <w:bCs/>
                <w:color w:val="FFFFFF"/>
                <w:sz w:val="13"/>
                <w:szCs w:val="13"/>
              </w:rPr>
            </w:pPr>
            <w:r w:rsidRPr="003370BF">
              <w:rPr>
                <w:rFonts w:cs="Calibri"/>
                <w:b/>
                <w:bCs/>
                <w:color w:val="FFFFFF"/>
                <w:sz w:val="13"/>
                <w:szCs w:val="13"/>
              </w:rPr>
              <w:t xml:space="preserve">Poziom </w:t>
            </w:r>
            <w:r w:rsidRPr="003370BF">
              <w:rPr>
                <w:rFonts w:cs="Calibri"/>
                <w:b/>
                <w:bCs/>
                <w:color w:val="FFFFFF"/>
                <w:sz w:val="13"/>
                <w:szCs w:val="13"/>
              </w:rPr>
              <w:br/>
              <w:t>wymagany</w:t>
            </w:r>
          </w:p>
        </w:tc>
        <w:tc>
          <w:tcPr>
            <w:tcW w:w="1418" w:type="dxa"/>
            <w:tcBorders>
              <w:top w:val="single" w:sz="6" w:space="0" w:color="FFFFFF"/>
              <w:left w:val="single" w:sz="8" w:space="0" w:color="FFFFFF"/>
              <w:bottom w:val="nil"/>
              <w:right w:val="nil"/>
            </w:tcBorders>
            <w:shd w:val="clear" w:color="000000" w:fill="0077BD"/>
            <w:vAlign w:val="center"/>
            <w:hideMark/>
          </w:tcPr>
          <w:p w14:paraId="542CEE6C" w14:textId="77777777" w:rsidR="003370BF" w:rsidRPr="003370BF" w:rsidRDefault="003370BF" w:rsidP="003370BF">
            <w:pPr>
              <w:jc w:val="right"/>
              <w:rPr>
                <w:rFonts w:cs="Calibri"/>
                <w:b/>
                <w:bCs/>
                <w:color w:val="FFFFFF"/>
                <w:sz w:val="13"/>
                <w:szCs w:val="13"/>
              </w:rPr>
            </w:pPr>
            <w:r w:rsidRPr="003370BF">
              <w:rPr>
                <w:rFonts w:cs="Calibri"/>
                <w:b/>
                <w:bCs/>
                <w:color w:val="FFFFFF"/>
                <w:sz w:val="13"/>
                <w:szCs w:val="13"/>
              </w:rPr>
              <w:t xml:space="preserve">Poziom </w:t>
            </w:r>
            <w:r w:rsidRPr="003370BF">
              <w:rPr>
                <w:rFonts w:cs="Calibri"/>
                <w:b/>
                <w:bCs/>
                <w:color w:val="FFFFFF"/>
                <w:sz w:val="13"/>
                <w:szCs w:val="13"/>
              </w:rPr>
              <w:br/>
              <w:t>zaraportowany</w:t>
            </w:r>
          </w:p>
        </w:tc>
        <w:tc>
          <w:tcPr>
            <w:tcW w:w="1418" w:type="dxa"/>
            <w:tcBorders>
              <w:top w:val="single" w:sz="6" w:space="0" w:color="FFFFFF"/>
              <w:left w:val="single" w:sz="8" w:space="0" w:color="FFFFFF"/>
              <w:bottom w:val="nil"/>
              <w:right w:val="nil"/>
            </w:tcBorders>
            <w:shd w:val="clear" w:color="000000" w:fill="0077BD"/>
            <w:vAlign w:val="center"/>
            <w:hideMark/>
          </w:tcPr>
          <w:p w14:paraId="5AC38FB5" w14:textId="77777777" w:rsidR="003370BF" w:rsidRPr="003370BF" w:rsidRDefault="003370BF" w:rsidP="003370BF">
            <w:pPr>
              <w:jc w:val="right"/>
              <w:rPr>
                <w:rFonts w:cs="Calibri"/>
                <w:b/>
                <w:bCs/>
                <w:color w:val="FFFFFF"/>
                <w:sz w:val="13"/>
                <w:szCs w:val="13"/>
              </w:rPr>
            </w:pPr>
            <w:r w:rsidRPr="003370BF">
              <w:rPr>
                <w:rFonts w:cs="Calibri"/>
                <w:b/>
                <w:bCs/>
                <w:color w:val="FFFFFF"/>
                <w:sz w:val="13"/>
                <w:szCs w:val="13"/>
              </w:rPr>
              <w:t xml:space="preserve">Poziom </w:t>
            </w:r>
            <w:r w:rsidRPr="003370BF">
              <w:rPr>
                <w:rFonts w:cs="Calibri"/>
                <w:b/>
                <w:bCs/>
                <w:color w:val="FFFFFF"/>
                <w:sz w:val="13"/>
                <w:szCs w:val="13"/>
              </w:rPr>
              <w:br/>
              <w:t>wymagany</w:t>
            </w:r>
          </w:p>
        </w:tc>
        <w:tc>
          <w:tcPr>
            <w:tcW w:w="1418" w:type="dxa"/>
            <w:tcBorders>
              <w:top w:val="single" w:sz="6" w:space="0" w:color="FFFFFF"/>
              <w:left w:val="single" w:sz="8" w:space="0" w:color="FFFFFF"/>
              <w:bottom w:val="nil"/>
              <w:right w:val="nil"/>
            </w:tcBorders>
            <w:shd w:val="clear" w:color="000000" w:fill="0077BD"/>
            <w:vAlign w:val="center"/>
            <w:hideMark/>
          </w:tcPr>
          <w:p w14:paraId="1B6CF0DE" w14:textId="77777777" w:rsidR="003370BF" w:rsidRPr="003370BF" w:rsidRDefault="003370BF" w:rsidP="003370BF">
            <w:pPr>
              <w:jc w:val="right"/>
              <w:rPr>
                <w:rFonts w:cs="Calibri"/>
                <w:b/>
                <w:bCs/>
                <w:color w:val="FFFFFF"/>
                <w:sz w:val="13"/>
                <w:szCs w:val="13"/>
              </w:rPr>
            </w:pPr>
            <w:r w:rsidRPr="003370BF">
              <w:rPr>
                <w:rFonts w:cs="Calibri"/>
                <w:b/>
                <w:bCs/>
                <w:color w:val="FFFFFF"/>
                <w:sz w:val="13"/>
                <w:szCs w:val="13"/>
              </w:rPr>
              <w:t xml:space="preserve">Poziom </w:t>
            </w:r>
            <w:r w:rsidRPr="003370BF">
              <w:rPr>
                <w:rFonts w:cs="Calibri"/>
                <w:b/>
                <w:bCs/>
                <w:color w:val="FFFFFF"/>
                <w:sz w:val="13"/>
                <w:szCs w:val="13"/>
              </w:rPr>
              <w:br/>
              <w:t>zaraportowany</w:t>
            </w:r>
          </w:p>
        </w:tc>
      </w:tr>
      <w:tr w:rsidR="008E5656" w:rsidRPr="00C11F75" w14:paraId="1162DE5E" w14:textId="77777777" w:rsidTr="00F3632E">
        <w:trPr>
          <w:trHeight w:val="284"/>
        </w:trPr>
        <w:tc>
          <w:tcPr>
            <w:tcW w:w="3912" w:type="dxa"/>
            <w:tcBorders>
              <w:top w:val="nil"/>
              <w:left w:val="nil"/>
              <w:bottom w:val="single" w:sz="8" w:space="0" w:color="0077BD"/>
              <w:right w:val="single" w:sz="8" w:space="0" w:color="0077BD"/>
            </w:tcBorders>
            <w:shd w:val="clear" w:color="auto" w:fill="auto"/>
            <w:noWrap/>
            <w:vAlign w:val="center"/>
            <w:hideMark/>
          </w:tcPr>
          <w:p w14:paraId="541C1BFC" w14:textId="77777777" w:rsidR="008E5656" w:rsidRPr="00C11F75" w:rsidRDefault="008E5656" w:rsidP="008E5656">
            <w:pPr>
              <w:rPr>
                <w:rFonts w:cs="Calibri"/>
                <w:color w:val="000000" w:themeColor="text1"/>
                <w:sz w:val="13"/>
                <w:szCs w:val="13"/>
              </w:rPr>
            </w:pPr>
            <w:r w:rsidRPr="00C11F75">
              <w:rPr>
                <w:rFonts w:cs="Calibri"/>
                <w:color w:val="000000" w:themeColor="text1"/>
                <w:sz w:val="13"/>
                <w:szCs w:val="13"/>
              </w:rPr>
              <w:t>Łączny współczynnik kapitałowy (TCR)</w:t>
            </w:r>
          </w:p>
        </w:tc>
        <w:tc>
          <w:tcPr>
            <w:tcW w:w="1418" w:type="dxa"/>
            <w:tcBorders>
              <w:top w:val="nil"/>
              <w:left w:val="nil"/>
              <w:bottom w:val="single" w:sz="8" w:space="0" w:color="0077BD"/>
              <w:right w:val="single" w:sz="8" w:space="0" w:color="0077BD"/>
            </w:tcBorders>
            <w:shd w:val="clear" w:color="auto" w:fill="auto"/>
            <w:noWrap/>
            <w:vAlign w:val="center"/>
            <w:hideMark/>
          </w:tcPr>
          <w:p w14:paraId="556A7620" w14:textId="1ACF8941" w:rsidR="008E5656" w:rsidRPr="00C11F75" w:rsidRDefault="008E5656" w:rsidP="008E5656">
            <w:pPr>
              <w:jc w:val="right"/>
              <w:rPr>
                <w:rFonts w:cs="Calibri"/>
                <w:color w:val="000000" w:themeColor="text1"/>
                <w:sz w:val="13"/>
                <w:szCs w:val="13"/>
              </w:rPr>
            </w:pPr>
            <w:r w:rsidRPr="00367DBF">
              <w:rPr>
                <w:sz w:val="13"/>
                <w:szCs w:val="13"/>
              </w:rPr>
              <w:t>17,25%</w:t>
            </w:r>
          </w:p>
        </w:tc>
        <w:tc>
          <w:tcPr>
            <w:tcW w:w="1418" w:type="dxa"/>
            <w:tcBorders>
              <w:top w:val="nil"/>
              <w:left w:val="nil"/>
              <w:bottom w:val="single" w:sz="8" w:space="0" w:color="0077BD"/>
              <w:right w:val="nil"/>
            </w:tcBorders>
            <w:shd w:val="clear" w:color="auto" w:fill="auto"/>
            <w:noWrap/>
            <w:vAlign w:val="center"/>
            <w:hideMark/>
          </w:tcPr>
          <w:p w14:paraId="704292D2" w14:textId="448A9137" w:rsidR="008E5656" w:rsidRPr="00C11F75" w:rsidRDefault="008E5656" w:rsidP="008E5656">
            <w:pPr>
              <w:jc w:val="right"/>
              <w:rPr>
                <w:rFonts w:cs="Calibri"/>
                <w:color w:val="000000" w:themeColor="text1"/>
                <w:sz w:val="13"/>
                <w:szCs w:val="13"/>
              </w:rPr>
            </w:pPr>
            <w:r w:rsidRPr="00367DBF">
              <w:rPr>
                <w:sz w:val="13"/>
                <w:szCs w:val="13"/>
              </w:rPr>
              <w:t>19,46%</w:t>
            </w:r>
          </w:p>
        </w:tc>
        <w:tc>
          <w:tcPr>
            <w:tcW w:w="1418" w:type="dxa"/>
            <w:tcBorders>
              <w:top w:val="nil"/>
              <w:left w:val="single" w:sz="8" w:space="0" w:color="0077BD"/>
              <w:bottom w:val="single" w:sz="8" w:space="0" w:color="0077BD"/>
              <w:right w:val="nil"/>
            </w:tcBorders>
            <w:shd w:val="clear" w:color="auto" w:fill="auto"/>
            <w:noWrap/>
            <w:vAlign w:val="center"/>
            <w:hideMark/>
          </w:tcPr>
          <w:p w14:paraId="45078364" w14:textId="77777777" w:rsidR="008E5656" w:rsidRPr="00C11F75" w:rsidRDefault="008E5656" w:rsidP="008E5656">
            <w:pPr>
              <w:jc w:val="right"/>
              <w:rPr>
                <w:rFonts w:cs="Calibri"/>
                <w:color w:val="000000" w:themeColor="text1"/>
                <w:sz w:val="13"/>
                <w:szCs w:val="13"/>
              </w:rPr>
            </w:pPr>
            <w:r w:rsidRPr="00C11F75">
              <w:rPr>
                <w:rFonts w:cs="Calibri"/>
                <w:color w:val="000000" w:themeColor="text1"/>
                <w:sz w:val="13"/>
                <w:szCs w:val="13"/>
              </w:rPr>
              <w:t>16,88%</w:t>
            </w:r>
          </w:p>
        </w:tc>
        <w:tc>
          <w:tcPr>
            <w:tcW w:w="1418" w:type="dxa"/>
            <w:tcBorders>
              <w:top w:val="nil"/>
              <w:left w:val="single" w:sz="8" w:space="0" w:color="0077BD"/>
              <w:bottom w:val="single" w:sz="8" w:space="0" w:color="0077BD"/>
              <w:right w:val="nil"/>
            </w:tcBorders>
            <w:shd w:val="clear" w:color="auto" w:fill="auto"/>
            <w:noWrap/>
            <w:vAlign w:val="center"/>
            <w:hideMark/>
          </w:tcPr>
          <w:p w14:paraId="4C486BF8" w14:textId="77777777" w:rsidR="008E5656" w:rsidRPr="00C11F75" w:rsidRDefault="008E5656" w:rsidP="008E5656">
            <w:pPr>
              <w:jc w:val="right"/>
              <w:rPr>
                <w:rFonts w:cs="Calibri"/>
                <w:color w:val="000000" w:themeColor="text1"/>
                <w:sz w:val="13"/>
                <w:szCs w:val="13"/>
              </w:rPr>
            </w:pPr>
            <w:r w:rsidRPr="00C11F75">
              <w:rPr>
                <w:rFonts w:cs="Calibri"/>
                <w:color w:val="000000" w:themeColor="text1"/>
                <w:sz w:val="13"/>
                <w:szCs w:val="13"/>
              </w:rPr>
              <w:t>20,69%</w:t>
            </w:r>
          </w:p>
        </w:tc>
      </w:tr>
      <w:tr w:rsidR="008E5656" w:rsidRPr="00C11F75" w14:paraId="3D16982A" w14:textId="77777777" w:rsidTr="00F3632E">
        <w:trPr>
          <w:trHeight w:val="284"/>
        </w:trPr>
        <w:tc>
          <w:tcPr>
            <w:tcW w:w="3912" w:type="dxa"/>
            <w:tcBorders>
              <w:top w:val="nil"/>
              <w:left w:val="nil"/>
              <w:bottom w:val="single" w:sz="8" w:space="0" w:color="0077BD"/>
              <w:right w:val="single" w:sz="8" w:space="0" w:color="0077BD"/>
            </w:tcBorders>
            <w:shd w:val="clear" w:color="auto" w:fill="auto"/>
            <w:noWrap/>
            <w:vAlign w:val="center"/>
            <w:hideMark/>
          </w:tcPr>
          <w:p w14:paraId="18F96463" w14:textId="77777777" w:rsidR="008E5656" w:rsidRPr="00C11F75" w:rsidRDefault="008E5656" w:rsidP="008E5656">
            <w:pPr>
              <w:rPr>
                <w:rFonts w:cs="Calibri"/>
                <w:color w:val="000000" w:themeColor="text1"/>
                <w:sz w:val="13"/>
                <w:szCs w:val="13"/>
              </w:rPr>
            </w:pPr>
            <w:r w:rsidRPr="00C11F75">
              <w:rPr>
                <w:rFonts w:cs="Calibri"/>
                <w:color w:val="000000" w:themeColor="text1"/>
                <w:sz w:val="13"/>
                <w:szCs w:val="13"/>
              </w:rPr>
              <w:t>Współczynnik kapitału Tier 1 (Tier 1 ratio)</w:t>
            </w:r>
          </w:p>
        </w:tc>
        <w:tc>
          <w:tcPr>
            <w:tcW w:w="1418" w:type="dxa"/>
            <w:tcBorders>
              <w:top w:val="nil"/>
              <w:left w:val="nil"/>
              <w:bottom w:val="single" w:sz="8" w:space="0" w:color="0077BD"/>
              <w:right w:val="single" w:sz="8" w:space="0" w:color="0077BD"/>
            </w:tcBorders>
            <w:shd w:val="clear" w:color="auto" w:fill="auto"/>
            <w:noWrap/>
            <w:vAlign w:val="center"/>
            <w:hideMark/>
          </w:tcPr>
          <w:p w14:paraId="328CF232" w14:textId="603AFC68" w:rsidR="008E5656" w:rsidRPr="00C11F75" w:rsidRDefault="008E5656" w:rsidP="008E5656">
            <w:pPr>
              <w:jc w:val="right"/>
              <w:rPr>
                <w:rFonts w:cs="Calibri"/>
                <w:color w:val="000000" w:themeColor="text1"/>
                <w:sz w:val="13"/>
                <w:szCs w:val="13"/>
              </w:rPr>
            </w:pPr>
            <w:r w:rsidRPr="00367DBF">
              <w:rPr>
                <w:sz w:val="13"/>
                <w:szCs w:val="13"/>
              </w:rPr>
              <w:t>14,47%</w:t>
            </w:r>
          </w:p>
        </w:tc>
        <w:tc>
          <w:tcPr>
            <w:tcW w:w="1418" w:type="dxa"/>
            <w:tcBorders>
              <w:top w:val="nil"/>
              <w:left w:val="nil"/>
              <w:bottom w:val="single" w:sz="8" w:space="0" w:color="0077BD"/>
              <w:right w:val="nil"/>
            </w:tcBorders>
            <w:shd w:val="clear" w:color="auto" w:fill="auto"/>
            <w:noWrap/>
            <w:vAlign w:val="center"/>
            <w:hideMark/>
          </w:tcPr>
          <w:p w14:paraId="643445E6" w14:textId="4F53E622" w:rsidR="008E5656" w:rsidRPr="00C11F75" w:rsidRDefault="008E5656" w:rsidP="008E5656">
            <w:pPr>
              <w:jc w:val="right"/>
              <w:rPr>
                <w:rFonts w:cs="Calibri"/>
                <w:color w:val="000000" w:themeColor="text1"/>
                <w:sz w:val="13"/>
                <w:szCs w:val="13"/>
              </w:rPr>
            </w:pPr>
            <w:r w:rsidRPr="00367DBF">
              <w:rPr>
                <w:sz w:val="13"/>
                <w:szCs w:val="13"/>
              </w:rPr>
              <w:t>16,51%</w:t>
            </w:r>
          </w:p>
        </w:tc>
        <w:tc>
          <w:tcPr>
            <w:tcW w:w="1418" w:type="dxa"/>
            <w:tcBorders>
              <w:top w:val="nil"/>
              <w:left w:val="single" w:sz="8" w:space="0" w:color="0077BD"/>
              <w:bottom w:val="single" w:sz="8" w:space="0" w:color="0077BD"/>
              <w:right w:val="nil"/>
            </w:tcBorders>
            <w:shd w:val="clear" w:color="auto" w:fill="auto"/>
            <w:noWrap/>
            <w:vAlign w:val="center"/>
            <w:hideMark/>
          </w:tcPr>
          <w:p w14:paraId="446A6B4F" w14:textId="77777777" w:rsidR="008E5656" w:rsidRPr="00C11F75" w:rsidRDefault="008E5656" w:rsidP="008E5656">
            <w:pPr>
              <w:jc w:val="right"/>
              <w:rPr>
                <w:rFonts w:cs="Calibri"/>
                <w:color w:val="000000" w:themeColor="text1"/>
                <w:sz w:val="13"/>
                <w:szCs w:val="13"/>
              </w:rPr>
            </w:pPr>
            <w:r w:rsidRPr="00C11F75">
              <w:rPr>
                <w:rFonts w:cs="Calibri"/>
                <w:color w:val="000000" w:themeColor="text1"/>
                <w:sz w:val="13"/>
                <w:szCs w:val="13"/>
              </w:rPr>
              <w:t>13,97%</w:t>
            </w:r>
          </w:p>
        </w:tc>
        <w:tc>
          <w:tcPr>
            <w:tcW w:w="1418" w:type="dxa"/>
            <w:tcBorders>
              <w:top w:val="nil"/>
              <w:left w:val="single" w:sz="8" w:space="0" w:color="0077BD"/>
              <w:bottom w:val="single" w:sz="8" w:space="0" w:color="0077BD"/>
              <w:right w:val="nil"/>
            </w:tcBorders>
            <w:shd w:val="clear" w:color="auto" w:fill="auto"/>
            <w:noWrap/>
            <w:vAlign w:val="center"/>
            <w:hideMark/>
          </w:tcPr>
          <w:p w14:paraId="41A39EF9" w14:textId="77777777" w:rsidR="008E5656" w:rsidRPr="00C11F75" w:rsidRDefault="008E5656" w:rsidP="008E5656">
            <w:pPr>
              <w:jc w:val="right"/>
              <w:rPr>
                <w:rFonts w:cs="Calibri"/>
                <w:color w:val="000000" w:themeColor="text1"/>
                <w:sz w:val="13"/>
                <w:szCs w:val="13"/>
              </w:rPr>
            </w:pPr>
            <w:r w:rsidRPr="00C11F75">
              <w:rPr>
                <w:rFonts w:cs="Calibri"/>
                <w:color w:val="000000" w:themeColor="text1"/>
                <w:sz w:val="13"/>
                <w:szCs w:val="13"/>
              </w:rPr>
              <w:t>17,47%</w:t>
            </w:r>
          </w:p>
        </w:tc>
      </w:tr>
    </w:tbl>
    <w:p w14:paraId="23848E1C" w14:textId="2596C1B8" w:rsidR="00502887" w:rsidRDefault="007F6754" w:rsidP="003370BF">
      <w:pPr>
        <w:spacing w:before="120" w:after="120"/>
        <w:jc w:val="both"/>
        <w:rPr>
          <w:rFonts w:cs="Tahoma"/>
          <w:color w:val="000000" w:themeColor="text1"/>
          <w:sz w:val="18"/>
          <w:szCs w:val="18"/>
        </w:rPr>
      </w:pPr>
      <w:r w:rsidRPr="00C11F75">
        <w:rPr>
          <w:rFonts w:cs="Tahoma"/>
          <w:color w:val="000000" w:themeColor="text1"/>
          <w:sz w:val="18"/>
          <w:szCs w:val="18"/>
        </w:rPr>
        <w:t xml:space="preserve">Skonsolidowany wskaźnik dźwigni finansowej, liczony według przepisów Rozporządzenia CRR oraz </w:t>
      </w:r>
      <w:r w:rsidRPr="00C11F75">
        <w:rPr>
          <w:bCs/>
          <w:color w:val="000000" w:themeColor="text1"/>
          <w:sz w:val="18"/>
          <w:szCs w:val="18"/>
        </w:rPr>
        <w:t>Rozporządzenia delegowanego Komisji (UE) 2015/62 z dnia 10 października 2014 roku zmieniającego</w:t>
      </w:r>
      <w:r w:rsidRPr="00C11F75">
        <w:rPr>
          <w:bCs/>
          <w:i/>
          <w:color w:val="000000" w:themeColor="text1"/>
          <w:sz w:val="18"/>
          <w:szCs w:val="18"/>
        </w:rPr>
        <w:t xml:space="preserve"> </w:t>
      </w:r>
      <w:r w:rsidRPr="00C11F75">
        <w:rPr>
          <w:bCs/>
          <w:color w:val="000000" w:themeColor="text1"/>
          <w:sz w:val="18"/>
          <w:szCs w:val="18"/>
        </w:rPr>
        <w:t>Rozporządzenie Parlamentu Europejskiego i Rady (UE) nr 575/2013 w odniesieniu do wskaźnika dźwigni</w:t>
      </w:r>
      <w:r w:rsidRPr="00C11F75">
        <w:rPr>
          <w:rFonts w:cs="Tahoma"/>
          <w:color w:val="000000" w:themeColor="text1"/>
          <w:sz w:val="18"/>
          <w:szCs w:val="18"/>
        </w:rPr>
        <w:t xml:space="preserve">, </w:t>
      </w:r>
      <w:r w:rsidRPr="00103F7F">
        <w:rPr>
          <w:rFonts w:cs="Tahoma"/>
          <w:color w:val="000000" w:themeColor="text1"/>
          <w:sz w:val="18"/>
          <w:szCs w:val="18"/>
        </w:rPr>
        <w:t>z uwzględnieniem przejściowej definicji</w:t>
      </w:r>
      <w:r w:rsidR="003370BF" w:rsidRPr="00103F7F">
        <w:rPr>
          <w:rFonts w:cs="Tahoma"/>
          <w:color w:val="000000" w:themeColor="text1"/>
          <w:sz w:val="18"/>
          <w:szCs w:val="18"/>
        </w:rPr>
        <w:t xml:space="preserve"> kapitału Tier I, na koniec 2019</w:t>
      </w:r>
      <w:r w:rsidR="00E306F3">
        <w:rPr>
          <w:rFonts w:cs="Tahoma"/>
          <w:color w:val="000000" w:themeColor="text1"/>
          <w:sz w:val="18"/>
          <w:szCs w:val="18"/>
        </w:rPr>
        <w:t xml:space="preserve"> roku</w:t>
      </w:r>
      <w:r w:rsidRPr="00103F7F">
        <w:rPr>
          <w:rFonts w:cs="Tahoma"/>
          <w:color w:val="000000" w:themeColor="text1"/>
          <w:sz w:val="18"/>
          <w:szCs w:val="18"/>
        </w:rPr>
        <w:t xml:space="preserve"> wyniósł </w:t>
      </w:r>
      <w:r w:rsidR="00103F7F" w:rsidRPr="00103F7F">
        <w:rPr>
          <w:rFonts w:cs="Tahoma"/>
          <w:color w:val="000000" w:themeColor="text1"/>
          <w:sz w:val="18"/>
          <w:szCs w:val="18"/>
        </w:rPr>
        <w:t>8,25</w:t>
      </w:r>
      <w:r w:rsidRPr="00103F7F">
        <w:rPr>
          <w:rFonts w:cs="Tahoma"/>
          <w:color w:val="000000" w:themeColor="text1"/>
          <w:sz w:val="18"/>
          <w:szCs w:val="18"/>
        </w:rPr>
        <w:t>%.</w:t>
      </w:r>
      <w:r w:rsidRPr="00C11F75">
        <w:rPr>
          <w:rFonts w:cs="Tahoma"/>
          <w:color w:val="000000" w:themeColor="text1"/>
          <w:sz w:val="18"/>
          <w:szCs w:val="18"/>
        </w:rPr>
        <w:t xml:space="preserve"> </w:t>
      </w:r>
    </w:p>
    <w:p w14:paraId="239272FB" w14:textId="77777777" w:rsidR="00502887" w:rsidRDefault="00502887">
      <w:pPr>
        <w:rPr>
          <w:rFonts w:cs="Tahoma"/>
          <w:color w:val="000000" w:themeColor="text1"/>
          <w:sz w:val="18"/>
          <w:szCs w:val="18"/>
        </w:rPr>
      </w:pPr>
      <w:r>
        <w:rPr>
          <w:rFonts w:cs="Tahoma"/>
          <w:color w:val="000000" w:themeColor="text1"/>
          <w:sz w:val="18"/>
          <w:szCs w:val="18"/>
        </w:rPr>
        <w:br w:type="page"/>
      </w:r>
    </w:p>
    <w:p w14:paraId="0A84D94E" w14:textId="77777777" w:rsidR="000540D3" w:rsidRPr="004E1A10" w:rsidRDefault="000540D3" w:rsidP="000540D3">
      <w:pPr>
        <w:jc w:val="both"/>
        <w:rPr>
          <w:rFonts w:cs="Tahoma"/>
          <w:b/>
          <w:color w:val="000000" w:themeColor="text1"/>
          <w:sz w:val="18"/>
          <w:szCs w:val="18"/>
          <w:u w:val="single"/>
        </w:rPr>
      </w:pPr>
      <w:r w:rsidRPr="004E1A10">
        <w:rPr>
          <w:rFonts w:cs="Tahoma"/>
          <w:b/>
          <w:color w:val="000000" w:themeColor="text1"/>
          <w:sz w:val="18"/>
          <w:szCs w:val="18"/>
          <w:u w:val="single"/>
        </w:rPr>
        <w:lastRenderedPageBreak/>
        <w:t>Fundusze własne</w:t>
      </w:r>
    </w:p>
    <w:p w14:paraId="25914879" w14:textId="77777777" w:rsidR="002B43F3" w:rsidRPr="004E1A10" w:rsidRDefault="00506773" w:rsidP="00506773">
      <w:pPr>
        <w:spacing w:before="120"/>
        <w:jc w:val="both"/>
        <w:rPr>
          <w:rFonts w:cs="Sendnya"/>
          <w:color w:val="000000" w:themeColor="text1"/>
          <w:sz w:val="18"/>
          <w:szCs w:val="18"/>
          <w:lang w:bidi="or-IN"/>
        </w:rPr>
      </w:pPr>
      <w:r w:rsidRPr="004E1A10">
        <w:rPr>
          <w:rFonts w:cs="Sendnya"/>
          <w:color w:val="000000" w:themeColor="text1"/>
          <w:sz w:val="18"/>
          <w:szCs w:val="18"/>
          <w:lang w:bidi="or-IN"/>
        </w:rPr>
        <w:t>Zgodnie z Rozporządzeniem CRR, na skonsolidowane fundusze własne składa się skonsolidowany kapitał podstawowy Tier I, skonsolidowany kapitał dodatkowy Tier I oraz skonsolidowany kapitał Tier II, przy czym w Grupie mBanku nie identyfikuje się pozycji, które kwalifikowałyby się jako dodatkowy kapitał Ti</w:t>
      </w:r>
      <w:r w:rsidR="00C0117E" w:rsidRPr="004E1A10">
        <w:rPr>
          <w:rFonts w:cs="Sendnya"/>
          <w:color w:val="000000" w:themeColor="text1"/>
          <w:sz w:val="18"/>
          <w:szCs w:val="18"/>
          <w:lang w:bidi="or-IN"/>
        </w:rPr>
        <w:t>er I</w:t>
      </w:r>
      <w:r w:rsidRPr="004E1A10">
        <w:rPr>
          <w:rFonts w:cs="Sendnya"/>
          <w:color w:val="000000" w:themeColor="text1"/>
          <w:sz w:val="18"/>
          <w:szCs w:val="18"/>
          <w:lang w:bidi="or-IN"/>
        </w:rPr>
        <w:t>.</w:t>
      </w:r>
    </w:p>
    <w:p w14:paraId="51961A34" w14:textId="77777777" w:rsidR="00506773" w:rsidRPr="004E1A10" w:rsidRDefault="00506773" w:rsidP="00506773">
      <w:pPr>
        <w:spacing w:before="120"/>
        <w:jc w:val="both"/>
        <w:rPr>
          <w:rFonts w:cs="Tahoma"/>
          <w:color w:val="000000" w:themeColor="text1"/>
          <w:spacing w:val="-4"/>
          <w:sz w:val="18"/>
          <w:szCs w:val="18"/>
          <w:u w:val="single"/>
        </w:rPr>
      </w:pPr>
      <w:r w:rsidRPr="004E1A10">
        <w:rPr>
          <w:rFonts w:cs="Tahoma"/>
          <w:color w:val="000000" w:themeColor="text1"/>
          <w:spacing w:val="-4"/>
          <w:sz w:val="18"/>
          <w:szCs w:val="18"/>
          <w:u w:val="single"/>
        </w:rPr>
        <w:t>Kapitał podstawowy Tier I Grupy mBanku obejmuje:</w:t>
      </w:r>
    </w:p>
    <w:p w14:paraId="06782B57" w14:textId="77777777" w:rsidR="00506773" w:rsidRPr="004E1A10" w:rsidRDefault="00506773" w:rsidP="00526DF1">
      <w:pPr>
        <w:numPr>
          <w:ilvl w:val="0"/>
          <w:numId w:val="35"/>
        </w:numPr>
        <w:jc w:val="both"/>
        <w:rPr>
          <w:rFonts w:cs="Tahoma"/>
          <w:color w:val="000000" w:themeColor="text1"/>
          <w:sz w:val="18"/>
          <w:szCs w:val="18"/>
          <w:lang w:bidi="or-IN"/>
        </w:rPr>
      </w:pPr>
      <w:r w:rsidRPr="004E1A10">
        <w:rPr>
          <w:rFonts w:cs="Tahoma"/>
          <w:color w:val="000000" w:themeColor="text1"/>
          <w:spacing w:val="-4"/>
          <w:sz w:val="18"/>
          <w:szCs w:val="18"/>
        </w:rPr>
        <w:t>opłacone i</w:t>
      </w:r>
      <w:r w:rsidRPr="004E1A10">
        <w:rPr>
          <w:rFonts w:cs="Tahoma"/>
          <w:color w:val="000000" w:themeColor="text1"/>
          <w:sz w:val="18"/>
          <w:szCs w:val="18"/>
          <w:lang w:bidi="or-IN"/>
        </w:rPr>
        <w:t>nstrumenty kapitałowe i powiązane ażio emisyjne,</w:t>
      </w:r>
    </w:p>
    <w:p w14:paraId="4B23520A" w14:textId="77777777" w:rsidR="00506773" w:rsidRPr="004E1A10" w:rsidRDefault="00506773" w:rsidP="00526DF1">
      <w:pPr>
        <w:numPr>
          <w:ilvl w:val="0"/>
          <w:numId w:val="34"/>
        </w:numPr>
        <w:jc w:val="both"/>
        <w:rPr>
          <w:rFonts w:cs="Tahoma"/>
          <w:color w:val="000000" w:themeColor="text1"/>
          <w:sz w:val="18"/>
          <w:szCs w:val="18"/>
          <w:lang w:bidi="or-IN"/>
        </w:rPr>
      </w:pPr>
      <w:r w:rsidRPr="004E1A10">
        <w:rPr>
          <w:rFonts w:cs="Tahoma"/>
          <w:color w:val="000000" w:themeColor="text1"/>
          <w:sz w:val="18"/>
          <w:szCs w:val="18"/>
          <w:lang w:bidi="or-IN"/>
        </w:rPr>
        <w:t>zyski zatrzymane w poprzednich latach,</w:t>
      </w:r>
    </w:p>
    <w:p w14:paraId="250F34A2" w14:textId="77777777" w:rsidR="00506773" w:rsidRPr="004E1A10" w:rsidRDefault="000D7C97" w:rsidP="00526DF1">
      <w:pPr>
        <w:numPr>
          <w:ilvl w:val="0"/>
          <w:numId w:val="34"/>
        </w:numPr>
        <w:jc w:val="both"/>
        <w:rPr>
          <w:rFonts w:cs="Sendnya"/>
          <w:i/>
          <w:color w:val="000000" w:themeColor="text1"/>
          <w:sz w:val="18"/>
          <w:szCs w:val="18"/>
          <w:lang w:eastAsia="en-US" w:bidi="or-IN"/>
        </w:rPr>
      </w:pPr>
      <w:r w:rsidRPr="004E1A10">
        <w:rPr>
          <w:rFonts w:cs="Tahoma"/>
          <w:color w:val="000000" w:themeColor="text1"/>
          <w:sz w:val="18"/>
          <w:szCs w:val="18"/>
          <w:lang w:bidi="or-IN"/>
        </w:rPr>
        <w:t>niezależnie zweryfikowane</w:t>
      </w:r>
      <w:r w:rsidR="00506773" w:rsidRPr="004E1A10">
        <w:rPr>
          <w:rFonts w:cs="Tahoma"/>
          <w:color w:val="000000" w:themeColor="text1"/>
          <w:sz w:val="18"/>
          <w:szCs w:val="18"/>
          <w:lang w:bidi="or-IN"/>
        </w:rPr>
        <w:t xml:space="preserve"> zyski z bieżącego okresu,</w:t>
      </w:r>
    </w:p>
    <w:p w14:paraId="5362ED03" w14:textId="77777777" w:rsidR="00506773" w:rsidRPr="004E1A10" w:rsidRDefault="00506773" w:rsidP="00526DF1">
      <w:pPr>
        <w:numPr>
          <w:ilvl w:val="0"/>
          <w:numId w:val="34"/>
        </w:numPr>
        <w:jc w:val="both"/>
        <w:rPr>
          <w:rFonts w:cs="Tahoma"/>
          <w:color w:val="000000" w:themeColor="text1"/>
          <w:sz w:val="18"/>
          <w:szCs w:val="18"/>
          <w:u w:val="single"/>
          <w:lang w:bidi="or-IN"/>
        </w:rPr>
      </w:pPr>
      <w:r w:rsidRPr="004E1A10">
        <w:rPr>
          <w:rFonts w:cs="Tahoma"/>
          <w:color w:val="000000" w:themeColor="text1"/>
          <w:sz w:val="18"/>
          <w:szCs w:val="18"/>
          <w:lang w:bidi="or-IN"/>
        </w:rPr>
        <w:t>inne skumulowane całkowite dochody,</w:t>
      </w:r>
    </w:p>
    <w:p w14:paraId="152B74D8" w14:textId="77777777" w:rsidR="00506773" w:rsidRPr="004E1A10" w:rsidRDefault="00506773" w:rsidP="00526DF1">
      <w:pPr>
        <w:numPr>
          <w:ilvl w:val="0"/>
          <w:numId w:val="34"/>
        </w:numPr>
        <w:jc w:val="both"/>
        <w:rPr>
          <w:rFonts w:cs="Tahoma"/>
          <w:color w:val="000000" w:themeColor="text1"/>
          <w:sz w:val="18"/>
          <w:szCs w:val="18"/>
          <w:u w:val="single"/>
          <w:lang w:bidi="or-IN"/>
        </w:rPr>
      </w:pPr>
      <w:r w:rsidRPr="004E1A10">
        <w:rPr>
          <w:rFonts w:cs="Tahoma"/>
          <w:color w:val="000000" w:themeColor="text1"/>
          <w:sz w:val="18"/>
          <w:szCs w:val="18"/>
          <w:lang w:bidi="or-IN"/>
        </w:rPr>
        <w:t>pozostałe kapitały rezerwowe</w:t>
      </w:r>
      <w:r w:rsidR="00272CA5" w:rsidRPr="004E1A10">
        <w:rPr>
          <w:rFonts w:cs="Tahoma"/>
          <w:color w:val="000000" w:themeColor="text1"/>
          <w:sz w:val="18"/>
          <w:szCs w:val="18"/>
          <w:lang w:bidi="or-IN"/>
        </w:rPr>
        <w:t>,</w:t>
      </w:r>
    </w:p>
    <w:p w14:paraId="3F2E3366" w14:textId="77777777" w:rsidR="00506773" w:rsidRPr="004E1A10" w:rsidRDefault="00506773" w:rsidP="00526DF1">
      <w:pPr>
        <w:numPr>
          <w:ilvl w:val="0"/>
          <w:numId w:val="34"/>
        </w:numPr>
        <w:jc w:val="both"/>
        <w:rPr>
          <w:rFonts w:cs="Tahoma"/>
          <w:color w:val="000000" w:themeColor="text1"/>
          <w:sz w:val="18"/>
          <w:szCs w:val="18"/>
          <w:u w:val="single"/>
          <w:lang w:bidi="or-IN"/>
        </w:rPr>
      </w:pPr>
      <w:r w:rsidRPr="004E1A10">
        <w:rPr>
          <w:rFonts w:cs="Tahoma"/>
          <w:color w:val="000000" w:themeColor="text1"/>
          <w:sz w:val="18"/>
          <w:szCs w:val="18"/>
          <w:lang w:bidi="or-IN"/>
        </w:rPr>
        <w:t>fundusze ogólne ryzyka bankowego,</w:t>
      </w:r>
    </w:p>
    <w:p w14:paraId="6A769AFB" w14:textId="2ACE93FA" w:rsidR="00506773" w:rsidRPr="004E1A10" w:rsidRDefault="00506773" w:rsidP="00526DF1">
      <w:pPr>
        <w:numPr>
          <w:ilvl w:val="0"/>
          <w:numId w:val="34"/>
        </w:numPr>
        <w:ind w:left="357" w:hanging="357"/>
        <w:jc w:val="both"/>
        <w:rPr>
          <w:rFonts w:cs="Sendnya"/>
          <w:i/>
          <w:color w:val="000000" w:themeColor="text1"/>
          <w:sz w:val="18"/>
          <w:szCs w:val="18"/>
          <w:lang w:eastAsia="en-US" w:bidi="or-IN"/>
        </w:rPr>
      </w:pPr>
      <w:r w:rsidRPr="004E1A10">
        <w:rPr>
          <w:rFonts w:cs="Sendnya"/>
          <w:color w:val="000000" w:themeColor="text1"/>
          <w:sz w:val="18"/>
          <w:szCs w:val="18"/>
          <w:lang w:bidi="or-IN"/>
        </w:rPr>
        <w:t>pozycje pomniejszające kapitał podstawowy Tier I (zyski i straty wycenione według wartości godziwej wynikające z własnego ryzyka kredytowego instytucji związanego z instrumentami pochodnymi będącymi zobowiązaniami, korekty wartości z tytułu wymogów w zakresie ostrożnej wyceny, wartości niematerialne, niedobór korekt ryzyka kredytowego wobec oczekiwanych strat, instrumenty własne w</w:t>
      </w:r>
      <w:r w:rsidR="00502887">
        <w:rPr>
          <w:rFonts w:cs="Sendnya"/>
          <w:color w:val="000000" w:themeColor="text1"/>
          <w:sz w:val="18"/>
          <w:szCs w:val="18"/>
          <w:lang w:bidi="or-IN"/>
        </w:rPr>
        <w:t> </w:t>
      </w:r>
      <w:r w:rsidRPr="004E1A10">
        <w:rPr>
          <w:rFonts w:cs="Sendnya"/>
          <w:color w:val="000000" w:themeColor="text1"/>
          <w:sz w:val="18"/>
          <w:szCs w:val="18"/>
          <w:lang w:bidi="or-IN"/>
        </w:rPr>
        <w:t>kapitale podstawowym Tier I, korekty regulacyjne dotyczące innych skumulowanych całkowitych dochodów oraz odpisy netto).</w:t>
      </w:r>
    </w:p>
    <w:p w14:paraId="0A8CB270" w14:textId="671BB8B1" w:rsidR="00506773" w:rsidRPr="004E1A10" w:rsidRDefault="00506773" w:rsidP="00640E51">
      <w:pPr>
        <w:spacing w:before="120"/>
        <w:jc w:val="both"/>
        <w:rPr>
          <w:rFonts w:cs="Tahoma"/>
          <w:i/>
          <w:color w:val="000000" w:themeColor="text1"/>
          <w:spacing w:val="-4"/>
          <w:sz w:val="18"/>
          <w:szCs w:val="18"/>
          <w:u w:val="single"/>
        </w:rPr>
      </w:pPr>
      <w:r w:rsidRPr="004E1A10">
        <w:rPr>
          <w:rFonts w:cs="Tahoma"/>
          <w:color w:val="000000" w:themeColor="text1"/>
          <w:spacing w:val="-4"/>
          <w:sz w:val="18"/>
          <w:szCs w:val="18"/>
          <w:u w:val="single"/>
        </w:rPr>
        <w:t>Kapitał Tier II</w:t>
      </w:r>
      <w:r w:rsidR="00640E51" w:rsidRPr="004E1A10">
        <w:rPr>
          <w:rFonts w:cs="Tahoma"/>
          <w:color w:val="000000" w:themeColor="text1"/>
          <w:spacing w:val="-4"/>
          <w:sz w:val="18"/>
          <w:szCs w:val="18"/>
          <w:u w:val="single"/>
        </w:rPr>
        <w:t xml:space="preserve"> Grupy mBanku obejmuje </w:t>
      </w:r>
      <w:r w:rsidRPr="004E1A10">
        <w:rPr>
          <w:rFonts w:cs="Tahoma"/>
          <w:color w:val="000000" w:themeColor="text1"/>
          <w:sz w:val="18"/>
          <w:szCs w:val="18"/>
          <w:lang w:bidi="or-IN"/>
        </w:rPr>
        <w:t>instrumenty kapitałowe i powiązane ażio emisyjne (</w:t>
      </w:r>
      <w:r w:rsidRPr="004E1A10">
        <w:rPr>
          <w:rFonts w:cs="Tahoma"/>
          <w:color w:val="000000" w:themeColor="text1"/>
          <w:spacing w:val="-4"/>
          <w:sz w:val="18"/>
          <w:szCs w:val="18"/>
        </w:rPr>
        <w:t>zobowiązania podporządkowane o ok</w:t>
      </w:r>
      <w:r w:rsidR="001D545B" w:rsidRPr="004E1A10">
        <w:rPr>
          <w:rFonts w:cs="Tahoma"/>
          <w:color w:val="000000" w:themeColor="text1"/>
          <w:spacing w:val="-4"/>
          <w:sz w:val="18"/>
          <w:szCs w:val="18"/>
        </w:rPr>
        <w:t>reślonym terminie wymagalności).</w:t>
      </w:r>
    </w:p>
    <w:p w14:paraId="4FEA926A" w14:textId="2D2D4939" w:rsidR="004C5D96" w:rsidRPr="004E1A10" w:rsidRDefault="004C5D96" w:rsidP="004C5D96">
      <w:pPr>
        <w:spacing w:before="120"/>
        <w:jc w:val="both"/>
        <w:rPr>
          <w:rFonts w:cs="Tahoma"/>
          <w:color w:val="000000" w:themeColor="text1"/>
          <w:sz w:val="18"/>
          <w:szCs w:val="18"/>
        </w:rPr>
      </w:pPr>
      <w:r w:rsidRPr="004E1A10">
        <w:rPr>
          <w:rFonts w:cs="Tahoma"/>
          <w:color w:val="000000" w:themeColor="text1"/>
          <w:sz w:val="18"/>
          <w:szCs w:val="18"/>
        </w:rPr>
        <w:t xml:space="preserve">Fundusze własne Grupy mBanku na dzień 31 grudnia 2019 roku wyniosły </w:t>
      </w:r>
      <w:r w:rsidR="001C7466" w:rsidRPr="00A968E0">
        <w:rPr>
          <w:rFonts w:cs="Tahoma"/>
          <w:color w:val="000000" w:themeColor="text1"/>
          <w:sz w:val="18"/>
          <w:szCs w:val="18"/>
        </w:rPr>
        <w:t>16 363 </w:t>
      </w:r>
      <w:r w:rsidR="001C7466" w:rsidRPr="00A968E0">
        <w:rPr>
          <w:color w:val="000000" w:themeColor="text1"/>
          <w:sz w:val="18"/>
          <w:szCs w:val="18"/>
        </w:rPr>
        <w:t xml:space="preserve">190 </w:t>
      </w:r>
      <w:r w:rsidRPr="00A968E0">
        <w:rPr>
          <w:rFonts w:cs="Tahoma"/>
          <w:color w:val="000000" w:themeColor="text1"/>
          <w:sz w:val="18"/>
          <w:szCs w:val="18"/>
        </w:rPr>
        <w:t>tys. zł. Jednocześnie</w:t>
      </w:r>
      <w:r w:rsidRPr="004E1A10">
        <w:rPr>
          <w:rFonts w:cs="Tahoma"/>
          <w:color w:val="000000" w:themeColor="text1"/>
          <w:sz w:val="18"/>
          <w:szCs w:val="18"/>
        </w:rPr>
        <w:t xml:space="preserve"> </w:t>
      </w:r>
      <w:r w:rsidRPr="00A968E0">
        <w:rPr>
          <w:rFonts w:cs="Tahoma"/>
          <w:color w:val="000000" w:themeColor="text1"/>
          <w:sz w:val="18"/>
          <w:szCs w:val="18"/>
        </w:rPr>
        <w:t xml:space="preserve">kapitał podstawowy Tier I Grupy mBanku wyniósł </w:t>
      </w:r>
      <w:r w:rsidR="00A968E0" w:rsidRPr="00A968E0">
        <w:rPr>
          <w:rFonts w:cs="Tahoma"/>
          <w:color w:val="000000" w:themeColor="text1"/>
          <w:sz w:val="18"/>
          <w:szCs w:val="18"/>
        </w:rPr>
        <w:t>13 882</w:t>
      </w:r>
      <w:r w:rsidRPr="00A968E0">
        <w:rPr>
          <w:rFonts w:cs="Tahoma"/>
          <w:color w:val="000000" w:themeColor="text1"/>
          <w:sz w:val="18"/>
          <w:szCs w:val="18"/>
        </w:rPr>
        <w:t> </w:t>
      </w:r>
      <w:r w:rsidR="00A968E0" w:rsidRPr="00A968E0">
        <w:rPr>
          <w:rFonts w:cs="Tahoma"/>
          <w:color w:val="000000" w:themeColor="text1"/>
          <w:sz w:val="18"/>
          <w:szCs w:val="18"/>
        </w:rPr>
        <w:t>865</w:t>
      </w:r>
      <w:r w:rsidRPr="00A968E0">
        <w:rPr>
          <w:rFonts w:cs="Tahoma"/>
          <w:color w:val="000000" w:themeColor="text1"/>
          <w:sz w:val="18"/>
          <w:szCs w:val="18"/>
        </w:rPr>
        <w:t xml:space="preserve"> tys. zł.</w:t>
      </w:r>
    </w:p>
    <w:p w14:paraId="0E4B50E0" w14:textId="77777777" w:rsidR="00506773" w:rsidRPr="004E1A10" w:rsidRDefault="00506773" w:rsidP="002C471E">
      <w:pPr>
        <w:spacing w:before="240" w:after="120"/>
        <w:jc w:val="both"/>
        <w:rPr>
          <w:rFonts w:cs="Tahoma"/>
          <w:b/>
          <w:color w:val="000000" w:themeColor="text1"/>
          <w:sz w:val="18"/>
          <w:szCs w:val="18"/>
          <w:u w:val="single"/>
        </w:rPr>
      </w:pPr>
      <w:r w:rsidRPr="004E1A10">
        <w:rPr>
          <w:rFonts w:cs="Tahoma"/>
          <w:b/>
          <w:color w:val="000000" w:themeColor="text1"/>
          <w:sz w:val="18"/>
          <w:szCs w:val="18"/>
          <w:u w:val="single"/>
        </w:rPr>
        <w:t>Łączna kwota ekspozycji na ryzyko</w:t>
      </w:r>
    </w:p>
    <w:p w14:paraId="4356AF21" w14:textId="77777777" w:rsidR="007F6754" w:rsidRPr="004E1A10" w:rsidRDefault="007F6754" w:rsidP="007F6754">
      <w:pPr>
        <w:spacing w:after="60"/>
        <w:jc w:val="both"/>
        <w:rPr>
          <w:rFonts w:eastAsia="Calibri" w:cs="Tahoma"/>
          <w:color w:val="000000" w:themeColor="text1"/>
          <w:sz w:val="18"/>
          <w:szCs w:val="18"/>
        </w:rPr>
      </w:pPr>
      <w:r w:rsidRPr="004E1A10">
        <w:rPr>
          <w:rFonts w:eastAsia="Calibri" w:cs="Tahoma"/>
          <w:color w:val="000000" w:themeColor="text1"/>
          <w:sz w:val="18"/>
          <w:szCs w:val="18"/>
        </w:rPr>
        <w:t xml:space="preserve">Łączna kwota ekspozycji na ryzyko Grupy </w:t>
      </w:r>
      <w:r w:rsidRPr="004E1A10">
        <w:rPr>
          <w:rFonts w:eastAsia="Calibri" w:cs="Tahoma"/>
          <w:color w:val="000000" w:themeColor="text1"/>
          <w:spacing w:val="-4"/>
          <w:sz w:val="18"/>
          <w:szCs w:val="18"/>
        </w:rPr>
        <w:t xml:space="preserve">mBanku </w:t>
      </w:r>
      <w:r w:rsidRPr="004E1A10">
        <w:rPr>
          <w:rFonts w:eastAsia="Calibri" w:cs="Tahoma"/>
          <w:color w:val="000000" w:themeColor="text1"/>
          <w:sz w:val="18"/>
          <w:szCs w:val="18"/>
        </w:rPr>
        <w:t>obejmuje:</w:t>
      </w:r>
    </w:p>
    <w:p w14:paraId="319AD802"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kwoty ekspozycji ważonych ryzykiem w odniesieniu do ryzyka kredytowego, ryzyka kredytowego kontrahenta, ryzyka rozmycia oraz dostaw z późniejszym terminem rozliczenia,</w:t>
      </w:r>
    </w:p>
    <w:p w14:paraId="1C5D919B"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kwotę ekspozycji na ryzyko rynkowe, obejmującą ryzyko pozycji, ryzyko walutowe i ryzyko cen towarów,</w:t>
      </w:r>
    </w:p>
    <w:p w14:paraId="4CA7A8B8"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kwotę ekspozycji na ryzyko operacyjne,</w:t>
      </w:r>
    </w:p>
    <w:p w14:paraId="57008AA3"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kwotę ekspozycji na ryzyko korekty wyceny kredytowej,</w:t>
      </w:r>
    </w:p>
    <w:p w14:paraId="4AD3695A" w14:textId="77777777" w:rsidR="004E1A10" w:rsidRPr="004E1A10" w:rsidRDefault="004E1A10" w:rsidP="00526DF1">
      <w:pPr>
        <w:numPr>
          <w:ilvl w:val="0"/>
          <w:numId w:val="25"/>
        </w:numPr>
        <w:shd w:val="clear" w:color="auto" w:fill="FFFFFF"/>
        <w:spacing w:after="120" w:line="259" w:lineRule="auto"/>
        <w:jc w:val="both"/>
        <w:rPr>
          <w:rFonts w:cs="Tahoma"/>
          <w:color w:val="000000" w:themeColor="text1"/>
          <w:sz w:val="18"/>
          <w:szCs w:val="18"/>
        </w:rPr>
      </w:pPr>
      <w:r w:rsidRPr="004E1A10">
        <w:rPr>
          <w:rFonts w:cs="Tahoma"/>
          <w:color w:val="000000" w:themeColor="text1"/>
          <w:sz w:val="18"/>
          <w:szCs w:val="18"/>
        </w:rPr>
        <w:t>kwoty innych ekspozycji na ryzyko, obejmujące kwoty wynikające z zastosowania floora nadzorczego.</w:t>
      </w:r>
    </w:p>
    <w:p w14:paraId="2B7D8F3E" w14:textId="77777777" w:rsidR="004E1A10" w:rsidRPr="004E1A10" w:rsidRDefault="004E1A10" w:rsidP="004E1A10">
      <w:pPr>
        <w:spacing w:after="60"/>
        <w:jc w:val="both"/>
        <w:rPr>
          <w:rFonts w:eastAsia="Calibri" w:cs="Tahoma"/>
          <w:color w:val="000000" w:themeColor="text1"/>
          <w:sz w:val="18"/>
          <w:szCs w:val="18"/>
        </w:rPr>
      </w:pPr>
      <w:r w:rsidRPr="004E1A10">
        <w:rPr>
          <w:rFonts w:eastAsia="Calibri" w:cs="Tahoma"/>
          <w:color w:val="000000" w:themeColor="text1"/>
          <w:sz w:val="18"/>
          <w:szCs w:val="18"/>
        </w:rPr>
        <w:t>Na dzień 31 grudnia 2019 roku metoda AIRB stosowana była do wyliczania wymogów w zakresie funduszy własnych z tytułu ryzyka kredytowego i kredytowego kontrahenta dla:</w:t>
      </w:r>
    </w:p>
    <w:p w14:paraId="0AED066F"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korporacyjnych mBanku,</w:t>
      </w:r>
    </w:p>
    <w:p w14:paraId="421C79AF"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 xml:space="preserve">portfela detalicznych kredytów mBanku zabezpieczonych hipotecznie, </w:t>
      </w:r>
    </w:p>
    <w:p w14:paraId="5975129A"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mBanku z tytułu kredytowania specjalistycznego dla nieruchomości przychodowych (metoda IRB „slotting approach”),</w:t>
      </w:r>
    </w:p>
    <w:p w14:paraId="7B578A97"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detalicznych mBanku niezabezpieczonych hipotecznie,</w:t>
      </w:r>
    </w:p>
    <w:p w14:paraId="686CAB3A"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detalicznych mBanku wobec mikrofirm zabezpieczonych hipotecznie (zgoda warunkowa),</w:t>
      </w:r>
    </w:p>
    <w:p w14:paraId="2BF1D153"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wobec banków komercyjnych (zgoda warunkowa),</w:t>
      </w:r>
    </w:p>
    <w:p w14:paraId="76F81D4A" w14:textId="77777777" w:rsidR="004E1A10" w:rsidRPr="004E1A10" w:rsidRDefault="004E1A10" w:rsidP="00526DF1">
      <w:pPr>
        <w:numPr>
          <w:ilvl w:val="0"/>
          <w:numId w:val="25"/>
        </w:numPr>
        <w:shd w:val="clear" w:color="auto" w:fill="FFFFFF"/>
        <w:spacing w:after="60" w:line="259" w:lineRule="auto"/>
        <w:jc w:val="both"/>
        <w:rPr>
          <w:rFonts w:cs="Tahoma"/>
          <w:color w:val="000000" w:themeColor="text1"/>
          <w:sz w:val="18"/>
          <w:szCs w:val="18"/>
        </w:rPr>
      </w:pPr>
      <w:r w:rsidRPr="004E1A10">
        <w:rPr>
          <w:rFonts w:cs="Tahoma"/>
          <w:color w:val="000000" w:themeColor="text1"/>
          <w:sz w:val="18"/>
          <w:szCs w:val="18"/>
        </w:rPr>
        <w:t>ekspozycji kredytowych spółki zależnej - mLeasing S.A.,</w:t>
      </w:r>
    </w:p>
    <w:p w14:paraId="27888C4E" w14:textId="77777777" w:rsidR="004E1A10" w:rsidRPr="004E1A10" w:rsidRDefault="004E1A10" w:rsidP="00526DF1">
      <w:pPr>
        <w:numPr>
          <w:ilvl w:val="0"/>
          <w:numId w:val="25"/>
        </w:numPr>
        <w:shd w:val="clear" w:color="auto" w:fill="FFFFFF"/>
        <w:spacing w:after="120" w:line="259" w:lineRule="auto"/>
        <w:jc w:val="both"/>
        <w:rPr>
          <w:rFonts w:cs="Tahoma"/>
          <w:color w:val="000000" w:themeColor="text1"/>
          <w:sz w:val="18"/>
          <w:szCs w:val="18"/>
        </w:rPr>
      </w:pPr>
      <w:r w:rsidRPr="004E1A10">
        <w:rPr>
          <w:rFonts w:cs="Tahoma"/>
          <w:color w:val="000000" w:themeColor="text1"/>
          <w:sz w:val="18"/>
          <w:szCs w:val="18"/>
        </w:rPr>
        <w:t>ekspozycji z tytułu kredytowania specjalistycznego w zakresie nieruchomości przychodowych w mBanku Hipotecznym S.A. – spółce zależnej mBanku (metoda IRB „slotting approach”).</w:t>
      </w:r>
    </w:p>
    <w:p w14:paraId="3C7B5FE2" w14:textId="77777777" w:rsidR="004E1A10" w:rsidRPr="004E1A10" w:rsidRDefault="004E1A10" w:rsidP="004E1A10">
      <w:pPr>
        <w:spacing w:after="120"/>
        <w:jc w:val="both"/>
        <w:rPr>
          <w:rFonts w:eastAsia="Calibri" w:cs="Tahoma"/>
          <w:color w:val="000000" w:themeColor="text1"/>
          <w:sz w:val="18"/>
          <w:szCs w:val="18"/>
        </w:rPr>
      </w:pPr>
      <w:r w:rsidRPr="004E1A10">
        <w:rPr>
          <w:rFonts w:eastAsia="Calibri" w:cs="Tahoma"/>
          <w:color w:val="000000" w:themeColor="text1"/>
          <w:sz w:val="18"/>
          <w:szCs w:val="18"/>
        </w:rPr>
        <w:t xml:space="preserve">W przypadku portfeli objętych warunkową zgodą na stosowanie metody AIRB Grupa mBanku zobowiązana jest stosować tzw. floor nadzorczy, który oznacza konieczność uzupełnienia kwoty wymogu w zakresie funduszy własnych z tytułu ryzyka kredytowego do wartości wymogu obliczonej według metody </w:t>
      </w:r>
      <w:r w:rsidRPr="004E1A10">
        <w:rPr>
          <w:rFonts w:eastAsia="Calibri" w:cs="Tahoma"/>
          <w:color w:val="000000" w:themeColor="text1"/>
          <w:sz w:val="18"/>
          <w:szCs w:val="18"/>
        </w:rPr>
        <w:lastRenderedPageBreak/>
        <w:t>standardowej w sytuacji, gdy wymóg w zakresie funduszy własnych z tytułu ryzyka kredytowego obliczony z wykorzystaniem metody AIRB byłby niższy niż wyliczony z wykorzystaniem metody standardowej.</w:t>
      </w:r>
    </w:p>
    <w:p w14:paraId="641A28E2" w14:textId="77777777" w:rsidR="004E1A10" w:rsidRPr="004E1A10" w:rsidRDefault="004E1A10" w:rsidP="004E1A10">
      <w:pPr>
        <w:spacing w:after="120"/>
        <w:jc w:val="both"/>
        <w:rPr>
          <w:rFonts w:cs="Arial"/>
          <w:color w:val="000000" w:themeColor="text1"/>
          <w:sz w:val="18"/>
          <w:szCs w:val="18"/>
        </w:rPr>
      </w:pPr>
      <w:r w:rsidRPr="004E1A10">
        <w:rPr>
          <w:rFonts w:cs="Arial"/>
          <w:color w:val="000000" w:themeColor="text1"/>
          <w:sz w:val="18"/>
          <w:szCs w:val="18"/>
        </w:rPr>
        <w:t xml:space="preserve">W przypadku ekspozycji detalicznych mBanku zabezpieczonych hipotecznie (mikrofirmy) oraz ekspozycji wobec banków komercyjnych, określone przez nadzór warunki o istotności wysokiej zostały zrealizowane i Grupa aktualnie oczekuje na potwierdzenie ich realizacji ze strony nadzoru. </w:t>
      </w:r>
    </w:p>
    <w:p w14:paraId="5A9F4064" w14:textId="346A2D24" w:rsidR="004E1A10" w:rsidRPr="004E1A10" w:rsidRDefault="004E1A10" w:rsidP="004E1A10">
      <w:pPr>
        <w:spacing w:after="120"/>
        <w:jc w:val="both"/>
        <w:rPr>
          <w:rFonts w:cs="Arial"/>
          <w:color w:val="000000" w:themeColor="text1"/>
          <w:sz w:val="18"/>
          <w:szCs w:val="18"/>
        </w:rPr>
      </w:pPr>
      <w:r w:rsidRPr="00CF65F7">
        <w:rPr>
          <w:rFonts w:cs="Arial"/>
          <w:color w:val="000000" w:themeColor="text1"/>
          <w:sz w:val="18"/>
          <w:szCs w:val="18"/>
        </w:rPr>
        <w:t>Łączna kwota ekspozycji na ryzyko Grupy mBanku na dzień 31 grud</w:t>
      </w:r>
      <w:r w:rsidR="003C00A1">
        <w:rPr>
          <w:rFonts w:cs="Arial"/>
          <w:color w:val="000000" w:themeColor="text1"/>
          <w:sz w:val="18"/>
          <w:szCs w:val="18"/>
        </w:rPr>
        <w:t>nia 2019 roku wyniosła 84 105</w:t>
      </w:r>
      <w:r w:rsidR="00666262">
        <w:rPr>
          <w:rFonts w:cs="Arial"/>
          <w:color w:val="000000" w:themeColor="text1"/>
          <w:sz w:val="18"/>
          <w:szCs w:val="18"/>
        </w:rPr>
        <w:t> </w:t>
      </w:r>
      <w:r w:rsidR="003C00A1">
        <w:rPr>
          <w:rFonts w:cs="Arial"/>
          <w:color w:val="000000" w:themeColor="text1"/>
          <w:sz w:val="18"/>
          <w:szCs w:val="18"/>
        </w:rPr>
        <w:t>802</w:t>
      </w:r>
      <w:r w:rsidR="00666262">
        <w:rPr>
          <w:rFonts w:cs="Arial"/>
          <w:color w:val="000000" w:themeColor="text1"/>
          <w:sz w:val="18"/>
          <w:szCs w:val="18"/>
        </w:rPr>
        <w:t> </w:t>
      </w:r>
      <w:r w:rsidRPr="00CF65F7">
        <w:rPr>
          <w:rFonts w:cs="Arial"/>
          <w:color w:val="000000" w:themeColor="text1"/>
          <w:sz w:val="18"/>
          <w:szCs w:val="18"/>
        </w:rPr>
        <w:t xml:space="preserve">tys. zł, w tym kwota ekspozycji na ryzyko z tytułu ryzyka kredytowego, kredytowego kontrahenta oraz floora nadzorczego stanowiła </w:t>
      </w:r>
      <w:r w:rsidR="003C00A1">
        <w:rPr>
          <w:rFonts w:cs="Arial"/>
          <w:color w:val="000000" w:themeColor="text1"/>
          <w:sz w:val="18"/>
          <w:szCs w:val="18"/>
        </w:rPr>
        <w:t>75</w:t>
      </w:r>
      <w:r w:rsidR="005F3A16">
        <w:rPr>
          <w:rFonts w:cs="Arial"/>
          <w:color w:val="000000" w:themeColor="text1"/>
          <w:sz w:val="18"/>
          <w:szCs w:val="18"/>
        </w:rPr>
        <w:t> 013</w:t>
      </w:r>
      <w:r w:rsidRPr="00CF65F7">
        <w:rPr>
          <w:rFonts w:cs="Arial"/>
          <w:color w:val="000000" w:themeColor="text1"/>
          <w:sz w:val="18"/>
          <w:szCs w:val="18"/>
        </w:rPr>
        <w:t> </w:t>
      </w:r>
      <w:r w:rsidR="005F3A16">
        <w:rPr>
          <w:rFonts w:cs="Arial"/>
          <w:color w:val="000000" w:themeColor="text1"/>
          <w:sz w:val="18"/>
          <w:szCs w:val="18"/>
        </w:rPr>
        <w:t>80</w:t>
      </w:r>
      <w:r w:rsidR="003C00A1">
        <w:rPr>
          <w:rFonts w:cs="Arial"/>
          <w:color w:val="000000" w:themeColor="text1"/>
          <w:sz w:val="18"/>
          <w:szCs w:val="18"/>
        </w:rPr>
        <w:t>7</w:t>
      </w:r>
      <w:r w:rsidRPr="00CF65F7">
        <w:rPr>
          <w:rFonts w:cs="Arial"/>
          <w:color w:val="000000" w:themeColor="text1"/>
          <w:sz w:val="18"/>
          <w:szCs w:val="18"/>
        </w:rPr>
        <w:t xml:space="preserve"> tys. zł.</w:t>
      </w:r>
    </w:p>
    <w:p w14:paraId="2A761173" w14:textId="77777777" w:rsidR="004E1A10" w:rsidRPr="004E1A10" w:rsidRDefault="004E1A10" w:rsidP="004E1A10">
      <w:pPr>
        <w:spacing w:after="120"/>
        <w:jc w:val="both"/>
        <w:rPr>
          <w:rFonts w:eastAsia="Calibri" w:cs="Tahoma"/>
          <w:b/>
          <w:color w:val="000000" w:themeColor="text1"/>
          <w:sz w:val="18"/>
          <w:szCs w:val="18"/>
          <w:u w:val="single"/>
        </w:rPr>
      </w:pPr>
      <w:r w:rsidRPr="004E1A10">
        <w:rPr>
          <w:rFonts w:eastAsia="Calibri" w:cs="Tahoma"/>
          <w:b/>
          <w:color w:val="000000" w:themeColor="text1"/>
          <w:sz w:val="18"/>
          <w:szCs w:val="18"/>
          <w:u w:val="single"/>
        </w:rPr>
        <w:t>Kapitał wewnętrzny</w:t>
      </w:r>
    </w:p>
    <w:p w14:paraId="0E882972" w14:textId="77777777" w:rsidR="004E1A10" w:rsidRPr="004E1A10" w:rsidRDefault="004E1A10" w:rsidP="004E1A10">
      <w:pPr>
        <w:spacing w:after="120"/>
        <w:jc w:val="both"/>
        <w:rPr>
          <w:rFonts w:eastAsia="Calibri" w:cs="Tahoma"/>
          <w:color w:val="000000" w:themeColor="text1"/>
          <w:sz w:val="18"/>
          <w:szCs w:val="18"/>
        </w:rPr>
      </w:pPr>
      <w:r w:rsidRPr="004E1A10">
        <w:rPr>
          <w:rFonts w:eastAsia="Calibri" w:cs="Tahoma"/>
          <w:color w:val="000000" w:themeColor="text1"/>
          <w:sz w:val="18"/>
          <w:szCs w:val="18"/>
        </w:rPr>
        <w:t xml:space="preserve">Wdrożony w Grupie mBanku proces oceny adekwatności kapitału wewnętrznego, tzw. ICAAP (Internal Capital Adequacy Assessment Process), ma na celu utrzymanie zasobów kapitałowych na poziomie adekwatnym do profilu i poziomu ryzyka wynikającego z działalności Grupy mBanku. </w:t>
      </w:r>
    </w:p>
    <w:p w14:paraId="18AAA487" w14:textId="15DA0FC2" w:rsidR="004E1A10" w:rsidRPr="004E1A10" w:rsidRDefault="004E1A10" w:rsidP="004E1A10">
      <w:pPr>
        <w:spacing w:after="120"/>
        <w:jc w:val="both"/>
        <w:rPr>
          <w:rFonts w:eastAsia="Calibri" w:cs="Arial"/>
          <w:color w:val="000000" w:themeColor="text1"/>
          <w:sz w:val="18"/>
          <w:szCs w:val="18"/>
        </w:rPr>
      </w:pPr>
      <w:r w:rsidRPr="004E1A10">
        <w:rPr>
          <w:rFonts w:eastAsia="Calibri" w:cs="Arial"/>
          <w:color w:val="000000" w:themeColor="text1"/>
          <w:sz w:val="18"/>
          <w:szCs w:val="18"/>
        </w:rPr>
        <w:t>Zasoby te są na bezpiecznym poziomie. Wartość funduszy własnych Grupy w podejściu regulacyjnym kształtuje się znacznie powyżej wartości wymaganej w celu pokrycia całkowitego wymogu kapitałowego Grupy wyznaczonego zgodnie z Rozporządzeniem CRR. Podobnie w podejściu ekonomicznym zasoby kapitałowe w postaci potencjału pokrycia ryzyka, kształtują się znacznie powyżej wartości kapitału wewnętrznego oszacowanego dla Grupy zgodnie z przepisami Rozporządzenia Ministra Rozwoju i</w:t>
      </w:r>
      <w:r w:rsidR="00E306F3">
        <w:rPr>
          <w:rFonts w:eastAsia="Calibri" w:cs="Arial"/>
          <w:color w:val="000000" w:themeColor="text1"/>
          <w:sz w:val="18"/>
          <w:szCs w:val="18"/>
        </w:rPr>
        <w:t> Finansów z dnia 6 marca 2017 roku</w:t>
      </w:r>
      <w:r w:rsidRPr="004E1A10">
        <w:rPr>
          <w:rFonts w:eastAsia="Calibri" w:cs="Arial"/>
          <w:color w:val="000000" w:themeColor="text1"/>
          <w:sz w:val="18"/>
          <w:szCs w:val="18"/>
        </w:rPr>
        <w:t xml:space="preserve"> w sprawie systemu zarządzania ryzykiem i systemu kontroli wewnętrznej, polityki wynagrodzeń oraz szczegółowego sposobu szacowania kapitału wewnętrznego w bankach.</w:t>
      </w:r>
    </w:p>
    <w:p w14:paraId="657685AA" w14:textId="70B502E1" w:rsidR="004E1A10" w:rsidRPr="004E1A10" w:rsidRDefault="004E1A10" w:rsidP="004E1A10">
      <w:pPr>
        <w:spacing w:after="120"/>
        <w:jc w:val="both"/>
        <w:rPr>
          <w:rFonts w:eastAsia="Calibri" w:cs="Tahoma"/>
          <w:color w:val="000000" w:themeColor="text1"/>
          <w:sz w:val="18"/>
          <w:szCs w:val="18"/>
        </w:rPr>
      </w:pPr>
      <w:r w:rsidRPr="00F92EEA">
        <w:rPr>
          <w:rFonts w:eastAsia="Calibri" w:cs="Tahoma"/>
          <w:color w:val="000000" w:themeColor="text1"/>
          <w:sz w:val="18"/>
          <w:szCs w:val="18"/>
        </w:rPr>
        <w:t>Kapitał wewnętrzny Grupy mBanku na dzień 31 grudnia 2019 roku wyniósł 6 215 450 tys. zł.</w:t>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371D95" w:rsidRPr="00371D95" w14:paraId="5756E7C1" w14:textId="77777777" w:rsidTr="00F65E12">
        <w:trPr>
          <w:trHeight w:val="255"/>
        </w:trPr>
        <w:tc>
          <w:tcPr>
            <w:tcW w:w="6747" w:type="dxa"/>
            <w:tcBorders>
              <w:top w:val="nil"/>
              <w:left w:val="nil"/>
              <w:bottom w:val="nil"/>
              <w:right w:val="nil"/>
            </w:tcBorders>
            <w:shd w:val="clear" w:color="000000" w:fill="0077BD"/>
            <w:vAlign w:val="center"/>
            <w:hideMark/>
          </w:tcPr>
          <w:p w14:paraId="25DC31FF" w14:textId="77777777" w:rsidR="00371D95" w:rsidRPr="00371D95" w:rsidRDefault="00371D95" w:rsidP="00371D95">
            <w:pPr>
              <w:rPr>
                <w:rFonts w:cs="Calibri"/>
                <w:b/>
                <w:bCs/>
                <w:color w:val="FFFFFF"/>
                <w:sz w:val="13"/>
                <w:szCs w:val="13"/>
              </w:rPr>
            </w:pPr>
            <w:r w:rsidRPr="00371D95">
              <w:rPr>
                <w:rFonts w:cs="Calibri"/>
                <w:b/>
                <w:bCs/>
                <w:color w:val="FFFFFF"/>
                <w:sz w:val="13"/>
                <w:szCs w:val="13"/>
              </w:rPr>
              <w:t>Adekwatność kapitałowa</w:t>
            </w:r>
          </w:p>
        </w:tc>
        <w:tc>
          <w:tcPr>
            <w:tcW w:w="1418" w:type="dxa"/>
            <w:tcBorders>
              <w:top w:val="nil"/>
              <w:left w:val="single" w:sz="8" w:space="0" w:color="FFFFFF"/>
              <w:bottom w:val="nil"/>
              <w:right w:val="single" w:sz="8" w:space="0" w:color="FFFFFF"/>
            </w:tcBorders>
            <w:shd w:val="clear" w:color="000000" w:fill="0077BD"/>
            <w:noWrap/>
            <w:vAlign w:val="center"/>
            <w:hideMark/>
          </w:tcPr>
          <w:p w14:paraId="0B76D7EF" w14:textId="77777777" w:rsidR="00371D95" w:rsidRPr="00371D95" w:rsidRDefault="00371D95" w:rsidP="00371D95">
            <w:pPr>
              <w:jc w:val="right"/>
              <w:rPr>
                <w:rFonts w:cs="Calibri"/>
                <w:b/>
                <w:bCs/>
                <w:color w:val="FFFFFF"/>
                <w:sz w:val="13"/>
                <w:szCs w:val="13"/>
              </w:rPr>
            </w:pPr>
            <w:r w:rsidRPr="00371D95">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6946AC8F" w14:textId="77777777" w:rsidR="00371D95" w:rsidRPr="00371D95" w:rsidRDefault="00371D95" w:rsidP="00371D95">
            <w:pPr>
              <w:jc w:val="right"/>
              <w:rPr>
                <w:rFonts w:cs="Calibri"/>
                <w:b/>
                <w:bCs/>
                <w:color w:val="FFFFFF"/>
                <w:sz w:val="13"/>
                <w:szCs w:val="13"/>
              </w:rPr>
            </w:pPr>
            <w:r w:rsidRPr="00371D95">
              <w:rPr>
                <w:rFonts w:cs="Calibri"/>
                <w:b/>
                <w:bCs/>
                <w:color w:val="FFFFFF"/>
                <w:sz w:val="13"/>
                <w:szCs w:val="13"/>
              </w:rPr>
              <w:t>31.12.2018</w:t>
            </w:r>
          </w:p>
        </w:tc>
      </w:tr>
      <w:tr w:rsidR="00371D95" w:rsidRPr="00371D95" w14:paraId="12C43DBC" w14:textId="77777777" w:rsidTr="00F65E12">
        <w:trPr>
          <w:trHeight w:val="255"/>
        </w:trPr>
        <w:tc>
          <w:tcPr>
            <w:tcW w:w="6747" w:type="dxa"/>
            <w:tcBorders>
              <w:top w:val="nil"/>
              <w:left w:val="nil"/>
              <w:bottom w:val="nil"/>
              <w:right w:val="single" w:sz="8" w:space="0" w:color="0077BD"/>
            </w:tcBorders>
            <w:shd w:val="clear" w:color="auto" w:fill="auto"/>
            <w:vAlign w:val="center"/>
            <w:hideMark/>
          </w:tcPr>
          <w:p w14:paraId="3C05AFFB" w14:textId="77777777" w:rsidR="00371D95" w:rsidRPr="00371D95" w:rsidRDefault="00371D95" w:rsidP="00371D95">
            <w:pPr>
              <w:rPr>
                <w:rFonts w:cs="Calibri"/>
                <w:b/>
                <w:bCs/>
                <w:sz w:val="13"/>
                <w:szCs w:val="13"/>
              </w:rPr>
            </w:pPr>
            <w:r w:rsidRPr="00371D95">
              <w:rPr>
                <w:rFonts w:cs="Calibri"/>
                <w:b/>
                <w:bCs/>
                <w:sz w:val="13"/>
                <w:szCs w:val="13"/>
              </w:rPr>
              <w:t>Kapitał podstawowy Tier I</w:t>
            </w:r>
          </w:p>
        </w:tc>
        <w:tc>
          <w:tcPr>
            <w:tcW w:w="1418" w:type="dxa"/>
            <w:tcBorders>
              <w:top w:val="nil"/>
              <w:left w:val="nil"/>
              <w:bottom w:val="nil"/>
              <w:right w:val="single" w:sz="8" w:space="0" w:color="0077BD"/>
            </w:tcBorders>
            <w:shd w:val="clear" w:color="auto" w:fill="auto"/>
            <w:noWrap/>
            <w:vAlign w:val="center"/>
            <w:hideMark/>
          </w:tcPr>
          <w:p w14:paraId="413CF3FE" w14:textId="77777777" w:rsidR="00371D95" w:rsidRPr="00371D95" w:rsidRDefault="00371D95" w:rsidP="00371D95">
            <w:pPr>
              <w:jc w:val="right"/>
              <w:rPr>
                <w:rFonts w:cs="Calibri"/>
                <w:b/>
                <w:bCs/>
                <w:sz w:val="13"/>
                <w:szCs w:val="13"/>
              </w:rPr>
            </w:pPr>
            <w:r w:rsidRPr="00371D95">
              <w:rPr>
                <w:rFonts w:cs="Calibri"/>
                <w:b/>
                <w:bCs/>
                <w:sz w:val="13"/>
                <w:szCs w:val="13"/>
              </w:rPr>
              <w:t>13 882 865</w:t>
            </w:r>
          </w:p>
        </w:tc>
        <w:tc>
          <w:tcPr>
            <w:tcW w:w="1418" w:type="dxa"/>
            <w:tcBorders>
              <w:top w:val="nil"/>
              <w:left w:val="nil"/>
              <w:bottom w:val="nil"/>
              <w:right w:val="nil"/>
            </w:tcBorders>
            <w:shd w:val="clear" w:color="auto" w:fill="auto"/>
            <w:noWrap/>
            <w:vAlign w:val="center"/>
            <w:hideMark/>
          </w:tcPr>
          <w:p w14:paraId="5A693FDF" w14:textId="77777777" w:rsidR="00371D95" w:rsidRPr="00371D95" w:rsidRDefault="00371D95" w:rsidP="00371D95">
            <w:pPr>
              <w:jc w:val="right"/>
              <w:rPr>
                <w:rFonts w:cs="Calibri"/>
                <w:b/>
                <w:bCs/>
                <w:sz w:val="13"/>
                <w:szCs w:val="13"/>
              </w:rPr>
            </w:pPr>
            <w:r w:rsidRPr="00371D95">
              <w:rPr>
                <w:rFonts w:cs="Calibri"/>
                <w:b/>
                <w:bCs/>
                <w:sz w:val="13"/>
                <w:szCs w:val="13"/>
              </w:rPr>
              <w:t>13 317 233</w:t>
            </w:r>
          </w:p>
        </w:tc>
      </w:tr>
      <w:tr w:rsidR="00371D95" w:rsidRPr="00371D95" w14:paraId="4637356C" w14:textId="77777777" w:rsidTr="00F65E12">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0D81021B" w14:textId="77777777" w:rsidR="00371D95" w:rsidRPr="00371D95" w:rsidRDefault="00371D95" w:rsidP="00371D95">
            <w:pPr>
              <w:rPr>
                <w:rFonts w:cs="Calibri"/>
                <w:b/>
                <w:bCs/>
                <w:sz w:val="13"/>
                <w:szCs w:val="13"/>
              </w:rPr>
            </w:pPr>
            <w:r w:rsidRPr="00371D95">
              <w:rPr>
                <w:rFonts w:cs="Calibri"/>
                <w:b/>
                <w:bCs/>
                <w:sz w:val="13"/>
                <w:szCs w:val="13"/>
              </w:rPr>
              <w:t>Fundusze własne</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293A911D" w14:textId="77777777" w:rsidR="00371D95" w:rsidRPr="00371D95" w:rsidRDefault="00371D95" w:rsidP="00371D95">
            <w:pPr>
              <w:jc w:val="right"/>
              <w:rPr>
                <w:rFonts w:cs="Calibri"/>
                <w:b/>
                <w:bCs/>
                <w:sz w:val="13"/>
                <w:szCs w:val="13"/>
              </w:rPr>
            </w:pPr>
            <w:r w:rsidRPr="00371D95">
              <w:rPr>
                <w:rFonts w:cs="Calibri"/>
                <w:b/>
                <w:bCs/>
                <w:sz w:val="13"/>
                <w:szCs w:val="13"/>
              </w:rPr>
              <w:t>16 363 190</w:t>
            </w:r>
          </w:p>
        </w:tc>
        <w:tc>
          <w:tcPr>
            <w:tcW w:w="1418" w:type="dxa"/>
            <w:tcBorders>
              <w:top w:val="single" w:sz="8" w:space="0" w:color="0077BD"/>
              <w:left w:val="nil"/>
              <w:bottom w:val="single" w:sz="8" w:space="0" w:color="0077BD"/>
              <w:right w:val="nil"/>
            </w:tcBorders>
            <w:shd w:val="clear" w:color="auto" w:fill="auto"/>
            <w:noWrap/>
            <w:vAlign w:val="center"/>
            <w:hideMark/>
          </w:tcPr>
          <w:p w14:paraId="46DDCE11" w14:textId="77777777" w:rsidR="00371D95" w:rsidRPr="00371D95" w:rsidRDefault="00371D95" w:rsidP="00371D95">
            <w:pPr>
              <w:jc w:val="right"/>
              <w:rPr>
                <w:rFonts w:cs="Calibri"/>
                <w:b/>
                <w:bCs/>
                <w:sz w:val="13"/>
                <w:szCs w:val="13"/>
              </w:rPr>
            </w:pPr>
            <w:r w:rsidRPr="00371D95">
              <w:rPr>
                <w:rFonts w:cs="Calibri"/>
                <w:b/>
                <w:bCs/>
                <w:sz w:val="13"/>
                <w:szCs w:val="13"/>
              </w:rPr>
              <w:t>15 771 383</w:t>
            </w:r>
          </w:p>
        </w:tc>
      </w:tr>
      <w:tr w:rsidR="00371D95" w:rsidRPr="00371D95" w14:paraId="47C7E17E" w14:textId="77777777" w:rsidTr="00F65E12">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4F094281" w14:textId="77777777" w:rsidR="00371D95" w:rsidRPr="00371D95" w:rsidRDefault="00371D95" w:rsidP="00371D95">
            <w:pPr>
              <w:rPr>
                <w:rFonts w:cs="Calibri"/>
                <w:sz w:val="13"/>
                <w:szCs w:val="13"/>
              </w:rPr>
            </w:pPr>
            <w:r w:rsidRPr="00371D95">
              <w:rPr>
                <w:rFonts w:cs="Calibri"/>
                <w:sz w:val="13"/>
                <w:szCs w:val="13"/>
              </w:rPr>
              <w:t>Kwoty ekspozycji ważonych ryzykiem na ryzyko kredytowe, kredytowe kontrahenta, rozmycia oraz dostaw z późniejszym terminem rozliczenia:</w:t>
            </w:r>
          </w:p>
        </w:tc>
        <w:tc>
          <w:tcPr>
            <w:tcW w:w="1418" w:type="dxa"/>
            <w:tcBorders>
              <w:top w:val="nil"/>
              <w:left w:val="nil"/>
              <w:bottom w:val="single" w:sz="4" w:space="0" w:color="0077BD"/>
              <w:right w:val="single" w:sz="8" w:space="0" w:color="0077BD"/>
            </w:tcBorders>
            <w:shd w:val="clear" w:color="auto" w:fill="auto"/>
            <w:noWrap/>
            <w:vAlign w:val="center"/>
            <w:hideMark/>
          </w:tcPr>
          <w:p w14:paraId="314939A3" w14:textId="77777777" w:rsidR="00371D95" w:rsidRPr="00371D95" w:rsidRDefault="00371D95" w:rsidP="00371D95">
            <w:pPr>
              <w:jc w:val="right"/>
              <w:rPr>
                <w:rFonts w:cs="Calibri"/>
                <w:sz w:val="13"/>
                <w:szCs w:val="13"/>
              </w:rPr>
            </w:pPr>
            <w:r w:rsidRPr="00371D95">
              <w:rPr>
                <w:rFonts w:cs="Calibri"/>
                <w:sz w:val="13"/>
                <w:szCs w:val="13"/>
              </w:rPr>
              <w:t>74 843 596</w:t>
            </w:r>
          </w:p>
        </w:tc>
        <w:tc>
          <w:tcPr>
            <w:tcW w:w="1418" w:type="dxa"/>
            <w:tcBorders>
              <w:top w:val="nil"/>
              <w:left w:val="nil"/>
              <w:bottom w:val="single" w:sz="4" w:space="0" w:color="0077BD"/>
              <w:right w:val="nil"/>
            </w:tcBorders>
            <w:shd w:val="clear" w:color="auto" w:fill="auto"/>
            <w:noWrap/>
            <w:vAlign w:val="center"/>
            <w:hideMark/>
          </w:tcPr>
          <w:p w14:paraId="6134F5D5" w14:textId="77777777" w:rsidR="00371D95" w:rsidRPr="00371D95" w:rsidRDefault="00371D95" w:rsidP="00371D95">
            <w:pPr>
              <w:jc w:val="right"/>
              <w:rPr>
                <w:rFonts w:cs="Calibri"/>
                <w:sz w:val="13"/>
                <w:szCs w:val="13"/>
              </w:rPr>
            </w:pPr>
            <w:r w:rsidRPr="00371D95">
              <w:rPr>
                <w:rFonts w:cs="Calibri"/>
                <w:sz w:val="13"/>
                <w:szCs w:val="13"/>
              </w:rPr>
              <w:t>67 812 104</w:t>
            </w:r>
          </w:p>
        </w:tc>
      </w:tr>
      <w:tr w:rsidR="00371D95" w:rsidRPr="00371D95" w14:paraId="2ADFE4BC"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A2274F1" w14:textId="77777777" w:rsidR="00371D95" w:rsidRPr="00371D95" w:rsidRDefault="00371D95" w:rsidP="00371D95">
            <w:pPr>
              <w:rPr>
                <w:rFonts w:cs="Calibri"/>
                <w:sz w:val="13"/>
                <w:szCs w:val="13"/>
              </w:rPr>
            </w:pPr>
            <w:r w:rsidRPr="00371D95">
              <w:rPr>
                <w:rFonts w:cs="Calibri"/>
                <w:sz w:val="13"/>
                <w:szCs w:val="13"/>
              </w:rPr>
              <w:t xml:space="preserve"> - w tym przy zastosowaniu metody standardowej</w:t>
            </w:r>
          </w:p>
        </w:tc>
        <w:tc>
          <w:tcPr>
            <w:tcW w:w="1418" w:type="dxa"/>
            <w:tcBorders>
              <w:top w:val="nil"/>
              <w:left w:val="nil"/>
              <w:bottom w:val="single" w:sz="4" w:space="0" w:color="0077BD"/>
              <w:right w:val="single" w:sz="8" w:space="0" w:color="0077BD"/>
            </w:tcBorders>
            <w:shd w:val="clear" w:color="auto" w:fill="auto"/>
            <w:noWrap/>
            <w:vAlign w:val="center"/>
            <w:hideMark/>
          </w:tcPr>
          <w:p w14:paraId="76ED170A" w14:textId="77777777" w:rsidR="00371D95" w:rsidRPr="00371D95" w:rsidRDefault="00371D95" w:rsidP="00371D95">
            <w:pPr>
              <w:jc w:val="right"/>
              <w:rPr>
                <w:rFonts w:cs="Calibri"/>
                <w:sz w:val="13"/>
                <w:szCs w:val="13"/>
              </w:rPr>
            </w:pPr>
            <w:r w:rsidRPr="00371D95">
              <w:rPr>
                <w:rFonts w:cs="Calibri"/>
                <w:sz w:val="13"/>
                <w:szCs w:val="13"/>
              </w:rPr>
              <w:t>19 972 726</w:t>
            </w:r>
          </w:p>
        </w:tc>
        <w:tc>
          <w:tcPr>
            <w:tcW w:w="1418" w:type="dxa"/>
            <w:tcBorders>
              <w:top w:val="nil"/>
              <w:left w:val="nil"/>
              <w:bottom w:val="single" w:sz="4" w:space="0" w:color="0077BD"/>
              <w:right w:val="nil"/>
            </w:tcBorders>
            <w:shd w:val="clear" w:color="auto" w:fill="auto"/>
            <w:noWrap/>
            <w:vAlign w:val="center"/>
            <w:hideMark/>
          </w:tcPr>
          <w:p w14:paraId="0099E481" w14:textId="77777777" w:rsidR="00371D95" w:rsidRPr="00371D95" w:rsidRDefault="00371D95" w:rsidP="00371D95">
            <w:pPr>
              <w:jc w:val="right"/>
              <w:rPr>
                <w:rFonts w:cs="Calibri"/>
                <w:sz w:val="13"/>
                <w:szCs w:val="13"/>
              </w:rPr>
            </w:pPr>
            <w:r w:rsidRPr="00371D95">
              <w:rPr>
                <w:rFonts w:cs="Calibri"/>
                <w:sz w:val="13"/>
                <w:szCs w:val="13"/>
              </w:rPr>
              <w:t>15 812 102</w:t>
            </w:r>
          </w:p>
        </w:tc>
      </w:tr>
      <w:tr w:rsidR="00371D95" w:rsidRPr="00371D95" w14:paraId="16B65A35"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A56B8CB" w14:textId="77777777" w:rsidR="00371D95" w:rsidRPr="00371D95" w:rsidRDefault="00371D95" w:rsidP="00371D95">
            <w:pPr>
              <w:rPr>
                <w:rFonts w:cs="Calibri"/>
                <w:sz w:val="13"/>
                <w:szCs w:val="13"/>
              </w:rPr>
            </w:pPr>
            <w:r w:rsidRPr="00371D95">
              <w:rPr>
                <w:rFonts w:cs="Calibri"/>
                <w:sz w:val="13"/>
                <w:szCs w:val="13"/>
              </w:rPr>
              <w:t xml:space="preserve"> - w tym przy zastosowaniu metody AIRB</w:t>
            </w:r>
          </w:p>
        </w:tc>
        <w:tc>
          <w:tcPr>
            <w:tcW w:w="1418" w:type="dxa"/>
            <w:tcBorders>
              <w:top w:val="nil"/>
              <w:left w:val="nil"/>
              <w:bottom w:val="single" w:sz="4" w:space="0" w:color="0077BD"/>
              <w:right w:val="single" w:sz="8" w:space="0" w:color="0077BD"/>
            </w:tcBorders>
            <w:shd w:val="clear" w:color="auto" w:fill="auto"/>
            <w:noWrap/>
            <w:vAlign w:val="center"/>
            <w:hideMark/>
          </w:tcPr>
          <w:p w14:paraId="1BFC2771" w14:textId="77777777" w:rsidR="00371D95" w:rsidRPr="00371D95" w:rsidRDefault="00371D95" w:rsidP="00371D95">
            <w:pPr>
              <w:jc w:val="right"/>
              <w:rPr>
                <w:rFonts w:cs="Calibri"/>
                <w:sz w:val="13"/>
                <w:szCs w:val="13"/>
              </w:rPr>
            </w:pPr>
            <w:r w:rsidRPr="00371D95">
              <w:rPr>
                <w:rFonts w:cs="Calibri"/>
                <w:sz w:val="13"/>
                <w:szCs w:val="13"/>
              </w:rPr>
              <w:t>54 868 396</w:t>
            </w:r>
          </w:p>
        </w:tc>
        <w:tc>
          <w:tcPr>
            <w:tcW w:w="1418" w:type="dxa"/>
            <w:tcBorders>
              <w:top w:val="nil"/>
              <w:left w:val="nil"/>
              <w:bottom w:val="single" w:sz="4" w:space="0" w:color="0077BD"/>
              <w:right w:val="nil"/>
            </w:tcBorders>
            <w:shd w:val="clear" w:color="auto" w:fill="auto"/>
            <w:noWrap/>
            <w:vAlign w:val="center"/>
            <w:hideMark/>
          </w:tcPr>
          <w:p w14:paraId="3381D432" w14:textId="77777777" w:rsidR="00371D95" w:rsidRPr="00371D95" w:rsidRDefault="00371D95" w:rsidP="00371D95">
            <w:pPr>
              <w:jc w:val="right"/>
              <w:rPr>
                <w:rFonts w:cs="Calibri"/>
                <w:sz w:val="13"/>
                <w:szCs w:val="13"/>
              </w:rPr>
            </w:pPr>
            <w:r w:rsidRPr="00371D95">
              <w:rPr>
                <w:rFonts w:cs="Calibri"/>
                <w:sz w:val="13"/>
                <w:szCs w:val="13"/>
              </w:rPr>
              <w:t>51 998 405</w:t>
            </w:r>
          </w:p>
        </w:tc>
      </w:tr>
      <w:tr w:rsidR="00371D95" w:rsidRPr="00371D95" w14:paraId="03C88188" w14:textId="77777777" w:rsidTr="00F65E12">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6CAF6723" w14:textId="77777777" w:rsidR="00371D95" w:rsidRPr="00371D95" w:rsidRDefault="00371D95" w:rsidP="00481CEC">
            <w:pPr>
              <w:ind w:left="110" w:hanging="110"/>
              <w:rPr>
                <w:rFonts w:cs="Calibri"/>
                <w:sz w:val="13"/>
                <w:szCs w:val="13"/>
              </w:rPr>
            </w:pPr>
            <w:r w:rsidRPr="00371D95">
              <w:rPr>
                <w:rFonts w:cs="Calibri"/>
                <w:sz w:val="13"/>
                <w:szCs w:val="13"/>
              </w:rPr>
              <w:t xml:space="preserve"> - w tym kwota ekspozycji na ryzyko z tytułu wkładu do funduszu kontrahenta centralnego na wypadek niewykonania zobowiązania</w:t>
            </w:r>
          </w:p>
        </w:tc>
        <w:tc>
          <w:tcPr>
            <w:tcW w:w="1418" w:type="dxa"/>
            <w:tcBorders>
              <w:top w:val="nil"/>
              <w:left w:val="nil"/>
              <w:bottom w:val="single" w:sz="4" w:space="0" w:color="0077BD"/>
              <w:right w:val="single" w:sz="8" w:space="0" w:color="0077BD"/>
            </w:tcBorders>
            <w:shd w:val="clear" w:color="auto" w:fill="auto"/>
            <w:noWrap/>
            <w:vAlign w:val="center"/>
            <w:hideMark/>
          </w:tcPr>
          <w:p w14:paraId="20149949" w14:textId="77777777" w:rsidR="00371D95" w:rsidRPr="00371D95" w:rsidRDefault="00371D95" w:rsidP="00371D95">
            <w:pPr>
              <w:jc w:val="right"/>
              <w:rPr>
                <w:rFonts w:cs="Calibri"/>
                <w:sz w:val="13"/>
                <w:szCs w:val="13"/>
              </w:rPr>
            </w:pPr>
            <w:r w:rsidRPr="00371D95">
              <w:rPr>
                <w:rFonts w:cs="Calibri"/>
                <w:sz w:val="13"/>
                <w:szCs w:val="13"/>
              </w:rPr>
              <w:t>2 474</w:t>
            </w:r>
          </w:p>
        </w:tc>
        <w:tc>
          <w:tcPr>
            <w:tcW w:w="1418" w:type="dxa"/>
            <w:tcBorders>
              <w:top w:val="nil"/>
              <w:left w:val="nil"/>
              <w:bottom w:val="single" w:sz="4" w:space="0" w:color="0077BD"/>
              <w:right w:val="nil"/>
            </w:tcBorders>
            <w:shd w:val="clear" w:color="auto" w:fill="auto"/>
            <w:noWrap/>
            <w:vAlign w:val="center"/>
            <w:hideMark/>
          </w:tcPr>
          <w:p w14:paraId="51494AD4" w14:textId="77777777" w:rsidR="00371D95" w:rsidRPr="00371D95" w:rsidRDefault="00371D95" w:rsidP="00371D95">
            <w:pPr>
              <w:jc w:val="right"/>
              <w:rPr>
                <w:rFonts w:cs="Calibri"/>
                <w:sz w:val="13"/>
                <w:szCs w:val="13"/>
              </w:rPr>
            </w:pPr>
            <w:r w:rsidRPr="00371D95">
              <w:rPr>
                <w:rFonts w:cs="Calibri"/>
                <w:sz w:val="13"/>
                <w:szCs w:val="13"/>
              </w:rPr>
              <w:t>1 597</w:t>
            </w:r>
          </w:p>
        </w:tc>
      </w:tr>
      <w:tr w:rsidR="00371D95" w:rsidRPr="00371D95" w14:paraId="2F6530D0"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E1E0211" w14:textId="77777777" w:rsidR="00371D95" w:rsidRPr="00371D95" w:rsidRDefault="00371D95" w:rsidP="00371D95">
            <w:pPr>
              <w:rPr>
                <w:rFonts w:cs="Calibri"/>
                <w:sz w:val="13"/>
                <w:szCs w:val="13"/>
              </w:rPr>
            </w:pPr>
            <w:r w:rsidRPr="00371D95">
              <w:rPr>
                <w:rFonts w:cs="Calibri"/>
                <w:sz w:val="13"/>
                <w:szCs w:val="13"/>
              </w:rPr>
              <w:t>Łączna kwota ekspozycji na ryzyko rozliczenia / dostawy</w:t>
            </w:r>
          </w:p>
        </w:tc>
        <w:tc>
          <w:tcPr>
            <w:tcW w:w="1418" w:type="dxa"/>
            <w:tcBorders>
              <w:top w:val="nil"/>
              <w:left w:val="nil"/>
              <w:bottom w:val="single" w:sz="4" w:space="0" w:color="0077BD"/>
              <w:right w:val="single" w:sz="8" w:space="0" w:color="0077BD"/>
            </w:tcBorders>
            <w:shd w:val="clear" w:color="auto" w:fill="auto"/>
            <w:noWrap/>
            <w:vAlign w:val="center"/>
            <w:hideMark/>
          </w:tcPr>
          <w:p w14:paraId="204220D7" w14:textId="77777777" w:rsidR="00371D95" w:rsidRPr="00371D95" w:rsidRDefault="00371D95" w:rsidP="00371D95">
            <w:pPr>
              <w:jc w:val="right"/>
              <w:rPr>
                <w:rFonts w:cs="Calibri"/>
                <w:sz w:val="13"/>
                <w:szCs w:val="13"/>
              </w:rPr>
            </w:pPr>
            <w:r w:rsidRPr="00371D95">
              <w:rPr>
                <w:rFonts w:cs="Calibri"/>
                <w:sz w:val="13"/>
                <w:szCs w:val="13"/>
              </w:rPr>
              <w:t>-</w:t>
            </w:r>
          </w:p>
        </w:tc>
        <w:tc>
          <w:tcPr>
            <w:tcW w:w="1418" w:type="dxa"/>
            <w:tcBorders>
              <w:top w:val="nil"/>
              <w:left w:val="nil"/>
              <w:bottom w:val="single" w:sz="4" w:space="0" w:color="0077BD"/>
              <w:right w:val="nil"/>
            </w:tcBorders>
            <w:shd w:val="clear" w:color="auto" w:fill="auto"/>
            <w:noWrap/>
            <w:vAlign w:val="center"/>
            <w:hideMark/>
          </w:tcPr>
          <w:p w14:paraId="23F2A9B4" w14:textId="77777777" w:rsidR="00371D95" w:rsidRPr="00371D95" w:rsidRDefault="00371D95" w:rsidP="00371D95">
            <w:pPr>
              <w:jc w:val="right"/>
              <w:rPr>
                <w:rFonts w:cs="Calibri"/>
                <w:sz w:val="13"/>
                <w:szCs w:val="13"/>
              </w:rPr>
            </w:pPr>
            <w:r w:rsidRPr="00371D95">
              <w:rPr>
                <w:rFonts w:cs="Calibri"/>
                <w:sz w:val="13"/>
                <w:szCs w:val="13"/>
              </w:rPr>
              <w:t>-</w:t>
            </w:r>
          </w:p>
        </w:tc>
      </w:tr>
      <w:tr w:rsidR="00371D95" w:rsidRPr="00371D95" w14:paraId="2843AA56"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80E6DE8" w14:textId="77777777" w:rsidR="00371D95" w:rsidRPr="00371D95" w:rsidRDefault="00371D95" w:rsidP="00371D95">
            <w:pPr>
              <w:rPr>
                <w:rFonts w:cs="Calibri"/>
                <w:sz w:val="13"/>
                <w:szCs w:val="13"/>
              </w:rPr>
            </w:pPr>
            <w:r w:rsidRPr="00371D95">
              <w:rPr>
                <w:rFonts w:cs="Calibri"/>
                <w:sz w:val="13"/>
                <w:szCs w:val="13"/>
              </w:rPr>
              <w:t>Łączna kwota ekspozycji na ryzyko pozycji, ryzyko walutowe i ryzyko cen towarów</w:t>
            </w:r>
          </w:p>
        </w:tc>
        <w:tc>
          <w:tcPr>
            <w:tcW w:w="1418" w:type="dxa"/>
            <w:tcBorders>
              <w:top w:val="nil"/>
              <w:left w:val="nil"/>
              <w:bottom w:val="single" w:sz="4" w:space="0" w:color="0077BD"/>
              <w:right w:val="single" w:sz="8" w:space="0" w:color="0077BD"/>
            </w:tcBorders>
            <w:shd w:val="clear" w:color="auto" w:fill="auto"/>
            <w:noWrap/>
            <w:vAlign w:val="center"/>
            <w:hideMark/>
          </w:tcPr>
          <w:p w14:paraId="3C9B4F06" w14:textId="77777777" w:rsidR="00371D95" w:rsidRPr="00371D95" w:rsidRDefault="00371D95" w:rsidP="00371D95">
            <w:pPr>
              <w:jc w:val="right"/>
              <w:rPr>
                <w:rFonts w:cs="Calibri"/>
                <w:sz w:val="13"/>
                <w:szCs w:val="13"/>
              </w:rPr>
            </w:pPr>
            <w:r w:rsidRPr="00371D95">
              <w:rPr>
                <w:rFonts w:cs="Calibri"/>
                <w:sz w:val="13"/>
                <w:szCs w:val="13"/>
              </w:rPr>
              <w:t>913 708</w:t>
            </w:r>
          </w:p>
        </w:tc>
        <w:tc>
          <w:tcPr>
            <w:tcW w:w="1418" w:type="dxa"/>
            <w:tcBorders>
              <w:top w:val="nil"/>
              <w:left w:val="nil"/>
              <w:bottom w:val="single" w:sz="4" w:space="0" w:color="0077BD"/>
              <w:right w:val="nil"/>
            </w:tcBorders>
            <w:shd w:val="clear" w:color="auto" w:fill="auto"/>
            <w:noWrap/>
            <w:vAlign w:val="center"/>
            <w:hideMark/>
          </w:tcPr>
          <w:p w14:paraId="2D3368AE" w14:textId="77777777" w:rsidR="00371D95" w:rsidRPr="00371D95" w:rsidRDefault="00371D95" w:rsidP="00371D95">
            <w:pPr>
              <w:jc w:val="right"/>
              <w:rPr>
                <w:rFonts w:cs="Calibri"/>
                <w:sz w:val="13"/>
                <w:szCs w:val="13"/>
              </w:rPr>
            </w:pPr>
            <w:r w:rsidRPr="00371D95">
              <w:rPr>
                <w:rFonts w:cs="Calibri"/>
                <w:sz w:val="13"/>
                <w:szCs w:val="13"/>
              </w:rPr>
              <w:t>789 039</w:t>
            </w:r>
          </w:p>
        </w:tc>
      </w:tr>
      <w:tr w:rsidR="00371D95" w:rsidRPr="00371D95" w14:paraId="69BB0B8B"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6EA77E3" w14:textId="77777777" w:rsidR="00371D95" w:rsidRPr="00371D95" w:rsidRDefault="00371D95" w:rsidP="00371D95">
            <w:pPr>
              <w:rPr>
                <w:rFonts w:cs="Calibri"/>
                <w:sz w:val="13"/>
                <w:szCs w:val="13"/>
              </w:rPr>
            </w:pPr>
            <w:r w:rsidRPr="00371D95">
              <w:rPr>
                <w:rFonts w:cs="Calibri"/>
                <w:sz w:val="13"/>
                <w:szCs w:val="13"/>
              </w:rPr>
              <w:t>Łączna kwota ekspozycji na ryzyko operacyjne</w:t>
            </w:r>
          </w:p>
        </w:tc>
        <w:tc>
          <w:tcPr>
            <w:tcW w:w="1418" w:type="dxa"/>
            <w:tcBorders>
              <w:top w:val="nil"/>
              <w:left w:val="nil"/>
              <w:bottom w:val="single" w:sz="4" w:space="0" w:color="0077BD"/>
              <w:right w:val="single" w:sz="8" w:space="0" w:color="0077BD"/>
            </w:tcBorders>
            <w:shd w:val="clear" w:color="auto" w:fill="auto"/>
            <w:noWrap/>
            <w:vAlign w:val="center"/>
            <w:hideMark/>
          </w:tcPr>
          <w:p w14:paraId="2C0626B8" w14:textId="77777777" w:rsidR="00371D95" w:rsidRPr="00371D95" w:rsidRDefault="00371D95" w:rsidP="00371D95">
            <w:pPr>
              <w:jc w:val="right"/>
              <w:rPr>
                <w:rFonts w:cs="Calibri"/>
                <w:sz w:val="13"/>
                <w:szCs w:val="13"/>
              </w:rPr>
            </w:pPr>
            <w:r w:rsidRPr="00371D95">
              <w:rPr>
                <w:rFonts w:cs="Calibri"/>
                <w:sz w:val="13"/>
                <w:szCs w:val="13"/>
              </w:rPr>
              <w:t>7 993 942</w:t>
            </w:r>
          </w:p>
        </w:tc>
        <w:tc>
          <w:tcPr>
            <w:tcW w:w="1418" w:type="dxa"/>
            <w:tcBorders>
              <w:top w:val="nil"/>
              <w:left w:val="nil"/>
              <w:bottom w:val="single" w:sz="4" w:space="0" w:color="0077BD"/>
              <w:right w:val="nil"/>
            </w:tcBorders>
            <w:shd w:val="clear" w:color="auto" w:fill="auto"/>
            <w:noWrap/>
            <w:vAlign w:val="center"/>
            <w:hideMark/>
          </w:tcPr>
          <w:p w14:paraId="03081FDD" w14:textId="77777777" w:rsidR="00371D95" w:rsidRPr="00371D95" w:rsidRDefault="00371D95" w:rsidP="00371D95">
            <w:pPr>
              <w:jc w:val="right"/>
              <w:rPr>
                <w:rFonts w:cs="Calibri"/>
                <w:sz w:val="13"/>
                <w:szCs w:val="13"/>
              </w:rPr>
            </w:pPr>
            <w:r w:rsidRPr="00371D95">
              <w:rPr>
                <w:rFonts w:cs="Calibri"/>
                <w:sz w:val="13"/>
                <w:szCs w:val="13"/>
              </w:rPr>
              <w:t>7 245 932</w:t>
            </w:r>
          </w:p>
        </w:tc>
      </w:tr>
      <w:tr w:rsidR="00371D95" w:rsidRPr="00371D95" w14:paraId="087438F3"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7B6BE6C" w14:textId="77777777" w:rsidR="00371D95" w:rsidRPr="00371D95" w:rsidRDefault="00371D95" w:rsidP="00371D95">
            <w:pPr>
              <w:rPr>
                <w:rFonts w:cs="Calibri"/>
                <w:sz w:val="13"/>
                <w:szCs w:val="13"/>
              </w:rPr>
            </w:pPr>
            <w:r w:rsidRPr="00371D95">
              <w:rPr>
                <w:rFonts w:cs="Calibri"/>
                <w:sz w:val="13"/>
                <w:szCs w:val="13"/>
              </w:rPr>
              <w:t>Dodatkowa kwota ekspozycji na ryzyko stałych kosztów pośrednich</w:t>
            </w:r>
          </w:p>
        </w:tc>
        <w:tc>
          <w:tcPr>
            <w:tcW w:w="1418" w:type="dxa"/>
            <w:tcBorders>
              <w:top w:val="nil"/>
              <w:left w:val="nil"/>
              <w:bottom w:val="single" w:sz="4" w:space="0" w:color="0077BD"/>
              <w:right w:val="single" w:sz="8" w:space="0" w:color="0077BD"/>
            </w:tcBorders>
            <w:shd w:val="clear" w:color="auto" w:fill="auto"/>
            <w:noWrap/>
            <w:vAlign w:val="center"/>
            <w:hideMark/>
          </w:tcPr>
          <w:p w14:paraId="48B4076E" w14:textId="77777777" w:rsidR="00371D95" w:rsidRPr="00371D95" w:rsidRDefault="00371D95" w:rsidP="00371D95">
            <w:pPr>
              <w:jc w:val="right"/>
              <w:rPr>
                <w:rFonts w:cs="Calibri"/>
                <w:sz w:val="13"/>
                <w:szCs w:val="13"/>
              </w:rPr>
            </w:pPr>
            <w:r w:rsidRPr="00371D95">
              <w:rPr>
                <w:rFonts w:cs="Calibri"/>
                <w:sz w:val="13"/>
                <w:szCs w:val="13"/>
              </w:rPr>
              <w:t>-</w:t>
            </w:r>
          </w:p>
        </w:tc>
        <w:tc>
          <w:tcPr>
            <w:tcW w:w="1418" w:type="dxa"/>
            <w:tcBorders>
              <w:top w:val="nil"/>
              <w:left w:val="nil"/>
              <w:bottom w:val="single" w:sz="4" w:space="0" w:color="0077BD"/>
              <w:right w:val="nil"/>
            </w:tcBorders>
            <w:shd w:val="clear" w:color="auto" w:fill="auto"/>
            <w:noWrap/>
            <w:vAlign w:val="center"/>
            <w:hideMark/>
          </w:tcPr>
          <w:p w14:paraId="3D8DEAC4" w14:textId="77777777" w:rsidR="00371D95" w:rsidRPr="00371D95" w:rsidRDefault="00371D95" w:rsidP="00371D95">
            <w:pPr>
              <w:jc w:val="right"/>
              <w:rPr>
                <w:rFonts w:cs="Calibri"/>
                <w:sz w:val="13"/>
                <w:szCs w:val="13"/>
              </w:rPr>
            </w:pPr>
            <w:r w:rsidRPr="00371D95">
              <w:rPr>
                <w:rFonts w:cs="Calibri"/>
                <w:sz w:val="13"/>
                <w:szCs w:val="13"/>
              </w:rPr>
              <w:t>-</w:t>
            </w:r>
          </w:p>
        </w:tc>
      </w:tr>
      <w:tr w:rsidR="00371D95" w:rsidRPr="00371D95" w14:paraId="0045414C"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6DB96A49" w14:textId="77777777" w:rsidR="00371D95" w:rsidRPr="00371D95" w:rsidRDefault="00371D95" w:rsidP="00371D95">
            <w:pPr>
              <w:rPr>
                <w:rFonts w:cs="Calibri"/>
                <w:sz w:val="13"/>
                <w:szCs w:val="13"/>
              </w:rPr>
            </w:pPr>
            <w:r w:rsidRPr="00371D95">
              <w:rPr>
                <w:rFonts w:cs="Calibri"/>
                <w:sz w:val="13"/>
                <w:szCs w:val="13"/>
              </w:rPr>
              <w:t>Łączna kwota ekspozycji na ryzyko korekty wyceny kredytowej</w:t>
            </w:r>
          </w:p>
        </w:tc>
        <w:tc>
          <w:tcPr>
            <w:tcW w:w="1418" w:type="dxa"/>
            <w:tcBorders>
              <w:top w:val="nil"/>
              <w:left w:val="nil"/>
              <w:bottom w:val="single" w:sz="4" w:space="0" w:color="0077BD"/>
              <w:right w:val="single" w:sz="8" w:space="0" w:color="0077BD"/>
            </w:tcBorders>
            <w:shd w:val="clear" w:color="auto" w:fill="auto"/>
            <w:noWrap/>
            <w:vAlign w:val="center"/>
            <w:hideMark/>
          </w:tcPr>
          <w:p w14:paraId="7D2F7292" w14:textId="77777777" w:rsidR="00371D95" w:rsidRPr="00371D95" w:rsidRDefault="00371D95" w:rsidP="00371D95">
            <w:pPr>
              <w:jc w:val="right"/>
              <w:rPr>
                <w:rFonts w:cs="Calibri"/>
                <w:sz w:val="13"/>
                <w:szCs w:val="13"/>
              </w:rPr>
            </w:pPr>
            <w:r w:rsidRPr="00371D95">
              <w:rPr>
                <w:rFonts w:cs="Calibri"/>
                <w:sz w:val="13"/>
                <w:szCs w:val="13"/>
              </w:rPr>
              <w:t>184 345</w:t>
            </w:r>
          </w:p>
        </w:tc>
        <w:tc>
          <w:tcPr>
            <w:tcW w:w="1418" w:type="dxa"/>
            <w:tcBorders>
              <w:top w:val="nil"/>
              <w:left w:val="nil"/>
              <w:bottom w:val="single" w:sz="4" w:space="0" w:color="0077BD"/>
              <w:right w:val="nil"/>
            </w:tcBorders>
            <w:shd w:val="clear" w:color="auto" w:fill="auto"/>
            <w:noWrap/>
            <w:vAlign w:val="center"/>
            <w:hideMark/>
          </w:tcPr>
          <w:p w14:paraId="204B3537" w14:textId="77777777" w:rsidR="00371D95" w:rsidRPr="00371D95" w:rsidRDefault="00371D95" w:rsidP="00371D95">
            <w:pPr>
              <w:jc w:val="right"/>
              <w:rPr>
                <w:rFonts w:cs="Calibri"/>
                <w:sz w:val="13"/>
                <w:szCs w:val="13"/>
              </w:rPr>
            </w:pPr>
            <w:r w:rsidRPr="00371D95">
              <w:rPr>
                <w:rFonts w:cs="Calibri"/>
                <w:sz w:val="13"/>
                <w:szCs w:val="13"/>
              </w:rPr>
              <w:t>221 288</w:t>
            </w:r>
          </w:p>
        </w:tc>
      </w:tr>
      <w:tr w:rsidR="00371D95" w:rsidRPr="00371D95" w14:paraId="53D0ED51" w14:textId="77777777" w:rsidTr="00F65E12">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BE6AA91" w14:textId="77777777" w:rsidR="00371D95" w:rsidRPr="00371D95" w:rsidRDefault="00371D95" w:rsidP="00371D95">
            <w:pPr>
              <w:rPr>
                <w:rFonts w:cs="Calibri"/>
                <w:sz w:val="13"/>
                <w:szCs w:val="13"/>
              </w:rPr>
            </w:pPr>
            <w:r w:rsidRPr="00371D95">
              <w:rPr>
                <w:rFonts w:cs="Calibri"/>
                <w:sz w:val="13"/>
                <w:szCs w:val="13"/>
              </w:rPr>
              <w:t>Łączna kwota ekspozycji na ryzyko dużych ekspozycji w portfelu handlowym</w:t>
            </w:r>
          </w:p>
        </w:tc>
        <w:tc>
          <w:tcPr>
            <w:tcW w:w="1418" w:type="dxa"/>
            <w:tcBorders>
              <w:top w:val="nil"/>
              <w:left w:val="nil"/>
              <w:bottom w:val="single" w:sz="4" w:space="0" w:color="0077BD"/>
              <w:right w:val="single" w:sz="8" w:space="0" w:color="0077BD"/>
            </w:tcBorders>
            <w:shd w:val="clear" w:color="auto" w:fill="auto"/>
            <w:noWrap/>
            <w:vAlign w:val="center"/>
            <w:hideMark/>
          </w:tcPr>
          <w:p w14:paraId="5B2A7217" w14:textId="77777777" w:rsidR="00371D95" w:rsidRPr="00371D95" w:rsidRDefault="00371D95" w:rsidP="00371D95">
            <w:pPr>
              <w:jc w:val="right"/>
              <w:rPr>
                <w:rFonts w:cs="Calibri"/>
                <w:sz w:val="13"/>
                <w:szCs w:val="13"/>
              </w:rPr>
            </w:pPr>
            <w:r w:rsidRPr="00371D95">
              <w:rPr>
                <w:rFonts w:cs="Calibri"/>
                <w:sz w:val="13"/>
                <w:szCs w:val="13"/>
              </w:rPr>
              <w:t>-</w:t>
            </w:r>
          </w:p>
        </w:tc>
        <w:tc>
          <w:tcPr>
            <w:tcW w:w="1418" w:type="dxa"/>
            <w:tcBorders>
              <w:top w:val="nil"/>
              <w:left w:val="nil"/>
              <w:bottom w:val="single" w:sz="4" w:space="0" w:color="0077BD"/>
              <w:right w:val="nil"/>
            </w:tcBorders>
            <w:shd w:val="clear" w:color="auto" w:fill="auto"/>
            <w:noWrap/>
            <w:vAlign w:val="center"/>
            <w:hideMark/>
          </w:tcPr>
          <w:p w14:paraId="0667B67F" w14:textId="77777777" w:rsidR="00371D95" w:rsidRPr="00371D95" w:rsidRDefault="00371D95" w:rsidP="00371D95">
            <w:pPr>
              <w:jc w:val="right"/>
              <w:rPr>
                <w:rFonts w:cs="Calibri"/>
                <w:sz w:val="13"/>
                <w:szCs w:val="13"/>
              </w:rPr>
            </w:pPr>
            <w:r w:rsidRPr="00371D95">
              <w:rPr>
                <w:rFonts w:cs="Calibri"/>
                <w:sz w:val="13"/>
                <w:szCs w:val="13"/>
              </w:rPr>
              <w:t>-</w:t>
            </w:r>
          </w:p>
        </w:tc>
      </w:tr>
      <w:tr w:rsidR="00371D95" w:rsidRPr="00371D95" w14:paraId="1EC164EC" w14:textId="77777777" w:rsidTr="00F65E12">
        <w:trPr>
          <w:trHeight w:val="255"/>
        </w:trPr>
        <w:tc>
          <w:tcPr>
            <w:tcW w:w="6747" w:type="dxa"/>
            <w:tcBorders>
              <w:top w:val="nil"/>
              <w:left w:val="nil"/>
              <w:bottom w:val="nil"/>
              <w:right w:val="single" w:sz="8" w:space="0" w:color="0077BD"/>
            </w:tcBorders>
            <w:shd w:val="clear" w:color="auto" w:fill="auto"/>
            <w:vAlign w:val="center"/>
            <w:hideMark/>
          </w:tcPr>
          <w:p w14:paraId="112D2BB3" w14:textId="77777777" w:rsidR="00371D95" w:rsidRPr="00371D95" w:rsidRDefault="00371D95" w:rsidP="00371D95">
            <w:pPr>
              <w:rPr>
                <w:rFonts w:cs="Calibri"/>
                <w:sz w:val="13"/>
                <w:szCs w:val="13"/>
              </w:rPr>
            </w:pPr>
            <w:r w:rsidRPr="00371D95">
              <w:rPr>
                <w:rFonts w:cs="Calibri"/>
                <w:sz w:val="13"/>
                <w:szCs w:val="13"/>
              </w:rPr>
              <w:t>Kwoty innych ekspozycji na ryzyko</w:t>
            </w:r>
          </w:p>
        </w:tc>
        <w:tc>
          <w:tcPr>
            <w:tcW w:w="1418" w:type="dxa"/>
            <w:tcBorders>
              <w:top w:val="nil"/>
              <w:left w:val="nil"/>
              <w:bottom w:val="nil"/>
              <w:right w:val="single" w:sz="8" w:space="0" w:color="0077BD"/>
            </w:tcBorders>
            <w:shd w:val="clear" w:color="auto" w:fill="auto"/>
            <w:noWrap/>
            <w:vAlign w:val="center"/>
            <w:hideMark/>
          </w:tcPr>
          <w:p w14:paraId="0CF21B64" w14:textId="77777777" w:rsidR="00371D95" w:rsidRPr="00371D95" w:rsidRDefault="00371D95" w:rsidP="00371D95">
            <w:pPr>
              <w:jc w:val="right"/>
              <w:rPr>
                <w:rFonts w:cs="Calibri"/>
                <w:sz w:val="13"/>
                <w:szCs w:val="13"/>
              </w:rPr>
            </w:pPr>
            <w:r w:rsidRPr="00371D95">
              <w:rPr>
                <w:rFonts w:cs="Calibri"/>
                <w:sz w:val="13"/>
                <w:szCs w:val="13"/>
              </w:rPr>
              <w:t>170 211</w:t>
            </w:r>
          </w:p>
        </w:tc>
        <w:tc>
          <w:tcPr>
            <w:tcW w:w="1418" w:type="dxa"/>
            <w:tcBorders>
              <w:top w:val="nil"/>
              <w:left w:val="nil"/>
              <w:bottom w:val="nil"/>
              <w:right w:val="nil"/>
            </w:tcBorders>
            <w:shd w:val="clear" w:color="auto" w:fill="auto"/>
            <w:noWrap/>
            <w:vAlign w:val="center"/>
            <w:hideMark/>
          </w:tcPr>
          <w:p w14:paraId="3F1188FF" w14:textId="77777777" w:rsidR="00371D95" w:rsidRPr="00371D95" w:rsidRDefault="00371D95" w:rsidP="00371D95">
            <w:pPr>
              <w:jc w:val="right"/>
              <w:rPr>
                <w:rFonts w:cs="Calibri"/>
                <w:sz w:val="13"/>
                <w:szCs w:val="13"/>
              </w:rPr>
            </w:pPr>
            <w:r w:rsidRPr="00371D95">
              <w:rPr>
                <w:rFonts w:cs="Calibri"/>
                <w:sz w:val="13"/>
                <w:szCs w:val="13"/>
              </w:rPr>
              <w:t>171 170</w:t>
            </w:r>
          </w:p>
        </w:tc>
      </w:tr>
      <w:tr w:rsidR="00371D95" w:rsidRPr="00371D95" w14:paraId="0E052CFF" w14:textId="77777777" w:rsidTr="00F65E12">
        <w:trPr>
          <w:trHeight w:val="255"/>
        </w:trPr>
        <w:tc>
          <w:tcPr>
            <w:tcW w:w="6747" w:type="dxa"/>
            <w:tcBorders>
              <w:top w:val="single" w:sz="4" w:space="0" w:color="0077BD"/>
              <w:left w:val="nil"/>
              <w:bottom w:val="nil"/>
              <w:right w:val="single" w:sz="8" w:space="0" w:color="0077BD"/>
            </w:tcBorders>
            <w:shd w:val="clear" w:color="auto" w:fill="auto"/>
            <w:vAlign w:val="center"/>
            <w:hideMark/>
          </w:tcPr>
          <w:p w14:paraId="7C4973BE" w14:textId="77777777" w:rsidR="00371D95" w:rsidRPr="00371D95" w:rsidRDefault="00371D95" w:rsidP="00371D95">
            <w:pPr>
              <w:rPr>
                <w:rFonts w:cs="Calibri"/>
                <w:b/>
                <w:bCs/>
                <w:sz w:val="13"/>
                <w:szCs w:val="13"/>
              </w:rPr>
            </w:pPr>
            <w:r w:rsidRPr="00371D95">
              <w:rPr>
                <w:rFonts w:cs="Calibri"/>
                <w:b/>
                <w:bCs/>
                <w:sz w:val="13"/>
                <w:szCs w:val="13"/>
              </w:rPr>
              <w:t>Łączna kwota ekspozycji na ryzyko</w:t>
            </w:r>
          </w:p>
        </w:tc>
        <w:tc>
          <w:tcPr>
            <w:tcW w:w="1418" w:type="dxa"/>
            <w:tcBorders>
              <w:top w:val="single" w:sz="4" w:space="0" w:color="0077BD"/>
              <w:left w:val="nil"/>
              <w:bottom w:val="nil"/>
              <w:right w:val="nil"/>
            </w:tcBorders>
            <w:shd w:val="clear" w:color="auto" w:fill="auto"/>
            <w:noWrap/>
            <w:vAlign w:val="center"/>
            <w:hideMark/>
          </w:tcPr>
          <w:p w14:paraId="28EA4134" w14:textId="77777777" w:rsidR="00371D95" w:rsidRPr="00371D95" w:rsidRDefault="00371D95" w:rsidP="00371D95">
            <w:pPr>
              <w:jc w:val="right"/>
              <w:rPr>
                <w:rFonts w:cs="Calibri"/>
                <w:b/>
                <w:bCs/>
                <w:sz w:val="13"/>
                <w:szCs w:val="13"/>
              </w:rPr>
            </w:pPr>
            <w:r w:rsidRPr="00371D95">
              <w:rPr>
                <w:rFonts w:cs="Calibri"/>
                <w:b/>
                <w:bCs/>
                <w:sz w:val="13"/>
                <w:szCs w:val="13"/>
              </w:rPr>
              <w:t>84 105 802</w:t>
            </w:r>
          </w:p>
        </w:tc>
        <w:tc>
          <w:tcPr>
            <w:tcW w:w="1418" w:type="dxa"/>
            <w:tcBorders>
              <w:top w:val="single" w:sz="4" w:space="0" w:color="0077BD"/>
              <w:left w:val="single" w:sz="8" w:space="0" w:color="0077BD"/>
              <w:bottom w:val="nil"/>
              <w:right w:val="nil"/>
            </w:tcBorders>
            <w:shd w:val="clear" w:color="auto" w:fill="auto"/>
            <w:noWrap/>
            <w:vAlign w:val="center"/>
            <w:hideMark/>
          </w:tcPr>
          <w:p w14:paraId="3DD42110" w14:textId="77777777" w:rsidR="00371D95" w:rsidRPr="00371D95" w:rsidRDefault="00371D95" w:rsidP="00371D95">
            <w:pPr>
              <w:jc w:val="right"/>
              <w:rPr>
                <w:rFonts w:cs="Calibri"/>
                <w:b/>
                <w:bCs/>
                <w:sz w:val="13"/>
                <w:szCs w:val="13"/>
              </w:rPr>
            </w:pPr>
            <w:r w:rsidRPr="00371D95">
              <w:rPr>
                <w:rFonts w:cs="Calibri"/>
                <w:b/>
                <w:bCs/>
                <w:sz w:val="13"/>
                <w:szCs w:val="13"/>
              </w:rPr>
              <w:t>76 239 533</w:t>
            </w:r>
          </w:p>
        </w:tc>
      </w:tr>
      <w:tr w:rsidR="00371D95" w:rsidRPr="00371D95" w14:paraId="55122FEB" w14:textId="77777777" w:rsidTr="00F65E12">
        <w:trPr>
          <w:trHeight w:val="255"/>
        </w:trPr>
        <w:tc>
          <w:tcPr>
            <w:tcW w:w="6747" w:type="dxa"/>
            <w:tcBorders>
              <w:top w:val="single" w:sz="8" w:space="0" w:color="0077BD"/>
              <w:left w:val="nil"/>
              <w:bottom w:val="single" w:sz="8" w:space="0" w:color="0077BD"/>
              <w:right w:val="single" w:sz="8" w:space="0" w:color="0077BD"/>
            </w:tcBorders>
            <w:shd w:val="clear" w:color="auto" w:fill="auto"/>
            <w:vAlign w:val="center"/>
            <w:hideMark/>
          </w:tcPr>
          <w:p w14:paraId="779BDF5E" w14:textId="77777777" w:rsidR="00371D95" w:rsidRPr="00371D95" w:rsidRDefault="00371D95" w:rsidP="00371D95">
            <w:pPr>
              <w:rPr>
                <w:rFonts w:cs="Calibri"/>
                <w:b/>
                <w:bCs/>
                <w:sz w:val="13"/>
                <w:szCs w:val="13"/>
              </w:rPr>
            </w:pPr>
            <w:r w:rsidRPr="00371D95">
              <w:rPr>
                <w:rFonts w:cs="Calibri"/>
                <w:b/>
                <w:bCs/>
                <w:sz w:val="13"/>
                <w:szCs w:val="13"/>
              </w:rPr>
              <w:t>Współczynnik kapitału podstawowego Tier I</w:t>
            </w:r>
          </w:p>
        </w:tc>
        <w:tc>
          <w:tcPr>
            <w:tcW w:w="1418" w:type="dxa"/>
            <w:tcBorders>
              <w:top w:val="single" w:sz="8" w:space="0" w:color="0077BD"/>
              <w:left w:val="nil"/>
              <w:bottom w:val="single" w:sz="8" w:space="0" w:color="0077BD"/>
              <w:right w:val="single" w:sz="8" w:space="0" w:color="0077BD"/>
            </w:tcBorders>
            <w:shd w:val="clear" w:color="auto" w:fill="auto"/>
            <w:noWrap/>
            <w:vAlign w:val="center"/>
            <w:hideMark/>
          </w:tcPr>
          <w:p w14:paraId="31D503D9" w14:textId="77777777" w:rsidR="00371D95" w:rsidRPr="00371D95" w:rsidRDefault="00371D95" w:rsidP="00371D95">
            <w:pPr>
              <w:jc w:val="right"/>
              <w:rPr>
                <w:rFonts w:cs="Calibri"/>
                <w:b/>
                <w:bCs/>
                <w:sz w:val="13"/>
                <w:szCs w:val="13"/>
              </w:rPr>
            </w:pPr>
            <w:r w:rsidRPr="00371D95">
              <w:rPr>
                <w:rFonts w:cs="Calibri"/>
                <w:b/>
                <w:bCs/>
                <w:sz w:val="13"/>
                <w:szCs w:val="13"/>
              </w:rPr>
              <w:t>16,51%</w:t>
            </w:r>
          </w:p>
        </w:tc>
        <w:tc>
          <w:tcPr>
            <w:tcW w:w="1418" w:type="dxa"/>
            <w:tcBorders>
              <w:top w:val="single" w:sz="8" w:space="0" w:color="0077BD"/>
              <w:left w:val="nil"/>
              <w:bottom w:val="single" w:sz="8" w:space="0" w:color="0077BD"/>
              <w:right w:val="nil"/>
            </w:tcBorders>
            <w:shd w:val="clear" w:color="auto" w:fill="auto"/>
            <w:noWrap/>
            <w:vAlign w:val="center"/>
            <w:hideMark/>
          </w:tcPr>
          <w:p w14:paraId="5401687C" w14:textId="77777777" w:rsidR="00371D95" w:rsidRPr="00371D95" w:rsidRDefault="00371D95" w:rsidP="00371D95">
            <w:pPr>
              <w:jc w:val="right"/>
              <w:rPr>
                <w:rFonts w:cs="Calibri"/>
                <w:b/>
                <w:bCs/>
                <w:sz w:val="13"/>
                <w:szCs w:val="13"/>
              </w:rPr>
            </w:pPr>
            <w:r w:rsidRPr="00371D95">
              <w:rPr>
                <w:rFonts w:cs="Calibri"/>
                <w:b/>
                <w:bCs/>
                <w:sz w:val="13"/>
                <w:szCs w:val="13"/>
              </w:rPr>
              <w:t>17,47%</w:t>
            </w:r>
          </w:p>
        </w:tc>
      </w:tr>
      <w:tr w:rsidR="00371D95" w:rsidRPr="00371D95" w14:paraId="15BA35B5" w14:textId="77777777" w:rsidTr="00F65E12">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35C5202A" w14:textId="77777777" w:rsidR="00371D95" w:rsidRPr="00371D95" w:rsidRDefault="00371D95" w:rsidP="00371D95">
            <w:pPr>
              <w:rPr>
                <w:rFonts w:cs="Calibri"/>
                <w:b/>
                <w:bCs/>
                <w:sz w:val="13"/>
                <w:szCs w:val="13"/>
              </w:rPr>
            </w:pPr>
            <w:r w:rsidRPr="00371D95">
              <w:rPr>
                <w:rFonts w:cs="Calibri"/>
                <w:b/>
                <w:bCs/>
                <w:sz w:val="13"/>
                <w:szCs w:val="13"/>
              </w:rPr>
              <w:t>Łączny współczynnik kapitałowy</w:t>
            </w:r>
          </w:p>
        </w:tc>
        <w:tc>
          <w:tcPr>
            <w:tcW w:w="1418" w:type="dxa"/>
            <w:tcBorders>
              <w:top w:val="nil"/>
              <w:left w:val="nil"/>
              <w:bottom w:val="single" w:sz="8" w:space="0" w:color="0077BD"/>
              <w:right w:val="single" w:sz="8" w:space="0" w:color="0077BD"/>
            </w:tcBorders>
            <w:shd w:val="clear" w:color="auto" w:fill="auto"/>
            <w:noWrap/>
            <w:vAlign w:val="center"/>
            <w:hideMark/>
          </w:tcPr>
          <w:p w14:paraId="666FC445" w14:textId="77777777" w:rsidR="00371D95" w:rsidRPr="00371D95" w:rsidRDefault="00371D95" w:rsidP="00371D95">
            <w:pPr>
              <w:jc w:val="right"/>
              <w:rPr>
                <w:rFonts w:cs="Calibri"/>
                <w:b/>
                <w:bCs/>
                <w:sz w:val="13"/>
                <w:szCs w:val="13"/>
              </w:rPr>
            </w:pPr>
            <w:r w:rsidRPr="00371D95">
              <w:rPr>
                <w:rFonts w:cs="Calibri"/>
                <w:b/>
                <w:bCs/>
                <w:sz w:val="13"/>
                <w:szCs w:val="13"/>
              </w:rPr>
              <w:t>19,46%</w:t>
            </w:r>
          </w:p>
        </w:tc>
        <w:tc>
          <w:tcPr>
            <w:tcW w:w="1418" w:type="dxa"/>
            <w:tcBorders>
              <w:top w:val="nil"/>
              <w:left w:val="nil"/>
              <w:bottom w:val="single" w:sz="8" w:space="0" w:color="0077BD"/>
              <w:right w:val="nil"/>
            </w:tcBorders>
            <w:shd w:val="clear" w:color="auto" w:fill="auto"/>
            <w:noWrap/>
            <w:vAlign w:val="center"/>
            <w:hideMark/>
          </w:tcPr>
          <w:p w14:paraId="68C9832D" w14:textId="77777777" w:rsidR="00371D95" w:rsidRPr="00371D95" w:rsidRDefault="00371D95" w:rsidP="00371D95">
            <w:pPr>
              <w:jc w:val="right"/>
              <w:rPr>
                <w:rFonts w:cs="Calibri"/>
                <w:b/>
                <w:bCs/>
                <w:sz w:val="13"/>
                <w:szCs w:val="13"/>
              </w:rPr>
            </w:pPr>
            <w:r w:rsidRPr="00371D95">
              <w:rPr>
                <w:rFonts w:cs="Calibri"/>
                <w:b/>
                <w:bCs/>
                <w:sz w:val="13"/>
                <w:szCs w:val="13"/>
              </w:rPr>
              <w:t>20,69%</w:t>
            </w:r>
          </w:p>
        </w:tc>
      </w:tr>
      <w:tr w:rsidR="00371D95" w:rsidRPr="00371D95" w14:paraId="04FA5611" w14:textId="77777777" w:rsidTr="00F65E12">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23AB2ADC" w14:textId="77777777" w:rsidR="00371D95" w:rsidRPr="00371D95" w:rsidRDefault="00371D95" w:rsidP="00371D95">
            <w:pPr>
              <w:rPr>
                <w:rFonts w:cs="Calibri"/>
                <w:b/>
                <w:bCs/>
                <w:sz w:val="13"/>
                <w:szCs w:val="13"/>
              </w:rPr>
            </w:pPr>
            <w:r w:rsidRPr="00371D95">
              <w:rPr>
                <w:rFonts w:cs="Calibri"/>
                <w:b/>
                <w:bCs/>
                <w:sz w:val="13"/>
                <w:szCs w:val="13"/>
              </w:rPr>
              <w:t>Kapitał wewnętrzny</w:t>
            </w:r>
          </w:p>
        </w:tc>
        <w:tc>
          <w:tcPr>
            <w:tcW w:w="1418" w:type="dxa"/>
            <w:tcBorders>
              <w:top w:val="nil"/>
              <w:left w:val="nil"/>
              <w:bottom w:val="single" w:sz="8" w:space="0" w:color="0077BD"/>
              <w:right w:val="single" w:sz="8" w:space="0" w:color="0077BD"/>
            </w:tcBorders>
            <w:shd w:val="clear" w:color="auto" w:fill="auto"/>
            <w:noWrap/>
            <w:vAlign w:val="center"/>
            <w:hideMark/>
          </w:tcPr>
          <w:p w14:paraId="7898060C" w14:textId="77777777" w:rsidR="00371D95" w:rsidRPr="00371D95" w:rsidRDefault="00371D95" w:rsidP="00371D95">
            <w:pPr>
              <w:jc w:val="right"/>
              <w:rPr>
                <w:rFonts w:cs="Calibri"/>
                <w:b/>
                <w:bCs/>
                <w:sz w:val="13"/>
                <w:szCs w:val="13"/>
              </w:rPr>
            </w:pPr>
            <w:r w:rsidRPr="00371D95">
              <w:rPr>
                <w:rFonts w:cs="Calibri"/>
                <w:b/>
                <w:bCs/>
                <w:sz w:val="13"/>
                <w:szCs w:val="13"/>
              </w:rPr>
              <w:t>6 215 450</w:t>
            </w:r>
          </w:p>
        </w:tc>
        <w:tc>
          <w:tcPr>
            <w:tcW w:w="1418" w:type="dxa"/>
            <w:tcBorders>
              <w:top w:val="nil"/>
              <w:left w:val="nil"/>
              <w:bottom w:val="single" w:sz="8" w:space="0" w:color="0077BD"/>
              <w:right w:val="nil"/>
            </w:tcBorders>
            <w:shd w:val="clear" w:color="auto" w:fill="auto"/>
            <w:noWrap/>
            <w:vAlign w:val="center"/>
            <w:hideMark/>
          </w:tcPr>
          <w:p w14:paraId="7B2CE92D" w14:textId="77777777" w:rsidR="00371D95" w:rsidRPr="00371D95" w:rsidRDefault="00371D95" w:rsidP="00371D95">
            <w:pPr>
              <w:jc w:val="right"/>
              <w:rPr>
                <w:rFonts w:cs="Calibri"/>
                <w:b/>
                <w:bCs/>
                <w:sz w:val="13"/>
                <w:szCs w:val="13"/>
              </w:rPr>
            </w:pPr>
            <w:r w:rsidRPr="00371D95">
              <w:rPr>
                <w:rFonts w:cs="Calibri"/>
                <w:b/>
                <w:bCs/>
                <w:sz w:val="13"/>
                <w:szCs w:val="13"/>
              </w:rPr>
              <w:t>5 529 271</w:t>
            </w:r>
          </w:p>
        </w:tc>
      </w:tr>
    </w:tbl>
    <w:p w14:paraId="1B4D4AB2" w14:textId="77777777" w:rsidR="00371D95" w:rsidRDefault="00371D95" w:rsidP="00D054EC">
      <w:pPr>
        <w:jc w:val="both"/>
        <w:rPr>
          <w:rFonts w:cs="Tahoma"/>
          <w:iCs/>
          <w:color w:val="201C17"/>
          <w:sz w:val="18"/>
          <w:szCs w:val="18"/>
          <w:highlight w:val="yellow"/>
        </w:rPr>
      </w:pPr>
    </w:p>
    <w:p w14:paraId="3DEA1C51" w14:textId="77777777" w:rsidR="00FD33F8" w:rsidRDefault="00FD33F8">
      <w:pPr>
        <w:rPr>
          <w:rFonts w:cs="Tahoma"/>
          <w:iCs/>
          <w:color w:val="201C17"/>
          <w:sz w:val="18"/>
          <w:szCs w:val="18"/>
          <w:highlight w:val="yellow"/>
        </w:rPr>
      </w:pPr>
      <w:r>
        <w:rPr>
          <w:rFonts w:cs="Tahoma"/>
          <w:iCs/>
          <w:color w:val="201C17"/>
          <w:sz w:val="18"/>
          <w:szCs w:val="18"/>
          <w:highlight w:val="yellow"/>
        </w:rPr>
        <w:br w:type="page"/>
      </w:r>
    </w:p>
    <w:tbl>
      <w:tblPr>
        <w:tblW w:w="9583" w:type="dxa"/>
        <w:tblLayout w:type="fixed"/>
        <w:tblCellMar>
          <w:left w:w="28" w:type="dxa"/>
          <w:right w:w="28" w:type="dxa"/>
        </w:tblCellMar>
        <w:tblLook w:val="04A0" w:firstRow="1" w:lastRow="0" w:firstColumn="1" w:lastColumn="0" w:noHBand="0" w:noVBand="1"/>
      </w:tblPr>
      <w:tblGrid>
        <w:gridCol w:w="6747"/>
        <w:gridCol w:w="1418"/>
        <w:gridCol w:w="1418"/>
      </w:tblGrid>
      <w:tr w:rsidR="00193A47" w:rsidRPr="00193A47" w14:paraId="52CAC7DD" w14:textId="77777777" w:rsidTr="00481CEC">
        <w:trPr>
          <w:trHeight w:val="255"/>
        </w:trPr>
        <w:tc>
          <w:tcPr>
            <w:tcW w:w="6747" w:type="dxa"/>
            <w:tcBorders>
              <w:top w:val="nil"/>
              <w:left w:val="nil"/>
              <w:bottom w:val="nil"/>
              <w:right w:val="single" w:sz="8" w:space="0" w:color="FFFFFF"/>
            </w:tcBorders>
            <w:shd w:val="clear" w:color="000000" w:fill="0077BD"/>
            <w:noWrap/>
            <w:vAlign w:val="center"/>
            <w:hideMark/>
          </w:tcPr>
          <w:p w14:paraId="2344CB63" w14:textId="77777777" w:rsidR="00193A47" w:rsidRPr="00193A47" w:rsidRDefault="00193A47" w:rsidP="00193A47">
            <w:pPr>
              <w:rPr>
                <w:rFonts w:cs="Calibri"/>
                <w:b/>
                <w:bCs/>
                <w:color w:val="FFFFFF"/>
                <w:sz w:val="13"/>
                <w:szCs w:val="13"/>
              </w:rPr>
            </w:pPr>
            <w:r w:rsidRPr="00193A47">
              <w:rPr>
                <w:rFonts w:cs="Calibri"/>
                <w:b/>
                <w:bCs/>
                <w:color w:val="FFFFFF"/>
                <w:sz w:val="13"/>
                <w:szCs w:val="13"/>
              </w:rPr>
              <w:lastRenderedPageBreak/>
              <w:t>FUNDUSZE WŁASNE</w:t>
            </w:r>
          </w:p>
        </w:tc>
        <w:tc>
          <w:tcPr>
            <w:tcW w:w="1418" w:type="dxa"/>
            <w:tcBorders>
              <w:top w:val="nil"/>
              <w:left w:val="nil"/>
              <w:bottom w:val="nil"/>
              <w:right w:val="single" w:sz="8" w:space="0" w:color="FFFFFF"/>
            </w:tcBorders>
            <w:shd w:val="clear" w:color="000000" w:fill="0077BD"/>
            <w:noWrap/>
            <w:vAlign w:val="center"/>
            <w:hideMark/>
          </w:tcPr>
          <w:p w14:paraId="213B6B36" w14:textId="77777777" w:rsidR="00193A47" w:rsidRPr="00193A47" w:rsidRDefault="00193A47" w:rsidP="00193A47">
            <w:pPr>
              <w:jc w:val="right"/>
              <w:rPr>
                <w:rFonts w:cs="Calibri"/>
                <w:b/>
                <w:bCs/>
                <w:color w:val="FFFFFF"/>
                <w:sz w:val="13"/>
                <w:szCs w:val="13"/>
              </w:rPr>
            </w:pPr>
            <w:r w:rsidRPr="00193A47">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7F8CACB6" w14:textId="77777777" w:rsidR="00193A47" w:rsidRPr="00193A47" w:rsidRDefault="00193A47" w:rsidP="00193A47">
            <w:pPr>
              <w:jc w:val="right"/>
              <w:rPr>
                <w:rFonts w:cs="Calibri"/>
                <w:b/>
                <w:bCs/>
                <w:color w:val="FFFFFF"/>
                <w:sz w:val="13"/>
                <w:szCs w:val="13"/>
              </w:rPr>
            </w:pPr>
            <w:r w:rsidRPr="00193A47">
              <w:rPr>
                <w:rFonts w:cs="Calibri"/>
                <w:b/>
                <w:bCs/>
                <w:color w:val="FFFFFF"/>
                <w:sz w:val="13"/>
                <w:szCs w:val="13"/>
              </w:rPr>
              <w:t>31.12.2018</w:t>
            </w:r>
          </w:p>
        </w:tc>
      </w:tr>
      <w:tr w:rsidR="00193A47" w:rsidRPr="00193A47" w14:paraId="5D16833A" w14:textId="77777777" w:rsidTr="00481CEC">
        <w:trPr>
          <w:trHeight w:val="255"/>
        </w:trPr>
        <w:tc>
          <w:tcPr>
            <w:tcW w:w="6747" w:type="dxa"/>
            <w:tcBorders>
              <w:top w:val="nil"/>
              <w:left w:val="nil"/>
              <w:bottom w:val="single" w:sz="8" w:space="0" w:color="0077BD"/>
              <w:right w:val="single" w:sz="8" w:space="0" w:color="0077BD"/>
            </w:tcBorders>
            <w:shd w:val="clear" w:color="auto" w:fill="auto"/>
            <w:noWrap/>
            <w:vAlign w:val="center"/>
            <w:hideMark/>
          </w:tcPr>
          <w:p w14:paraId="48624BF7" w14:textId="77777777" w:rsidR="00193A47" w:rsidRPr="00193A47" w:rsidRDefault="00193A47" w:rsidP="00193A47">
            <w:pPr>
              <w:rPr>
                <w:rFonts w:cs="Calibri"/>
                <w:b/>
                <w:bCs/>
                <w:color w:val="000000"/>
                <w:sz w:val="13"/>
                <w:szCs w:val="13"/>
              </w:rPr>
            </w:pPr>
            <w:r w:rsidRPr="00193A47">
              <w:rPr>
                <w:rFonts w:cs="Calibri"/>
                <w:b/>
                <w:bCs/>
                <w:color w:val="000000"/>
                <w:sz w:val="13"/>
                <w:szCs w:val="13"/>
              </w:rPr>
              <w:t>Fundusze własne</w:t>
            </w:r>
          </w:p>
        </w:tc>
        <w:tc>
          <w:tcPr>
            <w:tcW w:w="1418" w:type="dxa"/>
            <w:tcBorders>
              <w:top w:val="nil"/>
              <w:left w:val="nil"/>
              <w:bottom w:val="single" w:sz="8" w:space="0" w:color="0077BD"/>
              <w:right w:val="single" w:sz="8" w:space="0" w:color="0077BD"/>
            </w:tcBorders>
            <w:shd w:val="clear" w:color="auto" w:fill="auto"/>
            <w:noWrap/>
            <w:vAlign w:val="center"/>
            <w:hideMark/>
          </w:tcPr>
          <w:p w14:paraId="7E092508"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16 363 190</w:t>
            </w:r>
          </w:p>
        </w:tc>
        <w:tc>
          <w:tcPr>
            <w:tcW w:w="1418" w:type="dxa"/>
            <w:tcBorders>
              <w:top w:val="nil"/>
              <w:left w:val="nil"/>
              <w:bottom w:val="single" w:sz="8" w:space="0" w:color="0077BD"/>
              <w:right w:val="nil"/>
            </w:tcBorders>
            <w:shd w:val="clear" w:color="auto" w:fill="auto"/>
            <w:noWrap/>
            <w:vAlign w:val="center"/>
            <w:hideMark/>
          </w:tcPr>
          <w:p w14:paraId="3FDEB019"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15 771 383</w:t>
            </w:r>
          </w:p>
        </w:tc>
      </w:tr>
      <w:tr w:rsidR="00193A47" w:rsidRPr="00193A47" w14:paraId="6C911B53" w14:textId="77777777" w:rsidTr="00481CEC">
        <w:trPr>
          <w:trHeight w:val="255"/>
        </w:trPr>
        <w:tc>
          <w:tcPr>
            <w:tcW w:w="6747" w:type="dxa"/>
            <w:tcBorders>
              <w:top w:val="nil"/>
              <w:left w:val="nil"/>
              <w:bottom w:val="single" w:sz="8" w:space="0" w:color="0077BD"/>
              <w:right w:val="single" w:sz="8" w:space="0" w:color="0077BD"/>
            </w:tcBorders>
            <w:shd w:val="clear" w:color="auto" w:fill="auto"/>
            <w:noWrap/>
            <w:vAlign w:val="center"/>
            <w:hideMark/>
          </w:tcPr>
          <w:p w14:paraId="43B5213C" w14:textId="77777777" w:rsidR="00193A47" w:rsidRPr="00193A47" w:rsidRDefault="00193A47" w:rsidP="00193A47">
            <w:pPr>
              <w:rPr>
                <w:rFonts w:cs="Calibri"/>
                <w:b/>
                <w:bCs/>
                <w:color w:val="000000"/>
                <w:sz w:val="13"/>
                <w:szCs w:val="13"/>
              </w:rPr>
            </w:pPr>
            <w:r w:rsidRPr="00193A47">
              <w:rPr>
                <w:rFonts w:cs="Calibri"/>
                <w:b/>
                <w:bCs/>
                <w:color w:val="000000"/>
                <w:sz w:val="13"/>
                <w:szCs w:val="13"/>
              </w:rPr>
              <w:t>KAPITAŁ TIER I</w:t>
            </w:r>
          </w:p>
        </w:tc>
        <w:tc>
          <w:tcPr>
            <w:tcW w:w="1418" w:type="dxa"/>
            <w:tcBorders>
              <w:top w:val="nil"/>
              <w:left w:val="nil"/>
              <w:bottom w:val="single" w:sz="8" w:space="0" w:color="0077BD"/>
              <w:right w:val="single" w:sz="8" w:space="0" w:color="0077BD"/>
            </w:tcBorders>
            <w:shd w:val="clear" w:color="auto" w:fill="auto"/>
            <w:noWrap/>
            <w:vAlign w:val="center"/>
            <w:hideMark/>
          </w:tcPr>
          <w:p w14:paraId="16C8DA7C"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13 882 865</w:t>
            </w:r>
          </w:p>
        </w:tc>
        <w:tc>
          <w:tcPr>
            <w:tcW w:w="1418" w:type="dxa"/>
            <w:tcBorders>
              <w:top w:val="nil"/>
              <w:left w:val="nil"/>
              <w:bottom w:val="single" w:sz="8" w:space="0" w:color="0077BD"/>
              <w:right w:val="nil"/>
            </w:tcBorders>
            <w:shd w:val="clear" w:color="auto" w:fill="auto"/>
            <w:noWrap/>
            <w:vAlign w:val="center"/>
            <w:hideMark/>
          </w:tcPr>
          <w:p w14:paraId="327278CD"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13 317 233</w:t>
            </w:r>
          </w:p>
        </w:tc>
      </w:tr>
      <w:tr w:rsidR="00193A47" w:rsidRPr="00193A47" w14:paraId="4BC29BFE" w14:textId="77777777" w:rsidTr="00481CEC">
        <w:trPr>
          <w:trHeight w:val="255"/>
        </w:trPr>
        <w:tc>
          <w:tcPr>
            <w:tcW w:w="6747" w:type="dxa"/>
            <w:tcBorders>
              <w:top w:val="single" w:sz="8" w:space="0" w:color="0077BD"/>
              <w:left w:val="nil"/>
              <w:bottom w:val="single" w:sz="4" w:space="0" w:color="0077BD"/>
              <w:right w:val="single" w:sz="8" w:space="0" w:color="0077BD"/>
            </w:tcBorders>
            <w:shd w:val="clear" w:color="auto" w:fill="auto"/>
            <w:vAlign w:val="center"/>
            <w:hideMark/>
          </w:tcPr>
          <w:p w14:paraId="15D22A9A" w14:textId="77777777" w:rsidR="00193A47" w:rsidRPr="00193A47" w:rsidRDefault="00193A47" w:rsidP="00193A47">
            <w:pPr>
              <w:rPr>
                <w:rFonts w:cs="Calibri"/>
                <w:b/>
                <w:bCs/>
                <w:color w:val="000000"/>
                <w:sz w:val="13"/>
                <w:szCs w:val="13"/>
              </w:rPr>
            </w:pPr>
            <w:r w:rsidRPr="00193A47">
              <w:rPr>
                <w:rFonts w:cs="Calibri"/>
                <w:b/>
                <w:bCs/>
                <w:color w:val="000000"/>
                <w:sz w:val="13"/>
                <w:szCs w:val="13"/>
              </w:rPr>
              <w:t>Kapitał podstawowy Tier I</w:t>
            </w:r>
          </w:p>
        </w:tc>
        <w:tc>
          <w:tcPr>
            <w:tcW w:w="1418" w:type="dxa"/>
            <w:tcBorders>
              <w:top w:val="single" w:sz="8" w:space="0" w:color="0077BD"/>
              <w:left w:val="nil"/>
              <w:bottom w:val="single" w:sz="4" w:space="0" w:color="0077BD"/>
              <w:right w:val="single" w:sz="8" w:space="0" w:color="0077BD"/>
            </w:tcBorders>
            <w:shd w:val="clear" w:color="auto" w:fill="auto"/>
            <w:noWrap/>
            <w:vAlign w:val="center"/>
            <w:hideMark/>
          </w:tcPr>
          <w:p w14:paraId="3AB91BB4"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13 882 865</w:t>
            </w:r>
          </w:p>
        </w:tc>
        <w:tc>
          <w:tcPr>
            <w:tcW w:w="1418" w:type="dxa"/>
            <w:tcBorders>
              <w:top w:val="single" w:sz="8" w:space="0" w:color="0077BD"/>
              <w:left w:val="nil"/>
              <w:bottom w:val="single" w:sz="4" w:space="0" w:color="0077BD"/>
              <w:right w:val="nil"/>
            </w:tcBorders>
            <w:shd w:val="clear" w:color="auto" w:fill="auto"/>
            <w:noWrap/>
            <w:vAlign w:val="center"/>
            <w:hideMark/>
          </w:tcPr>
          <w:p w14:paraId="6A68A659"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13 317 233</w:t>
            </w:r>
          </w:p>
        </w:tc>
      </w:tr>
      <w:tr w:rsidR="00193A47" w:rsidRPr="00193A47" w14:paraId="046FD97C" w14:textId="77777777" w:rsidTr="00481CEC">
        <w:trPr>
          <w:trHeight w:val="255"/>
        </w:trPr>
        <w:tc>
          <w:tcPr>
            <w:tcW w:w="6747" w:type="dxa"/>
            <w:tcBorders>
              <w:top w:val="single" w:sz="4" w:space="0" w:color="0077BD"/>
              <w:left w:val="nil"/>
              <w:bottom w:val="single" w:sz="4" w:space="0" w:color="0077BD"/>
              <w:right w:val="single" w:sz="8" w:space="0" w:color="0077BD"/>
            </w:tcBorders>
            <w:shd w:val="clear" w:color="auto" w:fill="auto"/>
            <w:noWrap/>
            <w:vAlign w:val="center"/>
            <w:hideMark/>
          </w:tcPr>
          <w:p w14:paraId="03E73C30" w14:textId="77777777" w:rsidR="00193A47" w:rsidRPr="00193A47" w:rsidRDefault="00193A47" w:rsidP="00193A47">
            <w:pPr>
              <w:rPr>
                <w:rFonts w:cs="Calibri"/>
                <w:color w:val="000000"/>
                <w:sz w:val="13"/>
                <w:szCs w:val="13"/>
              </w:rPr>
            </w:pPr>
            <w:r w:rsidRPr="00193A47">
              <w:rPr>
                <w:rFonts w:cs="Calibri"/>
                <w:color w:val="000000"/>
                <w:sz w:val="13"/>
                <w:szCs w:val="13"/>
              </w:rPr>
              <w:t>Instrumenty kapitałowe kwalifikujące się jako kapitał podstawowy Tier I</w:t>
            </w:r>
          </w:p>
        </w:tc>
        <w:tc>
          <w:tcPr>
            <w:tcW w:w="1418" w:type="dxa"/>
            <w:tcBorders>
              <w:top w:val="single" w:sz="4" w:space="0" w:color="0077BD"/>
              <w:left w:val="nil"/>
              <w:bottom w:val="single" w:sz="4" w:space="0" w:color="0077BD"/>
              <w:right w:val="single" w:sz="8" w:space="0" w:color="0077BD"/>
            </w:tcBorders>
            <w:shd w:val="clear" w:color="auto" w:fill="auto"/>
            <w:noWrap/>
            <w:vAlign w:val="center"/>
            <w:hideMark/>
          </w:tcPr>
          <w:p w14:paraId="58FCB9E7" w14:textId="77777777" w:rsidR="00193A47" w:rsidRPr="00193A47" w:rsidRDefault="00193A47" w:rsidP="00193A47">
            <w:pPr>
              <w:jc w:val="right"/>
              <w:rPr>
                <w:rFonts w:cs="Calibri"/>
                <w:color w:val="000000"/>
                <w:sz w:val="13"/>
                <w:szCs w:val="13"/>
              </w:rPr>
            </w:pPr>
            <w:r w:rsidRPr="00193A47">
              <w:rPr>
                <w:rFonts w:cs="Calibri"/>
                <w:color w:val="000000"/>
                <w:sz w:val="13"/>
                <w:szCs w:val="13"/>
              </w:rPr>
              <w:t>3 579 747</w:t>
            </w:r>
          </w:p>
        </w:tc>
        <w:tc>
          <w:tcPr>
            <w:tcW w:w="1418" w:type="dxa"/>
            <w:tcBorders>
              <w:top w:val="single" w:sz="4" w:space="0" w:color="0077BD"/>
              <w:left w:val="nil"/>
              <w:bottom w:val="single" w:sz="4" w:space="0" w:color="0077BD"/>
              <w:right w:val="nil"/>
            </w:tcBorders>
            <w:shd w:val="clear" w:color="auto" w:fill="auto"/>
            <w:noWrap/>
            <w:vAlign w:val="center"/>
            <w:hideMark/>
          </w:tcPr>
          <w:p w14:paraId="7274C328" w14:textId="77777777" w:rsidR="00193A47" w:rsidRPr="00193A47" w:rsidRDefault="00193A47" w:rsidP="00193A47">
            <w:pPr>
              <w:jc w:val="right"/>
              <w:rPr>
                <w:rFonts w:cs="Calibri"/>
                <w:color w:val="000000"/>
                <w:sz w:val="13"/>
                <w:szCs w:val="13"/>
              </w:rPr>
            </w:pPr>
            <w:r w:rsidRPr="00193A47">
              <w:rPr>
                <w:rFonts w:cs="Calibri"/>
                <w:color w:val="000000"/>
                <w:sz w:val="13"/>
                <w:szCs w:val="13"/>
              </w:rPr>
              <w:t>3 574 636</w:t>
            </w:r>
          </w:p>
        </w:tc>
      </w:tr>
      <w:tr w:rsidR="00193A47" w:rsidRPr="00193A47" w14:paraId="42D6D1D6"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1F71894"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Opłacone instrumenty kapitałowe</w:t>
            </w:r>
          </w:p>
        </w:tc>
        <w:tc>
          <w:tcPr>
            <w:tcW w:w="1418" w:type="dxa"/>
            <w:tcBorders>
              <w:top w:val="nil"/>
              <w:left w:val="nil"/>
              <w:bottom w:val="single" w:sz="4" w:space="0" w:color="0077BD"/>
              <w:right w:val="single" w:sz="8" w:space="0" w:color="0077BD"/>
            </w:tcBorders>
            <w:shd w:val="clear" w:color="auto" w:fill="auto"/>
            <w:noWrap/>
            <w:vAlign w:val="center"/>
            <w:hideMark/>
          </w:tcPr>
          <w:p w14:paraId="0F76B7E4" w14:textId="77777777" w:rsidR="00193A47" w:rsidRPr="00193A47" w:rsidRDefault="00193A47" w:rsidP="00193A47">
            <w:pPr>
              <w:jc w:val="right"/>
              <w:rPr>
                <w:rFonts w:cs="Calibri"/>
                <w:color w:val="000000"/>
                <w:sz w:val="13"/>
                <w:szCs w:val="13"/>
              </w:rPr>
            </w:pPr>
            <w:r w:rsidRPr="00193A47">
              <w:rPr>
                <w:rFonts w:cs="Calibri"/>
                <w:color w:val="000000"/>
                <w:sz w:val="13"/>
                <w:szCs w:val="13"/>
              </w:rPr>
              <w:t>169 330</w:t>
            </w:r>
          </w:p>
        </w:tc>
        <w:tc>
          <w:tcPr>
            <w:tcW w:w="1418" w:type="dxa"/>
            <w:tcBorders>
              <w:top w:val="nil"/>
              <w:left w:val="nil"/>
              <w:bottom w:val="single" w:sz="4" w:space="0" w:color="0077BD"/>
              <w:right w:val="nil"/>
            </w:tcBorders>
            <w:shd w:val="clear" w:color="auto" w:fill="auto"/>
            <w:noWrap/>
            <w:vAlign w:val="center"/>
            <w:hideMark/>
          </w:tcPr>
          <w:p w14:paraId="58795C4D" w14:textId="77777777" w:rsidR="00193A47" w:rsidRPr="00193A47" w:rsidRDefault="00193A47" w:rsidP="00193A47">
            <w:pPr>
              <w:jc w:val="right"/>
              <w:rPr>
                <w:rFonts w:cs="Calibri"/>
                <w:color w:val="000000"/>
                <w:sz w:val="13"/>
                <w:szCs w:val="13"/>
              </w:rPr>
            </w:pPr>
            <w:r w:rsidRPr="00193A47">
              <w:rPr>
                <w:rFonts w:cs="Calibri"/>
                <w:color w:val="000000"/>
                <w:sz w:val="13"/>
                <w:szCs w:val="13"/>
              </w:rPr>
              <w:t>169 330</w:t>
            </w:r>
          </w:p>
        </w:tc>
      </w:tr>
      <w:tr w:rsidR="00193A47" w:rsidRPr="00193A47" w14:paraId="34475E79"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63CCCBE"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Ażio</w:t>
            </w:r>
          </w:p>
        </w:tc>
        <w:tc>
          <w:tcPr>
            <w:tcW w:w="1418" w:type="dxa"/>
            <w:tcBorders>
              <w:top w:val="nil"/>
              <w:left w:val="nil"/>
              <w:bottom w:val="single" w:sz="4" w:space="0" w:color="0077BD"/>
              <w:right w:val="single" w:sz="8" w:space="0" w:color="0077BD"/>
            </w:tcBorders>
            <w:shd w:val="clear" w:color="auto" w:fill="auto"/>
            <w:noWrap/>
            <w:vAlign w:val="center"/>
            <w:hideMark/>
          </w:tcPr>
          <w:p w14:paraId="2587723C" w14:textId="77777777" w:rsidR="00193A47" w:rsidRPr="00193A47" w:rsidRDefault="00193A47" w:rsidP="00193A47">
            <w:pPr>
              <w:jc w:val="right"/>
              <w:rPr>
                <w:rFonts w:cs="Calibri"/>
                <w:color w:val="000000"/>
                <w:sz w:val="13"/>
                <w:szCs w:val="13"/>
              </w:rPr>
            </w:pPr>
            <w:r w:rsidRPr="00193A47">
              <w:rPr>
                <w:rFonts w:cs="Calibri"/>
                <w:color w:val="000000"/>
                <w:sz w:val="13"/>
                <w:szCs w:val="13"/>
              </w:rPr>
              <w:t>3 410 417</w:t>
            </w:r>
          </w:p>
        </w:tc>
        <w:tc>
          <w:tcPr>
            <w:tcW w:w="1418" w:type="dxa"/>
            <w:tcBorders>
              <w:top w:val="nil"/>
              <w:left w:val="nil"/>
              <w:bottom w:val="single" w:sz="4" w:space="0" w:color="0077BD"/>
              <w:right w:val="nil"/>
            </w:tcBorders>
            <w:shd w:val="clear" w:color="auto" w:fill="auto"/>
            <w:noWrap/>
            <w:vAlign w:val="center"/>
            <w:hideMark/>
          </w:tcPr>
          <w:p w14:paraId="58364023" w14:textId="77777777" w:rsidR="00193A47" w:rsidRPr="00193A47" w:rsidRDefault="00193A47" w:rsidP="00193A47">
            <w:pPr>
              <w:jc w:val="right"/>
              <w:rPr>
                <w:rFonts w:cs="Calibri"/>
                <w:color w:val="000000"/>
                <w:sz w:val="13"/>
                <w:szCs w:val="13"/>
              </w:rPr>
            </w:pPr>
            <w:r w:rsidRPr="00193A47">
              <w:rPr>
                <w:rFonts w:cs="Calibri"/>
                <w:color w:val="000000"/>
                <w:sz w:val="13"/>
                <w:szCs w:val="13"/>
              </w:rPr>
              <w:t>3 405 338</w:t>
            </w:r>
          </w:p>
        </w:tc>
      </w:tr>
      <w:tr w:rsidR="00193A47" w:rsidRPr="00193A47" w14:paraId="379732DB"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100270B"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 Instrumenty własne w kapitale podstawowym Tier I</w:t>
            </w:r>
          </w:p>
        </w:tc>
        <w:tc>
          <w:tcPr>
            <w:tcW w:w="1418" w:type="dxa"/>
            <w:tcBorders>
              <w:top w:val="nil"/>
              <w:left w:val="nil"/>
              <w:bottom w:val="single" w:sz="4" w:space="0" w:color="0077BD"/>
              <w:right w:val="single" w:sz="8" w:space="0" w:color="0077BD"/>
            </w:tcBorders>
            <w:shd w:val="clear" w:color="auto" w:fill="auto"/>
            <w:noWrap/>
            <w:vAlign w:val="center"/>
            <w:hideMark/>
          </w:tcPr>
          <w:p w14:paraId="6DE697BA" w14:textId="77777777" w:rsidR="00193A47" w:rsidRPr="00193A47" w:rsidRDefault="00193A47" w:rsidP="00193A47">
            <w:pPr>
              <w:jc w:val="right"/>
              <w:rPr>
                <w:rFonts w:cs="Calibri"/>
                <w:color w:val="000000"/>
                <w:sz w:val="13"/>
                <w:szCs w:val="13"/>
              </w:rPr>
            </w:pPr>
            <w:r w:rsidRPr="00193A47">
              <w:rPr>
                <w:rFonts w:cs="Calibri"/>
                <w:color w:val="000000"/>
                <w:sz w:val="13"/>
                <w:szCs w:val="13"/>
              </w:rPr>
              <w:t>-</w:t>
            </w:r>
          </w:p>
        </w:tc>
        <w:tc>
          <w:tcPr>
            <w:tcW w:w="1418" w:type="dxa"/>
            <w:tcBorders>
              <w:top w:val="nil"/>
              <w:left w:val="nil"/>
              <w:bottom w:val="single" w:sz="4" w:space="0" w:color="0077BD"/>
              <w:right w:val="nil"/>
            </w:tcBorders>
            <w:shd w:val="clear" w:color="auto" w:fill="auto"/>
            <w:noWrap/>
            <w:vAlign w:val="center"/>
            <w:hideMark/>
          </w:tcPr>
          <w:p w14:paraId="4257A664" w14:textId="77777777" w:rsidR="00193A47" w:rsidRPr="00193A47" w:rsidRDefault="00193A47" w:rsidP="00193A47">
            <w:pPr>
              <w:jc w:val="right"/>
              <w:rPr>
                <w:rFonts w:cs="Calibri"/>
                <w:color w:val="000000"/>
                <w:sz w:val="13"/>
                <w:szCs w:val="13"/>
              </w:rPr>
            </w:pPr>
            <w:r w:rsidRPr="00193A47">
              <w:rPr>
                <w:rFonts w:cs="Calibri"/>
                <w:color w:val="000000"/>
                <w:sz w:val="13"/>
                <w:szCs w:val="13"/>
              </w:rPr>
              <w:t>(32)</w:t>
            </w:r>
          </w:p>
        </w:tc>
      </w:tr>
      <w:tr w:rsidR="00193A47" w:rsidRPr="00193A47" w14:paraId="084B0721" w14:textId="77777777" w:rsidTr="00481CEC">
        <w:trPr>
          <w:trHeight w:val="255"/>
        </w:trPr>
        <w:tc>
          <w:tcPr>
            <w:tcW w:w="6747" w:type="dxa"/>
            <w:tcBorders>
              <w:top w:val="nil"/>
              <w:left w:val="nil"/>
              <w:bottom w:val="single" w:sz="4" w:space="0" w:color="0077BD"/>
              <w:right w:val="single" w:sz="8" w:space="0" w:color="0077BD"/>
            </w:tcBorders>
            <w:shd w:val="clear" w:color="auto" w:fill="auto"/>
            <w:noWrap/>
            <w:vAlign w:val="center"/>
            <w:hideMark/>
          </w:tcPr>
          <w:p w14:paraId="3E86BDF2" w14:textId="77777777" w:rsidR="00193A47" w:rsidRPr="00193A47" w:rsidRDefault="00193A47" w:rsidP="00193A47">
            <w:pPr>
              <w:rPr>
                <w:rFonts w:cs="Calibri"/>
                <w:color w:val="000000"/>
                <w:sz w:val="13"/>
                <w:szCs w:val="13"/>
              </w:rPr>
            </w:pPr>
            <w:r w:rsidRPr="00193A47">
              <w:rPr>
                <w:rFonts w:cs="Calibri"/>
                <w:color w:val="000000"/>
                <w:sz w:val="13"/>
                <w:szCs w:val="13"/>
              </w:rPr>
              <w:t>Zyski zatrzymane</w:t>
            </w:r>
          </w:p>
        </w:tc>
        <w:tc>
          <w:tcPr>
            <w:tcW w:w="1418" w:type="dxa"/>
            <w:tcBorders>
              <w:top w:val="nil"/>
              <w:left w:val="nil"/>
              <w:bottom w:val="single" w:sz="4" w:space="0" w:color="0077BD"/>
              <w:right w:val="single" w:sz="8" w:space="0" w:color="0077BD"/>
            </w:tcBorders>
            <w:shd w:val="clear" w:color="auto" w:fill="auto"/>
            <w:noWrap/>
            <w:vAlign w:val="center"/>
            <w:hideMark/>
          </w:tcPr>
          <w:p w14:paraId="5231C434" w14:textId="77777777" w:rsidR="00193A47" w:rsidRPr="00193A47" w:rsidRDefault="00193A47" w:rsidP="00193A47">
            <w:pPr>
              <w:jc w:val="right"/>
              <w:rPr>
                <w:rFonts w:cs="Calibri"/>
                <w:color w:val="000000"/>
                <w:sz w:val="13"/>
                <w:szCs w:val="13"/>
              </w:rPr>
            </w:pPr>
            <w:r w:rsidRPr="00193A47">
              <w:rPr>
                <w:rFonts w:cs="Calibri"/>
                <w:color w:val="000000"/>
                <w:sz w:val="13"/>
                <w:szCs w:val="13"/>
              </w:rPr>
              <w:t>553 874</w:t>
            </w:r>
          </w:p>
        </w:tc>
        <w:tc>
          <w:tcPr>
            <w:tcW w:w="1418" w:type="dxa"/>
            <w:tcBorders>
              <w:top w:val="nil"/>
              <w:left w:val="nil"/>
              <w:bottom w:val="single" w:sz="4" w:space="0" w:color="0077BD"/>
              <w:right w:val="nil"/>
            </w:tcBorders>
            <w:shd w:val="clear" w:color="auto" w:fill="auto"/>
            <w:noWrap/>
            <w:vAlign w:val="center"/>
            <w:hideMark/>
          </w:tcPr>
          <w:p w14:paraId="5A40F02E" w14:textId="77777777" w:rsidR="00193A47" w:rsidRPr="00193A47" w:rsidRDefault="00193A47" w:rsidP="00193A47">
            <w:pPr>
              <w:jc w:val="right"/>
              <w:rPr>
                <w:rFonts w:cs="Calibri"/>
                <w:color w:val="000000"/>
                <w:sz w:val="13"/>
                <w:szCs w:val="13"/>
              </w:rPr>
            </w:pPr>
            <w:r w:rsidRPr="00193A47">
              <w:rPr>
                <w:rFonts w:cs="Calibri"/>
                <w:color w:val="000000"/>
                <w:sz w:val="13"/>
                <w:szCs w:val="13"/>
              </w:rPr>
              <w:t>(473 639)</w:t>
            </w:r>
          </w:p>
        </w:tc>
      </w:tr>
      <w:tr w:rsidR="00193A47" w:rsidRPr="00193A47" w14:paraId="59AFBBD7"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15D3E7A"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Zyski zatrzymane w poprzednich latach</w:t>
            </w:r>
          </w:p>
        </w:tc>
        <w:tc>
          <w:tcPr>
            <w:tcW w:w="1418" w:type="dxa"/>
            <w:tcBorders>
              <w:top w:val="nil"/>
              <w:left w:val="nil"/>
              <w:bottom w:val="single" w:sz="4" w:space="0" w:color="0077BD"/>
              <w:right w:val="single" w:sz="8" w:space="0" w:color="0077BD"/>
            </w:tcBorders>
            <w:shd w:val="clear" w:color="auto" w:fill="auto"/>
            <w:noWrap/>
            <w:vAlign w:val="center"/>
            <w:hideMark/>
          </w:tcPr>
          <w:p w14:paraId="31329EB8" w14:textId="77777777" w:rsidR="00193A47" w:rsidRPr="00193A47" w:rsidRDefault="00193A47" w:rsidP="00193A47">
            <w:pPr>
              <w:jc w:val="right"/>
              <w:rPr>
                <w:rFonts w:cs="Calibri"/>
                <w:color w:val="000000"/>
                <w:sz w:val="13"/>
                <w:szCs w:val="13"/>
              </w:rPr>
            </w:pPr>
            <w:r w:rsidRPr="00193A47">
              <w:rPr>
                <w:rFonts w:cs="Calibri"/>
                <w:color w:val="000000"/>
                <w:sz w:val="13"/>
                <w:szCs w:val="13"/>
              </w:rPr>
              <w:t>306 074</w:t>
            </w:r>
          </w:p>
        </w:tc>
        <w:tc>
          <w:tcPr>
            <w:tcW w:w="1418" w:type="dxa"/>
            <w:tcBorders>
              <w:top w:val="nil"/>
              <w:left w:val="nil"/>
              <w:bottom w:val="single" w:sz="4" w:space="0" w:color="0077BD"/>
              <w:right w:val="nil"/>
            </w:tcBorders>
            <w:shd w:val="clear" w:color="auto" w:fill="auto"/>
            <w:noWrap/>
            <w:vAlign w:val="center"/>
            <w:hideMark/>
          </w:tcPr>
          <w:p w14:paraId="7DFFCEDC" w14:textId="77777777" w:rsidR="00193A47" w:rsidRPr="00193A47" w:rsidRDefault="00193A47" w:rsidP="00193A47">
            <w:pPr>
              <w:jc w:val="right"/>
              <w:rPr>
                <w:rFonts w:cs="Calibri"/>
                <w:color w:val="000000"/>
                <w:sz w:val="13"/>
                <w:szCs w:val="13"/>
              </w:rPr>
            </w:pPr>
            <w:r w:rsidRPr="00193A47">
              <w:rPr>
                <w:rFonts w:cs="Calibri"/>
                <w:color w:val="000000"/>
                <w:sz w:val="13"/>
                <w:szCs w:val="13"/>
              </w:rPr>
              <w:t>(965 478)</w:t>
            </w:r>
          </w:p>
        </w:tc>
      </w:tr>
      <w:tr w:rsidR="00193A47" w:rsidRPr="00193A47" w14:paraId="1AC980FE"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5C612ED"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Uznany zysk lub uznana strata</w:t>
            </w:r>
          </w:p>
        </w:tc>
        <w:tc>
          <w:tcPr>
            <w:tcW w:w="1418" w:type="dxa"/>
            <w:tcBorders>
              <w:top w:val="nil"/>
              <w:left w:val="nil"/>
              <w:bottom w:val="single" w:sz="4" w:space="0" w:color="0077BD"/>
              <w:right w:val="single" w:sz="8" w:space="0" w:color="0077BD"/>
            </w:tcBorders>
            <w:shd w:val="clear" w:color="auto" w:fill="auto"/>
            <w:noWrap/>
            <w:vAlign w:val="center"/>
            <w:hideMark/>
          </w:tcPr>
          <w:p w14:paraId="5AD0F68C" w14:textId="77777777" w:rsidR="00193A47" w:rsidRPr="00193A47" w:rsidRDefault="00193A47" w:rsidP="00193A47">
            <w:pPr>
              <w:jc w:val="right"/>
              <w:rPr>
                <w:rFonts w:cs="Calibri"/>
                <w:color w:val="000000"/>
                <w:sz w:val="13"/>
                <w:szCs w:val="13"/>
              </w:rPr>
            </w:pPr>
            <w:r w:rsidRPr="00193A47">
              <w:rPr>
                <w:rFonts w:cs="Calibri"/>
                <w:color w:val="000000"/>
                <w:sz w:val="13"/>
                <w:szCs w:val="13"/>
              </w:rPr>
              <w:t>247 800</w:t>
            </w:r>
          </w:p>
        </w:tc>
        <w:tc>
          <w:tcPr>
            <w:tcW w:w="1418" w:type="dxa"/>
            <w:tcBorders>
              <w:top w:val="nil"/>
              <w:left w:val="nil"/>
              <w:bottom w:val="single" w:sz="4" w:space="0" w:color="0077BD"/>
              <w:right w:val="nil"/>
            </w:tcBorders>
            <w:shd w:val="clear" w:color="auto" w:fill="auto"/>
            <w:noWrap/>
            <w:vAlign w:val="center"/>
            <w:hideMark/>
          </w:tcPr>
          <w:p w14:paraId="1D8F3AA5" w14:textId="77777777" w:rsidR="00193A47" w:rsidRPr="00193A47" w:rsidRDefault="00193A47" w:rsidP="00193A47">
            <w:pPr>
              <w:jc w:val="right"/>
              <w:rPr>
                <w:rFonts w:cs="Calibri"/>
                <w:color w:val="000000"/>
                <w:sz w:val="13"/>
                <w:szCs w:val="13"/>
              </w:rPr>
            </w:pPr>
            <w:r w:rsidRPr="00193A47">
              <w:rPr>
                <w:rFonts w:cs="Calibri"/>
                <w:color w:val="000000"/>
                <w:sz w:val="13"/>
                <w:szCs w:val="13"/>
              </w:rPr>
              <w:t>491 839</w:t>
            </w:r>
          </w:p>
        </w:tc>
      </w:tr>
      <w:tr w:rsidR="00193A47" w:rsidRPr="00193A47" w14:paraId="472B0CCD"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F665AD4" w14:textId="77777777" w:rsidR="00193A47" w:rsidRPr="00193A47" w:rsidRDefault="00193A47" w:rsidP="00193A47">
            <w:pPr>
              <w:rPr>
                <w:rFonts w:cs="Calibri"/>
                <w:color w:val="000000"/>
                <w:sz w:val="13"/>
                <w:szCs w:val="13"/>
              </w:rPr>
            </w:pPr>
            <w:r w:rsidRPr="00193A47">
              <w:rPr>
                <w:rFonts w:cs="Calibri"/>
                <w:color w:val="000000"/>
                <w:sz w:val="13"/>
                <w:szCs w:val="13"/>
              </w:rPr>
              <w:t>Inne skumulowane całkowite dochody</w:t>
            </w:r>
          </w:p>
        </w:tc>
        <w:tc>
          <w:tcPr>
            <w:tcW w:w="1418" w:type="dxa"/>
            <w:tcBorders>
              <w:top w:val="nil"/>
              <w:left w:val="nil"/>
              <w:bottom w:val="single" w:sz="4" w:space="0" w:color="0077BD"/>
              <w:right w:val="single" w:sz="8" w:space="0" w:color="0077BD"/>
            </w:tcBorders>
            <w:shd w:val="clear" w:color="auto" w:fill="auto"/>
            <w:noWrap/>
            <w:vAlign w:val="center"/>
            <w:hideMark/>
          </w:tcPr>
          <w:p w14:paraId="54B74697" w14:textId="77777777" w:rsidR="00193A47" w:rsidRPr="00193A47" w:rsidRDefault="00193A47" w:rsidP="00193A47">
            <w:pPr>
              <w:jc w:val="right"/>
              <w:rPr>
                <w:rFonts w:cs="Calibri"/>
                <w:color w:val="000000"/>
                <w:sz w:val="13"/>
                <w:szCs w:val="13"/>
              </w:rPr>
            </w:pPr>
            <w:r w:rsidRPr="00193A47">
              <w:rPr>
                <w:rFonts w:cs="Calibri"/>
                <w:color w:val="000000"/>
                <w:sz w:val="13"/>
                <w:szCs w:val="13"/>
              </w:rPr>
              <w:t>176 710</w:t>
            </w:r>
          </w:p>
        </w:tc>
        <w:tc>
          <w:tcPr>
            <w:tcW w:w="1418" w:type="dxa"/>
            <w:tcBorders>
              <w:top w:val="nil"/>
              <w:left w:val="nil"/>
              <w:bottom w:val="single" w:sz="4" w:space="0" w:color="0077BD"/>
              <w:right w:val="nil"/>
            </w:tcBorders>
            <w:shd w:val="clear" w:color="auto" w:fill="auto"/>
            <w:noWrap/>
            <w:vAlign w:val="center"/>
            <w:hideMark/>
          </w:tcPr>
          <w:p w14:paraId="161BE4F3" w14:textId="77777777" w:rsidR="00193A47" w:rsidRPr="00193A47" w:rsidRDefault="00193A47" w:rsidP="00193A47">
            <w:pPr>
              <w:jc w:val="right"/>
              <w:rPr>
                <w:rFonts w:cs="Calibri"/>
                <w:color w:val="000000"/>
                <w:sz w:val="13"/>
                <w:szCs w:val="13"/>
              </w:rPr>
            </w:pPr>
            <w:r w:rsidRPr="00193A47">
              <w:rPr>
                <w:rFonts w:cs="Calibri"/>
                <w:color w:val="000000"/>
                <w:sz w:val="13"/>
                <w:szCs w:val="13"/>
              </w:rPr>
              <w:t>214 838</w:t>
            </w:r>
          </w:p>
        </w:tc>
      </w:tr>
      <w:tr w:rsidR="00193A47" w:rsidRPr="00193A47" w14:paraId="0B18087A"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996FC19" w14:textId="77777777" w:rsidR="00193A47" w:rsidRPr="00193A47" w:rsidRDefault="00193A47" w:rsidP="00193A47">
            <w:pPr>
              <w:rPr>
                <w:rFonts w:cs="Calibri"/>
                <w:color w:val="000000"/>
                <w:sz w:val="13"/>
                <w:szCs w:val="13"/>
              </w:rPr>
            </w:pPr>
            <w:r w:rsidRPr="00193A47">
              <w:rPr>
                <w:rFonts w:cs="Calibri"/>
                <w:color w:val="000000"/>
                <w:sz w:val="13"/>
                <w:szCs w:val="13"/>
              </w:rPr>
              <w:t>Pozostałe kapitały rezerwowe</w:t>
            </w:r>
          </w:p>
        </w:tc>
        <w:tc>
          <w:tcPr>
            <w:tcW w:w="1418" w:type="dxa"/>
            <w:tcBorders>
              <w:top w:val="nil"/>
              <w:left w:val="nil"/>
              <w:bottom w:val="single" w:sz="4" w:space="0" w:color="0077BD"/>
              <w:right w:val="single" w:sz="8" w:space="0" w:color="0077BD"/>
            </w:tcBorders>
            <w:shd w:val="clear" w:color="auto" w:fill="auto"/>
            <w:noWrap/>
            <w:vAlign w:val="center"/>
            <w:hideMark/>
          </w:tcPr>
          <w:p w14:paraId="10522CF1" w14:textId="77777777" w:rsidR="00193A47" w:rsidRPr="00193A47" w:rsidRDefault="00193A47" w:rsidP="00193A47">
            <w:pPr>
              <w:jc w:val="right"/>
              <w:rPr>
                <w:rFonts w:cs="Calibri"/>
                <w:color w:val="000000"/>
                <w:sz w:val="13"/>
                <w:szCs w:val="13"/>
              </w:rPr>
            </w:pPr>
            <w:r w:rsidRPr="00193A47">
              <w:rPr>
                <w:rFonts w:cs="Calibri"/>
                <w:color w:val="000000"/>
                <w:sz w:val="13"/>
                <w:szCs w:val="13"/>
              </w:rPr>
              <w:t>9 924 598</w:t>
            </w:r>
          </w:p>
        </w:tc>
        <w:tc>
          <w:tcPr>
            <w:tcW w:w="1418" w:type="dxa"/>
            <w:tcBorders>
              <w:top w:val="nil"/>
              <w:left w:val="nil"/>
              <w:bottom w:val="single" w:sz="4" w:space="0" w:color="0077BD"/>
              <w:right w:val="nil"/>
            </w:tcBorders>
            <w:shd w:val="clear" w:color="auto" w:fill="auto"/>
            <w:noWrap/>
            <w:vAlign w:val="center"/>
            <w:hideMark/>
          </w:tcPr>
          <w:p w14:paraId="3B92D592" w14:textId="77777777" w:rsidR="00193A47" w:rsidRPr="00193A47" w:rsidRDefault="00193A47" w:rsidP="00193A47">
            <w:pPr>
              <w:jc w:val="right"/>
              <w:rPr>
                <w:rFonts w:cs="Calibri"/>
                <w:color w:val="000000"/>
                <w:sz w:val="13"/>
                <w:szCs w:val="13"/>
              </w:rPr>
            </w:pPr>
            <w:r w:rsidRPr="00193A47">
              <w:rPr>
                <w:rFonts w:cs="Calibri"/>
                <w:color w:val="000000"/>
                <w:sz w:val="13"/>
                <w:szCs w:val="13"/>
              </w:rPr>
              <w:t>9 919 730</w:t>
            </w:r>
          </w:p>
        </w:tc>
      </w:tr>
      <w:tr w:rsidR="00193A47" w:rsidRPr="00193A47" w14:paraId="3220B3E5"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3409D9E8" w14:textId="77777777" w:rsidR="00193A47" w:rsidRPr="00193A47" w:rsidRDefault="00193A47" w:rsidP="00193A47">
            <w:pPr>
              <w:rPr>
                <w:rFonts w:cs="Calibri"/>
                <w:color w:val="000000"/>
                <w:sz w:val="13"/>
                <w:szCs w:val="13"/>
              </w:rPr>
            </w:pPr>
            <w:r w:rsidRPr="00193A47">
              <w:rPr>
                <w:rFonts w:cs="Calibri"/>
                <w:color w:val="000000"/>
                <w:sz w:val="13"/>
                <w:szCs w:val="13"/>
              </w:rPr>
              <w:t>Fundusze ogólne ryzyka bankowego</w:t>
            </w:r>
          </w:p>
        </w:tc>
        <w:tc>
          <w:tcPr>
            <w:tcW w:w="1418" w:type="dxa"/>
            <w:tcBorders>
              <w:top w:val="nil"/>
              <w:left w:val="nil"/>
              <w:bottom w:val="single" w:sz="4" w:space="0" w:color="0077BD"/>
              <w:right w:val="single" w:sz="8" w:space="0" w:color="0077BD"/>
            </w:tcBorders>
            <w:shd w:val="clear" w:color="auto" w:fill="auto"/>
            <w:noWrap/>
            <w:vAlign w:val="center"/>
            <w:hideMark/>
          </w:tcPr>
          <w:p w14:paraId="78F96BD9" w14:textId="77777777" w:rsidR="00193A47" w:rsidRPr="00193A47" w:rsidRDefault="00193A47" w:rsidP="00193A47">
            <w:pPr>
              <w:jc w:val="right"/>
              <w:rPr>
                <w:rFonts w:cs="Calibri"/>
                <w:color w:val="000000"/>
                <w:sz w:val="13"/>
                <w:szCs w:val="13"/>
              </w:rPr>
            </w:pPr>
            <w:r w:rsidRPr="00193A47">
              <w:rPr>
                <w:rFonts w:cs="Calibri"/>
                <w:color w:val="000000"/>
                <w:sz w:val="13"/>
                <w:szCs w:val="13"/>
              </w:rPr>
              <w:t>1 153 753</w:t>
            </w:r>
          </w:p>
        </w:tc>
        <w:tc>
          <w:tcPr>
            <w:tcW w:w="1418" w:type="dxa"/>
            <w:tcBorders>
              <w:top w:val="nil"/>
              <w:left w:val="nil"/>
              <w:bottom w:val="single" w:sz="4" w:space="0" w:color="0077BD"/>
              <w:right w:val="nil"/>
            </w:tcBorders>
            <w:shd w:val="clear" w:color="auto" w:fill="auto"/>
            <w:noWrap/>
            <w:vAlign w:val="center"/>
            <w:hideMark/>
          </w:tcPr>
          <w:p w14:paraId="13AB6A7B" w14:textId="77777777" w:rsidR="00193A47" w:rsidRPr="00193A47" w:rsidRDefault="00193A47" w:rsidP="00193A47">
            <w:pPr>
              <w:jc w:val="right"/>
              <w:rPr>
                <w:rFonts w:cs="Calibri"/>
                <w:color w:val="000000"/>
                <w:sz w:val="13"/>
                <w:szCs w:val="13"/>
              </w:rPr>
            </w:pPr>
            <w:r w:rsidRPr="00193A47">
              <w:rPr>
                <w:rFonts w:cs="Calibri"/>
                <w:color w:val="000000"/>
                <w:sz w:val="13"/>
                <w:szCs w:val="13"/>
              </w:rPr>
              <w:t>1 153 753</w:t>
            </w:r>
          </w:p>
        </w:tc>
      </w:tr>
      <w:tr w:rsidR="00193A47" w:rsidRPr="00193A47" w14:paraId="10977EAA"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2BA22F69" w14:textId="77777777" w:rsidR="00193A47" w:rsidRPr="00193A47" w:rsidRDefault="00193A47" w:rsidP="00193A47">
            <w:pPr>
              <w:rPr>
                <w:rFonts w:cs="Calibri"/>
                <w:color w:val="000000"/>
                <w:sz w:val="13"/>
                <w:szCs w:val="13"/>
              </w:rPr>
            </w:pPr>
            <w:r w:rsidRPr="00193A47">
              <w:rPr>
                <w:rFonts w:cs="Calibri"/>
                <w:color w:val="000000"/>
                <w:sz w:val="13"/>
                <w:szCs w:val="13"/>
              </w:rPr>
              <w:t>Korekty w kapitale podstawowym Tier I z tytułu filtrów ostrożnościowych</w:t>
            </w:r>
          </w:p>
        </w:tc>
        <w:tc>
          <w:tcPr>
            <w:tcW w:w="1418" w:type="dxa"/>
            <w:tcBorders>
              <w:top w:val="nil"/>
              <w:left w:val="nil"/>
              <w:bottom w:val="single" w:sz="4" w:space="0" w:color="0077BD"/>
              <w:right w:val="single" w:sz="8" w:space="0" w:color="0077BD"/>
            </w:tcBorders>
            <w:shd w:val="clear" w:color="auto" w:fill="auto"/>
            <w:noWrap/>
            <w:vAlign w:val="center"/>
            <w:hideMark/>
          </w:tcPr>
          <w:p w14:paraId="0801931C" w14:textId="77777777" w:rsidR="00193A47" w:rsidRPr="00193A47" w:rsidRDefault="00193A47" w:rsidP="00193A47">
            <w:pPr>
              <w:jc w:val="right"/>
              <w:rPr>
                <w:rFonts w:cs="Calibri"/>
                <w:color w:val="000000"/>
                <w:sz w:val="13"/>
                <w:szCs w:val="13"/>
              </w:rPr>
            </w:pPr>
            <w:r w:rsidRPr="00193A47">
              <w:rPr>
                <w:rFonts w:cs="Calibri"/>
                <w:color w:val="000000"/>
                <w:sz w:val="13"/>
                <w:szCs w:val="13"/>
              </w:rPr>
              <w:t>(31 023)</w:t>
            </w:r>
          </w:p>
        </w:tc>
        <w:tc>
          <w:tcPr>
            <w:tcW w:w="1418" w:type="dxa"/>
            <w:tcBorders>
              <w:top w:val="nil"/>
              <w:left w:val="nil"/>
              <w:bottom w:val="single" w:sz="4" w:space="0" w:color="0077BD"/>
              <w:right w:val="nil"/>
            </w:tcBorders>
            <w:shd w:val="clear" w:color="auto" w:fill="auto"/>
            <w:noWrap/>
            <w:vAlign w:val="center"/>
            <w:hideMark/>
          </w:tcPr>
          <w:p w14:paraId="3F7542FB" w14:textId="77777777" w:rsidR="00193A47" w:rsidRPr="00193A47" w:rsidRDefault="00193A47" w:rsidP="00193A47">
            <w:pPr>
              <w:jc w:val="right"/>
              <w:rPr>
                <w:rFonts w:cs="Calibri"/>
                <w:color w:val="000000"/>
                <w:sz w:val="13"/>
                <w:szCs w:val="13"/>
              </w:rPr>
            </w:pPr>
            <w:r w:rsidRPr="00193A47">
              <w:rPr>
                <w:rFonts w:cs="Calibri"/>
                <w:color w:val="000000"/>
                <w:sz w:val="13"/>
                <w:szCs w:val="13"/>
              </w:rPr>
              <w:t>(32 360)</w:t>
            </w:r>
          </w:p>
        </w:tc>
      </w:tr>
      <w:tr w:rsidR="00193A47" w:rsidRPr="00193A47" w14:paraId="048A1BC2" w14:textId="77777777" w:rsidTr="00481CEC">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1EE2ED51" w14:textId="77777777" w:rsidR="00193A47" w:rsidRPr="00193A47" w:rsidRDefault="00193A47" w:rsidP="00193A47">
            <w:pPr>
              <w:ind w:left="252" w:firstLineChars="6" w:firstLine="8"/>
              <w:rPr>
                <w:rFonts w:cs="Calibri"/>
                <w:color w:val="000000"/>
                <w:sz w:val="13"/>
                <w:szCs w:val="13"/>
              </w:rPr>
            </w:pPr>
            <w:r w:rsidRPr="00193A47">
              <w:rPr>
                <w:rFonts w:cs="Calibri"/>
                <w:color w:val="000000"/>
                <w:sz w:val="13"/>
                <w:szCs w:val="13"/>
              </w:rPr>
              <w:t>Zyski i straty wycenione według wartości godziwej, wynikające z własnego ryzyka kredytowego instytucji związanego z instrumentami pochodnymi będącymi zobowiązaniami</w:t>
            </w:r>
          </w:p>
        </w:tc>
        <w:tc>
          <w:tcPr>
            <w:tcW w:w="1418" w:type="dxa"/>
            <w:tcBorders>
              <w:top w:val="nil"/>
              <w:left w:val="nil"/>
              <w:bottom w:val="single" w:sz="4" w:space="0" w:color="0077BD"/>
              <w:right w:val="single" w:sz="8" w:space="0" w:color="0077BD"/>
            </w:tcBorders>
            <w:shd w:val="clear" w:color="auto" w:fill="auto"/>
            <w:noWrap/>
            <w:vAlign w:val="center"/>
            <w:hideMark/>
          </w:tcPr>
          <w:p w14:paraId="02B700B1" w14:textId="77777777" w:rsidR="00193A47" w:rsidRPr="00193A47" w:rsidRDefault="00193A47" w:rsidP="00193A47">
            <w:pPr>
              <w:jc w:val="right"/>
              <w:rPr>
                <w:rFonts w:cs="Calibri"/>
                <w:color w:val="000000"/>
                <w:sz w:val="13"/>
                <w:szCs w:val="13"/>
              </w:rPr>
            </w:pPr>
            <w:r w:rsidRPr="00193A47">
              <w:rPr>
                <w:rFonts w:cs="Calibri"/>
                <w:color w:val="000000"/>
                <w:sz w:val="13"/>
                <w:szCs w:val="13"/>
              </w:rPr>
              <w:t>(2 166)</w:t>
            </w:r>
          </w:p>
        </w:tc>
        <w:tc>
          <w:tcPr>
            <w:tcW w:w="1418" w:type="dxa"/>
            <w:tcBorders>
              <w:top w:val="nil"/>
              <w:left w:val="nil"/>
              <w:bottom w:val="single" w:sz="4" w:space="0" w:color="0077BD"/>
              <w:right w:val="nil"/>
            </w:tcBorders>
            <w:shd w:val="clear" w:color="auto" w:fill="auto"/>
            <w:noWrap/>
            <w:vAlign w:val="center"/>
            <w:hideMark/>
          </w:tcPr>
          <w:p w14:paraId="41A2259F" w14:textId="77777777" w:rsidR="00193A47" w:rsidRPr="00193A47" w:rsidRDefault="00193A47" w:rsidP="00193A47">
            <w:pPr>
              <w:jc w:val="right"/>
              <w:rPr>
                <w:rFonts w:cs="Calibri"/>
                <w:color w:val="000000"/>
                <w:sz w:val="13"/>
                <w:szCs w:val="13"/>
              </w:rPr>
            </w:pPr>
            <w:r w:rsidRPr="00193A47">
              <w:rPr>
                <w:rFonts w:cs="Calibri"/>
                <w:color w:val="000000"/>
                <w:sz w:val="13"/>
                <w:szCs w:val="13"/>
              </w:rPr>
              <w:t>(2 101)</w:t>
            </w:r>
          </w:p>
        </w:tc>
      </w:tr>
      <w:tr w:rsidR="00193A47" w:rsidRPr="00193A47" w14:paraId="704B76A6"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157A789"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 Korekty wartości z tytułu wymogów w zakresie ostrożnej wyceny</w:t>
            </w:r>
          </w:p>
        </w:tc>
        <w:tc>
          <w:tcPr>
            <w:tcW w:w="1418" w:type="dxa"/>
            <w:tcBorders>
              <w:top w:val="nil"/>
              <w:left w:val="nil"/>
              <w:bottom w:val="single" w:sz="4" w:space="0" w:color="0077BD"/>
              <w:right w:val="single" w:sz="8" w:space="0" w:color="0077BD"/>
            </w:tcBorders>
            <w:shd w:val="clear" w:color="auto" w:fill="auto"/>
            <w:noWrap/>
            <w:vAlign w:val="center"/>
            <w:hideMark/>
          </w:tcPr>
          <w:p w14:paraId="5AC3063D" w14:textId="77777777" w:rsidR="00193A47" w:rsidRPr="00193A47" w:rsidRDefault="00193A47" w:rsidP="00193A47">
            <w:pPr>
              <w:jc w:val="right"/>
              <w:rPr>
                <w:rFonts w:cs="Calibri"/>
                <w:color w:val="000000"/>
                <w:sz w:val="13"/>
                <w:szCs w:val="13"/>
              </w:rPr>
            </w:pPr>
            <w:r w:rsidRPr="00193A47">
              <w:rPr>
                <w:rFonts w:cs="Calibri"/>
                <w:color w:val="000000"/>
                <w:sz w:val="13"/>
                <w:szCs w:val="13"/>
              </w:rPr>
              <w:t>(28 857)</w:t>
            </w:r>
          </w:p>
        </w:tc>
        <w:tc>
          <w:tcPr>
            <w:tcW w:w="1418" w:type="dxa"/>
            <w:tcBorders>
              <w:top w:val="nil"/>
              <w:left w:val="nil"/>
              <w:bottom w:val="single" w:sz="4" w:space="0" w:color="0077BD"/>
              <w:right w:val="nil"/>
            </w:tcBorders>
            <w:shd w:val="clear" w:color="auto" w:fill="auto"/>
            <w:noWrap/>
            <w:vAlign w:val="center"/>
            <w:hideMark/>
          </w:tcPr>
          <w:p w14:paraId="06D33957" w14:textId="77777777" w:rsidR="00193A47" w:rsidRPr="00193A47" w:rsidRDefault="00193A47" w:rsidP="00193A47">
            <w:pPr>
              <w:jc w:val="right"/>
              <w:rPr>
                <w:rFonts w:cs="Calibri"/>
                <w:color w:val="000000"/>
                <w:sz w:val="13"/>
                <w:szCs w:val="13"/>
              </w:rPr>
            </w:pPr>
            <w:r w:rsidRPr="00193A47">
              <w:rPr>
                <w:rFonts w:cs="Calibri"/>
                <w:color w:val="000000"/>
                <w:sz w:val="13"/>
                <w:szCs w:val="13"/>
              </w:rPr>
              <w:t>(30 259)</w:t>
            </w:r>
          </w:p>
        </w:tc>
      </w:tr>
      <w:tr w:rsidR="00193A47" w:rsidRPr="00193A47" w14:paraId="708CA03E"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A13B96A" w14:textId="77777777" w:rsidR="00193A47" w:rsidRPr="00193A47" w:rsidRDefault="00193A47" w:rsidP="00193A47">
            <w:pPr>
              <w:rPr>
                <w:rFonts w:cs="Calibri"/>
                <w:color w:val="000000"/>
                <w:sz w:val="13"/>
                <w:szCs w:val="13"/>
              </w:rPr>
            </w:pPr>
            <w:r w:rsidRPr="00193A47">
              <w:rPr>
                <w:rFonts w:cs="Calibri"/>
                <w:color w:val="000000"/>
                <w:sz w:val="13"/>
                <w:szCs w:val="13"/>
              </w:rPr>
              <w:t xml:space="preserve">(-) Wartości niematerialne </w:t>
            </w:r>
          </w:p>
        </w:tc>
        <w:tc>
          <w:tcPr>
            <w:tcW w:w="1418" w:type="dxa"/>
            <w:tcBorders>
              <w:top w:val="nil"/>
              <w:left w:val="nil"/>
              <w:bottom w:val="single" w:sz="4" w:space="0" w:color="0077BD"/>
              <w:right w:val="single" w:sz="8" w:space="0" w:color="0077BD"/>
            </w:tcBorders>
            <w:shd w:val="clear" w:color="auto" w:fill="auto"/>
            <w:noWrap/>
            <w:vAlign w:val="center"/>
            <w:hideMark/>
          </w:tcPr>
          <w:p w14:paraId="01BCDBC6" w14:textId="77777777" w:rsidR="00193A47" w:rsidRPr="00193A47" w:rsidRDefault="00193A47" w:rsidP="00193A47">
            <w:pPr>
              <w:jc w:val="right"/>
              <w:rPr>
                <w:rFonts w:cs="Calibri"/>
                <w:color w:val="000000"/>
                <w:sz w:val="13"/>
                <w:szCs w:val="13"/>
              </w:rPr>
            </w:pPr>
            <w:r w:rsidRPr="00193A47">
              <w:rPr>
                <w:rFonts w:cs="Calibri"/>
                <w:color w:val="000000"/>
                <w:sz w:val="13"/>
                <w:szCs w:val="13"/>
              </w:rPr>
              <w:t>(927 456)</w:t>
            </w:r>
          </w:p>
        </w:tc>
        <w:tc>
          <w:tcPr>
            <w:tcW w:w="1418" w:type="dxa"/>
            <w:tcBorders>
              <w:top w:val="nil"/>
              <w:left w:val="nil"/>
              <w:bottom w:val="single" w:sz="4" w:space="0" w:color="0077BD"/>
              <w:right w:val="nil"/>
            </w:tcBorders>
            <w:shd w:val="clear" w:color="auto" w:fill="auto"/>
            <w:noWrap/>
            <w:vAlign w:val="center"/>
            <w:hideMark/>
          </w:tcPr>
          <w:p w14:paraId="4547DA40" w14:textId="77777777" w:rsidR="00193A47" w:rsidRPr="00193A47" w:rsidRDefault="00193A47" w:rsidP="00193A47">
            <w:pPr>
              <w:jc w:val="right"/>
              <w:rPr>
                <w:rFonts w:cs="Calibri"/>
                <w:color w:val="000000"/>
                <w:sz w:val="13"/>
                <w:szCs w:val="13"/>
              </w:rPr>
            </w:pPr>
            <w:r w:rsidRPr="00193A47">
              <w:rPr>
                <w:rFonts w:cs="Calibri"/>
                <w:color w:val="000000"/>
                <w:sz w:val="13"/>
                <w:szCs w:val="13"/>
              </w:rPr>
              <w:t>(746 839)</w:t>
            </w:r>
          </w:p>
        </w:tc>
      </w:tr>
      <w:tr w:rsidR="00193A47" w:rsidRPr="00193A47" w14:paraId="160E5599"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DEC56F1" w14:textId="77777777" w:rsidR="00193A47" w:rsidRPr="00193A47" w:rsidRDefault="00193A47" w:rsidP="00193A47">
            <w:pPr>
              <w:ind w:firstLineChars="200" w:firstLine="260"/>
              <w:rPr>
                <w:rFonts w:cs="Calibri"/>
                <w:color w:val="000000"/>
                <w:sz w:val="13"/>
                <w:szCs w:val="13"/>
              </w:rPr>
            </w:pPr>
            <w:r w:rsidRPr="00193A47">
              <w:rPr>
                <w:rFonts w:cs="Calibri"/>
                <w:color w:val="000000"/>
                <w:sz w:val="13"/>
                <w:szCs w:val="13"/>
              </w:rPr>
              <w:t>(-) Kwota brutto innych wartości niematerialnych</w:t>
            </w:r>
          </w:p>
        </w:tc>
        <w:tc>
          <w:tcPr>
            <w:tcW w:w="1418" w:type="dxa"/>
            <w:tcBorders>
              <w:top w:val="nil"/>
              <w:left w:val="nil"/>
              <w:bottom w:val="single" w:sz="4" w:space="0" w:color="0077BD"/>
              <w:right w:val="single" w:sz="8" w:space="0" w:color="0077BD"/>
            </w:tcBorders>
            <w:shd w:val="clear" w:color="auto" w:fill="auto"/>
            <w:noWrap/>
            <w:vAlign w:val="center"/>
            <w:hideMark/>
          </w:tcPr>
          <w:p w14:paraId="4ED05575" w14:textId="77777777" w:rsidR="00193A47" w:rsidRPr="00193A47" w:rsidRDefault="00193A47" w:rsidP="00193A47">
            <w:pPr>
              <w:jc w:val="right"/>
              <w:rPr>
                <w:rFonts w:cs="Calibri"/>
                <w:color w:val="000000"/>
                <w:sz w:val="13"/>
                <w:szCs w:val="13"/>
              </w:rPr>
            </w:pPr>
            <w:r w:rsidRPr="00193A47">
              <w:rPr>
                <w:rFonts w:cs="Calibri"/>
                <w:color w:val="000000"/>
                <w:sz w:val="13"/>
                <w:szCs w:val="13"/>
              </w:rPr>
              <w:t>(955 440)</w:t>
            </w:r>
          </w:p>
        </w:tc>
        <w:tc>
          <w:tcPr>
            <w:tcW w:w="1418" w:type="dxa"/>
            <w:tcBorders>
              <w:top w:val="nil"/>
              <w:left w:val="nil"/>
              <w:bottom w:val="single" w:sz="4" w:space="0" w:color="0077BD"/>
              <w:right w:val="nil"/>
            </w:tcBorders>
            <w:shd w:val="clear" w:color="auto" w:fill="auto"/>
            <w:noWrap/>
            <w:vAlign w:val="center"/>
            <w:hideMark/>
          </w:tcPr>
          <w:p w14:paraId="296B57A6" w14:textId="77777777" w:rsidR="00193A47" w:rsidRPr="00193A47" w:rsidRDefault="00193A47" w:rsidP="00193A47">
            <w:pPr>
              <w:jc w:val="right"/>
              <w:rPr>
                <w:rFonts w:cs="Calibri"/>
                <w:color w:val="000000"/>
                <w:sz w:val="13"/>
                <w:szCs w:val="13"/>
              </w:rPr>
            </w:pPr>
            <w:r w:rsidRPr="00193A47">
              <w:rPr>
                <w:rFonts w:cs="Calibri"/>
                <w:color w:val="000000"/>
                <w:sz w:val="13"/>
                <w:szCs w:val="13"/>
              </w:rPr>
              <w:t>(776 175)</w:t>
            </w:r>
          </w:p>
        </w:tc>
      </w:tr>
      <w:tr w:rsidR="00193A47" w:rsidRPr="00193A47" w14:paraId="3D2EC11F" w14:textId="77777777" w:rsidTr="00481CEC">
        <w:trPr>
          <w:trHeight w:val="340"/>
        </w:trPr>
        <w:tc>
          <w:tcPr>
            <w:tcW w:w="6747" w:type="dxa"/>
            <w:tcBorders>
              <w:top w:val="nil"/>
              <w:left w:val="nil"/>
              <w:bottom w:val="single" w:sz="4" w:space="0" w:color="0077BD"/>
              <w:right w:val="single" w:sz="8" w:space="0" w:color="0077BD"/>
            </w:tcBorders>
            <w:shd w:val="clear" w:color="auto" w:fill="auto"/>
            <w:vAlign w:val="center"/>
            <w:hideMark/>
          </w:tcPr>
          <w:p w14:paraId="3EF67D56" w14:textId="77777777" w:rsidR="00193A47" w:rsidRPr="00193A47" w:rsidRDefault="00193A47" w:rsidP="00193A47">
            <w:pPr>
              <w:ind w:left="252" w:firstLineChars="6" w:firstLine="8"/>
              <w:rPr>
                <w:rFonts w:cs="Calibri"/>
                <w:color w:val="000000"/>
                <w:sz w:val="13"/>
                <w:szCs w:val="13"/>
              </w:rPr>
            </w:pPr>
            <w:r w:rsidRPr="00193A47">
              <w:rPr>
                <w:rFonts w:cs="Calibri"/>
                <w:color w:val="000000"/>
                <w:sz w:val="13"/>
                <w:szCs w:val="13"/>
              </w:rPr>
              <w:t>Rezerwy z tytułu odroczonego podatku dochodowego związane z innymi aktywami niematerialnymi</w:t>
            </w:r>
          </w:p>
        </w:tc>
        <w:tc>
          <w:tcPr>
            <w:tcW w:w="1418" w:type="dxa"/>
            <w:tcBorders>
              <w:top w:val="nil"/>
              <w:left w:val="nil"/>
              <w:bottom w:val="single" w:sz="4" w:space="0" w:color="0077BD"/>
              <w:right w:val="single" w:sz="8" w:space="0" w:color="0077BD"/>
            </w:tcBorders>
            <w:shd w:val="clear" w:color="auto" w:fill="auto"/>
            <w:noWrap/>
            <w:vAlign w:val="center"/>
            <w:hideMark/>
          </w:tcPr>
          <w:p w14:paraId="11333346" w14:textId="77777777" w:rsidR="00193A47" w:rsidRPr="00193A47" w:rsidRDefault="00193A47" w:rsidP="00193A47">
            <w:pPr>
              <w:jc w:val="right"/>
              <w:rPr>
                <w:rFonts w:cs="Calibri"/>
                <w:color w:val="000000"/>
                <w:sz w:val="13"/>
                <w:szCs w:val="13"/>
              </w:rPr>
            </w:pPr>
            <w:r w:rsidRPr="00193A47">
              <w:rPr>
                <w:rFonts w:cs="Calibri"/>
                <w:color w:val="000000"/>
                <w:sz w:val="13"/>
                <w:szCs w:val="13"/>
              </w:rPr>
              <w:t>27 984</w:t>
            </w:r>
          </w:p>
        </w:tc>
        <w:tc>
          <w:tcPr>
            <w:tcW w:w="1418" w:type="dxa"/>
            <w:tcBorders>
              <w:top w:val="nil"/>
              <w:left w:val="nil"/>
              <w:bottom w:val="single" w:sz="4" w:space="0" w:color="0077BD"/>
              <w:right w:val="nil"/>
            </w:tcBorders>
            <w:shd w:val="clear" w:color="auto" w:fill="auto"/>
            <w:noWrap/>
            <w:vAlign w:val="center"/>
            <w:hideMark/>
          </w:tcPr>
          <w:p w14:paraId="7442AE89" w14:textId="77777777" w:rsidR="00193A47" w:rsidRPr="00193A47" w:rsidRDefault="00193A47" w:rsidP="00193A47">
            <w:pPr>
              <w:jc w:val="right"/>
              <w:rPr>
                <w:rFonts w:cs="Calibri"/>
                <w:color w:val="000000"/>
                <w:sz w:val="13"/>
                <w:szCs w:val="13"/>
              </w:rPr>
            </w:pPr>
            <w:r w:rsidRPr="00193A47">
              <w:rPr>
                <w:rFonts w:cs="Calibri"/>
                <w:color w:val="000000"/>
                <w:sz w:val="13"/>
                <w:szCs w:val="13"/>
              </w:rPr>
              <w:t>29 336</w:t>
            </w:r>
          </w:p>
        </w:tc>
      </w:tr>
      <w:tr w:rsidR="00193A47" w:rsidRPr="00193A47" w14:paraId="0F3C3BB0"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45B385C6" w14:textId="77777777" w:rsidR="00193A47" w:rsidRPr="00193A47" w:rsidRDefault="00193A47" w:rsidP="00193A47">
            <w:pPr>
              <w:rPr>
                <w:rFonts w:cs="Calibri"/>
                <w:color w:val="000000"/>
                <w:sz w:val="13"/>
                <w:szCs w:val="13"/>
              </w:rPr>
            </w:pPr>
            <w:r w:rsidRPr="00193A47">
              <w:rPr>
                <w:rFonts w:cs="Calibri"/>
                <w:color w:val="000000"/>
                <w:sz w:val="13"/>
                <w:szCs w:val="13"/>
              </w:rPr>
              <w:t>(-) Niedobór korekt ryzyka kredytowego wobec oczekiwanych strat według metody IRB</w:t>
            </w:r>
          </w:p>
        </w:tc>
        <w:tc>
          <w:tcPr>
            <w:tcW w:w="1418" w:type="dxa"/>
            <w:tcBorders>
              <w:top w:val="nil"/>
              <w:left w:val="nil"/>
              <w:bottom w:val="single" w:sz="4" w:space="0" w:color="0077BD"/>
              <w:right w:val="single" w:sz="8" w:space="0" w:color="0077BD"/>
            </w:tcBorders>
            <w:shd w:val="clear" w:color="auto" w:fill="auto"/>
            <w:noWrap/>
            <w:vAlign w:val="center"/>
            <w:hideMark/>
          </w:tcPr>
          <w:p w14:paraId="131FC9A9" w14:textId="77777777" w:rsidR="00193A47" w:rsidRPr="00193A47" w:rsidRDefault="00193A47" w:rsidP="00193A47">
            <w:pPr>
              <w:jc w:val="right"/>
              <w:rPr>
                <w:rFonts w:cs="Calibri"/>
                <w:color w:val="000000"/>
                <w:sz w:val="13"/>
                <w:szCs w:val="13"/>
              </w:rPr>
            </w:pPr>
            <w:r w:rsidRPr="00193A47">
              <w:rPr>
                <w:rFonts w:cs="Calibri"/>
                <w:color w:val="000000"/>
                <w:sz w:val="13"/>
                <w:szCs w:val="13"/>
              </w:rPr>
              <w:t>(43 022)</w:t>
            </w:r>
          </w:p>
        </w:tc>
        <w:tc>
          <w:tcPr>
            <w:tcW w:w="1418" w:type="dxa"/>
            <w:tcBorders>
              <w:top w:val="nil"/>
              <w:left w:val="nil"/>
              <w:bottom w:val="single" w:sz="4" w:space="0" w:color="0077BD"/>
              <w:right w:val="nil"/>
            </w:tcBorders>
            <w:shd w:val="clear" w:color="auto" w:fill="auto"/>
            <w:noWrap/>
            <w:vAlign w:val="center"/>
            <w:hideMark/>
          </w:tcPr>
          <w:p w14:paraId="45880BDF" w14:textId="77777777" w:rsidR="00193A47" w:rsidRPr="00193A47" w:rsidRDefault="00193A47" w:rsidP="00193A47">
            <w:pPr>
              <w:jc w:val="right"/>
              <w:rPr>
                <w:rFonts w:cs="Calibri"/>
                <w:color w:val="000000"/>
                <w:sz w:val="13"/>
                <w:szCs w:val="13"/>
              </w:rPr>
            </w:pPr>
            <w:r w:rsidRPr="00193A47">
              <w:rPr>
                <w:rFonts w:cs="Calibri"/>
                <w:color w:val="000000"/>
                <w:sz w:val="13"/>
                <w:szCs w:val="13"/>
              </w:rPr>
              <w:t>(113 759)</w:t>
            </w:r>
          </w:p>
        </w:tc>
      </w:tr>
      <w:tr w:rsidR="00193A47" w:rsidRPr="00193A47" w14:paraId="5598B674"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4CA81F7" w14:textId="7833F035" w:rsidR="00193A47" w:rsidRPr="00193A47" w:rsidRDefault="00154ED6" w:rsidP="00193A47">
            <w:pPr>
              <w:rPr>
                <w:rFonts w:cs="Calibri"/>
                <w:color w:val="000000"/>
                <w:sz w:val="13"/>
                <w:szCs w:val="13"/>
              </w:rPr>
            </w:pPr>
            <w:r>
              <w:rPr>
                <w:rFonts w:cs="Calibri"/>
                <w:color w:val="000000"/>
                <w:sz w:val="13"/>
                <w:szCs w:val="13"/>
              </w:rPr>
              <w:t>Rezerwa z tytułu instrumentów zabezpieczających przepływy pieniężne</w:t>
            </w:r>
          </w:p>
        </w:tc>
        <w:tc>
          <w:tcPr>
            <w:tcW w:w="1418" w:type="dxa"/>
            <w:tcBorders>
              <w:top w:val="nil"/>
              <w:left w:val="nil"/>
              <w:bottom w:val="single" w:sz="4" w:space="0" w:color="0077BD"/>
              <w:right w:val="single" w:sz="8" w:space="0" w:color="0077BD"/>
            </w:tcBorders>
            <w:shd w:val="clear" w:color="auto" w:fill="auto"/>
            <w:noWrap/>
            <w:vAlign w:val="center"/>
            <w:hideMark/>
          </w:tcPr>
          <w:p w14:paraId="37E8AEF5" w14:textId="77777777" w:rsidR="00193A47" w:rsidRPr="00193A47" w:rsidRDefault="00193A47" w:rsidP="00193A47">
            <w:pPr>
              <w:jc w:val="right"/>
              <w:rPr>
                <w:rFonts w:cs="Calibri"/>
                <w:color w:val="000000"/>
                <w:sz w:val="13"/>
                <w:szCs w:val="13"/>
              </w:rPr>
            </w:pPr>
            <w:r w:rsidRPr="00193A47">
              <w:rPr>
                <w:rFonts w:cs="Calibri"/>
                <w:color w:val="000000"/>
                <w:sz w:val="13"/>
                <w:szCs w:val="13"/>
              </w:rPr>
              <w:t>(119 142)</w:t>
            </w:r>
          </w:p>
        </w:tc>
        <w:tc>
          <w:tcPr>
            <w:tcW w:w="1418" w:type="dxa"/>
            <w:tcBorders>
              <w:top w:val="nil"/>
              <w:left w:val="nil"/>
              <w:bottom w:val="single" w:sz="4" w:space="0" w:color="0077BD"/>
              <w:right w:val="nil"/>
            </w:tcBorders>
            <w:shd w:val="clear" w:color="auto" w:fill="auto"/>
            <w:noWrap/>
            <w:vAlign w:val="center"/>
            <w:hideMark/>
          </w:tcPr>
          <w:p w14:paraId="748CB8C1" w14:textId="77777777" w:rsidR="00193A47" w:rsidRPr="00193A47" w:rsidRDefault="00193A47" w:rsidP="00193A47">
            <w:pPr>
              <w:jc w:val="right"/>
              <w:rPr>
                <w:rFonts w:cs="Calibri"/>
                <w:color w:val="000000"/>
                <w:sz w:val="13"/>
                <w:szCs w:val="13"/>
              </w:rPr>
            </w:pPr>
            <w:r w:rsidRPr="00193A47">
              <w:rPr>
                <w:rFonts w:cs="Calibri"/>
                <w:color w:val="000000"/>
                <w:sz w:val="13"/>
                <w:szCs w:val="13"/>
              </w:rPr>
              <w:t>(83 643)</w:t>
            </w:r>
          </w:p>
        </w:tc>
      </w:tr>
      <w:tr w:rsidR="00193A47" w:rsidRPr="00193A47" w14:paraId="000628F9"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5E9C612C" w14:textId="77777777" w:rsidR="00193A47" w:rsidRPr="00193A47" w:rsidRDefault="00193A47" w:rsidP="00193A47">
            <w:pPr>
              <w:rPr>
                <w:rFonts w:cs="Calibri"/>
                <w:color w:val="000000"/>
                <w:sz w:val="13"/>
                <w:szCs w:val="13"/>
              </w:rPr>
            </w:pPr>
            <w:r w:rsidRPr="00193A47">
              <w:rPr>
                <w:rFonts w:cs="Calibri"/>
                <w:color w:val="000000"/>
                <w:sz w:val="13"/>
                <w:szCs w:val="13"/>
              </w:rPr>
              <w:t>Elementy kapitału podstawowego Tier I lub odliczenia od kapitału podstawowego Tier I – inne</w:t>
            </w:r>
          </w:p>
        </w:tc>
        <w:tc>
          <w:tcPr>
            <w:tcW w:w="1418" w:type="dxa"/>
            <w:tcBorders>
              <w:top w:val="nil"/>
              <w:left w:val="nil"/>
              <w:bottom w:val="single" w:sz="4" w:space="0" w:color="0077BD"/>
              <w:right w:val="single" w:sz="8" w:space="0" w:color="0077BD"/>
            </w:tcBorders>
            <w:shd w:val="clear" w:color="auto" w:fill="auto"/>
            <w:noWrap/>
            <w:vAlign w:val="center"/>
            <w:hideMark/>
          </w:tcPr>
          <w:p w14:paraId="3048B771" w14:textId="77777777" w:rsidR="00193A47" w:rsidRPr="00193A47" w:rsidRDefault="00193A47" w:rsidP="00193A47">
            <w:pPr>
              <w:jc w:val="right"/>
              <w:rPr>
                <w:rFonts w:cs="Calibri"/>
                <w:color w:val="000000"/>
                <w:sz w:val="13"/>
                <w:szCs w:val="13"/>
              </w:rPr>
            </w:pPr>
            <w:r w:rsidRPr="00193A47">
              <w:rPr>
                <w:rFonts w:cs="Calibri"/>
                <w:color w:val="000000"/>
                <w:sz w:val="13"/>
                <w:szCs w:val="13"/>
              </w:rPr>
              <w:t>(385 174)</w:t>
            </w:r>
          </w:p>
        </w:tc>
        <w:tc>
          <w:tcPr>
            <w:tcW w:w="1418" w:type="dxa"/>
            <w:tcBorders>
              <w:top w:val="nil"/>
              <w:left w:val="nil"/>
              <w:bottom w:val="single" w:sz="4" w:space="0" w:color="0077BD"/>
              <w:right w:val="nil"/>
            </w:tcBorders>
            <w:shd w:val="clear" w:color="auto" w:fill="auto"/>
            <w:noWrap/>
            <w:vAlign w:val="center"/>
            <w:hideMark/>
          </w:tcPr>
          <w:p w14:paraId="70B23773" w14:textId="77777777" w:rsidR="00193A47" w:rsidRPr="00193A47" w:rsidRDefault="00193A47" w:rsidP="00193A47">
            <w:pPr>
              <w:jc w:val="right"/>
              <w:rPr>
                <w:rFonts w:cs="Calibri"/>
                <w:color w:val="000000"/>
                <w:sz w:val="13"/>
                <w:szCs w:val="13"/>
              </w:rPr>
            </w:pPr>
            <w:r w:rsidRPr="00193A47">
              <w:rPr>
                <w:rFonts w:cs="Calibri"/>
                <w:color w:val="000000"/>
                <w:sz w:val="13"/>
                <w:szCs w:val="13"/>
              </w:rPr>
              <w:t>(95 484)</w:t>
            </w:r>
          </w:p>
        </w:tc>
      </w:tr>
      <w:tr w:rsidR="00193A47" w:rsidRPr="00193A47" w14:paraId="34F4BD07" w14:textId="77777777" w:rsidTr="00481CEC">
        <w:trPr>
          <w:trHeight w:val="255"/>
        </w:trPr>
        <w:tc>
          <w:tcPr>
            <w:tcW w:w="6747" w:type="dxa"/>
            <w:tcBorders>
              <w:top w:val="single" w:sz="4" w:space="0" w:color="0077BD"/>
              <w:left w:val="nil"/>
              <w:bottom w:val="single" w:sz="8" w:space="0" w:color="0077BD"/>
              <w:right w:val="single" w:sz="8" w:space="0" w:color="0077BD"/>
            </w:tcBorders>
            <w:shd w:val="clear" w:color="auto" w:fill="auto"/>
            <w:vAlign w:val="center"/>
            <w:hideMark/>
          </w:tcPr>
          <w:p w14:paraId="075E850B" w14:textId="77777777" w:rsidR="00193A47" w:rsidRPr="00193A47" w:rsidRDefault="00193A47" w:rsidP="00193A47">
            <w:pPr>
              <w:rPr>
                <w:rFonts w:cs="Calibri"/>
                <w:b/>
                <w:bCs/>
                <w:color w:val="000000"/>
                <w:sz w:val="13"/>
                <w:szCs w:val="13"/>
              </w:rPr>
            </w:pPr>
            <w:r w:rsidRPr="00193A47">
              <w:rPr>
                <w:rFonts w:cs="Calibri"/>
                <w:b/>
                <w:bCs/>
                <w:color w:val="000000"/>
                <w:sz w:val="13"/>
                <w:szCs w:val="13"/>
              </w:rPr>
              <w:t>Kapitał dodatkowy Tier I</w:t>
            </w:r>
          </w:p>
        </w:tc>
        <w:tc>
          <w:tcPr>
            <w:tcW w:w="1418" w:type="dxa"/>
            <w:tcBorders>
              <w:top w:val="single" w:sz="4" w:space="0" w:color="0077BD"/>
              <w:left w:val="nil"/>
              <w:bottom w:val="single" w:sz="8" w:space="0" w:color="0077BD"/>
              <w:right w:val="single" w:sz="8" w:space="0" w:color="0077BD"/>
            </w:tcBorders>
            <w:shd w:val="clear" w:color="auto" w:fill="auto"/>
            <w:noWrap/>
            <w:vAlign w:val="center"/>
            <w:hideMark/>
          </w:tcPr>
          <w:p w14:paraId="5022AD65" w14:textId="0F196741" w:rsidR="00193A47" w:rsidRPr="00193A47" w:rsidRDefault="00193A47" w:rsidP="00193A47">
            <w:pPr>
              <w:jc w:val="right"/>
              <w:rPr>
                <w:rFonts w:cs="Calibri"/>
                <w:b/>
                <w:bCs/>
                <w:color w:val="000000"/>
                <w:sz w:val="13"/>
                <w:szCs w:val="13"/>
              </w:rPr>
            </w:pPr>
            <w:r>
              <w:rPr>
                <w:rFonts w:cs="Calibri"/>
                <w:b/>
                <w:bCs/>
                <w:color w:val="000000"/>
                <w:sz w:val="13"/>
                <w:szCs w:val="13"/>
              </w:rPr>
              <w:t>-</w:t>
            </w:r>
          </w:p>
        </w:tc>
        <w:tc>
          <w:tcPr>
            <w:tcW w:w="1418" w:type="dxa"/>
            <w:tcBorders>
              <w:top w:val="single" w:sz="4" w:space="0" w:color="0077BD"/>
              <w:left w:val="nil"/>
              <w:bottom w:val="single" w:sz="8" w:space="0" w:color="0077BD"/>
              <w:right w:val="nil"/>
            </w:tcBorders>
            <w:shd w:val="clear" w:color="auto" w:fill="auto"/>
            <w:noWrap/>
            <w:vAlign w:val="center"/>
            <w:hideMark/>
          </w:tcPr>
          <w:p w14:paraId="5D62DE3D"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w:t>
            </w:r>
          </w:p>
        </w:tc>
      </w:tr>
      <w:tr w:rsidR="00193A47" w:rsidRPr="00193A47" w14:paraId="6FE32FF1" w14:textId="77777777" w:rsidTr="00481CEC">
        <w:trPr>
          <w:trHeight w:val="255"/>
        </w:trPr>
        <w:tc>
          <w:tcPr>
            <w:tcW w:w="6747" w:type="dxa"/>
            <w:tcBorders>
              <w:top w:val="nil"/>
              <w:left w:val="nil"/>
              <w:bottom w:val="single" w:sz="8" w:space="0" w:color="0077BD"/>
              <w:right w:val="single" w:sz="8" w:space="0" w:color="0077BD"/>
            </w:tcBorders>
            <w:shd w:val="clear" w:color="auto" w:fill="auto"/>
            <w:vAlign w:val="center"/>
            <w:hideMark/>
          </w:tcPr>
          <w:p w14:paraId="2C047A7B" w14:textId="77777777" w:rsidR="00193A47" w:rsidRPr="00193A47" w:rsidRDefault="00193A47" w:rsidP="00193A47">
            <w:pPr>
              <w:rPr>
                <w:rFonts w:cs="Calibri"/>
                <w:b/>
                <w:bCs/>
                <w:color w:val="000000"/>
                <w:sz w:val="13"/>
                <w:szCs w:val="13"/>
              </w:rPr>
            </w:pPr>
            <w:r w:rsidRPr="00193A47">
              <w:rPr>
                <w:rFonts w:cs="Calibri"/>
                <w:b/>
                <w:bCs/>
                <w:color w:val="000000"/>
                <w:sz w:val="13"/>
                <w:szCs w:val="13"/>
              </w:rPr>
              <w:t>KAPITAŁ TIER II</w:t>
            </w:r>
          </w:p>
        </w:tc>
        <w:tc>
          <w:tcPr>
            <w:tcW w:w="1418" w:type="dxa"/>
            <w:tcBorders>
              <w:top w:val="nil"/>
              <w:left w:val="nil"/>
              <w:bottom w:val="single" w:sz="8" w:space="0" w:color="0077BD"/>
              <w:right w:val="single" w:sz="8" w:space="0" w:color="0077BD"/>
            </w:tcBorders>
            <w:shd w:val="clear" w:color="auto" w:fill="auto"/>
            <w:noWrap/>
            <w:vAlign w:val="center"/>
            <w:hideMark/>
          </w:tcPr>
          <w:p w14:paraId="42DB785B"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2 480 325</w:t>
            </w:r>
          </w:p>
        </w:tc>
        <w:tc>
          <w:tcPr>
            <w:tcW w:w="1418" w:type="dxa"/>
            <w:tcBorders>
              <w:top w:val="nil"/>
              <w:left w:val="nil"/>
              <w:bottom w:val="single" w:sz="8" w:space="0" w:color="0077BD"/>
              <w:right w:val="nil"/>
            </w:tcBorders>
            <w:shd w:val="clear" w:color="auto" w:fill="auto"/>
            <w:noWrap/>
            <w:vAlign w:val="center"/>
            <w:hideMark/>
          </w:tcPr>
          <w:p w14:paraId="78A51352" w14:textId="77777777" w:rsidR="00193A47" w:rsidRPr="00193A47" w:rsidRDefault="00193A47" w:rsidP="00193A47">
            <w:pPr>
              <w:jc w:val="right"/>
              <w:rPr>
                <w:rFonts w:cs="Calibri"/>
                <w:b/>
                <w:bCs/>
                <w:color w:val="000000"/>
                <w:sz w:val="13"/>
                <w:szCs w:val="13"/>
              </w:rPr>
            </w:pPr>
            <w:r w:rsidRPr="00193A47">
              <w:rPr>
                <w:rFonts w:cs="Calibri"/>
                <w:b/>
                <w:bCs/>
                <w:color w:val="000000"/>
                <w:sz w:val="13"/>
                <w:szCs w:val="13"/>
              </w:rPr>
              <w:t>2 454 150</w:t>
            </w:r>
          </w:p>
        </w:tc>
      </w:tr>
      <w:tr w:rsidR="00193A47" w:rsidRPr="00193A47" w14:paraId="650F52DC"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79B313D4" w14:textId="77777777" w:rsidR="00193A47" w:rsidRPr="00193A47" w:rsidRDefault="00193A47" w:rsidP="00193A47">
            <w:pPr>
              <w:rPr>
                <w:rFonts w:cs="Calibri"/>
                <w:color w:val="000000"/>
                <w:sz w:val="13"/>
                <w:szCs w:val="13"/>
              </w:rPr>
            </w:pPr>
            <w:r w:rsidRPr="00193A47">
              <w:rPr>
                <w:rFonts w:cs="Calibri"/>
                <w:color w:val="000000"/>
                <w:sz w:val="13"/>
                <w:szCs w:val="13"/>
              </w:rPr>
              <w:t>Instrumenty kapitałowe i pożyczki podporządkowane kwalifikujące się jako kapitał Tier II</w:t>
            </w:r>
          </w:p>
        </w:tc>
        <w:tc>
          <w:tcPr>
            <w:tcW w:w="1418" w:type="dxa"/>
            <w:tcBorders>
              <w:top w:val="nil"/>
              <w:left w:val="nil"/>
              <w:bottom w:val="single" w:sz="4" w:space="0" w:color="0077BD"/>
              <w:right w:val="single" w:sz="8" w:space="0" w:color="0077BD"/>
            </w:tcBorders>
            <w:shd w:val="clear" w:color="auto" w:fill="auto"/>
            <w:noWrap/>
            <w:vAlign w:val="center"/>
            <w:hideMark/>
          </w:tcPr>
          <w:p w14:paraId="660C9FC7" w14:textId="77777777" w:rsidR="00193A47" w:rsidRPr="00193A47" w:rsidRDefault="00193A47" w:rsidP="00193A47">
            <w:pPr>
              <w:jc w:val="right"/>
              <w:rPr>
                <w:rFonts w:cs="Calibri"/>
                <w:color w:val="000000"/>
                <w:sz w:val="13"/>
                <w:szCs w:val="13"/>
              </w:rPr>
            </w:pPr>
            <w:r w:rsidRPr="00193A47">
              <w:rPr>
                <w:rFonts w:cs="Calibri"/>
                <w:color w:val="000000"/>
                <w:sz w:val="13"/>
                <w:szCs w:val="13"/>
              </w:rPr>
              <w:t>2 480 325</w:t>
            </w:r>
          </w:p>
        </w:tc>
        <w:tc>
          <w:tcPr>
            <w:tcW w:w="1418" w:type="dxa"/>
            <w:tcBorders>
              <w:top w:val="nil"/>
              <w:left w:val="nil"/>
              <w:bottom w:val="single" w:sz="4" w:space="0" w:color="0077BD"/>
              <w:right w:val="nil"/>
            </w:tcBorders>
            <w:shd w:val="clear" w:color="auto" w:fill="auto"/>
            <w:noWrap/>
            <w:vAlign w:val="center"/>
            <w:hideMark/>
          </w:tcPr>
          <w:p w14:paraId="0D5A8790" w14:textId="77777777" w:rsidR="00193A47" w:rsidRPr="00193A47" w:rsidRDefault="00193A47" w:rsidP="00193A47">
            <w:pPr>
              <w:jc w:val="right"/>
              <w:rPr>
                <w:rFonts w:cs="Calibri"/>
                <w:color w:val="000000"/>
                <w:sz w:val="13"/>
                <w:szCs w:val="13"/>
              </w:rPr>
            </w:pPr>
            <w:r w:rsidRPr="00193A47">
              <w:rPr>
                <w:rFonts w:cs="Calibri"/>
                <w:color w:val="000000"/>
                <w:sz w:val="13"/>
                <w:szCs w:val="13"/>
              </w:rPr>
              <w:t>2 454 150</w:t>
            </w:r>
          </w:p>
        </w:tc>
      </w:tr>
      <w:tr w:rsidR="00193A47" w:rsidRPr="00193A47" w14:paraId="010702FC" w14:textId="77777777" w:rsidTr="00481CEC">
        <w:trPr>
          <w:trHeight w:val="255"/>
        </w:trPr>
        <w:tc>
          <w:tcPr>
            <w:tcW w:w="6747" w:type="dxa"/>
            <w:tcBorders>
              <w:top w:val="nil"/>
              <w:left w:val="nil"/>
              <w:bottom w:val="single" w:sz="4" w:space="0" w:color="0077BD"/>
              <w:right w:val="single" w:sz="8" w:space="0" w:color="0077BD"/>
            </w:tcBorders>
            <w:shd w:val="clear" w:color="auto" w:fill="auto"/>
            <w:vAlign w:val="center"/>
            <w:hideMark/>
          </w:tcPr>
          <w:p w14:paraId="17EAC0EE" w14:textId="77777777" w:rsidR="00193A47" w:rsidRPr="00193A47" w:rsidRDefault="00193A47" w:rsidP="00193A47">
            <w:pPr>
              <w:rPr>
                <w:rFonts w:cs="Calibri"/>
                <w:color w:val="000000"/>
                <w:sz w:val="13"/>
                <w:szCs w:val="13"/>
              </w:rPr>
            </w:pPr>
            <w:r w:rsidRPr="00193A47">
              <w:rPr>
                <w:rFonts w:cs="Calibri"/>
                <w:color w:val="000000"/>
                <w:sz w:val="13"/>
                <w:szCs w:val="13"/>
              </w:rPr>
              <w:t>Elementy kapitału Tier II lub odliczenia od kapitału Tier II – inne</w:t>
            </w:r>
          </w:p>
        </w:tc>
        <w:tc>
          <w:tcPr>
            <w:tcW w:w="1418" w:type="dxa"/>
            <w:tcBorders>
              <w:top w:val="nil"/>
              <w:left w:val="nil"/>
              <w:bottom w:val="single" w:sz="4" w:space="0" w:color="0077BD"/>
              <w:right w:val="single" w:sz="8" w:space="0" w:color="0077BD"/>
            </w:tcBorders>
            <w:shd w:val="clear" w:color="auto" w:fill="auto"/>
            <w:noWrap/>
            <w:vAlign w:val="center"/>
            <w:hideMark/>
          </w:tcPr>
          <w:p w14:paraId="23F8195E" w14:textId="77777777" w:rsidR="00193A47" w:rsidRPr="00193A47" w:rsidRDefault="00193A47" w:rsidP="00193A47">
            <w:pPr>
              <w:jc w:val="right"/>
              <w:rPr>
                <w:rFonts w:cs="Calibri"/>
                <w:color w:val="000000"/>
                <w:sz w:val="13"/>
                <w:szCs w:val="13"/>
              </w:rPr>
            </w:pPr>
            <w:r w:rsidRPr="00193A47">
              <w:rPr>
                <w:rFonts w:cs="Calibri"/>
                <w:color w:val="000000"/>
                <w:sz w:val="13"/>
                <w:szCs w:val="13"/>
              </w:rPr>
              <w:t>-</w:t>
            </w:r>
          </w:p>
        </w:tc>
        <w:tc>
          <w:tcPr>
            <w:tcW w:w="1418" w:type="dxa"/>
            <w:tcBorders>
              <w:top w:val="nil"/>
              <w:left w:val="nil"/>
              <w:bottom w:val="single" w:sz="4" w:space="0" w:color="0077BD"/>
              <w:right w:val="nil"/>
            </w:tcBorders>
            <w:shd w:val="clear" w:color="auto" w:fill="auto"/>
            <w:noWrap/>
            <w:vAlign w:val="center"/>
            <w:hideMark/>
          </w:tcPr>
          <w:p w14:paraId="7FF1F9BF" w14:textId="5F5EA63E" w:rsidR="00193A47" w:rsidRPr="00193A47" w:rsidRDefault="00193A47" w:rsidP="00193A47">
            <w:pPr>
              <w:jc w:val="right"/>
              <w:rPr>
                <w:rFonts w:cs="Calibri"/>
                <w:color w:val="000000"/>
                <w:sz w:val="13"/>
                <w:szCs w:val="13"/>
              </w:rPr>
            </w:pPr>
            <w:r>
              <w:rPr>
                <w:rFonts w:cs="Calibri"/>
                <w:color w:val="000000"/>
                <w:sz w:val="13"/>
                <w:szCs w:val="13"/>
              </w:rPr>
              <w:t>-</w:t>
            </w:r>
          </w:p>
        </w:tc>
      </w:tr>
      <w:tr w:rsidR="00193A47" w:rsidRPr="00193A47" w14:paraId="42D83984" w14:textId="77777777" w:rsidTr="00481CEC">
        <w:trPr>
          <w:trHeight w:val="340"/>
        </w:trPr>
        <w:tc>
          <w:tcPr>
            <w:tcW w:w="6747" w:type="dxa"/>
            <w:tcBorders>
              <w:top w:val="nil"/>
              <w:left w:val="nil"/>
              <w:bottom w:val="single" w:sz="8" w:space="0" w:color="0077BD"/>
              <w:right w:val="single" w:sz="8" w:space="0" w:color="0077BD"/>
            </w:tcBorders>
            <w:shd w:val="clear" w:color="auto" w:fill="auto"/>
            <w:vAlign w:val="center"/>
            <w:hideMark/>
          </w:tcPr>
          <w:p w14:paraId="050A34EC" w14:textId="77777777" w:rsidR="00193A47" w:rsidRPr="00193A47" w:rsidRDefault="00193A47" w:rsidP="00193A47">
            <w:pPr>
              <w:rPr>
                <w:rFonts w:cs="Calibri"/>
                <w:color w:val="000000"/>
                <w:sz w:val="13"/>
                <w:szCs w:val="13"/>
              </w:rPr>
            </w:pPr>
            <w:r w:rsidRPr="00193A47">
              <w:rPr>
                <w:rFonts w:cs="Calibri"/>
                <w:color w:val="000000"/>
                <w:sz w:val="13"/>
                <w:szCs w:val="13"/>
              </w:rPr>
              <w:t>Korekty w okresie przejściowym z tytułu instrumentów w kapitale Tier II podlegających zasadzie praw nabytych i pożyczki podporządkowane</w:t>
            </w:r>
          </w:p>
        </w:tc>
        <w:tc>
          <w:tcPr>
            <w:tcW w:w="1418" w:type="dxa"/>
            <w:tcBorders>
              <w:top w:val="nil"/>
              <w:left w:val="nil"/>
              <w:bottom w:val="single" w:sz="8" w:space="0" w:color="0077BD"/>
              <w:right w:val="single" w:sz="8" w:space="0" w:color="0077BD"/>
            </w:tcBorders>
            <w:shd w:val="clear" w:color="auto" w:fill="auto"/>
            <w:noWrap/>
            <w:vAlign w:val="center"/>
            <w:hideMark/>
          </w:tcPr>
          <w:p w14:paraId="739CFE20" w14:textId="77777777" w:rsidR="00193A47" w:rsidRPr="00193A47" w:rsidRDefault="00193A47" w:rsidP="00193A47">
            <w:pPr>
              <w:jc w:val="right"/>
              <w:rPr>
                <w:rFonts w:cs="Calibri"/>
                <w:color w:val="000000"/>
                <w:sz w:val="13"/>
                <w:szCs w:val="13"/>
              </w:rPr>
            </w:pPr>
            <w:r w:rsidRPr="00193A47">
              <w:rPr>
                <w:rFonts w:cs="Calibri"/>
                <w:color w:val="000000"/>
                <w:sz w:val="13"/>
                <w:szCs w:val="13"/>
              </w:rPr>
              <w:t>-</w:t>
            </w:r>
          </w:p>
        </w:tc>
        <w:tc>
          <w:tcPr>
            <w:tcW w:w="1418" w:type="dxa"/>
            <w:tcBorders>
              <w:top w:val="nil"/>
              <w:left w:val="nil"/>
              <w:bottom w:val="single" w:sz="8" w:space="0" w:color="0077BD"/>
              <w:right w:val="nil"/>
            </w:tcBorders>
            <w:shd w:val="clear" w:color="auto" w:fill="auto"/>
            <w:noWrap/>
            <w:vAlign w:val="center"/>
            <w:hideMark/>
          </w:tcPr>
          <w:p w14:paraId="68CE0665" w14:textId="6228353B" w:rsidR="00193A47" w:rsidRPr="00193A47" w:rsidRDefault="00193A47" w:rsidP="00193A47">
            <w:pPr>
              <w:jc w:val="right"/>
              <w:rPr>
                <w:rFonts w:cs="Calibri"/>
                <w:color w:val="000000"/>
                <w:sz w:val="13"/>
                <w:szCs w:val="13"/>
              </w:rPr>
            </w:pPr>
            <w:r>
              <w:rPr>
                <w:rFonts w:cs="Calibri"/>
                <w:color w:val="000000"/>
                <w:sz w:val="13"/>
                <w:szCs w:val="13"/>
              </w:rPr>
              <w:t>-</w:t>
            </w:r>
          </w:p>
        </w:tc>
      </w:tr>
    </w:tbl>
    <w:p w14:paraId="3CC30A0D" w14:textId="146A5342" w:rsidR="00193A47" w:rsidRDefault="00193A47" w:rsidP="00D054EC">
      <w:pPr>
        <w:jc w:val="both"/>
        <w:rPr>
          <w:rFonts w:cs="Tahoma"/>
          <w:iCs/>
          <w:color w:val="000000" w:themeColor="text1"/>
          <w:sz w:val="18"/>
          <w:szCs w:val="18"/>
          <w:highlight w:val="yellow"/>
        </w:rPr>
      </w:pPr>
    </w:p>
    <w:p w14:paraId="4E08CEA3" w14:textId="14E8BA02" w:rsidR="00193A47" w:rsidRDefault="00193A47" w:rsidP="00D054EC">
      <w:pPr>
        <w:jc w:val="both"/>
        <w:rPr>
          <w:rFonts w:cs="Tahoma"/>
          <w:iCs/>
          <w:color w:val="000000" w:themeColor="text1"/>
          <w:sz w:val="18"/>
          <w:szCs w:val="18"/>
          <w:highlight w:val="yellow"/>
        </w:rPr>
      </w:pPr>
    </w:p>
    <w:p w14:paraId="3F349DBE" w14:textId="57CC3DD4" w:rsidR="00193A47" w:rsidRDefault="00193A47" w:rsidP="00D054EC">
      <w:pPr>
        <w:jc w:val="both"/>
        <w:rPr>
          <w:rFonts w:cs="Tahoma"/>
          <w:iCs/>
          <w:color w:val="000000" w:themeColor="text1"/>
          <w:sz w:val="18"/>
          <w:szCs w:val="18"/>
          <w:highlight w:val="yellow"/>
        </w:rPr>
      </w:pPr>
    </w:p>
    <w:p w14:paraId="516CD424" w14:textId="3013EED6" w:rsidR="00193A47" w:rsidRDefault="00193A47" w:rsidP="00D054EC">
      <w:pPr>
        <w:jc w:val="both"/>
        <w:rPr>
          <w:rFonts w:cs="Tahoma"/>
          <w:iCs/>
          <w:color w:val="000000" w:themeColor="text1"/>
          <w:sz w:val="18"/>
          <w:szCs w:val="18"/>
          <w:highlight w:val="yellow"/>
        </w:rPr>
      </w:pPr>
    </w:p>
    <w:p w14:paraId="07BE53E0" w14:textId="77777777" w:rsidR="00193A47" w:rsidRPr="00C11F75" w:rsidRDefault="00193A47" w:rsidP="00D054EC">
      <w:pPr>
        <w:jc w:val="both"/>
        <w:rPr>
          <w:rFonts w:cs="Tahoma"/>
          <w:iCs/>
          <w:color w:val="000000" w:themeColor="text1"/>
          <w:sz w:val="18"/>
          <w:szCs w:val="18"/>
          <w:highlight w:val="yellow"/>
        </w:rPr>
      </w:pPr>
    </w:p>
    <w:p w14:paraId="09E5B359" w14:textId="4BB63763" w:rsidR="00A37476" w:rsidRDefault="00A37476">
      <w:pPr>
        <w:rPr>
          <w:rFonts w:cs="Tahoma"/>
          <w:iCs/>
          <w:color w:val="201C17"/>
          <w:sz w:val="18"/>
          <w:szCs w:val="18"/>
          <w:highlight w:val="yellow"/>
        </w:rPr>
      </w:pPr>
      <w:r>
        <w:rPr>
          <w:rFonts w:cs="Tahoma"/>
          <w:iCs/>
          <w:color w:val="201C17"/>
          <w:sz w:val="18"/>
          <w:szCs w:val="18"/>
          <w:highlight w:val="yellow"/>
        </w:rPr>
        <w:br w:type="page"/>
      </w:r>
    </w:p>
    <w:tbl>
      <w:tblPr>
        <w:tblW w:w="0" w:type="auto"/>
        <w:tblCellMar>
          <w:left w:w="28" w:type="dxa"/>
          <w:right w:w="28" w:type="dxa"/>
        </w:tblCellMar>
        <w:tblLook w:val="04A0" w:firstRow="1" w:lastRow="0" w:firstColumn="1" w:lastColumn="0" w:noHBand="0" w:noVBand="1"/>
      </w:tblPr>
      <w:tblGrid>
        <w:gridCol w:w="137"/>
        <w:gridCol w:w="6608"/>
        <w:gridCol w:w="1418"/>
        <w:gridCol w:w="1418"/>
      </w:tblGrid>
      <w:tr w:rsidR="00160B05" w:rsidRPr="00160B05" w14:paraId="77B46937" w14:textId="77777777" w:rsidTr="00160B05">
        <w:trPr>
          <w:trHeight w:val="264"/>
        </w:trPr>
        <w:tc>
          <w:tcPr>
            <w:tcW w:w="0" w:type="auto"/>
            <w:gridSpan w:val="2"/>
            <w:tcBorders>
              <w:top w:val="nil"/>
              <w:left w:val="nil"/>
              <w:bottom w:val="nil"/>
              <w:right w:val="single" w:sz="8" w:space="0" w:color="FFFFFF"/>
            </w:tcBorders>
            <w:shd w:val="clear" w:color="000000" w:fill="0077BD"/>
            <w:vAlign w:val="center"/>
            <w:hideMark/>
          </w:tcPr>
          <w:p w14:paraId="38722240" w14:textId="77777777" w:rsidR="00160B05" w:rsidRPr="00160B05" w:rsidRDefault="00160B05" w:rsidP="00160B05">
            <w:pPr>
              <w:rPr>
                <w:rFonts w:cs="Calibri"/>
                <w:b/>
                <w:bCs/>
                <w:color w:val="FFFFFF"/>
                <w:sz w:val="13"/>
                <w:szCs w:val="13"/>
              </w:rPr>
            </w:pPr>
            <w:r w:rsidRPr="00160B05">
              <w:rPr>
                <w:rFonts w:cs="Calibri"/>
                <w:b/>
                <w:bCs/>
                <w:color w:val="FFFFFF"/>
                <w:sz w:val="13"/>
                <w:szCs w:val="13"/>
              </w:rPr>
              <w:lastRenderedPageBreak/>
              <w:t>Ryzyko kredytowe</w:t>
            </w:r>
          </w:p>
        </w:tc>
        <w:tc>
          <w:tcPr>
            <w:tcW w:w="1418" w:type="dxa"/>
            <w:tcBorders>
              <w:top w:val="nil"/>
              <w:left w:val="nil"/>
              <w:bottom w:val="nil"/>
              <w:right w:val="single" w:sz="8" w:space="0" w:color="FFFFFF"/>
            </w:tcBorders>
            <w:shd w:val="clear" w:color="000000" w:fill="0077BD"/>
            <w:noWrap/>
            <w:vAlign w:val="center"/>
            <w:hideMark/>
          </w:tcPr>
          <w:p w14:paraId="0D98B656" w14:textId="77777777" w:rsidR="00160B05" w:rsidRPr="00160B05" w:rsidRDefault="00160B05" w:rsidP="00160B05">
            <w:pPr>
              <w:jc w:val="right"/>
              <w:rPr>
                <w:rFonts w:cs="Calibri"/>
                <w:b/>
                <w:bCs/>
                <w:color w:val="FFFFFF"/>
                <w:sz w:val="13"/>
                <w:szCs w:val="13"/>
              </w:rPr>
            </w:pPr>
            <w:r w:rsidRPr="00160B05">
              <w:rPr>
                <w:rFonts w:cs="Calibri"/>
                <w:b/>
                <w:bCs/>
                <w:color w:val="FFFFFF"/>
                <w:sz w:val="13"/>
                <w:szCs w:val="13"/>
              </w:rPr>
              <w:t>31.12.2019</w:t>
            </w:r>
          </w:p>
        </w:tc>
        <w:tc>
          <w:tcPr>
            <w:tcW w:w="1418" w:type="dxa"/>
            <w:tcBorders>
              <w:top w:val="nil"/>
              <w:left w:val="nil"/>
              <w:bottom w:val="nil"/>
              <w:right w:val="nil"/>
            </w:tcBorders>
            <w:shd w:val="clear" w:color="000000" w:fill="0077BD"/>
            <w:vAlign w:val="center"/>
            <w:hideMark/>
          </w:tcPr>
          <w:p w14:paraId="3697C6DA" w14:textId="77777777" w:rsidR="00160B05" w:rsidRPr="00160B05" w:rsidRDefault="00160B05" w:rsidP="00160B05">
            <w:pPr>
              <w:jc w:val="right"/>
              <w:rPr>
                <w:rFonts w:cs="Calibri"/>
                <w:b/>
                <w:bCs/>
                <w:color w:val="FFFFFF"/>
                <w:sz w:val="13"/>
                <w:szCs w:val="13"/>
              </w:rPr>
            </w:pPr>
            <w:r w:rsidRPr="00160B05">
              <w:rPr>
                <w:rFonts w:cs="Calibri"/>
                <w:b/>
                <w:bCs/>
                <w:color w:val="FFFFFF"/>
                <w:sz w:val="13"/>
                <w:szCs w:val="13"/>
              </w:rPr>
              <w:t>31.12.2018</w:t>
            </w:r>
          </w:p>
        </w:tc>
      </w:tr>
      <w:tr w:rsidR="00BA3E4F" w:rsidRPr="00C11F75" w14:paraId="3C870C99" w14:textId="77777777" w:rsidTr="00E36A42">
        <w:trPr>
          <w:trHeight w:val="510"/>
        </w:trPr>
        <w:tc>
          <w:tcPr>
            <w:tcW w:w="0" w:type="auto"/>
            <w:gridSpan w:val="2"/>
            <w:tcBorders>
              <w:top w:val="nil"/>
              <w:left w:val="nil"/>
              <w:bottom w:val="nil"/>
              <w:right w:val="nil"/>
            </w:tcBorders>
            <w:shd w:val="clear" w:color="auto" w:fill="auto"/>
            <w:vAlign w:val="center"/>
            <w:hideMark/>
          </w:tcPr>
          <w:p w14:paraId="5F3562E2" w14:textId="77777777" w:rsidR="00BA3E4F" w:rsidRPr="00C74EF9" w:rsidRDefault="00BA3E4F" w:rsidP="00BA3E4F">
            <w:pPr>
              <w:rPr>
                <w:rFonts w:cs="Calibri"/>
                <w:b/>
                <w:bCs/>
                <w:color w:val="000000" w:themeColor="text1"/>
                <w:sz w:val="13"/>
                <w:szCs w:val="13"/>
              </w:rPr>
            </w:pPr>
            <w:r w:rsidRPr="00C74EF9">
              <w:rPr>
                <w:rFonts w:cs="Calibri"/>
                <w:b/>
                <w:bCs/>
                <w:color w:val="000000" w:themeColor="text1"/>
                <w:sz w:val="13"/>
                <w:szCs w:val="13"/>
              </w:rPr>
              <w:t>Kwoty ekspozycji ważonych ryzykiem w odniesieniu do ryzyka kredytowego, ryzyka kredytowego kontrahenta, ryzyka rozmycia oraz dostaw z późniejszym terminem rozliczenia</w:t>
            </w:r>
          </w:p>
        </w:tc>
        <w:tc>
          <w:tcPr>
            <w:tcW w:w="1418" w:type="dxa"/>
            <w:tcBorders>
              <w:top w:val="nil"/>
              <w:left w:val="single" w:sz="8" w:space="0" w:color="0077BD"/>
              <w:bottom w:val="nil"/>
              <w:right w:val="single" w:sz="8" w:space="0" w:color="0077BD"/>
            </w:tcBorders>
            <w:shd w:val="clear" w:color="auto" w:fill="auto"/>
            <w:noWrap/>
            <w:vAlign w:val="center"/>
          </w:tcPr>
          <w:p w14:paraId="1E1F5457" w14:textId="5D1DA622" w:rsidR="00BA3E4F" w:rsidRPr="00C74EF9" w:rsidRDefault="00BA3E4F" w:rsidP="00AF5122">
            <w:pPr>
              <w:jc w:val="right"/>
              <w:rPr>
                <w:rFonts w:cs="Calibri"/>
                <w:b/>
                <w:bCs/>
                <w:color w:val="000000" w:themeColor="text1"/>
                <w:sz w:val="13"/>
                <w:szCs w:val="13"/>
              </w:rPr>
            </w:pPr>
            <w:r w:rsidRPr="00C74EF9">
              <w:rPr>
                <w:rFonts w:cs="Calibri"/>
                <w:b/>
                <w:bCs/>
                <w:color w:val="000000" w:themeColor="text1"/>
                <w:sz w:val="13"/>
                <w:szCs w:val="13"/>
              </w:rPr>
              <w:t>74 843 59</w:t>
            </w:r>
            <w:r w:rsidR="00AF5122" w:rsidRPr="00C74EF9">
              <w:rPr>
                <w:rFonts w:cs="Calibri"/>
                <w:b/>
                <w:bCs/>
                <w:color w:val="000000" w:themeColor="text1"/>
                <w:sz w:val="13"/>
                <w:szCs w:val="13"/>
              </w:rPr>
              <w:t>6</w:t>
            </w:r>
          </w:p>
        </w:tc>
        <w:tc>
          <w:tcPr>
            <w:tcW w:w="1418" w:type="dxa"/>
            <w:tcBorders>
              <w:top w:val="nil"/>
              <w:left w:val="nil"/>
              <w:bottom w:val="nil"/>
              <w:right w:val="nil"/>
            </w:tcBorders>
            <w:shd w:val="clear" w:color="auto" w:fill="auto"/>
            <w:noWrap/>
            <w:vAlign w:val="center"/>
            <w:hideMark/>
          </w:tcPr>
          <w:p w14:paraId="32F35816" w14:textId="77777777" w:rsidR="00BA3E4F" w:rsidRPr="00C74EF9" w:rsidRDefault="00BA3E4F" w:rsidP="00BA3E4F">
            <w:pPr>
              <w:jc w:val="right"/>
              <w:rPr>
                <w:rFonts w:cs="Calibri"/>
                <w:b/>
                <w:bCs/>
                <w:color w:val="000000" w:themeColor="text1"/>
                <w:sz w:val="13"/>
                <w:szCs w:val="13"/>
              </w:rPr>
            </w:pPr>
            <w:r w:rsidRPr="00C74EF9">
              <w:rPr>
                <w:rFonts w:cs="Calibri"/>
                <w:b/>
                <w:bCs/>
                <w:color w:val="000000" w:themeColor="text1"/>
                <w:sz w:val="13"/>
                <w:szCs w:val="13"/>
              </w:rPr>
              <w:t>67 812 104</w:t>
            </w:r>
          </w:p>
        </w:tc>
      </w:tr>
      <w:tr w:rsidR="00BA3E4F" w:rsidRPr="00C11F75" w14:paraId="1042DDE0" w14:textId="77777777" w:rsidTr="00ED04A4">
        <w:trPr>
          <w:trHeight w:val="227"/>
        </w:trPr>
        <w:tc>
          <w:tcPr>
            <w:tcW w:w="0" w:type="auto"/>
            <w:gridSpan w:val="2"/>
            <w:tcBorders>
              <w:top w:val="single" w:sz="8" w:space="0" w:color="0077BD"/>
              <w:left w:val="nil"/>
              <w:bottom w:val="single" w:sz="8" w:space="0" w:color="0077BD"/>
              <w:right w:val="single" w:sz="8" w:space="0" w:color="0077BD"/>
            </w:tcBorders>
            <w:shd w:val="clear" w:color="auto" w:fill="auto"/>
            <w:vAlign w:val="center"/>
            <w:hideMark/>
          </w:tcPr>
          <w:p w14:paraId="23FB23CC" w14:textId="77777777" w:rsidR="00BA3E4F" w:rsidRPr="00C74EF9" w:rsidRDefault="00BA3E4F" w:rsidP="00BA3E4F">
            <w:pPr>
              <w:rPr>
                <w:rFonts w:cs="Calibri"/>
                <w:b/>
                <w:bCs/>
                <w:color w:val="000000" w:themeColor="text1"/>
                <w:sz w:val="13"/>
                <w:szCs w:val="13"/>
              </w:rPr>
            </w:pPr>
            <w:r w:rsidRPr="00C74EF9">
              <w:rPr>
                <w:rFonts w:cs="Calibri"/>
                <w:b/>
                <w:bCs/>
                <w:color w:val="000000" w:themeColor="text1"/>
                <w:sz w:val="13"/>
                <w:szCs w:val="13"/>
              </w:rPr>
              <w:t>Metoda standardowa</w:t>
            </w:r>
          </w:p>
        </w:tc>
        <w:tc>
          <w:tcPr>
            <w:tcW w:w="1418" w:type="dxa"/>
            <w:tcBorders>
              <w:top w:val="single" w:sz="8" w:space="0" w:color="0077BD"/>
              <w:left w:val="single" w:sz="8" w:space="0" w:color="0077BD"/>
              <w:bottom w:val="single" w:sz="8" w:space="0" w:color="0077BD"/>
              <w:right w:val="single" w:sz="8" w:space="0" w:color="0077BD"/>
            </w:tcBorders>
            <w:shd w:val="clear" w:color="auto" w:fill="auto"/>
            <w:noWrap/>
            <w:vAlign w:val="center"/>
          </w:tcPr>
          <w:p w14:paraId="74991742" w14:textId="446FEBE0" w:rsidR="00BA3E4F" w:rsidRPr="00C74EF9" w:rsidRDefault="00BA3E4F" w:rsidP="00AF5122">
            <w:pPr>
              <w:jc w:val="right"/>
              <w:rPr>
                <w:rFonts w:cs="Calibri"/>
                <w:b/>
                <w:bCs/>
                <w:color w:val="000000" w:themeColor="text1"/>
                <w:sz w:val="13"/>
                <w:szCs w:val="13"/>
              </w:rPr>
            </w:pPr>
            <w:r w:rsidRPr="00C74EF9">
              <w:rPr>
                <w:rFonts w:cs="Calibri"/>
                <w:b/>
                <w:bCs/>
                <w:color w:val="000000" w:themeColor="text1"/>
                <w:sz w:val="13"/>
                <w:szCs w:val="13"/>
              </w:rPr>
              <w:t>19 972 72</w:t>
            </w:r>
            <w:r w:rsidR="00AF5122" w:rsidRPr="00C74EF9">
              <w:rPr>
                <w:rFonts w:cs="Calibri"/>
                <w:b/>
                <w:bCs/>
                <w:color w:val="000000" w:themeColor="text1"/>
                <w:sz w:val="13"/>
                <w:szCs w:val="13"/>
              </w:rPr>
              <w:t>6</w:t>
            </w:r>
          </w:p>
        </w:tc>
        <w:tc>
          <w:tcPr>
            <w:tcW w:w="1418" w:type="dxa"/>
            <w:tcBorders>
              <w:top w:val="single" w:sz="8" w:space="0" w:color="0077BD"/>
              <w:left w:val="nil"/>
              <w:bottom w:val="single" w:sz="8" w:space="0" w:color="0077BD"/>
              <w:right w:val="nil"/>
            </w:tcBorders>
            <w:shd w:val="clear" w:color="auto" w:fill="auto"/>
            <w:noWrap/>
            <w:vAlign w:val="center"/>
            <w:hideMark/>
          </w:tcPr>
          <w:p w14:paraId="301E2A20" w14:textId="77777777" w:rsidR="00BA3E4F" w:rsidRPr="00C74EF9" w:rsidRDefault="00BA3E4F" w:rsidP="00BA3E4F">
            <w:pPr>
              <w:jc w:val="right"/>
              <w:rPr>
                <w:rFonts w:cs="Calibri"/>
                <w:b/>
                <w:bCs/>
                <w:color w:val="000000" w:themeColor="text1"/>
                <w:sz w:val="13"/>
                <w:szCs w:val="13"/>
              </w:rPr>
            </w:pPr>
            <w:r w:rsidRPr="00C74EF9">
              <w:rPr>
                <w:rFonts w:cs="Calibri"/>
                <w:b/>
                <w:bCs/>
                <w:color w:val="000000" w:themeColor="text1"/>
                <w:sz w:val="13"/>
                <w:szCs w:val="13"/>
              </w:rPr>
              <w:t>15 812 102</w:t>
            </w:r>
          </w:p>
        </w:tc>
      </w:tr>
      <w:tr w:rsidR="00160B05" w:rsidRPr="00C11F75" w14:paraId="540B587D" w14:textId="77777777" w:rsidTr="00E36A42">
        <w:trPr>
          <w:trHeight w:val="227"/>
        </w:trPr>
        <w:tc>
          <w:tcPr>
            <w:tcW w:w="0" w:type="auto"/>
            <w:gridSpan w:val="2"/>
            <w:tcBorders>
              <w:top w:val="single" w:sz="8" w:space="0" w:color="0077BD"/>
              <w:left w:val="nil"/>
              <w:bottom w:val="single" w:sz="4" w:space="0" w:color="0077BD"/>
              <w:right w:val="single" w:sz="8" w:space="0" w:color="0077BD"/>
            </w:tcBorders>
            <w:shd w:val="clear" w:color="auto" w:fill="auto"/>
            <w:vAlign w:val="center"/>
            <w:hideMark/>
          </w:tcPr>
          <w:p w14:paraId="7046A274"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Kategorie ekspozycji według metody standardowej z wyłączeniem pozycji sekurytyzacyjnych</w:t>
            </w:r>
          </w:p>
        </w:tc>
        <w:tc>
          <w:tcPr>
            <w:tcW w:w="1418" w:type="dxa"/>
            <w:tcBorders>
              <w:top w:val="nil"/>
              <w:left w:val="nil"/>
              <w:bottom w:val="single" w:sz="4" w:space="0" w:color="0077BD"/>
              <w:right w:val="single" w:sz="8" w:space="0" w:color="0077BD"/>
            </w:tcBorders>
            <w:shd w:val="clear" w:color="auto" w:fill="auto"/>
            <w:noWrap/>
            <w:vAlign w:val="center"/>
          </w:tcPr>
          <w:p w14:paraId="60D3324D" w14:textId="3CF24C85" w:rsidR="00160B05" w:rsidRPr="00C74EF9" w:rsidRDefault="00BA3E4F" w:rsidP="00ED274F">
            <w:pPr>
              <w:jc w:val="right"/>
              <w:rPr>
                <w:rFonts w:cs="Calibri"/>
                <w:color w:val="000000" w:themeColor="text1"/>
                <w:sz w:val="13"/>
                <w:szCs w:val="13"/>
              </w:rPr>
            </w:pPr>
            <w:r w:rsidRPr="00C74EF9">
              <w:rPr>
                <w:rFonts w:cs="Calibri"/>
                <w:color w:val="000000" w:themeColor="text1"/>
                <w:sz w:val="13"/>
                <w:szCs w:val="13"/>
              </w:rPr>
              <w:t>19 972 72</w:t>
            </w:r>
            <w:r w:rsidR="00ED274F" w:rsidRPr="00C74EF9">
              <w:rPr>
                <w:rFonts w:cs="Calibri"/>
                <w:color w:val="000000" w:themeColor="text1"/>
                <w:sz w:val="13"/>
                <w:szCs w:val="13"/>
              </w:rPr>
              <w:t>6</w:t>
            </w:r>
          </w:p>
        </w:tc>
        <w:tc>
          <w:tcPr>
            <w:tcW w:w="1418" w:type="dxa"/>
            <w:tcBorders>
              <w:top w:val="nil"/>
              <w:left w:val="nil"/>
              <w:bottom w:val="single" w:sz="4" w:space="0" w:color="0077BD"/>
              <w:right w:val="nil"/>
            </w:tcBorders>
            <w:shd w:val="clear" w:color="auto" w:fill="auto"/>
            <w:noWrap/>
            <w:vAlign w:val="center"/>
            <w:hideMark/>
          </w:tcPr>
          <w:p w14:paraId="213D9F0C"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15 812 102</w:t>
            </w:r>
          </w:p>
        </w:tc>
      </w:tr>
      <w:tr w:rsidR="00BA3E4F" w:rsidRPr="00C11F75" w14:paraId="6FC38515"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24E980A"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2C2B8F4D"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rządów centralnych lub banków centralnych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E254462" w14:textId="70E4F328"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2 372 251</w:t>
            </w:r>
          </w:p>
        </w:tc>
        <w:tc>
          <w:tcPr>
            <w:tcW w:w="1418" w:type="dxa"/>
            <w:tcBorders>
              <w:top w:val="nil"/>
              <w:left w:val="nil"/>
              <w:bottom w:val="single" w:sz="4" w:space="0" w:color="0077BD"/>
              <w:right w:val="nil"/>
            </w:tcBorders>
            <w:shd w:val="clear" w:color="auto" w:fill="auto"/>
            <w:noWrap/>
            <w:vAlign w:val="center"/>
            <w:hideMark/>
          </w:tcPr>
          <w:p w14:paraId="16BD1B0D"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30 402</w:t>
            </w:r>
          </w:p>
        </w:tc>
      </w:tr>
      <w:tr w:rsidR="00BA3E4F" w:rsidRPr="00C11F75" w14:paraId="7652F1DD"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3AD55BC8"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262EE9E4"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samorządów regionalnych lub władz lokalnych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0CF8852" w14:textId="1A5127C4"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84 303</w:t>
            </w:r>
          </w:p>
        </w:tc>
        <w:tc>
          <w:tcPr>
            <w:tcW w:w="1418" w:type="dxa"/>
            <w:tcBorders>
              <w:top w:val="nil"/>
              <w:left w:val="nil"/>
              <w:bottom w:val="single" w:sz="4" w:space="0" w:color="0077BD"/>
              <w:right w:val="nil"/>
            </w:tcBorders>
            <w:shd w:val="clear" w:color="auto" w:fill="auto"/>
            <w:noWrap/>
            <w:vAlign w:val="center"/>
            <w:hideMark/>
          </w:tcPr>
          <w:p w14:paraId="64ADB057"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130 188</w:t>
            </w:r>
          </w:p>
        </w:tc>
      </w:tr>
      <w:tr w:rsidR="00BA3E4F" w:rsidRPr="00C11F75" w14:paraId="36FB898F"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67159994"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42B1AAFE"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 xml:space="preserve">Ekspozycje wobec podmiotów sektora publicznego </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4F99F27" w14:textId="366F42C6"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15 553</w:t>
            </w:r>
          </w:p>
        </w:tc>
        <w:tc>
          <w:tcPr>
            <w:tcW w:w="1418" w:type="dxa"/>
            <w:tcBorders>
              <w:top w:val="nil"/>
              <w:left w:val="nil"/>
              <w:bottom w:val="single" w:sz="4" w:space="0" w:color="0077BD"/>
              <w:right w:val="nil"/>
            </w:tcBorders>
            <w:shd w:val="clear" w:color="auto" w:fill="auto"/>
            <w:noWrap/>
            <w:vAlign w:val="center"/>
            <w:hideMark/>
          </w:tcPr>
          <w:p w14:paraId="675B5C94"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24 745</w:t>
            </w:r>
          </w:p>
        </w:tc>
      </w:tr>
      <w:tr w:rsidR="00BA3E4F" w:rsidRPr="00C11F75" w14:paraId="14FD36DF"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6AD90D16"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23D7F28A"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wielostronnych banków rozwoju</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E806130" w14:textId="65618516"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0E1D4C1A"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7D6E0F0E"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12ED00B"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0BF01755"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organizacji międzynarodowych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4BBC97C" w14:textId="693B910E"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032D56F8"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6507B456"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02447751"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17A1FFC6"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instytucji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3CDDFBE4" w14:textId="2D38ADCA"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331 063</w:t>
            </w:r>
          </w:p>
        </w:tc>
        <w:tc>
          <w:tcPr>
            <w:tcW w:w="1418" w:type="dxa"/>
            <w:tcBorders>
              <w:top w:val="nil"/>
              <w:left w:val="nil"/>
              <w:bottom w:val="single" w:sz="4" w:space="0" w:color="0077BD"/>
              <w:right w:val="nil"/>
            </w:tcBorders>
            <w:shd w:val="clear" w:color="auto" w:fill="auto"/>
            <w:noWrap/>
            <w:vAlign w:val="center"/>
            <w:hideMark/>
          </w:tcPr>
          <w:p w14:paraId="2B1523B6"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270 382</w:t>
            </w:r>
          </w:p>
        </w:tc>
      </w:tr>
      <w:tr w:rsidR="00BA3E4F" w:rsidRPr="00C11F75" w14:paraId="3CB98CF0"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739E426C"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19671AC1"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przedsiębiorstw</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37A18C9" w14:textId="726FE0D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9 595 404</w:t>
            </w:r>
          </w:p>
        </w:tc>
        <w:tc>
          <w:tcPr>
            <w:tcW w:w="1418" w:type="dxa"/>
            <w:tcBorders>
              <w:top w:val="nil"/>
              <w:left w:val="nil"/>
              <w:bottom w:val="single" w:sz="4" w:space="0" w:color="0077BD"/>
              <w:right w:val="nil"/>
            </w:tcBorders>
            <w:shd w:val="clear" w:color="auto" w:fill="auto"/>
            <w:noWrap/>
            <w:vAlign w:val="center"/>
            <w:hideMark/>
          </w:tcPr>
          <w:p w14:paraId="1E15931D"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8 939 675</w:t>
            </w:r>
          </w:p>
        </w:tc>
      </w:tr>
      <w:tr w:rsidR="00BA3E4F" w:rsidRPr="00C11F75" w14:paraId="0EC2106A"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35609F04"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56C12F66"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detaliczne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C4438D1" w14:textId="49119CBA"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2 357 298</w:t>
            </w:r>
          </w:p>
        </w:tc>
        <w:tc>
          <w:tcPr>
            <w:tcW w:w="1418" w:type="dxa"/>
            <w:tcBorders>
              <w:top w:val="nil"/>
              <w:left w:val="nil"/>
              <w:bottom w:val="single" w:sz="4" w:space="0" w:color="0077BD"/>
              <w:right w:val="nil"/>
            </w:tcBorders>
            <w:shd w:val="clear" w:color="auto" w:fill="auto"/>
            <w:noWrap/>
            <w:vAlign w:val="center"/>
            <w:hideMark/>
          </w:tcPr>
          <w:p w14:paraId="70447ED1"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1 924 644</w:t>
            </w:r>
          </w:p>
        </w:tc>
      </w:tr>
      <w:tr w:rsidR="00BA3E4F" w:rsidRPr="00C11F75" w14:paraId="37107C10"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5FC68FB"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7F54410B"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zabezpieczone hipotekami na nieruchomościach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5E50375C" w14:textId="43B678E4"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4 178 342</w:t>
            </w:r>
          </w:p>
        </w:tc>
        <w:tc>
          <w:tcPr>
            <w:tcW w:w="1418" w:type="dxa"/>
            <w:tcBorders>
              <w:top w:val="nil"/>
              <w:left w:val="nil"/>
              <w:bottom w:val="single" w:sz="4" w:space="0" w:color="0077BD"/>
              <w:right w:val="nil"/>
            </w:tcBorders>
            <w:shd w:val="clear" w:color="auto" w:fill="auto"/>
            <w:noWrap/>
            <w:vAlign w:val="center"/>
            <w:hideMark/>
          </w:tcPr>
          <w:p w14:paraId="4668A1B5"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3 841 191</w:t>
            </w:r>
          </w:p>
        </w:tc>
      </w:tr>
      <w:tr w:rsidR="00BA3E4F" w:rsidRPr="00C11F75" w14:paraId="472A73E5"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0E744D74"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1ECC143D"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 xml:space="preserve">Ekspozycje, których dotyczy niewykonanie zobowiązania </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6312B60" w14:textId="4A489D31"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463 609</w:t>
            </w:r>
          </w:p>
        </w:tc>
        <w:tc>
          <w:tcPr>
            <w:tcW w:w="1418" w:type="dxa"/>
            <w:tcBorders>
              <w:top w:val="nil"/>
              <w:left w:val="nil"/>
              <w:bottom w:val="single" w:sz="4" w:space="0" w:color="0077BD"/>
              <w:right w:val="nil"/>
            </w:tcBorders>
            <w:shd w:val="clear" w:color="auto" w:fill="auto"/>
            <w:noWrap/>
            <w:vAlign w:val="center"/>
            <w:hideMark/>
          </w:tcPr>
          <w:p w14:paraId="7759B2BA"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363 960</w:t>
            </w:r>
          </w:p>
        </w:tc>
      </w:tr>
      <w:tr w:rsidR="00BA3E4F" w:rsidRPr="00C11F75" w14:paraId="597E4FF1"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2ACE871"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7E5DFF21"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Pozycje związane ze szczególnie wysokim ryzykiem</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7118B26" w14:textId="5EC33CE3"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100 699</w:t>
            </w:r>
          </w:p>
        </w:tc>
        <w:tc>
          <w:tcPr>
            <w:tcW w:w="1418" w:type="dxa"/>
            <w:tcBorders>
              <w:top w:val="nil"/>
              <w:left w:val="nil"/>
              <w:bottom w:val="single" w:sz="4" w:space="0" w:color="0077BD"/>
              <w:right w:val="nil"/>
            </w:tcBorders>
            <w:shd w:val="clear" w:color="auto" w:fill="auto"/>
            <w:noWrap/>
            <w:vAlign w:val="center"/>
            <w:hideMark/>
          </w:tcPr>
          <w:p w14:paraId="77141BE0"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52 059</w:t>
            </w:r>
          </w:p>
        </w:tc>
      </w:tr>
      <w:tr w:rsidR="00BA3E4F" w:rsidRPr="00C11F75" w14:paraId="7CD2E04E"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DCDBC39"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38BAB139"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 postaci obligacji zabezpieczonych</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D2D9B5D" w14:textId="0303B360"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09AE3FD1"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67C4E69C" w14:textId="77777777" w:rsidTr="00ED04A4">
        <w:trPr>
          <w:trHeight w:val="340"/>
        </w:trPr>
        <w:tc>
          <w:tcPr>
            <w:tcW w:w="0" w:type="auto"/>
            <w:tcBorders>
              <w:top w:val="nil"/>
              <w:left w:val="nil"/>
              <w:bottom w:val="single" w:sz="4" w:space="0" w:color="0077BD"/>
              <w:right w:val="nil"/>
            </w:tcBorders>
            <w:shd w:val="clear" w:color="auto" w:fill="auto"/>
            <w:noWrap/>
            <w:vAlign w:val="center"/>
            <w:hideMark/>
          </w:tcPr>
          <w:p w14:paraId="40F4170F"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6F2564B3"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 xml:space="preserve">Ekspozycje z tytułu należności od instytucji i przedsiębiorstw posiadających krótkoterminową ocenę kredytową </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8952775" w14:textId="4005145C"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5D1773DE"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7D202152"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07CFDC25"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4C3D3961"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związane z przedsiębiorstwami zbiorowego inwestowania</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3CF1215" w14:textId="1DEAE6E4"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19F59349"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3B754933"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4AB43C5"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4953B582"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kapitałowe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B670702" w14:textId="57A87EA9"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418 468</w:t>
            </w:r>
          </w:p>
        </w:tc>
        <w:tc>
          <w:tcPr>
            <w:tcW w:w="1418" w:type="dxa"/>
            <w:tcBorders>
              <w:top w:val="nil"/>
              <w:left w:val="nil"/>
              <w:bottom w:val="single" w:sz="4" w:space="0" w:color="0077BD"/>
              <w:right w:val="nil"/>
            </w:tcBorders>
            <w:shd w:val="clear" w:color="auto" w:fill="auto"/>
            <w:noWrap/>
            <w:vAlign w:val="center"/>
            <w:hideMark/>
          </w:tcPr>
          <w:p w14:paraId="2A8495D8"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219 827</w:t>
            </w:r>
          </w:p>
        </w:tc>
      </w:tr>
      <w:tr w:rsidR="00BA3E4F" w:rsidRPr="00C11F75" w14:paraId="0B657643" w14:textId="77777777" w:rsidTr="00ED04A4">
        <w:trPr>
          <w:trHeight w:val="227"/>
        </w:trPr>
        <w:tc>
          <w:tcPr>
            <w:tcW w:w="0" w:type="auto"/>
            <w:tcBorders>
              <w:top w:val="nil"/>
              <w:left w:val="nil"/>
              <w:bottom w:val="nil"/>
              <w:right w:val="nil"/>
            </w:tcBorders>
            <w:shd w:val="clear" w:color="auto" w:fill="auto"/>
            <w:noWrap/>
            <w:vAlign w:val="center"/>
            <w:hideMark/>
          </w:tcPr>
          <w:p w14:paraId="1D85F92E"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nil"/>
              <w:right w:val="single" w:sz="8" w:space="0" w:color="0077BD"/>
            </w:tcBorders>
            <w:shd w:val="clear" w:color="auto" w:fill="auto"/>
            <w:vAlign w:val="center"/>
            <w:hideMark/>
          </w:tcPr>
          <w:p w14:paraId="37B51069"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Inne pozycje</w:t>
            </w:r>
          </w:p>
        </w:tc>
        <w:tc>
          <w:tcPr>
            <w:tcW w:w="1418" w:type="dxa"/>
            <w:tcBorders>
              <w:top w:val="nil"/>
              <w:left w:val="single" w:sz="8" w:space="0" w:color="0077BD"/>
              <w:bottom w:val="nil"/>
              <w:right w:val="single" w:sz="8" w:space="0" w:color="0077BD"/>
            </w:tcBorders>
            <w:shd w:val="clear" w:color="auto" w:fill="auto"/>
            <w:noWrap/>
            <w:vAlign w:val="center"/>
          </w:tcPr>
          <w:p w14:paraId="3843568D" w14:textId="2F604228" w:rsidR="00BA3E4F" w:rsidRPr="00C74EF9" w:rsidRDefault="00BA3E4F" w:rsidP="00ED274F">
            <w:pPr>
              <w:jc w:val="right"/>
              <w:rPr>
                <w:rFonts w:cs="Calibri"/>
                <w:color w:val="000000" w:themeColor="text1"/>
                <w:sz w:val="13"/>
                <w:szCs w:val="13"/>
              </w:rPr>
            </w:pPr>
            <w:r w:rsidRPr="00C74EF9">
              <w:rPr>
                <w:rFonts w:cs="Calibri"/>
                <w:color w:val="000000" w:themeColor="text1"/>
                <w:sz w:val="13"/>
                <w:szCs w:val="13"/>
              </w:rPr>
              <w:t>55 73</w:t>
            </w:r>
            <w:r w:rsidR="00ED274F" w:rsidRPr="00C74EF9">
              <w:rPr>
                <w:rFonts w:cs="Calibri"/>
                <w:color w:val="000000" w:themeColor="text1"/>
                <w:sz w:val="13"/>
                <w:szCs w:val="13"/>
              </w:rPr>
              <w:t>6</w:t>
            </w:r>
          </w:p>
        </w:tc>
        <w:tc>
          <w:tcPr>
            <w:tcW w:w="1418" w:type="dxa"/>
            <w:tcBorders>
              <w:top w:val="nil"/>
              <w:left w:val="nil"/>
              <w:bottom w:val="nil"/>
              <w:right w:val="nil"/>
            </w:tcBorders>
            <w:shd w:val="clear" w:color="auto" w:fill="auto"/>
            <w:noWrap/>
            <w:vAlign w:val="center"/>
            <w:hideMark/>
          </w:tcPr>
          <w:p w14:paraId="0A5C20DD"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15 029</w:t>
            </w:r>
          </w:p>
        </w:tc>
      </w:tr>
      <w:tr w:rsidR="00160B05" w:rsidRPr="00C11F75" w14:paraId="2E7E1E0A" w14:textId="77777777" w:rsidTr="00E36A42">
        <w:trPr>
          <w:trHeight w:val="227"/>
        </w:trPr>
        <w:tc>
          <w:tcPr>
            <w:tcW w:w="0" w:type="auto"/>
            <w:gridSpan w:val="2"/>
            <w:tcBorders>
              <w:top w:val="single" w:sz="8" w:space="0" w:color="0077BD"/>
              <w:left w:val="nil"/>
              <w:bottom w:val="single" w:sz="8" w:space="0" w:color="0077BD"/>
              <w:right w:val="single" w:sz="8" w:space="0" w:color="0077BD"/>
            </w:tcBorders>
            <w:shd w:val="clear" w:color="auto" w:fill="auto"/>
            <w:vAlign w:val="center"/>
            <w:hideMark/>
          </w:tcPr>
          <w:p w14:paraId="4E768FC0" w14:textId="77777777" w:rsidR="00160B05" w:rsidRPr="00C74EF9" w:rsidRDefault="00160B05" w:rsidP="00160B05">
            <w:pPr>
              <w:rPr>
                <w:rFonts w:cs="Calibri"/>
                <w:b/>
                <w:bCs/>
                <w:color w:val="000000" w:themeColor="text1"/>
                <w:sz w:val="13"/>
                <w:szCs w:val="13"/>
              </w:rPr>
            </w:pPr>
            <w:r w:rsidRPr="00C74EF9">
              <w:rPr>
                <w:rFonts w:cs="Calibri"/>
                <w:b/>
                <w:bCs/>
                <w:color w:val="000000" w:themeColor="text1"/>
                <w:sz w:val="13"/>
                <w:szCs w:val="13"/>
              </w:rPr>
              <w:t>Metoda AIRB</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3575A76C" w14:textId="240E4EBA" w:rsidR="00160B05" w:rsidRPr="00C74EF9" w:rsidRDefault="00BA3E4F" w:rsidP="00DD7E7A">
            <w:pPr>
              <w:jc w:val="right"/>
              <w:rPr>
                <w:rFonts w:cs="Calibri"/>
                <w:b/>
                <w:bCs/>
                <w:color w:val="000000" w:themeColor="text1"/>
                <w:sz w:val="13"/>
                <w:szCs w:val="13"/>
              </w:rPr>
            </w:pPr>
            <w:r w:rsidRPr="00C74EF9">
              <w:rPr>
                <w:rFonts w:cs="Calibri"/>
                <w:b/>
                <w:bCs/>
                <w:color w:val="000000" w:themeColor="text1"/>
                <w:sz w:val="13"/>
                <w:szCs w:val="13"/>
              </w:rPr>
              <w:t>54 868 39</w:t>
            </w:r>
            <w:r w:rsidR="00DD7E7A" w:rsidRPr="00C74EF9">
              <w:rPr>
                <w:rFonts w:cs="Calibri"/>
                <w:b/>
                <w:bCs/>
                <w:color w:val="000000" w:themeColor="text1"/>
                <w:sz w:val="13"/>
                <w:szCs w:val="13"/>
              </w:rPr>
              <w:t>6</w:t>
            </w:r>
          </w:p>
        </w:tc>
        <w:tc>
          <w:tcPr>
            <w:tcW w:w="1418" w:type="dxa"/>
            <w:tcBorders>
              <w:top w:val="single" w:sz="8" w:space="0" w:color="0077BD"/>
              <w:left w:val="nil"/>
              <w:bottom w:val="single" w:sz="8" w:space="0" w:color="0077BD"/>
              <w:right w:val="nil"/>
            </w:tcBorders>
            <w:shd w:val="clear" w:color="auto" w:fill="auto"/>
            <w:noWrap/>
            <w:vAlign w:val="center"/>
            <w:hideMark/>
          </w:tcPr>
          <w:p w14:paraId="7DA49892" w14:textId="77777777" w:rsidR="00160B05" w:rsidRPr="00C74EF9" w:rsidRDefault="00160B05" w:rsidP="00160B05">
            <w:pPr>
              <w:jc w:val="right"/>
              <w:rPr>
                <w:rFonts w:cs="Calibri"/>
                <w:b/>
                <w:bCs/>
                <w:color w:val="000000" w:themeColor="text1"/>
                <w:sz w:val="13"/>
                <w:szCs w:val="13"/>
              </w:rPr>
            </w:pPr>
            <w:r w:rsidRPr="00C74EF9">
              <w:rPr>
                <w:rFonts w:cs="Calibri"/>
                <w:b/>
                <w:bCs/>
                <w:color w:val="000000" w:themeColor="text1"/>
                <w:sz w:val="13"/>
                <w:szCs w:val="13"/>
              </w:rPr>
              <w:t>51 998 405</w:t>
            </w:r>
          </w:p>
        </w:tc>
      </w:tr>
      <w:tr w:rsidR="00160B05" w:rsidRPr="00C11F75" w14:paraId="13B10423" w14:textId="77777777" w:rsidTr="00E36A42">
        <w:trPr>
          <w:trHeight w:val="227"/>
        </w:trPr>
        <w:tc>
          <w:tcPr>
            <w:tcW w:w="0" w:type="auto"/>
            <w:gridSpan w:val="2"/>
            <w:tcBorders>
              <w:top w:val="nil"/>
              <w:left w:val="nil"/>
              <w:bottom w:val="single" w:sz="4" w:space="0" w:color="0077BD"/>
              <w:right w:val="single" w:sz="8" w:space="0" w:color="0077BD"/>
            </w:tcBorders>
            <w:shd w:val="clear" w:color="auto" w:fill="auto"/>
            <w:vAlign w:val="center"/>
            <w:hideMark/>
          </w:tcPr>
          <w:p w14:paraId="375328FF"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Metody IRB w przypadku gdy nie są stosowane oszacowania własne LGD ani współczynniki konwersji</w:t>
            </w:r>
          </w:p>
        </w:tc>
        <w:tc>
          <w:tcPr>
            <w:tcW w:w="1418" w:type="dxa"/>
            <w:tcBorders>
              <w:top w:val="nil"/>
              <w:left w:val="nil"/>
              <w:bottom w:val="single" w:sz="4" w:space="0" w:color="0077BD"/>
              <w:right w:val="single" w:sz="8" w:space="0" w:color="0077BD"/>
            </w:tcBorders>
            <w:shd w:val="clear" w:color="auto" w:fill="auto"/>
            <w:noWrap/>
            <w:vAlign w:val="center"/>
          </w:tcPr>
          <w:p w14:paraId="0C587D6E" w14:textId="17776035" w:rsidR="00160B05" w:rsidRPr="00C74EF9" w:rsidRDefault="00BA3E4F" w:rsidP="00160B05">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39D0A0AE"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w:t>
            </w:r>
          </w:p>
        </w:tc>
      </w:tr>
      <w:tr w:rsidR="00160B05" w:rsidRPr="00C11F75" w14:paraId="3B7C1467" w14:textId="77777777" w:rsidTr="00E36A42">
        <w:trPr>
          <w:trHeight w:val="227"/>
        </w:trPr>
        <w:tc>
          <w:tcPr>
            <w:tcW w:w="0" w:type="auto"/>
            <w:gridSpan w:val="2"/>
            <w:tcBorders>
              <w:top w:val="single" w:sz="4" w:space="0" w:color="0077BD"/>
              <w:left w:val="nil"/>
              <w:bottom w:val="single" w:sz="4" w:space="0" w:color="0077BD"/>
              <w:right w:val="single" w:sz="8" w:space="0" w:color="0077BD"/>
            </w:tcBorders>
            <w:shd w:val="clear" w:color="auto" w:fill="auto"/>
            <w:vAlign w:val="center"/>
            <w:hideMark/>
          </w:tcPr>
          <w:p w14:paraId="08F86CCA"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Metody IRB w przypadku gdy stosowane są oszacowania własne LGD lub współczynniki konwersji</w:t>
            </w:r>
          </w:p>
        </w:tc>
        <w:tc>
          <w:tcPr>
            <w:tcW w:w="1418" w:type="dxa"/>
            <w:tcBorders>
              <w:top w:val="nil"/>
              <w:left w:val="nil"/>
              <w:bottom w:val="single" w:sz="4" w:space="0" w:color="0077BD"/>
              <w:right w:val="single" w:sz="8" w:space="0" w:color="0077BD"/>
            </w:tcBorders>
            <w:shd w:val="clear" w:color="auto" w:fill="auto"/>
            <w:noWrap/>
            <w:vAlign w:val="center"/>
          </w:tcPr>
          <w:p w14:paraId="3D722C18" w14:textId="61BD93E3" w:rsidR="00160B05" w:rsidRPr="00C74EF9" w:rsidRDefault="00BA3E4F" w:rsidP="00ED274F">
            <w:pPr>
              <w:jc w:val="right"/>
              <w:rPr>
                <w:rFonts w:cs="Calibri"/>
                <w:color w:val="000000" w:themeColor="text1"/>
                <w:sz w:val="13"/>
                <w:szCs w:val="13"/>
              </w:rPr>
            </w:pPr>
            <w:r w:rsidRPr="00C74EF9">
              <w:rPr>
                <w:rFonts w:cs="Calibri"/>
                <w:color w:val="000000" w:themeColor="text1"/>
                <w:sz w:val="13"/>
                <w:szCs w:val="13"/>
              </w:rPr>
              <w:t>52 016 33</w:t>
            </w:r>
            <w:r w:rsidR="00ED274F" w:rsidRPr="00C74EF9">
              <w:rPr>
                <w:rFonts w:cs="Calibri"/>
                <w:color w:val="000000" w:themeColor="text1"/>
                <w:sz w:val="13"/>
                <w:szCs w:val="13"/>
              </w:rPr>
              <w:t>2</w:t>
            </w:r>
          </w:p>
        </w:tc>
        <w:tc>
          <w:tcPr>
            <w:tcW w:w="1418" w:type="dxa"/>
            <w:tcBorders>
              <w:top w:val="nil"/>
              <w:left w:val="nil"/>
              <w:bottom w:val="single" w:sz="4" w:space="0" w:color="0077BD"/>
              <w:right w:val="nil"/>
            </w:tcBorders>
            <w:shd w:val="clear" w:color="auto" w:fill="auto"/>
            <w:noWrap/>
            <w:vAlign w:val="center"/>
            <w:hideMark/>
          </w:tcPr>
          <w:p w14:paraId="60125CB9"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47 469 726</w:t>
            </w:r>
          </w:p>
        </w:tc>
      </w:tr>
      <w:tr w:rsidR="00BA3E4F" w:rsidRPr="00C11F75" w14:paraId="7E745F72"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22277C2D"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5FD38C22"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rządów centralnych i banków centralnych</w:t>
            </w:r>
          </w:p>
        </w:tc>
        <w:tc>
          <w:tcPr>
            <w:tcW w:w="1418" w:type="dxa"/>
            <w:tcBorders>
              <w:top w:val="single" w:sz="4" w:space="0" w:color="0077BD"/>
              <w:left w:val="single" w:sz="8" w:space="0" w:color="0077BD"/>
              <w:bottom w:val="single" w:sz="4" w:space="0" w:color="0077BD"/>
              <w:right w:val="single" w:sz="8" w:space="0" w:color="0077BD"/>
            </w:tcBorders>
            <w:shd w:val="clear" w:color="auto" w:fill="auto"/>
            <w:noWrap/>
            <w:vAlign w:val="center"/>
          </w:tcPr>
          <w:p w14:paraId="51B3E09F" w14:textId="53321B0D"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7CBD1FA8"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26CE9495"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17E9C83"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0147306D"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instytucji</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319691E" w14:textId="4444A813"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741 377</w:t>
            </w:r>
          </w:p>
        </w:tc>
        <w:tc>
          <w:tcPr>
            <w:tcW w:w="1418" w:type="dxa"/>
            <w:tcBorders>
              <w:top w:val="nil"/>
              <w:left w:val="nil"/>
              <w:bottom w:val="single" w:sz="4" w:space="0" w:color="0077BD"/>
              <w:right w:val="nil"/>
            </w:tcBorders>
            <w:shd w:val="clear" w:color="auto" w:fill="auto"/>
            <w:noWrap/>
            <w:vAlign w:val="center"/>
            <w:hideMark/>
          </w:tcPr>
          <w:p w14:paraId="20E25B20"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1 229 148</w:t>
            </w:r>
          </w:p>
        </w:tc>
      </w:tr>
      <w:tr w:rsidR="00BA3E4F" w:rsidRPr="00C11F75" w14:paraId="6A070189"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E26F1EE"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171C18D5"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przedsiębiorstw – MŚP</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2BF16B9D" w14:textId="18F0BF64"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6 704 405</w:t>
            </w:r>
          </w:p>
        </w:tc>
        <w:tc>
          <w:tcPr>
            <w:tcW w:w="1418" w:type="dxa"/>
            <w:tcBorders>
              <w:top w:val="nil"/>
              <w:left w:val="nil"/>
              <w:bottom w:val="single" w:sz="4" w:space="0" w:color="0077BD"/>
              <w:right w:val="nil"/>
            </w:tcBorders>
            <w:shd w:val="clear" w:color="auto" w:fill="auto"/>
            <w:noWrap/>
            <w:vAlign w:val="center"/>
            <w:hideMark/>
          </w:tcPr>
          <w:p w14:paraId="67BA1D68"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5 980 637</w:t>
            </w:r>
          </w:p>
        </w:tc>
      </w:tr>
      <w:tr w:rsidR="00BA3E4F" w:rsidRPr="00C11F75" w14:paraId="26FFFE12"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29D2CE0C"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17375DB5"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przedsiębiorstw – kredytowanie specjalistyczne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21296D6" w14:textId="66EB14AD"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6 799 726</w:t>
            </w:r>
          </w:p>
        </w:tc>
        <w:tc>
          <w:tcPr>
            <w:tcW w:w="1418" w:type="dxa"/>
            <w:tcBorders>
              <w:top w:val="nil"/>
              <w:left w:val="nil"/>
              <w:bottom w:val="single" w:sz="4" w:space="0" w:color="0077BD"/>
              <w:right w:val="nil"/>
            </w:tcBorders>
            <w:shd w:val="clear" w:color="auto" w:fill="auto"/>
            <w:noWrap/>
            <w:vAlign w:val="center"/>
            <w:hideMark/>
          </w:tcPr>
          <w:p w14:paraId="5E315E6A"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6 029 173</w:t>
            </w:r>
          </w:p>
        </w:tc>
      </w:tr>
      <w:tr w:rsidR="00BA3E4F" w:rsidRPr="00C11F75" w14:paraId="77C490C8"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5C2D227"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5E05054C"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wobec przedsiębiorstw – inne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1A91A5E" w14:textId="63851746"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18 152 484</w:t>
            </w:r>
          </w:p>
        </w:tc>
        <w:tc>
          <w:tcPr>
            <w:tcW w:w="1418" w:type="dxa"/>
            <w:tcBorders>
              <w:top w:val="nil"/>
              <w:left w:val="nil"/>
              <w:bottom w:val="single" w:sz="4" w:space="0" w:color="0077BD"/>
              <w:right w:val="nil"/>
            </w:tcBorders>
            <w:shd w:val="clear" w:color="auto" w:fill="auto"/>
            <w:noWrap/>
            <w:vAlign w:val="center"/>
            <w:hideMark/>
          </w:tcPr>
          <w:p w14:paraId="4F652EE3"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16 652 554</w:t>
            </w:r>
          </w:p>
        </w:tc>
      </w:tr>
      <w:tr w:rsidR="00BA3E4F" w:rsidRPr="00C11F75" w14:paraId="61A6B7E2"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AF3378D"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6FA6EF77"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detaliczne – wobec MŚP zabezpieczone nieruchomością</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723DA0DD" w14:textId="03DABDE3"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1 002 315</w:t>
            </w:r>
          </w:p>
        </w:tc>
        <w:tc>
          <w:tcPr>
            <w:tcW w:w="1418" w:type="dxa"/>
            <w:tcBorders>
              <w:top w:val="nil"/>
              <w:left w:val="nil"/>
              <w:bottom w:val="single" w:sz="4" w:space="0" w:color="0077BD"/>
              <w:right w:val="nil"/>
            </w:tcBorders>
            <w:shd w:val="clear" w:color="auto" w:fill="auto"/>
            <w:noWrap/>
            <w:vAlign w:val="center"/>
            <w:hideMark/>
          </w:tcPr>
          <w:p w14:paraId="41512935"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901 557</w:t>
            </w:r>
          </w:p>
        </w:tc>
      </w:tr>
      <w:tr w:rsidR="00BA3E4F" w:rsidRPr="00C11F75" w14:paraId="5FD9C97E"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53E94CF1"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38398C59"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detaliczne – wobec przedsiębiorstw niebędących MŚP zabezpieczone nieruchomością</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12CA0129" w14:textId="79B35EB1"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5 295 297</w:t>
            </w:r>
          </w:p>
        </w:tc>
        <w:tc>
          <w:tcPr>
            <w:tcW w:w="1418" w:type="dxa"/>
            <w:tcBorders>
              <w:top w:val="nil"/>
              <w:left w:val="nil"/>
              <w:bottom w:val="single" w:sz="4" w:space="0" w:color="0077BD"/>
              <w:right w:val="nil"/>
            </w:tcBorders>
            <w:shd w:val="clear" w:color="auto" w:fill="auto"/>
            <w:noWrap/>
            <w:vAlign w:val="center"/>
            <w:hideMark/>
          </w:tcPr>
          <w:p w14:paraId="6A9B38AA"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5 436 764</w:t>
            </w:r>
          </w:p>
        </w:tc>
      </w:tr>
      <w:tr w:rsidR="00BA3E4F" w:rsidRPr="00C11F75" w14:paraId="46447552"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113CAA7"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2F524761"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Kwalifikowane odnawialne ekspozycje detaliczne</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02891E7F" w14:textId="7144931A"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6163A1D6"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w:t>
            </w:r>
          </w:p>
        </w:tc>
      </w:tr>
      <w:tr w:rsidR="00BA3E4F" w:rsidRPr="00C11F75" w14:paraId="188EE753"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4B55AED1"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31207493"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detaliczne – inne ekspozycje wobec MŚP</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4524ED6A" w14:textId="6ECC2E60"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4 257 821</w:t>
            </w:r>
          </w:p>
        </w:tc>
        <w:tc>
          <w:tcPr>
            <w:tcW w:w="1418" w:type="dxa"/>
            <w:tcBorders>
              <w:top w:val="nil"/>
              <w:left w:val="nil"/>
              <w:bottom w:val="single" w:sz="4" w:space="0" w:color="0077BD"/>
              <w:right w:val="nil"/>
            </w:tcBorders>
            <w:shd w:val="clear" w:color="auto" w:fill="auto"/>
            <w:noWrap/>
            <w:vAlign w:val="center"/>
            <w:hideMark/>
          </w:tcPr>
          <w:p w14:paraId="34B4D652"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3 785 492</w:t>
            </w:r>
          </w:p>
        </w:tc>
      </w:tr>
      <w:tr w:rsidR="00BA3E4F" w:rsidRPr="00C11F75" w14:paraId="421EF005" w14:textId="77777777" w:rsidTr="00ED04A4">
        <w:trPr>
          <w:trHeight w:val="227"/>
        </w:trPr>
        <w:tc>
          <w:tcPr>
            <w:tcW w:w="0" w:type="auto"/>
            <w:tcBorders>
              <w:top w:val="nil"/>
              <w:left w:val="nil"/>
              <w:bottom w:val="single" w:sz="4" w:space="0" w:color="0077BD"/>
              <w:right w:val="nil"/>
            </w:tcBorders>
            <w:shd w:val="clear" w:color="auto" w:fill="auto"/>
            <w:noWrap/>
            <w:vAlign w:val="center"/>
            <w:hideMark/>
          </w:tcPr>
          <w:p w14:paraId="3D4D2555" w14:textId="77777777" w:rsidR="00BA3E4F" w:rsidRPr="00C74EF9" w:rsidRDefault="00BA3E4F" w:rsidP="00BA3E4F">
            <w:pPr>
              <w:jc w:val="center"/>
              <w:rPr>
                <w:rFonts w:cs="Calibri"/>
                <w:color w:val="000000" w:themeColor="text1"/>
                <w:sz w:val="13"/>
                <w:szCs w:val="13"/>
              </w:rPr>
            </w:pPr>
            <w:r w:rsidRPr="00C74EF9">
              <w:rPr>
                <w:rFonts w:cs="Calibri"/>
                <w:color w:val="000000" w:themeColor="text1"/>
                <w:sz w:val="13"/>
                <w:szCs w:val="13"/>
              </w:rPr>
              <w:t> </w:t>
            </w:r>
          </w:p>
        </w:tc>
        <w:tc>
          <w:tcPr>
            <w:tcW w:w="0" w:type="auto"/>
            <w:tcBorders>
              <w:top w:val="nil"/>
              <w:left w:val="nil"/>
              <w:bottom w:val="single" w:sz="4" w:space="0" w:color="0077BD"/>
              <w:right w:val="single" w:sz="8" w:space="0" w:color="0077BD"/>
            </w:tcBorders>
            <w:shd w:val="clear" w:color="auto" w:fill="auto"/>
            <w:vAlign w:val="center"/>
            <w:hideMark/>
          </w:tcPr>
          <w:p w14:paraId="539E00F9" w14:textId="77777777" w:rsidR="00BA3E4F" w:rsidRPr="00C74EF9" w:rsidRDefault="00BA3E4F" w:rsidP="00BA3E4F">
            <w:pPr>
              <w:rPr>
                <w:rFonts w:cs="Calibri"/>
                <w:color w:val="000000" w:themeColor="text1"/>
                <w:sz w:val="13"/>
                <w:szCs w:val="13"/>
              </w:rPr>
            </w:pPr>
            <w:r w:rsidRPr="00C74EF9">
              <w:rPr>
                <w:rFonts w:cs="Calibri"/>
                <w:color w:val="000000" w:themeColor="text1"/>
                <w:sz w:val="13"/>
                <w:szCs w:val="13"/>
              </w:rPr>
              <w:t>Ekspozycje detaliczne – inne ekspozycje wobec przedsiębiorstw niebędących MŚP</w:t>
            </w:r>
          </w:p>
        </w:tc>
        <w:tc>
          <w:tcPr>
            <w:tcW w:w="1418" w:type="dxa"/>
            <w:tcBorders>
              <w:top w:val="nil"/>
              <w:left w:val="single" w:sz="8" w:space="0" w:color="0077BD"/>
              <w:bottom w:val="single" w:sz="4" w:space="0" w:color="0077BD"/>
              <w:right w:val="single" w:sz="8" w:space="0" w:color="0077BD"/>
            </w:tcBorders>
            <w:shd w:val="clear" w:color="auto" w:fill="auto"/>
            <w:noWrap/>
            <w:vAlign w:val="center"/>
          </w:tcPr>
          <w:p w14:paraId="6F983B27" w14:textId="76CBD960" w:rsidR="00BA3E4F" w:rsidRPr="00C74EF9" w:rsidRDefault="00BA3E4F" w:rsidP="00ED274F">
            <w:pPr>
              <w:jc w:val="right"/>
              <w:rPr>
                <w:rFonts w:cs="Calibri"/>
                <w:color w:val="000000" w:themeColor="text1"/>
                <w:sz w:val="13"/>
                <w:szCs w:val="13"/>
              </w:rPr>
            </w:pPr>
            <w:r w:rsidRPr="00C74EF9">
              <w:rPr>
                <w:rFonts w:cs="Calibri"/>
                <w:color w:val="000000" w:themeColor="text1"/>
                <w:sz w:val="13"/>
                <w:szCs w:val="13"/>
              </w:rPr>
              <w:t>9 062 90</w:t>
            </w:r>
            <w:r w:rsidR="00ED274F" w:rsidRPr="00C74EF9">
              <w:rPr>
                <w:rFonts w:cs="Calibri"/>
                <w:color w:val="000000" w:themeColor="text1"/>
                <w:sz w:val="13"/>
                <w:szCs w:val="13"/>
              </w:rPr>
              <w:t>7</w:t>
            </w:r>
          </w:p>
        </w:tc>
        <w:tc>
          <w:tcPr>
            <w:tcW w:w="1418" w:type="dxa"/>
            <w:tcBorders>
              <w:top w:val="nil"/>
              <w:left w:val="nil"/>
              <w:bottom w:val="single" w:sz="4" w:space="0" w:color="0077BD"/>
              <w:right w:val="nil"/>
            </w:tcBorders>
            <w:shd w:val="clear" w:color="auto" w:fill="auto"/>
            <w:noWrap/>
            <w:vAlign w:val="center"/>
            <w:hideMark/>
          </w:tcPr>
          <w:p w14:paraId="3E223A2F" w14:textId="77777777" w:rsidR="00BA3E4F" w:rsidRPr="00C74EF9" w:rsidRDefault="00BA3E4F" w:rsidP="00BA3E4F">
            <w:pPr>
              <w:jc w:val="right"/>
              <w:rPr>
                <w:rFonts w:cs="Calibri"/>
                <w:color w:val="000000" w:themeColor="text1"/>
                <w:sz w:val="13"/>
                <w:szCs w:val="13"/>
              </w:rPr>
            </w:pPr>
            <w:r w:rsidRPr="00C74EF9">
              <w:rPr>
                <w:rFonts w:cs="Calibri"/>
                <w:color w:val="000000" w:themeColor="text1"/>
                <w:sz w:val="13"/>
                <w:szCs w:val="13"/>
              </w:rPr>
              <w:t>7 454 401</w:t>
            </w:r>
          </w:p>
        </w:tc>
      </w:tr>
      <w:tr w:rsidR="00160B05" w:rsidRPr="00C11F75" w14:paraId="7166A3C9" w14:textId="77777777" w:rsidTr="00E36A42">
        <w:trPr>
          <w:trHeight w:val="227"/>
        </w:trPr>
        <w:tc>
          <w:tcPr>
            <w:tcW w:w="0" w:type="auto"/>
            <w:gridSpan w:val="2"/>
            <w:tcBorders>
              <w:top w:val="single" w:sz="4" w:space="0" w:color="0077BD"/>
              <w:left w:val="nil"/>
              <w:bottom w:val="single" w:sz="4" w:space="0" w:color="0077BD"/>
              <w:right w:val="single" w:sz="8" w:space="0" w:color="0077BD"/>
            </w:tcBorders>
            <w:shd w:val="clear" w:color="auto" w:fill="auto"/>
            <w:vAlign w:val="center"/>
            <w:hideMark/>
          </w:tcPr>
          <w:p w14:paraId="37EACC94"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Ekspozycje kapitałowe według metody IRB</w:t>
            </w:r>
          </w:p>
        </w:tc>
        <w:tc>
          <w:tcPr>
            <w:tcW w:w="1418" w:type="dxa"/>
            <w:tcBorders>
              <w:top w:val="nil"/>
              <w:left w:val="nil"/>
              <w:bottom w:val="single" w:sz="4" w:space="0" w:color="0077BD"/>
              <w:right w:val="single" w:sz="8" w:space="0" w:color="0077BD"/>
            </w:tcBorders>
            <w:shd w:val="clear" w:color="auto" w:fill="auto"/>
            <w:noWrap/>
            <w:vAlign w:val="center"/>
          </w:tcPr>
          <w:p w14:paraId="45B71EA9" w14:textId="2BC27795" w:rsidR="00160B05" w:rsidRPr="00C74EF9" w:rsidRDefault="00BA3E4F" w:rsidP="00160B05">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1D200B85"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w:t>
            </w:r>
          </w:p>
        </w:tc>
      </w:tr>
      <w:tr w:rsidR="00160B05" w:rsidRPr="00C11F75" w14:paraId="6C5DBBF8" w14:textId="77777777" w:rsidTr="00E36A42">
        <w:trPr>
          <w:trHeight w:val="227"/>
        </w:trPr>
        <w:tc>
          <w:tcPr>
            <w:tcW w:w="0" w:type="auto"/>
            <w:gridSpan w:val="2"/>
            <w:tcBorders>
              <w:top w:val="single" w:sz="4" w:space="0" w:color="0077BD"/>
              <w:left w:val="nil"/>
              <w:bottom w:val="single" w:sz="4" w:space="0" w:color="0077BD"/>
              <w:right w:val="single" w:sz="8" w:space="0" w:color="0077BD"/>
            </w:tcBorders>
            <w:shd w:val="clear" w:color="auto" w:fill="auto"/>
            <w:vAlign w:val="center"/>
            <w:hideMark/>
          </w:tcPr>
          <w:p w14:paraId="09A65840"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Pozycje sekurytyzacyjne według metody IRB</w:t>
            </w:r>
          </w:p>
        </w:tc>
        <w:tc>
          <w:tcPr>
            <w:tcW w:w="1418" w:type="dxa"/>
            <w:tcBorders>
              <w:top w:val="nil"/>
              <w:left w:val="nil"/>
              <w:bottom w:val="single" w:sz="4" w:space="0" w:color="0077BD"/>
              <w:right w:val="single" w:sz="8" w:space="0" w:color="0077BD"/>
            </w:tcBorders>
            <w:shd w:val="clear" w:color="auto" w:fill="auto"/>
            <w:noWrap/>
            <w:vAlign w:val="center"/>
          </w:tcPr>
          <w:p w14:paraId="4D943709" w14:textId="015B3430" w:rsidR="00160B05" w:rsidRPr="00C74EF9" w:rsidRDefault="00BA3E4F" w:rsidP="00160B05">
            <w:pPr>
              <w:jc w:val="right"/>
              <w:rPr>
                <w:rFonts w:cs="Calibri"/>
                <w:color w:val="000000" w:themeColor="text1"/>
                <w:sz w:val="13"/>
                <w:szCs w:val="13"/>
              </w:rPr>
            </w:pPr>
            <w:r w:rsidRPr="00C74EF9">
              <w:rPr>
                <w:rFonts w:cs="Calibri"/>
                <w:color w:val="000000" w:themeColor="text1"/>
                <w:sz w:val="13"/>
                <w:szCs w:val="13"/>
              </w:rPr>
              <w:t>-</w:t>
            </w:r>
          </w:p>
        </w:tc>
        <w:tc>
          <w:tcPr>
            <w:tcW w:w="1418" w:type="dxa"/>
            <w:tcBorders>
              <w:top w:val="nil"/>
              <w:left w:val="nil"/>
              <w:bottom w:val="single" w:sz="4" w:space="0" w:color="0077BD"/>
              <w:right w:val="nil"/>
            </w:tcBorders>
            <w:shd w:val="clear" w:color="auto" w:fill="auto"/>
            <w:noWrap/>
            <w:vAlign w:val="center"/>
            <w:hideMark/>
          </w:tcPr>
          <w:p w14:paraId="4A103F6B"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w:t>
            </w:r>
          </w:p>
        </w:tc>
      </w:tr>
      <w:tr w:rsidR="00160B05" w:rsidRPr="00C11F75" w14:paraId="17819451" w14:textId="77777777" w:rsidTr="00E36A42">
        <w:trPr>
          <w:trHeight w:val="227"/>
        </w:trPr>
        <w:tc>
          <w:tcPr>
            <w:tcW w:w="0" w:type="auto"/>
            <w:gridSpan w:val="2"/>
            <w:tcBorders>
              <w:top w:val="single" w:sz="4" w:space="0" w:color="0077BD"/>
              <w:left w:val="nil"/>
              <w:bottom w:val="nil"/>
              <w:right w:val="single" w:sz="8" w:space="0" w:color="0077BD"/>
            </w:tcBorders>
            <w:shd w:val="clear" w:color="auto" w:fill="auto"/>
            <w:vAlign w:val="center"/>
            <w:hideMark/>
          </w:tcPr>
          <w:p w14:paraId="6300F999" w14:textId="77777777" w:rsidR="00160B05" w:rsidRPr="00C74EF9" w:rsidRDefault="00160B05" w:rsidP="00160B05">
            <w:pPr>
              <w:rPr>
                <w:rFonts w:cs="Calibri"/>
                <w:color w:val="000000" w:themeColor="text1"/>
                <w:sz w:val="13"/>
                <w:szCs w:val="13"/>
              </w:rPr>
            </w:pPr>
            <w:r w:rsidRPr="00C74EF9">
              <w:rPr>
                <w:rFonts w:cs="Calibri"/>
                <w:color w:val="000000" w:themeColor="text1"/>
                <w:sz w:val="13"/>
                <w:szCs w:val="13"/>
              </w:rPr>
              <w:t>Inne aktywa niegenerujące zobowiązania kredytowego</w:t>
            </w:r>
          </w:p>
        </w:tc>
        <w:tc>
          <w:tcPr>
            <w:tcW w:w="1418" w:type="dxa"/>
            <w:tcBorders>
              <w:top w:val="nil"/>
              <w:left w:val="nil"/>
              <w:bottom w:val="nil"/>
              <w:right w:val="single" w:sz="8" w:space="0" w:color="0077BD"/>
            </w:tcBorders>
            <w:shd w:val="clear" w:color="auto" w:fill="auto"/>
            <w:noWrap/>
            <w:vAlign w:val="center"/>
          </w:tcPr>
          <w:p w14:paraId="377460FD" w14:textId="7F686707" w:rsidR="00160B05" w:rsidRPr="00C74EF9" w:rsidRDefault="00BA3E4F" w:rsidP="00160B05">
            <w:pPr>
              <w:jc w:val="right"/>
              <w:rPr>
                <w:rFonts w:cs="Calibri"/>
                <w:color w:val="000000" w:themeColor="text1"/>
                <w:sz w:val="13"/>
                <w:szCs w:val="13"/>
              </w:rPr>
            </w:pPr>
            <w:r w:rsidRPr="00C74EF9">
              <w:rPr>
                <w:rFonts w:cs="Calibri"/>
                <w:color w:val="000000" w:themeColor="text1"/>
                <w:sz w:val="13"/>
                <w:szCs w:val="13"/>
              </w:rPr>
              <w:t>2 852 064</w:t>
            </w:r>
          </w:p>
        </w:tc>
        <w:tc>
          <w:tcPr>
            <w:tcW w:w="1418" w:type="dxa"/>
            <w:tcBorders>
              <w:top w:val="nil"/>
              <w:left w:val="nil"/>
              <w:bottom w:val="nil"/>
              <w:right w:val="nil"/>
            </w:tcBorders>
            <w:shd w:val="clear" w:color="auto" w:fill="auto"/>
            <w:noWrap/>
            <w:vAlign w:val="center"/>
            <w:hideMark/>
          </w:tcPr>
          <w:p w14:paraId="06B98DCD" w14:textId="77777777" w:rsidR="00160B05" w:rsidRPr="00C74EF9" w:rsidRDefault="00160B05" w:rsidP="00160B05">
            <w:pPr>
              <w:jc w:val="right"/>
              <w:rPr>
                <w:rFonts w:cs="Calibri"/>
                <w:color w:val="000000" w:themeColor="text1"/>
                <w:sz w:val="13"/>
                <w:szCs w:val="13"/>
              </w:rPr>
            </w:pPr>
            <w:r w:rsidRPr="00C74EF9">
              <w:rPr>
                <w:rFonts w:cs="Calibri"/>
                <w:color w:val="000000" w:themeColor="text1"/>
                <w:sz w:val="13"/>
                <w:szCs w:val="13"/>
              </w:rPr>
              <w:t>4 528 679</w:t>
            </w:r>
          </w:p>
        </w:tc>
      </w:tr>
      <w:tr w:rsidR="00160B05" w:rsidRPr="00C11F75" w14:paraId="1AEEFA2C" w14:textId="77777777" w:rsidTr="00E36A42">
        <w:trPr>
          <w:trHeight w:val="397"/>
        </w:trPr>
        <w:tc>
          <w:tcPr>
            <w:tcW w:w="0" w:type="auto"/>
            <w:gridSpan w:val="2"/>
            <w:tcBorders>
              <w:top w:val="single" w:sz="8" w:space="0" w:color="0077BD"/>
              <w:left w:val="nil"/>
              <w:bottom w:val="single" w:sz="8" w:space="0" w:color="0077BD"/>
              <w:right w:val="single" w:sz="8" w:space="0" w:color="0077BD"/>
            </w:tcBorders>
            <w:shd w:val="clear" w:color="auto" w:fill="auto"/>
            <w:vAlign w:val="center"/>
            <w:hideMark/>
          </w:tcPr>
          <w:p w14:paraId="6123ACA8" w14:textId="77777777" w:rsidR="00160B05" w:rsidRPr="00C74EF9" w:rsidRDefault="00160B05" w:rsidP="00160B05">
            <w:pPr>
              <w:rPr>
                <w:rFonts w:cs="Calibri"/>
                <w:b/>
                <w:bCs/>
                <w:color w:val="000000" w:themeColor="text1"/>
                <w:sz w:val="13"/>
                <w:szCs w:val="13"/>
              </w:rPr>
            </w:pPr>
            <w:r w:rsidRPr="00C74EF9">
              <w:rPr>
                <w:rFonts w:cs="Calibri"/>
                <w:b/>
                <w:bCs/>
                <w:color w:val="000000" w:themeColor="text1"/>
                <w:sz w:val="13"/>
                <w:szCs w:val="13"/>
              </w:rPr>
              <w:t>Kwota ekspozycji na ryzyko z tytułu wkładu do funduszu kontrahenta centralnego na wypadek niewykonania zobowiązania</w:t>
            </w:r>
          </w:p>
        </w:tc>
        <w:tc>
          <w:tcPr>
            <w:tcW w:w="1418" w:type="dxa"/>
            <w:tcBorders>
              <w:top w:val="single" w:sz="8" w:space="0" w:color="0077BD"/>
              <w:left w:val="nil"/>
              <w:bottom w:val="single" w:sz="8" w:space="0" w:color="0077BD"/>
              <w:right w:val="single" w:sz="8" w:space="0" w:color="0077BD"/>
            </w:tcBorders>
            <w:shd w:val="clear" w:color="auto" w:fill="auto"/>
            <w:noWrap/>
            <w:vAlign w:val="center"/>
          </w:tcPr>
          <w:p w14:paraId="30A3A2F1" w14:textId="078EA08B" w:rsidR="00160B05" w:rsidRPr="00C74EF9" w:rsidRDefault="00BA3E4F" w:rsidP="00160B05">
            <w:pPr>
              <w:jc w:val="right"/>
              <w:rPr>
                <w:rFonts w:cs="Calibri"/>
                <w:b/>
                <w:bCs/>
                <w:color w:val="000000" w:themeColor="text1"/>
                <w:sz w:val="13"/>
                <w:szCs w:val="13"/>
              </w:rPr>
            </w:pPr>
            <w:r w:rsidRPr="00C74EF9">
              <w:rPr>
                <w:rFonts w:cs="Calibri"/>
                <w:b/>
                <w:bCs/>
                <w:color w:val="000000" w:themeColor="text1"/>
                <w:sz w:val="13"/>
                <w:szCs w:val="13"/>
              </w:rPr>
              <w:t>2 474</w:t>
            </w:r>
          </w:p>
        </w:tc>
        <w:tc>
          <w:tcPr>
            <w:tcW w:w="1418" w:type="dxa"/>
            <w:tcBorders>
              <w:top w:val="single" w:sz="8" w:space="0" w:color="0077BD"/>
              <w:left w:val="nil"/>
              <w:bottom w:val="single" w:sz="8" w:space="0" w:color="0077BD"/>
              <w:right w:val="nil"/>
            </w:tcBorders>
            <w:shd w:val="clear" w:color="auto" w:fill="auto"/>
            <w:noWrap/>
            <w:vAlign w:val="center"/>
            <w:hideMark/>
          </w:tcPr>
          <w:p w14:paraId="10AEBF56" w14:textId="77777777" w:rsidR="00160B05" w:rsidRPr="00C74EF9" w:rsidRDefault="00160B05" w:rsidP="00160B05">
            <w:pPr>
              <w:jc w:val="right"/>
              <w:rPr>
                <w:rFonts w:cs="Calibri"/>
                <w:b/>
                <w:bCs/>
                <w:color w:val="000000" w:themeColor="text1"/>
                <w:sz w:val="13"/>
                <w:szCs w:val="13"/>
              </w:rPr>
            </w:pPr>
            <w:r w:rsidRPr="00C74EF9">
              <w:rPr>
                <w:rFonts w:cs="Calibri"/>
                <w:b/>
                <w:bCs/>
                <w:color w:val="000000" w:themeColor="text1"/>
                <w:sz w:val="13"/>
                <w:szCs w:val="13"/>
              </w:rPr>
              <w:t>1 597</w:t>
            </w:r>
          </w:p>
        </w:tc>
      </w:tr>
    </w:tbl>
    <w:p w14:paraId="4FC59112" w14:textId="77777777" w:rsidR="00160B05" w:rsidRPr="00C11F75" w:rsidRDefault="00160B05" w:rsidP="00D054EC">
      <w:pPr>
        <w:pStyle w:val="Tekstpodstawowy"/>
        <w:spacing w:after="0"/>
        <w:jc w:val="both"/>
        <w:rPr>
          <w:rFonts w:cs="Tahoma"/>
          <w:iCs/>
          <w:color w:val="000000" w:themeColor="text1"/>
          <w:sz w:val="18"/>
          <w:szCs w:val="18"/>
          <w:highlight w:val="yellow"/>
        </w:rPr>
      </w:pPr>
    </w:p>
    <w:p w14:paraId="56FB7398" w14:textId="0172EA12" w:rsidR="007C2EC4" w:rsidRPr="00EC3AF4" w:rsidRDefault="00D000B4" w:rsidP="00526DF1">
      <w:pPr>
        <w:pStyle w:val="Nagwek2"/>
        <w:numPr>
          <w:ilvl w:val="0"/>
          <w:numId w:val="44"/>
        </w:numPr>
        <w:suppressAutoHyphens/>
        <w:spacing w:before="0"/>
        <w:ind w:left="425" w:hanging="425"/>
        <w:jc w:val="both"/>
        <w:rPr>
          <w:rFonts w:cs="Tahoma"/>
          <w:bCs w:val="0"/>
          <w:iCs w:val="0"/>
          <w:color w:val="E41E0A"/>
          <w:sz w:val="18"/>
          <w:szCs w:val="18"/>
        </w:rPr>
      </w:pPr>
      <w:bookmarkStart w:id="170" w:name="_Toc32999877"/>
      <w:r>
        <w:rPr>
          <w:rFonts w:cs="Tahoma"/>
          <w:bCs w:val="0"/>
          <w:iCs w:val="0"/>
          <w:color w:val="E41E0A"/>
          <w:sz w:val="18"/>
          <w:szCs w:val="18"/>
        </w:rPr>
        <w:t>Pozostałe informacj</w:t>
      </w:r>
      <w:r w:rsidR="00EC3AF4">
        <w:rPr>
          <w:rFonts w:cs="Tahoma"/>
          <w:bCs w:val="0"/>
          <w:iCs w:val="0"/>
          <w:color w:val="E41E0A"/>
          <w:sz w:val="18"/>
          <w:szCs w:val="18"/>
        </w:rPr>
        <w:t>e</w:t>
      </w:r>
      <w:bookmarkEnd w:id="170"/>
    </w:p>
    <w:p w14:paraId="52936F2B" w14:textId="615EC597" w:rsidR="00EC3AF4" w:rsidRPr="00C11F75" w:rsidRDefault="00EC3AF4" w:rsidP="00526DF1">
      <w:pPr>
        <w:pStyle w:val="Tekstpodstawowy"/>
        <w:numPr>
          <w:ilvl w:val="0"/>
          <w:numId w:val="36"/>
        </w:numPr>
        <w:spacing w:before="60" w:after="0"/>
        <w:ind w:left="284" w:hanging="284"/>
        <w:jc w:val="both"/>
        <w:rPr>
          <w:color w:val="000000" w:themeColor="text1"/>
          <w:sz w:val="18"/>
          <w:szCs w:val="18"/>
        </w:rPr>
      </w:pPr>
      <w:r w:rsidRPr="00C11F75">
        <w:rPr>
          <w:color w:val="000000" w:themeColor="text1"/>
          <w:sz w:val="18"/>
          <w:szCs w:val="18"/>
        </w:rPr>
        <w:t>Komunikat Commerzbank AG w sprawie zatwierdzenia strategii obejmującej między innymi potencjalne zbycie akcji mBank</w:t>
      </w:r>
      <w:r w:rsidR="00DD7E7A">
        <w:rPr>
          <w:color w:val="000000" w:themeColor="text1"/>
          <w:sz w:val="18"/>
          <w:szCs w:val="18"/>
        </w:rPr>
        <w:t>u</w:t>
      </w:r>
      <w:r w:rsidRPr="00C11F75">
        <w:rPr>
          <w:color w:val="000000" w:themeColor="text1"/>
          <w:sz w:val="18"/>
          <w:szCs w:val="18"/>
        </w:rPr>
        <w:t xml:space="preserve"> S.A.</w:t>
      </w:r>
    </w:p>
    <w:p w14:paraId="7D1CB589" w14:textId="77777777" w:rsidR="00EC3AF4" w:rsidRPr="00C11F75" w:rsidRDefault="00EC3AF4" w:rsidP="00EC3AF4">
      <w:pPr>
        <w:pStyle w:val="Tekstpodstawowy"/>
        <w:spacing w:before="120" w:after="0"/>
        <w:jc w:val="both"/>
        <w:rPr>
          <w:color w:val="000000" w:themeColor="text1"/>
          <w:sz w:val="18"/>
          <w:szCs w:val="18"/>
        </w:rPr>
      </w:pPr>
      <w:r w:rsidRPr="00C11F75">
        <w:rPr>
          <w:color w:val="000000" w:themeColor="text1"/>
          <w:spacing w:val="0"/>
          <w:sz w:val="18"/>
          <w:szCs w:val="18"/>
        </w:rPr>
        <w:t>W dniu 26 września 2019 roku Commerzbank AG opublikował komunikat, zgodnie z którym nowa strategia biznesowa Commerzbanku została zatwierdzona przez Zarząd i Radę nadzorczą Commerzbanku. Strategia przewiduje między innymi zbycie posiadanego przez Commerzbank większościowego pakietu akcji mBanku. Potencjalne zbycie akcji Banku byłoby uzależnione od uzyskania wymaganych zgód regulacyjnych</w:t>
      </w:r>
      <w:r w:rsidRPr="00C11F75">
        <w:rPr>
          <w:color w:val="000000" w:themeColor="text1"/>
          <w:sz w:val="18"/>
          <w:szCs w:val="18"/>
        </w:rPr>
        <w:t>.</w:t>
      </w:r>
    </w:p>
    <w:p w14:paraId="5DD20526" w14:textId="77777777" w:rsidR="007C2EC4" w:rsidRPr="00C11F75" w:rsidRDefault="007C2EC4" w:rsidP="00561AC9">
      <w:pPr>
        <w:pStyle w:val="Tekstpodstawowy"/>
        <w:spacing w:after="0"/>
        <w:jc w:val="both"/>
        <w:rPr>
          <w:rFonts w:cs="Tahoma"/>
          <w:iCs/>
          <w:color w:val="000000" w:themeColor="text1"/>
          <w:sz w:val="18"/>
          <w:szCs w:val="18"/>
          <w:highlight w:val="yellow"/>
        </w:rPr>
      </w:pPr>
    </w:p>
    <w:p w14:paraId="5AD2C82B" w14:textId="77777777" w:rsidR="002E7D4C" w:rsidRPr="007C2EC4" w:rsidRDefault="002E7D4C" w:rsidP="00526DF1">
      <w:pPr>
        <w:pStyle w:val="Nagwek2"/>
        <w:numPr>
          <w:ilvl w:val="0"/>
          <w:numId w:val="44"/>
        </w:numPr>
        <w:suppressAutoHyphens/>
        <w:spacing w:before="0"/>
        <w:ind w:left="425" w:hanging="425"/>
        <w:jc w:val="both"/>
        <w:rPr>
          <w:rFonts w:cs="Tahoma"/>
          <w:bCs w:val="0"/>
          <w:iCs w:val="0"/>
          <w:color w:val="E41E0A"/>
          <w:sz w:val="18"/>
          <w:szCs w:val="18"/>
        </w:rPr>
      </w:pPr>
      <w:bookmarkStart w:id="171" w:name="_Toc32999878"/>
      <w:r w:rsidRPr="007C2EC4">
        <w:rPr>
          <w:rFonts w:cs="Tahoma"/>
          <w:bCs w:val="0"/>
          <w:iCs w:val="0"/>
          <w:color w:val="E41E0A"/>
          <w:sz w:val="18"/>
          <w:szCs w:val="18"/>
        </w:rPr>
        <w:t>Zdarzenia po dniu bilansowym</w:t>
      </w:r>
      <w:bookmarkEnd w:id="171"/>
    </w:p>
    <w:p w14:paraId="169FF1D8" w14:textId="53D0DCC4" w:rsidR="0016455E" w:rsidRPr="00C11F75" w:rsidRDefault="008E2C39" w:rsidP="00526DF1">
      <w:pPr>
        <w:numPr>
          <w:ilvl w:val="0"/>
          <w:numId w:val="53"/>
        </w:numPr>
        <w:autoSpaceDE w:val="0"/>
        <w:autoSpaceDN w:val="0"/>
        <w:adjustRightInd w:val="0"/>
        <w:spacing w:before="60" w:after="60"/>
        <w:ind w:left="425" w:hanging="425"/>
        <w:rPr>
          <w:rFonts w:eastAsia="Calibri" w:cs="Verdana"/>
          <w:color w:val="000000" w:themeColor="text1"/>
          <w:sz w:val="18"/>
          <w:szCs w:val="18"/>
          <w:lang w:eastAsia="en-US"/>
        </w:rPr>
      </w:pPr>
      <w:r w:rsidRPr="00C11F75">
        <w:rPr>
          <w:rFonts w:eastAsia="Calibri" w:cs="Verdana"/>
          <w:color w:val="000000" w:themeColor="text1"/>
          <w:sz w:val="18"/>
          <w:szCs w:val="18"/>
          <w:lang w:eastAsia="en-US"/>
        </w:rPr>
        <w:t>Podatkowa Grupa Kapitałowa</w:t>
      </w:r>
      <w:r w:rsidR="00C84649" w:rsidRPr="00C11F75">
        <w:rPr>
          <w:rFonts w:eastAsia="Calibri" w:cs="Verdana"/>
          <w:color w:val="000000" w:themeColor="text1"/>
          <w:sz w:val="18"/>
          <w:szCs w:val="18"/>
          <w:lang w:eastAsia="en-US"/>
        </w:rPr>
        <w:t xml:space="preserve"> mBank</w:t>
      </w:r>
    </w:p>
    <w:p w14:paraId="4C1CCA29" w14:textId="7576F606" w:rsidR="004A480D" w:rsidRPr="00C11F75" w:rsidRDefault="00C84649" w:rsidP="00C84649">
      <w:pPr>
        <w:jc w:val="both"/>
        <w:rPr>
          <w:color w:val="000000" w:themeColor="text1"/>
          <w:sz w:val="18"/>
          <w:szCs w:val="18"/>
        </w:rPr>
      </w:pPr>
      <w:r w:rsidRPr="00C11F75">
        <w:rPr>
          <w:color w:val="000000" w:themeColor="text1"/>
          <w:sz w:val="18"/>
          <w:szCs w:val="18"/>
        </w:rPr>
        <w:t>Począwszy od 1 stycznia 2020 roku mBank S.A. oraz spółki mBank Hipoteczny S.A., mFinanse S.A. i mLeasing Sp.</w:t>
      </w:r>
      <w:r w:rsidR="00D4635A">
        <w:rPr>
          <w:color w:val="000000" w:themeColor="text1"/>
          <w:sz w:val="18"/>
          <w:szCs w:val="18"/>
        </w:rPr>
        <w:t xml:space="preserve"> </w:t>
      </w:r>
      <w:r w:rsidRPr="00C11F75">
        <w:rPr>
          <w:color w:val="000000" w:themeColor="text1"/>
          <w:sz w:val="18"/>
          <w:szCs w:val="18"/>
        </w:rPr>
        <w:t>z.</w:t>
      </w:r>
      <w:r w:rsidR="00D4635A">
        <w:rPr>
          <w:color w:val="000000" w:themeColor="text1"/>
          <w:sz w:val="18"/>
          <w:szCs w:val="18"/>
        </w:rPr>
        <w:t xml:space="preserve"> </w:t>
      </w:r>
      <w:r w:rsidRPr="00C11F75">
        <w:rPr>
          <w:color w:val="000000" w:themeColor="text1"/>
          <w:sz w:val="18"/>
          <w:szCs w:val="18"/>
        </w:rPr>
        <w:t>o o utworzyły, na podstawie przepisów ustawy o podatku dochodowym o</w:t>
      </w:r>
      <w:r w:rsidR="00DD7E7A">
        <w:rPr>
          <w:color w:val="000000" w:themeColor="text1"/>
          <w:sz w:val="18"/>
          <w:szCs w:val="18"/>
        </w:rPr>
        <w:t>d osób prawnych</w:t>
      </w:r>
      <w:r w:rsidR="00632B6E">
        <w:rPr>
          <w:color w:val="000000" w:themeColor="text1"/>
          <w:sz w:val="18"/>
          <w:szCs w:val="18"/>
        </w:rPr>
        <w:t>,</w:t>
      </w:r>
      <w:r w:rsidR="00DD7E7A">
        <w:rPr>
          <w:color w:val="000000" w:themeColor="text1"/>
          <w:sz w:val="18"/>
          <w:szCs w:val="18"/>
        </w:rPr>
        <w:t xml:space="preserve"> </w:t>
      </w:r>
      <w:r w:rsidRPr="00C11F75">
        <w:rPr>
          <w:color w:val="000000" w:themeColor="text1"/>
          <w:sz w:val="18"/>
          <w:szCs w:val="18"/>
        </w:rPr>
        <w:t xml:space="preserve">Podatkową Grupę Kapitałową mBank („PGK”). Zgodnie z ustawą o </w:t>
      </w:r>
      <w:r w:rsidR="00D4635A">
        <w:rPr>
          <w:color w:val="000000" w:themeColor="text1"/>
          <w:sz w:val="18"/>
          <w:szCs w:val="18"/>
        </w:rPr>
        <w:t>podatku dochodowym od</w:t>
      </w:r>
      <w:r w:rsidR="00502887">
        <w:rPr>
          <w:color w:val="000000" w:themeColor="text1"/>
          <w:sz w:val="18"/>
          <w:szCs w:val="18"/>
        </w:rPr>
        <w:t> </w:t>
      </w:r>
      <w:r w:rsidR="00D4635A">
        <w:rPr>
          <w:color w:val="000000" w:themeColor="text1"/>
          <w:sz w:val="18"/>
          <w:szCs w:val="18"/>
        </w:rPr>
        <w:t>osób prawnych</w:t>
      </w:r>
      <w:r w:rsidRPr="00C11F75">
        <w:rPr>
          <w:color w:val="000000" w:themeColor="text1"/>
          <w:sz w:val="18"/>
          <w:szCs w:val="18"/>
        </w:rPr>
        <w:t xml:space="preserve"> mBank</w:t>
      </w:r>
      <w:r w:rsidR="00D4635A">
        <w:rPr>
          <w:color w:val="000000" w:themeColor="text1"/>
          <w:sz w:val="18"/>
          <w:szCs w:val="18"/>
        </w:rPr>
        <w:t>,</w:t>
      </w:r>
      <w:r w:rsidRPr="00C11F75">
        <w:rPr>
          <w:color w:val="000000" w:themeColor="text1"/>
          <w:sz w:val="18"/>
          <w:szCs w:val="18"/>
        </w:rPr>
        <w:t xml:space="preserve"> jako podmiot dominujący, reprezentuje PGK w zakresie przewidzianym przepisami prawa podatkowego. W ro</w:t>
      </w:r>
      <w:r w:rsidR="00D4635A">
        <w:rPr>
          <w:color w:val="000000" w:themeColor="text1"/>
          <w:sz w:val="18"/>
          <w:szCs w:val="18"/>
        </w:rPr>
        <w:t>ku poprzedzającym powstanie PGK</w:t>
      </w:r>
      <w:r w:rsidRPr="00C11F75">
        <w:rPr>
          <w:color w:val="000000" w:themeColor="text1"/>
          <w:sz w:val="18"/>
          <w:szCs w:val="18"/>
        </w:rPr>
        <w:t xml:space="preserve"> w spółkach ją tworzących nie wystąpiły straty podatkowe. Umowa PGK została zawarta na 4 lata.</w:t>
      </w:r>
    </w:p>
    <w:p w14:paraId="34FE16FA" w14:textId="68C0C014" w:rsidR="00127D97" w:rsidRPr="00A37476" w:rsidRDefault="00127D97">
      <w:r w:rsidRPr="00A37476">
        <w:br w:type="page"/>
      </w:r>
    </w:p>
    <w:p w14:paraId="12C43F27" w14:textId="77777777" w:rsidR="00127D97" w:rsidRPr="00BE474B" w:rsidRDefault="00127D97" w:rsidP="00127D97">
      <w:pPr>
        <w:spacing w:before="120" w:after="120" w:line="276" w:lineRule="auto"/>
        <w:jc w:val="both"/>
        <w:rPr>
          <w:b/>
          <w:color w:val="000000"/>
          <w:sz w:val="18"/>
          <w:szCs w:val="18"/>
        </w:rPr>
      </w:pPr>
      <w:r>
        <w:rPr>
          <w:b/>
          <w:color w:val="000000"/>
          <w:sz w:val="18"/>
          <w:szCs w:val="18"/>
        </w:rPr>
        <w:lastRenderedPageBreak/>
        <w:t>Podpisy C</w:t>
      </w:r>
      <w:r w:rsidRPr="00BE474B">
        <w:rPr>
          <w:b/>
          <w:color w:val="000000"/>
          <w:sz w:val="18"/>
          <w:szCs w:val="18"/>
        </w:rPr>
        <w:t>złonków Zarządu mBanku S.A.</w:t>
      </w:r>
    </w:p>
    <w:tbl>
      <w:tblPr>
        <w:tblW w:w="0" w:type="auto"/>
        <w:tblBorders>
          <w:top w:val="single" w:sz="12" w:space="0" w:color="FFFFFF"/>
          <w:left w:val="single" w:sz="12" w:space="0" w:color="FFFFFF"/>
          <w:bottom w:val="single" w:sz="12" w:space="0" w:color="FFFFFF"/>
          <w:right w:val="single" w:sz="12" w:space="0" w:color="FFFFFF"/>
          <w:insideH w:val="single" w:sz="8" w:space="0" w:color="808080"/>
          <w:insideV w:val="single" w:sz="8" w:space="0" w:color="808080"/>
        </w:tblBorders>
        <w:tblLook w:val="01E0" w:firstRow="1" w:lastRow="1" w:firstColumn="1" w:lastColumn="1" w:noHBand="0" w:noVBand="0"/>
      </w:tblPr>
      <w:tblGrid>
        <w:gridCol w:w="1263"/>
        <w:gridCol w:w="2531"/>
        <w:gridCol w:w="3544"/>
        <w:gridCol w:w="2213"/>
      </w:tblGrid>
      <w:tr w:rsidR="00BF3CBF" w:rsidRPr="001E38E4" w14:paraId="3C0AC9D4" w14:textId="77777777" w:rsidTr="00A31BDE">
        <w:trPr>
          <w:trHeight w:val="499"/>
        </w:trPr>
        <w:tc>
          <w:tcPr>
            <w:tcW w:w="1263" w:type="dxa"/>
            <w:tcBorders>
              <w:top w:val="single" w:sz="12" w:space="0" w:color="FFFFFF"/>
              <w:bottom w:val="single" w:sz="18" w:space="0" w:color="FFFFFF"/>
              <w:right w:val="single" w:sz="6" w:space="0" w:color="FFFFFF"/>
            </w:tcBorders>
            <w:shd w:val="clear" w:color="auto" w:fill="0077BD"/>
            <w:vAlign w:val="center"/>
          </w:tcPr>
          <w:p w14:paraId="0DB775D7" w14:textId="77777777" w:rsidR="00BF3CBF" w:rsidRPr="001E38E4" w:rsidRDefault="00BF3CBF" w:rsidP="007864E8">
            <w:pPr>
              <w:spacing w:before="120" w:after="120" w:line="276" w:lineRule="auto"/>
              <w:jc w:val="center"/>
              <w:rPr>
                <w:b/>
                <w:iCs/>
                <w:color w:val="FFFFFF"/>
                <w:szCs w:val="18"/>
              </w:rPr>
            </w:pPr>
            <w:r w:rsidRPr="001E38E4">
              <w:rPr>
                <w:b/>
                <w:iCs/>
                <w:color w:val="FFFFFF"/>
                <w:szCs w:val="18"/>
              </w:rPr>
              <w:t>Data</w:t>
            </w:r>
          </w:p>
        </w:tc>
        <w:tc>
          <w:tcPr>
            <w:tcW w:w="2531" w:type="dxa"/>
            <w:tcBorders>
              <w:top w:val="single" w:sz="12" w:space="0" w:color="FFFFFF"/>
              <w:left w:val="single" w:sz="6" w:space="0" w:color="FFFFFF"/>
              <w:bottom w:val="single" w:sz="18" w:space="0" w:color="FFFFFF"/>
              <w:right w:val="single" w:sz="6" w:space="0" w:color="FFFFFF"/>
            </w:tcBorders>
            <w:shd w:val="clear" w:color="auto" w:fill="0077BD"/>
            <w:vAlign w:val="center"/>
          </w:tcPr>
          <w:p w14:paraId="52307532" w14:textId="77777777" w:rsidR="00BF3CBF" w:rsidRPr="001E38E4" w:rsidRDefault="00BF3CBF" w:rsidP="007864E8">
            <w:pPr>
              <w:spacing w:before="120" w:after="120" w:line="276" w:lineRule="auto"/>
              <w:jc w:val="center"/>
              <w:rPr>
                <w:b/>
                <w:iCs/>
                <w:color w:val="FFFFFF"/>
                <w:szCs w:val="18"/>
              </w:rPr>
            </w:pPr>
            <w:r w:rsidRPr="001E38E4">
              <w:rPr>
                <w:b/>
                <w:iCs/>
                <w:color w:val="FFFFFF"/>
                <w:szCs w:val="18"/>
              </w:rPr>
              <w:t>Imię i nazwisko</w:t>
            </w:r>
          </w:p>
        </w:tc>
        <w:tc>
          <w:tcPr>
            <w:tcW w:w="3544" w:type="dxa"/>
            <w:tcBorders>
              <w:top w:val="single" w:sz="12" w:space="0" w:color="FFFFFF"/>
              <w:left w:val="single" w:sz="6" w:space="0" w:color="FFFFFF"/>
              <w:bottom w:val="single" w:sz="18" w:space="0" w:color="FFFFFF"/>
              <w:right w:val="single" w:sz="6" w:space="0" w:color="FFFFFF"/>
            </w:tcBorders>
            <w:shd w:val="clear" w:color="auto" w:fill="0077BD"/>
            <w:vAlign w:val="center"/>
          </w:tcPr>
          <w:p w14:paraId="280CF2EE" w14:textId="77777777" w:rsidR="00BF3CBF" w:rsidRPr="001E38E4" w:rsidRDefault="00BF3CBF" w:rsidP="007864E8">
            <w:pPr>
              <w:spacing w:before="120" w:after="120" w:line="276" w:lineRule="auto"/>
              <w:jc w:val="center"/>
              <w:rPr>
                <w:b/>
                <w:iCs/>
                <w:color w:val="FFFFFF"/>
                <w:szCs w:val="18"/>
              </w:rPr>
            </w:pPr>
            <w:r w:rsidRPr="001E38E4">
              <w:rPr>
                <w:b/>
                <w:iCs/>
                <w:color w:val="FFFFFF"/>
                <w:szCs w:val="18"/>
              </w:rPr>
              <w:t>Stanowisko</w:t>
            </w:r>
          </w:p>
        </w:tc>
        <w:tc>
          <w:tcPr>
            <w:tcW w:w="2213" w:type="dxa"/>
            <w:tcBorders>
              <w:top w:val="single" w:sz="12" w:space="0" w:color="FFFFFF"/>
              <w:left w:val="single" w:sz="6" w:space="0" w:color="FFFFFF"/>
              <w:bottom w:val="single" w:sz="18" w:space="0" w:color="FFFFFF"/>
            </w:tcBorders>
            <w:shd w:val="clear" w:color="auto" w:fill="0077BD"/>
            <w:vAlign w:val="center"/>
          </w:tcPr>
          <w:p w14:paraId="13D0604B" w14:textId="77777777" w:rsidR="00BF3CBF" w:rsidRPr="001E38E4" w:rsidRDefault="00BF3CBF" w:rsidP="007864E8">
            <w:pPr>
              <w:spacing w:before="120" w:after="120" w:line="276" w:lineRule="auto"/>
              <w:jc w:val="center"/>
              <w:rPr>
                <w:b/>
                <w:iCs/>
                <w:color w:val="FFFFFF"/>
                <w:szCs w:val="18"/>
              </w:rPr>
            </w:pPr>
            <w:r w:rsidRPr="001E38E4">
              <w:rPr>
                <w:b/>
                <w:iCs/>
                <w:color w:val="FFFFFF"/>
                <w:szCs w:val="18"/>
              </w:rPr>
              <w:t>Podpis</w:t>
            </w:r>
          </w:p>
        </w:tc>
      </w:tr>
      <w:tr w:rsidR="00A31BDE" w:rsidRPr="0024044F" w14:paraId="36A500F5" w14:textId="77777777" w:rsidTr="00A31BDE">
        <w:trPr>
          <w:trHeight w:val="964"/>
        </w:trPr>
        <w:tc>
          <w:tcPr>
            <w:tcW w:w="1263" w:type="dxa"/>
            <w:tcBorders>
              <w:top w:val="single" w:sz="18" w:space="0" w:color="FFFFFF"/>
              <w:left w:val="nil"/>
              <w:bottom w:val="single" w:sz="8" w:space="0" w:color="0077BD"/>
              <w:right w:val="single" w:sz="6" w:space="0" w:color="0077BD"/>
            </w:tcBorders>
            <w:vAlign w:val="center"/>
          </w:tcPr>
          <w:p w14:paraId="04EDA6C8" w14:textId="7660250C" w:rsidR="00BF3CBF" w:rsidRPr="0024044F" w:rsidRDefault="003E1CBF" w:rsidP="00A37476">
            <w:pPr>
              <w:spacing w:before="120"/>
              <w:jc w:val="both"/>
              <w:rPr>
                <w:sz w:val="18"/>
                <w:szCs w:val="18"/>
              </w:rPr>
            </w:pPr>
            <w:r>
              <w:rPr>
                <w:sz w:val="18"/>
                <w:szCs w:val="18"/>
              </w:rPr>
              <w:t>26</w:t>
            </w:r>
            <w:r w:rsidR="007C2EC4" w:rsidRPr="0024044F">
              <w:rPr>
                <w:sz w:val="18"/>
                <w:szCs w:val="18"/>
              </w:rPr>
              <w:t>.0</w:t>
            </w:r>
            <w:r w:rsidR="00A37476" w:rsidRPr="0024044F">
              <w:rPr>
                <w:sz w:val="18"/>
                <w:szCs w:val="18"/>
              </w:rPr>
              <w:t>2</w:t>
            </w:r>
            <w:r w:rsidR="00823E6B" w:rsidRPr="0024044F">
              <w:rPr>
                <w:sz w:val="18"/>
                <w:szCs w:val="18"/>
              </w:rPr>
              <w:t>.2020</w:t>
            </w:r>
          </w:p>
        </w:tc>
        <w:tc>
          <w:tcPr>
            <w:tcW w:w="2531" w:type="dxa"/>
            <w:tcBorders>
              <w:top w:val="single" w:sz="18" w:space="0" w:color="FFFFFF"/>
              <w:left w:val="single" w:sz="6" w:space="0" w:color="0077BD"/>
              <w:bottom w:val="single" w:sz="8" w:space="0" w:color="0077BD"/>
              <w:right w:val="single" w:sz="6" w:space="0" w:color="0077BD"/>
            </w:tcBorders>
            <w:vAlign w:val="center"/>
          </w:tcPr>
          <w:p w14:paraId="2C23F530" w14:textId="77777777" w:rsidR="00BF3CBF" w:rsidRPr="0024044F" w:rsidRDefault="00BF3CBF" w:rsidP="007864E8">
            <w:pPr>
              <w:spacing w:before="120"/>
              <w:jc w:val="both"/>
              <w:rPr>
                <w:sz w:val="18"/>
                <w:szCs w:val="18"/>
              </w:rPr>
            </w:pPr>
            <w:r w:rsidRPr="0024044F">
              <w:rPr>
                <w:sz w:val="18"/>
                <w:szCs w:val="18"/>
              </w:rPr>
              <w:t>Cezary Stypułkowski</w:t>
            </w:r>
          </w:p>
        </w:tc>
        <w:tc>
          <w:tcPr>
            <w:tcW w:w="3544" w:type="dxa"/>
            <w:tcBorders>
              <w:top w:val="single" w:sz="18" w:space="0" w:color="FFFFFF"/>
              <w:left w:val="single" w:sz="6" w:space="0" w:color="0077BD"/>
              <w:bottom w:val="single" w:sz="8" w:space="0" w:color="0077BD"/>
              <w:right w:val="single" w:sz="6" w:space="0" w:color="0077BD"/>
            </w:tcBorders>
            <w:vAlign w:val="center"/>
          </w:tcPr>
          <w:p w14:paraId="7A82048E" w14:textId="77777777" w:rsidR="00BF3CBF" w:rsidRPr="0024044F" w:rsidRDefault="00BF3CBF" w:rsidP="007864E8">
            <w:pPr>
              <w:spacing w:before="120"/>
              <w:jc w:val="both"/>
              <w:rPr>
                <w:sz w:val="18"/>
                <w:szCs w:val="18"/>
              </w:rPr>
            </w:pPr>
            <w:r w:rsidRPr="0024044F">
              <w:rPr>
                <w:sz w:val="18"/>
                <w:szCs w:val="18"/>
              </w:rPr>
              <w:t>Prezes Zarządu</w:t>
            </w:r>
          </w:p>
        </w:tc>
        <w:tc>
          <w:tcPr>
            <w:tcW w:w="2213" w:type="dxa"/>
            <w:tcBorders>
              <w:top w:val="single" w:sz="18" w:space="0" w:color="FFFFFF"/>
              <w:left w:val="single" w:sz="6" w:space="0" w:color="0077BD"/>
              <w:bottom w:val="single" w:sz="8" w:space="0" w:color="0077BD"/>
              <w:right w:val="nil"/>
            </w:tcBorders>
            <w:vAlign w:val="center"/>
          </w:tcPr>
          <w:p w14:paraId="68F5BEC9" w14:textId="5A066C3D" w:rsidR="00BF3CBF" w:rsidRPr="0024044F" w:rsidRDefault="00CD5E2E" w:rsidP="007864E8">
            <w:pPr>
              <w:spacing w:before="120"/>
              <w:jc w:val="both"/>
              <w:rPr>
                <w:i/>
                <w:sz w:val="18"/>
                <w:szCs w:val="18"/>
              </w:rPr>
            </w:pPr>
            <w:r w:rsidRPr="0024044F">
              <w:rPr>
                <w:i/>
                <w:sz w:val="18"/>
                <w:szCs w:val="18"/>
              </w:rPr>
              <w:t>(podpisano elektronicznie)</w:t>
            </w:r>
          </w:p>
        </w:tc>
      </w:tr>
      <w:tr w:rsidR="00A31BDE" w:rsidRPr="0024044F" w14:paraId="0E4331F3"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73228BF8" w14:textId="43231315" w:rsidR="00BF3CBF" w:rsidRPr="0024044F" w:rsidRDefault="003E1CBF" w:rsidP="007864E8">
            <w:pPr>
              <w:spacing w:before="120"/>
              <w:jc w:val="both"/>
              <w:rPr>
                <w:sz w:val="18"/>
                <w:szCs w:val="18"/>
              </w:rPr>
            </w:pPr>
            <w:r>
              <w:rPr>
                <w:sz w:val="18"/>
                <w:szCs w:val="18"/>
              </w:rPr>
              <w:t>26</w:t>
            </w:r>
            <w:r w:rsidR="00A37476" w:rsidRPr="0024044F">
              <w:rPr>
                <w:sz w:val="18"/>
                <w:szCs w:val="18"/>
              </w:rPr>
              <w:t>.02</w:t>
            </w:r>
            <w:r w:rsidR="00823E6B" w:rsidRPr="0024044F">
              <w:rPr>
                <w:sz w:val="18"/>
                <w:szCs w:val="18"/>
              </w:rPr>
              <w:t>.2020</w:t>
            </w:r>
          </w:p>
        </w:tc>
        <w:tc>
          <w:tcPr>
            <w:tcW w:w="2531" w:type="dxa"/>
            <w:tcBorders>
              <w:top w:val="single" w:sz="8" w:space="0" w:color="0077BD"/>
              <w:left w:val="single" w:sz="6" w:space="0" w:color="0077BD"/>
              <w:bottom w:val="single" w:sz="8" w:space="0" w:color="0077BD"/>
              <w:right w:val="single" w:sz="6" w:space="0" w:color="0077BD"/>
            </w:tcBorders>
            <w:vAlign w:val="center"/>
          </w:tcPr>
          <w:p w14:paraId="0F60A88D" w14:textId="77777777" w:rsidR="00BF3CBF" w:rsidRPr="0024044F" w:rsidRDefault="00BF3CBF" w:rsidP="007864E8">
            <w:pPr>
              <w:spacing w:before="120"/>
              <w:jc w:val="both"/>
              <w:rPr>
                <w:sz w:val="18"/>
                <w:szCs w:val="18"/>
              </w:rPr>
            </w:pPr>
            <w:r w:rsidRPr="0024044F">
              <w:rPr>
                <w:sz w:val="18"/>
                <w:szCs w:val="18"/>
              </w:rPr>
              <w:t>Lidia Jabłonowska-Luba</w:t>
            </w:r>
          </w:p>
        </w:tc>
        <w:tc>
          <w:tcPr>
            <w:tcW w:w="3544" w:type="dxa"/>
            <w:tcBorders>
              <w:top w:val="single" w:sz="8" w:space="0" w:color="0077BD"/>
              <w:left w:val="single" w:sz="6" w:space="0" w:color="0077BD"/>
              <w:bottom w:val="single" w:sz="8" w:space="0" w:color="0077BD"/>
              <w:right w:val="single" w:sz="6" w:space="0" w:color="0077BD"/>
            </w:tcBorders>
            <w:vAlign w:val="center"/>
          </w:tcPr>
          <w:p w14:paraId="0A2EDBA7" w14:textId="77777777" w:rsidR="00BF3CBF" w:rsidRPr="0024044F" w:rsidRDefault="00BF3CBF" w:rsidP="007864E8">
            <w:pPr>
              <w:spacing w:before="120"/>
              <w:jc w:val="both"/>
              <w:rPr>
                <w:sz w:val="18"/>
                <w:szCs w:val="18"/>
              </w:rPr>
            </w:pPr>
            <w:r w:rsidRPr="0024044F">
              <w:rPr>
                <w:sz w:val="18"/>
                <w:szCs w:val="18"/>
              </w:rPr>
              <w:t>Wiceprezes Zarządu ds. Zarządzania Ryzykiem</w:t>
            </w:r>
          </w:p>
        </w:tc>
        <w:tc>
          <w:tcPr>
            <w:tcW w:w="2213" w:type="dxa"/>
            <w:tcBorders>
              <w:top w:val="single" w:sz="8" w:space="0" w:color="0077BD"/>
              <w:left w:val="single" w:sz="6" w:space="0" w:color="0077BD"/>
              <w:bottom w:val="single" w:sz="8" w:space="0" w:color="0077BD"/>
              <w:right w:val="nil"/>
            </w:tcBorders>
            <w:vAlign w:val="center"/>
          </w:tcPr>
          <w:p w14:paraId="42AD5283" w14:textId="371A5CF3" w:rsidR="00BF3CBF" w:rsidRPr="0024044F" w:rsidRDefault="00CD5E2E" w:rsidP="007864E8">
            <w:pPr>
              <w:spacing w:before="120"/>
              <w:jc w:val="both"/>
              <w:rPr>
                <w:b/>
                <w:sz w:val="18"/>
                <w:szCs w:val="18"/>
                <w:u w:val="single"/>
              </w:rPr>
            </w:pPr>
            <w:r w:rsidRPr="0024044F">
              <w:rPr>
                <w:i/>
                <w:sz w:val="18"/>
                <w:szCs w:val="18"/>
              </w:rPr>
              <w:t>(podpisano elektronicznie)</w:t>
            </w:r>
          </w:p>
        </w:tc>
      </w:tr>
      <w:tr w:rsidR="0024044F" w:rsidRPr="0024044F" w14:paraId="0F88102B"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42E00042" w14:textId="3438DA28" w:rsidR="00BF3CBF" w:rsidRPr="0024044F" w:rsidRDefault="003E1CBF" w:rsidP="00823E6B">
            <w:pPr>
              <w:spacing w:before="120"/>
              <w:jc w:val="both"/>
              <w:rPr>
                <w:sz w:val="18"/>
                <w:szCs w:val="18"/>
              </w:rPr>
            </w:pPr>
            <w:r>
              <w:rPr>
                <w:sz w:val="18"/>
                <w:szCs w:val="18"/>
              </w:rPr>
              <w:t>26</w:t>
            </w:r>
            <w:r w:rsidR="007C2EC4" w:rsidRPr="0024044F">
              <w:rPr>
                <w:sz w:val="18"/>
                <w:szCs w:val="18"/>
              </w:rPr>
              <w:t>.0</w:t>
            </w:r>
            <w:r w:rsidR="00A37476" w:rsidRPr="0024044F">
              <w:rPr>
                <w:sz w:val="18"/>
                <w:szCs w:val="18"/>
              </w:rPr>
              <w:t>2</w:t>
            </w:r>
            <w:r w:rsidR="007C2EC4" w:rsidRPr="0024044F">
              <w:rPr>
                <w:sz w:val="18"/>
                <w:szCs w:val="18"/>
              </w:rPr>
              <w:t>.20</w:t>
            </w:r>
            <w:r w:rsidR="00823E6B" w:rsidRPr="0024044F">
              <w:rPr>
                <w:sz w:val="18"/>
                <w:szCs w:val="18"/>
              </w:rPr>
              <w:t>20</w:t>
            </w:r>
          </w:p>
        </w:tc>
        <w:tc>
          <w:tcPr>
            <w:tcW w:w="2531" w:type="dxa"/>
            <w:tcBorders>
              <w:top w:val="single" w:sz="8" w:space="0" w:color="0077BD"/>
              <w:left w:val="single" w:sz="6" w:space="0" w:color="0077BD"/>
              <w:bottom w:val="single" w:sz="8" w:space="0" w:color="0077BD"/>
              <w:right w:val="single" w:sz="6" w:space="0" w:color="0077BD"/>
            </w:tcBorders>
            <w:vAlign w:val="center"/>
          </w:tcPr>
          <w:p w14:paraId="2676BAAC" w14:textId="77777777" w:rsidR="00BF3CBF" w:rsidRPr="0024044F" w:rsidRDefault="00BF3CBF" w:rsidP="007864E8">
            <w:pPr>
              <w:spacing w:before="120"/>
              <w:jc w:val="both"/>
              <w:rPr>
                <w:sz w:val="18"/>
                <w:szCs w:val="18"/>
              </w:rPr>
            </w:pPr>
            <w:r w:rsidRPr="0024044F">
              <w:rPr>
                <w:sz w:val="18"/>
                <w:szCs w:val="18"/>
              </w:rPr>
              <w:t>Frank Bock</w:t>
            </w:r>
          </w:p>
        </w:tc>
        <w:tc>
          <w:tcPr>
            <w:tcW w:w="3544" w:type="dxa"/>
            <w:tcBorders>
              <w:top w:val="single" w:sz="8" w:space="0" w:color="0077BD"/>
              <w:left w:val="single" w:sz="6" w:space="0" w:color="0077BD"/>
              <w:bottom w:val="single" w:sz="8" w:space="0" w:color="0077BD"/>
              <w:right w:val="single" w:sz="6" w:space="0" w:color="0077BD"/>
            </w:tcBorders>
            <w:vAlign w:val="center"/>
          </w:tcPr>
          <w:p w14:paraId="33E41208" w14:textId="77777777" w:rsidR="00BF3CBF" w:rsidRPr="0024044F" w:rsidRDefault="00BF3CBF" w:rsidP="007864E8">
            <w:pPr>
              <w:spacing w:before="120"/>
              <w:jc w:val="both"/>
              <w:rPr>
                <w:sz w:val="18"/>
                <w:szCs w:val="18"/>
              </w:rPr>
            </w:pPr>
            <w:r w:rsidRPr="0024044F">
              <w:rPr>
                <w:sz w:val="18"/>
                <w:szCs w:val="18"/>
              </w:rPr>
              <w:t>Wiceprezes Zarządu ds. Rynków Finansowych</w:t>
            </w:r>
          </w:p>
        </w:tc>
        <w:tc>
          <w:tcPr>
            <w:tcW w:w="2213" w:type="dxa"/>
            <w:tcBorders>
              <w:top w:val="single" w:sz="8" w:space="0" w:color="0077BD"/>
              <w:left w:val="single" w:sz="6" w:space="0" w:color="0077BD"/>
              <w:bottom w:val="single" w:sz="8" w:space="0" w:color="0077BD"/>
              <w:right w:val="nil"/>
            </w:tcBorders>
            <w:vAlign w:val="center"/>
          </w:tcPr>
          <w:p w14:paraId="4F948390" w14:textId="096C9931" w:rsidR="00BF3CBF" w:rsidRPr="0024044F" w:rsidRDefault="00CD5E2E" w:rsidP="007864E8">
            <w:pPr>
              <w:spacing w:before="120"/>
              <w:jc w:val="both"/>
              <w:rPr>
                <w:b/>
                <w:sz w:val="18"/>
                <w:szCs w:val="18"/>
                <w:u w:val="single"/>
              </w:rPr>
            </w:pPr>
            <w:r w:rsidRPr="0024044F">
              <w:rPr>
                <w:i/>
                <w:sz w:val="18"/>
                <w:szCs w:val="18"/>
              </w:rPr>
              <w:t>(podpisano elektronicznie)</w:t>
            </w:r>
          </w:p>
        </w:tc>
      </w:tr>
      <w:tr w:rsidR="00A31BDE" w:rsidRPr="0024044F" w14:paraId="1C4BC95C"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71E107D4" w14:textId="34D8AD8F" w:rsidR="00BF3CBF" w:rsidRPr="0024044F" w:rsidRDefault="003E1CBF" w:rsidP="00A37476">
            <w:pPr>
              <w:spacing w:before="120"/>
              <w:jc w:val="both"/>
              <w:rPr>
                <w:sz w:val="18"/>
                <w:szCs w:val="18"/>
              </w:rPr>
            </w:pPr>
            <w:r>
              <w:rPr>
                <w:sz w:val="18"/>
                <w:szCs w:val="18"/>
              </w:rPr>
              <w:t>26</w:t>
            </w:r>
            <w:r w:rsidR="00823E6B" w:rsidRPr="0024044F">
              <w:rPr>
                <w:sz w:val="18"/>
                <w:szCs w:val="18"/>
              </w:rPr>
              <w:t>.0</w:t>
            </w:r>
            <w:r w:rsidR="00A37476" w:rsidRPr="0024044F">
              <w:rPr>
                <w:sz w:val="18"/>
                <w:szCs w:val="18"/>
              </w:rPr>
              <w:t>2</w:t>
            </w:r>
            <w:r w:rsidR="00823E6B" w:rsidRPr="0024044F">
              <w:rPr>
                <w:sz w:val="18"/>
                <w:szCs w:val="18"/>
              </w:rPr>
              <w:t>.2020</w:t>
            </w:r>
          </w:p>
        </w:tc>
        <w:tc>
          <w:tcPr>
            <w:tcW w:w="2531" w:type="dxa"/>
            <w:tcBorders>
              <w:top w:val="single" w:sz="8" w:space="0" w:color="0077BD"/>
              <w:left w:val="single" w:sz="6" w:space="0" w:color="0077BD"/>
              <w:bottom w:val="single" w:sz="8" w:space="0" w:color="0077BD"/>
              <w:right w:val="single" w:sz="6" w:space="0" w:color="0077BD"/>
            </w:tcBorders>
            <w:vAlign w:val="center"/>
          </w:tcPr>
          <w:p w14:paraId="60F6316C" w14:textId="77777777" w:rsidR="00BF3CBF" w:rsidRPr="0024044F" w:rsidRDefault="00BF3CBF" w:rsidP="007864E8">
            <w:pPr>
              <w:spacing w:before="120"/>
              <w:jc w:val="both"/>
              <w:rPr>
                <w:sz w:val="18"/>
                <w:szCs w:val="18"/>
              </w:rPr>
            </w:pPr>
            <w:r w:rsidRPr="0024044F">
              <w:rPr>
                <w:sz w:val="18"/>
                <w:szCs w:val="18"/>
              </w:rPr>
              <w:t>Andreas Böger</w:t>
            </w:r>
          </w:p>
        </w:tc>
        <w:tc>
          <w:tcPr>
            <w:tcW w:w="3544" w:type="dxa"/>
            <w:tcBorders>
              <w:top w:val="single" w:sz="8" w:space="0" w:color="0077BD"/>
              <w:left w:val="single" w:sz="6" w:space="0" w:color="0077BD"/>
              <w:bottom w:val="single" w:sz="8" w:space="0" w:color="0077BD"/>
              <w:right w:val="single" w:sz="6" w:space="0" w:color="0077BD"/>
            </w:tcBorders>
            <w:vAlign w:val="center"/>
          </w:tcPr>
          <w:p w14:paraId="5FD2DB2B" w14:textId="77777777" w:rsidR="00BF3CBF" w:rsidRPr="0024044F" w:rsidRDefault="00BF3CBF" w:rsidP="007864E8">
            <w:pPr>
              <w:spacing w:before="120"/>
              <w:jc w:val="both"/>
              <w:rPr>
                <w:sz w:val="18"/>
                <w:szCs w:val="18"/>
              </w:rPr>
            </w:pPr>
            <w:r w:rsidRPr="0024044F">
              <w:rPr>
                <w:sz w:val="18"/>
                <w:szCs w:val="18"/>
              </w:rPr>
              <w:t>Wiceprezes Zarządu ds. Finansów</w:t>
            </w:r>
          </w:p>
        </w:tc>
        <w:tc>
          <w:tcPr>
            <w:tcW w:w="2213" w:type="dxa"/>
            <w:tcBorders>
              <w:top w:val="single" w:sz="8" w:space="0" w:color="0077BD"/>
              <w:left w:val="single" w:sz="6" w:space="0" w:color="0077BD"/>
              <w:bottom w:val="single" w:sz="8" w:space="0" w:color="0077BD"/>
              <w:right w:val="nil"/>
            </w:tcBorders>
            <w:vAlign w:val="center"/>
          </w:tcPr>
          <w:p w14:paraId="372EDFC8" w14:textId="263DA825" w:rsidR="00BF3CBF" w:rsidRPr="0024044F" w:rsidRDefault="00CD5E2E" w:rsidP="007864E8">
            <w:pPr>
              <w:spacing w:before="120"/>
              <w:jc w:val="both"/>
              <w:rPr>
                <w:b/>
                <w:sz w:val="18"/>
                <w:szCs w:val="18"/>
                <w:u w:val="single"/>
              </w:rPr>
            </w:pPr>
            <w:r w:rsidRPr="0024044F">
              <w:rPr>
                <w:i/>
                <w:sz w:val="18"/>
                <w:szCs w:val="18"/>
              </w:rPr>
              <w:t>(podpisano elektronicznie)</w:t>
            </w:r>
          </w:p>
        </w:tc>
      </w:tr>
      <w:tr w:rsidR="0024044F" w:rsidRPr="0024044F" w14:paraId="4AF588CF"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22788FC3" w14:textId="27D0F9BD" w:rsidR="00BF3CBF" w:rsidRPr="0024044F" w:rsidRDefault="003E1CBF" w:rsidP="00823E6B">
            <w:pPr>
              <w:spacing w:before="120"/>
              <w:jc w:val="both"/>
              <w:rPr>
                <w:sz w:val="18"/>
                <w:szCs w:val="18"/>
              </w:rPr>
            </w:pPr>
            <w:r>
              <w:rPr>
                <w:sz w:val="18"/>
                <w:szCs w:val="18"/>
              </w:rPr>
              <w:t>26</w:t>
            </w:r>
            <w:r w:rsidR="007C2EC4" w:rsidRPr="0024044F">
              <w:rPr>
                <w:sz w:val="18"/>
                <w:szCs w:val="18"/>
              </w:rPr>
              <w:t>.0</w:t>
            </w:r>
            <w:r w:rsidR="00A37476" w:rsidRPr="0024044F">
              <w:rPr>
                <w:sz w:val="18"/>
                <w:szCs w:val="18"/>
              </w:rPr>
              <w:t>2</w:t>
            </w:r>
            <w:r w:rsidR="007C2EC4" w:rsidRPr="0024044F">
              <w:rPr>
                <w:sz w:val="18"/>
                <w:szCs w:val="18"/>
              </w:rPr>
              <w:t>.20</w:t>
            </w:r>
            <w:r w:rsidR="00823E6B" w:rsidRPr="0024044F">
              <w:rPr>
                <w:sz w:val="18"/>
                <w:szCs w:val="18"/>
              </w:rPr>
              <w:t>20</w:t>
            </w:r>
          </w:p>
        </w:tc>
        <w:tc>
          <w:tcPr>
            <w:tcW w:w="2531" w:type="dxa"/>
            <w:tcBorders>
              <w:top w:val="single" w:sz="8" w:space="0" w:color="0077BD"/>
              <w:left w:val="single" w:sz="6" w:space="0" w:color="0077BD"/>
              <w:bottom w:val="single" w:sz="8" w:space="0" w:color="0077BD"/>
              <w:right w:val="single" w:sz="6" w:space="0" w:color="0077BD"/>
            </w:tcBorders>
            <w:vAlign w:val="center"/>
          </w:tcPr>
          <w:p w14:paraId="062FEE4E" w14:textId="77777777" w:rsidR="00BF3CBF" w:rsidRPr="0024044F" w:rsidRDefault="00BF3CBF" w:rsidP="007864E8">
            <w:pPr>
              <w:spacing w:before="120"/>
              <w:jc w:val="both"/>
              <w:rPr>
                <w:sz w:val="18"/>
                <w:szCs w:val="18"/>
              </w:rPr>
            </w:pPr>
            <w:r w:rsidRPr="0024044F">
              <w:rPr>
                <w:sz w:val="18"/>
                <w:szCs w:val="18"/>
              </w:rPr>
              <w:t>Krzysztof Dąbrowski</w:t>
            </w:r>
          </w:p>
        </w:tc>
        <w:tc>
          <w:tcPr>
            <w:tcW w:w="3544" w:type="dxa"/>
            <w:tcBorders>
              <w:top w:val="single" w:sz="8" w:space="0" w:color="0077BD"/>
              <w:left w:val="single" w:sz="6" w:space="0" w:color="0077BD"/>
              <w:bottom w:val="single" w:sz="8" w:space="0" w:color="0077BD"/>
              <w:right w:val="single" w:sz="6" w:space="0" w:color="0077BD"/>
            </w:tcBorders>
            <w:vAlign w:val="center"/>
          </w:tcPr>
          <w:p w14:paraId="77D5DE3B" w14:textId="77777777" w:rsidR="00BF3CBF" w:rsidRPr="0024044F" w:rsidRDefault="00BF3CBF" w:rsidP="007864E8">
            <w:pPr>
              <w:spacing w:before="120"/>
              <w:jc w:val="both"/>
              <w:rPr>
                <w:sz w:val="18"/>
                <w:szCs w:val="18"/>
              </w:rPr>
            </w:pPr>
            <w:r w:rsidRPr="0024044F">
              <w:rPr>
                <w:sz w:val="18"/>
                <w:szCs w:val="18"/>
              </w:rPr>
              <w:t>Wiceprezes Zarządu ds. Operacji i Informatyki</w:t>
            </w:r>
          </w:p>
        </w:tc>
        <w:tc>
          <w:tcPr>
            <w:tcW w:w="2213" w:type="dxa"/>
            <w:tcBorders>
              <w:top w:val="single" w:sz="8" w:space="0" w:color="0077BD"/>
              <w:left w:val="single" w:sz="6" w:space="0" w:color="0077BD"/>
              <w:bottom w:val="single" w:sz="8" w:space="0" w:color="0077BD"/>
              <w:right w:val="nil"/>
            </w:tcBorders>
            <w:vAlign w:val="center"/>
          </w:tcPr>
          <w:p w14:paraId="62BB6A9A" w14:textId="266867E3" w:rsidR="00BF3CBF" w:rsidRPr="0024044F" w:rsidRDefault="00CD5E2E" w:rsidP="007864E8">
            <w:pPr>
              <w:spacing w:before="120"/>
              <w:jc w:val="both"/>
              <w:rPr>
                <w:b/>
                <w:sz w:val="18"/>
                <w:szCs w:val="18"/>
                <w:u w:val="single"/>
              </w:rPr>
            </w:pPr>
            <w:r w:rsidRPr="0024044F">
              <w:rPr>
                <w:i/>
                <w:sz w:val="18"/>
                <w:szCs w:val="18"/>
              </w:rPr>
              <w:t>(podpisano elektronicznie)</w:t>
            </w:r>
          </w:p>
        </w:tc>
      </w:tr>
      <w:tr w:rsidR="00A31BDE" w:rsidRPr="0024044F" w14:paraId="79B558D6"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488E587F" w14:textId="273F3F2A" w:rsidR="00BF3CBF" w:rsidRPr="0024044F" w:rsidRDefault="003E1CBF" w:rsidP="00A37476">
            <w:pPr>
              <w:spacing w:before="120"/>
              <w:jc w:val="both"/>
              <w:rPr>
                <w:sz w:val="18"/>
                <w:szCs w:val="18"/>
              </w:rPr>
            </w:pPr>
            <w:r>
              <w:rPr>
                <w:sz w:val="18"/>
                <w:szCs w:val="18"/>
              </w:rPr>
              <w:t>26</w:t>
            </w:r>
            <w:r w:rsidR="00823E6B" w:rsidRPr="0024044F">
              <w:rPr>
                <w:sz w:val="18"/>
                <w:szCs w:val="18"/>
              </w:rPr>
              <w:t>.0</w:t>
            </w:r>
            <w:r w:rsidR="00A37476" w:rsidRPr="0024044F">
              <w:rPr>
                <w:sz w:val="18"/>
                <w:szCs w:val="18"/>
              </w:rPr>
              <w:t>2</w:t>
            </w:r>
            <w:r w:rsidR="00823E6B" w:rsidRPr="0024044F">
              <w:rPr>
                <w:sz w:val="18"/>
                <w:szCs w:val="18"/>
              </w:rPr>
              <w:t>.2020</w:t>
            </w:r>
          </w:p>
        </w:tc>
        <w:tc>
          <w:tcPr>
            <w:tcW w:w="2531" w:type="dxa"/>
            <w:tcBorders>
              <w:top w:val="single" w:sz="8" w:space="0" w:color="0077BD"/>
              <w:left w:val="single" w:sz="6" w:space="0" w:color="0077BD"/>
              <w:bottom w:val="single" w:sz="8" w:space="0" w:color="0077BD"/>
              <w:right w:val="single" w:sz="6" w:space="0" w:color="0077BD"/>
            </w:tcBorders>
            <w:vAlign w:val="center"/>
          </w:tcPr>
          <w:p w14:paraId="17E5DE2D" w14:textId="77777777" w:rsidR="00BF3CBF" w:rsidRPr="0024044F" w:rsidRDefault="00BF3CBF" w:rsidP="007864E8">
            <w:pPr>
              <w:spacing w:before="120"/>
              <w:jc w:val="both"/>
              <w:rPr>
                <w:sz w:val="18"/>
                <w:szCs w:val="18"/>
              </w:rPr>
            </w:pPr>
            <w:r w:rsidRPr="0024044F">
              <w:rPr>
                <w:sz w:val="18"/>
                <w:szCs w:val="18"/>
              </w:rPr>
              <w:t>Cezary Kocik</w:t>
            </w:r>
          </w:p>
        </w:tc>
        <w:tc>
          <w:tcPr>
            <w:tcW w:w="3544" w:type="dxa"/>
            <w:tcBorders>
              <w:top w:val="single" w:sz="8" w:space="0" w:color="0077BD"/>
              <w:left w:val="single" w:sz="6" w:space="0" w:color="0077BD"/>
              <w:bottom w:val="single" w:sz="8" w:space="0" w:color="0077BD"/>
              <w:right w:val="single" w:sz="6" w:space="0" w:color="0077BD"/>
            </w:tcBorders>
            <w:vAlign w:val="center"/>
          </w:tcPr>
          <w:p w14:paraId="6889163F" w14:textId="77777777" w:rsidR="00BF3CBF" w:rsidRPr="0024044F" w:rsidRDefault="00BF3CBF" w:rsidP="007864E8">
            <w:pPr>
              <w:spacing w:before="120"/>
              <w:jc w:val="both"/>
              <w:rPr>
                <w:sz w:val="18"/>
                <w:szCs w:val="18"/>
              </w:rPr>
            </w:pPr>
            <w:r w:rsidRPr="0024044F">
              <w:rPr>
                <w:sz w:val="18"/>
                <w:szCs w:val="18"/>
              </w:rPr>
              <w:t>Wiceprezes Zarządu ds. Bankowości Detalicznej</w:t>
            </w:r>
          </w:p>
        </w:tc>
        <w:tc>
          <w:tcPr>
            <w:tcW w:w="2213" w:type="dxa"/>
            <w:tcBorders>
              <w:top w:val="single" w:sz="8" w:space="0" w:color="0077BD"/>
              <w:left w:val="single" w:sz="6" w:space="0" w:color="0077BD"/>
              <w:bottom w:val="single" w:sz="8" w:space="0" w:color="0077BD"/>
              <w:right w:val="nil"/>
            </w:tcBorders>
            <w:vAlign w:val="center"/>
          </w:tcPr>
          <w:p w14:paraId="6E276E0A" w14:textId="0E663E25" w:rsidR="00BF3CBF" w:rsidRPr="0024044F" w:rsidRDefault="00CD5E2E" w:rsidP="007864E8">
            <w:pPr>
              <w:spacing w:before="120"/>
              <w:jc w:val="both"/>
              <w:rPr>
                <w:b/>
                <w:sz w:val="18"/>
                <w:szCs w:val="18"/>
                <w:u w:val="single"/>
              </w:rPr>
            </w:pPr>
            <w:r w:rsidRPr="0024044F">
              <w:rPr>
                <w:i/>
                <w:sz w:val="18"/>
                <w:szCs w:val="18"/>
              </w:rPr>
              <w:t>(podpisano elektronicznie)</w:t>
            </w:r>
          </w:p>
        </w:tc>
      </w:tr>
      <w:tr w:rsidR="00A31BDE" w:rsidRPr="0024044F" w14:paraId="4B0C5F88" w14:textId="77777777" w:rsidTr="00A31BDE">
        <w:trPr>
          <w:trHeight w:val="964"/>
        </w:trPr>
        <w:tc>
          <w:tcPr>
            <w:tcW w:w="1263" w:type="dxa"/>
            <w:tcBorders>
              <w:top w:val="single" w:sz="8" w:space="0" w:color="0077BD"/>
              <w:left w:val="nil"/>
              <w:bottom w:val="single" w:sz="8" w:space="0" w:color="0077BD"/>
              <w:right w:val="single" w:sz="6" w:space="0" w:color="0077BD"/>
            </w:tcBorders>
            <w:vAlign w:val="center"/>
          </w:tcPr>
          <w:p w14:paraId="3D1DF677" w14:textId="2A511592" w:rsidR="00BF3CBF" w:rsidRPr="0024044F" w:rsidRDefault="003E1CBF" w:rsidP="00823E6B">
            <w:pPr>
              <w:spacing w:before="120"/>
              <w:jc w:val="both"/>
              <w:rPr>
                <w:sz w:val="18"/>
                <w:szCs w:val="18"/>
              </w:rPr>
            </w:pPr>
            <w:r>
              <w:rPr>
                <w:sz w:val="18"/>
                <w:szCs w:val="18"/>
              </w:rPr>
              <w:t>26</w:t>
            </w:r>
            <w:r w:rsidR="007C2EC4" w:rsidRPr="0024044F">
              <w:rPr>
                <w:sz w:val="18"/>
                <w:szCs w:val="18"/>
              </w:rPr>
              <w:t>.0</w:t>
            </w:r>
            <w:r w:rsidR="00A37476" w:rsidRPr="0024044F">
              <w:rPr>
                <w:sz w:val="18"/>
                <w:szCs w:val="18"/>
              </w:rPr>
              <w:t>2</w:t>
            </w:r>
            <w:r w:rsidR="007C2EC4" w:rsidRPr="0024044F">
              <w:rPr>
                <w:sz w:val="18"/>
                <w:szCs w:val="18"/>
              </w:rPr>
              <w:t>.20</w:t>
            </w:r>
            <w:r w:rsidR="00823E6B" w:rsidRPr="0024044F">
              <w:rPr>
                <w:sz w:val="18"/>
                <w:szCs w:val="18"/>
              </w:rPr>
              <w:t>20</w:t>
            </w:r>
          </w:p>
        </w:tc>
        <w:tc>
          <w:tcPr>
            <w:tcW w:w="2531" w:type="dxa"/>
            <w:tcBorders>
              <w:top w:val="single" w:sz="8" w:space="0" w:color="0077BD"/>
              <w:left w:val="single" w:sz="6" w:space="0" w:color="0077BD"/>
              <w:bottom w:val="single" w:sz="8" w:space="0" w:color="0077BD"/>
              <w:right w:val="single" w:sz="6" w:space="0" w:color="0077BD"/>
            </w:tcBorders>
            <w:vAlign w:val="center"/>
          </w:tcPr>
          <w:p w14:paraId="4184FC49" w14:textId="77777777" w:rsidR="00BF3CBF" w:rsidRPr="0024044F" w:rsidRDefault="00BF3CBF" w:rsidP="007864E8">
            <w:pPr>
              <w:spacing w:before="120"/>
              <w:jc w:val="both"/>
              <w:rPr>
                <w:sz w:val="18"/>
                <w:szCs w:val="18"/>
              </w:rPr>
            </w:pPr>
            <w:r w:rsidRPr="0024044F">
              <w:rPr>
                <w:sz w:val="18"/>
                <w:szCs w:val="18"/>
              </w:rPr>
              <w:t>Adam Pers</w:t>
            </w:r>
          </w:p>
        </w:tc>
        <w:tc>
          <w:tcPr>
            <w:tcW w:w="3544" w:type="dxa"/>
            <w:tcBorders>
              <w:top w:val="single" w:sz="8" w:space="0" w:color="0077BD"/>
              <w:left w:val="single" w:sz="6" w:space="0" w:color="0077BD"/>
              <w:bottom w:val="single" w:sz="8" w:space="0" w:color="0077BD"/>
              <w:right w:val="single" w:sz="6" w:space="0" w:color="0077BD"/>
            </w:tcBorders>
            <w:vAlign w:val="center"/>
          </w:tcPr>
          <w:p w14:paraId="25CF5A2F" w14:textId="77777777" w:rsidR="00BF3CBF" w:rsidRPr="0024044F" w:rsidRDefault="00BF3CBF" w:rsidP="007864E8">
            <w:pPr>
              <w:spacing w:before="120"/>
              <w:jc w:val="both"/>
              <w:rPr>
                <w:sz w:val="18"/>
                <w:szCs w:val="18"/>
              </w:rPr>
            </w:pPr>
            <w:r w:rsidRPr="0024044F">
              <w:rPr>
                <w:sz w:val="18"/>
                <w:szCs w:val="18"/>
              </w:rPr>
              <w:t>Wiceprezes Zarządu ds. Bankowości Korporacyjnej i Inwestycyjnej</w:t>
            </w:r>
          </w:p>
        </w:tc>
        <w:tc>
          <w:tcPr>
            <w:tcW w:w="2213" w:type="dxa"/>
            <w:tcBorders>
              <w:top w:val="single" w:sz="8" w:space="0" w:color="0077BD"/>
              <w:left w:val="single" w:sz="6" w:space="0" w:color="0077BD"/>
              <w:bottom w:val="single" w:sz="8" w:space="0" w:color="0077BD"/>
              <w:right w:val="nil"/>
            </w:tcBorders>
            <w:vAlign w:val="center"/>
          </w:tcPr>
          <w:p w14:paraId="1EC37280" w14:textId="036ABA48" w:rsidR="00BF3CBF" w:rsidRPr="0024044F" w:rsidRDefault="00CD5E2E" w:rsidP="007864E8">
            <w:pPr>
              <w:spacing w:before="120"/>
              <w:jc w:val="both"/>
              <w:rPr>
                <w:b/>
                <w:sz w:val="18"/>
                <w:szCs w:val="18"/>
                <w:u w:val="single"/>
              </w:rPr>
            </w:pPr>
            <w:r w:rsidRPr="0024044F">
              <w:rPr>
                <w:i/>
                <w:sz w:val="18"/>
                <w:szCs w:val="18"/>
              </w:rPr>
              <w:t>(podpisano elektronicznie)</w:t>
            </w:r>
          </w:p>
        </w:tc>
      </w:tr>
    </w:tbl>
    <w:p w14:paraId="34B9C5BD" w14:textId="77777777" w:rsidR="00127D97" w:rsidRPr="00827129" w:rsidRDefault="00127D97" w:rsidP="00827129"/>
    <w:sectPr w:rsidR="00127D97" w:rsidRPr="00827129" w:rsidSect="00B15105">
      <w:headerReference w:type="default" r:id="rId20"/>
      <w:footnotePr>
        <w:numFmt w:val="lowerLetter"/>
      </w:footnotePr>
      <w:pgSz w:w="11906" w:h="16838" w:code="9"/>
      <w:pgMar w:top="1559" w:right="1134" w:bottom="1134" w:left="1191" w:header="79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D772" w14:textId="77777777" w:rsidR="00A0087F" w:rsidRDefault="00A0087F">
      <w:r>
        <w:separator/>
      </w:r>
    </w:p>
  </w:endnote>
  <w:endnote w:type="continuationSeparator" w:id="0">
    <w:p w14:paraId="1357A22C" w14:textId="77777777" w:rsidR="00A0087F" w:rsidRDefault="00A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TE18FFF88t00">
    <w:altName w:val="Times New Roman"/>
    <w:panose1 w:val="020B0604020202020204"/>
    <w:charset w:val="00"/>
    <w:family w:val="auto"/>
    <w:notTrueType/>
    <w:pitch w:val="default"/>
    <w:sig w:usb0="00000003" w:usb1="00000000" w:usb2="00000000" w:usb3="00000000" w:csb0="00000001" w:csb1="00000000"/>
  </w:font>
  <w:font w:name="Sendnya">
    <w:panose1 w:val="020B0604020202020204"/>
    <w:charset w:val="01"/>
    <w:family w:val="roman"/>
    <w:notTrueType/>
    <w:pitch w:val="variable"/>
  </w:font>
  <w:font w:name="PKO Bank Polski">
    <w:altName w:val="Arial"/>
    <w:panose1 w:val="020B0604020202020204"/>
    <w:charset w:val="EE"/>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9E5F" w14:textId="77777777" w:rsidR="00CD4D76" w:rsidRDefault="00CD4D76" w:rsidP="00E150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7474826B" w14:textId="77777777" w:rsidR="00CD4D76" w:rsidRDefault="00CD4D76" w:rsidP="00E15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22C2" w14:textId="77777777" w:rsidR="00CD4D76" w:rsidRPr="00DB0888" w:rsidRDefault="00CD4D76">
    <w:pPr>
      <w:pStyle w:val="Stopka"/>
      <w:jc w:val="right"/>
      <w:rPr>
        <w:sz w:val="18"/>
        <w:szCs w:val="18"/>
      </w:rPr>
    </w:pPr>
    <w:r w:rsidRPr="00DB0888">
      <w:rPr>
        <w:sz w:val="18"/>
        <w:szCs w:val="18"/>
      </w:rPr>
      <w:fldChar w:fldCharType="begin"/>
    </w:r>
    <w:r w:rsidRPr="00DB0888">
      <w:rPr>
        <w:sz w:val="18"/>
        <w:szCs w:val="18"/>
      </w:rPr>
      <w:instrText xml:space="preserve"> PAGE   \* MERGEFORMAT </w:instrText>
    </w:r>
    <w:r w:rsidRPr="00DB0888">
      <w:rPr>
        <w:sz w:val="18"/>
        <w:szCs w:val="18"/>
      </w:rPr>
      <w:fldChar w:fldCharType="separate"/>
    </w:r>
    <w:r>
      <w:rPr>
        <w:noProof/>
        <w:sz w:val="18"/>
        <w:szCs w:val="18"/>
      </w:rPr>
      <w:t>2</w:t>
    </w:r>
    <w:r w:rsidRPr="00DB0888">
      <w:rPr>
        <w:sz w:val="18"/>
        <w:szCs w:val="18"/>
      </w:rPr>
      <w:fldChar w:fldCharType="end"/>
    </w:r>
  </w:p>
  <w:p w14:paraId="5EF039A7" w14:textId="77777777" w:rsidR="00CD4D76" w:rsidRDefault="00CD4D76" w:rsidP="008C3BDA">
    <w:pPr>
      <w:autoSpaceDE w:val="0"/>
      <w:autoSpaceDN w:val="0"/>
      <w:adjustRightInd w:val="0"/>
      <w:spacing w:line="120" w:lineRule="exact"/>
      <w:ind w:left="708"/>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AE40" w14:textId="77777777" w:rsidR="00CD4D76" w:rsidRDefault="00CD4D76" w:rsidP="00872D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F14CF07" w14:textId="77777777" w:rsidR="00CD4D76" w:rsidRDefault="00CD4D76" w:rsidP="00E1505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75161"/>
      <w:docPartObj>
        <w:docPartGallery w:val="Page Numbers (Bottom of Page)"/>
        <w:docPartUnique/>
      </w:docPartObj>
    </w:sdtPr>
    <w:sdtEndPr/>
    <w:sdtContent>
      <w:p w14:paraId="1F3009B0" w14:textId="450F2BE3" w:rsidR="00CD4D76" w:rsidRDefault="00CD4D76">
        <w:pPr>
          <w:pStyle w:val="Stopka"/>
          <w:jc w:val="right"/>
        </w:pPr>
        <w:r>
          <w:fldChar w:fldCharType="begin"/>
        </w:r>
        <w:r>
          <w:instrText>PAGE   \* MERGEFORMAT</w:instrText>
        </w:r>
        <w:r>
          <w:fldChar w:fldCharType="separate"/>
        </w:r>
        <w:r w:rsidR="003D0DB2">
          <w:rPr>
            <w:noProof/>
          </w:rPr>
          <w:t>157</w:t>
        </w:r>
        <w:r>
          <w:fldChar w:fldCharType="end"/>
        </w:r>
      </w:p>
    </w:sdtContent>
  </w:sdt>
  <w:p w14:paraId="6DF6731F" w14:textId="77777777" w:rsidR="00CD4D76" w:rsidRDefault="00CD4D7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034E" w14:textId="77777777" w:rsidR="00CD4D76" w:rsidRDefault="00CD4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DB75" w14:textId="77777777" w:rsidR="00A0087F" w:rsidRDefault="00A0087F">
      <w:r>
        <w:separator/>
      </w:r>
    </w:p>
  </w:footnote>
  <w:footnote w:type="continuationSeparator" w:id="0">
    <w:p w14:paraId="44EB9D03" w14:textId="77777777" w:rsidR="00A0087F" w:rsidRDefault="00A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64BD" w14:textId="77777777" w:rsidR="00CD4D76" w:rsidRDefault="00CD4D76" w:rsidP="003D36C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6709588F" w14:textId="77777777" w:rsidR="00CD4D76" w:rsidRDefault="00CD4D76" w:rsidP="003D36C4">
    <w:pPr>
      <w:pStyle w:val="Nagwek"/>
      <w:framePr w:wrap="around"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6C97651A" w14:textId="77777777" w:rsidR="00CD4D76" w:rsidRDefault="00CD4D76" w:rsidP="003D36C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C206" w14:textId="77777777" w:rsidR="00CD4D76" w:rsidRPr="00DD1F3A" w:rsidRDefault="00CD4D76" w:rsidP="00DB69D4">
    <w:pPr>
      <w:pStyle w:val="Nagwek"/>
      <w:tabs>
        <w:tab w:val="clear" w:pos="4536"/>
        <w:tab w:val="center" w:pos="4960"/>
      </w:tabs>
      <w:rPr>
        <w:lang w:val="en-GB"/>
      </w:rPr>
    </w:pPr>
    <w:r w:rsidRPr="00DD1F3A">
      <w:rPr>
        <w:b/>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A7F4" w14:textId="77777777" w:rsidR="00CD4D76" w:rsidRPr="00813D9B" w:rsidRDefault="00CD4D76">
    <w:pPr>
      <w:pStyle w:val="Nagwek"/>
      <w:rPr>
        <w:b/>
        <w:sz w:val="20"/>
      </w:rPr>
    </w:pPr>
    <w:r>
      <w:rPr>
        <w:b/>
        <w:noProof/>
        <w:sz w:val="20"/>
      </w:rPr>
      <w:drawing>
        <wp:inline distT="0" distB="0" distL="0" distR="0" wp14:anchorId="378ECE45" wp14:editId="7C8BFBE3">
          <wp:extent cx="1428750" cy="552450"/>
          <wp:effectExtent l="19050" t="0" r="0" b="0"/>
          <wp:docPr id="11" name="Obraz 11" descr="mbank-mass-logo-LABEL-fc-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nk-mass-logo-LABEL-fc-CS5"/>
                  <pic:cNvPicPr>
                    <a:picLocks noChangeAspect="1" noChangeArrowheads="1"/>
                  </pic:cNvPicPr>
                </pic:nvPicPr>
                <pic:blipFill>
                  <a:blip r:embed="rId1"/>
                  <a:srcRect/>
                  <a:stretch>
                    <a:fillRect/>
                  </a:stretch>
                </pic:blipFill>
                <pic:spPr bwMode="auto">
                  <a:xfrm>
                    <a:off x="0" y="0"/>
                    <a:ext cx="142875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2077" w14:textId="77777777" w:rsidR="00CD4D76" w:rsidRDefault="00CD4D76" w:rsidP="00451C6D">
    <w:pPr>
      <w:pStyle w:val="Nagwek"/>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5FC5EF4" w14:textId="77777777" w:rsidR="00CD4D76" w:rsidRDefault="00CD4D76" w:rsidP="00451C6D">
    <w:pPr>
      <w:pStyle w:val="Nagwek"/>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7DD39BDE" w14:textId="77777777" w:rsidR="00CD4D76" w:rsidRDefault="00CD4D76" w:rsidP="00451C6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ABFA" w14:textId="77777777" w:rsidR="00CD4D76" w:rsidRPr="00451C6D" w:rsidRDefault="00CD4D76" w:rsidP="00451C6D">
    <w:pPr>
      <w:pStyle w:val="Nagwek"/>
      <w:rPr>
        <w:b/>
        <w:color w:val="201C17"/>
      </w:rPr>
    </w:pPr>
    <w:r>
      <w:rPr>
        <w:b/>
        <w:color w:val="201C17"/>
      </w:rPr>
      <w:t xml:space="preserve">Grupa </w:t>
    </w:r>
    <w:r w:rsidRPr="00451C6D">
      <w:rPr>
        <w:b/>
        <w:color w:val="201C17"/>
      </w:rPr>
      <w:t>mBank</w:t>
    </w:r>
    <w:r>
      <w:rPr>
        <w:b/>
        <w:color w:val="201C17"/>
      </w:rPr>
      <w:t>u</w:t>
    </w:r>
    <w:r w:rsidRPr="00451C6D">
      <w:rPr>
        <w:b/>
        <w:color w:val="201C17"/>
      </w:rPr>
      <w:t xml:space="preserve"> S.A. </w:t>
    </w:r>
  </w:p>
  <w:p w14:paraId="62E58490" w14:textId="77777777" w:rsidR="00CD4D76" w:rsidRDefault="00CD4D76" w:rsidP="007A2309">
    <w:pPr>
      <w:pStyle w:val="Nagwek"/>
      <w:rPr>
        <w:color w:val="201C17"/>
      </w:rPr>
    </w:pPr>
    <w:r>
      <w:rPr>
        <w:color w:val="201C17"/>
      </w:rPr>
      <w:t xml:space="preserve">Skonsolidowane </w:t>
    </w:r>
    <w:r w:rsidRPr="00451C6D">
      <w:rPr>
        <w:color w:val="201C17"/>
      </w:rPr>
      <w:t>Sprawozdanie Finansowe według Międzynarodow</w:t>
    </w:r>
    <w:r>
      <w:rPr>
        <w:color w:val="201C17"/>
      </w:rPr>
      <w:t>ych Standardów</w:t>
    </w:r>
  </w:p>
  <w:p w14:paraId="1A1B7423" w14:textId="77585F8D" w:rsidR="00CD4D76" w:rsidRDefault="00CD4D76" w:rsidP="007A2309">
    <w:pPr>
      <w:pStyle w:val="Nagwek"/>
      <w:pBdr>
        <w:bottom w:val="single" w:sz="4" w:space="1" w:color="787B7C"/>
      </w:pBdr>
      <w:rPr>
        <w:color w:val="201C17"/>
      </w:rPr>
    </w:pPr>
    <w:r>
      <w:rPr>
        <w:color w:val="201C17"/>
      </w:rPr>
      <w:t>Sprawozdawczości Finansowej za 2019 rok</w:t>
    </w:r>
    <w:r>
      <w:rPr>
        <w:color w:val="201C17"/>
      </w:rPr>
      <w:tab/>
    </w:r>
    <w:r>
      <w:rPr>
        <w:color w:val="201C17"/>
      </w:rPr>
      <w:tab/>
    </w:r>
    <w:r w:rsidRPr="00451C6D">
      <w:rPr>
        <w:color w:val="201C17"/>
      </w:rPr>
      <w:t>(w tys. zł)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D66F" w14:textId="77777777" w:rsidR="00CD4D76" w:rsidRPr="00E679FA" w:rsidRDefault="00CD4D76" w:rsidP="00451C6D">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4C4E" w14:textId="77777777" w:rsidR="00CD4D76" w:rsidRPr="00451C6D" w:rsidRDefault="00CD4D76" w:rsidP="00451C6D">
    <w:pPr>
      <w:pStyle w:val="Nagwek"/>
      <w:rPr>
        <w:b/>
        <w:color w:val="201C17"/>
      </w:rPr>
    </w:pPr>
    <w:r>
      <w:rPr>
        <w:b/>
        <w:color w:val="201C17"/>
      </w:rPr>
      <w:t xml:space="preserve">Grupa </w:t>
    </w:r>
    <w:r w:rsidRPr="00451C6D">
      <w:rPr>
        <w:b/>
        <w:color w:val="201C17"/>
      </w:rPr>
      <w:t>mBank</w:t>
    </w:r>
    <w:r>
      <w:rPr>
        <w:b/>
        <w:color w:val="201C17"/>
      </w:rPr>
      <w:t>u</w:t>
    </w:r>
    <w:r w:rsidRPr="00451C6D">
      <w:rPr>
        <w:b/>
        <w:color w:val="201C17"/>
      </w:rPr>
      <w:t xml:space="preserve"> S.A. </w:t>
    </w:r>
  </w:p>
  <w:p w14:paraId="6B46F89E" w14:textId="77777777" w:rsidR="00CD4D76" w:rsidRDefault="00CD4D76" w:rsidP="007A2309">
    <w:pPr>
      <w:pStyle w:val="Nagwek"/>
      <w:rPr>
        <w:color w:val="201C17"/>
      </w:rPr>
    </w:pPr>
    <w:r>
      <w:rPr>
        <w:color w:val="201C17"/>
      </w:rPr>
      <w:t xml:space="preserve">Skonsolidowane </w:t>
    </w:r>
    <w:r w:rsidRPr="00451C6D">
      <w:rPr>
        <w:color w:val="201C17"/>
      </w:rPr>
      <w:t>Sprawozdanie Finansowe według Międzynarodow</w:t>
    </w:r>
    <w:r>
      <w:rPr>
        <w:color w:val="201C17"/>
      </w:rPr>
      <w:t xml:space="preserve">ych Standardów </w:t>
    </w:r>
  </w:p>
  <w:p w14:paraId="1CBCACA7" w14:textId="0A8F4F48" w:rsidR="00CD4D76" w:rsidRDefault="00CD4D76" w:rsidP="007A2309">
    <w:pPr>
      <w:pStyle w:val="Nagwek"/>
      <w:pBdr>
        <w:bottom w:val="single" w:sz="4" w:space="1" w:color="787B7C"/>
      </w:pBdr>
      <w:rPr>
        <w:color w:val="201C17"/>
      </w:rPr>
    </w:pPr>
    <w:r>
      <w:rPr>
        <w:color w:val="201C17"/>
      </w:rPr>
      <w:t>Sprawozdawczości Finansowej za 2019 rok</w:t>
    </w:r>
    <w:r>
      <w:rPr>
        <w:color w:val="201C17"/>
      </w:rPr>
      <w:tab/>
    </w:r>
    <w:r>
      <w:rPr>
        <w:color w:val="201C17"/>
      </w:rPr>
      <w:tab/>
    </w:r>
    <w:r>
      <w:rPr>
        <w:color w:val="201C17"/>
      </w:rPr>
      <w:tab/>
    </w:r>
    <w:r>
      <w:rPr>
        <w:color w:val="201C17"/>
      </w:rPr>
      <w:tab/>
    </w:r>
    <w:r>
      <w:rPr>
        <w:color w:val="201C17"/>
      </w:rPr>
      <w:tab/>
    </w:r>
    <w:r>
      <w:rPr>
        <w:color w:val="201C17"/>
      </w:rPr>
      <w:tab/>
    </w:r>
    <w:r>
      <w:rPr>
        <w:color w:val="201C17"/>
      </w:rPr>
      <w:tab/>
    </w:r>
    <w:r>
      <w:rPr>
        <w:color w:val="201C17"/>
      </w:rPr>
      <w:tab/>
    </w:r>
    <w:r w:rsidRPr="00451C6D">
      <w:rPr>
        <w:color w:val="201C17"/>
      </w:rPr>
      <w:t>(w tys. zł)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56E9" w14:textId="77777777" w:rsidR="00CD4D76" w:rsidRPr="00451C6D" w:rsidRDefault="00CD4D76" w:rsidP="00451C6D">
    <w:pPr>
      <w:pStyle w:val="Nagwek"/>
      <w:rPr>
        <w:b/>
        <w:color w:val="201C17"/>
      </w:rPr>
    </w:pPr>
    <w:r>
      <w:rPr>
        <w:b/>
        <w:color w:val="201C17"/>
      </w:rPr>
      <w:t xml:space="preserve">Grupa </w:t>
    </w:r>
    <w:r w:rsidRPr="00451C6D">
      <w:rPr>
        <w:b/>
        <w:color w:val="201C17"/>
      </w:rPr>
      <w:t>mBank</w:t>
    </w:r>
    <w:r>
      <w:rPr>
        <w:b/>
        <w:color w:val="201C17"/>
      </w:rPr>
      <w:t>u</w:t>
    </w:r>
    <w:r w:rsidRPr="00451C6D">
      <w:rPr>
        <w:b/>
        <w:color w:val="201C17"/>
      </w:rPr>
      <w:t xml:space="preserve"> S.A. </w:t>
    </w:r>
  </w:p>
  <w:p w14:paraId="2058DBF9" w14:textId="77777777" w:rsidR="00CD4D76" w:rsidRDefault="00CD4D76" w:rsidP="007A2309">
    <w:pPr>
      <w:pStyle w:val="Nagwek"/>
      <w:rPr>
        <w:color w:val="201C17"/>
      </w:rPr>
    </w:pPr>
    <w:r>
      <w:rPr>
        <w:color w:val="201C17"/>
      </w:rPr>
      <w:t xml:space="preserve">Skonsolidowane </w:t>
    </w:r>
    <w:r w:rsidRPr="00451C6D">
      <w:rPr>
        <w:color w:val="201C17"/>
      </w:rPr>
      <w:t>Sprawozdanie Finansowe według Międzynarodow</w:t>
    </w:r>
    <w:r>
      <w:rPr>
        <w:color w:val="201C17"/>
      </w:rPr>
      <w:t xml:space="preserve">ych Standardów </w:t>
    </w:r>
  </w:p>
  <w:p w14:paraId="0BFBA332" w14:textId="17C8519F" w:rsidR="00CD4D76" w:rsidRDefault="00CD4D76" w:rsidP="007A2309">
    <w:pPr>
      <w:pStyle w:val="Nagwek"/>
      <w:pBdr>
        <w:bottom w:val="single" w:sz="4" w:space="1" w:color="787B7C"/>
      </w:pBdr>
      <w:rPr>
        <w:color w:val="201C17"/>
      </w:rPr>
    </w:pPr>
    <w:r>
      <w:rPr>
        <w:color w:val="201C17"/>
      </w:rPr>
      <w:t>Sprawozdawczości Finansowej za 2019 rok</w:t>
    </w:r>
    <w:r>
      <w:rPr>
        <w:color w:val="201C17"/>
      </w:rPr>
      <w:tab/>
    </w:r>
    <w:r>
      <w:rPr>
        <w:color w:val="201C17"/>
      </w:rPr>
      <w:tab/>
    </w:r>
    <w:r w:rsidRPr="00451C6D">
      <w:rPr>
        <w:color w:val="201C17"/>
      </w:rPr>
      <w:t>(w tys.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4F3D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3B2327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EAF8ECE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87CF58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F96D8F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4261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486E4E"/>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6AC40"/>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2B73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56697B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BE1CFD"/>
    <w:multiLevelType w:val="hybridMultilevel"/>
    <w:tmpl w:val="A3243F72"/>
    <w:lvl w:ilvl="0" w:tplc="FD88D48C">
      <w:start w:val="1"/>
      <w:numFmt w:val="bullet"/>
      <w:lvlText w:val=""/>
      <w:lvlJc w:val="left"/>
      <w:pPr>
        <w:tabs>
          <w:tab w:val="num" w:pos="360"/>
        </w:tabs>
        <w:ind w:left="360" w:hanging="360"/>
      </w:pPr>
      <w:rPr>
        <w:rFonts w:ascii="Wingdings" w:hAnsi="Wingdings" w:hint="default"/>
        <w:b w:val="0"/>
        <w:i w:val="0"/>
        <w:caps w:val="0"/>
        <w:strike w:val="0"/>
        <w:dstrike w:val="0"/>
        <w:vanish w:val="0"/>
        <w:color w:val="E41E0A"/>
        <w:spacing w:val="0"/>
        <w:w w:val="100"/>
        <w:position w:val="-8"/>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21C1251"/>
    <w:multiLevelType w:val="hybridMultilevel"/>
    <w:tmpl w:val="ABE2A0EC"/>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976C88"/>
    <w:multiLevelType w:val="hybridMultilevel"/>
    <w:tmpl w:val="E132E8C2"/>
    <w:lvl w:ilvl="0" w:tplc="FF44731A">
      <w:start w:val="1"/>
      <w:numFmt w:val="bullet"/>
      <w:lvlText w:val=""/>
      <w:lvlJc w:val="left"/>
      <w:pPr>
        <w:tabs>
          <w:tab w:val="num" w:pos="624"/>
        </w:tabs>
        <w:ind w:left="624" w:hanging="284"/>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B55D3F"/>
    <w:multiLevelType w:val="hybridMultilevel"/>
    <w:tmpl w:val="2CBC79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9F0C92"/>
    <w:multiLevelType w:val="hybridMultilevel"/>
    <w:tmpl w:val="EFC4B168"/>
    <w:lvl w:ilvl="0" w:tplc="8828DFF6">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B1D0E"/>
    <w:multiLevelType w:val="hybridMultilevel"/>
    <w:tmpl w:val="CAF0093A"/>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F1222C"/>
    <w:multiLevelType w:val="hybridMultilevel"/>
    <w:tmpl w:val="32404116"/>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894CFB"/>
    <w:multiLevelType w:val="hybridMultilevel"/>
    <w:tmpl w:val="9F8A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77032D"/>
    <w:multiLevelType w:val="hybridMultilevel"/>
    <w:tmpl w:val="EA4290EE"/>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0802AB"/>
    <w:multiLevelType w:val="hybridMultilevel"/>
    <w:tmpl w:val="0DE2D2D8"/>
    <w:lvl w:ilvl="0" w:tplc="AAD05C0E">
      <w:start w:val="1"/>
      <w:numFmt w:val="bullet"/>
      <w:lvlText w:val=""/>
      <w:lvlJc w:val="left"/>
      <w:pPr>
        <w:ind w:left="720" w:hanging="360"/>
      </w:pPr>
      <w:rPr>
        <w:rFonts w:ascii="Wingdings" w:hAnsi="Wingdings" w:hint="default"/>
        <w:b w:val="0"/>
        <w:i w:val="0"/>
        <w:caps w:val="0"/>
        <w:strike w:val="0"/>
        <w:dstrike w:val="0"/>
        <w:vanish w:val="0"/>
        <w:webHidden w:val="0"/>
        <w:color w:val="E41E0A"/>
        <w:spacing w:val="0"/>
        <w:w w:val="100"/>
        <w:position w:val="-8"/>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19B0868"/>
    <w:multiLevelType w:val="hybridMultilevel"/>
    <w:tmpl w:val="546888B0"/>
    <w:lvl w:ilvl="0" w:tplc="FF44731A">
      <w:start w:val="1"/>
      <w:numFmt w:val="bullet"/>
      <w:lvlText w:val=""/>
      <w:lvlJc w:val="left"/>
      <w:pPr>
        <w:tabs>
          <w:tab w:val="num" w:pos="340"/>
        </w:tabs>
        <w:ind w:left="340" w:hanging="34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4C4EC1DA">
      <w:start w:val="1"/>
      <w:numFmt w:val="decimal"/>
      <w:lvlText w:val="%3."/>
      <w:lvlJc w:val="left"/>
      <w:pPr>
        <w:tabs>
          <w:tab w:val="num" w:pos="397"/>
        </w:tabs>
        <w:ind w:left="397" w:hanging="397"/>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CA74CC"/>
    <w:multiLevelType w:val="hybridMultilevel"/>
    <w:tmpl w:val="F24CCFB2"/>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F11D52"/>
    <w:multiLevelType w:val="hybridMultilevel"/>
    <w:tmpl w:val="06EE20DC"/>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6530F"/>
    <w:multiLevelType w:val="hybridMultilevel"/>
    <w:tmpl w:val="5B761E00"/>
    <w:lvl w:ilvl="0" w:tplc="8828DFF6">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B84D38"/>
    <w:multiLevelType w:val="hybridMultilevel"/>
    <w:tmpl w:val="31921BC0"/>
    <w:lvl w:ilvl="0" w:tplc="FF44731A">
      <w:start w:val="1"/>
      <w:numFmt w:val="bullet"/>
      <w:lvlText w:val=""/>
      <w:lvlJc w:val="left"/>
      <w:pPr>
        <w:tabs>
          <w:tab w:val="num" w:pos="340"/>
        </w:tabs>
        <w:ind w:left="340" w:hanging="34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A8A4DE8"/>
    <w:multiLevelType w:val="hybridMultilevel"/>
    <w:tmpl w:val="1E9CCEC6"/>
    <w:lvl w:ilvl="0" w:tplc="B7385C26">
      <w:start w:val="1"/>
      <w:numFmt w:val="bullet"/>
      <w:lvlText w:val=""/>
      <w:lvlJc w:val="left"/>
      <w:pPr>
        <w:ind w:left="720" w:hanging="360"/>
      </w:pPr>
      <w:rPr>
        <w:rFonts w:ascii="Wingdings" w:hAnsi="Wingdings" w:hint="default"/>
        <w:b w:val="0"/>
        <w:i w:val="0"/>
        <w:caps w:val="0"/>
        <w:strike w:val="0"/>
        <w:dstrike w:val="0"/>
        <w:vanish w:val="0"/>
        <w:webHidden w:val="0"/>
        <w:color w:val="E41E0A"/>
        <w:spacing w:val="0"/>
        <w:w w:val="100"/>
        <w:position w:val="-8"/>
        <w:sz w:val="40"/>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CB511DA"/>
    <w:multiLevelType w:val="hybridMultilevel"/>
    <w:tmpl w:val="365238A4"/>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2B6828"/>
    <w:multiLevelType w:val="hybridMultilevel"/>
    <w:tmpl w:val="4A6EE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14776"/>
    <w:multiLevelType w:val="hybridMultilevel"/>
    <w:tmpl w:val="D4EE4748"/>
    <w:lvl w:ilvl="0" w:tplc="E39A51E8">
      <w:start w:val="1"/>
      <w:numFmt w:val="decimal"/>
      <w:lvlText w:val="%1."/>
      <w:lvlJc w:val="left"/>
      <w:pPr>
        <w:tabs>
          <w:tab w:val="num" w:pos="360"/>
        </w:tabs>
        <w:ind w:left="360" w:hanging="360"/>
      </w:pPr>
      <w:rPr>
        <w:rFonts w:hint="default"/>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19E728A"/>
    <w:multiLevelType w:val="hybridMultilevel"/>
    <w:tmpl w:val="F74A7FF2"/>
    <w:lvl w:ilvl="0" w:tplc="B7385C26">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C07E70"/>
    <w:multiLevelType w:val="hybridMultilevel"/>
    <w:tmpl w:val="93AEF7F2"/>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6E52AA"/>
    <w:multiLevelType w:val="hybridMultilevel"/>
    <w:tmpl w:val="19D09064"/>
    <w:lvl w:ilvl="0" w:tplc="FF44731A">
      <w:start w:val="1"/>
      <w:numFmt w:val="bullet"/>
      <w:lvlText w:val=""/>
      <w:lvlJc w:val="left"/>
      <w:pPr>
        <w:tabs>
          <w:tab w:val="num" w:pos="1267"/>
        </w:tabs>
        <w:ind w:left="1267" w:hanging="34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0440A7"/>
    <w:multiLevelType w:val="hybridMultilevel"/>
    <w:tmpl w:val="336899F6"/>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01181C"/>
    <w:multiLevelType w:val="hybridMultilevel"/>
    <w:tmpl w:val="20FE0C80"/>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0F34F6"/>
    <w:multiLevelType w:val="hybridMultilevel"/>
    <w:tmpl w:val="8DD2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06705A"/>
    <w:multiLevelType w:val="hybridMultilevel"/>
    <w:tmpl w:val="F484F0F8"/>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C91A99"/>
    <w:multiLevelType w:val="hybridMultilevel"/>
    <w:tmpl w:val="0FEE7ADE"/>
    <w:lvl w:ilvl="0" w:tplc="8828DFF6">
      <w:start w:val="1"/>
      <w:numFmt w:val="bullet"/>
      <w:lvlText w:val=""/>
      <w:lvlJc w:val="left"/>
      <w:pPr>
        <w:ind w:left="720" w:hanging="360"/>
      </w:pPr>
      <w:rPr>
        <w:rFonts w:ascii="Wingdings" w:hAnsi="Wingdings" w:hint="default"/>
        <w:b w:val="0"/>
        <w:i w:val="0"/>
        <w:caps w:val="0"/>
        <w:strike w:val="0"/>
        <w:dstrike w:val="0"/>
        <w:vanish w:val="0"/>
        <w:webHidden w:val="0"/>
        <w:color w:val="E41E0A"/>
        <w:spacing w:val="0"/>
        <w:w w:val="100"/>
        <w:position w:val="-8"/>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2506562"/>
    <w:multiLevelType w:val="hybridMultilevel"/>
    <w:tmpl w:val="806C335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37C5017"/>
    <w:multiLevelType w:val="hybridMultilevel"/>
    <w:tmpl w:val="87CE4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A74D62"/>
    <w:multiLevelType w:val="hybridMultilevel"/>
    <w:tmpl w:val="DA0C8736"/>
    <w:lvl w:ilvl="0" w:tplc="BA96B80E">
      <w:start w:val="1"/>
      <w:numFmt w:val="decimal"/>
      <w:lvlText w:val="2.%1."/>
      <w:lvlJc w:val="left"/>
      <w:pPr>
        <w:ind w:left="720" w:hanging="360"/>
      </w:pPr>
      <w:rPr>
        <w:rFonts w:ascii="Verdana" w:hAnsi="Verdana" w:hint="default"/>
        <w:b/>
        <w:i w:val="0"/>
        <w:color w:val="E41E0A"/>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D549E"/>
    <w:multiLevelType w:val="hybridMultilevel"/>
    <w:tmpl w:val="05C2437C"/>
    <w:lvl w:ilvl="0" w:tplc="2D8CD4E2">
      <w:start w:val="1"/>
      <w:numFmt w:val="lowerRoman"/>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9641A"/>
    <w:multiLevelType w:val="multilevel"/>
    <w:tmpl w:val="E58E1468"/>
    <w:lvl w:ilvl="0">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68F4EA6"/>
    <w:multiLevelType w:val="hybridMultilevel"/>
    <w:tmpl w:val="E938A31C"/>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4F08EE"/>
    <w:multiLevelType w:val="hybridMultilevel"/>
    <w:tmpl w:val="C02AA6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5452B8"/>
    <w:multiLevelType w:val="hybridMultilevel"/>
    <w:tmpl w:val="3DBCB698"/>
    <w:lvl w:ilvl="0" w:tplc="AAD05C0E">
      <w:start w:val="1"/>
      <w:numFmt w:val="bullet"/>
      <w:lvlText w:val=""/>
      <w:lvlJc w:val="left"/>
      <w:pPr>
        <w:tabs>
          <w:tab w:val="num" w:pos="340"/>
        </w:tabs>
        <w:ind w:left="340" w:hanging="34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4C4EC1DA">
      <w:start w:val="1"/>
      <w:numFmt w:val="decimal"/>
      <w:lvlText w:val="%3."/>
      <w:lvlJc w:val="left"/>
      <w:pPr>
        <w:tabs>
          <w:tab w:val="num" w:pos="397"/>
        </w:tabs>
        <w:ind w:left="397" w:hanging="397"/>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DF0505A"/>
    <w:multiLevelType w:val="multilevel"/>
    <w:tmpl w:val="04150023"/>
    <w:styleLink w:val="Artykusekcja"/>
    <w:lvl w:ilvl="0">
      <w:start w:val="1"/>
      <w:numFmt w:val="upperRoman"/>
      <w:pStyle w:val="Nagwek1"/>
      <w:lvlText w:val="Artykuł %1."/>
      <w:lvlJc w:val="left"/>
      <w:pPr>
        <w:tabs>
          <w:tab w:val="num" w:pos="1440"/>
        </w:tabs>
        <w:ind w:left="0" w:firstLine="0"/>
      </w:pPr>
      <w:rPr>
        <w:rFonts w:ascii="Verdana" w:hAnsi="Verdana"/>
      </w:r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6" w15:restartNumberingAfterBreak="0">
    <w:nsid w:val="420F0E05"/>
    <w:multiLevelType w:val="hybridMultilevel"/>
    <w:tmpl w:val="2E6C67AA"/>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163B17"/>
    <w:multiLevelType w:val="hybridMultilevel"/>
    <w:tmpl w:val="3B0A75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45E51C30"/>
    <w:multiLevelType w:val="hybridMultilevel"/>
    <w:tmpl w:val="128A9658"/>
    <w:lvl w:ilvl="0" w:tplc="FD88D48C">
      <w:start w:val="1"/>
      <w:numFmt w:val="bullet"/>
      <w:lvlText w:val=""/>
      <w:lvlJc w:val="left"/>
      <w:pPr>
        <w:tabs>
          <w:tab w:val="num" w:pos="360"/>
        </w:tabs>
        <w:ind w:left="360" w:hanging="360"/>
      </w:pPr>
      <w:rPr>
        <w:rFonts w:ascii="Wingdings" w:hAnsi="Wingdings" w:hint="default"/>
        <w:b w:val="0"/>
        <w:i w:val="0"/>
        <w:caps w:val="0"/>
        <w:strike w:val="0"/>
        <w:dstrike w:val="0"/>
        <w:vanish w:val="0"/>
        <w:color w:val="E41E0A"/>
        <w:spacing w:val="0"/>
        <w:w w:val="100"/>
        <w:position w:val="-8"/>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677752D"/>
    <w:multiLevelType w:val="multilevel"/>
    <w:tmpl w:val="0415001D"/>
    <w:styleLink w:val="1ai"/>
    <w:lvl w:ilvl="0">
      <w:start w:val="1"/>
      <w:numFmt w:val="decimal"/>
      <w:lvlText w:val="%1)"/>
      <w:lvlJc w:val="left"/>
      <w:pPr>
        <w:tabs>
          <w:tab w:val="num" w:pos="360"/>
        </w:tabs>
        <w:ind w:left="360" w:hanging="360"/>
      </w:pPr>
      <w:rPr>
        <w:rFonts w:ascii="Verdana" w:hAnsi="Verdan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7152F8E"/>
    <w:multiLevelType w:val="hybridMultilevel"/>
    <w:tmpl w:val="0F3E1C4E"/>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D86427"/>
    <w:multiLevelType w:val="hybridMultilevel"/>
    <w:tmpl w:val="D170681C"/>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0D38AE"/>
    <w:multiLevelType w:val="hybridMultilevel"/>
    <w:tmpl w:val="6F186CF8"/>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2D6F9E"/>
    <w:multiLevelType w:val="hybridMultilevel"/>
    <w:tmpl w:val="BA7E03CC"/>
    <w:lvl w:ilvl="0" w:tplc="F842C340">
      <w:start w:val="1"/>
      <w:numFmt w:val="bullet"/>
      <w:lvlText w:val=""/>
      <w:lvlJc w:val="left"/>
      <w:pPr>
        <w:tabs>
          <w:tab w:val="num" w:pos="700"/>
        </w:tabs>
        <w:ind w:left="700" w:hanging="340"/>
      </w:pPr>
      <w:rPr>
        <w:rFonts w:ascii="Wingdings" w:hAnsi="Wingdings" w:cs="Symbol" w:hint="default"/>
        <w:color w:val="3366FF"/>
      </w:rPr>
    </w:lvl>
    <w:lvl w:ilvl="1" w:tplc="FF44731A">
      <w:start w:val="1"/>
      <w:numFmt w:val="bullet"/>
      <w:lvlText w:val=""/>
      <w:lvlJc w:val="left"/>
      <w:pPr>
        <w:tabs>
          <w:tab w:val="num" w:pos="1534"/>
        </w:tabs>
        <w:ind w:left="1534" w:hanging="454"/>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412C52"/>
    <w:multiLevelType w:val="hybridMultilevel"/>
    <w:tmpl w:val="060446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D13DEC"/>
    <w:multiLevelType w:val="hybridMultilevel"/>
    <w:tmpl w:val="C02AA6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4051C8D"/>
    <w:multiLevelType w:val="hybridMultilevel"/>
    <w:tmpl w:val="FD820672"/>
    <w:lvl w:ilvl="0" w:tplc="FF44731A">
      <w:start w:val="1"/>
      <w:numFmt w:val="bullet"/>
      <w:lvlText w:val=""/>
      <w:lvlJc w:val="left"/>
      <w:pPr>
        <w:tabs>
          <w:tab w:val="num" w:pos="907"/>
        </w:tabs>
        <w:ind w:left="907" w:hanging="34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F13B6A"/>
    <w:multiLevelType w:val="hybridMultilevel"/>
    <w:tmpl w:val="FE3AAEA0"/>
    <w:lvl w:ilvl="0" w:tplc="8828DFF6">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49596E"/>
    <w:multiLevelType w:val="hybridMultilevel"/>
    <w:tmpl w:val="3C8AE188"/>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1E284C"/>
    <w:multiLevelType w:val="multilevel"/>
    <w:tmpl w:val="0415001F"/>
    <w:styleLink w:val="111111"/>
    <w:lvl w:ilvl="0">
      <w:start w:val="1"/>
      <w:numFmt w:val="decimal"/>
      <w:lvlText w:val="%1."/>
      <w:lvlJc w:val="left"/>
      <w:pPr>
        <w:tabs>
          <w:tab w:val="num" w:pos="360"/>
        </w:tabs>
        <w:ind w:left="360" w:hanging="360"/>
      </w:pPr>
      <w:rPr>
        <w:rFonts w:ascii="Verdana" w:hAnsi="Verdan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DEC605A"/>
    <w:multiLevelType w:val="hybridMultilevel"/>
    <w:tmpl w:val="A396208A"/>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F6163D3"/>
    <w:multiLevelType w:val="hybridMultilevel"/>
    <w:tmpl w:val="16AC4CAC"/>
    <w:lvl w:ilvl="0" w:tplc="DC9AB9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7270B0"/>
    <w:multiLevelType w:val="hybridMultilevel"/>
    <w:tmpl w:val="D286F4C6"/>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923F88"/>
    <w:multiLevelType w:val="hybridMultilevel"/>
    <w:tmpl w:val="7902B2F2"/>
    <w:lvl w:ilvl="0" w:tplc="E2BCE77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0974E23"/>
    <w:multiLevelType w:val="multilevel"/>
    <w:tmpl w:val="988A564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6C25E30"/>
    <w:multiLevelType w:val="hybridMultilevel"/>
    <w:tmpl w:val="5282CA28"/>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541A7F"/>
    <w:multiLevelType w:val="hybridMultilevel"/>
    <w:tmpl w:val="621EB2C0"/>
    <w:lvl w:ilvl="0" w:tplc="8828DFF6">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594122"/>
    <w:multiLevelType w:val="hybridMultilevel"/>
    <w:tmpl w:val="DBC21A3C"/>
    <w:lvl w:ilvl="0" w:tplc="FD2E50D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D5056F4"/>
    <w:multiLevelType w:val="hybridMultilevel"/>
    <w:tmpl w:val="263ACADE"/>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9904A7"/>
    <w:multiLevelType w:val="hybridMultilevel"/>
    <w:tmpl w:val="79A2C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000BF0"/>
    <w:multiLevelType w:val="hybridMultilevel"/>
    <w:tmpl w:val="52282152"/>
    <w:lvl w:ilvl="0" w:tplc="FF44731A">
      <w:start w:val="1"/>
      <w:numFmt w:val="bullet"/>
      <w:lvlText w:val=""/>
      <w:lvlJc w:val="left"/>
      <w:pPr>
        <w:tabs>
          <w:tab w:val="num" w:pos="340"/>
        </w:tabs>
        <w:ind w:left="340" w:hanging="340"/>
      </w:pPr>
      <w:rPr>
        <w:rFonts w:ascii="Wingdings" w:hAnsi="Wingdings" w:hint="default"/>
        <w:b w:val="0"/>
        <w:i w:val="0"/>
        <w:caps w:val="0"/>
        <w:strike w:val="0"/>
        <w:dstrike w:val="0"/>
        <w:vanish w:val="0"/>
        <w:color w:val="E41E0A"/>
        <w:spacing w:val="0"/>
        <w:w w:val="100"/>
        <w:position w:val="-8"/>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2C340">
      <w:start w:val="1"/>
      <w:numFmt w:val="bullet"/>
      <w:lvlText w:val=""/>
      <w:lvlJc w:val="left"/>
      <w:pPr>
        <w:tabs>
          <w:tab w:val="num" w:pos="1420"/>
        </w:tabs>
        <w:ind w:left="1420" w:hanging="340"/>
      </w:pPr>
      <w:rPr>
        <w:rFonts w:ascii="Wingdings" w:hAnsi="Wingdings" w:hint="default"/>
        <w:color w:val="3366FF"/>
        <w:sz w:val="16"/>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D54E5D"/>
    <w:multiLevelType w:val="hybridMultilevel"/>
    <w:tmpl w:val="3AD43706"/>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5E14D5"/>
    <w:multiLevelType w:val="hybridMultilevel"/>
    <w:tmpl w:val="C4FEBDC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663A6B"/>
    <w:multiLevelType w:val="hybridMultilevel"/>
    <w:tmpl w:val="913C0D36"/>
    <w:lvl w:ilvl="0" w:tplc="FF44731A">
      <w:start w:val="1"/>
      <w:numFmt w:val="bullet"/>
      <w:lvlText w:val=""/>
      <w:lvlJc w:val="left"/>
      <w:pPr>
        <w:tabs>
          <w:tab w:val="num" w:pos="1267"/>
        </w:tabs>
        <w:ind w:left="1267" w:hanging="34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D73643"/>
    <w:multiLevelType w:val="hybridMultilevel"/>
    <w:tmpl w:val="26F85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56729E"/>
    <w:multiLevelType w:val="hybridMultilevel"/>
    <w:tmpl w:val="CA2EF7D0"/>
    <w:lvl w:ilvl="0" w:tplc="8BC22444">
      <w:start w:val="1"/>
      <w:numFmt w:val="bullet"/>
      <w:lvlText w:val=""/>
      <w:lvlJc w:val="left"/>
      <w:pPr>
        <w:tabs>
          <w:tab w:val="num" w:pos="720"/>
        </w:tabs>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8B6DF9"/>
    <w:multiLevelType w:val="hybridMultilevel"/>
    <w:tmpl w:val="4C9677C2"/>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1A4D04"/>
    <w:multiLevelType w:val="hybridMultilevel"/>
    <w:tmpl w:val="52C4B9F0"/>
    <w:lvl w:ilvl="0" w:tplc="8BC22444">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8D6060B"/>
    <w:multiLevelType w:val="hybridMultilevel"/>
    <w:tmpl w:val="158CE59A"/>
    <w:lvl w:ilvl="0" w:tplc="C9E4D428">
      <w:start w:val="1"/>
      <w:numFmt w:val="decimal"/>
      <w:lvlText w:val="%1)"/>
      <w:lvlJc w:val="right"/>
      <w:pPr>
        <w:tabs>
          <w:tab w:val="num" w:pos="340"/>
        </w:tabs>
        <w:ind w:left="340" w:hanging="340"/>
      </w:pPr>
      <w:rPr>
        <w:rFonts w:hint="default"/>
        <w:color w:val="auto"/>
        <w:sz w:val="16"/>
        <w:szCs w:val="16"/>
        <w:vertAlign w:val="superscript"/>
      </w:rPr>
    </w:lvl>
    <w:lvl w:ilvl="1" w:tplc="A74216B4">
      <w:start w:val="1"/>
      <w:numFmt w:val="decimal"/>
      <w:lvlText w:val="%2."/>
      <w:lvlJc w:val="left"/>
      <w:pPr>
        <w:tabs>
          <w:tab w:val="num" w:pos="1440"/>
        </w:tabs>
        <w:ind w:left="1440" w:hanging="360"/>
      </w:pPr>
      <w:rPr>
        <w:rFonts w:ascii="Verdana" w:hAnsi="Verdana" w:hint="default"/>
        <w:b w:val="0"/>
        <w:i w:val="0"/>
        <w:color w:val="201C17"/>
        <w:sz w:val="18"/>
        <w:szCs w:val="16"/>
      </w:rPr>
    </w:lvl>
    <w:lvl w:ilvl="2" w:tplc="7958B2A0">
      <w:start w:val="1"/>
      <w:numFmt w:val="bullet"/>
      <w:lvlText w:val=""/>
      <w:lvlJc w:val="left"/>
      <w:pPr>
        <w:tabs>
          <w:tab w:val="num" w:pos="2140"/>
        </w:tabs>
        <w:ind w:left="2140" w:hanging="340"/>
      </w:pPr>
      <w:rPr>
        <w:rFonts w:ascii="Wingdings" w:hAnsi="Wingdings" w:cs="Symbol" w:hint="default"/>
        <w:color w:val="3366FF"/>
        <w:sz w:val="16"/>
        <w:szCs w:val="16"/>
      </w:rPr>
    </w:lvl>
    <w:lvl w:ilvl="3" w:tplc="0464B2AC">
      <w:start w:val="1"/>
      <w:numFmt w:val="decimal"/>
      <w:lvlText w:val="%4."/>
      <w:lvlJc w:val="left"/>
      <w:pPr>
        <w:tabs>
          <w:tab w:val="num" w:pos="2880"/>
        </w:tabs>
        <w:ind w:left="2880" w:hanging="360"/>
      </w:pPr>
      <w:rPr>
        <w:rFonts w:hint="default"/>
        <w:b/>
        <w:color w:val="3366FF"/>
        <w:sz w:val="16"/>
        <w:szCs w:val="16"/>
      </w:rPr>
    </w:lvl>
    <w:lvl w:ilvl="4" w:tplc="04150011">
      <w:start w:val="1"/>
      <w:numFmt w:val="decimal"/>
      <w:lvlText w:val="%5)"/>
      <w:lvlJc w:val="left"/>
      <w:pPr>
        <w:tabs>
          <w:tab w:val="num" w:pos="3600"/>
        </w:tabs>
        <w:ind w:left="3600" w:hanging="360"/>
      </w:pPr>
      <w:rPr>
        <w:rFonts w:hint="default"/>
        <w:vertAlign w:val="superscript"/>
      </w:rPr>
    </w:lvl>
    <w:lvl w:ilvl="5" w:tplc="D8B8CA06">
      <w:start w:val="1"/>
      <w:numFmt w:val="decimal"/>
      <w:lvlText w:val="%6)"/>
      <w:lvlJc w:val="left"/>
      <w:pPr>
        <w:ind w:left="4320" w:hanging="360"/>
      </w:pPr>
      <w:rPr>
        <w:rFonts w:hint="default"/>
        <w:vertAlign w:val="superscrip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A49056C"/>
    <w:multiLevelType w:val="hybridMultilevel"/>
    <w:tmpl w:val="69ECF0B6"/>
    <w:lvl w:ilvl="0" w:tplc="FF44731A">
      <w:start w:val="1"/>
      <w:numFmt w:val="bullet"/>
      <w:lvlText w:val=""/>
      <w:lvlJc w:val="left"/>
      <w:pPr>
        <w:tabs>
          <w:tab w:val="num" w:pos="567"/>
        </w:tabs>
        <w:ind w:left="567" w:hanging="454"/>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B8C7BEF"/>
    <w:multiLevelType w:val="multilevel"/>
    <w:tmpl w:val="2466D24A"/>
    <w:lvl w:ilvl="0">
      <w:start w:val="1"/>
      <w:numFmt w:val="decimal"/>
      <w:lvlText w:val="%1."/>
      <w:lvlJc w:val="left"/>
      <w:pPr>
        <w:tabs>
          <w:tab w:val="num" w:pos="720"/>
        </w:tabs>
        <w:ind w:left="720" w:hanging="360"/>
      </w:pPr>
      <w:rPr>
        <w:rFonts w:ascii="Verdana" w:hAnsi="Verdana" w:hint="default"/>
        <w:b/>
        <w:i w:val="0"/>
        <w:color w:val="E41E0A"/>
        <w:sz w:val="18"/>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E2F1EF5"/>
    <w:multiLevelType w:val="hybridMultilevel"/>
    <w:tmpl w:val="96A0E752"/>
    <w:lvl w:ilvl="0" w:tplc="FF44731A">
      <w:start w:val="1"/>
      <w:numFmt w:val="bullet"/>
      <w:lvlText w:val=""/>
      <w:lvlJc w:val="left"/>
      <w:pPr>
        <w:ind w:left="720" w:hanging="360"/>
      </w:pPr>
      <w:rPr>
        <w:rFonts w:ascii="Wingdings" w:hAnsi="Wingdings" w:hint="default"/>
        <w:b w:val="0"/>
        <w:i w:val="0"/>
        <w:caps w:val="0"/>
        <w:strike w:val="0"/>
        <w:dstrike w:val="0"/>
        <w:vanish w:val="0"/>
        <w:color w:val="E41E0A"/>
        <w:spacing w:val="0"/>
        <w:w w:val="100"/>
        <w:position w:val="-8"/>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9"/>
  </w:num>
  <w:num w:numId="12">
    <w:abstractNumId w:val="49"/>
  </w:num>
  <w:num w:numId="13">
    <w:abstractNumId w:val="45"/>
  </w:num>
  <w:num w:numId="14">
    <w:abstractNumId w:val="80"/>
  </w:num>
  <w:num w:numId="15">
    <w:abstractNumId w:val="12"/>
  </w:num>
  <w:num w:numId="16">
    <w:abstractNumId w:val="39"/>
  </w:num>
  <w:num w:numId="17">
    <w:abstractNumId w:val="31"/>
  </w:num>
  <w:num w:numId="18">
    <w:abstractNumId w:val="24"/>
  </w:num>
  <w:num w:numId="19">
    <w:abstractNumId w:val="79"/>
  </w:num>
  <w:num w:numId="20">
    <w:abstractNumId w:val="53"/>
  </w:num>
  <w:num w:numId="21">
    <w:abstractNumId w:val="56"/>
  </w:num>
  <w:num w:numId="22">
    <w:abstractNumId w:val="32"/>
  </w:num>
  <w:num w:numId="23">
    <w:abstractNumId w:val="42"/>
  </w:num>
  <w:num w:numId="24">
    <w:abstractNumId w:val="73"/>
  </w:num>
  <w:num w:numId="25">
    <w:abstractNumId w:val="20"/>
  </w:num>
  <w:num w:numId="26">
    <w:abstractNumId w:val="46"/>
  </w:num>
  <w:num w:numId="27">
    <w:abstractNumId w:val="52"/>
  </w:num>
  <w:num w:numId="28">
    <w:abstractNumId w:val="60"/>
  </w:num>
  <w:num w:numId="29">
    <w:abstractNumId w:val="30"/>
  </w:num>
  <w:num w:numId="30">
    <w:abstractNumId w:val="77"/>
  </w:num>
  <w:num w:numId="31">
    <w:abstractNumId w:val="50"/>
  </w:num>
  <w:num w:numId="32">
    <w:abstractNumId w:val="21"/>
  </w:num>
  <w:num w:numId="33">
    <w:abstractNumId w:val="65"/>
  </w:num>
  <w:num w:numId="34">
    <w:abstractNumId w:val="10"/>
  </w:num>
  <w:num w:numId="35">
    <w:abstractNumId w:val="48"/>
  </w:num>
  <w:num w:numId="36">
    <w:abstractNumId w:val="16"/>
  </w:num>
  <w:num w:numId="37">
    <w:abstractNumId w:val="70"/>
  </w:num>
  <w:num w:numId="38">
    <w:abstractNumId w:val="44"/>
  </w:num>
  <w:num w:numId="39">
    <w:abstractNumId w:val="41"/>
  </w:num>
  <w:num w:numId="40">
    <w:abstractNumId w:val="75"/>
  </w:num>
  <w:num w:numId="41">
    <w:abstractNumId w:val="18"/>
  </w:num>
  <w:num w:numId="42">
    <w:abstractNumId w:val="15"/>
  </w:num>
  <w:num w:numId="43">
    <w:abstractNumId w:val="33"/>
  </w:num>
  <w:num w:numId="44">
    <w:abstractNumId w:val="64"/>
  </w:num>
  <w:num w:numId="45">
    <w:abstractNumId w:val="26"/>
  </w:num>
  <w:num w:numId="46">
    <w:abstractNumId w:val="11"/>
  </w:num>
  <w:num w:numId="47">
    <w:abstractNumId w:val="51"/>
  </w:num>
  <w:num w:numId="48">
    <w:abstractNumId w:val="62"/>
  </w:num>
  <w:num w:numId="49">
    <w:abstractNumId w:val="68"/>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19"/>
  </w:num>
  <w:num w:numId="53">
    <w:abstractNumId w:val="76"/>
  </w:num>
  <w:num w:numId="54">
    <w:abstractNumId w:val="29"/>
  </w:num>
  <w:num w:numId="55">
    <w:abstractNumId w:val="69"/>
  </w:num>
  <w:num w:numId="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72"/>
  </w:num>
  <w:num w:numId="59">
    <w:abstractNumId w:val="63"/>
  </w:num>
  <w:num w:numId="60">
    <w:abstractNumId w:val="61"/>
  </w:num>
  <w:num w:numId="61">
    <w:abstractNumId w:val="55"/>
  </w:num>
  <w:num w:numId="62">
    <w:abstractNumId w:val="17"/>
  </w:num>
  <w:num w:numId="63">
    <w:abstractNumId w:val="78"/>
  </w:num>
  <w:num w:numId="64">
    <w:abstractNumId w:val="37"/>
  </w:num>
  <w:num w:numId="65">
    <w:abstractNumId w:val="2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num>
  <w:num w:numId="69">
    <w:abstractNumId w:val="81"/>
  </w:num>
  <w:num w:numId="70">
    <w:abstractNumId w:val="57"/>
  </w:num>
  <w:num w:numId="71">
    <w:abstractNumId w:val="22"/>
  </w:num>
  <w:num w:numId="72">
    <w:abstractNumId w:val="34"/>
  </w:num>
  <w:num w:numId="73">
    <w:abstractNumId w:val="47"/>
  </w:num>
  <w:num w:numId="74">
    <w:abstractNumId w:val="54"/>
  </w:num>
  <w:num w:numId="75">
    <w:abstractNumId w:val="74"/>
  </w:num>
  <w:num w:numId="76">
    <w:abstractNumId w:val="14"/>
  </w:num>
  <w:num w:numId="77">
    <w:abstractNumId w:val="66"/>
  </w:num>
  <w:num w:numId="78">
    <w:abstractNumId w:val="58"/>
  </w:num>
  <w:num w:numId="79">
    <w:abstractNumId w:val="13"/>
  </w:num>
  <w:num w:numId="80">
    <w:abstractNumId w:val="38"/>
  </w:num>
  <w:num w:numId="81">
    <w:abstractNumId w:val="67"/>
  </w:num>
  <w:num w:numId="82">
    <w:abstractNumId w:val="25"/>
  </w:num>
  <w:num w:numId="83">
    <w:abstractNumId w:val="36"/>
  </w:num>
  <w:num w:numId="84">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94"/>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C7"/>
    <w:rsid w:val="00000238"/>
    <w:rsid w:val="000004AB"/>
    <w:rsid w:val="00000C6A"/>
    <w:rsid w:val="00000EEB"/>
    <w:rsid w:val="00000FD0"/>
    <w:rsid w:val="00001341"/>
    <w:rsid w:val="00001380"/>
    <w:rsid w:val="000013B3"/>
    <w:rsid w:val="00001702"/>
    <w:rsid w:val="0000195C"/>
    <w:rsid w:val="00001BCA"/>
    <w:rsid w:val="0000254D"/>
    <w:rsid w:val="000027F4"/>
    <w:rsid w:val="000034D5"/>
    <w:rsid w:val="0000359F"/>
    <w:rsid w:val="00003A71"/>
    <w:rsid w:val="00003B73"/>
    <w:rsid w:val="00003F9E"/>
    <w:rsid w:val="000041E7"/>
    <w:rsid w:val="0000429E"/>
    <w:rsid w:val="00004848"/>
    <w:rsid w:val="0000493B"/>
    <w:rsid w:val="00004A0C"/>
    <w:rsid w:val="00005452"/>
    <w:rsid w:val="00005515"/>
    <w:rsid w:val="00005784"/>
    <w:rsid w:val="00005EC6"/>
    <w:rsid w:val="0000699F"/>
    <w:rsid w:val="00006D26"/>
    <w:rsid w:val="00006FFE"/>
    <w:rsid w:val="0000736F"/>
    <w:rsid w:val="00007405"/>
    <w:rsid w:val="000074B4"/>
    <w:rsid w:val="00007665"/>
    <w:rsid w:val="00007C58"/>
    <w:rsid w:val="00007DC4"/>
    <w:rsid w:val="00010133"/>
    <w:rsid w:val="000107F3"/>
    <w:rsid w:val="0001180D"/>
    <w:rsid w:val="000118A1"/>
    <w:rsid w:val="00011AED"/>
    <w:rsid w:val="00011B14"/>
    <w:rsid w:val="00011FE0"/>
    <w:rsid w:val="00013861"/>
    <w:rsid w:val="00013A3B"/>
    <w:rsid w:val="00013AEA"/>
    <w:rsid w:val="00013C09"/>
    <w:rsid w:val="000144AD"/>
    <w:rsid w:val="00014564"/>
    <w:rsid w:val="00014717"/>
    <w:rsid w:val="0001476A"/>
    <w:rsid w:val="00014916"/>
    <w:rsid w:val="00014BB7"/>
    <w:rsid w:val="00014C32"/>
    <w:rsid w:val="00014DC1"/>
    <w:rsid w:val="00015167"/>
    <w:rsid w:val="00015596"/>
    <w:rsid w:val="000155E4"/>
    <w:rsid w:val="000157BC"/>
    <w:rsid w:val="00015BC9"/>
    <w:rsid w:val="00015D13"/>
    <w:rsid w:val="0001613C"/>
    <w:rsid w:val="0001641A"/>
    <w:rsid w:val="0001652B"/>
    <w:rsid w:val="00016926"/>
    <w:rsid w:val="00016984"/>
    <w:rsid w:val="00016DEA"/>
    <w:rsid w:val="000173FF"/>
    <w:rsid w:val="00017574"/>
    <w:rsid w:val="000178E7"/>
    <w:rsid w:val="00017989"/>
    <w:rsid w:val="00017FBC"/>
    <w:rsid w:val="000203D5"/>
    <w:rsid w:val="00020AEF"/>
    <w:rsid w:val="00020C5F"/>
    <w:rsid w:val="00020DE3"/>
    <w:rsid w:val="000217D6"/>
    <w:rsid w:val="000222B9"/>
    <w:rsid w:val="00022837"/>
    <w:rsid w:val="00022B37"/>
    <w:rsid w:val="00022E75"/>
    <w:rsid w:val="00022F15"/>
    <w:rsid w:val="00023037"/>
    <w:rsid w:val="00023A06"/>
    <w:rsid w:val="00023A29"/>
    <w:rsid w:val="00023D66"/>
    <w:rsid w:val="0002475F"/>
    <w:rsid w:val="00024EC4"/>
    <w:rsid w:val="00024F0A"/>
    <w:rsid w:val="00024F7C"/>
    <w:rsid w:val="00025003"/>
    <w:rsid w:val="0002531C"/>
    <w:rsid w:val="00025558"/>
    <w:rsid w:val="000259D5"/>
    <w:rsid w:val="00025F3A"/>
    <w:rsid w:val="0002615D"/>
    <w:rsid w:val="00026705"/>
    <w:rsid w:val="00026AD5"/>
    <w:rsid w:val="00026CDB"/>
    <w:rsid w:val="00026EA1"/>
    <w:rsid w:val="000270C9"/>
    <w:rsid w:val="0002711F"/>
    <w:rsid w:val="00027155"/>
    <w:rsid w:val="0002753C"/>
    <w:rsid w:val="00027AD3"/>
    <w:rsid w:val="00030A4F"/>
    <w:rsid w:val="00030B56"/>
    <w:rsid w:val="00030EAA"/>
    <w:rsid w:val="0003143F"/>
    <w:rsid w:val="000316FB"/>
    <w:rsid w:val="000319E5"/>
    <w:rsid w:val="00031AD6"/>
    <w:rsid w:val="00031CFD"/>
    <w:rsid w:val="00031D6A"/>
    <w:rsid w:val="00031D76"/>
    <w:rsid w:val="00032790"/>
    <w:rsid w:val="00032BF1"/>
    <w:rsid w:val="00032D6E"/>
    <w:rsid w:val="0003347A"/>
    <w:rsid w:val="0003366D"/>
    <w:rsid w:val="000342F1"/>
    <w:rsid w:val="00034B0A"/>
    <w:rsid w:val="00034CDC"/>
    <w:rsid w:val="00034EA4"/>
    <w:rsid w:val="0003550B"/>
    <w:rsid w:val="00035B11"/>
    <w:rsid w:val="00035C8E"/>
    <w:rsid w:val="00036631"/>
    <w:rsid w:val="00036CC2"/>
    <w:rsid w:val="00036FB7"/>
    <w:rsid w:val="0003743A"/>
    <w:rsid w:val="00037480"/>
    <w:rsid w:val="00037C2F"/>
    <w:rsid w:val="000403AC"/>
    <w:rsid w:val="00040AD0"/>
    <w:rsid w:val="00040B25"/>
    <w:rsid w:val="000415B3"/>
    <w:rsid w:val="00041E46"/>
    <w:rsid w:val="000421C2"/>
    <w:rsid w:val="000421DD"/>
    <w:rsid w:val="00042CF8"/>
    <w:rsid w:val="00042D79"/>
    <w:rsid w:val="000430BC"/>
    <w:rsid w:val="00043DAA"/>
    <w:rsid w:val="00043EA9"/>
    <w:rsid w:val="0004405B"/>
    <w:rsid w:val="00044564"/>
    <w:rsid w:val="000445CF"/>
    <w:rsid w:val="00044664"/>
    <w:rsid w:val="00044692"/>
    <w:rsid w:val="00044E26"/>
    <w:rsid w:val="00045DD2"/>
    <w:rsid w:val="00046547"/>
    <w:rsid w:val="00046897"/>
    <w:rsid w:val="0004696D"/>
    <w:rsid w:val="00046B93"/>
    <w:rsid w:val="00046C2D"/>
    <w:rsid w:val="00047B0C"/>
    <w:rsid w:val="00047D89"/>
    <w:rsid w:val="000504D2"/>
    <w:rsid w:val="000504E8"/>
    <w:rsid w:val="00050C17"/>
    <w:rsid w:val="00050E50"/>
    <w:rsid w:val="000511F0"/>
    <w:rsid w:val="00051327"/>
    <w:rsid w:val="00051B99"/>
    <w:rsid w:val="00051D01"/>
    <w:rsid w:val="000529E5"/>
    <w:rsid w:val="00052D59"/>
    <w:rsid w:val="00052DD5"/>
    <w:rsid w:val="00052E41"/>
    <w:rsid w:val="00052FD1"/>
    <w:rsid w:val="000534C2"/>
    <w:rsid w:val="00053500"/>
    <w:rsid w:val="00053D8E"/>
    <w:rsid w:val="000540D3"/>
    <w:rsid w:val="00054F75"/>
    <w:rsid w:val="000553B9"/>
    <w:rsid w:val="00055D53"/>
    <w:rsid w:val="00055F40"/>
    <w:rsid w:val="00056539"/>
    <w:rsid w:val="000566B9"/>
    <w:rsid w:val="00056726"/>
    <w:rsid w:val="0005709D"/>
    <w:rsid w:val="000570E5"/>
    <w:rsid w:val="00057196"/>
    <w:rsid w:val="00057293"/>
    <w:rsid w:val="000578DE"/>
    <w:rsid w:val="000579D8"/>
    <w:rsid w:val="00057FEB"/>
    <w:rsid w:val="000600FC"/>
    <w:rsid w:val="00060E90"/>
    <w:rsid w:val="00061090"/>
    <w:rsid w:val="000611C5"/>
    <w:rsid w:val="000613C0"/>
    <w:rsid w:val="00061F52"/>
    <w:rsid w:val="00062318"/>
    <w:rsid w:val="0006261B"/>
    <w:rsid w:val="0006286D"/>
    <w:rsid w:val="0006288D"/>
    <w:rsid w:val="0006295E"/>
    <w:rsid w:val="0006298D"/>
    <w:rsid w:val="00062FEF"/>
    <w:rsid w:val="0006314C"/>
    <w:rsid w:val="000632C9"/>
    <w:rsid w:val="000633DB"/>
    <w:rsid w:val="000633FD"/>
    <w:rsid w:val="00063409"/>
    <w:rsid w:val="000639C2"/>
    <w:rsid w:val="00063C17"/>
    <w:rsid w:val="00063F60"/>
    <w:rsid w:val="00064026"/>
    <w:rsid w:val="0006407D"/>
    <w:rsid w:val="00064280"/>
    <w:rsid w:val="00064628"/>
    <w:rsid w:val="00064C18"/>
    <w:rsid w:val="000654C8"/>
    <w:rsid w:val="00065572"/>
    <w:rsid w:val="000657D9"/>
    <w:rsid w:val="00065993"/>
    <w:rsid w:val="000659DD"/>
    <w:rsid w:val="00065C15"/>
    <w:rsid w:val="0006633E"/>
    <w:rsid w:val="00066740"/>
    <w:rsid w:val="00066AB1"/>
    <w:rsid w:val="00066C2A"/>
    <w:rsid w:val="00066D41"/>
    <w:rsid w:val="000674FC"/>
    <w:rsid w:val="000675F1"/>
    <w:rsid w:val="00067D81"/>
    <w:rsid w:val="0007029F"/>
    <w:rsid w:val="00070475"/>
    <w:rsid w:val="00070500"/>
    <w:rsid w:val="0007056D"/>
    <w:rsid w:val="0007075C"/>
    <w:rsid w:val="00070870"/>
    <w:rsid w:val="000709F3"/>
    <w:rsid w:val="00070A4A"/>
    <w:rsid w:val="00070E70"/>
    <w:rsid w:val="00070FE8"/>
    <w:rsid w:val="0007192A"/>
    <w:rsid w:val="0007200E"/>
    <w:rsid w:val="000720B2"/>
    <w:rsid w:val="00072821"/>
    <w:rsid w:val="00072944"/>
    <w:rsid w:val="0007294C"/>
    <w:rsid w:val="00072AF6"/>
    <w:rsid w:val="00072E6E"/>
    <w:rsid w:val="00073677"/>
    <w:rsid w:val="000737AF"/>
    <w:rsid w:val="0007395C"/>
    <w:rsid w:val="00073D3A"/>
    <w:rsid w:val="000741E5"/>
    <w:rsid w:val="0007429E"/>
    <w:rsid w:val="00074F75"/>
    <w:rsid w:val="00075D6B"/>
    <w:rsid w:val="00076276"/>
    <w:rsid w:val="00076785"/>
    <w:rsid w:val="000768ED"/>
    <w:rsid w:val="0007696E"/>
    <w:rsid w:val="00076ED0"/>
    <w:rsid w:val="000776EE"/>
    <w:rsid w:val="00077BF7"/>
    <w:rsid w:val="00077CAE"/>
    <w:rsid w:val="0008038F"/>
    <w:rsid w:val="000806AD"/>
    <w:rsid w:val="00080A12"/>
    <w:rsid w:val="000811A8"/>
    <w:rsid w:val="00081F68"/>
    <w:rsid w:val="000820DC"/>
    <w:rsid w:val="00082188"/>
    <w:rsid w:val="000821EC"/>
    <w:rsid w:val="00082517"/>
    <w:rsid w:val="00082D67"/>
    <w:rsid w:val="00083006"/>
    <w:rsid w:val="0008305C"/>
    <w:rsid w:val="0008333F"/>
    <w:rsid w:val="00083FFC"/>
    <w:rsid w:val="00084CE3"/>
    <w:rsid w:val="00085686"/>
    <w:rsid w:val="000859A7"/>
    <w:rsid w:val="00085B8F"/>
    <w:rsid w:val="00085BC9"/>
    <w:rsid w:val="00085CC4"/>
    <w:rsid w:val="00085DC9"/>
    <w:rsid w:val="000861AA"/>
    <w:rsid w:val="00086CC6"/>
    <w:rsid w:val="00086D74"/>
    <w:rsid w:val="00087311"/>
    <w:rsid w:val="00087493"/>
    <w:rsid w:val="00087604"/>
    <w:rsid w:val="00087B25"/>
    <w:rsid w:val="00087E26"/>
    <w:rsid w:val="00090A91"/>
    <w:rsid w:val="00090E94"/>
    <w:rsid w:val="000910D8"/>
    <w:rsid w:val="0009157F"/>
    <w:rsid w:val="00091EF5"/>
    <w:rsid w:val="000925D6"/>
    <w:rsid w:val="0009291C"/>
    <w:rsid w:val="000929CD"/>
    <w:rsid w:val="00092AB6"/>
    <w:rsid w:val="00092F77"/>
    <w:rsid w:val="000934A8"/>
    <w:rsid w:val="000939B0"/>
    <w:rsid w:val="00093B43"/>
    <w:rsid w:val="00093CE3"/>
    <w:rsid w:val="00093EE6"/>
    <w:rsid w:val="00094457"/>
    <w:rsid w:val="000946B3"/>
    <w:rsid w:val="000947F3"/>
    <w:rsid w:val="00094843"/>
    <w:rsid w:val="000949B1"/>
    <w:rsid w:val="00094C1B"/>
    <w:rsid w:val="00094CDA"/>
    <w:rsid w:val="00094F2F"/>
    <w:rsid w:val="00095823"/>
    <w:rsid w:val="00095A3D"/>
    <w:rsid w:val="00095BAB"/>
    <w:rsid w:val="00095DFF"/>
    <w:rsid w:val="00095FE7"/>
    <w:rsid w:val="000962A2"/>
    <w:rsid w:val="00096BCE"/>
    <w:rsid w:val="00096C4B"/>
    <w:rsid w:val="00096C77"/>
    <w:rsid w:val="00096CFB"/>
    <w:rsid w:val="000971E5"/>
    <w:rsid w:val="00097933"/>
    <w:rsid w:val="00097A92"/>
    <w:rsid w:val="00097CE6"/>
    <w:rsid w:val="000A02AC"/>
    <w:rsid w:val="000A03F4"/>
    <w:rsid w:val="000A041D"/>
    <w:rsid w:val="000A05C5"/>
    <w:rsid w:val="000A0A81"/>
    <w:rsid w:val="000A0DB6"/>
    <w:rsid w:val="000A1304"/>
    <w:rsid w:val="000A18F4"/>
    <w:rsid w:val="000A1AC6"/>
    <w:rsid w:val="000A1E58"/>
    <w:rsid w:val="000A22E2"/>
    <w:rsid w:val="000A23DF"/>
    <w:rsid w:val="000A2484"/>
    <w:rsid w:val="000A2ABE"/>
    <w:rsid w:val="000A2B3C"/>
    <w:rsid w:val="000A2BEA"/>
    <w:rsid w:val="000A32E2"/>
    <w:rsid w:val="000A3411"/>
    <w:rsid w:val="000A355E"/>
    <w:rsid w:val="000A370F"/>
    <w:rsid w:val="000A37B2"/>
    <w:rsid w:val="000A3F09"/>
    <w:rsid w:val="000A3FF7"/>
    <w:rsid w:val="000A43AC"/>
    <w:rsid w:val="000A451C"/>
    <w:rsid w:val="000A4611"/>
    <w:rsid w:val="000A474C"/>
    <w:rsid w:val="000A4AB4"/>
    <w:rsid w:val="000A4BD5"/>
    <w:rsid w:val="000A4D26"/>
    <w:rsid w:val="000A5659"/>
    <w:rsid w:val="000A5877"/>
    <w:rsid w:val="000A5C00"/>
    <w:rsid w:val="000A5D0C"/>
    <w:rsid w:val="000A619B"/>
    <w:rsid w:val="000A65A7"/>
    <w:rsid w:val="000A6678"/>
    <w:rsid w:val="000A6826"/>
    <w:rsid w:val="000A6B68"/>
    <w:rsid w:val="000A6FD4"/>
    <w:rsid w:val="000A78C2"/>
    <w:rsid w:val="000A7A13"/>
    <w:rsid w:val="000A7E36"/>
    <w:rsid w:val="000B08B1"/>
    <w:rsid w:val="000B0EDE"/>
    <w:rsid w:val="000B143A"/>
    <w:rsid w:val="000B1B88"/>
    <w:rsid w:val="000B1C6C"/>
    <w:rsid w:val="000B1F52"/>
    <w:rsid w:val="000B2353"/>
    <w:rsid w:val="000B258D"/>
    <w:rsid w:val="000B294E"/>
    <w:rsid w:val="000B2A0C"/>
    <w:rsid w:val="000B2E34"/>
    <w:rsid w:val="000B3430"/>
    <w:rsid w:val="000B3663"/>
    <w:rsid w:val="000B3702"/>
    <w:rsid w:val="000B39F1"/>
    <w:rsid w:val="000B3BD7"/>
    <w:rsid w:val="000B3CBE"/>
    <w:rsid w:val="000B43A8"/>
    <w:rsid w:val="000B4486"/>
    <w:rsid w:val="000B4740"/>
    <w:rsid w:val="000B4757"/>
    <w:rsid w:val="000B48A7"/>
    <w:rsid w:val="000B4988"/>
    <w:rsid w:val="000B4CCF"/>
    <w:rsid w:val="000B53FC"/>
    <w:rsid w:val="000B5D53"/>
    <w:rsid w:val="000B613B"/>
    <w:rsid w:val="000B627C"/>
    <w:rsid w:val="000B63F0"/>
    <w:rsid w:val="000B64D8"/>
    <w:rsid w:val="000B66E1"/>
    <w:rsid w:val="000B6808"/>
    <w:rsid w:val="000B6C26"/>
    <w:rsid w:val="000B718B"/>
    <w:rsid w:val="000C00DE"/>
    <w:rsid w:val="000C0278"/>
    <w:rsid w:val="000C0589"/>
    <w:rsid w:val="000C0BBE"/>
    <w:rsid w:val="000C0D0B"/>
    <w:rsid w:val="000C1107"/>
    <w:rsid w:val="000C1315"/>
    <w:rsid w:val="000C1506"/>
    <w:rsid w:val="000C1961"/>
    <w:rsid w:val="000C1CF0"/>
    <w:rsid w:val="000C2635"/>
    <w:rsid w:val="000C2ABC"/>
    <w:rsid w:val="000C2DD6"/>
    <w:rsid w:val="000C36BA"/>
    <w:rsid w:val="000C3979"/>
    <w:rsid w:val="000C3E2C"/>
    <w:rsid w:val="000C4057"/>
    <w:rsid w:val="000C40C5"/>
    <w:rsid w:val="000C4F83"/>
    <w:rsid w:val="000C5260"/>
    <w:rsid w:val="000C54EF"/>
    <w:rsid w:val="000C5B81"/>
    <w:rsid w:val="000C5FD7"/>
    <w:rsid w:val="000C612E"/>
    <w:rsid w:val="000C638B"/>
    <w:rsid w:val="000C64D0"/>
    <w:rsid w:val="000C65B8"/>
    <w:rsid w:val="000C6604"/>
    <w:rsid w:val="000C75B3"/>
    <w:rsid w:val="000D0069"/>
    <w:rsid w:val="000D03AE"/>
    <w:rsid w:val="000D046B"/>
    <w:rsid w:val="000D05D2"/>
    <w:rsid w:val="000D06BA"/>
    <w:rsid w:val="000D08E8"/>
    <w:rsid w:val="000D124E"/>
    <w:rsid w:val="000D14B9"/>
    <w:rsid w:val="000D1741"/>
    <w:rsid w:val="000D190B"/>
    <w:rsid w:val="000D1A6B"/>
    <w:rsid w:val="000D1F0F"/>
    <w:rsid w:val="000D2E92"/>
    <w:rsid w:val="000D2F19"/>
    <w:rsid w:val="000D2F5B"/>
    <w:rsid w:val="000D32A0"/>
    <w:rsid w:val="000D33BA"/>
    <w:rsid w:val="000D3A2C"/>
    <w:rsid w:val="000D3BB8"/>
    <w:rsid w:val="000D3DC8"/>
    <w:rsid w:val="000D3EFC"/>
    <w:rsid w:val="000D408B"/>
    <w:rsid w:val="000D47A0"/>
    <w:rsid w:val="000D48FF"/>
    <w:rsid w:val="000D4913"/>
    <w:rsid w:val="000D4E9F"/>
    <w:rsid w:val="000D4FE8"/>
    <w:rsid w:val="000D5036"/>
    <w:rsid w:val="000D506C"/>
    <w:rsid w:val="000D5540"/>
    <w:rsid w:val="000D56EA"/>
    <w:rsid w:val="000D57A6"/>
    <w:rsid w:val="000D5955"/>
    <w:rsid w:val="000D5A60"/>
    <w:rsid w:val="000D5BE0"/>
    <w:rsid w:val="000D5F49"/>
    <w:rsid w:val="000D6527"/>
    <w:rsid w:val="000D73D2"/>
    <w:rsid w:val="000D7BB7"/>
    <w:rsid w:val="000D7C97"/>
    <w:rsid w:val="000D7E1A"/>
    <w:rsid w:val="000E0495"/>
    <w:rsid w:val="000E0891"/>
    <w:rsid w:val="000E08EF"/>
    <w:rsid w:val="000E0ECA"/>
    <w:rsid w:val="000E160B"/>
    <w:rsid w:val="000E173F"/>
    <w:rsid w:val="000E1A56"/>
    <w:rsid w:val="000E1E18"/>
    <w:rsid w:val="000E2128"/>
    <w:rsid w:val="000E2149"/>
    <w:rsid w:val="000E23CB"/>
    <w:rsid w:val="000E2409"/>
    <w:rsid w:val="000E244E"/>
    <w:rsid w:val="000E28EC"/>
    <w:rsid w:val="000E2C26"/>
    <w:rsid w:val="000E2EB4"/>
    <w:rsid w:val="000E31D3"/>
    <w:rsid w:val="000E36A8"/>
    <w:rsid w:val="000E3C1D"/>
    <w:rsid w:val="000E3F65"/>
    <w:rsid w:val="000E46AB"/>
    <w:rsid w:val="000E4842"/>
    <w:rsid w:val="000E4FEC"/>
    <w:rsid w:val="000E5617"/>
    <w:rsid w:val="000E5652"/>
    <w:rsid w:val="000E5B16"/>
    <w:rsid w:val="000E5F06"/>
    <w:rsid w:val="000E63C3"/>
    <w:rsid w:val="000E65D6"/>
    <w:rsid w:val="000E67FE"/>
    <w:rsid w:val="000E6829"/>
    <w:rsid w:val="000E6A11"/>
    <w:rsid w:val="000E6EC4"/>
    <w:rsid w:val="000E71C0"/>
    <w:rsid w:val="000E7535"/>
    <w:rsid w:val="000E7704"/>
    <w:rsid w:val="000E77D9"/>
    <w:rsid w:val="000E7B65"/>
    <w:rsid w:val="000F0601"/>
    <w:rsid w:val="000F0897"/>
    <w:rsid w:val="000F099A"/>
    <w:rsid w:val="000F0C79"/>
    <w:rsid w:val="000F1032"/>
    <w:rsid w:val="000F1418"/>
    <w:rsid w:val="000F17B5"/>
    <w:rsid w:val="000F19E1"/>
    <w:rsid w:val="000F1ABB"/>
    <w:rsid w:val="000F231E"/>
    <w:rsid w:val="000F260C"/>
    <w:rsid w:val="000F26A1"/>
    <w:rsid w:val="000F279E"/>
    <w:rsid w:val="000F27E5"/>
    <w:rsid w:val="000F284A"/>
    <w:rsid w:val="000F2C5A"/>
    <w:rsid w:val="000F3570"/>
    <w:rsid w:val="000F3746"/>
    <w:rsid w:val="000F3942"/>
    <w:rsid w:val="000F3A48"/>
    <w:rsid w:val="000F3B54"/>
    <w:rsid w:val="000F3E42"/>
    <w:rsid w:val="000F42D2"/>
    <w:rsid w:val="000F444D"/>
    <w:rsid w:val="000F45BA"/>
    <w:rsid w:val="000F4A1E"/>
    <w:rsid w:val="000F4A96"/>
    <w:rsid w:val="000F4BEE"/>
    <w:rsid w:val="000F4E97"/>
    <w:rsid w:val="000F5BA4"/>
    <w:rsid w:val="000F5CCE"/>
    <w:rsid w:val="000F5CDA"/>
    <w:rsid w:val="000F5F04"/>
    <w:rsid w:val="000F6503"/>
    <w:rsid w:val="000F7126"/>
    <w:rsid w:val="000F712E"/>
    <w:rsid w:val="000F7261"/>
    <w:rsid w:val="000F72AB"/>
    <w:rsid w:val="000F731C"/>
    <w:rsid w:val="000F7531"/>
    <w:rsid w:val="000F75B9"/>
    <w:rsid w:val="000F7C31"/>
    <w:rsid w:val="000F7CA6"/>
    <w:rsid w:val="0010008F"/>
    <w:rsid w:val="001005F6"/>
    <w:rsid w:val="00100B69"/>
    <w:rsid w:val="00100E69"/>
    <w:rsid w:val="0010112F"/>
    <w:rsid w:val="001013F6"/>
    <w:rsid w:val="001015E8"/>
    <w:rsid w:val="001025BA"/>
    <w:rsid w:val="00102675"/>
    <w:rsid w:val="0010308A"/>
    <w:rsid w:val="0010390F"/>
    <w:rsid w:val="001039F3"/>
    <w:rsid w:val="00103F7F"/>
    <w:rsid w:val="00104455"/>
    <w:rsid w:val="001046B6"/>
    <w:rsid w:val="00104BEF"/>
    <w:rsid w:val="00104C09"/>
    <w:rsid w:val="00104C76"/>
    <w:rsid w:val="00104D9A"/>
    <w:rsid w:val="00104E54"/>
    <w:rsid w:val="00104F8A"/>
    <w:rsid w:val="001050C7"/>
    <w:rsid w:val="00105922"/>
    <w:rsid w:val="0010607F"/>
    <w:rsid w:val="0010641C"/>
    <w:rsid w:val="001070B5"/>
    <w:rsid w:val="00107167"/>
    <w:rsid w:val="001072F9"/>
    <w:rsid w:val="00107327"/>
    <w:rsid w:val="001079DF"/>
    <w:rsid w:val="00110440"/>
    <w:rsid w:val="001108C5"/>
    <w:rsid w:val="00110968"/>
    <w:rsid w:val="00110C4A"/>
    <w:rsid w:val="00110D8E"/>
    <w:rsid w:val="0011110B"/>
    <w:rsid w:val="001112D8"/>
    <w:rsid w:val="00112143"/>
    <w:rsid w:val="0011283C"/>
    <w:rsid w:val="00112B27"/>
    <w:rsid w:val="00112E3C"/>
    <w:rsid w:val="00113140"/>
    <w:rsid w:val="0011381C"/>
    <w:rsid w:val="001139F5"/>
    <w:rsid w:val="00113A03"/>
    <w:rsid w:val="00113E74"/>
    <w:rsid w:val="00113F82"/>
    <w:rsid w:val="00114014"/>
    <w:rsid w:val="00114051"/>
    <w:rsid w:val="00114293"/>
    <w:rsid w:val="001142A8"/>
    <w:rsid w:val="001142E9"/>
    <w:rsid w:val="00114A7B"/>
    <w:rsid w:val="00114B68"/>
    <w:rsid w:val="00114BC5"/>
    <w:rsid w:val="0011507A"/>
    <w:rsid w:val="00115325"/>
    <w:rsid w:val="00115FDF"/>
    <w:rsid w:val="00116057"/>
    <w:rsid w:val="00116396"/>
    <w:rsid w:val="001170DF"/>
    <w:rsid w:val="0011738B"/>
    <w:rsid w:val="0011742C"/>
    <w:rsid w:val="00117902"/>
    <w:rsid w:val="001200F1"/>
    <w:rsid w:val="00120908"/>
    <w:rsid w:val="00121851"/>
    <w:rsid w:val="00121C56"/>
    <w:rsid w:val="00122150"/>
    <w:rsid w:val="00122366"/>
    <w:rsid w:val="0012253E"/>
    <w:rsid w:val="00122706"/>
    <w:rsid w:val="00122765"/>
    <w:rsid w:val="00122A54"/>
    <w:rsid w:val="00122B2C"/>
    <w:rsid w:val="00122C25"/>
    <w:rsid w:val="00122CE1"/>
    <w:rsid w:val="00122E8E"/>
    <w:rsid w:val="00123293"/>
    <w:rsid w:val="001233CA"/>
    <w:rsid w:val="0012394F"/>
    <w:rsid w:val="001239F1"/>
    <w:rsid w:val="001244BF"/>
    <w:rsid w:val="00124835"/>
    <w:rsid w:val="0012485B"/>
    <w:rsid w:val="00124892"/>
    <w:rsid w:val="001248E6"/>
    <w:rsid w:val="001249FD"/>
    <w:rsid w:val="00124ABE"/>
    <w:rsid w:val="00125741"/>
    <w:rsid w:val="00126509"/>
    <w:rsid w:val="00126726"/>
    <w:rsid w:val="00126853"/>
    <w:rsid w:val="00126875"/>
    <w:rsid w:val="001268C7"/>
    <w:rsid w:val="0012696D"/>
    <w:rsid w:val="00126A42"/>
    <w:rsid w:val="00126AD0"/>
    <w:rsid w:val="001273FC"/>
    <w:rsid w:val="0012771A"/>
    <w:rsid w:val="00127727"/>
    <w:rsid w:val="00127A46"/>
    <w:rsid w:val="00127D97"/>
    <w:rsid w:val="00127F81"/>
    <w:rsid w:val="001307A2"/>
    <w:rsid w:val="0013089A"/>
    <w:rsid w:val="001309F1"/>
    <w:rsid w:val="001311A7"/>
    <w:rsid w:val="00131451"/>
    <w:rsid w:val="0013169E"/>
    <w:rsid w:val="00131EB3"/>
    <w:rsid w:val="001326C4"/>
    <w:rsid w:val="00132C11"/>
    <w:rsid w:val="00133326"/>
    <w:rsid w:val="00133470"/>
    <w:rsid w:val="0013352A"/>
    <w:rsid w:val="00133619"/>
    <w:rsid w:val="00134237"/>
    <w:rsid w:val="00134336"/>
    <w:rsid w:val="001349C1"/>
    <w:rsid w:val="00134A91"/>
    <w:rsid w:val="00134CD1"/>
    <w:rsid w:val="00134EB7"/>
    <w:rsid w:val="001355E6"/>
    <w:rsid w:val="0013594D"/>
    <w:rsid w:val="00135D91"/>
    <w:rsid w:val="00135DF8"/>
    <w:rsid w:val="00136141"/>
    <w:rsid w:val="001361DC"/>
    <w:rsid w:val="001364BC"/>
    <w:rsid w:val="00136553"/>
    <w:rsid w:val="0013661E"/>
    <w:rsid w:val="00136845"/>
    <w:rsid w:val="00136A8D"/>
    <w:rsid w:val="00136B2A"/>
    <w:rsid w:val="00136FE6"/>
    <w:rsid w:val="0013742E"/>
    <w:rsid w:val="001374D4"/>
    <w:rsid w:val="001378F4"/>
    <w:rsid w:val="00137F87"/>
    <w:rsid w:val="001401FD"/>
    <w:rsid w:val="00140469"/>
    <w:rsid w:val="0014074A"/>
    <w:rsid w:val="001407F6"/>
    <w:rsid w:val="00140F0E"/>
    <w:rsid w:val="001414BE"/>
    <w:rsid w:val="00141711"/>
    <w:rsid w:val="00141D17"/>
    <w:rsid w:val="001427CF"/>
    <w:rsid w:val="00142819"/>
    <w:rsid w:val="00142BD0"/>
    <w:rsid w:val="00142D60"/>
    <w:rsid w:val="001430C5"/>
    <w:rsid w:val="0014334E"/>
    <w:rsid w:val="0014345D"/>
    <w:rsid w:val="00143A01"/>
    <w:rsid w:val="00143F8B"/>
    <w:rsid w:val="001440E0"/>
    <w:rsid w:val="00144201"/>
    <w:rsid w:val="00144855"/>
    <w:rsid w:val="0014550B"/>
    <w:rsid w:val="00145675"/>
    <w:rsid w:val="001457C4"/>
    <w:rsid w:val="00145D0D"/>
    <w:rsid w:val="00146200"/>
    <w:rsid w:val="0014621E"/>
    <w:rsid w:val="001463AC"/>
    <w:rsid w:val="0014679B"/>
    <w:rsid w:val="00146A77"/>
    <w:rsid w:val="00147430"/>
    <w:rsid w:val="001475ED"/>
    <w:rsid w:val="00147825"/>
    <w:rsid w:val="00147CB4"/>
    <w:rsid w:val="00147D87"/>
    <w:rsid w:val="001500EF"/>
    <w:rsid w:val="001506A0"/>
    <w:rsid w:val="00150775"/>
    <w:rsid w:val="001508F5"/>
    <w:rsid w:val="00150AB8"/>
    <w:rsid w:val="00150C71"/>
    <w:rsid w:val="00150D81"/>
    <w:rsid w:val="00150ECA"/>
    <w:rsid w:val="00150FCA"/>
    <w:rsid w:val="00151052"/>
    <w:rsid w:val="00151BA7"/>
    <w:rsid w:val="00151F6A"/>
    <w:rsid w:val="00152240"/>
    <w:rsid w:val="001523D1"/>
    <w:rsid w:val="001524EE"/>
    <w:rsid w:val="001527F3"/>
    <w:rsid w:val="0015310D"/>
    <w:rsid w:val="00153208"/>
    <w:rsid w:val="001532FF"/>
    <w:rsid w:val="0015353F"/>
    <w:rsid w:val="0015396C"/>
    <w:rsid w:val="001539CC"/>
    <w:rsid w:val="00153DED"/>
    <w:rsid w:val="00154129"/>
    <w:rsid w:val="001549F8"/>
    <w:rsid w:val="00154A7A"/>
    <w:rsid w:val="00154ED6"/>
    <w:rsid w:val="00154F40"/>
    <w:rsid w:val="001555CD"/>
    <w:rsid w:val="00155630"/>
    <w:rsid w:val="00155B31"/>
    <w:rsid w:val="00155B96"/>
    <w:rsid w:val="00155DFD"/>
    <w:rsid w:val="00155E47"/>
    <w:rsid w:val="0015650F"/>
    <w:rsid w:val="00156737"/>
    <w:rsid w:val="00156944"/>
    <w:rsid w:val="00156AE9"/>
    <w:rsid w:val="001571E1"/>
    <w:rsid w:val="001573F0"/>
    <w:rsid w:val="00157E24"/>
    <w:rsid w:val="00157FE0"/>
    <w:rsid w:val="00160AA8"/>
    <w:rsid w:val="00160B05"/>
    <w:rsid w:val="00160CBB"/>
    <w:rsid w:val="00161229"/>
    <w:rsid w:val="00161F04"/>
    <w:rsid w:val="00162499"/>
    <w:rsid w:val="00162B39"/>
    <w:rsid w:val="00163E89"/>
    <w:rsid w:val="00163ED3"/>
    <w:rsid w:val="00163F78"/>
    <w:rsid w:val="00164066"/>
    <w:rsid w:val="001640A7"/>
    <w:rsid w:val="001642AC"/>
    <w:rsid w:val="0016455E"/>
    <w:rsid w:val="00164707"/>
    <w:rsid w:val="00164AFE"/>
    <w:rsid w:val="00164DB7"/>
    <w:rsid w:val="00164F1F"/>
    <w:rsid w:val="00164F2D"/>
    <w:rsid w:val="00165571"/>
    <w:rsid w:val="00165962"/>
    <w:rsid w:val="00165D94"/>
    <w:rsid w:val="00165E96"/>
    <w:rsid w:val="00166851"/>
    <w:rsid w:val="001669A3"/>
    <w:rsid w:val="00166BB4"/>
    <w:rsid w:val="001672D3"/>
    <w:rsid w:val="0016738A"/>
    <w:rsid w:val="00167625"/>
    <w:rsid w:val="001676E3"/>
    <w:rsid w:val="001679CA"/>
    <w:rsid w:val="00167AE0"/>
    <w:rsid w:val="00167CA3"/>
    <w:rsid w:val="0017037D"/>
    <w:rsid w:val="0017066B"/>
    <w:rsid w:val="00170761"/>
    <w:rsid w:val="001707FA"/>
    <w:rsid w:val="001709F1"/>
    <w:rsid w:val="00170CCB"/>
    <w:rsid w:val="00170F26"/>
    <w:rsid w:val="00171675"/>
    <w:rsid w:val="001719E2"/>
    <w:rsid w:val="00171A56"/>
    <w:rsid w:val="001722FE"/>
    <w:rsid w:val="0017264C"/>
    <w:rsid w:val="001729F8"/>
    <w:rsid w:val="00172B31"/>
    <w:rsid w:val="00172CC3"/>
    <w:rsid w:val="00172D5D"/>
    <w:rsid w:val="00172E73"/>
    <w:rsid w:val="0017314B"/>
    <w:rsid w:val="0017317E"/>
    <w:rsid w:val="001733C9"/>
    <w:rsid w:val="00173782"/>
    <w:rsid w:val="00173959"/>
    <w:rsid w:val="00173E3A"/>
    <w:rsid w:val="00174448"/>
    <w:rsid w:val="00174B30"/>
    <w:rsid w:val="00174CDB"/>
    <w:rsid w:val="00174FD7"/>
    <w:rsid w:val="00175333"/>
    <w:rsid w:val="00175334"/>
    <w:rsid w:val="00175BF6"/>
    <w:rsid w:val="00175DB0"/>
    <w:rsid w:val="00175E63"/>
    <w:rsid w:val="00176609"/>
    <w:rsid w:val="00176662"/>
    <w:rsid w:val="00176EF1"/>
    <w:rsid w:val="00177283"/>
    <w:rsid w:val="001773FF"/>
    <w:rsid w:val="00180163"/>
    <w:rsid w:val="001803E9"/>
    <w:rsid w:val="001807F7"/>
    <w:rsid w:val="00180C01"/>
    <w:rsid w:val="00180C2A"/>
    <w:rsid w:val="00180D9B"/>
    <w:rsid w:val="00180E28"/>
    <w:rsid w:val="0018112F"/>
    <w:rsid w:val="001811D8"/>
    <w:rsid w:val="00181463"/>
    <w:rsid w:val="0018173F"/>
    <w:rsid w:val="00181ECF"/>
    <w:rsid w:val="00181F7A"/>
    <w:rsid w:val="00182252"/>
    <w:rsid w:val="00182354"/>
    <w:rsid w:val="00182429"/>
    <w:rsid w:val="001824E6"/>
    <w:rsid w:val="001829DA"/>
    <w:rsid w:val="00182CF8"/>
    <w:rsid w:val="00182FC0"/>
    <w:rsid w:val="0018320E"/>
    <w:rsid w:val="0018326D"/>
    <w:rsid w:val="001832AA"/>
    <w:rsid w:val="00183E59"/>
    <w:rsid w:val="00184619"/>
    <w:rsid w:val="00184B88"/>
    <w:rsid w:val="00185593"/>
    <w:rsid w:val="00185A7E"/>
    <w:rsid w:val="00185EDB"/>
    <w:rsid w:val="00186731"/>
    <w:rsid w:val="0018689B"/>
    <w:rsid w:val="00186B85"/>
    <w:rsid w:val="001872F6"/>
    <w:rsid w:val="001876E4"/>
    <w:rsid w:val="00187A87"/>
    <w:rsid w:val="00187AD4"/>
    <w:rsid w:val="00190080"/>
    <w:rsid w:val="0019029D"/>
    <w:rsid w:val="00190503"/>
    <w:rsid w:val="00190827"/>
    <w:rsid w:val="00190879"/>
    <w:rsid w:val="00190B11"/>
    <w:rsid w:val="00190BD3"/>
    <w:rsid w:val="00190C01"/>
    <w:rsid w:val="00190F75"/>
    <w:rsid w:val="00191661"/>
    <w:rsid w:val="0019191C"/>
    <w:rsid w:val="001919D3"/>
    <w:rsid w:val="00191A32"/>
    <w:rsid w:val="00191A64"/>
    <w:rsid w:val="00191EF0"/>
    <w:rsid w:val="001926B2"/>
    <w:rsid w:val="00192800"/>
    <w:rsid w:val="00192993"/>
    <w:rsid w:val="00192DEE"/>
    <w:rsid w:val="00192E4B"/>
    <w:rsid w:val="0019350F"/>
    <w:rsid w:val="0019364F"/>
    <w:rsid w:val="001939A2"/>
    <w:rsid w:val="00193A47"/>
    <w:rsid w:val="00193B20"/>
    <w:rsid w:val="001940F0"/>
    <w:rsid w:val="0019424F"/>
    <w:rsid w:val="0019443F"/>
    <w:rsid w:val="001947EC"/>
    <w:rsid w:val="0019482D"/>
    <w:rsid w:val="0019495E"/>
    <w:rsid w:val="00194BC5"/>
    <w:rsid w:val="00194E8A"/>
    <w:rsid w:val="00194EBD"/>
    <w:rsid w:val="0019500D"/>
    <w:rsid w:val="0019506E"/>
    <w:rsid w:val="0019520A"/>
    <w:rsid w:val="0019529A"/>
    <w:rsid w:val="00195425"/>
    <w:rsid w:val="0019543D"/>
    <w:rsid w:val="001954E6"/>
    <w:rsid w:val="001957F6"/>
    <w:rsid w:val="0019596C"/>
    <w:rsid w:val="00195B35"/>
    <w:rsid w:val="00195E0B"/>
    <w:rsid w:val="00195FC4"/>
    <w:rsid w:val="00196AEA"/>
    <w:rsid w:val="00196BD3"/>
    <w:rsid w:val="00196E49"/>
    <w:rsid w:val="001973B1"/>
    <w:rsid w:val="00197876"/>
    <w:rsid w:val="00197E03"/>
    <w:rsid w:val="001A0029"/>
    <w:rsid w:val="001A01F3"/>
    <w:rsid w:val="001A0D26"/>
    <w:rsid w:val="001A10F2"/>
    <w:rsid w:val="001A1186"/>
    <w:rsid w:val="001A15DD"/>
    <w:rsid w:val="001A2894"/>
    <w:rsid w:val="001A2D62"/>
    <w:rsid w:val="001A2D73"/>
    <w:rsid w:val="001A31B3"/>
    <w:rsid w:val="001A3637"/>
    <w:rsid w:val="001A3CE7"/>
    <w:rsid w:val="001A3E5D"/>
    <w:rsid w:val="001A42BA"/>
    <w:rsid w:val="001A4315"/>
    <w:rsid w:val="001A44A9"/>
    <w:rsid w:val="001A45A8"/>
    <w:rsid w:val="001A4968"/>
    <w:rsid w:val="001A4A51"/>
    <w:rsid w:val="001A4B70"/>
    <w:rsid w:val="001A4B97"/>
    <w:rsid w:val="001A4C76"/>
    <w:rsid w:val="001A5205"/>
    <w:rsid w:val="001A5907"/>
    <w:rsid w:val="001A5917"/>
    <w:rsid w:val="001A591A"/>
    <w:rsid w:val="001A5A12"/>
    <w:rsid w:val="001A5A6F"/>
    <w:rsid w:val="001A5DBE"/>
    <w:rsid w:val="001A6009"/>
    <w:rsid w:val="001A6160"/>
    <w:rsid w:val="001A710C"/>
    <w:rsid w:val="001A718A"/>
    <w:rsid w:val="001A784D"/>
    <w:rsid w:val="001A7B8E"/>
    <w:rsid w:val="001A7D8E"/>
    <w:rsid w:val="001A7E4F"/>
    <w:rsid w:val="001B0C7F"/>
    <w:rsid w:val="001B0DC6"/>
    <w:rsid w:val="001B0E40"/>
    <w:rsid w:val="001B0EE5"/>
    <w:rsid w:val="001B10C5"/>
    <w:rsid w:val="001B15D6"/>
    <w:rsid w:val="001B192A"/>
    <w:rsid w:val="001B1B7B"/>
    <w:rsid w:val="001B1DE6"/>
    <w:rsid w:val="001B1F39"/>
    <w:rsid w:val="001B2171"/>
    <w:rsid w:val="001B24C3"/>
    <w:rsid w:val="001B2E1C"/>
    <w:rsid w:val="001B306B"/>
    <w:rsid w:val="001B3144"/>
    <w:rsid w:val="001B32ED"/>
    <w:rsid w:val="001B3379"/>
    <w:rsid w:val="001B352F"/>
    <w:rsid w:val="001B396A"/>
    <w:rsid w:val="001B3B7F"/>
    <w:rsid w:val="001B3F89"/>
    <w:rsid w:val="001B4157"/>
    <w:rsid w:val="001B41F8"/>
    <w:rsid w:val="001B4241"/>
    <w:rsid w:val="001B42CA"/>
    <w:rsid w:val="001B4375"/>
    <w:rsid w:val="001B43A4"/>
    <w:rsid w:val="001B44B7"/>
    <w:rsid w:val="001B465C"/>
    <w:rsid w:val="001B4802"/>
    <w:rsid w:val="001B490F"/>
    <w:rsid w:val="001B49C2"/>
    <w:rsid w:val="001B4B68"/>
    <w:rsid w:val="001B4C36"/>
    <w:rsid w:val="001B4C43"/>
    <w:rsid w:val="001B4DBD"/>
    <w:rsid w:val="001B4E10"/>
    <w:rsid w:val="001B4E85"/>
    <w:rsid w:val="001B5029"/>
    <w:rsid w:val="001B5185"/>
    <w:rsid w:val="001B57DB"/>
    <w:rsid w:val="001B58F4"/>
    <w:rsid w:val="001B6294"/>
    <w:rsid w:val="001B6600"/>
    <w:rsid w:val="001B6648"/>
    <w:rsid w:val="001B6A2D"/>
    <w:rsid w:val="001B6A4D"/>
    <w:rsid w:val="001B6BCA"/>
    <w:rsid w:val="001B6D98"/>
    <w:rsid w:val="001B6E9C"/>
    <w:rsid w:val="001B7226"/>
    <w:rsid w:val="001B7340"/>
    <w:rsid w:val="001B7679"/>
    <w:rsid w:val="001B775B"/>
    <w:rsid w:val="001B7F2C"/>
    <w:rsid w:val="001C0093"/>
    <w:rsid w:val="001C00BA"/>
    <w:rsid w:val="001C00F3"/>
    <w:rsid w:val="001C03C0"/>
    <w:rsid w:val="001C0689"/>
    <w:rsid w:val="001C095C"/>
    <w:rsid w:val="001C098A"/>
    <w:rsid w:val="001C0C02"/>
    <w:rsid w:val="001C1362"/>
    <w:rsid w:val="001C14DE"/>
    <w:rsid w:val="001C1A5D"/>
    <w:rsid w:val="001C24D3"/>
    <w:rsid w:val="001C2A7E"/>
    <w:rsid w:val="001C2B66"/>
    <w:rsid w:val="001C2D6D"/>
    <w:rsid w:val="001C3085"/>
    <w:rsid w:val="001C309F"/>
    <w:rsid w:val="001C3320"/>
    <w:rsid w:val="001C37B6"/>
    <w:rsid w:val="001C3D4F"/>
    <w:rsid w:val="001C3DA0"/>
    <w:rsid w:val="001C3F62"/>
    <w:rsid w:val="001C40D2"/>
    <w:rsid w:val="001C41A4"/>
    <w:rsid w:val="001C433B"/>
    <w:rsid w:val="001C4671"/>
    <w:rsid w:val="001C4AD0"/>
    <w:rsid w:val="001C4C16"/>
    <w:rsid w:val="001C4DC6"/>
    <w:rsid w:val="001C5CB2"/>
    <w:rsid w:val="001C5D0E"/>
    <w:rsid w:val="001C623F"/>
    <w:rsid w:val="001C638E"/>
    <w:rsid w:val="001C6885"/>
    <w:rsid w:val="001C6CE6"/>
    <w:rsid w:val="001C6E1E"/>
    <w:rsid w:val="001C71C6"/>
    <w:rsid w:val="001C732E"/>
    <w:rsid w:val="001C7463"/>
    <w:rsid w:val="001C7466"/>
    <w:rsid w:val="001C7A55"/>
    <w:rsid w:val="001D0000"/>
    <w:rsid w:val="001D01D1"/>
    <w:rsid w:val="001D0B9D"/>
    <w:rsid w:val="001D0BF5"/>
    <w:rsid w:val="001D10EA"/>
    <w:rsid w:val="001D1170"/>
    <w:rsid w:val="001D11FE"/>
    <w:rsid w:val="001D15B0"/>
    <w:rsid w:val="001D162C"/>
    <w:rsid w:val="001D19FB"/>
    <w:rsid w:val="001D1A4A"/>
    <w:rsid w:val="001D1EF5"/>
    <w:rsid w:val="001D277E"/>
    <w:rsid w:val="001D27C6"/>
    <w:rsid w:val="001D2D78"/>
    <w:rsid w:val="001D30A5"/>
    <w:rsid w:val="001D361D"/>
    <w:rsid w:val="001D3752"/>
    <w:rsid w:val="001D3872"/>
    <w:rsid w:val="001D3FB6"/>
    <w:rsid w:val="001D44D4"/>
    <w:rsid w:val="001D47B2"/>
    <w:rsid w:val="001D4B6C"/>
    <w:rsid w:val="001D52D2"/>
    <w:rsid w:val="001D545B"/>
    <w:rsid w:val="001D559C"/>
    <w:rsid w:val="001D5633"/>
    <w:rsid w:val="001D5EBC"/>
    <w:rsid w:val="001D62F7"/>
    <w:rsid w:val="001D679E"/>
    <w:rsid w:val="001D6AE1"/>
    <w:rsid w:val="001D7061"/>
    <w:rsid w:val="001D7307"/>
    <w:rsid w:val="001D747C"/>
    <w:rsid w:val="001D74F9"/>
    <w:rsid w:val="001D77DF"/>
    <w:rsid w:val="001D7BCE"/>
    <w:rsid w:val="001D7CDD"/>
    <w:rsid w:val="001E0495"/>
    <w:rsid w:val="001E07DE"/>
    <w:rsid w:val="001E0846"/>
    <w:rsid w:val="001E0934"/>
    <w:rsid w:val="001E0DE7"/>
    <w:rsid w:val="001E0DE8"/>
    <w:rsid w:val="001E0E36"/>
    <w:rsid w:val="001E1006"/>
    <w:rsid w:val="001E11EA"/>
    <w:rsid w:val="001E127B"/>
    <w:rsid w:val="001E14C3"/>
    <w:rsid w:val="001E1557"/>
    <w:rsid w:val="001E1B9C"/>
    <w:rsid w:val="001E1C54"/>
    <w:rsid w:val="001E2884"/>
    <w:rsid w:val="001E28A1"/>
    <w:rsid w:val="001E2F98"/>
    <w:rsid w:val="001E2FDC"/>
    <w:rsid w:val="001E301F"/>
    <w:rsid w:val="001E3164"/>
    <w:rsid w:val="001E3189"/>
    <w:rsid w:val="001E346D"/>
    <w:rsid w:val="001E366A"/>
    <w:rsid w:val="001E3FBB"/>
    <w:rsid w:val="001E4217"/>
    <w:rsid w:val="001E42A6"/>
    <w:rsid w:val="001E47D2"/>
    <w:rsid w:val="001E4844"/>
    <w:rsid w:val="001E4F30"/>
    <w:rsid w:val="001E4F6C"/>
    <w:rsid w:val="001E5A6F"/>
    <w:rsid w:val="001E67F1"/>
    <w:rsid w:val="001E69A3"/>
    <w:rsid w:val="001E6B2E"/>
    <w:rsid w:val="001E6D5B"/>
    <w:rsid w:val="001E6DE2"/>
    <w:rsid w:val="001E6EDB"/>
    <w:rsid w:val="001E6F68"/>
    <w:rsid w:val="001E70E2"/>
    <w:rsid w:val="001E76AB"/>
    <w:rsid w:val="001E7C0D"/>
    <w:rsid w:val="001E7C7C"/>
    <w:rsid w:val="001E7EAB"/>
    <w:rsid w:val="001F00D5"/>
    <w:rsid w:val="001F0C21"/>
    <w:rsid w:val="001F1265"/>
    <w:rsid w:val="001F22F6"/>
    <w:rsid w:val="001F298F"/>
    <w:rsid w:val="001F3055"/>
    <w:rsid w:val="001F3205"/>
    <w:rsid w:val="001F3FA6"/>
    <w:rsid w:val="001F40D6"/>
    <w:rsid w:val="001F4614"/>
    <w:rsid w:val="001F47C9"/>
    <w:rsid w:val="001F4DB9"/>
    <w:rsid w:val="001F4F8E"/>
    <w:rsid w:val="001F4FFD"/>
    <w:rsid w:val="001F508C"/>
    <w:rsid w:val="001F52E5"/>
    <w:rsid w:val="001F5638"/>
    <w:rsid w:val="001F571E"/>
    <w:rsid w:val="001F5994"/>
    <w:rsid w:val="001F60E6"/>
    <w:rsid w:val="001F6235"/>
    <w:rsid w:val="001F64A8"/>
    <w:rsid w:val="001F6527"/>
    <w:rsid w:val="001F6880"/>
    <w:rsid w:val="001F6A2D"/>
    <w:rsid w:val="001F6A93"/>
    <w:rsid w:val="001F6ABD"/>
    <w:rsid w:val="001F735E"/>
    <w:rsid w:val="001F738A"/>
    <w:rsid w:val="001F775B"/>
    <w:rsid w:val="001F79B3"/>
    <w:rsid w:val="001F7FA6"/>
    <w:rsid w:val="00200077"/>
    <w:rsid w:val="00200511"/>
    <w:rsid w:val="00200706"/>
    <w:rsid w:val="002008E4"/>
    <w:rsid w:val="00200F32"/>
    <w:rsid w:val="00200FD2"/>
    <w:rsid w:val="00200FE8"/>
    <w:rsid w:val="00201247"/>
    <w:rsid w:val="002015F3"/>
    <w:rsid w:val="00201AF7"/>
    <w:rsid w:val="00201B23"/>
    <w:rsid w:val="00201CA1"/>
    <w:rsid w:val="00201F7A"/>
    <w:rsid w:val="0020212A"/>
    <w:rsid w:val="00202328"/>
    <w:rsid w:val="002027E6"/>
    <w:rsid w:val="00202E97"/>
    <w:rsid w:val="0020322E"/>
    <w:rsid w:val="0020351C"/>
    <w:rsid w:val="0020384D"/>
    <w:rsid w:val="00203D18"/>
    <w:rsid w:val="00204273"/>
    <w:rsid w:val="002051FD"/>
    <w:rsid w:val="00205A1A"/>
    <w:rsid w:val="00205AB5"/>
    <w:rsid w:val="00205F5A"/>
    <w:rsid w:val="002063B3"/>
    <w:rsid w:val="0020655C"/>
    <w:rsid w:val="0020677E"/>
    <w:rsid w:val="00206C0D"/>
    <w:rsid w:val="00206F43"/>
    <w:rsid w:val="00207183"/>
    <w:rsid w:val="002073AA"/>
    <w:rsid w:val="00207755"/>
    <w:rsid w:val="00207CD4"/>
    <w:rsid w:val="00207E22"/>
    <w:rsid w:val="00207E23"/>
    <w:rsid w:val="00207FBF"/>
    <w:rsid w:val="0021002D"/>
    <w:rsid w:val="002106ED"/>
    <w:rsid w:val="00211DE3"/>
    <w:rsid w:val="002124D5"/>
    <w:rsid w:val="00212608"/>
    <w:rsid w:val="002129D3"/>
    <w:rsid w:val="00212C53"/>
    <w:rsid w:val="00213126"/>
    <w:rsid w:val="00213C34"/>
    <w:rsid w:val="00213C8D"/>
    <w:rsid w:val="00213D5D"/>
    <w:rsid w:val="00213F42"/>
    <w:rsid w:val="002149C4"/>
    <w:rsid w:val="00214A13"/>
    <w:rsid w:val="00215176"/>
    <w:rsid w:val="0021542A"/>
    <w:rsid w:val="00215B29"/>
    <w:rsid w:val="00215D12"/>
    <w:rsid w:val="00215FD1"/>
    <w:rsid w:val="0021670B"/>
    <w:rsid w:val="002167C5"/>
    <w:rsid w:val="00216B23"/>
    <w:rsid w:val="00216D5A"/>
    <w:rsid w:val="002172EC"/>
    <w:rsid w:val="00217B9E"/>
    <w:rsid w:val="00217F6F"/>
    <w:rsid w:val="0022025B"/>
    <w:rsid w:val="00220B37"/>
    <w:rsid w:val="00220BC2"/>
    <w:rsid w:val="002217EA"/>
    <w:rsid w:val="00221D57"/>
    <w:rsid w:val="00222220"/>
    <w:rsid w:val="00222367"/>
    <w:rsid w:val="00222395"/>
    <w:rsid w:val="002224C3"/>
    <w:rsid w:val="002225B1"/>
    <w:rsid w:val="00222774"/>
    <w:rsid w:val="00222A5D"/>
    <w:rsid w:val="00222A6A"/>
    <w:rsid w:val="00223E7E"/>
    <w:rsid w:val="00223F5E"/>
    <w:rsid w:val="00224592"/>
    <w:rsid w:val="0022535C"/>
    <w:rsid w:val="00225499"/>
    <w:rsid w:val="00225C20"/>
    <w:rsid w:val="00225C82"/>
    <w:rsid w:val="00226308"/>
    <w:rsid w:val="002265F7"/>
    <w:rsid w:val="00226685"/>
    <w:rsid w:val="0022699A"/>
    <w:rsid w:val="002269C2"/>
    <w:rsid w:val="00226C3E"/>
    <w:rsid w:val="00226DE2"/>
    <w:rsid w:val="002273A7"/>
    <w:rsid w:val="00227DC8"/>
    <w:rsid w:val="00230044"/>
    <w:rsid w:val="0023022A"/>
    <w:rsid w:val="00230479"/>
    <w:rsid w:val="00230763"/>
    <w:rsid w:val="0023102E"/>
    <w:rsid w:val="002311CD"/>
    <w:rsid w:val="00231207"/>
    <w:rsid w:val="00231518"/>
    <w:rsid w:val="00232083"/>
    <w:rsid w:val="0023219B"/>
    <w:rsid w:val="00232353"/>
    <w:rsid w:val="00232565"/>
    <w:rsid w:val="00232944"/>
    <w:rsid w:val="0023295B"/>
    <w:rsid w:val="00232AEE"/>
    <w:rsid w:val="0023345A"/>
    <w:rsid w:val="0023381C"/>
    <w:rsid w:val="00233A48"/>
    <w:rsid w:val="00233E31"/>
    <w:rsid w:val="00234089"/>
    <w:rsid w:val="002348F0"/>
    <w:rsid w:val="0023498B"/>
    <w:rsid w:val="0023514B"/>
    <w:rsid w:val="00235664"/>
    <w:rsid w:val="00235C11"/>
    <w:rsid w:val="00235C19"/>
    <w:rsid w:val="00235E5C"/>
    <w:rsid w:val="0023608F"/>
    <w:rsid w:val="0023615A"/>
    <w:rsid w:val="00236337"/>
    <w:rsid w:val="00236BB7"/>
    <w:rsid w:val="00236D4B"/>
    <w:rsid w:val="00237281"/>
    <w:rsid w:val="00237550"/>
    <w:rsid w:val="00237B5D"/>
    <w:rsid w:val="00237E1E"/>
    <w:rsid w:val="0024044F"/>
    <w:rsid w:val="00240C61"/>
    <w:rsid w:val="002410FE"/>
    <w:rsid w:val="002418FB"/>
    <w:rsid w:val="00241A1A"/>
    <w:rsid w:val="00241B61"/>
    <w:rsid w:val="00241D5C"/>
    <w:rsid w:val="00241FF5"/>
    <w:rsid w:val="002421A6"/>
    <w:rsid w:val="0024260C"/>
    <w:rsid w:val="0024292A"/>
    <w:rsid w:val="00242D9B"/>
    <w:rsid w:val="00242FC2"/>
    <w:rsid w:val="0024329A"/>
    <w:rsid w:val="0024389C"/>
    <w:rsid w:val="00243B5E"/>
    <w:rsid w:val="00243E2E"/>
    <w:rsid w:val="00244534"/>
    <w:rsid w:val="002447B0"/>
    <w:rsid w:val="00244B01"/>
    <w:rsid w:val="00244D35"/>
    <w:rsid w:val="00244F8D"/>
    <w:rsid w:val="00245184"/>
    <w:rsid w:val="002456C5"/>
    <w:rsid w:val="0024588F"/>
    <w:rsid w:val="002458A2"/>
    <w:rsid w:val="00245AB2"/>
    <w:rsid w:val="00245BC4"/>
    <w:rsid w:val="002461DF"/>
    <w:rsid w:val="002465A7"/>
    <w:rsid w:val="002466A1"/>
    <w:rsid w:val="0024678C"/>
    <w:rsid w:val="0024685C"/>
    <w:rsid w:val="00246BD2"/>
    <w:rsid w:val="00246C30"/>
    <w:rsid w:val="00246D46"/>
    <w:rsid w:val="0024711B"/>
    <w:rsid w:val="00247563"/>
    <w:rsid w:val="00247756"/>
    <w:rsid w:val="00247A07"/>
    <w:rsid w:val="00247EA5"/>
    <w:rsid w:val="002501AD"/>
    <w:rsid w:val="00250381"/>
    <w:rsid w:val="002503DE"/>
    <w:rsid w:val="002509D3"/>
    <w:rsid w:val="00250A4C"/>
    <w:rsid w:val="00250DB8"/>
    <w:rsid w:val="0025144D"/>
    <w:rsid w:val="002514D9"/>
    <w:rsid w:val="002514DB"/>
    <w:rsid w:val="00251647"/>
    <w:rsid w:val="00251A57"/>
    <w:rsid w:val="00251D21"/>
    <w:rsid w:val="00251DA0"/>
    <w:rsid w:val="00252102"/>
    <w:rsid w:val="002523CC"/>
    <w:rsid w:val="0025289F"/>
    <w:rsid w:val="00252982"/>
    <w:rsid w:val="00252A74"/>
    <w:rsid w:val="00252ADF"/>
    <w:rsid w:val="00252C1A"/>
    <w:rsid w:val="00252C4F"/>
    <w:rsid w:val="00252CC4"/>
    <w:rsid w:val="00252D3B"/>
    <w:rsid w:val="00252F23"/>
    <w:rsid w:val="00253128"/>
    <w:rsid w:val="00253254"/>
    <w:rsid w:val="002533C4"/>
    <w:rsid w:val="00253554"/>
    <w:rsid w:val="0025367F"/>
    <w:rsid w:val="00254041"/>
    <w:rsid w:val="002541D6"/>
    <w:rsid w:val="002545BE"/>
    <w:rsid w:val="002545EE"/>
    <w:rsid w:val="002548CA"/>
    <w:rsid w:val="00254975"/>
    <w:rsid w:val="00254FB2"/>
    <w:rsid w:val="002550B8"/>
    <w:rsid w:val="002557CD"/>
    <w:rsid w:val="0025590C"/>
    <w:rsid w:val="00255BD2"/>
    <w:rsid w:val="00255C14"/>
    <w:rsid w:val="00255C9A"/>
    <w:rsid w:val="00255F4C"/>
    <w:rsid w:val="00256015"/>
    <w:rsid w:val="00256456"/>
    <w:rsid w:val="0025647E"/>
    <w:rsid w:val="002564C5"/>
    <w:rsid w:val="00256A48"/>
    <w:rsid w:val="00256FEF"/>
    <w:rsid w:val="00257BA1"/>
    <w:rsid w:val="00257C56"/>
    <w:rsid w:val="00257D5D"/>
    <w:rsid w:val="00257E05"/>
    <w:rsid w:val="002603DF"/>
    <w:rsid w:val="00260452"/>
    <w:rsid w:val="00260A2F"/>
    <w:rsid w:val="00260A9E"/>
    <w:rsid w:val="0026135D"/>
    <w:rsid w:val="002613FD"/>
    <w:rsid w:val="0026155A"/>
    <w:rsid w:val="0026167E"/>
    <w:rsid w:val="00262475"/>
    <w:rsid w:val="00262554"/>
    <w:rsid w:val="002626DC"/>
    <w:rsid w:val="00262772"/>
    <w:rsid w:val="00262CFC"/>
    <w:rsid w:val="00262D53"/>
    <w:rsid w:val="00262D8F"/>
    <w:rsid w:val="00262DEE"/>
    <w:rsid w:val="00262EBB"/>
    <w:rsid w:val="00262FE0"/>
    <w:rsid w:val="002637A4"/>
    <w:rsid w:val="00263916"/>
    <w:rsid w:val="00263CB8"/>
    <w:rsid w:val="00263E97"/>
    <w:rsid w:val="00263ED7"/>
    <w:rsid w:val="00264575"/>
    <w:rsid w:val="00264754"/>
    <w:rsid w:val="00264BE2"/>
    <w:rsid w:val="00264E8B"/>
    <w:rsid w:val="00264FC5"/>
    <w:rsid w:val="0026505F"/>
    <w:rsid w:val="0026513C"/>
    <w:rsid w:val="002651D4"/>
    <w:rsid w:val="0026553C"/>
    <w:rsid w:val="0026572F"/>
    <w:rsid w:val="00265DF3"/>
    <w:rsid w:val="00265E52"/>
    <w:rsid w:val="00266091"/>
    <w:rsid w:val="002660B2"/>
    <w:rsid w:val="002663BF"/>
    <w:rsid w:val="00266835"/>
    <w:rsid w:val="002669B6"/>
    <w:rsid w:val="00266FF8"/>
    <w:rsid w:val="0026752F"/>
    <w:rsid w:val="00267713"/>
    <w:rsid w:val="0026778D"/>
    <w:rsid w:val="002678E6"/>
    <w:rsid w:val="00267919"/>
    <w:rsid w:val="00267AF8"/>
    <w:rsid w:val="00270146"/>
    <w:rsid w:val="0027029D"/>
    <w:rsid w:val="00270467"/>
    <w:rsid w:val="002711A2"/>
    <w:rsid w:val="00271BBF"/>
    <w:rsid w:val="00271EFD"/>
    <w:rsid w:val="0027212C"/>
    <w:rsid w:val="002723A9"/>
    <w:rsid w:val="002725D4"/>
    <w:rsid w:val="00272CA5"/>
    <w:rsid w:val="00273800"/>
    <w:rsid w:val="00273957"/>
    <w:rsid w:val="00273B4B"/>
    <w:rsid w:val="00273BDB"/>
    <w:rsid w:val="00273D6C"/>
    <w:rsid w:val="00274289"/>
    <w:rsid w:val="00274643"/>
    <w:rsid w:val="00274854"/>
    <w:rsid w:val="002748E3"/>
    <w:rsid w:val="002749CD"/>
    <w:rsid w:val="002749E4"/>
    <w:rsid w:val="00274DE4"/>
    <w:rsid w:val="00275119"/>
    <w:rsid w:val="00275812"/>
    <w:rsid w:val="002759CD"/>
    <w:rsid w:val="00275DBD"/>
    <w:rsid w:val="00275F84"/>
    <w:rsid w:val="00276360"/>
    <w:rsid w:val="00276581"/>
    <w:rsid w:val="00276652"/>
    <w:rsid w:val="00276CA9"/>
    <w:rsid w:val="00276F07"/>
    <w:rsid w:val="002771E0"/>
    <w:rsid w:val="002776AD"/>
    <w:rsid w:val="00277D8C"/>
    <w:rsid w:val="00277E07"/>
    <w:rsid w:val="00280784"/>
    <w:rsid w:val="00281192"/>
    <w:rsid w:val="0028160B"/>
    <w:rsid w:val="00281877"/>
    <w:rsid w:val="00281BC5"/>
    <w:rsid w:val="00282524"/>
    <w:rsid w:val="0028273C"/>
    <w:rsid w:val="00282874"/>
    <w:rsid w:val="00282A2C"/>
    <w:rsid w:val="00282B9F"/>
    <w:rsid w:val="0028323A"/>
    <w:rsid w:val="0028342C"/>
    <w:rsid w:val="00283758"/>
    <w:rsid w:val="002839CF"/>
    <w:rsid w:val="00283C8A"/>
    <w:rsid w:val="0028491C"/>
    <w:rsid w:val="00284D9B"/>
    <w:rsid w:val="00284E5A"/>
    <w:rsid w:val="0028521F"/>
    <w:rsid w:val="002854F1"/>
    <w:rsid w:val="002856D6"/>
    <w:rsid w:val="00285DCA"/>
    <w:rsid w:val="00285E0B"/>
    <w:rsid w:val="00285EFA"/>
    <w:rsid w:val="00285F42"/>
    <w:rsid w:val="00286BCE"/>
    <w:rsid w:val="002870C3"/>
    <w:rsid w:val="002871CA"/>
    <w:rsid w:val="002871FE"/>
    <w:rsid w:val="002875C9"/>
    <w:rsid w:val="002879C6"/>
    <w:rsid w:val="00287CD1"/>
    <w:rsid w:val="00287EDC"/>
    <w:rsid w:val="0029087D"/>
    <w:rsid w:val="00290974"/>
    <w:rsid w:val="00290F61"/>
    <w:rsid w:val="00291090"/>
    <w:rsid w:val="0029131C"/>
    <w:rsid w:val="00291565"/>
    <w:rsid w:val="002916D1"/>
    <w:rsid w:val="002920CF"/>
    <w:rsid w:val="002925BA"/>
    <w:rsid w:val="00292729"/>
    <w:rsid w:val="00292F73"/>
    <w:rsid w:val="002930E0"/>
    <w:rsid w:val="0029341E"/>
    <w:rsid w:val="00293BD6"/>
    <w:rsid w:val="00294189"/>
    <w:rsid w:val="00294480"/>
    <w:rsid w:val="00294739"/>
    <w:rsid w:val="002947CC"/>
    <w:rsid w:val="00294CBC"/>
    <w:rsid w:val="00294E94"/>
    <w:rsid w:val="002952F8"/>
    <w:rsid w:val="00295395"/>
    <w:rsid w:val="002953B4"/>
    <w:rsid w:val="00295812"/>
    <w:rsid w:val="002958BA"/>
    <w:rsid w:val="002958E6"/>
    <w:rsid w:val="00295AA4"/>
    <w:rsid w:val="00295E4F"/>
    <w:rsid w:val="00295F39"/>
    <w:rsid w:val="0029617E"/>
    <w:rsid w:val="0029650D"/>
    <w:rsid w:val="00296730"/>
    <w:rsid w:val="002967E3"/>
    <w:rsid w:val="00296ADE"/>
    <w:rsid w:val="00296CA9"/>
    <w:rsid w:val="00296E30"/>
    <w:rsid w:val="0029702E"/>
    <w:rsid w:val="0029743C"/>
    <w:rsid w:val="00297B03"/>
    <w:rsid w:val="002A0557"/>
    <w:rsid w:val="002A05C6"/>
    <w:rsid w:val="002A066F"/>
    <w:rsid w:val="002A07A7"/>
    <w:rsid w:val="002A094B"/>
    <w:rsid w:val="002A0C72"/>
    <w:rsid w:val="002A13FF"/>
    <w:rsid w:val="002A1A80"/>
    <w:rsid w:val="002A1B2E"/>
    <w:rsid w:val="002A1DE3"/>
    <w:rsid w:val="002A22D1"/>
    <w:rsid w:val="002A23F6"/>
    <w:rsid w:val="002A276C"/>
    <w:rsid w:val="002A28A9"/>
    <w:rsid w:val="002A28CB"/>
    <w:rsid w:val="002A2F57"/>
    <w:rsid w:val="002A308F"/>
    <w:rsid w:val="002A3213"/>
    <w:rsid w:val="002A363C"/>
    <w:rsid w:val="002A3842"/>
    <w:rsid w:val="002A3D44"/>
    <w:rsid w:val="002A3D72"/>
    <w:rsid w:val="002A3F79"/>
    <w:rsid w:val="002A418C"/>
    <w:rsid w:val="002A4975"/>
    <w:rsid w:val="002A4E1F"/>
    <w:rsid w:val="002A4F9D"/>
    <w:rsid w:val="002A557E"/>
    <w:rsid w:val="002A55C3"/>
    <w:rsid w:val="002A594B"/>
    <w:rsid w:val="002A5990"/>
    <w:rsid w:val="002A5C92"/>
    <w:rsid w:val="002A607B"/>
    <w:rsid w:val="002A6377"/>
    <w:rsid w:val="002A68B6"/>
    <w:rsid w:val="002A6A28"/>
    <w:rsid w:val="002A6BD7"/>
    <w:rsid w:val="002A6EA6"/>
    <w:rsid w:val="002A6EDE"/>
    <w:rsid w:val="002A7100"/>
    <w:rsid w:val="002A7850"/>
    <w:rsid w:val="002A786B"/>
    <w:rsid w:val="002A79A1"/>
    <w:rsid w:val="002A7C07"/>
    <w:rsid w:val="002B039A"/>
    <w:rsid w:val="002B06B2"/>
    <w:rsid w:val="002B072B"/>
    <w:rsid w:val="002B08EE"/>
    <w:rsid w:val="002B0C64"/>
    <w:rsid w:val="002B0DFE"/>
    <w:rsid w:val="002B104A"/>
    <w:rsid w:val="002B108B"/>
    <w:rsid w:val="002B10A1"/>
    <w:rsid w:val="002B11EB"/>
    <w:rsid w:val="002B203C"/>
    <w:rsid w:val="002B2138"/>
    <w:rsid w:val="002B27B6"/>
    <w:rsid w:val="002B2EA0"/>
    <w:rsid w:val="002B2ECD"/>
    <w:rsid w:val="002B343E"/>
    <w:rsid w:val="002B37E0"/>
    <w:rsid w:val="002B386F"/>
    <w:rsid w:val="002B40C0"/>
    <w:rsid w:val="002B43F3"/>
    <w:rsid w:val="002B51FB"/>
    <w:rsid w:val="002B6508"/>
    <w:rsid w:val="002B6926"/>
    <w:rsid w:val="002B6ABD"/>
    <w:rsid w:val="002B7078"/>
    <w:rsid w:val="002B7BDE"/>
    <w:rsid w:val="002B7E89"/>
    <w:rsid w:val="002B7F05"/>
    <w:rsid w:val="002C05C6"/>
    <w:rsid w:val="002C0750"/>
    <w:rsid w:val="002C07FB"/>
    <w:rsid w:val="002C0967"/>
    <w:rsid w:val="002C0FFD"/>
    <w:rsid w:val="002C105B"/>
    <w:rsid w:val="002C1159"/>
    <w:rsid w:val="002C11F7"/>
    <w:rsid w:val="002C1401"/>
    <w:rsid w:val="002C156A"/>
    <w:rsid w:val="002C16AA"/>
    <w:rsid w:val="002C181E"/>
    <w:rsid w:val="002C1E35"/>
    <w:rsid w:val="002C2105"/>
    <w:rsid w:val="002C2436"/>
    <w:rsid w:val="002C27C1"/>
    <w:rsid w:val="002C28EA"/>
    <w:rsid w:val="002C2CEC"/>
    <w:rsid w:val="002C2FC3"/>
    <w:rsid w:val="002C3008"/>
    <w:rsid w:val="002C32C8"/>
    <w:rsid w:val="002C3945"/>
    <w:rsid w:val="002C3A20"/>
    <w:rsid w:val="002C3AD3"/>
    <w:rsid w:val="002C3B32"/>
    <w:rsid w:val="002C3B8F"/>
    <w:rsid w:val="002C4205"/>
    <w:rsid w:val="002C440D"/>
    <w:rsid w:val="002C4418"/>
    <w:rsid w:val="002C471E"/>
    <w:rsid w:val="002C476A"/>
    <w:rsid w:val="002C4C15"/>
    <w:rsid w:val="002C52F3"/>
    <w:rsid w:val="002C5415"/>
    <w:rsid w:val="002C545F"/>
    <w:rsid w:val="002C665F"/>
    <w:rsid w:val="002C6C13"/>
    <w:rsid w:val="002C6CA9"/>
    <w:rsid w:val="002C6DA9"/>
    <w:rsid w:val="002C6EF6"/>
    <w:rsid w:val="002C7390"/>
    <w:rsid w:val="002C793F"/>
    <w:rsid w:val="002C7A25"/>
    <w:rsid w:val="002D0A68"/>
    <w:rsid w:val="002D0BA3"/>
    <w:rsid w:val="002D1090"/>
    <w:rsid w:val="002D14A6"/>
    <w:rsid w:val="002D16B1"/>
    <w:rsid w:val="002D1F15"/>
    <w:rsid w:val="002D21A5"/>
    <w:rsid w:val="002D27C1"/>
    <w:rsid w:val="002D287B"/>
    <w:rsid w:val="002D2D3D"/>
    <w:rsid w:val="002D2FD2"/>
    <w:rsid w:val="002D30A5"/>
    <w:rsid w:val="002D30EC"/>
    <w:rsid w:val="002D3752"/>
    <w:rsid w:val="002D3B54"/>
    <w:rsid w:val="002D3C55"/>
    <w:rsid w:val="002D3EA7"/>
    <w:rsid w:val="002D41DB"/>
    <w:rsid w:val="002D44D6"/>
    <w:rsid w:val="002D4732"/>
    <w:rsid w:val="002D5020"/>
    <w:rsid w:val="002D50CE"/>
    <w:rsid w:val="002D5355"/>
    <w:rsid w:val="002D542C"/>
    <w:rsid w:val="002D5B33"/>
    <w:rsid w:val="002D5FFD"/>
    <w:rsid w:val="002D61E6"/>
    <w:rsid w:val="002D61F5"/>
    <w:rsid w:val="002D68FA"/>
    <w:rsid w:val="002D6D51"/>
    <w:rsid w:val="002D6F78"/>
    <w:rsid w:val="002D75DD"/>
    <w:rsid w:val="002D7913"/>
    <w:rsid w:val="002D7CCE"/>
    <w:rsid w:val="002D7D3F"/>
    <w:rsid w:val="002D7EE2"/>
    <w:rsid w:val="002E04A5"/>
    <w:rsid w:val="002E1352"/>
    <w:rsid w:val="002E1856"/>
    <w:rsid w:val="002E1DDC"/>
    <w:rsid w:val="002E2071"/>
    <w:rsid w:val="002E217E"/>
    <w:rsid w:val="002E233F"/>
    <w:rsid w:val="002E23E8"/>
    <w:rsid w:val="002E26FF"/>
    <w:rsid w:val="002E2F47"/>
    <w:rsid w:val="002E3086"/>
    <w:rsid w:val="002E348E"/>
    <w:rsid w:val="002E3B21"/>
    <w:rsid w:val="002E4326"/>
    <w:rsid w:val="002E4355"/>
    <w:rsid w:val="002E4E0F"/>
    <w:rsid w:val="002E520A"/>
    <w:rsid w:val="002E528B"/>
    <w:rsid w:val="002E5A79"/>
    <w:rsid w:val="002E5E5A"/>
    <w:rsid w:val="002E62A3"/>
    <w:rsid w:val="002E6318"/>
    <w:rsid w:val="002E65A3"/>
    <w:rsid w:val="002E66BA"/>
    <w:rsid w:val="002E6F0D"/>
    <w:rsid w:val="002E715D"/>
    <w:rsid w:val="002E760E"/>
    <w:rsid w:val="002E76FF"/>
    <w:rsid w:val="002E7BB2"/>
    <w:rsid w:val="002E7CE0"/>
    <w:rsid w:val="002E7D4C"/>
    <w:rsid w:val="002E7F42"/>
    <w:rsid w:val="002F02A8"/>
    <w:rsid w:val="002F07FE"/>
    <w:rsid w:val="002F0936"/>
    <w:rsid w:val="002F0C3F"/>
    <w:rsid w:val="002F133A"/>
    <w:rsid w:val="002F14A2"/>
    <w:rsid w:val="002F1666"/>
    <w:rsid w:val="002F1820"/>
    <w:rsid w:val="002F209E"/>
    <w:rsid w:val="002F2289"/>
    <w:rsid w:val="002F2528"/>
    <w:rsid w:val="002F25A1"/>
    <w:rsid w:val="002F2689"/>
    <w:rsid w:val="002F29B2"/>
    <w:rsid w:val="002F2C70"/>
    <w:rsid w:val="002F30FF"/>
    <w:rsid w:val="002F3163"/>
    <w:rsid w:val="002F354D"/>
    <w:rsid w:val="002F3A32"/>
    <w:rsid w:val="002F4150"/>
    <w:rsid w:val="002F41A1"/>
    <w:rsid w:val="002F429D"/>
    <w:rsid w:val="002F43AC"/>
    <w:rsid w:val="002F45E8"/>
    <w:rsid w:val="002F4DCB"/>
    <w:rsid w:val="002F5484"/>
    <w:rsid w:val="002F5820"/>
    <w:rsid w:val="002F58FA"/>
    <w:rsid w:val="002F636B"/>
    <w:rsid w:val="002F6819"/>
    <w:rsid w:val="002F6DC0"/>
    <w:rsid w:val="002F6F1A"/>
    <w:rsid w:val="002F7199"/>
    <w:rsid w:val="002F77E3"/>
    <w:rsid w:val="002F7905"/>
    <w:rsid w:val="002F794C"/>
    <w:rsid w:val="002F7A85"/>
    <w:rsid w:val="00300599"/>
    <w:rsid w:val="00300E11"/>
    <w:rsid w:val="00301322"/>
    <w:rsid w:val="00301352"/>
    <w:rsid w:val="00302017"/>
    <w:rsid w:val="003022A4"/>
    <w:rsid w:val="003022B0"/>
    <w:rsid w:val="003023D5"/>
    <w:rsid w:val="0030259D"/>
    <w:rsid w:val="00302833"/>
    <w:rsid w:val="00302AA9"/>
    <w:rsid w:val="003037CE"/>
    <w:rsid w:val="003039CD"/>
    <w:rsid w:val="00304228"/>
    <w:rsid w:val="00304944"/>
    <w:rsid w:val="00304A44"/>
    <w:rsid w:val="00304A5E"/>
    <w:rsid w:val="00304B62"/>
    <w:rsid w:val="0030526A"/>
    <w:rsid w:val="0030551A"/>
    <w:rsid w:val="00306580"/>
    <w:rsid w:val="00306805"/>
    <w:rsid w:val="00306817"/>
    <w:rsid w:val="00306CCE"/>
    <w:rsid w:val="00307580"/>
    <w:rsid w:val="00307669"/>
    <w:rsid w:val="0030790E"/>
    <w:rsid w:val="00307984"/>
    <w:rsid w:val="003079B4"/>
    <w:rsid w:val="00307EB2"/>
    <w:rsid w:val="00307EF7"/>
    <w:rsid w:val="00307F83"/>
    <w:rsid w:val="00310162"/>
    <w:rsid w:val="003101DD"/>
    <w:rsid w:val="003104E0"/>
    <w:rsid w:val="00311081"/>
    <w:rsid w:val="0031118F"/>
    <w:rsid w:val="0031142C"/>
    <w:rsid w:val="003118BE"/>
    <w:rsid w:val="0031194B"/>
    <w:rsid w:val="00311AC6"/>
    <w:rsid w:val="00311CF2"/>
    <w:rsid w:val="00311FAA"/>
    <w:rsid w:val="00312186"/>
    <w:rsid w:val="0031238F"/>
    <w:rsid w:val="0031339D"/>
    <w:rsid w:val="003135F4"/>
    <w:rsid w:val="0031397A"/>
    <w:rsid w:val="003139C0"/>
    <w:rsid w:val="00313FFE"/>
    <w:rsid w:val="00314060"/>
    <w:rsid w:val="003140ED"/>
    <w:rsid w:val="00314427"/>
    <w:rsid w:val="00315213"/>
    <w:rsid w:val="00315C49"/>
    <w:rsid w:val="00315EA9"/>
    <w:rsid w:val="00315FD6"/>
    <w:rsid w:val="00315FF7"/>
    <w:rsid w:val="00316559"/>
    <w:rsid w:val="00316AA9"/>
    <w:rsid w:val="00316B66"/>
    <w:rsid w:val="0031713C"/>
    <w:rsid w:val="00317161"/>
    <w:rsid w:val="00317186"/>
    <w:rsid w:val="003177F9"/>
    <w:rsid w:val="003179DE"/>
    <w:rsid w:val="00317B13"/>
    <w:rsid w:val="00317F88"/>
    <w:rsid w:val="00320265"/>
    <w:rsid w:val="00320321"/>
    <w:rsid w:val="003204FA"/>
    <w:rsid w:val="003206A8"/>
    <w:rsid w:val="003206BB"/>
    <w:rsid w:val="0032089C"/>
    <w:rsid w:val="00320B5B"/>
    <w:rsid w:val="00320C1D"/>
    <w:rsid w:val="003211CC"/>
    <w:rsid w:val="00321A1C"/>
    <w:rsid w:val="00321B3E"/>
    <w:rsid w:val="00321FD9"/>
    <w:rsid w:val="0032237C"/>
    <w:rsid w:val="00322B09"/>
    <w:rsid w:val="00322BCF"/>
    <w:rsid w:val="00322DE7"/>
    <w:rsid w:val="00322DFD"/>
    <w:rsid w:val="00322E9C"/>
    <w:rsid w:val="0032323B"/>
    <w:rsid w:val="003232E3"/>
    <w:rsid w:val="00323486"/>
    <w:rsid w:val="003235FE"/>
    <w:rsid w:val="00323A1F"/>
    <w:rsid w:val="00323C06"/>
    <w:rsid w:val="00324491"/>
    <w:rsid w:val="003245E0"/>
    <w:rsid w:val="00324F14"/>
    <w:rsid w:val="00325024"/>
    <w:rsid w:val="0032584F"/>
    <w:rsid w:val="00325A5E"/>
    <w:rsid w:val="00325D28"/>
    <w:rsid w:val="00325EB4"/>
    <w:rsid w:val="0032638C"/>
    <w:rsid w:val="003268DC"/>
    <w:rsid w:val="00326D5A"/>
    <w:rsid w:val="00326D80"/>
    <w:rsid w:val="00326FDC"/>
    <w:rsid w:val="00327094"/>
    <w:rsid w:val="00327369"/>
    <w:rsid w:val="00327A1F"/>
    <w:rsid w:val="00327CC6"/>
    <w:rsid w:val="00327F73"/>
    <w:rsid w:val="00330143"/>
    <w:rsid w:val="00330ED3"/>
    <w:rsid w:val="00331C3E"/>
    <w:rsid w:val="00331D44"/>
    <w:rsid w:val="00332030"/>
    <w:rsid w:val="003322AB"/>
    <w:rsid w:val="00333171"/>
    <w:rsid w:val="0033357F"/>
    <w:rsid w:val="003339B2"/>
    <w:rsid w:val="0033407F"/>
    <w:rsid w:val="00334385"/>
    <w:rsid w:val="003347E3"/>
    <w:rsid w:val="0033486C"/>
    <w:rsid w:val="00334EC4"/>
    <w:rsid w:val="003350D1"/>
    <w:rsid w:val="00335270"/>
    <w:rsid w:val="00335345"/>
    <w:rsid w:val="003358AF"/>
    <w:rsid w:val="00335998"/>
    <w:rsid w:val="00335D39"/>
    <w:rsid w:val="00335EED"/>
    <w:rsid w:val="0033601A"/>
    <w:rsid w:val="003361A0"/>
    <w:rsid w:val="003361EE"/>
    <w:rsid w:val="00336A4E"/>
    <w:rsid w:val="00336E6E"/>
    <w:rsid w:val="003370BF"/>
    <w:rsid w:val="00337581"/>
    <w:rsid w:val="00337A45"/>
    <w:rsid w:val="00337B10"/>
    <w:rsid w:val="00337EE9"/>
    <w:rsid w:val="0034006B"/>
    <w:rsid w:val="0034037F"/>
    <w:rsid w:val="0034041D"/>
    <w:rsid w:val="00340C39"/>
    <w:rsid w:val="00340D2C"/>
    <w:rsid w:val="00341A7E"/>
    <w:rsid w:val="00341B9E"/>
    <w:rsid w:val="00341FB2"/>
    <w:rsid w:val="003420F5"/>
    <w:rsid w:val="0034218F"/>
    <w:rsid w:val="00342543"/>
    <w:rsid w:val="00343098"/>
    <w:rsid w:val="00343566"/>
    <w:rsid w:val="003439FD"/>
    <w:rsid w:val="00343A7A"/>
    <w:rsid w:val="00343BD0"/>
    <w:rsid w:val="00343F49"/>
    <w:rsid w:val="003442AF"/>
    <w:rsid w:val="00344324"/>
    <w:rsid w:val="00344BF1"/>
    <w:rsid w:val="003455BE"/>
    <w:rsid w:val="0034561D"/>
    <w:rsid w:val="003457D9"/>
    <w:rsid w:val="0034582C"/>
    <w:rsid w:val="00345A6C"/>
    <w:rsid w:val="00345EE1"/>
    <w:rsid w:val="003460DC"/>
    <w:rsid w:val="003460FE"/>
    <w:rsid w:val="0034636D"/>
    <w:rsid w:val="00347084"/>
    <w:rsid w:val="003472F6"/>
    <w:rsid w:val="00347521"/>
    <w:rsid w:val="00350512"/>
    <w:rsid w:val="0035059F"/>
    <w:rsid w:val="00350B58"/>
    <w:rsid w:val="00350B97"/>
    <w:rsid w:val="00350DCC"/>
    <w:rsid w:val="003510BB"/>
    <w:rsid w:val="00351E22"/>
    <w:rsid w:val="00351EE2"/>
    <w:rsid w:val="00352235"/>
    <w:rsid w:val="0035235F"/>
    <w:rsid w:val="003524B2"/>
    <w:rsid w:val="003525A4"/>
    <w:rsid w:val="00352696"/>
    <w:rsid w:val="00352B7D"/>
    <w:rsid w:val="00352B7F"/>
    <w:rsid w:val="00352D76"/>
    <w:rsid w:val="00352DF6"/>
    <w:rsid w:val="00352FB9"/>
    <w:rsid w:val="00352FFA"/>
    <w:rsid w:val="00353B70"/>
    <w:rsid w:val="00353C19"/>
    <w:rsid w:val="00353F7D"/>
    <w:rsid w:val="003541D2"/>
    <w:rsid w:val="0035467F"/>
    <w:rsid w:val="00354A73"/>
    <w:rsid w:val="00354C8D"/>
    <w:rsid w:val="00354DB9"/>
    <w:rsid w:val="00355135"/>
    <w:rsid w:val="00355205"/>
    <w:rsid w:val="0035524B"/>
    <w:rsid w:val="003553F6"/>
    <w:rsid w:val="0035579B"/>
    <w:rsid w:val="0035588E"/>
    <w:rsid w:val="00355939"/>
    <w:rsid w:val="0035595A"/>
    <w:rsid w:val="00355987"/>
    <w:rsid w:val="00355E61"/>
    <w:rsid w:val="003569F9"/>
    <w:rsid w:val="003573A5"/>
    <w:rsid w:val="00357553"/>
    <w:rsid w:val="0035766C"/>
    <w:rsid w:val="00357906"/>
    <w:rsid w:val="00357D49"/>
    <w:rsid w:val="0036003E"/>
    <w:rsid w:val="003600C5"/>
    <w:rsid w:val="00360394"/>
    <w:rsid w:val="003604F9"/>
    <w:rsid w:val="0036050C"/>
    <w:rsid w:val="0036050E"/>
    <w:rsid w:val="00360D5A"/>
    <w:rsid w:val="0036106D"/>
    <w:rsid w:val="00361245"/>
    <w:rsid w:val="003612D9"/>
    <w:rsid w:val="0036131D"/>
    <w:rsid w:val="00361381"/>
    <w:rsid w:val="003615CB"/>
    <w:rsid w:val="003619E1"/>
    <w:rsid w:val="00361ACA"/>
    <w:rsid w:val="00361C66"/>
    <w:rsid w:val="00361FD3"/>
    <w:rsid w:val="00361FD4"/>
    <w:rsid w:val="003620E0"/>
    <w:rsid w:val="0036228D"/>
    <w:rsid w:val="003626C9"/>
    <w:rsid w:val="003627D4"/>
    <w:rsid w:val="0036285D"/>
    <w:rsid w:val="00362D3E"/>
    <w:rsid w:val="003635C8"/>
    <w:rsid w:val="00363891"/>
    <w:rsid w:val="00363F54"/>
    <w:rsid w:val="00363F61"/>
    <w:rsid w:val="00363F8A"/>
    <w:rsid w:val="003640BE"/>
    <w:rsid w:val="0036455C"/>
    <w:rsid w:val="003649B4"/>
    <w:rsid w:val="00364B67"/>
    <w:rsid w:val="00364BDF"/>
    <w:rsid w:val="0036538E"/>
    <w:rsid w:val="003653DE"/>
    <w:rsid w:val="003654A4"/>
    <w:rsid w:val="00365705"/>
    <w:rsid w:val="00365EDE"/>
    <w:rsid w:val="003661ED"/>
    <w:rsid w:val="0036695A"/>
    <w:rsid w:val="00366E61"/>
    <w:rsid w:val="00367183"/>
    <w:rsid w:val="00367897"/>
    <w:rsid w:val="00367935"/>
    <w:rsid w:val="0037013D"/>
    <w:rsid w:val="003716E1"/>
    <w:rsid w:val="003717FB"/>
    <w:rsid w:val="00371981"/>
    <w:rsid w:val="00371BCB"/>
    <w:rsid w:val="00371D95"/>
    <w:rsid w:val="00372119"/>
    <w:rsid w:val="003723B2"/>
    <w:rsid w:val="003725C0"/>
    <w:rsid w:val="00372668"/>
    <w:rsid w:val="00372F37"/>
    <w:rsid w:val="00373096"/>
    <w:rsid w:val="0037323B"/>
    <w:rsid w:val="00373257"/>
    <w:rsid w:val="003733BF"/>
    <w:rsid w:val="00373432"/>
    <w:rsid w:val="00373837"/>
    <w:rsid w:val="003738A3"/>
    <w:rsid w:val="00373B68"/>
    <w:rsid w:val="00373DF5"/>
    <w:rsid w:val="003741D8"/>
    <w:rsid w:val="00374585"/>
    <w:rsid w:val="003747EC"/>
    <w:rsid w:val="00374AFE"/>
    <w:rsid w:val="00374C3B"/>
    <w:rsid w:val="00374E0D"/>
    <w:rsid w:val="003754B8"/>
    <w:rsid w:val="00375E64"/>
    <w:rsid w:val="00375F34"/>
    <w:rsid w:val="003767B4"/>
    <w:rsid w:val="00376C10"/>
    <w:rsid w:val="00376C4C"/>
    <w:rsid w:val="00376C5F"/>
    <w:rsid w:val="00376E38"/>
    <w:rsid w:val="003770F6"/>
    <w:rsid w:val="003770F7"/>
    <w:rsid w:val="003778D5"/>
    <w:rsid w:val="003778E9"/>
    <w:rsid w:val="00377A77"/>
    <w:rsid w:val="00377AEE"/>
    <w:rsid w:val="00377B18"/>
    <w:rsid w:val="00377B85"/>
    <w:rsid w:val="003801D5"/>
    <w:rsid w:val="00380717"/>
    <w:rsid w:val="00380AF3"/>
    <w:rsid w:val="00380B5D"/>
    <w:rsid w:val="003816E3"/>
    <w:rsid w:val="00381D2C"/>
    <w:rsid w:val="00381DC3"/>
    <w:rsid w:val="00382124"/>
    <w:rsid w:val="00382528"/>
    <w:rsid w:val="003827D9"/>
    <w:rsid w:val="003828B6"/>
    <w:rsid w:val="00382A82"/>
    <w:rsid w:val="003831C3"/>
    <w:rsid w:val="0038353D"/>
    <w:rsid w:val="00383723"/>
    <w:rsid w:val="00383B57"/>
    <w:rsid w:val="00383CD1"/>
    <w:rsid w:val="003847C2"/>
    <w:rsid w:val="00384DF0"/>
    <w:rsid w:val="003850CB"/>
    <w:rsid w:val="00385A38"/>
    <w:rsid w:val="00385B6C"/>
    <w:rsid w:val="00385CBD"/>
    <w:rsid w:val="00386633"/>
    <w:rsid w:val="00386897"/>
    <w:rsid w:val="00386968"/>
    <w:rsid w:val="00387236"/>
    <w:rsid w:val="003876D8"/>
    <w:rsid w:val="00387726"/>
    <w:rsid w:val="00387E14"/>
    <w:rsid w:val="00390064"/>
    <w:rsid w:val="00390113"/>
    <w:rsid w:val="00390222"/>
    <w:rsid w:val="003906E1"/>
    <w:rsid w:val="00390A65"/>
    <w:rsid w:val="0039180C"/>
    <w:rsid w:val="00391F3B"/>
    <w:rsid w:val="0039237F"/>
    <w:rsid w:val="0039277C"/>
    <w:rsid w:val="00392C6E"/>
    <w:rsid w:val="00392D59"/>
    <w:rsid w:val="00392FDD"/>
    <w:rsid w:val="00393260"/>
    <w:rsid w:val="00393FFA"/>
    <w:rsid w:val="00394202"/>
    <w:rsid w:val="003945F6"/>
    <w:rsid w:val="00395444"/>
    <w:rsid w:val="00395829"/>
    <w:rsid w:val="003959ED"/>
    <w:rsid w:val="00395BBA"/>
    <w:rsid w:val="00395F05"/>
    <w:rsid w:val="00396020"/>
    <w:rsid w:val="00396021"/>
    <w:rsid w:val="00396729"/>
    <w:rsid w:val="003969E8"/>
    <w:rsid w:val="003970AC"/>
    <w:rsid w:val="0039723F"/>
    <w:rsid w:val="003973D5"/>
    <w:rsid w:val="0039776C"/>
    <w:rsid w:val="00397A8E"/>
    <w:rsid w:val="003A0C3B"/>
    <w:rsid w:val="003A0CE0"/>
    <w:rsid w:val="003A1091"/>
    <w:rsid w:val="003A1127"/>
    <w:rsid w:val="003A137E"/>
    <w:rsid w:val="003A1775"/>
    <w:rsid w:val="003A1C5B"/>
    <w:rsid w:val="003A1F66"/>
    <w:rsid w:val="003A21F6"/>
    <w:rsid w:val="003A2471"/>
    <w:rsid w:val="003A2859"/>
    <w:rsid w:val="003A2A06"/>
    <w:rsid w:val="003A2CAC"/>
    <w:rsid w:val="003A3078"/>
    <w:rsid w:val="003A36D5"/>
    <w:rsid w:val="003A3A87"/>
    <w:rsid w:val="003A3AFE"/>
    <w:rsid w:val="003A3D80"/>
    <w:rsid w:val="003A3FB2"/>
    <w:rsid w:val="003A4032"/>
    <w:rsid w:val="003A40D9"/>
    <w:rsid w:val="003A457B"/>
    <w:rsid w:val="003A4587"/>
    <w:rsid w:val="003A466C"/>
    <w:rsid w:val="003A4C18"/>
    <w:rsid w:val="003A4D65"/>
    <w:rsid w:val="003A5500"/>
    <w:rsid w:val="003A598E"/>
    <w:rsid w:val="003A5B49"/>
    <w:rsid w:val="003A5BC8"/>
    <w:rsid w:val="003A65EF"/>
    <w:rsid w:val="003A6773"/>
    <w:rsid w:val="003A6B86"/>
    <w:rsid w:val="003A6D26"/>
    <w:rsid w:val="003A7DCD"/>
    <w:rsid w:val="003B0269"/>
    <w:rsid w:val="003B0902"/>
    <w:rsid w:val="003B0C4E"/>
    <w:rsid w:val="003B0E1F"/>
    <w:rsid w:val="003B16F1"/>
    <w:rsid w:val="003B1EF3"/>
    <w:rsid w:val="003B252B"/>
    <w:rsid w:val="003B2A46"/>
    <w:rsid w:val="003B2AB2"/>
    <w:rsid w:val="003B2CBE"/>
    <w:rsid w:val="003B32EE"/>
    <w:rsid w:val="003B34E5"/>
    <w:rsid w:val="003B3DF7"/>
    <w:rsid w:val="003B4004"/>
    <w:rsid w:val="003B4121"/>
    <w:rsid w:val="003B4273"/>
    <w:rsid w:val="003B434A"/>
    <w:rsid w:val="003B48F2"/>
    <w:rsid w:val="003B4A53"/>
    <w:rsid w:val="003B4BC3"/>
    <w:rsid w:val="003B4C64"/>
    <w:rsid w:val="003B5625"/>
    <w:rsid w:val="003B592E"/>
    <w:rsid w:val="003B599B"/>
    <w:rsid w:val="003B603A"/>
    <w:rsid w:val="003B659F"/>
    <w:rsid w:val="003B695B"/>
    <w:rsid w:val="003B6AE5"/>
    <w:rsid w:val="003B724D"/>
    <w:rsid w:val="003B74FC"/>
    <w:rsid w:val="003B7806"/>
    <w:rsid w:val="003B7A72"/>
    <w:rsid w:val="003B7ABE"/>
    <w:rsid w:val="003C000D"/>
    <w:rsid w:val="003C00A1"/>
    <w:rsid w:val="003C042B"/>
    <w:rsid w:val="003C0922"/>
    <w:rsid w:val="003C0AA6"/>
    <w:rsid w:val="003C0BD5"/>
    <w:rsid w:val="003C153A"/>
    <w:rsid w:val="003C1725"/>
    <w:rsid w:val="003C1A83"/>
    <w:rsid w:val="003C269E"/>
    <w:rsid w:val="003C2941"/>
    <w:rsid w:val="003C29E8"/>
    <w:rsid w:val="003C2A18"/>
    <w:rsid w:val="003C2C7F"/>
    <w:rsid w:val="003C30B0"/>
    <w:rsid w:val="003C3124"/>
    <w:rsid w:val="003C31C2"/>
    <w:rsid w:val="003C32A1"/>
    <w:rsid w:val="003C3AC1"/>
    <w:rsid w:val="003C41F2"/>
    <w:rsid w:val="003C4276"/>
    <w:rsid w:val="003C4564"/>
    <w:rsid w:val="003C4872"/>
    <w:rsid w:val="003C4B58"/>
    <w:rsid w:val="003C4E6E"/>
    <w:rsid w:val="003C5271"/>
    <w:rsid w:val="003C5729"/>
    <w:rsid w:val="003C5818"/>
    <w:rsid w:val="003C5ACB"/>
    <w:rsid w:val="003C5B59"/>
    <w:rsid w:val="003C5BBE"/>
    <w:rsid w:val="003C65F2"/>
    <w:rsid w:val="003C6A00"/>
    <w:rsid w:val="003C6A1C"/>
    <w:rsid w:val="003C6D2C"/>
    <w:rsid w:val="003C6F30"/>
    <w:rsid w:val="003C7C33"/>
    <w:rsid w:val="003D0098"/>
    <w:rsid w:val="003D075D"/>
    <w:rsid w:val="003D0980"/>
    <w:rsid w:val="003D0DB2"/>
    <w:rsid w:val="003D1674"/>
    <w:rsid w:val="003D16D9"/>
    <w:rsid w:val="003D172F"/>
    <w:rsid w:val="003D17A2"/>
    <w:rsid w:val="003D1B86"/>
    <w:rsid w:val="003D1BDD"/>
    <w:rsid w:val="003D1BE2"/>
    <w:rsid w:val="003D1ED1"/>
    <w:rsid w:val="003D1FFB"/>
    <w:rsid w:val="003D2B44"/>
    <w:rsid w:val="003D2C68"/>
    <w:rsid w:val="003D36C4"/>
    <w:rsid w:val="003D3E1A"/>
    <w:rsid w:val="003D47DA"/>
    <w:rsid w:val="003D4A07"/>
    <w:rsid w:val="003D4B96"/>
    <w:rsid w:val="003D4DD4"/>
    <w:rsid w:val="003D4E2A"/>
    <w:rsid w:val="003D53BB"/>
    <w:rsid w:val="003D545F"/>
    <w:rsid w:val="003D55C5"/>
    <w:rsid w:val="003D5F4C"/>
    <w:rsid w:val="003D6AA8"/>
    <w:rsid w:val="003D6BA2"/>
    <w:rsid w:val="003D6E45"/>
    <w:rsid w:val="003D703A"/>
    <w:rsid w:val="003D7387"/>
    <w:rsid w:val="003D73B1"/>
    <w:rsid w:val="003D74A6"/>
    <w:rsid w:val="003D7814"/>
    <w:rsid w:val="003D7B24"/>
    <w:rsid w:val="003D7CAE"/>
    <w:rsid w:val="003D7DAB"/>
    <w:rsid w:val="003D7DB8"/>
    <w:rsid w:val="003E02D0"/>
    <w:rsid w:val="003E0FD2"/>
    <w:rsid w:val="003E1218"/>
    <w:rsid w:val="003E1474"/>
    <w:rsid w:val="003E154E"/>
    <w:rsid w:val="003E156A"/>
    <w:rsid w:val="003E182B"/>
    <w:rsid w:val="003E1A06"/>
    <w:rsid w:val="003E1CBF"/>
    <w:rsid w:val="003E1E73"/>
    <w:rsid w:val="003E20D4"/>
    <w:rsid w:val="003E21A4"/>
    <w:rsid w:val="003E2252"/>
    <w:rsid w:val="003E23B7"/>
    <w:rsid w:val="003E286C"/>
    <w:rsid w:val="003E2B9A"/>
    <w:rsid w:val="003E2BF7"/>
    <w:rsid w:val="003E2C17"/>
    <w:rsid w:val="003E33E4"/>
    <w:rsid w:val="003E3421"/>
    <w:rsid w:val="003E36DD"/>
    <w:rsid w:val="003E3998"/>
    <w:rsid w:val="003E4292"/>
    <w:rsid w:val="003E436B"/>
    <w:rsid w:val="003E4596"/>
    <w:rsid w:val="003E4DB7"/>
    <w:rsid w:val="003E4EFD"/>
    <w:rsid w:val="003E4FD6"/>
    <w:rsid w:val="003E5167"/>
    <w:rsid w:val="003E51D7"/>
    <w:rsid w:val="003E59B8"/>
    <w:rsid w:val="003E5BBD"/>
    <w:rsid w:val="003E5E63"/>
    <w:rsid w:val="003E6DBA"/>
    <w:rsid w:val="003E6DC4"/>
    <w:rsid w:val="003E7013"/>
    <w:rsid w:val="003E730E"/>
    <w:rsid w:val="003E765B"/>
    <w:rsid w:val="003E7A41"/>
    <w:rsid w:val="003E7E3C"/>
    <w:rsid w:val="003F0564"/>
    <w:rsid w:val="003F07B6"/>
    <w:rsid w:val="003F0D03"/>
    <w:rsid w:val="003F0DA3"/>
    <w:rsid w:val="003F1393"/>
    <w:rsid w:val="003F143F"/>
    <w:rsid w:val="003F1A0F"/>
    <w:rsid w:val="003F1D16"/>
    <w:rsid w:val="003F2662"/>
    <w:rsid w:val="003F2671"/>
    <w:rsid w:val="003F2821"/>
    <w:rsid w:val="003F286B"/>
    <w:rsid w:val="003F290D"/>
    <w:rsid w:val="003F2992"/>
    <w:rsid w:val="003F29FE"/>
    <w:rsid w:val="003F2A68"/>
    <w:rsid w:val="003F2B37"/>
    <w:rsid w:val="003F2F18"/>
    <w:rsid w:val="003F3DCD"/>
    <w:rsid w:val="003F3F1C"/>
    <w:rsid w:val="003F4010"/>
    <w:rsid w:val="003F4061"/>
    <w:rsid w:val="003F416B"/>
    <w:rsid w:val="003F4A7B"/>
    <w:rsid w:val="003F4B1A"/>
    <w:rsid w:val="003F4C9C"/>
    <w:rsid w:val="003F4CFA"/>
    <w:rsid w:val="003F5310"/>
    <w:rsid w:val="003F5359"/>
    <w:rsid w:val="003F552F"/>
    <w:rsid w:val="003F5750"/>
    <w:rsid w:val="003F5867"/>
    <w:rsid w:val="003F590E"/>
    <w:rsid w:val="003F5BAE"/>
    <w:rsid w:val="003F626C"/>
    <w:rsid w:val="003F6629"/>
    <w:rsid w:val="003F69B9"/>
    <w:rsid w:val="003F6F61"/>
    <w:rsid w:val="003F7847"/>
    <w:rsid w:val="003F784B"/>
    <w:rsid w:val="003F7862"/>
    <w:rsid w:val="003F7892"/>
    <w:rsid w:val="003F7DFE"/>
    <w:rsid w:val="004000E8"/>
    <w:rsid w:val="004002CE"/>
    <w:rsid w:val="0040041B"/>
    <w:rsid w:val="004004C9"/>
    <w:rsid w:val="0040057C"/>
    <w:rsid w:val="00400769"/>
    <w:rsid w:val="00400EF0"/>
    <w:rsid w:val="00400F6E"/>
    <w:rsid w:val="004012BB"/>
    <w:rsid w:val="00401528"/>
    <w:rsid w:val="0040195B"/>
    <w:rsid w:val="00401B98"/>
    <w:rsid w:val="004021D0"/>
    <w:rsid w:val="004022F6"/>
    <w:rsid w:val="0040243E"/>
    <w:rsid w:val="00402683"/>
    <w:rsid w:val="004030D0"/>
    <w:rsid w:val="004030EB"/>
    <w:rsid w:val="0040375E"/>
    <w:rsid w:val="00403FD0"/>
    <w:rsid w:val="00404438"/>
    <w:rsid w:val="004046F8"/>
    <w:rsid w:val="00404A0C"/>
    <w:rsid w:val="00404F5D"/>
    <w:rsid w:val="00404FA2"/>
    <w:rsid w:val="004054D7"/>
    <w:rsid w:val="00405697"/>
    <w:rsid w:val="00405C79"/>
    <w:rsid w:val="00405F1C"/>
    <w:rsid w:val="004064F6"/>
    <w:rsid w:val="004067A3"/>
    <w:rsid w:val="00406F4F"/>
    <w:rsid w:val="004070C3"/>
    <w:rsid w:val="004076E4"/>
    <w:rsid w:val="00407BE9"/>
    <w:rsid w:val="004100E6"/>
    <w:rsid w:val="00410369"/>
    <w:rsid w:val="00410545"/>
    <w:rsid w:val="00410B8F"/>
    <w:rsid w:val="00410E4D"/>
    <w:rsid w:val="004116A0"/>
    <w:rsid w:val="004118DA"/>
    <w:rsid w:val="00412188"/>
    <w:rsid w:val="004121BE"/>
    <w:rsid w:val="004121FB"/>
    <w:rsid w:val="0041227E"/>
    <w:rsid w:val="00412375"/>
    <w:rsid w:val="004124B8"/>
    <w:rsid w:val="00412BDC"/>
    <w:rsid w:val="0041350C"/>
    <w:rsid w:val="00413A06"/>
    <w:rsid w:val="00413B4D"/>
    <w:rsid w:val="00413EB0"/>
    <w:rsid w:val="004140F9"/>
    <w:rsid w:val="00414C9C"/>
    <w:rsid w:val="00415209"/>
    <w:rsid w:val="00415583"/>
    <w:rsid w:val="00415BDE"/>
    <w:rsid w:val="00415E46"/>
    <w:rsid w:val="00415F3A"/>
    <w:rsid w:val="00416542"/>
    <w:rsid w:val="004166E8"/>
    <w:rsid w:val="00416BB0"/>
    <w:rsid w:val="00416C55"/>
    <w:rsid w:val="00416ED9"/>
    <w:rsid w:val="00417C8C"/>
    <w:rsid w:val="00417DD5"/>
    <w:rsid w:val="00417E6E"/>
    <w:rsid w:val="0042002E"/>
    <w:rsid w:val="004200EE"/>
    <w:rsid w:val="00420924"/>
    <w:rsid w:val="00420CD1"/>
    <w:rsid w:val="0042125C"/>
    <w:rsid w:val="00421B4C"/>
    <w:rsid w:val="00421E0A"/>
    <w:rsid w:val="0042219C"/>
    <w:rsid w:val="00422448"/>
    <w:rsid w:val="0042323C"/>
    <w:rsid w:val="00423277"/>
    <w:rsid w:val="00423455"/>
    <w:rsid w:val="00423A1E"/>
    <w:rsid w:val="00423F99"/>
    <w:rsid w:val="0042412A"/>
    <w:rsid w:val="004241F8"/>
    <w:rsid w:val="00424221"/>
    <w:rsid w:val="004245A8"/>
    <w:rsid w:val="00424E6C"/>
    <w:rsid w:val="00424F77"/>
    <w:rsid w:val="0042507B"/>
    <w:rsid w:val="004250D1"/>
    <w:rsid w:val="0042585B"/>
    <w:rsid w:val="00425AF6"/>
    <w:rsid w:val="00425E0D"/>
    <w:rsid w:val="004267F6"/>
    <w:rsid w:val="00426885"/>
    <w:rsid w:val="004269A0"/>
    <w:rsid w:val="00426B4C"/>
    <w:rsid w:val="00426EAC"/>
    <w:rsid w:val="0042701F"/>
    <w:rsid w:val="004270FB"/>
    <w:rsid w:val="0042718E"/>
    <w:rsid w:val="0042738F"/>
    <w:rsid w:val="00427670"/>
    <w:rsid w:val="00427993"/>
    <w:rsid w:val="00427C2B"/>
    <w:rsid w:val="00427D14"/>
    <w:rsid w:val="00430095"/>
    <w:rsid w:val="00430143"/>
    <w:rsid w:val="004306C2"/>
    <w:rsid w:val="004308C4"/>
    <w:rsid w:val="00430FAA"/>
    <w:rsid w:val="004311F9"/>
    <w:rsid w:val="004314BB"/>
    <w:rsid w:val="00431C56"/>
    <w:rsid w:val="00431E70"/>
    <w:rsid w:val="00432010"/>
    <w:rsid w:val="004320E9"/>
    <w:rsid w:val="004323DC"/>
    <w:rsid w:val="00432A81"/>
    <w:rsid w:val="00432EF9"/>
    <w:rsid w:val="0043316C"/>
    <w:rsid w:val="004334F0"/>
    <w:rsid w:val="004336FC"/>
    <w:rsid w:val="00433A6C"/>
    <w:rsid w:val="00434491"/>
    <w:rsid w:val="00435020"/>
    <w:rsid w:val="0043564B"/>
    <w:rsid w:val="0043583A"/>
    <w:rsid w:val="004359F8"/>
    <w:rsid w:val="00435A03"/>
    <w:rsid w:val="004363AA"/>
    <w:rsid w:val="00436C1C"/>
    <w:rsid w:val="00436D99"/>
    <w:rsid w:val="00436DEE"/>
    <w:rsid w:val="00437350"/>
    <w:rsid w:val="00437AB1"/>
    <w:rsid w:val="00437E0F"/>
    <w:rsid w:val="00437E4C"/>
    <w:rsid w:val="00437E6D"/>
    <w:rsid w:val="00437ED1"/>
    <w:rsid w:val="00437F91"/>
    <w:rsid w:val="004402FB"/>
    <w:rsid w:val="004403D0"/>
    <w:rsid w:val="0044114F"/>
    <w:rsid w:val="00441A5A"/>
    <w:rsid w:val="00441DB0"/>
    <w:rsid w:val="0044205F"/>
    <w:rsid w:val="004422BB"/>
    <w:rsid w:val="004425FA"/>
    <w:rsid w:val="004428E5"/>
    <w:rsid w:val="00442CDF"/>
    <w:rsid w:val="00442D86"/>
    <w:rsid w:val="00443150"/>
    <w:rsid w:val="00443356"/>
    <w:rsid w:val="0044339F"/>
    <w:rsid w:val="0044389E"/>
    <w:rsid w:val="00443ABF"/>
    <w:rsid w:val="00443AC4"/>
    <w:rsid w:val="0044411D"/>
    <w:rsid w:val="0044424D"/>
    <w:rsid w:val="0044427B"/>
    <w:rsid w:val="004443EF"/>
    <w:rsid w:val="004444CF"/>
    <w:rsid w:val="00444511"/>
    <w:rsid w:val="00444536"/>
    <w:rsid w:val="00444568"/>
    <w:rsid w:val="00444E36"/>
    <w:rsid w:val="0044564F"/>
    <w:rsid w:val="00445AD0"/>
    <w:rsid w:val="00445F7F"/>
    <w:rsid w:val="00446385"/>
    <w:rsid w:val="004467A6"/>
    <w:rsid w:val="0044699C"/>
    <w:rsid w:val="00446D05"/>
    <w:rsid w:val="0044739B"/>
    <w:rsid w:val="0044773A"/>
    <w:rsid w:val="00447936"/>
    <w:rsid w:val="00447BF8"/>
    <w:rsid w:val="00447F34"/>
    <w:rsid w:val="0045061C"/>
    <w:rsid w:val="004510FF"/>
    <w:rsid w:val="004514F0"/>
    <w:rsid w:val="00451C6D"/>
    <w:rsid w:val="00452251"/>
    <w:rsid w:val="004523D7"/>
    <w:rsid w:val="004524C4"/>
    <w:rsid w:val="004525AF"/>
    <w:rsid w:val="0045276F"/>
    <w:rsid w:val="00452F21"/>
    <w:rsid w:val="0045301F"/>
    <w:rsid w:val="004530A3"/>
    <w:rsid w:val="00453118"/>
    <w:rsid w:val="00453142"/>
    <w:rsid w:val="004533FB"/>
    <w:rsid w:val="00453598"/>
    <w:rsid w:val="00453D7B"/>
    <w:rsid w:val="00453E52"/>
    <w:rsid w:val="0045424D"/>
    <w:rsid w:val="00454B96"/>
    <w:rsid w:val="00454FA6"/>
    <w:rsid w:val="00455003"/>
    <w:rsid w:val="004552DF"/>
    <w:rsid w:val="0045586B"/>
    <w:rsid w:val="0045639A"/>
    <w:rsid w:val="00456415"/>
    <w:rsid w:val="0045656C"/>
    <w:rsid w:val="00456769"/>
    <w:rsid w:val="00456837"/>
    <w:rsid w:val="00456844"/>
    <w:rsid w:val="00456A7A"/>
    <w:rsid w:val="00456D02"/>
    <w:rsid w:val="00457261"/>
    <w:rsid w:val="00457504"/>
    <w:rsid w:val="004577E8"/>
    <w:rsid w:val="0045794F"/>
    <w:rsid w:val="00457ACF"/>
    <w:rsid w:val="00457AF2"/>
    <w:rsid w:val="00457F77"/>
    <w:rsid w:val="00460782"/>
    <w:rsid w:val="00460A90"/>
    <w:rsid w:val="00460C7C"/>
    <w:rsid w:val="00460EAE"/>
    <w:rsid w:val="004613FE"/>
    <w:rsid w:val="00461597"/>
    <w:rsid w:val="00461A78"/>
    <w:rsid w:val="00461CE7"/>
    <w:rsid w:val="004620F3"/>
    <w:rsid w:val="00462277"/>
    <w:rsid w:val="00462CE1"/>
    <w:rsid w:val="00462E63"/>
    <w:rsid w:val="004637D1"/>
    <w:rsid w:val="00463C34"/>
    <w:rsid w:val="00463D5E"/>
    <w:rsid w:val="0046417B"/>
    <w:rsid w:val="004645F8"/>
    <w:rsid w:val="004647A3"/>
    <w:rsid w:val="00464C7E"/>
    <w:rsid w:val="00464DCE"/>
    <w:rsid w:val="00464E17"/>
    <w:rsid w:val="0046501F"/>
    <w:rsid w:val="004656E0"/>
    <w:rsid w:val="00465DA1"/>
    <w:rsid w:val="0046694F"/>
    <w:rsid w:val="00467ED8"/>
    <w:rsid w:val="004706F9"/>
    <w:rsid w:val="00470F0E"/>
    <w:rsid w:val="00471069"/>
    <w:rsid w:val="0047111A"/>
    <w:rsid w:val="004713B6"/>
    <w:rsid w:val="0047150A"/>
    <w:rsid w:val="004718E5"/>
    <w:rsid w:val="00471D52"/>
    <w:rsid w:val="004722DF"/>
    <w:rsid w:val="004722E1"/>
    <w:rsid w:val="004724A9"/>
    <w:rsid w:val="00472817"/>
    <w:rsid w:val="00472D7C"/>
    <w:rsid w:val="00473713"/>
    <w:rsid w:val="00473A67"/>
    <w:rsid w:val="00473BF7"/>
    <w:rsid w:val="00473CA9"/>
    <w:rsid w:val="00473CC1"/>
    <w:rsid w:val="00474440"/>
    <w:rsid w:val="00474497"/>
    <w:rsid w:val="00474BC0"/>
    <w:rsid w:val="00474EF1"/>
    <w:rsid w:val="0047500E"/>
    <w:rsid w:val="0047547A"/>
    <w:rsid w:val="00475858"/>
    <w:rsid w:val="00475868"/>
    <w:rsid w:val="0047593B"/>
    <w:rsid w:val="00475A3D"/>
    <w:rsid w:val="00475E40"/>
    <w:rsid w:val="00476146"/>
    <w:rsid w:val="0047629A"/>
    <w:rsid w:val="0047660F"/>
    <w:rsid w:val="00476640"/>
    <w:rsid w:val="00476F57"/>
    <w:rsid w:val="0047748D"/>
    <w:rsid w:val="004776DA"/>
    <w:rsid w:val="00477746"/>
    <w:rsid w:val="00477AA8"/>
    <w:rsid w:val="00480542"/>
    <w:rsid w:val="004806B0"/>
    <w:rsid w:val="00480836"/>
    <w:rsid w:val="00481280"/>
    <w:rsid w:val="0048129D"/>
    <w:rsid w:val="00481978"/>
    <w:rsid w:val="00481BB6"/>
    <w:rsid w:val="00481CEC"/>
    <w:rsid w:val="00481CF9"/>
    <w:rsid w:val="0048206A"/>
    <w:rsid w:val="004826D7"/>
    <w:rsid w:val="004829D1"/>
    <w:rsid w:val="00482B68"/>
    <w:rsid w:val="0048301A"/>
    <w:rsid w:val="00483526"/>
    <w:rsid w:val="004839DB"/>
    <w:rsid w:val="00483C4A"/>
    <w:rsid w:val="00483F5F"/>
    <w:rsid w:val="00483FAD"/>
    <w:rsid w:val="00484007"/>
    <w:rsid w:val="004845D1"/>
    <w:rsid w:val="00484813"/>
    <w:rsid w:val="00484AEB"/>
    <w:rsid w:val="00484DB1"/>
    <w:rsid w:val="00484DFC"/>
    <w:rsid w:val="004852DC"/>
    <w:rsid w:val="00485318"/>
    <w:rsid w:val="004859B6"/>
    <w:rsid w:val="00485A2B"/>
    <w:rsid w:val="00485C35"/>
    <w:rsid w:val="00485DDA"/>
    <w:rsid w:val="00485F45"/>
    <w:rsid w:val="0048615F"/>
    <w:rsid w:val="004861BA"/>
    <w:rsid w:val="00486225"/>
    <w:rsid w:val="00486336"/>
    <w:rsid w:val="00486AD9"/>
    <w:rsid w:val="00486FCE"/>
    <w:rsid w:val="004879AB"/>
    <w:rsid w:val="004900D0"/>
    <w:rsid w:val="00490D8E"/>
    <w:rsid w:val="00490FDB"/>
    <w:rsid w:val="00490FEA"/>
    <w:rsid w:val="004919E9"/>
    <w:rsid w:val="00491CDD"/>
    <w:rsid w:val="00491D96"/>
    <w:rsid w:val="00492273"/>
    <w:rsid w:val="0049243A"/>
    <w:rsid w:val="0049243E"/>
    <w:rsid w:val="00492704"/>
    <w:rsid w:val="0049271B"/>
    <w:rsid w:val="0049311C"/>
    <w:rsid w:val="004932C0"/>
    <w:rsid w:val="0049354C"/>
    <w:rsid w:val="00493BBB"/>
    <w:rsid w:val="00494280"/>
    <w:rsid w:val="004947B9"/>
    <w:rsid w:val="004949A4"/>
    <w:rsid w:val="00494C7F"/>
    <w:rsid w:val="0049536A"/>
    <w:rsid w:val="004955C4"/>
    <w:rsid w:val="0049643F"/>
    <w:rsid w:val="004970A9"/>
    <w:rsid w:val="004974BD"/>
    <w:rsid w:val="00497DEB"/>
    <w:rsid w:val="004A00F2"/>
    <w:rsid w:val="004A04FA"/>
    <w:rsid w:val="004A0A20"/>
    <w:rsid w:val="004A0AE9"/>
    <w:rsid w:val="004A118C"/>
    <w:rsid w:val="004A11C1"/>
    <w:rsid w:val="004A198B"/>
    <w:rsid w:val="004A24D0"/>
    <w:rsid w:val="004A268E"/>
    <w:rsid w:val="004A2C90"/>
    <w:rsid w:val="004A2D0C"/>
    <w:rsid w:val="004A2D33"/>
    <w:rsid w:val="004A3D14"/>
    <w:rsid w:val="004A4415"/>
    <w:rsid w:val="004A47A1"/>
    <w:rsid w:val="004A480D"/>
    <w:rsid w:val="004A508D"/>
    <w:rsid w:val="004A55EB"/>
    <w:rsid w:val="004A5732"/>
    <w:rsid w:val="004A57C2"/>
    <w:rsid w:val="004A5B4D"/>
    <w:rsid w:val="004A5F4E"/>
    <w:rsid w:val="004A6268"/>
    <w:rsid w:val="004A63F7"/>
    <w:rsid w:val="004A64BE"/>
    <w:rsid w:val="004A6533"/>
    <w:rsid w:val="004A6632"/>
    <w:rsid w:val="004A6A6C"/>
    <w:rsid w:val="004A7B8F"/>
    <w:rsid w:val="004B024D"/>
    <w:rsid w:val="004B1494"/>
    <w:rsid w:val="004B14AF"/>
    <w:rsid w:val="004B166E"/>
    <w:rsid w:val="004B16FF"/>
    <w:rsid w:val="004B185C"/>
    <w:rsid w:val="004B1985"/>
    <w:rsid w:val="004B1BFA"/>
    <w:rsid w:val="004B25B6"/>
    <w:rsid w:val="004B2C7F"/>
    <w:rsid w:val="004B2F15"/>
    <w:rsid w:val="004B3443"/>
    <w:rsid w:val="004B36AF"/>
    <w:rsid w:val="004B38A2"/>
    <w:rsid w:val="004B39ED"/>
    <w:rsid w:val="004B3C04"/>
    <w:rsid w:val="004B3C31"/>
    <w:rsid w:val="004B3E31"/>
    <w:rsid w:val="004B4002"/>
    <w:rsid w:val="004B402B"/>
    <w:rsid w:val="004B43BC"/>
    <w:rsid w:val="004B4799"/>
    <w:rsid w:val="004B4D4E"/>
    <w:rsid w:val="004B4EEC"/>
    <w:rsid w:val="004B512A"/>
    <w:rsid w:val="004B5146"/>
    <w:rsid w:val="004B514E"/>
    <w:rsid w:val="004B53FE"/>
    <w:rsid w:val="004B55D3"/>
    <w:rsid w:val="004B56B9"/>
    <w:rsid w:val="004B5822"/>
    <w:rsid w:val="004B5E0A"/>
    <w:rsid w:val="004B5F96"/>
    <w:rsid w:val="004B6841"/>
    <w:rsid w:val="004B6B53"/>
    <w:rsid w:val="004B70B3"/>
    <w:rsid w:val="004B71A2"/>
    <w:rsid w:val="004B74CD"/>
    <w:rsid w:val="004B79EA"/>
    <w:rsid w:val="004B7EDE"/>
    <w:rsid w:val="004C04F5"/>
    <w:rsid w:val="004C0B22"/>
    <w:rsid w:val="004C0E58"/>
    <w:rsid w:val="004C1269"/>
    <w:rsid w:val="004C12E2"/>
    <w:rsid w:val="004C15A5"/>
    <w:rsid w:val="004C1F18"/>
    <w:rsid w:val="004C20EA"/>
    <w:rsid w:val="004C28D1"/>
    <w:rsid w:val="004C329B"/>
    <w:rsid w:val="004C32E3"/>
    <w:rsid w:val="004C35FB"/>
    <w:rsid w:val="004C37CA"/>
    <w:rsid w:val="004C3A4E"/>
    <w:rsid w:val="004C3A87"/>
    <w:rsid w:val="004C3D13"/>
    <w:rsid w:val="004C3EF5"/>
    <w:rsid w:val="004C4122"/>
    <w:rsid w:val="004C4A1D"/>
    <w:rsid w:val="004C4D7A"/>
    <w:rsid w:val="004C4F67"/>
    <w:rsid w:val="004C5484"/>
    <w:rsid w:val="004C550A"/>
    <w:rsid w:val="004C5733"/>
    <w:rsid w:val="004C5881"/>
    <w:rsid w:val="004C5B27"/>
    <w:rsid w:val="004C5D96"/>
    <w:rsid w:val="004C5E25"/>
    <w:rsid w:val="004C624A"/>
    <w:rsid w:val="004C62DA"/>
    <w:rsid w:val="004C6321"/>
    <w:rsid w:val="004C64C7"/>
    <w:rsid w:val="004C6697"/>
    <w:rsid w:val="004C67CA"/>
    <w:rsid w:val="004C69D2"/>
    <w:rsid w:val="004C6D03"/>
    <w:rsid w:val="004C7379"/>
    <w:rsid w:val="004C74D3"/>
    <w:rsid w:val="004C7707"/>
    <w:rsid w:val="004C7938"/>
    <w:rsid w:val="004C7C87"/>
    <w:rsid w:val="004D02D7"/>
    <w:rsid w:val="004D03D1"/>
    <w:rsid w:val="004D06D5"/>
    <w:rsid w:val="004D0AC6"/>
    <w:rsid w:val="004D0B38"/>
    <w:rsid w:val="004D0F21"/>
    <w:rsid w:val="004D11EB"/>
    <w:rsid w:val="004D172B"/>
    <w:rsid w:val="004D1E6B"/>
    <w:rsid w:val="004D2569"/>
    <w:rsid w:val="004D2570"/>
    <w:rsid w:val="004D273D"/>
    <w:rsid w:val="004D27EA"/>
    <w:rsid w:val="004D2843"/>
    <w:rsid w:val="004D287D"/>
    <w:rsid w:val="004D29A6"/>
    <w:rsid w:val="004D2C21"/>
    <w:rsid w:val="004D2D74"/>
    <w:rsid w:val="004D2D7E"/>
    <w:rsid w:val="004D36C7"/>
    <w:rsid w:val="004D36E2"/>
    <w:rsid w:val="004D40E8"/>
    <w:rsid w:val="004D4142"/>
    <w:rsid w:val="004D4362"/>
    <w:rsid w:val="004D47CE"/>
    <w:rsid w:val="004D4B5B"/>
    <w:rsid w:val="004D4C21"/>
    <w:rsid w:val="004D4E5D"/>
    <w:rsid w:val="004D4F54"/>
    <w:rsid w:val="004D5237"/>
    <w:rsid w:val="004D535B"/>
    <w:rsid w:val="004D571A"/>
    <w:rsid w:val="004D5753"/>
    <w:rsid w:val="004D5FAD"/>
    <w:rsid w:val="004D6768"/>
    <w:rsid w:val="004D6A5A"/>
    <w:rsid w:val="004D6B3B"/>
    <w:rsid w:val="004D6D05"/>
    <w:rsid w:val="004D6E66"/>
    <w:rsid w:val="004D730E"/>
    <w:rsid w:val="004D7706"/>
    <w:rsid w:val="004D786E"/>
    <w:rsid w:val="004D790B"/>
    <w:rsid w:val="004D7916"/>
    <w:rsid w:val="004D7D4D"/>
    <w:rsid w:val="004D7DE9"/>
    <w:rsid w:val="004E01A5"/>
    <w:rsid w:val="004E04D2"/>
    <w:rsid w:val="004E057E"/>
    <w:rsid w:val="004E06DE"/>
    <w:rsid w:val="004E0B16"/>
    <w:rsid w:val="004E0C94"/>
    <w:rsid w:val="004E0E3E"/>
    <w:rsid w:val="004E0E68"/>
    <w:rsid w:val="004E1577"/>
    <w:rsid w:val="004E1A10"/>
    <w:rsid w:val="004E1A27"/>
    <w:rsid w:val="004E1A46"/>
    <w:rsid w:val="004E1C02"/>
    <w:rsid w:val="004E1CE6"/>
    <w:rsid w:val="004E1CE9"/>
    <w:rsid w:val="004E1F3C"/>
    <w:rsid w:val="004E2035"/>
    <w:rsid w:val="004E21FF"/>
    <w:rsid w:val="004E23BB"/>
    <w:rsid w:val="004E254C"/>
    <w:rsid w:val="004E257E"/>
    <w:rsid w:val="004E2EB5"/>
    <w:rsid w:val="004E2F7D"/>
    <w:rsid w:val="004E390A"/>
    <w:rsid w:val="004E3992"/>
    <w:rsid w:val="004E3D8E"/>
    <w:rsid w:val="004E41DD"/>
    <w:rsid w:val="004E4601"/>
    <w:rsid w:val="004E4BE6"/>
    <w:rsid w:val="004E5038"/>
    <w:rsid w:val="004E50AB"/>
    <w:rsid w:val="004E5D16"/>
    <w:rsid w:val="004E606E"/>
    <w:rsid w:val="004E6AAA"/>
    <w:rsid w:val="004E6FFC"/>
    <w:rsid w:val="004E7542"/>
    <w:rsid w:val="004E764F"/>
    <w:rsid w:val="004E7DE0"/>
    <w:rsid w:val="004E7F28"/>
    <w:rsid w:val="004F088B"/>
    <w:rsid w:val="004F0B57"/>
    <w:rsid w:val="004F0ED8"/>
    <w:rsid w:val="004F0EE7"/>
    <w:rsid w:val="004F134D"/>
    <w:rsid w:val="004F1496"/>
    <w:rsid w:val="004F14A0"/>
    <w:rsid w:val="004F224C"/>
    <w:rsid w:val="004F3883"/>
    <w:rsid w:val="004F3C79"/>
    <w:rsid w:val="004F3CD9"/>
    <w:rsid w:val="004F3EBA"/>
    <w:rsid w:val="004F45BE"/>
    <w:rsid w:val="004F49C4"/>
    <w:rsid w:val="004F4BD5"/>
    <w:rsid w:val="004F4D70"/>
    <w:rsid w:val="004F4FD2"/>
    <w:rsid w:val="004F5013"/>
    <w:rsid w:val="004F5184"/>
    <w:rsid w:val="004F51BF"/>
    <w:rsid w:val="004F532A"/>
    <w:rsid w:val="004F57E7"/>
    <w:rsid w:val="004F5A99"/>
    <w:rsid w:val="004F69A5"/>
    <w:rsid w:val="004F6D87"/>
    <w:rsid w:val="004F7324"/>
    <w:rsid w:val="004F73F2"/>
    <w:rsid w:val="004F7435"/>
    <w:rsid w:val="004F756D"/>
    <w:rsid w:val="004F79BB"/>
    <w:rsid w:val="004F79C4"/>
    <w:rsid w:val="00501E80"/>
    <w:rsid w:val="00501F81"/>
    <w:rsid w:val="0050243D"/>
    <w:rsid w:val="0050277F"/>
    <w:rsid w:val="00502887"/>
    <w:rsid w:val="00502C51"/>
    <w:rsid w:val="0050341C"/>
    <w:rsid w:val="00503BA6"/>
    <w:rsid w:val="00503E3B"/>
    <w:rsid w:val="00504260"/>
    <w:rsid w:val="005042DE"/>
    <w:rsid w:val="005045D0"/>
    <w:rsid w:val="00504DA3"/>
    <w:rsid w:val="005055BD"/>
    <w:rsid w:val="00505613"/>
    <w:rsid w:val="00505B1A"/>
    <w:rsid w:val="00505D1E"/>
    <w:rsid w:val="00505D3E"/>
    <w:rsid w:val="00505EDF"/>
    <w:rsid w:val="005062F0"/>
    <w:rsid w:val="005063AC"/>
    <w:rsid w:val="00506428"/>
    <w:rsid w:val="005066D2"/>
    <w:rsid w:val="00506773"/>
    <w:rsid w:val="00506B6F"/>
    <w:rsid w:val="00506DFB"/>
    <w:rsid w:val="005072BD"/>
    <w:rsid w:val="00507634"/>
    <w:rsid w:val="00507750"/>
    <w:rsid w:val="00507A70"/>
    <w:rsid w:val="00507CC9"/>
    <w:rsid w:val="00507CD4"/>
    <w:rsid w:val="00510103"/>
    <w:rsid w:val="00510857"/>
    <w:rsid w:val="00510AAE"/>
    <w:rsid w:val="00510B91"/>
    <w:rsid w:val="005118C1"/>
    <w:rsid w:val="00511B39"/>
    <w:rsid w:val="00511BF4"/>
    <w:rsid w:val="00512030"/>
    <w:rsid w:val="0051215D"/>
    <w:rsid w:val="00512461"/>
    <w:rsid w:val="00512B94"/>
    <w:rsid w:val="005130E5"/>
    <w:rsid w:val="00513463"/>
    <w:rsid w:val="00513704"/>
    <w:rsid w:val="005138A7"/>
    <w:rsid w:val="00513A84"/>
    <w:rsid w:val="00513DAB"/>
    <w:rsid w:val="00513F0B"/>
    <w:rsid w:val="0051481E"/>
    <w:rsid w:val="00514BEF"/>
    <w:rsid w:val="00514DE4"/>
    <w:rsid w:val="00515235"/>
    <w:rsid w:val="005152B1"/>
    <w:rsid w:val="005153F9"/>
    <w:rsid w:val="005154BD"/>
    <w:rsid w:val="00515A04"/>
    <w:rsid w:val="00515DCE"/>
    <w:rsid w:val="00515FB2"/>
    <w:rsid w:val="005160B4"/>
    <w:rsid w:val="00516298"/>
    <w:rsid w:val="005162EF"/>
    <w:rsid w:val="005162F9"/>
    <w:rsid w:val="00516512"/>
    <w:rsid w:val="00516D28"/>
    <w:rsid w:val="0051767B"/>
    <w:rsid w:val="005176D1"/>
    <w:rsid w:val="00517D34"/>
    <w:rsid w:val="00517D69"/>
    <w:rsid w:val="0052067A"/>
    <w:rsid w:val="005209F5"/>
    <w:rsid w:val="00520AAC"/>
    <w:rsid w:val="00520F73"/>
    <w:rsid w:val="00521055"/>
    <w:rsid w:val="00521110"/>
    <w:rsid w:val="00521498"/>
    <w:rsid w:val="00522175"/>
    <w:rsid w:val="00522AAD"/>
    <w:rsid w:val="00522D66"/>
    <w:rsid w:val="00522D8C"/>
    <w:rsid w:val="005231B7"/>
    <w:rsid w:val="005231BC"/>
    <w:rsid w:val="00523793"/>
    <w:rsid w:val="00523C41"/>
    <w:rsid w:val="00523DF2"/>
    <w:rsid w:val="00524186"/>
    <w:rsid w:val="0052531F"/>
    <w:rsid w:val="005253D0"/>
    <w:rsid w:val="00525AA1"/>
    <w:rsid w:val="005263CD"/>
    <w:rsid w:val="0052643C"/>
    <w:rsid w:val="00526548"/>
    <w:rsid w:val="00526A25"/>
    <w:rsid w:val="00526A65"/>
    <w:rsid w:val="00526C3E"/>
    <w:rsid w:val="00526DF1"/>
    <w:rsid w:val="005270AE"/>
    <w:rsid w:val="00527153"/>
    <w:rsid w:val="00527183"/>
    <w:rsid w:val="00527420"/>
    <w:rsid w:val="00527A45"/>
    <w:rsid w:val="00530156"/>
    <w:rsid w:val="00530463"/>
    <w:rsid w:val="0053051B"/>
    <w:rsid w:val="005308B6"/>
    <w:rsid w:val="0053100E"/>
    <w:rsid w:val="005310A2"/>
    <w:rsid w:val="00531436"/>
    <w:rsid w:val="00531985"/>
    <w:rsid w:val="00531A2B"/>
    <w:rsid w:val="00531C73"/>
    <w:rsid w:val="00531CAB"/>
    <w:rsid w:val="005327B3"/>
    <w:rsid w:val="005329BD"/>
    <w:rsid w:val="00532B1F"/>
    <w:rsid w:val="00532BC8"/>
    <w:rsid w:val="00532FC2"/>
    <w:rsid w:val="0053311A"/>
    <w:rsid w:val="005333B0"/>
    <w:rsid w:val="00533408"/>
    <w:rsid w:val="005335CC"/>
    <w:rsid w:val="00533E20"/>
    <w:rsid w:val="0053448D"/>
    <w:rsid w:val="005345A8"/>
    <w:rsid w:val="0053465C"/>
    <w:rsid w:val="00534736"/>
    <w:rsid w:val="005348B4"/>
    <w:rsid w:val="005350B6"/>
    <w:rsid w:val="00535728"/>
    <w:rsid w:val="005358E0"/>
    <w:rsid w:val="0053591D"/>
    <w:rsid w:val="00535A0D"/>
    <w:rsid w:val="00535CF9"/>
    <w:rsid w:val="00535D91"/>
    <w:rsid w:val="00535DD6"/>
    <w:rsid w:val="0053646A"/>
    <w:rsid w:val="00536509"/>
    <w:rsid w:val="00536B5F"/>
    <w:rsid w:val="00536E14"/>
    <w:rsid w:val="00536FEC"/>
    <w:rsid w:val="00540014"/>
    <w:rsid w:val="00540145"/>
    <w:rsid w:val="00540208"/>
    <w:rsid w:val="00540587"/>
    <w:rsid w:val="0054067A"/>
    <w:rsid w:val="00540E3B"/>
    <w:rsid w:val="0054132D"/>
    <w:rsid w:val="00541650"/>
    <w:rsid w:val="00541B8E"/>
    <w:rsid w:val="00541BAB"/>
    <w:rsid w:val="00541E07"/>
    <w:rsid w:val="00542192"/>
    <w:rsid w:val="005423F0"/>
    <w:rsid w:val="00542510"/>
    <w:rsid w:val="00542FF0"/>
    <w:rsid w:val="00543074"/>
    <w:rsid w:val="005433D3"/>
    <w:rsid w:val="00543461"/>
    <w:rsid w:val="00543B8B"/>
    <w:rsid w:val="005447E4"/>
    <w:rsid w:val="00544AA4"/>
    <w:rsid w:val="00544AF9"/>
    <w:rsid w:val="005456F6"/>
    <w:rsid w:val="00545709"/>
    <w:rsid w:val="005458F4"/>
    <w:rsid w:val="00545A14"/>
    <w:rsid w:val="00545AFB"/>
    <w:rsid w:val="00546029"/>
    <w:rsid w:val="00547189"/>
    <w:rsid w:val="005474A8"/>
    <w:rsid w:val="005475A3"/>
    <w:rsid w:val="0054774E"/>
    <w:rsid w:val="00547810"/>
    <w:rsid w:val="00547B2C"/>
    <w:rsid w:val="00547B6D"/>
    <w:rsid w:val="00547CA2"/>
    <w:rsid w:val="00547CF7"/>
    <w:rsid w:val="0055010A"/>
    <w:rsid w:val="00550346"/>
    <w:rsid w:val="00550530"/>
    <w:rsid w:val="00550691"/>
    <w:rsid w:val="00550BD8"/>
    <w:rsid w:val="00550C07"/>
    <w:rsid w:val="00551E6F"/>
    <w:rsid w:val="00552349"/>
    <w:rsid w:val="00552529"/>
    <w:rsid w:val="00552A00"/>
    <w:rsid w:val="00552E5C"/>
    <w:rsid w:val="005536C5"/>
    <w:rsid w:val="00553B6C"/>
    <w:rsid w:val="00553CFC"/>
    <w:rsid w:val="00553FF0"/>
    <w:rsid w:val="0055424A"/>
    <w:rsid w:val="005543ED"/>
    <w:rsid w:val="00554E6B"/>
    <w:rsid w:val="005555AF"/>
    <w:rsid w:val="0055576E"/>
    <w:rsid w:val="00555A72"/>
    <w:rsid w:val="00555D24"/>
    <w:rsid w:val="00555EB8"/>
    <w:rsid w:val="00556113"/>
    <w:rsid w:val="005561D6"/>
    <w:rsid w:val="0055658F"/>
    <w:rsid w:val="005569D0"/>
    <w:rsid w:val="00556EBD"/>
    <w:rsid w:val="00556F40"/>
    <w:rsid w:val="005572BB"/>
    <w:rsid w:val="00557A76"/>
    <w:rsid w:val="00557CE3"/>
    <w:rsid w:val="00560414"/>
    <w:rsid w:val="0056048C"/>
    <w:rsid w:val="0056055A"/>
    <w:rsid w:val="00560A40"/>
    <w:rsid w:val="00560F93"/>
    <w:rsid w:val="00561100"/>
    <w:rsid w:val="005619B0"/>
    <w:rsid w:val="00561AC9"/>
    <w:rsid w:val="00561F56"/>
    <w:rsid w:val="0056209E"/>
    <w:rsid w:val="005620D8"/>
    <w:rsid w:val="005625B4"/>
    <w:rsid w:val="005627ED"/>
    <w:rsid w:val="00562F21"/>
    <w:rsid w:val="005634F3"/>
    <w:rsid w:val="0056374F"/>
    <w:rsid w:val="00563E1E"/>
    <w:rsid w:val="0056406A"/>
    <w:rsid w:val="00564284"/>
    <w:rsid w:val="0056479A"/>
    <w:rsid w:val="005654B7"/>
    <w:rsid w:val="00565CD5"/>
    <w:rsid w:val="00565D60"/>
    <w:rsid w:val="00565E07"/>
    <w:rsid w:val="00565E11"/>
    <w:rsid w:val="00566110"/>
    <w:rsid w:val="00566437"/>
    <w:rsid w:val="0056650F"/>
    <w:rsid w:val="00566702"/>
    <w:rsid w:val="00566DB3"/>
    <w:rsid w:val="005673AC"/>
    <w:rsid w:val="005675D8"/>
    <w:rsid w:val="00567603"/>
    <w:rsid w:val="0056795F"/>
    <w:rsid w:val="00567A35"/>
    <w:rsid w:val="00567E06"/>
    <w:rsid w:val="00567ECC"/>
    <w:rsid w:val="00567EE3"/>
    <w:rsid w:val="00567F14"/>
    <w:rsid w:val="00567FAA"/>
    <w:rsid w:val="005702DC"/>
    <w:rsid w:val="00570310"/>
    <w:rsid w:val="005704E7"/>
    <w:rsid w:val="005705EA"/>
    <w:rsid w:val="005706D4"/>
    <w:rsid w:val="0057093B"/>
    <w:rsid w:val="005709C1"/>
    <w:rsid w:val="00570AC4"/>
    <w:rsid w:val="00570C46"/>
    <w:rsid w:val="0057127A"/>
    <w:rsid w:val="0057148C"/>
    <w:rsid w:val="0057199A"/>
    <w:rsid w:val="00571FCD"/>
    <w:rsid w:val="005720D1"/>
    <w:rsid w:val="0057281C"/>
    <w:rsid w:val="0057292A"/>
    <w:rsid w:val="00572A09"/>
    <w:rsid w:val="00572FC2"/>
    <w:rsid w:val="00573111"/>
    <w:rsid w:val="005736B8"/>
    <w:rsid w:val="005736D4"/>
    <w:rsid w:val="00573B6C"/>
    <w:rsid w:val="00573C04"/>
    <w:rsid w:val="005740F6"/>
    <w:rsid w:val="00574463"/>
    <w:rsid w:val="005746E5"/>
    <w:rsid w:val="00574A62"/>
    <w:rsid w:val="00574F09"/>
    <w:rsid w:val="0057506F"/>
    <w:rsid w:val="005752F3"/>
    <w:rsid w:val="00575531"/>
    <w:rsid w:val="005755AE"/>
    <w:rsid w:val="005758C7"/>
    <w:rsid w:val="005759DE"/>
    <w:rsid w:val="00575FD2"/>
    <w:rsid w:val="00576386"/>
    <w:rsid w:val="0057648E"/>
    <w:rsid w:val="005766DB"/>
    <w:rsid w:val="005769F5"/>
    <w:rsid w:val="00576EAA"/>
    <w:rsid w:val="00576F56"/>
    <w:rsid w:val="00577840"/>
    <w:rsid w:val="00577D6E"/>
    <w:rsid w:val="005803EE"/>
    <w:rsid w:val="005807D5"/>
    <w:rsid w:val="00580CBA"/>
    <w:rsid w:val="005811E4"/>
    <w:rsid w:val="00581464"/>
    <w:rsid w:val="005814A2"/>
    <w:rsid w:val="00581610"/>
    <w:rsid w:val="00581822"/>
    <w:rsid w:val="005823EA"/>
    <w:rsid w:val="0058256B"/>
    <w:rsid w:val="00582802"/>
    <w:rsid w:val="00582881"/>
    <w:rsid w:val="00582C86"/>
    <w:rsid w:val="00582D74"/>
    <w:rsid w:val="00582FC1"/>
    <w:rsid w:val="00583179"/>
    <w:rsid w:val="0058323B"/>
    <w:rsid w:val="005833E1"/>
    <w:rsid w:val="00583CAD"/>
    <w:rsid w:val="00583CB8"/>
    <w:rsid w:val="00583D31"/>
    <w:rsid w:val="00583DEE"/>
    <w:rsid w:val="00583E63"/>
    <w:rsid w:val="005849F4"/>
    <w:rsid w:val="00584D2E"/>
    <w:rsid w:val="005850BF"/>
    <w:rsid w:val="005855DE"/>
    <w:rsid w:val="005856CD"/>
    <w:rsid w:val="00585D78"/>
    <w:rsid w:val="00585EE4"/>
    <w:rsid w:val="005869CD"/>
    <w:rsid w:val="005876B9"/>
    <w:rsid w:val="00587850"/>
    <w:rsid w:val="00587AEA"/>
    <w:rsid w:val="00587B36"/>
    <w:rsid w:val="00587DA0"/>
    <w:rsid w:val="005901CF"/>
    <w:rsid w:val="005902C0"/>
    <w:rsid w:val="005914F1"/>
    <w:rsid w:val="00591778"/>
    <w:rsid w:val="0059181C"/>
    <w:rsid w:val="00591A66"/>
    <w:rsid w:val="00591A6C"/>
    <w:rsid w:val="00591B61"/>
    <w:rsid w:val="00591C65"/>
    <w:rsid w:val="00591E77"/>
    <w:rsid w:val="00591F7E"/>
    <w:rsid w:val="0059215F"/>
    <w:rsid w:val="005921A9"/>
    <w:rsid w:val="0059274E"/>
    <w:rsid w:val="00592AD6"/>
    <w:rsid w:val="00592C7F"/>
    <w:rsid w:val="00592EBC"/>
    <w:rsid w:val="00593206"/>
    <w:rsid w:val="0059338F"/>
    <w:rsid w:val="005933C9"/>
    <w:rsid w:val="005936DA"/>
    <w:rsid w:val="0059385D"/>
    <w:rsid w:val="00593EB4"/>
    <w:rsid w:val="005940DF"/>
    <w:rsid w:val="005942E2"/>
    <w:rsid w:val="00594530"/>
    <w:rsid w:val="0059464D"/>
    <w:rsid w:val="005949DD"/>
    <w:rsid w:val="00594AF7"/>
    <w:rsid w:val="00594E06"/>
    <w:rsid w:val="00595194"/>
    <w:rsid w:val="00595338"/>
    <w:rsid w:val="005953E5"/>
    <w:rsid w:val="0059562C"/>
    <w:rsid w:val="005956F0"/>
    <w:rsid w:val="00595A60"/>
    <w:rsid w:val="00595E64"/>
    <w:rsid w:val="005961DD"/>
    <w:rsid w:val="005961EA"/>
    <w:rsid w:val="0059630C"/>
    <w:rsid w:val="005969D9"/>
    <w:rsid w:val="00596DC8"/>
    <w:rsid w:val="00596E83"/>
    <w:rsid w:val="00596EBE"/>
    <w:rsid w:val="00597570"/>
    <w:rsid w:val="00597852"/>
    <w:rsid w:val="00597A0C"/>
    <w:rsid w:val="00597A69"/>
    <w:rsid w:val="00597DAA"/>
    <w:rsid w:val="005A0499"/>
    <w:rsid w:val="005A0812"/>
    <w:rsid w:val="005A1199"/>
    <w:rsid w:val="005A122E"/>
    <w:rsid w:val="005A15A0"/>
    <w:rsid w:val="005A1E87"/>
    <w:rsid w:val="005A24AE"/>
    <w:rsid w:val="005A26D5"/>
    <w:rsid w:val="005A28CF"/>
    <w:rsid w:val="005A29ED"/>
    <w:rsid w:val="005A2CB9"/>
    <w:rsid w:val="005A2D12"/>
    <w:rsid w:val="005A32AC"/>
    <w:rsid w:val="005A36A7"/>
    <w:rsid w:val="005A36BA"/>
    <w:rsid w:val="005A393F"/>
    <w:rsid w:val="005A3E4C"/>
    <w:rsid w:val="005A4257"/>
    <w:rsid w:val="005A44A4"/>
    <w:rsid w:val="005A467D"/>
    <w:rsid w:val="005A46BF"/>
    <w:rsid w:val="005A518A"/>
    <w:rsid w:val="005A51B5"/>
    <w:rsid w:val="005A54AC"/>
    <w:rsid w:val="005A64DE"/>
    <w:rsid w:val="005A67B1"/>
    <w:rsid w:val="005A685F"/>
    <w:rsid w:val="005A6D85"/>
    <w:rsid w:val="005A6FD4"/>
    <w:rsid w:val="005A70E5"/>
    <w:rsid w:val="005A73AB"/>
    <w:rsid w:val="005A786D"/>
    <w:rsid w:val="005A78F1"/>
    <w:rsid w:val="005A7A51"/>
    <w:rsid w:val="005A7DB2"/>
    <w:rsid w:val="005A7E2E"/>
    <w:rsid w:val="005A7F17"/>
    <w:rsid w:val="005A7F53"/>
    <w:rsid w:val="005B0271"/>
    <w:rsid w:val="005B02C9"/>
    <w:rsid w:val="005B06EC"/>
    <w:rsid w:val="005B08B6"/>
    <w:rsid w:val="005B0AFA"/>
    <w:rsid w:val="005B0BBE"/>
    <w:rsid w:val="005B0F31"/>
    <w:rsid w:val="005B1279"/>
    <w:rsid w:val="005B1800"/>
    <w:rsid w:val="005B1998"/>
    <w:rsid w:val="005B1C27"/>
    <w:rsid w:val="005B23D8"/>
    <w:rsid w:val="005B291F"/>
    <w:rsid w:val="005B2AAD"/>
    <w:rsid w:val="005B338C"/>
    <w:rsid w:val="005B35BC"/>
    <w:rsid w:val="005B3980"/>
    <w:rsid w:val="005B3B70"/>
    <w:rsid w:val="005B3C7D"/>
    <w:rsid w:val="005B3E8C"/>
    <w:rsid w:val="005B438D"/>
    <w:rsid w:val="005B44C3"/>
    <w:rsid w:val="005B4506"/>
    <w:rsid w:val="005B48AA"/>
    <w:rsid w:val="005B52F2"/>
    <w:rsid w:val="005B5D20"/>
    <w:rsid w:val="005B5ECF"/>
    <w:rsid w:val="005B676D"/>
    <w:rsid w:val="005B67CE"/>
    <w:rsid w:val="005B6958"/>
    <w:rsid w:val="005B6E35"/>
    <w:rsid w:val="005B714A"/>
    <w:rsid w:val="005B7343"/>
    <w:rsid w:val="005B7765"/>
    <w:rsid w:val="005B7AD3"/>
    <w:rsid w:val="005B7B71"/>
    <w:rsid w:val="005B7F6D"/>
    <w:rsid w:val="005C002D"/>
    <w:rsid w:val="005C010F"/>
    <w:rsid w:val="005C0583"/>
    <w:rsid w:val="005C08B8"/>
    <w:rsid w:val="005C0BBE"/>
    <w:rsid w:val="005C1103"/>
    <w:rsid w:val="005C14E9"/>
    <w:rsid w:val="005C211D"/>
    <w:rsid w:val="005C25A3"/>
    <w:rsid w:val="005C26A6"/>
    <w:rsid w:val="005C292D"/>
    <w:rsid w:val="005C3154"/>
    <w:rsid w:val="005C31C8"/>
    <w:rsid w:val="005C35EF"/>
    <w:rsid w:val="005C3A0D"/>
    <w:rsid w:val="005C3A1C"/>
    <w:rsid w:val="005C3DFA"/>
    <w:rsid w:val="005C3EE1"/>
    <w:rsid w:val="005C43E0"/>
    <w:rsid w:val="005C43EB"/>
    <w:rsid w:val="005C4449"/>
    <w:rsid w:val="005C50B8"/>
    <w:rsid w:val="005C618F"/>
    <w:rsid w:val="005C63BD"/>
    <w:rsid w:val="005C64A8"/>
    <w:rsid w:val="005C6C3F"/>
    <w:rsid w:val="005C6DAD"/>
    <w:rsid w:val="005C6FC8"/>
    <w:rsid w:val="005C7654"/>
    <w:rsid w:val="005C7749"/>
    <w:rsid w:val="005C7E4D"/>
    <w:rsid w:val="005D0020"/>
    <w:rsid w:val="005D00EB"/>
    <w:rsid w:val="005D07E6"/>
    <w:rsid w:val="005D0A9C"/>
    <w:rsid w:val="005D0AEC"/>
    <w:rsid w:val="005D113D"/>
    <w:rsid w:val="005D12F0"/>
    <w:rsid w:val="005D1B6C"/>
    <w:rsid w:val="005D2835"/>
    <w:rsid w:val="005D2A56"/>
    <w:rsid w:val="005D2E70"/>
    <w:rsid w:val="005D3190"/>
    <w:rsid w:val="005D37CA"/>
    <w:rsid w:val="005D3E43"/>
    <w:rsid w:val="005D419B"/>
    <w:rsid w:val="005D432E"/>
    <w:rsid w:val="005D445E"/>
    <w:rsid w:val="005D502B"/>
    <w:rsid w:val="005D5148"/>
    <w:rsid w:val="005D58FC"/>
    <w:rsid w:val="005D5A86"/>
    <w:rsid w:val="005D5C4A"/>
    <w:rsid w:val="005D6327"/>
    <w:rsid w:val="005D659C"/>
    <w:rsid w:val="005D6954"/>
    <w:rsid w:val="005D7EA0"/>
    <w:rsid w:val="005E029E"/>
    <w:rsid w:val="005E1408"/>
    <w:rsid w:val="005E15EB"/>
    <w:rsid w:val="005E1716"/>
    <w:rsid w:val="005E18F2"/>
    <w:rsid w:val="005E1BD2"/>
    <w:rsid w:val="005E1BF7"/>
    <w:rsid w:val="005E1E71"/>
    <w:rsid w:val="005E229E"/>
    <w:rsid w:val="005E2C2A"/>
    <w:rsid w:val="005E2DA3"/>
    <w:rsid w:val="005E2E5D"/>
    <w:rsid w:val="005E31AA"/>
    <w:rsid w:val="005E3834"/>
    <w:rsid w:val="005E3A05"/>
    <w:rsid w:val="005E3A24"/>
    <w:rsid w:val="005E4064"/>
    <w:rsid w:val="005E4483"/>
    <w:rsid w:val="005E472F"/>
    <w:rsid w:val="005E4BBC"/>
    <w:rsid w:val="005E5097"/>
    <w:rsid w:val="005E5240"/>
    <w:rsid w:val="005E5C4E"/>
    <w:rsid w:val="005E6119"/>
    <w:rsid w:val="005E6296"/>
    <w:rsid w:val="005E690C"/>
    <w:rsid w:val="005E6F97"/>
    <w:rsid w:val="005E6FBA"/>
    <w:rsid w:val="005E703A"/>
    <w:rsid w:val="005E7282"/>
    <w:rsid w:val="005E7415"/>
    <w:rsid w:val="005E766C"/>
    <w:rsid w:val="005E78AD"/>
    <w:rsid w:val="005E7B4B"/>
    <w:rsid w:val="005E7C8D"/>
    <w:rsid w:val="005E7D9B"/>
    <w:rsid w:val="005F00F0"/>
    <w:rsid w:val="005F0122"/>
    <w:rsid w:val="005F0B8D"/>
    <w:rsid w:val="005F0BDE"/>
    <w:rsid w:val="005F0C38"/>
    <w:rsid w:val="005F0EB1"/>
    <w:rsid w:val="005F1B3A"/>
    <w:rsid w:val="005F1C95"/>
    <w:rsid w:val="005F24B0"/>
    <w:rsid w:val="005F263E"/>
    <w:rsid w:val="005F29C5"/>
    <w:rsid w:val="005F3054"/>
    <w:rsid w:val="005F30EE"/>
    <w:rsid w:val="005F3367"/>
    <w:rsid w:val="005F3A16"/>
    <w:rsid w:val="005F3F30"/>
    <w:rsid w:val="005F4677"/>
    <w:rsid w:val="005F492C"/>
    <w:rsid w:val="005F4A49"/>
    <w:rsid w:val="005F4AFE"/>
    <w:rsid w:val="005F4BFE"/>
    <w:rsid w:val="005F524C"/>
    <w:rsid w:val="005F567A"/>
    <w:rsid w:val="005F592F"/>
    <w:rsid w:val="005F5B37"/>
    <w:rsid w:val="005F5CF6"/>
    <w:rsid w:val="005F62B3"/>
    <w:rsid w:val="005F692A"/>
    <w:rsid w:val="005F6EFE"/>
    <w:rsid w:val="005F706E"/>
    <w:rsid w:val="005F71D8"/>
    <w:rsid w:val="005F79DF"/>
    <w:rsid w:val="005F7C4A"/>
    <w:rsid w:val="005F7EF3"/>
    <w:rsid w:val="00600086"/>
    <w:rsid w:val="00600245"/>
    <w:rsid w:val="00600316"/>
    <w:rsid w:val="00600AC3"/>
    <w:rsid w:val="00600AC6"/>
    <w:rsid w:val="00600EF6"/>
    <w:rsid w:val="006010B5"/>
    <w:rsid w:val="00601488"/>
    <w:rsid w:val="006018D9"/>
    <w:rsid w:val="00601F02"/>
    <w:rsid w:val="00602072"/>
    <w:rsid w:val="00602134"/>
    <w:rsid w:val="00602452"/>
    <w:rsid w:val="0060251C"/>
    <w:rsid w:val="006025C3"/>
    <w:rsid w:val="00602794"/>
    <w:rsid w:val="006029DC"/>
    <w:rsid w:val="00602AA7"/>
    <w:rsid w:val="00602C67"/>
    <w:rsid w:val="006030C9"/>
    <w:rsid w:val="006030DC"/>
    <w:rsid w:val="00603289"/>
    <w:rsid w:val="006035E2"/>
    <w:rsid w:val="0060375A"/>
    <w:rsid w:val="006038ED"/>
    <w:rsid w:val="00603A77"/>
    <w:rsid w:val="00604014"/>
    <w:rsid w:val="006043A7"/>
    <w:rsid w:val="00604D27"/>
    <w:rsid w:val="00604F1B"/>
    <w:rsid w:val="006055E5"/>
    <w:rsid w:val="00605627"/>
    <w:rsid w:val="00605794"/>
    <w:rsid w:val="006057B1"/>
    <w:rsid w:val="0060583D"/>
    <w:rsid w:val="00605A03"/>
    <w:rsid w:val="0060670A"/>
    <w:rsid w:val="00607422"/>
    <w:rsid w:val="006078E8"/>
    <w:rsid w:val="00607D5C"/>
    <w:rsid w:val="00607D93"/>
    <w:rsid w:val="00607E75"/>
    <w:rsid w:val="0061013C"/>
    <w:rsid w:val="00611044"/>
    <w:rsid w:val="006111E0"/>
    <w:rsid w:val="0061135F"/>
    <w:rsid w:val="00611606"/>
    <w:rsid w:val="0061180C"/>
    <w:rsid w:val="0061225D"/>
    <w:rsid w:val="00612450"/>
    <w:rsid w:val="00612684"/>
    <w:rsid w:val="006127A2"/>
    <w:rsid w:val="006128B1"/>
    <w:rsid w:val="00613024"/>
    <w:rsid w:val="006134C8"/>
    <w:rsid w:val="00613719"/>
    <w:rsid w:val="00613A28"/>
    <w:rsid w:val="00613B25"/>
    <w:rsid w:val="00613EAA"/>
    <w:rsid w:val="00614040"/>
    <w:rsid w:val="00614337"/>
    <w:rsid w:val="006148F2"/>
    <w:rsid w:val="00614A43"/>
    <w:rsid w:val="00614D16"/>
    <w:rsid w:val="00615109"/>
    <w:rsid w:val="006153DD"/>
    <w:rsid w:val="006155C5"/>
    <w:rsid w:val="00615A35"/>
    <w:rsid w:val="00615C6D"/>
    <w:rsid w:val="00615FF5"/>
    <w:rsid w:val="0061604D"/>
    <w:rsid w:val="00616CB9"/>
    <w:rsid w:val="00616EF8"/>
    <w:rsid w:val="00617131"/>
    <w:rsid w:val="00617932"/>
    <w:rsid w:val="00617A7D"/>
    <w:rsid w:val="00617D09"/>
    <w:rsid w:val="00617D3D"/>
    <w:rsid w:val="00617ED2"/>
    <w:rsid w:val="0062012D"/>
    <w:rsid w:val="006207BF"/>
    <w:rsid w:val="00620BD0"/>
    <w:rsid w:val="00620D20"/>
    <w:rsid w:val="0062116C"/>
    <w:rsid w:val="006213B2"/>
    <w:rsid w:val="0062186A"/>
    <w:rsid w:val="00621AC0"/>
    <w:rsid w:val="006224F6"/>
    <w:rsid w:val="006227CB"/>
    <w:rsid w:val="006229AF"/>
    <w:rsid w:val="00622CDF"/>
    <w:rsid w:val="00623185"/>
    <w:rsid w:val="0062349A"/>
    <w:rsid w:val="006236D4"/>
    <w:rsid w:val="00623758"/>
    <w:rsid w:val="006238BB"/>
    <w:rsid w:val="00623DC1"/>
    <w:rsid w:val="00623E8B"/>
    <w:rsid w:val="00624736"/>
    <w:rsid w:val="006247BF"/>
    <w:rsid w:val="0062494D"/>
    <w:rsid w:val="0062543B"/>
    <w:rsid w:val="0062626E"/>
    <w:rsid w:val="006262C9"/>
    <w:rsid w:val="00626433"/>
    <w:rsid w:val="00626AEE"/>
    <w:rsid w:val="00626CB3"/>
    <w:rsid w:val="0062766C"/>
    <w:rsid w:val="0062780B"/>
    <w:rsid w:val="00627B93"/>
    <w:rsid w:val="00627D66"/>
    <w:rsid w:val="00627D88"/>
    <w:rsid w:val="0063006A"/>
    <w:rsid w:val="006301B9"/>
    <w:rsid w:val="00630433"/>
    <w:rsid w:val="0063050A"/>
    <w:rsid w:val="0063056C"/>
    <w:rsid w:val="006308D0"/>
    <w:rsid w:val="00630BF2"/>
    <w:rsid w:val="00630C6F"/>
    <w:rsid w:val="00631017"/>
    <w:rsid w:val="0063162E"/>
    <w:rsid w:val="006317B3"/>
    <w:rsid w:val="00631853"/>
    <w:rsid w:val="00631EA9"/>
    <w:rsid w:val="00631F9A"/>
    <w:rsid w:val="0063215C"/>
    <w:rsid w:val="0063263A"/>
    <w:rsid w:val="006327BE"/>
    <w:rsid w:val="00632B4E"/>
    <w:rsid w:val="00632B6E"/>
    <w:rsid w:val="00633382"/>
    <w:rsid w:val="006336F7"/>
    <w:rsid w:val="00633AE7"/>
    <w:rsid w:val="00634342"/>
    <w:rsid w:val="00634662"/>
    <w:rsid w:val="00634795"/>
    <w:rsid w:val="0063489E"/>
    <w:rsid w:val="00634901"/>
    <w:rsid w:val="00634BB4"/>
    <w:rsid w:val="00635BF8"/>
    <w:rsid w:val="00635DEE"/>
    <w:rsid w:val="006368F5"/>
    <w:rsid w:val="00636ADA"/>
    <w:rsid w:val="00636FC2"/>
    <w:rsid w:val="0063704E"/>
    <w:rsid w:val="00637071"/>
    <w:rsid w:val="0063710A"/>
    <w:rsid w:val="006375DD"/>
    <w:rsid w:val="00637B11"/>
    <w:rsid w:val="00637BEB"/>
    <w:rsid w:val="00637D49"/>
    <w:rsid w:val="006407F5"/>
    <w:rsid w:val="0064088F"/>
    <w:rsid w:val="00640D6C"/>
    <w:rsid w:val="00640DAD"/>
    <w:rsid w:val="00640E51"/>
    <w:rsid w:val="00641633"/>
    <w:rsid w:val="0064168F"/>
    <w:rsid w:val="00641924"/>
    <w:rsid w:val="00641B9B"/>
    <w:rsid w:val="00641F9C"/>
    <w:rsid w:val="00642069"/>
    <w:rsid w:val="006422E0"/>
    <w:rsid w:val="006427DE"/>
    <w:rsid w:val="00642CBC"/>
    <w:rsid w:val="00642EF1"/>
    <w:rsid w:val="00642F70"/>
    <w:rsid w:val="00643297"/>
    <w:rsid w:val="00643386"/>
    <w:rsid w:val="00643496"/>
    <w:rsid w:val="00643DA7"/>
    <w:rsid w:val="0064496F"/>
    <w:rsid w:val="006452D1"/>
    <w:rsid w:val="006456DC"/>
    <w:rsid w:val="00646085"/>
    <w:rsid w:val="00646138"/>
    <w:rsid w:val="006461EF"/>
    <w:rsid w:val="0064622E"/>
    <w:rsid w:val="0064672A"/>
    <w:rsid w:val="006468C3"/>
    <w:rsid w:val="00646C0D"/>
    <w:rsid w:val="00646C29"/>
    <w:rsid w:val="00646DE1"/>
    <w:rsid w:val="00646FEE"/>
    <w:rsid w:val="00647072"/>
    <w:rsid w:val="006472EE"/>
    <w:rsid w:val="00650126"/>
    <w:rsid w:val="006501AB"/>
    <w:rsid w:val="006502FC"/>
    <w:rsid w:val="00650525"/>
    <w:rsid w:val="00650C2E"/>
    <w:rsid w:val="00650EC1"/>
    <w:rsid w:val="00650F31"/>
    <w:rsid w:val="00651246"/>
    <w:rsid w:val="006517DE"/>
    <w:rsid w:val="00651D97"/>
    <w:rsid w:val="00651EBB"/>
    <w:rsid w:val="006525FD"/>
    <w:rsid w:val="00652FFE"/>
    <w:rsid w:val="006531F0"/>
    <w:rsid w:val="0065329A"/>
    <w:rsid w:val="006534DF"/>
    <w:rsid w:val="00654AF2"/>
    <w:rsid w:val="00654B1D"/>
    <w:rsid w:val="00654CEF"/>
    <w:rsid w:val="00654E2D"/>
    <w:rsid w:val="00654F99"/>
    <w:rsid w:val="006552F5"/>
    <w:rsid w:val="00655346"/>
    <w:rsid w:val="006554DD"/>
    <w:rsid w:val="006556A6"/>
    <w:rsid w:val="0065578E"/>
    <w:rsid w:val="0065585C"/>
    <w:rsid w:val="00655E0D"/>
    <w:rsid w:val="00655FD4"/>
    <w:rsid w:val="00656319"/>
    <w:rsid w:val="00656660"/>
    <w:rsid w:val="006566DE"/>
    <w:rsid w:val="006566E8"/>
    <w:rsid w:val="00656B8F"/>
    <w:rsid w:val="00656F91"/>
    <w:rsid w:val="00657161"/>
    <w:rsid w:val="006573B5"/>
    <w:rsid w:val="00657418"/>
    <w:rsid w:val="00657475"/>
    <w:rsid w:val="0065755D"/>
    <w:rsid w:val="00657991"/>
    <w:rsid w:val="00657B86"/>
    <w:rsid w:val="00660583"/>
    <w:rsid w:val="006606CB"/>
    <w:rsid w:val="00660B62"/>
    <w:rsid w:val="00660E5E"/>
    <w:rsid w:val="00660E7F"/>
    <w:rsid w:val="00661388"/>
    <w:rsid w:val="006613E3"/>
    <w:rsid w:val="00661494"/>
    <w:rsid w:val="00661782"/>
    <w:rsid w:val="00661BE4"/>
    <w:rsid w:val="00661D0E"/>
    <w:rsid w:val="0066204F"/>
    <w:rsid w:val="0066273B"/>
    <w:rsid w:val="00662CD8"/>
    <w:rsid w:val="00662D88"/>
    <w:rsid w:val="00663544"/>
    <w:rsid w:val="00663606"/>
    <w:rsid w:val="006639C1"/>
    <w:rsid w:val="00663AAA"/>
    <w:rsid w:val="00663E58"/>
    <w:rsid w:val="00663EB0"/>
    <w:rsid w:val="006640E4"/>
    <w:rsid w:val="00664CA1"/>
    <w:rsid w:val="00665626"/>
    <w:rsid w:val="00665C1C"/>
    <w:rsid w:val="0066606E"/>
    <w:rsid w:val="00666262"/>
    <w:rsid w:val="00666283"/>
    <w:rsid w:val="00666587"/>
    <w:rsid w:val="00666875"/>
    <w:rsid w:val="00666B68"/>
    <w:rsid w:val="00666C58"/>
    <w:rsid w:val="00666CEE"/>
    <w:rsid w:val="0066780A"/>
    <w:rsid w:val="00667A3A"/>
    <w:rsid w:val="006706D7"/>
    <w:rsid w:val="006706E3"/>
    <w:rsid w:val="00670F12"/>
    <w:rsid w:val="00671032"/>
    <w:rsid w:val="006714E6"/>
    <w:rsid w:val="00671813"/>
    <w:rsid w:val="00671980"/>
    <w:rsid w:val="0067214D"/>
    <w:rsid w:val="00672356"/>
    <w:rsid w:val="00672989"/>
    <w:rsid w:val="00672A6A"/>
    <w:rsid w:val="00672C62"/>
    <w:rsid w:val="00672ED7"/>
    <w:rsid w:val="00673235"/>
    <w:rsid w:val="0067332A"/>
    <w:rsid w:val="006744F3"/>
    <w:rsid w:val="006745A7"/>
    <w:rsid w:val="00674837"/>
    <w:rsid w:val="00674AA6"/>
    <w:rsid w:val="00674F21"/>
    <w:rsid w:val="00675807"/>
    <w:rsid w:val="00675934"/>
    <w:rsid w:val="00675A54"/>
    <w:rsid w:val="00675D72"/>
    <w:rsid w:val="00676165"/>
    <w:rsid w:val="00677213"/>
    <w:rsid w:val="006775AF"/>
    <w:rsid w:val="00680089"/>
    <w:rsid w:val="00680356"/>
    <w:rsid w:val="006807D8"/>
    <w:rsid w:val="00680895"/>
    <w:rsid w:val="006809D0"/>
    <w:rsid w:val="006809FC"/>
    <w:rsid w:val="00680A08"/>
    <w:rsid w:val="00680BD6"/>
    <w:rsid w:val="00680EED"/>
    <w:rsid w:val="0068114A"/>
    <w:rsid w:val="006816A8"/>
    <w:rsid w:val="00681713"/>
    <w:rsid w:val="006817FD"/>
    <w:rsid w:val="0068191A"/>
    <w:rsid w:val="00681A4A"/>
    <w:rsid w:val="006820C6"/>
    <w:rsid w:val="006821EF"/>
    <w:rsid w:val="006822DD"/>
    <w:rsid w:val="006826CA"/>
    <w:rsid w:val="006826D0"/>
    <w:rsid w:val="00682E7A"/>
    <w:rsid w:val="00682F0A"/>
    <w:rsid w:val="00683706"/>
    <w:rsid w:val="00683796"/>
    <w:rsid w:val="00684259"/>
    <w:rsid w:val="00684837"/>
    <w:rsid w:val="006849D7"/>
    <w:rsid w:val="00684B91"/>
    <w:rsid w:val="00684FB8"/>
    <w:rsid w:val="006852FC"/>
    <w:rsid w:val="006854F6"/>
    <w:rsid w:val="0068570F"/>
    <w:rsid w:val="00685A47"/>
    <w:rsid w:val="00685B73"/>
    <w:rsid w:val="00685F47"/>
    <w:rsid w:val="00686011"/>
    <w:rsid w:val="0068618B"/>
    <w:rsid w:val="006862E5"/>
    <w:rsid w:val="00687117"/>
    <w:rsid w:val="0068723D"/>
    <w:rsid w:val="00687352"/>
    <w:rsid w:val="006874A4"/>
    <w:rsid w:val="006874FC"/>
    <w:rsid w:val="00687C94"/>
    <w:rsid w:val="00690184"/>
    <w:rsid w:val="006902F1"/>
    <w:rsid w:val="00690514"/>
    <w:rsid w:val="006907B5"/>
    <w:rsid w:val="00690A05"/>
    <w:rsid w:val="00690B6A"/>
    <w:rsid w:val="00690F09"/>
    <w:rsid w:val="00690F16"/>
    <w:rsid w:val="0069154E"/>
    <w:rsid w:val="00691988"/>
    <w:rsid w:val="006923A2"/>
    <w:rsid w:val="0069261F"/>
    <w:rsid w:val="0069275F"/>
    <w:rsid w:val="00692D12"/>
    <w:rsid w:val="00692D41"/>
    <w:rsid w:val="00692ED0"/>
    <w:rsid w:val="0069326E"/>
    <w:rsid w:val="0069342C"/>
    <w:rsid w:val="006938E2"/>
    <w:rsid w:val="00693B6B"/>
    <w:rsid w:val="00693D4A"/>
    <w:rsid w:val="00693E22"/>
    <w:rsid w:val="00693E36"/>
    <w:rsid w:val="00694284"/>
    <w:rsid w:val="006947CA"/>
    <w:rsid w:val="00694AB5"/>
    <w:rsid w:val="00694ABF"/>
    <w:rsid w:val="00695646"/>
    <w:rsid w:val="00695833"/>
    <w:rsid w:val="0069591F"/>
    <w:rsid w:val="00695B2C"/>
    <w:rsid w:val="00695C6B"/>
    <w:rsid w:val="00695E5C"/>
    <w:rsid w:val="00696AA9"/>
    <w:rsid w:val="00697320"/>
    <w:rsid w:val="00697692"/>
    <w:rsid w:val="00697827"/>
    <w:rsid w:val="006978A7"/>
    <w:rsid w:val="00697A5C"/>
    <w:rsid w:val="00697B7E"/>
    <w:rsid w:val="00697D55"/>
    <w:rsid w:val="006A01CE"/>
    <w:rsid w:val="006A048A"/>
    <w:rsid w:val="006A0B7A"/>
    <w:rsid w:val="006A0CBC"/>
    <w:rsid w:val="006A1018"/>
    <w:rsid w:val="006A10D8"/>
    <w:rsid w:val="006A1233"/>
    <w:rsid w:val="006A2052"/>
    <w:rsid w:val="006A2F6C"/>
    <w:rsid w:val="006A2FD4"/>
    <w:rsid w:val="006A3061"/>
    <w:rsid w:val="006A367F"/>
    <w:rsid w:val="006A387E"/>
    <w:rsid w:val="006A3DEA"/>
    <w:rsid w:val="006A3FC2"/>
    <w:rsid w:val="006A4491"/>
    <w:rsid w:val="006A49D1"/>
    <w:rsid w:val="006A4B06"/>
    <w:rsid w:val="006A4BEE"/>
    <w:rsid w:val="006A4C43"/>
    <w:rsid w:val="006A4CBD"/>
    <w:rsid w:val="006A50EB"/>
    <w:rsid w:val="006A543E"/>
    <w:rsid w:val="006A549F"/>
    <w:rsid w:val="006A560C"/>
    <w:rsid w:val="006A5D8C"/>
    <w:rsid w:val="006A5EA9"/>
    <w:rsid w:val="006A61EA"/>
    <w:rsid w:val="006A66BA"/>
    <w:rsid w:val="006A6C13"/>
    <w:rsid w:val="006A71AC"/>
    <w:rsid w:val="006A71E2"/>
    <w:rsid w:val="006A7B17"/>
    <w:rsid w:val="006A7B25"/>
    <w:rsid w:val="006A7DBC"/>
    <w:rsid w:val="006B005F"/>
    <w:rsid w:val="006B0252"/>
    <w:rsid w:val="006B033F"/>
    <w:rsid w:val="006B09AA"/>
    <w:rsid w:val="006B12EB"/>
    <w:rsid w:val="006B1679"/>
    <w:rsid w:val="006B17A4"/>
    <w:rsid w:val="006B249E"/>
    <w:rsid w:val="006B2C42"/>
    <w:rsid w:val="006B2CBA"/>
    <w:rsid w:val="006B3980"/>
    <w:rsid w:val="006B3B98"/>
    <w:rsid w:val="006B3C5F"/>
    <w:rsid w:val="006B3DED"/>
    <w:rsid w:val="006B460E"/>
    <w:rsid w:val="006B48A6"/>
    <w:rsid w:val="006B48DE"/>
    <w:rsid w:val="006B4992"/>
    <w:rsid w:val="006B4E69"/>
    <w:rsid w:val="006B4F2B"/>
    <w:rsid w:val="006B5038"/>
    <w:rsid w:val="006B53FE"/>
    <w:rsid w:val="006B56DA"/>
    <w:rsid w:val="006B56E5"/>
    <w:rsid w:val="006B609F"/>
    <w:rsid w:val="006B63A1"/>
    <w:rsid w:val="006B64AB"/>
    <w:rsid w:val="006B6A31"/>
    <w:rsid w:val="006B6D3C"/>
    <w:rsid w:val="006B6F9B"/>
    <w:rsid w:val="006B7173"/>
    <w:rsid w:val="006B733D"/>
    <w:rsid w:val="006B76C7"/>
    <w:rsid w:val="006B7E16"/>
    <w:rsid w:val="006B7E54"/>
    <w:rsid w:val="006B7EED"/>
    <w:rsid w:val="006C08F3"/>
    <w:rsid w:val="006C0CE7"/>
    <w:rsid w:val="006C17C3"/>
    <w:rsid w:val="006C1BCF"/>
    <w:rsid w:val="006C22CB"/>
    <w:rsid w:val="006C23B5"/>
    <w:rsid w:val="006C273E"/>
    <w:rsid w:val="006C277E"/>
    <w:rsid w:val="006C27CB"/>
    <w:rsid w:val="006C2912"/>
    <w:rsid w:val="006C33AA"/>
    <w:rsid w:val="006C3481"/>
    <w:rsid w:val="006C3563"/>
    <w:rsid w:val="006C455A"/>
    <w:rsid w:val="006C46FA"/>
    <w:rsid w:val="006C4850"/>
    <w:rsid w:val="006C4C98"/>
    <w:rsid w:val="006C4D8D"/>
    <w:rsid w:val="006C5919"/>
    <w:rsid w:val="006C5A62"/>
    <w:rsid w:val="006C5FC7"/>
    <w:rsid w:val="006C6356"/>
    <w:rsid w:val="006C63DE"/>
    <w:rsid w:val="006C643C"/>
    <w:rsid w:val="006C6597"/>
    <w:rsid w:val="006C692C"/>
    <w:rsid w:val="006C6D92"/>
    <w:rsid w:val="006C7030"/>
    <w:rsid w:val="006C7096"/>
    <w:rsid w:val="006C70C1"/>
    <w:rsid w:val="006C755C"/>
    <w:rsid w:val="006C7881"/>
    <w:rsid w:val="006C7EEC"/>
    <w:rsid w:val="006D00CF"/>
    <w:rsid w:val="006D00E5"/>
    <w:rsid w:val="006D027F"/>
    <w:rsid w:val="006D036E"/>
    <w:rsid w:val="006D0C19"/>
    <w:rsid w:val="006D0D63"/>
    <w:rsid w:val="006D13D8"/>
    <w:rsid w:val="006D150D"/>
    <w:rsid w:val="006D1B7C"/>
    <w:rsid w:val="006D1D4D"/>
    <w:rsid w:val="006D20E8"/>
    <w:rsid w:val="006D26A1"/>
    <w:rsid w:val="006D2883"/>
    <w:rsid w:val="006D299D"/>
    <w:rsid w:val="006D2F2E"/>
    <w:rsid w:val="006D2FD8"/>
    <w:rsid w:val="006D300C"/>
    <w:rsid w:val="006D30C5"/>
    <w:rsid w:val="006D3435"/>
    <w:rsid w:val="006D3452"/>
    <w:rsid w:val="006D354C"/>
    <w:rsid w:val="006D35E5"/>
    <w:rsid w:val="006D365E"/>
    <w:rsid w:val="006D4C92"/>
    <w:rsid w:val="006D4D5E"/>
    <w:rsid w:val="006D5048"/>
    <w:rsid w:val="006D520D"/>
    <w:rsid w:val="006D53E3"/>
    <w:rsid w:val="006D5A80"/>
    <w:rsid w:val="006D6240"/>
    <w:rsid w:val="006D637F"/>
    <w:rsid w:val="006D6635"/>
    <w:rsid w:val="006D66CC"/>
    <w:rsid w:val="006D69E2"/>
    <w:rsid w:val="006D6F74"/>
    <w:rsid w:val="006D7077"/>
    <w:rsid w:val="006D76F0"/>
    <w:rsid w:val="006D77A0"/>
    <w:rsid w:val="006D7B8E"/>
    <w:rsid w:val="006D7CA4"/>
    <w:rsid w:val="006D7DD7"/>
    <w:rsid w:val="006E014C"/>
    <w:rsid w:val="006E0539"/>
    <w:rsid w:val="006E059D"/>
    <w:rsid w:val="006E05BD"/>
    <w:rsid w:val="006E06E3"/>
    <w:rsid w:val="006E090C"/>
    <w:rsid w:val="006E0A5B"/>
    <w:rsid w:val="006E0EC5"/>
    <w:rsid w:val="006E1098"/>
    <w:rsid w:val="006E16F4"/>
    <w:rsid w:val="006E1AF6"/>
    <w:rsid w:val="006E1C8E"/>
    <w:rsid w:val="006E1D29"/>
    <w:rsid w:val="006E20D7"/>
    <w:rsid w:val="006E21EA"/>
    <w:rsid w:val="006E2265"/>
    <w:rsid w:val="006E2312"/>
    <w:rsid w:val="006E24E1"/>
    <w:rsid w:val="006E25FB"/>
    <w:rsid w:val="006E2860"/>
    <w:rsid w:val="006E2F49"/>
    <w:rsid w:val="006E3288"/>
    <w:rsid w:val="006E3890"/>
    <w:rsid w:val="006E39F4"/>
    <w:rsid w:val="006E3C88"/>
    <w:rsid w:val="006E424D"/>
    <w:rsid w:val="006E4426"/>
    <w:rsid w:val="006E45C4"/>
    <w:rsid w:val="006E48C8"/>
    <w:rsid w:val="006E4969"/>
    <w:rsid w:val="006E512A"/>
    <w:rsid w:val="006E52D9"/>
    <w:rsid w:val="006E6430"/>
    <w:rsid w:val="006E6883"/>
    <w:rsid w:val="006E6A2D"/>
    <w:rsid w:val="006E6D1F"/>
    <w:rsid w:val="006E6D8B"/>
    <w:rsid w:val="006E6F6C"/>
    <w:rsid w:val="006E6FE1"/>
    <w:rsid w:val="006E71A9"/>
    <w:rsid w:val="006E79A1"/>
    <w:rsid w:val="006F02D6"/>
    <w:rsid w:val="006F0503"/>
    <w:rsid w:val="006F05D4"/>
    <w:rsid w:val="006F0FF1"/>
    <w:rsid w:val="006F1146"/>
    <w:rsid w:val="006F13C4"/>
    <w:rsid w:val="006F1412"/>
    <w:rsid w:val="006F15B8"/>
    <w:rsid w:val="006F1E71"/>
    <w:rsid w:val="006F2B45"/>
    <w:rsid w:val="006F325A"/>
    <w:rsid w:val="006F3462"/>
    <w:rsid w:val="006F3762"/>
    <w:rsid w:val="006F3BBB"/>
    <w:rsid w:val="006F3E1E"/>
    <w:rsid w:val="006F4023"/>
    <w:rsid w:val="006F4364"/>
    <w:rsid w:val="006F43B8"/>
    <w:rsid w:val="006F4534"/>
    <w:rsid w:val="006F4673"/>
    <w:rsid w:val="006F48DA"/>
    <w:rsid w:val="006F4988"/>
    <w:rsid w:val="006F5B2A"/>
    <w:rsid w:val="006F63EB"/>
    <w:rsid w:val="006F63EE"/>
    <w:rsid w:val="006F647E"/>
    <w:rsid w:val="006F6564"/>
    <w:rsid w:val="006F6846"/>
    <w:rsid w:val="006F6DC7"/>
    <w:rsid w:val="006F7A9E"/>
    <w:rsid w:val="006F7AE6"/>
    <w:rsid w:val="006F7CF3"/>
    <w:rsid w:val="006F7F09"/>
    <w:rsid w:val="006F7F13"/>
    <w:rsid w:val="0070016B"/>
    <w:rsid w:val="007002A3"/>
    <w:rsid w:val="00700543"/>
    <w:rsid w:val="007012E2"/>
    <w:rsid w:val="0070135C"/>
    <w:rsid w:val="00702449"/>
    <w:rsid w:val="00702748"/>
    <w:rsid w:val="00703631"/>
    <w:rsid w:val="007037B2"/>
    <w:rsid w:val="00703A14"/>
    <w:rsid w:val="007040E5"/>
    <w:rsid w:val="0070413E"/>
    <w:rsid w:val="007041EF"/>
    <w:rsid w:val="007044AD"/>
    <w:rsid w:val="007047D9"/>
    <w:rsid w:val="00704F36"/>
    <w:rsid w:val="0070550B"/>
    <w:rsid w:val="00705641"/>
    <w:rsid w:val="007058A7"/>
    <w:rsid w:val="00706133"/>
    <w:rsid w:val="007066E0"/>
    <w:rsid w:val="00706735"/>
    <w:rsid w:val="00706A1C"/>
    <w:rsid w:val="00706C7C"/>
    <w:rsid w:val="00707912"/>
    <w:rsid w:val="007079FE"/>
    <w:rsid w:val="00707B25"/>
    <w:rsid w:val="00707BBC"/>
    <w:rsid w:val="00710805"/>
    <w:rsid w:val="00710BD1"/>
    <w:rsid w:val="00710CC2"/>
    <w:rsid w:val="00711277"/>
    <w:rsid w:val="0071143C"/>
    <w:rsid w:val="0071192F"/>
    <w:rsid w:val="00711A78"/>
    <w:rsid w:val="00711D32"/>
    <w:rsid w:val="00712201"/>
    <w:rsid w:val="0071235C"/>
    <w:rsid w:val="00712678"/>
    <w:rsid w:val="007127FD"/>
    <w:rsid w:val="0071382F"/>
    <w:rsid w:val="00713885"/>
    <w:rsid w:val="007142EF"/>
    <w:rsid w:val="0071459F"/>
    <w:rsid w:val="00714884"/>
    <w:rsid w:val="00714AB1"/>
    <w:rsid w:val="00714DF8"/>
    <w:rsid w:val="00714F7E"/>
    <w:rsid w:val="007151B3"/>
    <w:rsid w:val="007155E9"/>
    <w:rsid w:val="00715894"/>
    <w:rsid w:val="0071589B"/>
    <w:rsid w:val="0071596B"/>
    <w:rsid w:val="00715A7E"/>
    <w:rsid w:val="00715C5C"/>
    <w:rsid w:val="00715CDB"/>
    <w:rsid w:val="00715EC2"/>
    <w:rsid w:val="007161A1"/>
    <w:rsid w:val="00716813"/>
    <w:rsid w:val="00716B92"/>
    <w:rsid w:val="00716D7A"/>
    <w:rsid w:val="00716D8E"/>
    <w:rsid w:val="00717034"/>
    <w:rsid w:val="0071715A"/>
    <w:rsid w:val="00717412"/>
    <w:rsid w:val="00717C59"/>
    <w:rsid w:val="00717F63"/>
    <w:rsid w:val="00717FBA"/>
    <w:rsid w:val="00717FD4"/>
    <w:rsid w:val="007202EF"/>
    <w:rsid w:val="00720732"/>
    <w:rsid w:val="0072073A"/>
    <w:rsid w:val="00720A5B"/>
    <w:rsid w:val="00720AD0"/>
    <w:rsid w:val="007210E8"/>
    <w:rsid w:val="00721621"/>
    <w:rsid w:val="007218D1"/>
    <w:rsid w:val="00721A0C"/>
    <w:rsid w:val="00721DAA"/>
    <w:rsid w:val="00721E15"/>
    <w:rsid w:val="007221C8"/>
    <w:rsid w:val="007225D1"/>
    <w:rsid w:val="0072261C"/>
    <w:rsid w:val="00722C70"/>
    <w:rsid w:val="00722C91"/>
    <w:rsid w:val="00723120"/>
    <w:rsid w:val="00723759"/>
    <w:rsid w:val="007239BC"/>
    <w:rsid w:val="00723C00"/>
    <w:rsid w:val="007246E5"/>
    <w:rsid w:val="0072491E"/>
    <w:rsid w:val="00724AF4"/>
    <w:rsid w:val="00724FF3"/>
    <w:rsid w:val="007252BF"/>
    <w:rsid w:val="0072540C"/>
    <w:rsid w:val="007257A0"/>
    <w:rsid w:val="00725839"/>
    <w:rsid w:val="0072591D"/>
    <w:rsid w:val="007259B6"/>
    <w:rsid w:val="00725ABD"/>
    <w:rsid w:val="00725B6C"/>
    <w:rsid w:val="00725D6F"/>
    <w:rsid w:val="00725F65"/>
    <w:rsid w:val="007263A0"/>
    <w:rsid w:val="007269EA"/>
    <w:rsid w:val="00726DBB"/>
    <w:rsid w:val="00726E31"/>
    <w:rsid w:val="00727ACC"/>
    <w:rsid w:val="00727B81"/>
    <w:rsid w:val="00730B18"/>
    <w:rsid w:val="00730BDB"/>
    <w:rsid w:val="00730BDC"/>
    <w:rsid w:val="0073149B"/>
    <w:rsid w:val="00731505"/>
    <w:rsid w:val="00731F2F"/>
    <w:rsid w:val="007325F6"/>
    <w:rsid w:val="00732ED5"/>
    <w:rsid w:val="007338EF"/>
    <w:rsid w:val="007346E1"/>
    <w:rsid w:val="007346F3"/>
    <w:rsid w:val="00734DCF"/>
    <w:rsid w:val="00735339"/>
    <w:rsid w:val="007354F4"/>
    <w:rsid w:val="0073571C"/>
    <w:rsid w:val="00735809"/>
    <w:rsid w:val="00735936"/>
    <w:rsid w:val="00735DFA"/>
    <w:rsid w:val="00735FCE"/>
    <w:rsid w:val="0073629F"/>
    <w:rsid w:val="007362C7"/>
    <w:rsid w:val="00736AC3"/>
    <w:rsid w:val="00736C07"/>
    <w:rsid w:val="007371A2"/>
    <w:rsid w:val="00737365"/>
    <w:rsid w:val="007377D1"/>
    <w:rsid w:val="00737B28"/>
    <w:rsid w:val="00737BF0"/>
    <w:rsid w:val="00737D76"/>
    <w:rsid w:val="007408C2"/>
    <w:rsid w:val="00740ED0"/>
    <w:rsid w:val="0074139E"/>
    <w:rsid w:val="007413A7"/>
    <w:rsid w:val="0074143C"/>
    <w:rsid w:val="0074181E"/>
    <w:rsid w:val="0074184D"/>
    <w:rsid w:val="00741E78"/>
    <w:rsid w:val="00742062"/>
    <w:rsid w:val="00742299"/>
    <w:rsid w:val="007422CE"/>
    <w:rsid w:val="00742320"/>
    <w:rsid w:val="00742E2D"/>
    <w:rsid w:val="00742FDA"/>
    <w:rsid w:val="007435A4"/>
    <w:rsid w:val="007436BD"/>
    <w:rsid w:val="00743C8C"/>
    <w:rsid w:val="007445C0"/>
    <w:rsid w:val="007447EF"/>
    <w:rsid w:val="007449B2"/>
    <w:rsid w:val="007450F9"/>
    <w:rsid w:val="00745722"/>
    <w:rsid w:val="00745BA3"/>
    <w:rsid w:val="00745D0D"/>
    <w:rsid w:val="00745D79"/>
    <w:rsid w:val="007462B7"/>
    <w:rsid w:val="0074655B"/>
    <w:rsid w:val="0074658B"/>
    <w:rsid w:val="007466F5"/>
    <w:rsid w:val="00746710"/>
    <w:rsid w:val="00746AE2"/>
    <w:rsid w:val="00746B92"/>
    <w:rsid w:val="007471E4"/>
    <w:rsid w:val="00747B5B"/>
    <w:rsid w:val="007500C2"/>
    <w:rsid w:val="0075028A"/>
    <w:rsid w:val="00750CD7"/>
    <w:rsid w:val="00750E9C"/>
    <w:rsid w:val="007513EC"/>
    <w:rsid w:val="00751727"/>
    <w:rsid w:val="00751879"/>
    <w:rsid w:val="00751909"/>
    <w:rsid w:val="00751FA3"/>
    <w:rsid w:val="0075226C"/>
    <w:rsid w:val="00752430"/>
    <w:rsid w:val="00752A07"/>
    <w:rsid w:val="00752A9A"/>
    <w:rsid w:val="00753331"/>
    <w:rsid w:val="007533F1"/>
    <w:rsid w:val="00753E01"/>
    <w:rsid w:val="00754527"/>
    <w:rsid w:val="0075499D"/>
    <w:rsid w:val="00754AF1"/>
    <w:rsid w:val="00754E42"/>
    <w:rsid w:val="0075574A"/>
    <w:rsid w:val="00755ED6"/>
    <w:rsid w:val="00756007"/>
    <w:rsid w:val="007563C2"/>
    <w:rsid w:val="00756763"/>
    <w:rsid w:val="00756A5A"/>
    <w:rsid w:val="00756FE6"/>
    <w:rsid w:val="00757EA7"/>
    <w:rsid w:val="007601A1"/>
    <w:rsid w:val="007603BA"/>
    <w:rsid w:val="0076103F"/>
    <w:rsid w:val="007613F5"/>
    <w:rsid w:val="0076182D"/>
    <w:rsid w:val="00761982"/>
    <w:rsid w:val="00761B6D"/>
    <w:rsid w:val="00762024"/>
    <w:rsid w:val="007621A6"/>
    <w:rsid w:val="0076228D"/>
    <w:rsid w:val="007622BA"/>
    <w:rsid w:val="00762516"/>
    <w:rsid w:val="00762A9E"/>
    <w:rsid w:val="00762C09"/>
    <w:rsid w:val="0076337B"/>
    <w:rsid w:val="00763608"/>
    <w:rsid w:val="007642EA"/>
    <w:rsid w:val="007644DD"/>
    <w:rsid w:val="00764833"/>
    <w:rsid w:val="00764955"/>
    <w:rsid w:val="00764A56"/>
    <w:rsid w:val="00764C0A"/>
    <w:rsid w:val="00764D61"/>
    <w:rsid w:val="0076501F"/>
    <w:rsid w:val="0076510C"/>
    <w:rsid w:val="0076552E"/>
    <w:rsid w:val="00765837"/>
    <w:rsid w:val="007659CB"/>
    <w:rsid w:val="00765C52"/>
    <w:rsid w:val="0076617A"/>
    <w:rsid w:val="007661FA"/>
    <w:rsid w:val="007665F2"/>
    <w:rsid w:val="00766762"/>
    <w:rsid w:val="00766823"/>
    <w:rsid w:val="007669A8"/>
    <w:rsid w:val="00766A58"/>
    <w:rsid w:val="00766E58"/>
    <w:rsid w:val="00767364"/>
    <w:rsid w:val="0076751B"/>
    <w:rsid w:val="00767B77"/>
    <w:rsid w:val="00767F6F"/>
    <w:rsid w:val="007702AD"/>
    <w:rsid w:val="00770468"/>
    <w:rsid w:val="00770720"/>
    <w:rsid w:val="00770D37"/>
    <w:rsid w:val="007710CE"/>
    <w:rsid w:val="007713BE"/>
    <w:rsid w:val="007715F3"/>
    <w:rsid w:val="00771A4A"/>
    <w:rsid w:val="00772590"/>
    <w:rsid w:val="00772C3B"/>
    <w:rsid w:val="00773003"/>
    <w:rsid w:val="0077316E"/>
    <w:rsid w:val="007739D0"/>
    <w:rsid w:val="00773B0E"/>
    <w:rsid w:val="00773E2C"/>
    <w:rsid w:val="00774573"/>
    <w:rsid w:val="00774662"/>
    <w:rsid w:val="007746BA"/>
    <w:rsid w:val="0077484A"/>
    <w:rsid w:val="00774A74"/>
    <w:rsid w:val="007754E8"/>
    <w:rsid w:val="00775733"/>
    <w:rsid w:val="00775A87"/>
    <w:rsid w:val="00775AE2"/>
    <w:rsid w:val="00775B2E"/>
    <w:rsid w:val="00775DFD"/>
    <w:rsid w:val="00775EF0"/>
    <w:rsid w:val="00776AB2"/>
    <w:rsid w:val="00777075"/>
    <w:rsid w:val="007778D5"/>
    <w:rsid w:val="00777C1D"/>
    <w:rsid w:val="00777F5A"/>
    <w:rsid w:val="00777FF7"/>
    <w:rsid w:val="00780251"/>
    <w:rsid w:val="00780449"/>
    <w:rsid w:val="0078066C"/>
    <w:rsid w:val="0078068A"/>
    <w:rsid w:val="0078097A"/>
    <w:rsid w:val="00780E4A"/>
    <w:rsid w:val="00780EA5"/>
    <w:rsid w:val="007810CB"/>
    <w:rsid w:val="007811A1"/>
    <w:rsid w:val="0078168C"/>
    <w:rsid w:val="0078169C"/>
    <w:rsid w:val="00781AF3"/>
    <w:rsid w:val="00782E2A"/>
    <w:rsid w:val="00782F9D"/>
    <w:rsid w:val="0078306D"/>
    <w:rsid w:val="007830A3"/>
    <w:rsid w:val="0078313D"/>
    <w:rsid w:val="00783177"/>
    <w:rsid w:val="007831A3"/>
    <w:rsid w:val="007831CE"/>
    <w:rsid w:val="00783325"/>
    <w:rsid w:val="00783614"/>
    <w:rsid w:val="00783CC5"/>
    <w:rsid w:val="00783E57"/>
    <w:rsid w:val="00783F09"/>
    <w:rsid w:val="007849DA"/>
    <w:rsid w:val="00784B7A"/>
    <w:rsid w:val="007850E4"/>
    <w:rsid w:val="00785427"/>
    <w:rsid w:val="00785B9A"/>
    <w:rsid w:val="0078624C"/>
    <w:rsid w:val="0078635F"/>
    <w:rsid w:val="007864E8"/>
    <w:rsid w:val="0078685D"/>
    <w:rsid w:val="00786960"/>
    <w:rsid w:val="007869CC"/>
    <w:rsid w:val="00786C9A"/>
    <w:rsid w:val="00786D53"/>
    <w:rsid w:val="00787127"/>
    <w:rsid w:val="007872C0"/>
    <w:rsid w:val="00787668"/>
    <w:rsid w:val="0078790C"/>
    <w:rsid w:val="00787924"/>
    <w:rsid w:val="00787988"/>
    <w:rsid w:val="007903D8"/>
    <w:rsid w:val="0079048C"/>
    <w:rsid w:val="00790974"/>
    <w:rsid w:val="00790ACF"/>
    <w:rsid w:val="00790F32"/>
    <w:rsid w:val="007910C8"/>
    <w:rsid w:val="00791DD8"/>
    <w:rsid w:val="00792342"/>
    <w:rsid w:val="007925E8"/>
    <w:rsid w:val="00792764"/>
    <w:rsid w:val="00792A69"/>
    <w:rsid w:val="00792AE9"/>
    <w:rsid w:val="00792F5D"/>
    <w:rsid w:val="00793218"/>
    <w:rsid w:val="007935D3"/>
    <w:rsid w:val="0079361C"/>
    <w:rsid w:val="007939AC"/>
    <w:rsid w:val="007939C3"/>
    <w:rsid w:val="00793BA0"/>
    <w:rsid w:val="00793D6D"/>
    <w:rsid w:val="007941E6"/>
    <w:rsid w:val="00794204"/>
    <w:rsid w:val="00794754"/>
    <w:rsid w:val="00794A5A"/>
    <w:rsid w:val="00794C5B"/>
    <w:rsid w:val="00794CA9"/>
    <w:rsid w:val="0079504E"/>
    <w:rsid w:val="0079515B"/>
    <w:rsid w:val="00795487"/>
    <w:rsid w:val="00795599"/>
    <w:rsid w:val="00795EBF"/>
    <w:rsid w:val="00796219"/>
    <w:rsid w:val="00796585"/>
    <w:rsid w:val="00796ADA"/>
    <w:rsid w:val="00796B5B"/>
    <w:rsid w:val="00796BC2"/>
    <w:rsid w:val="00796CC4"/>
    <w:rsid w:val="00796EBD"/>
    <w:rsid w:val="00796FB2"/>
    <w:rsid w:val="007972DE"/>
    <w:rsid w:val="007976E9"/>
    <w:rsid w:val="00797B9E"/>
    <w:rsid w:val="00797BCF"/>
    <w:rsid w:val="00797C99"/>
    <w:rsid w:val="007A0027"/>
    <w:rsid w:val="007A01EF"/>
    <w:rsid w:val="007A02C3"/>
    <w:rsid w:val="007A0613"/>
    <w:rsid w:val="007A0B99"/>
    <w:rsid w:val="007A1027"/>
    <w:rsid w:val="007A14EB"/>
    <w:rsid w:val="007A17DB"/>
    <w:rsid w:val="007A1A1F"/>
    <w:rsid w:val="007A1A63"/>
    <w:rsid w:val="007A1BC2"/>
    <w:rsid w:val="007A2309"/>
    <w:rsid w:val="007A25C3"/>
    <w:rsid w:val="007A2BF0"/>
    <w:rsid w:val="007A3141"/>
    <w:rsid w:val="007A31CD"/>
    <w:rsid w:val="007A3360"/>
    <w:rsid w:val="007A3896"/>
    <w:rsid w:val="007A3E12"/>
    <w:rsid w:val="007A464D"/>
    <w:rsid w:val="007A4808"/>
    <w:rsid w:val="007A4F0F"/>
    <w:rsid w:val="007A4F1D"/>
    <w:rsid w:val="007A4FB3"/>
    <w:rsid w:val="007A51CA"/>
    <w:rsid w:val="007A52FC"/>
    <w:rsid w:val="007A554C"/>
    <w:rsid w:val="007A5B53"/>
    <w:rsid w:val="007A6324"/>
    <w:rsid w:val="007A6457"/>
    <w:rsid w:val="007A682A"/>
    <w:rsid w:val="007A6E58"/>
    <w:rsid w:val="007A6F16"/>
    <w:rsid w:val="007A725B"/>
    <w:rsid w:val="007A72B1"/>
    <w:rsid w:val="007B0023"/>
    <w:rsid w:val="007B0396"/>
    <w:rsid w:val="007B0634"/>
    <w:rsid w:val="007B0779"/>
    <w:rsid w:val="007B0828"/>
    <w:rsid w:val="007B08F2"/>
    <w:rsid w:val="007B09A5"/>
    <w:rsid w:val="007B0CEC"/>
    <w:rsid w:val="007B1147"/>
    <w:rsid w:val="007B14BE"/>
    <w:rsid w:val="007B158E"/>
    <w:rsid w:val="007B1622"/>
    <w:rsid w:val="007B16D9"/>
    <w:rsid w:val="007B1833"/>
    <w:rsid w:val="007B19C8"/>
    <w:rsid w:val="007B1BD3"/>
    <w:rsid w:val="007B1E18"/>
    <w:rsid w:val="007B1FAE"/>
    <w:rsid w:val="007B2214"/>
    <w:rsid w:val="007B2307"/>
    <w:rsid w:val="007B2758"/>
    <w:rsid w:val="007B2A28"/>
    <w:rsid w:val="007B2A96"/>
    <w:rsid w:val="007B2D67"/>
    <w:rsid w:val="007B2E09"/>
    <w:rsid w:val="007B3451"/>
    <w:rsid w:val="007B3499"/>
    <w:rsid w:val="007B35DD"/>
    <w:rsid w:val="007B3B19"/>
    <w:rsid w:val="007B3BB4"/>
    <w:rsid w:val="007B3ECE"/>
    <w:rsid w:val="007B415F"/>
    <w:rsid w:val="007B44D3"/>
    <w:rsid w:val="007B46B6"/>
    <w:rsid w:val="007B4C50"/>
    <w:rsid w:val="007B4EC4"/>
    <w:rsid w:val="007B5A05"/>
    <w:rsid w:val="007B62F8"/>
    <w:rsid w:val="007B6312"/>
    <w:rsid w:val="007B6430"/>
    <w:rsid w:val="007B684A"/>
    <w:rsid w:val="007B696D"/>
    <w:rsid w:val="007B6990"/>
    <w:rsid w:val="007B6E8C"/>
    <w:rsid w:val="007B7A97"/>
    <w:rsid w:val="007B7B6F"/>
    <w:rsid w:val="007B7C3E"/>
    <w:rsid w:val="007B7D6A"/>
    <w:rsid w:val="007B7E1C"/>
    <w:rsid w:val="007C01E3"/>
    <w:rsid w:val="007C06E1"/>
    <w:rsid w:val="007C1034"/>
    <w:rsid w:val="007C1245"/>
    <w:rsid w:val="007C17F1"/>
    <w:rsid w:val="007C19FF"/>
    <w:rsid w:val="007C1CE4"/>
    <w:rsid w:val="007C1EE8"/>
    <w:rsid w:val="007C22B2"/>
    <w:rsid w:val="007C2AEE"/>
    <w:rsid w:val="007C2D1D"/>
    <w:rsid w:val="007C2EC4"/>
    <w:rsid w:val="007C322F"/>
    <w:rsid w:val="007C33F1"/>
    <w:rsid w:val="007C3480"/>
    <w:rsid w:val="007C3554"/>
    <w:rsid w:val="007C3706"/>
    <w:rsid w:val="007C3AFC"/>
    <w:rsid w:val="007C3CF8"/>
    <w:rsid w:val="007C4838"/>
    <w:rsid w:val="007C4C6E"/>
    <w:rsid w:val="007C50F5"/>
    <w:rsid w:val="007C514D"/>
    <w:rsid w:val="007C51C3"/>
    <w:rsid w:val="007C5385"/>
    <w:rsid w:val="007C5505"/>
    <w:rsid w:val="007C5C75"/>
    <w:rsid w:val="007C61D9"/>
    <w:rsid w:val="007C6578"/>
    <w:rsid w:val="007C65C7"/>
    <w:rsid w:val="007C67F2"/>
    <w:rsid w:val="007C6CF1"/>
    <w:rsid w:val="007C6DD4"/>
    <w:rsid w:val="007C730C"/>
    <w:rsid w:val="007C7516"/>
    <w:rsid w:val="007C75D4"/>
    <w:rsid w:val="007C77C0"/>
    <w:rsid w:val="007C7818"/>
    <w:rsid w:val="007C78EB"/>
    <w:rsid w:val="007D0AA4"/>
    <w:rsid w:val="007D0C80"/>
    <w:rsid w:val="007D1B45"/>
    <w:rsid w:val="007D240B"/>
    <w:rsid w:val="007D2682"/>
    <w:rsid w:val="007D2A2A"/>
    <w:rsid w:val="007D2B96"/>
    <w:rsid w:val="007D2D9C"/>
    <w:rsid w:val="007D3618"/>
    <w:rsid w:val="007D39C9"/>
    <w:rsid w:val="007D3F92"/>
    <w:rsid w:val="007D3FBF"/>
    <w:rsid w:val="007D411E"/>
    <w:rsid w:val="007D4815"/>
    <w:rsid w:val="007D485A"/>
    <w:rsid w:val="007D48BB"/>
    <w:rsid w:val="007D4B67"/>
    <w:rsid w:val="007D4D1F"/>
    <w:rsid w:val="007D54A1"/>
    <w:rsid w:val="007D5B62"/>
    <w:rsid w:val="007D5E7B"/>
    <w:rsid w:val="007D6056"/>
    <w:rsid w:val="007D66E9"/>
    <w:rsid w:val="007D6EB2"/>
    <w:rsid w:val="007D7216"/>
    <w:rsid w:val="007D7447"/>
    <w:rsid w:val="007D75BF"/>
    <w:rsid w:val="007D76BF"/>
    <w:rsid w:val="007D7B17"/>
    <w:rsid w:val="007D7CDC"/>
    <w:rsid w:val="007E02FD"/>
    <w:rsid w:val="007E0434"/>
    <w:rsid w:val="007E0546"/>
    <w:rsid w:val="007E0555"/>
    <w:rsid w:val="007E071F"/>
    <w:rsid w:val="007E0C73"/>
    <w:rsid w:val="007E0D19"/>
    <w:rsid w:val="007E0FE1"/>
    <w:rsid w:val="007E117D"/>
    <w:rsid w:val="007E1453"/>
    <w:rsid w:val="007E14AF"/>
    <w:rsid w:val="007E18FD"/>
    <w:rsid w:val="007E1F0B"/>
    <w:rsid w:val="007E1FB8"/>
    <w:rsid w:val="007E2248"/>
    <w:rsid w:val="007E2491"/>
    <w:rsid w:val="007E24BA"/>
    <w:rsid w:val="007E2658"/>
    <w:rsid w:val="007E28CA"/>
    <w:rsid w:val="007E2AE6"/>
    <w:rsid w:val="007E31FD"/>
    <w:rsid w:val="007E328F"/>
    <w:rsid w:val="007E3A25"/>
    <w:rsid w:val="007E3FB2"/>
    <w:rsid w:val="007E43EF"/>
    <w:rsid w:val="007E4533"/>
    <w:rsid w:val="007E4711"/>
    <w:rsid w:val="007E47D6"/>
    <w:rsid w:val="007E499D"/>
    <w:rsid w:val="007E4F46"/>
    <w:rsid w:val="007E516B"/>
    <w:rsid w:val="007E54D6"/>
    <w:rsid w:val="007E5713"/>
    <w:rsid w:val="007E5981"/>
    <w:rsid w:val="007E5CED"/>
    <w:rsid w:val="007E5F2E"/>
    <w:rsid w:val="007E5FFD"/>
    <w:rsid w:val="007E697A"/>
    <w:rsid w:val="007E6981"/>
    <w:rsid w:val="007E6A0C"/>
    <w:rsid w:val="007E6B21"/>
    <w:rsid w:val="007E6B3D"/>
    <w:rsid w:val="007E6E7F"/>
    <w:rsid w:val="007E7011"/>
    <w:rsid w:val="007E73D0"/>
    <w:rsid w:val="007E769B"/>
    <w:rsid w:val="007E774B"/>
    <w:rsid w:val="007E78C5"/>
    <w:rsid w:val="007E7C65"/>
    <w:rsid w:val="007E7F16"/>
    <w:rsid w:val="007F052F"/>
    <w:rsid w:val="007F0703"/>
    <w:rsid w:val="007F0719"/>
    <w:rsid w:val="007F0B00"/>
    <w:rsid w:val="007F0C67"/>
    <w:rsid w:val="007F0D33"/>
    <w:rsid w:val="007F0D52"/>
    <w:rsid w:val="007F1064"/>
    <w:rsid w:val="007F12A8"/>
    <w:rsid w:val="007F1755"/>
    <w:rsid w:val="007F1930"/>
    <w:rsid w:val="007F1B91"/>
    <w:rsid w:val="007F1C7A"/>
    <w:rsid w:val="007F2133"/>
    <w:rsid w:val="007F237E"/>
    <w:rsid w:val="007F2C8A"/>
    <w:rsid w:val="007F2CDB"/>
    <w:rsid w:val="007F2E4F"/>
    <w:rsid w:val="007F30A1"/>
    <w:rsid w:val="007F3159"/>
    <w:rsid w:val="007F3D05"/>
    <w:rsid w:val="007F3EAB"/>
    <w:rsid w:val="007F4586"/>
    <w:rsid w:val="007F4684"/>
    <w:rsid w:val="007F5399"/>
    <w:rsid w:val="007F5BDC"/>
    <w:rsid w:val="007F5CD4"/>
    <w:rsid w:val="007F5EFC"/>
    <w:rsid w:val="007F60D7"/>
    <w:rsid w:val="007F63A6"/>
    <w:rsid w:val="007F6754"/>
    <w:rsid w:val="007F7303"/>
    <w:rsid w:val="007F7888"/>
    <w:rsid w:val="007F7A69"/>
    <w:rsid w:val="00800733"/>
    <w:rsid w:val="0080079D"/>
    <w:rsid w:val="00801061"/>
    <w:rsid w:val="00801156"/>
    <w:rsid w:val="0080127F"/>
    <w:rsid w:val="0080140B"/>
    <w:rsid w:val="008015C3"/>
    <w:rsid w:val="00801757"/>
    <w:rsid w:val="008017A1"/>
    <w:rsid w:val="00801A0A"/>
    <w:rsid w:val="00801BF7"/>
    <w:rsid w:val="00801BFA"/>
    <w:rsid w:val="00801DB2"/>
    <w:rsid w:val="00802858"/>
    <w:rsid w:val="00803609"/>
    <w:rsid w:val="00803826"/>
    <w:rsid w:val="00803BE3"/>
    <w:rsid w:val="00803C3E"/>
    <w:rsid w:val="00803E6F"/>
    <w:rsid w:val="00804484"/>
    <w:rsid w:val="008044FC"/>
    <w:rsid w:val="00804688"/>
    <w:rsid w:val="00804689"/>
    <w:rsid w:val="00804811"/>
    <w:rsid w:val="008048AB"/>
    <w:rsid w:val="00805582"/>
    <w:rsid w:val="0080583B"/>
    <w:rsid w:val="00805A61"/>
    <w:rsid w:val="00805DAB"/>
    <w:rsid w:val="00805FB7"/>
    <w:rsid w:val="008061C1"/>
    <w:rsid w:val="0080632F"/>
    <w:rsid w:val="00806532"/>
    <w:rsid w:val="008067D0"/>
    <w:rsid w:val="00806909"/>
    <w:rsid w:val="00806A79"/>
    <w:rsid w:val="00806B20"/>
    <w:rsid w:val="00806C33"/>
    <w:rsid w:val="00806DB4"/>
    <w:rsid w:val="008074A6"/>
    <w:rsid w:val="00807CEB"/>
    <w:rsid w:val="0081070A"/>
    <w:rsid w:val="0081070D"/>
    <w:rsid w:val="00810C51"/>
    <w:rsid w:val="008117FC"/>
    <w:rsid w:val="00811842"/>
    <w:rsid w:val="00811AA4"/>
    <w:rsid w:val="00811C45"/>
    <w:rsid w:val="00811E31"/>
    <w:rsid w:val="008122BA"/>
    <w:rsid w:val="0081285E"/>
    <w:rsid w:val="00812C9F"/>
    <w:rsid w:val="00813346"/>
    <w:rsid w:val="00813A9F"/>
    <w:rsid w:val="0081448B"/>
    <w:rsid w:val="00814630"/>
    <w:rsid w:val="00814989"/>
    <w:rsid w:val="00814B67"/>
    <w:rsid w:val="00815161"/>
    <w:rsid w:val="0081577C"/>
    <w:rsid w:val="008160C9"/>
    <w:rsid w:val="008161E9"/>
    <w:rsid w:val="008164B9"/>
    <w:rsid w:val="008165FF"/>
    <w:rsid w:val="00816646"/>
    <w:rsid w:val="00816B0F"/>
    <w:rsid w:val="00817059"/>
    <w:rsid w:val="0081711A"/>
    <w:rsid w:val="00817984"/>
    <w:rsid w:val="00817B66"/>
    <w:rsid w:val="00817CEA"/>
    <w:rsid w:val="00817DD6"/>
    <w:rsid w:val="00817DF4"/>
    <w:rsid w:val="00820293"/>
    <w:rsid w:val="00820D40"/>
    <w:rsid w:val="00820D55"/>
    <w:rsid w:val="00820F1B"/>
    <w:rsid w:val="00820FBF"/>
    <w:rsid w:val="0082104E"/>
    <w:rsid w:val="00821350"/>
    <w:rsid w:val="00821F0B"/>
    <w:rsid w:val="008228D1"/>
    <w:rsid w:val="00822B9E"/>
    <w:rsid w:val="00822C5F"/>
    <w:rsid w:val="00822D15"/>
    <w:rsid w:val="00822DA6"/>
    <w:rsid w:val="00822EFA"/>
    <w:rsid w:val="00823154"/>
    <w:rsid w:val="008233F6"/>
    <w:rsid w:val="0082377D"/>
    <w:rsid w:val="00823E6B"/>
    <w:rsid w:val="00824153"/>
    <w:rsid w:val="00824503"/>
    <w:rsid w:val="00824768"/>
    <w:rsid w:val="00825114"/>
    <w:rsid w:val="008252F8"/>
    <w:rsid w:val="008260D6"/>
    <w:rsid w:val="00826189"/>
    <w:rsid w:val="008261FC"/>
    <w:rsid w:val="008268C5"/>
    <w:rsid w:val="00826A13"/>
    <w:rsid w:val="00826DC7"/>
    <w:rsid w:val="00826E17"/>
    <w:rsid w:val="00827129"/>
    <w:rsid w:val="00830616"/>
    <w:rsid w:val="0083129B"/>
    <w:rsid w:val="00831417"/>
    <w:rsid w:val="00831477"/>
    <w:rsid w:val="0083155D"/>
    <w:rsid w:val="008318EE"/>
    <w:rsid w:val="008319A7"/>
    <w:rsid w:val="00831E56"/>
    <w:rsid w:val="00831F69"/>
    <w:rsid w:val="00832DCF"/>
    <w:rsid w:val="00833544"/>
    <w:rsid w:val="008338EA"/>
    <w:rsid w:val="00833BA2"/>
    <w:rsid w:val="00834277"/>
    <w:rsid w:val="00834383"/>
    <w:rsid w:val="0083462E"/>
    <w:rsid w:val="00834697"/>
    <w:rsid w:val="0083477E"/>
    <w:rsid w:val="00834DBB"/>
    <w:rsid w:val="00835079"/>
    <w:rsid w:val="00835798"/>
    <w:rsid w:val="00835816"/>
    <w:rsid w:val="00835917"/>
    <w:rsid w:val="00835A93"/>
    <w:rsid w:val="008360A9"/>
    <w:rsid w:val="00836460"/>
    <w:rsid w:val="00836F82"/>
    <w:rsid w:val="00837052"/>
    <w:rsid w:val="0083730C"/>
    <w:rsid w:val="00837492"/>
    <w:rsid w:val="0083752D"/>
    <w:rsid w:val="00837B15"/>
    <w:rsid w:val="00837E0A"/>
    <w:rsid w:val="008408F8"/>
    <w:rsid w:val="00840C2A"/>
    <w:rsid w:val="00840D59"/>
    <w:rsid w:val="00840FFB"/>
    <w:rsid w:val="00841310"/>
    <w:rsid w:val="008415DE"/>
    <w:rsid w:val="008417CE"/>
    <w:rsid w:val="00841A0F"/>
    <w:rsid w:val="00841A90"/>
    <w:rsid w:val="00841D38"/>
    <w:rsid w:val="00841EAA"/>
    <w:rsid w:val="00841F37"/>
    <w:rsid w:val="00842414"/>
    <w:rsid w:val="00842482"/>
    <w:rsid w:val="008429D8"/>
    <w:rsid w:val="008429F3"/>
    <w:rsid w:val="00842A3F"/>
    <w:rsid w:val="00842CC9"/>
    <w:rsid w:val="00842DDC"/>
    <w:rsid w:val="00843011"/>
    <w:rsid w:val="008430DB"/>
    <w:rsid w:val="0084310E"/>
    <w:rsid w:val="0084313B"/>
    <w:rsid w:val="00843337"/>
    <w:rsid w:val="00843363"/>
    <w:rsid w:val="00843839"/>
    <w:rsid w:val="00843A8E"/>
    <w:rsid w:val="00843BF1"/>
    <w:rsid w:val="00843FB1"/>
    <w:rsid w:val="008443C3"/>
    <w:rsid w:val="00844406"/>
    <w:rsid w:val="0084453A"/>
    <w:rsid w:val="00844B1A"/>
    <w:rsid w:val="0084503F"/>
    <w:rsid w:val="0084549F"/>
    <w:rsid w:val="008455BC"/>
    <w:rsid w:val="00846037"/>
    <w:rsid w:val="0084622D"/>
    <w:rsid w:val="008465B0"/>
    <w:rsid w:val="008466E3"/>
    <w:rsid w:val="008468D4"/>
    <w:rsid w:val="00846A10"/>
    <w:rsid w:val="00847EE8"/>
    <w:rsid w:val="00847EED"/>
    <w:rsid w:val="008500D5"/>
    <w:rsid w:val="00850525"/>
    <w:rsid w:val="00850870"/>
    <w:rsid w:val="00850918"/>
    <w:rsid w:val="0085097C"/>
    <w:rsid w:val="00850B4A"/>
    <w:rsid w:val="0085191A"/>
    <w:rsid w:val="00851B1F"/>
    <w:rsid w:val="00851E21"/>
    <w:rsid w:val="008521B1"/>
    <w:rsid w:val="008522DE"/>
    <w:rsid w:val="008523E9"/>
    <w:rsid w:val="008524A0"/>
    <w:rsid w:val="008537B0"/>
    <w:rsid w:val="00853BD8"/>
    <w:rsid w:val="008544A1"/>
    <w:rsid w:val="008544D9"/>
    <w:rsid w:val="0085453F"/>
    <w:rsid w:val="008545F0"/>
    <w:rsid w:val="00854BF0"/>
    <w:rsid w:val="00854E66"/>
    <w:rsid w:val="00855121"/>
    <w:rsid w:val="008551D4"/>
    <w:rsid w:val="00855302"/>
    <w:rsid w:val="00855471"/>
    <w:rsid w:val="008554DA"/>
    <w:rsid w:val="008555CE"/>
    <w:rsid w:val="008557F8"/>
    <w:rsid w:val="00855A6C"/>
    <w:rsid w:val="00855C77"/>
    <w:rsid w:val="0085610C"/>
    <w:rsid w:val="008563BC"/>
    <w:rsid w:val="00856529"/>
    <w:rsid w:val="00856626"/>
    <w:rsid w:val="00856720"/>
    <w:rsid w:val="00856975"/>
    <w:rsid w:val="00856A5B"/>
    <w:rsid w:val="00856ED3"/>
    <w:rsid w:val="008570B7"/>
    <w:rsid w:val="00857663"/>
    <w:rsid w:val="00860B5E"/>
    <w:rsid w:val="00860FA1"/>
    <w:rsid w:val="00861357"/>
    <w:rsid w:val="00861703"/>
    <w:rsid w:val="0086203F"/>
    <w:rsid w:val="008622FA"/>
    <w:rsid w:val="008623E4"/>
    <w:rsid w:val="00862BC8"/>
    <w:rsid w:val="00862E0D"/>
    <w:rsid w:val="00862F50"/>
    <w:rsid w:val="00863238"/>
    <w:rsid w:val="00863247"/>
    <w:rsid w:val="0086326C"/>
    <w:rsid w:val="008632EE"/>
    <w:rsid w:val="00863337"/>
    <w:rsid w:val="0086347E"/>
    <w:rsid w:val="008634EE"/>
    <w:rsid w:val="00863880"/>
    <w:rsid w:val="008638B4"/>
    <w:rsid w:val="00864AC4"/>
    <w:rsid w:val="00864C46"/>
    <w:rsid w:val="00864E6C"/>
    <w:rsid w:val="00865291"/>
    <w:rsid w:val="008656F3"/>
    <w:rsid w:val="008658F8"/>
    <w:rsid w:val="00865BD3"/>
    <w:rsid w:val="0086665C"/>
    <w:rsid w:val="00866677"/>
    <w:rsid w:val="00866ED9"/>
    <w:rsid w:val="008671D2"/>
    <w:rsid w:val="00867539"/>
    <w:rsid w:val="00867CE5"/>
    <w:rsid w:val="00867D5C"/>
    <w:rsid w:val="00867E94"/>
    <w:rsid w:val="00867F75"/>
    <w:rsid w:val="008702CF"/>
    <w:rsid w:val="00870E52"/>
    <w:rsid w:val="008710F4"/>
    <w:rsid w:val="00871522"/>
    <w:rsid w:val="0087163E"/>
    <w:rsid w:val="00871AEB"/>
    <w:rsid w:val="00871C72"/>
    <w:rsid w:val="00872545"/>
    <w:rsid w:val="00872644"/>
    <w:rsid w:val="00872A3F"/>
    <w:rsid w:val="00872B6A"/>
    <w:rsid w:val="00872D41"/>
    <w:rsid w:val="00872EEB"/>
    <w:rsid w:val="00873515"/>
    <w:rsid w:val="00874DAF"/>
    <w:rsid w:val="00874E21"/>
    <w:rsid w:val="008752FD"/>
    <w:rsid w:val="00875367"/>
    <w:rsid w:val="008758E1"/>
    <w:rsid w:val="00875F51"/>
    <w:rsid w:val="0087640D"/>
    <w:rsid w:val="00876702"/>
    <w:rsid w:val="008767EB"/>
    <w:rsid w:val="008768DC"/>
    <w:rsid w:val="0087691D"/>
    <w:rsid w:val="00876921"/>
    <w:rsid w:val="00876BEC"/>
    <w:rsid w:val="008771B3"/>
    <w:rsid w:val="0087795D"/>
    <w:rsid w:val="00880377"/>
    <w:rsid w:val="008804CA"/>
    <w:rsid w:val="0088075F"/>
    <w:rsid w:val="008811ED"/>
    <w:rsid w:val="00881395"/>
    <w:rsid w:val="0088222C"/>
    <w:rsid w:val="0088339B"/>
    <w:rsid w:val="00883DDA"/>
    <w:rsid w:val="00883EFE"/>
    <w:rsid w:val="00883F41"/>
    <w:rsid w:val="00884152"/>
    <w:rsid w:val="008844D6"/>
    <w:rsid w:val="00884538"/>
    <w:rsid w:val="008850B6"/>
    <w:rsid w:val="008856D5"/>
    <w:rsid w:val="00885715"/>
    <w:rsid w:val="008862E4"/>
    <w:rsid w:val="00886699"/>
    <w:rsid w:val="00886788"/>
    <w:rsid w:val="008869D0"/>
    <w:rsid w:val="00886AE3"/>
    <w:rsid w:val="00886C53"/>
    <w:rsid w:val="00886F16"/>
    <w:rsid w:val="0088714C"/>
    <w:rsid w:val="008871C5"/>
    <w:rsid w:val="008873CD"/>
    <w:rsid w:val="008900D3"/>
    <w:rsid w:val="0089016A"/>
    <w:rsid w:val="0089016B"/>
    <w:rsid w:val="008901EB"/>
    <w:rsid w:val="00890B6A"/>
    <w:rsid w:val="00890B8D"/>
    <w:rsid w:val="00890F16"/>
    <w:rsid w:val="008910D8"/>
    <w:rsid w:val="008911E9"/>
    <w:rsid w:val="008914CD"/>
    <w:rsid w:val="00891AC6"/>
    <w:rsid w:val="008921A1"/>
    <w:rsid w:val="00892497"/>
    <w:rsid w:val="008925A4"/>
    <w:rsid w:val="0089287A"/>
    <w:rsid w:val="00892C2C"/>
    <w:rsid w:val="008938A2"/>
    <w:rsid w:val="00893FA5"/>
    <w:rsid w:val="008942EA"/>
    <w:rsid w:val="00894AFB"/>
    <w:rsid w:val="00894C8A"/>
    <w:rsid w:val="00894D8A"/>
    <w:rsid w:val="00895BA9"/>
    <w:rsid w:val="00895C5E"/>
    <w:rsid w:val="00895DB8"/>
    <w:rsid w:val="00895E87"/>
    <w:rsid w:val="00896010"/>
    <w:rsid w:val="00896327"/>
    <w:rsid w:val="0089634A"/>
    <w:rsid w:val="00896720"/>
    <w:rsid w:val="00897183"/>
    <w:rsid w:val="0089769A"/>
    <w:rsid w:val="00897DFB"/>
    <w:rsid w:val="008A02CD"/>
    <w:rsid w:val="008A069D"/>
    <w:rsid w:val="008A0853"/>
    <w:rsid w:val="008A0950"/>
    <w:rsid w:val="008A0C83"/>
    <w:rsid w:val="008A2438"/>
    <w:rsid w:val="008A31DC"/>
    <w:rsid w:val="008A3AB2"/>
    <w:rsid w:val="008A40AC"/>
    <w:rsid w:val="008A40E6"/>
    <w:rsid w:val="008A48C8"/>
    <w:rsid w:val="008A490F"/>
    <w:rsid w:val="008A4B2E"/>
    <w:rsid w:val="008A4C48"/>
    <w:rsid w:val="008A4D3B"/>
    <w:rsid w:val="008A4F57"/>
    <w:rsid w:val="008A50EF"/>
    <w:rsid w:val="008A51AE"/>
    <w:rsid w:val="008A5271"/>
    <w:rsid w:val="008A5523"/>
    <w:rsid w:val="008A5582"/>
    <w:rsid w:val="008A5761"/>
    <w:rsid w:val="008A59C6"/>
    <w:rsid w:val="008A5BA6"/>
    <w:rsid w:val="008A5BF2"/>
    <w:rsid w:val="008A6122"/>
    <w:rsid w:val="008A61BC"/>
    <w:rsid w:val="008A64D4"/>
    <w:rsid w:val="008A6724"/>
    <w:rsid w:val="008A6AA6"/>
    <w:rsid w:val="008A6BC4"/>
    <w:rsid w:val="008A6CB0"/>
    <w:rsid w:val="008A6E1E"/>
    <w:rsid w:val="008A74B2"/>
    <w:rsid w:val="008A7AD1"/>
    <w:rsid w:val="008A7B14"/>
    <w:rsid w:val="008A7B95"/>
    <w:rsid w:val="008A7C2B"/>
    <w:rsid w:val="008A7D93"/>
    <w:rsid w:val="008A7DE8"/>
    <w:rsid w:val="008B0149"/>
    <w:rsid w:val="008B076A"/>
    <w:rsid w:val="008B076F"/>
    <w:rsid w:val="008B09E9"/>
    <w:rsid w:val="008B101F"/>
    <w:rsid w:val="008B114B"/>
    <w:rsid w:val="008B1C26"/>
    <w:rsid w:val="008B1D18"/>
    <w:rsid w:val="008B28E2"/>
    <w:rsid w:val="008B2C4F"/>
    <w:rsid w:val="008B2C6F"/>
    <w:rsid w:val="008B2FC6"/>
    <w:rsid w:val="008B2FF9"/>
    <w:rsid w:val="008B3A1D"/>
    <w:rsid w:val="008B3B6B"/>
    <w:rsid w:val="008B3C9D"/>
    <w:rsid w:val="008B3CB6"/>
    <w:rsid w:val="008B3E78"/>
    <w:rsid w:val="008B3ECB"/>
    <w:rsid w:val="008B41A7"/>
    <w:rsid w:val="008B4675"/>
    <w:rsid w:val="008B4C28"/>
    <w:rsid w:val="008B50DD"/>
    <w:rsid w:val="008B51FC"/>
    <w:rsid w:val="008B5A94"/>
    <w:rsid w:val="008B5AFB"/>
    <w:rsid w:val="008B5F88"/>
    <w:rsid w:val="008B605B"/>
    <w:rsid w:val="008B6211"/>
    <w:rsid w:val="008B6887"/>
    <w:rsid w:val="008B6982"/>
    <w:rsid w:val="008B6C78"/>
    <w:rsid w:val="008B6F33"/>
    <w:rsid w:val="008B759A"/>
    <w:rsid w:val="008B76E5"/>
    <w:rsid w:val="008B7841"/>
    <w:rsid w:val="008B78CC"/>
    <w:rsid w:val="008B7E19"/>
    <w:rsid w:val="008C0367"/>
    <w:rsid w:val="008C07BD"/>
    <w:rsid w:val="008C09A4"/>
    <w:rsid w:val="008C0D7D"/>
    <w:rsid w:val="008C0E87"/>
    <w:rsid w:val="008C1056"/>
    <w:rsid w:val="008C10C6"/>
    <w:rsid w:val="008C10E9"/>
    <w:rsid w:val="008C16A0"/>
    <w:rsid w:val="008C1BB8"/>
    <w:rsid w:val="008C1CDF"/>
    <w:rsid w:val="008C2071"/>
    <w:rsid w:val="008C216F"/>
    <w:rsid w:val="008C21D5"/>
    <w:rsid w:val="008C2472"/>
    <w:rsid w:val="008C24F8"/>
    <w:rsid w:val="008C25D1"/>
    <w:rsid w:val="008C39FB"/>
    <w:rsid w:val="008C3B8D"/>
    <w:rsid w:val="008C3BDA"/>
    <w:rsid w:val="008C410E"/>
    <w:rsid w:val="008C4225"/>
    <w:rsid w:val="008C4632"/>
    <w:rsid w:val="008C50E6"/>
    <w:rsid w:val="008C52BA"/>
    <w:rsid w:val="008C52DE"/>
    <w:rsid w:val="008C550E"/>
    <w:rsid w:val="008C5A36"/>
    <w:rsid w:val="008C623A"/>
    <w:rsid w:val="008C68AE"/>
    <w:rsid w:val="008C68EC"/>
    <w:rsid w:val="008C6E2A"/>
    <w:rsid w:val="008C7F6F"/>
    <w:rsid w:val="008D0363"/>
    <w:rsid w:val="008D08C5"/>
    <w:rsid w:val="008D10C5"/>
    <w:rsid w:val="008D11CD"/>
    <w:rsid w:val="008D1543"/>
    <w:rsid w:val="008D1567"/>
    <w:rsid w:val="008D1899"/>
    <w:rsid w:val="008D1D70"/>
    <w:rsid w:val="008D2157"/>
    <w:rsid w:val="008D22A1"/>
    <w:rsid w:val="008D25D8"/>
    <w:rsid w:val="008D273E"/>
    <w:rsid w:val="008D2A24"/>
    <w:rsid w:val="008D2BC8"/>
    <w:rsid w:val="008D2DCF"/>
    <w:rsid w:val="008D36C7"/>
    <w:rsid w:val="008D3758"/>
    <w:rsid w:val="008D3C75"/>
    <w:rsid w:val="008D3D71"/>
    <w:rsid w:val="008D3EBA"/>
    <w:rsid w:val="008D4108"/>
    <w:rsid w:val="008D42AA"/>
    <w:rsid w:val="008D44B7"/>
    <w:rsid w:val="008D4676"/>
    <w:rsid w:val="008D5502"/>
    <w:rsid w:val="008D56D0"/>
    <w:rsid w:val="008D58ED"/>
    <w:rsid w:val="008D6496"/>
    <w:rsid w:val="008D6556"/>
    <w:rsid w:val="008D6640"/>
    <w:rsid w:val="008D678F"/>
    <w:rsid w:val="008D6828"/>
    <w:rsid w:val="008D6BDA"/>
    <w:rsid w:val="008D6D26"/>
    <w:rsid w:val="008D701D"/>
    <w:rsid w:val="008D7367"/>
    <w:rsid w:val="008D797F"/>
    <w:rsid w:val="008D7CDA"/>
    <w:rsid w:val="008D7D34"/>
    <w:rsid w:val="008E02C1"/>
    <w:rsid w:val="008E0407"/>
    <w:rsid w:val="008E0453"/>
    <w:rsid w:val="008E0458"/>
    <w:rsid w:val="008E075B"/>
    <w:rsid w:val="008E16D3"/>
    <w:rsid w:val="008E177B"/>
    <w:rsid w:val="008E1904"/>
    <w:rsid w:val="008E2288"/>
    <w:rsid w:val="008E236C"/>
    <w:rsid w:val="008E28DE"/>
    <w:rsid w:val="008E2C39"/>
    <w:rsid w:val="008E2CFA"/>
    <w:rsid w:val="008E3156"/>
    <w:rsid w:val="008E33D5"/>
    <w:rsid w:val="008E3908"/>
    <w:rsid w:val="008E3BB2"/>
    <w:rsid w:val="008E3D58"/>
    <w:rsid w:val="008E40FA"/>
    <w:rsid w:val="008E41C5"/>
    <w:rsid w:val="008E48B7"/>
    <w:rsid w:val="008E4A53"/>
    <w:rsid w:val="008E4AE6"/>
    <w:rsid w:val="008E4EAB"/>
    <w:rsid w:val="008E51D5"/>
    <w:rsid w:val="008E5656"/>
    <w:rsid w:val="008E56C4"/>
    <w:rsid w:val="008E595C"/>
    <w:rsid w:val="008E59F9"/>
    <w:rsid w:val="008E5A59"/>
    <w:rsid w:val="008E5C03"/>
    <w:rsid w:val="008E5F1C"/>
    <w:rsid w:val="008E60E0"/>
    <w:rsid w:val="008E651B"/>
    <w:rsid w:val="008E6898"/>
    <w:rsid w:val="008E6972"/>
    <w:rsid w:val="008E70AA"/>
    <w:rsid w:val="008E721D"/>
    <w:rsid w:val="008E7C82"/>
    <w:rsid w:val="008E7C93"/>
    <w:rsid w:val="008E7E57"/>
    <w:rsid w:val="008F016F"/>
    <w:rsid w:val="008F034D"/>
    <w:rsid w:val="008F07A6"/>
    <w:rsid w:val="008F07A9"/>
    <w:rsid w:val="008F09A2"/>
    <w:rsid w:val="008F0F25"/>
    <w:rsid w:val="008F1629"/>
    <w:rsid w:val="008F18EE"/>
    <w:rsid w:val="008F1BDA"/>
    <w:rsid w:val="008F25DD"/>
    <w:rsid w:val="008F2DB9"/>
    <w:rsid w:val="008F2DFD"/>
    <w:rsid w:val="008F307F"/>
    <w:rsid w:val="008F321A"/>
    <w:rsid w:val="008F38D5"/>
    <w:rsid w:val="008F3BBF"/>
    <w:rsid w:val="008F3E11"/>
    <w:rsid w:val="008F3E41"/>
    <w:rsid w:val="008F411E"/>
    <w:rsid w:val="008F41D7"/>
    <w:rsid w:val="008F42EC"/>
    <w:rsid w:val="008F4721"/>
    <w:rsid w:val="008F4BD7"/>
    <w:rsid w:val="008F4FDB"/>
    <w:rsid w:val="008F5A3A"/>
    <w:rsid w:val="008F6612"/>
    <w:rsid w:val="008F6AA8"/>
    <w:rsid w:val="008F6CAE"/>
    <w:rsid w:val="008F6D22"/>
    <w:rsid w:val="008F6EE9"/>
    <w:rsid w:val="008F7786"/>
    <w:rsid w:val="008F7C54"/>
    <w:rsid w:val="008F7E32"/>
    <w:rsid w:val="0090001D"/>
    <w:rsid w:val="0090066D"/>
    <w:rsid w:val="00900C66"/>
    <w:rsid w:val="00900CB0"/>
    <w:rsid w:val="009014CA"/>
    <w:rsid w:val="00901A07"/>
    <w:rsid w:val="00901A87"/>
    <w:rsid w:val="00901CE2"/>
    <w:rsid w:val="00901EEC"/>
    <w:rsid w:val="009020D3"/>
    <w:rsid w:val="009027A3"/>
    <w:rsid w:val="00902975"/>
    <w:rsid w:val="00902A17"/>
    <w:rsid w:val="00902B19"/>
    <w:rsid w:val="00902E7F"/>
    <w:rsid w:val="009030F2"/>
    <w:rsid w:val="009033F9"/>
    <w:rsid w:val="00903656"/>
    <w:rsid w:val="009036D7"/>
    <w:rsid w:val="009036F3"/>
    <w:rsid w:val="00903C3F"/>
    <w:rsid w:val="00903D5F"/>
    <w:rsid w:val="00904084"/>
    <w:rsid w:val="0090417F"/>
    <w:rsid w:val="009046CC"/>
    <w:rsid w:val="00904928"/>
    <w:rsid w:val="00904B4E"/>
    <w:rsid w:val="0090547B"/>
    <w:rsid w:val="00905D9F"/>
    <w:rsid w:val="00906748"/>
    <w:rsid w:val="009068E2"/>
    <w:rsid w:val="009068F3"/>
    <w:rsid w:val="00906B36"/>
    <w:rsid w:val="009071F0"/>
    <w:rsid w:val="00907379"/>
    <w:rsid w:val="00907A53"/>
    <w:rsid w:val="00907E5D"/>
    <w:rsid w:val="009101AD"/>
    <w:rsid w:val="0091042C"/>
    <w:rsid w:val="00910A6A"/>
    <w:rsid w:val="00910AD6"/>
    <w:rsid w:val="00910C76"/>
    <w:rsid w:val="00910EE1"/>
    <w:rsid w:val="009110E4"/>
    <w:rsid w:val="009111B6"/>
    <w:rsid w:val="0091156E"/>
    <w:rsid w:val="009118B8"/>
    <w:rsid w:val="00911D9E"/>
    <w:rsid w:val="00911E6A"/>
    <w:rsid w:val="009126A9"/>
    <w:rsid w:val="00912A81"/>
    <w:rsid w:val="00912B99"/>
    <w:rsid w:val="00912C17"/>
    <w:rsid w:val="0091331B"/>
    <w:rsid w:val="00913639"/>
    <w:rsid w:val="009139D3"/>
    <w:rsid w:val="00913AD1"/>
    <w:rsid w:val="0091417B"/>
    <w:rsid w:val="009155E8"/>
    <w:rsid w:val="00915753"/>
    <w:rsid w:val="00916B8B"/>
    <w:rsid w:val="00916CD3"/>
    <w:rsid w:val="00916F5F"/>
    <w:rsid w:val="00916F9D"/>
    <w:rsid w:val="00916FE9"/>
    <w:rsid w:val="0091703C"/>
    <w:rsid w:val="009171D5"/>
    <w:rsid w:val="00917366"/>
    <w:rsid w:val="00917855"/>
    <w:rsid w:val="00917EFB"/>
    <w:rsid w:val="009202F3"/>
    <w:rsid w:val="00920698"/>
    <w:rsid w:val="00920BA5"/>
    <w:rsid w:val="0092134B"/>
    <w:rsid w:val="009218DF"/>
    <w:rsid w:val="00921C0A"/>
    <w:rsid w:val="00921DC1"/>
    <w:rsid w:val="0092217D"/>
    <w:rsid w:val="00922344"/>
    <w:rsid w:val="00922598"/>
    <w:rsid w:val="009225C1"/>
    <w:rsid w:val="00922895"/>
    <w:rsid w:val="00923026"/>
    <w:rsid w:val="00923607"/>
    <w:rsid w:val="0092361B"/>
    <w:rsid w:val="00923628"/>
    <w:rsid w:val="0092394B"/>
    <w:rsid w:val="00923B73"/>
    <w:rsid w:val="009243E1"/>
    <w:rsid w:val="00924FFD"/>
    <w:rsid w:val="00925DFE"/>
    <w:rsid w:val="0092615D"/>
    <w:rsid w:val="0092674C"/>
    <w:rsid w:val="00927363"/>
    <w:rsid w:val="0092752D"/>
    <w:rsid w:val="00927F6C"/>
    <w:rsid w:val="0093086C"/>
    <w:rsid w:val="00930A2E"/>
    <w:rsid w:val="00930CFC"/>
    <w:rsid w:val="00930F1A"/>
    <w:rsid w:val="009312B7"/>
    <w:rsid w:val="00931801"/>
    <w:rsid w:val="00931832"/>
    <w:rsid w:val="0093232B"/>
    <w:rsid w:val="00932739"/>
    <w:rsid w:val="00932871"/>
    <w:rsid w:val="00932901"/>
    <w:rsid w:val="00932F04"/>
    <w:rsid w:val="00932F98"/>
    <w:rsid w:val="00932FBF"/>
    <w:rsid w:val="009333E5"/>
    <w:rsid w:val="00933CA0"/>
    <w:rsid w:val="009345DF"/>
    <w:rsid w:val="009346AD"/>
    <w:rsid w:val="009347B8"/>
    <w:rsid w:val="00934A2D"/>
    <w:rsid w:val="00934A59"/>
    <w:rsid w:val="00934B3C"/>
    <w:rsid w:val="00934F85"/>
    <w:rsid w:val="0093564E"/>
    <w:rsid w:val="0093595C"/>
    <w:rsid w:val="00935B3E"/>
    <w:rsid w:val="00935DEE"/>
    <w:rsid w:val="00935E6D"/>
    <w:rsid w:val="0093601F"/>
    <w:rsid w:val="009368FB"/>
    <w:rsid w:val="00936CC8"/>
    <w:rsid w:val="00936D16"/>
    <w:rsid w:val="00936FCD"/>
    <w:rsid w:val="009373E4"/>
    <w:rsid w:val="0093789B"/>
    <w:rsid w:val="009401B4"/>
    <w:rsid w:val="00940412"/>
    <w:rsid w:val="0094067F"/>
    <w:rsid w:val="009406D1"/>
    <w:rsid w:val="00941227"/>
    <w:rsid w:val="00941597"/>
    <w:rsid w:val="00941A04"/>
    <w:rsid w:val="00942960"/>
    <w:rsid w:val="00942B2F"/>
    <w:rsid w:val="00942D57"/>
    <w:rsid w:val="00944248"/>
    <w:rsid w:val="009446E7"/>
    <w:rsid w:val="0094476A"/>
    <w:rsid w:val="00944A4D"/>
    <w:rsid w:val="00944E04"/>
    <w:rsid w:val="00945067"/>
    <w:rsid w:val="009450A5"/>
    <w:rsid w:val="00945143"/>
    <w:rsid w:val="00945243"/>
    <w:rsid w:val="009452A9"/>
    <w:rsid w:val="00945B38"/>
    <w:rsid w:val="00945D27"/>
    <w:rsid w:val="009463A8"/>
    <w:rsid w:val="00946549"/>
    <w:rsid w:val="0094655B"/>
    <w:rsid w:val="00946602"/>
    <w:rsid w:val="009466E3"/>
    <w:rsid w:val="00946A01"/>
    <w:rsid w:val="00947046"/>
    <w:rsid w:val="009470A2"/>
    <w:rsid w:val="00947106"/>
    <w:rsid w:val="009471D4"/>
    <w:rsid w:val="009475E2"/>
    <w:rsid w:val="00947C42"/>
    <w:rsid w:val="00947E5E"/>
    <w:rsid w:val="00950163"/>
    <w:rsid w:val="009503A8"/>
    <w:rsid w:val="00950D0B"/>
    <w:rsid w:val="009512FD"/>
    <w:rsid w:val="00951646"/>
    <w:rsid w:val="0095170D"/>
    <w:rsid w:val="00951751"/>
    <w:rsid w:val="00951950"/>
    <w:rsid w:val="00951E29"/>
    <w:rsid w:val="00951F1D"/>
    <w:rsid w:val="00952761"/>
    <w:rsid w:val="00952A20"/>
    <w:rsid w:val="00952F28"/>
    <w:rsid w:val="009531A8"/>
    <w:rsid w:val="009534CC"/>
    <w:rsid w:val="00953817"/>
    <w:rsid w:val="00953EC2"/>
    <w:rsid w:val="009541C9"/>
    <w:rsid w:val="0095442A"/>
    <w:rsid w:val="00954461"/>
    <w:rsid w:val="00954528"/>
    <w:rsid w:val="00954705"/>
    <w:rsid w:val="00954818"/>
    <w:rsid w:val="00955198"/>
    <w:rsid w:val="00955624"/>
    <w:rsid w:val="00955CAF"/>
    <w:rsid w:val="00956160"/>
    <w:rsid w:val="00956B51"/>
    <w:rsid w:val="00956C75"/>
    <w:rsid w:val="00956D88"/>
    <w:rsid w:val="00956DB3"/>
    <w:rsid w:val="00957069"/>
    <w:rsid w:val="009574CA"/>
    <w:rsid w:val="00957576"/>
    <w:rsid w:val="009579F9"/>
    <w:rsid w:val="009603AB"/>
    <w:rsid w:val="009603C1"/>
    <w:rsid w:val="0096047F"/>
    <w:rsid w:val="009605B0"/>
    <w:rsid w:val="009605E8"/>
    <w:rsid w:val="0096076C"/>
    <w:rsid w:val="0096120D"/>
    <w:rsid w:val="009612F0"/>
    <w:rsid w:val="00961322"/>
    <w:rsid w:val="00961464"/>
    <w:rsid w:val="009615E6"/>
    <w:rsid w:val="00961882"/>
    <w:rsid w:val="00961ACC"/>
    <w:rsid w:val="00961F0C"/>
    <w:rsid w:val="00961F12"/>
    <w:rsid w:val="0096205A"/>
    <w:rsid w:val="00962265"/>
    <w:rsid w:val="009624FE"/>
    <w:rsid w:val="00962531"/>
    <w:rsid w:val="0096288C"/>
    <w:rsid w:val="00962BC7"/>
    <w:rsid w:val="00962BE3"/>
    <w:rsid w:val="00962E2F"/>
    <w:rsid w:val="009631AF"/>
    <w:rsid w:val="0096324B"/>
    <w:rsid w:val="009632C9"/>
    <w:rsid w:val="009633F8"/>
    <w:rsid w:val="00963571"/>
    <w:rsid w:val="00963E0E"/>
    <w:rsid w:val="009642CC"/>
    <w:rsid w:val="0096451C"/>
    <w:rsid w:val="009647D4"/>
    <w:rsid w:val="009648A7"/>
    <w:rsid w:val="00964985"/>
    <w:rsid w:val="0096520E"/>
    <w:rsid w:val="0096535F"/>
    <w:rsid w:val="00965504"/>
    <w:rsid w:val="0096562B"/>
    <w:rsid w:val="00965730"/>
    <w:rsid w:val="00965D12"/>
    <w:rsid w:val="00965D74"/>
    <w:rsid w:val="009663E8"/>
    <w:rsid w:val="009668C5"/>
    <w:rsid w:val="009669D7"/>
    <w:rsid w:val="00966DEC"/>
    <w:rsid w:val="00967366"/>
    <w:rsid w:val="0096746F"/>
    <w:rsid w:val="0096765B"/>
    <w:rsid w:val="0096772B"/>
    <w:rsid w:val="00967872"/>
    <w:rsid w:val="009679B1"/>
    <w:rsid w:val="00967DAC"/>
    <w:rsid w:val="00970404"/>
    <w:rsid w:val="0097055C"/>
    <w:rsid w:val="009706EB"/>
    <w:rsid w:val="00970B99"/>
    <w:rsid w:val="00970C48"/>
    <w:rsid w:val="0097101B"/>
    <w:rsid w:val="00971219"/>
    <w:rsid w:val="00971781"/>
    <w:rsid w:val="0097179F"/>
    <w:rsid w:val="00971B38"/>
    <w:rsid w:val="00971C8D"/>
    <w:rsid w:val="00971F27"/>
    <w:rsid w:val="00972217"/>
    <w:rsid w:val="0097224E"/>
    <w:rsid w:val="009724BF"/>
    <w:rsid w:val="009724F8"/>
    <w:rsid w:val="00972562"/>
    <w:rsid w:val="00972830"/>
    <w:rsid w:val="00972C1F"/>
    <w:rsid w:val="0097364F"/>
    <w:rsid w:val="00973715"/>
    <w:rsid w:val="0097373D"/>
    <w:rsid w:val="009737A1"/>
    <w:rsid w:val="00973C57"/>
    <w:rsid w:val="00973D06"/>
    <w:rsid w:val="00973D3C"/>
    <w:rsid w:val="009741CD"/>
    <w:rsid w:val="009748BD"/>
    <w:rsid w:val="00974BBD"/>
    <w:rsid w:val="00974E20"/>
    <w:rsid w:val="00974ECA"/>
    <w:rsid w:val="00975266"/>
    <w:rsid w:val="009756DB"/>
    <w:rsid w:val="009759D0"/>
    <w:rsid w:val="00975C64"/>
    <w:rsid w:val="00975FDE"/>
    <w:rsid w:val="00976107"/>
    <w:rsid w:val="00976130"/>
    <w:rsid w:val="00976166"/>
    <w:rsid w:val="0097710A"/>
    <w:rsid w:val="00977206"/>
    <w:rsid w:val="00977CE7"/>
    <w:rsid w:val="00977E53"/>
    <w:rsid w:val="00977EB2"/>
    <w:rsid w:val="00980304"/>
    <w:rsid w:val="0098164F"/>
    <w:rsid w:val="009816CA"/>
    <w:rsid w:val="00981ADF"/>
    <w:rsid w:val="00981FB0"/>
    <w:rsid w:val="009825F4"/>
    <w:rsid w:val="00982CD1"/>
    <w:rsid w:val="00982F7C"/>
    <w:rsid w:val="00983004"/>
    <w:rsid w:val="00983166"/>
    <w:rsid w:val="009834E7"/>
    <w:rsid w:val="009838E6"/>
    <w:rsid w:val="00983BEE"/>
    <w:rsid w:val="00983C83"/>
    <w:rsid w:val="00983EC1"/>
    <w:rsid w:val="009840BB"/>
    <w:rsid w:val="009840EA"/>
    <w:rsid w:val="009846CC"/>
    <w:rsid w:val="00984879"/>
    <w:rsid w:val="00984A34"/>
    <w:rsid w:val="00985012"/>
    <w:rsid w:val="0098528F"/>
    <w:rsid w:val="00985B0C"/>
    <w:rsid w:val="00985C41"/>
    <w:rsid w:val="00985C86"/>
    <w:rsid w:val="00985DD3"/>
    <w:rsid w:val="00986528"/>
    <w:rsid w:val="009867FE"/>
    <w:rsid w:val="00986858"/>
    <w:rsid w:val="00986D58"/>
    <w:rsid w:val="009870A7"/>
    <w:rsid w:val="00987363"/>
    <w:rsid w:val="00987B31"/>
    <w:rsid w:val="00987F95"/>
    <w:rsid w:val="00987FE2"/>
    <w:rsid w:val="00990265"/>
    <w:rsid w:val="0099087F"/>
    <w:rsid w:val="00990A13"/>
    <w:rsid w:val="00990D78"/>
    <w:rsid w:val="00990EE3"/>
    <w:rsid w:val="00990F26"/>
    <w:rsid w:val="00990F9C"/>
    <w:rsid w:val="00991862"/>
    <w:rsid w:val="00991F9A"/>
    <w:rsid w:val="009922F5"/>
    <w:rsid w:val="0099240D"/>
    <w:rsid w:val="00992982"/>
    <w:rsid w:val="00992C17"/>
    <w:rsid w:val="00992D09"/>
    <w:rsid w:val="00993033"/>
    <w:rsid w:val="00993320"/>
    <w:rsid w:val="00993371"/>
    <w:rsid w:val="009938DB"/>
    <w:rsid w:val="009942B0"/>
    <w:rsid w:val="00994377"/>
    <w:rsid w:val="0099467F"/>
    <w:rsid w:val="00994AA3"/>
    <w:rsid w:val="00994DE7"/>
    <w:rsid w:val="009957CC"/>
    <w:rsid w:val="009959E7"/>
    <w:rsid w:val="00995B17"/>
    <w:rsid w:val="00995B56"/>
    <w:rsid w:val="00995E1C"/>
    <w:rsid w:val="00995E54"/>
    <w:rsid w:val="00996369"/>
    <w:rsid w:val="009964BE"/>
    <w:rsid w:val="00996648"/>
    <w:rsid w:val="00996A3D"/>
    <w:rsid w:val="00996A9B"/>
    <w:rsid w:val="00997440"/>
    <w:rsid w:val="00997515"/>
    <w:rsid w:val="00997539"/>
    <w:rsid w:val="0099767B"/>
    <w:rsid w:val="009979D3"/>
    <w:rsid w:val="009A0599"/>
    <w:rsid w:val="009A0820"/>
    <w:rsid w:val="009A08E1"/>
    <w:rsid w:val="009A0B14"/>
    <w:rsid w:val="009A0B7C"/>
    <w:rsid w:val="009A0C68"/>
    <w:rsid w:val="009A15BC"/>
    <w:rsid w:val="009A1A12"/>
    <w:rsid w:val="009A1CE8"/>
    <w:rsid w:val="009A1D5D"/>
    <w:rsid w:val="009A2321"/>
    <w:rsid w:val="009A24C8"/>
    <w:rsid w:val="009A2617"/>
    <w:rsid w:val="009A29CD"/>
    <w:rsid w:val="009A318D"/>
    <w:rsid w:val="009A3234"/>
    <w:rsid w:val="009A32A2"/>
    <w:rsid w:val="009A373D"/>
    <w:rsid w:val="009A374C"/>
    <w:rsid w:val="009A3A16"/>
    <w:rsid w:val="009A3A2A"/>
    <w:rsid w:val="009A3CDC"/>
    <w:rsid w:val="009A4206"/>
    <w:rsid w:val="009A4739"/>
    <w:rsid w:val="009A48F6"/>
    <w:rsid w:val="009A4A77"/>
    <w:rsid w:val="009A4FCC"/>
    <w:rsid w:val="009A5386"/>
    <w:rsid w:val="009A5677"/>
    <w:rsid w:val="009A569B"/>
    <w:rsid w:val="009A57C0"/>
    <w:rsid w:val="009A5E81"/>
    <w:rsid w:val="009A68DE"/>
    <w:rsid w:val="009A7306"/>
    <w:rsid w:val="009A75CA"/>
    <w:rsid w:val="009A786A"/>
    <w:rsid w:val="009A7885"/>
    <w:rsid w:val="009A79F4"/>
    <w:rsid w:val="009A7A77"/>
    <w:rsid w:val="009A7EC1"/>
    <w:rsid w:val="009B0217"/>
    <w:rsid w:val="009B0860"/>
    <w:rsid w:val="009B0B92"/>
    <w:rsid w:val="009B0C3F"/>
    <w:rsid w:val="009B108A"/>
    <w:rsid w:val="009B10A0"/>
    <w:rsid w:val="009B145D"/>
    <w:rsid w:val="009B18DB"/>
    <w:rsid w:val="009B1BB2"/>
    <w:rsid w:val="009B1C1B"/>
    <w:rsid w:val="009B23FF"/>
    <w:rsid w:val="009B2681"/>
    <w:rsid w:val="009B27E4"/>
    <w:rsid w:val="009B2925"/>
    <w:rsid w:val="009B2A93"/>
    <w:rsid w:val="009B2DA1"/>
    <w:rsid w:val="009B350D"/>
    <w:rsid w:val="009B37A7"/>
    <w:rsid w:val="009B381C"/>
    <w:rsid w:val="009B3A93"/>
    <w:rsid w:val="009B3B18"/>
    <w:rsid w:val="009B4632"/>
    <w:rsid w:val="009B46EE"/>
    <w:rsid w:val="009B4759"/>
    <w:rsid w:val="009B4B00"/>
    <w:rsid w:val="009B53E7"/>
    <w:rsid w:val="009B6596"/>
    <w:rsid w:val="009B67DD"/>
    <w:rsid w:val="009B7174"/>
    <w:rsid w:val="009B734F"/>
    <w:rsid w:val="009B76DE"/>
    <w:rsid w:val="009B7B92"/>
    <w:rsid w:val="009C018E"/>
    <w:rsid w:val="009C0246"/>
    <w:rsid w:val="009C0A95"/>
    <w:rsid w:val="009C0B26"/>
    <w:rsid w:val="009C0C5C"/>
    <w:rsid w:val="009C0CC9"/>
    <w:rsid w:val="009C0D83"/>
    <w:rsid w:val="009C1039"/>
    <w:rsid w:val="009C1339"/>
    <w:rsid w:val="009C1490"/>
    <w:rsid w:val="009C1825"/>
    <w:rsid w:val="009C1A37"/>
    <w:rsid w:val="009C22D6"/>
    <w:rsid w:val="009C241A"/>
    <w:rsid w:val="009C25C6"/>
    <w:rsid w:val="009C2746"/>
    <w:rsid w:val="009C33FF"/>
    <w:rsid w:val="009C3935"/>
    <w:rsid w:val="009C3CB3"/>
    <w:rsid w:val="009C3CB6"/>
    <w:rsid w:val="009C3E6F"/>
    <w:rsid w:val="009C402F"/>
    <w:rsid w:val="009C43B3"/>
    <w:rsid w:val="009C45CA"/>
    <w:rsid w:val="009C4FD9"/>
    <w:rsid w:val="009C5293"/>
    <w:rsid w:val="009C5354"/>
    <w:rsid w:val="009C5F52"/>
    <w:rsid w:val="009C60DE"/>
    <w:rsid w:val="009C62E9"/>
    <w:rsid w:val="009C6322"/>
    <w:rsid w:val="009C6A3E"/>
    <w:rsid w:val="009C6BF1"/>
    <w:rsid w:val="009C746B"/>
    <w:rsid w:val="009C7914"/>
    <w:rsid w:val="009C7B58"/>
    <w:rsid w:val="009C7D62"/>
    <w:rsid w:val="009C7E7B"/>
    <w:rsid w:val="009D03AE"/>
    <w:rsid w:val="009D043B"/>
    <w:rsid w:val="009D0568"/>
    <w:rsid w:val="009D0671"/>
    <w:rsid w:val="009D081A"/>
    <w:rsid w:val="009D0A47"/>
    <w:rsid w:val="009D1FBB"/>
    <w:rsid w:val="009D24B8"/>
    <w:rsid w:val="009D2522"/>
    <w:rsid w:val="009D25F1"/>
    <w:rsid w:val="009D272A"/>
    <w:rsid w:val="009D31B7"/>
    <w:rsid w:val="009D32EE"/>
    <w:rsid w:val="009D3787"/>
    <w:rsid w:val="009D3ECA"/>
    <w:rsid w:val="009D3FBE"/>
    <w:rsid w:val="009D44DA"/>
    <w:rsid w:val="009D44F3"/>
    <w:rsid w:val="009D45CB"/>
    <w:rsid w:val="009D46D5"/>
    <w:rsid w:val="009D49E9"/>
    <w:rsid w:val="009D4B2E"/>
    <w:rsid w:val="009D4B79"/>
    <w:rsid w:val="009D4C70"/>
    <w:rsid w:val="009D528B"/>
    <w:rsid w:val="009D5697"/>
    <w:rsid w:val="009D5945"/>
    <w:rsid w:val="009D5BBD"/>
    <w:rsid w:val="009D64B5"/>
    <w:rsid w:val="009D6A78"/>
    <w:rsid w:val="009D6D31"/>
    <w:rsid w:val="009D6E4A"/>
    <w:rsid w:val="009D7113"/>
    <w:rsid w:val="009D71B9"/>
    <w:rsid w:val="009D72D0"/>
    <w:rsid w:val="009D74CB"/>
    <w:rsid w:val="009D74F5"/>
    <w:rsid w:val="009D7537"/>
    <w:rsid w:val="009D75D9"/>
    <w:rsid w:val="009D7987"/>
    <w:rsid w:val="009D7A04"/>
    <w:rsid w:val="009D7A90"/>
    <w:rsid w:val="009D7F85"/>
    <w:rsid w:val="009E039E"/>
    <w:rsid w:val="009E0916"/>
    <w:rsid w:val="009E0A0F"/>
    <w:rsid w:val="009E0C7F"/>
    <w:rsid w:val="009E0E32"/>
    <w:rsid w:val="009E0E45"/>
    <w:rsid w:val="009E13D9"/>
    <w:rsid w:val="009E14AC"/>
    <w:rsid w:val="009E1515"/>
    <w:rsid w:val="009E1C21"/>
    <w:rsid w:val="009E1CF3"/>
    <w:rsid w:val="009E1DD1"/>
    <w:rsid w:val="009E1E81"/>
    <w:rsid w:val="009E1F91"/>
    <w:rsid w:val="009E27DF"/>
    <w:rsid w:val="009E29B1"/>
    <w:rsid w:val="009E2BB9"/>
    <w:rsid w:val="009E3215"/>
    <w:rsid w:val="009E34B6"/>
    <w:rsid w:val="009E3505"/>
    <w:rsid w:val="009E3AF9"/>
    <w:rsid w:val="009E4006"/>
    <w:rsid w:val="009E41F6"/>
    <w:rsid w:val="009E4425"/>
    <w:rsid w:val="009E48BD"/>
    <w:rsid w:val="009E4C51"/>
    <w:rsid w:val="009E56A4"/>
    <w:rsid w:val="009E5FB0"/>
    <w:rsid w:val="009E6265"/>
    <w:rsid w:val="009E65D9"/>
    <w:rsid w:val="009E748C"/>
    <w:rsid w:val="009E7EB5"/>
    <w:rsid w:val="009F0009"/>
    <w:rsid w:val="009F053E"/>
    <w:rsid w:val="009F088D"/>
    <w:rsid w:val="009F0A75"/>
    <w:rsid w:val="009F0BBC"/>
    <w:rsid w:val="009F0BEC"/>
    <w:rsid w:val="009F0C67"/>
    <w:rsid w:val="009F0E37"/>
    <w:rsid w:val="009F0F52"/>
    <w:rsid w:val="009F165C"/>
    <w:rsid w:val="009F1BBD"/>
    <w:rsid w:val="009F1FA3"/>
    <w:rsid w:val="009F220F"/>
    <w:rsid w:val="009F2678"/>
    <w:rsid w:val="009F26D6"/>
    <w:rsid w:val="009F27AA"/>
    <w:rsid w:val="009F2A8B"/>
    <w:rsid w:val="009F2D09"/>
    <w:rsid w:val="009F2F1E"/>
    <w:rsid w:val="009F2F81"/>
    <w:rsid w:val="009F2FB7"/>
    <w:rsid w:val="009F320E"/>
    <w:rsid w:val="009F352D"/>
    <w:rsid w:val="009F36A7"/>
    <w:rsid w:val="009F3808"/>
    <w:rsid w:val="009F3B43"/>
    <w:rsid w:val="009F3D66"/>
    <w:rsid w:val="009F417F"/>
    <w:rsid w:val="009F446D"/>
    <w:rsid w:val="009F4648"/>
    <w:rsid w:val="009F46DB"/>
    <w:rsid w:val="009F46DD"/>
    <w:rsid w:val="009F478A"/>
    <w:rsid w:val="009F4A05"/>
    <w:rsid w:val="009F4ABD"/>
    <w:rsid w:val="009F4ACA"/>
    <w:rsid w:val="009F4AF9"/>
    <w:rsid w:val="009F4BF7"/>
    <w:rsid w:val="009F5191"/>
    <w:rsid w:val="009F554D"/>
    <w:rsid w:val="009F558E"/>
    <w:rsid w:val="009F56B4"/>
    <w:rsid w:val="009F5A55"/>
    <w:rsid w:val="009F5F54"/>
    <w:rsid w:val="009F5F69"/>
    <w:rsid w:val="009F6E51"/>
    <w:rsid w:val="009F6F32"/>
    <w:rsid w:val="009F711F"/>
    <w:rsid w:val="009F7F4F"/>
    <w:rsid w:val="00A00175"/>
    <w:rsid w:val="00A002AB"/>
    <w:rsid w:val="00A007CC"/>
    <w:rsid w:val="00A0087F"/>
    <w:rsid w:val="00A0094F"/>
    <w:rsid w:val="00A00B5D"/>
    <w:rsid w:val="00A021C7"/>
    <w:rsid w:val="00A021DD"/>
    <w:rsid w:val="00A023BB"/>
    <w:rsid w:val="00A02A41"/>
    <w:rsid w:val="00A02FD6"/>
    <w:rsid w:val="00A03960"/>
    <w:rsid w:val="00A03EB6"/>
    <w:rsid w:val="00A0419F"/>
    <w:rsid w:val="00A04B99"/>
    <w:rsid w:val="00A04BA3"/>
    <w:rsid w:val="00A04D14"/>
    <w:rsid w:val="00A050EF"/>
    <w:rsid w:val="00A05450"/>
    <w:rsid w:val="00A05E20"/>
    <w:rsid w:val="00A06048"/>
    <w:rsid w:val="00A06057"/>
    <w:rsid w:val="00A061B8"/>
    <w:rsid w:val="00A06391"/>
    <w:rsid w:val="00A064B5"/>
    <w:rsid w:val="00A06673"/>
    <w:rsid w:val="00A068E1"/>
    <w:rsid w:val="00A07250"/>
    <w:rsid w:val="00A0755C"/>
    <w:rsid w:val="00A075ED"/>
    <w:rsid w:val="00A07769"/>
    <w:rsid w:val="00A07B78"/>
    <w:rsid w:val="00A07DF3"/>
    <w:rsid w:val="00A1020D"/>
    <w:rsid w:val="00A10223"/>
    <w:rsid w:val="00A10CD7"/>
    <w:rsid w:val="00A10EDB"/>
    <w:rsid w:val="00A11585"/>
    <w:rsid w:val="00A1161E"/>
    <w:rsid w:val="00A11A15"/>
    <w:rsid w:val="00A11E65"/>
    <w:rsid w:val="00A11EC3"/>
    <w:rsid w:val="00A11F6B"/>
    <w:rsid w:val="00A121F4"/>
    <w:rsid w:val="00A1242D"/>
    <w:rsid w:val="00A1270F"/>
    <w:rsid w:val="00A12812"/>
    <w:rsid w:val="00A12839"/>
    <w:rsid w:val="00A12E31"/>
    <w:rsid w:val="00A13021"/>
    <w:rsid w:val="00A135C1"/>
    <w:rsid w:val="00A1362D"/>
    <w:rsid w:val="00A13D0E"/>
    <w:rsid w:val="00A13DC6"/>
    <w:rsid w:val="00A13EF8"/>
    <w:rsid w:val="00A14039"/>
    <w:rsid w:val="00A14699"/>
    <w:rsid w:val="00A14DCE"/>
    <w:rsid w:val="00A14DDA"/>
    <w:rsid w:val="00A1507B"/>
    <w:rsid w:val="00A15594"/>
    <w:rsid w:val="00A158B8"/>
    <w:rsid w:val="00A15A89"/>
    <w:rsid w:val="00A160DF"/>
    <w:rsid w:val="00A163E1"/>
    <w:rsid w:val="00A16563"/>
    <w:rsid w:val="00A16C61"/>
    <w:rsid w:val="00A16D54"/>
    <w:rsid w:val="00A17001"/>
    <w:rsid w:val="00A174D4"/>
    <w:rsid w:val="00A17BFB"/>
    <w:rsid w:val="00A17ED2"/>
    <w:rsid w:val="00A203B0"/>
    <w:rsid w:val="00A20E6C"/>
    <w:rsid w:val="00A21215"/>
    <w:rsid w:val="00A21221"/>
    <w:rsid w:val="00A21270"/>
    <w:rsid w:val="00A2168F"/>
    <w:rsid w:val="00A218EC"/>
    <w:rsid w:val="00A21B36"/>
    <w:rsid w:val="00A22061"/>
    <w:rsid w:val="00A224D3"/>
    <w:rsid w:val="00A22832"/>
    <w:rsid w:val="00A22AD8"/>
    <w:rsid w:val="00A22BCE"/>
    <w:rsid w:val="00A22CD4"/>
    <w:rsid w:val="00A23041"/>
    <w:rsid w:val="00A2304E"/>
    <w:rsid w:val="00A2309C"/>
    <w:rsid w:val="00A2371E"/>
    <w:rsid w:val="00A23C45"/>
    <w:rsid w:val="00A23DC7"/>
    <w:rsid w:val="00A24279"/>
    <w:rsid w:val="00A24A35"/>
    <w:rsid w:val="00A25136"/>
    <w:rsid w:val="00A258E3"/>
    <w:rsid w:val="00A25B0C"/>
    <w:rsid w:val="00A25C7E"/>
    <w:rsid w:val="00A25F97"/>
    <w:rsid w:val="00A26C67"/>
    <w:rsid w:val="00A27293"/>
    <w:rsid w:val="00A272AB"/>
    <w:rsid w:val="00A2733B"/>
    <w:rsid w:val="00A305BE"/>
    <w:rsid w:val="00A30A78"/>
    <w:rsid w:val="00A30D82"/>
    <w:rsid w:val="00A30EFA"/>
    <w:rsid w:val="00A31670"/>
    <w:rsid w:val="00A3198D"/>
    <w:rsid w:val="00A31BDE"/>
    <w:rsid w:val="00A320E6"/>
    <w:rsid w:val="00A323C9"/>
    <w:rsid w:val="00A328EB"/>
    <w:rsid w:val="00A32B4B"/>
    <w:rsid w:val="00A335E1"/>
    <w:rsid w:val="00A33AA4"/>
    <w:rsid w:val="00A33B10"/>
    <w:rsid w:val="00A33D96"/>
    <w:rsid w:val="00A33EDE"/>
    <w:rsid w:val="00A34491"/>
    <w:rsid w:val="00A3456C"/>
    <w:rsid w:val="00A3460A"/>
    <w:rsid w:val="00A3474D"/>
    <w:rsid w:val="00A348D7"/>
    <w:rsid w:val="00A349A8"/>
    <w:rsid w:val="00A35099"/>
    <w:rsid w:val="00A3568A"/>
    <w:rsid w:val="00A3593D"/>
    <w:rsid w:val="00A35AA9"/>
    <w:rsid w:val="00A35AAC"/>
    <w:rsid w:val="00A35B03"/>
    <w:rsid w:val="00A35EB2"/>
    <w:rsid w:val="00A36168"/>
    <w:rsid w:val="00A36A53"/>
    <w:rsid w:val="00A37169"/>
    <w:rsid w:val="00A37476"/>
    <w:rsid w:val="00A378E8"/>
    <w:rsid w:val="00A37D98"/>
    <w:rsid w:val="00A37F2C"/>
    <w:rsid w:val="00A37F54"/>
    <w:rsid w:val="00A400F7"/>
    <w:rsid w:val="00A404B0"/>
    <w:rsid w:val="00A408BB"/>
    <w:rsid w:val="00A40A4D"/>
    <w:rsid w:val="00A40CC5"/>
    <w:rsid w:val="00A414F9"/>
    <w:rsid w:val="00A41998"/>
    <w:rsid w:val="00A41A4F"/>
    <w:rsid w:val="00A41C07"/>
    <w:rsid w:val="00A41EA6"/>
    <w:rsid w:val="00A41F5A"/>
    <w:rsid w:val="00A420F5"/>
    <w:rsid w:val="00A42904"/>
    <w:rsid w:val="00A42982"/>
    <w:rsid w:val="00A43883"/>
    <w:rsid w:val="00A43AB4"/>
    <w:rsid w:val="00A43B91"/>
    <w:rsid w:val="00A44016"/>
    <w:rsid w:val="00A4414A"/>
    <w:rsid w:val="00A44439"/>
    <w:rsid w:val="00A44979"/>
    <w:rsid w:val="00A44AE7"/>
    <w:rsid w:val="00A44B06"/>
    <w:rsid w:val="00A44BEB"/>
    <w:rsid w:val="00A44C25"/>
    <w:rsid w:val="00A44F14"/>
    <w:rsid w:val="00A4508E"/>
    <w:rsid w:val="00A45FA3"/>
    <w:rsid w:val="00A46400"/>
    <w:rsid w:val="00A46AFB"/>
    <w:rsid w:val="00A46B96"/>
    <w:rsid w:val="00A4741E"/>
    <w:rsid w:val="00A47654"/>
    <w:rsid w:val="00A477F9"/>
    <w:rsid w:val="00A47A9B"/>
    <w:rsid w:val="00A50A2D"/>
    <w:rsid w:val="00A50B1A"/>
    <w:rsid w:val="00A50D28"/>
    <w:rsid w:val="00A50DC1"/>
    <w:rsid w:val="00A51082"/>
    <w:rsid w:val="00A512E0"/>
    <w:rsid w:val="00A5140A"/>
    <w:rsid w:val="00A51A29"/>
    <w:rsid w:val="00A51E81"/>
    <w:rsid w:val="00A52A55"/>
    <w:rsid w:val="00A5302C"/>
    <w:rsid w:val="00A53A21"/>
    <w:rsid w:val="00A53C6B"/>
    <w:rsid w:val="00A548A5"/>
    <w:rsid w:val="00A54A29"/>
    <w:rsid w:val="00A54DE3"/>
    <w:rsid w:val="00A54E57"/>
    <w:rsid w:val="00A54EC1"/>
    <w:rsid w:val="00A55314"/>
    <w:rsid w:val="00A55A00"/>
    <w:rsid w:val="00A55FC9"/>
    <w:rsid w:val="00A562F6"/>
    <w:rsid w:val="00A56581"/>
    <w:rsid w:val="00A569AA"/>
    <w:rsid w:val="00A56D15"/>
    <w:rsid w:val="00A57416"/>
    <w:rsid w:val="00A5757D"/>
    <w:rsid w:val="00A57779"/>
    <w:rsid w:val="00A57EB9"/>
    <w:rsid w:val="00A60CF7"/>
    <w:rsid w:val="00A611F2"/>
    <w:rsid w:val="00A6157C"/>
    <w:rsid w:val="00A61660"/>
    <w:rsid w:val="00A61DBC"/>
    <w:rsid w:val="00A621FA"/>
    <w:rsid w:val="00A62254"/>
    <w:rsid w:val="00A62372"/>
    <w:rsid w:val="00A6249F"/>
    <w:rsid w:val="00A62807"/>
    <w:rsid w:val="00A628E4"/>
    <w:rsid w:val="00A62C28"/>
    <w:rsid w:val="00A62D58"/>
    <w:rsid w:val="00A63206"/>
    <w:rsid w:val="00A632FA"/>
    <w:rsid w:val="00A6384B"/>
    <w:rsid w:val="00A63A34"/>
    <w:rsid w:val="00A64AEA"/>
    <w:rsid w:val="00A64C14"/>
    <w:rsid w:val="00A64FC9"/>
    <w:rsid w:val="00A65EB7"/>
    <w:rsid w:val="00A65F2A"/>
    <w:rsid w:val="00A65F6A"/>
    <w:rsid w:val="00A65F9C"/>
    <w:rsid w:val="00A660AF"/>
    <w:rsid w:val="00A66821"/>
    <w:rsid w:val="00A66BBF"/>
    <w:rsid w:val="00A66C9B"/>
    <w:rsid w:val="00A66DF2"/>
    <w:rsid w:val="00A6716B"/>
    <w:rsid w:val="00A67561"/>
    <w:rsid w:val="00A67D21"/>
    <w:rsid w:val="00A67D30"/>
    <w:rsid w:val="00A70647"/>
    <w:rsid w:val="00A709AE"/>
    <w:rsid w:val="00A70C55"/>
    <w:rsid w:val="00A71014"/>
    <w:rsid w:val="00A711D6"/>
    <w:rsid w:val="00A7154C"/>
    <w:rsid w:val="00A71746"/>
    <w:rsid w:val="00A717FB"/>
    <w:rsid w:val="00A7241D"/>
    <w:rsid w:val="00A72813"/>
    <w:rsid w:val="00A72AFA"/>
    <w:rsid w:val="00A72B5C"/>
    <w:rsid w:val="00A72DBA"/>
    <w:rsid w:val="00A73076"/>
    <w:rsid w:val="00A7345A"/>
    <w:rsid w:val="00A73818"/>
    <w:rsid w:val="00A73C5D"/>
    <w:rsid w:val="00A742C1"/>
    <w:rsid w:val="00A74C9A"/>
    <w:rsid w:val="00A7514B"/>
    <w:rsid w:val="00A751C0"/>
    <w:rsid w:val="00A7537E"/>
    <w:rsid w:val="00A7561B"/>
    <w:rsid w:val="00A75648"/>
    <w:rsid w:val="00A75E5C"/>
    <w:rsid w:val="00A7603D"/>
    <w:rsid w:val="00A76048"/>
    <w:rsid w:val="00A760DE"/>
    <w:rsid w:val="00A762B5"/>
    <w:rsid w:val="00A765C6"/>
    <w:rsid w:val="00A76810"/>
    <w:rsid w:val="00A76BD6"/>
    <w:rsid w:val="00A76DC7"/>
    <w:rsid w:val="00A77160"/>
    <w:rsid w:val="00A771AB"/>
    <w:rsid w:val="00A774C5"/>
    <w:rsid w:val="00A7771B"/>
    <w:rsid w:val="00A77C43"/>
    <w:rsid w:val="00A77E11"/>
    <w:rsid w:val="00A8013C"/>
    <w:rsid w:val="00A801BF"/>
    <w:rsid w:val="00A8044E"/>
    <w:rsid w:val="00A80670"/>
    <w:rsid w:val="00A80716"/>
    <w:rsid w:val="00A80C6D"/>
    <w:rsid w:val="00A80F67"/>
    <w:rsid w:val="00A80FDC"/>
    <w:rsid w:val="00A8119D"/>
    <w:rsid w:val="00A81BFE"/>
    <w:rsid w:val="00A82569"/>
    <w:rsid w:val="00A82642"/>
    <w:rsid w:val="00A82A04"/>
    <w:rsid w:val="00A82F8C"/>
    <w:rsid w:val="00A835F0"/>
    <w:rsid w:val="00A83691"/>
    <w:rsid w:val="00A83734"/>
    <w:rsid w:val="00A83D90"/>
    <w:rsid w:val="00A841FE"/>
    <w:rsid w:val="00A84570"/>
    <w:rsid w:val="00A84EA2"/>
    <w:rsid w:val="00A84F3A"/>
    <w:rsid w:val="00A85393"/>
    <w:rsid w:val="00A855C1"/>
    <w:rsid w:val="00A85645"/>
    <w:rsid w:val="00A86864"/>
    <w:rsid w:val="00A86B6B"/>
    <w:rsid w:val="00A87AE7"/>
    <w:rsid w:val="00A9014D"/>
    <w:rsid w:val="00A903B5"/>
    <w:rsid w:val="00A90860"/>
    <w:rsid w:val="00A910FD"/>
    <w:rsid w:val="00A911EE"/>
    <w:rsid w:val="00A916E8"/>
    <w:rsid w:val="00A91875"/>
    <w:rsid w:val="00A9243C"/>
    <w:rsid w:val="00A92832"/>
    <w:rsid w:val="00A93AD6"/>
    <w:rsid w:val="00A93CB7"/>
    <w:rsid w:val="00A93CCE"/>
    <w:rsid w:val="00A93E0E"/>
    <w:rsid w:val="00A94364"/>
    <w:rsid w:val="00A943ED"/>
    <w:rsid w:val="00A94664"/>
    <w:rsid w:val="00A9509D"/>
    <w:rsid w:val="00A952F5"/>
    <w:rsid w:val="00A95B3F"/>
    <w:rsid w:val="00A95C9B"/>
    <w:rsid w:val="00A96429"/>
    <w:rsid w:val="00A96497"/>
    <w:rsid w:val="00A9678A"/>
    <w:rsid w:val="00A96850"/>
    <w:rsid w:val="00A968E0"/>
    <w:rsid w:val="00A974CA"/>
    <w:rsid w:val="00A97679"/>
    <w:rsid w:val="00A978A4"/>
    <w:rsid w:val="00A97A63"/>
    <w:rsid w:val="00AA0243"/>
    <w:rsid w:val="00AA0250"/>
    <w:rsid w:val="00AA09BA"/>
    <w:rsid w:val="00AA0BA0"/>
    <w:rsid w:val="00AA1388"/>
    <w:rsid w:val="00AA1541"/>
    <w:rsid w:val="00AA1B47"/>
    <w:rsid w:val="00AA1E85"/>
    <w:rsid w:val="00AA26BD"/>
    <w:rsid w:val="00AA2D85"/>
    <w:rsid w:val="00AA2FD0"/>
    <w:rsid w:val="00AA300D"/>
    <w:rsid w:val="00AA31B2"/>
    <w:rsid w:val="00AA36C0"/>
    <w:rsid w:val="00AA403E"/>
    <w:rsid w:val="00AA4312"/>
    <w:rsid w:val="00AA4412"/>
    <w:rsid w:val="00AA44D8"/>
    <w:rsid w:val="00AA471C"/>
    <w:rsid w:val="00AA4823"/>
    <w:rsid w:val="00AA49F9"/>
    <w:rsid w:val="00AA4F13"/>
    <w:rsid w:val="00AA56C0"/>
    <w:rsid w:val="00AA572D"/>
    <w:rsid w:val="00AA59B4"/>
    <w:rsid w:val="00AA5A91"/>
    <w:rsid w:val="00AA5EA1"/>
    <w:rsid w:val="00AA5F9E"/>
    <w:rsid w:val="00AA62E0"/>
    <w:rsid w:val="00AA6B25"/>
    <w:rsid w:val="00AA6B40"/>
    <w:rsid w:val="00AA6BAF"/>
    <w:rsid w:val="00AA6EC5"/>
    <w:rsid w:val="00AA7B96"/>
    <w:rsid w:val="00AA7CCE"/>
    <w:rsid w:val="00AB03E2"/>
    <w:rsid w:val="00AB070D"/>
    <w:rsid w:val="00AB0757"/>
    <w:rsid w:val="00AB09FA"/>
    <w:rsid w:val="00AB0CA7"/>
    <w:rsid w:val="00AB1830"/>
    <w:rsid w:val="00AB1B9A"/>
    <w:rsid w:val="00AB2629"/>
    <w:rsid w:val="00AB2724"/>
    <w:rsid w:val="00AB30DC"/>
    <w:rsid w:val="00AB3348"/>
    <w:rsid w:val="00AB4DE4"/>
    <w:rsid w:val="00AB52CC"/>
    <w:rsid w:val="00AB53FD"/>
    <w:rsid w:val="00AB54BB"/>
    <w:rsid w:val="00AB62D1"/>
    <w:rsid w:val="00AB631E"/>
    <w:rsid w:val="00AB6570"/>
    <w:rsid w:val="00AB6AC6"/>
    <w:rsid w:val="00AB707D"/>
    <w:rsid w:val="00AB760F"/>
    <w:rsid w:val="00AB781F"/>
    <w:rsid w:val="00AB7A45"/>
    <w:rsid w:val="00AB7BC9"/>
    <w:rsid w:val="00AC0097"/>
    <w:rsid w:val="00AC01FE"/>
    <w:rsid w:val="00AC0391"/>
    <w:rsid w:val="00AC0988"/>
    <w:rsid w:val="00AC0D52"/>
    <w:rsid w:val="00AC0ED3"/>
    <w:rsid w:val="00AC103B"/>
    <w:rsid w:val="00AC10FF"/>
    <w:rsid w:val="00AC1156"/>
    <w:rsid w:val="00AC1CB6"/>
    <w:rsid w:val="00AC1E08"/>
    <w:rsid w:val="00AC2068"/>
    <w:rsid w:val="00AC25CE"/>
    <w:rsid w:val="00AC2BCB"/>
    <w:rsid w:val="00AC2CFD"/>
    <w:rsid w:val="00AC2F0A"/>
    <w:rsid w:val="00AC3172"/>
    <w:rsid w:val="00AC34AE"/>
    <w:rsid w:val="00AC3897"/>
    <w:rsid w:val="00AC3954"/>
    <w:rsid w:val="00AC3C3D"/>
    <w:rsid w:val="00AC468A"/>
    <w:rsid w:val="00AC4ACE"/>
    <w:rsid w:val="00AC5172"/>
    <w:rsid w:val="00AC51C5"/>
    <w:rsid w:val="00AC53EE"/>
    <w:rsid w:val="00AC541F"/>
    <w:rsid w:val="00AC59BC"/>
    <w:rsid w:val="00AC5C30"/>
    <w:rsid w:val="00AC65DC"/>
    <w:rsid w:val="00AC6786"/>
    <w:rsid w:val="00AC6885"/>
    <w:rsid w:val="00AC6D51"/>
    <w:rsid w:val="00AC703A"/>
    <w:rsid w:val="00AC725F"/>
    <w:rsid w:val="00AC7662"/>
    <w:rsid w:val="00AC7CD9"/>
    <w:rsid w:val="00AC7E06"/>
    <w:rsid w:val="00AC7E6A"/>
    <w:rsid w:val="00AD01FD"/>
    <w:rsid w:val="00AD037D"/>
    <w:rsid w:val="00AD0389"/>
    <w:rsid w:val="00AD15CE"/>
    <w:rsid w:val="00AD1E82"/>
    <w:rsid w:val="00AD204D"/>
    <w:rsid w:val="00AD2515"/>
    <w:rsid w:val="00AD2AB2"/>
    <w:rsid w:val="00AD2EC9"/>
    <w:rsid w:val="00AD3426"/>
    <w:rsid w:val="00AD3877"/>
    <w:rsid w:val="00AD396C"/>
    <w:rsid w:val="00AD3B24"/>
    <w:rsid w:val="00AD3BD5"/>
    <w:rsid w:val="00AD3F45"/>
    <w:rsid w:val="00AD40E4"/>
    <w:rsid w:val="00AD47E8"/>
    <w:rsid w:val="00AD4D12"/>
    <w:rsid w:val="00AD4E75"/>
    <w:rsid w:val="00AD50A6"/>
    <w:rsid w:val="00AD52D2"/>
    <w:rsid w:val="00AD55C0"/>
    <w:rsid w:val="00AD568F"/>
    <w:rsid w:val="00AD581E"/>
    <w:rsid w:val="00AD5A79"/>
    <w:rsid w:val="00AD5B41"/>
    <w:rsid w:val="00AD5C5C"/>
    <w:rsid w:val="00AD64FA"/>
    <w:rsid w:val="00AD6633"/>
    <w:rsid w:val="00AD6AFB"/>
    <w:rsid w:val="00AD6CB7"/>
    <w:rsid w:val="00AD795A"/>
    <w:rsid w:val="00AD7C7C"/>
    <w:rsid w:val="00AD7CC8"/>
    <w:rsid w:val="00AD7D45"/>
    <w:rsid w:val="00AD7DA6"/>
    <w:rsid w:val="00AE04D0"/>
    <w:rsid w:val="00AE073D"/>
    <w:rsid w:val="00AE091A"/>
    <w:rsid w:val="00AE13FA"/>
    <w:rsid w:val="00AE1676"/>
    <w:rsid w:val="00AE212C"/>
    <w:rsid w:val="00AE22D6"/>
    <w:rsid w:val="00AE235F"/>
    <w:rsid w:val="00AE2449"/>
    <w:rsid w:val="00AE2F53"/>
    <w:rsid w:val="00AE2FB2"/>
    <w:rsid w:val="00AE33D6"/>
    <w:rsid w:val="00AE3755"/>
    <w:rsid w:val="00AE395C"/>
    <w:rsid w:val="00AE3C08"/>
    <w:rsid w:val="00AE4091"/>
    <w:rsid w:val="00AE452A"/>
    <w:rsid w:val="00AE47A9"/>
    <w:rsid w:val="00AE4FEF"/>
    <w:rsid w:val="00AE5CEE"/>
    <w:rsid w:val="00AE5E25"/>
    <w:rsid w:val="00AE6323"/>
    <w:rsid w:val="00AE6957"/>
    <w:rsid w:val="00AE6FBD"/>
    <w:rsid w:val="00AE6FE2"/>
    <w:rsid w:val="00AE738C"/>
    <w:rsid w:val="00AE7C67"/>
    <w:rsid w:val="00AE7F64"/>
    <w:rsid w:val="00AF0169"/>
    <w:rsid w:val="00AF0472"/>
    <w:rsid w:val="00AF1364"/>
    <w:rsid w:val="00AF1416"/>
    <w:rsid w:val="00AF168D"/>
    <w:rsid w:val="00AF17E2"/>
    <w:rsid w:val="00AF195B"/>
    <w:rsid w:val="00AF1BC8"/>
    <w:rsid w:val="00AF1F12"/>
    <w:rsid w:val="00AF23CE"/>
    <w:rsid w:val="00AF299C"/>
    <w:rsid w:val="00AF2D5C"/>
    <w:rsid w:val="00AF2E76"/>
    <w:rsid w:val="00AF2F8D"/>
    <w:rsid w:val="00AF2FAF"/>
    <w:rsid w:val="00AF308C"/>
    <w:rsid w:val="00AF3189"/>
    <w:rsid w:val="00AF3232"/>
    <w:rsid w:val="00AF3B8A"/>
    <w:rsid w:val="00AF41FE"/>
    <w:rsid w:val="00AF48F7"/>
    <w:rsid w:val="00AF498C"/>
    <w:rsid w:val="00AF4A50"/>
    <w:rsid w:val="00AF4D6A"/>
    <w:rsid w:val="00AF5122"/>
    <w:rsid w:val="00AF5CD4"/>
    <w:rsid w:val="00AF5DA2"/>
    <w:rsid w:val="00AF5F22"/>
    <w:rsid w:val="00AF63F4"/>
    <w:rsid w:val="00AF64B8"/>
    <w:rsid w:val="00AF660D"/>
    <w:rsid w:val="00AF6FEB"/>
    <w:rsid w:val="00AF7202"/>
    <w:rsid w:val="00AF77BA"/>
    <w:rsid w:val="00AF77F2"/>
    <w:rsid w:val="00AF7C1B"/>
    <w:rsid w:val="00B00106"/>
    <w:rsid w:val="00B0047B"/>
    <w:rsid w:val="00B005E4"/>
    <w:rsid w:val="00B00ABE"/>
    <w:rsid w:val="00B00C38"/>
    <w:rsid w:val="00B01070"/>
    <w:rsid w:val="00B0129E"/>
    <w:rsid w:val="00B01AD1"/>
    <w:rsid w:val="00B01C17"/>
    <w:rsid w:val="00B01F6F"/>
    <w:rsid w:val="00B020BC"/>
    <w:rsid w:val="00B034B5"/>
    <w:rsid w:val="00B0392A"/>
    <w:rsid w:val="00B039EB"/>
    <w:rsid w:val="00B040EC"/>
    <w:rsid w:val="00B04131"/>
    <w:rsid w:val="00B0451A"/>
    <w:rsid w:val="00B04BF8"/>
    <w:rsid w:val="00B051CC"/>
    <w:rsid w:val="00B0530A"/>
    <w:rsid w:val="00B0540C"/>
    <w:rsid w:val="00B05795"/>
    <w:rsid w:val="00B0591C"/>
    <w:rsid w:val="00B05C3A"/>
    <w:rsid w:val="00B05CC3"/>
    <w:rsid w:val="00B06096"/>
    <w:rsid w:val="00B06318"/>
    <w:rsid w:val="00B0631A"/>
    <w:rsid w:val="00B06344"/>
    <w:rsid w:val="00B06443"/>
    <w:rsid w:val="00B06A95"/>
    <w:rsid w:val="00B06B76"/>
    <w:rsid w:val="00B06C46"/>
    <w:rsid w:val="00B07514"/>
    <w:rsid w:val="00B077AC"/>
    <w:rsid w:val="00B111ED"/>
    <w:rsid w:val="00B11451"/>
    <w:rsid w:val="00B11BCE"/>
    <w:rsid w:val="00B11BF0"/>
    <w:rsid w:val="00B11BFE"/>
    <w:rsid w:val="00B12262"/>
    <w:rsid w:val="00B122E0"/>
    <w:rsid w:val="00B126DE"/>
    <w:rsid w:val="00B1294A"/>
    <w:rsid w:val="00B12A8A"/>
    <w:rsid w:val="00B12AE7"/>
    <w:rsid w:val="00B12F0B"/>
    <w:rsid w:val="00B134C2"/>
    <w:rsid w:val="00B139CD"/>
    <w:rsid w:val="00B13F82"/>
    <w:rsid w:val="00B142E3"/>
    <w:rsid w:val="00B142FA"/>
    <w:rsid w:val="00B14C27"/>
    <w:rsid w:val="00B14EBD"/>
    <w:rsid w:val="00B15105"/>
    <w:rsid w:val="00B1512B"/>
    <w:rsid w:val="00B1533E"/>
    <w:rsid w:val="00B1554A"/>
    <w:rsid w:val="00B156D1"/>
    <w:rsid w:val="00B1588F"/>
    <w:rsid w:val="00B15C6F"/>
    <w:rsid w:val="00B16591"/>
    <w:rsid w:val="00B1674C"/>
    <w:rsid w:val="00B1692B"/>
    <w:rsid w:val="00B16A0D"/>
    <w:rsid w:val="00B17230"/>
    <w:rsid w:val="00B17761"/>
    <w:rsid w:val="00B17C0E"/>
    <w:rsid w:val="00B17EDA"/>
    <w:rsid w:val="00B17FBF"/>
    <w:rsid w:val="00B206AC"/>
    <w:rsid w:val="00B20751"/>
    <w:rsid w:val="00B20994"/>
    <w:rsid w:val="00B20FD9"/>
    <w:rsid w:val="00B210B3"/>
    <w:rsid w:val="00B211C7"/>
    <w:rsid w:val="00B21C48"/>
    <w:rsid w:val="00B21EBB"/>
    <w:rsid w:val="00B21F97"/>
    <w:rsid w:val="00B21FCF"/>
    <w:rsid w:val="00B2260F"/>
    <w:rsid w:val="00B22614"/>
    <w:rsid w:val="00B2264E"/>
    <w:rsid w:val="00B22687"/>
    <w:rsid w:val="00B2298F"/>
    <w:rsid w:val="00B229E5"/>
    <w:rsid w:val="00B22C22"/>
    <w:rsid w:val="00B22E8B"/>
    <w:rsid w:val="00B231B2"/>
    <w:rsid w:val="00B235BE"/>
    <w:rsid w:val="00B23A3C"/>
    <w:rsid w:val="00B23DCA"/>
    <w:rsid w:val="00B24077"/>
    <w:rsid w:val="00B240FF"/>
    <w:rsid w:val="00B244D7"/>
    <w:rsid w:val="00B24895"/>
    <w:rsid w:val="00B24E43"/>
    <w:rsid w:val="00B24FE2"/>
    <w:rsid w:val="00B2510B"/>
    <w:rsid w:val="00B25637"/>
    <w:rsid w:val="00B25892"/>
    <w:rsid w:val="00B258E8"/>
    <w:rsid w:val="00B25DC4"/>
    <w:rsid w:val="00B269E5"/>
    <w:rsid w:val="00B26C6D"/>
    <w:rsid w:val="00B270A3"/>
    <w:rsid w:val="00B275A2"/>
    <w:rsid w:val="00B27780"/>
    <w:rsid w:val="00B27983"/>
    <w:rsid w:val="00B27D39"/>
    <w:rsid w:val="00B302F8"/>
    <w:rsid w:val="00B304C8"/>
    <w:rsid w:val="00B305A7"/>
    <w:rsid w:val="00B307E4"/>
    <w:rsid w:val="00B30871"/>
    <w:rsid w:val="00B3117B"/>
    <w:rsid w:val="00B314A8"/>
    <w:rsid w:val="00B3276B"/>
    <w:rsid w:val="00B333D8"/>
    <w:rsid w:val="00B338DB"/>
    <w:rsid w:val="00B33A20"/>
    <w:rsid w:val="00B33CD3"/>
    <w:rsid w:val="00B33DA0"/>
    <w:rsid w:val="00B34142"/>
    <w:rsid w:val="00B3423B"/>
    <w:rsid w:val="00B346B6"/>
    <w:rsid w:val="00B34758"/>
    <w:rsid w:val="00B347D0"/>
    <w:rsid w:val="00B34918"/>
    <w:rsid w:val="00B34FA4"/>
    <w:rsid w:val="00B35086"/>
    <w:rsid w:val="00B354CF"/>
    <w:rsid w:val="00B355CC"/>
    <w:rsid w:val="00B35686"/>
    <w:rsid w:val="00B35E03"/>
    <w:rsid w:val="00B35FA5"/>
    <w:rsid w:val="00B3607E"/>
    <w:rsid w:val="00B3749B"/>
    <w:rsid w:val="00B37630"/>
    <w:rsid w:val="00B37C22"/>
    <w:rsid w:val="00B4013B"/>
    <w:rsid w:val="00B401B0"/>
    <w:rsid w:val="00B405A2"/>
    <w:rsid w:val="00B406E6"/>
    <w:rsid w:val="00B40A22"/>
    <w:rsid w:val="00B40A79"/>
    <w:rsid w:val="00B40E7D"/>
    <w:rsid w:val="00B40F1F"/>
    <w:rsid w:val="00B4126C"/>
    <w:rsid w:val="00B414ED"/>
    <w:rsid w:val="00B417A4"/>
    <w:rsid w:val="00B41AB7"/>
    <w:rsid w:val="00B42034"/>
    <w:rsid w:val="00B42188"/>
    <w:rsid w:val="00B4273C"/>
    <w:rsid w:val="00B42B64"/>
    <w:rsid w:val="00B42F7E"/>
    <w:rsid w:val="00B43124"/>
    <w:rsid w:val="00B431B0"/>
    <w:rsid w:val="00B43258"/>
    <w:rsid w:val="00B439E2"/>
    <w:rsid w:val="00B4427A"/>
    <w:rsid w:val="00B45260"/>
    <w:rsid w:val="00B45266"/>
    <w:rsid w:val="00B4584D"/>
    <w:rsid w:val="00B46566"/>
    <w:rsid w:val="00B46748"/>
    <w:rsid w:val="00B46867"/>
    <w:rsid w:val="00B46CA2"/>
    <w:rsid w:val="00B4704E"/>
    <w:rsid w:val="00B470C1"/>
    <w:rsid w:val="00B47291"/>
    <w:rsid w:val="00B4737C"/>
    <w:rsid w:val="00B476A2"/>
    <w:rsid w:val="00B47905"/>
    <w:rsid w:val="00B5029C"/>
    <w:rsid w:val="00B505B9"/>
    <w:rsid w:val="00B506DD"/>
    <w:rsid w:val="00B5074A"/>
    <w:rsid w:val="00B50895"/>
    <w:rsid w:val="00B50D0A"/>
    <w:rsid w:val="00B51945"/>
    <w:rsid w:val="00B51B67"/>
    <w:rsid w:val="00B51C24"/>
    <w:rsid w:val="00B51F06"/>
    <w:rsid w:val="00B52544"/>
    <w:rsid w:val="00B529EF"/>
    <w:rsid w:val="00B52BF0"/>
    <w:rsid w:val="00B5324C"/>
    <w:rsid w:val="00B537F4"/>
    <w:rsid w:val="00B53974"/>
    <w:rsid w:val="00B53D88"/>
    <w:rsid w:val="00B53DE6"/>
    <w:rsid w:val="00B5409D"/>
    <w:rsid w:val="00B543EB"/>
    <w:rsid w:val="00B54761"/>
    <w:rsid w:val="00B54A62"/>
    <w:rsid w:val="00B54BCE"/>
    <w:rsid w:val="00B54EC9"/>
    <w:rsid w:val="00B55435"/>
    <w:rsid w:val="00B55525"/>
    <w:rsid w:val="00B55A76"/>
    <w:rsid w:val="00B55D48"/>
    <w:rsid w:val="00B567EF"/>
    <w:rsid w:val="00B56BB0"/>
    <w:rsid w:val="00B56BE0"/>
    <w:rsid w:val="00B56D27"/>
    <w:rsid w:val="00B56EA5"/>
    <w:rsid w:val="00B571EC"/>
    <w:rsid w:val="00B5751D"/>
    <w:rsid w:val="00B5777F"/>
    <w:rsid w:val="00B57D37"/>
    <w:rsid w:val="00B57EE0"/>
    <w:rsid w:val="00B6036A"/>
    <w:rsid w:val="00B60729"/>
    <w:rsid w:val="00B618F8"/>
    <w:rsid w:val="00B619DE"/>
    <w:rsid w:val="00B61AE9"/>
    <w:rsid w:val="00B61C23"/>
    <w:rsid w:val="00B61C34"/>
    <w:rsid w:val="00B61D85"/>
    <w:rsid w:val="00B6204A"/>
    <w:rsid w:val="00B627A0"/>
    <w:rsid w:val="00B62BE2"/>
    <w:rsid w:val="00B62D0F"/>
    <w:rsid w:val="00B62D49"/>
    <w:rsid w:val="00B630C3"/>
    <w:rsid w:val="00B63C76"/>
    <w:rsid w:val="00B63F40"/>
    <w:rsid w:val="00B64ECB"/>
    <w:rsid w:val="00B652D9"/>
    <w:rsid w:val="00B6535F"/>
    <w:rsid w:val="00B6536A"/>
    <w:rsid w:val="00B653D8"/>
    <w:rsid w:val="00B6541C"/>
    <w:rsid w:val="00B6593C"/>
    <w:rsid w:val="00B65CD0"/>
    <w:rsid w:val="00B65EAB"/>
    <w:rsid w:val="00B6616E"/>
    <w:rsid w:val="00B6662B"/>
    <w:rsid w:val="00B66673"/>
    <w:rsid w:val="00B66957"/>
    <w:rsid w:val="00B66C95"/>
    <w:rsid w:val="00B66D00"/>
    <w:rsid w:val="00B66D0C"/>
    <w:rsid w:val="00B6727A"/>
    <w:rsid w:val="00B6750B"/>
    <w:rsid w:val="00B675F8"/>
    <w:rsid w:val="00B676B0"/>
    <w:rsid w:val="00B6788D"/>
    <w:rsid w:val="00B679E8"/>
    <w:rsid w:val="00B67AA7"/>
    <w:rsid w:val="00B67AB8"/>
    <w:rsid w:val="00B67B99"/>
    <w:rsid w:val="00B67C54"/>
    <w:rsid w:val="00B67E89"/>
    <w:rsid w:val="00B704A0"/>
    <w:rsid w:val="00B70AE8"/>
    <w:rsid w:val="00B70ED9"/>
    <w:rsid w:val="00B713C2"/>
    <w:rsid w:val="00B71653"/>
    <w:rsid w:val="00B71812"/>
    <w:rsid w:val="00B71863"/>
    <w:rsid w:val="00B71F4C"/>
    <w:rsid w:val="00B72453"/>
    <w:rsid w:val="00B72537"/>
    <w:rsid w:val="00B72D6E"/>
    <w:rsid w:val="00B72DDC"/>
    <w:rsid w:val="00B730EF"/>
    <w:rsid w:val="00B73539"/>
    <w:rsid w:val="00B73887"/>
    <w:rsid w:val="00B73A16"/>
    <w:rsid w:val="00B742C4"/>
    <w:rsid w:val="00B74914"/>
    <w:rsid w:val="00B74D78"/>
    <w:rsid w:val="00B74E7F"/>
    <w:rsid w:val="00B7536F"/>
    <w:rsid w:val="00B75420"/>
    <w:rsid w:val="00B756AA"/>
    <w:rsid w:val="00B75BCA"/>
    <w:rsid w:val="00B75CAD"/>
    <w:rsid w:val="00B7680D"/>
    <w:rsid w:val="00B769A3"/>
    <w:rsid w:val="00B76E1A"/>
    <w:rsid w:val="00B778B4"/>
    <w:rsid w:val="00B77B5D"/>
    <w:rsid w:val="00B77F7E"/>
    <w:rsid w:val="00B77FAA"/>
    <w:rsid w:val="00B8032F"/>
    <w:rsid w:val="00B808BC"/>
    <w:rsid w:val="00B80987"/>
    <w:rsid w:val="00B80A77"/>
    <w:rsid w:val="00B80EAB"/>
    <w:rsid w:val="00B810C4"/>
    <w:rsid w:val="00B81221"/>
    <w:rsid w:val="00B812FE"/>
    <w:rsid w:val="00B813AF"/>
    <w:rsid w:val="00B82349"/>
    <w:rsid w:val="00B824B9"/>
    <w:rsid w:val="00B8269D"/>
    <w:rsid w:val="00B82B72"/>
    <w:rsid w:val="00B83B6B"/>
    <w:rsid w:val="00B840E1"/>
    <w:rsid w:val="00B8443C"/>
    <w:rsid w:val="00B84500"/>
    <w:rsid w:val="00B84C16"/>
    <w:rsid w:val="00B8535E"/>
    <w:rsid w:val="00B854FE"/>
    <w:rsid w:val="00B85B71"/>
    <w:rsid w:val="00B85BAD"/>
    <w:rsid w:val="00B85D7B"/>
    <w:rsid w:val="00B85F95"/>
    <w:rsid w:val="00B86224"/>
    <w:rsid w:val="00B8630A"/>
    <w:rsid w:val="00B86774"/>
    <w:rsid w:val="00B86B67"/>
    <w:rsid w:val="00B86D7E"/>
    <w:rsid w:val="00B86DF8"/>
    <w:rsid w:val="00B86E74"/>
    <w:rsid w:val="00B87A86"/>
    <w:rsid w:val="00B90287"/>
    <w:rsid w:val="00B9090C"/>
    <w:rsid w:val="00B90A66"/>
    <w:rsid w:val="00B91185"/>
    <w:rsid w:val="00B9176A"/>
    <w:rsid w:val="00B917C6"/>
    <w:rsid w:val="00B917EA"/>
    <w:rsid w:val="00B91B35"/>
    <w:rsid w:val="00B920B9"/>
    <w:rsid w:val="00B925A9"/>
    <w:rsid w:val="00B92D73"/>
    <w:rsid w:val="00B92E23"/>
    <w:rsid w:val="00B934D8"/>
    <w:rsid w:val="00B936CC"/>
    <w:rsid w:val="00B93875"/>
    <w:rsid w:val="00B941FE"/>
    <w:rsid w:val="00B94AED"/>
    <w:rsid w:val="00B94B2E"/>
    <w:rsid w:val="00B9528E"/>
    <w:rsid w:val="00B95518"/>
    <w:rsid w:val="00B957BA"/>
    <w:rsid w:val="00B95A90"/>
    <w:rsid w:val="00B95B7D"/>
    <w:rsid w:val="00B95B8C"/>
    <w:rsid w:val="00B95C06"/>
    <w:rsid w:val="00B95DF8"/>
    <w:rsid w:val="00B95FCD"/>
    <w:rsid w:val="00B963B6"/>
    <w:rsid w:val="00B969D2"/>
    <w:rsid w:val="00B96B12"/>
    <w:rsid w:val="00B96C04"/>
    <w:rsid w:val="00B97111"/>
    <w:rsid w:val="00B972C7"/>
    <w:rsid w:val="00B97300"/>
    <w:rsid w:val="00B977B6"/>
    <w:rsid w:val="00B97C49"/>
    <w:rsid w:val="00B97D32"/>
    <w:rsid w:val="00B97EC3"/>
    <w:rsid w:val="00BA008D"/>
    <w:rsid w:val="00BA05D7"/>
    <w:rsid w:val="00BA076E"/>
    <w:rsid w:val="00BA0979"/>
    <w:rsid w:val="00BA0B90"/>
    <w:rsid w:val="00BA0DCC"/>
    <w:rsid w:val="00BA0EFB"/>
    <w:rsid w:val="00BA0F76"/>
    <w:rsid w:val="00BA10D1"/>
    <w:rsid w:val="00BA1A07"/>
    <w:rsid w:val="00BA1E38"/>
    <w:rsid w:val="00BA326A"/>
    <w:rsid w:val="00BA34C7"/>
    <w:rsid w:val="00BA34D9"/>
    <w:rsid w:val="00BA37FA"/>
    <w:rsid w:val="00BA3E4F"/>
    <w:rsid w:val="00BA400F"/>
    <w:rsid w:val="00BA45AD"/>
    <w:rsid w:val="00BA479C"/>
    <w:rsid w:val="00BA4E43"/>
    <w:rsid w:val="00BA4E8E"/>
    <w:rsid w:val="00BA4F76"/>
    <w:rsid w:val="00BA52BC"/>
    <w:rsid w:val="00BA536C"/>
    <w:rsid w:val="00BA5763"/>
    <w:rsid w:val="00BA58C8"/>
    <w:rsid w:val="00BA5EC8"/>
    <w:rsid w:val="00BA5F98"/>
    <w:rsid w:val="00BA6C09"/>
    <w:rsid w:val="00BA7390"/>
    <w:rsid w:val="00BA768D"/>
    <w:rsid w:val="00BA76E1"/>
    <w:rsid w:val="00BA7E5C"/>
    <w:rsid w:val="00BA7F90"/>
    <w:rsid w:val="00BB016C"/>
    <w:rsid w:val="00BB0423"/>
    <w:rsid w:val="00BB0769"/>
    <w:rsid w:val="00BB10DB"/>
    <w:rsid w:val="00BB1195"/>
    <w:rsid w:val="00BB1598"/>
    <w:rsid w:val="00BB15D5"/>
    <w:rsid w:val="00BB18EF"/>
    <w:rsid w:val="00BB19D9"/>
    <w:rsid w:val="00BB19DF"/>
    <w:rsid w:val="00BB1A07"/>
    <w:rsid w:val="00BB1A68"/>
    <w:rsid w:val="00BB21FF"/>
    <w:rsid w:val="00BB24B4"/>
    <w:rsid w:val="00BB2527"/>
    <w:rsid w:val="00BB26DB"/>
    <w:rsid w:val="00BB3596"/>
    <w:rsid w:val="00BB360A"/>
    <w:rsid w:val="00BB3721"/>
    <w:rsid w:val="00BB3ED6"/>
    <w:rsid w:val="00BB41ED"/>
    <w:rsid w:val="00BB42F2"/>
    <w:rsid w:val="00BB455D"/>
    <w:rsid w:val="00BB45AE"/>
    <w:rsid w:val="00BB4734"/>
    <w:rsid w:val="00BB4A92"/>
    <w:rsid w:val="00BB51D3"/>
    <w:rsid w:val="00BB5668"/>
    <w:rsid w:val="00BB5875"/>
    <w:rsid w:val="00BB5995"/>
    <w:rsid w:val="00BB5E28"/>
    <w:rsid w:val="00BB5FFF"/>
    <w:rsid w:val="00BB650B"/>
    <w:rsid w:val="00BB6621"/>
    <w:rsid w:val="00BB68DC"/>
    <w:rsid w:val="00BB6999"/>
    <w:rsid w:val="00BB6DA9"/>
    <w:rsid w:val="00BB7B68"/>
    <w:rsid w:val="00BB7C9E"/>
    <w:rsid w:val="00BB7D44"/>
    <w:rsid w:val="00BB7EDE"/>
    <w:rsid w:val="00BB7FDB"/>
    <w:rsid w:val="00BC080F"/>
    <w:rsid w:val="00BC12BE"/>
    <w:rsid w:val="00BC188E"/>
    <w:rsid w:val="00BC1AA5"/>
    <w:rsid w:val="00BC1D9E"/>
    <w:rsid w:val="00BC25A7"/>
    <w:rsid w:val="00BC267C"/>
    <w:rsid w:val="00BC2849"/>
    <w:rsid w:val="00BC2997"/>
    <w:rsid w:val="00BC2E4C"/>
    <w:rsid w:val="00BC3026"/>
    <w:rsid w:val="00BC3A4A"/>
    <w:rsid w:val="00BC429B"/>
    <w:rsid w:val="00BC46C3"/>
    <w:rsid w:val="00BC4756"/>
    <w:rsid w:val="00BC4BC5"/>
    <w:rsid w:val="00BC4EEF"/>
    <w:rsid w:val="00BC5086"/>
    <w:rsid w:val="00BC538C"/>
    <w:rsid w:val="00BC55C8"/>
    <w:rsid w:val="00BC584C"/>
    <w:rsid w:val="00BC5A72"/>
    <w:rsid w:val="00BC6AD0"/>
    <w:rsid w:val="00BC6B0E"/>
    <w:rsid w:val="00BC75E0"/>
    <w:rsid w:val="00BC77D4"/>
    <w:rsid w:val="00BC7991"/>
    <w:rsid w:val="00BD0249"/>
    <w:rsid w:val="00BD0308"/>
    <w:rsid w:val="00BD0955"/>
    <w:rsid w:val="00BD0B37"/>
    <w:rsid w:val="00BD0E82"/>
    <w:rsid w:val="00BD1193"/>
    <w:rsid w:val="00BD144C"/>
    <w:rsid w:val="00BD1579"/>
    <w:rsid w:val="00BD1725"/>
    <w:rsid w:val="00BD1962"/>
    <w:rsid w:val="00BD19EA"/>
    <w:rsid w:val="00BD1A25"/>
    <w:rsid w:val="00BD1C99"/>
    <w:rsid w:val="00BD206D"/>
    <w:rsid w:val="00BD20ED"/>
    <w:rsid w:val="00BD26B7"/>
    <w:rsid w:val="00BD28A6"/>
    <w:rsid w:val="00BD28C4"/>
    <w:rsid w:val="00BD2DD7"/>
    <w:rsid w:val="00BD2E37"/>
    <w:rsid w:val="00BD2F1F"/>
    <w:rsid w:val="00BD2F2D"/>
    <w:rsid w:val="00BD2F82"/>
    <w:rsid w:val="00BD2F84"/>
    <w:rsid w:val="00BD2FF3"/>
    <w:rsid w:val="00BD380F"/>
    <w:rsid w:val="00BD394E"/>
    <w:rsid w:val="00BD3B9D"/>
    <w:rsid w:val="00BD3DBA"/>
    <w:rsid w:val="00BD40AB"/>
    <w:rsid w:val="00BD4B88"/>
    <w:rsid w:val="00BD51B4"/>
    <w:rsid w:val="00BD54A5"/>
    <w:rsid w:val="00BD5CFA"/>
    <w:rsid w:val="00BD717A"/>
    <w:rsid w:val="00BD735A"/>
    <w:rsid w:val="00BD73FE"/>
    <w:rsid w:val="00BD7686"/>
    <w:rsid w:val="00BD7898"/>
    <w:rsid w:val="00BD78E9"/>
    <w:rsid w:val="00BD7C14"/>
    <w:rsid w:val="00BE04EA"/>
    <w:rsid w:val="00BE04F8"/>
    <w:rsid w:val="00BE082E"/>
    <w:rsid w:val="00BE0C78"/>
    <w:rsid w:val="00BE0DB3"/>
    <w:rsid w:val="00BE10C9"/>
    <w:rsid w:val="00BE13FE"/>
    <w:rsid w:val="00BE16C9"/>
    <w:rsid w:val="00BE1AC3"/>
    <w:rsid w:val="00BE1FD1"/>
    <w:rsid w:val="00BE2187"/>
    <w:rsid w:val="00BE2CD4"/>
    <w:rsid w:val="00BE2E28"/>
    <w:rsid w:val="00BE3376"/>
    <w:rsid w:val="00BE41D0"/>
    <w:rsid w:val="00BE4246"/>
    <w:rsid w:val="00BE434E"/>
    <w:rsid w:val="00BE474B"/>
    <w:rsid w:val="00BE4879"/>
    <w:rsid w:val="00BE4F53"/>
    <w:rsid w:val="00BE526E"/>
    <w:rsid w:val="00BE533D"/>
    <w:rsid w:val="00BE5346"/>
    <w:rsid w:val="00BE55C0"/>
    <w:rsid w:val="00BE56A5"/>
    <w:rsid w:val="00BE570B"/>
    <w:rsid w:val="00BE596F"/>
    <w:rsid w:val="00BE5BD8"/>
    <w:rsid w:val="00BE6059"/>
    <w:rsid w:val="00BE62F2"/>
    <w:rsid w:val="00BE6363"/>
    <w:rsid w:val="00BE6938"/>
    <w:rsid w:val="00BE698C"/>
    <w:rsid w:val="00BE6A04"/>
    <w:rsid w:val="00BE708D"/>
    <w:rsid w:val="00BE7206"/>
    <w:rsid w:val="00BE7FF9"/>
    <w:rsid w:val="00BF0651"/>
    <w:rsid w:val="00BF0982"/>
    <w:rsid w:val="00BF0B94"/>
    <w:rsid w:val="00BF0D7F"/>
    <w:rsid w:val="00BF0FB2"/>
    <w:rsid w:val="00BF11CB"/>
    <w:rsid w:val="00BF17B3"/>
    <w:rsid w:val="00BF17DF"/>
    <w:rsid w:val="00BF1A34"/>
    <w:rsid w:val="00BF1CAF"/>
    <w:rsid w:val="00BF1D4C"/>
    <w:rsid w:val="00BF25BC"/>
    <w:rsid w:val="00BF28A2"/>
    <w:rsid w:val="00BF2E37"/>
    <w:rsid w:val="00BF2F2C"/>
    <w:rsid w:val="00BF3242"/>
    <w:rsid w:val="00BF37E9"/>
    <w:rsid w:val="00BF3C0E"/>
    <w:rsid w:val="00BF3CBF"/>
    <w:rsid w:val="00BF3ED8"/>
    <w:rsid w:val="00BF48B0"/>
    <w:rsid w:val="00BF4B90"/>
    <w:rsid w:val="00BF4C3C"/>
    <w:rsid w:val="00BF55E4"/>
    <w:rsid w:val="00BF5606"/>
    <w:rsid w:val="00BF5DD8"/>
    <w:rsid w:val="00BF6249"/>
    <w:rsid w:val="00BF66B2"/>
    <w:rsid w:val="00BF7171"/>
    <w:rsid w:val="00BF71EC"/>
    <w:rsid w:val="00BF736A"/>
    <w:rsid w:val="00BF76B3"/>
    <w:rsid w:val="00BF7A0D"/>
    <w:rsid w:val="00BF7A95"/>
    <w:rsid w:val="00BF7B86"/>
    <w:rsid w:val="00BF7D51"/>
    <w:rsid w:val="00BF7EE1"/>
    <w:rsid w:val="00C00125"/>
    <w:rsid w:val="00C001C6"/>
    <w:rsid w:val="00C00371"/>
    <w:rsid w:val="00C00624"/>
    <w:rsid w:val="00C00D50"/>
    <w:rsid w:val="00C0117E"/>
    <w:rsid w:val="00C01202"/>
    <w:rsid w:val="00C01410"/>
    <w:rsid w:val="00C01907"/>
    <w:rsid w:val="00C019B7"/>
    <w:rsid w:val="00C01E46"/>
    <w:rsid w:val="00C01E96"/>
    <w:rsid w:val="00C020C0"/>
    <w:rsid w:val="00C0221D"/>
    <w:rsid w:val="00C0295A"/>
    <w:rsid w:val="00C02D37"/>
    <w:rsid w:val="00C02E96"/>
    <w:rsid w:val="00C036D5"/>
    <w:rsid w:val="00C0373D"/>
    <w:rsid w:val="00C03F2F"/>
    <w:rsid w:val="00C04052"/>
    <w:rsid w:val="00C0428F"/>
    <w:rsid w:val="00C043F2"/>
    <w:rsid w:val="00C043FA"/>
    <w:rsid w:val="00C04737"/>
    <w:rsid w:val="00C047B3"/>
    <w:rsid w:val="00C04C5A"/>
    <w:rsid w:val="00C04DD2"/>
    <w:rsid w:val="00C05194"/>
    <w:rsid w:val="00C05477"/>
    <w:rsid w:val="00C05F0E"/>
    <w:rsid w:val="00C05F11"/>
    <w:rsid w:val="00C06359"/>
    <w:rsid w:val="00C063E9"/>
    <w:rsid w:val="00C06511"/>
    <w:rsid w:val="00C06814"/>
    <w:rsid w:val="00C0697D"/>
    <w:rsid w:val="00C06A85"/>
    <w:rsid w:val="00C06B50"/>
    <w:rsid w:val="00C06EE1"/>
    <w:rsid w:val="00C07537"/>
    <w:rsid w:val="00C10010"/>
    <w:rsid w:val="00C10288"/>
    <w:rsid w:val="00C10795"/>
    <w:rsid w:val="00C11733"/>
    <w:rsid w:val="00C11D37"/>
    <w:rsid w:val="00C11F75"/>
    <w:rsid w:val="00C1203D"/>
    <w:rsid w:val="00C122FD"/>
    <w:rsid w:val="00C1247E"/>
    <w:rsid w:val="00C1279F"/>
    <w:rsid w:val="00C12AFA"/>
    <w:rsid w:val="00C12CB1"/>
    <w:rsid w:val="00C13001"/>
    <w:rsid w:val="00C13301"/>
    <w:rsid w:val="00C13494"/>
    <w:rsid w:val="00C13A1D"/>
    <w:rsid w:val="00C1413E"/>
    <w:rsid w:val="00C147F4"/>
    <w:rsid w:val="00C149AF"/>
    <w:rsid w:val="00C14EF3"/>
    <w:rsid w:val="00C152FF"/>
    <w:rsid w:val="00C156EB"/>
    <w:rsid w:val="00C15744"/>
    <w:rsid w:val="00C15767"/>
    <w:rsid w:val="00C15FD3"/>
    <w:rsid w:val="00C16369"/>
    <w:rsid w:val="00C1684A"/>
    <w:rsid w:val="00C169F6"/>
    <w:rsid w:val="00C20543"/>
    <w:rsid w:val="00C2066B"/>
    <w:rsid w:val="00C20A0D"/>
    <w:rsid w:val="00C20AFC"/>
    <w:rsid w:val="00C20B84"/>
    <w:rsid w:val="00C20D01"/>
    <w:rsid w:val="00C21856"/>
    <w:rsid w:val="00C219F5"/>
    <w:rsid w:val="00C21CF6"/>
    <w:rsid w:val="00C21FAB"/>
    <w:rsid w:val="00C2295D"/>
    <w:rsid w:val="00C22C20"/>
    <w:rsid w:val="00C2313D"/>
    <w:rsid w:val="00C231F7"/>
    <w:rsid w:val="00C2353B"/>
    <w:rsid w:val="00C23640"/>
    <w:rsid w:val="00C237F7"/>
    <w:rsid w:val="00C23A42"/>
    <w:rsid w:val="00C23CB0"/>
    <w:rsid w:val="00C242B7"/>
    <w:rsid w:val="00C248FF"/>
    <w:rsid w:val="00C24C58"/>
    <w:rsid w:val="00C25981"/>
    <w:rsid w:val="00C259C7"/>
    <w:rsid w:val="00C25C6C"/>
    <w:rsid w:val="00C25EDA"/>
    <w:rsid w:val="00C25F58"/>
    <w:rsid w:val="00C26298"/>
    <w:rsid w:val="00C265A4"/>
    <w:rsid w:val="00C26650"/>
    <w:rsid w:val="00C2686F"/>
    <w:rsid w:val="00C26956"/>
    <w:rsid w:val="00C26A6A"/>
    <w:rsid w:val="00C26E71"/>
    <w:rsid w:val="00C27046"/>
    <w:rsid w:val="00C2769B"/>
    <w:rsid w:val="00C276D2"/>
    <w:rsid w:val="00C2789B"/>
    <w:rsid w:val="00C27BBE"/>
    <w:rsid w:val="00C27E57"/>
    <w:rsid w:val="00C300F2"/>
    <w:rsid w:val="00C301FD"/>
    <w:rsid w:val="00C3113E"/>
    <w:rsid w:val="00C3120B"/>
    <w:rsid w:val="00C3136A"/>
    <w:rsid w:val="00C3181F"/>
    <w:rsid w:val="00C318F2"/>
    <w:rsid w:val="00C31AB3"/>
    <w:rsid w:val="00C31B17"/>
    <w:rsid w:val="00C31BA9"/>
    <w:rsid w:val="00C31E52"/>
    <w:rsid w:val="00C32136"/>
    <w:rsid w:val="00C322CF"/>
    <w:rsid w:val="00C3249C"/>
    <w:rsid w:val="00C32859"/>
    <w:rsid w:val="00C331AF"/>
    <w:rsid w:val="00C335C7"/>
    <w:rsid w:val="00C335DA"/>
    <w:rsid w:val="00C336F1"/>
    <w:rsid w:val="00C33BF9"/>
    <w:rsid w:val="00C3417C"/>
    <w:rsid w:val="00C34439"/>
    <w:rsid w:val="00C34470"/>
    <w:rsid w:val="00C3451E"/>
    <w:rsid w:val="00C34A0B"/>
    <w:rsid w:val="00C350D1"/>
    <w:rsid w:val="00C3640C"/>
    <w:rsid w:val="00C367E6"/>
    <w:rsid w:val="00C3685B"/>
    <w:rsid w:val="00C369C7"/>
    <w:rsid w:val="00C36B85"/>
    <w:rsid w:val="00C36D3A"/>
    <w:rsid w:val="00C374BD"/>
    <w:rsid w:val="00C3751D"/>
    <w:rsid w:val="00C376FC"/>
    <w:rsid w:val="00C37CE9"/>
    <w:rsid w:val="00C37D87"/>
    <w:rsid w:val="00C37FF0"/>
    <w:rsid w:val="00C40AE0"/>
    <w:rsid w:val="00C40D1A"/>
    <w:rsid w:val="00C41792"/>
    <w:rsid w:val="00C41DB9"/>
    <w:rsid w:val="00C43216"/>
    <w:rsid w:val="00C4336C"/>
    <w:rsid w:val="00C436F2"/>
    <w:rsid w:val="00C43A39"/>
    <w:rsid w:val="00C43B24"/>
    <w:rsid w:val="00C43ECC"/>
    <w:rsid w:val="00C43ED2"/>
    <w:rsid w:val="00C43FD9"/>
    <w:rsid w:val="00C440DF"/>
    <w:rsid w:val="00C4437F"/>
    <w:rsid w:val="00C4442C"/>
    <w:rsid w:val="00C44476"/>
    <w:rsid w:val="00C445A5"/>
    <w:rsid w:val="00C44BFA"/>
    <w:rsid w:val="00C44D39"/>
    <w:rsid w:val="00C44D5F"/>
    <w:rsid w:val="00C44EB3"/>
    <w:rsid w:val="00C44F2E"/>
    <w:rsid w:val="00C451CF"/>
    <w:rsid w:val="00C454E2"/>
    <w:rsid w:val="00C45596"/>
    <w:rsid w:val="00C459E2"/>
    <w:rsid w:val="00C45BC1"/>
    <w:rsid w:val="00C45F74"/>
    <w:rsid w:val="00C46089"/>
    <w:rsid w:val="00C46412"/>
    <w:rsid w:val="00C46957"/>
    <w:rsid w:val="00C46A94"/>
    <w:rsid w:val="00C46EBC"/>
    <w:rsid w:val="00C47023"/>
    <w:rsid w:val="00C4705D"/>
    <w:rsid w:val="00C4738B"/>
    <w:rsid w:val="00C47531"/>
    <w:rsid w:val="00C476A2"/>
    <w:rsid w:val="00C508CA"/>
    <w:rsid w:val="00C50E66"/>
    <w:rsid w:val="00C50EC0"/>
    <w:rsid w:val="00C510F8"/>
    <w:rsid w:val="00C513AC"/>
    <w:rsid w:val="00C513F0"/>
    <w:rsid w:val="00C5157C"/>
    <w:rsid w:val="00C51736"/>
    <w:rsid w:val="00C523D0"/>
    <w:rsid w:val="00C527B1"/>
    <w:rsid w:val="00C53552"/>
    <w:rsid w:val="00C53A2A"/>
    <w:rsid w:val="00C53D19"/>
    <w:rsid w:val="00C53D25"/>
    <w:rsid w:val="00C53DB9"/>
    <w:rsid w:val="00C53DF4"/>
    <w:rsid w:val="00C53F0F"/>
    <w:rsid w:val="00C54379"/>
    <w:rsid w:val="00C54439"/>
    <w:rsid w:val="00C55375"/>
    <w:rsid w:val="00C55AC2"/>
    <w:rsid w:val="00C55F02"/>
    <w:rsid w:val="00C56156"/>
    <w:rsid w:val="00C5656E"/>
    <w:rsid w:val="00C565D5"/>
    <w:rsid w:val="00C566DF"/>
    <w:rsid w:val="00C56892"/>
    <w:rsid w:val="00C56EE7"/>
    <w:rsid w:val="00C575BE"/>
    <w:rsid w:val="00C57787"/>
    <w:rsid w:val="00C577EE"/>
    <w:rsid w:val="00C60566"/>
    <w:rsid w:val="00C605CE"/>
    <w:rsid w:val="00C610E5"/>
    <w:rsid w:val="00C61161"/>
    <w:rsid w:val="00C6148C"/>
    <w:rsid w:val="00C617F2"/>
    <w:rsid w:val="00C6180D"/>
    <w:rsid w:val="00C61899"/>
    <w:rsid w:val="00C61B56"/>
    <w:rsid w:val="00C61D3C"/>
    <w:rsid w:val="00C624E1"/>
    <w:rsid w:val="00C62637"/>
    <w:rsid w:val="00C632B6"/>
    <w:rsid w:val="00C63493"/>
    <w:rsid w:val="00C63D1C"/>
    <w:rsid w:val="00C63E0F"/>
    <w:rsid w:val="00C642F5"/>
    <w:rsid w:val="00C64665"/>
    <w:rsid w:val="00C64745"/>
    <w:rsid w:val="00C64D21"/>
    <w:rsid w:val="00C64FD8"/>
    <w:rsid w:val="00C65175"/>
    <w:rsid w:val="00C653A2"/>
    <w:rsid w:val="00C654D1"/>
    <w:rsid w:val="00C65609"/>
    <w:rsid w:val="00C65B0F"/>
    <w:rsid w:val="00C660C2"/>
    <w:rsid w:val="00C66BB6"/>
    <w:rsid w:val="00C66C2B"/>
    <w:rsid w:val="00C66E7D"/>
    <w:rsid w:val="00C66EE8"/>
    <w:rsid w:val="00C67430"/>
    <w:rsid w:val="00C67B6A"/>
    <w:rsid w:val="00C7017A"/>
    <w:rsid w:val="00C70442"/>
    <w:rsid w:val="00C70802"/>
    <w:rsid w:val="00C70974"/>
    <w:rsid w:val="00C709DA"/>
    <w:rsid w:val="00C713CC"/>
    <w:rsid w:val="00C714D7"/>
    <w:rsid w:val="00C71522"/>
    <w:rsid w:val="00C71945"/>
    <w:rsid w:val="00C71986"/>
    <w:rsid w:val="00C71A40"/>
    <w:rsid w:val="00C71A6C"/>
    <w:rsid w:val="00C71AF3"/>
    <w:rsid w:val="00C727C5"/>
    <w:rsid w:val="00C7290F"/>
    <w:rsid w:val="00C72B79"/>
    <w:rsid w:val="00C72FC7"/>
    <w:rsid w:val="00C734AA"/>
    <w:rsid w:val="00C738D2"/>
    <w:rsid w:val="00C73A21"/>
    <w:rsid w:val="00C73B18"/>
    <w:rsid w:val="00C73BAA"/>
    <w:rsid w:val="00C73BF6"/>
    <w:rsid w:val="00C73C1C"/>
    <w:rsid w:val="00C747B9"/>
    <w:rsid w:val="00C74BAD"/>
    <w:rsid w:val="00C74BDC"/>
    <w:rsid w:val="00C74EF9"/>
    <w:rsid w:val="00C7514C"/>
    <w:rsid w:val="00C75460"/>
    <w:rsid w:val="00C75F2D"/>
    <w:rsid w:val="00C76156"/>
    <w:rsid w:val="00C7641F"/>
    <w:rsid w:val="00C76892"/>
    <w:rsid w:val="00C76D13"/>
    <w:rsid w:val="00C77280"/>
    <w:rsid w:val="00C77400"/>
    <w:rsid w:val="00C776F9"/>
    <w:rsid w:val="00C779A1"/>
    <w:rsid w:val="00C77A3C"/>
    <w:rsid w:val="00C77A45"/>
    <w:rsid w:val="00C77BB1"/>
    <w:rsid w:val="00C77C18"/>
    <w:rsid w:val="00C77D1C"/>
    <w:rsid w:val="00C77EEC"/>
    <w:rsid w:val="00C801F9"/>
    <w:rsid w:val="00C806C9"/>
    <w:rsid w:val="00C80A99"/>
    <w:rsid w:val="00C80ADE"/>
    <w:rsid w:val="00C80C5D"/>
    <w:rsid w:val="00C813B7"/>
    <w:rsid w:val="00C8160F"/>
    <w:rsid w:val="00C81A71"/>
    <w:rsid w:val="00C81B90"/>
    <w:rsid w:val="00C81CED"/>
    <w:rsid w:val="00C81D09"/>
    <w:rsid w:val="00C81EB6"/>
    <w:rsid w:val="00C82121"/>
    <w:rsid w:val="00C822C2"/>
    <w:rsid w:val="00C8296B"/>
    <w:rsid w:val="00C82F21"/>
    <w:rsid w:val="00C8306A"/>
    <w:rsid w:val="00C83417"/>
    <w:rsid w:val="00C83C36"/>
    <w:rsid w:val="00C83CAF"/>
    <w:rsid w:val="00C84611"/>
    <w:rsid w:val="00C84649"/>
    <w:rsid w:val="00C84ACA"/>
    <w:rsid w:val="00C85319"/>
    <w:rsid w:val="00C85570"/>
    <w:rsid w:val="00C85579"/>
    <w:rsid w:val="00C8599B"/>
    <w:rsid w:val="00C85E38"/>
    <w:rsid w:val="00C86052"/>
    <w:rsid w:val="00C86275"/>
    <w:rsid w:val="00C862E2"/>
    <w:rsid w:val="00C862FD"/>
    <w:rsid w:val="00C86568"/>
    <w:rsid w:val="00C867C9"/>
    <w:rsid w:val="00C87238"/>
    <w:rsid w:val="00C87980"/>
    <w:rsid w:val="00C87A04"/>
    <w:rsid w:val="00C87D5B"/>
    <w:rsid w:val="00C903C4"/>
    <w:rsid w:val="00C9080E"/>
    <w:rsid w:val="00C90AC6"/>
    <w:rsid w:val="00C90CF1"/>
    <w:rsid w:val="00C90EA5"/>
    <w:rsid w:val="00C9118F"/>
    <w:rsid w:val="00C91569"/>
    <w:rsid w:val="00C916A3"/>
    <w:rsid w:val="00C917CD"/>
    <w:rsid w:val="00C919FE"/>
    <w:rsid w:val="00C91A2F"/>
    <w:rsid w:val="00C92051"/>
    <w:rsid w:val="00C92070"/>
    <w:rsid w:val="00C92757"/>
    <w:rsid w:val="00C92CE3"/>
    <w:rsid w:val="00C92FBB"/>
    <w:rsid w:val="00C93530"/>
    <w:rsid w:val="00C93CCD"/>
    <w:rsid w:val="00C940D6"/>
    <w:rsid w:val="00C9427E"/>
    <w:rsid w:val="00C94311"/>
    <w:rsid w:val="00C94477"/>
    <w:rsid w:val="00C94703"/>
    <w:rsid w:val="00C95595"/>
    <w:rsid w:val="00C95CB4"/>
    <w:rsid w:val="00C95DDF"/>
    <w:rsid w:val="00C95EF4"/>
    <w:rsid w:val="00C96684"/>
    <w:rsid w:val="00C96B95"/>
    <w:rsid w:val="00C96CCA"/>
    <w:rsid w:val="00C974CB"/>
    <w:rsid w:val="00C97521"/>
    <w:rsid w:val="00C97635"/>
    <w:rsid w:val="00C9777C"/>
    <w:rsid w:val="00C978F3"/>
    <w:rsid w:val="00C97C5B"/>
    <w:rsid w:val="00C97D10"/>
    <w:rsid w:val="00C97F10"/>
    <w:rsid w:val="00CA0074"/>
    <w:rsid w:val="00CA023B"/>
    <w:rsid w:val="00CA03D0"/>
    <w:rsid w:val="00CA0879"/>
    <w:rsid w:val="00CA099F"/>
    <w:rsid w:val="00CA0A3E"/>
    <w:rsid w:val="00CA0B33"/>
    <w:rsid w:val="00CA0C94"/>
    <w:rsid w:val="00CA0F56"/>
    <w:rsid w:val="00CA10A7"/>
    <w:rsid w:val="00CA12AA"/>
    <w:rsid w:val="00CA1344"/>
    <w:rsid w:val="00CA198B"/>
    <w:rsid w:val="00CA1A0F"/>
    <w:rsid w:val="00CA2481"/>
    <w:rsid w:val="00CA2D02"/>
    <w:rsid w:val="00CA2DB4"/>
    <w:rsid w:val="00CA2DCA"/>
    <w:rsid w:val="00CA389D"/>
    <w:rsid w:val="00CA3961"/>
    <w:rsid w:val="00CA39B2"/>
    <w:rsid w:val="00CA3ABF"/>
    <w:rsid w:val="00CA3C16"/>
    <w:rsid w:val="00CA4130"/>
    <w:rsid w:val="00CA4436"/>
    <w:rsid w:val="00CA44FE"/>
    <w:rsid w:val="00CA450F"/>
    <w:rsid w:val="00CA4A85"/>
    <w:rsid w:val="00CA512F"/>
    <w:rsid w:val="00CA5402"/>
    <w:rsid w:val="00CA59CA"/>
    <w:rsid w:val="00CA5E84"/>
    <w:rsid w:val="00CA6165"/>
    <w:rsid w:val="00CA6241"/>
    <w:rsid w:val="00CA631A"/>
    <w:rsid w:val="00CA63FB"/>
    <w:rsid w:val="00CA6714"/>
    <w:rsid w:val="00CA6B0E"/>
    <w:rsid w:val="00CA6B95"/>
    <w:rsid w:val="00CA7ADF"/>
    <w:rsid w:val="00CA7AF9"/>
    <w:rsid w:val="00CA7B0C"/>
    <w:rsid w:val="00CA7E9F"/>
    <w:rsid w:val="00CA7FBC"/>
    <w:rsid w:val="00CB00E6"/>
    <w:rsid w:val="00CB0AEB"/>
    <w:rsid w:val="00CB167E"/>
    <w:rsid w:val="00CB173A"/>
    <w:rsid w:val="00CB19E1"/>
    <w:rsid w:val="00CB1D6E"/>
    <w:rsid w:val="00CB1E1A"/>
    <w:rsid w:val="00CB1FE1"/>
    <w:rsid w:val="00CB24FD"/>
    <w:rsid w:val="00CB2802"/>
    <w:rsid w:val="00CB2B6A"/>
    <w:rsid w:val="00CB2B8E"/>
    <w:rsid w:val="00CB2CB9"/>
    <w:rsid w:val="00CB33AF"/>
    <w:rsid w:val="00CB35A8"/>
    <w:rsid w:val="00CB41EB"/>
    <w:rsid w:val="00CB4A56"/>
    <w:rsid w:val="00CB5067"/>
    <w:rsid w:val="00CB556B"/>
    <w:rsid w:val="00CB5D33"/>
    <w:rsid w:val="00CB6100"/>
    <w:rsid w:val="00CB6667"/>
    <w:rsid w:val="00CB6D3C"/>
    <w:rsid w:val="00CB7595"/>
    <w:rsid w:val="00CB766F"/>
    <w:rsid w:val="00CB7712"/>
    <w:rsid w:val="00CB7860"/>
    <w:rsid w:val="00CB7A33"/>
    <w:rsid w:val="00CB7A60"/>
    <w:rsid w:val="00CC0202"/>
    <w:rsid w:val="00CC02BB"/>
    <w:rsid w:val="00CC069C"/>
    <w:rsid w:val="00CC06C0"/>
    <w:rsid w:val="00CC0716"/>
    <w:rsid w:val="00CC0829"/>
    <w:rsid w:val="00CC09A3"/>
    <w:rsid w:val="00CC0C59"/>
    <w:rsid w:val="00CC1034"/>
    <w:rsid w:val="00CC10BC"/>
    <w:rsid w:val="00CC1349"/>
    <w:rsid w:val="00CC1C96"/>
    <w:rsid w:val="00CC1D3E"/>
    <w:rsid w:val="00CC205F"/>
    <w:rsid w:val="00CC2313"/>
    <w:rsid w:val="00CC23E0"/>
    <w:rsid w:val="00CC2D78"/>
    <w:rsid w:val="00CC2E3C"/>
    <w:rsid w:val="00CC2E6B"/>
    <w:rsid w:val="00CC2FC3"/>
    <w:rsid w:val="00CC3BDF"/>
    <w:rsid w:val="00CC3FB6"/>
    <w:rsid w:val="00CC46AE"/>
    <w:rsid w:val="00CC4739"/>
    <w:rsid w:val="00CC4B13"/>
    <w:rsid w:val="00CC4BA7"/>
    <w:rsid w:val="00CC4C08"/>
    <w:rsid w:val="00CC5065"/>
    <w:rsid w:val="00CC5302"/>
    <w:rsid w:val="00CC572E"/>
    <w:rsid w:val="00CC5932"/>
    <w:rsid w:val="00CC5A77"/>
    <w:rsid w:val="00CC5C0D"/>
    <w:rsid w:val="00CC5DBF"/>
    <w:rsid w:val="00CC5FD8"/>
    <w:rsid w:val="00CC6008"/>
    <w:rsid w:val="00CC6146"/>
    <w:rsid w:val="00CC6187"/>
    <w:rsid w:val="00CC6279"/>
    <w:rsid w:val="00CC652E"/>
    <w:rsid w:val="00CC6F99"/>
    <w:rsid w:val="00CC70C5"/>
    <w:rsid w:val="00CC710B"/>
    <w:rsid w:val="00CC7226"/>
    <w:rsid w:val="00CC780E"/>
    <w:rsid w:val="00CC7A71"/>
    <w:rsid w:val="00CC7BD6"/>
    <w:rsid w:val="00CC7CD4"/>
    <w:rsid w:val="00CC7E3C"/>
    <w:rsid w:val="00CD0903"/>
    <w:rsid w:val="00CD0C0C"/>
    <w:rsid w:val="00CD13DC"/>
    <w:rsid w:val="00CD1B0B"/>
    <w:rsid w:val="00CD1C9E"/>
    <w:rsid w:val="00CD1DCD"/>
    <w:rsid w:val="00CD2999"/>
    <w:rsid w:val="00CD2C12"/>
    <w:rsid w:val="00CD3022"/>
    <w:rsid w:val="00CD3507"/>
    <w:rsid w:val="00CD3581"/>
    <w:rsid w:val="00CD37FD"/>
    <w:rsid w:val="00CD3D05"/>
    <w:rsid w:val="00CD4186"/>
    <w:rsid w:val="00CD4540"/>
    <w:rsid w:val="00CD4C23"/>
    <w:rsid w:val="00CD4CFB"/>
    <w:rsid w:val="00CD4D76"/>
    <w:rsid w:val="00CD4D8C"/>
    <w:rsid w:val="00CD4DBC"/>
    <w:rsid w:val="00CD4DDD"/>
    <w:rsid w:val="00CD4E1C"/>
    <w:rsid w:val="00CD4FD6"/>
    <w:rsid w:val="00CD5251"/>
    <w:rsid w:val="00CD5388"/>
    <w:rsid w:val="00CD55C4"/>
    <w:rsid w:val="00CD5905"/>
    <w:rsid w:val="00CD5A69"/>
    <w:rsid w:val="00CD5E2E"/>
    <w:rsid w:val="00CD69A7"/>
    <w:rsid w:val="00CD6A93"/>
    <w:rsid w:val="00CD6B99"/>
    <w:rsid w:val="00CD7B84"/>
    <w:rsid w:val="00CD7CBB"/>
    <w:rsid w:val="00CD7DEF"/>
    <w:rsid w:val="00CE0336"/>
    <w:rsid w:val="00CE07E5"/>
    <w:rsid w:val="00CE08AB"/>
    <w:rsid w:val="00CE0924"/>
    <w:rsid w:val="00CE0C85"/>
    <w:rsid w:val="00CE17F2"/>
    <w:rsid w:val="00CE1A2C"/>
    <w:rsid w:val="00CE1B5C"/>
    <w:rsid w:val="00CE1CEC"/>
    <w:rsid w:val="00CE1D5B"/>
    <w:rsid w:val="00CE1E38"/>
    <w:rsid w:val="00CE2787"/>
    <w:rsid w:val="00CE2C61"/>
    <w:rsid w:val="00CE3180"/>
    <w:rsid w:val="00CE38E4"/>
    <w:rsid w:val="00CE3AC5"/>
    <w:rsid w:val="00CE3D3A"/>
    <w:rsid w:val="00CE4352"/>
    <w:rsid w:val="00CE436A"/>
    <w:rsid w:val="00CE439D"/>
    <w:rsid w:val="00CE44A4"/>
    <w:rsid w:val="00CE4A60"/>
    <w:rsid w:val="00CE4E69"/>
    <w:rsid w:val="00CE56EE"/>
    <w:rsid w:val="00CE57BD"/>
    <w:rsid w:val="00CE593B"/>
    <w:rsid w:val="00CE5A34"/>
    <w:rsid w:val="00CE5F25"/>
    <w:rsid w:val="00CE60C6"/>
    <w:rsid w:val="00CE6245"/>
    <w:rsid w:val="00CE6495"/>
    <w:rsid w:val="00CE6559"/>
    <w:rsid w:val="00CE66C5"/>
    <w:rsid w:val="00CE677E"/>
    <w:rsid w:val="00CE67AA"/>
    <w:rsid w:val="00CE69E6"/>
    <w:rsid w:val="00CE6B1E"/>
    <w:rsid w:val="00CE700A"/>
    <w:rsid w:val="00CE7675"/>
    <w:rsid w:val="00CE7877"/>
    <w:rsid w:val="00CE78A2"/>
    <w:rsid w:val="00CE7B12"/>
    <w:rsid w:val="00CE7CCD"/>
    <w:rsid w:val="00CF0739"/>
    <w:rsid w:val="00CF0772"/>
    <w:rsid w:val="00CF0A52"/>
    <w:rsid w:val="00CF0A7D"/>
    <w:rsid w:val="00CF0C94"/>
    <w:rsid w:val="00CF0CD7"/>
    <w:rsid w:val="00CF17B7"/>
    <w:rsid w:val="00CF1CFB"/>
    <w:rsid w:val="00CF25A8"/>
    <w:rsid w:val="00CF27C0"/>
    <w:rsid w:val="00CF2AC0"/>
    <w:rsid w:val="00CF2C08"/>
    <w:rsid w:val="00CF2D73"/>
    <w:rsid w:val="00CF342B"/>
    <w:rsid w:val="00CF396F"/>
    <w:rsid w:val="00CF40D9"/>
    <w:rsid w:val="00CF417D"/>
    <w:rsid w:val="00CF4456"/>
    <w:rsid w:val="00CF4B78"/>
    <w:rsid w:val="00CF5850"/>
    <w:rsid w:val="00CF61AA"/>
    <w:rsid w:val="00CF65F7"/>
    <w:rsid w:val="00CF6856"/>
    <w:rsid w:val="00CF6B94"/>
    <w:rsid w:val="00CF6F83"/>
    <w:rsid w:val="00CF735F"/>
    <w:rsid w:val="00CF742E"/>
    <w:rsid w:val="00CF74B1"/>
    <w:rsid w:val="00CF7954"/>
    <w:rsid w:val="00CF7A57"/>
    <w:rsid w:val="00CF7BDE"/>
    <w:rsid w:val="00CF7CD2"/>
    <w:rsid w:val="00D000B4"/>
    <w:rsid w:val="00D000CA"/>
    <w:rsid w:val="00D0011F"/>
    <w:rsid w:val="00D00227"/>
    <w:rsid w:val="00D010FA"/>
    <w:rsid w:val="00D01157"/>
    <w:rsid w:val="00D0163E"/>
    <w:rsid w:val="00D01779"/>
    <w:rsid w:val="00D01958"/>
    <w:rsid w:val="00D01B5E"/>
    <w:rsid w:val="00D01CD2"/>
    <w:rsid w:val="00D021FB"/>
    <w:rsid w:val="00D0220B"/>
    <w:rsid w:val="00D023A1"/>
    <w:rsid w:val="00D023E4"/>
    <w:rsid w:val="00D024EA"/>
    <w:rsid w:val="00D026D8"/>
    <w:rsid w:val="00D030A6"/>
    <w:rsid w:val="00D031D9"/>
    <w:rsid w:val="00D03285"/>
    <w:rsid w:val="00D0369B"/>
    <w:rsid w:val="00D039C4"/>
    <w:rsid w:val="00D03D0D"/>
    <w:rsid w:val="00D04124"/>
    <w:rsid w:val="00D0413E"/>
    <w:rsid w:val="00D04B06"/>
    <w:rsid w:val="00D054EC"/>
    <w:rsid w:val="00D05BFD"/>
    <w:rsid w:val="00D05D69"/>
    <w:rsid w:val="00D05E77"/>
    <w:rsid w:val="00D0678D"/>
    <w:rsid w:val="00D06A55"/>
    <w:rsid w:val="00D07056"/>
    <w:rsid w:val="00D072A9"/>
    <w:rsid w:val="00D07D8F"/>
    <w:rsid w:val="00D07F44"/>
    <w:rsid w:val="00D1008D"/>
    <w:rsid w:val="00D10401"/>
    <w:rsid w:val="00D10617"/>
    <w:rsid w:val="00D10DD3"/>
    <w:rsid w:val="00D11203"/>
    <w:rsid w:val="00D11445"/>
    <w:rsid w:val="00D114B3"/>
    <w:rsid w:val="00D1164B"/>
    <w:rsid w:val="00D118BE"/>
    <w:rsid w:val="00D11B31"/>
    <w:rsid w:val="00D11C49"/>
    <w:rsid w:val="00D11DEA"/>
    <w:rsid w:val="00D1280C"/>
    <w:rsid w:val="00D129F8"/>
    <w:rsid w:val="00D12C2C"/>
    <w:rsid w:val="00D12EE3"/>
    <w:rsid w:val="00D13376"/>
    <w:rsid w:val="00D13436"/>
    <w:rsid w:val="00D13490"/>
    <w:rsid w:val="00D135E9"/>
    <w:rsid w:val="00D14070"/>
    <w:rsid w:val="00D145B5"/>
    <w:rsid w:val="00D1486C"/>
    <w:rsid w:val="00D14AD7"/>
    <w:rsid w:val="00D14DF1"/>
    <w:rsid w:val="00D1501E"/>
    <w:rsid w:val="00D152A8"/>
    <w:rsid w:val="00D1550F"/>
    <w:rsid w:val="00D1584F"/>
    <w:rsid w:val="00D1585E"/>
    <w:rsid w:val="00D15E52"/>
    <w:rsid w:val="00D162ED"/>
    <w:rsid w:val="00D166F9"/>
    <w:rsid w:val="00D16BE1"/>
    <w:rsid w:val="00D16E60"/>
    <w:rsid w:val="00D171D5"/>
    <w:rsid w:val="00D1784D"/>
    <w:rsid w:val="00D17A6A"/>
    <w:rsid w:val="00D17A8F"/>
    <w:rsid w:val="00D2029F"/>
    <w:rsid w:val="00D2046B"/>
    <w:rsid w:val="00D20C68"/>
    <w:rsid w:val="00D20EE7"/>
    <w:rsid w:val="00D20F85"/>
    <w:rsid w:val="00D21283"/>
    <w:rsid w:val="00D21284"/>
    <w:rsid w:val="00D213FC"/>
    <w:rsid w:val="00D21789"/>
    <w:rsid w:val="00D21823"/>
    <w:rsid w:val="00D21D60"/>
    <w:rsid w:val="00D22077"/>
    <w:rsid w:val="00D2219B"/>
    <w:rsid w:val="00D2252E"/>
    <w:rsid w:val="00D22E12"/>
    <w:rsid w:val="00D22FFC"/>
    <w:rsid w:val="00D2417E"/>
    <w:rsid w:val="00D248C0"/>
    <w:rsid w:val="00D24B56"/>
    <w:rsid w:val="00D2535B"/>
    <w:rsid w:val="00D2539D"/>
    <w:rsid w:val="00D257CB"/>
    <w:rsid w:val="00D25D51"/>
    <w:rsid w:val="00D25DE1"/>
    <w:rsid w:val="00D25EFC"/>
    <w:rsid w:val="00D266A5"/>
    <w:rsid w:val="00D269B4"/>
    <w:rsid w:val="00D27211"/>
    <w:rsid w:val="00D272EB"/>
    <w:rsid w:val="00D27726"/>
    <w:rsid w:val="00D27D19"/>
    <w:rsid w:val="00D30671"/>
    <w:rsid w:val="00D31118"/>
    <w:rsid w:val="00D3129B"/>
    <w:rsid w:val="00D316DA"/>
    <w:rsid w:val="00D31A3F"/>
    <w:rsid w:val="00D31B8D"/>
    <w:rsid w:val="00D32116"/>
    <w:rsid w:val="00D3216F"/>
    <w:rsid w:val="00D321D3"/>
    <w:rsid w:val="00D323AC"/>
    <w:rsid w:val="00D326D2"/>
    <w:rsid w:val="00D329D4"/>
    <w:rsid w:val="00D329D6"/>
    <w:rsid w:val="00D32BF1"/>
    <w:rsid w:val="00D3382D"/>
    <w:rsid w:val="00D33F72"/>
    <w:rsid w:val="00D34439"/>
    <w:rsid w:val="00D3472E"/>
    <w:rsid w:val="00D34844"/>
    <w:rsid w:val="00D34858"/>
    <w:rsid w:val="00D34AC8"/>
    <w:rsid w:val="00D35D18"/>
    <w:rsid w:val="00D363A9"/>
    <w:rsid w:val="00D36637"/>
    <w:rsid w:val="00D366EC"/>
    <w:rsid w:val="00D368EF"/>
    <w:rsid w:val="00D36A33"/>
    <w:rsid w:val="00D36D3D"/>
    <w:rsid w:val="00D36F4B"/>
    <w:rsid w:val="00D3718B"/>
    <w:rsid w:val="00D374AC"/>
    <w:rsid w:val="00D376F8"/>
    <w:rsid w:val="00D37CB6"/>
    <w:rsid w:val="00D37D69"/>
    <w:rsid w:val="00D37FBB"/>
    <w:rsid w:val="00D40108"/>
    <w:rsid w:val="00D4091B"/>
    <w:rsid w:val="00D41017"/>
    <w:rsid w:val="00D41044"/>
    <w:rsid w:val="00D4121F"/>
    <w:rsid w:val="00D41450"/>
    <w:rsid w:val="00D428EB"/>
    <w:rsid w:val="00D42E02"/>
    <w:rsid w:val="00D42EDD"/>
    <w:rsid w:val="00D432CC"/>
    <w:rsid w:val="00D43491"/>
    <w:rsid w:val="00D43504"/>
    <w:rsid w:val="00D43582"/>
    <w:rsid w:val="00D44015"/>
    <w:rsid w:val="00D44301"/>
    <w:rsid w:val="00D450F0"/>
    <w:rsid w:val="00D45333"/>
    <w:rsid w:val="00D453CE"/>
    <w:rsid w:val="00D4562E"/>
    <w:rsid w:val="00D458D8"/>
    <w:rsid w:val="00D459E5"/>
    <w:rsid w:val="00D462A8"/>
    <w:rsid w:val="00D462F7"/>
    <w:rsid w:val="00D4635A"/>
    <w:rsid w:val="00D467B1"/>
    <w:rsid w:val="00D46AB6"/>
    <w:rsid w:val="00D46B5D"/>
    <w:rsid w:val="00D46F7C"/>
    <w:rsid w:val="00D47404"/>
    <w:rsid w:val="00D47598"/>
    <w:rsid w:val="00D47CC3"/>
    <w:rsid w:val="00D47DA1"/>
    <w:rsid w:val="00D5031D"/>
    <w:rsid w:val="00D503A4"/>
    <w:rsid w:val="00D504E3"/>
    <w:rsid w:val="00D5057F"/>
    <w:rsid w:val="00D505E4"/>
    <w:rsid w:val="00D5070A"/>
    <w:rsid w:val="00D5082C"/>
    <w:rsid w:val="00D50835"/>
    <w:rsid w:val="00D51564"/>
    <w:rsid w:val="00D51592"/>
    <w:rsid w:val="00D518BD"/>
    <w:rsid w:val="00D51981"/>
    <w:rsid w:val="00D51A8F"/>
    <w:rsid w:val="00D52872"/>
    <w:rsid w:val="00D52885"/>
    <w:rsid w:val="00D52CC5"/>
    <w:rsid w:val="00D538E3"/>
    <w:rsid w:val="00D539C0"/>
    <w:rsid w:val="00D53B23"/>
    <w:rsid w:val="00D541A4"/>
    <w:rsid w:val="00D545F0"/>
    <w:rsid w:val="00D54676"/>
    <w:rsid w:val="00D54765"/>
    <w:rsid w:val="00D54946"/>
    <w:rsid w:val="00D54BBD"/>
    <w:rsid w:val="00D54C70"/>
    <w:rsid w:val="00D54E3A"/>
    <w:rsid w:val="00D54E92"/>
    <w:rsid w:val="00D55057"/>
    <w:rsid w:val="00D5514A"/>
    <w:rsid w:val="00D557A4"/>
    <w:rsid w:val="00D5644D"/>
    <w:rsid w:val="00D564B7"/>
    <w:rsid w:val="00D56679"/>
    <w:rsid w:val="00D57DF4"/>
    <w:rsid w:val="00D57EB3"/>
    <w:rsid w:val="00D60685"/>
    <w:rsid w:val="00D60739"/>
    <w:rsid w:val="00D614AB"/>
    <w:rsid w:val="00D61B2E"/>
    <w:rsid w:val="00D61B4B"/>
    <w:rsid w:val="00D61B6C"/>
    <w:rsid w:val="00D621CF"/>
    <w:rsid w:val="00D6252C"/>
    <w:rsid w:val="00D6275D"/>
    <w:rsid w:val="00D62A2B"/>
    <w:rsid w:val="00D62A5B"/>
    <w:rsid w:val="00D638D5"/>
    <w:rsid w:val="00D63A49"/>
    <w:rsid w:val="00D640BB"/>
    <w:rsid w:val="00D645E1"/>
    <w:rsid w:val="00D64FDF"/>
    <w:rsid w:val="00D65C75"/>
    <w:rsid w:val="00D66937"/>
    <w:rsid w:val="00D66C6C"/>
    <w:rsid w:val="00D67065"/>
    <w:rsid w:val="00D6706C"/>
    <w:rsid w:val="00D67861"/>
    <w:rsid w:val="00D67EF0"/>
    <w:rsid w:val="00D67F0D"/>
    <w:rsid w:val="00D7030D"/>
    <w:rsid w:val="00D7056B"/>
    <w:rsid w:val="00D70865"/>
    <w:rsid w:val="00D70BAF"/>
    <w:rsid w:val="00D70C0A"/>
    <w:rsid w:val="00D70E9A"/>
    <w:rsid w:val="00D71039"/>
    <w:rsid w:val="00D71394"/>
    <w:rsid w:val="00D713F6"/>
    <w:rsid w:val="00D718D5"/>
    <w:rsid w:val="00D71B88"/>
    <w:rsid w:val="00D71C09"/>
    <w:rsid w:val="00D71F0C"/>
    <w:rsid w:val="00D71FD2"/>
    <w:rsid w:val="00D7210F"/>
    <w:rsid w:val="00D722A5"/>
    <w:rsid w:val="00D7253D"/>
    <w:rsid w:val="00D72D59"/>
    <w:rsid w:val="00D72EF7"/>
    <w:rsid w:val="00D73278"/>
    <w:rsid w:val="00D734E8"/>
    <w:rsid w:val="00D736BB"/>
    <w:rsid w:val="00D73D0A"/>
    <w:rsid w:val="00D74004"/>
    <w:rsid w:val="00D74EB1"/>
    <w:rsid w:val="00D754C9"/>
    <w:rsid w:val="00D75564"/>
    <w:rsid w:val="00D75A59"/>
    <w:rsid w:val="00D760FE"/>
    <w:rsid w:val="00D76456"/>
    <w:rsid w:val="00D76615"/>
    <w:rsid w:val="00D76BC9"/>
    <w:rsid w:val="00D76EB0"/>
    <w:rsid w:val="00D7719D"/>
    <w:rsid w:val="00D77274"/>
    <w:rsid w:val="00D774D0"/>
    <w:rsid w:val="00D779B4"/>
    <w:rsid w:val="00D77FC6"/>
    <w:rsid w:val="00D803B0"/>
    <w:rsid w:val="00D808D2"/>
    <w:rsid w:val="00D80BF8"/>
    <w:rsid w:val="00D80D9C"/>
    <w:rsid w:val="00D80FDF"/>
    <w:rsid w:val="00D81008"/>
    <w:rsid w:val="00D814BF"/>
    <w:rsid w:val="00D81B4B"/>
    <w:rsid w:val="00D8221F"/>
    <w:rsid w:val="00D822BF"/>
    <w:rsid w:val="00D825E0"/>
    <w:rsid w:val="00D82BC7"/>
    <w:rsid w:val="00D83413"/>
    <w:rsid w:val="00D83BBA"/>
    <w:rsid w:val="00D84697"/>
    <w:rsid w:val="00D8474C"/>
    <w:rsid w:val="00D84B00"/>
    <w:rsid w:val="00D84B2F"/>
    <w:rsid w:val="00D854D1"/>
    <w:rsid w:val="00D855C5"/>
    <w:rsid w:val="00D85A53"/>
    <w:rsid w:val="00D85F56"/>
    <w:rsid w:val="00D86526"/>
    <w:rsid w:val="00D87317"/>
    <w:rsid w:val="00D87352"/>
    <w:rsid w:val="00D8750B"/>
    <w:rsid w:val="00D9048F"/>
    <w:rsid w:val="00D90587"/>
    <w:rsid w:val="00D9073B"/>
    <w:rsid w:val="00D90C6D"/>
    <w:rsid w:val="00D90EBF"/>
    <w:rsid w:val="00D91DDD"/>
    <w:rsid w:val="00D91DFD"/>
    <w:rsid w:val="00D9227C"/>
    <w:rsid w:val="00D9237C"/>
    <w:rsid w:val="00D92800"/>
    <w:rsid w:val="00D928B9"/>
    <w:rsid w:val="00D92A1C"/>
    <w:rsid w:val="00D92A43"/>
    <w:rsid w:val="00D92AB2"/>
    <w:rsid w:val="00D93195"/>
    <w:rsid w:val="00D932E9"/>
    <w:rsid w:val="00D935C2"/>
    <w:rsid w:val="00D935F6"/>
    <w:rsid w:val="00D93691"/>
    <w:rsid w:val="00D93767"/>
    <w:rsid w:val="00D93BA8"/>
    <w:rsid w:val="00D93BF1"/>
    <w:rsid w:val="00D943BE"/>
    <w:rsid w:val="00D94491"/>
    <w:rsid w:val="00D949D3"/>
    <w:rsid w:val="00D9525E"/>
    <w:rsid w:val="00D953ED"/>
    <w:rsid w:val="00D957C5"/>
    <w:rsid w:val="00D95E68"/>
    <w:rsid w:val="00D96037"/>
    <w:rsid w:val="00D96845"/>
    <w:rsid w:val="00D96978"/>
    <w:rsid w:val="00D96C6E"/>
    <w:rsid w:val="00D97563"/>
    <w:rsid w:val="00D975BD"/>
    <w:rsid w:val="00D976A9"/>
    <w:rsid w:val="00D97792"/>
    <w:rsid w:val="00D978ED"/>
    <w:rsid w:val="00DA010D"/>
    <w:rsid w:val="00DA0372"/>
    <w:rsid w:val="00DA05E8"/>
    <w:rsid w:val="00DA07B7"/>
    <w:rsid w:val="00DA0CB8"/>
    <w:rsid w:val="00DA14D8"/>
    <w:rsid w:val="00DA2696"/>
    <w:rsid w:val="00DA3930"/>
    <w:rsid w:val="00DA4337"/>
    <w:rsid w:val="00DA4DFB"/>
    <w:rsid w:val="00DA508B"/>
    <w:rsid w:val="00DA535C"/>
    <w:rsid w:val="00DA5367"/>
    <w:rsid w:val="00DA5388"/>
    <w:rsid w:val="00DA5487"/>
    <w:rsid w:val="00DA6270"/>
    <w:rsid w:val="00DA642E"/>
    <w:rsid w:val="00DA64B8"/>
    <w:rsid w:val="00DA6A22"/>
    <w:rsid w:val="00DA72C0"/>
    <w:rsid w:val="00DA7BB7"/>
    <w:rsid w:val="00DA7FEF"/>
    <w:rsid w:val="00DB04DF"/>
    <w:rsid w:val="00DB0613"/>
    <w:rsid w:val="00DB0664"/>
    <w:rsid w:val="00DB0771"/>
    <w:rsid w:val="00DB08C9"/>
    <w:rsid w:val="00DB0A7A"/>
    <w:rsid w:val="00DB12BB"/>
    <w:rsid w:val="00DB1750"/>
    <w:rsid w:val="00DB187E"/>
    <w:rsid w:val="00DB1B73"/>
    <w:rsid w:val="00DB1C9B"/>
    <w:rsid w:val="00DB1FF5"/>
    <w:rsid w:val="00DB253A"/>
    <w:rsid w:val="00DB25B5"/>
    <w:rsid w:val="00DB25E1"/>
    <w:rsid w:val="00DB29D1"/>
    <w:rsid w:val="00DB2A1C"/>
    <w:rsid w:val="00DB2B11"/>
    <w:rsid w:val="00DB2E32"/>
    <w:rsid w:val="00DB3140"/>
    <w:rsid w:val="00DB4A1B"/>
    <w:rsid w:val="00DB4AE7"/>
    <w:rsid w:val="00DB5174"/>
    <w:rsid w:val="00DB5928"/>
    <w:rsid w:val="00DB5B0E"/>
    <w:rsid w:val="00DB5CA4"/>
    <w:rsid w:val="00DB5D37"/>
    <w:rsid w:val="00DB5D6F"/>
    <w:rsid w:val="00DB5D99"/>
    <w:rsid w:val="00DB6571"/>
    <w:rsid w:val="00DB69D4"/>
    <w:rsid w:val="00DB6A14"/>
    <w:rsid w:val="00DB6BC9"/>
    <w:rsid w:val="00DB6FF9"/>
    <w:rsid w:val="00DB7063"/>
    <w:rsid w:val="00DB7157"/>
    <w:rsid w:val="00DB74CC"/>
    <w:rsid w:val="00DB7E9E"/>
    <w:rsid w:val="00DC00D5"/>
    <w:rsid w:val="00DC043F"/>
    <w:rsid w:val="00DC0D5F"/>
    <w:rsid w:val="00DC11B9"/>
    <w:rsid w:val="00DC12C3"/>
    <w:rsid w:val="00DC13F6"/>
    <w:rsid w:val="00DC218C"/>
    <w:rsid w:val="00DC226F"/>
    <w:rsid w:val="00DC28C3"/>
    <w:rsid w:val="00DC298E"/>
    <w:rsid w:val="00DC2E47"/>
    <w:rsid w:val="00DC2E5F"/>
    <w:rsid w:val="00DC3EC3"/>
    <w:rsid w:val="00DC3F47"/>
    <w:rsid w:val="00DC40C0"/>
    <w:rsid w:val="00DC4738"/>
    <w:rsid w:val="00DC4797"/>
    <w:rsid w:val="00DC4809"/>
    <w:rsid w:val="00DC4B09"/>
    <w:rsid w:val="00DC4D45"/>
    <w:rsid w:val="00DC512C"/>
    <w:rsid w:val="00DC530C"/>
    <w:rsid w:val="00DC5591"/>
    <w:rsid w:val="00DC5841"/>
    <w:rsid w:val="00DC649F"/>
    <w:rsid w:val="00DC6844"/>
    <w:rsid w:val="00DC6B84"/>
    <w:rsid w:val="00DC6F4A"/>
    <w:rsid w:val="00DC72AF"/>
    <w:rsid w:val="00DC72E9"/>
    <w:rsid w:val="00DC73C6"/>
    <w:rsid w:val="00DC7C88"/>
    <w:rsid w:val="00DD0105"/>
    <w:rsid w:val="00DD0686"/>
    <w:rsid w:val="00DD1256"/>
    <w:rsid w:val="00DD1C8B"/>
    <w:rsid w:val="00DD1D4E"/>
    <w:rsid w:val="00DD204C"/>
    <w:rsid w:val="00DD236F"/>
    <w:rsid w:val="00DD2471"/>
    <w:rsid w:val="00DD2496"/>
    <w:rsid w:val="00DD2606"/>
    <w:rsid w:val="00DD2939"/>
    <w:rsid w:val="00DD2B91"/>
    <w:rsid w:val="00DD2C85"/>
    <w:rsid w:val="00DD2FDA"/>
    <w:rsid w:val="00DD34AA"/>
    <w:rsid w:val="00DD37A3"/>
    <w:rsid w:val="00DD3949"/>
    <w:rsid w:val="00DD3AED"/>
    <w:rsid w:val="00DD3B11"/>
    <w:rsid w:val="00DD3D61"/>
    <w:rsid w:val="00DD43B1"/>
    <w:rsid w:val="00DD4673"/>
    <w:rsid w:val="00DD47A3"/>
    <w:rsid w:val="00DD4A68"/>
    <w:rsid w:val="00DD4BAB"/>
    <w:rsid w:val="00DD4F21"/>
    <w:rsid w:val="00DD4FAB"/>
    <w:rsid w:val="00DD5074"/>
    <w:rsid w:val="00DD514C"/>
    <w:rsid w:val="00DD56FA"/>
    <w:rsid w:val="00DD59E7"/>
    <w:rsid w:val="00DD5C52"/>
    <w:rsid w:val="00DD625D"/>
    <w:rsid w:val="00DD650B"/>
    <w:rsid w:val="00DD65A0"/>
    <w:rsid w:val="00DD688C"/>
    <w:rsid w:val="00DD7105"/>
    <w:rsid w:val="00DD7108"/>
    <w:rsid w:val="00DD7216"/>
    <w:rsid w:val="00DD73F0"/>
    <w:rsid w:val="00DD7CEC"/>
    <w:rsid w:val="00DD7E7A"/>
    <w:rsid w:val="00DD7FE6"/>
    <w:rsid w:val="00DE04C6"/>
    <w:rsid w:val="00DE05EC"/>
    <w:rsid w:val="00DE05F2"/>
    <w:rsid w:val="00DE0690"/>
    <w:rsid w:val="00DE0E5E"/>
    <w:rsid w:val="00DE10AA"/>
    <w:rsid w:val="00DE1149"/>
    <w:rsid w:val="00DE17BB"/>
    <w:rsid w:val="00DE1A6E"/>
    <w:rsid w:val="00DE1D0A"/>
    <w:rsid w:val="00DE1D57"/>
    <w:rsid w:val="00DE2A38"/>
    <w:rsid w:val="00DE2ED9"/>
    <w:rsid w:val="00DE30A3"/>
    <w:rsid w:val="00DE30C5"/>
    <w:rsid w:val="00DE3395"/>
    <w:rsid w:val="00DE3663"/>
    <w:rsid w:val="00DE36CC"/>
    <w:rsid w:val="00DE3DB5"/>
    <w:rsid w:val="00DE450F"/>
    <w:rsid w:val="00DE48E7"/>
    <w:rsid w:val="00DE5270"/>
    <w:rsid w:val="00DE527F"/>
    <w:rsid w:val="00DE545E"/>
    <w:rsid w:val="00DE54EC"/>
    <w:rsid w:val="00DE600B"/>
    <w:rsid w:val="00DE6419"/>
    <w:rsid w:val="00DE73B0"/>
    <w:rsid w:val="00DE7444"/>
    <w:rsid w:val="00DE7847"/>
    <w:rsid w:val="00DE7FE6"/>
    <w:rsid w:val="00DF035C"/>
    <w:rsid w:val="00DF05AF"/>
    <w:rsid w:val="00DF193E"/>
    <w:rsid w:val="00DF19A3"/>
    <w:rsid w:val="00DF1BFF"/>
    <w:rsid w:val="00DF1D68"/>
    <w:rsid w:val="00DF2344"/>
    <w:rsid w:val="00DF296D"/>
    <w:rsid w:val="00DF2C13"/>
    <w:rsid w:val="00DF3622"/>
    <w:rsid w:val="00DF3838"/>
    <w:rsid w:val="00DF3905"/>
    <w:rsid w:val="00DF43D0"/>
    <w:rsid w:val="00DF4809"/>
    <w:rsid w:val="00DF4AA6"/>
    <w:rsid w:val="00DF4CBC"/>
    <w:rsid w:val="00DF5143"/>
    <w:rsid w:val="00DF51C8"/>
    <w:rsid w:val="00DF5549"/>
    <w:rsid w:val="00DF5B31"/>
    <w:rsid w:val="00DF5D03"/>
    <w:rsid w:val="00DF5FE5"/>
    <w:rsid w:val="00DF65FA"/>
    <w:rsid w:val="00DF673A"/>
    <w:rsid w:val="00DF68A7"/>
    <w:rsid w:val="00DF694F"/>
    <w:rsid w:val="00DF6C55"/>
    <w:rsid w:val="00DF6C62"/>
    <w:rsid w:val="00DF6E5A"/>
    <w:rsid w:val="00DF71CC"/>
    <w:rsid w:val="00DF73FD"/>
    <w:rsid w:val="00DF7910"/>
    <w:rsid w:val="00DF79E8"/>
    <w:rsid w:val="00E0044E"/>
    <w:rsid w:val="00E0045B"/>
    <w:rsid w:val="00E0092A"/>
    <w:rsid w:val="00E00BD4"/>
    <w:rsid w:val="00E00C3A"/>
    <w:rsid w:val="00E00EC9"/>
    <w:rsid w:val="00E0157E"/>
    <w:rsid w:val="00E01707"/>
    <w:rsid w:val="00E019B8"/>
    <w:rsid w:val="00E021CB"/>
    <w:rsid w:val="00E0247E"/>
    <w:rsid w:val="00E0268D"/>
    <w:rsid w:val="00E027F2"/>
    <w:rsid w:val="00E0338F"/>
    <w:rsid w:val="00E03438"/>
    <w:rsid w:val="00E03CFD"/>
    <w:rsid w:val="00E03E5C"/>
    <w:rsid w:val="00E03F85"/>
    <w:rsid w:val="00E0405D"/>
    <w:rsid w:val="00E04312"/>
    <w:rsid w:val="00E046E0"/>
    <w:rsid w:val="00E047EB"/>
    <w:rsid w:val="00E049FE"/>
    <w:rsid w:val="00E04CC0"/>
    <w:rsid w:val="00E05032"/>
    <w:rsid w:val="00E05555"/>
    <w:rsid w:val="00E0560E"/>
    <w:rsid w:val="00E057BE"/>
    <w:rsid w:val="00E05AC0"/>
    <w:rsid w:val="00E05D4D"/>
    <w:rsid w:val="00E05DE6"/>
    <w:rsid w:val="00E05E18"/>
    <w:rsid w:val="00E05F32"/>
    <w:rsid w:val="00E060FB"/>
    <w:rsid w:val="00E069B5"/>
    <w:rsid w:val="00E069E4"/>
    <w:rsid w:val="00E06D34"/>
    <w:rsid w:val="00E0758F"/>
    <w:rsid w:val="00E07713"/>
    <w:rsid w:val="00E077C6"/>
    <w:rsid w:val="00E07AEB"/>
    <w:rsid w:val="00E07C48"/>
    <w:rsid w:val="00E07F9D"/>
    <w:rsid w:val="00E103CC"/>
    <w:rsid w:val="00E105C0"/>
    <w:rsid w:val="00E10874"/>
    <w:rsid w:val="00E10A7F"/>
    <w:rsid w:val="00E10E34"/>
    <w:rsid w:val="00E10FDA"/>
    <w:rsid w:val="00E11501"/>
    <w:rsid w:val="00E1151F"/>
    <w:rsid w:val="00E116C5"/>
    <w:rsid w:val="00E11EC7"/>
    <w:rsid w:val="00E121FB"/>
    <w:rsid w:val="00E12356"/>
    <w:rsid w:val="00E124FF"/>
    <w:rsid w:val="00E12555"/>
    <w:rsid w:val="00E12D75"/>
    <w:rsid w:val="00E1308F"/>
    <w:rsid w:val="00E13100"/>
    <w:rsid w:val="00E13391"/>
    <w:rsid w:val="00E13A08"/>
    <w:rsid w:val="00E141A3"/>
    <w:rsid w:val="00E146FE"/>
    <w:rsid w:val="00E14EB0"/>
    <w:rsid w:val="00E1505C"/>
    <w:rsid w:val="00E15490"/>
    <w:rsid w:val="00E157C9"/>
    <w:rsid w:val="00E15881"/>
    <w:rsid w:val="00E15C87"/>
    <w:rsid w:val="00E15F36"/>
    <w:rsid w:val="00E1609E"/>
    <w:rsid w:val="00E16712"/>
    <w:rsid w:val="00E1676B"/>
    <w:rsid w:val="00E168A6"/>
    <w:rsid w:val="00E169DE"/>
    <w:rsid w:val="00E17597"/>
    <w:rsid w:val="00E175B6"/>
    <w:rsid w:val="00E17702"/>
    <w:rsid w:val="00E177D3"/>
    <w:rsid w:val="00E17B40"/>
    <w:rsid w:val="00E20B5B"/>
    <w:rsid w:val="00E20C4D"/>
    <w:rsid w:val="00E20D07"/>
    <w:rsid w:val="00E20F8D"/>
    <w:rsid w:val="00E21196"/>
    <w:rsid w:val="00E2145B"/>
    <w:rsid w:val="00E21B8D"/>
    <w:rsid w:val="00E223C1"/>
    <w:rsid w:val="00E22700"/>
    <w:rsid w:val="00E22A19"/>
    <w:rsid w:val="00E22F0B"/>
    <w:rsid w:val="00E22FE8"/>
    <w:rsid w:val="00E23116"/>
    <w:rsid w:val="00E233D4"/>
    <w:rsid w:val="00E23639"/>
    <w:rsid w:val="00E236FB"/>
    <w:rsid w:val="00E2409A"/>
    <w:rsid w:val="00E24E3B"/>
    <w:rsid w:val="00E2505B"/>
    <w:rsid w:val="00E25203"/>
    <w:rsid w:val="00E25CB7"/>
    <w:rsid w:val="00E25E1F"/>
    <w:rsid w:val="00E265CE"/>
    <w:rsid w:val="00E2734E"/>
    <w:rsid w:val="00E27365"/>
    <w:rsid w:val="00E2738B"/>
    <w:rsid w:val="00E27C20"/>
    <w:rsid w:val="00E27E99"/>
    <w:rsid w:val="00E305A7"/>
    <w:rsid w:val="00E306CA"/>
    <w:rsid w:val="00E306D6"/>
    <w:rsid w:val="00E306F3"/>
    <w:rsid w:val="00E3072C"/>
    <w:rsid w:val="00E308FB"/>
    <w:rsid w:val="00E30B24"/>
    <w:rsid w:val="00E30DEC"/>
    <w:rsid w:val="00E30ED5"/>
    <w:rsid w:val="00E3132E"/>
    <w:rsid w:val="00E3141C"/>
    <w:rsid w:val="00E31858"/>
    <w:rsid w:val="00E31A05"/>
    <w:rsid w:val="00E31A74"/>
    <w:rsid w:val="00E31BB6"/>
    <w:rsid w:val="00E323C1"/>
    <w:rsid w:val="00E32C9E"/>
    <w:rsid w:val="00E32D33"/>
    <w:rsid w:val="00E332DC"/>
    <w:rsid w:val="00E33D0B"/>
    <w:rsid w:val="00E34229"/>
    <w:rsid w:val="00E342D7"/>
    <w:rsid w:val="00E3447E"/>
    <w:rsid w:val="00E344E2"/>
    <w:rsid w:val="00E347D7"/>
    <w:rsid w:val="00E3484A"/>
    <w:rsid w:val="00E349DD"/>
    <w:rsid w:val="00E34AF9"/>
    <w:rsid w:val="00E34CA9"/>
    <w:rsid w:val="00E34EA1"/>
    <w:rsid w:val="00E3565A"/>
    <w:rsid w:val="00E35ABD"/>
    <w:rsid w:val="00E35C25"/>
    <w:rsid w:val="00E35CA8"/>
    <w:rsid w:val="00E35FE1"/>
    <w:rsid w:val="00E365EE"/>
    <w:rsid w:val="00E36A42"/>
    <w:rsid w:val="00E36C29"/>
    <w:rsid w:val="00E36D61"/>
    <w:rsid w:val="00E37055"/>
    <w:rsid w:val="00E37134"/>
    <w:rsid w:val="00E3715C"/>
    <w:rsid w:val="00E3719A"/>
    <w:rsid w:val="00E371C0"/>
    <w:rsid w:val="00E371F9"/>
    <w:rsid w:val="00E3724F"/>
    <w:rsid w:val="00E3744D"/>
    <w:rsid w:val="00E3745B"/>
    <w:rsid w:val="00E401F0"/>
    <w:rsid w:val="00E4086D"/>
    <w:rsid w:val="00E40AC7"/>
    <w:rsid w:val="00E40C6A"/>
    <w:rsid w:val="00E40D30"/>
    <w:rsid w:val="00E426FF"/>
    <w:rsid w:val="00E4291D"/>
    <w:rsid w:val="00E4298E"/>
    <w:rsid w:val="00E429FA"/>
    <w:rsid w:val="00E42D36"/>
    <w:rsid w:val="00E42DDB"/>
    <w:rsid w:val="00E42EEA"/>
    <w:rsid w:val="00E42F28"/>
    <w:rsid w:val="00E43393"/>
    <w:rsid w:val="00E43958"/>
    <w:rsid w:val="00E43C14"/>
    <w:rsid w:val="00E43FE1"/>
    <w:rsid w:val="00E441BD"/>
    <w:rsid w:val="00E44AC3"/>
    <w:rsid w:val="00E456AB"/>
    <w:rsid w:val="00E4603C"/>
    <w:rsid w:val="00E46741"/>
    <w:rsid w:val="00E46889"/>
    <w:rsid w:val="00E46BCF"/>
    <w:rsid w:val="00E46DD1"/>
    <w:rsid w:val="00E46E65"/>
    <w:rsid w:val="00E46F2A"/>
    <w:rsid w:val="00E470F7"/>
    <w:rsid w:val="00E470FD"/>
    <w:rsid w:val="00E47730"/>
    <w:rsid w:val="00E47885"/>
    <w:rsid w:val="00E47BB1"/>
    <w:rsid w:val="00E47D1A"/>
    <w:rsid w:val="00E5020A"/>
    <w:rsid w:val="00E503BF"/>
    <w:rsid w:val="00E50583"/>
    <w:rsid w:val="00E505FF"/>
    <w:rsid w:val="00E508D3"/>
    <w:rsid w:val="00E509FC"/>
    <w:rsid w:val="00E50A5E"/>
    <w:rsid w:val="00E50B52"/>
    <w:rsid w:val="00E50C2D"/>
    <w:rsid w:val="00E50E47"/>
    <w:rsid w:val="00E5114F"/>
    <w:rsid w:val="00E51156"/>
    <w:rsid w:val="00E51A64"/>
    <w:rsid w:val="00E51A70"/>
    <w:rsid w:val="00E51D2E"/>
    <w:rsid w:val="00E5312B"/>
    <w:rsid w:val="00E53184"/>
    <w:rsid w:val="00E53422"/>
    <w:rsid w:val="00E53EE0"/>
    <w:rsid w:val="00E53FC1"/>
    <w:rsid w:val="00E543A8"/>
    <w:rsid w:val="00E54464"/>
    <w:rsid w:val="00E548ED"/>
    <w:rsid w:val="00E549FD"/>
    <w:rsid w:val="00E54B5F"/>
    <w:rsid w:val="00E54C33"/>
    <w:rsid w:val="00E54F5C"/>
    <w:rsid w:val="00E54FB1"/>
    <w:rsid w:val="00E55283"/>
    <w:rsid w:val="00E554AA"/>
    <w:rsid w:val="00E555B2"/>
    <w:rsid w:val="00E55640"/>
    <w:rsid w:val="00E55710"/>
    <w:rsid w:val="00E55A56"/>
    <w:rsid w:val="00E55D04"/>
    <w:rsid w:val="00E55E57"/>
    <w:rsid w:val="00E55F68"/>
    <w:rsid w:val="00E56064"/>
    <w:rsid w:val="00E56E07"/>
    <w:rsid w:val="00E56F7D"/>
    <w:rsid w:val="00E5757C"/>
    <w:rsid w:val="00E57C38"/>
    <w:rsid w:val="00E60689"/>
    <w:rsid w:val="00E60A42"/>
    <w:rsid w:val="00E60B14"/>
    <w:rsid w:val="00E60E14"/>
    <w:rsid w:val="00E60E38"/>
    <w:rsid w:val="00E610DF"/>
    <w:rsid w:val="00E61B28"/>
    <w:rsid w:val="00E61CC0"/>
    <w:rsid w:val="00E623CB"/>
    <w:rsid w:val="00E627C7"/>
    <w:rsid w:val="00E62836"/>
    <w:rsid w:val="00E6295B"/>
    <w:rsid w:val="00E63648"/>
    <w:rsid w:val="00E63782"/>
    <w:rsid w:val="00E6386D"/>
    <w:rsid w:val="00E641E4"/>
    <w:rsid w:val="00E64465"/>
    <w:rsid w:val="00E64661"/>
    <w:rsid w:val="00E6480D"/>
    <w:rsid w:val="00E64AFC"/>
    <w:rsid w:val="00E64B29"/>
    <w:rsid w:val="00E6539A"/>
    <w:rsid w:val="00E655C5"/>
    <w:rsid w:val="00E65B10"/>
    <w:rsid w:val="00E66338"/>
    <w:rsid w:val="00E66474"/>
    <w:rsid w:val="00E667F7"/>
    <w:rsid w:val="00E66D61"/>
    <w:rsid w:val="00E66E30"/>
    <w:rsid w:val="00E6763F"/>
    <w:rsid w:val="00E677A9"/>
    <w:rsid w:val="00E679FA"/>
    <w:rsid w:val="00E67B5C"/>
    <w:rsid w:val="00E67EBF"/>
    <w:rsid w:val="00E67FC9"/>
    <w:rsid w:val="00E704E8"/>
    <w:rsid w:val="00E70E0E"/>
    <w:rsid w:val="00E70E5F"/>
    <w:rsid w:val="00E71367"/>
    <w:rsid w:val="00E71589"/>
    <w:rsid w:val="00E72A50"/>
    <w:rsid w:val="00E72E01"/>
    <w:rsid w:val="00E72FB4"/>
    <w:rsid w:val="00E7321E"/>
    <w:rsid w:val="00E732AE"/>
    <w:rsid w:val="00E732B3"/>
    <w:rsid w:val="00E73B3C"/>
    <w:rsid w:val="00E73B90"/>
    <w:rsid w:val="00E73C7E"/>
    <w:rsid w:val="00E73D73"/>
    <w:rsid w:val="00E740C5"/>
    <w:rsid w:val="00E74365"/>
    <w:rsid w:val="00E745BD"/>
    <w:rsid w:val="00E747BC"/>
    <w:rsid w:val="00E74B00"/>
    <w:rsid w:val="00E74EE7"/>
    <w:rsid w:val="00E7617C"/>
    <w:rsid w:val="00E761ED"/>
    <w:rsid w:val="00E763C1"/>
    <w:rsid w:val="00E76578"/>
    <w:rsid w:val="00E775D8"/>
    <w:rsid w:val="00E7761A"/>
    <w:rsid w:val="00E778EE"/>
    <w:rsid w:val="00E778F1"/>
    <w:rsid w:val="00E77B6C"/>
    <w:rsid w:val="00E80499"/>
    <w:rsid w:val="00E80AF4"/>
    <w:rsid w:val="00E81112"/>
    <w:rsid w:val="00E8116A"/>
    <w:rsid w:val="00E8168B"/>
    <w:rsid w:val="00E816BE"/>
    <w:rsid w:val="00E817CC"/>
    <w:rsid w:val="00E8194D"/>
    <w:rsid w:val="00E82238"/>
    <w:rsid w:val="00E8285B"/>
    <w:rsid w:val="00E8357C"/>
    <w:rsid w:val="00E83882"/>
    <w:rsid w:val="00E83BCD"/>
    <w:rsid w:val="00E83BDF"/>
    <w:rsid w:val="00E843D7"/>
    <w:rsid w:val="00E84BAD"/>
    <w:rsid w:val="00E84CF4"/>
    <w:rsid w:val="00E84EDC"/>
    <w:rsid w:val="00E8509A"/>
    <w:rsid w:val="00E850C1"/>
    <w:rsid w:val="00E85410"/>
    <w:rsid w:val="00E85839"/>
    <w:rsid w:val="00E8588E"/>
    <w:rsid w:val="00E859C9"/>
    <w:rsid w:val="00E86030"/>
    <w:rsid w:val="00E86269"/>
    <w:rsid w:val="00E86325"/>
    <w:rsid w:val="00E86D0F"/>
    <w:rsid w:val="00E87376"/>
    <w:rsid w:val="00E876C8"/>
    <w:rsid w:val="00E87E32"/>
    <w:rsid w:val="00E904F4"/>
    <w:rsid w:val="00E906E1"/>
    <w:rsid w:val="00E90FB7"/>
    <w:rsid w:val="00E9146F"/>
    <w:rsid w:val="00E9193B"/>
    <w:rsid w:val="00E91CDC"/>
    <w:rsid w:val="00E9210F"/>
    <w:rsid w:val="00E922F7"/>
    <w:rsid w:val="00E928BC"/>
    <w:rsid w:val="00E92AD6"/>
    <w:rsid w:val="00E92BD0"/>
    <w:rsid w:val="00E92CBC"/>
    <w:rsid w:val="00E92CE6"/>
    <w:rsid w:val="00E93087"/>
    <w:rsid w:val="00E93383"/>
    <w:rsid w:val="00E93590"/>
    <w:rsid w:val="00E93721"/>
    <w:rsid w:val="00E93B28"/>
    <w:rsid w:val="00E94502"/>
    <w:rsid w:val="00E94666"/>
    <w:rsid w:val="00E953FF"/>
    <w:rsid w:val="00E95BF7"/>
    <w:rsid w:val="00E9653E"/>
    <w:rsid w:val="00E96F14"/>
    <w:rsid w:val="00E97698"/>
    <w:rsid w:val="00E9771F"/>
    <w:rsid w:val="00EA011A"/>
    <w:rsid w:val="00EA0336"/>
    <w:rsid w:val="00EA0522"/>
    <w:rsid w:val="00EA0630"/>
    <w:rsid w:val="00EA0788"/>
    <w:rsid w:val="00EA079D"/>
    <w:rsid w:val="00EA0832"/>
    <w:rsid w:val="00EA0D95"/>
    <w:rsid w:val="00EA0F71"/>
    <w:rsid w:val="00EA143A"/>
    <w:rsid w:val="00EA175A"/>
    <w:rsid w:val="00EA1836"/>
    <w:rsid w:val="00EA1CCE"/>
    <w:rsid w:val="00EA2330"/>
    <w:rsid w:val="00EA241C"/>
    <w:rsid w:val="00EA2534"/>
    <w:rsid w:val="00EA2548"/>
    <w:rsid w:val="00EA2837"/>
    <w:rsid w:val="00EA2951"/>
    <w:rsid w:val="00EA340B"/>
    <w:rsid w:val="00EA3440"/>
    <w:rsid w:val="00EA354E"/>
    <w:rsid w:val="00EA370A"/>
    <w:rsid w:val="00EA39A7"/>
    <w:rsid w:val="00EA3BA2"/>
    <w:rsid w:val="00EA3D96"/>
    <w:rsid w:val="00EA3E19"/>
    <w:rsid w:val="00EA3F72"/>
    <w:rsid w:val="00EA4002"/>
    <w:rsid w:val="00EA45F1"/>
    <w:rsid w:val="00EA4981"/>
    <w:rsid w:val="00EA4A00"/>
    <w:rsid w:val="00EA4D27"/>
    <w:rsid w:val="00EA5177"/>
    <w:rsid w:val="00EA58AF"/>
    <w:rsid w:val="00EA5C7A"/>
    <w:rsid w:val="00EA6484"/>
    <w:rsid w:val="00EA66A3"/>
    <w:rsid w:val="00EA69AF"/>
    <w:rsid w:val="00EA7167"/>
    <w:rsid w:val="00EA74F0"/>
    <w:rsid w:val="00EA76DC"/>
    <w:rsid w:val="00EA7BE2"/>
    <w:rsid w:val="00EB0157"/>
    <w:rsid w:val="00EB06F8"/>
    <w:rsid w:val="00EB09CB"/>
    <w:rsid w:val="00EB1107"/>
    <w:rsid w:val="00EB1654"/>
    <w:rsid w:val="00EB1E20"/>
    <w:rsid w:val="00EB1F01"/>
    <w:rsid w:val="00EB1FD1"/>
    <w:rsid w:val="00EB2420"/>
    <w:rsid w:val="00EB2EAD"/>
    <w:rsid w:val="00EB2F3B"/>
    <w:rsid w:val="00EB3E15"/>
    <w:rsid w:val="00EB3F70"/>
    <w:rsid w:val="00EB43AF"/>
    <w:rsid w:val="00EB44CC"/>
    <w:rsid w:val="00EB45B8"/>
    <w:rsid w:val="00EB50AD"/>
    <w:rsid w:val="00EB50B1"/>
    <w:rsid w:val="00EB5198"/>
    <w:rsid w:val="00EB56F4"/>
    <w:rsid w:val="00EB5C19"/>
    <w:rsid w:val="00EB604D"/>
    <w:rsid w:val="00EB6280"/>
    <w:rsid w:val="00EB6B1C"/>
    <w:rsid w:val="00EB6BBD"/>
    <w:rsid w:val="00EB6DDC"/>
    <w:rsid w:val="00EB6E92"/>
    <w:rsid w:val="00EB7016"/>
    <w:rsid w:val="00EB77E8"/>
    <w:rsid w:val="00EB7E58"/>
    <w:rsid w:val="00EB7EDA"/>
    <w:rsid w:val="00EB7FDF"/>
    <w:rsid w:val="00EC021B"/>
    <w:rsid w:val="00EC0295"/>
    <w:rsid w:val="00EC166A"/>
    <w:rsid w:val="00EC1B31"/>
    <w:rsid w:val="00EC1CD1"/>
    <w:rsid w:val="00EC203E"/>
    <w:rsid w:val="00EC2259"/>
    <w:rsid w:val="00EC2450"/>
    <w:rsid w:val="00EC26E8"/>
    <w:rsid w:val="00EC2973"/>
    <w:rsid w:val="00EC2B13"/>
    <w:rsid w:val="00EC2D06"/>
    <w:rsid w:val="00EC2DCE"/>
    <w:rsid w:val="00EC303C"/>
    <w:rsid w:val="00EC345E"/>
    <w:rsid w:val="00EC3937"/>
    <w:rsid w:val="00EC3AF4"/>
    <w:rsid w:val="00EC4262"/>
    <w:rsid w:val="00EC43D3"/>
    <w:rsid w:val="00EC4468"/>
    <w:rsid w:val="00EC4513"/>
    <w:rsid w:val="00EC457E"/>
    <w:rsid w:val="00EC4602"/>
    <w:rsid w:val="00EC4654"/>
    <w:rsid w:val="00EC46C9"/>
    <w:rsid w:val="00EC479E"/>
    <w:rsid w:val="00EC4986"/>
    <w:rsid w:val="00EC4A98"/>
    <w:rsid w:val="00EC4DF3"/>
    <w:rsid w:val="00EC4EED"/>
    <w:rsid w:val="00EC4F49"/>
    <w:rsid w:val="00EC5298"/>
    <w:rsid w:val="00EC544C"/>
    <w:rsid w:val="00EC6536"/>
    <w:rsid w:val="00EC6699"/>
    <w:rsid w:val="00EC6707"/>
    <w:rsid w:val="00EC7095"/>
    <w:rsid w:val="00EC7584"/>
    <w:rsid w:val="00EC771C"/>
    <w:rsid w:val="00EC77FA"/>
    <w:rsid w:val="00EC7937"/>
    <w:rsid w:val="00EC795D"/>
    <w:rsid w:val="00EC7968"/>
    <w:rsid w:val="00EC7C0B"/>
    <w:rsid w:val="00EC7C88"/>
    <w:rsid w:val="00EC7EA9"/>
    <w:rsid w:val="00ED016B"/>
    <w:rsid w:val="00ED04A4"/>
    <w:rsid w:val="00ED052B"/>
    <w:rsid w:val="00ED0974"/>
    <w:rsid w:val="00ED1215"/>
    <w:rsid w:val="00ED13B0"/>
    <w:rsid w:val="00ED1487"/>
    <w:rsid w:val="00ED15C8"/>
    <w:rsid w:val="00ED15CE"/>
    <w:rsid w:val="00ED1699"/>
    <w:rsid w:val="00ED1890"/>
    <w:rsid w:val="00ED2296"/>
    <w:rsid w:val="00ED22BD"/>
    <w:rsid w:val="00ED22D4"/>
    <w:rsid w:val="00ED247F"/>
    <w:rsid w:val="00ED24CB"/>
    <w:rsid w:val="00ED255F"/>
    <w:rsid w:val="00ED274F"/>
    <w:rsid w:val="00ED2A6C"/>
    <w:rsid w:val="00ED2B57"/>
    <w:rsid w:val="00ED2B82"/>
    <w:rsid w:val="00ED2BBF"/>
    <w:rsid w:val="00ED30AB"/>
    <w:rsid w:val="00ED31F2"/>
    <w:rsid w:val="00ED3900"/>
    <w:rsid w:val="00ED3917"/>
    <w:rsid w:val="00ED3994"/>
    <w:rsid w:val="00ED3E4C"/>
    <w:rsid w:val="00ED420A"/>
    <w:rsid w:val="00ED49D6"/>
    <w:rsid w:val="00ED5077"/>
    <w:rsid w:val="00ED5126"/>
    <w:rsid w:val="00ED5300"/>
    <w:rsid w:val="00ED56B3"/>
    <w:rsid w:val="00ED596F"/>
    <w:rsid w:val="00ED5CBE"/>
    <w:rsid w:val="00ED625D"/>
    <w:rsid w:val="00ED6267"/>
    <w:rsid w:val="00ED676B"/>
    <w:rsid w:val="00ED67E0"/>
    <w:rsid w:val="00ED6D68"/>
    <w:rsid w:val="00ED6EC0"/>
    <w:rsid w:val="00ED7206"/>
    <w:rsid w:val="00ED7720"/>
    <w:rsid w:val="00ED78C0"/>
    <w:rsid w:val="00ED7D83"/>
    <w:rsid w:val="00ED7F06"/>
    <w:rsid w:val="00EE003C"/>
    <w:rsid w:val="00EE0A05"/>
    <w:rsid w:val="00EE0B9C"/>
    <w:rsid w:val="00EE0C25"/>
    <w:rsid w:val="00EE0F24"/>
    <w:rsid w:val="00EE13BE"/>
    <w:rsid w:val="00EE14A9"/>
    <w:rsid w:val="00EE1A50"/>
    <w:rsid w:val="00EE1FFB"/>
    <w:rsid w:val="00EE2024"/>
    <w:rsid w:val="00EE203D"/>
    <w:rsid w:val="00EE2B04"/>
    <w:rsid w:val="00EE31DF"/>
    <w:rsid w:val="00EE3305"/>
    <w:rsid w:val="00EE3436"/>
    <w:rsid w:val="00EE3897"/>
    <w:rsid w:val="00EE38A0"/>
    <w:rsid w:val="00EE3EED"/>
    <w:rsid w:val="00EE3F5A"/>
    <w:rsid w:val="00EE4190"/>
    <w:rsid w:val="00EE44B0"/>
    <w:rsid w:val="00EE484E"/>
    <w:rsid w:val="00EE4991"/>
    <w:rsid w:val="00EE4BE3"/>
    <w:rsid w:val="00EE4E09"/>
    <w:rsid w:val="00EE50FB"/>
    <w:rsid w:val="00EE62D6"/>
    <w:rsid w:val="00EE69FD"/>
    <w:rsid w:val="00EE7336"/>
    <w:rsid w:val="00EE7A36"/>
    <w:rsid w:val="00EE7B12"/>
    <w:rsid w:val="00EE7B24"/>
    <w:rsid w:val="00EE7C15"/>
    <w:rsid w:val="00EE7EED"/>
    <w:rsid w:val="00EF002F"/>
    <w:rsid w:val="00EF021F"/>
    <w:rsid w:val="00EF02D1"/>
    <w:rsid w:val="00EF0342"/>
    <w:rsid w:val="00EF0496"/>
    <w:rsid w:val="00EF0534"/>
    <w:rsid w:val="00EF0662"/>
    <w:rsid w:val="00EF0827"/>
    <w:rsid w:val="00EF0856"/>
    <w:rsid w:val="00EF0BBB"/>
    <w:rsid w:val="00EF1311"/>
    <w:rsid w:val="00EF1D11"/>
    <w:rsid w:val="00EF1D1E"/>
    <w:rsid w:val="00EF23AF"/>
    <w:rsid w:val="00EF2658"/>
    <w:rsid w:val="00EF276B"/>
    <w:rsid w:val="00EF2898"/>
    <w:rsid w:val="00EF356E"/>
    <w:rsid w:val="00EF43CC"/>
    <w:rsid w:val="00EF52BC"/>
    <w:rsid w:val="00EF539C"/>
    <w:rsid w:val="00EF5650"/>
    <w:rsid w:val="00EF5730"/>
    <w:rsid w:val="00EF5E09"/>
    <w:rsid w:val="00EF5EA9"/>
    <w:rsid w:val="00EF6E02"/>
    <w:rsid w:val="00EF7126"/>
    <w:rsid w:val="00EF72E3"/>
    <w:rsid w:val="00EF78E8"/>
    <w:rsid w:val="00EF7B4A"/>
    <w:rsid w:val="00EF7BD9"/>
    <w:rsid w:val="00F002D7"/>
    <w:rsid w:val="00F0060B"/>
    <w:rsid w:val="00F00AD6"/>
    <w:rsid w:val="00F00F5E"/>
    <w:rsid w:val="00F01216"/>
    <w:rsid w:val="00F012EA"/>
    <w:rsid w:val="00F012F2"/>
    <w:rsid w:val="00F01757"/>
    <w:rsid w:val="00F01C7A"/>
    <w:rsid w:val="00F0200E"/>
    <w:rsid w:val="00F023AC"/>
    <w:rsid w:val="00F02455"/>
    <w:rsid w:val="00F02EE1"/>
    <w:rsid w:val="00F031B7"/>
    <w:rsid w:val="00F0324E"/>
    <w:rsid w:val="00F03BD1"/>
    <w:rsid w:val="00F03ED7"/>
    <w:rsid w:val="00F040CE"/>
    <w:rsid w:val="00F046A0"/>
    <w:rsid w:val="00F04DBC"/>
    <w:rsid w:val="00F05198"/>
    <w:rsid w:val="00F053CF"/>
    <w:rsid w:val="00F0552F"/>
    <w:rsid w:val="00F0557C"/>
    <w:rsid w:val="00F05D19"/>
    <w:rsid w:val="00F0605D"/>
    <w:rsid w:val="00F06268"/>
    <w:rsid w:val="00F062C3"/>
    <w:rsid w:val="00F0645E"/>
    <w:rsid w:val="00F06B63"/>
    <w:rsid w:val="00F07607"/>
    <w:rsid w:val="00F101E1"/>
    <w:rsid w:val="00F1032F"/>
    <w:rsid w:val="00F104CA"/>
    <w:rsid w:val="00F1089E"/>
    <w:rsid w:val="00F11067"/>
    <w:rsid w:val="00F1129E"/>
    <w:rsid w:val="00F119BE"/>
    <w:rsid w:val="00F11A6A"/>
    <w:rsid w:val="00F122F7"/>
    <w:rsid w:val="00F124D4"/>
    <w:rsid w:val="00F126C3"/>
    <w:rsid w:val="00F12856"/>
    <w:rsid w:val="00F12D3F"/>
    <w:rsid w:val="00F12E3F"/>
    <w:rsid w:val="00F12E69"/>
    <w:rsid w:val="00F1396A"/>
    <w:rsid w:val="00F13AEA"/>
    <w:rsid w:val="00F140D6"/>
    <w:rsid w:val="00F1465D"/>
    <w:rsid w:val="00F146A9"/>
    <w:rsid w:val="00F14C4C"/>
    <w:rsid w:val="00F14C9B"/>
    <w:rsid w:val="00F14E54"/>
    <w:rsid w:val="00F14FB3"/>
    <w:rsid w:val="00F1534B"/>
    <w:rsid w:val="00F15493"/>
    <w:rsid w:val="00F1640F"/>
    <w:rsid w:val="00F1649C"/>
    <w:rsid w:val="00F1658C"/>
    <w:rsid w:val="00F165ED"/>
    <w:rsid w:val="00F16720"/>
    <w:rsid w:val="00F167E7"/>
    <w:rsid w:val="00F16817"/>
    <w:rsid w:val="00F16C4B"/>
    <w:rsid w:val="00F17B7F"/>
    <w:rsid w:val="00F17B85"/>
    <w:rsid w:val="00F202E0"/>
    <w:rsid w:val="00F20413"/>
    <w:rsid w:val="00F2070D"/>
    <w:rsid w:val="00F207FA"/>
    <w:rsid w:val="00F2111B"/>
    <w:rsid w:val="00F2184C"/>
    <w:rsid w:val="00F21922"/>
    <w:rsid w:val="00F22372"/>
    <w:rsid w:val="00F228D8"/>
    <w:rsid w:val="00F22D98"/>
    <w:rsid w:val="00F22DD4"/>
    <w:rsid w:val="00F23158"/>
    <w:rsid w:val="00F23A6F"/>
    <w:rsid w:val="00F23C24"/>
    <w:rsid w:val="00F23CB3"/>
    <w:rsid w:val="00F23E56"/>
    <w:rsid w:val="00F24676"/>
    <w:rsid w:val="00F248AC"/>
    <w:rsid w:val="00F2537B"/>
    <w:rsid w:val="00F255A0"/>
    <w:rsid w:val="00F25AF6"/>
    <w:rsid w:val="00F25C8B"/>
    <w:rsid w:val="00F2629B"/>
    <w:rsid w:val="00F2711A"/>
    <w:rsid w:val="00F30A04"/>
    <w:rsid w:val="00F30BBC"/>
    <w:rsid w:val="00F30C9B"/>
    <w:rsid w:val="00F3152C"/>
    <w:rsid w:val="00F316D0"/>
    <w:rsid w:val="00F31A06"/>
    <w:rsid w:val="00F32086"/>
    <w:rsid w:val="00F32669"/>
    <w:rsid w:val="00F32ACC"/>
    <w:rsid w:val="00F32BD9"/>
    <w:rsid w:val="00F32ED9"/>
    <w:rsid w:val="00F32F16"/>
    <w:rsid w:val="00F33135"/>
    <w:rsid w:val="00F33706"/>
    <w:rsid w:val="00F33938"/>
    <w:rsid w:val="00F3413E"/>
    <w:rsid w:val="00F341C2"/>
    <w:rsid w:val="00F34223"/>
    <w:rsid w:val="00F345EA"/>
    <w:rsid w:val="00F34D07"/>
    <w:rsid w:val="00F34F59"/>
    <w:rsid w:val="00F3518F"/>
    <w:rsid w:val="00F355DA"/>
    <w:rsid w:val="00F35663"/>
    <w:rsid w:val="00F35CA9"/>
    <w:rsid w:val="00F35D01"/>
    <w:rsid w:val="00F3632E"/>
    <w:rsid w:val="00F3657C"/>
    <w:rsid w:val="00F3687E"/>
    <w:rsid w:val="00F36954"/>
    <w:rsid w:val="00F36B03"/>
    <w:rsid w:val="00F370A6"/>
    <w:rsid w:val="00F3723D"/>
    <w:rsid w:val="00F373AE"/>
    <w:rsid w:val="00F37982"/>
    <w:rsid w:val="00F379C9"/>
    <w:rsid w:val="00F37ED1"/>
    <w:rsid w:val="00F37F44"/>
    <w:rsid w:val="00F400BE"/>
    <w:rsid w:val="00F4021D"/>
    <w:rsid w:val="00F40410"/>
    <w:rsid w:val="00F40AB4"/>
    <w:rsid w:val="00F41025"/>
    <w:rsid w:val="00F412ED"/>
    <w:rsid w:val="00F416C3"/>
    <w:rsid w:val="00F41712"/>
    <w:rsid w:val="00F4195A"/>
    <w:rsid w:val="00F41CDF"/>
    <w:rsid w:val="00F41E05"/>
    <w:rsid w:val="00F42C42"/>
    <w:rsid w:val="00F42CD5"/>
    <w:rsid w:val="00F42D1E"/>
    <w:rsid w:val="00F42E5C"/>
    <w:rsid w:val="00F433ED"/>
    <w:rsid w:val="00F43752"/>
    <w:rsid w:val="00F437CD"/>
    <w:rsid w:val="00F43B20"/>
    <w:rsid w:val="00F43BD9"/>
    <w:rsid w:val="00F442A2"/>
    <w:rsid w:val="00F442D8"/>
    <w:rsid w:val="00F44385"/>
    <w:rsid w:val="00F44764"/>
    <w:rsid w:val="00F44C43"/>
    <w:rsid w:val="00F44D23"/>
    <w:rsid w:val="00F44E6A"/>
    <w:rsid w:val="00F45057"/>
    <w:rsid w:val="00F457B9"/>
    <w:rsid w:val="00F459A8"/>
    <w:rsid w:val="00F45A74"/>
    <w:rsid w:val="00F46046"/>
    <w:rsid w:val="00F4664D"/>
    <w:rsid w:val="00F46BA0"/>
    <w:rsid w:val="00F46D40"/>
    <w:rsid w:val="00F47178"/>
    <w:rsid w:val="00F471B3"/>
    <w:rsid w:val="00F47693"/>
    <w:rsid w:val="00F47841"/>
    <w:rsid w:val="00F47F86"/>
    <w:rsid w:val="00F5068A"/>
    <w:rsid w:val="00F5087C"/>
    <w:rsid w:val="00F508CA"/>
    <w:rsid w:val="00F50D37"/>
    <w:rsid w:val="00F511D5"/>
    <w:rsid w:val="00F51831"/>
    <w:rsid w:val="00F51E5E"/>
    <w:rsid w:val="00F51F50"/>
    <w:rsid w:val="00F52176"/>
    <w:rsid w:val="00F5226C"/>
    <w:rsid w:val="00F52851"/>
    <w:rsid w:val="00F528CB"/>
    <w:rsid w:val="00F52943"/>
    <w:rsid w:val="00F529BB"/>
    <w:rsid w:val="00F52B77"/>
    <w:rsid w:val="00F53071"/>
    <w:rsid w:val="00F53350"/>
    <w:rsid w:val="00F53C4E"/>
    <w:rsid w:val="00F54322"/>
    <w:rsid w:val="00F5438F"/>
    <w:rsid w:val="00F54929"/>
    <w:rsid w:val="00F54999"/>
    <w:rsid w:val="00F54BAD"/>
    <w:rsid w:val="00F54F50"/>
    <w:rsid w:val="00F54FAE"/>
    <w:rsid w:val="00F5502E"/>
    <w:rsid w:val="00F552A0"/>
    <w:rsid w:val="00F555D1"/>
    <w:rsid w:val="00F55FA7"/>
    <w:rsid w:val="00F55FC1"/>
    <w:rsid w:val="00F56111"/>
    <w:rsid w:val="00F569B9"/>
    <w:rsid w:val="00F56BC9"/>
    <w:rsid w:val="00F57054"/>
    <w:rsid w:val="00F5754E"/>
    <w:rsid w:val="00F60B3A"/>
    <w:rsid w:val="00F60BA6"/>
    <w:rsid w:val="00F61193"/>
    <w:rsid w:val="00F6140F"/>
    <w:rsid w:val="00F6149D"/>
    <w:rsid w:val="00F614F3"/>
    <w:rsid w:val="00F6172C"/>
    <w:rsid w:val="00F61AEC"/>
    <w:rsid w:val="00F61D8B"/>
    <w:rsid w:val="00F6247C"/>
    <w:rsid w:val="00F6263B"/>
    <w:rsid w:val="00F629C0"/>
    <w:rsid w:val="00F62D44"/>
    <w:rsid w:val="00F62F50"/>
    <w:rsid w:val="00F62FD4"/>
    <w:rsid w:val="00F634AF"/>
    <w:rsid w:val="00F636B3"/>
    <w:rsid w:val="00F636B5"/>
    <w:rsid w:val="00F636BF"/>
    <w:rsid w:val="00F638B5"/>
    <w:rsid w:val="00F63F3E"/>
    <w:rsid w:val="00F643B8"/>
    <w:rsid w:val="00F64864"/>
    <w:rsid w:val="00F64D2D"/>
    <w:rsid w:val="00F64D95"/>
    <w:rsid w:val="00F65333"/>
    <w:rsid w:val="00F65369"/>
    <w:rsid w:val="00F653C3"/>
    <w:rsid w:val="00F653E7"/>
    <w:rsid w:val="00F65443"/>
    <w:rsid w:val="00F65AFB"/>
    <w:rsid w:val="00F65C85"/>
    <w:rsid w:val="00F65E12"/>
    <w:rsid w:val="00F65E72"/>
    <w:rsid w:val="00F6610D"/>
    <w:rsid w:val="00F66213"/>
    <w:rsid w:val="00F6656B"/>
    <w:rsid w:val="00F667EC"/>
    <w:rsid w:val="00F66850"/>
    <w:rsid w:val="00F66C9F"/>
    <w:rsid w:val="00F675C3"/>
    <w:rsid w:val="00F67F0C"/>
    <w:rsid w:val="00F67F2E"/>
    <w:rsid w:val="00F7033E"/>
    <w:rsid w:val="00F70631"/>
    <w:rsid w:val="00F70841"/>
    <w:rsid w:val="00F70D53"/>
    <w:rsid w:val="00F70F4E"/>
    <w:rsid w:val="00F71112"/>
    <w:rsid w:val="00F7117F"/>
    <w:rsid w:val="00F71509"/>
    <w:rsid w:val="00F718DD"/>
    <w:rsid w:val="00F71D57"/>
    <w:rsid w:val="00F71FF9"/>
    <w:rsid w:val="00F7211F"/>
    <w:rsid w:val="00F721A8"/>
    <w:rsid w:val="00F72538"/>
    <w:rsid w:val="00F727D7"/>
    <w:rsid w:val="00F72D44"/>
    <w:rsid w:val="00F72E2C"/>
    <w:rsid w:val="00F7308D"/>
    <w:rsid w:val="00F732EF"/>
    <w:rsid w:val="00F73B58"/>
    <w:rsid w:val="00F73B70"/>
    <w:rsid w:val="00F73D3F"/>
    <w:rsid w:val="00F73E8C"/>
    <w:rsid w:val="00F73F12"/>
    <w:rsid w:val="00F744BC"/>
    <w:rsid w:val="00F7454C"/>
    <w:rsid w:val="00F74579"/>
    <w:rsid w:val="00F74726"/>
    <w:rsid w:val="00F74B95"/>
    <w:rsid w:val="00F7503B"/>
    <w:rsid w:val="00F75283"/>
    <w:rsid w:val="00F758A4"/>
    <w:rsid w:val="00F75F14"/>
    <w:rsid w:val="00F763D5"/>
    <w:rsid w:val="00F7660A"/>
    <w:rsid w:val="00F76EA4"/>
    <w:rsid w:val="00F77359"/>
    <w:rsid w:val="00F777C1"/>
    <w:rsid w:val="00F77B5D"/>
    <w:rsid w:val="00F80A98"/>
    <w:rsid w:val="00F816D1"/>
    <w:rsid w:val="00F826EB"/>
    <w:rsid w:val="00F82ED1"/>
    <w:rsid w:val="00F83144"/>
    <w:rsid w:val="00F83487"/>
    <w:rsid w:val="00F8365C"/>
    <w:rsid w:val="00F83A0E"/>
    <w:rsid w:val="00F83D2B"/>
    <w:rsid w:val="00F84206"/>
    <w:rsid w:val="00F84491"/>
    <w:rsid w:val="00F8461E"/>
    <w:rsid w:val="00F84A2E"/>
    <w:rsid w:val="00F84DBB"/>
    <w:rsid w:val="00F853B5"/>
    <w:rsid w:val="00F854E3"/>
    <w:rsid w:val="00F856DC"/>
    <w:rsid w:val="00F85741"/>
    <w:rsid w:val="00F85F75"/>
    <w:rsid w:val="00F86041"/>
    <w:rsid w:val="00F864AE"/>
    <w:rsid w:val="00F8656E"/>
    <w:rsid w:val="00F8666C"/>
    <w:rsid w:val="00F8669A"/>
    <w:rsid w:val="00F86900"/>
    <w:rsid w:val="00F86AE1"/>
    <w:rsid w:val="00F86FBD"/>
    <w:rsid w:val="00F870B0"/>
    <w:rsid w:val="00F8770A"/>
    <w:rsid w:val="00F879A4"/>
    <w:rsid w:val="00F87A13"/>
    <w:rsid w:val="00F87B1B"/>
    <w:rsid w:val="00F90264"/>
    <w:rsid w:val="00F905FD"/>
    <w:rsid w:val="00F9076D"/>
    <w:rsid w:val="00F90DF3"/>
    <w:rsid w:val="00F90F32"/>
    <w:rsid w:val="00F9138D"/>
    <w:rsid w:val="00F9166A"/>
    <w:rsid w:val="00F91D41"/>
    <w:rsid w:val="00F92459"/>
    <w:rsid w:val="00F92737"/>
    <w:rsid w:val="00F9299E"/>
    <w:rsid w:val="00F92DCB"/>
    <w:rsid w:val="00F92E14"/>
    <w:rsid w:val="00F92E6F"/>
    <w:rsid w:val="00F92EEA"/>
    <w:rsid w:val="00F92FD6"/>
    <w:rsid w:val="00F930B6"/>
    <w:rsid w:val="00F933B4"/>
    <w:rsid w:val="00F933E0"/>
    <w:rsid w:val="00F93412"/>
    <w:rsid w:val="00F938F8"/>
    <w:rsid w:val="00F942EF"/>
    <w:rsid w:val="00F9497D"/>
    <w:rsid w:val="00F94DF4"/>
    <w:rsid w:val="00F94E90"/>
    <w:rsid w:val="00F952F2"/>
    <w:rsid w:val="00F95706"/>
    <w:rsid w:val="00F95F1D"/>
    <w:rsid w:val="00F9607E"/>
    <w:rsid w:val="00F9674E"/>
    <w:rsid w:val="00F96891"/>
    <w:rsid w:val="00F969B8"/>
    <w:rsid w:val="00F96A48"/>
    <w:rsid w:val="00F96E96"/>
    <w:rsid w:val="00F97034"/>
    <w:rsid w:val="00F97050"/>
    <w:rsid w:val="00F970E6"/>
    <w:rsid w:val="00F975F5"/>
    <w:rsid w:val="00F97D12"/>
    <w:rsid w:val="00F97D8A"/>
    <w:rsid w:val="00FA0258"/>
    <w:rsid w:val="00FA0262"/>
    <w:rsid w:val="00FA0478"/>
    <w:rsid w:val="00FA0A63"/>
    <w:rsid w:val="00FA10C7"/>
    <w:rsid w:val="00FA11B6"/>
    <w:rsid w:val="00FA162C"/>
    <w:rsid w:val="00FA1BFB"/>
    <w:rsid w:val="00FA24DE"/>
    <w:rsid w:val="00FA25C5"/>
    <w:rsid w:val="00FA28F0"/>
    <w:rsid w:val="00FA2A53"/>
    <w:rsid w:val="00FA2B64"/>
    <w:rsid w:val="00FA35FA"/>
    <w:rsid w:val="00FA3614"/>
    <w:rsid w:val="00FA3BF0"/>
    <w:rsid w:val="00FA3D7C"/>
    <w:rsid w:val="00FA402E"/>
    <w:rsid w:val="00FA4899"/>
    <w:rsid w:val="00FA4C72"/>
    <w:rsid w:val="00FA4EEB"/>
    <w:rsid w:val="00FA5034"/>
    <w:rsid w:val="00FA555B"/>
    <w:rsid w:val="00FA5B0E"/>
    <w:rsid w:val="00FA649B"/>
    <w:rsid w:val="00FA6A8C"/>
    <w:rsid w:val="00FA6CF6"/>
    <w:rsid w:val="00FA6D3A"/>
    <w:rsid w:val="00FA70CD"/>
    <w:rsid w:val="00FA7526"/>
    <w:rsid w:val="00FA769B"/>
    <w:rsid w:val="00FA7A3C"/>
    <w:rsid w:val="00FA7B3B"/>
    <w:rsid w:val="00FA7ED8"/>
    <w:rsid w:val="00FA7FB5"/>
    <w:rsid w:val="00FB0338"/>
    <w:rsid w:val="00FB037C"/>
    <w:rsid w:val="00FB0640"/>
    <w:rsid w:val="00FB06F2"/>
    <w:rsid w:val="00FB120D"/>
    <w:rsid w:val="00FB133F"/>
    <w:rsid w:val="00FB18C2"/>
    <w:rsid w:val="00FB1981"/>
    <w:rsid w:val="00FB1A61"/>
    <w:rsid w:val="00FB1AD2"/>
    <w:rsid w:val="00FB1BBF"/>
    <w:rsid w:val="00FB1C6C"/>
    <w:rsid w:val="00FB1CEB"/>
    <w:rsid w:val="00FB1FA1"/>
    <w:rsid w:val="00FB24BF"/>
    <w:rsid w:val="00FB24F4"/>
    <w:rsid w:val="00FB2D86"/>
    <w:rsid w:val="00FB2E37"/>
    <w:rsid w:val="00FB2FD6"/>
    <w:rsid w:val="00FB348A"/>
    <w:rsid w:val="00FB38E7"/>
    <w:rsid w:val="00FB3F0F"/>
    <w:rsid w:val="00FB3FFC"/>
    <w:rsid w:val="00FB41C6"/>
    <w:rsid w:val="00FB41D8"/>
    <w:rsid w:val="00FB4467"/>
    <w:rsid w:val="00FB46FD"/>
    <w:rsid w:val="00FB4739"/>
    <w:rsid w:val="00FB49C8"/>
    <w:rsid w:val="00FB4A33"/>
    <w:rsid w:val="00FB4BBE"/>
    <w:rsid w:val="00FB50CD"/>
    <w:rsid w:val="00FB512A"/>
    <w:rsid w:val="00FB521E"/>
    <w:rsid w:val="00FB523E"/>
    <w:rsid w:val="00FB5374"/>
    <w:rsid w:val="00FB55BA"/>
    <w:rsid w:val="00FB55FE"/>
    <w:rsid w:val="00FB5913"/>
    <w:rsid w:val="00FB627E"/>
    <w:rsid w:val="00FB664E"/>
    <w:rsid w:val="00FB683A"/>
    <w:rsid w:val="00FB685A"/>
    <w:rsid w:val="00FB699B"/>
    <w:rsid w:val="00FB6AD9"/>
    <w:rsid w:val="00FB706A"/>
    <w:rsid w:val="00FB70A3"/>
    <w:rsid w:val="00FC0027"/>
    <w:rsid w:val="00FC05E0"/>
    <w:rsid w:val="00FC0C54"/>
    <w:rsid w:val="00FC0D40"/>
    <w:rsid w:val="00FC1397"/>
    <w:rsid w:val="00FC13EF"/>
    <w:rsid w:val="00FC1517"/>
    <w:rsid w:val="00FC193E"/>
    <w:rsid w:val="00FC1C9E"/>
    <w:rsid w:val="00FC1CCB"/>
    <w:rsid w:val="00FC1DE5"/>
    <w:rsid w:val="00FC1E1B"/>
    <w:rsid w:val="00FC23BC"/>
    <w:rsid w:val="00FC24F7"/>
    <w:rsid w:val="00FC2505"/>
    <w:rsid w:val="00FC29DF"/>
    <w:rsid w:val="00FC2BF4"/>
    <w:rsid w:val="00FC2CFC"/>
    <w:rsid w:val="00FC2F00"/>
    <w:rsid w:val="00FC333C"/>
    <w:rsid w:val="00FC3798"/>
    <w:rsid w:val="00FC3ED0"/>
    <w:rsid w:val="00FC4249"/>
    <w:rsid w:val="00FC4305"/>
    <w:rsid w:val="00FC4969"/>
    <w:rsid w:val="00FC5250"/>
    <w:rsid w:val="00FC56C9"/>
    <w:rsid w:val="00FC5D36"/>
    <w:rsid w:val="00FC5FAC"/>
    <w:rsid w:val="00FC60BE"/>
    <w:rsid w:val="00FC61D8"/>
    <w:rsid w:val="00FC621F"/>
    <w:rsid w:val="00FC62E4"/>
    <w:rsid w:val="00FC654E"/>
    <w:rsid w:val="00FC67FD"/>
    <w:rsid w:val="00FC695C"/>
    <w:rsid w:val="00FC6DA3"/>
    <w:rsid w:val="00FC6E0B"/>
    <w:rsid w:val="00FC7E08"/>
    <w:rsid w:val="00FD04D9"/>
    <w:rsid w:val="00FD066E"/>
    <w:rsid w:val="00FD0751"/>
    <w:rsid w:val="00FD07C3"/>
    <w:rsid w:val="00FD0F48"/>
    <w:rsid w:val="00FD0F49"/>
    <w:rsid w:val="00FD106D"/>
    <w:rsid w:val="00FD1AE3"/>
    <w:rsid w:val="00FD1AFA"/>
    <w:rsid w:val="00FD2265"/>
    <w:rsid w:val="00FD266A"/>
    <w:rsid w:val="00FD2767"/>
    <w:rsid w:val="00FD2E3A"/>
    <w:rsid w:val="00FD2F46"/>
    <w:rsid w:val="00FD2FC8"/>
    <w:rsid w:val="00FD33F8"/>
    <w:rsid w:val="00FD3620"/>
    <w:rsid w:val="00FD36AC"/>
    <w:rsid w:val="00FD38D0"/>
    <w:rsid w:val="00FD3B29"/>
    <w:rsid w:val="00FD3D3E"/>
    <w:rsid w:val="00FD401F"/>
    <w:rsid w:val="00FD45D1"/>
    <w:rsid w:val="00FD46BD"/>
    <w:rsid w:val="00FD4991"/>
    <w:rsid w:val="00FD4F43"/>
    <w:rsid w:val="00FD51DB"/>
    <w:rsid w:val="00FD52CF"/>
    <w:rsid w:val="00FD5CA3"/>
    <w:rsid w:val="00FD5E29"/>
    <w:rsid w:val="00FD67EC"/>
    <w:rsid w:val="00FD6D0A"/>
    <w:rsid w:val="00FD7B7A"/>
    <w:rsid w:val="00FE00D6"/>
    <w:rsid w:val="00FE01E5"/>
    <w:rsid w:val="00FE0209"/>
    <w:rsid w:val="00FE0501"/>
    <w:rsid w:val="00FE0591"/>
    <w:rsid w:val="00FE0A75"/>
    <w:rsid w:val="00FE0B6C"/>
    <w:rsid w:val="00FE0E2F"/>
    <w:rsid w:val="00FE1513"/>
    <w:rsid w:val="00FE157F"/>
    <w:rsid w:val="00FE230C"/>
    <w:rsid w:val="00FE2651"/>
    <w:rsid w:val="00FE2989"/>
    <w:rsid w:val="00FE2B7D"/>
    <w:rsid w:val="00FE2CB5"/>
    <w:rsid w:val="00FE2D57"/>
    <w:rsid w:val="00FE2E05"/>
    <w:rsid w:val="00FE2F0B"/>
    <w:rsid w:val="00FE3379"/>
    <w:rsid w:val="00FE39EE"/>
    <w:rsid w:val="00FE45ED"/>
    <w:rsid w:val="00FE517F"/>
    <w:rsid w:val="00FE59EB"/>
    <w:rsid w:val="00FE5EBF"/>
    <w:rsid w:val="00FE609C"/>
    <w:rsid w:val="00FE642B"/>
    <w:rsid w:val="00FE66BF"/>
    <w:rsid w:val="00FE66C4"/>
    <w:rsid w:val="00FE6DD5"/>
    <w:rsid w:val="00FF028B"/>
    <w:rsid w:val="00FF039A"/>
    <w:rsid w:val="00FF0446"/>
    <w:rsid w:val="00FF05C7"/>
    <w:rsid w:val="00FF0602"/>
    <w:rsid w:val="00FF09C7"/>
    <w:rsid w:val="00FF0BB6"/>
    <w:rsid w:val="00FF0D60"/>
    <w:rsid w:val="00FF0E06"/>
    <w:rsid w:val="00FF0E6D"/>
    <w:rsid w:val="00FF1113"/>
    <w:rsid w:val="00FF12B2"/>
    <w:rsid w:val="00FF151B"/>
    <w:rsid w:val="00FF157D"/>
    <w:rsid w:val="00FF1862"/>
    <w:rsid w:val="00FF1AEA"/>
    <w:rsid w:val="00FF1B5A"/>
    <w:rsid w:val="00FF1BD0"/>
    <w:rsid w:val="00FF1DCE"/>
    <w:rsid w:val="00FF2267"/>
    <w:rsid w:val="00FF3176"/>
    <w:rsid w:val="00FF36E7"/>
    <w:rsid w:val="00FF3A13"/>
    <w:rsid w:val="00FF4255"/>
    <w:rsid w:val="00FF43FF"/>
    <w:rsid w:val="00FF4AB6"/>
    <w:rsid w:val="00FF4DD3"/>
    <w:rsid w:val="00FF4E8D"/>
    <w:rsid w:val="00FF4EFD"/>
    <w:rsid w:val="00FF4F24"/>
    <w:rsid w:val="00FF512E"/>
    <w:rsid w:val="00FF51AC"/>
    <w:rsid w:val="00FF5209"/>
    <w:rsid w:val="00FF5581"/>
    <w:rsid w:val="00FF573D"/>
    <w:rsid w:val="00FF5758"/>
    <w:rsid w:val="00FF5E90"/>
    <w:rsid w:val="00FF5F87"/>
    <w:rsid w:val="00FF650E"/>
    <w:rsid w:val="00FF66E0"/>
    <w:rsid w:val="00FF6948"/>
    <w:rsid w:val="00FF6D80"/>
    <w:rsid w:val="00FF7185"/>
    <w:rsid w:val="00FF71DB"/>
    <w:rsid w:val="00FF761A"/>
    <w:rsid w:val="00FF7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E5523"/>
  <w15:docId w15:val="{13065543-7229-4595-9EAB-C8DC490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26D0"/>
    <w:rPr>
      <w:rFonts w:ascii="Verdana" w:hAnsi="Verdana"/>
      <w:sz w:val="16"/>
      <w:szCs w:val="24"/>
    </w:rPr>
  </w:style>
  <w:style w:type="paragraph" w:styleId="Nagwek1">
    <w:name w:val="heading 1"/>
    <w:basedOn w:val="Normalny"/>
    <w:next w:val="Normalny"/>
    <w:uiPriority w:val="99"/>
    <w:qFormat/>
    <w:rsid w:val="00275F84"/>
    <w:pPr>
      <w:keepNext/>
      <w:numPr>
        <w:numId w:val="13"/>
      </w:numPr>
      <w:outlineLvl w:val="0"/>
    </w:pPr>
    <w:rPr>
      <w:rFonts w:eastAsia="MS Mincho"/>
    </w:rPr>
  </w:style>
  <w:style w:type="paragraph" w:styleId="Nagwek2">
    <w:name w:val="heading 2"/>
    <w:basedOn w:val="Normalny"/>
    <w:next w:val="Normalny"/>
    <w:link w:val="Nagwek2Znak"/>
    <w:uiPriority w:val="99"/>
    <w:qFormat/>
    <w:rsid w:val="00AB2629"/>
    <w:pPr>
      <w:keepNext/>
      <w:numPr>
        <w:ilvl w:val="1"/>
        <w:numId w:val="13"/>
      </w:numPr>
      <w:spacing w:before="240" w:after="60"/>
      <w:outlineLvl w:val="1"/>
    </w:pPr>
    <w:rPr>
      <w:rFonts w:cs="Arial"/>
      <w:b/>
      <w:bCs/>
      <w:iCs/>
      <w:sz w:val="20"/>
      <w:szCs w:val="28"/>
    </w:rPr>
  </w:style>
  <w:style w:type="paragraph" w:styleId="Nagwek3">
    <w:name w:val="heading 3"/>
    <w:basedOn w:val="Normalny"/>
    <w:next w:val="Normalny"/>
    <w:uiPriority w:val="99"/>
    <w:qFormat/>
    <w:rsid w:val="00270146"/>
    <w:pPr>
      <w:keepNext/>
      <w:numPr>
        <w:ilvl w:val="2"/>
        <w:numId w:val="13"/>
      </w:numPr>
      <w:spacing w:before="240" w:after="60"/>
      <w:outlineLvl w:val="2"/>
    </w:pPr>
    <w:rPr>
      <w:rFonts w:cs="Arial"/>
      <w:b/>
      <w:bCs/>
      <w:szCs w:val="26"/>
    </w:rPr>
  </w:style>
  <w:style w:type="paragraph" w:styleId="Nagwek4">
    <w:name w:val="heading 4"/>
    <w:basedOn w:val="Normalny"/>
    <w:next w:val="Normalny"/>
    <w:uiPriority w:val="99"/>
    <w:qFormat/>
    <w:rsid w:val="00275F84"/>
    <w:pPr>
      <w:keepNext/>
      <w:numPr>
        <w:ilvl w:val="3"/>
        <w:numId w:val="13"/>
      </w:numPr>
      <w:spacing w:before="240" w:after="60"/>
      <w:outlineLvl w:val="3"/>
    </w:pPr>
    <w:rPr>
      <w:b/>
      <w:bCs/>
      <w:sz w:val="18"/>
      <w:szCs w:val="28"/>
    </w:rPr>
  </w:style>
  <w:style w:type="paragraph" w:styleId="Nagwek5">
    <w:name w:val="heading 5"/>
    <w:basedOn w:val="Normalny"/>
    <w:next w:val="Normalny"/>
    <w:qFormat/>
    <w:rsid w:val="00AB2629"/>
    <w:pPr>
      <w:numPr>
        <w:ilvl w:val="4"/>
        <w:numId w:val="13"/>
      </w:numPr>
      <w:spacing w:before="240" w:after="60"/>
      <w:outlineLvl w:val="4"/>
    </w:pPr>
    <w:rPr>
      <w:bCs/>
      <w:iCs/>
      <w:szCs w:val="26"/>
    </w:rPr>
  </w:style>
  <w:style w:type="paragraph" w:styleId="Nagwek6">
    <w:name w:val="heading 6"/>
    <w:basedOn w:val="Normalny"/>
    <w:next w:val="Normalny"/>
    <w:link w:val="Nagwek6Znak"/>
    <w:qFormat/>
    <w:rsid w:val="00270146"/>
    <w:pPr>
      <w:numPr>
        <w:ilvl w:val="5"/>
        <w:numId w:val="13"/>
      </w:numPr>
      <w:spacing w:before="240" w:after="60"/>
      <w:outlineLvl w:val="5"/>
    </w:pPr>
    <w:rPr>
      <w:b/>
      <w:bCs/>
      <w:sz w:val="18"/>
      <w:szCs w:val="22"/>
    </w:rPr>
  </w:style>
  <w:style w:type="paragraph" w:styleId="Nagwek7">
    <w:name w:val="heading 7"/>
    <w:basedOn w:val="Normalny"/>
    <w:next w:val="Normalny"/>
    <w:qFormat/>
    <w:rsid w:val="00275F84"/>
    <w:pPr>
      <w:numPr>
        <w:ilvl w:val="6"/>
        <w:numId w:val="13"/>
      </w:numPr>
      <w:spacing w:before="240" w:after="60"/>
      <w:outlineLvl w:val="6"/>
    </w:pPr>
    <w:rPr>
      <w:sz w:val="20"/>
    </w:rPr>
  </w:style>
  <w:style w:type="paragraph" w:styleId="Nagwek8">
    <w:name w:val="heading 8"/>
    <w:basedOn w:val="Normalny"/>
    <w:next w:val="Normalny"/>
    <w:qFormat/>
    <w:rsid w:val="00AB2629"/>
    <w:pPr>
      <w:numPr>
        <w:ilvl w:val="7"/>
        <w:numId w:val="13"/>
      </w:numPr>
      <w:spacing w:before="240" w:after="60"/>
      <w:outlineLvl w:val="7"/>
    </w:pPr>
    <w:rPr>
      <w:iCs/>
    </w:rPr>
  </w:style>
  <w:style w:type="paragraph" w:styleId="Nagwek9">
    <w:name w:val="heading 9"/>
    <w:basedOn w:val="Normalny"/>
    <w:next w:val="Normalny"/>
    <w:qFormat/>
    <w:rsid w:val="00270146"/>
    <w:pPr>
      <w:numPr>
        <w:ilvl w:val="8"/>
        <w:numId w:val="13"/>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B2629"/>
    <w:rPr>
      <w:b/>
      <w:spacing w:val="-6"/>
      <w:sz w:val="20"/>
      <w:szCs w:val="20"/>
    </w:rPr>
  </w:style>
  <w:style w:type="paragraph" w:styleId="Tekstpodstawowywcity">
    <w:name w:val="Body Text Indent"/>
    <w:basedOn w:val="Normalny"/>
    <w:rsid w:val="00270146"/>
    <w:pPr>
      <w:ind w:left="567" w:hanging="567"/>
    </w:pPr>
    <w:rPr>
      <w:szCs w:val="20"/>
    </w:rPr>
  </w:style>
  <w:style w:type="table" w:styleId="Tabela-Siatka">
    <w:name w:val="Table Grid"/>
    <w:basedOn w:val="Standardowy"/>
    <w:rsid w:val="00275F8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270146"/>
    <w:pPr>
      <w:tabs>
        <w:tab w:val="center" w:pos="4536"/>
        <w:tab w:val="right" w:pos="9072"/>
      </w:tabs>
    </w:pPr>
  </w:style>
  <w:style w:type="paragraph" w:styleId="Tekstpodstawowywcity3">
    <w:name w:val="Body Text Indent 3"/>
    <w:basedOn w:val="Normalny"/>
    <w:rsid w:val="00270146"/>
    <w:pPr>
      <w:spacing w:after="120"/>
      <w:ind w:left="283"/>
    </w:pPr>
    <w:rPr>
      <w:szCs w:val="16"/>
    </w:rPr>
  </w:style>
  <w:style w:type="paragraph" w:styleId="Tekstpodstawowy">
    <w:name w:val="Body Text"/>
    <w:basedOn w:val="Normalny"/>
    <w:link w:val="TekstpodstawowyZnak"/>
    <w:uiPriority w:val="99"/>
    <w:rsid w:val="007B7E1C"/>
    <w:pPr>
      <w:spacing w:after="120"/>
    </w:pPr>
    <w:rPr>
      <w:spacing w:val="-4"/>
      <w:szCs w:val="16"/>
    </w:rPr>
  </w:style>
  <w:style w:type="character" w:customStyle="1" w:styleId="TekstpodstawowyZnak">
    <w:name w:val="Tekst podstawowy Znak"/>
    <w:link w:val="Tekstpodstawowy"/>
    <w:uiPriority w:val="99"/>
    <w:rsid w:val="007B7E1C"/>
    <w:rPr>
      <w:rFonts w:ascii="Verdana" w:hAnsi="Verdana"/>
      <w:spacing w:val="-4"/>
      <w:sz w:val="16"/>
      <w:szCs w:val="16"/>
      <w:lang w:val="pl-PL" w:eastAsia="pl-PL" w:bidi="ar-SA"/>
    </w:rPr>
  </w:style>
  <w:style w:type="character" w:styleId="Numerstrony">
    <w:name w:val="page number"/>
    <w:rsid w:val="00270146"/>
    <w:rPr>
      <w:rFonts w:ascii="Verdana" w:hAnsi="Verdana"/>
      <w:sz w:val="16"/>
    </w:rPr>
  </w:style>
  <w:style w:type="character" w:styleId="Odwoaniedokomentarza">
    <w:name w:val="annotation reference"/>
    <w:rsid w:val="00826DC7"/>
    <w:rPr>
      <w:sz w:val="16"/>
      <w:szCs w:val="16"/>
    </w:rPr>
  </w:style>
  <w:style w:type="paragraph" w:styleId="Tekstkomentarza">
    <w:name w:val="annotation text"/>
    <w:basedOn w:val="Normalny"/>
    <w:link w:val="TekstkomentarzaZnak"/>
    <w:uiPriority w:val="99"/>
    <w:rsid w:val="00826DC7"/>
    <w:rPr>
      <w:sz w:val="20"/>
      <w:szCs w:val="20"/>
    </w:rPr>
  </w:style>
  <w:style w:type="character" w:styleId="Uwydatnienie">
    <w:name w:val="Emphasis"/>
    <w:qFormat/>
    <w:rsid w:val="00270146"/>
    <w:rPr>
      <w:rFonts w:ascii="Verdana" w:hAnsi="Verdana"/>
      <w:i/>
      <w:iCs/>
    </w:rPr>
  </w:style>
  <w:style w:type="paragraph" w:styleId="Tekstpodstawowywcity2">
    <w:name w:val="Body Text Indent 2"/>
    <w:basedOn w:val="Normalny"/>
    <w:rsid w:val="00231518"/>
    <w:pPr>
      <w:spacing w:after="120" w:line="480" w:lineRule="auto"/>
      <w:ind w:left="283"/>
    </w:pPr>
  </w:style>
  <w:style w:type="character" w:styleId="Hipercze">
    <w:name w:val="Hyperlink"/>
    <w:uiPriority w:val="99"/>
    <w:rsid w:val="00294189"/>
    <w:rPr>
      <w:rFonts w:ascii="Verdana" w:hAnsi="Verdana"/>
      <w:color w:val="0000FF"/>
      <w:u w:val="single"/>
    </w:rPr>
  </w:style>
  <w:style w:type="character" w:customStyle="1" w:styleId="TekstkomentarzaZnak">
    <w:name w:val="Tekst komentarza Znak"/>
    <w:link w:val="Tekstkomentarza"/>
    <w:uiPriority w:val="99"/>
    <w:rsid w:val="00826DC7"/>
    <w:rPr>
      <w:lang w:val="pl-PL" w:eastAsia="pl-PL" w:bidi="ar-SA"/>
    </w:rPr>
  </w:style>
  <w:style w:type="paragraph" w:styleId="Tekstdymka">
    <w:name w:val="Balloon Text"/>
    <w:basedOn w:val="Normalny"/>
    <w:link w:val="TekstdymkaZnak"/>
    <w:semiHidden/>
    <w:rsid w:val="00826DC7"/>
    <w:rPr>
      <w:rFonts w:ascii="Tahoma" w:hAnsi="Tahoma" w:cs="Tahoma"/>
      <w:szCs w:val="16"/>
    </w:rPr>
  </w:style>
  <w:style w:type="paragraph" w:styleId="Tematkomentarza">
    <w:name w:val="annotation subject"/>
    <w:basedOn w:val="Tekstkomentarza"/>
    <w:next w:val="Tekstkomentarza"/>
    <w:link w:val="TematkomentarzaZnak"/>
    <w:uiPriority w:val="99"/>
    <w:semiHidden/>
    <w:rsid w:val="00FC3798"/>
    <w:rPr>
      <w:b/>
      <w:bCs/>
    </w:rPr>
  </w:style>
  <w:style w:type="paragraph" w:styleId="Tekstprzypisukocowego">
    <w:name w:val="endnote text"/>
    <w:basedOn w:val="Normalny"/>
    <w:semiHidden/>
    <w:rsid w:val="00F207FA"/>
    <w:rPr>
      <w:sz w:val="20"/>
      <w:szCs w:val="20"/>
    </w:rPr>
  </w:style>
  <w:style w:type="character" w:styleId="Odwoanieprzypisukocowego">
    <w:name w:val="endnote reference"/>
    <w:semiHidden/>
    <w:rsid w:val="00F207FA"/>
    <w:rPr>
      <w:vertAlign w:val="superscript"/>
    </w:rPr>
  </w:style>
  <w:style w:type="paragraph" w:styleId="Tekstpodstawowy2">
    <w:name w:val="Body Text 2"/>
    <w:basedOn w:val="Normalny"/>
    <w:rsid w:val="00231518"/>
    <w:pPr>
      <w:spacing w:after="120" w:line="480" w:lineRule="auto"/>
    </w:pPr>
  </w:style>
  <w:style w:type="character" w:styleId="Odwoanieprzypisudolnego">
    <w:name w:val="footnote reference"/>
    <w:semiHidden/>
    <w:rsid w:val="00181F7A"/>
    <w:rPr>
      <w:vertAlign w:val="superscript"/>
    </w:rPr>
  </w:style>
  <w:style w:type="paragraph" w:styleId="Tekstprzypisudolnego">
    <w:name w:val="footnote text"/>
    <w:basedOn w:val="Normalny"/>
    <w:link w:val="TekstprzypisudolnegoZnak"/>
    <w:semiHidden/>
    <w:rsid w:val="007B7E1C"/>
    <w:pPr>
      <w:widowControl w:val="0"/>
      <w:autoSpaceDE w:val="0"/>
      <w:autoSpaceDN w:val="0"/>
    </w:pPr>
    <w:rPr>
      <w:spacing w:val="-2"/>
      <w:sz w:val="12"/>
      <w:szCs w:val="12"/>
      <w:lang w:val="fi-FI"/>
    </w:rPr>
  </w:style>
  <w:style w:type="character" w:styleId="Pogrubienie">
    <w:name w:val="Strong"/>
    <w:uiPriority w:val="22"/>
    <w:qFormat/>
    <w:rsid w:val="00275F84"/>
    <w:rPr>
      <w:rFonts w:ascii="Verdana" w:hAnsi="Verdana"/>
      <w:b/>
      <w:bCs/>
    </w:rPr>
  </w:style>
  <w:style w:type="paragraph" w:styleId="Adresnakopercie">
    <w:name w:val="envelope address"/>
    <w:basedOn w:val="Normalny"/>
    <w:rsid w:val="00294189"/>
    <w:pPr>
      <w:framePr w:w="7920" w:h="1980" w:hRule="exact" w:hSpace="141" w:wrap="auto" w:hAnchor="page" w:xAlign="center" w:yAlign="bottom"/>
      <w:ind w:left="2880"/>
    </w:pPr>
    <w:rPr>
      <w:rFonts w:cs="Arial"/>
      <w:sz w:val="24"/>
    </w:rPr>
  </w:style>
  <w:style w:type="paragraph" w:styleId="Nagwek">
    <w:name w:val="header"/>
    <w:basedOn w:val="Normalny"/>
    <w:link w:val="NagwekZnak"/>
    <w:uiPriority w:val="99"/>
    <w:rsid w:val="00451C6D"/>
    <w:pPr>
      <w:tabs>
        <w:tab w:val="center" w:pos="4536"/>
        <w:tab w:val="right" w:pos="9498"/>
      </w:tabs>
    </w:pPr>
    <w:rPr>
      <w:szCs w:val="16"/>
    </w:rPr>
  </w:style>
  <w:style w:type="character" w:customStyle="1" w:styleId="TekstprzypisudolnegoZnak">
    <w:name w:val="Tekst przypisu dolnego Znak"/>
    <w:link w:val="Tekstprzypisudolnego"/>
    <w:rsid w:val="007B7E1C"/>
    <w:rPr>
      <w:rFonts w:ascii="Verdana" w:hAnsi="Verdana"/>
      <w:spacing w:val="-2"/>
      <w:sz w:val="12"/>
      <w:szCs w:val="12"/>
      <w:lang w:val="fi-FI" w:eastAsia="pl-PL" w:bidi="ar-SA"/>
    </w:rPr>
  </w:style>
  <w:style w:type="paragraph" w:customStyle="1" w:styleId="Kolorowecieniowanieakcent11">
    <w:name w:val="Kolorowe cieniowanie — akcent 11"/>
    <w:hidden/>
    <w:uiPriority w:val="99"/>
    <w:semiHidden/>
    <w:rsid w:val="00B206AC"/>
    <w:rPr>
      <w:sz w:val="24"/>
      <w:szCs w:val="24"/>
    </w:rPr>
  </w:style>
  <w:style w:type="character" w:customStyle="1" w:styleId="NagwekZnak">
    <w:name w:val="Nagłówek Znak"/>
    <w:link w:val="Nagwek"/>
    <w:uiPriority w:val="99"/>
    <w:rsid w:val="00451C6D"/>
    <w:rPr>
      <w:rFonts w:ascii="Verdana" w:hAnsi="Verdana"/>
      <w:sz w:val="16"/>
      <w:szCs w:val="16"/>
    </w:rPr>
  </w:style>
  <w:style w:type="table" w:styleId="Tabela-Prosty1">
    <w:name w:val="Table Simple 1"/>
    <w:basedOn w:val="Standardowy"/>
    <w:rsid w:val="00275F84"/>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anumerowana">
    <w:name w:val="List Number"/>
    <w:basedOn w:val="Normalny"/>
    <w:rsid w:val="00275F84"/>
    <w:pPr>
      <w:numPr>
        <w:numId w:val="1"/>
      </w:numPr>
    </w:pPr>
  </w:style>
  <w:style w:type="paragraph" w:styleId="Listanumerowana4">
    <w:name w:val="List Number 4"/>
    <w:basedOn w:val="Normalny"/>
    <w:rsid w:val="00275F84"/>
    <w:pPr>
      <w:numPr>
        <w:numId w:val="4"/>
      </w:numPr>
    </w:pPr>
  </w:style>
  <w:style w:type="paragraph" w:styleId="Listapunktowana2">
    <w:name w:val="List Bullet 2"/>
    <w:basedOn w:val="Normalny"/>
    <w:rsid w:val="00275F84"/>
    <w:pPr>
      <w:numPr>
        <w:numId w:val="7"/>
      </w:numPr>
    </w:pPr>
  </w:style>
  <w:style w:type="paragraph" w:styleId="Listapunktowana5">
    <w:name w:val="List Bullet 5"/>
    <w:basedOn w:val="Normalny"/>
    <w:rsid w:val="00275F84"/>
    <w:pPr>
      <w:numPr>
        <w:numId w:val="10"/>
      </w:numPr>
    </w:pPr>
  </w:style>
  <w:style w:type="paragraph" w:styleId="Nagweknotatki">
    <w:name w:val="Note Heading"/>
    <w:basedOn w:val="Normalny"/>
    <w:next w:val="Normalny"/>
    <w:rsid w:val="00275F84"/>
  </w:style>
  <w:style w:type="paragraph" w:styleId="NormalnyWeb">
    <w:name w:val="Normal (Web)"/>
    <w:basedOn w:val="Normalny"/>
    <w:rsid w:val="00275F84"/>
  </w:style>
  <w:style w:type="paragraph" w:styleId="Podpis">
    <w:name w:val="Signature"/>
    <w:basedOn w:val="Normalny"/>
    <w:rsid w:val="00275F84"/>
    <w:pPr>
      <w:ind w:left="4252"/>
    </w:pPr>
    <w:rPr>
      <w:sz w:val="20"/>
    </w:rPr>
  </w:style>
  <w:style w:type="table" w:styleId="Tabela-Delikatny2">
    <w:name w:val="Table Subtle 2"/>
    <w:basedOn w:val="Standardowy"/>
    <w:rsid w:val="00275F84"/>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rsid w:val="00275F84"/>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275F84"/>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275F84"/>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umnowy1">
    <w:name w:val="Table Columns 1"/>
    <w:basedOn w:val="Standardowy"/>
    <w:rsid w:val="00275F84"/>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4">
    <w:name w:val="Table Columns 4"/>
    <w:basedOn w:val="Standardowy"/>
    <w:rsid w:val="00275F84"/>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Lista2">
    <w:name w:val="Table List 2"/>
    <w:basedOn w:val="Standardowy"/>
    <w:rsid w:val="00275F84"/>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3">
    <w:name w:val="Table Grid 3"/>
    <w:basedOn w:val="Standardowy"/>
    <w:rsid w:val="00231518"/>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Lista5">
    <w:name w:val="Table List 5"/>
    <w:aliases w:val="ve"/>
    <w:basedOn w:val="Standardowy"/>
    <w:rsid w:val="00275F84"/>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8">
    <w:name w:val="Table List 8"/>
    <w:basedOn w:val="Standardowy"/>
    <w:rsid w:val="00275F84"/>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ieWeb1">
    <w:name w:val="Table Web 1"/>
    <w:basedOn w:val="Standardowy"/>
    <w:rsid w:val="00231518"/>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atka6">
    <w:name w:val="Table Grid 6"/>
    <w:basedOn w:val="Standardowy"/>
    <w:rsid w:val="00231518"/>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Wspczesny">
    <w:name w:val="Table Contemporary"/>
    <w:basedOn w:val="Standardowy"/>
    <w:rsid w:val="00231518"/>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podstawowyzwciciem2">
    <w:name w:val="Body Text First Indent 2"/>
    <w:basedOn w:val="Tekstpodstawowywcity"/>
    <w:rsid w:val="00231518"/>
    <w:pPr>
      <w:spacing w:after="120"/>
      <w:ind w:left="283" w:firstLine="210"/>
    </w:pPr>
    <w:rPr>
      <w:szCs w:val="24"/>
    </w:rPr>
  </w:style>
  <w:style w:type="character" w:styleId="UyteHipercze">
    <w:name w:val="FollowedHyperlink"/>
    <w:rsid w:val="00231518"/>
    <w:rPr>
      <w:rFonts w:ascii="Verdana" w:hAnsi="Verdana"/>
      <w:color w:val="800080"/>
      <w:u w:val="single"/>
    </w:rPr>
  </w:style>
  <w:style w:type="paragraph" w:styleId="Listanumerowana2">
    <w:name w:val="List Number 2"/>
    <w:basedOn w:val="Normalny"/>
    <w:rsid w:val="00270146"/>
    <w:pPr>
      <w:numPr>
        <w:numId w:val="2"/>
      </w:numPr>
    </w:pPr>
  </w:style>
  <w:style w:type="paragraph" w:styleId="Listanumerowana5">
    <w:name w:val="List Number 5"/>
    <w:basedOn w:val="Normalny"/>
    <w:rsid w:val="00270146"/>
    <w:pPr>
      <w:numPr>
        <w:numId w:val="5"/>
      </w:numPr>
    </w:pPr>
  </w:style>
  <w:style w:type="paragraph" w:styleId="Listapunktowana3">
    <w:name w:val="List Bullet 3"/>
    <w:basedOn w:val="Normalny"/>
    <w:rsid w:val="00270146"/>
    <w:pPr>
      <w:numPr>
        <w:numId w:val="8"/>
      </w:numPr>
    </w:pPr>
  </w:style>
  <w:style w:type="paragraph" w:styleId="Nagwekwiadomoci">
    <w:name w:val="Message Header"/>
    <w:basedOn w:val="Normalny"/>
    <w:rsid w:val="002701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0"/>
    </w:rPr>
  </w:style>
  <w:style w:type="paragraph" w:styleId="Podpise-mail">
    <w:name w:val="E-mail Signature"/>
    <w:basedOn w:val="Normalny"/>
    <w:rsid w:val="00270146"/>
  </w:style>
  <w:style w:type="table" w:styleId="Tabela-Efekty3D1">
    <w:name w:val="Table 3D effects 1"/>
    <w:basedOn w:val="Standardowy"/>
    <w:rsid w:val="00270146"/>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legancki">
    <w:name w:val="Table Elegant"/>
    <w:basedOn w:val="Standardowy"/>
    <w:rsid w:val="00270146"/>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3">
    <w:name w:val="Table Classic 3"/>
    <w:basedOn w:val="Standardowy"/>
    <w:rsid w:val="00270146"/>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olorowy2">
    <w:name w:val="Table Colorful 2"/>
    <w:basedOn w:val="Standardowy"/>
    <w:rsid w:val="00270146"/>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umnowy2">
    <w:name w:val="Table Columns 2"/>
    <w:basedOn w:val="Standardowy"/>
    <w:rsid w:val="00270146"/>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5">
    <w:name w:val="Table Columns 5"/>
    <w:basedOn w:val="Standardowy"/>
    <w:rsid w:val="00270146"/>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3">
    <w:name w:val="Table List 3"/>
    <w:basedOn w:val="Standardowy"/>
    <w:rsid w:val="00270146"/>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6">
    <w:name w:val="Table List 6"/>
    <w:basedOn w:val="Standardowy"/>
    <w:rsid w:val="00270146"/>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Motyw">
    <w:name w:val="Table Theme"/>
    <w:basedOn w:val="Standardowy"/>
    <w:rsid w:val="0027014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270146"/>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atka1">
    <w:name w:val="Table Grid 1"/>
    <w:basedOn w:val="Standardowy"/>
    <w:rsid w:val="00270146"/>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7">
    <w:name w:val="Table Grid 7"/>
    <w:basedOn w:val="Standardowy"/>
    <w:rsid w:val="00270146"/>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4">
    <w:name w:val="Table Grid 4"/>
    <w:basedOn w:val="Standardowy"/>
    <w:rsid w:val="00270146"/>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ekstblokowy">
    <w:name w:val="Block Text"/>
    <w:basedOn w:val="Normalny"/>
    <w:rsid w:val="00270146"/>
    <w:pPr>
      <w:spacing w:after="120"/>
      <w:ind w:left="1440" w:right="1440"/>
    </w:pPr>
    <w:rPr>
      <w:sz w:val="20"/>
    </w:rPr>
  </w:style>
  <w:style w:type="paragraph" w:styleId="Tekstpodstawowy3">
    <w:name w:val="Body Text 3"/>
    <w:basedOn w:val="Normalny"/>
    <w:link w:val="Tekstpodstawowy3Znak"/>
    <w:uiPriority w:val="99"/>
    <w:rsid w:val="00270146"/>
    <w:pPr>
      <w:spacing w:after="120"/>
    </w:pPr>
    <w:rPr>
      <w:szCs w:val="16"/>
    </w:rPr>
  </w:style>
  <w:style w:type="paragraph" w:styleId="Wcicienormalne">
    <w:name w:val="Normal Indent"/>
    <w:basedOn w:val="Normalny"/>
    <w:rsid w:val="00270146"/>
    <w:pPr>
      <w:ind w:left="708"/>
    </w:pPr>
    <w:rPr>
      <w:sz w:val="20"/>
    </w:rPr>
  </w:style>
  <w:style w:type="paragraph" w:styleId="Zwykytekst">
    <w:name w:val="Plain Text"/>
    <w:basedOn w:val="Normalny"/>
    <w:rsid w:val="00270146"/>
    <w:rPr>
      <w:rFonts w:cs="Courier New"/>
      <w:szCs w:val="20"/>
    </w:rPr>
  </w:style>
  <w:style w:type="paragraph" w:styleId="Listanumerowana3">
    <w:name w:val="List Number 3"/>
    <w:basedOn w:val="Normalny"/>
    <w:rsid w:val="00270146"/>
    <w:pPr>
      <w:numPr>
        <w:numId w:val="3"/>
      </w:numPr>
    </w:pPr>
  </w:style>
  <w:style w:type="paragraph" w:styleId="Listapunktowana">
    <w:name w:val="List Bullet"/>
    <w:basedOn w:val="Normalny"/>
    <w:rsid w:val="00270146"/>
    <w:pPr>
      <w:numPr>
        <w:numId w:val="6"/>
      </w:numPr>
    </w:pPr>
  </w:style>
  <w:style w:type="paragraph" w:styleId="Listapunktowana4">
    <w:name w:val="List Bullet 4"/>
    <w:basedOn w:val="Normalny"/>
    <w:rsid w:val="00270146"/>
    <w:pPr>
      <w:numPr>
        <w:numId w:val="9"/>
      </w:numPr>
    </w:pPr>
  </w:style>
  <w:style w:type="character" w:styleId="Numerwiersza">
    <w:name w:val="line number"/>
    <w:rsid w:val="00270146"/>
    <w:rPr>
      <w:rFonts w:ascii="Verdana" w:hAnsi="Verdana"/>
    </w:rPr>
  </w:style>
  <w:style w:type="paragraph" w:styleId="Podtytu">
    <w:name w:val="Subtitle"/>
    <w:basedOn w:val="Normalny"/>
    <w:qFormat/>
    <w:rsid w:val="00270146"/>
    <w:pPr>
      <w:spacing w:after="60"/>
      <w:jc w:val="center"/>
      <w:outlineLvl w:val="1"/>
    </w:pPr>
    <w:rPr>
      <w:rFonts w:cs="Arial"/>
      <w:sz w:val="18"/>
    </w:rPr>
  </w:style>
  <w:style w:type="table" w:styleId="Tabela-Delikatny1">
    <w:name w:val="Table Subtle 1"/>
    <w:basedOn w:val="Standardowy"/>
    <w:rsid w:val="00270146"/>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270146"/>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4">
    <w:name w:val="Table Classic 4"/>
    <w:basedOn w:val="Standardowy"/>
    <w:rsid w:val="00270146"/>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umnowy3">
    <w:name w:val="Table Columns 3"/>
    <w:basedOn w:val="Standardowy"/>
    <w:rsid w:val="00270146"/>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Lista1">
    <w:name w:val="Table List 1"/>
    <w:basedOn w:val="Standardowy"/>
    <w:rsid w:val="00270146"/>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4">
    <w:name w:val="Table List 4"/>
    <w:basedOn w:val="Standardowy"/>
    <w:rsid w:val="00270146"/>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7">
    <w:name w:val="Table List 7"/>
    <w:basedOn w:val="Standardowy"/>
    <w:rsid w:val="00270146"/>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Profesjonalny">
    <w:name w:val="Table Professional"/>
    <w:basedOn w:val="Standardowy"/>
    <w:rsid w:val="00270146"/>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3">
    <w:name w:val="Table Simple 3"/>
    <w:basedOn w:val="Standardowy"/>
    <w:rsid w:val="00270146"/>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2">
    <w:name w:val="Table Grid 2"/>
    <w:basedOn w:val="Standardowy"/>
    <w:rsid w:val="00270146"/>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5">
    <w:name w:val="Table Grid 5"/>
    <w:basedOn w:val="Standardowy"/>
    <w:rsid w:val="00270146"/>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270146"/>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3">
    <w:name w:val="Table Web 3"/>
    <w:basedOn w:val="Standardowy"/>
    <w:rsid w:val="00270146"/>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wrotgrzecznociowy">
    <w:name w:val="Salutation"/>
    <w:basedOn w:val="Normalny"/>
    <w:next w:val="Normalny"/>
    <w:rsid w:val="00270146"/>
  </w:style>
  <w:style w:type="numbering" w:styleId="111111">
    <w:name w:val="Outline List 2"/>
    <w:basedOn w:val="Bezlisty"/>
    <w:rsid w:val="00294189"/>
    <w:pPr>
      <w:numPr>
        <w:numId w:val="11"/>
      </w:numPr>
    </w:pPr>
  </w:style>
  <w:style w:type="paragraph" w:styleId="Adreszwrotnynakopercie">
    <w:name w:val="envelope return"/>
    <w:basedOn w:val="Normalny"/>
    <w:rsid w:val="00294189"/>
    <w:rPr>
      <w:rFonts w:cs="Arial"/>
      <w:sz w:val="20"/>
      <w:szCs w:val="20"/>
    </w:rPr>
  </w:style>
  <w:style w:type="character" w:styleId="HTML-cytat">
    <w:name w:val="HTML Cite"/>
    <w:rsid w:val="00294189"/>
    <w:rPr>
      <w:rFonts w:ascii="Verdana" w:hAnsi="Verdana"/>
      <w:i/>
      <w:iCs/>
    </w:rPr>
  </w:style>
  <w:style w:type="character" w:styleId="HTML-kod">
    <w:name w:val="HTML Code"/>
    <w:rsid w:val="00294189"/>
    <w:rPr>
      <w:rFonts w:ascii="Verdana" w:hAnsi="Verdana" w:cs="Courier New"/>
      <w:sz w:val="20"/>
      <w:szCs w:val="20"/>
    </w:rPr>
  </w:style>
  <w:style w:type="paragraph" w:styleId="HTML-wstpniesformatowany">
    <w:name w:val="HTML Preformatted"/>
    <w:basedOn w:val="Normalny"/>
    <w:rsid w:val="00294189"/>
    <w:rPr>
      <w:rFonts w:cs="Courier New"/>
      <w:sz w:val="20"/>
      <w:szCs w:val="20"/>
    </w:rPr>
  </w:style>
  <w:style w:type="numbering" w:styleId="1ai">
    <w:name w:val="Outline List 1"/>
    <w:basedOn w:val="Bezlisty"/>
    <w:rsid w:val="00294189"/>
    <w:pPr>
      <w:numPr>
        <w:numId w:val="12"/>
      </w:numPr>
    </w:pPr>
  </w:style>
  <w:style w:type="numbering" w:styleId="Artykusekcja">
    <w:name w:val="Outline List 3"/>
    <w:basedOn w:val="Bezlisty"/>
    <w:rsid w:val="00294189"/>
    <w:pPr>
      <w:numPr>
        <w:numId w:val="13"/>
      </w:numPr>
    </w:pPr>
  </w:style>
  <w:style w:type="character" w:styleId="HTML-definicja">
    <w:name w:val="HTML Definition"/>
    <w:rsid w:val="00294189"/>
    <w:rPr>
      <w:rFonts w:ascii="Verdana" w:hAnsi="Verdana"/>
      <w:i/>
      <w:iCs/>
    </w:rPr>
  </w:style>
  <w:style w:type="character" w:styleId="HTML-przykad">
    <w:name w:val="HTML Sample"/>
    <w:rsid w:val="00294189"/>
    <w:rPr>
      <w:rFonts w:ascii="Verdana" w:hAnsi="Verdana" w:cs="Courier New"/>
    </w:rPr>
  </w:style>
  <w:style w:type="character" w:styleId="HTML-zmienna">
    <w:name w:val="HTML Variable"/>
    <w:rsid w:val="00294189"/>
    <w:rPr>
      <w:rFonts w:ascii="Verdana" w:hAnsi="Verdana"/>
      <w:i/>
      <w:iCs/>
    </w:rPr>
  </w:style>
  <w:style w:type="character" w:styleId="HTML-akronim">
    <w:name w:val="HTML Acronym"/>
    <w:rsid w:val="00294189"/>
    <w:rPr>
      <w:rFonts w:ascii="Verdana" w:hAnsi="Verdana"/>
    </w:rPr>
  </w:style>
  <w:style w:type="character" w:styleId="HTML-klawiatura">
    <w:name w:val="HTML Keyboard"/>
    <w:rsid w:val="00294189"/>
    <w:rPr>
      <w:rFonts w:ascii="Verdana" w:hAnsi="Verdana" w:cs="Courier New"/>
      <w:sz w:val="20"/>
      <w:szCs w:val="20"/>
    </w:rPr>
  </w:style>
  <w:style w:type="character" w:styleId="HTML-staaszeroko">
    <w:name w:val="HTML Typewriter"/>
    <w:rsid w:val="00294189"/>
    <w:rPr>
      <w:rFonts w:ascii="Verdana" w:hAnsi="Verdana" w:cs="Courier New"/>
      <w:sz w:val="20"/>
      <w:szCs w:val="20"/>
    </w:rPr>
  </w:style>
  <w:style w:type="paragraph" w:styleId="Lista4">
    <w:name w:val="List 4"/>
    <w:basedOn w:val="Normalny"/>
    <w:rsid w:val="00296CA9"/>
    <w:pPr>
      <w:ind w:left="1132" w:hanging="283"/>
    </w:pPr>
  </w:style>
  <w:style w:type="paragraph" w:styleId="Lista">
    <w:name w:val="List"/>
    <w:basedOn w:val="Normalny"/>
    <w:rsid w:val="00296CA9"/>
    <w:pPr>
      <w:ind w:left="283" w:hanging="283"/>
    </w:pPr>
  </w:style>
  <w:style w:type="paragraph" w:styleId="Spistreci3">
    <w:name w:val="toc 3"/>
    <w:basedOn w:val="Normalny"/>
    <w:next w:val="Normalny"/>
    <w:autoRedefine/>
    <w:uiPriority w:val="39"/>
    <w:qFormat/>
    <w:rsid w:val="00416BB0"/>
    <w:pPr>
      <w:tabs>
        <w:tab w:val="left" w:pos="1134"/>
        <w:tab w:val="right" w:leader="dot" w:pos="9571"/>
      </w:tabs>
      <w:spacing w:before="20" w:after="20" w:line="276" w:lineRule="auto"/>
      <w:ind w:left="567"/>
    </w:pPr>
    <w:rPr>
      <w:rFonts w:ascii="Times New Roman" w:hAnsi="Times New Roman"/>
      <w:noProof/>
      <w:szCs w:val="16"/>
    </w:rPr>
  </w:style>
  <w:style w:type="paragraph" w:styleId="Spistreci2">
    <w:name w:val="toc 2"/>
    <w:basedOn w:val="Normalny"/>
    <w:next w:val="Normalny"/>
    <w:autoRedefine/>
    <w:uiPriority w:val="39"/>
    <w:rsid w:val="003973D5"/>
    <w:pPr>
      <w:tabs>
        <w:tab w:val="right" w:leader="dot" w:pos="9571"/>
      </w:tabs>
      <w:spacing w:before="60"/>
      <w:ind w:left="652" w:hanging="493"/>
    </w:pPr>
    <w:rPr>
      <w:rFonts w:cs="Tahoma"/>
      <w:noProof/>
      <w:szCs w:val="16"/>
    </w:rPr>
  </w:style>
  <w:style w:type="paragraph" w:styleId="Akapitzlist">
    <w:name w:val="List Paragraph"/>
    <w:aliases w:val="widoący"/>
    <w:basedOn w:val="Normalny"/>
    <w:link w:val="AkapitzlistZnak"/>
    <w:uiPriority w:val="34"/>
    <w:qFormat/>
    <w:rsid w:val="00AB2629"/>
    <w:pPr>
      <w:ind w:left="720"/>
      <w:contextualSpacing/>
    </w:pPr>
  </w:style>
  <w:style w:type="paragraph" w:styleId="Mapadokumentu">
    <w:name w:val="Document Map"/>
    <w:basedOn w:val="Normalny"/>
    <w:semiHidden/>
    <w:rsid w:val="00B4584D"/>
    <w:pPr>
      <w:shd w:val="clear" w:color="auto" w:fill="000080"/>
    </w:pPr>
    <w:rPr>
      <w:rFonts w:ascii="Tahoma" w:hAnsi="Tahoma" w:cs="Tahoma"/>
      <w:sz w:val="20"/>
      <w:szCs w:val="20"/>
    </w:rPr>
  </w:style>
  <w:style w:type="character" w:customStyle="1" w:styleId="StopkaZnak">
    <w:name w:val="Stopka Znak"/>
    <w:basedOn w:val="Domylnaczcionkaakapitu"/>
    <w:link w:val="Stopka"/>
    <w:uiPriority w:val="99"/>
    <w:rsid w:val="00006FFE"/>
    <w:rPr>
      <w:rFonts w:ascii="Verdana" w:hAnsi="Verdana"/>
      <w:sz w:val="16"/>
      <w:szCs w:val="24"/>
    </w:rPr>
  </w:style>
  <w:style w:type="paragraph" w:customStyle="1" w:styleId="DefaultText">
    <w:name w:val="Default Text"/>
    <w:basedOn w:val="Normalny"/>
    <w:rsid w:val="00E55640"/>
    <w:pPr>
      <w:spacing w:before="72" w:after="72"/>
      <w:jc w:val="both"/>
    </w:pPr>
    <w:rPr>
      <w:rFonts w:ascii="Times New Roman" w:hAnsi="Times New Roman"/>
      <w:sz w:val="22"/>
      <w:szCs w:val="20"/>
      <w:lang w:val="en-GB" w:eastAsia="en-US"/>
    </w:rPr>
  </w:style>
  <w:style w:type="paragraph" w:styleId="Lista2">
    <w:name w:val="List 2"/>
    <w:basedOn w:val="Normalny"/>
    <w:rsid w:val="001A5205"/>
    <w:pPr>
      <w:ind w:left="566" w:hanging="283"/>
      <w:contextualSpacing/>
    </w:pPr>
  </w:style>
  <w:style w:type="paragraph" w:customStyle="1" w:styleId="a-Right-Col-Reg">
    <w:name w:val="a-Right-Col-Reg"/>
    <w:basedOn w:val="Normalny"/>
    <w:rsid w:val="00EB1F01"/>
    <w:pPr>
      <w:spacing w:after="60" w:line="240" w:lineRule="atLeast"/>
    </w:pPr>
    <w:rPr>
      <w:rFonts w:ascii="Arial" w:hAnsi="Arial" w:cs="Arial"/>
      <w:szCs w:val="16"/>
      <w:lang w:val="en-GB" w:eastAsia="en-US"/>
    </w:rPr>
  </w:style>
  <w:style w:type="character" w:customStyle="1" w:styleId="TekstdymkaZnak">
    <w:name w:val="Tekst dymka Znak"/>
    <w:basedOn w:val="Domylnaczcionkaakapitu"/>
    <w:link w:val="Tekstdymka"/>
    <w:semiHidden/>
    <w:locked/>
    <w:rsid w:val="00043EA9"/>
    <w:rPr>
      <w:rFonts w:ascii="Tahoma" w:hAnsi="Tahoma" w:cs="Tahoma"/>
      <w:sz w:val="16"/>
      <w:szCs w:val="16"/>
    </w:rPr>
  </w:style>
  <w:style w:type="paragraph" w:customStyle="1" w:styleId="n">
    <w:name w:val="n"/>
    <w:basedOn w:val="Normalny"/>
    <w:link w:val="nZnak"/>
    <w:rsid w:val="00043EA9"/>
    <w:pPr>
      <w:suppressAutoHyphens/>
      <w:spacing w:before="120"/>
    </w:pPr>
    <w:rPr>
      <w:rFonts w:ascii="Arial" w:hAnsi="Arial" w:cs="Arial"/>
      <w:bCs/>
      <w:sz w:val="22"/>
      <w:szCs w:val="22"/>
      <w:lang w:val="en-US" w:eastAsia="en-US"/>
    </w:rPr>
  </w:style>
  <w:style w:type="character" w:customStyle="1" w:styleId="nZnak">
    <w:name w:val="n Znak"/>
    <w:basedOn w:val="Domylnaczcionkaakapitu"/>
    <w:link w:val="n"/>
    <w:rsid w:val="00043EA9"/>
    <w:rPr>
      <w:rFonts w:ascii="Arial" w:hAnsi="Arial" w:cs="Arial"/>
      <w:bCs/>
      <w:sz w:val="22"/>
      <w:szCs w:val="22"/>
      <w:lang w:val="en-US" w:eastAsia="en-US"/>
    </w:rPr>
  </w:style>
  <w:style w:type="paragraph" w:customStyle="1" w:styleId="Default">
    <w:name w:val="Default"/>
    <w:rsid w:val="000D4913"/>
    <w:pPr>
      <w:autoSpaceDE w:val="0"/>
      <w:autoSpaceDN w:val="0"/>
      <w:adjustRightInd w:val="0"/>
    </w:pPr>
    <w:rPr>
      <w:rFonts w:ascii="Arial" w:hAnsi="Arial" w:cs="Arial"/>
      <w:color w:val="000000"/>
      <w:sz w:val="24"/>
      <w:szCs w:val="24"/>
    </w:rPr>
  </w:style>
  <w:style w:type="paragraph" w:customStyle="1" w:styleId="Notki">
    <w:name w:val="Notki"/>
    <w:rsid w:val="00E10FDA"/>
    <w:pPr>
      <w:spacing w:after="288"/>
    </w:pPr>
    <w:rPr>
      <w:b/>
      <w:bCs/>
      <w:color w:val="000000"/>
      <w:lang w:eastAsia="en-US"/>
    </w:rPr>
  </w:style>
  <w:style w:type="paragraph" w:customStyle="1" w:styleId="BodyText21">
    <w:name w:val="Body Text 21"/>
    <w:basedOn w:val="Normalny"/>
    <w:uiPriority w:val="99"/>
    <w:rsid w:val="00322DFD"/>
    <w:pPr>
      <w:spacing w:line="300" w:lineRule="atLeast"/>
      <w:jc w:val="both"/>
    </w:pPr>
    <w:rPr>
      <w:rFonts w:ascii="Arial" w:hAnsi="Arial" w:cs="Arial"/>
      <w:sz w:val="22"/>
      <w:szCs w:val="22"/>
      <w:lang w:val="de-DE" w:eastAsia="de-DE"/>
    </w:rPr>
  </w:style>
  <w:style w:type="character" w:customStyle="1" w:styleId="Nagwek6Znak">
    <w:name w:val="Nagłówek 6 Znak"/>
    <w:basedOn w:val="Domylnaczcionkaakapitu"/>
    <w:link w:val="Nagwek6"/>
    <w:locked/>
    <w:rsid w:val="00546029"/>
    <w:rPr>
      <w:rFonts w:ascii="Verdana" w:hAnsi="Verdana"/>
      <w:b/>
      <w:bCs/>
      <w:sz w:val="18"/>
      <w:szCs w:val="22"/>
    </w:rPr>
  </w:style>
  <w:style w:type="paragraph" w:customStyle="1" w:styleId="a10">
    <w:name w:val="a10"/>
    <w:basedOn w:val="Normalny"/>
    <w:uiPriority w:val="99"/>
    <w:rsid w:val="00C5656E"/>
    <w:pPr>
      <w:spacing w:before="100" w:beforeAutospacing="1" w:after="100" w:afterAutospacing="1"/>
    </w:pPr>
    <w:rPr>
      <w:rFonts w:ascii="Times New Roman" w:hAnsi="Times New Roman"/>
      <w:sz w:val="24"/>
    </w:rPr>
  </w:style>
  <w:style w:type="paragraph" w:customStyle="1" w:styleId="Akapitzlist2">
    <w:name w:val="Akapit z listą2"/>
    <w:basedOn w:val="Normalny"/>
    <w:rsid w:val="00C5656E"/>
    <w:pPr>
      <w:ind w:left="720"/>
    </w:pPr>
    <w:rPr>
      <w:rFonts w:ascii="Calibri" w:hAnsi="Calibri" w:cs="Calibri"/>
      <w:sz w:val="22"/>
      <w:szCs w:val="22"/>
      <w:lang w:eastAsia="en-US"/>
    </w:rPr>
  </w:style>
  <w:style w:type="character" w:customStyle="1" w:styleId="TematkomentarzaZnak">
    <w:name w:val="Temat komentarza Znak"/>
    <w:basedOn w:val="TekstkomentarzaZnak"/>
    <w:link w:val="Tematkomentarza"/>
    <w:uiPriority w:val="99"/>
    <w:semiHidden/>
    <w:rsid w:val="00462277"/>
    <w:rPr>
      <w:rFonts w:ascii="Verdana" w:hAnsi="Verdana"/>
      <w:b/>
      <w:bCs/>
      <w:lang w:val="pl-PL" w:eastAsia="pl-PL" w:bidi="ar-SA"/>
    </w:rPr>
  </w:style>
  <w:style w:type="paragraph" w:styleId="Spistreci1">
    <w:name w:val="toc 1"/>
    <w:basedOn w:val="Normalny"/>
    <w:next w:val="Normalny"/>
    <w:autoRedefine/>
    <w:uiPriority w:val="39"/>
    <w:unhideWhenUsed/>
    <w:rsid w:val="003828B6"/>
    <w:pPr>
      <w:spacing w:after="100" w:line="276" w:lineRule="auto"/>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828B6"/>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828B6"/>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828B6"/>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828B6"/>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828B6"/>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828B6"/>
    <w:pPr>
      <w:spacing w:after="100" w:line="276" w:lineRule="auto"/>
      <w:ind w:left="1760"/>
    </w:pPr>
    <w:rPr>
      <w:rFonts w:asciiTheme="minorHAnsi" w:eastAsiaTheme="minorEastAsia" w:hAnsiTheme="minorHAnsi" w:cstheme="minorBidi"/>
      <w:sz w:val="22"/>
      <w:szCs w:val="22"/>
    </w:rPr>
  </w:style>
  <w:style w:type="character" w:customStyle="1" w:styleId="Tekstpodstawowy3Znak">
    <w:name w:val="Tekst podstawowy 3 Znak"/>
    <w:basedOn w:val="Domylnaczcionkaakapitu"/>
    <w:link w:val="Tekstpodstawowy3"/>
    <w:uiPriority w:val="99"/>
    <w:rsid w:val="006639C1"/>
    <w:rPr>
      <w:rFonts w:ascii="Verdana" w:hAnsi="Verdana"/>
      <w:sz w:val="16"/>
      <w:szCs w:val="16"/>
    </w:rPr>
  </w:style>
  <w:style w:type="table" w:customStyle="1" w:styleId="Tabela-Siatka10">
    <w:name w:val="Tabela - Siatka1"/>
    <w:basedOn w:val="Standardowy"/>
    <w:next w:val="Tabela-Siatka"/>
    <w:uiPriority w:val="59"/>
    <w:rsid w:val="008A06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13AD1"/>
    <w:rPr>
      <w:rFonts w:ascii="Verdana" w:hAnsi="Verdana"/>
      <w:sz w:val="16"/>
      <w:szCs w:val="24"/>
    </w:rPr>
  </w:style>
  <w:style w:type="table" w:customStyle="1" w:styleId="Tabela-Siatka20">
    <w:name w:val="Tabela - Siatka2"/>
    <w:basedOn w:val="Standardowy"/>
    <w:next w:val="Tabela-Siatka"/>
    <w:rsid w:val="007B08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7B08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D000B4"/>
    <w:rPr>
      <w:rFonts w:ascii="Verdana" w:hAnsi="Verdana" w:cs="Arial"/>
      <w:b/>
      <w:bCs/>
      <w:iCs/>
      <w:szCs w:val="28"/>
    </w:rPr>
  </w:style>
  <w:style w:type="character" w:customStyle="1" w:styleId="TytuZnak">
    <w:name w:val="Tytuł Znak"/>
    <w:basedOn w:val="Domylnaczcionkaakapitu"/>
    <w:link w:val="Tytu"/>
    <w:locked/>
    <w:rsid w:val="00385B6C"/>
    <w:rPr>
      <w:rFonts w:ascii="Verdana" w:hAnsi="Verdana"/>
      <w:b/>
      <w:spacing w:val="-6"/>
    </w:rPr>
  </w:style>
  <w:style w:type="character" w:customStyle="1" w:styleId="AkapitzlistZnak">
    <w:name w:val="Akapit z listą Znak"/>
    <w:aliases w:val="widoący Znak"/>
    <w:basedOn w:val="Domylnaczcionkaakapitu"/>
    <w:link w:val="Akapitzlist"/>
    <w:uiPriority w:val="34"/>
    <w:rsid w:val="009D3787"/>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534">
      <w:bodyDiv w:val="1"/>
      <w:marLeft w:val="0"/>
      <w:marRight w:val="0"/>
      <w:marTop w:val="0"/>
      <w:marBottom w:val="0"/>
      <w:divBdr>
        <w:top w:val="none" w:sz="0" w:space="0" w:color="auto"/>
        <w:left w:val="none" w:sz="0" w:space="0" w:color="auto"/>
        <w:bottom w:val="none" w:sz="0" w:space="0" w:color="auto"/>
        <w:right w:val="none" w:sz="0" w:space="0" w:color="auto"/>
      </w:divBdr>
    </w:div>
    <w:div w:id="31154093">
      <w:bodyDiv w:val="1"/>
      <w:marLeft w:val="0"/>
      <w:marRight w:val="0"/>
      <w:marTop w:val="0"/>
      <w:marBottom w:val="0"/>
      <w:divBdr>
        <w:top w:val="none" w:sz="0" w:space="0" w:color="auto"/>
        <w:left w:val="none" w:sz="0" w:space="0" w:color="auto"/>
        <w:bottom w:val="none" w:sz="0" w:space="0" w:color="auto"/>
        <w:right w:val="none" w:sz="0" w:space="0" w:color="auto"/>
      </w:divBdr>
    </w:div>
    <w:div w:id="42680197">
      <w:bodyDiv w:val="1"/>
      <w:marLeft w:val="0"/>
      <w:marRight w:val="0"/>
      <w:marTop w:val="0"/>
      <w:marBottom w:val="0"/>
      <w:divBdr>
        <w:top w:val="none" w:sz="0" w:space="0" w:color="auto"/>
        <w:left w:val="none" w:sz="0" w:space="0" w:color="auto"/>
        <w:bottom w:val="none" w:sz="0" w:space="0" w:color="auto"/>
        <w:right w:val="none" w:sz="0" w:space="0" w:color="auto"/>
      </w:divBdr>
    </w:div>
    <w:div w:id="48967629">
      <w:bodyDiv w:val="1"/>
      <w:marLeft w:val="0"/>
      <w:marRight w:val="0"/>
      <w:marTop w:val="0"/>
      <w:marBottom w:val="0"/>
      <w:divBdr>
        <w:top w:val="none" w:sz="0" w:space="0" w:color="auto"/>
        <w:left w:val="none" w:sz="0" w:space="0" w:color="auto"/>
        <w:bottom w:val="none" w:sz="0" w:space="0" w:color="auto"/>
        <w:right w:val="none" w:sz="0" w:space="0" w:color="auto"/>
      </w:divBdr>
    </w:div>
    <w:div w:id="70391624">
      <w:bodyDiv w:val="1"/>
      <w:marLeft w:val="0"/>
      <w:marRight w:val="0"/>
      <w:marTop w:val="0"/>
      <w:marBottom w:val="0"/>
      <w:divBdr>
        <w:top w:val="none" w:sz="0" w:space="0" w:color="auto"/>
        <w:left w:val="none" w:sz="0" w:space="0" w:color="auto"/>
        <w:bottom w:val="none" w:sz="0" w:space="0" w:color="auto"/>
        <w:right w:val="none" w:sz="0" w:space="0" w:color="auto"/>
      </w:divBdr>
    </w:div>
    <w:div w:id="86929228">
      <w:bodyDiv w:val="1"/>
      <w:marLeft w:val="0"/>
      <w:marRight w:val="0"/>
      <w:marTop w:val="0"/>
      <w:marBottom w:val="0"/>
      <w:divBdr>
        <w:top w:val="none" w:sz="0" w:space="0" w:color="auto"/>
        <w:left w:val="none" w:sz="0" w:space="0" w:color="auto"/>
        <w:bottom w:val="none" w:sz="0" w:space="0" w:color="auto"/>
        <w:right w:val="none" w:sz="0" w:space="0" w:color="auto"/>
      </w:divBdr>
    </w:div>
    <w:div w:id="120811711">
      <w:bodyDiv w:val="1"/>
      <w:marLeft w:val="0"/>
      <w:marRight w:val="0"/>
      <w:marTop w:val="0"/>
      <w:marBottom w:val="0"/>
      <w:divBdr>
        <w:top w:val="none" w:sz="0" w:space="0" w:color="auto"/>
        <w:left w:val="none" w:sz="0" w:space="0" w:color="auto"/>
        <w:bottom w:val="none" w:sz="0" w:space="0" w:color="auto"/>
        <w:right w:val="none" w:sz="0" w:space="0" w:color="auto"/>
      </w:divBdr>
    </w:div>
    <w:div w:id="123469921">
      <w:bodyDiv w:val="1"/>
      <w:marLeft w:val="0"/>
      <w:marRight w:val="0"/>
      <w:marTop w:val="0"/>
      <w:marBottom w:val="0"/>
      <w:divBdr>
        <w:top w:val="none" w:sz="0" w:space="0" w:color="auto"/>
        <w:left w:val="none" w:sz="0" w:space="0" w:color="auto"/>
        <w:bottom w:val="none" w:sz="0" w:space="0" w:color="auto"/>
        <w:right w:val="none" w:sz="0" w:space="0" w:color="auto"/>
      </w:divBdr>
    </w:div>
    <w:div w:id="134222279">
      <w:bodyDiv w:val="1"/>
      <w:marLeft w:val="0"/>
      <w:marRight w:val="0"/>
      <w:marTop w:val="0"/>
      <w:marBottom w:val="0"/>
      <w:divBdr>
        <w:top w:val="none" w:sz="0" w:space="0" w:color="auto"/>
        <w:left w:val="none" w:sz="0" w:space="0" w:color="auto"/>
        <w:bottom w:val="none" w:sz="0" w:space="0" w:color="auto"/>
        <w:right w:val="none" w:sz="0" w:space="0" w:color="auto"/>
      </w:divBdr>
    </w:div>
    <w:div w:id="147409000">
      <w:bodyDiv w:val="1"/>
      <w:marLeft w:val="0"/>
      <w:marRight w:val="0"/>
      <w:marTop w:val="0"/>
      <w:marBottom w:val="0"/>
      <w:divBdr>
        <w:top w:val="none" w:sz="0" w:space="0" w:color="auto"/>
        <w:left w:val="none" w:sz="0" w:space="0" w:color="auto"/>
        <w:bottom w:val="none" w:sz="0" w:space="0" w:color="auto"/>
        <w:right w:val="none" w:sz="0" w:space="0" w:color="auto"/>
      </w:divBdr>
    </w:div>
    <w:div w:id="147602143">
      <w:bodyDiv w:val="1"/>
      <w:marLeft w:val="0"/>
      <w:marRight w:val="0"/>
      <w:marTop w:val="0"/>
      <w:marBottom w:val="0"/>
      <w:divBdr>
        <w:top w:val="none" w:sz="0" w:space="0" w:color="auto"/>
        <w:left w:val="none" w:sz="0" w:space="0" w:color="auto"/>
        <w:bottom w:val="none" w:sz="0" w:space="0" w:color="auto"/>
        <w:right w:val="none" w:sz="0" w:space="0" w:color="auto"/>
      </w:divBdr>
    </w:div>
    <w:div w:id="147940153">
      <w:bodyDiv w:val="1"/>
      <w:marLeft w:val="0"/>
      <w:marRight w:val="0"/>
      <w:marTop w:val="0"/>
      <w:marBottom w:val="0"/>
      <w:divBdr>
        <w:top w:val="none" w:sz="0" w:space="0" w:color="auto"/>
        <w:left w:val="none" w:sz="0" w:space="0" w:color="auto"/>
        <w:bottom w:val="none" w:sz="0" w:space="0" w:color="auto"/>
        <w:right w:val="none" w:sz="0" w:space="0" w:color="auto"/>
      </w:divBdr>
    </w:div>
    <w:div w:id="158011280">
      <w:bodyDiv w:val="1"/>
      <w:marLeft w:val="0"/>
      <w:marRight w:val="0"/>
      <w:marTop w:val="0"/>
      <w:marBottom w:val="0"/>
      <w:divBdr>
        <w:top w:val="none" w:sz="0" w:space="0" w:color="auto"/>
        <w:left w:val="none" w:sz="0" w:space="0" w:color="auto"/>
        <w:bottom w:val="none" w:sz="0" w:space="0" w:color="auto"/>
        <w:right w:val="none" w:sz="0" w:space="0" w:color="auto"/>
      </w:divBdr>
    </w:div>
    <w:div w:id="183061444">
      <w:bodyDiv w:val="1"/>
      <w:marLeft w:val="0"/>
      <w:marRight w:val="0"/>
      <w:marTop w:val="0"/>
      <w:marBottom w:val="0"/>
      <w:divBdr>
        <w:top w:val="none" w:sz="0" w:space="0" w:color="auto"/>
        <w:left w:val="none" w:sz="0" w:space="0" w:color="auto"/>
        <w:bottom w:val="none" w:sz="0" w:space="0" w:color="auto"/>
        <w:right w:val="none" w:sz="0" w:space="0" w:color="auto"/>
      </w:divBdr>
    </w:div>
    <w:div w:id="199829469">
      <w:bodyDiv w:val="1"/>
      <w:marLeft w:val="0"/>
      <w:marRight w:val="0"/>
      <w:marTop w:val="0"/>
      <w:marBottom w:val="0"/>
      <w:divBdr>
        <w:top w:val="none" w:sz="0" w:space="0" w:color="auto"/>
        <w:left w:val="none" w:sz="0" w:space="0" w:color="auto"/>
        <w:bottom w:val="none" w:sz="0" w:space="0" w:color="auto"/>
        <w:right w:val="none" w:sz="0" w:space="0" w:color="auto"/>
      </w:divBdr>
    </w:div>
    <w:div w:id="207760826">
      <w:bodyDiv w:val="1"/>
      <w:marLeft w:val="0"/>
      <w:marRight w:val="0"/>
      <w:marTop w:val="0"/>
      <w:marBottom w:val="0"/>
      <w:divBdr>
        <w:top w:val="none" w:sz="0" w:space="0" w:color="auto"/>
        <w:left w:val="none" w:sz="0" w:space="0" w:color="auto"/>
        <w:bottom w:val="none" w:sz="0" w:space="0" w:color="auto"/>
        <w:right w:val="none" w:sz="0" w:space="0" w:color="auto"/>
      </w:divBdr>
    </w:div>
    <w:div w:id="240916159">
      <w:bodyDiv w:val="1"/>
      <w:marLeft w:val="0"/>
      <w:marRight w:val="0"/>
      <w:marTop w:val="0"/>
      <w:marBottom w:val="0"/>
      <w:divBdr>
        <w:top w:val="none" w:sz="0" w:space="0" w:color="auto"/>
        <w:left w:val="none" w:sz="0" w:space="0" w:color="auto"/>
        <w:bottom w:val="none" w:sz="0" w:space="0" w:color="auto"/>
        <w:right w:val="none" w:sz="0" w:space="0" w:color="auto"/>
      </w:divBdr>
    </w:div>
    <w:div w:id="245504831">
      <w:bodyDiv w:val="1"/>
      <w:marLeft w:val="0"/>
      <w:marRight w:val="0"/>
      <w:marTop w:val="0"/>
      <w:marBottom w:val="0"/>
      <w:divBdr>
        <w:top w:val="none" w:sz="0" w:space="0" w:color="auto"/>
        <w:left w:val="none" w:sz="0" w:space="0" w:color="auto"/>
        <w:bottom w:val="none" w:sz="0" w:space="0" w:color="auto"/>
        <w:right w:val="none" w:sz="0" w:space="0" w:color="auto"/>
      </w:divBdr>
    </w:div>
    <w:div w:id="254482023">
      <w:bodyDiv w:val="1"/>
      <w:marLeft w:val="0"/>
      <w:marRight w:val="0"/>
      <w:marTop w:val="0"/>
      <w:marBottom w:val="0"/>
      <w:divBdr>
        <w:top w:val="none" w:sz="0" w:space="0" w:color="auto"/>
        <w:left w:val="none" w:sz="0" w:space="0" w:color="auto"/>
        <w:bottom w:val="none" w:sz="0" w:space="0" w:color="auto"/>
        <w:right w:val="none" w:sz="0" w:space="0" w:color="auto"/>
      </w:divBdr>
    </w:div>
    <w:div w:id="260338499">
      <w:bodyDiv w:val="1"/>
      <w:marLeft w:val="0"/>
      <w:marRight w:val="0"/>
      <w:marTop w:val="0"/>
      <w:marBottom w:val="0"/>
      <w:divBdr>
        <w:top w:val="none" w:sz="0" w:space="0" w:color="auto"/>
        <w:left w:val="none" w:sz="0" w:space="0" w:color="auto"/>
        <w:bottom w:val="none" w:sz="0" w:space="0" w:color="auto"/>
        <w:right w:val="none" w:sz="0" w:space="0" w:color="auto"/>
      </w:divBdr>
    </w:div>
    <w:div w:id="262879467">
      <w:bodyDiv w:val="1"/>
      <w:marLeft w:val="0"/>
      <w:marRight w:val="0"/>
      <w:marTop w:val="0"/>
      <w:marBottom w:val="0"/>
      <w:divBdr>
        <w:top w:val="none" w:sz="0" w:space="0" w:color="auto"/>
        <w:left w:val="none" w:sz="0" w:space="0" w:color="auto"/>
        <w:bottom w:val="none" w:sz="0" w:space="0" w:color="auto"/>
        <w:right w:val="none" w:sz="0" w:space="0" w:color="auto"/>
      </w:divBdr>
    </w:div>
    <w:div w:id="264075213">
      <w:bodyDiv w:val="1"/>
      <w:marLeft w:val="0"/>
      <w:marRight w:val="0"/>
      <w:marTop w:val="0"/>
      <w:marBottom w:val="0"/>
      <w:divBdr>
        <w:top w:val="none" w:sz="0" w:space="0" w:color="auto"/>
        <w:left w:val="none" w:sz="0" w:space="0" w:color="auto"/>
        <w:bottom w:val="none" w:sz="0" w:space="0" w:color="auto"/>
        <w:right w:val="none" w:sz="0" w:space="0" w:color="auto"/>
      </w:divBdr>
    </w:div>
    <w:div w:id="269826175">
      <w:bodyDiv w:val="1"/>
      <w:marLeft w:val="0"/>
      <w:marRight w:val="0"/>
      <w:marTop w:val="0"/>
      <w:marBottom w:val="0"/>
      <w:divBdr>
        <w:top w:val="none" w:sz="0" w:space="0" w:color="auto"/>
        <w:left w:val="none" w:sz="0" w:space="0" w:color="auto"/>
        <w:bottom w:val="none" w:sz="0" w:space="0" w:color="auto"/>
        <w:right w:val="none" w:sz="0" w:space="0" w:color="auto"/>
      </w:divBdr>
    </w:div>
    <w:div w:id="274993641">
      <w:bodyDiv w:val="1"/>
      <w:marLeft w:val="0"/>
      <w:marRight w:val="0"/>
      <w:marTop w:val="0"/>
      <w:marBottom w:val="0"/>
      <w:divBdr>
        <w:top w:val="none" w:sz="0" w:space="0" w:color="auto"/>
        <w:left w:val="none" w:sz="0" w:space="0" w:color="auto"/>
        <w:bottom w:val="none" w:sz="0" w:space="0" w:color="auto"/>
        <w:right w:val="none" w:sz="0" w:space="0" w:color="auto"/>
      </w:divBdr>
    </w:div>
    <w:div w:id="287929274">
      <w:bodyDiv w:val="1"/>
      <w:marLeft w:val="0"/>
      <w:marRight w:val="0"/>
      <w:marTop w:val="0"/>
      <w:marBottom w:val="0"/>
      <w:divBdr>
        <w:top w:val="none" w:sz="0" w:space="0" w:color="auto"/>
        <w:left w:val="none" w:sz="0" w:space="0" w:color="auto"/>
        <w:bottom w:val="none" w:sz="0" w:space="0" w:color="auto"/>
        <w:right w:val="none" w:sz="0" w:space="0" w:color="auto"/>
      </w:divBdr>
    </w:div>
    <w:div w:id="339046615">
      <w:bodyDiv w:val="1"/>
      <w:marLeft w:val="0"/>
      <w:marRight w:val="0"/>
      <w:marTop w:val="0"/>
      <w:marBottom w:val="0"/>
      <w:divBdr>
        <w:top w:val="none" w:sz="0" w:space="0" w:color="auto"/>
        <w:left w:val="none" w:sz="0" w:space="0" w:color="auto"/>
        <w:bottom w:val="none" w:sz="0" w:space="0" w:color="auto"/>
        <w:right w:val="none" w:sz="0" w:space="0" w:color="auto"/>
      </w:divBdr>
    </w:div>
    <w:div w:id="339743592">
      <w:bodyDiv w:val="1"/>
      <w:marLeft w:val="0"/>
      <w:marRight w:val="0"/>
      <w:marTop w:val="0"/>
      <w:marBottom w:val="0"/>
      <w:divBdr>
        <w:top w:val="none" w:sz="0" w:space="0" w:color="auto"/>
        <w:left w:val="none" w:sz="0" w:space="0" w:color="auto"/>
        <w:bottom w:val="none" w:sz="0" w:space="0" w:color="auto"/>
        <w:right w:val="none" w:sz="0" w:space="0" w:color="auto"/>
      </w:divBdr>
    </w:div>
    <w:div w:id="364140096">
      <w:bodyDiv w:val="1"/>
      <w:marLeft w:val="0"/>
      <w:marRight w:val="0"/>
      <w:marTop w:val="0"/>
      <w:marBottom w:val="0"/>
      <w:divBdr>
        <w:top w:val="none" w:sz="0" w:space="0" w:color="auto"/>
        <w:left w:val="none" w:sz="0" w:space="0" w:color="auto"/>
        <w:bottom w:val="none" w:sz="0" w:space="0" w:color="auto"/>
        <w:right w:val="none" w:sz="0" w:space="0" w:color="auto"/>
      </w:divBdr>
    </w:div>
    <w:div w:id="368800660">
      <w:bodyDiv w:val="1"/>
      <w:marLeft w:val="0"/>
      <w:marRight w:val="0"/>
      <w:marTop w:val="0"/>
      <w:marBottom w:val="0"/>
      <w:divBdr>
        <w:top w:val="none" w:sz="0" w:space="0" w:color="auto"/>
        <w:left w:val="none" w:sz="0" w:space="0" w:color="auto"/>
        <w:bottom w:val="none" w:sz="0" w:space="0" w:color="auto"/>
        <w:right w:val="none" w:sz="0" w:space="0" w:color="auto"/>
      </w:divBdr>
    </w:div>
    <w:div w:id="405107999">
      <w:bodyDiv w:val="1"/>
      <w:marLeft w:val="0"/>
      <w:marRight w:val="0"/>
      <w:marTop w:val="0"/>
      <w:marBottom w:val="0"/>
      <w:divBdr>
        <w:top w:val="none" w:sz="0" w:space="0" w:color="auto"/>
        <w:left w:val="none" w:sz="0" w:space="0" w:color="auto"/>
        <w:bottom w:val="none" w:sz="0" w:space="0" w:color="auto"/>
        <w:right w:val="none" w:sz="0" w:space="0" w:color="auto"/>
      </w:divBdr>
    </w:div>
    <w:div w:id="429544729">
      <w:bodyDiv w:val="1"/>
      <w:marLeft w:val="0"/>
      <w:marRight w:val="0"/>
      <w:marTop w:val="0"/>
      <w:marBottom w:val="0"/>
      <w:divBdr>
        <w:top w:val="none" w:sz="0" w:space="0" w:color="auto"/>
        <w:left w:val="none" w:sz="0" w:space="0" w:color="auto"/>
        <w:bottom w:val="none" w:sz="0" w:space="0" w:color="auto"/>
        <w:right w:val="none" w:sz="0" w:space="0" w:color="auto"/>
      </w:divBdr>
    </w:div>
    <w:div w:id="451245504">
      <w:bodyDiv w:val="1"/>
      <w:marLeft w:val="0"/>
      <w:marRight w:val="0"/>
      <w:marTop w:val="0"/>
      <w:marBottom w:val="0"/>
      <w:divBdr>
        <w:top w:val="none" w:sz="0" w:space="0" w:color="auto"/>
        <w:left w:val="none" w:sz="0" w:space="0" w:color="auto"/>
        <w:bottom w:val="none" w:sz="0" w:space="0" w:color="auto"/>
        <w:right w:val="none" w:sz="0" w:space="0" w:color="auto"/>
      </w:divBdr>
    </w:div>
    <w:div w:id="474832232">
      <w:bodyDiv w:val="1"/>
      <w:marLeft w:val="0"/>
      <w:marRight w:val="0"/>
      <w:marTop w:val="0"/>
      <w:marBottom w:val="0"/>
      <w:divBdr>
        <w:top w:val="none" w:sz="0" w:space="0" w:color="auto"/>
        <w:left w:val="none" w:sz="0" w:space="0" w:color="auto"/>
        <w:bottom w:val="none" w:sz="0" w:space="0" w:color="auto"/>
        <w:right w:val="none" w:sz="0" w:space="0" w:color="auto"/>
      </w:divBdr>
    </w:div>
    <w:div w:id="493029345">
      <w:bodyDiv w:val="1"/>
      <w:marLeft w:val="0"/>
      <w:marRight w:val="0"/>
      <w:marTop w:val="0"/>
      <w:marBottom w:val="0"/>
      <w:divBdr>
        <w:top w:val="none" w:sz="0" w:space="0" w:color="auto"/>
        <w:left w:val="none" w:sz="0" w:space="0" w:color="auto"/>
        <w:bottom w:val="none" w:sz="0" w:space="0" w:color="auto"/>
        <w:right w:val="none" w:sz="0" w:space="0" w:color="auto"/>
      </w:divBdr>
    </w:div>
    <w:div w:id="501550863">
      <w:bodyDiv w:val="1"/>
      <w:marLeft w:val="0"/>
      <w:marRight w:val="0"/>
      <w:marTop w:val="0"/>
      <w:marBottom w:val="0"/>
      <w:divBdr>
        <w:top w:val="none" w:sz="0" w:space="0" w:color="auto"/>
        <w:left w:val="none" w:sz="0" w:space="0" w:color="auto"/>
        <w:bottom w:val="none" w:sz="0" w:space="0" w:color="auto"/>
        <w:right w:val="none" w:sz="0" w:space="0" w:color="auto"/>
      </w:divBdr>
    </w:div>
    <w:div w:id="524713321">
      <w:bodyDiv w:val="1"/>
      <w:marLeft w:val="0"/>
      <w:marRight w:val="0"/>
      <w:marTop w:val="0"/>
      <w:marBottom w:val="0"/>
      <w:divBdr>
        <w:top w:val="none" w:sz="0" w:space="0" w:color="auto"/>
        <w:left w:val="none" w:sz="0" w:space="0" w:color="auto"/>
        <w:bottom w:val="none" w:sz="0" w:space="0" w:color="auto"/>
        <w:right w:val="none" w:sz="0" w:space="0" w:color="auto"/>
      </w:divBdr>
    </w:div>
    <w:div w:id="529924307">
      <w:bodyDiv w:val="1"/>
      <w:marLeft w:val="0"/>
      <w:marRight w:val="0"/>
      <w:marTop w:val="0"/>
      <w:marBottom w:val="0"/>
      <w:divBdr>
        <w:top w:val="none" w:sz="0" w:space="0" w:color="auto"/>
        <w:left w:val="none" w:sz="0" w:space="0" w:color="auto"/>
        <w:bottom w:val="none" w:sz="0" w:space="0" w:color="auto"/>
        <w:right w:val="none" w:sz="0" w:space="0" w:color="auto"/>
      </w:divBdr>
    </w:div>
    <w:div w:id="560798516">
      <w:bodyDiv w:val="1"/>
      <w:marLeft w:val="0"/>
      <w:marRight w:val="0"/>
      <w:marTop w:val="0"/>
      <w:marBottom w:val="0"/>
      <w:divBdr>
        <w:top w:val="none" w:sz="0" w:space="0" w:color="auto"/>
        <w:left w:val="none" w:sz="0" w:space="0" w:color="auto"/>
        <w:bottom w:val="none" w:sz="0" w:space="0" w:color="auto"/>
        <w:right w:val="none" w:sz="0" w:space="0" w:color="auto"/>
      </w:divBdr>
    </w:div>
    <w:div w:id="565459659">
      <w:bodyDiv w:val="1"/>
      <w:marLeft w:val="0"/>
      <w:marRight w:val="0"/>
      <w:marTop w:val="0"/>
      <w:marBottom w:val="0"/>
      <w:divBdr>
        <w:top w:val="none" w:sz="0" w:space="0" w:color="auto"/>
        <w:left w:val="none" w:sz="0" w:space="0" w:color="auto"/>
        <w:bottom w:val="none" w:sz="0" w:space="0" w:color="auto"/>
        <w:right w:val="none" w:sz="0" w:space="0" w:color="auto"/>
      </w:divBdr>
    </w:div>
    <w:div w:id="565575871">
      <w:bodyDiv w:val="1"/>
      <w:marLeft w:val="0"/>
      <w:marRight w:val="0"/>
      <w:marTop w:val="0"/>
      <w:marBottom w:val="0"/>
      <w:divBdr>
        <w:top w:val="none" w:sz="0" w:space="0" w:color="auto"/>
        <w:left w:val="none" w:sz="0" w:space="0" w:color="auto"/>
        <w:bottom w:val="none" w:sz="0" w:space="0" w:color="auto"/>
        <w:right w:val="none" w:sz="0" w:space="0" w:color="auto"/>
      </w:divBdr>
    </w:div>
    <w:div w:id="572201603">
      <w:bodyDiv w:val="1"/>
      <w:marLeft w:val="0"/>
      <w:marRight w:val="0"/>
      <w:marTop w:val="0"/>
      <w:marBottom w:val="0"/>
      <w:divBdr>
        <w:top w:val="none" w:sz="0" w:space="0" w:color="auto"/>
        <w:left w:val="none" w:sz="0" w:space="0" w:color="auto"/>
        <w:bottom w:val="none" w:sz="0" w:space="0" w:color="auto"/>
        <w:right w:val="none" w:sz="0" w:space="0" w:color="auto"/>
      </w:divBdr>
    </w:div>
    <w:div w:id="580332293">
      <w:bodyDiv w:val="1"/>
      <w:marLeft w:val="0"/>
      <w:marRight w:val="0"/>
      <w:marTop w:val="0"/>
      <w:marBottom w:val="0"/>
      <w:divBdr>
        <w:top w:val="none" w:sz="0" w:space="0" w:color="auto"/>
        <w:left w:val="none" w:sz="0" w:space="0" w:color="auto"/>
        <w:bottom w:val="none" w:sz="0" w:space="0" w:color="auto"/>
        <w:right w:val="none" w:sz="0" w:space="0" w:color="auto"/>
      </w:divBdr>
    </w:div>
    <w:div w:id="592130506">
      <w:bodyDiv w:val="1"/>
      <w:marLeft w:val="0"/>
      <w:marRight w:val="0"/>
      <w:marTop w:val="0"/>
      <w:marBottom w:val="0"/>
      <w:divBdr>
        <w:top w:val="none" w:sz="0" w:space="0" w:color="auto"/>
        <w:left w:val="none" w:sz="0" w:space="0" w:color="auto"/>
        <w:bottom w:val="none" w:sz="0" w:space="0" w:color="auto"/>
        <w:right w:val="none" w:sz="0" w:space="0" w:color="auto"/>
      </w:divBdr>
    </w:div>
    <w:div w:id="598371554">
      <w:bodyDiv w:val="1"/>
      <w:marLeft w:val="0"/>
      <w:marRight w:val="0"/>
      <w:marTop w:val="0"/>
      <w:marBottom w:val="0"/>
      <w:divBdr>
        <w:top w:val="none" w:sz="0" w:space="0" w:color="auto"/>
        <w:left w:val="none" w:sz="0" w:space="0" w:color="auto"/>
        <w:bottom w:val="none" w:sz="0" w:space="0" w:color="auto"/>
        <w:right w:val="none" w:sz="0" w:space="0" w:color="auto"/>
      </w:divBdr>
    </w:div>
    <w:div w:id="614020194">
      <w:bodyDiv w:val="1"/>
      <w:marLeft w:val="0"/>
      <w:marRight w:val="0"/>
      <w:marTop w:val="0"/>
      <w:marBottom w:val="0"/>
      <w:divBdr>
        <w:top w:val="none" w:sz="0" w:space="0" w:color="auto"/>
        <w:left w:val="none" w:sz="0" w:space="0" w:color="auto"/>
        <w:bottom w:val="none" w:sz="0" w:space="0" w:color="auto"/>
        <w:right w:val="none" w:sz="0" w:space="0" w:color="auto"/>
      </w:divBdr>
    </w:div>
    <w:div w:id="627708322">
      <w:bodyDiv w:val="1"/>
      <w:marLeft w:val="0"/>
      <w:marRight w:val="0"/>
      <w:marTop w:val="0"/>
      <w:marBottom w:val="0"/>
      <w:divBdr>
        <w:top w:val="none" w:sz="0" w:space="0" w:color="auto"/>
        <w:left w:val="none" w:sz="0" w:space="0" w:color="auto"/>
        <w:bottom w:val="none" w:sz="0" w:space="0" w:color="auto"/>
        <w:right w:val="none" w:sz="0" w:space="0" w:color="auto"/>
      </w:divBdr>
    </w:div>
    <w:div w:id="636497048">
      <w:bodyDiv w:val="1"/>
      <w:marLeft w:val="0"/>
      <w:marRight w:val="0"/>
      <w:marTop w:val="0"/>
      <w:marBottom w:val="0"/>
      <w:divBdr>
        <w:top w:val="none" w:sz="0" w:space="0" w:color="auto"/>
        <w:left w:val="none" w:sz="0" w:space="0" w:color="auto"/>
        <w:bottom w:val="none" w:sz="0" w:space="0" w:color="auto"/>
        <w:right w:val="none" w:sz="0" w:space="0" w:color="auto"/>
      </w:divBdr>
    </w:div>
    <w:div w:id="643582639">
      <w:bodyDiv w:val="1"/>
      <w:marLeft w:val="0"/>
      <w:marRight w:val="0"/>
      <w:marTop w:val="0"/>
      <w:marBottom w:val="0"/>
      <w:divBdr>
        <w:top w:val="none" w:sz="0" w:space="0" w:color="auto"/>
        <w:left w:val="none" w:sz="0" w:space="0" w:color="auto"/>
        <w:bottom w:val="none" w:sz="0" w:space="0" w:color="auto"/>
        <w:right w:val="none" w:sz="0" w:space="0" w:color="auto"/>
      </w:divBdr>
    </w:div>
    <w:div w:id="648747811">
      <w:bodyDiv w:val="1"/>
      <w:marLeft w:val="0"/>
      <w:marRight w:val="0"/>
      <w:marTop w:val="0"/>
      <w:marBottom w:val="0"/>
      <w:divBdr>
        <w:top w:val="none" w:sz="0" w:space="0" w:color="auto"/>
        <w:left w:val="none" w:sz="0" w:space="0" w:color="auto"/>
        <w:bottom w:val="none" w:sz="0" w:space="0" w:color="auto"/>
        <w:right w:val="none" w:sz="0" w:space="0" w:color="auto"/>
      </w:divBdr>
    </w:div>
    <w:div w:id="658384024">
      <w:bodyDiv w:val="1"/>
      <w:marLeft w:val="0"/>
      <w:marRight w:val="0"/>
      <w:marTop w:val="0"/>
      <w:marBottom w:val="0"/>
      <w:divBdr>
        <w:top w:val="none" w:sz="0" w:space="0" w:color="auto"/>
        <w:left w:val="none" w:sz="0" w:space="0" w:color="auto"/>
        <w:bottom w:val="none" w:sz="0" w:space="0" w:color="auto"/>
        <w:right w:val="none" w:sz="0" w:space="0" w:color="auto"/>
      </w:divBdr>
    </w:div>
    <w:div w:id="666397596">
      <w:bodyDiv w:val="1"/>
      <w:marLeft w:val="0"/>
      <w:marRight w:val="0"/>
      <w:marTop w:val="0"/>
      <w:marBottom w:val="0"/>
      <w:divBdr>
        <w:top w:val="none" w:sz="0" w:space="0" w:color="auto"/>
        <w:left w:val="none" w:sz="0" w:space="0" w:color="auto"/>
        <w:bottom w:val="none" w:sz="0" w:space="0" w:color="auto"/>
        <w:right w:val="none" w:sz="0" w:space="0" w:color="auto"/>
      </w:divBdr>
    </w:div>
    <w:div w:id="671839972">
      <w:bodyDiv w:val="1"/>
      <w:marLeft w:val="0"/>
      <w:marRight w:val="0"/>
      <w:marTop w:val="0"/>
      <w:marBottom w:val="0"/>
      <w:divBdr>
        <w:top w:val="none" w:sz="0" w:space="0" w:color="auto"/>
        <w:left w:val="none" w:sz="0" w:space="0" w:color="auto"/>
        <w:bottom w:val="none" w:sz="0" w:space="0" w:color="auto"/>
        <w:right w:val="none" w:sz="0" w:space="0" w:color="auto"/>
      </w:divBdr>
    </w:div>
    <w:div w:id="682827740">
      <w:bodyDiv w:val="1"/>
      <w:marLeft w:val="0"/>
      <w:marRight w:val="0"/>
      <w:marTop w:val="0"/>
      <w:marBottom w:val="0"/>
      <w:divBdr>
        <w:top w:val="none" w:sz="0" w:space="0" w:color="auto"/>
        <w:left w:val="none" w:sz="0" w:space="0" w:color="auto"/>
        <w:bottom w:val="none" w:sz="0" w:space="0" w:color="auto"/>
        <w:right w:val="none" w:sz="0" w:space="0" w:color="auto"/>
      </w:divBdr>
    </w:div>
    <w:div w:id="685987771">
      <w:bodyDiv w:val="1"/>
      <w:marLeft w:val="0"/>
      <w:marRight w:val="0"/>
      <w:marTop w:val="0"/>
      <w:marBottom w:val="0"/>
      <w:divBdr>
        <w:top w:val="none" w:sz="0" w:space="0" w:color="auto"/>
        <w:left w:val="none" w:sz="0" w:space="0" w:color="auto"/>
        <w:bottom w:val="none" w:sz="0" w:space="0" w:color="auto"/>
        <w:right w:val="none" w:sz="0" w:space="0" w:color="auto"/>
      </w:divBdr>
    </w:div>
    <w:div w:id="697968113">
      <w:bodyDiv w:val="1"/>
      <w:marLeft w:val="0"/>
      <w:marRight w:val="0"/>
      <w:marTop w:val="0"/>
      <w:marBottom w:val="0"/>
      <w:divBdr>
        <w:top w:val="none" w:sz="0" w:space="0" w:color="auto"/>
        <w:left w:val="none" w:sz="0" w:space="0" w:color="auto"/>
        <w:bottom w:val="none" w:sz="0" w:space="0" w:color="auto"/>
        <w:right w:val="none" w:sz="0" w:space="0" w:color="auto"/>
      </w:divBdr>
    </w:div>
    <w:div w:id="699471167">
      <w:bodyDiv w:val="1"/>
      <w:marLeft w:val="0"/>
      <w:marRight w:val="0"/>
      <w:marTop w:val="0"/>
      <w:marBottom w:val="0"/>
      <w:divBdr>
        <w:top w:val="none" w:sz="0" w:space="0" w:color="auto"/>
        <w:left w:val="none" w:sz="0" w:space="0" w:color="auto"/>
        <w:bottom w:val="none" w:sz="0" w:space="0" w:color="auto"/>
        <w:right w:val="none" w:sz="0" w:space="0" w:color="auto"/>
      </w:divBdr>
    </w:div>
    <w:div w:id="720833986">
      <w:bodyDiv w:val="1"/>
      <w:marLeft w:val="0"/>
      <w:marRight w:val="0"/>
      <w:marTop w:val="0"/>
      <w:marBottom w:val="0"/>
      <w:divBdr>
        <w:top w:val="none" w:sz="0" w:space="0" w:color="auto"/>
        <w:left w:val="none" w:sz="0" w:space="0" w:color="auto"/>
        <w:bottom w:val="none" w:sz="0" w:space="0" w:color="auto"/>
        <w:right w:val="none" w:sz="0" w:space="0" w:color="auto"/>
      </w:divBdr>
    </w:div>
    <w:div w:id="737290650">
      <w:bodyDiv w:val="1"/>
      <w:marLeft w:val="0"/>
      <w:marRight w:val="0"/>
      <w:marTop w:val="0"/>
      <w:marBottom w:val="0"/>
      <w:divBdr>
        <w:top w:val="none" w:sz="0" w:space="0" w:color="auto"/>
        <w:left w:val="none" w:sz="0" w:space="0" w:color="auto"/>
        <w:bottom w:val="none" w:sz="0" w:space="0" w:color="auto"/>
        <w:right w:val="none" w:sz="0" w:space="0" w:color="auto"/>
      </w:divBdr>
    </w:div>
    <w:div w:id="752705401">
      <w:bodyDiv w:val="1"/>
      <w:marLeft w:val="0"/>
      <w:marRight w:val="0"/>
      <w:marTop w:val="0"/>
      <w:marBottom w:val="0"/>
      <w:divBdr>
        <w:top w:val="none" w:sz="0" w:space="0" w:color="auto"/>
        <w:left w:val="none" w:sz="0" w:space="0" w:color="auto"/>
        <w:bottom w:val="none" w:sz="0" w:space="0" w:color="auto"/>
        <w:right w:val="none" w:sz="0" w:space="0" w:color="auto"/>
      </w:divBdr>
    </w:div>
    <w:div w:id="754202136">
      <w:bodyDiv w:val="1"/>
      <w:marLeft w:val="0"/>
      <w:marRight w:val="0"/>
      <w:marTop w:val="0"/>
      <w:marBottom w:val="0"/>
      <w:divBdr>
        <w:top w:val="none" w:sz="0" w:space="0" w:color="auto"/>
        <w:left w:val="none" w:sz="0" w:space="0" w:color="auto"/>
        <w:bottom w:val="none" w:sz="0" w:space="0" w:color="auto"/>
        <w:right w:val="none" w:sz="0" w:space="0" w:color="auto"/>
      </w:divBdr>
    </w:div>
    <w:div w:id="765419453">
      <w:bodyDiv w:val="1"/>
      <w:marLeft w:val="0"/>
      <w:marRight w:val="0"/>
      <w:marTop w:val="0"/>
      <w:marBottom w:val="0"/>
      <w:divBdr>
        <w:top w:val="none" w:sz="0" w:space="0" w:color="auto"/>
        <w:left w:val="none" w:sz="0" w:space="0" w:color="auto"/>
        <w:bottom w:val="none" w:sz="0" w:space="0" w:color="auto"/>
        <w:right w:val="none" w:sz="0" w:space="0" w:color="auto"/>
      </w:divBdr>
    </w:div>
    <w:div w:id="766923132">
      <w:bodyDiv w:val="1"/>
      <w:marLeft w:val="0"/>
      <w:marRight w:val="0"/>
      <w:marTop w:val="0"/>
      <w:marBottom w:val="0"/>
      <w:divBdr>
        <w:top w:val="none" w:sz="0" w:space="0" w:color="auto"/>
        <w:left w:val="none" w:sz="0" w:space="0" w:color="auto"/>
        <w:bottom w:val="none" w:sz="0" w:space="0" w:color="auto"/>
        <w:right w:val="none" w:sz="0" w:space="0" w:color="auto"/>
      </w:divBdr>
    </w:div>
    <w:div w:id="790444253">
      <w:bodyDiv w:val="1"/>
      <w:marLeft w:val="0"/>
      <w:marRight w:val="0"/>
      <w:marTop w:val="0"/>
      <w:marBottom w:val="0"/>
      <w:divBdr>
        <w:top w:val="none" w:sz="0" w:space="0" w:color="auto"/>
        <w:left w:val="none" w:sz="0" w:space="0" w:color="auto"/>
        <w:bottom w:val="none" w:sz="0" w:space="0" w:color="auto"/>
        <w:right w:val="none" w:sz="0" w:space="0" w:color="auto"/>
      </w:divBdr>
    </w:div>
    <w:div w:id="806361202">
      <w:bodyDiv w:val="1"/>
      <w:marLeft w:val="0"/>
      <w:marRight w:val="0"/>
      <w:marTop w:val="0"/>
      <w:marBottom w:val="0"/>
      <w:divBdr>
        <w:top w:val="none" w:sz="0" w:space="0" w:color="auto"/>
        <w:left w:val="none" w:sz="0" w:space="0" w:color="auto"/>
        <w:bottom w:val="none" w:sz="0" w:space="0" w:color="auto"/>
        <w:right w:val="none" w:sz="0" w:space="0" w:color="auto"/>
      </w:divBdr>
    </w:div>
    <w:div w:id="813840231">
      <w:bodyDiv w:val="1"/>
      <w:marLeft w:val="0"/>
      <w:marRight w:val="0"/>
      <w:marTop w:val="0"/>
      <w:marBottom w:val="0"/>
      <w:divBdr>
        <w:top w:val="none" w:sz="0" w:space="0" w:color="auto"/>
        <w:left w:val="none" w:sz="0" w:space="0" w:color="auto"/>
        <w:bottom w:val="none" w:sz="0" w:space="0" w:color="auto"/>
        <w:right w:val="none" w:sz="0" w:space="0" w:color="auto"/>
      </w:divBdr>
    </w:div>
    <w:div w:id="833491354">
      <w:bodyDiv w:val="1"/>
      <w:marLeft w:val="0"/>
      <w:marRight w:val="0"/>
      <w:marTop w:val="0"/>
      <w:marBottom w:val="0"/>
      <w:divBdr>
        <w:top w:val="none" w:sz="0" w:space="0" w:color="auto"/>
        <w:left w:val="none" w:sz="0" w:space="0" w:color="auto"/>
        <w:bottom w:val="none" w:sz="0" w:space="0" w:color="auto"/>
        <w:right w:val="none" w:sz="0" w:space="0" w:color="auto"/>
      </w:divBdr>
    </w:div>
    <w:div w:id="842890716">
      <w:bodyDiv w:val="1"/>
      <w:marLeft w:val="0"/>
      <w:marRight w:val="0"/>
      <w:marTop w:val="0"/>
      <w:marBottom w:val="0"/>
      <w:divBdr>
        <w:top w:val="none" w:sz="0" w:space="0" w:color="auto"/>
        <w:left w:val="none" w:sz="0" w:space="0" w:color="auto"/>
        <w:bottom w:val="none" w:sz="0" w:space="0" w:color="auto"/>
        <w:right w:val="none" w:sz="0" w:space="0" w:color="auto"/>
      </w:divBdr>
    </w:div>
    <w:div w:id="845481902">
      <w:bodyDiv w:val="1"/>
      <w:marLeft w:val="0"/>
      <w:marRight w:val="0"/>
      <w:marTop w:val="0"/>
      <w:marBottom w:val="0"/>
      <w:divBdr>
        <w:top w:val="none" w:sz="0" w:space="0" w:color="auto"/>
        <w:left w:val="none" w:sz="0" w:space="0" w:color="auto"/>
        <w:bottom w:val="none" w:sz="0" w:space="0" w:color="auto"/>
        <w:right w:val="none" w:sz="0" w:space="0" w:color="auto"/>
      </w:divBdr>
    </w:div>
    <w:div w:id="852651268">
      <w:bodyDiv w:val="1"/>
      <w:marLeft w:val="0"/>
      <w:marRight w:val="0"/>
      <w:marTop w:val="0"/>
      <w:marBottom w:val="0"/>
      <w:divBdr>
        <w:top w:val="none" w:sz="0" w:space="0" w:color="auto"/>
        <w:left w:val="none" w:sz="0" w:space="0" w:color="auto"/>
        <w:bottom w:val="none" w:sz="0" w:space="0" w:color="auto"/>
        <w:right w:val="none" w:sz="0" w:space="0" w:color="auto"/>
      </w:divBdr>
    </w:div>
    <w:div w:id="887647827">
      <w:bodyDiv w:val="1"/>
      <w:marLeft w:val="0"/>
      <w:marRight w:val="0"/>
      <w:marTop w:val="0"/>
      <w:marBottom w:val="0"/>
      <w:divBdr>
        <w:top w:val="none" w:sz="0" w:space="0" w:color="auto"/>
        <w:left w:val="none" w:sz="0" w:space="0" w:color="auto"/>
        <w:bottom w:val="none" w:sz="0" w:space="0" w:color="auto"/>
        <w:right w:val="none" w:sz="0" w:space="0" w:color="auto"/>
      </w:divBdr>
    </w:div>
    <w:div w:id="909341019">
      <w:bodyDiv w:val="1"/>
      <w:marLeft w:val="0"/>
      <w:marRight w:val="0"/>
      <w:marTop w:val="0"/>
      <w:marBottom w:val="0"/>
      <w:divBdr>
        <w:top w:val="none" w:sz="0" w:space="0" w:color="auto"/>
        <w:left w:val="none" w:sz="0" w:space="0" w:color="auto"/>
        <w:bottom w:val="none" w:sz="0" w:space="0" w:color="auto"/>
        <w:right w:val="none" w:sz="0" w:space="0" w:color="auto"/>
      </w:divBdr>
    </w:div>
    <w:div w:id="927694727">
      <w:bodyDiv w:val="1"/>
      <w:marLeft w:val="0"/>
      <w:marRight w:val="0"/>
      <w:marTop w:val="0"/>
      <w:marBottom w:val="0"/>
      <w:divBdr>
        <w:top w:val="none" w:sz="0" w:space="0" w:color="auto"/>
        <w:left w:val="none" w:sz="0" w:space="0" w:color="auto"/>
        <w:bottom w:val="none" w:sz="0" w:space="0" w:color="auto"/>
        <w:right w:val="none" w:sz="0" w:space="0" w:color="auto"/>
      </w:divBdr>
    </w:div>
    <w:div w:id="947741696">
      <w:bodyDiv w:val="1"/>
      <w:marLeft w:val="0"/>
      <w:marRight w:val="0"/>
      <w:marTop w:val="0"/>
      <w:marBottom w:val="0"/>
      <w:divBdr>
        <w:top w:val="none" w:sz="0" w:space="0" w:color="auto"/>
        <w:left w:val="none" w:sz="0" w:space="0" w:color="auto"/>
        <w:bottom w:val="none" w:sz="0" w:space="0" w:color="auto"/>
        <w:right w:val="none" w:sz="0" w:space="0" w:color="auto"/>
      </w:divBdr>
    </w:div>
    <w:div w:id="958411111">
      <w:bodyDiv w:val="1"/>
      <w:marLeft w:val="0"/>
      <w:marRight w:val="0"/>
      <w:marTop w:val="0"/>
      <w:marBottom w:val="0"/>
      <w:divBdr>
        <w:top w:val="none" w:sz="0" w:space="0" w:color="auto"/>
        <w:left w:val="none" w:sz="0" w:space="0" w:color="auto"/>
        <w:bottom w:val="none" w:sz="0" w:space="0" w:color="auto"/>
        <w:right w:val="none" w:sz="0" w:space="0" w:color="auto"/>
      </w:divBdr>
    </w:div>
    <w:div w:id="962348445">
      <w:bodyDiv w:val="1"/>
      <w:marLeft w:val="0"/>
      <w:marRight w:val="0"/>
      <w:marTop w:val="0"/>
      <w:marBottom w:val="0"/>
      <w:divBdr>
        <w:top w:val="none" w:sz="0" w:space="0" w:color="auto"/>
        <w:left w:val="none" w:sz="0" w:space="0" w:color="auto"/>
        <w:bottom w:val="none" w:sz="0" w:space="0" w:color="auto"/>
        <w:right w:val="none" w:sz="0" w:space="0" w:color="auto"/>
      </w:divBdr>
    </w:div>
    <w:div w:id="967779566">
      <w:bodyDiv w:val="1"/>
      <w:marLeft w:val="0"/>
      <w:marRight w:val="0"/>
      <w:marTop w:val="0"/>
      <w:marBottom w:val="0"/>
      <w:divBdr>
        <w:top w:val="none" w:sz="0" w:space="0" w:color="auto"/>
        <w:left w:val="none" w:sz="0" w:space="0" w:color="auto"/>
        <w:bottom w:val="none" w:sz="0" w:space="0" w:color="auto"/>
        <w:right w:val="none" w:sz="0" w:space="0" w:color="auto"/>
      </w:divBdr>
    </w:div>
    <w:div w:id="992877049">
      <w:bodyDiv w:val="1"/>
      <w:marLeft w:val="0"/>
      <w:marRight w:val="0"/>
      <w:marTop w:val="0"/>
      <w:marBottom w:val="0"/>
      <w:divBdr>
        <w:top w:val="none" w:sz="0" w:space="0" w:color="auto"/>
        <w:left w:val="none" w:sz="0" w:space="0" w:color="auto"/>
        <w:bottom w:val="none" w:sz="0" w:space="0" w:color="auto"/>
        <w:right w:val="none" w:sz="0" w:space="0" w:color="auto"/>
      </w:divBdr>
    </w:div>
    <w:div w:id="995374612">
      <w:bodyDiv w:val="1"/>
      <w:marLeft w:val="0"/>
      <w:marRight w:val="0"/>
      <w:marTop w:val="0"/>
      <w:marBottom w:val="0"/>
      <w:divBdr>
        <w:top w:val="none" w:sz="0" w:space="0" w:color="auto"/>
        <w:left w:val="none" w:sz="0" w:space="0" w:color="auto"/>
        <w:bottom w:val="none" w:sz="0" w:space="0" w:color="auto"/>
        <w:right w:val="none" w:sz="0" w:space="0" w:color="auto"/>
      </w:divBdr>
    </w:div>
    <w:div w:id="1002663889">
      <w:bodyDiv w:val="1"/>
      <w:marLeft w:val="0"/>
      <w:marRight w:val="0"/>
      <w:marTop w:val="0"/>
      <w:marBottom w:val="0"/>
      <w:divBdr>
        <w:top w:val="none" w:sz="0" w:space="0" w:color="auto"/>
        <w:left w:val="none" w:sz="0" w:space="0" w:color="auto"/>
        <w:bottom w:val="none" w:sz="0" w:space="0" w:color="auto"/>
        <w:right w:val="none" w:sz="0" w:space="0" w:color="auto"/>
      </w:divBdr>
    </w:div>
    <w:div w:id="1007292556">
      <w:bodyDiv w:val="1"/>
      <w:marLeft w:val="0"/>
      <w:marRight w:val="0"/>
      <w:marTop w:val="0"/>
      <w:marBottom w:val="0"/>
      <w:divBdr>
        <w:top w:val="none" w:sz="0" w:space="0" w:color="auto"/>
        <w:left w:val="none" w:sz="0" w:space="0" w:color="auto"/>
        <w:bottom w:val="none" w:sz="0" w:space="0" w:color="auto"/>
        <w:right w:val="none" w:sz="0" w:space="0" w:color="auto"/>
      </w:divBdr>
    </w:div>
    <w:div w:id="1026442206">
      <w:bodyDiv w:val="1"/>
      <w:marLeft w:val="0"/>
      <w:marRight w:val="0"/>
      <w:marTop w:val="0"/>
      <w:marBottom w:val="0"/>
      <w:divBdr>
        <w:top w:val="none" w:sz="0" w:space="0" w:color="auto"/>
        <w:left w:val="none" w:sz="0" w:space="0" w:color="auto"/>
        <w:bottom w:val="none" w:sz="0" w:space="0" w:color="auto"/>
        <w:right w:val="none" w:sz="0" w:space="0" w:color="auto"/>
      </w:divBdr>
    </w:div>
    <w:div w:id="1036853286">
      <w:bodyDiv w:val="1"/>
      <w:marLeft w:val="0"/>
      <w:marRight w:val="0"/>
      <w:marTop w:val="0"/>
      <w:marBottom w:val="0"/>
      <w:divBdr>
        <w:top w:val="none" w:sz="0" w:space="0" w:color="auto"/>
        <w:left w:val="none" w:sz="0" w:space="0" w:color="auto"/>
        <w:bottom w:val="none" w:sz="0" w:space="0" w:color="auto"/>
        <w:right w:val="none" w:sz="0" w:space="0" w:color="auto"/>
      </w:divBdr>
    </w:div>
    <w:div w:id="1071661690">
      <w:bodyDiv w:val="1"/>
      <w:marLeft w:val="0"/>
      <w:marRight w:val="0"/>
      <w:marTop w:val="0"/>
      <w:marBottom w:val="0"/>
      <w:divBdr>
        <w:top w:val="none" w:sz="0" w:space="0" w:color="auto"/>
        <w:left w:val="none" w:sz="0" w:space="0" w:color="auto"/>
        <w:bottom w:val="none" w:sz="0" w:space="0" w:color="auto"/>
        <w:right w:val="none" w:sz="0" w:space="0" w:color="auto"/>
      </w:divBdr>
    </w:div>
    <w:div w:id="1078668256">
      <w:bodyDiv w:val="1"/>
      <w:marLeft w:val="0"/>
      <w:marRight w:val="0"/>
      <w:marTop w:val="0"/>
      <w:marBottom w:val="0"/>
      <w:divBdr>
        <w:top w:val="none" w:sz="0" w:space="0" w:color="auto"/>
        <w:left w:val="none" w:sz="0" w:space="0" w:color="auto"/>
        <w:bottom w:val="none" w:sz="0" w:space="0" w:color="auto"/>
        <w:right w:val="none" w:sz="0" w:space="0" w:color="auto"/>
      </w:divBdr>
    </w:div>
    <w:div w:id="1083063539">
      <w:bodyDiv w:val="1"/>
      <w:marLeft w:val="0"/>
      <w:marRight w:val="0"/>
      <w:marTop w:val="0"/>
      <w:marBottom w:val="0"/>
      <w:divBdr>
        <w:top w:val="none" w:sz="0" w:space="0" w:color="auto"/>
        <w:left w:val="none" w:sz="0" w:space="0" w:color="auto"/>
        <w:bottom w:val="none" w:sz="0" w:space="0" w:color="auto"/>
        <w:right w:val="none" w:sz="0" w:space="0" w:color="auto"/>
      </w:divBdr>
    </w:div>
    <w:div w:id="1088236640">
      <w:bodyDiv w:val="1"/>
      <w:marLeft w:val="0"/>
      <w:marRight w:val="0"/>
      <w:marTop w:val="0"/>
      <w:marBottom w:val="0"/>
      <w:divBdr>
        <w:top w:val="none" w:sz="0" w:space="0" w:color="auto"/>
        <w:left w:val="none" w:sz="0" w:space="0" w:color="auto"/>
        <w:bottom w:val="none" w:sz="0" w:space="0" w:color="auto"/>
        <w:right w:val="none" w:sz="0" w:space="0" w:color="auto"/>
      </w:divBdr>
    </w:div>
    <w:div w:id="1089545144">
      <w:bodyDiv w:val="1"/>
      <w:marLeft w:val="0"/>
      <w:marRight w:val="0"/>
      <w:marTop w:val="0"/>
      <w:marBottom w:val="0"/>
      <w:divBdr>
        <w:top w:val="none" w:sz="0" w:space="0" w:color="auto"/>
        <w:left w:val="none" w:sz="0" w:space="0" w:color="auto"/>
        <w:bottom w:val="none" w:sz="0" w:space="0" w:color="auto"/>
        <w:right w:val="none" w:sz="0" w:space="0" w:color="auto"/>
      </w:divBdr>
    </w:div>
    <w:div w:id="1092164025">
      <w:bodyDiv w:val="1"/>
      <w:marLeft w:val="0"/>
      <w:marRight w:val="0"/>
      <w:marTop w:val="0"/>
      <w:marBottom w:val="0"/>
      <w:divBdr>
        <w:top w:val="none" w:sz="0" w:space="0" w:color="auto"/>
        <w:left w:val="none" w:sz="0" w:space="0" w:color="auto"/>
        <w:bottom w:val="none" w:sz="0" w:space="0" w:color="auto"/>
        <w:right w:val="none" w:sz="0" w:space="0" w:color="auto"/>
      </w:divBdr>
    </w:div>
    <w:div w:id="1092237242">
      <w:bodyDiv w:val="1"/>
      <w:marLeft w:val="0"/>
      <w:marRight w:val="0"/>
      <w:marTop w:val="0"/>
      <w:marBottom w:val="0"/>
      <w:divBdr>
        <w:top w:val="none" w:sz="0" w:space="0" w:color="auto"/>
        <w:left w:val="none" w:sz="0" w:space="0" w:color="auto"/>
        <w:bottom w:val="none" w:sz="0" w:space="0" w:color="auto"/>
        <w:right w:val="none" w:sz="0" w:space="0" w:color="auto"/>
      </w:divBdr>
    </w:div>
    <w:div w:id="1096054836">
      <w:bodyDiv w:val="1"/>
      <w:marLeft w:val="0"/>
      <w:marRight w:val="0"/>
      <w:marTop w:val="0"/>
      <w:marBottom w:val="0"/>
      <w:divBdr>
        <w:top w:val="none" w:sz="0" w:space="0" w:color="auto"/>
        <w:left w:val="none" w:sz="0" w:space="0" w:color="auto"/>
        <w:bottom w:val="none" w:sz="0" w:space="0" w:color="auto"/>
        <w:right w:val="none" w:sz="0" w:space="0" w:color="auto"/>
      </w:divBdr>
    </w:div>
    <w:div w:id="1107504496">
      <w:bodyDiv w:val="1"/>
      <w:marLeft w:val="0"/>
      <w:marRight w:val="0"/>
      <w:marTop w:val="0"/>
      <w:marBottom w:val="0"/>
      <w:divBdr>
        <w:top w:val="none" w:sz="0" w:space="0" w:color="auto"/>
        <w:left w:val="none" w:sz="0" w:space="0" w:color="auto"/>
        <w:bottom w:val="none" w:sz="0" w:space="0" w:color="auto"/>
        <w:right w:val="none" w:sz="0" w:space="0" w:color="auto"/>
      </w:divBdr>
    </w:div>
    <w:div w:id="1112047560">
      <w:bodyDiv w:val="1"/>
      <w:marLeft w:val="0"/>
      <w:marRight w:val="0"/>
      <w:marTop w:val="0"/>
      <w:marBottom w:val="0"/>
      <w:divBdr>
        <w:top w:val="none" w:sz="0" w:space="0" w:color="auto"/>
        <w:left w:val="none" w:sz="0" w:space="0" w:color="auto"/>
        <w:bottom w:val="none" w:sz="0" w:space="0" w:color="auto"/>
        <w:right w:val="none" w:sz="0" w:space="0" w:color="auto"/>
      </w:divBdr>
    </w:div>
    <w:div w:id="1139609428">
      <w:bodyDiv w:val="1"/>
      <w:marLeft w:val="0"/>
      <w:marRight w:val="0"/>
      <w:marTop w:val="0"/>
      <w:marBottom w:val="0"/>
      <w:divBdr>
        <w:top w:val="none" w:sz="0" w:space="0" w:color="auto"/>
        <w:left w:val="none" w:sz="0" w:space="0" w:color="auto"/>
        <w:bottom w:val="none" w:sz="0" w:space="0" w:color="auto"/>
        <w:right w:val="none" w:sz="0" w:space="0" w:color="auto"/>
      </w:divBdr>
    </w:div>
    <w:div w:id="1148782039">
      <w:bodyDiv w:val="1"/>
      <w:marLeft w:val="0"/>
      <w:marRight w:val="0"/>
      <w:marTop w:val="0"/>
      <w:marBottom w:val="0"/>
      <w:divBdr>
        <w:top w:val="none" w:sz="0" w:space="0" w:color="auto"/>
        <w:left w:val="none" w:sz="0" w:space="0" w:color="auto"/>
        <w:bottom w:val="none" w:sz="0" w:space="0" w:color="auto"/>
        <w:right w:val="none" w:sz="0" w:space="0" w:color="auto"/>
      </w:divBdr>
    </w:div>
    <w:div w:id="1151218861">
      <w:bodyDiv w:val="1"/>
      <w:marLeft w:val="0"/>
      <w:marRight w:val="0"/>
      <w:marTop w:val="0"/>
      <w:marBottom w:val="0"/>
      <w:divBdr>
        <w:top w:val="none" w:sz="0" w:space="0" w:color="auto"/>
        <w:left w:val="none" w:sz="0" w:space="0" w:color="auto"/>
        <w:bottom w:val="none" w:sz="0" w:space="0" w:color="auto"/>
        <w:right w:val="none" w:sz="0" w:space="0" w:color="auto"/>
      </w:divBdr>
    </w:div>
    <w:div w:id="1180125699">
      <w:bodyDiv w:val="1"/>
      <w:marLeft w:val="0"/>
      <w:marRight w:val="0"/>
      <w:marTop w:val="0"/>
      <w:marBottom w:val="0"/>
      <w:divBdr>
        <w:top w:val="none" w:sz="0" w:space="0" w:color="auto"/>
        <w:left w:val="none" w:sz="0" w:space="0" w:color="auto"/>
        <w:bottom w:val="none" w:sz="0" w:space="0" w:color="auto"/>
        <w:right w:val="none" w:sz="0" w:space="0" w:color="auto"/>
      </w:divBdr>
    </w:div>
    <w:div w:id="1183200092">
      <w:bodyDiv w:val="1"/>
      <w:marLeft w:val="0"/>
      <w:marRight w:val="0"/>
      <w:marTop w:val="0"/>
      <w:marBottom w:val="0"/>
      <w:divBdr>
        <w:top w:val="none" w:sz="0" w:space="0" w:color="auto"/>
        <w:left w:val="none" w:sz="0" w:space="0" w:color="auto"/>
        <w:bottom w:val="none" w:sz="0" w:space="0" w:color="auto"/>
        <w:right w:val="none" w:sz="0" w:space="0" w:color="auto"/>
      </w:divBdr>
    </w:div>
    <w:div w:id="1198275652">
      <w:bodyDiv w:val="1"/>
      <w:marLeft w:val="0"/>
      <w:marRight w:val="0"/>
      <w:marTop w:val="0"/>
      <w:marBottom w:val="0"/>
      <w:divBdr>
        <w:top w:val="none" w:sz="0" w:space="0" w:color="auto"/>
        <w:left w:val="none" w:sz="0" w:space="0" w:color="auto"/>
        <w:bottom w:val="none" w:sz="0" w:space="0" w:color="auto"/>
        <w:right w:val="none" w:sz="0" w:space="0" w:color="auto"/>
      </w:divBdr>
    </w:div>
    <w:div w:id="1203907259">
      <w:bodyDiv w:val="1"/>
      <w:marLeft w:val="0"/>
      <w:marRight w:val="0"/>
      <w:marTop w:val="0"/>
      <w:marBottom w:val="0"/>
      <w:divBdr>
        <w:top w:val="none" w:sz="0" w:space="0" w:color="auto"/>
        <w:left w:val="none" w:sz="0" w:space="0" w:color="auto"/>
        <w:bottom w:val="none" w:sz="0" w:space="0" w:color="auto"/>
        <w:right w:val="none" w:sz="0" w:space="0" w:color="auto"/>
      </w:divBdr>
    </w:div>
    <w:div w:id="1208491605">
      <w:bodyDiv w:val="1"/>
      <w:marLeft w:val="0"/>
      <w:marRight w:val="0"/>
      <w:marTop w:val="0"/>
      <w:marBottom w:val="0"/>
      <w:divBdr>
        <w:top w:val="none" w:sz="0" w:space="0" w:color="auto"/>
        <w:left w:val="none" w:sz="0" w:space="0" w:color="auto"/>
        <w:bottom w:val="none" w:sz="0" w:space="0" w:color="auto"/>
        <w:right w:val="none" w:sz="0" w:space="0" w:color="auto"/>
      </w:divBdr>
    </w:div>
    <w:div w:id="1214463633">
      <w:bodyDiv w:val="1"/>
      <w:marLeft w:val="0"/>
      <w:marRight w:val="0"/>
      <w:marTop w:val="0"/>
      <w:marBottom w:val="0"/>
      <w:divBdr>
        <w:top w:val="none" w:sz="0" w:space="0" w:color="auto"/>
        <w:left w:val="none" w:sz="0" w:space="0" w:color="auto"/>
        <w:bottom w:val="none" w:sz="0" w:space="0" w:color="auto"/>
        <w:right w:val="none" w:sz="0" w:space="0" w:color="auto"/>
      </w:divBdr>
    </w:div>
    <w:div w:id="1216043239">
      <w:bodyDiv w:val="1"/>
      <w:marLeft w:val="0"/>
      <w:marRight w:val="0"/>
      <w:marTop w:val="0"/>
      <w:marBottom w:val="0"/>
      <w:divBdr>
        <w:top w:val="none" w:sz="0" w:space="0" w:color="auto"/>
        <w:left w:val="none" w:sz="0" w:space="0" w:color="auto"/>
        <w:bottom w:val="none" w:sz="0" w:space="0" w:color="auto"/>
        <w:right w:val="none" w:sz="0" w:space="0" w:color="auto"/>
      </w:divBdr>
    </w:div>
    <w:div w:id="1244875871">
      <w:bodyDiv w:val="1"/>
      <w:marLeft w:val="0"/>
      <w:marRight w:val="0"/>
      <w:marTop w:val="0"/>
      <w:marBottom w:val="0"/>
      <w:divBdr>
        <w:top w:val="none" w:sz="0" w:space="0" w:color="auto"/>
        <w:left w:val="none" w:sz="0" w:space="0" w:color="auto"/>
        <w:bottom w:val="none" w:sz="0" w:space="0" w:color="auto"/>
        <w:right w:val="none" w:sz="0" w:space="0" w:color="auto"/>
      </w:divBdr>
    </w:div>
    <w:div w:id="1248811862">
      <w:bodyDiv w:val="1"/>
      <w:marLeft w:val="0"/>
      <w:marRight w:val="0"/>
      <w:marTop w:val="0"/>
      <w:marBottom w:val="0"/>
      <w:divBdr>
        <w:top w:val="none" w:sz="0" w:space="0" w:color="auto"/>
        <w:left w:val="none" w:sz="0" w:space="0" w:color="auto"/>
        <w:bottom w:val="none" w:sz="0" w:space="0" w:color="auto"/>
        <w:right w:val="none" w:sz="0" w:space="0" w:color="auto"/>
      </w:divBdr>
    </w:div>
    <w:div w:id="1251742209">
      <w:bodyDiv w:val="1"/>
      <w:marLeft w:val="0"/>
      <w:marRight w:val="0"/>
      <w:marTop w:val="0"/>
      <w:marBottom w:val="0"/>
      <w:divBdr>
        <w:top w:val="none" w:sz="0" w:space="0" w:color="auto"/>
        <w:left w:val="none" w:sz="0" w:space="0" w:color="auto"/>
        <w:bottom w:val="none" w:sz="0" w:space="0" w:color="auto"/>
        <w:right w:val="none" w:sz="0" w:space="0" w:color="auto"/>
      </w:divBdr>
    </w:div>
    <w:div w:id="1278952435">
      <w:bodyDiv w:val="1"/>
      <w:marLeft w:val="0"/>
      <w:marRight w:val="0"/>
      <w:marTop w:val="0"/>
      <w:marBottom w:val="0"/>
      <w:divBdr>
        <w:top w:val="none" w:sz="0" w:space="0" w:color="auto"/>
        <w:left w:val="none" w:sz="0" w:space="0" w:color="auto"/>
        <w:bottom w:val="none" w:sz="0" w:space="0" w:color="auto"/>
        <w:right w:val="none" w:sz="0" w:space="0" w:color="auto"/>
      </w:divBdr>
    </w:div>
    <w:div w:id="1293708211">
      <w:bodyDiv w:val="1"/>
      <w:marLeft w:val="0"/>
      <w:marRight w:val="0"/>
      <w:marTop w:val="0"/>
      <w:marBottom w:val="0"/>
      <w:divBdr>
        <w:top w:val="none" w:sz="0" w:space="0" w:color="auto"/>
        <w:left w:val="none" w:sz="0" w:space="0" w:color="auto"/>
        <w:bottom w:val="none" w:sz="0" w:space="0" w:color="auto"/>
        <w:right w:val="none" w:sz="0" w:space="0" w:color="auto"/>
      </w:divBdr>
    </w:div>
    <w:div w:id="1295527055">
      <w:bodyDiv w:val="1"/>
      <w:marLeft w:val="0"/>
      <w:marRight w:val="0"/>
      <w:marTop w:val="0"/>
      <w:marBottom w:val="0"/>
      <w:divBdr>
        <w:top w:val="none" w:sz="0" w:space="0" w:color="auto"/>
        <w:left w:val="none" w:sz="0" w:space="0" w:color="auto"/>
        <w:bottom w:val="none" w:sz="0" w:space="0" w:color="auto"/>
        <w:right w:val="none" w:sz="0" w:space="0" w:color="auto"/>
      </w:divBdr>
    </w:div>
    <w:div w:id="1301228072">
      <w:bodyDiv w:val="1"/>
      <w:marLeft w:val="0"/>
      <w:marRight w:val="0"/>
      <w:marTop w:val="0"/>
      <w:marBottom w:val="0"/>
      <w:divBdr>
        <w:top w:val="none" w:sz="0" w:space="0" w:color="auto"/>
        <w:left w:val="none" w:sz="0" w:space="0" w:color="auto"/>
        <w:bottom w:val="none" w:sz="0" w:space="0" w:color="auto"/>
        <w:right w:val="none" w:sz="0" w:space="0" w:color="auto"/>
      </w:divBdr>
    </w:div>
    <w:div w:id="1302272929">
      <w:bodyDiv w:val="1"/>
      <w:marLeft w:val="0"/>
      <w:marRight w:val="0"/>
      <w:marTop w:val="0"/>
      <w:marBottom w:val="0"/>
      <w:divBdr>
        <w:top w:val="none" w:sz="0" w:space="0" w:color="auto"/>
        <w:left w:val="none" w:sz="0" w:space="0" w:color="auto"/>
        <w:bottom w:val="none" w:sz="0" w:space="0" w:color="auto"/>
        <w:right w:val="none" w:sz="0" w:space="0" w:color="auto"/>
      </w:divBdr>
    </w:div>
    <w:div w:id="1318921131">
      <w:bodyDiv w:val="1"/>
      <w:marLeft w:val="0"/>
      <w:marRight w:val="0"/>
      <w:marTop w:val="0"/>
      <w:marBottom w:val="0"/>
      <w:divBdr>
        <w:top w:val="none" w:sz="0" w:space="0" w:color="auto"/>
        <w:left w:val="none" w:sz="0" w:space="0" w:color="auto"/>
        <w:bottom w:val="none" w:sz="0" w:space="0" w:color="auto"/>
        <w:right w:val="none" w:sz="0" w:space="0" w:color="auto"/>
      </w:divBdr>
    </w:div>
    <w:div w:id="1325547659">
      <w:bodyDiv w:val="1"/>
      <w:marLeft w:val="0"/>
      <w:marRight w:val="0"/>
      <w:marTop w:val="0"/>
      <w:marBottom w:val="0"/>
      <w:divBdr>
        <w:top w:val="none" w:sz="0" w:space="0" w:color="auto"/>
        <w:left w:val="none" w:sz="0" w:space="0" w:color="auto"/>
        <w:bottom w:val="none" w:sz="0" w:space="0" w:color="auto"/>
        <w:right w:val="none" w:sz="0" w:space="0" w:color="auto"/>
      </w:divBdr>
    </w:div>
    <w:div w:id="1336112119">
      <w:bodyDiv w:val="1"/>
      <w:marLeft w:val="0"/>
      <w:marRight w:val="0"/>
      <w:marTop w:val="0"/>
      <w:marBottom w:val="0"/>
      <w:divBdr>
        <w:top w:val="none" w:sz="0" w:space="0" w:color="auto"/>
        <w:left w:val="none" w:sz="0" w:space="0" w:color="auto"/>
        <w:bottom w:val="none" w:sz="0" w:space="0" w:color="auto"/>
        <w:right w:val="none" w:sz="0" w:space="0" w:color="auto"/>
      </w:divBdr>
    </w:div>
    <w:div w:id="1337880154">
      <w:bodyDiv w:val="1"/>
      <w:marLeft w:val="0"/>
      <w:marRight w:val="0"/>
      <w:marTop w:val="0"/>
      <w:marBottom w:val="0"/>
      <w:divBdr>
        <w:top w:val="none" w:sz="0" w:space="0" w:color="auto"/>
        <w:left w:val="none" w:sz="0" w:space="0" w:color="auto"/>
        <w:bottom w:val="none" w:sz="0" w:space="0" w:color="auto"/>
        <w:right w:val="none" w:sz="0" w:space="0" w:color="auto"/>
      </w:divBdr>
    </w:div>
    <w:div w:id="1338196559">
      <w:bodyDiv w:val="1"/>
      <w:marLeft w:val="0"/>
      <w:marRight w:val="0"/>
      <w:marTop w:val="0"/>
      <w:marBottom w:val="0"/>
      <w:divBdr>
        <w:top w:val="none" w:sz="0" w:space="0" w:color="auto"/>
        <w:left w:val="none" w:sz="0" w:space="0" w:color="auto"/>
        <w:bottom w:val="none" w:sz="0" w:space="0" w:color="auto"/>
        <w:right w:val="none" w:sz="0" w:space="0" w:color="auto"/>
      </w:divBdr>
    </w:div>
    <w:div w:id="1358310478">
      <w:bodyDiv w:val="1"/>
      <w:marLeft w:val="0"/>
      <w:marRight w:val="0"/>
      <w:marTop w:val="0"/>
      <w:marBottom w:val="0"/>
      <w:divBdr>
        <w:top w:val="none" w:sz="0" w:space="0" w:color="auto"/>
        <w:left w:val="none" w:sz="0" w:space="0" w:color="auto"/>
        <w:bottom w:val="none" w:sz="0" w:space="0" w:color="auto"/>
        <w:right w:val="none" w:sz="0" w:space="0" w:color="auto"/>
      </w:divBdr>
    </w:div>
    <w:div w:id="1360861237">
      <w:bodyDiv w:val="1"/>
      <w:marLeft w:val="0"/>
      <w:marRight w:val="0"/>
      <w:marTop w:val="0"/>
      <w:marBottom w:val="0"/>
      <w:divBdr>
        <w:top w:val="none" w:sz="0" w:space="0" w:color="auto"/>
        <w:left w:val="none" w:sz="0" w:space="0" w:color="auto"/>
        <w:bottom w:val="none" w:sz="0" w:space="0" w:color="auto"/>
        <w:right w:val="none" w:sz="0" w:space="0" w:color="auto"/>
      </w:divBdr>
    </w:div>
    <w:div w:id="1362822807">
      <w:bodyDiv w:val="1"/>
      <w:marLeft w:val="0"/>
      <w:marRight w:val="0"/>
      <w:marTop w:val="0"/>
      <w:marBottom w:val="0"/>
      <w:divBdr>
        <w:top w:val="none" w:sz="0" w:space="0" w:color="auto"/>
        <w:left w:val="none" w:sz="0" w:space="0" w:color="auto"/>
        <w:bottom w:val="none" w:sz="0" w:space="0" w:color="auto"/>
        <w:right w:val="none" w:sz="0" w:space="0" w:color="auto"/>
      </w:divBdr>
    </w:div>
    <w:div w:id="1378623772">
      <w:bodyDiv w:val="1"/>
      <w:marLeft w:val="0"/>
      <w:marRight w:val="0"/>
      <w:marTop w:val="0"/>
      <w:marBottom w:val="0"/>
      <w:divBdr>
        <w:top w:val="none" w:sz="0" w:space="0" w:color="auto"/>
        <w:left w:val="none" w:sz="0" w:space="0" w:color="auto"/>
        <w:bottom w:val="none" w:sz="0" w:space="0" w:color="auto"/>
        <w:right w:val="none" w:sz="0" w:space="0" w:color="auto"/>
      </w:divBdr>
    </w:div>
    <w:div w:id="1398091663">
      <w:bodyDiv w:val="1"/>
      <w:marLeft w:val="0"/>
      <w:marRight w:val="0"/>
      <w:marTop w:val="0"/>
      <w:marBottom w:val="0"/>
      <w:divBdr>
        <w:top w:val="none" w:sz="0" w:space="0" w:color="auto"/>
        <w:left w:val="none" w:sz="0" w:space="0" w:color="auto"/>
        <w:bottom w:val="none" w:sz="0" w:space="0" w:color="auto"/>
        <w:right w:val="none" w:sz="0" w:space="0" w:color="auto"/>
      </w:divBdr>
    </w:div>
    <w:div w:id="1411657787">
      <w:bodyDiv w:val="1"/>
      <w:marLeft w:val="0"/>
      <w:marRight w:val="0"/>
      <w:marTop w:val="0"/>
      <w:marBottom w:val="0"/>
      <w:divBdr>
        <w:top w:val="none" w:sz="0" w:space="0" w:color="auto"/>
        <w:left w:val="none" w:sz="0" w:space="0" w:color="auto"/>
        <w:bottom w:val="none" w:sz="0" w:space="0" w:color="auto"/>
        <w:right w:val="none" w:sz="0" w:space="0" w:color="auto"/>
      </w:divBdr>
    </w:div>
    <w:div w:id="1434471362">
      <w:bodyDiv w:val="1"/>
      <w:marLeft w:val="0"/>
      <w:marRight w:val="0"/>
      <w:marTop w:val="0"/>
      <w:marBottom w:val="0"/>
      <w:divBdr>
        <w:top w:val="none" w:sz="0" w:space="0" w:color="auto"/>
        <w:left w:val="none" w:sz="0" w:space="0" w:color="auto"/>
        <w:bottom w:val="none" w:sz="0" w:space="0" w:color="auto"/>
        <w:right w:val="none" w:sz="0" w:space="0" w:color="auto"/>
      </w:divBdr>
    </w:div>
    <w:div w:id="1444568053">
      <w:bodyDiv w:val="1"/>
      <w:marLeft w:val="0"/>
      <w:marRight w:val="0"/>
      <w:marTop w:val="0"/>
      <w:marBottom w:val="0"/>
      <w:divBdr>
        <w:top w:val="none" w:sz="0" w:space="0" w:color="auto"/>
        <w:left w:val="none" w:sz="0" w:space="0" w:color="auto"/>
        <w:bottom w:val="none" w:sz="0" w:space="0" w:color="auto"/>
        <w:right w:val="none" w:sz="0" w:space="0" w:color="auto"/>
      </w:divBdr>
    </w:div>
    <w:div w:id="1462698036">
      <w:bodyDiv w:val="1"/>
      <w:marLeft w:val="0"/>
      <w:marRight w:val="0"/>
      <w:marTop w:val="0"/>
      <w:marBottom w:val="0"/>
      <w:divBdr>
        <w:top w:val="none" w:sz="0" w:space="0" w:color="auto"/>
        <w:left w:val="none" w:sz="0" w:space="0" w:color="auto"/>
        <w:bottom w:val="none" w:sz="0" w:space="0" w:color="auto"/>
        <w:right w:val="none" w:sz="0" w:space="0" w:color="auto"/>
      </w:divBdr>
    </w:div>
    <w:div w:id="1475442577">
      <w:bodyDiv w:val="1"/>
      <w:marLeft w:val="0"/>
      <w:marRight w:val="0"/>
      <w:marTop w:val="0"/>
      <w:marBottom w:val="0"/>
      <w:divBdr>
        <w:top w:val="none" w:sz="0" w:space="0" w:color="auto"/>
        <w:left w:val="none" w:sz="0" w:space="0" w:color="auto"/>
        <w:bottom w:val="none" w:sz="0" w:space="0" w:color="auto"/>
        <w:right w:val="none" w:sz="0" w:space="0" w:color="auto"/>
      </w:divBdr>
    </w:div>
    <w:div w:id="1494443523">
      <w:bodyDiv w:val="1"/>
      <w:marLeft w:val="0"/>
      <w:marRight w:val="0"/>
      <w:marTop w:val="0"/>
      <w:marBottom w:val="0"/>
      <w:divBdr>
        <w:top w:val="none" w:sz="0" w:space="0" w:color="auto"/>
        <w:left w:val="none" w:sz="0" w:space="0" w:color="auto"/>
        <w:bottom w:val="none" w:sz="0" w:space="0" w:color="auto"/>
        <w:right w:val="none" w:sz="0" w:space="0" w:color="auto"/>
      </w:divBdr>
    </w:div>
    <w:div w:id="1535465137">
      <w:bodyDiv w:val="1"/>
      <w:marLeft w:val="0"/>
      <w:marRight w:val="0"/>
      <w:marTop w:val="0"/>
      <w:marBottom w:val="0"/>
      <w:divBdr>
        <w:top w:val="none" w:sz="0" w:space="0" w:color="auto"/>
        <w:left w:val="none" w:sz="0" w:space="0" w:color="auto"/>
        <w:bottom w:val="none" w:sz="0" w:space="0" w:color="auto"/>
        <w:right w:val="none" w:sz="0" w:space="0" w:color="auto"/>
      </w:divBdr>
    </w:div>
    <w:div w:id="1554853559">
      <w:bodyDiv w:val="1"/>
      <w:marLeft w:val="0"/>
      <w:marRight w:val="0"/>
      <w:marTop w:val="0"/>
      <w:marBottom w:val="0"/>
      <w:divBdr>
        <w:top w:val="none" w:sz="0" w:space="0" w:color="auto"/>
        <w:left w:val="none" w:sz="0" w:space="0" w:color="auto"/>
        <w:bottom w:val="none" w:sz="0" w:space="0" w:color="auto"/>
        <w:right w:val="none" w:sz="0" w:space="0" w:color="auto"/>
      </w:divBdr>
    </w:div>
    <w:div w:id="1589804132">
      <w:bodyDiv w:val="1"/>
      <w:marLeft w:val="0"/>
      <w:marRight w:val="0"/>
      <w:marTop w:val="0"/>
      <w:marBottom w:val="0"/>
      <w:divBdr>
        <w:top w:val="none" w:sz="0" w:space="0" w:color="auto"/>
        <w:left w:val="none" w:sz="0" w:space="0" w:color="auto"/>
        <w:bottom w:val="none" w:sz="0" w:space="0" w:color="auto"/>
        <w:right w:val="none" w:sz="0" w:space="0" w:color="auto"/>
      </w:divBdr>
    </w:div>
    <w:div w:id="1602840758">
      <w:bodyDiv w:val="1"/>
      <w:marLeft w:val="0"/>
      <w:marRight w:val="0"/>
      <w:marTop w:val="0"/>
      <w:marBottom w:val="0"/>
      <w:divBdr>
        <w:top w:val="none" w:sz="0" w:space="0" w:color="auto"/>
        <w:left w:val="none" w:sz="0" w:space="0" w:color="auto"/>
        <w:bottom w:val="none" w:sz="0" w:space="0" w:color="auto"/>
        <w:right w:val="none" w:sz="0" w:space="0" w:color="auto"/>
      </w:divBdr>
    </w:div>
    <w:div w:id="1627736986">
      <w:bodyDiv w:val="1"/>
      <w:marLeft w:val="0"/>
      <w:marRight w:val="0"/>
      <w:marTop w:val="0"/>
      <w:marBottom w:val="0"/>
      <w:divBdr>
        <w:top w:val="none" w:sz="0" w:space="0" w:color="auto"/>
        <w:left w:val="none" w:sz="0" w:space="0" w:color="auto"/>
        <w:bottom w:val="none" w:sz="0" w:space="0" w:color="auto"/>
        <w:right w:val="none" w:sz="0" w:space="0" w:color="auto"/>
      </w:divBdr>
    </w:div>
    <w:div w:id="1635452321">
      <w:bodyDiv w:val="1"/>
      <w:marLeft w:val="0"/>
      <w:marRight w:val="0"/>
      <w:marTop w:val="0"/>
      <w:marBottom w:val="0"/>
      <w:divBdr>
        <w:top w:val="none" w:sz="0" w:space="0" w:color="auto"/>
        <w:left w:val="none" w:sz="0" w:space="0" w:color="auto"/>
        <w:bottom w:val="none" w:sz="0" w:space="0" w:color="auto"/>
        <w:right w:val="none" w:sz="0" w:space="0" w:color="auto"/>
      </w:divBdr>
    </w:div>
    <w:div w:id="1641766948">
      <w:bodyDiv w:val="1"/>
      <w:marLeft w:val="0"/>
      <w:marRight w:val="0"/>
      <w:marTop w:val="0"/>
      <w:marBottom w:val="0"/>
      <w:divBdr>
        <w:top w:val="none" w:sz="0" w:space="0" w:color="auto"/>
        <w:left w:val="none" w:sz="0" w:space="0" w:color="auto"/>
        <w:bottom w:val="none" w:sz="0" w:space="0" w:color="auto"/>
        <w:right w:val="none" w:sz="0" w:space="0" w:color="auto"/>
      </w:divBdr>
    </w:div>
    <w:div w:id="1643194730">
      <w:bodyDiv w:val="1"/>
      <w:marLeft w:val="0"/>
      <w:marRight w:val="0"/>
      <w:marTop w:val="0"/>
      <w:marBottom w:val="0"/>
      <w:divBdr>
        <w:top w:val="none" w:sz="0" w:space="0" w:color="auto"/>
        <w:left w:val="none" w:sz="0" w:space="0" w:color="auto"/>
        <w:bottom w:val="none" w:sz="0" w:space="0" w:color="auto"/>
        <w:right w:val="none" w:sz="0" w:space="0" w:color="auto"/>
      </w:divBdr>
    </w:div>
    <w:div w:id="1646933035">
      <w:bodyDiv w:val="1"/>
      <w:marLeft w:val="0"/>
      <w:marRight w:val="0"/>
      <w:marTop w:val="0"/>
      <w:marBottom w:val="0"/>
      <w:divBdr>
        <w:top w:val="none" w:sz="0" w:space="0" w:color="auto"/>
        <w:left w:val="none" w:sz="0" w:space="0" w:color="auto"/>
        <w:bottom w:val="none" w:sz="0" w:space="0" w:color="auto"/>
        <w:right w:val="none" w:sz="0" w:space="0" w:color="auto"/>
      </w:divBdr>
    </w:div>
    <w:div w:id="1672492537">
      <w:bodyDiv w:val="1"/>
      <w:marLeft w:val="0"/>
      <w:marRight w:val="0"/>
      <w:marTop w:val="0"/>
      <w:marBottom w:val="0"/>
      <w:divBdr>
        <w:top w:val="none" w:sz="0" w:space="0" w:color="auto"/>
        <w:left w:val="none" w:sz="0" w:space="0" w:color="auto"/>
        <w:bottom w:val="none" w:sz="0" w:space="0" w:color="auto"/>
        <w:right w:val="none" w:sz="0" w:space="0" w:color="auto"/>
      </w:divBdr>
    </w:div>
    <w:div w:id="1689671236">
      <w:bodyDiv w:val="1"/>
      <w:marLeft w:val="0"/>
      <w:marRight w:val="0"/>
      <w:marTop w:val="0"/>
      <w:marBottom w:val="0"/>
      <w:divBdr>
        <w:top w:val="none" w:sz="0" w:space="0" w:color="auto"/>
        <w:left w:val="none" w:sz="0" w:space="0" w:color="auto"/>
        <w:bottom w:val="none" w:sz="0" w:space="0" w:color="auto"/>
        <w:right w:val="none" w:sz="0" w:space="0" w:color="auto"/>
      </w:divBdr>
    </w:div>
    <w:div w:id="1695615915">
      <w:bodyDiv w:val="1"/>
      <w:marLeft w:val="0"/>
      <w:marRight w:val="0"/>
      <w:marTop w:val="0"/>
      <w:marBottom w:val="0"/>
      <w:divBdr>
        <w:top w:val="none" w:sz="0" w:space="0" w:color="auto"/>
        <w:left w:val="none" w:sz="0" w:space="0" w:color="auto"/>
        <w:bottom w:val="none" w:sz="0" w:space="0" w:color="auto"/>
        <w:right w:val="none" w:sz="0" w:space="0" w:color="auto"/>
      </w:divBdr>
    </w:div>
    <w:div w:id="1698196531">
      <w:bodyDiv w:val="1"/>
      <w:marLeft w:val="0"/>
      <w:marRight w:val="0"/>
      <w:marTop w:val="0"/>
      <w:marBottom w:val="0"/>
      <w:divBdr>
        <w:top w:val="none" w:sz="0" w:space="0" w:color="auto"/>
        <w:left w:val="none" w:sz="0" w:space="0" w:color="auto"/>
        <w:bottom w:val="none" w:sz="0" w:space="0" w:color="auto"/>
        <w:right w:val="none" w:sz="0" w:space="0" w:color="auto"/>
      </w:divBdr>
    </w:div>
    <w:div w:id="1714883976">
      <w:bodyDiv w:val="1"/>
      <w:marLeft w:val="0"/>
      <w:marRight w:val="0"/>
      <w:marTop w:val="0"/>
      <w:marBottom w:val="0"/>
      <w:divBdr>
        <w:top w:val="none" w:sz="0" w:space="0" w:color="auto"/>
        <w:left w:val="none" w:sz="0" w:space="0" w:color="auto"/>
        <w:bottom w:val="none" w:sz="0" w:space="0" w:color="auto"/>
        <w:right w:val="none" w:sz="0" w:space="0" w:color="auto"/>
      </w:divBdr>
    </w:div>
    <w:div w:id="1745445211">
      <w:bodyDiv w:val="1"/>
      <w:marLeft w:val="0"/>
      <w:marRight w:val="0"/>
      <w:marTop w:val="0"/>
      <w:marBottom w:val="0"/>
      <w:divBdr>
        <w:top w:val="none" w:sz="0" w:space="0" w:color="auto"/>
        <w:left w:val="none" w:sz="0" w:space="0" w:color="auto"/>
        <w:bottom w:val="none" w:sz="0" w:space="0" w:color="auto"/>
        <w:right w:val="none" w:sz="0" w:space="0" w:color="auto"/>
      </w:divBdr>
    </w:div>
    <w:div w:id="1745831645">
      <w:bodyDiv w:val="1"/>
      <w:marLeft w:val="0"/>
      <w:marRight w:val="0"/>
      <w:marTop w:val="0"/>
      <w:marBottom w:val="0"/>
      <w:divBdr>
        <w:top w:val="none" w:sz="0" w:space="0" w:color="auto"/>
        <w:left w:val="none" w:sz="0" w:space="0" w:color="auto"/>
        <w:bottom w:val="none" w:sz="0" w:space="0" w:color="auto"/>
        <w:right w:val="none" w:sz="0" w:space="0" w:color="auto"/>
      </w:divBdr>
    </w:div>
    <w:div w:id="1750348149">
      <w:bodyDiv w:val="1"/>
      <w:marLeft w:val="0"/>
      <w:marRight w:val="0"/>
      <w:marTop w:val="0"/>
      <w:marBottom w:val="0"/>
      <w:divBdr>
        <w:top w:val="none" w:sz="0" w:space="0" w:color="auto"/>
        <w:left w:val="none" w:sz="0" w:space="0" w:color="auto"/>
        <w:bottom w:val="none" w:sz="0" w:space="0" w:color="auto"/>
        <w:right w:val="none" w:sz="0" w:space="0" w:color="auto"/>
      </w:divBdr>
      <w:divsChild>
        <w:div w:id="302008368">
          <w:marLeft w:val="0"/>
          <w:marRight w:val="0"/>
          <w:marTop w:val="0"/>
          <w:marBottom w:val="0"/>
          <w:divBdr>
            <w:top w:val="none" w:sz="0" w:space="0" w:color="auto"/>
            <w:left w:val="none" w:sz="0" w:space="0" w:color="auto"/>
            <w:bottom w:val="none" w:sz="0" w:space="0" w:color="auto"/>
            <w:right w:val="none" w:sz="0" w:space="0" w:color="auto"/>
          </w:divBdr>
        </w:div>
      </w:divsChild>
    </w:div>
    <w:div w:id="1796630169">
      <w:bodyDiv w:val="1"/>
      <w:marLeft w:val="0"/>
      <w:marRight w:val="0"/>
      <w:marTop w:val="0"/>
      <w:marBottom w:val="0"/>
      <w:divBdr>
        <w:top w:val="none" w:sz="0" w:space="0" w:color="auto"/>
        <w:left w:val="none" w:sz="0" w:space="0" w:color="auto"/>
        <w:bottom w:val="none" w:sz="0" w:space="0" w:color="auto"/>
        <w:right w:val="none" w:sz="0" w:space="0" w:color="auto"/>
      </w:divBdr>
    </w:div>
    <w:div w:id="1807357690">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
    <w:div w:id="1824421855">
      <w:bodyDiv w:val="1"/>
      <w:marLeft w:val="0"/>
      <w:marRight w:val="0"/>
      <w:marTop w:val="0"/>
      <w:marBottom w:val="0"/>
      <w:divBdr>
        <w:top w:val="none" w:sz="0" w:space="0" w:color="auto"/>
        <w:left w:val="none" w:sz="0" w:space="0" w:color="auto"/>
        <w:bottom w:val="none" w:sz="0" w:space="0" w:color="auto"/>
        <w:right w:val="none" w:sz="0" w:space="0" w:color="auto"/>
      </w:divBdr>
    </w:div>
    <w:div w:id="1849250539">
      <w:bodyDiv w:val="1"/>
      <w:marLeft w:val="0"/>
      <w:marRight w:val="0"/>
      <w:marTop w:val="0"/>
      <w:marBottom w:val="0"/>
      <w:divBdr>
        <w:top w:val="none" w:sz="0" w:space="0" w:color="auto"/>
        <w:left w:val="none" w:sz="0" w:space="0" w:color="auto"/>
        <w:bottom w:val="none" w:sz="0" w:space="0" w:color="auto"/>
        <w:right w:val="none" w:sz="0" w:space="0" w:color="auto"/>
      </w:divBdr>
    </w:div>
    <w:div w:id="1858036378">
      <w:bodyDiv w:val="1"/>
      <w:marLeft w:val="0"/>
      <w:marRight w:val="0"/>
      <w:marTop w:val="0"/>
      <w:marBottom w:val="0"/>
      <w:divBdr>
        <w:top w:val="none" w:sz="0" w:space="0" w:color="auto"/>
        <w:left w:val="none" w:sz="0" w:space="0" w:color="auto"/>
        <w:bottom w:val="none" w:sz="0" w:space="0" w:color="auto"/>
        <w:right w:val="none" w:sz="0" w:space="0" w:color="auto"/>
      </w:divBdr>
    </w:div>
    <w:div w:id="1858762871">
      <w:bodyDiv w:val="1"/>
      <w:marLeft w:val="0"/>
      <w:marRight w:val="0"/>
      <w:marTop w:val="0"/>
      <w:marBottom w:val="0"/>
      <w:divBdr>
        <w:top w:val="none" w:sz="0" w:space="0" w:color="auto"/>
        <w:left w:val="none" w:sz="0" w:space="0" w:color="auto"/>
        <w:bottom w:val="none" w:sz="0" w:space="0" w:color="auto"/>
        <w:right w:val="none" w:sz="0" w:space="0" w:color="auto"/>
      </w:divBdr>
    </w:div>
    <w:div w:id="1859584832">
      <w:bodyDiv w:val="1"/>
      <w:marLeft w:val="0"/>
      <w:marRight w:val="0"/>
      <w:marTop w:val="0"/>
      <w:marBottom w:val="0"/>
      <w:divBdr>
        <w:top w:val="none" w:sz="0" w:space="0" w:color="auto"/>
        <w:left w:val="none" w:sz="0" w:space="0" w:color="auto"/>
        <w:bottom w:val="none" w:sz="0" w:space="0" w:color="auto"/>
        <w:right w:val="none" w:sz="0" w:space="0" w:color="auto"/>
      </w:divBdr>
    </w:div>
    <w:div w:id="1859929112">
      <w:bodyDiv w:val="1"/>
      <w:marLeft w:val="0"/>
      <w:marRight w:val="0"/>
      <w:marTop w:val="0"/>
      <w:marBottom w:val="0"/>
      <w:divBdr>
        <w:top w:val="none" w:sz="0" w:space="0" w:color="auto"/>
        <w:left w:val="none" w:sz="0" w:space="0" w:color="auto"/>
        <w:bottom w:val="none" w:sz="0" w:space="0" w:color="auto"/>
        <w:right w:val="none" w:sz="0" w:space="0" w:color="auto"/>
      </w:divBdr>
    </w:div>
    <w:div w:id="1868912637">
      <w:bodyDiv w:val="1"/>
      <w:marLeft w:val="0"/>
      <w:marRight w:val="0"/>
      <w:marTop w:val="0"/>
      <w:marBottom w:val="0"/>
      <w:divBdr>
        <w:top w:val="none" w:sz="0" w:space="0" w:color="auto"/>
        <w:left w:val="none" w:sz="0" w:space="0" w:color="auto"/>
        <w:bottom w:val="none" w:sz="0" w:space="0" w:color="auto"/>
        <w:right w:val="none" w:sz="0" w:space="0" w:color="auto"/>
      </w:divBdr>
    </w:div>
    <w:div w:id="1919090736">
      <w:bodyDiv w:val="1"/>
      <w:marLeft w:val="0"/>
      <w:marRight w:val="0"/>
      <w:marTop w:val="0"/>
      <w:marBottom w:val="0"/>
      <w:divBdr>
        <w:top w:val="none" w:sz="0" w:space="0" w:color="auto"/>
        <w:left w:val="none" w:sz="0" w:space="0" w:color="auto"/>
        <w:bottom w:val="none" w:sz="0" w:space="0" w:color="auto"/>
        <w:right w:val="none" w:sz="0" w:space="0" w:color="auto"/>
      </w:divBdr>
    </w:div>
    <w:div w:id="1941184708">
      <w:bodyDiv w:val="1"/>
      <w:marLeft w:val="0"/>
      <w:marRight w:val="0"/>
      <w:marTop w:val="0"/>
      <w:marBottom w:val="0"/>
      <w:divBdr>
        <w:top w:val="none" w:sz="0" w:space="0" w:color="auto"/>
        <w:left w:val="none" w:sz="0" w:space="0" w:color="auto"/>
        <w:bottom w:val="none" w:sz="0" w:space="0" w:color="auto"/>
        <w:right w:val="none" w:sz="0" w:space="0" w:color="auto"/>
      </w:divBdr>
    </w:div>
    <w:div w:id="1964116578">
      <w:bodyDiv w:val="1"/>
      <w:marLeft w:val="0"/>
      <w:marRight w:val="0"/>
      <w:marTop w:val="0"/>
      <w:marBottom w:val="0"/>
      <w:divBdr>
        <w:top w:val="none" w:sz="0" w:space="0" w:color="auto"/>
        <w:left w:val="none" w:sz="0" w:space="0" w:color="auto"/>
        <w:bottom w:val="none" w:sz="0" w:space="0" w:color="auto"/>
        <w:right w:val="none" w:sz="0" w:space="0" w:color="auto"/>
      </w:divBdr>
    </w:div>
    <w:div w:id="1966737129">
      <w:bodyDiv w:val="1"/>
      <w:marLeft w:val="0"/>
      <w:marRight w:val="0"/>
      <w:marTop w:val="0"/>
      <w:marBottom w:val="0"/>
      <w:divBdr>
        <w:top w:val="none" w:sz="0" w:space="0" w:color="auto"/>
        <w:left w:val="none" w:sz="0" w:space="0" w:color="auto"/>
        <w:bottom w:val="none" w:sz="0" w:space="0" w:color="auto"/>
        <w:right w:val="none" w:sz="0" w:space="0" w:color="auto"/>
      </w:divBdr>
    </w:div>
    <w:div w:id="1969623008">
      <w:bodyDiv w:val="1"/>
      <w:marLeft w:val="0"/>
      <w:marRight w:val="0"/>
      <w:marTop w:val="0"/>
      <w:marBottom w:val="0"/>
      <w:divBdr>
        <w:top w:val="none" w:sz="0" w:space="0" w:color="auto"/>
        <w:left w:val="none" w:sz="0" w:space="0" w:color="auto"/>
        <w:bottom w:val="none" w:sz="0" w:space="0" w:color="auto"/>
        <w:right w:val="none" w:sz="0" w:space="0" w:color="auto"/>
      </w:divBdr>
    </w:div>
    <w:div w:id="2002735537">
      <w:bodyDiv w:val="1"/>
      <w:marLeft w:val="0"/>
      <w:marRight w:val="0"/>
      <w:marTop w:val="0"/>
      <w:marBottom w:val="0"/>
      <w:divBdr>
        <w:top w:val="none" w:sz="0" w:space="0" w:color="auto"/>
        <w:left w:val="none" w:sz="0" w:space="0" w:color="auto"/>
        <w:bottom w:val="none" w:sz="0" w:space="0" w:color="auto"/>
        <w:right w:val="none" w:sz="0" w:space="0" w:color="auto"/>
      </w:divBdr>
    </w:div>
    <w:div w:id="2003502604">
      <w:bodyDiv w:val="1"/>
      <w:marLeft w:val="0"/>
      <w:marRight w:val="0"/>
      <w:marTop w:val="0"/>
      <w:marBottom w:val="0"/>
      <w:divBdr>
        <w:top w:val="none" w:sz="0" w:space="0" w:color="auto"/>
        <w:left w:val="none" w:sz="0" w:space="0" w:color="auto"/>
        <w:bottom w:val="none" w:sz="0" w:space="0" w:color="auto"/>
        <w:right w:val="none" w:sz="0" w:space="0" w:color="auto"/>
      </w:divBdr>
    </w:div>
    <w:div w:id="2008246724">
      <w:bodyDiv w:val="1"/>
      <w:marLeft w:val="0"/>
      <w:marRight w:val="0"/>
      <w:marTop w:val="0"/>
      <w:marBottom w:val="0"/>
      <w:divBdr>
        <w:top w:val="none" w:sz="0" w:space="0" w:color="auto"/>
        <w:left w:val="none" w:sz="0" w:space="0" w:color="auto"/>
        <w:bottom w:val="none" w:sz="0" w:space="0" w:color="auto"/>
        <w:right w:val="none" w:sz="0" w:space="0" w:color="auto"/>
      </w:divBdr>
    </w:div>
    <w:div w:id="2018653986">
      <w:bodyDiv w:val="1"/>
      <w:marLeft w:val="0"/>
      <w:marRight w:val="0"/>
      <w:marTop w:val="0"/>
      <w:marBottom w:val="0"/>
      <w:divBdr>
        <w:top w:val="none" w:sz="0" w:space="0" w:color="auto"/>
        <w:left w:val="none" w:sz="0" w:space="0" w:color="auto"/>
        <w:bottom w:val="none" w:sz="0" w:space="0" w:color="auto"/>
        <w:right w:val="none" w:sz="0" w:space="0" w:color="auto"/>
      </w:divBdr>
    </w:div>
    <w:div w:id="2019962183">
      <w:bodyDiv w:val="1"/>
      <w:marLeft w:val="0"/>
      <w:marRight w:val="0"/>
      <w:marTop w:val="0"/>
      <w:marBottom w:val="0"/>
      <w:divBdr>
        <w:top w:val="none" w:sz="0" w:space="0" w:color="auto"/>
        <w:left w:val="none" w:sz="0" w:space="0" w:color="auto"/>
        <w:bottom w:val="none" w:sz="0" w:space="0" w:color="auto"/>
        <w:right w:val="none" w:sz="0" w:space="0" w:color="auto"/>
      </w:divBdr>
    </w:div>
    <w:div w:id="2031106770">
      <w:bodyDiv w:val="1"/>
      <w:marLeft w:val="0"/>
      <w:marRight w:val="0"/>
      <w:marTop w:val="0"/>
      <w:marBottom w:val="0"/>
      <w:divBdr>
        <w:top w:val="none" w:sz="0" w:space="0" w:color="auto"/>
        <w:left w:val="none" w:sz="0" w:space="0" w:color="auto"/>
        <w:bottom w:val="none" w:sz="0" w:space="0" w:color="auto"/>
        <w:right w:val="none" w:sz="0" w:space="0" w:color="auto"/>
      </w:divBdr>
    </w:div>
    <w:div w:id="2099059362">
      <w:bodyDiv w:val="1"/>
      <w:marLeft w:val="0"/>
      <w:marRight w:val="0"/>
      <w:marTop w:val="0"/>
      <w:marBottom w:val="0"/>
      <w:divBdr>
        <w:top w:val="none" w:sz="0" w:space="0" w:color="auto"/>
        <w:left w:val="none" w:sz="0" w:space="0" w:color="auto"/>
        <w:bottom w:val="none" w:sz="0" w:space="0" w:color="auto"/>
        <w:right w:val="none" w:sz="0" w:space="0" w:color="auto"/>
      </w:divBdr>
    </w:div>
    <w:div w:id="2114859308">
      <w:bodyDiv w:val="1"/>
      <w:marLeft w:val="0"/>
      <w:marRight w:val="0"/>
      <w:marTop w:val="0"/>
      <w:marBottom w:val="0"/>
      <w:divBdr>
        <w:top w:val="none" w:sz="0" w:space="0" w:color="auto"/>
        <w:left w:val="none" w:sz="0" w:space="0" w:color="auto"/>
        <w:bottom w:val="none" w:sz="0" w:space="0" w:color="auto"/>
        <w:right w:val="none" w:sz="0" w:space="0" w:color="auto"/>
      </w:divBdr>
    </w:div>
    <w:div w:id="21199888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911">
          <w:marLeft w:val="0"/>
          <w:marRight w:val="0"/>
          <w:marTop w:val="0"/>
          <w:marBottom w:val="0"/>
          <w:divBdr>
            <w:top w:val="none" w:sz="0" w:space="0" w:color="auto"/>
            <w:left w:val="none" w:sz="0" w:space="0" w:color="auto"/>
            <w:bottom w:val="none" w:sz="0" w:space="0" w:color="auto"/>
            <w:right w:val="none" w:sz="0" w:space="0" w:color="auto"/>
          </w:divBdr>
        </w:div>
      </w:divsChild>
    </w:div>
    <w:div w:id="21302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6A42-F19A-2444-B865-B7D76A9F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88279</Words>
  <Characters>529679</Characters>
  <Application>Microsoft Office Word</Application>
  <DocSecurity>2</DocSecurity>
  <Lines>4413</Lines>
  <Paragraphs>1233</Paragraphs>
  <ScaleCrop>false</ScaleCrop>
  <HeadingPairs>
    <vt:vector size="2" baseType="variant">
      <vt:variant>
        <vt:lpstr>Tytuł</vt:lpstr>
      </vt:variant>
      <vt:variant>
        <vt:i4>1</vt:i4>
      </vt:variant>
    </vt:vector>
  </HeadingPairs>
  <TitlesOfParts>
    <vt:vector size="1" baseType="lpstr">
      <vt:lpstr>Obsługa Kredytu</vt:lpstr>
    </vt:vector>
  </TitlesOfParts>
  <Company>BRE Bank SA</Company>
  <LinksUpToDate>false</LinksUpToDate>
  <CharactersWithSpaces>616725</CharactersWithSpaces>
  <SharedDoc>false</SharedDoc>
  <HLinks>
    <vt:vector size="24" baseType="variant">
      <vt:variant>
        <vt:i4>1966137</vt:i4>
      </vt:variant>
      <vt:variant>
        <vt:i4>20</vt:i4>
      </vt:variant>
      <vt:variant>
        <vt:i4>0</vt:i4>
      </vt:variant>
      <vt:variant>
        <vt:i4>5</vt:i4>
      </vt:variant>
      <vt:variant>
        <vt:lpwstr/>
      </vt:variant>
      <vt:variant>
        <vt:lpwstr>_Toc370895338</vt:lpwstr>
      </vt:variant>
      <vt:variant>
        <vt:i4>1966137</vt:i4>
      </vt:variant>
      <vt:variant>
        <vt:i4>14</vt:i4>
      </vt:variant>
      <vt:variant>
        <vt:i4>0</vt:i4>
      </vt:variant>
      <vt:variant>
        <vt:i4>5</vt:i4>
      </vt:variant>
      <vt:variant>
        <vt:lpwstr/>
      </vt:variant>
      <vt:variant>
        <vt:lpwstr>_Toc370895337</vt:lpwstr>
      </vt:variant>
      <vt:variant>
        <vt:i4>1966137</vt:i4>
      </vt:variant>
      <vt:variant>
        <vt:i4>8</vt:i4>
      </vt:variant>
      <vt:variant>
        <vt:i4>0</vt:i4>
      </vt:variant>
      <vt:variant>
        <vt:i4>5</vt:i4>
      </vt:variant>
      <vt:variant>
        <vt:lpwstr/>
      </vt:variant>
      <vt:variant>
        <vt:lpwstr>_Toc370895336</vt:lpwstr>
      </vt:variant>
      <vt:variant>
        <vt:i4>1966137</vt:i4>
      </vt:variant>
      <vt:variant>
        <vt:i4>2</vt:i4>
      </vt:variant>
      <vt:variant>
        <vt:i4>0</vt:i4>
      </vt:variant>
      <vt:variant>
        <vt:i4>5</vt:i4>
      </vt:variant>
      <vt:variant>
        <vt:lpwstr/>
      </vt:variant>
      <vt:variant>
        <vt:lpwstr>_Toc370895335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Obsługa Kredytu</dc:title>
  <dc:subject/>
  <dc:creator>Wiercińska, Małgorzata, (mBank/DSF)</dc:creator>
  <cp:keywords/>
  <cp:lastModifiedBy>Jakub Kozłowski</cp:lastModifiedBy>
  <cp:revision>2</cp:revision>
  <cp:lastPrinted>2020-02-25T19:02:00Z</cp:lastPrinted>
  <dcterms:created xsi:type="dcterms:W3CDTF">2020-05-11T11:41:00Z</dcterms:created>
  <dcterms:modified xsi:type="dcterms:W3CDTF">2020-05-11T11:41:00Z</dcterms:modified>
</cp:coreProperties>
</file>